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8"/>
        <w:tblW w:w="252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tblGrid>
      <w:tr w14:paraId="6F27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exact"/>
          <w:tblHeader/>
          <w:jc w:val="right"/>
        </w:trPr>
        <w:tc>
          <w:tcPr>
            <w:tcW w:w="2520" w:type="dxa"/>
            <w:vAlign w:val="center"/>
          </w:tcPr>
          <w:p w14:paraId="284B6328">
            <w:pPr>
              <w:adjustRightInd w:val="0"/>
              <w:snapToGrid w:val="0"/>
              <w:spacing w:line="240" w:lineRule="auto"/>
              <w:ind w:firstLine="0" w:firstLineChars="0"/>
              <w:jc w:val="center"/>
              <w:rPr>
                <w:rFonts w:ascii="Times New Roman" w:hAnsi="Times New Roman" w:cs="Times New Roman"/>
                <w:b/>
                <w:color w:val="auto"/>
                <w:sz w:val="21"/>
              </w:rPr>
            </w:pPr>
            <w:bookmarkStart w:id="0" w:name="_Hlk109912265"/>
            <w:bookmarkEnd w:id="0"/>
            <w:bookmarkStart w:id="1" w:name="_Toc415213477"/>
            <w:bookmarkStart w:id="2" w:name="_Toc415213316"/>
            <w:bookmarkStart w:id="3" w:name="_Toc415213317"/>
            <w:bookmarkStart w:id="4" w:name="_Toc36027994"/>
            <w:r>
              <w:rPr>
                <w:rFonts w:ascii="Times New Roman" w:hAnsi="Times New Roman" w:cs="Times New Roman"/>
                <w:b/>
                <w:color w:val="auto"/>
                <w:sz w:val="21"/>
              </w:rPr>
              <w:t>项目编号</w:t>
            </w:r>
          </w:p>
        </w:tc>
      </w:tr>
      <w:tr w14:paraId="3557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jc w:val="right"/>
        </w:trPr>
        <w:tc>
          <w:tcPr>
            <w:tcW w:w="2520" w:type="dxa"/>
            <w:vAlign w:val="center"/>
          </w:tcPr>
          <w:p w14:paraId="607CF889">
            <w:pPr>
              <w:pStyle w:val="26"/>
              <w:bidi w:val="0"/>
              <w:rPr>
                <w:rFonts w:cs="Times New Roman"/>
                <w:color w:val="auto"/>
              </w:rPr>
            </w:pPr>
            <w:r>
              <w:rPr>
                <w:rFonts w:hint="eastAsia" w:cs="Times New Roman"/>
                <w:color w:val="auto"/>
              </w:rPr>
              <w:t>XM260427-01-001</w:t>
            </w:r>
          </w:p>
        </w:tc>
      </w:tr>
    </w:tbl>
    <w:p w14:paraId="77B32969">
      <w:pPr>
        <w:spacing w:line="800" w:lineRule="exact"/>
        <w:ind w:firstLine="0" w:firstLineChars="0"/>
        <w:jc w:val="center"/>
        <w:rPr>
          <w:bCs/>
          <w:color w:val="auto"/>
          <w:sz w:val="44"/>
          <w:szCs w:val="44"/>
        </w:rPr>
      </w:pPr>
    </w:p>
    <w:p w14:paraId="2F48961C">
      <w:pPr>
        <w:spacing w:line="800" w:lineRule="exact"/>
        <w:ind w:firstLine="0" w:firstLineChars="0"/>
        <w:jc w:val="center"/>
        <w:rPr>
          <w:b/>
          <w:color w:val="auto"/>
          <w:w w:val="99"/>
          <w:sz w:val="44"/>
          <w:szCs w:val="44"/>
        </w:rPr>
      </w:pPr>
      <w:bookmarkStart w:id="5" w:name="_Hlk108104579"/>
      <w:bookmarkStart w:id="6" w:name="_Hlk37319019"/>
    </w:p>
    <w:p w14:paraId="0EB3787B">
      <w:pPr>
        <w:spacing w:before="240" w:beforeLines="100" w:line="800" w:lineRule="exact"/>
        <w:ind w:firstLine="0" w:firstLineChars="0"/>
        <w:jc w:val="center"/>
        <w:rPr>
          <w:rFonts w:hint="eastAsia" w:eastAsia="仿宋_GB2312" w:cs="Times New Roman"/>
          <w:b/>
          <w:color w:val="auto"/>
          <w:w w:val="99"/>
          <w:sz w:val="48"/>
          <w:szCs w:val="48"/>
          <w:lang w:eastAsia="zh-CN"/>
        </w:rPr>
      </w:pPr>
      <w:bookmarkStart w:id="7" w:name="_Hlk133508662"/>
      <w:bookmarkStart w:id="8" w:name="_Hlk142661171"/>
      <w:r>
        <w:rPr>
          <w:rFonts w:hint="eastAsia" w:cs="Times New Roman"/>
          <w:b/>
          <w:color w:val="auto"/>
          <w:w w:val="99"/>
          <w:sz w:val="48"/>
          <w:szCs w:val="48"/>
          <w:lang w:eastAsia="zh-CN"/>
        </w:rPr>
        <w:t>苏州昆运制版有限公司</w:t>
      </w:r>
    </w:p>
    <w:p w14:paraId="1621C507">
      <w:pPr>
        <w:spacing w:before="240" w:beforeLines="100" w:line="800" w:lineRule="exact"/>
        <w:ind w:firstLine="0" w:firstLineChars="0"/>
        <w:jc w:val="center"/>
        <w:rPr>
          <w:rFonts w:hint="eastAsia" w:eastAsia="仿宋_GB2312" w:cs="Times New Roman"/>
          <w:b/>
          <w:color w:val="auto"/>
          <w:w w:val="99"/>
          <w:sz w:val="48"/>
          <w:szCs w:val="48"/>
          <w:lang w:eastAsia="zh-CN"/>
        </w:rPr>
      </w:pPr>
      <w:r>
        <w:rPr>
          <w:rFonts w:hint="eastAsia" w:cs="Times New Roman"/>
          <w:b/>
          <w:color w:val="auto"/>
          <w:w w:val="99"/>
          <w:sz w:val="44"/>
          <w:szCs w:val="44"/>
          <w:lang w:eastAsia="zh-CN"/>
        </w:rPr>
        <w:t>绿色智能化制版项目</w:t>
      </w:r>
    </w:p>
    <w:bookmarkEnd w:id="5"/>
    <w:bookmarkEnd w:id="7"/>
    <w:p w14:paraId="289055D1">
      <w:pPr>
        <w:spacing w:before="240" w:beforeLines="100" w:line="800" w:lineRule="exact"/>
        <w:ind w:firstLine="0" w:firstLineChars="0"/>
        <w:jc w:val="center"/>
        <w:rPr>
          <w:b/>
          <w:color w:val="auto"/>
          <w:w w:val="99"/>
          <w:sz w:val="48"/>
          <w:szCs w:val="48"/>
        </w:rPr>
      </w:pPr>
      <w:r>
        <w:rPr>
          <w:b/>
          <w:color w:val="auto"/>
          <w:w w:val="99"/>
          <w:sz w:val="48"/>
          <w:szCs w:val="48"/>
        </w:rPr>
        <w:t>环境影响报告书</w:t>
      </w:r>
      <w:bookmarkEnd w:id="6"/>
    </w:p>
    <w:bookmarkEnd w:id="8"/>
    <w:p w14:paraId="4438F636">
      <w:pPr>
        <w:spacing w:before="240" w:beforeLines="100"/>
        <w:ind w:firstLine="0" w:firstLineChars="0"/>
        <w:jc w:val="center"/>
        <w:rPr>
          <w:b/>
          <w:color w:val="auto"/>
          <w:w w:val="99"/>
          <w:sz w:val="44"/>
          <w:szCs w:val="44"/>
        </w:rPr>
      </w:pPr>
      <w:r>
        <w:rPr>
          <w:b/>
          <w:color w:val="auto"/>
          <w:w w:val="99"/>
          <w:sz w:val="44"/>
          <w:szCs w:val="44"/>
        </w:rPr>
        <w:t>（</w:t>
      </w:r>
      <w:r>
        <w:rPr>
          <w:rFonts w:hint="eastAsia"/>
          <w:b/>
          <w:color w:val="auto"/>
          <w:w w:val="99"/>
          <w:sz w:val="44"/>
          <w:szCs w:val="44"/>
          <w:lang w:val="en-US" w:eastAsia="zh-CN"/>
        </w:rPr>
        <w:t>征求意见</w:t>
      </w:r>
      <w:r>
        <w:rPr>
          <w:b/>
          <w:color w:val="auto"/>
          <w:w w:val="99"/>
          <w:sz w:val="44"/>
          <w:szCs w:val="44"/>
        </w:rPr>
        <w:t>稿）</w:t>
      </w:r>
    </w:p>
    <w:p w14:paraId="584A53CD">
      <w:pPr>
        <w:spacing w:line="800" w:lineRule="exact"/>
        <w:ind w:firstLine="0" w:firstLineChars="0"/>
        <w:jc w:val="center"/>
        <w:rPr>
          <w:rFonts w:cs="Times New Roman"/>
          <w:bCs/>
          <w:color w:val="auto"/>
          <w:sz w:val="44"/>
          <w:szCs w:val="44"/>
        </w:rPr>
      </w:pPr>
    </w:p>
    <w:p w14:paraId="367DC5AD">
      <w:pPr>
        <w:spacing w:line="800" w:lineRule="exact"/>
        <w:ind w:firstLine="0" w:firstLineChars="0"/>
        <w:jc w:val="center"/>
        <w:rPr>
          <w:rFonts w:cs="Times New Roman"/>
          <w:bCs/>
          <w:color w:val="auto"/>
          <w:sz w:val="44"/>
          <w:szCs w:val="44"/>
        </w:rPr>
      </w:pPr>
    </w:p>
    <w:p w14:paraId="12154E66">
      <w:pPr>
        <w:spacing w:line="800" w:lineRule="exact"/>
        <w:ind w:firstLine="0" w:firstLineChars="0"/>
        <w:jc w:val="center"/>
        <w:rPr>
          <w:rFonts w:cs="Times New Roman"/>
          <w:bCs/>
          <w:color w:val="auto"/>
          <w:sz w:val="44"/>
          <w:szCs w:val="44"/>
        </w:rPr>
      </w:pPr>
    </w:p>
    <w:p w14:paraId="41B7EA04">
      <w:pPr>
        <w:spacing w:line="800" w:lineRule="exact"/>
        <w:ind w:firstLine="0" w:firstLineChars="0"/>
        <w:jc w:val="center"/>
        <w:rPr>
          <w:rFonts w:cs="Times New Roman"/>
          <w:bCs/>
          <w:color w:val="auto"/>
          <w:sz w:val="44"/>
          <w:szCs w:val="44"/>
        </w:rPr>
      </w:pPr>
    </w:p>
    <w:p w14:paraId="39AF03D5">
      <w:pPr>
        <w:spacing w:line="800" w:lineRule="exact"/>
        <w:ind w:firstLine="0" w:firstLineChars="0"/>
        <w:jc w:val="center"/>
        <w:rPr>
          <w:rFonts w:cs="Times New Roman"/>
          <w:bCs/>
          <w:color w:val="auto"/>
          <w:sz w:val="44"/>
          <w:szCs w:val="44"/>
        </w:rPr>
      </w:pPr>
    </w:p>
    <w:p w14:paraId="3C880B9F">
      <w:pPr>
        <w:spacing w:line="800" w:lineRule="exact"/>
        <w:ind w:firstLine="0" w:firstLineChars="0"/>
        <w:jc w:val="center"/>
        <w:rPr>
          <w:rFonts w:cs="Times New Roman"/>
          <w:bCs/>
          <w:color w:val="auto"/>
          <w:sz w:val="44"/>
          <w:szCs w:val="44"/>
        </w:rPr>
      </w:pPr>
    </w:p>
    <w:p w14:paraId="4A3298E5">
      <w:pPr>
        <w:spacing w:line="560" w:lineRule="exact"/>
        <w:ind w:firstLine="0" w:firstLineChars="0"/>
        <w:jc w:val="center"/>
        <w:rPr>
          <w:rFonts w:hint="eastAsia" w:eastAsia="仿宋_GB2312"/>
          <w:b/>
          <w:color w:val="auto"/>
          <w:sz w:val="30"/>
          <w:szCs w:val="30"/>
          <w:lang w:eastAsia="zh-CN"/>
        </w:rPr>
      </w:pPr>
      <w:r>
        <w:rPr>
          <w:b/>
          <w:color w:val="auto"/>
          <w:sz w:val="30"/>
          <w:szCs w:val="30"/>
        </w:rPr>
        <w:t>建设单位：</w:t>
      </w:r>
      <w:r>
        <w:rPr>
          <w:rFonts w:hint="eastAsia"/>
          <w:b/>
          <w:color w:val="auto"/>
          <w:sz w:val="30"/>
          <w:szCs w:val="30"/>
          <w:lang w:eastAsia="zh-CN"/>
        </w:rPr>
        <w:t>苏州昆运制版有限公司</w:t>
      </w:r>
    </w:p>
    <w:p w14:paraId="122063A2">
      <w:pPr>
        <w:spacing w:line="560" w:lineRule="exact"/>
        <w:ind w:firstLine="602"/>
        <w:rPr>
          <w:rFonts w:hint="eastAsia" w:eastAsia="仿宋_GB2312"/>
          <w:b/>
          <w:color w:val="auto"/>
          <w:sz w:val="30"/>
          <w:szCs w:val="30"/>
          <w:lang w:eastAsia="zh-CN"/>
        </w:rPr>
      </w:pPr>
      <w:r>
        <w:rPr>
          <w:b/>
          <w:color w:val="auto"/>
          <w:sz w:val="30"/>
          <w:szCs w:val="30"/>
        </w:rPr>
        <w:t>评价单位：</w:t>
      </w:r>
      <w:r>
        <w:rPr>
          <w:rFonts w:hint="eastAsia"/>
          <w:b/>
          <w:color w:val="auto"/>
          <w:sz w:val="30"/>
          <w:szCs w:val="30"/>
          <w:lang w:eastAsia="zh-CN"/>
        </w:rPr>
        <w:t>南京大学环境规划设计研究院集团股份公司</w:t>
      </w:r>
    </w:p>
    <w:p w14:paraId="7F9AFA8A">
      <w:pPr>
        <w:spacing w:before="120" w:beforeLines="50" w:after="120" w:afterLines="50"/>
        <w:ind w:firstLine="0" w:firstLineChars="0"/>
        <w:jc w:val="center"/>
        <w:rPr>
          <w:rFonts w:ascii="华文新魏" w:eastAsia="华文新魏" w:cs="Times New Roman"/>
          <w:color w:val="auto"/>
          <w:kern w:val="0"/>
          <w:sz w:val="30"/>
          <w:szCs w:val="30"/>
        </w:rPr>
      </w:pPr>
      <w:r>
        <w:rPr>
          <w:b/>
          <w:color w:val="auto"/>
          <w:sz w:val="30"/>
          <w:szCs w:val="30"/>
        </w:rPr>
        <w:t>二</w:t>
      </w:r>
      <w:r>
        <w:rPr>
          <w:rFonts w:eastAsia="微软雅黑"/>
          <w:b/>
          <w:color w:val="auto"/>
          <w:sz w:val="30"/>
          <w:szCs w:val="30"/>
        </w:rPr>
        <w:t>〇</w:t>
      </w:r>
      <w:r>
        <w:rPr>
          <w:b/>
          <w:color w:val="auto"/>
          <w:sz w:val="30"/>
          <w:szCs w:val="30"/>
        </w:rPr>
        <w:t>二</w:t>
      </w:r>
      <w:r>
        <w:rPr>
          <w:rFonts w:hint="eastAsia"/>
          <w:b/>
          <w:color w:val="auto"/>
          <w:sz w:val="30"/>
          <w:szCs w:val="30"/>
          <w:lang w:val="en-US" w:eastAsia="zh-CN"/>
        </w:rPr>
        <w:t>六</w:t>
      </w:r>
      <w:r>
        <w:rPr>
          <w:b/>
          <w:color w:val="auto"/>
          <w:sz w:val="30"/>
          <w:szCs w:val="30"/>
        </w:rPr>
        <w:t>年</w:t>
      </w:r>
      <w:r>
        <w:rPr>
          <w:rFonts w:hint="eastAsia"/>
          <w:b/>
          <w:color w:val="auto"/>
          <w:sz w:val="30"/>
          <w:szCs w:val="30"/>
          <w:lang w:val="en-US" w:eastAsia="zh-CN"/>
        </w:rPr>
        <w:t>六</w:t>
      </w:r>
      <w:r>
        <w:rPr>
          <w:b/>
          <w:color w:val="auto"/>
          <w:sz w:val="30"/>
          <w:szCs w:val="30"/>
        </w:rPr>
        <w:t>月</w:t>
      </w:r>
    </w:p>
    <w:p w14:paraId="1827EC75">
      <w:pPr>
        <w:ind w:left="0" w:leftChars="0" w:firstLine="0" w:firstLineChars="0"/>
        <w:rPr>
          <w:color w:val="auto"/>
        </w:rPr>
        <w:sectPr>
          <w:headerReference r:id="rId5"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titlePg/>
          <w:docGrid w:type="lines" w:linePitch="312" w:charSpace="0"/>
        </w:sectPr>
      </w:pPr>
    </w:p>
    <w:sdt>
      <w:sdtPr>
        <w:rPr>
          <w:color w:val="auto"/>
          <w:lang w:val="zh-CN"/>
        </w:rPr>
        <w:id w:val="-1"/>
        <w:docPartObj>
          <w:docPartGallery w:val="Table of Contents"/>
          <w:docPartUnique/>
        </w:docPartObj>
      </w:sdtPr>
      <w:sdtEndPr>
        <w:rPr>
          <w:color w:val="auto"/>
          <w:lang w:val="zh-CN"/>
        </w:rPr>
      </w:sdtEndPr>
      <w:sdtContent>
        <w:p w14:paraId="4EA6FB2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Style w:val="47"/>
              <w:color w:val="auto"/>
            </w:rPr>
          </w:pPr>
          <w:r>
            <w:rPr>
              <w:rStyle w:val="47"/>
              <w:rFonts w:hint="eastAsia"/>
              <w:color w:val="auto"/>
            </w:rPr>
            <w:t>目录</w:t>
          </w:r>
        </w:p>
        <w:p w14:paraId="37DD1329">
          <w:pPr>
            <w:pStyle w:val="16"/>
            <w:tabs>
              <w:tab w:val="right" w:leader="dot" w:pos="8306"/>
            </w:tabs>
          </w:pPr>
          <w:r>
            <w:rPr>
              <w:rFonts w:cs="Times New Roman"/>
              <w:color w:val="auto"/>
            </w:rPr>
            <w:fldChar w:fldCharType="begin"/>
          </w:r>
          <w:r>
            <w:rPr>
              <w:rFonts w:cs="Times New Roman"/>
              <w:color w:val="auto"/>
            </w:rPr>
            <w:instrText xml:space="preserve"> TOC \o "1-3" \h \z \u </w:instrText>
          </w:r>
          <w:r>
            <w:rPr>
              <w:rFonts w:cs="Times New Roman"/>
              <w:color w:val="auto"/>
            </w:rPr>
            <w:fldChar w:fldCharType="separate"/>
          </w:r>
          <w:r>
            <w:rPr>
              <w:rFonts w:cs="Times New Roman"/>
              <w:color w:val="auto"/>
            </w:rPr>
            <w:fldChar w:fldCharType="begin"/>
          </w:r>
          <w:r>
            <w:rPr>
              <w:rFonts w:cs="Times New Roman"/>
            </w:rPr>
            <w:instrText xml:space="preserve"> HYPERLINK \l _Toc27867 </w:instrText>
          </w:r>
          <w:r>
            <w:rPr>
              <w:rFonts w:cs="Times New Roman"/>
            </w:rPr>
            <w:fldChar w:fldCharType="separate"/>
          </w:r>
          <w:r>
            <w:rPr>
              <w:rFonts w:hint="eastAsia"/>
              <w:i w:val="0"/>
              <w:szCs w:val="30"/>
            </w:rPr>
            <w:t xml:space="preserve">1 </w:t>
          </w:r>
          <w:r>
            <w:rPr>
              <w:rFonts w:hint="eastAsia"/>
            </w:rPr>
            <w:t>前言</w:t>
          </w:r>
          <w:r>
            <w:tab/>
          </w:r>
          <w:r>
            <w:fldChar w:fldCharType="begin"/>
          </w:r>
          <w:r>
            <w:instrText xml:space="preserve"> PAGEREF _Toc27867 \h </w:instrText>
          </w:r>
          <w:r>
            <w:fldChar w:fldCharType="separate"/>
          </w:r>
          <w:r>
            <w:t>11</w:t>
          </w:r>
          <w:r>
            <w:fldChar w:fldCharType="end"/>
          </w:r>
          <w:r>
            <w:rPr>
              <w:rFonts w:cs="Times New Roman"/>
              <w:color w:val="auto"/>
            </w:rPr>
            <w:fldChar w:fldCharType="end"/>
          </w:r>
        </w:p>
        <w:p w14:paraId="52F153EB">
          <w:pPr>
            <w:pStyle w:val="18"/>
            <w:tabs>
              <w:tab w:val="right" w:leader="dot" w:pos="8306"/>
            </w:tabs>
          </w:pPr>
          <w:r>
            <w:rPr>
              <w:color w:val="auto"/>
              <w:lang w:val="zh-CN"/>
            </w:rPr>
            <w:fldChar w:fldCharType="begin"/>
          </w:r>
          <w:r>
            <w:rPr>
              <w:lang w:val="zh-CN"/>
            </w:rPr>
            <w:instrText xml:space="preserve"> HYPERLINK \l _Toc9341 </w:instrText>
          </w:r>
          <w:r>
            <w:rPr>
              <w:lang w:val="zh-CN"/>
            </w:rPr>
            <w:fldChar w:fldCharType="separate"/>
          </w:r>
          <w:r>
            <w:rPr>
              <w:rFonts w:hint="default" w:ascii="Times New Roman" w:hAnsi="Times New Roman"/>
              <w:i w:val="0"/>
            </w:rPr>
            <w:t xml:space="preserve">1.1 </w:t>
          </w:r>
          <w:r>
            <w:rPr>
              <w:rFonts w:hint="eastAsia"/>
            </w:rPr>
            <w:t>项目由来</w:t>
          </w:r>
          <w:r>
            <w:tab/>
          </w:r>
          <w:r>
            <w:fldChar w:fldCharType="begin"/>
          </w:r>
          <w:r>
            <w:instrText xml:space="preserve"> PAGEREF _Toc9341 \h </w:instrText>
          </w:r>
          <w:r>
            <w:fldChar w:fldCharType="separate"/>
          </w:r>
          <w:r>
            <w:t>11</w:t>
          </w:r>
          <w:r>
            <w:fldChar w:fldCharType="end"/>
          </w:r>
          <w:r>
            <w:rPr>
              <w:color w:val="auto"/>
              <w:lang w:val="zh-CN"/>
            </w:rPr>
            <w:fldChar w:fldCharType="end"/>
          </w:r>
        </w:p>
        <w:p w14:paraId="6B089776">
          <w:pPr>
            <w:pStyle w:val="18"/>
            <w:tabs>
              <w:tab w:val="right" w:leader="dot" w:pos="8306"/>
            </w:tabs>
          </w:pPr>
          <w:r>
            <w:rPr>
              <w:color w:val="auto"/>
              <w:lang w:val="zh-CN"/>
            </w:rPr>
            <w:fldChar w:fldCharType="begin"/>
          </w:r>
          <w:r>
            <w:rPr>
              <w:lang w:val="zh-CN"/>
            </w:rPr>
            <w:instrText xml:space="preserve"> HYPERLINK \l _Toc6890 </w:instrText>
          </w:r>
          <w:r>
            <w:rPr>
              <w:lang w:val="zh-CN"/>
            </w:rPr>
            <w:fldChar w:fldCharType="separate"/>
          </w:r>
          <w:r>
            <w:rPr>
              <w:rFonts w:hint="eastAsia"/>
              <w:i w:val="0"/>
            </w:rPr>
            <w:t xml:space="preserve">1.2 </w:t>
          </w:r>
          <w:r>
            <w:rPr>
              <w:rFonts w:hint="eastAsia"/>
            </w:rPr>
            <w:t>项目特点</w:t>
          </w:r>
          <w:r>
            <w:tab/>
          </w:r>
          <w:r>
            <w:fldChar w:fldCharType="begin"/>
          </w:r>
          <w:r>
            <w:instrText xml:space="preserve"> PAGEREF _Toc6890 \h </w:instrText>
          </w:r>
          <w:r>
            <w:fldChar w:fldCharType="separate"/>
          </w:r>
          <w:r>
            <w:t>12</w:t>
          </w:r>
          <w:r>
            <w:fldChar w:fldCharType="end"/>
          </w:r>
          <w:r>
            <w:rPr>
              <w:color w:val="auto"/>
              <w:lang w:val="zh-CN"/>
            </w:rPr>
            <w:fldChar w:fldCharType="end"/>
          </w:r>
        </w:p>
        <w:p w14:paraId="6E0678B3">
          <w:pPr>
            <w:pStyle w:val="18"/>
            <w:tabs>
              <w:tab w:val="right" w:leader="dot" w:pos="8306"/>
            </w:tabs>
          </w:pPr>
          <w:r>
            <w:rPr>
              <w:color w:val="auto"/>
              <w:lang w:val="zh-CN"/>
            </w:rPr>
            <w:fldChar w:fldCharType="begin"/>
          </w:r>
          <w:r>
            <w:rPr>
              <w:lang w:val="zh-CN"/>
            </w:rPr>
            <w:instrText xml:space="preserve"> HYPERLINK \l _Toc8155 </w:instrText>
          </w:r>
          <w:r>
            <w:rPr>
              <w:lang w:val="zh-CN"/>
            </w:rPr>
            <w:fldChar w:fldCharType="separate"/>
          </w:r>
          <w:r>
            <w:rPr>
              <w:rFonts w:hint="eastAsia"/>
              <w:i w:val="0"/>
            </w:rPr>
            <w:t xml:space="preserve">1.3 </w:t>
          </w:r>
          <w:r>
            <w:rPr>
              <w:rFonts w:hint="eastAsia"/>
            </w:rPr>
            <w:t>环境影响评价过程</w:t>
          </w:r>
          <w:r>
            <w:tab/>
          </w:r>
          <w:r>
            <w:fldChar w:fldCharType="begin"/>
          </w:r>
          <w:r>
            <w:instrText xml:space="preserve"> PAGEREF _Toc8155 \h </w:instrText>
          </w:r>
          <w:r>
            <w:fldChar w:fldCharType="separate"/>
          </w:r>
          <w:r>
            <w:t>13</w:t>
          </w:r>
          <w:r>
            <w:fldChar w:fldCharType="end"/>
          </w:r>
          <w:r>
            <w:rPr>
              <w:color w:val="auto"/>
              <w:lang w:val="zh-CN"/>
            </w:rPr>
            <w:fldChar w:fldCharType="end"/>
          </w:r>
        </w:p>
        <w:p w14:paraId="08A2A355">
          <w:pPr>
            <w:pStyle w:val="18"/>
            <w:tabs>
              <w:tab w:val="right" w:leader="dot" w:pos="8306"/>
            </w:tabs>
          </w:pPr>
          <w:r>
            <w:rPr>
              <w:color w:val="auto"/>
              <w:lang w:val="zh-CN"/>
            </w:rPr>
            <w:fldChar w:fldCharType="begin"/>
          </w:r>
          <w:r>
            <w:rPr>
              <w:lang w:val="zh-CN"/>
            </w:rPr>
            <w:instrText xml:space="preserve"> HYPERLINK \l _Toc22475 </w:instrText>
          </w:r>
          <w:r>
            <w:rPr>
              <w:lang w:val="zh-CN"/>
            </w:rPr>
            <w:fldChar w:fldCharType="separate"/>
          </w:r>
          <w:r>
            <w:rPr>
              <w:rFonts w:hint="eastAsia"/>
              <w:i w:val="0"/>
            </w:rPr>
            <w:t xml:space="preserve">1.4 </w:t>
          </w:r>
          <w:r>
            <w:rPr>
              <w:rFonts w:hint="eastAsia"/>
            </w:rPr>
            <w:t>分析判定相关情况</w:t>
          </w:r>
          <w:r>
            <w:tab/>
          </w:r>
          <w:r>
            <w:fldChar w:fldCharType="begin"/>
          </w:r>
          <w:r>
            <w:instrText xml:space="preserve"> PAGEREF _Toc22475 \h </w:instrText>
          </w:r>
          <w:r>
            <w:fldChar w:fldCharType="separate"/>
          </w:r>
          <w:r>
            <w:t>15</w:t>
          </w:r>
          <w:r>
            <w:fldChar w:fldCharType="end"/>
          </w:r>
          <w:r>
            <w:rPr>
              <w:color w:val="auto"/>
              <w:lang w:val="zh-CN"/>
            </w:rPr>
            <w:fldChar w:fldCharType="end"/>
          </w:r>
        </w:p>
        <w:p w14:paraId="2DD4EECB">
          <w:pPr>
            <w:pStyle w:val="13"/>
            <w:tabs>
              <w:tab w:val="right" w:leader="dot" w:pos="8306"/>
              <w:tab w:val="clear" w:pos="8296"/>
            </w:tabs>
          </w:pPr>
          <w:r>
            <w:rPr>
              <w:color w:val="auto"/>
              <w:lang w:val="zh-CN"/>
            </w:rPr>
            <w:fldChar w:fldCharType="begin"/>
          </w:r>
          <w:r>
            <w:rPr>
              <w:lang w:val="zh-CN"/>
            </w:rPr>
            <w:instrText xml:space="preserve"> HYPERLINK \l _Toc7518 </w:instrText>
          </w:r>
          <w:r>
            <w:rPr>
              <w:lang w:val="zh-CN"/>
            </w:rPr>
            <w:fldChar w:fldCharType="separate"/>
          </w:r>
          <w:r>
            <w:rPr>
              <w:rFonts w:hint="eastAsia"/>
              <w:i w:val="0"/>
            </w:rPr>
            <w:t xml:space="preserve">1.4.1 </w:t>
          </w:r>
          <w:r>
            <w:rPr>
              <w:rFonts w:hint="eastAsia"/>
            </w:rPr>
            <w:t>产业政策相符性分析</w:t>
          </w:r>
          <w:r>
            <w:tab/>
          </w:r>
          <w:r>
            <w:fldChar w:fldCharType="begin"/>
          </w:r>
          <w:r>
            <w:instrText xml:space="preserve"> PAGEREF _Toc7518 \h </w:instrText>
          </w:r>
          <w:r>
            <w:fldChar w:fldCharType="separate"/>
          </w:r>
          <w:r>
            <w:t>15</w:t>
          </w:r>
          <w:r>
            <w:fldChar w:fldCharType="end"/>
          </w:r>
          <w:r>
            <w:rPr>
              <w:color w:val="auto"/>
              <w:lang w:val="zh-CN"/>
            </w:rPr>
            <w:fldChar w:fldCharType="end"/>
          </w:r>
        </w:p>
        <w:p w14:paraId="272D626F">
          <w:pPr>
            <w:pStyle w:val="13"/>
            <w:tabs>
              <w:tab w:val="right" w:leader="dot" w:pos="8306"/>
              <w:tab w:val="clear" w:pos="8296"/>
            </w:tabs>
          </w:pPr>
          <w:r>
            <w:rPr>
              <w:color w:val="auto"/>
              <w:lang w:val="zh-CN"/>
            </w:rPr>
            <w:fldChar w:fldCharType="begin"/>
          </w:r>
          <w:r>
            <w:rPr>
              <w:lang w:val="zh-CN"/>
            </w:rPr>
            <w:instrText xml:space="preserve"> HYPERLINK \l _Toc32623 </w:instrText>
          </w:r>
          <w:r>
            <w:rPr>
              <w:lang w:val="zh-CN"/>
            </w:rPr>
            <w:fldChar w:fldCharType="separate"/>
          </w:r>
          <w:r>
            <w:rPr>
              <w:rFonts w:hint="eastAsia"/>
              <w:i w:val="0"/>
            </w:rPr>
            <w:t xml:space="preserve">1.4.2 </w:t>
          </w:r>
          <w:r>
            <w:rPr>
              <w:rFonts w:hint="eastAsia"/>
            </w:rPr>
            <w:t>生态环境分</w:t>
          </w:r>
          <w:r>
            <w:rPr>
              <w:rFonts w:hint="eastAsia"/>
              <w:lang w:val="en-US" w:eastAsia="zh-CN"/>
            </w:rPr>
            <w:t>区管控要求</w:t>
          </w:r>
          <w:r>
            <w:rPr>
              <w:rFonts w:hint="eastAsia"/>
            </w:rPr>
            <w:t>对照分析</w:t>
          </w:r>
          <w:r>
            <w:tab/>
          </w:r>
          <w:r>
            <w:fldChar w:fldCharType="begin"/>
          </w:r>
          <w:r>
            <w:instrText xml:space="preserve"> PAGEREF _Toc32623 \h </w:instrText>
          </w:r>
          <w:r>
            <w:fldChar w:fldCharType="separate"/>
          </w:r>
          <w:r>
            <w:t>16</w:t>
          </w:r>
          <w:r>
            <w:fldChar w:fldCharType="end"/>
          </w:r>
          <w:r>
            <w:rPr>
              <w:color w:val="auto"/>
              <w:lang w:val="zh-CN"/>
            </w:rPr>
            <w:fldChar w:fldCharType="end"/>
          </w:r>
        </w:p>
        <w:p w14:paraId="1B83AF1B">
          <w:pPr>
            <w:pStyle w:val="13"/>
            <w:tabs>
              <w:tab w:val="right" w:leader="dot" w:pos="8306"/>
              <w:tab w:val="clear" w:pos="8296"/>
            </w:tabs>
          </w:pPr>
          <w:r>
            <w:rPr>
              <w:color w:val="auto"/>
              <w:lang w:val="zh-CN"/>
            </w:rPr>
            <w:fldChar w:fldCharType="begin"/>
          </w:r>
          <w:r>
            <w:rPr>
              <w:lang w:val="zh-CN"/>
            </w:rPr>
            <w:instrText xml:space="preserve"> HYPERLINK \l _Toc4111 </w:instrText>
          </w:r>
          <w:r>
            <w:rPr>
              <w:lang w:val="zh-CN"/>
            </w:rPr>
            <w:fldChar w:fldCharType="separate"/>
          </w:r>
          <w:r>
            <w:rPr>
              <w:rFonts w:hint="eastAsia"/>
              <w:i w:val="0"/>
            </w:rPr>
            <w:t xml:space="preserve">1.4.3 </w:t>
          </w:r>
          <w:r>
            <w:rPr>
              <w:rFonts w:hint="eastAsia"/>
            </w:rPr>
            <w:t>环保政策相符性分析</w:t>
          </w:r>
          <w:r>
            <w:tab/>
          </w:r>
          <w:r>
            <w:fldChar w:fldCharType="begin"/>
          </w:r>
          <w:r>
            <w:instrText xml:space="preserve"> PAGEREF _Toc4111 \h </w:instrText>
          </w:r>
          <w:r>
            <w:fldChar w:fldCharType="separate"/>
          </w:r>
          <w:r>
            <w:t>29</w:t>
          </w:r>
          <w:r>
            <w:fldChar w:fldCharType="end"/>
          </w:r>
          <w:r>
            <w:rPr>
              <w:color w:val="auto"/>
              <w:lang w:val="zh-CN"/>
            </w:rPr>
            <w:fldChar w:fldCharType="end"/>
          </w:r>
        </w:p>
        <w:p w14:paraId="660D5C07">
          <w:pPr>
            <w:pStyle w:val="18"/>
            <w:tabs>
              <w:tab w:val="right" w:leader="dot" w:pos="8306"/>
            </w:tabs>
          </w:pPr>
          <w:r>
            <w:rPr>
              <w:color w:val="auto"/>
              <w:lang w:val="zh-CN"/>
            </w:rPr>
            <w:fldChar w:fldCharType="begin"/>
          </w:r>
          <w:r>
            <w:rPr>
              <w:lang w:val="zh-CN"/>
            </w:rPr>
            <w:instrText xml:space="preserve"> HYPERLINK \l _Toc3112 </w:instrText>
          </w:r>
          <w:r>
            <w:rPr>
              <w:lang w:val="zh-CN"/>
            </w:rPr>
            <w:fldChar w:fldCharType="separate"/>
          </w:r>
          <w:r>
            <w:rPr>
              <w:rFonts w:hint="eastAsia"/>
              <w:i w:val="0"/>
            </w:rPr>
            <w:t xml:space="preserve">1.5 </w:t>
          </w:r>
          <w:r>
            <w:rPr>
              <w:rFonts w:hint="eastAsia"/>
            </w:rPr>
            <w:t>初筛情况判定</w:t>
          </w:r>
          <w:r>
            <w:tab/>
          </w:r>
          <w:r>
            <w:fldChar w:fldCharType="begin"/>
          </w:r>
          <w:r>
            <w:instrText xml:space="preserve"> PAGEREF _Toc3112 \h </w:instrText>
          </w:r>
          <w:r>
            <w:fldChar w:fldCharType="separate"/>
          </w:r>
          <w:r>
            <w:t>45</w:t>
          </w:r>
          <w:r>
            <w:fldChar w:fldCharType="end"/>
          </w:r>
          <w:r>
            <w:rPr>
              <w:color w:val="auto"/>
              <w:lang w:val="zh-CN"/>
            </w:rPr>
            <w:fldChar w:fldCharType="end"/>
          </w:r>
        </w:p>
        <w:p w14:paraId="297BF416">
          <w:pPr>
            <w:pStyle w:val="18"/>
            <w:tabs>
              <w:tab w:val="right" w:leader="dot" w:pos="8306"/>
            </w:tabs>
          </w:pPr>
          <w:r>
            <w:rPr>
              <w:color w:val="auto"/>
              <w:lang w:val="zh-CN"/>
            </w:rPr>
            <w:fldChar w:fldCharType="begin"/>
          </w:r>
          <w:r>
            <w:rPr>
              <w:lang w:val="zh-CN"/>
            </w:rPr>
            <w:instrText xml:space="preserve"> HYPERLINK \l _Toc22174 </w:instrText>
          </w:r>
          <w:r>
            <w:rPr>
              <w:lang w:val="zh-CN"/>
            </w:rPr>
            <w:fldChar w:fldCharType="separate"/>
          </w:r>
          <w:r>
            <w:rPr>
              <w:rFonts w:hint="eastAsia"/>
              <w:i w:val="0"/>
            </w:rPr>
            <w:t xml:space="preserve">1.6 </w:t>
          </w:r>
          <w:r>
            <w:rPr>
              <w:rFonts w:hint="eastAsia"/>
              <w:lang w:val="en-US" w:eastAsia="zh-CN"/>
            </w:rPr>
            <w:t>关注的</w:t>
          </w:r>
          <w:r>
            <w:rPr>
              <w:rFonts w:hint="eastAsia"/>
            </w:rPr>
            <w:t>主要环境问题</w:t>
          </w:r>
          <w:r>
            <w:tab/>
          </w:r>
          <w:r>
            <w:fldChar w:fldCharType="begin"/>
          </w:r>
          <w:r>
            <w:instrText xml:space="preserve"> PAGEREF _Toc22174 \h </w:instrText>
          </w:r>
          <w:r>
            <w:fldChar w:fldCharType="separate"/>
          </w:r>
          <w:r>
            <w:t>46</w:t>
          </w:r>
          <w:r>
            <w:fldChar w:fldCharType="end"/>
          </w:r>
          <w:r>
            <w:rPr>
              <w:color w:val="auto"/>
              <w:lang w:val="zh-CN"/>
            </w:rPr>
            <w:fldChar w:fldCharType="end"/>
          </w:r>
        </w:p>
        <w:p w14:paraId="0F71A7F3">
          <w:pPr>
            <w:pStyle w:val="18"/>
            <w:tabs>
              <w:tab w:val="right" w:leader="dot" w:pos="8306"/>
            </w:tabs>
          </w:pPr>
          <w:r>
            <w:rPr>
              <w:color w:val="auto"/>
              <w:lang w:val="zh-CN"/>
            </w:rPr>
            <w:fldChar w:fldCharType="begin"/>
          </w:r>
          <w:r>
            <w:rPr>
              <w:lang w:val="zh-CN"/>
            </w:rPr>
            <w:instrText xml:space="preserve"> HYPERLINK \l _Toc8426 </w:instrText>
          </w:r>
          <w:r>
            <w:rPr>
              <w:lang w:val="zh-CN"/>
            </w:rPr>
            <w:fldChar w:fldCharType="separate"/>
          </w:r>
          <w:r>
            <w:rPr>
              <w:rFonts w:hint="eastAsia"/>
              <w:i w:val="0"/>
            </w:rPr>
            <w:t xml:space="preserve">1.7 </w:t>
          </w:r>
          <w:r>
            <w:rPr>
              <w:rFonts w:hint="eastAsia"/>
            </w:rPr>
            <w:t>报告书的主要结论</w:t>
          </w:r>
          <w:r>
            <w:tab/>
          </w:r>
          <w:r>
            <w:fldChar w:fldCharType="begin"/>
          </w:r>
          <w:r>
            <w:instrText xml:space="preserve"> PAGEREF _Toc8426 \h </w:instrText>
          </w:r>
          <w:r>
            <w:fldChar w:fldCharType="separate"/>
          </w:r>
          <w:r>
            <w:t>46</w:t>
          </w:r>
          <w:r>
            <w:fldChar w:fldCharType="end"/>
          </w:r>
          <w:r>
            <w:rPr>
              <w:color w:val="auto"/>
              <w:lang w:val="zh-CN"/>
            </w:rPr>
            <w:fldChar w:fldCharType="end"/>
          </w:r>
        </w:p>
        <w:p w14:paraId="7815C4C2">
          <w:pPr>
            <w:pStyle w:val="16"/>
            <w:tabs>
              <w:tab w:val="right" w:leader="dot" w:pos="8306"/>
            </w:tabs>
          </w:pPr>
          <w:r>
            <w:rPr>
              <w:color w:val="auto"/>
              <w:lang w:val="zh-CN"/>
            </w:rPr>
            <w:fldChar w:fldCharType="begin"/>
          </w:r>
          <w:r>
            <w:rPr>
              <w:lang w:val="zh-CN"/>
            </w:rPr>
            <w:instrText xml:space="preserve"> HYPERLINK \l _Toc21294 </w:instrText>
          </w:r>
          <w:r>
            <w:rPr>
              <w:lang w:val="zh-CN"/>
            </w:rPr>
            <w:fldChar w:fldCharType="separate"/>
          </w:r>
          <w:r>
            <w:rPr>
              <w:rFonts w:hint="eastAsia"/>
              <w:i w:val="0"/>
              <w:szCs w:val="30"/>
            </w:rPr>
            <w:t xml:space="preserve">2 </w:t>
          </w:r>
          <w:r>
            <w:rPr>
              <w:rFonts w:hint="eastAsia"/>
            </w:rPr>
            <w:t>总则</w:t>
          </w:r>
          <w:r>
            <w:tab/>
          </w:r>
          <w:r>
            <w:fldChar w:fldCharType="begin"/>
          </w:r>
          <w:r>
            <w:instrText xml:space="preserve"> PAGEREF _Toc21294 \h </w:instrText>
          </w:r>
          <w:r>
            <w:fldChar w:fldCharType="separate"/>
          </w:r>
          <w:r>
            <w:t>47</w:t>
          </w:r>
          <w:r>
            <w:fldChar w:fldCharType="end"/>
          </w:r>
          <w:r>
            <w:rPr>
              <w:color w:val="auto"/>
              <w:lang w:val="zh-CN"/>
            </w:rPr>
            <w:fldChar w:fldCharType="end"/>
          </w:r>
        </w:p>
        <w:p w14:paraId="53335FED">
          <w:pPr>
            <w:pStyle w:val="18"/>
            <w:tabs>
              <w:tab w:val="right" w:leader="dot" w:pos="8306"/>
            </w:tabs>
          </w:pPr>
          <w:r>
            <w:rPr>
              <w:color w:val="auto"/>
              <w:lang w:val="zh-CN"/>
            </w:rPr>
            <w:fldChar w:fldCharType="begin"/>
          </w:r>
          <w:r>
            <w:rPr>
              <w:lang w:val="zh-CN"/>
            </w:rPr>
            <w:instrText xml:space="preserve"> HYPERLINK \l _Toc7774 </w:instrText>
          </w:r>
          <w:r>
            <w:rPr>
              <w:lang w:val="zh-CN"/>
            </w:rPr>
            <w:fldChar w:fldCharType="separate"/>
          </w:r>
          <w:r>
            <w:rPr>
              <w:rFonts w:hint="eastAsia"/>
              <w:i w:val="0"/>
            </w:rPr>
            <w:t xml:space="preserve">2.1 </w:t>
          </w:r>
          <w:r>
            <w:rPr>
              <w:rFonts w:hint="eastAsia"/>
            </w:rPr>
            <w:t>编制依据</w:t>
          </w:r>
          <w:r>
            <w:tab/>
          </w:r>
          <w:r>
            <w:fldChar w:fldCharType="begin"/>
          </w:r>
          <w:r>
            <w:instrText xml:space="preserve"> PAGEREF _Toc7774 \h </w:instrText>
          </w:r>
          <w:r>
            <w:fldChar w:fldCharType="separate"/>
          </w:r>
          <w:r>
            <w:t>47</w:t>
          </w:r>
          <w:r>
            <w:fldChar w:fldCharType="end"/>
          </w:r>
          <w:r>
            <w:rPr>
              <w:color w:val="auto"/>
              <w:lang w:val="zh-CN"/>
            </w:rPr>
            <w:fldChar w:fldCharType="end"/>
          </w:r>
        </w:p>
        <w:p w14:paraId="596F6EB8">
          <w:pPr>
            <w:pStyle w:val="13"/>
            <w:tabs>
              <w:tab w:val="right" w:leader="dot" w:pos="8306"/>
              <w:tab w:val="clear" w:pos="8296"/>
            </w:tabs>
          </w:pPr>
          <w:r>
            <w:rPr>
              <w:color w:val="auto"/>
              <w:lang w:val="zh-CN"/>
            </w:rPr>
            <w:fldChar w:fldCharType="begin"/>
          </w:r>
          <w:r>
            <w:rPr>
              <w:lang w:val="zh-CN"/>
            </w:rPr>
            <w:instrText xml:space="preserve"> HYPERLINK \l _Toc5769 </w:instrText>
          </w:r>
          <w:r>
            <w:rPr>
              <w:lang w:val="zh-CN"/>
            </w:rPr>
            <w:fldChar w:fldCharType="separate"/>
          </w:r>
          <w:r>
            <w:rPr>
              <w:rFonts w:hint="eastAsia"/>
              <w:i w:val="0"/>
            </w:rPr>
            <w:t xml:space="preserve">2.1.1 </w:t>
          </w:r>
          <w:r>
            <w:rPr>
              <w:rFonts w:hint="eastAsia"/>
            </w:rPr>
            <w:t>国家法律法规</w:t>
          </w:r>
          <w:r>
            <w:tab/>
          </w:r>
          <w:r>
            <w:fldChar w:fldCharType="begin"/>
          </w:r>
          <w:r>
            <w:instrText xml:space="preserve"> PAGEREF _Toc5769 \h </w:instrText>
          </w:r>
          <w:r>
            <w:fldChar w:fldCharType="separate"/>
          </w:r>
          <w:r>
            <w:t>47</w:t>
          </w:r>
          <w:r>
            <w:fldChar w:fldCharType="end"/>
          </w:r>
          <w:r>
            <w:rPr>
              <w:color w:val="auto"/>
              <w:lang w:val="zh-CN"/>
            </w:rPr>
            <w:fldChar w:fldCharType="end"/>
          </w:r>
        </w:p>
        <w:p w14:paraId="4B1EF282">
          <w:pPr>
            <w:pStyle w:val="13"/>
            <w:tabs>
              <w:tab w:val="right" w:leader="dot" w:pos="8306"/>
              <w:tab w:val="clear" w:pos="8296"/>
            </w:tabs>
          </w:pPr>
          <w:r>
            <w:rPr>
              <w:color w:val="auto"/>
              <w:lang w:val="zh-CN"/>
            </w:rPr>
            <w:fldChar w:fldCharType="begin"/>
          </w:r>
          <w:r>
            <w:rPr>
              <w:lang w:val="zh-CN"/>
            </w:rPr>
            <w:instrText xml:space="preserve"> HYPERLINK \l _Toc25027 </w:instrText>
          </w:r>
          <w:r>
            <w:rPr>
              <w:lang w:val="zh-CN"/>
            </w:rPr>
            <w:fldChar w:fldCharType="separate"/>
          </w:r>
          <w:r>
            <w:rPr>
              <w:rFonts w:hint="eastAsia"/>
              <w:i w:val="0"/>
              <w:lang w:val="en-US" w:eastAsia="zh-CN"/>
            </w:rPr>
            <w:t xml:space="preserve">2.1.2 </w:t>
          </w:r>
          <w:r>
            <w:rPr>
              <w:rFonts w:hint="eastAsia"/>
              <w:lang w:val="en-US" w:eastAsia="zh-CN"/>
            </w:rPr>
            <w:t>地方法规政策</w:t>
          </w:r>
          <w:r>
            <w:tab/>
          </w:r>
          <w:r>
            <w:fldChar w:fldCharType="begin"/>
          </w:r>
          <w:r>
            <w:instrText xml:space="preserve"> PAGEREF _Toc25027 \h </w:instrText>
          </w:r>
          <w:r>
            <w:fldChar w:fldCharType="separate"/>
          </w:r>
          <w:r>
            <w:t>50</w:t>
          </w:r>
          <w:r>
            <w:fldChar w:fldCharType="end"/>
          </w:r>
          <w:r>
            <w:rPr>
              <w:color w:val="auto"/>
              <w:lang w:val="zh-CN"/>
            </w:rPr>
            <w:fldChar w:fldCharType="end"/>
          </w:r>
        </w:p>
        <w:p w14:paraId="35F1720D">
          <w:pPr>
            <w:pStyle w:val="13"/>
            <w:tabs>
              <w:tab w:val="right" w:leader="dot" w:pos="8306"/>
              <w:tab w:val="clear" w:pos="8296"/>
            </w:tabs>
          </w:pPr>
          <w:r>
            <w:rPr>
              <w:color w:val="auto"/>
              <w:lang w:val="zh-CN"/>
            </w:rPr>
            <w:fldChar w:fldCharType="begin"/>
          </w:r>
          <w:r>
            <w:rPr>
              <w:lang w:val="zh-CN"/>
            </w:rPr>
            <w:instrText xml:space="preserve"> HYPERLINK \l _Toc25101 </w:instrText>
          </w:r>
          <w:r>
            <w:rPr>
              <w:lang w:val="zh-CN"/>
            </w:rPr>
            <w:fldChar w:fldCharType="separate"/>
          </w:r>
          <w:r>
            <w:rPr>
              <w:rFonts w:hint="eastAsia"/>
              <w:i w:val="0"/>
            </w:rPr>
            <w:t xml:space="preserve">2.1.3 </w:t>
          </w:r>
          <w:r>
            <w:rPr>
              <w:rFonts w:hint="eastAsia"/>
            </w:rPr>
            <w:t>项目所在地相关规划及</w:t>
          </w:r>
          <w:r>
            <w:rPr>
              <w:rFonts w:hint="eastAsia"/>
              <w:lang w:val="en-US" w:eastAsia="zh-CN"/>
            </w:rPr>
            <w:t>资料</w:t>
          </w:r>
          <w:r>
            <w:tab/>
          </w:r>
          <w:r>
            <w:fldChar w:fldCharType="begin"/>
          </w:r>
          <w:r>
            <w:instrText xml:space="preserve"> PAGEREF _Toc25101 \h </w:instrText>
          </w:r>
          <w:r>
            <w:fldChar w:fldCharType="separate"/>
          </w:r>
          <w:r>
            <w:t>53</w:t>
          </w:r>
          <w:r>
            <w:fldChar w:fldCharType="end"/>
          </w:r>
          <w:r>
            <w:rPr>
              <w:color w:val="auto"/>
              <w:lang w:val="zh-CN"/>
            </w:rPr>
            <w:fldChar w:fldCharType="end"/>
          </w:r>
        </w:p>
        <w:p w14:paraId="26EC0FF1">
          <w:pPr>
            <w:pStyle w:val="13"/>
            <w:tabs>
              <w:tab w:val="right" w:leader="dot" w:pos="8306"/>
              <w:tab w:val="clear" w:pos="8296"/>
            </w:tabs>
          </w:pPr>
          <w:r>
            <w:rPr>
              <w:color w:val="auto"/>
              <w:lang w:val="zh-CN"/>
            </w:rPr>
            <w:fldChar w:fldCharType="begin"/>
          </w:r>
          <w:r>
            <w:rPr>
              <w:lang w:val="zh-CN"/>
            </w:rPr>
            <w:instrText xml:space="preserve"> HYPERLINK \l _Toc955 </w:instrText>
          </w:r>
          <w:r>
            <w:rPr>
              <w:lang w:val="zh-CN"/>
            </w:rPr>
            <w:fldChar w:fldCharType="separate"/>
          </w:r>
          <w:r>
            <w:rPr>
              <w:rFonts w:hint="eastAsia"/>
              <w:i w:val="0"/>
              <w:lang w:val="en-US" w:eastAsia="zh-CN"/>
            </w:rPr>
            <w:t xml:space="preserve">2.1.4 </w:t>
          </w:r>
          <w:r>
            <w:rPr>
              <w:rFonts w:hint="eastAsia"/>
              <w:lang w:val="en-US" w:eastAsia="zh-CN"/>
            </w:rPr>
            <w:t>技术依据</w:t>
          </w:r>
          <w:r>
            <w:tab/>
          </w:r>
          <w:r>
            <w:fldChar w:fldCharType="begin"/>
          </w:r>
          <w:r>
            <w:instrText xml:space="preserve"> PAGEREF _Toc955 \h </w:instrText>
          </w:r>
          <w:r>
            <w:fldChar w:fldCharType="separate"/>
          </w:r>
          <w:r>
            <w:t>53</w:t>
          </w:r>
          <w:r>
            <w:fldChar w:fldCharType="end"/>
          </w:r>
          <w:r>
            <w:rPr>
              <w:color w:val="auto"/>
              <w:lang w:val="zh-CN"/>
            </w:rPr>
            <w:fldChar w:fldCharType="end"/>
          </w:r>
        </w:p>
        <w:p w14:paraId="15E23E86">
          <w:pPr>
            <w:pStyle w:val="13"/>
            <w:tabs>
              <w:tab w:val="right" w:leader="dot" w:pos="8306"/>
              <w:tab w:val="clear" w:pos="8296"/>
            </w:tabs>
          </w:pPr>
          <w:r>
            <w:rPr>
              <w:color w:val="auto"/>
              <w:lang w:val="zh-CN"/>
            </w:rPr>
            <w:fldChar w:fldCharType="begin"/>
          </w:r>
          <w:r>
            <w:rPr>
              <w:lang w:val="zh-CN"/>
            </w:rPr>
            <w:instrText xml:space="preserve"> HYPERLINK \l _Toc7620 </w:instrText>
          </w:r>
          <w:r>
            <w:rPr>
              <w:lang w:val="zh-CN"/>
            </w:rPr>
            <w:fldChar w:fldCharType="separate"/>
          </w:r>
          <w:r>
            <w:rPr>
              <w:rFonts w:hint="eastAsia"/>
              <w:i w:val="0"/>
              <w:lang w:val="en-US" w:eastAsia="zh-CN"/>
            </w:rPr>
            <w:t xml:space="preserve">2.1.5 </w:t>
          </w:r>
          <w:r>
            <w:rPr>
              <w:rFonts w:hint="eastAsia"/>
              <w:lang w:val="en-US" w:eastAsia="zh-CN"/>
            </w:rPr>
            <w:t>项目相关资料</w:t>
          </w:r>
          <w:r>
            <w:tab/>
          </w:r>
          <w:r>
            <w:fldChar w:fldCharType="begin"/>
          </w:r>
          <w:r>
            <w:instrText xml:space="preserve"> PAGEREF _Toc7620 \h </w:instrText>
          </w:r>
          <w:r>
            <w:fldChar w:fldCharType="separate"/>
          </w:r>
          <w:r>
            <w:t>54</w:t>
          </w:r>
          <w:r>
            <w:fldChar w:fldCharType="end"/>
          </w:r>
          <w:r>
            <w:rPr>
              <w:color w:val="auto"/>
              <w:lang w:val="zh-CN"/>
            </w:rPr>
            <w:fldChar w:fldCharType="end"/>
          </w:r>
        </w:p>
        <w:p w14:paraId="06EE3F3B">
          <w:pPr>
            <w:pStyle w:val="18"/>
            <w:tabs>
              <w:tab w:val="right" w:leader="dot" w:pos="8306"/>
            </w:tabs>
          </w:pPr>
          <w:r>
            <w:rPr>
              <w:color w:val="auto"/>
              <w:lang w:val="zh-CN"/>
            </w:rPr>
            <w:fldChar w:fldCharType="begin"/>
          </w:r>
          <w:r>
            <w:rPr>
              <w:lang w:val="zh-CN"/>
            </w:rPr>
            <w:instrText xml:space="preserve"> HYPERLINK \l _Toc24162 </w:instrText>
          </w:r>
          <w:r>
            <w:rPr>
              <w:lang w:val="zh-CN"/>
            </w:rPr>
            <w:fldChar w:fldCharType="separate"/>
          </w:r>
          <w:r>
            <w:rPr>
              <w:rFonts w:hint="eastAsia"/>
              <w:i w:val="0"/>
              <w:lang w:val="en-US" w:eastAsia="zh-CN"/>
            </w:rPr>
            <w:t xml:space="preserve">2.2 </w:t>
          </w:r>
          <w:r>
            <w:rPr>
              <w:rFonts w:hint="eastAsia"/>
              <w:lang w:val="en-US" w:eastAsia="zh-CN"/>
            </w:rPr>
            <w:t>评价因子与评价标准</w:t>
          </w:r>
          <w:r>
            <w:tab/>
          </w:r>
          <w:r>
            <w:fldChar w:fldCharType="begin"/>
          </w:r>
          <w:r>
            <w:instrText xml:space="preserve"> PAGEREF _Toc24162 \h </w:instrText>
          </w:r>
          <w:r>
            <w:fldChar w:fldCharType="separate"/>
          </w:r>
          <w:r>
            <w:t>55</w:t>
          </w:r>
          <w:r>
            <w:fldChar w:fldCharType="end"/>
          </w:r>
          <w:r>
            <w:rPr>
              <w:color w:val="auto"/>
              <w:lang w:val="zh-CN"/>
            </w:rPr>
            <w:fldChar w:fldCharType="end"/>
          </w:r>
        </w:p>
        <w:p w14:paraId="45C4299B">
          <w:pPr>
            <w:pStyle w:val="13"/>
            <w:tabs>
              <w:tab w:val="right" w:leader="dot" w:pos="8306"/>
              <w:tab w:val="clear" w:pos="8296"/>
            </w:tabs>
          </w:pPr>
          <w:r>
            <w:rPr>
              <w:color w:val="auto"/>
              <w:lang w:val="zh-CN"/>
            </w:rPr>
            <w:fldChar w:fldCharType="begin"/>
          </w:r>
          <w:r>
            <w:rPr>
              <w:lang w:val="zh-CN"/>
            </w:rPr>
            <w:instrText xml:space="preserve"> HYPERLINK \l _Toc3210 </w:instrText>
          </w:r>
          <w:r>
            <w:rPr>
              <w:lang w:val="zh-CN"/>
            </w:rPr>
            <w:fldChar w:fldCharType="separate"/>
          </w:r>
          <w:r>
            <w:rPr>
              <w:rFonts w:hint="eastAsia"/>
              <w:i w:val="0"/>
              <w:lang w:val="en-US" w:eastAsia="zh-CN"/>
            </w:rPr>
            <w:t xml:space="preserve">2.2.1 </w:t>
          </w:r>
          <w:r>
            <w:rPr>
              <w:rFonts w:hint="eastAsia"/>
              <w:lang w:val="en-US" w:eastAsia="zh-CN"/>
            </w:rPr>
            <w:t>环境影响因素识别</w:t>
          </w:r>
          <w:r>
            <w:tab/>
          </w:r>
          <w:r>
            <w:fldChar w:fldCharType="begin"/>
          </w:r>
          <w:r>
            <w:instrText xml:space="preserve"> PAGEREF _Toc3210 \h </w:instrText>
          </w:r>
          <w:r>
            <w:fldChar w:fldCharType="separate"/>
          </w:r>
          <w:r>
            <w:t>55</w:t>
          </w:r>
          <w:r>
            <w:fldChar w:fldCharType="end"/>
          </w:r>
          <w:r>
            <w:rPr>
              <w:color w:val="auto"/>
              <w:lang w:val="zh-CN"/>
            </w:rPr>
            <w:fldChar w:fldCharType="end"/>
          </w:r>
        </w:p>
        <w:p w14:paraId="20768573">
          <w:pPr>
            <w:pStyle w:val="13"/>
            <w:tabs>
              <w:tab w:val="right" w:leader="dot" w:pos="8306"/>
              <w:tab w:val="clear" w:pos="8296"/>
            </w:tabs>
          </w:pPr>
          <w:r>
            <w:rPr>
              <w:color w:val="auto"/>
              <w:lang w:val="zh-CN"/>
            </w:rPr>
            <w:fldChar w:fldCharType="begin"/>
          </w:r>
          <w:r>
            <w:rPr>
              <w:lang w:val="zh-CN"/>
            </w:rPr>
            <w:instrText xml:space="preserve"> HYPERLINK \l _Toc7541 </w:instrText>
          </w:r>
          <w:r>
            <w:rPr>
              <w:lang w:val="zh-CN"/>
            </w:rPr>
            <w:fldChar w:fldCharType="separate"/>
          </w:r>
          <w:r>
            <w:rPr>
              <w:rFonts w:hint="eastAsia"/>
              <w:i w:val="0"/>
              <w:lang w:val="en-US" w:eastAsia="zh-CN"/>
            </w:rPr>
            <w:t xml:space="preserve">2.2.2 </w:t>
          </w:r>
          <w:r>
            <w:rPr>
              <w:rFonts w:hint="eastAsia"/>
              <w:lang w:val="en-US" w:eastAsia="zh-CN"/>
            </w:rPr>
            <w:t>环境评价因子筛选</w:t>
          </w:r>
          <w:r>
            <w:tab/>
          </w:r>
          <w:r>
            <w:fldChar w:fldCharType="begin"/>
          </w:r>
          <w:r>
            <w:instrText xml:space="preserve"> PAGEREF _Toc7541 \h </w:instrText>
          </w:r>
          <w:r>
            <w:fldChar w:fldCharType="separate"/>
          </w:r>
          <w:r>
            <w:t>57</w:t>
          </w:r>
          <w:r>
            <w:fldChar w:fldCharType="end"/>
          </w:r>
          <w:r>
            <w:rPr>
              <w:color w:val="auto"/>
              <w:lang w:val="zh-CN"/>
            </w:rPr>
            <w:fldChar w:fldCharType="end"/>
          </w:r>
        </w:p>
        <w:p w14:paraId="3EF1F82D">
          <w:pPr>
            <w:pStyle w:val="13"/>
            <w:tabs>
              <w:tab w:val="right" w:leader="dot" w:pos="8306"/>
              <w:tab w:val="clear" w:pos="8296"/>
            </w:tabs>
          </w:pPr>
          <w:r>
            <w:rPr>
              <w:color w:val="auto"/>
              <w:lang w:val="zh-CN"/>
            </w:rPr>
            <w:fldChar w:fldCharType="begin"/>
          </w:r>
          <w:r>
            <w:rPr>
              <w:lang w:val="zh-CN"/>
            </w:rPr>
            <w:instrText xml:space="preserve"> HYPERLINK \l _Toc5690 </w:instrText>
          </w:r>
          <w:r>
            <w:rPr>
              <w:lang w:val="zh-CN"/>
            </w:rPr>
            <w:fldChar w:fldCharType="separate"/>
          </w:r>
          <w:r>
            <w:rPr>
              <w:rFonts w:hint="eastAsia"/>
              <w:i w:val="0"/>
              <w:lang w:val="en-US" w:eastAsia="zh-CN"/>
            </w:rPr>
            <w:t xml:space="preserve">2.2.3 </w:t>
          </w:r>
          <w:r>
            <w:rPr>
              <w:rFonts w:hint="eastAsia"/>
              <w:lang w:val="en-US" w:eastAsia="zh-CN"/>
            </w:rPr>
            <w:t>评价标准</w:t>
          </w:r>
          <w:r>
            <w:tab/>
          </w:r>
          <w:r>
            <w:fldChar w:fldCharType="begin"/>
          </w:r>
          <w:r>
            <w:instrText xml:space="preserve"> PAGEREF _Toc5690 \h </w:instrText>
          </w:r>
          <w:r>
            <w:fldChar w:fldCharType="separate"/>
          </w:r>
          <w:r>
            <w:t>58</w:t>
          </w:r>
          <w:r>
            <w:fldChar w:fldCharType="end"/>
          </w:r>
          <w:r>
            <w:rPr>
              <w:color w:val="auto"/>
              <w:lang w:val="zh-CN"/>
            </w:rPr>
            <w:fldChar w:fldCharType="end"/>
          </w:r>
        </w:p>
        <w:p w14:paraId="1BDD5D78">
          <w:pPr>
            <w:pStyle w:val="18"/>
            <w:tabs>
              <w:tab w:val="right" w:leader="dot" w:pos="8306"/>
            </w:tabs>
          </w:pPr>
          <w:r>
            <w:rPr>
              <w:color w:val="auto"/>
              <w:lang w:val="zh-CN"/>
            </w:rPr>
            <w:fldChar w:fldCharType="begin"/>
          </w:r>
          <w:r>
            <w:rPr>
              <w:lang w:val="zh-CN"/>
            </w:rPr>
            <w:instrText xml:space="preserve"> HYPERLINK \l _Toc28749 </w:instrText>
          </w:r>
          <w:r>
            <w:rPr>
              <w:lang w:val="zh-CN"/>
            </w:rPr>
            <w:fldChar w:fldCharType="separate"/>
          </w:r>
          <w:r>
            <w:rPr>
              <w:rFonts w:hint="eastAsia"/>
              <w:i w:val="0"/>
              <w:lang w:val="en-US" w:eastAsia="zh-CN"/>
            </w:rPr>
            <w:t xml:space="preserve">2.3 </w:t>
          </w:r>
          <w:r>
            <w:rPr>
              <w:rFonts w:hint="eastAsia"/>
              <w:lang w:val="en-US" w:eastAsia="zh-CN"/>
            </w:rPr>
            <w:t>评价工作等级和评价范围</w:t>
          </w:r>
          <w:r>
            <w:tab/>
          </w:r>
          <w:r>
            <w:fldChar w:fldCharType="begin"/>
          </w:r>
          <w:r>
            <w:instrText xml:space="preserve"> PAGEREF _Toc28749 \h </w:instrText>
          </w:r>
          <w:r>
            <w:fldChar w:fldCharType="separate"/>
          </w:r>
          <w:r>
            <w:t>65</w:t>
          </w:r>
          <w:r>
            <w:fldChar w:fldCharType="end"/>
          </w:r>
          <w:r>
            <w:rPr>
              <w:color w:val="auto"/>
              <w:lang w:val="zh-CN"/>
            </w:rPr>
            <w:fldChar w:fldCharType="end"/>
          </w:r>
        </w:p>
        <w:p w14:paraId="4A7EDD39">
          <w:pPr>
            <w:pStyle w:val="13"/>
            <w:tabs>
              <w:tab w:val="right" w:leader="dot" w:pos="8306"/>
              <w:tab w:val="clear" w:pos="8296"/>
            </w:tabs>
          </w:pPr>
          <w:r>
            <w:rPr>
              <w:color w:val="auto"/>
              <w:lang w:val="zh-CN"/>
            </w:rPr>
            <w:fldChar w:fldCharType="begin"/>
          </w:r>
          <w:r>
            <w:rPr>
              <w:lang w:val="zh-CN"/>
            </w:rPr>
            <w:instrText xml:space="preserve"> HYPERLINK \l _Toc33 </w:instrText>
          </w:r>
          <w:r>
            <w:rPr>
              <w:lang w:val="zh-CN"/>
            </w:rPr>
            <w:fldChar w:fldCharType="separate"/>
          </w:r>
          <w:r>
            <w:rPr>
              <w:rFonts w:hint="eastAsia"/>
              <w:i w:val="0"/>
              <w:lang w:val="en-US" w:eastAsia="zh-CN"/>
            </w:rPr>
            <w:t xml:space="preserve">2.3.1 </w:t>
          </w:r>
          <w:r>
            <w:rPr>
              <w:rFonts w:hint="eastAsia"/>
              <w:lang w:val="en-US" w:eastAsia="zh-CN"/>
            </w:rPr>
            <w:t>评价工作等级</w:t>
          </w:r>
          <w:r>
            <w:tab/>
          </w:r>
          <w:r>
            <w:fldChar w:fldCharType="begin"/>
          </w:r>
          <w:r>
            <w:instrText xml:space="preserve"> PAGEREF _Toc33 \h </w:instrText>
          </w:r>
          <w:r>
            <w:fldChar w:fldCharType="separate"/>
          </w:r>
          <w:r>
            <w:t>65</w:t>
          </w:r>
          <w:r>
            <w:fldChar w:fldCharType="end"/>
          </w:r>
          <w:r>
            <w:rPr>
              <w:color w:val="auto"/>
              <w:lang w:val="zh-CN"/>
            </w:rPr>
            <w:fldChar w:fldCharType="end"/>
          </w:r>
        </w:p>
        <w:p w14:paraId="4D420604">
          <w:pPr>
            <w:pStyle w:val="13"/>
            <w:tabs>
              <w:tab w:val="right" w:leader="dot" w:pos="8306"/>
              <w:tab w:val="clear" w:pos="8296"/>
            </w:tabs>
          </w:pPr>
          <w:r>
            <w:rPr>
              <w:color w:val="auto"/>
              <w:lang w:val="zh-CN"/>
            </w:rPr>
            <w:fldChar w:fldCharType="begin"/>
          </w:r>
          <w:r>
            <w:rPr>
              <w:lang w:val="zh-CN"/>
            </w:rPr>
            <w:instrText xml:space="preserve"> HYPERLINK \l _Toc29935 </w:instrText>
          </w:r>
          <w:r>
            <w:rPr>
              <w:lang w:val="zh-CN"/>
            </w:rPr>
            <w:fldChar w:fldCharType="separate"/>
          </w:r>
          <w:r>
            <w:rPr>
              <w:rFonts w:hint="eastAsia"/>
              <w:i w:val="0"/>
              <w:lang w:val="en-US" w:eastAsia="zh-CN"/>
            </w:rPr>
            <w:t xml:space="preserve">2.3.2 </w:t>
          </w:r>
          <w:r>
            <w:rPr>
              <w:rFonts w:hint="eastAsia"/>
              <w:lang w:val="en-US" w:eastAsia="zh-CN"/>
            </w:rPr>
            <w:t>评价重点</w:t>
          </w:r>
          <w:r>
            <w:tab/>
          </w:r>
          <w:r>
            <w:fldChar w:fldCharType="begin"/>
          </w:r>
          <w:r>
            <w:instrText xml:space="preserve"> PAGEREF _Toc29935 \h </w:instrText>
          </w:r>
          <w:r>
            <w:fldChar w:fldCharType="separate"/>
          </w:r>
          <w:r>
            <w:t>75</w:t>
          </w:r>
          <w:r>
            <w:fldChar w:fldCharType="end"/>
          </w:r>
          <w:r>
            <w:rPr>
              <w:color w:val="auto"/>
              <w:lang w:val="zh-CN"/>
            </w:rPr>
            <w:fldChar w:fldCharType="end"/>
          </w:r>
        </w:p>
        <w:p w14:paraId="30A52257">
          <w:pPr>
            <w:pStyle w:val="18"/>
            <w:tabs>
              <w:tab w:val="right" w:leader="dot" w:pos="8306"/>
            </w:tabs>
          </w:pPr>
          <w:r>
            <w:rPr>
              <w:color w:val="auto"/>
              <w:lang w:val="zh-CN"/>
            </w:rPr>
            <w:fldChar w:fldCharType="begin"/>
          </w:r>
          <w:r>
            <w:rPr>
              <w:lang w:val="zh-CN"/>
            </w:rPr>
            <w:instrText xml:space="preserve"> HYPERLINK \l _Toc28248 </w:instrText>
          </w:r>
          <w:r>
            <w:rPr>
              <w:lang w:val="zh-CN"/>
            </w:rPr>
            <w:fldChar w:fldCharType="separate"/>
          </w:r>
          <w:r>
            <w:rPr>
              <w:rFonts w:hint="eastAsia"/>
              <w:i w:val="0"/>
              <w:lang w:val="en-US" w:eastAsia="zh-CN"/>
            </w:rPr>
            <w:t xml:space="preserve">2.4 </w:t>
          </w:r>
          <w:r>
            <w:rPr>
              <w:rFonts w:hint="eastAsia"/>
              <w:lang w:val="en-US" w:eastAsia="zh-CN"/>
            </w:rPr>
            <w:t>评价范围及环境敏感区</w:t>
          </w:r>
          <w:r>
            <w:tab/>
          </w:r>
          <w:r>
            <w:fldChar w:fldCharType="begin"/>
          </w:r>
          <w:r>
            <w:instrText xml:space="preserve"> PAGEREF _Toc28248 \h </w:instrText>
          </w:r>
          <w:r>
            <w:fldChar w:fldCharType="separate"/>
          </w:r>
          <w:r>
            <w:t>76</w:t>
          </w:r>
          <w:r>
            <w:fldChar w:fldCharType="end"/>
          </w:r>
          <w:r>
            <w:rPr>
              <w:color w:val="auto"/>
              <w:lang w:val="zh-CN"/>
            </w:rPr>
            <w:fldChar w:fldCharType="end"/>
          </w:r>
        </w:p>
        <w:p w14:paraId="34BEA651">
          <w:pPr>
            <w:pStyle w:val="13"/>
            <w:tabs>
              <w:tab w:val="right" w:leader="dot" w:pos="8306"/>
              <w:tab w:val="clear" w:pos="8296"/>
            </w:tabs>
          </w:pPr>
          <w:r>
            <w:rPr>
              <w:color w:val="auto"/>
              <w:lang w:val="zh-CN"/>
            </w:rPr>
            <w:fldChar w:fldCharType="begin"/>
          </w:r>
          <w:r>
            <w:rPr>
              <w:lang w:val="zh-CN"/>
            </w:rPr>
            <w:instrText xml:space="preserve"> HYPERLINK \l _Toc27792 </w:instrText>
          </w:r>
          <w:r>
            <w:rPr>
              <w:lang w:val="zh-CN"/>
            </w:rPr>
            <w:fldChar w:fldCharType="separate"/>
          </w:r>
          <w:r>
            <w:rPr>
              <w:rFonts w:hint="eastAsia"/>
              <w:i w:val="0"/>
              <w:lang w:val="en-US" w:eastAsia="zh-CN"/>
            </w:rPr>
            <w:t xml:space="preserve">2.4.1 </w:t>
          </w:r>
          <w:r>
            <w:rPr>
              <w:rFonts w:hint="eastAsia"/>
              <w:lang w:val="en-US" w:eastAsia="zh-CN"/>
            </w:rPr>
            <w:t>评价范围</w:t>
          </w:r>
          <w:r>
            <w:tab/>
          </w:r>
          <w:r>
            <w:fldChar w:fldCharType="begin"/>
          </w:r>
          <w:r>
            <w:instrText xml:space="preserve"> PAGEREF _Toc27792 \h </w:instrText>
          </w:r>
          <w:r>
            <w:fldChar w:fldCharType="separate"/>
          </w:r>
          <w:r>
            <w:t>76</w:t>
          </w:r>
          <w:r>
            <w:fldChar w:fldCharType="end"/>
          </w:r>
          <w:r>
            <w:rPr>
              <w:color w:val="auto"/>
              <w:lang w:val="zh-CN"/>
            </w:rPr>
            <w:fldChar w:fldCharType="end"/>
          </w:r>
        </w:p>
        <w:p w14:paraId="3D1C01BE">
          <w:pPr>
            <w:pStyle w:val="13"/>
            <w:tabs>
              <w:tab w:val="right" w:leader="dot" w:pos="8306"/>
              <w:tab w:val="clear" w:pos="8296"/>
            </w:tabs>
          </w:pPr>
          <w:r>
            <w:rPr>
              <w:color w:val="auto"/>
              <w:lang w:val="zh-CN"/>
            </w:rPr>
            <w:fldChar w:fldCharType="begin"/>
          </w:r>
          <w:r>
            <w:rPr>
              <w:lang w:val="zh-CN"/>
            </w:rPr>
            <w:instrText xml:space="preserve"> HYPERLINK \l _Toc7354 </w:instrText>
          </w:r>
          <w:r>
            <w:rPr>
              <w:lang w:val="zh-CN"/>
            </w:rPr>
            <w:fldChar w:fldCharType="separate"/>
          </w:r>
          <w:r>
            <w:rPr>
              <w:rFonts w:hint="eastAsia"/>
              <w:i w:val="0"/>
              <w:lang w:val="en-US" w:eastAsia="zh-CN"/>
            </w:rPr>
            <w:t xml:space="preserve">2.4.2 </w:t>
          </w:r>
          <w:r>
            <w:rPr>
              <w:rFonts w:hint="eastAsia"/>
              <w:lang w:val="en-US" w:eastAsia="zh-CN"/>
            </w:rPr>
            <w:t>环境敏感保护目标</w:t>
          </w:r>
          <w:r>
            <w:tab/>
          </w:r>
          <w:r>
            <w:fldChar w:fldCharType="begin"/>
          </w:r>
          <w:r>
            <w:instrText xml:space="preserve"> PAGEREF _Toc7354 \h </w:instrText>
          </w:r>
          <w:r>
            <w:fldChar w:fldCharType="separate"/>
          </w:r>
          <w:r>
            <w:t>76</w:t>
          </w:r>
          <w:r>
            <w:fldChar w:fldCharType="end"/>
          </w:r>
          <w:r>
            <w:rPr>
              <w:color w:val="auto"/>
              <w:lang w:val="zh-CN"/>
            </w:rPr>
            <w:fldChar w:fldCharType="end"/>
          </w:r>
        </w:p>
        <w:p w14:paraId="4B72ED21">
          <w:pPr>
            <w:pStyle w:val="18"/>
            <w:tabs>
              <w:tab w:val="right" w:leader="dot" w:pos="8306"/>
            </w:tabs>
          </w:pPr>
          <w:r>
            <w:rPr>
              <w:color w:val="auto"/>
              <w:lang w:val="zh-CN"/>
            </w:rPr>
            <w:fldChar w:fldCharType="begin"/>
          </w:r>
          <w:r>
            <w:rPr>
              <w:lang w:val="zh-CN"/>
            </w:rPr>
            <w:instrText xml:space="preserve"> HYPERLINK \l _Toc29821 </w:instrText>
          </w:r>
          <w:r>
            <w:rPr>
              <w:lang w:val="zh-CN"/>
            </w:rPr>
            <w:fldChar w:fldCharType="separate"/>
          </w:r>
          <w:r>
            <w:rPr>
              <w:rFonts w:hint="eastAsia"/>
              <w:i w:val="0"/>
              <w:lang w:val="en-US" w:eastAsia="zh-CN"/>
            </w:rPr>
            <w:t xml:space="preserve">2.5 </w:t>
          </w:r>
          <w:r>
            <w:rPr>
              <w:rFonts w:hint="eastAsia"/>
              <w:lang w:val="en-US" w:eastAsia="zh-CN"/>
            </w:rPr>
            <w:t>相关规划及环境功能区划</w:t>
          </w:r>
          <w:r>
            <w:tab/>
          </w:r>
          <w:r>
            <w:fldChar w:fldCharType="begin"/>
          </w:r>
          <w:r>
            <w:instrText xml:space="preserve"> PAGEREF _Toc29821 \h </w:instrText>
          </w:r>
          <w:r>
            <w:fldChar w:fldCharType="separate"/>
          </w:r>
          <w:r>
            <w:t>82</w:t>
          </w:r>
          <w:r>
            <w:fldChar w:fldCharType="end"/>
          </w:r>
          <w:r>
            <w:rPr>
              <w:color w:val="auto"/>
              <w:lang w:val="zh-CN"/>
            </w:rPr>
            <w:fldChar w:fldCharType="end"/>
          </w:r>
        </w:p>
        <w:p w14:paraId="659D3CDE">
          <w:pPr>
            <w:pStyle w:val="13"/>
            <w:tabs>
              <w:tab w:val="right" w:leader="dot" w:pos="8306"/>
              <w:tab w:val="clear" w:pos="8296"/>
            </w:tabs>
          </w:pPr>
          <w:r>
            <w:rPr>
              <w:color w:val="auto"/>
              <w:lang w:val="zh-CN"/>
            </w:rPr>
            <w:fldChar w:fldCharType="begin"/>
          </w:r>
          <w:r>
            <w:rPr>
              <w:lang w:val="zh-CN"/>
            </w:rPr>
            <w:instrText xml:space="preserve"> HYPERLINK \l _Toc8546 </w:instrText>
          </w:r>
          <w:r>
            <w:rPr>
              <w:lang w:val="zh-CN"/>
            </w:rPr>
            <w:fldChar w:fldCharType="separate"/>
          </w:r>
          <w:r>
            <w:rPr>
              <w:rFonts w:hint="eastAsia"/>
              <w:i w:val="0"/>
              <w:lang w:val="en-US" w:eastAsia="zh-CN"/>
            </w:rPr>
            <w:t xml:space="preserve">2.5.1 </w:t>
          </w:r>
          <w:r>
            <w:rPr>
              <w:rFonts w:hint="eastAsia"/>
              <w:lang w:val="en-US" w:eastAsia="zh-CN"/>
            </w:rPr>
            <w:t>与《昆山市国土空间总体规划（2021-2035年）》相符性分析</w:t>
          </w:r>
          <w:r>
            <w:tab/>
          </w:r>
          <w:r>
            <w:fldChar w:fldCharType="begin"/>
          </w:r>
          <w:r>
            <w:instrText xml:space="preserve"> PAGEREF _Toc8546 \h </w:instrText>
          </w:r>
          <w:r>
            <w:fldChar w:fldCharType="separate"/>
          </w:r>
          <w:r>
            <w:t>82</w:t>
          </w:r>
          <w:r>
            <w:fldChar w:fldCharType="end"/>
          </w:r>
          <w:r>
            <w:rPr>
              <w:color w:val="auto"/>
              <w:lang w:val="zh-CN"/>
            </w:rPr>
            <w:fldChar w:fldCharType="end"/>
          </w:r>
        </w:p>
        <w:p w14:paraId="78F0F8A2">
          <w:pPr>
            <w:pStyle w:val="13"/>
            <w:tabs>
              <w:tab w:val="right" w:leader="dot" w:pos="8306"/>
              <w:tab w:val="clear" w:pos="8296"/>
            </w:tabs>
          </w:pPr>
          <w:r>
            <w:rPr>
              <w:color w:val="auto"/>
              <w:lang w:val="zh-CN"/>
            </w:rPr>
            <w:fldChar w:fldCharType="begin"/>
          </w:r>
          <w:r>
            <w:rPr>
              <w:lang w:val="zh-CN"/>
            </w:rPr>
            <w:instrText xml:space="preserve"> HYPERLINK \l _Toc3013 </w:instrText>
          </w:r>
          <w:r>
            <w:rPr>
              <w:lang w:val="zh-CN"/>
            </w:rPr>
            <w:fldChar w:fldCharType="separate"/>
          </w:r>
          <w:r>
            <w:rPr>
              <w:rFonts w:hint="eastAsia"/>
              <w:i w:val="0"/>
              <w:lang w:val="en-US" w:eastAsia="zh-CN"/>
            </w:rPr>
            <w:t xml:space="preserve">2.5.2 </w:t>
          </w:r>
          <w:r>
            <w:rPr>
              <w:rFonts w:hint="eastAsia"/>
              <w:lang w:val="en-US" w:eastAsia="zh-CN"/>
            </w:rPr>
            <w:t>与花桥北部工业园相符性分析</w:t>
          </w:r>
          <w:r>
            <w:tab/>
          </w:r>
          <w:r>
            <w:fldChar w:fldCharType="begin"/>
          </w:r>
          <w:r>
            <w:instrText xml:space="preserve"> PAGEREF _Toc3013 \h </w:instrText>
          </w:r>
          <w:r>
            <w:fldChar w:fldCharType="separate"/>
          </w:r>
          <w:r>
            <w:t>84</w:t>
          </w:r>
          <w:r>
            <w:fldChar w:fldCharType="end"/>
          </w:r>
          <w:r>
            <w:rPr>
              <w:color w:val="auto"/>
              <w:lang w:val="zh-CN"/>
            </w:rPr>
            <w:fldChar w:fldCharType="end"/>
          </w:r>
        </w:p>
        <w:p w14:paraId="41BEDD4A">
          <w:pPr>
            <w:pStyle w:val="13"/>
            <w:tabs>
              <w:tab w:val="right" w:leader="dot" w:pos="8306"/>
              <w:tab w:val="clear" w:pos="8296"/>
            </w:tabs>
          </w:pPr>
          <w:r>
            <w:rPr>
              <w:color w:val="auto"/>
              <w:lang w:val="zh-CN"/>
            </w:rPr>
            <w:fldChar w:fldCharType="begin"/>
          </w:r>
          <w:r>
            <w:rPr>
              <w:lang w:val="zh-CN"/>
            </w:rPr>
            <w:instrText xml:space="preserve"> HYPERLINK \l _Toc28116 </w:instrText>
          </w:r>
          <w:r>
            <w:rPr>
              <w:lang w:val="zh-CN"/>
            </w:rPr>
            <w:fldChar w:fldCharType="separate"/>
          </w:r>
          <w:r>
            <w:rPr>
              <w:rFonts w:hint="eastAsia"/>
              <w:i w:val="0"/>
              <w:lang w:val="en-US" w:eastAsia="zh-CN"/>
            </w:rPr>
            <w:t xml:space="preserve">2.5.3 </w:t>
          </w:r>
          <w:r>
            <w:rPr>
              <w:rFonts w:hint="eastAsia"/>
              <w:lang w:val="en-US" w:eastAsia="zh-CN"/>
            </w:rPr>
            <w:t>与《昆山市 D09 规划编制单元控制性详细规划》的相符性</w:t>
          </w:r>
          <w:r>
            <w:tab/>
          </w:r>
          <w:r>
            <w:fldChar w:fldCharType="begin"/>
          </w:r>
          <w:r>
            <w:instrText xml:space="preserve"> PAGEREF _Toc28116 \h </w:instrText>
          </w:r>
          <w:r>
            <w:fldChar w:fldCharType="separate"/>
          </w:r>
          <w:r>
            <w:t>85</w:t>
          </w:r>
          <w:r>
            <w:fldChar w:fldCharType="end"/>
          </w:r>
          <w:r>
            <w:rPr>
              <w:color w:val="auto"/>
              <w:lang w:val="zh-CN"/>
            </w:rPr>
            <w:fldChar w:fldCharType="end"/>
          </w:r>
        </w:p>
        <w:p w14:paraId="1C4B28ED">
          <w:pPr>
            <w:pStyle w:val="16"/>
            <w:tabs>
              <w:tab w:val="right" w:leader="dot" w:pos="8306"/>
            </w:tabs>
          </w:pPr>
          <w:r>
            <w:rPr>
              <w:color w:val="auto"/>
              <w:lang w:val="zh-CN"/>
            </w:rPr>
            <w:fldChar w:fldCharType="begin"/>
          </w:r>
          <w:r>
            <w:rPr>
              <w:lang w:val="zh-CN"/>
            </w:rPr>
            <w:instrText xml:space="preserve"> HYPERLINK \l _Toc18092 </w:instrText>
          </w:r>
          <w:r>
            <w:rPr>
              <w:lang w:val="zh-CN"/>
            </w:rPr>
            <w:fldChar w:fldCharType="separate"/>
          </w:r>
          <w:r>
            <w:rPr>
              <w:rFonts w:hint="eastAsia"/>
              <w:i w:val="0"/>
              <w:szCs w:val="30"/>
            </w:rPr>
            <w:t xml:space="preserve">3 </w:t>
          </w:r>
          <w:r>
            <w:rPr>
              <w:rFonts w:hint="eastAsia"/>
            </w:rPr>
            <w:t>现有项目工程回顾</w:t>
          </w:r>
          <w:r>
            <w:tab/>
          </w:r>
          <w:r>
            <w:fldChar w:fldCharType="begin"/>
          </w:r>
          <w:r>
            <w:instrText xml:space="preserve"> PAGEREF _Toc18092 \h </w:instrText>
          </w:r>
          <w:r>
            <w:fldChar w:fldCharType="separate"/>
          </w:r>
          <w:r>
            <w:t>87</w:t>
          </w:r>
          <w:r>
            <w:fldChar w:fldCharType="end"/>
          </w:r>
          <w:r>
            <w:rPr>
              <w:color w:val="auto"/>
              <w:lang w:val="zh-CN"/>
            </w:rPr>
            <w:fldChar w:fldCharType="end"/>
          </w:r>
        </w:p>
        <w:p w14:paraId="120A953A">
          <w:pPr>
            <w:pStyle w:val="18"/>
            <w:tabs>
              <w:tab w:val="right" w:leader="dot" w:pos="8306"/>
            </w:tabs>
          </w:pPr>
          <w:r>
            <w:rPr>
              <w:color w:val="auto"/>
              <w:lang w:val="zh-CN"/>
            </w:rPr>
            <w:fldChar w:fldCharType="begin"/>
          </w:r>
          <w:r>
            <w:rPr>
              <w:lang w:val="zh-CN"/>
            </w:rPr>
            <w:instrText xml:space="preserve"> HYPERLINK \l _Toc22277 </w:instrText>
          </w:r>
          <w:r>
            <w:rPr>
              <w:lang w:val="zh-CN"/>
            </w:rPr>
            <w:fldChar w:fldCharType="separate"/>
          </w:r>
          <w:r>
            <w:rPr>
              <w:rFonts w:hint="eastAsia"/>
              <w:i w:val="0"/>
              <w:lang w:val="en-US" w:eastAsia="zh-CN"/>
            </w:rPr>
            <w:t xml:space="preserve">3.1 </w:t>
          </w:r>
          <w:r>
            <w:rPr>
              <w:rFonts w:hint="eastAsia"/>
              <w:lang w:val="en-US" w:eastAsia="zh-CN"/>
            </w:rPr>
            <w:t>现有项目概况</w:t>
          </w:r>
          <w:r>
            <w:tab/>
          </w:r>
          <w:r>
            <w:fldChar w:fldCharType="begin"/>
          </w:r>
          <w:r>
            <w:instrText xml:space="preserve"> PAGEREF _Toc22277 \h </w:instrText>
          </w:r>
          <w:r>
            <w:fldChar w:fldCharType="separate"/>
          </w:r>
          <w:r>
            <w:t>87</w:t>
          </w:r>
          <w:r>
            <w:fldChar w:fldCharType="end"/>
          </w:r>
          <w:r>
            <w:rPr>
              <w:color w:val="auto"/>
              <w:lang w:val="zh-CN"/>
            </w:rPr>
            <w:fldChar w:fldCharType="end"/>
          </w:r>
        </w:p>
        <w:p w14:paraId="1F3A3976">
          <w:pPr>
            <w:pStyle w:val="13"/>
            <w:tabs>
              <w:tab w:val="right" w:leader="dot" w:pos="8306"/>
              <w:tab w:val="clear" w:pos="8296"/>
            </w:tabs>
          </w:pPr>
          <w:r>
            <w:rPr>
              <w:color w:val="auto"/>
              <w:lang w:val="zh-CN"/>
            </w:rPr>
            <w:fldChar w:fldCharType="begin"/>
          </w:r>
          <w:r>
            <w:rPr>
              <w:lang w:val="zh-CN"/>
            </w:rPr>
            <w:instrText xml:space="preserve"> HYPERLINK \l _Toc19849 </w:instrText>
          </w:r>
          <w:r>
            <w:rPr>
              <w:lang w:val="zh-CN"/>
            </w:rPr>
            <w:fldChar w:fldCharType="separate"/>
          </w:r>
          <w:r>
            <w:rPr>
              <w:rFonts w:hint="eastAsia"/>
              <w:i w:val="0"/>
            </w:rPr>
            <w:t xml:space="preserve">3.1.1 </w:t>
          </w:r>
          <w:r>
            <w:rPr>
              <w:rFonts w:hint="eastAsia"/>
            </w:rPr>
            <w:t>现有项目建设情况</w:t>
          </w:r>
          <w:r>
            <w:tab/>
          </w:r>
          <w:r>
            <w:fldChar w:fldCharType="begin"/>
          </w:r>
          <w:r>
            <w:instrText xml:space="preserve"> PAGEREF _Toc19849 \h </w:instrText>
          </w:r>
          <w:r>
            <w:fldChar w:fldCharType="separate"/>
          </w:r>
          <w:r>
            <w:t>87</w:t>
          </w:r>
          <w:r>
            <w:fldChar w:fldCharType="end"/>
          </w:r>
          <w:r>
            <w:rPr>
              <w:color w:val="auto"/>
              <w:lang w:val="zh-CN"/>
            </w:rPr>
            <w:fldChar w:fldCharType="end"/>
          </w:r>
        </w:p>
        <w:p w14:paraId="28DF4106">
          <w:pPr>
            <w:pStyle w:val="13"/>
            <w:tabs>
              <w:tab w:val="right" w:leader="dot" w:pos="8306"/>
              <w:tab w:val="clear" w:pos="8296"/>
            </w:tabs>
          </w:pPr>
          <w:r>
            <w:rPr>
              <w:color w:val="auto"/>
              <w:lang w:val="zh-CN"/>
            </w:rPr>
            <w:fldChar w:fldCharType="begin"/>
          </w:r>
          <w:r>
            <w:rPr>
              <w:lang w:val="zh-CN"/>
            </w:rPr>
            <w:instrText xml:space="preserve"> HYPERLINK \l _Toc19136 </w:instrText>
          </w:r>
          <w:r>
            <w:rPr>
              <w:lang w:val="zh-CN"/>
            </w:rPr>
            <w:fldChar w:fldCharType="separate"/>
          </w:r>
          <w:r>
            <w:rPr>
              <w:rFonts w:hint="eastAsia"/>
              <w:i w:val="0"/>
            </w:rPr>
            <w:t xml:space="preserve">3.1.2 </w:t>
          </w:r>
          <w:r>
            <w:rPr>
              <w:rFonts w:hint="eastAsia"/>
            </w:rPr>
            <w:t>主体工程及产品方案</w:t>
          </w:r>
          <w:r>
            <w:tab/>
          </w:r>
          <w:r>
            <w:fldChar w:fldCharType="begin"/>
          </w:r>
          <w:r>
            <w:instrText xml:space="preserve"> PAGEREF _Toc19136 \h </w:instrText>
          </w:r>
          <w:r>
            <w:fldChar w:fldCharType="separate"/>
          </w:r>
          <w:r>
            <w:t>90</w:t>
          </w:r>
          <w:r>
            <w:fldChar w:fldCharType="end"/>
          </w:r>
          <w:r>
            <w:rPr>
              <w:color w:val="auto"/>
              <w:lang w:val="zh-CN"/>
            </w:rPr>
            <w:fldChar w:fldCharType="end"/>
          </w:r>
        </w:p>
        <w:p w14:paraId="085C7D42">
          <w:pPr>
            <w:pStyle w:val="18"/>
            <w:tabs>
              <w:tab w:val="right" w:leader="dot" w:pos="8306"/>
            </w:tabs>
          </w:pPr>
          <w:r>
            <w:rPr>
              <w:color w:val="auto"/>
              <w:lang w:val="zh-CN"/>
            </w:rPr>
            <w:fldChar w:fldCharType="begin"/>
          </w:r>
          <w:r>
            <w:rPr>
              <w:lang w:val="zh-CN"/>
            </w:rPr>
            <w:instrText xml:space="preserve"> HYPERLINK \l _Toc27269 </w:instrText>
          </w:r>
          <w:r>
            <w:rPr>
              <w:lang w:val="zh-CN"/>
            </w:rPr>
            <w:fldChar w:fldCharType="separate"/>
          </w:r>
          <w:r>
            <w:rPr>
              <w:rFonts w:hint="eastAsia"/>
              <w:i w:val="0"/>
              <w:lang w:val="en-US" w:eastAsia="zh-CN"/>
            </w:rPr>
            <w:t xml:space="preserve">3.2 </w:t>
          </w:r>
          <w:r>
            <w:rPr>
              <w:rFonts w:hint="eastAsia"/>
              <w:lang w:val="en-US" w:eastAsia="zh-CN"/>
            </w:rPr>
            <w:t>现有项目公用及辅助工程</w:t>
          </w:r>
          <w:r>
            <w:tab/>
          </w:r>
          <w:r>
            <w:fldChar w:fldCharType="begin"/>
          </w:r>
          <w:r>
            <w:instrText xml:space="preserve"> PAGEREF _Toc27269 \h </w:instrText>
          </w:r>
          <w:r>
            <w:fldChar w:fldCharType="separate"/>
          </w:r>
          <w:r>
            <w:t>90</w:t>
          </w:r>
          <w:r>
            <w:fldChar w:fldCharType="end"/>
          </w:r>
          <w:r>
            <w:rPr>
              <w:color w:val="auto"/>
              <w:lang w:val="zh-CN"/>
            </w:rPr>
            <w:fldChar w:fldCharType="end"/>
          </w:r>
        </w:p>
        <w:p w14:paraId="1CE7E2BF">
          <w:pPr>
            <w:pStyle w:val="18"/>
            <w:tabs>
              <w:tab w:val="right" w:leader="dot" w:pos="8306"/>
            </w:tabs>
          </w:pPr>
          <w:r>
            <w:rPr>
              <w:color w:val="auto"/>
              <w:lang w:val="zh-CN"/>
            </w:rPr>
            <w:fldChar w:fldCharType="begin"/>
          </w:r>
          <w:r>
            <w:rPr>
              <w:lang w:val="zh-CN"/>
            </w:rPr>
            <w:instrText xml:space="preserve"> HYPERLINK \l _Toc22510 </w:instrText>
          </w:r>
          <w:r>
            <w:rPr>
              <w:lang w:val="zh-CN"/>
            </w:rPr>
            <w:fldChar w:fldCharType="separate"/>
          </w:r>
          <w:r>
            <w:rPr>
              <w:rFonts w:hint="eastAsia"/>
              <w:i w:val="0"/>
              <w:lang w:val="en-US" w:eastAsia="zh-CN"/>
            </w:rPr>
            <w:t xml:space="preserve">3.3 </w:t>
          </w:r>
          <w:r>
            <w:rPr>
              <w:rFonts w:hint="eastAsia"/>
              <w:lang w:val="en-US" w:eastAsia="zh-CN"/>
            </w:rPr>
            <w:t>现有原辅材料消耗及主要设备</w:t>
          </w:r>
          <w:r>
            <w:tab/>
          </w:r>
          <w:r>
            <w:fldChar w:fldCharType="begin"/>
          </w:r>
          <w:r>
            <w:instrText xml:space="preserve"> PAGEREF _Toc22510 \h </w:instrText>
          </w:r>
          <w:r>
            <w:fldChar w:fldCharType="separate"/>
          </w:r>
          <w:r>
            <w:t>93</w:t>
          </w:r>
          <w:r>
            <w:fldChar w:fldCharType="end"/>
          </w:r>
          <w:r>
            <w:rPr>
              <w:color w:val="auto"/>
              <w:lang w:val="zh-CN"/>
            </w:rPr>
            <w:fldChar w:fldCharType="end"/>
          </w:r>
        </w:p>
        <w:p w14:paraId="497DA718">
          <w:pPr>
            <w:pStyle w:val="13"/>
            <w:tabs>
              <w:tab w:val="right" w:leader="dot" w:pos="8306"/>
              <w:tab w:val="clear" w:pos="8296"/>
            </w:tabs>
          </w:pPr>
          <w:r>
            <w:rPr>
              <w:color w:val="auto"/>
              <w:lang w:val="zh-CN"/>
            </w:rPr>
            <w:fldChar w:fldCharType="begin"/>
          </w:r>
          <w:r>
            <w:rPr>
              <w:lang w:val="zh-CN"/>
            </w:rPr>
            <w:instrText xml:space="preserve"> HYPERLINK \l _Toc12473 </w:instrText>
          </w:r>
          <w:r>
            <w:rPr>
              <w:lang w:val="zh-CN"/>
            </w:rPr>
            <w:fldChar w:fldCharType="separate"/>
          </w:r>
          <w:r>
            <w:rPr>
              <w:rFonts w:hint="eastAsia"/>
              <w:i w:val="0"/>
            </w:rPr>
            <w:t xml:space="preserve">3.3.1 </w:t>
          </w:r>
          <w:r>
            <w:rPr>
              <w:rFonts w:hint="eastAsia"/>
            </w:rPr>
            <w:t>原辅材料消耗</w:t>
          </w:r>
          <w:r>
            <w:tab/>
          </w:r>
          <w:r>
            <w:fldChar w:fldCharType="begin"/>
          </w:r>
          <w:r>
            <w:instrText xml:space="preserve"> PAGEREF _Toc12473 \h </w:instrText>
          </w:r>
          <w:r>
            <w:fldChar w:fldCharType="separate"/>
          </w:r>
          <w:r>
            <w:t>93</w:t>
          </w:r>
          <w:r>
            <w:fldChar w:fldCharType="end"/>
          </w:r>
          <w:r>
            <w:rPr>
              <w:color w:val="auto"/>
              <w:lang w:val="zh-CN"/>
            </w:rPr>
            <w:fldChar w:fldCharType="end"/>
          </w:r>
        </w:p>
        <w:p w14:paraId="6EAB8D41">
          <w:pPr>
            <w:pStyle w:val="13"/>
            <w:tabs>
              <w:tab w:val="right" w:leader="dot" w:pos="8306"/>
              <w:tab w:val="clear" w:pos="8296"/>
            </w:tabs>
          </w:pPr>
          <w:r>
            <w:rPr>
              <w:color w:val="auto"/>
              <w:lang w:val="zh-CN"/>
            </w:rPr>
            <w:fldChar w:fldCharType="begin"/>
          </w:r>
          <w:r>
            <w:rPr>
              <w:lang w:val="zh-CN"/>
            </w:rPr>
            <w:instrText xml:space="preserve"> HYPERLINK \l _Toc28080 </w:instrText>
          </w:r>
          <w:r>
            <w:rPr>
              <w:lang w:val="zh-CN"/>
            </w:rPr>
            <w:fldChar w:fldCharType="separate"/>
          </w:r>
          <w:r>
            <w:rPr>
              <w:rFonts w:hint="eastAsia"/>
              <w:i w:val="0"/>
            </w:rPr>
            <w:t xml:space="preserve">3.3.2 </w:t>
          </w:r>
          <w:r>
            <w:rPr>
              <w:rFonts w:hint="eastAsia"/>
            </w:rPr>
            <w:t>主要设备</w:t>
          </w:r>
          <w:r>
            <w:tab/>
          </w:r>
          <w:r>
            <w:fldChar w:fldCharType="begin"/>
          </w:r>
          <w:r>
            <w:instrText xml:space="preserve"> PAGEREF _Toc28080 \h </w:instrText>
          </w:r>
          <w:r>
            <w:fldChar w:fldCharType="separate"/>
          </w:r>
          <w:r>
            <w:t>98</w:t>
          </w:r>
          <w:r>
            <w:fldChar w:fldCharType="end"/>
          </w:r>
          <w:r>
            <w:rPr>
              <w:color w:val="auto"/>
              <w:lang w:val="zh-CN"/>
            </w:rPr>
            <w:fldChar w:fldCharType="end"/>
          </w:r>
        </w:p>
        <w:p w14:paraId="76EB607A">
          <w:pPr>
            <w:pStyle w:val="18"/>
            <w:tabs>
              <w:tab w:val="right" w:leader="dot" w:pos="8306"/>
            </w:tabs>
          </w:pPr>
          <w:r>
            <w:rPr>
              <w:color w:val="auto"/>
              <w:lang w:val="zh-CN"/>
            </w:rPr>
            <w:fldChar w:fldCharType="begin"/>
          </w:r>
          <w:r>
            <w:rPr>
              <w:lang w:val="zh-CN"/>
            </w:rPr>
            <w:instrText xml:space="preserve"> HYPERLINK \l _Toc8563 </w:instrText>
          </w:r>
          <w:r>
            <w:rPr>
              <w:lang w:val="zh-CN"/>
            </w:rPr>
            <w:fldChar w:fldCharType="separate"/>
          </w:r>
          <w:r>
            <w:rPr>
              <w:rFonts w:hint="eastAsia"/>
              <w:i w:val="0"/>
              <w:lang w:val="en-US" w:eastAsia="zh-CN"/>
            </w:rPr>
            <w:t xml:space="preserve">3.4 </w:t>
          </w:r>
          <w:r>
            <w:rPr>
              <w:rFonts w:hint="eastAsia"/>
              <w:lang w:val="en-US" w:eastAsia="zh-CN"/>
            </w:rPr>
            <w:t>现有项目生产工艺流程</w:t>
          </w:r>
          <w:r>
            <w:tab/>
          </w:r>
          <w:r>
            <w:fldChar w:fldCharType="begin"/>
          </w:r>
          <w:r>
            <w:instrText xml:space="preserve"> PAGEREF _Toc8563 \h </w:instrText>
          </w:r>
          <w:r>
            <w:fldChar w:fldCharType="separate"/>
          </w:r>
          <w:r>
            <w:t>100</w:t>
          </w:r>
          <w:r>
            <w:fldChar w:fldCharType="end"/>
          </w:r>
          <w:r>
            <w:rPr>
              <w:color w:val="auto"/>
              <w:lang w:val="zh-CN"/>
            </w:rPr>
            <w:fldChar w:fldCharType="end"/>
          </w:r>
        </w:p>
        <w:p w14:paraId="59E3550F">
          <w:pPr>
            <w:pStyle w:val="13"/>
            <w:tabs>
              <w:tab w:val="right" w:leader="dot" w:pos="8306"/>
              <w:tab w:val="clear" w:pos="8296"/>
            </w:tabs>
          </w:pPr>
          <w:r>
            <w:rPr>
              <w:color w:val="auto"/>
              <w:lang w:val="zh-CN"/>
            </w:rPr>
            <w:fldChar w:fldCharType="begin"/>
          </w:r>
          <w:r>
            <w:rPr>
              <w:lang w:val="zh-CN"/>
            </w:rPr>
            <w:instrText xml:space="preserve"> HYPERLINK \l _Toc17446 </w:instrText>
          </w:r>
          <w:r>
            <w:rPr>
              <w:lang w:val="zh-CN"/>
            </w:rPr>
            <w:fldChar w:fldCharType="separate"/>
          </w:r>
          <w:r>
            <w:rPr>
              <w:rFonts w:hint="eastAsia"/>
              <w:i w:val="0"/>
            </w:rPr>
            <w:t xml:space="preserve">3.4.1 </w:t>
          </w:r>
          <w:r>
            <w:rPr>
              <w:rFonts w:hint="eastAsia"/>
              <w:lang w:val="en-US" w:eastAsia="zh-CN"/>
            </w:rPr>
            <w:t>压纹版辊</w:t>
          </w:r>
          <w:r>
            <w:tab/>
          </w:r>
          <w:r>
            <w:fldChar w:fldCharType="begin"/>
          </w:r>
          <w:r>
            <w:instrText xml:space="preserve"> PAGEREF _Toc17446 \h </w:instrText>
          </w:r>
          <w:r>
            <w:fldChar w:fldCharType="separate"/>
          </w:r>
          <w:r>
            <w:t>100</w:t>
          </w:r>
          <w:r>
            <w:fldChar w:fldCharType="end"/>
          </w:r>
          <w:r>
            <w:rPr>
              <w:color w:val="auto"/>
              <w:lang w:val="zh-CN"/>
            </w:rPr>
            <w:fldChar w:fldCharType="end"/>
          </w:r>
        </w:p>
        <w:p w14:paraId="37BD9A69">
          <w:pPr>
            <w:pStyle w:val="13"/>
            <w:tabs>
              <w:tab w:val="right" w:leader="dot" w:pos="8306"/>
              <w:tab w:val="clear" w:pos="8296"/>
            </w:tabs>
          </w:pPr>
          <w:r>
            <w:rPr>
              <w:color w:val="auto"/>
              <w:lang w:val="zh-CN"/>
            </w:rPr>
            <w:fldChar w:fldCharType="begin"/>
          </w:r>
          <w:r>
            <w:rPr>
              <w:lang w:val="zh-CN"/>
            </w:rPr>
            <w:instrText xml:space="preserve"> HYPERLINK \l _Toc26697 </w:instrText>
          </w:r>
          <w:r>
            <w:rPr>
              <w:lang w:val="zh-CN"/>
            </w:rPr>
            <w:fldChar w:fldCharType="separate"/>
          </w:r>
          <w:r>
            <w:rPr>
              <w:rFonts w:hint="eastAsia"/>
              <w:i w:val="0"/>
              <w:lang w:eastAsia="zh-CN"/>
            </w:rPr>
            <w:t xml:space="preserve">3.4.2 </w:t>
          </w:r>
          <w:r>
            <w:rPr>
              <w:rFonts w:hint="eastAsia"/>
              <w:lang w:val="en-US" w:eastAsia="zh-CN"/>
            </w:rPr>
            <w:t>微精版</w:t>
          </w:r>
          <w:r>
            <w:tab/>
          </w:r>
          <w:r>
            <w:fldChar w:fldCharType="begin"/>
          </w:r>
          <w:r>
            <w:instrText xml:space="preserve"> PAGEREF _Toc26697 \h </w:instrText>
          </w:r>
          <w:r>
            <w:fldChar w:fldCharType="separate"/>
          </w:r>
          <w:r>
            <w:t>109</w:t>
          </w:r>
          <w:r>
            <w:fldChar w:fldCharType="end"/>
          </w:r>
          <w:r>
            <w:rPr>
              <w:color w:val="auto"/>
              <w:lang w:val="zh-CN"/>
            </w:rPr>
            <w:fldChar w:fldCharType="end"/>
          </w:r>
        </w:p>
        <w:p w14:paraId="44223D30">
          <w:pPr>
            <w:pStyle w:val="18"/>
            <w:tabs>
              <w:tab w:val="right" w:leader="dot" w:pos="8306"/>
            </w:tabs>
          </w:pPr>
          <w:r>
            <w:rPr>
              <w:color w:val="auto"/>
              <w:lang w:val="zh-CN"/>
            </w:rPr>
            <w:fldChar w:fldCharType="begin"/>
          </w:r>
          <w:r>
            <w:rPr>
              <w:lang w:val="zh-CN"/>
            </w:rPr>
            <w:instrText xml:space="preserve"> HYPERLINK \l _Toc17563 </w:instrText>
          </w:r>
          <w:r>
            <w:rPr>
              <w:lang w:val="zh-CN"/>
            </w:rPr>
            <w:fldChar w:fldCharType="separate"/>
          </w:r>
          <w:r>
            <w:rPr>
              <w:rFonts w:hint="eastAsia"/>
              <w:i w:val="0"/>
              <w:lang w:val="en-US" w:eastAsia="zh-CN"/>
            </w:rPr>
            <w:t xml:space="preserve">3.5 </w:t>
          </w:r>
          <w:r>
            <w:rPr>
              <w:rFonts w:hint="eastAsia"/>
              <w:highlight w:val="none"/>
              <w:lang w:val="en-US" w:eastAsia="zh-CN"/>
            </w:rPr>
            <w:t>现有污染防治措施及达标分析</w:t>
          </w:r>
          <w:r>
            <w:tab/>
          </w:r>
          <w:r>
            <w:fldChar w:fldCharType="begin"/>
          </w:r>
          <w:r>
            <w:instrText xml:space="preserve"> PAGEREF _Toc17563 \h </w:instrText>
          </w:r>
          <w:r>
            <w:fldChar w:fldCharType="separate"/>
          </w:r>
          <w:r>
            <w:t>115</w:t>
          </w:r>
          <w:r>
            <w:fldChar w:fldCharType="end"/>
          </w:r>
          <w:r>
            <w:rPr>
              <w:color w:val="auto"/>
              <w:lang w:val="zh-CN"/>
            </w:rPr>
            <w:fldChar w:fldCharType="end"/>
          </w:r>
        </w:p>
        <w:p w14:paraId="4CF1EB12">
          <w:pPr>
            <w:pStyle w:val="13"/>
            <w:tabs>
              <w:tab w:val="right" w:leader="dot" w:pos="8306"/>
              <w:tab w:val="clear" w:pos="8296"/>
            </w:tabs>
          </w:pPr>
          <w:r>
            <w:rPr>
              <w:color w:val="auto"/>
              <w:lang w:val="zh-CN"/>
            </w:rPr>
            <w:fldChar w:fldCharType="begin"/>
          </w:r>
          <w:r>
            <w:rPr>
              <w:lang w:val="zh-CN"/>
            </w:rPr>
            <w:instrText xml:space="preserve"> HYPERLINK \l _Toc19750 </w:instrText>
          </w:r>
          <w:r>
            <w:rPr>
              <w:lang w:val="zh-CN"/>
            </w:rPr>
            <w:fldChar w:fldCharType="separate"/>
          </w:r>
          <w:r>
            <w:rPr>
              <w:rFonts w:hint="eastAsia"/>
              <w:i w:val="0"/>
            </w:rPr>
            <w:t xml:space="preserve">3.5.1 </w:t>
          </w:r>
          <w:r>
            <w:rPr>
              <w:rFonts w:hint="eastAsia"/>
            </w:rPr>
            <w:t>大气污染物产生排放情况</w:t>
          </w:r>
          <w:r>
            <w:tab/>
          </w:r>
          <w:r>
            <w:fldChar w:fldCharType="begin"/>
          </w:r>
          <w:r>
            <w:instrText xml:space="preserve"> PAGEREF _Toc19750 \h </w:instrText>
          </w:r>
          <w:r>
            <w:fldChar w:fldCharType="separate"/>
          </w:r>
          <w:r>
            <w:t>115</w:t>
          </w:r>
          <w:r>
            <w:fldChar w:fldCharType="end"/>
          </w:r>
          <w:r>
            <w:rPr>
              <w:color w:val="auto"/>
              <w:lang w:val="zh-CN"/>
            </w:rPr>
            <w:fldChar w:fldCharType="end"/>
          </w:r>
        </w:p>
        <w:p w14:paraId="0BBE5342">
          <w:pPr>
            <w:pStyle w:val="13"/>
            <w:tabs>
              <w:tab w:val="right" w:leader="dot" w:pos="8306"/>
              <w:tab w:val="clear" w:pos="8296"/>
            </w:tabs>
          </w:pPr>
          <w:r>
            <w:rPr>
              <w:color w:val="auto"/>
              <w:lang w:val="zh-CN"/>
            </w:rPr>
            <w:fldChar w:fldCharType="begin"/>
          </w:r>
          <w:r>
            <w:rPr>
              <w:lang w:val="zh-CN"/>
            </w:rPr>
            <w:instrText xml:space="preserve"> HYPERLINK \l _Toc13296 </w:instrText>
          </w:r>
          <w:r>
            <w:rPr>
              <w:lang w:val="zh-CN"/>
            </w:rPr>
            <w:fldChar w:fldCharType="separate"/>
          </w:r>
          <w:r>
            <w:rPr>
              <w:rFonts w:hint="eastAsia"/>
              <w:i w:val="0"/>
            </w:rPr>
            <w:t xml:space="preserve">3.5.2 </w:t>
          </w:r>
          <w:r>
            <w:rPr>
              <w:rFonts w:hint="eastAsia"/>
            </w:rPr>
            <w:t>废水</w:t>
          </w:r>
          <w:r>
            <w:rPr>
              <w:rFonts w:hint="eastAsia"/>
              <w:lang w:val="en-US" w:eastAsia="zh-CN"/>
            </w:rPr>
            <w:t>产生排放情况</w:t>
          </w:r>
          <w:r>
            <w:tab/>
          </w:r>
          <w:r>
            <w:fldChar w:fldCharType="begin"/>
          </w:r>
          <w:r>
            <w:instrText xml:space="preserve"> PAGEREF _Toc13296 \h </w:instrText>
          </w:r>
          <w:r>
            <w:fldChar w:fldCharType="separate"/>
          </w:r>
          <w:r>
            <w:t>132</w:t>
          </w:r>
          <w:r>
            <w:fldChar w:fldCharType="end"/>
          </w:r>
          <w:r>
            <w:rPr>
              <w:color w:val="auto"/>
              <w:lang w:val="zh-CN"/>
            </w:rPr>
            <w:fldChar w:fldCharType="end"/>
          </w:r>
        </w:p>
        <w:p w14:paraId="6A3C4E7C">
          <w:pPr>
            <w:pStyle w:val="13"/>
            <w:tabs>
              <w:tab w:val="right" w:leader="dot" w:pos="8306"/>
              <w:tab w:val="clear" w:pos="8296"/>
            </w:tabs>
          </w:pPr>
          <w:r>
            <w:rPr>
              <w:color w:val="auto"/>
              <w:lang w:val="zh-CN"/>
            </w:rPr>
            <w:fldChar w:fldCharType="begin"/>
          </w:r>
          <w:r>
            <w:rPr>
              <w:lang w:val="zh-CN"/>
            </w:rPr>
            <w:instrText xml:space="preserve"> HYPERLINK \l _Toc13183 </w:instrText>
          </w:r>
          <w:r>
            <w:rPr>
              <w:lang w:val="zh-CN"/>
            </w:rPr>
            <w:fldChar w:fldCharType="separate"/>
          </w:r>
          <w:r>
            <w:rPr>
              <w:rFonts w:hint="eastAsia"/>
              <w:i w:val="0"/>
            </w:rPr>
            <w:t xml:space="preserve">3.5.3 </w:t>
          </w:r>
          <w:r>
            <w:rPr>
              <w:rFonts w:hint="eastAsia"/>
              <w:lang w:val="en-US" w:eastAsia="zh-CN"/>
            </w:rPr>
            <w:t>固体废物产生排放情况</w:t>
          </w:r>
          <w:r>
            <w:tab/>
          </w:r>
          <w:r>
            <w:fldChar w:fldCharType="begin"/>
          </w:r>
          <w:r>
            <w:instrText xml:space="preserve"> PAGEREF _Toc13183 \h </w:instrText>
          </w:r>
          <w:r>
            <w:fldChar w:fldCharType="separate"/>
          </w:r>
          <w:r>
            <w:t>137</w:t>
          </w:r>
          <w:r>
            <w:fldChar w:fldCharType="end"/>
          </w:r>
          <w:r>
            <w:rPr>
              <w:color w:val="auto"/>
              <w:lang w:val="zh-CN"/>
            </w:rPr>
            <w:fldChar w:fldCharType="end"/>
          </w:r>
        </w:p>
        <w:p w14:paraId="518971B6">
          <w:pPr>
            <w:pStyle w:val="13"/>
            <w:tabs>
              <w:tab w:val="right" w:leader="dot" w:pos="8306"/>
              <w:tab w:val="clear" w:pos="8296"/>
            </w:tabs>
          </w:pPr>
          <w:r>
            <w:rPr>
              <w:color w:val="auto"/>
              <w:lang w:val="zh-CN"/>
            </w:rPr>
            <w:fldChar w:fldCharType="begin"/>
          </w:r>
          <w:r>
            <w:rPr>
              <w:lang w:val="zh-CN"/>
            </w:rPr>
            <w:instrText xml:space="preserve"> HYPERLINK \l _Toc14713 </w:instrText>
          </w:r>
          <w:r>
            <w:rPr>
              <w:lang w:val="zh-CN"/>
            </w:rPr>
            <w:fldChar w:fldCharType="separate"/>
          </w:r>
          <w:r>
            <w:rPr>
              <w:rFonts w:hint="eastAsia" w:eastAsia="仿宋_GB2312"/>
              <w:i w:val="0"/>
              <w:lang w:val="en-US" w:eastAsia="zh-CN"/>
            </w:rPr>
            <w:t xml:space="preserve">3.5.4 </w:t>
          </w:r>
          <w:r>
            <w:rPr>
              <w:rFonts w:hint="eastAsia"/>
              <w:lang w:val="en-US" w:eastAsia="zh-CN"/>
            </w:rPr>
            <w:t>噪声产生排放情况</w:t>
          </w:r>
          <w:r>
            <w:tab/>
          </w:r>
          <w:r>
            <w:fldChar w:fldCharType="begin"/>
          </w:r>
          <w:r>
            <w:instrText xml:space="preserve"> PAGEREF _Toc14713 \h </w:instrText>
          </w:r>
          <w:r>
            <w:fldChar w:fldCharType="separate"/>
          </w:r>
          <w:r>
            <w:t>141</w:t>
          </w:r>
          <w:r>
            <w:fldChar w:fldCharType="end"/>
          </w:r>
          <w:r>
            <w:rPr>
              <w:color w:val="auto"/>
              <w:lang w:val="zh-CN"/>
            </w:rPr>
            <w:fldChar w:fldCharType="end"/>
          </w:r>
        </w:p>
        <w:p w14:paraId="3124FC46">
          <w:pPr>
            <w:pStyle w:val="13"/>
            <w:tabs>
              <w:tab w:val="right" w:leader="dot" w:pos="8306"/>
              <w:tab w:val="clear" w:pos="8296"/>
            </w:tabs>
          </w:pPr>
          <w:r>
            <w:rPr>
              <w:color w:val="auto"/>
              <w:lang w:val="zh-CN"/>
            </w:rPr>
            <w:fldChar w:fldCharType="begin"/>
          </w:r>
          <w:r>
            <w:rPr>
              <w:lang w:val="zh-CN"/>
            </w:rPr>
            <w:instrText xml:space="preserve"> HYPERLINK \l _Toc30788 </w:instrText>
          </w:r>
          <w:r>
            <w:rPr>
              <w:lang w:val="zh-CN"/>
            </w:rPr>
            <w:fldChar w:fldCharType="separate"/>
          </w:r>
          <w:r>
            <w:rPr>
              <w:rFonts w:hint="eastAsia" w:eastAsia="仿宋_GB2312"/>
              <w:i w:val="0"/>
              <w:lang w:val="en-US" w:eastAsia="zh-CN"/>
            </w:rPr>
            <w:t xml:space="preserve">3.5.5 </w:t>
          </w:r>
          <w:r>
            <w:rPr>
              <w:rFonts w:hint="eastAsia"/>
              <w:lang w:val="en-US" w:eastAsia="zh-CN"/>
            </w:rPr>
            <w:t>地下水及土壤污染防治现状</w:t>
          </w:r>
          <w:r>
            <w:tab/>
          </w:r>
          <w:r>
            <w:fldChar w:fldCharType="begin"/>
          </w:r>
          <w:r>
            <w:instrText xml:space="preserve"> PAGEREF _Toc30788 \h </w:instrText>
          </w:r>
          <w:r>
            <w:fldChar w:fldCharType="separate"/>
          </w:r>
          <w:r>
            <w:t>142</w:t>
          </w:r>
          <w:r>
            <w:fldChar w:fldCharType="end"/>
          </w:r>
          <w:r>
            <w:rPr>
              <w:color w:val="auto"/>
              <w:lang w:val="zh-CN"/>
            </w:rPr>
            <w:fldChar w:fldCharType="end"/>
          </w:r>
        </w:p>
        <w:p w14:paraId="61525BE8">
          <w:pPr>
            <w:pStyle w:val="18"/>
            <w:tabs>
              <w:tab w:val="right" w:leader="dot" w:pos="8306"/>
            </w:tabs>
          </w:pPr>
          <w:r>
            <w:rPr>
              <w:color w:val="auto"/>
              <w:lang w:val="zh-CN"/>
            </w:rPr>
            <w:fldChar w:fldCharType="begin"/>
          </w:r>
          <w:r>
            <w:rPr>
              <w:lang w:val="zh-CN"/>
            </w:rPr>
            <w:instrText xml:space="preserve"> HYPERLINK \l _Toc28076 </w:instrText>
          </w:r>
          <w:r>
            <w:rPr>
              <w:lang w:val="zh-CN"/>
            </w:rPr>
            <w:fldChar w:fldCharType="separate"/>
          </w:r>
          <w:r>
            <w:rPr>
              <w:rFonts w:hint="eastAsia"/>
              <w:i w:val="0"/>
              <w:lang w:val="en-US" w:eastAsia="zh-CN"/>
            </w:rPr>
            <w:t xml:space="preserve">3.6 </w:t>
          </w:r>
          <w:r>
            <w:rPr>
              <w:rFonts w:hint="eastAsia"/>
              <w:lang w:val="en-US" w:eastAsia="zh-CN"/>
            </w:rPr>
            <w:t>现有项目排污许可证及自行监测执行情况</w:t>
          </w:r>
          <w:r>
            <w:tab/>
          </w:r>
          <w:r>
            <w:fldChar w:fldCharType="begin"/>
          </w:r>
          <w:r>
            <w:instrText xml:space="preserve"> PAGEREF _Toc28076 \h </w:instrText>
          </w:r>
          <w:r>
            <w:fldChar w:fldCharType="separate"/>
          </w:r>
          <w:r>
            <w:t>146</w:t>
          </w:r>
          <w:r>
            <w:fldChar w:fldCharType="end"/>
          </w:r>
          <w:r>
            <w:rPr>
              <w:color w:val="auto"/>
              <w:lang w:val="zh-CN"/>
            </w:rPr>
            <w:fldChar w:fldCharType="end"/>
          </w:r>
        </w:p>
        <w:p w14:paraId="12B3FE68">
          <w:pPr>
            <w:pStyle w:val="18"/>
            <w:tabs>
              <w:tab w:val="right" w:leader="dot" w:pos="8306"/>
            </w:tabs>
          </w:pPr>
          <w:r>
            <w:rPr>
              <w:color w:val="auto"/>
              <w:lang w:val="zh-CN"/>
            </w:rPr>
            <w:fldChar w:fldCharType="begin"/>
          </w:r>
          <w:r>
            <w:rPr>
              <w:lang w:val="zh-CN"/>
            </w:rPr>
            <w:instrText xml:space="preserve"> HYPERLINK \l _Toc19533 </w:instrText>
          </w:r>
          <w:r>
            <w:rPr>
              <w:lang w:val="zh-CN"/>
            </w:rPr>
            <w:fldChar w:fldCharType="separate"/>
          </w:r>
          <w:r>
            <w:rPr>
              <w:rFonts w:hint="eastAsia"/>
              <w:i w:val="0"/>
              <w:lang w:val="en-US" w:eastAsia="zh-CN"/>
            </w:rPr>
            <w:t xml:space="preserve">3.7 </w:t>
          </w:r>
          <w:r>
            <w:rPr>
              <w:rFonts w:hint="eastAsia"/>
              <w:lang w:val="en-US" w:eastAsia="zh-CN"/>
            </w:rPr>
            <w:t>应急预案备案情况</w:t>
          </w:r>
          <w:r>
            <w:tab/>
          </w:r>
          <w:r>
            <w:fldChar w:fldCharType="begin"/>
          </w:r>
          <w:r>
            <w:instrText xml:space="preserve"> PAGEREF _Toc19533 \h </w:instrText>
          </w:r>
          <w:r>
            <w:fldChar w:fldCharType="separate"/>
          </w:r>
          <w:r>
            <w:t>146</w:t>
          </w:r>
          <w:r>
            <w:fldChar w:fldCharType="end"/>
          </w:r>
          <w:r>
            <w:rPr>
              <w:color w:val="auto"/>
              <w:lang w:val="zh-CN"/>
            </w:rPr>
            <w:fldChar w:fldCharType="end"/>
          </w:r>
        </w:p>
        <w:p w14:paraId="5B23D7D3">
          <w:pPr>
            <w:pStyle w:val="18"/>
            <w:tabs>
              <w:tab w:val="right" w:leader="dot" w:pos="8306"/>
            </w:tabs>
          </w:pPr>
          <w:r>
            <w:rPr>
              <w:color w:val="auto"/>
              <w:lang w:val="zh-CN"/>
            </w:rPr>
            <w:fldChar w:fldCharType="begin"/>
          </w:r>
          <w:r>
            <w:rPr>
              <w:lang w:val="zh-CN"/>
            </w:rPr>
            <w:instrText xml:space="preserve"> HYPERLINK \l _Toc14156 </w:instrText>
          </w:r>
          <w:r>
            <w:rPr>
              <w:lang w:val="zh-CN"/>
            </w:rPr>
            <w:fldChar w:fldCharType="separate"/>
          </w:r>
          <w:r>
            <w:rPr>
              <w:rFonts w:hint="eastAsia"/>
              <w:i w:val="0"/>
            </w:rPr>
            <w:t xml:space="preserve">3.8 </w:t>
          </w:r>
          <w:r>
            <w:rPr>
              <w:rFonts w:hint="eastAsia"/>
              <w:lang w:val="en-US" w:eastAsia="zh-CN"/>
            </w:rPr>
            <w:t>现有厂区环保投诉与环境污染事件情况</w:t>
          </w:r>
          <w:r>
            <w:tab/>
          </w:r>
          <w:r>
            <w:fldChar w:fldCharType="begin"/>
          </w:r>
          <w:r>
            <w:instrText xml:space="preserve"> PAGEREF _Toc14156 \h </w:instrText>
          </w:r>
          <w:r>
            <w:fldChar w:fldCharType="separate"/>
          </w:r>
          <w:r>
            <w:t>147</w:t>
          </w:r>
          <w:r>
            <w:fldChar w:fldCharType="end"/>
          </w:r>
          <w:r>
            <w:rPr>
              <w:color w:val="auto"/>
              <w:lang w:val="zh-CN"/>
            </w:rPr>
            <w:fldChar w:fldCharType="end"/>
          </w:r>
        </w:p>
        <w:p w14:paraId="48FE9065">
          <w:pPr>
            <w:pStyle w:val="18"/>
            <w:tabs>
              <w:tab w:val="right" w:leader="dot" w:pos="8306"/>
            </w:tabs>
          </w:pPr>
          <w:r>
            <w:rPr>
              <w:color w:val="auto"/>
              <w:lang w:val="zh-CN"/>
            </w:rPr>
            <w:fldChar w:fldCharType="begin"/>
          </w:r>
          <w:r>
            <w:rPr>
              <w:lang w:val="zh-CN"/>
            </w:rPr>
            <w:instrText xml:space="preserve"> HYPERLINK \l _Toc22363 </w:instrText>
          </w:r>
          <w:r>
            <w:rPr>
              <w:lang w:val="zh-CN"/>
            </w:rPr>
            <w:fldChar w:fldCharType="separate"/>
          </w:r>
          <w:r>
            <w:rPr>
              <w:rFonts w:hint="eastAsia"/>
              <w:i w:val="0"/>
              <w:lang w:val="en-US" w:eastAsia="zh-CN"/>
            </w:rPr>
            <w:t xml:space="preserve">3.9 </w:t>
          </w:r>
          <w:r>
            <w:rPr>
              <w:rFonts w:hint="eastAsia"/>
              <w:lang w:val="en-US" w:eastAsia="zh-CN"/>
            </w:rPr>
            <w:t>现有项目环评批复污染物排放量汇总</w:t>
          </w:r>
          <w:r>
            <w:tab/>
          </w:r>
          <w:r>
            <w:fldChar w:fldCharType="begin"/>
          </w:r>
          <w:r>
            <w:instrText xml:space="preserve"> PAGEREF _Toc22363 \h </w:instrText>
          </w:r>
          <w:r>
            <w:fldChar w:fldCharType="separate"/>
          </w:r>
          <w:r>
            <w:t>147</w:t>
          </w:r>
          <w:r>
            <w:fldChar w:fldCharType="end"/>
          </w:r>
          <w:r>
            <w:rPr>
              <w:color w:val="auto"/>
              <w:lang w:val="zh-CN"/>
            </w:rPr>
            <w:fldChar w:fldCharType="end"/>
          </w:r>
        </w:p>
        <w:p w14:paraId="1319E786">
          <w:pPr>
            <w:pStyle w:val="18"/>
            <w:tabs>
              <w:tab w:val="right" w:leader="dot" w:pos="8306"/>
            </w:tabs>
          </w:pPr>
          <w:r>
            <w:rPr>
              <w:color w:val="auto"/>
              <w:lang w:val="zh-CN"/>
            </w:rPr>
            <w:fldChar w:fldCharType="begin"/>
          </w:r>
          <w:r>
            <w:rPr>
              <w:lang w:val="zh-CN"/>
            </w:rPr>
            <w:instrText xml:space="preserve"> HYPERLINK \l _Toc13051 </w:instrText>
          </w:r>
          <w:r>
            <w:rPr>
              <w:lang w:val="zh-CN"/>
            </w:rPr>
            <w:fldChar w:fldCharType="separate"/>
          </w:r>
          <w:r>
            <w:rPr>
              <w:rFonts w:hint="eastAsia"/>
              <w:i w:val="0"/>
              <w:lang w:val="en-US" w:eastAsia="zh-CN"/>
            </w:rPr>
            <w:t xml:space="preserve">3.10 </w:t>
          </w:r>
          <w:r>
            <w:rPr>
              <w:rFonts w:hint="eastAsia"/>
              <w:lang w:val="en-US" w:eastAsia="zh-CN"/>
            </w:rPr>
            <w:t>存在问题及“以新带老”措施</w:t>
          </w:r>
          <w:r>
            <w:tab/>
          </w:r>
          <w:r>
            <w:fldChar w:fldCharType="begin"/>
          </w:r>
          <w:r>
            <w:instrText xml:space="preserve"> PAGEREF _Toc13051 \h </w:instrText>
          </w:r>
          <w:r>
            <w:fldChar w:fldCharType="separate"/>
          </w:r>
          <w:r>
            <w:t>148</w:t>
          </w:r>
          <w:r>
            <w:fldChar w:fldCharType="end"/>
          </w:r>
          <w:r>
            <w:rPr>
              <w:color w:val="auto"/>
              <w:lang w:val="zh-CN"/>
            </w:rPr>
            <w:fldChar w:fldCharType="end"/>
          </w:r>
        </w:p>
        <w:p w14:paraId="53F7F7E4">
          <w:pPr>
            <w:pStyle w:val="16"/>
            <w:tabs>
              <w:tab w:val="right" w:leader="dot" w:pos="8306"/>
            </w:tabs>
          </w:pPr>
          <w:r>
            <w:rPr>
              <w:color w:val="auto"/>
              <w:lang w:val="zh-CN"/>
            </w:rPr>
            <w:fldChar w:fldCharType="begin"/>
          </w:r>
          <w:r>
            <w:rPr>
              <w:lang w:val="zh-CN"/>
            </w:rPr>
            <w:instrText xml:space="preserve"> HYPERLINK \l _Toc4062 </w:instrText>
          </w:r>
          <w:r>
            <w:rPr>
              <w:lang w:val="zh-CN"/>
            </w:rPr>
            <w:fldChar w:fldCharType="separate"/>
          </w:r>
          <w:r>
            <w:rPr>
              <w:rFonts w:hint="eastAsia"/>
              <w:i w:val="0"/>
              <w:szCs w:val="30"/>
            </w:rPr>
            <w:t xml:space="preserve">4 </w:t>
          </w:r>
          <w:r>
            <w:rPr>
              <w:rFonts w:hint="eastAsia"/>
            </w:rPr>
            <w:t>建设项目概况与工程分析</w:t>
          </w:r>
          <w:r>
            <w:tab/>
          </w:r>
          <w:r>
            <w:fldChar w:fldCharType="begin"/>
          </w:r>
          <w:r>
            <w:instrText xml:space="preserve"> PAGEREF _Toc4062 \h </w:instrText>
          </w:r>
          <w:r>
            <w:fldChar w:fldCharType="separate"/>
          </w:r>
          <w:r>
            <w:t>149</w:t>
          </w:r>
          <w:r>
            <w:fldChar w:fldCharType="end"/>
          </w:r>
          <w:r>
            <w:rPr>
              <w:color w:val="auto"/>
              <w:lang w:val="zh-CN"/>
            </w:rPr>
            <w:fldChar w:fldCharType="end"/>
          </w:r>
        </w:p>
        <w:p w14:paraId="0041A168">
          <w:pPr>
            <w:pStyle w:val="18"/>
            <w:tabs>
              <w:tab w:val="right" w:leader="dot" w:pos="8306"/>
            </w:tabs>
          </w:pPr>
          <w:r>
            <w:rPr>
              <w:color w:val="auto"/>
              <w:lang w:val="zh-CN"/>
            </w:rPr>
            <w:fldChar w:fldCharType="begin"/>
          </w:r>
          <w:r>
            <w:rPr>
              <w:lang w:val="zh-CN"/>
            </w:rPr>
            <w:instrText xml:space="preserve"> HYPERLINK \l _Toc93 </w:instrText>
          </w:r>
          <w:r>
            <w:rPr>
              <w:lang w:val="zh-CN"/>
            </w:rPr>
            <w:fldChar w:fldCharType="separate"/>
          </w:r>
          <w:r>
            <w:rPr>
              <w:rFonts w:hint="eastAsia"/>
              <w:i w:val="0"/>
            </w:rPr>
            <w:t xml:space="preserve">4.1 </w:t>
          </w:r>
          <w:r>
            <w:rPr>
              <w:rFonts w:hint="eastAsia"/>
            </w:rPr>
            <w:t>项目概况</w:t>
          </w:r>
          <w:r>
            <w:tab/>
          </w:r>
          <w:r>
            <w:fldChar w:fldCharType="begin"/>
          </w:r>
          <w:r>
            <w:instrText xml:space="preserve"> PAGEREF _Toc93 \h </w:instrText>
          </w:r>
          <w:r>
            <w:fldChar w:fldCharType="separate"/>
          </w:r>
          <w:r>
            <w:t>149</w:t>
          </w:r>
          <w:r>
            <w:fldChar w:fldCharType="end"/>
          </w:r>
          <w:r>
            <w:rPr>
              <w:color w:val="auto"/>
              <w:lang w:val="zh-CN"/>
            </w:rPr>
            <w:fldChar w:fldCharType="end"/>
          </w:r>
        </w:p>
        <w:p w14:paraId="6C6D39EC">
          <w:pPr>
            <w:pStyle w:val="13"/>
            <w:tabs>
              <w:tab w:val="right" w:leader="dot" w:pos="8306"/>
              <w:tab w:val="clear" w:pos="8296"/>
            </w:tabs>
          </w:pPr>
          <w:r>
            <w:rPr>
              <w:color w:val="auto"/>
              <w:lang w:val="zh-CN"/>
            </w:rPr>
            <w:fldChar w:fldCharType="begin"/>
          </w:r>
          <w:r>
            <w:rPr>
              <w:lang w:val="zh-CN"/>
            </w:rPr>
            <w:instrText xml:space="preserve"> HYPERLINK \l _Toc22043 </w:instrText>
          </w:r>
          <w:r>
            <w:rPr>
              <w:lang w:val="zh-CN"/>
            </w:rPr>
            <w:fldChar w:fldCharType="separate"/>
          </w:r>
          <w:r>
            <w:rPr>
              <w:rFonts w:hint="eastAsia"/>
              <w:i w:val="0"/>
            </w:rPr>
            <w:t xml:space="preserve">4.1.1 </w:t>
          </w:r>
          <w:r>
            <w:rPr>
              <w:rFonts w:hint="eastAsia"/>
            </w:rPr>
            <w:t>基本情况</w:t>
          </w:r>
          <w:r>
            <w:tab/>
          </w:r>
          <w:r>
            <w:fldChar w:fldCharType="begin"/>
          </w:r>
          <w:r>
            <w:instrText xml:space="preserve"> PAGEREF _Toc22043 \h </w:instrText>
          </w:r>
          <w:r>
            <w:fldChar w:fldCharType="separate"/>
          </w:r>
          <w:r>
            <w:t>149</w:t>
          </w:r>
          <w:r>
            <w:fldChar w:fldCharType="end"/>
          </w:r>
          <w:r>
            <w:rPr>
              <w:color w:val="auto"/>
              <w:lang w:val="zh-CN"/>
            </w:rPr>
            <w:fldChar w:fldCharType="end"/>
          </w:r>
        </w:p>
        <w:p w14:paraId="753B6E39">
          <w:pPr>
            <w:pStyle w:val="13"/>
            <w:tabs>
              <w:tab w:val="right" w:leader="dot" w:pos="8306"/>
              <w:tab w:val="clear" w:pos="8296"/>
            </w:tabs>
          </w:pPr>
          <w:r>
            <w:rPr>
              <w:color w:val="auto"/>
              <w:lang w:val="zh-CN"/>
            </w:rPr>
            <w:fldChar w:fldCharType="begin"/>
          </w:r>
          <w:r>
            <w:rPr>
              <w:lang w:val="zh-CN"/>
            </w:rPr>
            <w:instrText xml:space="preserve"> HYPERLINK \l _Toc26916 </w:instrText>
          </w:r>
          <w:r>
            <w:rPr>
              <w:lang w:val="zh-CN"/>
            </w:rPr>
            <w:fldChar w:fldCharType="separate"/>
          </w:r>
          <w:r>
            <w:rPr>
              <w:rFonts w:hint="eastAsia"/>
              <w:i w:val="0"/>
            </w:rPr>
            <w:t xml:space="preserve">4.1.2 </w:t>
          </w:r>
          <w:r>
            <w:rPr>
              <w:rFonts w:hint="eastAsia"/>
              <w:lang w:val="en-US" w:eastAsia="zh-CN"/>
            </w:rPr>
            <w:t>建设内容</w:t>
          </w:r>
          <w:r>
            <w:tab/>
          </w:r>
          <w:r>
            <w:fldChar w:fldCharType="begin"/>
          </w:r>
          <w:r>
            <w:instrText xml:space="preserve"> PAGEREF _Toc26916 \h </w:instrText>
          </w:r>
          <w:r>
            <w:fldChar w:fldCharType="separate"/>
          </w:r>
          <w:r>
            <w:t>149</w:t>
          </w:r>
          <w:r>
            <w:fldChar w:fldCharType="end"/>
          </w:r>
          <w:r>
            <w:rPr>
              <w:color w:val="auto"/>
              <w:lang w:val="zh-CN"/>
            </w:rPr>
            <w:fldChar w:fldCharType="end"/>
          </w:r>
        </w:p>
        <w:p w14:paraId="020CEEA6">
          <w:pPr>
            <w:pStyle w:val="13"/>
            <w:tabs>
              <w:tab w:val="right" w:leader="dot" w:pos="8306"/>
              <w:tab w:val="clear" w:pos="8296"/>
            </w:tabs>
          </w:pPr>
          <w:r>
            <w:rPr>
              <w:color w:val="auto"/>
              <w:lang w:val="zh-CN"/>
            </w:rPr>
            <w:fldChar w:fldCharType="begin"/>
          </w:r>
          <w:r>
            <w:rPr>
              <w:lang w:val="zh-CN"/>
            </w:rPr>
            <w:instrText xml:space="preserve"> HYPERLINK \l _Toc5487 </w:instrText>
          </w:r>
          <w:r>
            <w:rPr>
              <w:lang w:val="zh-CN"/>
            </w:rPr>
            <w:fldChar w:fldCharType="separate"/>
          </w:r>
          <w:r>
            <w:rPr>
              <w:rFonts w:hint="eastAsia"/>
              <w:i w:val="0"/>
              <w:lang w:val="en-US" w:eastAsia="zh-CN"/>
            </w:rPr>
            <w:t xml:space="preserve">4.1.3 </w:t>
          </w:r>
          <w:r>
            <w:rPr>
              <w:rFonts w:hint="eastAsia"/>
              <w:lang w:val="en-US" w:eastAsia="zh-CN"/>
            </w:rPr>
            <w:t>产品方案</w:t>
          </w:r>
          <w:r>
            <w:tab/>
          </w:r>
          <w:r>
            <w:fldChar w:fldCharType="begin"/>
          </w:r>
          <w:r>
            <w:instrText xml:space="preserve"> PAGEREF _Toc5487 \h </w:instrText>
          </w:r>
          <w:r>
            <w:fldChar w:fldCharType="separate"/>
          </w:r>
          <w:r>
            <w:t>149</w:t>
          </w:r>
          <w:r>
            <w:fldChar w:fldCharType="end"/>
          </w:r>
          <w:r>
            <w:rPr>
              <w:color w:val="auto"/>
              <w:lang w:val="zh-CN"/>
            </w:rPr>
            <w:fldChar w:fldCharType="end"/>
          </w:r>
        </w:p>
        <w:p w14:paraId="092106C0">
          <w:pPr>
            <w:pStyle w:val="13"/>
            <w:tabs>
              <w:tab w:val="right" w:leader="dot" w:pos="8306"/>
              <w:tab w:val="clear" w:pos="8296"/>
            </w:tabs>
          </w:pPr>
          <w:r>
            <w:rPr>
              <w:color w:val="auto"/>
              <w:lang w:val="zh-CN"/>
            </w:rPr>
            <w:fldChar w:fldCharType="begin"/>
          </w:r>
          <w:r>
            <w:rPr>
              <w:lang w:val="zh-CN"/>
            </w:rPr>
            <w:instrText xml:space="preserve"> HYPERLINK \l _Toc14792 </w:instrText>
          </w:r>
          <w:r>
            <w:rPr>
              <w:lang w:val="zh-CN"/>
            </w:rPr>
            <w:fldChar w:fldCharType="separate"/>
          </w:r>
          <w:r>
            <w:rPr>
              <w:rFonts w:hint="eastAsia"/>
              <w:i w:val="0"/>
            </w:rPr>
            <w:t xml:space="preserve">4.1.4 </w:t>
          </w:r>
          <w:r>
            <w:rPr>
              <w:rFonts w:hint="eastAsia"/>
            </w:rPr>
            <w:t>项目建设必要性</w:t>
          </w:r>
          <w:r>
            <w:tab/>
          </w:r>
          <w:r>
            <w:fldChar w:fldCharType="begin"/>
          </w:r>
          <w:r>
            <w:instrText xml:space="preserve"> PAGEREF _Toc14792 \h </w:instrText>
          </w:r>
          <w:r>
            <w:fldChar w:fldCharType="separate"/>
          </w:r>
          <w:r>
            <w:t>151</w:t>
          </w:r>
          <w:r>
            <w:fldChar w:fldCharType="end"/>
          </w:r>
          <w:r>
            <w:rPr>
              <w:color w:val="auto"/>
              <w:lang w:val="zh-CN"/>
            </w:rPr>
            <w:fldChar w:fldCharType="end"/>
          </w:r>
        </w:p>
        <w:p w14:paraId="10A36B86">
          <w:pPr>
            <w:pStyle w:val="13"/>
            <w:tabs>
              <w:tab w:val="right" w:leader="dot" w:pos="8306"/>
              <w:tab w:val="clear" w:pos="8296"/>
            </w:tabs>
          </w:pPr>
          <w:r>
            <w:rPr>
              <w:color w:val="auto"/>
              <w:lang w:val="zh-CN"/>
            </w:rPr>
            <w:fldChar w:fldCharType="begin"/>
          </w:r>
          <w:r>
            <w:rPr>
              <w:lang w:val="zh-CN"/>
            </w:rPr>
            <w:instrText xml:space="preserve"> HYPERLINK \l _Toc1218 </w:instrText>
          </w:r>
          <w:r>
            <w:rPr>
              <w:lang w:val="zh-CN"/>
            </w:rPr>
            <w:fldChar w:fldCharType="separate"/>
          </w:r>
          <w:r>
            <w:rPr>
              <w:rFonts w:hint="eastAsia"/>
              <w:i w:val="0"/>
            </w:rPr>
            <w:t xml:space="preserve">4.1.5 </w:t>
          </w:r>
          <w:r>
            <w:rPr>
              <w:rFonts w:hint="eastAsia"/>
              <w:lang w:val="en-US" w:eastAsia="zh-CN"/>
            </w:rPr>
            <w:t>工程组成</w:t>
          </w:r>
          <w:r>
            <w:tab/>
          </w:r>
          <w:r>
            <w:fldChar w:fldCharType="begin"/>
          </w:r>
          <w:r>
            <w:instrText xml:space="preserve"> PAGEREF _Toc1218 \h </w:instrText>
          </w:r>
          <w:r>
            <w:fldChar w:fldCharType="separate"/>
          </w:r>
          <w:r>
            <w:t>152</w:t>
          </w:r>
          <w:r>
            <w:fldChar w:fldCharType="end"/>
          </w:r>
          <w:r>
            <w:rPr>
              <w:color w:val="auto"/>
              <w:lang w:val="zh-CN"/>
            </w:rPr>
            <w:fldChar w:fldCharType="end"/>
          </w:r>
        </w:p>
        <w:p w14:paraId="0066A5A5">
          <w:pPr>
            <w:pStyle w:val="13"/>
            <w:tabs>
              <w:tab w:val="right" w:leader="dot" w:pos="8306"/>
              <w:tab w:val="clear" w:pos="8296"/>
            </w:tabs>
          </w:pPr>
          <w:r>
            <w:rPr>
              <w:color w:val="auto"/>
              <w:lang w:val="zh-CN"/>
            </w:rPr>
            <w:fldChar w:fldCharType="begin"/>
          </w:r>
          <w:r>
            <w:rPr>
              <w:lang w:val="zh-CN"/>
            </w:rPr>
            <w:instrText xml:space="preserve"> HYPERLINK \l _Toc10080 </w:instrText>
          </w:r>
          <w:r>
            <w:rPr>
              <w:lang w:val="zh-CN"/>
            </w:rPr>
            <w:fldChar w:fldCharType="separate"/>
          </w:r>
          <w:r>
            <w:rPr>
              <w:rFonts w:hint="eastAsia"/>
              <w:i w:val="0"/>
            </w:rPr>
            <w:t xml:space="preserve">4.1.6 </w:t>
          </w:r>
          <w:r>
            <w:rPr>
              <w:rFonts w:hint="eastAsia"/>
            </w:rPr>
            <w:t>项目平面布置及周边环境概况</w:t>
          </w:r>
          <w:r>
            <w:tab/>
          </w:r>
          <w:r>
            <w:fldChar w:fldCharType="begin"/>
          </w:r>
          <w:r>
            <w:instrText xml:space="preserve"> PAGEREF _Toc10080 \h </w:instrText>
          </w:r>
          <w:r>
            <w:fldChar w:fldCharType="separate"/>
          </w:r>
          <w:r>
            <w:t>158</w:t>
          </w:r>
          <w:r>
            <w:fldChar w:fldCharType="end"/>
          </w:r>
          <w:r>
            <w:rPr>
              <w:color w:val="auto"/>
              <w:lang w:val="zh-CN"/>
            </w:rPr>
            <w:fldChar w:fldCharType="end"/>
          </w:r>
        </w:p>
        <w:p w14:paraId="3376682C">
          <w:pPr>
            <w:pStyle w:val="13"/>
            <w:tabs>
              <w:tab w:val="right" w:leader="dot" w:pos="8306"/>
              <w:tab w:val="clear" w:pos="8296"/>
            </w:tabs>
          </w:pPr>
          <w:r>
            <w:rPr>
              <w:color w:val="auto"/>
              <w:lang w:val="zh-CN"/>
            </w:rPr>
            <w:fldChar w:fldCharType="begin"/>
          </w:r>
          <w:r>
            <w:rPr>
              <w:lang w:val="zh-CN"/>
            </w:rPr>
            <w:instrText xml:space="preserve"> HYPERLINK \l _Toc20538 </w:instrText>
          </w:r>
          <w:r>
            <w:rPr>
              <w:lang w:val="zh-CN"/>
            </w:rPr>
            <w:fldChar w:fldCharType="separate"/>
          </w:r>
          <w:r>
            <w:rPr>
              <w:rFonts w:hint="eastAsia"/>
              <w:i w:val="0"/>
            </w:rPr>
            <w:t xml:space="preserve">4.1.7 </w:t>
          </w:r>
          <w:r>
            <w:rPr>
              <w:rFonts w:hint="eastAsia"/>
            </w:rPr>
            <w:t>主要生产设备</w:t>
          </w:r>
          <w:r>
            <w:tab/>
          </w:r>
          <w:r>
            <w:fldChar w:fldCharType="begin"/>
          </w:r>
          <w:r>
            <w:instrText xml:space="preserve"> PAGEREF _Toc20538 \h </w:instrText>
          </w:r>
          <w:r>
            <w:fldChar w:fldCharType="separate"/>
          </w:r>
          <w:r>
            <w:t>159</w:t>
          </w:r>
          <w:r>
            <w:fldChar w:fldCharType="end"/>
          </w:r>
          <w:r>
            <w:rPr>
              <w:color w:val="auto"/>
              <w:lang w:val="zh-CN"/>
            </w:rPr>
            <w:fldChar w:fldCharType="end"/>
          </w:r>
        </w:p>
        <w:p w14:paraId="5DC32786">
          <w:pPr>
            <w:pStyle w:val="13"/>
            <w:tabs>
              <w:tab w:val="right" w:leader="dot" w:pos="8306"/>
              <w:tab w:val="clear" w:pos="8296"/>
            </w:tabs>
          </w:pPr>
          <w:r>
            <w:rPr>
              <w:color w:val="auto"/>
              <w:lang w:val="zh-CN"/>
            </w:rPr>
            <w:fldChar w:fldCharType="begin"/>
          </w:r>
          <w:r>
            <w:rPr>
              <w:lang w:val="zh-CN"/>
            </w:rPr>
            <w:instrText xml:space="preserve"> HYPERLINK \l _Toc31191 </w:instrText>
          </w:r>
          <w:r>
            <w:rPr>
              <w:lang w:val="zh-CN"/>
            </w:rPr>
            <w:fldChar w:fldCharType="separate"/>
          </w:r>
          <w:r>
            <w:rPr>
              <w:rFonts w:hint="eastAsia"/>
              <w:i w:val="0"/>
            </w:rPr>
            <w:t xml:space="preserve">4.1.8 </w:t>
          </w:r>
          <w:r>
            <w:rPr>
              <w:rFonts w:hint="eastAsia"/>
            </w:rPr>
            <w:t>项目主要原辅材料及理化性质</w:t>
          </w:r>
          <w:r>
            <w:tab/>
          </w:r>
          <w:r>
            <w:fldChar w:fldCharType="begin"/>
          </w:r>
          <w:r>
            <w:instrText xml:space="preserve"> PAGEREF _Toc31191 \h </w:instrText>
          </w:r>
          <w:r>
            <w:fldChar w:fldCharType="separate"/>
          </w:r>
          <w:r>
            <w:t>165</w:t>
          </w:r>
          <w:r>
            <w:fldChar w:fldCharType="end"/>
          </w:r>
          <w:r>
            <w:rPr>
              <w:color w:val="auto"/>
              <w:lang w:val="zh-CN"/>
            </w:rPr>
            <w:fldChar w:fldCharType="end"/>
          </w:r>
        </w:p>
        <w:p w14:paraId="0CF4B3E0">
          <w:pPr>
            <w:pStyle w:val="18"/>
            <w:tabs>
              <w:tab w:val="right" w:leader="dot" w:pos="8306"/>
            </w:tabs>
          </w:pPr>
          <w:r>
            <w:rPr>
              <w:color w:val="auto"/>
              <w:lang w:val="zh-CN"/>
            </w:rPr>
            <w:fldChar w:fldCharType="begin"/>
          </w:r>
          <w:r>
            <w:rPr>
              <w:lang w:val="zh-CN"/>
            </w:rPr>
            <w:instrText xml:space="preserve"> HYPERLINK \l _Toc16496 </w:instrText>
          </w:r>
          <w:r>
            <w:rPr>
              <w:lang w:val="zh-CN"/>
            </w:rPr>
            <w:fldChar w:fldCharType="separate"/>
          </w:r>
          <w:r>
            <w:rPr>
              <w:rFonts w:hint="eastAsia"/>
              <w:i w:val="0"/>
            </w:rPr>
            <w:t xml:space="preserve">4.2 </w:t>
          </w:r>
          <w:r>
            <w:rPr>
              <w:rFonts w:hint="eastAsia"/>
            </w:rPr>
            <w:t>工艺流程及产污环节分析</w:t>
          </w:r>
          <w:r>
            <w:tab/>
          </w:r>
          <w:r>
            <w:fldChar w:fldCharType="begin"/>
          </w:r>
          <w:r>
            <w:instrText xml:space="preserve"> PAGEREF _Toc16496 \h </w:instrText>
          </w:r>
          <w:r>
            <w:fldChar w:fldCharType="separate"/>
          </w:r>
          <w:r>
            <w:t>168</w:t>
          </w:r>
          <w:r>
            <w:fldChar w:fldCharType="end"/>
          </w:r>
          <w:r>
            <w:rPr>
              <w:color w:val="auto"/>
              <w:lang w:val="zh-CN"/>
            </w:rPr>
            <w:fldChar w:fldCharType="end"/>
          </w:r>
        </w:p>
        <w:p w14:paraId="695BD13E">
          <w:pPr>
            <w:pStyle w:val="13"/>
            <w:tabs>
              <w:tab w:val="right" w:leader="dot" w:pos="8306"/>
              <w:tab w:val="clear" w:pos="8296"/>
            </w:tabs>
          </w:pPr>
          <w:r>
            <w:rPr>
              <w:color w:val="auto"/>
              <w:lang w:val="zh-CN"/>
            </w:rPr>
            <w:fldChar w:fldCharType="begin"/>
          </w:r>
          <w:r>
            <w:rPr>
              <w:lang w:val="zh-CN"/>
            </w:rPr>
            <w:instrText xml:space="preserve"> HYPERLINK \l _Toc21131 </w:instrText>
          </w:r>
          <w:r>
            <w:rPr>
              <w:lang w:val="zh-CN"/>
            </w:rPr>
            <w:fldChar w:fldCharType="separate"/>
          </w:r>
          <w:r>
            <w:rPr>
              <w:rFonts w:hint="eastAsia"/>
              <w:i w:val="0"/>
            </w:rPr>
            <w:t xml:space="preserve">4.2.1 </w:t>
          </w:r>
          <w:r>
            <w:rPr>
              <w:rFonts w:hint="eastAsia"/>
            </w:rPr>
            <w:t>工程</w:t>
          </w:r>
          <w:r>
            <w:rPr>
              <w:rFonts w:hint="eastAsia"/>
              <w:lang w:val="en-US" w:eastAsia="zh-CN"/>
            </w:rPr>
            <w:t>流程</w:t>
          </w:r>
          <w:r>
            <w:tab/>
          </w:r>
          <w:r>
            <w:fldChar w:fldCharType="begin"/>
          </w:r>
          <w:r>
            <w:instrText xml:space="preserve"> PAGEREF _Toc21131 \h </w:instrText>
          </w:r>
          <w:r>
            <w:fldChar w:fldCharType="separate"/>
          </w:r>
          <w:r>
            <w:t>168</w:t>
          </w:r>
          <w:r>
            <w:fldChar w:fldCharType="end"/>
          </w:r>
          <w:r>
            <w:rPr>
              <w:color w:val="auto"/>
              <w:lang w:val="zh-CN"/>
            </w:rPr>
            <w:fldChar w:fldCharType="end"/>
          </w:r>
        </w:p>
        <w:p w14:paraId="66A59CA3">
          <w:pPr>
            <w:pStyle w:val="13"/>
            <w:tabs>
              <w:tab w:val="right" w:leader="dot" w:pos="8306"/>
              <w:tab w:val="clear" w:pos="8296"/>
            </w:tabs>
          </w:pPr>
          <w:r>
            <w:rPr>
              <w:color w:val="auto"/>
              <w:lang w:val="zh-CN"/>
            </w:rPr>
            <w:fldChar w:fldCharType="begin"/>
          </w:r>
          <w:r>
            <w:rPr>
              <w:lang w:val="zh-CN"/>
            </w:rPr>
            <w:instrText xml:space="preserve"> HYPERLINK \l _Toc6650 </w:instrText>
          </w:r>
          <w:r>
            <w:rPr>
              <w:lang w:val="zh-CN"/>
            </w:rPr>
            <w:fldChar w:fldCharType="separate"/>
          </w:r>
          <w:r>
            <w:rPr>
              <w:rFonts w:hint="eastAsia"/>
              <w:i w:val="0"/>
              <w:lang w:val="en-US" w:eastAsia="zh-CN"/>
            </w:rPr>
            <w:t xml:space="preserve">4.2.2 </w:t>
          </w:r>
          <w:r>
            <w:rPr>
              <w:rFonts w:hint="eastAsia"/>
              <w:lang w:val="en-US" w:eastAsia="zh-CN"/>
            </w:rPr>
            <w:t>产污环节汇总</w:t>
          </w:r>
          <w:r>
            <w:tab/>
          </w:r>
          <w:r>
            <w:fldChar w:fldCharType="begin"/>
          </w:r>
          <w:r>
            <w:instrText xml:space="preserve"> PAGEREF _Toc6650 \h </w:instrText>
          </w:r>
          <w:r>
            <w:fldChar w:fldCharType="separate"/>
          </w:r>
          <w:r>
            <w:t>179</w:t>
          </w:r>
          <w:r>
            <w:fldChar w:fldCharType="end"/>
          </w:r>
          <w:r>
            <w:rPr>
              <w:color w:val="auto"/>
              <w:lang w:val="zh-CN"/>
            </w:rPr>
            <w:fldChar w:fldCharType="end"/>
          </w:r>
        </w:p>
        <w:p w14:paraId="44BC9C33">
          <w:pPr>
            <w:pStyle w:val="18"/>
            <w:tabs>
              <w:tab w:val="right" w:leader="dot" w:pos="8306"/>
            </w:tabs>
          </w:pPr>
          <w:r>
            <w:rPr>
              <w:color w:val="auto"/>
              <w:lang w:val="zh-CN"/>
            </w:rPr>
            <w:fldChar w:fldCharType="begin"/>
          </w:r>
          <w:r>
            <w:rPr>
              <w:lang w:val="zh-CN"/>
            </w:rPr>
            <w:instrText xml:space="preserve"> HYPERLINK \l _Toc31771 </w:instrText>
          </w:r>
          <w:r>
            <w:rPr>
              <w:lang w:val="zh-CN"/>
            </w:rPr>
            <w:fldChar w:fldCharType="separate"/>
          </w:r>
          <w:r>
            <w:rPr>
              <w:rFonts w:hint="eastAsia"/>
              <w:i w:val="0"/>
              <w:lang w:val="en-US" w:eastAsia="zh-CN"/>
            </w:rPr>
            <w:t xml:space="preserve">4.3 </w:t>
          </w:r>
          <w:r>
            <w:rPr>
              <w:rFonts w:hint="eastAsia"/>
              <w:lang w:val="en-US" w:eastAsia="zh-CN"/>
            </w:rPr>
            <w:t>水平衡</w:t>
          </w:r>
          <w:r>
            <w:tab/>
          </w:r>
          <w:r>
            <w:fldChar w:fldCharType="begin"/>
          </w:r>
          <w:r>
            <w:instrText xml:space="preserve"> PAGEREF _Toc31771 \h </w:instrText>
          </w:r>
          <w:r>
            <w:fldChar w:fldCharType="separate"/>
          </w:r>
          <w:r>
            <w:t>181</w:t>
          </w:r>
          <w:r>
            <w:fldChar w:fldCharType="end"/>
          </w:r>
          <w:r>
            <w:rPr>
              <w:color w:val="auto"/>
              <w:lang w:val="zh-CN"/>
            </w:rPr>
            <w:fldChar w:fldCharType="end"/>
          </w:r>
        </w:p>
        <w:p w14:paraId="6021FE9D">
          <w:pPr>
            <w:pStyle w:val="18"/>
            <w:tabs>
              <w:tab w:val="right" w:leader="dot" w:pos="8306"/>
            </w:tabs>
          </w:pPr>
          <w:r>
            <w:rPr>
              <w:color w:val="auto"/>
              <w:lang w:val="zh-CN"/>
            </w:rPr>
            <w:fldChar w:fldCharType="begin"/>
          </w:r>
          <w:r>
            <w:rPr>
              <w:lang w:val="zh-CN"/>
            </w:rPr>
            <w:instrText xml:space="preserve"> HYPERLINK \l _Toc22365 </w:instrText>
          </w:r>
          <w:r>
            <w:rPr>
              <w:lang w:val="zh-CN"/>
            </w:rPr>
            <w:fldChar w:fldCharType="separate"/>
          </w:r>
          <w:r>
            <w:rPr>
              <w:rFonts w:hint="eastAsia"/>
              <w:i w:val="0"/>
            </w:rPr>
            <w:t xml:space="preserve">4.4 </w:t>
          </w:r>
          <w:r>
            <w:rPr>
              <w:rFonts w:hint="eastAsia"/>
            </w:rPr>
            <w:t>公用工程及辅助设施</w:t>
          </w:r>
          <w:r>
            <w:tab/>
          </w:r>
          <w:r>
            <w:fldChar w:fldCharType="begin"/>
          </w:r>
          <w:r>
            <w:instrText xml:space="preserve"> PAGEREF _Toc22365 \h </w:instrText>
          </w:r>
          <w:r>
            <w:fldChar w:fldCharType="separate"/>
          </w:r>
          <w:r>
            <w:t>184</w:t>
          </w:r>
          <w:r>
            <w:fldChar w:fldCharType="end"/>
          </w:r>
          <w:r>
            <w:rPr>
              <w:color w:val="auto"/>
              <w:lang w:val="zh-CN"/>
            </w:rPr>
            <w:fldChar w:fldCharType="end"/>
          </w:r>
        </w:p>
        <w:p w14:paraId="463CFAFD">
          <w:pPr>
            <w:pStyle w:val="13"/>
            <w:tabs>
              <w:tab w:val="right" w:leader="dot" w:pos="8306"/>
              <w:tab w:val="clear" w:pos="8296"/>
            </w:tabs>
          </w:pPr>
          <w:r>
            <w:rPr>
              <w:color w:val="auto"/>
              <w:lang w:val="zh-CN"/>
            </w:rPr>
            <w:fldChar w:fldCharType="begin"/>
          </w:r>
          <w:r>
            <w:rPr>
              <w:lang w:val="zh-CN"/>
            </w:rPr>
            <w:instrText xml:space="preserve"> HYPERLINK \l _Toc32724 </w:instrText>
          </w:r>
          <w:r>
            <w:rPr>
              <w:lang w:val="zh-CN"/>
            </w:rPr>
            <w:fldChar w:fldCharType="separate"/>
          </w:r>
          <w:r>
            <w:rPr>
              <w:rFonts w:hint="eastAsia"/>
              <w:i w:val="0"/>
            </w:rPr>
            <w:t xml:space="preserve">4.4.1 </w:t>
          </w:r>
          <w:r>
            <w:rPr>
              <w:rFonts w:hint="eastAsia"/>
            </w:rPr>
            <w:t>给水</w:t>
          </w:r>
          <w:r>
            <w:tab/>
          </w:r>
          <w:r>
            <w:fldChar w:fldCharType="begin"/>
          </w:r>
          <w:r>
            <w:instrText xml:space="preserve"> PAGEREF _Toc32724 \h </w:instrText>
          </w:r>
          <w:r>
            <w:fldChar w:fldCharType="separate"/>
          </w:r>
          <w:r>
            <w:t>184</w:t>
          </w:r>
          <w:r>
            <w:fldChar w:fldCharType="end"/>
          </w:r>
          <w:r>
            <w:rPr>
              <w:color w:val="auto"/>
              <w:lang w:val="zh-CN"/>
            </w:rPr>
            <w:fldChar w:fldCharType="end"/>
          </w:r>
        </w:p>
        <w:p w14:paraId="0BE82E97">
          <w:pPr>
            <w:pStyle w:val="13"/>
            <w:tabs>
              <w:tab w:val="right" w:leader="dot" w:pos="8306"/>
              <w:tab w:val="clear" w:pos="8296"/>
            </w:tabs>
          </w:pPr>
          <w:r>
            <w:rPr>
              <w:color w:val="auto"/>
              <w:lang w:val="zh-CN"/>
            </w:rPr>
            <w:fldChar w:fldCharType="begin"/>
          </w:r>
          <w:r>
            <w:rPr>
              <w:lang w:val="zh-CN"/>
            </w:rPr>
            <w:instrText xml:space="preserve"> HYPERLINK \l _Toc23078 </w:instrText>
          </w:r>
          <w:r>
            <w:rPr>
              <w:lang w:val="zh-CN"/>
            </w:rPr>
            <w:fldChar w:fldCharType="separate"/>
          </w:r>
          <w:r>
            <w:rPr>
              <w:rFonts w:hint="eastAsia"/>
              <w:i w:val="0"/>
            </w:rPr>
            <w:t xml:space="preserve">4.4.2 </w:t>
          </w:r>
          <w:r>
            <w:rPr>
              <w:rFonts w:hint="eastAsia"/>
              <w:highlight w:val="none"/>
            </w:rPr>
            <w:t>排水</w:t>
          </w:r>
          <w:r>
            <w:tab/>
          </w:r>
          <w:r>
            <w:fldChar w:fldCharType="begin"/>
          </w:r>
          <w:r>
            <w:instrText xml:space="preserve"> PAGEREF _Toc23078 \h </w:instrText>
          </w:r>
          <w:r>
            <w:fldChar w:fldCharType="separate"/>
          </w:r>
          <w:r>
            <w:t>184</w:t>
          </w:r>
          <w:r>
            <w:fldChar w:fldCharType="end"/>
          </w:r>
          <w:r>
            <w:rPr>
              <w:color w:val="auto"/>
              <w:lang w:val="zh-CN"/>
            </w:rPr>
            <w:fldChar w:fldCharType="end"/>
          </w:r>
        </w:p>
        <w:p w14:paraId="0B290E88">
          <w:pPr>
            <w:pStyle w:val="13"/>
            <w:tabs>
              <w:tab w:val="right" w:leader="dot" w:pos="8306"/>
              <w:tab w:val="clear" w:pos="8296"/>
            </w:tabs>
          </w:pPr>
          <w:r>
            <w:rPr>
              <w:color w:val="auto"/>
              <w:lang w:val="zh-CN"/>
            </w:rPr>
            <w:fldChar w:fldCharType="begin"/>
          </w:r>
          <w:r>
            <w:rPr>
              <w:lang w:val="zh-CN"/>
            </w:rPr>
            <w:instrText xml:space="preserve"> HYPERLINK \l _Toc2237 </w:instrText>
          </w:r>
          <w:r>
            <w:rPr>
              <w:lang w:val="zh-CN"/>
            </w:rPr>
            <w:fldChar w:fldCharType="separate"/>
          </w:r>
          <w:r>
            <w:rPr>
              <w:rFonts w:hint="eastAsia"/>
              <w:i w:val="0"/>
            </w:rPr>
            <w:t xml:space="preserve">4.4.3 </w:t>
          </w:r>
          <w:r>
            <w:rPr>
              <w:rFonts w:hint="eastAsia"/>
              <w:highlight w:val="none"/>
            </w:rPr>
            <w:t>供电</w:t>
          </w:r>
          <w:r>
            <w:tab/>
          </w:r>
          <w:r>
            <w:fldChar w:fldCharType="begin"/>
          </w:r>
          <w:r>
            <w:instrText xml:space="preserve"> PAGEREF _Toc2237 \h </w:instrText>
          </w:r>
          <w:r>
            <w:fldChar w:fldCharType="separate"/>
          </w:r>
          <w:r>
            <w:t>185</w:t>
          </w:r>
          <w:r>
            <w:fldChar w:fldCharType="end"/>
          </w:r>
          <w:r>
            <w:rPr>
              <w:color w:val="auto"/>
              <w:lang w:val="zh-CN"/>
            </w:rPr>
            <w:fldChar w:fldCharType="end"/>
          </w:r>
        </w:p>
        <w:p w14:paraId="2C1FB7CB">
          <w:pPr>
            <w:pStyle w:val="13"/>
            <w:tabs>
              <w:tab w:val="right" w:leader="dot" w:pos="8306"/>
              <w:tab w:val="clear" w:pos="8296"/>
            </w:tabs>
          </w:pPr>
          <w:r>
            <w:rPr>
              <w:color w:val="auto"/>
              <w:lang w:val="zh-CN"/>
            </w:rPr>
            <w:fldChar w:fldCharType="begin"/>
          </w:r>
          <w:r>
            <w:rPr>
              <w:lang w:val="zh-CN"/>
            </w:rPr>
            <w:instrText xml:space="preserve"> HYPERLINK \l _Toc23107 </w:instrText>
          </w:r>
          <w:r>
            <w:rPr>
              <w:lang w:val="zh-CN"/>
            </w:rPr>
            <w:fldChar w:fldCharType="separate"/>
          </w:r>
          <w:r>
            <w:rPr>
              <w:rFonts w:hint="eastAsia"/>
              <w:i w:val="0"/>
            </w:rPr>
            <w:t xml:space="preserve">4.4.4 </w:t>
          </w:r>
          <w:r>
            <w:rPr>
              <w:rFonts w:hint="eastAsia"/>
            </w:rPr>
            <w:t>贮运</w:t>
          </w:r>
          <w:r>
            <w:tab/>
          </w:r>
          <w:r>
            <w:fldChar w:fldCharType="begin"/>
          </w:r>
          <w:r>
            <w:instrText xml:space="preserve"> PAGEREF _Toc23107 \h </w:instrText>
          </w:r>
          <w:r>
            <w:fldChar w:fldCharType="separate"/>
          </w:r>
          <w:r>
            <w:t>185</w:t>
          </w:r>
          <w:r>
            <w:fldChar w:fldCharType="end"/>
          </w:r>
          <w:r>
            <w:rPr>
              <w:color w:val="auto"/>
              <w:lang w:val="zh-CN"/>
            </w:rPr>
            <w:fldChar w:fldCharType="end"/>
          </w:r>
        </w:p>
        <w:p w14:paraId="5B5B5CD5">
          <w:pPr>
            <w:pStyle w:val="13"/>
            <w:tabs>
              <w:tab w:val="right" w:leader="dot" w:pos="8306"/>
              <w:tab w:val="clear" w:pos="8296"/>
            </w:tabs>
          </w:pPr>
          <w:r>
            <w:rPr>
              <w:color w:val="auto"/>
              <w:lang w:val="zh-CN"/>
            </w:rPr>
            <w:fldChar w:fldCharType="begin"/>
          </w:r>
          <w:r>
            <w:rPr>
              <w:lang w:val="zh-CN"/>
            </w:rPr>
            <w:instrText xml:space="preserve"> HYPERLINK \l _Toc19457 </w:instrText>
          </w:r>
          <w:r>
            <w:rPr>
              <w:lang w:val="zh-CN"/>
            </w:rPr>
            <w:fldChar w:fldCharType="separate"/>
          </w:r>
          <w:r>
            <w:rPr>
              <w:rFonts w:hint="eastAsia"/>
              <w:i w:val="0"/>
            </w:rPr>
            <w:t xml:space="preserve">4.4.5 </w:t>
          </w:r>
          <w:r>
            <w:rPr>
              <w:rFonts w:hint="eastAsia"/>
            </w:rPr>
            <w:t>供气</w:t>
          </w:r>
          <w:r>
            <w:tab/>
          </w:r>
          <w:r>
            <w:fldChar w:fldCharType="begin"/>
          </w:r>
          <w:r>
            <w:instrText xml:space="preserve"> PAGEREF _Toc19457 \h </w:instrText>
          </w:r>
          <w:r>
            <w:fldChar w:fldCharType="separate"/>
          </w:r>
          <w:r>
            <w:t>185</w:t>
          </w:r>
          <w:r>
            <w:fldChar w:fldCharType="end"/>
          </w:r>
          <w:r>
            <w:rPr>
              <w:color w:val="auto"/>
              <w:lang w:val="zh-CN"/>
            </w:rPr>
            <w:fldChar w:fldCharType="end"/>
          </w:r>
        </w:p>
        <w:p w14:paraId="7EF4AE62">
          <w:pPr>
            <w:pStyle w:val="13"/>
            <w:tabs>
              <w:tab w:val="right" w:leader="dot" w:pos="8306"/>
              <w:tab w:val="clear" w:pos="8296"/>
            </w:tabs>
          </w:pPr>
          <w:r>
            <w:rPr>
              <w:color w:val="auto"/>
              <w:lang w:val="zh-CN"/>
            </w:rPr>
            <w:fldChar w:fldCharType="begin"/>
          </w:r>
          <w:r>
            <w:rPr>
              <w:lang w:val="zh-CN"/>
            </w:rPr>
            <w:instrText xml:space="preserve"> HYPERLINK \l _Toc2368 </w:instrText>
          </w:r>
          <w:r>
            <w:rPr>
              <w:lang w:val="zh-CN"/>
            </w:rPr>
            <w:fldChar w:fldCharType="separate"/>
          </w:r>
          <w:r>
            <w:rPr>
              <w:rFonts w:hint="eastAsia"/>
              <w:i w:val="0"/>
            </w:rPr>
            <w:t xml:space="preserve">4.4.6 </w:t>
          </w:r>
          <w:r>
            <w:rPr>
              <w:rFonts w:hint="eastAsia"/>
            </w:rPr>
            <w:t>循环水系统</w:t>
          </w:r>
          <w:r>
            <w:tab/>
          </w:r>
          <w:r>
            <w:fldChar w:fldCharType="begin"/>
          </w:r>
          <w:r>
            <w:instrText xml:space="preserve"> PAGEREF _Toc2368 \h </w:instrText>
          </w:r>
          <w:r>
            <w:fldChar w:fldCharType="separate"/>
          </w:r>
          <w:r>
            <w:t>185</w:t>
          </w:r>
          <w:r>
            <w:fldChar w:fldCharType="end"/>
          </w:r>
          <w:r>
            <w:rPr>
              <w:color w:val="auto"/>
              <w:lang w:val="zh-CN"/>
            </w:rPr>
            <w:fldChar w:fldCharType="end"/>
          </w:r>
        </w:p>
        <w:p w14:paraId="33335BB3">
          <w:pPr>
            <w:pStyle w:val="18"/>
            <w:tabs>
              <w:tab w:val="right" w:leader="dot" w:pos="8306"/>
            </w:tabs>
          </w:pPr>
          <w:r>
            <w:rPr>
              <w:color w:val="auto"/>
              <w:lang w:val="zh-CN"/>
            </w:rPr>
            <w:fldChar w:fldCharType="begin"/>
          </w:r>
          <w:r>
            <w:rPr>
              <w:lang w:val="zh-CN"/>
            </w:rPr>
            <w:instrText xml:space="preserve"> HYPERLINK \l _Toc2509 </w:instrText>
          </w:r>
          <w:r>
            <w:rPr>
              <w:lang w:val="zh-CN"/>
            </w:rPr>
            <w:fldChar w:fldCharType="separate"/>
          </w:r>
          <w:r>
            <w:rPr>
              <w:rFonts w:hint="eastAsia"/>
              <w:i w:val="0"/>
            </w:rPr>
            <w:t xml:space="preserve">4.5 </w:t>
          </w:r>
          <w:r>
            <w:rPr>
              <w:rFonts w:hint="eastAsia"/>
            </w:rPr>
            <w:t>本项目污染源分析</w:t>
          </w:r>
          <w:r>
            <w:tab/>
          </w:r>
          <w:r>
            <w:fldChar w:fldCharType="begin"/>
          </w:r>
          <w:r>
            <w:instrText xml:space="preserve"> PAGEREF _Toc2509 \h </w:instrText>
          </w:r>
          <w:r>
            <w:fldChar w:fldCharType="separate"/>
          </w:r>
          <w:r>
            <w:t>185</w:t>
          </w:r>
          <w:r>
            <w:fldChar w:fldCharType="end"/>
          </w:r>
          <w:r>
            <w:rPr>
              <w:color w:val="auto"/>
              <w:lang w:val="zh-CN"/>
            </w:rPr>
            <w:fldChar w:fldCharType="end"/>
          </w:r>
        </w:p>
        <w:p w14:paraId="2C0AE4CF">
          <w:pPr>
            <w:pStyle w:val="13"/>
            <w:tabs>
              <w:tab w:val="right" w:leader="dot" w:pos="8306"/>
              <w:tab w:val="clear" w:pos="8296"/>
            </w:tabs>
          </w:pPr>
          <w:r>
            <w:rPr>
              <w:color w:val="auto"/>
              <w:lang w:val="zh-CN"/>
            </w:rPr>
            <w:fldChar w:fldCharType="begin"/>
          </w:r>
          <w:r>
            <w:rPr>
              <w:lang w:val="zh-CN"/>
            </w:rPr>
            <w:instrText xml:space="preserve"> HYPERLINK \l _Toc20543 </w:instrText>
          </w:r>
          <w:r>
            <w:rPr>
              <w:lang w:val="zh-CN"/>
            </w:rPr>
            <w:fldChar w:fldCharType="separate"/>
          </w:r>
          <w:r>
            <w:rPr>
              <w:rFonts w:hint="eastAsia"/>
              <w:i w:val="0"/>
            </w:rPr>
            <w:t xml:space="preserve">4.5.1 </w:t>
          </w:r>
          <w:r>
            <w:rPr>
              <w:rFonts w:hint="eastAsia"/>
            </w:rPr>
            <w:t>废水污染源分析</w:t>
          </w:r>
          <w:r>
            <w:tab/>
          </w:r>
          <w:r>
            <w:fldChar w:fldCharType="begin"/>
          </w:r>
          <w:r>
            <w:instrText xml:space="preserve"> PAGEREF _Toc20543 \h </w:instrText>
          </w:r>
          <w:r>
            <w:fldChar w:fldCharType="separate"/>
          </w:r>
          <w:r>
            <w:t>185</w:t>
          </w:r>
          <w:r>
            <w:fldChar w:fldCharType="end"/>
          </w:r>
          <w:r>
            <w:rPr>
              <w:color w:val="auto"/>
              <w:lang w:val="zh-CN"/>
            </w:rPr>
            <w:fldChar w:fldCharType="end"/>
          </w:r>
        </w:p>
        <w:p w14:paraId="6DDD1317">
          <w:pPr>
            <w:pStyle w:val="13"/>
            <w:tabs>
              <w:tab w:val="right" w:leader="dot" w:pos="8306"/>
              <w:tab w:val="clear" w:pos="8296"/>
            </w:tabs>
          </w:pPr>
          <w:r>
            <w:rPr>
              <w:color w:val="auto"/>
              <w:lang w:val="zh-CN"/>
            </w:rPr>
            <w:fldChar w:fldCharType="begin"/>
          </w:r>
          <w:r>
            <w:rPr>
              <w:lang w:val="zh-CN"/>
            </w:rPr>
            <w:instrText xml:space="preserve"> HYPERLINK \l _Toc4557 </w:instrText>
          </w:r>
          <w:r>
            <w:rPr>
              <w:lang w:val="zh-CN"/>
            </w:rPr>
            <w:fldChar w:fldCharType="separate"/>
          </w:r>
          <w:r>
            <w:rPr>
              <w:rFonts w:hint="eastAsia"/>
              <w:i w:val="0"/>
            </w:rPr>
            <w:t xml:space="preserve">4.5.2 </w:t>
          </w:r>
          <w:r>
            <w:rPr>
              <w:rFonts w:hint="eastAsia"/>
            </w:rPr>
            <w:t>废气污染源分析</w:t>
          </w:r>
          <w:r>
            <w:tab/>
          </w:r>
          <w:r>
            <w:fldChar w:fldCharType="begin"/>
          </w:r>
          <w:r>
            <w:instrText xml:space="preserve"> PAGEREF _Toc4557 \h </w:instrText>
          </w:r>
          <w:r>
            <w:fldChar w:fldCharType="separate"/>
          </w:r>
          <w:r>
            <w:t>188</w:t>
          </w:r>
          <w:r>
            <w:fldChar w:fldCharType="end"/>
          </w:r>
          <w:r>
            <w:rPr>
              <w:color w:val="auto"/>
              <w:lang w:val="zh-CN"/>
            </w:rPr>
            <w:fldChar w:fldCharType="end"/>
          </w:r>
        </w:p>
        <w:p w14:paraId="249517B7">
          <w:pPr>
            <w:pStyle w:val="13"/>
            <w:tabs>
              <w:tab w:val="right" w:leader="dot" w:pos="8306"/>
              <w:tab w:val="clear" w:pos="8296"/>
            </w:tabs>
          </w:pPr>
          <w:r>
            <w:rPr>
              <w:color w:val="auto"/>
              <w:lang w:val="zh-CN"/>
            </w:rPr>
            <w:fldChar w:fldCharType="begin"/>
          </w:r>
          <w:r>
            <w:rPr>
              <w:lang w:val="zh-CN"/>
            </w:rPr>
            <w:instrText xml:space="preserve"> HYPERLINK \l _Toc1769 </w:instrText>
          </w:r>
          <w:r>
            <w:rPr>
              <w:lang w:val="zh-CN"/>
            </w:rPr>
            <w:fldChar w:fldCharType="separate"/>
          </w:r>
          <w:r>
            <w:rPr>
              <w:rFonts w:hint="eastAsia"/>
              <w:i w:val="0"/>
            </w:rPr>
            <w:t xml:space="preserve">4.5.3 </w:t>
          </w:r>
          <w:r>
            <w:rPr>
              <w:rFonts w:hint="eastAsia"/>
            </w:rPr>
            <w:t>噪声污染源分析</w:t>
          </w:r>
          <w:r>
            <w:tab/>
          </w:r>
          <w:r>
            <w:fldChar w:fldCharType="begin"/>
          </w:r>
          <w:r>
            <w:instrText xml:space="preserve"> PAGEREF _Toc1769 \h </w:instrText>
          </w:r>
          <w:r>
            <w:fldChar w:fldCharType="separate"/>
          </w:r>
          <w:r>
            <w:t>196</w:t>
          </w:r>
          <w:r>
            <w:fldChar w:fldCharType="end"/>
          </w:r>
          <w:r>
            <w:rPr>
              <w:color w:val="auto"/>
              <w:lang w:val="zh-CN"/>
            </w:rPr>
            <w:fldChar w:fldCharType="end"/>
          </w:r>
        </w:p>
        <w:p w14:paraId="7CA93ED0">
          <w:pPr>
            <w:pStyle w:val="13"/>
            <w:tabs>
              <w:tab w:val="right" w:leader="dot" w:pos="8306"/>
              <w:tab w:val="clear" w:pos="8296"/>
            </w:tabs>
          </w:pPr>
          <w:r>
            <w:rPr>
              <w:color w:val="auto"/>
              <w:lang w:val="zh-CN"/>
            </w:rPr>
            <w:fldChar w:fldCharType="begin"/>
          </w:r>
          <w:r>
            <w:rPr>
              <w:lang w:val="zh-CN"/>
            </w:rPr>
            <w:instrText xml:space="preserve"> HYPERLINK \l _Toc20723 </w:instrText>
          </w:r>
          <w:r>
            <w:rPr>
              <w:lang w:val="zh-CN"/>
            </w:rPr>
            <w:fldChar w:fldCharType="separate"/>
          </w:r>
          <w:r>
            <w:rPr>
              <w:rFonts w:hint="eastAsia"/>
              <w:i w:val="0"/>
            </w:rPr>
            <w:t xml:space="preserve">4.5.4 </w:t>
          </w:r>
          <w:r>
            <w:rPr>
              <w:rFonts w:hint="eastAsia"/>
            </w:rPr>
            <w:t>固废污染源分析</w:t>
          </w:r>
          <w:r>
            <w:tab/>
          </w:r>
          <w:r>
            <w:fldChar w:fldCharType="begin"/>
          </w:r>
          <w:r>
            <w:instrText xml:space="preserve"> PAGEREF _Toc20723 \h </w:instrText>
          </w:r>
          <w:r>
            <w:fldChar w:fldCharType="separate"/>
          </w:r>
          <w:r>
            <w:t>201</w:t>
          </w:r>
          <w:r>
            <w:fldChar w:fldCharType="end"/>
          </w:r>
          <w:r>
            <w:rPr>
              <w:color w:val="auto"/>
              <w:lang w:val="zh-CN"/>
            </w:rPr>
            <w:fldChar w:fldCharType="end"/>
          </w:r>
        </w:p>
        <w:p w14:paraId="6A8AA102">
          <w:pPr>
            <w:pStyle w:val="18"/>
            <w:tabs>
              <w:tab w:val="right" w:leader="dot" w:pos="8306"/>
            </w:tabs>
          </w:pPr>
          <w:r>
            <w:rPr>
              <w:color w:val="auto"/>
              <w:lang w:val="zh-CN"/>
            </w:rPr>
            <w:fldChar w:fldCharType="begin"/>
          </w:r>
          <w:r>
            <w:rPr>
              <w:lang w:val="zh-CN"/>
            </w:rPr>
            <w:instrText xml:space="preserve"> HYPERLINK \l _Toc12969 </w:instrText>
          </w:r>
          <w:r>
            <w:rPr>
              <w:lang w:val="zh-CN"/>
            </w:rPr>
            <w:fldChar w:fldCharType="separate"/>
          </w:r>
          <w:r>
            <w:rPr>
              <w:rFonts w:hint="eastAsia"/>
              <w:i w:val="0"/>
            </w:rPr>
            <w:t xml:space="preserve">4.6 </w:t>
          </w:r>
          <w:r>
            <w:rPr>
              <w:rFonts w:hint="eastAsia"/>
            </w:rPr>
            <w:t>环境风险分析</w:t>
          </w:r>
          <w:r>
            <w:tab/>
          </w:r>
          <w:r>
            <w:fldChar w:fldCharType="begin"/>
          </w:r>
          <w:r>
            <w:instrText xml:space="preserve"> PAGEREF _Toc12969 \h </w:instrText>
          </w:r>
          <w:r>
            <w:fldChar w:fldCharType="separate"/>
          </w:r>
          <w:r>
            <w:t>204</w:t>
          </w:r>
          <w:r>
            <w:fldChar w:fldCharType="end"/>
          </w:r>
          <w:r>
            <w:rPr>
              <w:color w:val="auto"/>
              <w:lang w:val="zh-CN"/>
            </w:rPr>
            <w:fldChar w:fldCharType="end"/>
          </w:r>
        </w:p>
        <w:p w14:paraId="428D2F69">
          <w:pPr>
            <w:pStyle w:val="13"/>
            <w:tabs>
              <w:tab w:val="right" w:leader="dot" w:pos="8306"/>
              <w:tab w:val="clear" w:pos="8296"/>
            </w:tabs>
          </w:pPr>
          <w:r>
            <w:rPr>
              <w:color w:val="auto"/>
              <w:lang w:val="zh-CN"/>
            </w:rPr>
            <w:fldChar w:fldCharType="begin"/>
          </w:r>
          <w:r>
            <w:rPr>
              <w:lang w:val="zh-CN"/>
            </w:rPr>
            <w:instrText xml:space="preserve"> HYPERLINK \l _Toc23095 </w:instrText>
          </w:r>
          <w:r>
            <w:rPr>
              <w:lang w:val="zh-CN"/>
            </w:rPr>
            <w:fldChar w:fldCharType="separate"/>
          </w:r>
          <w:r>
            <w:rPr>
              <w:rFonts w:hint="eastAsia"/>
              <w:i w:val="0"/>
            </w:rPr>
            <w:t xml:space="preserve">4.6.1 </w:t>
          </w:r>
          <w:r>
            <w:rPr>
              <w:rFonts w:hint="eastAsia"/>
            </w:rPr>
            <w:t>环境危险性识别</w:t>
          </w:r>
          <w:r>
            <w:tab/>
          </w:r>
          <w:r>
            <w:fldChar w:fldCharType="begin"/>
          </w:r>
          <w:r>
            <w:instrText xml:space="preserve"> PAGEREF _Toc23095 \h </w:instrText>
          </w:r>
          <w:r>
            <w:fldChar w:fldCharType="separate"/>
          </w:r>
          <w:r>
            <w:t>205</w:t>
          </w:r>
          <w:r>
            <w:fldChar w:fldCharType="end"/>
          </w:r>
          <w:r>
            <w:rPr>
              <w:color w:val="auto"/>
              <w:lang w:val="zh-CN"/>
            </w:rPr>
            <w:fldChar w:fldCharType="end"/>
          </w:r>
        </w:p>
        <w:p w14:paraId="30AA146E">
          <w:pPr>
            <w:pStyle w:val="13"/>
            <w:tabs>
              <w:tab w:val="right" w:leader="dot" w:pos="8306"/>
              <w:tab w:val="clear" w:pos="8296"/>
            </w:tabs>
          </w:pPr>
          <w:r>
            <w:rPr>
              <w:color w:val="auto"/>
              <w:lang w:val="zh-CN"/>
            </w:rPr>
            <w:fldChar w:fldCharType="begin"/>
          </w:r>
          <w:r>
            <w:rPr>
              <w:lang w:val="zh-CN"/>
            </w:rPr>
            <w:instrText xml:space="preserve"> HYPERLINK \l _Toc6379 </w:instrText>
          </w:r>
          <w:r>
            <w:rPr>
              <w:lang w:val="zh-CN"/>
            </w:rPr>
            <w:fldChar w:fldCharType="separate"/>
          </w:r>
          <w:r>
            <w:rPr>
              <w:rFonts w:hint="eastAsia"/>
              <w:i w:val="0"/>
            </w:rPr>
            <w:t xml:space="preserve">4.6.2 </w:t>
          </w:r>
          <w:r>
            <w:rPr>
              <w:rFonts w:hint="eastAsia"/>
            </w:rPr>
            <w:t>生产系统危险性识别</w:t>
          </w:r>
          <w:r>
            <w:tab/>
          </w:r>
          <w:r>
            <w:fldChar w:fldCharType="begin"/>
          </w:r>
          <w:r>
            <w:instrText xml:space="preserve"> PAGEREF _Toc6379 \h </w:instrText>
          </w:r>
          <w:r>
            <w:fldChar w:fldCharType="separate"/>
          </w:r>
          <w:r>
            <w:t>205</w:t>
          </w:r>
          <w:r>
            <w:fldChar w:fldCharType="end"/>
          </w:r>
          <w:r>
            <w:rPr>
              <w:color w:val="auto"/>
              <w:lang w:val="zh-CN"/>
            </w:rPr>
            <w:fldChar w:fldCharType="end"/>
          </w:r>
        </w:p>
        <w:p w14:paraId="5C56C26A">
          <w:pPr>
            <w:pStyle w:val="13"/>
            <w:tabs>
              <w:tab w:val="right" w:leader="dot" w:pos="8306"/>
              <w:tab w:val="clear" w:pos="8296"/>
            </w:tabs>
          </w:pPr>
          <w:r>
            <w:rPr>
              <w:color w:val="auto"/>
              <w:lang w:val="zh-CN"/>
            </w:rPr>
            <w:fldChar w:fldCharType="begin"/>
          </w:r>
          <w:r>
            <w:rPr>
              <w:lang w:val="zh-CN"/>
            </w:rPr>
            <w:instrText xml:space="preserve"> HYPERLINK \l _Toc10849 </w:instrText>
          </w:r>
          <w:r>
            <w:rPr>
              <w:lang w:val="zh-CN"/>
            </w:rPr>
            <w:fldChar w:fldCharType="separate"/>
          </w:r>
          <w:r>
            <w:rPr>
              <w:rFonts w:hint="eastAsia"/>
              <w:i w:val="0"/>
            </w:rPr>
            <w:t xml:space="preserve">4.6.3 </w:t>
          </w:r>
          <w:r>
            <w:rPr>
              <w:rFonts w:hint="eastAsia"/>
            </w:rPr>
            <w:t>环境影响途径</w:t>
          </w:r>
          <w:r>
            <w:tab/>
          </w:r>
          <w:r>
            <w:fldChar w:fldCharType="begin"/>
          </w:r>
          <w:r>
            <w:instrText xml:space="preserve"> PAGEREF _Toc10849 \h </w:instrText>
          </w:r>
          <w:r>
            <w:fldChar w:fldCharType="separate"/>
          </w:r>
          <w:r>
            <w:t>210</w:t>
          </w:r>
          <w:r>
            <w:fldChar w:fldCharType="end"/>
          </w:r>
          <w:r>
            <w:rPr>
              <w:color w:val="auto"/>
              <w:lang w:val="zh-CN"/>
            </w:rPr>
            <w:fldChar w:fldCharType="end"/>
          </w:r>
        </w:p>
        <w:p w14:paraId="2C43FEF1">
          <w:pPr>
            <w:pStyle w:val="13"/>
            <w:tabs>
              <w:tab w:val="right" w:leader="dot" w:pos="8306"/>
              <w:tab w:val="clear" w:pos="8296"/>
            </w:tabs>
          </w:pPr>
          <w:r>
            <w:rPr>
              <w:color w:val="auto"/>
              <w:lang w:val="zh-CN"/>
            </w:rPr>
            <w:fldChar w:fldCharType="begin"/>
          </w:r>
          <w:r>
            <w:rPr>
              <w:lang w:val="zh-CN"/>
            </w:rPr>
            <w:instrText xml:space="preserve"> HYPERLINK \l _Toc1085 </w:instrText>
          </w:r>
          <w:r>
            <w:rPr>
              <w:lang w:val="zh-CN"/>
            </w:rPr>
            <w:fldChar w:fldCharType="separate"/>
          </w:r>
          <w:r>
            <w:rPr>
              <w:rFonts w:hint="eastAsia"/>
              <w:i w:val="0"/>
            </w:rPr>
            <w:t xml:space="preserve">4.6.4 </w:t>
          </w:r>
          <w:r>
            <w:rPr>
              <w:rFonts w:hint="eastAsia"/>
            </w:rPr>
            <w:t>风险识别结果</w:t>
          </w:r>
          <w:r>
            <w:tab/>
          </w:r>
          <w:r>
            <w:fldChar w:fldCharType="begin"/>
          </w:r>
          <w:r>
            <w:instrText xml:space="preserve"> PAGEREF _Toc1085 \h </w:instrText>
          </w:r>
          <w:r>
            <w:fldChar w:fldCharType="separate"/>
          </w:r>
          <w:r>
            <w:t>210</w:t>
          </w:r>
          <w:r>
            <w:fldChar w:fldCharType="end"/>
          </w:r>
          <w:r>
            <w:rPr>
              <w:color w:val="auto"/>
              <w:lang w:val="zh-CN"/>
            </w:rPr>
            <w:fldChar w:fldCharType="end"/>
          </w:r>
        </w:p>
        <w:p w14:paraId="6E308E20">
          <w:pPr>
            <w:pStyle w:val="18"/>
            <w:tabs>
              <w:tab w:val="right" w:leader="dot" w:pos="8306"/>
            </w:tabs>
          </w:pPr>
          <w:r>
            <w:rPr>
              <w:color w:val="auto"/>
              <w:lang w:val="zh-CN"/>
            </w:rPr>
            <w:fldChar w:fldCharType="begin"/>
          </w:r>
          <w:r>
            <w:rPr>
              <w:lang w:val="zh-CN"/>
            </w:rPr>
            <w:instrText xml:space="preserve"> HYPERLINK \l _Toc10016 </w:instrText>
          </w:r>
          <w:r>
            <w:rPr>
              <w:lang w:val="zh-CN"/>
            </w:rPr>
            <w:fldChar w:fldCharType="separate"/>
          </w:r>
          <w:r>
            <w:rPr>
              <w:rFonts w:hint="eastAsia"/>
              <w:i w:val="0"/>
            </w:rPr>
            <w:t xml:space="preserve">4.7 </w:t>
          </w:r>
          <w:r>
            <w:rPr>
              <w:rFonts w:hint="eastAsia"/>
              <w:lang w:val="en-US" w:eastAsia="zh-CN"/>
            </w:rPr>
            <w:t>清洁生产分析</w:t>
          </w:r>
          <w:r>
            <w:tab/>
          </w:r>
          <w:r>
            <w:fldChar w:fldCharType="begin"/>
          </w:r>
          <w:r>
            <w:instrText xml:space="preserve"> PAGEREF _Toc10016 \h </w:instrText>
          </w:r>
          <w:r>
            <w:fldChar w:fldCharType="separate"/>
          </w:r>
          <w:r>
            <w:t>211</w:t>
          </w:r>
          <w:r>
            <w:fldChar w:fldCharType="end"/>
          </w:r>
          <w:r>
            <w:rPr>
              <w:color w:val="auto"/>
              <w:lang w:val="zh-CN"/>
            </w:rPr>
            <w:fldChar w:fldCharType="end"/>
          </w:r>
        </w:p>
        <w:p w14:paraId="65BC1C42">
          <w:pPr>
            <w:pStyle w:val="16"/>
            <w:tabs>
              <w:tab w:val="right" w:leader="dot" w:pos="8306"/>
            </w:tabs>
          </w:pPr>
          <w:r>
            <w:rPr>
              <w:color w:val="auto"/>
              <w:lang w:val="zh-CN"/>
            </w:rPr>
            <w:fldChar w:fldCharType="begin"/>
          </w:r>
          <w:r>
            <w:rPr>
              <w:lang w:val="zh-CN"/>
            </w:rPr>
            <w:instrText xml:space="preserve"> HYPERLINK \l _Toc23421 </w:instrText>
          </w:r>
          <w:r>
            <w:rPr>
              <w:lang w:val="zh-CN"/>
            </w:rPr>
            <w:fldChar w:fldCharType="separate"/>
          </w:r>
          <w:r>
            <w:rPr>
              <w:rFonts w:hint="eastAsia"/>
              <w:i w:val="0"/>
              <w:szCs w:val="30"/>
            </w:rPr>
            <w:t xml:space="preserve">5 </w:t>
          </w:r>
          <w:r>
            <w:rPr>
              <w:rFonts w:hint="eastAsia"/>
            </w:rPr>
            <w:t>环境现状调查与评价</w:t>
          </w:r>
          <w:r>
            <w:tab/>
          </w:r>
          <w:r>
            <w:fldChar w:fldCharType="begin"/>
          </w:r>
          <w:r>
            <w:instrText xml:space="preserve"> PAGEREF _Toc23421 \h </w:instrText>
          </w:r>
          <w:r>
            <w:fldChar w:fldCharType="separate"/>
          </w:r>
          <w:r>
            <w:t>214</w:t>
          </w:r>
          <w:r>
            <w:fldChar w:fldCharType="end"/>
          </w:r>
          <w:r>
            <w:rPr>
              <w:color w:val="auto"/>
              <w:lang w:val="zh-CN"/>
            </w:rPr>
            <w:fldChar w:fldCharType="end"/>
          </w:r>
        </w:p>
        <w:p w14:paraId="477C0B9B">
          <w:pPr>
            <w:pStyle w:val="18"/>
            <w:tabs>
              <w:tab w:val="right" w:leader="dot" w:pos="8306"/>
            </w:tabs>
          </w:pPr>
          <w:r>
            <w:rPr>
              <w:color w:val="auto"/>
              <w:lang w:val="zh-CN"/>
            </w:rPr>
            <w:fldChar w:fldCharType="begin"/>
          </w:r>
          <w:r>
            <w:rPr>
              <w:lang w:val="zh-CN"/>
            </w:rPr>
            <w:instrText xml:space="preserve"> HYPERLINK \l _Toc7174 </w:instrText>
          </w:r>
          <w:r>
            <w:rPr>
              <w:lang w:val="zh-CN"/>
            </w:rPr>
            <w:fldChar w:fldCharType="separate"/>
          </w:r>
          <w:r>
            <w:rPr>
              <w:rFonts w:hint="eastAsia"/>
              <w:i w:val="0"/>
              <w:lang w:val="en-US" w:eastAsia="zh-CN"/>
            </w:rPr>
            <w:t xml:space="preserve">5.1 </w:t>
          </w:r>
          <w:r>
            <w:rPr>
              <w:rFonts w:hint="eastAsia"/>
              <w:lang w:val="en-US" w:eastAsia="zh-CN"/>
            </w:rPr>
            <w:t>自然环境现状调查与评价</w:t>
          </w:r>
          <w:r>
            <w:tab/>
          </w:r>
          <w:r>
            <w:fldChar w:fldCharType="begin"/>
          </w:r>
          <w:r>
            <w:instrText xml:space="preserve"> PAGEREF _Toc7174 \h </w:instrText>
          </w:r>
          <w:r>
            <w:fldChar w:fldCharType="separate"/>
          </w:r>
          <w:r>
            <w:t>214</w:t>
          </w:r>
          <w:r>
            <w:fldChar w:fldCharType="end"/>
          </w:r>
          <w:r>
            <w:rPr>
              <w:color w:val="auto"/>
              <w:lang w:val="zh-CN"/>
            </w:rPr>
            <w:fldChar w:fldCharType="end"/>
          </w:r>
        </w:p>
        <w:p w14:paraId="569D0A23">
          <w:pPr>
            <w:pStyle w:val="13"/>
            <w:tabs>
              <w:tab w:val="right" w:leader="dot" w:pos="8306"/>
              <w:tab w:val="clear" w:pos="8296"/>
            </w:tabs>
          </w:pPr>
          <w:r>
            <w:rPr>
              <w:color w:val="auto"/>
              <w:lang w:val="zh-CN"/>
            </w:rPr>
            <w:fldChar w:fldCharType="begin"/>
          </w:r>
          <w:r>
            <w:rPr>
              <w:lang w:val="zh-CN"/>
            </w:rPr>
            <w:instrText xml:space="preserve"> HYPERLINK \l _Toc25469 </w:instrText>
          </w:r>
          <w:r>
            <w:rPr>
              <w:lang w:val="zh-CN"/>
            </w:rPr>
            <w:fldChar w:fldCharType="separate"/>
          </w:r>
          <w:r>
            <w:rPr>
              <w:rFonts w:hint="eastAsia"/>
              <w:i w:val="0"/>
              <w:lang w:val="en-US" w:eastAsia="zh-CN"/>
            </w:rPr>
            <w:t xml:space="preserve">5.1.1 </w:t>
          </w:r>
          <w:r>
            <w:rPr>
              <w:rFonts w:hint="eastAsia"/>
              <w:lang w:val="en-US" w:eastAsia="zh-CN"/>
            </w:rPr>
            <w:t>地理位置</w:t>
          </w:r>
          <w:r>
            <w:tab/>
          </w:r>
          <w:r>
            <w:fldChar w:fldCharType="begin"/>
          </w:r>
          <w:r>
            <w:instrText xml:space="preserve"> PAGEREF _Toc25469 \h </w:instrText>
          </w:r>
          <w:r>
            <w:fldChar w:fldCharType="separate"/>
          </w:r>
          <w:r>
            <w:t>214</w:t>
          </w:r>
          <w:r>
            <w:fldChar w:fldCharType="end"/>
          </w:r>
          <w:r>
            <w:rPr>
              <w:color w:val="auto"/>
              <w:lang w:val="zh-CN"/>
            </w:rPr>
            <w:fldChar w:fldCharType="end"/>
          </w:r>
        </w:p>
        <w:p w14:paraId="33D62455">
          <w:pPr>
            <w:pStyle w:val="13"/>
            <w:tabs>
              <w:tab w:val="right" w:leader="dot" w:pos="8306"/>
              <w:tab w:val="clear" w:pos="8296"/>
            </w:tabs>
          </w:pPr>
          <w:r>
            <w:rPr>
              <w:color w:val="auto"/>
              <w:lang w:val="zh-CN"/>
            </w:rPr>
            <w:fldChar w:fldCharType="begin"/>
          </w:r>
          <w:r>
            <w:rPr>
              <w:lang w:val="zh-CN"/>
            </w:rPr>
            <w:instrText xml:space="preserve"> HYPERLINK \l _Toc19477 </w:instrText>
          </w:r>
          <w:r>
            <w:rPr>
              <w:lang w:val="zh-CN"/>
            </w:rPr>
            <w:fldChar w:fldCharType="separate"/>
          </w:r>
          <w:r>
            <w:rPr>
              <w:rFonts w:hint="eastAsia"/>
              <w:i w:val="0"/>
              <w:lang w:val="en-US" w:eastAsia="zh-CN"/>
            </w:rPr>
            <w:t xml:space="preserve">5.1.2 </w:t>
          </w:r>
          <w:r>
            <w:rPr>
              <w:rFonts w:hint="eastAsia"/>
              <w:lang w:val="en-US" w:eastAsia="zh-CN"/>
            </w:rPr>
            <w:t>地形地貌</w:t>
          </w:r>
          <w:r>
            <w:tab/>
          </w:r>
          <w:r>
            <w:fldChar w:fldCharType="begin"/>
          </w:r>
          <w:r>
            <w:instrText xml:space="preserve"> PAGEREF _Toc19477 \h </w:instrText>
          </w:r>
          <w:r>
            <w:fldChar w:fldCharType="separate"/>
          </w:r>
          <w:r>
            <w:t>214</w:t>
          </w:r>
          <w:r>
            <w:fldChar w:fldCharType="end"/>
          </w:r>
          <w:r>
            <w:rPr>
              <w:color w:val="auto"/>
              <w:lang w:val="zh-CN"/>
            </w:rPr>
            <w:fldChar w:fldCharType="end"/>
          </w:r>
        </w:p>
        <w:p w14:paraId="71C61FE9">
          <w:pPr>
            <w:pStyle w:val="13"/>
            <w:tabs>
              <w:tab w:val="right" w:leader="dot" w:pos="8306"/>
              <w:tab w:val="clear" w:pos="8296"/>
            </w:tabs>
          </w:pPr>
          <w:r>
            <w:rPr>
              <w:color w:val="auto"/>
              <w:lang w:val="zh-CN"/>
            </w:rPr>
            <w:fldChar w:fldCharType="begin"/>
          </w:r>
          <w:r>
            <w:rPr>
              <w:lang w:val="zh-CN"/>
            </w:rPr>
            <w:instrText xml:space="preserve"> HYPERLINK \l _Toc1731 </w:instrText>
          </w:r>
          <w:r>
            <w:rPr>
              <w:lang w:val="zh-CN"/>
            </w:rPr>
            <w:fldChar w:fldCharType="separate"/>
          </w:r>
          <w:r>
            <w:rPr>
              <w:rFonts w:hint="eastAsia"/>
              <w:i w:val="0"/>
              <w:lang w:val="en-US" w:eastAsia="zh-CN"/>
            </w:rPr>
            <w:t xml:space="preserve">5.1.3 </w:t>
          </w:r>
          <w:r>
            <w:rPr>
              <w:rFonts w:hint="eastAsia"/>
              <w:lang w:val="en-US" w:eastAsia="zh-CN"/>
            </w:rPr>
            <w:t>气象与气候</w:t>
          </w:r>
          <w:r>
            <w:tab/>
          </w:r>
          <w:r>
            <w:fldChar w:fldCharType="begin"/>
          </w:r>
          <w:r>
            <w:instrText xml:space="preserve"> PAGEREF _Toc1731 \h </w:instrText>
          </w:r>
          <w:r>
            <w:fldChar w:fldCharType="separate"/>
          </w:r>
          <w:r>
            <w:t>215</w:t>
          </w:r>
          <w:r>
            <w:fldChar w:fldCharType="end"/>
          </w:r>
          <w:r>
            <w:rPr>
              <w:color w:val="auto"/>
              <w:lang w:val="zh-CN"/>
            </w:rPr>
            <w:fldChar w:fldCharType="end"/>
          </w:r>
        </w:p>
        <w:p w14:paraId="20A053F6">
          <w:pPr>
            <w:pStyle w:val="13"/>
            <w:tabs>
              <w:tab w:val="right" w:leader="dot" w:pos="8306"/>
              <w:tab w:val="clear" w:pos="8296"/>
            </w:tabs>
          </w:pPr>
          <w:r>
            <w:rPr>
              <w:color w:val="auto"/>
              <w:lang w:val="zh-CN"/>
            </w:rPr>
            <w:fldChar w:fldCharType="begin"/>
          </w:r>
          <w:r>
            <w:rPr>
              <w:lang w:val="zh-CN"/>
            </w:rPr>
            <w:instrText xml:space="preserve"> HYPERLINK \l _Toc9476 </w:instrText>
          </w:r>
          <w:r>
            <w:rPr>
              <w:lang w:val="zh-CN"/>
            </w:rPr>
            <w:fldChar w:fldCharType="separate"/>
          </w:r>
          <w:r>
            <w:rPr>
              <w:rFonts w:hint="eastAsia"/>
              <w:i w:val="0"/>
              <w:lang w:val="en-US" w:eastAsia="zh-CN"/>
            </w:rPr>
            <w:t xml:space="preserve">5.1.4 </w:t>
          </w:r>
          <w:r>
            <w:rPr>
              <w:rFonts w:hint="eastAsia"/>
              <w:lang w:val="en-US" w:eastAsia="zh-CN"/>
            </w:rPr>
            <w:t>水文水系</w:t>
          </w:r>
          <w:r>
            <w:tab/>
          </w:r>
          <w:r>
            <w:fldChar w:fldCharType="begin"/>
          </w:r>
          <w:r>
            <w:instrText xml:space="preserve"> PAGEREF _Toc9476 \h </w:instrText>
          </w:r>
          <w:r>
            <w:fldChar w:fldCharType="separate"/>
          </w:r>
          <w:r>
            <w:t>215</w:t>
          </w:r>
          <w:r>
            <w:fldChar w:fldCharType="end"/>
          </w:r>
          <w:r>
            <w:rPr>
              <w:color w:val="auto"/>
              <w:lang w:val="zh-CN"/>
            </w:rPr>
            <w:fldChar w:fldCharType="end"/>
          </w:r>
        </w:p>
        <w:p w14:paraId="57142C1A">
          <w:pPr>
            <w:pStyle w:val="13"/>
            <w:tabs>
              <w:tab w:val="right" w:leader="dot" w:pos="8306"/>
              <w:tab w:val="clear" w:pos="8296"/>
            </w:tabs>
          </w:pPr>
          <w:r>
            <w:rPr>
              <w:color w:val="auto"/>
              <w:lang w:val="zh-CN"/>
            </w:rPr>
            <w:fldChar w:fldCharType="begin"/>
          </w:r>
          <w:r>
            <w:rPr>
              <w:lang w:val="zh-CN"/>
            </w:rPr>
            <w:instrText xml:space="preserve"> HYPERLINK \l _Toc7249 </w:instrText>
          </w:r>
          <w:r>
            <w:rPr>
              <w:lang w:val="zh-CN"/>
            </w:rPr>
            <w:fldChar w:fldCharType="separate"/>
          </w:r>
          <w:r>
            <w:rPr>
              <w:rFonts w:hint="eastAsia" w:ascii="Times New Roman" w:hAnsi="Times New Roman" w:eastAsia="仿宋_GB2312" w:cstheme="majorBidi"/>
              <w:bCs/>
              <w:i w:val="0"/>
              <w:kern w:val="44"/>
              <w:szCs w:val="32"/>
              <w:lang w:val="en-US" w:eastAsia="zh-CN" w:bidi="ar-SA"/>
            </w:rPr>
            <w:t xml:space="preserve">5.1.5 </w:t>
          </w:r>
          <w:r>
            <w:rPr>
              <w:rFonts w:hint="eastAsia" w:ascii="Times New Roman" w:hAnsi="Times New Roman" w:eastAsia="仿宋_GB2312" w:cstheme="majorBidi"/>
              <w:bCs/>
              <w:kern w:val="44"/>
              <w:szCs w:val="32"/>
              <w:lang w:val="en-US" w:eastAsia="zh-CN" w:bidi="ar-SA"/>
            </w:rPr>
            <w:t>水文地质</w:t>
          </w:r>
          <w:r>
            <w:tab/>
          </w:r>
          <w:r>
            <w:fldChar w:fldCharType="begin"/>
          </w:r>
          <w:r>
            <w:instrText xml:space="preserve"> PAGEREF _Toc7249 \h </w:instrText>
          </w:r>
          <w:r>
            <w:fldChar w:fldCharType="separate"/>
          </w:r>
          <w:r>
            <w:t>217</w:t>
          </w:r>
          <w:r>
            <w:fldChar w:fldCharType="end"/>
          </w:r>
          <w:r>
            <w:rPr>
              <w:color w:val="auto"/>
              <w:lang w:val="zh-CN"/>
            </w:rPr>
            <w:fldChar w:fldCharType="end"/>
          </w:r>
        </w:p>
        <w:p w14:paraId="2FB627DC">
          <w:pPr>
            <w:pStyle w:val="13"/>
            <w:tabs>
              <w:tab w:val="right" w:leader="dot" w:pos="8306"/>
              <w:tab w:val="clear" w:pos="8296"/>
            </w:tabs>
          </w:pPr>
          <w:r>
            <w:rPr>
              <w:color w:val="auto"/>
              <w:lang w:val="zh-CN"/>
            </w:rPr>
            <w:fldChar w:fldCharType="begin"/>
          </w:r>
          <w:r>
            <w:rPr>
              <w:lang w:val="zh-CN"/>
            </w:rPr>
            <w:instrText xml:space="preserve"> HYPERLINK \l _Toc18794 </w:instrText>
          </w:r>
          <w:r>
            <w:rPr>
              <w:lang w:val="zh-CN"/>
            </w:rPr>
            <w:fldChar w:fldCharType="separate"/>
          </w:r>
          <w:r>
            <w:rPr>
              <w:rFonts w:hint="eastAsia"/>
              <w:i w:val="0"/>
              <w:lang w:val="en-US" w:eastAsia="zh-CN"/>
            </w:rPr>
            <w:t xml:space="preserve">5.1.6 </w:t>
          </w:r>
          <w:r>
            <w:rPr>
              <w:rFonts w:hint="eastAsia"/>
              <w:lang w:val="en-US" w:eastAsia="zh-CN"/>
            </w:rPr>
            <w:t>生态环境</w:t>
          </w:r>
          <w:r>
            <w:tab/>
          </w:r>
          <w:r>
            <w:fldChar w:fldCharType="begin"/>
          </w:r>
          <w:r>
            <w:instrText xml:space="preserve"> PAGEREF _Toc18794 \h </w:instrText>
          </w:r>
          <w:r>
            <w:fldChar w:fldCharType="separate"/>
          </w:r>
          <w:r>
            <w:t>221</w:t>
          </w:r>
          <w:r>
            <w:fldChar w:fldCharType="end"/>
          </w:r>
          <w:r>
            <w:rPr>
              <w:color w:val="auto"/>
              <w:lang w:val="zh-CN"/>
            </w:rPr>
            <w:fldChar w:fldCharType="end"/>
          </w:r>
        </w:p>
        <w:p w14:paraId="51053595">
          <w:pPr>
            <w:pStyle w:val="18"/>
            <w:tabs>
              <w:tab w:val="right" w:leader="dot" w:pos="8306"/>
            </w:tabs>
          </w:pPr>
          <w:r>
            <w:rPr>
              <w:color w:val="auto"/>
              <w:lang w:val="zh-CN"/>
            </w:rPr>
            <w:fldChar w:fldCharType="begin"/>
          </w:r>
          <w:r>
            <w:rPr>
              <w:lang w:val="zh-CN"/>
            </w:rPr>
            <w:instrText xml:space="preserve"> HYPERLINK \l _Toc11669 </w:instrText>
          </w:r>
          <w:r>
            <w:rPr>
              <w:lang w:val="zh-CN"/>
            </w:rPr>
            <w:fldChar w:fldCharType="separate"/>
          </w:r>
          <w:r>
            <w:rPr>
              <w:rFonts w:hint="eastAsia"/>
              <w:i w:val="0"/>
              <w:lang w:val="en-US" w:eastAsia="zh-CN"/>
            </w:rPr>
            <w:t xml:space="preserve">5.2 </w:t>
          </w:r>
          <w:r>
            <w:rPr>
              <w:rFonts w:hint="eastAsia"/>
              <w:lang w:val="en-US" w:eastAsia="zh-CN"/>
            </w:rPr>
            <w:t>环境质量现状调查与评价</w:t>
          </w:r>
          <w:r>
            <w:tab/>
          </w:r>
          <w:r>
            <w:fldChar w:fldCharType="begin"/>
          </w:r>
          <w:r>
            <w:instrText xml:space="preserve"> PAGEREF _Toc11669 \h </w:instrText>
          </w:r>
          <w:r>
            <w:fldChar w:fldCharType="separate"/>
          </w:r>
          <w:r>
            <w:t>222</w:t>
          </w:r>
          <w:r>
            <w:fldChar w:fldCharType="end"/>
          </w:r>
          <w:r>
            <w:rPr>
              <w:color w:val="auto"/>
              <w:lang w:val="zh-CN"/>
            </w:rPr>
            <w:fldChar w:fldCharType="end"/>
          </w:r>
        </w:p>
        <w:p w14:paraId="114C3E9D">
          <w:pPr>
            <w:pStyle w:val="13"/>
            <w:tabs>
              <w:tab w:val="right" w:leader="dot" w:pos="8306"/>
              <w:tab w:val="clear" w:pos="8296"/>
            </w:tabs>
          </w:pPr>
          <w:r>
            <w:rPr>
              <w:color w:val="auto"/>
              <w:lang w:val="zh-CN"/>
            </w:rPr>
            <w:fldChar w:fldCharType="begin"/>
          </w:r>
          <w:r>
            <w:rPr>
              <w:lang w:val="zh-CN"/>
            </w:rPr>
            <w:instrText xml:space="preserve"> HYPERLINK \l _Toc4453 </w:instrText>
          </w:r>
          <w:r>
            <w:rPr>
              <w:lang w:val="zh-CN"/>
            </w:rPr>
            <w:fldChar w:fldCharType="separate"/>
          </w:r>
          <w:r>
            <w:rPr>
              <w:rFonts w:hint="eastAsia"/>
              <w:i w:val="0"/>
              <w:lang w:val="en-US" w:eastAsia="zh-CN"/>
            </w:rPr>
            <w:t xml:space="preserve">5.2.1 </w:t>
          </w:r>
          <w:r>
            <w:rPr>
              <w:rFonts w:hint="eastAsia"/>
              <w:lang w:val="en-US" w:eastAsia="zh-CN"/>
            </w:rPr>
            <w:t>大气环境质量现状监测与评价</w:t>
          </w:r>
          <w:r>
            <w:tab/>
          </w:r>
          <w:r>
            <w:fldChar w:fldCharType="begin"/>
          </w:r>
          <w:r>
            <w:instrText xml:space="preserve"> PAGEREF _Toc4453 \h </w:instrText>
          </w:r>
          <w:r>
            <w:fldChar w:fldCharType="separate"/>
          </w:r>
          <w:r>
            <w:t>222</w:t>
          </w:r>
          <w:r>
            <w:fldChar w:fldCharType="end"/>
          </w:r>
          <w:r>
            <w:rPr>
              <w:color w:val="auto"/>
              <w:lang w:val="zh-CN"/>
            </w:rPr>
            <w:fldChar w:fldCharType="end"/>
          </w:r>
        </w:p>
        <w:p w14:paraId="58A92CFD">
          <w:pPr>
            <w:pStyle w:val="13"/>
            <w:tabs>
              <w:tab w:val="right" w:leader="dot" w:pos="8306"/>
              <w:tab w:val="clear" w:pos="8296"/>
            </w:tabs>
          </w:pPr>
          <w:r>
            <w:rPr>
              <w:color w:val="auto"/>
              <w:lang w:val="zh-CN"/>
            </w:rPr>
            <w:fldChar w:fldCharType="begin"/>
          </w:r>
          <w:r>
            <w:rPr>
              <w:lang w:val="zh-CN"/>
            </w:rPr>
            <w:instrText xml:space="preserve"> HYPERLINK \l _Toc31985 </w:instrText>
          </w:r>
          <w:r>
            <w:rPr>
              <w:lang w:val="zh-CN"/>
            </w:rPr>
            <w:fldChar w:fldCharType="separate"/>
          </w:r>
          <w:r>
            <w:rPr>
              <w:rFonts w:hint="eastAsia"/>
              <w:i w:val="0"/>
              <w:lang w:val="en-US" w:eastAsia="zh-CN"/>
            </w:rPr>
            <w:t xml:space="preserve">5.2.2 </w:t>
          </w:r>
          <w:r>
            <w:rPr>
              <w:rFonts w:hint="eastAsia"/>
              <w:lang w:val="en-US" w:eastAsia="zh-CN"/>
            </w:rPr>
            <w:t>环境空气质量补充监测</w:t>
          </w:r>
          <w:r>
            <w:tab/>
          </w:r>
          <w:r>
            <w:fldChar w:fldCharType="begin"/>
          </w:r>
          <w:r>
            <w:instrText xml:space="preserve"> PAGEREF _Toc31985 \h </w:instrText>
          </w:r>
          <w:r>
            <w:fldChar w:fldCharType="separate"/>
          </w:r>
          <w:r>
            <w:t>223</w:t>
          </w:r>
          <w:r>
            <w:fldChar w:fldCharType="end"/>
          </w:r>
          <w:r>
            <w:rPr>
              <w:color w:val="auto"/>
              <w:lang w:val="zh-CN"/>
            </w:rPr>
            <w:fldChar w:fldCharType="end"/>
          </w:r>
        </w:p>
        <w:p w14:paraId="279E6205">
          <w:pPr>
            <w:pStyle w:val="13"/>
            <w:tabs>
              <w:tab w:val="right" w:leader="dot" w:pos="8306"/>
              <w:tab w:val="clear" w:pos="8296"/>
            </w:tabs>
          </w:pPr>
          <w:r>
            <w:rPr>
              <w:color w:val="auto"/>
              <w:lang w:val="zh-CN"/>
            </w:rPr>
            <w:fldChar w:fldCharType="begin"/>
          </w:r>
          <w:r>
            <w:rPr>
              <w:lang w:val="zh-CN"/>
            </w:rPr>
            <w:instrText xml:space="preserve"> HYPERLINK \l _Toc23944 </w:instrText>
          </w:r>
          <w:r>
            <w:rPr>
              <w:lang w:val="zh-CN"/>
            </w:rPr>
            <w:fldChar w:fldCharType="separate"/>
          </w:r>
          <w:r>
            <w:rPr>
              <w:rFonts w:hint="eastAsia"/>
              <w:i w:val="0"/>
              <w:lang w:val="en-US" w:eastAsia="zh-CN"/>
            </w:rPr>
            <w:t xml:space="preserve">5.2.3 </w:t>
          </w:r>
          <w:r>
            <w:rPr>
              <w:rFonts w:hint="eastAsia"/>
              <w:lang w:val="en-US" w:eastAsia="zh-CN"/>
            </w:rPr>
            <w:t>地表水环境质量现状监测与评价</w:t>
          </w:r>
          <w:r>
            <w:tab/>
          </w:r>
          <w:r>
            <w:fldChar w:fldCharType="begin"/>
          </w:r>
          <w:r>
            <w:instrText xml:space="preserve"> PAGEREF _Toc23944 \h </w:instrText>
          </w:r>
          <w:r>
            <w:fldChar w:fldCharType="separate"/>
          </w:r>
          <w:r>
            <w:t>229</w:t>
          </w:r>
          <w:r>
            <w:fldChar w:fldCharType="end"/>
          </w:r>
          <w:r>
            <w:rPr>
              <w:color w:val="auto"/>
              <w:lang w:val="zh-CN"/>
            </w:rPr>
            <w:fldChar w:fldCharType="end"/>
          </w:r>
        </w:p>
        <w:p w14:paraId="20E46F13">
          <w:pPr>
            <w:pStyle w:val="13"/>
            <w:tabs>
              <w:tab w:val="right" w:leader="dot" w:pos="8306"/>
              <w:tab w:val="clear" w:pos="8296"/>
            </w:tabs>
          </w:pPr>
          <w:r>
            <w:rPr>
              <w:color w:val="auto"/>
              <w:lang w:val="zh-CN"/>
            </w:rPr>
            <w:fldChar w:fldCharType="begin"/>
          </w:r>
          <w:r>
            <w:rPr>
              <w:lang w:val="zh-CN"/>
            </w:rPr>
            <w:instrText xml:space="preserve"> HYPERLINK \l _Toc22913 </w:instrText>
          </w:r>
          <w:r>
            <w:rPr>
              <w:lang w:val="zh-CN"/>
            </w:rPr>
            <w:fldChar w:fldCharType="separate"/>
          </w:r>
          <w:r>
            <w:rPr>
              <w:rFonts w:hint="eastAsia"/>
              <w:i w:val="0"/>
              <w:lang w:val="en-US" w:eastAsia="zh-CN"/>
            </w:rPr>
            <w:t xml:space="preserve">5.2.4 </w:t>
          </w:r>
          <w:r>
            <w:rPr>
              <w:rFonts w:hint="eastAsia"/>
              <w:lang w:val="en-US" w:eastAsia="zh-CN"/>
            </w:rPr>
            <w:t>声环境质量现状监测与评价</w:t>
          </w:r>
          <w:r>
            <w:tab/>
          </w:r>
          <w:r>
            <w:fldChar w:fldCharType="begin"/>
          </w:r>
          <w:r>
            <w:instrText xml:space="preserve"> PAGEREF _Toc22913 \h </w:instrText>
          </w:r>
          <w:r>
            <w:fldChar w:fldCharType="separate"/>
          </w:r>
          <w:r>
            <w:t>233</w:t>
          </w:r>
          <w:r>
            <w:fldChar w:fldCharType="end"/>
          </w:r>
          <w:r>
            <w:rPr>
              <w:color w:val="auto"/>
              <w:lang w:val="zh-CN"/>
            </w:rPr>
            <w:fldChar w:fldCharType="end"/>
          </w:r>
        </w:p>
        <w:p w14:paraId="14A19C2C">
          <w:pPr>
            <w:pStyle w:val="13"/>
            <w:tabs>
              <w:tab w:val="right" w:leader="dot" w:pos="8306"/>
              <w:tab w:val="clear" w:pos="8296"/>
            </w:tabs>
          </w:pPr>
          <w:r>
            <w:rPr>
              <w:color w:val="auto"/>
              <w:lang w:val="zh-CN"/>
            </w:rPr>
            <w:fldChar w:fldCharType="begin"/>
          </w:r>
          <w:r>
            <w:rPr>
              <w:lang w:val="zh-CN"/>
            </w:rPr>
            <w:instrText xml:space="preserve"> HYPERLINK \l _Toc13833 </w:instrText>
          </w:r>
          <w:r>
            <w:rPr>
              <w:lang w:val="zh-CN"/>
            </w:rPr>
            <w:fldChar w:fldCharType="separate"/>
          </w:r>
          <w:r>
            <w:rPr>
              <w:rFonts w:hint="eastAsia"/>
              <w:i w:val="0"/>
              <w:lang w:val="en-US" w:eastAsia="zh-CN"/>
            </w:rPr>
            <w:t xml:space="preserve">5.2.5 </w:t>
          </w:r>
          <w:r>
            <w:rPr>
              <w:rFonts w:hint="eastAsia"/>
              <w:lang w:val="en-US" w:eastAsia="zh-CN"/>
            </w:rPr>
            <w:t>地下水环境质量现状监测与评价</w:t>
          </w:r>
          <w:r>
            <w:tab/>
          </w:r>
          <w:r>
            <w:fldChar w:fldCharType="begin"/>
          </w:r>
          <w:r>
            <w:instrText xml:space="preserve"> PAGEREF _Toc13833 \h </w:instrText>
          </w:r>
          <w:r>
            <w:fldChar w:fldCharType="separate"/>
          </w:r>
          <w:r>
            <w:t>234</w:t>
          </w:r>
          <w:r>
            <w:fldChar w:fldCharType="end"/>
          </w:r>
          <w:r>
            <w:rPr>
              <w:color w:val="auto"/>
              <w:lang w:val="zh-CN"/>
            </w:rPr>
            <w:fldChar w:fldCharType="end"/>
          </w:r>
        </w:p>
        <w:p w14:paraId="7B57EE8E">
          <w:pPr>
            <w:pStyle w:val="13"/>
            <w:tabs>
              <w:tab w:val="right" w:leader="dot" w:pos="8306"/>
              <w:tab w:val="clear" w:pos="8296"/>
            </w:tabs>
          </w:pPr>
          <w:r>
            <w:rPr>
              <w:color w:val="auto"/>
              <w:lang w:val="zh-CN"/>
            </w:rPr>
            <w:fldChar w:fldCharType="begin"/>
          </w:r>
          <w:r>
            <w:rPr>
              <w:lang w:val="zh-CN"/>
            </w:rPr>
            <w:instrText xml:space="preserve"> HYPERLINK \l _Toc29188 </w:instrText>
          </w:r>
          <w:r>
            <w:rPr>
              <w:lang w:val="zh-CN"/>
            </w:rPr>
            <w:fldChar w:fldCharType="separate"/>
          </w:r>
          <w:r>
            <w:rPr>
              <w:rFonts w:hint="eastAsia"/>
              <w:i w:val="0"/>
              <w:lang w:val="en-US" w:eastAsia="zh-CN"/>
            </w:rPr>
            <w:t xml:space="preserve">5.2.6 </w:t>
          </w:r>
          <w:r>
            <w:rPr>
              <w:rFonts w:hint="eastAsia"/>
              <w:lang w:val="en-US" w:eastAsia="zh-CN"/>
            </w:rPr>
            <w:t>土壤环境质量现状调查与评价</w:t>
          </w:r>
          <w:r>
            <w:tab/>
          </w:r>
          <w:r>
            <w:fldChar w:fldCharType="begin"/>
          </w:r>
          <w:r>
            <w:instrText xml:space="preserve"> PAGEREF _Toc29188 \h </w:instrText>
          </w:r>
          <w:r>
            <w:fldChar w:fldCharType="separate"/>
          </w:r>
          <w:r>
            <w:t>239</w:t>
          </w:r>
          <w:r>
            <w:fldChar w:fldCharType="end"/>
          </w:r>
          <w:r>
            <w:rPr>
              <w:color w:val="auto"/>
              <w:lang w:val="zh-CN"/>
            </w:rPr>
            <w:fldChar w:fldCharType="end"/>
          </w:r>
        </w:p>
        <w:p w14:paraId="5CF36412">
          <w:pPr>
            <w:pStyle w:val="16"/>
            <w:tabs>
              <w:tab w:val="right" w:leader="dot" w:pos="8306"/>
            </w:tabs>
          </w:pPr>
          <w:r>
            <w:rPr>
              <w:color w:val="auto"/>
              <w:lang w:val="zh-CN"/>
            </w:rPr>
            <w:fldChar w:fldCharType="begin"/>
          </w:r>
          <w:r>
            <w:rPr>
              <w:lang w:val="zh-CN"/>
            </w:rPr>
            <w:instrText xml:space="preserve"> HYPERLINK \l _Toc16519 </w:instrText>
          </w:r>
          <w:r>
            <w:rPr>
              <w:lang w:val="zh-CN"/>
            </w:rPr>
            <w:fldChar w:fldCharType="separate"/>
          </w:r>
          <w:r>
            <w:rPr>
              <w:rFonts w:hint="eastAsia"/>
              <w:i w:val="0"/>
              <w:szCs w:val="30"/>
            </w:rPr>
            <w:t xml:space="preserve">6 </w:t>
          </w:r>
          <w:r>
            <w:rPr>
              <w:rFonts w:hint="eastAsia"/>
            </w:rPr>
            <w:t>环境影响预测与评价</w:t>
          </w:r>
          <w:r>
            <w:tab/>
          </w:r>
          <w:r>
            <w:fldChar w:fldCharType="begin"/>
          </w:r>
          <w:r>
            <w:instrText xml:space="preserve"> PAGEREF _Toc16519 \h </w:instrText>
          </w:r>
          <w:r>
            <w:fldChar w:fldCharType="separate"/>
          </w:r>
          <w:r>
            <w:t>248</w:t>
          </w:r>
          <w:r>
            <w:fldChar w:fldCharType="end"/>
          </w:r>
          <w:r>
            <w:rPr>
              <w:color w:val="auto"/>
              <w:lang w:val="zh-CN"/>
            </w:rPr>
            <w:fldChar w:fldCharType="end"/>
          </w:r>
        </w:p>
        <w:p w14:paraId="59146D9A">
          <w:pPr>
            <w:pStyle w:val="18"/>
            <w:tabs>
              <w:tab w:val="right" w:leader="dot" w:pos="8306"/>
            </w:tabs>
          </w:pPr>
          <w:r>
            <w:rPr>
              <w:color w:val="auto"/>
              <w:lang w:val="zh-CN"/>
            </w:rPr>
            <w:fldChar w:fldCharType="begin"/>
          </w:r>
          <w:r>
            <w:rPr>
              <w:lang w:val="zh-CN"/>
            </w:rPr>
            <w:instrText xml:space="preserve"> HYPERLINK \l _Toc10259 </w:instrText>
          </w:r>
          <w:r>
            <w:rPr>
              <w:lang w:val="zh-CN"/>
            </w:rPr>
            <w:fldChar w:fldCharType="separate"/>
          </w:r>
          <w:r>
            <w:rPr>
              <w:rFonts w:hint="eastAsia"/>
              <w:i w:val="0"/>
            </w:rPr>
            <w:t xml:space="preserve">6.1 </w:t>
          </w:r>
          <w:r>
            <w:rPr>
              <w:rFonts w:hint="eastAsia"/>
            </w:rPr>
            <w:t>施工期环境影响评价</w:t>
          </w:r>
          <w:r>
            <w:tab/>
          </w:r>
          <w:r>
            <w:fldChar w:fldCharType="begin"/>
          </w:r>
          <w:r>
            <w:instrText xml:space="preserve"> PAGEREF _Toc10259 \h </w:instrText>
          </w:r>
          <w:r>
            <w:fldChar w:fldCharType="separate"/>
          </w:r>
          <w:r>
            <w:t>248</w:t>
          </w:r>
          <w:r>
            <w:fldChar w:fldCharType="end"/>
          </w:r>
          <w:r>
            <w:rPr>
              <w:color w:val="auto"/>
              <w:lang w:val="zh-CN"/>
            </w:rPr>
            <w:fldChar w:fldCharType="end"/>
          </w:r>
        </w:p>
        <w:p w14:paraId="76BA8F0E">
          <w:pPr>
            <w:pStyle w:val="18"/>
            <w:tabs>
              <w:tab w:val="right" w:leader="dot" w:pos="8306"/>
            </w:tabs>
          </w:pPr>
          <w:r>
            <w:rPr>
              <w:color w:val="auto"/>
              <w:lang w:val="zh-CN"/>
            </w:rPr>
            <w:fldChar w:fldCharType="begin"/>
          </w:r>
          <w:r>
            <w:rPr>
              <w:lang w:val="zh-CN"/>
            </w:rPr>
            <w:instrText xml:space="preserve"> HYPERLINK \l _Toc10467 </w:instrText>
          </w:r>
          <w:r>
            <w:rPr>
              <w:lang w:val="zh-CN"/>
            </w:rPr>
            <w:fldChar w:fldCharType="separate"/>
          </w:r>
          <w:r>
            <w:rPr>
              <w:rFonts w:hint="eastAsia"/>
              <w:i w:val="0"/>
            </w:rPr>
            <w:t xml:space="preserve">6.2 </w:t>
          </w:r>
          <w:r>
            <w:rPr>
              <w:rFonts w:hint="eastAsia"/>
            </w:rPr>
            <w:t>运营期环境影响分析</w:t>
          </w:r>
          <w:r>
            <w:tab/>
          </w:r>
          <w:r>
            <w:fldChar w:fldCharType="begin"/>
          </w:r>
          <w:r>
            <w:instrText xml:space="preserve"> PAGEREF _Toc10467 \h </w:instrText>
          </w:r>
          <w:r>
            <w:fldChar w:fldCharType="separate"/>
          </w:r>
          <w:r>
            <w:t>248</w:t>
          </w:r>
          <w:r>
            <w:fldChar w:fldCharType="end"/>
          </w:r>
          <w:r>
            <w:rPr>
              <w:color w:val="auto"/>
              <w:lang w:val="zh-CN"/>
            </w:rPr>
            <w:fldChar w:fldCharType="end"/>
          </w:r>
        </w:p>
        <w:p w14:paraId="47710E9F">
          <w:pPr>
            <w:pStyle w:val="13"/>
            <w:tabs>
              <w:tab w:val="right" w:leader="dot" w:pos="8306"/>
              <w:tab w:val="clear" w:pos="8296"/>
            </w:tabs>
          </w:pPr>
          <w:r>
            <w:rPr>
              <w:color w:val="auto"/>
              <w:lang w:val="zh-CN"/>
            </w:rPr>
            <w:fldChar w:fldCharType="begin"/>
          </w:r>
          <w:r>
            <w:rPr>
              <w:lang w:val="zh-CN"/>
            </w:rPr>
            <w:instrText xml:space="preserve"> HYPERLINK \l _Toc11786 </w:instrText>
          </w:r>
          <w:r>
            <w:rPr>
              <w:lang w:val="zh-CN"/>
            </w:rPr>
            <w:fldChar w:fldCharType="separate"/>
          </w:r>
          <w:r>
            <w:rPr>
              <w:rFonts w:hint="eastAsia"/>
              <w:i w:val="0"/>
            </w:rPr>
            <w:t xml:space="preserve">6.2.1 </w:t>
          </w:r>
          <w:r>
            <w:rPr>
              <w:rFonts w:hint="eastAsia"/>
            </w:rPr>
            <w:t>环境空气质量影响预测与评价</w:t>
          </w:r>
          <w:r>
            <w:tab/>
          </w:r>
          <w:r>
            <w:fldChar w:fldCharType="begin"/>
          </w:r>
          <w:r>
            <w:instrText xml:space="preserve"> PAGEREF _Toc11786 \h </w:instrText>
          </w:r>
          <w:r>
            <w:fldChar w:fldCharType="separate"/>
          </w:r>
          <w:r>
            <w:t>248</w:t>
          </w:r>
          <w:r>
            <w:fldChar w:fldCharType="end"/>
          </w:r>
          <w:r>
            <w:rPr>
              <w:color w:val="auto"/>
              <w:lang w:val="zh-CN"/>
            </w:rPr>
            <w:fldChar w:fldCharType="end"/>
          </w:r>
        </w:p>
        <w:p w14:paraId="1CC6EF3D">
          <w:pPr>
            <w:pStyle w:val="13"/>
            <w:tabs>
              <w:tab w:val="right" w:leader="dot" w:pos="8306"/>
              <w:tab w:val="clear" w:pos="8296"/>
            </w:tabs>
          </w:pPr>
          <w:r>
            <w:rPr>
              <w:color w:val="auto"/>
              <w:lang w:val="zh-CN"/>
            </w:rPr>
            <w:fldChar w:fldCharType="begin"/>
          </w:r>
          <w:r>
            <w:rPr>
              <w:lang w:val="zh-CN"/>
            </w:rPr>
            <w:instrText xml:space="preserve"> HYPERLINK \l _Toc15872 </w:instrText>
          </w:r>
          <w:r>
            <w:rPr>
              <w:lang w:val="zh-CN"/>
            </w:rPr>
            <w:fldChar w:fldCharType="separate"/>
          </w:r>
          <w:r>
            <w:rPr>
              <w:rFonts w:hint="eastAsia"/>
              <w:i w:val="0"/>
              <w:lang w:val="en-US" w:eastAsia="zh-CN"/>
            </w:rPr>
            <w:t xml:space="preserve">6.2.2 </w:t>
          </w:r>
          <w:r>
            <w:rPr>
              <w:lang w:val="en-US" w:eastAsia="zh-CN"/>
            </w:rPr>
            <w:t>大气环境影响评价结论与建议</w:t>
          </w:r>
          <w:r>
            <w:tab/>
          </w:r>
          <w:r>
            <w:fldChar w:fldCharType="begin"/>
          </w:r>
          <w:r>
            <w:instrText xml:space="preserve"> PAGEREF _Toc15872 \h </w:instrText>
          </w:r>
          <w:r>
            <w:fldChar w:fldCharType="separate"/>
          </w:r>
          <w:r>
            <w:t>255</w:t>
          </w:r>
          <w:r>
            <w:fldChar w:fldCharType="end"/>
          </w:r>
          <w:r>
            <w:rPr>
              <w:color w:val="auto"/>
              <w:lang w:val="zh-CN"/>
            </w:rPr>
            <w:fldChar w:fldCharType="end"/>
          </w:r>
        </w:p>
        <w:p w14:paraId="505704AA">
          <w:pPr>
            <w:pStyle w:val="18"/>
            <w:tabs>
              <w:tab w:val="right" w:leader="dot" w:pos="8306"/>
            </w:tabs>
          </w:pPr>
          <w:r>
            <w:rPr>
              <w:color w:val="auto"/>
              <w:lang w:val="zh-CN"/>
            </w:rPr>
            <w:fldChar w:fldCharType="begin"/>
          </w:r>
          <w:r>
            <w:rPr>
              <w:lang w:val="zh-CN"/>
            </w:rPr>
            <w:instrText xml:space="preserve"> HYPERLINK \l _Toc19795 </w:instrText>
          </w:r>
          <w:r>
            <w:rPr>
              <w:lang w:val="zh-CN"/>
            </w:rPr>
            <w:fldChar w:fldCharType="separate"/>
          </w:r>
          <w:r>
            <w:rPr>
              <w:rFonts w:hint="eastAsia"/>
              <w:i w:val="0"/>
            </w:rPr>
            <w:t xml:space="preserve">6.3 </w:t>
          </w:r>
          <w:r>
            <w:rPr>
              <w:rFonts w:hint="eastAsia"/>
            </w:rPr>
            <w:t>地表水环境影响分析</w:t>
          </w:r>
          <w:r>
            <w:tab/>
          </w:r>
          <w:r>
            <w:fldChar w:fldCharType="begin"/>
          </w:r>
          <w:r>
            <w:instrText xml:space="preserve"> PAGEREF _Toc19795 \h </w:instrText>
          </w:r>
          <w:r>
            <w:fldChar w:fldCharType="separate"/>
          </w:r>
          <w:r>
            <w:t>256</w:t>
          </w:r>
          <w:r>
            <w:fldChar w:fldCharType="end"/>
          </w:r>
          <w:r>
            <w:rPr>
              <w:color w:val="auto"/>
              <w:lang w:val="zh-CN"/>
            </w:rPr>
            <w:fldChar w:fldCharType="end"/>
          </w:r>
        </w:p>
        <w:p w14:paraId="37FD3D6B">
          <w:pPr>
            <w:pStyle w:val="18"/>
            <w:tabs>
              <w:tab w:val="right" w:leader="dot" w:pos="8306"/>
            </w:tabs>
          </w:pPr>
          <w:r>
            <w:rPr>
              <w:color w:val="auto"/>
              <w:lang w:val="zh-CN"/>
            </w:rPr>
            <w:fldChar w:fldCharType="begin"/>
          </w:r>
          <w:r>
            <w:rPr>
              <w:lang w:val="zh-CN"/>
            </w:rPr>
            <w:instrText xml:space="preserve"> HYPERLINK \l _Toc18790 </w:instrText>
          </w:r>
          <w:r>
            <w:rPr>
              <w:lang w:val="zh-CN"/>
            </w:rPr>
            <w:fldChar w:fldCharType="separate"/>
          </w:r>
          <w:r>
            <w:rPr>
              <w:rFonts w:hint="eastAsia"/>
              <w:i w:val="0"/>
            </w:rPr>
            <w:t xml:space="preserve">6.4 </w:t>
          </w:r>
          <w:r>
            <w:rPr>
              <w:rFonts w:hint="eastAsia"/>
            </w:rPr>
            <w:t>声影响分析</w:t>
          </w:r>
          <w:r>
            <w:tab/>
          </w:r>
          <w:r>
            <w:fldChar w:fldCharType="begin"/>
          </w:r>
          <w:r>
            <w:instrText xml:space="preserve"> PAGEREF _Toc18790 \h </w:instrText>
          </w:r>
          <w:r>
            <w:fldChar w:fldCharType="separate"/>
          </w:r>
          <w:r>
            <w:t>256</w:t>
          </w:r>
          <w:r>
            <w:fldChar w:fldCharType="end"/>
          </w:r>
          <w:r>
            <w:rPr>
              <w:color w:val="auto"/>
              <w:lang w:val="zh-CN"/>
            </w:rPr>
            <w:fldChar w:fldCharType="end"/>
          </w:r>
        </w:p>
        <w:p w14:paraId="1C6D150A">
          <w:pPr>
            <w:pStyle w:val="13"/>
            <w:tabs>
              <w:tab w:val="right" w:leader="dot" w:pos="8306"/>
              <w:tab w:val="clear" w:pos="8296"/>
            </w:tabs>
          </w:pPr>
          <w:r>
            <w:rPr>
              <w:color w:val="auto"/>
              <w:lang w:val="zh-CN"/>
            </w:rPr>
            <w:fldChar w:fldCharType="begin"/>
          </w:r>
          <w:r>
            <w:rPr>
              <w:lang w:val="zh-CN"/>
            </w:rPr>
            <w:instrText xml:space="preserve"> HYPERLINK \l _Toc24567 </w:instrText>
          </w:r>
          <w:r>
            <w:rPr>
              <w:lang w:val="zh-CN"/>
            </w:rPr>
            <w:fldChar w:fldCharType="separate"/>
          </w:r>
          <w:r>
            <w:rPr>
              <w:rFonts w:hint="eastAsia"/>
              <w:i w:val="0"/>
            </w:rPr>
            <w:t xml:space="preserve">6.4.1 </w:t>
          </w:r>
          <w:r>
            <w:rPr>
              <w:rFonts w:hint="eastAsia"/>
            </w:rPr>
            <w:t>本项目噪声源</w:t>
          </w:r>
          <w:r>
            <w:tab/>
          </w:r>
          <w:r>
            <w:fldChar w:fldCharType="begin"/>
          </w:r>
          <w:r>
            <w:instrText xml:space="preserve"> PAGEREF _Toc24567 \h </w:instrText>
          </w:r>
          <w:r>
            <w:fldChar w:fldCharType="separate"/>
          </w:r>
          <w:r>
            <w:t>256</w:t>
          </w:r>
          <w:r>
            <w:fldChar w:fldCharType="end"/>
          </w:r>
          <w:r>
            <w:rPr>
              <w:color w:val="auto"/>
              <w:lang w:val="zh-CN"/>
            </w:rPr>
            <w:fldChar w:fldCharType="end"/>
          </w:r>
        </w:p>
        <w:p w14:paraId="6E38EF19">
          <w:pPr>
            <w:pStyle w:val="13"/>
            <w:tabs>
              <w:tab w:val="right" w:leader="dot" w:pos="8306"/>
              <w:tab w:val="clear" w:pos="8296"/>
            </w:tabs>
          </w:pPr>
          <w:r>
            <w:rPr>
              <w:color w:val="auto"/>
              <w:lang w:val="zh-CN"/>
            </w:rPr>
            <w:fldChar w:fldCharType="begin"/>
          </w:r>
          <w:r>
            <w:rPr>
              <w:lang w:val="zh-CN"/>
            </w:rPr>
            <w:instrText xml:space="preserve"> HYPERLINK \l _Toc8476 </w:instrText>
          </w:r>
          <w:r>
            <w:rPr>
              <w:lang w:val="zh-CN"/>
            </w:rPr>
            <w:fldChar w:fldCharType="separate"/>
          </w:r>
          <w:r>
            <w:rPr>
              <w:rFonts w:hint="eastAsia"/>
              <w:i w:val="0"/>
            </w:rPr>
            <w:t xml:space="preserve">6.4.2 </w:t>
          </w:r>
          <w:r>
            <w:rPr>
              <w:rFonts w:hint="eastAsia"/>
            </w:rPr>
            <w:t>预测模式</w:t>
          </w:r>
          <w:r>
            <w:tab/>
          </w:r>
          <w:r>
            <w:fldChar w:fldCharType="begin"/>
          </w:r>
          <w:r>
            <w:instrText xml:space="preserve"> PAGEREF _Toc8476 \h </w:instrText>
          </w:r>
          <w:r>
            <w:fldChar w:fldCharType="separate"/>
          </w:r>
          <w:r>
            <w:t>256</w:t>
          </w:r>
          <w:r>
            <w:fldChar w:fldCharType="end"/>
          </w:r>
          <w:r>
            <w:rPr>
              <w:color w:val="auto"/>
              <w:lang w:val="zh-CN"/>
            </w:rPr>
            <w:fldChar w:fldCharType="end"/>
          </w:r>
        </w:p>
        <w:p w14:paraId="2EA26A21">
          <w:pPr>
            <w:pStyle w:val="13"/>
            <w:tabs>
              <w:tab w:val="right" w:leader="dot" w:pos="8306"/>
              <w:tab w:val="clear" w:pos="8296"/>
            </w:tabs>
          </w:pPr>
          <w:r>
            <w:rPr>
              <w:color w:val="auto"/>
              <w:lang w:val="zh-CN"/>
            </w:rPr>
            <w:fldChar w:fldCharType="begin"/>
          </w:r>
          <w:r>
            <w:rPr>
              <w:lang w:val="zh-CN"/>
            </w:rPr>
            <w:instrText xml:space="preserve"> HYPERLINK \l _Toc8080 </w:instrText>
          </w:r>
          <w:r>
            <w:rPr>
              <w:lang w:val="zh-CN"/>
            </w:rPr>
            <w:fldChar w:fldCharType="separate"/>
          </w:r>
          <w:r>
            <w:rPr>
              <w:rFonts w:hint="eastAsia"/>
              <w:i w:val="0"/>
            </w:rPr>
            <w:t xml:space="preserve">6.4.3 </w:t>
          </w:r>
          <w:r>
            <w:rPr>
              <w:rFonts w:hint="eastAsia"/>
            </w:rPr>
            <w:t>噪声环境影响预测及评价</w:t>
          </w:r>
          <w:r>
            <w:tab/>
          </w:r>
          <w:r>
            <w:fldChar w:fldCharType="begin"/>
          </w:r>
          <w:r>
            <w:instrText xml:space="preserve"> PAGEREF _Toc8080 \h </w:instrText>
          </w:r>
          <w:r>
            <w:fldChar w:fldCharType="separate"/>
          </w:r>
          <w:r>
            <w:t>259</w:t>
          </w:r>
          <w:r>
            <w:fldChar w:fldCharType="end"/>
          </w:r>
          <w:r>
            <w:rPr>
              <w:color w:val="auto"/>
              <w:lang w:val="zh-CN"/>
            </w:rPr>
            <w:fldChar w:fldCharType="end"/>
          </w:r>
        </w:p>
        <w:p w14:paraId="34A47BF2">
          <w:pPr>
            <w:pStyle w:val="18"/>
            <w:tabs>
              <w:tab w:val="right" w:leader="dot" w:pos="8306"/>
            </w:tabs>
          </w:pPr>
          <w:r>
            <w:rPr>
              <w:color w:val="auto"/>
              <w:lang w:val="zh-CN"/>
            </w:rPr>
            <w:fldChar w:fldCharType="begin"/>
          </w:r>
          <w:r>
            <w:rPr>
              <w:lang w:val="zh-CN"/>
            </w:rPr>
            <w:instrText xml:space="preserve"> HYPERLINK \l _Toc11577 </w:instrText>
          </w:r>
          <w:r>
            <w:rPr>
              <w:lang w:val="zh-CN"/>
            </w:rPr>
            <w:fldChar w:fldCharType="separate"/>
          </w:r>
          <w:r>
            <w:rPr>
              <w:rFonts w:hint="eastAsia"/>
              <w:i w:val="0"/>
            </w:rPr>
            <w:t xml:space="preserve">6.5 </w:t>
          </w:r>
          <w:r>
            <w:rPr>
              <w:rFonts w:hint="eastAsia"/>
            </w:rPr>
            <w:t>固体废物环境影响分析</w:t>
          </w:r>
          <w:r>
            <w:tab/>
          </w:r>
          <w:r>
            <w:fldChar w:fldCharType="begin"/>
          </w:r>
          <w:r>
            <w:instrText xml:space="preserve"> PAGEREF _Toc11577 \h </w:instrText>
          </w:r>
          <w:r>
            <w:fldChar w:fldCharType="separate"/>
          </w:r>
          <w:r>
            <w:t>259</w:t>
          </w:r>
          <w:r>
            <w:fldChar w:fldCharType="end"/>
          </w:r>
          <w:r>
            <w:rPr>
              <w:color w:val="auto"/>
              <w:lang w:val="zh-CN"/>
            </w:rPr>
            <w:fldChar w:fldCharType="end"/>
          </w:r>
        </w:p>
        <w:p w14:paraId="38904201">
          <w:pPr>
            <w:pStyle w:val="13"/>
            <w:tabs>
              <w:tab w:val="right" w:leader="dot" w:pos="8306"/>
              <w:tab w:val="clear" w:pos="8296"/>
            </w:tabs>
          </w:pPr>
          <w:r>
            <w:rPr>
              <w:color w:val="auto"/>
              <w:lang w:val="zh-CN"/>
            </w:rPr>
            <w:fldChar w:fldCharType="begin"/>
          </w:r>
          <w:r>
            <w:rPr>
              <w:lang w:val="zh-CN"/>
            </w:rPr>
            <w:instrText xml:space="preserve"> HYPERLINK \l _Toc15648 </w:instrText>
          </w:r>
          <w:r>
            <w:rPr>
              <w:lang w:val="zh-CN"/>
            </w:rPr>
            <w:fldChar w:fldCharType="separate"/>
          </w:r>
          <w:r>
            <w:rPr>
              <w:rFonts w:hint="eastAsia"/>
              <w:i w:val="0"/>
            </w:rPr>
            <w:t xml:space="preserve">6.5.1 </w:t>
          </w:r>
          <w:r>
            <w:rPr>
              <w:rFonts w:hint="eastAsia"/>
            </w:rPr>
            <w:t>固体废物产生情况及处置方式</w:t>
          </w:r>
          <w:r>
            <w:tab/>
          </w:r>
          <w:r>
            <w:fldChar w:fldCharType="begin"/>
          </w:r>
          <w:r>
            <w:instrText xml:space="preserve"> PAGEREF _Toc15648 \h </w:instrText>
          </w:r>
          <w:r>
            <w:fldChar w:fldCharType="separate"/>
          </w:r>
          <w:r>
            <w:t>259</w:t>
          </w:r>
          <w:r>
            <w:fldChar w:fldCharType="end"/>
          </w:r>
          <w:r>
            <w:rPr>
              <w:color w:val="auto"/>
              <w:lang w:val="zh-CN"/>
            </w:rPr>
            <w:fldChar w:fldCharType="end"/>
          </w:r>
        </w:p>
        <w:p w14:paraId="3E978EB3">
          <w:pPr>
            <w:pStyle w:val="13"/>
            <w:tabs>
              <w:tab w:val="right" w:leader="dot" w:pos="8306"/>
              <w:tab w:val="clear" w:pos="8296"/>
            </w:tabs>
          </w:pPr>
          <w:r>
            <w:rPr>
              <w:color w:val="auto"/>
              <w:lang w:val="zh-CN"/>
            </w:rPr>
            <w:fldChar w:fldCharType="begin"/>
          </w:r>
          <w:r>
            <w:rPr>
              <w:lang w:val="zh-CN"/>
            </w:rPr>
            <w:instrText xml:space="preserve"> HYPERLINK \l _Toc9969 </w:instrText>
          </w:r>
          <w:r>
            <w:rPr>
              <w:lang w:val="zh-CN"/>
            </w:rPr>
            <w:fldChar w:fldCharType="separate"/>
          </w:r>
          <w:r>
            <w:rPr>
              <w:rFonts w:hint="eastAsia"/>
              <w:i w:val="0"/>
            </w:rPr>
            <w:t xml:space="preserve">6.5.2 </w:t>
          </w:r>
          <w:r>
            <w:rPr>
              <w:rFonts w:hint="eastAsia"/>
            </w:rPr>
            <w:t>固体废物贮存场所环境影响分析</w:t>
          </w:r>
          <w:r>
            <w:tab/>
          </w:r>
          <w:r>
            <w:fldChar w:fldCharType="begin"/>
          </w:r>
          <w:r>
            <w:instrText xml:space="preserve"> PAGEREF _Toc9969 \h </w:instrText>
          </w:r>
          <w:r>
            <w:fldChar w:fldCharType="separate"/>
          </w:r>
          <w:r>
            <w:t>259</w:t>
          </w:r>
          <w:r>
            <w:fldChar w:fldCharType="end"/>
          </w:r>
          <w:r>
            <w:rPr>
              <w:color w:val="auto"/>
              <w:lang w:val="zh-CN"/>
            </w:rPr>
            <w:fldChar w:fldCharType="end"/>
          </w:r>
        </w:p>
        <w:p w14:paraId="26B9DD93">
          <w:pPr>
            <w:pStyle w:val="13"/>
            <w:tabs>
              <w:tab w:val="right" w:leader="dot" w:pos="8306"/>
              <w:tab w:val="clear" w:pos="8296"/>
            </w:tabs>
          </w:pPr>
          <w:r>
            <w:rPr>
              <w:color w:val="auto"/>
              <w:lang w:val="zh-CN"/>
            </w:rPr>
            <w:fldChar w:fldCharType="begin"/>
          </w:r>
          <w:r>
            <w:rPr>
              <w:lang w:val="zh-CN"/>
            </w:rPr>
            <w:instrText xml:space="preserve"> HYPERLINK \l _Toc4188 </w:instrText>
          </w:r>
          <w:r>
            <w:rPr>
              <w:lang w:val="zh-CN"/>
            </w:rPr>
            <w:fldChar w:fldCharType="separate"/>
          </w:r>
          <w:r>
            <w:rPr>
              <w:rFonts w:hint="eastAsia"/>
              <w:i w:val="0"/>
            </w:rPr>
            <w:t xml:space="preserve">6.5.3 </w:t>
          </w:r>
          <w:r>
            <w:rPr>
              <w:rFonts w:hint="eastAsia"/>
            </w:rPr>
            <w:t>固废收集过程环境影响分析</w:t>
          </w:r>
          <w:r>
            <w:tab/>
          </w:r>
          <w:r>
            <w:fldChar w:fldCharType="begin"/>
          </w:r>
          <w:r>
            <w:instrText xml:space="preserve"> PAGEREF _Toc4188 \h </w:instrText>
          </w:r>
          <w:r>
            <w:fldChar w:fldCharType="separate"/>
          </w:r>
          <w:r>
            <w:t>261</w:t>
          </w:r>
          <w:r>
            <w:fldChar w:fldCharType="end"/>
          </w:r>
          <w:r>
            <w:rPr>
              <w:color w:val="auto"/>
              <w:lang w:val="zh-CN"/>
            </w:rPr>
            <w:fldChar w:fldCharType="end"/>
          </w:r>
        </w:p>
        <w:p w14:paraId="6C9138F5">
          <w:pPr>
            <w:pStyle w:val="13"/>
            <w:tabs>
              <w:tab w:val="right" w:leader="dot" w:pos="8306"/>
              <w:tab w:val="clear" w:pos="8296"/>
            </w:tabs>
          </w:pPr>
          <w:r>
            <w:rPr>
              <w:color w:val="auto"/>
              <w:lang w:val="zh-CN"/>
            </w:rPr>
            <w:fldChar w:fldCharType="begin"/>
          </w:r>
          <w:r>
            <w:rPr>
              <w:lang w:val="zh-CN"/>
            </w:rPr>
            <w:instrText xml:space="preserve"> HYPERLINK \l _Toc17714 </w:instrText>
          </w:r>
          <w:r>
            <w:rPr>
              <w:lang w:val="zh-CN"/>
            </w:rPr>
            <w:fldChar w:fldCharType="separate"/>
          </w:r>
          <w:r>
            <w:rPr>
              <w:rFonts w:hint="eastAsia"/>
              <w:i w:val="0"/>
            </w:rPr>
            <w:t xml:space="preserve">6.5.4 </w:t>
          </w:r>
          <w:r>
            <w:t>运输过程环境影响分析</w:t>
          </w:r>
          <w:r>
            <w:tab/>
          </w:r>
          <w:r>
            <w:fldChar w:fldCharType="begin"/>
          </w:r>
          <w:r>
            <w:instrText xml:space="preserve"> PAGEREF _Toc17714 \h </w:instrText>
          </w:r>
          <w:r>
            <w:fldChar w:fldCharType="separate"/>
          </w:r>
          <w:r>
            <w:t>261</w:t>
          </w:r>
          <w:r>
            <w:fldChar w:fldCharType="end"/>
          </w:r>
          <w:r>
            <w:rPr>
              <w:color w:val="auto"/>
              <w:lang w:val="zh-CN"/>
            </w:rPr>
            <w:fldChar w:fldCharType="end"/>
          </w:r>
        </w:p>
        <w:p w14:paraId="50A3B2BF">
          <w:pPr>
            <w:pStyle w:val="13"/>
            <w:tabs>
              <w:tab w:val="right" w:leader="dot" w:pos="8306"/>
              <w:tab w:val="clear" w:pos="8296"/>
            </w:tabs>
          </w:pPr>
          <w:r>
            <w:rPr>
              <w:color w:val="auto"/>
              <w:lang w:val="zh-CN"/>
            </w:rPr>
            <w:fldChar w:fldCharType="begin"/>
          </w:r>
          <w:r>
            <w:rPr>
              <w:lang w:val="zh-CN"/>
            </w:rPr>
            <w:instrText xml:space="preserve"> HYPERLINK \l _Toc25179 </w:instrText>
          </w:r>
          <w:r>
            <w:rPr>
              <w:lang w:val="zh-CN"/>
            </w:rPr>
            <w:fldChar w:fldCharType="separate"/>
          </w:r>
          <w:r>
            <w:rPr>
              <w:rFonts w:hint="eastAsia"/>
              <w:i w:val="0"/>
            </w:rPr>
            <w:t xml:space="preserve">6.5.5 </w:t>
          </w:r>
          <w:r>
            <w:rPr>
              <w:rFonts w:hint="eastAsia"/>
            </w:rPr>
            <w:t>固废利用、处置过程的环境影响</w:t>
          </w:r>
          <w:r>
            <w:tab/>
          </w:r>
          <w:r>
            <w:fldChar w:fldCharType="begin"/>
          </w:r>
          <w:r>
            <w:instrText xml:space="preserve"> PAGEREF _Toc25179 \h </w:instrText>
          </w:r>
          <w:r>
            <w:fldChar w:fldCharType="separate"/>
          </w:r>
          <w:r>
            <w:t>263</w:t>
          </w:r>
          <w:r>
            <w:fldChar w:fldCharType="end"/>
          </w:r>
          <w:r>
            <w:rPr>
              <w:color w:val="auto"/>
              <w:lang w:val="zh-CN"/>
            </w:rPr>
            <w:fldChar w:fldCharType="end"/>
          </w:r>
        </w:p>
        <w:p w14:paraId="564AEC0A">
          <w:pPr>
            <w:pStyle w:val="18"/>
            <w:tabs>
              <w:tab w:val="right" w:leader="dot" w:pos="8306"/>
            </w:tabs>
          </w:pPr>
          <w:r>
            <w:rPr>
              <w:color w:val="auto"/>
              <w:lang w:val="zh-CN"/>
            </w:rPr>
            <w:fldChar w:fldCharType="begin"/>
          </w:r>
          <w:r>
            <w:rPr>
              <w:lang w:val="zh-CN"/>
            </w:rPr>
            <w:instrText xml:space="preserve"> HYPERLINK \l _Toc27407 </w:instrText>
          </w:r>
          <w:r>
            <w:rPr>
              <w:lang w:val="zh-CN"/>
            </w:rPr>
            <w:fldChar w:fldCharType="separate"/>
          </w:r>
          <w:r>
            <w:rPr>
              <w:rFonts w:hint="eastAsia"/>
              <w:i w:val="0"/>
            </w:rPr>
            <w:t xml:space="preserve">6.6 </w:t>
          </w:r>
          <w:r>
            <w:rPr>
              <w:rFonts w:hint="eastAsia"/>
            </w:rPr>
            <w:t>地下水环境影响分析</w:t>
          </w:r>
          <w:r>
            <w:tab/>
          </w:r>
          <w:r>
            <w:fldChar w:fldCharType="begin"/>
          </w:r>
          <w:r>
            <w:instrText xml:space="preserve"> PAGEREF _Toc27407 \h </w:instrText>
          </w:r>
          <w:r>
            <w:fldChar w:fldCharType="separate"/>
          </w:r>
          <w:r>
            <w:t>263</w:t>
          </w:r>
          <w:r>
            <w:fldChar w:fldCharType="end"/>
          </w:r>
          <w:r>
            <w:rPr>
              <w:color w:val="auto"/>
              <w:lang w:val="zh-CN"/>
            </w:rPr>
            <w:fldChar w:fldCharType="end"/>
          </w:r>
        </w:p>
        <w:p w14:paraId="1DD1F8AF">
          <w:pPr>
            <w:pStyle w:val="13"/>
            <w:tabs>
              <w:tab w:val="right" w:leader="dot" w:pos="8306"/>
              <w:tab w:val="clear" w:pos="8296"/>
            </w:tabs>
          </w:pPr>
          <w:r>
            <w:rPr>
              <w:color w:val="auto"/>
              <w:lang w:val="zh-CN"/>
            </w:rPr>
            <w:fldChar w:fldCharType="begin"/>
          </w:r>
          <w:r>
            <w:rPr>
              <w:lang w:val="zh-CN"/>
            </w:rPr>
            <w:instrText xml:space="preserve"> HYPERLINK \l _Toc14040 </w:instrText>
          </w:r>
          <w:r>
            <w:rPr>
              <w:lang w:val="zh-CN"/>
            </w:rPr>
            <w:fldChar w:fldCharType="separate"/>
          </w:r>
          <w:r>
            <w:rPr>
              <w:rFonts w:hint="eastAsia"/>
              <w:i w:val="0"/>
            </w:rPr>
            <w:t xml:space="preserve">6.6.1 </w:t>
          </w:r>
          <w:r>
            <w:rPr>
              <w:rFonts w:hint="eastAsia"/>
            </w:rPr>
            <w:t>预测范围</w:t>
          </w:r>
          <w:r>
            <w:tab/>
          </w:r>
          <w:r>
            <w:fldChar w:fldCharType="begin"/>
          </w:r>
          <w:r>
            <w:instrText xml:space="preserve"> PAGEREF _Toc14040 \h </w:instrText>
          </w:r>
          <w:r>
            <w:fldChar w:fldCharType="separate"/>
          </w:r>
          <w:r>
            <w:t>263</w:t>
          </w:r>
          <w:r>
            <w:fldChar w:fldCharType="end"/>
          </w:r>
          <w:r>
            <w:rPr>
              <w:color w:val="auto"/>
              <w:lang w:val="zh-CN"/>
            </w:rPr>
            <w:fldChar w:fldCharType="end"/>
          </w:r>
        </w:p>
        <w:p w14:paraId="5DAC556A">
          <w:pPr>
            <w:pStyle w:val="13"/>
            <w:tabs>
              <w:tab w:val="right" w:leader="dot" w:pos="8306"/>
              <w:tab w:val="clear" w:pos="8296"/>
            </w:tabs>
          </w:pPr>
          <w:r>
            <w:rPr>
              <w:color w:val="auto"/>
              <w:lang w:val="zh-CN"/>
            </w:rPr>
            <w:fldChar w:fldCharType="begin"/>
          </w:r>
          <w:r>
            <w:rPr>
              <w:lang w:val="zh-CN"/>
            </w:rPr>
            <w:instrText xml:space="preserve"> HYPERLINK \l _Toc20098 </w:instrText>
          </w:r>
          <w:r>
            <w:rPr>
              <w:lang w:val="zh-CN"/>
            </w:rPr>
            <w:fldChar w:fldCharType="separate"/>
          </w:r>
          <w:r>
            <w:rPr>
              <w:rFonts w:hint="eastAsia"/>
              <w:i w:val="0"/>
            </w:rPr>
            <w:t xml:space="preserve">6.6.2 </w:t>
          </w:r>
          <w:r>
            <w:rPr>
              <w:rFonts w:hint="eastAsia"/>
            </w:rPr>
            <w:t>水文地质概况</w:t>
          </w:r>
          <w:r>
            <w:tab/>
          </w:r>
          <w:r>
            <w:fldChar w:fldCharType="begin"/>
          </w:r>
          <w:r>
            <w:instrText xml:space="preserve"> PAGEREF _Toc20098 \h </w:instrText>
          </w:r>
          <w:r>
            <w:fldChar w:fldCharType="separate"/>
          </w:r>
          <w:r>
            <w:t>263</w:t>
          </w:r>
          <w:r>
            <w:fldChar w:fldCharType="end"/>
          </w:r>
          <w:r>
            <w:rPr>
              <w:color w:val="auto"/>
              <w:lang w:val="zh-CN"/>
            </w:rPr>
            <w:fldChar w:fldCharType="end"/>
          </w:r>
        </w:p>
        <w:p w14:paraId="0DC0E750">
          <w:pPr>
            <w:pStyle w:val="13"/>
            <w:tabs>
              <w:tab w:val="right" w:leader="dot" w:pos="8306"/>
              <w:tab w:val="clear" w:pos="8296"/>
            </w:tabs>
          </w:pPr>
          <w:r>
            <w:rPr>
              <w:color w:val="auto"/>
              <w:lang w:val="zh-CN"/>
            </w:rPr>
            <w:fldChar w:fldCharType="begin"/>
          </w:r>
          <w:r>
            <w:rPr>
              <w:lang w:val="zh-CN"/>
            </w:rPr>
            <w:instrText xml:space="preserve"> HYPERLINK \l _Toc597 </w:instrText>
          </w:r>
          <w:r>
            <w:rPr>
              <w:lang w:val="zh-CN"/>
            </w:rPr>
            <w:fldChar w:fldCharType="separate"/>
          </w:r>
          <w:r>
            <w:rPr>
              <w:rFonts w:hint="eastAsia"/>
              <w:i w:val="0"/>
              <w:lang w:val="en-US" w:eastAsia="zh-CN"/>
            </w:rPr>
            <w:t xml:space="preserve">6.6.3 </w:t>
          </w:r>
          <w:r>
            <w:rPr>
              <w:rFonts w:hint="eastAsia"/>
              <w:lang w:val="en-US" w:eastAsia="zh-CN"/>
            </w:rPr>
            <w:t>水文地质现场测试及参数确定</w:t>
          </w:r>
          <w:r>
            <w:tab/>
          </w:r>
          <w:r>
            <w:fldChar w:fldCharType="begin"/>
          </w:r>
          <w:r>
            <w:instrText xml:space="preserve"> PAGEREF _Toc597 \h </w:instrText>
          </w:r>
          <w:r>
            <w:fldChar w:fldCharType="separate"/>
          </w:r>
          <w:r>
            <w:t>271</w:t>
          </w:r>
          <w:r>
            <w:fldChar w:fldCharType="end"/>
          </w:r>
          <w:r>
            <w:rPr>
              <w:color w:val="auto"/>
              <w:lang w:val="zh-CN"/>
            </w:rPr>
            <w:fldChar w:fldCharType="end"/>
          </w:r>
        </w:p>
        <w:p w14:paraId="7A8F5675">
          <w:pPr>
            <w:pStyle w:val="13"/>
            <w:tabs>
              <w:tab w:val="right" w:leader="dot" w:pos="8306"/>
              <w:tab w:val="clear" w:pos="8296"/>
            </w:tabs>
          </w:pPr>
          <w:r>
            <w:rPr>
              <w:color w:val="auto"/>
              <w:lang w:val="zh-CN"/>
            </w:rPr>
            <w:fldChar w:fldCharType="begin"/>
          </w:r>
          <w:r>
            <w:rPr>
              <w:lang w:val="zh-CN"/>
            </w:rPr>
            <w:instrText xml:space="preserve"> HYPERLINK \l _Toc20274 </w:instrText>
          </w:r>
          <w:r>
            <w:rPr>
              <w:lang w:val="zh-CN"/>
            </w:rPr>
            <w:fldChar w:fldCharType="separate"/>
          </w:r>
          <w:r>
            <w:rPr>
              <w:rFonts w:hint="eastAsia"/>
              <w:i w:val="0"/>
            </w:rPr>
            <w:t xml:space="preserve">6.6.4 </w:t>
          </w:r>
          <w:r>
            <w:rPr>
              <w:rFonts w:hint="eastAsia"/>
            </w:rPr>
            <w:t>地下水环境影响预测</w:t>
          </w:r>
          <w:r>
            <w:tab/>
          </w:r>
          <w:r>
            <w:fldChar w:fldCharType="begin"/>
          </w:r>
          <w:r>
            <w:instrText xml:space="preserve"> PAGEREF _Toc20274 \h </w:instrText>
          </w:r>
          <w:r>
            <w:fldChar w:fldCharType="separate"/>
          </w:r>
          <w:r>
            <w:t>273</w:t>
          </w:r>
          <w:r>
            <w:fldChar w:fldCharType="end"/>
          </w:r>
          <w:r>
            <w:rPr>
              <w:color w:val="auto"/>
              <w:lang w:val="zh-CN"/>
            </w:rPr>
            <w:fldChar w:fldCharType="end"/>
          </w:r>
        </w:p>
        <w:p w14:paraId="5D0E5CC1">
          <w:pPr>
            <w:pStyle w:val="18"/>
            <w:tabs>
              <w:tab w:val="right" w:leader="dot" w:pos="8306"/>
            </w:tabs>
          </w:pPr>
          <w:r>
            <w:rPr>
              <w:color w:val="auto"/>
              <w:lang w:val="zh-CN"/>
            </w:rPr>
            <w:fldChar w:fldCharType="begin"/>
          </w:r>
          <w:r>
            <w:rPr>
              <w:lang w:val="zh-CN"/>
            </w:rPr>
            <w:instrText xml:space="preserve"> HYPERLINK \l _Toc25645 </w:instrText>
          </w:r>
          <w:r>
            <w:rPr>
              <w:lang w:val="zh-CN"/>
            </w:rPr>
            <w:fldChar w:fldCharType="separate"/>
          </w:r>
          <w:r>
            <w:rPr>
              <w:rFonts w:hint="eastAsia"/>
              <w:i w:val="0"/>
            </w:rPr>
            <w:t xml:space="preserve">6.7 </w:t>
          </w:r>
          <w:r>
            <w:rPr>
              <w:rFonts w:hint="eastAsia"/>
            </w:rPr>
            <w:t>土壤环境影响分析</w:t>
          </w:r>
          <w:r>
            <w:tab/>
          </w:r>
          <w:r>
            <w:fldChar w:fldCharType="begin"/>
          </w:r>
          <w:r>
            <w:instrText xml:space="preserve"> PAGEREF _Toc25645 \h </w:instrText>
          </w:r>
          <w:r>
            <w:fldChar w:fldCharType="separate"/>
          </w:r>
          <w:r>
            <w:t>276</w:t>
          </w:r>
          <w:r>
            <w:fldChar w:fldCharType="end"/>
          </w:r>
          <w:r>
            <w:rPr>
              <w:color w:val="auto"/>
              <w:lang w:val="zh-CN"/>
            </w:rPr>
            <w:fldChar w:fldCharType="end"/>
          </w:r>
        </w:p>
        <w:p w14:paraId="23EE2A97">
          <w:pPr>
            <w:pStyle w:val="13"/>
            <w:tabs>
              <w:tab w:val="right" w:leader="dot" w:pos="8306"/>
              <w:tab w:val="clear" w:pos="8296"/>
            </w:tabs>
          </w:pPr>
          <w:r>
            <w:rPr>
              <w:color w:val="auto"/>
              <w:lang w:val="zh-CN"/>
            </w:rPr>
            <w:fldChar w:fldCharType="begin"/>
          </w:r>
          <w:r>
            <w:rPr>
              <w:lang w:val="zh-CN"/>
            </w:rPr>
            <w:instrText xml:space="preserve"> HYPERLINK \l _Toc1913 </w:instrText>
          </w:r>
          <w:r>
            <w:rPr>
              <w:lang w:val="zh-CN"/>
            </w:rPr>
            <w:fldChar w:fldCharType="separate"/>
          </w:r>
          <w:r>
            <w:rPr>
              <w:rFonts w:hint="eastAsia"/>
              <w:i w:val="0"/>
              <w:lang w:val="en-US" w:eastAsia="zh-CN"/>
            </w:rPr>
            <w:t xml:space="preserve">6.7.1 </w:t>
          </w:r>
          <w:r>
            <w:rPr>
              <w:rFonts w:hint="eastAsia"/>
              <w:lang w:val="en-US" w:eastAsia="zh-CN"/>
            </w:rPr>
            <w:t>土壤污染途径分析</w:t>
          </w:r>
          <w:r>
            <w:tab/>
          </w:r>
          <w:r>
            <w:fldChar w:fldCharType="begin"/>
          </w:r>
          <w:r>
            <w:instrText xml:space="preserve"> PAGEREF _Toc1913 \h </w:instrText>
          </w:r>
          <w:r>
            <w:fldChar w:fldCharType="separate"/>
          </w:r>
          <w:r>
            <w:t>276</w:t>
          </w:r>
          <w:r>
            <w:fldChar w:fldCharType="end"/>
          </w:r>
          <w:r>
            <w:rPr>
              <w:color w:val="auto"/>
              <w:lang w:val="zh-CN"/>
            </w:rPr>
            <w:fldChar w:fldCharType="end"/>
          </w:r>
        </w:p>
        <w:p w14:paraId="73C92663">
          <w:pPr>
            <w:pStyle w:val="13"/>
            <w:tabs>
              <w:tab w:val="right" w:leader="dot" w:pos="8306"/>
              <w:tab w:val="clear" w:pos="8296"/>
            </w:tabs>
          </w:pPr>
          <w:r>
            <w:rPr>
              <w:color w:val="auto"/>
              <w:lang w:val="zh-CN"/>
            </w:rPr>
            <w:fldChar w:fldCharType="begin"/>
          </w:r>
          <w:r>
            <w:rPr>
              <w:lang w:val="zh-CN"/>
            </w:rPr>
            <w:instrText xml:space="preserve"> HYPERLINK \l _Toc14346 </w:instrText>
          </w:r>
          <w:r>
            <w:rPr>
              <w:lang w:val="zh-CN"/>
            </w:rPr>
            <w:fldChar w:fldCharType="separate"/>
          </w:r>
          <w:r>
            <w:rPr>
              <w:rFonts w:hint="eastAsia"/>
              <w:i w:val="0"/>
            </w:rPr>
            <w:t xml:space="preserve">6.7.2 </w:t>
          </w:r>
          <w:r>
            <w:rPr>
              <w:rFonts w:hint="eastAsia"/>
            </w:rPr>
            <w:t>沉降型土壤环境影响预测</w:t>
          </w:r>
          <w:r>
            <w:tab/>
          </w:r>
          <w:r>
            <w:fldChar w:fldCharType="begin"/>
          </w:r>
          <w:r>
            <w:instrText xml:space="preserve"> PAGEREF _Toc14346 \h </w:instrText>
          </w:r>
          <w:r>
            <w:fldChar w:fldCharType="separate"/>
          </w:r>
          <w:r>
            <w:t>277</w:t>
          </w:r>
          <w:r>
            <w:fldChar w:fldCharType="end"/>
          </w:r>
          <w:r>
            <w:rPr>
              <w:color w:val="auto"/>
              <w:lang w:val="zh-CN"/>
            </w:rPr>
            <w:fldChar w:fldCharType="end"/>
          </w:r>
        </w:p>
        <w:p w14:paraId="773C60AC">
          <w:pPr>
            <w:pStyle w:val="13"/>
            <w:tabs>
              <w:tab w:val="right" w:leader="dot" w:pos="8306"/>
              <w:tab w:val="clear" w:pos="8296"/>
            </w:tabs>
          </w:pPr>
          <w:r>
            <w:rPr>
              <w:color w:val="auto"/>
              <w:lang w:val="zh-CN"/>
            </w:rPr>
            <w:fldChar w:fldCharType="begin"/>
          </w:r>
          <w:r>
            <w:rPr>
              <w:lang w:val="zh-CN"/>
            </w:rPr>
            <w:instrText xml:space="preserve"> HYPERLINK \l _Toc21355 </w:instrText>
          </w:r>
          <w:r>
            <w:rPr>
              <w:lang w:val="zh-CN"/>
            </w:rPr>
            <w:fldChar w:fldCharType="separate"/>
          </w:r>
          <w:r>
            <w:rPr>
              <w:rFonts w:hint="eastAsia"/>
              <w:i w:val="0"/>
            </w:rPr>
            <w:t xml:space="preserve">6.7.3 </w:t>
          </w:r>
          <w:r>
            <w:rPr>
              <w:rFonts w:hint="eastAsia"/>
            </w:rPr>
            <w:t>垂直入渗型土壤环境影响预测</w:t>
          </w:r>
          <w:r>
            <w:tab/>
          </w:r>
          <w:r>
            <w:fldChar w:fldCharType="begin"/>
          </w:r>
          <w:r>
            <w:instrText xml:space="preserve"> PAGEREF _Toc21355 \h </w:instrText>
          </w:r>
          <w:r>
            <w:fldChar w:fldCharType="separate"/>
          </w:r>
          <w:r>
            <w:t>279</w:t>
          </w:r>
          <w:r>
            <w:fldChar w:fldCharType="end"/>
          </w:r>
          <w:r>
            <w:rPr>
              <w:color w:val="auto"/>
              <w:lang w:val="zh-CN"/>
            </w:rPr>
            <w:fldChar w:fldCharType="end"/>
          </w:r>
        </w:p>
        <w:p w14:paraId="62BA9D61">
          <w:pPr>
            <w:pStyle w:val="18"/>
            <w:tabs>
              <w:tab w:val="right" w:leader="dot" w:pos="8306"/>
            </w:tabs>
          </w:pPr>
          <w:r>
            <w:rPr>
              <w:color w:val="auto"/>
              <w:lang w:val="zh-CN"/>
            </w:rPr>
            <w:fldChar w:fldCharType="begin"/>
          </w:r>
          <w:r>
            <w:rPr>
              <w:lang w:val="zh-CN"/>
            </w:rPr>
            <w:instrText xml:space="preserve"> HYPERLINK \l _Toc17598 </w:instrText>
          </w:r>
          <w:r>
            <w:rPr>
              <w:lang w:val="zh-CN"/>
            </w:rPr>
            <w:fldChar w:fldCharType="separate"/>
          </w:r>
          <w:r>
            <w:rPr>
              <w:rFonts w:hint="eastAsia"/>
              <w:i w:val="0"/>
            </w:rPr>
            <w:t xml:space="preserve">6.8 </w:t>
          </w:r>
          <w:r>
            <w:rPr>
              <w:rFonts w:hint="eastAsia"/>
              <w:lang w:val="en-US" w:eastAsia="zh-CN"/>
            </w:rPr>
            <w:t>环境风险评价</w:t>
          </w:r>
          <w:r>
            <w:tab/>
          </w:r>
          <w:r>
            <w:fldChar w:fldCharType="begin"/>
          </w:r>
          <w:r>
            <w:instrText xml:space="preserve"> PAGEREF _Toc17598 \h </w:instrText>
          </w:r>
          <w:r>
            <w:fldChar w:fldCharType="separate"/>
          </w:r>
          <w:r>
            <w:t>279</w:t>
          </w:r>
          <w:r>
            <w:fldChar w:fldCharType="end"/>
          </w:r>
          <w:r>
            <w:rPr>
              <w:color w:val="auto"/>
              <w:lang w:val="zh-CN"/>
            </w:rPr>
            <w:fldChar w:fldCharType="end"/>
          </w:r>
        </w:p>
        <w:p w14:paraId="74A71AAF">
          <w:pPr>
            <w:pStyle w:val="13"/>
            <w:tabs>
              <w:tab w:val="right" w:leader="dot" w:pos="8306"/>
              <w:tab w:val="clear" w:pos="8296"/>
            </w:tabs>
          </w:pPr>
          <w:r>
            <w:rPr>
              <w:color w:val="auto"/>
              <w:lang w:val="zh-CN"/>
            </w:rPr>
            <w:fldChar w:fldCharType="begin"/>
          </w:r>
          <w:r>
            <w:rPr>
              <w:lang w:val="zh-CN"/>
            </w:rPr>
            <w:instrText xml:space="preserve"> HYPERLINK \l _Toc1617 </w:instrText>
          </w:r>
          <w:r>
            <w:rPr>
              <w:lang w:val="zh-CN"/>
            </w:rPr>
            <w:fldChar w:fldCharType="separate"/>
          </w:r>
          <w:r>
            <w:rPr>
              <w:rFonts w:hint="eastAsia"/>
              <w:i w:val="0"/>
              <w:lang w:eastAsia="zh-CN"/>
            </w:rPr>
            <w:t xml:space="preserve">6.8.1 </w:t>
          </w:r>
          <w:r>
            <w:rPr>
              <w:rFonts w:hint="eastAsia"/>
              <w:lang w:val="en-US" w:eastAsia="zh-CN"/>
            </w:rPr>
            <w:t>风险预测与评价</w:t>
          </w:r>
          <w:r>
            <w:tab/>
          </w:r>
          <w:r>
            <w:fldChar w:fldCharType="begin"/>
          </w:r>
          <w:r>
            <w:instrText xml:space="preserve"> PAGEREF _Toc1617 \h </w:instrText>
          </w:r>
          <w:r>
            <w:fldChar w:fldCharType="separate"/>
          </w:r>
          <w:r>
            <w:t>281</w:t>
          </w:r>
          <w:r>
            <w:fldChar w:fldCharType="end"/>
          </w:r>
          <w:r>
            <w:rPr>
              <w:color w:val="auto"/>
              <w:lang w:val="zh-CN"/>
            </w:rPr>
            <w:fldChar w:fldCharType="end"/>
          </w:r>
        </w:p>
        <w:p w14:paraId="2E8F30C5">
          <w:pPr>
            <w:pStyle w:val="18"/>
            <w:tabs>
              <w:tab w:val="right" w:leader="dot" w:pos="8306"/>
            </w:tabs>
          </w:pPr>
          <w:r>
            <w:rPr>
              <w:color w:val="auto"/>
              <w:lang w:val="zh-CN"/>
            </w:rPr>
            <w:fldChar w:fldCharType="begin"/>
          </w:r>
          <w:r>
            <w:rPr>
              <w:lang w:val="zh-CN"/>
            </w:rPr>
            <w:instrText xml:space="preserve"> HYPERLINK \l _Toc8489 </w:instrText>
          </w:r>
          <w:r>
            <w:rPr>
              <w:lang w:val="zh-CN"/>
            </w:rPr>
            <w:fldChar w:fldCharType="separate"/>
          </w:r>
          <w:r>
            <w:rPr>
              <w:rFonts w:hint="eastAsia"/>
              <w:i w:val="0"/>
            </w:rPr>
            <w:t xml:space="preserve">6.9 </w:t>
          </w:r>
          <w:r>
            <w:rPr>
              <w:rFonts w:hint="eastAsia"/>
            </w:rPr>
            <w:t>生态环境影响分析</w:t>
          </w:r>
          <w:r>
            <w:tab/>
          </w:r>
          <w:r>
            <w:fldChar w:fldCharType="begin"/>
          </w:r>
          <w:r>
            <w:instrText xml:space="preserve"> PAGEREF _Toc8489 \h </w:instrText>
          </w:r>
          <w:r>
            <w:fldChar w:fldCharType="separate"/>
          </w:r>
          <w:r>
            <w:t>283</w:t>
          </w:r>
          <w:r>
            <w:fldChar w:fldCharType="end"/>
          </w:r>
          <w:r>
            <w:rPr>
              <w:color w:val="auto"/>
              <w:lang w:val="zh-CN"/>
            </w:rPr>
            <w:fldChar w:fldCharType="end"/>
          </w:r>
        </w:p>
        <w:p w14:paraId="07DB8583">
          <w:pPr>
            <w:pStyle w:val="16"/>
            <w:tabs>
              <w:tab w:val="right" w:leader="dot" w:pos="8306"/>
            </w:tabs>
          </w:pPr>
          <w:r>
            <w:rPr>
              <w:color w:val="auto"/>
              <w:lang w:val="zh-CN"/>
            </w:rPr>
            <w:fldChar w:fldCharType="begin"/>
          </w:r>
          <w:r>
            <w:rPr>
              <w:lang w:val="zh-CN"/>
            </w:rPr>
            <w:instrText xml:space="preserve"> HYPERLINK \l _Toc4446 </w:instrText>
          </w:r>
          <w:r>
            <w:rPr>
              <w:lang w:val="zh-CN"/>
            </w:rPr>
            <w:fldChar w:fldCharType="separate"/>
          </w:r>
          <w:r>
            <w:rPr>
              <w:rFonts w:hint="eastAsia"/>
              <w:i w:val="0"/>
              <w:szCs w:val="30"/>
            </w:rPr>
            <w:t xml:space="preserve">7 </w:t>
          </w:r>
          <w:r>
            <w:rPr>
              <w:rFonts w:hint="eastAsia"/>
            </w:rPr>
            <w:t>环境保护措施及其可行性论证</w:t>
          </w:r>
          <w:r>
            <w:tab/>
          </w:r>
          <w:r>
            <w:fldChar w:fldCharType="begin"/>
          </w:r>
          <w:r>
            <w:instrText xml:space="preserve"> PAGEREF _Toc4446 \h </w:instrText>
          </w:r>
          <w:r>
            <w:fldChar w:fldCharType="separate"/>
          </w:r>
          <w:r>
            <w:t>284</w:t>
          </w:r>
          <w:r>
            <w:fldChar w:fldCharType="end"/>
          </w:r>
          <w:r>
            <w:rPr>
              <w:color w:val="auto"/>
              <w:lang w:val="zh-CN"/>
            </w:rPr>
            <w:fldChar w:fldCharType="end"/>
          </w:r>
        </w:p>
        <w:p w14:paraId="467C6E12">
          <w:pPr>
            <w:pStyle w:val="18"/>
            <w:tabs>
              <w:tab w:val="right" w:leader="dot" w:pos="8306"/>
            </w:tabs>
          </w:pPr>
          <w:r>
            <w:rPr>
              <w:color w:val="auto"/>
              <w:lang w:val="zh-CN"/>
            </w:rPr>
            <w:fldChar w:fldCharType="begin"/>
          </w:r>
          <w:r>
            <w:rPr>
              <w:lang w:val="zh-CN"/>
            </w:rPr>
            <w:instrText xml:space="preserve"> HYPERLINK \l _Toc8248 </w:instrText>
          </w:r>
          <w:r>
            <w:rPr>
              <w:lang w:val="zh-CN"/>
            </w:rPr>
            <w:fldChar w:fldCharType="separate"/>
          </w:r>
          <w:r>
            <w:rPr>
              <w:rFonts w:hint="eastAsia"/>
              <w:i w:val="0"/>
            </w:rPr>
            <w:t xml:space="preserve">7.1 </w:t>
          </w:r>
          <w:r>
            <w:rPr>
              <w:rFonts w:hint="eastAsia"/>
            </w:rPr>
            <w:t>废气处理措施可行性分析</w:t>
          </w:r>
          <w:r>
            <w:tab/>
          </w:r>
          <w:r>
            <w:fldChar w:fldCharType="begin"/>
          </w:r>
          <w:r>
            <w:instrText xml:space="preserve"> PAGEREF _Toc8248 \h </w:instrText>
          </w:r>
          <w:r>
            <w:fldChar w:fldCharType="separate"/>
          </w:r>
          <w:r>
            <w:t>284</w:t>
          </w:r>
          <w:r>
            <w:fldChar w:fldCharType="end"/>
          </w:r>
          <w:r>
            <w:rPr>
              <w:color w:val="auto"/>
              <w:lang w:val="zh-CN"/>
            </w:rPr>
            <w:fldChar w:fldCharType="end"/>
          </w:r>
        </w:p>
        <w:p w14:paraId="0DFB3152">
          <w:pPr>
            <w:pStyle w:val="13"/>
            <w:tabs>
              <w:tab w:val="right" w:leader="dot" w:pos="8306"/>
              <w:tab w:val="clear" w:pos="8296"/>
            </w:tabs>
          </w:pPr>
          <w:r>
            <w:rPr>
              <w:color w:val="auto"/>
              <w:lang w:val="zh-CN"/>
            </w:rPr>
            <w:fldChar w:fldCharType="begin"/>
          </w:r>
          <w:r>
            <w:rPr>
              <w:lang w:val="zh-CN"/>
            </w:rPr>
            <w:instrText xml:space="preserve"> HYPERLINK \l _Toc12331 </w:instrText>
          </w:r>
          <w:r>
            <w:rPr>
              <w:lang w:val="zh-CN"/>
            </w:rPr>
            <w:fldChar w:fldCharType="separate"/>
          </w:r>
          <w:r>
            <w:rPr>
              <w:rFonts w:hint="eastAsia"/>
              <w:i w:val="0"/>
            </w:rPr>
            <w:t xml:space="preserve">7.1.1 </w:t>
          </w:r>
          <w:r>
            <w:rPr>
              <w:rFonts w:hint="eastAsia"/>
            </w:rPr>
            <w:t>有组织废气</w:t>
          </w:r>
          <w:r>
            <w:tab/>
          </w:r>
          <w:r>
            <w:fldChar w:fldCharType="begin"/>
          </w:r>
          <w:r>
            <w:instrText xml:space="preserve"> PAGEREF _Toc12331 \h </w:instrText>
          </w:r>
          <w:r>
            <w:fldChar w:fldCharType="separate"/>
          </w:r>
          <w:r>
            <w:t>284</w:t>
          </w:r>
          <w:r>
            <w:fldChar w:fldCharType="end"/>
          </w:r>
          <w:r>
            <w:rPr>
              <w:color w:val="auto"/>
              <w:lang w:val="zh-CN"/>
            </w:rPr>
            <w:fldChar w:fldCharType="end"/>
          </w:r>
        </w:p>
        <w:p w14:paraId="08F946AA">
          <w:pPr>
            <w:pStyle w:val="13"/>
            <w:tabs>
              <w:tab w:val="right" w:leader="dot" w:pos="8306"/>
              <w:tab w:val="clear" w:pos="8296"/>
            </w:tabs>
          </w:pPr>
          <w:r>
            <w:rPr>
              <w:color w:val="auto"/>
              <w:lang w:val="zh-CN"/>
            </w:rPr>
            <w:fldChar w:fldCharType="begin"/>
          </w:r>
          <w:r>
            <w:rPr>
              <w:lang w:val="zh-CN"/>
            </w:rPr>
            <w:instrText xml:space="preserve"> HYPERLINK \l _Toc31227 </w:instrText>
          </w:r>
          <w:r>
            <w:rPr>
              <w:lang w:val="zh-CN"/>
            </w:rPr>
            <w:fldChar w:fldCharType="separate"/>
          </w:r>
          <w:r>
            <w:rPr>
              <w:rFonts w:hint="eastAsia"/>
              <w:i w:val="0"/>
            </w:rPr>
            <w:t xml:space="preserve">7.1.2 </w:t>
          </w:r>
          <w:r>
            <w:rPr>
              <w:rFonts w:hint="eastAsia"/>
              <w:lang w:val="en-US" w:eastAsia="zh-CN"/>
            </w:rPr>
            <w:t>无组织废气</w:t>
          </w:r>
          <w:r>
            <w:tab/>
          </w:r>
          <w:r>
            <w:fldChar w:fldCharType="begin"/>
          </w:r>
          <w:r>
            <w:instrText xml:space="preserve"> PAGEREF _Toc31227 \h </w:instrText>
          </w:r>
          <w:r>
            <w:fldChar w:fldCharType="separate"/>
          </w:r>
          <w:r>
            <w:t>286</w:t>
          </w:r>
          <w:r>
            <w:fldChar w:fldCharType="end"/>
          </w:r>
          <w:r>
            <w:rPr>
              <w:color w:val="auto"/>
              <w:lang w:val="zh-CN"/>
            </w:rPr>
            <w:fldChar w:fldCharType="end"/>
          </w:r>
        </w:p>
        <w:p w14:paraId="69EB7FE3">
          <w:pPr>
            <w:pStyle w:val="13"/>
            <w:tabs>
              <w:tab w:val="right" w:leader="dot" w:pos="8306"/>
              <w:tab w:val="clear" w:pos="8296"/>
            </w:tabs>
          </w:pPr>
          <w:r>
            <w:rPr>
              <w:color w:val="auto"/>
              <w:lang w:val="zh-CN"/>
            </w:rPr>
            <w:fldChar w:fldCharType="begin"/>
          </w:r>
          <w:r>
            <w:rPr>
              <w:lang w:val="zh-CN"/>
            </w:rPr>
            <w:instrText xml:space="preserve"> HYPERLINK \l _Toc25086 </w:instrText>
          </w:r>
          <w:r>
            <w:rPr>
              <w:lang w:val="zh-CN"/>
            </w:rPr>
            <w:fldChar w:fldCharType="separate"/>
          </w:r>
          <w:r>
            <w:rPr>
              <w:rFonts w:hint="eastAsia"/>
              <w:i w:val="0"/>
            </w:rPr>
            <w:t xml:space="preserve">7.1.3 </w:t>
          </w:r>
          <w:r>
            <w:rPr>
              <w:rFonts w:hint="eastAsia"/>
            </w:rPr>
            <w:t>废气治理措施经济可行性分析</w:t>
          </w:r>
          <w:r>
            <w:tab/>
          </w:r>
          <w:r>
            <w:fldChar w:fldCharType="begin"/>
          </w:r>
          <w:r>
            <w:instrText xml:space="preserve"> PAGEREF _Toc25086 \h </w:instrText>
          </w:r>
          <w:r>
            <w:fldChar w:fldCharType="separate"/>
          </w:r>
          <w:r>
            <w:t>287</w:t>
          </w:r>
          <w:r>
            <w:fldChar w:fldCharType="end"/>
          </w:r>
          <w:r>
            <w:rPr>
              <w:color w:val="auto"/>
              <w:lang w:val="zh-CN"/>
            </w:rPr>
            <w:fldChar w:fldCharType="end"/>
          </w:r>
        </w:p>
        <w:p w14:paraId="3A39EA71">
          <w:pPr>
            <w:pStyle w:val="18"/>
            <w:tabs>
              <w:tab w:val="right" w:leader="dot" w:pos="8306"/>
            </w:tabs>
          </w:pPr>
          <w:r>
            <w:rPr>
              <w:color w:val="auto"/>
              <w:lang w:val="zh-CN"/>
            </w:rPr>
            <w:fldChar w:fldCharType="begin"/>
          </w:r>
          <w:r>
            <w:rPr>
              <w:lang w:val="zh-CN"/>
            </w:rPr>
            <w:instrText xml:space="preserve"> HYPERLINK \l _Toc591 </w:instrText>
          </w:r>
          <w:r>
            <w:rPr>
              <w:lang w:val="zh-CN"/>
            </w:rPr>
            <w:fldChar w:fldCharType="separate"/>
          </w:r>
          <w:r>
            <w:rPr>
              <w:rFonts w:hint="eastAsia"/>
              <w:i w:val="0"/>
            </w:rPr>
            <w:t xml:space="preserve">7.2 </w:t>
          </w:r>
          <w:r>
            <w:rPr>
              <w:rFonts w:hint="eastAsia"/>
            </w:rPr>
            <w:t>废水治理措施可行性分析</w:t>
          </w:r>
          <w:r>
            <w:tab/>
          </w:r>
          <w:r>
            <w:fldChar w:fldCharType="begin"/>
          </w:r>
          <w:r>
            <w:instrText xml:space="preserve"> PAGEREF _Toc591 \h </w:instrText>
          </w:r>
          <w:r>
            <w:fldChar w:fldCharType="separate"/>
          </w:r>
          <w:r>
            <w:t>288</w:t>
          </w:r>
          <w:r>
            <w:fldChar w:fldCharType="end"/>
          </w:r>
          <w:r>
            <w:rPr>
              <w:color w:val="auto"/>
              <w:lang w:val="zh-CN"/>
            </w:rPr>
            <w:fldChar w:fldCharType="end"/>
          </w:r>
        </w:p>
        <w:p w14:paraId="26267FFD">
          <w:pPr>
            <w:pStyle w:val="13"/>
            <w:tabs>
              <w:tab w:val="right" w:leader="dot" w:pos="8306"/>
              <w:tab w:val="clear" w:pos="8296"/>
            </w:tabs>
          </w:pPr>
          <w:r>
            <w:rPr>
              <w:color w:val="auto"/>
              <w:lang w:val="zh-CN"/>
            </w:rPr>
            <w:fldChar w:fldCharType="begin"/>
          </w:r>
          <w:r>
            <w:rPr>
              <w:lang w:val="zh-CN"/>
            </w:rPr>
            <w:instrText xml:space="preserve"> HYPERLINK \l _Toc24128 </w:instrText>
          </w:r>
          <w:r>
            <w:rPr>
              <w:lang w:val="zh-CN"/>
            </w:rPr>
            <w:fldChar w:fldCharType="separate"/>
          </w:r>
          <w:r>
            <w:rPr>
              <w:rFonts w:hint="eastAsia"/>
              <w:i w:val="0"/>
            </w:rPr>
            <w:t xml:space="preserve">7.2.1 </w:t>
          </w:r>
          <w:r>
            <w:rPr>
              <w:rFonts w:hint="eastAsia"/>
            </w:rPr>
            <w:t>雨污分流、清污分流</w:t>
          </w:r>
          <w:r>
            <w:tab/>
          </w:r>
          <w:r>
            <w:fldChar w:fldCharType="begin"/>
          </w:r>
          <w:r>
            <w:instrText xml:space="preserve"> PAGEREF _Toc24128 \h </w:instrText>
          </w:r>
          <w:r>
            <w:fldChar w:fldCharType="separate"/>
          </w:r>
          <w:r>
            <w:t>288</w:t>
          </w:r>
          <w:r>
            <w:fldChar w:fldCharType="end"/>
          </w:r>
          <w:r>
            <w:rPr>
              <w:color w:val="auto"/>
              <w:lang w:val="zh-CN"/>
            </w:rPr>
            <w:fldChar w:fldCharType="end"/>
          </w:r>
        </w:p>
        <w:p w14:paraId="66147085">
          <w:pPr>
            <w:pStyle w:val="13"/>
            <w:tabs>
              <w:tab w:val="right" w:leader="dot" w:pos="8306"/>
              <w:tab w:val="clear" w:pos="8296"/>
            </w:tabs>
          </w:pPr>
          <w:r>
            <w:rPr>
              <w:color w:val="auto"/>
              <w:lang w:val="zh-CN"/>
            </w:rPr>
            <w:fldChar w:fldCharType="begin"/>
          </w:r>
          <w:r>
            <w:rPr>
              <w:lang w:val="zh-CN"/>
            </w:rPr>
            <w:instrText xml:space="preserve"> HYPERLINK \l _Toc491 </w:instrText>
          </w:r>
          <w:r>
            <w:rPr>
              <w:lang w:val="zh-CN"/>
            </w:rPr>
            <w:fldChar w:fldCharType="separate"/>
          </w:r>
          <w:r>
            <w:rPr>
              <w:rFonts w:hint="eastAsia"/>
              <w:i w:val="0"/>
            </w:rPr>
            <w:t xml:space="preserve">7.2.2 </w:t>
          </w:r>
          <w:r>
            <w:rPr>
              <w:rFonts w:hint="eastAsia"/>
            </w:rPr>
            <w:t>废水处理措施</w:t>
          </w:r>
          <w:r>
            <w:rPr>
              <w:rFonts w:hint="eastAsia"/>
              <w:lang w:val="en-US" w:eastAsia="zh-CN"/>
            </w:rPr>
            <w:t>可行性分析</w:t>
          </w:r>
          <w:r>
            <w:tab/>
          </w:r>
          <w:r>
            <w:fldChar w:fldCharType="begin"/>
          </w:r>
          <w:r>
            <w:instrText xml:space="preserve"> PAGEREF _Toc491 \h </w:instrText>
          </w:r>
          <w:r>
            <w:fldChar w:fldCharType="separate"/>
          </w:r>
          <w:r>
            <w:t>288</w:t>
          </w:r>
          <w:r>
            <w:fldChar w:fldCharType="end"/>
          </w:r>
          <w:r>
            <w:rPr>
              <w:color w:val="auto"/>
              <w:lang w:val="zh-CN"/>
            </w:rPr>
            <w:fldChar w:fldCharType="end"/>
          </w:r>
        </w:p>
        <w:p w14:paraId="58667205">
          <w:pPr>
            <w:pStyle w:val="13"/>
            <w:tabs>
              <w:tab w:val="right" w:leader="dot" w:pos="8306"/>
              <w:tab w:val="clear" w:pos="8296"/>
            </w:tabs>
          </w:pPr>
          <w:r>
            <w:rPr>
              <w:color w:val="auto"/>
              <w:lang w:val="zh-CN"/>
            </w:rPr>
            <w:fldChar w:fldCharType="begin"/>
          </w:r>
          <w:r>
            <w:rPr>
              <w:lang w:val="zh-CN"/>
            </w:rPr>
            <w:instrText xml:space="preserve"> HYPERLINK \l _Toc26079 </w:instrText>
          </w:r>
          <w:r>
            <w:rPr>
              <w:lang w:val="zh-CN"/>
            </w:rPr>
            <w:fldChar w:fldCharType="separate"/>
          </w:r>
          <w:r>
            <w:rPr>
              <w:rFonts w:hint="eastAsia"/>
              <w:i w:val="0"/>
              <w:lang w:val="en-US" w:eastAsia="zh-CN"/>
            </w:rPr>
            <w:t xml:space="preserve">7.2.3 </w:t>
          </w:r>
          <w:r>
            <w:rPr>
              <w:rFonts w:hint="default"/>
              <w:lang w:val="en-US" w:eastAsia="zh-CN"/>
            </w:rPr>
            <w:t>废水接管可行性分析</w:t>
          </w:r>
          <w:r>
            <w:tab/>
          </w:r>
          <w:r>
            <w:fldChar w:fldCharType="begin"/>
          </w:r>
          <w:r>
            <w:instrText xml:space="preserve"> PAGEREF _Toc26079 \h </w:instrText>
          </w:r>
          <w:r>
            <w:fldChar w:fldCharType="separate"/>
          </w:r>
          <w:r>
            <w:t>290</w:t>
          </w:r>
          <w:r>
            <w:fldChar w:fldCharType="end"/>
          </w:r>
          <w:r>
            <w:rPr>
              <w:color w:val="auto"/>
              <w:lang w:val="zh-CN"/>
            </w:rPr>
            <w:fldChar w:fldCharType="end"/>
          </w:r>
        </w:p>
        <w:p w14:paraId="7861FA0A">
          <w:pPr>
            <w:pStyle w:val="18"/>
            <w:tabs>
              <w:tab w:val="right" w:leader="dot" w:pos="8306"/>
            </w:tabs>
          </w:pPr>
          <w:r>
            <w:rPr>
              <w:color w:val="auto"/>
              <w:lang w:val="zh-CN"/>
            </w:rPr>
            <w:fldChar w:fldCharType="begin"/>
          </w:r>
          <w:r>
            <w:rPr>
              <w:lang w:val="zh-CN"/>
            </w:rPr>
            <w:instrText xml:space="preserve"> HYPERLINK \l _Toc11480 </w:instrText>
          </w:r>
          <w:r>
            <w:rPr>
              <w:lang w:val="zh-CN"/>
            </w:rPr>
            <w:fldChar w:fldCharType="separate"/>
          </w:r>
          <w:r>
            <w:rPr>
              <w:rFonts w:hint="eastAsia"/>
              <w:i w:val="0"/>
            </w:rPr>
            <w:t xml:space="preserve">7.3 </w:t>
          </w:r>
          <w:r>
            <w:rPr>
              <w:rFonts w:hint="eastAsia"/>
            </w:rPr>
            <w:t>噪声控制措施可行性分析</w:t>
          </w:r>
          <w:r>
            <w:tab/>
          </w:r>
          <w:r>
            <w:fldChar w:fldCharType="begin"/>
          </w:r>
          <w:r>
            <w:instrText xml:space="preserve"> PAGEREF _Toc11480 \h </w:instrText>
          </w:r>
          <w:r>
            <w:fldChar w:fldCharType="separate"/>
          </w:r>
          <w:r>
            <w:t>292</w:t>
          </w:r>
          <w:r>
            <w:fldChar w:fldCharType="end"/>
          </w:r>
          <w:r>
            <w:rPr>
              <w:color w:val="auto"/>
              <w:lang w:val="zh-CN"/>
            </w:rPr>
            <w:fldChar w:fldCharType="end"/>
          </w:r>
        </w:p>
        <w:p w14:paraId="55B37D92">
          <w:pPr>
            <w:pStyle w:val="18"/>
            <w:tabs>
              <w:tab w:val="right" w:leader="dot" w:pos="8306"/>
            </w:tabs>
          </w:pPr>
          <w:r>
            <w:rPr>
              <w:color w:val="auto"/>
              <w:lang w:val="zh-CN"/>
            </w:rPr>
            <w:fldChar w:fldCharType="begin"/>
          </w:r>
          <w:r>
            <w:rPr>
              <w:lang w:val="zh-CN"/>
            </w:rPr>
            <w:instrText xml:space="preserve"> HYPERLINK \l _Toc8289 </w:instrText>
          </w:r>
          <w:r>
            <w:rPr>
              <w:lang w:val="zh-CN"/>
            </w:rPr>
            <w:fldChar w:fldCharType="separate"/>
          </w:r>
          <w:r>
            <w:rPr>
              <w:rFonts w:hint="eastAsia"/>
              <w:i w:val="0"/>
            </w:rPr>
            <w:t xml:space="preserve">7.4 </w:t>
          </w:r>
          <w:r>
            <w:rPr>
              <w:rFonts w:hint="eastAsia"/>
            </w:rPr>
            <w:t>固体废物治理措施可行性分析</w:t>
          </w:r>
          <w:r>
            <w:tab/>
          </w:r>
          <w:r>
            <w:fldChar w:fldCharType="begin"/>
          </w:r>
          <w:r>
            <w:instrText xml:space="preserve"> PAGEREF _Toc8289 \h </w:instrText>
          </w:r>
          <w:r>
            <w:fldChar w:fldCharType="separate"/>
          </w:r>
          <w:r>
            <w:t>292</w:t>
          </w:r>
          <w:r>
            <w:fldChar w:fldCharType="end"/>
          </w:r>
          <w:r>
            <w:rPr>
              <w:color w:val="auto"/>
              <w:lang w:val="zh-CN"/>
            </w:rPr>
            <w:fldChar w:fldCharType="end"/>
          </w:r>
        </w:p>
        <w:p w14:paraId="3AD88752">
          <w:pPr>
            <w:pStyle w:val="13"/>
            <w:tabs>
              <w:tab w:val="right" w:leader="dot" w:pos="8306"/>
              <w:tab w:val="clear" w:pos="8296"/>
            </w:tabs>
          </w:pPr>
          <w:r>
            <w:rPr>
              <w:color w:val="auto"/>
              <w:lang w:val="zh-CN"/>
            </w:rPr>
            <w:fldChar w:fldCharType="begin"/>
          </w:r>
          <w:r>
            <w:rPr>
              <w:lang w:val="zh-CN"/>
            </w:rPr>
            <w:instrText xml:space="preserve"> HYPERLINK \l _Toc18839 </w:instrText>
          </w:r>
          <w:r>
            <w:rPr>
              <w:lang w:val="zh-CN"/>
            </w:rPr>
            <w:fldChar w:fldCharType="separate"/>
          </w:r>
          <w:r>
            <w:rPr>
              <w:rFonts w:hint="eastAsia"/>
              <w:i w:val="0"/>
            </w:rPr>
            <w:t xml:space="preserve">7.4.1 </w:t>
          </w:r>
          <w:r>
            <w:rPr>
              <w:rFonts w:hint="eastAsia"/>
            </w:rPr>
            <w:t>固废暂存管理要求</w:t>
          </w:r>
          <w:r>
            <w:tab/>
          </w:r>
          <w:r>
            <w:fldChar w:fldCharType="begin"/>
          </w:r>
          <w:r>
            <w:instrText xml:space="preserve"> PAGEREF _Toc18839 \h </w:instrText>
          </w:r>
          <w:r>
            <w:fldChar w:fldCharType="separate"/>
          </w:r>
          <w:r>
            <w:t>292</w:t>
          </w:r>
          <w:r>
            <w:fldChar w:fldCharType="end"/>
          </w:r>
          <w:r>
            <w:rPr>
              <w:color w:val="auto"/>
              <w:lang w:val="zh-CN"/>
            </w:rPr>
            <w:fldChar w:fldCharType="end"/>
          </w:r>
        </w:p>
        <w:p w14:paraId="4C86E87C">
          <w:pPr>
            <w:pStyle w:val="13"/>
            <w:tabs>
              <w:tab w:val="right" w:leader="dot" w:pos="8306"/>
              <w:tab w:val="clear" w:pos="8296"/>
            </w:tabs>
          </w:pPr>
          <w:r>
            <w:rPr>
              <w:color w:val="auto"/>
              <w:lang w:val="zh-CN"/>
            </w:rPr>
            <w:fldChar w:fldCharType="begin"/>
          </w:r>
          <w:r>
            <w:rPr>
              <w:lang w:val="zh-CN"/>
            </w:rPr>
            <w:instrText xml:space="preserve"> HYPERLINK \l _Toc27384 </w:instrText>
          </w:r>
          <w:r>
            <w:rPr>
              <w:lang w:val="zh-CN"/>
            </w:rPr>
            <w:fldChar w:fldCharType="separate"/>
          </w:r>
          <w:r>
            <w:rPr>
              <w:rFonts w:hint="eastAsia"/>
              <w:i w:val="0"/>
            </w:rPr>
            <w:t xml:space="preserve">7.4.2 </w:t>
          </w:r>
          <w:r>
            <w:rPr>
              <w:rFonts w:hint="eastAsia"/>
            </w:rPr>
            <w:t>运输过程的污染防治措施</w:t>
          </w:r>
          <w:r>
            <w:tab/>
          </w:r>
          <w:r>
            <w:fldChar w:fldCharType="begin"/>
          </w:r>
          <w:r>
            <w:instrText xml:space="preserve"> PAGEREF _Toc27384 \h </w:instrText>
          </w:r>
          <w:r>
            <w:fldChar w:fldCharType="separate"/>
          </w:r>
          <w:r>
            <w:t>294</w:t>
          </w:r>
          <w:r>
            <w:fldChar w:fldCharType="end"/>
          </w:r>
          <w:r>
            <w:rPr>
              <w:color w:val="auto"/>
              <w:lang w:val="zh-CN"/>
            </w:rPr>
            <w:fldChar w:fldCharType="end"/>
          </w:r>
        </w:p>
        <w:p w14:paraId="2DF9BFD0">
          <w:pPr>
            <w:pStyle w:val="13"/>
            <w:tabs>
              <w:tab w:val="right" w:leader="dot" w:pos="8306"/>
              <w:tab w:val="clear" w:pos="8296"/>
            </w:tabs>
          </w:pPr>
          <w:r>
            <w:rPr>
              <w:color w:val="auto"/>
              <w:lang w:val="zh-CN"/>
            </w:rPr>
            <w:fldChar w:fldCharType="begin"/>
          </w:r>
          <w:r>
            <w:rPr>
              <w:lang w:val="zh-CN"/>
            </w:rPr>
            <w:instrText xml:space="preserve"> HYPERLINK \l _Toc30335 </w:instrText>
          </w:r>
          <w:r>
            <w:rPr>
              <w:lang w:val="zh-CN"/>
            </w:rPr>
            <w:fldChar w:fldCharType="separate"/>
          </w:r>
          <w:r>
            <w:rPr>
              <w:rFonts w:hint="eastAsia"/>
              <w:i w:val="0"/>
            </w:rPr>
            <w:t xml:space="preserve">7.4.3 </w:t>
          </w:r>
          <w:r>
            <w:rPr>
              <w:rFonts w:hint="eastAsia"/>
            </w:rPr>
            <w:t>危险废物规范化管理指标体系</w:t>
          </w:r>
          <w:r>
            <w:tab/>
          </w:r>
          <w:r>
            <w:fldChar w:fldCharType="begin"/>
          </w:r>
          <w:r>
            <w:instrText xml:space="preserve"> PAGEREF _Toc30335 \h </w:instrText>
          </w:r>
          <w:r>
            <w:fldChar w:fldCharType="separate"/>
          </w:r>
          <w:r>
            <w:t>295</w:t>
          </w:r>
          <w:r>
            <w:fldChar w:fldCharType="end"/>
          </w:r>
          <w:r>
            <w:rPr>
              <w:color w:val="auto"/>
              <w:lang w:val="zh-CN"/>
            </w:rPr>
            <w:fldChar w:fldCharType="end"/>
          </w:r>
        </w:p>
        <w:p w14:paraId="7D7A67D6">
          <w:pPr>
            <w:pStyle w:val="13"/>
            <w:tabs>
              <w:tab w:val="right" w:leader="dot" w:pos="8306"/>
              <w:tab w:val="clear" w:pos="8296"/>
            </w:tabs>
          </w:pPr>
          <w:r>
            <w:rPr>
              <w:color w:val="auto"/>
              <w:lang w:val="zh-CN"/>
            </w:rPr>
            <w:fldChar w:fldCharType="begin"/>
          </w:r>
          <w:r>
            <w:rPr>
              <w:lang w:val="zh-CN"/>
            </w:rPr>
            <w:instrText xml:space="preserve"> HYPERLINK \l _Toc28891 </w:instrText>
          </w:r>
          <w:r>
            <w:rPr>
              <w:lang w:val="zh-CN"/>
            </w:rPr>
            <w:fldChar w:fldCharType="separate"/>
          </w:r>
          <w:r>
            <w:rPr>
              <w:rFonts w:hint="eastAsia"/>
              <w:i w:val="0"/>
            </w:rPr>
            <w:t xml:space="preserve">7.4.4 </w:t>
          </w:r>
          <w:r>
            <w:rPr>
              <w:rFonts w:hint="eastAsia"/>
            </w:rPr>
            <w:t>固废防治措施可行性分析</w:t>
          </w:r>
          <w:r>
            <w:tab/>
          </w:r>
          <w:r>
            <w:fldChar w:fldCharType="begin"/>
          </w:r>
          <w:r>
            <w:instrText xml:space="preserve"> PAGEREF _Toc28891 \h </w:instrText>
          </w:r>
          <w:r>
            <w:fldChar w:fldCharType="separate"/>
          </w:r>
          <w:r>
            <w:t>298</w:t>
          </w:r>
          <w:r>
            <w:fldChar w:fldCharType="end"/>
          </w:r>
          <w:r>
            <w:rPr>
              <w:color w:val="auto"/>
              <w:lang w:val="zh-CN"/>
            </w:rPr>
            <w:fldChar w:fldCharType="end"/>
          </w:r>
        </w:p>
        <w:p w14:paraId="7D2FF3B6">
          <w:pPr>
            <w:pStyle w:val="18"/>
            <w:tabs>
              <w:tab w:val="right" w:leader="dot" w:pos="8306"/>
            </w:tabs>
          </w:pPr>
          <w:r>
            <w:rPr>
              <w:color w:val="auto"/>
              <w:lang w:val="zh-CN"/>
            </w:rPr>
            <w:fldChar w:fldCharType="begin"/>
          </w:r>
          <w:r>
            <w:rPr>
              <w:lang w:val="zh-CN"/>
            </w:rPr>
            <w:instrText xml:space="preserve"> HYPERLINK \l _Toc24487 </w:instrText>
          </w:r>
          <w:r>
            <w:rPr>
              <w:lang w:val="zh-CN"/>
            </w:rPr>
            <w:fldChar w:fldCharType="separate"/>
          </w:r>
          <w:r>
            <w:rPr>
              <w:rFonts w:hint="eastAsia"/>
              <w:i w:val="0"/>
            </w:rPr>
            <w:t xml:space="preserve">7.5 </w:t>
          </w:r>
          <w:r>
            <w:rPr>
              <w:rFonts w:hint="eastAsia"/>
            </w:rPr>
            <w:t>土壤和地下水污染防治措施</w:t>
          </w:r>
          <w:r>
            <w:tab/>
          </w:r>
          <w:r>
            <w:fldChar w:fldCharType="begin"/>
          </w:r>
          <w:r>
            <w:instrText xml:space="preserve"> PAGEREF _Toc24487 \h </w:instrText>
          </w:r>
          <w:r>
            <w:fldChar w:fldCharType="separate"/>
          </w:r>
          <w:r>
            <w:t>299</w:t>
          </w:r>
          <w:r>
            <w:fldChar w:fldCharType="end"/>
          </w:r>
          <w:r>
            <w:rPr>
              <w:color w:val="auto"/>
              <w:lang w:val="zh-CN"/>
            </w:rPr>
            <w:fldChar w:fldCharType="end"/>
          </w:r>
        </w:p>
        <w:p w14:paraId="3D44C152">
          <w:pPr>
            <w:pStyle w:val="18"/>
            <w:tabs>
              <w:tab w:val="right" w:leader="dot" w:pos="8306"/>
            </w:tabs>
          </w:pPr>
          <w:r>
            <w:rPr>
              <w:color w:val="auto"/>
              <w:lang w:val="zh-CN"/>
            </w:rPr>
            <w:fldChar w:fldCharType="begin"/>
          </w:r>
          <w:r>
            <w:rPr>
              <w:lang w:val="zh-CN"/>
            </w:rPr>
            <w:instrText xml:space="preserve"> HYPERLINK \l _Toc440 </w:instrText>
          </w:r>
          <w:r>
            <w:rPr>
              <w:lang w:val="zh-CN"/>
            </w:rPr>
            <w:fldChar w:fldCharType="separate"/>
          </w:r>
          <w:r>
            <w:rPr>
              <w:rFonts w:hint="eastAsia"/>
              <w:i w:val="0"/>
            </w:rPr>
            <w:t xml:space="preserve">7.6 </w:t>
          </w:r>
          <w:r>
            <w:rPr>
              <w:rFonts w:hint="eastAsia"/>
            </w:rPr>
            <w:t>环境风险防范措施</w:t>
          </w:r>
          <w:r>
            <w:tab/>
          </w:r>
          <w:r>
            <w:fldChar w:fldCharType="begin"/>
          </w:r>
          <w:r>
            <w:instrText xml:space="preserve"> PAGEREF _Toc440 \h </w:instrText>
          </w:r>
          <w:r>
            <w:fldChar w:fldCharType="separate"/>
          </w:r>
          <w:r>
            <w:t>302</w:t>
          </w:r>
          <w:r>
            <w:fldChar w:fldCharType="end"/>
          </w:r>
          <w:r>
            <w:rPr>
              <w:color w:val="auto"/>
              <w:lang w:val="zh-CN"/>
            </w:rPr>
            <w:fldChar w:fldCharType="end"/>
          </w:r>
        </w:p>
        <w:p w14:paraId="5E7DB9EC">
          <w:pPr>
            <w:pStyle w:val="13"/>
            <w:tabs>
              <w:tab w:val="right" w:leader="dot" w:pos="8306"/>
              <w:tab w:val="clear" w:pos="8296"/>
            </w:tabs>
          </w:pPr>
          <w:r>
            <w:rPr>
              <w:color w:val="auto"/>
              <w:lang w:val="zh-CN"/>
            </w:rPr>
            <w:fldChar w:fldCharType="begin"/>
          </w:r>
          <w:r>
            <w:rPr>
              <w:lang w:val="zh-CN"/>
            </w:rPr>
            <w:instrText xml:space="preserve"> HYPERLINK \l _Toc24477 </w:instrText>
          </w:r>
          <w:r>
            <w:rPr>
              <w:lang w:val="zh-CN"/>
            </w:rPr>
            <w:fldChar w:fldCharType="separate"/>
          </w:r>
          <w:r>
            <w:rPr>
              <w:rFonts w:hint="eastAsia"/>
              <w:i w:val="0"/>
              <w:lang w:val="en-US" w:eastAsia="zh-CN"/>
            </w:rPr>
            <w:t xml:space="preserve">7.6.1 </w:t>
          </w:r>
          <w:r>
            <w:rPr>
              <w:rFonts w:hint="eastAsia"/>
              <w:lang w:val="en-US" w:eastAsia="zh-CN"/>
            </w:rPr>
            <w:t>环境应急管理制度</w:t>
          </w:r>
          <w:r>
            <w:tab/>
          </w:r>
          <w:r>
            <w:fldChar w:fldCharType="begin"/>
          </w:r>
          <w:r>
            <w:instrText xml:space="preserve"> PAGEREF _Toc24477 \h </w:instrText>
          </w:r>
          <w:r>
            <w:fldChar w:fldCharType="separate"/>
          </w:r>
          <w:r>
            <w:t>302</w:t>
          </w:r>
          <w:r>
            <w:fldChar w:fldCharType="end"/>
          </w:r>
          <w:r>
            <w:rPr>
              <w:color w:val="auto"/>
              <w:lang w:val="zh-CN"/>
            </w:rPr>
            <w:fldChar w:fldCharType="end"/>
          </w:r>
        </w:p>
        <w:p w14:paraId="69C6CF2D">
          <w:pPr>
            <w:pStyle w:val="13"/>
            <w:tabs>
              <w:tab w:val="right" w:leader="dot" w:pos="8306"/>
              <w:tab w:val="clear" w:pos="8296"/>
            </w:tabs>
          </w:pPr>
          <w:r>
            <w:rPr>
              <w:color w:val="auto"/>
              <w:lang w:val="zh-CN"/>
            </w:rPr>
            <w:fldChar w:fldCharType="begin"/>
          </w:r>
          <w:r>
            <w:rPr>
              <w:lang w:val="zh-CN"/>
            </w:rPr>
            <w:instrText xml:space="preserve"> HYPERLINK \l _Toc17618 </w:instrText>
          </w:r>
          <w:r>
            <w:rPr>
              <w:lang w:val="zh-CN"/>
            </w:rPr>
            <w:fldChar w:fldCharType="separate"/>
          </w:r>
          <w:r>
            <w:rPr>
              <w:rFonts w:hint="eastAsia"/>
              <w:i w:val="0"/>
              <w:lang w:val="en-US" w:eastAsia="zh-CN"/>
            </w:rPr>
            <w:t xml:space="preserve">7.6.2 </w:t>
          </w:r>
          <w:r>
            <w:rPr>
              <w:rFonts w:hint="eastAsia"/>
              <w:lang w:val="en-US" w:eastAsia="zh-CN"/>
            </w:rPr>
            <w:t>突发环境事件应急预案编制要求</w:t>
          </w:r>
          <w:r>
            <w:tab/>
          </w:r>
          <w:r>
            <w:fldChar w:fldCharType="begin"/>
          </w:r>
          <w:r>
            <w:instrText xml:space="preserve"> PAGEREF _Toc17618 \h </w:instrText>
          </w:r>
          <w:r>
            <w:fldChar w:fldCharType="separate"/>
          </w:r>
          <w:r>
            <w:t>307</w:t>
          </w:r>
          <w:r>
            <w:fldChar w:fldCharType="end"/>
          </w:r>
          <w:r>
            <w:rPr>
              <w:color w:val="auto"/>
              <w:lang w:val="zh-CN"/>
            </w:rPr>
            <w:fldChar w:fldCharType="end"/>
          </w:r>
        </w:p>
        <w:p w14:paraId="6A5E53FF">
          <w:pPr>
            <w:pStyle w:val="13"/>
            <w:tabs>
              <w:tab w:val="right" w:leader="dot" w:pos="8306"/>
              <w:tab w:val="clear" w:pos="8296"/>
            </w:tabs>
          </w:pPr>
          <w:r>
            <w:rPr>
              <w:color w:val="auto"/>
              <w:lang w:val="zh-CN"/>
            </w:rPr>
            <w:fldChar w:fldCharType="begin"/>
          </w:r>
          <w:r>
            <w:rPr>
              <w:lang w:val="zh-CN"/>
            </w:rPr>
            <w:instrText xml:space="preserve"> HYPERLINK \l _Toc30453 </w:instrText>
          </w:r>
          <w:r>
            <w:rPr>
              <w:lang w:val="zh-CN"/>
            </w:rPr>
            <w:fldChar w:fldCharType="separate"/>
          </w:r>
          <w:r>
            <w:rPr>
              <w:rFonts w:hint="eastAsia"/>
              <w:i w:val="0"/>
              <w:lang w:val="en-US" w:eastAsia="zh-CN"/>
            </w:rPr>
            <w:t xml:space="preserve">7.6.3 </w:t>
          </w:r>
          <w:r>
            <w:rPr>
              <w:rFonts w:hint="eastAsia"/>
              <w:lang w:val="en-US" w:eastAsia="zh-CN"/>
            </w:rPr>
            <w:t>安全风险辨识及管控</w:t>
          </w:r>
          <w:r>
            <w:tab/>
          </w:r>
          <w:r>
            <w:fldChar w:fldCharType="begin"/>
          </w:r>
          <w:r>
            <w:instrText xml:space="preserve"> PAGEREF _Toc30453 \h </w:instrText>
          </w:r>
          <w:r>
            <w:fldChar w:fldCharType="separate"/>
          </w:r>
          <w:r>
            <w:t>308</w:t>
          </w:r>
          <w:r>
            <w:fldChar w:fldCharType="end"/>
          </w:r>
          <w:r>
            <w:rPr>
              <w:color w:val="auto"/>
              <w:lang w:val="zh-CN"/>
            </w:rPr>
            <w:fldChar w:fldCharType="end"/>
          </w:r>
        </w:p>
        <w:p w14:paraId="357F312D">
          <w:pPr>
            <w:pStyle w:val="18"/>
            <w:tabs>
              <w:tab w:val="right" w:leader="dot" w:pos="8306"/>
            </w:tabs>
          </w:pPr>
          <w:r>
            <w:rPr>
              <w:color w:val="auto"/>
              <w:lang w:val="zh-CN"/>
            </w:rPr>
            <w:fldChar w:fldCharType="begin"/>
          </w:r>
          <w:r>
            <w:rPr>
              <w:lang w:val="zh-CN"/>
            </w:rPr>
            <w:instrText xml:space="preserve"> HYPERLINK \l _Toc24568 </w:instrText>
          </w:r>
          <w:r>
            <w:rPr>
              <w:lang w:val="zh-CN"/>
            </w:rPr>
            <w:fldChar w:fldCharType="separate"/>
          </w:r>
          <w:r>
            <w:rPr>
              <w:rFonts w:hint="eastAsia"/>
              <w:i w:val="0"/>
              <w:lang w:val="en-US" w:eastAsia="zh-CN"/>
            </w:rPr>
            <w:t xml:space="preserve">7.7 </w:t>
          </w:r>
          <w:r>
            <w:rPr>
              <w:rFonts w:hint="eastAsia"/>
              <w:lang w:val="en-US" w:eastAsia="zh-CN"/>
            </w:rPr>
            <w:t>生态保护对策措施</w:t>
          </w:r>
          <w:r>
            <w:tab/>
          </w:r>
          <w:r>
            <w:fldChar w:fldCharType="begin"/>
          </w:r>
          <w:r>
            <w:instrText xml:space="preserve"> PAGEREF _Toc24568 \h </w:instrText>
          </w:r>
          <w:r>
            <w:fldChar w:fldCharType="separate"/>
          </w:r>
          <w:r>
            <w:t>310</w:t>
          </w:r>
          <w:r>
            <w:fldChar w:fldCharType="end"/>
          </w:r>
          <w:r>
            <w:rPr>
              <w:color w:val="auto"/>
              <w:lang w:val="zh-CN"/>
            </w:rPr>
            <w:fldChar w:fldCharType="end"/>
          </w:r>
        </w:p>
        <w:p w14:paraId="0BB369BA">
          <w:pPr>
            <w:pStyle w:val="16"/>
            <w:tabs>
              <w:tab w:val="right" w:leader="dot" w:pos="8306"/>
            </w:tabs>
          </w:pPr>
          <w:r>
            <w:rPr>
              <w:color w:val="auto"/>
              <w:lang w:val="zh-CN"/>
            </w:rPr>
            <w:fldChar w:fldCharType="begin"/>
          </w:r>
          <w:r>
            <w:rPr>
              <w:lang w:val="zh-CN"/>
            </w:rPr>
            <w:instrText xml:space="preserve"> HYPERLINK \l _Toc30877 </w:instrText>
          </w:r>
          <w:r>
            <w:rPr>
              <w:lang w:val="zh-CN"/>
            </w:rPr>
            <w:fldChar w:fldCharType="separate"/>
          </w:r>
          <w:r>
            <w:rPr>
              <w:rFonts w:hint="eastAsia"/>
              <w:i w:val="0"/>
              <w:szCs w:val="30"/>
            </w:rPr>
            <w:t xml:space="preserve">8 </w:t>
          </w:r>
          <w:r>
            <w:rPr>
              <w:rFonts w:hint="eastAsia"/>
            </w:rPr>
            <w:t>环境经济损益分析</w:t>
          </w:r>
          <w:r>
            <w:tab/>
          </w:r>
          <w:r>
            <w:fldChar w:fldCharType="begin"/>
          </w:r>
          <w:r>
            <w:instrText xml:space="preserve"> PAGEREF _Toc30877 \h </w:instrText>
          </w:r>
          <w:r>
            <w:fldChar w:fldCharType="separate"/>
          </w:r>
          <w:r>
            <w:t>311</w:t>
          </w:r>
          <w:r>
            <w:fldChar w:fldCharType="end"/>
          </w:r>
          <w:r>
            <w:rPr>
              <w:color w:val="auto"/>
              <w:lang w:val="zh-CN"/>
            </w:rPr>
            <w:fldChar w:fldCharType="end"/>
          </w:r>
        </w:p>
        <w:p w14:paraId="50BD3849">
          <w:pPr>
            <w:pStyle w:val="18"/>
            <w:tabs>
              <w:tab w:val="right" w:leader="dot" w:pos="8306"/>
            </w:tabs>
          </w:pPr>
          <w:r>
            <w:rPr>
              <w:color w:val="auto"/>
              <w:lang w:val="zh-CN"/>
            </w:rPr>
            <w:fldChar w:fldCharType="begin"/>
          </w:r>
          <w:r>
            <w:rPr>
              <w:lang w:val="zh-CN"/>
            </w:rPr>
            <w:instrText xml:space="preserve"> HYPERLINK \l _Toc32215 </w:instrText>
          </w:r>
          <w:r>
            <w:rPr>
              <w:lang w:val="zh-CN"/>
            </w:rPr>
            <w:fldChar w:fldCharType="separate"/>
          </w:r>
          <w:r>
            <w:rPr>
              <w:rFonts w:hint="eastAsia"/>
              <w:i w:val="0"/>
            </w:rPr>
            <w:t xml:space="preserve">8.1 </w:t>
          </w:r>
          <w:r>
            <w:rPr>
              <w:rFonts w:hint="eastAsia"/>
            </w:rPr>
            <w:t>环境经济损益分析</w:t>
          </w:r>
          <w:r>
            <w:tab/>
          </w:r>
          <w:r>
            <w:fldChar w:fldCharType="begin"/>
          </w:r>
          <w:r>
            <w:instrText xml:space="preserve"> PAGEREF _Toc32215 \h </w:instrText>
          </w:r>
          <w:r>
            <w:fldChar w:fldCharType="separate"/>
          </w:r>
          <w:r>
            <w:t>311</w:t>
          </w:r>
          <w:r>
            <w:fldChar w:fldCharType="end"/>
          </w:r>
          <w:r>
            <w:rPr>
              <w:color w:val="auto"/>
              <w:lang w:val="zh-CN"/>
            </w:rPr>
            <w:fldChar w:fldCharType="end"/>
          </w:r>
        </w:p>
        <w:p w14:paraId="254054BC">
          <w:pPr>
            <w:pStyle w:val="13"/>
            <w:tabs>
              <w:tab w:val="right" w:leader="dot" w:pos="8306"/>
              <w:tab w:val="clear" w:pos="8296"/>
            </w:tabs>
          </w:pPr>
          <w:r>
            <w:rPr>
              <w:color w:val="auto"/>
              <w:lang w:val="zh-CN"/>
            </w:rPr>
            <w:fldChar w:fldCharType="begin"/>
          </w:r>
          <w:r>
            <w:rPr>
              <w:lang w:val="zh-CN"/>
            </w:rPr>
            <w:instrText xml:space="preserve"> HYPERLINK \l _Toc25116 </w:instrText>
          </w:r>
          <w:r>
            <w:rPr>
              <w:lang w:val="zh-CN"/>
            </w:rPr>
            <w:fldChar w:fldCharType="separate"/>
          </w:r>
          <w:r>
            <w:rPr>
              <w:rFonts w:hint="eastAsia"/>
              <w:i w:val="0"/>
            </w:rPr>
            <w:t xml:space="preserve">8.1.1 </w:t>
          </w:r>
          <w:r>
            <w:rPr>
              <w:rFonts w:hint="eastAsia"/>
            </w:rPr>
            <w:t>环保投资及运行费用</w:t>
          </w:r>
          <w:r>
            <w:tab/>
          </w:r>
          <w:r>
            <w:fldChar w:fldCharType="begin"/>
          </w:r>
          <w:r>
            <w:instrText xml:space="preserve"> PAGEREF _Toc25116 \h </w:instrText>
          </w:r>
          <w:r>
            <w:fldChar w:fldCharType="separate"/>
          </w:r>
          <w:r>
            <w:t>311</w:t>
          </w:r>
          <w:r>
            <w:fldChar w:fldCharType="end"/>
          </w:r>
          <w:r>
            <w:rPr>
              <w:color w:val="auto"/>
              <w:lang w:val="zh-CN"/>
            </w:rPr>
            <w:fldChar w:fldCharType="end"/>
          </w:r>
        </w:p>
        <w:p w14:paraId="67E0A3F4">
          <w:pPr>
            <w:pStyle w:val="13"/>
            <w:tabs>
              <w:tab w:val="right" w:leader="dot" w:pos="8306"/>
              <w:tab w:val="clear" w:pos="8296"/>
            </w:tabs>
          </w:pPr>
          <w:r>
            <w:rPr>
              <w:color w:val="auto"/>
              <w:lang w:val="zh-CN"/>
            </w:rPr>
            <w:fldChar w:fldCharType="begin"/>
          </w:r>
          <w:r>
            <w:rPr>
              <w:lang w:val="zh-CN"/>
            </w:rPr>
            <w:instrText xml:space="preserve"> HYPERLINK \l _Toc29988 </w:instrText>
          </w:r>
          <w:r>
            <w:rPr>
              <w:lang w:val="zh-CN"/>
            </w:rPr>
            <w:fldChar w:fldCharType="separate"/>
          </w:r>
          <w:r>
            <w:rPr>
              <w:rFonts w:hint="eastAsia"/>
              <w:i w:val="0"/>
            </w:rPr>
            <w:t xml:space="preserve">8.1.2 </w:t>
          </w:r>
          <w:r>
            <w:rPr>
              <w:rFonts w:hint="eastAsia"/>
            </w:rPr>
            <w:t>环保投资的环境-经济效益分析</w:t>
          </w:r>
          <w:r>
            <w:tab/>
          </w:r>
          <w:r>
            <w:fldChar w:fldCharType="begin"/>
          </w:r>
          <w:r>
            <w:instrText xml:space="preserve"> PAGEREF _Toc29988 \h </w:instrText>
          </w:r>
          <w:r>
            <w:fldChar w:fldCharType="separate"/>
          </w:r>
          <w:r>
            <w:t>311</w:t>
          </w:r>
          <w:r>
            <w:fldChar w:fldCharType="end"/>
          </w:r>
          <w:r>
            <w:rPr>
              <w:color w:val="auto"/>
              <w:lang w:val="zh-CN"/>
            </w:rPr>
            <w:fldChar w:fldCharType="end"/>
          </w:r>
        </w:p>
        <w:p w14:paraId="394642C3">
          <w:pPr>
            <w:pStyle w:val="18"/>
            <w:tabs>
              <w:tab w:val="right" w:leader="dot" w:pos="8306"/>
            </w:tabs>
          </w:pPr>
          <w:r>
            <w:rPr>
              <w:color w:val="auto"/>
              <w:lang w:val="zh-CN"/>
            </w:rPr>
            <w:fldChar w:fldCharType="begin"/>
          </w:r>
          <w:r>
            <w:rPr>
              <w:lang w:val="zh-CN"/>
            </w:rPr>
            <w:instrText xml:space="preserve"> HYPERLINK \l _Toc26999 </w:instrText>
          </w:r>
          <w:r>
            <w:rPr>
              <w:lang w:val="zh-CN"/>
            </w:rPr>
            <w:fldChar w:fldCharType="separate"/>
          </w:r>
          <w:r>
            <w:rPr>
              <w:rFonts w:hint="eastAsia"/>
              <w:i w:val="0"/>
            </w:rPr>
            <w:t xml:space="preserve">8.2 </w:t>
          </w:r>
          <w:r>
            <w:rPr>
              <w:rFonts w:hint="eastAsia"/>
            </w:rPr>
            <w:t>项目社会效益分析</w:t>
          </w:r>
          <w:r>
            <w:tab/>
          </w:r>
          <w:r>
            <w:fldChar w:fldCharType="begin"/>
          </w:r>
          <w:r>
            <w:instrText xml:space="preserve"> PAGEREF _Toc26999 \h </w:instrText>
          </w:r>
          <w:r>
            <w:fldChar w:fldCharType="separate"/>
          </w:r>
          <w:r>
            <w:t>311</w:t>
          </w:r>
          <w:r>
            <w:fldChar w:fldCharType="end"/>
          </w:r>
          <w:r>
            <w:rPr>
              <w:color w:val="auto"/>
              <w:lang w:val="zh-CN"/>
            </w:rPr>
            <w:fldChar w:fldCharType="end"/>
          </w:r>
        </w:p>
        <w:p w14:paraId="21BF0436">
          <w:pPr>
            <w:pStyle w:val="16"/>
            <w:tabs>
              <w:tab w:val="right" w:leader="dot" w:pos="8306"/>
            </w:tabs>
          </w:pPr>
          <w:r>
            <w:rPr>
              <w:color w:val="auto"/>
              <w:lang w:val="zh-CN"/>
            </w:rPr>
            <w:fldChar w:fldCharType="begin"/>
          </w:r>
          <w:r>
            <w:rPr>
              <w:lang w:val="zh-CN"/>
            </w:rPr>
            <w:instrText xml:space="preserve"> HYPERLINK \l _Toc32104 </w:instrText>
          </w:r>
          <w:r>
            <w:rPr>
              <w:lang w:val="zh-CN"/>
            </w:rPr>
            <w:fldChar w:fldCharType="separate"/>
          </w:r>
          <w:r>
            <w:rPr>
              <w:rFonts w:hint="eastAsia"/>
              <w:i w:val="0"/>
              <w:szCs w:val="30"/>
            </w:rPr>
            <w:t xml:space="preserve">9 </w:t>
          </w:r>
          <w:r>
            <w:rPr>
              <w:rFonts w:hint="eastAsia"/>
            </w:rPr>
            <w:t>环境管理与环境监测计划</w:t>
          </w:r>
          <w:r>
            <w:tab/>
          </w:r>
          <w:r>
            <w:fldChar w:fldCharType="begin"/>
          </w:r>
          <w:r>
            <w:instrText xml:space="preserve"> PAGEREF _Toc32104 \h </w:instrText>
          </w:r>
          <w:r>
            <w:fldChar w:fldCharType="separate"/>
          </w:r>
          <w:r>
            <w:t>313</w:t>
          </w:r>
          <w:r>
            <w:fldChar w:fldCharType="end"/>
          </w:r>
          <w:r>
            <w:rPr>
              <w:color w:val="auto"/>
              <w:lang w:val="zh-CN"/>
            </w:rPr>
            <w:fldChar w:fldCharType="end"/>
          </w:r>
        </w:p>
        <w:p w14:paraId="4B9AAA70">
          <w:pPr>
            <w:pStyle w:val="18"/>
            <w:tabs>
              <w:tab w:val="right" w:leader="dot" w:pos="8306"/>
            </w:tabs>
          </w:pPr>
          <w:r>
            <w:rPr>
              <w:color w:val="auto"/>
              <w:lang w:val="zh-CN"/>
            </w:rPr>
            <w:fldChar w:fldCharType="begin"/>
          </w:r>
          <w:r>
            <w:rPr>
              <w:lang w:val="zh-CN"/>
            </w:rPr>
            <w:instrText xml:space="preserve"> HYPERLINK \l _Toc17222 </w:instrText>
          </w:r>
          <w:r>
            <w:rPr>
              <w:lang w:val="zh-CN"/>
            </w:rPr>
            <w:fldChar w:fldCharType="separate"/>
          </w:r>
          <w:r>
            <w:rPr>
              <w:rFonts w:hint="eastAsia"/>
              <w:i w:val="0"/>
            </w:rPr>
            <w:t xml:space="preserve">9.1 </w:t>
          </w:r>
          <w:r>
            <w:rPr>
              <w:rFonts w:hint="eastAsia"/>
              <w:highlight w:val="none"/>
            </w:rPr>
            <w:t>污染物排放总量控制分析</w:t>
          </w:r>
          <w:r>
            <w:tab/>
          </w:r>
          <w:r>
            <w:fldChar w:fldCharType="begin"/>
          </w:r>
          <w:r>
            <w:instrText xml:space="preserve"> PAGEREF _Toc17222 \h </w:instrText>
          </w:r>
          <w:r>
            <w:fldChar w:fldCharType="separate"/>
          </w:r>
          <w:r>
            <w:t>313</w:t>
          </w:r>
          <w:r>
            <w:fldChar w:fldCharType="end"/>
          </w:r>
          <w:r>
            <w:rPr>
              <w:color w:val="auto"/>
              <w:lang w:val="zh-CN"/>
            </w:rPr>
            <w:fldChar w:fldCharType="end"/>
          </w:r>
        </w:p>
        <w:p w14:paraId="1B70C95B">
          <w:pPr>
            <w:pStyle w:val="13"/>
            <w:tabs>
              <w:tab w:val="right" w:leader="dot" w:pos="8306"/>
              <w:tab w:val="clear" w:pos="8296"/>
            </w:tabs>
          </w:pPr>
          <w:r>
            <w:rPr>
              <w:color w:val="auto"/>
              <w:lang w:val="zh-CN"/>
            </w:rPr>
            <w:fldChar w:fldCharType="begin"/>
          </w:r>
          <w:r>
            <w:rPr>
              <w:lang w:val="zh-CN"/>
            </w:rPr>
            <w:instrText xml:space="preserve"> HYPERLINK \l _Toc12106 </w:instrText>
          </w:r>
          <w:r>
            <w:rPr>
              <w:lang w:val="zh-CN"/>
            </w:rPr>
            <w:fldChar w:fldCharType="separate"/>
          </w:r>
          <w:r>
            <w:rPr>
              <w:rFonts w:hint="eastAsia"/>
              <w:i w:val="0"/>
            </w:rPr>
            <w:t xml:space="preserve">9.1.1 </w:t>
          </w:r>
          <w:r>
            <w:rPr>
              <w:rFonts w:hint="eastAsia"/>
            </w:rPr>
            <w:t>总量控制因子</w:t>
          </w:r>
          <w:r>
            <w:tab/>
          </w:r>
          <w:r>
            <w:fldChar w:fldCharType="begin"/>
          </w:r>
          <w:r>
            <w:instrText xml:space="preserve"> PAGEREF _Toc12106 \h </w:instrText>
          </w:r>
          <w:r>
            <w:fldChar w:fldCharType="separate"/>
          </w:r>
          <w:r>
            <w:t>313</w:t>
          </w:r>
          <w:r>
            <w:fldChar w:fldCharType="end"/>
          </w:r>
          <w:r>
            <w:rPr>
              <w:color w:val="auto"/>
              <w:lang w:val="zh-CN"/>
            </w:rPr>
            <w:fldChar w:fldCharType="end"/>
          </w:r>
        </w:p>
        <w:p w14:paraId="173C738C">
          <w:pPr>
            <w:pStyle w:val="13"/>
            <w:tabs>
              <w:tab w:val="right" w:leader="dot" w:pos="8306"/>
              <w:tab w:val="clear" w:pos="8296"/>
            </w:tabs>
          </w:pPr>
          <w:r>
            <w:rPr>
              <w:color w:val="auto"/>
              <w:lang w:val="zh-CN"/>
            </w:rPr>
            <w:fldChar w:fldCharType="begin"/>
          </w:r>
          <w:r>
            <w:rPr>
              <w:lang w:val="zh-CN"/>
            </w:rPr>
            <w:instrText xml:space="preserve"> HYPERLINK \l _Toc10839 </w:instrText>
          </w:r>
          <w:r>
            <w:rPr>
              <w:lang w:val="zh-CN"/>
            </w:rPr>
            <w:fldChar w:fldCharType="separate"/>
          </w:r>
          <w:r>
            <w:rPr>
              <w:rFonts w:hint="eastAsia"/>
              <w:i w:val="0"/>
            </w:rPr>
            <w:t xml:space="preserve">9.1.2 </w:t>
          </w:r>
          <w:r>
            <w:rPr>
              <w:rFonts w:hint="eastAsia"/>
            </w:rPr>
            <w:t>总量平衡方案</w:t>
          </w:r>
          <w:r>
            <w:tab/>
          </w:r>
          <w:r>
            <w:fldChar w:fldCharType="begin"/>
          </w:r>
          <w:r>
            <w:instrText xml:space="preserve"> PAGEREF _Toc10839 \h </w:instrText>
          </w:r>
          <w:r>
            <w:fldChar w:fldCharType="separate"/>
          </w:r>
          <w:r>
            <w:t>313</w:t>
          </w:r>
          <w:r>
            <w:fldChar w:fldCharType="end"/>
          </w:r>
          <w:r>
            <w:rPr>
              <w:color w:val="auto"/>
              <w:lang w:val="zh-CN"/>
            </w:rPr>
            <w:fldChar w:fldCharType="end"/>
          </w:r>
        </w:p>
        <w:p w14:paraId="2DAAAA2A">
          <w:pPr>
            <w:pStyle w:val="18"/>
            <w:tabs>
              <w:tab w:val="right" w:leader="dot" w:pos="8306"/>
            </w:tabs>
          </w:pPr>
          <w:r>
            <w:rPr>
              <w:color w:val="auto"/>
              <w:lang w:val="zh-CN"/>
            </w:rPr>
            <w:fldChar w:fldCharType="begin"/>
          </w:r>
          <w:r>
            <w:rPr>
              <w:lang w:val="zh-CN"/>
            </w:rPr>
            <w:instrText xml:space="preserve"> HYPERLINK \l _Toc21525 </w:instrText>
          </w:r>
          <w:r>
            <w:rPr>
              <w:lang w:val="zh-CN"/>
            </w:rPr>
            <w:fldChar w:fldCharType="separate"/>
          </w:r>
          <w:r>
            <w:rPr>
              <w:rFonts w:hint="eastAsia"/>
              <w:i w:val="0"/>
            </w:rPr>
            <w:t xml:space="preserve">9.2 </w:t>
          </w:r>
          <w:r>
            <w:rPr>
              <w:rFonts w:hint="eastAsia"/>
            </w:rPr>
            <w:t>环境管理</w:t>
          </w:r>
          <w:r>
            <w:tab/>
          </w:r>
          <w:r>
            <w:fldChar w:fldCharType="begin"/>
          </w:r>
          <w:r>
            <w:instrText xml:space="preserve"> PAGEREF _Toc21525 \h </w:instrText>
          </w:r>
          <w:r>
            <w:fldChar w:fldCharType="separate"/>
          </w:r>
          <w:r>
            <w:t>313</w:t>
          </w:r>
          <w:r>
            <w:fldChar w:fldCharType="end"/>
          </w:r>
          <w:r>
            <w:rPr>
              <w:color w:val="auto"/>
              <w:lang w:val="zh-CN"/>
            </w:rPr>
            <w:fldChar w:fldCharType="end"/>
          </w:r>
        </w:p>
        <w:p w14:paraId="64A193CE">
          <w:pPr>
            <w:pStyle w:val="13"/>
            <w:tabs>
              <w:tab w:val="right" w:leader="dot" w:pos="8306"/>
              <w:tab w:val="clear" w:pos="8296"/>
            </w:tabs>
          </w:pPr>
          <w:r>
            <w:rPr>
              <w:color w:val="auto"/>
              <w:lang w:val="zh-CN"/>
            </w:rPr>
            <w:fldChar w:fldCharType="begin"/>
          </w:r>
          <w:r>
            <w:rPr>
              <w:lang w:val="zh-CN"/>
            </w:rPr>
            <w:instrText xml:space="preserve"> HYPERLINK \l _Toc15768 </w:instrText>
          </w:r>
          <w:r>
            <w:rPr>
              <w:lang w:val="zh-CN"/>
            </w:rPr>
            <w:fldChar w:fldCharType="separate"/>
          </w:r>
          <w:r>
            <w:rPr>
              <w:rFonts w:hint="eastAsia"/>
              <w:i w:val="0"/>
            </w:rPr>
            <w:t xml:space="preserve">9.2.1 </w:t>
          </w:r>
          <w:r>
            <w:rPr>
              <w:rFonts w:hint="eastAsia"/>
            </w:rPr>
            <w:t>环境管理机构的设置</w:t>
          </w:r>
          <w:r>
            <w:tab/>
          </w:r>
          <w:r>
            <w:fldChar w:fldCharType="begin"/>
          </w:r>
          <w:r>
            <w:instrText xml:space="preserve"> PAGEREF _Toc15768 \h </w:instrText>
          </w:r>
          <w:r>
            <w:fldChar w:fldCharType="separate"/>
          </w:r>
          <w:r>
            <w:t>313</w:t>
          </w:r>
          <w:r>
            <w:fldChar w:fldCharType="end"/>
          </w:r>
          <w:r>
            <w:rPr>
              <w:color w:val="auto"/>
              <w:lang w:val="zh-CN"/>
            </w:rPr>
            <w:fldChar w:fldCharType="end"/>
          </w:r>
        </w:p>
        <w:p w14:paraId="3FF68BF5">
          <w:pPr>
            <w:pStyle w:val="13"/>
            <w:tabs>
              <w:tab w:val="right" w:leader="dot" w:pos="8306"/>
              <w:tab w:val="clear" w:pos="8296"/>
            </w:tabs>
          </w:pPr>
          <w:r>
            <w:rPr>
              <w:color w:val="auto"/>
              <w:lang w:val="zh-CN"/>
            </w:rPr>
            <w:fldChar w:fldCharType="begin"/>
          </w:r>
          <w:r>
            <w:rPr>
              <w:lang w:val="zh-CN"/>
            </w:rPr>
            <w:instrText xml:space="preserve"> HYPERLINK \l _Toc26255 </w:instrText>
          </w:r>
          <w:r>
            <w:rPr>
              <w:lang w:val="zh-CN"/>
            </w:rPr>
            <w:fldChar w:fldCharType="separate"/>
          </w:r>
          <w:r>
            <w:rPr>
              <w:rFonts w:hint="eastAsia"/>
              <w:i w:val="0"/>
            </w:rPr>
            <w:t xml:space="preserve">9.2.2 </w:t>
          </w:r>
          <w:r>
            <w:rPr>
              <w:rFonts w:hint="eastAsia"/>
            </w:rPr>
            <w:t>环境管理计划</w:t>
          </w:r>
          <w:r>
            <w:tab/>
          </w:r>
          <w:r>
            <w:fldChar w:fldCharType="begin"/>
          </w:r>
          <w:r>
            <w:instrText xml:space="preserve"> PAGEREF _Toc26255 \h </w:instrText>
          </w:r>
          <w:r>
            <w:fldChar w:fldCharType="separate"/>
          </w:r>
          <w:r>
            <w:t>314</w:t>
          </w:r>
          <w:r>
            <w:fldChar w:fldCharType="end"/>
          </w:r>
          <w:r>
            <w:rPr>
              <w:color w:val="auto"/>
              <w:lang w:val="zh-CN"/>
            </w:rPr>
            <w:fldChar w:fldCharType="end"/>
          </w:r>
        </w:p>
        <w:p w14:paraId="35C1EFA0">
          <w:pPr>
            <w:pStyle w:val="13"/>
            <w:tabs>
              <w:tab w:val="right" w:leader="dot" w:pos="8306"/>
              <w:tab w:val="clear" w:pos="8296"/>
            </w:tabs>
          </w:pPr>
          <w:r>
            <w:rPr>
              <w:color w:val="auto"/>
              <w:lang w:val="zh-CN"/>
            </w:rPr>
            <w:fldChar w:fldCharType="begin"/>
          </w:r>
          <w:r>
            <w:rPr>
              <w:lang w:val="zh-CN"/>
            </w:rPr>
            <w:instrText xml:space="preserve"> HYPERLINK \l _Toc11802 </w:instrText>
          </w:r>
          <w:r>
            <w:rPr>
              <w:lang w:val="zh-CN"/>
            </w:rPr>
            <w:fldChar w:fldCharType="separate"/>
          </w:r>
          <w:r>
            <w:rPr>
              <w:rFonts w:hint="eastAsia"/>
              <w:i w:val="0"/>
            </w:rPr>
            <w:t xml:space="preserve">9.2.3 </w:t>
          </w:r>
          <w:r>
            <w:rPr>
              <w:rFonts w:hint="eastAsia"/>
            </w:rPr>
            <w:t>排污口设置及规范化</w:t>
          </w:r>
          <w:r>
            <w:tab/>
          </w:r>
          <w:r>
            <w:fldChar w:fldCharType="begin"/>
          </w:r>
          <w:r>
            <w:instrText xml:space="preserve"> PAGEREF _Toc11802 \h </w:instrText>
          </w:r>
          <w:r>
            <w:fldChar w:fldCharType="separate"/>
          </w:r>
          <w:r>
            <w:t>318</w:t>
          </w:r>
          <w:r>
            <w:fldChar w:fldCharType="end"/>
          </w:r>
          <w:r>
            <w:rPr>
              <w:color w:val="auto"/>
              <w:lang w:val="zh-CN"/>
            </w:rPr>
            <w:fldChar w:fldCharType="end"/>
          </w:r>
        </w:p>
        <w:p w14:paraId="55068D27">
          <w:pPr>
            <w:pStyle w:val="18"/>
            <w:tabs>
              <w:tab w:val="right" w:leader="dot" w:pos="8306"/>
            </w:tabs>
          </w:pPr>
          <w:r>
            <w:rPr>
              <w:color w:val="auto"/>
              <w:lang w:val="zh-CN"/>
            </w:rPr>
            <w:fldChar w:fldCharType="begin"/>
          </w:r>
          <w:r>
            <w:rPr>
              <w:lang w:val="zh-CN"/>
            </w:rPr>
            <w:instrText xml:space="preserve"> HYPERLINK \l _Toc30552 </w:instrText>
          </w:r>
          <w:r>
            <w:rPr>
              <w:lang w:val="zh-CN"/>
            </w:rPr>
            <w:fldChar w:fldCharType="separate"/>
          </w:r>
          <w:r>
            <w:rPr>
              <w:rFonts w:hint="eastAsia"/>
              <w:i w:val="0"/>
            </w:rPr>
            <w:t xml:space="preserve">9.3 </w:t>
          </w:r>
          <w:r>
            <w:rPr>
              <w:rFonts w:hint="eastAsia"/>
            </w:rPr>
            <w:t>环境监测计划</w:t>
          </w:r>
          <w:r>
            <w:tab/>
          </w:r>
          <w:r>
            <w:fldChar w:fldCharType="begin"/>
          </w:r>
          <w:r>
            <w:instrText xml:space="preserve"> PAGEREF _Toc30552 \h </w:instrText>
          </w:r>
          <w:r>
            <w:fldChar w:fldCharType="separate"/>
          </w:r>
          <w:r>
            <w:t>320</w:t>
          </w:r>
          <w:r>
            <w:fldChar w:fldCharType="end"/>
          </w:r>
          <w:r>
            <w:rPr>
              <w:color w:val="auto"/>
              <w:lang w:val="zh-CN"/>
            </w:rPr>
            <w:fldChar w:fldCharType="end"/>
          </w:r>
        </w:p>
        <w:p w14:paraId="7925BBF7">
          <w:pPr>
            <w:pStyle w:val="13"/>
            <w:tabs>
              <w:tab w:val="right" w:leader="dot" w:pos="8306"/>
              <w:tab w:val="clear" w:pos="8296"/>
            </w:tabs>
          </w:pPr>
          <w:r>
            <w:rPr>
              <w:color w:val="auto"/>
              <w:lang w:val="zh-CN"/>
            </w:rPr>
            <w:fldChar w:fldCharType="begin"/>
          </w:r>
          <w:r>
            <w:rPr>
              <w:lang w:val="zh-CN"/>
            </w:rPr>
            <w:instrText xml:space="preserve"> HYPERLINK \l _Toc18031 </w:instrText>
          </w:r>
          <w:r>
            <w:rPr>
              <w:lang w:val="zh-CN"/>
            </w:rPr>
            <w:fldChar w:fldCharType="separate"/>
          </w:r>
          <w:r>
            <w:rPr>
              <w:rFonts w:hint="eastAsia"/>
              <w:i w:val="0"/>
            </w:rPr>
            <w:t xml:space="preserve">9.3.1 </w:t>
          </w:r>
          <w:r>
            <w:rPr>
              <w:rFonts w:hint="eastAsia"/>
            </w:rPr>
            <w:t>施工期监测计划</w:t>
          </w:r>
          <w:r>
            <w:tab/>
          </w:r>
          <w:r>
            <w:fldChar w:fldCharType="begin"/>
          </w:r>
          <w:r>
            <w:instrText xml:space="preserve"> PAGEREF _Toc18031 \h </w:instrText>
          </w:r>
          <w:r>
            <w:fldChar w:fldCharType="separate"/>
          </w:r>
          <w:r>
            <w:t>320</w:t>
          </w:r>
          <w:r>
            <w:fldChar w:fldCharType="end"/>
          </w:r>
          <w:r>
            <w:rPr>
              <w:color w:val="auto"/>
              <w:lang w:val="zh-CN"/>
            </w:rPr>
            <w:fldChar w:fldCharType="end"/>
          </w:r>
        </w:p>
        <w:p w14:paraId="47B9F7D5">
          <w:pPr>
            <w:pStyle w:val="13"/>
            <w:tabs>
              <w:tab w:val="right" w:leader="dot" w:pos="8306"/>
              <w:tab w:val="clear" w:pos="8296"/>
            </w:tabs>
          </w:pPr>
          <w:r>
            <w:rPr>
              <w:color w:val="auto"/>
              <w:lang w:val="zh-CN"/>
            </w:rPr>
            <w:fldChar w:fldCharType="begin"/>
          </w:r>
          <w:r>
            <w:rPr>
              <w:lang w:val="zh-CN"/>
            </w:rPr>
            <w:instrText xml:space="preserve"> HYPERLINK \l _Toc23984 </w:instrText>
          </w:r>
          <w:r>
            <w:rPr>
              <w:lang w:val="zh-CN"/>
            </w:rPr>
            <w:fldChar w:fldCharType="separate"/>
          </w:r>
          <w:r>
            <w:rPr>
              <w:rFonts w:hint="eastAsia"/>
              <w:i w:val="0"/>
            </w:rPr>
            <w:t xml:space="preserve">9.3.2 </w:t>
          </w:r>
          <w:r>
            <w:rPr>
              <w:rFonts w:hint="eastAsia"/>
              <w:lang w:val="en-US" w:eastAsia="zh-CN"/>
            </w:rPr>
            <w:t>运行期</w:t>
          </w:r>
          <w:r>
            <w:rPr>
              <w:rFonts w:hint="eastAsia"/>
            </w:rPr>
            <w:t>监测计划</w:t>
          </w:r>
          <w:r>
            <w:tab/>
          </w:r>
          <w:r>
            <w:fldChar w:fldCharType="begin"/>
          </w:r>
          <w:r>
            <w:instrText xml:space="preserve"> PAGEREF _Toc23984 \h </w:instrText>
          </w:r>
          <w:r>
            <w:fldChar w:fldCharType="separate"/>
          </w:r>
          <w:r>
            <w:t>320</w:t>
          </w:r>
          <w:r>
            <w:fldChar w:fldCharType="end"/>
          </w:r>
          <w:r>
            <w:rPr>
              <w:color w:val="auto"/>
              <w:lang w:val="zh-CN"/>
            </w:rPr>
            <w:fldChar w:fldCharType="end"/>
          </w:r>
        </w:p>
        <w:p w14:paraId="63B5E4C6">
          <w:pPr>
            <w:pStyle w:val="13"/>
            <w:tabs>
              <w:tab w:val="right" w:leader="dot" w:pos="8306"/>
              <w:tab w:val="clear" w:pos="8296"/>
            </w:tabs>
          </w:pPr>
          <w:r>
            <w:rPr>
              <w:color w:val="auto"/>
              <w:lang w:val="zh-CN"/>
            </w:rPr>
            <w:fldChar w:fldCharType="begin"/>
          </w:r>
          <w:r>
            <w:rPr>
              <w:lang w:val="zh-CN"/>
            </w:rPr>
            <w:instrText xml:space="preserve"> HYPERLINK \l _Toc24429 </w:instrText>
          </w:r>
          <w:r>
            <w:rPr>
              <w:lang w:val="zh-CN"/>
            </w:rPr>
            <w:fldChar w:fldCharType="separate"/>
          </w:r>
          <w:r>
            <w:rPr>
              <w:rFonts w:hint="eastAsia"/>
              <w:i w:val="0"/>
            </w:rPr>
            <w:t xml:space="preserve">9.3.3 </w:t>
          </w:r>
          <w:r>
            <w:rPr>
              <w:rFonts w:hint="eastAsia"/>
            </w:rPr>
            <w:t>应急监测计划</w:t>
          </w:r>
          <w:r>
            <w:tab/>
          </w:r>
          <w:r>
            <w:fldChar w:fldCharType="begin"/>
          </w:r>
          <w:r>
            <w:instrText xml:space="preserve"> PAGEREF _Toc24429 \h </w:instrText>
          </w:r>
          <w:r>
            <w:fldChar w:fldCharType="separate"/>
          </w:r>
          <w:r>
            <w:t>322</w:t>
          </w:r>
          <w:r>
            <w:fldChar w:fldCharType="end"/>
          </w:r>
          <w:r>
            <w:rPr>
              <w:color w:val="auto"/>
              <w:lang w:val="zh-CN"/>
            </w:rPr>
            <w:fldChar w:fldCharType="end"/>
          </w:r>
        </w:p>
        <w:p w14:paraId="42464476">
          <w:pPr>
            <w:pStyle w:val="16"/>
            <w:tabs>
              <w:tab w:val="right" w:leader="dot" w:pos="8306"/>
            </w:tabs>
          </w:pPr>
          <w:r>
            <w:rPr>
              <w:color w:val="auto"/>
              <w:lang w:val="zh-CN"/>
            </w:rPr>
            <w:fldChar w:fldCharType="begin"/>
          </w:r>
          <w:r>
            <w:rPr>
              <w:lang w:val="zh-CN"/>
            </w:rPr>
            <w:instrText xml:space="preserve"> HYPERLINK \l _Toc7145 </w:instrText>
          </w:r>
          <w:r>
            <w:rPr>
              <w:lang w:val="zh-CN"/>
            </w:rPr>
            <w:fldChar w:fldCharType="separate"/>
          </w:r>
          <w:r>
            <w:rPr>
              <w:rFonts w:hint="eastAsia"/>
              <w:i w:val="0"/>
              <w:szCs w:val="30"/>
            </w:rPr>
            <w:t xml:space="preserve">10 </w:t>
          </w:r>
          <w:r>
            <w:rPr>
              <w:rFonts w:hint="eastAsia"/>
            </w:rPr>
            <w:t>环境影响评价结论</w:t>
          </w:r>
          <w:r>
            <w:tab/>
          </w:r>
          <w:r>
            <w:fldChar w:fldCharType="begin"/>
          </w:r>
          <w:r>
            <w:instrText xml:space="preserve"> PAGEREF _Toc7145 \h </w:instrText>
          </w:r>
          <w:r>
            <w:fldChar w:fldCharType="separate"/>
          </w:r>
          <w:r>
            <w:t>323</w:t>
          </w:r>
          <w:r>
            <w:fldChar w:fldCharType="end"/>
          </w:r>
          <w:r>
            <w:rPr>
              <w:color w:val="auto"/>
              <w:lang w:val="zh-CN"/>
            </w:rPr>
            <w:fldChar w:fldCharType="end"/>
          </w:r>
        </w:p>
        <w:p w14:paraId="6A9A2C56">
          <w:pPr>
            <w:pStyle w:val="18"/>
            <w:tabs>
              <w:tab w:val="right" w:leader="dot" w:pos="8306"/>
            </w:tabs>
          </w:pPr>
          <w:r>
            <w:rPr>
              <w:color w:val="auto"/>
              <w:lang w:val="zh-CN"/>
            </w:rPr>
            <w:fldChar w:fldCharType="begin"/>
          </w:r>
          <w:r>
            <w:rPr>
              <w:lang w:val="zh-CN"/>
            </w:rPr>
            <w:instrText xml:space="preserve"> HYPERLINK \l _Toc30989 </w:instrText>
          </w:r>
          <w:r>
            <w:rPr>
              <w:lang w:val="zh-CN"/>
            </w:rPr>
            <w:fldChar w:fldCharType="separate"/>
          </w:r>
          <w:r>
            <w:rPr>
              <w:rFonts w:hint="eastAsia"/>
              <w:i w:val="0"/>
            </w:rPr>
            <w:t xml:space="preserve">10.1 </w:t>
          </w:r>
          <w:r>
            <w:rPr>
              <w:rFonts w:hint="eastAsia"/>
            </w:rPr>
            <w:t>结论</w:t>
          </w:r>
          <w:r>
            <w:tab/>
          </w:r>
          <w:r>
            <w:fldChar w:fldCharType="begin"/>
          </w:r>
          <w:r>
            <w:instrText xml:space="preserve"> PAGEREF _Toc30989 \h </w:instrText>
          </w:r>
          <w:r>
            <w:fldChar w:fldCharType="separate"/>
          </w:r>
          <w:r>
            <w:t>323</w:t>
          </w:r>
          <w:r>
            <w:fldChar w:fldCharType="end"/>
          </w:r>
          <w:r>
            <w:rPr>
              <w:color w:val="auto"/>
              <w:lang w:val="zh-CN"/>
            </w:rPr>
            <w:fldChar w:fldCharType="end"/>
          </w:r>
        </w:p>
        <w:p w14:paraId="44B7BEDA">
          <w:pPr>
            <w:pStyle w:val="13"/>
            <w:tabs>
              <w:tab w:val="right" w:leader="dot" w:pos="8306"/>
              <w:tab w:val="clear" w:pos="8296"/>
            </w:tabs>
          </w:pPr>
          <w:r>
            <w:rPr>
              <w:color w:val="auto"/>
              <w:lang w:val="zh-CN"/>
            </w:rPr>
            <w:fldChar w:fldCharType="begin"/>
          </w:r>
          <w:r>
            <w:rPr>
              <w:lang w:val="zh-CN"/>
            </w:rPr>
            <w:instrText xml:space="preserve"> HYPERLINK \l _Toc25285 </w:instrText>
          </w:r>
          <w:r>
            <w:rPr>
              <w:lang w:val="zh-CN"/>
            </w:rPr>
            <w:fldChar w:fldCharType="separate"/>
          </w:r>
          <w:r>
            <w:rPr>
              <w:rFonts w:hint="eastAsia"/>
              <w:i w:val="0"/>
            </w:rPr>
            <w:t xml:space="preserve">10.1.1 </w:t>
          </w:r>
          <w:r>
            <w:rPr>
              <w:rFonts w:hint="eastAsia"/>
            </w:rPr>
            <w:t>项目概况</w:t>
          </w:r>
          <w:r>
            <w:tab/>
          </w:r>
          <w:r>
            <w:fldChar w:fldCharType="begin"/>
          </w:r>
          <w:r>
            <w:instrText xml:space="preserve"> PAGEREF _Toc25285 \h </w:instrText>
          </w:r>
          <w:r>
            <w:fldChar w:fldCharType="separate"/>
          </w:r>
          <w:r>
            <w:t>323</w:t>
          </w:r>
          <w:r>
            <w:fldChar w:fldCharType="end"/>
          </w:r>
          <w:r>
            <w:rPr>
              <w:color w:val="auto"/>
              <w:lang w:val="zh-CN"/>
            </w:rPr>
            <w:fldChar w:fldCharType="end"/>
          </w:r>
        </w:p>
        <w:p w14:paraId="520AED25">
          <w:pPr>
            <w:pStyle w:val="13"/>
            <w:tabs>
              <w:tab w:val="right" w:leader="dot" w:pos="8306"/>
              <w:tab w:val="clear" w:pos="8296"/>
            </w:tabs>
          </w:pPr>
          <w:r>
            <w:rPr>
              <w:color w:val="auto"/>
              <w:lang w:val="zh-CN"/>
            </w:rPr>
            <w:fldChar w:fldCharType="begin"/>
          </w:r>
          <w:r>
            <w:rPr>
              <w:lang w:val="zh-CN"/>
            </w:rPr>
            <w:instrText xml:space="preserve"> HYPERLINK \l _Toc14179 </w:instrText>
          </w:r>
          <w:r>
            <w:rPr>
              <w:lang w:val="zh-CN"/>
            </w:rPr>
            <w:fldChar w:fldCharType="separate"/>
          </w:r>
          <w:r>
            <w:rPr>
              <w:rFonts w:hint="eastAsia"/>
              <w:i w:val="0"/>
            </w:rPr>
            <w:t xml:space="preserve">10.1.2 </w:t>
          </w:r>
          <w:r>
            <w:rPr>
              <w:rFonts w:hint="eastAsia"/>
            </w:rPr>
            <w:t>环境质量现状</w:t>
          </w:r>
          <w:r>
            <w:tab/>
          </w:r>
          <w:r>
            <w:fldChar w:fldCharType="begin"/>
          </w:r>
          <w:r>
            <w:instrText xml:space="preserve"> PAGEREF _Toc14179 \h </w:instrText>
          </w:r>
          <w:r>
            <w:fldChar w:fldCharType="separate"/>
          </w:r>
          <w:r>
            <w:t>324</w:t>
          </w:r>
          <w:r>
            <w:fldChar w:fldCharType="end"/>
          </w:r>
          <w:r>
            <w:rPr>
              <w:color w:val="auto"/>
              <w:lang w:val="zh-CN"/>
            </w:rPr>
            <w:fldChar w:fldCharType="end"/>
          </w:r>
        </w:p>
        <w:p w14:paraId="0C95025B">
          <w:pPr>
            <w:pStyle w:val="13"/>
            <w:tabs>
              <w:tab w:val="right" w:leader="dot" w:pos="8306"/>
              <w:tab w:val="clear" w:pos="8296"/>
            </w:tabs>
          </w:pPr>
          <w:r>
            <w:rPr>
              <w:color w:val="auto"/>
              <w:lang w:val="zh-CN"/>
            </w:rPr>
            <w:fldChar w:fldCharType="begin"/>
          </w:r>
          <w:r>
            <w:rPr>
              <w:lang w:val="zh-CN"/>
            </w:rPr>
            <w:instrText xml:space="preserve"> HYPERLINK \l _Toc1192 </w:instrText>
          </w:r>
          <w:r>
            <w:rPr>
              <w:lang w:val="zh-CN"/>
            </w:rPr>
            <w:fldChar w:fldCharType="separate"/>
          </w:r>
          <w:r>
            <w:rPr>
              <w:rFonts w:hint="eastAsia"/>
              <w:i w:val="0"/>
            </w:rPr>
            <w:t xml:space="preserve">10.1.3 </w:t>
          </w:r>
          <w:r>
            <w:rPr>
              <w:rFonts w:hint="eastAsia"/>
            </w:rPr>
            <w:t>污染物排放情况及环境影响</w:t>
          </w:r>
          <w:r>
            <w:tab/>
          </w:r>
          <w:r>
            <w:fldChar w:fldCharType="begin"/>
          </w:r>
          <w:r>
            <w:instrText xml:space="preserve"> PAGEREF _Toc1192 \h </w:instrText>
          </w:r>
          <w:r>
            <w:fldChar w:fldCharType="separate"/>
          </w:r>
          <w:r>
            <w:t>324</w:t>
          </w:r>
          <w:r>
            <w:fldChar w:fldCharType="end"/>
          </w:r>
          <w:r>
            <w:rPr>
              <w:color w:val="auto"/>
              <w:lang w:val="zh-CN"/>
            </w:rPr>
            <w:fldChar w:fldCharType="end"/>
          </w:r>
        </w:p>
        <w:p w14:paraId="34F8834E">
          <w:pPr>
            <w:pStyle w:val="13"/>
            <w:tabs>
              <w:tab w:val="right" w:leader="dot" w:pos="8306"/>
              <w:tab w:val="clear" w:pos="8296"/>
            </w:tabs>
          </w:pPr>
          <w:r>
            <w:rPr>
              <w:color w:val="auto"/>
              <w:lang w:val="zh-CN"/>
            </w:rPr>
            <w:fldChar w:fldCharType="begin"/>
          </w:r>
          <w:r>
            <w:rPr>
              <w:lang w:val="zh-CN"/>
            </w:rPr>
            <w:instrText xml:space="preserve"> HYPERLINK \l _Toc31275 </w:instrText>
          </w:r>
          <w:r>
            <w:rPr>
              <w:lang w:val="zh-CN"/>
            </w:rPr>
            <w:fldChar w:fldCharType="separate"/>
          </w:r>
          <w:r>
            <w:rPr>
              <w:rFonts w:hint="eastAsia"/>
              <w:i w:val="0"/>
            </w:rPr>
            <w:t xml:space="preserve">10.1.4 </w:t>
          </w:r>
          <w:r>
            <w:rPr>
              <w:rFonts w:hint="eastAsia"/>
            </w:rPr>
            <w:t>环境保护措施</w:t>
          </w:r>
          <w:r>
            <w:tab/>
          </w:r>
          <w:r>
            <w:fldChar w:fldCharType="begin"/>
          </w:r>
          <w:r>
            <w:instrText xml:space="preserve"> PAGEREF _Toc31275 \h </w:instrText>
          </w:r>
          <w:r>
            <w:fldChar w:fldCharType="separate"/>
          </w:r>
          <w:r>
            <w:t>324</w:t>
          </w:r>
          <w:r>
            <w:fldChar w:fldCharType="end"/>
          </w:r>
          <w:r>
            <w:rPr>
              <w:color w:val="auto"/>
              <w:lang w:val="zh-CN"/>
            </w:rPr>
            <w:fldChar w:fldCharType="end"/>
          </w:r>
        </w:p>
        <w:p w14:paraId="287E2A63">
          <w:pPr>
            <w:pStyle w:val="13"/>
            <w:tabs>
              <w:tab w:val="right" w:leader="dot" w:pos="8306"/>
              <w:tab w:val="clear" w:pos="8296"/>
            </w:tabs>
          </w:pPr>
          <w:r>
            <w:rPr>
              <w:color w:val="auto"/>
              <w:lang w:val="zh-CN"/>
            </w:rPr>
            <w:fldChar w:fldCharType="begin"/>
          </w:r>
          <w:r>
            <w:rPr>
              <w:lang w:val="zh-CN"/>
            </w:rPr>
            <w:instrText xml:space="preserve"> HYPERLINK \l _Toc1440 </w:instrText>
          </w:r>
          <w:r>
            <w:rPr>
              <w:lang w:val="zh-CN"/>
            </w:rPr>
            <w:fldChar w:fldCharType="separate"/>
          </w:r>
          <w:r>
            <w:rPr>
              <w:rFonts w:hint="eastAsia"/>
              <w:i w:val="0"/>
            </w:rPr>
            <w:t xml:space="preserve">10.1.5 </w:t>
          </w:r>
          <w:r>
            <w:rPr>
              <w:rFonts w:hint="eastAsia"/>
            </w:rPr>
            <w:t>环境影响经济损益分析</w:t>
          </w:r>
          <w:r>
            <w:tab/>
          </w:r>
          <w:r>
            <w:fldChar w:fldCharType="begin"/>
          </w:r>
          <w:r>
            <w:instrText xml:space="preserve"> PAGEREF _Toc1440 \h </w:instrText>
          </w:r>
          <w:r>
            <w:fldChar w:fldCharType="separate"/>
          </w:r>
          <w:r>
            <w:t>325</w:t>
          </w:r>
          <w:r>
            <w:fldChar w:fldCharType="end"/>
          </w:r>
          <w:r>
            <w:rPr>
              <w:color w:val="auto"/>
              <w:lang w:val="zh-CN"/>
            </w:rPr>
            <w:fldChar w:fldCharType="end"/>
          </w:r>
        </w:p>
        <w:p w14:paraId="2F24F01E">
          <w:pPr>
            <w:pStyle w:val="13"/>
            <w:tabs>
              <w:tab w:val="right" w:leader="dot" w:pos="8306"/>
              <w:tab w:val="clear" w:pos="8296"/>
            </w:tabs>
          </w:pPr>
          <w:r>
            <w:rPr>
              <w:color w:val="auto"/>
              <w:lang w:val="zh-CN"/>
            </w:rPr>
            <w:fldChar w:fldCharType="begin"/>
          </w:r>
          <w:r>
            <w:rPr>
              <w:lang w:val="zh-CN"/>
            </w:rPr>
            <w:instrText xml:space="preserve"> HYPERLINK \l _Toc21364 </w:instrText>
          </w:r>
          <w:r>
            <w:rPr>
              <w:lang w:val="zh-CN"/>
            </w:rPr>
            <w:fldChar w:fldCharType="separate"/>
          </w:r>
          <w:r>
            <w:rPr>
              <w:rFonts w:hint="eastAsia"/>
              <w:i w:val="0"/>
            </w:rPr>
            <w:t xml:space="preserve">10.1.6 </w:t>
          </w:r>
          <w:r>
            <w:rPr>
              <w:rFonts w:hint="eastAsia"/>
            </w:rPr>
            <w:t>环境管理与监测计划</w:t>
          </w:r>
          <w:r>
            <w:tab/>
          </w:r>
          <w:r>
            <w:fldChar w:fldCharType="begin"/>
          </w:r>
          <w:r>
            <w:instrText xml:space="preserve"> PAGEREF _Toc21364 \h </w:instrText>
          </w:r>
          <w:r>
            <w:fldChar w:fldCharType="separate"/>
          </w:r>
          <w:r>
            <w:t>325</w:t>
          </w:r>
          <w:r>
            <w:fldChar w:fldCharType="end"/>
          </w:r>
          <w:r>
            <w:rPr>
              <w:color w:val="auto"/>
              <w:lang w:val="zh-CN"/>
            </w:rPr>
            <w:fldChar w:fldCharType="end"/>
          </w:r>
        </w:p>
        <w:p w14:paraId="4CDB4EC2">
          <w:pPr>
            <w:pStyle w:val="13"/>
            <w:tabs>
              <w:tab w:val="right" w:leader="dot" w:pos="8306"/>
              <w:tab w:val="clear" w:pos="8296"/>
            </w:tabs>
          </w:pPr>
          <w:r>
            <w:rPr>
              <w:color w:val="auto"/>
              <w:lang w:val="zh-CN"/>
            </w:rPr>
            <w:fldChar w:fldCharType="begin"/>
          </w:r>
          <w:r>
            <w:rPr>
              <w:lang w:val="zh-CN"/>
            </w:rPr>
            <w:instrText xml:space="preserve"> HYPERLINK \l _Toc15570 </w:instrText>
          </w:r>
          <w:r>
            <w:rPr>
              <w:lang w:val="zh-CN"/>
            </w:rPr>
            <w:fldChar w:fldCharType="separate"/>
          </w:r>
          <w:r>
            <w:rPr>
              <w:rFonts w:hint="eastAsia"/>
              <w:i w:val="0"/>
            </w:rPr>
            <w:t xml:space="preserve">10.1.7 </w:t>
          </w:r>
          <w:r>
            <w:rPr>
              <w:rFonts w:hint="eastAsia"/>
            </w:rPr>
            <w:t>总结论</w:t>
          </w:r>
          <w:r>
            <w:tab/>
          </w:r>
          <w:r>
            <w:fldChar w:fldCharType="begin"/>
          </w:r>
          <w:r>
            <w:instrText xml:space="preserve"> PAGEREF _Toc15570 \h </w:instrText>
          </w:r>
          <w:r>
            <w:fldChar w:fldCharType="separate"/>
          </w:r>
          <w:r>
            <w:t>325</w:t>
          </w:r>
          <w:r>
            <w:fldChar w:fldCharType="end"/>
          </w:r>
          <w:r>
            <w:rPr>
              <w:color w:val="auto"/>
              <w:lang w:val="zh-CN"/>
            </w:rPr>
            <w:fldChar w:fldCharType="end"/>
          </w:r>
        </w:p>
        <w:p w14:paraId="00971665">
          <w:pPr>
            <w:pStyle w:val="18"/>
            <w:tabs>
              <w:tab w:val="right" w:leader="dot" w:pos="8306"/>
            </w:tabs>
          </w:pPr>
          <w:r>
            <w:rPr>
              <w:color w:val="auto"/>
              <w:lang w:val="zh-CN"/>
            </w:rPr>
            <w:fldChar w:fldCharType="begin"/>
          </w:r>
          <w:r>
            <w:rPr>
              <w:lang w:val="zh-CN"/>
            </w:rPr>
            <w:instrText xml:space="preserve"> HYPERLINK \l _Toc24025 </w:instrText>
          </w:r>
          <w:r>
            <w:rPr>
              <w:lang w:val="zh-CN"/>
            </w:rPr>
            <w:fldChar w:fldCharType="separate"/>
          </w:r>
          <w:r>
            <w:rPr>
              <w:rFonts w:hint="eastAsia"/>
              <w:i w:val="0"/>
            </w:rPr>
            <w:t xml:space="preserve">10.2 </w:t>
          </w:r>
          <w:r>
            <w:rPr>
              <w:rFonts w:hint="eastAsia"/>
            </w:rPr>
            <w:t>建议</w:t>
          </w:r>
          <w:r>
            <w:tab/>
          </w:r>
          <w:r>
            <w:fldChar w:fldCharType="begin"/>
          </w:r>
          <w:r>
            <w:instrText xml:space="preserve"> PAGEREF _Toc24025 \h </w:instrText>
          </w:r>
          <w:r>
            <w:fldChar w:fldCharType="separate"/>
          </w:r>
          <w:r>
            <w:t>325</w:t>
          </w:r>
          <w:r>
            <w:fldChar w:fldCharType="end"/>
          </w:r>
          <w:r>
            <w:rPr>
              <w:color w:val="auto"/>
              <w:lang w:val="zh-CN"/>
            </w:rPr>
            <w:fldChar w:fldCharType="end"/>
          </w:r>
        </w:p>
        <w:p w14:paraId="56D878B1">
          <w:pPr>
            <w:keepNext w:val="0"/>
            <w:keepLines w:val="0"/>
            <w:pageBreakBefore w:val="0"/>
            <w:widowControl w:val="0"/>
            <w:kinsoku/>
            <w:wordWrap/>
            <w:overflowPunct/>
            <w:topLinePunct w:val="0"/>
            <w:autoSpaceDE/>
            <w:autoSpaceDN/>
            <w:bidi w:val="0"/>
            <w:adjustRightInd/>
            <w:snapToGrid/>
            <w:ind w:firstLine="0" w:firstLineChars="0"/>
            <w:textAlignment w:val="auto"/>
          </w:pPr>
          <w:r>
            <w:rPr>
              <w:color w:val="auto"/>
              <w:lang w:val="zh-CN"/>
            </w:rPr>
            <w:fldChar w:fldCharType="end"/>
          </w:r>
          <w:bookmarkEnd w:id="1"/>
          <w:bookmarkEnd w:id="2"/>
          <w:bookmarkStart w:id="9" w:name="_Toc414431987"/>
        </w:p>
      </w:sdtContent>
    </w:sdt>
    <w:p w14:paraId="16FFDF35">
      <w:pPr>
        <w:keepNext w:val="0"/>
        <w:keepLines w:val="0"/>
        <w:pageBreakBefore w:val="0"/>
        <w:widowControl w:val="0"/>
        <w:kinsoku/>
        <w:wordWrap/>
        <w:overflowPunct/>
        <w:topLinePunct w:val="0"/>
        <w:autoSpaceDE/>
        <w:autoSpaceDN/>
        <w:bidi w:val="0"/>
        <w:adjustRightInd/>
        <w:snapToGrid/>
        <w:ind w:firstLine="0" w:firstLineChars="0"/>
        <w:textAlignment w:val="auto"/>
        <w:rPr>
          <w:b/>
          <w:bCs/>
          <w:color w:val="auto"/>
          <w:sz w:val="30"/>
          <w:szCs w:val="30"/>
        </w:rPr>
      </w:pPr>
      <w:r>
        <w:rPr>
          <w:b/>
          <w:bCs/>
          <w:color w:val="auto"/>
          <w:sz w:val="30"/>
          <w:szCs w:val="30"/>
        </w:rPr>
        <w:t>附图：</w:t>
      </w:r>
    </w:p>
    <w:p w14:paraId="7122A76D">
      <w:pPr>
        <w:rPr>
          <w:color w:val="auto"/>
        </w:rPr>
      </w:pPr>
      <w:r>
        <w:rPr>
          <w:rFonts w:hint="eastAsia"/>
          <w:color w:val="auto"/>
        </w:rPr>
        <w:t>附图1项目地理位置图</w:t>
      </w:r>
    </w:p>
    <w:p w14:paraId="0491538D">
      <w:pPr>
        <w:rPr>
          <w:rFonts w:hint="default" w:eastAsia="仿宋_GB2312"/>
          <w:color w:val="auto"/>
          <w:lang w:val="en-US" w:eastAsia="zh-CN"/>
        </w:rPr>
      </w:pPr>
      <w:r>
        <w:rPr>
          <w:rFonts w:hint="eastAsia"/>
          <w:color w:val="auto"/>
        </w:rPr>
        <w:t>附图2</w:t>
      </w:r>
      <w:r>
        <w:rPr>
          <w:rFonts w:hint="eastAsia"/>
          <w:color w:val="auto"/>
          <w:lang w:val="en-US" w:eastAsia="zh-CN"/>
        </w:rPr>
        <w:t>土地利用规划图</w:t>
      </w:r>
    </w:p>
    <w:p w14:paraId="164D1AE9">
      <w:pPr>
        <w:rPr>
          <w:rFonts w:hint="eastAsia"/>
          <w:color w:val="auto"/>
        </w:rPr>
      </w:pPr>
      <w:r>
        <w:rPr>
          <w:rFonts w:hint="eastAsia"/>
          <w:color w:val="auto"/>
        </w:rPr>
        <w:t>附图3生态红线分布</w:t>
      </w:r>
      <w:bookmarkStart w:id="414" w:name="_GoBack"/>
      <w:bookmarkEnd w:id="414"/>
      <w:r>
        <w:rPr>
          <w:rFonts w:hint="eastAsia"/>
          <w:color w:val="auto"/>
        </w:rPr>
        <w:t>位置关系图</w:t>
      </w:r>
    </w:p>
    <w:p w14:paraId="37502037">
      <w:pPr>
        <w:rPr>
          <w:color w:val="auto"/>
        </w:rPr>
      </w:pPr>
      <w:r>
        <w:rPr>
          <w:rFonts w:hint="eastAsia"/>
          <w:color w:val="auto"/>
        </w:rPr>
        <w:t>附图4生态管控区分布位置关系图</w:t>
      </w:r>
    </w:p>
    <w:p w14:paraId="19FCE677">
      <w:pPr>
        <w:rPr>
          <w:rFonts w:hint="eastAsia"/>
          <w:color w:val="auto"/>
        </w:rPr>
      </w:pPr>
      <w:r>
        <w:rPr>
          <w:rFonts w:hint="eastAsia"/>
          <w:color w:val="auto"/>
        </w:rPr>
        <w:t>附图5周边水系及地表水监测布点图</w:t>
      </w:r>
    </w:p>
    <w:p w14:paraId="00D99C6E">
      <w:pPr>
        <w:rPr>
          <w:color w:val="auto"/>
        </w:rPr>
      </w:pPr>
      <w:r>
        <w:rPr>
          <w:rFonts w:hint="eastAsia"/>
          <w:color w:val="auto"/>
        </w:rPr>
        <w:t>附图6</w:t>
      </w:r>
      <w:r>
        <w:rPr>
          <w:rFonts w:hint="eastAsia"/>
          <w:color w:val="auto"/>
          <w:lang w:val="en-US" w:eastAsia="zh-CN"/>
        </w:rPr>
        <w:t>监测点位分布</w:t>
      </w:r>
      <w:r>
        <w:rPr>
          <w:rFonts w:hint="eastAsia"/>
          <w:color w:val="auto"/>
        </w:rPr>
        <w:t>图</w:t>
      </w:r>
    </w:p>
    <w:p w14:paraId="7068824E">
      <w:pPr>
        <w:rPr>
          <w:rFonts w:hint="eastAsia"/>
          <w:color w:val="auto"/>
        </w:rPr>
      </w:pPr>
      <w:r>
        <w:rPr>
          <w:rFonts w:hint="eastAsia"/>
          <w:color w:val="auto"/>
        </w:rPr>
        <w:t>附图7环境保护目标图</w:t>
      </w:r>
    </w:p>
    <w:p w14:paraId="7B4B93DA">
      <w:pPr>
        <w:rPr>
          <w:rFonts w:hint="eastAsia"/>
          <w:color w:val="auto"/>
        </w:rPr>
      </w:pPr>
      <w:r>
        <w:rPr>
          <w:rFonts w:hint="eastAsia"/>
          <w:color w:val="auto"/>
        </w:rPr>
        <w:t>附图8</w:t>
      </w:r>
      <w:r>
        <w:rPr>
          <w:rFonts w:hint="eastAsia"/>
          <w:color w:val="auto"/>
          <w:lang w:val="en-US" w:eastAsia="zh-CN"/>
        </w:rPr>
        <w:t>厂区</w:t>
      </w:r>
      <w:r>
        <w:rPr>
          <w:rFonts w:hint="eastAsia"/>
          <w:color w:val="auto"/>
        </w:rPr>
        <w:t>平面布置图</w:t>
      </w:r>
    </w:p>
    <w:p w14:paraId="128275CB">
      <w:pPr>
        <w:rPr>
          <w:color w:val="auto"/>
        </w:rPr>
      </w:pPr>
      <w:r>
        <w:rPr>
          <w:rFonts w:hint="eastAsia"/>
          <w:color w:val="auto"/>
        </w:rPr>
        <w:t>附图</w:t>
      </w:r>
      <w:r>
        <w:rPr>
          <w:rFonts w:hint="eastAsia"/>
          <w:color w:val="auto"/>
          <w:lang w:val="en-US" w:eastAsia="zh-CN"/>
        </w:rPr>
        <w:t>9厂区周边500m范围</w:t>
      </w:r>
      <w:r>
        <w:rPr>
          <w:rFonts w:hint="eastAsia"/>
          <w:color w:val="auto"/>
        </w:rPr>
        <w:t>图</w:t>
      </w:r>
    </w:p>
    <w:p w14:paraId="0D59A8D2">
      <w:pPr>
        <w:rPr>
          <w:color w:val="auto"/>
        </w:rPr>
      </w:pPr>
      <w:r>
        <w:rPr>
          <w:rFonts w:hint="eastAsia"/>
          <w:color w:val="auto"/>
          <w:lang w:val="en-US" w:eastAsia="zh-CN"/>
        </w:rPr>
        <w:t>附图10厂区雨污</w:t>
      </w:r>
      <w:r>
        <w:rPr>
          <w:rFonts w:hint="eastAsia"/>
          <w:color w:val="auto"/>
        </w:rPr>
        <w:t>管网图</w:t>
      </w:r>
    </w:p>
    <w:p w14:paraId="163ECF56">
      <w:pPr>
        <w:rPr>
          <w:rFonts w:hint="default" w:eastAsia="仿宋_GB2312"/>
          <w:color w:val="auto"/>
          <w:lang w:val="en-US" w:eastAsia="zh-CN"/>
        </w:rPr>
      </w:pPr>
      <w:r>
        <w:rPr>
          <w:rFonts w:hint="eastAsia"/>
          <w:color w:val="auto"/>
        </w:rPr>
        <w:t>附图1</w:t>
      </w:r>
      <w:r>
        <w:rPr>
          <w:rFonts w:hint="eastAsia"/>
          <w:color w:val="auto"/>
          <w:lang w:val="en-US" w:eastAsia="zh-CN"/>
        </w:rPr>
        <w:t>1本项目车间平面布置图</w:t>
      </w:r>
    </w:p>
    <w:p w14:paraId="5C17D204">
      <w:pPr>
        <w:rPr>
          <w:color w:val="auto"/>
        </w:rPr>
      </w:pPr>
      <w:r>
        <w:rPr>
          <w:rFonts w:hint="eastAsia"/>
          <w:color w:val="auto"/>
        </w:rPr>
        <w:t>附图</w:t>
      </w:r>
      <w:r>
        <w:rPr>
          <w:rFonts w:hint="eastAsia"/>
          <w:color w:val="auto"/>
          <w:lang w:val="en-US" w:eastAsia="zh-CN"/>
        </w:rPr>
        <w:t>12</w:t>
      </w:r>
      <w:r>
        <w:rPr>
          <w:rFonts w:hint="eastAsia"/>
          <w:color w:val="auto"/>
        </w:rPr>
        <w:t>分区防渗图</w:t>
      </w:r>
    </w:p>
    <w:p w14:paraId="3E5C6D6E">
      <w:pPr>
        <w:ind w:firstLine="602"/>
        <w:rPr>
          <w:b/>
          <w:bCs/>
          <w:color w:val="auto"/>
          <w:sz w:val="30"/>
          <w:szCs w:val="30"/>
        </w:rPr>
      </w:pPr>
      <w:r>
        <w:rPr>
          <w:b/>
          <w:bCs/>
          <w:color w:val="auto"/>
          <w:sz w:val="30"/>
          <w:szCs w:val="30"/>
        </w:rPr>
        <w:br w:type="page"/>
      </w:r>
    </w:p>
    <w:p w14:paraId="7ADEE5BB">
      <w:pPr>
        <w:ind w:firstLine="0" w:firstLineChars="0"/>
        <w:rPr>
          <w:b/>
          <w:bCs/>
          <w:color w:val="auto"/>
          <w:sz w:val="30"/>
          <w:szCs w:val="30"/>
        </w:rPr>
      </w:pPr>
      <w:r>
        <w:rPr>
          <w:b/>
          <w:bCs/>
          <w:color w:val="auto"/>
          <w:sz w:val="30"/>
          <w:szCs w:val="30"/>
        </w:rPr>
        <w:t>附</w:t>
      </w:r>
      <w:r>
        <w:rPr>
          <w:rFonts w:hint="eastAsia"/>
          <w:b/>
          <w:bCs/>
          <w:color w:val="auto"/>
          <w:sz w:val="30"/>
          <w:szCs w:val="30"/>
        </w:rPr>
        <w:t>件：</w:t>
      </w:r>
    </w:p>
    <w:p w14:paraId="042D0846">
      <w:pPr>
        <w:rPr>
          <w:rFonts w:hint="eastAsia"/>
          <w:color w:val="auto"/>
        </w:rPr>
      </w:pPr>
      <w:r>
        <w:rPr>
          <w:rFonts w:hint="eastAsia"/>
          <w:color w:val="auto"/>
        </w:rPr>
        <w:t>附件1江苏省投资项目备案证</w:t>
      </w:r>
    </w:p>
    <w:p w14:paraId="71D65822">
      <w:pPr>
        <w:rPr>
          <w:color w:val="auto"/>
        </w:rPr>
      </w:pPr>
      <w:r>
        <w:rPr>
          <w:rFonts w:hint="eastAsia"/>
          <w:color w:val="auto"/>
        </w:rPr>
        <w:t>附件2营业执照</w:t>
      </w:r>
    </w:p>
    <w:p w14:paraId="470004F1">
      <w:pPr>
        <w:rPr>
          <w:color w:val="auto"/>
        </w:rPr>
      </w:pPr>
      <w:r>
        <w:rPr>
          <w:rFonts w:hint="eastAsia"/>
          <w:color w:val="auto"/>
        </w:rPr>
        <w:t>附件3土地证</w:t>
      </w:r>
    </w:p>
    <w:p w14:paraId="66CA5D4D">
      <w:pPr>
        <w:rPr>
          <w:color w:val="auto"/>
        </w:rPr>
      </w:pPr>
      <w:r>
        <w:rPr>
          <w:rFonts w:hint="eastAsia"/>
          <w:color w:val="auto"/>
        </w:rPr>
        <w:t>附件4现有环评批复及验收意见</w:t>
      </w:r>
    </w:p>
    <w:p w14:paraId="7C6A454F">
      <w:pPr>
        <w:rPr>
          <w:color w:val="auto"/>
        </w:rPr>
      </w:pPr>
      <w:r>
        <w:rPr>
          <w:rFonts w:hint="eastAsia"/>
          <w:color w:val="auto"/>
        </w:rPr>
        <w:t>附件5排污许可证</w:t>
      </w:r>
    </w:p>
    <w:p w14:paraId="13F1EEF3">
      <w:pPr>
        <w:rPr>
          <w:color w:val="auto"/>
        </w:rPr>
      </w:pPr>
      <w:r>
        <w:rPr>
          <w:rFonts w:hint="eastAsia"/>
          <w:color w:val="auto"/>
        </w:rPr>
        <w:t>附件6应急预案备案</w:t>
      </w:r>
    </w:p>
    <w:p w14:paraId="43688E82">
      <w:pPr>
        <w:rPr>
          <w:color w:val="auto"/>
        </w:rPr>
      </w:pPr>
      <w:r>
        <w:rPr>
          <w:rFonts w:hint="eastAsia"/>
          <w:color w:val="auto"/>
        </w:rPr>
        <w:t>附件7排水许可证</w:t>
      </w:r>
    </w:p>
    <w:p w14:paraId="1D2FEDD7">
      <w:pPr>
        <w:rPr>
          <w:color w:val="auto"/>
        </w:rPr>
      </w:pPr>
      <w:r>
        <w:rPr>
          <w:rFonts w:hint="eastAsia"/>
          <w:color w:val="auto"/>
        </w:rPr>
        <w:t>附件8企业现状监测报告</w:t>
      </w:r>
    </w:p>
    <w:p w14:paraId="52C41810">
      <w:pPr>
        <w:rPr>
          <w:color w:val="auto"/>
        </w:rPr>
      </w:pPr>
      <w:r>
        <w:rPr>
          <w:rFonts w:hint="eastAsia"/>
          <w:color w:val="auto"/>
        </w:rPr>
        <w:t>附件9补充监测</w:t>
      </w:r>
    </w:p>
    <w:p w14:paraId="16E495FB">
      <w:pPr>
        <w:rPr>
          <w:rFonts w:hint="default" w:eastAsia="仿宋_GB2312"/>
          <w:color w:val="auto"/>
          <w:lang w:val="en-US" w:eastAsia="zh-CN"/>
        </w:rPr>
      </w:pPr>
      <w:r>
        <w:rPr>
          <w:rFonts w:hint="eastAsia"/>
          <w:color w:val="auto"/>
        </w:rPr>
        <w:t>附件10</w:t>
      </w:r>
      <w:r>
        <w:rPr>
          <w:rFonts w:hint="eastAsia"/>
          <w:color w:val="auto"/>
          <w:lang w:val="en-US" w:eastAsia="zh-CN"/>
        </w:rPr>
        <w:t>地形测绘报告</w:t>
      </w:r>
    </w:p>
    <w:p w14:paraId="116AB3BD">
      <w:pPr>
        <w:rPr>
          <w:rFonts w:hint="eastAsia" w:eastAsia="仿宋_GB2312"/>
          <w:color w:val="auto"/>
          <w:lang w:val="en-US" w:eastAsia="zh-CN"/>
        </w:rPr>
      </w:pPr>
      <w:r>
        <w:rPr>
          <w:rFonts w:hint="eastAsia"/>
          <w:color w:val="auto"/>
          <w:lang w:val="en-US" w:eastAsia="zh-CN"/>
        </w:rPr>
        <w:t>附件11行业认定材料</w:t>
      </w:r>
    </w:p>
    <w:p w14:paraId="47DBF82D">
      <w:pPr>
        <w:rPr>
          <w:color w:val="auto"/>
        </w:rPr>
      </w:pPr>
      <w:r>
        <w:rPr>
          <w:rFonts w:hint="eastAsia"/>
          <w:color w:val="auto"/>
        </w:rPr>
        <w:t>附件1</w:t>
      </w:r>
      <w:r>
        <w:rPr>
          <w:rFonts w:hint="eastAsia"/>
          <w:color w:val="auto"/>
          <w:lang w:val="en-US" w:eastAsia="zh-CN"/>
        </w:rPr>
        <w:t>2</w:t>
      </w:r>
      <w:r>
        <w:rPr>
          <w:rFonts w:hint="eastAsia"/>
          <w:color w:val="auto"/>
        </w:rPr>
        <w:t>危废处置协议</w:t>
      </w:r>
    </w:p>
    <w:p w14:paraId="20AEBB49">
      <w:pPr>
        <w:rPr>
          <w:color w:val="auto"/>
        </w:rPr>
      </w:pPr>
      <w:r>
        <w:rPr>
          <w:rFonts w:hint="eastAsia"/>
          <w:color w:val="auto"/>
        </w:rPr>
        <w:t>附件1</w:t>
      </w:r>
      <w:r>
        <w:rPr>
          <w:rFonts w:hint="eastAsia"/>
          <w:color w:val="auto"/>
          <w:lang w:val="en-US" w:eastAsia="zh-CN"/>
        </w:rPr>
        <w:t>3</w:t>
      </w:r>
      <w:r>
        <w:rPr>
          <w:rFonts w:hint="eastAsia"/>
          <w:color w:val="auto"/>
        </w:rPr>
        <w:t>环评合同</w:t>
      </w:r>
    </w:p>
    <w:p w14:paraId="6A53929E">
      <w:pPr>
        <w:rPr>
          <w:color w:val="auto"/>
        </w:rPr>
      </w:pPr>
      <w:r>
        <w:rPr>
          <w:rFonts w:hint="eastAsia"/>
          <w:color w:val="auto"/>
        </w:rPr>
        <w:t>附件1</w:t>
      </w:r>
      <w:r>
        <w:rPr>
          <w:rFonts w:hint="eastAsia"/>
          <w:color w:val="auto"/>
          <w:lang w:val="en-US" w:eastAsia="zh-CN"/>
        </w:rPr>
        <w:t>4</w:t>
      </w:r>
      <w:r>
        <w:rPr>
          <w:rFonts w:hint="eastAsia"/>
          <w:color w:val="auto"/>
        </w:rPr>
        <w:t>委托书</w:t>
      </w:r>
    </w:p>
    <w:p w14:paraId="232CB2F5">
      <w:pPr>
        <w:rPr>
          <w:rFonts w:hint="eastAsia"/>
          <w:color w:val="auto"/>
        </w:rPr>
      </w:pPr>
      <w:r>
        <w:rPr>
          <w:rFonts w:hint="eastAsia"/>
          <w:color w:val="auto"/>
        </w:rPr>
        <w:t>附件1</w:t>
      </w:r>
      <w:r>
        <w:rPr>
          <w:rFonts w:hint="eastAsia"/>
          <w:color w:val="auto"/>
          <w:lang w:val="en-US" w:eastAsia="zh-CN"/>
        </w:rPr>
        <w:t>5声</w:t>
      </w:r>
      <w:r>
        <w:rPr>
          <w:rFonts w:hint="eastAsia"/>
          <w:color w:val="auto"/>
        </w:rPr>
        <w:t>明</w:t>
      </w:r>
    </w:p>
    <w:p w14:paraId="207ED261">
      <w:pPr>
        <w:pStyle w:val="26"/>
        <w:rPr>
          <w:color w:val="auto"/>
        </w:rPr>
      </w:pPr>
    </w:p>
    <w:p w14:paraId="3C598CB5">
      <w:pPr>
        <w:pStyle w:val="26"/>
        <w:rPr>
          <w:color w:val="auto"/>
        </w:rPr>
        <w:sectPr>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upperRoman"/>
          <w:cols w:space="425" w:num="1"/>
          <w:docGrid w:type="lines" w:linePitch="312" w:charSpace="0"/>
        </w:sectPr>
      </w:pPr>
    </w:p>
    <w:p w14:paraId="5277E1CE">
      <w:pPr>
        <w:pStyle w:val="2"/>
        <w:rPr>
          <w:color w:val="auto"/>
        </w:rPr>
      </w:pPr>
      <w:bookmarkStart w:id="10" w:name="_Toc22732"/>
      <w:bookmarkStart w:id="11" w:name="_Toc27867"/>
      <w:bookmarkStart w:id="12" w:name="_Hlk49847950"/>
      <w:r>
        <w:rPr>
          <w:rFonts w:hint="eastAsia"/>
          <w:color w:val="auto"/>
        </w:rPr>
        <w:t>前言</w:t>
      </w:r>
      <w:bookmarkEnd w:id="10"/>
      <w:bookmarkEnd w:id="11"/>
    </w:p>
    <w:p w14:paraId="5C1E84CF">
      <w:pPr>
        <w:pStyle w:val="3"/>
        <w:numPr>
          <w:ilvl w:val="1"/>
          <w:numId w:val="2"/>
        </w:numPr>
        <w:rPr>
          <w:color w:val="auto"/>
        </w:rPr>
      </w:pPr>
      <w:bookmarkStart w:id="13" w:name="_Toc1832"/>
      <w:bookmarkStart w:id="14" w:name="_Toc9341"/>
      <w:r>
        <w:rPr>
          <w:rFonts w:hint="eastAsia"/>
          <w:color w:val="auto"/>
        </w:rPr>
        <w:t>项目由来</w:t>
      </w:r>
      <w:bookmarkEnd w:id="13"/>
      <w:bookmarkEnd w:id="14"/>
    </w:p>
    <w:p w14:paraId="1A36E250">
      <w:pPr>
        <w:rPr>
          <w:rFonts w:hint="eastAsia"/>
          <w:color w:val="auto"/>
          <w:lang w:val="en-US" w:eastAsia="zh-CN"/>
        </w:rPr>
      </w:pPr>
      <w:r>
        <w:rPr>
          <w:rFonts w:hint="eastAsia"/>
          <w:color w:val="auto"/>
          <w:lang w:val="en-US" w:eastAsia="zh-CN"/>
        </w:rPr>
        <w:t>山西运城制版集团股份有限公司是全球最大的凹印版辊生产企业，目前在国内外拥有分公司近百家。近年公司开始跨行业发展，先后投资了塑业、镁业、铝业、模具、凹印设备制造、制版设备制造、凹版印刷等项目，建成了数10家与制版相关的跨行业公司。多年来，公司先后跨入全国经济效益500强和全国轻工系统200强企业之列，连年被评为省、地先进企业，国家高新技术企业，AAA级信用企业，纳税先进企业。</w:t>
      </w:r>
    </w:p>
    <w:p w14:paraId="39A6FF8B">
      <w:pPr>
        <w:rPr>
          <w:rFonts w:hint="eastAsia"/>
          <w:color w:val="auto"/>
          <w:lang w:val="en-US" w:eastAsia="zh-CN"/>
        </w:rPr>
      </w:pPr>
      <w:r>
        <w:rPr>
          <w:rFonts w:hint="eastAsia"/>
          <w:color w:val="auto"/>
          <w:lang w:val="en-US" w:eastAsia="zh-CN"/>
        </w:rPr>
        <w:t>昆山运城压纹制版有限公司成立于2003年，为山西运城制版集团股份有限公司投资的位于昆山地区的子公司，经营范围为：非金属制品模具设计、制造；销售自产产品；货物及技术的进出口业务。（依法须经批准的项目，经相关部门批准后方可开展经营活动）。2004年2月5日经苏环建[2004]79号文批准，于现址昆山市花桥镇逢善路358号，建设压纹版辊生产项目，目前年生产销售2500支版辊（其中750支需要电镀，1750支不需要电镀）。</w:t>
      </w:r>
    </w:p>
    <w:p w14:paraId="2480F26A">
      <w:pPr>
        <w:rPr>
          <w:rFonts w:hint="eastAsia"/>
          <w:color w:val="auto"/>
          <w:lang w:val="en-US" w:eastAsia="zh-CN"/>
        </w:rPr>
      </w:pPr>
      <w:r>
        <w:rPr>
          <w:rFonts w:hint="eastAsia"/>
          <w:color w:val="auto"/>
          <w:lang w:val="en-US" w:eastAsia="zh-CN"/>
        </w:rPr>
        <w:t>2019年，昆山运城压纹制版有限公司为提高产品品质及精度，增加喷砂工艺及部分加工设备对现有激光雕刻生产线进行改造，同时产品方案保持不变，仍为年生产销售2500支版辊（其中750支需要电镀，1750支不需要电镀）。委托编制环评，并于2019年10月14日取得昆山生态环境局批复，同时在2020年完成自主验收。</w:t>
      </w:r>
    </w:p>
    <w:p w14:paraId="5BE2A2EA">
      <w:pPr>
        <w:rPr>
          <w:rFonts w:hint="default"/>
          <w:color w:val="FF0000"/>
          <w:highlight w:val="yellow"/>
          <w:lang w:val="en-US" w:eastAsia="zh-CN"/>
        </w:rPr>
      </w:pPr>
      <w:r>
        <w:rPr>
          <w:rFonts w:hint="eastAsia"/>
          <w:color w:val="auto"/>
          <w:lang w:val="en-US" w:eastAsia="zh-CN"/>
        </w:rPr>
        <w:t>2024年，昆山运城压纹制版有限公司新增投资4000万元，建设“激光雕刻绿色智能化生产线项目”，通过优化电镀线自动化程度，提高单个产品的生产效率，同时新增微精版的生产。此次技改扩建完成后，全厂年产压纹版辊3250支、微精版8500支。项目委托编制环评，于2024年11月2日取得苏州市生态环境局批复（苏环建〔2024</w:t>
      </w:r>
      <w:r>
        <w:rPr>
          <w:rFonts w:hint="eastAsia" w:ascii="仿宋_GB2312" w:hAnsi="仿宋_GB2312" w:eastAsia="仿宋_GB2312" w:cs="仿宋_GB2312"/>
          <w:color w:val="auto"/>
          <w:lang w:val="en-US" w:eastAsia="zh-CN"/>
        </w:rPr>
        <w:t>〕</w:t>
      </w:r>
      <w:r>
        <w:rPr>
          <w:rFonts w:hint="eastAsia"/>
          <w:color w:val="auto"/>
          <w:lang w:val="en-US" w:eastAsia="zh-CN"/>
        </w:rPr>
        <w:t>83第0222号），</w:t>
      </w:r>
      <w:r>
        <w:rPr>
          <w:rFonts w:hint="eastAsia"/>
          <w:color w:val="auto"/>
          <w:highlight w:val="none"/>
          <w:lang w:val="en-US" w:eastAsia="zh-CN"/>
        </w:rPr>
        <w:t>并于2025年9月完成一阶段自主验收（微精版机加工设备暂未建设，目前，该工段进行委外加工）。</w:t>
      </w:r>
    </w:p>
    <w:p w14:paraId="738A51D4">
      <w:pPr>
        <w:rPr>
          <w:rFonts w:hint="eastAsia"/>
          <w:color w:val="auto"/>
          <w:lang w:val="en-US" w:eastAsia="zh-CN"/>
        </w:rPr>
      </w:pPr>
      <w:r>
        <w:rPr>
          <w:rFonts w:hint="eastAsia"/>
          <w:color w:val="auto"/>
          <w:lang w:val="en-US" w:eastAsia="zh-CN"/>
        </w:rPr>
        <w:t>2025年，昆山运城压纹制版有限公司更名为“苏州昆运制版有限公司”。为迎合市场及经济技术的发展，经市场调研，拟</w:t>
      </w:r>
      <w:r>
        <w:rPr>
          <w:rFonts w:hint="eastAsia"/>
          <w:color w:val="auto"/>
          <w:highlight w:val="none"/>
          <w:lang w:val="en-US" w:eastAsia="zh-CN"/>
        </w:rPr>
        <w:t>新增投资14000万元，建设“苏州昆运制版有限公司绿色智能化制版项目”。本次建设拆除1#、2#厂房，改扩建为4#厂房，占地面积5100平方米，建筑面积共20400平方米，建成后拟淘汰激光机、车床等设备；新增8条智能化制版生产线（包含CNC机床、蚀刻线、电子雕刻机、激光切割机、电镀工序等）以及配套机加工设备等；主要原辅材料为钢管、钢板、铜球、铬酐等；主要生产工艺为机加工、雕刻、腐蚀、电镀等。此次项目建设完成后，全厂产品方案为压纹版辊3250支/a、微精版8500支/a、凹印版284400支/a、磁性模切刀版12000张/a、热压模板6000张/a。</w:t>
      </w:r>
    </w:p>
    <w:p w14:paraId="149EAA11">
      <w:pPr>
        <w:rPr>
          <w:color w:val="auto"/>
        </w:rPr>
      </w:pPr>
      <w:r>
        <w:rPr>
          <w:rFonts w:hint="eastAsia"/>
          <w:color w:val="auto"/>
          <w:lang w:val="en-US" w:eastAsia="zh-CN"/>
        </w:rPr>
        <w:t>根据《中华人民共和国环境保护法》《中华人民共和国环境影响评价法》《建设项目环境保护管理条例》等文件的规定，建设项目应当在开工建设前进行环境影响评价。为此，因此，苏州昆运制版有限公司委托南京大学环境规划设计研究院集团股份公司对该项目进行环境影响评价工作。根据《建设项目环境影响评价分类管理名录》（2021年版），项目产品属于“三十二、专用设备制造业35、化工、木材、非金属加工专用设备制造352”，“有电镀工艺的”，应编制环境影响报告书。因此，本项目应编制环境影响报告书。我</w:t>
      </w:r>
      <w:r>
        <w:rPr>
          <w:rFonts w:hint="eastAsia"/>
          <w:color w:val="auto"/>
          <w:lang w:eastAsia="zh-CN"/>
        </w:rPr>
        <w:t>单</w:t>
      </w:r>
      <w:r>
        <w:rPr>
          <w:rFonts w:hint="eastAsia"/>
          <w:color w:val="auto"/>
          <w:highlight w:val="none"/>
          <w:lang w:eastAsia="zh-CN"/>
        </w:rPr>
        <w:t>位接受委托后，对项目进行了现场踏勘、资料收集等工作，编制完成了《苏州昆运制版有限公司绿色智能化制版项目环境影响报告书》</w:t>
      </w:r>
      <w:r>
        <w:rPr>
          <w:rFonts w:hint="eastAsia"/>
          <w:color w:val="auto"/>
          <w:highlight w:val="none"/>
        </w:rPr>
        <w:t>。</w:t>
      </w:r>
    </w:p>
    <w:p w14:paraId="25EF1163">
      <w:pPr>
        <w:pStyle w:val="3"/>
        <w:rPr>
          <w:color w:val="auto"/>
        </w:rPr>
      </w:pPr>
      <w:bookmarkStart w:id="15" w:name="_Toc18542"/>
      <w:bookmarkStart w:id="16" w:name="_Toc6890"/>
      <w:r>
        <w:rPr>
          <w:rFonts w:hint="eastAsia"/>
          <w:color w:val="auto"/>
        </w:rPr>
        <w:t>项目特点</w:t>
      </w:r>
      <w:bookmarkEnd w:id="15"/>
      <w:bookmarkEnd w:id="16"/>
    </w:p>
    <w:p w14:paraId="19FC0523">
      <w:pPr>
        <w:rPr>
          <w:rFonts w:hint="eastAsia"/>
          <w:color w:val="auto"/>
        </w:rPr>
      </w:pPr>
      <w:r>
        <w:rPr>
          <w:rFonts w:hint="eastAsia"/>
          <w:color w:val="auto"/>
        </w:rPr>
        <w:t>本项目选址于</w:t>
      </w:r>
      <w:r>
        <w:rPr>
          <w:rFonts w:hint="eastAsia"/>
          <w:color w:val="auto"/>
          <w:lang w:eastAsia="zh-CN"/>
        </w:rPr>
        <w:t>昆山市花桥镇逢善路358号</w:t>
      </w:r>
      <w:r>
        <w:rPr>
          <w:rFonts w:hint="eastAsia"/>
          <w:color w:val="auto"/>
        </w:rPr>
        <w:t>现有厂区内，属于C3525</w:t>
      </w:r>
      <w:r>
        <w:rPr>
          <w:rFonts w:hint="eastAsia"/>
          <w:color w:val="auto"/>
          <w:lang w:val="en-US" w:eastAsia="zh-CN"/>
        </w:rPr>
        <w:t xml:space="preserve"> </w:t>
      </w:r>
      <w:r>
        <w:rPr>
          <w:rFonts w:hint="eastAsia"/>
          <w:color w:val="auto"/>
        </w:rPr>
        <w:t>模具制造。项目具有如下特点：</w:t>
      </w:r>
    </w:p>
    <w:p w14:paraId="69501F63">
      <w:pPr>
        <w:rPr>
          <w:rFonts w:hint="eastAsia"/>
          <w:color w:val="auto"/>
          <w:lang w:val="en-US" w:eastAsia="zh-CN"/>
        </w:rPr>
      </w:pPr>
      <w:r>
        <w:rPr>
          <w:rFonts w:hint="eastAsia"/>
          <w:color w:val="auto"/>
        </w:rPr>
        <w:t>（1）本项目</w:t>
      </w:r>
      <w:r>
        <w:rPr>
          <w:rFonts w:hint="eastAsia"/>
          <w:color w:val="auto"/>
          <w:lang w:val="en-US" w:eastAsia="zh-CN"/>
        </w:rPr>
        <w:t>建设拆除1#、2#车间后，利用拆除原址和北侧料场新建4#厂房。原拆除车间内生产线淘汰更新激光机、车床、研磨机、喷砂机、喷胶机、打样机等设备后迁入新建4#厂房内，现有项目生产线仅进行设备淘汰更新，产能、工艺流程、原辅料均不变。</w:t>
      </w:r>
    </w:p>
    <w:p w14:paraId="6D4370A0">
      <w:pPr>
        <w:rPr>
          <w:rFonts w:hint="eastAsia"/>
          <w:color w:val="auto"/>
          <w:lang w:val="en-US" w:eastAsia="zh-CN"/>
        </w:rPr>
      </w:pPr>
      <w:r>
        <w:rPr>
          <w:rFonts w:hint="eastAsia"/>
          <w:color w:val="auto"/>
          <w:lang w:val="en-US" w:eastAsia="zh-CN"/>
        </w:rPr>
        <w:t>（2）</w:t>
      </w:r>
      <w:r>
        <w:rPr>
          <w:rFonts w:hint="eastAsia"/>
          <w:b/>
          <w:bCs/>
          <w:color w:val="auto"/>
          <w:lang w:val="en-US" w:eastAsia="zh-CN"/>
        </w:rPr>
        <w:t>本项目涉及电镀工序，生产废水经厂内自建污水处理站处理后全部回用，不外排</w:t>
      </w:r>
      <w:r>
        <w:rPr>
          <w:rFonts w:hint="eastAsia"/>
          <w:color w:val="auto"/>
          <w:lang w:val="en-US" w:eastAsia="zh-CN"/>
        </w:rPr>
        <w:t>；生活污水接入市政污水管网，进入昆山建邦环境投资有限公司花桥污水处理厂处理。</w:t>
      </w:r>
    </w:p>
    <w:p w14:paraId="31EC4EE0">
      <w:pPr>
        <w:rPr>
          <w:rFonts w:hint="default"/>
          <w:color w:val="auto"/>
          <w:lang w:val="en-US" w:eastAsia="zh-CN"/>
        </w:rPr>
      </w:pPr>
      <w:r>
        <w:rPr>
          <w:rFonts w:hint="eastAsia"/>
          <w:color w:val="auto"/>
          <w:lang w:val="en-US" w:eastAsia="zh-CN"/>
        </w:rPr>
        <w:t>（3）项目采用节水设施及业内先进工艺，清洁生产达到国际清洁生产领先水平。</w:t>
      </w:r>
    </w:p>
    <w:p w14:paraId="784A81FD">
      <w:pPr>
        <w:pStyle w:val="3"/>
        <w:rPr>
          <w:color w:val="auto"/>
        </w:rPr>
      </w:pPr>
      <w:bookmarkStart w:id="17" w:name="_Toc15296"/>
      <w:bookmarkStart w:id="18" w:name="_Toc8155"/>
      <w:r>
        <w:rPr>
          <w:rFonts w:hint="eastAsia"/>
          <w:color w:val="auto"/>
        </w:rPr>
        <w:t>环境影响评价过程</w:t>
      </w:r>
      <w:bookmarkEnd w:id="17"/>
      <w:bookmarkEnd w:id="18"/>
    </w:p>
    <w:p w14:paraId="7A194801">
      <w:pPr>
        <w:rPr>
          <w:color w:val="auto"/>
        </w:rPr>
      </w:pPr>
      <w:r>
        <w:rPr>
          <w:rFonts w:hint="eastAsia"/>
          <w:color w:val="auto"/>
        </w:rPr>
        <w:t>根据《环境影响评价技术导则-总纲》（HJ2.1-2016）等相关技术规范的要求，本次评价技术路线见</w:t>
      </w:r>
      <w:r>
        <w:rPr>
          <w:rFonts w:hint="eastAsia"/>
          <w:color w:val="auto"/>
        </w:rPr>
        <w:fldChar w:fldCharType="begin"/>
      </w:r>
      <w:r>
        <w:rPr>
          <w:rFonts w:hint="eastAsia"/>
          <w:color w:val="auto"/>
        </w:rPr>
        <w:instrText xml:space="preserve"> REF _Ref29433 \h </w:instrText>
      </w:r>
      <w:r>
        <w:rPr>
          <w:rFonts w:hint="eastAsia"/>
          <w:color w:val="auto"/>
        </w:rPr>
        <w:fldChar w:fldCharType="separate"/>
      </w:r>
      <w:r>
        <w:rPr>
          <w:color w:val="auto"/>
        </w:rPr>
        <w:t>图</w:t>
      </w:r>
      <w:r>
        <w:rPr>
          <w:color w:val="auto"/>
        </w:rPr>
        <w:fldChar w:fldCharType="begin"/>
      </w:r>
      <w:r>
        <w:rPr>
          <w:color w:val="auto"/>
        </w:rPr>
        <w:instrText xml:space="preserve"> STYLEREF 2 \s </w:instrText>
      </w:r>
      <w:r>
        <w:rPr>
          <w:color w:val="auto"/>
        </w:rPr>
        <w:fldChar w:fldCharType="separate"/>
      </w:r>
      <w:r>
        <w:rPr>
          <w:color w:val="auto"/>
        </w:rPr>
        <w:t>1.3</w:t>
      </w:r>
      <w:r>
        <w:rPr>
          <w:color w:val="auto"/>
        </w:rPr>
        <w:fldChar w:fldCharType="end"/>
      </w:r>
      <w:r>
        <w:rPr>
          <w:color w:val="auto"/>
        </w:rPr>
        <w:noBreakHyphen/>
      </w:r>
      <w:r>
        <w:rPr>
          <w:color w:val="auto"/>
        </w:rPr>
        <w:t>1</w:t>
      </w:r>
      <w:r>
        <w:rPr>
          <w:rFonts w:hint="eastAsia"/>
          <w:color w:val="auto"/>
        </w:rPr>
        <w:fldChar w:fldCharType="end"/>
      </w:r>
      <w:r>
        <w:rPr>
          <w:rFonts w:hint="eastAsia"/>
          <w:color w:val="auto"/>
        </w:rPr>
        <w:t>。</w:t>
      </w:r>
    </w:p>
    <w:p w14:paraId="36EC4906">
      <w:pPr>
        <w:pStyle w:val="26"/>
        <w:bidi w:val="0"/>
        <w:rPr>
          <w:color w:val="auto"/>
        </w:rPr>
      </w:pPr>
      <w:r>
        <w:rPr>
          <w:rFonts w:cs="Times New Roman"/>
        </w:rPr>
        <w:object>
          <v:shape id="_x0000_i1025" o:spt="75" type="#_x0000_t75" style="height:573pt;width:390pt;" o:ole="t" filled="f" o:preferrelative="t" stroked="f" coordsize="21600,21600">
            <v:path/>
            <v:fill on="f" focussize="0,0"/>
            <v:stroke on="f" joinstyle="miter"/>
            <v:imagedata r:id="rId15" o:title=""/>
            <o:lock v:ext="edit" aspectratio="t"/>
            <w10:wrap type="none"/>
            <w10:anchorlock/>
          </v:shape>
          <o:OLEObject Type="Embed" ProgID="Visio.Drawing.15" ShapeID="_x0000_i1025" DrawAspect="Content" ObjectID="_1468075725" r:id="rId14">
            <o:LockedField>false</o:LockedField>
          </o:OLEObject>
        </w:object>
      </w:r>
    </w:p>
    <w:p w14:paraId="21BA2BFF">
      <w:pPr>
        <w:pStyle w:val="25"/>
        <w:rPr>
          <w:color w:val="auto"/>
        </w:rPr>
      </w:pPr>
      <w:bookmarkStart w:id="19" w:name="_Ref29433"/>
      <w:r>
        <w:rPr>
          <w:color w:val="auto"/>
        </w:rPr>
        <w:t>图</w:t>
      </w:r>
      <w:r>
        <w:rPr>
          <w:color w:val="auto"/>
        </w:rPr>
        <w:fldChar w:fldCharType="begin"/>
      </w:r>
      <w:r>
        <w:rPr>
          <w:color w:val="auto"/>
        </w:rPr>
        <w:instrText xml:space="preserve"> STYLEREF 2 \s </w:instrText>
      </w:r>
      <w:r>
        <w:rPr>
          <w:color w:val="auto"/>
        </w:rPr>
        <w:fldChar w:fldCharType="separate"/>
      </w:r>
      <w:r>
        <w:rPr>
          <w:color w:val="auto"/>
        </w:rPr>
        <w:t>1.3</w:t>
      </w:r>
      <w:r>
        <w:rPr>
          <w:color w:val="auto"/>
        </w:rPr>
        <w:fldChar w:fldCharType="end"/>
      </w:r>
      <w:r>
        <w:rPr>
          <w:color w:val="auto"/>
        </w:rPr>
        <w:noBreakHyphen/>
      </w:r>
      <w:r>
        <w:rPr>
          <w:color w:val="auto"/>
        </w:rPr>
        <w:fldChar w:fldCharType="begin"/>
      </w:r>
      <w:r>
        <w:rPr>
          <w:color w:val="auto"/>
        </w:rPr>
        <w:instrText xml:space="preserve"> SEQ 图 \* ARABIC \s 2 </w:instrText>
      </w:r>
      <w:r>
        <w:rPr>
          <w:color w:val="auto"/>
        </w:rPr>
        <w:fldChar w:fldCharType="separate"/>
      </w:r>
      <w:r>
        <w:rPr>
          <w:color w:val="auto"/>
        </w:rPr>
        <w:t>1</w:t>
      </w:r>
      <w:r>
        <w:rPr>
          <w:color w:val="auto"/>
        </w:rPr>
        <w:fldChar w:fldCharType="end"/>
      </w:r>
      <w:bookmarkEnd w:id="19"/>
      <w:r>
        <w:rPr>
          <w:rFonts w:hint="eastAsia"/>
          <w:color w:val="auto"/>
        </w:rPr>
        <w:t>环境影响评价工作程序图</w:t>
      </w:r>
    </w:p>
    <w:p w14:paraId="54359ECA">
      <w:pPr>
        <w:rPr>
          <w:color w:val="auto"/>
        </w:rPr>
      </w:pPr>
      <w:bookmarkStart w:id="20" w:name="_Toc10188"/>
      <w:r>
        <w:rPr>
          <w:rFonts w:hint="eastAsia"/>
          <w:color w:val="auto"/>
        </w:rPr>
        <w:br w:type="page"/>
      </w:r>
    </w:p>
    <w:p w14:paraId="7E368DAE">
      <w:pPr>
        <w:pStyle w:val="3"/>
        <w:rPr>
          <w:color w:val="auto"/>
        </w:rPr>
      </w:pPr>
      <w:bookmarkStart w:id="21" w:name="_Toc22475"/>
      <w:r>
        <w:rPr>
          <w:rFonts w:hint="eastAsia"/>
          <w:color w:val="auto"/>
        </w:rPr>
        <w:t>分析判定相关情况</w:t>
      </w:r>
      <w:bookmarkEnd w:id="20"/>
      <w:bookmarkEnd w:id="21"/>
    </w:p>
    <w:p w14:paraId="0DE64752">
      <w:pPr>
        <w:pStyle w:val="4"/>
        <w:rPr>
          <w:color w:val="auto"/>
        </w:rPr>
      </w:pPr>
      <w:bookmarkStart w:id="22" w:name="_Toc3916"/>
      <w:bookmarkStart w:id="23" w:name="_Toc7518"/>
      <w:r>
        <w:rPr>
          <w:rFonts w:hint="eastAsia"/>
          <w:color w:val="auto"/>
        </w:rPr>
        <w:t>产业政策相符性分析</w:t>
      </w:r>
      <w:bookmarkEnd w:id="22"/>
      <w:bookmarkEnd w:id="23"/>
    </w:p>
    <w:p w14:paraId="4AF28956">
      <w:pPr>
        <w:rPr>
          <w:rFonts w:hint="eastAsia"/>
          <w:color w:val="auto"/>
        </w:rPr>
      </w:pPr>
      <w:r>
        <w:rPr>
          <w:rFonts w:hint="eastAsia"/>
          <w:color w:val="auto"/>
        </w:rPr>
        <w:t>（1）根据《国民经济行业分类》（GB/T4754-2017），本项目产品属于</w:t>
      </w:r>
      <w:r>
        <w:rPr>
          <w:rFonts w:hint="eastAsia"/>
          <w:color w:val="auto"/>
          <w:lang w:val="en-US" w:eastAsia="zh-CN"/>
        </w:rPr>
        <w:t>[</w:t>
      </w:r>
      <w:r>
        <w:rPr>
          <w:rFonts w:hint="eastAsia"/>
          <w:color w:val="auto"/>
        </w:rPr>
        <w:t>C3525]模具制造。对照《产业结构调整指导目录（2024年本）》，本项目产品不属于其中鼓励类、限制类和淘汰类，为允许类项目。</w:t>
      </w:r>
    </w:p>
    <w:p w14:paraId="71A3C665">
      <w:pPr>
        <w:rPr>
          <w:rFonts w:hint="eastAsia"/>
          <w:color w:val="auto"/>
        </w:rPr>
      </w:pPr>
      <w:r>
        <w:rPr>
          <w:rFonts w:hint="eastAsia"/>
          <w:color w:val="auto"/>
        </w:rPr>
        <w:t>（2）对照《市场准入负面清单（202</w:t>
      </w:r>
      <w:r>
        <w:rPr>
          <w:rFonts w:hint="eastAsia"/>
          <w:color w:val="auto"/>
          <w:lang w:val="en-US" w:eastAsia="zh-CN"/>
        </w:rPr>
        <w:t>5</w:t>
      </w:r>
      <w:r>
        <w:rPr>
          <w:rFonts w:hint="eastAsia"/>
          <w:color w:val="auto"/>
        </w:rPr>
        <w:t>年版）》，本项目不属于市场准入负面清单中禁止准入的项目。</w:t>
      </w:r>
    </w:p>
    <w:p w14:paraId="3F43CD6F">
      <w:pPr>
        <w:rPr>
          <w:rFonts w:hint="eastAsia"/>
          <w:color w:val="auto"/>
        </w:rPr>
      </w:pPr>
      <w:r>
        <w:rPr>
          <w:rFonts w:hint="eastAsia"/>
          <w:color w:val="auto"/>
        </w:rPr>
        <w:t>（3）对照</w:t>
      </w:r>
      <w:r>
        <w:rPr>
          <w:rFonts w:hint="eastAsia"/>
          <w:color w:val="auto"/>
          <w:lang w:val="en-US" w:eastAsia="zh-CN"/>
        </w:rPr>
        <w:t>《</w:t>
      </w:r>
      <w:r>
        <w:rPr>
          <w:rFonts w:hint="eastAsia"/>
          <w:color w:val="auto"/>
        </w:rPr>
        <w:t>自然资源要素支撑产业高质量发展指导目录</w:t>
      </w:r>
      <w:r>
        <w:rPr>
          <w:rFonts w:hint="eastAsia"/>
          <w:color w:val="auto"/>
          <w:lang w:val="en-US" w:eastAsia="zh-CN"/>
        </w:rPr>
        <w:t>》</w:t>
      </w:r>
      <w:r>
        <w:rPr>
          <w:rFonts w:hint="eastAsia"/>
          <w:color w:val="auto"/>
        </w:rPr>
        <w:t>（2024年本）</w:t>
      </w:r>
      <w:r>
        <w:rPr>
          <w:rFonts w:hint="eastAsia"/>
          <w:color w:val="auto"/>
          <w:lang w:eastAsia="zh-CN"/>
        </w:rPr>
        <w:t>、</w:t>
      </w:r>
      <w:r>
        <w:rPr>
          <w:rFonts w:hint="eastAsia"/>
          <w:color w:val="auto"/>
        </w:rPr>
        <w:t>《苏州市产业发展导向目录（2007年本）》（苏府[2007]129号）</w:t>
      </w:r>
      <w:r>
        <w:rPr>
          <w:rFonts w:hint="eastAsia"/>
          <w:color w:val="auto"/>
          <w:lang w:eastAsia="zh-CN"/>
        </w:rPr>
        <w:t>、</w:t>
      </w:r>
      <w:r>
        <w:rPr>
          <w:rFonts w:hint="eastAsia"/>
          <w:color w:val="auto"/>
          <w:lang w:val="en-US" w:eastAsia="zh-CN"/>
        </w:rPr>
        <w:t>《</w:t>
      </w:r>
      <w:r>
        <w:rPr>
          <w:rFonts w:hint="eastAsia"/>
          <w:lang w:eastAsia="zh-CN"/>
        </w:rPr>
        <w:t>江苏省产业结构调整限制、淘汰和禁止目录</w:t>
      </w:r>
      <w:r>
        <w:rPr>
          <w:rFonts w:hint="eastAsia"/>
          <w:color w:val="auto"/>
          <w:lang w:val="en-US" w:eastAsia="zh-CN"/>
        </w:rPr>
        <w:t>》</w:t>
      </w:r>
      <w:r>
        <w:rPr>
          <w:rFonts w:hint="eastAsia"/>
          <w:lang w:eastAsia="zh-CN"/>
        </w:rPr>
        <w:t>（苏办发[2018]32号）、</w:t>
      </w:r>
      <w:r>
        <w:rPr>
          <w:rFonts w:hint="eastAsia"/>
          <w:color w:val="auto"/>
          <w:lang w:val="en-US" w:eastAsia="zh-CN"/>
        </w:rPr>
        <w:t>《江苏省太湖流域禁止和限制的产业产品目录（2024年本）》，</w:t>
      </w:r>
      <w:r>
        <w:rPr>
          <w:rFonts w:hint="eastAsia"/>
          <w:color w:val="auto"/>
        </w:rPr>
        <w:t>本项目不属于其中</w:t>
      </w:r>
      <w:r>
        <w:rPr>
          <w:rFonts w:hint="eastAsia"/>
          <w:color w:val="auto"/>
          <w:lang w:val="en-US" w:eastAsia="zh-CN"/>
        </w:rPr>
        <w:t>限制类、淘汰类、禁止类</w:t>
      </w:r>
      <w:r>
        <w:rPr>
          <w:rFonts w:hint="eastAsia"/>
          <w:color w:val="auto"/>
        </w:rPr>
        <w:t>项目。</w:t>
      </w:r>
    </w:p>
    <w:p w14:paraId="69A1B79F">
      <w:pPr>
        <w:rPr>
          <w:rFonts w:hint="default"/>
          <w:color w:val="auto"/>
          <w:lang w:val="en-US" w:eastAsia="zh-CN"/>
        </w:rPr>
      </w:pPr>
      <w:r>
        <w:rPr>
          <w:rFonts w:hint="eastAsia"/>
          <w:color w:val="auto"/>
        </w:rPr>
        <w:t>（4）对照《环境保护综合名录（2021年版）》，本项目产品不属于“高污染、高环境风险”产品名录</w:t>
      </w:r>
      <w:r>
        <w:rPr>
          <w:rFonts w:hint="eastAsia"/>
          <w:color w:val="auto"/>
          <w:lang w:eastAsia="zh-CN"/>
        </w:rPr>
        <w:t>；</w:t>
      </w:r>
      <w:r>
        <w:rPr>
          <w:rFonts w:hint="eastAsia"/>
          <w:color w:val="auto"/>
          <w:lang w:val="en-US" w:eastAsia="zh-CN"/>
        </w:rPr>
        <w:t>对照《江苏省“两高”项目管理目录（2025年版）》本项目产品不属于“高耗能、高排放”产品名录。</w:t>
      </w:r>
    </w:p>
    <w:p w14:paraId="759E8475">
      <w:pPr>
        <w:rPr>
          <w:rFonts w:hint="eastAsia"/>
          <w:color w:val="auto"/>
        </w:rPr>
      </w:pPr>
      <w:r>
        <w:rPr>
          <w:rFonts w:hint="eastAsia"/>
          <w:color w:val="auto"/>
        </w:rPr>
        <w:t>（</w:t>
      </w:r>
      <w:r>
        <w:rPr>
          <w:rFonts w:hint="eastAsia"/>
          <w:color w:val="auto"/>
          <w:lang w:val="en-US" w:eastAsia="zh-CN"/>
        </w:rPr>
        <w:t>5</w:t>
      </w:r>
      <w:r>
        <w:rPr>
          <w:rFonts w:hint="eastAsia"/>
          <w:color w:val="auto"/>
        </w:rPr>
        <w:t>）与《苏州市“十四五”淘汰落后产能工作实施方案》相符性分析</w:t>
      </w:r>
    </w:p>
    <w:p w14:paraId="3C9E1860">
      <w:pPr>
        <w:rPr>
          <w:rFonts w:hint="eastAsia"/>
          <w:color w:val="auto"/>
        </w:rPr>
      </w:pPr>
      <w:r>
        <w:rPr>
          <w:rFonts w:hint="eastAsia"/>
          <w:color w:val="auto"/>
        </w:rPr>
        <w:t>本项目</w:t>
      </w:r>
      <w:r>
        <w:rPr>
          <w:rFonts w:hint="eastAsia"/>
          <w:color w:val="auto"/>
          <w:lang w:val="en-US" w:eastAsia="zh-CN"/>
        </w:rPr>
        <w:t>产品为凹印版、磁性模切刀版和热压模板</w:t>
      </w:r>
      <w:r>
        <w:rPr>
          <w:rFonts w:hint="eastAsia"/>
          <w:color w:val="auto"/>
        </w:rPr>
        <w:t>，属于模具制造行业，不属于能耗监察执法重点行业领域（钢铁、石化、化工、焦化、煤化工、水泥、平板玻璃、有色、纺织、造纸、数据中心等），不属于环保执法监管重点行业领域（钢铁、煤电、水泥、有色、平板玻璃、石化、化工、焦化等）。本项目严格执行环境保护法律法规，本项目属于排污许可证重点管理，建设单位应当在项目投入生产或使用并产生实际排污行为之前完善排污许可证手续，做到持证排污、按证排污。本项目严格按照《固体废物污染环境防治法》要求，做好危险废物全生命周期的管理；对照《产业结构调整指导目录（2024年本）》、《江苏省产业结构调整限制、淘汰和禁止目录》，本项目不属于落后生产工艺和装备。综上，本项目实施符合《苏州市“十四五 ”淘汰落后产能工作实施方案》要求。</w:t>
      </w:r>
    </w:p>
    <w:p w14:paraId="4953F97C">
      <w:pPr>
        <w:rPr>
          <w:color w:val="auto"/>
        </w:rPr>
      </w:pPr>
      <w:r>
        <w:rPr>
          <w:rFonts w:hint="eastAsia"/>
          <w:color w:val="auto"/>
        </w:rPr>
        <w:t>综上所述，</w:t>
      </w:r>
      <w:r>
        <w:rPr>
          <w:rFonts w:hint="eastAsia"/>
          <w:color w:val="auto"/>
          <w:lang w:val="en-US" w:eastAsia="zh-CN"/>
        </w:rPr>
        <w:t>本</w:t>
      </w:r>
      <w:r>
        <w:rPr>
          <w:rFonts w:hint="eastAsia"/>
          <w:color w:val="auto"/>
        </w:rPr>
        <w:t>项目的建设符合国家和地方的产业政策要求。</w:t>
      </w:r>
    </w:p>
    <w:p w14:paraId="71DEB1A4">
      <w:pPr>
        <w:pStyle w:val="4"/>
        <w:rPr>
          <w:color w:val="auto"/>
        </w:rPr>
      </w:pPr>
      <w:bookmarkStart w:id="24" w:name="_Toc219793666"/>
      <w:bookmarkStart w:id="25" w:name="_Toc221120311"/>
      <w:bookmarkStart w:id="26" w:name="_Toc216171301"/>
      <w:bookmarkStart w:id="27" w:name="_Toc7373"/>
      <w:bookmarkStart w:id="28" w:name="_Toc32623"/>
      <w:r>
        <w:rPr>
          <w:rFonts w:hint="eastAsia"/>
          <w:color w:val="auto"/>
        </w:rPr>
        <w:t>生态环境分</w:t>
      </w:r>
      <w:r>
        <w:rPr>
          <w:rFonts w:hint="eastAsia"/>
          <w:color w:val="auto"/>
          <w:lang w:val="en-US" w:eastAsia="zh-CN"/>
        </w:rPr>
        <w:t>区管控要求</w:t>
      </w:r>
      <w:bookmarkEnd w:id="24"/>
      <w:bookmarkEnd w:id="25"/>
      <w:bookmarkEnd w:id="26"/>
      <w:r>
        <w:rPr>
          <w:rFonts w:hint="eastAsia"/>
          <w:color w:val="auto"/>
        </w:rPr>
        <w:t>对照分析</w:t>
      </w:r>
      <w:bookmarkEnd w:id="27"/>
      <w:bookmarkEnd w:id="28"/>
    </w:p>
    <w:p w14:paraId="0751CB34">
      <w:pPr>
        <w:rPr>
          <w:color w:val="auto"/>
        </w:rPr>
      </w:pPr>
      <w:r>
        <w:rPr>
          <w:rFonts w:hint="eastAsia"/>
          <w:color w:val="auto"/>
        </w:rPr>
        <w:t>（1）生态红线</w:t>
      </w:r>
    </w:p>
    <w:p w14:paraId="4EABC173">
      <w:pPr>
        <w:rPr>
          <w:rFonts w:hint="eastAsia"/>
          <w:color w:val="auto"/>
        </w:rPr>
      </w:pPr>
      <w:r>
        <w:rPr>
          <w:rFonts w:hint="eastAsia"/>
          <w:color w:val="auto"/>
        </w:rPr>
        <w:t>根据《昆山市国土空间总体规划（2021-2035年）》中“三区三线”划定成果，与本项目距离最近的为江苏天福国家湿地公园，位于项目北侧1.47km，因此本项目不在划定的生态保护红线范围内，符合文件要求。</w:t>
      </w:r>
    </w:p>
    <w:p w14:paraId="25115B03">
      <w:pPr>
        <w:rPr>
          <w:rFonts w:hint="eastAsia"/>
          <w:color w:val="auto"/>
        </w:rPr>
      </w:pPr>
      <w:r>
        <w:rPr>
          <w:rFonts w:hint="eastAsia"/>
          <w:color w:val="auto"/>
        </w:rPr>
        <w:t>对照《江苏省生态空间管控区域规划》（苏政发〔2020〕1号）《江苏省自然资源厅关于昆山市生态空间管控区域调整方案的复函》（苏自然资函〔2024〕903号）《江苏省自然资源厅关于昆山市生态空间管控区域调整方案的复函》（苏自然资函〔2025〕337号），本项目距离最近的生态空间管控区为“昆山市省级生态公益林”，位于项目地西南侧约1.17km。</w:t>
      </w:r>
    </w:p>
    <w:p w14:paraId="59E9F538">
      <w:pPr>
        <w:rPr>
          <w:rFonts w:hint="eastAsia"/>
          <w:color w:val="auto"/>
        </w:rPr>
      </w:pPr>
      <w:r>
        <w:rPr>
          <w:rFonts w:hint="eastAsia"/>
          <w:color w:val="auto"/>
        </w:rPr>
        <w:t>《江苏省“三线一单”生态环境分区管控方案》（苏政发〔2020〕49号）、《江苏省2023年度生态环境分区管控动态更新成果公告》文件要求：落实生态环境管控要求，严格落实生态环境法律法规标准，国家、省和重点区域（流域）环境管理政策，准确把握区域发展战略和生态功能定位，建立完善并落实省域、重点区域（流域）、市域及各类环境管控单元的“1+4+13+N”生态环境分区管控体系，包括全省“1”个总体管控要求，长江流域、太湖流域、淮河流域、沿海地区等“4”个重点区域（流域）管 控要求，“13”个设区市管控要求，以及全省“N”个（4365个）环境管控单元的生态环境准入清单。”本项目位于长江、太湖流域，为重点区域（流域）。对照江苏省重点区域（流域）生态环境分区管控要求，具体分析如下表：</w:t>
      </w:r>
    </w:p>
    <w:p w14:paraId="171A1117">
      <w:pPr>
        <w:pStyle w:val="25"/>
        <w:bidi w:val="0"/>
        <w:rPr>
          <w:rFonts w:hint="eastAsia"/>
          <w:lang w:eastAsia="zh-CN"/>
        </w:rPr>
      </w:pPr>
      <w:r>
        <w:rPr>
          <w:rFonts w:hint="eastAsia"/>
          <w:lang w:eastAsia="zh-CN"/>
        </w:rPr>
        <w:t>表</w:t>
      </w:r>
      <w:r>
        <w:rPr>
          <w:rFonts w:hint="eastAsia"/>
          <w:lang w:eastAsia="zh-CN"/>
        </w:rPr>
        <w:fldChar w:fldCharType="begin"/>
      </w:r>
      <w:r>
        <w:rPr>
          <w:rFonts w:hint="eastAsia"/>
          <w:lang w:eastAsia="zh-CN"/>
        </w:rPr>
        <w:instrText xml:space="preserve"> STYLEREF 2 \s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noBreakHyphen/>
      </w:r>
      <w:r>
        <w:rPr>
          <w:rFonts w:hint="eastAsia"/>
          <w:lang w:eastAsia="zh-CN"/>
        </w:rPr>
        <w:fldChar w:fldCharType="begin"/>
      </w:r>
      <w:r>
        <w:rPr>
          <w:rFonts w:hint="eastAsia"/>
          <w:lang w:eastAsia="zh-CN"/>
        </w:rPr>
        <w:instrText xml:space="preserve"> SEQ 表 \* ARABIC \s 2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江苏省省域生态环境管控要求</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4340"/>
        <w:gridCol w:w="3070"/>
      </w:tblGrid>
      <w:tr w14:paraId="41BF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512105CF">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管控类别</w:t>
            </w:r>
          </w:p>
        </w:tc>
        <w:tc>
          <w:tcPr>
            <w:tcW w:w="2546" w:type="pct"/>
            <w:vAlign w:val="center"/>
          </w:tcPr>
          <w:p w14:paraId="7AE8A971">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重点管控要求</w:t>
            </w:r>
          </w:p>
        </w:tc>
        <w:tc>
          <w:tcPr>
            <w:tcW w:w="1801" w:type="pct"/>
            <w:vAlign w:val="center"/>
          </w:tcPr>
          <w:p w14:paraId="4AB94CAF">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相符性分析</w:t>
            </w:r>
          </w:p>
        </w:tc>
      </w:tr>
      <w:tr w14:paraId="1F62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7448A9B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空间布局约束</w:t>
            </w:r>
          </w:p>
        </w:tc>
        <w:tc>
          <w:tcPr>
            <w:tcW w:w="2546" w:type="pct"/>
            <w:vAlign w:val="center"/>
          </w:tcPr>
          <w:p w14:paraId="22A2D82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按照《自然资源部生态环境部国家林业和草原局关于加强生态保护红线管理的通知（试行）》（自然资发〔2022〕142号）、《省政府关于印发江苏省生态空间管控区域规划的通知》（苏政发〔2020〕1号）、《关于进一步加强生态保护红线监督管理的通知》（苏自然函（2023）880号）、《江苏省国土空间规划（2021—2035年）》（国函〔2023〕69号），坚持节约优先、保护优先、自然恢复为主的方针，以改善生态环境质量为核心，以保障和维护生态功能为主线，统筹山水林田湖草一体化保护和修复，严守生态保护红线，实行最严格的生态空间管控制度，确保全省生态功能不降低、面积不减少、性质不改变，切实维护生态安全。生态保护红线不低于1.82万平方千米，其中海洋生态保护红线不低于0.95万平方千米。</w:t>
            </w:r>
          </w:p>
          <w:p w14:paraId="5C4BE6F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牢牢把握推动长江经济带发展“共抓大保护，不搞大开发”战略导向，对省域范围内需要重点保护的岸线、河段和区域实行严格管控，管住控好排放量大、耗能高、产能过剩的产业，推动长江经济带高质量发展。</w:t>
            </w:r>
          </w:p>
          <w:p w14:paraId="66E8DA3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大幅压减沿长江干支流两侧1公里范围内、环境敏感区域、城镇人口密集区、化工园区外和规模以下化工生产企业，着力破解“重化围江”突出问题，高起点同步推进沿江地区战略性转型和沿海地区战略性布局。</w:t>
            </w:r>
          </w:p>
          <w:p w14:paraId="0E0932B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全省钢铁行业坚持布局调整和产能整合相结合，坚持企业搬迁与转型升级相结合，鼓励有条件的企业实施跨地区、跨所有制的兼并重组，高起点、高标准规划建设沿海精品钢基地，做精做优沿江特钢产业基地，加快推动全省</w:t>
            </w:r>
          </w:p>
          <w:p w14:paraId="11EABD0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钢铁行业转型升级优化布局。</w:t>
            </w:r>
          </w:p>
          <w:p w14:paraId="756220E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5．对列入国家和省规划，涉及生态保护红线和相关法定保护区的重大民生项目、重大基础设施项目（交通基础设施项目等），应优化空间布局（选线）、主动避让；确实无法避让的，应采取无害化方式（如无害化穿、跨越方式等），依法依规履行行政审批手续，强化减缓生态环境影响和生态补偿措施。</w:t>
            </w:r>
          </w:p>
        </w:tc>
        <w:tc>
          <w:tcPr>
            <w:tcW w:w="1801" w:type="pct"/>
            <w:vAlign w:val="center"/>
          </w:tcPr>
          <w:p w14:paraId="509672E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（1）本项目不占用生态保护</w:t>
            </w:r>
          </w:p>
          <w:p w14:paraId="36C2C7F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红线及生态管控区；</w:t>
            </w:r>
          </w:p>
          <w:p w14:paraId="697ECDA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（2）本项目不属于排放量大、耗能高、产能过剩的产业</w:t>
            </w:r>
            <w:r>
              <w:rPr>
                <w:rFonts w:hint="eastAsia" w:ascii="Times New Roman" w:hAnsi="Times New Roman" w:eastAsia="仿宋_GB2312" w:cs="Times New Roman"/>
                <w:color w:val="auto"/>
                <w:kern w:val="2"/>
                <w:sz w:val="21"/>
                <w:szCs w:val="21"/>
                <w:lang w:val="en-US" w:eastAsia="zh-CN" w:bidi="ar-SA"/>
              </w:rPr>
              <w:t>，不在</w:t>
            </w:r>
            <w:r>
              <w:rPr>
                <w:rFonts w:ascii="Times New Roman" w:hAnsi="Times New Roman" w:eastAsia="仿宋_GB2312" w:cs="Times New Roman"/>
                <w:color w:val="auto"/>
                <w:kern w:val="2"/>
                <w:sz w:val="21"/>
                <w:szCs w:val="21"/>
                <w:lang w:val="en-US" w:eastAsia="zh-CN" w:bidi="ar-SA"/>
              </w:rPr>
              <w:t>重点保护的岸线、河段和区域</w:t>
            </w:r>
            <w:r>
              <w:rPr>
                <w:rFonts w:hint="eastAsia" w:ascii="Times New Roman" w:hAnsi="Times New Roman" w:eastAsia="仿宋_GB2312" w:cs="Times New Roman"/>
                <w:color w:val="auto"/>
                <w:kern w:val="2"/>
                <w:sz w:val="21"/>
                <w:szCs w:val="21"/>
                <w:lang w:val="en-US" w:eastAsia="zh-CN" w:bidi="ar-SA"/>
              </w:rPr>
              <w:t>内</w:t>
            </w:r>
            <w:r>
              <w:rPr>
                <w:rFonts w:ascii="Times New Roman" w:hAnsi="Times New Roman" w:eastAsia="仿宋_GB2312" w:cs="Times New Roman"/>
                <w:color w:val="auto"/>
                <w:kern w:val="2"/>
                <w:sz w:val="21"/>
                <w:szCs w:val="21"/>
                <w:lang w:val="en-US" w:eastAsia="zh-CN" w:bidi="ar-SA"/>
              </w:rPr>
              <w:t>；</w:t>
            </w:r>
          </w:p>
          <w:p w14:paraId="64B56EA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（3）（4）（5）不涉及。</w:t>
            </w:r>
          </w:p>
        </w:tc>
      </w:tr>
      <w:tr w14:paraId="28CC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180385C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污染物排放管控</w:t>
            </w:r>
          </w:p>
        </w:tc>
        <w:tc>
          <w:tcPr>
            <w:tcW w:w="2546" w:type="pct"/>
            <w:vAlign w:val="center"/>
          </w:tcPr>
          <w:p w14:paraId="5A307F0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1．坚持生态环境质量只能更好、不能变坏，实施污染物总量控制，以环境容量定产业、定项目、定规模，确保开发建设行为不突破生态环境承载力。</w:t>
            </w:r>
          </w:p>
          <w:p w14:paraId="118732C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2025年，主要污染物排放减排完成国家下达任务，单位工业增加值二氧化碳排放量下降20%，主要高耗能行业单位产品二氧化碳排放达到世界先进水平。实施氮氧化物（NOx）和VOCs协同减排，推进多污染物和关联区域连防联控。</w:t>
            </w:r>
          </w:p>
        </w:tc>
        <w:tc>
          <w:tcPr>
            <w:tcW w:w="1801" w:type="pct"/>
            <w:vAlign w:val="center"/>
          </w:tcPr>
          <w:p w14:paraId="18622F5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1.本项目污染物排放满足国家、地方有关污染物排放要求，不突破生态环境承载力。</w:t>
            </w:r>
          </w:p>
          <w:p w14:paraId="0AB3A4F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2.本项目严格执行总量控制制度，主要污染物按政策要求进行区域总量平衡削减，区域环境质量可得到持续改善。</w:t>
            </w:r>
          </w:p>
        </w:tc>
      </w:tr>
      <w:tr w14:paraId="0799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5B0D6F4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环境风险防控</w:t>
            </w:r>
          </w:p>
        </w:tc>
        <w:tc>
          <w:tcPr>
            <w:tcW w:w="2546" w:type="pct"/>
            <w:vAlign w:val="center"/>
          </w:tcPr>
          <w:p w14:paraId="2D73754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1．强化饮用水水源环境风险管控。县级以上城市全部建成应急水源或双源供水。</w:t>
            </w:r>
          </w:p>
          <w:p w14:paraId="4165EC6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强化化工行业环境风险管控。重点加强化学工业园区、涉及大宗危化品使用企业、贮存和运输危化品的港口码头、尾矿库、集中式污水处理厂、危废处理企业的环境风险防控；严厉打击危险废物非法转移、处置和倾倒行为；加强关闭搬迁化工企业及遗留地块的调查评估、风险管控、治理修复。</w:t>
            </w:r>
          </w:p>
          <w:p w14:paraId="7E2AB7D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3．强化环境事故应急管理。深化跨部门、跨区域环境应急协调联动，分区域建立环境应急物资储备库。各级工业园区（集聚区）和企业的环境应急装备和储备物资应纳入储备体系。</w:t>
            </w:r>
          </w:p>
          <w:p w14:paraId="47DC2C3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强化环境风险防控能力建设。按照统一信息平台、统一监管力度、统一应急等级、协同应急救援的思路，在沿江发展带、沿海发展带、环太湖等地区构建区域性环境风险预警应急响应机制，实施区域突发环境风险预警联防联控。</w:t>
            </w:r>
          </w:p>
        </w:tc>
        <w:tc>
          <w:tcPr>
            <w:tcW w:w="1801" w:type="pct"/>
            <w:vAlign w:val="center"/>
          </w:tcPr>
          <w:p w14:paraId="3F1A07A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1.本项目不在饮用水源保护区范围内。</w:t>
            </w:r>
          </w:p>
          <w:p w14:paraId="64A59EB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2.本项目不属于化工行业，不涉及大宗危化品使用；本项目危险废物经收集后，委托有资质单位处置。</w:t>
            </w:r>
          </w:p>
          <w:p w14:paraId="47BB647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3.企业严格按照国家标准和规范编制事故应急预案，并与区域环境风险应急预案联动，厂区内配备了应急救援队伍和必要的应急设施和装备，并定期开展应急演练。</w:t>
            </w:r>
          </w:p>
          <w:p w14:paraId="649A1EB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4.企业应急预案体系与区域形成联动。</w:t>
            </w:r>
          </w:p>
        </w:tc>
      </w:tr>
      <w:tr w14:paraId="38FF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1912854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资源开发效率要求</w:t>
            </w:r>
          </w:p>
        </w:tc>
        <w:tc>
          <w:tcPr>
            <w:tcW w:w="2546" w:type="pct"/>
            <w:vAlign w:val="center"/>
          </w:tcPr>
          <w:p w14:paraId="7690A0F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1．水资源利用总量及效率要求：到2025年，全省用水总量控制在525.9亿立方米以内，万元地区生产总值用水量、万元工业增加值用水量下降完成国家下达目标，农田灌溉水有效利用系数提高到0.625。</w:t>
            </w:r>
          </w:p>
          <w:p w14:paraId="257BA38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2．土地资源总量要求：到2025年，江苏省耕地保有量不低于5977万亩，其中永久基本农田保护面积不低于5344万亩。</w:t>
            </w:r>
          </w:p>
          <w:p w14:paraId="133C773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3．禁燃区要求：在禁燃区内，禁止销售、燃用高污染燃料；禁止新建、扩建燃用高污染燃料的设施，已建成的，应当在城市人民政府规定的期限内改用天然气、页岩气、液化石油气、电或者其他清洁能源。</w:t>
            </w:r>
          </w:p>
        </w:tc>
        <w:tc>
          <w:tcPr>
            <w:tcW w:w="1801" w:type="pct"/>
            <w:vAlign w:val="center"/>
          </w:tcPr>
          <w:p w14:paraId="6E02413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 项目生产废水不外排，全厂用水量在允许范围内。</w:t>
            </w:r>
          </w:p>
          <w:p w14:paraId="77CB065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本项目不占用耕地</w:t>
            </w:r>
            <w:r>
              <w:rPr>
                <w:rFonts w:hint="eastAsia" w:ascii="Times New Roman" w:hAnsi="Times New Roman" w:eastAsia="仿宋_GB2312" w:cs="Times New Roman"/>
                <w:color w:val="auto"/>
                <w:kern w:val="2"/>
                <w:sz w:val="21"/>
                <w:szCs w:val="21"/>
                <w:lang w:val="en-US" w:eastAsia="zh-CN" w:bidi="ar-SA"/>
              </w:rPr>
              <w:t>。</w:t>
            </w:r>
          </w:p>
          <w:p w14:paraId="11B71DC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w:t>
            </w:r>
            <w:r>
              <w:rPr>
                <w:rFonts w:ascii="Times New Roman" w:hAnsi="Times New Roman" w:eastAsia="仿宋_GB2312" w:cs="Times New Roman"/>
                <w:color w:val="auto"/>
                <w:kern w:val="2"/>
                <w:sz w:val="21"/>
                <w:szCs w:val="21"/>
                <w:lang w:val="en-US" w:eastAsia="zh-CN" w:bidi="ar-SA"/>
              </w:rPr>
              <w:t>能源为电、水、</w:t>
            </w:r>
            <w:r>
              <w:rPr>
                <w:rFonts w:ascii="Times New Roman" w:hAnsi="Times New Roman" w:eastAsia="仿宋_GB2312" w:cs="Times New Roman"/>
                <w:color w:val="FF0000"/>
                <w:kern w:val="2"/>
                <w:sz w:val="21"/>
                <w:szCs w:val="21"/>
                <w:highlight w:val="yellow"/>
                <w:lang w:val="en-US" w:eastAsia="zh-CN" w:bidi="ar-SA"/>
              </w:rPr>
              <w:t>天然气</w:t>
            </w:r>
            <w:r>
              <w:rPr>
                <w:rFonts w:ascii="Times New Roman" w:hAnsi="Times New Roman" w:eastAsia="仿宋_GB2312" w:cs="Times New Roman"/>
                <w:color w:val="auto"/>
                <w:kern w:val="2"/>
                <w:sz w:val="21"/>
                <w:szCs w:val="21"/>
                <w:lang w:val="en-US" w:eastAsia="zh-CN" w:bidi="ar-SA"/>
              </w:rPr>
              <w:t>，不涉及煤炭和其他高污染燃料的使用。</w:t>
            </w:r>
          </w:p>
        </w:tc>
      </w:tr>
    </w:tbl>
    <w:p w14:paraId="277EF92F">
      <w:pPr>
        <w:rPr>
          <w:rFonts w:hint="eastAsia"/>
          <w:lang w:eastAsia="zh-CN"/>
        </w:rPr>
      </w:pPr>
    </w:p>
    <w:p w14:paraId="2CEE99C4">
      <w:pPr>
        <w:pStyle w:val="25"/>
        <w:bidi w:val="0"/>
        <w:rPr>
          <w:rFonts w:hint="eastAsia"/>
          <w:lang w:eastAsia="zh-CN"/>
        </w:rPr>
      </w:pPr>
      <w:r>
        <w:rPr>
          <w:rFonts w:hint="eastAsia"/>
          <w:lang w:eastAsia="zh-CN"/>
        </w:rPr>
        <w:t>表</w:t>
      </w:r>
      <w:r>
        <w:rPr>
          <w:rFonts w:hint="eastAsia"/>
          <w:lang w:eastAsia="zh-CN"/>
        </w:rPr>
        <w:fldChar w:fldCharType="begin"/>
      </w:r>
      <w:r>
        <w:rPr>
          <w:rFonts w:hint="eastAsia"/>
          <w:lang w:eastAsia="zh-CN"/>
        </w:rPr>
        <w:instrText xml:space="preserve"> STYLEREF 2 \s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noBreakHyphen/>
      </w:r>
      <w:r>
        <w:rPr>
          <w:rFonts w:hint="eastAsia"/>
          <w:lang w:eastAsia="zh-CN"/>
        </w:rPr>
        <w:fldChar w:fldCharType="begin"/>
      </w:r>
      <w:r>
        <w:rPr>
          <w:rFonts w:hint="eastAsia"/>
          <w:lang w:eastAsia="zh-CN"/>
        </w:rPr>
        <w:instrText xml:space="preserve"> SEQ 表 \* ARABIC \s 2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江苏省重点区域（流域）生态环境分区管控要求</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5856"/>
        <w:gridCol w:w="1822"/>
      </w:tblGrid>
      <w:tr w14:paraId="6954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08C774C2">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管控类别</w:t>
            </w:r>
          </w:p>
        </w:tc>
        <w:tc>
          <w:tcPr>
            <w:tcW w:w="3436" w:type="pct"/>
            <w:vAlign w:val="center"/>
          </w:tcPr>
          <w:p w14:paraId="66D6DAF7">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重点管控要求</w:t>
            </w:r>
          </w:p>
        </w:tc>
        <w:tc>
          <w:tcPr>
            <w:tcW w:w="1069" w:type="pct"/>
            <w:vAlign w:val="center"/>
          </w:tcPr>
          <w:p w14:paraId="5B9B212D">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相符性</w:t>
            </w:r>
          </w:p>
        </w:tc>
      </w:tr>
      <w:tr w14:paraId="78C2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6FA3C4C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一、长江流域</w:t>
            </w:r>
          </w:p>
        </w:tc>
      </w:tr>
      <w:tr w14:paraId="166B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4E1576A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空间布局约束</w:t>
            </w:r>
          </w:p>
        </w:tc>
        <w:tc>
          <w:tcPr>
            <w:tcW w:w="3436" w:type="pct"/>
            <w:vAlign w:val="center"/>
          </w:tcPr>
          <w:p w14:paraId="2876E22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1．始终把长江生态修复放在首位，坚持共抓大保护、不搞大开发，引导长江流域产业转型升级和布局优化调整，实现科学发展、有序发展、高质量发展。</w:t>
            </w:r>
          </w:p>
          <w:p w14:paraId="73CDDB8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加强生态空间保护，禁止在国家确定的生态保护红线和永久基本农田范围内，投资建设除国家重大战略资源勘查项目、生态保护修复和地质灾害治理项目、重大基础设施项目、军事国防项目以及农民基本生产生活等必要的民生项目以外的项目。</w:t>
            </w:r>
          </w:p>
          <w:p w14:paraId="3B6CF96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3．禁止在沿江地区新建或扩建化学工业园区，禁止新建或扩建以大宗进口油气资源为原料的石油加工、石油化工、基础有机无机化工、煤化工项目；禁止在长江干流和主要支流岸线1公里范围内新建危化品码头。</w:t>
            </w:r>
          </w:p>
          <w:p w14:paraId="5EA8D96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强化港口布局优化，禁止建设不符合国家港口布局规划和《江苏省沿江沿海港口布局规划（2015-2030年）》《江苏省内河港口布局规划（2017-2035年）》的码头项目，禁止建设未纳入《长江干线过江通道布局规划》的过江干线通道项目。</w:t>
            </w:r>
          </w:p>
          <w:p w14:paraId="0EA84CD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5．禁止新建独立焦化项目。</w:t>
            </w:r>
          </w:p>
        </w:tc>
        <w:tc>
          <w:tcPr>
            <w:tcW w:w="1069" w:type="pct"/>
            <w:vAlign w:val="center"/>
          </w:tcPr>
          <w:p w14:paraId="73EE545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1.项目符合区域产业布局。</w:t>
            </w:r>
          </w:p>
          <w:p w14:paraId="4DD8D37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项目不在国家确定的生态保护红线和永久基本农田范围内</w:t>
            </w:r>
            <w:r>
              <w:rPr>
                <w:rFonts w:hint="eastAsia" w:ascii="Times New Roman" w:hAnsi="Times New Roman" w:eastAsia="仿宋_GB2312" w:cs="Times New Roman"/>
                <w:color w:val="auto"/>
                <w:kern w:val="2"/>
                <w:sz w:val="21"/>
                <w:szCs w:val="21"/>
                <w:lang w:val="en-US" w:eastAsia="zh-CN" w:bidi="ar-SA"/>
              </w:rPr>
              <w:t>。</w:t>
            </w:r>
          </w:p>
          <w:p w14:paraId="0867847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3.项目</w:t>
            </w:r>
            <w:r>
              <w:rPr>
                <w:rFonts w:ascii="Times New Roman" w:hAnsi="Times New Roman" w:eastAsia="仿宋_GB2312" w:cs="Times New Roman"/>
                <w:color w:val="auto"/>
                <w:kern w:val="2"/>
                <w:sz w:val="21"/>
                <w:szCs w:val="21"/>
                <w:lang w:val="en-US" w:eastAsia="zh-CN" w:bidi="ar-SA"/>
              </w:rPr>
              <w:t>不属于石油加工、石油化工、基础有机无机化工、煤化工和码头</w:t>
            </w:r>
            <w:r>
              <w:rPr>
                <w:rFonts w:hint="eastAsia" w:ascii="Times New Roman" w:hAnsi="Times New Roman" w:eastAsia="仿宋_GB2312" w:cs="Times New Roman"/>
                <w:color w:val="auto"/>
                <w:kern w:val="2"/>
                <w:sz w:val="21"/>
                <w:szCs w:val="21"/>
                <w:lang w:val="en-US" w:eastAsia="zh-CN" w:bidi="ar-SA"/>
              </w:rPr>
              <w:t>项目</w:t>
            </w:r>
            <w:r>
              <w:rPr>
                <w:rFonts w:ascii="Times New Roman" w:hAnsi="Times New Roman" w:eastAsia="仿宋_GB2312" w:cs="Times New Roman"/>
                <w:color w:val="auto"/>
                <w:kern w:val="2"/>
                <w:sz w:val="21"/>
                <w:szCs w:val="21"/>
                <w:lang w:val="en-US" w:eastAsia="zh-CN" w:bidi="ar-SA"/>
              </w:rPr>
              <w:t>。</w:t>
            </w:r>
          </w:p>
          <w:p w14:paraId="533EF2B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4.项目不涉及港口和过江干线建设。</w:t>
            </w:r>
          </w:p>
          <w:p w14:paraId="6998651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5.项目非</w:t>
            </w:r>
            <w:r>
              <w:rPr>
                <w:rFonts w:ascii="Times New Roman" w:hAnsi="Times New Roman" w:eastAsia="仿宋_GB2312" w:cs="Times New Roman"/>
                <w:color w:val="auto"/>
                <w:kern w:val="2"/>
                <w:sz w:val="21"/>
                <w:szCs w:val="21"/>
                <w:lang w:val="en-US" w:eastAsia="zh-CN" w:bidi="ar-SA"/>
              </w:rPr>
              <w:t>焦化项目</w:t>
            </w:r>
            <w:r>
              <w:rPr>
                <w:rFonts w:hint="eastAsia" w:ascii="Times New Roman" w:hAnsi="Times New Roman" w:eastAsia="仿宋_GB2312" w:cs="Times New Roman"/>
                <w:color w:val="auto"/>
                <w:kern w:val="2"/>
                <w:sz w:val="21"/>
                <w:szCs w:val="21"/>
                <w:lang w:val="en-US" w:eastAsia="zh-CN" w:bidi="ar-SA"/>
              </w:rPr>
              <w:t>。</w:t>
            </w:r>
          </w:p>
        </w:tc>
      </w:tr>
      <w:tr w14:paraId="6D01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4554BC2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污染物排放管控</w:t>
            </w:r>
          </w:p>
        </w:tc>
        <w:tc>
          <w:tcPr>
            <w:tcW w:w="3436" w:type="pct"/>
            <w:vAlign w:val="center"/>
          </w:tcPr>
          <w:p w14:paraId="5EC32C3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1．根据《江苏省长江水污染防治条例》实施污染物总量控制制度。</w:t>
            </w:r>
          </w:p>
          <w:p w14:paraId="0084F49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2．全面加强和规范长江入河排污口管理，有效管控入河污染物排放，形成权责清晰、监控到位、管理规范的长江入河排污口监管体系，加快改善长江水环境质量。</w:t>
            </w:r>
          </w:p>
        </w:tc>
        <w:tc>
          <w:tcPr>
            <w:tcW w:w="1069" w:type="pct"/>
            <w:vAlign w:val="center"/>
          </w:tcPr>
          <w:p w14:paraId="37288A4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项目实施污染物总量控制制度</w:t>
            </w:r>
            <w:r>
              <w:rPr>
                <w:rFonts w:hint="eastAsia" w:ascii="Times New Roman" w:hAnsi="Times New Roman" w:eastAsia="仿宋_GB2312" w:cs="Times New Roman"/>
                <w:color w:val="auto"/>
                <w:kern w:val="2"/>
                <w:sz w:val="21"/>
                <w:szCs w:val="21"/>
                <w:lang w:val="en-US" w:eastAsia="zh-CN" w:bidi="ar-SA"/>
              </w:rPr>
              <w:t>。</w:t>
            </w:r>
          </w:p>
          <w:p w14:paraId="07A8ACF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不涉及入河排污口。</w:t>
            </w:r>
          </w:p>
        </w:tc>
      </w:tr>
      <w:tr w14:paraId="0CB3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5C9F9A8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环境风险防控</w:t>
            </w:r>
          </w:p>
        </w:tc>
        <w:tc>
          <w:tcPr>
            <w:tcW w:w="3436" w:type="pct"/>
            <w:vAlign w:val="center"/>
          </w:tcPr>
          <w:p w14:paraId="71F7125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1．防范沿江环境风险。深化沿江石化、化工、医药、纺织、印染、化纤、危化品和石油类仓储、涉重金属和危险废物处置等重点企业环境风险防控。</w:t>
            </w:r>
          </w:p>
          <w:p w14:paraId="2E8683E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2．加强饮用水水源保护。优化水源保护区划定，推动饮用水水源地规范化建设。</w:t>
            </w:r>
          </w:p>
        </w:tc>
        <w:tc>
          <w:tcPr>
            <w:tcW w:w="1069" w:type="pct"/>
            <w:vAlign w:val="center"/>
          </w:tcPr>
          <w:p w14:paraId="655872C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项目加强环境风险防控措施，严控环境风险。</w:t>
            </w:r>
          </w:p>
          <w:p w14:paraId="797EB35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2.项目不在饮水水源保护区范围内</w:t>
            </w:r>
          </w:p>
        </w:tc>
      </w:tr>
      <w:tr w14:paraId="6FF0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4DA9BAB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资源利用效率要求</w:t>
            </w:r>
          </w:p>
        </w:tc>
        <w:tc>
          <w:tcPr>
            <w:tcW w:w="3436" w:type="pct"/>
            <w:vAlign w:val="center"/>
          </w:tcPr>
          <w:p w14:paraId="036D9DC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禁止在长江干支流岸线管控范围内新建、扩建化工园区和化工项目。禁止在长江干流岸线和重要支流岸线管控范围内新建、改建、扩建尾矿库，但是以提升安全、生态环境保护水平为目的的改建除外。</w:t>
            </w:r>
          </w:p>
        </w:tc>
        <w:tc>
          <w:tcPr>
            <w:tcW w:w="1069" w:type="pct"/>
            <w:vAlign w:val="center"/>
          </w:tcPr>
          <w:p w14:paraId="1F49DEB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项目不属于化工、尾矿库项目。</w:t>
            </w:r>
          </w:p>
        </w:tc>
      </w:tr>
      <w:tr w14:paraId="5402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06610B7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二、太湖流域</w:t>
            </w:r>
          </w:p>
        </w:tc>
      </w:tr>
      <w:tr w14:paraId="1CE7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064DFB4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空间布局约束</w:t>
            </w:r>
          </w:p>
        </w:tc>
        <w:tc>
          <w:tcPr>
            <w:tcW w:w="3436" w:type="pct"/>
            <w:vAlign w:val="center"/>
          </w:tcPr>
          <w:p w14:paraId="78AD092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在太湖流域一、二、三级保护区，禁止新建、改建、扩建化学制浆造纸、制革、酿造、染料、印染、电镀以及其他排放含氮、磷污染物的企业和项目，城镇污水集中处理的环境基础设施项目和《江苏省太湖水污染防治条例》第四十六条规定的情形除外。</w:t>
            </w:r>
          </w:p>
          <w:p w14:paraId="21446EB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2．在太湖流域一级保护区，禁止新建、扩建向水体排放污染物的建设项目，禁止新建、扩建畜禽养殖场，禁止新建、扩建高尔夫球场、水上游乐等开发项目以及设置水上餐饮经营设施。</w:t>
            </w:r>
          </w:p>
          <w:p w14:paraId="595824A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3．在太湖流域二级保护区，禁止新建、扩建化工、医药生产项目，禁止新建、扩建污水集中处理设施排污口以外的排污口。</w:t>
            </w:r>
          </w:p>
        </w:tc>
        <w:tc>
          <w:tcPr>
            <w:tcW w:w="1069" w:type="pct"/>
            <w:vAlign w:val="center"/>
          </w:tcPr>
          <w:p w14:paraId="1779386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1.本</w:t>
            </w:r>
            <w:r>
              <w:rPr>
                <w:rFonts w:ascii="Times New Roman" w:hAnsi="Times New Roman" w:eastAsia="仿宋_GB2312" w:cs="Times New Roman"/>
                <w:color w:val="auto"/>
                <w:kern w:val="2"/>
                <w:sz w:val="21"/>
                <w:szCs w:val="21"/>
                <w:lang w:val="en-US" w:eastAsia="zh-CN" w:bidi="ar-SA"/>
              </w:rPr>
              <w:t>项目</w:t>
            </w:r>
            <w:r>
              <w:rPr>
                <w:rFonts w:hint="eastAsia" w:ascii="Times New Roman" w:hAnsi="Times New Roman" w:eastAsia="仿宋_GB2312" w:cs="Times New Roman"/>
                <w:color w:val="auto"/>
                <w:kern w:val="2"/>
                <w:sz w:val="21"/>
                <w:szCs w:val="21"/>
                <w:lang w:val="en-US" w:eastAsia="zh-CN" w:bidi="ar-SA"/>
              </w:rPr>
              <w:t>不属于禁止建设的行业，生产废水不外排</w:t>
            </w:r>
            <w:r>
              <w:rPr>
                <w:rFonts w:ascii="Times New Roman" w:hAnsi="Times New Roman" w:eastAsia="仿宋_GB2312" w:cs="Times New Roman"/>
                <w:color w:val="auto"/>
                <w:kern w:val="2"/>
                <w:sz w:val="21"/>
                <w:szCs w:val="21"/>
                <w:lang w:val="en-US" w:eastAsia="zh-CN" w:bidi="ar-SA"/>
              </w:rPr>
              <w:t>。</w:t>
            </w:r>
          </w:p>
          <w:p w14:paraId="2582905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2、3不涉及</w:t>
            </w:r>
          </w:p>
        </w:tc>
      </w:tr>
      <w:tr w14:paraId="5770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0169792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污染物排放管控</w:t>
            </w:r>
          </w:p>
        </w:tc>
        <w:tc>
          <w:tcPr>
            <w:tcW w:w="3436" w:type="pct"/>
            <w:vAlign w:val="center"/>
          </w:tcPr>
          <w:p w14:paraId="4658B30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城镇污水处理厂、纺织工业、化学工业、造纸工业、钢铁工业、电镀工业和食品工业的污水处理设施执行《太湖地区城镇污水处理厂及重点工业行业主要水污染物排放限值》。</w:t>
            </w:r>
          </w:p>
        </w:tc>
        <w:tc>
          <w:tcPr>
            <w:tcW w:w="1069" w:type="pct"/>
            <w:vAlign w:val="center"/>
          </w:tcPr>
          <w:p w14:paraId="53D96E7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w:t>
            </w:r>
            <w:r>
              <w:rPr>
                <w:rFonts w:hint="eastAsia" w:ascii="Times New Roman" w:hAnsi="Times New Roman" w:eastAsia="仿宋_GB2312" w:cs="Times New Roman"/>
                <w:color w:val="auto"/>
                <w:kern w:val="2"/>
                <w:sz w:val="21"/>
                <w:szCs w:val="21"/>
                <w:lang w:val="en-US" w:eastAsia="zh-CN" w:bidi="ar-SA"/>
              </w:rPr>
              <w:t>生产废水不外排，生活</w:t>
            </w:r>
            <w:r>
              <w:rPr>
                <w:rFonts w:ascii="Times New Roman" w:hAnsi="Times New Roman" w:eastAsia="仿宋_GB2312" w:cs="Times New Roman"/>
                <w:color w:val="auto"/>
                <w:kern w:val="2"/>
                <w:sz w:val="21"/>
                <w:szCs w:val="21"/>
                <w:lang w:val="en-US" w:eastAsia="zh-CN" w:bidi="ar-SA"/>
              </w:rPr>
              <w:t>接管区域污水厂，不直接外排。</w:t>
            </w:r>
          </w:p>
        </w:tc>
      </w:tr>
      <w:tr w14:paraId="50EA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vAlign w:val="center"/>
          </w:tcPr>
          <w:p w14:paraId="0E28C6A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环境风险防控</w:t>
            </w:r>
          </w:p>
        </w:tc>
        <w:tc>
          <w:tcPr>
            <w:tcW w:w="3436" w:type="pct"/>
            <w:vAlign w:val="center"/>
          </w:tcPr>
          <w:p w14:paraId="4D59852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1．运输剧毒物质、危险化学品的船舶不得进入太湖。</w:t>
            </w:r>
          </w:p>
          <w:p w14:paraId="7E56018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2．禁止向太湖流域水体排放或者倾倒油类、酸液、碱液、剧毒废渣废液、含放射性废渣废液、含病原体污水、工业废渣以及其他废弃物。</w:t>
            </w:r>
          </w:p>
          <w:p w14:paraId="4484B7F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3．加强太湖流域生态环境风险应急管控，着力提高防控太湖蓝藻水华风险预警和应急处置能力。</w:t>
            </w:r>
          </w:p>
        </w:tc>
        <w:tc>
          <w:tcPr>
            <w:tcW w:w="1069" w:type="pct"/>
            <w:vAlign w:val="center"/>
          </w:tcPr>
          <w:p w14:paraId="7F3B4DC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1.不涉及。</w:t>
            </w:r>
          </w:p>
          <w:p w14:paraId="419D8C1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项目固废合理处理，不外排</w:t>
            </w:r>
            <w:r>
              <w:rPr>
                <w:rFonts w:hint="eastAsia" w:ascii="Times New Roman" w:hAnsi="Times New Roman" w:eastAsia="仿宋_GB2312" w:cs="Times New Roman"/>
                <w:color w:val="auto"/>
                <w:kern w:val="2"/>
                <w:sz w:val="21"/>
                <w:szCs w:val="21"/>
                <w:lang w:val="en-US" w:eastAsia="zh-CN" w:bidi="ar-SA"/>
              </w:rPr>
              <w:t>。</w:t>
            </w:r>
          </w:p>
          <w:p w14:paraId="32931DC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3.项目生产废水不外排，生活接管区域污水厂，不直接外排。</w:t>
            </w:r>
          </w:p>
        </w:tc>
      </w:tr>
      <w:tr w14:paraId="4D45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495" w:type="pct"/>
            <w:vAlign w:val="center"/>
          </w:tcPr>
          <w:p w14:paraId="48FE91B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资源利用效率要求</w:t>
            </w:r>
          </w:p>
        </w:tc>
        <w:tc>
          <w:tcPr>
            <w:tcW w:w="3436" w:type="pct"/>
            <w:vAlign w:val="center"/>
          </w:tcPr>
          <w:p w14:paraId="69299C2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1.严格用水定额管理制度，推进取用水规范化管理，科学制定用水定额并动态调整，对超过用水定额标准的企业分类分步先期实施节水改造，鼓励重点用水企业、园区建立智慧用水管理系统。</w:t>
            </w:r>
          </w:p>
          <w:p w14:paraId="7C579F1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2.推进新孟河、新沟河、望虞河、走马塘等河道联合调度，科学调控太湖水位。</w:t>
            </w:r>
          </w:p>
        </w:tc>
        <w:tc>
          <w:tcPr>
            <w:tcW w:w="1069" w:type="pct"/>
            <w:vAlign w:val="center"/>
          </w:tcPr>
          <w:p w14:paraId="2BA4BFC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项目用水由市政自来水管网直接供给，符合重点管控要求。</w:t>
            </w:r>
          </w:p>
          <w:p w14:paraId="487F0DE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2.不涉及。</w:t>
            </w:r>
          </w:p>
        </w:tc>
      </w:tr>
    </w:tbl>
    <w:p w14:paraId="530530DB">
      <w:pPr>
        <w:rPr>
          <w:rFonts w:hint="eastAsia"/>
          <w:lang w:eastAsia="zh-CN"/>
        </w:rPr>
      </w:pPr>
      <w:r>
        <w:rPr>
          <w:rFonts w:hint="eastAsia"/>
          <w:lang w:eastAsia="zh-CN"/>
        </w:rPr>
        <w:t>本项目位于重点管控单元，以开发建设为主，推进产业布局优化和转型升级，限制污染排放，防控环境风险，根据上表分析，建设项目与《省政府关于印发江苏省“三线一单”生态环境分区管控方案的通知》（苏政发〔2020〕49号）《江苏省2023年度生态环境分区管控动态更新成果公告》文件要求相符。</w:t>
      </w:r>
    </w:p>
    <w:p w14:paraId="2D9AE91D">
      <w:pPr>
        <w:rPr>
          <w:rFonts w:hint="eastAsia"/>
          <w:lang w:eastAsia="zh-CN"/>
        </w:rPr>
      </w:pPr>
      <w:r>
        <w:rPr>
          <w:rFonts w:hint="eastAsia"/>
          <w:lang w:eastAsia="zh-CN"/>
        </w:rPr>
        <w:t>对照《苏州市“三线一单”生态环境分区管控实施方案》（苏环办字〔2020〕313 号）及《苏州市2023年度生态环境分区管控动态更新成果公告》，相符性分析如下：</w:t>
      </w:r>
    </w:p>
    <w:p w14:paraId="439BAA8C">
      <w:pPr>
        <w:pStyle w:val="25"/>
        <w:bidi w:val="0"/>
        <w:rPr>
          <w:rFonts w:hint="eastAsia"/>
          <w:lang w:eastAsia="zh-CN"/>
        </w:rPr>
      </w:pPr>
      <w:r>
        <w:rPr>
          <w:rFonts w:hint="eastAsia"/>
          <w:lang w:eastAsia="zh-CN"/>
        </w:rPr>
        <w:t>表</w:t>
      </w:r>
      <w:r>
        <w:rPr>
          <w:rFonts w:hint="eastAsia"/>
          <w:lang w:eastAsia="zh-CN"/>
        </w:rPr>
        <w:fldChar w:fldCharType="begin"/>
      </w:r>
      <w:r>
        <w:rPr>
          <w:rFonts w:hint="eastAsia"/>
          <w:lang w:eastAsia="zh-CN"/>
        </w:rPr>
        <w:instrText xml:space="preserve"> STYLEREF 2 \s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noBreakHyphen/>
      </w:r>
      <w:r>
        <w:rPr>
          <w:rFonts w:hint="eastAsia"/>
          <w:lang w:eastAsia="zh-CN"/>
        </w:rPr>
        <w:fldChar w:fldCharType="begin"/>
      </w:r>
      <w:r>
        <w:rPr>
          <w:rFonts w:hint="eastAsia"/>
          <w:lang w:eastAsia="zh-CN"/>
        </w:rPr>
        <w:instrText xml:space="preserve"> SEQ 表 \* ARABIC \s 2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苏州市市域生态环境管控要求</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4340"/>
        <w:gridCol w:w="3070"/>
      </w:tblGrid>
      <w:tr w14:paraId="091B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0E98FBA0">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管控类别</w:t>
            </w:r>
          </w:p>
        </w:tc>
        <w:tc>
          <w:tcPr>
            <w:tcW w:w="2546" w:type="pct"/>
            <w:vAlign w:val="center"/>
          </w:tcPr>
          <w:p w14:paraId="1DF9E751">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重点管控要求</w:t>
            </w:r>
          </w:p>
        </w:tc>
        <w:tc>
          <w:tcPr>
            <w:tcW w:w="1801" w:type="pct"/>
            <w:vAlign w:val="center"/>
          </w:tcPr>
          <w:p w14:paraId="172BDF20">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相符性分析</w:t>
            </w:r>
          </w:p>
        </w:tc>
      </w:tr>
      <w:tr w14:paraId="6AAE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02F5A79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空间布局约束</w:t>
            </w:r>
          </w:p>
        </w:tc>
        <w:tc>
          <w:tcPr>
            <w:tcW w:w="2546" w:type="pct"/>
            <w:vAlign w:val="center"/>
          </w:tcPr>
          <w:p w14:paraId="252BAC3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（1）按照《自然资源部 生态环境部 国家林业和草原局关于加强生态保护红线管理的通知（试行）》（自然资发〔2022〕142 号）、《省政府关于印发江苏省生态空间管控区域规划的通知》（苏政发〔2020〕1 号）、《关于进一步加强生态保护红线监 督管理的通知》（苏自然函（2023）880 号）、《苏州市国土空间总体规划（2021-2035 年）》，坚持节约优先、保护优先、自然恢复为主的方针，以改善生态环境质量为核心，以保障和维护生态功能为主线，统筹山水林田湖草沙一体化保护和修复，严守生态保护红线，实行最严格的生态空间管控制度，确保全市生态功能不降低、面积不减少、性质不改变，切实维护生态安全。</w:t>
            </w:r>
          </w:p>
          <w:p w14:paraId="1779A73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（2）全市太湖、阳澄湖保护区执行《江苏省太湖水污染防治条例》、《苏州市阳澄湖水源水质保护条例》等文件要求。</w:t>
            </w:r>
          </w:p>
          <w:p w14:paraId="3110206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（3）严格执行《&lt;长江经济带发展负面清单指南（试行，2022年版）&gt;江苏省实施细则》（苏长江办发〔2022〕55号）中相关要求。</w:t>
            </w:r>
          </w:p>
          <w:p w14:paraId="52B6DC5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（4）禁止引进列入《苏州市产业发展导向目录》</w:t>
            </w:r>
            <w:bookmarkStart w:id="29" w:name="OLE_LINK28"/>
            <w:r>
              <w:rPr>
                <w:rFonts w:ascii="Times New Roman" w:hAnsi="Times New Roman" w:eastAsia="仿宋_GB2312" w:cs="Times New Roman"/>
                <w:color w:val="auto"/>
                <w:kern w:val="2"/>
                <w:sz w:val="21"/>
                <w:szCs w:val="21"/>
                <w:lang w:val="en-US" w:eastAsia="zh-CN" w:bidi="ar-SA"/>
              </w:rPr>
              <w:t>禁止类、淘汰类的产业</w:t>
            </w:r>
            <w:bookmarkEnd w:id="29"/>
            <w:r>
              <w:rPr>
                <w:rFonts w:ascii="Times New Roman" w:hAnsi="Times New Roman" w:eastAsia="仿宋_GB2312" w:cs="Times New Roman"/>
                <w:color w:val="auto"/>
                <w:kern w:val="2"/>
                <w:sz w:val="21"/>
                <w:szCs w:val="21"/>
                <w:lang w:val="en-US" w:eastAsia="zh-CN" w:bidi="ar-SA"/>
              </w:rPr>
              <w:t>。</w:t>
            </w:r>
          </w:p>
        </w:tc>
        <w:tc>
          <w:tcPr>
            <w:tcW w:w="1801" w:type="pct"/>
            <w:vAlign w:val="center"/>
          </w:tcPr>
          <w:p w14:paraId="4C2FCAC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（1）本项目符合区域用地规划及产业定位；</w:t>
            </w:r>
          </w:p>
          <w:p w14:paraId="3E85F22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（2）本项目符合《江苏省太湖水污染防治条例》；项目不在阳澄湖保护区范围内；</w:t>
            </w:r>
          </w:p>
          <w:p w14:paraId="33A7EC4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（3）本项目严格执行《&lt;长江经济带发展负面清单指南（试行，2022年版）&gt;江苏省实施细则》（苏长江办发〔2022〕55号）中</w:t>
            </w:r>
            <w:r>
              <w:rPr>
                <w:rFonts w:hint="eastAsia" w:ascii="Times New Roman" w:hAnsi="Times New Roman" w:eastAsia="仿宋_GB2312" w:cs="Times New Roman"/>
                <w:color w:val="auto"/>
                <w:kern w:val="2"/>
                <w:sz w:val="21"/>
                <w:szCs w:val="21"/>
                <w:lang w:val="en-US" w:eastAsia="zh-CN" w:bidi="ar-SA"/>
              </w:rPr>
              <w:t>要求</w:t>
            </w:r>
            <w:r>
              <w:rPr>
                <w:rFonts w:ascii="Times New Roman" w:hAnsi="Times New Roman" w:eastAsia="仿宋_GB2312" w:cs="Times New Roman"/>
                <w:color w:val="auto"/>
                <w:kern w:val="2"/>
                <w:sz w:val="21"/>
                <w:szCs w:val="21"/>
                <w:lang w:val="en-US" w:eastAsia="zh-CN" w:bidi="ar-SA"/>
              </w:rPr>
              <w:t>；</w:t>
            </w:r>
          </w:p>
          <w:p w14:paraId="4C1F5FE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（4）本项目不属于禁止类、淘汰类的产业。</w:t>
            </w:r>
          </w:p>
        </w:tc>
      </w:tr>
      <w:tr w14:paraId="3D6C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443E60C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污染物排放管控</w:t>
            </w:r>
          </w:p>
        </w:tc>
        <w:tc>
          <w:tcPr>
            <w:tcW w:w="2546" w:type="pct"/>
            <w:vAlign w:val="center"/>
          </w:tcPr>
          <w:p w14:paraId="28147E8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（1）坚持生态环境质量只能更好、不能变坏，实施污染物总量控制，以环境容量定产业、定项目、定规模，确保开发建设行</w:t>
            </w:r>
          </w:p>
          <w:p w14:paraId="3546C3A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为不突破生态环境承载力。</w:t>
            </w:r>
          </w:p>
          <w:p w14:paraId="76CCC9D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（2）2025年苏州市主要污染物排放量达到省定要求。</w:t>
            </w:r>
          </w:p>
        </w:tc>
        <w:tc>
          <w:tcPr>
            <w:tcW w:w="1801" w:type="pct"/>
            <w:vAlign w:val="center"/>
          </w:tcPr>
          <w:p w14:paraId="31AC692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项目污染物排放满足国家以及地方标准，按照环评要求配套治理措施，减少污染物排放</w:t>
            </w:r>
            <w:r>
              <w:rPr>
                <w:rFonts w:hint="eastAsia" w:ascii="Times New Roman" w:hAnsi="Times New Roman" w:eastAsia="仿宋_GB2312" w:cs="Times New Roman"/>
                <w:color w:val="auto"/>
                <w:kern w:val="2"/>
                <w:sz w:val="21"/>
                <w:szCs w:val="21"/>
                <w:lang w:val="en-US" w:eastAsia="zh-CN" w:bidi="ar-SA"/>
              </w:rPr>
              <w:t>。</w:t>
            </w:r>
          </w:p>
          <w:p w14:paraId="2969083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2.项目</w:t>
            </w:r>
            <w:r>
              <w:rPr>
                <w:rFonts w:ascii="Times New Roman" w:hAnsi="Times New Roman" w:eastAsia="仿宋_GB2312" w:cs="Times New Roman"/>
                <w:color w:val="auto"/>
                <w:kern w:val="2"/>
                <w:sz w:val="21"/>
                <w:szCs w:val="21"/>
                <w:lang w:val="en-US" w:eastAsia="zh-CN" w:bidi="ar-SA"/>
              </w:rPr>
              <w:t>严格按照已批准的污染物总量排污，维护区域环境质量。</w:t>
            </w:r>
          </w:p>
        </w:tc>
      </w:tr>
      <w:tr w14:paraId="76C3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17BC02B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环境风险防控</w:t>
            </w:r>
          </w:p>
        </w:tc>
        <w:tc>
          <w:tcPr>
            <w:tcW w:w="2546" w:type="pct"/>
            <w:vAlign w:val="center"/>
          </w:tcPr>
          <w:p w14:paraId="22BFF52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（1）强化饮用水水源环境风险管控。县级以上城市全部建成应急水源或双源供水。</w:t>
            </w:r>
          </w:p>
          <w:p w14:paraId="392BA8A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（2）落实《苏州市突发环境事件应急预案》。完善市、县级市（区）两级突发环境事件应急响应体系，定期组织演练，提高应急处置能力。</w:t>
            </w:r>
          </w:p>
        </w:tc>
        <w:tc>
          <w:tcPr>
            <w:tcW w:w="1801" w:type="pct"/>
            <w:vAlign w:val="center"/>
          </w:tcPr>
          <w:p w14:paraId="099CEB2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项目周边不涉及饮用水水源地</w:t>
            </w:r>
          </w:p>
          <w:p w14:paraId="5AF1512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建成后，应急预案体系与地方联动，并按照要求制定突发环境应急预案，配备应急物资，定期开展演练。</w:t>
            </w:r>
          </w:p>
        </w:tc>
      </w:tr>
      <w:tr w14:paraId="4878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35CE89C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资源开发效率要求</w:t>
            </w:r>
          </w:p>
        </w:tc>
        <w:tc>
          <w:tcPr>
            <w:tcW w:w="2546" w:type="pct"/>
            <w:vAlign w:val="center"/>
          </w:tcPr>
          <w:p w14:paraId="4F897CA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（1）2025年苏州市用水总量不得超过103亿立方米。</w:t>
            </w:r>
          </w:p>
          <w:p w14:paraId="687EE95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（2）2025年，苏州市耕地保有量完成国家下达任务。</w:t>
            </w:r>
          </w:p>
          <w:p w14:paraId="67CA283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（3）禁燃区禁止新建、扩建燃用高污染燃料的项目和设施，已建成的应逐步或依法限期改用天然气、电或者其他清洁能源</w:t>
            </w:r>
          </w:p>
        </w:tc>
        <w:tc>
          <w:tcPr>
            <w:tcW w:w="1801" w:type="pct"/>
            <w:vAlign w:val="center"/>
          </w:tcPr>
          <w:p w14:paraId="5A1C238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1.项目用水来自区域自来水厂，不涉及自取水。</w:t>
            </w:r>
          </w:p>
          <w:p w14:paraId="6FED67D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2.项目用地为工业用地。</w:t>
            </w:r>
          </w:p>
          <w:p w14:paraId="5176752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w:t>
            </w:r>
            <w:r>
              <w:rPr>
                <w:rFonts w:ascii="Times New Roman" w:hAnsi="Times New Roman" w:eastAsia="仿宋_GB2312" w:cs="Times New Roman"/>
                <w:color w:val="auto"/>
                <w:kern w:val="2"/>
                <w:sz w:val="21"/>
                <w:szCs w:val="21"/>
                <w:lang w:val="en-US" w:eastAsia="zh-CN" w:bidi="ar-SA"/>
              </w:rPr>
              <w:t>本项目能源为电、水、天然气，不涉及煤炭和其他高污染燃料的使用。</w:t>
            </w:r>
          </w:p>
        </w:tc>
      </w:tr>
    </w:tbl>
    <w:p w14:paraId="5224F6C6">
      <w:pPr>
        <w:rPr>
          <w:rFonts w:hint="eastAsia"/>
          <w:lang w:eastAsia="zh-CN"/>
        </w:rPr>
      </w:pPr>
      <w:r>
        <w:rPr>
          <w:rFonts w:hint="eastAsia"/>
          <w:lang w:eastAsia="zh-CN"/>
        </w:rPr>
        <w:t>对照《江苏省2023年度生态环境分区管控动态更新成果公告》，项目区属于重点管控单元--花桥北部产业区范围。</w:t>
      </w:r>
    </w:p>
    <w:p w14:paraId="630EA542">
      <w:pPr>
        <w:pStyle w:val="26"/>
        <w:bidi w:val="0"/>
        <w:rPr>
          <w:rFonts w:hint="eastAsia"/>
          <w:lang w:eastAsia="zh-CN"/>
        </w:rPr>
      </w:pPr>
      <w:r>
        <w:rPr>
          <w:rFonts w:hint="eastAsia"/>
          <w:lang w:eastAsia="zh-CN"/>
        </w:rPr>
        <w:drawing>
          <wp:inline distT="0" distB="0" distL="114300" distR="114300">
            <wp:extent cx="5266055" cy="3223895"/>
            <wp:effectExtent l="0" t="0" r="4445" b="190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6"/>
                    <a:stretch>
                      <a:fillRect/>
                    </a:stretch>
                  </pic:blipFill>
                  <pic:spPr>
                    <a:xfrm>
                      <a:off x="0" y="0"/>
                      <a:ext cx="5266055" cy="3223895"/>
                    </a:xfrm>
                    <a:prstGeom prst="rect">
                      <a:avLst/>
                    </a:prstGeom>
                    <a:noFill/>
                    <a:ln>
                      <a:noFill/>
                    </a:ln>
                  </pic:spPr>
                </pic:pic>
              </a:graphicData>
            </a:graphic>
          </wp:inline>
        </w:drawing>
      </w:r>
    </w:p>
    <w:p w14:paraId="630B2C17">
      <w:pPr>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图</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1.4</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图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生态环境分区位置关系图</w:t>
      </w:r>
    </w:p>
    <w:p w14:paraId="3A273C5F">
      <w:pPr>
        <w:rPr>
          <w:rFonts w:hint="eastAsia"/>
          <w:lang w:eastAsia="zh-CN"/>
        </w:rPr>
      </w:pPr>
      <w:r>
        <w:rPr>
          <w:rFonts w:hint="eastAsia"/>
          <w:lang w:eastAsia="zh-CN"/>
        </w:rPr>
        <w:t>对照江苏省生态环境分区管控综合服务平台数据，相符性分析如下：</w:t>
      </w:r>
    </w:p>
    <w:p w14:paraId="274E8FCE">
      <w:pPr>
        <w:bidi w:val="0"/>
        <w:spacing w:before="50" w:beforeLines="50" w:line="360" w:lineRule="auto"/>
        <w:jc w:val="center"/>
        <w:outlineLvl w:val="4"/>
        <w:rPr>
          <w:rFonts w:hint="eastAsia"/>
          <w:lang w:eastAsia="zh-CN"/>
        </w:rPr>
      </w:pPr>
      <w:r>
        <w:rPr>
          <w:rFonts w:hint="eastAsia" w:ascii="Times New Roman" w:hAnsi="Times New Roman" w:eastAsia="仿宋_GB2312" w:cstheme="minorBidi"/>
          <w:b/>
          <w:kern w:val="2"/>
          <w:sz w:val="24"/>
          <w:szCs w:val="22"/>
          <w:lang w:val="en-US" w:eastAsia="zh-CN" w:bidi="ar-SA"/>
        </w:rPr>
        <w:t>表</w:t>
      </w:r>
      <w:r>
        <w:rPr>
          <w:rFonts w:hint="eastAsia" w:ascii="Times New Roman" w:hAnsi="Times New Roman" w:eastAsia="仿宋_GB2312" w:cstheme="minorBidi"/>
          <w:b/>
          <w:kern w:val="2"/>
          <w:sz w:val="24"/>
          <w:szCs w:val="22"/>
          <w:lang w:val="en-US" w:eastAsia="zh-CN" w:bidi="ar-SA"/>
        </w:rPr>
        <w:fldChar w:fldCharType="begin"/>
      </w:r>
      <w:r>
        <w:rPr>
          <w:rFonts w:hint="eastAsia" w:ascii="Times New Roman" w:hAnsi="Times New Roman" w:eastAsia="仿宋_GB2312" w:cstheme="minorBidi"/>
          <w:b/>
          <w:kern w:val="2"/>
          <w:sz w:val="24"/>
          <w:szCs w:val="22"/>
          <w:lang w:val="en-US" w:eastAsia="zh-CN" w:bidi="ar-SA"/>
        </w:rPr>
        <w:instrText xml:space="preserve"> STYLEREF 2 \s </w:instrText>
      </w:r>
      <w:r>
        <w:rPr>
          <w:rFonts w:hint="eastAsia" w:ascii="Times New Roman" w:hAnsi="Times New Roman" w:eastAsia="仿宋_GB2312" w:cstheme="minorBidi"/>
          <w:b/>
          <w:kern w:val="2"/>
          <w:sz w:val="24"/>
          <w:szCs w:val="22"/>
          <w:lang w:val="en-US" w:eastAsia="zh-CN" w:bidi="ar-SA"/>
        </w:rPr>
        <w:fldChar w:fldCharType="separate"/>
      </w:r>
      <w:r>
        <w:rPr>
          <w:rFonts w:hint="eastAsia" w:ascii="Times New Roman" w:hAnsi="Times New Roman" w:eastAsia="仿宋_GB2312" w:cstheme="minorBidi"/>
          <w:b/>
          <w:kern w:val="2"/>
          <w:sz w:val="24"/>
          <w:szCs w:val="22"/>
          <w:lang w:val="en-US" w:eastAsia="zh-CN" w:bidi="ar-SA"/>
        </w:rPr>
        <w:t>1.4</w:t>
      </w:r>
      <w:r>
        <w:rPr>
          <w:rFonts w:hint="eastAsia" w:ascii="Times New Roman" w:hAnsi="Times New Roman" w:eastAsia="仿宋_GB2312" w:cstheme="minorBidi"/>
          <w:b/>
          <w:kern w:val="2"/>
          <w:sz w:val="24"/>
          <w:szCs w:val="22"/>
          <w:lang w:val="en-US" w:eastAsia="zh-CN" w:bidi="ar-SA"/>
        </w:rPr>
        <w:fldChar w:fldCharType="end"/>
      </w:r>
      <w:r>
        <w:rPr>
          <w:rFonts w:hint="eastAsia" w:ascii="Times New Roman" w:hAnsi="Times New Roman" w:eastAsia="仿宋_GB2312" w:cstheme="minorBidi"/>
          <w:b/>
          <w:kern w:val="2"/>
          <w:sz w:val="24"/>
          <w:szCs w:val="22"/>
          <w:lang w:val="en-US" w:eastAsia="zh-CN" w:bidi="ar-SA"/>
        </w:rPr>
        <w:noBreakHyphen/>
      </w:r>
      <w:r>
        <w:rPr>
          <w:rFonts w:hint="eastAsia" w:ascii="Times New Roman" w:hAnsi="Times New Roman" w:eastAsia="仿宋_GB2312" w:cstheme="minorBidi"/>
          <w:b/>
          <w:kern w:val="2"/>
          <w:sz w:val="24"/>
          <w:szCs w:val="22"/>
          <w:lang w:val="en-US" w:eastAsia="zh-CN" w:bidi="ar-SA"/>
        </w:rPr>
        <w:fldChar w:fldCharType="begin"/>
      </w:r>
      <w:r>
        <w:rPr>
          <w:rFonts w:hint="eastAsia" w:ascii="Times New Roman" w:hAnsi="Times New Roman" w:eastAsia="仿宋_GB2312" w:cstheme="minorBidi"/>
          <w:b/>
          <w:kern w:val="2"/>
          <w:sz w:val="24"/>
          <w:szCs w:val="22"/>
          <w:lang w:val="en-US" w:eastAsia="zh-CN" w:bidi="ar-SA"/>
        </w:rPr>
        <w:instrText xml:space="preserve"> SEQ 表 \* ARABIC \s 2 </w:instrText>
      </w:r>
      <w:r>
        <w:rPr>
          <w:rFonts w:hint="eastAsia" w:ascii="Times New Roman" w:hAnsi="Times New Roman" w:eastAsia="仿宋_GB2312" w:cstheme="minorBidi"/>
          <w:b/>
          <w:kern w:val="2"/>
          <w:sz w:val="24"/>
          <w:szCs w:val="22"/>
          <w:lang w:val="en-US" w:eastAsia="zh-CN" w:bidi="ar-SA"/>
        </w:rPr>
        <w:fldChar w:fldCharType="separate"/>
      </w:r>
      <w:r>
        <w:rPr>
          <w:rFonts w:hint="eastAsia" w:ascii="Times New Roman" w:hAnsi="Times New Roman" w:eastAsia="仿宋_GB2312" w:cstheme="minorBidi"/>
          <w:b/>
          <w:kern w:val="2"/>
          <w:sz w:val="24"/>
          <w:szCs w:val="22"/>
          <w:lang w:val="en-US" w:eastAsia="zh-CN" w:bidi="ar-SA"/>
        </w:rPr>
        <w:t>4</w:t>
      </w:r>
      <w:r>
        <w:rPr>
          <w:rFonts w:hint="eastAsia" w:ascii="Times New Roman" w:hAnsi="Times New Roman" w:eastAsia="仿宋_GB2312" w:cstheme="minorBidi"/>
          <w:b/>
          <w:kern w:val="2"/>
          <w:sz w:val="24"/>
          <w:szCs w:val="22"/>
          <w:lang w:val="en-US" w:eastAsia="zh-CN" w:bidi="ar-SA"/>
        </w:rPr>
        <w:fldChar w:fldCharType="end"/>
      </w:r>
      <w:r>
        <w:rPr>
          <w:rFonts w:hint="eastAsia" w:ascii="Times New Roman" w:hAnsi="Times New Roman" w:eastAsia="仿宋_GB2312" w:cstheme="minorBidi"/>
          <w:b/>
          <w:kern w:val="2"/>
          <w:sz w:val="24"/>
          <w:szCs w:val="22"/>
          <w:lang w:val="en-US" w:eastAsia="zh-CN" w:bidi="ar-SA"/>
        </w:rPr>
        <w:t>花桥北部产业区环境管控要求</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4063"/>
        <w:gridCol w:w="3348"/>
      </w:tblGrid>
      <w:tr w14:paraId="56FF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449D350E">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管控类别</w:t>
            </w:r>
          </w:p>
        </w:tc>
        <w:tc>
          <w:tcPr>
            <w:tcW w:w="2384" w:type="pct"/>
            <w:vAlign w:val="center"/>
          </w:tcPr>
          <w:p w14:paraId="5E093B7E">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重点管控要求</w:t>
            </w:r>
          </w:p>
        </w:tc>
        <w:tc>
          <w:tcPr>
            <w:tcW w:w="1964" w:type="pct"/>
            <w:vAlign w:val="center"/>
          </w:tcPr>
          <w:p w14:paraId="233C2FB6">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相符性分析</w:t>
            </w:r>
          </w:p>
        </w:tc>
      </w:tr>
      <w:tr w14:paraId="0B2C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125F0BB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空间布局约束</w:t>
            </w:r>
          </w:p>
        </w:tc>
        <w:tc>
          <w:tcPr>
            <w:tcW w:w="2384" w:type="pct"/>
            <w:vAlign w:val="center"/>
          </w:tcPr>
          <w:p w14:paraId="6351067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（1）禁止引进列入《产业结构调整指导目录》《江苏省工业和信息产业结构结构调整、限制、淘汰日录及能耗限额》淘汰类的产业；禁止引进列入《外商投资产业指导目录》禁止类的产业。</w:t>
            </w:r>
          </w:p>
          <w:p w14:paraId="367178F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（2）禁止引进不符合园区产业准入要求的项目。</w:t>
            </w:r>
          </w:p>
          <w:p w14:paraId="3A3A79F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（3）严格执行《江苏省太湖水污染防治条例》的分级保护要求，禁止引进不符合《条例》要求的项目。</w:t>
            </w:r>
          </w:p>
          <w:p w14:paraId="7066CC1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（4）严格执行《中华人民共和国长江保护法》。</w:t>
            </w:r>
          </w:p>
          <w:p w14:paraId="32B00E0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（5）禁止引进列入上级生态环境负面清单的项目。</w:t>
            </w:r>
          </w:p>
        </w:tc>
        <w:tc>
          <w:tcPr>
            <w:tcW w:w="1964" w:type="pct"/>
            <w:vAlign w:val="center"/>
          </w:tcPr>
          <w:p w14:paraId="2718136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（1）本项目不属于禁止类建设项目；</w:t>
            </w:r>
          </w:p>
          <w:p w14:paraId="61ADABA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（2）本项目为</w:t>
            </w:r>
            <w:r>
              <w:rPr>
                <w:rFonts w:hint="eastAsia" w:ascii="Times New Roman" w:hAnsi="Times New Roman" w:eastAsia="仿宋_GB2312" w:cs="Times New Roman"/>
                <w:color w:val="auto"/>
                <w:kern w:val="2"/>
                <w:sz w:val="21"/>
                <w:szCs w:val="21"/>
                <w:lang w:val="en-US" w:eastAsia="zh-CN" w:bidi="ar-SA"/>
              </w:rPr>
              <w:t>模具加工项目</w:t>
            </w:r>
            <w:r>
              <w:rPr>
                <w:rFonts w:ascii="Times New Roman" w:hAnsi="Times New Roman" w:eastAsia="仿宋_GB2312" w:cs="Times New Roman"/>
                <w:color w:val="auto"/>
                <w:kern w:val="2"/>
                <w:sz w:val="21"/>
                <w:szCs w:val="21"/>
                <w:lang w:val="en-US" w:eastAsia="zh-CN" w:bidi="ar-SA"/>
              </w:rPr>
              <w:t>，符合区域产业定位；</w:t>
            </w:r>
          </w:p>
          <w:p w14:paraId="5E9F70A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（3）项目</w:t>
            </w:r>
            <w:r>
              <w:rPr>
                <w:rFonts w:hint="eastAsia" w:ascii="Times New Roman" w:hAnsi="Times New Roman" w:eastAsia="仿宋_GB2312" w:cs="Times New Roman"/>
                <w:color w:val="auto"/>
                <w:kern w:val="2"/>
                <w:sz w:val="21"/>
                <w:szCs w:val="21"/>
                <w:lang w:val="en-US" w:eastAsia="zh-CN" w:bidi="ar-SA"/>
              </w:rPr>
              <w:t>生产废水不外排，</w:t>
            </w:r>
            <w:r>
              <w:rPr>
                <w:rFonts w:ascii="Times New Roman" w:hAnsi="Times New Roman" w:eastAsia="仿宋_GB2312" w:cs="Times New Roman"/>
                <w:color w:val="auto"/>
                <w:kern w:val="2"/>
                <w:sz w:val="21"/>
                <w:szCs w:val="21"/>
                <w:lang w:val="en-US" w:eastAsia="zh-CN" w:bidi="ar-SA"/>
              </w:rPr>
              <w:t>符合《江苏省太湖水污染防治条例》要求；</w:t>
            </w:r>
          </w:p>
          <w:p w14:paraId="25B16C9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（4）本项目严格执行《中华人民共和国长江保护法》；</w:t>
            </w:r>
          </w:p>
          <w:p w14:paraId="22A0BAD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（5）本项目不属于上级生态环境负面清单的项目。</w:t>
            </w:r>
          </w:p>
        </w:tc>
      </w:tr>
      <w:tr w14:paraId="38F2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52E68D0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污染物排放管控</w:t>
            </w:r>
          </w:p>
        </w:tc>
        <w:tc>
          <w:tcPr>
            <w:tcW w:w="2384" w:type="pct"/>
            <w:vAlign w:val="center"/>
          </w:tcPr>
          <w:p w14:paraId="71BC9D1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（1）园区内企业污染物排放应满足相关国家排放、地方污染物排放标准要求。</w:t>
            </w:r>
          </w:p>
          <w:p w14:paraId="6BE3052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（2）园区污染物排放总量按照园区总体规划、规划环评及审查意见的要求进行管控。</w:t>
            </w:r>
          </w:p>
          <w:p w14:paraId="7F4A3B0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（3）根据区域环境质量改善目标，采取有效措施减少主要污染物排放总量，确保区域环境质量持续改善。</w:t>
            </w:r>
          </w:p>
        </w:tc>
        <w:tc>
          <w:tcPr>
            <w:tcW w:w="1964" w:type="pct"/>
            <w:vAlign w:val="center"/>
          </w:tcPr>
          <w:p w14:paraId="5DC777D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（1）本项目污染物排放满足国家以及地方标准；</w:t>
            </w:r>
          </w:p>
          <w:p w14:paraId="484DA6D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（2）项目区域无规划环评；</w:t>
            </w:r>
          </w:p>
          <w:p w14:paraId="6607166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（3）本项目按照环评要求配套治理措施，减少污染物排放，严格按照已批准的污染物总量排污，维护区域环境质量。</w:t>
            </w:r>
          </w:p>
        </w:tc>
      </w:tr>
      <w:tr w14:paraId="612B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5CFABFA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环境风险防控</w:t>
            </w:r>
          </w:p>
        </w:tc>
        <w:tc>
          <w:tcPr>
            <w:tcW w:w="2384" w:type="pct"/>
            <w:vAlign w:val="center"/>
          </w:tcPr>
          <w:p w14:paraId="1A97091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（1）建立以园区突发环境事件应急处置机构为核心，与地方政府和企事业单位应急处置机构联动的应急响应体系，加强应急物资装备储备，编制突发环境事件应急预案，定期开展演练。</w:t>
            </w:r>
          </w:p>
          <w:p w14:paraId="2F4388C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（2）生产、使用、储存危险化学品或其他存在环境风险的企事业单位，应当制定风险防范措施，编制突发环境事件应急预案，防止发生环境事故。</w:t>
            </w:r>
          </w:p>
          <w:p w14:paraId="4CE2E53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（3）加强环境影响跟踪监测，建立健全各环境要素监控体系，完善并落实园区日常环境监测与污染源监控计划。</w:t>
            </w:r>
          </w:p>
        </w:tc>
        <w:tc>
          <w:tcPr>
            <w:tcW w:w="1964" w:type="pct"/>
            <w:vAlign w:val="center"/>
          </w:tcPr>
          <w:p w14:paraId="6AEC658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w:t>
            </w:r>
            <w:r>
              <w:rPr>
                <w:rFonts w:ascii="Times New Roman" w:hAnsi="Times New Roman" w:eastAsia="仿宋_GB2312" w:cs="Times New Roman"/>
                <w:color w:val="auto"/>
                <w:kern w:val="2"/>
                <w:sz w:val="21"/>
                <w:szCs w:val="21"/>
                <w:lang w:val="en-US" w:eastAsia="zh-CN" w:bidi="ar-SA"/>
              </w:rPr>
              <w:t>项目建成后，应急预案体系与地方联动</w:t>
            </w:r>
            <w:r>
              <w:rPr>
                <w:rFonts w:hint="eastAsia" w:ascii="Times New Roman" w:hAnsi="Times New Roman" w:eastAsia="仿宋_GB2312" w:cs="Times New Roman"/>
                <w:color w:val="auto"/>
                <w:kern w:val="2"/>
                <w:sz w:val="21"/>
                <w:szCs w:val="21"/>
                <w:lang w:val="en-US" w:eastAsia="zh-CN" w:bidi="ar-SA"/>
              </w:rPr>
              <w:t>。</w:t>
            </w:r>
          </w:p>
          <w:p w14:paraId="50E687F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按照要求制定突发环境应急预案，配备应急物资，定期开展演练。</w:t>
            </w:r>
          </w:p>
          <w:p w14:paraId="3780BEF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3.项目建成后按要求进行日常监测。</w:t>
            </w:r>
          </w:p>
        </w:tc>
      </w:tr>
      <w:tr w14:paraId="3B5F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pct"/>
            <w:vAlign w:val="center"/>
          </w:tcPr>
          <w:p w14:paraId="5DC1115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资源开发效率要求</w:t>
            </w:r>
          </w:p>
        </w:tc>
        <w:tc>
          <w:tcPr>
            <w:tcW w:w="2384" w:type="pct"/>
            <w:vAlign w:val="center"/>
          </w:tcPr>
          <w:p w14:paraId="52C2C77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（1）园区内企业清洁生产水平、单位工业增加值新鲜水耗和综合能耗应满足园区总体规划、规划环评及审查意见要求。</w:t>
            </w:r>
          </w:p>
          <w:p w14:paraId="156AF50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（2）禁止销售使用燃料为“Ⅲ类”（严格），具体包括：</w:t>
            </w:r>
          </w:p>
          <w:p w14:paraId="4347BEE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1、煤炭及其制品（包括原煤、散煤、煤矸石、煤泥、煤粉、水煤浆、型煤、焦炭、兰炭等）；</w:t>
            </w:r>
          </w:p>
          <w:p w14:paraId="3272785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2、石油焦、油页岩、原油、重油、渣油、煤焦油；</w:t>
            </w:r>
          </w:p>
          <w:p w14:paraId="6C7F305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3、非专用锅炉或未配置高效除尘设施的专用锅炉燃用的生物质成型燃料；</w:t>
            </w:r>
          </w:p>
          <w:p w14:paraId="666F57A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4、国家规定的其他高污染燃料。</w:t>
            </w:r>
          </w:p>
        </w:tc>
        <w:tc>
          <w:tcPr>
            <w:tcW w:w="1964" w:type="pct"/>
            <w:vAlign w:val="center"/>
          </w:tcPr>
          <w:p w14:paraId="0C43563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1.项目园区无规划环评，经判定，项目符合清洁生产要求。</w:t>
            </w:r>
          </w:p>
          <w:p w14:paraId="58832CF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hint="eastAsia" w:ascii="Times New Roman" w:hAnsi="Times New Roman" w:eastAsia="仿宋_GB2312" w:cs="Times New Roman"/>
                <w:color w:val="auto"/>
                <w:kern w:val="2"/>
                <w:sz w:val="21"/>
                <w:szCs w:val="21"/>
                <w:lang w:val="en-US" w:eastAsia="zh-CN" w:bidi="ar-SA"/>
              </w:rPr>
              <w:t>2.</w:t>
            </w:r>
            <w:r>
              <w:rPr>
                <w:rFonts w:ascii="Times New Roman" w:hAnsi="Times New Roman" w:eastAsia="仿宋_GB2312" w:cs="Times New Roman"/>
                <w:color w:val="auto"/>
                <w:kern w:val="2"/>
                <w:sz w:val="21"/>
                <w:szCs w:val="21"/>
                <w:lang w:val="en-US" w:eastAsia="zh-CN" w:bidi="ar-SA"/>
              </w:rPr>
              <w:t>本项目能源为电、水、天然气，不涉及煤炭和其他高污染燃料的使用，能耗符合相关要求。</w:t>
            </w:r>
          </w:p>
        </w:tc>
      </w:tr>
    </w:tbl>
    <w:p w14:paraId="5DB82E5E">
      <w:pPr>
        <w:rPr>
          <w:rFonts w:hint="eastAsia"/>
          <w:color w:val="auto"/>
        </w:rPr>
      </w:pPr>
      <w:r>
        <w:rPr>
          <w:rFonts w:hint="eastAsia"/>
          <w:color w:val="auto"/>
        </w:rPr>
        <w:t>（2）环境质量底线</w:t>
      </w:r>
    </w:p>
    <w:p w14:paraId="5D51D7FF">
      <w:pPr>
        <w:rPr>
          <w:color w:val="auto"/>
          <w:highlight w:val="none"/>
        </w:rPr>
      </w:pPr>
      <w:r>
        <w:rPr>
          <w:rFonts w:hint="eastAsia"/>
          <w:color w:val="auto"/>
        </w:rPr>
        <w:t>【大气环境质量】</w:t>
      </w:r>
      <w:r>
        <w:rPr>
          <w:rFonts w:hint="eastAsia"/>
          <w:color w:val="auto"/>
          <w:highlight w:val="none"/>
        </w:rPr>
        <w:t>根据《2024年度苏州市生态环境状况公报》，可吸入颗粒物（PM</w:t>
      </w:r>
      <w:r>
        <w:rPr>
          <w:rFonts w:hint="eastAsia"/>
          <w:color w:val="auto"/>
          <w:highlight w:val="none"/>
          <w:vertAlign w:val="subscript"/>
        </w:rPr>
        <w:t>10</w:t>
      </w:r>
      <w:r>
        <w:rPr>
          <w:rFonts w:hint="eastAsia"/>
          <w:color w:val="auto"/>
          <w:highlight w:val="none"/>
        </w:rPr>
        <w:t>）、二氧化氮（NO</w:t>
      </w:r>
      <w:r>
        <w:rPr>
          <w:rFonts w:hint="eastAsia"/>
          <w:color w:val="auto"/>
          <w:highlight w:val="none"/>
          <w:vertAlign w:val="subscript"/>
        </w:rPr>
        <w:t>2</w:t>
      </w:r>
      <w:r>
        <w:rPr>
          <w:rFonts w:hint="eastAsia"/>
          <w:color w:val="auto"/>
          <w:highlight w:val="none"/>
        </w:rPr>
        <w:t>）、细颗粒物（</w:t>
      </w:r>
      <w:r>
        <w:rPr>
          <w:rFonts w:hint="eastAsia"/>
          <w:color w:val="auto"/>
          <w:highlight w:val="none"/>
          <w:lang w:eastAsia="zh-CN"/>
        </w:rPr>
        <w:t>PM</w:t>
      </w:r>
      <w:r>
        <w:rPr>
          <w:rFonts w:hint="eastAsia"/>
          <w:color w:val="auto"/>
          <w:highlight w:val="none"/>
          <w:vertAlign w:val="subscript"/>
          <w:lang w:eastAsia="zh-CN"/>
        </w:rPr>
        <w:t>2.5</w:t>
      </w:r>
      <w:r>
        <w:rPr>
          <w:rFonts w:hint="eastAsia"/>
          <w:color w:val="auto"/>
          <w:highlight w:val="none"/>
        </w:rPr>
        <w:t>）年均浓度值均达到二级标准，二氧化硫（SO</w:t>
      </w:r>
      <w:r>
        <w:rPr>
          <w:rFonts w:hint="eastAsia"/>
          <w:color w:val="auto"/>
          <w:highlight w:val="none"/>
          <w:vertAlign w:val="subscript"/>
        </w:rPr>
        <w:t>2</w:t>
      </w:r>
      <w:r>
        <w:rPr>
          <w:rFonts w:hint="eastAsia"/>
          <w:color w:val="auto"/>
          <w:highlight w:val="none"/>
        </w:rPr>
        <w:t>）、一氧化碳（CO）24小时平均第95百分位数浓度值优于一级标准，臭氧（O</w:t>
      </w:r>
      <w:r>
        <w:rPr>
          <w:rFonts w:hint="eastAsia"/>
          <w:color w:val="auto"/>
          <w:highlight w:val="none"/>
          <w:vertAlign w:val="subscript"/>
        </w:rPr>
        <w:t>3</w:t>
      </w:r>
      <w:r>
        <w:rPr>
          <w:rFonts w:hint="eastAsia"/>
          <w:color w:val="auto"/>
          <w:highlight w:val="none"/>
        </w:rPr>
        <w:t>）日最大8小时滑动平均值的第90百分位数浓度值超过二级标准。</w:t>
      </w:r>
    </w:p>
    <w:p w14:paraId="7B026699">
      <w:pPr>
        <w:rPr>
          <w:rFonts w:hint="eastAsia"/>
          <w:color w:val="auto"/>
          <w:highlight w:val="none"/>
        </w:rPr>
      </w:pPr>
      <w:r>
        <w:rPr>
          <w:rFonts w:hint="eastAsia"/>
          <w:color w:val="auto"/>
          <w:highlight w:val="none"/>
        </w:rPr>
        <w:t>根据《环境影响评价技术导则大气环境》（HJ2.2-2018）6.4.1.1判定，</w:t>
      </w:r>
      <w:r>
        <w:rPr>
          <w:rFonts w:hint="eastAsia"/>
          <w:color w:val="auto"/>
          <w:highlight w:val="none"/>
          <w:lang w:val="en-US" w:eastAsia="zh-CN"/>
        </w:rPr>
        <w:t>昆山市</w:t>
      </w:r>
      <w:r>
        <w:rPr>
          <w:rFonts w:hint="eastAsia"/>
          <w:color w:val="auto"/>
          <w:highlight w:val="none"/>
        </w:rPr>
        <w:t>环境空气质量不达标，不达标因子为</w:t>
      </w:r>
      <w:r>
        <w:rPr>
          <w:color w:val="auto"/>
          <w:highlight w:val="none"/>
        </w:rPr>
        <w:t>O</w:t>
      </w:r>
      <w:r>
        <w:rPr>
          <w:color w:val="auto"/>
          <w:highlight w:val="none"/>
          <w:vertAlign w:val="subscript"/>
        </w:rPr>
        <w:t>3</w:t>
      </w:r>
      <w:r>
        <w:rPr>
          <w:rFonts w:hint="eastAsia"/>
          <w:color w:val="auto"/>
          <w:highlight w:val="none"/>
        </w:rPr>
        <w:t>。为进一步改善环境质量，根据《昆山市空气质量持续改善行动计划实施方案》（昆政发〔2024〕29号），环境空气质量改善措施如下：主要目标是：到2025年，全市PM</w:t>
      </w:r>
      <w:r>
        <w:rPr>
          <w:rFonts w:hint="eastAsia"/>
          <w:color w:val="auto"/>
          <w:highlight w:val="none"/>
          <w:vertAlign w:val="subscript"/>
        </w:rPr>
        <w:t>2.5</w:t>
      </w:r>
      <w:r>
        <w:rPr>
          <w:rFonts w:hint="eastAsia"/>
          <w:color w:val="auto"/>
          <w:highlight w:val="none"/>
        </w:rPr>
        <w:t>浓度保持28微克/立方米左右，重度及以上污染天数控制在1天以内；氮氧化物和VOCs排放总量比2020年分别下降10%以上，完成苏州下达的减排目标。</w:t>
      </w:r>
    </w:p>
    <w:p w14:paraId="62DEF4D4">
      <w:pPr>
        <w:rPr>
          <w:rFonts w:hint="eastAsia"/>
          <w:color w:val="auto"/>
          <w:highlight w:val="none"/>
        </w:rPr>
      </w:pPr>
      <w:r>
        <w:rPr>
          <w:rFonts w:hint="eastAsia"/>
          <w:color w:val="auto"/>
          <w:highlight w:val="none"/>
        </w:rPr>
        <w:t>重点工作任务包括：</w:t>
      </w:r>
    </w:p>
    <w:p w14:paraId="1030E60B">
      <w:pPr>
        <w:rPr>
          <w:rFonts w:hint="eastAsia"/>
          <w:color w:val="auto"/>
          <w:highlight w:val="none"/>
        </w:rPr>
      </w:pPr>
      <w:r>
        <w:rPr>
          <w:rFonts w:hint="eastAsia"/>
          <w:color w:val="auto"/>
          <w:highlight w:val="none"/>
        </w:rPr>
        <w:t>①优化产业结构，促进产业绿色低碳升级。坚决遏制高耗能、高排放、低水平项目盲目上马，加快退出重点行业落后产能，推进园区、产业集群绿色低碳化改造与综合整治，优化含VOCs原辅材料和产品结构。</w:t>
      </w:r>
    </w:p>
    <w:p w14:paraId="6459204B">
      <w:pPr>
        <w:rPr>
          <w:rFonts w:hint="eastAsia"/>
          <w:color w:val="auto"/>
          <w:highlight w:val="none"/>
        </w:rPr>
      </w:pPr>
      <w:r>
        <w:rPr>
          <w:rFonts w:hint="eastAsia"/>
          <w:color w:val="auto"/>
          <w:highlight w:val="none"/>
        </w:rPr>
        <w:t>②优化能源结构，加快能源清洁低碳高效发展。大力发展新能源和清洁能源，严格合理控制煤炭消费总量，持续降低重点领域能耗强度，推进燃煤锅炉关停整合和工业炉窑清洁能源替代。</w:t>
      </w:r>
    </w:p>
    <w:p w14:paraId="5E7601C8">
      <w:pPr>
        <w:rPr>
          <w:rFonts w:hint="eastAsia"/>
          <w:color w:val="auto"/>
          <w:highlight w:val="none"/>
        </w:rPr>
      </w:pPr>
      <w:r>
        <w:rPr>
          <w:rFonts w:hint="eastAsia"/>
          <w:color w:val="auto"/>
          <w:highlight w:val="none"/>
        </w:rPr>
        <w:t>③优化交通结构，大力发展绿色运输体系。持续优化调整货物运输结构，加快提升机动车清洁化水平，强化非道路移动源综合治理。</w:t>
      </w:r>
    </w:p>
    <w:p w14:paraId="1A57F124">
      <w:pPr>
        <w:rPr>
          <w:rFonts w:hint="eastAsia"/>
          <w:color w:val="auto"/>
          <w:highlight w:val="none"/>
        </w:rPr>
      </w:pPr>
      <w:r>
        <w:rPr>
          <w:rFonts w:hint="eastAsia"/>
          <w:color w:val="auto"/>
          <w:highlight w:val="none"/>
        </w:rPr>
        <w:t>④强化多污染物减排，切实降低排放强度。加强扬尘精细化管控，加强秸秆综合利用和禁烧，加强烟花爆竹禁放管理，强化VOCs全流程、全环节综合治理，推进重点行业超低排放与提标改造，开展餐饮油烟、恶臭异味专项治理，稳步推进大气污染防控。</w:t>
      </w:r>
    </w:p>
    <w:p w14:paraId="5D32C03D">
      <w:pPr>
        <w:rPr>
          <w:rFonts w:hint="eastAsia"/>
          <w:color w:val="auto"/>
          <w:highlight w:val="none"/>
        </w:rPr>
      </w:pPr>
      <w:r>
        <w:rPr>
          <w:rFonts w:hint="eastAsia"/>
          <w:color w:val="auto"/>
          <w:highlight w:val="none"/>
        </w:rPr>
        <w:t>⑤加强机制建设，完善大气环境管理体系。进一步巩固空气质量改善成效，实施区域联防联控，完善重污染天气应对机制。</w:t>
      </w:r>
    </w:p>
    <w:p w14:paraId="1595B1A5">
      <w:pPr>
        <w:rPr>
          <w:rFonts w:hint="eastAsia"/>
          <w:color w:val="auto"/>
          <w:highlight w:val="none"/>
        </w:rPr>
      </w:pPr>
      <w:r>
        <w:rPr>
          <w:rFonts w:hint="eastAsia"/>
          <w:color w:val="auto"/>
          <w:highlight w:val="none"/>
        </w:rPr>
        <w:t>⑥加强能力建设，严格执法监督。加强监测和执法监管能力建设。通过采取上述措施，昆山市区的环境空气质量将逐步改善。</w:t>
      </w:r>
    </w:p>
    <w:p w14:paraId="4CF052CC">
      <w:pPr>
        <w:rPr>
          <w:rFonts w:hint="eastAsia"/>
          <w:color w:val="auto"/>
          <w:highlight w:val="none"/>
        </w:rPr>
      </w:pPr>
      <w:r>
        <w:rPr>
          <w:rFonts w:hint="eastAsia"/>
          <w:color w:val="auto"/>
          <w:highlight w:val="none"/>
        </w:rPr>
        <w:t>⑦健全标准规范体系，完善环境经济政策。加强决策科技支撑，强化标准引领，积极发挥财政金融引导作用。在采取上述措施后，昆山市大气环境质量状况可以得到持续改善。</w:t>
      </w:r>
    </w:p>
    <w:p w14:paraId="30EF3991">
      <w:pPr>
        <w:rPr>
          <w:rFonts w:hint="eastAsia"/>
          <w:color w:val="FF0000"/>
          <w:highlight w:val="yellow"/>
        </w:rPr>
      </w:pPr>
      <w:r>
        <w:rPr>
          <w:rFonts w:hint="eastAsia"/>
          <w:color w:val="FF0000"/>
          <w:highlight w:val="yellow"/>
        </w:rPr>
        <w:t>根据历史监测数据及补充监测数据，特征因子非甲烷总烃、氨、硫化氢等均满足环境质量标准。同时，本项目通过“以新带老”措施对现有废气处理措施提升改造，经预测对大气环境影响较小，符合大气环境质量底线。</w:t>
      </w:r>
    </w:p>
    <w:p w14:paraId="00D89427">
      <w:pPr>
        <w:rPr>
          <w:rFonts w:hint="eastAsia"/>
          <w:color w:val="FF0000"/>
        </w:rPr>
      </w:pPr>
      <w:r>
        <w:rPr>
          <w:rFonts w:hint="eastAsia"/>
          <w:color w:val="auto"/>
        </w:rPr>
        <w:t>【地表水环境质量】根据《2024年度苏州市生态环境状况公报》</w:t>
      </w:r>
      <w:r>
        <w:rPr>
          <w:rFonts w:hint="eastAsia"/>
          <w:color w:val="auto"/>
          <w:lang w:eastAsia="zh-CN"/>
        </w:rPr>
        <w:t>，</w:t>
      </w:r>
      <w:r>
        <w:rPr>
          <w:rFonts w:hint="eastAsia"/>
          <w:color w:val="auto"/>
        </w:rPr>
        <w:t>2024年，全市地表水环境质量稳中向好，国、省考断面水质均达到年度考核目标要求</w:t>
      </w:r>
      <w:r>
        <w:rPr>
          <w:rFonts w:hint="eastAsia"/>
          <w:color w:val="auto"/>
          <w:lang w:eastAsia="zh-CN"/>
        </w:rPr>
        <w:t>；</w:t>
      </w:r>
      <w:r>
        <w:rPr>
          <w:rFonts w:hint="eastAsia"/>
          <w:color w:val="FF0000"/>
        </w:rPr>
        <w:t>引用地表水现状监测数据，朝南港各监测断面pH、COD、氨氮、总磷浓度均能达到《地表水环境质量标准》（GB3838-2002）中Ⅳ类水质标准。</w:t>
      </w:r>
    </w:p>
    <w:p w14:paraId="6A0C75FC">
      <w:pPr>
        <w:rPr>
          <w:rFonts w:hint="eastAsia"/>
          <w:color w:val="auto"/>
        </w:rPr>
      </w:pPr>
      <w:r>
        <w:rPr>
          <w:rFonts w:hint="eastAsia"/>
          <w:color w:val="auto"/>
        </w:rPr>
        <w:t>【噪声环境质量】根据噪声现状监测，厂界各监测点均达到《工业企业厂界环境噪声排放标准》（GB12348-2008）表1（3类声功能区）限值，表明项目所在地声环境质量较好。</w:t>
      </w:r>
    </w:p>
    <w:p w14:paraId="6447BD85">
      <w:pPr>
        <w:rPr>
          <w:rFonts w:hint="eastAsia"/>
          <w:color w:val="FF0000"/>
        </w:rPr>
      </w:pPr>
      <w:r>
        <w:rPr>
          <w:rFonts w:hint="eastAsia"/>
          <w:color w:val="auto"/>
        </w:rPr>
        <w:t>【土壤及地下水环境质量】</w:t>
      </w:r>
      <w:r>
        <w:rPr>
          <w:rFonts w:hint="eastAsia"/>
          <w:color w:val="FF0000"/>
        </w:rPr>
        <w:t>根据引用数据及现状监测数据，本次评价范围内各土壤监测点位重金属和无机物、挥发性有机物、半挥发性有机物土壤环境均满足《土壤环境质量建设用地土壤污染风险管控标准》（GB36600-2018）中表1第二类用地筛选值。因此，项目地土壤环境质量良好。</w:t>
      </w:r>
    </w:p>
    <w:p w14:paraId="3939613B">
      <w:pPr>
        <w:rPr>
          <w:rFonts w:hint="eastAsia"/>
          <w:color w:val="FF0000"/>
        </w:rPr>
      </w:pPr>
      <w:r>
        <w:rPr>
          <w:rFonts w:hint="eastAsia"/>
          <w:color w:val="FF0000"/>
        </w:rPr>
        <w:t>地下水现状监测结果表明，</w:t>
      </w:r>
      <w:r>
        <w:rPr>
          <w:rFonts w:hint="eastAsia"/>
          <w:color w:val="FF0000"/>
          <w:lang w:val="en-US" w:eastAsia="zh-CN"/>
        </w:rPr>
        <w:t>除总硬度外，</w:t>
      </w:r>
      <w:r>
        <w:rPr>
          <w:rFonts w:hint="eastAsia"/>
          <w:color w:val="FF0000"/>
        </w:rPr>
        <w:t>各因子均达到《地下水质量标准》(GB/T14848-2017)中的Ⅳ类及以上标准。本项目正常运行不会对地下水产生影响，根据非正常状况的预测结果，污染物浓度对厂界外的地下水环境影响可忽略不计。</w:t>
      </w:r>
    </w:p>
    <w:p w14:paraId="2DA68F48">
      <w:pPr>
        <w:rPr>
          <w:rFonts w:hint="eastAsia"/>
          <w:color w:val="auto"/>
        </w:rPr>
      </w:pPr>
      <w:r>
        <w:rPr>
          <w:rFonts w:hint="eastAsia"/>
          <w:color w:val="auto"/>
        </w:rPr>
        <w:t>通过现状监测与调查，说明项目区域的水、气、声、土壤环境质量较好，满足环境质量底线要求。</w:t>
      </w:r>
    </w:p>
    <w:p w14:paraId="5F5D9C78">
      <w:pPr>
        <w:rPr>
          <w:rFonts w:hint="eastAsia"/>
          <w:color w:val="auto"/>
        </w:rPr>
      </w:pPr>
      <w:r>
        <w:rPr>
          <w:rFonts w:hint="eastAsia"/>
          <w:color w:val="auto"/>
        </w:rPr>
        <w:t>（3）资源利用上线</w:t>
      </w:r>
    </w:p>
    <w:p w14:paraId="062F4127">
      <w:pPr>
        <w:rPr>
          <w:color w:val="auto"/>
        </w:rPr>
      </w:pPr>
      <w:r>
        <w:rPr>
          <w:rFonts w:hint="eastAsia"/>
          <w:color w:val="auto"/>
        </w:rPr>
        <w:t>本项目位于</w:t>
      </w:r>
      <w:r>
        <w:rPr>
          <w:rFonts w:hint="eastAsia"/>
          <w:color w:val="auto"/>
          <w:lang w:eastAsia="zh-CN"/>
        </w:rPr>
        <w:t>昆山市花桥镇逢善路358号</w:t>
      </w:r>
      <w:r>
        <w:rPr>
          <w:rFonts w:hint="eastAsia"/>
          <w:color w:val="auto"/>
        </w:rPr>
        <w:t>，交通运输便捷，项目原辅料和成品运输十分方便迅捷。利用现有厂区</w:t>
      </w:r>
      <w:r>
        <w:rPr>
          <w:rFonts w:hint="eastAsia"/>
          <w:color w:val="auto"/>
          <w:lang w:val="en-US" w:eastAsia="zh-CN"/>
        </w:rPr>
        <w:t>厂房进行改造扩建</w:t>
      </w:r>
      <w:r>
        <w:rPr>
          <w:rFonts w:hint="eastAsia"/>
          <w:color w:val="auto"/>
        </w:rPr>
        <w:t>，不新增用地</w:t>
      </w:r>
      <w:r>
        <w:rPr>
          <w:rFonts w:hint="eastAsia"/>
          <w:color w:val="auto"/>
          <w:lang w:eastAsia="zh-CN"/>
        </w:rPr>
        <w:t>，</w:t>
      </w:r>
      <w:r>
        <w:rPr>
          <w:rFonts w:hint="eastAsia"/>
          <w:color w:val="auto"/>
          <w:lang w:val="en-US" w:eastAsia="zh-CN"/>
        </w:rPr>
        <w:t>新建公辅用房</w:t>
      </w:r>
      <w:r>
        <w:rPr>
          <w:rFonts w:hint="eastAsia"/>
          <w:color w:val="auto"/>
        </w:rPr>
        <w:t>。所在区域基础设施较为完善，用水来源为市政自来水管网；用电由市供电公司电网接入。项目资源消耗量相对区域资源利用总量较少，</w:t>
      </w:r>
      <w:r>
        <w:rPr>
          <w:rFonts w:hint="eastAsia"/>
          <w:color w:val="FF0000"/>
          <w:highlight w:val="yellow"/>
          <w:lang w:val="en-US" w:eastAsia="zh-CN"/>
        </w:rPr>
        <w:t>符合《电镀行业清洁生产评价指标体系》（DB32/T 5379—2026）Ⅰ级清洁生产水平，</w:t>
      </w:r>
      <w:r>
        <w:rPr>
          <w:rFonts w:hint="eastAsia"/>
          <w:color w:val="auto"/>
        </w:rPr>
        <w:t>项目建设与资源利用上线相符。</w:t>
      </w:r>
    </w:p>
    <w:p w14:paraId="5DE32558">
      <w:pPr>
        <w:rPr>
          <w:color w:val="auto"/>
        </w:rPr>
      </w:pPr>
      <w:r>
        <w:rPr>
          <w:rFonts w:hint="eastAsia"/>
          <w:color w:val="auto"/>
        </w:rPr>
        <w:t>（4）生态环境准入清单</w:t>
      </w:r>
    </w:p>
    <w:p w14:paraId="332F0397">
      <w:pPr>
        <w:rPr>
          <w:rFonts w:hint="eastAsia"/>
          <w:color w:val="auto"/>
          <w:lang w:eastAsia="zh-CN"/>
        </w:rPr>
      </w:pPr>
      <w:r>
        <w:rPr>
          <w:rFonts w:hint="eastAsia"/>
          <w:color w:val="auto"/>
        </w:rPr>
        <w:t>本项目位于</w:t>
      </w:r>
      <w:r>
        <w:rPr>
          <w:rFonts w:hint="eastAsia"/>
          <w:color w:val="auto"/>
          <w:lang w:eastAsia="zh-CN"/>
        </w:rPr>
        <w:t>昆山市花桥镇逢善路358号</w:t>
      </w:r>
      <w:r>
        <w:rPr>
          <w:rFonts w:hint="eastAsia"/>
          <w:color w:val="auto"/>
        </w:rPr>
        <w:t>，项目所在园区无规划环评，未单独制定产业发展负面清单，项目不涉及外商投资，对照国家及相关部门负面清单，</w:t>
      </w:r>
      <w:r>
        <w:rPr>
          <w:rFonts w:hint="eastAsia"/>
          <w:color w:val="auto"/>
          <w:lang w:eastAsia="zh-CN"/>
        </w:rPr>
        <w:t>相符性分析如下表所示：</w:t>
      </w:r>
    </w:p>
    <w:p w14:paraId="0FF5EE7C">
      <w:pPr>
        <w:pStyle w:val="25"/>
        <w:bidi w:val="0"/>
        <w:rPr>
          <w:rFonts w:hint="eastAsia"/>
          <w:lang w:eastAsia="zh-CN"/>
        </w:rPr>
      </w:pPr>
      <w:r>
        <w:rPr>
          <w:rFonts w:hint="eastAsia"/>
          <w:lang w:eastAsia="zh-CN"/>
        </w:rPr>
        <w:t>表</w:t>
      </w:r>
      <w:r>
        <w:rPr>
          <w:rFonts w:hint="eastAsia"/>
          <w:lang w:eastAsia="zh-CN"/>
        </w:rPr>
        <w:fldChar w:fldCharType="begin"/>
      </w:r>
      <w:r>
        <w:rPr>
          <w:rFonts w:hint="eastAsia"/>
          <w:lang w:eastAsia="zh-CN"/>
        </w:rPr>
        <w:instrText xml:space="preserve"> STYLEREF 2 \s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noBreakHyphen/>
      </w:r>
      <w:r>
        <w:rPr>
          <w:rFonts w:hint="eastAsia"/>
          <w:lang w:eastAsia="zh-CN"/>
        </w:rPr>
        <w:fldChar w:fldCharType="begin"/>
      </w:r>
      <w:r>
        <w:rPr>
          <w:rFonts w:hint="eastAsia"/>
          <w:lang w:eastAsia="zh-CN"/>
        </w:rPr>
        <w:instrText xml:space="preserve"> SEQ 表 \* ARABIC \s 2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环境准入负面清单相符性分析表</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1"/>
        <w:gridCol w:w="4625"/>
        <w:gridCol w:w="1246"/>
      </w:tblGrid>
      <w:tr w14:paraId="455A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pct"/>
            <w:vAlign w:val="center"/>
          </w:tcPr>
          <w:p w14:paraId="7B261D95">
            <w:pPr>
              <w:pStyle w:val="36"/>
              <w:bidi w:val="0"/>
              <w:rPr>
                <w:color w:val="auto"/>
              </w:rPr>
            </w:pPr>
            <w:bookmarkStart w:id="30" w:name="_Hlk155786715"/>
            <w:bookmarkStart w:id="31" w:name="_Ref162426562"/>
            <w:bookmarkStart w:id="32" w:name="_Hlk156466966"/>
            <w:r>
              <w:rPr>
                <w:color w:val="auto"/>
              </w:rPr>
              <w:t>类别</w:t>
            </w:r>
          </w:p>
        </w:tc>
        <w:tc>
          <w:tcPr>
            <w:tcW w:w="2713" w:type="pct"/>
            <w:vAlign w:val="center"/>
          </w:tcPr>
          <w:p w14:paraId="244AB6A0">
            <w:pPr>
              <w:pStyle w:val="36"/>
              <w:bidi w:val="0"/>
              <w:rPr>
                <w:color w:val="auto"/>
              </w:rPr>
            </w:pPr>
            <w:r>
              <w:rPr>
                <w:color w:val="auto"/>
              </w:rPr>
              <w:t>本项目情况</w:t>
            </w:r>
          </w:p>
        </w:tc>
        <w:tc>
          <w:tcPr>
            <w:tcW w:w="731" w:type="pct"/>
            <w:vAlign w:val="center"/>
          </w:tcPr>
          <w:p w14:paraId="188A9C37">
            <w:pPr>
              <w:pStyle w:val="36"/>
              <w:bidi w:val="0"/>
              <w:rPr>
                <w:color w:val="auto"/>
              </w:rPr>
            </w:pPr>
            <w:r>
              <w:rPr>
                <w:color w:val="auto"/>
              </w:rPr>
              <w:t>相符性</w:t>
            </w:r>
          </w:p>
        </w:tc>
      </w:tr>
      <w:tr w14:paraId="4EC3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pct"/>
            <w:vAlign w:val="center"/>
          </w:tcPr>
          <w:p w14:paraId="213F4428">
            <w:pPr>
              <w:pStyle w:val="26"/>
              <w:bidi w:val="0"/>
              <w:rPr>
                <w:color w:val="auto"/>
              </w:rPr>
            </w:pPr>
            <w:r>
              <w:rPr>
                <w:rFonts w:hint="eastAsia"/>
                <w:color w:val="auto"/>
                <w:lang w:val="en-US" w:eastAsia="zh-CN"/>
              </w:rPr>
              <w:t>《长江经济带发展负面清单指南（试行，</w:t>
            </w:r>
            <w:r>
              <w:rPr>
                <w:rFonts w:hint="default"/>
                <w:color w:val="auto"/>
                <w:lang w:val="en-US" w:eastAsia="zh-CN"/>
              </w:rPr>
              <w:t>2022</w:t>
            </w:r>
            <w:r>
              <w:rPr>
                <w:rFonts w:hint="eastAsia"/>
                <w:color w:val="auto"/>
                <w:lang w:val="en-US" w:eastAsia="zh-CN"/>
              </w:rPr>
              <w:t>年版）》</w:t>
            </w:r>
          </w:p>
        </w:tc>
        <w:tc>
          <w:tcPr>
            <w:tcW w:w="2713" w:type="pct"/>
            <w:vAlign w:val="center"/>
          </w:tcPr>
          <w:p w14:paraId="0238B953">
            <w:pPr>
              <w:pStyle w:val="26"/>
              <w:bidi w:val="0"/>
              <w:rPr>
                <w:color w:val="auto"/>
              </w:rPr>
            </w:pPr>
            <w:r>
              <w:rPr>
                <w:color w:val="auto"/>
              </w:rPr>
              <w:t>本项目不在</w:t>
            </w:r>
            <w:r>
              <w:rPr>
                <w:rFonts w:hint="eastAsia"/>
                <w:color w:val="auto"/>
                <w:lang w:val="en-US" w:eastAsia="zh-CN"/>
              </w:rPr>
              <w:t>《长江经济带发展负面清单指南（试行，</w:t>
            </w:r>
            <w:r>
              <w:rPr>
                <w:rFonts w:hint="default"/>
                <w:color w:val="auto"/>
                <w:lang w:val="en-US" w:eastAsia="zh-CN"/>
              </w:rPr>
              <w:t>2022</w:t>
            </w:r>
            <w:r>
              <w:rPr>
                <w:rFonts w:hint="eastAsia"/>
                <w:color w:val="auto"/>
                <w:lang w:val="en-US" w:eastAsia="zh-CN"/>
              </w:rPr>
              <w:t>年版）》</w:t>
            </w:r>
            <w:r>
              <w:rPr>
                <w:color w:val="auto"/>
              </w:rPr>
              <w:t>范围内</w:t>
            </w:r>
          </w:p>
        </w:tc>
        <w:tc>
          <w:tcPr>
            <w:tcW w:w="731" w:type="pct"/>
            <w:vAlign w:val="center"/>
          </w:tcPr>
          <w:p w14:paraId="396E6615">
            <w:pPr>
              <w:pStyle w:val="26"/>
              <w:bidi w:val="0"/>
              <w:rPr>
                <w:color w:val="auto"/>
              </w:rPr>
            </w:pPr>
            <w:r>
              <w:rPr>
                <w:color w:val="auto"/>
              </w:rPr>
              <w:t>相符</w:t>
            </w:r>
          </w:p>
        </w:tc>
      </w:tr>
      <w:tr w14:paraId="7222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pct"/>
            <w:vAlign w:val="center"/>
          </w:tcPr>
          <w:p w14:paraId="6363EFB4">
            <w:pPr>
              <w:pStyle w:val="26"/>
              <w:bidi w:val="0"/>
              <w:rPr>
                <w:color w:val="auto"/>
              </w:rPr>
            </w:pPr>
            <w:r>
              <w:rPr>
                <w:color w:val="auto"/>
              </w:rPr>
              <w:t>《&lt;长江经济带发展负面清单指南（试行，2022年版）&gt;江苏省实施细则》</w:t>
            </w:r>
          </w:p>
        </w:tc>
        <w:tc>
          <w:tcPr>
            <w:tcW w:w="2713" w:type="pct"/>
            <w:vAlign w:val="center"/>
          </w:tcPr>
          <w:p w14:paraId="50030D63">
            <w:pPr>
              <w:pStyle w:val="26"/>
              <w:bidi w:val="0"/>
              <w:rPr>
                <w:rFonts w:hint="eastAsia" w:eastAsia="仿宋_GB2312"/>
                <w:color w:val="auto"/>
                <w:lang w:val="en-US" w:eastAsia="zh-CN"/>
              </w:rPr>
            </w:pPr>
            <w:r>
              <w:rPr>
                <w:color w:val="auto"/>
              </w:rPr>
              <w:t>本项目不在《长江经济带发展负面清单指南（试行，2022年版）》所列禁止</w:t>
            </w:r>
            <w:r>
              <w:rPr>
                <w:rFonts w:hint="eastAsia"/>
                <w:color w:val="auto"/>
                <w:lang w:val="en-US" w:eastAsia="zh-CN"/>
              </w:rPr>
              <w:t>范围内</w:t>
            </w:r>
          </w:p>
        </w:tc>
        <w:tc>
          <w:tcPr>
            <w:tcW w:w="731" w:type="pct"/>
            <w:vAlign w:val="center"/>
          </w:tcPr>
          <w:p w14:paraId="61E635AB">
            <w:pPr>
              <w:pStyle w:val="26"/>
              <w:bidi w:val="0"/>
              <w:rPr>
                <w:color w:val="auto"/>
              </w:rPr>
            </w:pPr>
            <w:r>
              <w:rPr>
                <w:color w:val="auto"/>
              </w:rPr>
              <w:t>相符</w:t>
            </w:r>
          </w:p>
        </w:tc>
      </w:tr>
      <w:tr w14:paraId="4965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pct"/>
            <w:vAlign w:val="center"/>
          </w:tcPr>
          <w:p w14:paraId="20B5D919">
            <w:pPr>
              <w:pStyle w:val="26"/>
              <w:bidi w:val="0"/>
              <w:rPr>
                <w:color w:val="auto"/>
              </w:rPr>
            </w:pPr>
            <w:r>
              <w:rPr>
                <w:color w:val="auto"/>
              </w:rPr>
              <w:t>《市场准入负面清单（202</w:t>
            </w:r>
            <w:r>
              <w:rPr>
                <w:rFonts w:hint="eastAsia"/>
                <w:color w:val="auto"/>
                <w:lang w:val="en-US" w:eastAsia="zh-CN"/>
              </w:rPr>
              <w:t>5</w:t>
            </w:r>
            <w:r>
              <w:rPr>
                <w:color w:val="auto"/>
              </w:rPr>
              <w:t>年版）》</w:t>
            </w:r>
          </w:p>
        </w:tc>
        <w:tc>
          <w:tcPr>
            <w:tcW w:w="2713" w:type="pct"/>
            <w:vAlign w:val="center"/>
          </w:tcPr>
          <w:p w14:paraId="35554826">
            <w:pPr>
              <w:pStyle w:val="26"/>
              <w:bidi w:val="0"/>
              <w:rPr>
                <w:color w:val="auto"/>
              </w:rPr>
            </w:pPr>
            <w:r>
              <w:rPr>
                <w:color w:val="auto"/>
              </w:rPr>
              <w:t>经查《市场准入负面清单（202</w:t>
            </w:r>
            <w:r>
              <w:rPr>
                <w:rFonts w:hint="eastAsia"/>
                <w:color w:val="auto"/>
                <w:lang w:val="en-US" w:eastAsia="zh-CN"/>
              </w:rPr>
              <w:t>5</w:t>
            </w:r>
            <w:r>
              <w:rPr>
                <w:color w:val="auto"/>
              </w:rPr>
              <w:t>年版）》，本项目不在其禁止准入类中</w:t>
            </w:r>
          </w:p>
        </w:tc>
        <w:tc>
          <w:tcPr>
            <w:tcW w:w="731" w:type="pct"/>
            <w:vAlign w:val="center"/>
          </w:tcPr>
          <w:p w14:paraId="2601ED22">
            <w:pPr>
              <w:pStyle w:val="26"/>
              <w:bidi w:val="0"/>
              <w:rPr>
                <w:color w:val="auto"/>
              </w:rPr>
            </w:pPr>
            <w:r>
              <w:rPr>
                <w:color w:val="auto"/>
              </w:rPr>
              <w:t>相符</w:t>
            </w:r>
          </w:p>
        </w:tc>
      </w:tr>
    </w:tbl>
    <w:p w14:paraId="2AFD2317">
      <w:pPr>
        <w:pStyle w:val="26"/>
        <w:bidi w:val="0"/>
        <w:rPr>
          <w:rFonts w:hint="eastAsia"/>
          <w:color w:val="auto"/>
        </w:rPr>
      </w:pPr>
    </w:p>
    <w:p w14:paraId="770DEA47">
      <w:pPr>
        <w:bidi w:val="0"/>
        <w:rPr>
          <w:rFonts w:hint="eastAsia"/>
          <w:color w:val="auto"/>
        </w:rPr>
      </w:pPr>
      <w:r>
        <w:rPr>
          <w:rFonts w:hint="eastAsia"/>
          <w:color w:val="auto"/>
        </w:rPr>
        <w:t>根据</w:t>
      </w:r>
      <w:r>
        <w:rPr>
          <w:rFonts w:hint="eastAsia"/>
          <w:color w:val="auto"/>
          <w:lang w:val="en-US" w:eastAsia="zh-CN"/>
        </w:rPr>
        <w:t>下表</w:t>
      </w:r>
      <w:r>
        <w:rPr>
          <w:rFonts w:hint="eastAsia"/>
          <w:color w:val="auto"/>
        </w:rPr>
        <w:t>分析，本项目符合《长江经济带发展负面清单指南（试行，2022年版）》及《&lt;长江经济带发展负面清单指南（试行，2022年版）&gt;江苏省实施细则》相关要求。</w:t>
      </w:r>
    </w:p>
    <w:p w14:paraId="726DCF32">
      <w:pPr>
        <w:bidi w:val="0"/>
        <w:rPr>
          <w:rFonts w:hint="eastAsia"/>
          <w:color w:val="auto"/>
        </w:rPr>
      </w:pPr>
      <w:r>
        <w:rPr>
          <w:rFonts w:hint="eastAsia"/>
          <w:color w:val="auto"/>
        </w:rPr>
        <w:t>对照《市场准入负面清单（2025年版）》，本项目亦不属于清单所限制的产业类型。</w:t>
      </w:r>
    </w:p>
    <w:bookmarkEnd w:id="30"/>
    <w:bookmarkEnd w:id="31"/>
    <w:bookmarkEnd w:id="32"/>
    <w:p w14:paraId="55480861">
      <w:pPr>
        <w:pStyle w:val="25"/>
        <w:rPr>
          <w:color w:val="auto"/>
        </w:rPr>
      </w:pPr>
      <w:bookmarkStart w:id="33" w:name="_Hlk156463526"/>
      <w:bookmarkStart w:id="34" w:name="_Hlk156479646"/>
      <w:r>
        <w:rPr>
          <w:color w:val="auto"/>
        </w:rPr>
        <w:t>表</w:t>
      </w:r>
      <w:r>
        <w:rPr>
          <w:color w:val="auto"/>
        </w:rPr>
        <w:fldChar w:fldCharType="begin"/>
      </w:r>
      <w:r>
        <w:rPr>
          <w:color w:val="auto"/>
        </w:rPr>
        <w:instrText xml:space="preserve"> STYLEREF 2 \s </w:instrText>
      </w:r>
      <w:r>
        <w:rPr>
          <w:color w:val="auto"/>
        </w:rPr>
        <w:fldChar w:fldCharType="separate"/>
      </w:r>
      <w:r>
        <w:rPr>
          <w:color w:val="auto"/>
        </w:rPr>
        <w:t>1.4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6</w:t>
      </w:r>
      <w:r>
        <w:rPr>
          <w:color w:val="auto"/>
        </w:rPr>
        <w:fldChar w:fldCharType="end"/>
      </w:r>
      <w:bookmarkEnd w:id="33"/>
      <w:bookmarkEnd w:id="34"/>
      <w:r>
        <w:rPr>
          <w:rFonts w:hint="eastAsia"/>
          <w:color w:val="auto"/>
        </w:rPr>
        <w:t>长江经济带产业发展清单一览表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5"/>
        <w:gridCol w:w="4999"/>
        <w:gridCol w:w="1747"/>
        <w:gridCol w:w="785"/>
      </w:tblGrid>
      <w:tr w14:paraId="0254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472" w:type="pct"/>
            <w:tcMar>
              <w:left w:w="0" w:type="dxa"/>
              <w:right w:w="0" w:type="dxa"/>
            </w:tcMar>
            <w:vAlign w:val="center"/>
          </w:tcPr>
          <w:p w14:paraId="05FAF555">
            <w:pPr>
              <w:pStyle w:val="36"/>
              <w:bidi w:val="0"/>
              <w:rPr>
                <w:color w:val="auto"/>
              </w:rPr>
            </w:pPr>
            <w:r>
              <w:rPr>
                <w:color w:val="auto"/>
              </w:rPr>
              <w:t>序号</w:t>
            </w:r>
          </w:p>
        </w:tc>
        <w:tc>
          <w:tcPr>
            <w:tcW w:w="3005" w:type="pct"/>
            <w:tcMar>
              <w:left w:w="0" w:type="dxa"/>
              <w:right w:w="0" w:type="dxa"/>
            </w:tcMar>
            <w:vAlign w:val="center"/>
          </w:tcPr>
          <w:p w14:paraId="07A27C86">
            <w:pPr>
              <w:pStyle w:val="36"/>
              <w:bidi w:val="0"/>
              <w:rPr>
                <w:color w:val="auto"/>
              </w:rPr>
            </w:pPr>
            <w:r>
              <w:rPr>
                <w:color w:val="auto"/>
              </w:rPr>
              <w:t>条款内容</w:t>
            </w:r>
          </w:p>
        </w:tc>
        <w:tc>
          <w:tcPr>
            <w:tcW w:w="1050" w:type="pct"/>
            <w:tcMar>
              <w:left w:w="0" w:type="dxa"/>
              <w:right w:w="0" w:type="dxa"/>
            </w:tcMar>
            <w:vAlign w:val="center"/>
          </w:tcPr>
          <w:p w14:paraId="7F8FCE75">
            <w:pPr>
              <w:pStyle w:val="36"/>
              <w:bidi w:val="0"/>
              <w:rPr>
                <w:color w:val="auto"/>
              </w:rPr>
            </w:pPr>
            <w:r>
              <w:rPr>
                <w:color w:val="auto"/>
              </w:rPr>
              <w:t>本项目情况</w:t>
            </w:r>
          </w:p>
        </w:tc>
        <w:tc>
          <w:tcPr>
            <w:tcW w:w="472" w:type="pct"/>
            <w:tcMar>
              <w:left w:w="0" w:type="dxa"/>
              <w:right w:w="0" w:type="dxa"/>
            </w:tcMar>
            <w:vAlign w:val="center"/>
          </w:tcPr>
          <w:p w14:paraId="4AF05E08">
            <w:pPr>
              <w:pStyle w:val="36"/>
              <w:bidi w:val="0"/>
              <w:rPr>
                <w:color w:val="auto"/>
              </w:rPr>
            </w:pPr>
            <w:r>
              <w:rPr>
                <w:color w:val="auto"/>
              </w:rPr>
              <w:t>相符性</w:t>
            </w:r>
          </w:p>
        </w:tc>
      </w:tr>
      <w:tr w14:paraId="35CB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741190B6">
            <w:pPr>
              <w:pStyle w:val="26"/>
              <w:bidi w:val="0"/>
              <w:rPr>
                <w:color w:val="auto"/>
              </w:rPr>
            </w:pPr>
            <w:r>
              <w:rPr>
                <w:color w:val="auto"/>
              </w:rPr>
              <w:t>1</w:t>
            </w:r>
          </w:p>
        </w:tc>
        <w:tc>
          <w:tcPr>
            <w:tcW w:w="3005" w:type="pct"/>
            <w:tcMar>
              <w:left w:w="0" w:type="dxa"/>
              <w:right w:w="0" w:type="dxa"/>
            </w:tcMar>
            <w:vAlign w:val="center"/>
          </w:tcPr>
          <w:p w14:paraId="60E97F18">
            <w:pPr>
              <w:pStyle w:val="26"/>
              <w:bidi w:val="0"/>
              <w:rPr>
                <w:color w:val="auto"/>
              </w:rPr>
            </w:pPr>
            <w:r>
              <w:rPr>
                <w:rFonts w:hint="eastAsia"/>
                <w:color w:val="auto"/>
              </w:rPr>
              <w:t>禁止建设不符合全国和省级港口布局规划以及港口总体规划的码头项目，禁止建设不符合《长江干线过江通道布局规划》的过长江通道项目。</w:t>
            </w:r>
          </w:p>
        </w:tc>
        <w:tc>
          <w:tcPr>
            <w:tcW w:w="1050" w:type="pct"/>
            <w:tcMar>
              <w:left w:w="0" w:type="dxa"/>
              <w:right w:w="0" w:type="dxa"/>
            </w:tcMar>
            <w:vAlign w:val="center"/>
          </w:tcPr>
          <w:p w14:paraId="78BD988D">
            <w:pPr>
              <w:pStyle w:val="26"/>
              <w:bidi w:val="0"/>
              <w:rPr>
                <w:color w:val="auto"/>
              </w:rPr>
            </w:pPr>
            <w:r>
              <w:rPr>
                <w:rFonts w:hint="eastAsia"/>
                <w:color w:val="auto"/>
              </w:rPr>
              <w:t>不涉及</w:t>
            </w:r>
          </w:p>
        </w:tc>
        <w:tc>
          <w:tcPr>
            <w:tcW w:w="472" w:type="pct"/>
            <w:tcMar>
              <w:left w:w="0" w:type="dxa"/>
              <w:right w:w="0" w:type="dxa"/>
            </w:tcMar>
            <w:vAlign w:val="center"/>
          </w:tcPr>
          <w:p w14:paraId="1C925B73">
            <w:pPr>
              <w:pStyle w:val="26"/>
              <w:bidi w:val="0"/>
              <w:rPr>
                <w:color w:val="auto"/>
              </w:rPr>
            </w:pPr>
            <w:r>
              <w:rPr>
                <w:color w:val="auto"/>
              </w:rPr>
              <w:t>符合</w:t>
            </w:r>
          </w:p>
        </w:tc>
      </w:tr>
      <w:tr w14:paraId="3C64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4B88273F">
            <w:pPr>
              <w:pStyle w:val="26"/>
              <w:bidi w:val="0"/>
              <w:rPr>
                <w:color w:val="auto"/>
              </w:rPr>
            </w:pPr>
            <w:r>
              <w:rPr>
                <w:rFonts w:hint="eastAsia"/>
                <w:color w:val="auto"/>
              </w:rPr>
              <w:t>2</w:t>
            </w:r>
          </w:p>
        </w:tc>
        <w:tc>
          <w:tcPr>
            <w:tcW w:w="3005" w:type="pct"/>
            <w:tcMar>
              <w:left w:w="0" w:type="dxa"/>
              <w:right w:w="0" w:type="dxa"/>
            </w:tcMar>
            <w:vAlign w:val="center"/>
          </w:tcPr>
          <w:p w14:paraId="41566BFC">
            <w:pPr>
              <w:pStyle w:val="26"/>
              <w:bidi w:val="0"/>
              <w:rPr>
                <w:color w:val="auto"/>
              </w:rPr>
            </w:pPr>
            <w:r>
              <w:rPr>
                <w:rFonts w:hint="eastAsia"/>
                <w:color w:val="auto"/>
              </w:rPr>
              <w:t>禁止在自然保护区核心区、缓冲区的岸线和河段范围内投资建设旅游和生产经营项目。禁止在风景名胜区核心景区的岸线和河段范围内投资建设与风景名胜资源保护无关的项目。</w:t>
            </w:r>
          </w:p>
        </w:tc>
        <w:tc>
          <w:tcPr>
            <w:tcW w:w="1050" w:type="pct"/>
            <w:tcMar>
              <w:left w:w="0" w:type="dxa"/>
              <w:right w:w="0" w:type="dxa"/>
            </w:tcMar>
            <w:vAlign w:val="center"/>
          </w:tcPr>
          <w:p w14:paraId="2B79830E">
            <w:pPr>
              <w:pStyle w:val="26"/>
              <w:bidi w:val="0"/>
              <w:rPr>
                <w:color w:val="auto"/>
              </w:rPr>
            </w:pPr>
            <w:r>
              <w:rPr>
                <w:rFonts w:hint="eastAsia"/>
                <w:color w:val="auto"/>
              </w:rPr>
              <w:t>不涉及</w:t>
            </w:r>
          </w:p>
        </w:tc>
        <w:tc>
          <w:tcPr>
            <w:tcW w:w="472" w:type="pct"/>
            <w:tcMar>
              <w:left w:w="0" w:type="dxa"/>
              <w:right w:w="0" w:type="dxa"/>
            </w:tcMar>
            <w:vAlign w:val="center"/>
          </w:tcPr>
          <w:p w14:paraId="6FA58820">
            <w:pPr>
              <w:pStyle w:val="26"/>
              <w:bidi w:val="0"/>
              <w:rPr>
                <w:color w:val="auto"/>
              </w:rPr>
            </w:pPr>
            <w:r>
              <w:rPr>
                <w:rFonts w:hint="eastAsia"/>
                <w:color w:val="auto"/>
              </w:rPr>
              <w:t>符合</w:t>
            </w:r>
          </w:p>
        </w:tc>
      </w:tr>
      <w:tr w14:paraId="1A7E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67DAE3BA">
            <w:pPr>
              <w:pStyle w:val="26"/>
              <w:bidi w:val="0"/>
              <w:rPr>
                <w:color w:val="auto"/>
              </w:rPr>
            </w:pPr>
            <w:r>
              <w:rPr>
                <w:rFonts w:hint="eastAsia"/>
                <w:color w:val="auto"/>
              </w:rPr>
              <w:t>3</w:t>
            </w:r>
          </w:p>
        </w:tc>
        <w:tc>
          <w:tcPr>
            <w:tcW w:w="3005" w:type="pct"/>
            <w:tcMar>
              <w:left w:w="0" w:type="dxa"/>
              <w:right w:w="0" w:type="dxa"/>
            </w:tcMar>
            <w:vAlign w:val="center"/>
          </w:tcPr>
          <w:p w14:paraId="535F501A">
            <w:pPr>
              <w:pStyle w:val="26"/>
              <w:bidi w:val="0"/>
              <w:rPr>
                <w:color w:val="auto"/>
              </w:rPr>
            </w:pPr>
            <w:r>
              <w:rPr>
                <w:rFonts w:hint="eastAsia"/>
                <w:color w:val="auto"/>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050" w:type="pct"/>
            <w:tcMar>
              <w:left w:w="0" w:type="dxa"/>
              <w:right w:w="0" w:type="dxa"/>
            </w:tcMar>
            <w:vAlign w:val="center"/>
          </w:tcPr>
          <w:p w14:paraId="0A90E71D">
            <w:pPr>
              <w:pStyle w:val="26"/>
              <w:bidi w:val="0"/>
              <w:rPr>
                <w:color w:val="auto"/>
              </w:rPr>
            </w:pPr>
            <w:r>
              <w:rPr>
                <w:rFonts w:hint="eastAsia"/>
                <w:color w:val="auto"/>
              </w:rPr>
              <w:t>不涉及</w:t>
            </w:r>
          </w:p>
        </w:tc>
        <w:tc>
          <w:tcPr>
            <w:tcW w:w="472" w:type="pct"/>
            <w:tcMar>
              <w:left w:w="0" w:type="dxa"/>
              <w:right w:w="0" w:type="dxa"/>
            </w:tcMar>
            <w:vAlign w:val="center"/>
          </w:tcPr>
          <w:p w14:paraId="73FF0C10">
            <w:pPr>
              <w:pStyle w:val="26"/>
              <w:bidi w:val="0"/>
              <w:rPr>
                <w:color w:val="auto"/>
              </w:rPr>
            </w:pPr>
            <w:r>
              <w:rPr>
                <w:color w:val="auto"/>
              </w:rPr>
              <w:t>符合</w:t>
            </w:r>
          </w:p>
        </w:tc>
      </w:tr>
      <w:tr w14:paraId="0162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0AE8F096">
            <w:pPr>
              <w:pStyle w:val="26"/>
              <w:bidi w:val="0"/>
              <w:rPr>
                <w:color w:val="auto"/>
              </w:rPr>
            </w:pPr>
            <w:r>
              <w:rPr>
                <w:rFonts w:hint="eastAsia"/>
                <w:color w:val="auto"/>
              </w:rPr>
              <w:t>4</w:t>
            </w:r>
          </w:p>
        </w:tc>
        <w:tc>
          <w:tcPr>
            <w:tcW w:w="3005" w:type="pct"/>
            <w:tcMar>
              <w:left w:w="0" w:type="dxa"/>
              <w:right w:w="0" w:type="dxa"/>
            </w:tcMar>
            <w:vAlign w:val="center"/>
          </w:tcPr>
          <w:p w14:paraId="25624F82">
            <w:pPr>
              <w:pStyle w:val="26"/>
              <w:bidi w:val="0"/>
              <w:rPr>
                <w:color w:val="auto"/>
              </w:rPr>
            </w:pPr>
            <w:r>
              <w:rPr>
                <w:rFonts w:hint="eastAsia"/>
                <w:color w:val="auto"/>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050" w:type="pct"/>
            <w:tcMar>
              <w:left w:w="0" w:type="dxa"/>
              <w:right w:w="0" w:type="dxa"/>
            </w:tcMar>
            <w:vAlign w:val="center"/>
          </w:tcPr>
          <w:p w14:paraId="4790FDBA">
            <w:pPr>
              <w:pStyle w:val="26"/>
              <w:bidi w:val="0"/>
              <w:rPr>
                <w:color w:val="auto"/>
              </w:rPr>
            </w:pPr>
            <w:r>
              <w:rPr>
                <w:rFonts w:hint="eastAsia"/>
                <w:color w:val="auto"/>
              </w:rPr>
              <w:t>不涉及</w:t>
            </w:r>
          </w:p>
        </w:tc>
        <w:tc>
          <w:tcPr>
            <w:tcW w:w="472" w:type="pct"/>
            <w:tcMar>
              <w:left w:w="0" w:type="dxa"/>
              <w:right w:w="0" w:type="dxa"/>
            </w:tcMar>
            <w:vAlign w:val="center"/>
          </w:tcPr>
          <w:p w14:paraId="206297B2">
            <w:pPr>
              <w:pStyle w:val="26"/>
              <w:bidi w:val="0"/>
              <w:rPr>
                <w:color w:val="auto"/>
              </w:rPr>
            </w:pPr>
            <w:r>
              <w:rPr>
                <w:rFonts w:hint="eastAsia"/>
                <w:color w:val="auto"/>
              </w:rPr>
              <w:t>符合</w:t>
            </w:r>
          </w:p>
        </w:tc>
      </w:tr>
      <w:tr w14:paraId="6499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352F6FF4">
            <w:pPr>
              <w:pStyle w:val="26"/>
              <w:bidi w:val="0"/>
              <w:rPr>
                <w:color w:val="auto"/>
              </w:rPr>
            </w:pPr>
            <w:r>
              <w:rPr>
                <w:rFonts w:hint="eastAsia"/>
                <w:color w:val="auto"/>
              </w:rPr>
              <w:t>5</w:t>
            </w:r>
          </w:p>
        </w:tc>
        <w:tc>
          <w:tcPr>
            <w:tcW w:w="3005" w:type="pct"/>
            <w:tcMar>
              <w:left w:w="0" w:type="dxa"/>
              <w:right w:w="0" w:type="dxa"/>
            </w:tcMar>
            <w:vAlign w:val="center"/>
          </w:tcPr>
          <w:p w14:paraId="77E6A2A7">
            <w:pPr>
              <w:pStyle w:val="26"/>
              <w:bidi w:val="0"/>
              <w:rPr>
                <w:color w:val="auto"/>
              </w:rPr>
            </w:pPr>
            <w:r>
              <w:rPr>
                <w:rFonts w:hint="eastAsia"/>
                <w:color w:va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050" w:type="pct"/>
            <w:tcMar>
              <w:left w:w="0" w:type="dxa"/>
              <w:right w:w="0" w:type="dxa"/>
            </w:tcMar>
            <w:vAlign w:val="center"/>
          </w:tcPr>
          <w:p w14:paraId="65FAE327">
            <w:pPr>
              <w:pStyle w:val="26"/>
              <w:bidi w:val="0"/>
              <w:rPr>
                <w:color w:val="auto"/>
              </w:rPr>
            </w:pPr>
            <w:r>
              <w:rPr>
                <w:rFonts w:hint="eastAsia"/>
                <w:color w:val="auto"/>
              </w:rPr>
              <w:t>不涉及</w:t>
            </w:r>
          </w:p>
        </w:tc>
        <w:tc>
          <w:tcPr>
            <w:tcW w:w="472" w:type="pct"/>
            <w:tcMar>
              <w:left w:w="0" w:type="dxa"/>
              <w:right w:w="0" w:type="dxa"/>
            </w:tcMar>
            <w:vAlign w:val="center"/>
          </w:tcPr>
          <w:p w14:paraId="64E948C6">
            <w:pPr>
              <w:pStyle w:val="26"/>
              <w:bidi w:val="0"/>
              <w:rPr>
                <w:color w:val="auto"/>
              </w:rPr>
            </w:pPr>
            <w:r>
              <w:rPr>
                <w:color w:val="auto"/>
              </w:rPr>
              <w:t>符合</w:t>
            </w:r>
          </w:p>
        </w:tc>
      </w:tr>
      <w:tr w14:paraId="3851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7B499B15">
            <w:pPr>
              <w:pStyle w:val="26"/>
              <w:bidi w:val="0"/>
              <w:rPr>
                <w:color w:val="auto"/>
              </w:rPr>
            </w:pPr>
            <w:r>
              <w:rPr>
                <w:rFonts w:hint="eastAsia"/>
                <w:color w:val="auto"/>
              </w:rPr>
              <w:t>6</w:t>
            </w:r>
          </w:p>
        </w:tc>
        <w:tc>
          <w:tcPr>
            <w:tcW w:w="3005" w:type="pct"/>
            <w:tcMar>
              <w:left w:w="0" w:type="dxa"/>
              <w:right w:w="0" w:type="dxa"/>
            </w:tcMar>
            <w:vAlign w:val="center"/>
          </w:tcPr>
          <w:p w14:paraId="51CF6E9D">
            <w:pPr>
              <w:pStyle w:val="26"/>
              <w:bidi w:val="0"/>
              <w:rPr>
                <w:color w:val="auto"/>
              </w:rPr>
            </w:pPr>
            <w:r>
              <w:rPr>
                <w:rFonts w:hint="eastAsia"/>
                <w:color w:val="auto"/>
              </w:rPr>
              <w:t>禁止未经许可在长江干支流及湖泊新设、改设或扩大排污口。</w:t>
            </w:r>
          </w:p>
        </w:tc>
        <w:tc>
          <w:tcPr>
            <w:tcW w:w="1050" w:type="pct"/>
            <w:tcMar>
              <w:left w:w="0" w:type="dxa"/>
              <w:right w:w="0" w:type="dxa"/>
            </w:tcMar>
            <w:vAlign w:val="center"/>
          </w:tcPr>
          <w:p w14:paraId="1DD34BCA">
            <w:pPr>
              <w:pStyle w:val="26"/>
              <w:bidi w:val="0"/>
              <w:rPr>
                <w:color w:val="auto"/>
              </w:rPr>
            </w:pPr>
            <w:r>
              <w:rPr>
                <w:rFonts w:hint="eastAsia"/>
                <w:color w:val="auto"/>
              </w:rPr>
              <w:t>不涉及</w:t>
            </w:r>
          </w:p>
        </w:tc>
        <w:tc>
          <w:tcPr>
            <w:tcW w:w="472" w:type="pct"/>
            <w:tcMar>
              <w:left w:w="0" w:type="dxa"/>
              <w:right w:w="0" w:type="dxa"/>
            </w:tcMar>
            <w:vAlign w:val="center"/>
          </w:tcPr>
          <w:p w14:paraId="4E0F3430">
            <w:pPr>
              <w:pStyle w:val="26"/>
              <w:bidi w:val="0"/>
              <w:rPr>
                <w:color w:val="auto"/>
              </w:rPr>
            </w:pPr>
            <w:r>
              <w:rPr>
                <w:rFonts w:hint="eastAsia"/>
                <w:color w:val="auto"/>
              </w:rPr>
              <w:t>符合</w:t>
            </w:r>
          </w:p>
        </w:tc>
      </w:tr>
      <w:tr w14:paraId="6F0B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39AE8FF7">
            <w:pPr>
              <w:pStyle w:val="26"/>
              <w:bidi w:val="0"/>
              <w:rPr>
                <w:color w:val="auto"/>
              </w:rPr>
            </w:pPr>
            <w:r>
              <w:rPr>
                <w:rFonts w:hint="eastAsia"/>
                <w:color w:val="auto"/>
              </w:rPr>
              <w:t>7</w:t>
            </w:r>
          </w:p>
        </w:tc>
        <w:tc>
          <w:tcPr>
            <w:tcW w:w="3005" w:type="pct"/>
            <w:tcMar>
              <w:left w:w="0" w:type="dxa"/>
              <w:right w:w="0" w:type="dxa"/>
            </w:tcMar>
            <w:vAlign w:val="center"/>
          </w:tcPr>
          <w:p w14:paraId="78D5D8F5">
            <w:pPr>
              <w:pStyle w:val="26"/>
              <w:bidi w:val="0"/>
              <w:rPr>
                <w:color w:val="auto"/>
              </w:rPr>
            </w:pPr>
            <w:r>
              <w:rPr>
                <w:rFonts w:hint="eastAsia"/>
                <w:color w:val="auto"/>
              </w:rPr>
              <w:t>禁止在“一江一口两湖七河”和332个水生生物保护区开展生产性捕捞。</w:t>
            </w:r>
          </w:p>
        </w:tc>
        <w:tc>
          <w:tcPr>
            <w:tcW w:w="1050" w:type="pct"/>
            <w:tcMar>
              <w:left w:w="0" w:type="dxa"/>
              <w:right w:w="0" w:type="dxa"/>
            </w:tcMar>
            <w:vAlign w:val="center"/>
          </w:tcPr>
          <w:p w14:paraId="3EF1343A">
            <w:pPr>
              <w:pStyle w:val="26"/>
              <w:bidi w:val="0"/>
              <w:rPr>
                <w:color w:val="auto"/>
              </w:rPr>
            </w:pPr>
            <w:r>
              <w:rPr>
                <w:rFonts w:hint="eastAsia"/>
                <w:color w:val="auto"/>
              </w:rPr>
              <w:t>不涉及</w:t>
            </w:r>
          </w:p>
        </w:tc>
        <w:tc>
          <w:tcPr>
            <w:tcW w:w="472" w:type="pct"/>
            <w:tcMar>
              <w:left w:w="0" w:type="dxa"/>
              <w:right w:w="0" w:type="dxa"/>
            </w:tcMar>
            <w:vAlign w:val="center"/>
          </w:tcPr>
          <w:p w14:paraId="466D6D69">
            <w:pPr>
              <w:pStyle w:val="26"/>
              <w:bidi w:val="0"/>
              <w:rPr>
                <w:color w:val="auto"/>
              </w:rPr>
            </w:pPr>
            <w:r>
              <w:rPr>
                <w:color w:val="auto"/>
              </w:rPr>
              <w:t>符合</w:t>
            </w:r>
          </w:p>
        </w:tc>
      </w:tr>
      <w:tr w14:paraId="275A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1BF96101">
            <w:pPr>
              <w:pStyle w:val="26"/>
              <w:bidi w:val="0"/>
              <w:rPr>
                <w:color w:val="auto"/>
              </w:rPr>
            </w:pPr>
            <w:r>
              <w:rPr>
                <w:rFonts w:hint="eastAsia"/>
                <w:color w:val="auto"/>
              </w:rPr>
              <w:t>8</w:t>
            </w:r>
          </w:p>
        </w:tc>
        <w:tc>
          <w:tcPr>
            <w:tcW w:w="3005" w:type="pct"/>
            <w:tcMar>
              <w:left w:w="0" w:type="dxa"/>
              <w:right w:w="0" w:type="dxa"/>
            </w:tcMar>
            <w:vAlign w:val="center"/>
          </w:tcPr>
          <w:p w14:paraId="490B2A2C">
            <w:pPr>
              <w:pStyle w:val="26"/>
              <w:bidi w:val="0"/>
              <w:rPr>
                <w:color w:val="auto"/>
              </w:rPr>
            </w:pPr>
            <w:r>
              <w:rPr>
                <w:rFonts w:hint="eastAsia"/>
                <w:color w:val="auto"/>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050" w:type="pct"/>
            <w:tcMar>
              <w:left w:w="0" w:type="dxa"/>
              <w:right w:w="0" w:type="dxa"/>
            </w:tcMar>
            <w:vAlign w:val="center"/>
          </w:tcPr>
          <w:p w14:paraId="4C5DA669">
            <w:pPr>
              <w:pStyle w:val="26"/>
              <w:bidi w:val="0"/>
              <w:rPr>
                <w:color w:val="auto"/>
              </w:rPr>
            </w:pPr>
            <w:r>
              <w:rPr>
                <w:color w:val="auto"/>
              </w:rPr>
              <w:t>本项目属于</w:t>
            </w:r>
            <w:r>
              <w:rPr>
                <w:rFonts w:hint="eastAsia"/>
                <w:color w:val="auto"/>
              </w:rPr>
              <w:t>C3525</w:t>
            </w:r>
            <w:r>
              <w:rPr>
                <w:rFonts w:hint="eastAsia"/>
                <w:color w:val="auto"/>
                <w:lang w:val="en-US" w:eastAsia="zh-CN"/>
              </w:rPr>
              <w:t xml:space="preserve"> </w:t>
            </w:r>
            <w:r>
              <w:rPr>
                <w:rFonts w:hint="eastAsia"/>
                <w:color w:val="auto"/>
              </w:rPr>
              <w:t>模具制造</w:t>
            </w:r>
            <w:r>
              <w:rPr>
                <w:color w:val="auto"/>
              </w:rPr>
              <w:t>，</w:t>
            </w:r>
            <w:r>
              <w:rPr>
                <w:rFonts w:hint="eastAsia"/>
                <w:color w:val="auto"/>
              </w:rPr>
              <w:t>距离长江</w:t>
            </w:r>
            <w:r>
              <w:rPr>
                <w:rFonts w:hint="eastAsia"/>
                <w:color w:val="auto"/>
                <w:lang w:val="en-US" w:eastAsia="zh-CN"/>
              </w:rPr>
              <w:t>支流吴淞江最近3.2</w:t>
            </w:r>
            <w:r>
              <w:rPr>
                <w:rFonts w:hint="eastAsia"/>
                <w:color w:val="auto"/>
              </w:rPr>
              <w:t>km。</w:t>
            </w:r>
          </w:p>
        </w:tc>
        <w:tc>
          <w:tcPr>
            <w:tcW w:w="472" w:type="pct"/>
            <w:tcMar>
              <w:left w:w="0" w:type="dxa"/>
              <w:right w:w="0" w:type="dxa"/>
            </w:tcMar>
            <w:vAlign w:val="center"/>
          </w:tcPr>
          <w:p w14:paraId="3FC5EE79">
            <w:pPr>
              <w:pStyle w:val="26"/>
              <w:bidi w:val="0"/>
              <w:rPr>
                <w:color w:val="auto"/>
              </w:rPr>
            </w:pPr>
            <w:r>
              <w:rPr>
                <w:rFonts w:hint="eastAsia"/>
                <w:color w:val="auto"/>
              </w:rPr>
              <w:t>符合</w:t>
            </w:r>
          </w:p>
        </w:tc>
      </w:tr>
      <w:tr w14:paraId="40A8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550B826D">
            <w:pPr>
              <w:pStyle w:val="26"/>
              <w:bidi w:val="0"/>
              <w:rPr>
                <w:color w:val="auto"/>
              </w:rPr>
            </w:pPr>
            <w:r>
              <w:rPr>
                <w:rFonts w:hint="eastAsia"/>
                <w:color w:val="auto"/>
              </w:rPr>
              <w:t>9</w:t>
            </w:r>
          </w:p>
        </w:tc>
        <w:tc>
          <w:tcPr>
            <w:tcW w:w="3005" w:type="pct"/>
            <w:tcMar>
              <w:left w:w="0" w:type="dxa"/>
              <w:right w:w="0" w:type="dxa"/>
            </w:tcMar>
            <w:vAlign w:val="center"/>
          </w:tcPr>
          <w:p w14:paraId="35976BE9">
            <w:pPr>
              <w:pStyle w:val="26"/>
              <w:bidi w:val="0"/>
              <w:rPr>
                <w:color w:val="auto"/>
              </w:rPr>
            </w:pPr>
            <w:r>
              <w:rPr>
                <w:rFonts w:hint="eastAsia"/>
                <w:color w:val="auto"/>
              </w:rPr>
              <w:t>禁止在合规园区外新建、扩建钢铁、石化、化工、焦化、建材、有色、制浆造纸等高污染项目。</w:t>
            </w:r>
          </w:p>
        </w:tc>
        <w:tc>
          <w:tcPr>
            <w:tcW w:w="1050" w:type="pct"/>
            <w:tcMar>
              <w:left w:w="0" w:type="dxa"/>
              <w:right w:w="0" w:type="dxa"/>
            </w:tcMar>
            <w:vAlign w:val="center"/>
          </w:tcPr>
          <w:p w14:paraId="0D139B18">
            <w:pPr>
              <w:pStyle w:val="26"/>
              <w:bidi w:val="0"/>
              <w:rPr>
                <w:rFonts w:hint="default" w:eastAsia="仿宋_GB2312"/>
                <w:color w:val="auto"/>
                <w:lang w:val="en-US" w:eastAsia="zh-CN"/>
              </w:rPr>
            </w:pPr>
            <w:r>
              <w:rPr>
                <w:rFonts w:hint="eastAsia"/>
                <w:lang w:val="en-US" w:eastAsia="zh-CN"/>
              </w:rPr>
              <w:t>本项目属于C3525 模具制造，不属于钢铁、石化、化工、焦化、建材、有色、制浆造纸等高污染项目。</w:t>
            </w:r>
          </w:p>
        </w:tc>
        <w:tc>
          <w:tcPr>
            <w:tcW w:w="472" w:type="pct"/>
            <w:tcMar>
              <w:left w:w="0" w:type="dxa"/>
              <w:right w:w="0" w:type="dxa"/>
            </w:tcMar>
            <w:vAlign w:val="center"/>
          </w:tcPr>
          <w:p w14:paraId="4431AC34">
            <w:pPr>
              <w:pStyle w:val="26"/>
              <w:bidi w:val="0"/>
              <w:rPr>
                <w:color w:val="auto"/>
              </w:rPr>
            </w:pPr>
            <w:r>
              <w:rPr>
                <w:color w:val="auto"/>
              </w:rPr>
              <w:t>符合</w:t>
            </w:r>
          </w:p>
        </w:tc>
      </w:tr>
      <w:tr w14:paraId="3F24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0D193651">
            <w:pPr>
              <w:pStyle w:val="26"/>
              <w:bidi w:val="0"/>
              <w:rPr>
                <w:color w:val="auto"/>
              </w:rPr>
            </w:pPr>
            <w:r>
              <w:rPr>
                <w:rFonts w:hint="eastAsia"/>
                <w:color w:val="auto"/>
              </w:rPr>
              <w:t>1</w:t>
            </w:r>
            <w:r>
              <w:rPr>
                <w:color w:val="auto"/>
              </w:rPr>
              <w:t>0</w:t>
            </w:r>
          </w:p>
        </w:tc>
        <w:tc>
          <w:tcPr>
            <w:tcW w:w="3005" w:type="pct"/>
            <w:tcMar>
              <w:left w:w="0" w:type="dxa"/>
              <w:right w:w="0" w:type="dxa"/>
            </w:tcMar>
            <w:vAlign w:val="center"/>
          </w:tcPr>
          <w:p w14:paraId="1B45719B">
            <w:pPr>
              <w:pStyle w:val="26"/>
              <w:bidi w:val="0"/>
              <w:rPr>
                <w:color w:val="auto"/>
              </w:rPr>
            </w:pPr>
            <w:r>
              <w:rPr>
                <w:rFonts w:hint="eastAsia"/>
                <w:color w:val="auto"/>
              </w:rPr>
              <w:t>禁止新建、扩建不符合国家石化、现代煤化工等产业布局规划的项目。</w:t>
            </w:r>
          </w:p>
        </w:tc>
        <w:tc>
          <w:tcPr>
            <w:tcW w:w="1050" w:type="pct"/>
            <w:tcMar>
              <w:left w:w="0" w:type="dxa"/>
              <w:right w:w="0" w:type="dxa"/>
            </w:tcMar>
            <w:vAlign w:val="center"/>
          </w:tcPr>
          <w:p w14:paraId="52241948">
            <w:pPr>
              <w:pStyle w:val="26"/>
              <w:bidi w:val="0"/>
              <w:rPr>
                <w:color w:val="auto"/>
              </w:rPr>
            </w:pPr>
            <w:r>
              <w:rPr>
                <w:rFonts w:hint="eastAsia"/>
                <w:color w:val="auto"/>
              </w:rPr>
              <w:t>不涉及</w:t>
            </w:r>
          </w:p>
        </w:tc>
        <w:tc>
          <w:tcPr>
            <w:tcW w:w="472" w:type="pct"/>
            <w:tcMar>
              <w:left w:w="0" w:type="dxa"/>
              <w:right w:w="0" w:type="dxa"/>
            </w:tcMar>
            <w:vAlign w:val="center"/>
          </w:tcPr>
          <w:p w14:paraId="4DEAAE0E">
            <w:pPr>
              <w:pStyle w:val="26"/>
              <w:bidi w:val="0"/>
              <w:rPr>
                <w:color w:val="auto"/>
              </w:rPr>
            </w:pPr>
            <w:r>
              <w:rPr>
                <w:rFonts w:hint="eastAsia"/>
                <w:color w:val="auto"/>
              </w:rPr>
              <w:t>符合</w:t>
            </w:r>
          </w:p>
        </w:tc>
      </w:tr>
      <w:tr w14:paraId="7940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72" w:type="pct"/>
            <w:tcMar>
              <w:left w:w="0" w:type="dxa"/>
              <w:right w:w="0" w:type="dxa"/>
            </w:tcMar>
            <w:vAlign w:val="center"/>
          </w:tcPr>
          <w:p w14:paraId="6ACCAC0D">
            <w:pPr>
              <w:pStyle w:val="26"/>
              <w:bidi w:val="0"/>
              <w:rPr>
                <w:color w:val="auto"/>
              </w:rPr>
            </w:pPr>
            <w:r>
              <w:rPr>
                <w:rFonts w:hint="eastAsia"/>
                <w:color w:val="auto"/>
              </w:rPr>
              <w:t>1</w:t>
            </w:r>
            <w:r>
              <w:rPr>
                <w:color w:val="auto"/>
              </w:rPr>
              <w:t>1</w:t>
            </w:r>
          </w:p>
        </w:tc>
        <w:tc>
          <w:tcPr>
            <w:tcW w:w="3005" w:type="pct"/>
            <w:tcMar>
              <w:left w:w="0" w:type="dxa"/>
              <w:right w:w="0" w:type="dxa"/>
            </w:tcMar>
            <w:vAlign w:val="center"/>
          </w:tcPr>
          <w:p w14:paraId="48F152FA">
            <w:pPr>
              <w:pStyle w:val="26"/>
              <w:bidi w:val="0"/>
              <w:rPr>
                <w:color w:val="auto"/>
              </w:rPr>
            </w:pPr>
            <w:r>
              <w:rPr>
                <w:rFonts w:hint="eastAsia"/>
                <w:color w:val="auto"/>
              </w:rPr>
              <w:t>禁止新建、扩建法律法规和相关政策明令禁止的落后产能项目。禁止新建、扩建不符合国家产能置换要求的严重过剩产能行业的项目。禁止新建、扩建不符合要求的高耗能高排放项目。</w:t>
            </w:r>
          </w:p>
        </w:tc>
        <w:tc>
          <w:tcPr>
            <w:tcW w:w="1050" w:type="pct"/>
            <w:tcMar>
              <w:left w:w="0" w:type="dxa"/>
              <w:right w:w="0" w:type="dxa"/>
            </w:tcMar>
            <w:vAlign w:val="center"/>
          </w:tcPr>
          <w:p w14:paraId="6D091C28">
            <w:pPr>
              <w:pStyle w:val="26"/>
              <w:bidi w:val="0"/>
              <w:rPr>
                <w:color w:val="auto"/>
              </w:rPr>
            </w:pPr>
            <w:r>
              <w:rPr>
                <w:rFonts w:hint="eastAsia"/>
                <w:color w:val="auto"/>
              </w:rPr>
              <w:t>本项目不属于严重产能过剩行业，不属于高耗能高排放项目</w:t>
            </w:r>
          </w:p>
        </w:tc>
        <w:tc>
          <w:tcPr>
            <w:tcW w:w="472" w:type="pct"/>
            <w:tcMar>
              <w:left w:w="0" w:type="dxa"/>
              <w:right w:w="0" w:type="dxa"/>
            </w:tcMar>
            <w:vAlign w:val="center"/>
          </w:tcPr>
          <w:p w14:paraId="118A147C">
            <w:pPr>
              <w:pStyle w:val="26"/>
              <w:bidi w:val="0"/>
              <w:rPr>
                <w:color w:val="auto"/>
              </w:rPr>
            </w:pPr>
            <w:r>
              <w:rPr>
                <w:color w:val="auto"/>
              </w:rPr>
              <w:t>符合</w:t>
            </w:r>
          </w:p>
        </w:tc>
      </w:tr>
    </w:tbl>
    <w:p w14:paraId="18071391">
      <w:pPr>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1.4</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7</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与《&lt;长江经济带发展负面清单指南（试行，2022年版）&gt;江苏省实施细则》相符性分析</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5231"/>
        <w:gridCol w:w="2577"/>
      </w:tblGrid>
      <w:tr w14:paraId="5E15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2D8E8CBB">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序号</w:t>
            </w:r>
          </w:p>
        </w:tc>
        <w:tc>
          <w:tcPr>
            <w:tcW w:w="3069" w:type="pct"/>
            <w:vAlign w:val="center"/>
          </w:tcPr>
          <w:p w14:paraId="50B9AF42">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条款</w:t>
            </w:r>
          </w:p>
        </w:tc>
        <w:tc>
          <w:tcPr>
            <w:tcW w:w="1512" w:type="pct"/>
            <w:vAlign w:val="center"/>
          </w:tcPr>
          <w:p w14:paraId="7E856232">
            <w:pPr>
              <w:widowControl/>
              <w:adjustRightInd w:val="0"/>
              <w:snapToGrid w:val="0"/>
              <w:spacing w:line="240" w:lineRule="auto"/>
              <w:ind w:firstLine="0" w:firstLineChars="0"/>
              <w:jc w:val="center"/>
              <w:textAlignment w:val="center"/>
              <w:rPr>
                <w:rFonts w:ascii="Times New Roman" w:hAnsi="Times New Roman" w:eastAsia="仿宋_GB2312" w:cs="Times New Roman"/>
                <w:b/>
                <w:color w:val="auto"/>
                <w:kern w:val="0"/>
                <w:sz w:val="21"/>
                <w:szCs w:val="21"/>
                <w:lang w:val="en-US" w:eastAsia="zh-CN" w:bidi="ar-SA"/>
              </w:rPr>
            </w:pPr>
            <w:r>
              <w:rPr>
                <w:rFonts w:ascii="Times New Roman" w:hAnsi="Times New Roman" w:eastAsia="仿宋_GB2312" w:cs="Times New Roman"/>
                <w:b/>
                <w:color w:val="auto"/>
                <w:kern w:val="0"/>
                <w:sz w:val="21"/>
                <w:szCs w:val="21"/>
                <w:lang w:val="en-US" w:eastAsia="zh-CN" w:bidi="ar-SA"/>
              </w:rPr>
              <w:t>本项目情况</w:t>
            </w:r>
          </w:p>
        </w:tc>
      </w:tr>
      <w:tr w14:paraId="0874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69EA44C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w:t>
            </w:r>
          </w:p>
        </w:tc>
        <w:tc>
          <w:tcPr>
            <w:tcW w:w="3069" w:type="pct"/>
            <w:vAlign w:val="center"/>
          </w:tcPr>
          <w:p w14:paraId="5B5C867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建设不符合国家港口布局规划和《江苏省沿江沿海港口布局规划（2015-2030年）》《江苏省内河港口布局规划（2017-2035年）》以及我省有关港口总体规划的码头项目，禁止建设未纳入《长江干线过江通道布局规划》的过长江通道项目。</w:t>
            </w:r>
          </w:p>
        </w:tc>
        <w:tc>
          <w:tcPr>
            <w:tcW w:w="1512" w:type="pct"/>
            <w:vAlign w:val="center"/>
          </w:tcPr>
          <w:p w14:paraId="079F61B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项目不属于码头项目，也不属于过长江通道项目。</w:t>
            </w:r>
          </w:p>
        </w:tc>
      </w:tr>
      <w:tr w14:paraId="5144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9268F3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w:t>
            </w:r>
          </w:p>
        </w:tc>
        <w:tc>
          <w:tcPr>
            <w:tcW w:w="3069" w:type="pct"/>
            <w:vAlign w:val="center"/>
          </w:tcPr>
          <w:p w14:paraId="5751898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严格执行《中华人民共和国自然保护区条例》，禁止在自然保护区核心区、缓冲区的岸线和河段范围内投资建设旅游和生产经营项目。严格执行《风景名胜区条例》《江苏省风景名胜区管理条例》，禁止在国家级和省级风景名胜区核心景区的岸线和河段范围内投资建设与风景名胜资源保护无关的项目。自然保护区、风景名胜区由省林业局会同有关方面界定并落实管控责任。</w:t>
            </w:r>
          </w:p>
        </w:tc>
        <w:tc>
          <w:tcPr>
            <w:tcW w:w="1512" w:type="pct"/>
            <w:vAlign w:val="center"/>
          </w:tcPr>
          <w:p w14:paraId="6E15B16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项目地址不在自然保护区范围，也不在国家级和省级风景名胜区范围内。</w:t>
            </w:r>
          </w:p>
        </w:tc>
      </w:tr>
      <w:tr w14:paraId="1C18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3EF1C8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3</w:t>
            </w:r>
          </w:p>
        </w:tc>
        <w:tc>
          <w:tcPr>
            <w:tcW w:w="3069" w:type="pct"/>
            <w:vAlign w:val="center"/>
          </w:tcPr>
          <w:p w14:paraId="47259F4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严格执行《中华人民共和国水污染防治法》《江苏省人民代表大会常务委员会关于加强饮用水源地保护的决定》《江苏省水污染防治条例》，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禁止在饮用水水源准保护区的岸线和河段范围内新建、扩建对水体污染严重的投资建设项目，改建项目应当消减排污量。饮用水水源一级保护区、二级保护区、准保护区由省生态环境厅会同水利等有关方面界定并落实管控责任。</w:t>
            </w:r>
          </w:p>
        </w:tc>
        <w:tc>
          <w:tcPr>
            <w:tcW w:w="1512" w:type="pct"/>
            <w:vAlign w:val="center"/>
          </w:tcPr>
          <w:p w14:paraId="095BA6B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项目不在饮用水水源保护区范围内。</w:t>
            </w:r>
          </w:p>
        </w:tc>
      </w:tr>
      <w:tr w14:paraId="72D9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64E34AA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4</w:t>
            </w:r>
          </w:p>
        </w:tc>
        <w:tc>
          <w:tcPr>
            <w:tcW w:w="3069" w:type="pct"/>
            <w:vAlign w:val="center"/>
          </w:tcPr>
          <w:p w14:paraId="7EB38E4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严格执行《水产种质资源保护区管理暂行办法》，禁止在国家级和省级水产种质资源保护区的岸线和河段范围内新建围湖造田、围海造地或围填海等投资建设项目。严格执行《中华人民共和国湿地保护法》《江苏省湿地保护条例》，禁止在国家湿地公园的岸线和河段范围内挖沙、采矿，以及任何不符合主体功能定位的投资建设项目。水产种质资源保护区、国家湿地公园分别由省农业农村厅、省林业局会同有关方面界定并落实管控责任。</w:t>
            </w:r>
          </w:p>
        </w:tc>
        <w:tc>
          <w:tcPr>
            <w:tcW w:w="1512" w:type="pct"/>
            <w:vAlign w:val="center"/>
          </w:tcPr>
          <w:p w14:paraId="4966410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项目不在水产种质资源保护区及国家湿地公园范围内。</w:t>
            </w:r>
          </w:p>
        </w:tc>
      </w:tr>
      <w:tr w14:paraId="2A16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2E081AA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5</w:t>
            </w:r>
          </w:p>
        </w:tc>
        <w:tc>
          <w:tcPr>
            <w:tcW w:w="3069" w:type="pct"/>
            <w:vAlign w:val="center"/>
          </w:tcPr>
          <w:p w14:paraId="07F4728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长江干支流基础设施项目应按照《长江岸线保护和开发利用总体规划》和生态环境保护、岸线保护等要求，按规定开展项目前期论证并办理相关手续。禁止在《全国重要江河湖泊水功能区划》划定的河段及湖泊保护区、保留区内投资建设不利于水资源及自然生态保护的项目。</w:t>
            </w:r>
          </w:p>
        </w:tc>
        <w:tc>
          <w:tcPr>
            <w:tcW w:w="1512" w:type="pct"/>
            <w:vAlign w:val="center"/>
          </w:tcPr>
          <w:p w14:paraId="47DAA5C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项目不在长江岸线保护区及河段及湖泊保护区、保留区内范围内。</w:t>
            </w:r>
          </w:p>
        </w:tc>
      </w:tr>
      <w:tr w14:paraId="3EBF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356DB39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6</w:t>
            </w:r>
          </w:p>
        </w:tc>
        <w:tc>
          <w:tcPr>
            <w:tcW w:w="3069" w:type="pct"/>
            <w:vAlign w:val="center"/>
          </w:tcPr>
          <w:p w14:paraId="4C8EDF4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禁止未经许可在长江干支流及湖泊新设、改设或扩大排污口</w:t>
            </w:r>
          </w:p>
        </w:tc>
        <w:tc>
          <w:tcPr>
            <w:tcW w:w="1512" w:type="pct"/>
            <w:vAlign w:val="center"/>
          </w:tcPr>
          <w:p w14:paraId="201773B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w:t>
            </w:r>
            <w:r>
              <w:rPr>
                <w:rFonts w:hint="eastAsia" w:ascii="Times New Roman" w:hAnsi="Times New Roman" w:eastAsia="仿宋_GB2312" w:cs="Times New Roman"/>
                <w:color w:val="auto"/>
                <w:kern w:val="2"/>
                <w:sz w:val="21"/>
                <w:szCs w:val="21"/>
                <w:lang w:val="en-US" w:eastAsia="zh-CN" w:bidi="ar-SA"/>
              </w:rPr>
              <w:t>生产废水不外排，生活污水接入市政污水管网，进入昆山建邦环境投资有限公司花桥污水处理厂处理</w:t>
            </w:r>
            <w:r>
              <w:rPr>
                <w:rFonts w:ascii="Times New Roman" w:hAnsi="Times New Roman" w:eastAsia="仿宋_GB2312" w:cs="Times New Roman"/>
                <w:color w:val="auto"/>
                <w:kern w:val="2"/>
                <w:sz w:val="21"/>
                <w:szCs w:val="21"/>
                <w:lang w:val="en-US" w:eastAsia="zh-CN" w:bidi="ar-SA"/>
              </w:rPr>
              <w:t>，不新设废水直接排放口。</w:t>
            </w:r>
          </w:p>
        </w:tc>
      </w:tr>
      <w:tr w14:paraId="20F6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1BC9C7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7</w:t>
            </w:r>
          </w:p>
        </w:tc>
        <w:tc>
          <w:tcPr>
            <w:tcW w:w="3069" w:type="pct"/>
            <w:vAlign w:val="center"/>
          </w:tcPr>
          <w:p w14:paraId="7BCBE70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禁止长江干流、长江口、34个列入《率先全面禁捕的长江流域水生生物保护区名录》的水生生物保护区以及省规定的其它禁渔水域开展生产性捕捞。</w:t>
            </w:r>
          </w:p>
        </w:tc>
        <w:tc>
          <w:tcPr>
            <w:tcW w:w="1512" w:type="pct"/>
            <w:vAlign w:val="center"/>
          </w:tcPr>
          <w:p w14:paraId="586B21A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4DB3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19010D7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8</w:t>
            </w:r>
          </w:p>
        </w:tc>
        <w:tc>
          <w:tcPr>
            <w:tcW w:w="3069" w:type="pct"/>
            <w:vAlign w:val="center"/>
          </w:tcPr>
          <w:p w14:paraId="586E3F7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禁止在距离长江干支流岸线一公里范围内新建、扩建化工园区和化工项目。长江干支流一公里按照长江干支流岸线边界（即水利部门河道管理范围边界）向陆域纵深一公里执行。</w:t>
            </w:r>
          </w:p>
        </w:tc>
        <w:tc>
          <w:tcPr>
            <w:tcW w:w="1512" w:type="pct"/>
            <w:vAlign w:val="center"/>
          </w:tcPr>
          <w:p w14:paraId="1885524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项目非化工项目，且</w:t>
            </w:r>
            <w:r>
              <w:rPr>
                <w:rFonts w:hint="eastAsia" w:ascii="Times New Roman" w:hAnsi="Times New Roman" w:eastAsia="仿宋_GB2312" w:cs="Times New Roman"/>
                <w:color w:val="auto"/>
                <w:kern w:val="2"/>
                <w:sz w:val="21"/>
                <w:szCs w:val="21"/>
                <w:lang w:val="en-US" w:eastAsia="zh-CN" w:bidi="ar-SA"/>
              </w:rPr>
              <w:t>距离长江支流吴淞江最近3.2km，</w:t>
            </w:r>
            <w:r>
              <w:rPr>
                <w:rFonts w:ascii="Times New Roman" w:hAnsi="Times New Roman" w:eastAsia="仿宋_GB2312" w:cs="Times New Roman"/>
                <w:color w:val="auto"/>
                <w:kern w:val="2"/>
                <w:sz w:val="21"/>
                <w:szCs w:val="21"/>
                <w:lang w:val="en-US" w:eastAsia="zh-CN" w:bidi="ar-SA"/>
              </w:rPr>
              <w:t>不在长江干支流、重要湖泊岸线一公里范围内。</w:t>
            </w:r>
          </w:p>
        </w:tc>
      </w:tr>
      <w:tr w14:paraId="5697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4E7860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9</w:t>
            </w:r>
          </w:p>
        </w:tc>
        <w:tc>
          <w:tcPr>
            <w:tcW w:w="3069" w:type="pct"/>
            <w:vAlign w:val="center"/>
          </w:tcPr>
          <w:p w14:paraId="710E896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禁止在长江干流岸线三公里范围内新建、改建、扩建尾矿库、冶炼渣库和磷石膏库，以提升安全、生态环境保护水平为目的的改建除外。</w:t>
            </w:r>
          </w:p>
        </w:tc>
        <w:tc>
          <w:tcPr>
            <w:tcW w:w="1512" w:type="pct"/>
            <w:vAlign w:val="center"/>
          </w:tcPr>
          <w:p w14:paraId="55B9DE7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67B5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1B35725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10</w:t>
            </w:r>
          </w:p>
        </w:tc>
        <w:tc>
          <w:tcPr>
            <w:tcW w:w="3069" w:type="pct"/>
            <w:vAlign w:val="center"/>
          </w:tcPr>
          <w:p w14:paraId="6C6F9B6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禁止在太湖流域一、二、三级保护区内开展《江苏省太湖水污染防治条例》禁止的投资建设活动。</w:t>
            </w:r>
          </w:p>
        </w:tc>
        <w:tc>
          <w:tcPr>
            <w:tcW w:w="1512" w:type="pct"/>
            <w:vAlign w:val="center"/>
          </w:tcPr>
          <w:p w14:paraId="10AA135E">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4A9B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1932CC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11</w:t>
            </w:r>
          </w:p>
        </w:tc>
        <w:tc>
          <w:tcPr>
            <w:tcW w:w="3069" w:type="pct"/>
            <w:vAlign w:val="center"/>
          </w:tcPr>
          <w:p w14:paraId="462A55D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禁止在沿江地区新建、扩建未纳入国家和省布局规划的燃煤发电项目。</w:t>
            </w:r>
          </w:p>
        </w:tc>
        <w:tc>
          <w:tcPr>
            <w:tcW w:w="1512" w:type="pct"/>
            <w:vAlign w:val="center"/>
          </w:tcPr>
          <w:p w14:paraId="612B063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460D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95C4A4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12</w:t>
            </w:r>
          </w:p>
        </w:tc>
        <w:tc>
          <w:tcPr>
            <w:tcW w:w="3069" w:type="pct"/>
            <w:vAlign w:val="center"/>
          </w:tcPr>
          <w:p w14:paraId="749A59C9">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禁止在合规园区外新建、扩建钢铁、石化、化工、焦化、建材、有色、制浆造纸等高污染项目。合规园区名录按照《〈长江经济带发展负面清单指南（试行，2022年版）〉江苏省实施细则合规园区名录》执行。</w:t>
            </w:r>
          </w:p>
        </w:tc>
        <w:tc>
          <w:tcPr>
            <w:tcW w:w="1512" w:type="pct"/>
            <w:vAlign w:val="center"/>
          </w:tcPr>
          <w:p w14:paraId="6073659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4371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212D39F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13</w:t>
            </w:r>
          </w:p>
        </w:tc>
        <w:tc>
          <w:tcPr>
            <w:tcW w:w="3069" w:type="pct"/>
            <w:vAlign w:val="center"/>
          </w:tcPr>
          <w:p w14:paraId="5F14F12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禁止在取消化工定位的园区（集中区）内新建化工项目。</w:t>
            </w:r>
          </w:p>
        </w:tc>
        <w:tc>
          <w:tcPr>
            <w:tcW w:w="1512" w:type="pct"/>
            <w:vAlign w:val="center"/>
          </w:tcPr>
          <w:p w14:paraId="4175134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5D49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25653B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14</w:t>
            </w:r>
          </w:p>
        </w:tc>
        <w:tc>
          <w:tcPr>
            <w:tcW w:w="3069" w:type="pct"/>
            <w:vAlign w:val="center"/>
          </w:tcPr>
          <w:p w14:paraId="74D59513">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禁止在化工企业周边建设不符合安全距离规定的劳动密集型的非化工项目和其他人员密集的公共设施项目。</w:t>
            </w:r>
          </w:p>
        </w:tc>
        <w:tc>
          <w:tcPr>
            <w:tcW w:w="1512" w:type="pct"/>
            <w:vAlign w:val="center"/>
          </w:tcPr>
          <w:p w14:paraId="40C4E9C5">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3449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56548EC7">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15</w:t>
            </w:r>
          </w:p>
        </w:tc>
        <w:tc>
          <w:tcPr>
            <w:tcW w:w="3069" w:type="pct"/>
            <w:vAlign w:val="center"/>
          </w:tcPr>
          <w:p w14:paraId="04F653D2">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禁止新建、扩建不符合国家和省产业政策的尿素、磷铵、电石、烧碱、聚氯乙烯、纯碱等行业新增产能项目。</w:t>
            </w:r>
          </w:p>
        </w:tc>
        <w:tc>
          <w:tcPr>
            <w:tcW w:w="1512" w:type="pct"/>
            <w:vAlign w:val="center"/>
          </w:tcPr>
          <w:p w14:paraId="78FA458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2BB2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707063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16</w:t>
            </w:r>
          </w:p>
        </w:tc>
        <w:tc>
          <w:tcPr>
            <w:tcW w:w="3069" w:type="pct"/>
            <w:vAlign w:val="center"/>
          </w:tcPr>
          <w:p w14:paraId="63856568">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禁止新建、改建、扩建高毒、高残留以及对环境影响大的农药原药（化学合成类）项目，禁止新建、扩建不符合国家和省产业政策的农药、医药和染料中间体化工项目。</w:t>
            </w:r>
          </w:p>
        </w:tc>
        <w:tc>
          <w:tcPr>
            <w:tcW w:w="1512" w:type="pct"/>
            <w:vAlign w:val="center"/>
          </w:tcPr>
          <w:p w14:paraId="0F903E4C">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2700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CA0596A">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17</w:t>
            </w:r>
          </w:p>
        </w:tc>
        <w:tc>
          <w:tcPr>
            <w:tcW w:w="3069" w:type="pct"/>
            <w:vAlign w:val="center"/>
          </w:tcPr>
          <w:p w14:paraId="2E93270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禁止新建、扩建不符合国家石化、现代煤化工等产业布局规划的项目，禁止新建独立焦化项目。</w:t>
            </w:r>
          </w:p>
        </w:tc>
        <w:tc>
          <w:tcPr>
            <w:tcW w:w="1512" w:type="pct"/>
            <w:vAlign w:val="center"/>
          </w:tcPr>
          <w:p w14:paraId="5E4C0FA1">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r w14:paraId="17F1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561BA4F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18</w:t>
            </w:r>
          </w:p>
        </w:tc>
        <w:tc>
          <w:tcPr>
            <w:tcW w:w="3069" w:type="pct"/>
            <w:vAlign w:val="center"/>
          </w:tcPr>
          <w:p w14:paraId="7D9368FF">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新建、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1512" w:type="pct"/>
            <w:vAlign w:val="center"/>
          </w:tcPr>
          <w:p w14:paraId="1B2FE85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项目不涉及明令淘汰的安全生产落后工艺及装备。</w:t>
            </w:r>
          </w:p>
        </w:tc>
      </w:tr>
      <w:tr w14:paraId="43DD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3890275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19</w:t>
            </w:r>
          </w:p>
        </w:tc>
        <w:tc>
          <w:tcPr>
            <w:tcW w:w="3069" w:type="pct"/>
            <w:vAlign w:val="center"/>
          </w:tcPr>
          <w:p w14:paraId="0D429ADD">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禁止新建、扩建不符合国家产能置换要求的严重过剩产能行业的项目。禁止新建、扩建不符合要求的高耗能高排放项目。</w:t>
            </w:r>
          </w:p>
        </w:tc>
        <w:tc>
          <w:tcPr>
            <w:tcW w:w="1512" w:type="pct"/>
            <w:vAlign w:val="center"/>
          </w:tcPr>
          <w:p w14:paraId="4F3BCABB">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项目符合清洁生产要求，不属于严重过剩产能及高耗能高排放项目。</w:t>
            </w:r>
          </w:p>
        </w:tc>
      </w:tr>
      <w:tr w14:paraId="7A23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1859AFD0">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20</w:t>
            </w:r>
          </w:p>
        </w:tc>
        <w:tc>
          <w:tcPr>
            <w:tcW w:w="3069" w:type="pct"/>
            <w:vAlign w:val="center"/>
          </w:tcPr>
          <w:p w14:paraId="43BA8944">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法律法规及相关政策文件有更加严格规定的从其规定。</w:t>
            </w:r>
          </w:p>
        </w:tc>
        <w:tc>
          <w:tcPr>
            <w:tcW w:w="1512" w:type="pct"/>
            <w:vAlign w:val="center"/>
          </w:tcPr>
          <w:p w14:paraId="6630D336">
            <w:pPr>
              <w:widowControl w:val="0"/>
              <w:adjustRightInd w:val="0"/>
              <w:snapToGrid w:val="0"/>
              <w:spacing w:line="240" w:lineRule="auto"/>
              <w:ind w:firstLine="0" w:firstLineChars="0"/>
              <w:jc w:val="center"/>
              <w:rPr>
                <w:rFonts w:ascii="Times New Roman" w:hAnsi="Times New Roman" w:eastAsia="仿宋_GB2312" w:cs="Times New Roman"/>
                <w:color w:val="auto"/>
                <w:kern w:val="2"/>
                <w:sz w:val="21"/>
                <w:szCs w:val="21"/>
                <w:lang w:val="en-US" w:eastAsia="zh-CN" w:bidi="ar-SA"/>
              </w:rPr>
            </w:pPr>
            <w:r>
              <w:rPr>
                <w:rFonts w:ascii="Times New Roman" w:hAnsi="Times New Roman" w:eastAsia="仿宋_GB2312" w:cs="Times New Roman"/>
                <w:color w:val="auto"/>
                <w:kern w:val="2"/>
                <w:sz w:val="21"/>
                <w:szCs w:val="21"/>
                <w:lang w:val="en-US" w:eastAsia="zh-CN" w:bidi="ar-SA"/>
              </w:rPr>
              <w:t>不涉及。</w:t>
            </w:r>
          </w:p>
        </w:tc>
      </w:tr>
    </w:tbl>
    <w:p w14:paraId="75875810">
      <w:pPr>
        <w:pStyle w:val="4"/>
        <w:rPr>
          <w:color w:val="auto"/>
        </w:rPr>
      </w:pPr>
      <w:bookmarkStart w:id="35" w:name="_Toc4984"/>
      <w:bookmarkStart w:id="36" w:name="_Toc4111"/>
      <w:r>
        <w:rPr>
          <w:rFonts w:hint="eastAsia"/>
          <w:color w:val="auto"/>
        </w:rPr>
        <w:t>环保政策相符性分析</w:t>
      </w:r>
      <w:bookmarkEnd w:id="35"/>
      <w:bookmarkEnd w:id="36"/>
    </w:p>
    <w:p w14:paraId="644A5D0A">
      <w:pPr>
        <w:pStyle w:val="5"/>
        <w:ind w:firstLine="301"/>
        <w:rPr>
          <w:color w:val="auto"/>
        </w:rPr>
      </w:pPr>
      <w:r>
        <w:rPr>
          <w:rFonts w:hint="eastAsia"/>
          <w:color w:val="auto"/>
        </w:rPr>
        <w:t>与太湖流域相关条例相符性分析</w:t>
      </w:r>
    </w:p>
    <w:p w14:paraId="13E032F6">
      <w:pPr>
        <w:pStyle w:val="46"/>
        <w:ind w:firstLine="562"/>
        <w:rPr>
          <w:color w:val="auto"/>
        </w:rPr>
      </w:pPr>
      <w:r>
        <w:rPr>
          <w:rFonts w:hint="eastAsia"/>
          <w:color w:val="auto"/>
        </w:rPr>
        <w:t>1、与《太湖流域管理条例》的相符性分析</w:t>
      </w:r>
    </w:p>
    <w:p w14:paraId="5428D4F0">
      <w:pPr>
        <w:rPr>
          <w:rFonts w:hint="eastAsia"/>
          <w:color w:val="auto"/>
        </w:rPr>
      </w:pPr>
      <w:r>
        <w:rPr>
          <w:rFonts w:hint="eastAsia"/>
          <w:color w:val="auto"/>
        </w:rPr>
        <w:t>《太湖流域管理条例》第四章第二十八条规定：禁止在太湖流域设置不符合国家产业政策和水环境综合治理要求的造纸、制革、酒精、淀粉、冶金、酿造、印染、电镀等排放水污染物的生产项目，现有的生产项目不能实现达标排放的，应当依法关闭。</w:t>
      </w:r>
    </w:p>
    <w:p w14:paraId="1189A524">
      <w:pPr>
        <w:rPr>
          <w:rFonts w:hint="eastAsia"/>
          <w:color w:val="auto"/>
        </w:rPr>
      </w:pPr>
      <w:r>
        <w:rPr>
          <w:rFonts w:hint="eastAsia"/>
          <w:color w:val="auto"/>
        </w:rPr>
        <w:t>第二十九条新孟河、望虞河以外的其他主要入太湖河道，自河口1万米上溯至5万米河道岸线内及其岸线两侧各1000米范围内，禁止下列行为：</w:t>
      </w:r>
    </w:p>
    <w:p w14:paraId="35CEDCA3">
      <w:pPr>
        <w:rPr>
          <w:rFonts w:hint="eastAsia"/>
          <w:color w:val="auto"/>
        </w:rPr>
      </w:pPr>
      <w:r>
        <w:rPr>
          <w:rFonts w:hint="eastAsia"/>
          <w:color w:val="auto"/>
        </w:rPr>
        <w:t>（一）新建、扩建化工、医药生产项目；</w:t>
      </w:r>
    </w:p>
    <w:p w14:paraId="220ACF94">
      <w:pPr>
        <w:rPr>
          <w:rFonts w:hint="eastAsia"/>
          <w:color w:val="auto"/>
        </w:rPr>
      </w:pPr>
      <w:r>
        <w:rPr>
          <w:rFonts w:hint="eastAsia"/>
          <w:color w:val="auto"/>
        </w:rPr>
        <w:t>（二）新建、扩建污水集中处理设施排污口以外的排污口；</w:t>
      </w:r>
    </w:p>
    <w:p w14:paraId="3C8B3BCB">
      <w:pPr>
        <w:rPr>
          <w:rFonts w:hint="eastAsia"/>
          <w:color w:val="auto"/>
        </w:rPr>
      </w:pPr>
      <w:r>
        <w:rPr>
          <w:rFonts w:hint="eastAsia"/>
          <w:color w:val="auto"/>
        </w:rPr>
        <w:t>（三）扩大水产养殖规模。</w:t>
      </w:r>
    </w:p>
    <w:p w14:paraId="6E325061">
      <w:pPr>
        <w:rPr>
          <w:rFonts w:hint="eastAsia"/>
          <w:color w:val="auto"/>
        </w:rPr>
      </w:pPr>
      <w:r>
        <w:rPr>
          <w:rFonts w:hint="eastAsia"/>
          <w:color w:val="auto"/>
        </w:rPr>
        <w:t>第三十条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w:t>
      </w:r>
    </w:p>
    <w:p w14:paraId="2B2472F3">
      <w:pPr>
        <w:rPr>
          <w:rFonts w:hint="eastAsia"/>
          <w:color w:val="auto"/>
        </w:rPr>
      </w:pPr>
      <w:r>
        <w:rPr>
          <w:rFonts w:hint="eastAsia"/>
          <w:color w:val="auto"/>
        </w:rPr>
        <w:t>（一）设置剧毒物质、危险化学品的贮存、输送设施和废物回收场、垃圾场；</w:t>
      </w:r>
    </w:p>
    <w:p w14:paraId="7B77D260">
      <w:pPr>
        <w:rPr>
          <w:rFonts w:hint="eastAsia"/>
          <w:color w:val="auto"/>
        </w:rPr>
      </w:pPr>
      <w:r>
        <w:rPr>
          <w:rFonts w:hint="eastAsia"/>
          <w:color w:val="auto"/>
        </w:rPr>
        <w:t>（二）设置水上餐饮经营设施；</w:t>
      </w:r>
    </w:p>
    <w:p w14:paraId="2B3285B2">
      <w:pPr>
        <w:rPr>
          <w:rFonts w:hint="eastAsia"/>
          <w:color w:val="auto"/>
        </w:rPr>
      </w:pPr>
      <w:r>
        <w:rPr>
          <w:rFonts w:hint="eastAsia"/>
          <w:color w:val="auto"/>
        </w:rPr>
        <w:t>（三）新建、扩建高尔夫球场；</w:t>
      </w:r>
    </w:p>
    <w:p w14:paraId="1D240F9D">
      <w:pPr>
        <w:rPr>
          <w:rFonts w:hint="eastAsia"/>
          <w:color w:val="auto"/>
        </w:rPr>
      </w:pPr>
      <w:r>
        <w:rPr>
          <w:rFonts w:hint="eastAsia"/>
          <w:color w:val="auto"/>
        </w:rPr>
        <w:t>（四）新建、扩建畜禽养殖场；</w:t>
      </w:r>
    </w:p>
    <w:p w14:paraId="5B27C623">
      <w:pPr>
        <w:rPr>
          <w:rFonts w:hint="eastAsia"/>
          <w:color w:val="auto"/>
        </w:rPr>
      </w:pPr>
      <w:r>
        <w:rPr>
          <w:rFonts w:hint="eastAsia"/>
          <w:color w:val="auto"/>
        </w:rPr>
        <w:t>（五）新建、扩建向水体排放污染物的建设项目；</w:t>
      </w:r>
    </w:p>
    <w:p w14:paraId="1D44C2F2">
      <w:pPr>
        <w:rPr>
          <w:rFonts w:hint="eastAsia"/>
          <w:color w:val="auto"/>
        </w:rPr>
      </w:pPr>
      <w:r>
        <w:rPr>
          <w:rFonts w:hint="eastAsia"/>
          <w:color w:val="auto"/>
        </w:rPr>
        <w:t>（六）本条例第二十九条规定的行为。</w:t>
      </w:r>
    </w:p>
    <w:p w14:paraId="3EA9B2FE">
      <w:pPr>
        <w:rPr>
          <w:rFonts w:hint="eastAsia"/>
          <w:color w:val="auto"/>
        </w:rPr>
      </w:pPr>
      <w:r>
        <w:rPr>
          <w:rFonts w:hint="eastAsia"/>
          <w:color w:val="auto"/>
        </w:rPr>
        <w:t>已经设置前款第一项、第二项规定设施的，当地县级人民政府应当责令拆除或者关闭。</w:t>
      </w:r>
    </w:p>
    <w:p w14:paraId="246B915F">
      <w:pPr>
        <w:rPr>
          <w:color w:val="auto"/>
        </w:rPr>
      </w:pPr>
      <w:r>
        <w:rPr>
          <w:rStyle w:val="47"/>
          <w:rFonts w:hint="eastAsia"/>
          <w:color w:val="auto"/>
        </w:rPr>
        <w:t>本项目情况：</w:t>
      </w:r>
      <w:r>
        <w:rPr>
          <w:rFonts w:hint="eastAsia"/>
          <w:color w:val="auto"/>
        </w:rPr>
        <w:t>本项目距离太湖直线距离约46.95km，淀山湖直线距离约18.13km，不在太湖岸线内和岸线周边5000米范围内，</w:t>
      </w:r>
      <w:r>
        <w:rPr>
          <w:rFonts w:hint="eastAsia"/>
          <w:color w:val="auto"/>
          <w:lang w:val="en-US" w:eastAsia="zh-CN"/>
        </w:rPr>
        <w:t>不在淀山湖岸线内和岸线周边2000米范围内，</w:t>
      </w:r>
      <w:r>
        <w:rPr>
          <w:rFonts w:hint="eastAsia"/>
          <w:color w:val="auto"/>
        </w:rPr>
        <w:t>不在太浦河、新孟河、望虞河岸线内和岸线两侧各1000米范围内，不属于其中禁止设置的项目，各污染物均可以做到达标排放。因此，本项目的建设符合《太湖流域管理条例》的要求。</w:t>
      </w:r>
    </w:p>
    <w:p w14:paraId="4DB4A5FA">
      <w:pPr>
        <w:pStyle w:val="46"/>
        <w:ind w:firstLine="562"/>
        <w:rPr>
          <w:color w:val="auto"/>
        </w:rPr>
      </w:pPr>
      <w:r>
        <w:rPr>
          <w:rFonts w:hint="eastAsia"/>
          <w:color w:val="auto"/>
        </w:rPr>
        <w:t>2、与《江苏省太湖水污染防治条例》的相符性分析</w:t>
      </w:r>
    </w:p>
    <w:p w14:paraId="0179E8F8">
      <w:pPr>
        <w:rPr>
          <w:rFonts w:hint="eastAsia"/>
          <w:color w:val="auto"/>
        </w:rPr>
      </w:pPr>
      <w:r>
        <w:rPr>
          <w:rFonts w:hint="eastAsia"/>
          <w:color w:val="auto"/>
        </w:rPr>
        <w:t>《江苏省太湖水污染防治条例（2021年修订）》第四十三条规定，太湖流域一、二、三级保护区禁止下列行为：</w:t>
      </w:r>
    </w:p>
    <w:p w14:paraId="4CBA5E50">
      <w:pPr>
        <w:rPr>
          <w:rFonts w:hint="eastAsia"/>
          <w:color w:val="auto"/>
        </w:rPr>
      </w:pPr>
      <w:r>
        <w:rPr>
          <w:rFonts w:hint="eastAsia"/>
          <w:color w:val="auto"/>
        </w:rPr>
        <w:t>（一）新建、改建、扩建化学制浆造纸、制革、酿造、染料、印染、电镀以及其他排放含磷、氮等污染物的企业和项目，城镇污水集中处理等环境基础设施项目和第四十六条规定的情形除外；</w:t>
      </w:r>
    </w:p>
    <w:p w14:paraId="24308FC2">
      <w:pPr>
        <w:rPr>
          <w:rFonts w:hint="eastAsia"/>
          <w:color w:val="auto"/>
        </w:rPr>
      </w:pPr>
      <w:r>
        <w:rPr>
          <w:rFonts w:hint="eastAsia"/>
          <w:color w:val="auto"/>
        </w:rPr>
        <w:t>（二）销售、使用含磷洗涤用品；</w:t>
      </w:r>
    </w:p>
    <w:p w14:paraId="12A6FC19">
      <w:pPr>
        <w:rPr>
          <w:rFonts w:hint="eastAsia"/>
          <w:color w:val="auto"/>
        </w:rPr>
      </w:pPr>
      <w:r>
        <w:rPr>
          <w:rFonts w:hint="eastAsia"/>
          <w:color w:val="auto"/>
        </w:rPr>
        <w:t>（三）向水体排放或者倾倒油类、酸液、碱液、剧毒废渣废液、含放射性废渣废液、含病原体污水、工业废渣以及其他废弃物；</w:t>
      </w:r>
    </w:p>
    <w:p w14:paraId="75DCBC85">
      <w:pPr>
        <w:rPr>
          <w:rFonts w:hint="eastAsia"/>
          <w:color w:val="auto"/>
        </w:rPr>
      </w:pPr>
      <w:r>
        <w:rPr>
          <w:rFonts w:hint="eastAsia"/>
          <w:color w:val="auto"/>
        </w:rPr>
        <w:t>（四）在水体清洗装贮过油类或者有毒有害污染物的车辆、船舶和容器等；</w:t>
      </w:r>
    </w:p>
    <w:p w14:paraId="34EE1DDD">
      <w:pPr>
        <w:rPr>
          <w:rFonts w:hint="eastAsia"/>
          <w:color w:val="auto"/>
        </w:rPr>
      </w:pPr>
      <w:r>
        <w:rPr>
          <w:rFonts w:hint="eastAsia"/>
          <w:color w:val="auto"/>
        </w:rPr>
        <w:t>（五）使用农药等有毒物毒杀水生生物；</w:t>
      </w:r>
    </w:p>
    <w:p w14:paraId="1268A03E">
      <w:pPr>
        <w:rPr>
          <w:rFonts w:hint="eastAsia"/>
          <w:color w:val="auto"/>
        </w:rPr>
      </w:pPr>
      <w:r>
        <w:rPr>
          <w:rFonts w:hint="eastAsia"/>
          <w:color w:val="auto"/>
        </w:rPr>
        <w:t>（六）向水体直接排放人畜粪便、倾倒垃圾；</w:t>
      </w:r>
    </w:p>
    <w:p w14:paraId="731F42A0">
      <w:pPr>
        <w:rPr>
          <w:rFonts w:hint="eastAsia"/>
          <w:color w:val="auto"/>
        </w:rPr>
      </w:pPr>
      <w:r>
        <w:rPr>
          <w:rFonts w:hint="eastAsia"/>
          <w:color w:val="auto"/>
        </w:rPr>
        <w:t>（七）围湖造地；</w:t>
      </w:r>
    </w:p>
    <w:p w14:paraId="69CC9656">
      <w:pPr>
        <w:rPr>
          <w:rFonts w:hint="eastAsia"/>
          <w:color w:val="auto"/>
        </w:rPr>
      </w:pPr>
      <w:r>
        <w:rPr>
          <w:rFonts w:hint="eastAsia"/>
          <w:color w:val="auto"/>
        </w:rPr>
        <w:t>（八）违法开山采石，或者进行破坏林木、植被、水生生物的活动；</w:t>
      </w:r>
    </w:p>
    <w:p w14:paraId="44BA8FCB">
      <w:pPr>
        <w:rPr>
          <w:rFonts w:hint="eastAsia"/>
          <w:color w:val="auto"/>
        </w:rPr>
      </w:pPr>
      <w:r>
        <w:rPr>
          <w:rFonts w:hint="eastAsia"/>
          <w:color w:val="auto"/>
        </w:rPr>
        <w:t>（九）法律、法规禁止的其他行为。</w:t>
      </w:r>
    </w:p>
    <w:p w14:paraId="45B7DFF7">
      <w:pPr>
        <w:rPr>
          <w:rFonts w:hint="eastAsia"/>
          <w:color w:val="auto"/>
        </w:rPr>
      </w:pPr>
      <w:r>
        <w:rPr>
          <w:rStyle w:val="47"/>
          <w:rFonts w:hint="eastAsia"/>
          <w:color w:val="auto"/>
        </w:rPr>
        <w:t>本项目情况：</w:t>
      </w:r>
      <w:r>
        <w:rPr>
          <w:rFonts w:hint="eastAsia"/>
          <w:color w:val="auto"/>
        </w:rPr>
        <w:t>本项目距离太湖直线距离约46.95km，淀山湖直线距离约18.13km，根据《省政府办公厅关于公布江苏省太湖流域三级保护区范围的通知》（苏政办发[2012]221号），项目位于太湖流域三级保护区范围内。</w:t>
      </w:r>
    </w:p>
    <w:p w14:paraId="6E26E582">
      <w:pPr>
        <w:rPr>
          <w:rFonts w:hint="eastAsia"/>
          <w:color w:val="auto"/>
        </w:rPr>
      </w:pPr>
      <w:r>
        <w:rPr>
          <w:rFonts w:hint="eastAsia"/>
          <w:color w:val="auto"/>
        </w:rPr>
        <w:t>本项目属于C3525</w:t>
      </w:r>
      <w:r>
        <w:rPr>
          <w:rFonts w:hint="eastAsia"/>
          <w:color w:val="auto"/>
          <w:lang w:val="en-US" w:eastAsia="zh-CN"/>
        </w:rPr>
        <w:t xml:space="preserve"> </w:t>
      </w:r>
      <w:r>
        <w:rPr>
          <w:rFonts w:hint="eastAsia"/>
          <w:color w:val="auto"/>
        </w:rPr>
        <w:t>模具制造。目前厂区污水排口已设置便于检查、采样的规范化排污口，并按照要求悬挂标注单位名称和排放污染物的种类、浓度及数量要求等内容的标志牌。本项目不</w:t>
      </w:r>
      <w:r>
        <w:rPr>
          <w:rFonts w:hint="eastAsia"/>
          <w:color w:val="auto"/>
          <w:lang w:val="en-US" w:eastAsia="zh-CN"/>
        </w:rPr>
        <w:t>涉及</w:t>
      </w:r>
      <w:r>
        <w:rPr>
          <w:rFonts w:hint="eastAsia"/>
          <w:color w:val="auto"/>
        </w:rPr>
        <w:t>含氮磷生产废水排放，</w:t>
      </w:r>
      <w:r>
        <w:rPr>
          <w:rFonts w:hint="eastAsia"/>
          <w:color w:val="auto"/>
          <w:lang w:val="en-US" w:eastAsia="zh-CN"/>
        </w:rPr>
        <w:t>不属于条例中禁止建设项目，生产行为不在条例禁止行为范围</w:t>
      </w:r>
      <w:r>
        <w:rPr>
          <w:rFonts w:hint="eastAsia"/>
          <w:color w:val="auto"/>
        </w:rPr>
        <w:t>。因此，本项目的建设符合《江苏省太湖水污染防治条例》的要求。</w:t>
      </w:r>
    </w:p>
    <w:p w14:paraId="157039E7">
      <w:pPr>
        <w:rPr>
          <w:rFonts w:hint="eastAsia"/>
          <w:color w:val="auto"/>
        </w:rPr>
      </w:pPr>
    </w:p>
    <w:p w14:paraId="653F9F3D">
      <w:pPr>
        <w:pStyle w:val="5"/>
        <w:ind w:firstLine="301"/>
        <w:rPr>
          <w:color w:val="auto"/>
        </w:rPr>
      </w:pPr>
      <w:r>
        <w:rPr>
          <w:rFonts w:hint="eastAsia"/>
          <w:color w:val="auto"/>
        </w:rPr>
        <w:t>与长江流域相关要求相符性分析</w:t>
      </w:r>
    </w:p>
    <w:p w14:paraId="54CCE078">
      <w:pPr>
        <w:pStyle w:val="46"/>
        <w:ind w:firstLine="562"/>
        <w:rPr>
          <w:color w:val="auto"/>
        </w:rPr>
      </w:pPr>
      <w:r>
        <w:rPr>
          <w:rFonts w:hint="eastAsia"/>
          <w:color w:val="auto"/>
        </w:rPr>
        <w:t>1、《关于加强长江流域生态环境保护工作的通知》（苏政发[2016]96号）</w:t>
      </w:r>
    </w:p>
    <w:p w14:paraId="52CC385B">
      <w:pPr>
        <w:rPr>
          <w:color w:val="auto"/>
        </w:rPr>
      </w:pPr>
      <w:r>
        <w:rPr>
          <w:rFonts w:hint="eastAsia"/>
          <w:color w:val="auto"/>
        </w:rPr>
        <w:t>文件要求“优化沿江产业空间布局制定更加严格的产业准入目录。统筹规划沿江岸线资源严禁在干流及主要支流岸线1公里范围内新建布局重化工园区和危化品码头严格限制在长江沿线新建石油化工、煤化工等中重度化工项目”。</w:t>
      </w:r>
    </w:p>
    <w:p w14:paraId="7F9ACFF3">
      <w:pPr>
        <w:pStyle w:val="46"/>
        <w:ind w:firstLine="562"/>
        <w:rPr>
          <w:color w:val="auto"/>
        </w:rPr>
      </w:pPr>
      <w:r>
        <w:rPr>
          <w:rFonts w:hint="eastAsia"/>
          <w:color w:val="auto"/>
        </w:rPr>
        <w:t>2、《江苏省长江水污染防治条例》（2018年第三次修正版）</w:t>
      </w:r>
    </w:p>
    <w:p w14:paraId="712895C2">
      <w:pPr>
        <w:rPr>
          <w:color w:val="auto"/>
        </w:rPr>
      </w:pPr>
      <w:r>
        <w:rPr>
          <w:rFonts w:hint="eastAsia"/>
          <w:color w:val="auto"/>
        </w:rPr>
        <w:t>文件要求“在沿江地区新建、改建或者扩建石油化工项目应当符合省沿江开发总体规划和城市总体规划的要求。在省沿江开发总体规划和城市总体规划确定的区域范围外限制新建、改建或者扩建石油化工等项目；确需建设的，其环境影响评价文件应当经省环境保护主管部门审批。沿江地区化工以及化工原料制造行业和其他行业的排污单位应当严格执行国家和地方有关排放标准，不得向水体排放标准中禁止排放的有机毒物和有毒有害物质”。</w:t>
      </w:r>
    </w:p>
    <w:p w14:paraId="3D0636AD">
      <w:pPr>
        <w:pStyle w:val="46"/>
        <w:ind w:firstLine="562"/>
        <w:rPr>
          <w:color w:val="auto"/>
        </w:rPr>
      </w:pPr>
      <w:r>
        <w:rPr>
          <w:rFonts w:hint="eastAsia"/>
          <w:color w:val="auto"/>
        </w:rPr>
        <w:t>3、《中华人民共和国长江保护法》</w:t>
      </w:r>
    </w:p>
    <w:p w14:paraId="326C66C9">
      <w:pPr>
        <w:rPr>
          <w:color w:val="auto"/>
        </w:rPr>
      </w:pPr>
      <w:r>
        <w:rPr>
          <w:rFonts w:hint="eastAsia"/>
          <w:color w:val="auto"/>
        </w:rPr>
        <w:t>文件要求“禁止在长江干支流岸线一公里范围内新建、扩建化工园区和化工项目”。</w:t>
      </w:r>
    </w:p>
    <w:p w14:paraId="1A5D78B8">
      <w:pPr>
        <w:rPr>
          <w:color w:val="auto"/>
        </w:rPr>
      </w:pPr>
      <w:r>
        <w:rPr>
          <w:rStyle w:val="47"/>
          <w:rFonts w:hint="eastAsia"/>
          <w:color w:val="auto"/>
        </w:rPr>
        <w:t>本项目情况：</w:t>
      </w:r>
      <w:r>
        <w:rPr>
          <w:rFonts w:hint="eastAsia"/>
          <w:color w:val="auto"/>
        </w:rPr>
        <w:t>本项目属于</w:t>
      </w:r>
      <w:r>
        <w:rPr>
          <w:rFonts w:hint="eastAsia"/>
          <w:color w:val="auto"/>
          <w:lang w:eastAsia="zh-CN"/>
        </w:rPr>
        <w:t>C3525 模具制造</w:t>
      </w:r>
      <w:r>
        <w:rPr>
          <w:rFonts w:hint="eastAsia"/>
          <w:color w:val="auto"/>
        </w:rPr>
        <w:t>，</w:t>
      </w:r>
      <w:r>
        <w:rPr>
          <w:rFonts w:hint="eastAsia"/>
          <w:color w:val="auto"/>
          <w:lang w:val="en-US" w:eastAsia="zh-CN"/>
        </w:rPr>
        <w:t>位于花桥北部产业区，</w:t>
      </w:r>
      <w:r>
        <w:rPr>
          <w:rFonts w:hint="eastAsia"/>
          <w:color w:val="auto"/>
        </w:rPr>
        <w:t>且距离长江支流吴淞江最近3.2km，不在长江干流及主要支流岸线1公里范围内。本项目建设符合长江流域相关要求。</w:t>
      </w:r>
    </w:p>
    <w:p w14:paraId="2F1CE6A1">
      <w:pPr>
        <w:pStyle w:val="5"/>
        <w:ind w:firstLine="301"/>
        <w:rPr>
          <w:color w:val="auto"/>
        </w:rPr>
      </w:pPr>
      <w:r>
        <w:rPr>
          <w:color w:val="auto"/>
        </w:rPr>
        <w:t>与环评审批要求相符性分析</w:t>
      </w:r>
    </w:p>
    <w:p w14:paraId="02C88389">
      <w:pPr>
        <w:pStyle w:val="46"/>
        <w:bidi w:val="0"/>
        <w:rPr>
          <w:color w:val="auto"/>
        </w:rPr>
      </w:pPr>
      <w:r>
        <w:rPr>
          <w:color w:val="auto"/>
        </w:rPr>
        <w:t>1、《省生态环境厅关于进一步做好建设项目环评审批工作的通知》（苏环办[2019]36号）</w:t>
      </w:r>
    </w:p>
    <w:p w14:paraId="616AD876">
      <w:pPr>
        <w:rPr>
          <w:color w:val="auto"/>
        </w:rPr>
      </w:pPr>
      <w:r>
        <w:rPr>
          <w:rFonts w:hint="eastAsia"/>
          <w:color w:val="auto"/>
        </w:rPr>
        <w:t>对照《江苏省生态环境厅关于进一步做好建设项目环评审批工作的通知》中建设项目环评审批要点各项要求，本项目不属于“不予批准”的五种情形，本项目的建设项目类型及其选址、布局、规模符合环境保护法律法规和相关法定规划，采取的措施能够满足区域环境质量改善目标管理要求，且污染物均能实现达标排放。因此，本项目与苏环办[2019]36号文相符</w:t>
      </w:r>
      <w:r>
        <w:rPr>
          <w:color w:val="auto"/>
        </w:rPr>
        <w:t>。</w:t>
      </w:r>
    </w:p>
    <w:p w14:paraId="5AFF21D3">
      <w:pPr>
        <w:pStyle w:val="46"/>
        <w:bidi w:val="0"/>
        <w:rPr>
          <w:color w:val="auto"/>
        </w:rPr>
      </w:pPr>
      <w:r>
        <w:rPr>
          <w:color w:val="auto"/>
        </w:rPr>
        <w:t>2、《关于以改善环境质量为核心加强环境影响评价管理的通知》（</w:t>
      </w:r>
      <w:r>
        <w:rPr>
          <w:rFonts w:hint="eastAsia"/>
          <w:color w:val="auto"/>
        </w:rPr>
        <w:t>环</w:t>
      </w:r>
      <w:r>
        <w:rPr>
          <w:color w:val="auto"/>
        </w:rPr>
        <w:t>环评[2016]150号）</w:t>
      </w:r>
    </w:p>
    <w:p w14:paraId="5E37F308">
      <w:pPr>
        <w:rPr>
          <w:rFonts w:hint="eastAsia"/>
          <w:color w:val="auto"/>
        </w:rPr>
      </w:pPr>
      <w:r>
        <w:rPr>
          <w:rFonts w:hint="eastAsia"/>
          <w:color w:val="auto"/>
        </w:rPr>
        <w:t>文件要求“为适应以改善环境质量为核心的环境管理要求，切实加强环境影响评价管理，落实‘生态保护红线、环境质量底线、资源利用上线和环境准入负面清单’约束，建立项目环评审批与规划环评、现有项目环境管理、区域环境质量联动机制，更好地发挥环评制度从源头防范环境污染和生态破坏的作用，加快推进改善环境质量。”</w:t>
      </w:r>
    </w:p>
    <w:p w14:paraId="04A207F6">
      <w:pPr>
        <w:rPr>
          <w:color w:val="auto"/>
        </w:rPr>
      </w:pPr>
      <w:r>
        <w:rPr>
          <w:rFonts w:hint="eastAsia"/>
          <w:color w:val="auto"/>
        </w:rPr>
        <w:t>本项目严格执行“三同时”制度；项目按照《环境影响评价公众参与办法》（生态环境部部令第4号）要求进行公众参与，符合《关于以改善环境质量为核心加强环境影响评价管理的通知》（环环评[2016]150号）的相关要求</w:t>
      </w:r>
      <w:r>
        <w:rPr>
          <w:color w:val="auto"/>
        </w:rPr>
        <w:t>。</w:t>
      </w:r>
    </w:p>
    <w:p w14:paraId="61A27CA5">
      <w:pPr>
        <w:pStyle w:val="5"/>
        <w:ind w:firstLine="301"/>
        <w:rPr>
          <w:color w:val="auto"/>
        </w:rPr>
      </w:pPr>
      <w:r>
        <w:rPr>
          <w:color w:val="auto"/>
        </w:rPr>
        <w:t>与危废管理整治文件相符性分析</w:t>
      </w:r>
    </w:p>
    <w:p w14:paraId="3194C373">
      <w:pPr>
        <w:pStyle w:val="46"/>
        <w:bidi w:val="0"/>
        <w:rPr>
          <w:color w:val="auto"/>
        </w:rPr>
      </w:pPr>
      <w:r>
        <w:rPr>
          <w:color w:val="auto"/>
        </w:rPr>
        <w:t>1、《江苏省危险废物贮存规范化管理专项整治行动方案》（苏环办[2019]149号）、《苏州市危险废物贮存规范化管理专项整治行动方案配套实施意见》（苏环管字[2019]53号）</w:t>
      </w:r>
    </w:p>
    <w:p w14:paraId="3962EF70">
      <w:pPr>
        <w:pStyle w:val="25"/>
        <w:bidi w:val="0"/>
        <w:rPr>
          <w:rFonts w:hint="eastAsia"/>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1.4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8</w:t>
      </w:r>
      <w:r>
        <w:rPr>
          <w:color w:val="auto"/>
        </w:rPr>
        <w:fldChar w:fldCharType="end"/>
      </w:r>
      <w:r>
        <w:rPr>
          <w:rFonts w:hint="eastAsia"/>
          <w:color w:val="auto"/>
        </w:rPr>
        <w:t>与苏环办[2019]149号、苏环管字[2019]53号相符性分析</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62"/>
        <w:gridCol w:w="2654"/>
      </w:tblGrid>
      <w:tr w14:paraId="622E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404" w:type="pct"/>
            <w:tcMar>
              <w:left w:w="0" w:type="dxa"/>
              <w:right w:w="0" w:type="dxa"/>
            </w:tcMar>
            <w:vAlign w:val="center"/>
          </w:tcPr>
          <w:p w14:paraId="0022AC02">
            <w:pPr>
              <w:pStyle w:val="36"/>
              <w:bidi w:val="0"/>
              <w:rPr>
                <w:color w:val="auto"/>
              </w:rPr>
            </w:pPr>
            <w:r>
              <w:rPr>
                <w:color w:val="auto"/>
              </w:rPr>
              <w:t>条款内容</w:t>
            </w:r>
          </w:p>
        </w:tc>
        <w:tc>
          <w:tcPr>
            <w:tcW w:w="1596" w:type="pct"/>
            <w:tcMar>
              <w:left w:w="0" w:type="dxa"/>
              <w:right w:w="0" w:type="dxa"/>
            </w:tcMar>
            <w:vAlign w:val="center"/>
          </w:tcPr>
          <w:p w14:paraId="4D2D6952">
            <w:pPr>
              <w:pStyle w:val="36"/>
              <w:bidi w:val="0"/>
              <w:rPr>
                <w:color w:val="auto"/>
              </w:rPr>
            </w:pPr>
            <w:r>
              <w:rPr>
                <w:color w:val="auto"/>
              </w:rPr>
              <w:t>相符性分析</w:t>
            </w:r>
          </w:p>
        </w:tc>
      </w:tr>
      <w:tr w14:paraId="7169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404" w:type="pct"/>
            <w:tcMar>
              <w:left w:w="0" w:type="dxa"/>
              <w:right w:w="0" w:type="dxa"/>
            </w:tcMar>
            <w:vAlign w:val="center"/>
          </w:tcPr>
          <w:p w14:paraId="72FE3CAF">
            <w:pPr>
              <w:pStyle w:val="26"/>
              <w:bidi w:val="0"/>
              <w:rPr>
                <w:color w:val="auto"/>
              </w:rPr>
            </w:pPr>
            <w:r>
              <w:rPr>
                <w:rFonts w:hint="eastAsia"/>
                <w:color w:val="auto"/>
              </w:rPr>
              <w:t>（</w:t>
            </w:r>
            <w:r>
              <w:rPr>
                <w:color w:val="auto"/>
              </w:rPr>
              <w:t>1）在环评审批手续方面，查找是否依法履行环境影响评价手续，分析贮存的危险废物对大气、水、土壤和环境敏感保护目标可能造成的环境影响等，特别是对拟贮存易燃、易爆及排出有毒气体的危险废物是否进行了环境影响评价，并提出相关贮存要求。危险废物贮存设施是否作为污染防治设施纳入建设项目竣工环保验收，并符合安全生产、消防、规划、建设等相关职能部门的相关要求。</w:t>
            </w:r>
          </w:p>
        </w:tc>
        <w:tc>
          <w:tcPr>
            <w:tcW w:w="1596" w:type="pct"/>
            <w:tcMar>
              <w:left w:w="0" w:type="dxa"/>
              <w:right w:w="0" w:type="dxa"/>
            </w:tcMar>
            <w:vAlign w:val="center"/>
          </w:tcPr>
          <w:p w14:paraId="0B986BBB">
            <w:pPr>
              <w:pStyle w:val="26"/>
              <w:bidi w:val="0"/>
              <w:rPr>
                <w:color w:val="auto"/>
              </w:rPr>
            </w:pPr>
            <w:r>
              <w:rPr>
                <w:color w:val="auto"/>
              </w:rPr>
              <w:t>本项目依托厂区现有危废仓库（</w:t>
            </w:r>
            <w:r>
              <w:rPr>
                <w:rFonts w:hint="eastAsia"/>
                <w:color w:val="auto"/>
                <w:lang w:val="en-US" w:eastAsia="zh-CN"/>
              </w:rPr>
              <w:t>6</w:t>
            </w:r>
            <w:r>
              <w:rPr>
                <w:color w:val="auto"/>
              </w:rPr>
              <w:t>0</w:t>
            </w:r>
            <w:r>
              <w:rPr>
                <w:rFonts w:hint="eastAsia"/>
                <w:color w:val="auto"/>
                <w:lang w:eastAsia="zh-CN"/>
              </w:rPr>
              <w:t>m</w:t>
            </w:r>
            <w:r>
              <w:rPr>
                <w:rFonts w:hint="eastAsia"/>
                <w:color w:val="auto"/>
                <w:vertAlign w:val="superscript"/>
                <w:lang w:eastAsia="zh-CN"/>
              </w:rPr>
              <w:t>2</w:t>
            </w:r>
            <w:r>
              <w:rPr>
                <w:color w:val="auto"/>
              </w:rPr>
              <w:t>），各种危险废物均分类并按照规范储存</w:t>
            </w:r>
            <w:r>
              <w:rPr>
                <w:rFonts w:hint="eastAsia"/>
                <w:color w:val="auto"/>
                <w:lang w:eastAsia="zh-CN"/>
              </w:rPr>
              <w:t>，</w:t>
            </w:r>
            <w:r>
              <w:rPr>
                <w:rFonts w:hint="eastAsia"/>
                <w:color w:val="auto"/>
                <w:lang w:val="en-US" w:eastAsia="zh-CN"/>
              </w:rPr>
              <w:t>符合安全生产、消防、规划、建设等相关职能部门的相关要求</w:t>
            </w:r>
            <w:r>
              <w:rPr>
                <w:color w:val="auto"/>
              </w:rPr>
              <w:t>。</w:t>
            </w:r>
          </w:p>
        </w:tc>
      </w:tr>
      <w:tr w14:paraId="01E0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404" w:type="pct"/>
            <w:tcMar>
              <w:left w:w="0" w:type="dxa"/>
              <w:right w:w="0" w:type="dxa"/>
            </w:tcMar>
            <w:vAlign w:val="center"/>
          </w:tcPr>
          <w:p w14:paraId="29EFFA02">
            <w:pPr>
              <w:pStyle w:val="26"/>
              <w:bidi w:val="0"/>
              <w:rPr>
                <w:color w:val="auto"/>
              </w:rPr>
            </w:pPr>
            <w:r>
              <w:rPr>
                <w:rFonts w:hint="eastAsia"/>
                <w:color w:val="auto"/>
              </w:rPr>
              <w:t>（2）</w:t>
            </w:r>
            <w:r>
              <w:rPr>
                <w:color w:val="auto"/>
              </w:rPr>
              <w:t>在贮存设施建设方面，查找是否在明显位置按照《环境保护图形标志固体废物贮存（处置）场》（GB15562.2-1995）设置警示标志，配备通讯设备、照明设施和消防设施；是否在出入口、设施内部等关键位置设置视频监控，并与中控室联网。是否按照危险废物的种类和特性进行分区、分类贮存，设置防雨、防火、防雷、防扬尘装置。是否按照标准在危险废物的容器和包装物上设置危险废物识别标志，并按规定填写信息。对易爆、易燃及排出有毒气体的危险废物是否进行预处理后进入贮存设施贮存，否则按易爆、易燃危险品贮存。</w:t>
            </w:r>
          </w:p>
        </w:tc>
        <w:tc>
          <w:tcPr>
            <w:tcW w:w="1596" w:type="pct"/>
            <w:tcMar>
              <w:left w:w="0" w:type="dxa"/>
              <w:right w:w="0" w:type="dxa"/>
            </w:tcMar>
            <w:vAlign w:val="center"/>
          </w:tcPr>
          <w:p w14:paraId="7656FACF">
            <w:pPr>
              <w:pStyle w:val="26"/>
              <w:bidi w:val="0"/>
              <w:rPr>
                <w:color w:val="auto"/>
              </w:rPr>
            </w:pPr>
            <w:r>
              <w:rPr>
                <w:color w:val="auto"/>
              </w:rPr>
              <w:t>现有危废仓库按照相关要求设置相关警示标志，并配置通讯设施、照明设施、消防设施和视频监控系统；危废均按照其种类和特性分类储存，并按照标准在其包装容器上设置危险废物识别标志，并按规定填写信息。</w:t>
            </w:r>
          </w:p>
        </w:tc>
      </w:tr>
      <w:tr w14:paraId="7B16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404" w:type="pct"/>
            <w:tcMar>
              <w:left w:w="0" w:type="dxa"/>
              <w:right w:w="0" w:type="dxa"/>
            </w:tcMar>
            <w:vAlign w:val="center"/>
          </w:tcPr>
          <w:p w14:paraId="5AAB1C37">
            <w:pPr>
              <w:pStyle w:val="26"/>
              <w:bidi w:val="0"/>
              <w:rPr>
                <w:color w:val="auto"/>
              </w:rPr>
            </w:pPr>
            <w:r>
              <w:rPr>
                <w:rFonts w:hint="eastAsia"/>
                <w:color w:val="auto"/>
              </w:rPr>
              <w:t>（3）</w:t>
            </w:r>
            <w:r>
              <w:rPr>
                <w:color w:val="auto"/>
              </w:rPr>
              <w:t>在管理制度落实方面，自查是否建立规范的危险废物贮存台账，如实记录废物名称、种类、数量、来源、出入库时间、去向、交接人签字等内容。产生废弃危险化学品的单位是否根据《关于废弃危险化学品纳入危险废物管理的条件和程序的复函》（环办土壤函[2018]245号）中相关要求，将拟</w:t>
            </w:r>
            <w:r>
              <w:rPr>
                <w:rFonts w:hint="eastAsia"/>
                <w:color w:val="auto"/>
              </w:rPr>
              <w:t>抛弃或者放弃的危险化学品种类、数量等信息纳入危险废物管理计划，向属地生态环境部门申报，经生态环境部门备案后，将贮存设施和贮存情况纳入环境监管范围。危险废物经营单位需排查是否制定废物入场控制措施，并不得接受核准经营许可以外的种类；贮存设施周转的累积贮存量不得超过年许可经营能力的六分之一，贮存期限原则上不得超过三个月。</w:t>
            </w:r>
          </w:p>
        </w:tc>
        <w:tc>
          <w:tcPr>
            <w:tcW w:w="1596" w:type="pct"/>
            <w:tcMar>
              <w:left w:w="0" w:type="dxa"/>
              <w:right w:w="0" w:type="dxa"/>
            </w:tcMar>
            <w:vAlign w:val="center"/>
          </w:tcPr>
          <w:p w14:paraId="7166429E">
            <w:pPr>
              <w:pStyle w:val="26"/>
              <w:bidi w:val="0"/>
              <w:rPr>
                <w:color w:val="auto"/>
              </w:rPr>
            </w:pPr>
            <w:r>
              <w:rPr>
                <w:color w:val="auto"/>
              </w:rPr>
              <w:t>建设单位</w:t>
            </w:r>
            <w:r>
              <w:rPr>
                <w:rFonts w:hint="eastAsia"/>
                <w:color w:val="auto"/>
                <w:lang w:val="en-US" w:eastAsia="zh-CN"/>
              </w:rPr>
              <w:t>已</w:t>
            </w:r>
            <w:r>
              <w:rPr>
                <w:color w:val="auto"/>
              </w:rPr>
              <w:t>按照相关要求建立环境管理制度，建立规范的台账制度，并按照要求处置存放危险废物，按照生态环境部门要求进行申报危废管理计划，与危废单位签订危废协议，定期处置危险废物。</w:t>
            </w:r>
          </w:p>
        </w:tc>
      </w:tr>
    </w:tbl>
    <w:p w14:paraId="45958836">
      <w:pPr>
        <w:pStyle w:val="46"/>
        <w:bidi w:val="0"/>
        <w:rPr>
          <w:color w:val="auto"/>
        </w:rPr>
      </w:pPr>
      <w:r>
        <w:rPr>
          <w:color w:val="auto"/>
        </w:rPr>
        <w:t>2、《省生态环境厅关于</w:t>
      </w:r>
      <w:r>
        <w:rPr>
          <w:rFonts w:hint="eastAsia"/>
          <w:color w:val="auto"/>
        </w:rPr>
        <w:t>印发江苏省固体废物全过程环境监管工作意见</w:t>
      </w:r>
      <w:r>
        <w:rPr>
          <w:color w:val="auto"/>
        </w:rPr>
        <w:t>》（苏环办[20</w:t>
      </w:r>
      <w:r>
        <w:rPr>
          <w:rFonts w:hint="eastAsia"/>
          <w:color w:val="auto"/>
        </w:rPr>
        <w:t>24</w:t>
      </w:r>
      <w:r>
        <w:rPr>
          <w:color w:val="auto"/>
        </w:rPr>
        <w:t>]</w:t>
      </w:r>
      <w:r>
        <w:rPr>
          <w:rFonts w:hint="eastAsia"/>
          <w:color w:val="auto"/>
        </w:rPr>
        <w:t>16</w:t>
      </w:r>
      <w:r>
        <w:rPr>
          <w:color w:val="auto"/>
        </w:rPr>
        <w:t>号）</w:t>
      </w:r>
    </w:p>
    <w:p w14:paraId="149748FA">
      <w:pPr>
        <w:rPr>
          <w:color w:val="auto"/>
        </w:rPr>
      </w:pPr>
      <w:r>
        <w:rPr>
          <w:rFonts w:hint="eastAsia"/>
          <w:color w:val="auto"/>
        </w:rPr>
        <w:t>对照《省生态环境厅关于印发江苏省固体废物全过程环境监管工作意见的通知》（苏环办〔2024〕16号），本项目与文中相关条款的相符性分析如下</w:t>
      </w:r>
      <w:r>
        <w:rPr>
          <w:color w:val="auto"/>
        </w:rPr>
        <w:t>：</w:t>
      </w:r>
    </w:p>
    <w:p w14:paraId="0AD762A2">
      <w:pPr>
        <w:pStyle w:val="25"/>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1.4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9</w:t>
      </w:r>
      <w:r>
        <w:rPr>
          <w:color w:val="auto"/>
        </w:rPr>
        <w:fldChar w:fldCharType="end"/>
      </w:r>
      <w:r>
        <w:rPr>
          <w:rFonts w:hint="eastAsia"/>
          <w:color w:val="auto"/>
        </w:rPr>
        <w:t>与苏环办〔2024〕16号文相符性分析</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5"/>
        <w:gridCol w:w="5164"/>
        <w:gridCol w:w="1707"/>
      </w:tblGrid>
      <w:tr w14:paraId="2FF5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869" w:type="pct"/>
            <w:tcMar>
              <w:left w:w="0" w:type="dxa"/>
              <w:right w:w="0" w:type="dxa"/>
            </w:tcMar>
            <w:vAlign w:val="center"/>
          </w:tcPr>
          <w:p w14:paraId="578E0B0B">
            <w:pPr>
              <w:pStyle w:val="36"/>
              <w:bidi w:val="0"/>
              <w:rPr>
                <w:color w:val="auto"/>
              </w:rPr>
            </w:pPr>
            <w:r>
              <w:rPr>
                <w:color w:val="auto"/>
              </w:rPr>
              <w:t>相关条款</w:t>
            </w:r>
          </w:p>
        </w:tc>
        <w:tc>
          <w:tcPr>
            <w:tcW w:w="3105" w:type="pct"/>
            <w:tcMar>
              <w:left w:w="0" w:type="dxa"/>
              <w:right w:w="0" w:type="dxa"/>
            </w:tcMar>
            <w:vAlign w:val="center"/>
          </w:tcPr>
          <w:p w14:paraId="7F4A898C">
            <w:pPr>
              <w:pStyle w:val="36"/>
              <w:bidi w:val="0"/>
              <w:rPr>
                <w:color w:val="auto"/>
              </w:rPr>
            </w:pPr>
            <w:r>
              <w:rPr>
                <w:color w:val="auto"/>
              </w:rPr>
              <w:t>条款内容</w:t>
            </w:r>
          </w:p>
        </w:tc>
        <w:tc>
          <w:tcPr>
            <w:tcW w:w="1026" w:type="pct"/>
            <w:tcMar>
              <w:left w:w="0" w:type="dxa"/>
              <w:right w:w="0" w:type="dxa"/>
            </w:tcMar>
            <w:vAlign w:val="center"/>
          </w:tcPr>
          <w:p w14:paraId="698BB6EB">
            <w:pPr>
              <w:pStyle w:val="36"/>
              <w:bidi w:val="0"/>
              <w:rPr>
                <w:color w:val="auto"/>
              </w:rPr>
            </w:pPr>
            <w:r>
              <w:rPr>
                <w:color w:val="auto"/>
              </w:rPr>
              <w:t>相符性分析</w:t>
            </w:r>
          </w:p>
        </w:tc>
      </w:tr>
      <w:tr w14:paraId="1DA1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6FBE92A5">
            <w:pPr>
              <w:pStyle w:val="26"/>
              <w:bidi w:val="0"/>
              <w:rPr>
                <w:color w:val="auto"/>
              </w:rPr>
            </w:pPr>
            <w:r>
              <w:rPr>
                <w:color w:val="auto"/>
              </w:rPr>
              <w:t>2.规范项目环评审批。</w:t>
            </w:r>
          </w:p>
        </w:tc>
        <w:tc>
          <w:tcPr>
            <w:tcW w:w="3105" w:type="pct"/>
            <w:tcMar>
              <w:left w:w="0" w:type="dxa"/>
              <w:right w:w="0" w:type="dxa"/>
            </w:tcMar>
            <w:vAlign w:val="center"/>
          </w:tcPr>
          <w:p w14:paraId="7D0CAD10">
            <w:pPr>
              <w:pStyle w:val="26"/>
              <w:bidi w:val="0"/>
              <w:rPr>
                <w:color w:val="auto"/>
              </w:rPr>
            </w:pPr>
            <w:r>
              <w:rPr>
                <w:color w:val="auto"/>
              </w:rPr>
              <w:t>建设项目环评要评价产生的固体废物种类、数量、来源和属性，论述贮存、转移和利用处置方式合规性、合理性，提出切实可行的污染防治对策措施。所有产物要按照以下五类属性给予明确并规范表述：目标产物（产品、副产品）、鉴别属于产品（符合国家、地方或行业标准）、可定向用于特定用途按产品管理（如符合团体标准）、一般固体废物和危险废物。不得将不符合GB34330、HJ1091等标准的产物认定为“再生产品”，不得出现“中间产物”“再生产物”等不规范表述，严禁以“副产品”名义逃避监管。不能排除危险特性的固体废物，须在环评文件中明确具体鉴别方案，鉴别前按危险废物管理，鉴别后根据结论按一般固废或危险废物管理。危险废物经营单位项目环评审批要点要与危险废物经营许可审查要求衔接一致。</w:t>
            </w:r>
          </w:p>
        </w:tc>
        <w:tc>
          <w:tcPr>
            <w:tcW w:w="1026" w:type="pct"/>
            <w:tcMar>
              <w:left w:w="0" w:type="dxa"/>
              <w:right w:w="0" w:type="dxa"/>
            </w:tcMar>
            <w:vAlign w:val="center"/>
          </w:tcPr>
          <w:p w14:paraId="6A583905">
            <w:pPr>
              <w:pStyle w:val="26"/>
              <w:bidi w:val="0"/>
              <w:rPr>
                <w:color w:val="auto"/>
              </w:rPr>
            </w:pPr>
            <w:r>
              <w:rPr>
                <w:color w:val="auto"/>
              </w:rPr>
              <w:t>本项目环评已明确产生的固体废物种类、数量、属性，并分析贮存、转移、利用处置方式的合规性，提出相应污染防治措施。</w:t>
            </w:r>
          </w:p>
          <w:p w14:paraId="5590588C">
            <w:pPr>
              <w:pStyle w:val="26"/>
              <w:bidi w:val="0"/>
              <w:rPr>
                <w:color w:val="auto"/>
              </w:rPr>
            </w:pPr>
            <w:r>
              <w:rPr>
                <w:color w:val="auto"/>
              </w:rPr>
              <w:t>本项目产品属于目标产物，不涉及副产品。不涉及待鉴别的固体废物。</w:t>
            </w:r>
          </w:p>
        </w:tc>
      </w:tr>
      <w:tr w14:paraId="00A2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61DAF059">
            <w:pPr>
              <w:pStyle w:val="26"/>
              <w:bidi w:val="0"/>
              <w:rPr>
                <w:color w:val="auto"/>
              </w:rPr>
            </w:pPr>
            <w:r>
              <w:rPr>
                <w:color w:val="auto"/>
              </w:rPr>
              <w:t>3.落实排污许可制度。</w:t>
            </w:r>
          </w:p>
        </w:tc>
        <w:tc>
          <w:tcPr>
            <w:tcW w:w="3105" w:type="pct"/>
            <w:tcMar>
              <w:left w:w="0" w:type="dxa"/>
              <w:right w:w="0" w:type="dxa"/>
            </w:tcMar>
            <w:vAlign w:val="center"/>
          </w:tcPr>
          <w:p w14:paraId="27435FA6">
            <w:pPr>
              <w:pStyle w:val="26"/>
              <w:bidi w:val="0"/>
              <w:rPr>
                <w:color w:val="auto"/>
              </w:rPr>
            </w:pPr>
            <w:r>
              <w:rPr>
                <w:color w:val="auto"/>
              </w:rPr>
              <w:t>企业要在排污许可管理系统中全面、准确申报工业固体废物产生种类，以及贮存设施和利用处置等相关情况，并对其真实性负责。实际产生、转移、贮存和利用处置情况对照项目环评发生变动的，要根据变动情况及时采取重新报批环评、纳入环境保护竣工验收等手续，并及时变更排污许可。</w:t>
            </w:r>
          </w:p>
        </w:tc>
        <w:tc>
          <w:tcPr>
            <w:tcW w:w="1026" w:type="pct"/>
            <w:tcMar>
              <w:left w:w="0" w:type="dxa"/>
              <w:right w:w="0" w:type="dxa"/>
            </w:tcMar>
            <w:vAlign w:val="center"/>
          </w:tcPr>
          <w:p w14:paraId="5EB92A8F">
            <w:pPr>
              <w:pStyle w:val="26"/>
              <w:bidi w:val="0"/>
              <w:rPr>
                <w:color w:val="auto"/>
              </w:rPr>
            </w:pPr>
            <w:r>
              <w:rPr>
                <w:color w:val="auto"/>
              </w:rPr>
              <w:t>现有已投运的</w:t>
            </w:r>
            <w:r>
              <w:rPr>
                <w:rFonts w:hint="eastAsia"/>
                <w:color w:val="auto"/>
              </w:rPr>
              <w:t>项目</w:t>
            </w:r>
            <w:r>
              <w:rPr>
                <w:color w:val="auto"/>
              </w:rPr>
              <w:t>已按照排污许可填报要求全面、准确申报全厂现有实际固体废物产生、贮存及处置情况。本项目投运前建设单位应当重新申领排污许可证并更新全厂危废情况。</w:t>
            </w:r>
          </w:p>
        </w:tc>
      </w:tr>
      <w:tr w14:paraId="6A90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7ACE4B09">
            <w:pPr>
              <w:pStyle w:val="26"/>
              <w:bidi w:val="0"/>
              <w:rPr>
                <w:color w:val="auto"/>
              </w:rPr>
            </w:pPr>
            <w:r>
              <w:rPr>
                <w:color w:val="auto"/>
              </w:rPr>
              <w:t>6.规范贮存管理要求。</w:t>
            </w:r>
          </w:p>
        </w:tc>
        <w:tc>
          <w:tcPr>
            <w:tcW w:w="3105" w:type="pct"/>
            <w:tcMar>
              <w:left w:w="0" w:type="dxa"/>
              <w:right w:w="0" w:type="dxa"/>
            </w:tcMar>
            <w:vAlign w:val="center"/>
          </w:tcPr>
          <w:p w14:paraId="5721A309">
            <w:pPr>
              <w:pStyle w:val="26"/>
              <w:bidi w:val="0"/>
              <w:rPr>
                <w:color w:val="auto"/>
              </w:rPr>
            </w:pPr>
            <w:r>
              <w:rPr>
                <w:color w:val="auto"/>
              </w:rPr>
              <w:t>根据《危险废物贮存污染控制标准》（GB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号）中关于贮存周期和贮存量的要求，I级、II级、III级危险废物贮存时间分别不得超过30天、60天、90天，最大贮存量不得超过1吨。</w:t>
            </w:r>
          </w:p>
        </w:tc>
        <w:tc>
          <w:tcPr>
            <w:tcW w:w="1026" w:type="pct"/>
            <w:tcMar>
              <w:left w:w="0" w:type="dxa"/>
              <w:right w:w="0" w:type="dxa"/>
            </w:tcMar>
            <w:vAlign w:val="center"/>
          </w:tcPr>
          <w:p w14:paraId="407884EF">
            <w:pPr>
              <w:pStyle w:val="26"/>
              <w:bidi w:val="0"/>
              <w:rPr>
                <w:color w:val="auto"/>
              </w:rPr>
            </w:pPr>
            <w:r>
              <w:rPr>
                <w:color w:val="auto"/>
              </w:rPr>
              <w:t>厂区内已按照苏环办〔2019〕149号要求规范建设1座</w:t>
            </w:r>
            <w:r>
              <w:rPr>
                <w:rFonts w:hint="eastAsia"/>
                <w:color w:val="auto"/>
                <w:lang w:val="en-US" w:eastAsia="zh-CN"/>
              </w:rPr>
              <w:t>6</w:t>
            </w:r>
            <w:r>
              <w:rPr>
                <w:color w:val="auto"/>
              </w:rPr>
              <w:t>0</w:t>
            </w:r>
            <w:r>
              <w:rPr>
                <w:rFonts w:hint="eastAsia"/>
                <w:color w:val="auto"/>
                <w:lang w:eastAsia="zh-CN"/>
              </w:rPr>
              <w:t>m</w:t>
            </w:r>
            <w:r>
              <w:rPr>
                <w:rFonts w:hint="eastAsia"/>
                <w:color w:val="auto"/>
                <w:vertAlign w:val="superscript"/>
                <w:lang w:eastAsia="zh-CN"/>
              </w:rPr>
              <w:t>2</w:t>
            </w:r>
            <w:r>
              <w:rPr>
                <w:color w:val="auto"/>
              </w:rPr>
              <w:t>危废仓库，属于《危险废物贮存污染控制标准》（GB18597</w:t>
            </w:r>
            <w:r>
              <w:rPr>
                <w:rFonts w:hint="eastAsia"/>
                <w:color w:val="auto"/>
                <w:lang w:val="en-US" w:eastAsia="zh-CN"/>
              </w:rPr>
              <w:t>-</w:t>
            </w:r>
            <w:r>
              <w:rPr>
                <w:color w:val="auto"/>
              </w:rPr>
              <w:t>2023）中要求的危险废物贮存设施。</w:t>
            </w:r>
          </w:p>
        </w:tc>
      </w:tr>
      <w:tr w14:paraId="74CC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48129DB7">
            <w:pPr>
              <w:pStyle w:val="26"/>
              <w:bidi w:val="0"/>
              <w:rPr>
                <w:color w:val="auto"/>
              </w:rPr>
            </w:pPr>
            <w:r>
              <w:rPr>
                <w:color w:val="auto"/>
              </w:rPr>
              <w:t>8.强化转移过程管理。</w:t>
            </w:r>
          </w:p>
        </w:tc>
        <w:tc>
          <w:tcPr>
            <w:tcW w:w="3105" w:type="pct"/>
            <w:tcMar>
              <w:left w:w="0" w:type="dxa"/>
              <w:right w:w="0" w:type="dxa"/>
            </w:tcMar>
            <w:vAlign w:val="center"/>
          </w:tcPr>
          <w:p w14:paraId="0D3956BE">
            <w:pPr>
              <w:pStyle w:val="26"/>
              <w:bidi w:val="0"/>
              <w:rPr>
                <w:color w:val="auto"/>
              </w:rPr>
            </w:pPr>
            <w:r>
              <w:rPr>
                <w:color w:val="auto"/>
              </w:rPr>
              <w:t>全面落实危险废物转移电子联单制度，实行省内全域扫描“二维码”转移。加强与危险货物道路运输电子运单数据共享，实现运输轨迹可溯可查。危险废物产生单位须依法核实经营单位主体资格和技术能力，直接签订委托合同，并向经营单位提供相关危险废物产生工艺、具体成分，以及是否易燃易爆等信息，违法委托的，应当与造成环境污染和生态破坏的受托方承担连带责任；经营单位须按合同及包装物扫码签收危险废物，签收人、车辆信息等须拍照上传至系统，严禁“空转”二维码。积极推行一般工业固体废物转移电子联单制度，优先选择环境风险较大的污泥、矿渣等固体废物试行。</w:t>
            </w:r>
          </w:p>
        </w:tc>
        <w:tc>
          <w:tcPr>
            <w:tcW w:w="1026" w:type="pct"/>
            <w:tcMar>
              <w:left w:w="0" w:type="dxa"/>
              <w:right w:w="0" w:type="dxa"/>
            </w:tcMar>
            <w:vAlign w:val="center"/>
          </w:tcPr>
          <w:p w14:paraId="6BC161A8">
            <w:pPr>
              <w:pStyle w:val="26"/>
              <w:bidi w:val="0"/>
              <w:rPr>
                <w:color w:val="auto"/>
              </w:rPr>
            </w:pPr>
            <w:r>
              <w:rPr>
                <w:rFonts w:hint="eastAsia"/>
                <w:color w:val="auto"/>
              </w:rPr>
              <w:t>企业</w:t>
            </w:r>
            <w:r>
              <w:rPr>
                <w:color w:val="auto"/>
              </w:rPr>
              <w:t>与危废经营单位直接签订委托合同，并向危废经营单位提供危废相关信息。执行危废转移联单制度。</w:t>
            </w:r>
          </w:p>
        </w:tc>
      </w:tr>
      <w:tr w14:paraId="747A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5D5CDC46">
            <w:pPr>
              <w:pStyle w:val="26"/>
              <w:bidi w:val="0"/>
              <w:rPr>
                <w:color w:val="auto"/>
              </w:rPr>
            </w:pPr>
            <w:r>
              <w:rPr>
                <w:color w:val="auto"/>
              </w:rPr>
              <w:t>9.落实信息公开制度。</w:t>
            </w:r>
          </w:p>
        </w:tc>
        <w:tc>
          <w:tcPr>
            <w:tcW w:w="3105" w:type="pct"/>
            <w:tcMar>
              <w:left w:w="0" w:type="dxa"/>
              <w:right w:w="0" w:type="dxa"/>
            </w:tcMar>
            <w:vAlign w:val="center"/>
          </w:tcPr>
          <w:p w14:paraId="4E7B5840">
            <w:pPr>
              <w:pStyle w:val="26"/>
              <w:bidi w:val="0"/>
              <w:rPr>
                <w:color w:val="auto"/>
              </w:rPr>
            </w:pPr>
            <w:r>
              <w:rPr>
                <w:color w:val="auto"/>
              </w:rPr>
              <w:t>危险废物环境重点监管单位要在出入口、设施内部、危险废物运输车辆通道等关键位置设置视频监控并与中控室联网，通过设立公开栏、标志牌等方式，主动公开危险废物产生和利用处置等有关信息。集中焚烧处置单位及有自建危废焚烧处置设施的单位要依法及时公开二燃室温度等工况运行指标以及污染物排放指标、浓度等有关信息，并联网至属地生态环境部门。危险废物经营单位应同步公开许可证、许可条件等全文信息。</w:t>
            </w:r>
          </w:p>
        </w:tc>
        <w:tc>
          <w:tcPr>
            <w:tcW w:w="1026" w:type="pct"/>
            <w:tcMar>
              <w:left w:w="0" w:type="dxa"/>
              <w:right w:w="0" w:type="dxa"/>
            </w:tcMar>
            <w:vAlign w:val="center"/>
          </w:tcPr>
          <w:p w14:paraId="6CF55B86">
            <w:pPr>
              <w:pStyle w:val="26"/>
              <w:bidi w:val="0"/>
              <w:rPr>
                <w:color w:val="auto"/>
              </w:rPr>
            </w:pPr>
            <w:r>
              <w:rPr>
                <w:rFonts w:hint="eastAsia"/>
                <w:color w:val="auto"/>
              </w:rPr>
              <w:t>企业</w:t>
            </w:r>
            <w:r>
              <w:rPr>
                <w:color w:val="auto"/>
              </w:rPr>
              <w:t>已在危废运输通道等关键位置将按照要求布置视频监控，并与中控室联网。</w:t>
            </w:r>
          </w:p>
          <w:p w14:paraId="1BC52070">
            <w:pPr>
              <w:pStyle w:val="26"/>
              <w:bidi w:val="0"/>
              <w:rPr>
                <w:color w:val="auto"/>
              </w:rPr>
            </w:pPr>
            <w:r>
              <w:rPr>
                <w:color w:val="auto"/>
              </w:rPr>
              <w:t>危废库设置危险废物信息公开栏、贮存设施警示标志牌、包装识别标签以及视频监控系统。</w:t>
            </w:r>
          </w:p>
        </w:tc>
      </w:tr>
      <w:tr w14:paraId="2314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869" w:type="pct"/>
            <w:tcMar>
              <w:left w:w="0" w:type="dxa"/>
              <w:right w:w="0" w:type="dxa"/>
            </w:tcMar>
            <w:vAlign w:val="center"/>
          </w:tcPr>
          <w:p w14:paraId="0E156C39">
            <w:pPr>
              <w:pStyle w:val="26"/>
              <w:bidi w:val="0"/>
              <w:rPr>
                <w:color w:val="auto"/>
              </w:rPr>
            </w:pPr>
            <w:r>
              <w:rPr>
                <w:color w:val="auto"/>
              </w:rPr>
              <w:t>15.规范一般工业固废管理。</w:t>
            </w:r>
          </w:p>
        </w:tc>
        <w:tc>
          <w:tcPr>
            <w:tcW w:w="3105" w:type="pct"/>
            <w:tcMar>
              <w:left w:w="0" w:type="dxa"/>
              <w:right w:w="0" w:type="dxa"/>
            </w:tcMar>
            <w:vAlign w:val="center"/>
          </w:tcPr>
          <w:p w14:paraId="66E57F93">
            <w:pPr>
              <w:pStyle w:val="26"/>
              <w:bidi w:val="0"/>
              <w:rPr>
                <w:color w:val="auto"/>
              </w:rPr>
            </w:pPr>
            <w:r>
              <w:rPr>
                <w:color w:val="auto"/>
              </w:rPr>
              <w:t>企业需按照《一般工业固体废物管理台账制定指南（试行）》（生态环境部2021年第82号公告）要求，建立一般工业固废台账，污泥、矿渣等同时还需在固废管理信息系统申报，电子台账已有内容，不再另外制作纸质台账。各地要对辖区内一般工业固废利用处置需求和能力进行摸排，建立收运处体系。一般工业固废用于矿山采坑回填和生态恢复的，参照《一般工业固体废物用于矿山采坑回填和生态恢复技术规范》（DB15/T2763—2022）执行。</w:t>
            </w:r>
          </w:p>
        </w:tc>
        <w:tc>
          <w:tcPr>
            <w:tcW w:w="1026" w:type="pct"/>
            <w:tcMar>
              <w:left w:w="0" w:type="dxa"/>
              <w:right w:w="0" w:type="dxa"/>
            </w:tcMar>
            <w:vAlign w:val="center"/>
          </w:tcPr>
          <w:p w14:paraId="0D5C2570">
            <w:pPr>
              <w:pStyle w:val="26"/>
              <w:bidi w:val="0"/>
              <w:rPr>
                <w:color w:val="auto"/>
              </w:rPr>
            </w:pPr>
            <w:r>
              <w:rPr>
                <w:color w:val="auto"/>
              </w:rPr>
              <w:t>已在本次评价中要求企业按照《一般工业固体废物管理台账制定指南（试行）》（生态环境部2021年第82号公告）要求，建立一般工业固废台账。</w:t>
            </w:r>
          </w:p>
        </w:tc>
      </w:tr>
    </w:tbl>
    <w:p w14:paraId="3383DE85">
      <w:pPr>
        <w:bidi w:val="0"/>
        <w:rPr>
          <w:rFonts w:hint="eastAsia"/>
          <w:color w:val="auto"/>
        </w:rPr>
      </w:pPr>
      <w:r>
        <w:rPr>
          <w:rFonts w:hint="eastAsia"/>
          <w:color w:val="auto"/>
        </w:rPr>
        <w:t>根据上述分析，本项目与苏环办〔2024〕16号文要求相符。</w:t>
      </w:r>
    </w:p>
    <w:p w14:paraId="29E64E8E">
      <w:pPr>
        <w:pStyle w:val="46"/>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3、与苏州市生态环境局关于印发《加强工业固体废物全过程环境监管的实施意见》的通知（苏环办字〔2024〕71号）相符性分析</w:t>
      </w:r>
    </w:p>
    <w:p w14:paraId="224E861D">
      <w:pPr>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1.4</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10</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与苏环办字〔2024〕71号文相符性分析</w:t>
      </w:r>
    </w:p>
    <w:tbl>
      <w:tblPr>
        <w:tblStyle w:val="50"/>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74"/>
        <w:gridCol w:w="5981"/>
        <w:gridCol w:w="1864"/>
      </w:tblGrid>
      <w:tr w14:paraId="706D5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jc w:val="center"/>
        </w:trPr>
        <w:tc>
          <w:tcPr>
            <w:tcW w:w="285" w:type="pct"/>
            <w:vAlign w:val="center"/>
          </w:tcPr>
          <w:p w14:paraId="77BF0FDF">
            <w:pPr>
              <w:pStyle w:val="36"/>
              <w:bidi w:val="0"/>
              <w:rPr>
                <w:rFonts w:hint="eastAsia"/>
                <w:lang w:val="en-US" w:eastAsia="zh-CN"/>
              </w:rPr>
            </w:pPr>
            <w:r>
              <w:rPr>
                <w:rFonts w:hint="eastAsia"/>
                <w:lang w:val="en-US" w:eastAsia="zh-CN"/>
              </w:rPr>
              <w:t>序号</w:t>
            </w:r>
          </w:p>
        </w:tc>
        <w:tc>
          <w:tcPr>
            <w:tcW w:w="3595" w:type="pct"/>
            <w:vAlign w:val="center"/>
          </w:tcPr>
          <w:p w14:paraId="03825D8F">
            <w:pPr>
              <w:pStyle w:val="36"/>
              <w:bidi w:val="0"/>
              <w:rPr>
                <w:rFonts w:hint="eastAsia"/>
                <w:lang w:val="en-US" w:eastAsia="zh-CN"/>
              </w:rPr>
            </w:pPr>
            <w:r>
              <w:rPr>
                <w:rFonts w:hint="eastAsia"/>
                <w:lang w:val="en-US" w:eastAsia="zh-CN"/>
              </w:rPr>
              <w:t>内容</w:t>
            </w:r>
          </w:p>
        </w:tc>
        <w:tc>
          <w:tcPr>
            <w:tcW w:w="1119" w:type="pct"/>
            <w:vAlign w:val="center"/>
          </w:tcPr>
          <w:p w14:paraId="41AD2F96">
            <w:pPr>
              <w:pStyle w:val="36"/>
              <w:bidi w:val="0"/>
              <w:rPr>
                <w:lang w:val="en-US" w:eastAsia="en-US"/>
              </w:rPr>
            </w:pPr>
            <w:r>
              <w:rPr>
                <w:lang w:val="en-US" w:eastAsia="en-US"/>
              </w:rPr>
              <w:t>情况</w:t>
            </w:r>
          </w:p>
        </w:tc>
      </w:tr>
      <w:tr w14:paraId="609B0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000" w:type="pct"/>
            <w:gridSpan w:val="3"/>
            <w:vAlign w:val="center"/>
          </w:tcPr>
          <w:p w14:paraId="2BB42E05">
            <w:pPr>
              <w:pStyle w:val="26"/>
              <w:bidi w:val="0"/>
              <w:rPr>
                <w:lang w:val="en-US" w:eastAsia="en-US"/>
              </w:rPr>
            </w:pPr>
            <w:r>
              <w:rPr>
                <w:lang w:val="en-US" w:eastAsia="en-US"/>
              </w:rPr>
              <w:t>一、注重源头预防</w:t>
            </w:r>
          </w:p>
        </w:tc>
      </w:tr>
      <w:tr w14:paraId="0F463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7" w:hRule="atLeast"/>
          <w:jc w:val="center"/>
        </w:trPr>
        <w:tc>
          <w:tcPr>
            <w:tcW w:w="285" w:type="pct"/>
            <w:vAlign w:val="center"/>
          </w:tcPr>
          <w:p w14:paraId="0620DBD8">
            <w:pPr>
              <w:pStyle w:val="26"/>
              <w:bidi w:val="0"/>
              <w:rPr>
                <w:rFonts w:hint="eastAsia" w:eastAsia="仿宋_GB2312"/>
                <w:lang w:val="en-US" w:eastAsia="zh-CN"/>
              </w:rPr>
            </w:pPr>
            <w:r>
              <w:rPr>
                <w:rFonts w:hint="eastAsia"/>
                <w:lang w:val="en-US" w:eastAsia="zh-CN"/>
              </w:rPr>
              <w:t>1</w:t>
            </w:r>
          </w:p>
        </w:tc>
        <w:tc>
          <w:tcPr>
            <w:tcW w:w="3595" w:type="pct"/>
            <w:vAlign w:val="center"/>
          </w:tcPr>
          <w:p w14:paraId="14118063">
            <w:pPr>
              <w:pStyle w:val="26"/>
              <w:bidi w:val="0"/>
              <w:jc w:val="left"/>
              <w:rPr>
                <w:lang w:val="en-US" w:eastAsia="en-US"/>
              </w:rPr>
            </w:pPr>
            <w:r>
              <w:rPr>
                <w:lang w:val="en-US" w:eastAsia="en-US"/>
              </w:rPr>
              <w:t>2.规范项目环评审批。</w:t>
            </w:r>
          </w:p>
          <w:p w14:paraId="7ADCF62D">
            <w:pPr>
              <w:pStyle w:val="26"/>
              <w:bidi w:val="0"/>
              <w:jc w:val="left"/>
              <w:rPr>
                <w:lang w:val="en-US" w:eastAsia="en-US"/>
              </w:rPr>
            </w:pPr>
            <w:r>
              <w:rPr>
                <w:lang w:val="en-US" w:eastAsia="en-US"/>
              </w:rPr>
              <w:t>建设项目环评要将产生固体废物种类、数量、来源和属性，论述贮存、转移和利用处置方式合规性、合理性纳入价范围，提出切实可行的污染防治对策措施。</w:t>
            </w:r>
          </w:p>
          <w:p w14:paraId="13100558">
            <w:pPr>
              <w:pStyle w:val="26"/>
              <w:bidi w:val="0"/>
              <w:jc w:val="left"/>
              <w:rPr>
                <w:lang w:val="en-US" w:eastAsia="en-US"/>
              </w:rPr>
            </w:pPr>
            <w:r>
              <w:rPr>
                <w:lang w:val="en-US" w:eastAsia="en-US"/>
              </w:rPr>
              <w:t>所有产物要按照以下五类属性给予明确并规范表述： 目标产物（产品、副产品）、鉴别属于产品（符合国家、地方或行业标准）、可定向用于特定用途按产品管理（如符合团体标准）、一般固体废物和危险废物。不得将不符合《固体废物鉴别标准通则》（GB34330-2017）和《固体废物再生利用污染防治技术导则》（HJ1091-2020）等标准的产物认定为“再生产品” ，不得出现“ 中间产物”“再生产物”等不规范表述，严禁以“副产品”名义逃避监管。不能排除危险特性的固体废物，须在环评文件中明确鉴别要求，鉴别前按危险废物管理，鉴别后根据结论按一般固废或危险废物管理。</w:t>
            </w:r>
          </w:p>
        </w:tc>
        <w:tc>
          <w:tcPr>
            <w:tcW w:w="1119" w:type="pct"/>
            <w:vAlign w:val="center"/>
          </w:tcPr>
          <w:p w14:paraId="2B55ADEE">
            <w:pPr>
              <w:pStyle w:val="26"/>
              <w:bidi w:val="0"/>
              <w:rPr>
                <w:lang w:val="en-US" w:eastAsia="en-US"/>
              </w:rPr>
            </w:pPr>
            <w:r>
              <w:rPr>
                <w:lang w:val="en-US" w:eastAsia="en-US"/>
              </w:rPr>
              <w:t>本次环评将产生固体废物种类、数量、来源和属性，贮存、转移和利用处置方式合规性、合理性纳入评价范围，提出切实可行的污染防治对策措施。</w:t>
            </w:r>
          </w:p>
        </w:tc>
      </w:tr>
      <w:tr w14:paraId="391DE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jc w:val="center"/>
        </w:trPr>
        <w:tc>
          <w:tcPr>
            <w:tcW w:w="285" w:type="pct"/>
            <w:vAlign w:val="center"/>
          </w:tcPr>
          <w:p w14:paraId="6D5FB4F8">
            <w:pPr>
              <w:pStyle w:val="26"/>
              <w:bidi w:val="0"/>
              <w:rPr>
                <w:rFonts w:hint="eastAsia" w:eastAsia="仿宋_GB2312"/>
                <w:lang w:val="en-US" w:eastAsia="zh-CN"/>
              </w:rPr>
            </w:pPr>
            <w:r>
              <w:rPr>
                <w:rFonts w:hint="eastAsia"/>
                <w:lang w:val="en-US" w:eastAsia="zh-CN"/>
              </w:rPr>
              <w:t>2</w:t>
            </w:r>
          </w:p>
        </w:tc>
        <w:tc>
          <w:tcPr>
            <w:tcW w:w="3595" w:type="pct"/>
            <w:vAlign w:val="center"/>
          </w:tcPr>
          <w:p w14:paraId="79BC172B">
            <w:pPr>
              <w:pStyle w:val="26"/>
              <w:bidi w:val="0"/>
              <w:jc w:val="left"/>
              <w:rPr>
                <w:lang w:val="en-US" w:eastAsia="en-US"/>
              </w:rPr>
            </w:pPr>
            <w:r>
              <w:rPr>
                <w:lang w:val="en-US" w:eastAsia="en-US"/>
              </w:rPr>
              <w:t>3.落实排污许可制度。企业要在排污许可管理系统中全面、准确申报工业固体废物产生种类，以及贮存设施和利用处置等相关情况，并对其真实性负责。实际产生、转移、贮存和利用处置情况对照项目环评发生变动的，要根据变动情况及时采取重新报批环评、纳入环境保护竣工验收等手续，并依法及时变更排污许可。</w:t>
            </w:r>
          </w:p>
        </w:tc>
        <w:tc>
          <w:tcPr>
            <w:tcW w:w="1119" w:type="pct"/>
            <w:vAlign w:val="center"/>
          </w:tcPr>
          <w:p w14:paraId="3483F0F4">
            <w:pPr>
              <w:pStyle w:val="26"/>
              <w:bidi w:val="0"/>
              <w:rPr>
                <w:lang w:val="en-US" w:eastAsia="en-US"/>
              </w:rPr>
            </w:pPr>
            <w:r>
              <w:rPr>
                <w:lang w:val="en-US" w:eastAsia="en-US"/>
              </w:rPr>
              <w:t>企业将按相关要求落实排污许可制度。</w:t>
            </w:r>
          </w:p>
        </w:tc>
      </w:tr>
      <w:tr w14:paraId="6E442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000" w:type="pct"/>
            <w:gridSpan w:val="3"/>
            <w:vAlign w:val="center"/>
          </w:tcPr>
          <w:p w14:paraId="66363B4E">
            <w:pPr>
              <w:pStyle w:val="26"/>
              <w:bidi w:val="0"/>
              <w:rPr>
                <w:lang w:val="en-US" w:eastAsia="en-US"/>
              </w:rPr>
            </w:pPr>
            <w:r>
              <w:rPr>
                <w:lang w:val="en-US" w:eastAsia="en-US"/>
              </w:rPr>
              <w:t>二、严格过程控制</w:t>
            </w:r>
          </w:p>
        </w:tc>
      </w:tr>
      <w:tr w14:paraId="2FAF1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jc w:val="center"/>
        </w:trPr>
        <w:tc>
          <w:tcPr>
            <w:tcW w:w="285" w:type="pct"/>
            <w:vAlign w:val="center"/>
          </w:tcPr>
          <w:p w14:paraId="40643F03">
            <w:pPr>
              <w:pStyle w:val="26"/>
              <w:bidi w:val="0"/>
              <w:rPr>
                <w:rFonts w:hint="eastAsia" w:eastAsia="仿宋_GB2312"/>
                <w:lang w:val="en-US" w:eastAsia="zh-CN"/>
              </w:rPr>
            </w:pPr>
            <w:r>
              <w:rPr>
                <w:rFonts w:hint="eastAsia"/>
                <w:lang w:val="en-US" w:eastAsia="zh-CN"/>
              </w:rPr>
              <w:t>3</w:t>
            </w:r>
          </w:p>
        </w:tc>
        <w:tc>
          <w:tcPr>
            <w:tcW w:w="3595" w:type="pct"/>
            <w:vAlign w:val="center"/>
          </w:tcPr>
          <w:p w14:paraId="3C1D664C">
            <w:pPr>
              <w:pStyle w:val="26"/>
              <w:bidi w:val="0"/>
              <w:rPr>
                <w:lang w:val="en-US" w:eastAsia="en-US"/>
              </w:rPr>
            </w:pPr>
            <w:r>
              <w:rPr>
                <w:lang w:val="en-US" w:eastAsia="en-US"/>
              </w:rPr>
              <w:t>6.规范贮存管理要求。根据《危险废物贮存污染控制标准》 （GB 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 号）中关于贮存周期和贮存量的要求，I级、Ⅱ级、Ⅲ级危险废物贮存时间分别不得超过30天、60天、90天，最大贮存量不得超过1吨。</w:t>
            </w:r>
          </w:p>
        </w:tc>
        <w:tc>
          <w:tcPr>
            <w:tcW w:w="1119" w:type="pct"/>
            <w:vAlign w:val="center"/>
          </w:tcPr>
          <w:p w14:paraId="10BCBF94">
            <w:pPr>
              <w:pStyle w:val="26"/>
              <w:bidi w:val="0"/>
              <w:rPr>
                <w:lang w:val="en-US" w:eastAsia="en-US"/>
              </w:rPr>
            </w:pPr>
            <w:r>
              <w:rPr>
                <w:lang w:val="en-US" w:eastAsia="en-US"/>
              </w:rPr>
              <w:t>按要求进行规范化贮存。</w:t>
            </w:r>
          </w:p>
        </w:tc>
      </w:tr>
      <w:tr w14:paraId="0B914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jc w:val="center"/>
        </w:trPr>
        <w:tc>
          <w:tcPr>
            <w:tcW w:w="285" w:type="pct"/>
            <w:vAlign w:val="center"/>
          </w:tcPr>
          <w:p w14:paraId="00A6FC44">
            <w:pPr>
              <w:pStyle w:val="26"/>
              <w:bidi w:val="0"/>
              <w:rPr>
                <w:rFonts w:hint="default"/>
                <w:lang w:val="en-US" w:eastAsia="zh-CN"/>
              </w:rPr>
            </w:pPr>
            <w:r>
              <w:rPr>
                <w:rFonts w:hint="eastAsia"/>
                <w:lang w:val="en-US" w:eastAsia="zh-CN"/>
              </w:rPr>
              <w:t>4</w:t>
            </w:r>
          </w:p>
        </w:tc>
        <w:tc>
          <w:tcPr>
            <w:tcW w:w="3595" w:type="pct"/>
            <w:vAlign w:val="center"/>
          </w:tcPr>
          <w:p w14:paraId="47FCDE14">
            <w:pPr>
              <w:pStyle w:val="26"/>
              <w:bidi w:val="0"/>
              <w:rPr>
                <w:lang w:val="en-US" w:eastAsia="en-US"/>
              </w:rPr>
            </w:pPr>
            <w:r>
              <w:rPr>
                <w:lang w:val="en-US" w:eastAsia="en-US"/>
              </w:rPr>
              <w:t>8.强化转移过程管理。全面落实危险废物转移电子联单制度，实行全域扫描“二维码”转移。危险废物产生单位须依法核实经营单位主体资格和技术能力，直接签订委托合</w:t>
            </w:r>
          </w:p>
          <w:p w14:paraId="14D720AF">
            <w:pPr>
              <w:pStyle w:val="26"/>
              <w:bidi w:val="0"/>
              <w:rPr>
                <w:lang w:val="en-US" w:eastAsia="en-US"/>
              </w:rPr>
            </w:pPr>
            <w:r>
              <w:rPr>
                <w:lang w:val="en-US" w:eastAsia="en-US"/>
              </w:rPr>
              <w:t>同，并向经营单位提供相关危险废物产生工艺、具体成</w:t>
            </w:r>
          </w:p>
          <w:p w14:paraId="54ABAFCB">
            <w:pPr>
              <w:pStyle w:val="26"/>
              <w:bidi w:val="0"/>
              <w:rPr>
                <w:lang w:val="en-US" w:eastAsia="en-US"/>
              </w:rPr>
            </w:pPr>
            <w:r>
              <w:rPr>
                <w:lang w:val="en-US" w:eastAsia="en-US"/>
              </w:rPr>
              <w:t>分， 以及是否易 燃易爆等信息，违法委托的，应当与造成环境污染和生态破坏的受托方承担连带责任；经营单位须按合同及包装物扫码签收危险废物，签收人、车辆信息等须拍照上传至系统，严禁“ 空转”二维码。积极推行一般工业固体废物电子转运联单制度，优先选择环境风险较大的污泥、矿渣等固体废物试行。</w:t>
            </w:r>
          </w:p>
        </w:tc>
        <w:tc>
          <w:tcPr>
            <w:tcW w:w="1119" w:type="pct"/>
            <w:vAlign w:val="center"/>
          </w:tcPr>
          <w:p w14:paraId="00B4D407">
            <w:pPr>
              <w:pStyle w:val="26"/>
              <w:bidi w:val="0"/>
              <w:rPr>
                <w:lang w:val="en-US" w:eastAsia="en-US"/>
              </w:rPr>
            </w:pPr>
            <w:r>
              <w:rPr>
                <w:lang w:val="en-US" w:eastAsia="en-US"/>
              </w:rPr>
              <w:t>按要求实施危险废物转移电子联单制度。</w:t>
            </w:r>
          </w:p>
        </w:tc>
      </w:tr>
      <w:tr w14:paraId="25346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jc w:val="center"/>
        </w:trPr>
        <w:tc>
          <w:tcPr>
            <w:tcW w:w="285" w:type="pct"/>
            <w:vAlign w:val="center"/>
          </w:tcPr>
          <w:p w14:paraId="1A59E89A">
            <w:pPr>
              <w:pStyle w:val="26"/>
              <w:bidi w:val="0"/>
              <w:rPr>
                <w:rFonts w:hint="default"/>
                <w:lang w:val="en-US" w:eastAsia="zh-CN"/>
              </w:rPr>
            </w:pPr>
            <w:r>
              <w:rPr>
                <w:rFonts w:hint="eastAsia"/>
                <w:lang w:val="en-US" w:eastAsia="zh-CN"/>
              </w:rPr>
              <w:t>5</w:t>
            </w:r>
          </w:p>
        </w:tc>
        <w:tc>
          <w:tcPr>
            <w:tcW w:w="3595" w:type="pct"/>
            <w:vAlign w:val="center"/>
          </w:tcPr>
          <w:p w14:paraId="5556EDA6">
            <w:pPr>
              <w:pStyle w:val="26"/>
              <w:bidi w:val="0"/>
              <w:rPr>
                <w:lang w:val="en-US" w:eastAsia="en-US"/>
              </w:rPr>
            </w:pPr>
            <w:r>
              <w:rPr>
                <w:lang w:val="en-US" w:eastAsia="en-US"/>
              </w:rPr>
              <w:t>9.落实信息公开制度。危险废物环境重点监管单位要在出入口、设施内部、危险废物运输车辆通道等关键位置设置视频监控并与中控室联网，通过设立公开栏、标志牌等方式，主动公开危险废物产生和利用处置等有关信息。集中焚烧处置单位及有自建危废焚烧处置设施的单位要依法及时公开工况运行、污染物排放等信息，并联网至属地生态环境部门。危险废物经营单位应同步公开危险废物经营许可证和许可条件等信息。</w:t>
            </w:r>
          </w:p>
        </w:tc>
        <w:tc>
          <w:tcPr>
            <w:tcW w:w="1119" w:type="pct"/>
            <w:vAlign w:val="center"/>
          </w:tcPr>
          <w:p w14:paraId="17C88948">
            <w:pPr>
              <w:pStyle w:val="26"/>
              <w:bidi w:val="0"/>
              <w:rPr>
                <w:lang w:val="en-US" w:eastAsia="en-US"/>
              </w:rPr>
            </w:pPr>
            <w:r>
              <w:rPr>
                <w:lang w:val="en-US" w:eastAsia="en-US"/>
              </w:rPr>
              <w:t>按要求落实信息公开制度。</w:t>
            </w:r>
          </w:p>
        </w:tc>
      </w:tr>
      <w:tr w14:paraId="52992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5000" w:type="pct"/>
            <w:gridSpan w:val="3"/>
            <w:vAlign w:val="center"/>
          </w:tcPr>
          <w:p w14:paraId="4166C40E">
            <w:pPr>
              <w:pStyle w:val="26"/>
              <w:bidi w:val="0"/>
              <w:rPr>
                <w:lang w:val="en-US" w:eastAsia="en-US"/>
              </w:rPr>
            </w:pPr>
            <w:r>
              <w:rPr>
                <w:lang w:val="en-US" w:eastAsia="en-US"/>
              </w:rPr>
              <w:t>三、强化末端管理</w:t>
            </w:r>
          </w:p>
        </w:tc>
      </w:tr>
      <w:tr w14:paraId="43066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jc w:val="center"/>
        </w:trPr>
        <w:tc>
          <w:tcPr>
            <w:tcW w:w="285" w:type="pct"/>
            <w:vAlign w:val="center"/>
          </w:tcPr>
          <w:p w14:paraId="22441392">
            <w:pPr>
              <w:pStyle w:val="26"/>
              <w:bidi w:val="0"/>
              <w:rPr>
                <w:rFonts w:hint="default"/>
                <w:lang w:val="en-US" w:eastAsia="zh-CN"/>
              </w:rPr>
            </w:pPr>
            <w:r>
              <w:rPr>
                <w:rFonts w:hint="eastAsia"/>
                <w:lang w:val="en-US" w:eastAsia="zh-CN"/>
              </w:rPr>
              <w:t>6</w:t>
            </w:r>
          </w:p>
        </w:tc>
        <w:tc>
          <w:tcPr>
            <w:tcW w:w="3595" w:type="pct"/>
            <w:vAlign w:val="center"/>
          </w:tcPr>
          <w:p w14:paraId="79472546">
            <w:pPr>
              <w:pStyle w:val="26"/>
              <w:bidi w:val="0"/>
              <w:rPr>
                <w:lang w:val="en-US" w:eastAsia="en-US"/>
              </w:rPr>
            </w:pPr>
            <w:r>
              <w:rPr>
                <w:lang w:val="en-US" w:eastAsia="en-US"/>
              </w:rPr>
              <w:t>12.推进固废就近利用处置。依托江苏省固废管理信息系统就近利用处置提醒功能，引导企业合理选择利用处置去向，促进危险废物市内消纳率逐步提升，防范长距离运输带来的环境风险。</w:t>
            </w:r>
          </w:p>
        </w:tc>
        <w:tc>
          <w:tcPr>
            <w:tcW w:w="1119" w:type="pct"/>
            <w:vAlign w:val="center"/>
          </w:tcPr>
          <w:p w14:paraId="13CC7FE6">
            <w:pPr>
              <w:pStyle w:val="26"/>
              <w:bidi w:val="0"/>
              <w:rPr>
                <w:lang w:val="en-US" w:eastAsia="en-US"/>
              </w:rPr>
            </w:pPr>
            <w:r>
              <w:rPr>
                <w:lang w:val="en-US" w:eastAsia="en-US"/>
              </w:rPr>
              <w:t>依托江苏省固废管理信息系统就近利用处置。</w:t>
            </w:r>
          </w:p>
        </w:tc>
      </w:tr>
      <w:tr w14:paraId="0AA54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jc w:val="center"/>
        </w:trPr>
        <w:tc>
          <w:tcPr>
            <w:tcW w:w="285" w:type="pct"/>
            <w:vAlign w:val="center"/>
          </w:tcPr>
          <w:p w14:paraId="0D3F3475">
            <w:pPr>
              <w:pStyle w:val="26"/>
              <w:bidi w:val="0"/>
              <w:rPr>
                <w:rFonts w:hint="default"/>
                <w:lang w:val="en-US" w:eastAsia="zh-CN"/>
              </w:rPr>
            </w:pPr>
            <w:r>
              <w:rPr>
                <w:rFonts w:hint="eastAsia"/>
                <w:lang w:val="en-US" w:eastAsia="zh-CN"/>
              </w:rPr>
              <w:t>7</w:t>
            </w:r>
          </w:p>
        </w:tc>
        <w:tc>
          <w:tcPr>
            <w:tcW w:w="3595" w:type="pct"/>
            <w:vAlign w:val="center"/>
          </w:tcPr>
          <w:p w14:paraId="645BA91C">
            <w:pPr>
              <w:pStyle w:val="26"/>
              <w:bidi w:val="0"/>
              <w:rPr>
                <w:lang w:val="en-US" w:eastAsia="en-US"/>
              </w:rPr>
            </w:pPr>
            <w:r>
              <w:rPr>
                <w:lang w:val="en-US" w:eastAsia="en-US"/>
              </w:rPr>
              <w:t>15.规范一般工业固废管理。企业需按照《一般工业固体废物管理台账制定指南（试行）》（生态环境部2021年第82号公告）要求，建立一般工业固废台账，污泥、矿渣等同时还需在江苏省固废管理信息系统申报，电子台账已有内容，不再另外制作纸质台账。各地要指导督促辖区产生一般工业固体废物的企业落实台账记录和厂区暂存污染防治等管理要求，持续提升一般工业固体废物管理水平，并对辖区内一般工业固废利用处置需求和能力进行摸排，建立健全收运处体系。</w:t>
            </w:r>
          </w:p>
        </w:tc>
        <w:tc>
          <w:tcPr>
            <w:tcW w:w="1119" w:type="pct"/>
            <w:vAlign w:val="center"/>
          </w:tcPr>
          <w:p w14:paraId="5CC1E83C">
            <w:pPr>
              <w:pStyle w:val="26"/>
              <w:bidi w:val="0"/>
              <w:rPr>
                <w:lang w:val="en-US" w:eastAsia="en-US"/>
              </w:rPr>
            </w:pPr>
            <w:r>
              <w:rPr>
                <w:lang w:val="en-US" w:eastAsia="en-US"/>
              </w:rPr>
              <w:t>按要求规范一般工业固废管理。</w:t>
            </w:r>
          </w:p>
        </w:tc>
      </w:tr>
    </w:tbl>
    <w:p w14:paraId="7AB7BCAE">
      <w:pPr>
        <w:bidi w:val="0"/>
        <w:rPr>
          <w:rFonts w:hint="eastAsia"/>
          <w:color w:val="auto"/>
        </w:rPr>
      </w:pPr>
      <w:r>
        <w:rPr>
          <w:rFonts w:hint="eastAsia"/>
          <w:color w:val="auto"/>
        </w:rPr>
        <w:t>根据上述分析，本项目与</w:t>
      </w:r>
      <w:r>
        <w:rPr>
          <w:rFonts w:hint="eastAsia"/>
          <w:color w:val="auto"/>
          <w:lang w:val="en-US" w:eastAsia="zh-CN"/>
        </w:rPr>
        <w:t>苏环办字〔2024〕71号</w:t>
      </w:r>
      <w:r>
        <w:rPr>
          <w:rFonts w:hint="eastAsia"/>
          <w:color w:val="auto"/>
        </w:rPr>
        <w:t>文要求相符。</w:t>
      </w:r>
    </w:p>
    <w:p w14:paraId="35C4B612">
      <w:pPr>
        <w:pStyle w:val="5"/>
        <w:ind w:firstLine="301"/>
        <w:rPr>
          <w:color w:val="auto"/>
          <w:highlight w:val="none"/>
        </w:rPr>
      </w:pPr>
      <w:r>
        <w:rPr>
          <w:color w:val="auto"/>
          <w:highlight w:val="none"/>
        </w:rPr>
        <w:t>与挥发性有机物污染控制文件相符性分析</w:t>
      </w:r>
    </w:p>
    <w:p w14:paraId="50126158">
      <w:pPr>
        <w:pStyle w:val="46"/>
        <w:bidi w:val="0"/>
        <w:rPr>
          <w:color w:val="auto"/>
        </w:rPr>
      </w:pPr>
      <w:r>
        <w:rPr>
          <w:rFonts w:hint="eastAsia"/>
          <w:color w:val="auto"/>
          <w:lang w:val="en-US" w:eastAsia="zh-CN"/>
        </w:rPr>
        <w:t>1</w:t>
      </w:r>
      <w:r>
        <w:rPr>
          <w:color w:val="auto"/>
        </w:rPr>
        <w:t>、</w:t>
      </w:r>
      <w:r>
        <w:rPr>
          <w:rFonts w:hint="eastAsia"/>
          <w:color w:val="auto"/>
        </w:rPr>
        <w:t>《关于印发&lt;江苏省重点行业挥发性有机物污染控制指南&gt;的通知》（苏环办[2014]128号）</w:t>
      </w:r>
    </w:p>
    <w:p w14:paraId="2739DE66">
      <w:pPr>
        <w:rPr>
          <w:rFonts w:hint="eastAsia"/>
          <w:color w:val="auto"/>
        </w:rPr>
      </w:pPr>
      <w:r>
        <w:rPr>
          <w:rFonts w:hint="eastAsia"/>
          <w:color w:val="auto"/>
        </w:rPr>
        <w:t>对照2014年5月20日江苏省环境保护厅印发的《江苏省重点行业挥发性有机物污染控制指南》相关内容，本项目与该文件的相符性分析见下表：</w:t>
      </w:r>
    </w:p>
    <w:p w14:paraId="1F94BED2">
      <w:pPr>
        <w:pStyle w:val="25"/>
        <w:bidi w:val="0"/>
        <w:rPr>
          <w:rFonts w:hint="eastAsia"/>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1.4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11</w:t>
      </w:r>
      <w:r>
        <w:rPr>
          <w:color w:val="auto"/>
        </w:rPr>
        <w:fldChar w:fldCharType="end"/>
      </w:r>
      <w:r>
        <w:rPr>
          <w:rFonts w:hint="eastAsia"/>
          <w:color w:val="auto"/>
        </w:rPr>
        <w:t>与《江苏省重点行业挥发性有机物污染控制指南》对照情况</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5"/>
        <w:gridCol w:w="4248"/>
        <w:gridCol w:w="2764"/>
        <w:gridCol w:w="729"/>
      </w:tblGrid>
      <w:tr w14:paraId="2EE4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11B5B6BF">
            <w:pPr>
              <w:pStyle w:val="36"/>
              <w:bidi w:val="0"/>
              <w:rPr>
                <w:color w:val="auto"/>
              </w:rPr>
            </w:pPr>
            <w:r>
              <w:rPr>
                <w:rFonts w:hint="eastAsia"/>
                <w:color w:val="auto"/>
              </w:rPr>
              <w:t>项目</w:t>
            </w:r>
          </w:p>
        </w:tc>
        <w:tc>
          <w:tcPr>
            <w:tcW w:w="2554" w:type="pct"/>
            <w:tcMar>
              <w:left w:w="0" w:type="dxa"/>
              <w:right w:w="0" w:type="dxa"/>
            </w:tcMar>
            <w:vAlign w:val="center"/>
          </w:tcPr>
          <w:p w14:paraId="03307703">
            <w:pPr>
              <w:pStyle w:val="36"/>
              <w:bidi w:val="0"/>
              <w:rPr>
                <w:color w:val="auto"/>
              </w:rPr>
            </w:pPr>
            <w:r>
              <w:rPr>
                <w:color w:val="auto"/>
              </w:rPr>
              <w:t>文件相关要求</w:t>
            </w:r>
          </w:p>
        </w:tc>
        <w:tc>
          <w:tcPr>
            <w:tcW w:w="1662" w:type="pct"/>
            <w:tcMar>
              <w:left w:w="0" w:type="dxa"/>
              <w:right w:w="0" w:type="dxa"/>
            </w:tcMar>
            <w:vAlign w:val="center"/>
          </w:tcPr>
          <w:p w14:paraId="75525559">
            <w:pPr>
              <w:pStyle w:val="36"/>
              <w:bidi w:val="0"/>
              <w:rPr>
                <w:color w:val="auto"/>
              </w:rPr>
            </w:pPr>
            <w:r>
              <w:rPr>
                <w:color w:val="auto"/>
              </w:rPr>
              <w:t>本项目情况</w:t>
            </w:r>
          </w:p>
        </w:tc>
        <w:tc>
          <w:tcPr>
            <w:tcW w:w="438" w:type="pct"/>
            <w:tcMar>
              <w:left w:w="0" w:type="dxa"/>
              <w:right w:w="0" w:type="dxa"/>
            </w:tcMar>
            <w:vAlign w:val="center"/>
          </w:tcPr>
          <w:p w14:paraId="72A13E6D">
            <w:pPr>
              <w:pStyle w:val="36"/>
              <w:bidi w:val="0"/>
              <w:rPr>
                <w:color w:val="auto"/>
              </w:rPr>
            </w:pPr>
            <w:r>
              <w:rPr>
                <w:color w:val="auto"/>
              </w:rPr>
              <w:t>相符性</w:t>
            </w:r>
          </w:p>
        </w:tc>
      </w:tr>
      <w:tr w14:paraId="7595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restart"/>
            <w:tcMar>
              <w:left w:w="0" w:type="dxa"/>
              <w:right w:w="0" w:type="dxa"/>
            </w:tcMar>
            <w:vAlign w:val="center"/>
          </w:tcPr>
          <w:p w14:paraId="1D60D2C1">
            <w:pPr>
              <w:pStyle w:val="26"/>
              <w:bidi w:val="0"/>
              <w:rPr>
                <w:color w:val="auto"/>
              </w:rPr>
            </w:pPr>
            <w:r>
              <w:rPr>
                <w:rFonts w:hint="eastAsia"/>
                <w:color w:val="auto"/>
              </w:rPr>
              <w:t>总体要求</w:t>
            </w:r>
          </w:p>
        </w:tc>
        <w:tc>
          <w:tcPr>
            <w:tcW w:w="2554" w:type="pct"/>
            <w:tcMar>
              <w:left w:w="0" w:type="dxa"/>
              <w:right w:w="0" w:type="dxa"/>
            </w:tcMar>
            <w:vAlign w:val="center"/>
          </w:tcPr>
          <w:p w14:paraId="2682083D">
            <w:pPr>
              <w:pStyle w:val="26"/>
              <w:bidi w:val="0"/>
              <w:rPr>
                <w:color w:val="auto"/>
              </w:rPr>
            </w:pPr>
            <w:r>
              <w:rPr>
                <w:color w:val="auto"/>
              </w:rPr>
              <w:t>（一）所有产生有机废气污染的企业，应优先采用环保型原辅料、生产工艺和装备，对相应生产单元或设施进行密闭，从源头控制VOCs的产生，减少废气污染物排放。</w:t>
            </w:r>
          </w:p>
        </w:tc>
        <w:tc>
          <w:tcPr>
            <w:tcW w:w="1662" w:type="pct"/>
            <w:vMerge w:val="restart"/>
            <w:tcMar>
              <w:left w:w="0" w:type="dxa"/>
              <w:right w:w="0" w:type="dxa"/>
            </w:tcMar>
            <w:vAlign w:val="center"/>
          </w:tcPr>
          <w:p w14:paraId="6582C2A2">
            <w:pPr>
              <w:pStyle w:val="26"/>
              <w:bidi w:val="0"/>
              <w:rPr>
                <w:rFonts w:hint="eastAsia" w:eastAsia="仿宋_GB2312"/>
                <w:color w:val="auto"/>
                <w:lang w:eastAsia="zh-CN"/>
              </w:rPr>
            </w:pPr>
            <w:r>
              <w:rPr>
                <w:color w:val="auto"/>
              </w:rPr>
              <w:t>本项目属于</w:t>
            </w:r>
            <w:r>
              <w:rPr>
                <w:rFonts w:hint="eastAsia"/>
                <w:color w:val="auto"/>
                <w:lang w:eastAsia="zh-CN"/>
              </w:rPr>
              <w:t>C3525 模具制造</w:t>
            </w:r>
            <w:r>
              <w:rPr>
                <w:rFonts w:hint="eastAsia"/>
                <w:color w:val="auto"/>
              </w:rPr>
              <w:t>，</w:t>
            </w:r>
            <w:r>
              <w:rPr>
                <w:color w:val="auto"/>
              </w:rPr>
              <w:t>本项目生产</w:t>
            </w:r>
            <w:r>
              <w:rPr>
                <w:rFonts w:hint="eastAsia"/>
                <w:color w:val="auto"/>
              </w:rPr>
              <w:t>工艺</w:t>
            </w:r>
            <w:r>
              <w:rPr>
                <w:color w:val="auto"/>
              </w:rPr>
              <w:t>产生的有机废</w:t>
            </w:r>
            <w:r>
              <w:rPr>
                <w:rFonts w:hint="eastAsia"/>
                <w:color w:val="auto"/>
                <w:lang w:val="en-US" w:eastAsia="zh-CN"/>
              </w:rPr>
              <w:t>气、废水处理设施</w:t>
            </w:r>
            <w:r>
              <w:rPr>
                <w:rFonts w:hint="eastAsia"/>
                <w:color w:val="auto"/>
              </w:rPr>
              <w:t>废气、危废库废气等辅助设施产生的有机废气</w:t>
            </w:r>
            <w:r>
              <w:rPr>
                <w:color w:val="auto"/>
              </w:rPr>
              <w:t>收集</w:t>
            </w:r>
            <w:r>
              <w:rPr>
                <w:rFonts w:hint="eastAsia"/>
                <w:color w:val="auto"/>
              </w:rPr>
              <w:t>处理后由排气筒排放</w:t>
            </w:r>
            <w:r>
              <w:rPr>
                <w:rFonts w:hint="eastAsia"/>
                <w:color w:val="auto"/>
                <w:lang w:eastAsia="zh-CN"/>
              </w:rPr>
              <w:t>，VOCs总收集、净化处理率不低于90%。</w:t>
            </w:r>
          </w:p>
        </w:tc>
        <w:tc>
          <w:tcPr>
            <w:tcW w:w="438" w:type="pct"/>
            <w:vMerge w:val="restart"/>
            <w:tcMar>
              <w:left w:w="0" w:type="dxa"/>
              <w:right w:w="0" w:type="dxa"/>
            </w:tcMar>
            <w:vAlign w:val="center"/>
          </w:tcPr>
          <w:p w14:paraId="64719CB6">
            <w:pPr>
              <w:pStyle w:val="26"/>
              <w:bidi w:val="0"/>
              <w:rPr>
                <w:color w:val="auto"/>
              </w:rPr>
            </w:pPr>
            <w:r>
              <w:rPr>
                <w:color w:val="auto"/>
              </w:rPr>
              <w:t>相符</w:t>
            </w:r>
          </w:p>
        </w:tc>
      </w:tr>
      <w:tr w14:paraId="2DC0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continue"/>
            <w:tcMar>
              <w:left w:w="0" w:type="dxa"/>
              <w:right w:w="0" w:type="dxa"/>
            </w:tcMar>
            <w:vAlign w:val="center"/>
          </w:tcPr>
          <w:p w14:paraId="12B7D9E6">
            <w:pPr>
              <w:pStyle w:val="26"/>
              <w:bidi w:val="0"/>
              <w:rPr>
                <w:color w:val="auto"/>
              </w:rPr>
            </w:pPr>
          </w:p>
        </w:tc>
        <w:tc>
          <w:tcPr>
            <w:tcW w:w="2554" w:type="pct"/>
            <w:tcMar>
              <w:left w:w="0" w:type="dxa"/>
              <w:right w:w="0" w:type="dxa"/>
            </w:tcMar>
            <w:vAlign w:val="center"/>
          </w:tcPr>
          <w:p w14:paraId="322EFE88">
            <w:pPr>
              <w:pStyle w:val="26"/>
              <w:bidi w:val="0"/>
              <w:rPr>
                <w:color w:val="auto"/>
              </w:rPr>
            </w:pPr>
            <w:r>
              <w:rPr>
                <w:color w:val="auto"/>
              </w:rPr>
              <w:t>（二）有机化工、医药化工、橡胶和塑料制品(有溶剂浸胶工艺)、溶剂型涂料表面涂装、包装印刷业的VOCs总收集、净化处理率不低于90%，其他行业原则上不低于75%。</w:t>
            </w:r>
          </w:p>
        </w:tc>
        <w:tc>
          <w:tcPr>
            <w:tcW w:w="1662" w:type="pct"/>
            <w:vMerge w:val="continue"/>
            <w:tcMar>
              <w:left w:w="0" w:type="dxa"/>
              <w:right w:w="0" w:type="dxa"/>
            </w:tcMar>
            <w:vAlign w:val="center"/>
          </w:tcPr>
          <w:p w14:paraId="4FE7872A">
            <w:pPr>
              <w:pStyle w:val="26"/>
              <w:bidi w:val="0"/>
              <w:rPr>
                <w:color w:val="auto"/>
              </w:rPr>
            </w:pPr>
          </w:p>
        </w:tc>
        <w:tc>
          <w:tcPr>
            <w:tcW w:w="438" w:type="pct"/>
            <w:vMerge w:val="continue"/>
            <w:tcMar>
              <w:left w:w="0" w:type="dxa"/>
              <w:right w:w="0" w:type="dxa"/>
            </w:tcMar>
            <w:vAlign w:val="center"/>
          </w:tcPr>
          <w:p w14:paraId="00393559">
            <w:pPr>
              <w:pStyle w:val="26"/>
              <w:bidi w:val="0"/>
              <w:rPr>
                <w:color w:val="auto"/>
              </w:rPr>
            </w:pPr>
          </w:p>
        </w:tc>
      </w:tr>
      <w:tr w14:paraId="3262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continue"/>
            <w:tcMar>
              <w:left w:w="0" w:type="dxa"/>
              <w:right w:w="0" w:type="dxa"/>
            </w:tcMar>
            <w:vAlign w:val="center"/>
          </w:tcPr>
          <w:p w14:paraId="4225B9DA">
            <w:pPr>
              <w:pStyle w:val="26"/>
              <w:bidi w:val="0"/>
              <w:rPr>
                <w:color w:val="auto"/>
              </w:rPr>
            </w:pPr>
          </w:p>
        </w:tc>
        <w:tc>
          <w:tcPr>
            <w:tcW w:w="2554" w:type="pct"/>
            <w:tcMar>
              <w:left w:w="0" w:type="dxa"/>
              <w:right w:w="0" w:type="dxa"/>
            </w:tcMar>
            <w:vAlign w:val="center"/>
          </w:tcPr>
          <w:p w14:paraId="3C57B0AB">
            <w:pPr>
              <w:pStyle w:val="26"/>
              <w:bidi w:val="0"/>
              <w:rPr>
                <w:color w:val="auto"/>
              </w:rPr>
            </w:pPr>
            <w:r>
              <w:rPr>
                <w:color w:val="auto"/>
              </w:rPr>
              <w:t>（三）含高浓度挥发性有机物的母液和废水宜采用密闭管道收集，存在VOCs和恶臭污染的污水处理单元应予以封闭，废气经有效处理后达标排放。</w:t>
            </w:r>
          </w:p>
        </w:tc>
        <w:tc>
          <w:tcPr>
            <w:tcW w:w="1662" w:type="pct"/>
            <w:vMerge w:val="continue"/>
            <w:tcMar>
              <w:left w:w="0" w:type="dxa"/>
              <w:right w:w="0" w:type="dxa"/>
            </w:tcMar>
            <w:vAlign w:val="center"/>
          </w:tcPr>
          <w:p w14:paraId="0B216D1C">
            <w:pPr>
              <w:pStyle w:val="26"/>
              <w:bidi w:val="0"/>
              <w:rPr>
                <w:color w:val="auto"/>
              </w:rPr>
            </w:pPr>
          </w:p>
        </w:tc>
        <w:tc>
          <w:tcPr>
            <w:tcW w:w="438" w:type="pct"/>
            <w:vMerge w:val="continue"/>
            <w:tcMar>
              <w:left w:w="0" w:type="dxa"/>
              <w:right w:w="0" w:type="dxa"/>
            </w:tcMar>
            <w:vAlign w:val="center"/>
          </w:tcPr>
          <w:p w14:paraId="1C638E9C">
            <w:pPr>
              <w:pStyle w:val="26"/>
              <w:bidi w:val="0"/>
              <w:rPr>
                <w:color w:val="auto"/>
              </w:rPr>
            </w:pPr>
          </w:p>
        </w:tc>
      </w:tr>
      <w:tr w14:paraId="44F3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continue"/>
            <w:tcMar>
              <w:left w:w="0" w:type="dxa"/>
              <w:right w:w="0" w:type="dxa"/>
            </w:tcMar>
            <w:vAlign w:val="center"/>
          </w:tcPr>
          <w:p w14:paraId="10E3A5ED">
            <w:pPr>
              <w:pStyle w:val="26"/>
              <w:bidi w:val="0"/>
              <w:rPr>
                <w:color w:val="auto"/>
              </w:rPr>
            </w:pPr>
          </w:p>
        </w:tc>
        <w:tc>
          <w:tcPr>
            <w:tcW w:w="2554" w:type="pct"/>
            <w:tcMar>
              <w:left w:w="0" w:type="dxa"/>
              <w:right w:w="0" w:type="dxa"/>
            </w:tcMar>
            <w:vAlign w:val="center"/>
          </w:tcPr>
          <w:p w14:paraId="08612009">
            <w:pPr>
              <w:pStyle w:val="26"/>
              <w:bidi w:val="0"/>
              <w:rPr>
                <w:color w:val="auto"/>
              </w:rPr>
            </w:pPr>
            <w:r>
              <w:rPr>
                <w:color w:val="auto"/>
              </w:rPr>
              <w:t>（四）企业应提出针对VOCs的废气处理方案，明确处理装置长期有效运行的管理方案和监控方案，经审核备案后作为环境监察的依据。</w:t>
            </w:r>
          </w:p>
        </w:tc>
        <w:tc>
          <w:tcPr>
            <w:tcW w:w="1662" w:type="pct"/>
            <w:vMerge w:val="restart"/>
            <w:tcMar>
              <w:left w:w="0" w:type="dxa"/>
              <w:right w:w="0" w:type="dxa"/>
            </w:tcMar>
            <w:vAlign w:val="center"/>
          </w:tcPr>
          <w:p w14:paraId="1116AFD2">
            <w:pPr>
              <w:pStyle w:val="26"/>
              <w:bidi w:val="0"/>
              <w:rPr>
                <w:color w:val="auto"/>
              </w:rPr>
            </w:pPr>
            <w:r>
              <w:rPr>
                <w:color w:val="auto"/>
              </w:rPr>
              <w:t>本项目设有专门人员负责VOCs污染控制相关工作；定期委托第三方进行监测，并按照要求建立相关台账等</w:t>
            </w:r>
            <w:r>
              <w:rPr>
                <w:rFonts w:hint="eastAsia"/>
                <w:color w:val="auto"/>
              </w:rPr>
              <w:t>。</w:t>
            </w:r>
          </w:p>
        </w:tc>
        <w:tc>
          <w:tcPr>
            <w:tcW w:w="438" w:type="pct"/>
            <w:vMerge w:val="restart"/>
            <w:tcMar>
              <w:left w:w="0" w:type="dxa"/>
              <w:right w:w="0" w:type="dxa"/>
            </w:tcMar>
            <w:vAlign w:val="center"/>
          </w:tcPr>
          <w:p w14:paraId="2E63C7C2">
            <w:pPr>
              <w:pStyle w:val="26"/>
              <w:bidi w:val="0"/>
              <w:rPr>
                <w:color w:val="auto"/>
              </w:rPr>
            </w:pPr>
            <w:r>
              <w:rPr>
                <w:color w:val="auto"/>
              </w:rPr>
              <w:t>相符</w:t>
            </w:r>
          </w:p>
        </w:tc>
      </w:tr>
      <w:tr w14:paraId="3C1D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continue"/>
            <w:tcMar>
              <w:left w:w="0" w:type="dxa"/>
              <w:right w:w="0" w:type="dxa"/>
            </w:tcMar>
            <w:vAlign w:val="center"/>
          </w:tcPr>
          <w:p w14:paraId="3F39ABA5">
            <w:pPr>
              <w:pStyle w:val="26"/>
              <w:bidi w:val="0"/>
              <w:rPr>
                <w:color w:val="auto"/>
              </w:rPr>
            </w:pPr>
          </w:p>
        </w:tc>
        <w:tc>
          <w:tcPr>
            <w:tcW w:w="2554" w:type="pct"/>
            <w:tcMar>
              <w:left w:w="0" w:type="dxa"/>
              <w:right w:w="0" w:type="dxa"/>
            </w:tcMar>
            <w:vAlign w:val="center"/>
          </w:tcPr>
          <w:p w14:paraId="227AADC3">
            <w:pPr>
              <w:pStyle w:val="26"/>
              <w:bidi w:val="0"/>
              <w:rPr>
                <w:color w:val="auto"/>
              </w:rPr>
            </w:pPr>
            <w:r>
              <w:rPr>
                <w:color w:val="auto"/>
              </w:rPr>
              <w:t>（五）企业在VOCs污染防治设施验收时应监测TVOCs净化效率，并记录在线连续检测装置或其他检测方法获取的TVOCs排放浓度，以作为设施日常稳定运行情况的考核依据。</w:t>
            </w:r>
          </w:p>
        </w:tc>
        <w:tc>
          <w:tcPr>
            <w:tcW w:w="1662" w:type="pct"/>
            <w:vMerge w:val="continue"/>
            <w:tcMar>
              <w:left w:w="0" w:type="dxa"/>
              <w:right w:w="0" w:type="dxa"/>
            </w:tcMar>
            <w:vAlign w:val="center"/>
          </w:tcPr>
          <w:p w14:paraId="5768DCFE">
            <w:pPr>
              <w:pStyle w:val="26"/>
              <w:bidi w:val="0"/>
              <w:rPr>
                <w:color w:val="auto"/>
              </w:rPr>
            </w:pPr>
          </w:p>
        </w:tc>
        <w:tc>
          <w:tcPr>
            <w:tcW w:w="438" w:type="pct"/>
            <w:vMerge w:val="continue"/>
            <w:tcMar>
              <w:left w:w="0" w:type="dxa"/>
              <w:right w:w="0" w:type="dxa"/>
            </w:tcMar>
            <w:vAlign w:val="center"/>
          </w:tcPr>
          <w:p w14:paraId="6CF2DD3A">
            <w:pPr>
              <w:pStyle w:val="26"/>
              <w:bidi w:val="0"/>
              <w:rPr>
                <w:color w:val="auto"/>
              </w:rPr>
            </w:pPr>
          </w:p>
        </w:tc>
      </w:tr>
      <w:tr w14:paraId="29E6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vMerge w:val="continue"/>
            <w:tcMar>
              <w:left w:w="0" w:type="dxa"/>
              <w:right w:w="0" w:type="dxa"/>
            </w:tcMar>
            <w:vAlign w:val="center"/>
          </w:tcPr>
          <w:p w14:paraId="65565E54">
            <w:pPr>
              <w:pStyle w:val="26"/>
              <w:bidi w:val="0"/>
              <w:rPr>
                <w:color w:val="auto"/>
              </w:rPr>
            </w:pPr>
          </w:p>
        </w:tc>
        <w:tc>
          <w:tcPr>
            <w:tcW w:w="2554" w:type="pct"/>
            <w:tcMar>
              <w:left w:w="0" w:type="dxa"/>
              <w:right w:w="0" w:type="dxa"/>
            </w:tcMar>
            <w:vAlign w:val="center"/>
          </w:tcPr>
          <w:p w14:paraId="3D6DB54D">
            <w:pPr>
              <w:pStyle w:val="26"/>
              <w:bidi w:val="0"/>
              <w:rPr>
                <w:color w:val="auto"/>
              </w:rPr>
            </w:pPr>
            <w:r>
              <w:rPr>
                <w:color w:val="auto"/>
              </w:rPr>
              <w:t>（六）企业应安排有关机构专门人员负责VOCs污染控制的相关工作。需定期更换吸附剂、催化剂或吸收液的，应该有详细的购买和更换台账</w:t>
            </w:r>
            <w:r>
              <w:rPr>
                <w:rFonts w:hint="eastAsia"/>
                <w:color w:val="auto"/>
              </w:rPr>
              <w:t>。</w:t>
            </w:r>
          </w:p>
        </w:tc>
        <w:tc>
          <w:tcPr>
            <w:tcW w:w="1662" w:type="pct"/>
            <w:vMerge w:val="continue"/>
            <w:tcMar>
              <w:left w:w="0" w:type="dxa"/>
              <w:right w:w="0" w:type="dxa"/>
            </w:tcMar>
            <w:vAlign w:val="center"/>
          </w:tcPr>
          <w:p w14:paraId="34D11D52">
            <w:pPr>
              <w:pStyle w:val="26"/>
              <w:bidi w:val="0"/>
              <w:rPr>
                <w:color w:val="auto"/>
              </w:rPr>
            </w:pPr>
          </w:p>
        </w:tc>
        <w:tc>
          <w:tcPr>
            <w:tcW w:w="438" w:type="pct"/>
            <w:vMerge w:val="continue"/>
            <w:tcMar>
              <w:left w:w="0" w:type="dxa"/>
              <w:right w:w="0" w:type="dxa"/>
            </w:tcMar>
            <w:vAlign w:val="center"/>
          </w:tcPr>
          <w:p w14:paraId="555E9E2A">
            <w:pPr>
              <w:pStyle w:val="26"/>
              <w:bidi w:val="0"/>
              <w:rPr>
                <w:color w:val="auto"/>
              </w:rPr>
            </w:pPr>
          </w:p>
        </w:tc>
      </w:tr>
      <w:tr w14:paraId="1F54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10A61F64">
            <w:pPr>
              <w:pStyle w:val="26"/>
              <w:bidi w:val="0"/>
              <w:rPr>
                <w:color w:val="auto"/>
              </w:rPr>
            </w:pPr>
            <w:r>
              <w:rPr>
                <w:color w:val="auto"/>
              </w:rPr>
              <w:t>化工行业</w:t>
            </w:r>
          </w:p>
        </w:tc>
        <w:tc>
          <w:tcPr>
            <w:tcW w:w="2554" w:type="pct"/>
            <w:tcMar>
              <w:left w:w="0" w:type="dxa"/>
              <w:right w:w="0" w:type="dxa"/>
            </w:tcMar>
            <w:vAlign w:val="center"/>
          </w:tcPr>
          <w:p w14:paraId="500EEB9C">
            <w:pPr>
              <w:pStyle w:val="26"/>
              <w:bidi w:val="0"/>
              <w:rPr>
                <w:color w:val="auto"/>
              </w:rPr>
            </w:pPr>
            <w:r>
              <w:rPr>
                <w:color w:val="auto"/>
              </w:rPr>
              <w:t>根据GB/T4754-2011《国民经济行业分类》，C25石油加工炼焦和核燃料加工业、C26化学原料和化学制品制造业、C27医药制造业等行业的挥发性有机物污染防治应按照《江苏省化工行业废气污染防治技术规范》要求参照执行。</w:t>
            </w:r>
          </w:p>
        </w:tc>
        <w:tc>
          <w:tcPr>
            <w:tcW w:w="1662" w:type="pct"/>
            <w:tcMar>
              <w:left w:w="0" w:type="dxa"/>
              <w:right w:w="0" w:type="dxa"/>
            </w:tcMar>
            <w:vAlign w:val="center"/>
          </w:tcPr>
          <w:p w14:paraId="6771A6EC">
            <w:pPr>
              <w:pStyle w:val="26"/>
              <w:bidi w:val="0"/>
              <w:rPr>
                <w:color w:val="auto"/>
              </w:rPr>
            </w:pPr>
            <w:r>
              <w:rPr>
                <w:color w:val="auto"/>
              </w:rPr>
              <w:t>本项目属于</w:t>
            </w:r>
            <w:r>
              <w:rPr>
                <w:rFonts w:hint="eastAsia"/>
                <w:color w:val="auto"/>
                <w:lang w:eastAsia="zh-CN"/>
              </w:rPr>
              <w:t>C3525 模具制造</w:t>
            </w:r>
            <w:r>
              <w:rPr>
                <w:rFonts w:hint="eastAsia"/>
                <w:color w:val="auto"/>
              </w:rPr>
              <w:t>，本项目采用先进的原辅料输送设备，在使用有机溶剂时采取密闭储存、装卸和投料的措施，</w:t>
            </w:r>
            <w:r>
              <w:rPr>
                <w:color w:val="auto"/>
              </w:rPr>
              <w:t>符合《江苏省化工行业废气污染防治技术规范》中的相关要求</w:t>
            </w:r>
            <w:r>
              <w:rPr>
                <w:rFonts w:hint="eastAsia"/>
                <w:color w:val="auto"/>
              </w:rPr>
              <w:t>。</w:t>
            </w:r>
          </w:p>
        </w:tc>
        <w:tc>
          <w:tcPr>
            <w:tcW w:w="438" w:type="pct"/>
            <w:tcMar>
              <w:left w:w="0" w:type="dxa"/>
              <w:right w:w="0" w:type="dxa"/>
            </w:tcMar>
            <w:vAlign w:val="center"/>
          </w:tcPr>
          <w:p w14:paraId="0E1D911E">
            <w:pPr>
              <w:pStyle w:val="26"/>
              <w:bidi w:val="0"/>
              <w:rPr>
                <w:color w:val="auto"/>
              </w:rPr>
            </w:pPr>
            <w:r>
              <w:rPr>
                <w:color w:val="auto"/>
              </w:rPr>
              <w:t>相符</w:t>
            </w:r>
          </w:p>
        </w:tc>
      </w:tr>
    </w:tbl>
    <w:p w14:paraId="6DF36C58">
      <w:pPr>
        <w:rPr>
          <w:rFonts w:hint="eastAsia"/>
          <w:color w:val="auto"/>
        </w:rPr>
      </w:pPr>
      <w:r>
        <w:rPr>
          <w:rFonts w:hint="eastAsia"/>
          <w:color w:val="auto"/>
        </w:rPr>
        <w:t>因此，本项目的建设符合《关于印发&lt;江苏省重点行业挥发性有机物污染控制指南&gt;的通知》（苏环办[2014]128号）的相关要求。</w:t>
      </w:r>
    </w:p>
    <w:p w14:paraId="3F997920">
      <w:pPr>
        <w:pStyle w:val="46"/>
        <w:bidi w:val="0"/>
        <w:rPr>
          <w:color w:val="auto"/>
        </w:rPr>
      </w:pPr>
      <w:r>
        <w:rPr>
          <w:rFonts w:hint="eastAsia"/>
          <w:color w:val="auto"/>
          <w:lang w:val="en-US" w:eastAsia="zh-CN"/>
        </w:rPr>
        <w:t>2</w:t>
      </w:r>
      <w:r>
        <w:rPr>
          <w:color w:val="auto"/>
        </w:rPr>
        <w:t>、《重点行业挥发性有机物综合治理方案》（环大气[2019]53号）</w:t>
      </w:r>
    </w:p>
    <w:p w14:paraId="7DC8A81A">
      <w:pPr>
        <w:rPr>
          <w:color w:val="auto"/>
        </w:rPr>
      </w:pPr>
      <w:r>
        <w:rPr>
          <w:color w:val="auto"/>
        </w:rPr>
        <w:t>根据生态环境部于2019年6月26日发布的《重点行业挥发性有机物综合治理方案》主要目标：</w:t>
      </w:r>
      <w:r>
        <w:rPr>
          <w:rFonts w:hint="eastAsia"/>
          <w:color w:val="auto"/>
        </w:rPr>
        <w:t>“</w:t>
      </w:r>
      <w:r>
        <w:rPr>
          <w:color w:val="auto"/>
        </w:rPr>
        <w:t>到2020年，建立健全VOCs污染防治管理体系，重点区域、重点行业VOCs治理取得明显成效，完成</w:t>
      </w:r>
      <w:r>
        <w:rPr>
          <w:rFonts w:hint="eastAsia"/>
          <w:color w:val="auto"/>
        </w:rPr>
        <w:t>“</w:t>
      </w:r>
      <w:r>
        <w:rPr>
          <w:color w:val="auto"/>
        </w:rPr>
        <w:t>十三五</w:t>
      </w:r>
      <w:r>
        <w:rPr>
          <w:rFonts w:hint="eastAsia"/>
          <w:color w:val="auto"/>
        </w:rPr>
        <w:t>”</w:t>
      </w:r>
      <w:r>
        <w:rPr>
          <w:color w:val="auto"/>
        </w:rPr>
        <w:t>规划确定的VOCs排放量下降10%的目标任务，协同控制温室气体排放，推动环境空气质量持续改善。</w:t>
      </w:r>
      <w:r>
        <w:rPr>
          <w:rFonts w:hint="eastAsia"/>
          <w:color w:val="auto"/>
        </w:rPr>
        <w:t>”</w:t>
      </w:r>
      <w:r>
        <w:rPr>
          <w:color w:val="auto"/>
        </w:rPr>
        <w:t>以及控制思路和要求中：（一）大力推进源头替代。（二）全面加强无组织排放控制。（三）推进建设适宜高效的治污设施。本项目与该文件相关要求对照分析详见下表：</w:t>
      </w:r>
    </w:p>
    <w:p w14:paraId="15E5D85F">
      <w:pPr>
        <w:pStyle w:val="25"/>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1.4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12</w:t>
      </w:r>
      <w:r>
        <w:rPr>
          <w:color w:val="auto"/>
        </w:rPr>
        <w:fldChar w:fldCharType="end"/>
      </w:r>
      <w:r>
        <w:rPr>
          <w:color w:val="auto"/>
        </w:rPr>
        <w:t>与《重点行业挥发性有机物综合治理方案》</w:t>
      </w:r>
      <w:r>
        <w:rPr>
          <w:rFonts w:hint="eastAsia"/>
          <w:color w:val="auto"/>
        </w:rPr>
        <w:t>对照情况</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8"/>
        <w:gridCol w:w="3534"/>
        <w:gridCol w:w="3272"/>
        <w:gridCol w:w="782"/>
      </w:tblGrid>
      <w:tr w14:paraId="25B5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563" w:type="pct"/>
            <w:gridSpan w:val="2"/>
            <w:tcMar>
              <w:left w:w="0" w:type="dxa"/>
              <w:right w:w="0" w:type="dxa"/>
            </w:tcMar>
            <w:vAlign w:val="center"/>
          </w:tcPr>
          <w:p w14:paraId="1A8285A0">
            <w:pPr>
              <w:pStyle w:val="36"/>
              <w:bidi w:val="0"/>
              <w:rPr>
                <w:color w:val="auto"/>
              </w:rPr>
            </w:pPr>
            <w:r>
              <w:rPr>
                <w:color w:val="auto"/>
              </w:rPr>
              <w:t>文件</w:t>
            </w:r>
            <w:r>
              <w:rPr>
                <w:rFonts w:hint="eastAsia"/>
                <w:color w:val="auto"/>
              </w:rPr>
              <w:t>相关</w:t>
            </w:r>
            <w:r>
              <w:rPr>
                <w:color w:val="auto"/>
              </w:rPr>
              <w:t>要求</w:t>
            </w:r>
          </w:p>
        </w:tc>
        <w:tc>
          <w:tcPr>
            <w:tcW w:w="1967" w:type="pct"/>
            <w:tcMar>
              <w:left w:w="0" w:type="dxa"/>
              <w:right w:w="0" w:type="dxa"/>
            </w:tcMar>
            <w:vAlign w:val="center"/>
          </w:tcPr>
          <w:p w14:paraId="1C4D0ABE">
            <w:pPr>
              <w:pStyle w:val="36"/>
              <w:bidi w:val="0"/>
              <w:rPr>
                <w:color w:val="auto"/>
              </w:rPr>
            </w:pPr>
            <w:r>
              <w:rPr>
                <w:color w:val="auto"/>
              </w:rPr>
              <w:t>本项目情况</w:t>
            </w:r>
          </w:p>
        </w:tc>
        <w:tc>
          <w:tcPr>
            <w:tcW w:w="470" w:type="pct"/>
            <w:tcMar>
              <w:left w:w="0" w:type="dxa"/>
              <w:right w:w="0" w:type="dxa"/>
            </w:tcMar>
            <w:vAlign w:val="center"/>
          </w:tcPr>
          <w:p w14:paraId="52A1D6AA">
            <w:pPr>
              <w:pStyle w:val="36"/>
              <w:bidi w:val="0"/>
              <w:rPr>
                <w:color w:val="auto"/>
              </w:rPr>
            </w:pPr>
            <w:r>
              <w:rPr>
                <w:color w:val="auto"/>
              </w:rPr>
              <w:t>相符性</w:t>
            </w:r>
          </w:p>
        </w:tc>
      </w:tr>
      <w:tr w14:paraId="0BFE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vMerge w:val="restart"/>
            <w:tcMar>
              <w:left w:w="0" w:type="dxa"/>
              <w:right w:w="0" w:type="dxa"/>
            </w:tcMar>
            <w:vAlign w:val="center"/>
          </w:tcPr>
          <w:p w14:paraId="1DD238FF">
            <w:pPr>
              <w:pStyle w:val="26"/>
              <w:bidi w:val="0"/>
              <w:rPr>
                <w:color w:val="auto"/>
              </w:rPr>
            </w:pPr>
            <w:r>
              <w:rPr>
                <w:color w:val="auto"/>
              </w:rPr>
              <w:t>（二）全面加强无组织排放控制</w:t>
            </w:r>
          </w:p>
        </w:tc>
        <w:tc>
          <w:tcPr>
            <w:tcW w:w="2125" w:type="pct"/>
            <w:tcMar>
              <w:left w:w="0" w:type="dxa"/>
              <w:right w:w="0" w:type="dxa"/>
            </w:tcMar>
            <w:vAlign w:val="center"/>
          </w:tcPr>
          <w:p w14:paraId="24E16302">
            <w:pPr>
              <w:pStyle w:val="26"/>
              <w:bidi w:val="0"/>
              <w:rPr>
                <w:color w:val="auto"/>
              </w:rPr>
            </w:pPr>
            <w:r>
              <w:rPr>
                <w:color w:val="auto"/>
              </w:rPr>
              <w:t>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967" w:type="pct"/>
            <w:vMerge w:val="restart"/>
            <w:tcMar>
              <w:left w:w="0" w:type="dxa"/>
              <w:right w:w="0" w:type="dxa"/>
            </w:tcMar>
            <w:vAlign w:val="center"/>
          </w:tcPr>
          <w:p w14:paraId="75A00B6E">
            <w:pPr>
              <w:pStyle w:val="26"/>
              <w:bidi w:val="0"/>
              <w:rPr>
                <w:color w:val="auto"/>
              </w:rPr>
            </w:pPr>
            <w:r>
              <w:rPr>
                <w:rFonts w:hint="eastAsia"/>
                <w:color w:val="auto"/>
              </w:rPr>
              <w:t>本项目含VOCs的液体物料储存于密闭包装桶</w:t>
            </w:r>
            <w:r>
              <w:rPr>
                <w:rFonts w:hint="eastAsia"/>
                <w:color w:val="auto"/>
                <w:lang w:val="en-US" w:eastAsia="zh-CN"/>
              </w:rPr>
              <w:t>或储罐</w:t>
            </w:r>
            <w:r>
              <w:rPr>
                <w:rFonts w:hint="eastAsia"/>
                <w:color w:val="auto"/>
              </w:rPr>
              <w:t>中，含VOCs的固体物料储存在包装袋或桶中；包装桶内VOCs物料通过物料泵泵入密闭生产设备中，</w:t>
            </w:r>
            <w:r>
              <w:rPr>
                <w:rFonts w:hint="eastAsia"/>
                <w:color w:val="auto"/>
                <w:lang w:val="en-US" w:eastAsia="zh-CN"/>
              </w:rPr>
              <w:t>不涉及</w:t>
            </w:r>
            <w:r>
              <w:rPr>
                <w:rFonts w:hint="eastAsia"/>
                <w:color w:val="auto"/>
              </w:rPr>
              <w:t>固体VOCs物料。遵循“应收尽收、分质收集”的原则，科学设计废气收集系统，将无组织排放转变为有组织排放进行控制。采用全密闭集气罩或密闭空间的，保持微负压状态，并根据相关规范合理设置通风量。采用局部集气罩的，距集气罩开口面最远处的VOCs无组织排放位置，控制风速不低于0.3米/秒。</w:t>
            </w:r>
          </w:p>
        </w:tc>
        <w:tc>
          <w:tcPr>
            <w:tcW w:w="470" w:type="pct"/>
            <w:vMerge w:val="restart"/>
            <w:tcMar>
              <w:left w:w="0" w:type="dxa"/>
              <w:right w:w="0" w:type="dxa"/>
            </w:tcMar>
            <w:vAlign w:val="center"/>
          </w:tcPr>
          <w:p w14:paraId="17E374A6">
            <w:pPr>
              <w:pStyle w:val="26"/>
              <w:bidi w:val="0"/>
              <w:rPr>
                <w:color w:val="auto"/>
              </w:rPr>
            </w:pPr>
            <w:r>
              <w:rPr>
                <w:color w:val="auto"/>
              </w:rPr>
              <w:t>相符</w:t>
            </w:r>
          </w:p>
        </w:tc>
      </w:tr>
      <w:tr w14:paraId="4F47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vMerge w:val="continue"/>
            <w:tcMar>
              <w:left w:w="0" w:type="dxa"/>
              <w:right w:w="0" w:type="dxa"/>
            </w:tcMar>
            <w:vAlign w:val="center"/>
          </w:tcPr>
          <w:p w14:paraId="628631C7">
            <w:pPr>
              <w:pStyle w:val="26"/>
              <w:bidi w:val="0"/>
              <w:rPr>
                <w:color w:val="auto"/>
              </w:rPr>
            </w:pPr>
          </w:p>
        </w:tc>
        <w:tc>
          <w:tcPr>
            <w:tcW w:w="2125" w:type="pct"/>
            <w:tcMar>
              <w:left w:w="0" w:type="dxa"/>
              <w:right w:w="0" w:type="dxa"/>
            </w:tcMar>
            <w:vAlign w:val="center"/>
          </w:tcPr>
          <w:p w14:paraId="513090E2">
            <w:pPr>
              <w:pStyle w:val="26"/>
              <w:bidi w:val="0"/>
              <w:rPr>
                <w:color w:val="auto"/>
              </w:rPr>
            </w:pPr>
            <w:r>
              <w:rPr>
                <w:color w:val="auto"/>
              </w:rPr>
              <w:t>加强设备与场所密闭管理。含VOCs物料应储存于密闭容器、包装袋，高效密封储罐，封闭式储库、料仓等。含VOCs物料转移和输送，应采用密闭管道或密闭容器、罐车等。含VOCs物料生产和使用过程，应采取有效收集措施或在密闭空间中操作。</w:t>
            </w:r>
          </w:p>
        </w:tc>
        <w:tc>
          <w:tcPr>
            <w:tcW w:w="1967" w:type="pct"/>
            <w:vMerge w:val="continue"/>
            <w:tcMar>
              <w:left w:w="0" w:type="dxa"/>
              <w:right w:w="0" w:type="dxa"/>
            </w:tcMar>
            <w:vAlign w:val="center"/>
          </w:tcPr>
          <w:p w14:paraId="4F331607">
            <w:pPr>
              <w:pStyle w:val="26"/>
              <w:bidi w:val="0"/>
              <w:rPr>
                <w:color w:val="auto"/>
              </w:rPr>
            </w:pPr>
          </w:p>
        </w:tc>
        <w:tc>
          <w:tcPr>
            <w:tcW w:w="470" w:type="pct"/>
            <w:vMerge w:val="continue"/>
            <w:tcMar>
              <w:left w:w="0" w:type="dxa"/>
              <w:right w:w="0" w:type="dxa"/>
            </w:tcMar>
            <w:vAlign w:val="center"/>
          </w:tcPr>
          <w:p w14:paraId="75E0E1E8">
            <w:pPr>
              <w:pStyle w:val="26"/>
              <w:bidi w:val="0"/>
              <w:rPr>
                <w:color w:val="auto"/>
              </w:rPr>
            </w:pPr>
          </w:p>
        </w:tc>
      </w:tr>
      <w:tr w14:paraId="6A3E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vMerge w:val="continue"/>
            <w:tcMar>
              <w:left w:w="0" w:type="dxa"/>
              <w:right w:w="0" w:type="dxa"/>
            </w:tcMar>
            <w:vAlign w:val="center"/>
          </w:tcPr>
          <w:p w14:paraId="3DF0CAB2">
            <w:pPr>
              <w:pStyle w:val="26"/>
              <w:bidi w:val="0"/>
              <w:rPr>
                <w:color w:val="auto"/>
              </w:rPr>
            </w:pPr>
          </w:p>
        </w:tc>
        <w:tc>
          <w:tcPr>
            <w:tcW w:w="2125" w:type="pct"/>
            <w:tcMar>
              <w:left w:w="0" w:type="dxa"/>
              <w:right w:w="0" w:type="dxa"/>
            </w:tcMar>
            <w:vAlign w:val="center"/>
          </w:tcPr>
          <w:p w14:paraId="599CD76B">
            <w:pPr>
              <w:pStyle w:val="26"/>
              <w:bidi w:val="0"/>
              <w:rPr>
                <w:color w:val="auto"/>
              </w:rPr>
            </w:pPr>
            <w:r>
              <w:rPr>
                <w:color w:val="auto"/>
              </w:rPr>
              <w:t>提高废气收集率。遵循</w:t>
            </w:r>
            <w:r>
              <w:rPr>
                <w:rFonts w:hint="eastAsia"/>
                <w:color w:val="auto"/>
              </w:rPr>
              <w:t>“</w:t>
            </w:r>
            <w:r>
              <w:rPr>
                <w:color w:val="auto"/>
              </w:rPr>
              <w:t>应收尽收、分质收集</w:t>
            </w:r>
            <w:r>
              <w:rPr>
                <w:rFonts w:hint="eastAsia"/>
                <w:color w:val="auto"/>
              </w:rPr>
              <w:t>”</w:t>
            </w:r>
            <w:r>
              <w:rPr>
                <w:color w:val="auto"/>
              </w:rPr>
              <w:t>的原则，科学设计废气收集系统，将无组织排放转变为有组织排放进行控制</w:t>
            </w:r>
          </w:p>
        </w:tc>
        <w:tc>
          <w:tcPr>
            <w:tcW w:w="1967" w:type="pct"/>
            <w:vMerge w:val="continue"/>
            <w:tcMar>
              <w:left w:w="0" w:type="dxa"/>
              <w:right w:w="0" w:type="dxa"/>
            </w:tcMar>
            <w:vAlign w:val="center"/>
          </w:tcPr>
          <w:p w14:paraId="71010C05">
            <w:pPr>
              <w:pStyle w:val="26"/>
              <w:bidi w:val="0"/>
              <w:rPr>
                <w:color w:val="auto"/>
              </w:rPr>
            </w:pPr>
          </w:p>
        </w:tc>
        <w:tc>
          <w:tcPr>
            <w:tcW w:w="470" w:type="pct"/>
            <w:vMerge w:val="continue"/>
            <w:tcMar>
              <w:left w:w="0" w:type="dxa"/>
              <w:right w:w="0" w:type="dxa"/>
            </w:tcMar>
            <w:vAlign w:val="center"/>
          </w:tcPr>
          <w:p w14:paraId="50370816">
            <w:pPr>
              <w:pStyle w:val="26"/>
              <w:bidi w:val="0"/>
              <w:rPr>
                <w:color w:val="auto"/>
              </w:rPr>
            </w:pPr>
          </w:p>
        </w:tc>
      </w:tr>
      <w:tr w14:paraId="3FB2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vMerge w:val="restart"/>
            <w:tcMar>
              <w:left w:w="0" w:type="dxa"/>
              <w:right w:w="0" w:type="dxa"/>
            </w:tcMar>
            <w:vAlign w:val="center"/>
          </w:tcPr>
          <w:p w14:paraId="4A3EC3A7">
            <w:pPr>
              <w:pStyle w:val="26"/>
              <w:bidi w:val="0"/>
              <w:rPr>
                <w:color w:val="auto"/>
              </w:rPr>
            </w:pPr>
            <w:r>
              <w:rPr>
                <w:rFonts w:hint="eastAsia"/>
                <w:color w:val="auto"/>
              </w:rPr>
              <w:t>（三）推进建设适宜高效的治污设施</w:t>
            </w:r>
          </w:p>
        </w:tc>
        <w:tc>
          <w:tcPr>
            <w:tcW w:w="2125" w:type="pct"/>
            <w:tcMar>
              <w:left w:w="0" w:type="dxa"/>
              <w:right w:w="0" w:type="dxa"/>
            </w:tcMar>
            <w:vAlign w:val="center"/>
          </w:tcPr>
          <w:p w14:paraId="64E4B9E7">
            <w:pPr>
              <w:pStyle w:val="26"/>
              <w:bidi w:val="0"/>
              <w:rPr>
                <w:color w:val="auto"/>
              </w:rPr>
            </w:pPr>
            <w:r>
              <w:rPr>
                <w:color w:val="auto"/>
              </w:rPr>
              <w:t>企业新建治污设施或对现有治污设施实施改造，应依据排放废气的浓度、组分、风量，温度、湿度、压力，以及生产工况等，合理选择治理技术。鼓励企业采用多种技术的组合工艺，提高VOCs治理效率。</w:t>
            </w:r>
          </w:p>
        </w:tc>
        <w:tc>
          <w:tcPr>
            <w:tcW w:w="1967" w:type="pct"/>
            <w:vMerge w:val="restart"/>
            <w:tcMar>
              <w:left w:w="0" w:type="dxa"/>
              <w:right w:w="0" w:type="dxa"/>
            </w:tcMar>
            <w:vAlign w:val="center"/>
          </w:tcPr>
          <w:p w14:paraId="35BCC3C3">
            <w:pPr>
              <w:pStyle w:val="26"/>
              <w:bidi w:val="0"/>
              <w:rPr>
                <w:color w:val="auto"/>
              </w:rPr>
            </w:pPr>
            <w:r>
              <w:rPr>
                <w:rFonts w:hint="eastAsia"/>
                <w:color w:val="auto"/>
              </w:rPr>
              <w:t>本项目</w:t>
            </w:r>
            <w:r>
              <w:rPr>
                <w:rFonts w:hint="eastAsia"/>
                <w:color w:val="auto"/>
                <w:lang w:val="en-US" w:eastAsia="zh-CN"/>
              </w:rPr>
              <w:t>工艺</w:t>
            </w:r>
            <w:r>
              <w:rPr>
                <w:rFonts w:hint="eastAsia"/>
                <w:color w:val="auto"/>
              </w:rPr>
              <w:t>有机废气处理采用活性炭吸附工艺，废气收集效率不低于90%，有机废气去除率不低于90%。</w:t>
            </w:r>
          </w:p>
        </w:tc>
        <w:tc>
          <w:tcPr>
            <w:tcW w:w="470" w:type="pct"/>
            <w:vMerge w:val="restart"/>
            <w:tcMar>
              <w:left w:w="0" w:type="dxa"/>
              <w:right w:w="0" w:type="dxa"/>
            </w:tcMar>
            <w:vAlign w:val="center"/>
          </w:tcPr>
          <w:p w14:paraId="25AED873">
            <w:pPr>
              <w:pStyle w:val="26"/>
              <w:bidi w:val="0"/>
              <w:rPr>
                <w:color w:val="auto"/>
              </w:rPr>
            </w:pPr>
            <w:r>
              <w:rPr>
                <w:color w:val="auto"/>
              </w:rPr>
              <w:t>相符</w:t>
            </w:r>
          </w:p>
        </w:tc>
      </w:tr>
      <w:tr w14:paraId="305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vMerge w:val="continue"/>
            <w:tcMar>
              <w:left w:w="0" w:type="dxa"/>
              <w:right w:w="0" w:type="dxa"/>
            </w:tcMar>
            <w:vAlign w:val="center"/>
          </w:tcPr>
          <w:p w14:paraId="0501AD5E">
            <w:pPr>
              <w:pStyle w:val="26"/>
              <w:bidi w:val="0"/>
              <w:rPr>
                <w:color w:val="auto"/>
              </w:rPr>
            </w:pPr>
          </w:p>
        </w:tc>
        <w:tc>
          <w:tcPr>
            <w:tcW w:w="2125" w:type="pct"/>
            <w:tcMar>
              <w:left w:w="0" w:type="dxa"/>
              <w:right w:w="0" w:type="dxa"/>
            </w:tcMar>
            <w:vAlign w:val="center"/>
          </w:tcPr>
          <w:p w14:paraId="2C6498E3">
            <w:pPr>
              <w:pStyle w:val="26"/>
              <w:bidi w:val="0"/>
              <w:rPr>
                <w:color w:val="auto"/>
              </w:rPr>
            </w:pPr>
            <w:r>
              <w:rPr>
                <w:color w:val="auto"/>
              </w:rPr>
              <w:t>实行重点排放源排放浓度与去除效率双重控制。车间或生产设施收集排放的废气，VOCs初始排放速率大于等于3千克/小时、重点区域大于等于2千克/小时的，应加大控制力度，除确保排放浓度稳定达标外，还应实行去除效率控制，去除效率不低于80%；采用的原辅材料符合国家有关低VOCs含量产品规定的除外，有行业排放标准的按其相关规定执行。</w:t>
            </w:r>
          </w:p>
        </w:tc>
        <w:tc>
          <w:tcPr>
            <w:tcW w:w="1967" w:type="pct"/>
            <w:vMerge w:val="continue"/>
            <w:tcMar>
              <w:left w:w="0" w:type="dxa"/>
              <w:right w:w="0" w:type="dxa"/>
            </w:tcMar>
            <w:vAlign w:val="center"/>
          </w:tcPr>
          <w:p w14:paraId="2A49F69C">
            <w:pPr>
              <w:pStyle w:val="26"/>
              <w:bidi w:val="0"/>
              <w:rPr>
                <w:color w:val="auto"/>
              </w:rPr>
            </w:pPr>
          </w:p>
        </w:tc>
        <w:tc>
          <w:tcPr>
            <w:tcW w:w="470" w:type="pct"/>
            <w:vMerge w:val="continue"/>
            <w:tcMar>
              <w:left w:w="0" w:type="dxa"/>
              <w:right w:w="0" w:type="dxa"/>
            </w:tcMar>
            <w:vAlign w:val="center"/>
          </w:tcPr>
          <w:p w14:paraId="728696B6">
            <w:pPr>
              <w:pStyle w:val="26"/>
              <w:bidi w:val="0"/>
              <w:rPr>
                <w:color w:val="auto"/>
              </w:rPr>
            </w:pPr>
          </w:p>
        </w:tc>
      </w:tr>
      <w:tr w14:paraId="2EFA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8" w:type="pct"/>
            <w:tcMar>
              <w:left w:w="0" w:type="dxa"/>
              <w:right w:w="0" w:type="dxa"/>
            </w:tcMar>
            <w:vAlign w:val="center"/>
          </w:tcPr>
          <w:p w14:paraId="3F7CEE54">
            <w:pPr>
              <w:pStyle w:val="26"/>
              <w:bidi w:val="0"/>
              <w:rPr>
                <w:color w:val="auto"/>
              </w:rPr>
            </w:pPr>
            <w:r>
              <w:rPr>
                <w:rFonts w:hint="eastAsia"/>
                <w:color w:val="auto"/>
              </w:rPr>
              <w:t>（四）深入实施精细化管控。</w:t>
            </w:r>
          </w:p>
        </w:tc>
        <w:tc>
          <w:tcPr>
            <w:tcW w:w="2125" w:type="pct"/>
            <w:tcMar>
              <w:left w:w="0" w:type="dxa"/>
              <w:right w:w="0" w:type="dxa"/>
            </w:tcMar>
            <w:vAlign w:val="center"/>
          </w:tcPr>
          <w:p w14:paraId="36CFF36D">
            <w:pPr>
              <w:pStyle w:val="26"/>
              <w:bidi w:val="0"/>
              <w:rPr>
                <w:color w:val="auto"/>
              </w:rPr>
            </w:pPr>
            <w:r>
              <w:rPr>
                <w:rFonts w:hint="eastAsia"/>
                <w:color w:val="auto"/>
              </w:rPr>
              <w:t>加强企业运行管理。企业应系统梳理VOCs排放主要环节和工序，包括启停机、检维修作业等，制定具体操作规程，落实到具体责任人。健全内部考核制度。加强人员能力培训和技术交流。建立管理台账，记录企业生产和治污设施运行的关键参数，在线监控参数要确保能够实时调取，相关台账记录至少保存三年。</w:t>
            </w:r>
          </w:p>
        </w:tc>
        <w:tc>
          <w:tcPr>
            <w:tcW w:w="1967" w:type="pct"/>
            <w:tcMar>
              <w:left w:w="0" w:type="dxa"/>
              <w:right w:w="0" w:type="dxa"/>
            </w:tcMar>
            <w:vAlign w:val="center"/>
          </w:tcPr>
          <w:p w14:paraId="62BA6E31">
            <w:pPr>
              <w:pStyle w:val="26"/>
              <w:bidi w:val="0"/>
              <w:rPr>
                <w:color w:val="auto"/>
              </w:rPr>
            </w:pPr>
            <w:r>
              <w:rPr>
                <w:rFonts w:hint="eastAsia"/>
                <w:color w:val="auto"/>
              </w:rPr>
              <w:t>项目建设完成后，企业应系统梳理VOCs排放主要环节和工序，包括启停机、检维修作业等，制定具体操作规程，落实到具体责任人。健全内部考核制度。加强人员能力培训和技术交流。建立管理台账，记录企业生产和治污设施运行的关键参数，在线监控参数要确保能够实时调取，相关台账记录至少保存三年。</w:t>
            </w:r>
          </w:p>
        </w:tc>
        <w:tc>
          <w:tcPr>
            <w:tcW w:w="470" w:type="pct"/>
            <w:tcMar>
              <w:left w:w="0" w:type="dxa"/>
              <w:right w:w="0" w:type="dxa"/>
            </w:tcMar>
            <w:vAlign w:val="center"/>
          </w:tcPr>
          <w:p w14:paraId="25224696">
            <w:pPr>
              <w:pStyle w:val="26"/>
              <w:bidi w:val="0"/>
              <w:rPr>
                <w:rFonts w:hint="eastAsia" w:eastAsia="仿宋_GB2312"/>
                <w:color w:val="auto"/>
                <w:lang w:val="en-US" w:eastAsia="zh-CN"/>
              </w:rPr>
            </w:pPr>
            <w:r>
              <w:rPr>
                <w:rFonts w:hint="eastAsia"/>
                <w:color w:val="auto"/>
                <w:lang w:val="en-US" w:eastAsia="zh-CN"/>
              </w:rPr>
              <w:t>相符</w:t>
            </w:r>
          </w:p>
        </w:tc>
      </w:tr>
    </w:tbl>
    <w:p w14:paraId="31D58C72">
      <w:pPr>
        <w:rPr>
          <w:color w:val="auto"/>
        </w:rPr>
      </w:pPr>
      <w:r>
        <w:rPr>
          <w:color w:val="auto"/>
        </w:rPr>
        <w:t>因此，本项目符合《重点行业挥发性有机物综合治理方案》的相关要求。</w:t>
      </w:r>
    </w:p>
    <w:p w14:paraId="4872CEFB">
      <w:pPr>
        <w:pStyle w:val="46"/>
        <w:bidi w:val="0"/>
        <w:rPr>
          <w:color w:val="auto"/>
        </w:rPr>
      </w:pPr>
      <w:r>
        <w:rPr>
          <w:rFonts w:hint="eastAsia"/>
          <w:color w:val="auto"/>
          <w:lang w:val="en-US" w:eastAsia="zh-CN"/>
        </w:rPr>
        <w:t>3</w:t>
      </w:r>
      <w:r>
        <w:rPr>
          <w:color w:val="auto"/>
        </w:rPr>
        <w:t>、《省大气办关于印发&lt;江苏省挥发性有机物清洁原料替代方案&gt;的通知》（苏大气办[2021]2号）</w:t>
      </w:r>
    </w:p>
    <w:p w14:paraId="1E190B74">
      <w:pPr>
        <w:rPr>
          <w:rFonts w:hint="eastAsia"/>
          <w:color w:val="auto"/>
        </w:rPr>
      </w:pPr>
      <w:r>
        <w:rPr>
          <w:rFonts w:hint="eastAsia"/>
          <w:color w:val="auto"/>
        </w:rPr>
        <w:t>根据《省大气办关于印发&lt;江苏省挥发性有机物清洁原料替代方案&gt;的通知》（苏大气办[2021]2号）中“二、重点任务（一）明确替代要求：以工业涂装、包装印刷、木材加工、纺织（附件1）等行业为重点，分阶段推进3130家企业（附件2）清洁原料替代工作。实施替代的企业要使用符合《低挥发性有机化合物含量涂料产品技术要求》（GB/T38597-2020）规定的粉末、水性、无溶剂、辐射固化涂料产品；符合《油墨中可挥发性有机化合物（VOCs）含量的限值》（GB38507-2020）规定的水性油墨和能量固化油墨产品；符合《清洗剂挥发性有机化合物含量限值》（GB38508-2020）规定的水基、半水基清洗剂产品；符合《胶粘剂挥发性有机化合物限量》（GB33372-2020）规定的水基型、本体型胶粘剂产品。若确实无法达到上述要求，应提供相应的论证说明，相关涂料、油墨、清洗剂、胶粘剂等产品应符合相关标准中VOCs含量的限值要求。（二）严格准入条件。禁止建设生产和使用高VOCs含量的涂料、油墨、胶黏剂等项目。2021年起，全省工业涂装、包装印刷、纺织、木材加工等行业以及涂料、油墨等生产企业的新（改、扩）建项目需满足低（无）VOCs含量限值要求。省内市场上流通的水性涂料等低挥发性有机物含量涂料产品，执行国家《低挥发性有机化合物含量涂料产品技术要求》（GB/T38597-2020）。”</w:t>
      </w:r>
    </w:p>
    <w:p w14:paraId="7F4B3ACF">
      <w:pPr>
        <w:rPr>
          <w:rFonts w:hint="eastAsia"/>
          <w:color w:val="auto"/>
        </w:rPr>
      </w:pPr>
      <w:r>
        <w:rPr>
          <w:rFonts w:hint="eastAsia"/>
          <w:color w:val="auto"/>
        </w:rPr>
        <w:t>本项目属于</w:t>
      </w:r>
      <w:r>
        <w:rPr>
          <w:rFonts w:hint="eastAsia"/>
          <w:color w:val="auto"/>
          <w:lang w:eastAsia="zh-CN"/>
        </w:rPr>
        <w:t>C3525 模具制造</w:t>
      </w:r>
      <w:r>
        <w:rPr>
          <w:rFonts w:hint="eastAsia"/>
          <w:color w:val="auto"/>
        </w:rPr>
        <w:t>，不属于上述重点行业</w:t>
      </w:r>
      <w:r>
        <w:rPr>
          <w:rFonts w:hint="eastAsia"/>
          <w:color w:val="auto"/>
          <w:lang w:eastAsia="zh-CN"/>
        </w:rPr>
        <w:t>。</w:t>
      </w:r>
      <w:r>
        <w:rPr>
          <w:rFonts w:hint="eastAsia"/>
          <w:color w:val="auto"/>
        </w:rPr>
        <w:t>本项目版辊图案成型使用的是“腐蚀制版”，通过曝光显影及激光雕刻成像，通过覆盖版辊上无需腐蚀的地方，加强其他需要腐蚀的地方，即可得到不同客户所需的不同图案。“感光液”为光刻胶，又称光致抗蚀剂，是指通过紫外光、电子束、离子束、X射线等的照射或辐射，其溶解度发生变化的耐蚀刻材料。</w:t>
      </w:r>
    </w:p>
    <w:p w14:paraId="0385E011">
      <w:pPr>
        <w:rPr>
          <w:rFonts w:hint="eastAsia"/>
          <w:color w:val="auto"/>
        </w:rPr>
      </w:pPr>
      <w:r>
        <w:rPr>
          <w:rFonts w:hint="eastAsia"/>
          <w:color w:val="auto"/>
        </w:rPr>
        <w:t>工业涂装为“采用合适的施工方法和工艺技术，将不同种类的涂料涂覆在物体表面并牢固附着于被涂物体的涂料成膜工艺”，本次使用的“感光液”仅为在腐蚀雕刻过程中临时使用，作为版辊图案雕刻显影的辅助介质，最终与版辊剥离，故不属于涂装工序；胶粘剂是通过界面的黏附和内聚等作用，能使两种或两种以上的制件或材料连接在一起的天然的或合成的、有机的或无机的一类物质。通过上述分析，“感光液”</w:t>
      </w:r>
      <w:r>
        <w:rPr>
          <w:rFonts w:hint="eastAsia"/>
          <w:color w:val="auto"/>
          <w:lang w:val="en-US" w:eastAsia="zh-CN"/>
        </w:rPr>
        <w:t>也</w:t>
      </w:r>
      <w:r>
        <w:rPr>
          <w:rFonts w:hint="eastAsia"/>
          <w:color w:val="auto"/>
        </w:rPr>
        <w:t>不属于胶粘剂。</w:t>
      </w:r>
    </w:p>
    <w:p w14:paraId="4EA023DD">
      <w:pPr>
        <w:rPr>
          <w:color w:val="auto"/>
          <w:highlight w:val="none"/>
        </w:rPr>
      </w:pPr>
      <w:r>
        <w:rPr>
          <w:rFonts w:hint="eastAsia"/>
          <w:color w:val="auto"/>
          <w:highlight w:val="none"/>
        </w:rPr>
        <w:t>因此，本项目符合《江苏省挥发性有机物清洁原料替代方案》的相关要求</w:t>
      </w:r>
      <w:r>
        <w:rPr>
          <w:color w:val="auto"/>
          <w:highlight w:val="none"/>
        </w:rPr>
        <w:t>。</w:t>
      </w:r>
    </w:p>
    <w:p w14:paraId="07D3C248">
      <w:pPr>
        <w:pStyle w:val="5"/>
        <w:ind w:firstLine="301"/>
        <w:rPr>
          <w:color w:val="auto"/>
        </w:rPr>
      </w:pPr>
      <w:r>
        <w:rPr>
          <w:color w:val="auto"/>
        </w:rPr>
        <w:t>与其他相关控制文件相符性分析</w:t>
      </w:r>
    </w:p>
    <w:p w14:paraId="61D0F083">
      <w:pPr>
        <w:pStyle w:val="46"/>
        <w:bidi w:val="0"/>
        <w:rPr>
          <w:color w:val="auto"/>
        </w:rPr>
      </w:pPr>
      <w:r>
        <w:rPr>
          <w:color w:val="auto"/>
        </w:rPr>
        <w:t>1、与</w:t>
      </w:r>
      <w:r>
        <w:rPr>
          <w:rFonts w:hint="eastAsia"/>
          <w:color w:val="auto"/>
        </w:rPr>
        <w:t>《关于做好生态环境和应急管理部门联动工作的意见》（</w:t>
      </w:r>
      <w:bookmarkStart w:id="37" w:name="_Hlk162596600"/>
      <w:r>
        <w:rPr>
          <w:rFonts w:hint="eastAsia"/>
          <w:color w:val="auto"/>
        </w:rPr>
        <w:t>苏环办[2020]101号</w:t>
      </w:r>
      <w:bookmarkEnd w:id="37"/>
      <w:r>
        <w:rPr>
          <w:rFonts w:hint="eastAsia"/>
          <w:color w:val="auto"/>
        </w:rPr>
        <w:t>）</w:t>
      </w:r>
      <w:r>
        <w:rPr>
          <w:color w:val="auto"/>
        </w:rPr>
        <w:t>的相符性分析</w:t>
      </w:r>
    </w:p>
    <w:p w14:paraId="27A7BFD0">
      <w:pPr>
        <w:rPr>
          <w:color w:val="auto"/>
        </w:rPr>
      </w:pPr>
      <w:r>
        <w:rPr>
          <w:color w:val="auto"/>
        </w:rPr>
        <w:t>对照</w:t>
      </w:r>
      <w:r>
        <w:rPr>
          <w:rFonts w:hint="eastAsia"/>
          <w:color w:val="auto"/>
        </w:rPr>
        <w:t>苏环办[2020]101号要求：</w:t>
      </w:r>
    </w:p>
    <w:p w14:paraId="69764974">
      <w:pPr>
        <w:rPr>
          <w:color w:val="auto"/>
        </w:rPr>
      </w:pPr>
      <w:r>
        <w:rPr>
          <w:rFonts w:hint="eastAsia"/>
          <w:color w:val="auto"/>
        </w:rPr>
        <w:t>二、建立危险废物监管联动机制</w:t>
      </w:r>
    </w:p>
    <w:p w14:paraId="79ECDE80">
      <w:pPr>
        <w:rPr>
          <w:color w:val="auto"/>
        </w:rPr>
      </w:pPr>
      <w:r>
        <w:rPr>
          <w:rFonts w:hint="eastAsia"/>
          <w:color w:val="auto"/>
        </w:rPr>
        <w:t>企业要切实履行好从危险废物产生、收集、贮存、运输、利用、处置等环节各项环保和安全职责；要制定危险废物管理计划并报属地生态环境部门备案。申请备案时，对废弃危险化学品、物理危险性尚不确定、根据相关文件无法认定达到稳定化要求的，要提供有资质单位出具的化学品物理危险性报告及其他证明材料，认定达到稳定化要求。……收到企业废弃危险化学品等危险废物管理计划后，对符合备案要求的，纳入危险废物管理。生态环境部门要将危险废物管理计划备案情况及时通报应急管理部门。</w:t>
      </w:r>
    </w:p>
    <w:p w14:paraId="0F20BBE8">
      <w:pPr>
        <w:rPr>
          <w:color w:val="auto"/>
        </w:rPr>
      </w:pPr>
      <w:r>
        <w:rPr>
          <w:rFonts w:hint="eastAsia"/>
          <w:color w:val="auto"/>
        </w:rPr>
        <w:t>应急管理部门要督促企业加强安全生产工作，加强危险化学品企业中间产品、最终产品以及拟废弃危险化学品的安全管理。</w:t>
      </w:r>
    </w:p>
    <w:p w14:paraId="75D559DE">
      <w:pPr>
        <w:rPr>
          <w:color w:val="auto"/>
        </w:rPr>
      </w:pPr>
      <w:r>
        <w:rPr>
          <w:rFonts w:hint="eastAsia"/>
          <w:color w:val="auto"/>
        </w:rPr>
        <w:t>三、建立环境治理设施监管联动机制</w:t>
      </w:r>
    </w:p>
    <w:p w14:paraId="14E58865">
      <w:pPr>
        <w:rPr>
          <w:color w:val="auto"/>
        </w:rPr>
      </w:pPr>
      <w:r>
        <w:rPr>
          <w:rFonts w:hint="eastAsia"/>
          <w:color w:val="auto"/>
        </w:rPr>
        <w:t>企业是各类环境治理设施建设、运行、维护、拆除的责任主体。企业要对污水处理等环境治理设施开展安全风险辨识管控、要健全内部污染防治设施稳定运行和管理责任制度，严格依据标准规范建设环境治理设施，确保环境治理设施安全、稳定、有效运行。</w:t>
      </w:r>
    </w:p>
    <w:p w14:paraId="44AE5026">
      <w:pPr>
        <w:rPr>
          <w:color w:val="auto"/>
        </w:rPr>
      </w:pPr>
      <w:r>
        <w:rPr>
          <w:rFonts w:hint="eastAsia"/>
          <w:color w:val="auto"/>
        </w:rPr>
        <w:t>生态环境部门在上述六类环境治理设施的环评审批过程中，要督促企业开展安全风险辨识，并将已审批的环境治理设施项目及时通报应急管理部门。生态环境部门在日常环境监管中，将发现的安全隐患线索及时移送应急管理部门。</w:t>
      </w:r>
    </w:p>
    <w:p w14:paraId="6E45AA41">
      <w:pPr>
        <w:rPr>
          <w:color w:val="auto"/>
        </w:rPr>
      </w:pPr>
      <w:r>
        <w:rPr>
          <w:rFonts w:hint="eastAsia"/>
          <w:color w:val="auto"/>
        </w:rPr>
        <w:t>应急管理部门应当将上述六类环境治理设施纳入安全监管范围，推进企业安全生产标准化体系建设。对生态环境部门发现移送的安全隐患线索进行核查，督促企业进行整改，消除安全隐患。</w:t>
      </w:r>
    </w:p>
    <w:p w14:paraId="01A16166">
      <w:pPr>
        <w:rPr>
          <w:rFonts w:hint="eastAsia"/>
          <w:color w:val="auto"/>
        </w:rPr>
      </w:pPr>
      <w:r>
        <w:rPr>
          <w:rStyle w:val="47"/>
          <w:rFonts w:hint="eastAsia"/>
          <w:color w:val="auto"/>
        </w:rPr>
        <w:t>相符性分析：</w:t>
      </w:r>
      <w:r>
        <w:rPr>
          <w:rFonts w:hint="eastAsia"/>
          <w:color w:val="auto"/>
        </w:rPr>
        <w:t>企业已按要求做好危险废物的收集、贮存、运输及处置工作，按照要求制定危险废物管理计划并报属地生态环境部门备案，对易燃爆的有机废液稳定化贮存，同时加强废弃危险化学品的安全管理。另外，本项目依托现有的污防措施，企业已针对环境治理设施开展安全风险辨识及管控，委托第三方开展安全评价。综上，本项目与苏环办〔2020〕101号文要求相符。</w:t>
      </w:r>
    </w:p>
    <w:p w14:paraId="159ED55F">
      <w:pPr>
        <w:pStyle w:val="46"/>
        <w:bidi w:val="0"/>
        <w:rPr>
          <w:rFonts w:hint="eastAsia" w:ascii="Times New Roman" w:hAnsi="Times New Roman" w:cs="Times New Roman"/>
          <w:color w:val="auto"/>
        </w:rPr>
      </w:pPr>
      <w:r>
        <w:rPr>
          <w:rFonts w:hint="eastAsia" w:ascii="Times New Roman" w:hAnsi="Times New Roman" w:cs="Times New Roman"/>
          <w:color w:val="auto"/>
          <w:lang w:val="en-US" w:eastAsia="zh-CN"/>
        </w:rPr>
        <w:t>2、与《</w:t>
      </w:r>
      <w:r>
        <w:rPr>
          <w:rFonts w:hint="eastAsia" w:ascii="Times New Roman" w:hAnsi="Times New Roman" w:cs="Times New Roman"/>
          <w:color w:val="auto"/>
        </w:rPr>
        <w:t>江苏省重点行业工业企业雨水排放环境管理办法（试行）》（苏污防攻坚指办〔2023〕71号）的相符性分析</w:t>
      </w:r>
    </w:p>
    <w:p w14:paraId="0EB23E37">
      <w:pPr>
        <w:bidi w:val="0"/>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Style w:val="24"/>
          <w:color w:val="auto"/>
        </w:rPr>
        <w:t>表</w:t>
      </w:r>
      <w:r>
        <w:rPr>
          <w:rStyle w:val="24"/>
          <w:color w:val="auto"/>
        </w:rPr>
        <w:fldChar w:fldCharType="begin"/>
      </w:r>
      <w:r>
        <w:rPr>
          <w:rStyle w:val="24"/>
          <w:color w:val="auto"/>
        </w:rPr>
        <w:instrText xml:space="preserve"> STYLEREF 2 \s </w:instrText>
      </w:r>
      <w:r>
        <w:rPr>
          <w:rStyle w:val="24"/>
          <w:color w:val="auto"/>
        </w:rPr>
        <w:fldChar w:fldCharType="separate"/>
      </w:r>
      <w:r>
        <w:rPr>
          <w:rStyle w:val="24"/>
          <w:color w:val="auto"/>
        </w:rPr>
        <w:t>1.4</w:t>
      </w:r>
      <w:r>
        <w:rPr>
          <w:rStyle w:val="24"/>
          <w:color w:val="auto"/>
        </w:rPr>
        <w:fldChar w:fldCharType="end"/>
      </w:r>
      <w:r>
        <w:rPr>
          <w:rStyle w:val="24"/>
          <w:color w:val="auto"/>
        </w:rPr>
        <w:noBreakHyphen/>
      </w:r>
      <w:r>
        <w:rPr>
          <w:rStyle w:val="24"/>
          <w:color w:val="auto"/>
        </w:rPr>
        <w:fldChar w:fldCharType="begin"/>
      </w:r>
      <w:r>
        <w:rPr>
          <w:rStyle w:val="24"/>
          <w:color w:val="auto"/>
        </w:rPr>
        <w:instrText xml:space="preserve"> SEQ 表 \* ARABIC \s 2 </w:instrText>
      </w:r>
      <w:r>
        <w:rPr>
          <w:rStyle w:val="24"/>
          <w:color w:val="auto"/>
        </w:rPr>
        <w:fldChar w:fldCharType="separate"/>
      </w:r>
      <w:r>
        <w:rPr>
          <w:rStyle w:val="24"/>
          <w:color w:val="auto"/>
        </w:rPr>
        <w:t>13</w:t>
      </w:r>
      <w:r>
        <w:rPr>
          <w:rStyle w:val="24"/>
          <w:color w:val="auto"/>
        </w:rPr>
        <w:fldChar w:fldCharType="end"/>
      </w:r>
      <w:r>
        <w:rPr>
          <w:rFonts w:hint="eastAsia" w:ascii="Times New Roman" w:hAnsi="Times New Roman" w:eastAsia="仿宋_GB2312" w:cstheme="minorBidi"/>
          <w:b/>
          <w:color w:val="auto"/>
          <w:kern w:val="2"/>
          <w:sz w:val="24"/>
          <w:szCs w:val="22"/>
          <w:lang w:val="en-US" w:eastAsia="zh-CN" w:bidi="ar-SA"/>
        </w:rPr>
        <w:t>与苏污防攻坚指办〔2023〕71号相符性分析</w:t>
      </w:r>
    </w:p>
    <w:tbl>
      <w:tblPr>
        <w:tblStyle w:val="21"/>
        <w:tblW w:w="50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5"/>
        <w:gridCol w:w="3998"/>
        <w:gridCol w:w="3049"/>
        <w:gridCol w:w="741"/>
      </w:tblGrid>
      <w:tr w14:paraId="63F4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583F5B5C">
            <w:pPr>
              <w:pStyle w:val="36"/>
              <w:bidi w:val="0"/>
              <w:jc w:val="center"/>
              <w:rPr>
                <w:lang w:val="en-US" w:eastAsia="zh-CN"/>
              </w:rPr>
            </w:pPr>
            <w:r>
              <w:rPr>
                <w:lang w:val="en-US" w:eastAsia="zh-CN"/>
              </w:rPr>
              <w:t>序号</w:t>
            </w:r>
          </w:p>
        </w:tc>
        <w:tc>
          <w:tcPr>
            <w:tcW w:w="2390" w:type="pct"/>
            <w:tcMar>
              <w:left w:w="0" w:type="dxa"/>
              <w:right w:w="0" w:type="dxa"/>
            </w:tcMar>
            <w:vAlign w:val="center"/>
          </w:tcPr>
          <w:p w14:paraId="7D049AF7">
            <w:pPr>
              <w:pStyle w:val="36"/>
              <w:bidi w:val="0"/>
              <w:jc w:val="center"/>
              <w:rPr>
                <w:lang w:val="en-US" w:eastAsia="zh-CN"/>
              </w:rPr>
            </w:pPr>
            <w:r>
              <w:rPr>
                <w:lang w:val="en-US" w:eastAsia="zh-CN"/>
              </w:rPr>
              <w:t>文件规定要求</w:t>
            </w:r>
          </w:p>
        </w:tc>
        <w:tc>
          <w:tcPr>
            <w:tcW w:w="1823" w:type="pct"/>
            <w:tcMar>
              <w:left w:w="0" w:type="dxa"/>
              <w:right w:w="0" w:type="dxa"/>
            </w:tcMar>
            <w:vAlign w:val="center"/>
          </w:tcPr>
          <w:p w14:paraId="3F17F7F7">
            <w:pPr>
              <w:pStyle w:val="36"/>
              <w:bidi w:val="0"/>
              <w:jc w:val="center"/>
              <w:rPr>
                <w:lang w:val="en-US" w:eastAsia="zh-CN"/>
              </w:rPr>
            </w:pPr>
            <w:r>
              <w:rPr>
                <w:lang w:val="en-US" w:eastAsia="zh-CN"/>
              </w:rPr>
              <w:t>本项目情况</w:t>
            </w:r>
          </w:p>
        </w:tc>
        <w:tc>
          <w:tcPr>
            <w:tcW w:w="441" w:type="pct"/>
            <w:tcMar>
              <w:left w:w="0" w:type="dxa"/>
              <w:right w:w="0" w:type="dxa"/>
            </w:tcMar>
            <w:vAlign w:val="center"/>
          </w:tcPr>
          <w:p w14:paraId="37F67A1E">
            <w:pPr>
              <w:pStyle w:val="36"/>
              <w:bidi w:val="0"/>
              <w:jc w:val="center"/>
              <w:rPr>
                <w:lang w:val="en-US" w:eastAsia="zh-CN"/>
              </w:rPr>
            </w:pPr>
            <w:r>
              <w:rPr>
                <w:lang w:val="en-US" w:eastAsia="zh-CN"/>
              </w:rPr>
              <w:t>相符性</w:t>
            </w:r>
          </w:p>
        </w:tc>
      </w:tr>
      <w:tr w14:paraId="433C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4"/>
            <w:tcMar>
              <w:left w:w="0" w:type="dxa"/>
              <w:right w:w="0" w:type="dxa"/>
            </w:tcMar>
            <w:vAlign w:val="center"/>
          </w:tcPr>
          <w:p w14:paraId="61E97D9B">
            <w:pPr>
              <w:pStyle w:val="36"/>
              <w:bidi w:val="0"/>
              <w:jc w:val="center"/>
              <w:rPr>
                <w:rFonts w:hint="default"/>
                <w:lang w:val="en-US" w:eastAsia="zh-CN"/>
              </w:rPr>
            </w:pPr>
            <w:r>
              <w:rPr>
                <w:rFonts w:hint="eastAsia"/>
                <w:lang w:val="en-US" w:eastAsia="zh-CN"/>
              </w:rPr>
              <w:t>总则</w:t>
            </w:r>
          </w:p>
        </w:tc>
      </w:tr>
      <w:tr w14:paraId="1007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7E0B4D1F">
            <w:pPr>
              <w:pStyle w:val="26"/>
              <w:bidi w:val="0"/>
              <w:jc w:val="center"/>
              <w:rPr>
                <w:rFonts w:hint="eastAsia"/>
                <w:lang w:val="en-US" w:eastAsia="zh-CN"/>
              </w:rPr>
            </w:pPr>
            <w:r>
              <w:rPr>
                <w:rFonts w:hint="eastAsia"/>
                <w:lang w:val="en-US" w:eastAsia="zh-CN"/>
              </w:rPr>
              <w:t>1</w:t>
            </w:r>
          </w:p>
        </w:tc>
        <w:tc>
          <w:tcPr>
            <w:tcW w:w="2390" w:type="pct"/>
            <w:tcMar>
              <w:left w:w="0" w:type="dxa"/>
              <w:right w:w="0" w:type="dxa"/>
            </w:tcMar>
            <w:vAlign w:val="center"/>
          </w:tcPr>
          <w:p w14:paraId="496E9C1B">
            <w:pPr>
              <w:pStyle w:val="26"/>
              <w:bidi w:val="0"/>
              <w:jc w:val="center"/>
              <w:rPr>
                <w:rFonts w:hint="eastAsia"/>
                <w:lang w:val="en-US" w:eastAsia="zh-CN"/>
              </w:rPr>
            </w:pPr>
            <w:r>
              <w:rPr>
                <w:rFonts w:hint="eastAsia"/>
                <w:lang w:val="en-US" w:eastAsia="zh-CN"/>
              </w:rPr>
              <w:t>工业企业应结合环境风险评估，制定雨水管理制度，规范雨水排放行为，绘制管网分布图，标明雨水管网、附属设施（收集池、检查井、提升泵等），以及排放口位置和水流流向，并标明厂区污染区域。</w:t>
            </w:r>
          </w:p>
        </w:tc>
        <w:tc>
          <w:tcPr>
            <w:tcW w:w="1823" w:type="pct"/>
            <w:tcMar>
              <w:left w:w="0" w:type="dxa"/>
              <w:right w:w="0" w:type="dxa"/>
            </w:tcMar>
            <w:vAlign w:val="center"/>
          </w:tcPr>
          <w:p w14:paraId="46F30780">
            <w:pPr>
              <w:pStyle w:val="26"/>
              <w:bidi w:val="0"/>
              <w:jc w:val="center"/>
              <w:rPr>
                <w:rFonts w:hint="eastAsia"/>
                <w:lang w:val="en-US" w:eastAsia="zh-CN"/>
              </w:rPr>
            </w:pPr>
            <w:r>
              <w:rPr>
                <w:rFonts w:hint="eastAsia"/>
                <w:lang w:val="en-US" w:eastAsia="zh-CN"/>
              </w:rPr>
              <w:t>已根据要求制定雨水管理制</w:t>
            </w:r>
          </w:p>
          <w:p w14:paraId="19F4D84A">
            <w:pPr>
              <w:pStyle w:val="26"/>
              <w:bidi w:val="0"/>
              <w:jc w:val="center"/>
              <w:rPr>
                <w:rFonts w:hint="eastAsia"/>
                <w:lang w:val="en-US" w:eastAsia="zh-CN"/>
              </w:rPr>
            </w:pPr>
            <w:r>
              <w:rPr>
                <w:rFonts w:hint="eastAsia"/>
                <w:lang w:val="en-US" w:eastAsia="zh-CN"/>
              </w:rPr>
              <w:t>度，规范雨水排放行为，绘制</w:t>
            </w:r>
          </w:p>
          <w:p w14:paraId="32BD60B6">
            <w:pPr>
              <w:pStyle w:val="26"/>
              <w:bidi w:val="0"/>
              <w:jc w:val="center"/>
              <w:rPr>
                <w:rFonts w:hint="eastAsia"/>
                <w:lang w:val="en-US" w:eastAsia="zh-CN"/>
              </w:rPr>
            </w:pPr>
            <w:r>
              <w:rPr>
                <w:rFonts w:hint="eastAsia"/>
                <w:lang w:val="en-US" w:eastAsia="zh-CN"/>
              </w:rPr>
              <w:t>管网图。</w:t>
            </w:r>
          </w:p>
        </w:tc>
        <w:tc>
          <w:tcPr>
            <w:tcW w:w="741" w:type="dxa"/>
            <w:tcMar>
              <w:left w:w="0" w:type="dxa"/>
              <w:right w:w="0" w:type="dxa"/>
            </w:tcMar>
            <w:vAlign w:val="center"/>
          </w:tcPr>
          <w:p w14:paraId="69AA08A1">
            <w:pPr>
              <w:pStyle w:val="26"/>
              <w:bidi w:val="0"/>
              <w:jc w:val="center"/>
              <w:rPr>
                <w:rFonts w:hint="eastAsia"/>
                <w:lang w:val="en-US" w:eastAsia="zh-CN"/>
              </w:rPr>
            </w:pPr>
            <w:r>
              <w:rPr>
                <w:rFonts w:hint="eastAsia"/>
                <w:lang w:val="en-US" w:eastAsia="zh-CN"/>
              </w:rPr>
              <w:t>符合</w:t>
            </w:r>
          </w:p>
        </w:tc>
      </w:tr>
      <w:tr w14:paraId="7FB9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045FCC2D">
            <w:pPr>
              <w:pStyle w:val="26"/>
              <w:bidi w:val="0"/>
              <w:jc w:val="center"/>
              <w:rPr>
                <w:rFonts w:hint="default"/>
                <w:lang w:val="en-US" w:eastAsia="zh-CN"/>
              </w:rPr>
            </w:pPr>
            <w:r>
              <w:rPr>
                <w:rFonts w:hint="eastAsia"/>
                <w:lang w:val="en-US" w:eastAsia="zh-CN"/>
              </w:rPr>
              <w:t>2</w:t>
            </w:r>
          </w:p>
        </w:tc>
        <w:tc>
          <w:tcPr>
            <w:tcW w:w="2390" w:type="pct"/>
            <w:tcMar>
              <w:left w:w="0" w:type="dxa"/>
              <w:right w:w="0" w:type="dxa"/>
            </w:tcMar>
            <w:vAlign w:val="center"/>
          </w:tcPr>
          <w:p w14:paraId="23E0EBA2">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工业企业应根据厂区地形、平面布置、污染区域及环境管理要求等开展雨水分区收集，建设独立雨水收集系统，实现雨水收集系统全覆盖。实施雨污分流、清污分流，严禁将生产废水和生活污水接入雨水收集系统，或出现溢流、渗漏进入雨水收集管网的现象。</w:t>
            </w:r>
          </w:p>
        </w:tc>
        <w:tc>
          <w:tcPr>
            <w:tcW w:w="1823" w:type="pct"/>
            <w:tcMar>
              <w:left w:w="0" w:type="dxa"/>
              <w:right w:w="0" w:type="dxa"/>
            </w:tcMar>
            <w:vAlign w:val="center"/>
          </w:tcPr>
          <w:p w14:paraId="24826E5E">
            <w:pPr>
              <w:pStyle w:val="26"/>
              <w:bidi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按要求建立独立雨水收集系统，实现全覆盖。</w:t>
            </w:r>
          </w:p>
        </w:tc>
        <w:tc>
          <w:tcPr>
            <w:tcW w:w="741" w:type="dxa"/>
            <w:tcMar>
              <w:left w:w="0" w:type="dxa"/>
              <w:right w:w="0" w:type="dxa"/>
            </w:tcMar>
            <w:vAlign w:val="center"/>
          </w:tcPr>
          <w:p w14:paraId="642E6760">
            <w:pPr>
              <w:pStyle w:val="26"/>
              <w:bidi w:val="0"/>
              <w:jc w:val="center"/>
              <w:rPr>
                <w:lang w:val="en-US" w:eastAsia="zh-CN"/>
              </w:rPr>
            </w:pPr>
            <w:r>
              <w:rPr>
                <w:rFonts w:hint="eastAsia"/>
                <w:lang w:val="en-US" w:eastAsia="zh-CN"/>
              </w:rPr>
              <w:t>符合</w:t>
            </w:r>
          </w:p>
        </w:tc>
      </w:tr>
      <w:tr w14:paraId="4C17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48F582E0">
            <w:pPr>
              <w:pStyle w:val="26"/>
              <w:bidi w:val="0"/>
              <w:jc w:val="center"/>
              <w:rPr>
                <w:rFonts w:hint="default"/>
                <w:lang w:val="en-US" w:eastAsia="zh-CN"/>
              </w:rPr>
            </w:pPr>
            <w:r>
              <w:rPr>
                <w:rFonts w:hint="eastAsia"/>
                <w:lang w:val="en-US" w:eastAsia="zh-CN"/>
              </w:rPr>
              <w:t>3</w:t>
            </w:r>
          </w:p>
        </w:tc>
        <w:tc>
          <w:tcPr>
            <w:tcW w:w="2390" w:type="pct"/>
            <w:tcMar>
              <w:left w:w="0" w:type="dxa"/>
              <w:right w:w="0" w:type="dxa"/>
            </w:tcMar>
            <w:vAlign w:val="center"/>
          </w:tcPr>
          <w:p w14:paraId="3244FF77">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工业企业污染区域的初期雨水收集管网及附属设施宜采用明沟或暗涵（盖板镂空）收集输送，并根据污染状况做好防渗、防腐措施，设计建设应符合《室外排水设计标准》等相关规范和标准要求。</w:t>
            </w:r>
          </w:p>
        </w:tc>
        <w:tc>
          <w:tcPr>
            <w:tcW w:w="1823" w:type="pct"/>
            <w:tcMar>
              <w:left w:w="0" w:type="dxa"/>
              <w:right w:w="0" w:type="dxa"/>
            </w:tcMar>
            <w:vAlign w:val="center"/>
          </w:tcPr>
          <w:p w14:paraId="21E268D0">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已按相关要求设置初期雨水收</w:t>
            </w:r>
          </w:p>
          <w:p w14:paraId="0F6658E7">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集管网。</w:t>
            </w:r>
          </w:p>
        </w:tc>
        <w:tc>
          <w:tcPr>
            <w:tcW w:w="741" w:type="dxa"/>
            <w:tcMar>
              <w:left w:w="0" w:type="dxa"/>
              <w:right w:w="0" w:type="dxa"/>
            </w:tcMar>
            <w:vAlign w:val="center"/>
          </w:tcPr>
          <w:p w14:paraId="395F44A4">
            <w:pPr>
              <w:pStyle w:val="26"/>
              <w:bidi w:val="0"/>
              <w:jc w:val="center"/>
              <w:rPr>
                <w:rFonts w:hint="eastAsia"/>
                <w:lang w:val="en-US" w:eastAsia="zh-CN"/>
              </w:rPr>
            </w:pPr>
            <w:r>
              <w:rPr>
                <w:rFonts w:hint="eastAsia"/>
                <w:lang w:val="en-US" w:eastAsia="zh-CN"/>
              </w:rPr>
              <w:t>符合</w:t>
            </w:r>
          </w:p>
        </w:tc>
      </w:tr>
      <w:tr w14:paraId="395E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28C6FBF7">
            <w:pPr>
              <w:pStyle w:val="26"/>
              <w:bidi w:val="0"/>
              <w:jc w:val="center"/>
              <w:rPr>
                <w:rFonts w:hint="default"/>
                <w:lang w:val="en-US" w:eastAsia="zh-CN"/>
              </w:rPr>
            </w:pPr>
            <w:r>
              <w:rPr>
                <w:rFonts w:hint="eastAsia"/>
                <w:lang w:val="en-US" w:eastAsia="zh-CN"/>
              </w:rPr>
              <w:t>4</w:t>
            </w:r>
          </w:p>
        </w:tc>
        <w:tc>
          <w:tcPr>
            <w:tcW w:w="2390" w:type="pct"/>
            <w:tcMar>
              <w:left w:w="0" w:type="dxa"/>
              <w:right w:w="0" w:type="dxa"/>
            </w:tcMar>
            <w:vAlign w:val="center"/>
          </w:tcPr>
          <w:p w14:paraId="38329E19">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工业企业雨水收集管道及附属设施内原则上不得敷设存在环境风险的管线。</w:t>
            </w:r>
          </w:p>
        </w:tc>
        <w:tc>
          <w:tcPr>
            <w:tcW w:w="1823" w:type="pct"/>
            <w:tcMar>
              <w:left w:w="0" w:type="dxa"/>
              <w:right w:w="0" w:type="dxa"/>
            </w:tcMar>
            <w:vAlign w:val="center"/>
          </w:tcPr>
          <w:p w14:paraId="0835062B">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未铺设存在环境风险的管线。</w:t>
            </w:r>
          </w:p>
        </w:tc>
        <w:tc>
          <w:tcPr>
            <w:tcW w:w="741" w:type="dxa"/>
            <w:tcMar>
              <w:left w:w="0" w:type="dxa"/>
              <w:right w:w="0" w:type="dxa"/>
            </w:tcMar>
            <w:vAlign w:val="center"/>
          </w:tcPr>
          <w:p w14:paraId="26083A4C">
            <w:pPr>
              <w:pStyle w:val="26"/>
              <w:bidi w:val="0"/>
              <w:jc w:val="center"/>
              <w:rPr>
                <w:rFonts w:hint="eastAsia"/>
                <w:lang w:val="en-US" w:eastAsia="zh-CN"/>
              </w:rPr>
            </w:pPr>
            <w:r>
              <w:rPr>
                <w:rFonts w:hint="eastAsia"/>
                <w:lang w:val="en-US" w:eastAsia="zh-CN"/>
              </w:rPr>
              <w:t>符合</w:t>
            </w:r>
          </w:p>
        </w:tc>
      </w:tr>
      <w:tr w14:paraId="334D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4"/>
            <w:tcMar>
              <w:left w:w="0" w:type="dxa"/>
              <w:right w:w="0" w:type="dxa"/>
            </w:tcMar>
            <w:vAlign w:val="center"/>
          </w:tcPr>
          <w:p w14:paraId="52517FF3">
            <w:pPr>
              <w:pStyle w:val="36"/>
              <w:bidi w:val="0"/>
              <w:jc w:val="center"/>
              <w:rPr>
                <w:rFonts w:hint="eastAsia"/>
                <w:lang w:val="en-US" w:eastAsia="zh-CN"/>
              </w:rPr>
            </w:pPr>
            <w:r>
              <w:rPr>
                <w:rFonts w:hint="eastAsia"/>
                <w:lang w:val="en-US" w:eastAsia="zh-CN"/>
              </w:rPr>
              <w:t>初期雨水收集与管理</w:t>
            </w:r>
          </w:p>
        </w:tc>
      </w:tr>
      <w:tr w14:paraId="3A94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0326746F">
            <w:pPr>
              <w:pStyle w:val="26"/>
              <w:bidi w:val="0"/>
              <w:jc w:val="center"/>
              <w:rPr>
                <w:rFonts w:hint="default"/>
                <w:lang w:val="en-US" w:eastAsia="zh-CN"/>
              </w:rPr>
            </w:pPr>
            <w:r>
              <w:rPr>
                <w:rFonts w:hint="eastAsia"/>
                <w:lang w:val="en-US" w:eastAsia="zh-CN"/>
              </w:rPr>
              <w:t>5</w:t>
            </w:r>
          </w:p>
        </w:tc>
        <w:tc>
          <w:tcPr>
            <w:tcW w:w="2390" w:type="pct"/>
            <w:tcMar>
              <w:left w:w="0" w:type="dxa"/>
              <w:right w:w="0" w:type="dxa"/>
            </w:tcMar>
            <w:vAlign w:val="center"/>
          </w:tcPr>
          <w:p w14:paraId="3252B1E4">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初期雨水收集系统收集区域覆盖污染区域，包括导流沟、初期雨水截留装置、初期雨水收集池等。</w:t>
            </w:r>
          </w:p>
        </w:tc>
        <w:tc>
          <w:tcPr>
            <w:tcW w:w="1823" w:type="pct"/>
            <w:tcMar>
              <w:left w:w="0" w:type="dxa"/>
              <w:right w:w="0" w:type="dxa"/>
            </w:tcMar>
            <w:vAlign w:val="center"/>
          </w:tcPr>
          <w:p w14:paraId="1377CDFE">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企业收集系统收集区域覆盖污</w:t>
            </w:r>
          </w:p>
          <w:p w14:paraId="252A8E29">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染区域。</w:t>
            </w:r>
          </w:p>
        </w:tc>
        <w:tc>
          <w:tcPr>
            <w:tcW w:w="741" w:type="dxa"/>
            <w:tcMar>
              <w:left w:w="0" w:type="dxa"/>
              <w:right w:w="0" w:type="dxa"/>
            </w:tcMar>
            <w:vAlign w:val="center"/>
          </w:tcPr>
          <w:p w14:paraId="25C597F6">
            <w:pPr>
              <w:pStyle w:val="26"/>
              <w:bidi w:val="0"/>
              <w:jc w:val="center"/>
              <w:rPr>
                <w:rFonts w:hint="eastAsia"/>
                <w:lang w:val="en-US" w:eastAsia="zh-CN"/>
              </w:rPr>
            </w:pPr>
            <w:r>
              <w:rPr>
                <w:rFonts w:hint="eastAsia"/>
                <w:lang w:val="en-US" w:eastAsia="zh-CN"/>
              </w:rPr>
              <w:t>符合</w:t>
            </w:r>
          </w:p>
        </w:tc>
      </w:tr>
      <w:tr w14:paraId="4D88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4ECAE2C1">
            <w:pPr>
              <w:pStyle w:val="26"/>
              <w:bidi w:val="0"/>
              <w:jc w:val="center"/>
              <w:rPr>
                <w:rFonts w:hint="default"/>
                <w:lang w:val="en-US" w:eastAsia="zh-CN"/>
              </w:rPr>
            </w:pPr>
            <w:r>
              <w:rPr>
                <w:rFonts w:hint="eastAsia"/>
                <w:lang w:val="en-US" w:eastAsia="zh-CN"/>
              </w:rPr>
              <w:t>6</w:t>
            </w:r>
          </w:p>
        </w:tc>
        <w:tc>
          <w:tcPr>
            <w:tcW w:w="2390" w:type="pct"/>
            <w:tcMar>
              <w:left w:w="0" w:type="dxa"/>
              <w:right w:w="0" w:type="dxa"/>
            </w:tcMar>
            <w:vAlign w:val="center"/>
          </w:tcPr>
          <w:p w14:paraId="220F6655">
            <w:pPr>
              <w:pStyle w:val="26"/>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t>初期雨水收集池容积，需满足一次降雨初期雨水的收集。一般情况下，池内容积可按照污染区域面积与一次降雨初期15-30分钟的降雨深度的乘积设计，其中降雨深度一般按10-30毫米设定。</w:t>
            </w:r>
          </w:p>
        </w:tc>
        <w:tc>
          <w:tcPr>
            <w:tcW w:w="1823" w:type="pct"/>
            <w:tcMar>
              <w:left w:w="0" w:type="dxa"/>
              <w:right w:w="0" w:type="dxa"/>
            </w:tcMar>
            <w:vAlign w:val="center"/>
          </w:tcPr>
          <w:p w14:paraId="11EBB821">
            <w:pPr>
              <w:pStyle w:val="26"/>
              <w:bidi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根据计算，企业设置的初期雨水收集池（80m</w:t>
            </w:r>
            <w:r>
              <w:rPr>
                <w:rFonts w:hint="eastAsia" w:ascii="Times New Roman" w:hAnsi="Times New Roman" w:cs="Times New Roman"/>
                <w:vertAlign w:val="superscript"/>
                <w:lang w:val="en-US" w:eastAsia="zh-CN"/>
              </w:rPr>
              <w:t>3</w:t>
            </w:r>
            <w:r>
              <w:rPr>
                <w:rFonts w:hint="eastAsia" w:ascii="Times New Roman" w:hAnsi="Times New Roman" w:cs="Times New Roman"/>
                <w:lang w:val="en-US" w:eastAsia="zh-CN"/>
              </w:rPr>
              <w:t>）可满足一次降雨15分钟的雨水量（48.6t）。初期雨水收集后进入厂内废水处理站处理后，不外排。</w:t>
            </w:r>
          </w:p>
        </w:tc>
        <w:tc>
          <w:tcPr>
            <w:tcW w:w="741" w:type="dxa"/>
            <w:tcMar>
              <w:left w:w="0" w:type="dxa"/>
              <w:right w:w="0" w:type="dxa"/>
            </w:tcMar>
            <w:vAlign w:val="center"/>
          </w:tcPr>
          <w:p w14:paraId="69557DF4">
            <w:pPr>
              <w:pStyle w:val="26"/>
              <w:bidi w:val="0"/>
              <w:jc w:val="center"/>
              <w:rPr>
                <w:lang w:val="en-US" w:eastAsia="zh-CN"/>
              </w:rPr>
            </w:pPr>
            <w:r>
              <w:rPr>
                <w:rFonts w:hint="eastAsia"/>
                <w:lang w:val="en-US" w:eastAsia="zh-CN"/>
              </w:rPr>
              <w:t>符合</w:t>
            </w:r>
          </w:p>
        </w:tc>
      </w:tr>
      <w:tr w14:paraId="1EF4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757C9A35">
            <w:pPr>
              <w:pStyle w:val="26"/>
              <w:bidi w:val="0"/>
              <w:jc w:val="center"/>
              <w:rPr>
                <w:rFonts w:hint="default"/>
                <w:lang w:val="en-US" w:eastAsia="zh-CN"/>
              </w:rPr>
            </w:pPr>
            <w:r>
              <w:rPr>
                <w:rFonts w:hint="eastAsia"/>
                <w:lang w:val="en-US" w:eastAsia="zh-CN"/>
              </w:rPr>
              <w:t>7</w:t>
            </w:r>
          </w:p>
        </w:tc>
        <w:tc>
          <w:tcPr>
            <w:tcW w:w="2390" w:type="pct"/>
            <w:tcMar>
              <w:left w:w="0" w:type="dxa"/>
              <w:right w:w="0" w:type="dxa"/>
            </w:tcMar>
            <w:vAlign w:val="center"/>
          </w:tcPr>
          <w:p w14:paraId="2C3C9808">
            <w:pPr>
              <w:pStyle w:val="26"/>
              <w:bidi w:val="0"/>
              <w:jc w:val="center"/>
              <w:rPr>
                <w:rFonts w:hint="eastAsia"/>
                <w:lang w:val="en-US" w:eastAsia="zh-CN"/>
              </w:rPr>
            </w:pPr>
            <w:r>
              <w:rPr>
                <w:rFonts w:hint="eastAsia"/>
                <w:lang w:val="en-US" w:eastAsia="zh-CN"/>
              </w:rPr>
              <w:t>雨水收集池同时兼顾事故应急池的作用时，池内容积应同时具备事故状况下的收集功能，满足事故应急预案中的相关要求。事故应急池内应增加液位计，实时监控池内液位，初期雨水收集进入应急池后能迅速通过提升泵转至污水处理系统，确保应急池保持常空状态；同时应设置手动阀作为备用，确保在突发暴雨同时发生事故等极端情况下，即使断电也能采取手动方式实现应急池阀门和雨排阀的有效切换。</w:t>
            </w:r>
          </w:p>
        </w:tc>
        <w:tc>
          <w:tcPr>
            <w:tcW w:w="1823" w:type="pct"/>
            <w:tcMar>
              <w:left w:w="0" w:type="dxa"/>
              <w:right w:w="0" w:type="dxa"/>
            </w:tcMar>
            <w:vAlign w:val="center"/>
          </w:tcPr>
          <w:p w14:paraId="7789EE68">
            <w:pPr>
              <w:pStyle w:val="26"/>
              <w:bidi w:val="0"/>
              <w:jc w:val="center"/>
              <w:rPr>
                <w:rFonts w:hint="eastAsia"/>
                <w:lang w:val="en-US" w:eastAsia="zh-CN"/>
              </w:rPr>
            </w:pPr>
            <w:r>
              <w:rPr>
                <w:rFonts w:hint="eastAsia"/>
                <w:lang w:val="en-US" w:eastAsia="zh-CN"/>
              </w:rPr>
              <w:t>企业雨水收集池同时兼顾事故应急池，池子容积可满足事故状况下的收集功能，满足事故应急预案中的相关要求。池内设有液位计，初期雨水收集进入应急池后能迅速通过提升泵转至污水处理系统，应急池日常空置，配备备用手动阀。</w:t>
            </w:r>
          </w:p>
        </w:tc>
        <w:tc>
          <w:tcPr>
            <w:tcW w:w="741" w:type="dxa"/>
            <w:tcMar>
              <w:left w:w="0" w:type="dxa"/>
              <w:right w:w="0" w:type="dxa"/>
            </w:tcMar>
            <w:vAlign w:val="center"/>
          </w:tcPr>
          <w:p w14:paraId="7A81EBCB">
            <w:pPr>
              <w:pStyle w:val="26"/>
              <w:bidi w:val="0"/>
              <w:jc w:val="center"/>
              <w:rPr>
                <w:rFonts w:hint="eastAsia"/>
                <w:lang w:val="en-US" w:eastAsia="zh-CN"/>
              </w:rPr>
            </w:pPr>
            <w:r>
              <w:rPr>
                <w:rFonts w:hint="eastAsia"/>
                <w:lang w:val="en-US" w:eastAsia="zh-CN"/>
              </w:rPr>
              <w:t>符合</w:t>
            </w:r>
          </w:p>
        </w:tc>
      </w:tr>
      <w:tr w14:paraId="3831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12D77DBD">
            <w:pPr>
              <w:pStyle w:val="26"/>
              <w:bidi w:val="0"/>
              <w:jc w:val="center"/>
              <w:rPr>
                <w:lang w:val="en-US" w:eastAsia="zh-CN"/>
              </w:rPr>
            </w:pPr>
            <w:r>
              <w:rPr>
                <w:rFonts w:hint="eastAsia"/>
                <w:lang w:val="en-US" w:eastAsia="zh-CN"/>
              </w:rPr>
              <w:t>8</w:t>
            </w:r>
          </w:p>
        </w:tc>
        <w:tc>
          <w:tcPr>
            <w:tcW w:w="2390" w:type="pct"/>
            <w:tcMar>
              <w:left w:w="0" w:type="dxa"/>
              <w:right w:w="0" w:type="dxa"/>
            </w:tcMar>
            <w:vAlign w:val="center"/>
          </w:tcPr>
          <w:p w14:paraId="46220CFD">
            <w:pPr>
              <w:pStyle w:val="26"/>
              <w:bidi w:val="0"/>
              <w:jc w:val="center"/>
              <w:rPr>
                <w:lang w:val="en-US" w:eastAsia="zh-CN"/>
              </w:rPr>
            </w:pPr>
            <w:r>
              <w:rPr>
                <w:rFonts w:hint="eastAsia"/>
                <w:lang w:val="en-US" w:eastAsia="zh-CN"/>
              </w:rPr>
              <w:t>初期雨水收集池前设置分流井、收集池内设置流量计或液位计，可将收集池的液位标高与切换阀门开启连锁，通过设定的液位控制阀门开启或关闭，实现初期污染雨水与后期洁净雨水自然分流。因现场局限无法设置初期雨水收集池的污染区域，应设置雨水截留装置，安装固定泵和流量计，直接将初期雨水全部收集至污水处理系统。</w:t>
            </w:r>
          </w:p>
        </w:tc>
        <w:tc>
          <w:tcPr>
            <w:tcW w:w="1823" w:type="pct"/>
            <w:tcMar>
              <w:left w:w="0" w:type="dxa"/>
              <w:right w:w="0" w:type="dxa"/>
            </w:tcMar>
            <w:vAlign w:val="center"/>
          </w:tcPr>
          <w:p w14:paraId="01AFA84F">
            <w:pPr>
              <w:pStyle w:val="26"/>
              <w:bidi w:val="0"/>
              <w:jc w:val="center"/>
              <w:rPr>
                <w:lang w:val="en-US" w:eastAsia="zh-CN"/>
              </w:rPr>
            </w:pPr>
            <w:r>
              <w:rPr>
                <w:lang w:val="en-US" w:eastAsia="zh-CN"/>
              </w:rPr>
              <w:t>已按相关要求设置分流井、液位计，可满足相关要求。</w:t>
            </w:r>
          </w:p>
        </w:tc>
        <w:tc>
          <w:tcPr>
            <w:tcW w:w="741" w:type="dxa"/>
            <w:tcMar>
              <w:left w:w="0" w:type="dxa"/>
              <w:right w:w="0" w:type="dxa"/>
            </w:tcMar>
            <w:vAlign w:val="center"/>
          </w:tcPr>
          <w:p w14:paraId="24E6611C">
            <w:pPr>
              <w:pStyle w:val="26"/>
              <w:bidi w:val="0"/>
              <w:jc w:val="center"/>
              <w:rPr>
                <w:lang w:val="en-US" w:eastAsia="zh-CN"/>
              </w:rPr>
            </w:pPr>
            <w:r>
              <w:rPr>
                <w:rFonts w:hint="eastAsia"/>
                <w:lang w:val="en-US" w:eastAsia="zh-CN"/>
              </w:rPr>
              <w:t>符合</w:t>
            </w:r>
          </w:p>
        </w:tc>
      </w:tr>
      <w:tr w14:paraId="6568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0E0E5372">
            <w:pPr>
              <w:pStyle w:val="26"/>
              <w:bidi w:val="0"/>
              <w:jc w:val="center"/>
              <w:rPr>
                <w:lang w:val="en-US" w:eastAsia="zh-CN"/>
              </w:rPr>
            </w:pPr>
            <w:r>
              <w:rPr>
                <w:rFonts w:hint="eastAsia"/>
                <w:lang w:val="en-US" w:eastAsia="zh-CN"/>
              </w:rPr>
              <w:t>9</w:t>
            </w:r>
          </w:p>
        </w:tc>
        <w:tc>
          <w:tcPr>
            <w:tcW w:w="2390" w:type="pct"/>
            <w:tcMar>
              <w:left w:w="0" w:type="dxa"/>
              <w:right w:w="0" w:type="dxa"/>
            </w:tcMar>
            <w:vAlign w:val="center"/>
          </w:tcPr>
          <w:p w14:paraId="1026EB63">
            <w:pPr>
              <w:pStyle w:val="26"/>
              <w:bidi w:val="0"/>
              <w:jc w:val="center"/>
              <w:rPr>
                <w:lang w:val="en-US" w:eastAsia="zh-CN"/>
              </w:rPr>
            </w:pPr>
            <w:r>
              <w:rPr>
                <w:rFonts w:hint="eastAsia"/>
                <w:lang w:val="en-US" w:eastAsia="zh-CN"/>
              </w:rPr>
              <w:t>初期雨水应及时送至厂区污水处理站处理，原则上 5 日内须全部处理到位；未配套污水处理站的，应及时输送至集中污水处理设施处理，严禁直接外排。</w:t>
            </w:r>
          </w:p>
        </w:tc>
        <w:tc>
          <w:tcPr>
            <w:tcW w:w="1823" w:type="pct"/>
            <w:tcMar>
              <w:left w:w="0" w:type="dxa"/>
              <w:right w:w="0" w:type="dxa"/>
            </w:tcMar>
            <w:vAlign w:val="center"/>
          </w:tcPr>
          <w:p w14:paraId="18DCEB6F">
            <w:pPr>
              <w:pStyle w:val="26"/>
              <w:bidi w:val="0"/>
              <w:jc w:val="center"/>
              <w:rPr>
                <w:rFonts w:hint="default"/>
                <w:lang w:val="en-US" w:eastAsia="zh-CN"/>
              </w:rPr>
            </w:pPr>
            <w:r>
              <w:rPr>
                <w:rFonts w:hint="eastAsia"/>
                <w:lang w:val="en-US" w:eastAsia="zh-CN"/>
              </w:rPr>
              <w:t>厂区设有自建污水处理站，可及时将初期雨水送至厂区污水处理站处理。</w:t>
            </w:r>
          </w:p>
        </w:tc>
        <w:tc>
          <w:tcPr>
            <w:tcW w:w="741" w:type="dxa"/>
            <w:tcMar>
              <w:left w:w="0" w:type="dxa"/>
              <w:right w:w="0" w:type="dxa"/>
            </w:tcMar>
            <w:vAlign w:val="center"/>
          </w:tcPr>
          <w:p w14:paraId="2C333B60">
            <w:pPr>
              <w:pStyle w:val="26"/>
              <w:bidi w:val="0"/>
              <w:jc w:val="center"/>
              <w:rPr>
                <w:lang w:val="en-US" w:eastAsia="zh-CN"/>
              </w:rPr>
            </w:pPr>
            <w:r>
              <w:rPr>
                <w:rFonts w:hint="eastAsia"/>
                <w:lang w:val="en-US" w:eastAsia="zh-CN"/>
              </w:rPr>
              <w:t>符合</w:t>
            </w:r>
          </w:p>
        </w:tc>
      </w:tr>
      <w:tr w14:paraId="515E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386E37A0">
            <w:pPr>
              <w:pStyle w:val="26"/>
              <w:bidi w:val="0"/>
              <w:jc w:val="center"/>
              <w:rPr>
                <w:rFonts w:hint="default"/>
                <w:lang w:val="en-US" w:eastAsia="zh-CN"/>
              </w:rPr>
            </w:pPr>
            <w:r>
              <w:rPr>
                <w:rFonts w:hint="eastAsia"/>
                <w:lang w:val="en-US" w:eastAsia="zh-CN"/>
              </w:rPr>
              <w:t>10</w:t>
            </w:r>
          </w:p>
        </w:tc>
        <w:tc>
          <w:tcPr>
            <w:tcW w:w="2390" w:type="pct"/>
            <w:tcMar>
              <w:left w:w="0" w:type="dxa"/>
              <w:right w:w="0" w:type="dxa"/>
            </w:tcMar>
            <w:vAlign w:val="center"/>
          </w:tcPr>
          <w:p w14:paraId="3675BBB3">
            <w:pPr>
              <w:pStyle w:val="26"/>
              <w:bidi w:val="0"/>
              <w:jc w:val="center"/>
              <w:rPr>
                <w:rFonts w:hint="eastAsia"/>
                <w:lang w:val="en-US" w:eastAsia="zh-CN"/>
              </w:rPr>
            </w:pPr>
            <w:r>
              <w:rPr>
                <w:rFonts w:hint="eastAsia"/>
                <w:lang w:val="en-US" w:eastAsia="zh-CN"/>
              </w:rPr>
              <w:t>无降雨时，初期雨水收集池应尽量保持清空。</w:t>
            </w:r>
          </w:p>
        </w:tc>
        <w:tc>
          <w:tcPr>
            <w:tcW w:w="1823" w:type="pct"/>
            <w:tcMar>
              <w:left w:w="0" w:type="dxa"/>
              <w:right w:w="0" w:type="dxa"/>
            </w:tcMar>
            <w:vAlign w:val="center"/>
          </w:tcPr>
          <w:p w14:paraId="42C5E432">
            <w:pPr>
              <w:pStyle w:val="26"/>
              <w:bidi w:val="0"/>
              <w:jc w:val="center"/>
              <w:rPr>
                <w:rFonts w:hint="eastAsia"/>
                <w:lang w:val="en-US" w:eastAsia="zh-CN"/>
              </w:rPr>
            </w:pPr>
            <w:r>
              <w:rPr>
                <w:rFonts w:hint="eastAsia"/>
                <w:lang w:val="en-US" w:eastAsia="zh-CN"/>
              </w:rPr>
              <w:t>无降雨时，厂区初期雨水收集池日常保持清空。</w:t>
            </w:r>
          </w:p>
        </w:tc>
        <w:tc>
          <w:tcPr>
            <w:tcW w:w="741" w:type="dxa"/>
            <w:tcMar>
              <w:left w:w="0" w:type="dxa"/>
              <w:right w:w="0" w:type="dxa"/>
            </w:tcMar>
            <w:vAlign w:val="center"/>
          </w:tcPr>
          <w:p w14:paraId="0A79A6D2">
            <w:pPr>
              <w:pStyle w:val="26"/>
              <w:bidi w:val="0"/>
              <w:jc w:val="center"/>
              <w:rPr>
                <w:rFonts w:hint="eastAsia"/>
                <w:lang w:val="en-US" w:eastAsia="zh-CN"/>
              </w:rPr>
            </w:pPr>
            <w:r>
              <w:rPr>
                <w:rFonts w:hint="eastAsia"/>
                <w:lang w:val="en-US" w:eastAsia="zh-CN"/>
              </w:rPr>
              <w:t>符合</w:t>
            </w:r>
          </w:p>
        </w:tc>
      </w:tr>
      <w:tr w14:paraId="26C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4"/>
            <w:tcMar>
              <w:left w:w="0" w:type="dxa"/>
              <w:right w:w="0" w:type="dxa"/>
            </w:tcMar>
            <w:vAlign w:val="center"/>
          </w:tcPr>
          <w:p w14:paraId="7411BF47">
            <w:pPr>
              <w:pStyle w:val="36"/>
              <w:bidi w:val="0"/>
              <w:jc w:val="center"/>
              <w:rPr>
                <w:rFonts w:hint="eastAsia"/>
                <w:lang w:val="en-US" w:eastAsia="zh-CN"/>
              </w:rPr>
            </w:pPr>
            <w:r>
              <w:rPr>
                <w:rFonts w:hint="eastAsia"/>
                <w:lang w:val="en-US" w:eastAsia="zh-CN"/>
              </w:rPr>
              <w:t>后期雨水收集与管理</w:t>
            </w:r>
          </w:p>
        </w:tc>
      </w:tr>
      <w:tr w14:paraId="1B65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3F7CD09D">
            <w:pPr>
              <w:pStyle w:val="26"/>
              <w:bidi w:val="0"/>
              <w:jc w:val="center"/>
              <w:rPr>
                <w:rFonts w:hint="default"/>
                <w:lang w:val="en-US" w:eastAsia="zh-CN"/>
              </w:rPr>
            </w:pPr>
            <w:r>
              <w:rPr>
                <w:rFonts w:hint="eastAsia"/>
                <w:lang w:val="en-US" w:eastAsia="zh-CN"/>
              </w:rPr>
              <w:t>11</w:t>
            </w:r>
          </w:p>
        </w:tc>
        <w:tc>
          <w:tcPr>
            <w:tcW w:w="2390" w:type="pct"/>
            <w:tcMar>
              <w:left w:w="0" w:type="dxa"/>
              <w:right w:w="0" w:type="dxa"/>
            </w:tcMar>
            <w:vAlign w:val="center"/>
          </w:tcPr>
          <w:p w14:paraId="08EED5F8">
            <w:pPr>
              <w:pStyle w:val="26"/>
              <w:bidi w:val="0"/>
              <w:jc w:val="center"/>
              <w:rPr>
                <w:rFonts w:hint="eastAsia"/>
                <w:lang w:val="en-US" w:eastAsia="zh-CN"/>
              </w:rPr>
            </w:pPr>
            <w:r>
              <w:rPr>
                <w:rFonts w:hint="eastAsia"/>
                <w:lang w:val="en-US" w:eastAsia="zh-CN"/>
              </w:rPr>
              <w:t>后期雨水可直接排放或纳管市政雨水管网。雨水排放口水质应保持稳定、清洁。严禁将后期雨水排入污水收集处理设施，借道污水排口排放的，不得在污水排放监控点之前汇入，避免影响污水处理设施效能或产生稀释排污的嫌疑。</w:t>
            </w:r>
          </w:p>
        </w:tc>
        <w:tc>
          <w:tcPr>
            <w:tcW w:w="1823" w:type="pct"/>
            <w:tcMar>
              <w:left w:w="0" w:type="dxa"/>
              <w:right w:w="0" w:type="dxa"/>
            </w:tcMar>
            <w:vAlign w:val="center"/>
          </w:tcPr>
          <w:p w14:paraId="33289890">
            <w:pPr>
              <w:pStyle w:val="26"/>
              <w:bidi w:val="0"/>
              <w:jc w:val="center"/>
              <w:rPr>
                <w:rFonts w:hint="eastAsia"/>
                <w:lang w:val="en-US" w:eastAsia="zh-CN"/>
              </w:rPr>
            </w:pPr>
            <w:r>
              <w:rPr>
                <w:rFonts w:hint="eastAsia"/>
                <w:lang w:val="en-US" w:eastAsia="zh-CN"/>
              </w:rPr>
              <w:t>企业按相关要求排放后期雨水。</w:t>
            </w:r>
          </w:p>
        </w:tc>
        <w:tc>
          <w:tcPr>
            <w:tcW w:w="741" w:type="dxa"/>
            <w:tcMar>
              <w:left w:w="0" w:type="dxa"/>
              <w:right w:w="0" w:type="dxa"/>
            </w:tcMar>
            <w:vAlign w:val="center"/>
          </w:tcPr>
          <w:p w14:paraId="7F4C374B">
            <w:pPr>
              <w:pStyle w:val="26"/>
              <w:bidi w:val="0"/>
              <w:jc w:val="center"/>
              <w:rPr>
                <w:rFonts w:hint="eastAsia"/>
                <w:lang w:val="en-US" w:eastAsia="zh-CN"/>
              </w:rPr>
            </w:pPr>
            <w:r>
              <w:rPr>
                <w:rFonts w:hint="eastAsia"/>
                <w:lang w:val="en-US" w:eastAsia="zh-CN"/>
              </w:rPr>
              <w:t>符合</w:t>
            </w:r>
          </w:p>
        </w:tc>
      </w:tr>
      <w:tr w14:paraId="531F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61BA368B">
            <w:pPr>
              <w:pStyle w:val="26"/>
              <w:bidi w:val="0"/>
              <w:jc w:val="center"/>
              <w:rPr>
                <w:rFonts w:hint="default"/>
                <w:lang w:val="en-US" w:eastAsia="zh-CN"/>
              </w:rPr>
            </w:pPr>
            <w:r>
              <w:rPr>
                <w:rFonts w:hint="eastAsia"/>
                <w:lang w:val="en-US" w:eastAsia="zh-CN"/>
              </w:rPr>
              <w:t>12</w:t>
            </w:r>
          </w:p>
        </w:tc>
        <w:tc>
          <w:tcPr>
            <w:tcW w:w="2390" w:type="pct"/>
            <w:tcMar>
              <w:left w:w="0" w:type="dxa"/>
              <w:right w:w="0" w:type="dxa"/>
            </w:tcMar>
            <w:vAlign w:val="center"/>
          </w:tcPr>
          <w:p w14:paraId="4432ADBC">
            <w:pPr>
              <w:pStyle w:val="26"/>
              <w:bidi w:val="0"/>
              <w:jc w:val="center"/>
              <w:rPr>
                <w:rFonts w:hint="eastAsia"/>
                <w:lang w:val="en-US" w:eastAsia="zh-CN"/>
              </w:rPr>
            </w:pPr>
            <w:r>
              <w:rPr>
                <w:rFonts w:hint="eastAsia"/>
                <w:lang w:val="en-US" w:eastAsia="zh-CN"/>
              </w:rPr>
              <w:t>工业企业原则上一个厂区只允许设置一个雨水排放口。确需设置两个及以上雨水排放口的，应书面告知生态环境部门。</w:t>
            </w:r>
          </w:p>
        </w:tc>
        <w:tc>
          <w:tcPr>
            <w:tcW w:w="1823" w:type="pct"/>
            <w:tcMar>
              <w:left w:w="0" w:type="dxa"/>
              <w:right w:w="0" w:type="dxa"/>
            </w:tcMar>
            <w:vAlign w:val="center"/>
          </w:tcPr>
          <w:p w14:paraId="5EDAF493">
            <w:pPr>
              <w:pStyle w:val="26"/>
              <w:bidi w:val="0"/>
              <w:jc w:val="center"/>
              <w:rPr>
                <w:rFonts w:hint="eastAsia"/>
                <w:lang w:val="en-US" w:eastAsia="zh-CN"/>
              </w:rPr>
            </w:pPr>
            <w:r>
              <w:rPr>
                <w:rFonts w:hint="eastAsia"/>
                <w:lang w:val="en-US" w:eastAsia="zh-CN"/>
              </w:rPr>
              <w:t>目前企业只设置一个雨水排放</w:t>
            </w:r>
          </w:p>
          <w:p w14:paraId="261BA5E8">
            <w:pPr>
              <w:pStyle w:val="26"/>
              <w:bidi w:val="0"/>
              <w:jc w:val="center"/>
              <w:rPr>
                <w:rFonts w:hint="eastAsia"/>
                <w:lang w:val="en-US" w:eastAsia="zh-CN"/>
              </w:rPr>
            </w:pPr>
            <w:r>
              <w:rPr>
                <w:rFonts w:hint="eastAsia"/>
                <w:lang w:val="en-US" w:eastAsia="zh-CN"/>
              </w:rPr>
              <w:t>口，位于厂区南侧。</w:t>
            </w:r>
          </w:p>
        </w:tc>
        <w:tc>
          <w:tcPr>
            <w:tcW w:w="741" w:type="dxa"/>
            <w:tcMar>
              <w:left w:w="0" w:type="dxa"/>
              <w:right w:w="0" w:type="dxa"/>
            </w:tcMar>
            <w:vAlign w:val="center"/>
          </w:tcPr>
          <w:p w14:paraId="337E238B">
            <w:pPr>
              <w:pStyle w:val="26"/>
              <w:bidi w:val="0"/>
              <w:jc w:val="center"/>
              <w:rPr>
                <w:rFonts w:hint="eastAsia"/>
                <w:lang w:val="en-US" w:eastAsia="zh-CN"/>
              </w:rPr>
            </w:pPr>
            <w:r>
              <w:rPr>
                <w:rFonts w:hint="eastAsia"/>
                <w:lang w:val="en-US" w:eastAsia="zh-CN"/>
              </w:rPr>
              <w:t>符合</w:t>
            </w:r>
          </w:p>
        </w:tc>
      </w:tr>
      <w:tr w14:paraId="46AC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51E4B985">
            <w:pPr>
              <w:pStyle w:val="26"/>
              <w:bidi w:val="0"/>
              <w:jc w:val="center"/>
              <w:rPr>
                <w:rFonts w:hint="default"/>
                <w:lang w:val="en-US" w:eastAsia="zh-CN"/>
              </w:rPr>
            </w:pPr>
            <w:r>
              <w:rPr>
                <w:rFonts w:hint="eastAsia"/>
                <w:lang w:val="en-US" w:eastAsia="zh-CN"/>
              </w:rPr>
              <w:t>13</w:t>
            </w:r>
          </w:p>
        </w:tc>
        <w:tc>
          <w:tcPr>
            <w:tcW w:w="2390" w:type="pct"/>
            <w:tcMar>
              <w:left w:w="0" w:type="dxa"/>
              <w:right w:w="0" w:type="dxa"/>
            </w:tcMar>
            <w:vAlign w:val="center"/>
          </w:tcPr>
          <w:p w14:paraId="5123B616">
            <w:pPr>
              <w:pStyle w:val="26"/>
              <w:bidi w:val="0"/>
              <w:jc w:val="center"/>
              <w:rPr>
                <w:rFonts w:hint="eastAsia"/>
                <w:lang w:val="en-US" w:eastAsia="zh-CN"/>
              </w:rPr>
            </w:pPr>
            <w:r>
              <w:rPr>
                <w:rFonts w:hint="eastAsia"/>
                <w:lang w:val="en-US" w:eastAsia="zh-CN"/>
              </w:rPr>
              <w:t>工业企业雨水排放口前须设置明渠或取样监测观察井。明渠长度一般不小于1.5米，检查井长宽不小于0.5米，检查井底部要低于管渠底部0.3米以上，内侧贴白色瓷砖。</w:t>
            </w:r>
          </w:p>
        </w:tc>
        <w:tc>
          <w:tcPr>
            <w:tcW w:w="1823" w:type="pct"/>
            <w:tcMar>
              <w:left w:w="0" w:type="dxa"/>
              <w:right w:w="0" w:type="dxa"/>
            </w:tcMar>
            <w:vAlign w:val="center"/>
          </w:tcPr>
          <w:p w14:paraId="03C4BE21">
            <w:pPr>
              <w:pStyle w:val="26"/>
              <w:bidi w:val="0"/>
              <w:jc w:val="center"/>
              <w:rPr>
                <w:rFonts w:hint="default"/>
                <w:lang w:val="en-US" w:eastAsia="zh-CN"/>
              </w:rPr>
            </w:pPr>
            <w:r>
              <w:rPr>
                <w:rFonts w:hint="eastAsia"/>
                <w:lang w:val="en-US" w:eastAsia="zh-CN"/>
              </w:rPr>
              <w:t>企业设置监测观察井。</w:t>
            </w:r>
          </w:p>
        </w:tc>
        <w:tc>
          <w:tcPr>
            <w:tcW w:w="741" w:type="dxa"/>
            <w:tcMar>
              <w:left w:w="0" w:type="dxa"/>
              <w:right w:w="0" w:type="dxa"/>
            </w:tcMar>
            <w:vAlign w:val="center"/>
          </w:tcPr>
          <w:p w14:paraId="5691C916">
            <w:pPr>
              <w:pStyle w:val="26"/>
              <w:bidi w:val="0"/>
              <w:jc w:val="center"/>
              <w:rPr>
                <w:lang w:val="en-US" w:eastAsia="zh-CN"/>
              </w:rPr>
            </w:pPr>
            <w:r>
              <w:rPr>
                <w:rFonts w:hint="eastAsia"/>
                <w:lang w:val="en-US" w:eastAsia="zh-CN"/>
              </w:rPr>
              <w:t>符合</w:t>
            </w:r>
          </w:p>
        </w:tc>
      </w:tr>
      <w:tr w14:paraId="6410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61E7629F">
            <w:pPr>
              <w:pStyle w:val="26"/>
              <w:bidi w:val="0"/>
              <w:jc w:val="center"/>
              <w:rPr>
                <w:rFonts w:hint="default"/>
                <w:lang w:val="en-US" w:eastAsia="zh-CN"/>
              </w:rPr>
            </w:pPr>
            <w:r>
              <w:rPr>
                <w:rFonts w:hint="eastAsia"/>
                <w:lang w:val="en-US" w:eastAsia="zh-CN"/>
              </w:rPr>
              <w:t>14</w:t>
            </w:r>
          </w:p>
        </w:tc>
        <w:tc>
          <w:tcPr>
            <w:tcW w:w="2390" w:type="pct"/>
            <w:tcMar>
              <w:left w:w="0" w:type="dxa"/>
              <w:right w:w="0" w:type="dxa"/>
            </w:tcMar>
            <w:vAlign w:val="center"/>
          </w:tcPr>
          <w:p w14:paraId="7DC85AB5">
            <w:pPr>
              <w:pStyle w:val="26"/>
              <w:bidi w:val="0"/>
              <w:jc w:val="center"/>
              <w:rPr>
                <w:rFonts w:hint="eastAsia"/>
                <w:lang w:val="en-US" w:eastAsia="zh-CN"/>
              </w:rPr>
            </w:pPr>
            <w:r>
              <w:rPr>
                <w:rFonts w:hint="eastAsia"/>
                <w:lang w:val="en-US" w:eastAsia="zh-CN"/>
              </w:rPr>
              <w:t>工业企业雨水排放口应设立标志牌，标志牌安放位置醒目，保持清洁，不得污损、破坏。</w:t>
            </w:r>
          </w:p>
        </w:tc>
        <w:tc>
          <w:tcPr>
            <w:tcW w:w="1823" w:type="pct"/>
            <w:tcMar>
              <w:left w:w="0" w:type="dxa"/>
              <w:right w:w="0" w:type="dxa"/>
            </w:tcMar>
            <w:vAlign w:val="center"/>
          </w:tcPr>
          <w:p w14:paraId="36C66EAD">
            <w:pPr>
              <w:pStyle w:val="26"/>
              <w:bidi w:val="0"/>
              <w:jc w:val="center"/>
              <w:rPr>
                <w:rFonts w:hint="eastAsia"/>
                <w:lang w:val="en-US" w:eastAsia="zh-CN"/>
              </w:rPr>
            </w:pPr>
            <w:r>
              <w:rPr>
                <w:rFonts w:hint="eastAsia"/>
                <w:lang w:val="en-US" w:eastAsia="zh-CN"/>
              </w:rPr>
              <w:t>已按相关要求设立标志牌。</w:t>
            </w:r>
          </w:p>
        </w:tc>
        <w:tc>
          <w:tcPr>
            <w:tcW w:w="741" w:type="dxa"/>
            <w:tcMar>
              <w:left w:w="0" w:type="dxa"/>
              <w:right w:w="0" w:type="dxa"/>
            </w:tcMar>
            <w:vAlign w:val="center"/>
          </w:tcPr>
          <w:p w14:paraId="0AF0781F">
            <w:pPr>
              <w:pStyle w:val="26"/>
              <w:bidi w:val="0"/>
              <w:jc w:val="center"/>
              <w:rPr>
                <w:rFonts w:hint="eastAsia"/>
                <w:lang w:val="en-US" w:eastAsia="zh-CN"/>
              </w:rPr>
            </w:pPr>
            <w:r>
              <w:rPr>
                <w:rFonts w:hint="eastAsia"/>
                <w:lang w:val="en-US" w:eastAsia="zh-CN"/>
              </w:rPr>
              <w:t>符合</w:t>
            </w:r>
          </w:p>
        </w:tc>
      </w:tr>
      <w:tr w14:paraId="758E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376157D1">
            <w:pPr>
              <w:pStyle w:val="26"/>
              <w:bidi w:val="0"/>
              <w:jc w:val="center"/>
              <w:rPr>
                <w:rFonts w:hint="default"/>
                <w:lang w:val="en-US" w:eastAsia="zh-CN"/>
              </w:rPr>
            </w:pPr>
            <w:r>
              <w:rPr>
                <w:rFonts w:hint="eastAsia"/>
                <w:lang w:val="en-US" w:eastAsia="zh-CN"/>
              </w:rPr>
              <w:t>15</w:t>
            </w:r>
          </w:p>
        </w:tc>
        <w:tc>
          <w:tcPr>
            <w:tcW w:w="2390" w:type="pct"/>
            <w:tcMar>
              <w:left w:w="0" w:type="dxa"/>
              <w:right w:w="0" w:type="dxa"/>
            </w:tcMar>
            <w:vAlign w:val="center"/>
          </w:tcPr>
          <w:p w14:paraId="2260350E">
            <w:pPr>
              <w:pStyle w:val="26"/>
              <w:bidi w:val="0"/>
              <w:jc w:val="center"/>
              <w:rPr>
                <w:rFonts w:hint="eastAsia"/>
                <w:lang w:val="en-US" w:eastAsia="zh-CN"/>
              </w:rPr>
            </w:pPr>
            <w:r>
              <w:rPr>
                <w:rFonts w:hint="eastAsia"/>
                <w:lang w:val="en-US" w:eastAsia="zh-CN"/>
              </w:rPr>
              <w:t>工业企业雨水排放口应按相关规定和管理要求安装视频监控设备或水质在线监控设备，并与生态环境部门联网。</w:t>
            </w:r>
          </w:p>
        </w:tc>
        <w:tc>
          <w:tcPr>
            <w:tcW w:w="3049" w:type="dxa"/>
            <w:tcMar>
              <w:left w:w="0" w:type="dxa"/>
              <w:right w:w="0" w:type="dxa"/>
            </w:tcMar>
            <w:vAlign w:val="center"/>
          </w:tcPr>
          <w:p w14:paraId="2128A6CA">
            <w:pPr>
              <w:pStyle w:val="26"/>
              <w:bidi w:val="0"/>
              <w:jc w:val="center"/>
              <w:rPr>
                <w:rFonts w:ascii="Times New Roman" w:hAnsi="Times New Roman" w:cs="Times New Roman"/>
              </w:rPr>
            </w:pPr>
            <w:r>
              <w:rPr>
                <w:rFonts w:ascii="Times New Roman" w:hAnsi="Times New Roman" w:cs="Times New Roman"/>
              </w:rPr>
              <w:t>已按相关规定视频监控设备及</w:t>
            </w:r>
          </w:p>
          <w:p w14:paraId="6C1FD5D5">
            <w:pPr>
              <w:pStyle w:val="26"/>
              <w:bidi w:val="0"/>
              <w:jc w:val="center"/>
              <w:rPr>
                <w:rFonts w:ascii="Times New Roman" w:hAnsi="Times New Roman" w:cs="Times New Roman"/>
              </w:rPr>
            </w:pPr>
            <w:r>
              <w:rPr>
                <w:rFonts w:ascii="Times New Roman" w:hAnsi="Times New Roman" w:cs="Times New Roman"/>
              </w:rPr>
              <w:t>水质在线监控设备并与生态环</w:t>
            </w:r>
          </w:p>
          <w:p w14:paraId="68DBEA2E">
            <w:pPr>
              <w:pStyle w:val="26"/>
              <w:bidi w:val="0"/>
              <w:jc w:val="center"/>
              <w:rPr>
                <w:rFonts w:hint="eastAsia" w:ascii="Times New Roman" w:hAnsi="Times New Roman" w:cs="Times New Roman"/>
                <w:lang w:val="en-US" w:eastAsia="zh-CN"/>
              </w:rPr>
            </w:pPr>
            <w:r>
              <w:rPr>
                <w:rFonts w:ascii="Times New Roman" w:hAnsi="Times New Roman" w:cs="Times New Roman"/>
              </w:rPr>
              <w:t>境部门联网。</w:t>
            </w:r>
          </w:p>
        </w:tc>
        <w:tc>
          <w:tcPr>
            <w:tcW w:w="741" w:type="dxa"/>
            <w:tcMar>
              <w:left w:w="0" w:type="dxa"/>
              <w:right w:w="0" w:type="dxa"/>
            </w:tcMar>
            <w:vAlign w:val="center"/>
          </w:tcPr>
          <w:p w14:paraId="02F0F45A">
            <w:pPr>
              <w:pStyle w:val="26"/>
              <w:bidi w:val="0"/>
              <w:jc w:val="center"/>
              <w:rPr>
                <w:rFonts w:hint="eastAsia"/>
                <w:lang w:val="en-US" w:eastAsia="zh-CN"/>
              </w:rPr>
            </w:pPr>
            <w:r>
              <w:rPr>
                <w:rFonts w:hint="eastAsia"/>
                <w:lang w:val="en-US" w:eastAsia="zh-CN"/>
              </w:rPr>
              <w:t>符合</w:t>
            </w:r>
          </w:p>
        </w:tc>
      </w:tr>
      <w:tr w14:paraId="3088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25842A2F">
            <w:pPr>
              <w:pStyle w:val="26"/>
              <w:bidi w:val="0"/>
              <w:jc w:val="center"/>
              <w:rPr>
                <w:rFonts w:hint="default"/>
                <w:lang w:val="en-US" w:eastAsia="zh-CN"/>
              </w:rPr>
            </w:pPr>
            <w:r>
              <w:rPr>
                <w:rFonts w:hint="eastAsia"/>
                <w:lang w:val="en-US" w:eastAsia="zh-CN"/>
              </w:rPr>
              <w:t>16</w:t>
            </w:r>
          </w:p>
        </w:tc>
        <w:tc>
          <w:tcPr>
            <w:tcW w:w="2390" w:type="pct"/>
            <w:tcMar>
              <w:left w:w="0" w:type="dxa"/>
              <w:right w:w="0" w:type="dxa"/>
            </w:tcMar>
            <w:vAlign w:val="center"/>
          </w:tcPr>
          <w:p w14:paraId="2C64354A">
            <w:pPr>
              <w:pStyle w:val="26"/>
              <w:bidi w:val="0"/>
              <w:jc w:val="center"/>
              <w:rPr>
                <w:rFonts w:hint="eastAsia"/>
                <w:lang w:val="en-US" w:eastAsia="zh-CN"/>
              </w:rPr>
            </w:pPr>
            <w:r>
              <w:rPr>
                <w:rFonts w:hint="eastAsia"/>
                <w:lang w:val="en-US" w:eastAsia="zh-CN"/>
              </w:rPr>
              <w:t>为有效防范后期雨水异常排放，必要时在雨水排放口前应安装自动紧急切断装置，并与水质在线监控设备连锁。</w:t>
            </w:r>
          </w:p>
        </w:tc>
        <w:tc>
          <w:tcPr>
            <w:tcW w:w="3049" w:type="dxa"/>
            <w:tcMar>
              <w:left w:w="0" w:type="dxa"/>
              <w:right w:w="0" w:type="dxa"/>
            </w:tcMar>
            <w:vAlign w:val="center"/>
          </w:tcPr>
          <w:p w14:paraId="37DA7F68">
            <w:pPr>
              <w:pStyle w:val="26"/>
              <w:bidi w:val="0"/>
              <w:jc w:val="center"/>
              <w:rPr>
                <w:rFonts w:ascii="Times New Roman" w:hAnsi="Times New Roman" w:cs="Times New Roman"/>
              </w:rPr>
            </w:pPr>
            <w:r>
              <w:rPr>
                <w:rFonts w:ascii="Times New Roman" w:hAnsi="Times New Roman" w:cs="Times New Roman"/>
              </w:rPr>
              <w:t>已按相关要求安装自动紧急切</w:t>
            </w:r>
          </w:p>
          <w:p w14:paraId="198AB732">
            <w:pPr>
              <w:pStyle w:val="26"/>
              <w:bidi w:val="0"/>
              <w:jc w:val="center"/>
              <w:rPr>
                <w:rFonts w:ascii="Times New Roman" w:hAnsi="Times New Roman" w:cs="Times New Roman"/>
              </w:rPr>
            </w:pPr>
            <w:r>
              <w:rPr>
                <w:rFonts w:ascii="Times New Roman" w:hAnsi="Times New Roman" w:cs="Times New Roman"/>
              </w:rPr>
              <w:t>断装置，并与水质在线监控设</w:t>
            </w:r>
          </w:p>
          <w:p w14:paraId="1EC0A7E7">
            <w:pPr>
              <w:pStyle w:val="26"/>
              <w:bidi w:val="0"/>
              <w:jc w:val="center"/>
              <w:rPr>
                <w:rFonts w:hint="eastAsia" w:ascii="Times New Roman" w:hAnsi="Times New Roman" w:cs="Times New Roman"/>
                <w:lang w:val="en-US" w:eastAsia="zh-CN"/>
              </w:rPr>
            </w:pPr>
            <w:r>
              <w:rPr>
                <w:rFonts w:ascii="Times New Roman" w:hAnsi="Times New Roman" w:cs="Times New Roman"/>
              </w:rPr>
              <w:t>备连锁。</w:t>
            </w:r>
          </w:p>
        </w:tc>
        <w:tc>
          <w:tcPr>
            <w:tcW w:w="741" w:type="dxa"/>
            <w:tcMar>
              <w:left w:w="0" w:type="dxa"/>
              <w:right w:w="0" w:type="dxa"/>
            </w:tcMar>
            <w:vAlign w:val="center"/>
          </w:tcPr>
          <w:p w14:paraId="7010CD1B">
            <w:pPr>
              <w:pStyle w:val="26"/>
              <w:bidi w:val="0"/>
              <w:jc w:val="center"/>
              <w:rPr>
                <w:rFonts w:hint="eastAsia"/>
                <w:lang w:val="en-US" w:eastAsia="zh-CN"/>
              </w:rPr>
            </w:pPr>
            <w:r>
              <w:rPr>
                <w:rFonts w:hint="eastAsia"/>
                <w:lang w:val="en-US" w:eastAsia="zh-CN"/>
              </w:rPr>
              <w:t>符合</w:t>
            </w:r>
          </w:p>
        </w:tc>
      </w:tr>
      <w:tr w14:paraId="59CE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71FB35A2">
            <w:pPr>
              <w:pStyle w:val="26"/>
              <w:bidi w:val="0"/>
              <w:jc w:val="center"/>
              <w:rPr>
                <w:rFonts w:hint="default"/>
                <w:lang w:val="en-US" w:eastAsia="zh-CN"/>
              </w:rPr>
            </w:pPr>
            <w:r>
              <w:rPr>
                <w:rFonts w:hint="eastAsia"/>
                <w:lang w:val="en-US" w:eastAsia="zh-CN"/>
              </w:rPr>
              <w:t>17</w:t>
            </w:r>
          </w:p>
        </w:tc>
        <w:tc>
          <w:tcPr>
            <w:tcW w:w="2390" w:type="pct"/>
            <w:tcMar>
              <w:left w:w="0" w:type="dxa"/>
              <w:right w:w="0" w:type="dxa"/>
            </w:tcMar>
            <w:vAlign w:val="center"/>
          </w:tcPr>
          <w:p w14:paraId="69E7B98D">
            <w:pPr>
              <w:pStyle w:val="26"/>
              <w:bidi w:val="0"/>
              <w:jc w:val="center"/>
              <w:rPr>
                <w:rFonts w:hint="eastAsia"/>
                <w:lang w:val="en-US" w:eastAsia="zh-CN"/>
              </w:rPr>
            </w:pPr>
            <w:r>
              <w:rPr>
                <w:rFonts w:hint="eastAsia"/>
                <w:lang w:val="en-US" w:eastAsia="zh-CN"/>
              </w:rPr>
              <w:t>无降雨时，工业企业雨水排放口原则上应保持干燥；降雨后应及时排出积水，降雨停止1至3日后一般不应再出现对外排水。</w:t>
            </w:r>
          </w:p>
        </w:tc>
        <w:tc>
          <w:tcPr>
            <w:tcW w:w="3049" w:type="dxa"/>
            <w:tcMar>
              <w:left w:w="0" w:type="dxa"/>
              <w:right w:w="0" w:type="dxa"/>
            </w:tcMar>
            <w:vAlign w:val="center"/>
          </w:tcPr>
          <w:p w14:paraId="224A17AE">
            <w:pPr>
              <w:pStyle w:val="26"/>
              <w:bidi w:val="0"/>
              <w:jc w:val="center"/>
              <w:rPr>
                <w:rFonts w:hint="eastAsia" w:ascii="Times New Roman" w:hAnsi="Times New Roman" w:cs="Times New Roman"/>
                <w:lang w:val="en-US" w:eastAsia="zh-CN"/>
              </w:rPr>
            </w:pPr>
            <w:r>
              <w:rPr>
                <w:rFonts w:ascii="Times New Roman" w:hAnsi="Times New Roman" w:cs="Times New Roman"/>
              </w:rPr>
              <w:t>企业日常按要求执行。</w:t>
            </w:r>
          </w:p>
        </w:tc>
        <w:tc>
          <w:tcPr>
            <w:tcW w:w="741" w:type="dxa"/>
            <w:tcMar>
              <w:left w:w="0" w:type="dxa"/>
              <w:right w:w="0" w:type="dxa"/>
            </w:tcMar>
            <w:vAlign w:val="center"/>
          </w:tcPr>
          <w:p w14:paraId="424A6A99">
            <w:pPr>
              <w:pStyle w:val="26"/>
              <w:bidi w:val="0"/>
              <w:jc w:val="center"/>
              <w:rPr>
                <w:rFonts w:hint="eastAsia"/>
                <w:lang w:val="en-US" w:eastAsia="zh-CN"/>
              </w:rPr>
            </w:pPr>
            <w:r>
              <w:rPr>
                <w:rFonts w:hint="eastAsia"/>
                <w:lang w:val="en-US" w:eastAsia="zh-CN"/>
              </w:rPr>
              <w:t>符合</w:t>
            </w:r>
          </w:p>
        </w:tc>
      </w:tr>
      <w:tr w14:paraId="7713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4"/>
            <w:tcMar>
              <w:left w:w="0" w:type="dxa"/>
              <w:right w:w="0" w:type="dxa"/>
            </w:tcMar>
            <w:vAlign w:val="center"/>
          </w:tcPr>
          <w:p w14:paraId="1D624FE0">
            <w:pPr>
              <w:pStyle w:val="36"/>
              <w:bidi w:val="0"/>
              <w:rPr>
                <w:rFonts w:hint="default"/>
                <w:lang w:val="en-US" w:eastAsia="zh-CN"/>
              </w:rPr>
            </w:pPr>
            <w:r>
              <w:rPr>
                <w:rFonts w:hint="eastAsia"/>
                <w:lang w:val="en-US" w:eastAsia="zh-CN"/>
              </w:rPr>
              <w:t>维护管理</w:t>
            </w:r>
          </w:p>
        </w:tc>
      </w:tr>
      <w:tr w14:paraId="4F22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5E709097">
            <w:pPr>
              <w:pStyle w:val="26"/>
              <w:bidi w:val="0"/>
              <w:jc w:val="center"/>
              <w:rPr>
                <w:rFonts w:hint="default"/>
                <w:lang w:val="en-US" w:eastAsia="zh-CN"/>
              </w:rPr>
            </w:pPr>
            <w:r>
              <w:rPr>
                <w:rFonts w:hint="eastAsia"/>
                <w:lang w:val="en-US" w:eastAsia="zh-CN"/>
              </w:rPr>
              <w:t>18</w:t>
            </w:r>
          </w:p>
        </w:tc>
        <w:tc>
          <w:tcPr>
            <w:tcW w:w="3998" w:type="dxa"/>
            <w:tcMar>
              <w:left w:w="0" w:type="dxa"/>
              <w:right w:w="0" w:type="dxa"/>
            </w:tcMar>
            <w:vAlign w:val="center"/>
          </w:tcPr>
          <w:p w14:paraId="07C89601">
            <w:pPr>
              <w:pStyle w:val="26"/>
              <w:bidi w:val="0"/>
              <w:jc w:val="center"/>
              <w:rPr>
                <w:rFonts w:hint="eastAsia"/>
                <w:lang w:val="en-US" w:eastAsia="zh-CN"/>
              </w:rPr>
            </w:pPr>
            <w:r>
              <w:t>工业企业雨水排口应纳入环评及排污许可管理。企业应在排污许可证上载明雨水排放口数量和位置、排放（回用）方式、监测计划等信息。</w:t>
            </w:r>
          </w:p>
        </w:tc>
        <w:tc>
          <w:tcPr>
            <w:tcW w:w="3049" w:type="dxa"/>
            <w:tcMar>
              <w:left w:w="0" w:type="dxa"/>
              <w:right w:w="0" w:type="dxa"/>
            </w:tcMar>
            <w:vAlign w:val="center"/>
          </w:tcPr>
          <w:p w14:paraId="5C60169F">
            <w:pPr>
              <w:pStyle w:val="26"/>
              <w:bidi w:val="0"/>
              <w:jc w:val="center"/>
            </w:pPr>
            <w:r>
              <w:t>已按要求纳入环评及排污许可</w:t>
            </w:r>
          </w:p>
          <w:p w14:paraId="4A3CF080">
            <w:pPr>
              <w:pStyle w:val="26"/>
              <w:bidi w:val="0"/>
              <w:jc w:val="center"/>
              <w:rPr>
                <w:rFonts w:hint="eastAsia"/>
                <w:lang w:val="en-US" w:eastAsia="zh-CN"/>
              </w:rPr>
            </w:pPr>
            <w:r>
              <w:t>管理。</w:t>
            </w:r>
          </w:p>
        </w:tc>
        <w:tc>
          <w:tcPr>
            <w:tcW w:w="741" w:type="dxa"/>
            <w:tcMar>
              <w:left w:w="0" w:type="dxa"/>
              <w:right w:w="0" w:type="dxa"/>
            </w:tcMar>
            <w:vAlign w:val="center"/>
          </w:tcPr>
          <w:p w14:paraId="194AE8D0">
            <w:pPr>
              <w:pStyle w:val="26"/>
              <w:bidi w:val="0"/>
              <w:jc w:val="center"/>
              <w:rPr>
                <w:rFonts w:hint="eastAsia"/>
                <w:lang w:val="en-US" w:eastAsia="zh-CN"/>
              </w:rPr>
            </w:pPr>
            <w:r>
              <w:rPr>
                <w:rFonts w:hint="eastAsia"/>
                <w:lang w:val="en-US" w:eastAsia="zh-CN"/>
              </w:rPr>
              <w:t>符合</w:t>
            </w:r>
          </w:p>
        </w:tc>
      </w:tr>
      <w:tr w14:paraId="3F92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0F16B181">
            <w:pPr>
              <w:pStyle w:val="26"/>
              <w:bidi w:val="0"/>
              <w:jc w:val="center"/>
              <w:rPr>
                <w:rFonts w:hint="default"/>
                <w:lang w:val="en-US" w:eastAsia="zh-CN"/>
              </w:rPr>
            </w:pPr>
            <w:r>
              <w:rPr>
                <w:rFonts w:hint="eastAsia"/>
                <w:lang w:val="en-US" w:eastAsia="zh-CN"/>
              </w:rPr>
              <w:t>19</w:t>
            </w:r>
          </w:p>
        </w:tc>
        <w:tc>
          <w:tcPr>
            <w:tcW w:w="3998" w:type="dxa"/>
            <w:tcMar>
              <w:left w:w="0" w:type="dxa"/>
              <w:right w:w="0" w:type="dxa"/>
            </w:tcMar>
            <w:vAlign w:val="center"/>
          </w:tcPr>
          <w:p w14:paraId="5740E6CF">
            <w:pPr>
              <w:pStyle w:val="26"/>
              <w:bidi w:val="0"/>
              <w:jc w:val="center"/>
              <w:rPr>
                <w:rFonts w:hint="eastAsia"/>
                <w:lang w:val="en-US" w:eastAsia="zh-CN"/>
              </w:rPr>
            </w:pPr>
            <w:r>
              <w:t>工业企业应定期开展雨水收集系统日常检查与维护，及时清理淤泥和杂物，确保设施无堵塞、无渗漏、无破损，确保不发生污水与雨水管网错接、混接、乱接等现象，严禁将生活垃圾、固体废弃物、高浓度废液等暂存、蓄积或倾倒在雨水沟渠。</w:t>
            </w:r>
          </w:p>
        </w:tc>
        <w:tc>
          <w:tcPr>
            <w:tcW w:w="3049" w:type="dxa"/>
            <w:tcMar>
              <w:left w:w="0" w:type="dxa"/>
              <w:right w:w="0" w:type="dxa"/>
            </w:tcMar>
            <w:vAlign w:val="center"/>
          </w:tcPr>
          <w:p w14:paraId="5789DD8A">
            <w:pPr>
              <w:pStyle w:val="26"/>
              <w:bidi w:val="0"/>
              <w:jc w:val="center"/>
            </w:pPr>
            <w:r>
              <w:t>按要求定期开展雨水收集系统</w:t>
            </w:r>
          </w:p>
          <w:p w14:paraId="4086A0B9">
            <w:pPr>
              <w:pStyle w:val="26"/>
              <w:bidi w:val="0"/>
              <w:jc w:val="center"/>
              <w:rPr>
                <w:rFonts w:hint="eastAsia"/>
                <w:lang w:val="en-US" w:eastAsia="zh-CN"/>
              </w:rPr>
            </w:pPr>
            <w:r>
              <w:t>日常检查与维护。</w:t>
            </w:r>
          </w:p>
        </w:tc>
        <w:tc>
          <w:tcPr>
            <w:tcW w:w="741" w:type="dxa"/>
            <w:tcMar>
              <w:left w:w="0" w:type="dxa"/>
              <w:right w:w="0" w:type="dxa"/>
            </w:tcMar>
            <w:vAlign w:val="center"/>
          </w:tcPr>
          <w:p w14:paraId="223F4B08">
            <w:pPr>
              <w:pStyle w:val="26"/>
              <w:bidi w:val="0"/>
              <w:jc w:val="center"/>
              <w:rPr>
                <w:rFonts w:hint="eastAsia"/>
                <w:lang w:val="en-US" w:eastAsia="zh-CN"/>
              </w:rPr>
            </w:pPr>
            <w:r>
              <w:rPr>
                <w:rFonts w:hint="eastAsia"/>
                <w:lang w:val="en-US" w:eastAsia="zh-CN"/>
              </w:rPr>
              <w:t>符合</w:t>
            </w:r>
          </w:p>
        </w:tc>
      </w:tr>
      <w:tr w14:paraId="4498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6FD40024">
            <w:pPr>
              <w:pStyle w:val="26"/>
              <w:bidi w:val="0"/>
              <w:jc w:val="center"/>
              <w:rPr>
                <w:rFonts w:hint="default"/>
                <w:lang w:val="en-US" w:eastAsia="zh-CN"/>
              </w:rPr>
            </w:pPr>
            <w:r>
              <w:rPr>
                <w:rFonts w:hint="eastAsia"/>
                <w:lang w:val="en-US" w:eastAsia="zh-CN"/>
              </w:rPr>
              <w:t>20</w:t>
            </w:r>
          </w:p>
        </w:tc>
        <w:tc>
          <w:tcPr>
            <w:tcW w:w="3998" w:type="dxa"/>
            <w:tcMar>
              <w:left w:w="0" w:type="dxa"/>
              <w:right w:w="0" w:type="dxa"/>
            </w:tcMar>
            <w:vAlign w:val="center"/>
          </w:tcPr>
          <w:p w14:paraId="47B790A6">
            <w:pPr>
              <w:pStyle w:val="26"/>
              <w:bidi w:val="0"/>
              <w:jc w:val="center"/>
              <w:rPr>
                <w:rFonts w:hint="eastAsia"/>
                <w:lang w:val="en-US" w:eastAsia="zh-CN"/>
              </w:rPr>
            </w:pPr>
            <w:r>
              <w:t>工业企业应加强视频监控设备或水质在线监控设备的运维和联网管理，记录并妥善保存雨水监测、设施运营等台账资料，接受相关管理部门监督检查和非现场执法监管。</w:t>
            </w:r>
          </w:p>
        </w:tc>
        <w:tc>
          <w:tcPr>
            <w:tcW w:w="3049" w:type="dxa"/>
            <w:tcMar>
              <w:left w:w="0" w:type="dxa"/>
              <w:right w:w="0" w:type="dxa"/>
            </w:tcMar>
            <w:vAlign w:val="center"/>
          </w:tcPr>
          <w:p w14:paraId="33D88976">
            <w:pPr>
              <w:pStyle w:val="26"/>
              <w:bidi w:val="0"/>
              <w:jc w:val="center"/>
            </w:pPr>
            <w:r>
              <w:t>企业安排专人按相关要求负责</w:t>
            </w:r>
          </w:p>
          <w:p w14:paraId="20A9136C">
            <w:pPr>
              <w:pStyle w:val="26"/>
              <w:bidi w:val="0"/>
              <w:jc w:val="center"/>
            </w:pPr>
            <w:r>
              <w:t>记录保存雨水监测、设施运营</w:t>
            </w:r>
          </w:p>
          <w:p w14:paraId="0FCC6B40">
            <w:pPr>
              <w:pStyle w:val="26"/>
              <w:bidi w:val="0"/>
              <w:jc w:val="center"/>
              <w:rPr>
                <w:rFonts w:hint="eastAsia"/>
                <w:lang w:val="en-US" w:eastAsia="zh-CN"/>
              </w:rPr>
            </w:pPr>
            <w:r>
              <w:t>等台账资料。</w:t>
            </w:r>
          </w:p>
        </w:tc>
        <w:tc>
          <w:tcPr>
            <w:tcW w:w="741" w:type="dxa"/>
            <w:tcMar>
              <w:left w:w="0" w:type="dxa"/>
              <w:right w:w="0" w:type="dxa"/>
            </w:tcMar>
            <w:vAlign w:val="center"/>
          </w:tcPr>
          <w:p w14:paraId="54E806F1">
            <w:pPr>
              <w:pStyle w:val="26"/>
              <w:bidi w:val="0"/>
              <w:jc w:val="center"/>
              <w:rPr>
                <w:rFonts w:hint="eastAsia"/>
                <w:lang w:val="en-US" w:eastAsia="zh-CN"/>
              </w:rPr>
            </w:pPr>
            <w:r>
              <w:rPr>
                <w:rFonts w:hint="eastAsia"/>
                <w:lang w:val="en-US" w:eastAsia="zh-CN"/>
              </w:rPr>
              <w:t>符合</w:t>
            </w:r>
          </w:p>
        </w:tc>
      </w:tr>
      <w:tr w14:paraId="2D6C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2A4E65E8">
            <w:pPr>
              <w:pStyle w:val="26"/>
              <w:bidi w:val="0"/>
              <w:jc w:val="center"/>
              <w:rPr>
                <w:rFonts w:hint="default"/>
                <w:lang w:val="en-US" w:eastAsia="zh-CN"/>
              </w:rPr>
            </w:pPr>
            <w:r>
              <w:rPr>
                <w:rFonts w:hint="eastAsia"/>
                <w:lang w:val="en-US" w:eastAsia="zh-CN"/>
              </w:rPr>
              <w:t>21</w:t>
            </w:r>
          </w:p>
        </w:tc>
        <w:tc>
          <w:tcPr>
            <w:tcW w:w="3998" w:type="dxa"/>
            <w:tcMar>
              <w:left w:w="0" w:type="dxa"/>
              <w:right w:w="0" w:type="dxa"/>
            </w:tcMar>
            <w:vAlign w:val="center"/>
          </w:tcPr>
          <w:p w14:paraId="14527C19">
            <w:pPr>
              <w:pStyle w:val="26"/>
              <w:bidi w:val="0"/>
              <w:jc w:val="center"/>
              <w:rPr>
                <w:rFonts w:hint="eastAsia"/>
                <w:lang w:val="en-US" w:eastAsia="zh-CN"/>
              </w:rPr>
            </w:pPr>
            <w:r>
              <w:t>工业企业雨水排水管网图，应纳入企业环境信息公开管理内容，主动接受社会公众监督。</w:t>
            </w:r>
          </w:p>
        </w:tc>
        <w:tc>
          <w:tcPr>
            <w:tcW w:w="3049" w:type="dxa"/>
            <w:tcMar>
              <w:left w:w="0" w:type="dxa"/>
              <w:right w:w="0" w:type="dxa"/>
            </w:tcMar>
            <w:vAlign w:val="center"/>
          </w:tcPr>
          <w:p w14:paraId="1886BEA6">
            <w:pPr>
              <w:pStyle w:val="26"/>
              <w:bidi w:val="0"/>
              <w:jc w:val="center"/>
              <w:rPr>
                <w:rFonts w:hint="eastAsia"/>
                <w:lang w:val="en-US" w:eastAsia="zh-CN"/>
              </w:rPr>
            </w:pPr>
            <w:r>
              <w:t>企业雨水排水管网图已纳入企业环境信息公开管理内容。</w:t>
            </w:r>
          </w:p>
        </w:tc>
        <w:tc>
          <w:tcPr>
            <w:tcW w:w="741" w:type="dxa"/>
            <w:tcMar>
              <w:left w:w="0" w:type="dxa"/>
              <w:right w:w="0" w:type="dxa"/>
            </w:tcMar>
            <w:vAlign w:val="center"/>
          </w:tcPr>
          <w:p w14:paraId="07DFDD4C">
            <w:pPr>
              <w:pStyle w:val="26"/>
              <w:bidi w:val="0"/>
              <w:jc w:val="center"/>
              <w:rPr>
                <w:rFonts w:hint="eastAsia"/>
                <w:lang w:val="en-US" w:eastAsia="zh-CN"/>
              </w:rPr>
            </w:pPr>
            <w:r>
              <w:rPr>
                <w:rFonts w:hint="eastAsia"/>
                <w:lang w:val="en-US" w:eastAsia="zh-CN"/>
              </w:rPr>
              <w:t>符合</w:t>
            </w:r>
          </w:p>
        </w:tc>
      </w:tr>
      <w:tr w14:paraId="502C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4" w:type="pct"/>
            <w:tcMar>
              <w:left w:w="0" w:type="dxa"/>
              <w:right w:w="0" w:type="dxa"/>
            </w:tcMar>
            <w:vAlign w:val="center"/>
          </w:tcPr>
          <w:p w14:paraId="75D9782E">
            <w:pPr>
              <w:pStyle w:val="26"/>
              <w:bidi w:val="0"/>
              <w:jc w:val="center"/>
              <w:rPr>
                <w:rFonts w:hint="default"/>
                <w:lang w:val="en-US" w:eastAsia="zh-CN"/>
              </w:rPr>
            </w:pPr>
            <w:r>
              <w:rPr>
                <w:rFonts w:hint="eastAsia"/>
                <w:lang w:val="en-US" w:eastAsia="zh-CN"/>
              </w:rPr>
              <w:t>22</w:t>
            </w:r>
          </w:p>
        </w:tc>
        <w:tc>
          <w:tcPr>
            <w:tcW w:w="3998" w:type="dxa"/>
            <w:tcMar>
              <w:left w:w="0" w:type="dxa"/>
              <w:right w:w="0" w:type="dxa"/>
            </w:tcMar>
            <w:vAlign w:val="center"/>
          </w:tcPr>
          <w:p w14:paraId="045F7460">
            <w:pPr>
              <w:pStyle w:val="26"/>
              <w:bidi w:val="0"/>
              <w:jc w:val="center"/>
              <w:rPr>
                <w:rFonts w:hint="eastAsia"/>
                <w:lang w:val="en-US" w:eastAsia="zh-CN"/>
              </w:rPr>
            </w:pPr>
            <w:r>
              <w:t>工业企业应建立明确的雨水排放口管理制度和操作规程，并张贴上墙，开展日常操作演练，避免人为误操作等引发环境污染事故。</w:t>
            </w:r>
          </w:p>
        </w:tc>
        <w:tc>
          <w:tcPr>
            <w:tcW w:w="3049" w:type="dxa"/>
            <w:tcMar>
              <w:left w:w="0" w:type="dxa"/>
              <w:right w:w="0" w:type="dxa"/>
            </w:tcMar>
            <w:vAlign w:val="center"/>
          </w:tcPr>
          <w:p w14:paraId="4A1F8B6F">
            <w:pPr>
              <w:pStyle w:val="26"/>
              <w:bidi w:val="0"/>
              <w:jc w:val="center"/>
              <w:rPr>
                <w:rFonts w:hint="eastAsia"/>
                <w:lang w:val="en-US" w:eastAsia="zh-CN"/>
              </w:rPr>
            </w:pPr>
            <w:r>
              <w:t>企业已建立明确的雨水排放口管理制度和操作规程，并张贴上墙，开展日常操作演练。</w:t>
            </w:r>
          </w:p>
        </w:tc>
        <w:tc>
          <w:tcPr>
            <w:tcW w:w="741" w:type="dxa"/>
            <w:tcMar>
              <w:left w:w="0" w:type="dxa"/>
              <w:right w:w="0" w:type="dxa"/>
            </w:tcMar>
            <w:vAlign w:val="center"/>
          </w:tcPr>
          <w:p w14:paraId="0D35FE76">
            <w:pPr>
              <w:pStyle w:val="26"/>
              <w:bidi w:val="0"/>
              <w:jc w:val="center"/>
              <w:rPr>
                <w:rFonts w:hint="eastAsia"/>
                <w:lang w:val="en-US" w:eastAsia="zh-CN"/>
              </w:rPr>
            </w:pPr>
            <w:r>
              <w:rPr>
                <w:rFonts w:hint="eastAsia"/>
                <w:lang w:val="en-US" w:eastAsia="zh-CN"/>
              </w:rPr>
              <w:t>符合</w:t>
            </w:r>
          </w:p>
        </w:tc>
      </w:tr>
    </w:tbl>
    <w:p w14:paraId="398DFA92">
      <w:pPr>
        <w:rPr>
          <w:rFonts w:hint="eastAsia"/>
          <w:color w:val="auto"/>
        </w:rPr>
      </w:pPr>
      <w:r>
        <w:rPr>
          <w:rFonts w:hint="eastAsia"/>
          <w:color w:val="auto"/>
        </w:rPr>
        <w:t>由上表可知，企业日常雨水排放情况符合《江苏省重点行业工业企业雨水排放环境管理办法（试行）》中相关要求。 日常在初期雨水收集到位后，应做好后期雨水的收集、监控和排放。发现雨水排放口水质异常，如监控因子浓度出现明显升高，或超过受纳水体水功能区目标等管控要求时，应立即启动工业企业突发环境事件应急预案，立即停止排水并排查超标原因，达到相关要求后方可恢复排水。</w:t>
      </w:r>
    </w:p>
    <w:p w14:paraId="27223B2E">
      <w:pPr>
        <w:pStyle w:val="46"/>
        <w:bidi w:val="0"/>
        <w:rPr>
          <w:color w:val="auto"/>
        </w:rPr>
      </w:pPr>
      <w:r>
        <w:rPr>
          <w:rFonts w:hint="eastAsia"/>
          <w:color w:val="auto"/>
          <w:lang w:val="en-US" w:eastAsia="zh-CN"/>
        </w:rPr>
        <w:t>3</w:t>
      </w:r>
      <w:r>
        <w:rPr>
          <w:color w:val="auto"/>
        </w:rPr>
        <w:t>、与《关于印发&lt;省生态环境厅关于做好安全生产专项整治工作实施方案&gt;的通知》（苏环办[2020]16号）的相符性分析</w:t>
      </w:r>
    </w:p>
    <w:p w14:paraId="31155E4E">
      <w:pPr>
        <w:pStyle w:val="25"/>
        <w:bidi w:val="0"/>
        <w:rPr>
          <w:color w:val="auto"/>
        </w:rPr>
      </w:pPr>
      <w:r>
        <w:rPr>
          <w:rFonts w:hint="eastAsia"/>
          <w:color w:val="auto"/>
        </w:rPr>
        <w:t>表</w:t>
      </w:r>
      <w:r>
        <w:rPr>
          <w:rFonts w:hint="eastAsia"/>
          <w:color w:val="auto"/>
        </w:rPr>
        <w:fldChar w:fldCharType="begin"/>
      </w:r>
      <w:r>
        <w:rPr>
          <w:rFonts w:hint="eastAsia"/>
          <w:color w:val="auto"/>
        </w:rPr>
        <w:instrText xml:space="preserve"> STYLEREF 2 \s </w:instrText>
      </w:r>
      <w:r>
        <w:rPr>
          <w:rFonts w:hint="eastAsia"/>
          <w:color w:val="auto"/>
        </w:rPr>
        <w:fldChar w:fldCharType="separate"/>
      </w:r>
      <w:r>
        <w:rPr>
          <w:rFonts w:hint="eastAsia"/>
          <w:color w:val="auto"/>
        </w:rPr>
        <w:t>1.4</w:t>
      </w:r>
      <w:r>
        <w:rPr>
          <w:rFonts w:hint="eastAsia"/>
          <w:color w:val="auto"/>
        </w:rPr>
        <w:fldChar w:fldCharType="end"/>
      </w:r>
      <w:r>
        <w:rPr>
          <w:rFonts w:hint="eastAsia"/>
          <w:color w:val="auto"/>
        </w:rPr>
        <w:noBreakHyphen/>
      </w:r>
      <w:r>
        <w:rPr>
          <w:rFonts w:hint="eastAsia"/>
          <w:color w:val="auto"/>
        </w:rPr>
        <w:fldChar w:fldCharType="begin"/>
      </w:r>
      <w:r>
        <w:rPr>
          <w:rFonts w:hint="eastAsia"/>
          <w:color w:val="auto"/>
        </w:rPr>
        <w:instrText xml:space="preserve"> SEQ 表 \* ARABIC \s 2 </w:instrText>
      </w:r>
      <w:r>
        <w:rPr>
          <w:rFonts w:hint="eastAsia"/>
          <w:color w:val="auto"/>
        </w:rPr>
        <w:fldChar w:fldCharType="separate"/>
      </w:r>
      <w:r>
        <w:rPr>
          <w:rFonts w:hint="eastAsia"/>
          <w:color w:val="auto"/>
        </w:rPr>
        <w:t>14</w:t>
      </w:r>
      <w:r>
        <w:rPr>
          <w:rFonts w:hint="eastAsia"/>
          <w:color w:val="auto"/>
        </w:rPr>
        <w:fldChar w:fldCharType="end"/>
      </w:r>
      <w:r>
        <w:rPr>
          <w:rFonts w:hint="eastAsia"/>
          <w:color w:val="auto"/>
        </w:rPr>
        <w:t>与苏环办[2020]16号相符性分析</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5"/>
        <w:gridCol w:w="3977"/>
        <w:gridCol w:w="3035"/>
        <w:gridCol w:w="729"/>
      </w:tblGrid>
      <w:tr w14:paraId="2F3E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7DE55390">
            <w:pPr>
              <w:pStyle w:val="36"/>
              <w:bidi w:val="0"/>
              <w:rPr>
                <w:color w:val="auto"/>
              </w:rPr>
            </w:pPr>
            <w:r>
              <w:rPr>
                <w:color w:val="auto"/>
              </w:rPr>
              <w:t>序号</w:t>
            </w:r>
          </w:p>
        </w:tc>
        <w:tc>
          <w:tcPr>
            <w:tcW w:w="2391" w:type="pct"/>
            <w:tcMar>
              <w:left w:w="0" w:type="dxa"/>
              <w:right w:w="0" w:type="dxa"/>
            </w:tcMar>
            <w:vAlign w:val="center"/>
          </w:tcPr>
          <w:p w14:paraId="61C3C075">
            <w:pPr>
              <w:pStyle w:val="36"/>
              <w:bidi w:val="0"/>
              <w:rPr>
                <w:color w:val="auto"/>
              </w:rPr>
            </w:pPr>
            <w:r>
              <w:rPr>
                <w:color w:val="auto"/>
              </w:rPr>
              <w:t>文件规定要求</w:t>
            </w:r>
          </w:p>
        </w:tc>
        <w:tc>
          <w:tcPr>
            <w:tcW w:w="1825" w:type="pct"/>
            <w:tcMar>
              <w:left w:w="0" w:type="dxa"/>
              <w:right w:w="0" w:type="dxa"/>
            </w:tcMar>
            <w:vAlign w:val="center"/>
          </w:tcPr>
          <w:p w14:paraId="2DBB402A">
            <w:pPr>
              <w:pStyle w:val="36"/>
              <w:bidi w:val="0"/>
              <w:rPr>
                <w:color w:val="auto"/>
              </w:rPr>
            </w:pPr>
            <w:r>
              <w:rPr>
                <w:color w:val="auto"/>
              </w:rPr>
              <w:t>本项目情况</w:t>
            </w:r>
          </w:p>
        </w:tc>
        <w:tc>
          <w:tcPr>
            <w:tcW w:w="438" w:type="pct"/>
            <w:tcMar>
              <w:left w:w="0" w:type="dxa"/>
              <w:right w:w="0" w:type="dxa"/>
            </w:tcMar>
            <w:vAlign w:val="center"/>
          </w:tcPr>
          <w:p w14:paraId="0399682C">
            <w:pPr>
              <w:pStyle w:val="36"/>
              <w:bidi w:val="0"/>
              <w:rPr>
                <w:color w:val="auto"/>
              </w:rPr>
            </w:pPr>
            <w:r>
              <w:rPr>
                <w:color w:val="auto"/>
              </w:rPr>
              <w:t>相符性</w:t>
            </w:r>
          </w:p>
        </w:tc>
      </w:tr>
      <w:tr w14:paraId="356A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1181B9EF">
            <w:pPr>
              <w:pStyle w:val="26"/>
              <w:bidi w:val="0"/>
              <w:rPr>
                <w:color w:val="auto"/>
              </w:rPr>
            </w:pPr>
            <w:r>
              <w:rPr>
                <w:rFonts w:hint="eastAsia"/>
                <w:color w:val="auto"/>
              </w:rPr>
              <w:t>1</w:t>
            </w:r>
          </w:p>
        </w:tc>
        <w:tc>
          <w:tcPr>
            <w:tcW w:w="2391" w:type="pct"/>
            <w:tcMar>
              <w:left w:w="0" w:type="dxa"/>
              <w:right w:w="0" w:type="dxa"/>
            </w:tcMar>
            <w:vAlign w:val="center"/>
          </w:tcPr>
          <w:p w14:paraId="38C6C01F">
            <w:pPr>
              <w:pStyle w:val="26"/>
              <w:bidi w:val="0"/>
              <w:rPr>
                <w:color w:val="auto"/>
              </w:rPr>
            </w:pPr>
            <w:r>
              <w:rPr>
                <w:rFonts w:hint="eastAsia"/>
                <w:color w:val="auto"/>
              </w:rPr>
              <w:t>严格项目准入审查。出台和逐步完善项目环境准入负面清单，推动产业结构优化调整。严格落实《建设项目环境风险评价技术导则》要求，加强建设项目环境风险评价。对涉及危险工艺技术的项目，主动征求应急管理、消防等部门的意见，不符合产业政策和规划布局、达不到安全环保标准的，一律不予审批。对发现污染防治设施可能存在重大安全隐患的，主动与应急管理部门联系邀请共同参加项目审查会，开展联合审查，同时建议建设单位开展污染防治设施安全论证并</w:t>
            </w:r>
            <w:r>
              <w:rPr>
                <w:rFonts w:hint="eastAsia"/>
                <w:color w:val="auto"/>
                <w:lang w:eastAsia="zh-CN"/>
              </w:rPr>
              <w:t>报</w:t>
            </w:r>
            <w:r>
              <w:rPr>
                <w:rFonts w:hint="eastAsia"/>
                <w:color w:val="auto"/>
              </w:rPr>
              <w:t>应急管理部门，审慎对待风险较大隐患较大、争议较大的项目</w:t>
            </w:r>
          </w:p>
        </w:tc>
        <w:tc>
          <w:tcPr>
            <w:tcW w:w="1825" w:type="pct"/>
            <w:tcMar>
              <w:left w:w="0" w:type="dxa"/>
              <w:right w:w="0" w:type="dxa"/>
            </w:tcMar>
            <w:vAlign w:val="center"/>
          </w:tcPr>
          <w:p w14:paraId="3BC524E0">
            <w:pPr>
              <w:pStyle w:val="26"/>
              <w:bidi w:val="0"/>
              <w:rPr>
                <w:color w:val="auto"/>
              </w:rPr>
            </w:pPr>
            <w:r>
              <w:rPr>
                <w:rFonts w:hint="eastAsia"/>
                <w:color w:val="auto"/>
              </w:rPr>
              <w:t>本项目属于</w:t>
            </w:r>
            <w:r>
              <w:rPr>
                <w:rFonts w:hint="eastAsia"/>
                <w:color w:val="auto"/>
                <w:lang w:eastAsia="zh-CN"/>
              </w:rPr>
              <w:t>C3525 模具制造</w:t>
            </w:r>
            <w:r>
              <w:rPr>
                <w:rFonts w:hint="eastAsia"/>
                <w:color w:val="auto"/>
              </w:rPr>
              <w:t>，符合国家和地方环境准入负面清单，属于产业结构优化调整项目。项目落实了《建设项目环境风险评价技术导则》要求，并按相对应的评价等级进行评价，并作为相关应急管理、消防等部门的参考。本项目符合产业政策和规划布局要求，项目能够满足安全环保标准要求。</w:t>
            </w:r>
          </w:p>
        </w:tc>
        <w:tc>
          <w:tcPr>
            <w:tcW w:w="438" w:type="pct"/>
            <w:tcMar>
              <w:left w:w="0" w:type="dxa"/>
              <w:right w:w="0" w:type="dxa"/>
            </w:tcMar>
            <w:vAlign w:val="center"/>
          </w:tcPr>
          <w:p w14:paraId="15248762">
            <w:pPr>
              <w:pStyle w:val="26"/>
              <w:bidi w:val="0"/>
              <w:rPr>
                <w:color w:val="auto"/>
              </w:rPr>
            </w:pPr>
            <w:r>
              <w:rPr>
                <w:rFonts w:hint="eastAsia"/>
                <w:color w:val="auto"/>
              </w:rPr>
              <w:t>符合</w:t>
            </w:r>
          </w:p>
        </w:tc>
      </w:tr>
      <w:tr w14:paraId="69DA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15ACF28E">
            <w:pPr>
              <w:pStyle w:val="26"/>
              <w:bidi w:val="0"/>
              <w:rPr>
                <w:color w:val="auto"/>
              </w:rPr>
            </w:pPr>
            <w:r>
              <w:rPr>
                <w:rFonts w:hint="eastAsia"/>
                <w:color w:val="auto"/>
              </w:rPr>
              <w:t>2</w:t>
            </w:r>
          </w:p>
        </w:tc>
        <w:tc>
          <w:tcPr>
            <w:tcW w:w="2391" w:type="pct"/>
            <w:tcMar>
              <w:left w:w="0" w:type="dxa"/>
              <w:right w:w="0" w:type="dxa"/>
            </w:tcMar>
            <w:vAlign w:val="center"/>
          </w:tcPr>
          <w:p w14:paraId="26E1EE04">
            <w:pPr>
              <w:pStyle w:val="26"/>
              <w:bidi w:val="0"/>
              <w:rPr>
                <w:color w:val="auto"/>
              </w:rPr>
            </w:pPr>
            <w:r>
              <w:rPr>
                <w:rFonts w:hint="eastAsia"/>
                <w:color w:val="auto"/>
              </w:rPr>
              <w:t>推进减化提质工作。配合省化治办开展全省化工产业安全环保整治提升行动，对不符合环保标准的化工生产企业，提请地方政府关闭退出。配合省化治办开展化工园区省级认定，对达不到环保要求的化工园区，提请省政府取消化工定位，发现重大隐患的，及时通报化治办和应急管理部。</w:t>
            </w:r>
          </w:p>
        </w:tc>
        <w:tc>
          <w:tcPr>
            <w:tcW w:w="1825" w:type="pct"/>
            <w:tcMar>
              <w:left w:w="0" w:type="dxa"/>
              <w:right w:w="0" w:type="dxa"/>
            </w:tcMar>
            <w:vAlign w:val="center"/>
          </w:tcPr>
          <w:p w14:paraId="4474E908">
            <w:pPr>
              <w:pStyle w:val="26"/>
              <w:bidi w:val="0"/>
              <w:rPr>
                <w:color w:val="auto"/>
              </w:rPr>
            </w:pPr>
            <w:r>
              <w:rPr>
                <w:rFonts w:hint="eastAsia"/>
                <w:color w:val="auto"/>
              </w:rPr>
              <w:t>本项目属于化工行业，</w:t>
            </w:r>
            <w:r>
              <w:rPr>
                <w:rFonts w:hint="eastAsia"/>
                <w:color w:val="auto"/>
                <w:lang w:val="en-US" w:eastAsia="zh-CN"/>
              </w:rPr>
              <w:t>企业通过重点监测点认定</w:t>
            </w:r>
            <w:r>
              <w:rPr>
                <w:rFonts w:hint="eastAsia"/>
                <w:color w:val="auto"/>
              </w:rPr>
              <w:t>。</w:t>
            </w:r>
          </w:p>
        </w:tc>
        <w:tc>
          <w:tcPr>
            <w:tcW w:w="438" w:type="pct"/>
            <w:tcMar>
              <w:left w:w="0" w:type="dxa"/>
              <w:right w:w="0" w:type="dxa"/>
            </w:tcMar>
            <w:vAlign w:val="center"/>
          </w:tcPr>
          <w:p w14:paraId="541CA45F">
            <w:pPr>
              <w:pStyle w:val="26"/>
              <w:bidi w:val="0"/>
              <w:rPr>
                <w:color w:val="auto"/>
              </w:rPr>
            </w:pPr>
            <w:bookmarkStart w:id="38" w:name="OLE_LINK17"/>
            <w:r>
              <w:rPr>
                <w:rFonts w:hint="eastAsia"/>
                <w:color w:val="auto"/>
              </w:rPr>
              <w:t>符合</w:t>
            </w:r>
            <w:bookmarkEnd w:id="38"/>
          </w:p>
        </w:tc>
      </w:tr>
      <w:tr w14:paraId="3AD9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405F1811">
            <w:pPr>
              <w:pStyle w:val="26"/>
              <w:bidi w:val="0"/>
              <w:rPr>
                <w:color w:val="auto"/>
              </w:rPr>
            </w:pPr>
            <w:r>
              <w:rPr>
                <w:rFonts w:hint="eastAsia"/>
                <w:color w:val="auto"/>
              </w:rPr>
              <w:t>3</w:t>
            </w:r>
          </w:p>
        </w:tc>
        <w:tc>
          <w:tcPr>
            <w:tcW w:w="2391" w:type="pct"/>
            <w:tcMar>
              <w:left w:w="0" w:type="dxa"/>
              <w:right w:w="0" w:type="dxa"/>
            </w:tcMar>
            <w:vAlign w:val="center"/>
          </w:tcPr>
          <w:p w14:paraId="1B2B16C0">
            <w:pPr>
              <w:pStyle w:val="26"/>
              <w:bidi w:val="0"/>
              <w:rPr>
                <w:color w:val="auto"/>
              </w:rPr>
            </w:pPr>
            <w:r>
              <w:rPr>
                <w:rFonts w:hint="eastAsia"/>
                <w:color w:val="auto"/>
              </w:rPr>
              <w:t>开展危险废物处置专项整治。根据《省危险废物专项整治实施方案》，制定并组织实施《省生态环境厅微危险废物处置专项整治行动方案》。按时向省安全生产专项整治行动领导小组办公室报送危险废物处置专项整治行动工作信息、统计报表、工作总结。</w:t>
            </w:r>
          </w:p>
        </w:tc>
        <w:tc>
          <w:tcPr>
            <w:tcW w:w="1825" w:type="pct"/>
            <w:tcMar>
              <w:left w:w="0" w:type="dxa"/>
              <w:right w:w="0" w:type="dxa"/>
            </w:tcMar>
            <w:vAlign w:val="center"/>
          </w:tcPr>
          <w:p w14:paraId="5F147DAB">
            <w:pPr>
              <w:pStyle w:val="26"/>
              <w:bidi w:val="0"/>
              <w:rPr>
                <w:color w:val="auto"/>
              </w:rPr>
            </w:pPr>
            <w:r>
              <w:rPr>
                <w:rFonts w:hint="eastAsia"/>
                <w:color w:val="auto"/>
              </w:rPr>
              <w:t>本企业已进行了危险废物处置专项整治，并将整改信息上报了相关管理部门。</w:t>
            </w:r>
          </w:p>
        </w:tc>
        <w:tc>
          <w:tcPr>
            <w:tcW w:w="438" w:type="pct"/>
            <w:tcMar>
              <w:left w:w="0" w:type="dxa"/>
              <w:right w:w="0" w:type="dxa"/>
            </w:tcMar>
            <w:vAlign w:val="center"/>
          </w:tcPr>
          <w:p w14:paraId="3025F29F">
            <w:pPr>
              <w:pStyle w:val="26"/>
              <w:bidi w:val="0"/>
              <w:rPr>
                <w:color w:val="auto"/>
              </w:rPr>
            </w:pPr>
            <w:r>
              <w:rPr>
                <w:rFonts w:hint="eastAsia"/>
                <w:color w:val="auto"/>
              </w:rPr>
              <w:t>符合</w:t>
            </w:r>
          </w:p>
        </w:tc>
      </w:tr>
      <w:tr w14:paraId="47BB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6" w:type="pct"/>
            <w:tcMar>
              <w:left w:w="0" w:type="dxa"/>
              <w:right w:w="0" w:type="dxa"/>
            </w:tcMar>
            <w:vAlign w:val="center"/>
          </w:tcPr>
          <w:p w14:paraId="4C0CF496">
            <w:pPr>
              <w:pStyle w:val="26"/>
              <w:bidi w:val="0"/>
              <w:rPr>
                <w:color w:val="auto"/>
              </w:rPr>
            </w:pPr>
            <w:r>
              <w:rPr>
                <w:rFonts w:hint="eastAsia"/>
                <w:color w:val="auto"/>
              </w:rPr>
              <w:t>4</w:t>
            </w:r>
          </w:p>
        </w:tc>
        <w:tc>
          <w:tcPr>
            <w:tcW w:w="2391" w:type="pct"/>
            <w:tcMar>
              <w:left w:w="0" w:type="dxa"/>
              <w:right w:w="0" w:type="dxa"/>
            </w:tcMar>
            <w:vAlign w:val="center"/>
          </w:tcPr>
          <w:p w14:paraId="2810012D">
            <w:pPr>
              <w:pStyle w:val="26"/>
              <w:bidi w:val="0"/>
              <w:rPr>
                <w:color w:val="auto"/>
              </w:rPr>
            </w:pPr>
            <w:r>
              <w:rPr>
                <w:rFonts w:hint="eastAsia"/>
                <w:color w:val="auto"/>
              </w:rPr>
              <w:t>配合开展省其他专项整治。除我厅牵头负责的危险废物处置专项整治外，全省其他26个行业领域专项整治实施方案任务涉及生态环境部门的共5个(见附件)。相关处室(局)、单位，各设区市生态环境局要严格按照任务分工，按时序进度推进并向牵头厅局报送相关工作。</w:t>
            </w:r>
          </w:p>
        </w:tc>
        <w:tc>
          <w:tcPr>
            <w:tcW w:w="1825" w:type="pct"/>
            <w:tcMar>
              <w:left w:w="0" w:type="dxa"/>
              <w:right w:w="0" w:type="dxa"/>
            </w:tcMar>
            <w:vAlign w:val="center"/>
          </w:tcPr>
          <w:p w14:paraId="0909D74B">
            <w:pPr>
              <w:pStyle w:val="26"/>
              <w:bidi w:val="0"/>
              <w:rPr>
                <w:color w:val="auto"/>
              </w:rPr>
            </w:pPr>
            <w:r>
              <w:rPr>
                <w:rFonts w:hint="eastAsia"/>
                <w:color w:val="auto"/>
              </w:rPr>
              <w:t>本企业已按相关要求配合消防、应急等管理部门进行专项整治。</w:t>
            </w:r>
          </w:p>
        </w:tc>
        <w:tc>
          <w:tcPr>
            <w:tcW w:w="438" w:type="pct"/>
            <w:tcMar>
              <w:left w:w="0" w:type="dxa"/>
              <w:right w:w="0" w:type="dxa"/>
            </w:tcMar>
            <w:vAlign w:val="center"/>
          </w:tcPr>
          <w:p w14:paraId="599517B6">
            <w:pPr>
              <w:pStyle w:val="26"/>
              <w:bidi w:val="0"/>
              <w:rPr>
                <w:color w:val="auto"/>
              </w:rPr>
            </w:pPr>
            <w:r>
              <w:rPr>
                <w:rFonts w:hint="eastAsia"/>
                <w:color w:val="auto"/>
              </w:rPr>
              <w:t>符合</w:t>
            </w:r>
          </w:p>
        </w:tc>
      </w:tr>
    </w:tbl>
    <w:p w14:paraId="62B245C0">
      <w:pPr>
        <w:rPr>
          <w:color w:val="auto"/>
        </w:rPr>
      </w:pPr>
      <w:r>
        <w:rPr>
          <w:rFonts w:hint="eastAsia"/>
          <w:color w:val="auto"/>
        </w:rPr>
        <w:t>因此，本项目建设符合《关于进一步加强工业企业污染治理设施安全管理》中的相关要求。</w:t>
      </w:r>
    </w:p>
    <w:p w14:paraId="3CE93585">
      <w:pPr>
        <w:rPr>
          <w:rFonts w:hint="eastAsia" w:ascii="Times New Roman" w:hAnsi="Times New Roman"/>
          <w:b/>
          <w:bCs/>
          <w:color w:val="auto"/>
          <w:lang w:val="en-US" w:eastAsia="zh-CN"/>
        </w:rPr>
      </w:pPr>
    </w:p>
    <w:p w14:paraId="56D5A1C2">
      <w:pPr>
        <w:rPr>
          <w:rFonts w:hint="eastAsia" w:ascii="Times New Roman" w:hAnsi="Times New Roman"/>
          <w:b/>
          <w:bCs/>
          <w:color w:val="auto"/>
          <w:lang w:val="en-US" w:eastAsia="zh-CN"/>
        </w:rPr>
      </w:pPr>
      <w:r>
        <w:rPr>
          <w:rFonts w:hint="eastAsia" w:ascii="Times New Roman" w:hAnsi="Times New Roman"/>
          <w:b/>
          <w:bCs/>
          <w:color w:val="auto"/>
          <w:lang w:val="en-US" w:eastAsia="zh-CN"/>
        </w:rPr>
        <w:t>4、与重金属污染防治要求的相符性</w:t>
      </w:r>
    </w:p>
    <w:p w14:paraId="2C237B7B">
      <w:pPr>
        <w:rPr>
          <w:rFonts w:hint="eastAsia" w:ascii="Times New Roman" w:hAnsi="Times New Roman"/>
          <w:color w:val="auto"/>
          <w:lang w:val="en-US" w:eastAsia="zh-CN"/>
        </w:rPr>
      </w:pPr>
      <w:r>
        <w:rPr>
          <w:rFonts w:hint="eastAsia" w:ascii="Times New Roman" w:hAnsi="Times New Roman"/>
          <w:color w:val="auto"/>
          <w:lang w:val="en-US" w:eastAsia="zh-CN"/>
        </w:rPr>
        <w:t>本项目镀铬工艺使用铬酐，产生的含铬废水经厂内自建含铬废水处理系统处理后，进入 MVR 装置蒸发处理，冷凝水经纯水制备系统处理后全部回用，不外排。本项目不涉及重点重金属污染物（铅、汞、铬、镉和类金属砷5种重金属）的排放。因此，本项目符合《关于加强涉重金属行业污染防控的意见》（环土壤[2018]22号）、《关于进一步加强重金属污染防控的意见》（环固体[2022]17号）、《关于进一步规范涉及重点重金属污染物排放建设项目环境影响评价工作的通知》（苏环规[2015]1号）与《省生态环境厅印发关于进一步加强重金属污染防控工作的实施方案的通知》（苏环办[2022] 155 号）等相关要求。</w:t>
      </w:r>
    </w:p>
    <w:p w14:paraId="25C6CCC6">
      <w:pPr>
        <w:rPr>
          <w:rFonts w:hint="eastAsia" w:ascii="Times New Roman" w:hAnsi="Times New Roman"/>
          <w:color w:val="auto"/>
          <w:lang w:val="en-US" w:eastAsia="zh-CN"/>
        </w:rPr>
      </w:pPr>
    </w:p>
    <w:p w14:paraId="721D7D5B">
      <w:pPr>
        <w:rPr>
          <w:rFonts w:hint="default" w:eastAsia="仿宋"/>
          <w:color w:val="auto"/>
          <w:lang w:val="en-US" w:eastAsia="zh-CN"/>
        </w:rPr>
      </w:pPr>
    </w:p>
    <w:p w14:paraId="2A4A6D18">
      <w:pPr>
        <w:pStyle w:val="3"/>
        <w:bidi w:val="0"/>
        <w:rPr>
          <w:rFonts w:hint="eastAsia"/>
          <w:color w:val="auto"/>
        </w:rPr>
      </w:pPr>
      <w:bookmarkStart w:id="39" w:name="_Toc20578"/>
      <w:bookmarkStart w:id="40" w:name="_Toc3112"/>
      <w:r>
        <w:rPr>
          <w:rFonts w:hint="eastAsia"/>
          <w:color w:val="auto"/>
        </w:rPr>
        <w:t>初筛情况判定</w:t>
      </w:r>
      <w:bookmarkEnd w:id="39"/>
      <w:bookmarkEnd w:id="40"/>
    </w:p>
    <w:p w14:paraId="397081EB">
      <w:pPr>
        <w:pStyle w:val="25"/>
        <w:bidi w:val="0"/>
        <w:rPr>
          <w:rFonts w:hint="eastAsia"/>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1.5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rFonts w:hint="eastAsia"/>
          <w:color w:val="auto"/>
        </w:rPr>
        <w:t>本项目初筛情况一览表</w:t>
      </w:r>
    </w:p>
    <w:tbl>
      <w:tblPr>
        <w:tblStyle w:val="21"/>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7"/>
        <w:gridCol w:w="2661"/>
        <w:gridCol w:w="4978"/>
      </w:tblGrid>
      <w:tr w14:paraId="7D89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5A721A96">
            <w:pPr>
              <w:pStyle w:val="36"/>
              <w:bidi w:val="0"/>
              <w:rPr>
                <w:color w:val="auto"/>
              </w:rPr>
            </w:pPr>
            <w:r>
              <w:rPr>
                <w:color w:val="auto"/>
              </w:rPr>
              <w:t>序号</w:t>
            </w:r>
          </w:p>
        </w:tc>
        <w:tc>
          <w:tcPr>
            <w:tcW w:w="2658" w:type="dxa"/>
            <w:tcMar>
              <w:left w:w="0" w:type="dxa"/>
              <w:right w:w="0" w:type="dxa"/>
            </w:tcMar>
            <w:vAlign w:val="center"/>
          </w:tcPr>
          <w:p w14:paraId="6672C116">
            <w:pPr>
              <w:pStyle w:val="36"/>
              <w:bidi w:val="0"/>
              <w:rPr>
                <w:color w:val="auto"/>
              </w:rPr>
            </w:pPr>
            <w:r>
              <w:rPr>
                <w:color w:val="auto"/>
              </w:rPr>
              <w:t>初筛项目</w:t>
            </w:r>
          </w:p>
        </w:tc>
        <w:tc>
          <w:tcPr>
            <w:tcW w:w="4972" w:type="dxa"/>
            <w:tcMar>
              <w:left w:w="0" w:type="dxa"/>
              <w:right w:w="0" w:type="dxa"/>
            </w:tcMar>
            <w:vAlign w:val="center"/>
          </w:tcPr>
          <w:p w14:paraId="5B66459A">
            <w:pPr>
              <w:pStyle w:val="36"/>
              <w:bidi w:val="0"/>
              <w:rPr>
                <w:color w:val="auto"/>
              </w:rPr>
            </w:pPr>
            <w:r>
              <w:rPr>
                <w:color w:val="auto"/>
              </w:rPr>
              <w:t>初筛结论</w:t>
            </w:r>
          </w:p>
        </w:tc>
      </w:tr>
      <w:tr w14:paraId="6936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0E8E9512">
            <w:pPr>
              <w:pStyle w:val="26"/>
              <w:bidi w:val="0"/>
              <w:rPr>
                <w:color w:val="auto"/>
              </w:rPr>
            </w:pPr>
            <w:r>
              <w:rPr>
                <w:color w:val="auto"/>
              </w:rPr>
              <w:t>1</w:t>
            </w:r>
          </w:p>
        </w:tc>
        <w:tc>
          <w:tcPr>
            <w:tcW w:w="2658" w:type="dxa"/>
            <w:tcMar>
              <w:left w:w="0" w:type="dxa"/>
              <w:right w:w="0" w:type="dxa"/>
            </w:tcMar>
            <w:vAlign w:val="center"/>
          </w:tcPr>
          <w:p w14:paraId="0EF9896A">
            <w:pPr>
              <w:pStyle w:val="26"/>
              <w:bidi w:val="0"/>
              <w:rPr>
                <w:color w:val="auto"/>
              </w:rPr>
            </w:pPr>
            <w:r>
              <w:rPr>
                <w:color w:val="auto"/>
              </w:rPr>
              <w:t>建设项目选址、规模、性质和工艺路线等与国家和地方有关环境保护法律法规、标准、政策、规范、相关规划相符</w:t>
            </w:r>
          </w:p>
        </w:tc>
        <w:tc>
          <w:tcPr>
            <w:tcW w:w="4972" w:type="dxa"/>
            <w:tcMar>
              <w:left w:w="0" w:type="dxa"/>
              <w:right w:w="0" w:type="dxa"/>
            </w:tcMar>
            <w:vAlign w:val="center"/>
          </w:tcPr>
          <w:p w14:paraId="161971FD">
            <w:pPr>
              <w:pStyle w:val="26"/>
              <w:bidi w:val="0"/>
              <w:rPr>
                <w:color w:val="auto"/>
              </w:rPr>
            </w:pPr>
            <w:r>
              <w:rPr>
                <w:color w:val="auto"/>
              </w:rPr>
              <w:t>本项目符合国家和地方产业政策和用地要求；符合</w:t>
            </w:r>
            <w:r>
              <w:rPr>
                <w:rFonts w:hint="eastAsia"/>
                <w:color w:val="auto"/>
                <w:lang w:val="en-US" w:eastAsia="zh-CN"/>
              </w:rPr>
              <w:t>昆山市花桥镇总体规划</w:t>
            </w:r>
            <w:r>
              <w:rPr>
                <w:color w:val="auto"/>
              </w:rPr>
              <w:t>、环保规划和产业定位要求</w:t>
            </w:r>
          </w:p>
        </w:tc>
      </w:tr>
      <w:tr w14:paraId="1793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745E052A">
            <w:pPr>
              <w:pStyle w:val="26"/>
              <w:bidi w:val="0"/>
              <w:rPr>
                <w:color w:val="auto"/>
              </w:rPr>
            </w:pPr>
            <w:r>
              <w:rPr>
                <w:color w:val="auto"/>
              </w:rPr>
              <w:t>2</w:t>
            </w:r>
          </w:p>
        </w:tc>
        <w:tc>
          <w:tcPr>
            <w:tcW w:w="2658" w:type="dxa"/>
            <w:shd w:val="clear" w:color="auto" w:fill="auto"/>
            <w:tcMar>
              <w:left w:w="0" w:type="dxa"/>
              <w:right w:w="0" w:type="dxa"/>
            </w:tcMar>
            <w:vAlign w:val="center"/>
          </w:tcPr>
          <w:p w14:paraId="55F910C5">
            <w:pPr>
              <w:pStyle w:val="26"/>
              <w:bidi w:val="0"/>
              <w:rPr>
                <w:rFonts w:ascii="Times New Roman" w:hAnsi="Times New Roman" w:eastAsia="仿宋_GB2312" w:cs="Times New Roman"/>
                <w:color w:val="auto"/>
                <w:kern w:val="2"/>
                <w:sz w:val="21"/>
                <w:szCs w:val="22"/>
                <w:lang w:val="en-US" w:eastAsia="zh-CN" w:bidi="ar-SA"/>
              </w:rPr>
            </w:pPr>
            <w:r>
              <w:rPr>
                <w:color w:val="auto"/>
              </w:rPr>
              <w:t>建设项目是否与当地生态保护红线、环境质量底线、资源利用上线和环境准入负面清单（“三线一单”）</w:t>
            </w:r>
          </w:p>
        </w:tc>
        <w:tc>
          <w:tcPr>
            <w:tcW w:w="4972" w:type="dxa"/>
            <w:shd w:val="clear" w:color="auto" w:fill="auto"/>
            <w:tcMar>
              <w:left w:w="0" w:type="dxa"/>
              <w:right w:w="0" w:type="dxa"/>
            </w:tcMar>
            <w:vAlign w:val="center"/>
          </w:tcPr>
          <w:p w14:paraId="4F0540CA">
            <w:pPr>
              <w:pStyle w:val="26"/>
              <w:bidi w:val="0"/>
              <w:rPr>
                <w:rFonts w:hint="eastAsia" w:ascii="Times New Roman" w:hAnsi="Times New Roman" w:eastAsia="仿宋_GB2312" w:cs="Times New Roman"/>
                <w:color w:val="auto"/>
                <w:kern w:val="2"/>
                <w:sz w:val="21"/>
                <w:szCs w:val="22"/>
                <w:lang w:val="en-US" w:eastAsia="zh-CN" w:bidi="ar-SA"/>
              </w:rPr>
            </w:pPr>
            <w:r>
              <w:rPr>
                <w:color w:val="auto"/>
              </w:rPr>
              <w:t>本项目不在江苏省生态空间管控区域规划中的国家级生态保护红线、生态空间管控区域范围内，项目的建设不会导致生态红线区生态服务功能下降，根据环境现状和环境影响预测表明，项目建设不会突破环境质量底线；本项目不会突破资源利用上线</w:t>
            </w:r>
            <w:r>
              <w:rPr>
                <w:rFonts w:hint="eastAsia"/>
                <w:color w:val="auto"/>
                <w:lang w:eastAsia="zh-CN"/>
              </w:rPr>
              <w:t>；</w:t>
            </w:r>
            <w:r>
              <w:rPr>
                <w:color w:val="auto"/>
              </w:rPr>
              <w:t>本项目不属于环境准入负面清单</w:t>
            </w:r>
            <w:r>
              <w:rPr>
                <w:rFonts w:hint="eastAsia"/>
                <w:color w:val="auto"/>
              </w:rPr>
              <w:t>中限制、禁止类。</w:t>
            </w:r>
          </w:p>
        </w:tc>
      </w:tr>
      <w:tr w14:paraId="1155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0B4E842B">
            <w:pPr>
              <w:pStyle w:val="26"/>
              <w:bidi w:val="0"/>
              <w:rPr>
                <w:color w:val="auto"/>
              </w:rPr>
            </w:pPr>
            <w:r>
              <w:rPr>
                <w:color w:val="auto"/>
              </w:rPr>
              <w:t>3</w:t>
            </w:r>
          </w:p>
        </w:tc>
        <w:tc>
          <w:tcPr>
            <w:tcW w:w="2658" w:type="dxa"/>
            <w:shd w:val="clear" w:color="auto" w:fill="auto"/>
            <w:tcMar>
              <w:left w:w="0" w:type="dxa"/>
              <w:right w:w="0" w:type="dxa"/>
            </w:tcMar>
            <w:vAlign w:val="center"/>
          </w:tcPr>
          <w:p w14:paraId="5E3117AC">
            <w:pPr>
              <w:pStyle w:val="26"/>
              <w:bidi w:val="0"/>
              <w:rPr>
                <w:rFonts w:hint="eastAsia" w:ascii="Times New Roman" w:hAnsi="Times New Roman" w:eastAsia="仿宋_GB2312" w:cs="Times New Roman"/>
                <w:color w:val="auto"/>
                <w:kern w:val="2"/>
                <w:sz w:val="21"/>
                <w:szCs w:val="22"/>
                <w:lang w:val="en-US" w:eastAsia="zh-CN" w:bidi="ar-SA"/>
              </w:rPr>
            </w:pPr>
            <w:r>
              <w:rPr>
                <w:color w:val="auto"/>
              </w:rPr>
              <w:t>项目周边环境保护目标情况</w:t>
            </w:r>
          </w:p>
        </w:tc>
        <w:tc>
          <w:tcPr>
            <w:tcW w:w="4972" w:type="dxa"/>
            <w:shd w:val="clear" w:color="auto" w:fill="auto"/>
            <w:tcMar>
              <w:left w:w="0" w:type="dxa"/>
              <w:right w:w="0" w:type="dxa"/>
            </w:tcMar>
            <w:vAlign w:val="center"/>
          </w:tcPr>
          <w:p w14:paraId="1C660837">
            <w:pPr>
              <w:pStyle w:val="26"/>
              <w:bidi w:val="0"/>
              <w:rPr>
                <w:rFonts w:ascii="Times New Roman" w:hAnsi="Times New Roman" w:eastAsia="仿宋_GB2312" w:cs="Times New Roman"/>
                <w:color w:val="auto"/>
                <w:kern w:val="2"/>
                <w:sz w:val="21"/>
                <w:szCs w:val="22"/>
                <w:lang w:val="en-US" w:eastAsia="zh-CN" w:bidi="ar-SA"/>
              </w:rPr>
            </w:pPr>
            <w:r>
              <w:rPr>
                <w:color w:val="auto"/>
              </w:rPr>
              <w:t>建设项目位于</w:t>
            </w:r>
            <w:r>
              <w:rPr>
                <w:rFonts w:hint="eastAsia"/>
                <w:color w:val="auto"/>
                <w:lang w:eastAsia="zh-CN"/>
              </w:rPr>
              <w:t>昆山市花桥镇逢善路358号</w:t>
            </w:r>
            <w:r>
              <w:rPr>
                <w:color w:val="auto"/>
              </w:rPr>
              <w:t>，项目周边主要为</w:t>
            </w:r>
            <w:r>
              <w:rPr>
                <w:rFonts w:hint="eastAsia"/>
                <w:color w:val="auto"/>
              </w:rPr>
              <w:t>工业</w:t>
            </w:r>
            <w:r>
              <w:rPr>
                <w:color w:val="auto"/>
              </w:rPr>
              <w:t>企业，与周边环境相容。</w:t>
            </w:r>
            <w:r>
              <w:rPr>
                <w:color w:val="auto"/>
                <w:shd w:val="clear"/>
              </w:rPr>
              <w:t>本项目无需设置大气环境防护距离</w:t>
            </w:r>
            <w:r>
              <w:rPr>
                <w:color w:val="auto"/>
              </w:rPr>
              <w:t>。</w:t>
            </w:r>
          </w:p>
        </w:tc>
      </w:tr>
      <w:tr w14:paraId="1675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25AF4D3D">
            <w:pPr>
              <w:pStyle w:val="26"/>
              <w:bidi w:val="0"/>
              <w:rPr>
                <w:color w:val="auto"/>
              </w:rPr>
            </w:pPr>
            <w:r>
              <w:rPr>
                <w:color w:val="auto"/>
              </w:rPr>
              <w:t>4</w:t>
            </w:r>
          </w:p>
        </w:tc>
        <w:tc>
          <w:tcPr>
            <w:tcW w:w="2658" w:type="dxa"/>
            <w:shd w:val="clear" w:color="auto" w:fill="auto"/>
            <w:tcMar>
              <w:left w:w="0" w:type="dxa"/>
              <w:right w:w="0" w:type="dxa"/>
            </w:tcMar>
            <w:vAlign w:val="center"/>
          </w:tcPr>
          <w:p w14:paraId="5132DF19">
            <w:pPr>
              <w:pStyle w:val="26"/>
              <w:bidi w:val="0"/>
              <w:rPr>
                <w:rFonts w:ascii="Times New Roman" w:hAnsi="Times New Roman" w:eastAsia="仿宋_GB2312" w:cs="Times New Roman"/>
                <w:color w:val="auto"/>
                <w:kern w:val="2"/>
                <w:sz w:val="21"/>
                <w:szCs w:val="22"/>
                <w:lang w:val="en-US" w:eastAsia="zh-CN" w:bidi="ar-SA"/>
              </w:rPr>
            </w:pPr>
            <w:r>
              <w:rPr>
                <w:color w:val="auto"/>
              </w:rPr>
              <w:t>项目所在地环保基础设施是否能支撑本项目的建设</w:t>
            </w:r>
          </w:p>
        </w:tc>
        <w:tc>
          <w:tcPr>
            <w:tcW w:w="4972" w:type="dxa"/>
            <w:shd w:val="clear" w:color="auto" w:fill="auto"/>
            <w:tcMar>
              <w:left w:w="0" w:type="dxa"/>
              <w:right w:w="0" w:type="dxa"/>
            </w:tcMar>
            <w:vAlign w:val="center"/>
          </w:tcPr>
          <w:p w14:paraId="27A595EE">
            <w:pPr>
              <w:pStyle w:val="26"/>
              <w:bidi w:val="0"/>
              <w:rPr>
                <w:rFonts w:hint="eastAsia" w:ascii="Times New Roman" w:hAnsi="Times New Roman" w:eastAsia="仿宋_GB2312" w:cs="Times New Roman"/>
                <w:color w:val="auto"/>
                <w:kern w:val="2"/>
                <w:sz w:val="21"/>
                <w:szCs w:val="22"/>
                <w:lang w:val="en-US" w:eastAsia="zh-CN" w:bidi="ar-SA"/>
              </w:rPr>
            </w:pPr>
            <w:r>
              <w:rPr>
                <w:color w:val="auto"/>
              </w:rPr>
              <w:t>本项目位于</w:t>
            </w:r>
            <w:r>
              <w:rPr>
                <w:rFonts w:hint="eastAsia"/>
                <w:color w:val="auto"/>
                <w:lang w:val="en-US" w:eastAsia="zh-CN"/>
              </w:rPr>
              <w:t>昆山市花桥北部产业园</w:t>
            </w:r>
            <w:r>
              <w:rPr>
                <w:color w:val="auto"/>
              </w:rPr>
              <w:t>内，利用</w:t>
            </w:r>
            <w:r>
              <w:rPr>
                <w:rFonts w:hint="eastAsia"/>
                <w:color w:val="auto"/>
              </w:rPr>
              <w:t>区域</w:t>
            </w:r>
            <w:r>
              <w:rPr>
                <w:color w:val="auto"/>
              </w:rPr>
              <w:t>已建的水、电</w:t>
            </w:r>
            <w:r>
              <w:rPr>
                <w:rFonts w:hint="eastAsia"/>
                <w:color w:val="auto"/>
              </w:rPr>
              <w:t>、供热</w:t>
            </w:r>
            <w:r>
              <w:rPr>
                <w:color w:val="auto"/>
              </w:rPr>
              <w:t>等资源供应系统，设计中采取了全面的污染防治措施，确保项目三废达标排放，污水管网铺设到位，环保基础设施可支撑本项目的建设</w:t>
            </w:r>
            <w:r>
              <w:rPr>
                <w:rFonts w:hint="eastAsia"/>
                <w:color w:val="auto"/>
                <w:lang w:eastAsia="zh-CN"/>
              </w:rPr>
              <w:t>。</w:t>
            </w:r>
          </w:p>
        </w:tc>
      </w:tr>
      <w:tr w14:paraId="76A1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6" w:type="dxa"/>
            <w:tcMar>
              <w:left w:w="0" w:type="dxa"/>
              <w:right w:w="0" w:type="dxa"/>
            </w:tcMar>
            <w:vAlign w:val="center"/>
          </w:tcPr>
          <w:p w14:paraId="360C1DEB">
            <w:pPr>
              <w:pStyle w:val="26"/>
              <w:bidi w:val="0"/>
              <w:rPr>
                <w:color w:val="auto"/>
              </w:rPr>
            </w:pPr>
            <w:r>
              <w:rPr>
                <w:color w:val="auto"/>
              </w:rPr>
              <w:t>5</w:t>
            </w:r>
          </w:p>
        </w:tc>
        <w:tc>
          <w:tcPr>
            <w:tcW w:w="2658" w:type="dxa"/>
            <w:shd w:val="clear" w:color="auto" w:fill="auto"/>
            <w:tcMar>
              <w:left w:w="0" w:type="dxa"/>
              <w:right w:w="0" w:type="dxa"/>
            </w:tcMar>
            <w:vAlign w:val="center"/>
          </w:tcPr>
          <w:p w14:paraId="09E496FE">
            <w:pPr>
              <w:pStyle w:val="26"/>
              <w:bidi w:val="0"/>
              <w:rPr>
                <w:rFonts w:ascii="Times New Roman" w:hAnsi="Times New Roman" w:eastAsia="仿宋_GB2312" w:cs="Times New Roman"/>
                <w:color w:val="auto"/>
                <w:kern w:val="2"/>
                <w:sz w:val="21"/>
                <w:szCs w:val="22"/>
                <w:lang w:val="en-US" w:eastAsia="zh-CN" w:bidi="ar-SA"/>
              </w:rPr>
            </w:pPr>
            <w:r>
              <w:rPr>
                <w:color w:val="auto"/>
              </w:rPr>
              <w:t>是否存在环境遗留问题或其他环境制约因素</w:t>
            </w:r>
          </w:p>
        </w:tc>
        <w:tc>
          <w:tcPr>
            <w:tcW w:w="4972" w:type="dxa"/>
            <w:shd w:val="clear" w:color="auto" w:fill="auto"/>
            <w:tcMar>
              <w:left w:w="0" w:type="dxa"/>
              <w:right w:w="0" w:type="dxa"/>
            </w:tcMar>
            <w:vAlign w:val="center"/>
          </w:tcPr>
          <w:p w14:paraId="218140DA">
            <w:pPr>
              <w:pStyle w:val="26"/>
              <w:bidi w:val="0"/>
              <w:rPr>
                <w:rFonts w:hint="eastAsia" w:ascii="Times New Roman" w:hAnsi="Times New Roman" w:eastAsia="仿宋_GB2312" w:cs="Times New Roman"/>
                <w:color w:val="auto"/>
                <w:kern w:val="2"/>
                <w:sz w:val="21"/>
                <w:szCs w:val="22"/>
                <w:lang w:val="en-US" w:eastAsia="zh-CN" w:bidi="ar-SA"/>
              </w:rPr>
            </w:pPr>
            <w:r>
              <w:rPr>
                <w:color w:val="auto"/>
              </w:rPr>
              <w:t>本项目在现有厂房进行改造，现有项目已完成验收，现有项目根据排污许可中的监测计划进行监测，按照相关要求开展土壤与地下水隐患排查，根据现状踏勘及资料调查，本项目依托的厂区无环境遗留问题或环境制约因素</w:t>
            </w:r>
            <w:r>
              <w:rPr>
                <w:rFonts w:hint="eastAsia"/>
                <w:color w:val="auto"/>
                <w:lang w:eastAsia="zh-CN"/>
              </w:rPr>
              <w:t>。</w:t>
            </w:r>
          </w:p>
        </w:tc>
      </w:tr>
    </w:tbl>
    <w:p w14:paraId="4A6FC893">
      <w:pPr>
        <w:pStyle w:val="3"/>
        <w:rPr>
          <w:color w:val="auto"/>
        </w:rPr>
      </w:pPr>
      <w:bookmarkStart w:id="41" w:name="_Toc31639"/>
      <w:bookmarkStart w:id="42" w:name="_Toc22174"/>
      <w:r>
        <w:rPr>
          <w:rFonts w:hint="eastAsia"/>
          <w:color w:val="auto"/>
          <w:lang w:val="en-US" w:eastAsia="zh-CN"/>
        </w:rPr>
        <w:t>关注的</w:t>
      </w:r>
      <w:r>
        <w:rPr>
          <w:rFonts w:hint="eastAsia"/>
          <w:color w:val="auto"/>
        </w:rPr>
        <w:t>主要环境问题</w:t>
      </w:r>
      <w:bookmarkEnd w:id="41"/>
      <w:bookmarkEnd w:id="42"/>
    </w:p>
    <w:p w14:paraId="117B5C89">
      <w:pPr>
        <w:rPr>
          <w:rFonts w:hint="eastAsia"/>
          <w:color w:val="auto"/>
        </w:rPr>
      </w:pPr>
      <w:r>
        <w:rPr>
          <w:rFonts w:hint="eastAsia"/>
          <w:color w:val="auto"/>
        </w:rPr>
        <w:t>针对本项目的工程特点和周围的环境特点，本项目关注的主要环境问题是：</w:t>
      </w:r>
    </w:p>
    <w:p w14:paraId="213FC899">
      <w:pPr>
        <w:rPr>
          <w:rFonts w:hint="eastAsia"/>
          <w:color w:val="auto"/>
        </w:rPr>
      </w:pPr>
      <w:r>
        <w:rPr>
          <w:rFonts w:hint="eastAsia"/>
          <w:color w:val="auto"/>
        </w:rPr>
        <w:t>1、项目与国家及地方产业政策和准入条件的相符性、与区域规划相符性；</w:t>
      </w:r>
    </w:p>
    <w:p w14:paraId="6091D6DE">
      <w:pPr>
        <w:rPr>
          <w:rFonts w:hint="eastAsia"/>
          <w:color w:val="auto"/>
        </w:rPr>
      </w:pPr>
      <w:r>
        <w:rPr>
          <w:rFonts w:hint="eastAsia"/>
          <w:color w:val="auto"/>
        </w:rPr>
        <w:t>2、项目生产过程产生的废气、固废以及噪声等环境要素的污染；以及采取的环保措施能否确保各项污染物长期稳定达标排放，项目投产运行后是否会改变当地的相关环境功能区划；</w:t>
      </w:r>
    </w:p>
    <w:p w14:paraId="72FE4EEB">
      <w:pPr>
        <w:rPr>
          <w:rFonts w:hint="eastAsia"/>
          <w:color w:val="auto"/>
        </w:rPr>
      </w:pPr>
      <w:r>
        <w:rPr>
          <w:rFonts w:hint="eastAsia"/>
          <w:color w:val="auto"/>
        </w:rPr>
        <w:t>3、关注项目采取的水污染防治措施是否具有经济技术可行</w:t>
      </w:r>
      <w:r>
        <w:rPr>
          <w:rFonts w:hint="eastAsia"/>
          <w:color w:val="auto"/>
          <w:lang w:eastAsia="zh-CN"/>
        </w:rPr>
        <w:t>；</w:t>
      </w:r>
    </w:p>
    <w:p w14:paraId="43E007F3">
      <w:pPr>
        <w:rPr>
          <w:color w:val="auto"/>
        </w:rPr>
      </w:pPr>
      <w:r>
        <w:rPr>
          <w:rFonts w:hint="eastAsia"/>
          <w:color w:val="auto"/>
          <w:lang w:val="en-US" w:eastAsia="zh-CN"/>
        </w:rPr>
        <w:t>4、</w:t>
      </w:r>
      <w:r>
        <w:rPr>
          <w:rFonts w:hint="eastAsia"/>
          <w:color w:val="auto"/>
        </w:rPr>
        <w:t>本项目的环境风险防范措施是否符合要求。</w:t>
      </w:r>
    </w:p>
    <w:p w14:paraId="049DCDB2">
      <w:pPr>
        <w:pStyle w:val="3"/>
        <w:rPr>
          <w:color w:val="auto"/>
        </w:rPr>
      </w:pPr>
      <w:bookmarkStart w:id="43" w:name="_Toc17932"/>
      <w:bookmarkStart w:id="44" w:name="_Toc8426"/>
      <w:r>
        <w:rPr>
          <w:rFonts w:hint="eastAsia"/>
          <w:color w:val="auto"/>
        </w:rPr>
        <w:t>报告书的主要结论</w:t>
      </w:r>
      <w:bookmarkEnd w:id="43"/>
      <w:bookmarkEnd w:id="44"/>
    </w:p>
    <w:p w14:paraId="34E8E607">
      <w:pPr>
        <w:rPr>
          <w:color w:val="auto"/>
        </w:rPr>
      </w:pPr>
      <w:r>
        <w:rPr>
          <w:rFonts w:hint="eastAsia"/>
          <w:color w:val="auto"/>
        </w:rPr>
        <w:t>本报告经分析论证和预测评价后认为，本项目符合国家产业政策的要求，与区域规划基本相容、选址合理，污染防治措施技术及经济可行，满足总量控制的要求。在落实本报告书提出的风险防范措施、环境污染治理和环境管理措施的情况下，污染物均能实现达标排放且对环境影响可接受。从环保角度来讲，建设项目在拟建地建设是可行的。</w:t>
      </w:r>
    </w:p>
    <w:p w14:paraId="65CD7581">
      <w:pPr>
        <w:rPr>
          <w:color w:val="auto"/>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621C356">
      <w:pPr>
        <w:pStyle w:val="2"/>
        <w:rPr>
          <w:color w:val="auto"/>
        </w:rPr>
      </w:pPr>
      <w:bookmarkStart w:id="45" w:name="_Toc27808"/>
      <w:bookmarkStart w:id="46" w:name="_Toc21294"/>
      <w:r>
        <w:rPr>
          <w:rFonts w:hint="eastAsia"/>
          <w:color w:val="auto"/>
        </w:rPr>
        <w:t>总则</w:t>
      </w:r>
      <w:bookmarkEnd w:id="45"/>
      <w:bookmarkEnd w:id="46"/>
    </w:p>
    <w:p w14:paraId="73292EDD">
      <w:pPr>
        <w:pStyle w:val="3"/>
        <w:bidi w:val="0"/>
        <w:rPr>
          <w:color w:val="auto"/>
        </w:rPr>
      </w:pPr>
      <w:bookmarkStart w:id="47" w:name="_Toc26749"/>
      <w:bookmarkStart w:id="48" w:name="_Toc7774"/>
      <w:r>
        <w:rPr>
          <w:rFonts w:hint="eastAsia"/>
          <w:color w:val="auto"/>
        </w:rPr>
        <w:t>编制依据</w:t>
      </w:r>
      <w:bookmarkEnd w:id="47"/>
      <w:bookmarkEnd w:id="48"/>
    </w:p>
    <w:p w14:paraId="324EADE1">
      <w:pPr>
        <w:pStyle w:val="4"/>
        <w:bidi w:val="0"/>
        <w:rPr>
          <w:color w:val="auto"/>
        </w:rPr>
      </w:pPr>
      <w:bookmarkStart w:id="49" w:name="_Toc25030"/>
      <w:bookmarkStart w:id="50" w:name="_Toc5769"/>
      <w:r>
        <w:rPr>
          <w:rFonts w:hint="eastAsia"/>
          <w:color w:val="auto"/>
        </w:rPr>
        <w:t>国家法律法规</w:t>
      </w:r>
      <w:bookmarkEnd w:id="49"/>
      <w:bookmarkEnd w:id="50"/>
    </w:p>
    <w:p w14:paraId="09F06739">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lang w:eastAsia="zh-CN"/>
        </w:rPr>
        <w:t>《中华人民共和国生态环境法典》（2026年3月12日第十四届全国人民代表大会第四次会议通过）；</w:t>
      </w:r>
    </w:p>
    <w:p w14:paraId="567B73B4">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《中华人民共和国环境保护法》（2014年4月24日修订通过，自2015年1月1日起施行）；</w:t>
      </w:r>
    </w:p>
    <w:p w14:paraId="0803849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《中华人民共和国环境影响评价法》（第十三届全国人民代表大会常务委员会第七次会议修订，2018年12月29日施行）；</w:t>
      </w:r>
    </w:p>
    <w:p w14:paraId="1FDE7E29">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《中华人民共和国大气污染防治法》（2018年10月26日修订）；</w:t>
      </w:r>
    </w:p>
    <w:p w14:paraId="3C330BC5">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《中华人民共和国水法》（2016年7月修订）；</w:t>
      </w:r>
    </w:p>
    <w:p w14:paraId="1918C74B">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《中华人民共和国水污染防治法》（2017年6月27日修订）；</w:t>
      </w:r>
    </w:p>
    <w:p w14:paraId="07F3222C">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《中华人民共和国噪声污染防治法》（2022年6月5日施行）；</w:t>
      </w:r>
    </w:p>
    <w:p w14:paraId="341E27C3">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《中华人民共和国固体废物污染环境防治法》（2020年4月29日修订，自2020年9月1日起施行）；</w:t>
      </w:r>
    </w:p>
    <w:p w14:paraId="3BC9F419">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《中华人民共和国土壤污染防治法》（2019年1月1日起施行）；</w:t>
      </w:r>
    </w:p>
    <w:p w14:paraId="0026BDAC">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《中华人民共和国长江保护法》（2021年3月1日起施行）；</w:t>
      </w:r>
    </w:p>
    <w:p w14:paraId="16D9285D">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《太湖流域管理条例》，国务院令第604号，2011年11月1日起施行；</w:t>
      </w:r>
    </w:p>
    <w:p w14:paraId="70704233">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《地下水管理条例》（国务院令第748号）</w:t>
      </w:r>
      <w:r>
        <w:rPr>
          <w:rFonts w:hint="eastAsia" w:ascii="Times New Roman" w:hAnsi="Times New Roman"/>
          <w:color w:val="auto"/>
          <w:lang w:eastAsia="zh-CN"/>
        </w:rPr>
        <w:t>；</w:t>
      </w:r>
    </w:p>
    <w:p w14:paraId="32AEB47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《危险化学品安全管理条例》（国务院令〔201</w:t>
      </w:r>
      <w:r>
        <w:rPr>
          <w:rFonts w:hint="eastAsia" w:ascii="Times New Roman" w:hAnsi="Times New Roman"/>
          <w:color w:val="auto"/>
        </w:rPr>
        <w:t>3</w:t>
      </w:r>
      <w:r>
        <w:rPr>
          <w:rFonts w:ascii="Times New Roman" w:hAnsi="Times New Roman"/>
          <w:color w:val="auto"/>
        </w:rPr>
        <w:t>〕</w:t>
      </w:r>
      <w:r>
        <w:rPr>
          <w:rFonts w:hint="eastAsia" w:ascii="Times New Roman" w:hAnsi="Times New Roman"/>
          <w:color w:val="auto"/>
        </w:rPr>
        <w:t>645</w:t>
      </w:r>
      <w:r>
        <w:rPr>
          <w:rFonts w:ascii="Times New Roman" w:hAnsi="Times New Roman"/>
          <w:color w:val="auto"/>
        </w:rPr>
        <w:t>号）；</w:t>
      </w:r>
    </w:p>
    <w:p w14:paraId="05D6925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《中华人民共和国危险化学品安全法》（</w:t>
      </w:r>
      <w:r>
        <w:rPr>
          <w:rFonts w:hint="eastAsia" w:ascii="Times New Roman" w:hAnsi="Times New Roman"/>
          <w:color w:val="auto"/>
        </w:rPr>
        <w:t>2025年12月27日第十四届全国人民代表大会常务委员会第十九次会议通过</w:t>
      </w:r>
      <w:r>
        <w:rPr>
          <w:rFonts w:ascii="Times New Roman" w:hAnsi="Times New Roman"/>
          <w:color w:val="auto"/>
        </w:rPr>
        <w:t>）；</w:t>
      </w:r>
    </w:p>
    <w:p w14:paraId="2FD9E417">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《关于发布&lt;优先控制化学品名录（第一批）&gt;的公告》（公告2017年第83号）；</w:t>
      </w:r>
    </w:p>
    <w:p w14:paraId="513ED0B1">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《关于发布&lt;优先控制化学品名录（第二批）&gt;的公告》（公告2020年第47号）；</w:t>
      </w:r>
    </w:p>
    <w:p w14:paraId="33486B3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《关于印发&lt;中国严格限制的有毒化学品名录&gt;（</w:t>
      </w:r>
      <w:r>
        <w:rPr>
          <w:rFonts w:ascii="Times New Roman" w:hAnsi="Times New Roman"/>
          <w:color w:val="auto"/>
        </w:rPr>
        <w:t>2020</w:t>
      </w:r>
      <w:r>
        <w:rPr>
          <w:rFonts w:hint="eastAsia" w:ascii="Times New Roman" w:hAnsi="Times New Roman"/>
          <w:color w:val="auto"/>
        </w:rPr>
        <w:t>年）的公告》（</w:t>
      </w:r>
      <w:r>
        <w:rPr>
          <w:rFonts w:ascii="Times New Roman" w:hAnsi="Times New Roman"/>
          <w:color w:val="auto"/>
        </w:rPr>
        <w:t>公告2019年第60号</w:t>
      </w:r>
      <w:r>
        <w:rPr>
          <w:rFonts w:hint="eastAsia" w:ascii="Times New Roman" w:hAnsi="Times New Roman"/>
          <w:color w:val="auto"/>
        </w:rPr>
        <w:t>，</w:t>
      </w:r>
      <w:r>
        <w:rPr>
          <w:rFonts w:ascii="Times New Roman" w:hAnsi="Times New Roman"/>
          <w:color w:val="auto"/>
        </w:rPr>
        <w:t>2020年1月1日起实施</w:t>
      </w:r>
      <w:r>
        <w:rPr>
          <w:rFonts w:hint="eastAsia" w:ascii="Times New Roman" w:hAnsi="Times New Roman"/>
          <w:color w:val="auto"/>
        </w:rPr>
        <w:t>）；</w:t>
      </w:r>
    </w:p>
    <w:p w14:paraId="0E7D1B70">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《关于发布&lt;重点环境管理危险化学品目录&gt;的通知》（环办〔2014〕33号）；</w:t>
      </w:r>
    </w:p>
    <w:p w14:paraId="0E7B65FB">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《建设项目环境保护管理条例》（2017年10月1日施行）；</w:t>
      </w:r>
    </w:p>
    <w:p w14:paraId="2FCEC574">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《产业结构调整指导目录（20</w:t>
      </w:r>
      <w:r>
        <w:rPr>
          <w:rFonts w:hint="eastAsia" w:ascii="Times New Roman" w:hAnsi="Times New Roman"/>
          <w:color w:val="auto"/>
        </w:rPr>
        <w:t>24</w:t>
      </w:r>
      <w:r>
        <w:rPr>
          <w:rFonts w:ascii="Times New Roman" w:hAnsi="Times New Roman"/>
          <w:color w:val="auto"/>
        </w:rPr>
        <w:t>年本）》；</w:t>
      </w:r>
    </w:p>
    <w:p w14:paraId="3706DADF">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《固体废物鉴别标准通则》（GB34330-20</w:t>
      </w:r>
      <w:r>
        <w:rPr>
          <w:rFonts w:hint="eastAsia"/>
          <w:color w:val="auto"/>
          <w:lang w:val="en-US" w:eastAsia="zh-CN"/>
        </w:rPr>
        <w:t>25</w:t>
      </w:r>
      <w:r>
        <w:rPr>
          <w:rFonts w:ascii="Times New Roman" w:hAnsi="Times New Roman"/>
          <w:color w:val="auto"/>
        </w:rPr>
        <w:t>）；</w:t>
      </w:r>
    </w:p>
    <w:p w14:paraId="553A878A">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w:t>
      </w:r>
      <w:r>
        <w:rPr>
          <w:rFonts w:ascii="Times New Roman" w:hAnsi="Times New Roman"/>
          <w:color w:val="auto"/>
        </w:rPr>
        <w:t>国家危险废物名录</w:t>
      </w:r>
      <w:r>
        <w:rPr>
          <w:rFonts w:hint="eastAsia" w:ascii="Times New Roman" w:hAnsi="Times New Roman"/>
          <w:color w:val="auto"/>
        </w:rPr>
        <w:t>》</w:t>
      </w:r>
      <w:r>
        <w:rPr>
          <w:rFonts w:ascii="Times New Roman" w:hAnsi="Times New Roman"/>
          <w:color w:val="auto"/>
        </w:rPr>
        <w:t>（202</w:t>
      </w:r>
      <w:r>
        <w:rPr>
          <w:rFonts w:hint="eastAsia" w:ascii="Times New Roman" w:hAnsi="Times New Roman"/>
          <w:color w:val="auto"/>
          <w:lang w:val="en-US" w:eastAsia="zh-CN"/>
        </w:rPr>
        <w:t>5</w:t>
      </w:r>
      <w:r>
        <w:rPr>
          <w:rFonts w:ascii="Times New Roman" w:hAnsi="Times New Roman"/>
          <w:color w:val="auto"/>
        </w:rPr>
        <w:t>年版），202</w:t>
      </w:r>
      <w:r>
        <w:rPr>
          <w:rFonts w:hint="eastAsia" w:ascii="Times New Roman" w:hAnsi="Times New Roman"/>
          <w:color w:val="auto"/>
          <w:lang w:val="en-US" w:eastAsia="zh-CN"/>
        </w:rPr>
        <w:t>5</w:t>
      </w:r>
      <w:r>
        <w:rPr>
          <w:rFonts w:ascii="Times New Roman" w:hAnsi="Times New Roman"/>
          <w:color w:val="auto"/>
        </w:rPr>
        <w:t>年1月1日起施行；</w:t>
      </w:r>
    </w:p>
    <w:p w14:paraId="3E68D741">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w:t>
      </w:r>
      <w:r>
        <w:rPr>
          <w:rFonts w:hint="eastAsia" w:ascii="Times New Roman" w:hAnsi="Times New Roman"/>
          <w:color w:val="auto"/>
        </w:rPr>
        <w:t>关于印发</w:t>
      </w:r>
      <w:r>
        <w:rPr>
          <w:rFonts w:hint="eastAsia" w:ascii="Times New Roman" w:hAnsi="Times New Roman"/>
          <w:color w:val="auto"/>
          <w:lang w:val="en-US" w:eastAsia="zh-CN"/>
        </w:rPr>
        <w:t>&lt;</w:t>
      </w:r>
      <w:r>
        <w:rPr>
          <w:rFonts w:hint="eastAsia" w:ascii="Times New Roman" w:hAnsi="Times New Roman"/>
          <w:color w:val="auto"/>
        </w:rPr>
        <w:t>自然资源要素支撑产业高质量发展指导目录（2024年本）</w:t>
      </w:r>
      <w:r>
        <w:rPr>
          <w:rFonts w:hint="eastAsia" w:ascii="Times New Roman" w:hAnsi="Times New Roman"/>
          <w:color w:val="auto"/>
          <w:lang w:val="en-US" w:eastAsia="zh-CN"/>
        </w:rPr>
        <w:t>&gt;</w:t>
      </w:r>
      <w:r>
        <w:rPr>
          <w:rFonts w:hint="eastAsia" w:ascii="Times New Roman" w:hAnsi="Times New Roman"/>
          <w:color w:val="auto"/>
        </w:rPr>
        <w:t>的通知</w:t>
      </w:r>
      <w:r>
        <w:rPr>
          <w:rFonts w:ascii="Times New Roman" w:hAnsi="Times New Roman"/>
          <w:color w:val="auto"/>
        </w:rPr>
        <w:t>》（</w:t>
      </w:r>
      <w:r>
        <w:rPr>
          <w:rFonts w:hint="eastAsia" w:ascii="Times New Roman" w:hAnsi="Times New Roman"/>
          <w:color w:val="auto"/>
        </w:rPr>
        <w:t>自然资发〔2024〕273号</w:t>
      </w:r>
      <w:r>
        <w:rPr>
          <w:rFonts w:ascii="Times New Roman" w:hAnsi="Times New Roman"/>
          <w:color w:val="auto"/>
        </w:rPr>
        <w:t>）；</w:t>
      </w:r>
    </w:p>
    <w:p w14:paraId="3711CD65">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《关于提升危险废物环境监管能力、利用处置能力和环境风险防范能力的指导意见》（环固体〔2019〕92号）；</w:t>
      </w:r>
    </w:p>
    <w:p w14:paraId="59A0ABA5">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《关于进一步加强环境影响评价管理防范环境风险的通知》，环境保护部，环发〔2012〕77号；</w:t>
      </w:r>
    </w:p>
    <w:p w14:paraId="4BF196E0">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《关于进一步加强环境保护信息公开工作的通知》，环办〔2012〕134号；</w:t>
      </w:r>
    </w:p>
    <w:p w14:paraId="0D6EF869">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w:t>
      </w:r>
      <w:r>
        <w:rPr>
          <w:rFonts w:hint="eastAsia" w:ascii="Times New Roman" w:hAnsi="Times New Roman"/>
          <w:color w:val="auto"/>
        </w:rPr>
        <w:t>环境影响评价公众参与办法》（2019年1月1日起施行）</w:t>
      </w:r>
      <w:r>
        <w:rPr>
          <w:rFonts w:ascii="Times New Roman" w:hAnsi="Times New Roman"/>
          <w:color w:val="auto"/>
        </w:rPr>
        <w:t>；</w:t>
      </w:r>
    </w:p>
    <w:p w14:paraId="7F1E75C1">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关于印发《建设项目环境影响评价政府信息公开指南（试行）》的通知，环境保护部办公厅文件，环办〔2013〕103号，2013年11月14日；</w:t>
      </w:r>
    </w:p>
    <w:p w14:paraId="25CC13F7">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《国务院关于印发水污染防治行动计划的通知》（国发〔2015〕17号）；</w:t>
      </w:r>
    </w:p>
    <w:p w14:paraId="4F3CA9E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《国务院关于印发大气污染防治行动计划的通知》（国发〔2013〕37号）；</w:t>
      </w:r>
    </w:p>
    <w:p w14:paraId="46A8C4B8">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《国务院关于印发土壤污染防治行动计划的通知》（国发〔2016〕31号）；</w:t>
      </w:r>
    </w:p>
    <w:p w14:paraId="68486168">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《国务院办公厅关于印发&lt;新污染物治理行动方案&gt;的通知》（国办发〔2022〕15号）</w:t>
      </w:r>
      <w:r>
        <w:rPr>
          <w:rFonts w:ascii="Times New Roman" w:hAnsi="Times New Roman"/>
          <w:color w:val="auto"/>
        </w:rPr>
        <w:t>；</w:t>
      </w:r>
    </w:p>
    <w:p w14:paraId="21F08665">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《关于以改善环境质量为核心加强环境影响评价管理的通知》（环环评〔2016〕150号）；</w:t>
      </w:r>
    </w:p>
    <w:p w14:paraId="1FBA0C43">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《关于做好环境影响评价制度与排污许可制衔接相关工作的通知》（环办环评〔2017〕84号）；</w:t>
      </w:r>
    </w:p>
    <w:p w14:paraId="36001A65">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《工矿用地土壤环境管理办法（试行）》</w:t>
      </w:r>
      <w:r>
        <w:rPr>
          <w:rFonts w:hint="eastAsia" w:ascii="Times New Roman" w:hAnsi="Times New Roman"/>
          <w:color w:val="auto"/>
          <w:lang w:eastAsia="zh-CN"/>
        </w:rPr>
        <w:t>（</w:t>
      </w:r>
      <w:r>
        <w:rPr>
          <w:rFonts w:hint="eastAsia" w:ascii="Times New Roman" w:hAnsi="Times New Roman"/>
          <w:color w:val="auto"/>
        </w:rPr>
        <w:t>2018年5月3日生态环境部令第3号公布，自2018年8月1日起施行</w:t>
      </w:r>
      <w:r>
        <w:rPr>
          <w:rFonts w:hint="eastAsia" w:ascii="Times New Roman" w:hAnsi="Times New Roman"/>
          <w:color w:val="auto"/>
          <w:lang w:eastAsia="zh-CN"/>
        </w:rPr>
        <w:t>）；</w:t>
      </w:r>
    </w:p>
    <w:p w14:paraId="0789E0B9">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排污许可管理办法</w:t>
      </w:r>
      <w:r>
        <w:rPr>
          <w:rFonts w:hint="eastAsia" w:ascii="Times New Roman" w:hAnsi="Times New Roman"/>
          <w:color w:val="auto"/>
          <w:lang w:eastAsia="zh-CN"/>
        </w:rPr>
        <w:t>》（</w:t>
      </w:r>
      <w:r>
        <w:rPr>
          <w:rFonts w:hint="eastAsia" w:ascii="Times New Roman" w:hAnsi="Times New Roman"/>
          <w:color w:val="auto"/>
        </w:rPr>
        <w:t>2024年4月1日生态环境部令第32号公布，自2024年7月1日起施行</w:t>
      </w:r>
      <w:r>
        <w:rPr>
          <w:rFonts w:hint="eastAsia" w:ascii="Times New Roman" w:hAnsi="Times New Roman"/>
          <w:color w:val="auto"/>
          <w:lang w:eastAsia="zh-CN"/>
        </w:rPr>
        <w:t>）</w:t>
      </w:r>
      <w:r>
        <w:rPr>
          <w:rFonts w:ascii="Times New Roman" w:hAnsi="Times New Roman"/>
          <w:color w:val="auto"/>
        </w:rPr>
        <w:t>；</w:t>
      </w:r>
    </w:p>
    <w:p w14:paraId="5A48CF70">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w:t>
      </w:r>
      <w:r>
        <w:rPr>
          <w:rFonts w:ascii="Times New Roman" w:hAnsi="Times New Roman"/>
          <w:color w:val="auto"/>
        </w:rPr>
        <w:t>排污许可管理条例</w:t>
      </w:r>
      <w:r>
        <w:rPr>
          <w:rFonts w:hint="eastAsia" w:ascii="Times New Roman" w:hAnsi="Times New Roman"/>
          <w:color w:val="auto"/>
        </w:rPr>
        <w:t>》</w:t>
      </w:r>
      <w:r>
        <w:rPr>
          <w:rFonts w:ascii="Times New Roman" w:hAnsi="Times New Roman"/>
          <w:color w:val="auto"/>
        </w:rPr>
        <w:t>（中华人民共和国国务院令第736号，2021年3月1日起施行）；</w:t>
      </w:r>
    </w:p>
    <w:p w14:paraId="54C5ABDB">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《关于印发〈长江保护修复攻坚战行动计划〉的通知》（环水体〔2018〕181号）；</w:t>
      </w:r>
    </w:p>
    <w:p w14:paraId="0521837D">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《关于加强重点行业建设项目区域削减措施监督管理的通知》（环办环评〔2020〕36号）；</w:t>
      </w:r>
    </w:p>
    <w:p w14:paraId="285A6013">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eastAsia" w:ascii="Times New Roman" w:hAnsi="Times New Roman"/>
          <w:color w:val="auto"/>
        </w:rPr>
        <w:t>关于印发《环境保护综合名录（2021年版）》的通知（环办综合函〔2021〕495号）；</w:t>
      </w:r>
    </w:p>
    <w:p w14:paraId="5BB606A2">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ascii="Times New Roman" w:hAnsi="Times New Roman"/>
          <w:color w:val="auto"/>
        </w:rPr>
        <w:t>关于印发《长江经济带发展负面清单指南》（试行，2022年版）的通知（长江办〔2022〕7号）</w:t>
      </w:r>
      <w:r>
        <w:rPr>
          <w:rFonts w:hint="eastAsia" w:ascii="Times New Roman" w:hAnsi="Times New Roman"/>
          <w:color w:val="auto"/>
        </w:rPr>
        <w:t>；</w:t>
      </w:r>
    </w:p>
    <w:p w14:paraId="3ECF4AAA">
      <w:pPr>
        <w:keepNext w:val="0"/>
        <w:keepLines w:val="0"/>
        <w:pageBreakBefore w:val="0"/>
        <w:widowControl w:val="0"/>
        <w:numPr>
          <w:ilvl w:val="0"/>
          <w:numId w:val="3"/>
        </w:numPr>
        <w:kinsoku/>
        <w:wordWrap/>
        <w:overflowPunct/>
        <w:topLinePunct w:val="0"/>
        <w:autoSpaceDE/>
        <w:autoSpaceDN/>
        <w:bidi w:val="0"/>
        <w:adjustRightInd/>
        <w:snapToGrid/>
        <w:ind w:left="0"/>
        <w:textAlignment w:val="auto"/>
        <w:rPr>
          <w:rFonts w:ascii="Times New Roman" w:hAnsi="Times New Roman"/>
          <w:color w:val="auto"/>
        </w:rPr>
      </w:pPr>
      <w:r>
        <w:rPr>
          <w:rFonts w:hint="default" w:ascii="Times New Roman" w:hAnsi="Times New Roman" w:eastAsia="仿宋" w:cs="Times New Roman"/>
          <w:b/>
          <w:bCs/>
          <w:color w:val="000000"/>
          <w:spacing w:val="0"/>
          <w:szCs w:val="28"/>
        </w:rPr>
        <w:t>《关于加强重点行业涉新污染物建设项目环境影响评价工作的意见》（环环评〔2025〕28号）</w:t>
      </w:r>
      <w:r>
        <w:rPr>
          <w:rFonts w:hint="eastAsia" w:ascii="Times New Roman" w:hAnsi="Times New Roman"/>
          <w:color w:val="auto"/>
          <w:lang w:eastAsia="zh-CN"/>
        </w:rPr>
        <w:t>。</w:t>
      </w:r>
    </w:p>
    <w:p w14:paraId="626050EE">
      <w:pPr>
        <w:pStyle w:val="4"/>
        <w:bidi w:val="0"/>
        <w:rPr>
          <w:color w:val="auto"/>
          <w:lang w:val="en-US" w:eastAsia="zh-CN"/>
        </w:rPr>
      </w:pPr>
      <w:bookmarkStart w:id="51" w:name="_Toc15422"/>
      <w:bookmarkStart w:id="52" w:name="_Toc25027"/>
      <w:r>
        <w:rPr>
          <w:rFonts w:hint="eastAsia"/>
          <w:color w:val="auto"/>
          <w:lang w:val="en-US" w:eastAsia="zh-CN"/>
        </w:rPr>
        <w:t>地方法规政策</w:t>
      </w:r>
      <w:bookmarkEnd w:id="51"/>
      <w:bookmarkEnd w:id="52"/>
    </w:p>
    <w:p w14:paraId="5B554969">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《江苏省大气污染防治条例》（2018年3月28日江苏省第十三届人民代表大会常务委员会第二次会议通过，自2018年5月1日起施行）；</w:t>
      </w:r>
    </w:p>
    <w:p w14:paraId="6C7538E3">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《江苏省太湖水污染防治条例》（2018年1月24日江苏省第十二届人民代表大会常务委员会第三十四次会议通过，自2018年5月1日起施行）；</w:t>
      </w:r>
    </w:p>
    <w:p w14:paraId="73E44167">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《江苏省长江水污染防治条例》（2018年3月28日江苏省第十三届人民代表大会常务委员会第二次会议修订通过，自2018年5月1日起施行）；</w:t>
      </w:r>
    </w:p>
    <w:p w14:paraId="699AEC1A">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《江苏省环境噪声污染防治条例》（2018年3月28日江苏省第十三届人民代表大会常务委员会第二次会议修正，自2018年5月1日起施行）；</w:t>
      </w:r>
    </w:p>
    <w:p w14:paraId="73719099">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《江苏省固体废物污染环境防治条例》（2018年3月28日江苏省第十三届人民代表大会常务委员会第二次会议修正，2018年5月1日起施行）；</w:t>
      </w:r>
    </w:p>
    <w:p w14:paraId="62BB3FA5">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《江苏省土壤污染防治条例》（2022年3月31日江苏省第十三届人民代表大会常务委员会第二十九次会议通过）；</w:t>
      </w:r>
    </w:p>
    <w:p w14:paraId="396E9316">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《省生态环境厅关于进一步完善一般工业固体废物环境管理的通知》</w:t>
      </w:r>
      <w:r>
        <w:rPr>
          <w:rFonts w:hint="eastAsia" w:ascii="Times New Roman" w:hAnsi="Times New Roman"/>
          <w:color w:val="auto"/>
          <w:lang w:eastAsia="zh-CN"/>
        </w:rPr>
        <w:t>（</w:t>
      </w:r>
      <w:r>
        <w:rPr>
          <w:rFonts w:hint="eastAsia" w:ascii="Times New Roman" w:hAnsi="Times New Roman"/>
          <w:color w:val="auto"/>
        </w:rPr>
        <w:t>苏环办[2023]327号</w:t>
      </w:r>
      <w:r>
        <w:rPr>
          <w:rFonts w:hint="eastAsia" w:ascii="Times New Roman" w:hAnsi="Times New Roman"/>
          <w:color w:val="auto"/>
          <w:lang w:eastAsia="zh-CN"/>
        </w:rPr>
        <w:t>）</w:t>
      </w:r>
      <w:r>
        <w:rPr>
          <w:rFonts w:hint="eastAsia" w:ascii="Times New Roman" w:hAnsi="Times New Roman"/>
          <w:color w:val="auto"/>
        </w:rPr>
        <w:t>；</w:t>
      </w:r>
    </w:p>
    <w:p w14:paraId="6889FE66">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《江苏省排污口设置及规范化整治管理办法》（苏环控[97]122号）；</w:t>
      </w:r>
    </w:p>
    <w:p w14:paraId="7DAFA86D">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省生态环境厅关于印发《江苏省生态环境保护公众参与办法》的通知（苏环规〔2023〕2号）；</w:t>
      </w:r>
    </w:p>
    <w:p w14:paraId="6CF76714">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关于印发《长江经济带发展负面清单指南》（试行，2022年版）的通知（长江办〔2022〕7号）；</w:t>
      </w:r>
    </w:p>
    <w:p w14:paraId="45D7CDC1">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《〈长江经济带发展负面清单指南</w:t>
      </w:r>
      <w:r>
        <w:rPr>
          <w:rFonts w:hint="eastAsia" w:ascii="Times New Roman" w:hAnsi="Times New Roman"/>
          <w:color w:val="auto"/>
          <w:lang w:eastAsia="zh-CN"/>
        </w:rPr>
        <w:t>（</w:t>
      </w:r>
      <w:r>
        <w:rPr>
          <w:rFonts w:hint="eastAsia" w:ascii="Times New Roman" w:hAnsi="Times New Roman"/>
          <w:color w:val="auto"/>
        </w:rPr>
        <w:t>试行，2022年版</w:t>
      </w:r>
      <w:r>
        <w:rPr>
          <w:rFonts w:hint="eastAsia" w:ascii="Times New Roman" w:hAnsi="Times New Roman"/>
          <w:color w:val="auto"/>
          <w:lang w:eastAsia="zh-CN"/>
        </w:rPr>
        <w:t>）</w:t>
      </w:r>
      <w:r>
        <w:rPr>
          <w:rFonts w:hint="eastAsia" w:ascii="Times New Roman" w:hAnsi="Times New Roman"/>
          <w:color w:val="auto"/>
        </w:rPr>
        <w:t>〉江苏省实施细则》（苏长江办发[2022]55号）；</w:t>
      </w:r>
    </w:p>
    <w:p w14:paraId="0CFDDF69">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《省政府关于印发江苏省生态空间管控区域规划的通知》（江苏省人民政府，苏政发[2020]1号）；</w:t>
      </w:r>
    </w:p>
    <w:p w14:paraId="57BF22FF">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《省政府办公厅关于采取切实有效措施确保改善环境空气质量的通知》（江苏省人民政府办公厅，苏政办发[2014]78号）；</w:t>
      </w:r>
    </w:p>
    <w:p w14:paraId="33077270">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《省生态环境厅关于印发江苏省固体废物全过程环境监管工作意见的通知》（苏环办〔2024〕16号）；</w:t>
      </w:r>
    </w:p>
    <w:p w14:paraId="3327F171">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《省生态环境厅关于印发&lt;全省生态环境安全与应急管理“强基提能”三年行动计划&gt;的通知》（苏环发〔2023〕5号）；</w:t>
      </w:r>
    </w:p>
    <w:p w14:paraId="4DCD903D">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《省生态环境厅关于印发&lt;江苏省突发环境事件应急预案管理办法&gt;的通知》（苏环发〔2023〕7号）</w:t>
      </w:r>
    </w:p>
    <w:p w14:paraId="09473DB3">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《江苏省突发环境事件应急预案管理办法》（苏环发[2024]16号）；</w:t>
      </w:r>
    </w:p>
    <w:p w14:paraId="5709C5C2">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《省生态环境厅关于做好安全生产专项整治工作实施方案》（苏环办[2020]16号）；</w:t>
      </w:r>
    </w:p>
    <w:p w14:paraId="5B8BE712">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《关于做好生态环境和应急管理部门联动工作的意见》（苏环办[2020]101号）；</w:t>
      </w:r>
    </w:p>
    <w:p w14:paraId="63647CE5">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《省生态环境厅省住房城乡建设厅关于印发江苏省工业废水与生活污水分质处理工作推进方案的通知》（苏环办[2023]144号）；</w:t>
      </w:r>
    </w:p>
    <w:p w14:paraId="50CC9945">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《江苏省重点行业工业企业雨水排放环境管理办法（试行）》（苏污防攻坚指办[2023]71号）；</w:t>
      </w:r>
    </w:p>
    <w:p w14:paraId="53DFBD32">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《江苏省地表水（环境）功能区划》（2021-2030年）（苏政复〔2022〕13号）；</w:t>
      </w:r>
    </w:p>
    <w:p w14:paraId="12229CDD">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《江苏省政府关于印发江苏省“三线一单”生态环境分区管控方案的通知》（苏政发[2020]49号）；</w:t>
      </w:r>
    </w:p>
    <w:p w14:paraId="7DBA2AC7">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《省政府关于印发江苏省国家级生态保护红线规划的通知》（苏政发[2018]74号）；</w:t>
      </w:r>
    </w:p>
    <w:p w14:paraId="54520FEF">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《江苏省挥发性有机物污染防治管理办法》（省政府令第119号）；</w:t>
      </w:r>
    </w:p>
    <w:p w14:paraId="158CE5FF">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《中共江苏省委江苏省人民政府关于深入打好污染防治攻坚战的实施意见》（苏发〔2022〕3号）；</w:t>
      </w:r>
    </w:p>
    <w:p w14:paraId="6384B11D">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《关于贯彻落实建设项目危险废物环境影响评价指南要求的通知》（苏环办[2018]18号，2018年1月15日）；</w:t>
      </w:r>
    </w:p>
    <w:p w14:paraId="2D7166F8">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《关于进一步加强危险废物污染防治工作的实施意见》（苏环办字[2019]237号）；</w:t>
      </w:r>
    </w:p>
    <w:p w14:paraId="1757E697">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《省生态环境厅关于进一步做好建设项目环评审批工作的通知》（苏环办[2019]36号，江苏省生态环境厅，2019年2月2日）；</w:t>
      </w:r>
    </w:p>
    <w:p w14:paraId="162AEEDC">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《省政府关于加强长江流域生态环境保护工作的通知》（苏政发[2016]96号）；</w:t>
      </w:r>
    </w:p>
    <w:p w14:paraId="011B018B">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《省政府关于印发江苏省土壤污染防治工作方案的通知》（苏政发[2016]169号）；</w:t>
      </w:r>
    </w:p>
    <w:p w14:paraId="1334BD19">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《省政府关于印发江苏省水污染防治工作方案的通知》（苏政办发[2016]175号）；</w:t>
      </w:r>
    </w:p>
    <w:p w14:paraId="5E14F432">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《省政府办公厅关于印发江苏省打好太湖治理攻坚战实施方案的通知》（苏政办发[2019]4号）；</w:t>
      </w:r>
    </w:p>
    <w:p w14:paraId="7691504A">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《省政府办公厅关于印发&lt;江苏省长江保护修复攻坚战行动计划实施方案&gt;的通知》（苏政办发[2019]52号）；</w:t>
      </w:r>
    </w:p>
    <w:p w14:paraId="220E0745">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《省生态环境厅关于实施厂区内挥发性有机物（VOCs）无组织排放监控要求的通告》（苏环办[2020]218号）；</w:t>
      </w:r>
    </w:p>
    <w:p w14:paraId="51550301">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color w:val="auto"/>
          <w:lang w:eastAsia="zh-CN"/>
        </w:rPr>
        <w:t>《</w:t>
      </w:r>
      <w:r>
        <w:rPr>
          <w:rFonts w:hint="eastAsia"/>
          <w:color w:val="auto"/>
        </w:rPr>
        <w:t>省政府办公厅关于印发江苏省生态空间管控区域</w:t>
      </w:r>
      <w:r>
        <w:rPr>
          <w:rFonts w:hint="eastAsia"/>
          <w:color w:val="auto"/>
          <w:lang w:val="en-US" w:eastAsia="zh-CN"/>
        </w:rPr>
        <w:t>监督</w:t>
      </w:r>
      <w:r>
        <w:rPr>
          <w:rFonts w:hint="eastAsia"/>
          <w:color w:val="auto"/>
        </w:rPr>
        <w:t>管理办法的通知</w:t>
      </w:r>
      <w:r>
        <w:rPr>
          <w:rFonts w:hint="eastAsia"/>
          <w:color w:val="auto"/>
          <w:lang w:eastAsia="zh-CN"/>
        </w:rPr>
        <w:t>》（</w:t>
      </w:r>
      <w:r>
        <w:rPr>
          <w:rFonts w:hint="eastAsia"/>
          <w:color w:val="auto"/>
        </w:rPr>
        <w:t>苏政办发〔2021〕20号</w:t>
      </w:r>
      <w:r>
        <w:rPr>
          <w:rFonts w:hint="eastAsia"/>
          <w:color w:val="auto"/>
          <w:lang w:eastAsia="zh-CN"/>
        </w:rPr>
        <w:t>）</w:t>
      </w:r>
      <w:r>
        <w:rPr>
          <w:rFonts w:hint="eastAsia" w:ascii="Times New Roman" w:hAnsi="Times New Roman"/>
          <w:color w:val="auto"/>
        </w:rPr>
        <w:t>；</w:t>
      </w:r>
    </w:p>
    <w:p w14:paraId="687F2060">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《苏州市产业发展导向目录（2007年本）》（苏府[2007]129号）；</w:t>
      </w:r>
    </w:p>
    <w:p w14:paraId="5E084915">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《苏州市危险废物污染环境防治条例》（自2003年9月1日起实施，2018年11月23日江苏省第十三届人民代表大会常务委员会第六次会议批准修订）；</w:t>
      </w:r>
    </w:p>
    <w:p w14:paraId="670579C0">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ascii="Times New Roman" w:hAnsi="Times New Roman"/>
          <w:color w:val="auto"/>
        </w:rPr>
      </w:pPr>
      <w:r>
        <w:rPr>
          <w:rFonts w:hint="eastAsia" w:ascii="Times New Roman" w:hAnsi="Times New Roman"/>
          <w:color w:val="auto"/>
        </w:rPr>
        <w:t>《关于印发&lt;苏州市“三线一单”生态环境分区管控实施方案&gt;的通知》</w:t>
      </w:r>
      <w:r>
        <w:rPr>
          <w:rFonts w:hint="eastAsia" w:ascii="Times New Roman" w:hAnsi="Times New Roman"/>
          <w:color w:val="auto"/>
          <w:lang w:eastAsia="zh-CN"/>
        </w:rPr>
        <w:t>（</w:t>
      </w:r>
      <w:r>
        <w:rPr>
          <w:rFonts w:hint="eastAsia" w:ascii="Times New Roman" w:hAnsi="Times New Roman"/>
          <w:color w:val="auto"/>
        </w:rPr>
        <w:t>苏环办字[2020]313号</w:t>
      </w:r>
      <w:r>
        <w:rPr>
          <w:rFonts w:hint="eastAsia" w:ascii="Times New Roman" w:hAnsi="Times New Roman"/>
          <w:color w:val="auto"/>
          <w:lang w:eastAsia="zh-CN"/>
        </w:rPr>
        <w:t>）</w:t>
      </w:r>
      <w:r>
        <w:rPr>
          <w:rFonts w:hint="eastAsia" w:ascii="Times New Roman" w:hAnsi="Times New Roman"/>
          <w:color w:val="auto"/>
        </w:rPr>
        <w:t>；</w:t>
      </w:r>
    </w:p>
    <w:p w14:paraId="5E0C2F72">
      <w:pPr>
        <w:keepNext w:val="0"/>
        <w:keepLines w:val="0"/>
        <w:pageBreakBefore w:val="0"/>
        <w:widowControl w:val="0"/>
        <w:numPr>
          <w:ilvl w:val="0"/>
          <w:numId w:val="4"/>
        </w:numPr>
        <w:kinsoku/>
        <w:wordWrap/>
        <w:overflowPunct/>
        <w:topLinePunct w:val="0"/>
        <w:autoSpaceDE/>
        <w:autoSpaceDN/>
        <w:bidi w:val="0"/>
        <w:adjustRightInd/>
        <w:snapToGrid/>
        <w:ind w:left="0"/>
        <w:textAlignment w:val="auto"/>
        <w:rPr>
          <w:rFonts w:hint="eastAsia" w:eastAsia="仿宋_GB2312"/>
          <w:lang w:val="en-US" w:eastAsia="zh-CN"/>
        </w:rPr>
      </w:pPr>
      <w:r>
        <w:rPr>
          <w:rFonts w:hint="eastAsia" w:ascii="Times New Roman" w:hAnsi="Times New Roman"/>
          <w:color w:val="auto"/>
        </w:rPr>
        <w:t>苏州市生态环境局</w:t>
      </w:r>
      <w:r>
        <w:rPr>
          <w:rFonts w:hint="eastAsia" w:ascii="Times New Roman" w:hAnsi="Times New Roman"/>
          <w:color w:val="auto"/>
          <w:lang w:val="en-US" w:eastAsia="zh-CN"/>
        </w:rPr>
        <w:t>《加强工业固体废物全过程环境监管的实施意见》的通知（苏环办字〔2024〕71号）</w:t>
      </w:r>
      <w:r>
        <w:rPr>
          <w:rFonts w:hint="eastAsia"/>
          <w:lang w:eastAsia="zh-CN"/>
        </w:rPr>
        <w:t>。</w:t>
      </w:r>
    </w:p>
    <w:p w14:paraId="0EB172FF">
      <w:pPr>
        <w:pStyle w:val="4"/>
        <w:bidi w:val="0"/>
        <w:rPr>
          <w:color w:val="auto"/>
        </w:rPr>
      </w:pPr>
      <w:bookmarkStart w:id="53" w:name="_Toc29449"/>
      <w:bookmarkStart w:id="54" w:name="_Toc25101"/>
      <w:r>
        <w:rPr>
          <w:rFonts w:hint="eastAsia"/>
          <w:color w:val="auto"/>
        </w:rPr>
        <w:t>项目所在地相关规划及</w:t>
      </w:r>
      <w:r>
        <w:rPr>
          <w:rFonts w:hint="eastAsia"/>
          <w:color w:val="auto"/>
          <w:lang w:val="en-US" w:eastAsia="zh-CN"/>
        </w:rPr>
        <w:t>资料</w:t>
      </w:r>
      <w:bookmarkEnd w:id="53"/>
      <w:bookmarkEnd w:id="54"/>
    </w:p>
    <w:p w14:paraId="74ED24CC">
      <w:pPr>
        <w:rPr>
          <w:rFonts w:ascii="Times New Roman" w:hAnsi="Times New Roman"/>
          <w:color w:val="auto"/>
        </w:rPr>
      </w:pPr>
      <w:r>
        <w:rPr>
          <w:rFonts w:hint="eastAsia" w:ascii="Times New Roman" w:hAnsi="Times New Roman"/>
          <w:color w:val="auto"/>
        </w:rPr>
        <w:t>（1）《江苏省国家级生态保护红线规划》；</w:t>
      </w:r>
    </w:p>
    <w:p w14:paraId="309C3C9B">
      <w:pPr>
        <w:rPr>
          <w:rFonts w:ascii="Times New Roman" w:hAnsi="Times New Roman"/>
          <w:color w:val="auto"/>
        </w:rPr>
      </w:pPr>
      <w:r>
        <w:rPr>
          <w:rFonts w:hint="eastAsia" w:ascii="Times New Roman" w:hAnsi="Times New Roman"/>
          <w:color w:val="auto"/>
        </w:rPr>
        <w:t>（2）《苏州市生态红线区域保护规划》；</w:t>
      </w:r>
    </w:p>
    <w:p w14:paraId="5525019B">
      <w:pPr>
        <w:rPr>
          <w:rFonts w:ascii="Times New Roman" w:hAnsi="Times New Roman"/>
          <w:color w:val="auto"/>
        </w:rPr>
      </w:pPr>
      <w:r>
        <w:rPr>
          <w:rFonts w:hint="eastAsia" w:ascii="Times New Roman" w:hAnsi="Times New Roman"/>
          <w:color w:val="auto"/>
        </w:rPr>
        <w:t>（</w:t>
      </w:r>
      <w:r>
        <w:rPr>
          <w:rFonts w:hint="eastAsia"/>
          <w:color w:val="auto"/>
          <w:lang w:val="en-US" w:eastAsia="zh-CN"/>
        </w:rPr>
        <w:t>3</w:t>
      </w:r>
      <w:r>
        <w:rPr>
          <w:rFonts w:hint="eastAsia" w:ascii="Times New Roman" w:hAnsi="Times New Roman"/>
          <w:color w:val="auto"/>
        </w:rPr>
        <w:t>）</w:t>
      </w:r>
      <w:r>
        <w:rPr>
          <w:rFonts w:hint="eastAsia" w:ascii="Times New Roman" w:hAnsi="Times New Roman"/>
          <w:color w:val="auto"/>
          <w:lang w:eastAsia="zh-CN"/>
        </w:rPr>
        <w:t>《</w:t>
      </w:r>
      <w:r>
        <w:rPr>
          <w:rFonts w:hint="eastAsia" w:ascii="Times New Roman" w:hAnsi="Times New Roman"/>
          <w:color w:val="auto"/>
        </w:rPr>
        <w:t>昆山市国土空间总体规划</w:t>
      </w:r>
      <w:r>
        <w:rPr>
          <w:rFonts w:hint="eastAsia" w:ascii="Times New Roman" w:hAnsi="Times New Roman"/>
          <w:color w:val="auto"/>
          <w:lang w:eastAsia="zh-CN"/>
        </w:rPr>
        <w:t>》</w:t>
      </w:r>
      <w:r>
        <w:rPr>
          <w:rFonts w:hint="eastAsia" w:ascii="Times New Roman" w:hAnsi="Times New Roman"/>
          <w:color w:val="auto"/>
        </w:rPr>
        <w:t>（2021-2035年）</w:t>
      </w:r>
      <w:r>
        <w:rPr>
          <w:rFonts w:hint="eastAsia" w:ascii="Times New Roman" w:hAnsi="Times New Roman"/>
          <w:color w:val="auto"/>
          <w:lang w:eastAsia="zh-CN"/>
        </w:rPr>
        <w:t>。</w:t>
      </w:r>
    </w:p>
    <w:p w14:paraId="2F86F6F8">
      <w:pPr>
        <w:pStyle w:val="4"/>
        <w:bidi w:val="0"/>
        <w:rPr>
          <w:color w:val="auto"/>
          <w:lang w:val="en-US" w:eastAsia="zh-CN"/>
        </w:rPr>
      </w:pPr>
      <w:bookmarkStart w:id="55" w:name="_Toc28801"/>
      <w:bookmarkStart w:id="56" w:name="_Toc955"/>
      <w:r>
        <w:rPr>
          <w:rFonts w:hint="eastAsia"/>
          <w:color w:val="auto"/>
          <w:lang w:val="en-US" w:eastAsia="zh-CN"/>
        </w:rPr>
        <w:t>技术依据</w:t>
      </w:r>
      <w:bookmarkEnd w:id="55"/>
      <w:bookmarkEnd w:id="56"/>
    </w:p>
    <w:p w14:paraId="0770AECB">
      <w:pPr>
        <w:numPr>
          <w:ilvl w:val="0"/>
          <w:numId w:val="5"/>
        </w:numPr>
        <w:bidi w:val="0"/>
        <w:rPr>
          <w:rFonts w:ascii="Times New Roman" w:hAnsi="Times New Roman"/>
          <w:color w:val="auto"/>
        </w:rPr>
      </w:pPr>
      <w:bookmarkStart w:id="57" w:name="_Hlk47535497"/>
      <w:r>
        <w:rPr>
          <w:rFonts w:ascii="Times New Roman" w:hAnsi="Times New Roman"/>
          <w:color w:val="auto"/>
        </w:rPr>
        <w:t>《建设项目环境影响评价技术导则总纲》（HJ2.1-2016）；</w:t>
      </w:r>
    </w:p>
    <w:p w14:paraId="5A4DE231">
      <w:pPr>
        <w:numPr>
          <w:ilvl w:val="0"/>
          <w:numId w:val="6"/>
        </w:numPr>
        <w:ind w:firstLine="560"/>
        <w:rPr>
          <w:rFonts w:ascii="Times New Roman" w:hAnsi="Times New Roman"/>
          <w:color w:val="auto"/>
        </w:rPr>
      </w:pPr>
      <w:r>
        <w:rPr>
          <w:rFonts w:ascii="Times New Roman" w:hAnsi="Times New Roman"/>
          <w:color w:val="auto"/>
        </w:rPr>
        <w:t>《环境影响评价技术导则大气环境》（HJ2.2-2018）；</w:t>
      </w:r>
    </w:p>
    <w:p w14:paraId="28C13701">
      <w:pPr>
        <w:numPr>
          <w:ilvl w:val="0"/>
          <w:numId w:val="6"/>
        </w:numPr>
        <w:ind w:firstLine="560"/>
        <w:rPr>
          <w:rFonts w:ascii="Times New Roman" w:hAnsi="Times New Roman"/>
          <w:color w:val="auto"/>
        </w:rPr>
      </w:pPr>
      <w:r>
        <w:rPr>
          <w:rFonts w:ascii="Times New Roman" w:hAnsi="Times New Roman"/>
          <w:color w:val="auto"/>
        </w:rPr>
        <w:t>《环境影响评价技术导则地表水环境》（HJ2.3-2018）；</w:t>
      </w:r>
    </w:p>
    <w:p w14:paraId="4D153A3C">
      <w:pPr>
        <w:numPr>
          <w:ilvl w:val="0"/>
          <w:numId w:val="6"/>
        </w:numPr>
        <w:ind w:firstLine="560"/>
        <w:rPr>
          <w:rFonts w:ascii="Times New Roman" w:hAnsi="Times New Roman"/>
          <w:color w:val="auto"/>
        </w:rPr>
      </w:pPr>
      <w:r>
        <w:rPr>
          <w:rFonts w:ascii="Times New Roman" w:hAnsi="Times New Roman"/>
          <w:color w:val="auto"/>
        </w:rPr>
        <w:t>《环境影响评价技术导则声环境》（HJ2.4-2021）；</w:t>
      </w:r>
    </w:p>
    <w:p w14:paraId="53ED82A4">
      <w:pPr>
        <w:numPr>
          <w:ilvl w:val="0"/>
          <w:numId w:val="6"/>
        </w:numPr>
        <w:ind w:firstLine="560"/>
        <w:rPr>
          <w:rFonts w:ascii="Times New Roman" w:hAnsi="Times New Roman"/>
          <w:color w:val="auto"/>
        </w:rPr>
      </w:pPr>
      <w:r>
        <w:rPr>
          <w:rFonts w:ascii="Times New Roman" w:hAnsi="Times New Roman"/>
          <w:color w:val="auto"/>
        </w:rPr>
        <w:t>《环境影响评价技术导则土壤环境（试行）》（HJ964-2018）；</w:t>
      </w:r>
    </w:p>
    <w:p w14:paraId="193EECA9">
      <w:pPr>
        <w:numPr>
          <w:ilvl w:val="0"/>
          <w:numId w:val="6"/>
        </w:numPr>
        <w:ind w:firstLine="560"/>
        <w:rPr>
          <w:rFonts w:ascii="Times New Roman" w:hAnsi="Times New Roman"/>
          <w:color w:val="auto"/>
        </w:rPr>
      </w:pPr>
      <w:r>
        <w:rPr>
          <w:rFonts w:ascii="Times New Roman" w:hAnsi="Times New Roman"/>
          <w:color w:val="auto"/>
        </w:rPr>
        <w:t>《环境影响评价技术导则生态影响》（HJ19-2022）；</w:t>
      </w:r>
    </w:p>
    <w:p w14:paraId="5BE40315">
      <w:pPr>
        <w:numPr>
          <w:ilvl w:val="0"/>
          <w:numId w:val="6"/>
        </w:numPr>
        <w:ind w:firstLine="560"/>
        <w:rPr>
          <w:rFonts w:ascii="Times New Roman" w:hAnsi="Times New Roman"/>
          <w:color w:val="auto"/>
        </w:rPr>
      </w:pPr>
      <w:r>
        <w:rPr>
          <w:rFonts w:ascii="Times New Roman" w:hAnsi="Times New Roman"/>
          <w:color w:val="auto"/>
        </w:rPr>
        <w:t>《建设项目环境风险评价技术导则》（HJ169-2018）；</w:t>
      </w:r>
    </w:p>
    <w:p w14:paraId="66ACF244">
      <w:pPr>
        <w:numPr>
          <w:ilvl w:val="0"/>
          <w:numId w:val="6"/>
        </w:numPr>
        <w:ind w:firstLine="560"/>
        <w:rPr>
          <w:rFonts w:ascii="Times New Roman" w:hAnsi="Times New Roman"/>
          <w:color w:val="auto"/>
        </w:rPr>
      </w:pPr>
      <w:r>
        <w:rPr>
          <w:rFonts w:ascii="Times New Roman" w:hAnsi="Times New Roman"/>
          <w:color w:val="auto"/>
        </w:rPr>
        <w:t>《环境影响评价技术导则地下水环境》（HJ610-2016）；</w:t>
      </w:r>
    </w:p>
    <w:p w14:paraId="6F519B7C">
      <w:pPr>
        <w:numPr>
          <w:ilvl w:val="0"/>
          <w:numId w:val="6"/>
        </w:numPr>
        <w:ind w:firstLine="560"/>
        <w:rPr>
          <w:rFonts w:ascii="Times New Roman" w:hAnsi="Times New Roman"/>
          <w:color w:val="auto"/>
        </w:rPr>
      </w:pPr>
      <w:r>
        <w:rPr>
          <w:rFonts w:ascii="Times New Roman" w:hAnsi="Times New Roman"/>
          <w:color w:val="auto"/>
        </w:rPr>
        <w:t>《建设项目危险废物环境影响评价指南》（环境保护部公告〔2017〕43号）；</w:t>
      </w:r>
    </w:p>
    <w:p w14:paraId="7595C6F0">
      <w:pPr>
        <w:numPr>
          <w:ilvl w:val="0"/>
          <w:numId w:val="6"/>
        </w:numPr>
        <w:ind w:firstLine="560"/>
        <w:rPr>
          <w:rFonts w:ascii="Times New Roman" w:hAnsi="Times New Roman"/>
          <w:color w:val="auto"/>
        </w:rPr>
      </w:pPr>
      <w:r>
        <w:rPr>
          <w:rFonts w:ascii="Times New Roman" w:hAnsi="Times New Roman"/>
          <w:color w:val="auto"/>
        </w:rPr>
        <w:t>《危险化学品重大危险源辨识》（GB18218-2018）；</w:t>
      </w:r>
    </w:p>
    <w:p w14:paraId="69E6A4C6">
      <w:pPr>
        <w:numPr>
          <w:ilvl w:val="0"/>
          <w:numId w:val="6"/>
        </w:numPr>
        <w:ind w:firstLine="560"/>
        <w:rPr>
          <w:rFonts w:ascii="Times New Roman" w:hAnsi="Times New Roman"/>
          <w:color w:val="auto"/>
        </w:rPr>
      </w:pPr>
      <w:r>
        <w:rPr>
          <w:rFonts w:ascii="Times New Roman" w:hAnsi="Times New Roman"/>
          <w:color w:val="auto"/>
        </w:rPr>
        <w:t>《大气污染治理工程技术导则》（HJ2000-2010）；</w:t>
      </w:r>
    </w:p>
    <w:p w14:paraId="0C573AA5">
      <w:pPr>
        <w:numPr>
          <w:ilvl w:val="0"/>
          <w:numId w:val="6"/>
        </w:numPr>
        <w:ind w:firstLine="560"/>
        <w:rPr>
          <w:rFonts w:ascii="Times New Roman" w:hAnsi="Times New Roman"/>
          <w:color w:val="auto"/>
        </w:rPr>
      </w:pPr>
      <w:r>
        <w:rPr>
          <w:rFonts w:ascii="Times New Roman" w:hAnsi="Times New Roman"/>
          <w:color w:val="auto"/>
        </w:rPr>
        <w:t>《吸附法工业有机废气治理工程技术规范》（HJ2026-2013）；</w:t>
      </w:r>
    </w:p>
    <w:p w14:paraId="58F5EE6D">
      <w:pPr>
        <w:numPr>
          <w:ilvl w:val="0"/>
          <w:numId w:val="6"/>
        </w:numPr>
        <w:ind w:firstLine="560"/>
        <w:rPr>
          <w:rFonts w:ascii="Times New Roman" w:hAnsi="Times New Roman"/>
          <w:color w:val="auto"/>
        </w:rPr>
      </w:pPr>
      <w:r>
        <w:rPr>
          <w:rFonts w:ascii="Times New Roman" w:hAnsi="Times New Roman"/>
          <w:color w:val="auto"/>
        </w:rPr>
        <w:t>《常用危险化学品的分类及标志》（GB13690-2009）；</w:t>
      </w:r>
    </w:p>
    <w:p w14:paraId="570F1F8D">
      <w:pPr>
        <w:numPr>
          <w:ilvl w:val="0"/>
          <w:numId w:val="6"/>
        </w:numPr>
        <w:ind w:firstLine="560"/>
        <w:rPr>
          <w:rFonts w:ascii="Times New Roman" w:hAnsi="Times New Roman"/>
          <w:color w:val="auto"/>
        </w:rPr>
      </w:pPr>
      <w:r>
        <w:rPr>
          <w:rFonts w:ascii="Times New Roman" w:hAnsi="Times New Roman"/>
          <w:color w:val="auto"/>
        </w:rPr>
        <w:t>《大气污染物综合排放标准》（DB32/4041-2021）；</w:t>
      </w:r>
    </w:p>
    <w:p w14:paraId="2DA60CDB">
      <w:pPr>
        <w:numPr>
          <w:ilvl w:val="0"/>
          <w:numId w:val="6"/>
        </w:numPr>
        <w:ind w:firstLine="560"/>
        <w:rPr>
          <w:rFonts w:ascii="Times New Roman" w:hAnsi="Times New Roman"/>
          <w:color w:val="auto"/>
        </w:rPr>
      </w:pPr>
      <w:r>
        <w:rPr>
          <w:rFonts w:ascii="Times New Roman" w:hAnsi="Times New Roman"/>
          <w:color w:val="auto"/>
        </w:rPr>
        <w:t>《关于贯彻落实建设项目危险废物环境影响评价指南要求的通知》（苏环办〔2018〕18号）；</w:t>
      </w:r>
    </w:p>
    <w:p w14:paraId="3ADCD660">
      <w:pPr>
        <w:numPr>
          <w:ilvl w:val="0"/>
          <w:numId w:val="6"/>
        </w:numPr>
        <w:ind w:firstLine="560"/>
        <w:rPr>
          <w:rFonts w:ascii="Times New Roman" w:hAnsi="Times New Roman"/>
          <w:color w:val="auto"/>
        </w:rPr>
      </w:pPr>
      <w:r>
        <w:rPr>
          <w:rFonts w:ascii="Times New Roman" w:hAnsi="Times New Roman"/>
          <w:color w:val="auto"/>
        </w:rPr>
        <w:t>《排污单位自行监测技术指南总则》（HJ819-2017）；</w:t>
      </w:r>
    </w:p>
    <w:p w14:paraId="45B1AAA3">
      <w:pPr>
        <w:numPr>
          <w:ilvl w:val="0"/>
          <w:numId w:val="6"/>
        </w:numPr>
        <w:ind w:firstLine="560"/>
        <w:rPr>
          <w:rFonts w:ascii="Times New Roman" w:hAnsi="Times New Roman"/>
          <w:color w:val="auto"/>
        </w:rPr>
      </w:pPr>
      <w:r>
        <w:rPr>
          <w:rFonts w:ascii="Times New Roman" w:hAnsi="Times New Roman"/>
          <w:color w:val="auto"/>
        </w:rPr>
        <w:t>《固体废物鉴别标准通则》（GB34330-20</w:t>
      </w:r>
      <w:r>
        <w:rPr>
          <w:rFonts w:hint="eastAsia" w:ascii="Times New Roman" w:hAnsi="Times New Roman"/>
          <w:color w:val="auto"/>
          <w:lang w:val="en-US" w:eastAsia="zh-CN"/>
        </w:rPr>
        <w:t>25</w:t>
      </w:r>
      <w:r>
        <w:rPr>
          <w:rFonts w:ascii="Times New Roman" w:hAnsi="Times New Roman"/>
          <w:color w:val="auto"/>
        </w:rPr>
        <w:t>）；</w:t>
      </w:r>
    </w:p>
    <w:p w14:paraId="0E67EFEF">
      <w:pPr>
        <w:numPr>
          <w:ilvl w:val="0"/>
          <w:numId w:val="6"/>
        </w:numPr>
        <w:ind w:firstLine="560"/>
        <w:rPr>
          <w:rFonts w:ascii="Times New Roman" w:hAnsi="Times New Roman"/>
          <w:color w:val="auto"/>
        </w:rPr>
      </w:pPr>
      <w:r>
        <w:rPr>
          <w:rFonts w:ascii="Times New Roman" w:hAnsi="Times New Roman"/>
          <w:color w:val="auto"/>
        </w:rPr>
        <w:t>《固定污染源排污许可分类管理名录》（生态环境部部令第11号）；</w:t>
      </w:r>
    </w:p>
    <w:p w14:paraId="4E5EA2A8">
      <w:pPr>
        <w:numPr>
          <w:ilvl w:val="0"/>
          <w:numId w:val="6"/>
        </w:numPr>
        <w:ind w:firstLine="560"/>
        <w:rPr>
          <w:rFonts w:ascii="Times New Roman" w:hAnsi="Times New Roman"/>
          <w:color w:val="auto"/>
        </w:rPr>
      </w:pPr>
      <w:r>
        <w:rPr>
          <w:rFonts w:ascii="Times New Roman" w:hAnsi="Times New Roman"/>
          <w:color w:val="auto"/>
        </w:rPr>
        <w:t>《排污许可证申请与核发技术规范》（HJ942-2018）；</w:t>
      </w:r>
    </w:p>
    <w:p w14:paraId="277C7DB5">
      <w:pPr>
        <w:numPr>
          <w:ilvl w:val="0"/>
          <w:numId w:val="6"/>
        </w:numPr>
        <w:ind w:firstLine="560"/>
        <w:rPr>
          <w:rFonts w:ascii="Times New Roman" w:hAnsi="Times New Roman"/>
          <w:color w:val="auto"/>
        </w:rPr>
      </w:pPr>
      <w:r>
        <w:rPr>
          <w:rFonts w:ascii="Times New Roman" w:hAnsi="Times New Roman"/>
          <w:color w:val="auto"/>
        </w:rPr>
        <w:t>《污染源源强核算技术指南</w:t>
      </w:r>
      <w:r>
        <w:rPr>
          <w:rFonts w:hint="eastAsia" w:ascii="Times New Roman" w:hAnsi="Times New Roman"/>
          <w:color w:val="auto"/>
          <w:lang w:val="en-US" w:eastAsia="zh-CN"/>
        </w:rPr>
        <w:t>准则</w:t>
      </w:r>
      <w:r>
        <w:rPr>
          <w:rFonts w:ascii="Times New Roman" w:hAnsi="Times New Roman"/>
          <w:color w:val="auto"/>
        </w:rPr>
        <w:t>》（HJ</w:t>
      </w:r>
      <w:r>
        <w:rPr>
          <w:rFonts w:hint="eastAsia" w:ascii="Times New Roman" w:hAnsi="Times New Roman"/>
          <w:color w:val="auto"/>
          <w:lang w:eastAsia="zh-CN"/>
        </w:rPr>
        <w:t>8</w:t>
      </w:r>
      <w:r>
        <w:rPr>
          <w:rFonts w:hint="eastAsia" w:ascii="Times New Roman" w:hAnsi="Times New Roman"/>
          <w:color w:val="auto"/>
          <w:lang w:val="en-US" w:eastAsia="zh-CN"/>
        </w:rPr>
        <w:t>84</w:t>
      </w:r>
      <w:r>
        <w:rPr>
          <w:rFonts w:ascii="Times New Roman" w:hAnsi="Times New Roman"/>
          <w:color w:val="auto"/>
        </w:rPr>
        <w:t>-2018）；</w:t>
      </w:r>
    </w:p>
    <w:p w14:paraId="53273AC0">
      <w:pPr>
        <w:numPr>
          <w:ilvl w:val="0"/>
          <w:numId w:val="6"/>
        </w:numPr>
        <w:ind w:firstLine="560"/>
        <w:rPr>
          <w:rFonts w:hint="eastAsia" w:ascii="Times New Roman" w:hAnsi="Times New Roman"/>
          <w:color w:val="auto"/>
          <w:lang w:eastAsia="zh-CN"/>
        </w:rPr>
      </w:pPr>
      <w:r>
        <w:rPr>
          <w:rFonts w:hint="eastAsia" w:ascii="Times New Roman" w:hAnsi="Times New Roman"/>
          <w:color w:val="auto"/>
          <w:lang w:eastAsia="zh-CN"/>
        </w:rPr>
        <w:t>《污染源源强核算技术指南 电镀》（HJ984-2018）；</w:t>
      </w:r>
    </w:p>
    <w:p w14:paraId="3E09DF74">
      <w:pPr>
        <w:numPr>
          <w:ilvl w:val="0"/>
          <w:numId w:val="6"/>
        </w:numPr>
        <w:ind w:firstLine="560"/>
        <w:rPr>
          <w:rFonts w:hint="eastAsia" w:ascii="Times New Roman" w:hAnsi="Times New Roman"/>
          <w:color w:val="auto"/>
          <w:lang w:eastAsia="zh-CN"/>
        </w:rPr>
      </w:pPr>
      <w:r>
        <w:rPr>
          <w:rFonts w:hint="eastAsia" w:ascii="Times New Roman" w:hAnsi="Times New Roman"/>
          <w:color w:val="auto"/>
          <w:lang w:eastAsia="zh-CN"/>
        </w:rPr>
        <w:t>《排污单位自行监测技术指南 电镀工业》（HJ985-2018）</w:t>
      </w:r>
      <w:r>
        <w:rPr>
          <w:rFonts w:hint="eastAsia"/>
          <w:color w:val="auto"/>
          <w:lang w:eastAsia="zh-CN"/>
        </w:rPr>
        <w:t>；</w:t>
      </w:r>
    </w:p>
    <w:bookmarkEnd w:id="57"/>
    <w:p w14:paraId="3A54E249">
      <w:pPr>
        <w:numPr>
          <w:ilvl w:val="0"/>
          <w:numId w:val="6"/>
        </w:numPr>
        <w:ind w:firstLine="560"/>
        <w:rPr>
          <w:rFonts w:hint="eastAsia" w:ascii="Times New Roman" w:hAnsi="Times New Roman"/>
          <w:color w:val="auto"/>
          <w:lang w:eastAsia="zh-CN"/>
        </w:rPr>
      </w:pPr>
      <w:r>
        <w:rPr>
          <w:rFonts w:hint="eastAsia" w:ascii="Times New Roman" w:hAnsi="Times New Roman"/>
          <w:color w:val="auto"/>
          <w:lang w:eastAsia="zh-CN"/>
        </w:rPr>
        <w:t>《电镀污染防治可行技术指南》（HJ 1306-2023）；</w:t>
      </w:r>
    </w:p>
    <w:p w14:paraId="6579D5AC">
      <w:pPr>
        <w:numPr>
          <w:ilvl w:val="0"/>
          <w:numId w:val="6"/>
        </w:numPr>
        <w:ind w:firstLine="560"/>
        <w:rPr>
          <w:rFonts w:hint="eastAsia" w:ascii="Times New Roman" w:hAnsi="Times New Roman"/>
          <w:color w:val="auto"/>
          <w:lang w:eastAsia="zh-CN"/>
        </w:rPr>
      </w:pPr>
      <w:r>
        <w:rPr>
          <w:rFonts w:hint="eastAsia" w:ascii="Times New Roman" w:hAnsi="Times New Roman"/>
          <w:color w:val="auto"/>
          <w:lang w:val="en-US" w:eastAsia="zh-CN"/>
        </w:rPr>
        <w:t>《电镀行业清洁生产评价指标体系》（DB32/T 5379—2026）</w:t>
      </w:r>
      <w:r>
        <w:rPr>
          <w:rFonts w:hint="eastAsia" w:ascii="Times New Roman" w:hAnsi="Times New Roman"/>
          <w:color w:val="auto"/>
          <w:lang w:eastAsia="zh-CN"/>
        </w:rPr>
        <w:t>；</w:t>
      </w:r>
    </w:p>
    <w:p w14:paraId="485584FA">
      <w:pPr>
        <w:numPr>
          <w:ilvl w:val="0"/>
          <w:numId w:val="6"/>
        </w:numPr>
        <w:ind w:firstLine="560"/>
        <w:rPr>
          <w:rFonts w:ascii="Times New Roman" w:hAnsi="Times New Roman"/>
          <w:color w:val="auto"/>
        </w:rPr>
      </w:pPr>
      <w:r>
        <w:rPr>
          <w:rFonts w:hint="eastAsia" w:ascii="Times New Roman" w:hAnsi="Times New Roman"/>
          <w:color w:val="auto"/>
          <w:lang w:eastAsia="zh-CN"/>
        </w:rPr>
        <w:t>《电镀废水治理工程技术规范》（HJ 2002-2010）。</w:t>
      </w:r>
    </w:p>
    <w:p w14:paraId="6E4CDC04">
      <w:pPr>
        <w:pStyle w:val="4"/>
        <w:bidi w:val="0"/>
        <w:rPr>
          <w:color w:val="auto"/>
          <w:lang w:val="en-US" w:eastAsia="zh-CN"/>
        </w:rPr>
      </w:pPr>
      <w:bookmarkStart w:id="58" w:name="_Toc30014"/>
      <w:bookmarkStart w:id="59" w:name="_Toc7620"/>
      <w:r>
        <w:rPr>
          <w:rFonts w:hint="eastAsia"/>
          <w:color w:val="auto"/>
          <w:lang w:val="en-US" w:eastAsia="zh-CN"/>
        </w:rPr>
        <w:t>项目相关资料</w:t>
      </w:r>
      <w:bookmarkEnd w:id="58"/>
      <w:bookmarkEnd w:id="59"/>
    </w:p>
    <w:p w14:paraId="1CAA2F67">
      <w:pPr>
        <w:rPr>
          <w:rFonts w:hint="eastAsia" w:ascii="Times New Roman" w:hAnsi="Times New Roman"/>
          <w:color w:val="auto"/>
        </w:rPr>
      </w:pPr>
      <w:r>
        <w:rPr>
          <w:rFonts w:hint="eastAsia" w:ascii="Times New Roman" w:hAnsi="Times New Roman"/>
          <w:color w:val="auto"/>
        </w:rPr>
        <w:t>（1）项目投资备案证：昆花投备〔2026〕42号；</w:t>
      </w:r>
    </w:p>
    <w:p w14:paraId="19752B83">
      <w:pPr>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2）</w:t>
      </w:r>
      <w:r>
        <w:rPr>
          <w:rFonts w:hint="eastAsia"/>
          <w:color w:val="auto"/>
          <w:lang w:eastAsia="zh-CN"/>
        </w:rPr>
        <w:t>苏州昆运制版有限公司</w:t>
      </w:r>
      <w:r>
        <w:rPr>
          <w:rFonts w:hint="eastAsia" w:ascii="Times New Roman" w:hAnsi="Times New Roman"/>
          <w:color w:val="auto"/>
        </w:rPr>
        <w:t>提供的其他技术资料。</w:t>
      </w:r>
    </w:p>
    <w:p w14:paraId="24605621">
      <w:pPr>
        <w:pStyle w:val="3"/>
        <w:bidi w:val="0"/>
        <w:rPr>
          <w:color w:val="auto"/>
          <w:lang w:val="en-US" w:eastAsia="zh-CN"/>
        </w:rPr>
      </w:pPr>
      <w:bookmarkStart w:id="60" w:name="_Toc1928"/>
      <w:bookmarkStart w:id="61" w:name="_Toc24162"/>
      <w:r>
        <w:rPr>
          <w:rFonts w:hint="eastAsia"/>
          <w:color w:val="auto"/>
          <w:lang w:val="en-US" w:eastAsia="zh-CN"/>
        </w:rPr>
        <w:t>评价因子与评价标准</w:t>
      </w:r>
      <w:bookmarkEnd w:id="60"/>
      <w:bookmarkEnd w:id="61"/>
    </w:p>
    <w:p w14:paraId="43E05ADA">
      <w:pPr>
        <w:pStyle w:val="4"/>
        <w:bidi w:val="0"/>
        <w:rPr>
          <w:color w:val="auto"/>
          <w:lang w:val="en-US" w:eastAsia="zh-CN"/>
        </w:rPr>
      </w:pPr>
      <w:bookmarkStart w:id="62" w:name="_Toc26456"/>
      <w:bookmarkStart w:id="63" w:name="_Toc3210"/>
      <w:r>
        <w:rPr>
          <w:rFonts w:hint="eastAsia"/>
          <w:color w:val="auto"/>
          <w:lang w:val="en-US" w:eastAsia="zh-CN"/>
        </w:rPr>
        <w:t>环境影响因素识别</w:t>
      </w:r>
      <w:bookmarkEnd w:id="62"/>
      <w:bookmarkEnd w:id="63"/>
    </w:p>
    <w:p w14:paraId="17FEFCA1">
      <w:pPr>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r>
        <w:rPr>
          <w:rFonts w:hint="eastAsia" w:ascii="Times New Roman" w:hAnsi="Times New Roman"/>
          <w:color w:val="auto"/>
        </w:rPr>
        <w:t>根据《环境影响评价技术导则总纲》（HJ2.1-2016），根据建设项目生产工艺特点以及对环境的影响，结合区域环境状况，对可能受项目影响的环境要素进行识别，主要环境影响要素识别矩阵见</w:t>
      </w:r>
      <w:r>
        <w:rPr>
          <w:rFonts w:ascii="Times New Roman" w:hAnsi="Times New Roman"/>
          <w:color w:val="auto"/>
        </w:rPr>
        <w:fldChar w:fldCharType="begin"/>
      </w:r>
      <w:r>
        <w:rPr>
          <w:rFonts w:ascii="Times New Roman" w:hAnsi="Times New Roman"/>
          <w:color w:val="auto"/>
        </w:rPr>
        <w:instrText xml:space="preserve"> </w:instrText>
      </w:r>
      <w:r>
        <w:rPr>
          <w:rFonts w:hint="eastAsia" w:ascii="Times New Roman" w:hAnsi="Times New Roman"/>
          <w:color w:val="auto"/>
        </w:rPr>
        <w:instrText xml:space="preserve">REF _Ref156487441 \h</w:instrText>
      </w:r>
      <w:r>
        <w:rPr>
          <w:rFonts w:ascii="Times New Roman" w:hAnsi="Times New Roman"/>
          <w:color w:val="auto"/>
        </w:rPr>
        <w:instrText xml:space="preserve"> </w:instrText>
      </w:r>
      <w:r>
        <w:rPr>
          <w:rFonts w:ascii="Times New Roman" w:hAnsi="Times New Roman"/>
          <w:color w:val="auto"/>
        </w:rPr>
        <w:fldChar w:fldCharType="separate"/>
      </w: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2.2</w:t>
      </w:r>
      <w:r>
        <w:rPr>
          <w:rFonts w:ascii="Times New Roman" w:hAnsi="Times New Roman"/>
          <w:color w:val="auto"/>
        </w:rPr>
        <w:fldChar w:fldCharType="end"/>
      </w:r>
      <w:r>
        <w:rPr>
          <w:rFonts w:ascii="Times New Roman" w:hAnsi="Times New Roman"/>
          <w:color w:val="auto"/>
        </w:rPr>
        <w:noBreakHyphen/>
      </w:r>
      <w:r>
        <w:rPr>
          <w:rFonts w:ascii="Times New Roman" w:hAnsi="Times New Roman"/>
          <w:color w:val="auto"/>
        </w:rPr>
        <w:t>1</w:t>
      </w:r>
      <w:r>
        <w:rPr>
          <w:rFonts w:ascii="Times New Roman" w:hAnsi="Times New Roman"/>
          <w:color w:val="auto"/>
        </w:rPr>
        <w:fldChar w:fldCharType="end"/>
      </w:r>
      <w:r>
        <w:rPr>
          <w:rFonts w:hint="eastAsia" w:ascii="Times New Roman" w:hAnsi="Times New Roman"/>
          <w:color w:val="auto"/>
        </w:rPr>
        <w:t>。</w:t>
      </w:r>
    </w:p>
    <w:p w14:paraId="67062B36">
      <w:pPr>
        <w:pStyle w:val="25"/>
        <w:bidi w:val="0"/>
        <w:rPr>
          <w:color w:val="auto"/>
          <w:lang w:val="en-US" w:eastAsia="zh-CN"/>
        </w:rPr>
      </w:pPr>
      <w:bookmarkStart w:id="64" w:name="_Ref156487441"/>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bookmarkEnd w:id="64"/>
      <w:r>
        <w:rPr>
          <w:color w:val="auto"/>
          <w:lang w:val="en-US" w:eastAsia="zh-CN"/>
        </w:rPr>
        <w:t>主要环境要素影响识别矩阵</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5"/>
        <w:gridCol w:w="1305"/>
        <w:gridCol w:w="919"/>
        <w:gridCol w:w="919"/>
        <w:gridCol w:w="919"/>
        <w:gridCol w:w="919"/>
        <w:gridCol w:w="939"/>
        <w:gridCol w:w="858"/>
        <w:gridCol w:w="838"/>
        <w:gridCol w:w="779"/>
        <w:gridCol w:w="1469"/>
        <w:gridCol w:w="919"/>
        <w:gridCol w:w="919"/>
        <w:gridCol w:w="919"/>
        <w:gridCol w:w="922"/>
      </w:tblGrid>
      <w:tr w14:paraId="577E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9" w:type="pct"/>
            <w:gridSpan w:val="2"/>
            <w:vMerge w:val="restart"/>
            <w:tcBorders>
              <w:tl2br w:val="single" w:color="auto" w:sz="4" w:space="0"/>
            </w:tcBorders>
            <w:tcMar>
              <w:left w:w="0" w:type="dxa"/>
              <w:right w:w="0" w:type="dxa"/>
            </w:tcMar>
            <w:vAlign w:val="center"/>
          </w:tcPr>
          <w:p w14:paraId="2AAAC65F">
            <w:pPr>
              <w:pStyle w:val="36"/>
              <w:bidi w:val="0"/>
              <w:rPr>
                <w:color w:val="auto"/>
                <w:lang w:val="en-US" w:eastAsia="zh-CN"/>
              </w:rPr>
            </w:pPr>
            <w:r>
              <w:rPr>
                <w:color w:val="auto"/>
                <w:lang w:val="en-US" w:eastAsia="zh-CN"/>
              </w:rPr>
              <w:t>影响受体</w:t>
            </w:r>
          </w:p>
          <w:p w14:paraId="1E11C9EB">
            <w:pPr>
              <w:pStyle w:val="36"/>
              <w:bidi w:val="0"/>
              <w:rPr>
                <w:color w:val="auto"/>
                <w:lang w:val="en-US" w:eastAsia="zh-CN"/>
              </w:rPr>
            </w:pPr>
          </w:p>
          <w:p w14:paraId="1389F73A">
            <w:pPr>
              <w:pStyle w:val="36"/>
              <w:bidi w:val="0"/>
              <w:rPr>
                <w:color w:val="auto"/>
                <w:lang w:val="en-US" w:eastAsia="zh-CN"/>
              </w:rPr>
            </w:pPr>
            <w:r>
              <w:rPr>
                <w:color w:val="auto"/>
                <w:lang w:val="en-US" w:eastAsia="zh-CN"/>
              </w:rPr>
              <w:t>影响因素</w:t>
            </w:r>
          </w:p>
        </w:tc>
        <w:tc>
          <w:tcPr>
            <w:tcW w:w="1651" w:type="pct"/>
            <w:gridSpan w:val="5"/>
            <w:tcMar>
              <w:left w:w="0" w:type="dxa"/>
              <w:right w:w="0" w:type="dxa"/>
            </w:tcMar>
            <w:vAlign w:val="center"/>
          </w:tcPr>
          <w:p w14:paraId="740A594C">
            <w:pPr>
              <w:pStyle w:val="36"/>
              <w:bidi w:val="0"/>
              <w:rPr>
                <w:color w:val="auto"/>
                <w:lang w:val="en-US" w:eastAsia="zh-CN"/>
              </w:rPr>
            </w:pPr>
            <w:r>
              <w:rPr>
                <w:color w:val="auto"/>
                <w:lang w:val="en-US" w:eastAsia="zh-CN"/>
              </w:rPr>
              <w:t>自然环境</w:t>
            </w:r>
          </w:p>
        </w:tc>
        <w:tc>
          <w:tcPr>
            <w:tcW w:w="1412" w:type="pct"/>
            <w:gridSpan w:val="4"/>
            <w:tcMar>
              <w:left w:w="0" w:type="dxa"/>
              <w:right w:w="0" w:type="dxa"/>
            </w:tcMar>
            <w:vAlign w:val="center"/>
          </w:tcPr>
          <w:p w14:paraId="1FB52924">
            <w:pPr>
              <w:pStyle w:val="36"/>
              <w:bidi w:val="0"/>
              <w:rPr>
                <w:color w:val="auto"/>
                <w:lang w:val="en-US" w:eastAsia="zh-CN"/>
              </w:rPr>
            </w:pPr>
            <w:r>
              <w:rPr>
                <w:color w:val="auto"/>
                <w:lang w:val="en-US" w:eastAsia="zh-CN"/>
              </w:rPr>
              <w:t>生态环境</w:t>
            </w:r>
          </w:p>
        </w:tc>
        <w:tc>
          <w:tcPr>
            <w:tcW w:w="1318" w:type="pct"/>
            <w:gridSpan w:val="4"/>
            <w:tcMar>
              <w:left w:w="0" w:type="dxa"/>
              <w:right w:w="0" w:type="dxa"/>
            </w:tcMar>
            <w:vAlign w:val="center"/>
          </w:tcPr>
          <w:p w14:paraId="2080C0D4">
            <w:pPr>
              <w:pStyle w:val="36"/>
              <w:bidi w:val="0"/>
              <w:rPr>
                <w:color w:val="auto"/>
                <w:lang w:val="en-US" w:eastAsia="zh-CN"/>
              </w:rPr>
            </w:pPr>
            <w:r>
              <w:rPr>
                <w:color w:val="auto"/>
                <w:lang w:val="en-US" w:eastAsia="zh-CN"/>
              </w:rPr>
              <w:t>社会环境</w:t>
            </w:r>
          </w:p>
        </w:tc>
      </w:tr>
      <w:tr w14:paraId="50AA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9" w:type="pct"/>
            <w:gridSpan w:val="2"/>
            <w:vMerge w:val="continue"/>
            <w:tcBorders>
              <w:top w:val="nil"/>
              <w:tl2br w:val="single" w:color="auto" w:sz="4" w:space="0"/>
            </w:tcBorders>
            <w:tcMar>
              <w:left w:w="0" w:type="dxa"/>
              <w:right w:w="0" w:type="dxa"/>
            </w:tcMar>
            <w:vAlign w:val="center"/>
          </w:tcPr>
          <w:p w14:paraId="48F907F6">
            <w:pPr>
              <w:pStyle w:val="36"/>
              <w:bidi w:val="0"/>
              <w:rPr>
                <w:color w:val="auto"/>
                <w:lang w:val="en-US" w:eastAsia="zh-CN"/>
              </w:rPr>
            </w:pPr>
          </w:p>
        </w:tc>
        <w:tc>
          <w:tcPr>
            <w:tcW w:w="329" w:type="pct"/>
            <w:tcMar>
              <w:left w:w="0" w:type="dxa"/>
              <w:right w:w="0" w:type="dxa"/>
            </w:tcMar>
            <w:vAlign w:val="center"/>
          </w:tcPr>
          <w:p w14:paraId="67B284A9">
            <w:pPr>
              <w:pStyle w:val="36"/>
              <w:bidi w:val="0"/>
              <w:rPr>
                <w:color w:val="auto"/>
                <w:lang w:val="en-US" w:eastAsia="zh-CN"/>
              </w:rPr>
            </w:pPr>
            <w:r>
              <w:rPr>
                <w:color w:val="auto"/>
                <w:lang w:val="en-US" w:eastAsia="zh-CN"/>
              </w:rPr>
              <w:t>环境</w:t>
            </w:r>
          </w:p>
          <w:p w14:paraId="3964BF4D">
            <w:pPr>
              <w:pStyle w:val="36"/>
              <w:bidi w:val="0"/>
              <w:rPr>
                <w:color w:val="auto"/>
                <w:lang w:val="en-US" w:eastAsia="zh-CN"/>
              </w:rPr>
            </w:pPr>
            <w:r>
              <w:rPr>
                <w:color w:val="auto"/>
                <w:lang w:val="en-US" w:eastAsia="zh-CN"/>
              </w:rPr>
              <w:t>空气</w:t>
            </w:r>
          </w:p>
        </w:tc>
        <w:tc>
          <w:tcPr>
            <w:tcW w:w="329" w:type="pct"/>
            <w:tcMar>
              <w:left w:w="0" w:type="dxa"/>
              <w:right w:w="0" w:type="dxa"/>
            </w:tcMar>
            <w:vAlign w:val="center"/>
          </w:tcPr>
          <w:p w14:paraId="60E427E9">
            <w:pPr>
              <w:pStyle w:val="36"/>
              <w:bidi w:val="0"/>
              <w:rPr>
                <w:color w:val="auto"/>
                <w:lang w:val="en-US" w:eastAsia="zh-CN"/>
              </w:rPr>
            </w:pPr>
            <w:r>
              <w:rPr>
                <w:color w:val="auto"/>
                <w:lang w:val="en-US" w:eastAsia="zh-CN"/>
              </w:rPr>
              <w:t>地表水</w:t>
            </w:r>
          </w:p>
          <w:p w14:paraId="0A8A8B70">
            <w:pPr>
              <w:pStyle w:val="36"/>
              <w:bidi w:val="0"/>
              <w:rPr>
                <w:color w:val="auto"/>
                <w:lang w:val="en-US" w:eastAsia="zh-CN"/>
              </w:rPr>
            </w:pPr>
            <w:r>
              <w:rPr>
                <w:color w:val="auto"/>
                <w:lang w:val="en-US" w:eastAsia="zh-CN"/>
              </w:rPr>
              <w:t>环境</w:t>
            </w:r>
          </w:p>
        </w:tc>
        <w:tc>
          <w:tcPr>
            <w:tcW w:w="329" w:type="pct"/>
            <w:tcMar>
              <w:left w:w="0" w:type="dxa"/>
              <w:right w:w="0" w:type="dxa"/>
            </w:tcMar>
            <w:vAlign w:val="center"/>
          </w:tcPr>
          <w:p w14:paraId="12206337">
            <w:pPr>
              <w:pStyle w:val="36"/>
              <w:bidi w:val="0"/>
              <w:rPr>
                <w:color w:val="auto"/>
                <w:lang w:val="en-US" w:eastAsia="zh-CN"/>
              </w:rPr>
            </w:pPr>
            <w:r>
              <w:rPr>
                <w:color w:val="auto"/>
                <w:lang w:val="en-US" w:eastAsia="zh-CN"/>
              </w:rPr>
              <w:t>地下水</w:t>
            </w:r>
          </w:p>
          <w:p w14:paraId="7306500F">
            <w:pPr>
              <w:pStyle w:val="36"/>
              <w:bidi w:val="0"/>
              <w:rPr>
                <w:color w:val="auto"/>
                <w:lang w:val="en-US" w:eastAsia="zh-CN"/>
              </w:rPr>
            </w:pPr>
            <w:r>
              <w:rPr>
                <w:color w:val="auto"/>
                <w:lang w:val="en-US" w:eastAsia="zh-CN"/>
              </w:rPr>
              <w:t>环境</w:t>
            </w:r>
          </w:p>
        </w:tc>
        <w:tc>
          <w:tcPr>
            <w:tcW w:w="329" w:type="pct"/>
            <w:tcMar>
              <w:left w:w="0" w:type="dxa"/>
              <w:right w:w="0" w:type="dxa"/>
            </w:tcMar>
            <w:vAlign w:val="center"/>
          </w:tcPr>
          <w:p w14:paraId="08ADCE2F">
            <w:pPr>
              <w:pStyle w:val="36"/>
              <w:bidi w:val="0"/>
              <w:rPr>
                <w:color w:val="auto"/>
                <w:lang w:val="en-US" w:eastAsia="zh-CN"/>
              </w:rPr>
            </w:pPr>
            <w:r>
              <w:rPr>
                <w:color w:val="auto"/>
                <w:lang w:val="en-US" w:eastAsia="zh-CN"/>
              </w:rPr>
              <w:t>土壤</w:t>
            </w:r>
          </w:p>
          <w:p w14:paraId="7AD7D345">
            <w:pPr>
              <w:pStyle w:val="36"/>
              <w:bidi w:val="0"/>
              <w:rPr>
                <w:color w:val="auto"/>
                <w:lang w:val="en-US" w:eastAsia="zh-CN"/>
              </w:rPr>
            </w:pPr>
            <w:r>
              <w:rPr>
                <w:color w:val="auto"/>
                <w:lang w:val="en-US" w:eastAsia="zh-CN"/>
              </w:rPr>
              <w:t>环境</w:t>
            </w:r>
          </w:p>
        </w:tc>
        <w:tc>
          <w:tcPr>
            <w:tcW w:w="336" w:type="pct"/>
            <w:tcMar>
              <w:left w:w="0" w:type="dxa"/>
              <w:right w:w="0" w:type="dxa"/>
            </w:tcMar>
            <w:vAlign w:val="center"/>
          </w:tcPr>
          <w:p w14:paraId="5F39CF05">
            <w:pPr>
              <w:pStyle w:val="36"/>
              <w:bidi w:val="0"/>
              <w:rPr>
                <w:color w:val="auto"/>
                <w:lang w:val="en-US" w:eastAsia="zh-CN"/>
              </w:rPr>
            </w:pPr>
            <w:r>
              <w:rPr>
                <w:color w:val="auto"/>
                <w:lang w:val="en-US" w:eastAsia="zh-CN"/>
              </w:rPr>
              <w:t>声环</w:t>
            </w:r>
          </w:p>
          <w:p w14:paraId="25744488">
            <w:pPr>
              <w:pStyle w:val="36"/>
              <w:bidi w:val="0"/>
              <w:rPr>
                <w:color w:val="auto"/>
                <w:lang w:val="en-US" w:eastAsia="zh-CN"/>
              </w:rPr>
            </w:pPr>
            <w:r>
              <w:rPr>
                <w:color w:val="auto"/>
                <w:lang w:val="en-US" w:eastAsia="zh-CN"/>
              </w:rPr>
              <w:t>境</w:t>
            </w:r>
          </w:p>
        </w:tc>
        <w:tc>
          <w:tcPr>
            <w:tcW w:w="307" w:type="pct"/>
            <w:tcMar>
              <w:left w:w="0" w:type="dxa"/>
              <w:right w:w="0" w:type="dxa"/>
            </w:tcMar>
            <w:vAlign w:val="center"/>
          </w:tcPr>
          <w:p w14:paraId="2165D929">
            <w:pPr>
              <w:pStyle w:val="36"/>
              <w:bidi w:val="0"/>
              <w:rPr>
                <w:color w:val="auto"/>
                <w:lang w:val="en-US" w:eastAsia="zh-CN"/>
              </w:rPr>
            </w:pPr>
            <w:r>
              <w:rPr>
                <w:color w:val="auto"/>
                <w:lang w:val="en-US" w:eastAsia="zh-CN"/>
              </w:rPr>
              <w:t>陆域</w:t>
            </w:r>
          </w:p>
          <w:p w14:paraId="56E2D88E">
            <w:pPr>
              <w:pStyle w:val="36"/>
              <w:bidi w:val="0"/>
              <w:rPr>
                <w:color w:val="auto"/>
                <w:lang w:val="en-US" w:eastAsia="zh-CN"/>
              </w:rPr>
            </w:pPr>
            <w:r>
              <w:rPr>
                <w:color w:val="auto"/>
                <w:lang w:val="en-US" w:eastAsia="zh-CN"/>
              </w:rPr>
              <w:t>环境</w:t>
            </w:r>
          </w:p>
        </w:tc>
        <w:tc>
          <w:tcPr>
            <w:tcW w:w="300" w:type="pct"/>
            <w:tcMar>
              <w:left w:w="0" w:type="dxa"/>
              <w:right w:w="0" w:type="dxa"/>
            </w:tcMar>
            <w:vAlign w:val="center"/>
          </w:tcPr>
          <w:p w14:paraId="1AB2DAEA">
            <w:pPr>
              <w:pStyle w:val="36"/>
              <w:bidi w:val="0"/>
              <w:rPr>
                <w:color w:val="auto"/>
                <w:lang w:val="en-US" w:eastAsia="zh-CN"/>
              </w:rPr>
            </w:pPr>
            <w:r>
              <w:rPr>
                <w:color w:val="auto"/>
                <w:lang w:val="en-US" w:eastAsia="zh-CN"/>
              </w:rPr>
              <w:t>水生</w:t>
            </w:r>
          </w:p>
          <w:p w14:paraId="0CF4AEF2">
            <w:pPr>
              <w:pStyle w:val="36"/>
              <w:bidi w:val="0"/>
              <w:rPr>
                <w:color w:val="auto"/>
                <w:lang w:val="en-US" w:eastAsia="zh-CN"/>
              </w:rPr>
            </w:pPr>
            <w:r>
              <w:rPr>
                <w:color w:val="auto"/>
                <w:lang w:val="en-US" w:eastAsia="zh-CN"/>
              </w:rPr>
              <w:t>生物</w:t>
            </w:r>
          </w:p>
        </w:tc>
        <w:tc>
          <w:tcPr>
            <w:tcW w:w="279" w:type="pct"/>
            <w:tcMar>
              <w:left w:w="0" w:type="dxa"/>
              <w:right w:w="0" w:type="dxa"/>
            </w:tcMar>
            <w:vAlign w:val="center"/>
          </w:tcPr>
          <w:p w14:paraId="6199A390">
            <w:pPr>
              <w:pStyle w:val="36"/>
              <w:bidi w:val="0"/>
              <w:rPr>
                <w:color w:val="auto"/>
                <w:lang w:val="en-US" w:eastAsia="zh-CN"/>
              </w:rPr>
            </w:pPr>
            <w:r>
              <w:rPr>
                <w:color w:val="auto"/>
                <w:lang w:val="en-US" w:eastAsia="zh-CN"/>
              </w:rPr>
              <w:t>渔业</w:t>
            </w:r>
          </w:p>
          <w:p w14:paraId="23764916">
            <w:pPr>
              <w:pStyle w:val="36"/>
              <w:bidi w:val="0"/>
              <w:rPr>
                <w:color w:val="auto"/>
                <w:lang w:val="en-US" w:eastAsia="zh-CN"/>
              </w:rPr>
            </w:pPr>
            <w:r>
              <w:rPr>
                <w:color w:val="auto"/>
                <w:lang w:val="en-US" w:eastAsia="zh-CN"/>
              </w:rPr>
              <w:t>资源</w:t>
            </w:r>
          </w:p>
        </w:tc>
        <w:tc>
          <w:tcPr>
            <w:tcW w:w="526" w:type="pct"/>
            <w:tcMar>
              <w:left w:w="0" w:type="dxa"/>
              <w:right w:w="0" w:type="dxa"/>
            </w:tcMar>
            <w:vAlign w:val="center"/>
          </w:tcPr>
          <w:p w14:paraId="3DD5C4E6">
            <w:pPr>
              <w:pStyle w:val="36"/>
              <w:bidi w:val="0"/>
              <w:rPr>
                <w:color w:val="auto"/>
                <w:lang w:val="en-US" w:eastAsia="zh-CN"/>
              </w:rPr>
            </w:pPr>
            <w:r>
              <w:rPr>
                <w:color w:val="auto"/>
                <w:lang w:val="en-US" w:eastAsia="zh-CN"/>
              </w:rPr>
              <w:t>主要生态</w:t>
            </w:r>
          </w:p>
          <w:p w14:paraId="148FEA7A">
            <w:pPr>
              <w:pStyle w:val="36"/>
              <w:bidi w:val="0"/>
              <w:rPr>
                <w:color w:val="auto"/>
                <w:lang w:val="en-US" w:eastAsia="zh-CN"/>
              </w:rPr>
            </w:pPr>
            <w:r>
              <w:rPr>
                <w:color w:val="auto"/>
                <w:lang w:val="en-US" w:eastAsia="zh-CN"/>
              </w:rPr>
              <w:t>保护区域</w:t>
            </w:r>
          </w:p>
        </w:tc>
        <w:tc>
          <w:tcPr>
            <w:tcW w:w="329" w:type="pct"/>
            <w:tcMar>
              <w:left w:w="0" w:type="dxa"/>
              <w:right w:w="0" w:type="dxa"/>
            </w:tcMar>
            <w:vAlign w:val="center"/>
          </w:tcPr>
          <w:p w14:paraId="0243A001">
            <w:pPr>
              <w:pStyle w:val="36"/>
              <w:bidi w:val="0"/>
              <w:rPr>
                <w:color w:val="auto"/>
                <w:lang w:val="en-US" w:eastAsia="zh-CN"/>
              </w:rPr>
            </w:pPr>
            <w:r>
              <w:rPr>
                <w:color w:val="auto"/>
                <w:lang w:val="en-US" w:eastAsia="zh-CN"/>
              </w:rPr>
              <w:t>居民</w:t>
            </w:r>
          </w:p>
          <w:p w14:paraId="5194F4D4">
            <w:pPr>
              <w:pStyle w:val="36"/>
              <w:bidi w:val="0"/>
              <w:rPr>
                <w:color w:val="auto"/>
                <w:lang w:val="en-US" w:eastAsia="zh-CN"/>
              </w:rPr>
            </w:pPr>
            <w:r>
              <w:rPr>
                <w:color w:val="auto"/>
                <w:lang w:val="en-US" w:eastAsia="zh-CN"/>
              </w:rPr>
              <w:t>区</w:t>
            </w:r>
          </w:p>
        </w:tc>
        <w:tc>
          <w:tcPr>
            <w:tcW w:w="329" w:type="pct"/>
            <w:tcMar>
              <w:left w:w="0" w:type="dxa"/>
              <w:right w:w="0" w:type="dxa"/>
            </w:tcMar>
            <w:vAlign w:val="center"/>
          </w:tcPr>
          <w:p w14:paraId="2EEEA6FE">
            <w:pPr>
              <w:pStyle w:val="36"/>
              <w:bidi w:val="0"/>
              <w:rPr>
                <w:color w:val="auto"/>
                <w:lang w:val="en-US" w:eastAsia="zh-CN"/>
              </w:rPr>
            </w:pPr>
            <w:r>
              <w:rPr>
                <w:color w:val="auto"/>
                <w:lang w:val="en-US" w:eastAsia="zh-CN"/>
              </w:rPr>
              <w:t>特定</w:t>
            </w:r>
          </w:p>
          <w:p w14:paraId="6BEDA4AB">
            <w:pPr>
              <w:pStyle w:val="36"/>
              <w:bidi w:val="0"/>
              <w:rPr>
                <w:color w:val="auto"/>
                <w:lang w:val="en-US" w:eastAsia="zh-CN"/>
              </w:rPr>
            </w:pPr>
            <w:r>
              <w:rPr>
                <w:color w:val="auto"/>
                <w:lang w:val="en-US" w:eastAsia="zh-CN"/>
              </w:rPr>
              <w:t>保护区</w:t>
            </w:r>
          </w:p>
        </w:tc>
        <w:tc>
          <w:tcPr>
            <w:tcW w:w="329" w:type="pct"/>
            <w:tcMar>
              <w:left w:w="0" w:type="dxa"/>
              <w:right w:w="0" w:type="dxa"/>
            </w:tcMar>
            <w:vAlign w:val="center"/>
          </w:tcPr>
          <w:p w14:paraId="72B9F5D0">
            <w:pPr>
              <w:pStyle w:val="36"/>
              <w:bidi w:val="0"/>
              <w:rPr>
                <w:color w:val="auto"/>
                <w:lang w:val="en-US" w:eastAsia="zh-CN"/>
              </w:rPr>
            </w:pPr>
            <w:r>
              <w:rPr>
                <w:color w:val="auto"/>
                <w:lang w:val="en-US" w:eastAsia="zh-CN"/>
              </w:rPr>
              <w:t>人群</w:t>
            </w:r>
          </w:p>
          <w:p w14:paraId="7FC5F815">
            <w:pPr>
              <w:pStyle w:val="36"/>
              <w:bidi w:val="0"/>
              <w:rPr>
                <w:color w:val="auto"/>
                <w:lang w:val="en-US" w:eastAsia="zh-CN"/>
              </w:rPr>
            </w:pPr>
            <w:r>
              <w:rPr>
                <w:color w:val="auto"/>
                <w:lang w:val="en-US" w:eastAsia="zh-CN"/>
              </w:rPr>
              <w:t>健康</w:t>
            </w:r>
          </w:p>
        </w:tc>
        <w:tc>
          <w:tcPr>
            <w:tcW w:w="331" w:type="pct"/>
            <w:tcMar>
              <w:left w:w="0" w:type="dxa"/>
              <w:right w:w="0" w:type="dxa"/>
            </w:tcMar>
            <w:vAlign w:val="center"/>
          </w:tcPr>
          <w:p w14:paraId="01A227CF">
            <w:pPr>
              <w:pStyle w:val="36"/>
              <w:bidi w:val="0"/>
              <w:rPr>
                <w:color w:val="auto"/>
                <w:lang w:val="en-US" w:eastAsia="zh-CN"/>
              </w:rPr>
            </w:pPr>
            <w:r>
              <w:rPr>
                <w:color w:val="auto"/>
                <w:lang w:val="en-US" w:eastAsia="zh-CN"/>
              </w:rPr>
              <w:t>环境</w:t>
            </w:r>
          </w:p>
          <w:p w14:paraId="06A66E99">
            <w:pPr>
              <w:pStyle w:val="36"/>
              <w:bidi w:val="0"/>
              <w:rPr>
                <w:color w:val="auto"/>
                <w:lang w:val="en-US" w:eastAsia="zh-CN"/>
              </w:rPr>
            </w:pPr>
            <w:r>
              <w:rPr>
                <w:color w:val="auto"/>
                <w:lang w:val="en-US" w:eastAsia="zh-CN"/>
              </w:rPr>
              <w:t>规划</w:t>
            </w:r>
          </w:p>
        </w:tc>
      </w:tr>
      <w:tr w14:paraId="1763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restart"/>
            <w:tcMar>
              <w:left w:w="0" w:type="dxa"/>
              <w:right w:w="0" w:type="dxa"/>
            </w:tcMar>
            <w:vAlign w:val="center"/>
          </w:tcPr>
          <w:p w14:paraId="511FE837">
            <w:pPr>
              <w:pStyle w:val="26"/>
              <w:bidi w:val="0"/>
              <w:rPr>
                <w:color w:val="auto"/>
                <w:lang w:val="en-US" w:eastAsia="zh-CN"/>
              </w:rPr>
            </w:pPr>
            <w:r>
              <w:rPr>
                <w:color w:val="auto"/>
                <w:lang w:val="en-US" w:eastAsia="zh-CN"/>
              </w:rPr>
              <w:t>施工期</w:t>
            </w:r>
          </w:p>
        </w:tc>
        <w:tc>
          <w:tcPr>
            <w:tcW w:w="467" w:type="pct"/>
            <w:tcMar>
              <w:left w:w="0" w:type="dxa"/>
              <w:right w:w="0" w:type="dxa"/>
            </w:tcMar>
            <w:vAlign w:val="center"/>
          </w:tcPr>
          <w:p w14:paraId="3E632010">
            <w:pPr>
              <w:pStyle w:val="26"/>
              <w:bidi w:val="0"/>
              <w:rPr>
                <w:color w:val="auto"/>
                <w:lang w:val="en-US" w:eastAsia="zh-CN"/>
              </w:rPr>
            </w:pPr>
            <w:r>
              <w:rPr>
                <w:color w:val="auto"/>
                <w:lang w:val="en-US" w:eastAsia="zh-CN"/>
              </w:rPr>
              <w:t>施工废水</w:t>
            </w:r>
          </w:p>
        </w:tc>
        <w:tc>
          <w:tcPr>
            <w:tcW w:w="919" w:type="dxa"/>
            <w:tcMar>
              <w:left w:w="0" w:type="dxa"/>
              <w:right w:w="0" w:type="dxa"/>
            </w:tcMar>
            <w:vAlign w:val="center"/>
          </w:tcPr>
          <w:p w14:paraId="5AB7402F">
            <w:pPr>
              <w:pStyle w:val="26"/>
              <w:bidi w:val="0"/>
              <w:rPr>
                <w:color w:val="auto"/>
                <w:lang w:val="en-US" w:eastAsia="zh-CN"/>
              </w:rPr>
            </w:pPr>
            <w:r>
              <w:t>0</w:t>
            </w:r>
          </w:p>
        </w:tc>
        <w:tc>
          <w:tcPr>
            <w:tcW w:w="919" w:type="dxa"/>
            <w:tcMar>
              <w:left w:w="0" w:type="dxa"/>
              <w:right w:w="0" w:type="dxa"/>
            </w:tcMar>
            <w:vAlign w:val="center"/>
          </w:tcPr>
          <w:p w14:paraId="0F12F43E">
            <w:pPr>
              <w:pStyle w:val="26"/>
              <w:bidi w:val="0"/>
              <w:rPr>
                <w:color w:val="auto"/>
                <w:lang w:val="en-US" w:eastAsia="zh-CN"/>
              </w:rPr>
            </w:pPr>
            <w:r>
              <w:t>0</w:t>
            </w:r>
          </w:p>
        </w:tc>
        <w:tc>
          <w:tcPr>
            <w:tcW w:w="919" w:type="dxa"/>
            <w:tcMar>
              <w:left w:w="0" w:type="dxa"/>
              <w:right w:w="0" w:type="dxa"/>
            </w:tcMar>
            <w:vAlign w:val="center"/>
          </w:tcPr>
          <w:p w14:paraId="4AF2C631">
            <w:pPr>
              <w:pStyle w:val="26"/>
              <w:bidi w:val="0"/>
              <w:rPr>
                <w:color w:val="auto"/>
                <w:lang w:val="en-US" w:eastAsia="zh-CN"/>
              </w:rPr>
            </w:pPr>
            <w:r>
              <w:t>0</w:t>
            </w:r>
          </w:p>
        </w:tc>
        <w:tc>
          <w:tcPr>
            <w:tcW w:w="919" w:type="dxa"/>
            <w:tcMar>
              <w:left w:w="0" w:type="dxa"/>
              <w:right w:w="0" w:type="dxa"/>
            </w:tcMar>
            <w:vAlign w:val="center"/>
          </w:tcPr>
          <w:p w14:paraId="56B41792">
            <w:pPr>
              <w:pStyle w:val="26"/>
              <w:bidi w:val="0"/>
              <w:rPr>
                <w:color w:val="auto"/>
                <w:lang w:val="en-US" w:eastAsia="zh-CN"/>
              </w:rPr>
            </w:pPr>
            <w:r>
              <w:t>0</w:t>
            </w:r>
          </w:p>
        </w:tc>
        <w:tc>
          <w:tcPr>
            <w:tcW w:w="939" w:type="dxa"/>
            <w:tcMar>
              <w:left w:w="0" w:type="dxa"/>
              <w:right w:w="0" w:type="dxa"/>
            </w:tcMar>
            <w:vAlign w:val="center"/>
          </w:tcPr>
          <w:p w14:paraId="71409F72">
            <w:pPr>
              <w:pStyle w:val="26"/>
              <w:bidi w:val="0"/>
              <w:rPr>
                <w:color w:val="auto"/>
                <w:lang w:val="en-US" w:eastAsia="zh-CN"/>
              </w:rPr>
            </w:pPr>
            <w:r>
              <w:t>0</w:t>
            </w:r>
          </w:p>
        </w:tc>
        <w:tc>
          <w:tcPr>
            <w:tcW w:w="858" w:type="dxa"/>
            <w:tcMar>
              <w:left w:w="0" w:type="dxa"/>
              <w:right w:w="0" w:type="dxa"/>
            </w:tcMar>
            <w:vAlign w:val="center"/>
          </w:tcPr>
          <w:p w14:paraId="10F1AF8E">
            <w:pPr>
              <w:pStyle w:val="26"/>
              <w:bidi w:val="0"/>
              <w:rPr>
                <w:color w:val="auto"/>
                <w:lang w:val="en-US" w:eastAsia="zh-CN"/>
              </w:rPr>
            </w:pPr>
            <w:r>
              <w:t>0</w:t>
            </w:r>
          </w:p>
        </w:tc>
        <w:tc>
          <w:tcPr>
            <w:tcW w:w="838" w:type="dxa"/>
            <w:tcMar>
              <w:left w:w="0" w:type="dxa"/>
              <w:right w:w="0" w:type="dxa"/>
            </w:tcMar>
            <w:vAlign w:val="center"/>
          </w:tcPr>
          <w:p w14:paraId="4D2958DA">
            <w:pPr>
              <w:pStyle w:val="26"/>
              <w:bidi w:val="0"/>
              <w:rPr>
                <w:color w:val="auto"/>
                <w:lang w:val="en-US" w:eastAsia="zh-CN"/>
              </w:rPr>
            </w:pPr>
            <w:r>
              <w:t>0</w:t>
            </w:r>
          </w:p>
        </w:tc>
        <w:tc>
          <w:tcPr>
            <w:tcW w:w="779" w:type="dxa"/>
            <w:tcMar>
              <w:left w:w="0" w:type="dxa"/>
              <w:right w:w="0" w:type="dxa"/>
            </w:tcMar>
            <w:vAlign w:val="center"/>
          </w:tcPr>
          <w:p w14:paraId="0AC3E887">
            <w:pPr>
              <w:pStyle w:val="26"/>
              <w:bidi w:val="0"/>
              <w:rPr>
                <w:color w:val="auto"/>
                <w:lang w:val="en-US" w:eastAsia="zh-CN"/>
              </w:rPr>
            </w:pPr>
            <w:r>
              <w:t>0</w:t>
            </w:r>
          </w:p>
        </w:tc>
        <w:tc>
          <w:tcPr>
            <w:tcW w:w="1469" w:type="dxa"/>
            <w:tcMar>
              <w:left w:w="0" w:type="dxa"/>
              <w:right w:w="0" w:type="dxa"/>
            </w:tcMar>
            <w:vAlign w:val="center"/>
          </w:tcPr>
          <w:p w14:paraId="7A4A94D4">
            <w:pPr>
              <w:pStyle w:val="26"/>
              <w:bidi w:val="0"/>
              <w:rPr>
                <w:color w:val="auto"/>
                <w:lang w:val="en-US" w:eastAsia="zh-CN"/>
              </w:rPr>
            </w:pPr>
            <w:r>
              <w:t>0</w:t>
            </w:r>
          </w:p>
        </w:tc>
        <w:tc>
          <w:tcPr>
            <w:tcW w:w="919" w:type="dxa"/>
            <w:tcMar>
              <w:left w:w="0" w:type="dxa"/>
              <w:right w:w="0" w:type="dxa"/>
            </w:tcMar>
            <w:vAlign w:val="center"/>
          </w:tcPr>
          <w:p w14:paraId="625A5AC9">
            <w:pPr>
              <w:pStyle w:val="26"/>
              <w:bidi w:val="0"/>
              <w:rPr>
                <w:color w:val="auto"/>
                <w:lang w:val="en-US" w:eastAsia="zh-CN"/>
              </w:rPr>
            </w:pPr>
            <w:r>
              <w:t>0</w:t>
            </w:r>
          </w:p>
        </w:tc>
        <w:tc>
          <w:tcPr>
            <w:tcW w:w="919" w:type="dxa"/>
            <w:tcMar>
              <w:left w:w="0" w:type="dxa"/>
              <w:right w:w="0" w:type="dxa"/>
            </w:tcMar>
            <w:vAlign w:val="center"/>
          </w:tcPr>
          <w:p w14:paraId="7A79499F">
            <w:pPr>
              <w:pStyle w:val="26"/>
              <w:bidi w:val="0"/>
              <w:rPr>
                <w:color w:val="auto"/>
                <w:lang w:val="en-US" w:eastAsia="zh-CN"/>
              </w:rPr>
            </w:pPr>
            <w:r>
              <w:t>0</w:t>
            </w:r>
          </w:p>
        </w:tc>
        <w:tc>
          <w:tcPr>
            <w:tcW w:w="919" w:type="dxa"/>
            <w:tcMar>
              <w:left w:w="0" w:type="dxa"/>
              <w:right w:w="0" w:type="dxa"/>
            </w:tcMar>
            <w:vAlign w:val="center"/>
          </w:tcPr>
          <w:p w14:paraId="086EF934">
            <w:pPr>
              <w:pStyle w:val="26"/>
              <w:bidi w:val="0"/>
              <w:rPr>
                <w:color w:val="auto"/>
                <w:lang w:val="en-US" w:eastAsia="zh-CN"/>
              </w:rPr>
            </w:pPr>
            <w:r>
              <w:t>0</w:t>
            </w:r>
          </w:p>
        </w:tc>
        <w:tc>
          <w:tcPr>
            <w:tcW w:w="922" w:type="dxa"/>
            <w:tcMar>
              <w:left w:w="0" w:type="dxa"/>
              <w:right w:w="0" w:type="dxa"/>
            </w:tcMar>
            <w:vAlign w:val="center"/>
          </w:tcPr>
          <w:p w14:paraId="37CA0DFA">
            <w:pPr>
              <w:pStyle w:val="26"/>
              <w:bidi w:val="0"/>
              <w:rPr>
                <w:color w:val="auto"/>
                <w:lang w:val="en-US" w:eastAsia="zh-CN"/>
              </w:rPr>
            </w:pPr>
            <w:r>
              <w:t>0</w:t>
            </w:r>
          </w:p>
        </w:tc>
      </w:tr>
      <w:tr w14:paraId="62AF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vAlign w:val="center"/>
          </w:tcPr>
          <w:p w14:paraId="004BC5AF">
            <w:pPr>
              <w:pStyle w:val="26"/>
              <w:bidi w:val="0"/>
              <w:rPr>
                <w:color w:val="auto"/>
                <w:lang w:val="en-US" w:eastAsia="zh-CN"/>
              </w:rPr>
            </w:pPr>
          </w:p>
        </w:tc>
        <w:tc>
          <w:tcPr>
            <w:tcW w:w="467" w:type="pct"/>
            <w:tcMar>
              <w:left w:w="0" w:type="dxa"/>
              <w:right w:w="0" w:type="dxa"/>
            </w:tcMar>
            <w:vAlign w:val="center"/>
          </w:tcPr>
          <w:p w14:paraId="789701EF">
            <w:pPr>
              <w:pStyle w:val="26"/>
              <w:bidi w:val="0"/>
              <w:rPr>
                <w:color w:val="auto"/>
                <w:lang w:val="en-US" w:eastAsia="zh-CN"/>
              </w:rPr>
            </w:pPr>
            <w:r>
              <w:rPr>
                <w:color w:val="auto"/>
                <w:lang w:val="en-US" w:eastAsia="zh-CN"/>
              </w:rPr>
              <w:t>施工扬尘</w:t>
            </w:r>
          </w:p>
        </w:tc>
        <w:tc>
          <w:tcPr>
            <w:tcW w:w="919" w:type="dxa"/>
            <w:tcMar>
              <w:left w:w="0" w:type="dxa"/>
              <w:right w:w="0" w:type="dxa"/>
            </w:tcMar>
            <w:vAlign w:val="center"/>
          </w:tcPr>
          <w:p w14:paraId="43638BE4">
            <w:pPr>
              <w:pStyle w:val="26"/>
              <w:bidi w:val="0"/>
              <w:rPr>
                <w:color w:val="auto"/>
                <w:lang w:val="en-US" w:eastAsia="zh-CN"/>
              </w:rPr>
            </w:pPr>
            <w:r>
              <w:t>-1SRDNC</w:t>
            </w:r>
          </w:p>
        </w:tc>
        <w:tc>
          <w:tcPr>
            <w:tcW w:w="919" w:type="dxa"/>
            <w:tcMar>
              <w:left w:w="0" w:type="dxa"/>
              <w:right w:w="0" w:type="dxa"/>
            </w:tcMar>
            <w:vAlign w:val="center"/>
          </w:tcPr>
          <w:p w14:paraId="48CCBC5B">
            <w:pPr>
              <w:pStyle w:val="26"/>
              <w:bidi w:val="0"/>
              <w:rPr>
                <w:color w:val="auto"/>
                <w:lang w:val="en-US" w:eastAsia="zh-CN"/>
              </w:rPr>
            </w:pPr>
            <w:r>
              <w:t>0</w:t>
            </w:r>
          </w:p>
        </w:tc>
        <w:tc>
          <w:tcPr>
            <w:tcW w:w="919" w:type="dxa"/>
            <w:tcMar>
              <w:left w:w="0" w:type="dxa"/>
              <w:right w:w="0" w:type="dxa"/>
            </w:tcMar>
            <w:vAlign w:val="center"/>
          </w:tcPr>
          <w:p w14:paraId="3C9EEC77">
            <w:pPr>
              <w:pStyle w:val="26"/>
              <w:bidi w:val="0"/>
              <w:rPr>
                <w:color w:val="auto"/>
                <w:lang w:val="en-US" w:eastAsia="zh-CN"/>
              </w:rPr>
            </w:pPr>
            <w:r>
              <w:t>0</w:t>
            </w:r>
          </w:p>
        </w:tc>
        <w:tc>
          <w:tcPr>
            <w:tcW w:w="919" w:type="dxa"/>
            <w:tcMar>
              <w:left w:w="0" w:type="dxa"/>
              <w:right w:w="0" w:type="dxa"/>
            </w:tcMar>
            <w:vAlign w:val="center"/>
          </w:tcPr>
          <w:p w14:paraId="2CAB817E">
            <w:pPr>
              <w:pStyle w:val="26"/>
              <w:bidi w:val="0"/>
              <w:rPr>
                <w:color w:val="auto"/>
                <w:lang w:val="en-US" w:eastAsia="zh-CN"/>
              </w:rPr>
            </w:pPr>
            <w:r>
              <w:t>0</w:t>
            </w:r>
          </w:p>
        </w:tc>
        <w:tc>
          <w:tcPr>
            <w:tcW w:w="939" w:type="dxa"/>
            <w:tcMar>
              <w:left w:w="0" w:type="dxa"/>
              <w:right w:w="0" w:type="dxa"/>
            </w:tcMar>
            <w:vAlign w:val="center"/>
          </w:tcPr>
          <w:p w14:paraId="7086872E">
            <w:pPr>
              <w:pStyle w:val="26"/>
              <w:bidi w:val="0"/>
              <w:rPr>
                <w:color w:val="auto"/>
                <w:lang w:val="en-US" w:eastAsia="zh-CN"/>
              </w:rPr>
            </w:pPr>
            <w:r>
              <w:t>0</w:t>
            </w:r>
          </w:p>
        </w:tc>
        <w:tc>
          <w:tcPr>
            <w:tcW w:w="858" w:type="dxa"/>
            <w:tcMar>
              <w:left w:w="0" w:type="dxa"/>
              <w:right w:w="0" w:type="dxa"/>
            </w:tcMar>
            <w:vAlign w:val="center"/>
          </w:tcPr>
          <w:p w14:paraId="318469B7">
            <w:pPr>
              <w:pStyle w:val="26"/>
              <w:bidi w:val="0"/>
              <w:rPr>
                <w:color w:val="auto"/>
                <w:lang w:val="en-US" w:eastAsia="zh-CN"/>
              </w:rPr>
            </w:pPr>
            <w:r>
              <w:t>0</w:t>
            </w:r>
          </w:p>
        </w:tc>
        <w:tc>
          <w:tcPr>
            <w:tcW w:w="838" w:type="dxa"/>
            <w:tcMar>
              <w:left w:w="0" w:type="dxa"/>
              <w:right w:w="0" w:type="dxa"/>
            </w:tcMar>
            <w:vAlign w:val="center"/>
          </w:tcPr>
          <w:p w14:paraId="117A74BB">
            <w:pPr>
              <w:pStyle w:val="26"/>
              <w:bidi w:val="0"/>
              <w:rPr>
                <w:color w:val="auto"/>
                <w:lang w:val="en-US" w:eastAsia="zh-CN"/>
              </w:rPr>
            </w:pPr>
            <w:r>
              <w:t>0</w:t>
            </w:r>
          </w:p>
        </w:tc>
        <w:tc>
          <w:tcPr>
            <w:tcW w:w="779" w:type="dxa"/>
            <w:tcMar>
              <w:left w:w="0" w:type="dxa"/>
              <w:right w:w="0" w:type="dxa"/>
            </w:tcMar>
            <w:vAlign w:val="center"/>
          </w:tcPr>
          <w:p w14:paraId="20ECB2C1">
            <w:pPr>
              <w:pStyle w:val="26"/>
              <w:bidi w:val="0"/>
              <w:rPr>
                <w:color w:val="auto"/>
                <w:lang w:val="en-US" w:eastAsia="zh-CN"/>
              </w:rPr>
            </w:pPr>
            <w:r>
              <w:t>0</w:t>
            </w:r>
          </w:p>
        </w:tc>
        <w:tc>
          <w:tcPr>
            <w:tcW w:w="1469" w:type="dxa"/>
            <w:tcMar>
              <w:left w:w="0" w:type="dxa"/>
              <w:right w:w="0" w:type="dxa"/>
            </w:tcMar>
            <w:vAlign w:val="center"/>
          </w:tcPr>
          <w:p w14:paraId="0C9E06BD">
            <w:pPr>
              <w:pStyle w:val="26"/>
              <w:bidi w:val="0"/>
              <w:rPr>
                <w:color w:val="auto"/>
                <w:lang w:val="en-US" w:eastAsia="zh-CN"/>
              </w:rPr>
            </w:pPr>
            <w:r>
              <w:t>0</w:t>
            </w:r>
          </w:p>
        </w:tc>
        <w:tc>
          <w:tcPr>
            <w:tcW w:w="919" w:type="dxa"/>
            <w:tcMar>
              <w:left w:w="0" w:type="dxa"/>
              <w:right w:w="0" w:type="dxa"/>
            </w:tcMar>
            <w:vAlign w:val="center"/>
          </w:tcPr>
          <w:p w14:paraId="11599B97">
            <w:pPr>
              <w:pStyle w:val="26"/>
              <w:bidi w:val="0"/>
              <w:rPr>
                <w:color w:val="auto"/>
                <w:lang w:val="en-US" w:eastAsia="zh-CN"/>
              </w:rPr>
            </w:pPr>
            <w:r>
              <w:t>0</w:t>
            </w:r>
          </w:p>
        </w:tc>
        <w:tc>
          <w:tcPr>
            <w:tcW w:w="919" w:type="dxa"/>
            <w:tcMar>
              <w:left w:w="0" w:type="dxa"/>
              <w:right w:w="0" w:type="dxa"/>
            </w:tcMar>
            <w:vAlign w:val="center"/>
          </w:tcPr>
          <w:p w14:paraId="0EF8AF6D">
            <w:pPr>
              <w:pStyle w:val="26"/>
              <w:bidi w:val="0"/>
              <w:rPr>
                <w:color w:val="auto"/>
                <w:lang w:val="en-US" w:eastAsia="zh-CN"/>
              </w:rPr>
            </w:pPr>
            <w:r>
              <w:t>0</w:t>
            </w:r>
          </w:p>
        </w:tc>
        <w:tc>
          <w:tcPr>
            <w:tcW w:w="919" w:type="dxa"/>
            <w:tcMar>
              <w:left w:w="0" w:type="dxa"/>
              <w:right w:w="0" w:type="dxa"/>
            </w:tcMar>
            <w:vAlign w:val="center"/>
          </w:tcPr>
          <w:p w14:paraId="75992E9E">
            <w:pPr>
              <w:pStyle w:val="26"/>
              <w:bidi w:val="0"/>
              <w:rPr>
                <w:color w:val="auto"/>
                <w:lang w:val="en-US" w:eastAsia="zh-CN"/>
              </w:rPr>
            </w:pPr>
            <w:r>
              <w:t>-1SRDNC</w:t>
            </w:r>
          </w:p>
        </w:tc>
        <w:tc>
          <w:tcPr>
            <w:tcW w:w="922" w:type="dxa"/>
            <w:tcMar>
              <w:left w:w="0" w:type="dxa"/>
              <w:right w:w="0" w:type="dxa"/>
            </w:tcMar>
            <w:vAlign w:val="center"/>
          </w:tcPr>
          <w:p w14:paraId="6B9571D5">
            <w:pPr>
              <w:pStyle w:val="26"/>
              <w:bidi w:val="0"/>
              <w:rPr>
                <w:color w:val="auto"/>
                <w:lang w:val="en-US" w:eastAsia="zh-CN"/>
              </w:rPr>
            </w:pPr>
            <w:r>
              <w:t>-1SRDNC</w:t>
            </w:r>
          </w:p>
        </w:tc>
      </w:tr>
      <w:tr w14:paraId="317E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vAlign w:val="center"/>
          </w:tcPr>
          <w:p w14:paraId="0BC0C0F1">
            <w:pPr>
              <w:pStyle w:val="26"/>
              <w:bidi w:val="0"/>
              <w:rPr>
                <w:color w:val="auto"/>
                <w:lang w:val="en-US" w:eastAsia="zh-CN"/>
              </w:rPr>
            </w:pPr>
          </w:p>
        </w:tc>
        <w:tc>
          <w:tcPr>
            <w:tcW w:w="467" w:type="pct"/>
            <w:tcMar>
              <w:left w:w="0" w:type="dxa"/>
              <w:right w:w="0" w:type="dxa"/>
            </w:tcMar>
            <w:vAlign w:val="center"/>
          </w:tcPr>
          <w:p w14:paraId="1598DB67">
            <w:pPr>
              <w:pStyle w:val="26"/>
              <w:bidi w:val="0"/>
              <w:rPr>
                <w:color w:val="auto"/>
                <w:lang w:val="en-US" w:eastAsia="zh-CN"/>
              </w:rPr>
            </w:pPr>
            <w:r>
              <w:rPr>
                <w:color w:val="auto"/>
                <w:lang w:val="en-US" w:eastAsia="zh-CN"/>
              </w:rPr>
              <w:t>施工噪声</w:t>
            </w:r>
          </w:p>
        </w:tc>
        <w:tc>
          <w:tcPr>
            <w:tcW w:w="919" w:type="dxa"/>
            <w:tcMar>
              <w:left w:w="0" w:type="dxa"/>
              <w:right w:w="0" w:type="dxa"/>
            </w:tcMar>
            <w:vAlign w:val="center"/>
          </w:tcPr>
          <w:p w14:paraId="3AC49DB4">
            <w:pPr>
              <w:pStyle w:val="26"/>
              <w:bidi w:val="0"/>
              <w:rPr>
                <w:color w:val="auto"/>
                <w:lang w:val="en-US" w:eastAsia="zh-CN"/>
              </w:rPr>
            </w:pPr>
            <w:r>
              <w:t>0</w:t>
            </w:r>
          </w:p>
        </w:tc>
        <w:tc>
          <w:tcPr>
            <w:tcW w:w="919" w:type="dxa"/>
            <w:tcMar>
              <w:left w:w="0" w:type="dxa"/>
              <w:right w:w="0" w:type="dxa"/>
            </w:tcMar>
            <w:vAlign w:val="center"/>
          </w:tcPr>
          <w:p w14:paraId="5E8BE9D5">
            <w:pPr>
              <w:pStyle w:val="26"/>
              <w:bidi w:val="0"/>
              <w:rPr>
                <w:color w:val="auto"/>
                <w:lang w:val="en-US" w:eastAsia="zh-CN"/>
              </w:rPr>
            </w:pPr>
            <w:r>
              <w:t>0</w:t>
            </w:r>
          </w:p>
        </w:tc>
        <w:tc>
          <w:tcPr>
            <w:tcW w:w="919" w:type="dxa"/>
            <w:tcMar>
              <w:left w:w="0" w:type="dxa"/>
              <w:right w:w="0" w:type="dxa"/>
            </w:tcMar>
            <w:vAlign w:val="center"/>
          </w:tcPr>
          <w:p w14:paraId="11895F2E">
            <w:pPr>
              <w:pStyle w:val="26"/>
              <w:bidi w:val="0"/>
              <w:rPr>
                <w:color w:val="auto"/>
                <w:lang w:val="en-US" w:eastAsia="zh-CN"/>
              </w:rPr>
            </w:pPr>
            <w:r>
              <w:t>0</w:t>
            </w:r>
          </w:p>
        </w:tc>
        <w:tc>
          <w:tcPr>
            <w:tcW w:w="919" w:type="dxa"/>
            <w:tcMar>
              <w:left w:w="0" w:type="dxa"/>
              <w:right w:w="0" w:type="dxa"/>
            </w:tcMar>
            <w:vAlign w:val="center"/>
          </w:tcPr>
          <w:p w14:paraId="12B2748D">
            <w:pPr>
              <w:pStyle w:val="26"/>
              <w:bidi w:val="0"/>
              <w:rPr>
                <w:color w:val="auto"/>
                <w:lang w:val="en-US" w:eastAsia="zh-CN"/>
              </w:rPr>
            </w:pPr>
            <w:r>
              <w:t>0</w:t>
            </w:r>
          </w:p>
        </w:tc>
        <w:tc>
          <w:tcPr>
            <w:tcW w:w="939" w:type="dxa"/>
            <w:tcMar>
              <w:left w:w="0" w:type="dxa"/>
              <w:right w:w="0" w:type="dxa"/>
            </w:tcMar>
            <w:vAlign w:val="center"/>
          </w:tcPr>
          <w:p w14:paraId="123C6B6C">
            <w:pPr>
              <w:pStyle w:val="26"/>
              <w:bidi w:val="0"/>
              <w:rPr>
                <w:color w:val="auto"/>
                <w:lang w:val="en-US" w:eastAsia="zh-CN"/>
              </w:rPr>
            </w:pPr>
            <w:r>
              <w:t>-2SRDNC</w:t>
            </w:r>
          </w:p>
        </w:tc>
        <w:tc>
          <w:tcPr>
            <w:tcW w:w="858" w:type="dxa"/>
            <w:tcMar>
              <w:left w:w="0" w:type="dxa"/>
              <w:right w:w="0" w:type="dxa"/>
            </w:tcMar>
            <w:vAlign w:val="center"/>
          </w:tcPr>
          <w:p w14:paraId="3BA4AA83">
            <w:pPr>
              <w:pStyle w:val="26"/>
              <w:bidi w:val="0"/>
              <w:rPr>
                <w:color w:val="auto"/>
                <w:lang w:val="en-US" w:eastAsia="zh-CN"/>
              </w:rPr>
            </w:pPr>
            <w:r>
              <w:t>0</w:t>
            </w:r>
          </w:p>
        </w:tc>
        <w:tc>
          <w:tcPr>
            <w:tcW w:w="838" w:type="dxa"/>
            <w:tcMar>
              <w:left w:w="0" w:type="dxa"/>
              <w:right w:w="0" w:type="dxa"/>
            </w:tcMar>
            <w:vAlign w:val="center"/>
          </w:tcPr>
          <w:p w14:paraId="1C3835D4">
            <w:pPr>
              <w:pStyle w:val="26"/>
              <w:bidi w:val="0"/>
              <w:rPr>
                <w:color w:val="auto"/>
                <w:lang w:val="en-US" w:eastAsia="zh-CN"/>
              </w:rPr>
            </w:pPr>
            <w:r>
              <w:t>0</w:t>
            </w:r>
          </w:p>
        </w:tc>
        <w:tc>
          <w:tcPr>
            <w:tcW w:w="779" w:type="dxa"/>
            <w:tcMar>
              <w:left w:w="0" w:type="dxa"/>
              <w:right w:w="0" w:type="dxa"/>
            </w:tcMar>
            <w:vAlign w:val="center"/>
          </w:tcPr>
          <w:p w14:paraId="61D0C28D">
            <w:pPr>
              <w:pStyle w:val="26"/>
              <w:bidi w:val="0"/>
              <w:rPr>
                <w:color w:val="auto"/>
                <w:lang w:val="en-US" w:eastAsia="zh-CN"/>
              </w:rPr>
            </w:pPr>
            <w:r>
              <w:t>0</w:t>
            </w:r>
          </w:p>
        </w:tc>
        <w:tc>
          <w:tcPr>
            <w:tcW w:w="1469" w:type="dxa"/>
            <w:tcMar>
              <w:left w:w="0" w:type="dxa"/>
              <w:right w:w="0" w:type="dxa"/>
            </w:tcMar>
            <w:vAlign w:val="center"/>
          </w:tcPr>
          <w:p w14:paraId="35BBFF94">
            <w:pPr>
              <w:pStyle w:val="26"/>
              <w:bidi w:val="0"/>
              <w:rPr>
                <w:color w:val="auto"/>
                <w:lang w:val="en-US" w:eastAsia="zh-CN"/>
              </w:rPr>
            </w:pPr>
            <w:r>
              <w:t>0</w:t>
            </w:r>
          </w:p>
        </w:tc>
        <w:tc>
          <w:tcPr>
            <w:tcW w:w="919" w:type="dxa"/>
            <w:tcMar>
              <w:left w:w="0" w:type="dxa"/>
              <w:right w:w="0" w:type="dxa"/>
            </w:tcMar>
            <w:vAlign w:val="center"/>
          </w:tcPr>
          <w:p w14:paraId="2336AD33">
            <w:pPr>
              <w:pStyle w:val="26"/>
              <w:bidi w:val="0"/>
              <w:rPr>
                <w:color w:val="auto"/>
                <w:lang w:val="en-US" w:eastAsia="zh-CN"/>
              </w:rPr>
            </w:pPr>
            <w:r>
              <w:t>0</w:t>
            </w:r>
          </w:p>
        </w:tc>
        <w:tc>
          <w:tcPr>
            <w:tcW w:w="919" w:type="dxa"/>
            <w:tcMar>
              <w:left w:w="0" w:type="dxa"/>
              <w:right w:w="0" w:type="dxa"/>
            </w:tcMar>
            <w:vAlign w:val="center"/>
          </w:tcPr>
          <w:p w14:paraId="34114ACE">
            <w:pPr>
              <w:pStyle w:val="26"/>
              <w:bidi w:val="0"/>
              <w:rPr>
                <w:color w:val="auto"/>
                <w:lang w:val="en-US" w:eastAsia="zh-CN"/>
              </w:rPr>
            </w:pPr>
            <w:r>
              <w:t>0</w:t>
            </w:r>
          </w:p>
        </w:tc>
        <w:tc>
          <w:tcPr>
            <w:tcW w:w="919" w:type="dxa"/>
            <w:tcMar>
              <w:left w:w="0" w:type="dxa"/>
              <w:right w:w="0" w:type="dxa"/>
            </w:tcMar>
            <w:vAlign w:val="center"/>
          </w:tcPr>
          <w:p w14:paraId="6B7ACBEA">
            <w:pPr>
              <w:pStyle w:val="26"/>
              <w:bidi w:val="0"/>
              <w:rPr>
                <w:color w:val="auto"/>
                <w:lang w:val="en-US" w:eastAsia="zh-CN"/>
              </w:rPr>
            </w:pPr>
            <w:r>
              <w:t>-1SRDNC</w:t>
            </w:r>
          </w:p>
        </w:tc>
        <w:tc>
          <w:tcPr>
            <w:tcW w:w="922" w:type="dxa"/>
            <w:tcMar>
              <w:left w:w="0" w:type="dxa"/>
              <w:right w:w="0" w:type="dxa"/>
            </w:tcMar>
            <w:vAlign w:val="center"/>
          </w:tcPr>
          <w:p w14:paraId="604162C8">
            <w:pPr>
              <w:pStyle w:val="26"/>
              <w:bidi w:val="0"/>
              <w:rPr>
                <w:color w:val="auto"/>
                <w:lang w:val="en-US" w:eastAsia="zh-CN"/>
              </w:rPr>
            </w:pPr>
            <w:r>
              <w:t>-1SRDNC</w:t>
            </w:r>
          </w:p>
        </w:tc>
      </w:tr>
      <w:tr w14:paraId="6BF4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2" w:type="pct"/>
            <w:vMerge w:val="continue"/>
            <w:tcMar>
              <w:left w:w="0" w:type="dxa"/>
              <w:right w:w="0" w:type="dxa"/>
            </w:tcMar>
            <w:vAlign w:val="center"/>
          </w:tcPr>
          <w:p w14:paraId="549C59B3">
            <w:pPr>
              <w:pStyle w:val="26"/>
              <w:bidi w:val="0"/>
              <w:rPr>
                <w:color w:val="auto"/>
                <w:lang w:val="en-US" w:eastAsia="zh-CN"/>
              </w:rPr>
            </w:pPr>
          </w:p>
        </w:tc>
        <w:tc>
          <w:tcPr>
            <w:tcW w:w="467" w:type="pct"/>
            <w:tcMar>
              <w:left w:w="0" w:type="dxa"/>
              <w:right w:w="0" w:type="dxa"/>
            </w:tcMar>
            <w:vAlign w:val="center"/>
          </w:tcPr>
          <w:p w14:paraId="0538D1F5">
            <w:pPr>
              <w:pStyle w:val="26"/>
              <w:bidi w:val="0"/>
              <w:rPr>
                <w:color w:val="auto"/>
                <w:lang w:val="en-US" w:eastAsia="zh-CN"/>
              </w:rPr>
            </w:pPr>
            <w:r>
              <w:rPr>
                <w:color w:val="auto"/>
                <w:lang w:val="en-US" w:eastAsia="zh-CN"/>
              </w:rPr>
              <w:t>施工废渣</w:t>
            </w:r>
          </w:p>
        </w:tc>
        <w:tc>
          <w:tcPr>
            <w:tcW w:w="919" w:type="dxa"/>
            <w:tcMar>
              <w:left w:w="0" w:type="dxa"/>
              <w:right w:w="0" w:type="dxa"/>
            </w:tcMar>
            <w:vAlign w:val="center"/>
          </w:tcPr>
          <w:p w14:paraId="194FBEFA">
            <w:pPr>
              <w:pStyle w:val="26"/>
              <w:bidi w:val="0"/>
              <w:rPr>
                <w:color w:val="auto"/>
                <w:lang w:val="en-US" w:eastAsia="zh-CN"/>
              </w:rPr>
            </w:pPr>
            <w:r>
              <w:t>0</w:t>
            </w:r>
          </w:p>
        </w:tc>
        <w:tc>
          <w:tcPr>
            <w:tcW w:w="919" w:type="dxa"/>
            <w:tcMar>
              <w:left w:w="0" w:type="dxa"/>
              <w:right w:w="0" w:type="dxa"/>
            </w:tcMar>
            <w:vAlign w:val="center"/>
          </w:tcPr>
          <w:p w14:paraId="4104BA6B">
            <w:pPr>
              <w:pStyle w:val="26"/>
              <w:bidi w:val="0"/>
              <w:rPr>
                <w:color w:val="auto"/>
                <w:lang w:val="en-US" w:eastAsia="zh-CN"/>
              </w:rPr>
            </w:pPr>
            <w:r>
              <w:t>0</w:t>
            </w:r>
          </w:p>
        </w:tc>
        <w:tc>
          <w:tcPr>
            <w:tcW w:w="919" w:type="dxa"/>
            <w:tcMar>
              <w:left w:w="0" w:type="dxa"/>
              <w:right w:w="0" w:type="dxa"/>
            </w:tcMar>
            <w:vAlign w:val="center"/>
          </w:tcPr>
          <w:p w14:paraId="0073079D">
            <w:pPr>
              <w:pStyle w:val="26"/>
              <w:bidi w:val="0"/>
              <w:rPr>
                <w:color w:val="auto"/>
                <w:lang w:val="en-US" w:eastAsia="zh-CN"/>
              </w:rPr>
            </w:pPr>
            <w:r>
              <w:t>0</w:t>
            </w:r>
          </w:p>
        </w:tc>
        <w:tc>
          <w:tcPr>
            <w:tcW w:w="919" w:type="dxa"/>
            <w:tcMar>
              <w:left w:w="0" w:type="dxa"/>
              <w:right w:w="0" w:type="dxa"/>
            </w:tcMar>
            <w:vAlign w:val="center"/>
          </w:tcPr>
          <w:p w14:paraId="1D183960">
            <w:pPr>
              <w:pStyle w:val="26"/>
              <w:bidi w:val="0"/>
              <w:rPr>
                <w:color w:val="auto"/>
                <w:lang w:val="en-US" w:eastAsia="zh-CN"/>
              </w:rPr>
            </w:pPr>
            <w:r>
              <w:t>-1SRDNC</w:t>
            </w:r>
          </w:p>
        </w:tc>
        <w:tc>
          <w:tcPr>
            <w:tcW w:w="939" w:type="dxa"/>
            <w:tcMar>
              <w:left w:w="0" w:type="dxa"/>
              <w:right w:w="0" w:type="dxa"/>
            </w:tcMar>
            <w:vAlign w:val="center"/>
          </w:tcPr>
          <w:p w14:paraId="222A6707">
            <w:pPr>
              <w:pStyle w:val="26"/>
              <w:bidi w:val="0"/>
              <w:rPr>
                <w:color w:val="auto"/>
                <w:lang w:val="en-US" w:eastAsia="zh-CN"/>
              </w:rPr>
            </w:pPr>
            <w:r>
              <w:t>0</w:t>
            </w:r>
          </w:p>
        </w:tc>
        <w:tc>
          <w:tcPr>
            <w:tcW w:w="858" w:type="dxa"/>
            <w:tcMar>
              <w:left w:w="0" w:type="dxa"/>
              <w:right w:w="0" w:type="dxa"/>
            </w:tcMar>
            <w:vAlign w:val="center"/>
          </w:tcPr>
          <w:p w14:paraId="4A8485AC">
            <w:pPr>
              <w:pStyle w:val="26"/>
              <w:bidi w:val="0"/>
              <w:rPr>
                <w:color w:val="auto"/>
                <w:lang w:val="en-US" w:eastAsia="zh-CN"/>
              </w:rPr>
            </w:pPr>
            <w:r>
              <w:t>0</w:t>
            </w:r>
          </w:p>
        </w:tc>
        <w:tc>
          <w:tcPr>
            <w:tcW w:w="838" w:type="dxa"/>
            <w:tcMar>
              <w:left w:w="0" w:type="dxa"/>
              <w:right w:w="0" w:type="dxa"/>
            </w:tcMar>
            <w:vAlign w:val="center"/>
          </w:tcPr>
          <w:p w14:paraId="0D64BBF9">
            <w:pPr>
              <w:pStyle w:val="26"/>
              <w:bidi w:val="0"/>
              <w:rPr>
                <w:color w:val="auto"/>
                <w:lang w:val="en-US" w:eastAsia="zh-CN"/>
              </w:rPr>
            </w:pPr>
            <w:r>
              <w:t>0</w:t>
            </w:r>
          </w:p>
        </w:tc>
        <w:tc>
          <w:tcPr>
            <w:tcW w:w="779" w:type="dxa"/>
            <w:tcMar>
              <w:left w:w="0" w:type="dxa"/>
              <w:right w:w="0" w:type="dxa"/>
            </w:tcMar>
            <w:vAlign w:val="center"/>
          </w:tcPr>
          <w:p w14:paraId="34FC73CF">
            <w:pPr>
              <w:pStyle w:val="26"/>
              <w:bidi w:val="0"/>
              <w:rPr>
                <w:color w:val="auto"/>
                <w:lang w:val="en-US" w:eastAsia="zh-CN"/>
              </w:rPr>
            </w:pPr>
            <w:r>
              <w:t>0</w:t>
            </w:r>
          </w:p>
        </w:tc>
        <w:tc>
          <w:tcPr>
            <w:tcW w:w="1469" w:type="dxa"/>
            <w:tcMar>
              <w:left w:w="0" w:type="dxa"/>
              <w:right w:w="0" w:type="dxa"/>
            </w:tcMar>
            <w:vAlign w:val="center"/>
          </w:tcPr>
          <w:p w14:paraId="64D5E4DD">
            <w:pPr>
              <w:pStyle w:val="26"/>
              <w:bidi w:val="0"/>
              <w:rPr>
                <w:color w:val="auto"/>
                <w:lang w:val="en-US" w:eastAsia="zh-CN"/>
              </w:rPr>
            </w:pPr>
            <w:r>
              <w:t>0</w:t>
            </w:r>
          </w:p>
        </w:tc>
        <w:tc>
          <w:tcPr>
            <w:tcW w:w="919" w:type="dxa"/>
            <w:tcMar>
              <w:left w:w="0" w:type="dxa"/>
              <w:right w:w="0" w:type="dxa"/>
            </w:tcMar>
            <w:vAlign w:val="center"/>
          </w:tcPr>
          <w:p w14:paraId="0736DF80">
            <w:pPr>
              <w:pStyle w:val="26"/>
              <w:bidi w:val="0"/>
              <w:rPr>
                <w:color w:val="auto"/>
                <w:lang w:val="en-US" w:eastAsia="zh-CN"/>
              </w:rPr>
            </w:pPr>
            <w:r>
              <w:t>0</w:t>
            </w:r>
          </w:p>
        </w:tc>
        <w:tc>
          <w:tcPr>
            <w:tcW w:w="919" w:type="dxa"/>
            <w:tcMar>
              <w:left w:w="0" w:type="dxa"/>
              <w:right w:w="0" w:type="dxa"/>
            </w:tcMar>
            <w:vAlign w:val="center"/>
          </w:tcPr>
          <w:p w14:paraId="7C47E436">
            <w:pPr>
              <w:pStyle w:val="26"/>
              <w:bidi w:val="0"/>
              <w:rPr>
                <w:color w:val="auto"/>
                <w:lang w:val="en-US" w:eastAsia="zh-CN"/>
              </w:rPr>
            </w:pPr>
            <w:r>
              <w:t>0</w:t>
            </w:r>
          </w:p>
        </w:tc>
        <w:tc>
          <w:tcPr>
            <w:tcW w:w="919" w:type="dxa"/>
            <w:tcMar>
              <w:left w:w="0" w:type="dxa"/>
              <w:right w:w="0" w:type="dxa"/>
            </w:tcMar>
            <w:vAlign w:val="center"/>
          </w:tcPr>
          <w:p w14:paraId="7983910B">
            <w:pPr>
              <w:pStyle w:val="26"/>
              <w:bidi w:val="0"/>
              <w:rPr>
                <w:color w:val="auto"/>
                <w:lang w:val="en-US" w:eastAsia="zh-CN"/>
              </w:rPr>
            </w:pPr>
            <w:r>
              <w:t>0</w:t>
            </w:r>
          </w:p>
        </w:tc>
        <w:tc>
          <w:tcPr>
            <w:tcW w:w="922" w:type="dxa"/>
            <w:tcMar>
              <w:left w:w="0" w:type="dxa"/>
              <w:right w:w="0" w:type="dxa"/>
            </w:tcMar>
            <w:vAlign w:val="center"/>
          </w:tcPr>
          <w:p w14:paraId="11EA5DFC">
            <w:pPr>
              <w:pStyle w:val="26"/>
              <w:bidi w:val="0"/>
              <w:rPr>
                <w:color w:val="auto"/>
                <w:lang w:val="en-US" w:eastAsia="zh-CN"/>
              </w:rPr>
            </w:pPr>
            <w:r>
              <w:t>0</w:t>
            </w:r>
          </w:p>
        </w:tc>
      </w:tr>
      <w:tr w14:paraId="53D9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restart"/>
            <w:tcMar>
              <w:left w:w="0" w:type="dxa"/>
              <w:right w:w="0" w:type="dxa"/>
            </w:tcMar>
            <w:vAlign w:val="center"/>
          </w:tcPr>
          <w:p w14:paraId="5DD2D0C5">
            <w:pPr>
              <w:pStyle w:val="26"/>
              <w:bidi w:val="0"/>
              <w:rPr>
                <w:color w:val="auto"/>
                <w:lang w:val="en-US" w:eastAsia="zh-CN"/>
              </w:rPr>
            </w:pPr>
            <w:r>
              <w:rPr>
                <w:color w:val="auto"/>
                <w:lang w:val="en-US" w:eastAsia="zh-CN"/>
              </w:rPr>
              <w:t>运营期</w:t>
            </w:r>
          </w:p>
        </w:tc>
        <w:tc>
          <w:tcPr>
            <w:tcW w:w="467" w:type="pct"/>
            <w:tcMar>
              <w:left w:w="0" w:type="dxa"/>
              <w:right w:w="0" w:type="dxa"/>
            </w:tcMar>
            <w:vAlign w:val="center"/>
          </w:tcPr>
          <w:p w14:paraId="115CCB85">
            <w:pPr>
              <w:pStyle w:val="26"/>
              <w:bidi w:val="0"/>
              <w:rPr>
                <w:color w:val="auto"/>
                <w:lang w:val="en-US" w:eastAsia="zh-CN"/>
              </w:rPr>
            </w:pPr>
            <w:r>
              <w:rPr>
                <w:color w:val="auto"/>
                <w:lang w:val="en-US" w:eastAsia="zh-CN"/>
              </w:rPr>
              <w:t>废水排放</w:t>
            </w:r>
          </w:p>
        </w:tc>
        <w:tc>
          <w:tcPr>
            <w:tcW w:w="919" w:type="dxa"/>
            <w:tcMar>
              <w:left w:w="0" w:type="dxa"/>
              <w:right w:w="0" w:type="dxa"/>
            </w:tcMar>
            <w:vAlign w:val="center"/>
          </w:tcPr>
          <w:p w14:paraId="6A0578E0">
            <w:pPr>
              <w:pStyle w:val="26"/>
              <w:bidi w:val="0"/>
              <w:rPr>
                <w:color w:val="auto"/>
                <w:lang w:val="en-US" w:eastAsia="zh-CN"/>
              </w:rPr>
            </w:pPr>
            <w:r>
              <w:t>0</w:t>
            </w:r>
          </w:p>
        </w:tc>
        <w:tc>
          <w:tcPr>
            <w:tcW w:w="919" w:type="dxa"/>
            <w:tcMar>
              <w:left w:w="0" w:type="dxa"/>
              <w:right w:w="0" w:type="dxa"/>
            </w:tcMar>
            <w:vAlign w:val="center"/>
          </w:tcPr>
          <w:p w14:paraId="0EFB98F8">
            <w:pPr>
              <w:pStyle w:val="26"/>
              <w:bidi w:val="0"/>
              <w:rPr>
                <w:color w:val="auto"/>
                <w:lang w:val="en-US" w:eastAsia="zh-CN"/>
              </w:rPr>
            </w:pPr>
            <w:r>
              <w:t>-1LRDC</w:t>
            </w:r>
          </w:p>
        </w:tc>
        <w:tc>
          <w:tcPr>
            <w:tcW w:w="919" w:type="dxa"/>
            <w:tcMar>
              <w:left w:w="0" w:type="dxa"/>
              <w:right w:w="0" w:type="dxa"/>
            </w:tcMar>
            <w:vAlign w:val="center"/>
          </w:tcPr>
          <w:p w14:paraId="0C4F47D1">
            <w:pPr>
              <w:pStyle w:val="26"/>
              <w:bidi w:val="0"/>
              <w:rPr>
                <w:color w:val="auto"/>
                <w:lang w:val="en-US" w:eastAsia="zh-CN"/>
              </w:rPr>
            </w:pPr>
            <w:r>
              <w:t>0</w:t>
            </w:r>
          </w:p>
        </w:tc>
        <w:tc>
          <w:tcPr>
            <w:tcW w:w="919" w:type="dxa"/>
            <w:tcMar>
              <w:left w:w="0" w:type="dxa"/>
              <w:right w:w="0" w:type="dxa"/>
            </w:tcMar>
            <w:vAlign w:val="center"/>
          </w:tcPr>
          <w:p w14:paraId="3BA46874">
            <w:pPr>
              <w:pStyle w:val="26"/>
              <w:bidi w:val="0"/>
              <w:rPr>
                <w:color w:val="auto"/>
                <w:lang w:val="en-US" w:eastAsia="zh-CN"/>
              </w:rPr>
            </w:pPr>
            <w:r>
              <w:t>0</w:t>
            </w:r>
          </w:p>
        </w:tc>
        <w:tc>
          <w:tcPr>
            <w:tcW w:w="939" w:type="dxa"/>
            <w:tcMar>
              <w:left w:w="0" w:type="dxa"/>
              <w:right w:w="0" w:type="dxa"/>
            </w:tcMar>
            <w:vAlign w:val="center"/>
          </w:tcPr>
          <w:p w14:paraId="5DE0DF41">
            <w:pPr>
              <w:pStyle w:val="26"/>
              <w:bidi w:val="0"/>
              <w:rPr>
                <w:color w:val="auto"/>
                <w:lang w:val="en-US" w:eastAsia="zh-CN"/>
              </w:rPr>
            </w:pPr>
            <w:r>
              <w:t>0</w:t>
            </w:r>
          </w:p>
        </w:tc>
        <w:tc>
          <w:tcPr>
            <w:tcW w:w="858" w:type="dxa"/>
            <w:tcMar>
              <w:left w:w="0" w:type="dxa"/>
              <w:right w:w="0" w:type="dxa"/>
            </w:tcMar>
            <w:vAlign w:val="center"/>
          </w:tcPr>
          <w:p w14:paraId="363E1F34">
            <w:pPr>
              <w:pStyle w:val="26"/>
              <w:bidi w:val="0"/>
              <w:rPr>
                <w:color w:val="auto"/>
                <w:lang w:val="en-US" w:eastAsia="zh-CN"/>
              </w:rPr>
            </w:pPr>
            <w:r>
              <w:t>-1LRDC</w:t>
            </w:r>
          </w:p>
        </w:tc>
        <w:tc>
          <w:tcPr>
            <w:tcW w:w="838" w:type="dxa"/>
            <w:tcMar>
              <w:left w:w="0" w:type="dxa"/>
              <w:right w:w="0" w:type="dxa"/>
            </w:tcMar>
            <w:vAlign w:val="center"/>
          </w:tcPr>
          <w:p w14:paraId="1B93A3DB">
            <w:pPr>
              <w:pStyle w:val="26"/>
              <w:bidi w:val="0"/>
              <w:rPr>
                <w:color w:val="auto"/>
                <w:lang w:val="en-US" w:eastAsia="zh-CN"/>
              </w:rPr>
            </w:pPr>
            <w:r>
              <w:t>-1LRDC</w:t>
            </w:r>
          </w:p>
        </w:tc>
        <w:tc>
          <w:tcPr>
            <w:tcW w:w="779" w:type="dxa"/>
            <w:tcMar>
              <w:left w:w="0" w:type="dxa"/>
              <w:right w:w="0" w:type="dxa"/>
            </w:tcMar>
            <w:vAlign w:val="center"/>
          </w:tcPr>
          <w:p w14:paraId="2F60E5CD">
            <w:pPr>
              <w:pStyle w:val="26"/>
              <w:bidi w:val="0"/>
              <w:rPr>
                <w:color w:val="auto"/>
                <w:lang w:val="en-US" w:eastAsia="zh-CN"/>
              </w:rPr>
            </w:pPr>
            <w:r>
              <w:t>-1LRDC</w:t>
            </w:r>
          </w:p>
        </w:tc>
        <w:tc>
          <w:tcPr>
            <w:tcW w:w="1469" w:type="dxa"/>
            <w:tcMar>
              <w:left w:w="0" w:type="dxa"/>
              <w:right w:w="0" w:type="dxa"/>
            </w:tcMar>
            <w:vAlign w:val="center"/>
          </w:tcPr>
          <w:p w14:paraId="3A2E315E">
            <w:pPr>
              <w:pStyle w:val="26"/>
              <w:bidi w:val="0"/>
              <w:rPr>
                <w:color w:val="auto"/>
                <w:lang w:val="en-US" w:eastAsia="zh-CN"/>
              </w:rPr>
            </w:pPr>
            <w:r>
              <w:t>-1LRDC</w:t>
            </w:r>
          </w:p>
        </w:tc>
        <w:tc>
          <w:tcPr>
            <w:tcW w:w="919" w:type="dxa"/>
            <w:tcMar>
              <w:left w:w="0" w:type="dxa"/>
              <w:right w:w="0" w:type="dxa"/>
            </w:tcMar>
            <w:vAlign w:val="center"/>
          </w:tcPr>
          <w:p w14:paraId="69B3C3BD">
            <w:pPr>
              <w:pStyle w:val="26"/>
              <w:bidi w:val="0"/>
              <w:rPr>
                <w:color w:val="auto"/>
                <w:lang w:val="en-US" w:eastAsia="zh-CN"/>
              </w:rPr>
            </w:pPr>
            <w:r>
              <w:t>0</w:t>
            </w:r>
          </w:p>
        </w:tc>
        <w:tc>
          <w:tcPr>
            <w:tcW w:w="919" w:type="dxa"/>
            <w:tcMar>
              <w:left w:w="0" w:type="dxa"/>
              <w:right w:w="0" w:type="dxa"/>
            </w:tcMar>
            <w:vAlign w:val="center"/>
          </w:tcPr>
          <w:p w14:paraId="214D9983">
            <w:pPr>
              <w:pStyle w:val="26"/>
              <w:bidi w:val="0"/>
              <w:rPr>
                <w:color w:val="auto"/>
                <w:lang w:val="en-US" w:eastAsia="zh-CN"/>
              </w:rPr>
            </w:pPr>
            <w:r>
              <w:t>0</w:t>
            </w:r>
          </w:p>
        </w:tc>
        <w:tc>
          <w:tcPr>
            <w:tcW w:w="919" w:type="dxa"/>
            <w:tcMar>
              <w:left w:w="0" w:type="dxa"/>
              <w:right w:w="0" w:type="dxa"/>
            </w:tcMar>
            <w:vAlign w:val="center"/>
          </w:tcPr>
          <w:p w14:paraId="25D349B4">
            <w:pPr>
              <w:pStyle w:val="26"/>
              <w:bidi w:val="0"/>
              <w:rPr>
                <w:color w:val="auto"/>
                <w:lang w:val="en-US" w:eastAsia="zh-CN"/>
              </w:rPr>
            </w:pPr>
            <w:r>
              <w:t>0</w:t>
            </w:r>
          </w:p>
        </w:tc>
        <w:tc>
          <w:tcPr>
            <w:tcW w:w="922" w:type="dxa"/>
            <w:tcMar>
              <w:left w:w="0" w:type="dxa"/>
              <w:right w:w="0" w:type="dxa"/>
            </w:tcMar>
            <w:vAlign w:val="center"/>
          </w:tcPr>
          <w:p w14:paraId="2A8652F3">
            <w:pPr>
              <w:pStyle w:val="26"/>
              <w:bidi w:val="0"/>
              <w:rPr>
                <w:color w:val="auto"/>
                <w:lang w:val="en-US" w:eastAsia="zh-CN"/>
              </w:rPr>
            </w:pPr>
            <w:r>
              <w:t>0</w:t>
            </w:r>
          </w:p>
        </w:tc>
      </w:tr>
      <w:tr w14:paraId="4D37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textDirection w:val="tbRlV"/>
            <w:vAlign w:val="center"/>
          </w:tcPr>
          <w:p w14:paraId="5174C0D9">
            <w:pPr>
              <w:pStyle w:val="26"/>
              <w:bidi w:val="0"/>
              <w:rPr>
                <w:color w:val="auto"/>
                <w:lang w:val="en-US" w:eastAsia="zh-CN"/>
              </w:rPr>
            </w:pPr>
          </w:p>
        </w:tc>
        <w:tc>
          <w:tcPr>
            <w:tcW w:w="467" w:type="pct"/>
            <w:tcMar>
              <w:left w:w="0" w:type="dxa"/>
              <w:right w:w="0" w:type="dxa"/>
            </w:tcMar>
            <w:vAlign w:val="center"/>
          </w:tcPr>
          <w:p w14:paraId="7F292837">
            <w:pPr>
              <w:pStyle w:val="26"/>
              <w:bidi w:val="0"/>
              <w:rPr>
                <w:color w:val="auto"/>
                <w:lang w:val="en-US" w:eastAsia="zh-CN"/>
              </w:rPr>
            </w:pPr>
            <w:r>
              <w:rPr>
                <w:color w:val="auto"/>
                <w:lang w:val="en-US" w:eastAsia="zh-CN"/>
              </w:rPr>
              <w:t>废气排放</w:t>
            </w:r>
          </w:p>
        </w:tc>
        <w:tc>
          <w:tcPr>
            <w:tcW w:w="919" w:type="dxa"/>
            <w:tcMar>
              <w:left w:w="0" w:type="dxa"/>
              <w:right w:w="0" w:type="dxa"/>
            </w:tcMar>
            <w:vAlign w:val="center"/>
          </w:tcPr>
          <w:p w14:paraId="4AFB1092">
            <w:pPr>
              <w:pStyle w:val="26"/>
              <w:bidi w:val="0"/>
              <w:rPr>
                <w:color w:val="auto"/>
                <w:lang w:val="en-US" w:eastAsia="zh-CN"/>
              </w:rPr>
            </w:pPr>
            <w:r>
              <w:t>-1LRDC</w:t>
            </w:r>
          </w:p>
        </w:tc>
        <w:tc>
          <w:tcPr>
            <w:tcW w:w="919" w:type="dxa"/>
            <w:tcMar>
              <w:left w:w="0" w:type="dxa"/>
              <w:right w:w="0" w:type="dxa"/>
            </w:tcMar>
            <w:vAlign w:val="center"/>
          </w:tcPr>
          <w:p w14:paraId="6095F392">
            <w:pPr>
              <w:pStyle w:val="26"/>
              <w:bidi w:val="0"/>
              <w:rPr>
                <w:color w:val="auto"/>
                <w:lang w:val="en-US" w:eastAsia="zh-CN"/>
              </w:rPr>
            </w:pPr>
            <w:r>
              <w:t>0</w:t>
            </w:r>
          </w:p>
        </w:tc>
        <w:tc>
          <w:tcPr>
            <w:tcW w:w="919" w:type="dxa"/>
            <w:tcMar>
              <w:left w:w="0" w:type="dxa"/>
              <w:right w:w="0" w:type="dxa"/>
            </w:tcMar>
            <w:vAlign w:val="center"/>
          </w:tcPr>
          <w:p w14:paraId="1CFA37C5">
            <w:pPr>
              <w:pStyle w:val="26"/>
              <w:bidi w:val="0"/>
              <w:rPr>
                <w:color w:val="auto"/>
                <w:lang w:val="en-US" w:eastAsia="zh-CN"/>
              </w:rPr>
            </w:pPr>
            <w:r>
              <w:t>0</w:t>
            </w:r>
          </w:p>
        </w:tc>
        <w:tc>
          <w:tcPr>
            <w:tcW w:w="919" w:type="dxa"/>
            <w:tcMar>
              <w:left w:w="0" w:type="dxa"/>
              <w:right w:w="0" w:type="dxa"/>
            </w:tcMar>
            <w:vAlign w:val="center"/>
          </w:tcPr>
          <w:p w14:paraId="2AB05BCB">
            <w:pPr>
              <w:pStyle w:val="26"/>
              <w:bidi w:val="0"/>
              <w:rPr>
                <w:color w:val="auto"/>
                <w:lang w:val="en-US" w:eastAsia="zh-CN"/>
              </w:rPr>
            </w:pPr>
            <w:r>
              <w:t>0</w:t>
            </w:r>
          </w:p>
        </w:tc>
        <w:tc>
          <w:tcPr>
            <w:tcW w:w="939" w:type="dxa"/>
            <w:tcMar>
              <w:left w:w="0" w:type="dxa"/>
              <w:right w:w="0" w:type="dxa"/>
            </w:tcMar>
            <w:vAlign w:val="center"/>
          </w:tcPr>
          <w:p w14:paraId="5B84DD4B">
            <w:pPr>
              <w:pStyle w:val="26"/>
              <w:bidi w:val="0"/>
              <w:rPr>
                <w:color w:val="auto"/>
                <w:lang w:val="en-US" w:eastAsia="zh-CN"/>
              </w:rPr>
            </w:pPr>
            <w:r>
              <w:t>0</w:t>
            </w:r>
          </w:p>
        </w:tc>
        <w:tc>
          <w:tcPr>
            <w:tcW w:w="858" w:type="dxa"/>
            <w:tcMar>
              <w:left w:w="0" w:type="dxa"/>
              <w:right w:w="0" w:type="dxa"/>
            </w:tcMar>
            <w:vAlign w:val="center"/>
          </w:tcPr>
          <w:p w14:paraId="59268B1F">
            <w:pPr>
              <w:pStyle w:val="26"/>
              <w:bidi w:val="0"/>
              <w:rPr>
                <w:color w:val="auto"/>
                <w:lang w:val="en-US" w:eastAsia="zh-CN"/>
              </w:rPr>
            </w:pPr>
            <w:r>
              <w:t>-1LRDC</w:t>
            </w:r>
          </w:p>
        </w:tc>
        <w:tc>
          <w:tcPr>
            <w:tcW w:w="838" w:type="dxa"/>
            <w:tcMar>
              <w:left w:w="0" w:type="dxa"/>
              <w:right w:w="0" w:type="dxa"/>
            </w:tcMar>
            <w:vAlign w:val="center"/>
          </w:tcPr>
          <w:p w14:paraId="5EA6A319">
            <w:pPr>
              <w:pStyle w:val="26"/>
              <w:bidi w:val="0"/>
              <w:rPr>
                <w:color w:val="auto"/>
                <w:lang w:val="en-US" w:eastAsia="zh-CN"/>
              </w:rPr>
            </w:pPr>
            <w:r>
              <w:t>0</w:t>
            </w:r>
          </w:p>
        </w:tc>
        <w:tc>
          <w:tcPr>
            <w:tcW w:w="779" w:type="dxa"/>
            <w:tcMar>
              <w:left w:w="0" w:type="dxa"/>
              <w:right w:w="0" w:type="dxa"/>
            </w:tcMar>
            <w:vAlign w:val="center"/>
          </w:tcPr>
          <w:p w14:paraId="61CF67B5">
            <w:pPr>
              <w:pStyle w:val="26"/>
              <w:bidi w:val="0"/>
              <w:rPr>
                <w:color w:val="auto"/>
                <w:lang w:val="en-US" w:eastAsia="zh-CN"/>
              </w:rPr>
            </w:pPr>
            <w:r>
              <w:t>0</w:t>
            </w:r>
          </w:p>
        </w:tc>
        <w:tc>
          <w:tcPr>
            <w:tcW w:w="1469" w:type="dxa"/>
            <w:tcMar>
              <w:left w:w="0" w:type="dxa"/>
              <w:right w:w="0" w:type="dxa"/>
            </w:tcMar>
            <w:vAlign w:val="center"/>
          </w:tcPr>
          <w:p w14:paraId="7E277A40">
            <w:pPr>
              <w:pStyle w:val="26"/>
              <w:bidi w:val="0"/>
              <w:rPr>
                <w:color w:val="auto"/>
                <w:lang w:val="en-US" w:eastAsia="zh-CN"/>
              </w:rPr>
            </w:pPr>
            <w:r>
              <w:t>-1LRDC</w:t>
            </w:r>
          </w:p>
        </w:tc>
        <w:tc>
          <w:tcPr>
            <w:tcW w:w="919" w:type="dxa"/>
            <w:tcMar>
              <w:left w:w="0" w:type="dxa"/>
              <w:right w:w="0" w:type="dxa"/>
            </w:tcMar>
            <w:vAlign w:val="center"/>
          </w:tcPr>
          <w:p w14:paraId="761A355B">
            <w:pPr>
              <w:pStyle w:val="26"/>
              <w:bidi w:val="0"/>
              <w:rPr>
                <w:color w:val="auto"/>
                <w:lang w:val="en-US" w:eastAsia="zh-CN"/>
              </w:rPr>
            </w:pPr>
            <w:r>
              <w:t>-1LRDC</w:t>
            </w:r>
          </w:p>
        </w:tc>
        <w:tc>
          <w:tcPr>
            <w:tcW w:w="919" w:type="dxa"/>
            <w:tcMar>
              <w:left w:w="0" w:type="dxa"/>
              <w:right w:w="0" w:type="dxa"/>
            </w:tcMar>
            <w:vAlign w:val="center"/>
          </w:tcPr>
          <w:p w14:paraId="756F8910">
            <w:pPr>
              <w:pStyle w:val="26"/>
              <w:bidi w:val="0"/>
              <w:rPr>
                <w:color w:val="auto"/>
                <w:lang w:val="en-US" w:eastAsia="zh-CN"/>
              </w:rPr>
            </w:pPr>
            <w:r>
              <w:t>0</w:t>
            </w:r>
          </w:p>
        </w:tc>
        <w:tc>
          <w:tcPr>
            <w:tcW w:w="919" w:type="dxa"/>
            <w:tcMar>
              <w:left w:w="0" w:type="dxa"/>
              <w:right w:w="0" w:type="dxa"/>
            </w:tcMar>
            <w:vAlign w:val="center"/>
          </w:tcPr>
          <w:p w14:paraId="2770881A">
            <w:pPr>
              <w:pStyle w:val="26"/>
              <w:bidi w:val="0"/>
              <w:rPr>
                <w:color w:val="auto"/>
                <w:lang w:val="en-US" w:eastAsia="zh-CN"/>
              </w:rPr>
            </w:pPr>
            <w:r>
              <w:t>-1LRDC</w:t>
            </w:r>
          </w:p>
        </w:tc>
        <w:tc>
          <w:tcPr>
            <w:tcW w:w="922" w:type="dxa"/>
            <w:tcMar>
              <w:left w:w="0" w:type="dxa"/>
              <w:right w:w="0" w:type="dxa"/>
            </w:tcMar>
            <w:vAlign w:val="center"/>
          </w:tcPr>
          <w:p w14:paraId="176CDD28">
            <w:pPr>
              <w:pStyle w:val="26"/>
              <w:bidi w:val="0"/>
              <w:rPr>
                <w:color w:val="auto"/>
                <w:lang w:val="en-US" w:eastAsia="zh-CN"/>
              </w:rPr>
            </w:pPr>
            <w:r>
              <w:t>-1SRDC</w:t>
            </w:r>
          </w:p>
        </w:tc>
      </w:tr>
      <w:tr w14:paraId="0C8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textDirection w:val="tbRlV"/>
            <w:vAlign w:val="center"/>
          </w:tcPr>
          <w:p w14:paraId="44DD428D">
            <w:pPr>
              <w:pStyle w:val="26"/>
              <w:bidi w:val="0"/>
              <w:rPr>
                <w:color w:val="auto"/>
                <w:lang w:val="en-US" w:eastAsia="zh-CN"/>
              </w:rPr>
            </w:pPr>
          </w:p>
        </w:tc>
        <w:tc>
          <w:tcPr>
            <w:tcW w:w="467" w:type="pct"/>
            <w:tcMar>
              <w:left w:w="0" w:type="dxa"/>
              <w:right w:w="0" w:type="dxa"/>
            </w:tcMar>
            <w:vAlign w:val="center"/>
          </w:tcPr>
          <w:p w14:paraId="7CB4A10D">
            <w:pPr>
              <w:pStyle w:val="26"/>
              <w:bidi w:val="0"/>
              <w:rPr>
                <w:color w:val="auto"/>
                <w:lang w:val="en-US" w:eastAsia="zh-CN"/>
              </w:rPr>
            </w:pPr>
            <w:r>
              <w:rPr>
                <w:color w:val="auto"/>
                <w:lang w:val="en-US" w:eastAsia="zh-CN"/>
              </w:rPr>
              <w:t>噪声排放</w:t>
            </w:r>
          </w:p>
        </w:tc>
        <w:tc>
          <w:tcPr>
            <w:tcW w:w="919" w:type="dxa"/>
            <w:tcMar>
              <w:left w:w="0" w:type="dxa"/>
              <w:right w:w="0" w:type="dxa"/>
            </w:tcMar>
            <w:vAlign w:val="center"/>
          </w:tcPr>
          <w:p w14:paraId="6C73D939">
            <w:pPr>
              <w:pStyle w:val="26"/>
              <w:bidi w:val="0"/>
              <w:rPr>
                <w:color w:val="auto"/>
                <w:lang w:val="en-US" w:eastAsia="zh-CN"/>
              </w:rPr>
            </w:pPr>
            <w:r>
              <w:t>0</w:t>
            </w:r>
          </w:p>
        </w:tc>
        <w:tc>
          <w:tcPr>
            <w:tcW w:w="919" w:type="dxa"/>
            <w:tcMar>
              <w:left w:w="0" w:type="dxa"/>
              <w:right w:w="0" w:type="dxa"/>
            </w:tcMar>
            <w:vAlign w:val="center"/>
          </w:tcPr>
          <w:p w14:paraId="188EC384">
            <w:pPr>
              <w:pStyle w:val="26"/>
              <w:bidi w:val="0"/>
              <w:rPr>
                <w:color w:val="auto"/>
                <w:lang w:val="en-US" w:eastAsia="zh-CN"/>
              </w:rPr>
            </w:pPr>
            <w:r>
              <w:t>0</w:t>
            </w:r>
          </w:p>
        </w:tc>
        <w:tc>
          <w:tcPr>
            <w:tcW w:w="919" w:type="dxa"/>
            <w:tcMar>
              <w:left w:w="0" w:type="dxa"/>
              <w:right w:w="0" w:type="dxa"/>
            </w:tcMar>
            <w:vAlign w:val="center"/>
          </w:tcPr>
          <w:p w14:paraId="595E6643">
            <w:pPr>
              <w:pStyle w:val="26"/>
              <w:bidi w:val="0"/>
              <w:rPr>
                <w:color w:val="auto"/>
                <w:lang w:val="en-US" w:eastAsia="zh-CN"/>
              </w:rPr>
            </w:pPr>
            <w:r>
              <w:t>0</w:t>
            </w:r>
          </w:p>
        </w:tc>
        <w:tc>
          <w:tcPr>
            <w:tcW w:w="919" w:type="dxa"/>
            <w:tcMar>
              <w:left w:w="0" w:type="dxa"/>
              <w:right w:w="0" w:type="dxa"/>
            </w:tcMar>
            <w:vAlign w:val="center"/>
          </w:tcPr>
          <w:p w14:paraId="43EA4043">
            <w:pPr>
              <w:pStyle w:val="26"/>
              <w:bidi w:val="0"/>
              <w:rPr>
                <w:color w:val="auto"/>
                <w:lang w:val="en-US" w:eastAsia="zh-CN"/>
              </w:rPr>
            </w:pPr>
            <w:r>
              <w:t>0</w:t>
            </w:r>
          </w:p>
        </w:tc>
        <w:tc>
          <w:tcPr>
            <w:tcW w:w="939" w:type="dxa"/>
            <w:tcMar>
              <w:left w:w="0" w:type="dxa"/>
              <w:right w:w="0" w:type="dxa"/>
            </w:tcMar>
            <w:vAlign w:val="center"/>
          </w:tcPr>
          <w:p w14:paraId="0F510ECC">
            <w:pPr>
              <w:pStyle w:val="26"/>
              <w:bidi w:val="0"/>
              <w:rPr>
                <w:color w:val="auto"/>
                <w:lang w:val="en-US" w:eastAsia="zh-CN"/>
              </w:rPr>
            </w:pPr>
            <w:r>
              <w:t>-1LRDNC</w:t>
            </w:r>
          </w:p>
        </w:tc>
        <w:tc>
          <w:tcPr>
            <w:tcW w:w="858" w:type="dxa"/>
            <w:tcMar>
              <w:left w:w="0" w:type="dxa"/>
              <w:right w:w="0" w:type="dxa"/>
            </w:tcMar>
            <w:vAlign w:val="center"/>
          </w:tcPr>
          <w:p w14:paraId="5D320214">
            <w:pPr>
              <w:adjustRightInd w:val="0"/>
              <w:snapToGrid w:val="0"/>
              <w:ind w:firstLine="0" w:firstLineChars="0"/>
              <w:rPr>
                <w:color w:val="auto"/>
                <w:lang w:val="en-US" w:eastAsia="zh-CN"/>
              </w:rPr>
            </w:pPr>
          </w:p>
        </w:tc>
        <w:tc>
          <w:tcPr>
            <w:tcW w:w="838" w:type="dxa"/>
            <w:tcMar>
              <w:left w:w="0" w:type="dxa"/>
              <w:right w:w="0" w:type="dxa"/>
            </w:tcMar>
            <w:vAlign w:val="center"/>
          </w:tcPr>
          <w:p w14:paraId="2A7D1AEB">
            <w:pPr>
              <w:pStyle w:val="26"/>
              <w:bidi w:val="0"/>
              <w:rPr>
                <w:color w:val="auto"/>
                <w:lang w:val="en-US" w:eastAsia="zh-CN"/>
              </w:rPr>
            </w:pPr>
            <w:r>
              <w:t>0</w:t>
            </w:r>
          </w:p>
        </w:tc>
        <w:tc>
          <w:tcPr>
            <w:tcW w:w="779" w:type="dxa"/>
            <w:tcMar>
              <w:left w:w="0" w:type="dxa"/>
              <w:right w:w="0" w:type="dxa"/>
            </w:tcMar>
            <w:vAlign w:val="center"/>
          </w:tcPr>
          <w:p w14:paraId="4F5A5E8B">
            <w:pPr>
              <w:pStyle w:val="26"/>
              <w:bidi w:val="0"/>
              <w:rPr>
                <w:color w:val="auto"/>
                <w:lang w:val="en-US" w:eastAsia="zh-CN"/>
              </w:rPr>
            </w:pPr>
            <w:r>
              <w:t>0</w:t>
            </w:r>
          </w:p>
        </w:tc>
        <w:tc>
          <w:tcPr>
            <w:tcW w:w="1469" w:type="dxa"/>
            <w:tcMar>
              <w:left w:w="0" w:type="dxa"/>
              <w:right w:w="0" w:type="dxa"/>
            </w:tcMar>
            <w:vAlign w:val="center"/>
          </w:tcPr>
          <w:p w14:paraId="7DA87159">
            <w:pPr>
              <w:pStyle w:val="26"/>
              <w:bidi w:val="0"/>
              <w:rPr>
                <w:color w:val="auto"/>
                <w:lang w:val="en-US" w:eastAsia="zh-CN"/>
              </w:rPr>
            </w:pPr>
            <w:r>
              <w:t>0</w:t>
            </w:r>
          </w:p>
        </w:tc>
        <w:tc>
          <w:tcPr>
            <w:tcW w:w="919" w:type="dxa"/>
            <w:tcMar>
              <w:left w:w="0" w:type="dxa"/>
              <w:right w:w="0" w:type="dxa"/>
            </w:tcMar>
            <w:vAlign w:val="center"/>
          </w:tcPr>
          <w:p w14:paraId="5CAC90FB">
            <w:pPr>
              <w:pStyle w:val="26"/>
              <w:bidi w:val="0"/>
              <w:rPr>
                <w:color w:val="auto"/>
                <w:lang w:val="en-US" w:eastAsia="zh-CN"/>
              </w:rPr>
            </w:pPr>
            <w:r>
              <w:t>0</w:t>
            </w:r>
          </w:p>
        </w:tc>
        <w:tc>
          <w:tcPr>
            <w:tcW w:w="919" w:type="dxa"/>
            <w:tcMar>
              <w:left w:w="0" w:type="dxa"/>
              <w:right w:w="0" w:type="dxa"/>
            </w:tcMar>
            <w:vAlign w:val="center"/>
          </w:tcPr>
          <w:p w14:paraId="66F2D297">
            <w:pPr>
              <w:pStyle w:val="26"/>
              <w:bidi w:val="0"/>
              <w:rPr>
                <w:color w:val="auto"/>
                <w:lang w:val="en-US" w:eastAsia="zh-CN"/>
              </w:rPr>
            </w:pPr>
            <w:r>
              <w:t>0</w:t>
            </w:r>
          </w:p>
        </w:tc>
        <w:tc>
          <w:tcPr>
            <w:tcW w:w="919" w:type="dxa"/>
            <w:tcMar>
              <w:left w:w="0" w:type="dxa"/>
              <w:right w:w="0" w:type="dxa"/>
            </w:tcMar>
            <w:vAlign w:val="center"/>
          </w:tcPr>
          <w:p w14:paraId="1AAC624D">
            <w:pPr>
              <w:pStyle w:val="26"/>
              <w:bidi w:val="0"/>
              <w:rPr>
                <w:color w:val="auto"/>
                <w:lang w:val="en-US" w:eastAsia="zh-CN"/>
              </w:rPr>
            </w:pPr>
            <w:r>
              <w:t>0</w:t>
            </w:r>
          </w:p>
        </w:tc>
        <w:tc>
          <w:tcPr>
            <w:tcW w:w="922" w:type="dxa"/>
            <w:tcMar>
              <w:left w:w="0" w:type="dxa"/>
              <w:right w:w="0" w:type="dxa"/>
            </w:tcMar>
            <w:vAlign w:val="center"/>
          </w:tcPr>
          <w:p w14:paraId="548DC3D5">
            <w:pPr>
              <w:pStyle w:val="26"/>
              <w:bidi w:val="0"/>
              <w:rPr>
                <w:color w:val="auto"/>
                <w:lang w:val="en-US" w:eastAsia="zh-CN"/>
              </w:rPr>
            </w:pPr>
            <w:r>
              <w:t>0</w:t>
            </w:r>
          </w:p>
        </w:tc>
      </w:tr>
      <w:tr w14:paraId="442D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textDirection w:val="tbRlV"/>
            <w:vAlign w:val="center"/>
          </w:tcPr>
          <w:p w14:paraId="47085ED6">
            <w:pPr>
              <w:pStyle w:val="26"/>
              <w:bidi w:val="0"/>
              <w:rPr>
                <w:color w:val="auto"/>
                <w:lang w:val="en-US" w:eastAsia="zh-CN"/>
              </w:rPr>
            </w:pPr>
          </w:p>
        </w:tc>
        <w:tc>
          <w:tcPr>
            <w:tcW w:w="467" w:type="pct"/>
            <w:tcMar>
              <w:left w:w="0" w:type="dxa"/>
              <w:right w:w="0" w:type="dxa"/>
            </w:tcMar>
            <w:vAlign w:val="center"/>
          </w:tcPr>
          <w:p w14:paraId="55DDE918">
            <w:pPr>
              <w:pStyle w:val="26"/>
              <w:bidi w:val="0"/>
              <w:rPr>
                <w:color w:val="auto"/>
                <w:lang w:val="en-US" w:eastAsia="zh-CN"/>
              </w:rPr>
            </w:pPr>
            <w:r>
              <w:rPr>
                <w:color w:val="auto"/>
                <w:lang w:val="en-US" w:eastAsia="zh-CN"/>
              </w:rPr>
              <w:t>固体废物</w:t>
            </w:r>
          </w:p>
        </w:tc>
        <w:tc>
          <w:tcPr>
            <w:tcW w:w="919" w:type="dxa"/>
            <w:tcMar>
              <w:left w:w="0" w:type="dxa"/>
              <w:right w:w="0" w:type="dxa"/>
            </w:tcMar>
            <w:vAlign w:val="center"/>
          </w:tcPr>
          <w:p w14:paraId="17DA4028">
            <w:pPr>
              <w:pStyle w:val="26"/>
              <w:bidi w:val="0"/>
              <w:rPr>
                <w:color w:val="auto"/>
                <w:lang w:val="en-US" w:eastAsia="zh-CN"/>
              </w:rPr>
            </w:pPr>
            <w:r>
              <w:t>0</w:t>
            </w:r>
          </w:p>
        </w:tc>
        <w:tc>
          <w:tcPr>
            <w:tcW w:w="919" w:type="dxa"/>
            <w:tcMar>
              <w:left w:w="0" w:type="dxa"/>
              <w:right w:w="0" w:type="dxa"/>
            </w:tcMar>
            <w:vAlign w:val="center"/>
          </w:tcPr>
          <w:p w14:paraId="359934A1">
            <w:pPr>
              <w:pStyle w:val="26"/>
              <w:bidi w:val="0"/>
              <w:rPr>
                <w:color w:val="auto"/>
                <w:lang w:val="en-US" w:eastAsia="zh-CN"/>
              </w:rPr>
            </w:pPr>
            <w:r>
              <w:t>0</w:t>
            </w:r>
          </w:p>
        </w:tc>
        <w:tc>
          <w:tcPr>
            <w:tcW w:w="919" w:type="dxa"/>
            <w:tcMar>
              <w:left w:w="0" w:type="dxa"/>
              <w:right w:w="0" w:type="dxa"/>
            </w:tcMar>
            <w:vAlign w:val="center"/>
          </w:tcPr>
          <w:p w14:paraId="07370F89">
            <w:pPr>
              <w:pStyle w:val="26"/>
              <w:bidi w:val="0"/>
              <w:rPr>
                <w:color w:val="auto"/>
                <w:lang w:val="en-US" w:eastAsia="zh-CN"/>
              </w:rPr>
            </w:pPr>
            <w:r>
              <w:t>-1LIRIDC</w:t>
            </w:r>
          </w:p>
        </w:tc>
        <w:tc>
          <w:tcPr>
            <w:tcW w:w="919" w:type="dxa"/>
            <w:tcMar>
              <w:left w:w="0" w:type="dxa"/>
              <w:right w:w="0" w:type="dxa"/>
            </w:tcMar>
            <w:vAlign w:val="center"/>
          </w:tcPr>
          <w:p w14:paraId="07BBEB15">
            <w:pPr>
              <w:pStyle w:val="26"/>
              <w:bidi w:val="0"/>
              <w:rPr>
                <w:color w:val="auto"/>
                <w:lang w:val="en-US" w:eastAsia="zh-CN"/>
              </w:rPr>
            </w:pPr>
            <w:r>
              <w:t>-1LIRIDC</w:t>
            </w:r>
          </w:p>
        </w:tc>
        <w:tc>
          <w:tcPr>
            <w:tcW w:w="939" w:type="dxa"/>
            <w:tcMar>
              <w:left w:w="0" w:type="dxa"/>
              <w:right w:w="0" w:type="dxa"/>
            </w:tcMar>
            <w:vAlign w:val="center"/>
          </w:tcPr>
          <w:p w14:paraId="762EB89C">
            <w:pPr>
              <w:pStyle w:val="26"/>
              <w:bidi w:val="0"/>
              <w:rPr>
                <w:color w:val="auto"/>
                <w:lang w:val="en-US" w:eastAsia="zh-CN"/>
              </w:rPr>
            </w:pPr>
            <w:r>
              <w:t>0</w:t>
            </w:r>
          </w:p>
        </w:tc>
        <w:tc>
          <w:tcPr>
            <w:tcW w:w="858" w:type="dxa"/>
            <w:tcMar>
              <w:left w:w="0" w:type="dxa"/>
              <w:right w:w="0" w:type="dxa"/>
            </w:tcMar>
            <w:vAlign w:val="center"/>
          </w:tcPr>
          <w:p w14:paraId="12E8FE22">
            <w:pPr>
              <w:pStyle w:val="26"/>
              <w:bidi w:val="0"/>
              <w:rPr>
                <w:color w:val="auto"/>
                <w:lang w:val="en-US" w:eastAsia="zh-CN"/>
              </w:rPr>
            </w:pPr>
            <w:r>
              <w:t>-1LRDC</w:t>
            </w:r>
          </w:p>
        </w:tc>
        <w:tc>
          <w:tcPr>
            <w:tcW w:w="838" w:type="dxa"/>
            <w:tcMar>
              <w:left w:w="0" w:type="dxa"/>
              <w:right w:w="0" w:type="dxa"/>
            </w:tcMar>
            <w:vAlign w:val="center"/>
          </w:tcPr>
          <w:p w14:paraId="5D263534">
            <w:pPr>
              <w:pStyle w:val="26"/>
              <w:bidi w:val="0"/>
              <w:rPr>
                <w:color w:val="auto"/>
                <w:lang w:val="en-US" w:eastAsia="zh-CN"/>
              </w:rPr>
            </w:pPr>
            <w:r>
              <w:t>0</w:t>
            </w:r>
          </w:p>
        </w:tc>
        <w:tc>
          <w:tcPr>
            <w:tcW w:w="779" w:type="dxa"/>
            <w:tcMar>
              <w:left w:w="0" w:type="dxa"/>
              <w:right w:w="0" w:type="dxa"/>
            </w:tcMar>
            <w:vAlign w:val="center"/>
          </w:tcPr>
          <w:p w14:paraId="7DB74489">
            <w:pPr>
              <w:pStyle w:val="26"/>
              <w:bidi w:val="0"/>
              <w:rPr>
                <w:color w:val="auto"/>
                <w:lang w:val="en-US" w:eastAsia="zh-CN"/>
              </w:rPr>
            </w:pPr>
            <w:r>
              <w:t>0</w:t>
            </w:r>
          </w:p>
        </w:tc>
        <w:tc>
          <w:tcPr>
            <w:tcW w:w="1469" w:type="dxa"/>
            <w:tcMar>
              <w:left w:w="0" w:type="dxa"/>
              <w:right w:w="0" w:type="dxa"/>
            </w:tcMar>
            <w:vAlign w:val="center"/>
          </w:tcPr>
          <w:p w14:paraId="455041CC">
            <w:pPr>
              <w:pStyle w:val="26"/>
              <w:bidi w:val="0"/>
              <w:rPr>
                <w:color w:val="auto"/>
                <w:lang w:val="en-US" w:eastAsia="zh-CN"/>
              </w:rPr>
            </w:pPr>
            <w:r>
              <w:t>0</w:t>
            </w:r>
          </w:p>
        </w:tc>
        <w:tc>
          <w:tcPr>
            <w:tcW w:w="919" w:type="dxa"/>
            <w:tcMar>
              <w:left w:w="0" w:type="dxa"/>
              <w:right w:w="0" w:type="dxa"/>
            </w:tcMar>
            <w:vAlign w:val="center"/>
          </w:tcPr>
          <w:p w14:paraId="6F7CCF19">
            <w:pPr>
              <w:pStyle w:val="26"/>
              <w:bidi w:val="0"/>
              <w:rPr>
                <w:color w:val="auto"/>
                <w:lang w:val="en-US" w:eastAsia="zh-CN"/>
              </w:rPr>
            </w:pPr>
            <w:r>
              <w:t>0</w:t>
            </w:r>
          </w:p>
        </w:tc>
        <w:tc>
          <w:tcPr>
            <w:tcW w:w="919" w:type="dxa"/>
            <w:tcMar>
              <w:left w:w="0" w:type="dxa"/>
              <w:right w:w="0" w:type="dxa"/>
            </w:tcMar>
            <w:vAlign w:val="center"/>
          </w:tcPr>
          <w:p w14:paraId="31596D0D">
            <w:pPr>
              <w:pStyle w:val="26"/>
              <w:bidi w:val="0"/>
              <w:rPr>
                <w:color w:val="auto"/>
                <w:lang w:val="en-US" w:eastAsia="zh-CN"/>
              </w:rPr>
            </w:pPr>
            <w:r>
              <w:t>0</w:t>
            </w:r>
          </w:p>
        </w:tc>
        <w:tc>
          <w:tcPr>
            <w:tcW w:w="919" w:type="dxa"/>
            <w:tcMar>
              <w:left w:w="0" w:type="dxa"/>
              <w:right w:w="0" w:type="dxa"/>
            </w:tcMar>
            <w:vAlign w:val="center"/>
          </w:tcPr>
          <w:p w14:paraId="49AB25C2">
            <w:pPr>
              <w:pStyle w:val="26"/>
              <w:bidi w:val="0"/>
              <w:rPr>
                <w:color w:val="auto"/>
                <w:lang w:val="en-US" w:eastAsia="zh-CN"/>
              </w:rPr>
            </w:pPr>
            <w:r>
              <w:t>-1LRDC</w:t>
            </w:r>
          </w:p>
        </w:tc>
        <w:tc>
          <w:tcPr>
            <w:tcW w:w="922" w:type="dxa"/>
            <w:tcMar>
              <w:left w:w="0" w:type="dxa"/>
              <w:right w:w="0" w:type="dxa"/>
            </w:tcMar>
            <w:vAlign w:val="center"/>
          </w:tcPr>
          <w:p w14:paraId="506F313D">
            <w:pPr>
              <w:pStyle w:val="26"/>
              <w:bidi w:val="0"/>
              <w:rPr>
                <w:color w:val="auto"/>
                <w:lang w:val="en-US" w:eastAsia="zh-CN"/>
              </w:rPr>
            </w:pPr>
            <w:r>
              <w:t>-1LRDC</w:t>
            </w:r>
          </w:p>
        </w:tc>
      </w:tr>
      <w:tr w14:paraId="617A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2" w:type="pct"/>
            <w:vMerge w:val="continue"/>
            <w:tcMar>
              <w:left w:w="0" w:type="dxa"/>
              <w:right w:w="0" w:type="dxa"/>
            </w:tcMar>
            <w:textDirection w:val="tbRlV"/>
            <w:vAlign w:val="center"/>
          </w:tcPr>
          <w:p w14:paraId="0399D2FB">
            <w:pPr>
              <w:pStyle w:val="26"/>
              <w:bidi w:val="0"/>
              <w:rPr>
                <w:color w:val="auto"/>
                <w:lang w:val="en-US" w:eastAsia="zh-CN"/>
              </w:rPr>
            </w:pPr>
          </w:p>
        </w:tc>
        <w:tc>
          <w:tcPr>
            <w:tcW w:w="467" w:type="pct"/>
            <w:tcMar>
              <w:left w:w="0" w:type="dxa"/>
              <w:right w:w="0" w:type="dxa"/>
            </w:tcMar>
            <w:vAlign w:val="center"/>
          </w:tcPr>
          <w:p w14:paraId="4262EFA3">
            <w:pPr>
              <w:pStyle w:val="26"/>
              <w:bidi w:val="0"/>
              <w:rPr>
                <w:color w:val="auto"/>
                <w:lang w:val="en-US" w:eastAsia="zh-CN"/>
              </w:rPr>
            </w:pPr>
            <w:r>
              <w:rPr>
                <w:color w:val="auto"/>
                <w:lang w:val="en-US" w:eastAsia="zh-CN"/>
              </w:rPr>
              <w:t>事故风险</w:t>
            </w:r>
          </w:p>
        </w:tc>
        <w:tc>
          <w:tcPr>
            <w:tcW w:w="919" w:type="dxa"/>
            <w:tcMar>
              <w:left w:w="0" w:type="dxa"/>
              <w:right w:w="0" w:type="dxa"/>
            </w:tcMar>
            <w:vAlign w:val="center"/>
          </w:tcPr>
          <w:p w14:paraId="064A3272">
            <w:pPr>
              <w:pStyle w:val="26"/>
              <w:bidi w:val="0"/>
              <w:rPr>
                <w:color w:val="auto"/>
                <w:lang w:val="en-US" w:eastAsia="zh-CN"/>
              </w:rPr>
            </w:pPr>
            <w:r>
              <w:t>-3SRDC</w:t>
            </w:r>
          </w:p>
        </w:tc>
        <w:tc>
          <w:tcPr>
            <w:tcW w:w="919" w:type="dxa"/>
            <w:tcMar>
              <w:left w:w="0" w:type="dxa"/>
              <w:right w:w="0" w:type="dxa"/>
            </w:tcMar>
            <w:vAlign w:val="center"/>
          </w:tcPr>
          <w:p w14:paraId="3CE28DD4">
            <w:pPr>
              <w:pStyle w:val="26"/>
              <w:bidi w:val="0"/>
              <w:rPr>
                <w:color w:val="auto"/>
                <w:lang w:val="en-US" w:eastAsia="zh-CN"/>
              </w:rPr>
            </w:pPr>
            <w:r>
              <w:t>-3SRDC</w:t>
            </w:r>
          </w:p>
        </w:tc>
        <w:tc>
          <w:tcPr>
            <w:tcW w:w="919" w:type="dxa"/>
            <w:tcMar>
              <w:left w:w="0" w:type="dxa"/>
              <w:right w:w="0" w:type="dxa"/>
            </w:tcMar>
            <w:vAlign w:val="center"/>
          </w:tcPr>
          <w:p w14:paraId="4129CD9B">
            <w:pPr>
              <w:pStyle w:val="26"/>
              <w:bidi w:val="0"/>
              <w:rPr>
                <w:color w:val="auto"/>
                <w:lang w:val="en-US" w:eastAsia="zh-CN"/>
              </w:rPr>
            </w:pPr>
            <w:r>
              <w:t>-3SIRDC</w:t>
            </w:r>
          </w:p>
        </w:tc>
        <w:tc>
          <w:tcPr>
            <w:tcW w:w="919" w:type="dxa"/>
            <w:tcMar>
              <w:left w:w="0" w:type="dxa"/>
              <w:right w:w="0" w:type="dxa"/>
            </w:tcMar>
            <w:vAlign w:val="center"/>
          </w:tcPr>
          <w:p w14:paraId="12FC6067">
            <w:pPr>
              <w:pStyle w:val="26"/>
              <w:bidi w:val="0"/>
              <w:rPr>
                <w:color w:val="auto"/>
                <w:lang w:val="en-US" w:eastAsia="zh-CN"/>
              </w:rPr>
            </w:pPr>
            <w:r>
              <w:t>-3SIRDC</w:t>
            </w:r>
          </w:p>
        </w:tc>
        <w:tc>
          <w:tcPr>
            <w:tcW w:w="939" w:type="dxa"/>
            <w:tcMar>
              <w:left w:w="0" w:type="dxa"/>
              <w:right w:w="0" w:type="dxa"/>
            </w:tcMar>
            <w:vAlign w:val="center"/>
          </w:tcPr>
          <w:p w14:paraId="287E2A0B">
            <w:pPr>
              <w:pStyle w:val="26"/>
              <w:bidi w:val="0"/>
              <w:rPr>
                <w:color w:val="auto"/>
                <w:lang w:val="en-US" w:eastAsia="zh-CN"/>
              </w:rPr>
            </w:pPr>
            <w:r>
              <w:t>0</w:t>
            </w:r>
          </w:p>
        </w:tc>
        <w:tc>
          <w:tcPr>
            <w:tcW w:w="858" w:type="dxa"/>
            <w:tcMar>
              <w:left w:w="0" w:type="dxa"/>
              <w:right w:w="0" w:type="dxa"/>
            </w:tcMar>
            <w:vAlign w:val="center"/>
          </w:tcPr>
          <w:p w14:paraId="16F3C8BD">
            <w:pPr>
              <w:pStyle w:val="26"/>
              <w:bidi w:val="0"/>
              <w:rPr>
                <w:color w:val="auto"/>
                <w:lang w:val="en-US" w:eastAsia="zh-CN"/>
              </w:rPr>
            </w:pPr>
            <w:r>
              <w:t>0</w:t>
            </w:r>
          </w:p>
        </w:tc>
        <w:tc>
          <w:tcPr>
            <w:tcW w:w="838" w:type="dxa"/>
            <w:tcMar>
              <w:left w:w="0" w:type="dxa"/>
              <w:right w:w="0" w:type="dxa"/>
            </w:tcMar>
            <w:vAlign w:val="center"/>
          </w:tcPr>
          <w:p w14:paraId="66A4FE7F">
            <w:pPr>
              <w:pStyle w:val="26"/>
              <w:bidi w:val="0"/>
              <w:rPr>
                <w:color w:val="auto"/>
                <w:lang w:val="en-US" w:eastAsia="zh-CN"/>
              </w:rPr>
            </w:pPr>
            <w:r>
              <w:t>-3SIRDC</w:t>
            </w:r>
          </w:p>
        </w:tc>
        <w:tc>
          <w:tcPr>
            <w:tcW w:w="779" w:type="dxa"/>
            <w:tcMar>
              <w:left w:w="0" w:type="dxa"/>
              <w:right w:w="0" w:type="dxa"/>
            </w:tcMar>
            <w:vAlign w:val="center"/>
          </w:tcPr>
          <w:p w14:paraId="0E19734D">
            <w:pPr>
              <w:pStyle w:val="26"/>
              <w:bidi w:val="0"/>
              <w:rPr>
                <w:color w:val="auto"/>
                <w:lang w:val="en-US" w:eastAsia="zh-CN"/>
              </w:rPr>
            </w:pPr>
            <w:r>
              <w:t>0</w:t>
            </w:r>
          </w:p>
        </w:tc>
        <w:tc>
          <w:tcPr>
            <w:tcW w:w="1469" w:type="dxa"/>
            <w:tcMar>
              <w:left w:w="0" w:type="dxa"/>
              <w:right w:w="0" w:type="dxa"/>
            </w:tcMar>
            <w:vAlign w:val="center"/>
          </w:tcPr>
          <w:p w14:paraId="02838E06">
            <w:pPr>
              <w:pStyle w:val="26"/>
              <w:bidi w:val="0"/>
              <w:rPr>
                <w:color w:val="auto"/>
                <w:lang w:val="en-US" w:eastAsia="zh-CN"/>
              </w:rPr>
            </w:pPr>
            <w:r>
              <w:t>-1SRDNC</w:t>
            </w:r>
          </w:p>
        </w:tc>
        <w:tc>
          <w:tcPr>
            <w:tcW w:w="919" w:type="dxa"/>
            <w:tcMar>
              <w:left w:w="0" w:type="dxa"/>
              <w:right w:w="0" w:type="dxa"/>
            </w:tcMar>
            <w:vAlign w:val="center"/>
          </w:tcPr>
          <w:p w14:paraId="3F3B7260">
            <w:pPr>
              <w:pStyle w:val="26"/>
              <w:bidi w:val="0"/>
              <w:rPr>
                <w:color w:val="auto"/>
                <w:lang w:val="en-US" w:eastAsia="zh-CN"/>
              </w:rPr>
            </w:pPr>
            <w:r>
              <w:t>-2SRDNC</w:t>
            </w:r>
          </w:p>
        </w:tc>
        <w:tc>
          <w:tcPr>
            <w:tcW w:w="919" w:type="dxa"/>
            <w:tcMar>
              <w:left w:w="0" w:type="dxa"/>
              <w:right w:w="0" w:type="dxa"/>
            </w:tcMar>
            <w:vAlign w:val="center"/>
          </w:tcPr>
          <w:p w14:paraId="62B1D9D1">
            <w:pPr>
              <w:pStyle w:val="26"/>
              <w:bidi w:val="0"/>
              <w:rPr>
                <w:color w:val="auto"/>
                <w:lang w:val="en-US" w:eastAsia="zh-CN"/>
              </w:rPr>
            </w:pPr>
            <w:r>
              <w:t>-2SRDNC</w:t>
            </w:r>
          </w:p>
        </w:tc>
        <w:tc>
          <w:tcPr>
            <w:tcW w:w="919" w:type="dxa"/>
            <w:tcMar>
              <w:left w:w="0" w:type="dxa"/>
              <w:right w:w="0" w:type="dxa"/>
            </w:tcMar>
            <w:vAlign w:val="center"/>
          </w:tcPr>
          <w:p w14:paraId="7998B6C1">
            <w:pPr>
              <w:pStyle w:val="26"/>
              <w:bidi w:val="0"/>
              <w:rPr>
                <w:color w:val="auto"/>
                <w:lang w:val="en-US" w:eastAsia="zh-CN"/>
              </w:rPr>
            </w:pPr>
            <w:r>
              <w:t>-2SRDNC</w:t>
            </w:r>
          </w:p>
        </w:tc>
        <w:tc>
          <w:tcPr>
            <w:tcW w:w="922" w:type="dxa"/>
            <w:tcMar>
              <w:left w:w="0" w:type="dxa"/>
              <w:right w:w="0" w:type="dxa"/>
            </w:tcMar>
            <w:vAlign w:val="center"/>
          </w:tcPr>
          <w:p w14:paraId="7BD4A822">
            <w:pPr>
              <w:pStyle w:val="26"/>
              <w:bidi w:val="0"/>
              <w:rPr>
                <w:color w:val="auto"/>
                <w:lang w:val="en-US" w:eastAsia="zh-CN"/>
              </w:rPr>
            </w:pPr>
            <w:r>
              <w:t>0</w:t>
            </w:r>
          </w:p>
        </w:tc>
      </w:tr>
    </w:tbl>
    <w:p w14:paraId="19777A07">
      <w:pPr>
        <w:pStyle w:val="28"/>
        <w:bidi w:val="0"/>
        <w:rPr>
          <w:color w:val="auto"/>
        </w:rPr>
      </w:pPr>
      <w:r>
        <w:rPr>
          <w:rFonts w:hint="eastAsia"/>
          <w:color w:val="auto"/>
          <w:lang w:val="en-US" w:eastAsia="zh-CN"/>
        </w:rPr>
        <w:t>备注：“+”、“-”分别表示有利、不利影响；“L”、“S”分别表示长期、短期影响；“0”、“1”、“2”、“3”数值分别表示无影响、轻微影响、中等影响和重大影响；“R”、“IR”分别表示可逆、不可逆影响；“D”、“ID”分别表示直接与间接影响；“C”、“NC”分别表示累积与非累积影响。</w:t>
      </w:r>
    </w:p>
    <w:p w14:paraId="592D654A">
      <w:pPr>
        <w:bidi w:val="0"/>
        <w:rPr>
          <w:color w:val="auto"/>
        </w:rPr>
      </w:pPr>
    </w:p>
    <w:p w14:paraId="1E968225">
      <w:pPr>
        <w:bidi w:val="0"/>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DB294B8">
      <w:pPr>
        <w:pStyle w:val="4"/>
        <w:bidi w:val="0"/>
        <w:rPr>
          <w:color w:val="auto"/>
          <w:lang w:val="en-US" w:eastAsia="zh-CN"/>
        </w:rPr>
      </w:pPr>
      <w:bookmarkStart w:id="65" w:name="_Toc23370"/>
      <w:bookmarkStart w:id="66" w:name="_Toc7541"/>
      <w:r>
        <w:rPr>
          <w:rFonts w:hint="eastAsia"/>
          <w:color w:val="auto"/>
          <w:lang w:val="en-US" w:eastAsia="zh-CN"/>
        </w:rPr>
        <w:t>环境评价因子筛选</w:t>
      </w:r>
      <w:bookmarkEnd w:id="65"/>
      <w:bookmarkEnd w:id="66"/>
    </w:p>
    <w:p w14:paraId="03FD5E0F">
      <w:pPr>
        <w:rPr>
          <w:rFonts w:ascii="Times New Roman" w:hAnsi="Times New Roman"/>
          <w:color w:val="auto"/>
        </w:rPr>
      </w:pPr>
      <w:r>
        <w:rPr>
          <w:rFonts w:hint="eastAsia" w:ascii="Times New Roman" w:hAnsi="Times New Roman"/>
          <w:color w:val="auto"/>
        </w:rPr>
        <w:t>本项目评价因子筛选见下表。</w:t>
      </w:r>
    </w:p>
    <w:p w14:paraId="74075625">
      <w:pPr>
        <w:pStyle w:val="25"/>
        <w:bidi w:val="0"/>
        <w:rPr>
          <w:color w:val="auto"/>
          <w:lang w:val="en-US" w:eastAsia="zh-CN"/>
        </w:rPr>
      </w:pPr>
      <w:bookmarkStart w:id="67" w:name="_Ref18444468"/>
      <w:bookmarkEnd w:id="67"/>
      <w:bookmarkStart w:id="68" w:name="_Ref156488349"/>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2</w:t>
      </w:r>
      <w:r>
        <w:rPr>
          <w:color w:val="auto"/>
          <w:lang w:val="en-US" w:eastAsia="zh-CN"/>
        </w:rPr>
        <w:fldChar w:fldCharType="end"/>
      </w:r>
      <w:bookmarkEnd w:id="68"/>
      <w:r>
        <w:rPr>
          <w:color w:val="auto"/>
          <w:lang w:val="en-US" w:eastAsia="zh-CN"/>
        </w:rPr>
        <w:t>评价因子确定表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3437"/>
        <w:gridCol w:w="1952"/>
        <w:gridCol w:w="2293"/>
      </w:tblGrid>
      <w:tr w14:paraId="2987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93" w:type="pct"/>
            <w:vAlign w:val="center"/>
          </w:tcPr>
          <w:p w14:paraId="2BE7E7AD">
            <w:pPr>
              <w:pStyle w:val="36"/>
              <w:bidi w:val="0"/>
              <w:rPr>
                <w:color w:val="auto"/>
                <w:lang w:val="en-US" w:eastAsia="zh-CN"/>
              </w:rPr>
            </w:pPr>
            <w:r>
              <w:rPr>
                <w:rFonts w:hint="eastAsia"/>
                <w:color w:val="auto"/>
                <w:lang w:val="en-US" w:eastAsia="zh-CN"/>
              </w:rPr>
              <w:t>环境类别</w:t>
            </w:r>
          </w:p>
        </w:tc>
        <w:tc>
          <w:tcPr>
            <w:tcW w:w="2016" w:type="pct"/>
            <w:vAlign w:val="center"/>
          </w:tcPr>
          <w:p w14:paraId="7F6570D7">
            <w:pPr>
              <w:pStyle w:val="36"/>
              <w:bidi w:val="0"/>
              <w:rPr>
                <w:color w:val="auto"/>
                <w:lang w:val="en-US" w:eastAsia="zh-CN"/>
              </w:rPr>
            </w:pPr>
            <w:r>
              <w:rPr>
                <w:rFonts w:hint="eastAsia"/>
                <w:color w:val="auto"/>
                <w:lang w:val="en-US" w:eastAsia="zh-CN"/>
              </w:rPr>
              <w:t>现状评价因子</w:t>
            </w:r>
          </w:p>
        </w:tc>
        <w:tc>
          <w:tcPr>
            <w:tcW w:w="1145" w:type="pct"/>
            <w:vAlign w:val="center"/>
          </w:tcPr>
          <w:p w14:paraId="09F5B4F1">
            <w:pPr>
              <w:pStyle w:val="36"/>
              <w:bidi w:val="0"/>
              <w:rPr>
                <w:color w:val="auto"/>
                <w:lang w:val="en-US" w:eastAsia="zh-CN"/>
              </w:rPr>
            </w:pPr>
            <w:r>
              <w:rPr>
                <w:rFonts w:hint="eastAsia"/>
                <w:color w:val="auto"/>
                <w:lang w:val="en-US" w:eastAsia="zh-CN"/>
              </w:rPr>
              <w:t>影响评价因子</w:t>
            </w:r>
          </w:p>
        </w:tc>
        <w:tc>
          <w:tcPr>
            <w:tcW w:w="1345" w:type="pct"/>
            <w:vAlign w:val="center"/>
          </w:tcPr>
          <w:p w14:paraId="5BEBD6C3">
            <w:pPr>
              <w:pStyle w:val="36"/>
              <w:bidi w:val="0"/>
              <w:rPr>
                <w:color w:val="auto"/>
                <w:lang w:val="en-US" w:eastAsia="zh-CN"/>
              </w:rPr>
            </w:pPr>
            <w:r>
              <w:rPr>
                <w:rFonts w:hint="eastAsia"/>
                <w:color w:val="auto"/>
                <w:lang w:val="en-US" w:eastAsia="zh-CN"/>
              </w:rPr>
              <w:t>总量控制因子</w:t>
            </w:r>
          </w:p>
        </w:tc>
      </w:tr>
      <w:tr w14:paraId="1B70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vAlign w:val="center"/>
          </w:tcPr>
          <w:p w14:paraId="2239165C">
            <w:pPr>
              <w:pStyle w:val="26"/>
              <w:bidi w:val="0"/>
              <w:rPr>
                <w:color w:val="auto"/>
                <w:lang w:val="en-US" w:eastAsia="zh-CN"/>
              </w:rPr>
            </w:pPr>
            <w:r>
              <w:rPr>
                <w:rFonts w:hint="eastAsia"/>
                <w:color w:val="auto"/>
                <w:lang w:val="en-US" w:eastAsia="zh-CN"/>
              </w:rPr>
              <w:t>大气</w:t>
            </w:r>
          </w:p>
          <w:p w14:paraId="10BFD75A">
            <w:pPr>
              <w:pStyle w:val="26"/>
              <w:bidi w:val="0"/>
              <w:rPr>
                <w:color w:val="auto"/>
                <w:lang w:val="en-US" w:eastAsia="zh-CN"/>
              </w:rPr>
            </w:pPr>
            <w:r>
              <w:rPr>
                <w:rFonts w:hint="eastAsia"/>
                <w:color w:val="auto"/>
                <w:lang w:val="en-US" w:eastAsia="zh-CN"/>
              </w:rPr>
              <w:t>环境</w:t>
            </w:r>
          </w:p>
        </w:tc>
        <w:tc>
          <w:tcPr>
            <w:tcW w:w="2016" w:type="pct"/>
            <w:vAlign w:val="center"/>
          </w:tcPr>
          <w:p w14:paraId="130B6384">
            <w:pPr>
              <w:pStyle w:val="26"/>
              <w:bidi w:val="0"/>
              <w:rPr>
                <w:rFonts w:hint="default" w:eastAsia="仿宋_GB2312"/>
                <w:color w:val="auto"/>
                <w:lang w:val="en-US" w:eastAsia="zh-CN"/>
              </w:rPr>
            </w:pPr>
            <w:r>
              <w:rPr>
                <w:color w:val="auto"/>
                <w:lang w:val="en-US" w:eastAsia="zh-CN"/>
              </w:rPr>
              <w:t>SO</w:t>
            </w:r>
            <w:r>
              <w:rPr>
                <w:color w:val="auto"/>
                <w:vertAlign w:val="subscript"/>
                <w:lang w:val="en-US" w:eastAsia="zh-CN"/>
              </w:rPr>
              <w:t>2</w:t>
            </w:r>
            <w:r>
              <w:rPr>
                <w:color w:val="auto"/>
                <w:lang w:val="en-US" w:eastAsia="zh-CN"/>
              </w:rPr>
              <w:t>、NO</w:t>
            </w:r>
            <w:r>
              <w:rPr>
                <w:color w:val="auto"/>
                <w:vertAlign w:val="subscript"/>
                <w:lang w:val="en-US" w:eastAsia="zh-CN"/>
              </w:rPr>
              <w:t>2</w:t>
            </w:r>
            <w:r>
              <w:rPr>
                <w:color w:val="auto"/>
                <w:lang w:val="en-US" w:eastAsia="zh-CN"/>
              </w:rPr>
              <w:t>、</w:t>
            </w:r>
            <w:r>
              <w:rPr>
                <w:rFonts w:hint="eastAsia"/>
                <w:color w:val="auto"/>
                <w:lang w:val="en-US" w:eastAsia="zh-CN"/>
              </w:rPr>
              <w:t>PM</w:t>
            </w:r>
            <w:r>
              <w:rPr>
                <w:rFonts w:hint="eastAsia"/>
                <w:color w:val="auto"/>
                <w:vertAlign w:val="subscript"/>
                <w:lang w:val="en-US" w:eastAsia="zh-CN"/>
              </w:rPr>
              <w:t>2.5</w:t>
            </w:r>
            <w:r>
              <w:rPr>
                <w:color w:val="auto"/>
                <w:lang w:val="en-US" w:eastAsia="zh-CN"/>
              </w:rPr>
              <w:t>、PM</w:t>
            </w:r>
            <w:r>
              <w:rPr>
                <w:color w:val="auto"/>
                <w:vertAlign w:val="subscript"/>
                <w:lang w:val="en-US" w:eastAsia="zh-CN"/>
              </w:rPr>
              <w:t>10</w:t>
            </w:r>
            <w:r>
              <w:rPr>
                <w:color w:val="auto"/>
                <w:lang w:val="en-US" w:eastAsia="zh-CN"/>
              </w:rPr>
              <w:t>、CO、O</w:t>
            </w:r>
            <w:r>
              <w:rPr>
                <w:color w:val="auto"/>
                <w:vertAlign w:val="subscript"/>
                <w:lang w:val="en-US" w:eastAsia="zh-CN"/>
              </w:rPr>
              <w:t>3</w:t>
            </w:r>
            <w:r>
              <w:rPr>
                <w:rFonts w:hint="eastAsia"/>
                <w:color w:val="auto"/>
                <w:lang w:val="en-US" w:eastAsia="zh-CN"/>
              </w:rPr>
              <w:t>、</w:t>
            </w:r>
            <w:r>
              <w:rPr>
                <w:color w:val="auto"/>
                <w:lang w:val="en-US" w:eastAsia="zh-CN"/>
              </w:rPr>
              <w:t>非甲烷总烃、</w:t>
            </w:r>
            <w:r>
              <w:rPr>
                <w:rFonts w:hint="eastAsia"/>
                <w:color w:val="auto"/>
                <w:lang w:val="en-US" w:eastAsia="zh-CN"/>
              </w:rPr>
              <w:t>硫酸雾、甲苯、二甲苯、铬酸雾、</w:t>
            </w:r>
            <w:r>
              <w:rPr>
                <w:rFonts w:hint="eastAsia"/>
                <w:lang w:val="en-US" w:eastAsia="zh-CN"/>
              </w:rPr>
              <w:t>TSP</w:t>
            </w:r>
          </w:p>
        </w:tc>
        <w:tc>
          <w:tcPr>
            <w:tcW w:w="1145" w:type="pct"/>
            <w:vAlign w:val="center"/>
          </w:tcPr>
          <w:p w14:paraId="45D9CE6E">
            <w:pPr>
              <w:pStyle w:val="26"/>
              <w:bidi w:val="0"/>
              <w:rPr>
                <w:rFonts w:hint="default" w:eastAsia="仿宋_GB2312"/>
                <w:color w:val="auto"/>
                <w:lang w:val="en-US" w:eastAsia="zh-CN"/>
              </w:rPr>
            </w:pPr>
            <w:r>
              <w:rPr>
                <w:color w:val="auto"/>
                <w:lang w:val="en-US" w:eastAsia="zh-CN"/>
              </w:rPr>
              <w:t>硫酸雾、二甲苯、铬酸雾、非甲烷总烃、颗粒物、氯化氢</w:t>
            </w:r>
          </w:p>
        </w:tc>
        <w:tc>
          <w:tcPr>
            <w:tcW w:w="1345" w:type="pct"/>
            <w:vAlign w:val="center"/>
          </w:tcPr>
          <w:p w14:paraId="38B273EF">
            <w:pPr>
              <w:pStyle w:val="26"/>
              <w:bidi w:val="0"/>
              <w:rPr>
                <w:color w:val="auto"/>
                <w:lang w:val="en-US" w:eastAsia="zh-CN"/>
              </w:rPr>
            </w:pPr>
            <w:r>
              <w:rPr>
                <w:color w:val="auto"/>
                <w:lang w:val="en-US" w:eastAsia="zh-CN"/>
              </w:rPr>
              <w:t>VOCs</w:t>
            </w:r>
            <w:r>
              <w:rPr>
                <w:rFonts w:hint="eastAsia"/>
                <w:color w:val="auto"/>
                <w:lang w:val="en-US" w:eastAsia="zh-CN"/>
              </w:rPr>
              <w:t>（以非甲烷总烃计）</w:t>
            </w:r>
            <w:r>
              <w:rPr>
                <w:color w:val="auto"/>
                <w:lang w:val="en-US" w:eastAsia="zh-CN"/>
              </w:rPr>
              <w:t>、颗粒物</w:t>
            </w:r>
          </w:p>
        </w:tc>
      </w:tr>
      <w:tr w14:paraId="3128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vAlign w:val="center"/>
          </w:tcPr>
          <w:p w14:paraId="46E9830A">
            <w:pPr>
              <w:pStyle w:val="26"/>
              <w:bidi w:val="0"/>
              <w:rPr>
                <w:color w:val="auto"/>
                <w:lang w:val="en-US" w:eastAsia="zh-CN"/>
              </w:rPr>
            </w:pPr>
            <w:r>
              <w:rPr>
                <w:rFonts w:hint="eastAsia"/>
                <w:color w:val="auto"/>
                <w:lang w:val="en-US" w:eastAsia="zh-CN"/>
              </w:rPr>
              <w:t>地表水环境</w:t>
            </w:r>
          </w:p>
        </w:tc>
        <w:tc>
          <w:tcPr>
            <w:tcW w:w="2016" w:type="pct"/>
            <w:vAlign w:val="center"/>
          </w:tcPr>
          <w:p w14:paraId="143B4A2D">
            <w:pPr>
              <w:pStyle w:val="26"/>
              <w:bidi w:val="0"/>
              <w:rPr>
                <w:color w:val="auto"/>
                <w:lang w:val="en-US" w:eastAsia="zh-CN"/>
              </w:rPr>
            </w:pPr>
            <w:r>
              <w:rPr>
                <w:rFonts w:hint="eastAsia"/>
                <w:color w:val="auto"/>
                <w:lang w:val="en-US" w:eastAsia="zh-CN"/>
              </w:rPr>
              <w:t>pH、COD、高锰酸盐指数、BOD</w:t>
            </w:r>
            <w:r>
              <w:rPr>
                <w:rFonts w:hint="eastAsia"/>
                <w:color w:val="auto"/>
                <w:vertAlign w:val="subscript"/>
                <w:lang w:val="en-US" w:eastAsia="zh-CN"/>
              </w:rPr>
              <w:t>5</w:t>
            </w:r>
            <w:r>
              <w:rPr>
                <w:rFonts w:hint="eastAsia"/>
                <w:color w:val="auto"/>
                <w:lang w:val="en-US" w:eastAsia="zh-CN"/>
              </w:rPr>
              <w:t>、SS、DO、NH</w:t>
            </w:r>
            <w:r>
              <w:rPr>
                <w:rFonts w:hint="eastAsia"/>
                <w:color w:val="auto"/>
                <w:vertAlign w:val="subscript"/>
                <w:lang w:val="en-US" w:eastAsia="zh-CN"/>
              </w:rPr>
              <w:t>3</w:t>
            </w:r>
            <w:r>
              <w:rPr>
                <w:rFonts w:hint="eastAsia"/>
                <w:color w:val="auto"/>
                <w:lang w:val="en-US" w:eastAsia="zh-CN"/>
              </w:rPr>
              <w:t>-N、TP、石油类</w:t>
            </w:r>
          </w:p>
        </w:tc>
        <w:tc>
          <w:tcPr>
            <w:tcW w:w="1145" w:type="pct"/>
            <w:vAlign w:val="center"/>
          </w:tcPr>
          <w:p w14:paraId="6D10C556">
            <w:pPr>
              <w:pStyle w:val="26"/>
              <w:bidi w:val="0"/>
              <w:rPr>
                <w:color w:val="auto"/>
                <w:lang w:val="en-US" w:eastAsia="zh-CN"/>
              </w:rPr>
            </w:pPr>
            <w:r>
              <w:rPr>
                <w:rFonts w:hint="eastAsia"/>
                <w:color w:val="auto"/>
                <w:lang w:val="en-US" w:eastAsia="zh-CN"/>
              </w:rPr>
              <w:t>接管可行性分析</w:t>
            </w:r>
          </w:p>
        </w:tc>
        <w:tc>
          <w:tcPr>
            <w:tcW w:w="1345" w:type="pct"/>
            <w:vAlign w:val="center"/>
          </w:tcPr>
          <w:p w14:paraId="7E1FDD64">
            <w:pPr>
              <w:pStyle w:val="26"/>
              <w:bidi w:val="0"/>
              <w:rPr>
                <w:rFonts w:hint="default"/>
                <w:color w:val="auto"/>
                <w:lang w:val="en-US" w:eastAsia="zh-CN"/>
              </w:rPr>
            </w:pPr>
            <w:r>
              <w:rPr>
                <w:rFonts w:hint="eastAsia"/>
                <w:color w:val="auto"/>
                <w:lang w:val="en-US" w:eastAsia="zh-CN"/>
              </w:rPr>
              <w:t>/</w:t>
            </w:r>
          </w:p>
        </w:tc>
      </w:tr>
      <w:tr w14:paraId="4A3E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vAlign w:val="center"/>
          </w:tcPr>
          <w:p w14:paraId="23F30C88">
            <w:pPr>
              <w:pStyle w:val="26"/>
              <w:bidi w:val="0"/>
              <w:rPr>
                <w:color w:val="auto"/>
                <w:lang w:val="en-US" w:eastAsia="zh-CN"/>
              </w:rPr>
            </w:pPr>
            <w:r>
              <w:rPr>
                <w:rFonts w:hint="eastAsia"/>
                <w:color w:val="auto"/>
                <w:lang w:val="en-US" w:eastAsia="zh-CN"/>
              </w:rPr>
              <w:t>声环境</w:t>
            </w:r>
          </w:p>
        </w:tc>
        <w:tc>
          <w:tcPr>
            <w:tcW w:w="2016" w:type="pct"/>
            <w:vAlign w:val="center"/>
          </w:tcPr>
          <w:p w14:paraId="05D5200D">
            <w:pPr>
              <w:pStyle w:val="26"/>
              <w:bidi w:val="0"/>
              <w:rPr>
                <w:color w:val="auto"/>
                <w:lang w:val="en-US" w:eastAsia="zh-CN"/>
              </w:rPr>
            </w:pPr>
            <w:r>
              <w:rPr>
                <w:color w:val="auto"/>
                <w:lang w:val="en-US" w:eastAsia="zh-CN"/>
              </w:rPr>
              <w:t>等效连续A声级</w:t>
            </w:r>
          </w:p>
        </w:tc>
        <w:tc>
          <w:tcPr>
            <w:tcW w:w="1145" w:type="pct"/>
            <w:vAlign w:val="center"/>
          </w:tcPr>
          <w:p w14:paraId="70D4B262">
            <w:pPr>
              <w:pStyle w:val="26"/>
              <w:bidi w:val="0"/>
              <w:rPr>
                <w:color w:val="auto"/>
                <w:lang w:val="en-US" w:eastAsia="zh-CN"/>
              </w:rPr>
            </w:pPr>
            <w:r>
              <w:rPr>
                <w:color w:val="auto"/>
                <w:lang w:val="en-US" w:eastAsia="zh-CN"/>
              </w:rPr>
              <w:t>等效连续A声级</w:t>
            </w:r>
          </w:p>
        </w:tc>
        <w:tc>
          <w:tcPr>
            <w:tcW w:w="1345" w:type="pct"/>
            <w:vAlign w:val="center"/>
          </w:tcPr>
          <w:p w14:paraId="46DF45E9">
            <w:pPr>
              <w:pStyle w:val="26"/>
              <w:bidi w:val="0"/>
              <w:rPr>
                <w:color w:val="auto"/>
                <w:lang w:val="en-US" w:eastAsia="zh-CN"/>
              </w:rPr>
            </w:pPr>
            <w:r>
              <w:rPr>
                <w:color w:val="auto"/>
                <w:lang w:val="en-US" w:eastAsia="zh-CN"/>
              </w:rPr>
              <w:t>/</w:t>
            </w:r>
          </w:p>
        </w:tc>
      </w:tr>
      <w:tr w14:paraId="1AE8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3" w:type="pct"/>
            <w:vAlign w:val="center"/>
          </w:tcPr>
          <w:p w14:paraId="73FEE5A1">
            <w:pPr>
              <w:pStyle w:val="26"/>
              <w:bidi w:val="0"/>
              <w:rPr>
                <w:color w:val="auto"/>
                <w:lang w:val="en-US" w:eastAsia="zh-CN"/>
              </w:rPr>
            </w:pPr>
            <w:r>
              <w:rPr>
                <w:rFonts w:hint="eastAsia"/>
                <w:color w:val="auto"/>
                <w:lang w:val="en-US" w:eastAsia="zh-CN"/>
              </w:rPr>
              <w:t>固体废物</w:t>
            </w:r>
          </w:p>
        </w:tc>
        <w:tc>
          <w:tcPr>
            <w:tcW w:w="2016" w:type="pct"/>
            <w:vAlign w:val="center"/>
          </w:tcPr>
          <w:p w14:paraId="6C79E476">
            <w:pPr>
              <w:pStyle w:val="26"/>
              <w:bidi w:val="0"/>
              <w:rPr>
                <w:color w:val="auto"/>
                <w:lang w:val="en-US" w:eastAsia="zh-CN"/>
              </w:rPr>
            </w:pPr>
            <w:r>
              <w:rPr>
                <w:color w:val="auto"/>
                <w:lang w:val="en-US" w:eastAsia="zh-CN"/>
              </w:rPr>
              <w:t>/</w:t>
            </w:r>
          </w:p>
        </w:tc>
        <w:tc>
          <w:tcPr>
            <w:tcW w:w="1145" w:type="pct"/>
            <w:vAlign w:val="center"/>
          </w:tcPr>
          <w:p w14:paraId="43527AED">
            <w:pPr>
              <w:pStyle w:val="26"/>
              <w:bidi w:val="0"/>
              <w:rPr>
                <w:color w:val="auto"/>
                <w:lang w:val="en-US" w:eastAsia="zh-CN"/>
              </w:rPr>
            </w:pPr>
            <w:r>
              <w:rPr>
                <w:color w:val="auto"/>
                <w:lang w:val="en-US" w:eastAsia="zh-CN"/>
              </w:rPr>
              <w:t>固体废物种类、产生量</w:t>
            </w:r>
          </w:p>
        </w:tc>
        <w:tc>
          <w:tcPr>
            <w:tcW w:w="1345" w:type="pct"/>
            <w:vAlign w:val="center"/>
          </w:tcPr>
          <w:p w14:paraId="4AC8033B">
            <w:pPr>
              <w:pStyle w:val="26"/>
              <w:bidi w:val="0"/>
              <w:rPr>
                <w:color w:val="auto"/>
                <w:lang w:val="en-US" w:eastAsia="zh-CN"/>
              </w:rPr>
            </w:pPr>
            <w:r>
              <w:rPr>
                <w:color w:val="auto"/>
                <w:lang w:val="en-US" w:eastAsia="zh-CN"/>
              </w:rPr>
              <w:t>固体废物排放量</w:t>
            </w:r>
          </w:p>
        </w:tc>
      </w:tr>
      <w:tr w14:paraId="52E5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vAlign w:val="center"/>
          </w:tcPr>
          <w:p w14:paraId="3BAAB311">
            <w:pPr>
              <w:pStyle w:val="26"/>
              <w:bidi w:val="0"/>
              <w:rPr>
                <w:color w:val="auto"/>
                <w:lang w:val="en-US" w:eastAsia="zh-CN"/>
              </w:rPr>
            </w:pPr>
            <w:r>
              <w:rPr>
                <w:rFonts w:hint="eastAsia"/>
                <w:color w:val="auto"/>
                <w:lang w:val="en-US" w:eastAsia="zh-CN"/>
              </w:rPr>
              <w:t>地下水</w:t>
            </w:r>
          </w:p>
          <w:p w14:paraId="0E16FF7A">
            <w:pPr>
              <w:pStyle w:val="26"/>
              <w:bidi w:val="0"/>
              <w:rPr>
                <w:color w:val="auto"/>
                <w:lang w:val="en-US" w:eastAsia="zh-CN"/>
              </w:rPr>
            </w:pPr>
            <w:r>
              <w:rPr>
                <w:rFonts w:hint="eastAsia"/>
                <w:color w:val="auto"/>
                <w:lang w:val="en-US" w:eastAsia="zh-CN"/>
              </w:rPr>
              <w:t>环境</w:t>
            </w:r>
          </w:p>
        </w:tc>
        <w:tc>
          <w:tcPr>
            <w:tcW w:w="2016" w:type="pct"/>
            <w:vAlign w:val="center"/>
          </w:tcPr>
          <w:p w14:paraId="07594969">
            <w:pPr>
              <w:pStyle w:val="26"/>
              <w:bidi w:val="0"/>
              <w:rPr>
                <w:color w:val="auto"/>
                <w:lang w:val="en-US" w:eastAsia="zh-CN"/>
              </w:rPr>
            </w:pPr>
            <w:r>
              <w:rPr>
                <w:color w:val="auto"/>
                <w:lang w:val="en-US" w:eastAsia="zh-CN"/>
              </w:rPr>
              <w:t>K</w:t>
            </w:r>
            <w:r>
              <w:rPr>
                <w:color w:val="auto"/>
                <w:vertAlign w:val="superscript"/>
                <w:lang w:val="en-US" w:eastAsia="zh-CN"/>
              </w:rPr>
              <w:t>+</w:t>
            </w:r>
            <w:r>
              <w:rPr>
                <w:color w:val="auto"/>
                <w:lang w:val="en-US" w:eastAsia="zh-CN"/>
              </w:rPr>
              <w:t>、Na</w:t>
            </w:r>
            <w:r>
              <w:rPr>
                <w:color w:val="auto"/>
                <w:vertAlign w:val="superscript"/>
                <w:lang w:val="en-US" w:eastAsia="zh-CN"/>
              </w:rPr>
              <w:t>+</w:t>
            </w:r>
            <w:r>
              <w:rPr>
                <w:color w:val="auto"/>
                <w:lang w:val="en-US" w:eastAsia="zh-CN"/>
              </w:rPr>
              <w:t>、Ca</w:t>
            </w:r>
            <w:r>
              <w:rPr>
                <w:color w:val="auto"/>
                <w:vertAlign w:val="superscript"/>
                <w:lang w:val="en-US" w:eastAsia="zh-CN"/>
              </w:rPr>
              <w:t>2+</w:t>
            </w:r>
            <w:r>
              <w:rPr>
                <w:color w:val="auto"/>
                <w:lang w:val="en-US" w:eastAsia="zh-CN"/>
              </w:rPr>
              <w:t>、Mg</w:t>
            </w:r>
            <w:r>
              <w:rPr>
                <w:color w:val="auto"/>
                <w:vertAlign w:val="superscript"/>
                <w:lang w:val="en-US" w:eastAsia="zh-CN"/>
              </w:rPr>
              <w:t>2+</w:t>
            </w:r>
            <w:r>
              <w:rPr>
                <w:color w:val="auto"/>
                <w:lang w:val="en-US" w:eastAsia="zh-CN"/>
              </w:rPr>
              <w:t>、CO</w:t>
            </w:r>
            <w:r>
              <w:rPr>
                <w:color w:val="auto"/>
                <w:vertAlign w:val="subscript"/>
                <w:lang w:val="en-US" w:eastAsia="zh-CN"/>
              </w:rPr>
              <w:t>3</w:t>
            </w:r>
            <w:r>
              <w:rPr>
                <w:color w:val="auto"/>
                <w:vertAlign w:val="superscript"/>
                <w:lang w:val="en-US" w:eastAsia="zh-CN"/>
              </w:rPr>
              <w:t>2-</w:t>
            </w:r>
            <w:r>
              <w:rPr>
                <w:color w:val="auto"/>
                <w:lang w:val="en-US" w:eastAsia="zh-CN"/>
              </w:rPr>
              <w:t>、HCO</w:t>
            </w:r>
            <w:r>
              <w:rPr>
                <w:color w:val="auto"/>
                <w:vertAlign w:val="subscript"/>
                <w:lang w:val="en-US" w:eastAsia="zh-CN"/>
              </w:rPr>
              <w:t>3</w:t>
            </w:r>
            <w:r>
              <w:rPr>
                <w:color w:val="auto"/>
                <w:vertAlign w:val="superscript"/>
                <w:lang w:val="en-US" w:eastAsia="zh-CN"/>
              </w:rPr>
              <w:t>-</w:t>
            </w:r>
            <w:r>
              <w:rPr>
                <w:color w:val="auto"/>
                <w:lang w:val="en-US" w:eastAsia="zh-CN"/>
              </w:rPr>
              <w:t>、Cl</w:t>
            </w:r>
            <w:r>
              <w:rPr>
                <w:color w:val="auto"/>
                <w:vertAlign w:val="superscript"/>
                <w:lang w:val="en-US" w:eastAsia="zh-CN"/>
              </w:rPr>
              <w:t>-</w:t>
            </w:r>
            <w:r>
              <w:rPr>
                <w:color w:val="auto"/>
                <w:lang w:val="en-US" w:eastAsia="zh-CN"/>
              </w:rPr>
              <w:t>、SO</w:t>
            </w:r>
            <w:r>
              <w:rPr>
                <w:color w:val="auto"/>
                <w:vertAlign w:val="subscript"/>
                <w:lang w:val="en-US" w:eastAsia="zh-CN"/>
              </w:rPr>
              <w:t>4</w:t>
            </w:r>
            <w:r>
              <w:rPr>
                <w:color w:val="auto"/>
                <w:vertAlign w:val="superscript"/>
                <w:lang w:val="en-US" w:eastAsia="zh-CN"/>
              </w:rPr>
              <w:t>2-</w:t>
            </w:r>
            <w:r>
              <w:rPr>
                <w:color w:val="auto"/>
                <w:lang w:val="en-US" w:eastAsia="zh-CN"/>
              </w:rPr>
              <w:t>、水位、</w:t>
            </w:r>
            <w:r>
              <w:rPr>
                <w:rFonts w:hint="default"/>
                <w:color w:val="auto"/>
                <w:lang w:val="en-US" w:eastAsia="zh-CN"/>
              </w:rPr>
              <w:t>pH、总硬度、溶解性总固体、耗氧量、氨氮、硫酸盐、氯化物、亚硝酸盐、硝酸盐、氰化物、氟化物、挥发性酚类、阴离子表面活性剂、铁、锰、铜、锌、铝、汞、镉、铬（六价）、铅、砷、总大肠杆菌群、菌落总数</w:t>
            </w:r>
          </w:p>
        </w:tc>
        <w:tc>
          <w:tcPr>
            <w:tcW w:w="1145" w:type="pct"/>
            <w:vAlign w:val="center"/>
          </w:tcPr>
          <w:p w14:paraId="534FDB7A">
            <w:pPr>
              <w:pStyle w:val="26"/>
              <w:bidi w:val="0"/>
              <w:rPr>
                <w:rFonts w:hint="default"/>
                <w:color w:val="auto"/>
                <w:lang w:val="en-US" w:eastAsia="zh-CN"/>
              </w:rPr>
            </w:pPr>
            <w:r>
              <w:rPr>
                <w:rFonts w:hint="eastAsia"/>
                <w:color w:val="auto"/>
                <w:lang w:val="en-US" w:eastAsia="zh-CN"/>
              </w:rPr>
              <w:t>铬、铜</w:t>
            </w:r>
          </w:p>
        </w:tc>
        <w:tc>
          <w:tcPr>
            <w:tcW w:w="1345" w:type="pct"/>
            <w:vAlign w:val="center"/>
          </w:tcPr>
          <w:p w14:paraId="0F9F3D2F">
            <w:pPr>
              <w:pStyle w:val="26"/>
              <w:bidi w:val="0"/>
              <w:rPr>
                <w:color w:val="auto"/>
                <w:lang w:val="en-US" w:eastAsia="zh-CN"/>
              </w:rPr>
            </w:pPr>
            <w:r>
              <w:rPr>
                <w:color w:val="auto"/>
                <w:lang w:val="en-US" w:eastAsia="zh-CN"/>
              </w:rPr>
              <w:t>/</w:t>
            </w:r>
          </w:p>
        </w:tc>
      </w:tr>
      <w:tr w14:paraId="64A5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vAlign w:val="center"/>
          </w:tcPr>
          <w:p w14:paraId="73A7D82C">
            <w:pPr>
              <w:pStyle w:val="26"/>
              <w:bidi w:val="0"/>
              <w:rPr>
                <w:color w:val="auto"/>
                <w:lang w:val="en-US" w:eastAsia="zh-CN"/>
              </w:rPr>
            </w:pPr>
            <w:r>
              <w:rPr>
                <w:rFonts w:hint="eastAsia"/>
                <w:color w:val="auto"/>
                <w:lang w:val="en-US" w:eastAsia="zh-CN"/>
              </w:rPr>
              <w:t>土壤</w:t>
            </w:r>
          </w:p>
          <w:p w14:paraId="77EC2798">
            <w:pPr>
              <w:pStyle w:val="26"/>
              <w:bidi w:val="0"/>
              <w:rPr>
                <w:color w:val="auto"/>
                <w:lang w:val="en-US" w:eastAsia="zh-CN"/>
              </w:rPr>
            </w:pPr>
            <w:r>
              <w:rPr>
                <w:rFonts w:hint="eastAsia"/>
                <w:color w:val="auto"/>
                <w:lang w:val="en-US" w:eastAsia="zh-CN"/>
              </w:rPr>
              <w:t>环境</w:t>
            </w:r>
          </w:p>
        </w:tc>
        <w:tc>
          <w:tcPr>
            <w:tcW w:w="2016" w:type="pct"/>
            <w:vAlign w:val="center"/>
          </w:tcPr>
          <w:p w14:paraId="27770C0E">
            <w:pPr>
              <w:pStyle w:val="26"/>
              <w:bidi w:val="0"/>
              <w:rPr>
                <w:color w:val="auto"/>
                <w:lang w:val="en-US" w:eastAsia="zh-CN"/>
              </w:rPr>
            </w:pPr>
            <w:r>
              <w:rPr>
                <w:rFonts w:hint="eastAsia"/>
                <w:color w:val="auto"/>
                <w:lang w:val="en-US" w:eastAsia="zh-CN"/>
              </w:rPr>
              <w:t>GB36600基本项目45项（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w:t>
            </w:r>
            <w:r>
              <w:rPr>
                <w:color w:val="auto"/>
                <w:lang w:val="en-US" w:eastAsia="zh-CN"/>
              </w:rPr>
              <w:t>[b]</w:t>
            </w:r>
            <w:r>
              <w:rPr>
                <w:rFonts w:hint="eastAsia"/>
                <w:color w:val="auto"/>
                <w:lang w:val="en-US" w:eastAsia="zh-CN"/>
              </w:rPr>
              <w:t>荧蒽、苯并</w:t>
            </w:r>
            <w:r>
              <w:rPr>
                <w:color w:val="auto"/>
                <w:lang w:val="en-US" w:eastAsia="zh-CN"/>
              </w:rPr>
              <w:t>[k]</w:t>
            </w:r>
            <w:r>
              <w:rPr>
                <w:rFonts w:hint="eastAsia"/>
                <w:color w:val="auto"/>
                <w:lang w:val="en-US" w:eastAsia="zh-CN"/>
              </w:rPr>
              <w:t>荧蒽、䓛、二苯并</w:t>
            </w:r>
            <w:r>
              <w:rPr>
                <w:color w:val="auto"/>
                <w:lang w:val="en-US" w:eastAsia="zh-CN"/>
              </w:rPr>
              <w:t>[a</w:t>
            </w:r>
            <w:r>
              <w:rPr>
                <w:rFonts w:hint="eastAsia"/>
                <w:color w:val="auto"/>
                <w:lang w:val="en-US" w:eastAsia="zh-CN"/>
              </w:rPr>
              <w:t>，</w:t>
            </w:r>
            <w:r>
              <w:rPr>
                <w:color w:val="auto"/>
                <w:lang w:val="en-US" w:eastAsia="zh-CN"/>
              </w:rPr>
              <w:t>h]</w:t>
            </w:r>
            <w:r>
              <w:rPr>
                <w:rFonts w:hint="eastAsia"/>
                <w:color w:val="auto"/>
                <w:lang w:val="en-US" w:eastAsia="zh-CN"/>
              </w:rPr>
              <w:t>蒽、茚并</w:t>
            </w:r>
            <w:r>
              <w:rPr>
                <w:color w:val="auto"/>
                <w:lang w:val="en-US" w:eastAsia="zh-CN"/>
              </w:rPr>
              <w:t>[1,2,3-cd]</w:t>
            </w:r>
            <w:r>
              <w:rPr>
                <w:rFonts w:hint="eastAsia"/>
                <w:color w:val="auto"/>
                <w:lang w:val="en-US" w:eastAsia="zh-CN"/>
              </w:rPr>
              <w:t>芘、萘）。</w:t>
            </w:r>
          </w:p>
        </w:tc>
        <w:tc>
          <w:tcPr>
            <w:tcW w:w="1145" w:type="pct"/>
            <w:vAlign w:val="center"/>
          </w:tcPr>
          <w:p w14:paraId="1C0F05ED">
            <w:pPr>
              <w:pStyle w:val="26"/>
              <w:bidi w:val="0"/>
              <w:rPr>
                <w:color w:val="auto"/>
                <w:lang w:val="en-US" w:eastAsia="zh-CN"/>
              </w:rPr>
            </w:pPr>
            <w:r>
              <w:rPr>
                <w:rFonts w:hint="eastAsia"/>
                <w:lang w:val="en-US" w:eastAsia="zh-CN"/>
              </w:rPr>
              <w:t>铬、铜</w:t>
            </w:r>
          </w:p>
        </w:tc>
        <w:tc>
          <w:tcPr>
            <w:tcW w:w="1345" w:type="pct"/>
            <w:vAlign w:val="center"/>
          </w:tcPr>
          <w:p w14:paraId="0B93082F">
            <w:pPr>
              <w:pStyle w:val="26"/>
              <w:bidi w:val="0"/>
              <w:rPr>
                <w:color w:val="auto"/>
                <w:lang w:val="en-US" w:eastAsia="zh-CN"/>
              </w:rPr>
            </w:pPr>
            <w:r>
              <w:rPr>
                <w:color w:val="auto"/>
                <w:lang w:val="en-US" w:eastAsia="zh-CN"/>
              </w:rPr>
              <w:t>/</w:t>
            </w:r>
          </w:p>
        </w:tc>
      </w:tr>
    </w:tbl>
    <w:p w14:paraId="3CA74D23">
      <w:pPr>
        <w:pStyle w:val="4"/>
        <w:bidi w:val="0"/>
        <w:rPr>
          <w:color w:val="auto"/>
          <w:lang w:val="en-US" w:eastAsia="zh-CN"/>
        </w:rPr>
      </w:pPr>
      <w:bookmarkStart w:id="69" w:name="_Toc32509"/>
      <w:bookmarkStart w:id="70" w:name="_Toc5690"/>
      <w:r>
        <w:rPr>
          <w:rFonts w:hint="eastAsia"/>
          <w:color w:val="auto"/>
          <w:lang w:val="en-US" w:eastAsia="zh-CN"/>
        </w:rPr>
        <w:t>评价标准</w:t>
      </w:r>
      <w:bookmarkEnd w:id="69"/>
      <w:bookmarkEnd w:id="70"/>
    </w:p>
    <w:p w14:paraId="3C584A67">
      <w:pPr>
        <w:pStyle w:val="5"/>
        <w:bidi w:val="0"/>
        <w:rPr>
          <w:color w:val="auto"/>
          <w:lang w:val="en-US" w:eastAsia="zh-CN"/>
        </w:rPr>
      </w:pPr>
      <w:r>
        <w:rPr>
          <w:rFonts w:hint="eastAsia"/>
          <w:color w:val="auto"/>
          <w:lang w:val="en-US" w:eastAsia="zh-CN"/>
        </w:rPr>
        <w:t>环境质量标准</w:t>
      </w:r>
    </w:p>
    <w:p w14:paraId="662D3510">
      <w:pPr>
        <w:rPr>
          <w:rFonts w:ascii="Times New Roman" w:hAnsi="Times New Roman"/>
          <w:color w:val="auto"/>
          <w:szCs w:val="28"/>
        </w:rPr>
      </w:pPr>
      <w:r>
        <w:rPr>
          <w:rFonts w:ascii="Times New Roman" w:hAnsi="Times New Roman"/>
          <w:color w:val="auto"/>
        </w:rPr>
        <w:t>（1）大气环境质量标准</w:t>
      </w:r>
    </w:p>
    <w:p w14:paraId="4C54833D">
      <w:pPr>
        <w:rPr>
          <w:rFonts w:hint="eastAsia" w:ascii="Times New Roman" w:hAnsi="Times New Roman" w:eastAsia="仿宋_GB2312"/>
          <w:color w:val="auto"/>
          <w:lang w:eastAsia="zh-CN"/>
        </w:rPr>
      </w:pPr>
      <w:r>
        <w:rPr>
          <w:rFonts w:ascii="Times New Roman" w:hAnsi="Times New Roman"/>
          <w:color w:val="auto"/>
        </w:rPr>
        <w:t>项目所在区域SO</w:t>
      </w:r>
      <w:r>
        <w:rPr>
          <w:rFonts w:ascii="Times New Roman" w:hAnsi="Times New Roman"/>
          <w:color w:val="auto"/>
          <w:vertAlign w:val="subscript"/>
        </w:rPr>
        <w:t>2</w:t>
      </w:r>
      <w:r>
        <w:rPr>
          <w:rFonts w:ascii="Times New Roman" w:hAnsi="Times New Roman"/>
          <w:color w:val="auto"/>
        </w:rPr>
        <w:t>、NO</w:t>
      </w:r>
      <w:r>
        <w:rPr>
          <w:rFonts w:ascii="Times New Roman" w:hAnsi="Times New Roman"/>
          <w:color w:val="auto"/>
          <w:vertAlign w:val="subscript"/>
        </w:rPr>
        <w:t>2</w:t>
      </w:r>
      <w:r>
        <w:rPr>
          <w:rFonts w:ascii="Times New Roman" w:hAnsi="Times New Roman"/>
          <w:color w:val="auto"/>
        </w:rPr>
        <w:t>、NOx、</w:t>
      </w:r>
      <w:r>
        <w:rPr>
          <w:rFonts w:hint="eastAsia" w:ascii="Times New Roman" w:hAnsi="Times New Roman"/>
          <w:color w:val="auto"/>
          <w:lang w:eastAsia="zh-CN"/>
        </w:rPr>
        <w:t>PM</w:t>
      </w:r>
      <w:r>
        <w:rPr>
          <w:rFonts w:hint="eastAsia" w:ascii="Times New Roman" w:hAnsi="Times New Roman"/>
          <w:color w:val="auto"/>
          <w:vertAlign w:val="subscript"/>
          <w:lang w:eastAsia="zh-CN"/>
        </w:rPr>
        <w:t>2.5</w:t>
      </w:r>
      <w:r>
        <w:rPr>
          <w:rFonts w:ascii="Times New Roman" w:hAnsi="Times New Roman"/>
          <w:color w:val="auto"/>
        </w:rPr>
        <w:t>、PM</w:t>
      </w:r>
      <w:r>
        <w:rPr>
          <w:rFonts w:ascii="Times New Roman" w:hAnsi="Times New Roman"/>
          <w:color w:val="auto"/>
          <w:vertAlign w:val="subscript"/>
        </w:rPr>
        <w:t>10</w:t>
      </w:r>
      <w:r>
        <w:rPr>
          <w:rFonts w:ascii="Times New Roman" w:hAnsi="Times New Roman"/>
          <w:color w:val="auto"/>
        </w:rPr>
        <w:t>、CO、O</w:t>
      </w:r>
      <w:r>
        <w:rPr>
          <w:rFonts w:ascii="Times New Roman" w:hAnsi="Times New Roman"/>
          <w:color w:val="auto"/>
          <w:vertAlign w:val="subscript"/>
        </w:rPr>
        <w:t>3</w:t>
      </w:r>
      <w:r>
        <w:rPr>
          <w:rFonts w:hint="eastAsia"/>
          <w:color w:val="auto"/>
          <w:vertAlign w:val="baseline"/>
          <w:lang w:eastAsia="zh-CN"/>
        </w:rPr>
        <w:t>、TSP</w:t>
      </w:r>
      <w:r>
        <w:rPr>
          <w:rFonts w:ascii="Times New Roman" w:hAnsi="Times New Roman"/>
          <w:color w:val="auto"/>
        </w:rPr>
        <w:t>执行《环境空气质量标准》（GB3095-20</w:t>
      </w:r>
      <w:r>
        <w:rPr>
          <w:rFonts w:hint="eastAsia" w:ascii="Times New Roman" w:hAnsi="Times New Roman"/>
          <w:color w:val="auto"/>
          <w:lang w:val="en-US" w:eastAsia="zh-CN"/>
        </w:rPr>
        <w:t>26</w:t>
      </w:r>
      <w:r>
        <w:rPr>
          <w:rFonts w:ascii="Times New Roman" w:hAnsi="Times New Roman"/>
          <w:color w:val="auto"/>
        </w:rPr>
        <w:t>）</w:t>
      </w:r>
      <w:r>
        <w:rPr>
          <w:rFonts w:hint="default"/>
        </w:rPr>
        <w:t>过渡阶段浓度限值</w:t>
      </w:r>
      <w:r>
        <w:rPr>
          <w:rFonts w:ascii="Times New Roman" w:hAnsi="Times New Roman"/>
          <w:color w:val="auto"/>
        </w:rPr>
        <w:t>；</w:t>
      </w:r>
      <w:r>
        <w:rPr>
          <w:rFonts w:hint="eastAsia" w:ascii="Times New Roman" w:hAnsi="Times New Roman"/>
          <w:color w:val="auto"/>
        </w:rPr>
        <w:t>铬酸雾参考执行《环境空气质量标准》（GB3095-20</w:t>
      </w:r>
      <w:r>
        <w:rPr>
          <w:rFonts w:hint="eastAsia" w:ascii="Times New Roman" w:hAnsi="Times New Roman"/>
          <w:color w:val="auto"/>
          <w:lang w:val="en-US" w:eastAsia="zh-CN"/>
        </w:rPr>
        <w:t>26</w:t>
      </w:r>
      <w:r>
        <w:rPr>
          <w:rFonts w:hint="eastAsia" w:ascii="Times New Roman" w:hAnsi="Times New Roman"/>
          <w:color w:val="auto"/>
        </w:rPr>
        <w:t>）附录 A 中表 A.1</w:t>
      </w:r>
      <w:r>
        <w:rPr>
          <w:rFonts w:hint="eastAsia"/>
          <w:color w:val="auto"/>
          <w:lang w:val="en-US" w:eastAsia="zh-CN"/>
        </w:rPr>
        <w:t>六价铬</w:t>
      </w:r>
      <w:r>
        <w:rPr>
          <w:rFonts w:hint="eastAsia" w:ascii="Times New Roman" w:hAnsi="Times New Roman"/>
          <w:color w:val="auto"/>
        </w:rPr>
        <w:t>标准</w:t>
      </w:r>
      <w:r>
        <w:rPr>
          <w:rFonts w:hint="eastAsia"/>
          <w:color w:val="auto"/>
          <w:lang w:eastAsia="zh-CN"/>
        </w:rPr>
        <w:t>；</w:t>
      </w:r>
    </w:p>
    <w:p w14:paraId="2E28A3EF">
      <w:pPr>
        <w:rPr>
          <w:rFonts w:hint="eastAsia" w:ascii="Times New Roman" w:hAnsi="Times New Roman"/>
          <w:color w:val="auto"/>
        </w:rPr>
      </w:pPr>
      <w:r>
        <w:rPr>
          <w:rFonts w:hint="eastAsia" w:ascii="Times New Roman" w:hAnsi="Times New Roman"/>
          <w:color w:val="auto"/>
        </w:rPr>
        <w:t>硫酸雾、氯化氢、甲苯、二甲苯《环境影响评价技术导则 大气环境》（HJ2.2-2018）附录D；</w:t>
      </w:r>
    </w:p>
    <w:p w14:paraId="100090C9">
      <w:pPr>
        <w:rPr>
          <w:rFonts w:hint="eastAsia" w:ascii="Times New Roman" w:hAnsi="Times New Roman" w:eastAsia="仿宋_GB2312"/>
          <w:color w:val="auto"/>
          <w:lang w:val="en-US" w:eastAsia="zh-CN"/>
        </w:rPr>
      </w:pPr>
      <w:r>
        <w:rPr>
          <w:rFonts w:hint="eastAsia" w:ascii="Times New Roman" w:hAnsi="Times New Roman"/>
          <w:color w:val="auto"/>
        </w:rPr>
        <w:t>非甲烷总烃参考执行《大气污染物综合排放标准详解》中推荐的一次环境质量标准</w:t>
      </w:r>
      <w:r>
        <w:rPr>
          <w:rFonts w:hint="eastAsia" w:ascii="Times New Roman" w:hAnsi="Times New Roman"/>
          <w:color w:val="auto"/>
          <w:lang w:eastAsia="zh-CN"/>
        </w:rPr>
        <w:t>。</w:t>
      </w:r>
    </w:p>
    <w:p w14:paraId="432F7445">
      <w:pPr>
        <w:pStyle w:val="25"/>
        <w:bidi w:val="0"/>
        <w:rPr>
          <w:color w:val="auto"/>
          <w:lang w:val="en-US" w:eastAsia="zh-CN"/>
        </w:rPr>
      </w:pPr>
      <w:bookmarkStart w:id="71" w:name="_Ref18444485"/>
      <w:bookmarkEnd w:id="71"/>
      <w:bookmarkStart w:id="72" w:name="_Hlk159332034"/>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3</w:t>
      </w:r>
      <w:r>
        <w:rPr>
          <w:color w:val="auto"/>
          <w:lang w:val="en-US" w:eastAsia="zh-CN"/>
        </w:rPr>
        <w:fldChar w:fldCharType="end"/>
      </w:r>
      <w:bookmarkEnd w:id="72"/>
      <w:r>
        <w:rPr>
          <w:color w:val="auto"/>
          <w:lang w:val="en-US" w:eastAsia="zh-CN"/>
        </w:rPr>
        <w:t>大气环境质量标准</w:t>
      </w:r>
    </w:p>
    <w:tbl>
      <w:tblPr>
        <w:tblStyle w:val="21"/>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0"/>
        <w:gridCol w:w="1496"/>
        <w:gridCol w:w="1312"/>
        <w:gridCol w:w="1415"/>
        <w:gridCol w:w="1469"/>
        <w:gridCol w:w="1779"/>
      </w:tblGrid>
      <w:tr w14:paraId="59C7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85" w:type="pct"/>
            <w:tcMar>
              <w:left w:w="0" w:type="dxa"/>
              <w:right w:w="0" w:type="dxa"/>
            </w:tcMar>
            <w:vAlign w:val="center"/>
          </w:tcPr>
          <w:p w14:paraId="084921F2">
            <w:pPr>
              <w:pStyle w:val="36"/>
              <w:bidi w:val="0"/>
              <w:rPr>
                <w:color w:val="auto"/>
                <w:lang w:val="en-US" w:eastAsia="zh-CN"/>
              </w:rPr>
            </w:pPr>
            <w:r>
              <w:rPr>
                <w:color w:val="auto"/>
                <w:lang w:val="en-US" w:eastAsia="zh-CN"/>
              </w:rPr>
              <w:t>评价因子</w:t>
            </w:r>
          </w:p>
        </w:tc>
        <w:tc>
          <w:tcPr>
            <w:tcW w:w="884" w:type="pct"/>
            <w:tcMar>
              <w:left w:w="0" w:type="dxa"/>
              <w:right w:w="0" w:type="dxa"/>
            </w:tcMar>
            <w:vAlign w:val="center"/>
          </w:tcPr>
          <w:p w14:paraId="7F45E691">
            <w:pPr>
              <w:pStyle w:val="36"/>
              <w:bidi w:val="0"/>
              <w:rPr>
                <w:color w:val="auto"/>
                <w:lang w:val="en-US" w:eastAsia="zh-CN"/>
              </w:rPr>
            </w:pPr>
            <w:r>
              <w:rPr>
                <w:color w:val="auto"/>
                <w:lang w:val="en-US" w:eastAsia="zh-CN"/>
              </w:rPr>
              <w:t>平均时段</w:t>
            </w:r>
          </w:p>
        </w:tc>
        <w:tc>
          <w:tcPr>
            <w:tcW w:w="775" w:type="pct"/>
            <w:tcMar>
              <w:left w:w="0" w:type="dxa"/>
              <w:right w:w="0" w:type="dxa"/>
            </w:tcMar>
            <w:vAlign w:val="center"/>
          </w:tcPr>
          <w:p w14:paraId="6D33A6D8">
            <w:pPr>
              <w:pStyle w:val="36"/>
              <w:bidi w:val="0"/>
              <w:rPr>
                <w:color w:val="auto"/>
                <w:lang w:val="en-US" w:eastAsia="zh-CN"/>
              </w:rPr>
            </w:pPr>
            <w:r>
              <w:rPr>
                <w:color w:val="auto"/>
                <w:lang w:val="en-US" w:eastAsia="zh-CN"/>
              </w:rPr>
              <w:t>标准值（mg/</w:t>
            </w:r>
            <w:r>
              <w:rPr>
                <w:rFonts w:hint="eastAsia"/>
                <w:color w:val="auto"/>
                <w:lang w:val="en-US" w:eastAsia="zh-CN"/>
              </w:rPr>
              <w:t>m</w:t>
            </w:r>
            <w:r>
              <w:rPr>
                <w:rFonts w:hint="eastAsia"/>
                <w:color w:val="auto"/>
                <w:vertAlign w:val="superscript"/>
                <w:lang w:val="en-US" w:eastAsia="zh-CN"/>
              </w:rPr>
              <w:t>3</w:t>
            </w:r>
            <w:r>
              <w:rPr>
                <w:color w:val="auto"/>
                <w:lang w:val="en-US" w:eastAsia="zh-CN"/>
              </w:rPr>
              <w:t>）</w:t>
            </w:r>
          </w:p>
        </w:tc>
        <w:tc>
          <w:tcPr>
            <w:tcW w:w="836" w:type="pct"/>
            <w:tcMar>
              <w:left w:w="0" w:type="dxa"/>
              <w:right w:w="0" w:type="dxa"/>
            </w:tcMar>
            <w:vAlign w:val="center"/>
          </w:tcPr>
          <w:p w14:paraId="1B06A127">
            <w:pPr>
              <w:pStyle w:val="36"/>
              <w:bidi w:val="0"/>
              <w:rPr>
                <w:color w:val="auto"/>
                <w:lang w:val="en-US" w:eastAsia="zh-CN"/>
              </w:rPr>
            </w:pPr>
            <w:r>
              <w:rPr>
                <w:color w:val="auto"/>
                <w:lang w:val="en-US" w:eastAsia="zh-CN"/>
              </w:rPr>
              <w:t>标准来源</w:t>
            </w:r>
          </w:p>
        </w:tc>
        <w:tc>
          <w:tcPr>
            <w:tcW w:w="868" w:type="pct"/>
            <w:tcMar>
              <w:left w:w="0" w:type="dxa"/>
              <w:right w:w="0" w:type="dxa"/>
            </w:tcMar>
            <w:vAlign w:val="center"/>
          </w:tcPr>
          <w:p w14:paraId="283FBD12">
            <w:pPr>
              <w:pStyle w:val="36"/>
              <w:bidi w:val="0"/>
              <w:rPr>
                <w:color w:val="auto"/>
                <w:lang w:val="en-US" w:eastAsia="zh-CN"/>
              </w:rPr>
            </w:pPr>
            <w:r>
              <w:rPr>
                <w:color w:val="auto"/>
                <w:lang w:val="en-US" w:eastAsia="zh-CN"/>
              </w:rPr>
              <w:t>标准值（mg/</w:t>
            </w:r>
            <w:r>
              <w:rPr>
                <w:rFonts w:hint="eastAsia"/>
                <w:color w:val="auto"/>
                <w:lang w:val="en-US" w:eastAsia="zh-CN"/>
              </w:rPr>
              <w:t>m</w:t>
            </w:r>
            <w:r>
              <w:rPr>
                <w:rFonts w:hint="eastAsia"/>
                <w:color w:val="auto"/>
                <w:vertAlign w:val="superscript"/>
                <w:lang w:val="en-US" w:eastAsia="zh-CN"/>
              </w:rPr>
              <w:t>3</w:t>
            </w:r>
            <w:r>
              <w:rPr>
                <w:color w:val="auto"/>
                <w:lang w:val="en-US" w:eastAsia="zh-CN"/>
              </w:rPr>
              <w:t>）</w:t>
            </w:r>
          </w:p>
        </w:tc>
        <w:tc>
          <w:tcPr>
            <w:tcW w:w="1050" w:type="pct"/>
            <w:tcMar>
              <w:left w:w="0" w:type="dxa"/>
              <w:right w:w="0" w:type="dxa"/>
            </w:tcMar>
            <w:vAlign w:val="center"/>
          </w:tcPr>
          <w:p w14:paraId="150BEC89">
            <w:pPr>
              <w:pStyle w:val="36"/>
              <w:bidi w:val="0"/>
              <w:rPr>
                <w:color w:val="auto"/>
                <w:lang w:val="en-US" w:eastAsia="zh-CN"/>
              </w:rPr>
            </w:pPr>
            <w:r>
              <w:rPr>
                <w:color w:val="auto"/>
                <w:lang w:val="en-US" w:eastAsia="zh-CN"/>
              </w:rPr>
              <w:t>标准来源</w:t>
            </w:r>
          </w:p>
        </w:tc>
      </w:tr>
      <w:tr w14:paraId="5403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29DD3715">
            <w:pPr>
              <w:pStyle w:val="26"/>
              <w:bidi w:val="0"/>
              <w:rPr>
                <w:color w:val="auto"/>
                <w:lang w:val="en-US" w:eastAsia="zh-CN"/>
              </w:rPr>
            </w:pPr>
            <w:r>
              <w:rPr>
                <w:color w:val="auto"/>
                <w:lang w:val="en-US" w:eastAsia="zh-CN"/>
              </w:rPr>
              <w:t>SO</w:t>
            </w:r>
            <w:r>
              <w:rPr>
                <w:color w:val="auto"/>
                <w:vertAlign w:val="subscript"/>
                <w:lang w:val="en-US" w:eastAsia="zh-CN"/>
              </w:rPr>
              <w:t>2</w:t>
            </w:r>
          </w:p>
        </w:tc>
        <w:tc>
          <w:tcPr>
            <w:tcW w:w="884" w:type="pct"/>
            <w:tcMar>
              <w:left w:w="0" w:type="dxa"/>
              <w:right w:w="0" w:type="dxa"/>
            </w:tcMar>
            <w:vAlign w:val="center"/>
          </w:tcPr>
          <w:p w14:paraId="3CC4CAF7">
            <w:pPr>
              <w:pStyle w:val="26"/>
              <w:bidi w:val="0"/>
              <w:rPr>
                <w:color w:val="auto"/>
                <w:lang w:val="en-US" w:eastAsia="zh-CN"/>
              </w:rPr>
            </w:pPr>
            <w:r>
              <w:rPr>
                <w:color w:val="auto"/>
                <w:lang w:val="en-US" w:eastAsia="zh-CN"/>
              </w:rPr>
              <w:t>1小时平均</w:t>
            </w:r>
          </w:p>
        </w:tc>
        <w:tc>
          <w:tcPr>
            <w:tcW w:w="775" w:type="pct"/>
            <w:tcMar>
              <w:left w:w="0" w:type="dxa"/>
              <w:right w:w="0" w:type="dxa"/>
            </w:tcMar>
            <w:vAlign w:val="center"/>
          </w:tcPr>
          <w:p w14:paraId="4353836E">
            <w:pPr>
              <w:pStyle w:val="26"/>
              <w:bidi w:val="0"/>
              <w:rPr>
                <w:color w:val="auto"/>
                <w:lang w:val="en-US" w:eastAsia="zh-CN"/>
              </w:rPr>
            </w:pPr>
            <w:r>
              <w:rPr>
                <w:color w:val="auto"/>
                <w:lang w:val="en-US" w:eastAsia="zh-CN"/>
              </w:rPr>
              <w:t>0.50</w:t>
            </w:r>
          </w:p>
        </w:tc>
        <w:tc>
          <w:tcPr>
            <w:tcW w:w="836" w:type="pct"/>
            <w:vMerge w:val="restart"/>
            <w:tcMar>
              <w:left w:w="0" w:type="dxa"/>
              <w:right w:w="0" w:type="dxa"/>
            </w:tcMar>
            <w:vAlign w:val="center"/>
          </w:tcPr>
          <w:p w14:paraId="1057D401">
            <w:pPr>
              <w:pStyle w:val="26"/>
              <w:bidi w:val="0"/>
              <w:rPr>
                <w:color w:val="auto"/>
                <w:lang w:val="en-US" w:eastAsia="zh-CN"/>
              </w:rPr>
            </w:pPr>
            <w:r>
              <w:rPr>
                <w:color w:val="auto"/>
                <w:lang w:val="en-US" w:eastAsia="zh-CN"/>
              </w:rPr>
              <w:t>《环境空气质量标准》（GB3095-2012）二级标准</w:t>
            </w:r>
          </w:p>
        </w:tc>
        <w:tc>
          <w:tcPr>
            <w:tcW w:w="868" w:type="pct"/>
            <w:shd w:val="clear" w:color="auto" w:fill="auto"/>
            <w:tcMar>
              <w:left w:w="0" w:type="dxa"/>
              <w:right w:w="0" w:type="dxa"/>
            </w:tcMar>
            <w:vAlign w:val="center"/>
          </w:tcPr>
          <w:p w14:paraId="5E6EA45A">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0.50</w:t>
            </w:r>
          </w:p>
        </w:tc>
        <w:tc>
          <w:tcPr>
            <w:tcW w:w="1050" w:type="pct"/>
            <w:vMerge w:val="restart"/>
            <w:tcMar>
              <w:left w:w="0" w:type="dxa"/>
              <w:right w:w="0" w:type="dxa"/>
            </w:tcMar>
            <w:vAlign w:val="center"/>
          </w:tcPr>
          <w:p w14:paraId="15540500">
            <w:pPr>
              <w:pStyle w:val="26"/>
              <w:bidi w:val="0"/>
              <w:rPr>
                <w:color w:val="auto"/>
                <w:lang w:val="en-US" w:eastAsia="zh-CN"/>
              </w:rPr>
            </w:pPr>
            <w:r>
              <w:rPr>
                <w:rFonts w:hint="default"/>
              </w:rPr>
              <w:t>GB3095-2026表1“过渡阶段浓度限值”</w:t>
            </w:r>
          </w:p>
        </w:tc>
      </w:tr>
      <w:tr w14:paraId="4417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53E7068A">
            <w:pPr>
              <w:pStyle w:val="26"/>
              <w:bidi w:val="0"/>
              <w:rPr>
                <w:color w:val="auto"/>
                <w:lang w:val="en-US" w:eastAsia="zh-CN"/>
              </w:rPr>
            </w:pPr>
          </w:p>
        </w:tc>
        <w:tc>
          <w:tcPr>
            <w:tcW w:w="884" w:type="pct"/>
            <w:tcMar>
              <w:left w:w="0" w:type="dxa"/>
              <w:right w:w="0" w:type="dxa"/>
            </w:tcMar>
            <w:vAlign w:val="center"/>
          </w:tcPr>
          <w:p w14:paraId="654882E2">
            <w:pPr>
              <w:pStyle w:val="26"/>
              <w:bidi w:val="0"/>
              <w:rPr>
                <w:color w:val="auto"/>
                <w:lang w:val="en-US" w:eastAsia="zh-CN"/>
              </w:rPr>
            </w:pPr>
            <w:r>
              <w:rPr>
                <w:color w:val="auto"/>
                <w:lang w:val="en-US" w:eastAsia="zh-CN"/>
              </w:rPr>
              <w:t>日平均</w:t>
            </w:r>
          </w:p>
        </w:tc>
        <w:tc>
          <w:tcPr>
            <w:tcW w:w="775" w:type="pct"/>
            <w:tcMar>
              <w:left w:w="0" w:type="dxa"/>
              <w:right w:w="0" w:type="dxa"/>
            </w:tcMar>
            <w:vAlign w:val="center"/>
          </w:tcPr>
          <w:p w14:paraId="6F0F04C7">
            <w:pPr>
              <w:pStyle w:val="26"/>
              <w:bidi w:val="0"/>
              <w:rPr>
                <w:color w:val="auto"/>
                <w:lang w:val="en-US" w:eastAsia="zh-CN"/>
              </w:rPr>
            </w:pPr>
            <w:r>
              <w:rPr>
                <w:color w:val="auto"/>
                <w:lang w:val="en-US" w:eastAsia="zh-CN"/>
              </w:rPr>
              <w:t>0.15</w:t>
            </w:r>
          </w:p>
        </w:tc>
        <w:tc>
          <w:tcPr>
            <w:tcW w:w="836" w:type="pct"/>
            <w:vMerge w:val="continue"/>
            <w:tcMar>
              <w:left w:w="0" w:type="dxa"/>
              <w:right w:w="0" w:type="dxa"/>
            </w:tcMar>
            <w:vAlign w:val="center"/>
          </w:tcPr>
          <w:p w14:paraId="4E276054">
            <w:pPr>
              <w:pStyle w:val="26"/>
              <w:bidi w:val="0"/>
              <w:rPr>
                <w:color w:val="auto"/>
                <w:lang w:val="en-US" w:eastAsia="zh-CN"/>
              </w:rPr>
            </w:pPr>
          </w:p>
        </w:tc>
        <w:tc>
          <w:tcPr>
            <w:tcW w:w="868" w:type="pct"/>
            <w:shd w:val="clear" w:color="auto" w:fill="auto"/>
            <w:tcMar>
              <w:left w:w="0" w:type="dxa"/>
              <w:right w:w="0" w:type="dxa"/>
            </w:tcMar>
            <w:vAlign w:val="center"/>
          </w:tcPr>
          <w:p w14:paraId="3970EED8">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0.15</w:t>
            </w:r>
          </w:p>
        </w:tc>
        <w:tc>
          <w:tcPr>
            <w:tcW w:w="1050" w:type="pct"/>
            <w:vMerge w:val="continue"/>
            <w:tcMar>
              <w:left w:w="0" w:type="dxa"/>
              <w:right w:w="0" w:type="dxa"/>
            </w:tcMar>
            <w:vAlign w:val="center"/>
          </w:tcPr>
          <w:p w14:paraId="5105A397">
            <w:pPr>
              <w:pStyle w:val="26"/>
              <w:bidi w:val="0"/>
              <w:rPr>
                <w:color w:val="auto"/>
                <w:lang w:val="en-US" w:eastAsia="zh-CN"/>
              </w:rPr>
            </w:pPr>
          </w:p>
        </w:tc>
      </w:tr>
      <w:tr w14:paraId="1959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0C07A592">
            <w:pPr>
              <w:pStyle w:val="26"/>
              <w:bidi w:val="0"/>
              <w:rPr>
                <w:color w:val="auto"/>
                <w:lang w:val="en-US" w:eastAsia="zh-CN"/>
              </w:rPr>
            </w:pPr>
          </w:p>
        </w:tc>
        <w:tc>
          <w:tcPr>
            <w:tcW w:w="884" w:type="pct"/>
            <w:tcMar>
              <w:left w:w="0" w:type="dxa"/>
              <w:right w:w="0" w:type="dxa"/>
            </w:tcMar>
            <w:vAlign w:val="center"/>
          </w:tcPr>
          <w:p w14:paraId="4A72AE72">
            <w:pPr>
              <w:pStyle w:val="26"/>
              <w:bidi w:val="0"/>
              <w:rPr>
                <w:color w:val="auto"/>
                <w:lang w:val="en-US" w:eastAsia="zh-CN"/>
              </w:rPr>
            </w:pPr>
            <w:r>
              <w:rPr>
                <w:color w:val="auto"/>
                <w:lang w:val="en-US" w:eastAsia="zh-CN"/>
              </w:rPr>
              <w:t>年平均</w:t>
            </w:r>
          </w:p>
        </w:tc>
        <w:tc>
          <w:tcPr>
            <w:tcW w:w="775" w:type="pct"/>
            <w:tcMar>
              <w:left w:w="0" w:type="dxa"/>
              <w:right w:w="0" w:type="dxa"/>
            </w:tcMar>
            <w:vAlign w:val="center"/>
          </w:tcPr>
          <w:p w14:paraId="66E41152">
            <w:pPr>
              <w:pStyle w:val="26"/>
              <w:bidi w:val="0"/>
              <w:rPr>
                <w:color w:val="auto"/>
                <w:lang w:val="en-US" w:eastAsia="zh-CN"/>
              </w:rPr>
            </w:pPr>
            <w:r>
              <w:rPr>
                <w:color w:val="auto"/>
                <w:lang w:val="en-US" w:eastAsia="zh-CN"/>
              </w:rPr>
              <w:t>0.06</w:t>
            </w:r>
          </w:p>
        </w:tc>
        <w:tc>
          <w:tcPr>
            <w:tcW w:w="836" w:type="pct"/>
            <w:vMerge w:val="continue"/>
            <w:tcMar>
              <w:left w:w="0" w:type="dxa"/>
              <w:right w:w="0" w:type="dxa"/>
            </w:tcMar>
            <w:vAlign w:val="center"/>
          </w:tcPr>
          <w:p w14:paraId="60B50F9C">
            <w:pPr>
              <w:pStyle w:val="26"/>
              <w:bidi w:val="0"/>
              <w:rPr>
                <w:color w:val="auto"/>
                <w:lang w:val="en-US" w:eastAsia="zh-CN"/>
              </w:rPr>
            </w:pPr>
          </w:p>
        </w:tc>
        <w:tc>
          <w:tcPr>
            <w:tcW w:w="868" w:type="pct"/>
            <w:shd w:val="clear" w:color="auto" w:fill="auto"/>
            <w:tcMar>
              <w:left w:w="0" w:type="dxa"/>
              <w:right w:w="0" w:type="dxa"/>
            </w:tcMar>
            <w:vAlign w:val="center"/>
          </w:tcPr>
          <w:p w14:paraId="474EDFA1">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0.06</w:t>
            </w:r>
          </w:p>
        </w:tc>
        <w:tc>
          <w:tcPr>
            <w:tcW w:w="1050" w:type="pct"/>
            <w:vMerge w:val="continue"/>
            <w:tcMar>
              <w:left w:w="0" w:type="dxa"/>
              <w:right w:w="0" w:type="dxa"/>
            </w:tcMar>
            <w:vAlign w:val="center"/>
          </w:tcPr>
          <w:p w14:paraId="45EE0CFE">
            <w:pPr>
              <w:pStyle w:val="26"/>
              <w:bidi w:val="0"/>
              <w:rPr>
                <w:color w:val="auto"/>
                <w:lang w:val="en-US" w:eastAsia="zh-CN"/>
              </w:rPr>
            </w:pPr>
          </w:p>
        </w:tc>
      </w:tr>
      <w:tr w14:paraId="482B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352B8947">
            <w:pPr>
              <w:pStyle w:val="26"/>
              <w:bidi w:val="0"/>
              <w:rPr>
                <w:color w:val="auto"/>
                <w:lang w:val="en-US" w:eastAsia="zh-CN"/>
              </w:rPr>
            </w:pPr>
            <w:r>
              <w:rPr>
                <w:color w:val="auto"/>
                <w:lang w:val="en-US" w:eastAsia="zh-CN"/>
              </w:rPr>
              <w:t>NO</w:t>
            </w:r>
            <w:r>
              <w:rPr>
                <w:color w:val="auto"/>
                <w:vertAlign w:val="subscript"/>
                <w:lang w:val="en-US" w:eastAsia="zh-CN"/>
              </w:rPr>
              <w:t>2</w:t>
            </w:r>
          </w:p>
        </w:tc>
        <w:tc>
          <w:tcPr>
            <w:tcW w:w="884" w:type="pct"/>
            <w:tcMar>
              <w:left w:w="0" w:type="dxa"/>
              <w:right w:w="0" w:type="dxa"/>
            </w:tcMar>
            <w:vAlign w:val="center"/>
          </w:tcPr>
          <w:p w14:paraId="32F9B1AB">
            <w:pPr>
              <w:pStyle w:val="26"/>
              <w:bidi w:val="0"/>
              <w:rPr>
                <w:color w:val="auto"/>
                <w:lang w:val="en-US" w:eastAsia="zh-CN"/>
              </w:rPr>
            </w:pPr>
            <w:r>
              <w:rPr>
                <w:color w:val="auto"/>
                <w:lang w:val="en-US" w:eastAsia="zh-CN"/>
              </w:rPr>
              <w:t>1小时平均</w:t>
            </w:r>
          </w:p>
        </w:tc>
        <w:tc>
          <w:tcPr>
            <w:tcW w:w="775" w:type="pct"/>
            <w:tcMar>
              <w:left w:w="0" w:type="dxa"/>
              <w:right w:w="0" w:type="dxa"/>
            </w:tcMar>
            <w:vAlign w:val="center"/>
          </w:tcPr>
          <w:p w14:paraId="4D55617C">
            <w:pPr>
              <w:pStyle w:val="26"/>
              <w:bidi w:val="0"/>
              <w:rPr>
                <w:color w:val="auto"/>
                <w:lang w:val="en-US" w:eastAsia="zh-CN"/>
              </w:rPr>
            </w:pPr>
            <w:r>
              <w:rPr>
                <w:color w:val="auto"/>
                <w:lang w:val="en-US" w:eastAsia="zh-CN"/>
              </w:rPr>
              <w:t>0.20</w:t>
            </w:r>
          </w:p>
        </w:tc>
        <w:tc>
          <w:tcPr>
            <w:tcW w:w="836" w:type="pct"/>
            <w:vMerge w:val="continue"/>
            <w:tcMar>
              <w:left w:w="0" w:type="dxa"/>
              <w:right w:w="0" w:type="dxa"/>
            </w:tcMar>
            <w:vAlign w:val="center"/>
          </w:tcPr>
          <w:p w14:paraId="7FE19975">
            <w:pPr>
              <w:pStyle w:val="26"/>
              <w:bidi w:val="0"/>
              <w:rPr>
                <w:color w:val="auto"/>
                <w:lang w:val="en-US" w:eastAsia="zh-CN"/>
              </w:rPr>
            </w:pPr>
          </w:p>
        </w:tc>
        <w:tc>
          <w:tcPr>
            <w:tcW w:w="868" w:type="pct"/>
            <w:shd w:val="clear" w:color="auto" w:fill="auto"/>
            <w:tcMar>
              <w:left w:w="0" w:type="dxa"/>
              <w:right w:w="0" w:type="dxa"/>
            </w:tcMar>
            <w:vAlign w:val="center"/>
          </w:tcPr>
          <w:p w14:paraId="556AD6B9">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0.20</w:t>
            </w:r>
          </w:p>
        </w:tc>
        <w:tc>
          <w:tcPr>
            <w:tcW w:w="1050" w:type="pct"/>
            <w:vMerge w:val="continue"/>
            <w:tcMar>
              <w:left w:w="0" w:type="dxa"/>
              <w:right w:w="0" w:type="dxa"/>
            </w:tcMar>
            <w:vAlign w:val="center"/>
          </w:tcPr>
          <w:p w14:paraId="32E93A28">
            <w:pPr>
              <w:pStyle w:val="26"/>
              <w:bidi w:val="0"/>
              <w:rPr>
                <w:color w:val="auto"/>
                <w:lang w:val="en-US" w:eastAsia="zh-CN"/>
              </w:rPr>
            </w:pPr>
          </w:p>
        </w:tc>
      </w:tr>
      <w:tr w14:paraId="2070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3C0610E9">
            <w:pPr>
              <w:pStyle w:val="26"/>
              <w:bidi w:val="0"/>
              <w:rPr>
                <w:color w:val="auto"/>
                <w:lang w:val="en-US" w:eastAsia="zh-CN"/>
              </w:rPr>
            </w:pPr>
          </w:p>
        </w:tc>
        <w:tc>
          <w:tcPr>
            <w:tcW w:w="884" w:type="pct"/>
            <w:tcMar>
              <w:left w:w="0" w:type="dxa"/>
              <w:right w:w="0" w:type="dxa"/>
            </w:tcMar>
            <w:vAlign w:val="center"/>
          </w:tcPr>
          <w:p w14:paraId="6628F618">
            <w:pPr>
              <w:pStyle w:val="26"/>
              <w:bidi w:val="0"/>
              <w:rPr>
                <w:color w:val="auto"/>
                <w:lang w:val="en-US" w:eastAsia="zh-CN"/>
              </w:rPr>
            </w:pPr>
            <w:r>
              <w:rPr>
                <w:color w:val="auto"/>
                <w:lang w:val="en-US" w:eastAsia="zh-CN"/>
              </w:rPr>
              <w:t>日平均</w:t>
            </w:r>
          </w:p>
        </w:tc>
        <w:tc>
          <w:tcPr>
            <w:tcW w:w="775" w:type="pct"/>
            <w:tcMar>
              <w:left w:w="0" w:type="dxa"/>
              <w:right w:w="0" w:type="dxa"/>
            </w:tcMar>
            <w:vAlign w:val="center"/>
          </w:tcPr>
          <w:p w14:paraId="7E9F5E11">
            <w:pPr>
              <w:pStyle w:val="26"/>
              <w:bidi w:val="0"/>
              <w:rPr>
                <w:color w:val="auto"/>
                <w:lang w:val="en-US" w:eastAsia="zh-CN"/>
              </w:rPr>
            </w:pPr>
            <w:r>
              <w:rPr>
                <w:color w:val="auto"/>
                <w:lang w:val="en-US" w:eastAsia="zh-CN"/>
              </w:rPr>
              <w:t>0.08</w:t>
            </w:r>
          </w:p>
        </w:tc>
        <w:tc>
          <w:tcPr>
            <w:tcW w:w="836" w:type="pct"/>
            <w:vMerge w:val="continue"/>
            <w:tcMar>
              <w:left w:w="0" w:type="dxa"/>
              <w:right w:w="0" w:type="dxa"/>
            </w:tcMar>
            <w:vAlign w:val="center"/>
          </w:tcPr>
          <w:p w14:paraId="21EC79A9">
            <w:pPr>
              <w:pStyle w:val="26"/>
              <w:bidi w:val="0"/>
              <w:rPr>
                <w:color w:val="auto"/>
                <w:lang w:val="en-US" w:eastAsia="zh-CN"/>
              </w:rPr>
            </w:pPr>
          </w:p>
        </w:tc>
        <w:tc>
          <w:tcPr>
            <w:tcW w:w="868" w:type="pct"/>
            <w:shd w:val="clear" w:color="auto" w:fill="auto"/>
            <w:tcMar>
              <w:left w:w="0" w:type="dxa"/>
              <w:right w:w="0" w:type="dxa"/>
            </w:tcMar>
            <w:vAlign w:val="center"/>
          </w:tcPr>
          <w:p w14:paraId="1BE9C705">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0.08</w:t>
            </w:r>
          </w:p>
        </w:tc>
        <w:tc>
          <w:tcPr>
            <w:tcW w:w="1050" w:type="pct"/>
            <w:vMerge w:val="continue"/>
            <w:tcMar>
              <w:left w:w="0" w:type="dxa"/>
              <w:right w:w="0" w:type="dxa"/>
            </w:tcMar>
            <w:vAlign w:val="center"/>
          </w:tcPr>
          <w:p w14:paraId="78E98859">
            <w:pPr>
              <w:pStyle w:val="26"/>
              <w:bidi w:val="0"/>
              <w:rPr>
                <w:color w:val="auto"/>
                <w:lang w:val="en-US" w:eastAsia="zh-CN"/>
              </w:rPr>
            </w:pPr>
          </w:p>
        </w:tc>
      </w:tr>
      <w:tr w14:paraId="5312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0F20E274">
            <w:pPr>
              <w:pStyle w:val="26"/>
              <w:bidi w:val="0"/>
              <w:rPr>
                <w:color w:val="auto"/>
                <w:lang w:val="en-US" w:eastAsia="zh-CN"/>
              </w:rPr>
            </w:pPr>
          </w:p>
        </w:tc>
        <w:tc>
          <w:tcPr>
            <w:tcW w:w="884" w:type="pct"/>
            <w:tcMar>
              <w:left w:w="0" w:type="dxa"/>
              <w:right w:w="0" w:type="dxa"/>
            </w:tcMar>
            <w:vAlign w:val="center"/>
          </w:tcPr>
          <w:p w14:paraId="6277D2E6">
            <w:pPr>
              <w:pStyle w:val="26"/>
              <w:bidi w:val="0"/>
              <w:rPr>
                <w:color w:val="auto"/>
                <w:lang w:val="en-US" w:eastAsia="zh-CN"/>
              </w:rPr>
            </w:pPr>
            <w:r>
              <w:rPr>
                <w:color w:val="auto"/>
                <w:lang w:val="en-US" w:eastAsia="zh-CN"/>
              </w:rPr>
              <w:t>年平均</w:t>
            </w:r>
          </w:p>
        </w:tc>
        <w:tc>
          <w:tcPr>
            <w:tcW w:w="775" w:type="pct"/>
            <w:tcMar>
              <w:left w:w="0" w:type="dxa"/>
              <w:right w:w="0" w:type="dxa"/>
            </w:tcMar>
            <w:vAlign w:val="center"/>
          </w:tcPr>
          <w:p w14:paraId="7520E518">
            <w:pPr>
              <w:pStyle w:val="26"/>
              <w:bidi w:val="0"/>
              <w:rPr>
                <w:color w:val="auto"/>
                <w:lang w:val="en-US" w:eastAsia="zh-CN"/>
              </w:rPr>
            </w:pPr>
            <w:r>
              <w:rPr>
                <w:color w:val="auto"/>
                <w:lang w:val="en-US" w:eastAsia="zh-CN"/>
              </w:rPr>
              <w:t>0.04</w:t>
            </w:r>
          </w:p>
        </w:tc>
        <w:tc>
          <w:tcPr>
            <w:tcW w:w="836" w:type="pct"/>
            <w:vMerge w:val="continue"/>
            <w:tcMar>
              <w:left w:w="0" w:type="dxa"/>
              <w:right w:w="0" w:type="dxa"/>
            </w:tcMar>
            <w:vAlign w:val="center"/>
          </w:tcPr>
          <w:p w14:paraId="7B2993F0">
            <w:pPr>
              <w:pStyle w:val="26"/>
              <w:bidi w:val="0"/>
              <w:rPr>
                <w:color w:val="auto"/>
                <w:lang w:val="en-US" w:eastAsia="zh-CN"/>
              </w:rPr>
            </w:pPr>
          </w:p>
        </w:tc>
        <w:tc>
          <w:tcPr>
            <w:tcW w:w="868" w:type="pct"/>
            <w:shd w:val="clear" w:color="auto" w:fill="auto"/>
            <w:tcMar>
              <w:left w:w="0" w:type="dxa"/>
              <w:right w:w="0" w:type="dxa"/>
            </w:tcMar>
            <w:vAlign w:val="center"/>
          </w:tcPr>
          <w:p w14:paraId="775CE34C">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0.04</w:t>
            </w:r>
          </w:p>
        </w:tc>
        <w:tc>
          <w:tcPr>
            <w:tcW w:w="1050" w:type="pct"/>
            <w:vMerge w:val="continue"/>
            <w:tcMar>
              <w:left w:w="0" w:type="dxa"/>
              <w:right w:w="0" w:type="dxa"/>
            </w:tcMar>
            <w:vAlign w:val="center"/>
          </w:tcPr>
          <w:p w14:paraId="2B98C756">
            <w:pPr>
              <w:pStyle w:val="26"/>
              <w:bidi w:val="0"/>
              <w:rPr>
                <w:color w:val="auto"/>
                <w:lang w:val="en-US" w:eastAsia="zh-CN"/>
              </w:rPr>
            </w:pPr>
          </w:p>
        </w:tc>
      </w:tr>
      <w:tr w14:paraId="5F50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339CA5AA">
            <w:pPr>
              <w:pStyle w:val="26"/>
              <w:bidi w:val="0"/>
              <w:rPr>
                <w:rFonts w:hint="eastAsia"/>
                <w:color w:val="auto"/>
                <w:lang w:val="en-US" w:eastAsia="zh-CN"/>
              </w:rPr>
            </w:pPr>
            <w:r>
              <w:rPr>
                <w:rFonts w:hint="eastAsia"/>
                <w:color w:val="auto"/>
                <w:lang w:val="en-US" w:eastAsia="zh-CN"/>
              </w:rPr>
              <w:t>PM</w:t>
            </w:r>
            <w:r>
              <w:rPr>
                <w:rFonts w:hint="eastAsia"/>
                <w:color w:val="auto"/>
                <w:vertAlign w:val="subscript"/>
                <w:lang w:val="en-US" w:eastAsia="zh-CN"/>
              </w:rPr>
              <w:t>2.5</w:t>
            </w:r>
          </w:p>
        </w:tc>
        <w:tc>
          <w:tcPr>
            <w:tcW w:w="884" w:type="pct"/>
            <w:tcMar>
              <w:left w:w="0" w:type="dxa"/>
              <w:right w:w="0" w:type="dxa"/>
            </w:tcMar>
            <w:vAlign w:val="center"/>
          </w:tcPr>
          <w:p w14:paraId="489B0773">
            <w:pPr>
              <w:pStyle w:val="26"/>
              <w:bidi w:val="0"/>
              <w:rPr>
                <w:color w:val="auto"/>
                <w:lang w:val="en-US" w:eastAsia="zh-CN"/>
              </w:rPr>
            </w:pPr>
            <w:r>
              <w:rPr>
                <w:color w:val="auto"/>
                <w:lang w:val="en-US" w:eastAsia="zh-CN"/>
              </w:rPr>
              <w:t>日平均</w:t>
            </w:r>
          </w:p>
        </w:tc>
        <w:tc>
          <w:tcPr>
            <w:tcW w:w="775" w:type="pct"/>
            <w:tcMar>
              <w:left w:w="0" w:type="dxa"/>
              <w:right w:w="0" w:type="dxa"/>
            </w:tcMar>
            <w:vAlign w:val="center"/>
          </w:tcPr>
          <w:p w14:paraId="5E9F4997">
            <w:pPr>
              <w:pStyle w:val="26"/>
              <w:bidi w:val="0"/>
              <w:rPr>
                <w:color w:val="auto"/>
                <w:lang w:val="en-US" w:eastAsia="zh-CN"/>
              </w:rPr>
            </w:pPr>
            <w:r>
              <w:rPr>
                <w:color w:val="auto"/>
                <w:lang w:val="en-US" w:eastAsia="zh-CN"/>
              </w:rPr>
              <w:t>0.075</w:t>
            </w:r>
          </w:p>
        </w:tc>
        <w:tc>
          <w:tcPr>
            <w:tcW w:w="836" w:type="pct"/>
            <w:vMerge w:val="continue"/>
            <w:tcMar>
              <w:left w:w="0" w:type="dxa"/>
              <w:right w:w="0" w:type="dxa"/>
            </w:tcMar>
            <w:vAlign w:val="center"/>
          </w:tcPr>
          <w:p w14:paraId="757BCA30">
            <w:pPr>
              <w:pStyle w:val="26"/>
              <w:bidi w:val="0"/>
              <w:rPr>
                <w:color w:val="auto"/>
                <w:lang w:val="en-US" w:eastAsia="zh-CN"/>
              </w:rPr>
            </w:pPr>
          </w:p>
        </w:tc>
        <w:tc>
          <w:tcPr>
            <w:tcW w:w="868" w:type="pct"/>
            <w:tcMar>
              <w:left w:w="0" w:type="dxa"/>
              <w:right w:w="0" w:type="dxa"/>
            </w:tcMar>
            <w:vAlign w:val="center"/>
          </w:tcPr>
          <w:p w14:paraId="755C11EF">
            <w:pPr>
              <w:pStyle w:val="26"/>
              <w:bidi w:val="0"/>
              <w:rPr>
                <w:rFonts w:hint="default"/>
                <w:color w:val="auto"/>
                <w:lang w:val="en-US" w:eastAsia="zh-CN"/>
              </w:rPr>
            </w:pPr>
            <w:r>
              <w:rPr>
                <w:rFonts w:hint="eastAsia"/>
                <w:color w:val="auto"/>
                <w:lang w:val="en-US" w:eastAsia="zh-CN"/>
              </w:rPr>
              <w:t>0.06</w:t>
            </w:r>
          </w:p>
        </w:tc>
        <w:tc>
          <w:tcPr>
            <w:tcW w:w="1050" w:type="pct"/>
            <w:vMerge w:val="continue"/>
            <w:tcMar>
              <w:left w:w="0" w:type="dxa"/>
              <w:right w:w="0" w:type="dxa"/>
            </w:tcMar>
            <w:vAlign w:val="center"/>
          </w:tcPr>
          <w:p w14:paraId="0C2A4CFD">
            <w:pPr>
              <w:pStyle w:val="26"/>
              <w:bidi w:val="0"/>
              <w:rPr>
                <w:color w:val="auto"/>
                <w:lang w:val="en-US" w:eastAsia="zh-CN"/>
              </w:rPr>
            </w:pPr>
          </w:p>
        </w:tc>
      </w:tr>
      <w:tr w14:paraId="5406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6ADCDA88">
            <w:pPr>
              <w:pStyle w:val="26"/>
              <w:bidi w:val="0"/>
              <w:rPr>
                <w:color w:val="auto"/>
                <w:lang w:val="en-US" w:eastAsia="zh-CN"/>
              </w:rPr>
            </w:pPr>
          </w:p>
        </w:tc>
        <w:tc>
          <w:tcPr>
            <w:tcW w:w="884" w:type="pct"/>
            <w:tcMar>
              <w:left w:w="0" w:type="dxa"/>
              <w:right w:w="0" w:type="dxa"/>
            </w:tcMar>
            <w:vAlign w:val="center"/>
          </w:tcPr>
          <w:p w14:paraId="6884179D">
            <w:pPr>
              <w:pStyle w:val="26"/>
              <w:bidi w:val="0"/>
              <w:rPr>
                <w:color w:val="auto"/>
                <w:lang w:val="en-US" w:eastAsia="zh-CN"/>
              </w:rPr>
            </w:pPr>
            <w:r>
              <w:rPr>
                <w:color w:val="auto"/>
                <w:lang w:val="en-US" w:eastAsia="zh-CN"/>
              </w:rPr>
              <w:t>年平均</w:t>
            </w:r>
          </w:p>
        </w:tc>
        <w:tc>
          <w:tcPr>
            <w:tcW w:w="775" w:type="pct"/>
            <w:tcMar>
              <w:left w:w="0" w:type="dxa"/>
              <w:right w:w="0" w:type="dxa"/>
            </w:tcMar>
            <w:vAlign w:val="center"/>
          </w:tcPr>
          <w:p w14:paraId="506830CF">
            <w:pPr>
              <w:pStyle w:val="26"/>
              <w:bidi w:val="0"/>
              <w:rPr>
                <w:color w:val="auto"/>
                <w:lang w:val="en-US" w:eastAsia="zh-CN"/>
              </w:rPr>
            </w:pPr>
            <w:r>
              <w:rPr>
                <w:color w:val="auto"/>
                <w:lang w:val="en-US" w:eastAsia="zh-CN"/>
              </w:rPr>
              <w:t>0.035</w:t>
            </w:r>
          </w:p>
        </w:tc>
        <w:tc>
          <w:tcPr>
            <w:tcW w:w="836" w:type="pct"/>
            <w:vMerge w:val="continue"/>
            <w:tcMar>
              <w:left w:w="0" w:type="dxa"/>
              <w:right w:w="0" w:type="dxa"/>
            </w:tcMar>
            <w:vAlign w:val="center"/>
          </w:tcPr>
          <w:p w14:paraId="77F531F5">
            <w:pPr>
              <w:pStyle w:val="26"/>
              <w:bidi w:val="0"/>
              <w:rPr>
                <w:color w:val="auto"/>
                <w:lang w:val="en-US" w:eastAsia="zh-CN"/>
              </w:rPr>
            </w:pPr>
          </w:p>
        </w:tc>
        <w:tc>
          <w:tcPr>
            <w:tcW w:w="868" w:type="pct"/>
            <w:tcMar>
              <w:left w:w="0" w:type="dxa"/>
              <w:right w:w="0" w:type="dxa"/>
            </w:tcMar>
            <w:vAlign w:val="center"/>
          </w:tcPr>
          <w:p w14:paraId="483C0E7D">
            <w:pPr>
              <w:pStyle w:val="26"/>
              <w:bidi w:val="0"/>
              <w:rPr>
                <w:rFonts w:hint="default"/>
                <w:color w:val="auto"/>
                <w:lang w:val="en-US" w:eastAsia="zh-CN"/>
              </w:rPr>
            </w:pPr>
            <w:r>
              <w:rPr>
                <w:rFonts w:hint="eastAsia"/>
                <w:color w:val="auto"/>
                <w:lang w:val="en-US" w:eastAsia="zh-CN"/>
              </w:rPr>
              <w:t>0.030</w:t>
            </w:r>
          </w:p>
        </w:tc>
        <w:tc>
          <w:tcPr>
            <w:tcW w:w="1050" w:type="pct"/>
            <w:vMerge w:val="continue"/>
            <w:tcMar>
              <w:left w:w="0" w:type="dxa"/>
              <w:right w:w="0" w:type="dxa"/>
            </w:tcMar>
            <w:vAlign w:val="center"/>
          </w:tcPr>
          <w:p w14:paraId="18F4882B">
            <w:pPr>
              <w:pStyle w:val="26"/>
              <w:bidi w:val="0"/>
              <w:rPr>
                <w:color w:val="auto"/>
                <w:lang w:val="en-US" w:eastAsia="zh-CN"/>
              </w:rPr>
            </w:pPr>
          </w:p>
        </w:tc>
      </w:tr>
      <w:tr w14:paraId="365D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85" w:type="pct"/>
            <w:vMerge w:val="restart"/>
            <w:tcMar>
              <w:left w:w="0" w:type="dxa"/>
              <w:right w:w="0" w:type="dxa"/>
            </w:tcMar>
            <w:vAlign w:val="center"/>
          </w:tcPr>
          <w:p w14:paraId="6E027534">
            <w:pPr>
              <w:pStyle w:val="26"/>
              <w:bidi w:val="0"/>
              <w:rPr>
                <w:color w:val="auto"/>
                <w:lang w:val="en-US" w:eastAsia="zh-CN"/>
              </w:rPr>
            </w:pPr>
            <w:r>
              <w:rPr>
                <w:color w:val="auto"/>
                <w:lang w:val="en-US" w:eastAsia="zh-CN"/>
              </w:rPr>
              <w:t>CO</w:t>
            </w:r>
          </w:p>
        </w:tc>
        <w:tc>
          <w:tcPr>
            <w:tcW w:w="884" w:type="pct"/>
            <w:tcMar>
              <w:left w:w="0" w:type="dxa"/>
              <w:right w:w="0" w:type="dxa"/>
            </w:tcMar>
            <w:vAlign w:val="center"/>
          </w:tcPr>
          <w:p w14:paraId="0ED87ADF">
            <w:pPr>
              <w:pStyle w:val="26"/>
              <w:bidi w:val="0"/>
              <w:rPr>
                <w:color w:val="auto"/>
                <w:lang w:val="en-US" w:eastAsia="zh-CN"/>
              </w:rPr>
            </w:pPr>
            <w:r>
              <w:rPr>
                <w:color w:val="auto"/>
                <w:lang w:val="en-US" w:eastAsia="zh-CN"/>
              </w:rPr>
              <w:t>1小时平均</w:t>
            </w:r>
          </w:p>
        </w:tc>
        <w:tc>
          <w:tcPr>
            <w:tcW w:w="775" w:type="pct"/>
            <w:tcMar>
              <w:left w:w="0" w:type="dxa"/>
              <w:right w:w="0" w:type="dxa"/>
            </w:tcMar>
            <w:vAlign w:val="center"/>
          </w:tcPr>
          <w:p w14:paraId="601684E3">
            <w:pPr>
              <w:pStyle w:val="26"/>
              <w:bidi w:val="0"/>
              <w:rPr>
                <w:color w:val="auto"/>
                <w:lang w:val="en-US" w:eastAsia="zh-CN"/>
              </w:rPr>
            </w:pPr>
            <w:r>
              <w:rPr>
                <w:color w:val="auto"/>
                <w:lang w:val="en-US" w:eastAsia="zh-CN"/>
              </w:rPr>
              <w:t>10</w:t>
            </w:r>
          </w:p>
        </w:tc>
        <w:tc>
          <w:tcPr>
            <w:tcW w:w="836" w:type="pct"/>
            <w:vMerge w:val="continue"/>
            <w:tcMar>
              <w:left w:w="0" w:type="dxa"/>
              <w:right w:w="0" w:type="dxa"/>
            </w:tcMar>
            <w:vAlign w:val="center"/>
          </w:tcPr>
          <w:p w14:paraId="25DC33B5">
            <w:pPr>
              <w:pStyle w:val="26"/>
              <w:bidi w:val="0"/>
              <w:rPr>
                <w:color w:val="auto"/>
                <w:lang w:val="en-US" w:eastAsia="zh-CN"/>
              </w:rPr>
            </w:pPr>
          </w:p>
        </w:tc>
        <w:tc>
          <w:tcPr>
            <w:tcW w:w="868" w:type="pct"/>
            <w:tcMar>
              <w:left w:w="0" w:type="dxa"/>
              <w:right w:w="0" w:type="dxa"/>
            </w:tcMar>
            <w:vAlign w:val="center"/>
          </w:tcPr>
          <w:p w14:paraId="48784F4F">
            <w:pPr>
              <w:pStyle w:val="26"/>
              <w:bidi w:val="0"/>
              <w:rPr>
                <w:rFonts w:hint="default"/>
                <w:color w:val="auto"/>
                <w:lang w:val="en-US" w:eastAsia="zh-CN"/>
              </w:rPr>
            </w:pPr>
            <w:r>
              <w:rPr>
                <w:rFonts w:hint="eastAsia"/>
                <w:color w:val="auto"/>
                <w:lang w:val="en-US" w:eastAsia="zh-CN"/>
              </w:rPr>
              <w:t>10</w:t>
            </w:r>
          </w:p>
        </w:tc>
        <w:tc>
          <w:tcPr>
            <w:tcW w:w="1050" w:type="pct"/>
            <w:vMerge w:val="continue"/>
            <w:tcMar>
              <w:left w:w="0" w:type="dxa"/>
              <w:right w:w="0" w:type="dxa"/>
            </w:tcMar>
            <w:vAlign w:val="center"/>
          </w:tcPr>
          <w:p w14:paraId="14BFDFB4">
            <w:pPr>
              <w:pStyle w:val="26"/>
              <w:bidi w:val="0"/>
              <w:rPr>
                <w:color w:val="auto"/>
                <w:lang w:val="en-US" w:eastAsia="zh-CN"/>
              </w:rPr>
            </w:pPr>
          </w:p>
        </w:tc>
      </w:tr>
      <w:tr w14:paraId="3F69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6F05DFEC">
            <w:pPr>
              <w:pStyle w:val="26"/>
              <w:bidi w:val="0"/>
              <w:rPr>
                <w:color w:val="auto"/>
                <w:lang w:val="en-US" w:eastAsia="zh-CN"/>
              </w:rPr>
            </w:pPr>
          </w:p>
        </w:tc>
        <w:tc>
          <w:tcPr>
            <w:tcW w:w="884" w:type="pct"/>
            <w:tcMar>
              <w:left w:w="0" w:type="dxa"/>
              <w:right w:w="0" w:type="dxa"/>
            </w:tcMar>
            <w:vAlign w:val="center"/>
          </w:tcPr>
          <w:p w14:paraId="5EFDFF76">
            <w:pPr>
              <w:pStyle w:val="26"/>
              <w:bidi w:val="0"/>
              <w:rPr>
                <w:color w:val="auto"/>
                <w:lang w:val="en-US" w:eastAsia="zh-CN"/>
              </w:rPr>
            </w:pPr>
            <w:r>
              <w:rPr>
                <w:color w:val="auto"/>
                <w:lang w:val="en-US" w:eastAsia="zh-CN"/>
              </w:rPr>
              <w:t>日平均</w:t>
            </w:r>
          </w:p>
        </w:tc>
        <w:tc>
          <w:tcPr>
            <w:tcW w:w="775" w:type="pct"/>
            <w:tcMar>
              <w:left w:w="0" w:type="dxa"/>
              <w:right w:w="0" w:type="dxa"/>
            </w:tcMar>
            <w:vAlign w:val="center"/>
          </w:tcPr>
          <w:p w14:paraId="2FA66C82">
            <w:pPr>
              <w:pStyle w:val="26"/>
              <w:bidi w:val="0"/>
              <w:rPr>
                <w:color w:val="auto"/>
                <w:lang w:val="en-US" w:eastAsia="zh-CN"/>
              </w:rPr>
            </w:pPr>
            <w:r>
              <w:rPr>
                <w:color w:val="auto"/>
                <w:lang w:val="en-US" w:eastAsia="zh-CN"/>
              </w:rPr>
              <w:t>4</w:t>
            </w:r>
          </w:p>
        </w:tc>
        <w:tc>
          <w:tcPr>
            <w:tcW w:w="836" w:type="pct"/>
            <w:vMerge w:val="continue"/>
            <w:tcMar>
              <w:left w:w="0" w:type="dxa"/>
              <w:right w:w="0" w:type="dxa"/>
            </w:tcMar>
            <w:vAlign w:val="center"/>
          </w:tcPr>
          <w:p w14:paraId="487A6D02">
            <w:pPr>
              <w:pStyle w:val="26"/>
              <w:bidi w:val="0"/>
              <w:rPr>
                <w:color w:val="auto"/>
                <w:lang w:val="en-US" w:eastAsia="zh-CN"/>
              </w:rPr>
            </w:pPr>
          </w:p>
        </w:tc>
        <w:tc>
          <w:tcPr>
            <w:tcW w:w="868" w:type="pct"/>
            <w:tcMar>
              <w:left w:w="0" w:type="dxa"/>
              <w:right w:w="0" w:type="dxa"/>
            </w:tcMar>
            <w:vAlign w:val="center"/>
          </w:tcPr>
          <w:p w14:paraId="63F9B386">
            <w:pPr>
              <w:pStyle w:val="26"/>
              <w:bidi w:val="0"/>
              <w:rPr>
                <w:rFonts w:hint="default"/>
                <w:color w:val="auto"/>
                <w:lang w:val="en-US" w:eastAsia="zh-CN"/>
              </w:rPr>
            </w:pPr>
            <w:r>
              <w:rPr>
                <w:rFonts w:hint="eastAsia"/>
                <w:color w:val="auto"/>
                <w:lang w:val="en-US" w:eastAsia="zh-CN"/>
              </w:rPr>
              <w:t>4</w:t>
            </w:r>
          </w:p>
        </w:tc>
        <w:tc>
          <w:tcPr>
            <w:tcW w:w="1050" w:type="pct"/>
            <w:vMerge w:val="continue"/>
            <w:tcMar>
              <w:left w:w="0" w:type="dxa"/>
              <w:right w:w="0" w:type="dxa"/>
            </w:tcMar>
            <w:vAlign w:val="center"/>
          </w:tcPr>
          <w:p w14:paraId="72760C87">
            <w:pPr>
              <w:pStyle w:val="26"/>
              <w:bidi w:val="0"/>
              <w:rPr>
                <w:color w:val="auto"/>
                <w:lang w:val="en-US" w:eastAsia="zh-CN"/>
              </w:rPr>
            </w:pPr>
          </w:p>
        </w:tc>
      </w:tr>
      <w:tr w14:paraId="74A0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0D2995BF">
            <w:pPr>
              <w:pStyle w:val="26"/>
              <w:bidi w:val="0"/>
              <w:rPr>
                <w:color w:val="auto"/>
                <w:lang w:val="en-US" w:eastAsia="zh-CN"/>
              </w:rPr>
            </w:pPr>
            <w:r>
              <w:rPr>
                <w:color w:val="auto"/>
                <w:lang w:val="en-US" w:eastAsia="zh-CN"/>
              </w:rPr>
              <w:t>O</w:t>
            </w:r>
            <w:r>
              <w:rPr>
                <w:color w:val="auto"/>
                <w:vertAlign w:val="subscript"/>
                <w:lang w:val="en-US" w:eastAsia="zh-CN"/>
              </w:rPr>
              <w:t>3</w:t>
            </w:r>
          </w:p>
        </w:tc>
        <w:tc>
          <w:tcPr>
            <w:tcW w:w="884" w:type="pct"/>
            <w:tcMar>
              <w:left w:w="0" w:type="dxa"/>
              <w:right w:w="0" w:type="dxa"/>
            </w:tcMar>
            <w:vAlign w:val="center"/>
          </w:tcPr>
          <w:p w14:paraId="28F24E90">
            <w:pPr>
              <w:pStyle w:val="26"/>
              <w:bidi w:val="0"/>
              <w:rPr>
                <w:color w:val="auto"/>
                <w:lang w:val="en-US" w:eastAsia="zh-CN"/>
              </w:rPr>
            </w:pPr>
            <w:r>
              <w:rPr>
                <w:color w:val="auto"/>
                <w:lang w:val="en-US" w:eastAsia="zh-CN"/>
              </w:rPr>
              <w:t>1小时平均</w:t>
            </w:r>
          </w:p>
        </w:tc>
        <w:tc>
          <w:tcPr>
            <w:tcW w:w="775" w:type="pct"/>
            <w:tcMar>
              <w:left w:w="0" w:type="dxa"/>
              <w:right w:w="0" w:type="dxa"/>
            </w:tcMar>
            <w:vAlign w:val="center"/>
          </w:tcPr>
          <w:p w14:paraId="0DD315C4">
            <w:pPr>
              <w:pStyle w:val="26"/>
              <w:bidi w:val="0"/>
              <w:rPr>
                <w:color w:val="auto"/>
                <w:lang w:val="en-US" w:eastAsia="zh-CN"/>
              </w:rPr>
            </w:pPr>
            <w:r>
              <w:rPr>
                <w:color w:val="auto"/>
                <w:lang w:val="en-US" w:eastAsia="zh-CN"/>
              </w:rPr>
              <w:t>0.2</w:t>
            </w:r>
          </w:p>
        </w:tc>
        <w:tc>
          <w:tcPr>
            <w:tcW w:w="836" w:type="pct"/>
            <w:vMerge w:val="continue"/>
            <w:tcMar>
              <w:left w:w="0" w:type="dxa"/>
              <w:right w:w="0" w:type="dxa"/>
            </w:tcMar>
            <w:vAlign w:val="center"/>
          </w:tcPr>
          <w:p w14:paraId="4C11AE5A">
            <w:pPr>
              <w:pStyle w:val="26"/>
              <w:bidi w:val="0"/>
              <w:rPr>
                <w:color w:val="auto"/>
                <w:lang w:val="en-US" w:eastAsia="zh-CN"/>
              </w:rPr>
            </w:pPr>
          </w:p>
        </w:tc>
        <w:tc>
          <w:tcPr>
            <w:tcW w:w="868" w:type="pct"/>
            <w:tcMar>
              <w:left w:w="0" w:type="dxa"/>
              <w:right w:w="0" w:type="dxa"/>
            </w:tcMar>
            <w:vAlign w:val="center"/>
          </w:tcPr>
          <w:p w14:paraId="754D246B">
            <w:pPr>
              <w:pStyle w:val="26"/>
              <w:bidi w:val="0"/>
              <w:rPr>
                <w:rFonts w:hint="default"/>
                <w:color w:val="auto"/>
                <w:lang w:val="en-US" w:eastAsia="zh-CN"/>
              </w:rPr>
            </w:pPr>
            <w:r>
              <w:rPr>
                <w:rFonts w:hint="eastAsia"/>
                <w:color w:val="auto"/>
                <w:lang w:val="en-US" w:eastAsia="zh-CN"/>
              </w:rPr>
              <w:t>0.2</w:t>
            </w:r>
          </w:p>
        </w:tc>
        <w:tc>
          <w:tcPr>
            <w:tcW w:w="1050" w:type="pct"/>
            <w:vMerge w:val="continue"/>
            <w:tcMar>
              <w:left w:w="0" w:type="dxa"/>
              <w:right w:w="0" w:type="dxa"/>
            </w:tcMar>
            <w:vAlign w:val="center"/>
          </w:tcPr>
          <w:p w14:paraId="62A2A30F">
            <w:pPr>
              <w:pStyle w:val="26"/>
              <w:bidi w:val="0"/>
              <w:rPr>
                <w:color w:val="auto"/>
                <w:lang w:val="en-US" w:eastAsia="zh-CN"/>
              </w:rPr>
            </w:pPr>
          </w:p>
        </w:tc>
      </w:tr>
      <w:tr w14:paraId="7622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3C3FA286">
            <w:pPr>
              <w:pStyle w:val="26"/>
              <w:bidi w:val="0"/>
              <w:rPr>
                <w:color w:val="auto"/>
                <w:lang w:val="en-US" w:eastAsia="zh-CN"/>
              </w:rPr>
            </w:pPr>
          </w:p>
        </w:tc>
        <w:tc>
          <w:tcPr>
            <w:tcW w:w="884" w:type="pct"/>
            <w:tcMar>
              <w:left w:w="0" w:type="dxa"/>
              <w:right w:w="0" w:type="dxa"/>
            </w:tcMar>
            <w:vAlign w:val="center"/>
          </w:tcPr>
          <w:p w14:paraId="66D64B4B">
            <w:pPr>
              <w:pStyle w:val="26"/>
              <w:bidi w:val="0"/>
              <w:rPr>
                <w:color w:val="auto"/>
                <w:lang w:val="en-US" w:eastAsia="zh-CN"/>
              </w:rPr>
            </w:pPr>
            <w:r>
              <w:rPr>
                <w:color w:val="auto"/>
                <w:lang w:val="en-US" w:eastAsia="zh-CN"/>
              </w:rPr>
              <w:t>日最大8小时平均</w:t>
            </w:r>
          </w:p>
        </w:tc>
        <w:tc>
          <w:tcPr>
            <w:tcW w:w="775" w:type="pct"/>
            <w:tcMar>
              <w:left w:w="0" w:type="dxa"/>
              <w:right w:w="0" w:type="dxa"/>
            </w:tcMar>
            <w:vAlign w:val="center"/>
          </w:tcPr>
          <w:p w14:paraId="767627FA">
            <w:pPr>
              <w:pStyle w:val="26"/>
              <w:bidi w:val="0"/>
              <w:rPr>
                <w:color w:val="auto"/>
                <w:lang w:val="en-US" w:eastAsia="zh-CN"/>
              </w:rPr>
            </w:pPr>
            <w:r>
              <w:rPr>
                <w:color w:val="auto"/>
                <w:lang w:val="en-US" w:eastAsia="zh-CN"/>
              </w:rPr>
              <w:t>0.16</w:t>
            </w:r>
          </w:p>
        </w:tc>
        <w:tc>
          <w:tcPr>
            <w:tcW w:w="836" w:type="pct"/>
            <w:vMerge w:val="continue"/>
            <w:tcMar>
              <w:left w:w="0" w:type="dxa"/>
              <w:right w:w="0" w:type="dxa"/>
            </w:tcMar>
            <w:vAlign w:val="center"/>
          </w:tcPr>
          <w:p w14:paraId="0121B55A">
            <w:pPr>
              <w:pStyle w:val="26"/>
              <w:bidi w:val="0"/>
              <w:rPr>
                <w:color w:val="auto"/>
                <w:lang w:val="en-US" w:eastAsia="zh-CN"/>
              </w:rPr>
            </w:pPr>
          </w:p>
        </w:tc>
        <w:tc>
          <w:tcPr>
            <w:tcW w:w="868" w:type="pct"/>
            <w:tcMar>
              <w:left w:w="0" w:type="dxa"/>
              <w:right w:w="0" w:type="dxa"/>
            </w:tcMar>
            <w:vAlign w:val="center"/>
          </w:tcPr>
          <w:p w14:paraId="383474A4">
            <w:pPr>
              <w:pStyle w:val="26"/>
              <w:bidi w:val="0"/>
              <w:rPr>
                <w:rFonts w:hint="default"/>
                <w:color w:val="auto"/>
                <w:lang w:val="en-US" w:eastAsia="zh-CN"/>
              </w:rPr>
            </w:pPr>
            <w:r>
              <w:rPr>
                <w:rFonts w:hint="eastAsia"/>
                <w:color w:val="auto"/>
                <w:lang w:val="en-US" w:eastAsia="zh-CN"/>
              </w:rPr>
              <w:t>0.16</w:t>
            </w:r>
          </w:p>
        </w:tc>
        <w:tc>
          <w:tcPr>
            <w:tcW w:w="1050" w:type="pct"/>
            <w:vMerge w:val="continue"/>
            <w:tcMar>
              <w:left w:w="0" w:type="dxa"/>
              <w:right w:w="0" w:type="dxa"/>
            </w:tcMar>
            <w:vAlign w:val="center"/>
          </w:tcPr>
          <w:p w14:paraId="1D4FDC75">
            <w:pPr>
              <w:pStyle w:val="26"/>
              <w:bidi w:val="0"/>
              <w:rPr>
                <w:color w:val="auto"/>
                <w:lang w:val="en-US" w:eastAsia="zh-CN"/>
              </w:rPr>
            </w:pPr>
          </w:p>
        </w:tc>
      </w:tr>
      <w:tr w14:paraId="7ACC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5EA11ED9">
            <w:pPr>
              <w:pStyle w:val="26"/>
              <w:bidi w:val="0"/>
              <w:rPr>
                <w:color w:val="auto"/>
                <w:lang w:val="en-US" w:eastAsia="zh-CN"/>
              </w:rPr>
            </w:pPr>
            <w:r>
              <w:rPr>
                <w:color w:val="auto"/>
                <w:lang w:val="en-US" w:eastAsia="zh-CN"/>
              </w:rPr>
              <w:t>PM</w:t>
            </w:r>
            <w:r>
              <w:rPr>
                <w:color w:val="auto"/>
                <w:vertAlign w:val="subscript"/>
                <w:lang w:val="en-US" w:eastAsia="zh-CN"/>
              </w:rPr>
              <w:t>10</w:t>
            </w:r>
          </w:p>
        </w:tc>
        <w:tc>
          <w:tcPr>
            <w:tcW w:w="884" w:type="pct"/>
            <w:tcMar>
              <w:left w:w="0" w:type="dxa"/>
              <w:right w:w="0" w:type="dxa"/>
            </w:tcMar>
            <w:vAlign w:val="center"/>
          </w:tcPr>
          <w:p w14:paraId="689C572C">
            <w:pPr>
              <w:pStyle w:val="26"/>
              <w:bidi w:val="0"/>
              <w:rPr>
                <w:color w:val="auto"/>
                <w:lang w:val="en-US" w:eastAsia="zh-CN"/>
              </w:rPr>
            </w:pPr>
            <w:r>
              <w:rPr>
                <w:color w:val="auto"/>
                <w:lang w:val="en-US" w:eastAsia="zh-CN"/>
              </w:rPr>
              <w:t>日平均</w:t>
            </w:r>
          </w:p>
        </w:tc>
        <w:tc>
          <w:tcPr>
            <w:tcW w:w="775" w:type="pct"/>
            <w:tcMar>
              <w:left w:w="0" w:type="dxa"/>
              <w:right w:w="0" w:type="dxa"/>
            </w:tcMar>
            <w:vAlign w:val="center"/>
          </w:tcPr>
          <w:p w14:paraId="18D86C12">
            <w:pPr>
              <w:pStyle w:val="26"/>
              <w:bidi w:val="0"/>
              <w:rPr>
                <w:color w:val="auto"/>
                <w:lang w:val="en-US" w:eastAsia="zh-CN"/>
              </w:rPr>
            </w:pPr>
            <w:r>
              <w:rPr>
                <w:color w:val="auto"/>
                <w:lang w:val="en-US" w:eastAsia="zh-CN"/>
              </w:rPr>
              <w:t>0.15</w:t>
            </w:r>
          </w:p>
        </w:tc>
        <w:tc>
          <w:tcPr>
            <w:tcW w:w="836" w:type="pct"/>
            <w:vMerge w:val="continue"/>
            <w:tcMar>
              <w:left w:w="0" w:type="dxa"/>
              <w:right w:w="0" w:type="dxa"/>
            </w:tcMar>
            <w:vAlign w:val="center"/>
          </w:tcPr>
          <w:p w14:paraId="751F5D8E">
            <w:pPr>
              <w:pStyle w:val="26"/>
              <w:bidi w:val="0"/>
              <w:rPr>
                <w:color w:val="auto"/>
                <w:lang w:val="en-US" w:eastAsia="zh-CN"/>
              </w:rPr>
            </w:pPr>
          </w:p>
        </w:tc>
        <w:tc>
          <w:tcPr>
            <w:tcW w:w="868" w:type="pct"/>
            <w:tcMar>
              <w:left w:w="0" w:type="dxa"/>
              <w:right w:w="0" w:type="dxa"/>
            </w:tcMar>
            <w:vAlign w:val="center"/>
          </w:tcPr>
          <w:p w14:paraId="77A7C450">
            <w:pPr>
              <w:pStyle w:val="26"/>
              <w:bidi w:val="0"/>
              <w:rPr>
                <w:rFonts w:hint="default"/>
                <w:color w:val="auto"/>
                <w:lang w:val="en-US" w:eastAsia="zh-CN"/>
              </w:rPr>
            </w:pPr>
            <w:r>
              <w:rPr>
                <w:rFonts w:hint="eastAsia"/>
                <w:color w:val="auto"/>
                <w:lang w:val="en-US" w:eastAsia="zh-CN"/>
              </w:rPr>
              <w:t>0.12</w:t>
            </w:r>
          </w:p>
        </w:tc>
        <w:tc>
          <w:tcPr>
            <w:tcW w:w="1050" w:type="pct"/>
            <w:vMerge w:val="continue"/>
            <w:tcMar>
              <w:left w:w="0" w:type="dxa"/>
              <w:right w:w="0" w:type="dxa"/>
            </w:tcMar>
            <w:vAlign w:val="center"/>
          </w:tcPr>
          <w:p w14:paraId="645906E1">
            <w:pPr>
              <w:pStyle w:val="26"/>
              <w:bidi w:val="0"/>
              <w:rPr>
                <w:color w:val="auto"/>
                <w:lang w:val="en-US" w:eastAsia="zh-CN"/>
              </w:rPr>
            </w:pPr>
          </w:p>
        </w:tc>
      </w:tr>
      <w:tr w14:paraId="3DF1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02B8835C">
            <w:pPr>
              <w:pStyle w:val="26"/>
              <w:bidi w:val="0"/>
              <w:rPr>
                <w:color w:val="auto"/>
                <w:lang w:val="en-US" w:eastAsia="zh-CN"/>
              </w:rPr>
            </w:pPr>
          </w:p>
        </w:tc>
        <w:tc>
          <w:tcPr>
            <w:tcW w:w="884" w:type="pct"/>
            <w:tcMar>
              <w:left w:w="0" w:type="dxa"/>
              <w:right w:w="0" w:type="dxa"/>
            </w:tcMar>
            <w:vAlign w:val="center"/>
          </w:tcPr>
          <w:p w14:paraId="5B9544C7">
            <w:pPr>
              <w:pStyle w:val="26"/>
              <w:bidi w:val="0"/>
              <w:rPr>
                <w:color w:val="auto"/>
                <w:lang w:val="en-US" w:eastAsia="zh-CN"/>
              </w:rPr>
            </w:pPr>
            <w:r>
              <w:rPr>
                <w:color w:val="auto"/>
                <w:lang w:val="en-US" w:eastAsia="zh-CN"/>
              </w:rPr>
              <w:t>年平均</w:t>
            </w:r>
          </w:p>
        </w:tc>
        <w:tc>
          <w:tcPr>
            <w:tcW w:w="775" w:type="pct"/>
            <w:tcMar>
              <w:left w:w="0" w:type="dxa"/>
              <w:right w:w="0" w:type="dxa"/>
            </w:tcMar>
            <w:vAlign w:val="center"/>
          </w:tcPr>
          <w:p w14:paraId="194B3E5E">
            <w:pPr>
              <w:pStyle w:val="26"/>
              <w:bidi w:val="0"/>
              <w:rPr>
                <w:color w:val="auto"/>
                <w:lang w:val="en-US" w:eastAsia="zh-CN"/>
              </w:rPr>
            </w:pPr>
            <w:r>
              <w:rPr>
                <w:color w:val="auto"/>
                <w:lang w:val="en-US" w:eastAsia="zh-CN"/>
              </w:rPr>
              <w:t>0.07</w:t>
            </w:r>
          </w:p>
        </w:tc>
        <w:tc>
          <w:tcPr>
            <w:tcW w:w="836" w:type="pct"/>
            <w:vMerge w:val="continue"/>
            <w:tcMar>
              <w:left w:w="0" w:type="dxa"/>
              <w:right w:w="0" w:type="dxa"/>
            </w:tcMar>
            <w:vAlign w:val="center"/>
          </w:tcPr>
          <w:p w14:paraId="029A3804">
            <w:pPr>
              <w:pStyle w:val="26"/>
              <w:bidi w:val="0"/>
              <w:rPr>
                <w:color w:val="auto"/>
                <w:lang w:val="en-US" w:eastAsia="zh-CN"/>
              </w:rPr>
            </w:pPr>
          </w:p>
        </w:tc>
        <w:tc>
          <w:tcPr>
            <w:tcW w:w="868" w:type="pct"/>
            <w:tcMar>
              <w:left w:w="0" w:type="dxa"/>
              <w:right w:w="0" w:type="dxa"/>
            </w:tcMar>
            <w:vAlign w:val="center"/>
          </w:tcPr>
          <w:p w14:paraId="53AECEC9">
            <w:pPr>
              <w:pStyle w:val="26"/>
              <w:bidi w:val="0"/>
              <w:rPr>
                <w:rFonts w:hint="default"/>
                <w:color w:val="auto"/>
                <w:lang w:val="en-US" w:eastAsia="zh-CN"/>
              </w:rPr>
            </w:pPr>
            <w:r>
              <w:rPr>
                <w:rFonts w:hint="eastAsia"/>
                <w:color w:val="auto"/>
                <w:lang w:val="en-US" w:eastAsia="zh-CN"/>
              </w:rPr>
              <w:t>0.06</w:t>
            </w:r>
          </w:p>
        </w:tc>
        <w:tc>
          <w:tcPr>
            <w:tcW w:w="1050" w:type="pct"/>
            <w:vMerge w:val="continue"/>
            <w:tcMar>
              <w:left w:w="0" w:type="dxa"/>
              <w:right w:w="0" w:type="dxa"/>
            </w:tcMar>
            <w:vAlign w:val="center"/>
          </w:tcPr>
          <w:p w14:paraId="1DA7A348">
            <w:pPr>
              <w:pStyle w:val="26"/>
              <w:bidi w:val="0"/>
              <w:rPr>
                <w:color w:val="auto"/>
                <w:lang w:val="en-US" w:eastAsia="zh-CN"/>
              </w:rPr>
            </w:pPr>
          </w:p>
        </w:tc>
      </w:tr>
      <w:tr w14:paraId="1FC1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5CA6BFD2">
            <w:pPr>
              <w:pStyle w:val="26"/>
              <w:bidi w:val="0"/>
              <w:rPr>
                <w:rFonts w:hint="default"/>
                <w:color w:val="auto"/>
                <w:lang w:val="en-US" w:eastAsia="zh-CN"/>
              </w:rPr>
            </w:pPr>
            <w:r>
              <w:rPr>
                <w:rFonts w:hint="eastAsia"/>
                <w:color w:val="auto"/>
                <w:lang w:val="en-US" w:eastAsia="zh-CN"/>
              </w:rPr>
              <w:t>氮氧化物</w:t>
            </w:r>
          </w:p>
        </w:tc>
        <w:tc>
          <w:tcPr>
            <w:tcW w:w="884" w:type="pct"/>
            <w:shd w:val="clear" w:color="auto" w:fill="auto"/>
            <w:tcMar>
              <w:left w:w="0" w:type="dxa"/>
              <w:right w:w="0" w:type="dxa"/>
            </w:tcMar>
            <w:vAlign w:val="center"/>
          </w:tcPr>
          <w:p w14:paraId="034FA6B3">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1小时平均</w:t>
            </w:r>
          </w:p>
        </w:tc>
        <w:tc>
          <w:tcPr>
            <w:tcW w:w="775" w:type="pct"/>
            <w:tcMar>
              <w:left w:w="0" w:type="dxa"/>
              <w:right w:w="0" w:type="dxa"/>
            </w:tcMar>
            <w:vAlign w:val="center"/>
          </w:tcPr>
          <w:p w14:paraId="4A16DF67">
            <w:pPr>
              <w:pStyle w:val="26"/>
              <w:bidi w:val="0"/>
              <w:rPr>
                <w:color w:val="auto"/>
                <w:lang w:val="en-US" w:eastAsia="zh-CN"/>
              </w:rPr>
            </w:pPr>
            <w:r>
              <w:rPr>
                <w:rFonts w:hint="eastAsia"/>
                <w:color w:val="auto"/>
                <w:lang w:val="en-US" w:eastAsia="zh-CN"/>
              </w:rPr>
              <w:t>0.25</w:t>
            </w:r>
          </w:p>
        </w:tc>
        <w:tc>
          <w:tcPr>
            <w:tcW w:w="836" w:type="pct"/>
            <w:vMerge w:val="continue"/>
            <w:tcMar>
              <w:left w:w="0" w:type="dxa"/>
              <w:right w:w="0" w:type="dxa"/>
            </w:tcMar>
            <w:vAlign w:val="center"/>
          </w:tcPr>
          <w:p w14:paraId="3F0823E2">
            <w:pPr>
              <w:pStyle w:val="26"/>
              <w:bidi w:val="0"/>
              <w:rPr>
                <w:color w:val="auto"/>
                <w:lang w:val="en-US" w:eastAsia="zh-CN"/>
              </w:rPr>
            </w:pPr>
          </w:p>
        </w:tc>
        <w:tc>
          <w:tcPr>
            <w:tcW w:w="868" w:type="pct"/>
            <w:tcMar>
              <w:left w:w="0" w:type="dxa"/>
              <w:right w:w="0" w:type="dxa"/>
            </w:tcMar>
            <w:vAlign w:val="center"/>
          </w:tcPr>
          <w:p w14:paraId="10529110">
            <w:pPr>
              <w:pStyle w:val="26"/>
              <w:bidi w:val="0"/>
              <w:rPr>
                <w:rFonts w:hint="default"/>
                <w:color w:val="auto"/>
                <w:lang w:val="en-US" w:eastAsia="zh-CN"/>
              </w:rPr>
            </w:pPr>
            <w:r>
              <w:rPr>
                <w:rFonts w:hint="eastAsia"/>
                <w:color w:val="auto"/>
                <w:lang w:val="en-US" w:eastAsia="zh-CN"/>
              </w:rPr>
              <w:t>0.25</w:t>
            </w:r>
          </w:p>
        </w:tc>
        <w:tc>
          <w:tcPr>
            <w:tcW w:w="1050" w:type="pct"/>
            <w:vMerge w:val="continue"/>
            <w:tcMar>
              <w:left w:w="0" w:type="dxa"/>
              <w:right w:w="0" w:type="dxa"/>
            </w:tcMar>
            <w:vAlign w:val="center"/>
          </w:tcPr>
          <w:p w14:paraId="792F86D0">
            <w:pPr>
              <w:pStyle w:val="26"/>
              <w:bidi w:val="0"/>
              <w:rPr>
                <w:color w:val="auto"/>
                <w:lang w:val="en-US" w:eastAsia="zh-CN"/>
              </w:rPr>
            </w:pPr>
          </w:p>
        </w:tc>
      </w:tr>
      <w:tr w14:paraId="3A6D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5EFDCDD6">
            <w:pPr>
              <w:pStyle w:val="26"/>
              <w:bidi w:val="0"/>
              <w:rPr>
                <w:rFonts w:hint="eastAsia"/>
                <w:color w:val="auto"/>
                <w:lang w:val="en-US" w:eastAsia="zh-CN"/>
              </w:rPr>
            </w:pPr>
          </w:p>
        </w:tc>
        <w:tc>
          <w:tcPr>
            <w:tcW w:w="884" w:type="pct"/>
            <w:shd w:val="clear" w:color="auto" w:fill="auto"/>
            <w:tcMar>
              <w:left w:w="0" w:type="dxa"/>
              <w:right w:w="0" w:type="dxa"/>
            </w:tcMar>
            <w:vAlign w:val="center"/>
          </w:tcPr>
          <w:p w14:paraId="52701600">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日平均</w:t>
            </w:r>
          </w:p>
        </w:tc>
        <w:tc>
          <w:tcPr>
            <w:tcW w:w="775" w:type="pct"/>
            <w:tcMar>
              <w:left w:w="0" w:type="dxa"/>
              <w:right w:w="0" w:type="dxa"/>
            </w:tcMar>
            <w:vAlign w:val="center"/>
          </w:tcPr>
          <w:p w14:paraId="2906F69A">
            <w:pPr>
              <w:pStyle w:val="26"/>
              <w:bidi w:val="0"/>
              <w:rPr>
                <w:color w:val="auto"/>
                <w:lang w:val="en-US" w:eastAsia="zh-CN"/>
              </w:rPr>
            </w:pPr>
            <w:r>
              <w:rPr>
                <w:rFonts w:hint="eastAsia"/>
                <w:color w:val="auto"/>
                <w:lang w:val="en-US" w:eastAsia="zh-CN"/>
              </w:rPr>
              <w:t>0.1</w:t>
            </w:r>
          </w:p>
        </w:tc>
        <w:tc>
          <w:tcPr>
            <w:tcW w:w="836" w:type="pct"/>
            <w:vMerge w:val="continue"/>
            <w:tcMar>
              <w:left w:w="0" w:type="dxa"/>
              <w:right w:w="0" w:type="dxa"/>
            </w:tcMar>
            <w:vAlign w:val="center"/>
          </w:tcPr>
          <w:p w14:paraId="7AC7C9C2">
            <w:pPr>
              <w:pStyle w:val="26"/>
              <w:bidi w:val="0"/>
              <w:rPr>
                <w:color w:val="auto"/>
                <w:lang w:val="en-US" w:eastAsia="zh-CN"/>
              </w:rPr>
            </w:pPr>
          </w:p>
        </w:tc>
        <w:tc>
          <w:tcPr>
            <w:tcW w:w="868" w:type="pct"/>
            <w:tcMar>
              <w:left w:w="0" w:type="dxa"/>
              <w:right w:w="0" w:type="dxa"/>
            </w:tcMar>
            <w:vAlign w:val="center"/>
          </w:tcPr>
          <w:p w14:paraId="646336AE">
            <w:pPr>
              <w:pStyle w:val="26"/>
              <w:bidi w:val="0"/>
              <w:rPr>
                <w:rFonts w:hint="eastAsia"/>
                <w:color w:val="auto"/>
                <w:lang w:val="en-US" w:eastAsia="zh-CN"/>
              </w:rPr>
            </w:pPr>
            <w:r>
              <w:rPr>
                <w:rFonts w:hint="eastAsia"/>
                <w:color w:val="auto"/>
                <w:lang w:val="en-US" w:eastAsia="zh-CN"/>
              </w:rPr>
              <w:t>0.1</w:t>
            </w:r>
          </w:p>
        </w:tc>
        <w:tc>
          <w:tcPr>
            <w:tcW w:w="1050" w:type="pct"/>
            <w:vMerge w:val="continue"/>
            <w:tcMar>
              <w:left w:w="0" w:type="dxa"/>
              <w:right w:w="0" w:type="dxa"/>
            </w:tcMar>
            <w:vAlign w:val="center"/>
          </w:tcPr>
          <w:p w14:paraId="6E0AAAFA">
            <w:pPr>
              <w:pStyle w:val="26"/>
              <w:bidi w:val="0"/>
              <w:rPr>
                <w:color w:val="auto"/>
                <w:lang w:val="en-US" w:eastAsia="zh-CN"/>
              </w:rPr>
            </w:pPr>
          </w:p>
        </w:tc>
      </w:tr>
      <w:tr w14:paraId="16BC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0278F7E1">
            <w:pPr>
              <w:pStyle w:val="26"/>
              <w:bidi w:val="0"/>
              <w:rPr>
                <w:rFonts w:hint="eastAsia"/>
                <w:color w:val="auto"/>
                <w:lang w:val="en-US" w:eastAsia="zh-CN"/>
              </w:rPr>
            </w:pPr>
          </w:p>
        </w:tc>
        <w:tc>
          <w:tcPr>
            <w:tcW w:w="884" w:type="pct"/>
            <w:shd w:val="clear" w:color="auto" w:fill="auto"/>
            <w:tcMar>
              <w:left w:w="0" w:type="dxa"/>
              <w:right w:w="0" w:type="dxa"/>
            </w:tcMar>
            <w:vAlign w:val="center"/>
          </w:tcPr>
          <w:p w14:paraId="378E6AEC">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年平均</w:t>
            </w:r>
          </w:p>
        </w:tc>
        <w:tc>
          <w:tcPr>
            <w:tcW w:w="775" w:type="pct"/>
            <w:tcMar>
              <w:left w:w="0" w:type="dxa"/>
              <w:right w:w="0" w:type="dxa"/>
            </w:tcMar>
            <w:vAlign w:val="center"/>
          </w:tcPr>
          <w:p w14:paraId="483F9E6B">
            <w:pPr>
              <w:pStyle w:val="26"/>
              <w:bidi w:val="0"/>
              <w:rPr>
                <w:color w:val="auto"/>
                <w:lang w:val="en-US" w:eastAsia="zh-CN"/>
              </w:rPr>
            </w:pPr>
            <w:r>
              <w:rPr>
                <w:rFonts w:hint="eastAsia"/>
                <w:color w:val="auto"/>
                <w:lang w:val="en-US" w:eastAsia="zh-CN"/>
              </w:rPr>
              <w:t>0.05</w:t>
            </w:r>
          </w:p>
        </w:tc>
        <w:tc>
          <w:tcPr>
            <w:tcW w:w="836" w:type="pct"/>
            <w:vMerge w:val="continue"/>
            <w:tcMar>
              <w:left w:w="0" w:type="dxa"/>
              <w:right w:w="0" w:type="dxa"/>
            </w:tcMar>
            <w:vAlign w:val="center"/>
          </w:tcPr>
          <w:p w14:paraId="30CAA200">
            <w:pPr>
              <w:pStyle w:val="26"/>
              <w:bidi w:val="0"/>
              <w:rPr>
                <w:color w:val="auto"/>
                <w:lang w:val="en-US" w:eastAsia="zh-CN"/>
              </w:rPr>
            </w:pPr>
          </w:p>
        </w:tc>
        <w:tc>
          <w:tcPr>
            <w:tcW w:w="868" w:type="pct"/>
            <w:tcMar>
              <w:left w:w="0" w:type="dxa"/>
              <w:right w:w="0" w:type="dxa"/>
            </w:tcMar>
            <w:vAlign w:val="center"/>
          </w:tcPr>
          <w:p w14:paraId="505D924C">
            <w:pPr>
              <w:pStyle w:val="26"/>
              <w:bidi w:val="0"/>
              <w:rPr>
                <w:rFonts w:hint="eastAsia"/>
                <w:color w:val="auto"/>
                <w:lang w:val="en-US" w:eastAsia="zh-CN"/>
              </w:rPr>
            </w:pPr>
            <w:r>
              <w:rPr>
                <w:rFonts w:hint="eastAsia"/>
                <w:color w:val="auto"/>
                <w:lang w:val="en-US" w:eastAsia="zh-CN"/>
              </w:rPr>
              <w:t>0.05</w:t>
            </w:r>
          </w:p>
        </w:tc>
        <w:tc>
          <w:tcPr>
            <w:tcW w:w="1050" w:type="pct"/>
            <w:vMerge w:val="continue"/>
            <w:tcMar>
              <w:left w:w="0" w:type="dxa"/>
              <w:right w:w="0" w:type="dxa"/>
            </w:tcMar>
            <w:vAlign w:val="center"/>
          </w:tcPr>
          <w:p w14:paraId="0AD4B9F4">
            <w:pPr>
              <w:pStyle w:val="26"/>
              <w:bidi w:val="0"/>
              <w:rPr>
                <w:color w:val="auto"/>
                <w:lang w:val="en-US" w:eastAsia="zh-CN"/>
              </w:rPr>
            </w:pPr>
          </w:p>
        </w:tc>
      </w:tr>
      <w:tr w14:paraId="196B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107B85D6">
            <w:pPr>
              <w:pStyle w:val="26"/>
              <w:bidi w:val="0"/>
              <w:rPr>
                <w:rFonts w:hint="default"/>
                <w:color w:val="auto"/>
                <w:lang w:val="en-US" w:eastAsia="zh-CN"/>
              </w:rPr>
            </w:pPr>
            <w:r>
              <w:rPr>
                <w:rFonts w:hint="eastAsia"/>
                <w:color w:val="auto"/>
                <w:lang w:val="en-US" w:eastAsia="zh-CN"/>
              </w:rPr>
              <w:t>TSP</w:t>
            </w:r>
          </w:p>
        </w:tc>
        <w:tc>
          <w:tcPr>
            <w:tcW w:w="884" w:type="pct"/>
            <w:shd w:val="clear" w:color="auto" w:fill="auto"/>
            <w:tcMar>
              <w:left w:w="0" w:type="dxa"/>
              <w:right w:w="0" w:type="dxa"/>
            </w:tcMar>
            <w:vAlign w:val="center"/>
          </w:tcPr>
          <w:p w14:paraId="760AEE4C">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日平均</w:t>
            </w:r>
          </w:p>
        </w:tc>
        <w:tc>
          <w:tcPr>
            <w:tcW w:w="775" w:type="pct"/>
            <w:tcMar>
              <w:left w:w="0" w:type="dxa"/>
              <w:right w:w="0" w:type="dxa"/>
            </w:tcMar>
            <w:vAlign w:val="center"/>
          </w:tcPr>
          <w:p w14:paraId="524408BE">
            <w:pPr>
              <w:pStyle w:val="26"/>
              <w:bidi w:val="0"/>
              <w:rPr>
                <w:color w:val="auto"/>
                <w:lang w:val="en-US" w:eastAsia="zh-CN"/>
              </w:rPr>
            </w:pPr>
            <w:r>
              <w:rPr>
                <w:rFonts w:hint="eastAsia"/>
                <w:color w:val="auto"/>
                <w:lang w:val="en-US" w:eastAsia="zh-CN"/>
              </w:rPr>
              <w:t>0.3</w:t>
            </w:r>
          </w:p>
        </w:tc>
        <w:tc>
          <w:tcPr>
            <w:tcW w:w="836" w:type="pct"/>
            <w:vMerge w:val="continue"/>
            <w:tcMar>
              <w:left w:w="0" w:type="dxa"/>
              <w:right w:w="0" w:type="dxa"/>
            </w:tcMar>
            <w:vAlign w:val="center"/>
          </w:tcPr>
          <w:p w14:paraId="390A2134">
            <w:pPr>
              <w:pStyle w:val="26"/>
              <w:bidi w:val="0"/>
              <w:rPr>
                <w:color w:val="auto"/>
                <w:lang w:val="en-US" w:eastAsia="zh-CN"/>
              </w:rPr>
            </w:pPr>
          </w:p>
        </w:tc>
        <w:tc>
          <w:tcPr>
            <w:tcW w:w="868" w:type="pct"/>
            <w:tcMar>
              <w:left w:w="0" w:type="dxa"/>
              <w:right w:w="0" w:type="dxa"/>
            </w:tcMar>
            <w:vAlign w:val="center"/>
          </w:tcPr>
          <w:p w14:paraId="5DAEC551">
            <w:pPr>
              <w:pStyle w:val="26"/>
              <w:bidi w:val="0"/>
              <w:rPr>
                <w:rFonts w:hint="default"/>
                <w:color w:val="auto"/>
                <w:lang w:val="en-US" w:eastAsia="zh-CN"/>
              </w:rPr>
            </w:pPr>
            <w:r>
              <w:rPr>
                <w:rFonts w:hint="eastAsia"/>
                <w:color w:val="auto"/>
                <w:lang w:val="en-US" w:eastAsia="zh-CN"/>
              </w:rPr>
              <w:t>0.3</w:t>
            </w:r>
          </w:p>
        </w:tc>
        <w:tc>
          <w:tcPr>
            <w:tcW w:w="1050" w:type="pct"/>
            <w:vMerge w:val="continue"/>
            <w:tcMar>
              <w:left w:w="0" w:type="dxa"/>
              <w:right w:w="0" w:type="dxa"/>
            </w:tcMar>
            <w:vAlign w:val="center"/>
          </w:tcPr>
          <w:p w14:paraId="68BF73CE">
            <w:pPr>
              <w:pStyle w:val="26"/>
              <w:bidi w:val="0"/>
              <w:rPr>
                <w:color w:val="auto"/>
                <w:lang w:val="en-US" w:eastAsia="zh-CN"/>
              </w:rPr>
            </w:pPr>
          </w:p>
        </w:tc>
      </w:tr>
      <w:tr w14:paraId="0954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523E0A74">
            <w:pPr>
              <w:pStyle w:val="26"/>
              <w:bidi w:val="0"/>
              <w:rPr>
                <w:rFonts w:hint="eastAsia"/>
                <w:color w:val="auto"/>
                <w:lang w:val="en-US" w:eastAsia="zh-CN"/>
              </w:rPr>
            </w:pPr>
          </w:p>
        </w:tc>
        <w:tc>
          <w:tcPr>
            <w:tcW w:w="884" w:type="pct"/>
            <w:shd w:val="clear" w:color="auto" w:fill="auto"/>
            <w:tcMar>
              <w:left w:w="0" w:type="dxa"/>
              <w:right w:w="0" w:type="dxa"/>
            </w:tcMar>
            <w:vAlign w:val="center"/>
          </w:tcPr>
          <w:p w14:paraId="505DAB13">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年平均</w:t>
            </w:r>
          </w:p>
        </w:tc>
        <w:tc>
          <w:tcPr>
            <w:tcW w:w="775" w:type="pct"/>
            <w:tcMar>
              <w:left w:w="0" w:type="dxa"/>
              <w:right w:w="0" w:type="dxa"/>
            </w:tcMar>
            <w:vAlign w:val="center"/>
          </w:tcPr>
          <w:p w14:paraId="47D5197A">
            <w:pPr>
              <w:pStyle w:val="26"/>
              <w:bidi w:val="0"/>
              <w:rPr>
                <w:color w:val="auto"/>
                <w:lang w:val="en-US" w:eastAsia="zh-CN"/>
              </w:rPr>
            </w:pPr>
            <w:r>
              <w:rPr>
                <w:rFonts w:hint="eastAsia"/>
                <w:color w:val="auto"/>
                <w:lang w:val="en-US" w:eastAsia="zh-CN"/>
              </w:rPr>
              <w:t>0.2</w:t>
            </w:r>
          </w:p>
        </w:tc>
        <w:tc>
          <w:tcPr>
            <w:tcW w:w="836" w:type="pct"/>
            <w:vMerge w:val="continue"/>
            <w:tcMar>
              <w:left w:w="0" w:type="dxa"/>
              <w:right w:w="0" w:type="dxa"/>
            </w:tcMar>
            <w:vAlign w:val="center"/>
          </w:tcPr>
          <w:p w14:paraId="3CA9CE7B">
            <w:pPr>
              <w:pStyle w:val="26"/>
              <w:bidi w:val="0"/>
              <w:rPr>
                <w:color w:val="auto"/>
                <w:lang w:val="en-US" w:eastAsia="zh-CN"/>
              </w:rPr>
            </w:pPr>
          </w:p>
        </w:tc>
        <w:tc>
          <w:tcPr>
            <w:tcW w:w="868" w:type="pct"/>
            <w:tcMar>
              <w:left w:w="0" w:type="dxa"/>
              <w:right w:w="0" w:type="dxa"/>
            </w:tcMar>
            <w:vAlign w:val="center"/>
          </w:tcPr>
          <w:p w14:paraId="3294F88A">
            <w:pPr>
              <w:pStyle w:val="26"/>
              <w:bidi w:val="0"/>
              <w:rPr>
                <w:rFonts w:hint="default"/>
                <w:color w:val="auto"/>
                <w:lang w:val="en-US" w:eastAsia="zh-CN"/>
              </w:rPr>
            </w:pPr>
            <w:r>
              <w:rPr>
                <w:rFonts w:hint="eastAsia"/>
                <w:color w:val="auto"/>
                <w:lang w:val="en-US" w:eastAsia="zh-CN"/>
              </w:rPr>
              <w:t>0.2</w:t>
            </w:r>
          </w:p>
        </w:tc>
        <w:tc>
          <w:tcPr>
            <w:tcW w:w="1050" w:type="pct"/>
            <w:vMerge w:val="continue"/>
            <w:tcMar>
              <w:left w:w="0" w:type="dxa"/>
              <w:right w:w="0" w:type="dxa"/>
            </w:tcMar>
            <w:vAlign w:val="center"/>
          </w:tcPr>
          <w:p w14:paraId="4F390D1E">
            <w:pPr>
              <w:pStyle w:val="26"/>
              <w:bidi w:val="0"/>
              <w:rPr>
                <w:color w:val="auto"/>
                <w:lang w:val="en-US" w:eastAsia="zh-CN"/>
              </w:rPr>
            </w:pPr>
          </w:p>
        </w:tc>
      </w:tr>
      <w:tr w14:paraId="2FDE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tcMar>
              <w:left w:w="0" w:type="dxa"/>
              <w:right w:w="0" w:type="dxa"/>
            </w:tcMar>
            <w:vAlign w:val="center"/>
          </w:tcPr>
          <w:p w14:paraId="3B36DBBC">
            <w:pPr>
              <w:pStyle w:val="26"/>
              <w:bidi w:val="0"/>
              <w:rPr>
                <w:rFonts w:hint="default"/>
                <w:color w:val="auto"/>
                <w:lang w:val="en-US" w:eastAsia="zh-CN"/>
              </w:rPr>
            </w:pPr>
            <w:r>
              <w:rPr>
                <w:rFonts w:hint="eastAsia"/>
                <w:color w:val="auto"/>
                <w:lang w:val="en-US" w:eastAsia="zh-CN"/>
              </w:rPr>
              <w:t>六价铬</w:t>
            </w:r>
          </w:p>
        </w:tc>
        <w:tc>
          <w:tcPr>
            <w:tcW w:w="884" w:type="pct"/>
            <w:tcMar>
              <w:left w:w="0" w:type="dxa"/>
              <w:right w:w="0" w:type="dxa"/>
            </w:tcMar>
            <w:vAlign w:val="center"/>
          </w:tcPr>
          <w:p w14:paraId="761A8BC9">
            <w:pPr>
              <w:pStyle w:val="26"/>
              <w:bidi w:val="0"/>
              <w:rPr>
                <w:rFonts w:hint="default"/>
                <w:color w:val="auto"/>
                <w:lang w:val="en-US" w:eastAsia="zh-CN"/>
              </w:rPr>
            </w:pPr>
            <w:r>
              <w:rPr>
                <w:rFonts w:hint="eastAsia"/>
                <w:color w:val="auto"/>
                <w:lang w:val="en-US" w:eastAsia="zh-CN"/>
              </w:rPr>
              <w:t>年平均μg//m</w:t>
            </w:r>
            <w:r>
              <w:rPr>
                <w:rFonts w:hint="eastAsia"/>
                <w:color w:val="auto"/>
                <w:vertAlign w:val="superscript"/>
                <w:lang w:val="en-US" w:eastAsia="zh-CN"/>
              </w:rPr>
              <w:t>3</w:t>
            </w:r>
          </w:p>
        </w:tc>
        <w:tc>
          <w:tcPr>
            <w:tcW w:w="775" w:type="pct"/>
            <w:tcMar>
              <w:left w:w="0" w:type="dxa"/>
              <w:right w:w="0" w:type="dxa"/>
            </w:tcMar>
            <w:vAlign w:val="center"/>
          </w:tcPr>
          <w:p w14:paraId="041A1D81">
            <w:pPr>
              <w:pStyle w:val="26"/>
              <w:bidi w:val="0"/>
              <w:rPr>
                <w:rFonts w:hint="default"/>
                <w:color w:val="auto"/>
                <w:lang w:val="en-US" w:eastAsia="zh-CN"/>
              </w:rPr>
            </w:pPr>
            <w:r>
              <w:rPr>
                <w:rFonts w:hint="eastAsia"/>
                <w:color w:val="auto"/>
                <w:lang w:val="en-US" w:eastAsia="zh-CN"/>
              </w:rPr>
              <w:t>0.000025</w:t>
            </w:r>
          </w:p>
        </w:tc>
        <w:tc>
          <w:tcPr>
            <w:tcW w:w="2755" w:type="pct"/>
            <w:gridSpan w:val="3"/>
            <w:tcMar>
              <w:left w:w="0" w:type="dxa"/>
              <w:right w:w="0" w:type="dxa"/>
            </w:tcMar>
            <w:vAlign w:val="center"/>
          </w:tcPr>
          <w:p w14:paraId="10A23C8D">
            <w:pPr>
              <w:pStyle w:val="26"/>
              <w:bidi w:val="0"/>
              <w:rPr>
                <w:color w:val="auto"/>
                <w:lang w:val="en-US" w:eastAsia="zh-CN"/>
              </w:rPr>
            </w:pPr>
            <w:r>
              <w:rPr>
                <w:rFonts w:hint="eastAsia"/>
                <w:color w:val="auto"/>
                <w:lang w:val="en-US" w:eastAsia="zh-CN"/>
              </w:rPr>
              <w:t>（GB3095-2026）附录 A 中表 A.1</w:t>
            </w:r>
          </w:p>
        </w:tc>
      </w:tr>
      <w:tr w14:paraId="6A76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tcMar>
              <w:left w:w="0" w:type="dxa"/>
              <w:right w:w="0" w:type="dxa"/>
            </w:tcMar>
            <w:vAlign w:val="center"/>
          </w:tcPr>
          <w:p w14:paraId="3587950E">
            <w:pPr>
              <w:pStyle w:val="26"/>
              <w:bidi w:val="0"/>
              <w:rPr>
                <w:color w:val="auto"/>
                <w:lang w:val="en-US" w:eastAsia="zh-CN"/>
              </w:rPr>
            </w:pPr>
            <w:r>
              <w:rPr>
                <w:color w:val="auto"/>
                <w:lang w:val="en-US" w:eastAsia="zh-CN"/>
              </w:rPr>
              <w:t>非甲烷总烃</w:t>
            </w:r>
          </w:p>
        </w:tc>
        <w:tc>
          <w:tcPr>
            <w:tcW w:w="884" w:type="pct"/>
            <w:tcMar>
              <w:left w:w="0" w:type="dxa"/>
              <w:right w:w="0" w:type="dxa"/>
            </w:tcMar>
            <w:vAlign w:val="center"/>
          </w:tcPr>
          <w:p w14:paraId="6881FB44">
            <w:pPr>
              <w:pStyle w:val="26"/>
              <w:bidi w:val="0"/>
              <w:rPr>
                <w:rFonts w:hint="default"/>
                <w:color w:val="auto"/>
                <w:lang w:val="en-US" w:eastAsia="zh-CN"/>
              </w:rPr>
            </w:pPr>
            <w:r>
              <w:rPr>
                <w:rFonts w:hint="eastAsia"/>
                <w:color w:val="auto"/>
                <w:lang w:val="en-US" w:eastAsia="zh-CN"/>
              </w:rPr>
              <w:t>1次值</w:t>
            </w:r>
          </w:p>
        </w:tc>
        <w:tc>
          <w:tcPr>
            <w:tcW w:w="775" w:type="pct"/>
            <w:tcMar>
              <w:left w:w="0" w:type="dxa"/>
              <w:right w:w="0" w:type="dxa"/>
            </w:tcMar>
            <w:vAlign w:val="center"/>
          </w:tcPr>
          <w:p w14:paraId="1FBEB2A2">
            <w:pPr>
              <w:pStyle w:val="26"/>
              <w:bidi w:val="0"/>
              <w:rPr>
                <w:color w:val="auto"/>
                <w:lang w:val="en-US" w:eastAsia="zh-CN"/>
              </w:rPr>
            </w:pPr>
            <w:r>
              <w:rPr>
                <w:color w:val="auto"/>
                <w:lang w:val="en-US" w:eastAsia="zh-CN"/>
              </w:rPr>
              <w:t>2.0</w:t>
            </w:r>
          </w:p>
        </w:tc>
        <w:tc>
          <w:tcPr>
            <w:tcW w:w="2755" w:type="pct"/>
            <w:gridSpan w:val="3"/>
            <w:tcMar>
              <w:left w:w="0" w:type="dxa"/>
              <w:right w:w="0" w:type="dxa"/>
            </w:tcMar>
            <w:vAlign w:val="center"/>
          </w:tcPr>
          <w:p w14:paraId="530551CD">
            <w:pPr>
              <w:pStyle w:val="26"/>
              <w:bidi w:val="0"/>
              <w:rPr>
                <w:color w:val="auto"/>
                <w:lang w:val="en-US" w:eastAsia="zh-CN"/>
              </w:rPr>
            </w:pPr>
            <w:r>
              <w:rPr>
                <w:color w:val="auto"/>
                <w:lang w:val="en-US" w:eastAsia="zh-CN"/>
              </w:rPr>
              <w:t>《大气污染物综合排放标准详解》</w:t>
            </w:r>
          </w:p>
        </w:tc>
      </w:tr>
      <w:tr w14:paraId="32A0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tcMar>
              <w:left w:w="0" w:type="dxa"/>
              <w:right w:w="0" w:type="dxa"/>
            </w:tcMar>
            <w:vAlign w:val="center"/>
          </w:tcPr>
          <w:p w14:paraId="69DAADFA">
            <w:pPr>
              <w:pStyle w:val="26"/>
              <w:bidi w:val="0"/>
              <w:rPr>
                <w:rFonts w:hint="default"/>
                <w:color w:val="auto"/>
                <w:lang w:val="en-US" w:eastAsia="zh-CN"/>
              </w:rPr>
            </w:pPr>
            <w:r>
              <w:rPr>
                <w:rFonts w:hint="eastAsia"/>
                <w:color w:val="auto"/>
                <w:lang w:val="en-US" w:eastAsia="zh-CN"/>
              </w:rPr>
              <w:t>甲苯</w:t>
            </w:r>
          </w:p>
        </w:tc>
        <w:tc>
          <w:tcPr>
            <w:tcW w:w="884" w:type="pct"/>
            <w:tcMar>
              <w:left w:w="0" w:type="dxa"/>
              <w:right w:w="0" w:type="dxa"/>
            </w:tcMar>
            <w:vAlign w:val="center"/>
          </w:tcPr>
          <w:p w14:paraId="3D236432">
            <w:pPr>
              <w:pStyle w:val="26"/>
              <w:bidi w:val="0"/>
              <w:rPr>
                <w:rFonts w:hint="eastAsia"/>
                <w:color w:val="auto"/>
                <w:lang w:val="en-US" w:eastAsia="zh-CN"/>
              </w:rPr>
            </w:pPr>
            <w:r>
              <w:rPr>
                <w:color w:val="auto"/>
                <w:lang w:val="en-US" w:eastAsia="zh-CN"/>
              </w:rPr>
              <w:t>1小时平均</w:t>
            </w:r>
          </w:p>
        </w:tc>
        <w:tc>
          <w:tcPr>
            <w:tcW w:w="775" w:type="pct"/>
            <w:tcMar>
              <w:left w:w="0" w:type="dxa"/>
              <w:right w:w="0" w:type="dxa"/>
            </w:tcMar>
            <w:vAlign w:val="center"/>
          </w:tcPr>
          <w:p w14:paraId="0FD74D82">
            <w:pPr>
              <w:pStyle w:val="26"/>
              <w:bidi w:val="0"/>
              <w:rPr>
                <w:rFonts w:hint="default"/>
                <w:color w:val="auto"/>
                <w:lang w:val="en-US" w:eastAsia="zh-CN"/>
              </w:rPr>
            </w:pPr>
            <w:r>
              <w:rPr>
                <w:rFonts w:hint="eastAsia"/>
                <w:color w:val="auto"/>
                <w:lang w:val="en-US" w:eastAsia="zh-CN"/>
              </w:rPr>
              <w:t>0.2</w:t>
            </w:r>
          </w:p>
        </w:tc>
        <w:tc>
          <w:tcPr>
            <w:tcW w:w="2755" w:type="pct"/>
            <w:gridSpan w:val="3"/>
            <w:vMerge w:val="restart"/>
            <w:tcMar>
              <w:left w:w="0" w:type="dxa"/>
              <w:right w:w="0" w:type="dxa"/>
            </w:tcMar>
            <w:vAlign w:val="center"/>
          </w:tcPr>
          <w:p w14:paraId="15A6197F">
            <w:pPr>
              <w:pStyle w:val="26"/>
              <w:bidi w:val="0"/>
              <w:rPr>
                <w:color w:val="auto"/>
                <w:lang w:val="en-US" w:eastAsia="zh-CN"/>
              </w:rPr>
            </w:pPr>
            <w:r>
              <w:rPr>
                <w:rFonts w:hint="eastAsia"/>
                <w:color w:val="auto"/>
                <w:lang w:val="en-US" w:eastAsia="zh-CN"/>
              </w:rPr>
              <w:t>《环境影响评价技术导则大气环境》（HJ2.2-2018）附录D</w:t>
            </w:r>
          </w:p>
        </w:tc>
      </w:tr>
      <w:tr w14:paraId="3D08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tcMar>
              <w:left w:w="0" w:type="dxa"/>
              <w:right w:w="0" w:type="dxa"/>
            </w:tcMar>
            <w:vAlign w:val="center"/>
          </w:tcPr>
          <w:p w14:paraId="6281BE40">
            <w:pPr>
              <w:pStyle w:val="26"/>
              <w:bidi w:val="0"/>
              <w:rPr>
                <w:rFonts w:hint="default"/>
                <w:color w:val="auto"/>
                <w:lang w:val="en-US" w:eastAsia="zh-CN"/>
              </w:rPr>
            </w:pPr>
            <w:r>
              <w:rPr>
                <w:rFonts w:hint="eastAsia"/>
                <w:color w:val="auto"/>
                <w:lang w:val="en-US" w:eastAsia="zh-CN"/>
              </w:rPr>
              <w:t>二甲苯</w:t>
            </w:r>
          </w:p>
        </w:tc>
        <w:tc>
          <w:tcPr>
            <w:tcW w:w="884" w:type="pct"/>
            <w:tcMar>
              <w:left w:w="0" w:type="dxa"/>
              <w:right w:w="0" w:type="dxa"/>
            </w:tcMar>
            <w:vAlign w:val="center"/>
          </w:tcPr>
          <w:p w14:paraId="7A2F2D51">
            <w:pPr>
              <w:pStyle w:val="26"/>
              <w:bidi w:val="0"/>
              <w:rPr>
                <w:color w:val="auto"/>
                <w:lang w:val="en-US" w:eastAsia="zh-CN"/>
              </w:rPr>
            </w:pPr>
            <w:r>
              <w:rPr>
                <w:color w:val="auto"/>
                <w:lang w:val="en-US" w:eastAsia="zh-CN"/>
              </w:rPr>
              <w:t>1小时平均</w:t>
            </w:r>
          </w:p>
        </w:tc>
        <w:tc>
          <w:tcPr>
            <w:tcW w:w="775" w:type="pct"/>
            <w:tcMar>
              <w:left w:w="0" w:type="dxa"/>
              <w:right w:w="0" w:type="dxa"/>
            </w:tcMar>
            <w:vAlign w:val="center"/>
          </w:tcPr>
          <w:p w14:paraId="16811B4B">
            <w:pPr>
              <w:pStyle w:val="26"/>
              <w:bidi w:val="0"/>
              <w:rPr>
                <w:rFonts w:hint="eastAsia"/>
                <w:color w:val="auto"/>
                <w:lang w:val="en-US" w:eastAsia="zh-CN"/>
              </w:rPr>
            </w:pPr>
            <w:r>
              <w:rPr>
                <w:rFonts w:hint="eastAsia"/>
                <w:color w:val="auto"/>
                <w:lang w:val="en-US" w:eastAsia="zh-CN"/>
              </w:rPr>
              <w:t>0.2</w:t>
            </w:r>
          </w:p>
        </w:tc>
        <w:tc>
          <w:tcPr>
            <w:tcW w:w="2755" w:type="pct"/>
            <w:gridSpan w:val="3"/>
            <w:vMerge w:val="continue"/>
            <w:tcMar>
              <w:left w:w="0" w:type="dxa"/>
              <w:right w:w="0" w:type="dxa"/>
            </w:tcMar>
            <w:vAlign w:val="center"/>
          </w:tcPr>
          <w:p w14:paraId="3A1DB988">
            <w:pPr>
              <w:pStyle w:val="26"/>
              <w:bidi w:val="0"/>
              <w:rPr>
                <w:rFonts w:hint="eastAsia"/>
                <w:color w:val="auto"/>
                <w:lang w:val="en-US" w:eastAsia="zh-CN"/>
              </w:rPr>
            </w:pPr>
          </w:p>
        </w:tc>
      </w:tr>
      <w:tr w14:paraId="6DB9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5AAE0C8F">
            <w:pPr>
              <w:pStyle w:val="26"/>
              <w:bidi w:val="0"/>
              <w:rPr>
                <w:rFonts w:hint="default"/>
                <w:color w:val="auto"/>
                <w:lang w:val="en-US" w:eastAsia="zh-CN"/>
              </w:rPr>
            </w:pPr>
            <w:r>
              <w:rPr>
                <w:rFonts w:hint="eastAsia"/>
                <w:color w:val="auto"/>
                <w:lang w:val="en-US" w:eastAsia="zh-CN"/>
              </w:rPr>
              <w:t>硫酸雾</w:t>
            </w:r>
          </w:p>
        </w:tc>
        <w:tc>
          <w:tcPr>
            <w:tcW w:w="884" w:type="pct"/>
            <w:tcMar>
              <w:left w:w="0" w:type="dxa"/>
              <w:right w:w="0" w:type="dxa"/>
            </w:tcMar>
            <w:vAlign w:val="top"/>
          </w:tcPr>
          <w:p w14:paraId="5A3F04A8">
            <w:pPr>
              <w:pStyle w:val="26"/>
              <w:bidi w:val="0"/>
              <w:rPr>
                <w:lang w:val="en-US" w:eastAsia="zh-CN"/>
              </w:rPr>
            </w:pPr>
            <w:r>
              <w:t>1 小时平均</w:t>
            </w:r>
          </w:p>
        </w:tc>
        <w:tc>
          <w:tcPr>
            <w:tcW w:w="775" w:type="pct"/>
            <w:tcMar>
              <w:left w:w="0" w:type="dxa"/>
              <w:right w:w="0" w:type="dxa"/>
            </w:tcMar>
            <w:vAlign w:val="top"/>
          </w:tcPr>
          <w:p w14:paraId="7D85D86C">
            <w:pPr>
              <w:pStyle w:val="26"/>
              <w:bidi w:val="0"/>
              <w:rPr>
                <w:rFonts w:hint="eastAsia"/>
                <w:lang w:val="en-US" w:eastAsia="zh-CN"/>
              </w:rPr>
            </w:pPr>
            <w:r>
              <w:rPr>
                <w:rFonts w:hint="eastAsia"/>
                <w:lang w:val="en-US" w:eastAsia="zh-CN"/>
              </w:rPr>
              <w:t>0.</w:t>
            </w:r>
            <w:r>
              <w:t>3</w:t>
            </w:r>
          </w:p>
        </w:tc>
        <w:tc>
          <w:tcPr>
            <w:tcW w:w="2755" w:type="pct"/>
            <w:gridSpan w:val="3"/>
            <w:vMerge w:val="continue"/>
            <w:tcMar>
              <w:left w:w="0" w:type="dxa"/>
              <w:right w:w="0" w:type="dxa"/>
            </w:tcMar>
            <w:vAlign w:val="center"/>
          </w:tcPr>
          <w:p w14:paraId="4E66AAEE">
            <w:pPr>
              <w:pStyle w:val="26"/>
              <w:bidi w:val="0"/>
              <w:rPr>
                <w:rFonts w:hint="eastAsia"/>
                <w:color w:val="auto"/>
                <w:lang w:val="en-US" w:eastAsia="zh-CN"/>
              </w:rPr>
            </w:pPr>
          </w:p>
        </w:tc>
      </w:tr>
      <w:tr w14:paraId="1353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3A646D67">
            <w:pPr>
              <w:pStyle w:val="26"/>
              <w:bidi w:val="0"/>
              <w:rPr>
                <w:rFonts w:hint="eastAsia"/>
                <w:color w:val="auto"/>
                <w:lang w:val="en-US" w:eastAsia="zh-CN"/>
              </w:rPr>
            </w:pPr>
          </w:p>
        </w:tc>
        <w:tc>
          <w:tcPr>
            <w:tcW w:w="884" w:type="pct"/>
            <w:tcMar>
              <w:left w:w="0" w:type="dxa"/>
              <w:right w:w="0" w:type="dxa"/>
            </w:tcMar>
            <w:vAlign w:val="top"/>
          </w:tcPr>
          <w:p w14:paraId="3CDA2C69">
            <w:pPr>
              <w:pStyle w:val="26"/>
              <w:bidi w:val="0"/>
              <w:rPr>
                <w:lang w:val="en-US" w:eastAsia="zh-CN"/>
              </w:rPr>
            </w:pPr>
            <w:r>
              <w:t>日平均</w:t>
            </w:r>
          </w:p>
        </w:tc>
        <w:tc>
          <w:tcPr>
            <w:tcW w:w="775" w:type="pct"/>
            <w:tcMar>
              <w:left w:w="0" w:type="dxa"/>
              <w:right w:w="0" w:type="dxa"/>
            </w:tcMar>
            <w:vAlign w:val="top"/>
          </w:tcPr>
          <w:p w14:paraId="66AF3247">
            <w:pPr>
              <w:pStyle w:val="26"/>
              <w:bidi w:val="0"/>
              <w:rPr>
                <w:rFonts w:hint="eastAsia"/>
                <w:lang w:val="en-US" w:eastAsia="zh-CN"/>
              </w:rPr>
            </w:pPr>
            <w:r>
              <w:rPr>
                <w:rFonts w:hint="eastAsia"/>
                <w:lang w:val="en-US" w:eastAsia="zh-CN"/>
              </w:rPr>
              <w:t>0.</w:t>
            </w:r>
            <w:r>
              <w:t>1</w:t>
            </w:r>
          </w:p>
        </w:tc>
        <w:tc>
          <w:tcPr>
            <w:tcW w:w="2755" w:type="pct"/>
            <w:gridSpan w:val="3"/>
            <w:vMerge w:val="continue"/>
            <w:tcMar>
              <w:left w:w="0" w:type="dxa"/>
              <w:right w:w="0" w:type="dxa"/>
            </w:tcMar>
            <w:vAlign w:val="center"/>
          </w:tcPr>
          <w:p w14:paraId="2DCDBCB6">
            <w:pPr>
              <w:pStyle w:val="26"/>
              <w:bidi w:val="0"/>
              <w:rPr>
                <w:rFonts w:hint="eastAsia"/>
                <w:color w:val="auto"/>
                <w:lang w:val="en-US" w:eastAsia="zh-CN"/>
              </w:rPr>
            </w:pPr>
          </w:p>
        </w:tc>
      </w:tr>
      <w:tr w14:paraId="36F8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restart"/>
            <w:tcMar>
              <w:left w:w="0" w:type="dxa"/>
              <w:right w:w="0" w:type="dxa"/>
            </w:tcMar>
            <w:vAlign w:val="center"/>
          </w:tcPr>
          <w:p w14:paraId="53022C5C">
            <w:pPr>
              <w:pStyle w:val="26"/>
              <w:bidi w:val="0"/>
              <w:rPr>
                <w:rFonts w:hint="default"/>
                <w:color w:val="auto"/>
                <w:lang w:val="en-US" w:eastAsia="zh-CN"/>
              </w:rPr>
            </w:pPr>
            <w:r>
              <w:rPr>
                <w:rFonts w:hint="eastAsia"/>
                <w:color w:val="auto"/>
                <w:lang w:val="en-US" w:eastAsia="zh-CN"/>
              </w:rPr>
              <w:t>氯化氢</w:t>
            </w:r>
          </w:p>
        </w:tc>
        <w:tc>
          <w:tcPr>
            <w:tcW w:w="884" w:type="pct"/>
            <w:tcMar>
              <w:left w:w="0" w:type="dxa"/>
              <w:right w:w="0" w:type="dxa"/>
            </w:tcMar>
            <w:vAlign w:val="top"/>
          </w:tcPr>
          <w:p w14:paraId="4C8B8114">
            <w:pPr>
              <w:pStyle w:val="26"/>
              <w:bidi w:val="0"/>
              <w:rPr>
                <w:lang w:val="en-US" w:eastAsia="zh-CN"/>
              </w:rPr>
            </w:pPr>
            <w:r>
              <w:t>1 小时平均</w:t>
            </w:r>
          </w:p>
        </w:tc>
        <w:tc>
          <w:tcPr>
            <w:tcW w:w="775" w:type="pct"/>
            <w:tcMar>
              <w:left w:w="0" w:type="dxa"/>
              <w:right w:w="0" w:type="dxa"/>
            </w:tcMar>
            <w:vAlign w:val="top"/>
          </w:tcPr>
          <w:p w14:paraId="49CCD748">
            <w:pPr>
              <w:pStyle w:val="26"/>
              <w:bidi w:val="0"/>
              <w:rPr>
                <w:rFonts w:hint="eastAsia"/>
                <w:lang w:val="en-US" w:eastAsia="zh-CN"/>
              </w:rPr>
            </w:pPr>
            <w:r>
              <w:rPr>
                <w:rFonts w:hint="eastAsia"/>
                <w:lang w:val="en-US" w:eastAsia="zh-CN"/>
              </w:rPr>
              <w:t>0.0</w:t>
            </w:r>
            <w:r>
              <w:t>5</w:t>
            </w:r>
          </w:p>
        </w:tc>
        <w:tc>
          <w:tcPr>
            <w:tcW w:w="2755" w:type="pct"/>
            <w:gridSpan w:val="3"/>
            <w:vMerge w:val="continue"/>
            <w:tcMar>
              <w:left w:w="0" w:type="dxa"/>
              <w:right w:w="0" w:type="dxa"/>
            </w:tcMar>
            <w:vAlign w:val="center"/>
          </w:tcPr>
          <w:p w14:paraId="68BF7DD9">
            <w:pPr>
              <w:pStyle w:val="26"/>
              <w:bidi w:val="0"/>
              <w:rPr>
                <w:rFonts w:hint="eastAsia"/>
                <w:color w:val="auto"/>
                <w:lang w:val="en-US" w:eastAsia="zh-CN"/>
              </w:rPr>
            </w:pPr>
          </w:p>
        </w:tc>
      </w:tr>
      <w:tr w14:paraId="5791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pct"/>
            <w:vMerge w:val="continue"/>
            <w:tcMar>
              <w:left w:w="0" w:type="dxa"/>
              <w:right w:w="0" w:type="dxa"/>
            </w:tcMar>
            <w:vAlign w:val="center"/>
          </w:tcPr>
          <w:p w14:paraId="1C0F02A9">
            <w:pPr>
              <w:pStyle w:val="26"/>
              <w:bidi w:val="0"/>
              <w:rPr>
                <w:rFonts w:hint="eastAsia"/>
                <w:color w:val="auto"/>
                <w:lang w:val="en-US" w:eastAsia="zh-CN"/>
              </w:rPr>
            </w:pPr>
          </w:p>
        </w:tc>
        <w:tc>
          <w:tcPr>
            <w:tcW w:w="884" w:type="pct"/>
            <w:tcMar>
              <w:left w:w="0" w:type="dxa"/>
              <w:right w:w="0" w:type="dxa"/>
            </w:tcMar>
            <w:vAlign w:val="top"/>
          </w:tcPr>
          <w:p w14:paraId="03B49792">
            <w:pPr>
              <w:pStyle w:val="26"/>
              <w:bidi w:val="0"/>
              <w:rPr>
                <w:lang w:val="en-US" w:eastAsia="zh-CN"/>
              </w:rPr>
            </w:pPr>
            <w:r>
              <w:t>日平均</w:t>
            </w:r>
          </w:p>
        </w:tc>
        <w:tc>
          <w:tcPr>
            <w:tcW w:w="775" w:type="pct"/>
            <w:tcMar>
              <w:left w:w="0" w:type="dxa"/>
              <w:right w:w="0" w:type="dxa"/>
            </w:tcMar>
            <w:vAlign w:val="top"/>
          </w:tcPr>
          <w:p w14:paraId="28251623">
            <w:pPr>
              <w:pStyle w:val="26"/>
              <w:bidi w:val="0"/>
              <w:rPr>
                <w:rFonts w:hint="eastAsia"/>
                <w:lang w:val="en-US" w:eastAsia="zh-CN"/>
              </w:rPr>
            </w:pPr>
            <w:r>
              <w:rPr>
                <w:rFonts w:hint="eastAsia"/>
                <w:lang w:val="en-US" w:eastAsia="zh-CN"/>
              </w:rPr>
              <w:t>0.0</w:t>
            </w:r>
            <w:r>
              <w:t>15</w:t>
            </w:r>
          </w:p>
        </w:tc>
        <w:tc>
          <w:tcPr>
            <w:tcW w:w="2755" w:type="pct"/>
            <w:gridSpan w:val="3"/>
            <w:vMerge w:val="continue"/>
            <w:tcMar>
              <w:left w:w="0" w:type="dxa"/>
              <w:right w:w="0" w:type="dxa"/>
            </w:tcMar>
            <w:vAlign w:val="center"/>
          </w:tcPr>
          <w:p w14:paraId="2F085264">
            <w:pPr>
              <w:pStyle w:val="26"/>
              <w:bidi w:val="0"/>
              <w:rPr>
                <w:rFonts w:hint="eastAsia"/>
                <w:color w:val="auto"/>
                <w:lang w:val="en-US" w:eastAsia="zh-CN"/>
              </w:rPr>
            </w:pPr>
          </w:p>
        </w:tc>
      </w:tr>
    </w:tbl>
    <w:p w14:paraId="7CF730F5">
      <w:pPr>
        <w:rPr>
          <w:rFonts w:ascii="Times New Roman" w:hAnsi="Times New Roman"/>
          <w:color w:val="auto"/>
        </w:rPr>
      </w:pPr>
      <w:r>
        <w:rPr>
          <w:rFonts w:hint="eastAsia" w:ascii="Times New Roman" w:hAnsi="Times New Roman"/>
          <w:color w:val="auto"/>
        </w:rPr>
        <w:t>（2）地表水环境质量标准</w:t>
      </w:r>
    </w:p>
    <w:p w14:paraId="70F02BA4">
      <w:pPr>
        <w:rPr>
          <w:rFonts w:hint="eastAsia" w:ascii="Times New Roman" w:hAnsi="Times New Roman" w:eastAsia="仿宋_GB2312"/>
          <w:color w:val="auto"/>
          <w:lang w:eastAsia="zh-CN"/>
        </w:rPr>
      </w:pPr>
      <w:r>
        <w:rPr>
          <w:rFonts w:hint="eastAsia" w:ascii="Times New Roman" w:hAnsi="Times New Roman"/>
          <w:color w:val="auto"/>
        </w:rPr>
        <w:t>本项目生活污水依托厂区现有污水管网接入市政污水管网，进入昆山建邦环境投资有限公司花桥污水处理厂处理，其纳污水体为小瓦浦河，最终汇入吴淞江。</w:t>
      </w:r>
      <w:r>
        <w:rPr>
          <w:rFonts w:hint="eastAsia" w:ascii="Times New Roman" w:hAnsi="Times New Roman"/>
          <w:color w:val="auto"/>
          <w:lang w:val="en-US" w:eastAsia="zh-CN"/>
        </w:rPr>
        <w:t>对照</w:t>
      </w:r>
      <w:r>
        <w:rPr>
          <w:rFonts w:hint="eastAsia" w:ascii="Times New Roman" w:hAnsi="Times New Roman"/>
          <w:color w:val="auto"/>
        </w:rPr>
        <w:t>《关于印发&lt;江苏省地表水（环境）功能区划（2021—2030年）&gt;的通知》（苏环办[2022]82号）吴淞江水质目标为Ⅲ类水体（2030年），执行《地表水环境质量标准》（GB3838-2002）Ⅲ类水体标准</w:t>
      </w:r>
      <w:r>
        <w:rPr>
          <w:rFonts w:hint="eastAsia" w:ascii="Times New Roman" w:hAnsi="Times New Roman"/>
          <w:color w:val="auto"/>
          <w:lang w:eastAsia="zh-CN"/>
        </w:rPr>
        <w:t>。</w:t>
      </w:r>
    </w:p>
    <w:p w14:paraId="1CCEAB59">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4</w:t>
      </w:r>
      <w:r>
        <w:rPr>
          <w:color w:val="auto"/>
          <w:lang w:val="en-US" w:eastAsia="zh-CN"/>
        </w:rPr>
        <w:fldChar w:fldCharType="end"/>
      </w:r>
      <w:r>
        <w:rPr>
          <w:color w:val="auto"/>
          <w:lang w:val="en-US" w:eastAsia="zh-CN"/>
        </w:rPr>
        <w:t>地表水环境质量标准</w:t>
      </w:r>
    </w:p>
    <w:tbl>
      <w:tblPr>
        <w:tblStyle w:val="21"/>
        <w:tblW w:w="5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1"/>
        <w:gridCol w:w="2361"/>
        <w:gridCol w:w="2535"/>
        <w:gridCol w:w="2536"/>
      </w:tblGrid>
      <w:tr w14:paraId="13BF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tcMar>
              <w:left w:w="0" w:type="dxa"/>
              <w:right w:w="0" w:type="dxa"/>
            </w:tcMar>
            <w:vAlign w:val="center"/>
          </w:tcPr>
          <w:p w14:paraId="4D12A7EC">
            <w:pPr>
              <w:pStyle w:val="36"/>
              <w:bidi w:val="0"/>
              <w:rPr>
                <w:color w:val="auto"/>
                <w:lang w:val="en-US" w:eastAsia="zh-CN"/>
              </w:rPr>
            </w:pPr>
            <w:r>
              <w:rPr>
                <w:color w:val="auto"/>
                <w:lang w:val="en-US" w:eastAsia="zh-CN"/>
              </w:rPr>
              <w:t>序号</w:t>
            </w:r>
          </w:p>
        </w:tc>
        <w:tc>
          <w:tcPr>
            <w:tcW w:w="1413" w:type="pct"/>
            <w:tcMar>
              <w:left w:w="0" w:type="dxa"/>
              <w:right w:w="0" w:type="dxa"/>
            </w:tcMar>
            <w:vAlign w:val="center"/>
          </w:tcPr>
          <w:p w14:paraId="215C0C15">
            <w:pPr>
              <w:pStyle w:val="36"/>
              <w:bidi w:val="0"/>
              <w:rPr>
                <w:color w:val="auto"/>
                <w:lang w:val="en-US" w:eastAsia="zh-CN"/>
              </w:rPr>
            </w:pPr>
            <w:r>
              <w:rPr>
                <w:color w:val="auto"/>
                <w:lang w:val="en-US" w:eastAsia="zh-CN"/>
              </w:rPr>
              <w:t>评价因子</w:t>
            </w:r>
          </w:p>
        </w:tc>
        <w:tc>
          <w:tcPr>
            <w:tcW w:w="1517" w:type="pct"/>
            <w:tcMar>
              <w:left w:w="0" w:type="dxa"/>
              <w:right w:w="0" w:type="dxa"/>
            </w:tcMar>
            <w:vAlign w:val="center"/>
          </w:tcPr>
          <w:p w14:paraId="5D8921FE">
            <w:pPr>
              <w:pStyle w:val="36"/>
              <w:bidi w:val="0"/>
              <w:rPr>
                <w:color w:val="auto"/>
                <w:lang w:val="en-US" w:eastAsia="zh-CN"/>
              </w:rPr>
            </w:pPr>
            <w:r>
              <w:rPr>
                <w:rFonts w:hint="eastAsia"/>
                <w:color w:val="auto"/>
                <w:lang w:val="en-US" w:eastAsia="zh-CN"/>
              </w:rPr>
              <w:t>Ⅲ</w:t>
            </w:r>
            <w:r>
              <w:rPr>
                <w:color w:val="auto"/>
                <w:lang w:val="en-US" w:eastAsia="zh-CN"/>
              </w:rPr>
              <w:t>类浓度限值</w:t>
            </w:r>
          </w:p>
        </w:tc>
        <w:tc>
          <w:tcPr>
            <w:tcW w:w="1517" w:type="pct"/>
            <w:tcMar>
              <w:left w:w="0" w:type="dxa"/>
              <w:right w:w="0" w:type="dxa"/>
            </w:tcMar>
            <w:vAlign w:val="center"/>
          </w:tcPr>
          <w:p w14:paraId="75D3E790">
            <w:pPr>
              <w:pStyle w:val="36"/>
              <w:bidi w:val="0"/>
              <w:rPr>
                <w:color w:val="auto"/>
                <w:lang w:val="en-US" w:eastAsia="zh-CN"/>
              </w:rPr>
            </w:pPr>
            <w:r>
              <w:rPr>
                <w:color w:val="auto"/>
                <w:lang w:val="en-US" w:eastAsia="zh-CN"/>
              </w:rPr>
              <w:t>执行标准</w:t>
            </w:r>
          </w:p>
        </w:tc>
      </w:tr>
      <w:tr w14:paraId="1310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tcMar>
              <w:left w:w="0" w:type="dxa"/>
              <w:right w:w="0" w:type="dxa"/>
            </w:tcMar>
            <w:vAlign w:val="center"/>
          </w:tcPr>
          <w:p w14:paraId="52C666E6">
            <w:pPr>
              <w:pStyle w:val="26"/>
              <w:bidi w:val="0"/>
              <w:rPr>
                <w:color w:val="auto"/>
                <w:lang w:val="en-US" w:eastAsia="zh-CN"/>
              </w:rPr>
            </w:pPr>
            <w:r>
              <w:rPr>
                <w:color w:val="auto"/>
                <w:lang w:val="en-US" w:eastAsia="zh-CN"/>
              </w:rPr>
              <w:t>1</w:t>
            </w:r>
          </w:p>
        </w:tc>
        <w:tc>
          <w:tcPr>
            <w:tcW w:w="1413" w:type="pct"/>
            <w:tcMar>
              <w:left w:w="0" w:type="dxa"/>
              <w:right w:w="0" w:type="dxa"/>
            </w:tcMar>
            <w:vAlign w:val="center"/>
          </w:tcPr>
          <w:p w14:paraId="1570D910">
            <w:pPr>
              <w:pStyle w:val="26"/>
              <w:bidi w:val="0"/>
              <w:rPr>
                <w:color w:val="auto"/>
                <w:lang w:val="en-US" w:eastAsia="zh-CN"/>
              </w:rPr>
            </w:pPr>
            <w:r>
              <w:rPr>
                <w:color w:val="auto"/>
                <w:lang w:val="en-US" w:eastAsia="zh-CN"/>
              </w:rPr>
              <w:t>pH</w:t>
            </w:r>
          </w:p>
        </w:tc>
        <w:tc>
          <w:tcPr>
            <w:tcW w:w="1517" w:type="pct"/>
            <w:tcMar>
              <w:left w:w="0" w:type="dxa"/>
              <w:right w:w="0" w:type="dxa"/>
            </w:tcMar>
            <w:vAlign w:val="center"/>
          </w:tcPr>
          <w:p w14:paraId="482A337B">
            <w:pPr>
              <w:pStyle w:val="26"/>
              <w:bidi w:val="0"/>
              <w:rPr>
                <w:color w:val="auto"/>
                <w:lang w:val="en-US" w:eastAsia="zh-CN"/>
              </w:rPr>
            </w:pPr>
            <w:r>
              <w:rPr>
                <w:color w:val="auto"/>
                <w:lang w:val="en-US" w:eastAsia="zh-CN"/>
              </w:rPr>
              <w:t>6~9</w:t>
            </w:r>
          </w:p>
        </w:tc>
        <w:tc>
          <w:tcPr>
            <w:tcW w:w="1517" w:type="pct"/>
            <w:vMerge w:val="restart"/>
            <w:tcMar>
              <w:left w:w="0" w:type="dxa"/>
              <w:right w:w="0" w:type="dxa"/>
            </w:tcMar>
            <w:vAlign w:val="center"/>
          </w:tcPr>
          <w:p w14:paraId="7F3E4233">
            <w:pPr>
              <w:pStyle w:val="26"/>
              <w:bidi w:val="0"/>
              <w:rPr>
                <w:color w:val="auto"/>
                <w:lang w:val="en-US" w:eastAsia="zh-CN"/>
              </w:rPr>
            </w:pPr>
            <w:r>
              <w:rPr>
                <w:color w:val="auto"/>
                <w:lang w:val="en-US" w:eastAsia="zh-CN"/>
              </w:rPr>
              <w:t>GB3838-2002表1</w:t>
            </w:r>
          </w:p>
        </w:tc>
      </w:tr>
      <w:tr w14:paraId="708D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tcMar>
              <w:left w:w="0" w:type="dxa"/>
              <w:right w:w="0" w:type="dxa"/>
            </w:tcMar>
            <w:vAlign w:val="center"/>
          </w:tcPr>
          <w:p w14:paraId="4E21E409">
            <w:pPr>
              <w:pStyle w:val="26"/>
              <w:bidi w:val="0"/>
              <w:rPr>
                <w:color w:val="auto"/>
                <w:lang w:val="en-US" w:eastAsia="zh-CN"/>
              </w:rPr>
            </w:pPr>
            <w:r>
              <w:rPr>
                <w:color w:val="auto"/>
                <w:lang w:val="en-US" w:eastAsia="zh-CN"/>
              </w:rPr>
              <w:t>2</w:t>
            </w:r>
          </w:p>
        </w:tc>
        <w:tc>
          <w:tcPr>
            <w:tcW w:w="1413" w:type="pct"/>
            <w:tcMar>
              <w:left w:w="0" w:type="dxa"/>
              <w:right w:w="0" w:type="dxa"/>
            </w:tcMar>
            <w:vAlign w:val="top"/>
          </w:tcPr>
          <w:p w14:paraId="03A560C7">
            <w:pPr>
              <w:pStyle w:val="26"/>
              <w:bidi w:val="0"/>
              <w:rPr>
                <w:lang w:val="en-US" w:eastAsia="zh-CN"/>
              </w:rPr>
            </w:pPr>
            <w:r>
              <w:t>COD</w:t>
            </w:r>
          </w:p>
        </w:tc>
        <w:tc>
          <w:tcPr>
            <w:tcW w:w="1517" w:type="pct"/>
            <w:tcMar>
              <w:left w:w="0" w:type="dxa"/>
              <w:right w:w="0" w:type="dxa"/>
            </w:tcMar>
            <w:vAlign w:val="top"/>
          </w:tcPr>
          <w:p w14:paraId="5711C2DC">
            <w:pPr>
              <w:pStyle w:val="26"/>
              <w:bidi w:val="0"/>
              <w:rPr>
                <w:lang w:val="en-US" w:eastAsia="zh-CN"/>
              </w:rPr>
            </w:pPr>
            <w:r>
              <w:t>≤20</w:t>
            </w:r>
          </w:p>
        </w:tc>
        <w:tc>
          <w:tcPr>
            <w:tcW w:w="1517" w:type="pct"/>
            <w:vMerge w:val="continue"/>
            <w:tcMar>
              <w:left w:w="0" w:type="dxa"/>
              <w:right w:w="0" w:type="dxa"/>
            </w:tcMar>
            <w:vAlign w:val="center"/>
          </w:tcPr>
          <w:p w14:paraId="792BD29C">
            <w:pPr>
              <w:pStyle w:val="26"/>
              <w:bidi w:val="0"/>
              <w:rPr>
                <w:color w:val="auto"/>
                <w:lang w:val="en-US" w:eastAsia="zh-CN"/>
              </w:rPr>
            </w:pPr>
          </w:p>
        </w:tc>
      </w:tr>
      <w:tr w14:paraId="3142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shd w:val="clear" w:color="auto" w:fill="auto"/>
            <w:tcMar>
              <w:left w:w="0" w:type="dxa"/>
              <w:right w:w="0" w:type="dxa"/>
            </w:tcMar>
            <w:vAlign w:val="center"/>
          </w:tcPr>
          <w:p w14:paraId="256E833C">
            <w:pPr>
              <w:pStyle w:val="26"/>
              <w:bidi w:val="0"/>
              <w:rPr>
                <w:rFonts w:ascii="Times New Roman" w:hAnsi="Times New Roman" w:eastAsia="仿宋_GB2312" w:cs="Times New Roman"/>
                <w:color w:val="auto"/>
                <w:kern w:val="2"/>
                <w:sz w:val="21"/>
                <w:szCs w:val="22"/>
                <w:lang w:val="en-US" w:eastAsia="zh-CN" w:bidi="ar-SA"/>
              </w:rPr>
            </w:pPr>
            <w:r>
              <w:rPr>
                <w:rFonts w:hint="eastAsia"/>
                <w:color w:val="auto"/>
                <w:lang w:val="en-US" w:eastAsia="zh-CN"/>
              </w:rPr>
              <w:t>3</w:t>
            </w:r>
          </w:p>
        </w:tc>
        <w:tc>
          <w:tcPr>
            <w:tcW w:w="1413" w:type="pct"/>
            <w:tcMar>
              <w:left w:w="0" w:type="dxa"/>
              <w:right w:w="0" w:type="dxa"/>
            </w:tcMar>
            <w:vAlign w:val="top"/>
          </w:tcPr>
          <w:p w14:paraId="0D3B9F25">
            <w:pPr>
              <w:pStyle w:val="26"/>
              <w:bidi w:val="0"/>
              <w:rPr>
                <w:rFonts w:hint="default" w:eastAsia="仿宋_GB2312"/>
                <w:lang w:val="en-US" w:eastAsia="zh-CN"/>
              </w:rPr>
            </w:pPr>
            <w:r>
              <w:rPr>
                <w:rFonts w:hint="eastAsia"/>
                <w:lang w:val="en-US" w:eastAsia="zh-CN"/>
              </w:rPr>
              <w:t>BOD5</w:t>
            </w:r>
          </w:p>
        </w:tc>
        <w:tc>
          <w:tcPr>
            <w:tcW w:w="1517" w:type="pct"/>
            <w:tcMar>
              <w:left w:w="0" w:type="dxa"/>
              <w:right w:w="0" w:type="dxa"/>
            </w:tcMar>
            <w:vAlign w:val="top"/>
          </w:tcPr>
          <w:p w14:paraId="258526D3">
            <w:pPr>
              <w:pStyle w:val="26"/>
              <w:bidi w:val="0"/>
              <w:rPr>
                <w:rFonts w:hint="eastAsia" w:eastAsia="仿宋_GB2312"/>
                <w:lang w:eastAsia="zh-CN"/>
              </w:rPr>
            </w:pPr>
            <w:r>
              <w:t>≤</w:t>
            </w:r>
            <w:r>
              <w:rPr>
                <w:rFonts w:hint="eastAsia"/>
                <w:lang w:val="en-US" w:eastAsia="zh-CN"/>
              </w:rPr>
              <w:t>4</w:t>
            </w:r>
          </w:p>
        </w:tc>
        <w:tc>
          <w:tcPr>
            <w:tcW w:w="1517" w:type="pct"/>
            <w:vMerge w:val="continue"/>
            <w:tcMar>
              <w:left w:w="0" w:type="dxa"/>
              <w:right w:w="0" w:type="dxa"/>
            </w:tcMar>
            <w:vAlign w:val="center"/>
          </w:tcPr>
          <w:p w14:paraId="50065122">
            <w:pPr>
              <w:pStyle w:val="26"/>
              <w:bidi w:val="0"/>
              <w:rPr>
                <w:color w:val="auto"/>
                <w:lang w:val="en-US" w:eastAsia="zh-CN"/>
              </w:rPr>
            </w:pPr>
          </w:p>
        </w:tc>
      </w:tr>
      <w:tr w14:paraId="3A74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shd w:val="clear" w:color="auto" w:fill="auto"/>
            <w:tcMar>
              <w:left w:w="0" w:type="dxa"/>
              <w:right w:w="0" w:type="dxa"/>
            </w:tcMar>
            <w:vAlign w:val="center"/>
          </w:tcPr>
          <w:p w14:paraId="6D782D71">
            <w:pPr>
              <w:pStyle w:val="26"/>
              <w:bidi w:val="0"/>
              <w:rPr>
                <w:rFonts w:ascii="Times New Roman" w:hAnsi="Times New Roman" w:eastAsia="仿宋_GB2312" w:cs="Times New Roman"/>
                <w:color w:val="auto"/>
                <w:kern w:val="2"/>
                <w:sz w:val="21"/>
                <w:szCs w:val="22"/>
                <w:lang w:val="en-US" w:eastAsia="zh-CN" w:bidi="ar-SA"/>
              </w:rPr>
            </w:pPr>
            <w:r>
              <w:rPr>
                <w:rFonts w:hint="eastAsia"/>
                <w:color w:val="auto"/>
                <w:lang w:val="en-US" w:eastAsia="zh-CN"/>
              </w:rPr>
              <w:t>4</w:t>
            </w:r>
          </w:p>
        </w:tc>
        <w:tc>
          <w:tcPr>
            <w:tcW w:w="1413" w:type="pct"/>
            <w:tcMar>
              <w:left w:w="0" w:type="dxa"/>
              <w:right w:w="0" w:type="dxa"/>
            </w:tcMar>
            <w:vAlign w:val="top"/>
          </w:tcPr>
          <w:p w14:paraId="09A4D680">
            <w:pPr>
              <w:pStyle w:val="26"/>
              <w:bidi w:val="0"/>
              <w:rPr>
                <w:rFonts w:hint="default" w:eastAsia="仿宋_GB2312"/>
                <w:lang w:val="en-US" w:eastAsia="zh-CN"/>
              </w:rPr>
            </w:pPr>
            <w:r>
              <w:rPr>
                <w:rFonts w:hint="eastAsia"/>
                <w:lang w:val="en-US" w:eastAsia="zh-CN"/>
              </w:rPr>
              <w:t>DO</w:t>
            </w:r>
          </w:p>
        </w:tc>
        <w:tc>
          <w:tcPr>
            <w:tcW w:w="1517" w:type="pct"/>
            <w:tcMar>
              <w:left w:w="0" w:type="dxa"/>
              <w:right w:w="0" w:type="dxa"/>
            </w:tcMar>
            <w:vAlign w:val="top"/>
          </w:tcPr>
          <w:p w14:paraId="650D887D">
            <w:pPr>
              <w:pStyle w:val="26"/>
              <w:bidi w:val="0"/>
              <w:rPr>
                <w:rFonts w:hint="default" w:eastAsia="仿宋_GB2312"/>
                <w:lang w:val="en-US" w:eastAsia="zh-CN"/>
              </w:rPr>
            </w:pPr>
            <w:r>
              <w:rPr>
                <w:rFonts w:hint="eastAsia"/>
                <w:lang w:val="en-US" w:eastAsia="zh-CN"/>
              </w:rPr>
              <w:t>≥5</w:t>
            </w:r>
          </w:p>
        </w:tc>
        <w:tc>
          <w:tcPr>
            <w:tcW w:w="1517" w:type="pct"/>
            <w:vMerge w:val="continue"/>
            <w:tcMar>
              <w:left w:w="0" w:type="dxa"/>
              <w:right w:w="0" w:type="dxa"/>
            </w:tcMar>
            <w:vAlign w:val="center"/>
          </w:tcPr>
          <w:p w14:paraId="72D58D5A">
            <w:pPr>
              <w:pStyle w:val="26"/>
              <w:bidi w:val="0"/>
              <w:rPr>
                <w:color w:val="auto"/>
                <w:lang w:val="en-US" w:eastAsia="zh-CN"/>
              </w:rPr>
            </w:pPr>
          </w:p>
        </w:tc>
      </w:tr>
      <w:tr w14:paraId="236E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shd w:val="clear" w:color="auto" w:fill="auto"/>
            <w:tcMar>
              <w:left w:w="0" w:type="dxa"/>
              <w:right w:w="0" w:type="dxa"/>
            </w:tcMar>
            <w:vAlign w:val="center"/>
          </w:tcPr>
          <w:p w14:paraId="0BC6572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5</w:t>
            </w:r>
          </w:p>
        </w:tc>
        <w:tc>
          <w:tcPr>
            <w:tcW w:w="1413" w:type="pct"/>
            <w:tcMar>
              <w:left w:w="0" w:type="dxa"/>
              <w:right w:w="0" w:type="dxa"/>
            </w:tcMar>
            <w:vAlign w:val="top"/>
          </w:tcPr>
          <w:p w14:paraId="350441EA">
            <w:pPr>
              <w:pStyle w:val="26"/>
              <w:bidi w:val="0"/>
              <w:rPr>
                <w:lang w:val="en-US" w:eastAsia="zh-CN"/>
              </w:rPr>
            </w:pPr>
            <w:r>
              <w:t>NH3-N</w:t>
            </w:r>
          </w:p>
        </w:tc>
        <w:tc>
          <w:tcPr>
            <w:tcW w:w="1517" w:type="pct"/>
            <w:tcMar>
              <w:left w:w="0" w:type="dxa"/>
              <w:right w:w="0" w:type="dxa"/>
            </w:tcMar>
            <w:vAlign w:val="top"/>
          </w:tcPr>
          <w:p w14:paraId="193ECBA6">
            <w:pPr>
              <w:pStyle w:val="26"/>
              <w:bidi w:val="0"/>
              <w:rPr>
                <w:lang w:val="en-US" w:eastAsia="zh-CN"/>
              </w:rPr>
            </w:pPr>
            <w:r>
              <w:t>≤1.0</w:t>
            </w:r>
          </w:p>
        </w:tc>
        <w:tc>
          <w:tcPr>
            <w:tcW w:w="1517" w:type="pct"/>
            <w:vMerge w:val="continue"/>
            <w:tcMar>
              <w:left w:w="0" w:type="dxa"/>
              <w:right w:w="0" w:type="dxa"/>
            </w:tcMar>
            <w:vAlign w:val="center"/>
          </w:tcPr>
          <w:p w14:paraId="2080155C">
            <w:pPr>
              <w:pStyle w:val="26"/>
              <w:bidi w:val="0"/>
              <w:rPr>
                <w:color w:val="auto"/>
                <w:lang w:val="en-US" w:eastAsia="zh-CN"/>
              </w:rPr>
            </w:pPr>
          </w:p>
        </w:tc>
      </w:tr>
      <w:tr w14:paraId="2259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shd w:val="clear" w:color="auto" w:fill="auto"/>
            <w:tcMar>
              <w:left w:w="0" w:type="dxa"/>
              <w:right w:w="0" w:type="dxa"/>
            </w:tcMar>
            <w:vAlign w:val="center"/>
          </w:tcPr>
          <w:p w14:paraId="6020BB8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6</w:t>
            </w:r>
          </w:p>
        </w:tc>
        <w:tc>
          <w:tcPr>
            <w:tcW w:w="1413" w:type="pct"/>
            <w:tcMar>
              <w:left w:w="0" w:type="dxa"/>
              <w:right w:w="0" w:type="dxa"/>
            </w:tcMar>
            <w:vAlign w:val="top"/>
          </w:tcPr>
          <w:p w14:paraId="1BD55C10">
            <w:pPr>
              <w:pStyle w:val="26"/>
              <w:bidi w:val="0"/>
              <w:rPr>
                <w:lang w:val="en-US" w:eastAsia="zh-CN"/>
              </w:rPr>
            </w:pPr>
            <w:r>
              <w:t>高锰酸盐指数</w:t>
            </w:r>
          </w:p>
        </w:tc>
        <w:tc>
          <w:tcPr>
            <w:tcW w:w="1517" w:type="pct"/>
            <w:tcMar>
              <w:left w:w="0" w:type="dxa"/>
              <w:right w:w="0" w:type="dxa"/>
            </w:tcMar>
            <w:vAlign w:val="top"/>
          </w:tcPr>
          <w:p w14:paraId="4A4C3361">
            <w:pPr>
              <w:pStyle w:val="26"/>
              <w:bidi w:val="0"/>
              <w:rPr>
                <w:lang w:val="en-US" w:eastAsia="zh-CN"/>
              </w:rPr>
            </w:pPr>
            <w:r>
              <w:t>≤6</w:t>
            </w:r>
          </w:p>
        </w:tc>
        <w:tc>
          <w:tcPr>
            <w:tcW w:w="1517" w:type="pct"/>
            <w:vMerge w:val="continue"/>
            <w:tcMar>
              <w:left w:w="0" w:type="dxa"/>
              <w:right w:w="0" w:type="dxa"/>
            </w:tcMar>
            <w:vAlign w:val="center"/>
          </w:tcPr>
          <w:p w14:paraId="185B2461">
            <w:pPr>
              <w:pStyle w:val="26"/>
              <w:bidi w:val="0"/>
              <w:rPr>
                <w:color w:val="auto"/>
                <w:lang w:val="en-US" w:eastAsia="zh-CN"/>
              </w:rPr>
            </w:pPr>
          </w:p>
        </w:tc>
      </w:tr>
      <w:tr w14:paraId="72A9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tcMar>
              <w:left w:w="0" w:type="dxa"/>
              <w:right w:w="0" w:type="dxa"/>
            </w:tcMar>
            <w:vAlign w:val="center"/>
          </w:tcPr>
          <w:p w14:paraId="67865F2E">
            <w:pPr>
              <w:pStyle w:val="26"/>
              <w:bidi w:val="0"/>
              <w:rPr>
                <w:rFonts w:hint="default"/>
                <w:color w:val="auto"/>
                <w:lang w:val="en-US" w:eastAsia="zh-CN"/>
              </w:rPr>
            </w:pPr>
            <w:r>
              <w:rPr>
                <w:rFonts w:hint="eastAsia"/>
                <w:color w:val="auto"/>
                <w:lang w:val="en-US" w:eastAsia="zh-CN"/>
              </w:rPr>
              <w:t>7</w:t>
            </w:r>
          </w:p>
        </w:tc>
        <w:tc>
          <w:tcPr>
            <w:tcW w:w="1413" w:type="pct"/>
            <w:tcMar>
              <w:left w:w="0" w:type="dxa"/>
              <w:right w:w="0" w:type="dxa"/>
            </w:tcMar>
            <w:vAlign w:val="top"/>
          </w:tcPr>
          <w:p w14:paraId="7CA38DE9">
            <w:pPr>
              <w:pStyle w:val="26"/>
              <w:bidi w:val="0"/>
              <w:rPr>
                <w:lang w:val="en-US" w:eastAsia="zh-CN"/>
              </w:rPr>
            </w:pPr>
            <w:r>
              <w:t>TP</w:t>
            </w:r>
          </w:p>
        </w:tc>
        <w:tc>
          <w:tcPr>
            <w:tcW w:w="1517" w:type="pct"/>
            <w:tcMar>
              <w:left w:w="0" w:type="dxa"/>
              <w:right w:w="0" w:type="dxa"/>
            </w:tcMar>
            <w:vAlign w:val="top"/>
          </w:tcPr>
          <w:p w14:paraId="26916D43">
            <w:pPr>
              <w:pStyle w:val="26"/>
              <w:bidi w:val="0"/>
              <w:rPr>
                <w:lang w:val="en-US" w:eastAsia="zh-CN"/>
              </w:rPr>
            </w:pPr>
            <w:r>
              <w:t>≤0.2</w:t>
            </w:r>
          </w:p>
        </w:tc>
        <w:tc>
          <w:tcPr>
            <w:tcW w:w="1517" w:type="pct"/>
            <w:vMerge w:val="continue"/>
            <w:tcMar>
              <w:left w:w="0" w:type="dxa"/>
              <w:right w:w="0" w:type="dxa"/>
            </w:tcMar>
            <w:vAlign w:val="center"/>
          </w:tcPr>
          <w:p w14:paraId="5196195D">
            <w:pPr>
              <w:pStyle w:val="26"/>
              <w:bidi w:val="0"/>
              <w:rPr>
                <w:color w:val="auto"/>
                <w:lang w:val="en-US" w:eastAsia="zh-CN"/>
              </w:rPr>
            </w:pPr>
          </w:p>
        </w:tc>
      </w:tr>
      <w:tr w14:paraId="1664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1" w:type="pct"/>
            <w:tcMar>
              <w:left w:w="0" w:type="dxa"/>
              <w:right w:w="0" w:type="dxa"/>
            </w:tcMar>
            <w:vAlign w:val="center"/>
          </w:tcPr>
          <w:p w14:paraId="3A61E338">
            <w:pPr>
              <w:pStyle w:val="26"/>
              <w:bidi w:val="0"/>
              <w:rPr>
                <w:rFonts w:hint="default"/>
                <w:color w:val="auto"/>
                <w:lang w:val="en-US" w:eastAsia="zh-CN"/>
              </w:rPr>
            </w:pPr>
            <w:r>
              <w:rPr>
                <w:rFonts w:hint="eastAsia"/>
                <w:color w:val="auto"/>
                <w:lang w:val="en-US" w:eastAsia="zh-CN"/>
              </w:rPr>
              <w:t>8</w:t>
            </w:r>
          </w:p>
        </w:tc>
        <w:tc>
          <w:tcPr>
            <w:tcW w:w="1413" w:type="pct"/>
            <w:tcMar>
              <w:left w:w="0" w:type="dxa"/>
              <w:right w:w="0" w:type="dxa"/>
            </w:tcMar>
            <w:vAlign w:val="top"/>
          </w:tcPr>
          <w:p w14:paraId="6BE01CBC">
            <w:pPr>
              <w:pStyle w:val="26"/>
              <w:bidi w:val="0"/>
              <w:rPr>
                <w:lang w:val="en-US" w:eastAsia="zh-CN"/>
              </w:rPr>
            </w:pPr>
            <w:r>
              <w:t>石油类</w:t>
            </w:r>
          </w:p>
        </w:tc>
        <w:tc>
          <w:tcPr>
            <w:tcW w:w="1517" w:type="pct"/>
            <w:tcMar>
              <w:left w:w="0" w:type="dxa"/>
              <w:right w:w="0" w:type="dxa"/>
            </w:tcMar>
            <w:vAlign w:val="top"/>
          </w:tcPr>
          <w:p w14:paraId="5C755CE2">
            <w:pPr>
              <w:pStyle w:val="26"/>
              <w:bidi w:val="0"/>
              <w:rPr>
                <w:lang w:val="en-US" w:eastAsia="zh-CN"/>
              </w:rPr>
            </w:pPr>
            <w:r>
              <w:t>≤0.05</w:t>
            </w:r>
          </w:p>
        </w:tc>
        <w:tc>
          <w:tcPr>
            <w:tcW w:w="1517" w:type="pct"/>
            <w:vMerge w:val="continue"/>
            <w:tcMar>
              <w:left w:w="0" w:type="dxa"/>
              <w:right w:w="0" w:type="dxa"/>
            </w:tcMar>
            <w:vAlign w:val="center"/>
          </w:tcPr>
          <w:p w14:paraId="2E3DC317">
            <w:pPr>
              <w:pStyle w:val="26"/>
              <w:bidi w:val="0"/>
              <w:rPr>
                <w:color w:val="auto"/>
                <w:lang w:val="en-US" w:eastAsia="zh-CN"/>
              </w:rPr>
            </w:pPr>
          </w:p>
        </w:tc>
      </w:tr>
    </w:tbl>
    <w:p w14:paraId="3DF3C1A8">
      <w:pPr>
        <w:rPr>
          <w:rFonts w:ascii="Times New Roman" w:hAnsi="Times New Roman"/>
          <w:color w:val="auto"/>
        </w:rPr>
      </w:pPr>
      <w:r>
        <w:rPr>
          <w:rFonts w:hint="eastAsia" w:ascii="Times New Roman" w:hAnsi="Times New Roman"/>
          <w:color w:val="auto"/>
        </w:rPr>
        <w:t>（3）</w:t>
      </w:r>
      <w:r>
        <w:rPr>
          <w:rFonts w:ascii="Times New Roman" w:hAnsi="Times New Roman"/>
          <w:color w:val="auto"/>
        </w:rPr>
        <w:t>声环境质量标准</w:t>
      </w:r>
    </w:p>
    <w:p w14:paraId="255399D6">
      <w:pPr>
        <w:rPr>
          <w:rFonts w:ascii="Times New Roman" w:hAnsi="Times New Roman"/>
          <w:color w:val="auto"/>
        </w:rPr>
      </w:pPr>
      <w:r>
        <w:rPr>
          <w:rFonts w:ascii="Times New Roman" w:hAnsi="Times New Roman"/>
          <w:color w:val="auto"/>
        </w:rPr>
        <w:t>根据</w:t>
      </w:r>
      <w:r>
        <w:rPr>
          <w:rFonts w:hint="eastAsia" w:ascii="Times New Roman" w:hAnsi="Times New Roman"/>
          <w:color w:val="auto"/>
        </w:rPr>
        <w:t>《昆山市声环境功能区划分（2025年修订版）》</w:t>
      </w:r>
      <w:r>
        <w:rPr>
          <w:rFonts w:ascii="Times New Roman" w:hAnsi="Times New Roman"/>
          <w:color w:val="auto"/>
        </w:rPr>
        <w:t>，本项目所在地位于3类功能区范围，执行《声环境质量标准》（GB3096-2008）3类标准。具体标准值详见下表：</w:t>
      </w:r>
    </w:p>
    <w:p w14:paraId="1FB337FB">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5</w:t>
      </w:r>
      <w:r>
        <w:rPr>
          <w:color w:val="auto"/>
          <w:lang w:val="en-US" w:eastAsia="zh-CN"/>
        </w:rPr>
        <w:fldChar w:fldCharType="end"/>
      </w:r>
      <w:r>
        <w:rPr>
          <w:color w:val="auto"/>
          <w:lang w:val="en-US" w:eastAsia="zh-CN"/>
        </w:rPr>
        <w:t>声环境质量标准</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3728"/>
        <w:gridCol w:w="1101"/>
        <w:gridCol w:w="1101"/>
        <w:gridCol w:w="1101"/>
      </w:tblGrid>
      <w:tr w14:paraId="248D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 w:hRule="atLeast"/>
          <w:tblHeader/>
          <w:jc w:val="center"/>
        </w:trPr>
        <w:tc>
          <w:tcPr>
            <w:tcW w:w="875" w:type="pct"/>
            <w:vMerge w:val="restart"/>
            <w:vAlign w:val="center"/>
          </w:tcPr>
          <w:p w14:paraId="7522389F">
            <w:pPr>
              <w:pStyle w:val="36"/>
              <w:bidi w:val="0"/>
              <w:rPr>
                <w:color w:val="auto"/>
                <w:lang w:val="en-US" w:eastAsia="zh-CN"/>
              </w:rPr>
            </w:pPr>
            <w:r>
              <w:rPr>
                <w:color w:val="auto"/>
                <w:lang w:val="en-US" w:eastAsia="zh-CN"/>
              </w:rPr>
              <w:t>区域名</w:t>
            </w:r>
          </w:p>
        </w:tc>
        <w:tc>
          <w:tcPr>
            <w:tcW w:w="2187" w:type="pct"/>
            <w:vMerge w:val="restart"/>
            <w:vAlign w:val="center"/>
          </w:tcPr>
          <w:p w14:paraId="01C19D2D">
            <w:pPr>
              <w:pStyle w:val="36"/>
              <w:bidi w:val="0"/>
              <w:rPr>
                <w:color w:val="auto"/>
                <w:lang w:val="en-US" w:eastAsia="zh-CN"/>
              </w:rPr>
            </w:pPr>
            <w:r>
              <w:rPr>
                <w:color w:val="auto"/>
                <w:lang w:val="en-US" w:eastAsia="zh-CN"/>
              </w:rPr>
              <w:t>标准来源</w:t>
            </w:r>
          </w:p>
        </w:tc>
        <w:tc>
          <w:tcPr>
            <w:tcW w:w="646" w:type="pct"/>
            <w:vMerge w:val="restart"/>
            <w:vAlign w:val="center"/>
          </w:tcPr>
          <w:p w14:paraId="061FF04F">
            <w:pPr>
              <w:pStyle w:val="36"/>
              <w:bidi w:val="0"/>
              <w:rPr>
                <w:color w:val="auto"/>
                <w:lang w:val="en-US" w:eastAsia="zh-CN"/>
              </w:rPr>
            </w:pPr>
            <w:r>
              <w:rPr>
                <w:color w:val="auto"/>
                <w:lang w:val="en-US" w:eastAsia="zh-CN"/>
              </w:rPr>
              <w:t>单位</w:t>
            </w:r>
          </w:p>
        </w:tc>
        <w:tc>
          <w:tcPr>
            <w:tcW w:w="1292" w:type="pct"/>
            <w:gridSpan w:val="2"/>
            <w:vAlign w:val="center"/>
          </w:tcPr>
          <w:p w14:paraId="17004AE0">
            <w:pPr>
              <w:pStyle w:val="36"/>
              <w:bidi w:val="0"/>
              <w:rPr>
                <w:color w:val="auto"/>
                <w:lang w:val="en-US" w:eastAsia="zh-CN"/>
              </w:rPr>
            </w:pPr>
            <w:r>
              <w:rPr>
                <w:color w:val="auto"/>
                <w:lang w:val="en-US" w:eastAsia="zh-CN"/>
              </w:rPr>
              <w:t>标准限值</w:t>
            </w:r>
          </w:p>
        </w:tc>
      </w:tr>
      <w:tr w14:paraId="62C4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75" w:type="pct"/>
            <w:vMerge w:val="continue"/>
            <w:vAlign w:val="center"/>
          </w:tcPr>
          <w:p w14:paraId="0516F915">
            <w:pPr>
              <w:pStyle w:val="36"/>
              <w:bidi w:val="0"/>
              <w:rPr>
                <w:color w:val="auto"/>
                <w:lang w:val="en-US" w:eastAsia="zh-CN"/>
              </w:rPr>
            </w:pPr>
          </w:p>
        </w:tc>
        <w:tc>
          <w:tcPr>
            <w:tcW w:w="2187" w:type="pct"/>
            <w:vMerge w:val="continue"/>
            <w:vAlign w:val="center"/>
          </w:tcPr>
          <w:p w14:paraId="0E510187">
            <w:pPr>
              <w:pStyle w:val="36"/>
              <w:bidi w:val="0"/>
              <w:rPr>
                <w:color w:val="auto"/>
                <w:lang w:val="en-US" w:eastAsia="zh-CN"/>
              </w:rPr>
            </w:pPr>
          </w:p>
        </w:tc>
        <w:tc>
          <w:tcPr>
            <w:tcW w:w="646" w:type="pct"/>
            <w:vMerge w:val="continue"/>
            <w:vAlign w:val="center"/>
          </w:tcPr>
          <w:p w14:paraId="4C6FDB96">
            <w:pPr>
              <w:pStyle w:val="36"/>
              <w:bidi w:val="0"/>
              <w:rPr>
                <w:color w:val="auto"/>
                <w:lang w:val="en-US" w:eastAsia="zh-CN"/>
              </w:rPr>
            </w:pPr>
          </w:p>
        </w:tc>
        <w:tc>
          <w:tcPr>
            <w:tcW w:w="646" w:type="pct"/>
            <w:vAlign w:val="center"/>
          </w:tcPr>
          <w:p w14:paraId="06F73A89">
            <w:pPr>
              <w:pStyle w:val="36"/>
              <w:bidi w:val="0"/>
              <w:rPr>
                <w:color w:val="auto"/>
                <w:lang w:val="en-US" w:eastAsia="zh-CN"/>
              </w:rPr>
            </w:pPr>
            <w:r>
              <w:rPr>
                <w:color w:val="auto"/>
                <w:lang w:val="en-US" w:eastAsia="zh-CN"/>
              </w:rPr>
              <w:t>昼</w:t>
            </w:r>
          </w:p>
        </w:tc>
        <w:tc>
          <w:tcPr>
            <w:tcW w:w="646" w:type="pct"/>
            <w:vAlign w:val="center"/>
          </w:tcPr>
          <w:p w14:paraId="04139E43">
            <w:pPr>
              <w:pStyle w:val="36"/>
              <w:bidi w:val="0"/>
              <w:rPr>
                <w:color w:val="auto"/>
                <w:lang w:val="en-US" w:eastAsia="zh-CN"/>
              </w:rPr>
            </w:pPr>
            <w:r>
              <w:rPr>
                <w:color w:val="auto"/>
                <w:lang w:val="en-US" w:eastAsia="zh-CN"/>
              </w:rPr>
              <w:t>夜</w:t>
            </w:r>
          </w:p>
        </w:tc>
      </w:tr>
      <w:tr w14:paraId="1FB0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pct"/>
            <w:vAlign w:val="center"/>
          </w:tcPr>
          <w:p w14:paraId="7E11F12A">
            <w:pPr>
              <w:pStyle w:val="26"/>
              <w:bidi w:val="0"/>
              <w:rPr>
                <w:color w:val="auto"/>
                <w:lang w:val="en-US" w:eastAsia="zh-CN"/>
              </w:rPr>
            </w:pPr>
            <w:r>
              <w:rPr>
                <w:color w:val="auto"/>
                <w:lang w:val="en-US" w:eastAsia="zh-CN"/>
              </w:rPr>
              <w:t>项目所在地</w:t>
            </w:r>
          </w:p>
        </w:tc>
        <w:tc>
          <w:tcPr>
            <w:tcW w:w="2187" w:type="pct"/>
            <w:vAlign w:val="center"/>
          </w:tcPr>
          <w:p w14:paraId="6BF66DB3">
            <w:pPr>
              <w:pStyle w:val="26"/>
              <w:bidi w:val="0"/>
              <w:rPr>
                <w:color w:val="auto"/>
                <w:lang w:val="en-US" w:eastAsia="zh-CN"/>
              </w:rPr>
            </w:pPr>
            <w:r>
              <w:rPr>
                <w:color w:val="auto"/>
                <w:lang w:val="en-US" w:eastAsia="zh-CN"/>
              </w:rPr>
              <w:t>《声环境质量标准》（GB3096-2008）</w:t>
            </w:r>
          </w:p>
        </w:tc>
        <w:tc>
          <w:tcPr>
            <w:tcW w:w="646" w:type="pct"/>
            <w:vAlign w:val="center"/>
          </w:tcPr>
          <w:p w14:paraId="0203CB85">
            <w:pPr>
              <w:pStyle w:val="26"/>
              <w:bidi w:val="0"/>
              <w:rPr>
                <w:rFonts w:hint="eastAsia"/>
                <w:color w:val="auto"/>
                <w:lang w:val="en-US" w:eastAsia="zh-CN"/>
              </w:rPr>
            </w:pPr>
            <w:r>
              <w:rPr>
                <w:color w:val="auto"/>
                <w:lang w:val="en-US" w:eastAsia="zh-CN"/>
              </w:rPr>
              <w:t>dB</w:t>
            </w:r>
            <w:r>
              <w:rPr>
                <w:rFonts w:hint="eastAsia"/>
                <w:color w:val="auto"/>
                <w:lang w:val="en-US" w:eastAsia="zh-CN"/>
              </w:rPr>
              <w:t>（</w:t>
            </w:r>
            <w:r>
              <w:rPr>
                <w:color w:val="auto"/>
                <w:lang w:val="en-US" w:eastAsia="zh-CN"/>
              </w:rPr>
              <w:t>A</w:t>
            </w:r>
            <w:r>
              <w:rPr>
                <w:rFonts w:hint="eastAsia"/>
                <w:color w:val="auto"/>
                <w:lang w:val="en-US" w:eastAsia="zh-CN"/>
              </w:rPr>
              <w:t>）</w:t>
            </w:r>
          </w:p>
        </w:tc>
        <w:tc>
          <w:tcPr>
            <w:tcW w:w="646" w:type="pct"/>
            <w:vAlign w:val="center"/>
          </w:tcPr>
          <w:p w14:paraId="171A295D">
            <w:pPr>
              <w:pStyle w:val="26"/>
              <w:bidi w:val="0"/>
              <w:rPr>
                <w:color w:val="auto"/>
                <w:lang w:val="en-US" w:eastAsia="zh-CN"/>
              </w:rPr>
            </w:pPr>
            <w:r>
              <w:rPr>
                <w:color w:val="auto"/>
                <w:lang w:val="en-US" w:eastAsia="zh-CN"/>
              </w:rPr>
              <w:t>65</w:t>
            </w:r>
          </w:p>
        </w:tc>
        <w:tc>
          <w:tcPr>
            <w:tcW w:w="646" w:type="pct"/>
            <w:vAlign w:val="center"/>
          </w:tcPr>
          <w:p w14:paraId="329E7421">
            <w:pPr>
              <w:pStyle w:val="26"/>
              <w:bidi w:val="0"/>
              <w:rPr>
                <w:color w:val="auto"/>
                <w:lang w:val="en-US" w:eastAsia="zh-CN"/>
              </w:rPr>
            </w:pPr>
            <w:r>
              <w:rPr>
                <w:color w:val="auto"/>
                <w:lang w:val="en-US" w:eastAsia="zh-CN"/>
              </w:rPr>
              <w:t>55</w:t>
            </w:r>
          </w:p>
        </w:tc>
      </w:tr>
    </w:tbl>
    <w:p w14:paraId="70205D47">
      <w:pPr>
        <w:rPr>
          <w:rFonts w:ascii="Times New Roman" w:hAnsi="Times New Roman"/>
          <w:color w:val="auto"/>
        </w:rPr>
      </w:pPr>
      <w:r>
        <w:rPr>
          <w:rFonts w:hint="eastAsia" w:ascii="Times New Roman" w:hAnsi="Times New Roman"/>
          <w:color w:val="auto"/>
        </w:rPr>
        <w:t>（4）</w:t>
      </w:r>
      <w:r>
        <w:rPr>
          <w:rFonts w:ascii="Times New Roman" w:hAnsi="Times New Roman"/>
          <w:color w:val="auto"/>
        </w:rPr>
        <w:t>土壤环境质量标准</w:t>
      </w:r>
    </w:p>
    <w:p w14:paraId="3CF9AAFB">
      <w:pPr>
        <w:rPr>
          <w:rFonts w:ascii="Times New Roman" w:hAnsi="Times New Roman"/>
          <w:color w:val="auto"/>
        </w:rPr>
      </w:pPr>
      <w:r>
        <w:rPr>
          <w:rFonts w:hint="eastAsia" w:ascii="Times New Roman" w:hAnsi="Times New Roman"/>
          <w:color w:val="auto"/>
        </w:rPr>
        <w:t>本项目场地土壤执行《土壤环境质量建设用地土壤污染风险管控标准（试行）》（GB36600-2018）第二类用地筛选值标准。</w:t>
      </w:r>
      <w:r>
        <w:rPr>
          <w:rFonts w:ascii="Times New Roman" w:hAnsi="Times New Roman"/>
          <w:color w:val="auto"/>
        </w:rPr>
        <w:t>具体限值详见下表：</w:t>
      </w:r>
    </w:p>
    <w:p w14:paraId="6B26BC06">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6</w:t>
      </w:r>
      <w:r>
        <w:rPr>
          <w:color w:val="auto"/>
          <w:lang w:val="en-US" w:eastAsia="zh-CN"/>
        </w:rPr>
        <w:fldChar w:fldCharType="end"/>
      </w:r>
      <w:r>
        <w:rPr>
          <w:color w:val="auto"/>
          <w:lang w:val="en-US" w:eastAsia="zh-CN"/>
        </w:rPr>
        <w:t>建设用地土壤污染风险筛选值和管制值（单位：mg/kg）</w:t>
      </w:r>
    </w:p>
    <w:tbl>
      <w:tblPr>
        <w:tblStyle w:val="19"/>
        <w:tblW w:w="50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0"/>
        <w:gridCol w:w="2061"/>
        <w:gridCol w:w="2028"/>
        <w:gridCol w:w="1752"/>
        <w:gridCol w:w="1665"/>
      </w:tblGrid>
      <w:tr w14:paraId="4CA6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49" w:type="dxa"/>
            <w:vMerge w:val="restart"/>
            <w:noWrap w:val="0"/>
            <w:tcMar>
              <w:left w:w="0" w:type="dxa"/>
              <w:right w:w="0" w:type="dxa"/>
            </w:tcMar>
            <w:vAlign w:val="center"/>
          </w:tcPr>
          <w:p w14:paraId="3622E9BF">
            <w:pPr>
              <w:pStyle w:val="36"/>
              <w:bidi w:val="0"/>
              <w:rPr>
                <w:color w:val="auto"/>
                <w:lang w:val="en-US" w:eastAsia="zh-CN"/>
              </w:rPr>
            </w:pPr>
            <w:r>
              <w:rPr>
                <w:color w:val="auto"/>
                <w:lang w:val="en-US" w:eastAsia="zh-CN"/>
              </w:rPr>
              <w:t>序号</w:t>
            </w:r>
          </w:p>
        </w:tc>
        <w:tc>
          <w:tcPr>
            <w:tcW w:w="2059" w:type="dxa"/>
            <w:vMerge w:val="restart"/>
            <w:noWrap w:val="0"/>
            <w:tcMar>
              <w:left w:w="0" w:type="dxa"/>
              <w:right w:w="0" w:type="dxa"/>
            </w:tcMar>
            <w:vAlign w:val="center"/>
          </w:tcPr>
          <w:p w14:paraId="6A65E433">
            <w:pPr>
              <w:pStyle w:val="36"/>
              <w:bidi w:val="0"/>
              <w:rPr>
                <w:color w:val="auto"/>
                <w:lang w:val="en-US" w:eastAsia="zh-CN"/>
              </w:rPr>
            </w:pPr>
            <w:r>
              <w:rPr>
                <w:color w:val="auto"/>
                <w:lang w:val="en-US" w:eastAsia="zh-CN"/>
              </w:rPr>
              <w:t>污染物项目</w:t>
            </w:r>
          </w:p>
        </w:tc>
        <w:tc>
          <w:tcPr>
            <w:tcW w:w="2026" w:type="dxa"/>
            <w:vMerge w:val="restart"/>
            <w:noWrap w:val="0"/>
            <w:tcMar>
              <w:left w:w="0" w:type="dxa"/>
              <w:right w:w="0" w:type="dxa"/>
            </w:tcMar>
            <w:vAlign w:val="center"/>
          </w:tcPr>
          <w:p w14:paraId="77288540">
            <w:pPr>
              <w:pStyle w:val="36"/>
              <w:bidi w:val="0"/>
              <w:rPr>
                <w:color w:val="auto"/>
                <w:lang w:val="en-US" w:eastAsia="zh-CN"/>
              </w:rPr>
            </w:pPr>
            <w:r>
              <w:rPr>
                <w:color w:val="auto"/>
                <w:lang w:val="en-US" w:eastAsia="zh-CN"/>
              </w:rPr>
              <w:t>CAS编号</w:t>
            </w:r>
          </w:p>
        </w:tc>
        <w:tc>
          <w:tcPr>
            <w:tcW w:w="3412" w:type="dxa"/>
            <w:gridSpan w:val="2"/>
            <w:noWrap w:val="0"/>
            <w:tcMar>
              <w:left w:w="0" w:type="dxa"/>
              <w:right w:w="0" w:type="dxa"/>
            </w:tcMar>
            <w:vAlign w:val="center"/>
          </w:tcPr>
          <w:p w14:paraId="1A20542D">
            <w:pPr>
              <w:pStyle w:val="36"/>
              <w:bidi w:val="0"/>
              <w:rPr>
                <w:color w:val="auto"/>
                <w:lang w:val="en-US" w:eastAsia="zh-CN"/>
              </w:rPr>
            </w:pPr>
            <w:r>
              <w:rPr>
                <w:color w:val="auto"/>
                <w:lang w:val="en-US" w:eastAsia="zh-CN"/>
              </w:rPr>
              <w:t>筛选值</w:t>
            </w:r>
          </w:p>
        </w:tc>
      </w:tr>
      <w:tr w14:paraId="76E9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49" w:type="dxa"/>
            <w:vMerge w:val="continue"/>
            <w:noWrap w:val="0"/>
            <w:tcMar>
              <w:left w:w="0" w:type="dxa"/>
              <w:right w:w="0" w:type="dxa"/>
            </w:tcMar>
            <w:vAlign w:val="center"/>
          </w:tcPr>
          <w:p w14:paraId="7A655B21">
            <w:pPr>
              <w:pStyle w:val="36"/>
              <w:bidi w:val="0"/>
              <w:rPr>
                <w:color w:val="auto"/>
                <w:lang w:val="en-US" w:eastAsia="zh-CN"/>
              </w:rPr>
            </w:pPr>
          </w:p>
        </w:tc>
        <w:tc>
          <w:tcPr>
            <w:tcW w:w="2059" w:type="dxa"/>
            <w:vMerge w:val="continue"/>
            <w:noWrap w:val="0"/>
            <w:tcMar>
              <w:left w:w="0" w:type="dxa"/>
              <w:right w:w="0" w:type="dxa"/>
            </w:tcMar>
            <w:vAlign w:val="center"/>
          </w:tcPr>
          <w:p w14:paraId="68F9E7A5">
            <w:pPr>
              <w:pStyle w:val="36"/>
              <w:bidi w:val="0"/>
              <w:rPr>
                <w:color w:val="auto"/>
                <w:lang w:val="en-US" w:eastAsia="zh-CN"/>
              </w:rPr>
            </w:pPr>
          </w:p>
        </w:tc>
        <w:tc>
          <w:tcPr>
            <w:tcW w:w="2026" w:type="dxa"/>
            <w:vMerge w:val="continue"/>
            <w:noWrap w:val="0"/>
            <w:tcMar>
              <w:left w:w="0" w:type="dxa"/>
              <w:right w:w="0" w:type="dxa"/>
            </w:tcMar>
            <w:vAlign w:val="center"/>
          </w:tcPr>
          <w:p w14:paraId="680F234D">
            <w:pPr>
              <w:pStyle w:val="36"/>
              <w:bidi w:val="0"/>
              <w:rPr>
                <w:color w:val="auto"/>
                <w:lang w:val="en-US" w:eastAsia="zh-CN"/>
              </w:rPr>
            </w:pPr>
          </w:p>
        </w:tc>
        <w:tc>
          <w:tcPr>
            <w:tcW w:w="1750" w:type="dxa"/>
            <w:noWrap w:val="0"/>
            <w:tcMar>
              <w:left w:w="0" w:type="dxa"/>
              <w:right w:w="0" w:type="dxa"/>
            </w:tcMar>
            <w:vAlign w:val="center"/>
          </w:tcPr>
          <w:p w14:paraId="1A1A5868">
            <w:pPr>
              <w:pStyle w:val="36"/>
              <w:bidi w:val="0"/>
              <w:rPr>
                <w:color w:val="auto"/>
                <w:lang w:val="en-US" w:eastAsia="zh-CN"/>
              </w:rPr>
            </w:pPr>
            <w:r>
              <w:rPr>
                <w:color w:val="auto"/>
                <w:lang w:val="en-US" w:eastAsia="zh-CN"/>
              </w:rPr>
              <w:t>第一类用地</w:t>
            </w:r>
          </w:p>
        </w:tc>
        <w:tc>
          <w:tcPr>
            <w:tcW w:w="1662" w:type="dxa"/>
            <w:noWrap w:val="0"/>
            <w:tcMar>
              <w:left w:w="0" w:type="dxa"/>
              <w:right w:w="0" w:type="dxa"/>
            </w:tcMar>
            <w:vAlign w:val="center"/>
          </w:tcPr>
          <w:p w14:paraId="6763ECF6">
            <w:pPr>
              <w:pStyle w:val="36"/>
              <w:bidi w:val="0"/>
              <w:rPr>
                <w:color w:val="auto"/>
                <w:lang w:val="en-US" w:eastAsia="zh-CN"/>
              </w:rPr>
            </w:pPr>
            <w:r>
              <w:rPr>
                <w:color w:val="auto"/>
                <w:lang w:val="en-US" w:eastAsia="zh-CN"/>
              </w:rPr>
              <w:t>第二类用地</w:t>
            </w:r>
          </w:p>
        </w:tc>
      </w:tr>
      <w:tr w14:paraId="7646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46" w:type="dxa"/>
            <w:gridSpan w:val="5"/>
            <w:noWrap w:val="0"/>
            <w:tcMar>
              <w:left w:w="0" w:type="dxa"/>
              <w:right w:w="0" w:type="dxa"/>
            </w:tcMar>
            <w:vAlign w:val="center"/>
          </w:tcPr>
          <w:p w14:paraId="4302612F">
            <w:pPr>
              <w:pStyle w:val="26"/>
              <w:bidi w:val="0"/>
              <w:rPr>
                <w:color w:val="auto"/>
                <w:lang w:val="en-US" w:eastAsia="zh-CN"/>
              </w:rPr>
            </w:pPr>
            <w:r>
              <w:rPr>
                <w:color w:val="auto"/>
                <w:lang w:val="en-US" w:eastAsia="zh-CN"/>
              </w:rPr>
              <w:t>重金属和无机物</w:t>
            </w:r>
          </w:p>
        </w:tc>
      </w:tr>
      <w:tr w14:paraId="2F53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A574933">
            <w:pPr>
              <w:pStyle w:val="26"/>
              <w:bidi w:val="0"/>
              <w:rPr>
                <w:color w:val="auto"/>
                <w:lang w:val="en-US" w:eastAsia="zh-CN"/>
              </w:rPr>
            </w:pPr>
            <w:r>
              <w:rPr>
                <w:color w:val="auto"/>
                <w:lang w:val="en-US" w:eastAsia="zh-CN"/>
              </w:rPr>
              <w:t>1</w:t>
            </w:r>
          </w:p>
        </w:tc>
        <w:tc>
          <w:tcPr>
            <w:tcW w:w="2059" w:type="dxa"/>
            <w:noWrap w:val="0"/>
            <w:tcMar>
              <w:left w:w="0" w:type="dxa"/>
              <w:right w:w="0" w:type="dxa"/>
            </w:tcMar>
            <w:vAlign w:val="center"/>
          </w:tcPr>
          <w:p w14:paraId="69FBD839">
            <w:pPr>
              <w:pStyle w:val="26"/>
              <w:bidi w:val="0"/>
              <w:rPr>
                <w:color w:val="auto"/>
                <w:lang w:val="en-US" w:eastAsia="zh-CN"/>
              </w:rPr>
            </w:pPr>
            <w:r>
              <w:rPr>
                <w:color w:val="auto"/>
                <w:lang w:val="en-US" w:eastAsia="zh-CN"/>
              </w:rPr>
              <w:t>砷</w:t>
            </w:r>
          </w:p>
        </w:tc>
        <w:tc>
          <w:tcPr>
            <w:tcW w:w="2026" w:type="dxa"/>
            <w:noWrap w:val="0"/>
            <w:tcMar>
              <w:left w:w="0" w:type="dxa"/>
              <w:right w:w="0" w:type="dxa"/>
            </w:tcMar>
            <w:vAlign w:val="center"/>
          </w:tcPr>
          <w:p w14:paraId="6E221F5C">
            <w:pPr>
              <w:pStyle w:val="26"/>
              <w:bidi w:val="0"/>
              <w:rPr>
                <w:color w:val="auto"/>
                <w:lang w:val="en-US" w:eastAsia="zh-CN"/>
              </w:rPr>
            </w:pPr>
            <w:r>
              <w:rPr>
                <w:color w:val="auto"/>
                <w:lang w:val="en-US" w:eastAsia="zh-CN"/>
              </w:rPr>
              <w:t>7440-38-2</w:t>
            </w:r>
          </w:p>
        </w:tc>
        <w:tc>
          <w:tcPr>
            <w:tcW w:w="1750" w:type="dxa"/>
            <w:noWrap w:val="0"/>
            <w:tcMar>
              <w:left w:w="0" w:type="dxa"/>
              <w:right w:w="0" w:type="dxa"/>
            </w:tcMar>
            <w:vAlign w:val="center"/>
          </w:tcPr>
          <w:p w14:paraId="2F7F3544">
            <w:pPr>
              <w:pStyle w:val="26"/>
              <w:bidi w:val="0"/>
              <w:rPr>
                <w:color w:val="auto"/>
                <w:lang w:val="en-US" w:eastAsia="zh-CN"/>
              </w:rPr>
            </w:pPr>
            <w:r>
              <w:rPr>
                <w:color w:val="auto"/>
                <w:lang w:val="en-US" w:eastAsia="zh-CN"/>
              </w:rPr>
              <w:t>20</w:t>
            </w:r>
            <w:r>
              <w:rPr>
                <w:rFonts w:hint="eastAsia"/>
                <w:color w:val="auto"/>
                <w:lang w:val="en-US" w:eastAsia="zh-CN"/>
              </w:rPr>
              <w:t>①</w:t>
            </w:r>
          </w:p>
        </w:tc>
        <w:tc>
          <w:tcPr>
            <w:tcW w:w="1662" w:type="dxa"/>
            <w:noWrap w:val="0"/>
            <w:tcMar>
              <w:left w:w="0" w:type="dxa"/>
              <w:right w:w="0" w:type="dxa"/>
            </w:tcMar>
            <w:vAlign w:val="center"/>
          </w:tcPr>
          <w:p w14:paraId="1222CBCC">
            <w:pPr>
              <w:pStyle w:val="26"/>
              <w:bidi w:val="0"/>
              <w:rPr>
                <w:color w:val="auto"/>
                <w:lang w:val="en-US" w:eastAsia="zh-CN"/>
              </w:rPr>
            </w:pPr>
            <w:r>
              <w:rPr>
                <w:color w:val="auto"/>
                <w:lang w:val="en-US" w:eastAsia="zh-CN"/>
              </w:rPr>
              <w:t>60</w:t>
            </w:r>
            <w:r>
              <w:rPr>
                <w:rFonts w:hint="eastAsia"/>
                <w:color w:val="auto"/>
                <w:lang w:val="en-US" w:eastAsia="zh-CN"/>
              </w:rPr>
              <w:t>①</w:t>
            </w:r>
          </w:p>
        </w:tc>
      </w:tr>
      <w:tr w14:paraId="45F5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4A14CCB7">
            <w:pPr>
              <w:pStyle w:val="26"/>
              <w:bidi w:val="0"/>
              <w:rPr>
                <w:color w:val="auto"/>
                <w:lang w:val="en-US" w:eastAsia="zh-CN"/>
              </w:rPr>
            </w:pPr>
            <w:r>
              <w:rPr>
                <w:color w:val="auto"/>
                <w:lang w:val="en-US" w:eastAsia="zh-CN"/>
              </w:rPr>
              <w:t>2</w:t>
            </w:r>
          </w:p>
        </w:tc>
        <w:tc>
          <w:tcPr>
            <w:tcW w:w="2059" w:type="dxa"/>
            <w:noWrap w:val="0"/>
            <w:tcMar>
              <w:left w:w="0" w:type="dxa"/>
              <w:right w:w="0" w:type="dxa"/>
            </w:tcMar>
            <w:vAlign w:val="center"/>
          </w:tcPr>
          <w:p w14:paraId="6DC19169">
            <w:pPr>
              <w:pStyle w:val="26"/>
              <w:bidi w:val="0"/>
              <w:rPr>
                <w:color w:val="auto"/>
                <w:lang w:val="en-US" w:eastAsia="zh-CN"/>
              </w:rPr>
            </w:pPr>
            <w:r>
              <w:rPr>
                <w:color w:val="auto"/>
                <w:lang w:val="en-US" w:eastAsia="zh-CN"/>
              </w:rPr>
              <w:t>镉</w:t>
            </w:r>
          </w:p>
        </w:tc>
        <w:tc>
          <w:tcPr>
            <w:tcW w:w="2026" w:type="dxa"/>
            <w:noWrap w:val="0"/>
            <w:tcMar>
              <w:left w:w="0" w:type="dxa"/>
              <w:right w:w="0" w:type="dxa"/>
            </w:tcMar>
            <w:vAlign w:val="center"/>
          </w:tcPr>
          <w:p w14:paraId="4684C637">
            <w:pPr>
              <w:pStyle w:val="26"/>
              <w:bidi w:val="0"/>
              <w:rPr>
                <w:color w:val="auto"/>
                <w:lang w:val="en-US" w:eastAsia="zh-CN"/>
              </w:rPr>
            </w:pPr>
            <w:r>
              <w:rPr>
                <w:color w:val="auto"/>
                <w:lang w:val="en-US" w:eastAsia="zh-CN"/>
              </w:rPr>
              <w:t>7440-43-9</w:t>
            </w:r>
          </w:p>
        </w:tc>
        <w:tc>
          <w:tcPr>
            <w:tcW w:w="1750" w:type="dxa"/>
            <w:noWrap w:val="0"/>
            <w:tcMar>
              <w:left w:w="0" w:type="dxa"/>
              <w:right w:w="0" w:type="dxa"/>
            </w:tcMar>
            <w:vAlign w:val="center"/>
          </w:tcPr>
          <w:p w14:paraId="60141D2C">
            <w:pPr>
              <w:pStyle w:val="26"/>
              <w:bidi w:val="0"/>
              <w:rPr>
                <w:color w:val="auto"/>
                <w:lang w:val="en-US" w:eastAsia="zh-CN"/>
              </w:rPr>
            </w:pPr>
            <w:r>
              <w:rPr>
                <w:color w:val="auto"/>
                <w:lang w:val="en-US" w:eastAsia="zh-CN"/>
              </w:rPr>
              <w:t>20</w:t>
            </w:r>
          </w:p>
        </w:tc>
        <w:tc>
          <w:tcPr>
            <w:tcW w:w="1662" w:type="dxa"/>
            <w:noWrap w:val="0"/>
            <w:tcMar>
              <w:left w:w="0" w:type="dxa"/>
              <w:right w:w="0" w:type="dxa"/>
            </w:tcMar>
            <w:vAlign w:val="center"/>
          </w:tcPr>
          <w:p w14:paraId="71C028E8">
            <w:pPr>
              <w:pStyle w:val="26"/>
              <w:bidi w:val="0"/>
              <w:rPr>
                <w:color w:val="auto"/>
                <w:lang w:val="en-US" w:eastAsia="zh-CN"/>
              </w:rPr>
            </w:pPr>
            <w:r>
              <w:rPr>
                <w:color w:val="auto"/>
                <w:lang w:val="en-US" w:eastAsia="zh-CN"/>
              </w:rPr>
              <w:t>65</w:t>
            </w:r>
          </w:p>
        </w:tc>
      </w:tr>
      <w:tr w14:paraId="7AE8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1789037">
            <w:pPr>
              <w:pStyle w:val="26"/>
              <w:bidi w:val="0"/>
              <w:rPr>
                <w:color w:val="auto"/>
                <w:lang w:val="en-US" w:eastAsia="zh-CN"/>
              </w:rPr>
            </w:pPr>
            <w:r>
              <w:rPr>
                <w:color w:val="auto"/>
                <w:lang w:val="en-US" w:eastAsia="zh-CN"/>
              </w:rPr>
              <w:t>3</w:t>
            </w:r>
          </w:p>
        </w:tc>
        <w:tc>
          <w:tcPr>
            <w:tcW w:w="2059" w:type="dxa"/>
            <w:noWrap w:val="0"/>
            <w:tcMar>
              <w:left w:w="0" w:type="dxa"/>
              <w:right w:w="0" w:type="dxa"/>
            </w:tcMar>
            <w:vAlign w:val="center"/>
          </w:tcPr>
          <w:p w14:paraId="19334964">
            <w:pPr>
              <w:pStyle w:val="26"/>
              <w:bidi w:val="0"/>
              <w:rPr>
                <w:color w:val="auto"/>
                <w:lang w:val="en-US" w:eastAsia="zh-CN"/>
              </w:rPr>
            </w:pPr>
            <w:r>
              <w:rPr>
                <w:color w:val="auto"/>
                <w:lang w:val="en-US" w:eastAsia="zh-CN"/>
              </w:rPr>
              <w:t>铬（六价）</w:t>
            </w:r>
          </w:p>
        </w:tc>
        <w:tc>
          <w:tcPr>
            <w:tcW w:w="2026" w:type="dxa"/>
            <w:noWrap w:val="0"/>
            <w:tcMar>
              <w:left w:w="0" w:type="dxa"/>
              <w:right w:w="0" w:type="dxa"/>
            </w:tcMar>
            <w:vAlign w:val="center"/>
          </w:tcPr>
          <w:p w14:paraId="40CDEE51">
            <w:pPr>
              <w:pStyle w:val="26"/>
              <w:bidi w:val="0"/>
              <w:rPr>
                <w:color w:val="auto"/>
                <w:lang w:val="en-US" w:eastAsia="zh-CN"/>
              </w:rPr>
            </w:pPr>
            <w:r>
              <w:rPr>
                <w:color w:val="auto"/>
                <w:lang w:val="en-US" w:eastAsia="zh-CN"/>
              </w:rPr>
              <w:t>18540-29-9</w:t>
            </w:r>
          </w:p>
        </w:tc>
        <w:tc>
          <w:tcPr>
            <w:tcW w:w="1750" w:type="dxa"/>
            <w:noWrap w:val="0"/>
            <w:tcMar>
              <w:left w:w="0" w:type="dxa"/>
              <w:right w:w="0" w:type="dxa"/>
            </w:tcMar>
            <w:vAlign w:val="center"/>
          </w:tcPr>
          <w:p w14:paraId="4D70B633">
            <w:pPr>
              <w:pStyle w:val="26"/>
              <w:bidi w:val="0"/>
              <w:rPr>
                <w:color w:val="auto"/>
                <w:lang w:val="en-US" w:eastAsia="zh-CN"/>
              </w:rPr>
            </w:pPr>
            <w:r>
              <w:rPr>
                <w:color w:val="auto"/>
                <w:lang w:val="en-US" w:eastAsia="zh-CN"/>
              </w:rPr>
              <w:t>3.0</w:t>
            </w:r>
          </w:p>
        </w:tc>
        <w:tc>
          <w:tcPr>
            <w:tcW w:w="1662" w:type="dxa"/>
            <w:noWrap w:val="0"/>
            <w:tcMar>
              <w:left w:w="0" w:type="dxa"/>
              <w:right w:w="0" w:type="dxa"/>
            </w:tcMar>
            <w:vAlign w:val="center"/>
          </w:tcPr>
          <w:p w14:paraId="29949647">
            <w:pPr>
              <w:pStyle w:val="26"/>
              <w:bidi w:val="0"/>
              <w:rPr>
                <w:color w:val="auto"/>
                <w:lang w:val="en-US" w:eastAsia="zh-CN"/>
              </w:rPr>
            </w:pPr>
            <w:r>
              <w:rPr>
                <w:color w:val="auto"/>
                <w:lang w:val="en-US" w:eastAsia="zh-CN"/>
              </w:rPr>
              <w:t>5.7</w:t>
            </w:r>
          </w:p>
        </w:tc>
      </w:tr>
      <w:tr w14:paraId="52DA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D3C511D">
            <w:pPr>
              <w:pStyle w:val="26"/>
              <w:bidi w:val="0"/>
              <w:rPr>
                <w:color w:val="auto"/>
                <w:lang w:val="en-US" w:eastAsia="zh-CN"/>
              </w:rPr>
            </w:pPr>
            <w:r>
              <w:rPr>
                <w:color w:val="auto"/>
                <w:lang w:val="en-US" w:eastAsia="zh-CN"/>
              </w:rPr>
              <w:t>4</w:t>
            </w:r>
          </w:p>
        </w:tc>
        <w:tc>
          <w:tcPr>
            <w:tcW w:w="2059" w:type="dxa"/>
            <w:noWrap w:val="0"/>
            <w:tcMar>
              <w:left w:w="0" w:type="dxa"/>
              <w:right w:w="0" w:type="dxa"/>
            </w:tcMar>
            <w:vAlign w:val="center"/>
          </w:tcPr>
          <w:p w14:paraId="580D165D">
            <w:pPr>
              <w:pStyle w:val="26"/>
              <w:bidi w:val="0"/>
              <w:rPr>
                <w:color w:val="auto"/>
                <w:lang w:val="en-US" w:eastAsia="zh-CN"/>
              </w:rPr>
            </w:pPr>
            <w:r>
              <w:rPr>
                <w:color w:val="auto"/>
                <w:lang w:val="en-US" w:eastAsia="zh-CN"/>
              </w:rPr>
              <w:t>铜</w:t>
            </w:r>
          </w:p>
        </w:tc>
        <w:tc>
          <w:tcPr>
            <w:tcW w:w="2026" w:type="dxa"/>
            <w:noWrap w:val="0"/>
            <w:tcMar>
              <w:left w:w="0" w:type="dxa"/>
              <w:right w:w="0" w:type="dxa"/>
            </w:tcMar>
            <w:vAlign w:val="center"/>
          </w:tcPr>
          <w:p w14:paraId="2D8912EA">
            <w:pPr>
              <w:pStyle w:val="26"/>
              <w:bidi w:val="0"/>
              <w:rPr>
                <w:color w:val="auto"/>
                <w:lang w:val="en-US" w:eastAsia="zh-CN"/>
              </w:rPr>
            </w:pPr>
            <w:r>
              <w:rPr>
                <w:color w:val="auto"/>
                <w:lang w:val="en-US" w:eastAsia="zh-CN"/>
              </w:rPr>
              <w:t>7440-50-8</w:t>
            </w:r>
          </w:p>
        </w:tc>
        <w:tc>
          <w:tcPr>
            <w:tcW w:w="1750" w:type="dxa"/>
            <w:noWrap w:val="0"/>
            <w:tcMar>
              <w:left w:w="0" w:type="dxa"/>
              <w:right w:w="0" w:type="dxa"/>
            </w:tcMar>
            <w:vAlign w:val="center"/>
          </w:tcPr>
          <w:p w14:paraId="31DD0D51">
            <w:pPr>
              <w:pStyle w:val="26"/>
              <w:bidi w:val="0"/>
              <w:rPr>
                <w:color w:val="auto"/>
                <w:lang w:val="en-US" w:eastAsia="zh-CN"/>
              </w:rPr>
            </w:pPr>
            <w:r>
              <w:rPr>
                <w:color w:val="auto"/>
                <w:lang w:val="en-US" w:eastAsia="zh-CN"/>
              </w:rPr>
              <w:t>2000</w:t>
            </w:r>
          </w:p>
        </w:tc>
        <w:tc>
          <w:tcPr>
            <w:tcW w:w="1662" w:type="dxa"/>
            <w:noWrap w:val="0"/>
            <w:tcMar>
              <w:left w:w="0" w:type="dxa"/>
              <w:right w:w="0" w:type="dxa"/>
            </w:tcMar>
            <w:vAlign w:val="center"/>
          </w:tcPr>
          <w:p w14:paraId="5ED3098F">
            <w:pPr>
              <w:pStyle w:val="26"/>
              <w:bidi w:val="0"/>
              <w:rPr>
                <w:color w:val="auto"/>
                <w:lang w:val="en-US" w:eastAsia="zh-CN"/>
              </w:rPr>
            </w:pPr>
            <w:r>
              <w:rPr>
                <w:color w:val="auto"/>
                <w:lang w:val="en-US" w:eastAsia="zh-CN"/>
              </w:rPr>
              <w:t>18000</w:t>
            </w:r>
          </w:p>
        </w:tc>
      </w:tr>
      <w:tr w14:paraId="6AC1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00495D4">
            <w:pPr>
              <w:pStyle w:val="26"/>
              <w:bidi w:val="0"/>
              <w:rPr>
                <w:color w:val="auto"/>
                <w:lang w:val="en-US" w:eastAsia="zh-CN"/>
              </w:rPr>
            </w:pPr>
            <w:r>
              <w:rPr>
                <w:color w:val="auto"/>
                <w:lang w:val="en-US" w:eastAsia="zh-CN"/>
              </w:rPr>
              <w:t>5</w:t>
            </w:r>
          </w:p>
        </w:tc>
        <w:tc>
          <w:tcPr>
            <w:tcW w:w="2059" w:type="dxa"/>
            <w:noWrap w:val="0"/>
            <w:tcMar>
              <w:left w:w="0" w:type="dxa"/>
              <w:right w:w="0" w:type="dxa"/>
            </w:tcMar>
            <w:vAlign w:val="center"/>
          </w:tcPr>
          <w:p w14:paraId="7AD4F23E">
            <w:pPr>
              <w:pStyle w:val="26"/>
              <w:bidi w:val="0"/>
              <w:rPr>
                <w:color w:val="auto"/>
                <w:lang w:val="en-US" w:eastAsia="zh-CN"/>
              </w:rPr>
            </w:pPr>
            <w:r>
              <w:rPr>
                <w:color w:val="auto"/>
                <w:lang w:val="en-US" w:eastAsia="zh-CN"/>
              </w:rPr>
              <w:t>铅</w:t>
            </w:r>
          </w:p>
        </w:tc>
        <w:tc>
          <w:tcPr>
            <w:tcW w:w="2026" w:type="dxa"/>
            <w:noWrap w:val="0"/>
            <w:tcMar>
              <w:left w:w="0" w:type="dxa"/>
              <w:right w:w="0" w:type="dxa"/>
            </w:tcMar>
            <w:vAlign w:val="center"/>
          </w:tcPr>
          <w:p w14:paraId="07D103A6">
            <w:pPr>
              <w:pStyle w:val="26"/>
              <w:bidi w:val="0"/>
              <w:rPr>
                <w:color w:val="auto"/>
                <w:lang w:val="en-US" w:eastAsia="zh-CN"/>
              </w:rPr>
            </w:pPr>
            <w:r>
              <w:rPr>
                <w:color w:val="auto"/>
                <w:lang w:val="en-US" w:eastAsia="zh-CN"/>
              </w:rPr>
              <w:t>7439-92-1</w:t>
            </w:r>
          </w:p>
        </w:tc>
        <w:tc>
          <w:tcPr>
            <w:tcW w:w="1750" w:type="dxa"/>
            <w:noWrap w:val="0"/>
            <w:tcMar>
              <w:left w:w="0" w:type="dxa"/>
              <w:right w:w="0" w:type="dxa"/>
            </w:tcMar>
            <w:vAlign w:val="center"/>
          </w:tcPr>
          <w:p w14:paraId="25364BAA">
            <w:pPr>
              <w:pStyle w:val="26"/>
              <w:bidi w:val="0"/>
              <w:rPr>
                <w:color w:val="auto"/>
                <w:lang w:val="en-US" w:eastAsia="zh-CN"/>
              </w:rPr>
            </w:pPr>
            <w:r>
              <w:rPr>
                <w:color w:val="auto"/>
                <w:lang w:val="en-US" w:eastAsia="zh-CN"/>
              </w:rPr>
              <w:t>400</w:t>
            </w:r>
          </w:p>
        </w:tc>
        <w:tc>
          <w:tcPr>
            <w:tcW w:w="1662" w:type="dxa"/>
            <w:noWrap w:val="0"/>
            <w:tcMar>
              <w:left w:w="0" w:type="dxa"/>
              <w:right w:w="0" w:type="dxa"/>
            </w:tcMar>
            <w:vAlign w:val="center"/>
          </w:tcPr>
          <w:p w14:paraId="5FB544A3">
            <w:pPr>
              <w:pStyle w:val="26"/>
              <w:bidi w:val="0"/>
              <w:rPr>
                <w:color w:val="auto"/>
                <w:lang w:val="en-US" w:eastAsia="zh-CN"/>
              </w:rPr>
            </w:pPr>
            <w:r>
              <w:rPr>
                <w:color w:val="auto"/>
                <w:lang w:val="en-US" w:eastAsia="zh-CN"/>
              </w:rPr>
              <w:t>800</w:t>
            </w:r>
          </w:p>
        </w:tc>
      </w:tr>
      <w:tr w14:paraId="53E2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BE4FF2D">
            <w:pPr>
              <w:pStyle w:val="26"/>
              <w:bidi w:val="0"/>
              <w:rPr>
                <w:color w:val="auto"/>
                <w:lang w:val="en-US" w:eastAsia="zh-CN"/>
              </w:rPr>
            </w:pPr>
            <w:r>
              <w:rPr>
                <w:color w:val="auto"/>
                <w:lang w:val="en-US" w:eastAsia="zh-CN"/>
              </w:rPr>
              <w:t>6</w:t>
            </w:r>
          </w:p>
        </w:tc>
        <w:tc>
          <w:tcPr>
            <w:tcW w:w="2059" w:type="dxa"/>
            <w:noWrap w:val="0"/>
            <w:tcMar>
              <w:left w:w="0" w:type="dxa"/>
              <w:right w:w="0" w:type="dxa"/>
            </w:tcMar>
            <w:vAlign w:val="center"/>
          </w:tcPr>
          <w:p w14:paraId="18B42825">
            <w:pPr>
              <w:pStyle w:val="26"/>
              <w:bidi w:val="0"/>
              <w:rPr>
                <w:color w:val="auto"/>
                <w:lang w:val="en-US" w:eastAsia="zh-CN"/>
              </w:rPr>
            </w:pPr>
            <w:r>
              <w:rPr>
                <w:color w:val="auto"/>
                <w:lang w:val="en-US" w:eastAsia="zh-CN"/>
              </w:rPr>
              <w:t>汞</w:t>
            </w:r>
          </w:p>
        </w:tc>
        <w:tc>
          <w:tcPr>
            <w:tcW w:w="2026" w:type="dxa"/>
            <w:noWrap w:val="0"/>
            <w:tcMar>
              <w:left w:w="0" w:type="dxa"/>
              <w:right w:w="0" w:type="dxa"/>
            </w:tcMar>
            <w:vAlign w:val="center"/>
          </w:tcPr>
          <w:p w14:paraId="508023C4">
            <w:pPr>
              <w:pStyle w:val="26"/>
              <w:bidi w:val="0"/>
              <w:rPr>
                <w:color w:val="auto"/>
                <w:lang w:val="en-US" w:eastAsia="zh-CN"/>
              </w:rPr>
            </w:pPr>
            <w:r>
              <w:rPr>
                <w:color w:val="auto"/>
                <w:lang w:val="en-US" w:eastAsia="zh-CN"/>
              </w:rPr>
              <w:t>7439-97-6</w:t>
            </w:r>
          </w:p>
        </w:tc>
        <w:tc>
          <w:tcPr>
            <w:tcW w:w="1750" w:type="dxa"/>
            <w:noWrap w:val="0"/>
            <w:tcMar>
              <w:left w:w="0" w:type="dxa"/>
              <w:right w:w="0" w:type="dxa"/>
            </w:tcMar>
            <w:vAlign w:val="center"/>
          </w:tcPr>
          <w:p w14:paraId="4891998F">
            <w:pPr>
              <w:pStyle w:val="26"/>
              <w:bidi w:val="0"/>
              <w:rPr>
                <w:color w:val="auto"/>
                <w:lang w:val="en-US" w:eastAsia="zh-CN"/>
              </w:rPr>
            </w:pPr>
            <w:r>
              <w:rPr>
                <w:color w:val="auto"/>
                <w:lang w:val="en-US" w:eastAsia="zh-CN"/>
              </w:rPr>
              <w:t>8</w:t>
            </w:r>
          </w:p>
        </w:tc>
        <w:tc>
          <w:tcPr>
            <w:tcW w:w="1662" w:type="dxa"/>
            <w:noWrap w:val="0"/>
            <w:tcMar>
              <w:left w:w="0" w:type="dxa"/>
              <w:right w:w="0" w:type="dxa"/>
            </w:tcMar>
            <w:vAlign w:val="center"/>
          </w:tcPr>
          <w:p w14:paraId="3611BEF3">
            <w:pPr>
              <w:pStyle w:val="26"/>
              <w:bidi w:val="0"/>
              <w:rPr>
                <w:color w:val="auto"/>
                <w:lang w:val="en-US" w:eastAsia="zh-CN"/>
              </w:rPr>
            </w:pPr>
            <w:r>
              <w:rPr>
                <w:color w:val="auto"/>
                <w:lang w:val="en-US" w:eastAsia="zh-CN"/>
              </w:rPr>
              <w:t>38</w:t>
            </w:r>
          </w:p>
        </w:tc>
      </w:tr>
      <w:tr w14:paraId="4D0C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4ABAD29F">
            <w:pPr>
              <w:pStyle w:val="26"/>
              <w:bidi w:val="0"/>
              <w:rPr>
                <w:color w:val="auto"/>
                <w:lang w:val="en-US" w:eastAsia="zh-CN"/>
              </w:rPr>
            </w:pPr>
            <w:r>
              <w:rPr>
                <w:color w:val="auto"/>
                <w:lang w:val="en-US" w:eastAsia="zh-CN"/>
              </w:rPr>
              <w:t>7</w:t>
            </w:r>
          </w:p>
        </w:tc>
        <w:tc>
          <w:tcPr>
            <w:tcW w:w="2059" w:type="dxa"/>
            <w:noWrap w:val="0"/>
            <w:tcMar>
              <w:left w:w="0" w:type="dxa"/>
              <w:right w:w="0" w:type="dxa"/>
            </w:tcMar>
            <w:vAlign w:val="center"/>
          </w:tcPr>
          <w:p w14:paraId="054E3FC2">
            <w:pPr>
              <w:pStyle w:val="26"/>
              <w:bidi w:val="0"/>
              <w:rPr>
                <w:color w:val="auto"/>
                <w:lang w:val="en-US" w:eastAsia="zh-CN"/>
              </w:rPr>
            </w:pPr>
            <w:r>
              <w:rPr>
                <w:color w:val="auto"/>
                <w:lang w:val="en-US" w:eastAsia="zh-CN"/>
              </w:rPr>
              <w:t>镍</w:t>
            </w:r>
          </w:p>
        </w:tc>
        <w:tc>
          <w:tcPr>
            <w:tcW w:w="2026" w:type="dxa"/>
            <w:noWrap w:val="0"/>
            <w:tcMar>
              <w:left w:w="0" w:type="dxa"/>
              <w:right w:w="0" w:type="dxa"/>
            </w:tcMar>
            <w:vAlign w:val="center"/>
          </w:tcPr>
          <w:p w14:paraId="101AAF37">
            <w:pPr>
              <w:pStyle w:val="26"/>
              <w:bidi w:val="0"/>
              <w:rPr>
                <w:color w:val="auto"/>
                <w:lang w:val="en-US" w:eastAsia="zh-CN"/>
              </w:rPr>
            </w:pPr>
            <w:r>
              <w:rPr>
                <w:color w:val="auto"/>
                <w:lang w:val="en-US" w:eastAsia="zh-CN"/>
              </w:rPr>
              <w:t>7440-02-0</w:t>
            </w:r>
          </w:p>
        </w:tc>
        <w:tc>
          <w:tcPr>
            <w:tcW w:w="1750" w:type="dxa"/>
            <w:noWrap w:val="0"/>
            <w:tcMar>
              <w:left w:w="0" w:type="dxa"/>
              <w:right w:w="0" w:type="dxa"/>
            </w:tcMar>
            <w:vAlign w:val="center"/>
          </w:tcPr>
          <w:p w14:paraId="7FBFD544">
            <w:pPr>
              <w:pStyle w:val="26"/>
              <w:bidi w:val="0"/>
              <w:rPr>
                <w:color w:val="auto"/>
                <w:lang w:val="en-US" w:eastAsia="zh-CN"/>
              </w:rPr>
            </w:pPr>
            <w:r>
              <w:rPr>
                <w:color w:val="auto"/>
                <w:lang w:val="en-US" w:eastAsia="zh-CN"/>
              </w:rPr>
              <w:t>150</w:t>
            </w:r>
          </w:p>
        </w:tc>
        <w:tc>
          <w:tcPr>
            <w:tcW w:w="1662" w:type="dxa"/>
            <w:noWrap w:val="0"/>
            <w:tcMar>
              <w:left w:w="0" w:type="dxa"/>
              <w:right w:w="0" w:type="dxa"/>
            </w:tcMar>
            <w:vAlign w:val="center"/>
          </w:tcPr>
          <w:p w14:paraId="1FB779FC">
            <w:pPr>
              <w:pStyle w:val="26"/>
              <w:bidi w:val="0"/>
              <w:rPr>
                <w:color w:val="auto"/>
                <w:lang w:val="en-US" w:eastAsia="zh-CN"/>
              </w:rPr>
            </w:pPr>
            <w:r>
              <w:rPr>
                <w:color w:val="auto"/>
                <w:lang w:val="en-US" w:eastAsia="zh-CN"/>
              </w:rPr>
              <w:t>900</w:t>
            </w:r>
          </w:p>
        </w:tc>
      </w:tr>
      <w:tr w14:paraId="7B0B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46" w:type="dxa"/>
            <w:gridSpan w:val="5"/>
            <w:noWrap w:val="0"/>
            <w:tcMar>
              <w:left w:w="0" w:type="dxa"/>
              <w:right w:w="0" w:type="dxa"/>
            </w:tcMar>
            <w:vAlign w:val="center"/>
          </w:tcPr>
          <w:p w14:paraId="649A147E">
            <w:pPr>
              <w:pStyle w:val="26"/>
              <w:bidi w:val="0"/>
              <w:rPr>
                <w:color w:val="auto"/>
                <w:lang w:val="en-US" w:eastAsia="zh-CN"/>
              </w:rPr>
            </w:pPr>
            <w:r>
              <w:rPr>
                <w:color w:val="auto"/>
                <w:lang w:val="en-US" w:eastAsia="zh-CN"/>
              </w:rPr>
              <w:t>挥发性有机物</w:t>
            </w:r>
          </w:p>
        </w:tc>
      </w:tr>
      <w:tr w14:paraId="3D9F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895C517">
            <w:pPr>
              <w:pStyle w:val="26"/>
              <w:bidi w:val="0"/>
              <w:rPr>
                <w:color w:val="auto"/>
                <w:lang w:val="en-US" w:eastAsia="zh-CN"/>
              </w:rPr>
            </w:pPr>
            <w:r>
              <w:rPr>
                <w:color w:val="auto"/>
                <w:lang w:val="en-US" w:eastAsia="zh-CN"/>
              </w:rPr>
              <w:t>8</w:t>
            </w:r>
          </w:p>
        </w:tc>
        <w:tc>
          <w:tcPr>
            <w:tcW w:w="2059" w:type="dxa"/>
            <w:noWrap w:val="0"/>
            <w:tcMar>
              <w:left w:w="0" w:type="dxa"/>
              <w:right w:w="0" w:type="dxa"/>
            </w:tcMar>
            <w:vAlign w:val="center"/>
          </w:tcPr>
          <w:p w14:paraId="11D52A35">
            <w:pPr>
              <w:pStyle w:val="26"/>
              <w:bidi w:val="0"/>
              <w:rPr>
                <w:color w:val="auto"/>
                <w:lang w:val="en-US" w:eastAsia="zh-CN"/>
              </w:rPr>
            </w:pPr>
            <w:r>
              <w:rPr>
                <w:color w:val="auto"/>
                <w:lang w:val="en-US" w:eastAsia="zh-CN"/>
              </w:rPr>
              <w:t>四氯化碳</w:t>
            </w:r>
          </w:p>
        </w:tc>
        <w:tc>
          <w:tcPr>
            <w:tcW w:w="2026" w:type="dxa"/>
            <w:noWrap w:val="0"/>
            <w:tcMar>
              <w:left w:w="0" w:type="dxa"/>
              <w:right w:w="0" w:type="dxa"/>
            </w:tcMar>
            <w:vAlign w:val="center"/>
          </w:tcPr>
          <w:p w14:paraId="17F6BB1D">
            <w:pPr>
              <w:pStyle w:val="26"/>
              <w:bidi w:val="0"/>
              <w:rPr>
                <w:color w:val="auto"/>
                <w:lang w:val="en-US" w:eastAsia="zh-CN"/>
              </w:rPr>
            </w:pPr>
            <w:r>
              <w:rPr>
                <w:color w:val="auto"/>
                <w:lang w:val="en-US" w:eastAsia="zh-CN"/>
              </w:rPr>
              <w:t>56-23-5</w:t>
            </w:r>
          </w:p>
        </w:tc>
        <w:tc>
          <w:tcPr>
            <w:tcW w:w="1750" w:type="dxa"/>
            <w:noWrap w:val="0"/>
            <w:tcMar>
              <w:left w:w="0" w:type="dxa"/>
              <w:right w:w="0" w:type="dxa"/>
            </w:tcMar>
            <w:vAlign w:val="center"/>
          </w:tcPr>
          <w:p w14:paraId="018CC7FB">
            <w:pPr>
              <w:pStyle w:val="26"/>
              <w:bidi w:val="0"/>
              <w:rPr>
                <w:color w:val="auto"/>
                <w:lang w:val="en-US" w:eastAsia="zh-CN"/>
              </w:rPr>
            </w:pPr>
            <w:r>
              <w:rPr>
                <w:color w:val="auto"/>
                <w:lang w:val="en-US" w:eastAsia="zh-CN"/>
              </w:rPr>
              <w:t>0.9</w:t>
            </w:r>
          </w:p>
        </w:tc>
        <w:tc>
          <w:tcPr>
            <w:tcW w:w="1662" w:type="dxa"/>
            <w:noWrap w:val="0"/>
            <w:tcMar>
              <w:left w:w="0" w:type="dxa"/>
              <w:right w:w="0" w:type="dxa"/>
            </w:tcMar>
            <w:vAlign w:val="center"/>
          </w:tcPr>
          <w:p w14:paraId="3FA4151B">
            <w:pPr>
              <w:pStyle w:val="26"/>
              <w:bidi w:val="0"/>
              <w:rPr>
                <w:color w:val="auto"/>
                <w:lang w:val="en-US" w:eastAsia="zh-CN"/>
              </w:rPr>
            </w:pPr>
            <w:r>
              <w:rPr>
                <w:color w:val="auto"/>
                <w:lang w:val="en-US" w:eastAsia="zh-CN"/>
              </w:rPr>
              <w:t>2.8</w:t>
            </w:r>
          </w:p>
        </w:tc>
      </w:tr>
      <w:tr w14:paraId="571E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233D441">
            <w:pPr>
              <w:pStyle w:val="26"/>
              <w:bidi w:val="0"/>
              <w:rPr>
                <w:color w:val="auto"/>
                <w:lang w:val="en-US" w:eastAsia="zh-CN"/>
              </w:rPr>
            </w:pPr>
            <w:r>
              <w:rPr>
                <w:color w:val="auto"/>
                <w:lang w:val="en-US" w:eastAsia="zh-CN"/>
              </w:rPr>
              <w:t>9</w:t>
            </w:r>
          </w:p>
        </w:tc>
        <w:tc>
          <w:tcPr>
            <w:tcW w:w="2059" w:type="dxa"/>
            <w:noWrap w:val="0"/>
            <w:tcMar>
              <w:left w:w="0" w:type="dxa"/>
              <w:right w:w="0" w:type="dxa"/>
            </w:tcMar>
            <w:vAlign w:val="center"/>
          </w:tcPr>
          <w:p w14:paraId="222DDD5C">
            <w:pPr>
              <w:pStyle w:val="26"/>
              <w:bidi w:val="0"/>
              <w:rPr>
                <w:color w:val="auto"/>
                <w:lang w:val="en-US" w:eastAsia="zh-CN"/>
              </w:rPr>
            </w:pPr>
            <w:r>
              <w:rPr>
                <w:color w:val="auto"/>
                <w:lang w:val="en-US" w:eastAsia="zh-CN"/>
              </w:rPr>
              <w:t>氯仿</w:t>
            </w:r>
          </w:p>
        </w:tc>
        <w:tc>
          <w:tcPr>
            <w:tcW w:w="2026" w:type="dxa"/>
            <w:noWrap w:val="0"/>
            <w:tcMar>
              <w:left w:w="0" w:type="dxa"/>
              <w:right w:w="0" w:type="dxa"/>
            </w:tcMar>
            <w:vAlign w:val="center"/>
          </w:tcPr>
          <w:p w14:paraId="77379F4F">
            <w:pPr>
              <w:pStyle w:val="26"/>
              <w:bidi w:val="0"/>
              <w:rPr>
                <w:color w:val="auto"/>
                <w:lang w:val="en-US" w:eastAsia="zh-CN"/>
              </w:rPr>
            </w:pPr>
            <w:r>
              <w:rPr>
                <w:color w:val="auto"/>
                <w:lang w:val="en-US" w:eastAsia="zh-CN"/>
              </w:rPr>
              <w:t>67-66-3</w:t>
            </w:r>
          </w:p>
        </w:tc>
        <w:tc>
          <w:tcPr>
            <w:tcW w:w="1750" w:type="dxa"/>
            <w:noWrap w:val="0"/>
            <w:tcMar>
              <w:left w:w="0" w:type="dxa"/>
              <w:right w:w="0" w:type="dxa"/>
            </w:tcMar>
            <w:vAlign w:val="center"/>
          </w:tcPr>
          <w:p w14:paraId="2BFE4EF5">
            <w:pPr>
              <w:pStyle w:val="26"/>
              <w:bidi w:val="0"/>
              <w:rPr>
                <w:color w:val="auto"/>
                <w:lang w:val="en-US" w:eastAsia="zh-CN"/>
              </w:rPr>
            </w:pPr>
            <w:r>
              <w:rPr>
                <w:color w:val="auto"/>
                <w:lang w:val="en-US" w:eastAsia="zh-CN"/>
              </w:rPr>
              <w:t>0.3</w:t>
            </w:r>
          </w:p>
        </w:tc>
        <w:tc>
          <w:tcPr>
            <w:tcW w:w="1662" w:type="dxa"/>
            <w:noWrap w:val="0"/>
            <w:tcMar>
              <w:left w:w="0" w:type="dxa"/>
              <w:right w:w="0" w:type="dxa"/>
            </w:tcMar>
            <w:vAlign w:val="center"/>
          </w:tcPr>
          <w:p w14:paraId="0B4F179C">
            <w:pPr>
              <w:pStyle w:val="26"/>
              <w:bidi w:val="0"/>
              <w:rPr>
                <w:color w:val="auto"/>
                <w:lang w:val="en-US" w:eastAsia="zh-CN"/>
              </w:rPr>
            </w:pPr>
            <w:r>
              <w:rPr>
                <w:color w:val="auto"/>
                <w:lang w:val="en-US" w:eastAsia="zh-CN"/>
              </w:rPr>
              <w:t>0.9</w:t>
            </w:r>
          </w:p>
        </w:tc>
      </w:tr>
      <w:tr w14:paraId="2C59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6F7BBE3">
            <w:pPr>
              <w:pStyle w:val="26"/>
              <w:bidi w:val="0"/>
              <w:rPr>
                <w:color w:val="auto"/>
                <w:lang w:val="en-US" w:eastAsia="zh-CN"/>
              </w:rPr>
            </w:pPr>
            <w:r>
              <w:rPr>
                <w:color w:val="auto"/>
                <w:lang w:val="en-US" w:eastAsia="zh-CN"/>
              </w:rPr>
              <w:t>10</w:t>
            </w:r>
          </w:p>
        </w:tc>
        <w:tc>
          <w:tcPr>
            <w:tcW w:w="2059" w:type="dxa"/>
            <w:noWrap w:val="0"/>
            <w:tcMar>
              <w:left w:w="0" w:type="dxa"/>
              <w:right w:w="0" w:type="dxa"/>
            </w:tcMar>
            <w:vAlign w:val="center"/>
          </w:tcPr>
          <w:p w14:paraId="72CC227B">
            <w:pPr>
              <w:pStyle w:val="26"/>
              <w:bidi w:val="0"/>
              <w:rPr>
                <w:color w:val="auto"/>
                <w:lang w:val="en-US" w:eastAsia="zh-CN"/>
              </w:rPr>
            </w:pPr>
            <w:r>
              <w:rPr>
                <w:color w:val="auto"/>
                <w:lang w:val="en-US" w:eastAsia="zh-CN"/>
              </w:rPr>
              <w:t>氯甲烷</w:t>
            </w:r>
          </w:p>
        </w:tc>
        <w:tc>
          <w:tcPr>
            <w:tcW w:w="2026" w:type="dxa"/>
            <w:noWrap w:val="0"/>
            <w:tcMar>
              <w:left w:w="0" w:type="dxa"/>
              <w:right w:w="0" w:type="dxa"/>
            </w:tcMar>
            <w:vAlign w:val="center"/>
          </w:tcPr>
          <w:p w14:paraId="194E0DF6">
            <w:pPr>
              <w:pStyle w:val="26"/>
              <w:bidi w:val="0"/>
              <w:rPr>
                <w:color w:val="auto"/>
                <w:lang w:val="en-US" w:eastAsia="zh-CN"/>
              </w:rPr>
            </w:pPr>
            <w:r>
              <w:rPr>
                <w:color w:val="auto"/>
                <w:lang w:val="en-US" w:eastAsia="zh-CN"/>
              </w:rPr>
              <w:t>74-87-3</w:t>
            </w:r>
          </w:p>
        </w:tc>
        <w:tc>
          <w:tcPr>
            <w:tcW w:w="1750" w:type="dxa"/>
            <w:noWrap w:val="0"/>
            <w:tcMar>
              <w:left w:w="0" w:type="dxa"/>
              <w:right w:w="0" w:type="dxa"/>
            </w:tcMar>
            <w:vAlign w:val="center"/>
          </w:tcPr>
          <w:p w14:paraId="54A34CAE">
            <w:pPr>
              <w:pStyle w:val="26"/>
              <w:bidi w:val="0"/>
              <w:rPr>
                <w:color w:val="auto"/>
                <w:lang w:val="en-US" w:eastAsia="zh-CN"/>
              </w:rPr>
            </w:pPr>
            <w:r>
              <w:rPr>
                <w:color w:val="auto"/>
                <w:lang w:val="en-US" w:eastAsia="zh-CN"/>
              </w:rPr>
              <w:t>12</w:t>
            </w:r>
          </w:p>
        </w:tc>
        <w:tc>
          <w:tcPr>
            <w:tcW w:w="1662" w:type="dxa"/>
            <w:noWrap w:val="0"/>
            <w:tcMar>
              <w:left w:w="0" w:type="dxa"/>
              <w:right w:w="0" w:type="dxa"/>
            </w:tcMar>
            <w:vAlign w:val="center"/>
          </w:tcPr>
          <w:p w14:paraId="5FFCCF97">
            <w:pPr>
              <w:pStyle w:val="26"/>
              <w:bidi w:val="0"/>
              <w:rPr>
                <w:color w:val="auto"/>
                <w:lang w:val="en-US" w:eastAsia="zh-CN"/>
              </w:rPr>
            </w:pPr>
            <w:r>
              <w:rPr>
                <w:color w:val="auto"/>
                <w:lang w:val="en-US" w:eastAsia="zh-CN"/>
              </w:rPr>
              <w:t>37</w:t>
            </w:r>
          </w:p>
        </w:tc>
      </w:tr>
      <w:tr w14:paraId="14E2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80CFA71">
            <w:pPr>
              <w:pStyle w:val="26"/>
              <w:bidi w:val="0"/>
              <w:rPr>
                <w:color w:val="auto"/>
                <w:lang w:val="en-US" w:eastAsia="zh-CN"/>
              </w:rPr>
            </w:pPr>
            <w:r>
              <w:rPr>
                <w:color w:val="auto"/>
                <w:lang w:val="en-US" w:eastAsia="zh-CN"/>
              </w:rPr>
              <w:t>11</w:t>
            </w:r>
          </w:p>
        </w:tc>
        <w:tc>
          <w:tcPr>
            <w:tcW w:w="2059" w:type="dxa"/>
            <w:noWrap w:val="0"/>
            <w:tcMar>
              <w:left w:w="0" w:type="dxa"/>
              <w:right w:w="0" w:type="dxa"/>
            </w:tcMar>
            <w:vAlign w:val="center"/>
          </w:tcPr>
          <w:p w14:paraId="644BF216">
            <w:pPr>
              <w:pStyle w:val="26"/>
              <w:bidi w:val="0"/>
              <w:rPr>
                <w:color w:val="auto"/>
                <w:lang w:val="en-US" w:eastAsia="zh-CN"/>
              </w:rPr>
            </w:pPr>
            <w:r>
              <w:rPr>
                <w:color w:val="auto"/>
                <w:lang w:val="en-US" w:eastAsia="zh-CN"/>
              </w:rPr>
              <w:t>1,1-二氯乙烷</w:t>
            </w:r>
          </w:p>
        </w:tc>
        <w:tc>
          <w:tcPr>
            <w:tcW w:w="2026" w:type="dxa"/>
            <w:noWrap w:val="0"/>
            <w:tcMar>
              <w:left w:w="0" w:type="dxa"/>
              <w:right w:w="0" w:type="dxa"/>
            </w:tcMar>
            <w:vAlign w:val="center"/>
          </w:tcPr>
          <w:p w14:paraId="5AB8B591">
            <w:pPr>
              <w:pStyle w:val="26"/>
              <w:bidi w:val="0"/>
              <w:rPr>
                <w:color w:val="auto"/>
                <w:lang w:val="en-US" w:eastAsia="zh-CN"/>
              </w:rPr>
            </w:pPr>
            <w:r>
              <w:rPr>
                <w:color w:val="auto"/>
                <w:lang w:val="en-US" w:eastAsia="zh-CN"/>
              </w:rPr>
              <w:t>75-34-3</w:t>
            </w:r>
          </w:p>
        </w:tc>
        <w:tc>
          <w:tcPr>
            <w:tcW w:w="1750" w:type="dxa"/>
            <w:noWrap w:val="0"/>
            <w:tcMar>
              <w:left w:w="0" w:type="dxa"/>
              <w:right w:w="0" w:type="dxa"/>
            </w:tcMar>
            <w:vAlign w:val="center"/>
          </w:tcPr>
          <w:p w14:paraId="1F0943F9">
            <w:pPr>
              <w:pStyle w:val="26"/>
              <w:bidi w:val="0"/>
              <w:rPr>
                <w:color w:val="auto"/>
                <w:lang w:val="en-US" w:eastAsia="zh-CN"/>
              </w:rPr>
            </w:pPr>
            <w:r>
              <w:rPr>
                <w:color w:val="auto"/>
                <w:lang w:val="en-US" w:eastAsia="zh-CN"/>
              </w:rPr>
              <w:t>3</w:t>
            </w:r>
          </w:p>
        </w:tc>
        <w:tc>
          <w:tcPr>
            <w:tcW w:w="1662" w:type="dxa"/>
            <w:noWrap w:val="0"/>
            <w:tcMar>
              <w:left w:w="0" w:type="dxa"/>
              <w:right w:w="0" w:type="dxa"/>
            </w:tcMar>
            <w:vAlign w:val="center"/>
          </w:tcPr>
          <w:p w14:paraId="65B559D7">
            <w:pPr>
              <w:pStyle w:val="26"/>
              <w:bidi w:val="0"/>
              <w:rPr>
                <w:color w:val="auto"/>
                <w:lang w:val="en-US" w:eastAsia="zh-CN"/>
              </w:rPr>
            </w:pPr>
            <w:r>
              <w:rPr>
                <w:color w:val="auto"/>
                <w:lang w:val="en-US" w:eastAsia="zh-CN"/>
              </w:rPr>
              <w:t>9</w:t>
            </w:r>
          </w:p>
        </w:tc>
      </w:tr>
      <w:tr w14:paraId="7867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70ABDD6">
            <w:pPr>
              <w:pStyle w:val="26"/>
              <w:bidi w:val="0"/>
              <w:rPr>
                <w:color w:val="auto"/>
                <w:lang w:val="en-US" w:eastAsia="zh-CN"/>
              </w:rPr>
            </w:pPr>
            <w:r>
              <w:rPr>
                <w:color w:val="auto"/>
                <w:lang w:val="en-US" w:eastAsia="zh-CN"/>
              </w:rPr>
              <w:t>12</w:t>
            </w:r>
          </w:p>
        </w:tc>
        <w:tc>
          <w:tcPr>
            <w:tcW w:w="2059" w:type="dxa"/>
            <w:noWrap w:val="0"/>
            <w:tcMar>
              <w:left w:w="0" w:type="dxa"/>
              <w:right w:w="0" w:type="dxa"/>
            </w:tcMar>
            <w:vAlign w:val="center"/>
          </w:tcPr>
          <w:p w14:paraId="4273FA34">
            <w:pPr>
              <w:pStyle w:val="26"/>
              <w:bidi w:val="0"/>
              <w:rPr>
                <w:color w:val="auto"/>
                <w:lang w:val="en-US" w:eastAsia="zh-CN"/>
              </w:rPr>
            </w:pPr>
            <w:r>
              <w:rPr>
                <w:color w:val="auto"/>
                <w:lang w:val="en-US" w:eastAsia="zh-CN"/>
              </w:rPr>
              <w:t>1,2-二氯乙烷</w:t>
            </w:r>
          </w:p>
        </w:tc>
        <w:tc>
          <w:tcPr>
            <w:tcW w:w="2026" w:type="dxa"/>
            <w:noWrap w:val="0"/>
            <w:tcMar>
              <w:left w:w="0" w:type="dxa"/>
              <w:right w:w="0" w:type="dxa"/>
            </w:tcMar>
            <w:vAlign w:val="center"/>
          </w:tcPr>
          <w:p w14:paraId="55DEBC70">
            <w:pPr>
              <w:pStyle w:val="26"/>
              <w:bidi w:val="0"/>
              <w:rPr>
                <w:color w:val="auto"/>
                <w:lang w:val="en-US" w:eastAsia="zh-CN"/>
              </w:rPr>
            </w:pPr>
            <w:r>
              <w:rPr>
                <w:color w:val="auto"/>
                <w:lang w:val="en-US" w:eastAsia="zh-CN"/>
              </w:rPr>
              <w:t>107-06-2</w:t>
            </w:r>
          </w:p>
        </w:tc>
        <w:tc>
          <w:tcPr>
            <w:tcW w:w="1750" w:type="dxa"/>
            <w:noWrap w:val="0"/>
            <w:tcMar>
              <w:left w:w="0" w:type="dxa"/>
              <w:right w:w="0" w:type="dxa"/>
            </w:tcMar>
            <w:vAlign w:val="center"/>
          </w:tcPr>
          <w:p w14:paraId="1872780E">
            <w:pPr>
              <w:pStyle w:val="26"/>
              <w:bidi w:val="0"/>
              <w:rPr>
                <w:color w:val="auto"/>
                <w:lang w:val="en-US" w:eastAsia="zh-CN"/>
              </w:rPr>
            </w:pPr>
            <w:r>
              <w:rPr>
                <w:color w:val="auto"/>
                <w:lang w:val="en-US" w:eastAsia="zh-CN"/>
              </w:rPr>
              <w:t>0.52</w:t>
            </w:r>
          </w:p>
        </w:tc>
        <w:tc>
          <w:tcPr>
            <w:tcW w:w="1662" w:type="dxa"/>
            <w:noWrap w:val="0"/>
            <w:tcMar>
              <w:left w:w="0" w:type="dxa"/>
              <w:right w:w="0" w:type="dxa"/>
            </w:tcMar>
            <w:vAlign w:val="center"/>
          </w:tcPr>
          <w:p w14:paraId="1E4080E3">
            <w:pPr>
              <w:pStyle w:val="26"/>
              <w:bidi w:val="0"/>
              <w:rPr>
                <w:color w:val="auto"/>
                <w:lang w:val="en-US" w:eastAsia="zh-CN"/>
              </w:rPr>
            </w:pPr>
            <w:r>
              <w:rPr>
                <w:color w:val="auto"/>
                <w:lang w:val="en-US" w:eastAsia="zh-CN"/>
              </w:rPr>
              <w:t>5</w:t>
            </w:r>
          </w:p>
        </w:tc>
      </w:tr>
      <w:tr w14:paraId="3B1C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6A7719AB">
            <w:pPr>
              <w:pStyle w:val="26"/>
              <w:bidi w:val="0"/>
              <w:rPr>
                <w:color w:val="auto"/>
                <w:lang w:val="en-US" w:eastAsia="zh-CN"/>
              </w:rPr>
            </w:pPr>
            <w:r>
              <w:rPr>
                <w:color w:val="auto"/>
                <w:lang w:val="en-US" w:eastAsia="zh-CN"/>
              </w:rPr>
              <w:t>13</w:t>
            </w:r>
          </w:p>
        </w:tc>
        <w:tc>
          <w:tcPr>
            <w:tcW w:w="2059" w:type="dxa"/>
            <w:noWrap w:val="0"/>
            <w:tcMar>
              <w:left w:w="0" w:type="dxa"/>
              <w:right w:w="0" w:type="dxa"/>
            </w:tcMar>
            <w:vAlign w:val="center"/>
          </w:tcPr>
          <w:p w14:paraId="0307998D">
            <w:pPr>
              <w:pStyle w:val="26"/>
              <w:bidi w:val="0"/>
              <w:rPr>
                <w:color w:val="auto"/>
                <w:lang w:val="en-US" w:eastAsia="zh-CN"/>
              </w:rPr>
            </w:pPr>
            <w:r>
              <w:rPr>
                <w:color w:val="auto"/>
                <w:lang w:val="en-US" w:eastAsia="zh-CN"/>
              </w:rPr>
              <w:t>1,1-二氯乙烯</w:t>
            </w:r>
          </w:p>
        </w:tc>
        <w:tc>
          <w:tcPr>
            <w:tcW w:w="2026" w:type="dxa"/>
            <w:noWrap w:val="0"/>
            <w:tcMar>
              <w:left w:w="0" w:type="dxa"/>
              <w:right w:w="0" w:type="dxa"/>
            </w:tcMar>
            <w:vAlign w:val="center"/>
          </w:tcPr>
          <w:p w14:paraId="52F30AFF">
            <w:pPr>
              <w:pStyle w:val="26"/>
              <w:bidi w:val="0"/>
              <w:rPr>
                <w:color w:val="auto"/>
                <w:lang w:val="en-US" w:eastAsia="zh-CN"/>
              </w:rPr>
            </w:pPr>
            <w:r>
              <w:rPr>
                <w:color w:val="auto"/>
                <w:lang w:val="en-US" w:eastAsia="zh-CN"/>
              </w:rPr>
              <w:t>75-35-4</w:t>
            </w:r>
          </w:p>
        </w:tc>
        <w:tc>
          <w:tcPr>
            <w:tcW w:w="1750" w:type="dxa"/>
            <w:noWrap w:val="0"/>
            <w:tcMar>
              <w:left w:w="0" w:type="dxa"/>
              <w:right w:w="0" w:type="dxa"/>
            </w:tcMar>
            <w:vAlign w:val="center"/>
          </w:tcPr>
          <w:p w14:paraId="65EC4C21">
            <w:pPr>
              <w:pStyle w:val="26"/>
              <w:bidi w:val="0"/>
              <w:rPr>
                <w:color w:val="auto"/>
                <w:lang w:val="en-US" w:eastAsia="zh-CN"/>
              </w:rPr>
            </w:pPr>
            <w:r>
              <w:rPr>
                <w:color w:val="auto"/>
                <w:lang w:val="en-US" w:eastAsia="zh-CN"/>
              </w:rPr>
              <w:t>12</w:t>
            </w:r>
          </w:p>
        </w:tc>
        <w:tc>
          <w:tcPr>
            <w:tcW w:w="1662" w:type="dxa"/>
            <w:noWrap w:val="0"/>
            <w:tcMar>
              <w:left w:w="0" w:type="dxa"/>
              <w:right w:w="0" w:type="dxa"/>
            </w:tcMar>
            <w:vAlign w:val="center"/>
          </w:tcPr>
          <w:p w14:paraId="510BDA14">
            <w:pPr>
              <w:pStyle w:val="26"/>
              <w:bidi w:val="0"/>
              <w:rPr>
                <w:color w:val="auto"/>
                <w:lang w:val="en-US" w:eastAsia="zh-CN"/>
              </w:rPr>
            </w:pPr>
            <w:r>
              <w:rPr>
                <w:color w:val="auto"/>
                <w:lang w:val="en-US" w:eastAsia="zh-CN"/>
              </w:rPr>
              <w:t>66</w:t>
            </w:r>
          </w:p>
        </w:tc>
      </w:tr>
      <w:tr w14:paraId="6831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38A3555">
            <w:pPr>
              <w:pStyle w:val="26"/>
              <w:bidi w:val="0"/>
              <w:rPr>
                <w:color w:val="auto"/>
                <w:lang w:val="en-US" w:eastAsia="zh-CN"/>
              </w:rPr>
            </w:pPr>
            <w:r>
              <w:rPr>
                <w:color w:val="auto"/>
                <w:lang w:val="en-US" w:eastAsia="zh-CN"/>
              </w:rPr>
              <w:t>14</w:t>
            </w:r>
          </w:p>
        </w:tc>
        <w:tc>
          <w:tcPr>
            <w:tcW w:w="2059" w:type="dxa"/>
            <w:noWrap w:val="0"/>
            <w:tcMar>
              <w:left w:w="0" w:type="dxa"/>
              <w:right w:w="0" w:type="dxa"/>
            </w:tcMar>
            <w:vAlign w:val="center"/>
          </w:tcPr>
          <w:p w14:paraId="00E635F3">
            <w:pPr>
              <w:pStyle w:val="26"/>
              <w:bidi w:val="0"/>
              <w:rPr>
                <w:color w:val="auto"/>
                <w:lang w:val="en-US" w:eastAsia="zh-CN"/>
              </w:rPr>
            </w:pPr>
            <w:r>
              <w:rPr>
                <w:color w:val="auto"/>
                <w:lang w:val="en-US" w:eastAsia="zh-CN"/>
              </w:rPr>
              <w:t>顺-1,2-二氯乙烯</w:t>
            </w:r>
          </w:p>
        </w:tc>
        <w:tc>
          <w:tcPr>
            <w:tcW w:w="2026" w:type="dxa"/>
            <w:noWrap w:val="0"/>
            <w:tcMar>
              <w:left w:w="0" w:type="dxa"/>
              <w:right w:w="0" w:type="dxa"/>
            </w:tcMar>
            <w:vAlign w:val="center"/>
          </w:tcPr>
          <w:p w14:paraId="62DC212D">
            <w:pPr>
              <w:pStyle w:val="26"/>
              <w:bidi w:val="0"/>
              <w:rPr>
                <w:color w:val="auto"/>
                <w:lang w:val="en-US" w:eastAsia="zh-CN"/>
              </w:rPr>
            </w:pPr>
            <w:r>
              <w:rPr>
                <w:color w:val="auto"/>
                <w:lang w:val="en-US" w:eastAsia="zh-CN"/>
              </w:rPr>
              <w:t>156-59-2</w:t>
            </w:r>
          </w:p>
        </w:tc>
        <w:tc>
          <w:tcPr>
            <w:tcW w:w="1750" w:type="dxa"/>
            <w:noWrap w:val="0"/>
            <w:tcMar>
              <w:left w:w="0" w:type="dxa"/>
              <w:right w:w="0" w:type="dxa"/>
            </w:tcMar>
            <w:vAlign w:val="center"/>
          </w:tcPr>
          <w:p w14:paraId="10DE9987">
            <w:pPr>
              <w:pStyle w:val="26"/>
              <w:bidi w:val="0"/>
              <w:rPr>
                <w:color w:val="auto"/>
                <w:lang w:val="en-US" w:eastAsia="zh-CN"/>
              </w:rPr>
            </w:pPr>
            <w:r>
              <w:rPr>
                <w:color w:val="auto"/>
                <w:lang w:val="en-US" w:eastAsia="zh-CN"/>
              </w:rPr>
              <w:t>66</w:t>
            </w:r>
          </w:p>
        </w:tc>
        <w:tc>
          <w:tcPr>
            <w:tcW w:w="1662" w:type="dxa"/>
            <w:noWrap w:val="0"/>
            <w:tcMar>
              <w:left w:w="0" w:type="dxa"/>
              <w:right w:w="0" w:type="dxa"/>
            </w:tcMar>
            <w:vAlign w:val="center"/>
          </w:tcPr>
          <w:p w14:paraId="7369F742">
            <w:pPr>
              <w:pStyle w:val="26"/>
              <w:bidi w:val="0"/>
              <w:rPr>
                <w:color w:val="auto"/>
                <w:lang w:val="en-US" w:eastAsia="zh-CN"/>
              </w:rPr>
            </w:pPr>
            <w:r>
              <w:rPr>
                <w:color w:val="auto"/>
                <w:lang w:val="en-US" w:eastAsia="zh-CN"/>
              </w:rPr>
              <w:t>596</w:t>
            </w:r>
          </w:p>
        </w:tc>
      </w:tr>
      <w:tr w14:paraId="37F2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A80A574">
            <w:pPr>
              <w:pStyle w:val="26"/>
              <w:bidi w:val="0"/>
              <w:rPr>
                <w:color w:val="auto"/>
                <w:lang w:val="en-US" w:eastAsia="zh-CN"/>
              </w:rPr>
            </w:pPr>
            <w:r>
              <w:rPr>
                <w:color w:val="auto"/>
                <w:lang w:val="en-US" w:eastAsia="zh-CN"/>
              </w:rPr>
              <w:t>15</w:t>
            </w:r>
          </w:p>
        </w:tc>
        <w:tc>
          <w:tcPr>
            <w:tcW w:w="2059" w:type="dxa"/>
            <w:noWrap w:val="0"/>
            <w:tcMar>
              <w:left w:w="0" w:type="dxa"/>
              <w:right w:w="0" w:type="dxa"/>
            </w:tcMar>
            <w:vAlign w:val="center"/>
          </w:tcPr>
          <w:p w14:paraId="2B705D9F">
            <w:pPr>
              <w:pStyle w:val="26"/>
              <w:bidi w:val="0"/>
              <w:rPr>
                <w:color w:val="auto"/>
                <w:lang w:val="en-US" w:eastAsia="zh-CN"/>
              </w:rPr>
            </w:pPr>
            <w:r>
              <w:rPr>
                <w:color w:val="auto"/>
                <w:lang w:val="en-US" w:eastAsia="zh-CN"/>
              </w:rPr>
              <w:t>反-1,2-二氯乙烯</w:t>
            </w:r>
          </w:p>
        </w:tc>
        <w:tc>
          <w:tcPr>
            <w:tcW w:w="2026" w:type="dxa"/>
            <w:noWrap w:val="0"/>
            <w:tcMar>
              <w:left w:w="0" w:type="dxa"/>
              <w:right w:w="0" w:type="dxa"/>
            </w:tcMar>
            <w:vAlign w:val="center"/>
          </w:tcPr>
          <w:p w14:paraId="6AF504F7">
            <w:pPr>
              <w:pStyle w:val="26"/>
              <w:bidi w:val="0"/>
              <w:rPr>
                <w:color w:val="auto"/>
                <w:lang w:val="en-US" w:eastAsia="zh-CN"/>
              </w:rPr>
            </w:pPr>
            <w:r>
              <w:rPr>
                <w:color w:val="auto"/>
                <w:lang w:val="en-US" w:eastAsia="zh-CN"/>
              </w:rPr>
              <w:t>156-60-5</w:t>
            </w:r>
          </w:p>
        </w:tc>
        <w:tc>
          <w:tcPr>
            <w:tcW w:w="1750" w:type="dxa"/>
            <w:noWrap w:val="0"/>
            <w:tcMar>
              <w:left w:w="0" w:type="dxa"/>
              <w:right w:w="0" w:type="dxa"/>
            </w:tcMar>
            <w:vAlign w:val="center"/>
          </w:tcPr>
          <w:p w14:paraId="28E4EA6E">
            <w:pPr>
              <w:pStyle w:val="26"/>
              <w:bidi w:val="0"/>
              <w:rPr>
                <w:color w:val="auto"/>
                <w:lang w:val="en-US" w:eastAsia="zh-CN"/>
              </w:rPr>
            </w:pPr>
            <w:r>
              <w:rPr>
                <w:color w:val="auto"/>
                <w:lang w:val="en-US" w:eastAsia="zh-CN"/>
              </w:rPr>
              <w:t>10</w:t>
            </w:r>
          </w:p>
        </w:tc>
        <w:tc>
          <w:tcPr>
            <w:tcW w:w="1662" w:type="dxa"/>
            <w:noWrap w:val="0"/>
            <w:tcMar>
              <w:left w:w="0" w:type="dxa"/>
              <w:right w:w="0" w:type="dxa"/>
            </w:tcMar>
            <w:vAlign w:val="center"/>
          </w:tcPr>
          <w:p w14:paraId="32B64DB9">
            <w:pPr>
              <w:pStyle w:val="26"/>
              <w:bidi w:val="0"/>
              <w:rPr>
                <w:color w:val="auto"/>
                <w:lang w:val="en-US" w:eastAsia="zh-CN"/>
              </w:rPr>
            </w:pPr>
            <w:r>
              <w:rPr>
                <w:color w:val="auto"/>
                <w:lang w:val="en-US" w:eastAsia="zh-CN"/>
              </w:rPr>
              <w:t>54</w:t>
            </w:r>
          </w:p>
        </w:tc>
      </w:tr>
      <w:tr w14:paraId="0EEF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8D9E6DD">
            <w:pPr>
              <w:pStyle w:val="26"/>
              <w:bidi w:val="0"/>
              <w:rPr>
                <w:color w:val="auto"/>
                <w:lang w:val="en-US" w:eastAsia="zh-CN"/>
              </w:rPr>
            </w:pPr>
            <w:r>
              <w:rPr>
                <w:color w:val="auto"/>
                <w:lang w:val="en-US" w:eastAsia="zh-CN"/>
              </w:rPr>
              <w:t>16</w:t>
            </w:r>
          </w:p>
        </w:tc>
        <w:tc>
          <w:tcPr>
            <w:tcW w:w="2059" w:type="dxa"/>
            <w:noWrap w:val="0"/>
            <w:tcMar>
              <w:left w:w="0" w:type="dxa"/>
              <w:right w:w="0" w:type="dxa"/>
            </w:tcMar>
            <w:vAlign w:val="center"/>
          </w:tcPr>
          <w:p w14:paraId="4A9B4B85">
            <w:pPr>
              <w:pStyle w:val="26"/>
              <w:bidi w:val="0"/>
              <w:rPr>
                <w:color w:val="auto"/>
                <w:lang w:val="en-US" w:eastAsia="zh-CN"/>
              </w:rPr>
            </w:pPr>
            <w:r>
              <w:rPr>
                <w:color w:val="auto"/>
                <w:lang w:val="en-US" w:eastAsia="zh-CN"/>
              </w:rPr>
              <w:t>二氯甲烷</w:t>
            </w:r>
          </w:p>
        </w:tc>
        <w:tc>
          <w:tcPr>
            <w:tcW w:w="2026" w:type="dxa"/>
            <w:noWrap w:val="0"/>
            <w:tcMar>
              <w:left w:w="0" w:type="dxa"/>
              <w:right w:w="0" w:type="dxa"/>
            </w:tcMar>
            <w:vAlign w:val="center"/>
          </w:tcPr>
          <w:p w14:paraId="39A6F10C">
            <w:pPr>
              <w:pStyle w:val="26"/>
              <w:bidi w:val="0"/>
              <w:rPr>
                <w:color w:val="auto"/>
                <w:lang w:val="en-US" w:eastAsia="zh-CN"/>
              </w:rPr>
            </w:pPr>
            <w:r>
              <w:rPr>
                <w:color w:val="auto"/>
                <w:lang w:val="en-US" w:eastAsia="zh-CN"/>
              </w:rPr>
              <w:t>75-09-2</w:t>
            </w:r>
          </w:p>
        </w:tc>
        <w:tc>
          <w:tcPr>
            <w:tcW w:w="1750" w:type="dxa"/>
            <w:noWrap w:val="0"/>
            <w:tcMar>
              <w:left w:w="0" w:type="dxa"/>
              <w:right w:w="0" w:type="dxa"/>
            </w:tcMar>
            <w:vAlign w:val="center"/>
          </w:tcPr>
          <w:p w14:paraId="75514B8E">
            <w:pPr>
              <w:pStyle w:val="26"/>
              <w:bidi w:val="0"/>
              <w:rPr>
                <w:color w:val="auto"/>
                <w:lang w:val="en-US" w:eastAsia="zh-CN"/>
              </w:rPr>
            </w:pPr>
            <w:r>
              <w:rPr>
                <w:color w:val="auto"/>
                <w:lang w:val="en-US" w:eastAsia="zh-CN"/>
              </w:rPr>
              <w:t>94</w:t>
            </w:r>
          </w:p>
        </w:tc>
        <w:tc>
          <w:tcPr>
            <w:tcW w:w="1662" w:type="dxa"/>
            <w:noWrap w:val="0"/>
            <w:tcMar>
              <w:left w:w="0" w:type="dxa"/>
              <w:right w:w="0" w:type="dxa"/>
            </w:tcMar>
            <w:vAlign w:val="center"/>
          </w:tcPr>
          <w:p w14:paraId="71FEED0F">
            <w:pPr>
              <w:pStyle w:val="26"/>
              <w:bidi w:val="0"/>
              <w:rPr>
                <w:color w:val="auto"/>
                <w:lang w:val="en-US" w:eastAsia="zh-CN"/>
              </w:rPr>
            </w:pPr>
            <w:r>
              <w:rPr>
                <w:color w:val="auto"/>
                <w:lang w:val="en-US" w:eastAsia="zh-CN"/>
              </w:rPr>
              <w:t>616</w:t>
            </w:r>
          </w:p>
        </w:tc>
      </w:tr>
      <w:tr w14:paraId="1E75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45D211F1">
            <w:pPr>
              <w:pStyle w:val="26"/>
              <w:bidi w:val="0"/>
              <w:rPr>
                <w:color w:val="auto"/>
                <w:lang w:val="en-US" w:eastAsia="zh-CN"/>
              </w:rPr>
            </w:pPr>
            <w:r>
              <w:rPr>
                <w:color w:val="auto"/>
                <w:lang w:val="en-US" w:eastAsia="zh-CN"/>
              </w:rPr>
              <w:t>17</w:t>
            </w:r>
          </w:p>
        </w:tc>
        <w:tc>
          <w:tcPr>
            <w:tcW w:w="2059" w:type="dxa"/>
            <w:noWrap w:val="0"/>
            <w:tcMar>
              <w:left w:w="0" w:type="dxa"/>
              <w:right w:w="0" w:type="dxa"/>
            </w:tcMar>
            <w:vAlign w:val="center"/>
          </w:tcPr>
          <w:p w14:paraId="25E90A7B">
            <w:pPr>
              <w:pStyle w:val="26"/>
              <w:bidi w:val="0"/>
              <w:rPr>
                <w:color w:val="auto"/>
                <w:lang w:val="en-US" w:eastAsia="zh-CN"/>
              </w:rPr>
            </w:pPr>
            <w:r>
              <w:rPr>
                <w:color w:val="auto"/>
                <w:lang w:val="en-US" w:eastAsia="zh-CN"/>
              </w:rPr>
              <w:t>1,2-二氯丙烷</w:t>
            </w:r>
          </w:p>
        </w:tc>
        <w:tc>
          <w:tcPr>
            <w:tcW w:w="2026" w:type="dxa"/>
            <w:noWrap w:val="0"/>
            <w:tcMar>
              <w:left w:w="0" w:type="dxa"/>
              <w:right w:w="0" w:type="dxa"/>
            </w:tcMar>
            <w:vAlign w:val="center"/>
          </w:tcPr>
          <w:p w14:paraId="1AB9A4D1">
            <w:pPr>
              <w:pStyle w:val="26"/>
              <w:bidi w:val="0"/>
              <w:rPr>
                <w:color w:val="auto"/>
                <w:lang w:val="en-US" w:eastAsia="zh-CN"/>
              </w:rPr>
            </w:pPr>
            <w:r>
              <w:rPr>
                <w:color w:val="auto"/>
                <w:lang w:val="en-US" w:eastAsia="zh-CN"/>
              </w:rPr>
              <w:t>78-87-5</w:t>
            </w:r>
          </w:p>
        </w:tc>
        <w:tc>
          <w:tcPr>
            <w:tcW w:w="1750" w:type="dxa"/>
            <w:noWrap w:val="0"/>
            <w:tcMar>
              <w:left w:w="0" w:type="dxa"/>
              <w:right w:w="0" w:type="dxa"/>
            </w:tcMar>
            <w:vAlign w:val="center"/>
          </w:tcPr>
          <w:p w14:paraId="60D87F6F">
            <w:pPr>
              <w:pStyle w:val="26"/>
              <w:bidi w:val="0"/>
              <w:rPr>
                <w:color w:val="auto"/>
                <w:lang w:val="en-US" w:eastAsia="zh-CN"/>
              </w:rPr>
            </w:pPr>
            <w:r>
              <w:rPr>
                <w:color w:val="auto"/>
                <w:lang w:val="en-US" w:eastAsia="zh-CN"/>
              </w:rPr>
              <w:t>1</w:t>
            </w:r>
          </w:p>
        </w:tc>
        <w:tc>
          <w:tcPr>
            <w:tcW w:w="1662" w:type="dxa"/>
            <w:noWrap w:val="0"/>
            <w:tcMar>
              <w:left w:w="0" w:type="dxa"/>
              <w:right w:w="0" w:type="dxa"/>
            </w:tcMar>
            <w:vAlign w:val="center"/>
          </w:tcPr>
          <w:p w14:paraId="505B6625">
            <w:pPr>
              <w:pStyle w:val="26"/>
              <w:bidi w:val="0"/>
              <w:rPr>
                <w:color w:val="auto"/>
                <w:lang w:val="en-US" w:eastAsia="zh-CN"/>
              </w:rPr>
            </w:pPr>
            <w:r>
              <w:rPr>
                <w:color w:val="auto"/>
                <w:lang w:val="en-US" w:eastAsia="zh-CN"/>
              </w:rPr>
              <w:t>5</w:t>
            </w:r>
          </w:p>
        </w:tc>
      </w:tr>
      <w:tr w14:paraId="33D2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354A920">
            <w:pPr>
              <w:pStyle w:val="26"/>
              <w:bidi w:val="0"/>
              <w:rPr>
                <w:color w:val="auto"/>
                <w:lang w:val="en-US" w:eastAsia="zh-CN"/>
              </w:rPr>
            </w:pPr>
            <w:r>
              <w:rPr>
                <w:color w:val="auto"/>
                <w:lang w:val="en-US" w:eastAsia="zh-CN"/>
              </w:rPr>
              <w:t>18</w:t>
            </w:r>
          </w:p>
        </w:tc>
        <w:tc>
          <w:tcPr>
            <w:tcW w:w="2059" w:type="dxa"/>
            <w:noWrap w:val="0"/>
            <w:tcMar>
              <w:left w:w="0" w:type="dxa"/>
              <w:right w:w="0" w:type="dxa"/>
            </w:tcMar>
            <w:vAlign w:val="center"/>
          </w:tcPr>
          <w:p w14:paraId="07B72250">
            <w:pPr>
              <w:pStyle w:val="26"/>
              <w:bidi w:val="0"/>
              <w:rPr>
                <w:color w:val="auto"/>
                <w:lang w:val="en-US" w:eastAsia="zh-CN"/>
              </w:rPr>
            </w:pPr>
            <w:r>
              <w:rPr>
                <w:color w:val="auto"/>
                <w:lang w:val="en-US" w:eastAsia="zh-CN"/>
              </w:rPr>
              <w:t>1,1,1,2-四氯乙烷</w:t>
            </w:r>
          </w:p>
        </w:tc>
        <w:tc>
          <w:tcPr>
            <w:tcW w:w="2026" w:type="dxa"/>
            <w:noWrap w:val="0"/>
            <w:tcMar>
              <w:left w:w="0" w:type="dxa"/>
              <w:right w:w="0" w:type="dxa"/>
            </w:tcMar>
            <w:vAlign w:val="center"/>
          </w:tcPr>
          <w:p w14:paraId="1C461C29">
            <w:pPr>
              <w:pStyle w:val="26"/>
              <w:bidi w:val="0"/>
              <w:rPr>
                <w:color w:val="auto"/>
                <w:lang w:val="en-US" w:eastAsia="zh-CN"/>
              </w:rPr>
            </w:pPr>
            <w:r>
              <w:rPr>
                <w:color w:val="auto"/>
                <w:lang w:val="en-US" w:eastAsia="zh-CN"/>
              </w:rPr>
              <w:t>630-20-6</w:t>
            </w:r>
          </w:p>
        </w:tc>
        <w:tc>
          <w:tcPr>
            <w:tcW w:w="1750" w:type="dxa"/>
            <w:noWrap w:val="0"/>
            <w:tcMar>
              <w:left w:w="0" w:type="dxa"/>
              <w:right w:w="0" w:type="dxa"/>
            </w:tcMar>
            <w:vAlign w:val="center"/>
          </w:tcPr>
          <w:p w14:paraId="25F18CD4">
            <w:pPr>
              <w:pStyle w:val="26"/>
              <w:bidi w:val="0"/>
              <w:rPr>
                <w:color w:val="auto"/>
                <w:lang w:val="en-US" w:eastAsia="zh-CN"/>
              </w:rPr>
            </w:pPr>
            <w:r>
              <w:rPr>
                <w:color w:val="auto"/>
                <w:lang w:val="en-US" w:eastAsia="zh-CN"/>
              </w:rPr>
              <w:t>2.6</w:t>
            </w:r>
          </w:p>
        </w:tc>
        <w:tc>
          <w:tcPr>
            <w:tcW w:w="1662" w:type="dxa"/>
            <w:noWrap w:val="0"/>
            <w:tcMar>
              <w:left w:w="0" w:type="dxa"/>
              <w:right w:w="0" w:type="dxa"/>
            </w:tcMar>
            <w:vAlign w:val="center"/>
          </w:tcPr>
          <w:p w14:paraId="18D58D7D">
            <w:pPr>
              <w:pStyle w:val="26"/>
              <w:bidi w:val="0"/>
              <w:rPr>
                <w:color w:val="auto"/>
                <w:lang w:val="en-US" w:eastAsia="zh-CN"/>
              </w:rPr>
            </w:pPr>
            <w:r>
              <w:rPr>
                <w:color w:val="auto"/>
                <w:lang w:val="en-US" w:eastAsia="zh-CN"/>
              </w:rPr>
              <w:t>10</w:t>
            </w:r>
          </w:p>
        </w:tc>
      </w:tr>
      <w:tr w14:paraId="1E7C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1B46723">
            <w:pPr>
              <w:pStyle w:val="26"/>
              <w:bidi w:val="0"/>
              <w:rPr>
                <w:color w:val="auto"/>
                <w:lang w:val="en-US" w:eastAsia="zh-CN"/>
              </w:rPr>
            </w:pPr>
            <w:r>
              <w:rPr>
                <w:color w:val="auto"/>
                <w:lang w:val="en-US" w:eastAsia="zh-CN"/>
              </w:rPr>
              <w:t>19</w:t>
            </w:r>
          </w:p>
        </w:tc>
        <w:tc>
          <w:tcPr>
            <w:tcW w:w="2059" w:type="dxa"/>
            <w:noWrap w:val="0"/>
            <w:tcMar>
              <w:left w:w="0" w:type="dxa"/>
              <w:right w:w="0" w:type="dxa"/>
            </w:tcMar>
            <w:vAlign w:val="center"/>
          </w:tcPr>
          <w:p w14:paraId="44F8126A">
            <w:pPr>
              <w:pStyle w:val="26"/>
              <w:bidi w:val="0"/>
              <w:rPr>
                <w:color w:val="auto"/>
                <w:lang w:val="en-US" w:eastAsia="zh-CN"/>
              </w:rPr>
            </w:pPr>
            <w:r>
              <w:rPr>
                <w:color w:val="auto"/>
                <w:lang w:val="en-US" w:eastAsia="zh-CN"/>
              </w:rPr>
              <w:t>1,1,2,2-四氯乙烷</w:t>
            </w:r>
          </w:p>
        </w:tc>
        <w:tc>
          <w:tcPr>
            <w:tcW w:w="2026" w:type="dxa"/>
            <w:noWrap w:val="0"/>
            <w:tcMar>
              <w:left w:w="0" w:type="dxa"/>
              <w:right w:w="0" w:type="dxa"/>
            </w:tcMar>
            <w:vAlign w:val="center"/>
          </w:tcPr>
          <w:p w14:paraId="14099D7B">
            <w:pPr>
              <w:pStyle w:val="26"/>
              <w:bidi w:val="0"/>
              <w:rPr>
                <w:color w:val="auto"/>
                <w:lang w:val="en-US" w:eastAsia="zh-CN"/>
              </w:rPr>
            </w:pPr>
            <w:r>
              <w:rPr>
                <w:color w:val="auto"/>
                <w:lang w:val="en-US" w:eastAsia="zh-CN"/>
              </w:rPr>
              <w:t>79-34-5</w:t>
            </w:r>
          </w:p>
        </w:tc>
        <w:tc>
          <w:tcPr>
            <w:tcW w:w="1750" w:type="dxa"/>
            <w:noWrap w:val="0"/>
            <w:tcMar>
              <w:left w:w="0" w:type="dxa"/>
              <w:right w:w="0" w:type="dxa"/>
            </w:tcMar>
            <w:vAlign w:val="center"/>
          </w:tcPr>
          <w:p w14:paraId="5388FCCD">
            <w:pPr>
              <w:pStyle w:val="26"/>
              <w:bidi w:val="0"/>
              <w:rPr>
                <w:color w:val="auto"/>
                <w:lang w:val="en-US" w:eastAsia="zh-CN"/>
              </w:rPr>
            </w:pPr>
            <w:r>
              <w:rPr>
                <w:color w:val="auto"/>
                <w:lang w:val="en-US" w:eastAsia="zh-CN"/>
              </w:rPr>
              <w:t>1.6</w:t>
            </w:r>
          </w:p>
        </w:tc>
        <w:tc>
          <w:tcPr>
            <w:tcW w:w="1662" w:type="dxa"/>
            <w:noWrap w:val="0"/>
            <w:tcMar>
              <w:left w:w="0" w:type="dxa"/>
              <w:right w:w="0" w:type="dxa"/>
            </w:tcMar>
            <w:vAlign w:val="center"/>
          </w:tcPr>
          <w:p w14:paraId="37020CCF">
            <w:pPr>
              <w:pStyle w:val="26"/>
              <w:bidi w:val="0"/>
              <w:rPr>
                <w:color w:val="auto"/>
                <w:lang w:val="en-US" w:eastAsia="zh-CN"/>
              </w:rPr>
            </w:pPr>
            <w:r>
              <w:rPr>
                <w:color w:val="auto"/>
                <w:lang w:val="en-US" w:eastAsia="zh-CN"/>
              </w:rPr>
              <w:t>6.8</w:t>
            </w:r>
          </w:p>
        </w:tc>
      </w:tr>
      <w:tr w14:paraId="3961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8884B68">
            <w:pPr>
              <w:pStyle w:val="26"/>
              <w:bidi w:val="0"/>
              <w:rPr>
                <w:color w:val="auto"/>
                <w:lang w:val="en-US" w:eastAsia="zh-CN"/>
              </w:rPr>
            </w:pPr>
            <w:r>
              <w:rPr>
                <w:color w:val="auto"/>
                <w:lang w:val="en-US" w:eastAsia="zh-CN"/>
              </w:rPr>
              <w:t>20</w:t>
            </w:r>
          </w:p>
        </w:tc>
        <w:tc>
          <w:tcPr>
            <w:tcW w:w="2059" w:type="dxa"/>
            <w:noWrap w:val="0"/>
            <w:tcMar>
              <w:left w:w="0" w:type="dxa"/>
              <w:right w:w="0" w:type="dxa"/>
            </w:tcMar>
            <w:vAlign w:val="center"/>
          </w:tcPr>
          <w:p w14:paraId="17C53520">
            <w:pPr>
              <w:pStyle w:val="26"/>
              <w:bidi w:val="0"/>
              <w:rPr>
                <w:color w:val="auto"/>
                <w:lang w:val="en-US" w:eastAsia="zh-CN"/>
              </w:rPr>
            </w:pPr>
            <w:r>
              <w:rPr>
                <w:color w:val="auto"/>
                <w:lang w:val="en-US" w:eastAsia="zh-CN"/>
              </w:rPr>
              <w:t>四氯乙烯</w:t>
            </w:r>
          </w:p>
        </w:tc>
        <w:tc>
          <w:tcPr>
            <w:tcW w:w="2026" w:type="dxa"/>
            <w:noWrap w:val="0"/>
            <w:tcMar>
              <w:left w:w="0" w:type="dxa"/>
              <w:right w:w="0" w:type="dxa"/>
            </w:tcMar>
            <w:vAlign w:val="center"/>
          </w:tcPr>
          <w:p w14:paraId="551DEF74">
            <w:pPr>
              <w:pStyle w:val="26"/>
              <w:bidi w:val="0"/>
              <w:rPr>
                <w:color w:val="auto"/>
                <w:lang w:val="en-US" w:eastAsia="zh-CN"/>
              </w:rPr>
            </w:pPr>
            <w:r>
              <w:rPr>
                <w:color w:val="auto"/>
                <w:lang w:val="en-US" w:eastAsia="zh-CN"/>
              </w:rPr>
              <w:t>127-18-4</w:t>
            </w:r>
          </w:p>
        </w:tc>
        <w:tc>
          <w:tcPr>
            <w:tcW w:w="1750" w:type="dxa"/>
            <w:noWrap w:val="0"/>
            <w:tcMar>
              <w:left w:w="0" w:type="dxa"/>
              <w:right w:w="0" w:type="dxa"/>
            </w:tcMar>
            <w:vAlign w:val="center"/>
          </w:tcPr>
          <w:p w14:paraId="5F9A70EF">
            <w:pPr>
              <w:pStyle w:val="26"/>
              <w:bidi w:val="0"/>
              <w:rPr>
                <w:color w:val="auto"/>
                <w:lang w:val="en-US" w:eastAsia="zh-CN"/>
              </w:rPr>
            </w:pPr>
            <w:r>
              <w:rPr>
                <w:color w:val="auto"/>
                <w:lang w:val="en-US" w:eastAsia="zh-CN"/>
              </w:rPr>
              <w:t>11</w:t>
            </w:r>
          </w:p>
        </w:tc>
        <w:tc>
          <w:tcPr>
            <w:tcW w:w="1662" w:type="dxa"/>
            <w:noWrap w:val="0"/>
            <w:tcMar>
              <w:left w:w="0" w:type="dxa"/>
              <w:right w:w="0" w:type="dxa"/>
            </w:tcMar>
            <w:vAlign w:val="center"/>
          </w:tcPr>
          <w:p w14:paraId="01D9EA11">
            <w:pPr>
              <w:pStyle w:val="26"/>
              <w:bidi w:val="0"/>
              <w:rPr>
                <w:color w:val="auto"/>
                <w:lang w:val="en-US" w:eastAsia="zh-CN"/>
              </w:rPr>
            </w:pPr>
            <w:r>
              <w:rPr>
                <w:color w:val="auto"/>
                <w:lang w:val="en-US" w:eastAsia="zh-CN"/>
              </w:rPr>
              <w:t>53</w:t>
            </w:r>
          </w:p>
        </w:tc>
      </w:tr>
      <w:tr w14:paraId="69D5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DF4C92A">
            <w:pPr>
              <w:pStyle w:val="26"/>
              <w:bidi w:val="0"/>
              <w:rPr>
                <w:color w:val="auto"/>
                <w:lang w:val="en-US" w:eastAsia="zh-CN"/>
              </w:rPr>
            </w:pPr>
            <w:r>
              <w:rPr>
                <w:color w:val="auto"/>
                <w:lang w:val="en-US" w:eastAsia="zh-CN"/>
              </w:rPr>
              <w:t>21</w:t>
            </w:r>
          </w:p>
        </w:tc>
        <w:tc>
          <w:tcPr>
            <w:tcW w:w="2059" w:type="dxa"/>
            <w:noWrap w:val="0"/>
            <w:tcMar>
              <w:left w:w="0" w:type="dxa"/>
              <w:right w:w="0" w:type="dxa"/>
            </w:tcMar>
            <w:vAlign w:val="center"/>
          </w:tcPr>
          <w:p w14:paraId="07278D52">
            <w:pPr>
              <w:pStyle w:val="26"/>
              <w:bidi w:val="0"/>
              <w:rPr>
                <w:color w:val="auto"/>
                <w:lang w:val="en-US" w:eastAsia="zh-CN"/>
              </w:rPr>
            </w:pPr>
            <w:r>
              <w:rPr>
                <w:color w:val="auto"/>
                <w:lang w:val="en-US" w:eastAsia="zh-CN"/>
              </w:rPr>
              <w:t>1,1,1-三氯乙烷</w:t>
            </w:r>
          </w:p>
        </w:tc>
        <w:tc>
          <w:tcPr>
            <w:tcW w:w="2026" w:type="dxa"/>
            <w:noWrap w:val="0"/>
            <w:tcMar>
              <w:left w:w="0" w:type="dxa"/>
              <w:right w:w="0" w:type="dxa"/>
            </w:tcMar>
            <w:vAlign w:val="center"/>
          </w:tcPr>
          <w:p w14:paraId="7E0F6D4E">
            <w:pPr>
              <w:pStyle w:val="26"/>
              <w:bidi w:val="0"/>
              <w:rPr>
                <w:color w:val="auto"/>
                <w:lang w:val="en-US" w:eastAsia="zh-CN"/>
              </w:rPr>
            </w:pPr>
            <w:r>
              <w:rPr>
                <w:color w:val="auto"/>
                <w:lang w:val="en-US" w:eastAsia="zh-CN"/>
              </w:rPr>
              <w:t>71-55-6</w:t>
            </w:r>
          </w:p>
        </w:tc>
        <w:tc>
          <w:tcPr>
            <w:tcW w:w="1750" w:type="dxa"/>
            <w:noWrap w:val="0"/>
            <w:tcMar>
              <w:left w:w="0" w:type="dxa"/>
              <w:right w:w="0" w:type="dxa"/>
            </w:tcMar>
            <w:vAlign w:val="center"/>
          </w:tcPr>
          <w:p w14:paraId="692805A4">
            <w:pPr>
              <w:pStyle w:val="26"/>
              <w:bidi w:val="0"/>
              <w:rPr>
                <w:color w:val="auto"/>
                <w:lang w:val="en-US" w:eastAsia="zh-CN"/>
              </w:rPr>
            </w:pPr>
            <w:r>
              <w:rPr>
                <w:color w:val="auto"/>
                <w:lang w:val="en-US" w:eastAsia="zh-CN"/>
              </w:rPr>
              <w:t>701</w:t>
            </w:r>
          </w:p>
        </w:tc>
        <w:tc>
          <w:tcPr>
            <w:tcW w:w="1662" w:type="dxa"/>
            <w:noWrap w:val="0"/>
            <w:tcMar>
              <w:left w:w="0" w:type="dxa"/>
              <w:right w:w="0" w:type="dxa"/>
            </w:tcMar>
            <w:vAlign w:val="center"/>
          </w:tcPr>
          <w:p w14:paraId="2CBC3BA5">
            <w:pPr>
              <w:pStyle w:val="26"/>
              <w:bidi w:val="0"/>
              <w:rPr>
                <w:color w:val="auto"/>
                <w:lang w:val="en-US" w:eastAsia="zh-CN"/>
              </w:rPr>
            </w:pPr>
            <w:r>
              <w:rPr>
                <w:color w:val="auto"/>
                <w:lang w:val="en-US" w:eastAsia="zh-CN"/>
              </w:rPr>
              <w:t>840</w:t>
            </w:r>
          </w:p>
        </w:tc>
      </w:tr>
      <w:tr w14:paraId="0992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01C6CE2">
            <w:pPr>
              <w:pStyle w:val="26"/>
              <w:bidi w:val="0"/>
              <w:rPr>
                <w:color w:val="auto"/>
                <w:lang w:val="en-US" w:eastAsia="zh-CN"/>
              </w:rPr>
            </w:pPr>
            <w:r>
              <w:rPr>
                <w:color w:val="auto"/>
                <w:lang w:val="en-US" w:eastAsia="zh-CN"/>
              </w:rPr>
              <w:t>22</w:t>
            </w:r>
          </w:p>
        </w:tc>
        <w:tc>
          <w:tcPr>
            <w:tcW w:w="2059" w:type="dxa"/>
            <w:noWrap w:val="0"/>
            <w:tcMar>
              <w:left w:w="0" w:type="dxa"/>
              <w:right w:w="0" w:type="dxa"/>
            </w:tcMar>
            <w:vAlign w:val="center"/>
          </w:tcPr>
          <w:p w14:paraId="70FAA238">
            <w:pPr>
              <w:pStyle w:val="26"/>
              <w:bidi w:val="0"/>
              <w:rPr>
                <w:color w:val="auto"/>
                <w:lang w:val="en-US" w:eastAsia="zh-CN"/>
              </w:rPr>
            </w:pPr>
            <w:r>
              <w:rPr>
                <w:color w:val="auto"/>
                <w:lang w:val="en-US" w:eastAsia="zh-CN"/>
              </w:rPr>
              <w:t>1,1,2-三氯乙烷</w:t>
            </w:r>
          </w:p>
        </w:tc>
        <w:tc>
          <w:tcPr>
            <w:tcW w:w="2026" w:type="dxa"/>
            <w:noWrap w:val="0"/>
            <w:tcMar>
              <w:left w:w="0" w:type="dxa"/>
              <w:right w:w="0" w:type="dxa"/>
            </w:tcMar>
            <w:vAlign w:val="center"/>
          </w:tcPr>
          <w:p w14:paraId="7BCB8707">
            <w:pPr>
              <w:pStyle w:val="26"/>
              <w:bidi w:val="0"/>
              <w:rPr>
                <w:color w:val="auto"/>
                <w:lang w:val="en-US" w:eastAsia="zh-CN"/>
              </w:rPr>
            </w:pPr>
            <w:r>
              <w:rPr>
                <w:color w:val="auto"/>
                <w:lang w:val="en-US" w:eastAsia="zh-CN"/>
              </w:rPr>
              <w:t>79-00-5</w:t>
            </w:r>
          </w:p>
        </w:tc>
        <w:tc>
          <w:tcPr>
            <w:tcW w:w="1750" w:type="dxa"/>
            <w:noWrap w:val="0"/>
            <w:tcMar>
              <w:left w:w="0" w:type="dxa"/>
              <w:right w:w="0" w:type="dxa"/>
            </w:tcMar>
            <w:vAlign w:val="center"/>
          </w:tcPr>
          <w:p w14:paraId="03A8A3D4">
            <w:pPr>
              <w:pStyle w:val="26"/>
              <w:bidi w:val="0"/>
              <w:rPr>
                <w:color w:val="auto"/>
                <w:lang w:val="en-US" w:eastAsia="zh-CN"/>
              </w:rPr>
            </w:pPr>
            <w:r>
              <w:rPr>
                <w:color w:val="auto"/>
                <w:lang w:val="en-US" w:eastAsia="zh-CN"/>
              </w:rPr>
              <w:t>0.6</w:t>
            </w:r>
          </w:p>
        </w:tc>
        <w:tc>
          <w:tcPr>
            <w:tcW w:w="1662" w:type="dxa"/>
            <w:noWrap w:val="0"/>
            <w:tcMar>
              <w:left w:w="0" w:type="dxa"/>
              <w:right w:w="0" w:type="dxa"/>
            </w:tcMar>
            <w:vAlign w:val="center"/>
          </w:tcPr>
          <w:p w14:paraId="43407F17">
            <w:pPr>
              <w:pStyle w:val="26"/>
              <w:bidi w:val="0"/>
              <w:rPr>
                <w:color w:val="auto"/>
                <w:lang w:val="en-US" w:eastAsia="zh-CN"/>
              </w:rPr>
            </w:pPr>
            <w:r>
              <w:rPr>
                <w:color w:val="auto"/>
                <w:lang w:val="en-US" w:eastAsia="zh-CN"/>
              </w:rPr>
              <w:t>2.8</w:t>
            </w:r>
          </w:p>
        </w:tc>
      </w:tr>
      <w:tr w14:paraId="476C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C3E01F1">
            <w:pPr>
              <w:pStyle w:val="26"/>
              <w:bidi w:val="0"/>
              <w:rPr>
                <w:color w:val="auto"/>
                <w:lang w:val="en-US" w:eastAsia="zh-CN"/>
              </w:rPr>
            </w:pPr>
            <w:r>
              <w:rPr>
                <w:color w:val="auto"/>
                <w:lang w:val="en-US" w:eastAsia="zh-CN"/>
              </w:rPr>
              <w:t>23</w:t>
            </w:r>
          </w:p>
        </w:tc>
        <w:tc>
          <w:tcPr>
            <w:tcW w:w="2059" w:type="dxa"/>
            <w:noWrap w:val="0"/>
            <w:tcMar>
              <w:left w:w="0" w:type="dxa"/>
              <w:right w:w="0" w:type="dxa"/>
            </w:tcMar>
            <w:vAlign w:val="center"/>
          </w:tcPr>
          <w:p w14:paraId="5FAACA75">
            <w:pPr>
              <w:pStyle w:val="26"/>
              <w:bidi w:val="0"/>
              <w:rPr>
                <w:color w:val="auto"/>
                <w:lang w:val="en-US" w:eastAsia="zh-CN"/>
              </w:rPr>
            </w:pPr>
            <w:r>
              <w:rPr>
                <w:color w:val="auto"/>
                <w:lang w:val="en-US" w:eastAsia="zh-CN"/>
              </w:rPr>
              <w:t>三氯乙烯</w:t>
            </w:r>
          </w:p>
        </w:tc>
        <w:tc>
          <w:tcPr>
            <w:tcW w:w="2026" w:type="dxa"/>
            <w:noWrap w:val="0"/>
            <w:tcMar>
              <w:left w:w="0" w:type="dxa"/>
              <w:right w:w="0" w:type="dxa"/>
            </w:tcMar>
            <w:vAlign w:val="center"/>
          </w:tcPr>
          <w:p w14:paraId="6328E857">
            <w:pPr>
              <w:pStyle w:val="26"/>
              <w:bidi w:val="0"/>
              <w:rPr>
                <w:color w:val="auto"/>
                <w:lang w:val="en-US" w:eastAsia="zh-CN"/>
              </w:rPr>
            </w:pPr>
            <w:r>
              <w:rPr>
                <w:color w:val="auto"/>
                <w:lang w:val="en-US" w:eastAsia="zh-CN"/>
              </w:rPr>
              <w:t>79-01-6</w:t>
            </w:r>
          </w:p>
        </w:tc>
        <w:tc>
          <w:tcPr>
            <w:tcW w:w="1750" w:type="dxa"/>
            <w:noWrap w:val="0"/>
            <w:tcMar>
              <w:left w:w="0" w:type="dxa"/>
              <w:right w:w="0" w:type="dxa"/>
            </w:tcMar>
            <w:vAlign w:val="center"/>
          </w:tcPr>
          <w:p w14:paraId="038C83CB">
            <w:pPr>
              <w:pStyle w:val="26"/>
              <w:bidi w:val="0"/>
              <w:rPr>
                <w:color w:val="auto"/>
                <w:lang w:val="en-US" w:eastAsia="zh-CN"/>
              </w:rPr>
            </w:pPr>
            <w:r>
              <w:rPr>
                <w:color w:val="auto"/>
                <w:lang w:val="en-US" w:eastAsia="zh-CN"/>
              </w:rPr>
              <w:t>0.7</w:t>
            </w:r>
          </w:p>
        </w:tc>
        <w:tc>
          <w:tcPr>
            <w:tcW w:w="1662" w:type="dxa"/>
            <w:noWrap w:val="0"/>
            <w:tcMar>
              <w:left w:w="0" w:type="dxa"/>
              <w:right w:w="0" w:type="dxa"/>
            </w:tcMar>
            <w:vAlign w:val="center"/>
          </w:tcPr>
          <w:p w14:paraId="61B94E65">
            <w:pPr>
              <w:pStyle w:val="26"/>
              <w:bidi w:val="0"/>
              <w:rPr>
                <w:color w:val="auto"/>
                <w:lang w:val="en-US" w:eastAsia="zh-CN"/>
              </w:rPr>
            </w:pPr>
            <w:r>
              <w:rPr>
                <w:color w:val="auto"/>
                <w:lang w:val="en-US" w:eastAsia="zh-CN"/>
              </w:rPr>
              <w:t>2.8</w:t>
            </w:r>
          </w:p>
        </w:tc>
      </w:tr>
      <w:tr w14:paraId="4312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1022E02">
            <w:pPr>
              <w:pStyle w:val="26"/>
              <w:bidi w:val="0"/>
              <w:rPr>
                <w:color w:val="auto"/>
                <w:lang w:val="en-US" w:eastAsia="zh-CN"/>
              </w:rPr>
            </w:pPr>
            <w:r>
              <w:rPr>
                <w:color w:val="auto"/>
                <w:lang w:val="en-US" w:eastAsia="zh-CN"/>
              </w:rPr>
              <w:t>24</w:t>
            </w:r>
          </w:p>
        </w:tc>
        <w:tc>
          <w:tcPr>
            <w:tcW w:w="2059" w:type="dxa"/>
            <w:noWrap w:val="0"/>
            <w:tcMar>
              <w:left w:w="0" w:type="dxa"/>
              <w:right w:w="0" w:type="dxa"/>
            </w:tcMar>
            <w:vAlign w:val="center"/>
          </w:tcPr>
          <w:p w14:paraId="192CA0AA">
            <w:pPr>
              <w:pStyle w:val="26"/>
              <w:bidi w:val="0"/>
              <w:rPr>
                <w:color w:val="auto"/>
                <w:lang w:val="en-US" w:eastAsia="zh-CN"/>
              </w:rPr>
            </w:pPr>
            <w:r>
              <w:rPr>
                <w:color w:val="auto"/>
                <w:lang w:val="en-US" w:eastAsia="zh-CN"/>
              </w:rPr>
              <w:t>1,2,3-三氯丙烷</w:t>
            </w:r>
          </w:p>
        </w:tc>
        <w:tc>
          <w:tcPr>
            <w:tcW w:w="2026" w:type="dxa"/>
            <w:noWrap w:val="0"/>
            <w:tcMar>
              <w:left w:w="0" w:type="dxa"/>
              <w:right w:w="0" w:type="dxa"/>
            </w:tcMar>
            <w:vAlign w:val="center"/>
          </w:tcPr>
          <w:p w14:paraId="7D72C692">
            <w:pPr>
              <w:pStyle w:val="26"/>
              <w:bidi w:val="0"/>
              <w:rPr>
                <w:color w:val="auto"/>
                <w:lang w:val="en-US" w:eastAsia="zh-CN"/>
              </w:rPr>
            </w:pPr>
            <w:r>
              <w:rPr>
                <w:color w:val="auto"/>
                <w:lang w:val="en-US" w:eastAsia="zh-CN"/>
              </w:rPr>
              <w:t>96-18-4</w:t>
            </w:r>
          </w:p>
        </w:tc>
        <w:tc>
          <w:tcPr>
            <w:tcW w:w="1750" w:type="dxa"/>
            <w:noWrap w:val="0"/>
            <w:tcMar>
              <w:left w:w="0" w:type="dxa"/>
              <w:right w:w="0" w:type="dxa"/>
            </w:tcMar>
            <w:vAlign w:val="center"/>
          </w:tcPr>
          <w:p w14:paraId="4F99182A">
            <w:pPr>
              <w:pStyle w:val="26"/>
              <w:bidi w:val="0"/>
              <w:rPr>
                <w:color w:val="auto"/>
                <w:lang w:val="en-US" w:eastAsia="zh-CN"/>
              </w:rPr>
            </w:pPr>
            <w:r>
              <w:rPr>
                <w:color w:val="auto"/>
                <w:lang w:val="en-US" w:eastAsia="zh-CN"/>
              </w:rPr>
              <w:t>0.05</w:t>
            </w:r>
          </w:p>
        </w:tc>
        <w:tc>
          <w:tcPr>
            <w:tcW w:w="1662" w:type="dxa"/>
            <w:noWrap w:val="0"/>
            <w:tcMar>
              <w:left w:w="0" w:type="dxa"/>
              <w:right w:w="0" w:type="dxa"/>
            </w:tcMar>
            <w:vAlign w:val="center"/>
          </w:tcPr>
          <w:p w14:paraId="20F4825A">
            <w:pPr>
              <w:pStyle w:val="26"/>
              <w:bidi w:val="0"/>
              <w:rPr>
                <w:color w:val="auto"/>
                <w:lang w:val="en-US" w:eastAsia="zh-CN"/>
              </w:rPr>
            </w:pPr>
            <w:r>
              <w:rPr>
                <w:color w:val="auto"/>
                <w:lang w:val="en-US" w:eastAsia="zh-CN"/>
              </w:rPr>
              <w:t>0.5</w:t>
            </w:r>
          </w:p>
        </w:tc>
      </w:tr>
      <w:tr w14:paraId="7780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6CF13DA">
            <w:pPr>
              <w:pStyle w:val="26"/>
              <w:bidi w:val="0"/>
              <w:rPr>
                <w:color w:val="auto"/>
                <w:lang w:val="en-US" w:eastAsia="zh-CN"/>
              </w:rPr>
            </w:pPr>
            <w:r>
              <w:rPr>
                <w:color w:val="auto"/>
                <w:lang w:val="en-US" w:eastAsia="zh-CN"/>
              </w:rPr>
              <w:t>25</w:t>
            </w:r>
          </w:p>
        </w:tc>
        <w:tc>
          <w:tcPr>
            <w:tcW w:w="2059" w:type="dxa"/>
            <w:noWrap w:val="0"/>
            <w:tcMar>
              <w:left w:w="0" w:type="dxa"/>
              <w:right w:w="0" w:type="dxa"/>
            </w:tcMar>
            <w:vAlign w:val="center"/>
          </w:tcPr>
          <w:p w14:paraId="76F4A7D2">
            <w:pPr>
              <w:pStyle w:val="26"/>
              <w:bidi w:val="0"/>
              <w:rPr>
                <w:color w:val="auto"/>
                <w:lang w:val="en-US" w:eastAsia="zh-CN"/>
              </w:rPr>
            </w:pPr>
            <w:r>
              <w:rPr>
                <w:color w:val="auto"/>
                <w:lang w:val="en-US" w:eastAsia="zh-CN"/>
              </w:rPr>
              <w:t>氯乙烯</w:t>
            </w:r>
          </w:p>
        </w:tc>
        <w:tc>
          <w:tcPr>
            <w:tcW w:w="2026" w:type="dxa"/>
            <w:noWrap w:val="0"/>
            <w:tcMar>
              <w:left w:w="0" w:type="dxa"/>
              <w:right w:w="0" w:type="dxa"/>
            </w:tcMar>
            <w:vAlign w:val="center"/>
          </w:tcPr>
          <w:p w14:paraId="0710E173">
            <w:pPr>
              <w:pStyle w:val="26"/>
              <w:bidi w:val="0"/>
              <w:rPr>
                <w:color w:val="auto"/>
                <w:lang w:val="en-US" w:eastAsia="zh-CN"/>
              </w:rPr>
            </w:pPr>
            <w:r>
              <w:rPr>
                <w:color w:val="auto"/>
                <w:lang w:val="en-US" w:eastAsia="zh-CN"/>
              </w:rPr>
              <w:t>75-01-4</w:t>
            </w:r>
          </w:p>
        </w:tc>
        <w:tc>
          <w:tcPr>
            <w:tcW w:w="1750" w:type="dxa"/>
            <w:noWrap w:val="0"/>
            <w:tcMar>
              <w:left w:w="0" w:type="dxa"/>
              <w:right w:w="0" w:type="dxa"/>
            </w:tcMar>
            <w:vAlign w:val="center"/>
          </w:tcPr>
          <w:p w14:paraId="4F4B62ED">
            <w:pPr>
              <w:pStyle w:val="26"/>
              <w:bidi w:val="0"/>
              <w:rPr>
                <w:color w:val="auto"/>
                <w:lang w:val="en-US" w:eastAsia="zh-CN"/>
              </w:rPr>
            </w:pPr>
            <w:r>
              <w:rPr>
                <w:color w:val="auto"/>
                <w:lang w:val="en-US" w:eastAsia="zh-CN"/>
              </w:rPr>
              <w:t>0.12</w:t>
            </w:r>
          </w:p>
        </w:tc>
        <w:tc>
          <w:tcPr>
            <w:tcW w:w="1662" w:type="dxa"/>
            <w:noWrap w:val="0"/>
            <w:tcMar>
              <w:left w:w="0" w:type="dxa"/>
              <w:right w:w="0" w:type="dxa"/>
            </w:tcMar>
            <w:vAlign w:val="center"/>
          </w:tcPr>
          <w:p w14:paraId="2EC6839C">
            <w:pPr>
              <w:pStyle w:val="26"/>
              <w:bidi w:val="0"/>
              <w:rPr>
                <w:color w:val="auto"/>
                <w:lang w:val="en-US" w:eastAsia="zh-CN"/>
              </w:rPr>
            </w:pPr>
            <w:r>
              <w:rPr>
                <w:color w:val="auto"/>
                <w:lang w:val="en-US" w:eastAsia="zh-CN"/>
              </w:rPr>
              <w:t>0.43</w:t>
            </w:r>
          </w:p>
        </w:tc>
      </w:tr>
      <w:tr w14:paraId="56AC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837EA4C">
            <w:pPr>
              <w:pStyle w:val="26"/>
              <w:bidi w:val="0"/>
              <w:rPr>
                <w:color w:val="auto"/>
                <w:lang w:val="en-US" w:eastAsia="zh-CN"/>
              </w:rPr>
            </w:pPr>
            <w:r>
              <w:rPr>
                <w:color w:val="auto"/>
                <w:lang w:val="en-US" w:eastAsia="zh-CN"/>
              </w:rPr>
              <w:t>26</w:t>
            </w:r>
          </w:p>
        </w:tc>
        <w:tc>
          <w:tcPr>
            <w:tcW w:w="2059" w:type="dxa"/>
            <w:noWrap w:val="0"/>
            <w:tcMar>
              <w:left w:w="0" w:type="dxa"/>
              <w:right w:w="0" w:type="dxa"/>
            </w:tcMar>
            <w:vAlign w:val="center"/>
          </w:tcPr>
          <w:p w14:paraId="290A6FD4">
            <w:pPr>
              <w:pStyle w:val="26"/>
              <w:bidi w:val="0"/>
              <w:rPr>
                <w:color w:val="auto"/>
                <w:lang w:val="en-US" w:eastAsia="zh-CN"/>
              </w:rPr>
            </w:pPr>
            <w:r>
              <w:rPr>
                <w:color w:val="auto"/>
                <w:lang w:val="en-US" w:eastAsia="zh-CN"/>
              </w:rPr>
              <w:t>苯</w:t>
            </w:r>
          </w:p>
        </w:tc>
        <w:tc>
          <w:tcPr>
            <w:tcW w:w="2026" w:type="dxa"/>
            <w:noWrap w:val="0"/>
            <w:tcMar>
              <w:left w:w="0" w:type="dxa"/>
              <w:right w:w="0" w:type="dxa"/>
            </w:tcMar>
            <w:vAlign w:val="center"/>
          </w:tcPr>
          <w:p w14:paraId="0ABFDB72">
            <w:pPr>
              <w:pStyle w:val="26"/>
              <w:bidi w:val="0"/>
              <w:rPr>
                <w:color w:val="auto"/>
                <w:lang w:val="en-US" w:eastAsia="zh-CN"/>
              </w:rPr>
            </w:pPr>
            <w:r>
              <w:rPr>
                <w:color w:val="auto"/>
                <w:lang w:val="en-US" w:eastAsia="zh-CN"/>
              </w:rPr>
              <w:t>71-43-2</w:t>
            </w:r>
          </w:p>
        </w:tc>
        <w:tc>
          <w:tcPr>
            <w:tcW w:w="1750" w:type="dxa"/>
            <w:noWrap w:val="0"/>
            <w:tcMar>
              <w:left w:w="0" w:type="dxa"/>
              <w:right w:w="0" w:type="dxa"/>
            </w:tcMar>
            <w:vAlign w:val="center"/>
          </w:tcPr>
          <w:p w14:paraId="530C313C">
            <w:pPr>
              <w:pStyle w:val="26"/>
              <w:bidi w:val="0"/>
              <w:rPr>
                <w:color w:val="auto"/>
                <w:lang w:val="en-US" w:eastAsia="zh-CN"/>
              </w:rPr>
            </w:pPr>
            <w:r>
              <w:rPr>
                <w:color w:val="auto"/>
                <w:lang w:val="en-US" w:eastAsia="zh-CN"/>
              </w:rPr>
              <w:t>1</w:t>
            </w:r>
          </w:p>
        </w:tc>
        <w:tc>
          <w:tcPr>
            <w:tcW w:w="1662" w:type="dxa"/>
            <w:noWrap w:val="0"/>
            <w:tcMar>
              <w:left w:w="0" w:type="dxa"/>
              <w:right w:w="0" w:type="dxa"/>
            </w:tcMar>
            <w:vAlign w:val="center"/>
          </w:tcPr>
          <w:p w14:paraId="1709EDF1">
            <w:pPr>
              <w:pStyle w:val="26"/>
              <w:bidi w:val="0"/>
              <w:rPr>
                <w:color w:val="auto"/>
                <w:lang w:val="en-US" w:eastAsia="zh-CN"/>
              </w:rPr>
            </w:pPr>
            <w:r>
              <w:rPr>
                <w:color w:val="auto"/>
                <w:lang w:val="en-US" w:eastAsia="zh-CN"/>
              </w:rPr>
              <w:t>4</w:t>
            </w:r>
          </w:p>
        </w:tc>
      </w:tr>
      <w:tr w14:paraId="5655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62E39929">
            <w:pPr>
              <w:pStyle w:val="26"/>
              <w:bidi w:val="0"/>
              <w:rPr>
                <w:color w:val="auto"/>
                <w:lang w:val="en-US" w:eastAsia="zh-CN"/>
              </w:rPr>
            </w:pPr>
            <w:r>
              <w:rPr>
                <w:color w:val="auto"/>
                <w:lang w:val="en-US" w:eastAsia="zh-CN"/>
              </w:rPr>
              <w:t>27</w:t>
            </w:r>
          </w:p>
        </w:tc>
        <w:tc>
          <w:tcPr>
            <w:tcW w:w="2059" w:type="dxa"/>
            <w:noWrap w:val="0"/>
            <w:tcMar>
              <w:left w:w="0" w:type="dxa"/>
              <w:right w:w="0" w:type="dxa"/>
            </w:tcMar>
            <w:vAlign w:val="center"/>
          </w:tcPr>
          <w:p w14:paraId="34931536">
            <w:pPr>
              <w:pStyle w:val="26"/>
              <w:bidi w:val="0"/>
              <w:rPr>
                <w:color w:val="auto"/>
                <w:lang w:val="en-US" w:eastAsia="zh-CN"/>
              </w:rPr>
            </w:pPr>
            <w:r>
              <w:rPr>
                <w:color w:val="auto"/>
                <w:lang w:val="en-US" w:eastAsia="zh-CN"/>
              </w:rPr>
              <w:t>氯苯</w:t>
            </w:r>
          </w:p>
        </w:tc>
        <w:tc>
          <w:tcPr>
            <w:tcW w:w="2026" w:type="dxa"/>
            <w:noWrap w:val="0"/>
            <w:tcMar>
              <w:left w:w="0" w:type="dxa"/>
              <w:right w:w="0" w:type="dxa"/>
            </w:tcMar>
            <w:vAlign w:val="center"/>
          </w:tcPr>
          <w:p w14:paraId="74620C45">
            <w:pPr>
              <w:pStyle w:val="26"/>
              <w:bidi w:val="0"/>
              <w:rPr>
                <w:color w:val="auto"/>
                <w:lang w:val="en-US" w:eastAsia="zh-CN"/>
              </w:rPr>
            </w:pPr>
            <w:r>
              <w:rPr>
                <w:color w:val="auto"/>
                <w:lang w:val="en-US" w:eastAsia="zh-CN"/>
              </w:rPr>
              <w:t>108-90-7</w:t>
            </w:r>
          </w:p>
        </w:tc>
        <w:tc>
          <w:tcPr>
            <w:tcW w:w="1750" w:type="dxa"/>
            <w:noWrap w:val="0"/>
            <w:tcMar>
              <w:left w:w="0" w:type="dxa"/>
              <w:right w:w="0" w:type="dxa"/>
            </w:tcMar>
            <w:vAlign w:val="center"/>
          </w:tcPr>
          <w:p w14:paraId="1F9DBA0B">
            <w:pPr>
              <w:pStyle w:val="26"/>
              <w:bidi w:val="0"/>
              <w:rPr>
                <w:color w:val="auto"/>
                <w:lang w:val="en-US" w:eastAsia="zh-CN"/>
              </w:rPr>
            </w:pPr>
            <w:r>
              <w:rPr>
                <w:color w:val="auto"/>
                <w:lang w:val="en-US" w:eastAsia="zh-CN"/>
              </w:rPr>
              <w:t>68</w:t>
            </w:r>
          </w:p>
        </w:tc>
        <w:tc>
          <w:tcPr>
            <w:tcW w:w="1662" w:type="dxa"/>
            <w:noWrap w:val="0"/>
            <w:tcMar>
              <w:left w:w="0" w:type="dxa"/>
              <w:right w:w="0" w:type="dxa"/>
            </w:tcMar>
            <w:vAlign w:val="center"/>
          </w:tcPr>
          <w:p w14:paraId="403E6C7C">
            <w:pPr>
              <w:pStyle w:val="26"/>
              <w:bidi w:val="0"/>
              <w:rPr>
                <w:color w:val="auto"/>
                <w:lang w:val="en-US" w:eastAsia="zh-CN"/>
              </w:rPr>
            </w:pPr>
            <w:r>
              <w:rPr>
                <w:color w:val="auto"/>
                <w:lang w:val="en-US" w:eastAsia="zh-CN"/>
              </w:rPr>
              <w:t>270</w:t>
            </w:r>
          </w:p>
        </w:tc>
      </w:tr>
      <w:tr w14:paraId="2587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0FCCF24">
            <w:pPr>
              <w:pStyle w:val="26"/>
              <w:bidi w:val="0"/>
              <w:rPr>
                <w:color w:val="auto"/>
                <w:lang w:val="en-US" w:eastAsia="zh-CN"/>
              </w:rPr>
            </w:pPr>
            <w:r>
              <w:rPr>
                <w:color w:val="auto"/>
                <w:lang w:val="en-US" w:eastAsia="zh-CN"/>
              </w:rPr>
              <w:t>28</w:t>
            </w:r>
          </w:p>
        </w:tc>
        <w:tc>
          <w:tcPr>
            <w:tcW w:w="2059" w:type="dxa"/>
            <w:noWrap w:val="0"/>
            <w:tcMar>
              <w:left w:w="0" w:type="dxa"/>
              <w:right w:w="0" w:type="dxa"/>
            </w:tcMar>
            <w:vAlign w:val="center"/>
          </w:tcPr>
          <w:p w14:paraId="4DE66A7B">
            <w:pPr>
              <w:pStyle w:val="26"/>
              <w:bidi w:val="0"/>
              <w:rPr>
                <w:color w:val="auto"/>
                <w:lang w:val="en-US" w:eastAsia="zh-CN"/>
              </w:rPr>
            </w:pPr>
            <w:r>
              <w:rPr>
                <w:color w:val="auto"/>
                <w:lang w:val="en-US" w:eastAsia="zh-CN"/>
              </w:rPr>
              <w:t>1,2-二氯苯</w:t>
            </w:r>
          </w:p>
        </w:tc>
        <w:tc>
          <w:tcPr>
            <w:tcW w:w="2026" w:type="dxa"/>
            <w:noWrap w:val="0"/>
            <w:tcMar>
              <w:left w:w="0" w:type="dxa"/>
              <w:right w:w="0" w:type="dxa"/>
            </w:tcMar>
            <w:vAlign w:val="center"/>
          </w:tcPr>
          <w:p w14:paraId="137833C2">
            <w:pPr>
              <w:pStyle w:val="26"/>
              <w:bidi w:val="0"/>
              <w:rPr>
                <w:color w:val="auto"/>
                <w:lang w:val="en-US" w:eastAsia="zh-CN"/>
              </w:rPr>
            </w:pPr>
            <w:r>
              <w:rPr>
                <w:color w:val="auto"/>
                <w:lang w:val="en-US" w:eastAsia="zh-CN"/>
              </w:rPr>
              <w:t>95-50-1</w:t>
            </w:r>
          </w:p>
        </w:tc>
        <w:tc>
          <w:tcPr>
            <w:tcW w:w="1750" w:type="dxa"/>
            <w:noWrap w:val="0"/>
            <w:tcMar>
              <w:left w:w="0" w:type="dxa"/>
              <w:right w:w="0" w:type="dxa"/>
            </w:tcMar>
            <w:vAlign w:val="center"/>
          </w:tcPr>
          <w:p w14:paraId="6C1FD23C">
            <w:pPr>
              <w:pStyle w:val="26"/>
              <w:bidi w:val="0"/>
              <w:rPr>
                <w:color w:val="auto"/>
                <w:lang w:val="en-US" w:eastAsia="zh-CN"/>
              </w:rPr>
            </w:pPr>
            <w:r>
              <w:rPr>
                <w:color w:val="auto"/>
                <w:lang w:val="en-US" w:eastAsia="zh-CN"/>
              </w:rPr>
              <w:t>560</w:t>
            </w:r>
          </w:p>
        </w:tc>
        <w:tc>
          <w:tcPr>
            <w:tcW w:w="1662" w:type="dxa"/>
            <w:noWrap w:val="0"/>
            <w:tcMar>
              <w:left w:w="0" w:type="dxa"/>
              <w:right w:w="0" w:type="dxa"/>
            </w:tcMar>
            <w:vAlign w:val="center"/>
          </w:tcPr>
          <w:p w14:paraId="0D454169">
            <w:pPr>
              <w:pStyle w:val="26"/>
              <w:bidi w:val="0"/>
              <w:rPr>
                <w:color w:val="auto"/>
                <w:lang w:val="en-US" w:eastAsia="zh-CN"/>
              </w:rPr>
            </w:pPr>
            <w:r>
              <w:rPr>
                <w:color w:val="auto"/>
                <w:lang w:val="en-US" w:eastAsia="zh-CN"/>
              </w:rPr>
              <w:t>560</w:t>
            </w:r>
          </w:p>
        </w:tc>
      </w:tr>
      <w:tr w14:paraId="5683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774428E">
            <w:pPr>
              <w:pStyle w:val="26"/>
              <w:bidi w:val="0"/>
              <w:rPr>
                <w:color w:val="auto"/>
                <w:lang w:val="en-US" w:eastAsia="zh-CN"/>
              </w:rPr>
            </w:pPr>
            <w:r>
              <w:rPr>
                <w:color w:val="auto"/>
                <w:lang w:val="en-US" w:eastAsia="zh-CN"/>
              </w:rPr>
              <w:t>29</w:t>
            </w:r>
          </w:p>
        </w:tc>
        <w:tc>
          <w:tcPr>
            <w:tcW w:w="2059" w:type="dxa"/>
            <w:noWrap w:val="0"/>
            <w:tcMar>
              <w:left w:w="0" w:type="dxa"/>
              <w:right w:w="0" w:type="dxa"/>
            </w:tcMar>
            <w:vAlign w:val="center"/>
          </w:tcPr>
          <w:p w14:paraId="52198D16">
            <w:pPr>
              <w:pStyle w:val="26"/>
              <w:bidi w:val="0"/>
              <w:rPr>
                <w:color w:val="auto"/>
                <w:lang w:val="en-US" w:eastAsia="zh-CN"/>
              </w:rPr>
            </w:pPr>
            <w:r>
              <w:rPr>
                <w:color w:val="auto"/>
                <w:lang w:val="en-US" w:eastAsia="zh-CN"/>
              </w:rPr>
              <w:t>1,4-二氯苯</w:t>
            </w:r>
          </w:p>
        </w:tc>
        <w:tc>
          <w:tcPr>
            <w:tcW w:w="2026" w:type="dxa"/>
            <w:noWrap w:val="0"/>
            <w:tcMar>
              <w:left w:w="0" w:type="dxa"/>
              <w:right w:w="0" w:type="dxa"/>
            </w:tcMar>
            <w:vAlign w:val="center"/>
          </w:tcPr>
          <w:p w14:paraId="5DAA0835">
            <w:pPr>
              <w:pStyle w:val="26"/>
              <w:bidi w:val="0"/>
              <w:rPr>
                <w:color w:val="auto"/>
                <w:lang w:val="en-US" w:eastAsia="zh-CN"/>
              </w:rPr>
            </w:pPr>
            <w:r>
              <w:rPr>
                <w:color w:val="auto"/>
                <w:lang w:val="en-US" w:eastAsia="zh-CN"/>
              </w:rPr>
              <w:t>106-46-7</w:t>
            </w:r>
          </w:p>
        </w:tc>
        <w:tc>
          <w:tcPr>
            <w:tcW w:w="1750" w:type="dxa"/>
            <w:noWrap w:val="0"/>
            <w:tcMar>
              <w:left w:w="0" w:type="dxa"/>
              <w:right w:w="0" w:type="dxa"/>
            </w:tcMar>
            <w:vAlign w:val="center"/>
          </w:tcPr>
          <w:p w14:paraId="6F911EA3">
            <w:pPr>
              <w:pStyle w:val="26"/>
              <w:bidi w:val="0"/>
              <w:rPr>
                <w:color w:val="auto"/>
                <w:lang w:val="en-US" w:eastAsia="zh-CN"/>
              </w:rPr>
            </w:pPr>
            <w:r>
              <w:rPr>
                <w:color w:val="auto"/>
                <w:lang w:val="en-US" w:eastAsia="zh-CN"/>
              </w:rPr>
              <w:t>5.6</w:t>
            </w:r>
          </w:p>
        </w:tc>
        <w:tc>
          <w:tcPr>
            <w:tcW w:w="1662" w:type="dxa"/>
            <w:noWrap w:val="0"/>
            <w:tcMar>
              <w:left w:w="0" w:type="dxa"/>
              <w:right w:w="0" w:type="dxa"/>
            </w:tcMar>
            <w:vAlign w:val="center"/>
          </w:tcPr>
          <w:p w14:paraId="792AF34D">
            <w:pPr>
              <w:pStyle w:val="26"/>
              <w:bidi w:val="0"/>
              <w:rPr>
                <w:color w:val="auto"/>
                <w:lang w:val="en-US" w:eastAsia="zh-CN"/>
              </w:rPr>
            </w:pPr>
            <w:r>
              <w:rPr>
                <w:color w:val="auto"/>
                <w:lang w:val="en-US" w:eastAsia="zh-CN"/>
              </w:rPr>
              <w:t>20</w:t>
            </w:r>
          </w:p>
        </w:tc>
      </w:tr>
      <w:tr w14:paraId="4E22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537AB8E6">
            <w:pPr>
              <w:pStyle w:val="26"/>
              <w:bidi w:val="0"/>
              <w:rPr>
                <w:color w:val="auto"/>
                <w:lang w:val="en-US" w:eastAsia="zh-CN"/>
              </w:rPr>
            </w:pPr>
            <w:r>
              <w:rPr>
                <w:color w:val="auto"/>
                <w:lang w:val="en-US" w:eastAsia="zh-CN"/>
              </w:rPr>
              <w:t>30</w:t>
            </w:r>
          </w:p>
        </w:tc>
        <w:tc>
          <w:tcPr>
            <w:tcW w:w="2059" w:type="dxa"/>
            <w:noWrap w:val="0"/>
            <w:tcMar>
              <w:left w:w="0" w:type="dxa"/>
              <w:right w:w="0" w:type="dxa"/>
            </w:tcMar>
            <w:vAlign w:val="center"/>
          </w:tcPr>
          <w:p w14:paraId="4AA89B95">
            <w:pPr>
              <w:pStyle w:val="26"/>
              <w:bidi w:val="0"/>
              <w:rPr>
                <w:color w:val="auto"/>
                <w:lang w:val="en-US" w:eastAsia="zh-CN"/>
              </w:rPr>
            </w:pPr>
            <w:r>
              <w:rPr>
                <w:color w:val="auto"/>
                <w:lang w:val="en-US" w:eastAsia="zh-CN"/>
              </w:rPr>
              <w:t>乙苯</w:t>
            </w:r>
          </w:p>
        </w:tc>
        <w:tc>
          <w:tcPr>
            <w:tcW w:w="2026" w:type="dxa"/>
            <w:noWrap w:val="0"/>
            <w:tcMar>
              <w:left w:w="0" w:type="dxa"/>
              <w:right w:w="0" w:type="dxa"/>
            </w:tcMar>
            <w:vAlign w:val="center"/>
          </w:tcPr>
          <w:p w14:paraId="2F27EC96">
            <w:pPr>
              <w:pStyle w:val="26"/>
              <w:bidi w:val="0"/>
              <w:rPr>
                <w:color w:val="auto"/>
                <w:lang w:val="en-US" w:eastAsia="zh-CN"/>
              </w:rPr>
            </w:pPr>
            <w:r>
              <w:rPr>
                <w:color w:val="auto"/>
                <w:lang w:val="en-US" w:eastAsia="zh-CN"/>
              </w:rPr>
              <w:t>100-41-4</w:t>
            </w:r>
          </w:p>
        </w:tc>
        <w:tc>
          <w:tcPr>
            <w:tcW w:w="1750" w:type="dxa"/>
            <w:noWrap w:val="0"/>
            <w:tcMar>
              <w:left w:w="0" w:type="dxa"/>
              <w:right w:w="0" w:type="dxa"/>
            </w:tcMar>
            <w:vAlign w:val="center"/>
          </w:tcPr>
          <w:p w14:paraId="6A169907">
            <w:pPr>
              <w:pStyle w:val="26"/>
              <w:bidi w:val="0"/>
              <w:rPr>
                <w:color w:val="auto"/>
                <w:lang w:val="en-US" w:eastAsia="zh-CN"/>
              </w:rPr>
            </w:pPr>
            <w:r>
              <w:rPr>
                <w:color w:val="auto"/>
                <w:lang w:val="en-US" w:eastAsia="zh-CN"/>
              </w:rPr>
              <w:t>7.2</w:t>
            </w:r>
          </w:p>
        </w:tc>
        <w:tc>
          <w:tcPr>
            <w:tcW w:w="1662" w:type="dxa"/>
            <w:noWrap w:val="0"/>
            <w:tcMar>
              <w:left w:w="0" w:type="dxa"/>
              <w:right w:w="0" w:type="dxa"/>
            </w:tcMar>
            <w:vAlign w:val="center"/>
          </w:tcPr>
          <w:p w14:paraId="367F9DA1">
            <w:pPr>
              <w:pStyle w:val="26"/>
              <w:bidi w:val="0"/>
              <w:rPr>
                <w:color w:val="auto"/>
                <w:lang w:val="en-US" w:eastAsia="zh-CN"/>
              </w:rPr>
            </w:pPr>
            <w:r>
              <w:rPr>
                <w:color w:val="auto"/>
                <w:lang w:val="en-US" w:eastAsia="zh-CN"/>
              </w:rPr>
              <w:t>28</w:t>
            </w:r>
          </w:p>
        </w:tc>
      </w:tr>
      <w:tr w14:paraId="339D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23CA801A">
            <w:pPr>
              <w:pStyle w:val="26"/>
              <w:bidi w:val="0"/>
              <w:rPr>
                <w:color w:val="auto"/>
                <w:lang w:val="en-US" w:eastAsia="zh-CN"/>
              </w:rPr>
            </w:pPr>
            <w:r>
              <w:rPr>
                <w:color w:val="auto"/>
                <w:lang w:val="en-US" w:eastAsia="zh-CN"/>
              </w:rPr>
              <w:t>31</w:t>
            </w:r>
          </w:p>
        </w:tc>
        <w:tc>
          <w:tcPr>
            <w:tcW w:w="2059" w:type="dxa"/>
            <w:noWrap w:val="0"/>
            <w:tcMar>
              <w:left w:w="0" w:type="dxa"/>
              <w:right w:w="0" w:type="dxa"/>
            </w:tcMar>
            <w:vAlign w:val="center"/>
          </w:tcPr>
          <w:p w14:paraId="004F5548">
            <w:pPr>
              <w:pStyle w:val="26"/>
              <w:bidi w:val="0"/>
              <w:rPr>
                <w:color w:val="auto"/>
                <w:lang w:val="en-US" w:eastAsia="zh-CN"/>
              </w:rPr>
            </w:pPr>
            <w:r>
              <w:rPr>
                <w:color w:val="auto"/>
                <w:lang w:val="en-US" w:eastAsia="zh-CN"/>
              </w:rPr>
              <w:t>苯乙烯</w:t>
            </w:r>
          </w:p>
        </w:tc>
        <w:tc>
          <w:tcPr>
            <w:tcW w:w="2026" w:type="dxa"/>
            <w:noWrap w:val="0"/>
            <w:tcMar>
              <w:left w:w="0" w:type="dxa"/>
              <w:right w:w="0" w:type="dxa"/>
            </w:tcMar>
            <w:vAlign w:val="center"/>
          </w:tcPr>
          <w:p w14:paraId="0BFE1AED">
            <w:pPr>
              <w:pStyle w:val="26"/>
              <w:bidi w:val="0"/>
              <w:rPr>
                <w:color w:val="auto"/>
                <w:lang w:val="en-US" w:eastAsia="zh-CN"/>
              </w:rPr>
            </w:pPr>
            <w:r>
              <w:rPr>
                <w:color w:val="auto"/>
                <w:lang w:val="en-US" w:eastAsia="zh-CN"/>
              </w:rPr>
              <w:t>100-42-5</w:t>
            </w:r>
          </w:p>
        </w:tc>
        <w:tc>
          <w:tcPr>
            <w:tcW w:w="1750" w:type="dxa"/>
            <w:noWrap w:val="0"/>
            <w:tcMar>
              <w:left w:w="0" w:type="dxa"/>
              <w:right w:w="0" w:type="dxa"/>
            </w:tcMar>
            <w:vAlign w:val="center"/>
          </w:tcPr>
          <w:p w14:paraId="36532E8C">
            <w:pPr>
              <w:pStyle w:val="26"/>
              <w:bidi w:val="0"/>
              <w:rPr>
                <w:color w:val="auto"/>
                <w:lang w:val="en-US" w:eastAsia="zh-CN"/>
              </w:rPr>
            </w:pPr>
            <w:r>
              <w:rPr>
                <w:color w:val="auto"/>
                <w:lang w:val="en-US" w:eastAsia="zh-CN"/>
              </w:rPr>
              <w:t>1290</w:t>
            </w:r>
          </w:p>
        </w:tc>
        <w:tc>
          <w:tcPr>
            <w:tcW w:w="1662" w:type="dxa"/>
            <w:noWrap w:val="0"/>
            <w:tcMar>
              <w:left w:w="0" w:type="dxa"/>
              <w:right w:w="0" w:type="dxa"/>
            </w:tcMar>
            <w:vAlign w:val="center"/>
          </w:tcPr>
          <w:p w14:paraId="73518917">
            <w:pPr>
              <w:pStyle w:val="26"/>
              <w:bidi w:val="0"/>
              <w:rPr>
                <w:color w:val="auto"/>
                <w:lang w:val="en-US" w:eastAsia="zh-CN"/>
              </w:rPr>
            </w:pPr>
            <w:r>
              <w:rPr>
                <w:color w:val="auto"/>
                <w:lang w:val="en-US" w:eastAsia="zh-CN"/>
              </w:rPr>
              <w:t>1290</w:t>
            </w:r>
          </w:p>
        </w:tc>
      </w:tr>
      <w:tr w14:paraId="2662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1ED2290">
            <w:pPr>
              <w:pStyle w:val="26"/>
              <w:bidi w:val="0"/>
              <w:rPr>
                <w:color w:val="auto"/>
                <w:lang w:val="en-US" w:eastAsia="zh-CN"/>
              </w:rPr>
            </w:pPr>
            <w:r>
              <w:rPr>
                <w:color w:val="auto"/>
                <w:lang w:val="en-US" w:eastAsia="zh-CN"/>
              </w:rPr>
              <w:t>32</w:t>
            </w:r>
          </w:p>
        </w:tc>
        <w:tc>
          <w:tcPr>
            <w:tcW w:w="2059" w:type="dxa"/>
            <w:noWrap w:val="0"/>
            <w:tcMar>
              <w:left w:w="0" w:type="dxa"/>
              <w:right w:w="0" w:type="dxa"/>
            </w:tcMar>
            <w:vAlign w:val="center"/>
          </w:tcPr>
          <w:p w14:paraId="67FFDAB9">
            <w:pPr>
              <w:pStyle w:val="26"/>
              <w:bidi w:val="0"/>
              <w:rPr>
                <w:color w:val="auto"/>
                <w:lang w:val="en-US" w:eastAsia="zh-CN"/>
              </w:rPr>
            </w:pPr>
            <w:r>
              <w:rPr>
                <w:color w:val="auto"/>
                <w:lang w:val="en-US" w:eastAsia="zh-CN"/>
              </w:rPr>
              <w:t>甲苯</w:t>
            </w:r>
          </w:p>
        </w:tc>
        <w:tc>
          <w:tcPr>
            <w:tcW w:w="2026" w:type="dxa"/>
            <w:noWrap w:val="0"/>
            <w:tcMar>
              <w:left w:w="0" w:type="dxa"/>
              <w:right w:w="0" w:type="dxa"/>
            </w:tcMar>
            <w:vAlign w:val="center"/>
          </w:tcPr>
          <w:p w14:paraId="2C23163D">
            <w:pPr>
              <w:pStyle w:val="26"/>
              <w:bidi w:val="0"/>
              <w:rPr>
                <w:color w:val="auto"/>
                <w:lang w:val="en-US" w:eastAsia="zh-CN"/>
              </w:rPr>
            </w:pPr>
            <w:r>
              <w:rPr>
                <w:color w:val="auto"/>
                <w:lang w:val="en-US" w:eastAsia="zh-CN"/>
              </w:rPr>
              <w:t>108-88-3</w:t>
            </w:r>
          </w:p>
        </w:tc>
        <w:tc>
          <w:tcPr>
            <w:tcW w:w="1750" w:type="dxa"/>
            <w:noWrap w:val="0"/>
            <w:tcMar>
              <w:left w:w="0" w:type="dxa"/>
              <w:right w:w="0" w:type="dxa"/>
            </w:tcMar>
            <w:vAlign w:val="center"/>
          </w:tcPr>
          <w:p w14:paraId="5BB7AA84">
            <w:pPr>
              <w:pStyle w:val="26"/>
              <w:bidi w:val="0"/>
              <w:rPr>
                <w:color w:val="auto"/>
                <w:lang w:val="en-US" w:eastAsia="zh-CN"/>
              </w:rPr>
            </w:pPr>
            <w:r>
              <w:rPr>
                <w:color w:val="auto"/>
                <w:lang w:val="en-US" w:eastAsia="zh-CN"/>
              </w:rPr>
              <w:t>1200</w:t>
            </w:r>
          </w:p>
        </w:tc>
        <w:tc>
          <w:tcPr>
            <w:tcW w:w="1662" w:type="dxa"/>
            <w:noWrap w:val="0"/>
            <w:tcMar>
              <w:left w:w="0" w:type="dxa"/>
              <w:right w:w="0" w:type="dxa"/>
            </w:tcMar>
            <w:vAlign w:val="center"/>
          </w:tcPr>
          <w:p w14:paraId="2C022A5B">
            <w:pPr>
              <w:pStyle w:val="26"/>
              <w:bidi w:val="0"/>
              <w:rPr>
                <w:color w:val="auto"/>
                <w:lang w:val="en-US" w:eastAsia="zh-CN"/>
              </w:rPr>
            </w:pPr>
            <w:r>
              <w:rPr>
                <w:color w:val="auto"/>
                <w:lang w:val="en-US" w:eastAsia="zh-CN"/>
              </w:rPr>
              <w:t>1200</w:t>
            </w:r>
          </w:p>
        </w:tc>
      </w:tr>
      <w:tr w14:paraId="1F72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426399DF">
            <w:pPr>
              <w:pStyle w:val="26"/>
              <w:bidi w:val="0"/>
              <w:rPr>
                <w:color w:val="auto"/>
                <w:lang w:val="en-US" w:eastAsia="zh-CN"/>
              </w:rPr>
            </w:pPr>
            <w:r>
              <w:rPr>
                <w:color w:val="auto"/>
                <w:lang w:val="en-US" w:eastAsia="zh-CN"/>
              </w:rPr>
              <w:t>33</w:t>
            </w:r>
          </w:p>
        </w:tc>
        <w:tc>
          <w:tcPr>
            <w:tcW w:w="2059" w:type="dxa"/>
            <w:noWrap w:val="0"/>
            <w:tcMar>
              <w:left w:w="0" w:type="dxa"/>
              <w:right w:w="0" w:type="dxa"/>
            </w:tcMar>
            <w:vAlign w:val="center"/>
          </w:tcPr>
          <w:p w14:paraId="089EE3A2">
            <w:pPr>
              <w:pStyle w:val="26"/>
              <w:bidi w:val="0"/>
              <w:rPr>
                <w:color w:val="auto"/>
                <w:lang w:val="en-US" w:eastAsia="zh-CN"/>
              </w:rPr>
            </w:pPr>
            <w:r>
              <w:rPr>
                <w:color w:val="auto"/>
                <w:lang w:val="en-US" w:eastAsia="zh-CN"/>
              </w:rPr>
              <w:t>间二甲苯+对二甲苯</w:t>
            </w:r>
          </w:p>
        </w:tc>
        <w:tc>
          <w:tcPr>
            <w:tcW w:w="2026" w:type="dxa"/>
            <w:noWrap w:val="0"/>
            <w:tcMar>
              <w:left w:w="0" w:type="dxa"/>
              <w:right w:w="0" w:type="dxa"/>
            </w:tcMar>
            <w:vAlign w:val="center"/>
          </w:tcPr>
          <w:p w14:paraId="0EA268D3">
            <w:pPr>
              <w:pStyle w:val="26"/>
              <w:bidi w:val="0"/>
              <w:rPr>
                <w:color w:val="auto"/>
                <w:lang w:val="en-US" w:eastAsia="zh-CN"/>
              </w:rPr>
            </w:pPr>
            <w:r>
              <w:rPr>
                <w:color w:val="auto"/>
                <w:lang w:val="en-US" w:eastAsia="zh-CN"/>
              </w:rPr>
              <w:t>108-38-3，106-42-3</w:t>
            </w:r>
          </w:p>
        </w:tc>
        <w:tc>
          <w:tcPr>
            <w:tcW w:w="1750" w:type="dxa"/>
            <w:noWrap w:val="0"/>
            <w:tcMar>
              <w:left w:w="0" w:type="dxa"/>
              <w:right w:w="0" w:type="dxa"/>
            </w:tcMar>
            <w:vAlign w:val="center"/>
          </w:tcPr>
          <w:p w14:paraId="50406B39">
            <w:pPr>
              <w:pStyle w:val="26"/>
              <w:bidi w:val="0"/>
              <w:rPr>
                <w:color w:val="auto"/>
                <w:lang w:val="en-US" w:eastAsia="zh-CN"/>
              </w:rPr>
            </w:pPr>
            <w:r>
              <w:rPr>
                <w:color w:val="auto"/>
                <w:lang w:val="en-US" w:eastAsia="zh-CN"/>
              </w:rPr>
              <w:t>163</w:t>
            </w:r>
          </w:p>
        </w:tc>
        <w:tc>
          <w:tcPr>
            <w:tcW w:w="1662" w:type="dxa"/>
            <w:noWrap w:val="0"/>
            <w:tcMar>
              <w:left w:w="0" w:type="dxa"/>
              <w:right w:w="0" w:type="dxa"/>
            </w:tcMar>
            <w:vAlign w:val="center"/>
          </w:tcPr>
          <w:p w14:paraId="1556499B">
            <w:pPr>
              <w:pStyle w:val="26"/>
              <w:bidi w:val="0"/>
              <w:rPr>
                <w:color w:val="auto"/>
                <w:lang w:val="en-US" w:eastAsia="zh-CN"/>
              </w:rPr>
            </w:pPr>
            <w:r>
              <w:rPr>
                <w:color w:val="auto"/>
                <w:lang w:val="en-US" w:eastAsia="zh-CN"/>
              </w:rPr>
              <w:t>570</w:t>
            </w:r>
          </w:p>
        </w:tc>
      </w:tr>
      <w:tr w14:paraId="5D79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E4AC4FE">
            <w:pPr>
              <w:pStyle w:val="26"/>
              <w:bidi w:val="0"/>
              <w:rPr>
                <w:color w:val="auto"/>
                <w:lang w:val="en-US" w:eastAsia="zh-CN"/>
              </w:rPr>
            </w:pPr>
            <w:r>
              <w:rPr>
                <w:color w:val="auto"/>
                <w:lang w:val="en-US" w:eastAsia="zh-CN"/>
              </w:rPr>
              <w:t>34</w:t>
            </w:r>
          </w:p>
        </w:tc>
        <w:tc>
          <w:tcPr>
            <w:tcW w:w="2059" w:type="dxa"/>
            <w:noWrap w:val="0"/>
            <w:tcMar>
              <w:left w:w="0" w:type="dxa"/>
              <w:right w:w="0" w:type="dxa"/>
            </w:tcMar>
            <w:vAlign w:val="center"/>
          </w:tcPr>
          <w:p w14:paraId="6C665394">
            <w:pPr>
              <w:pStyle w:val="26"/>
              <w:bidi w:val="0"/>
              <w:rPr>
                <w:color w:val="auto"/>
                <w:lang w:val="en-US" w:eastAsia="zh-CN"/>
              </w:rPr>
            </w:pPr>
            <w:r>
              <w:rPr>
                <w:color w:val="auto"/>
                <w:lang w:val="en-US" w:eastAsia="zh-CN"/>
              </w:rPr>
              <w:t>邻二甲苯</w:t>
            </w:r>
          </w:p>
        </w:tc>
        <w:tc>
          <w:tcPr>
            <w:tcW w:w="2026" w:type="dxa"/>
            <w:noWrap w:val="0"/>
            <w:tcMar>
              <w:left w:w="0" w:type="dxa"/>
              <w:right w:w="0" w:type="dxa"/>
            </w:tcMar>
            <w:vAlign w:val="center"/>
          </w:tcPr>
          <w:p w14:paraId="35305386">
            <w:pPr>
              <w:pStyle w:val="26"/>
              <w:bidi w:val="0"/>
              <w:rPr>
                <w:color w:val="auto"/>
                <w:lang w:val="en-US" w:eastAsia="zh-CN"/>
              </w:rPr>
            </w:pPr>
            <w:r>
              <w:rPr>
                <w:color w:val="auto"/>
                <w:lang w:val="en-US" w:eastAsia="zh-CN"/>
              </w:rPr>
              <w:t>95-47-6</w:t>
            </w:r>
          </w:p>
        </w:tc>
        <w:tc>
          <w:tcPr>
            <w:tcW w:w="1750" w:type="dxa"/>
            <w:noWrap w:val="0"/>
            <w:tcMar>
              <w:left w:w="0" w:type="dxa"/>
              <w:right w:w="0" w:type="dxa"/>
            </w:tcMar>
            <w:vAlign w:val="center"/>
          </w:tcPr>
          <w:p w14:paraId="33DC785E">
            <w:pPr>
              <w:pStyle w:val="26"/>
              <w:bidi w:val="0"/>
              <w:rPr>
                <w:color w:val="auto"/>
                <w:lang w:val="en-US" w:eastAsia="zh-CN"/>
              </w:rPr>
            </w:pPr>
            <w:r>
              <w:rPr>
                <w:color w:val="auto"/>
                <w:lang w:val="en-US" w:eastAsia="zh-CN"/>
              </w:rPr>
              <w:t>222</w:t>
            </w:r>
          </w:p>
        </w:tc>
        <w:tc>
          <w:tcPr>
            <w:tcW w:w="1662" w:type="dxa"/>
            <w:noWrap w:val="0"/>
            <w:tcMar>
              <w:left w:w="0" w:type="dxa"/>
              <w:right w:w="0" w:type="dxa"/>
            </w:tcMar>
            <w:vAlign w:val="center"/>
          </w:tcPr>
          <w:p w14:paraId="16D77168">
            <w:pPr>
              <w:pStyle w:val="26"/>
              <w:bidi w:val="0"/>
              <w:rPr>
                <w:color w:val="auto"/>
                <w:lang w:val="en-US" w:eastAsia="zh-CN"/>
              </w:rPr>
            </w:pPr>
            <w:r>
              <w:rPr>
                <w:color w:val="auto"/>
                <w:lang w:val="en-US" w:eastAsia="zh-CN"/>
              </w:rPr>
              <w:t>640</w:t>
            </w:r>
          </w:p>
        </w:tc>
      </w:tr>
      <w:tr w14:paraId="465A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46" w:type="dxa"/>
            <w:gridSpan w:val="5"/>
            <w:noWrap w:val="0"/>
            <w:tcMar>
              <w:left w:w="0" w:type="dxa"/>
              <w:right w:w="0" w:type="dxa"/>
            </w:tcMar>
            <w:vAlign w:val="center"/>
          </w:tcPr>
          <w:p w14:paraId="2BEF880F">
            <w:pPr>
              <w:pStyle w:val="26"/>
              <w:bidi w:val="0"/>
              <w:rPr>
                <w:color w:val="auto"/>
                <w:lang w:val="en-US" w:eastAsia="zh-CN"/>
              </w:rPr>
            </w:pPr>
            <w:r>
              <w:rPr>
                <w:color w:val="auto"/>
                <w:lang w:val="en-US" w:eastAsia="zh-CN"/>
              </w:rPr>
              <w:t>半挥发性有机物</w:t>
            </w:r>
          </w:p>
        </w:tc>
      </w:tr>
      <w:tr w14:paraId="2209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0189C6C7">
            <w:pPr>
              <w:pStyle w:val="26"/>
              <w:bidi w:val="0"/>
              <w:rPr>
                <w:color w:val="auto"/>
                <w:lang w:val="en-US" w:eastAsia="zh-CN"/>
              </w:rPr>
            </w:pPr>
            <w:r>
              <w:rPr>
                <w:color w:val="auto"/>
                <w:lang w:val="en-US" w:eastAsia="zh-CN"/>
              </w:rPr>
              <w:t>35</w:t>
            </w:r>
          </w:p>
        </w:tc>
        <w:tc>
          <w:tcPr>
            <w:tcW w:w="2059" w:type="dxa"/>
            <w:noWrap w:val="0"/>
            <w:tcMar>
              <w:left w:w="0" w:type="dxa"/>
              <w:right w:w="0" w:type="dxa"/>
            </w:tcMar>
            <w:vAlign w:val="center"/>
          </w:tcPr>
          <w:p w14:paraId="004274C8">
            <w:pPr>
              <w:pStyle w:val="26"/>
              <w:bidi w:val="0"/>
              <w:rPr>
                <w:color w:val="auto"/>
                <w:lang w:val="en-US" w:eastAsia="zh-CN"/>
              </w:rPr>
            </w:pPr>
            <w:r>
              <w:rPr>
                <w:color w:val="auto"/>
                <w:lang w:val="en-US" w:eastAsia="zh-CN"/>
              </w:rPr>
              <w:t>硝基苯</w:t>
            </w:r>
          </w:p>
        </w:tc>
        <w:tc>
          <w:tcPr>
            <w:tcW w:w="2026" w:type="dxa"/>
            <w:noWrap w:val="0"/>
            <w:tcMar>
              <w:left w:w="0" w:type="dxa"/>
              <w:right w:w="0" w:type="dxa"/>
            </w:tcMar>
            <w:vAlign w:val="center"/>
          </w:tcPr>
          <w:p w14:paraId="22E7C223">
            <w:pPr>
              <w:pStyle w:val="26"/>
              <w:bidi w:val="0"/>
              <w:rPr>
                <w:color w:val="auto"/>
                <w:lang w:val="en-US" w:eastAsia="zh-CN"/>
              </w:rPr>
            </w:pPr>
            <w:r>
              <w:rPr>
                <w:color w:val="auto"/>
                <w:lang w:val="en-US" w:eastAsia="zh-CN"/>
              </w:rPr>
              <w:t>98-95-3</w:t>
            </w:r>
          </w:p>
        </w:tc>
        <w:tc>
          <w:tcPr>
            <w:tcW w:w="1750" w:type="dxa"/>
            <w:noWrap w:val="0"/>
            <w:tcMar>
              <w:left w:w="0" w:type="dxa"/>
              <w:right w:w="0" w:type="dxa"/>
            </w:tcMar>
            <w:vAlign w:val="center"/>
          </w:tcPr>
          <w:p w14:paraId="0D183246">
            <w:pPr>
              <w:pStyle w:val="26"/>
              <w:bidi w:val="0"/>
              <w:rPr>
                <w:color w:val="auto"/>
                <w:lang w:val="en-US" w:eastAsia="zh-CN"/>
              </w:rPr>
            </w:pPr>
            <w:r>
              <w:rPr>
                <w:color w:val="auto"/>
                <w:lang w:val="en-US" w:eastAsia="zh-CN"/>
              </w:rPr>
              <w:t>34</w:t>
            </w:r>
          </w:p>
        </w:tc>
        <w:tc>
          <w:tcPr>
            <w:tcW w:w="1662" w:type="dxa"/>
            <w:noWrap w:val="0"/>
            <w:tcMar>
              <w:left w:w="0" w:type="dxa"/>
              <w:right w:w="0" w:type="dxa"/>
            </w:tcMar>
            <w:vAlign w:val="center"/>
          </w:tcPr>
          <w:p w14:paraId="0EB55DC6">
            <w:pPr>
              <w:pStyle w:val="26"/>
              <w:bidi w:val="0"/>
              <w:rPr>
                <w:color w:val="auto"/>
                <w:lang w:val="en-US" w:eastAsia="zh-CN"/>
              </w:rPr>
            </w:pPr>
            <w:r>
              <w:rPr>
                <w:color w:val="auto"/>
                <w:lang w:val="en-US" w:eastAsia="zh-CN"/>
              </w:rPr>
              <w:t>76</w:t>
            </w:r>
          </w:p>
        </w:tc>
      </w:tr>
      <w:tr w14:paraId="36AC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4925214">
            <w:pPr>
              <w:pStyle w:val="26"/>
              <w:bidi w:val="0"/>
              <w:rPr>
                <w:color w:val="auto"/>
                <w:lang w:val="en-US" w:eastAsia="zh-CN"/>
              </w:rPr>
            </w:pPr>
            <w:r>
              <w:rPr>
                <w:color w:val="auto"/>
                <w:lang w:val="en-US" w:eastAsia="zh-CN"/>
              </w:rPr>
              <w:t>36</w:t>
            </w:r>
          </w:p>
        </w:tc>
        <w:tc>
          <w:tcPr>
            <w:tcW w:w="2059" w:type="dxa"/>
            <w:noWrap w:val="0"/>
            <w:tcMar>
              <w:left w:w="0" w:type="dxa"/>
              <w:right w:w="0" w:type="dxa"/>
            </w:tcMar>
            <w:vAlign w:val="center"/>
          </w:tcPr>
          <w:p w14:paraId="67DA033D">
            <w:pPr>
              <w:pStyle w:val="26"/>
              <w:bidi w:val="0"/>
              <w:rPr>
                <w:color w:val="auto"/>
                <w:lang w:val="en-US" w:eastAsia="zh-CN"/>
              </w:rPr>
            </w:pPr>
            <w:r>
              <w:rPr>
                <w:color w:val="auto"/>
                <w:lang w:val="en-US" w:eastAsia="zh-CN"/>
              </w:rPr>
              <w:t>苯胺</w:t>
            </w:r>
          </w:p>
        </w:tc>
        <w:tc>
          <w:tcPr>
            <w:tcW w:w="2026" w:type="dxa"/>
            <w:noWrap w:val="0"/>
            <w:tcMar>
              <w:left w:w="0" w:type="dxa"/>
              <w:right w:w="0" w:type="dxa"/>
            </w:tcMar>
            <w:vAlign w:val="center"/>
          </w:tcPr>
          <w:p w14:paraId="5B010E7A">
            <w:pPr>
              <w:pStyle w:val="26"/>
              <w:bidi w:val="0"/>
              <w:rPr>
                <w:color w:val="auto"/>
                <w:lang w:val="en-US" w:eastAsia="zh-CN"/>
              </w:rPr>
            </w:pPr>
            <w:r>
              <w:rPr>
                <w:color w:val="auto"/>
                <w:lang w:val="en-US" w:eastAsia="zh-CN"/>
              </w:rPr>
              <w:t>62-53-3</w:t>
            </w:r>
          </w:p>
        </w:tc>
        <w:tc>
          <w:tcPr>
            <w:tcW w:w="1750" w:type="dxa"/>
            <w:noWrap w:val="0"/>
            <w:tcMar>
              <w:left w:w="0" w:type="dxa"/>
              <w:right w:w="0" w:type="dxa"/>
            </w:tcMar>
            <w:vAlign w:val="center"/>
          </w:tcPr>
          <w:p w14:paraId="1E16A418">
            <w:pPr>
              <w:pStyle w:val="26"/>
              <w:bidi w:val="0"/>
              <w:rPr>
                <w:color w:val="auto"/>
                <w:lang w:val="en-US" w:eastAsia="zh-CN"/>
              </w:rPr>
            </w:pPr>
            <w:r>
              <w:rPr>
                <w:color w:val="auto"/>
                <w:lang w:val="en-US" w:eastAsia="zh-CN"/>
              </w:rPr>
              <w:t>92</w:t>
            </w:r>
          </w:p>
        </w:tc>
        <w:tc>
          <w:tcPr>
            <w:tcW w:w="1662" w:type="dxa"/>
            <w:noWrap w:val="0"/>
            <w:tcMar>
              <w:left w:w="0" w:type="dxa"/>
              <w:right w:w="0" w:type="dxa"/>
            </w:tcMar>
            <w:vAlign w:val="center"/>
          </w:tcPr>
          <w:p w14:paraId="33555339">
            <w:pPr>
              <w:pStyle w:val="26"/>
              <w:bidi w:val="0"/>
              <w:rPr>
                <w:color w:val="auto"/>
                <w:lang w:val="en-US" w:eastAsia="zh-CN"/>
              </w:rPr>
            </w:pPr>
            <w:r>
              <w:rPr>
                <w:color w:val="auto"/>
                <w:lang w:val="en-US" w:eastAsia="zh-CN"/>
              </w:rPr>
              <w:t>260</w:t>
            </w:r>
          </w:p>
        </w:tc>
      </w:tr>
      <w:tr w14:paraId="5140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45C35EB">
            <w:pPr>
              <w:pStyle w:val="26"/>
              <w:bidi w:val="0"/>
              <w:rPr>
                <w:color w:val="auto"/>
                <w:lang w:val="en-US" w:eastAsia="zh-CN"/>
              </w:rPr>
            </w:pPr>
            <w:r>
              <w:rPr>
                <w:color w:val="auto"/>
                <w:lang w:val="en-US" w:eastAsia="zh-CN"/>
              </w:rPr>
              <w:t>37</w:t>
            </w:r>
          </w:p>
        </w:tc>
        <w:tc>
          <w:tcPr>
            <w:tcW w:w="2059" w:type="dxa"/>
            <w:noWrap w:val="0"/>
            <w:tcMar>
              <w:left w:w="0" w:type="dxa"/>
              <w:right w:w="0" w:type="dxa"/>
            </w:tcMar>
            <w:vAlign w:val="center"/>
          </w:tcPr>
          <w:p w14:paraId="4D30FF90">
            <w:pPr>
              <w:pStyle w:val="26"/>
              <w:bidi w:val="0"/>
              <w:rPr>
                <w:color w:val="auto"/>
                <w:lang w:val="en-US" w:eastAsia="zh-CN"/>
              </w:rPr>
            </w:pPr>
            <w:r>
              <w:rPr>
                <w:color w:val="auto"/>
                <w:lang w:val="en-US" w:eastAsia="zh-CN"/>
              </w:rPr>
              <w:t>2-氯酚</w:t>
            </w:r>
          </w:p>
        </w:tc>
        <w:tc>
          <w:tcPr>
            <w:tcW w:w="2026" w:type="dxa"/>
            <w:noWrap w:val="0"/>
            <w:tcMar>
              <w:left w:w="0" w:type="dxa"/>
              <w:right w:w="0" w:type="dxa"/>
            </w:tcMar>
            <w:vAlign w:val="center"/>
          </w:tcPr>
          <w:p w14:paraId="0987548E">
            <w:pPr>
              <w:pStyle w:val="26"/>
              <w:bidi w:val="0"/>
              <w:rPr>
                <w:color w:val="auto"/>
                <w:lang w:val="en-US" w:eastAsia="zh-CN"/>
              </w:rPr>
            </w:pPr>
            <w:r>
              <w:rPr>
                <w:color w:val="auto"/>
                <w:lang w:val="en-US" w:eastAsia="zh-CN"/>
              </w:rPr>
              <w:t>95-57-8</w:t>
            </w:r>
          </w:p>
        </w:tc>
        <w:tc>
          <w:tcPr>
            <w:tcW w:w="1750" w:type="dxa"/>
            <w:noWrap w:val="0"/>
            <w:tcMar>
              <w:left w:w="0" w:type="dxa"/>
              <w:right w:w="0" w:type="dxa"/>
            </w:tcMar>
            <w:vAlign w:val="center"/>
          </w:tcPr>
          <w:p w14:paraId="41289394">
            <w:pPr>
              <w:pStyle w:val="26"/>
              <w:bidi w:val="0"/>
              <w:rPr>
                <w:color w:val="auto"/>
                <w:lang w:val="en-US" w:eastAsia="zh-CN"/>
              </w:rPr>
            </w:pPr>
            <w:r>
              <w:rPr>
                <w:color w:val="auto"/>
                <w:lang w:val="en-US" w:eastAsia="zh-CN"/>
              </w:rPr>
              <w:t>250</w:t>
            </w:r>
          </w:p>
        </w:tc>
        <w:tc>
          <w:tcPr>
            <w:tcW w:w="1662" w:type="dxa"/>
            <w:noWrap w:val="0"/>
            <w:tcMar>
              <w:left w:w="0" w:type="dxa"/>
              <w:right w:w="0" w:type="dxa"/>
            </w:tcMar>
            <w:vAlign w:val="center"/>
          </w:tcPr>
          <w:p w14:paraId="37C9960D">
            <w:pPr>
              <w:pStyle w:val="26"/>
              <w:bidi w:val="0"/>
              <w:rPr>
                <w:color w:val="auto"/>
                <w:lang w:val="en-US" w:eastAsia="zh-CN"/>
              </w:rPr>
            </w:pPr>
            <w:r>
              <w:rPr>
                <w:color w:val="auto"/>
                <w:lang w:val="en-US" w:eastAsia="zh-CN"/>
              </w:rPr>
              <w:t>2256</w:t>
            </w:r>
          </w:p>
        </w:tc>
      </w:tr>
      <w:tr w14:paraId="2DA4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672092F5">
            <w:pPr>
              <w:pStyle w:val="26"/>
              <w:bidi w:val="0"/>
              <w:rPr>
                <w:color w:val="auto"/>
                <w:lang w:val="en-US" w:eastAsia="zh-CN"/>
              </w:rPr>
            </w:pPr>
            <w:r>
              <w:rPr>
                <w:color w:val="auto"/>
                <w:lang w:val="en-US" w:eastAsia="zh-CN"/>
              </w:rPr>
              <w:t>38</w:t>
            </w:r>
          </w:p>
        </w:tc>
        <w:tc>
          <w:tcPr>
            <w:tcW w:w="2059" w:type="dxa"/>
            <w:noWrap w:val="0"/>
            <w:tcMar>
              <w:left w:w="0" w:type="dxa"/>
              <w:right w:w="0" w:type="dxa"/>
            </w:tcMar>
            <w:vAlign w:val="center"/>
          </w:tcPr>
          <w:p w14:paraId="51561605">
            <w:pPr>
              <w:pStyle w:val="26"/>
              <w:bidi w:val="0"/>
              <w:rPr>
                <w:color w:val="auto"/>
                <w:lang w:val="en-US" w:eastAsia="zh-CN"/>
              </w:rPr>
            </w:pPr>
            <w:r>
              <w:rPr>
                <w:color w:val="auto"/>
                <w:lang w:val="en-US" w:eastAsia="zh-CN"/>
              </w:rPr>
              <w:t>苯并〔a〕蒽</w:t>
            </w:r>
          </w:p>
        </w:tc>
        <w:tc>
          <w:tcPr>
            <w:tcW w:w="2026" w:type="dxa"/>
            <w:noWrap w:val="0"/>
            <w:tcMar>
              <w:left w:w="0" w:type="dxa"/>
              <w:right w:w="0" w:type="dxa"/>
            </w:tcMar>
            <w:vAlign w:val="center"/>
          </w:tcPr>
          <w:p w14:paraId="69541AA8">
            <w:pPr>
              <w:pStyle w:val="26"/>
              <w:bidi w:val="0"/>
              <w:rPr>
                <w:color w:val="auto"/>
                <w:lang w:val="en-US" w:eastAsia="zh-CN"/>
              </w:rPr>
            </w:pPr>
            <w:r>
              <w:rPr>
                <w:color w:val="auto"/>
                <w:lang w:val="en-US" w:eastAsia="zh-CN"/>
              </w:rPr>
              <w:t>56-55-3</w:t>
            </w:r>
          </w:p>
        </w:tc>
        <w:tc>
          <w:tcPr>
            <w:tcW w:w="1750" w:type="dxa"/>
            <w:noWrap w:val="0"/>
            <w:tcMar>
              <w:left w:w="0" w:type="dxa"/>
              <w:right w:w="0" w:type="dxa"/>
            </w:tcMar>
            <w:vAlign w:val="center"/>
          </w:tcPr>
          <w:p w14:paraId="5E62F1AC">
            <w:pPr>
              <w:pStyle w:val="26"/>
              <w:bidi w:val="0"/>
              <w:rPr>
                <w:color w:val="auto"/>
                <w:lang w:val="en-US" w:eastAsia="zh-CN"/>
              </w:rPr>
            </w:pPr>
            <w:r>
              <w:rPr>
                <w:color w:val="auto"/>
                <w:lang w:val="en-US" w:eastAsia="zh-CN"/>
              </w:rPr>
              <w:t>5.5</w:t>
            </w:r>
          </w:p>
        </w:tc>
        <w:tc>
          <w:tcPr>
            <w:tcW w:w="1662" w:type="dxa"/>
            <w:noWrap w:val="0"/>
            <w:tcMar>
              <w:left w:w="0" w:type="dxa"/>
              <w:right w:w="0" w:type="dxa"/>
            </w:tcMar>
            <w:vAlign w:val="center"/>
          </w:tcPr>
          <w:p w14:paraId="63C36742">
            <w:pPr>
              <w:pStyle w:val="26"/>
              <w:bidi w:val="0"/>
              <w:rPr>
                <w:color w:val="auto"/>
                <w:lang w:val="en-US" w:eastAsia="zh-CN"/>
              </w:rPr>
            </w:pPr>
            <w:r>
              <w:rPr>
                <w:color w:val="auto"/>
                <w:lang w:val="en-US" w:eastAsia="zh-CN"/>
              </w:rPr>
              <w:t>15</w:t>
            </w:r>
          </w:p>
        </w:tc>
      </w:tr>
      <w:tr w14:paraId="322B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B65D097">
            <w:pPr>
              <w:pStyle w:val="26"/>
              <w:bidi w:val="0"/>
              <w:rPr>
                <w:color w:val="auto"/>
                <w:lang w:val="en-US" w:eastAsia="zh-CN"/>
              </w:rPr>
            </w:pPr>
            <w:r>
              <w:rPr>
                <w:color w:val="auto"/>
                <w:lang w:val="en-US" w:eastAsia="zh-CN"/>
              </w:rPr>
              <w:t>39</w:t>
            </w:r>
          </w:p>
        </w:tc>
        <w:tc>
          <w:tcPr>
            <w:tcW w:w="2059" w:type="dxa"/>
            <w:noWrap w:val="0"/>
            <w:tcMar>
              <w:left w:w="0" w:type="dxa"/>
              <w:right w:w="0" w:type="dxa"/>
            </w:tcMar>
            <w:vAlign w:val="center"/>
          </w:tcPr>
          <w:p w14:paraId="6E0FB2C5">
            <w:pPr>
              <w:pStyle w:val="26"/>
              <w:bidi w:val="0"/>
              <w:rPr>
                <w:color w:val="auto"/>
                <w:lang w:val="en-US" w:eastAsia="zh-CN"/>
              </w:rPr>
            </w:pPr>
            <w:r>
              <w:rPr>
                <w:color w:val="auto"/>
                <w:lang w:val="en-US" w:eastAsia="zh-CN"/>
              </w:rPr>
              <w:t>苯并〔a〕芘</w:t>
            </w:r>
          </w:p>
        </w:tc>
        <w:tc>
          <w:tcPr>
            <w:tcW w:w="2026" w:type="dxa"/>
            <w:noWrap w:val="0"/>
            <w:tcMar>
              <w:left w:w="0" w:type="dxa"/>
              <w:right w:w="0" w:type="dxa"/>
            </w:tcMar>
            <w:vAlign w:val="center"/>
          </w:tcPr>
          <w:p w14:paraId="12D8085E">
            <w:pPr>
              <w:pStyle w:val="26"/>
              <w:bidi w:val="0"/>
              <w:rPr>
                <w:color w:val="auto"/>
                <w:lang w:val="en-US" w:eastAsia="zh-CN"/>
              </w:rPr>
            </w:pPr>
            <w:r>
              <w:rPr>
                <w:color w:val="auto"/>
                <w:lang w:val="en-US" w:eastAsia="zh-CN"/>
              </w:rPr>
              <w:t>50-32-8</w:t>
            </w:r>
          </w:p>
        </w:tc>
        <w:tc>
          <w:tcPr>
            <w:tcW w:w="1750" w:type="dxa"/>
            <w:noWrap w:val="0"/>
            <w:tcMar>
              <w:left w:w="0" w:type="dxa"/>
              <w:right w:w="0" w:type="dxa"/>
            </w:tcMar>
            <w:vAlign w:val="center"/>
          </w:tcPr>
          <w:p w14:paraId="3DCE63AE">
            <w:pPr>
              <w:pStyle w:val="26"/>
              <w:bidi w:val="0"/>
              <w:rPr>
                <w:color w:val="auto"/>
                <w:lang w:val="en-US" w:eastAsia="zh-CN"/>
              </w:rPr>
            </w:pPr>
            <w:r>
              <w:rPr>
                <w:color w:val="auto"/>
                <w:lang w:val="en-US" w:eastAsia="zh-CN"/>
              </w:rPr>
              <w:t>0.55</w:t>
            </w:r>
          </w:p>
        </w:tc>
        <w:tc>
          <w:tcPr>
            <w:tcW w:w="1662" w:type="dxa"/>
            <w:noWrap w:val="0"/>
            <w:tcMar>
              <w:left w:w="0" w:type="dxa"/>
              <w:right w:w="0" w:type="dxa"/>
            </w:tcMar>
            <w:vAlign w:val="center"/>
          </w:tcPr>
          <w:p w14:paraId="6BAF61A1">
            <w:pPr>
              <w:pStyle w:val="26"/>
              <w:bidi w:val="0"/>
              <w:rPr>
                <w:color w:val="auto"/>
                <w:lang w:val="en-US" w:eastAsia="zh-CN"/>
              </w:rPr>
            </w:pPr>
            <w:r>
              <w:rPr>
                <w:color w:val="auto"/>
                <w:lang w:val="en-US" w:eastAsia="zh-CN"/>
              </w:rPr>
              <w:t>1.5</w:t>
            </w:r>
          </w:p>
        </w:tc>
      </w:tr>
      <w:tr w14:paraId="521B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05FD9EC">
            <w:pPr>
              <w:pStyle w:val="26"/>
              <w:bidi w:val="0"/>
              <w:rPr>
                <w:color w:val="auto"/>
                <w:lang w:val="en-US" w:eastAsia="zh-CN"/>
              </w:rPr>
            </w:pPr>
            <w:r>
              <w:rPr>
                <w:color w:val="auto"/>
                <w:lang w:val="en-US" w:eastAsia="zh-CN"/>
              </w:rPr>
              <w:t>40</w:t>
            </w:r>
          </w:p>
        </w:tc>
        <w:tc>
          <w:tcPr>
            <w:tcW w:w="2059" w:type="dxa"/>
            <w:noWrap w:val="0"/>
            <w:tcMar>
              <w:left w:w="0" w:type="dxa"/>
              <w:right w:w="0" w:type="dxa"/>
            </w:tcMar>
            <w:vAlign w:val="center"/>
          </w:tcPr>
          <w:p w14:paraId="4CC3B983">
            <w:pPr>
              <w:pStyle w:val="26"/>
              <w:bidi w:val="0"/>
              <w:rPr>
                <w:color w:val="auto"/>
                <w:lang w:val="en-US" w:eastAsia="zh-CN"/>
              </w:rPr>
            </w:pPr>
            <w:r>
              <w:rPr>
                <w:color w:val="auto"/>
                <w:lang w:val="en-US" w:eastAsia="zh-CN"/>
              </w:rPr>
              <w:t>苯并〔b〕荧蒽</w:t>
            </w:r>
          </w:p>
        </w:tc>
        <w:tc>
          <w:tcPr>
            <w:tcW w:w="2026" w:type="dxa"/>
            <w:noWrap w:val="0"/>
            <w:tcMar>
              <w:left w:w="0" w:type="dxa"/>
              <w:right w:w="0" w:type="dxa"/>
            </w:tcMar>
            <w:vAlign w:val="center"/>
          </w:tcPr>
          <w:p w14:paraId="769F14D8">
            <w:pPr>
              <w:pStyle w:val="26"/>
              <w:bidi w:val="0"/>
              <w:rPr>
                <w:color w:val="auto"/>
                <w:lang w:val="en-US" w:eastAsia="zh-CN"/>
              </w:rPr>
            </w:pPr>
            <w:r>
              <w:rPr>
                <w:color w:val="auto"/>
                <w:lang w:val="en-US" w:eastAsia="zh-CN"/>
              </w:rPr>
              <w:t>205-99-2</w:t>
            </w:r>
          </w:p>
        </w:tc>
        <w:tc>
          <w:tcPr>
            <w:tcW w:w="1750" w:type="dxa"/>
            <w:noWrap w:val="0"/>
            <w:tcMar>
              <w:left w:w="0" w:type="dxa"/>
              <w:right w:w="0" w:type="dxa"/>
            </w:tcMar>
            <w:vAlign w:val="center"/>
          </w:tcPr>
          <w:p w14:paraId="5D20C0F1">
            <w:pPr>
              <w:pStyle w:val="26"/>
              <w:bidi w:val="0"/>
              <w:rPr>
                <w:color w:val="auto"/>
                <w:lang w:val="en-US" w:eastAsia="zh-CN"/>
              </w:rPr>
            </w:pPr>
            <w:r>
              <w:rPr>
                <w:color w:val="auto"/>
                <w:lang w:val="en-US" w:eastAsia="zh-CN"/>
              </w:rPr>
              <w:t>5.5</w:t>
            </w:r>
          </w:p>
        </w:tc>
        <w:tc>
          <w:tcPr>
            <w:tcW w:w="1662" w:type="dxa"/>
            <w:noWrap w:val="0"/>
            <w:tcMar>
              <w:left w:w="0" w:type="dxa"/>
              <w:right w:w="0" w:type="dxa"/>
            </w:tcMar>
            <w:vAlign w:val="center"/>
          </w:tcPr>
          <w:p w14:paraId="7505C91B">
            <w:pPr>
              <w:pStyle w:val="26"/>
              <w:bidi w:val="0"/>
              <w:rPr>
                <w:color w:val="auto"/>
                <w:lang w:val="en-US" w:eastAsia="zh-CN"/>
              </w:rPr>
            </w:pPr>
            <w:r>
              <w:rPr>
                <w:color w:val="auto"/>
                <w:lang w:val="en-US" w:eastAsia="zh-CN"/>
              </w:rPr>
              <w:t>15</w:t>
            </w:r>
          </w:p>
        </w:tc>
      </w:tr>
      <w:tr w14:paraId="42C8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7D6800EC">
            <w:pPr>
              <w:pStyle w:val="26"/>
              <w:bidi w:val="0"/>
              <w:rPr>
                <w:color w:val="auto"/>
                <w:lang w:val="en-US" w:eastAsia="zh-CN"/>
              </w:rPr>
            </w:pPr>
            <w:r>
              <w:rPr>
                <w:color w:val="auto"/>
                <w:lang w:val="en-US" w:eastAsia="zh-CN"/>
              </w:rPr>
              <w:t>41</w:t>
            </w:r>
          </w:p>
        </w:tc>
        <w:tc>
          <w:tcPr>
            <w:tcW w:w="2059" w:type="dxa"/>
            <w:noWrap w:val="0"/>
            <w:tcMar>
              <w:left w:w="0" w:type="dxa"/>
              <w:right w:w="0" w:type="dxa"/>
            </w:tcMar>
            <w:vAlign w:val="center"/>
          </w:tcPr>
          <w:p w14:paraId="4673C99D">
            <w:pPr>
              <w:pStyle w:val="26"/>
              <w:bidi w:val="0"/>
              <w:rPr>
                <w:color w:val="auto"/>
                <w:lang w:val="en-US" w:eastAsia="zh-CN"/>
              </w:rPr>
            </w:pPr>
            <w:r>
              <w:rPr>
                <w:color w:val="auto"/>
                <w:lang w:val="en-US" w:eastAsia="zh-CN"/>
              </w:rPr>
              <w:t>苯并〔k〕荧蒽</w:t>
            </w:r>
          </w:p>
        </w:tc>
        <w:tc>
          <w:tcPr>
            <w:tcW w:w="2026" w:type="dxa"/>
            <w:noWrap w:val="0"/>
            <w:tcMar>
              <w:left w:w="0" w:type="dxa"/>
              <w:right w:w="0" w:type="dxa"/>
            </w:tcMar>
            <w:vAlign w:val="center"/>
          </w:tcPr>
          <w:p w14:paraId="511AC74B">
            <w:pPr>
              <w:pStyle w:val="26"/>
              <w:bidi w:val="0"/>
              <w:rPr>
                <w:color w:val="auto"/>
                <w:lang w:val="en-US" w:eastAsia="zh-CN"/>
              </w:rPr>
            </w:pPr>
            <w:r>
              <w:rPr>
                <w:color w:val="auto"/>
                <w:lang w:val="en-US" w:eastAsia="zh-CN"/>
              </w:rPr>
              <w:t>207-08-9</w:t>
            </w:r>
          </w:p>
        </w:tc>
        <w:tc>
          <w:tcPr>
            <w:tcW w:w="1750" w:type="dxa"/>
            <w:noWrap w:val="0"/>
            <w:tcMar>
              <w:left w:w="0" w:type="dxa"/>
              <w:right w:w="0" w:type="dxa"/>
            </w:tcMar>
            <w:vAlign w:val="center"/>
          </w:tcPr>
          <w:p w14:paraId="71C235B4">
            <w:pPr>
              <w:pStyle w:val="26"/>
              <w:bidi w:val="0"/>
              <w:rPr>
                <w:color w:val="auto"/>
                <w:lang w:val="en-US" w:eastAsia="zh-CN"/>
              </w:rPr>
            </w:pPr>
            <w:r>
              <w:rPr>
                <w:color w:val="auto"/>
                <w:lang w:val="en-US" w:eastAsia="zh-CN"/>
              </w:rPr>
              <w:t>55</w:t>
            </w:r>
          </w:p>
        </w:tc>
        <w:tc>
          <w:tcPr>
            <w:tcW w:w="1662" w:type="dxa"/>
            <w:noWrap w:val="0"/>
            <w:tcMar>
              <w:left w:w="0" w:type="dxa"/>
              <w:right w:w="0" w:type="dxa"/>
            </w:tcMar>
            <w:vAlign w:val="center"/>
          </w:tcPr>
          <w:p w14:paraId="6DAADC1D">
            <w:pPr>
              <w:pStyle w:val="26"/>
              <w:bidi w:val="0"/>
              <w:rPr>
                <w:color w:val="auto"/>
                <w:lang w:val="en-US" w:eastAsia="zh-CN"/>
              </w:rPr>
            </w:pPr>
            <w:r>
              <w:rPr>
                <w:color w:val="auto"/>
                <w:lang w:val="en-US" w:eastAsia="zh-CN"/>
              </w:rPr>
              <w:t>151</w:t>
            </w:r>
          </w:p>
        </w:tc>
      </w:tr>
      <w:tr w14:paraId="6BD7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67BA6A51">
            <w:pPr>
              <w:pStyle w:val="26"/>
              <w:bidi w:val="0"/>
              <w:rPr>
                <w:color w:val="auto"/>
                <w:lang w:val="en-US" w:eastAsia="zh-CN"/>
              </w:rPr>
            </w:pPr>
            <w:r>
              <w:rPr>
                <w:color w:val="auto"/>
                <w:lang w:val="en-US" w:eastAsia="zh-CN"/>
              </w:rPr>
              <w:t>42</w:t>
            </w:r>
          </w:p>
        </w:tc>
        <w:tc>
          <w:tcPr>
            <w:tcW w:w="2059" w:type="dxa"/>
            <w:noWrap w:val="0"/>
            <w:tcMar>
              <w:left w:w="0" w:type="dxa"/>
              <w:right w:w="0" w:type="dxa"/>
            </w:tcMar>
            <w:vAlign w:val="center"/>
          </w:tcPr>
          <w:p w14:paraId="0B8BCF47">
            <w:pPr>
              <w:pStyle w:val="26"/>
              <w:bidi w:val="0"/>
              <w:rPr>
                <w:color w:val="auto"/>
                <w:lang w:val="en-US" w:eastAsia="zh-CN"/>
              </w:rPr>
            </w:pPr>
            <w:r>
              <w:rPr>
                <w:color w:val="auto"/>
                <w:lang w:val="en-US" w:eastAsia="zh-CN"/>
              </w:rPr>
              <w:t>䓛</w:t>
            </w:r>
          </w:p>
        </w:tc>
        <w:tc>
          <w:tcPr>
            <w:tcW w:w="2026" w:type="dxa"/>
            <w:noWrap w:val="0"/>
            <w:tcMar>
              <w:left w:w="0" w:type="dxa"/>
              <w:right w:w="0" w:type="dxa"/>
            </w:tcMar>
            <w:vAlign w:val="center"/>
          </w:tcPr>
          <w:p w14:paraId="6EC2143B">
            <w:pPr>
              <w:pStyle w:val="26"/>
              <w:bidi w:val="0"/>
              <w:rPr>
                <w:color w:val="auto"/>
                <w:lang w:val="en-US" w:eastAsia="zh-CN"/>
              </w:rPr>
            </w:pPr>
            <w:r>
              <w:rPr>
                <w:color w:val="auto"/>
                <w:lang w:val="en-US" w:eastAsia="zh-CN"/>
              </w:rPr>
              <w:t>218-01-9</w:t>
            </w:r>
          </w:p>
        </w:tc>
        <w:tc>
          <w:tcPr>
            <w:tcW w:w="1750" w:type="dxa"/>
            <w:noWrap w:val="0"/>
            <w:tcMar>
              <w:left w:w="0" w:type="dxa"/>
              <w:right w:w="0" w:type="dxa"/>
            </w:tcMar>
            <w:vAlign w:val="center"/>
          </w:tcPr>
          <w:p w14:paraId="65A59948">
            <w:pPr>
              <w:pStyle w:val="26"/>
              <w:bidi w:val="0"/>
              <w:rPr>
                <w:color w:val="auto"/>
                <w:lang w:val="en-US" w:eastAsia="zh-CN"/>
              </w:rPr>
            </w:pPr>
            <w:r>
              <w:rPr>
                <w:color w:val="auto"/>
                <w:lang w:val="en-US" w:eastAsia="zh-CN"/>
              </w:rPr>
              <w:t>490</w:t>
            </w:r>
          </w:p>
        </w:tc>
        <w:tc>
          <w:tcPr>
            <w:tcW w:w="1662" w:type="dxa"/>
            <w:noWrap w:val="0"/>
            <w:tcMar>
              <w:left w:w="0" w:type="dxa"/>
              <w:right w:w="0" w:type="dxa"/>
            </w:tcMar>
            <w:vAlign w:val="center"/>
          </w:tcPr>
          <w:p w14:paraId="2FCC4C8D">
            <w:pPr>
              <w:pStyle w:val="26"/>
              <w:bidi w:val="0"/>
              <w:rPr>
                <w:color w:val="auto"/>
                <w:lang w:val="en-US" w:eastAsia="zh-CN"/>
              </w:rPr>
            </w:pPr>
            <w:r>
              <w:rPr>
                <w:color w:val="auto"/>
                <w:lang w:val="en-US" w:eastAsia="zh-CN"/>
              </w:rPr>
              <w:t>1293</w:t>
            </w:r>
          </w:p>
        </w:tc>
      </w:tr>
      <w:tr w14:paraId="5CF4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0C0559B">
            <w:pPr>
              <w:pStyle w:val="26"/>
              <w:bidi w:val="0"/>
              <w:rPr>
                <w:color w:val="auto"/>
                <w:lang w:val="en-US" w:eastAsia="zh-CN"/>
              </w:rPr>
            </w:pPr>
            <w:r>
              <w:rPr>
                <w:color w:val="auto"/>
                <w:lang w:val="en-US" w:eastAsia="zh-CN"/>
              </w:rPr>
              <w:t>43</w:t>
            </w:r>
          </w:p>
        </w:tc>
        <w:tc>
          <w:tcPr>
            <w:tcW w:w="2059" w:type="dxa"/>
            <w:noWrap w:val="0"/>
            <w:tcMar>
              <w:left w:w="0" w:type="dxa"/>
              <w:right w:w="0" w:type="dxa"/>
            </w:tcMar>
            <w:vAlign w:val="center"/>
          </w:tcPr>
          <w:p w14:paraId="73715A00">
            <w:pPr>
              <w:pStyle w:val="26"/>
              <w:bidi w:val="0"/>
              <w:rPr>
                <w:color w:val="auto"/>
                <w:lang w:val="en-US" w:eastAsia="zh-CN"/>
              </w:rPr>
            </w:pPr>
            <w:r>
              <w:rPr>
                <w:color w:val="auto"/>
                <w:lang w:val="en-US" w:eastAsia="zh-CN"/>
              </w:rPr>
              <w:t>二苯并〔a，h〕蒽</w:t>
            </w:r>
          </w:p>
        </w:tc>
        <w:tc>
          <w:tcPr>
            <w:tcW w:w="2026" w:type="dxa"/>
            <w:noWrap w:val="0"/>
            <w:tcMar>
              <w:left w:w="0" w:type="dxa"/>
              <w:right w:w="0" w:type="dxa"/>
            </w:tcMar>
            <w:vAlign w:val="center"/>
          </w:tcPr>
          <w:p w14:paraId="15B64A18">
            <w:pPr>
              <w:pStyle w:val="26"/>
              <w:bidi w:val="0"/>
              <w:rPr>
                <w:color w:val="auto"/>
                <w:lang w:val="en-US" w:eastAsia="zh-CN"/>
              </w:rPr>
            </w:pPr>
            <w:r>
              <w:rPr>
                <w:color w:val="auto"/>
                <w:lang w:val="en-US" w:eastAsia="zh-CN"/>
              </w:rPr>
              <w:t>53-70-3</w:t>
            </w:r>
          </w:p>
        </w:tc>
        <w:tc>
          <w:tcPr>
            <w:tcW w:w="1750" w:type="dxa"/>
            <w:noWrap w:val="0"/>
            <w:tcMar>
              <w:left w:w="0" w:type="dxa"/>
              <w:right w:w="0" w:type="dxa"/>
            </w:tcMar>
            <w:vAlign w:val="center"/>
          </w:tcPr>
          <w:p w14:paraId="37FCC82A">
            <w:pPr>
              <w:pStyle w:val="26"/>
              <w:bidi w:val="0"/>
              <w:rPr>
                <w:color w:val="auto"/>
                <w:lang w:val="en-US" w:eastAsia="zh-CN"/>
              </w:rPr>
            </w:pPr>
            <w:r>
              <w:rPr>
                <w:color w:val="auto"/>
                <w:lang w:val="en-US" w:eastAsia="zh-CN"/>
              </w:rPr>
              <w:t>0.55</w:t>
            </w:r>
          </w:p>
        </w:tc>
        <w:tc>
          <w:tcPr>
            <w:tcW w:w="1662" w:type="dxa"/>
            <w:noWrap w:val="0"/>
            <w:tcMar>
              <w:left w:w="0" w:type="dxa"/>
              <w:right w:w="0" w:type="dxa"/>
            </w:tcMar>
            <w:vAlign w:val="center"/>
          </w:tcPr>
          <w:p w14:paraId="7AAD2A95">
            <w:pPr>
              <w:pStyle w:val="26"/>
              <w:bidi w:val="0"/>
              <w:rPr>
                <w:color w:val="auto"/>
                <w:lang w:val="en-US" w:eastAsia="zh-CN"/>
              </w:rPr>
            </w:pPr>
            <w:r>
              <w:rPr>
                <w:color w:val="auto"/>
                <w:lang w:val="en-US" w:eastAsia="zh-CN"/>
              </w:rPr>
              <w:t>1.5</w:t>
            </w:r>
          </w:p>
        </w:tc>
      </w:tr>
      <w:tr w14:paraId="4951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3C233D84">
            <w:pPr>
              <w:pStyle w:val="26"/>
              <w:bidi w:val="0"/>
              <w:rPr>
                <w:color w:val="auto"/>
                <w:lang w:val="en-US" w:eastAsia="zh-CN"/>
              </w:rPr>
            </w:pPr>
            <w:r>
              <w:rPr>
                <w:color w:val="auto"/>
                <w:lang w:val="en-US" w:eastAsia="zh-CN"/>
              </w:rPr>
              <w:t>44</w:t>
            </w:r>
          </w:p>
        </w:tc>
        <w:tc>
          <w:tcPr>
            <w:tcW w:w="2059" w:type="dxa"/>
            <w:noWrap w:val="0"/>
            <w:tcMar>
              <w:left w:w="0" w:type="dxa"/>
              <w:right w:w="0" w:type="dxa"/>
            </w:tcMar>
            <w:vAlign w:val="center"/>
          </w:tcPr>
          <w:p w14:paraId="6CEE7DBC">
            <w:pPr>
              <w:pStyle w:val="26"/>
              <w:bidi w:val="0"/>
              <w:rPr>
                <w:color w:val="auto"/>
                <w:lang w:val="en-US" w:eastAsia="zh-CN"/>
              </w:rPr>
            </w:pPr>
            <w:r>
              <w:rPr>
                <w:color w:val="auto"/>
                <w:lang w:val="en-US" w:eastAsia="zh-CN"/>
              </w:rPr>
              <w:t>茚并〔1,2,3-cd〕芘</w:t>
            </w:r>
          </w:p>
        </w:tc>
        <w:tc>
          <w:tcPr>
            <w:tcW w:w="2026" w:type="dxa"/>
            <w:noWrap w:val="0"/>
            <w:tcMar>
              <w:left w:w="0" w:type="dxa"/>
              <w:right w:w="0" w:type="dxa"/>
            </w:tcMar>
            <w:vAlign w:val="center"/>
          </w:tcPr>
          <w:p w14:paraId="4BAB4F85">
            <w:pPr>
              <w:pStyle w:val="26"/>
              <w:bidi w:val="0"/>
              <w:rPr>
                <w:color w:val="auto"/>
                <w:lang w:val="en-US" w:eastAsia="zh-CN"/>
              </w:rPr>
            </w:pPr>
            <w:r>
              <w:rPr>
                <w:color w:val="auto"/>
                <w:lang w:val="en-US" w:eastAsia="zh-CN"/>
              </w:rPr>
              <w:t>193-39-5</w:t>
            </w:r>
          </w:p>
        </w:tc>
        <w:tc>
          <w:tcPr>
            <w:tcW w:w="1750" w:type="dxa"/>
            <w:noWrap w:val="0"/>
            <w:tcMar>
              <w:left w:w="0" w:type="dxa"/>
              <w:right w:w="0" w:type="dxa"/>
            </w:tcMar>
            <w:vAlign w:val="center"/>
          </w:tcPr>
          <w:p w14:paraId="7A36936F">
            <w:pPr>
              <w:pStyle w:val="26"/>
              <w:bidi w:val="0"/>
              <w:rPr>
                <w:color w:val="auto"/>
                <w:lang w:val="en-US" w:eastAsia="zh-CN"/>
              </w:rPr>
            </w:pPr>
            <w:r>
              <w:rPr>
                <w:color w:val="auto"/>
                <w:lang w:val="en-US" w:eastAsia="zh-CN"/>
              </w:rPr>
              <w:t>5.5</w:t>
            </w:r>
          </w:p>
        </w:tc>
        <w:tc>
          <w:tcPr>
            <w:tcW w:w="1662" w:type="dxa"/>
            <w:noWrap w:val="0"/>
            <w:tcMar>
              <w:left w:w="0" w:type="dxa"/>
              <w:right w:w="0" w:type="dxa"/>
            </w:tcMar>
            <w:vAlign w:val="center"/>
          </w:tcPr>
          <w:p w14:paraId="22D3C380">
            <w:pPr>
              <w:pStyle w:val="26"/>
              <w:bidi w:val="0"/>
              <w:rPr>
                <w:color w:val="auto"/>
                <w:lang w:val="en-US" w:eastAsia="zh-CN"/>
              </w:rPr>
            </w:pPr>
            <w:r>
              <w:rPr>
                <w:color w:val="auto"/>
                <w:lang w:val="en-US" w:eastAsia="zh-CN"/>
              </w:rPr>
              <w:t>15</w:t>
            </w:r>
          </w:p>
        </w:tc>
      </w:tr>
      <w:tr w14:paraId="4AF6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9" w:type="dxa"/>
            <w:noWrap w:val="0"/>
            <w:tcMar>
              <w:left w:w="0" w:type="dxa"/>
              <w:right w:w="0" w:type="dxa"/>
            </w:tcMar>
            <w:vAlign w:val="center"/>
          </w:tcPr>
          <w:p w14:paraId="18D9B6EF">
            <w:pPr>
              <w:pStyle w:val="26"/>
              <w:bidi w:val="0"/>
              <w:rPr>
                <w:color w:val="auto"/>
                <w:lang w:val="en-US" w:eastAsia="zh-CN"/>
              </w:rPr>
            </w:pPr>
            <w:r>
              <w:rPr>
                <w:color w:val="auto"/>
                <w:lang w:val="en-US" w:eastAsia="zh-CN"/>
              </w:rPr>
              <w:t>45</w:t>
            </w:r>
          </w:p>
        </w:tc>
        <w:tc>
          <w:tcPr>
            <w:tcW w:w="2059" w:type="dxa"/>
            <w:noWrap w:val="0"/>
            <w:tcMar>
              <w:left w:w="0" w:type="dxa"/>
              <w:right w:w="0" w:type="dxa"/>
            </w:tcMar>
            <w:vAlign w:val="center"/>
          </w:tcPr>
          <w:p w14:paraId="0E7A8FFD">
            <w:pPr>
              <w:pStyle w:val="26"/>
              <w:bidi w:val="0"/>
              <w:rPr>
                <w:color w:val="auto"/>
                <w:lang w:val="en-US" w:eastAsia="zh-CN"/>
              </w:rPr>
            </w:pPr>
            <w:r>
              <w:rPr>
                <w:color w:val="auto"/>
                <w:lang w:val="en-US" w:eastAsia="zh-CN"/>
              </w:rPr>
              <w:t>萘</w:t>
            </w:r>
          </w:p>
        </w:tc>
        <w:tc>
          <w:tcPr>
            <w:tcW w:w="2026" w:type="dxa"/>
            <w:noWrap w:val="0"/>
            <w:tcMar>
              <w:left w:w="0" w:type="dxa"/>
              <w:right w:w="0" w:type="dxa"/>
            </w:tcMar>
            <w:vAlign w:val="center"/>
          </w:tcPr>
          <w:p w14:paraId="031C2B4F">
            <w:pPr>
              <w:pStyle w:val="26"/>
              <w:bidi w:val="0"/>
              <w:rPr>
                <w:color w:val="auto"/>
                <w:lang w:val="en-US" w:eastAsia="zh-CN"/>
              </w:rPr>
            </w:pPr>
            <w:r>
              <w:rPr>
                <w:color w:val="auto"/>
                <w:lang w:val="en-US" w:eastAsia="zh-CN"/>
              </w:rPr>
              <w:t>91-20-3</w:t>
            </w:r>
          </w:p>
        </w:tc>
        <w:tc>
          <w:tcPr>
            <w:tcW w:w="1750" w:type="dxa"/>
            <w:noWrap w:val="0"/>
            <w:tcMar>
              <w:left w:w="0" w:type="dxa"/>
              <w:right w:w="0" w:type="dxa"/>
            </w:tcMar>
            <w:vAlign w:val="center"/>
          </w:tcPr>
          <w:p w14:paraId="0918FDC4">
            <w:pPr>
              <w:pStyle w:val="26"/>
              <w:bidi w:val="0"/>
              <w:rPr>
                <w:color w:val="auto"/>
                <w:lang w:val="en-US" w:eastAsia="zh-CN"/>
              </w:rPr>
            </w:pPr>
            <w:r>
              <w:rPr>
                <w:color w:val="auto"/>
                <w:lang w:val="en-US" w:eastAsia="zh-CN"/>
              </w:rPr>
              <w:t>25</w:t>
            </w:r>
          </w:p>
        </w:tc>
        <w:tc>
          <w:tcPr>
            <w:tcW w:w="1662" w:type="dxa"/>
            <w:noWrap w:val="0"/>
            <w:tcMar>
              <w:left w:w="0" w:type="dxa"/>
              <w:right w:w="0" w:type="dxa"/>
            </w:tcMar>
            <w:vAlign w:val="center"/>
          </w:tcPr>
          <w:p w14:paraId="67E73420">
            <w:pPr>
              <w:pStyle w:val="26"/>
              <w:bidi w:val="0"/>
              <w:rPr>
                <w:color w:val="auto"/>
                <w:lang w:val="en-US" w:eastAsia="zh-CN"/>
              </w:rPr>
            </w:pPr>
            <w:r>
              <w:rPr>
                <w:color w:val="auto"/>
                <w:lang w:val="en-US" w:eastAsia="zh-CN"/>
              </w:rPr>
              <w:t>70</w:t>
            </w:r>
          </w:p>
        </w:tc>
      </w:tr>
      <w:tr w14:paraId="48DB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346" w:type="dxa"/>
            <w:gridSpan w:val="5"/>
            <w:noWrap w:val="0"/>
            <w:tcMar>
              <w:left w:w="0" w:type="dxa"/>
              <w:right w:w="0" w:type="dxa"/>
            </w:tcMar>
            <w:vAlign w:val="center"/>
          </w:tcPr>
          <w:p w14:paraId="3F33469E">
            <w:pPr>
              <w:pStyle w:val="26"/>
              <w:bidi w:val="0"/>
              <w:rPr>
                <w:color w:val="auto"/>
                <w:lang w:val="en-US" w:eastAsia="zh-CN"/>
              </w:rPr>
            </w:pPr>
            <w:r>
              <w:rPr>
                <w:color w:val="auto"/>
                <w:lang w:val="en-US" w:eastAsia="zh-CN"/>
              </w:rPr>
              <w:t>注：</w:t>
            </w:r>
            <w:r>
              <w:rPr>
                <w:rFonts w:hint="eastAsia"/>
                <w:color w:val="auto"/>
                <w:lang w:val="en-US" w:eastAsia="zh-CN"/>
              </w:rPr>
              <w:t>①</w:t>
            </w:r>
            <w:r>
              <w:rPr>
                <w:color w:val="auto"/>
                <w:lang w:val="en-US" w:eastAsia="zh-CN"/>
              </w:rPr>
              <w:t>具体地块土壤中污染物检测含量超过筛选值，但等于或者低于土壤环境背景值水平的，不纳入污染地块管理，土壤环境背景值可参见附录A。</w:t>
            </w:r>
          </w:p>
        </w:tc>
      </w:tr>
    </w:tbl>
    <w:p w14:paraId="12926E32">
      <w:pPr>
        <w:rPr>
          <w:rFonts w:ascii="Times New Roman" w:hAnsi="Times New Roman"/>
          <w:color w:val="auto"/>
        </w:rPr>
      </w:pPr>
      <w:r>
        <w:rPr>
          <w:rFonts w:hint="eastAsia" w:ascii="Times New Roman" w:hAnsi="Times New Roman"/>
          <w:color w:val="auto"/>
        </w:rPr>
        <w:t>（5）</w:t>
      </w:r>
      <w:r>
        <w:rPr>
          <w:rFonts w:ascii="Times New Roman" w:hAnsi="Times New Roman"/>
          <w:color w:val="auto"/>
        </w:rPr>
        <w:t>地下水质量标准</w:t>
      </w:r>
    </w:p>
    <w:p w14:paraId="5A34DF9C">
      <w:pPr>
        <w:rPr>
          <w:rFonts w:ascii="Times New Roman" w:hAnsi="Times New Roman"/>
          <w:color w:val="auto"/>
        </w:rPr>
      </w:pPr>
      <w:r>
        <w:rPr>
          <w:rFonts w:ascii="Times New Roman" w:hAnsi="Times New Roman"/>
          <w:color w:val="auto"/>
        </w:rPr>
        <w:t>地下水环境质量评价</w:t>
      </w:r>
      <w:r>
        <w:rPr>
          <w:rFonts w:hint="eastAsia"/>
          <w:color w:val="auto"/>
          <w:lang w:val="en-US" w:eastAsia="zh-CN"/>
        </w:rPr>
        <w:t>参照</w:t>
      </w:r>
      <w:r>
        <w:rPr>
          <w:rFonts w:ascii="Times New Roman" w:hAnsi="Times New Roman"/>
          <w:color w:val="auto"/>
        </w:rPr>
        <w:t>《地下水质量标准》</w:t>
      </w:r>
      <w:r>
        <w:rPr>
          <w:rFonts w:hint="eastAsia" w:ascii="Times New Roman" w:hAnsi="Times New Roman"/>
          <w:color w:val="auto"/>
          <w:lang w:eastAsia="zh-CN"/>
        </w:rPr>
        <w:t>（</w:t>
      </w:r>
      <w:r>
        <w:rPr>
          <w:rFonts w:ascii="Times New Roman" w:hAnsi="Times New Roman"/>
          <w:color w:val="auto"/>
        </w:rPr>
        <w:t>GB/T14848-2017）</w:t>
      </w:r>
      <w:r>
        <w:rPr>
          <w:rFonts w:hint="eastAsia" w:ascii="Times New Roman" w:hAnsi="Times New Roman"/>
          <w:color w:val="auto"/>
          <w:lang w:val="en-US" w:eastAsia="zh-CN"/>
        </w:rPr>
        <w:t>水质标准</w:t>
      </w:r>
      <w:r>
        <w:rPr>
          <w:rFonts w:hint="eastAsia" w:ascii="Times New Roman" w:hAnsi="Times New Roman"/>
          <w:color w:val="auto"/>
        </w:rPr>
        <w:t>。</w:t>
      </w:r>
      <w:r>
        <w:rPr>
          <w:rFonts w:ascii="Times New Roman" w:hAnsi="Times New Roman"/>
          <w:color w:val="auto"/>
        </w:rPr>
        <w:t>具体标准值详细见下表：</w:t>
      </w:r>
    </w:p>
    <w:p w14:paraId="42C407FE">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7</w:t>
      </w:r>
      <w:r>
        <w:rPr>
          <w:color w:val="auto"/>
          <w:lang w:val="en-US" w:eastAsia="zh-CN"/>
        </w:rPr>
        <w:fldChar w:fldCharType="end"/>
      </w:r>
      <w:r>
        <w:rPr>
          <w:color w:val="auto"/>
          <w:lang w:val="en-US" w:eastAsia="zh-CN"/>
        </w:rPr>
        <w:t>地下水质量标准（单位：mg/L，pH为无量纲）</w:t>
      </w:r>
    </w:p>
    <w:tbl>
      <w:tblPr>
        <w:tblStyle w:val="19"/>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3"/>
        <w:gridCol w:w="2172"/>
        <w:gridCol w:w="1053"/>
        <w:gridCol w:w="1023"/>
        <w:gridCol w:w="897"/>
        <w:gridCol w:w="1274"/>
        <w:gridCol w:w="1204"/>
      </w:tblGrid>
      <w:tr w14:paraId="5240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1A8422FF">
            <w:pPr>
              <w:pStyle w:val="36"/>
              <w:bidi w:val="0"/>
              <w:rPr>
                <w:color w:val="auto"/>
                <w:lang w:val="en-US" w:eastAsia="zh-CN"/>
              </w:rPr>
            </w:pPr>
            <w:r>
              <w:rPr>
                <w:color w:val="auto"/>
                <w:lang w:val="en-US" w:eastAsia="zh-CN"/>
              </w:rPr>
              <w:t>序号</w:t>
            </w:r>
          </w:p>
        </w:tc>
        <w:tc>
          <w:tcPr>
            <w:tcW w:w="2169" w:type="dxa"/>
            <w:noWrap w:val="0"/>
            <w:tcMar>
              <w:left w:w="0" w:type="dxa"/>
              <w:right w:w="0" w:type="dxa"/>
            </w:tcMar>
            <w:vAlign w:val="center"/>
          </w:tcPr>
          <w:p w14:paraId="09B064D8">
            <w:pPr>
              <w:pStyle w:val="36"/>
              <w:bidi w:val="0"/>
              <w:rPr>
                <w:color w:val="auto"/>
                <w:lang w:val="en-US" w:eastAsia="zh-CN"/>
              </w:rPr>
            </w:pPr>
            <w:r>
              <w:rPr>
                <w:color w:val="auto"/>
                <w:lang w:val="en-US" w:eastAsia="zh-CN"/>
              </w:rPr>
              <w:t>评价因子</w:t>
            </w:r>
          </w:p>
        </w:tc>
        <w:tc>
          <w:tcPr>
            <w:tcW w:w="1052" w:type="dxa"/>
            <w:noWrap w:val="0"/>
            <w:tcMar>
              <w:left w:w="0" w:type="dxa"/>
              <w:right w:w="0" w:type="dxa"/>
            </w:tcMar>
            <w:vAlign w:val="center"/>
          </w:tcPr>
          <w:p w14:paraId="25E0DEA7">
            <w:pPr>
              <w:pStyle w:val="36"/>
              <w:bidi w:val="0"/>
              <w:rPr>
                <w:color w:val="auto"/>
                <w:lang w:val="en-US" w:eastAsia="zh-CN"/>
              </w:rPr>
            </w:pPr>
            <w:r>
              <w:rPr>
                <w:color w:val="auto"/>
                <w:lang w:val="en-US" w:eastAsia="zh-CN"/>
              </w:rPr>
              <w:fldChar w:fldCharType="begin"/>
            </w:r>
            <w:r>
              <w:rPr>
                <w:color w:val="auto"/>
                <w:lang w:val="en-US" w:eastAsia="zh-CN"/>
              </w:rPr>
              <w:instrText xml:space="preserve"> = 1 \* ROMAN </w:instrText>
            </w:r>
            <w:r>
              <w:rPr>
                <w:color w:val="auto"/>
                <w:lang w:val="en-US" w:eastAsia="zh-CN"/>
              </w:rPr>
              <w:fldChar w:fldCharType="separate"/>
            </w:r>
            <w:r>
              <w:rPr>
                <w:color w:val="auto"/>
                <w:lang w:val="en-US" w:eastAsia="zh-CN"/>
              </w:rPr>
              <w:t>I</w:t>
            </w:r>
            <w:r>
              <w:rPr>
                <w:color w:val="auto"/>
                <w:lang w:val="en-US" w:eastAsia="zh-CN"/>
              </w:rPr>
              <w:fldChar w:fldCharType="end"/>
            </w:r>
            <w:r>
              <w:rPr>
                <w:color w:val="auto"/>
                <w:lang w:val="en-US" w:eastAsia="zh-CN"/>
              </w:rPr>
              <w:t>类</w:t>
            </w:r>
          </w:p>
        </w:tc>
        <w:tc>
          <w:tcPr>
            <w:tcW w:w="1022" w:type="dxa"/>
            <w:noWrap w:val="0"/>
            <w:tcMar>
              <w:left w:w="0" w:type="dxa"/>
              <w:right w:w="0" w:type="dxa"/>
            </w:tcMar>
            <w:vAlign w:val="center"/>
          </w:tcPr>
          <w:p w14:paraId="0CD2FC55">
            <w:pPr>
              <w:pStyle w:val="36"/>
              <w:bidi w:val="0"/>
              <w:rPr>
                <w:color w:val="auto"/>
                <w:lang w:val="en-US" w:eastAsia="zh-CN"/>
              </w:rPr>
            </w:pPr>
            <w:r>
              <w:rPr>
                <w:color w:val="auto"/>
                <w:lang w:val="en-US" w:eastAsia="zh-CN"/>
              </w:rPr>
              <w:fldChar w:fldCharType="begin"/>
            </w:r>
            <w:r>
              <w:rPr>
                <w:color w:val="auto"/>
                <w:lang w:val="en-US" w:eastAsia="zh-CN"/>
              </w:rPr>
              <w:instrText xml:space="preserve"> = 2 \* ROMAN </w:instrText>
            </w:r>
            <w:r>
              <w:rPr>
                <w:color w:val="auto"/>
                <w:lang w:val="en-US" w:eastAsia="zh-CN"/>
              </w:rPr>
              <w:fldChar w:fldCharType="separate"/>
            </w:r>
            <w:r>
              <w:rPr>
                <w:color w:val="auto"/>
                <w:lang w:val="en-US" w:eastAsia="zh-CN"/>
              </w:rPr>
              <w:t>II</w:t>
            </w:r>
            <w:r>
              <w:rPr>
                <w:color w:val="auto"/>
                <w:lang w:val="en-US" w:eastAsia="zh-CN"/>
              </w:rPr>
              <w:fldChar w:fldCharType="end"/>
            </w:r>
            <w:r>
              <w:rPr>
                <w:color w:val="auto"/>
                <w:lang w:val="en-US" w:eastAsia="zh-CN"/>
              </w:rPr>
              <w:t>类</w:t>
            </w:r>
          </w:p>
        </w:tc>
        <w:tc>
          <w:tcPr>
            <w:tcW w:w="896" w:type="dxa"/>
            <w:noWrap w:val="0"/>
            <w:tcMar>
              <w:left w:w="0" w:type="dxa"/>
              <w:right w:w="0" w:type="dxa"/>
            </w:tcMar>
            <w:vAlign w:val="center"/>
          </w:tcPr>
          <w:p w14:paraId="569EB3F6">
            <w:pPr>
              <w:pStyle w:val="36"/>
              <w:bidi w:val="0"/>
              <w:rPr>
                <w:color w:val="auto"/>
                <w:lang w:val="en-US" w:eastAsia="zh-CN"/>
              </w:rPr>
            </w:pPr>
            <w:r>
              <w:rPr>
                <w:color w:val="auto"/>
                <w:lang w:val="en-US" w:eastAsia="zh-CN"/>
              </w:rPr>
              <w:fldChar w:fldCharType="begin"/>
            </w:r>
            <w:r>
              <w:rPr>
                <w:color w:val="auto"/>
                <w:lang w:val="en-US" w:eastAsia="zh-CN"/>
              </w:rPr>
              <w:instrText xml:space="preserve"> = 3 \* ROMAN </w:instrText>
            </w:r>
            <w:r>
              <w:rPr>
                <w:color w:val="auto"/>
                <w:lang w:val="en-US" w:eastAsia="zh-CN"/>
              </w:rPr>
              <w:fldChar w:fldCharType="separate"/>
            </w:r>
            <w:r>
              <w:rPr>
                <w:color w:val="auto"/>
                <w:lang w:val="en-US" w:eastAsia="zh-CN"/>
              </w:rPr>
              <w:t>III</w:t>
            </w:r>
            <w:r>
              <w:rPr>
                <w:color w:val="auto"/>
                <w:lang w:val="en-US" w:eastAsia="zh-CN"/>
              </w:rPr>
              <w:fldChar w:fldCharType="end"/>
            </w:r>
            <w:r>
              <w:rPr>
                <w:color w:val="auto"/>
                <w:lang w:val="en-US" w:eastAsia="zh-CN"/>
              </w:rPr>
              <w:t>类</w:t>
            </w:r>
          </w:p>
        </w:tc>
        <w:tc>
          <w:tcPr>
            <w:tcW w:w="1272" w:type="dxa"/>
            <w:noWrap w:val="0"/>
            <w:tcMar>
              <w:left w:w="0" w:type="dxa"/>
              <w:right w:w="0" w:type="dxa"/>
            </w:tcMar>
            <w:vAlign w:val="center"/>
          </w:tcPr>
          <w:p w14:paraId="758F04F5">
            <w:pPr>
              <w:pStyle w:val="36"/>
              <w:bidi w:val="0"/>
              <w:rPr>
                <w:color w:val="auto"/>
                <w:lang w:val="en-US" w:eastAsia="zh-CN"/>
              </w:rPr>
            </w:pPr>
            <w:r>
              <w:rPr>
                <w:color w:val="auto"/>
                <w:lang w:val="en-US" w:eastAsia="zh-CN"/>
              </w:rPr>
              <w:fldChar w:fldCharType="begin"/>
            </w:r>
            <w:r>
              <w:rPr>
                <w:color w:val="auto"/>
                <w:lang w:val="en-US" w:eastAsia="zh-CN"/>
              </w:rPr>
              <w:instrText xml:space="preserve"> = 4 \* ROMAN </w:instrText>
            </w:r>
            <w:r>
              <w:rPr>
                <w:color w:val="auto"/>
                <w:lang w:val="en-US" w:eastAsia="zh-CN"/>
              </w:rPr>
              <w:fldChar w:fldCharType="separate"/>
            </w:r>
            <w:r>
              <w:rPr>
                <w:color w:val="auto"/>
                <w:lang w:val="en-US" w:eastAsia="zh-CN"/>
              </w:rPr>
              <w:t>IV</w:t>
            </w:r>
            <w:r>
              <w:rPr>
                <w:color w:val="auto"/>
                <w:lang w:val="en-US" w:eastAsia="zh-CN"/>
              </w:rPr>
              <w:fldChar w:fldCharType="end"/>
            </w:r>
            <w:r>
              <w:rPr>
                <w:color w:val="auto"/>
                <w:lang w:val="en-US" w:eastAsia="zh-CN"/>
              </w:rPr>
              <w:t>类</w:t>
            </w:r>
          </w:p>
        </w:tc>
        <w:tc>
          <w:tcPr>
            <w:tcW w:w="1203" w:type="dxa"/>
            <w:noWrap w:val="0"/>
            <w:tcMar>
              <w:left w:w="0" w:type="dxa"/>
              <w:right w:w="0" w:type="dxa"/>
            </w:tcMar>
            <w:vAlign w:val="center"/>
          </w:tcPr>
          <w:p w14:paraId="71FA37D5">
            <w:pPr>
              <w:pStyle w:val="36"/>
              <w:bidi w:val="0"/>
              <w:rPr>
                <w:color w:val="auto"/>
                <w:lang w:val="en-US" w:eastAsia="zh-CN"/>
              </w:rPr>
            </w:pPr>
            <w:r>
              <w:rPr>
                <w:color w:val="auto"/>
                <w:lang w:val="en-US" w:eastAsia="zh-CN"/>
              </w:rPr>
              <w:fldChar w:fldCharType="begin"/>
            </w:r>
            <w:r>
              <w:rPr>
                <w:color w:val="auto"/>
                <w:lang w:val="en-US" w:eastAsia="zh-CN"/>
              </w:rPr>
              <w:instrText xml:space="preserve"> = 5 \* ROMAN </w:instrText>
            </w:r>
            <w:r>
              <w:rPr>
                <w:color w:val="auto"/>
                <w:lang w:val="en-US" w:eastAsia="zh-CN"/>
              </w:rPr>
              <w:fldChar w:fldCharType="separate"/>
            </w:r>
            <w:r>
              <w:rPr>
                <w:color w:val="auto"/>
                <w:lang w:val="en-US" w:eastAsia="zh-CN"/>
              </w:rPr>
              <w:t>V</w:t>
            </w:r>
            <w:r>
              <w:rPr>
                <w:color w:val="auto"/>
                <w:lang w:val="en-US" w:eastAsia="zh-CN"/>
              </w:rPr>
              <w:fldChar w:fldCharType="end"/>
            </w:r>
            <w:r>
              <w:rPr>
                <w:color w:val="auto"/>
                <w:lang w:val="en-US" w:eastAsia="zh-CN"/>
              </w:rPr>
              <w:t>类</w:t>
            </w:r>
          </w:p>
        </w:tc>
      </w:tr>
      <w:tr w14:paraId="2E61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5475E47A">
            <w:pPr>
              <w:pStyle w:val="26"/>
              <w:bidi w:val="0"/>
              <w:rPr>
                <w:color w:val="auto"/>
                <w:lang w:val="en-US" w:eastAsia="zh-CN"/>
              </w:rPr>
            </w:pPr>
            <w:r>
              <w:rPr>
                <w:color w:val="auto"/>
                <w:lang w:val="en-US" w:eastAsia="zh-CN"/>
              </w:rPr>
              <w:t>1</w:t>
            </w:r>
          </w:p>
        </w:tc>
        <w:tc>
          <w:tcPr>
            <w:tcW w:w="2169" w:type="dxa"/>
            <w:noWrap w:val="0"/>
            <w:tcMar>
              <w:left w:w="0" w:type="dxa"/>
              <w:right w:w="0" w:type="dxa"/>
            </w:tcMar>
            <w:vAlign w:val="center"/>
          </w:tcPr>
          <w:p w14:paraId="162D880D">
            <w:pPr>
              <w:pStyle w:val="26"/>
              <w:bidi w:val="0"/>
              <w:rPr>
                <w:color w:val="auto"/>
                <w:lang w:val="en-US" w:eastAsia="zh-CN"/>
              </w:rPr>
            </w:pPr>
            <w:r>
              <w:rPr>
                <w:color w:val="auto"/>
                <w:lang w:val="en-US" w:eastAsia="zh-CN"/>
              </w:rPr>
              <w:t>pH（无量纲）</w:t>
            </w:r>
          </w:p>
        </w:tc>
        <w:tc>
          <w:tcPr>
            <w:tcW w:w="2970" w:type="dxa"/>
            <w:gridSpan w:val="3"/>
            <w:noWrap w:val="0"/>
            <w:tcMar>
              <w:left w:w="0" w:type="dxa"/>
              <w:right w:w="0" w:type="dxa"/>
            </w:tcMar>
            <w:vAlign w:val="center"/>
          </w:tcPr>
          <w:p w14:paraId="0C713109">
            <w:pPr>
              <w:pStyle w:val="26"/>
              <w:bidi w:val="0"/>
              <w:rPr>
                <w:color w:val="auto"/>
                <w:lang w:val="en-US" w:eastAsia="zh-CN"/>
              </w:rPr>
            </w:pPr>
            <w:r>
              <w:rPr>
                <w:color w:val="auto"/>
                <w:lang w:val="en-US" w:eastAsia="zh-CN"/>
              </w:rPr>
              <w:t>6.5～8.5</w:t>
            </w:r>
          </w:p>
        </w:tc>
        <w:tc>
          <w:tcPr>
            <w:tcW w:w="1272" w:type="dxa"/>
            <w:noWrap w:val="0"/>
            <w:tcMar>
              <w:left w:w="0" w:type="dxa"/>
              <w:right w:w="0" w:type="dxa"/>
            </w:tcMar>
            <w:vAlign w:val="center"/>
          </w:tcPr>
          <w:p w14:paraId="1200BE4A">
            <w:pPr>
              <w:pStyle w:val="26"/>
              <w:bidi w:val="0"/>
              <w:rPr>
                <w:color w:val="auto"/>
                <w:lang w:val="en-US" w:eastAsia="zh-CN"/>
              </w:rPr>
            </w:pPr>
            <w:r>
              <w:rPr>
                <w:color w:val="auto"/>
                <w:lang w:val="en-US" w:eastAsia="zh-CN"/>
              </w:rPr>
              <w:t>5.5～6.5，8.5~9</w:t>
            </w:r>
          </w:p>
        </w:tc>
        <w:tc>
          <w:tcPr>
            <w:tcW w:w="1203" w:type="dxa"/>
            <w:noWrap w:val="0"/>
            <w:tcMar>
              <w:left w:w="0" w:type="dxa"/>
              <w:right w:w="0" w:type="dxa"/>
            </w:tcMar>
            <w:vAlign w:val="center"/>
          </w:tcPr>
          <w:p w14:paraId="7D7CA34B">
            <w:pPr>
              <w:pStyle w:val="26"/>
              <w:bidi w:val="0"/>
              <w:rPr>
                <w:color w:val="auto"/>
                <w:lang w:val="en-US" w:eastAsia="zh-CN"/>
              </w:rPr>
            </w:pPr>
            <w:r>
              <w:rPr>
                <w:color w:val="auto"/>
                <w:lang w:val="en-US" w:eastAsia="zh-CN"/>
              </w:rPr>
              <w:t>＜5.5，＞9</w:t>
            </w:r>
          </w:p>
        </w:tc>
      </w:tr>
      <w:tr w14:paraId="3195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8D837F8">
            <w:pPr>
              <w:pStyle w:val="26"/>
              <w:bidi w:val="0"/>
              <w:rPr>
                <w:color w:val="auto"/>
                <w:lang w:val="en-US" w:eastAsia="zh-CN"/>
              </w:rPr>
            </w:pPr>
            <w:r>
              <w:rPr>
                <w:color w:val="auto"/>
                <w:lang w:val="en-US" w:eastAsia="zh-CN"/>
              </w:rPr>
              <w:t>2</w:t>
            </w:r>
          </w:p>
        </w:tc>
        <w:tc>
          <w:tcPr>
            <w:tcW w:w="2169" w:type="dxa"/>
            <w:noWrap w:val="0"/>
            <w:tcMar>
              <w:left w:w="0" w:type="dxa"/>
              <w:right w:w="0" w:type="dxa"/>
            </w:tcMar>
            <w:vAlign w:val="center"/>
          </w:tcPr>
          <w:p w14:paraId="40808312">
            <w:pPr>
              <w:pStyle w:val="26"/>
              <w:bidi w:val="0"/>
              <w:rPr>
                <w:color w:val="auto"/>
                <w:lang w:val="en-US" w:eastAsia="zh-CN"/>
              </w:rPr>
            </w:pPr>
            <w:r>
              <w:rPr>
                <w:color w:val="auto"/>
                <w:lang w:val="en-US" w:eastAsia="zh-CN"/>
              </w:rPr>
              <w:t>耗氧量（CODMn法，以O2计）</w:t>
            </w:r>
          </w:p>
        </w:tc>
        <w:tc>
          <w:tcPr>
            <w:tcW w:w="1052" w:type="dxa"/>
            <w:noWrap w:val="0"/>
            <w:tcMar>
              <w:left w:w="0" w:type="dxa"/>
              <w:right w:w="0" w:type="dxa"/>
            </w:tcMar>
            <w:vAlign w:val="center"/>
          </w:tcPr>
          <w:p w14:paraId="46D30751">
            <w:pPr>
              <w:pStyle w:val="26"/>
              <w:bidi w:val="0"/>
              <w:rPr>
                <w:color w:val="auto"/>
                <w:lang w:val="en-US" w:eastAsia="zh-CN"/>
              </w:rPr>
            </w:pPr>
            <w:r>
              <w:rPr>
                <w:color w:val="auto"/>
                <w:lang w:val="en-US" w:eastAsia="zh-CN"/>
              </w:rPr>
              <w:t>≤1.0</w:t>
            </w:r>
          </w:p>
        </w:tc>
        <w:tc>
          <w:tcPr>
            <w:tcW w:w="1022" w:type="dxa"/>
            <w:noWrap w:val="0"/>
            <w:tcMar>
              <w:left w:w="0" w:type="dxa"/>
              <w:right w:w="0" w:type="dxa"/>
            </w:tcMar>
            <w:vAlign w:val="center"/>
          </w:tcPr>
          <w:p w14:paraId="62B148AD">
            <w:pPr>
              <w:pStyle w:val="26"/>
              <w:bidi w:val="0"/>
              <w:rPr>
                <w:color w:val="auto"/>
                <w:lang w:val="en-US" w:eastAsia="zh-CN"/>
              </w:rPr>
            </w:pPr>
            <w:r>
              <w:rPr>
                <w:color w:val="auto"/>
                <w:lang w:val="en-US" w:eastAsia="zh-CN"/>
              </w:rPr>
              <w:t>≤2.0</w:t>
            </w:r>
          </w:p>
        </w:tc>
        <w:tc>
          <w:tcPr>
            <w:tcW w:w="896" w:type="dxa"/>
            <w:noWrap w:val="0"/>
            <w:tcMar>
              <w:left w:w="0" w:type="dxa"/>
              <w:right w:w="0" w:type="dxa"/>
            </w:tcMar>
            <w:vAlign w:val="center"/>
          </w:tcPr>
          <w:p w14:paraId="26FC7D60">
            <w:pPr>
              <w:pStyle w:val="26"/>
              <w:bidi w:val="0"/>
              <w:rPr>
                <w:color w:val="auto"/>
                <w:lang w:val="en-US" w:eastAsia="zh-CN"/>
              </w:rPr>
            </w:pPr>
            <w:r>
              <w:rPr>
                <w:color w:val="auto"/>
                <w:lang w:val="en-US" w:eastAsia="zh-CN"/>
              </w:rPr>
              <w:t>≤3.0</w:t>
            </w:r>
          </w:p>
        </w:tc>
        <w:tc>
          <w:tcPr>
            <w:tcW w:w="1272" w:type="dxa"/>
            <w:noWrap w:val="0"/>
            <w:tcMar>
              <w:left w:w="0" w:type="dxa"/>
              <w:right w:w="0" w:type="dxa"/>
            </w:tcMar>
            <w:vAlign w:val="center"/>
          </w:tcPr>
          <w:p w14:paraId="3DDDBA73">
            <w:pPr>
              <w:pStyle w:val="26"/>
              <w:bidi w:val="0"/>
              <w:rPr>
                <w:color w:val="auto"/>
                <w:lang w:val="en-US" w:eastAsia="zh-CN"/>
              </w:rPr>
            </w:pPr>
            <w:r>
              <w:rPr>
                <w:color w:val="auto"/>
                <w:lang w:val="en-US" w:eastAsia="zh-CN"/>
              </w:rPr>
              <w:t>≤10</w:t>
            </w:r>
          </w:p>
        </w:tc>
        <w:tc>
          <w:tcPr>
            <w:tcW w:w="1203" w:type="dxa"/>
            <w:noWrap w:val="0"/>
            <w:tcMar>
              <w:left w:w="0" w:type="dxa"/>
              <w:right w:w="0" w:type="dxa"/>
            </w:tcMar>
            <w:vAlign w:val="center"/>
          </w:tcPr>
          <w:p w14:paraId="2C83A964">
            <w:pPr>
              <w:pStyle w:val="26"/>
              <w:bidi w:val="0"/>
              <w:rPr>
                <w:color w:val="auto"/>
                <w:lang w:val="en-US" w:eastAsia="zh-CN"/>
              </w:rPr>
            </w:pPr>
            <w:r>
              <w:rPr>
                <w:color w:val="auto"/>
                <w:lang w:val="en-US" w:eastAsia="zh-CN"/>
              </w:rPr>
              <w:t>&gt;10</w:t>
            </w:r>
          </w:p>
        </w:tc>
      </w:tr>
      <w:tr w14:paraId="438F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5407B16E">
            <w:pPr>
              <w:pStyle w:val="26"/>
              <w:bidi w:val="0"/>
              <w:rPr>
                <w:color w:val="auto"/>
                <w:lang w:val="en-US" w:eastAsia="zh-CN"/>
              </w:rPr>
            </w:pPr>
            <w:r>
              <w:rPr>
                <w:color w:val="auto"/>
                <w:lang w:val="en-US" w:eastAsia="zh-CN"/>
              </w:rPr>
              <w:t>3</w:t>
            </w:r>
          </w:p>
        </w:tc>
        <w:tc>
          <w:tcPr>
            <w:tcW w:w="2169" w:type="dxa"/>
            <w:noWrap w:val="0"/>
            <w:tcMar>
              <w:left w:w="0" w:type="dxa"/>
              <w:right w:w="0" w:type="dxa"/>
            </w:tcMar>
            <w:vAlign w:val="center"/>
          </w:tcPr>
          <w:p w14:paraId="5435B321">
            <w:pPr>
              <w:pStyle w:val="26"/>
              <w:bidi w:val="0"/>
              <w:rPr>
                <w:color w:val="auto"/>
                <w:lang w:val="en-US" w:eastAsia="zh-CN"/>
              </w:rPr>
            </w:pPr>
            <w:r>
              <w:rPr>
                <w:color w:val="auto"/>
                <w:lang w:val="en-US" w:eastAsia="zh-CN"/>
              </w:rPr>
              <w:t>氨氮</w:t>
            </w:r>
          </w:p>
        </w:tc>
        <w:tc>
          <w:tcPr>
            <w:tcW w:w="1052" w:type="dxa"/>
            <w:noWrap w:val="0"/>
            <w:tcMar>
              <w:left w:w="0" w:type="dxa"/>
              <w:right w:w="0" w:type="dxa"/>
            </w:tcMar>
            <w:vAlign w:val="center"/>
          </w:tcPr>
          <w:p w14:paraId="0E960BD4">
            <w:pPr>
              <w:pStyle w:val="26"/>
              <w:bidi w:val="0"/>
              <w:rPr>
                <w:color w:val="auto"/>
                <w:lang w:val="en-US" w:eastAsia="zh-CN"/>
              </w:rPr>
            </w:pPr>
            <w:r>
              <w:rPr>
                <w:color w:val="auto"/>
                <w:lang w:val="en-US" w:eastAsia="zh-CN"/>
              </w:rPr>
              <w:t>≤0.02</w:t>
            </w:r>
          </w:p>
        </w:tc>
        <w:tc>
          <w:tcPr>
            <w:tcW w:w="1022" w:type="dxa"/>
            <w:noWrap w:val="0"/>
            <w:tcMar>
              <w:left w:w="0" w:type="dxa"/>
              <w:right w:w="0" w:type="dxa"/>
            </w:tcMar>
            <w:vAlign w:val="center"/>
          </w:tcPr>
          <w:p w14:paraId="1578E6C1">
            <w:pPr>
              <w:pStyle w:val="26"/>
              <w:bidi w:val="0"/>
              <w:rPr>
                <w:color w:val="auto"/>
                <w:lang w:val="en-US" w:eastAsia="zh-CN"/>
              </w:rPr>
            </w:pPr>
            <w:r>
              <w:rPr>
                <w:color w:val="auto"/>
                <w:lang w:val="en-US" w:eastAsia="zh-CN"/>
              </w:rPr>
              <w:t>≤0.1</w:t>
            </w:r>
          </w:p>
        </w:tc>
        <w:tc>
          <w:tcPr>
            <w:tcW w:w="896" w:type="dxa"/>
            <w:noWrap w:val="0"/>
            <w:tcMar>
              <w:left w:w="0" w:type="dxa"/>
              <w:right w:w="0" w:type="dxa"/>
            </w:tcMar>
            <w:vAlign w:val="center"/>
          </w:tcPr>
          <w:p w14:paraId="1B620286">
            <w:pPr>
              <w:pStyle w:val="26"/>
              <w:bidi w:val="0"/>
              <w:rPr>
                <w:color w:val="auto"/>
                <w:lang w:val="en-US" w:eastAsia="zh-CN"/>
              </w:rPr>
            </w:pPr>
            <w:r>
              <w:rPr>
                <w:color w:val="auto"/>
                <w:lang w:val="en-US" w:eastAsia="zh-CN"/>
              </w:rPr>
              <w:t>≤0.5</w:t>
            </w:r>
          </w:p>
        </w:tc>
        <w:tc>
          <w:tcPr>
            <w:tcW w:w="1272" w:type="dxa"/>
            <w:noWrap w:val="0"/>
            <w:tcMar>
              <w:left w:w="0" w:type="dxa"/>
              <w:right w:w="0" w:type="dxa"/>
            </w:tcMar>
            <w:vAlign w:val="center"/>
          </w:tcPr>
          <w:p w14:paraId="507BF9BC">
            <w:pPr>
              <w:pStyle w:val="26"/>
              <w:bidi w:val="0"/>
              <w:rPr>
                <w:color w:val="auto"/>
                <w:lang w:val="en-US" w:eastAsia="zh-CN"/>
              </w:rPr>
            </w:pPr>
            <w:r>
              <w:rPr>
                <w:color w:val="auto"/>
                <w:lang w:val="en-US" w:eastAsia="zh-CN"/>
              </w:rPr>
              <w:t>≤1.5</w:t>
            </w:r>
          </w:p>
        </w:tc>
        <w:tc>
          <w:tcPr>
            <w:tcW w:w="1203" w:type="dxa"/>
            <w:noWrap w:val="0"/>
            <w:tcMar>
              <w:left w:w="0" w:type="dxa"/>
              <w:right w:w="0" w:type="dxa"/>
            </w:tcMar>
            <w:vAlign w:val="center"/>
          </w:tcPr>
          <w:p w14:paraId="71BC4741">
            <w:pPr>
              <w:pStyle w:val="26"/>
              <w:bidi w:val="0"/>
              <w:rPr>
                <w:color w:val="auto"/>
                <w:lang w:val="en-US" w:eastAsia="zh-CN"/>
              </w:rPr>
            </w:pPr>
            <w:r>
              <w:rPr>
                <w:color w:val="auto"/>
                <w:lang w:val="en-US" w:eastAsia="zh-CN"/>
              </w:rPr>
              <w:t>＞1.5</w:t>
            </w:r>
          </w:p>
        </w:tc>
      </w:tr>
      <w:tr w14:paraId="5084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24F0BF17">
            <w:pPr>
              <w:pStyle w:val="26"/>
              <w:bidi w:val="0"/>
              <w:rPr>
                <w:color w:val="auto"/>
                <w:lang w:val="en-US" w:eastAsia="zh-CN"/>
              </w:rPr>
            </w:pPr>
            <w:r>
              <w:rPr>
                <w:color w:val="auto"/>
                <w:lang w:val="en-US" w:eastAsia="zh-CN"/>
              </w:rPr>
              <w:t>4</w:t>
            </w:r>
          </w:p>
        </w:tc>
        <w:tc>
          <w:tcPr>
            <w:tcW w:w="2169" w:type="dxa"/>
            <w:noWrap w:val="0"/>
            <w:tcMar>
              <w:left w:w="0" w:type="dxa"/>
              <w:right w:w="0" w:type="dxa"/>
            </w:tcMar>
            <w:vAlign w:val="center"/>
          </w:tcPr>
          <w:p w14:paraId="3B5D5040">
            <w:pPr>
              <w:pStyle w:val="26"/>
              <w:bidi w:val="0"/>
              <w:rPr>
                <w:color w:val="auto"/>
                <w:lang w:val="en-US" w:eastAsia="zh-CN"/>
              </w:rPr>
            </w:pPr>
            <w:r>
              <w:rPr>
                <w:color w:val="auto"/>
                <w:lang w:val="en-US" w:eastAsia="zh-CN"/>
              </w:rPr>
              <w:t>总硬度（以CaCO3计）</w:t>
            </w:r>
          </w:p>
        </w:tc>
        <w:tc>
          <w:tcPr>
            <w:tcW w:w="1052" w:type="dxa"/>
            <w:noWrap w:val="0"/>
            <w:tcMar>
              <w:left w:w="0" w:type="dxa"/>
              <w:right w:w="0" w:type="dxa"/>
            </w:tcMar>
            <w:vAlign w:val="center"/>
          </w:tcPr>
          <w:p w14:paraId="4B4CDFC5">
            <w:pPr>
              <w:pStyle w:val="26"/>
              <w:bidi w:val="0"/>
              <w:rPr>
                <w:color w:val="auto"/>
                <w:lang w:val="en-US" w:eastAsia="zh-CN"/>
              </w:rPr>
            </w:pPr>
            <w:r>
              <w:rPr>
                <w:color w:val="auto"/>
                <w:lang w:val="en-US" w:eastAsia="zh-CN"/>
              </w:rPr>
              <w:t>≤150</w:t>
            </w:r>
          </w:p>
        </w:tc>
        <w:tc>
          <w:tcPr>
            <w:tcW w:w="1022" w:type="dxa"/>
            <w:noWrap w:val="0"/>
            <w:tcMar>
              <w:left w:w="0" w:type="dxa"/>
              <w:right w:w="0" w:type="dxa"/>
            </w:tcMar>
            <w:vAlign w:val="center"/>
          </w:tcPr>
          <w:p w14:paraId="607ED530">
            <w:pPr>
              <w:pStyle w:val="26"/>
              <w:bidi w:val="0"/>
              <w:rPr>
                <w:color w:val="auto"/>
                <w:lang w:val="en-US" w:eastAsia="zh-CN"/>
              </w:rPr>
            </w:pPr>
            <w:r>
              <w:rPr>
                <w:color w:val="auto"/>
                <w:lang w:val="en-US" w:eastAsia="zh-CN"/>
              </w:rPr>
              <w:t>≤300</w:t>
            </w:r>
          </w:p>
        </w:tc>
        <w:tc>
          <w:tcPr>
            <w:tcW w:w="896" w:type="dxa"/>
            <w:noWrap w:val="0"/>
            <w:tcMar>
              <w:left w:w="0" w:type="dxa"/>
              <w:right w:w="0" w:type="dxa"/>
            </w:tcMar>
            <w:vAlign w:val="center"/>
          </w:tcPr>
          <w:p w14:paraId="60222470">
            <w:pPr>
              <w:pStyle w:val="26"/>
              <w:bidi w:val="0"/>
              <w:rPr>
                <w:color w:val="auto"/>
                <w:lang w:val="en-US" w:eastAsia="zh-CN"/>
              </w:rPr>
            </w:pPr>
            <w:r>
              <w:rPr>
                <w:color w:val="auto"/>
                <w:lang w:val="en-US" w:eastAsia="zh-CN"/>
              </w:rPr>
              <w:t>≤450</w:t>
            </w:r>
          </w:p>
        </w:tc>
        <w:tc>
          <w:tcPr>
            <w:tcW w:w="1272" w:type="dxa"/>
            <w:noWrap w:val="0"/>
            <w:tcMar>
              <w:left w:w="0" w:type="dxa"/>
              <w:right w:w="0" w:type="dxa"/>
            </w:tcMar>
            <w:vAlign w:val="center"/>
          </w:tcPr>
          <w:p w14:paraId="464870D0">
            <w:pPr>
              <w:pStyle w:val="26"/>
              <w:bidi w:val="0"/>
              <w:rPr>
                <w:color w:val="auto"/>
                <w:lang w:val="en-US" w:eastAsia="zh-CN"/>
              </w:rPr>
            </w:pPr>
            <w:r>
              <w:rPr>
                <w:color w:val="auto"/>
                <w:lang w:val="en-US" w:eastAsia="zh-CN"/>
              </w:rPr>
              <w:t>≤650</w:t>
            </w:r>
          </w:p>
        </w:tc>
        <w:tc>
          <w:tcPr>
            <w:tcW w:w="1203" w:type="dxa"/>
            <w:noWrap w:val="0"/>
            <w:tcMar>
              <w:left w:w="0" w:type="dxa"/>
              <w:right w:w="0" w:type="dxa"/>
            </w:tcMar>
            <w:vAlign w:val="center"/>
          </w:tcPr>
          <w:p w14:paraId="164604B3">
            <w:pPr>
              <w:pStyle w:val="26"/>
              <w:bidi w:val="0"/>
              <w:rPr>
                <w:color w:val="auto"/>
                <w:lang w:val="en-US" w:eastAsia="zh-CN"/>
              </w:rPr>
            </w:pPr>
            <w:r>
              <w:rPr>
                <w:color w:val="auto"/>
                <w:lang w:val="en-US" w:eastAsia="zh-CN"/>
              </w:rPr>
              <w:t>＞650</w:t>
            </w:r>
          </w:p>
        </w:tc>
      </w:tr>
      <w:tr w14:paraId="6083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3F6AD5E7">
            <w:pPr>
              <w:pStyle w:val="26"/>
              <w:bidi w:val="0"/>
              <w:rPr>
                <w:color w:val="auto"/>
                <w:lang w:val="en-US" w:eastAsia="zh-CN"/>
              </w:rPr>
            </w:pPr>
            <w:r>
              <w:rPr>
                <w:color w:val="auto"/>
                <w:lang w:val="en-US" w:eastAsia="zh-CN"/>
              </w:rPr>
              <w:t>5</w:t>
            </w:r>
          </w:p>
        </w:tc>
        <w:tc>
          <w:tcPr>
            <w:tcW w:w="2169" w:type="dxa"/>
            <w:noWrap w:val="0"/>
            <w:tcMar>
              <w:left w:w="0" w:type="dxa"/>
              <w:right w:w="0" w:type="dxa"/>
            </w:tcMar>
            <w:vAlign w:val="center"/>
          </w:tcPr>
          <w:p w14:paraId="7DF6FAA3">
            <w:pPr>
              <w:pStyle w:val="26"/>
              <w:bidi w:val="0"/>
              <w:rPr>
                <w:rFonts w:hint="eastAsia"/>
                <w:color w:val="auto"/>
                <w:lang w:val="en-US" w:eastAsia="zh-CN"/>
              </w:rPr>
            </w:pPr>
            <w:r>
              <w:rPr>
                <w:color w:val="auto"/>
                <w:lang w:val="en-US" w:eastAsia="zh-CN"/>
              </w:rPr>
              <w:t>溶解性总固体</w:t>
            </w:r>
            <w:r>
              <w:rPr>
                <w:rFonts w:hint="eastAsia"/>
                <w:color w:val="auto"/>
                <w:lang w:val="en-US" w:eastAsia="zh-CN"/>
              </w:rPr>
              <w:t>（</w:t>
            </w:r>
            <w:r>
              <w:rPr>
                <w:color w:val="auto"/>
                <w:lang w:val="en-US" w:eastAsia="zh-CN"/>
              </w:rPr>
              <w:t>mg/L</w:t>
            </w:r>
            <w:r>
              <w:rPr>
                <w:rFonts w:hint="eastAsia"/>
                <w:color w:val="auto"/>
                <w:lang w:val="en-US" w:eastAsia="zh-CN"/>
              </w:rPr>
              <w:t>）</w:t>
            </w:r>
          </w:p>
        </w:tc>
        <w:tc>
          <w:tcPr>
            <w:tcW w:w="1052" w:type="dxa"/>
            <w:noWrap w:val="0"/>
            <w:tcMar>
              <w:left w:w="0" w:type="dxa"/>
              <w:right w:w="0" w:type="dxa"/>
            </w:tcMar>
            <w:vAlign w:val="center"/>
          </w:tcPr>
          <w:p w14:paraId="6926C88E">
            <w:pPr>
              <w:pStyle w:val="26"/>
              <w:bidi w:val="0"/>
              <w:rPr>
                <w:color w:val="auto"/>
                <w:lang w:val="en-US" w:eastAsia="zh-CN"/>
              </w:rPr>
            </w:pPr>
            <w:r>
              <w:rPr>
                <w:color w:val="auto"/>
                <w:lang w:val="en-US" w:eastAsia="zh-CN"/>
              </w:rPr>
              <w:t>≤300</w:t>
            </w:r>
          </w:p>
        </w:tc>
        <w:tc>
          <w:tcPr>
            <w:tcW w:w="1022" w:type="dxa"/>
            <w:noWrap w:val="0"/>
            <w:tcMar>
              <w:left w:w="0" w:type="dxa"/>
              <w:right w:w="0" w:type="dxa"/>
            </w:tcMar>
            <w:vAlign w:val="center"/>
          </w:tcPr>
          <w:p w14:paraId="359E05B9">
            <w:pPr>
              <w:pStyle w:val="26"/>
              <w:bidi w:val="0"/>
              <w:rPr>
                <w:color w:val="auto"/>
                <w:lang w:val="en-US" w:eastAsia="zh-CN"/>
              </w:rPr>
            </w:pPr>
            <w:r>
              <w:rPr>
                <w:color w:val="auto"/>
                <w:lang w:val="en-US" w:eastAsia="zh-CN"/>
              </w:rPr>
              <w:t>≤500</w:t>
            </w:r>
          </w:p>
        </w:tc>
        <w:tc>
          <w:tcPr>
            <w:tcW w:w="896" w:type="dxa"/>
            <w:noWrap w:val="0"/>
            <w:tcMar>
              <w:left w:w="0" w:type="dxa"/>
              <w:right w:w="0" w:type="dxa"/>
            </w:tcMar>
            <w:vAlign w:val="center"/>
          </w:tcPr>
          <w:p w14:paraId="47F5C312">
            <w:pPr>
              <w:pStyle w:val="26"/>
              <w:bidi w:val="0"/>
              <w:rPr>
                <w:color w:val="auto"/>
                <w:lang w:val="en-US" w:eastAsia="zh-CN"/>
              </w:rPr>
            </w:pPr>
            <w:r>
              <w:rPr>
                <w:color w:val="auto"/>
                <w:lang w:val="en-US" w:eastAsia="zh-CN"/>
              </w:rPr>
              <w:t>≤1000</w:t>
            </w:r>
          </w:p>
        </w:tc>
        <w:tc>
          <w:tcPr>
            <w:tcW w:w="1272" w:type="dxa"/>
            <w:noWrap w:val="0"/>
            <w:tcMar>
              <w:left w:w="0" w:type="dxa"/>
              <w:right w:w="0" w:type="dxa"/>
            </w:tcMar>
            <w:vAlign w:val="center"/>
          </w:tcPr>
          <w:p w14:paraId="3720784F">
            <w:pPr>
              <w:pStyle w:val="26"/>
              <w:bidi w:val="0"/>
              <w:rPr>
                <w:color w:val="auto"/>
                <w:lang w:val="en-US" w:eastAsia="zh-CN"/>
              </w:rPr>
            </w:pPr>
            <w:r>
              <w:rPr>
                <w:color w:val="auto"/>
                <w:lang w:val="en-US" w:eastAsia="zh-CN"/>
              </w:rPr>
              <w:t>≤2000</w:t>
            </w:r>
          </w:p>
        </w:tc>
        <w:tc>
          <w:tcPr>
            <w:tcW w:w="1203" w:type="dxa"/>
            <w:noWrap w:val="0"/>
            <w:tcMar>
              <w:left w:w="0" w:type="dxa"/>
              <w:right w:w="0" w:type="dxa"/>
            </w:tcMar>
            <w:vAlign w:val="center"/>
          </w:tcPr>
          <w:p w14:paraId="3C3A3E6A">
            <w:pPr>
              <w:pStyle w:val="26"/>
              <w:bidi w:val="0"/>
              <w:rPr>
                <w:color w:val="auto"/>
                <w:lang w:val="en-US" w:eastAsia="zh-CN"/>
              </w:rPr>
            </w:pPr>
            <w:r>
              <w:rPr>
                <w:color w:val="auto"/>
                <w:lang w:val="en-US" w:eastAsia="zh-CN"/>
              </w:rPr>
              <w:t>＞2000</w:t>
            </w:r>
          </w:p>
        </w:tc>
      </w:tr>
      <w:tr w14:paraId="5587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4D86C8B5">
            <w:pPr>
              <w:pStyle w:val="26"/>
              <w:bidi w:val="0"/>
              <w:rPr>
                <w:color w:val="auto"/>
                <w:lang w:val="en-US" w:eastAsia="zh-CN"/>
              </w:rPr>
            </w:pPr>
            <w:r>
              <w:rPr>
                <w:color w:val="auto"/>
                <w:lang w:val="en-US" w:eastAsia="zh-CN"/>
              </w:rPr>
              <w:t>6</w:t>
            </w:r>
          </w:p>
        </w:tc>
        <w:tc>
          <w:tcPr>
            <w:tcW w:w="2169" w:type="dxa"/>
            <w:noWrap w:val="0"/>
            <w:tcMar>
              <w:left w:w="0" w:type="dxa"/>
              <w:right w:w="0" w:type="dxa"/>
            </w:tcMar>
            <w:vAlign w:val="center"/>
          </w:tcPr>
          <w:p w14:paraId="5B81C08D">
            <w:pPr>
              <w:pStyle w:val="26"/>
              <w:bidi w:val="0"/>
              <w:rPr>
                <w:color w:val="auto"/>
                <w:lang w:val="en-US" w:eastAsia="zh-CN"/>
              </w:rPr>
            </w:pPr>
            <w:r>
              <w:rPr>
                <w:color w:val="auto"/>
                <w:lang w:val="en-US" w:eastAsia="zh-CN"/>
              </w:rPr>
              <w:t>氯化物</w:t>
            </w:r>
          </w:p>
        </w:tc>
        <w:tc>
          <w:tcPr>
            <w:tcW w:w="1052" w:type="dxa"/>
            <w:noWrap w:val="0"/>
            <w:tcMar>
              <w:left w:w="0" w:type="dxa"/>
              <w:right w:w="0" w:type="dxa"/>
            </w:tcMar>
            <w:vAlign w:val="center"/>
          </w:tcPr>
          <w:p w14:paraId="0E4FCE30">
            <w:pPr>
              <w:pStyle w:val="26"/>
              <w:bidi w:val="0"/>
              <w:rPr>
                <w:color w:val="auto"/>
                <w:lang w:val="en-US" w:eastAsia="zh-CN"/>
              </w:rPr>
            </w:pPr>
            <w:r>
              <w:rPr>
                <w:color w:val="auto"/>
                <w:lang w:val="en-US" w:eastAsia="zh-CN"/>
              </w:rPr>
              <w:t>≤50</w:t>
            </w:r>
          </w:p>
        </w:tc>
        <w:tc>
          <w:tcPr>
            <w:tcW w:w="1022" w:type="dxa"/>
            <w:noWrap w:val="0"/>
            <w:tcMar>
              <w:left w:w="0" w:type="dxa"/>
              <w:right w:w="0" w:type="dxa"/>
            </w:tcMar>
            <w:vAlign w:val="center"/>
          </w:tcPr>
          <w:p w14:paraId="791A9BF3">
            <w:pPr>
              <w:pStyle w:val="26"/>
              <w:bidi w:val="0"/>
              <w:rPr>
                <w:color w:val="auto"/>
                <w:lang w:val="en-US" w:eastAsia="zh-CN"/>
              </w:rPr>
            </w:pPr>
            <w:r>
              <w:rPr>
                <w:color w:val="auto"/>
                <w:lang w:val="en-US" w:eastAsia="zh-CN"/>
              </w:rPr>
              <w:t>≤150</w:t>
            </w:r>
          </w:p>
        </w:tc>
        <w:tc>
          <w:tcPr>
            <w:tcW w:w="896" w:type="dxa"/>
            <w:noWrap w:val="0"/>
            <w:tcMar>
              <w:left w:w="0" w:type="dxa"/>
              <w:right w:w="0" w:type="dxa"/>
            </w:tcMar>
            <w:vAlign w:val="center"/>
          </w:tcPr>
          <w:p w14:paraId="02E0AF40">
            <w:pPr>
              <w:pStyle w:val="26"/>
              <w:bidi w:val="0"/>
              <w:rPr>
                <w:color w:val="auto"/>
                <w:lang w:val="en-US" w:eastAsia="zh-CN"/>
              </w:rPr>
            </w:pPr>
            <w:r>
              <w:rPr>
                <w:color w:val="auto"/>
                <w:lang w:val="en-US" w:eastAsia="zh-CN"/>
              </w:rPr>
              <w:t>≤250</w:t>
            </w:r>
          </w:p>
        </w:tc>
        <w:tc>
          <w:tcPr>
            <w:tcW w:w="1272" w:type="dxa"/>
            <w:noWrap w:val="0"/>
            <w:tcMar>
              <w:left w:w="0" w:type="dxa"/>
              <w:right w:w="0" w:type="dxa"/>
            </w:tcMar>
            <w:vAlign w:val="center"/>
          </w:tcPr>
          <w:p w14:paraId="529242CB">
            <w:pPr>
              <w:pStyle w:val="26"/>
              <w:bidi w:val="0"/>
              <w:rPr>
                <w:color w:val="auto"/>
                <w:lang w:val="en-US" w:eastAsia="zh-CN"/>
              </w:rPr>
            </w:pPr>
            <w:r>
              <w:rPr>
                <w:color w:val="auto"/>
                <w:lang w:val="en-US" w:eastAsia="zh-CN"/>
              </w:rPr>
              <w:t>≤350</w:t>
            </w:r>
          </w:p>
        </w:tc>
        <w:tc>
          <w:tcPr>
            <w:tcW w:w="1203" w:type="dxa"/>
            <w:noWrap w:val="0"/>
            <w:tcMar>
              <w:left w:w="0" w:type="dxa"/>
              <w:right w:w="0" w:type="dxa"/>
            </w:tcMar>
            <w:vAlign w:val="center"/>
          </w:tcPr>
          <w:p w14:paraId="0FCDDC8B">
            <w:pPr>
              <w:pStyle w:val="26"/>
              <w:bidi w:val="0"/>
              <w:rPr>
                <w:color w:val="auto"/>
                <w:lang w:val="en-US" w:eastAsia="zh-CN"/>
              </w:rPr>
            </w:pPr>
            <w:r>
              <w:rPr>
                <w:color w:val="auto"/>
                <w:lang w:val="en-US" w:eastAsia="zh-CN"/>
              </w:rPr>
              <w:t>＞350</w:t>
            </w:r>
          </w:p>
        </w:tc>
      </w:tr>
      <w:tr w14:paraId="2902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64305562">
            <w:pPr>
              <w:pStyle w:val="26"/>
              <w:bidi w:val="0"/>
              <w:rPr>
                <w:color w:val="auto"/>
                <w:lang w:val="en-US" w:eastAsia="zh-CN"/>
              </w:rPr>
            </w:pPr>
            <w:r>
              <w:rPr>
                <w:color w:val="auto"/>
                <w:lang w:val="en-US" w:eastAsia="zh-CN"/>
              </w:rPr>
              <w:t>7</w:t>
            </w:r>
          </w:p>
        </w:tc>
        <w:tc>
          <w:tcPr>
            <w:tcW w:w="2169" w:type="dxa"/>
            <w:noWrap w:val="0"/>
            <w:tcMar>
              <w:left w:w="0" w:type="dxa"/>
              <w:right w:w="0" w:type="dxa"/>
            </w:tcMar>
            <w:vAlign w:val="center"/>
          </w:tcPr>
          <w:p w14:paraId="10B3C01B">
            <w:pPr>
              <w:pStyle w:val="26"/>
              <w:bidi w:val="0"/>
              <w:rPr>
                <w:color w:val="auto"/>
                <w:lang w:val="en-US" w:eastAsia="zh-CN"/>
              </w:rPr>
            </w:pPr>
            <w:r>
              <w:rPr>
                <w:color w:val="auto"/>
                <w:lang w:val="en-US" w:eastAsia="zh-CN"/>
              </w:rPr>
              <w:t>硝酸盐</w:t>
            </w:r>
          </w:p>
        </w:tc>
        <w:tc>
          <w:tcPr>
            <w:tcW w:w="1052" w:type="dxa"/>
            <w:noWrap w:val="0"/>
            <w:tcMar>
              <w:left w:w="0" w:type="dxa"/>
              <w:right w:w="0" w:type="dxa"/>
            </w:tcMar>
            <w:vAlign w:val="center"/>
          </w:tcPr>
          <w:p w14:paraId="4E4302D1">
            <w:pPr>
              <w:pStyle w:val="26"/>
              <w:bidi w:val="0"/>
              <w:rPr>
                <w:color w:val="auto"/>
                <w:lang w:val="en-US" w:eastAsia="zh-CN"/>
              </w:rPr>
            </w:pPr>
            <w:r>
              <w:rPr>
                <w:color w:val="auto"/>
                <w:lang w:val="en-US" w:eastAsia="zh-CN"/>
              </w:rPr>
              <w:t>≤2.0</w:t>
            </w:r>
          </w:p>
        </w:tc>
        <w:tc>
          <w:tcPr>
            <w:tcW w:w="1022" w:type="dxa"/>
            <w:noWrap w:val="0"/>
            <w:tcMar>
              <w:left w:w="0" w:type="dxa"/>
              <w:right w:w="0" w:type="dxa"/>
            </w:tcMar>
            <w:vAlign w:val="center"/>
          </w:tcPr>
          <w:p w14:paraId="4D4F0103">
            <w:pPr>
              <w:pStyle w:val="26"/>
              <w:bidi w:val="0"/>
              <w:rPr>
                <w:color w:val="auto"/>
                <w:lang w:val="en-US" w:eastAsia="zh-CN"/>
              </w:rPr>
            </w:pPr>
            <w:r>
              <w:rPr>
                <w:color w:val="auto"/>
                <w:lang w:val="en-US" w:eastAsia="zh-CN"/>
              </w:rPr>
              <w:t>≤5.0</w:t>
            </w:r>
          </w:p>
        </w:tc>
        <w:tc>
          <w:tcPr>
            <w:tcW w:w="896" w:type="dxa"/>
            <w:noWrap w:val="0"/>
            <w:tcMar>
              <w:left w:w="0" w:type="dxa"/>
              <w:right w:w="0" w:type="dxa"/>
            </w:tcMar>
            <w:vAlign w:val="center"/>
          </w:tcPr>
          <w:p w14:paraId="4D973DD4">
            <w:pPr>
              <w:pStyle w:val="26"/>
              <w:bidi w:val="0"/>
              <w:rPr>
                <w:color w:val="auto"/>
                <w:lang w:val="en-US" w:eastAsia="zh-CN"/>
              </w:rPr>
            </w:pPr>
            <w:r>
              <w:rPr>
                <w:color w:val="auto"/>
                <w:lang w:val="en-US" w:eastAsia="zh-CN"/>
              </w:rPr>
              <w:t>≤20</w:t>
            </w:r>
          </w:p>
        </w:tc>
        <w:tc>
          <w:tcPr>
            <w:tcW w:w="1272" w:type="dxa"/>
            <w:noWrap w:val="0"/>
            <w:tcMar>
              <w:left w:w="0" w:type="dxa"/>
              <w:right w:w="0" w:type="dxa"/>
            </w:tcMar>
            <w:vAlign w:val="center"/>
          </w:tcPr>
          <w:p w14:paraId="07125502">
            <w:pPr>
              <w:pStyle w:val="26"/>
              <w:bidi w:val="0"/>
              <w:rPr>
                <w:color w:val="auto"/>
                <w:lang w:val="en-US" w:eastAsia="zh-CN"/>
              </w:rPr>
            </w:pPr>
            <w:r>
              <w:rPr>
                <w:color w:val="auto"/>
                <w:lang w:val="en-US" w:eastAsia="zh-CN"/>
              </w:rPr>
              <w:t>≤30</w:t>
            </w:r>
          </w:p>
        </w:tc>
        <w:tc>
          <w:tcPr>
            <w:tcW w:w="1203" w:type="dxa"/>
            <w:noWrap w:val="0"/>
            <w:tcMar>
              <w:left w:w="0" w:type="dxa"/>
              <w:right w:w="0" w:type="dxa"/>
            </w:tcMar>
            <w:vAlign w:val="center"/>
          </w:tcPr>
          <w:p w14:paraId="752B089A">
            <w:pPr>
              <w:pStyle w:val="26"/>
              <w:bidi w:val="0"/>
              <w:rPr>
                <w:color w:val="auto"/>
                <w:lang w:val="en-US" w:eastAsia="zh-CN"/>
              </w:rPr>
            </w:pPr>
            <w:r>
              <w:rPr>
                <w:color w:val="auto"/>
                <w:lang w:val="en-US" w:eastAsia="zh-CN"/>
              </w:rPr>
              <w:t>＞30</w:t>
            </w:r>
          </w:p>
        </w:tc>
      </w:tr>
      <w:tr w14:paraId="23B0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D054967">
            <w:pPr>
              <w:pStyle w:val="26"/>
              <w:bidi w:val="0"/>
              <w:rPr>
                <w:color w:val="auto"/>
                <w:lang w:val="en-US" w:eastAsia="zh-CN"/>
              </w:rPr>
            </w:pPr>
            <w:r>
              <w:rPr>
                <w:color w:val="auto"/>
                <w:lang w:val="en-US" w:eastAsia="zh-CN"/>
              </w:rPr>
              <w:t>8</w:t>
            </w:r>
          </w:p>
        </w:tc>
        <w:tc>
          <w:tcPr>
            <w:tcW w:w="2169" w:type="dxa"/>
            <w:noWrap w:val="0"/>
            <w:tcMar>
              <w:left w:w="0" w:type="dxa"/>
              <w:right w:w="0" w:type="dxa"/>
            </w:tcMar>
            <w:vAlign w:val="center"/>
          </w:tcPr>
          <w:p w14:paraId="17ED6256">
            <w:pPr>
              <w:pStyle w:val="26"/>
              <w:bidi w:val="0"/>
              <w:rPr>
                <w:color w:val="auto"/>
                <w:lang w:val="en-US" w:eastAsia="zh-CN"/>
              </w:rPr>
            </w:pPr>
            <w:r>
              <w:rPr>
                <w:color w:val="auto"/>
                <w:lang w:val="en-US" w:eastAsia="zh-CN"/>
              </w:rPr>
              <w:t>亚硝酸盐</w:t>
            </w:r>
          </w:p>
        </w:tc>
        <w:tc>
          <w:tcPr>
            <w:tcW w:w="1052" w:type="dxa"/>
            <w:noWrap w:val="0"/>
            <w:tcMar>
              <w:left w:w="0" w:type="dxa"/>
              <w:right w:w="0" w:type="dxa"/>
            </w:tcMar>
            <w:vAlign w:val="center"/>
          </w:tcPr>
          <w:p w14:paraId="3AFE3E3A">
            <w:pPr>
              <w:pStyle w:val="26"/>
              <w:bidi w:val="0"/>
              <w:rPr>
                <w:color w:val="auto"/>
                <w:lang w:val="en-US" w:eastAsia="zh-CN"/>
              </w:rPr>
            </w:pPr>
            <w:r>
              <w:rPr>
                <w:color w:val="auto"/>
                <w:lang w:val="en-US" w:eastAsia="zh-CN"/>
              </w:rPr>
              <w:t>≤0.01</w:t>
            </w:r>
          </w:p>
        </w:tc>
        <w:tc>
          <w:tcPr>
            <w:tcW w:w="1022" w:type="dxa"/>
            <w:noWrap w:val="0"/>
            <w:tcMar>
              <w:left w:w="0" w:type="dxa"/>
              <w:right w:w="0" w:type="dxa"/>
            </w:tcMar>
            <w:vAlign w:val="center"/>
          </w:tcPr>
          <w:p w14:paraId="569D11FE">
            <w:pPr>
              <w:pStyle w:val="26"/>
              <w:bidi w:val="0"/>
              <w:rPr>
                <w:color w:val="auto"/>
                <w:lang w:val="en-US" w:eastAsia="zh-CN"/>
              </w:rPr>
            </w:pPr>
            <w:r>
              <w:rPr>
                <w:color w:val="auto"/>
                <w:lang w:val="en-US" w:eastAsia="zh-CN"/>
              </w:rPr>
              <w:t>≤0.1</w:t>
            </w:r>
          </w:p>
        </w:tc>
        <w:tc>
          <w:tcPr>
            <w:tcW w:w="896" w:type="dxa"/>
            <w:noWrap w:val="0"/>
            <w:tcMar>
              <w:left w:w="0" w:type="dxa"/>
              <w:right w:w="0" w:type="dxa"/>
            </w:tcMar>
            <w:vAlign w:val="center"/>
          </w:tcPr>
          <w:p w14:paraId="3B7E5336">
            <w:pPr>
              <w:pStyle w:val="26"/>
              <w:bidi w:val="0"/>
              <w:rPr>
                <w:color w:val="auto"/>
                <w:lang w:val="en-US" w:eastAsia="zh-CN"/>
              </w:rPr>
            </w:pPr>
            <w:r>
              <w:rPr>
                <w:color w:val="auto"/>
                <w:lang w:val="en-US" w:eastAsia="zh-CN"/>
              </w:rPr>
              <w:t>≤1.00</w:t>
            </w:r>
          </w:p>
        </w:tc>
        <w:tc>
          <w:tcPr>
            <w:tcW w:w="1272" w:type="dxa"/>
            <w:noWrap w:val="0"/>
            <w:tcMar>
              <w:left w:w="0" w:type="dxa"/>
              <w:right w:w="0" w:type="dxa"/>
            </w:tcMar>
            <w:vAlign w:val="center"/>
          </w:tcPr>
          <w:p w14:paraId="7D821590">
            <w:pPr>
              <w:pStyle w:val="26"/>
              <w:bidi w:val="0"/>
              <w:rPr>
                <w:color w:val="auto"/>
                <w:lang w:val="en-US" w:eastAsia="zh-CN"/>
              </w:rPr>
            </w:pPr>
            <w:r>
              <w:rPr>
                <w:color w:val="auto"/>
                <w:lang w:val="en-US" w:eastAsia="zh-CN"/>
              </w:rPr>
              <w:t>≤4.80</w:t>
            </w:r>
          </w:p>
        </w:tc>
        <w:tc>
          <w:tcPr>
            <w:tcW w:w="1203" w:type="dxa"/>
            <w:noWrap w:val="0"/>
            <w:tcMar>
              <w:left w:w="0" w:type="dxa"/>
              <w:right w:w="0" w:type="dxa"/>
            </w:tcMar>
            <w:vAlign w:val="center"/>
          </w:tcPr>
          <w:p w14:paraId="1D359289">
            <w:pPr>
              <w:pStyle w:val="26"/>
              <w:bidi w:val="0"/>
              <w:rPr>
                <w:color w:val="auto"/>
                <w:lang w:val="en-US" w:eastAsia="zh-CN"/>
              </w:rPr>
            </w:pPr>
            <w:r>
              <w:rPr>
                <w:color w:val="auto"/>
                <w:lang w:val="en-US" w:eastAsia="zh-CN"/>
              </w:rPr>
              <w:t>＞4.80</w:t>
            </w:r>
          </w:p>
        </w:tc>
      </w:tr>
      <w:tr w14:paraId="4E85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C29D750">
            <w:pPr>
              <w:pStyle w:val="26"/>
              <w:bidi w:val="0"/>
              <w:rPr>
                <w:color w:val="auto"/>
                <w:lang w:val="en-US" w:eastAsia="zh-CN"/>
              </w:rPr>
            </w:pPr>
            <w:r>
              <w:rPr>
                <w:color w:val="auto"/>
                <w:lang w:val="en-US" w:eastAsia="zh-CN"/>
              </w:rPr>
              <w:t>9</w:t>
            </w:r>
          </w:p>
        </w:tc>
        <w:tc>
          <w:tcPr>
            <w:tcW w:w="2169" w:type="dxa"/>
            <w:noWrap w:val="0"/>
            <w:tcMar>
              <w:left w:w="0" w:type="dxa"/>
              <w:right w:w="0" w:type="dxa"/>
            </w:tcMar>
            <w:vAlign w:val="center"/>
          </w:tcPr>
          <w:p w14:paraId="124F41BA">
            <w:pPr>
              <w:pStyle w:val="26"/>
              <w:bidi w:val="0"/>
              <w:rPr>
                <w:color w:val="auto"/>
                <w:lang w:val="en-US" w:eastAsia="zh-CN"/>
              </w:rPr>
            </w:pPr>
            <w:r>
              <w:rPr>
                <w:color w:val="auto"/>
                <w:lang w:val="en-US" w:eastAsia="zh-CN"/>
              </w:rPr>
              <w:t>挥发性酚类</w:t>
            </w:r>
          </w:p>
        </w:tc>
        <w:tc>
          <w:tcPr>
            <w:tcW w:w="1052" w:type="dxa"/>
            <w:noWrap w:val="0"/>
            <w:tcMar>
              <w:left w:w="0" w:type="dxa"/>
              <w:right w:w="0" w:type="dxa"/>
            </w:tcMar>
            <w:vAlign w:val="center"/>
          </w:tcPr>
          <w:p w14:paraId="0463A7EA">
            <w:pPr>
              <w:pStyle w:val="26"/>
              <w:bidi w:val="0"/>
              <w:rPr>
                <w:color w:val="auto"/>
                <w:lang w:val="en-US" w:eastAsia="zh-CN"/>
              </w:rPr>
            </w:pPr>
            <w:r>
              <w:rPr>
                <w:color w:val="auto"/>
                <w:lang w:val="en-US" w:eastAsia="zh-CN"/>
              </w:rPr>
              <w:t>≤0.001</w:t>
            </w:r>
          </w:p>
        </w:tc>
        <w:tc>
          <w:tcPr>
            <w:tcW w:w="1022" w:type="dxa"/>
            <w:noWrap w:val="0"/>
            <w:tcMar>
              <w:left w:w="0" w:type="dxa"/>
              <w:right w:w="0" w:type="dxa"/>
            </w:tcMar>
            <w:vAlign w:val="center"/>
          </w:tcPr>
          <w:p w14:paraId="7DF28460">
            <w:pPr>
              <w:pStyle w:val="26"/>
              <w:bidi w:val="0"/>
              <w:rPr>
                <w:color w:val="auto"/>
                <w:lang w:val="en-US" w:eastAsia="zh-CN"/>
              </w:rPr>
            </w:pPr>
            <w:r>
              <w:rPr>
                <w:color w:val="auto"/>
                <w:lang w:val="en-US" w:eastAsia="zh-CN"/>
              </w:rPr>
              <w:t>≤0.001</w:t>
            </w:r>
          </w:p>
        </w:tc>
        <w:tc>
          <w:tcPr>
            <w:tcW w:w="896" w:type="dxa"/>
            <w:noWrap w:val="0"/>
            <w:tcMar>
              <w:left w:w="0" w:type="dxa"/>
              <w:right w:w="0" w:type="dxa"/>
            </w:tcMar>
            <w:vAlign w:val="center"/>
          </w:tcPr>
          <w:p w14:paraId="0761F5F0">
            <w:pPr>
              <w:pStyle w:val="26"/>
              <w:bidi w:val="0"/>
              <w:rPr>
                <w:color w:val="auto"/>
                <w:lang w:val="en-US" w:eastAsia="zh-CN"/>
              </w:rPr>
            </w:pPr>
            <w:r>
              <w:rPr>
                <w:color w:val="auto"/>
                <w:lang w:val="en-US" w:eastAsia="zh-CN"/>
              </w:rPr>
              <w:t>≤0.002</w:t>
            </w:r>
          </w:p>
        </w:tc>
        <w:tc>
          <w:tcPr>
            <w:tcW w:w="1272" w:type="dxa"/>
            <w:noWrap w:val="0"/>
            <w:tcMar>
              <w:left w:w="0" w:type="dxa"/>
              <w:right w:w="0" w:type="dxa"/>
            </w:tcMar>
            <w:vAlign w:val="center"/>
          </w:tcPr>
          <w:p w14:paraId="53C51167">
            <w:pPr>
              <w:pStyle w:val="26"/>
              <w:bidi w:val="0"/>
              <w:rPr>
                <w:color w:val="auto"/>
                <w:lang w:val="en-US" w:eastAsia="zh-CN"/>
              </w:rPr>
            </w:pPr>
            <w:r>
              <w:rPr>
                <w:color w:val="auto"/>
                <w:lang w:val="en-US" w:eastAsia="zh-CN"/>
              </w:rPr>
              <w:t>≤0.01</w:t>
            </w:r>
          </w:p>
        </w:tc>
        <w:tc>
          <w:tcPr>
            <w:tcW w:w="1203" w:type="dxa"/>
            <w:noWrap w:val="0"/>
            <w:tcMar>
              <w:left w:w="0" w:type="dxa"/>
              <w:right w:w="0" w:type="dxa"/>
            </w:tcMar>
            <w:vAlign w:val="center"/>
          </w:tcPr>
          <w:p w14:paraId="67A8F5C6">
            <w:pPr>
              <w:pStyle w:val="26"/>
              <w:bidi w:val="0"/>
              <w:rPr>
                <w:color w:val="auto"/>
                <w:lang w:val="en-US" w:eastAsia="zh-CN"/>
              </w:rPr>
            </w:pPr>
            <w:r>
              <w:rPr>
                <w:color w:val="auto"/>
                <w:lang w:val="en-US" w:eastAsia="zh-CN"/>
              </w:rPr>
              <w:t>＞0.01</w:t>
            </w:r>
          </w:p>
        </w:tc>
      </w:tr>
      <w:tr w14:paraId="432A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16107B7">
            <w:pPr>
              <w:pStyle w:val="26"/>
              <w:bidi w:val="0"/>
              <w:rPr>
                <w:color w:val="auto"/>
                <w:lang w:val="en-US" w:eastAsia="zh-CN"/>
              </w:rPr>
            </w:pPr>
            <w:r>
              <w:rPr>
                <w:color w:val="auto"/>
                <w:lang w:val="en-US" w:eastAsia="zh-CN"/>
              </w:rPr>
              <w:t>10</w:t>
            </w:r>
          </w:p>
        </w:tc>
        <w:tc>
          <w:tcPr>
            <w:tcW w:w="2169" w:type="dxa"/>
            <w:noWrap w:val="0"/>
            <w:tcMar>
              <w:left w:w="0" w:type="dxa"/>
              <w:right w:w="0" w:type="dxa"/>
            </w:tcMar>
            <w:vAlign w:val="center"/>
          </w:tcPr>
          <w:p w14:paraId="2318FC5F">
            <w:pPr>
              <w:pStyle w:val="26"/>
              <w:bidi w:val="0"/>
              <w:rPr>
                <w:color w:val="auto"/>
                <w:lang w:val="en-US" w:eastAsia="zh-CN"/>
              </w:rPr>
            </w:pPr>
            <w:r>
              <w:rPr>
                <w:color w:val="auto"/>
                <w:lang w:val="en-US" w:eastAsia="zh-CN"/>
              </w:rPr>
              <w:t>氰化物</w:t>
            </w:r>
          </w:p>
        </w:tc>
        <w:tc>
          <w:tcPr>
            <w:tcW w:w="1052" w:type="dxa"/>
            <w:noWrap w:val="0"/>
            <w:tcMar>
              <w:left w:w="0" w:type="dxa"/>
              <w:right w:w="0" w:type="dxa"/>
            </w:tcMar>
            <w:vAlign w:val="center"/>
          </w:tcPr>
          <w:p w14:paraId="2CEBA0E4">
            <w:pPr>
              <w:pStyle w:val="26"/>
              <w:bidi w:val="0"/>
              <w:rPr>
                <w:color w:val="auto"/>
                <w:lang w:val="en-US" w:eastAsia="zh-CN"/>
              </w:rPr>
            </w:pPr>
            <w:r>
              <w:rPr>
                <w:color w:val="auto"/>
                <w:lang w:val="en-US" w:eastAsia="zh-CN"/>
              </w:rPr>
              <w:t>≤0.001</w:t>
            </w:r>
          </w:p>
        </w:tc>
        <w:tc>
          <w:tcPr>
            <w:tcW w:w="1022" w:type="dxa"/>
            <w:noWrap w:val="0"/>
            <w:tcMar>
              <w:left w:w="0" w:type="dxa"/>
              <w:right w:w="0" w:type="dxa"/>
            </w:tcMar>
            <w:vAlign w:val="center"/>
          </w:tcPr>
          <w:p w14:paraId="711E782B">
            <w:pPr>
              <w:pStyle w:val="26"/>
              <w:bidi w:val="0"/>
              <w:rPr>
                <w:color w:val="auto"/>
                <w:lang w:val="en-US" w:eastAsia="zh-CN"/>
              </w:rPr>
            </w:pPr>
            <w:r>
              <w:rPr>
                <w:color w:val="auto"/>
                <w:lang w:val="en-US" w:eastAsia="zh-CN"/>
              </w:rPr>
              <w:t>≤0.01</w:t>
            </w:r>
          </w:p>
        </w:tc>
        <w:tc>
          <w:tcPr>
            <w:tcW w:w="896" w:type="dxa"/>
            <w:noWrap w:val="0"/>
            <w:tcMar>
              <w:left w:w="0" w:type="dxa"/>
              <w:right w:w="0" w:type="dxa"/>
            </w:tcMar>
            <w:vAlign w:val="center"/>
          </w:tcPr>
          <w:p w14:paraId="0B55E524">
            <w:pPr>
              <w:pStyle w:val="26"/>
              <w:bidi w:val="0"/>
              <w:rPr>
                <w:color w:val="auto"/>
                <w:lang w:val="en-US" w:eastAsia="zh-CN"/>
              </w:rPr>
            </w:pPr>
            <w:r>
              <w:rPr>
                <w:color w:val="auto"/>
                <w:lang w:val="en-US" w:eastAsia="zh-CN"/>
              </w:rPr>
              <w:t>≤0.05</w:t>
            </w:r>
          </w:p>
        </w:tc>
        <w:tc>
          <w:tcPr>
            <w:tcW w:w="1272" w:type="dxa"/>
            <w:noWrap w:val="0"/>
            <w:tcMar>
              <w:left w:w="0" w:type="dxa"/>
              <w:right w:w="0" w:type="dxa"/>
            </w:tcMar>
            <w:vAlign w:val="center"/>
          </w:tcPr>
          <w:p w14:paraId="5B681047">
            <w:pPr>
              <w:pStyle w:val="26"/>
              <w:bidi w:val="0"/>
              <w:rPr>
                <w:color w:val="auto"/>
                <w:lang w:val="en-US" w:eastAsia="zh-CN"/>
              </w:rPr>
            </w:pPr>
            <w:r>
              <w:rPr>
                <w:color w:val="auto"/>
                <w:lang w:val="en-US" w:eastAsia="zh-CN"/>
              </w:rPr>
              <w:t>≤0.1</w:t>
            </w:r>
          </w:p>
        </w:tc>
        <w:tc>
          <w:tcPr>
            <w:tcW w:w="1203" w:type="dxa"/>
            <w:noWrap w:val="0"/>
            <w:tcMar>
              <w:left w:w="0" w:type="dxa"/>
              <w:right w:w="0" w:type="dxa"/>
            </w:tcMar>
            <w:vAlign w:val="center"/>
          </w:tcPr>
          <w:p w14:paraId="4E4603A1">
            <w:pPr>
              <w:pStyle w:val="26"/>
              <w:bidi w:val="0"/>
              <w:rPr>
                <w:color w:val="auto"/>
                <w:lang w:val="en-US" w:eastAsia="zh-CN"/>
              </w:rPr>
            </w:pPr>
            <w:r>
              <w:rPr>
                <w:color w:val="auto"/>
                <w:lang w:val="en-US" w:eastAsia="zh-CN"/>
              </w:rPr>
              <w:t>＞0.1</w:t>
            </w:r>
          </w:p>
        </w:tc>
      </w:tr>
      <w:tr w14:paraId="2667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532920B9">
            <w:pPr>
              <w:pStyle w:val="26"/>
              <w:bidi w:val="0"/>
              <w:rPr>
                <w:color w:val="auto"/>
                <w:lang w:val="en-US" w:eastAsia="zh-CN"/>
              </w:rPr>
            </w:pPr>
            <w:r>
              <w:rPr>
                <w:color w:val="auto"/>
                <w:lang w:val="en-US" w:eastAsia="zh-CN"/>
              </w:rPr>
              <w:t>11</w:t>
            </w:r>
          </w:p>
        </w:tc>
        <w:tc>
          <w:tcPr>
            <w:tcW w:w="2169" w:type="dxa"/>
            <w:noWrap w:val="0"/>
            <w:tcMar>
              <w:left w:w="0" w:type="dxa"/>
              <w:right w:w="0" w:type="dxa"/>
            </w:tcMar>
            <w:vAlign w:val="center"/>
          </w:tcPr>
          <w:p w14:paraId="384CC423">
            <w:pPr>
              <w:pStyle w:val="26"/>
              <w:bidi w:val="0"/>
              <w:rPr>
                <w:color w:val="auto"/>
                <w:lang w:val="en-US" w:eastAsia="zh-CN"/>
              </w:rPr>
            </w:pPr>
            <w:r>
              <w:rPr>
                <w:color w:val="auto"/>
                <w:lang w:val="en-US" w:eastAsia="zh-CN"/>
              </w:rPr>
              <w:t>氟化物</w:t>
            </w:r>
          </w:p>
        </w:tc>
        <w:tc>
          <w:tcPr>
            <w:tcW w:w="1052" w:type="dxa"/>
            <w:noWrap w:val="0"/>
            <w:tcMar>
              <w:left w:w="0" w:type="dxa"/>
              <w:right w:w="0" w:type="dxa"/>
            </w:tcMar>
            <w:vAlign w:val="center"/>
          </w:tcPr>
          <w:p w14:paraId="37A9F956">
            <w:pPr>
              <w:pStyle w:val="26"/>
              <w:bidi w:val="0"/>
              <w:rPr>
                <w:color w:val="auto"/>
                <w:lang w:val="en-US" w:eastAsia="zh-CN"/>
              </w:rPr>
            </w:pPr>
            <w:r>
              <w:rPr>
                <w:color w:val="auto"/>
                <w:lang w:val="en-US" w:eastAsia="zh-CN"/>
              </w:rPr>
              <w:t>≤1.0</w:t>
            </w:r>
          </w:p>
        </w:tc>
        <w:tc>
          <w:tcPr>
            <w:tcW w:w="1022" w:type="dxa"/>
            <w:noWrap w:val="0"/>
            <w:tcMar>
              <w:left w:w="0" w:type="dxa"/>
              <w:right w:w="0" w:type="dxa"/>
            </w:tcMar>
            <w:vAlign w:val="center"/>
          </w:tcPr>
          <w:p w14:paraId="6CAD3904">
            <w:pPr>
              <w:pStyle w:val="26"/>
              <w:bidi w:val="0"/>
              <w:rPr>
                <w:color w:val="auto"/>
                <w:lang w:val="en-US" w:eastAsia="zh-CN"/>
              </w:rPr>
            </w:pPr>
            <w:r>
              <w:rPr>
                <w:color w:val="auto"/>
                <w:lang w:val="en-US" w:eastAsia="zh-CN"/>
              </w:rPr>
              <w:t>≤1.0</w:t>
            </w:r>
          </w:p>
        </w:tc>
        <w:tc>
          <w:tcPr>
            <w:tcW w:w="896" w:type="dxa"/>
            <w:noWrap w:val="0"/>
            <w:tcMar>
              <w:left w:w="0" w:type="dxa"/>
              <w:right w:w="0" w:type="dxa"/>
            </w:tcMar>
            <w:vAlign w:val="center"/>
          </w:tcPr>
          <w:p w14:paraId="35433E2A">
            <w:pPr>
              <w:pStyle w:val="26"/>
              <w:bidi w:val="0"/>
              <w:rPr>
                <w:color w:val="auto"/>
                <w:lang w:val="en-US" w:eastAsia="zh-CN"/>
              </w:rPr>
            </w:pPr>
            <w:r>
              <w:rPr>
                <w:color w:val="auto"/>
                <w:lang w:val="en-US" w:eastAsia="zh-CN"/>
              </w:rPr>
              <w:t>≤1.0</w:t>
            </w:r>
          </w:p>
        </w:tc>
        <w:tc>
          <w:tcPr>
            <w:tcW w:w="1272" w:type="dxa"/>
            <w:noWrap w:val="0"/>
            <w:tcMar>
              <w:left w:w="0" w:type="dxa"/>
              <w:right w:w="0" w:type="dxa"/>
            </w:tcMar>
            <w:vAlign w:val="center"/>
          </w:tcPr>
          <w:p w14:paraId="2896AA90">
            <w:pPr>
              <w:pStyle w:val="26"/>
              <w:bidi w:val="0"/>
              <w:rPr>
                <w:color w:val="auto"/>
                <w:lang w:val="en-US" w:eastAsia="zh-CN"/>
              </w:rPr>
            </w:pPr>
            <w:r>
              <w:rPr>
                <w:color w:val="auto"/>
                <w:lang w:val="en-US" w:eastAsia="zh-CN"/>
              </w:rPr>
              <w:t>≤2.0</w:t>
            </w:r>
          </w:p>
        </w:tc>
        <w:tc>
          <w:tcPr>
            <w:tcW w:w="1203" w:type="dxa"/>
            <w:noWrap w:val="0"/>
            <w:tcMar>
              <w:left w:w="0" w:type="dxa"/>
              <w:right w:w="0" w:type="dxa"/>
            </w:tcMar>
            <w:vAlign w:val="center"/>
          </w:tcPr>
          <w:p w14:paraId="5A34CE60">
            <w:pPr>
              <w:pStyle w:val="26"/>
              <w:bidi w:val="0"/>
              <w:rPr>
                <w:color w:val="auto"/>
                <w:lang w:val="en-US" w:eastAsia="zh-CN"/>
              </w:rPr>
            </w:pPr>
            <w:r>
              <w:rPr>
                <w:color w:val="auto"/>
                <w:lang w:val="en-US" w:eastAsia="zh-CN"/>
              </w:rPr>
              <w:t>＞2.0</w:t>
            </w:r>
          </w:p>
        </w:tc>
      </w:tr>
      <w:tr w14:paraId="43DB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7B423657">
            <w:pPr>
              <w:pStyle w:val="26"/>
              <w:bidi w:val="0"/>
              <w:rPr>
                <w:color w:val="auto"/>
                <w:lang w:val="en-US" w:eastAsia="zh-CN"/>
              </w:rPr>
            </w:pPr>
            <w:r>
              <w:rPr>
                <w:color w:val="auto"/>
                <w:lang w:val="en-US" w:eastAsia="zh-CN"/>
              </w:rPr>
              <w:t>12</w:t>
            </w:r>
          </w:p>
        </w:tc>
        <w:tc>
          <w:tcPr>
            <w:tcW w:w="2169" w:type="dxa"/>
            <w:noWrap w:val="0"/>
            <w:tcMar>
              <w:left w:w="0" w:type="dxa"/>
              <w:right w:w="0" w:type="dxa"/>
            </w:tcMar>
            <w:vAlign w:val="center"/>
          </w:tcPr>
          <w:p w14:paraId="2E1BACAB">
            <w:pPr>
              <w:pStyle w:val="26"/>
              <w:bidi w:val="0"/>
              <w:rPr>
                <w:color w:val="auto"/>
                <w:lang w:val="en-US" w:eastAsia="zh-CN"/>
              </w:rPr>
            </w:pPr>
            <w:r>
              <w:rPr>
                <w:color w:val="auto"/>
                <w:lang w:val="en-US" w:eastAsia="zh-CN"/>
              </w:rPr>
              <w:t>砷</w:t>
            </w:r>
          </w:p>
        </w:tc>
        <w:tc>
          <w:tcPr>
            <w:tcW w:w="1052" w:type="dxa"/>
            <w:noWrap w:val="0"/>
            <w:tcMar>
              <w:left w:w="0" w:type="dxa"/>
              <w:right w:w="0" w:type="dxa"/>
            </w:tcMar>
            <w:vAlign w:val="center"/>
          </w:tcPr>
          <w:p w14:paraId="0605AB26">
            <w:pPr>
              <w:pStyle w:val="26"/>
              <w:bidi w:val="0"/>
              <w:rPr>
                <w:color w:val="auto"/>
                <w:lang w:val="en-US" w:eastAsia="zh-CN"/>
              </w:rPr>
            </w:pPr>
            <w:r>
              <w:rPr>
                <w:color w:val="auto"/>
                <w:lang w:val="en-US" w:eastAsia="zh-CN"/>
              </w:rPr>
              <w:t>≤0.001</w:t>
            </w:r>
          </w:p>
        </w:tc>
        <w:tc>
          <w:tcPr>
            <w:tcW w:w="1022" w:type="dxa"/>
            <w:noWrap w:val="0"/>
            <w:tcMar>
              <w:left w:w="0" w:type="dxa"/>
              <w:right w:w="0" w:type="dxa"/>
            </w:tcMar>
            <w:vAlign w:val="center"/>
          </w:tcPr>
          <w:p w14:paraId="0934BB61">
            <w:pPr>
              <w:pStyle w:val="26"/>
              <w:bidi w:val="0"/>
              <w:rPr>
                <w:color w:val="auto"/>
                <w:lang w:val="en-US" w:eastAsia="zh-CN"/>
              </w:rPr>
            </w:pPr>
            <w:r>
              <w:rPr>
                <w:color w:val="auto"/>
                <w:lang w:val="en-US" w:eastAsia="zh-CN"/>
              </w:rPr>
              <w:t>≤0.001</w:t>
            </w:r>
          </w:p>
        </w:tc>
        <w:tc>
          <w:tcPr>
            <w:tcW w:w="896" w:type="dxa"/>
            <w:noWrap w:val="0"/>
            <w:tcMar>
              <w:left w:w="0" w:type="dxa"/>
              <w:right w:w="0" w:type="dxa"/>
            </w:tcMar>
            <w:vAlign w:val="center"/>
          </w:tcPr>
          <w:p w14:paraId="291AD586">
            <w:pPr>
              <w:pStyle w:val="26"/>
              <w:bidi w:val="0"/>
              <w:rPr>
                <w:color w:val="auto"/>
                <w:lang w:val="en-US" w:eastAsia="zh-CN"/>
              </w:rPr>
            </w:pPr>
            <w:r>
              <w:rPr>
                <w:color w:val="auto"/>
                <w:lang w:val="en-US" w:eastAsia="zh-CN"/>
              </w:rPr>
              <w:t>≤0.01</w:t>
            </w:r>
          </w:p>
        </w:tc>
        <w:tc>
          <w:tcPr>
            <w:tcW w:w="1272" w:type="dxa"/>
            <w:noWrap w:val="0"/>
            <w:tcMar>
              <w:left w:w="0" w:type="dxa"/>
              <w:right w:w="0" w:type="dxa"/>
            </w:tcMar>
            <w:vAlign w:val="center"/>
          </w:tcPr>
          <w:p w14:paraId="510FEF7A">
            <w:pPr>
              <w:pStyle w:val="26"/>
              <w:bidi w:val="0"/>
              <w:rPr>
                <w:color w:val="auto"/>
                <w:lang w:val="en-US" w:eastAsia="zh-CN"/>
              </w:rPr>
            </w:pPr>
            <w:r>
              <w:rPr>
                <w:color w:val="auto"/>
                <w:lang w:val="en-US" w:eastAsia="zh-CN"/>
              </w:rPr>
              <w:t>≤0.05</w:t>
            </w:r>
          </w:p>
        </w:tc>
        <w:tc>
          <w:tcPr>
            <w:tcW w:w="1203" w:type="dxa"/>
            <w:noWrap w:val="0"/>
            <w:tcMar>
              <w:left w:w="0" w:type="dxa"/>
              <w:right w:w="0" w:type="dxa"/>
            </w:tcMar>
            <w:vAlign w:val="center"/>
          </w:tcPr>
          <w:p w14:paraId="36CB452B">
            <w:pPr>
              <w:pStyle w:val="26"/>
              <w:bidi w:val="0"/>
              <w:rPr>
                <w:color w:val="auto"/>
                <w:lang w:val="en-US" w:eastAsia="zh-CN"/>
              </w:rPr>
            </w:pPr>
            <w:r>
              <w:rPr>
                <w:color w:val="auto"/>
                <w:lang w:val="en-US" w:eastAsia="zh-CN"/>
              </w:rPr>
              <w:t>＞0.05</w:t>
            </w:r>
          </w:p>
        </w:tc>
      </w:tr>
      <w:tr w14:paraId="2D4F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2A5FBA3D">
            <w:pPr>
              <w:pStyle w:val="26"/>
              <w:bidi w:val="0"/>
              <w:rPr>
                <w:color w:val="auto"/>
                <w:lang w:val="en-US" w:eastAsia="zh-CN"/>
              </w:rPr>
            </w:pPr>
            <w:r>
              <w:rPr>
                <w:color w:val="auto"/>
                <w:lang w:val="en-US" w:eastAsia="zh-CN"/>
              </w:rPr>
              <w:t>13</w:t>
            </w:r>
          </w:p>
        </w:tc>
        <w:tc>
          <w:tcPr>
            <w:tcW w:w="2169" w:type="dxa"/>
            <w:noWrap w:val="0"/>
            <w:tcMar>
              <w:left w:w="0" w:type="dxa"/>
              <w:right w:w="0" w:type="dxa"/>
            </w:tcMar>
            <w:vAlign w:val="center"/>
          </w:tcPr>
          <w:p w14:paraId="7538911E">
            <w:pPr>
              <w:pStyle w:val="26"/>
              <w:bidi w:val="0"/>
              <w:rPr>
                <w:color w:val="auto"/>
                <w:lang w:val="en-US" w:eastAsia="zh-CN"/>
              </w:rPr>
            </w:pPr>
            <w:r>
              <w:rPr>
                <w:color w:val="auto"/>
                <w:lang w:val="en-US" w:eastAsia="zh-CN"/>
              </w:rPr>
              <w:t>汞</w:t>
            </w:r>
          </w:p>
        </w:tc>
        <w:tc>
          <w:tcPr>
            <w:tcW w:w="1052" w:type="dxa"/>
            <w:noWrap w:val="0"/>
            <w:tcMar>
              <w:left w:w="0" w:type="dxa"/>
              <w:right w:w="0" w:type="dxa"/>
            </w:tcMar>
            <w:vAlign w:val="center"/>
          </w:tcPr>
          <w:p w14:paraId="058DE5FF">
            <w:pPr>
              <w:pStyle w:val="26"/>
              <w:bidi w:val="0"/>
              <w:rPr>
                <w:color w:val="auto"/>
                <w:lang w:val="en-US" w:eastAsia="zh-CN"/>
              </w:rPr>
            </w:pPr>
            <w:r>
              <w:rPr>
                <w:color w:val="auto"/>
                <w:lang w:val="en-US" w:eastAsia="zh-CN"/>
              </w:rPr>
              <w:t>≤0.0001</w:t>
            </w:r>
          </w:p>
        </w:tc>
        <w:tc>
          <w:tcPr>
            <w:tcW w:w="1022" w:type="dxa"/>
            <w:noWrap w:val="0"/>
            <w:tcMar>
              <w:left w:w="0" w:type="dxa"/>
              <w:right w:w="0" w:type="dxa"/>
            </w:tcMar>
            <w:vAlign w:val="center"/>
          </w:tcPr>
          <w:p w14:paraId="75AE33E5">
            <w:pPr>
              <w:pStyle w:val="26"/>
              <w:bidi w:val="0"/>
              <w:rPr>
                <w:color w:val="auto"/>
                <w:lang w:val="en-US" w:eastAsia="zh-CN"/>
              </w:rPr>
            </w:pPr>
            <w:r>
              <w:rPr>
                <w:color w:val="auto"/>
                <w:lang w:val="en-US" w:eastAsia="zh-CN"/>
              </w:rPr>
              <w:t>≤0.0001</w:t>
            </w:r>
          </w:p>
        </w:tc>
        <w:tc>
          <w:tcPr>
            <w:tcW w:w="896" w:type="dxa"/>
            <w:noWrap w:val="0"/>
            <w:tcMar>
              <w:left w:w="0" w:type="dxa"/>
              <w:right w:w="0" w:type="dxa"/>
            </w:tcMar>
            <w:vAlign w:val="center"/>
          </w:tcPr>
          <w:p w14:paraId="5D49104F">
            <w:pPr>
              <w:pStyle w:val="26"/>
              <w:bidi w:val="0"/>
              <w:rPr>
                <w:color w:val="auto"/>
                <w:lang w:val="en-US" w:eastAsia="zh-CN"/>
              </w:rPr>
            </w:pPr>
            <w:r>
              <w:rPr>
                <w:color w:val="auto"/>
                <w:lang w:val="en-US" w:eastAsia="zh-CN"/>
              </w:rPr>
              <w:t>≤0.001</w:t>
            </w:r>
          </w:p>
        </w:tc>
        <w:tc>
          <w:tcPr>
            <w:tcW w:w="1272" w:type="dxa"/>
            <w:noWrap w:val="0"/>
            <w:tcMar>
              <w:left w:w="0" w:type="dxa"/>
              <w:right w:w="0" w:type="dxa"/>
            </w:tcMar>
            <w:vAlign w:val="center"/>
          </w:tcPr>
          <w:p w14:paraId="1E57A328">
            <w:pPr>
              <w:pStyle w:val="26"/>
              <w:bidi w:val="0"/>
              <w:rPr>
                <w:color w:val="auto"/>
                <w:lang w:val="en-US" w:eastAsia="zh-CN"/>
              </w:rPr>
            </w:pPr>
            <w:r>
              <w:rPr>
                <w:color w:val="auto"/>
                <w:lang w:val="en-US" w:eastAsia="zh-CN"/>
              </w:rPr>
              <w:t>≤0.002</w:t>
            </w:r>
          </w:p>
        </w:tc>
        <w:tc>
          <w:tcPr>
            <w:tcW w:w="1203" w:type="dxa"/>
            <w:noWrap w:val="0"/>
            <w:tcMar>
              <w:left w:w="0" w:type="dxa"/>
              <w:right w:w="0" w:type="dxa"/>
            </w:tcMar>
            <w:vAlign w:val="center"/>
          </w:tcPr>
          <w:p w14:paraId="3DD5E774">
            <w:pPr>
              <w:pStyle w:val="26"/>
              <w:bidi w:val="0"/>
              <w:rPr>
                <w:color w:val="auto"/>
                <w:lang w:val="en-US" w:eastAsia="zh-CN"/>
              </w:rPr>
            </w:pPr>
            <w:r>
              <w:rPr>
                <w:color w:val="auto"/>
                <w:lang w:val="en-US" w:eastAsia="zh-CN"/>
              </w:rPr>
              <w:t>＞0.002</w:t>
            </w:r>
          </w:p>
        </w:tc>
      </w:tr>
      <w:tr w14:paraId="4259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54543E62">
            <w:pPr>
              <w:pStyle w:val="26"/>
              <w:bidi w:val="0"/>
              <w:rPr>
                <w:color w:val="auto"/>
                <w:lang w:val="en-US" w:eastAsia="zh-CN"/>
              </w:rPr>
            </w:pPr>
            <w:r>
              <w:rPr>
                <w:color w:val="auto"/>
                <w:lang w:val="en-US" w:eastAsia="zh-CN"/>
              </w:rPr>
              <w:t>14</w:t>
            </w:r>
          </w:p>
        </w:tc>
        <w:tc>
          <w:tcPr>
            <w:tcW w:w="2169" w:type="dxa"/>
            <w:noWrap w:val="0"/>
            <w:tcMar>
              <w:left w:w="0" w:type="dxa"/>
              <w:right w:w="0" w:type="dxa"/>
            </w:tcMar>
            <w:vAlign w:val="center"/>
          </w:tcPr>
          <w:p w14:paraId="77152475">
            <w:pPr>
              <w:pStyle w:val="26"/>
              <w:bidi w:val="0"/>
              <w:rPr>
                <w:color w:val="auto"/>
                <w:lang w:val="en-US" w:eastAsia="zh-CN"/>
              </w:rPr>
            </w:pPr>
            <w:r>
              <w:rPr>
                <w:color w:val="auto"/>
                <w:lang w:val="en-US" w:eastAsia="zh-CN"/>
              </w:rPr>
              <w:t>六价铬</w:t>
            </w:r>
          </w:p>
        </w:tc>
        <w:tc>
          <w:tcPr>
            <w:tcW w:w="1052" w:type="dxa"/>
            <w:noWrap w:val="0"/>
            <w:tcMar>
              <w:left w:w="0" w:type="dxa"/>
              <w:right w:w="0" w:type="dxa"/>
            </w:tcMar>
            <w:vAlign w:val="center"/>
          </w:tcPr>
          <w:p w14:paraId="3DB7E6D1">
            <w:pPr>
              <w:pStyle w:val="26"/>
              <w:bidi w:val="0"/>
              <w:rPr>
                <w:color w:val="auto"/>
                <w:lang w:val="en-US" w:eastAsia="zh-CN"/>
              </w:rPr>
            </w:pPr>
            <w:r>
              <w:rPr>
                <w:color w:val="auto"/>
                <w:lang w:val="en-US" w:eastAsia="zh-CN"/>
              </w:rPr>
              <w:t>≤0.005</w:t>
            </w:r>
          </w:p>
        </w:tc>
        <w:tc>
          <w:tcPr>
            <w:tcW w:w="1022" w:type="dxa"/>
            <w:noWrap w:val="0"/>
            <w:tcMar>
              <w:left w:w="0" w:type="dxa"/>
              <w:right w:w="0" w:type="dxa"/>
            </w:tcMar>
            <w:vAlign w:val="center"/>
          </w:tcPr>
          <w:p w14:paraId="648C72D9">
            <w:pPr>
              <w:pStyle w:val="26"/>
              <w:bidi w:val="0"/>
              <w:rPr>
                <w:color w:val="auto"/>
                <w:lang w:val="en-US" w:eastAsia="zh-CN"/>
              </w:rPr>
            </w:pPr>
            <w:r>
              <w:rPr>
                <w:color w:val="auto"/>
                <w:lang w:val="en-US" w:eastAsia="zh-CN"/>
              </w:rPr>
              <w:t>≤0.01</w:t>
            </w:r>
          </w:p>
        </w:tc>
        <w:tc>
          <w:tcPr>
            <w:tcW w:w="896" w:type="dxa"/>
            <w:noWrap w:val="0"/>
            <w:tcMar>
              <w:left w:w="0" w:type="dxa"/>
              <w:right w:w="0" w:type="dxa"/>
            </w:tcMar>
            <w:vAlign w:val="center"/>
          </w:tcPr>
          <w:p w14:paraId="5AE71F42">
            <w:pPr>
              <w:pStyle w:val="26"/>
              <w:bidi w:val="0"/>
              <w:rPr>
                <w:color w:val="auto"/>
                <w:lang w:val="en-US" w:eastAsia="zh-CN"/>
              </w:rPr>
            </w:pPr>
            <w:r>
              <w:rPr>
                <w:color w:val="auto"/>
                <w:lang w:val="en-US" w:eastAsia="zh-CN"/>
              </w:rPr>
              <w:t>≤0.05</w:t>
            </w:r>
          </w:p>
        </w:tc>
        <w:tc>
          <w:tcPr>
            <w:tcW w:w="1272" w:type="dxa"/>
            <w:noWrap w:val="0"/>
            <w:tcMar>
              <w:left w:w="0" w:type="dxa"/>
              <w:right w:w="0" w:type="dxa"/>
            </w:tcMar>
            <w:vAlign w:val="center"/>
          </w:tcPr>
          <w:p w14:paraId="744AB18A">
            <w:pPr>
              <w:pStyle w:val="26"/>
              <w:bidi w:val="0"/>
              <w:rPr>
                <w:color w:val="auto"/>
                <w:lang w:val="en-US" w:eastAsia="zh-CN"/>
              </w:rPr>
            </w:pPr>
            <w:r>
              <w:rPr>
                <w:color w:val="auto"/>
                <w:lang w:val="en-US" w:eastAsia="zh-CN"/>
              </w:rPr>
              <w:t>≤0.1</w:t>
            </w:r>
          </w:p>
        </w:tc>
        <w:tc>
          <w:tcPr>
            <w:tcW w:w="1203" w:type="dxa"/>
            <w:noWrap w:val="0"/>
            <w:tcMar>
              <w:left w:w="0" w:type="dxa"/>
              <w:right w:w="0" w:type="dxa"/>
            </w:tcMar>
            <w:vAlign w:val="center"/>
          </w:tcPr>
          <w:p w14:paraId="6D40A17D">
            <w:pPr>
              <w:pStyle w:val="26"/>
              <w:bidi w:val="0"/>
              <w:rPr>
                <w:color w:val="auto"/>
                <w:lang w:val="en-US" w:eastAsia="zh-CN"/>
              </w:rPr>
            </w:pPr>
            <w:r>
              <w:rPr>
                <w:color w:val="auto"/>
                <w:lang w:val="en-US" w:eastAsia="zh-CN"/>
              </w:rPr>
              <w:t>＞0.1</w:t>
            </w:r>
          </w:p>
        </w:tc>
      </w:tr>
      <w:tr w14:paraId="6179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6789D59A">
            <w:pPr>
              <w:pStyle w:val="26"/>
              <w:bidi w:val="0"/>
              <w:rPr>
                <w:color w:val="auto"/>
                <w:lang w:val="en-US" w:eastAsia="zh-CN"/>
              </w:rPr>
            </w:pPr>
            <w:r>
              <w:rPr>
                <w:color w:val="auto"/>
                <w:lang w:val="en-US" w:eastAsia="zh-CN"/>
              </w:rPr>
              <w:t>15</w:t>
            </w:r>
          </w:p>
        </w:tc>
        <w:tc>
          <w:tcPr>
            <w:tcW w:w="2169" w:type="dxa"/>
            <w:noWrap w:val="0"/>
            <w:tcMar>
              <w:left w:w="0" w:type="dxa"/>
              <w:right w:w="0" w:type="dxa"/>
            </w:tcMar>
            <w:vAlign w:val="center"/>
          </w:tcPr>
          <w:p w14:paraId="70CE96B4">
            <w:pPr>
              <w:pStyle w:val="26"/>
              <w:bidi w:val="0"/>
              <w:rPr>
                <w:color w:val="auto"/>
                <w:lang w:val="en-US" w:eastAsia="zh-CN"/>
              </w:rPr>
            </w:pPr>
            <w:r>
              <w:rPr>
                <w:color w:val="auto"/>
                <w:lang w:val="en-US" w:eastAsia="zh-CN"/>
              </w:rPr>
              <w:t>铅</w:t>
            </w:r>
          </w:p>
        </w:tc>
        <w:tc>
          <w:tcPr>
            <w:tcW w:w="1052" w:type="dxa"/>
            <w:noWrap w:val="0"/>
            <w:tcMar>
              <w:left w:w="0" w:type="dxa"/>
              <w:right w:w="0" w:type="dxa"/>
            </w:tcMar>
            <w:vAlign w:val="center"/>
          </w:tcPr>
          <w:p w14:paraId="7FFC180F">
            <w:pPr>
              <w:pStyle w:val="26"/>
              <w:bidi w:val="0"/>
              <w:rPr>
                <w:color w:val="auto"/>
                <w:lang w:val="en-US" w:eastAsia="zh-CN"/>
              </w:rPr>
            </w:pPr>
            <w:r>
              <w:rPr>
                <w:color w:val="auto"/>
                <w:lang w:val="en-US" w:eastAsia="zh-CN"/>
              </w:rPr>
              <w:t>≤0.005</w:t>
            </w:r>
          </w:p>
        </w:tc>
        <w:tc>
          <w:tcPr>
            <w:tcW w:w="1022" w:type="dxa"/>
            <w:noWrap w:val="0"/>
            <w:tcMar>
              <w:left w:w="0" w:type="dxa"/>
              <w:right w:w="0" w:type="dxa"/>
            </w:tcMar>
            <w:vAlign w:val="center"/>
          </w:tcPr>
          <w:p w14:paraId="3B977359">
            <w:pPr>
              <w:pStyle w:val="26"/>
              <w:bidi w:val="0"/>
              <w:rPr>
                <w:color w:val="auto"/>
                <w:lang w:val="en-US" w:eastAsia="zh-CN"/>
              </w:rPr>
            </w:pPr>
            <w:r>
              <w:rPr>
                <w:color w:val="auto"/>
                <w:lang w:val="en-US" w:eastAsia="zh-CN"/>
              </w:rPr>
              <w:t>≤0.005</w:t>
            </w:r>
          </w:p>
        </w:tc>
        <w:tc>
          <w:tcPr>
            <w:tcW w:w="896" w:type="dxa"/>
            <w:noWrap w:val="0"/>
            <w:tcMar>
              <w:left w:w="0" w:type="dxa"/>
              <w:right w:w="0" w:type="dxa"/>
            </w:tcMar>
            <w:vAlign w:val="center"/>
          </w:tcPr>
          <w:p w14:paraId="36C2A19C">
            <w:pPr>
              <w:pStyle w:val="26"/>
              <w:bidi w:val="0"/>
              <w:rPr>
                <w:color w:val="auto"/>
                <w:lang w:val="en-US" w:eastAsia="zh-CN"/>
              </w:rPr>
            </w:pPr>
            <w:r>
              <w:rPr>
                <w:color w:val="auto"/>
                <w:lang w:val="en-US" w:eastAsia="zh-CN"/>
              </w:rPr>
              <w:t>≤0.01</w:t>
            </w:r>
          </w:p>
        </w:tc>
        <w:tc>
          <w:tcPr>
            <w:tcW w:w="1272" w:type="dxa"/>
            <w:noWrap w:val="0"/>
            <w:tcMar>
              <w:left w:w="0" w:type="dxa"/>
              <w:right w:w="0" w:type="dxa"/>
            </w:tcMar>
            <w:vAlign w:val="center"/>
          </w:tcPr>
          <w:p w14:paraId="7519E538">
            <w:pPr>
              <w:pStyle w:val="26"/>
              <w:bidi w:val="0"/>
              <w:rPr>
                <w:color w:val="auto"/>
                <w:lang w:val="en-US" w:eastAsia="zh-CN"/>
              </w:rPr>
            </w:pPr>
            <w:r>
              <w:rPr>
                <w:color w:val="auto"/>
                <w:lang w:val="en-US" w:eastAsia="zh-CN"/>
              </w:rPr>
              <w:t>≤0.1</w:t>
            </w:r>
          </w:p>
        </w:tc>
        <w:tc>
          <w:tcPr>
            <w:tcW w:w="1203" w:type="dxa"/>
            <w:noWrap w:val="0"/>
            <w:tcMar>
              <w:left w:w="0" w:type="dxa"/>
              <w:right w:w="0" w:type="dxa"/>
            </w:tcMar>
            <w:vAlign w:val="center"/>
          </w:tcPr>
          <w:p w14:paraId="7E075AA5">
            <w:pPr>
              <w:pStyle w:val="26"/>
              <w:bidi w:val="0"/>
              <w:rPr>
                <w:color w:val="auto"/>
                <w:lang w:val="en-US" w:eastAsia="zh-CN"/>
              </w:rPr>
            </w:pPr>
            <w:r>
              <w:rPr>
                <w:color w:val="auto"/>
                <w:lang w:val="en-US" w:eastAsia="zh-CN"/>
              </w:rPr>
              <w:t>＞0.1</w:t>
            </w:r>
          </w:p>
        </w:tc>
      </w:tr>
      <w:tr w14:paraId="0BBD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4A6AAE5F">
            <w:pPr>
              <w:pStyle w:val="26"/>
              <w:bidi w:val="0"/>
              <w:rPr>
                <w:color w:val="auto"/>
                <w:lang w:val="en-US" w:eastAsia="zh-CN"/>
              </w:rPr>
            </w:pPr>
            <w:r>
              <w:rPr>
                <w:color w:val="auto"/>
                <w:lang w:val="en-US" w:eastAsia="zh-CN"/>
              </w:rPr>
              <w:t>16</w:t>
            </w:r>
          </w:p>
        </w:tc>
        <w:tc>
          <w:tcPr>
            <w:tcW w:w="2169" w:type="dxa"/>
            <w:noWrap w:val="0"/>
            <w:tcMar>
              <w:left w:w="0" w:type="dxa"/>
              <w:right w:w="0" w:type="dxa"/>
            </w:tcMar>
            <w:vAlign w:val="center"/>
          </w:tcPr>
          <w:p w14:paraId="205E4D93">
            <w:pPr>
              <w:pStyle w:val="26"/>
              <w:bidi w:val="0"/>
              <w:rPr>
                <w:color w:val="auto"/>
                <w:lang w:val="en-US" w:eastAsia="zh-CN"/>
              </w:rPr>
            </w:pPr>
            <w:r>
              <w:rPr>
                <w:color w:val="auto"/>
                <w:lang w:val="en-US" w:eastAsia="zh-CN"/>
              </w:rPr>
              <w:t>铁</w:t>
            </w:r>
          </w:p>
        </w:tc>
        <w:tc>
          <w:tcPr>
            <w:tcW w:w="1052" w:type="dxa"/>
            <w:noWrap w:val="0"/>
            <w:tcMar>
              <w:left w:w="0" w:type="dxa"/>
              <w:right w:w="0" w:type="dxa"/>
            </w:tcMar>
            <w:vAlign w:val="center"/>
          </w:tcPr>
          <w:p w14:paraId="00BAB869">
            <w:pPr>
              <w:pStyle w:val="26"/>
              <w:bidi w:val="0"/>
              <w:rPr>
                <w:color w:val="auto"/>
                <w:lang w:val="en-US" w:eastAsia="zh-CN"/>
              </w:rPr>
            </w:pPr>
            <w:r>
              <w:rPr>
                <w:color w:val="auto"/>
                <w:lang w:val="en-US" w:eastAsia="zh-CN"/>
              </w:rPr>
              <w:t>≤0.1</w:t>
            </w:r>
          </w:p>
        </w:tc>
        <w:tc>
          <w:tcPr>
            <w:tcW w:w="1022" w:type="dxa"/>
            <w:noWrap w:val="0"/>
            <w:tcMar>
              <w:left w:w="0" w:type="dxa"/>
              <w:right w:w="0" w:type="dxa"/>
            </w:tcMar>
            <w:vAlign w:val="center"/>
          </w:tcPr>
          <w:p w14:paraId="37FDED1E">
            <w:pPr>
              <w:pStyle w:val="26"/>
              <w:bidi w:val="0"/>
              <w:rPr>
                <w:color w:val="auto"/>
                <w:lang w:val="en-US" w:eastAsia="zh-CN"/>
              </w:rPr>
            </w:pPr>
            <w:r>
              <w:rPr>
                <w:color w:val="auto"/>
                <w:lang w:val="en-US" w:eastAsia="zh-CN"/>
              </w:rPr>
              <w:t>≤0.2</w:t>
            </w:r>
          </w:p>
        </w:tc>
        <w:tc>
          <w:tcPr>
            <w:tcW w:w="896" w:type="dxa"/>
            <w:noWrap w:val="0"/>
            <w:tcMar>
              <w:left w:w="0" w:type="dxa"/>
              <w:right w:w="0" w:type="dxa"/>
            </w:tcMar>
            <w:vAlign w:val="center"/>
          </w:tcPr>
          <w:p w14:paraId="2DE1729D">
            <w:pPr>
              <w:pStyle w:val="26"/>
              <w:bidi w:val="0"/>
              <w:rPr>
                <w:color w:val="auto"/>
                <w:lang w:val="en-US" w:eastAsia="zh-CN"/>
              </w:rPr>
            </w:pPr>
            <w:r>
              <w:rPr>
                <w:color w:val="auto"/>
                <w:lang w:val="en-US" w:eastAsia="zh-CN"/>
              </w:rPr>
              <w:t>≤0.3</w:t>
            </w:r>
          </w:p>
        </w:tc>
        <w:tc>
          <w:tcPr>
            <w:tcW w:w="1272" w:type="dxa"/>
            <w:noWrap w:val="0"/>
            <w:tcMar>
              <w:left w:w="0" w:type="dxa"/>
              <w:right w:w="0" w:type="dxa"/>
            </w:tcMar>
            <w:vAlign w:val="center"/>
          </w:tcPr>
          <w:p w14:paraId="3A1F1083">
            <w:pPr>
              <w:pStyle w:val="26"/>
              <w:bidi w:val="0"/>
              <w:rPr>
                <w:color w:val="auto"/>
                <w:lang w:val="en-US" w:eastAsia="zh-CN"/>
              </w:rPr>
            </w:pPr>
            <w:r>
              <w:rPr>
                <w:color w:val="auto"/>
                <w:lang w:val="en-US" w:eastAsia="zh-CN"/>
              </w:rPr>
              <w:t>≤2.0</w:t>
            </w:r>
          </w:p>
        </w:tc>
        <w:tc>
          <w:tcPr>
            <w:tcW w:w="1203" w:type="dxa"/>
            <w:noWrap w:val="0"/>
            <w:tcMar>
              <w:left w:w="0" w:type="dxa"/>
              <w:right w:w="0" w:type="dxa"/>
            </w:tcMar>
            <w:vAlign w:val="center"/>
          </w:tcPr>
          <w:p w14:paraId="4156BEDC">
            <w:pPr>
              <w:pStyle w:val="26"/>
              <w:bidi w:val="0"/>
              <w:rPr>
                <w:color w:val="auto"/>
                <w:lang w:val="en-US" w:eastAsia="zh-CN"/>
              </w:rPr>
            </w:pPr>
            <w:r>
              <w:rPr>
                <w:color w:val="auto"/>
                <w:lang w:val="en-US" w:eastAsia="zh-CN"/>
              </w:rPr>
              <w:t>＞2.0</w:t>
            </w:r>
          </w:p>
        </w:tc>
      </w:tr>
      <w:tr w14:paraId="4818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6854A81F">
            <w:pPr>
              <w:pStyle w:val="26"/>
              <w:bidi w:val="0"/>
              <w:rPr>
                <w:color w:val="auto"/>
                <w:lang w:val="en-US" w:eastAsia="zh-CN"/>
              </w:rPr>
            </w:pPr>
            <w:r>
              <w:rPr>
                <w:color w:val="auto"/>
                <w:lang w:val="en-US" w:eastAsia="zh-CN"/>
              </w:rPr>
              <w:t>17</w:t>
            </w:r>
          </w:p>
        </w:tc>
        <w:tc>
          <w:tcPr>
            <w:tcW w:w="2169" w:type="dxa"/>
            <w:noWrap w:val="0"/>
            <w:tcMar>
              <w:left w:w="0" w:type="dxa"/>
              <w:right w:w="0" w:type="dxa"/>
            </w:tcMar>
            <w:vAlign w:val="center"/>
          </w:tcPr>
          <w:p w14:paraId="0CA255A7">
            <w:pPr>
              <w:pStyle w:val="26"/>
              <w:bidi w:val="0"/>
              <w:rPr>
                <w:color w:val="auto"/>
                <w:lang w:val="en-US" w:eastAsia="zh-CN"/>
              </w:rPr>
            </w:pPr>
            <w:r>
              <w:rPr>
                <w:color w:val="auto"/>
                <w:lang w:val="en-US" w:eastAsia="zh-CN"/>
              </w:rPr>
              <w:t>锰</w:t>
            </w:r>
          </w:p>
        </w:tc>
        <w:tc>
          <w:tcPr>
            <w:tcW w:w="1052" w:type="dxa"/>
            <w:noWrap w:val="0"/>
            <w:tcMar>
              <w:left w:w="0" w:type="dxa"/>
              <w:right w:w="0" w:type="dxa"/>
            </w:tcMar>
            <w:vAlign w:val="center"/>
          </w:tcPr>
          <w:p w14:paraId="087B2200">
            <w:pPr>
              <w:pStyle w:val="26"/>
              <w:bidi w:val="0"/>
              <w:rPr>
                <w:color w:val="auto"/>
                <w:lang w:val="en-US" w:eastAsia="zh-CN"/>
              </w:rPr>
            </w:pPr>
            <w:r>
              <w:rPr>
                <w:color w:val="auto"/>
                <w:lang w:val="en-US" w:eastAsia="zh-CN"/>
              </w:rPr>
              <w:t>≤0.05</w:t>
            </w:r>
          </w:p>
        </w:tc>
        <w:tc>
          <w:tcPr>
            <w:tcW w:w="1022" w:type="dxa"/>
            <w:noWrap w:val="0"/>
            <w:tcMar>
              <w:left w:w="0" w:type="dxa"/>
              <w:right w:w="0" w:type="dxa"/>
            </w:tcMar>
            <w:vAlign w:val="center"/>
          </w:tcPr>
          <w:p w14:paraId="5AD5B3E0">
            <w:pPr>
              <w:pStyle w:val="26"/>
              <w:bidi w:val="0"/>
              <w:rPr>
                <w:color w:val="auto"/>
                <w:lang w:val="en-US" w:eastAsia="zh-CN"/>
              </w:rPr>
            </w:pPr>
            <w:r>
              <w:rPr>
                <w:color w:val="auto"/>
                <w:lang w:val="en-US" w:eastAsia="zh-CN"/>
              </w:rPr>
              <w:t>≤0.05</w:t>
            </w:r>
          </w:p>
        </w:tc>
        <w:tc>
          <w:tcPr>
            <w:tcW w:w="896" w:type="dxa"/>
            <w:noWrap w:val="0"/>
            <w:tcMar>
              <w:left w:w="0" w:type="dxa"/>
              <w:right w:w="0" w:type="dxa"/>
            </w:tcMar>
            <w:vAlign w:val="center"/>
          </w:tcPr>
          <w:p w14:paraId="1AE064F4">
            <w:pPr>
              <w:pStyle w:val="26"/>
              <w:bidi w:val="0"/>
              <w:rPr>
                <w:color w:val="auto"/>
                <w:lang w:val="en-US" w:eastAsia="zh-CN"/>
              </w:rPr>
            </w:pPr>
            <w:r>
              <w:rPr>
                <w:color w:val="auto"/>
                <w:lang w:val="en-US" w:eastAsia="zh-CN"/>
              </w:rPr>
              <w:t>≤0.1</w:t>
            </w:r>
          </w:p>
        </w:tc>
        <w:tc>
          <w:tcPr>
            <w:tcW w:w="1272" w:type="dxa"/>
            <w:noWrap w:val="0"/>
            <w:tcMar>
              <w:left w:w="0" w:type="dxa"/>
              <w:right w:w="0" w:type="dxa"/>
            </w:tcMar>
            <w:vAlign w:val="center"/>
          </w:tcPr>
          <w:p w14:paraId="31EB5119">
            <w:pPr>
              <w:pStyle w:val="26"/>
              <w:bidi w:val="0"/>
              <w:rPr>
                <w:color w:val="auto"/>
                <w:lang w:val="en-US" w:eastAsia="zh-CN"/>
              </w:rPr>
            </w:pPr>
            <w:r>
              <w:rPr>
                <w:color w:val="auto"/>
                <w:lang w:val="en-US" w:eastAsia="zh-CN"/>
              </w:rPr>
              <w:t>≤1.5</w:t>
            </w:r>
          </w:p>
        </w:tc>
        <w:tc>
          <w:tcPr>
            <w:tcW w:w="1203" w:type="dxa"/>
            <w:noWrap w:val="0"/>
            <w:tcMar>
              <w:left w:w="0" w:type="dxa"/>
              <w:right w:w="0" w:type="dxa"/>
            </w:tcMar>
            <w:vAlign w:val="center"/>
          </w:tcPr>
          <w:p w14:paraId="426F4956">
            <w:pPr>
              <w:pStyle w:val="26"/>
              <w:bidi w:val="0"/>
              <w:rPr>
                <w:color w:val="auto"/>
                <w:lang w:val="en-US" w:eastAsia="zh-CN"/>
              </w:rPr>
            </w:pPr>
            <w:r>
              <w:rPr>
                <w:color w:val="auto"/>
                <w:lang w:val="en-US" w:eastAsia="zh-CN"/>
              </w:rPr>
              <w:t>＞1.5</w:t>
            </w:r>
          </w:p>
        </w:tc>
      </w:tr>
      <w:tr w14:paraId="08A1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46D46981">
            <w:pPr>
              <w:pStyle w:val="26"/>
              <w:bidi w:val="0"/>
              <w:rPr>
                <w:color w:val="auto"/>
                <w:lang w:val="en-US" w:eastAsia="zh-CN"/>
              </w:rPr>
            </w:pPr>
            <w:r>
              <w:rPr>
                <w:color w:val="auto"/>
                <w:lang w:val="en-US" w:eastAsia="zh-CN"/>
              </w:rPr>
              <w:t>18</w:t>
            </w:r>
          </w:p>
        </w:tc>
        <w:tc>
          <w:tcPr>
            <w:tcW w:w="2169" w:type="dxa"/>
            <w:noWrap w:val="0"/>
            <w:tcMar>
              <w:left w:w="0" w:type="dxa"/>
              <w:right w:w="0" w:type="dxa"/>
            </w:tcMar>
            <w:vAlign w:val="center"/>
          </w:tcPr>
          <w:p w14:paraId="724B7FA7">
            <w:pPr>
              <w:pStyle w:val="26"/>
              <w:bidi w:val="0"/>
              <w:rPr>
                <w:color w:val="auto"/>
                <w:lang w:val="en-US" w:eastAsia="zh-CN"/>
              </w:rPr>
            </w:pPr>
            <w:r>
              <w:rPr>
                <w:color w:val="auto"/>
                <w:lang w:val="en-US" w:eastAsia="zh-CN"/>
              </w:rPr>
              <w:t>硫酸盐</w:t>
            </w:r>
          </w:p>
        </w:tc>
        <w:tc>
          <w:tcPr>
            <w:tcW w:w="1052" w:type="dxa"/>
            <w:noWrap w:val="0"/>
            <w:tcMar>
              <w:left w:w="0" w:type="dxa"/>
              <w:right w:w="0" w:type="dxa"/>
            </w:tcMar>
            <w:vAlign w:val="center"/>
          </w:tcPr>
          <w:p w14:paraId="32449194">
            <w:pPr>
              <w:pStyle w:val="26"/>
              <w:bidi w:val="0"/>
              <w:rPr>
                <w:color w:val="auto"/>
                <w:lang w:val="en-US" w:eastAsia="zh-CN"/>
              </w:rPr>
            </w:pPr>
            <w:r>
              <w:rPr>
                <w:color w:val="auto"/>
                <w:lang w:val="en-US" w:eastAsia="zh-CN"/>
              </w:rPr>
              <w:t>≤50</w:t>
            </w:r>
          </w:p>
        </w:tc>
        <w:tc>
          <w:tcPr>
            <w:tcW w:w="1022" w:type="dxa"/>
            <w:noWrap w:val="0"/>
            <w:tcMar>
              <w:left w:w="0" w:type="dxa"/>
              <w:right w:w="0" w:type="dxa"/>
            </w:tcMar>
            <w:vAlign w:val="center"/>
          </w:tcPr>
          <w:p w14:paraId="5A3D4A4D">
            <w:pPr>
              <w:pStyle w:val="26"/>
              <w:bidi w:val="0"/>
              <w:rPr>
                <w:color w:val="auto"/>
                <w:lang w:val="en-US" w:eastAsia="zh-CN"/>
              </w:rPr>
            </w:pPr>
            <w:r>
              <w:rPr>
                <w:color w:val="auto"/>
                <w:lang w:val="en-US" w:eastAsia="zh-CN"/>
              </w:rPr>
              <w:t>≤150</w:t>
            </w:r>
          </w:p>
        </w:tc>
        <w:tc>
          <w:tcPr>
            <w:tcW w:w="896" w:type="dxa"/>
            <w:noWrap w:val="0"/>
            <w:tcMar>
              <w:left w:w="0" w:type="dxa"/>
              <w:right w:w="0" w:type="dxa"/>
            </w:tcMar>
            <w:vAlign w:val="center"/>
          </w:tcPr>
          <w:p w14:paraId="63BA690C">
            <w:pPr>
              <w:pStyle w:val="26"/>
              <w:bidi w:val="0"/>
              <w:rPr>
                <w:color w:val="auto"/>
                <w:lang w:val="en-US" w:eastAsia="zh-CN"/>
              </w:rPr>
            </w:pPr>
            <w:r>
              <w:rPr>
                <w:color w:val="auto"/>
                <w:lang w:val="en-US" w:eastAsia="zh-CN"/>
              </w:rPr>
              <w:t>≤250</w:t>
            </w:r>
          </w:p>
        </w:tc>
        <w:tc>
          <w:tcPr>
            <w:tcW w:w="1272" w:type="dxa"/>
            <w:noWrap w:val="0"/>
            <w:tcMar>
              <w:left w:w="0" w:type="dxa"/>
              <w:right w:w="0" w:type="dxa"/>
            </w:tcMar>
            <w:vAlign w:val="center"/>
          </w:tcPr>
          <w:p w14:paraId="5691D63B">
            <w:pPr>
              <w:pStyle w:val="26"/>
              <w:bidi w:val="0"/>
              <w:rPr>
                <w:color w:val="auto"/>
                <w:lang w:val="en-US" w:eastAsia="zh-CN"/>
              </w:rPr>
            </w:pPr>
            <w:r>
              <w:rPr>
                <w:color w:val="auto"/>
                <w:lang w:val="en-US" w:eastAsia="zh-CN"/>
              </w:rPr>
              <w:t>≤350</w:t>
            </w:r>
          </w:p>
        </w:tc>
        <w:tc>
          <w:tcPr>
            <w:tcW w:w="1203" w:type="dxa"/>
            <w:noWrap w:val="0"/>
            <w:tcMar>
              <w:left w:w="0" w:type="dxa"/>
              <w:right w:w="0" w:type="dxa"/>
            </w:tcMar>
            <w:vAlign w:val="center"/>
          </w:tcPr>
          <w:p w14:paraId="1B1F7ACF">
            <w:pPr>
              <w:pStyle w:val="26"/>
              <w:bidi w:val="0"/>
              <w:rPr>
                <w:color w:val="auto"/>
                <w:lang w:val="en-US" w:eastAsia="zh-CN"/>
              </w:rPr>
            </w:pPr>
            <w:r>
              <w:rPr>
                <w:color w:val="auto"/>
                <w:lang w:val="en-US" w:eastAsia="zh-CN"/>
              </w:rPr>
              <w:t>＞350</w:t>
            </w:r>
          </w:p>
        </w:tc>
      </w:tr>
      <w:tr w14:paraId="1F6A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876585C">
            <w:pPr>
              <w:pStyle w:val="26"/>
              <w:bidi w:val="0"/>
              <w:rPr>
                <w:rFonts w:hint="default"/>
                <w:color w:val="auto"/>
                <w:lang w:val="en-US" w:eastAsia="zh-CN"/>
              </w:rPr>
            </w:pPr>
            <w:r>
              <w:rPr>
                <w:rFonts w:hint="eastAsia"/>
                <w:color w:val="auto"/>
                <w:lang w:val="en-US" w:eastAsia="zh-CN"/>
              </w:rPr>
              <w:t>19</w:t>
            </w:r>
          </w:p>
        </w:tc>
        <w:tc>
          <w:tcPr>
            <w:tcW w:w="2169" w:type="dxa"/>
            <w:noWrap w:val="0"/>
            <w:tcMar>
              <w:left w:w="0" w:type="dxa"/>
              <w:right w:w="0" w:type="dxa"/>
            </w:tcMar>
            <w:vAlign w:val="center"/>
          </w:tcPr>
          <w:p w14:paraId="0DF53137">
            <w:pPr>
              <w:pStyle w:val="26"/>
              <w:bidi w:val="0"/>
              <w:rPr>
                <w:color w:val="auto"/>
                <w:lang w:val="en-US" w:eastAsia="zh-CN"/>
              </w:rPr>
            </w:pPr>
            <w:r>
              <w:rPr>
                <w:rFonts w:hint="eastAsia"/>
                <w:color w:val="auto"/>
                <w:lang w:val="en-US" w:eastAsia="zh-CN"/>
              </w:rPr>
              <w:t>镉</w:t>
            </w:r>
          </w:p>
        </w:tc>
        <w:tc>
          <w:tcPr>
            <w:tcW w:w="1052" w:type="dxa"/>
            <w:noWrap w:val="0"/>
            <w:tcMar>
              <w:left w:w="0" w:type="dxa"/>
              <w:right w:w="0" w:type="dxa"/>
            </w:tcMar>
            <w:vAlign w:val="center"/>
          </w:tcPr>
          <w:p w14:paraId="1DC4E4DC">
            <w:pPr>
              <w:pStyle w:val="26"/>
              <w:bidi w:val="0"/>
              <w:rPr>
                <w:color w:val="auto"/>
                <w:lang w:val="en-US" w:eastAsia="zh-CN"/>
              </w:rPr>
            </w:pPr>
            <w:r>
              <w:rPr>
                <w:color w:val="auto"/>
                <w:lang w:val="en-US" w:eastAsia="zh-CN"/>
              </w:rPr>
              <w:t>≤0.0001</w:t>
            </w:r>
          </w:p>
        </w:tc>
        <w:tc>
          <w:tcPr>
            <w:tcW w:w="1022" w:type="dxa"/>
            <w:noWrap w:val="0"/>
            <w:tcMar>
              <w:left w:w="0" w:type="dxa"/>
              <w:right w:w="0" w:type="dxa"/>
            </w:tcMar>
            <w:vAlign w:val="center"/>
          </w:tcPr>
          <w:p w14:paraId="08D6FFFD">
            <w:pPr>
              <w:pStyle w:val="26"/>
              <w:bidi w:val="0"/>
              <w:rPr>
                <w:color w:val="auto"/>
                <w:lang w:val="en-US" w:eastAsia="zh-CN"/>
              </w:rPr>
            </w:pPr>
            <w:r>
              <w:rPr>
                <w:color w:val="auto"/>
                <w:lang w:val="en-US" w:eastAsia="zh-CN"/>
              </w:rPr>
              <w:t>≤0.001</w:t>
            </w:r>
          </w:p>
        </w:tc>
        <w:tc>
          <w:tcPr>
            <w:tcW w:w="896" w:type="dxa"/>
            <w:noWrap w:val="0"/>
            <w:tcMar>
              <w:left w:w="0" w:type="dxa"/>
              <w:right w:w="0" w:type="dxa"/>
            </w:tcMar>
            <w:vAlign w:val="center"/>
          </w:tcPr>
          <w:p w14:paraId="0F7C51DB">
            <w:pPr>
              <w:pStyle w:val="26"/>
              <w:bidi w:val="0"/>
              <w:rPr>
                <w:rFonts w:hint="eastAsia"/>
                <w:color w:val="auto"/>
                <w:lang w:val="en-US" w:eastAsia="zh-CN"/>
              </w:rPr>
            </w:pPr>
            <w:r>
              <w:rPr>
                <w:color w:val="auto"/>
                <w:lang w:val="en-US" w:eastAsia="zh-CN"/>
              </w:rPr>
              <w:t>≤0.00</w:t>
            </w:r>
            <w:r>
              <w:rPr>
                <w:rFonts w:hint="eastAsia"/>
                <w:color w:val="auto"/>
                <w:lang w:val="en-US" w:eastAsia="zh-CN"/>
              </w:rPr>
              <w:t>5</w:t>
            </w:r>
          </w:p>
        </w:tc>
        <w:tc>
          <w:tcPr>
            <w:tcW w:w="1272" w:type="dxa"/>
            <w:noWrap w:val="0"/>
            <w:tcMar>
              <w:left w:w="0" w:type="dxa"/>
              <w:right w:w="0" w:type="dxa"/>
            </w:tcMar>
            <w:vAlign w:val="center"/>
          </w:tcPr>
          <w:p w14:paraId="5758A9E9">
            <w:pPr>
              <w:pStyle w:val="26"/>
              <w:bidi w:val="0"/>
              <w:rPr>
                <w:rFonts w:hint="eastAsia"/>
                <w:color w:val="auto"/>
                <w:lang w:val="en-US" w:eastAsia="zh-CN"/>
              </w:rPr>
            </w:pPr>
            <w:r>
              <w:rPr>
                <w:color w:val="auto"/>
                <w:lang w:val="en-US" w:eastAsia="zh-CN"/>
              </w:rPr>
              <w:t>≤0.0</w:t>
            </w:r>
            <w:r>
              <w:rPr>
                <w:rFonts w:hint="eastAsia"/>
                <w:color w:val="auto"/>
                <w:lang w:val="en-US" w:eastAsia="zh-CN"/>
              </w:rPr>
              <w:t>1</w:t>
            </w:r>
          </w:p>
        </w:tc>
        <w:tc>
          <w:tcPr>
            <w:tcW w:w="1203" w:type="dxa"/>
            <w:noWrap w:val="0"/>
            <w:tcMar>
              <w:left w:w="0" w:type="dxa"/>
              <w:right w:w="0" w:type="dxa"/>
            </w:tcMar>
            <w:vAlign w:val="center"/>
          </w:tcPr>
          <w:p w14:paraId="45449A20">
            <w:pPr>
              <w:pStyle w:val="26"/>
              <w:bidi w:val="0"/>
              <w:rPr>
                <w:rFonts w:hint="eastAsia"/>
                <w:color w:val="auto"/>
                <w:lang w:val="en-US" w:eastAsia="zh-CN"/>
              </w:rPr>
            </w:pPr>
            <w:r>
              <w:rPr>
                <w:color w:val="auto"/>
                <w:lang w:val="en-US" w:eastAsia="zh-CN"/>
              </w:rPr>
              <w:t>＞0.0</w:t>
            </w:r>
            <w:r>
              <w:rPr>
                <w:rFonts w:hint="eastAsia"/>
                <w:color w:val="auto"/>
                <w:lang w:val="en-US" w:eastAsia="zh-CN"/>
              </w:rPr>
              <w:t>1</w:t>
            </w:r>
          </w:p>
        </w:tc>
      </w:tr>
      <w:tr w14:paraId="0DAC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08EFC3C3">
            <w:pPr>
              <w:pStyle w:val="26"/>
              <w:bidi w:val="0"/>
              <w:rPr>
                <w:rFonts w:hint="default"/>
                <w:color w:val="auto"/>
                <w:lang w:val="en-US" w:eastAsia="zh-CN"/>
              </w:rPr>
            </w:pPr>
            <w:r>
              <w:rPr>
                <w:rFonts w:hint="eastAsia"/>
                <w:color w:val="auto"/>
                <w:lang w:val="en-US" w:eastAsia="zh-CN"/>
              </w:rPr>
              <w:t>20</w:t>
            </w:r>
          </w:p>
        </w:tc>
        <w:tc>
          <w:tcPr>
            <w:tcW w:w="2169" w:type="dxa"/>
            <w:noWrap w:val="0"/>
            <w:tcMar>
              <w:left w:w="0" w:type="dxa"/>
              <w:right w:w="0" w:type="dxa"/>
            </w:tcMar>
            <w:vAlign w:val="center"/>
          </w:tcPr>
          <w:p w14:paraId="5024BDD8">
            <w:pPr>
              <w:pStyle w:val="26"/>
              <w:bidi w:val="0"/>
              <w:rPr>
                <w:rFonts w:hint="eastAsia"/>
                <w:color w:val="auto"/>
                <w:lang w:val="en-US" w:eastAsia="zh-CN"/>
              </w:rPr>
            </w:pPr>
            <w:r>
              <w:rPr>
                <w:rFonts w:hint="eastAsia"/>
                <w:color w:val="auto"/>
                <w:lang w:val="en-US" w:eastAsia="zh-CN"/>
              </w:rPr>
              <w:t>总大肠菌群</w:t>
            </w:r>
          </w:p>
        </w:tc>
        <w:tc>
          <w:tcPr>
            <w:tcW w:w="1052" w:type="dxa"/>
            <w:noWrap w:val="0"/>
            <w:tcMar>
              <w:left w:w="0" w:type="dxa"/>
              <w:right w:w="0" w:type="dxa"/>
            </w:tcMar>
            <w:vAlign w:val="center"/>
          </w:tcPr>
          <w:p w14:paraId="0D220073">
            <w:pPr>
              <w:pStyle w:val="26"/>
              <w:bidi w:val="0"/>
              <w:rPr>
                <w:rFonts w:hint="default"/>
                <w:color w:val="auto"/>
                <w:lang w:val="en-US" w:eastAsia="zh-CN"/>
              </w:rPr>
            </w:pPr>
            <w:r>
              <w:rPr>
                <w:rFonts w:hint="eastAsia"/>
                <w:color w:val="auto"/>
                <w:lang w:val="en-US" w:eastAsia="zh-CN"/>
              </w:rPr>
              <w:t>≤3.0</w:t>
            </w:r>
          </w:p>
        </w:tc>
        <w:tc>
          <w:tcPr>
            <w:tcW w:w="1022" w:type="dxa"/>
            <w:noWrap w:val="0"/>
            <w:tcMar>
              <w:left w:w="0" w:type="dxa"/>
              <w:right w:w="0" w:type="dxa"/>
            </w:tcMar>
            <w:vAlign w:val="center"/>
          </w:tcPr>
          <w:p w14:paraId="3D0C5193">
            <w:pPr>
              <w:pStyle w:val="26"/>
              <w:bidi w:val="0"/>
              <w:rPr>
                <w:color w:val="auto"/>
                <w:lang w:val="en-US" w:eastAsia="zh-CN"/>
              </w:rPr>
            </w:pPr>
            <w:r>
              <w:rPr>
                <w:rFonts w:hint="eastAsia"/>
                <w:color w:val="auto"/>
                <w:lang w:val="en-US" w:eastAsia="zh-CN"/>
              </w:rPr>
              <w:t>≤3.0</w:t>
            </w:r>
          </w:p>
        </w:tc>
        <w:tc>
          <w:tcPr>
            <w:tcW w:w="896" w:type="dxa"/>
            <w:noWrap w:val="0"/>
            <w:tcMar>
              <w:left w:w="0" w:type="dxa"/>
              <w:right w:w="0" w:type="dxa"/>
            </w:tcMar>
            <w:vAlign w:val="center"/>
          </w:tcPr>
          <w:p w14:paraId="450E1800">
            <w:pPr>
              <w:pStyle w:val="26"/>
              <w:bidi w:val="0"/>
              <w:rPr>
                <w:color w:val="auto"/>
                <w:lang w:val="en-US" w:eastAsia="zh-CN"/>
              </w:rPr>
            </w:pPr>
            <w:r>
              <w:rPr>
                <w:rFonts w:hint="eastAsia"/>
                <w:color w:val="auto"/>
                <w:lang w:val="en-US" w:eastAsia="zh-CN"/>
              </w:rPr>
              <w:t>≤3.0</w:t>
            </w:r>
          </w:p>
        </w:tc>
        <w:tc>
          <w:tcPr>
            <w:tcW w:w="1272" w:type="dxa"/>
            <w:noWrap w:val="0"/>
            <w:tcMar>
              <w:left w:w="0" w:type="dxa"/>
              <w:right w:w="0" w:type="dxa"/>
            </w:tcMar>
            <w:vAlign w:val="center"/>
          </w:tcPr>
          <w:p w14:paraId="72799A76">
            <w:pPr>
              <w:pStyle w:val="26"/>
              <w:bidi w:val="0"/>
              <w:rPr>
                <w:rFonts w:hint="default"/>
                <w:color w:val="auto"/>
                <w:lang w:val="en-US" w:eastAsia="zh-CN"/>
              </w:rPr>
            </w:pPr>
            <w:r>
              <w:rPr>
                <w:rFonts w:hint="eastAsia"/>
                <w:color w:val="auto"/>
                <w:lang w:val="en-US" w:eastAsia="zh-CN"/>
              </w:rPr>
              <w:t>≤100</w:t>
            </w:r>
          </w:p>
        </w:tc>
        <w:tc>
          <w:tcPr>
            <w:tcW w:w="1203" w:type="dxa"/>
            <w:noWrap w:val="0"/>
            <w:tcMar>
              <w:left w:w="0" w:type="dxa"/>
              <w:right w:w="0" w:type="dxa"/>
            </w:tcMar>
            <w:vAlign w:val="center"/>
          </w:tcPr>
          <w:p w14:paraId="722732A4">
            <w:pPr>
              <w:pStyle w:val="26"/>
              <w:bidi w:val="0"/>
              <w:rPr>
                <w:rFonts w:hint="default"/>
                <w:color w:val="auto"/>
                <w:lang w:val="en-US" w:eastAsia="zh-CN"/>
              </w:rPr>
            </w:pPr>
            <w:r>
              <w:rPr>
                <w:rFonts w:hint="eastAsia"/>
                <w:color w:val="auto"/>
                <w:lang w:val="en-US" w:eastAsia="zh-CN"/>
              </w:rPr>
              <w:t>＞100</w:t>
            </w:r>
          </w:p>
        </w:tc>
      </w:tr>
      <w:tr w14:paraId="1007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02" w:type="dxa"/>
            <w:noWrap w:val="0"/>
            <w:tcMar>
              <w:left w:w="0" w:type="dxa"/>
              <w:right w:w="0" w:type="dxa"/>
            </w:tcMar>
            <w:vAlign w:val="center"/>
          </w:tcPr>
          <w:p w14:paraId="7CBAE970">
            <w:pPr>
              <w:pStyle w:val="26"/>
              <w:bidi w:val="0"/>
              <w:rPr>
                <w:rFonts w:hint="default"/>
                <w:color w:val="auto"/>
                <w:lang w:val="en-US" w:eastAsia="zh-CN"/>
              </w:rPr>
            </w:pPr>
            <w:r>
              <w:rPr>
                <w:rFonts w:hint="eastAsia"/>
                <w:color w:val="auto"/>
                <w:lang w:val="en-US" w:eastAsia="zh-CN"/>
              </w:rPr>
              <w:t>21</w:t>
            </w:r>
          </w:p>
        </w:tc>
        <w:tc>
          <w:tcPr>
            <w:tcW w:w="2169" w:type="dxa"/>
            <w:noWrap w:val="0"/>
            <w:tcMar>
              <w:left w:w="0" w:type="dxa"/>
              <w:right w:w="0" w:type="dxa"/>
            </w:tcMar>
            <w:vAlign w:val="center"/>
          </w:tcPr>
          <w:p w14:paraId="5E2D0252">
            <w:pPr>
              <w:pStyle w:val="26"/>
              <w:bidi w:val="0"/>
              <w:rPr>
                <w:rFonts w:hint="eastAsia"/>
                <w:color w:val="auto"/>
                <w:lang w:val="en-US" w:eastAsia="zh-CN"/>
              </w:rPr>
            </w:pPr>
            <w:r>
              <w:rPr>
                <w:rFonts w:hint="eastAsia"/>
                <w:color w:val="auto"/>
                <w:lang w:val="en-US" w:eastAsia="zh-CN"/>
              </w:rPr>
              <w:t>细菌总数</w:t>
            </w:r>
          </w:p>
        </w:tc>
        <w:tc>
          <w:tcPr>
            <w:tcW w:w="1052" w:type="dxa"/>
            <w:noWrap w:val="0"/>
            <w:tcMar>
              <w:left w:w="0" w:type="dxa"/>
              <w:right w:w="0" w:type="dxa"/>
            </w:tcMar>
            <w:vAlign w:val="center"/>
          </w:tcPr>
          <w:p w14:paraId="14FD2BFA">
            <w:pPr>
              <w:pStyle w:val="26"/>
              <w:bidi w:val="0"/>
              <w:rPr>
                <w:color w:val="auto"/>
                <w:lang w:val="en-US" w:eastAsia="zh-CN"/>
              </w:rPr>
            </w:pPr>
            <w:r>
              <w:rPr>
                <w:rFonts w:hint="eastAsia"/>
                <w:color w:val="auto"/>
                <w:lang w:val="en-US" w:eastAsia="zh-CN"/>
              </w:rPr>
              <w:t>≤100</w:t>
            </w:r>
          </w:p>
        </w:tc>
        <w:tc>
          <w:tcPr>
            <w:tcW w:w="1022" w:type="dxa"/>
            <w:noWrap w:val="0"/>
            <w:tcMar>
              <w:left w:w="0" w:type="dxa"/>
              <w:right w:w="0" w:type="dxa"/>
            </w:tcMar>
            <w:vAlign w:val="center"/>
          </w:tcPr>
          <w:p w14:paraId="3053B345">
            <w:pPr>
              <w:pStyle w:val="26"/>
              <w:bidi w:val="0"/>
              <w:rPr>
                <w:color w:val="auto"/>
                <w:lang w:val="en-US" w:eastAsia="zh-CN"/>
              </w:rPr>
            </w:pPr>
            <w:r>
              <w:rPr>
                <w:rFonts w:hint="eastAsia"/>
                <w:color w:val="auto"/>
                <w:lang w:val="en-US" w:eastAsia="zh-CN"/>
              </w:rPr>
              <w:t>≤100</w:t>
            </w:r>
          </w:p>
        </w:tc>
        <w:tc>
          <w:tcPr>
            <w:tcW w:w="896" w:type="dxa"/>
            <w:noWrap w:val="0"/>
            <w:tcMar>
              <w:left w:w="0" w:type="dxa"/>
              <w:right w:w="0" w:type="dxa"/>
            </w:tcMar>
            <w:vAlign w:val="center"/>
          </w:tcPr>
          <w:p w14:paraId="1E1A9A1C">
            <w:pPr>
              <w:pStyle w:val="26"/>
              <w:bidi w:val="0"/>
              <w:rPr>
                <w:color w:val="auto"/>
                <w:lang w:val="en-US" w:eastAsia="zh-CN"/>
              </w:rPr>
            </w:pPr>
            <w:r>
              <w:rPr>
                <w:rFonts w:hint="eastAsia"/>
                <w:color w:val="auto"/>
                <w:lang w:val="en-US" w:eastAsia="zh-CN"/>
              </w:rPr>
              <w:t>≤100</w:t>
            </w:r>
          </w:p>
        </w:tc>
        <w:tc>
          <w:tcPr>
            <w:tcW w:w="1272" w:type="dxa"/>
            <w:noWrap w:val="0"/>
            <w:tcMar>
              <w:left w:w="0" w:type="dxa"/>
              <w:right w:w="0" w:type="dxa"/>
            </w:tcMar>
            <w:vAlign w:val="center"/>
          </w:tcPr>
          <w:p w14:paraId="00111E8D">
            <w:pPr>
              <w:pStyle w:val="26"/>
              <w:bidi w:val="0"/>
              <w:rPr>
                <w:rFonts w:hint="default"/>
                <w:color w:val="auto"/>
                <w:lang w:val="en-US" w:eastAsia="zh-CN"/>
              </w:rPr>
            </w:pPr>
            <w:r>
              <w:rPr>
                <w:rFonts w:hint="eastAsia"/>
                <w:color w:val="auto"/>
                <w:lang w:val="en-US" w:eastAsia="zh-CN"/>
              </w:rPr>
              <w:t>≤1000</w:t>
            </w:r>
          </w:p>
        </w:tc>
        <w:tc>
          <w:tcPr>
            <w:tcW w:w="1203" w:type="dxa"/>
            <w:noWrap w:val="0"/>
            <w:tcMar>
              <w:left w:w="0" w:type="dxa"/>
              <w:right w:w="0" w:type="dxa"/>
            </w:tcMar>
            <w:vAlign w:val="center"/>
          </w:tcPr>
          <w:p w14:paraId="4335F878">
            <w:pPr>
              <w:pStyle w:val="26"/>
              <w:bidi w:val="0"/>
              <w:rPr>
                <w:rFonts w:hint="default"/>
                <w:color w:val="auto"/>
                <w:lang w:val="en-US" w:eastAsia="zh-CN"/>
              </w:rPr>
            </w:pPr>
            <w:r>
              <w:rPr>
                <w:rFonts w:hint="eastAsia"/>
                <w:color w:val="auto"/>
                <w:lang w:val="en-US" w:eastAsia="zh-CN"/>
              </w:rPr>
              <w:t>＞1000</w:t>
            </w:r>
          </w:p>
        </w:tc>
      </w:tr>
    </w:tbl>
    <w:p w14:paraId="74B4D9EE">
      <w:pPr>
        <w:bidi w:val="0"/>
        <w:rPr>
          <w:color w:val="auto"/>
        </w:rPr>
      </w:pPr>
    </w:p>
    <w:p w14:paraId="5184D482">
      <w:pPr>
        <w:pStyle w:val="5"/>
        <w:bidi w:val="0"/>
        <w:rPr>
          <w:color w:val="auto"/>
          <w:lang w:val="en-US" w:eastAsia="zh-CN"/>
        </w:rPr>
      </w:pPr>
      <w:r>
        <w:rPr>
          <w:rFonts w:hint="eastAsia"/>
          <w:color w:val="auto"/>
          <w:lang w:val="en-US" w:eastAsia="zh-CN"/>
        </w:rPr>
        <w:t>污染物排放标准</w:t>
      </w:r>
    </w:p>
    <w:p w14:paraId="2A03DD2C">
      <w:pPr>
        <w:pStyle w:val="46"/>
        <w:bidi w:val="0"/>
        <w:rPr>
          <w:color w:val="auto"/>
          <w:lang w:val="en-US" w:eastAsia="zh-CN"/>
        </w:rPr>
      </w:pPr>
      <w:r>
        <w:rPr>
          <w:rFonts w:hint="eastAsia"/>
          <w:color w:val="auto"/>
          <w:lang w:val="en-US" w:eastAsia="zh-CN"/>
        </w:rPr>
        <w:t>1、大气污染物排放标准</w:t>
      </w:r>
    </w:p>
    <w:p w14:paraId="6BF4A4BD">
      <w:pPr>
        <w:rPr>
          <w:rFonts w:hint="eastAsia" w:ascii="Times New Roman" w:hAnsi="Times New Roman"/>
          <w:color w:val="auto"/>
        </w:rPr>
      </w:pPr>
      <w:r>
        <w:rPr>
          <w:rFonts w:hint="eastAsia" w:ascii="Times New Roman" w:hAnsi="Times New Roman"/>
          <w:color w:val="auto"/>
        </w:rPr>
        <w:t>（1）有组织：</w:t>
      </w:r>
    </w:p>
    <w:p w14:paraId="573CA6E4">
      <w:pPr>
        <w:rPr>
          <w:rFonts w:hint="eastAsia" w:ascii="Times New Roman" w:hAnsi="Times New Roman"/>
          <w:color w:val="auto"/>
          <w:lang w:val="en-US" w:eastAsia="zh-CN"/>
        </w:rPr>
      </w:pPr>
      <w:r>
        <w:rPr>
          <w:rFonts w:hint="eastAsia" w:ascii="Times New Roman" w:hAnsi="Times New Roman"/>
          <w:color w:val="auto"/>
          <w:lang w:val="en-US" w:eastAsia="zh-CN"/>
        </w:rPr>
        <w:t>运营期废气涉及有组织排放的硫酸雾、氯化氢、铬酸雾执行《电镀污染物排放标准》（GB21900-2008）表 5 排放限值，同时考虑电镀基准排气量，若单位产品实际排气量超过单位产品基准排气量，须将实测排放浓度换算为基准排气量排放浓度，并以基准排气量排放浓度作为判定排放是否达标的依据。</w:t>
      </w:r>
    </w:p>
    <w:p w14:paraId="25E72546">
      <w:pPr>
        <w:rPr>
          <w:rFonts w:hint="eastAsia" w:ascii="Times New Roman" w:hAnsi="Times New Roman"/>
          <w:color w:val="auto"/>
          <w:lang w:val="en-US" w:eastAsia="zh-CN"/>
        </w:rPr>
      </w:pPr>
      <w:r>
        <w:rPr>
          <w:rFonts w:hint="eastAsia" w:ascii="Times New Roman" w:hAnsi="Times New Roman"/>
          <w:color w:val="auto"/>
          <w:lang w:val="en-US" w:eastAsia="zh-CN"/>
        </w:rPr>
        <w:t>机加工、激光雕刻、擦拭等工序涉及排放的非甲烷总烃、颗粒物、二甲苯执行《大气污染物综合排放标准》（DB32/4041-2021）表 1 浓度限值。</w:t>
      </w:r>
    </w:p>
    <w:p w14:paraId="25DDA38B">
      <w:pPr>
        <w:rPr>
          <w:rFonts w:hint="eastAsia" w:ascii="Times New Roman" w:hAnsi="Times New Roman"/>
          <w:color w:val="auto"/>
        </w:rPr>
      </w:pPr>
      <w:r>
        <w:rPr>
          <w:rFonts w:hint="eastAsia" w:ascii="Times New Roman" w:hAnsi="Times New Roman"/>
          <w:color w:val="auto"/>
        </w:rPr>
        <w:t>（2）厂界无组织：</w:t>
      </w:r>
    </w:p>
    <w:p w14:paraId="1B33C84B">
      <w:pPr>
        <w:rPr>
          <w:rFonts w:hint="eastAsia" w:ascii="Times New Roman" w:hAnsi="Times New Roman"/>
          <w:color w:val="auto"/>
        </w:rPr>
      </w:pPr>
      <w:r>
        <w:rPr>
          <w:rFonts w:hint="eastAsia" w:ascii="Times New Roman" w:hAnsi="Times New Roman"/>
          <w:color w:val="auto"/>
        </w:rPr>
        <w:t>厂界无组织废气排放执行《大气污染物综合排放标准》（DB32/4041-2021）表 3 浓度限值。</w:t>
      </w:r>
    </w:p>
    <w:p w14:paraId="1513A12F">
      <w:pPr>
        <w:rPr>
          <w:rFonts w:hint="eastAsia" w:ascii="Times New Roman" w:hAnsi="Times New Roman"/>
          <w:color w:val="auto"/>
        </w:rPr>
      </w:pPr>
      <w:r>
        <w:rPr>
          <w:rFonts w:hint="eastAsia" w:ascii="Times New Roman" w:hAnsi="Times New Roman"/>
          <w:color w:val="auto"/>
        </w:rPr>
        <w:t>厂界无组织氨、硫化氢</w:t>
      </w:r>
      <w:r>
        <w:rPr>
          <w:rFonts w:hint="eastAsia" w:ascii="Times New Roman" w:hAnsi="Times New Roman"/>
          <w:color w:val="auto"/>
          <w:lang w:eastAsia="zh-CN"/>
        </w:rPr>
        <w:t>、</w:t>
      </w:r>
      <w:r>
        <w:rPr>
          <w:rFonts w:hint="eastAsia" w:ascii="Times New Roman" w:hAnsi="Times New Roman"/>
          <w:color w:val="auto"/>
          <w:lang w:val="en-US" w:eastAsia="zh-CN"/>
        </w:rPr>
        <w:t>臭气浓度</w:t>
      </w:r>
      <w:r>
        <w:rPr>
          <w:rFonts w:hint="eastAsia" w:ascii="Times New Roman" w:hAnsi="Times New Roman"/>
          <w:color w:val="auto"/>
        </w:rPr>
        <w:t>执行《恶臭污染物排放标准》（GB14554-93）表1</w:t>
      </w:r>
      <w:r>
        <w:rPr>
          <w:rFonts w:hint="eastAsia" w:ascii="Times New Roman" w:hAnsi="Times New Roman"/>
          <w:color w:val="auto"/>
        </w:rPr>
        <w:tab/>
      </w:r>
      <w:r>
        <w:rPr>
          <w:rFonts w:hint="eastAsia" w:ascii="Times New Roman" w:hAnsi="Times New Roman"/>
          <w:color w:val="auto"/>
        </w:rPr>
        <w:t>。</w:t>
      </w:r>
    </w:p>
    <w:p w14:paraId="782C074C">
      <w:pPr>
        <w:rPr>
          <w:rFonts w:hint="eastAsia" w:ascii="Times New Roman" w:hAnsi="Times New Roman"/>
          <w:color w:val="auto"/>
        </w:rPr>
      </w:pPr>
      <w:r>
        <w:rPr>
          <w:rFonts w:hint="eastAsia" w:ascii="Times New Roman" w:hAnsi="Times New Roman"/>
          <w:color w:val="auto"/>
        </w:rPr>
        <w:t>（3）厂区内无组织：</w:t>
      </w:r>
    </w:p>
    <w:p w14:paraId="3064D1A5">
      <w:pPr>
        <w:rPr>
          <w:rFonts w:hint="eastAsia" w:ascii="Times New Roman" w:hAnsi="Times New Roman"/>
          <w:color w:val="auto"/>
        </w:rPr>
      </w:pPr>
      <w:r>
        <w:rPr>
          <w:rFonts w:hint="eastAsia" w:ascii="Times New Roman" w:hAnsi="Times New Roman"/>
          <w:color w:val="auto"/>
        </w:rPr>
        <w:t>厂区内VOCs（以NMHC计）无组织执行《大气污染物综合排放标准》（DB32/4041-2021）表</w:t>
      </w:r>
      <w:r>
        <w:rPr>
          <w:rFonts w:hint="eastAsia" w:ascii="Times New Roman" w:hAnsi="Times New Roman"/>
          <w:color w:val="auto"/>
          <w:lang w:val="en-US" w:eastAsia="zh-CN"/>
        </w:rPr>
        <w:t>2</w:t>
      </w:r>
      <w:r>
        <w:rPr>
          <w:rFonts w:hint="eastAsia" w:ascii="Times New Roman" w:hAnsi="Times New Roman"/>
          <w:color w:val="auto"/>
        </w:rPr>
        <w:t>最高允许排放限值。</w:t>
      </w:r>
    </w:p>
    <w:p w14:paraId="5E20F7DA">
      <w:pPr>
        <w:pStyle w:val="46"/>
        <w:bidi w:val="0"/>
        <w:rPr>
          <w:color w:val="auto"/>
          <w:lang w:val="en-US" w:eastAsia="zh-CN"/>
        </w:rPr>
      </w:pPr>
      <w:r>
        <w:rPr>
          <w:rFonts w:hint="eastAsia"/>
          <w:color w:val="auto"/>
          <w:lang w:val="en-US" w:eastAsia="zh-CN"/>
        </w:rPr>
        <w:t>2、水污染物排放标准</w:t>
      </w:r>
    </w:p>
    <w:p w14:paraId="6C8A4F07">
      <w:pPr>
        <w:rPr>
          <w:rFonts w:hint="eastAsia" w:ascii="Times New Roman" w:hAnsi="Times New Roman"/>
          <w:color w:val="auto"/>
        </w:rPr>
      </w:pPr>
      <w:r>
        <w:rPr>
          <w:rFonts w:hint="eastAsia" w:ascii="Times New Roman" w:hAnsi="Times New Roman"/>
          <w:color w:val="auto"/>
        </w:rPr>
        <w:t>本项目研磨废水经处理后全部回用；含铜废水，含铬废水经预处理后，进入MVR装置蒸发处理，冷凝水经纯水制备系统处理后全部回用。本项目生产废水不外排。</w:t>
      </w:r>
    </w:p>
    <w:p w14:paraId="1AF88C43">
      <w:pPr>
        <w:rPr>
          <w:rFonts w:hint="eastAsia" w:ascii="Times New Roman" w:hAnsi="Times New Roman"/>
          <w:color w:val="auto"/>
        </w:rPr>
      </w:pPr>
      <w:r>
        <w:rPr>
          <w:rFonts w:hint="eastAsia" w:ascii="Times New Roman" w:hAnsi="Times New Roman"/>
          <w:color w:val="auto"/>
        </w:rPr>
        <w:t>（1）接管标准</w:t>
      </w:r>
    </w:p>
    <w:p w14:paraId="30035CC6">
      <w:pPr>
        <w:rPr>
          <w:rFonts w:hint="default" w:ascii="Times New Roman" w:hAnsi="Times New Roman" w:eastAsia="仿宋_GB2312"/>
          <w:color w:val="auto"/>
          <w:lang w:val="en-US" w:eastAsia="zh-CN"/>
        </w:rPr>
      </w:pPr>
      <w:r>
        <w:rPr>
          <w:rFonts w:hint="eastAsia" w:ascii="Times New Roman" w:hAnsi="Times New Roman"/>
          <w:color w:val="auto"/>
        </w:rPr>
        <w:t>生活污水依托厂区现有的污水管网进入昆山建邦环境投资有限公司花桥污水处理厂处理，生活污水排入市政污水管网前执行昆山建邦环境投资有限公司花桥污水处理厂接管标准</w:t>
      </w:r>
      <w:r>
        <w:rPr>
          <w:rFonts w:hint="eastAsia" w:ascii="Times New Roman" w:hAnsi="Times New Roman"/>
          <w:color w:val="auto"/>
          <w:lang w:val="en-US" w:eastAsia="zh-CN"/>
        </w:rPr>
        <w:t>。</w:t>
      </w:r>
    </w:p>
    <w:p w14:paraId="77FFABA5">
      <w:pPr>
        <w:rPr>
          <w:rFonts w:hint="eastAsia" w:ascii="Times New Roman" w:hAnsi="Times New Roman"/>
          <w:color w:val="auto"/>
        </w:rPr>
      </w:pPr>
      <w:r>
        <w:rPr>
          <w:rFonts w:hint="eastAsia" w:ascii="Times New Roman" w:hAnsi="Times New Roman"/>
          <w:color w:val="auto"/>
        </w:rPr>
        <w:t>（2）污水厂外排标准</w:t>
      </w:r>
    </w:p>
    <w:p w14:paraId="17F52446">
      <w:pPr>
        <w:rPr>
          <w:rFonts w:hint="eastAsia" w:ascii="Times New Roman" w:hAnsi="Times New Roman"/>
          <w:color w:val="auto"/>
        </w:rPr>
      </w:pPr>
      <w:r>
        <w:rPr>
          <w:rFonts w:hint="eastAsia" w:ascii="Times New Roman" w:hAnsi="Times New Roman"/>
          <w:color w:val="auto"/>
        </w:rPr>
        <w:t>污水厂尾水COD、NH</w:t>
      </w:r>
      <w:r>
        <w:rPr>
          <w:rFonts w:hint="eastAsia" w:ascii="Times New Roman" w:hAnsi="Times New Roman"/>
          <w:color w:val="auto"/>
          <w:vertAlign w:val="subscript"/>
        </w:rPr>
        <w:t>3</w:t>
      </w:r>
      <w:r>
        <w:rPr>
          <w:rFonts w:hint="eastAsia" w:ascii="Times New Roman" w:hAnsi="Times New Roman"/>
          <w:color w:val="auto"/>
        </w:rPr>
        <w:t>-N、TN、TP执行市委办公室市政府办公室印发《苏州市关于高质量推进城乡生活污水治理三年行动计划的实施意见》</w:t>
      </w:r>
      <w:r>
        <w:rPr>
          <w:rFonts w:hint="eastAsia" w:ascii="Times New Roman" w:hAnsi="Times New Roman"/>
          <w:color w:val="auto"/>
          <w:lang w:eastAsia="zh-CN"/>
        </w:rPr>
        <w:t>（</w:t>
      </w:r>
      <w:r>
        <w:rPr>
          <w:rFonts w:hint="eastAsia" w:ascii="Times New Roman" w:hAnsi="Times New Roman"/>
          <w:color w:val="auto"/>
        </w:rPr>
        <w:t>苏委办发[2018]77号</w:t>
      </w:r>
      <w:r>
        <w:rPr>
          <w:rFonts w:hint="eastAsia" w:ascii="Times New Roman" w:hAnsi="Times New Roman"/>
          <w:color w:val="auto"/>
          <w:lang w:eastAsia="zh-CN"/>
        </w:rPr>
        <w:t>）</w:t>
      </w:r>
      <w:r>
        <w:rPr>
          <w:rFonts w:hint="eastAsia" w:ascii="Times New Roman" w:hAnsi="Times New Roman"/>
          <w:color w:val="auto"/>
        </w:rPr>
        <w:t>中“苏州特别排放限值”；其他因子执行《城镇污水处理厂污染物排放标准》（DB32/4440-2022）标准。</w:t>
      </w:r>
    </w:p>
    <w:p w14:paraId="5CC59392">
      <w:pPr>
        <w:rPr>
          <w:rFonts w:hint="eastAsia"/>
          <w:color w:val="auto"/>
          <w:lang w:val="en-US" w:eastAsia="zh-CN"/>
        </w:rPr>
      </w:pPr>
      <w:r>
        <w:rPr>
          <w:rFonts w:hint="eastAsia"/>
          <w:color w:val="auto"/>
          <w:lang w:eastAsia="zh-CN"/>
        </w:rPr>
        <w:t>（</w:t>
      </w:r>
      <w:r>
        <w:rPr>
          <w:rFonts w:hint="eastAsia"/>
          <w:color w:val="auto"/>
          <w:lang w:val="en-US" w:eastAsia="zh-CN"/>
        </w:rPr>
        <w:t>3）雨水排放口执行标准</w:t>
      </w:r>
    </w:p>
    <w:p w14:paraId="2DF129F0">
      <w:pPr>
        <w:rPr>
          <w:rFonts w:hint="eastAsia"/>
          <w:color w:val="auto"/>
          <w:lang w:val="en-US" w:eastAsia="zh-CN"/>
        </w:rPr>
      </w:pPr>
      <w:r>
        <w:rPr>
          <w:rFonts w:hint="eastAsia"/>
          <w:color w:val="auto"/>
          <w:lang w:val="en-US" w:eastAsia="zh-CN"/>
        </w:rPr>
        <w:t>本项目雨水经雨水排放口接管至市政雨水管网，最终排入东分圩河，雨水排放参照</w:t>
      </w:r>
      <w:r>
        <w:rPr>
          <w:rFonts w:hint="eastAsia"/>
          <w:color w:val="auto"/>
          <w:lang w:eastAsia="zh-CN"/>
        </w:rPr>
        <w:t>《</w:t>
      </w:r>
      <w:r>
        <w:rPr>
          <w:rFonts w:hint="eastAsia"/>
          <w:color w:val="auto"/>
        </w:rPr>
        <w:t>地表水环境质量标准</w:t>
      </w:r>
      <w:r>
        <w:rPr>
          <w:rFonts w:hint="eastAsia"/>
          <w:color w:val="auto"/>
          <w:lang w:eastAsia="zh-CN"/>
        </w:rPr>
        <w:t>》（</w:t>
      </w:r>
      <w:r>
        <w:rPr>
          <w:rFonts w:hint="eastAsia"/>
          <w:color w:val="auto"/>
          <w:lang w:val="en-US" w:eastAsia="zh-CN"/>
        </w:rPr>
        <w:t>GB3838-2002</w:t>
      </w:r>
      <w:r>
        <w:rPr>
          <w:rFonts w:hint="eastAsia"/>
          <w:color w:val="auto"/>
          <w:lang w:eastAsia="zh-CN"/>
        </w:rPr>
        <w:t>）</w:t>
      </w:r>
      <w:r>
        <w:rPr>
          <w:rFonts w:hint="eastAsia"/>
          <w:color w:val="auto"/>
          <w:lang w:val="en-US" w:eastAsia="zh-CN"/>
        </w:rPr>
        <w:t>IV类水质标准执行。</w:t>
      </w:r>
    </w:p>
    <w:p w14:paraId="49F5756E">
      <w:pPr>
        <w:rPr>
          <w:rFonts w:hint="eastAsia"/>
          <w:color w:val="auto"/>
          <w:lang w:val="en-US" w:eastAsia="zh-CN"/>
        </w:rPr>
      </w:pPr>
      <w:r>
        <w:rPr>
          <w:rFonts w:hint="eastAsia"/>
          <w:color w:val="auto"/>
          <w:lang w:val="en-US" w:eastAsia="zh-CN"/>
        </w:rPr>
        <w:t>（4）中水回用水质标准</w:t>
      </w:r>
    </w:p>
    <w:p w14:paraId="4B586E75">
      <w:pPr>
        <w:rPr>
          <w:rFonts w:hint="default"/>
          <w:color w:val="auto"/>
          <w:lang w:val="en-US" w:eastAsia="zh-CN"/>
        </w:rPr>
      </w:pPr>
      <w:r>
        <w:rPr>
          <w:rFonts w:hint="eastAsia"/>
          <w:color w:val="auto"/>
          <w:lang w:val="en-US" w:eastAsia="zh-CN"/>
        </w:rPr>
        <w:t>本项目生产废水经废水处理站处理后回用于生产，回用水质执行《</w:t>
      </w:r>
      <w:r>
        <w:rPr>
          <w:rFonts w:hint="eastAsia"/>
          <w:color w:val="auto"/>
        </w:rPr>
        <w:t>城市污水再生利用工业用水水质</w:t>
      </w:r>
      <w:r>
        <w:rPr>
          <w:rFonts w:hint="eastAsia"/>
          <w:color w:val="auto"/>
          <w:lang w:val="en-US" w:eastAsia="zh-CN"/>
        </w:rPr>
        <w:t>》（</w:t>
      </w:r>
      <w:r>
        <w:rPr>
          <w:rFonts w:hint="eastAsia"/>
          <w:color w:val="auto"/>
        </w:rPr>
        <w:t>GB/T19923-2024</w:t>
      </w:r>
      <w:r>
        <w:rPr>
          <w:rFonts w:hint="eastAsia"/>
          <w:color w:val="auto"/>
          <w:lang w:val="en-US" w:eastAsia="zh-CN"/>
        </w:rPr>
        <w:t>）表1中“工艺用水、产品用水”标准限值，电导率及SS根据工艺需求自定回收水水质标准。</w:t>
      </w:r>
    </w:p>
    <w:p w14:paraId="7AD22080">
      <w:pPr>
        <w:rPr>
          <w:rFonts w:ascii="Times New Roman" w:hAnsi="Times New Roman"/>
          <w:color w:val="auto"/>
        </w:rPr>
      </w:pPr>
      <w:r>
        <w:rPr>
          <w:rFonts w:hint="eastAsia" w:ascii="Times New Roman" w:hAnsi="Times New Roman"/>
          <w:color w:val="auto"/>
        </w:rPr>
        <w:t>具体标准值详见下表。</w:t>
      </w:r>
    </w:p>
    <w:p w14:paraId="3ED6391E">
      <w:pPr>
        <w:pStyle w:val="25"/>
        <w:bidi w:val="0"/>
        <w:rPr>
          <w:color w:val="auto"/>
          <w:lang w:val="en-US" w:eastAsia="zh-CN"/>
        </w:rPr>
      </w:pPr>
      <w:bookmarkStart w:id="73" w:name="_Hlk160099395"/>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8</w:t>
      </w:r>
      <w:r>
        <w:rPr>
          <w:color w:val="auto"/>
          <w:lang w:val="en-US" w:eastAsia="zh-CN"/>
        </w:rPr>
        <w:fldChar w:fldCharType="end"/>
      </w:r>
      <w:bookmarkEnd w:id="73"/>
      <w:r>
        <w:rPr>
          <w:rFonts w:hint="eastAsia"/>
          <w:color w:val="auto"/>
          <w:lang w:val="en-US" w:eastAsia="zh-CN"/>
        </w:rPr>
        <w:t>本项目</w:t>
      </w:r>
      <w:r>
        <w:rPr>
          <w:color w:val="auto"/>
          <w:lang w:val="en-US" w:eastAsia="zh-CN"/>
        </w:rPr>
        <w:t>水污染物排放执行标准</w:t>
      </w:r>
    </w:p>
    <w:tbl>
      <w:tblPr>
        <w:tblStyle w:val="21"/>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2"/>
        <w:gridCol w:w="2268"/>
        <w:gridCol w:w="2281"/>
        <w:gridCol w:w="1512"/>
      </w:tblGrid>
      <w:tr w14:paraId="726E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59" w:type="pct"/>
            <w:vMerge w:val="restart"/>
            <w:tcMar>
              <w:left w:w="0" w:type="dxa"/>
              <w:right w:w="0" w:type="dxa"/>
            </w:tcMar>
            <w:vAlign w:val="center"/>
          </w:tcPr>
          <w:p w14:paraId="35547EB9">
            <w:pPr>
              <w:pStyle w:val="36"/>
              <w:bidi w:val="0"/>
              <w:rPr>
                <w:rFonts w:hint="default"/>
                <w:color w:val="auto"/>
                <w:lang w:val="en-US" w:eastAsia="zh-CN"/>
              </w:rPr>
            </w:pPr>
            <w:r>
              <w:rPr>
                <w:rFonts w:hint="eastAsia"/>
                <w:color w:val="auto"/>
                <w:lang w:val="en-US" w:eastAsia="zh-CN"/>
              </w:rPr>
              <w:t>排放口名称</w:t>
            </w:r>
          </w:p>
        </w:tc>
        <w:tc>
          <w:tcPr>
            <w:tcW w:w="1362" w:type="pct"/>
            <w:vMerge w:val="restart"/>
            <w:tcMar>
              <w:left w:w="0" w:type="dxa"/>
              <w:right w:w="0" w:type="dxa"/>
            </w:tcMar>
            <w:vAlign w:val="center"/>
          </w:tcPr>
          <w:p w14:paraId="45838964">
            <w:pPr>
              <w:pStyle w:val="36"/>
              <w:bidi w:val="0"/>
              <w:rPr>
                <w:color w:val="auto"/>
                <w:lang w:val="en-US" w:eastAsia="zh-CN"/>
              </w:rPr>
            </w:pPr>
            <w:r>
              <w:rPr>
                <w:color w:val="auto"/>
                <w:lang w:val="en-US" w:eastAsia="zh-CN"/>
              </w:rPr>
              <w:t>污染物种类</w:t>
            </w:r>
          </w:p>
        </w:tc>
        <w:tc>
          <w:tcPr>
            <w:tcW w:w="2278" w:type="pct"/>
            <w:gridSpan w:val="2"/>
            <w:tcMar>
              <w:left w:w="0" w:type="dxa"/>
              <w:right w:w="0" w:type="dxa"/>
            </w:tcMar>
            <w:vAlign w:val="center"/>
          </w:tcPr>
          <w:p w14:paraId="1CDE5173">
            <w:pPr>
              <w:pStyle w:val="36"/>
              <w:bidi w:val="0"/>
              <w:rPr>
                <w:rFonts w:hint="default"/>
                <w:color w:val="auto"/>
                <w:lang w:val="en-US" w:eastAsia="zh-CN"/>
              </w:rPr>
            </w:pPr>
            <w:r>
              <w:rPr>
                <w:rFonts w:hint="eastAsia"/>
                <w:color w:val="auto"/>
                <w:lang w:val="en-US" w:eastAsia="zh-CN"/>
              </w:rPr>
              <w:t>执行标准</w:t>
            </w:r>
          </w:p>
        </w:tc>
      </w:tr>
      <w:tr w14:paraId="1D04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59" w:type="pct"/>
            <w:vMerge w:val="continue"/>
            <w:tcMar>
              <w:left w:w="0" w:type="dxa"/>
              <w:right w:w="0" w:type="dxa"/>
            </w:tcMar>
            <w:vAlign w:val="center"/>
          </w:tcPr>
          <w:p w14:paraId="21EAC12A">
            <w:pPr>
              <w:pStyle w:val="36"/>
              <w:bidi w:val="0"/>
              <w:rPr>
                <w:color w:val="auto"/>
                <w:lang w:val="en-US" w:eastAsia="zh-CN"/>
              </w:rPr>
            </w:pPr>
          </w:p>
        </w:tc>
        <w:tc>
          <w:tcPr>
            <w:tcW w:w="1362" w:type="pct"/>
            <w:vMerge w:val="continue"/>
            <w:tcMar>
              <w:left w:w="0" w:type="dxa"/>
              <w:right w:w="0" w:type="dxa"/>
            </w:tcMar>
            <w:vAlign w:val="center"/>
          </w:tcPr>
          <w:p w14:paraId="28B6F448">
            <w:pPr>
              <w:pStyle w:val="36"/>
              <w:bidi w:val="0"/>
              <w:rPr>
                <w:color w:val="auto"/>
                <w:lang w:val="en-US" w:eastAsia="zh-CN"/>
              </w:rPr>
            </w:pPr>
          </w:p>
        </w:tc>
        <w:tc>
          <w:tcPr>
            <w:tcW w:w="1370" w:type="pct"/>
            <w:tcMar>
              <w:left w:w="0" w:type="dxa"/>
              <w:right w:w="0" w:type="dxa"/>
            </w:tcMar>
            <w:vAlign w:val="center"/>
          </w:tcPr>
          <w:p w14:paraId="06DECE90">
            <w:pPr>
              <w:pStyle w:val="36"/>
              <w:bidi w:val="0"/>
              <w:rPr>
                <w:color w:val="auto"/>
                <w:lang w:val="en-US" w:eastAsia="zh-CN"/>
              </w:rPr>
            </w:pPr>
            <w:r>
              <w:rPr>
                <w:color w:val="auto"/>
                <w:lang w:val="en-US" w:eastAsia="zh-CN"/>
              </w:rPr>
              <w:t>名称</w:t>
            </w:r>
          </w:p>
        </w:tc>
        <w:tc>
          <w:tcPr>
            <w:tcW w:w="907" w:type="pct"/>
            <w:tcMar>
              <w:left w:w="0" w:type="dxa"/>
              <w:right w:w="0" w:type="dxa"/>
            </w:tcMar>
            <w:vAlign w:val="center"/>
          </w:tcPr>
          <w:p w14:paraId="1DCA5E90">
            <w:pPr>
              <w:pStyle w:val="36"/>
              <w:bidi w:val="0"/>
              <w:rPr>
                <w:color w:val="auto"/>
                <w:lang w:val="en-US" w:eastAsia="zh-CN"/>
              </w:rPr>
            </w:pPr>
            <w:r>
              <w:rPr>
                <w:color w:val="auto"/>
                <w:lang w:val="en-US" w:eastAsia="zh-CN"/>
              </w:rPr>
              <w:t>浓度限值</w:t>
            </w:r>
          </w:p>
        </w:tc>
      </w:tr>
      <w:tr w14:paraId="546F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59" w:type="pct"/>
            <w:vMerge w:val="restart"/>
            <w:tcMar>
              <w:left w:w="0" w:type="dxa"/>
              <w:right w:w="0" w:type="dxa"/>
            </w:tcMar>
            <w:vAlign w:val="center"/>
          </w:tcPr>
          <w:p w14:paraId="7D8B78AF">
            <w:pPr>
              <w:pStyle w:val="26"/>
              <w:bidi w:val="0"/>
              <w:rPr>
                <w:rFonts w:hint="default"/>
                <w:color w:val="auto"/>
                <w:lang w:val="en-US" w:eastAsia="zh-CN"/>
              </w:rPr>
            </w:pPr>
            <w:r>
              <w:rPr>
                <w:rFonts w:hint="eastAsia"/>
                <w:color w:val="auto"/>
                <w:lang w:val="en-US" w:eastAsia="zh-CN"/>
              </w:rPr>
              <w:t>生活污水排放口DW001</w:t>
            </w:r>
          </w:p>
        </w:tc>
        <w:tc>
          <w:tcPr>
            <w:tcW w:w="1362" w:type="pct"/>
            <w:shd w:val="clear" w:color="auto" w:fill="auto"/>
            <w:tcMar>
              <w:left w:w="0" w:type="dxa"/>
              <w:right w:w="0" w:type="dxa"/>
            </w:tcMar>
            <w:vAlign w:val="center"/>
          </w:tcPr>
          <w:p w14:paraId="49DED425">
            <w:pPr>
              <w:pStyle w:val="26"/>
              <w:bidi w:val="0"/>
              <w:rPr>
                <w:color w:val="auto"/>
                <w:lang w:val="en-US" w:eastAsia="zh-CN"/>
              </w:rPr>
            </w:pPr>
            <w:r>
              <w:rPr>
                <w:color w:val="auto"/>
                <w:lang w:val="en-US" w:eastAsia="zh-CN"/>
              </w:rPr>
              <w:t>pH值</w:t>
            </w:r>
          </w:p>
        </w:tc>
        <w:tc>
          <w:tcPr>
            <w:tcW w:w="1370" w:type="pct"/>
            <w:vMerge w:val="restart"/>
            <w:tcMar>
              <w:left w:w="0" w:type="dxa"/>
              <w:right w:w="0" w:type="dxa"/>
            </w:tcMar>
            <w:vAlign w:val="center"/>
          </w:tcPr>
          <w:p w14:paraId="65008DA8">
            <w:pPr>
              <w:pStyle w:val="26"/>
              <w:bidi w:val="0"/>
              <w:rPr>
                <w:rFonts w:hint="eastAsia"/>
                <w:color w:val="auto"/>
                <w:lang w:val="en-US" w:eastAsia="zh-CN"/>
              </w:rPr>
            </w:pPr>
            <w:r>
              <w:rPr>
                <w:rFonts w:hint="eastAsia"/>
                <w:color w:val="auto"/>
                <w:lang w:val="en-US" w:eastAsia="zh-CN"/>
              </w:rPr>
              <w:t>昆山建邦环境投资有限公司花桥污水处理厂接管标准</w:t>
            </w:r>
          </w:p>
        </w:tc>
        <w:tc>
          <w:tcPr>
            <w:tcW w:w="907" w:type="pct"/>
            <w:shd w:val="clear" w:color="auto" w:fill="auto"/>
            <w:tcMar>
              <w:left w:w="0" w:type="dxa"/>
              <w:right w:w="0" w:type="dxa"/>
            </w:tcMar>
            <w:vAlign w:val="center"/>
          </w:tcPr>
          <w:p w14:paraId="2732F704">
            <w:pPr>
              <w:pStyle w:val="26"/>
              <w:bidi w:val="0"/>
              <w:rPr>
                <w:rFonts w:hint="default"/>
                <w:color w:val="auto"/>
                <w:lang w:val="en-US" w:eastAsia="zh-CN"/>
              </w:rPr>
            </w:pPr>
            <w:r>
              <w:rPr>
                <w:color w:val="auto"/>
                <w:lang w:val="en-US" w:eastAsia="zh-CN"/>
              </w:rPr>
              <w:t>6</w:t>
            </w:r>
            <w:r>
              <w:rPr>
                <w:rFonts w:hint="eastAsia"/>
                <w:color w:val="auto"/>
                <w:lang w:val="en-US" w:eastAsia="zh-CN"/>
              </w:rPr>
              <w:t>.5</w:t>
            </w:r>
            <w:r>
              <w:rPr>
                <w:color w:val="auto"/>
                <w:lang w:val="en-US" w:eastAsia="zh-CN"/>
              </w:rPr>
              <w:t>-9</w:t>
            </w:r>
            <w:r>
              <w:rPr>
                <w:rFonts w:hint="eastAsia"/>
                <w:color w:val="auto"/>
                <w:lang w:val="en-US" w:eastAsia="zh-CN"/>
              </w:rPr>
              <w:t>.5</w:t>
            </w:r>
          </w:p>
        </w:tc>
      </w:tr>
      <w:tr w14:paraId="347D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359" w:type="pct"/>
            <w:vMerge w:val="continue"/>
            <w:shd w:val="clear" w:color="auto" w:fill="auto"/>
            <w:tcMar>
              <w:left w:w="0" w:type="dxa"/>
              <w:right w:w="0" w:type="dxa"/>
            </w:tcMar>
            <w:vAlign w:val="center"/>
          </w:tcPr>
          <w:p w14:paraId="5014D104">
            <w:pPr>
              <w:pStyle w:val="26"/>
              <w:bidi w:val="0"/>
              <w:rPr>
                <w:color w:val="auto"/>
                <w:lang w:val="en-US" w:eastAsia="zh-CN"/>
              </w:rPr>
            </w:pPr>
          </w:p>
        </w:tc>
        <w:tc>
          <w:tcPr>
            <w:tcW w:w="1362" w:type="pct"/>
            <w:shd w:val="clear" w:color="auto" w:fill="auto"/>
            <w:tcMar>
              <w:left w:w="0" w:type="dxa"/>
              <w:right w:w="0" w:type="dxa"/>
            </w:tcMar>
            <w:vAlign w:val="center"/>
          </w:tcPr>
          <w:p w14:paraId="7C80407D">
            <w:pPr>
              <w:pStyle w:val="26"/>
              <w:bidi w:val="0"/>
              <w:rPr>
                <w:rFonts w:hint="default"/>
                <w:color w:val="auto"/>
                <w:lang w:val="en-US" w:eastAsia="zh-CN"/>
              </w:rPr>
            </w:pPr>
            <w:r>
              <w:rPr>
                <w:rFonts w:hint="eastAsia"/>
                <w:color w:val="auto"/>
                <w:lang w:val="en-US" w:eastAsia="zh-CN"/>
              </w:rPr>
              <w:t>COD</w:t>
            </w:r>
          </w:p>
        </w:tc>
        <w:tc>
          <w:tcPr>
            <w:tcW w:w="1370" w:type="pct"/>
            <w:vMerge w:val="continue"/>
            <w:shd w:val="clear" w:color="auto" w:fill="auto"/>
            <w:tcMar>
              <w:left w:w="0" w:type="dxa"/>
              <w:right w:w="0" w:type="dxa"/>
            </w:tcMar>
            <w:vAlign w:val="center"/>
          </w:tcPr>
          <w:p w14:paraId="04044379">
            <w:pPr>
              <w:pStyle w:val="26"/>
              <w:bidi w:val="0"/>
              <w:rPr>
                <w:rFonts w:hint="eastAsia"/>
                <w:color w:val="auto"/>
                <w:lang w:val="en-US" w:eastAsia="zh-CN"/>
              </w:rPr>
            </w:pPr>
          </w:p>
        </w:tc>
        <w:tc>
          <w:tcPr>
            <w:tcW w:w="907" w:type="pct"/>
            <w:shd w:val="clear" w:color="auto" w:fill="auto"/>
            <w:tcMar>
              <w:left w:w="0" w:type="dxa"/>
              <w:right w:w="0" w:type="dxa"/>
            </w:tcMar>
            <w:vAlign w:val="center"/>
          </w:tcPr>
          <w:p w14:paraId="415D19E1">
            <w:pPr>
              <w:pStyle w:val="26"/>
              <w:bidi w:val="0"/>
              <w:rPr>
                <w:rFonts w:hint="eastAsia"/>
                <w:color w:val="auto"/>
                <w:lang w:val="en-US" w:eastAsia="zh-CN"/>
              </w:rPr>
            </w:pPr>
            <w:r>
              <w:rPr>
                <w:rFonts w:hint="eastAsia"/>
                <w:color w:val="auto"/>
                <w:lang w:val="en-US" w:eastAsia="zh-CN"/>
              </w:rPr>
              <w:t>350m</w:t>
            </w:r>
            <w:r>
              <w:rPr>
                <w:color w:val="auto"/>
                <w:lang w:val="en-US" w:eastAsia="zh-CN"/>
              </w:rPr>
              <w:t>g/L</w:t>
            </w:r>
          </w:p>
        </w:tc>
      </w:tr>
      <w:tr w14:paraId="3BEC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359" w:type="pct"/>
            <w:vMerge w:val="continue"/>
            <w:shd w:val="clear" w:color="auto" w:fill="auto"/>
            <w:tcMar>
              <w:left w:w="0" w:type="dxa"/>
              <w:right w:w="0" w:type="dxa"/>
            </w:tcMar>
            <w:vAlign w:val="center"/>
          </w:tcPr>
          <w:p w14:paraId="2E2F0111">
            <w:pPr>
              <w:pStyle w:val="26"/>
              <w:bidi w:val="0"/>
              <w:rPr>
                <w:rFonts w:hint="eastAsia"/>
                <w:color w:val="auto"/>
                <w:lang w:val="en-US" w:eastAsia="zh-CN"/>
              </w:rPr>
            </w:pPr>
          </w:p>
        </w:tc>
        <w:tc>
          <w:tcPr>
            <w:tcW w:w="1362" w:type="pct"/>
            <w:shd w:val="clear" w:color="auto" w:fill="auto"/>
            <w:tcMar>
              <w:left w:w="0" w:type="dxa"/>
              <w:right w:w="0" w:type="dxa"/>
            </w:tcMar>
            <w:vAlign w:val="center"/>
          </w:tcPr>
          <w:p w14:paraId="1FC8B3F2">
            <w:pPr>
              <w:pStyle w:val="26"/>
              <w:bidi w:val="0"/>
              <w:rPr>
                <w:rFonts w:hint="default"/>
                <w:color w:val="auto"/>
                <w:lang w:val="en-US" w:eastAsia="zh-CN"/>
              </w:rPr>
            </w:pPr>
            <w:r>
              <w:rPr>
                <w:color w:val="auto"/>
                <w:lang w:val="en-US" w:eastAsia="zh-CN"/>
              </w:rPr>
              <w:t>悬浮物</w:t>
            </w:r>
          </w:p>
        </w:tc>
        <w:tc>
          <w:tcPr>
            <w:tcW w:w="1370" w:type="pct"/>
            <w:vMerge w:val="continue"/>
            <w:shd w:val="clear" w:color="auto" w:fill="auto"/>
            <w:tcMar>
              <w:left w:w="0" w:type="dxa"/>
              <w:right w:w="0" w:type="dxa"/>
            </w:tcMar>
            <w:vAlign w:val="center"/>
          </w:tcPr>
          <w:p w14:paraId="3A9BD5AE">
            <w:pPr>
              <w:pStyle w:val="26"/>
              <w:bidi w:val="0"/>
              <w:rPr>
                <w:rFonts w:hint="eastAsia"/>
                <w:color w:val="auto"/>
                <w:lang w:val="en-US" w:eastAsia="zh-CN"/>
              </w:rPr>
            </w:pPr>
          </w:p>
        </w:tc>
        <w:tc>
          <w:tcPr>
            <w:tcW w:w="907" w:type="pct"/>
            <w:shd w:val="clear" w:color="auto" w:fill="auto"/>
            <w:tcMar>
              <w:left w:w="0" w:type="dxa"/>
              <w:right w:w="0" w:type="dxa"/>
            </w:tcMar>
            <w:vAlign w:val="center"/>
          </w:tcPr>
          <w:p w14:paraId="5F2FCBFB">
            <w:pPr>
              <w:pStyle w:val="26"/>
              <w:bidi w:val="0"/>
              <w:rPr>
                <w:rFonts w:hint="eastAsia"/>
                <w:color w:val="auto"/>
                <w:lang w:val="en-US" w:eastAsia="zh-CN"/>
              </w:rPr>
            </w:pPr>
            <w:r>
              <w:rPr>
                <w:rFonts w:hint="eastAsia"/>
                <w:color w:val="auto"/>
                <w:lang w:val="en-US" w:eastAsia="zh-CN"/>
              </w:rPr>
              <w:t>100m</w:t>
            </w:r>
            <w:r>
              <w:rPr>
                <w:color w:val="auto"/>
                <w:lang w:val="en-US" w:eastAsia="zh-CN"/>
              </w:rPr>
              <w:t>g/L</w:t>
            </w:r>
          </w:p>
        </w:tc>
      </w:tr>
      <w:tr w14:paraId="7594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359" w:type="pct"/>
            <w:vMerge w:val="continue"/>
            <w:shd w:val="clear" w:color="auto" w:fill="auto"/>
            <w:tcMar>
              <w:left w:w="0" w:type="dxa"/>
              <w:right w:w="0" w:type="dxa"/>
            </w:tcMar>
            <w:vAlign w:val="center"/>
          </w:tcPr>
          <w:p w14:paraId="1478C4AC">
            <w:pPr>
              <w:pStyle w:val="26"/>
              <w:bidi w:val="0"/>
              <w:rPr>
                <w:color w:val="auto"/>
                <w:lang w:val="en-US" w:eastAsia="zh-CN"/>
              </w:rPr>
            </w:pPr>
          </w:p>
        </w:tc>
        <w:tc>
          <w:tcPr>
            <w:tcW w:w="1362" w:type="pct"/>
            <w:shd w:val="clear" w:color="auto" w:fill="auto"/>
            <w:tcMar>
              <w:left w:w="0" w:type="dxa"/>
              <w:right w:w="0" w:type="dxa"/>
            </w:tcMar>
            <w:vAlign w:val="center"/>
          </w:tcPr>
          <w:p w14:paraId="34DE10DF">
            <w:pPr>
              <w:pStyle w:val="26"/>
              <w:bidi w:val="0"/>
              <w:rPr>
                <w:rFonts w:hint="default"/>
                <w:color w:val="auto"/>
                <w:lang w:val="en-US" w:eastAsia="zh-CN"/>
              </w:rPr>
            </w:pPr>
            <w:r>
              <w:rPr>
                <w:color w:val="auto"/>
                <w:lang w:val="en-US" w:eastAsia="zh-CN"/>
              </w:rPr>
              <w:t>氨氮（NH</w:t>
            </w:r>
            <w:r>
              <w:rPr>
                <w:color w:val="auto"/>
                <w:vertAlign w:val="subscript"/>
                <w:lang w:val="en-US" w:eastAsia="zh-CN"/>
              </w:rPr>
              <w:t>3</w:t>
            </w:r>
            <w:r>
              <w:rPr>
                <w:color w:val="auto"/>
                <w:lang w:val="en-US" w:eastAsia="zh-CN"/>
              </w:rPr>
              <w:t>-N）</w:t>
            </w:r>
          </w:p>
        </w:tc>
        <w:tc>
          <w:tcPr>
            <w:tcW w:w="1370" w:type="pct"/>
            <w:vMerge w:val="continue"/>
            <w:shd w:val="clear" w:color="auto" w:fill="auto"/>
            <w:tcMar>
              <w:left w:w="0" w:type="dxa"/>
              <w:right w:w="0" w:type="dxa"/>
            </w:tcMar>
            <w:vAlign w:val="center"/>
          </w:tcPr>
          <w:p w14:paraId="7895140B">
            <w:pPr>
              <w:pStyle w:val="26"/>
              <w:bidi w:val="0"/>
              <w:rPr>
                <w:rFonts w:hint="eastAsia"/>
                <w:color w:val="auto"/>
                <w:lang w:val="en-US" w:eastAsia="zh-CN"/>
              </w:rPr>
            </w:pPr>
          </w:p>
        </w:tc>
        <w:tc>
          <w:tcPr>
            <w:tcW w:w="907" w:type="pct"/>
            <w:shd w:val="clear" w:color="auto" w:fill="auto"/>
            <w:tcMar>
              <w:left w:w="0" w:type="dxa"/>
              <w:right w:w="0" w:type="dxa"/>
            </w:tcMar>
            <w:vAlign w:val="center"/>
          </w:tcPr>
          <w:p w14:paraId="6CBA73C6">
            <w:pPr>
              <w:pStyle w:val="26"/>
              <w:bidi w:val="0"/>
              <w:rPr>
                <w:rFonts w:hint="eastAsia"/>
                <w:color w:val="auto"/>
                <w:lang w:val="en-US" w:eastAsia="zh-CN"/>
              </w:rPr>
            </w:pPr>
            <w:r>
              <w:rPr>
                <w:rFonts w:hint="eastAsia"/>
                <w:color w:val="auto"/>
                <w:lang w:val="en-US" w:eastAsia="zh-CN"/>
              </w:rPr>
              <w:t>45m</w:t>
            </w:r>
            <w:r>
              <w:rPr>
                <w:color w:val="auto"/>
                <w:lang w:val="en-US" w:eastAsia="zh-CN"/>
              </w:rPr>
              <w:t>g/L</w:t>
            </w:r>
          </w:p>
        </w:tc>
      </w:tr>
      <w:tr w14:paraId="51E1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359" w:type="pct"/>
            <w:vMerge w:val="continue"/>
            <w:shd w:val="clear" w:color="auto" w:fill="auto"/>
            <w:tcMar>
              <w:left w:w="0" w:type="dxa"/>
              <w:right w:w="0" w:type="dxa"/>
            </w:tcMar>
            <w:vAlign w:val="center"/>
          </w:tcPr>
          <w:p w14:paraId="0D2F555F">
            <w:pPr>
              <w:pStyle w:val="26"/>
              <w:bidi w:val="0"/>
              <w:rPr>
                <w:color w:val="auto"/>
                <w:lang w:val="en-US" w:eastAsia="zh-CN"/>
              </w:rPr>
            </w:pPr>
          </w:p>
        </w:tc>
        <w:tc>
          <w:tcPr>
            <w:tcW w:w="1362" w:type="pct"/>
            <w:shd w:val="clear" w:color="auto" w:fill="auto"/>
            <w:tcMar>
              <w:left w:w="0" w:type="dxa"/>
              <w:right w:w="0" w:type="dxa"/>
            </w:tcMar>
            <w:vAlign w:val="center"/>
          </w:tcPr>
          <w:p w14:paraId="3EA14022">
            <w:pPr>
              <w:pStyle w:val="26"/>
              <w:bidi w:val="0"/>
              <w:rPr>
                <w:color w:val="auto"/>
                <w:lang w:val="en-US" w:eastAsia="zh-CN"/>
              </w:rPr>
            </w:pPr>
            <w:r>
              <w:rPr>
                <w:color w:val="auto"/>
                <w:lang w:val="en-US" w:eastAsia="zh-CN"/>
              </w:rPr>
              <w:t>总磷（以P计）</w:t>
            </w:r>
          </w:p>
        </w:tc>
        <w:tc>
          <w:tcPr>
            <w:tcW w:w="1370" w:type="pct"/>
            <w:vMerge w:val="continue"/>
            <w:shd w:val="clear" w:color="auto" w:fill="auto"/>
            <w:tcMar>
              <w:left w:w="0" w:type="dxa"/>
              <w:right w:w="0" w:type="dxa"/>
            </w:tcMar>
            <w:vAlign w:val="center"/>
          </w:tcPr>
          <w:p w14:paraId="4F1E8A14">
            <w:pPr>
              <w:pStyle w:val="26"/>
              <w:bidi w:val="0"/>
              <w:rPr>
                <w:color w:val="auto"/>
                <w:lang w:val="en-US" w:eastAsia="zh-CN"/>
              </w:rPr>
            </w:pPr>
          </w:p>
        </w:tc>
        <w:tc>
          <w:tcPr>
            <w:tcW w:w="907" w:type="pct"/>
            <w:shd w:val="clear" w:color="auto" w:fill="auto"/>
            <w:tcMar>
              <w:left w:w="0" w:type="dxa"/>
              <w:right w:w="0" w:type="dxa"/>
            </w:tcMar>
            <w:vAlign w:val="center"/>
          </w:tcPr>
          <w:p w14:paraId="3E3491AD">
            <w:pPr>
              <w:pStyle w:val="26"/>
              <w:bidi w:val="0"/>
              <w:rPr>
                <w:color w:val="auto"/>
                <w:lang w:val="en-US" w:eastAsia="zh-CN"/>
              </w:rPr>
            </w:pPr>
            <w:r>
              <w:rPr>
                <w:rFonts w:hint="eastAsia"/>
                <w:color w:val="auto"/>
                <w:lang w:val="en-US" w:eastAsia="zh-CN"/>
              </w:rPr>
              <w:t>6</w:t>
            </w:r>
            <w:r>
              <w:rPr>
                <w:color w:val="auto"/>
                <w:lang w:val="en-US" w:eastAsia="zh-CN"/>
              </w:rPr>
              <w:t>mg/L</w:t>
            </w:r>
          </w:p>
        </w:tc>
      </w:tr>
      <w:tr w14:paraId="5FE5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359" w:type="pct"/>
            <w:vMerge w:val="continue"/>
            <w:shd w:val="clear" w:color="auto" w:fill="auto"/>
            <w:tcMar>
              <w:left w:w="0" w:type="dxa"/>
              <w:right w:w="0" w:type="dxa"/>
            </w:tcMar>
            <w:vAlign w:val="center"/>
          </w:tcPr>
          <w:p w14:paraId="14BD829E">
            <w:pPr>
              <w:pStyle w:val="26"/>
              <w:bidi w:val="0"/>
              <w:rPr>
                <w:color w:val="auto"/>
                <w:lang w:val="en-US" w:eastAsia="zh-CN"/>
              </w:rPr>
            </w:pPr>
          </w:p>
        </w:tc>
        <w:tc>
          <w:tcPr>
            <w:tcW w:w="1362" w:type="pct"/>
            <w:shd w:val="clear" w:color="auto" w:fill="auto"/>
            <w:tcMar>
              <w:left w:w="0" w:type="dxa"/>
              <w:right w:w="0" w:type="dxa"/>
            </w:tcMar>
            <w:vAlign w:val="center"/>
          </w:tcPr>
          <w:p w14:paraId="20A19583">
            <w:pPr>
              <w:pStyle w:val="26"/>
              <w:bidi w:val="0"/>
              <w:rPr>
                <w:color w:val="auto"/>
                <w:lang w:val="en-US" w:eastAsia="zh-CN"/>
              </w:rPr>
            </w:pPr>
            <w:r>
              <w:rPr>
                <w:color w:val="auto"/>
                <w:lang w:val="en-US" w:eastAsia="zh-CN"/>
              </w:rPr>
              <w:t>总氮（以N计）</w:t>
            </w:r>
          </w:p>
        </w:tc>
        <w:tc>
          <w:tcPr>
            <w:tcW w:w="1370" w:type="pct"/>
            <w:vMerge w:val="continue"/>
            <w:shd w:val="clear" w:color="auto" w:fill="auto"/>
            <w:tcMar>
              <w:left w:w="0" w:type="dxa"/>
              <w:right w:w="0" w:type="dxa"/>
            </w:tcMar>
            <w:vAlign w:val="center"/>
          </w:tcPr>
          <w:p w14:paraId="374D6145">
            <w:pPr>
              <w:pStyle w:val="26"/>
              <w:bidi w:val="0"/>
              <w:rPr>
                <w:color w:val="auto"/>
                <w:lang w:val="en-US" w:eastAsia="zh-CN"/>
              </w:rPr>
            </w:pPr>
          </w:p>
        </w:tc>
        <w:tc>
          <w:tcPr>
            <w:tcW w:w="907" w:type="pct"/>
            <w:shd w:val="clear" w:color="auto" w:fill="auto"/>
            <w:tcMar>
              <w:left w:w="0" w:type="dxa"/>
              <w:right w:w="0" w:type="dxa"/>
            </w:tcMar>
            <w:vAlign w:val="center"/>
          </w:tcPr>
          <w:p w14:paraId="40C9E3DE">
            <w:pPr>
              <w:pStyle w:val="26"/>
              <w:bidi w:val="0"/>
              <w:rPr>
                <w:color w:val="auto"/>
                <w:lang w:val="en-US" w:eastAsia="zh-CN"/>
              </w:rPr>
            </w:pPr>
            <w:r>
              <w:rPr>
                <w:rFonts w:hint="eastAsia"/>
                <w:color w:val="auto"/>
                <w:lang w:val="en-US" w:eastAsia="zh-CN"/>
              </w:rPr>
              <w:t>50</w:t>
            </w:r>
            <w:r>
              <w:rPr>
                <w:color w:val="auto"/>
                <w:lang w:val="en-US" w:eastAsia="zh-CN"/>
              </w:rPr>
              <w:t>mg/L</w:t>
            </w:r>
          </w:p>
        </w:tc>
      </w:tr>
    </w:tbl>
    <w:p w14:paraId="08B2A756">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9</w:t>
      </w:r>
      <w:r>
        <w:rPr>
          <w:color w:val="auto"/>
          <w:lang w:val="en-US" w:eastAsia="zh-CN"/>
        </w:rPr>
        <w:fldChar w:fldCharType="end"/>
      </w:r>
      <w:r>
        <w:rPr>
          <w:rFonts w:hint="eastAsia"/>
          <w:color w:val="auto"/>
          <w:lang w:val="en-US" w:eastAsia="zh-CN"/>
        </w:rPr>
        <w:t>本项目雨水</w:t>
      </w:r>
      <w:r>
        <w:rPr>
          <w:color w:val="auto"/>
          <w:lang w:val="en-US" w:eastAsia="zh-CN"/>
        </w:rPr>
        <w:t>排放</w:t>
      </w:r>
      <w:r>
        <w:rPr>
          <w:rFonts w:hint="eastAsia"/>
          <w:color w:val="auto"/>
          <w:lang w:val="en-US" w:eastAsia="zh-CN"/>
        </w:rPr>
        <w:t>口</w:t>
      </w:r>
      <w:r>
        <w:rPr>
          <w:color w:val="auto"/>
          <w:lang w:val="en-US" w:eastAsia="zh-CN"/>
        </w:rPr>
        <w:t>执行标准</w:t>
      </w:r>
    </w:p>
    <w:tbl>
      <w:tblPr>
        <w:tblStyle w:val="19"/>
        <w:tblW w:w="5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80"/>
        <w:gridCol w:w="2198"/>
        <w:gridCol w:w="2345"/>
        <w:gridCol w:w="2120"/>
      </w:tblGrid>
      <w:tr w14:paraId="351B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07" w:type="pct"/>
            <w:vMerge w:val="restart"/>
            <w:tcMar>
              <w:left w:w="0" w:type="dxa"/>
              <w:right w:w="0" w:type="dxa"/>
            </w:tcMar>
            <w:vAlign w:val="center"/>
          </w:tcPr>
          <w:p w14:paraId="4DF8EBA1">
            <w:pPr>
              <w:pStyle w:val="36"/>
              <w:bidi w:val="0"/>
              <w:rPr>
                <w:rFonts w:hint="default"/>
                <w:color w:val="auto"/>
                <w:lang w:val="en-US" w:eastAsia="zh-CN"/>
              </w:rPr>
            </w:pPr>
            <w:r>
              <w:rPr>
                <w:rFonts w:hint="eastAsia"/>
                <w:color w:val="auto"/>
                <w:lang w:val="en-US" w:eastAsia="zh-CN"/>
              </w:rPr>
              <w:t>排放口名称</w:t>
            </w:r>
          </w:p>
        </w:tc>
        <w:tc>
          <w:tcPr>
            <w:tcW w:w="1317" w:type="pct"/>
            <w:vMerge w:val="restart"/>
            <w:tcMar>
              <w:left w:w="0" w:type="dxa"/>
              <w:right w:w="0" w:type="dxa"/>
            </w:tcMar>
            <w:vAlign w:val="center"/>
          </w:tcPr>
          <w:p w14:paraId="2790DFDA">
            <w:pPr>
              <w:pStyle w:val="36"/>
              <w:bidi w:val="0"/>
              <w:rPr>
                <w:color w:val="auto"/>
                <w:lang w:val="en-US" w:eastAsia="zh-CN"/>
              </w:rPr>
            </w:pPr>
            <w:r>
              <w:rPr>
                <w:color w:val="auto"/>
                <w:lang w:val="en-US" w:eastAsia="zh-CN"/>
              </w:rPr>
              <w:t>污染物种类</w:t>
            </w:r>
          </w:p>
        </w:tc>
        <w:tc>
          <w:tcPr>
            <w:tcW w:w="2675" w:type="pct"/>
            <w:gridSpan w:val="2"/>
            <w:tcMar>
              <w:left w:w="0" w:type="dxa"/>
              <w:right w:w="0" w:type="dxa"/>
            </w:tcMar>
            <w:vAlign w:val="center"/>
          </w:tcPr>
          <w:p w14:paraId="73B9E8B3">
            <w:pPr>
              <w:pStyle w:val="36"/>
              <w:bidi w:val="0"/>
              <w:rPr>
                <w:rFonts w:hint="default"/>
                <w:color w:val="auto"/>
                <w:lang w:val="en-US" w:eastAsia="zh-CN"/>
              </w:rPr>
            </w:pPr>
            <w:r>
              <w:rPr>
                <w:rFonts w:hint="eastAsia"/>
                <w:color w:val="auto"/>
                <w:lang w:val="en-US" w:eastAsia="zh-CN"/>
              </w:rPr>
              <w:t>本次环评要求参照执行标准</w:t>
            </w:r>
          </w:p>
        </w:tc>
      </w:tr>
      <w:tr w14:paraId="38AA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07" w:type="pct"/>
            <w:vMerge w:val="continue"/>
            <w:tcMar>
              <w:left w:w="0" w:type="dxa"/>
              <w:right w:w="0" w:type="dxa"/>
            </w:tcMar>
            <w:vAlign w:val="center"/>
          </w:tcPr>
          <w:p w14:paraId="2EDB0C2E">
            <w:pPr>
              <w:pStyle w:val="36"/>
              <w:bidi w:val="0"/>
              <w:rPr>
                <w:color w:val="auto"/>
                <w:lang w:val="en-US" w:eastAsia="zh-CN"/>
              </w:rPr>
            </w:pPr>
          </w:p>
        </w:tc>
        <w:tc>
          <w:tcPr>
            <w:tcW w:w="1317" w:type="pct"/>
            <w:vMerge w:val="continue"/>
            <w:tcMar>
              <w:left w:w="0" w:type="dxa"/>
              <w:right w:w="0" w:type="dxa"/>
            </w:tcMar>
            <w:vAlign w:val="center"/>
          </w:tcPr>
          <w:p w14:paraId="2D7EEDA3">
            <w:pPr>
              <w:pStyle w:val="36"/>
              <w:bidi w:val="0"/>
              <w:rPr>
                <w:color w:val="auto"/>
                <w:lang w:val="en-US" w:eastAsia="zh-CN"/>
              </w:rPr>
            </w:pPr>
          </w:p>
        </w:tc>
        <w:tc>
          <w:tcPr>
            <w:tcW w:w="1405" w:type="pct"/>
            <w:tcMar>
              <w:left w:w="0" w:type="dxa"/>
              <w:right w:w="0" w:type="dxa"/>
            </w:tcMar>
            <w:vAlign w:val="center"/>
          </w:tcPr>
          <w:p w14:paraId="501BB400">
            <w:pPr>
              <w:pStyle w:val="36"/>
              <w:bidi w:val="0"/>
              <w:rPr>
                <w:color w:val="auto"/>
                <w:lang w:val="en-US" w:eastAsia="zh-CN"/>
              </w:rPr>
            </w:pPr>
            <w:r>
              <w:rPr>
                <w:rFonts w:hint="eastAsia"/>
                <w:color w:val="auto"/>
                <w:lang w:val="en-US" w:eastAsia="zh-CN"/>
              </w:rPr>
              <w:t>参照标准</w:t>
            </w:r>
            <w:r>
              <w:rPr>
                <w:color w:val="auto"/>
                <w:lang w:val="en-US" w:eastAsia="zh-CN"/>
              </w:rPr>
              <w:t>名称</w:t>
            </w:r>
          </w:p>
        </w:tc>
        <w:tc>
          <w:tcPr>
            <w:tcW w:w="1269" w:type="pct"/>
            <w:tcMar>
              <w:left w:w="0" w:type="dxa"/>
              <w:right w:w="0" w:type="dxa"/>
            </w:tcMar>
            <w:vAlign w:val="center"/>
          </w:tcPr>
          <w:p w14:paraId="458BD56D">
            <w:pPr>
              <w:pStyle w:val="36"/>
              <w:bidi w:val="0"/>
              <w:rPr>
                <w:color w:val="auto"/>
                <w:lang w:val="en-US" w:eastAsia="zh-CN"/>
              </w:rPr>
            </w:pPr>
            <w:r>
              <w:rPr>
                <w:color w:val="auto"/>
                <w:lang w:val="en-US" w:eastAsia="zh-CN"/>
              </w:rPr>
              <w:t>浓度限值</w:t>
            </w:r>
          </w:p>
        </w:tc>
      </w:tr>
      <w:tr w14:paraId="3416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atLeast"/>
          <w:jc w:val="center"/>
        </w:trPr>
        <w:tc>
          <w:tcPr>
            <w:tcW w:w="1007" w:type="pct"/>
            <w:vMerge w:val="restart"/>
            <w:shd w:val="clear" w:color="auto" w:fill="auto"/>
            <w:tcMar>
              <w:left w:w="0" w:type="dxa"/>
              <w:right w:w="0" w:type="dxa"/>
            </w:tcMar>
            <w:vAlign w:val="center"/>
          </w:tcPr>
          <w:p w14:paraId="4A859CC9">
            <w:pPr>
              <w:pStyle w:val="26"/>
              <w:bidi w:val="0"/>
              <w:rPr>
                <w:rFonts w:hint="default"/>
                <w:color w:val="auto"/>
                <w:lang w:val="en-US" w:eastAsia="zh-CN"/>
              </w:rPr>
            </w:pPr>
            <w:r>
              <w:rPr>
                <w:rFonts w:hint="eastAsia"/>
                <w:color w:val="auto"/>
                <w:lang w:val="en-US" w:eastAsia="zh-CN"/>
              </w:rPr>
              <w:t>雨水排放口YS001</w:t>
            </w:r>
          </w:p>
        </w:tc>
        <w:tc>
          <w:tcPr>
            <w:tcW w:w="1317" w:type="pct"/>
            <w:shd w:val="clear" w:color="auto" w:fill="auto"/>
            <w:tcMar>
              <w:left w:w="0" w:type="dxa"/>
              <w:right w:w="0" w:type="dxa"/>
            </w:tcMar>
            <w:vAlign w:val="center"/>
          </w:tcPr>
          <w:p w14:paraId="17E71619">
            <w:pPr>
              <w:pStyle w:val="26"/>
              <w:bidi w:val="0"/>
              <w:rPr>
                <w:rFonts w:hint="default"/>
                <w:color w:val="auto"/>
                <w:lang w:val="en-US" w:eastAsia="zh-CN"/>
              </w:rPr>
            </w:pPr>
            <w:r>
              <w:rPr>
                <w:rFonts w:hint="eastAsia"/>
                <w:color w:val="auto"/>
                <w:lang w:val="en-US" w:eastAsia="zh-CN"/>
              </w:rPr>
              <w:t>COD</w:t>
            </w:r>
          </w:p>
        </w:tc>
        <w:tc>
          <w:tcPr>
            <w:tcW w:w="1405" w:type="pct"/>
            <w:vMerge w:val="restart"/>
            <w:shd w:val="clear" w:color="auto" w:fill="auto"/>
            <w:tcMar>
              <w:left w:w="0" w:type="dxa"/>
              <w:right w:w="0" w:type="dxa"/>
            </w:tcMar>
            <w:vAlign w:val="center"/>
          </w:tcPr>
          <w:p w14:paraId="0E555662">
            <w:pPr>
              <w:pStyle w:val="26"/>
              <w:bidi w:val="0"/>
              <w:rPr>
                <w:rFonts w:hint="default" w:eastAsia="仿宋_GB2312"/>
                <w:color w:val="auto"/>
                <w:lang w:val="en-US" w:eastAsia="zh-CN"/>
              </w:rPr>
            </w:pPr>
            <w:r>
              <w:rPr>
                <w:rFonts w:hint="eastAsia"/>
                <w:color w:val="auto"/>
                <w:lang w:eastAsia="zh-CN"/>
              </w:rPr>
              <w:t>《</w:t>
            </w:r>
            <w:r>
              <w:rPr>
                <w:rFonts w:hint="eastAsia"/>
                <w:color w:val="auto"/>
              </w:rPr>
              <w:t>地表水环境质量标准</w:t>
            </w:r>
            <w:r>
              <w:rPr>
                <w:rFonts w:hint="eastAsia"/>
                <w:color w:val="auto"/>
                <w:lang w:eastAsia="zh-CN"/>
              </w:rPr>
              <w:t>》（</w:t>
            </w:r>
            <w:r>
              <w:rPr>
                <w:rFonts w:hint="eastAsia"/>
                <w:color w:val="auto"/>
                <w:lang w:val="en-US" w:eastAsia="zh-CN"/>
              </w:rPr>
              <w:t>GB3838-2002</w:t>
            </w:r>
            <w:r>
              <w:rPr>
                <w:rFonts w:hint="eastAsia"/>
                <w:color w:val="auto"/>
                <w:lang w:eastAsia="zh-CN"/>
              </w:rPr>
              <w:t>）</w:t>
            </w:r>
            <w:r>
              <w:rPr>
                <w:rFonts w:hint="eastAsia"/>
                <w:color w:val="auto"/>
                <w:lang w:val="en-US" w:eastAsia="zh-CN"/>
              </w:rPr>
              <w:t>IV类</w:t>
            </w:r>
          </w:p>
        </w:tc>
        <w:tc>
          <w:tcPr>
            <w:tcW w:w="1269" w:type="pct"/>
            <w:shd w:val="clear" w:color="auto" w:fill="auto"/>
            <w:tcMar>
              <w:left w:w="0" w:type="dxa"/>
              <w:right w:w="0" w:type="dxa"/>
            </w:tcMar>
            <w:vAlign w:val="center"/>
          </w:tcPr>
          <w:p w14:paraId="4AE77DC1">
            <w:pPr>
              <w:pStyle w:val="26"/>
              <w:bidi w:val="0"/>
              <w:rPr>
                <w:rFonts w:hint="default"/>
                <w:color w:val="auto"/>
                <w:lang w:val="en-US" w:eastAsia="zh-CN"/>
              </w:rPr>
            </w:pPr>
            <w:r>
              <w:rPr>
                <w:rFonts w:hint="eastAsia"/>
                <w:color w:val="auto"/>
                <w:lang w:val="en-US" w:eastAsia="zh-CN"/>
              </w:rPr>
              <w:t>30</w:t>
            </w:r>
          </w:p>
        </w:tc>
      </w:tr>
      <w:tr w14:paraId="439E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7" w:type="pct"/>
            <w:vMerge w:val="continue"/>
            <w:shd w:val="clear" w:color="auto" w:fill="auto"/>
            <w:tcMar>
              <w:left w:w="0" w:type="dxa"/>
              <w:right w:w="0" w:type="dxa"/>
            </w:tcMar>
            <w:vAlign w:val="center"/>
          </w:tcPr>
          <w:p w14:paraId="7EF3AD4F">
            <w:pPr>
              <w:pStyle w:val="26"/>
              <w:bidi w:val="0"/>
              <w:rPr>
                <w:color w:val="auto"/>
                <w:lang w:val="en-US" w:eastAsia="zh-CN"/>
              </w:rPr>
            </w:pPr>
          </w:p>
        </w:tc>
        <w:tc>
          <w:tcPr>
            <w:tcW w:w="1317" w:type="pct"/>
            <w:shd w:val="clear" w:color="auto" w:fill="auto"/>
            <w:tcMar>
              <w:left w:w="0" w:type="dxa"/>
              <w:right w:w="0" w:type="dxa"/>
            </w:tcMar>
            <w:vAlign w:val="center"/>
          </w:tcPr>
          <w:p w14:paraId="439E7D2C">
            <w:pPr>
              <w:pStyle w:val="26"/>
              <w:bidi w:val="0"/>
              <w:rPr>
                <w:rFonts w:hint="default"/>
                <w:color w:val="auto"/>
                <w:lang w:val="en-US" w:eastAsia="zh-CN"/>
              </w:rPr>
            </w:pPr>
            <w:r>
              <w:rPr>
                <w:rFonts w:hint="eastAsia"/>
                <w:color w:val="auto"/>
                <w:lang w:val="en-US" w:eastAsia="zh-CN"/>
              </w:rPr>
              <w:t>氨氮</w:t>
            </w:r>
          </w:p>
        </w:tc>
        <w:tc>
          <w:tcPr>
            <w:tcW w:w="1405" w:type="pct"/>
            <w:vMerge w:val="continue"/>
            <w:shd w:val="clear" w:color="auto" w:fill="auto"/>
            <w:tcMar>
              <w:left w:w="0" w:type="dxa"/>
              <w:right w:w="0" w:type="dxa"/>
            </w:tcMar>
            <w:vAlign w:val="center"/>
          </w:tcPr>
          <w:p w14:paraId="556D4A58">
            <w:pPr>
              <w:pStyle w:val="26"/>
              <w:bidi w:val="0"/>
              <w:rPr>
                <w:color w:val="auto"/>
                <w:lang w:val="en-US" w:eastAsia="zh-CN"/>
              </w:rPr>
            </w:pPr>
          </w:p>
        </w:tc>
        <w:tc>
          <w:tcPr>
            <w:tcW w:w="1269" w:type="pct"/>
            <w:shd w:val="clear" w:color="auto" w:fill="auto"/>
            <w:tcMar>
              <w:left w:w="0" w:type="dxa"/>
              <w:right w:w="0" w:type="dxa"/>
            </w:tcMar>
            <w:vAlign w:val="center"/>
          </w:tcPr>
          <w:p w14:paraId="18FDE426">
            <w:pPr>
              <w:pStyle w:val="26"/>
              <w:bidi w:val="0"/>
              <w:rPr>
                <w:rFonts w:hint="default"/>
                <w:color w:val="auto"/>
                <w:lang w:val="en-US" w:eastAsia="zh-CN"/>
              </w:rPr>
            </w:pPr>
            <w:r>
              <w:rPr>
                <w:rFonts w:hint="eastAsia"/>
                <w:color w:val="auto"/>
                <w:lang w:val="en-US" w:eastAsia="zh-CN"/>
              </w:rPr>
              <w:t>6</w:t>
            </w:r>
          </w:p>
        </w:tc>
      </w:tr>
      <w:tr w14:paraId="0BA0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7" w:type="pct"/>
            <w:vMerge w:val="continue"/>
            <w:shd w:val="clear" w:color="auto" w:fill="auto"/>
            <w:tcMar>
              <w:left w:w="0" w:type="dxa"/>
              <w:right w:w="0" w:type="dxa"/>
            </w:tcMar>
            <w:vAlign w:val="center"/>
          </w:tcPr>
          <w:p w14:paraId="047A339D">
            <w:pPr>
              <w:pStyle w:val="26"/>
              <w:bidi w:val="0"/>
              <w:rPr>
                <w:color w:val="auto"/>
                <w:lang w:val="en-US" w:eastAsia="zh-CN"/>
              </w:rPr>
            </w:pPr>
          </w:p>
        </w:tc>
        <w:tc>
          <w:tcPr>
            <w:tcW w:w="1317" w:type="pct"/>
            <w:shd w:val="clear" w:color="auto" w:fill="auto"/>
            <w:tcMar>
              <w:left w:w="0" w:type="dxa"/>
              <w:right w:w="0" w:type="dxa"/>
            </w:tcMar>
            <w:vAlign w:val="center"/>
          </w:tcPr>
          <w:p w14:paraId="37D127BC">
            <w:pPr>
              <w:pStyle w:val="26"/>
              <w:bidi w:val="0"/>
              <w:rPr>
                <w:rFonts w:hint="default"/>
                <w:color w:val="auto"/>
                <w:lang w:val="en-US" w:eastAsia="zh-CN"/>
              </w:rPr>
            </w:pPr>
            <w:r>
              <w:rPr>
                <w:rFonts w:hint="eastAsia"/>
                <w:color w:val="auto"/>
                <w:lang w:val="en-US" w:eastAsia="zh-CN"/>
              </w:rPr>
              <w:t>总氮</w:t>
            </w:r>
          </w:p>
        </w:tc>
        <w:tc>
          <w:tcPr>
            <w:tcW w:w="1405" w:type="pct"/>
            <w:vMerge w:val="continue"/>
            <w:shd w:val="clear" w:color="auto" w:fill="auto"/>
            <w:tcMar>
              <w:left w:w="0" w:type="dxa"/>
              <w:right w:w="0" w:type="dxa"/>
            </w:tcMar>
            <w:vAlign w:val="center"/>
          </w:tcPr>
          <w:p w14:paraId="75295446">
            <w:pPr>
              <w:pStyle w:val="26"/>
              <w:bidi w:val="0"/>
              <w:rPr>
                <w:color w:val="auto"/>
                <w:lang w:val="en-US" w:eastAsia="zh-CN"/>
              </w:rPr>
            </w:pPr>
          </w:p>
        </w:tc>
        <w:tc>
          <w:tcPr>
            <w:tcW w:w="1269" w:type="pct"/>
            <w:shd w:val="clear" w:color="auto" w:fill="auto"/>
            <w:tcMar>
              <w:left w:w="0" w:type="dxa"/>
              <w:right w:w="0" w:type="dxa"/>
            </w:tcMar>
            <w:vAlign w:val="center"/>
          </w:tcPr>
          <w:p w14:paraId="120642F3">
            <w:pPr>
              <w:pStyle w:val="26"/>
              <w:bidi w:val="0"/>
              <w:rPr>
                <w:rFonts w:hint="default"/>
                <w:color w:val="auto"/>
                <w:lang w:val="en-US" w:eastAsia="zh-CN"/>
              </w:rPr>
            </w:pPr>
            <w:r>
              <w:rPr>
                <w:rFonts w:hint="eastAsia"/>
                <w:color w:val="auto"/>
                <w:lang w:val="en-US" w:eastAsia="zh-CN"/>
              </w:rPr>
              <w:t>1.0</w:t>
            </w:r>
          </w:p>
        </w:tc>
      </w:tr>
      <w:tr w14:paraId="5250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7" w:type="pct"/>
            <w:vMerge w:val="continue"/>
            <w:shd w:val="clear" w:color="auto" w:fill="auto"/>
            <w:tcMar>
              <w:left w:w="0" w:type="dxa"/>
              <w:right w:w="0" w:type="dxa"/>
            </w:tcMar>
            <w:vAlign w:val="center"/>
          </w:tcPr>
          <w:p w14:paraId="40249D8A">
            <w:pPr>
              <w:pStyle w:val="26"/>
              <w:bidi w:val="0"/>
              <w:rPr>
                <w:color w:val="auto"/>
                <w:lang w:val="en-US" w:eastAsia="zh-CN"/>
              </w:rPr>
            </w:pPr>
          </w:p>
        </w:tc>
        <w:tc>
          <w:tcPr>
            <w:tcW w:w="1317" w:type="pct"/>
            <w:shd w:val="clear" w:color="auto" w:fill="auto"/>
            <w:tcMar>
              <w:left w:w="0" w:type="dxa"/>
              <w:right w:w="0" w:type="dxa"/>
            </w:tcMar>
            <w:vAlign w:val="center"/>
          </w:tcPr>
          <w:p w14:paraId="2364B7BA">
            <w:pPr>
              <w:pStyle w:val="26"/>
              <w:bidi w:val="0"/>
              <w:rPr>
                <w:rFonts w:hint="default"/>
                <w:color w:val="auto"/>
                <w:lang w:val="en-US" w:eastAsia="zh-CN"/>
              </w:rPr>
            </w:pPr>
            <w:r>
              <w:rPr>
                <w:rFonts w:hint="eastAsia"/>
                <w:color w:val="auto"/>
                <w:lang w:val="en-US" w:eastAsia="zh-CN"/>
              </w:rPr>
              <w:t>总磷</w:t>
            </w:r>
          </w:p>
        </w:tc>
        <w:tc>
          <w:tcPr>
            <w:tcW w:w="1405" w:type="pct"/>
            <w:vMerge w:val="continue"/>
            <w:shd w:val="clear" w:color="auto" w:fill="auto"/>
            <w:tcMar>
              <w:left w:w="0" w:type="dxa"/>
              <w:right w:w="0" w:type="dxa"/>
            </w:tcMar>
            <w:vAlign w:val="center"/>
          </w:tcPr>
          <w:p w14:paraId="584D5104">
            <w:pPr>
              <w:pStyle w:val="26"/>
              <w:bidi w:val="0"/>
              <w:rPr>
                <w:color w:val="auto"/>
                <w:lang w:val="en-US" w:eastAsia="zh-CN"/>
              </w:rPr>
            </w:pPr>
          </w:p>
        </w:tc>
        <w:tc>
          <w:tcPr>
            <w:tcW w:w="1269" w:type="pct"/>
            <w:shd w:val="clear" w:color="auto" w:fill="auto"/>
            <w:tcMar>
              <w:left w:w="0" w:type="dxa"/>
              <w:right w:w="0" w:type="dxa"/>
            </w:tcMar>
            <w:vAlign w:val="center"/>
          </w:tcPr>
          <w:p w14:paraId="37DED936">
            <w:pPr>
              <w:pStyle w:val="26"/>
              <w:bidi w:val="0"/>
              <w:rPr>
                <w:rFonts w:hint="default"/>
                <w:color w:val="auto"/>
                <w:lang w:val="en-US" w:eastAsia="zh-CN"/>
              </w:rPr>
            </w:pPr>
            <w:r>
              <w:rPr>
                <w:rFonts w:hint="eastAsia"/>
                <w:color w:val="auto"/>
                <w:lang w:val="en-US" w:eastAsia="zh-CN"/>
              </w:rPr>
              <w:t>0.2</w:t>
            </w:r>
          </w:p>
        </w:tc>
      </w:tr>
      <w:tr w14:paraId="7C6C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7" w:type="pct"/>
            <w:vMerge w:val="continue"/>
            <w:shd w:val="clear" w:color="auto" w:fill="auto"/>
            <w:tcMar>
              <w:left w:w="0" w:type="dxa"/>
              <w:right w:w="0" w:type="dxa"/>
            </w:tcMar>
            <w:vAlign w:val="center"/>
          </w:tcPr>
          <w:p w14:paraId="6E7FB12C">
            <w:pPr>
              <w:pStyle w:val="26"/>
              <w:bidi w:val="0"/>
              <w:rPr>
                <w:color w:val="auto"/>
                <w:lang w:val="en-US" w:eastAsia="zh-CN"/>
              </w:rPr>
            </w:pPr>
          </w:p>
        </w:tc>
        <w:tc>
          <w:tcPr>
            <w:tcW w:w="1317" w:type="pct"/>
            <w:shd w:val="clear" w:color="auto" w:fill="auto"/>
            <w:tcMar>
              <w:left w:w="0" w:type="dxa"/>
              <w:right w:w="0" w:type="dxa"/>
            </w:tcMar>
            <w:vAlign w:val="center"/>
          </w:tcPr>
          <w:p w14:paraId="025DE5CE">
            <w:pPr>
              <w:pStyle w:val="26"/>
              <w:bidi w:val="0"/>
              <w:rPr>
                <w:rFonts w:hint="default"/>
                <w:color w:val="auto"/>
                <w:lang w:val="en-US" w:eastAsia="zh-CN"/>
              </w:rPr>
            </w:pPr>
            <w:r>
              <w:rPr>
                <w:rFonts w:hint="eastAsia"/>
                <w:color w:val="auto"/>
                <w:lang w:val="en-US" w:eastAsia="zh-CN"/>
              </w:rPr>
              <w:t>pH值</w:t>
            </w:r>
          </w:p>
        </w:tc>
        <w:tc>
          <w:tcPr>
            <w:tcW w:w="1405" w:type="pct"/>
            <w:vMerge w:val="continue"/>
            <w:shd w:val="clear" w:color="auto" w:fill="auto"/>
            <w:tcMar>
              <w:left w:w="0" w:type="dxa"/>
              <w:right w:w="0" w:type="dxa"/>
            </w:tcMar>
            <w:vAlign w:val="center"/>
          </w:tcPr>
          <w:p w14:paraId="5B18CB45">
            <w:pPr>
              <w:pStyle w:val="26"/>
              <w:bidi w:val="0"/>
              <w:rPr>
                <w:color w:val="auto"/>
                <w:lang w:val="en-US" w:eastAsia="zh-CN"/>
              </w:rPr>
            </w:pPr>
          </w:p>
        </w:tc>
        <w:tc>
          <w:tcPr>
            <w:tcW w:w="1269" w:type="pct"/>
            <w:shd w:val="clear" w:color="auto" w:fill="auto"/>
            <w:tcMar>
              <w:left w:w="0" w:type="dxa"/>
              <w:right w:w="0" w:type="dxa"/>
            </w:tcMar>
            <w:vAlign w:val="center"/>
          </w:tcPr>
          <w:p w14:paraId="35502EA1">
            <w:pPr>
              <w:pStyle w:val="26"/>
              <w:bidi w:val="0"/>
              <w:rPr>
                <w:rFonts w:hint="default"/>
                <w:color w:val="auto"/>
                <w:lang w:val="en-US" w:eastAsia="zh-CN"/>
              </w:rPr>
            </w:pPr>
            <w:r>
              <w:rPr>
                <w:rFonts w:hint="eastAsia"/>
                <w:color w:val="auto"/>
                <w:lang w:val="en-US" w:eastAsia="zh-CN"/>
              </w:rPr>
              <w:t>6-9</w:t>
            </w:r>
          </w:p>
        </w:tc>
      </w:tr>
    </w:tbl>
    <w:p w14:paraId="6A9ED353">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10</w:t>
      </w:r>
      <w:r>
        <w:rPr>
          <w:color w:val="auto"/>
          <w:lang w:val="en-US" w:eastAsia="zh-CN"/>
        </w:rPr>
        <w:fldChar w:fldCharType="end"/>
      </w:r>
      <w:r>
        <w:rPr>
          <w:rFonts w:hint="eastAsia"/>
          <w:color w:val="auto"/>
          <w:lang w:val="en-US" w:eastAsia="zh-CN"/>
        </w:rPr>
        <w:t>本项目中水回用水质</w:t>
      </w:r>
      <w:r>
        <w:rPr>
          <w:color w:val="auto"/>
          <w:lang w:val="en-US" w:eastAsia="zh-CN"/>
        </w:rPr>
        <w:t>标准</w:t>
      </w:r>
    </w:p>
    <w:tbl>
      <w:tblPr>
        <w:tblStyle w:val="19"/>
        <w:tblW w:w="50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83"/>
        <w:gridCol w:w="2203"/>
        <w:gridCol w:w="2351"/>
        <w:gridCol w:w="2126"/>
      </w:tblGrid>
      <w:tr w14:paraId="1C29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06" w:type="pct"/>
            <w:vMerge w:val="restart"/>
            <w:tcMar>
              <w:left w:w="0" w:type="dxa"/>
              <w:right w:w="0" w:type="dxa"/>
            </w:tcMar>
            <w:vAlign w:val="center"/>
          </w:tcPr>
          <w:p w14:paraId="0ADDCD6D">
            <w:pPr>
              <w:pStyle w:val="36"/>
              <w:bidi w:val="0"/>
              <w:rPr>
                <w:rFonts w:hint="default"/>
                <w:color w:val="auto"/>
                <w:lang w:val="en-US" w:eastAsia="zh-CN"/>
              </w:rPr>
            </w:pPr>
            <w:r>
              <w:rPr>
                <w:rFonts w:hint="eastAsia"/>
                <w:color w:val="auto"/>
                <w:lang w:val="en-US" w:eastAsia="zh-CN"/>
              </w:rPr>
              <w:t>名称</w:t>
            </w:r>
          </w:p>
        </w:tc>
        <w:tc>
          <w:tcPr>
            <w:tcW w:w="1317" w:type="pct"/>
            <w:vMerge w:val="restart"/>
            <w:tcMar>
              <w:left w:w="0" w:type="dxa"/>
              <w:right w:w="0" w:type="dxa"/>
            </w:tcMar>
            <w:vAlign w:val="center"/>
          </w:tcPr>
          <w:p w14:paraId="47DDAC71">
            <w:pPr>
              <w:pStyle w:val="36"/>
              <w:bidi w:val="0"/>
              <w:rPr>
                <w:color w:val="auto"/>
                <w:lang w:val="en-US" w:eastAsia="zh-CN"/>
              </w:rPr>
            </w:pPr>
            <w:r>
              <w:rPr>
                <w:color w:val="auto"/>
                <w:lang w:val="en-US" w:eastAsia="zh-CN"/>
              </w:rPr>
              <w:t>污染物种类</w:t>
            </w:r>
          </w:p>
        </w:tc>
        <w:tc>
          <w:tcPr>
            <w:tcW w:w="2676" w:type="pct"/>
            <w:gridSpan w:val="2"/>
            <w:tcMar>
              <w:left w:w="0" w:type="dxa"/>
              <w:right w:w="0" w:type="dxa"/>
            </w:tcMar>
            <w:vAlign w:val="center"/>
          </w:tcPr>
          <w:p w14:paraId="5C33870F">
            <w:pPr>
              <w:pStyle w:val="36"/>
              <w:bidi w:val="0"/>
              <w:rPr>
                <w:rFonts w:hint="default"/>
                <w:color w:val="auto"/>
                <w:lang w:val="en-US" w:eastAsia="zh-CN"/>
              </w:rPr>
            </w:pPr>
            <w:r>
              <w:rPr>
                <w:rFonts w:hint="eastAsia"/>
                <w:color w:val="auto"/>
                <w:lang w:val="en-US" w:eastAsia="zh-CN"/>
              </w:rPr>
              <w:t>本次环评要求参照执行标准</w:t>
            </w:r>
          </w:p>
        </w:tc>
      </w:tr>
      <w:tr w14:paraId="559D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06" w:type="pct"/>
            <w:vMerge w:val="continue"/>
            <w:tcMar>
              <w:left w:w="0" w:type="dxa"/>
              <w:right w:w="0" w:type="dxa"/>
            </w:tcMar>
            <w:vAlign w:val="center"/>
          </w:tcPr>
          <w:p w14:paraId="409A0FD3">
            <w:pPr>
              <w:pStyle w:val="36"/>
              <w:bidi w:val="0"/>
              <w:rPr>
                <w:color w:val="auto"/>
                <w:lang w:val="en-US" w:eastAsia="zh-CN"/>
              </w:rPr>
            </w:pPr>
          </w:p>
        </w:tc>
        <w:tc>
          <w:tcPr>
            <w:tcW w:w="1317" w:type="pct"/>
            <w:vMerge w:val="continue"/>
            <w:tcMar>
              <w:left w:w="0" w:type="dxa"/>
              <w:right w:w="0" w:type="dxa"/>
            </w:tcMar>
            <w:vAlign w:val="center"/>
          </w:tcPr>
          <w:p w14:paraId="0D53B164">
            <w:pPr>
              <w:pStyle w:val="36"/>
              <w:bidi w:val="0"/>
              <w:rPr>
                <w:color w:val="auto"/>
                <w:lang w:val="en-US" w:eastAsia="zh-CN"/>
              </w:rPr>
            </w:pPr>
          </w:p>
        </w:tc>
        <w:tc>
          <w:tcPr>
            <w:tcW w:w="1405" w:type="pct"/>
            <w:tcMar>
              <w:left w:w="0" w:type="dxa"/>
              <w:right w:w="0" w:type="dxa"/>
            </w:tcMar>
            <w:vAlign w:val="center"/>
          </w:tcPr>
          <w:p w14:paraId="3E6F7BC9">
            <w:pPr>
              <w:pStyle w:val="36"/>
              <w:bidi w:val="0"/>
              <w:rPr>
                <w:color w:val="auto"/>
                <w:lang w:val="en-US" w:eastAsia="zh-CN"/>
              </w:rPr>
            </w:pPr>
            <w:r>
              <w:rPr>
                <w:rFonts w:hint="eastAsia"/>
                <w:color w:val="auto"/>
                <w:lang w:val="en-US" w:eastAsia="zh-CN"/>
              </w:rPr>
              <w:t>参照标准</w:t>
            </w:r>
            <w:r>
              <w:rPr>
                <w:color w:val="auto"/>
                <w:lang w:val="en-US" w:eastAsia="zh-CN"/>
              </w:rPr>
              <w:t>名称</w:t>
            </w:r>
          </w:p>
        </w:tc>
        <w:tc>
          <w:tcPr>
            <w:tcW w:w="1270" w:type="pct"/>
            <w:tcMar>
              <w:left w:w="0" w:type="dxa"/>
              <w:right w:w="0" w:type="dxa"/>
            </w:tcMar>
            <w:vAlign w:val="center"/>
          </w:tcPr>
          <w:p w14:paraId="35DF9B99">
            <w:pPr>
              <w:pStyle w:val="36"/>
              <w:bidi w:val="0"/>
              <w:rPr>
                <w:color w:val="auto"/>
                <w:lang w:val="en-US" w:eastAsia="zh-CN"/>
              </w:rPr>
            </w:pPr>
            <w:r>
              <w:rPr>
                <w:color w:val="auto"/>
                <w:lang w:val="en-US" w:eastAsia="zh-CN"/>
              </w:rPr>
              <w:t>浓度限值</w:t>
            </w:r>
          </w:p>
        </w:tc>
      </w:tr>
      <w:tr w14:paraId="283A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atLeast"/>
          <w:jc w:val="center"/>
        </w:trPr>
        <w:tc>
          <w:tcPr>
            <w:tcW w:w="1006" w:type="pct"/>
            <w:vMerge w:val="restart"/>
            <w:shd w:val="clear" w:color="auto" w:fill="auto"/>
            <w:tcMar>
              <w:left w:w="0" w:type="dxa"/>
              <w:right w:w="0" w:type="dxa"/>
            </w:tcMar>
            <w:vAlign w:val="center"/>
          </w:tcPr>
          <w:p w14:paraId="3643A416">
            <w:pPr>
              <w:pStyle w:val="26"/>
              <w:bidi w:val="0"/>
              <w:rPr>
                <w:rFonts w:hint="default"/>
                <w:color w:val="auto"/>
                <w:lang w:val="en-US" w:eastAsia="zh-CN"/>
              </w:rPr>
            </w:pPr>
            <w:r>
              <w:rPr>
                <w:rFonts w:hint="eastAsia"/>
                <w:color w:val="auto"/>
                <w:lang w:val="en-US" w:eastAsia="zh-CN"/>
              </w:rPr>
              <w:t>中水回用水质</w:t>
            </w:r>
          </w:p>
        </w:tc>
        <w:tc>
          <w:tcPr>
            <w:tcW w:w="1317" w:type="pct"/>
            <w:shd w:val="clear" w:color="auto" w:fill="auto"/>
            <w:tcMar>
              <w:left w:w="0" w:type="dxa"/>
              <w:right w:w="0" w:type="dxa"/>
            </w:tcMar>
            <w:vAlign w:val="center"/>
          </w:tcPr>
          <w:p w14:paraId="4D5CD871">
            <w:pPr>
              <w:pStyle w:val="26"/>
              <w:bidi w:val="0"/>
              <w:rPr>
                <w:rFonts w:hint="default"/>
                <w:color w:val="auto"/>
                <w:lang w:val="en-US" w:eastAsia="zh-CN"/>
              </w:rPr>
            </w:pPr>
            <w:r>
              <w:rPr>
                <w:rFonts w:hint="eastAsia"/>
                <w:color w:val="auto"/>
                <w:lang w:val="en-US" w:eastAsia="zh-CN"/>
              </w:rPr>
              <w:t>pH值</w:t>
            </w:r>
          </w:p>
        </w:tc>
        <w:tc>
          <w:tcPr>
            <w:tcW w:w="1405" w:type="pct"/>
            <w:vMerge w:val="restart"/>
            <w:shd w:val="clear" w:color="auto" w:fill="auto"/>
            <w:tcMar>
              <w:left w:w="0" w:type="dxa"/>
              <w:right w:w="0" w:type="dxa"/>
            </w:tcMar>
            <w:vAlign w:val="center"/>
          </w:tcPr>
          <w:p w14:paraId="476D3082">
            <w:pPr>
              <w:pStyle w:val="26"/>
              <w:bidi w:val="0"/>
              <w:rPr>
                <w:rFonts w:hint="default" w:eastAsia="仿宋_GB2312"/>
                <w:color w:val="auto"/>
                <w:lang w:val="en-US" w:eastAsia="zh-CN"/>
              </w:rPr>
            </w:pPr>
            <w:r>
              <w:rPr>
                <w:rFonts w:hint="eastAsia"/>
                <w:color w:val="auto"/>
                <w:lang w:val="en-US" w:eastAsia="zh-CN"/>
              </w:rPr>
              <w:t>《</w:t>
            </w:r>
            <w:r>
              <w:rPr>
                <w:rFonts w:hint="eastAsia"/>
                <w:color w:val="auto"/>
              </w:rPr>
              <w:t>城市污水再生利用工业用水水质</w:t>
            </w:r>
            <w:r>
              <w:rPr>
                <w:rFonts w:hint="eastAsia"/>
                <w:color w:val="auto"/>
                <w:lang w:val="en-US" w:eastAsia="zh-CN"/>
              </w:rPr>
              <w:t>》（</w:t>
            </w:r>
            <w:r>
              <w:rPr>
                <w:rFonts w:hint="eastAsia"/>
                <w:color w:val="auto"/>
              </w:rPr>
              <w:t>GB/T19923-2024</w:t>
            </w:r>
            <w:r>
              <w:rPr>
                <w:rFonts w:hint="eastAsia"/>
                <w:color w:val="auto"/>
                <w:lang w:val="en-US" w:eastAsia="zh-CN"/>
              </w:rPr>
              <w:t>）</w:t>
            </w:r>
          </w:p>
        </w:tc>
        <w:tc>
          <w:tcPr>
            <w:tcW w:w="1270" w:type="pct"/>
            <w:shd w:val="clear" w:color="auto" w:fill="auto"/>
            <w:tcMar>
              <w:left w:w="0" w:type="dxa"/>
              <w:right w:w="0" w:type="dxa"/>
            </w:tcMar>
            <w:vAlign w:val="center"/>
          </w:tcPr>
          <w:p w14:paraId="6642DECA">
            <w:pPr>
              <w:pStyle w:val="26"/>
              <w:bidi w:val="0"/>
              <w:rPr>
                <w:rFonts w:hint="default"/>
                <w:color w:val="auto"/>
                <w:lang w:val="en-US" w:eastAsia="zh-CN"/>
              </w:rPr>
            </w:pPr>
            <w:r>
              <w:rPr>
                <w:rFonts w:hint="eastAsia"/>
                <w:color w:val="auto"/>
                <w:lang w:val="en-US" w:eastAsia="zh-CN"/>
              </w:rPr>
              <w:t>6-9（无量纲）</w:t>
            </w:r>
          </w:p>
        </w:tc>
      </w:tr>
      <w:tr w14:paraId="5720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1D11BB37">
            <w:pPr>
              <w:pStyle w:val="26"/>
              <w:bidi w:val="0"/>
              <w:rPr>
                <w:color w:val="auto"/>
                <w:lang w:val="en-US" w:eastAsia="zh-CN"/>
              </w:rPr>
            </w:pPr>
          </w:p>
        </w:tc>
        <w:tc>
          <w:tcPr>
            <w:tcW w:w="1317" w:type="pct"/>
            <w:shd w:val="clear" w:color="auto" w:fill="auto"/>
            <w:tcMar>
              <w:left w:w="0" w:type="dxa"/>
              <w:right w:w="0" w:type="dxa"/>
            </w:tcMar>
            <w:vAlign w:val="center"/>
          </w:tcPr>
          <w:p w14:paraId="18D30442">
            <w:pPr>
              <w:pStyle w:val="26"/>
              <w:bidi w:val="0"/>
              <w:rPr>
                <w:rFonts w:hint="default"/>
                <w:color w:val="auto"/>
                <w:lang w:val="en-US" w:eastAsia="zh-CN"/>
              </w:rPr>
            </w:pPr>
            <w:r>
              <w:rPr>
                <w:rFonts w:hint="eastAsia"/>
                <w:color w:val="auto"/>
                <w:lang w:val="en-US" w:eastAsia="zh-CN"/>
              </w:rPr>
              <w:t>COD</w:t>
            </w:r>
          </w:p>
        </w:tc>
        <w:tc>
          <w:tcPr>
            <w:tcW w:w="1405" w:type="pct"/>
            <w:vMerge w:val="continue"/>
            <w:shd w:val="clear" w:color="auto" w:fill="auto"/>
            <w:tcMar>
              <w:left w:w="0" w:type="dxa"/>
              <w:right w:w="0" w:type="dxa"/>
            </w:tcMar>
            <w:vAlign w:val="center"/>
          </w:tcPr>
          <w:p w14:paraId="605035BE">
            <w:pPr>
              <w:pStyle w:val="26"/>
              <w:bidi w:val="0"/>
              <w:rPr>
                <w:color w:val="auto"/>
                <w:lang w:val="en-US" w:eastAsia="zh-CN"/>
              </w:rPr>
            </w:pPr>
          </w:p>
        </w:tc>
        <w:tc>
          <w:tcPr>
            <w:tcW w:w="1270" w:type="pct"/>
            <w:shd w:val="clear" w:color="auto" w:fill="auto"/>
            <w:tcMar>
              <w:left w:w="0" w:type="dxa"/>
              <w:right w:w="0" w:type="dxa"/>
            </w:tcMar>
            <w:vAlign w:val="center"/>
          </w:tcPr>
          <w:p w14:paraId="214EBE4E">
            <w:pPr>
              <w:pStyle w:val="26"/>
              <w:bidi w:val="0"/>
              <w:rPr>
                <w:rFonts w:hint="default"/>
                <w:color w:val="auto"/>
                <w:lang w:val="en-US" w:eastAsia="zh-CN"/>
              </w:rPr>
            </w:pPr>
            <w:r>
              <w:rPr>
                <w:rFonts w:hint="eastAsia"/>
                <w:color w:val="auto"/>
                <w:lang w:val="en-US" w:eastAsia="zh-CN"/>
              </w:rPr>
              <w:t>50mg/L</w:t>
            </w:r>
          </w:p>
        </w:tc>
      </w:tr>
      <w:tr w14:paraId="5078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5A2C6C7C">
            <w:pPr>
              <w:pStyle w:val="26"/>
              <w:bidi w:val="0"/>
              <w:rPr>
                <w:color w:val="auto"/>
                <w:lang w:val="en-US" w:eastAsia="zh-CN"/>
              </w:rPr>
            </w:pPr>
          </w:p>
        </w:tc>
        <w:tc>
          <w:tcPr>
            <w:tcW w:w="1317" w:type="pct"/>
            <w:shd w:val="clear" w:color="auto" w:fill="auto"/>
            <w:tcMar>
              <w:left w:w="0" w:type="dxa"/>
              <w:right w:w="0" w:type="dxa"/>
            </w:tcMar>
            <w:vAlign w:val="center"/>
          </w:tcPr>
          <w:p w14:paraId="4D7097A1">
            <w:pPr>
              <w:pStyle w:val="26"/>
              <w:bidi w:val="0"/>
              <w:rPr>
                <w:rFonts w:hint="default"/>
                <w:color w:val="auto"/>
                <w:lang w:val="en-US" w:eastAsia="zh-CN"/>
              </w:rPr>
            </w:pPr>
            <w:r>
              <w:rPr>
                <w:rFonts w:hint="eastAsia"/>
                <w:color w:val="auto"/>
                <w:lang w:val="en-US" w:eastAsia="zh-CN"/>
              </w:rPr>
              <w:t>浊度</w:t>
            </w:r>
          </w:p>
        </w:tc>
        <w:tc>
          <w:tcPr>
            <w:tcW w:w="1405" w:type="pct"/>
            <w:vMerge w:val="continue"/>
            <w:shd w:val="clear" w:color="auto" w:fill="auto"/>
            <w:tcMar>
              <w:left w:w="0" w:type="dxa"/>
              <w:right w:w="0" w:type="dxa"/>
            </w:tcMar>
            <w:vAlign w:val="center"/>
          </w:tcPr>
          <w:p w14:paraId="4AAD026A">
            <w:pPr>
              <w:pStyle w:val="26"/>
              <w:bidi w:val="0"/>
              <w:rPr>
                <w:color w:val="auto"/>
                <w:lang w:val="en-US" w:eastAsia="zh-CN"/>
              </w:rPr>
            </w:pPr>
          </w:p>
        </w:tc>
        <w:tc>
          <w:tcPr>
            <w:tcW w:w="1270" w:type="pct"/>
            <w:shd w:val="clear" w:color="auto" w:fill="auto"/>
            <w:tcMar>
              <w:left w:w="0" w:type="dxa"/>
              <w:right w:w="0" w:type="dxa"/>
            </w:tcMar>
            <w:vAlign w:val="center"/>
          </w:tcPr>
          <w:p w14:paraId="38E23696">
            <w:pPr>
              <w:pStyle w:val="26"/>
              <w:bidi w:val="0"/>
              <w:rPr>
                <w:rFonts w:hint="default"/>
                <w:color w:val="auto"/>
                <w:lang w:val="en-US" w:eastAsia="zh-CN"/>
              </w:rPr>
            </w:pPr>
            <w:r>
              <w:rPr>
                <w:rFonts w:hint="eastAsia"/>
                <w:color w:val="auto"/>
                <w:lang w:val="en-US" w:eastAsia="zh-CN"/>
              </w:rPr>
              <w:t>5（NTU）</w:t>
            </w:r>
          </w:p>
        </w:tc>
      </w:tr>
      <w:tr w14:paraId="291B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74921D61">
            <w:pPr>
              <w:pStyle w:val="26"/>
              <w:bidi w:val="0"/>
              <w:rPr>
                <w:color w:val="auto"/>
                <w:lang w:val="en-US" w:eastAsia="zh-CN"/>
              </w:rPr>
            </w:pPr>
          </w:p>
        </w:tc>
        <w:tc>
          <w:tcPr>
            <w:tcW w:w="1317" w:type="pct"/>
            <w:shd w:val="clear" w:color="auto" w:fill="auto"/>
            <w:tcMar>
              <w:left w:w="0" w:type="dxa"/>
              <w:right w:w="0" w:type="dxa"/>
            </w:tcMar>
            <w:vAlign w:val="center"/>
          </w:tcPr>
          <w:p w14:paraId="280FF9C7">
            <w:pPr>
              <w:pStyle w:val="26"/>
              <w:bidi w:val="0"/>
              <w:rPr>
                <w:rFonts w:hint="default"/>
                <w:color w:val="auto"/>
                <w:lang w:val="en-US" w:eastAsia="zh-CN"/>
              </w:rPr>
            </w:pPr>
            <w:r>
              <w:rPr>
                <w:rFonts w:hint="eastAsia"/>
                <w:color w:val="auto"/>
                <w:lang w:val="en-US" w:eastAsia="zh-CN"/>
              </w:rPr>
              <w:t>石油类</w:t>
            </w:r>
          </w:p>
        </w:tc>
        <w:tc>
          <w:tcPr>
            <w:tcW w:w="1405" w:type="pct"/>
            <w:vMerge w:val="continue"/>
            <w:shd w:val="clear" w:color="auto" w:fill="auto"/>
            <w:tcMar>
              <w:left w:w="0" w:type="dxa"/>
              <w:right w:w="0" w:type="dxa"/>
            </w:tcMar>
            <w:vAlign w:val="center"/>
          </w:tcPr>
          <w:p w14:paraId="586D4520">
            <w:pPr>
              <w:pStyle w:val="26"/>
              <w:bidi w:val="0"/>
              <w:rPr>
                <w:color w:val="auto"/>
                <w:lang w:val="en-US" w:eastAsia="zh-CN"/>
              </w:rPr>
            </w:pPr>
          </w:p>
        </w:tc>
        <w:tc>
          <w:tcPr>
            <w:tcW w:w="1270" w:type="pct"/>
            <w:shd w:val="clear" w:color="auto" w:fill="auto"/>
            <w:tcMar>
              <w:left w:w="0" w:type="dxa"/>
              <w:right w:w="0" w:type="dxa"/>
            </w:tcMar>
            <w:vAlign w:val="center"/>
          </w:tcPr>
          <w:p w14:paraId="38739DE1">
            <w:pPr>
              <w:pStyle w:val="26"/>
              <w:bidi w:val="0"/>
              <w:rPr>
                <w:rFonts w:hint="eastAsia"/>
                <w:color w:val="auto"/>
                <w:lang w:val="en-US" w:eastAsia="zh-CN"/>
              </w:rPr>
            </w:pPr>
            <w:r>
              <w:rPr>
                <w:rFonts w:hint="eastAsia"/>
                <w:color w:val="auto"/>
                <w:lang w:val="en-US" w:eastAsia="zh-CN"/>
              </w:rPr>
              <w:t>1.0mg/L</w:t>
            </w:r>
          </w:p>
        </w:tc>
      </w:tr>
      <w:tr w14:paraId="0CA4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35CD2638">
            <w:pPr>
              <w:pStyle w:val="26"/>
              <w:bidi w:val="0"/>
              <w:rPr>
                <w:color w:val="auto"/>
                <w:lang w:val="en-US" w:eastAsia="zh-CN"/>
              </w:rPr>
            </w:pPr>
          </w:p>
        </w:tc>
        <w:tc>
          <w:tcPr>
            <w:tcW w:w="1317" w:type="pct"/>
            <w:shd w:val="clear" w:color="auto" w:fill="auto"/>
            <w:tcMar>
              <w:left w:w="0" w:type="dxa"/>
              <w:right w:w="0" w:type="dxa"/>
            </w:tcMar>
            <w:vAlign w:val="center"/>
          </w:tcPr>
          <w:p w14:paraId="5EC6AC61">
            <w:pPr>
              <w:pStyle w:val="26"/>
              <w:bidi w:val="0"/>
              <w:rPr>
                <w:rFonts w:hint="default"/>
                <w:color w:val="auto"/>
                <w:lang w:val="en-US" w:eastAsia="zh-CN"/>
              </w:rPr>
            </w:pPr>
            <w:r>
              <w:rPr>
                <w:rFonts w:hint="eastAsia"/>
                <w:color w:val="auto"/>
                <w:lang w:val="en-US" w:eastAsia="zh-CN"/>
              </w:rPr>
              <w:t>氨氮</w:t>
            </w:r>
          </w:p>
        </w:tc>
        <w:tc>
          <w:tcPr>
            <w:tcW w:w="1405" w:type="pct"/>
            <w:vMerge w:val="continue"/>
            <w:shd w:val="clear" w:color="auto" w:fill="auto"/>
            <w:tcMar>
              <w:left w:w="0" w:type="dxa"/>
              <w:right w:w="0" w:type="dxa"/>
            </w:tcMar>
            <w:vAlign w:val="center"/>
          </w:tcPr>
          <w:p w14:paraId="7D1D9327">
            <w:pPr>
              <w:pStyle w:val="26"/>
              <w:bidi w:val="0"/>
              <w:rPr>
                <w:color w:val="auto"/>
                <w:lang w:val="en-US" w:eastAsia="zh-CN"/>
              </w:rPr>
            </w:pPr>
          </w:p>
        </w:tc>
        <w:tc>
          <w:tcPr>
            <w:tcW w:w="1270" w:type="pct"/>
            <w:shd w:val="clear" w:color="auto" w:fill="auto"/>
            <w:tcMar>
              <w:left w:w="0" w:type="dxa"/>
              <w:right w:w="0" w:type="dxa"/>
            </w:tcMar>
            <w:vAlign w:val="center"/>
          </w:tcPr>
          <w:p w14:paraId="4454DA22">
            <w:pPr>
              <w:pStyle w:val="26"/>
              <w:bidi w:val="0"/>
              <w:rPr>
                <w:rFonts w:hint="default"/>
                <w:color w:val="auto"/>
                <w:lang w:val="en-US" w:eastAsia="zh-CN"/>
              </w:rPr>
            </w:pPr>
            <w:r>
              <w:rPr>
                <w:rFonts w:hint="eastAsia"/>
                <w:color w:val="auto"/>
                <w:lang w:val="en-US" w:eastAsia="zh-CN"/>
              </w:rPr>
              <w:t>5mg/L</w:t>
            </w:r>
          </w:p>
        </w:tc>
      </w:tr>
      <w:tr w14:paraId="36DF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1F45583B">
            <w:pPr>
              <w:pStyle w:val="26"/>
              <w:bidi w:val="0"/>
              <w:rPr>
                <w:color w:val="auto"/>
                <w:lang w:val="en-US" w:eastAsia="zh-CN"/>
              </w:rPr>
            </w:pPr>
          </w:p>
        </w:tc>
        <w:tc>
          <w:tcPr>
            <w:tcW w:w="1317" w:type="pct"/>
            <w:shd w:val="clear" w:color="auto" w:fill="auto"/>
            <w:tcMar>
              <w:left w:w="0" w:type="dxa"/>
              <w:right w:w="0" w:type="dxa"/>
            </w:tcMar>
            <w:vAlign w:val="center"/>
          </w:tcPr>
          <w:p w14:paraId="36299D72">
            <w:pPr>
              <w:pStyle w:val="26"/>
              <w:bidi w:val="0"/>
              <w:rPr>
                <w:rFonts w:hint="default"/>
                <w:color w:val="auto"/>
                <w:lang w:val="en-US" w:eastAsia="zh-CN"/>
              </w:rPr>
            </w:pPr>
            <w:r>
              <w:rPr>
                <w:rFonts w:hint="eastAsia"/>
                <w:color w:val="auto"/>
                <w:lang w:val="en-US" w:eastAsia="zh-CN"/>
              </w:rPr>
              <w:t>总氮</w:t>
            </w:r>
          </w:p>
        </w:tc>
        <w:tc>
          <w:tcPr>
            <w:tcW w:w="1405" w:type="pct"/>
            <w:vMerge w:val="continue"/>
            <w:shd w:val="clear" w:color="auto" w:fill="auto"/>
            <w:tcMar>
              <w:left w:w="0" w:type="dxa"/>
              <w:right w:w="0" w:type="dxa"/>
            </w:tcMar>
            <w:vAlign w:val="center"/>
          </w:tcPr>
          <w:p w14:paraId="15BD5FA0">
            <w:pPr>
              <w:pStyle w:val="26"/>
              <w:bidi w:val="0"/>
              <w:rPr>
                <w:color w:val="auto"/>
                <w:lang w:val="en-US" w:eastAsia="zh-CN"/>
              </w:rPr>
            </w:pPr>
          </w:p>
        </w:tc>
        <w:tc>
          <w:tcPr>
            <w:tcW w:w="1270" w:type="pct"/>
            <w:shd w:val="clear" w:color="auto" w:fill="auto"/>
            <w:tcMar>
              <w:left w:w="0" w:type="dxa"/>
              <w:right w:w="0" w:type="dxa"/>
            </w:tcMar>
            <w:vAlign w:val="center"/>
          </w:tcPr>
          <w:p w14:paraId="6F33A384">
            <w:pPr>
              <w:pStyle w:val="26"/>
              <w:bidi w:val="0"/>
              <w:rPr>
                <w:rFonts w:hint="default"/>
                <w:color w:val="auto"/>
                <w:lang w:val="en-US" w:eastAsia="zh-CN"/>
              </w:rPr>
            </w:pPr>
            <w:r>
              <w:rPr>
                <w:rFonts w:hint="eastAsia"/>
                <w:color w:val="auto"/>
                <w:lang w:val="en-US" w:eastAsia="zh-CN"/>
              </w:rPr>
              <w:t>15mg/L</w:t>
            </w:r>
          </w:p>
        </w:tc>
      </w:tr>
      <w:tr w14:paraId="2E50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41690A68">
            <w:pPr>
              <w:pStyle w:val="26"/>
              <w:bidi w:val="0"/>
              <w:rPr>
                <w:color w:val="auto"/>
                <w:lang w:val="en-US" w:eastAsia="zh-CN"/>
              </w:rPr>
            </w:pPr>
          </w:p>
        </w:tc>
        <w:tc>
          <w:tcPr>
            <w:tcW w:w="1317" w:type="pct"/>
            <w:shd w:val="clear" w:color="auto" w:fill="auto"/>
            <w:tcMar>
              <w:left w:w="0" w:type="dxa"/>
              <w:right w:w="0" w:type="dxa"/>
            </w:tcMar>
            <w:vAlign w:val="center"/>
          </w:tcPr>
          <w:p w14:paraId="05515090">
            <w:pPr>
              <w:pStyle w:val="26"/>
              <w:bidi w:val="0"/>
              <w:rPr>
                <w:rFonts w:hint="default"/>
                <w:color w:val="auto"/>
                <w:lang w:val="en-US" w:eastAsia="zh-CN"/>
              </w:rPr>
            </w:pPr>
            <w:r>
              <w:rPr>
                <w:rFonts w:hint="eastAsia"/>
                <w:color w:val="auto"/>
                <w:lang w:val="en-US" w:eastAsia="zh-CN"/>
              </w:rPr>
              <w:t>总磷</w:t>
            </w:r>
          </w:p>
        </w:tc>
        <w:tc>
          <w:tcPr>
            <w:tcW w:w="1405" w:type="pct"/>
            <w:vMerge w:val="continue"/>
            <w:shd w:val="clear" w:color="auto" w:fill="auto"/>
            <w:tcMar>
              <w:left w:w="0" w:type="dxa"/>
              <w:right w:w="0" w:type="dxa"/>
            </w:tcMar>
            <w:vAlign w:val="center"/>
          </w:tcPr>
          <w:p w14:paraId="0D8E08CD">
            <w:pPr>
              <w:pStyle w:val="26"/>
              <w:bidi w:val="0"/>
              <w:rPr>
                <w:color w:val="auto"/>
                <w:lang w:val="en-US" w:eastAsia="zh-CN"/>
              </w:rPr>
            </w:pPr>
          </w:p>
        </w:tc>
        <w:tc>
          <w:tcPr>
            <w:tcW w:w="1270" w:type="pct"/>
            <w:shd w:val="clear" w:color="auto" w:fill="auto"/>
            <w:tcMar>
              <w:left w:w="0" w:type="dxa"/>
              <w:right w:w="0" w:type="dxa"/>
            </w:tcMar>
            <w:vAlign w:val="center"/>
          </w:tcPr>
          <w:p w14:paraId="0411693D">
            <w:pPr>
              <w:pStyle w:val="26"/>
              <w:bidi w:val="0"/>
              <w:rPr>
                <w:rFonts w:hint="default"/>
                <w:color w:val="auto"/>
                <w:lang w:val="en-US" w:eastAsia="zh-CN"/>
              </w:rPr>
            </w:pPr>
            <w:r>
              <w:rPr>
                <w:rFonts w:hint="eastAsia"/>
                <w:color w:val="auto"/>
                <w:lang w:val="en-US" w:eastAsia="zh-CN"/>
              </w:rPr>
              <w:t>0.5mg/L</w:t>
            </w:r>
          </w:p>
        </w:tc>
      </w:tr>
      <w:tr w14:paraId="410D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20000325">
            <w:pPr>
              <w:pStyle w:val="26"/>
              <w:bidi w:val="0"/>
              <w:rPr>
                <w:color w:val="auto"/>
                <w:lang w:val="en-US" w:eastAsia="zh-CN"/>
              </w:rPr>
            </w:pPr>
          </w:p>
        </w:tc>
        <w:tc>
          <w:tcPr>
            <w:tcW w:w="1317" w:type="pct"/>
            <w:shd w:val="clear" w:color="auto" w:fill="auto"/>
            <w:tcMar>
              <w:left w:w="0" w:type="dxa"/>
              <w:right w:w="0" w:type="dxa"/>
            </w:tcMar>
            <w:vAlign w:val="top"/>
          </w:tcPr>
          <w:p w14:paraId="2A0803C0">
            <w:pPr>
              <w:pStyle w:val="26"/>
              <w:bidi w:val="0"/>
              <w:rPr>
                <w:rFonts w:hint="eastAsia"/>
                <w:lang w:val="en-US" w:eastAsia="zh-CN"/>
              </w:rPr>
            </w:pPr>
            <w:r>
              <w:t>电导率</w:t>
            </w:r>
          </w:p>
        </w:tc>
        <w:tc>
          <w:tcPr>
            <w:tcW w:w="1405" w:type="pct"/>
            <w:vMerge w:val="restart"/>
            <w:shd w:val="clear" w:color="auto" w:fill="auto"/>
            <w:tcMar>
              <w:left w:w="0" w:type="dxa"/>
              <w:right w:w="0" w:type="dxa"/>
            </w:tcMar>
            <w:vAlign w:val="center"/>
          </w:tcPr>
          <w:p w14:paraId="35ABD696">
            <w:pPr>
              <w:pStyle w:val="26"/>
              <w:bidi w:val="0"/>
              <w:rPr>
                <w:rFonts w:hint="default"/>
                <w:lang w:val="en-US" w:eastAsia="zh-CN"/>
              </w:rPr>
            </w:pPr>
            <w:r>
              <w:rPr>
                <w:rFonts w:hint="eastAsia"/>
                <w:lang w:val="en-US" w:eastAsia="zh-CN"/>
              </w:rPr>
              <w:t>企业自定义</w:t>
            </w:r>
          </w:p>
        </w:tc>
        <w:tc>
          <w:tcPr>
            <w:tcW w:w="1270" w:type="pct"/>
            <w:shd w:val="clear" w:color="auto" w:fill="auto"/>
            <w:tcMar>
              <w:left w:w="0" w:type="dxa"/>
              <w:right w:w="0" w:type="dxa"/>
            </w:tcMar>
            <w:vAlign w:val="top"/>
          </w:tcPr>
          <w:p w14:paraId="589CBF70">
            <w:pPr>
              <w:pStyle w:val="26"/>
              <w:bidi w:val="0"/>
              <w:rPr>
                <w:rFonts w:hint="eastAsia"/>
                <w:lang w:val="en-US" w:eastAsia="zh-CN"/>
              </w:rPr>
            </w:pPr>
            <w:r>
              <w:t>200μs/cm</w:t>
            </w:r>
          </w:p>
        </w:tc>
      </w:tr>
      <w:tr w14:paraId="0A34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667CCC4A">
            <w:pPr>
              <w:pStyle w:val="26"/>
              <w:bidi w:val="0"/>
              <w:rPr>
                <w:color w:val="auto"/>
                <w:lang w:val="en-US" w:eastAsia="zh-CN"/>
              </w:rPr>
            </w:pPr>
          </w:p>
        </w:tc>
        <w:tc>
          <w:tcPr>
            <w:tcW w:w="1317" w:type="pct"/>
            <w:shd w:val="clear" w:color="auto" w:fill="auto"/>
            <w:tcMar>
              <w:left w:w="0" w:type="dxa"/>
              <w:right w:w="0" w:type="dxa"/>
            </w:tcMar>
            <w:vAlign w:val="top"/>
          </w:tcPr>
          <w:p w14:paraId="64334E10">
            <w:pPr>
              <w:pStyle w:val="26"/>
              <w:bidi w:val="0"/>
              <w:rPr>
                <w:rFonts w:hint="eastAsia"/>
                <w:lang w:val="en-US" w:eastAsia="zh-CN"/>
              </w:rPr>
            </w:pPr>
            <w:r>
              <w:t>SS</w:t>
            </w:r>
          </w:p>
        </w:tc>
        <w:tc>
          <w:tcPr>
            <w:tcW w:w="1405" w:type="pct"/>
            <w:vMerge w:val="continue"/>
            <w:shd w:val="clear" w:color="auto" w:fill="auto"/>
            <w:tcMar>
              <w:left w:w="0" w:type="dxa"/>
              <w:right w:w="0" w:type="dxa"/>
            </w:tcMar>
            <w:vAlign w:val="center"/>
          </w:tcPr>
          <w:p w14:paraId="35E3E4C4">
            <w:pPr>
              <w:pStyle w:val="26"/>
              <w:bidi w:val="0"/>
              <w:rPr>
                <w:lang w:val="en-US" w:eastAsia="zh-CN"/>
              </w:rPr>
            </w:pPr>
          </w:p>
        </w:tc>
        <w:tc>
          <w:tcPr>
            <w:tcW w:w="1270" w:type="pct"/>
            <w:shd w:val="clear" w:color="auto" w:fill="auto"/>
            <w:tcMar>
              <w:left w:w="0" w:type="dxa"/>
              <w:right w:w="0" w:type="dxa"/>
            </w:tcMar>
            <w:vAlign w:val="top"/>
          </w:tcPr>
          <w:p w14:paraId="28107BEB">
            <w:pPr>
              <w:pStyle w:val="26"/>
              <w:bidi w:val="0"/>
              <w:rPr>
                <w:rFonts w:hint="eastAsia"/>
                <w:lang w:val="en-US" w:eastAsia="zh-CN"/>
              </w:rPr>
            </w:pPr>
            <w:r>
              <w:t>30mg/L</w:t>
            </w:r>
          </w:p>
        </w:tc>
      </w:tr>
      <w:tr w14:paraId="66BA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1CA929C7">
            <w:pPr>
              <w:pStyle w:val="26"/>
              <w:bidi w:val="0"/>
              <w:rPr>
                <w:color w:val="auto"/>
                <w:lang w:val="en-US" w:eastAsia="zh-CN"/>
              </w:rPr>
            </w:pPr>
          </w:p>
        </w:tc>
        <w:tc>
          <w:tcPr>
            <w:tcW w:w="1317" w:type="pct"/>
            <w:shd w:val="clear" w:color="auto" w:fill="auto"/>
            <w:tcMar>
              <w:left w:w="0" w:type="dxa"/>
              <w:right w:w="0" w:type="dxa"/>
            </w:tcMar>
            <w:vAlign w:val="top"/>
          </w:tcPr>
          <w:p w14:paraId="431EF16C">
            <w:pPr>
              <w:pStyle w:val="26"/>
              <w:bidi w:val="0"/>
              <w:rPr>
                <w:rFonts w:hint="eastAsia"/>
                <w:lang w:val="en-US" w:eastAsia="zh-CN"/>
              </w:rPr>
            </w:pPr>
            <w:r>
              <w:t>铜</w:t>
            </w:r>
          </w:p>
        </w:tc>
        <w:tc>
          <w:tcPr>
            <w:tcW w:w="1405" w:type="pct"/>
            <w:vMerge w:val="continue"/>
            <w:shd w:val="clear" w:color="auto" w:fill="auto"/>
            <w:tcMar>
              <w:left w:w="0" w:type="dxa"/>
              <w:right w:w="0" w:type="dxa"/>
            </w:tcMar>
            <w:vAlign w:val="center"/>
          </w:tcPr>
          <w:p w14:paraId="18C7667A">
            <w:pPr>
              <w:pStyle w:val="26"/>
              <w:bidi w:val="0"/>
              <w:rPr>
                <w:lang w:val="en-US" w:eastAsia="zh-CN"/>
              </w:rPr>
            </w:pPr>
          </w:p>
        </w:tc>
        <w:tc>
          <w:tcPr>
            <w:tcW w:w="1270" w:type="pct"/>
            <w:shd w:val="clear" w:color="auto" w:fill="auto"/>
            <w:tcMar>
              <w:left w:w="0" w:type="dxa"/>
              <w:right w:w="0" w:type="dxa"/>
            </w:tcMar>
            <w:vAlign w:val="top"/>
          </w:tcPr>
          <w:p w14:paraId="27E808EB">
            <w:pPr>
              <w:pStyle w:val="26"/>
              <w:bidi w:val="0"/>
              <w:rPr>
                <w:rFonts w:hint="eastAsia"/>
                <w:lang w:val="en-US" w:eastAsia="zh-CN"/>
              </w:rPr>
            </w:pPr>
            <w:r>
              <w:t>0.03mg/L</w:t>
            </w:r>
          </w:p>
        </w:tc>
      </w:tr>
      <w:tr w14:paraId="7C96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1D40932A">
            <w:pPr>
              <w:pStyle w:val="26"/>
              <w:bidi w:val="0"/>
              <w:rPr>
                <w:color w:val="auto"/>
                <w:lang w:val="en-US" w:eastAsia="zh-CN"/>
              </w:rPr>
            </w:pPr>
          </w:p>
        </w:tc>
        <w:tc>
          <w:tcPr>
            <w:tcW w:w="1317" w:type="pct"/>
            <w:shd w:val="clear" w:color="auto" w:fill="auto"/>
            <w:tcMar>
              <w:left w:w="0" w:type="dxa"/>
              <w:right w:w="0" w:type="dxa"/>
            </w:tcMar>
            <w:vAlign w:val="top"/>
          </w:tcPr>
          <w:p w14:paraId="4B57DD6E">
            <w:pPr>
              <w:pStyle w:val="26"/>
              <w:bidi w:val="0"/>
              <w:rPr>
                <w:rFonts w:hint="eastAsia"/>
                <w:lang w:val="en-US" w:eastAsia="zh-CN"/>
              </w:rPr>
            </w:pPr>
            <w:r>
              <w:t>镍</w:t>
            </w:r>
          </w:p>
        </w:tc>
        <w:tc>
          <w:tcPr>
            <w:tcW w:w="1405" w:type="pct"/>
            <w:vMerge w:val="continue"/>
            <w:shd w:val="clear" w:color="auto" w:fill="auto"/>
            <w:tcMar>
              <w:left w:w="0" w:type="dxa"/>
              <w:right w:w="0" w:type="dxa"/>
            </w:tcMar>
            <w:vAlign w:val="center"/>
          </w:tcPr>
          <w:p w14:paraId="0AD40B1C">
            <w:pPr>
              <w:pStyle w:val="26"/>
              <w:bidi w:val="0"/>
              <w:rPr>
                <w:lang w:val="en-US" w:eastAsia="zh-CN"/>
              </w:rPr>
            </w:pPr>
          </w:p>
        </w:tc>
        <w:tc>
          <w:tcPr>
            <w:tcW w:w="1270" w:type="pct"/>
            <w:shd w:val="clear" w:color="auto" w:fill="auto"/>
            <w:tcMar>
              <w:left w:w="0" w:type="dxa"/>
              <w:right w:w="0" w:type="dxa"/>
            </w:tcMar>
            <w:vAlign w:val="top"/>
          </w:tcPr>
          <w:p w14:paraId="0AE8CC74">
            <w:pPr>
              <w:pStyle w:val="26"/>
              <w:bidi w:val="0"/>
              <w:rPr>
                <w:rFonts w:hint="eastAsia"/>
                <w:lang w:val="en-US" w:eastAsia="zh-CN"/>
              </w:rPr>
            </w:pPr>
            <w:r>
              <w:t>0.01mg/L</w:t>
            </w:r>
          </w:p>
        </w:tc>
      </w:tr>
      <w:tr w14:paraId="74CB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1006" w:type="pct"/>
            <w:vMerge w:val="continue"/>
            <w:shd w:val="clear" w:color="auto" w:fill="auto"/>
            <w:tcMar>
              <w:left w:w="0" w:type="dxa"/>
              <w:right w:w="0" w:type="dxa"/>
            </w:tcMar>
            <w:vAlign w:val="center"/>
          </w:tcPr>
          <w:p w14:paraId="302762FE">
            <w:pPr>
              <w:pStyle w:val="26"/>
              <w:bidi w:val="0"/>
              <w:rPr>
                <w:color w:val="auto"/>
                <w:lang w:val="en-US" w:eastAsia="zh-CN"/>
              </w:rPr>
            </w:pPr>
          </w:p>
        </w:tc>
        <w:tc>
          <w:tcPr>
            <w:tcW w:w="1317" w:type="pct"/>
            <w:shd w:val="clear" w:color="auto" w:fill="auto"/>
            <w:tcMar>
              <w:left w:w="0" w:type="dxa"/>
              <w:right w:w="0" w:type="dxa"/>
            </w:tcMar>
            <w:vAlign w:val="top"/>
          </w:tcPr>
          <w:p w14:paraId="7DC4EE9D">
            <w:pPr>
              <w:pStyle w:val="26"/>
              <w:bidi w:val="0"/>
              <w:rPr>
                <w:rFonts w:hint="eastAsia"/>
                <w:lang w:val="en-US" w:eastAsia="zh-CN"/>
              </w:rPr>
            </w:pPr>
            <w:r>
              <w:t>铬</w:t>
            </w:r>
          </w:p>
        </w:tc>
        <w:tc>
          <w:tcPr>
            <w:tcW w:w="1405" w:type="pct"/>
            <w:vMerge w:val="continue"/>
            <w:shd w:val="clear" w:color="auto" w:fill="auto"/>
            <w:tcMar>
              <w:left w:w="0" w:type="dxa"/>
              <w:right w:w="0" w:type="dxa"/>
            </w:tcMar>
            <w:vAlign w:val="center"/>
          </w:tcPr>
          <w:p w14:paraId="149867CB">
            <w:pPr>
              <w:pStyle w:val="26"/>
              <w:bidi w:val="0"/>
              <w:rPr>
                <w:lang w:val="en-US" w:eastAsia="zh-CN"/>
              </w:rPr>
            </w:pPr>
          </w:p>
        </w:tc>
        <w:tc>
          <w:tcPr>
            <w:tcW w:w="1270" w:type="pct"/>
            <w:shd w:val="clear" w:color="auto" w:fill="auto"/>
            <w:tcMar>
              <w:left w:w="0" w:type="dxa"/>
              <w:right w:w="0" w:type="dxa"/>
            </w:tcMar>
            <w:vAlign w:val="top"/>
          </w:tcPr>
          <w:p w14:paraId="38FED8C6">
            <w:pPr>
              <w:pStyle w:val="26"/>
              <w:bidi w:val="0"/>
              <w:rPr>
                <w:rFonts w:hint="eastAsia"/>
                <w:lang w:val="en-US" w:eastAsia="zh-CN"/>
              </w:rPr>
            </w:pPr>
            <w:r>
              <w:t>0.05mg/L</w:t>
            </w:r>
          </w:p>
        </w:tc>
      </w:tr>
    </w:tbl>
    <w:p w14:paraId="0006402D">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11</w:t>
      </w:r>
      <w:r>
        <w:rPr>
          <w:color w:val="auto"/>
          <w:lang w:val="en-US" w:eastAsia="zh-CN"/>
        </w:rPr>
        <w:fldChar w:fldCharType="end"/>
      </w:r>
      <w:r>
        <w:rPr>
          <w:rFonts w:hint="eastAsia"/>
          <w:color w:val="auto"/>
          <w:lang w:val="en-US" w:eastAsia="zh-CN"/>
        </w:rPr>
        <w:t>污水厂出水水质标准（mg/L，pH无量纲）</w:t>
      </w:r>
    </w:p>
    <w:tbl>
      <w:tblPr>
        <w:tblStyle w:val="1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2229"/>
        <w:gridCol w:w="1429"/>
        <w:gridCol w:w="4040"/>
      </w:tblGrid>
      <w:tr w14:paraId="626D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78" w:type="pct"/>
            <w:vMerge w:val="restart"/>
            <w:vAlign w:val="center"/>
          </w:tcPr>
          <w:p w14:paraId="5AE0D438">
            <w:pPr>
              <w:pStyle w:val="36"/>
              <w:bidi w:val="0"/>
              <w:rPr>
                <w:color w:val="auto"/>
                <w:lang w:val="en-US" w:eastAsia="zh-CN"/>
              </w:rPr>
            </w:pPr>
            <w:r>
              <w:rPr>
                <w:rFonts w:hint="eastAsia"/>
                <w:color w:val="auto"/>
                <w:lang w:val="en-US" w:eastAsia="zh-CN"/>
              </w:rPr>
              <w:t>序号</w:t>
            </w:r>
          </w:p>
        </w:tc>
        <w:tc>
          <w:tcPr>
            <w:tcW w:w="1309" w:type="pct"/>
            <w:vMerge w:val="restart"/>
            <w:vAlign w:val="center"/>
          </w:tcPr>
          <w:p w14:paraId="2F96F7CD">
            <w:pPr>
              <w:pStyle w:val="36"/>
              <w:bidi w:val="0"/>
              <w:rPr>
                <w:color w:val="auto"/>
                <w:lang w:val="en-US" w:eastAsia="zh-CN"/>
              </w:rPr>
            </w:pPr>
            <w:r>
              <w:rPr>
                <w:color w:val="auto"/>
                <w:lang w:val="en-US" w:eastAsia="zh-CN"/>
              </w:rPr>
              <w:t>项目</w:t>
            </w:r>
          </w:p>
        </w:tc>
        <w:tc>
          <w:tcPr>
            <w:tcW w:w="3211" w:type="pct"/>
            <w:gridSpan w:val="2"/>
            <w:vAlign w:val="center"/>
          </w:tcPr>
          <w:p w14:paraId="575A9A9B">
            <w:pPr>
              <w:pStyle w:val="36"/>
              <w:bidi w:val="0"/>
              <w:rPr>
                <w:color w:val="auto"/>
                <w:lang w:val="en-US" w:eastAsia="zh-CN"/>
              </w:rPr>
            </w:pPr>
            <w:r>
              <w:rPr>
                <w:color w:val="auto"/>
                <w:lang w:val="en-US" w:eastAsia="zh-CN"/>
              </w:rPr>
              <w:t>排放</w:t>
            </w:r>
            <w:r>
              <w:rPr>
                <w:rFonts w:hint="eastAsia"/>
                <w:color w:val="auto"/>
                <w:lang w:val="en-US" w:eastAsia="zh-CN"/>
              </w:rPr>
              <w:t>标准</w:t>
            </w:r>
          </w:p>
        </w:tc>
      </w:tr>
      <w:tr w14:paraId="3B80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78" w:type="pct"/>
            <w:vMerge w:val="continue"/>
            <w:vAlign w:val="center"/>
          </w:tcPr>
          <w:p w14:paraId="79852039">
            <w:pPr>
              <w:pStyle w:val="36"/>
              <w:bidi w:val="0"/>
              <w:rPr>
                <w:color w:val="auto"/>
                <w:lang w:val="en-US" w:eastAsia="zh-CN"/>
              </w:rPr>
            </w:pPr>
          </w:p>
        </w:tc>
        <w:tc>
          <w:tcPr>
            <w:tcW w:w="1309" w:type="pct"/>
            <w:vMerge w:val="continue"/>
            <w:vAlign w:val="center"/>
          </w:tcPr>
          <w:p w14:paraId="4D369578">
            <w:pPr>
              <w:pStyle w:val="36"/>
              <w:bidi w:val="0"/>
              <w:rPr>
                <w:color w:val="auto"/>
                <w:lang w:val="en-US" w:eastAsia="zh-CN"/>
              </w:rPr>
            </w:pPr>
          </w:p>
        </w:tc>
        <w:tc>
          <w:tcPr>
            <w:tcW w:w="839" w:type="pct"/>
            <w:vAlign w:val="center"/>
          </w:tcPr>
          <w:p w14:paraId="5B03DA6E">
            <w:pPr>
              <w:pStyle w:val="36"/>
              <w:bidi w:val="0"/>
              <w:rPr>
                <w:color w:val="auto"/>
                <w:lang w:val="en-US" w:eastAsia="zh-CN"/>
              </w:rPr>
            </w:pPr>
            <w:r>
              <w:rPr>
                <w:color w:val="auto"/>
                <w:lang w:val="en-US" w:eastAsia="zh-CN"/>
              </w:rPr>
              <w:t>标准值</w:t>
            </w:r>
          </w:p>
        </w:tc>
        <w:tc>
          <w:tcPr>
            <w:tcW w:w="2372" w:type="pct"/>
            <w:vAlign w:val="center"/>
          </w:tcPr>
          <w:p w14:paraId="296CA18C">
            <w:pPr>
              <w:pStyle w:val="36"/>
              <w:bidi w:val="0"/>
              <w:rPr>
                <w:color w:val="auto"/>
                <w:lang w:val="en-US" w:eastAsia="zh-CN"/>
              </w:rPr>
            </w:pPr>
            <w:r>
              <w:rPr>
                <w:color w:val="auto"/>
                <w:lang w:val="en-US" w:eastAsia="zh-CN"/>
              </w:rPr>
              <w:t>来源</w:t>
            </w:r>
          </w:p>
        </w:tc>
      </w:tr>
      <w:tr w14:paraId="280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7B25CAF5">
            <w:pPr>
              <w:pStyle w:val="26"/>
              <w:bidi w:val="0"/>
              <w:rPr>
                <w:color w:val="auto"/>
                <w:lang w:val="en-US" w:eastAsia="zh-CN"/>
              </w:rPr>
            </w:pPr>
            <w:r>
              <w:rPr>
                <w:rFonts w:hint="eastAsia"/>
                <w:color w:val="auto"/>
                <w:lang w:val="en-US" w:eastAsia="zh-CN"/>
              </w:rPr>
              <w:t>1</w:t>
            </w:r>
          </w:p>
        </w:tc>
        <w:tc>
          <w:tcPr>
            <w:tcW w:w="1309" w:type="pct"/>
            <w:vAlign w:val="center"/>
          </w:tcPr>
          <w:p w14:paraId="0098CEAD">
            <w:pPr>
              <w:pStyle w:val="26"/>
              <w:bidi w:val="0"/>
              <w:rPr>
                <w:color w:val="auto"/>
                <w:lang w:val="en-US" w:eastAsia="zh-CN"/>
              </w:rPr>
            </w:pPr>
            <w:r>
              <w:rPr>
                <w:rFonts w:hint="eastAsia"/>
                <w:color w:val="auto"/>
                <w:lang w:val="en-US" w:eastAsia="zh-CN"/>
              </w:rPr>
              <w:t>pH</w:t>
            </w:r>
            <w:r>
              <w:rPr>
                <w:color w:val="auto"/>
                <w:lang w:val="en-US" w:eastAsia="zh-CN"/>
              </w:rPr>
              <w:t>值</w:t>
            </w:r>
          </w:p>
        </w:tc>
        <w:tc>
          <w:tcPr>
            <w:tcW w:w="839" w:type="pct"/>
            <w:vAlign w:val="center"/>
          </w:tcPr>
          <w:p w14:paraId="4429E621">
            <w:pPr>
              <w:pStyle w:val="26"/>
              <w:bidi w:val="0"/>
              <w:rPr>
                <w:color w:val="auto"/>
                <w:lang w:val="en-US" w:eastAsia="zh-CN"/>
              </w:rPr>
            </w:pPr>
            <w:r>
              <w:rPr>
                <w:rFonts w:hint="eastAsia"/>
                <w:color w:val="auto"/>
                <w:lang w:val="en-US" w:eastAsia="zh-CN"/>
              </w:rPr>
              <w:t>6～9</w:t>
            </w:r>
          </w:p>
        </w:tc>
        <w:tc>
          <w:tcPr>
            <w:tcW w:w="2372" w:type="pct"/>
            <w:vMerge w:val="restart"/>
            <w:vAlign w:val="center"/>
          </w:tcPr>
          <w:p w14:paraId="60173DBA">
            <w:pPr>
              <w:pStyle w:val="26"/>
              <w:bidi w:val="0"/>
              <w:rPr>
                <w:rFonts w:hint="default"/>
                <w:color w:val="auto"/>
                <w:lang w:val="en-US" w:eastAsia="zh-CN"/>
              </w:rPr>
            </w:pPr>
            <w:r>
              <w:rPr>
                <w:rFonts w:hint="eastAsia"/>
                <w:color w:val="auto"/>
                <w:lang w:val="en-US" w:eastAsia="zh-CN"/>
              </w:rPr>
              <w:t>《城镇污水处理厂污染物排放标准》（DB32/4440-2022）</w:t>
            </w:r>
          </w:p>
        </w:tc>
      </w:tr>
      <w:tr w14:paraId="786F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4AB7B47E">
            <w:pPr>
              <w:pStyle w:val="26"/>
              <w:bidi w:val="0"/>
              <w:rPr>
                <w:rFonts w:hint="default"/>
                <w:color w:val="auto"/>
                <w:lang w:val="en-US" w:eastAsia="zh-CN"/>
              </w:rPr>
            </w:pPr>
            <w:r>
              <w:rPr>
                <w:rFonts w:hint="eastAsia"/>
                <w:color w:val="auto"/>
                <w:lang w:val="en-US" w:eastAsia="zh-CN"/>
              </w:rPr>
              <w:t>2</w:t>
            </w:r>
          </w:p>
        </w:tc>
        <w:tc>
          <w:tcPr>
            <w:tcW w:w="1309" w:type="pct"/>
            <w:shd w:val="clear" w:color="auto" w:fill="auto"/>
            <w:vAlign w:val="center"/>
          </w:tcPr>
          <w:p w14:paraId="7EE35E00">
            <w:pPr>
              <w:pStyle w:val="26"/>
              <w:bidi w:val="0"/>
              <w:rPr>
                <w:rFonts w:hint="default" w:ascii="Times New Roman" w:hAnsi="Times New Roman" w:eastAsia="仿宋_GB2312" w:cs="Times New Roman"/>
                <w:color w:val="auto"/>
                <w:kern w:val="2"/>
                <w:sz w:val="21"/>
                <w:szCs w:val="22"/>
                <w:lang w:val="en-US" w:eastAsia="zh-CN" w:bidi="ar-SA"/>
              </w:rPr>
            </w:pPr>
            <w:r>
              <w:rPr>
                <w:color w:val="auto"/>
                <w:lang w:val="en-US" w:eastAsia="zh-CN"/>
              </w:rPr>
              <w:t>悬浮物</w:t>
            </w:r>
          </w:p>
        </w:tc>
        <w:tc>
          <w:tcPr>
            <w:tcW w:w="839" w:type="pct"/>
            <w:shd w:val="clear" w:color="auto" w:fill="auto"/>
            <w:vAlign w:val="center"/>
          </w:tcPr>
          <w:p w14:paraId="649F86EE">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10</w:t>
            </w:r>
          </w:p>
        </w:tc>
        <w:tc>
          <w:tcPr>
            <w:tcW w:w="2372" w:type="pct"/>
            <w:vMerge w:val="continue"/>
            <w:vAlign w:val="center"/>
          </w:tcPr>
          <w:p w14:paraId="6DC0598F">
            <w:pPr>
              <w:pStyle w:val="26"/>
              <w:bidi w:val="0"/>
              <w:rPr>
                <w:rFonts w:hint="eastAsia"/>
                <w:color w:val="auto"/>
                <w:lang w:val="en-US" w:eastAsia="zh-CN"/>
              </w:rPr>
            </w:pPr>
          </w:p>
        </w:tc>
      </w:tr>
      <w:tr w14:paraId="00DE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shd w:val="clear" w:color="auto" w:fill="auto"/>
            <w:vAlign w:val="center"/>
          </w:tcPr>
          <w:p w14:paraId="070ED22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3</w:t>
            </w:r>
          </w:p>
        </w:tc>
        <w:tc>
          <w:tcPr>
            <w:tcW w:w="1309" w:type="pct"/>
            <w:shd w:val="clear" w:color="auto" w:fill="auto"/>
            <w:vAlign w:val="center"/>
          </w:tcPr>
          <w:p w14:paraId="77EDB7A7">
            <w:pPr>
              <w:pStyle w:val="26"/>
              <w:bidi w:val="0"/>
              <w:rPr>
                <w:rFonts w:hint="eastAsia"/>
                <w:color w:val="auto"/>
                <w:lang w:val="en-US" w:eastAsia="zh-CN"/>
              </w:rPr>
            </w:pPr>
            <w:r>
              <w:rPr>
                <w:rFonts w:hint="eastAsia"/>
                <w:color w:val="auto"/>
                <w:lang w:val="en-US" w:eastAsia="zh-CN"/>
              </w:rPr>
              <w:t>COD</w:t>
            </w:r>
          </w:p>
        </w:tc>
        <w:tc>
          <w:tcPr>
            <w:tcW w:w="839" w:type="pct"/>
            <w:shd w:val="clear" w:color="auto" w:fill="auto"/>
            <w:vAlign w:val="center"/>
          </w:tcPr>
          <w:p w14:paraId="689BA88C">
            <w:pPr>
              <w:pStyle w:val="26"/>
              <w:bidi w:val="0"/>
              <w:rPr>
                <w:rFonts w:hint="eastAsia"/>
                <w:color w:val="auto"/>
                <w:lang w:val="en-US" w:eastAsia="zh-CN"/>
              </w:rPr>
            </w:pPr>
            <w:r>
              <w:rPr>
                <w:rFonts w:hint="eastAsia"/>
                <w:color w:val="auto"/>
                <w:lang w:val="en-US" w:eastAsia="zh-CN"/>
              </w:rPr>
              <w:t>3</w:t>
            </w:r>
            <w:r>
              <w:rPr>
                <w:color w:val="auto"/>
                <w:lang w:val="en-US" w:eastAsia="zh-CN"/>
              </w:rPr>
              <w:t>0</w:t>
            </w:r>
          </w:p>
        </w:tc>
        <w:tc>
          <w:tcPr>
            <w:tcW w:w="2372" w:type="pct"/>
            <w:vMerge w:val="restart"/>
            <w:vAlign w:val="center"/>
          </w:tcPr>
          <w:p w14:paraId="7599C938">
            <w:pPr>
              <w:pStyle w:val="26"/>
              <w:bidi w:val="0"/>
              <w:rPr>
                <w:color w:val="auto"/>
                <w:lang w:val="en-US" w:eastAsia="zh-CN"/>
              </w:rPr>
            </w:pPr>
            <w:r>
              <w:rPr>
                <w:rFonts w:hint="eastAsia"/>
                <w:color w:val="auto"/>
                <w:lang w:val="en-US" w:eastAsia="zh-CN"/>
              </w:rPr>
              <w:t>“苏州特别排放限值”</w:t>
            </w:r>
          </w:p>
        </w:tc>
      </w:tr>
      <w:tr w14:paraId="05FF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shd w:val="clear" w:color="auto" w:fill="auto"/>
            <w:vAlign w:val="center"/>
          </w:tcPr>
          <w:p w14:paraId="504703D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4</w:t>
            </w:r>
          </w:p>
        </w:tc>
        <w:tc>
          <w:tcPr>
            <w:tcW w:w="1309" w:type="pct"/>
            <w:shd w:val="clear" w:color="auto" w:fill="auto"/>
            <w:vAlign w:val="center"/>
          </w:tcPr>
          <w:p w14:paraId="6ABFFA16">
            <w:pPr>
              <w:pStyle w:val="26"/>
              <w:bidi w:val="0"/>
              <w:rPr>
                <w:color w:val="auto"/>
                <w:lang w:val="en-US" w:eastAsia="zh-CN"/>
              </w:rPr>
            </w:pP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w:t>
            </w:r>
          </w:p>
        </w:tc>
        <w:tc>
          <w:tcPr>
            <w:tcW w:w="839" w:type="pct"/>
            <w:shd w:val="clear" w:color="auto" w:fill="auto"/>
            <w:vAlign w:val="center"/>
          </w:tcPr>
          <w:p w14:paraId="62EC5D12">
            <w:pPr>
              <w:pStyle w:val="26"/>
              <w:bidi w:val="0"/>
              <w:rPr>
                <w:color w:val="auto"/>
                <w:lang w:val="en-US" w:eastAsia="zh-CN"/>
              </w:rPr>
            </w:pPr>
            <w:r>
              <w:rPr>
                <w:color w:val="auto"/>
                <w:lang w:val="en-US" w:eastAsia="zh-CN"/>
              </w:rPr>
              <w:t>1.5</w:t>
            </w:r>
            <w:r>
              <w:rPr>
                <w:rFonts w:hint="eastAsia"/>
                <w:color w:val="auto"/>
                <w:lang w:val="en-US" w:eastAsia="zh-CN"/>
              </w:rPr>
              <w:t>（</w:t>
            </w:r>
            <w:r>
              <w:rPr>
                <w:color w:val="auto"/>
                <w:lang w:val="en-US" w:eastAsia="zh-CN"/>
              </w:rPr>
              <w:t>3</w:t>
            </w:r>
            <w:r>
              <w:rPr>
                <w:rFonts w:hint="eastAsia"/>
                <w:color w:val="auto"/>
                <w:lang w:val="en-US" w:eastAsia="zh-CN"/>
              </w:rPr>
              <w:t>）</w:t>
            </w:r>
            <w:r>
              <w:rPr>
                <w:color w:val="auto"/>
                <w:vertAlign w:val="superscript"/>
                <w:lang w:val="en-US" w:eastAsia="zh-CN"/>
              </w:rPr>
              <w:t>[1]</w:t>
            </w:r>
          </w:p>
        </w:tc>
        <w:tc>
          <w:tcPr>
            <w:tcW w:w="2372" w:type="pct"/>
            <w:vMerge w:val="continue"/>
            <w:vAlign w:val="center"/>
          </w:tcPr>
          <w:p w14:paraId="3853A1DF">
            <w:pPr>
              <w:pStyle w:val="26"/>
              <w:bidi w:val="0"/>
              <w:rPr>
                <w:color w:val="auto"/>
                <w:lang w:val="en-US" w:eastAsia="zh-CN"/>
              </w:rPr>
            </w:pPr>
          </w:p>
        </w:tc>
      </w:tr>
      <w:tr w14:paraId="4887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shd w:val="clear" w:color="auto" w:fill="auto"/>
            <w:vAlign w:val="center"/>
          </w:tcPr>
          <w:p w14:paraId="4A62C233">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5</w:t>
            </w:r>
          </w:p>
        </w:tc>
        <w:tc>
          <w:tcPr>
            <w:tcW w:w="1309" w:type="pct"/>
            <w:shd w:val="clear" w:color="auto" w:fill="auto"/>
            <w:vAlign w:val="center"/>
          </w:tcPr>
          <w:p w14:paraId="454FB26A">
            <w:pPr>
              <w:pStyle w:val="26"/>
              <w:bidi w:val="0"/>
              <w:rPr>
                <w:rFonts w:hint="default"/>
                <w:color w:val="auto"/>
                <w:lang w:val="en-US" w:eastAsia="zh-CN"/>
              </w:rPr>
            </w:pPr>
            <w:r>
              <w:rPr>
                <w:rFonts w:hint="eastAsia"/>
                <w:color w:val="auto"/>
                <w:lang w:val="en-US" w:eastAsia="zh-CN"/>
              </w:rPr>
              <w:t>TP（以P计）</w:t>
            </w:r>
          </w:p>
        </w:tc>
        <w:tc>
          <w:tcPr>
            <w:tcW w:w="839" w:type="pct"/>
            <w:shd w:val="clear" w:color="auto" w:fill="auto"/>
            <w:vAlign w:val="center"/>
          </w:tcPr>
          <w:p w14:paraId="3BDF9292">
            <w:pPr>
              <w:pStyle w:val="26"/>
              <w:bidi w:val="0"/>
              <w:rPr>
                <w:rFonts w:hint="default"/>
                <w:color w:val="auto"/>
                <w:lang w:val="en-US" w:eastAsia="zh-CN"/>
              </w:rPr>
            </w:pPr>
            <w:r>
              <w:rPr>
                <w:rFonts w:hint="eastAsia"/>
                <w:color w:val="auto"/>
                <w:lang w:val="en-US" w:eastAsia="zh-CN"/>
              </w:rPr>
              <w:t>0.</w:t>
            </w:r>
            <w:r>
              <w:rPr>
                <w:color w:val="auto"/>
                <w:lang w:val="en-US" w:eastAsia="zh-CN"/>
              </w:rPr>
              <w:t>3</w:t>
            </w:r>
          </w:p>
        </w:tc>
        <w:tc>
          <w:tcPr>
            <w:tcW w:w="2372" w:type="pct"/>
            <w:vMerge w:val="continue"/>
            <w:vAlign w:val="center"/>
          </w:tcPr>
          <w:p w14:paraId="4C84C880">
            <w:pPr>
              <w:pStyle w:val="26"/>
              <w:bidi w:val="0"/>
              <w:rPr>
                <w:color w:val="auto"/>
                <w:lang w:val="en-US" w:eastAsia="zh-CN"/>
              </w:rPr>
            </w:pPr>
          </w:p>
        </w:tc>
      </w:tr>
      <w:tr w14:paraId="265B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shd w:val="clear" w:color="auto" w:fill="auto"/>
            <w:vAlign w:val="center"/>
          </w:tcPr>
          <w:p w14:paraId="729CFE45">
            <w:pPr>
              <w:pStyle w:val="26"/>
              <w:bidi w:val="0"/>
              <w:rPr>
                <w:rFonts w:hint="default"/>
                <w:color w:val="auto"/>
                <w:lang w:val="en-US" w:eastAsia="zh-CN"/>
              </w:rPr>
            </w:pPr>
            <w:r>
              <w:rPr>
                <w:rFonts w:hint="eastAsia"/>
                <w:color w:val="auto"/>
                <w:lang w:val="en-US" w:eastAsia="zh-CN"/>
              </w:rPr>
              <w:t>6</w:t>
            </w:r>
          </w:p>
        </w:tc>
        <w:tc>
          <w:tcPr>
            <w:tcW w:w="1309" w:type="pct"/>
            <w:shd w:val="clear" w:color="auto" w:fill="auto"/>
            <w:vAlign w:val="center"/>
          </w:tcPr>
          <w:p w14:paraId="0BEF09A8">
            <w:pPr>
              <w:pStyle w:val="26"/>
              <w:bidi w:val="0"/>
              <w:rPr>
                <w:rFonts w:hint="default"/>
                <w:color w:val="auto"/>
                <w:lang w:val="en-US" w:eastAsia="zh-CN"/>
              </w:rPr>
            </w:pPr>
            <w:r>
              <w:rPr>
                <w:rFonts w:hint="eastAsia"/>
                <w:color w:val="auto"/>
                <w:lang w:val="en-US" w:eastAsia="zh-CN"/>
              </w:rPr>
              <w:t>TN</w:t>
            </w:r>
          </w:p>
        </w:tc>
        <w:tc>
          <w:tcPr>
            <w:tcW w:w="839" w:type="pct"/>
            <w:shd w:val="clear" w:color="auto" w:fill="auto"/>
            <w:vAlign w:val="center"/>
          </w:tcPr>
          <w:p w14:paraId="3437FB4C">
            <w:pPr>
              <w:pStyle w:val="26"/>
              <w:bidi w:val="0"/>
              <w:rPr>
                <w:rFonts w:hint="default"/>
                <w:color w:val="auto"/>
                <w:lang w:val="en-US" w:eastAsia="zh-CN"/>
              </w:rPr>
            </w:pPr>
            <w:r>
              <w:rPr>
                <w:color w:val="auto"/>
                <w:lang w:val="en-US" w:eastAsia="zh-CN"/>
              </w:rPr>
              <w:t>10</w:t>
            </w:r>
          </w:p>
        </w:tc>
        <w:tc>
          <w:tcPr>
            <w:tcW w:w="2372" w:type="pct"/>
            <w:vMerge w:val="continue"/>
            <w:vAlign w:val="center"/>
          </w:tcPr>
          <w:p w14:paraId="62622F0A">
            <w:pPr>
              <w:pStyle w:val="26"/>
              <w:bidi w:val="0"/>
              <w:rPr>
                <w:color w:val="auto"/>
                <w:lang w:val="en-US" w:eastAsia="zh-CN"/>
              </w:rPr>
            </w:pPr>
          </w:p>
        </w:tc>
      </w:tr>
    </w:tbl>
    <w:p w14:paraId="4FE70725">
      <w:pPr>
        <w:pStyle w:val="28"/>
        <w:bidi w:val="0"/>
        <w:rPr>
          <w:color w:val="auto"/>
          <w:lang w:val="en-US" w:eastAsia="zh-CN"/>
        </w:rPr>
      </w:pPr>
      <w:r>
        <w:rPr>
          <w:color w:val="auto"/>
          <w:lang w:val="en-US" w:eastAsia="zh-CN"/>
        </w:rPr>
        <w:t>注</w:t>
      </w:r>
      <w:r>
        <w:rPr>
          <w:rFonts w:hint="eastAsia"/>
          <w:color w:val="auto"/>
          <w:lang w:val="en-US" w:eastAsia="zh-CN"/>
        </w:rPr>
        <w:t>[1]</w:t>
      </w:r>
      <w:r>
        <w:rPr>
          <w:color w:val="auto"/>
          <w:lang w:val="en-US" w:eastAsia="zh-CN"/>
        </w:rPr>
        <w:t>：括号外数值为水温&gt;12℃时的控制指标，括号内数值为水温≤12℃时的控制指标</w:t>
      </w:r>
      <w:r>
        <w:rPr>
          <w:rFonts w:hint="eastAsia"/>
          <w:color w:val="auto"/>
          <w:lang w:val="en-US" w:eastAsia="zh-CN"/>
        </w:rPr>
        <w:t>。</w:t>
      </w:r>
    </w:p>
    <w:p w14:paraId="1661E584">
      <w:pPr>
        <w:pStyle w:val="46"/>
        <w:bidi w:val="0"/>
        <w:rPr>
          <w:color w:val="auto"/>
          <w:lang w:val="en-US" w:eastAsia="zh-CN"/>
        </w:rPr>
      </w:pPr>
      <w:r>
        <w:rPr>
          <w:rFonts w:hint="eastAsia"/>
          <w:color w:val="auto"/>
          <w:lang w:val="en-US" w:eastAsia="zh-CN"/>
        </w:rPr>
        <w:t>3、噪声排放标准</w:t>
      </w:r>
    </w:p>
    <w:p w14:paraId="3E6F268C">
      <w:pPr>
        <w:rPr>
          <w:rFonts w:hint="eastAsia" w:ascii="Times New Roman" w:hAnsi="Times New Roman"/>
          <w:color w:val="auto"/>
        </w:rPr>
      </w:pPr>
      <w:r>
        <w:rPr>
          <w:rFonts w:hint="eastAsia" w:ascii="Times New Roman" w:hAnsi="Times New Roman"/>
          <w:color w:val="auto"/>
        </w:rPr>
        <w:t>施工期厂界噪声执行《建筑施工场界环境噪声排放标准》（GB12523-</w:t>
      </w:r>
      <w:r>
        <w:rPr>
          <w:rFonts w:hint="eastAsia" w:ascii="Times New Roman" w:hAnsi="Times New Roman"/>
          <w:color w:val="auto"/>
          <w:lang w:val="en-US" w:eastAsia="zh-CN"/>
        </w:rPr>
        <w:t>2025</w:t>
      </w:r>
      <w:r>
        <w:rPr>
          <w:rFonts w:hint="eastAsia" w:ascii="Times New Roman" w:hAnsi="Times New Roman"/>
          <w:color w:val="auto"/>
        </w:rPr>
        <w:t>）中的相应标准，运营期厂界噪声执行《工业企业厂界环境噪声排放标准》（GB12348-2008）中3类标准。具体标准值详见下表：</w:t>
      </w:r>
    </w:p>
    <w:p w14:paraId="29611FA2">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12</w:t>
      </w:r>
      <w:r>
        <w:rPr>
          <w:color w:val="auto"/>
          <w:lang w:val="en-US" w:eastAsia="zh-CN"/>
        </w:rPr>
        <w:fldChar w:fldCharType="end"/>
      </w:r>
      <w:r>
        <w:rPr>
          <w:color w:val="auto"/>
          <w:lang w:val="en-US" w:eastAsia="zh-CN"/>
        </w:rPr>
        <w:t>噪声排放标准（单位：dB</w:t>
      </w:r>
      <w:r>
        <w:rPr>
          <w:rFonts w:hint="eastAsia"/>
          <w:color w:val="auto"/>
          <w:lang w:val="en-US" w:eastAsia="zh-CN"/>
        </w:rPr>
        <w:t>（</w:t>
      </w:r>
      <w:r>
        <w:rPr>
          <w:color w:val="auto"/>
          <w:lang w:val="en-US" w:eastAsia="zh-CN"/>
        </w:rPr>
        <w:t>A</w:t>
      </w:r>
      <w:r>
        <w:rPr>
          <w:rFonts w:hint="eastAsia"/>
          <w:color w:val="auto"/>
          <w:lang w:val="en-US" w:eastAsia="zh-CN"/>
        </w:rPr>
        <w:t>）</w:t>
      </w:r>
      <w:r>
        <w:rPr>
          <w:color w:val="auto"/>
          <w:lang w:val="en-US" w:eastAsia="zh-CN"/>
        </w:rPr>
        <w:t>）</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837"/>
        <w:gridCol w:w="837"/>
        <w:gridCol w:w="840"/>
        <w:gridCol w:w="4691"/>
      </w:tblGrid>
      <w:tr w14:paraId="0EAB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71" w:type="pct"/>
            <w:vMerge w:val="restart"/>
            <w:vAlign w:val="center"/>
          </w:tcPr>
          <w:p w14:paraId="797415E4">
            <w:pPr>
              <w:pStyle w:val="36"/>
              <w:bidi w:val="0"/>
              <w:rPr>
                <w:color w:val="auto"/>
                <w:lang w:val="en-US" w:eastAsia="zh-CN"/>
              </w:rPr>
            </w:pPr>
            <w:r>
              <w:rPr>
                <w:color w:val="auto"/>
                <w:lang w:val="en-US" w:eastAsia="zh-CN"/>
              </w:rPr>
              <w:t>阶段</w:t>
            </w:r>
          </w:p>
        </w:tc>
        <w:tc>
          <w:tcPr>
            <w:tcW w:w="491" w:type="pct"/>
            <w:vMerge w:val="restart"/>
            <w:vAlign w:val="center"/>
          </w:tcPr>
          <w:p w14:paraId="05AAE929">
            <w:pPr>
              <w:pStyle w:val="36"/>
              <w:bidi w:val="0"/>
              <w:rPr>
                <w:color w:val="auto"/>
                <w:lang w:val="en-US" w:eastAsia="zh-CN"/>
              </w:rPr>
            </w:pPr>
            <w:r>
              <w:rPr>
                <w:color w:val="auto"/>
                <w:lang w:val="en-US" w:eastAsia="zh-CN"/>
              </w:rPr>
              <w:t>类别</w:t>
            </w:r>
          </w:p>
        </w:tc>
        <w:tc>
          <w:tcPr>
            <w:tcW w:w="984" w:type="pct"/>
            <w:gridSpan w:val="2"/>
            <w:vAlign w:val="center"/>
          </w:tcPr>
          <w:p w14:paraId="43EA086B">
            <w:pPr>
              <w:pStyle w:val="36"/>
              <w:bidi w:val="0"/>
              <w:rPr>
                <w:color w:val="auto"/>
                <w:lang w:val="en-US" w:eastAsia="zh-CN"/>
              </w:rPr>
            </w:pPr>
            <w:r>
              <w:rPr>
                <w:color w:val="auto"/>
                <w:lang w:val="en-US" w:eastAsia="zh-CN"/>
              </w:rPr>
              <w:t>标准值</w:t>
            </w:r>
          </w:p>
        </w:tc>
        <w:tc>
          <w:tcPr>
            <w:tcW w:w="2752" w:type="pct"/>
            <w:vMerge w:val="restart"/>
            <w:vAlign w:val="center"/>
          </w:tcPr>
          <w:p w14:paraId="65FC6DAB">
            <w:pPr>
              <w:pStyle w:val="36"/>
              <w:bidi w:val="0"/>
              <w:rPr>
                <w:color w:val="auto"/>
                <w:lang w:val="en-US" w:eastAsia="zh-CN"/>
              </w:rPr>
            </w:pPr>
            <w:r>
              <w:rPr>
                <w:color w:val="auto"/>
                <w:lang w:val="en-US" w:eastAsia="zh-CN"/>
              </w:rPr>
              <w:t>执行标准</w:t>
            </w:r>
          </w:p>
        </w:tc>
      </w:tr>
      <w:tr w14:paraId="332C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1" w:type="pct"/>
            <w:vMerge w:val="continue"/>
            <w:vAlign w:val="center"/>
          </w:tcPr>
          <w:p w14:paraId="41D66BFC">
            <w:pPr>
              <w:pStyle w:val="36"/>
              <w:bidi w:val="0"/>
              <w:rPr>
                <w:color w:val="auto"/>
                <w:lang w:val="en-US" w:eastAsia="zh-CN"/>
              </w:rPr>
            </w:pPr>
          </w:p>
        </w:tc>
        <w:tc>
          <w:tcPr>
            <w:tcW w:w="491" w:type="pct"/>
            <w:vMerge w:val="continue"/>
            <w:vAlign w:val="center"/>
          </w:tcPr>
          <w:p w14:paraId="49BF05F6">
            <w:pPr>
              <w:pStyle w:val="36"/>
              <w:bidi w:val="0"/>
              <w:rPr>
                <w:color w:val="auto"/>
                <w:lang w:val="en-US" w:eastAsia="zh-CN"/>
              </w:rPr>
            </w:pPr>
          </w:p>
        </w:tc>
        <w:tc>
          <w:tcPr>
            <w:tcW w:w="491" w:type="pct"/>
            <w:vAlign w:val="center"/>
          </w:tcPr>
          <w:p w14:paraId="50B5EDFB">
            <w:pPr>
              <w:pStyle w:val="36"/>
              <w:bidi w:val="0"/>
              <w:rPr>
                <w:color w:val="auto"/>
                <w:lang w:val="en-US" w:eastAsia="zh-CN"/>
              </w:rPr>
            </w:pPr>
            <w:r>
              <w:rPr>
                <w:color w:val="auto"/>
                <w:lang w:val="en-US" w:eastAsia="zh-CN"/>
              </w:rPr>
              <w:t>昼间</w:t>
            </w:r>
          </w:p>
        </w:tc>
        <w:tc>
          <w:tcPr>
            <w:tcW w:w="492" w:type="pct"/>
            <w:vAlign w:val="center"/>
          </w:tcPr>
          <w:p w14:paraId="281AEF5F">
            <w:pPr>
              <w:pStyle w:val="36"/>
              <w:bidi w:val="0"/>
              <w:rPr>
                <w:color w:val="auto"/>
                <w:lang w:val="en-US" w:eastAsia="zh-CN"/>
              </w:rPr>
            </w:pPr>
            <w:r>
              <w:rPr>
                <w:color w:val="auto"/>
                <w:lang w:val="en-US" w:eastAsia="zh-CN"/>
              </w:rPr>
              <w:t>夜间</w:t>
            </w:r>
          </w:p>
        </w:tc>
        <w:tc>
          <w:tcPr>
            <w:tcW w:w="2752" w:type="pct"/>
            <w:vMerge w:val="continue"/>
            <w:vAlign w:val="center"/>
          </w:tcPr>
          <w:p w14:paraId="282B9B8E">
            <w:pPr>
              <w:pStyle w:val="36"/>
              <w:bidi w:val="0"/>
              <w:rPr>
                <w:color w:val="auto"/>
                <w:lang w:val="en-US" w:eastAsia="zh-CN"/>
              </w:rPr>
            </w:pPr>
          </w:p>
        </w:tc>
      </w:tr>
      <w:tr w14:paraId="5128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1" w:type="pct"/>
            <w:vAlign w:val="center"/>
          </w:tcPr>
          <w:p w14:paraId="0C2F6285">
            <w:pPr>
              <w:pStyle w:val="26"/>
              <w:bidi w:val="0"/>
              <w:rPr>
                <w:color w:val="auto"/>
                <w:lang w:val="en-US" w:eastAsia="zh-CN"/>
              </w:rPr>
            </w:pPr>
            <w:r>
              <w:rPr>
                <w:color w:val="auto"/>
                <w:lang w:val="en-US" w:eastAsia="zh-CN"/>
              </w:rPr>
              <w:t>施工期</w:t>
            </w:r>
          </w:p>
        </w:tc>
        <w:tc>
          <w:tcPr>
            <w:tcW w:w="491" w:type="pct"/>
            <w:vAlign w:val="center"/>
          </w:tcPr>
          <w:p w14:paraId="58ABB331">
            <w:pPr>
              <w:pStyle w:val="26"/>
              <w:bidi w:val="0"/>
              <w:rPr>
                <w:color w:val="auto"/>
                <w:lang w:val="en-US" w:eastAsia="zh-CN"/>
              </w:rPr>
            </w:pPr>
            <w:r>
              <w:rPr>
                <w:color w:val="auto"/>
                <w:lang w:val="en-US" w:eastAsia="zh-CN"/>
              </w:rPr>
              <w:t>/</w:t>
            </w:r>
          </w:p>
        </w:tc>
        <w:tc>
          <w:tcPr>
            <w:tcW w:w="491" w:type="pct"/>
            <w:vAlign w:val="center"/>
          </w:tcPr>
          <w:p w14:paraId="410B818B">
            <w:pPr>
              <w:pStyle w:val="26"/>
              <w:bidi w:val="0"/>
              <w:rPr>
                <w:color w:val="auto"/>
                <w:lang w:val="en-US" w:eastAsia="zh-CN"/>
              </w:rPr>
            </w:pPr>
            <w:r>
              <w:rPr>
                <w:color w:val="auto"/>
                <w:lang w:val="en-US" w:eastAsia="zh-CN"/>
              </w:rPr>
              <w:t>70</w:t>
            </w:r>
          </w:p>
        </w:tc>
        <w:tc>
          <w:tcPr>
            <w:tcW w:w="492" w:type="pct"/>
            <w:vAlign w:val="center"/>
          </w:tcPr>
          <w:p w14:paraId="2EB47E1D">
            <w:pPr>
              <w:pStyle w:val="26"/>
              <w:bidi w:val="0"/>
              <w:rPr>
                <w:color w:val="auto"/>
                <w:lang w:val="en-US" w:eastAsia="zh-CN"/>
              </w:rPr>
            </w:pPr>
            <w:r>
              <w:rPr>
                <w:color w:val="auto"/>
                <w:lang w:val="en-US" w:eastAsia="zh-CN"/>
              </w:rPr>
              <w:t>55</w:t>
            </w:r>
          </w:p>
        </w:tc>
        <w:tc>
          <w:tcPr>
            <w:tcW w:w="2752" w:type="pct"/>
            <w:vAlign w:val="center"/>
          </w:tcPr>
          <w:p w14:paraId="7E3D2C3C">
            <w:pPr>
              <w:pStyle w:val="26"/>
              <w:bidi w:val="0"/>
              <w:rPr>
                <w:color w:val="auto"/>
                <w:lang w:val="en-US" w:eastAsia="zh-CN"/>
              </w:rPr>
            </w:pPr>
            <w:r>
              <w:rPr>
                <w:color w:val="auto"/>
                <w:lang w:val="en-US" w:eastAsia="zh-CN"/>
              </w:rPr>
              <w:t>《建筑施工场界环境噪声排放标准》（GB12523-20</w:t>
            </w:r>
            <w:r>
              <w:rPr>
                <w:rFonts w:hint="eastAsia"/>
                <w:color w:val="auto"/>
                <w:lang w:val="en-US" w:eastAsia="zh-CN"/>
              </w:rPr>
              <w:t>25</w:t>
            </w:r>
            <w:r>
              <w:rPr>
                <w:color w:val="auto"/>
                <w:lang w:val="en-US" w:eastAsia="zh-CN"/>
              </w:rPr>
              <w:t>）</w:t>
            </w:r>
          </w:p>
        </w:tc>
      </w:tr>
      <w:tr w14:paraId="1D57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1" w:type="pct"/>
            <w:vAlign w:val="center"/>
          </w:tcPr>
          <w:p w14:paraId="509FFCD4">
            <w:pPr>
              <w:pStyle w:val="26"/>
              <w:bidi w:val="0"/>
              <w:rPr>
                <w:color w:val="auto"/>
                <w:lang w:val="en-US" w:eastAsia="zh-CN"/>
              </w:rPr>
            </w:pPr>
            <w:r>
              <w:rPr>
                <w:color w:val="auto"/>
                <w:lang w:val="en-US" w:eastAsia="zh-CN"/>
              </w:rPr>
              <w:t>运营期</w:t>
            </w:r>
          </w:p>
        </w:tc>
        <w:tc>
          <w:tcPr>
            <w:tcW w:w="491" w:type="pct"/>
            <w:vAlign w:val="center"/>
          </w:tcPr>
          <w:p w14:paraId="03E5A090">
            <w:pPr>
              <w:pStyle w:val="26"/>
              <w:bidi w:val="0"/>
              <w:rPr>
                <w:color w:val="auto"/>
                <w:lang w:val="en-US" w:eastAsia="zh-CN"/>
              </w:rPr>
            </w:pPr>
            <w:r>
              <w:rPr>
                <w:color w:val="auto"/>
                <w:lang w:val="en-US" w:eastAsia="zh-CN"/>
              </w:rPr>
              <w:t>3类</w:t>
            </w:r>
          </w:p>
        </w:tc>
        <w:tc>
          <w:tcPr>
            <w:tcW w:w="491" w:type="pct"/>
            <w:vAlign w:val="center"/>
          </w:tcPr>
          <w:p w14:paraId="3786F218">
            <w:pPr>
              <w:pStyle w:val="26"/>
              <w:bidi w:val="0"/>
              <w:rPr>
                <w:color w:val="auto"/>
                <w:lang w:val="en-US" w:eastAsia="zh-CN"/>
              </w:rPr>
            </w:pPr>
            <w:r>
              <w:rPr>
                <w:color w:val="auto"/>
                <w:lang w:val="en-US" w:eastAsia="zh-CN"/>
              </w:rPr>
              <w:t>65</w:t>
            </w:r>
          </w:p>
        </w:tc>
        <w:tc>
          <w:tcPr>
            <w:tcW w:w="492" w:type="pct"/>
            <w:vAlign w:val="center"/>
          </w:tcPr>
          <w:p w14:paraId="79595AAD">
            <w:pPr>
              <w:pStyle w:val="26"/>
              <w:bidi w:val="0"/>
              <w:rPr>
                <w:color w:val="auto"/>
                <w:lang w:val="en-US" w:eastAsia="zh-CN"/>
              </w:rPr>
            </w:pPr>
            <w:r>
              <w:rPr>
                <w:color w:val="auto"/>
                <w:lang w:val="en-US" w:eastAsia="zh-CN"/>
              </w:rPr>
              <w:t>55</w:t>
            </w:r>
          </w:p>
        </w:tc>
        <w:tc>
          <w:tcPr>
            <w:tcW w:w="2752" w:type="pct"/>
            <w:vAlign w:val="center"/>
          </w:tcPr>
          <w:p w14:paraId="1D6FB9C0">
            <w:pPr>
              <w:pStyle w:val="26"/>
              <w:bidi w:val="0"/>
              <w:rPr>
                <w:color w:val="auto"/>
                <w:lang w:val="en-US" w:eastAsia="zh-CN"/>
              </w:rPr>
            </w:pPr>
            <w:r>
              <w:rPr>
                <w:color w:val="auto"/>
                <w:lang w:val="en-US" w:eastAsia="zh-CN"/>
              </w:rPr>
              <w:t>《工业企业厂界环境噪声排放标准》（GB12348-2008）</w:t>
            </w:r>
          </w:p>
        </w:tc>
      </w:tr>
    </w:tbl>
    <w:p w14:paraId="2FB8E525">
      <w:pPr>
        <w:pStyle w:val="46"/>
        <w:bidi w:val="0"/>
        <w:rPr>
          <w:color w:val="auto"/>
          <w:lang w:val="en-US" w:eastAsia="zh-CN"/>
        </w:rPr>
      </w:pPr>
      <w:r>
        <w:rPr>
          <w:rFonts w:hint="eastAsia"/>
          <w:color w:val="auto"/>
          <w:lang w:val="en-US" w:eastAsia="zh-CN"/>
        </w:rPr>
        <w:t>4、固废污染控制标准</w:t>
      </w:r>
    </w:p>
    <w:p w14:paraId="77D23BA2">
      <w:pPr>
        <w:rPr>
          <w:rFonts w:ascii="Times New Roman" w:hAnsi="Times New Roman"/>
          <w:color w:val="auto"/>
        </w:rPr>
      </w:pPr>
      <w:r>
        <w:rPr>
          <w:rFonts w:hint="eastAsia" w:ascii="Times New Roman" w:hAnsi="Times New Roman"/>
          <w:color w:val="auto"/>
        </w:rPr>
        <w:t>危险废物暂存场所执行《危险废物贮存污染控制标准》（GB18597-2023）、《危险废物收集储存运输技术规范》（HJ2025-2012）、《省生态环境厅关于印发江苏省固体废物全过程环境监管工作意见的通知》（苏环办〔2024〕16号文）等文件中相关规定要求进行危险废物的包装、贮存设施的选址、设计、运行、安全防护、监测和关闭等要求进行合理的贮存。一般工业固废的贮存过程应满足防渗漏、防雨淋、防扬尘等环境保护要求。</w:t>
      </w:r>
    </w:p>
    <w:p w14:paraId="1FF529E2">
      <w:pPr>
        <w:pStyle w:val="3"/>
        <w:bidi w:val="0"/>
        <w:rPr>
          <w:color w:val="auto"/>
          <w:lang w:val="en-US" w:eastAsia="zh-CN"/>
        </w:rPr>
      </w:pPr>
      <w:bookmarkStart w:id="74" w:name="_Toc10302"/>
      <w:bookmarkStart w:id="75" w:name="_Toc28749"/>
      <w:r>
        <w:rPr>
          <w:rFonts w:hint="eastAsia"/>
          <w:color w:val="auto"/>
          <w:lang w:val="en-US" w:eastAsia="zh-CN"/>
        </w:rPr>
        <w:t>评价工作等级和评价范围</w:t>
      </w:r>
      <w:bookmarkEnd w:id="74"/>
      <w:bookmarkEnd w:id="75"/>
    </w:p>
    <w:p w14:paraId="76FFAF3E">
      <w:pPr>
        <w:pStyle w:val="4"/>
        <w:bidi w:val="0"/>
        <w:rPr>
          <w:color w:val="auto"/>
          <w:lang w:val="en-US" w:eastAsia="zh-CN"/>
        </w:rPr>
      </w:pPr>
      <w:bookmarkStart w:id="76" w:name="_Toc30370"/>
      <w:bookmarkStart w:id="77" w:name="_Toc33"/>
      <w:r>
        <w:rPr>
          <w:rFonts w:hint="eastAsia"/>
          <w:color w:val="auto"/>
          <w:lang w:val="en-US" w:eastAsia="zh-CN"/>
        </w:rPr>
        <w:t>评价工作等级</w:t>
      </w:r>
      <w:bookmarkEnd w:id="76"/>
      <w:bookmarkEnd w:id="77"/>
    </w:p>
    <w:p w14:paraId="35383116">
      <w:pPr>
        <w:pStyle w:val="5"/>
        <w:bidi w:val="0"/>
        <w:rPr>
          <w:color w:val="auto"/>
          <w:lang w:val="en-US" w:eastAsia="zh-CN"/>
        </w:rPr>
      </w:pPr>
      <w:r>
        <w:rPr>
          <w:rFonts w:hint="eastAsia"/>
          <w:color w:val="auto"/>
          <w:lang w:val="en-US" w:eastAsia="zh-CN"/>
        </w:rPr>
        <w:t>大气环境评价工作等级</w:t>
      </w:r>
    </w:p>
    <w:p w14:paraId="7B773781">
      <w:pPr>
        <w:rPr>
          <w:rFonts w:ascii="Times New Roman" w:hAnsi="Times New Roman" w:eastAsia="宋体"/>
          <w:color w:val="auto"/>
        </w:rPr>
      </w:pPr>
      <w:r>
        <w:rPr>
          <w:rFonts w:hint="eastAsia" w:ascii="Times New Roman" w:hAnsi="Times New Roman"/>
          <w:color w:val="auto"/>
        </w:rPr>
        <w:t>1、估算模型及参数</w:t>
      </w:r>
    </w:p>
    <w:p w14:paraId="04017B2C">
      <w:pPr>
        <w:rPr>
          <w:rFonts w:ascii="Times New Roman" w:hAnsi="Times New Roman"/>
          <w:color w:val="auto"/>
        </w:rPr>
      </w:pPr>
      <w:r>
        <w:rPr>
          <w:rFonts w:hint="eastAsia" w:ascii="Times New Roman" w:hAnsi="Times New Roman"/>
          <w:color w:val="auto"/>
        </w:rPr>
        <w:t>本次环评采用《环境影响评价技术导则大气环境》（HJ2.2-2018）附录A中的AERSCREEN模型，根据项目污染源初步调查结果，分别计算项目排放主要污染物的最大地面空气质量浓度占标率Pi（第i个污染物，简称“最大浓度占标率”），及第i个污染物的地面空气质量浓度达到标准值的10%时所对应的最远距离D10%。</w:t>
      </w:r>
    </w:p>
    <w:p w14:paraId="4A4EF9C8">
      <w:pPr>
        <w:rPr>
          <w:rFonts w:ascii="Times New Roman" w:hAnsi="Times New Roman"/>
          <w:color w:val="auto"/>
        </w:rPr>
      </w:pPr>
      <w:r>
        <w:rPr>
          <w:rFonts w:hint="eastAsia" w:ascii="Times New Roman" w:hAnsi="Times New Roman"/>
          <w:color w:val="auto"/>
        </w:rPr>
        <w:t>占标率Pi计算公式：</w:t>
      </w:r>
    </w:p>
    <w:p w14:paraId="410340B4">
      <w:pPr>
        <w:pStyle w:val="26"/>
        <w:bidi w:val="0"/>
        <w:rPr>
          <w:lang w:val="en-US" w:eastAsia="zh-CN"/>
        </w:rPr>
      </w:pPr>
      <w:r>
        <w:rPr>
          <w:lang w:val="en-US" w:eastAsia="zh-CN"/>
        </w:rPr>
        <w:drawing>
          <wp:inline distT="0" distB="0" distL="0" distR="0">
            <wp:extent cx="990600" cy="426720"/>
            <wp:effectExtent l="0" t="0" r="0" b="12065"/>
            <wp:docPr id="1871827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27299"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990600" cy="426720"/>
                    </a:xfrm>
                    <a:prstGeom prst="rect">
                      <a:avLst/>
                    </a:prstGeom>
                    <a:noFill/>
                    <a:ln>
                      <a:noFill/>
                    </a:ln>
                  </pic:spPr>
                </pic:pic>
              </a:graphicData>
            </a:graphic>
          </wp:inline>
        </w:drawing>
      </w:r>
    </w:p>
    <w:p w14:paraId="04646342">
      <w:pPr>
        <w:rPr>
          <w:rFonts w:ascii="Times New Roman" w:hAnsi="Times New Roman"/>
          <w:color w:val="auto"/>
        </w:rPr>
      </w:pPr>
      <w:r>
        <w:rPr>
          <w:rFonts w:ascii="Times New Roman" w:hAnsi="Times New Roman"/>
          <w:color w:val="auto"/>
        </w:rPr>
        <w:t>式中：</w:t>
      </w:r>
    </w:p>
    <w:p w14:paraId="508DA9E3">
      <w:pPr>
        <w:rPr>
          <w:rFonts w:ascii="Times New Roman" w:hAnsi="Times New Roman"/>
          <w:color w:val="auto"/>
        </w:rPr>
      </w:pPr>
      <w:r>
        <w:rPr>
          <w:rFonts w:ascii="Times New Roman" w:hAnsi="Times New Roman"/>
          <w:i/>
          <w:iCs/>
          <w:color w:val="auto"/>
        </w:rPr>
        <w:t>P</w:t>
      </w:r>
      <w:r>
        <w:rPr>
          <w:rFonts w:ascii="Times New Roman" w:hAnsi="Times New Roman"/>
          <w:i/>
          <w:iCs/>
          <w:color w:val="auto"/>
          <w:vertAlign w:val="subscript"/>
        </w:rPr>
        <w:t>i</w:t>
      </w:r>
      <w:r>
        <w:rPr>
          <w:rFonts w:ascii="Times New Roman" w:hAnsi="Times New Roman"/>
          <w:color w:val="auto"/>
        </w:rPr>
        <w:t>—第i个污染物的最大地面浓度占标率，%；</w:t>
      </w:r>
    </w:p>
    <w:p w14:paraId="033BBD75">
      <w:pPr>
        <w:rPr>
          <w:rFonts w:ascii="Times New Roman" w:hAnsi="Times New Roman"/>
          <w:color w:val="auto"/>
        </w:rPr>
      </w:pPr>
      <w:r>
        <w:rPr>
          <w:rFonts w:ascii="Times New Roman" w:hAnsi="Times New Roman"/>
          <w:i/>
          <w:iCs/>
          <w:color w:val="auto"/>
        </w:rPr>
        <w:t>C</w:t>
      </w:r>
      <w:r>
        <w:rPr>
          <w:rFonts w:ascii="Times New Roman" w:hAnsi="Times New Roman"/>
          <w:i/>
          <w:iCs/>
          <w:color w:val="auto"/>
          <w:vertAlign w:val="subscript"/>
        </w:rPr>
        <w:t>i</w:t>
      </w:r>
      <w:r>
        <w:rPr>
          <w:rFonts w:ascii="Times New Roman" w:hAnsi="Times New Roman"/>
          <w:color w:val="auto"/>
        </w:rPr>
        <w:t>—采用估算模式计算出的第i个污染物的最大地面浓度，μg/</w:t>
      </w:r>
      <w:r>
        <w:rPr>
          <w:rFonts w:hint="eastAsia" w:ascii="Times New Roman" w:hAnsi="Times New Roman"/>
          <w:color w:val="auto"/>
          <w:lang w:eastAsia="zh-CN"/>
        </w:rPr>
        <w:t>m</w:t>
      </w:r>
      <w:r>
        <w:rPr>
          <w:rFonts w:hint="eastAsia" w:ascii="Times New Roman" w:hAnsi="Times New Roman"/>
          <w:color w:val="auto"/>
          <w:vertAlign w:val="superscript"/>
          <w:lang w:eastAsia="zh-CN"/>
        </w:rPr>
        <w:t>3</w:t>
      </w:r>
      <w:r>
        <w:rPr>
          <w:rFonts w:ascii="Times New Roman" w:hAnsi="Times New Roman"/>
          <w:color w:val="auto"/>
        </w:rPr>
        <w:t>；</w:t>
      </w:r>
    </w:p>
    <w:p w14:paraId="49EAF652">
      <w:pPr>
        <w:rPr>
          <w:rFonts w:ascii="Times New Roman" w:hAnsi="Times New Roman"/>
          <w:color w:val="auto"/>
        </w:rPr>
      </w:pPr>
      <w:r>
        <w:rPr>
          <w:rFonts w:ascii="Times New Roman" w:hAnsi="Times New Roman"/>
          <w:i/>
          <w:iCs/>
          <w:color w:val="auto"/>
        </w:rPr>
        <w:t>C</w:t>
      </w:r>
      <w:r>
        <w:rPr>
          <w:rFonts w:ascii="Times New Roman" w:hAnsi="Times New Roman"/>
          <w:i/>
          <w:iCs/>
          <w:color w:val="auto"/>
          <w:vertAlign w:val="subscript"/>
        </w:rPr>
        <w:t>0i</w:t>
      </w:r>
      <w:r>
        <w:rPr>
          <w:rFonts w:ascii="Times New Roman" w:hAnsi="Times New Roman"/>
          <w:color w:val="auto"/>
        </w:rPr>
        <w:t>—第i个污染物的环境空气质量标准，μg/</w:t>
      </w:r>
      <w:r>
        <w:rPr>
          <w:rFonts w:hint="eastAsia" w:ascii="Times New Roman" w:hAnsi="Times New Roman"/>
          <w:color w:val="auto"/>
          <w:lang w:eastAsia="zh-CN"/>
        </w:rPr>
        <w:t>m</w:t>
      </w:r>
      <w:r>
        <w:rPr>
          <w:rFonts w:hint="eastAsia" w:ascii="Times New Roman" w:hAnsi="Times New Roman"/>
          <w:color w:val="auto"/>
          <w:vertAlign w:val="superscript"/>
          <w:lang w:eastAsia="zh-CN"/>
        </w:rPr>
        <w:t>3</w:t>
      </w:r>
      <w:r>
        <w:rPr>
          <w:rFonts w:ascii="Times New Roman" w:hAnsi="Times New Roman"/>
          <w:color w:val="auto"/>
        </w:rPr>
        <w:t>；一般选用GB3095中1h平均质量浓度的二级浓度限值，对仅有8h平均质量浓度限值、日平均质量浓度限值或年平均质量浓度限值的，可分别按2倍、3倍、6倍折算为1h平均质量浓度限值。</w:t>
      </w:r>
    </w:p>
    <w:p w14:paraId="3BC4ED8B">
      <w:pPr>
        <w:rPr>
          <w:rFonts w:ascii="Times New Roman" w:hAnsi="Times New Roman"/>
          <w:color w:val="auto"/>
        </w:rPr>
      </w:pPr>
      <w:r>
        <w:rPr>
          <w:rFonts w:hint="eastAsia" w:ascii="Times New Roman" w:hAnsi="Times New Roman"/>
          <w:color w:val="auto"/>
        </w:rPr>
        <w:t>估算模型参数见</w:t>
      </w:r>
      <w:r>
        <w:rPr>
          <w:rFonts w:hint="eastAsia" w:ascii="Times New Roman" w:hAnsi="Times New Roman"/>
          <w:color w:val="auto"/>
          <w:lang w:val="en-US" w:eastAsia="zh-CN"/>
        </w:rPr>
        <w:t>下表</w:t>
      </w:r>
      <w:r>
        <w:rPr>
          <w:rFonts w:hint="eastAsia" w:ascii="Times New Roman" w:hAnsi="Times New Roman"/>
          <w:color w:val="auto"/>
        </w:rPr>
        <w:t>：</w:t>
      </w:r>
    </w:p>
    <w:p w14:paraId="57E5B2F6">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r>
        <w:rPr>
          <w:color w:val="auto"/>
          <w:lang w:val="en-US" w:eastAsia="zh-CN"/>
        </w:rPr>
        <w:t>估算模型参数表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4"/>
        <w:gridCol w:w="2947"/>
        <w:gridCol w:w="2831"/>
      </w:tblGrid>
      <w:tr w14:paraId="644F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4ADED36C">
            <w:pPr>
              <w:pStyle w:val="26"/>
              <w:bidi w:val="0"/>
              <w:rPr>
                <w:b/>
                <w:bCs/>
                <w:color w:val="auto"/>
                <w:lang w:val="en-US" w:eastAsia="zh-CN"/>
              </w:rPr>
            </w:pPr>
            <w:r>
              <w:rPr>
                <w:b/>
                <w:bCs/>
                <w:color w:val="auto"/>
                <w:lang w:val="en-US" w:eastAsia="zh-CN"/>
              </w:rPr>
              <w:t>参数</w:t>
            </w:r>
          </w:p>
        </w:tc>
        <w:tc>
          <w:tcPr>
            <w:tcW w:w="1661" w:type="pct"/>
            <w:vAlign w:val="center"/>
          </w:tcPr>
          <w:p w14:paraId="66977245">
            <w:pPr>
              <w:pStyle w:val="26"/>
              <w:bidi w:val="0"/>
              <w:rPr>
                <w:b/>
                <w:bCs/>
                <w:color w:val="auto"/>
                <w:lang w:val="en-US" w:eastAsia="zh-CN"/>
              </w:rPr>
            </w:pPr>
            <w:r>
              <w:rPr>
                <w:b/>
                <w:bCs/>
                <w:color w:val="auto"/>
                <w:lang w:val="en-US" w:eastAsia="zh-CN"/>
              </w:rPr>
              <w:t>取值</w:t>
            </w:r>
          </w:p>
        </w:tc>
      </w:tr>
      <w:tr w14:paraId="741F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521515C3">
            <w:pPr>
              <w:pStyle w:val="26"/>
              <w:bidi w:val="0"/>
              <w:rPr>
                <w:color w:val="auto"/>
                <w:lang w:val="en-US" w:eastAsia="zh-CN"/>
              </w:rPr>
            </w:pPr>
            <w:r>
              <w:rPr>
                <w:color w:val="auto"/>
                <w:lang w:val="en-US" w:eastAsia="zh-CN"/>
              </w:rPr>
              <w:t>城市/农村选项</w:t>
            </w:r>
          </w:p>
        </w:tc>
        <w:tc>
          <w:tcPr>
            <w:tcW w:w="1729" w:type="pct"/>
            <w:vAlign w:val="center"/>
          </w:tcPr>
          <w:p w14:paraId="5A855295">
            <w:pPr>
              <w:pStyle w:val="26"/>
              <w:bidi w:val="0"/>
              <w:rPr>
                <w:color w:val="auto"/>
                <w:lang w:val="en-US" w:eastAsia="zh-CN"/>
              </w:rPr>
            </w:pPr>
            <w:r>
              <w:rPr>
                <w:color w:val="auto"/>
                <w:lang w:val="en-US" w:eastAsia="zh-CN"/>
              </w:rPr>
              <w:t>城市/农村</w:t>
            </w:r>
          </w:p>
        </w:tc>
        <w:tc>
          <w:tcPr>
            <w:tcW w:w="1661" w:type="pct"/>
            <w:vAlign w:val="center"/>
          </w:tcPr>
          <w:p w14:paraId="47D77CD3">
            <w:pPr>
              <w:pStyle w:val="26"/>
              <w:bidi w:val="0"/>
              <w:rPr>
                <w:color w:val="auto"/>
                <w:lang w:val="en-US" w:eastAsia="zh-CN"/>
              </w:rPr>
            </w:pPr>
            <w:r>
              <w:rPr>
                <w:color w:val="auto"/>
                <w:lang w:val="en-US" w:eastAsia="zh-CN"/>
              </w:rPr>
              <w:t>城市</w:t>
            </w:r>
          </w:p>
        </w:tc>
      </w:tr>
      <w:tr w14:paraId="6D85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6F9A8FCE">
            <w:pPr>
              <w:pStyle w:val="26"/>
              <w:bidi w:val="0"/>
              <w:rPr>
                <w:color w:val="auto"/>
                <w:lang w:val="en-US" w:eastAsia="zh-CN"/>
              </w:rPr>
            </w:pPr>
          </w:p>
        </w:tc>
        <w:tc>
          <w:tcPr>
            <w:tcW w:w="1729" w:type="pct"/>
            <w:vAlign w:val="center"/>
          </w:tcPr>
          <w:p w14:paraId="1409C11E">
            <w:pPr>
              <w:pStyle w:val="26"/>
              <w:bidi w:val="0"/>
              <w:rPr>
                <w:color w:val="auto"/>
                <w:lang w:val="en-US" w:eastAsia="zh-CN"/>
              </w:rPr>
            </w:pPr>
            <w:r>
              <w:rPr>
                <w:color w:val="auto"/>
                <w:lang w:val="en-US" w:eastAsia="zh-CN"/>
              </w:rPr>
              <w:t>人口数（城市选项时）</w:t>
            </w:r>
          </w:p>
        </w:tc>
        <w:tc>
          <w:tcPr>
            <w:tcW w:w="1661" w:type="pct"/>
            <w:vAlign w:val="center"/>
          </w:tcPr>
          <w:p w14:paraId="3729EEBB">
            <w:pPr>
              <w:pStyle w:val="26"/>
              <w:bidi w:val="0"/>
              <w:rPr>
                <w:color w:val="auto"/>
                <w:lang w:val="en-US" w:eastAsia="zh-CN"/>
              </w:rPr>
            </w:pPr>
            <w:r>
              <w:rPr>
                <w:rFonts w:hint="eastAsia"/>
                <w:color w:val="auto"/>
                <w:lang w:val="en-US" w:eastAsia="zh-CN"/>
              </w:rPr>
              <w:t>37.5</w:t>
            </w:r>
            <w:r>
              <w:rPr>
                <w:color w:val="auto"/>
                <w:lang w:val="en-US" w:eastAsia="zh-CN"/>
              </w:rPr>
              <w:t>万</w:t>
            </w:r>
          </w:p>
        </w:tc>
      </w:tr>
      <w:tr w14:paraId="5B9C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69D9AB9C">
            <w:pPr>
              <w:pStyle w:val="26"/>
              <w:bidi w:val="0"/>
              <w:rPr>
                <w:color w:val="auto"/>
                <w:lang w:val="en-US" w:eastAsia="zh-CN"/>
              </w:rPr>
            </w:pPr>
            <w:r>
              <w:rPr>
                <w:color w:val="auto"/>
                <w:lang w:val="en-US" w:eastAsia="zh-CN"/>
              </w:rPr>
              <w:t>最高环境温度/℃</w:t>
            </w:r>
          </w:p>
        </w:tc>
        <w:tc>
          <w:tcPr>
            <w:tcW w:w="1661" w:type="pct"/>
            <w:vAlign w:val="center"/>
          </w:tcPr>
          <w:p w14:paraId="5E40D671">
            <w:pPr>
              <w:pStyle w:val="26"/>
              <w:bidi w:val="0"/>
              <w:rPr>
                <w:rFonts w:hint="default"/>
                <w:color w:val="auto"/>
                <w:lang w:val="en-US" w:eastAsia="zh-CN"/>
              </w:rPr>
            </w:pPr>
            <w:r>
              <w:rPr>
                <w:rFonts w:hint="eastAsia"/>
                <w:color w:val="auto"/>
                <w:lang w:val="en-US" w:eastAsia="zh-CN"/>
              </w:rPr>
              <w:t>40.4</w:t>
            </w:r>
          </w:p>
        </w:tc>
      </w:tr>
      <w:tr w14:paraId="73A0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5A9FB4C1">
            <w:pPr>
              <w:pStyle w:val="26"/>
              <w:bidi w:val="0"/>
              <w:rPr>
                <w:color w:val="auto"/>
                <w:lang w:val="en-US" w:eastAsia="zh-CN"/>
              </w:rPr>
            </w:pPr>
            <w:r>
              <w:rPr>
                <w:color w:val="auto"/>
                <w:lang w:val="en-US" w:eastAsia="zh-CN"/>
              </w:rPr>
              <w:t>最低环境温度/℃</w:t>
            </w:r>
          </w:p>
        </w:tc>
        <w:tc>
          <w:tcPr>
            <w:tcW w:w="1661" w:type="pct"/>
            <w:vAlign w:val="center"/>
          </w:tcPr>
          <w:p w14:paraId="6E528C0B">
            <w:pPr>
              <w:pStyle w:val="26"/>
              <w:bidi w:val="0"/>
              <w:rPr>
                <w:color w:val="auto"/>
                <w:lang w:val="en-US" w:eastAsia="zh-CN"/>
              </w:rPr>
            </w:pPr>
            <w:r>
              <w:rPr>
                <w:color w:val="auto"/>
                <w:lang w:val="en-US" w:eastAsia="zh-CN"/>
              </w:rPr>
              <w:t>-</w:t>
            </w:r>
            <w:r>
              <w:rPr>
                <w:rFonts w:hint="eastAsia"/>
                <w:color w:val="auto"/>
                <w:lang w:val="en-US" w:eastAsia="zh-CN"/>
              </w:rPr>
              <w:t>11</w:t>
            </w:r>
            <w:r>
              <w:rPr>
                <w:color w:val="auto"/>
                <w:lang w:val="en-US" w:eastAsia="zh-CN"/>
              </w:rPr>
              <w:t>.7</w:t>
            </w:r>
          </w:p>
        </w:tc>
      </w:tr>
      <w:tr w14:paraId="6CEF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48CD960B">
            <w:pPr>
              <w:pStyle w:val="26"/>
              <w:bidi w:val="0"/>
              <w:rPr>
                <w:color w:val="auto"/>
                <w:lang w:val="en-US" w:eastAsia="zh-CN"/>
              </w:rPr>
            </w:pPr>
            <w:r>
              <w:rPr>
                <w:color w:val="auto"/>
                <w:lang w:val="en-US" w:eastAsia="zh-CN"/>
              </w:rPr>
              <w:t>土地利用类型</w:t>
            </w:r>
          </w:p>
        </w:tc>
        <w:tc>
          <w:tcPr>
            <w:tcW w:w="1661" w:type="pct"/>
            <w:vAlign w:val="center"/>
          </w:tcPr>
          <w:p w14:paraId="1DA70253">
            <w:pPr>
              <w:pStyle w:val="26"/>
              <w:bidi w:val="0"/>
              <w:rPr>
                <w:color w:val="auto"/>
                <w:lang w:val="en-US" w:eastAsia="zh-CN"/>
              </w:rPr>
            </w:pPr>
            <w:r>
              <w:rPr>
                <w:color w:val="auto"/>
                <w:lang w:val="en-US" w:eastAsia="zh-CN"/>
              </w:rPr>
              <w:t>城市</w:t>
            </w:r>
          </w:p>
        </w:tc>
      </w:tr>
      <w:tr w14:paraId="33EC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62D5137C">
            <w:pPr>
              <w:pStyle w:val="26"/>
              <w:bidi w:val="0"/>
              <w:rPr>
                <w:color w:val="auto"/>
                <w:lang w:val="en-US" w:eastAsia="zh-CN"/>
              </w:rPr>
            </w:pPr>
            <w:r>
              <w:rPr>
                <w:color w:val="auto"/>
                <w:lang w:val="en-US" w:eastAsia="zh-CN"/>
              </w:rPr>
              <w:t>区域湿度条件</w:t>
            </w:r>
          </w:p>
        </w:tc>
        <w:tc>
          <w:tcPr>
            <w:tcW w:w="1661" w:type="pct"/>
            <w:vAlign w:val="center"/>
          </w:tcPr>
          <w:p w14:paraId="72DB565D">
            <w:pPr>
              <w:pStyle w:val="26"/>
              <w:bidi w:val="0"/>
              <w:rPr>
                <w:color w:val="auto"/>
                <w:lang w:val="en-US" w:eastAsia="zh-CN"/>
              </w:rPr>
            </w:pPr>
            <w:r>
              <w:rPr>
                <w:color w:val="auto"/>
                <w:lang w:val="en-US" w:eastAsia="zh-CN"/>
              </w:rPr>
              <w:t>潮湿气候</w:t>
            </w:r>
          </w:p>
        </w:tc>
      </w:tr>
      <w:tr w14:paraId="7E8B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6F0D7B9D">
            <w:pPr>
              <w:pStyle w:val="26"/>
              <w:bidi w:val="0"/>
              <w:rPr>
                <w:color w:val="auto"/>
                <w:lang w:val="en-US" w:eastAsia="zh-CN"/>
              </w:rPr>
            </w:pPr>
            <w:r>
              <w:rPr>
                <w:color w:val="auto"/>
                <w:lang w:val="en-US" w:eastAsia="zh-CN"/>
              </w:rPr>
              <w:t>是否考虑地形</w:t>
            </w:r>
          </w:p>
        </w:tc>
        <w:tc>
          <w:tcPr>
            <w:tcW w:w="1729" w:type="pct"/>
            <w:vAlign w:val="center"/>
          </w:tcPr>
          <w:p w14:paraId="61D15096">
            <w:pPr>
              <w:pStyle w:val="26"/>
              <w:bidi w:val="0"/>
              <w:rPr>
                <w:color w:val="auto"/>
                <w:lang w:val="en-US" w:eastAsia="zh-CN"/>
              </w:rPr>
            </w:pPr>
            <w:r>
              <w:rPr>
                <w:color w:val="auto"/>
                <w:lang w:val="en-US" w:eastAsia="zh-CN"/>
              </w:rPr>
              <w:t>考虑地形</w:t>
            </w:r>
          </w:p>
        </w:tc>
        <w:tc>
          <w:tcPr>
            <w:tcW w:w="1661" w:type="pct"/>
            <w:vAlign w:val="center"/>
          </w:tcPr>
          <w:p w14:paraId="3A9AC4E0">
            <w:pPr>
              <w:pStyle w:val="26"/>
              <w:bidi w:val="0"/>
              <w:rPr>
                <w:color w:val="auto"/>
                <w:lang w:val="en-US" w:eastAsia="zh-CN"/>
              </w:rPr>
            </w:pPr>
            <w:r>
              <w:rPr>
                <w:color w:val="auto"/>
                <w:lang w:val="en-US" w:eastAsia="zh-CN"/>
              </w:rPr>
              <w:t>☑是□否</w:t>
            </w:r>
          </w:p>
        </w:tc>
      </w:tr>
      <w:tr w14:paraId="227F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2D0EA4F2">
            <w:pPr>
              <w:pStyle w:val="26"/>
              <w:bidi w:val="0"/>
              <w:rPr>
                <w:color w:val="auto"/>
                <w:lang w:val="en-US" w:eastAsia="zh-CN"/>
              </w:rPr>
            </w:pPr>
          </w:p>
        </w:tc>
        <w:tc>
          <w:tcPr>
            <w:tcW w:w="1729" w:type="pct"/>
            <w:vAlign w:val="center"/>
          </w:tcPr>
          <w:p w14:paraId="33E214B1">
            <w:pPr>
              <w:pStyle w:val="26"/>
              <w:bidi w:val="0"/>
              <w:rPr>
                <w:color w:val="auto"/>
                <w:lang w:val="en-US" w:eastAsia="zh-CN"/>
              </w:rPr>
            </w:pPr>
            <w:r>
              <w:rPr>
                <w:color w:val="auto"/>
                <w:lang w:val="en-US" w:eastAsia="zh-CN"/>
              </w:rPr>
              <w:t>地形数据分辨率/m</w:t>
            </w:r>
          </w:p>
        </w:tc>
        <w:tc>
          <w:tcPr>
            <w:tcW w:w="1661" w:type="pct"/>
            <w:vAlign w:val="center"/>
          </w:tcPr>
          <w:p w14:paraId="5F8870F2">
            <w:pPr>
              <w:pStyle w:val="26"/>
              <w:bidi w:val="0"/>
              <w:rPr>
                <w:color w:val="auto"/>
                <w:lang w:val="en-US" w:eastAsia="zh-CN"/>
              </w:rPr>
            </w:pPr>
            <w:r>
              <w:rPr>
                <w:color w:val="auto"/>
                <w:lang w:val="en-US" w:eastAsia="zh-CN"/>
              </w:rPr>
              <w:t>90</w:t>
            </w:r>
          </w:p>
        </w:tc>
      </w:tr>
      <w:tr w14:paraId="0604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7222E688">
            <w:pPr>
              <w:pStyle w:val="26"/>
              <w:bidi w:val="0"/>
              <w:rPr>
                <w:color w:val="auto"/>
                <w:lang w:val="en-US" w:eastAsia="zh-CN"/>
              </w:rPr>
            </w:pPr>
            <w:r>
              <w:rPr>
                <w:color w:val="auto"/>
                <w:lang w:val="en-US" w:eastAsia="zh-CN"/>
              </w:rPr>
              <w:t>是否考虑岸线熏烟</w:t>
            </w:r>
          </w:p>
        </w:tc>
        <w:tc>
          <w:tcPr>
            <w:tcW w:w="1729" w:type="pct"/>
            <w:vAlign w:val="center"/>
          </w:tcPr>
          <w:p w14:paraId="52AB6AE1">
            <w:pPr>
              <w:pStyle w:val="26"/>
              <w:bidi w:val="0"/>
              <w:rPr>
                <w:color w:val="auto"/>
                <w:lang w:val="en-US" w:eastAsia="zh-CN"/>
              </w:rPr>
            </w:pPr>
            <w:r>
              <w:rPr>
                <w:color w:val="auto"/>
                <w:lang w:val="en-US" w:eastAsia="zh-CN"/>
              </w:rPr>
              <w:t>考虑岸线熏烟</w:t>
            </w:r>
          </w:p>
        </w:tc>
        <w:tc>
          <w:tcPr>
            <w:tcW w:w="1661" w:type="pct"/>
            <w:vAlign w:val="center"/>
          </w:tcPr>
          <w:p w14:paraId="4CF7463A">
            <w:pPr>
              <w:pStyle w:val="26"/>
              <w:bidi w:val="0"/>
              <w:rPr>
                <w:color w:val="auto"/>
                <w:lang w:val="en-US" w:eastAsia="zh-CN"/>
              </w:rPr>
            </w:pPr>
            <w:r>
              <w:rPr>
                <w:color w:val="auto"/>
                <w:lang w:val="en-US" w:eastAsia="zh-CN"/>
              </w:rPr>
              <w:t>□是☑否</w:t>
            </w:r>
          </w:p>
        </w:tc>
      </w:tr>
      <w:tr w14:paraId="342C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5F01A747">
            <w:pPr>
              <w:pStyle w:val="26"/>
              <w:bidi w:val="0"/>
              <w:rPr>
                <w:color w:val="auto"/>
                <w:lang w:val="en-US" w:eastAsia="zh-CN"/>
              </w:rPr>
            </w:pPr>
          </w:p>
        </w:tc>
        <w:tc>
          <w:tcPr>
            <w:tcW w:w="1729" w:type="pct"/>
            <w:vAlign w:val="center"/>
          </w:tcPr>
          <w:p w14:paraId="4EE916C7">
            <w:pPr>
              <w:pStyle w:val="26"/>
              <w:bidi w:val="0"/>
              <w:rPr>
                <w:color w:val="auto"/>
                <w:lang w:val="en-US" w:eastAsia="zh-CN"/>
              </w:rPr>
            </w:pPr>
            <w:r>
              <w:rPr>
                <w:color w:val="auto"/>
                <w:lang w:val="en-US" w:eastAsia="zh-CN"/>
              </w:rPr>
              <w:t>岸线距离/km</w:t>
            </w:r>
          </w:p>
        </w:tc>
        <w:tc>
          <w:tcPr>
            <w:tcW w:w="1661" w:type="pct"/>
            <w:vAlign w:val="center"/>
          </w:tcPr>
          <w:p w14:paraId="67C77321">
            <w:pPr>
              <w:pStyle w:val="26"/>
              <w:bidi w:val="0"/>
              <w:rPr>
                <w:color w:val="auto"/>
                <w:lang w:val="en-US" w:eastAsia="zh-CN"/>
              </w:rPr>
            </w:pPr>
            <w:r>
              <w:rPr>
                <w:color w:val="auto"/>
                <w:lang w:val="en-US" w:eastAsia="zh-CN"/>
              </w:rPr>
              <w:t>/</w:t>
            </w:r>
          </w:p>
        </w:tc>
      </w:tr>
      <w:tr w14:paraId="7079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2BE0D058">
            <w:pPr>
              <w:pStyle w:val="26"/>
              <w:bidi w:val="0"/>
              <w:rPr>
                <w:color w:val="auto"/>
                <w:lang w:val="en-US" w:eastAsia="zh-CN"/>
              </w:rPr>
            </w:pPr>
          </w:p>
        </w:tc>
        <w:tc>
          <w:tcPr>
            <w:tcW w:w="1729" w:type="pct"/>
            <w:vAlign w:val="center"/>
          </w:tcPr>
          <w:p w14:paraId="446CBE06">
            <w:pPr>
              <w:pStyle w:val="26"/>
              <w:bidi w:val="0"/>
              <w:rPr>
                <w:color w:val="auto"/>
                <w:lang w:val="en-US" w:eastAsia="zh-CN"/>
              </w:rPr>
            </w:pPr>
            <w:r>
              <w:rPr>
                <w:color w:val="auto"/>
                <w:lang w:val="en-US" w:eastAsia="zh-CN"/>
              </w:rPr>
              <w:t>岸线方向/°</w:t>
            </w:r>
          </w:p>
        </w:tc>
        <w:tc>
          <w:tcPr>
            <w:tcW w:w="1661" w:type="pct"/>
            <w:vAlign w:val="center"/>
          </w:tcPr>
          <w:p w14:paraId="1DB8EAED">
            <w:pPr>
              <w:pStyle w:val="26"/>
              <w:bidi w:val="0"/>
              <w:rPr>
                <w:color w:val="auto"/>
                <w:lang w:val="en-US" w:eastAsia="zh-CN"/>
              </w:rPr>
            </w:pPr>
            <w:r>
              <w:rPr>
                <w:color w:val="auto"/>
                <w:lang w:val="en-US" w:eastAsia="zh-CN"/>
              </w:rPr>
              <w:t>/</w:t>
            </w:r>
          </w:p>
        </w:tc>
      </w:tr>
    </w:tbl>
    <w:p w14:paraId="4B4918F5">
      <w:pPr>
        <w:rPr>
          <w:rFonts w:ascii="Times New Roman" w:hAnsi="Times New Roman"/>
          <w:color w:val="auto"/>
        </w:rPr>
      </w:pPr>
      <w:r>
        <w:rPr>
          <w:rFonts w:hint="eastAsia" w:ascii="Times New Roman" w:hAnsi="Times New Roman"/>
          <w:color w:val="auto"/>
        </w:rPr>
        <w:t>2、</w:t>
      </w:r>
      <w:r>
        <w:rPr>
          <w:rFonts w:ascii="Times New Roman" w:hAnsi="Times New Roman"/>
          <w:color w:val="auto"/>
        </w:rPr>
        <w:t>污染物的选取</w:t>
      </w:r>
    </w:p>
    <w:p w14:paraId="3657A25B">
      <w:pPr>
        <w:rPr>
          <w:rFonts w:ascii="Times New Roman" w:hAnsi="Times New Roman" w:cs="Times New Roman"/>
          <w:color w:val="auto"/>
        </w:rPr>
      </w:pPr>
      <w:r>
        <w:rPr>
          <w:rFonts w:ascii="Times New Roman" w:hAnsi="Times New Roman"/>
          <w:color w:val="auto"/>
        </w:rPr>
        <w:t>项目废气主要污染物是非甲烷总烃。根据项目污染物排放源强及估算模式预测数据</w:t>
      </w:r>
      <w:r>
        <w:rPr>
          <w:rFonts w:hint="eastAsia"/>
          <w:color w:val="auto"/>
          <w:lang w:eastAsia="zh-CN"/>
        </w:rPr>
        <w:t>，</w:t>
      </w:r>
      <w:r>
        <w:rPr>
          <w:rFonts w:hint="eastAsia" w:ascii="Times New Roman" w:hAnsi="Times New Roman"/>
          <w:color w:val="auto"/>
        </w:rPr>
        <w:t>评价工作等级分级判据详见下表：</w:t>
      </w:r>
    </w:p>
    <w:p w14:paraId="36C8D827">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2</w:t>
      </w:r>
      <w:r>
        <w:rPr>
          <w:color w:val="auto"/>
          <w:lang w:val="en-US" w:eastAsia="zh-CN"/>
        </w:rPr>
        <w:fldChar w:fldCharType="end"/>
      </w:r>
      <w:r>
        <w:rPr>
          <w:color w:val="auto"/>
          <w:lang w:val="en-US" w:eastAsia="zh-CN"/>
        </w:rPr>
        <w:t>大气环境影响评价工作等级判据表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401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00" w:type="pct"/>
            <w:vAlign w:val="center"/>
          </w:tcPr>
          <w:p w14:paraId="46FCB704">
            <w:pPr>
              <w:pStyle w:val="36"/>
              <w:bidi w:val="0"/>
              <w:rPr>
                <w:color w:val="auto"/>
                <w:lang w:val="en-US" w:eastAsia="zh-CN"/>
              </w:rPr>
            </w:pPr>
            <w:r>
              <w:rPr>
                <w:color w:val="auto"/>
                <w:lang w:val="en-US" w:eastAsia="zh-CN"/>
              </w:rPr>
              <w:t>评价工作等级</w:t>
            </w:r>
          </w:p>
        </w:tc>
        <w:tc>
          <w:tcPr>
            <w:tcW w:w="2500" w:type="pct"/>
            <w:vAlign w:val="center"/>
          </w:tcPr>
          <w:p w14:paraId="5DF65696">
            <w:pPr>
              <w:pStyle w:val="36"/>
              <w:bidi w:val="0"/>
              <w:rPr>
                <w:color w:val="auto"/>
                <w:lang w:val="en-US" w:eastAsia="zh-CN"/>
              </w:rPr>
            </w:pPr>
            <w:r>
              <w:rPr>
                <w:color w:val="auto"/>
                <w:lang w:val="en-US" w:eastAsia="zh-CN"/>
              </w:rPr>
              <w:t>评价工作分级判据</w:t>
            </w:r>
          </w:p>
        </w:tc>
      </w:tr>
      <w:tr w14:paraId="44F6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vAlign w:val="center"/>
          </w:tcPr>
          <w:p w14:paraId="722211AB">
            <w:pPr>
              <w:pStyle w:val="26"/>
              <w:bidi w:val="0"/>
              <w:rPr>
                <w:color w:val="auto"/>
                <w:lang w:val="en-US" w:eastAsia="zh-CN"/>
              </w:rPr>
            </w:pPr>
            <w:r>
              <w:rPr>
                <w:color w:val="auto"/>
                <w:lang w:val="en-US" w:eastAsia="zh-CN"/>
              </w:rPr>
              <w:t>一级</w:t>
            </w:r>
          </w:p>
        </w:tc>
        <w:tc>
          <w:tcPr>
            <w:tcW w:w="2500" w:type="pct"/>
            <w:vAlign w:val="center"/>
          </w:tcPr>
          <w:p w14:paraId="5D069529">
            <w:pPr>
              <w:pStyle w:val="26"/>
              <w:bidi w:val="0"/>
              <w:rPr>
                <w:color w:val="auto"/>
                <w:lang w:val="en-US" w:eastAsia="zh-CN"/>
              </w:rPr>
            </w:pPr>
            <w:r>
              <w:rPr>
                <w:color w:val="auto"/>
                <w:lang w:val="en-US" w:eastAsia="zh-CN"/>
              </w:rPr>
              <w:t>Pmax≥10%</w:t>
            </w:r>
          </w:p>
        </w:tc>
      </w:tr>
      <w:tr w14:paraId="6B2A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vAlign w:val="center"/>
          </w:tcPr>
          <w:p w14:paraId="17FC7495">
            <w:pPr>
              <w:pStyle w:val="26"/>
              <w:bidi w:val="0"/>
              <w:rPr>
                <w:color w:val="auto"/>
                <w:lang w:val="en-US" w:eastAsia="zh-CN"/>
              </w:rPr>
            </w:pPr>
            <w:r>
              <w:rPr>
                <w:color w:val="auto"/>
                <w:lang w:val="en-US" w:eastAsia="zh-CN"/>
              </w:rPr>
              <w:t>二级</w:t>
            </w:r>
          </w:p>
        </w:tc>
        <w:tc>
          <w:tcPr>
            <w:tcW w:w="2500" w:type="pct"/>
            <w:vAlign w:val="center"/>
          </w:tcPr>
          <w:p w14:paraId="6134CFA9">
            <w:pPr>
              <w:pStyle w:val="26"/>
              <w:bidi w:val="0"/>
              <w:rPr>
                <w:color w:val="auto"/>
                <w:lang w:val="en-US" w:eastAsia="zh-CN"/>
              </w:rPr>
            </w:pPr>
            <w:r>
              <w:rPr>
                <w:color w:val="auto"/>
                <w:lang w:val="en-US" w:eastAsia="zh-CN"/>
              </w:rPr>
              <w:t>1%≤Pmax&lt;10%</w:t>
            </w:r>
          </w:p>
        </w:tc>
      </w:tr>
      <w:tr w14:paraId="3A12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vAlign w:val="center"/>
          </w:tcPr>
          <w:p w14:paraId="35E6A29B">
            <w:pPr>
              <w:pStyle w:val="26"/>
              <w:bidi w:val="0"/>
              <w:rPr>
                <w:color w:val="auto"/>
                <w:lang w:val="en-US" w:eastAsia="zh-CN"/>
              </w:rPr>
            </w:pPr>
            <w:r>
              <w:rPr>
                <w:color w:val="auto"/>
                <w:lang w:val="en-US" w:eastAsia="zh-CN"/>
              </w:rPr>
              <w:t>三级</w:t>
            </w:r>
          </w:p>
        </w:tc>
        <w:tc>
          <w:tcPr>
            <w:tcW w:w="2500" w:type="pct"/>
            <w:vAlign w:val="center"/>
          </w:tcPr>
          <w:p w14:paraId="79DB4DE8">
            <w:pPr>
              <w:pStyle w:val="26"/>
              <w:bidi w:val="0"/>
              <w:rPr>
                <w:color w:val="auto"/>
                <w:lang w:val="en-US" w:eastAsia="zh-CN"/>
              </w:rPr>
            </w:pPr>
            <w:r>
              <w:rPr>
                <w:color w:val="auto"/>
                <w:lang w:val="en-US" w:eastAsia="zh-CN"/>
              </w:rPr>
              <w:t>Pmax&lt;1%</w:t>
            </w:r>
          </w:p>
        </w:tc>
      </w:tr>
    </w:tbl>
    <w:p w14:paraId="6C83B8C9">
      <w:pPr>
        <w:bidi w:val="0"/>
        <w:rPr>
          <w:rFonts w:ascii="Times New Roman" w:hAnsi="Times New Roman"/>
          <w:color w:val="auto"/>
        </w:rPr>
      </w:pPr>
      <w:r>
        <w:t>采用导则中推荐的估算模式计算，</w:t>
      </w:r>
      <w:r>
        <w:rPr>
          <w:rFonts w:ascii="Times New Roman" w:hAnsi="Times New Roman"/>
          <w:color w:val="auto"/>
        </w:rPr>
        <w:t>本项目</w:t>
      </w:r>
      <w:r>
        <w:rPr>
          <w:rFonts w:ascii="Times New Roman" w:hAnsi="Times New Roman"/>
          <w:i/>
          <w:iCs/>
          <w:color w:val="auto"/>
        </w:rPr>
        <w:t>P</w:t>
      </w:r>
      <w:r>
        <w:rPr>
          <w:rFonts w:ascii="Times New Roman" w:hAnsi="Times New Roman"/>
          <w:color w:val="auto"/>
          <w:vertAlign w:val="subscript"/>
        </w:rPr>
        <w:t>max</w:t>
      </w:r>
      <w:r>
        <w:rPr>
          <w:rFonts w:ascii="Times New Roman" w:hAnsi="Times New Roman"/>
          <w:color w:val="auto"/>
        </w:rPr>
        <w:t>属于</w:t>
      </w:r>
      <w:r>
        <w:rPr>
          <w:rFonts w:hint="eastAsia" w:ascii="Times New Roman" w:hAnsi="Times New Roman"/>
          <w:i/>
          <w:iCs/>
          <w:color w:val="auto"/>
        </w:rPr>
        <w:t>1%≤Pmax&lt;10%</w:t>
      </w:r>
      <w:r>
        <w:rPr>
          <w:rFonts w:ascii="Times New Roman" w:hAnsi="Times New Roman"/>
          <w:color w:val="auto"/>
        </w:rPr>
        <w:t>范围，</w:t>
      </w:r>
      <w:bookmarkStart w:id="78" w:name="_Hlk160701431"/>
      <w:r>
        <w:rPr>
          <w:rFonts w:hint="eastAsia" w:ascii="Times New Roman" w:hAnsi="Times New Roman"/>
          <w:color w:val="auto"/>
        </w:rPr>
        <w:t>本项目</w:t>
      </w:r>
      <w:r>
        <w:rPr>
          <w:rFonts w:hint="eastAsia" w:ascii="Times New Roman" w:hAnsi="Times New Roman"/>
          <w:color w:val="auto"/>
          <w:lang w:val="en-US" w:eastAsia="zh-CN"/>
        </w:rPr>
        <w:t>属于</w:t>
      </w:r>
      <w:r>
        <w:rPr>
          <w:rFonts w:hint="eastAsia"/>
          <w:color w:val="auto"/>
          <w:lang w:val="en-US" w:eastAsia="zh-CN"/>
        </w:rPr>
        <w:t>化工</w:t>
      </w:r>
      <w:r>
        <w:rPr>
          <w:rFonts w:hint="eastAsia" w:ascii="Times New Roman" w:hAnsi="Times New Roman"/>
          <w:color w:val="auto"/>
        </w:rPr>
        <w:t>行业</w:t>
      </w:r>
      <w:r>
        <w:rPr>
          <w:rFonts w:hint="eastAsia" w:ascii="Times New Roman" w:hAnsi="Times New Roman"/>
          <w:color w:val="auto"/>
          <w:lang w:val="en-US" w:eastAsia="zh-CN"/>
        </w:rPr>
        <w:t>的多源项目</w:t>
      </w:r>
      <w:r>
        <w:rPr>
          <w:rFonts w:hint="eastAsia" w:ascii="Times New Roman" w:hAnsi="Times New Roman"/>
          <w:color w:val="auto"/>
        </w:rPr>
        <w:t>，根据《环境影响评价技术导则大气环境》（HJ2.2-2018）要求，</w:t>
      </w:r>
      <w:r>
        <w:rPr>
          <w:rFonts w:hint="eastAsia" w:ascii="Times New Roman" w:hAnsi="Times New Roman"/>
          <w:color w:val="auto"/>
          <w:lang w:val="en-US" w:eastAsia="zh-CN"/>
        </w:rPr>
        <w:t>项目评价等级需提高一级。因此。</w:t>
      </w:r>
      <w:r>
        <w:rPr>
          <w:rFonts w:hint="eastAsia" w:ascii="Times New Roman" w:hAnsi="Times New Roman"/>
          <w:color w:val="auto"/>
        </w:rPr>
        <w:t>本项目大气环境影响评价等级划定为</w:t>
      </w:r>
      <w:r>
        <w:rPr>
          <w:rFonts w:hint="eastAsia" w:ascii="Times New Roman" w:hAnsi="Times New Roman"/>
          <w:color w:val="auto"/>
          <w:lang w:val="en-US" w:eastAsia="zh-CN"/>
        </w:rPr>
        <w:t>一</w:t>
      </w:r>
      <w:r>
        <w:rPr>
          <w:rFonts w:hint="eastAsia" w:ascii="Times New Roman" w:hAnsi="Times New Roman"/>
          <w:color w:val="auto"/>
        </w:rPr>
        <w:t>级。</w:t>
      </w:r>
    </w:p>
    <w:p w14:paraId="34D5C03C">
      <w:pPr>
        <w:pStyle w:val="5"/>
        <w:bidi w:val="0"/>
        <w:rPr>
          <w:color w:val="auto"/>
          <w:lang w:val="en-US" w:eastAsia="zh-CN"/>
        </w:rPr>
      </w:pPr>
      <w:r>
        <w:rPr>
          <w:rFonts w:hint="eastAsia"/>
          <w:color w:val="auto"/>
          <w:lang w:val="en-US" w:eastAsia="zh-CN"/>
        </w:rPr>
        <w:t>地表水环境评价工作等级</w:t>
      </w:r>
    </w:p>
    <w:p w14:paraId="19B3A98D">
      <w:pPr>
        <w:rPr>
          <w:rFonts w:ascii="Times New Roman" w:hAnsi="Times New Roman" w:eastAsia="宋体"/>
          <w:color w:val="auto"/>
        </w:rPr>
      </w:pPr>
      <w:r>
        <w:rPr>
          <w:rFonts w:hint="eastAsia" w:ascii="Times New Roman" w:hAnsi="Times New Roman"/>
          <w:color w:val="auto"/>
        </w:rPr>
        <w:t>根据《环境影响评价技术导则地表水环境》（HJ2.3-2018）中水污染影响型建设项目评价等级判定，详见下表：</w:t>
      </w:r>
    </w:p>
    <w:p w14:paraId="65F52408">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3</w:t>
      </w:r>
      <w:r>
        <w:rPr>
          <w:color w:val="auto"/>
          <w:lang w:val="en-US" w:eastAsia="zh-CN"/>
        </w:rPr>
        <w:fldChar w:fldCharType="end"/>
      </w:r>
      <w:r>
        <w:rPr>
          <w:color w:val="auto"/>
          <w:lang w:val="en-US" w:eastAsia="zh-CN"/>
        </w:rPr>
        <w:t>水污染影响型建设项目评价等级判据表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74"/>
        <w:gridCol w:w="1563"/>
        <w:gridCol w:w="5479"/>
      </w:tblGrid>
      <w:tr w14:paraId="0907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jc w:val="center"/>
        </w:trPr>
        <w:tc>
          <w:tcPr>
            <w:tcW w:w="1271" w:type="dxa"/>
            <w:vMerge w:val="restart"/>
            <w:tcMar>
              <w:left w:w="0" w:type="dxa"/>
              <w:right w:w="0" w:type="dxa"/>
            </w:tcMar>
            <w:vAlign w:val="center"/>
          </w:tcPr>
          <w:p w14:paraId="2F79A96B">
            <w:pPr>
              <w:pStyle w:val="36"/>
              <w:bidi w:val="0"/>
              <w:rPr>
                <w:color w:val="auto"/>
                <w:lang w:val="en-US" w:eastAsia="zh-CN"/>
              </w:rPr>
            </w:pPr>
            <w:r>
              <w:rPr>
                <w:color w:val="auto"/>
                <w:lang w:val="en-US" w:eastAsia="zh-CN"/>
              </w:rPr>
              <w:t>评价等级</w:t>
            </w:r>
          </w:p>
        </w:tc>
        <w:tc>
          <w:tcPr>
            <w:tcW w:w="7025" w:type="dxa"/>
            <w:gridSpan w:val="2"/>
            <w:tcMar>
              <w:left w:w="0" w:type="dxa"/>
              <w:right w:w="0" w:type="dxa"/>
            </w:tcMar>
            <w:vAlign w:val="center"/>
          </w:tcPr>
          <w:p w14:paraId="49D73068">
            <w:pPr>
              <w:pStyle w:val="36"/>
              <w:bidi w:val="0"/>
              <w:rPr>
                <w:color w:val="auto"/>
                <w:lang w:val="en-US" w:eastAsia="zh-CN"/>
              </w:rPr>
            </w:pPr>
            <w:r>
              <w:rPr>
                <w:color w:val="auto"/>
                <w:lang w:val="en-US" w:eastAsia="zh-CN"/>
              </w:rPr>
              <w:t>判定依据</w:t>
            </w:r>
          </w:p>
        </w:tc>
      </w:tr>
      <w:tr w14:paraId="5916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jc w:val="center"/>
        </w:trPr>
        <w:tc>
          <w:tcPr>
            <w:tcW w:w="1271" w:type="dxa"/>
            <w:vMerge w:val="continue"/>
            <w:tcMar>
              <w:left w:w="0" w:type="dxa"/>
              <w:right w:w="0" w:type="dxa"/>
            </w:tcMar>
            <w:vAlign w:val="center"/>
          </w:tcPr>
          <w:p w14:paraId="171C14A0">
            <w:pPr>
              <w:pStyle w:val="36"/>
              <w:bidi w:val="0"/>
              <w:rPr>
                <w:color w:val="auto"/>
                <w:lang w:val="en-US" w:eastAsia="zh-CN"/>
              </w:rPr>
            </w:pPr>
          </w:p>
        </w:tc>
        <w:tc>
          <w:tcPr>
            <w:tcW w:w="1559" w:type="dxa"/>
            <w:tcMar>
              <w:left w:w="0" w:type="dxa"/>
              <w:right w:w="0" w:type="dxa"/>
            </w:tcMar>
            <w:vAlign w:val="center"/>
          </w:tcPr>
          <w:p w14:paraId="605BBED9">
            <w:pPr>
              <w:pStyle w:val="36"/>
              <w:bidi w:val="0"/>
              <w:rPr>
                <w:color w:val="auto"/>
                <w:lang w:val="en-US" w:eastAsia="zh-CN"/>
              </w:rPr>
            </w:pPr>
            <w:r>
              <w:rPr>
                <w:color w:val="auto"/>
                <w:lang w:val="en-US" w:eastAsia="zh-CN"/>
              </w:rPr>
              <w:t>排放方式</w:t>
            </w:r>
          </w:p>
        </w:tc>
        <w:tc>
          <w:tcPr>
            <w:tcW w:w="5466" w:type="dxa"/>
            <w:tcMar>
              <w:left w:w="0" w:type="dxa"/>
              <w:right w:w="0" w:type="dxa"/>
            </w:tcMar>
            <w:vAlign w:val="center"/>
          </w:tcPr>
          <w:p w14:paraId="671CA84F">
            <w:pPr>
              <w:pStyle w:val="36"/>
              <w:bidi w:val="0"/>
              <w:rPr>
                <w:color w:val="auto"/>
                <w:lang w:val="en-US" w:eastAsia="zh-CN"/>
              </w:rPr>
            </w:pPr>
            <w:r>
              <w:rPr>
                <w:color w:val="auto"/>
                <w:lang w:val="en-US" w:eastAsia="zh-CN"/>
              </w:rPr>
              <w:t>废水排放量Q/（</w:t>
            </w:r>
            <w:r>
              <w:rPr>
                <w:rFonts w:hint="eastAsia"/>
                <w:color w:val="auto"/>
                <w:lang w:val="en-US" w:eastAsia="zh-CN"/>
              </w:rPr>
              <w:t>m</w:t>
            </w:r>
            <w:r>
              <w:rPr>
                <w:rFonts w:hint="eastAsia"/>
                <w:color w:val="auto"/>
                <w:vertAlign w:val="superscript"/>
                <w:lang w:val="en-US" w:eastAsia="zh-CN"/>
              </w:rPr>
              <w:t>3</w:t>
            </w:r>
            <w:r>
              <w:rPr>
                <w:color w:val="auto"/>
                <w:lang w:val="en-US" w:eastAsia="zh-CN"/>
              </w:rPr>
              <w:t>/d）；水污染物当量数W/（量纲一）</w:t>
            </w:r>
          </w:p>
        </w:tc>
      </w:tr>
      <w:tr w14:paraId="2E10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Mar>
              <w:left w:w="0" w:type="dxa"/>
              <w:right w:w="0" w:type="dxa"/>
            </w:tcMar>
            <w:vAlign w:val="center"/>
          </w:tcPr>
          <w:p w14:paraId="57FE9235">
            <w:pPr>
              <w:pStyle w:val="26"/>
              <w:bidi w:val="0"/>
              <w:rPr>
                <w:color w:val="auto"/>
                <w:lang w:val="en-US" w:eastAsia="zh-CN"/>
              </w:rPr>
            </w:pPr>
            <w:r>
              <w:rPr>
                <w:color w:val="auto"/>
                <w:lang w:val="en-US" w:eastAsia="zh-CN"/>
              </w:rPr>
              <w:t>一级</w:t>
            </w:r>
          </w:p>
        </w:tc>
        <w:tc>
          <w:tcPr>
            <w:tcW w:w="1559" w:type="dxa"/>
            <w:tcMar>
              <w:left w:w="0" w:type="dxa"/>
              <w:right w:w="0" w:type="dxa"/>
            </w:tcMar>
            <w:vAlign w:val="center"/>
          </w:tcPr>
          <w:p w14:paraId="73940B54">
            <w:pPr>
              <w:pStyle w:val="26"/>
              <w:bidi w:val="0"/>
              <w:rPr>
                <w:color w:val="auto"/>
                <w:lang w:val="en-US" w:eastAsia="zh-CN"/>
              </w:rPr>
            </w:pPr>
            <w:r>
              <w:rPr>
                <w:color w:val="auto"/>
                <w:lang w:val="en-US" w:eastAsia="zh-CN"/>
              </w:rPr>
              <w:t>直接排放</w:t>
            </w:r>
          </w:p>
        </w:tc>
        <w:tc>
          <w:tcPr>
            <w:tcW w:w="5466" w:type="dxa"/>
            <w:tcMar>
              <w:left w:w="0" w:type="dxa"/>
              <w:right w:w="0" w:type="dxa"/>
            </w:tcMar>
            <w:vAlign w:val="center"/>
          </w:tcPr>
          <w:p w14:paraId="475BFBF4">
            <w:pPr>
              <w:pStyle w:val="26"/>
              <w:bidi w:val="0"/>
              <w:rPr>
                <w:color w:val="auto"/>
                <w:lang w:val="en-US" w:eastAsia="zh-CN"/>
              </w:rPr>
            </w:pPr>
            <w:r>
              <w:rPr>
                <w:color w:val="auto"/>
                <w:lang w:val="en-US" w:eastAsia="zh-CN"/>
              </w:rPr>
              <w:t>Q≥20000或W≥600000</w:t>
            </w:r>
          </w:p>
        </w:tc>
      </w:tr>
      <w:tr w14:paraId="504B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Mar>
              <w:left w:w="0" w:type="dxa"/>
              <w:right w:w="0" w:type="dxa"/>
            </w:tcMar>
            <w:vAlign w:val="center"/>
          </w:tcPr>
          <w:p w14:paraId="20D3BED5">
            <w:pPr>
              <w:pStyle w:val="26"/>
              <w:bidi w:val="0"/>
              <w:rPr>
                <w:color w:val="auto"/>
                <w:lang w:val="en-US" w:eastAsia="zh-CN"/>
              </w:rPr>
            </w:pPr>
            <w:r>
              <w:rPr>
                <w:color w:val="auto"/>
                <w:lang w:val="en-US" w:eastAsia="zh-CN"/>
              </w:rPr>
              <w:t>二级</w:t>
            </w:r>
          </w:p>
        </w:tc>
        <w:tc>
          <w:tcPr>
            <w:tcW w:w="1559" w:type="dxa"/>
            <w:tcMar>
              <w:left w:w="0" w:type="dxa"/>
              <w:right w:w="0" w:type="dxa"/>
            </w:tcMar>
            <w:vAlign w:val="center"/>
          </w:tcPr>
          <w:p w14:paraId="0B1EC6E3">
            <w:pPr>
              <w:pStyle w:val="26"/>
              <w:bidi w:val="0"/>
              <w:rPr>
                <w:color w:val="auto"/>
                <w:lang w:val="en-US" w:eastAsia="zh-CN"/>
              </w:rPr>
            </w:pPr>
            <w:r>
              <w:rPr>
                <w:color w:val="auto"/>
                <w:lang w:val="en-US" w:eastAsia="zh-CN"/>
              </w:rPr>
              <w:t>直接排放</w:t>
            </w:r>
          </w:p>
        </w:tc>
        <w:tc>
          <w:tcPr>
            <w:tcW w:w="5466" w:type="dxa"/>
            <w:tcMar>
              <w:left w:w="0" w:type="dxa"/>
              <w:right w:w="0" w:type="dxa"/>
            </w:tcMar>
            <w:vAlign w:val="center"/>
          </w:tcPr>
          <w:p w14:paraId="2C37552E">
            <w:pPr>
              <w:pStyle w:val="26"/>
              <w:bidi w:val="0"/>
              <w:rPr>
                <w:color w:val="auto"/>
                <w:lang w:val="en-US" w:eastAsia="zh-CN"/>
              </w:rPr>
            </w:pPr>
            <w:r>
              <w:rPr>
                <w:color w:val="auto"/>
                <w:lang w:val="en-US" w:eastAsia="zh-CN"/>
              </w:rPr>
              <w:t>其他</w:t>
            </w:r>
          </w:p>
        </w:tc>
      </w:tr>
      <w:tr w14:paraId="2368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Mar>
              <w:left w:w="0" w:type="dxa"/>
              <w:right w:w="0" w:type="dxa"/>
            </w:tcMar>
            <w:vAlign w:val="center"/>
          </w:tcPr>
          <w:p w14:paraId="5B94537D">
            <w:pPr>
              <w:pStyle w:val="26"/>
              <w:bidi w:val="0"/>
              <w:rPr>
                <w:color w:val="auto"/>
                <w:lang w:val="en-US" w:eastAsia="zh-CN"/>
              </w:rPr>
            </w:pPr>
            <w:r>
              <w:rPr>
                <w:color w:val="auto"/>
                <w:lang w:val="en-US" w:eastAsia="zh-CN"/>
              </w:rPr>
              <w:t>三级A</w:t>
            </w:r>
          </w:p>
        </w:tc>
        <w:tc>
          <w:tcPr>
            <w:tcW w:w="1559" w:type="dxa"/>
            <w:tcMar>
              <w:left w:w="0" w:type="dxa"/>
              <w:right w:w="0" w:type="dxa"/>
            </w:tcMar>
            <w:vAlign w:val="center"/>
          </w:tcPr>
          <w:p w14:paraId="534C2B7D">
            <w:pPr>
              <w:pStyle w:val="26"/>
              <w:bidi w:val="0"/>
              <w:rPr>
                <w:color w:val="auto"/>
                <w:lang w:val="en-US" w:eastAsia="zh-CN"/>
              </w:rPr>
            </w:pPr>
            <w:r>
              <w:rPr>
                <w:color w:val="auto"/>
                <w:lang w:val="en-US" w:eastAsia="zh-CN"/>
              </w:rPr>
              <w:t>直接排放</w:t>
            </w:r>
          </w:p>
        </w:tc>
        <w:tc>
          <w:tcPr>
            <w:tcW w:w="5466" w:type="dxa"/>
            <w:tcMar>
              <w:left w:w="0" w:type="dxa"/>
              <w:right w:w="0" w:type="dxa"/>
            </w:tcMar>
            <w:vAlign w:val="center"/>
          </w:tcPr>
          <w:p w14:paraId="409B8919">
            <w:pPr>
              <w:pStyle w:val="26"/>
              <w:bidi w:val="0"/>
              <w:rPr>
                <w:color w:val="auto"/>
                <w:lang w:val="en-US" w:eastAsia="zh-CN"/>
              </w:rPr>
            </w:pPr>
            <w:r>
              <w:rPr>
                <w:color w:val="auto"/>
                <w:lang w:val="en-US" w:eastAsia="zh-CN"/>
              </w:rPr>
              <w:t>Q＜200且W＜6000</w:t>
            </w:r>
          </w:p>
        </w:tc>
      </w:tr>
      <w:tr w14:paraId="3AC0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Mar>
              <w:left w:w="0" w:type="dxa"/>
              <w:right w:w="0" w:type="dxa"/>
            </w:tcMar>
            <w:vAlign w:val="center"/>
          </w:tcPr>
          <w:p w14:paraId="2E576155">
            <w:pPr>
              <w:pStyle w:val="26"/>
              <w:bidi w:val="0"/>
              <w:rPr>
                <w:color w:val="auto"/>
                <w:lang w:val="en-US" w:eastAsia="zh-CN"/>
              </w:rPr>
            </w:pPr>
            <w:r>
              <w:rPr>
                <w:color w:val="auto"/>
                <w:lang w:val="en-US" w:eastAsia="zh-CN"/>
              </w:rPr>
              <w:t>三级B</w:t>
            </w:r>
          </w:p>
        </w:tc>
        <w:tc>
          <w:tcPr>
            <w:tcW w:w="1559" w:type="dxa"/>
            <w:tcMar>
              <w:left w:w="0" w:type="dxa"/>
              <w:right w:w="0" w:type="dxa"/>
            </w:tcMar>
            <w:vAlign w:val="center"/>
          </w:tcPr>
          <w:p w14:paraId="49022E34">
            <w:pPr>
              <w:pStyle w:val="26"/>
              <w:bidi w:val="0"/>
              <w:rPr>
                <w:color w:val="auto"/>
                <w:lang w:val="en-US" w:eastAsia="zh-CN"/>
              </w:rPr>
            </w:pPr>
            <w:r>
              <w:rPr>
                <w:color w:val="auto"/>
                <w:lang w:val="en-US" w:eastAsia="zh-CN"/>
              </w:rPr>
              <w:t>间接排放</w:t>
            </w:r>
          </w:p>
        </w:tc>
        <w:tc>
          <w:tcPr>
            <w:tcW w:w="5466" w:type="dxa"/>
            <w:tcMar>
              <w:left w:w="0" w:type="dxa"/>
              <w:right w:w="0" w:type="dxa"/>
            </w:tcMar>
            <w:vAlign w:val="center"/>
          </w:tcPr>
          <w:p w14:paraId="64AAC0CC">
            <w:pPr>
              <w:pStyle w:val="26"/>
              <w:bidi w:val="0"/>
              <w:rPr>
                <w:color w:val="auto"/>
                <w:lang w:val="en-US" w:eastAsia="zh-CN"/>
              </w:rPr>
            </w:pPr>
            <w:r>
              <w:rPr>
                <w:color w:val="auto"/>
                <w:lang w:val="en-US" w:eastAsia="zh-CN"/>
              </w:rPr>
              <w:t>-</w:t>
            </w:r>
          </w:p>
        </w:tc>
      </w:tr>
      <w:tr w14:paraId="7739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96" w:type="dxa"/>
            <w:gridSpan w:val="3"/>
            <w:tcMar>
              <w:left w:w="0" w:type="dxa"/>
              <w:right w:w="0" w:type="dxa"/>
            </w:tcMar>
            <w:vAlign w:val="center"/>
          </w:tcPr>
          <w:p w14:paraId="75BC5A62">
            <w:pPr>
              <w:pStyle w:val="26"/>
              <w:bidi w:val="0"/>
              <w:rPr>
                <w:color w:val="auto"/>
                <w:lang w:val="en-US" w:eastAsia="zh-CN"/>
              </w:rPr>
            </w:pPr>
            <w:r>
              <w:rPr>
                <w:color w:val="auto"/>
                <w:lang w:val="en-US" w:eastAsia="zh-CN"/>
              </w:rPr>
              <w:t>注1：水污染物当量数等于该污染物的年排放量除以该污染物的污染当量值（见附录A），计算排放污染物的污染物当量数，应区分第一类水污染物和其他类水污染物，统计第一类污染物当量数总和，然后与其他污染物按照污染物当量数从大到小排序，取最大当量数作为建设项目评价等级确定依据。</w:t>
            </w:r>
          </w:p>
          <w:p w14:paraId="4BFBECC4">
            <w:pPr>
              <w:pStyle w:val="26"/>
              <w:bidi w:val="0"/>
              <w:rPr>
                <w:color w:val="auto"/>
                <w:lang w:val="en-US" w:eastAsia="zh-CN"/>
              </w:rPr>
            </w:pPr>
            <w:r>
              <w:rPr>
                <w:color w:val="auto"/>
                <w:lang w:val="en-US" w:eastAsia="zh-CN"/>
              </w:rPr>
              <w:t>注2：废水排放量按行业排放标准中规定的废水种类统计，没有相关行业排放标准要求的通过工程分析合理确定，应统计含热量大的冷却水的排放量，可不统计间接冷却水、循环冷却水及其他含污染物极少的清净下水的排放量。</w:t>
            </w:r>
          </w:p>
          <w:p w14:paraId="49D61F75">
            <w:pPr>
              <w:pStyle w:val="26"/>
              <w:bidi w:val="0"/>
              <w:rPr>
                <w:color w:val="auto"/>
                <w:lang w:val="en-US" w:eastAsia="zh-CN"/>
              </w:rPr>
            </w:pPr>
            <w:r>
              <w:rPr>
                <w:color w:val="auto"/>
                <w:lang w:val="en-US" w:eastAsia="zh-CN"/>
              </w:rPr>
              <w:t>注3：厂区存在堆积物（露天堆放的原料、燃料、废渣等以及垃圾堆放场）、降尘污染的，应将初期雨污水纳入废水排放量，相应的主要污染物纳入水污染当量计算。</w:t>
            </w:r>
          </w:p>
          <w:p w14:paraId="2A9DBBC1">
            <w:pPr>
              <w:pStyle w:val="26"/>
              <w:bidi w:val="0"/>
              <w:rPr>
                <w:color w:val="auto"/>
                <w:lang w:val="en-US" w:eastAsia="zh-CN"/>
              </w:rPr>
            </w:pPr>
            <w:r>
              <w:rPr>
                <w:color w:val="auto"/>
                <w:lang w:val="en-US" w:eastAsia="zh-CN"/>
              </w:rPr>
              <w:t>注4：建设项目直接排放第一类污染物的，其评价等级为一级；建设项目直接排放的污染物为受纳水体超标因子的，评价等级不低于二级。</w:t>
            </w:r>
          </w:p>
          <w:p w14:paraId="13A72879">
            <w:pPr>
              <w:pStyle w:val="26"/>
              <w:bidi w:val="0"/>
              <w:rPr>
                <w:color w:val="auto"/>
                <w:lang w:val="en-US" w:eastAsia="zh-CN"/>
              </w:rPr>
            </w:pPr>
            <w:r>
              <w:rPr>
                <w:color w:val="auto"/>
                <w:lang w:val="en-US" w:eastAsia="zh-CN"/>
              </w:rPr>
              <w:t>注5</w:t>
            </w:r>
            <w:r>
              <w:rPr>
                <w:rFonts w:hint="eastAsia"/>
                <w:color w:val="auto"/>
                <w:lang w:val="en-US" w:eastAsia="zh-CN"/>
              </w:rPr>
              <w:t>：</w:t>
            </w:r>
            <w:r>
              <w:rPr>
                <w:color w:val="auto"/>
                <w:lang w:val="en-US" w:eastAsia="zh-CN"/>
              </w:rPr>
              <w:t>直接排放受纳水体影响范围涉及饮用水水源保护区、饮用水取水口、重点保护与珍稀水生生物的栖息地、重要水生生物的自然产卵场等环境目标时，评价等级不低于二级。</w:t>
            </w:r>
          </w:p>
          <w:p w14:paraId="47077882">
            <w:pPr>
              <w:pStyle w:val="26"/>
              <w:bidi w:val="0"/>
              <w:rPr>
                <w:color w:val="auto"/>
                <w:lang w:val="en-US" w:eastAsia="zh-CN"/>
              </w:rPr>
            </w:pPr>
            <w:r>
              <w:rPr>
                <w:color w:val="auto"/>
                <w:lang w:val="en-US" w:eastAsia="zh-CN"/>
              </w:rPr>
              <w:t>注6：建设项目向河流、湖库排放温排水引起收纳水体水温变化超过水环境质量标准要求，且评价范围有水温敏感目标时，评价等级为一级。</w:t>
            </w:r>
          </w:p>
          <w:p w14:paraId="7542D31F">
            <w:pPr>
              <w:pStyle w:val="26"/>
              <w:bidi w:val="0"/>
              <w:rPr>
                <w:color w:val="auto"/>
                <w:lang w:val="en-US" w:eastAsia="zh-CN"/>
              </w:rPr>
            </w:pPr>
            <w:r>
              <w:rPr>
                <w:color w:val="auto"/>
                <w:lang w:val="en-US" w:eastAsia="zh-CN"/>
              </w:rPr>
              <w:t>注7：建设项目利用海水作为调节温度介质，排水量≥500万</w:t>
            </w:r>
            <w:r>
              <w:rPr>
                <w:rFonts w:hint="eastAsia"/>
                <w:color w:val="auto"/>
                <w:lang w:val="en-US" w:eastAsia="zh-CN"/>
              </w:rPr>
              <w:t>m3</w:t>
            </w:r>
            <w:r>
              <w:rPr>
                <w:color w:val="auto"/>
                <w:lang w:val="en-US" w:eastAsia="zh-CN"/>
              </w:rPr>
              <w:t>/d，评价等级为一级；排放量＜500万</w:t>
            </w:r>
            <w:r>
              <w:rPr>
                <w:rFonts w:hint="eastAsia"/>
                <w:color w:val="auto"/>
                <w:lang w:val="en-US" w:eastAsia="zh-CN"/>
              </w:rPr>
              <w:t>m3</w:t>
            </w:r>
            <w:r>
              <w:rPr>
                <w:color w:val="auto"/>
                <w:lang w:val="en-US" w:eastAsia="zh-CN"/>
              </w:rPr>
              <w:t>/d，评价等级为二级。</w:t>
            </w:r>
          </w:p>
          <w:p w14:paraId="5A623364">
            <w:pPr>
              <w:pStyle w:val="26"/>
              <w:bidi w:val="0"/>
              <w:rPr>
                <w:color w:val="auto"/>
                <w:lang w:val="en-US" w:eastAsia="zh-CN"/>
              </w:rPr>
            </w:pPr>
            <w:r>
              <w:rPr>
                <w:color w:val="auto"/>
                <w:lang w:val="en-US" w:eastAsia="zh-CN"/>
              </w:rPr>
              <w:t>注8：仅涉及清净下水排放的，如其排放水质满足收纳水体水环境质量标准要求的，评价等级为三级A。</w:t>
            </w:r>
          </w:p>
          <w:p w14:paraId="6FF5D846">
            <w:pPr>
              <w:pStyle w:val="26"/>
              <w:bidi w:val="0"/>
              <w:rPr>
                <w:color w:val="auto"/>
                <w:lang w:val="en-US" w:eastAsia="zh-CN"/>
              </w:rPr>
            </w:pPr>
            <w:r>
              <w:rPr>
                <w:color w:val="auto"/>
                <w:lang w:val="en-US" w:eastAsia="zh-CN"/>
              </w:rPr>
              <w:t>注9：依托现有排放口，且对外环境未新增排放污染物的直接排放建设项目，评价等级参照间接排放，定为三级B。</w:t>
            </w:r>
          </w:p>
          <w:p w14:paraId="16FED2D6">
            <w:pPr>
              <w:pStyle w:val="26"/>
              <w:bidi w:val="0"/>
              <w:rPr>
                <w:color w:val="auto"/>
                <w:lang w:val="en-US" w:eastAsia="zh-CN"/>
              </w:rPr>
            </w:pPr>
            <w:r>
              <w:rPr>
                <w:color w:val="auto"/>
                <w:lang w:val="en-US" w:eastAsia="zh-CN"/>
              </w:rPr>
              <w:t>注10：建设项目生产工艺中有废水产生，但作为回水利用，不排放到外环境的，按三级B评价。</w:t>
            </w:r>
          </w:p>
        </w:tc>
      </w:tr>
    </w:tbl>
    <w:p w14:paraId="19DB65BD">
      <w:pPr>
        <w:rPr>
          <w:rFonts w:hint="eastAsia" w:ascii="Times New Roman" w:hAnsi="Times New Roman"/>
          <w:color w:val="auto"/>
        </w:rPr>
      </w:pPr>
      <w:r>
        <w:rPr>
          <w:rFonts w:hint="eastAsia" w:ascii="Times New Roman" w:hAnsi="Times New Roman"/>
          <w:color w:val="auto"/>
        </w:rPr>
        <w:t>本项目生产过程中产生的研磨废水经处理后全部回用；含铜废水、含铬废水经预处理后，进入 MVR 装置蒸发处理，冷凝水经纯水制备系统处理后全部回用。生产废水不外排。纯水制备产生的浓水进污水处理站经处理后回用于生产。因此本次评价地表水环境影响评价等级为三级B。</w:t>
      </w:r>
    </w:p>
    <w:p w14:paraId="34ED31BD">
      <w:pPr>
        <w:pStyle w:val="5"/>
        <w:bidi w:val="0"/>
        <w:rPr>
          <w:color w:val="auto"/>
          <w:lang w:val="en-US" w:eastAsia="zh-CN"/>
        </w:rPr>
      </w:pPr>
      <w:r>
        <w:rPr>
          <w:rFonts w:hint="eastAsia"/>
          <w:color w:val="auto"/>
          <w:lang w:val="en-US" w:eastAsia="zh-CN"/>
        </w:rPr>
        <w:t>声环境评价工作等级</w:t>
      </w:r>
    </w:p>
    <w:p w14:paraId="5FE0F711">
      <w:pPr>
        <w:rPr>
          <w:rFonts w:ascii="Times New Roman" w:hAnsi="Times New Roman"/>
          <w:color w:val="auto"/>
        </w:rPr>
      </w:pPr>
      <w:r>
        <w:rPr>
          <w:rFonts w:hint="eastAsia" w:ascii="Times New Roman" w:hAnsi="Times New Roman"/>
          <w:color w:val="auto"/>
        </w:rPr>
        <w:t>根据《环境影响评价技术导则声环境》（HJ2.4-2021），本项目所在地为《声环境质量标准》（GB3096-2008）规定的3类地区；根据预测结果，项目建设前后周边敏感目标噪声级增加不明显（3dB</w:t>
      </w:r>
      <w:r>
        <w:rPr>
          <w:rFonts w:hint="eastAsia" w:ascii="Times New Roman" w:hAnsi="Times New Roman"/>
          <w:color w:val="auto"/>
          <w:lang w:eastAsia="zh-CN"/>
        </w:rPr>
        <w:t>（</w:t>
      </w:r>
      <w:r>
        <w:rPr>
          <w:rFonts w:hint="eastAsia" w:ascii="Times New Roman" w:hAnsi="Times New Roman"/>
          <w:color w:val="auto"/>
        </w:rPr>
        <w:t>A</w:t>
      </w:r>
      <w:r>
        <w:rPr>
          <w:rFonts w:hint="eastAsia" w:ascii="Times New Roman" w:hAnsi="Times New Roman"/>
          <w:color w:val="auto"/>
          <w:lang w:eastAsia="zh-CN"/>
        </w:rPr>
        <w:t>）</w:t>
      </w:r>
      <w:r>
        <w:rPr>
          <w:rFonts w:hint="eastAsia" w:ascii="Times New Roman" w:hAnsi="Times New Roman"/>
          <w:color w:val="auto"/>
        </w:rPr>
        <w:t>以下），且受影响人口数量变化不大（周边敏感目标距离较远）。因此，确定本项目声环境影响评价工作等级为三级。</w:t>
      </w:r>
    </w:p>
    <w:p w14:paraId="16AB2B5E">
      <w:pPr>
        <w:pStyle w:val="5"/>
        <w:bidi w:val="0"/>
        <w:rPr>
          <w:color w:val="auto"/>
          <w:lang w:val="en-US" w:eastAsia="zh-CN"/>
        </w:rPr>
      </w:pPr>
      <w:r>
        <w:rPr>
          <w:rFonts w:hint="eastAsia"/>
          <w:color w:val="auto"/>
          <w:lang w:val="en-US" w:eastAsia="zh-CN"/>
        </w:rPr>
        <w:t>地下水环境评价工作等级</w:t>
      </w:r>
    </w:p>
    <w:p w14:paraId="342E197D">
      <w:pPr>
        <w:rPr>
          <w:rFonts w:ascii="Times New Roman" w:hAnsi="Times New Roman"/>
          <w:color w:val="auto"/>
        </w:rPr>
      </w:pPr>
      <w:r>
        <w:rPr>
          <w:rFonts w:hint="eastAsia" w:ascii="Times New Roman" w:hAnsi="Times New Roman"/>
          <w:color w:val="auto"/>
        </w:rPr>
        <w:t>根据《环境影响评价技术导则地下水环境》（HJ610-2016），本项目属于</w:t>
      </w:r>
      <w:r>
        <w:rPr>
          <w:rFonts w:hint="eastAsia"/>
          <w:color w:val="auto"/>
          <w:lang w:eastAsia="zh-CN"/>
        </w:rPr>
        <w:t>C3525 模具制造</w:t>
      </w:r>
      <w:r>
        <w:rPr>
          <w:rFonts w:hint="eastAsia" w:ascii="Times New Roman" w:hAnsi="Times New Roman"/>
          <w:color w:val="auto"/>
        </w:rPr>
        <w:t>，对应该导则附录A中</w:t>
      </w:r>
      <w:r>
        <w:rPr>
          <w:rFonts w:hint="eastAsia" w:ascii="Times New Roman" w:hAnsi="Times New Roman"/>
          <w:color w:val="auto"/>
          <w:lang w:val="en-US" w:eastAsia="zh-CN"/>
        </w:rPr>
        <w:t>“I 金属制品：53、金属制品加工制造”中“有电镀或喷漆工艺的”，属于编制报告书的项目，属于 III 类项目</w:t>
      </w:r>
      <w:r>
        <w:rPr>
          <w:rFonts w:hint="eastAsia" w:ascii="Times New Roman" w:hAnsi="Times New Roman"/>
          <w:color w:val="auto"/>
        </w:rPr>
        <w:t>。</w:t>
      </w:r>
    </w:p>
    <w:p w14:paraId="2698E8FE">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4</w:t>
      </w:r>
      <w:r>
        <w:rPr>
          <w:color w:val="auto"/>
          <w:lang w:val="en-US" w:eastAsia="zh-CN"/>
        </w:rPr>
        <w:fldChar w:fldCharType="end"/>
      </w:r>
      <w:r>
        <w:rPr>
          <w:color w:val="auto"/>
          <w:lang w:val="en-US" w:eastAsia="zh-CN"/>
        </w:rPr>
        <w:t>项目类型划分</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27"/>
        <w:gridCol w:w="1725"/>
        <w:gridCol w:w="1053"/>
        <w:gridCol w:w="1449"/>
        <w:gridCol w:w="1317"/>
        <w:gridCol w:w="945"/>
      </w:tblGrid>
      <w:tr w14:paraId="12AE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9" w:type="pct"/>
            <w:vMerge w:val="restart"/>
            <w:tcBorders>
              <w:tl2br w:val="single" w:color="auto" w:sz="4" w:space="0"/>
            </w:tcBorders>
            <w:tcMar>
              <w:left w:w="0" w:type="dxa"/>
              <w:right w:w="0" w:type="dxa"/>
            </w:tcMar>
            <w:vAlign w:val="center"/>
          </w:tcPr>
          <w:p w14:paraId="57CBF816">
            <w:pPr>
              <w:pStyle w:val="36"/>
              <w:bidi w:val="0"/>
              <w:rPr>
                <w:color w:val="auto"/>
              </w:rPr>
            </w:pPr>
            <w:r>
              <w:rPr>
                <w:color w:val="auto"/>
              </w:rPr>
              <w:t>环评类别</w:t>
            </w:r>
          </w:p>
          <w:p w14:paraId="4C0EC3D6">
            <w:pPr>
              <w:pStyle w:val="36"/>
              <w:bidi w:val="0"/>
              <w:jc w:val="left"/>
              <w:rPr>
                <w:color w:val="auto"/>
              </w:rPr>
            </w:pPr>
            <w:r>
              <w:rPr>
                <w:color w:val="auto"/>
              </w:rPr>
              <w:t>行业类别</w:t>
            </w:r>
          </w:p>
        </w:tc>
        <w:tc>
          <w:tcPr>
            <w:tcW w:w="1037" w:type="pct"/>
            <w:vMerge w:val="restart"/>
            <w:tcMar>
              <w:left w:w="0" w:type="dxa"/>
              <w:right w:w="0" w:type="dxa"/>
            </w:tcMar>
            <w:vAlign w:val="center"/>
          </w:tcPr>
          <w:p w14:paraId="2A4CA35D">
            <w:pPr>
              <w:pStyle w:val="36"/>
              <w:bidi w:val="0"/>
              <w:rPr>
                <w:color w:val="auto"/>
              </w:rPr>
            </w:pPr>
            <w:r>
              <w:rPr>
                <w:color w:val="auto"/>
              </w:rPr>
              <w:t>报告书</w:t>
            </w:r>
          </w:p>
        </w:tc>
        <w:tc>
          <w:tcPr>
            <w:tcW w:w="633" w:type="pct"/>
            <w:vMerge w:val="restart"/>
            <w:tcMar>
              <w:left w:w="0" w:type="dxa"/>
              <w:right w:w="0" w:type="dxa"/>
            </w:tcMar>
            <w:vAlign w:val="center"/>
          </w:tcPr>
          <w:p w14:paraId="062CC68C">
            <w:pPr>
              <w:pStyle w:val="36"/>
              <w:bidi w:val="0"/>
              <w:rPr>
                <w:color w:val="auto"/>
              </w:rPr>
            </w:pPr>
            <w:r>
              <w:rPr>
                <w:color w:val="auto"/>
              </w:rPr>
              <w:t>报告表</w:t>
            </w:r>
          </w:p>
        </w:tc>
        <w:tc>
          <w:tcPr>
            <w:tcW w:w="1663" w:type="pct"/>
            <w:gridSpan w:val="2"/>
            <w:tcMar>
              <w:left w:w="0" w:type="dxa"/>
              <w:right w:w="0" w:type="dxa"/>
            </w:tcMar>
            <w:vAlign w:val="center"/>
          </w:tcPr>
          <w:p w14:paraId="71037FC7">
            <w:pPr>
              <w:pStyle w:val="36"/>
              <w:bidi w:val="0"/>
              <w:rPr>
                <w:color w:val="auto"/>
              </w:rPr>
            </w:pPr>
            <w:r>
              <w:rPr>
                <w:color w:val="auto"/>
              </w:rPr>
              <w:t>地下水环境影响评价项目类别</w:t>
            </w:r>
          </w:p>
        </w:tc>
        <w:tc>
          <w:tcPr>
            <w:tcW w:w="568" w:type="pct"/>
            <w:vMerge w:val="restart"/>
            <w:tcMar>
              <w:left w:w="0" w:type="dxa"/>
              <w:right w:w="0" w:type="dxa"/>
            </w:tcMar>
            <w:vAlign w:val="center"/>
          </w:tcPr>
          <w:p w14:paraId="50637D32">
            <w:pPr>
              <w:pStyle w:val="36"/>
              <w:bidi w:val="0"/>
              <w:rPr>
                <w:color w:val="auto"/>
              </w:rPr>
            </w:pPr>
            <w:r>
              <w:rPr>
                <w:color w:val="auto"/>
              </w:rPr>
              <w:t>项目属性</w:t>
            </w:r>
          </w:p>
        </w:tc>
      </w:tr>
      <w:tr w14:paraId="5CA2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nil"/>
              <w:tl2br w:val="single" w:color="auto" w:sz="4" w:space="0"/>
            </w:tcBorders>
            <w:tcMar>
              <w:left w:w="0" w:type="dxa"/>
              <w:right w:w="0" w:type="dxa"/>
            </w:tcMar>
            <w:vAlign w:val="center"/>
          </w:tcPr>
          <w:p w14:paraId="2AEE5F47">
            <w:pPr>
              <w:pStyle w:val="36"/>
              <w:bidi w:val="0"/>
              <w:rPr>
                <w:color w:val="auto"/>
              </w:rPr>
            </w:pPr>
          </w:p>
        </w:tc>
        <w:tc>
          <w:tcPr>
            <w:tcW w:w="1037" w:type="pct"/>
            <w:vMerge w:val="continue"/>
            <w:tcMar>
              <w:left w:w="0" w:type="dxa"/>
              <w:right w:w="0" w:type="dxa"/>
            </w:tcMar>
            <w:vAlign w:val="center"/>
          </w:tcPr>
          <w:p w14:paraId="18F98F6F">
            <w:pPr>
              <w:pStyle w:val="36"/>
              <w:bidi w:val="0"/>
              <w:rPr>
                <w:color w:val="auto"/>
              </w:rPr>
            </w:pPr>
          </w:p>
        </w:tc>
        <w:tc>
          <w:tcPr>
            <w:tcW w:w="633" w:type="pct"/>
            <w:vMerge w:val="continue"/>
            <w:tcMar>
              <w:left w:w="0" w:type="dxa"/>
              <w:right w:w="0" w:type="dxa"/>
            </w:tcMar>
            <w:vAlign w:val="center"/>
          </w:tcPr>
          <w:p w14:paraId="415B3E62">
            <w:pPr>
              <w:pStyle w:val="36"/>
              <w:bidi w:val="0"/>
              <w:rPr>
                <w:color w:val="auto"/>
              </w:rPr>
            </w:pPr>
          </w:p>
        </w:tc>
        <w:tc>
          <w:tcPr>
            <w:tcW w:w="871" w:type="pct"/>
            <w:tcMar>
              <w:left w:w="0" w:type="dxa"/>
              <w:right w:w="0" w:type="dxa"/>
            </w:tcMar>
            <w:vAlign w:val="center"/>
          </w:tcPr>
          <w:p w14:paraId="2F0ED46F">
            <w:pPr>
              <w:pStyle w:val="36"/>
              <w:bidi w:val="0"/>
              <w:rPr>
                <w:color w:val="auto"/>
              </w:rPr>
            </w:pPr>
            <w:r>
              <w:rPr>
                <w:color w:val="auto"/>
              </w:rPr>
              <w:t>报告书</w:t>
            </w:r>
          </w:p>
        </w:tc>
        <w:tc>
          <w:tcPr>
            <w:tcW w:w="792" w:type="pct"/>
            <w:tcMar>
              <w:left w:w="0" w:type="dxa"/>
              <w:right w:w="0" w:type="dxa"/>
            </w:tcMar>
            <w:vAlign w:val="center"/>
          </w:tcPr>
          <w:p w14:paraId="1FC7E65E">
            <w:pPr>
              <w:pStyle w:val="36"/>
              <w:bidi w:val="0"/>
              <w:rPr>
                <w:color w:val="auto"/>
              </w:rPr>
            </w:pPr>
            <w:r>
              <w:rPr>
                <w:color w:val="auto"/>
              </w:rPr>
              <w:t>报告表</w:t>
            </w:r>
          </w:p>
        </w:tc>
        <w:tc>
          <w:tcPr>
            <w:tcW w:w="568" w:type="pct"/>
            <w:vMerge w:val="continue"/>
            <w:tcMar>
              <w:left w:w="0" w:type="dxa"/>
              <w:right w:w="0" w:type="dxa"/>
            </w:tcMar>
            <w:vAlign w:val="center"/>
          </w:tcPr>
          <w:p w14:paraId="3B9B5EB8">
            <w:pPr>
              <w:pStyle w:val="36"/>
              <w:bidi w:val="0"/>
              <w:rPr>
                <w:color w:val="auto"/>
              </w:rPr>
            </w:pPr>
          </w:p>
        </w:tc>
      </w:tr>
      <w:tr w14:paraId="7D68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099" w:type="pct"/>
            <w:tcMar>
              <w:left w:w="0" w:type="dxa"/>
              <w:right w:w="0" w:type="dxa"/>
            </w:tcMar>
            <w:vAlign w:val="center"/>
          </w:tcPr>
          <w:p w14:paraId="1944711B">
            <w:pPr>
              <w:pStyle w:val="26"/>
              <w:bidi w:val="0"/>
              <w:rPr>
                <w:color w:val="auto"/>
              </w:rPr>
            </w:pPr>
            <w:r>
              <w:rPr>
                <w:rFonts w:hint="eastAsia"/>
                <w:color w:val="auto"/>
                <w:lang w:val="en-US" w:eastAsia="zh-CN"/>
              </w:rPr>
              <w:t>53、金属制品加工制造</w:t>
            </w:r>
          </w:p>
        </w:tc>
        <w:tc>
          <w:tcPr>
            <w:tcW w:w="1037" w:type="pct"/>
            <w:tcMar>
              <w:left w:w="0" w:type="dxa"/>
              <w:right w:w="0" w:type="dxa"/>
            </w:tcMar>
            <w:vAlign w:val="center"/>
          </w:tcPr>
          <w:p w14:paraId="18C206EC">
            <w:pPr>
              <w:pStyle w:val="26"/>
              <w:bidi w:val="0"/>
              <w:rPr>
                <w:rFonts w:hint="default"/>
                <w:color w:val="auto"/>
                <w:lang w:val="en-US" w:eastAsia="zh-CN"/>
              </w:rPr>
            </w:pPr>
            <w:r>
              <w:rPr>
                <w:rFonts w:hint="eastAsia"/>
                <w:color w:val="auto"/>
                <w:lang w:val="en-US" w:eastAsia="zh-CN"/>
              </w:rPr>
              <w:t>有电镀或喷漆工艺的</w:t>
            </w:r>
          </w:p>
        </w:tc>
        <w:tc>
          <w:tcPr>
            <w:tcW w:w="633" w:type="pct"/>
            <w:tcMar>
              <w:left w:w="0" w:type="dxa"/>
              <w:right w:w="0" w:type="dxa"/>
            </w:tcMar>
            <w:vAlign w:val="center"/>
          </w:tcPr>
          <w:p w14:paraId="50002380">
            <w:pPr>
              <w:pStyle w:val="26"/>
              <w:bidi w:val="0"/>
              <w:rPr>
                <w:color w:val="auto"/>
              </w:rPr>
            </w:pPr>
            <w:r>
              <w:rPr>
                <w:rFonts w:hint="eastAsia"/>
                <w:color w:val="auto"/>
              </w:rPr>
              <w:t>其他</w:t>
            </w:r>
          </w:p>
        </w:tc>
        <w:tc>
          <w:tcPr>
            <w:tcW w:w="871" w:type="pct"/>
            <w:shd w:val="clear" w:color="auto" w:fill="D8D8D8" w:themeFill="background1" w:themeFillShade="D9"/>
            <w:tcMar>
              <w:left w:w="0" w:type="dxa"/>
              <w:right w:w="0" w:type="dxa"/>
            </w:tcMar>
            <w:vAlign w:val="center"/>
          </w:tcPr>
          <w:p w14:paraId="0E09983D">
            <w:pPr>
              <w:pStyle w:val="26"/>
              <w:bidi w:val="0"/>
              <w:rPr>
                <w:color w:val="auto"/>
              </w:rPr>
            </w:pPr>
            <w:r>
              <w:rPr>
                <w:rFonts w:hint="eastAsia" w:ascii="仿宋_GB2312" w:hAnsi="仿宋_GB2312" w:eastAsia="仿宋_GB2312" w:cs="仿宋_GB2312"/>
                <w:color w:val="auto"/>
              </w:rPr>
              <w:t>Ⅲ</w:t>
            </w:r>
            <w:r>
              <w:rPr>
                <w:color w:val="auto"/>
              </w:rPr>
              <w:t>类</w:t>
            </w:r>
          </w:p>
        </w:tc>
        <w:tc>
          <w:tcPr>
            <w:tcW w:w="792" w:type="pct"/>
            <w:tcMar>
              <w:left w:w="0" w:type="dxa"/>
              <w:right w:w="0" w:type="dxa"/>
            </w:tcMar>
            <w:vAlign w:val="center"/>
          </w:tcPr>
          <w:p w14:paraId="1AAA7864">
            <w:pPr>
              <w:pStyle w:val="26"/>
              <w:bidi w:val="0"/>
              <w:rPr>
                <w:color w:val="auto"/>
              </w:rPr>
            </w:pPr>
            <w:r>
              <w:rPr>
                <w:rFonts w:hint="eastAsia" w:ascii="仿宋" w:hAnsi="仿宋" w:eastAsia="仿宋" w:cs="仿宋"/>
                <w:color w:val="auto"/>
              </w:rPr>
              <w:t>Ⅳ</w:t>
            </w:r>
            <w:r>
              <w:rPr>
                <w:color w:val="auto"/>
              </w:rPr>
              <w:t>类</w:t>
            </w:r>
          </w:p>
        </w:tc>
        <w:tc>
          <w:tcPr>
            <w:tcW w:w="568" w:type="pct"/>
            <w:tcMar>
              <w:left w:w="0" w:type="dxa"/>
              <w:right w:w="0" w:type="dxa"/>
            </w:tcMar>
            <w:vAlign w:val="center"/>
          </w:tcPr>
          <w:p w14:paraId="1A79F5BB">
            <w:pPr>
              <w:pStyle w:val="26"/>
              <w:bidi w:val="0"/>
              <w:rPr>
                <w:color w:val="auto"/>
              </w:rPr>
            </w:pPr>
            <w:r>
              <w:rPr>
                <w:rFonts w:hint="eastAsia" w:ascii="仿宋_GB2312" w:hAnsi="仿宋_GB2312" w:eastAsia="仿宋_GB2312" w:cs="仿宋_GB2312"/>
                <w:color w:val="auto"/>
              </w:rPr>
              <w:t>Ⅲ</w:t>
            </w:r>
            <w:r>
              <w:rPr>
                <w:color w:val="auto"/>
              </w:rPr>
              <w:t>类</w:t>
            </w:r>
          </w:p>
        </w:tc>
      </w:tr>
    </w:tbl>
    <w:p w14:paraId="1D1A7799">
      <w:pPr>
        <w:rPr>
          <w:rFonts w:ascii="Times New Roman" w:hAnsi="Times New Roman"/>
          <w:color w:val="auto"/>
        </w:rPr>
      </w:pPr>
      <w:r>
        <w:rPr>
          <w:rFonts w:hint="eastAsia" w:ascii="Times New Roman" w:hAnsi="Times New Roman"/>
          <w:color w:val="auto"/>
        </w:rPr>
        <w:t>建设项目的地下水环境敏感程度可分为敏感、较敏感、不敏感三级，分级原则见</w:t>
      </w:r>
      <w:r>
        <w:rPr>
          <w:rFonts w:ascii="Times New Roman" w:hAnsi="Times New Roman"/>
          <w:color w:val="auto"/>
        </w:rPr>
        <w:fldChar w:fldCharType="begin"/>
      </w:r>
      <w:r>
        <w:rPr>
          <w:rFonts w:ascii="Times New Roman" w:hAnsi="Times New Roman"/>
          <w:color w:val="auto"/>
        </w:rPr>
        <w:instrText xml:space="preserve"> </w:instrText>
      </w:r>
      <w:r>
        <w:rPr>
          <w:rFonts w:hint="eastAsia" w:ascii="Times New Roman" w:hAnsi="Times New Roman"/>
          <w:color w:val="auto"/>
        </w:rPr>
        <w:instrText xml:space="preserve">REF _Ref156840802 \h</w:instrText>
      </w:r>
      <w:r>
        <w:rPr>
          <w:rFonts w:ascii="Times New Roman" w:hAnsi="Times New Roman"/>
          <w:color w:val="auto"/>
        </w:rPr>
        <w:instrText xml:space="preserve"> </w:instrText>
      </w:r>
      <w:r>
        <w:rPr>
          <w:rFonts w:ascii="Times New Roman" w:hAnsi="Times New Roman"/>
          <w:color w:val="auto"/>
        </w:rPr>
        <w:fldChar w:fldCharType="separate"/>
      </w: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2.3</w:t>
      </w:r>
      <w:r>
        <w:rPr>
          <w:rFonts w:ascii="Times New Roman" w:hAnsi="Times New Roman"/>
          <w:color w:val="auto"/>
        </w:rPr>
        <w:fldChar w:fldCharType="end"/>
      </w:r>
      <w:r>
        <w:rPr>
          <w:rFonts w:ascii="Times New Roman" w:hAnsi="Times New Roman"/>
          <w:color w:val="auto"/>
        </w:rPr>
        <w:noBreakHyphen/>
      </w:r>
      <w:r>
        <w:rPr>
          <w:rFonts w:ascii="Times New Roman" w:hAnsi="Times New Roman"/>
          <w:color w:val="auto"/>
        </w:rPr>
        <w:t>6</w:t>
      </w:r>
      <w:r>
        <w:rPr>
          <w:rFonts w:ascii="Times New Roman" w:hAnsi="Times New Roman"/>
          <w:color w:val="auto"/>
        </w:rPr>
        <w:fldChar w:fldCharType="end"/>
      </w:r>
      <w:r>
        <w:rPr>
          <w:rFonts w:hint="eastAsia" w:ascii="Times New Roman" w:hAnsi="Times New Roman"/>
          <w:color w:val="auto"/>
        </w:rPr>
        <w:t>。</w:t>
      </w:r>
    </w:p>
    <w:p w14:paraId="28E98EF9">
      <w:pPr>
        <w:pStyle w:val="25"/>
        <w:bidi w:val="0"/>
        <w:rPr>
          <w:color w:val="auto"/>
          <w:lang w:val="en-US" w:eastAsia="zh-CN"/>
        </w:rPr>
      </w:pPr>
      <w:bookmarkStart w:id="79" w:name="_Ref156840802"/>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5</w:t>
      </w:r>
      <w:r>
        <w:rPr>
          <w:color w:val="auto"/>
          <w:lang w:val="en-US" w:eastAsia="zh-CN"/>
        </w:rPr>
        <w:fldChar w:fldCharType="end"/>
      </w:r>
      <w:bookmarkEnd w:id="79"/>
      <w:r>
        <w:rPr>
          <w:color w:val="auto"/>
          <w:lang w:val="en-US" w:eastAsia="zh-CN"/>
        </w:rPr>
        <w:t>水污染影响型建设项目评价等级判别表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7491"/>
      </w:tblGrid>
      <w:tr w14:paraId="50B7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blHeader/>
          <w:jc w:val="center"/>
        </w:trPr>
        <w:tc>
          <w:tcPr>
            <w:tcW w:w="605" w:type="pct"/>
            <w:vAlign w:val="center"/>
          </w:tcPr>
          <w:p w14:paraId="2B23D5A5">
            <w:pPr>
              <w:pStyle w:val="36"/>
              <w:bidi w:val="0"/>
              <w:rPr>
                <w:color w:val="auto"/>
                <w:lang w:val="en-US" w:eastAsia="zh-CN"/>
              </w:rPr>
            </w:pPr>
            <w:r>
              <w:rPr>
                <w:color w:val="auto"/>
                <w:lang w:val="en-US" w:eastAsia="zh-CN"/>
              </w:rPr>
              <w:t>分级</w:t>
            </w:r>
          </w:p>
        </w:tc>
        <w:tc>
          <w:tcPr>
            <w:tcW w:w="4395" w:type="pct"/>
            <w:vAlign w:val="center"/>
          </w:tcPr>
          <w:p w14:paraId="0D97D9ED">
            <w:pPr>
              <w:pStyle w:val="36"/>
              <w:bidi w:val="0"/>
              <w:rPr>
                <w:color w:val="auto"/>
                <w:lang w:val="en-US" w:eastAsia="zh-CN"/>
              </w:rPr>
            </w:pPr>
            <w:r>
              <w:rPr>
                <w:color w:val="auto"/>
                <w:lang w:val="en-US" w:eastAsia="zh-CN"/>
              </w:rPr>
              <w:t>地下水环境敏感特征</w:t>
            </w:r>
          </w:p>
        </w:tc>
      </w:tr>
      <w:tr w14:paraId="3C5D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5" w:type="pct"/>
            <w:vAlign w:val="center"/>
          </w:tcPr>
          <w:p w14:paraId="39784CC3">
            <w:pPr>
              <w:pStyle w:val="26"/>
              <w:bidi w:val="0"/>
              <w:rPr>
                <w:color w:val="auto"/>
                <w:lang w:val="en-US" w:eastAsia="zh-CN"/>
              </w:rPr>
            </w:pPr>
            <w:r>
              <w:rPr>
                <w:color w:val="auto"/>
                <w:lang w:val="en-US" w:eastAsia="zh-CN"/>
              </w:rPr>
              <w:t>敏感</w:t>
            </w:r>
          </w:p>
        </w:tc>
        <w:tc>
          <w:tcPr>
            <w:tcW w:w="4395" w:type="pct"/>
            <w:vAlign w:val="center"/>
          </w:tcPr>
          <w:p w14:paraId="5FC1B7F1">
            <w:pPr>
              <w:pStyle w:val="26"/>
              <w:bidi w:val="0"/>
              <w:rPr>
                <w:color w:val="auto"/>
                <w:lang w:val="en-US" w:eastAsia="zh-CN"/>
              </w:rPr>
            </w:pPr>
            <w:r>
              <w:rPr>
                <w:color w:val="auto"/>
                <w:lang w:val="en-US" w:eastAsia="zh-CN"/>
              </w:rPr>
              <w:t>集中式饮用水水源地（包括已建成的在用、备用、应急水源地，在建和规划的水源地）准保护区；除集中式饮用水源地以外的国家或地方政府设定的与地下水环境相关的其它保护区，如热水、矿泉水、温泉等特殊地下水资源保护区。</w:t>
            </w:r>
          </w:p>
        </w:tc>
      </w:tr>
      <w:tr w14:paraId="413F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605" w:type="pct"/>
            <w:vAlign w:val="center"/>
          </w:tcPr>
          <w:p w14:paraId="29FEAF84">
            <w:pPr>
              <w:pStyle w:val="26"/>
              <w:bidi w:val="0"/>
              <w:rPr>
                <w:color w:val="auto"/>
                <w:lang w:val="en-US" w:eastAsia="zh-CN"/>
              </w:rPr>
            </w:pPr>
            <w:r>
              <w:rPr>
                <w:color w:val="auto"/>
                <w:lang w:val="en-US" w:eastAsia="zh-CN"/>
              </w:rPr>
              <w:t>较敏感</w:t>
            </w:r>
          </w:p>
        </w:tc>
        <w:tc>
          <w:tcPr>
            <w:tcW w:w="4395" w:type="pct"/>
            <w:vAlign w:val="center"/>
          </w:tcPr>
          <w:p w14:paraId="7D700D75">
            <w:pPr>
              <w:pStyle w:val="26"/>
              <w:bidi w:val="0"/>
              <w:rPr>
                <w:color w:val="auto"/>
                <w:lang w:val="en-US" w:eastAsia="zh-CN"/>
              </w:rPr>
            </w:pPr>
            <w:r>
              <w:rPr>
                <w:color w:val="auto"/>
                <w:lang w:val="en-US" w:eastAsia="zh-CN"/>
              </w:rPr>
              <w:t>集中式饮用水水源地（包括已建成的在用、备用、应急水源地，在建和规划的水源地）准保护区以外的补给径流区；未划定准保护区的集中水式饮用水水源，其保护区以外的补给径流区；分散式饮用水源地；特殊地下水资源（如矿泉水、温泉等）保护区以外的分布区等其他未列入上述敏感分级的环境敏感区。</w:t>
            </w:r>
          </w:p>
        </w:tc>
      </w:tr>
      <w:tr w14:paraId="0FBC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05" w:type="pct"/>
            <w:shd w:val="clear" w:color="auto" w:fill="D7D7D7" w:themeFill="background1" w:themeFillShade="D8"/>
            <w:vAlign w:val="center"/>
          </w:tcPr>
          <w:p w14:paraId="53CDE8E9">
            <w:pPr>
              <w:pStyle w:val="26"/>
              <w:bidi w:val="0"/>
              <w:rPr>
                <w:color w:val="auto"/>
                <w:lang w:val="en-US" w:eastAsia="zh-CN"/>
              </w:rPr>
            </w:pPr>
            <w:r>
              <w:rPr>
                <w:color w:val="auto"/>
                <w:lang w:val="en-US" w:eastAsia="zh-CN"/>
              </w:rPr>
              <w:t>不敏感</w:t>
            </w:r>
          </w:p>
        </w:tc>
        <w:tc>
          <w:tcPr>
            <w:tcW w:w="4395" w:type="pct"/>
            <w:shd w:val="clear" w:color="auto" w:fill="D7D7D7" w:themeFill="background1" w:themeFillShade="D8"/>
            <w:vAlign w:val="center"/>
          </w:tcPr>
          <w:p w14:paraId="7A73901B">
            <w:pPr>
              <w:pStyle w:val="26"/>
              <w:bidi w:val="0"/>
              <w:rPr>
                <w:color w:val="auto"/>
                <w:lang w:val="en-US" w:eastAsia="zh-CN"/>
              </w:rPr>
            </w:pPr>
            <w:r>
              <w:rPr>
                <w:color w:val="auto"/>
                <w:lang w:val="en-US" w:eastAsia="zh-CN"/>
              </w:rPr>
              <w:t>上述地区之外的其它地区</w:t>
            </w:r>
          </w:p>
        </w:tc>
      </w:tr>
    </w:tbl>
    <w:p w14:paraId="7D654F8D">
      <w:pPr>
        <w:pStyle w:val="28"/>
        <w:bidi w:val="0"/>
        <w:rPr>
          <w:color w:val="auto"/>
          <w:lang w:val="en-US" w:eastAsia="zh-CN"/>
        </w:rPr>
      </w:pPr>
      <w:r>
        <w:rPr>
          <w:rFonts w:hint="eastAsia"/>
          <w:color w:val="auto"/>
          <w:lang w:val="en-US" w:eastAsia="zh-CN"/>
        </w:rPr>
        <w:t>注：1、表中“环境敏感区”系指《建设项目环境影响评价分类管理名录》中所界定的涉及地下水的环境敏感区。2、如建设项目场地的含水层（含水系统）处于补给区与径流区或径流区与排泄去的边界时，则敏感程度等级上调一级。</w:t>
      </w:r>
    </w:p>
    <w:p w14:paraId="2C5AA697">
      <w:pPr>
        <w:rPr>
          <w:rFonts w:ascii="Times New Roman" w:hAnsi="Times New Roman"/>
          <w:color w:val="auto"/>
        </w:rPr>
      </w:pPr>
      <w:r>
        <w:rPr>
          <w:rFonts w:hint="eastAsia" w:ascii="Times New Roman" w:hAnsi="Times New Roman"/>
          <w:color w:val="auto"/>
        </w:rPr>
        <w:t>项目位于江苏省</w:t>
      </w:r>
      <w:r>
        <w:rPr>
          <w:rFonts w:hint="eastAsia"/>
          <w:color w:val="auto"/>
          <w:lang w:eastAsia="zh-CN"/>
        </w:rPr>
        <w:t>昆山市花桥镇逢善路358号</w:t>
      </w:r>
      <w:r>
        <w:rPr>
          <w:rFonts w:hint="eastAsia" w:ascii="Times New Roman" w:hAnsi="Times New Roman"/>
          <w:color w:val="auto"/>
        </w:rPr>
        <w:t>，不属于集中式饮用水水源地准保护区、不属于热水、矿泉水、温泉等特殊地下水源保护区、也不属于补给径流区，场地内无分散式饮用水源地等其它环境敏感区，因此本建设项目地下水环境敏感程度为不敏感。</w:t>
      </w:r>
    </w:p>
    <w:p w14:paraId="139CAD20">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6</w:t>
      </w:r>
      <w:r>
        <w:rPr>
          <w:color w:val="auto"/>
          <w:lang w:val="en-US" w:eastAsia="zh-CN"/>
        </w:rPr>
        <w:fldChar w:fldCharType="end"/>
      </w:r>
      <w:r>
        <w:rPr>
          <w:rFonts w:hint="eastAsia"/>
          <w:color w:val="auto"/>
          <w:lang w:val="en-US" w:eastAsia="zh-CN"/>
        </w:rPr>
        <w:t>评价工作等级分级表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2332"/>
        <w:gridCol w:w="2079"/>
        <w:gridCol w:w="1677"/>
      </w:tblGrid>
      <w:tr w14:paraId="3474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428" w:type="pct"/>
            <w:tcBorders>
              <w:tl2br w:val="single" w:color="auto" w:sz="4" w:space="0"/>
            </w:tcBorders>
            <w:vAlign w:val="center"/>
          </w:tcPr>
          <w:p w14:paraId="52EBCCFD">
            <w:pPr>
              <w:pStyle w:val="36"/>
              <w:bidi w:val="0"/>
              <w:jc w:val="right"/>
              <w:rPr>
                <w:color w:val="auto"/>
                <w:lang w:val="en-US" w:eastAsia="zh-CN"/>
              </w:rPr>
            </w:pPr>
            <w:r>
              <w:rPr>
                <w:color w:val="auto"/>
                <w:lang w:val="en-US" w:eastAsia="zh-CN"/>
              </w:rPr>
              <w:t>项目类别</w:t>
            </w:r>
          </w:p>
          <w:p w14:paraId="3E32A7D1">
            <w:pPr>
              <w:pStyle w:val="36"/>
              <w:bidi w:val="0"/>
              <w:jc w:val="left"/>
              <w:rPr>
                <w:color w:val="auto"/>
                <w:lang w:val="en-US" w:eastAsia="zh-CN"/>
              </w:rPr>
            </w:pPr>
            <w:r>
              <w:rPr>
                <w:color w:val="auto"/>
                <w:lang w:val="en-US" w:eastAsia="zh-CN"/>
              </w:rPr>
              <w:t>敏感程度</w:t>
            </w:r>
          </w:p>
        </w:tc>
        <w:tc>
          <w:tcPr>
            <w:tcW w:w="1368" w:type="pct"/>
            <w:vAlign w:val="center"/>
          </w:tcPr>
          <w:p w14:paraId="0372A161">
            <w:pPr>
              <w:pStyle w:val="36"/>
              <w:bidi w:val="0"/>
              <w:rPr>
                <w:color w:val="auto"/>
                <w:lang w:val="en-US" w:eastAsia="zh-CN"/>
              </w:rPr>
            </w:pPr>
            <w:r>
              <w:rPr>
                <w:color w:val="auto"/>
                <w:lang w:val="en-US" w:eastAsia="zh-CN"/>
              </w:rPr>
              <w:t>Ⅰ类项目</w:t>
            </w:r>
          </w:p>
        </w:tc>
        <w:tc>
          <w:tcPr>
            <w:tcW w:w="1220" w:type="pct"/>
            <w:vAlign w:val="center"/>
          </w:tcPr>
          <w:p w14:paraId="45F61238">
            <w:pPr>
              <w:pStyle w:val="36"/>
              <w:bidi w:val="0"/>
              <w:rPr>
                <w:color w:val="auto"/>
                <w:lang w:val="en-US" w:eastAsia="zh-CN"/>
              </w:rPr>
            </w:pPr>
            <w:r>
              <w:rPr>
                <w:color w:val="auto"/>
                <w:lang w:val="en-US" w:eastAsia="zh-CN"/>
              </w:rPr>
              <w:t>Ⅱ类项目</w:t>
            </w:r>
          </w:p>
        </w:tc>
        <w:tc>
          <w:tcPr>
            <w:tcW w:w="984" w:type="pct"/>
            <w:vAlign w:val="center"/>
          </w:tcPr>
          <w:p w14:paraId="782A920E">
            <w:pPr>
              <w:pStyle w:val="36"/>
              <w:bidi w:val="0"/>
              <w:rPr>
                <w:color w:val="auto"/>
                <w:lang w:val="en-US" w:eastAsia="zh-CN"/>
              </w:rPr>
            </w:pPr>
            <w:r>
              <w:rPr>
                <w:color w:val="auto"/>
                <w:lang w:val="en-US" w:eastAsia="zh-CN"/>
              </w:rPr>
              <w:t>Ⅲ类项目</w:t>
            </w:r>
          </w:p>
        </w:tc>
      </w:tr>
      <w:tr w14:paraId="11BE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pct"/>
            <w:vAlign w:val="center"/>
          </w:tcPr>
          <w:p w14:paraId="5E063893">
            <w:pPr>
              <w:pStyle w:val="26"/>
              <w:bidi w:val="0"/>
              <w:rPr>
                <w:color w:val="auto"/>
                <w:lang w:val="en-US" w:eastAsia="zh-CN"/>
              </w:rPr>
            </w:pPr>
            <w:r>
              <w:rPr>
                <w:color w:val="auto"/>
                <w:lang w:val="en-US" w:eastAsia="zh-CN"/>
              </w:rPr>
              <w:t>敏感</w:t>
            </w:r>
          </w:p>
        </w:tc>
        <w:tc>
          <w:tcPr>
            <w:tcW w:w="1368" w:type="pct"/>
            <w:vAlign w:val="center"/>
          </w:tcPr>
          <w:p w14:paraId="4A922876">
            <w:pPr>
              <w:pStyle w:val="26"/>
              <w:bidi w:val="0"/>
              <w:rPr>
                <w:color w:val="auto"/>
                <w:lang w:val="en-US" w:eastAsia="zh-CN"/>
              </w:rPr>
            </w:pPr>
            <w:r>
              <w:rPr>
                <w:color w:val="auto"/>
                <w:lang w:val="en-US" w:eastAsia="zh-CN"/>
              </w:rPr>
              <w:t>一</w:t>
            </w:r>
          </w:p>
        </w:tc>
        <w:tc>
          <w:tcPr>
            <w:tcW w:w="1220" w:type="pct"/>
            <w:vAlign w:val="center"/>
          </w:tcPr>
          <w:p w14:paraId="217D5AB9">
            <w:pPr>
              <w:pStyle w:val="26"/>
              <w:bidi w:val="0"/>
              <w:rPr>
                <w:color w:val="auto"/>
                <w:lang w:val="en-US" w:eastAsia="zh-CN"/>
              </w:rPr>
            </w:pPr>
            <w:r>
              <w:rPr>
                <w:color w:val="auto"/>
                <w:lang w:val="en-US" w:eastAsia="zh-CN"/>
              </w:rPr>
              <w:t>一</w:t>
            </w:r>
          </w:p>
        </w:tc>
        <w:tc>
          <w:tcPr>
            <w:tcW w:w="984" w:type="pct"/>
            <w:vAlign w:val="center"/>
          </w:tcPr>
          <w:p w14:paraId="30D0D704">
            <w:pPr>
              <w:pStyle w:val="26"/>
              <w:bidi w:val="0"/>
              <w:rPr>
                <w:color w:val="auto"/>
                <w:lang w:val="en-US" w:eastAsia="zh-CN"/>
              </w:rPr>
            </w:pPr>
            <w:r>
              <w:rPr>
                <w:color w:val="auto"/>
                <w:lang w:val="en-US" w:eastAsia="zh-CN"/>
              </w:rPr>
              <w:t>二</w:t>
            </w:r>
          </w:p>
        </w:tc>
      </w:tr>
      <w:tr w14:paraId="62B3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pct"/>
            <w:vAlign w:val="center"/>
          </w:tcPr>
          <w:p w14:paraId="4CFF2703">
            <w:pPr>
              <w:pStyle w:val="26"/>
              <w:bidi w:val="0"/>
              <w:rPr>
                <w:color w:val="auto"/>
                <w:lang w:val="en-US" w:eastAsia="zh-CN"/>
              </w:rPr>
            </w:pPr>
            <w:r>
              <w:rPr>
                <w:color w:val="auto"/>
                <w:lang w:val="en-US" w:eastAsia="zh-CN"/>
              </w:rPr>
              <w:t>较敏感</w:t>
            </w:r>
          </w:p>
        </w:tc>
        <w:tc>
          <w:tcPr>
            <w:tcW w:w="1368" w:type="pct"/>
            <w:shd w:val="clear" w:color="auto" w:fill="FFFFFF" w:themeFill="background1"/>
            <w:vAlign w:val="center"/>
          </w:tcPr>
          <w:p w14:paraId="674FF7BB">
            <w:pPr>
              <w:pStyle w:val="26"/>
              <w:bidi w:val="0"/>
              <w:rPr>
                <w:color w:val="auto"/>
                <w:lang w:val="en-US" w:eastAsia="zh-CN"/>
              </w:rPr>
            </w:pPr>
            <w:r>
              <w:rPr>
                <w:color w:val="auto"/>
                <w:lang w:val="en-US" w:eastAsia="zh-CN"/>
              </w:rPr>
              <w:t>一</w:t>
            </w:r>
          </w:p>
        </w:tc>
        <w:tc>
          <w:tcPr>
            <w:tcW w:w="1220" w:type="pct"/>
            <w:vAlign w:val="center"/>
          </w:tcPr>
          <w:p w14:paraId="3CCB0AD0">
            <w:pPr>
              <w:pStyle w:val="26"/>
              <w:bidi w:val="0"/>
              <w:rPr>
                <w:color w:val="auto"/>
                <w:lang w:val="en-US" w:eastAsia="zh-CN"/>
              </w:rPr>
            </w:pPr>
            <w:r>
              <w:rPr>
                <w:color w:val="auto"/>
                <w:lang w:val="en-US" w:eastAsia="zh-CN"/>
              </w:rPr>
              <w:t>二</w:t>
            </w:r>
          </w:p>
        </w:tc>
        <w:tc>
          <w:tcPr>
            <w:tcW w:w="984" w:type="pct"/>
            <w:vAlign w:val="center"/>
          </w:tcPr>
          <w:p w14:paraId="538822FC">
            <w:pPr>
              <w:pStyle w:val="26"/>
              <w:bidi w:val="0"/>
              <w:rPr>
                <w:color w:val="auto"/>
                <w:lang w:val="en-US" w:eastAsia="zh-CN"/>
              </w:rPr>
            </w:pPr>
            <w:r>
              <w:rPr>
                <w:color w:val="auto"/>
                <w:lang w:val="en-US" w:eastAsia="zh-CN"/>
              </w:rPr>
              <w:t>三</w:t>
            </w:r>
          </w:p>
        </w:tc>
      </w:tr>
      <w:tr w14:paraId="4417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8" w:type="pct"/>
            <w:vAlign w:val="center"/>
          </w:tcPr>
          <w:p w14:paraId="3154CE73">
            <w:pPr>
              <w:pStyle w:val="26"/>
              <w:bidi w:val="0"/>
              <w:rPr>
                <w:color w:val="auto"/>
                <w:lang w:val="en-US" w:eastAsia="zh-CN"/>
              </w:rPr>
            </w:pPr>
            <w:r>
              <w:rPr>
                <w:rFonts w:hint="eastAsia"/>
                <w:color w:val="auto"/>
                <w:lang w:val="en-US" w:eastAsia="zh-CN"/>
              </w:rPr>
              <w:t>不敏感</w:t>
            </w:r>
          </w:p>
        </w:tc>
        <w:tc>
          <w:tcPr>
            <w:tcW w:w="1368" w:type="pct"/>
            <w:shd w:val="clear" w:color="auto" w:fill="FFFFFF" w:themeFill="background1"/>
            <w:vAlign w:val="center"/>
          </w:tcPr>
          <w:p w14:paraId="7B5A6812">
            <w:pPr>
              <w:pStyle w:val="26"/>
              <w:bidi w:val="0"/>
              <w:rPr>
                <w:color w:val="auto"/>
                <w:lang w:val="en-US" w:eastAsia="zh-CN"/>
              </w:rPr>
            </w:pPr>
            <w:r>
              <w:rPr>
                <w:rFonts w:hint="eastAsia"/>
                <w:color w:val="auto"/>
                <w:lang w:val="en-US" w:eastAsia="zh-CN"/>
              </w:rPr>
              <w:t>二</w:t>
            </w:r>
          </w:p>
        </w:tc>
        <w:tc>
          <w:tcPr>
            <w:tcW w:w="1220" w:type="pct"/>
            <w:vAlign w:val="center"/>
          </w:tcPr>
          <w:p w14:paraId="065207E6">
            <w:pPr>
              <w:pStyle w:val="26"/>
              <w:bidi w:val="0"/>
              <w:rPr>
                <w:color w:val="auto"/>
                <w:lang w:val="en-US" w:eastAsia="zh-CN"/>
              </w:rPr>
            </w:pPr>
            <w:r>
              <w:rPr>
                <w:rFonts w:hint="eastAsia"/>
                <w:color w:val="auto"/>
                <w:lang w:val="en-US" w:eastAsia="zh-CN"/>
              </w:rPr>
              <w:t>三</w:t>
            </w:r>
          </w:p>
        </w:tc>
        <w:tc>
          <w:tcPr>
            <w:tcW w:w="984" w:type="pct"/>
            <w:shd w:val="clear" w:color="auto" w:fill="E7E6E6" w:themeFill="background2"/>
            <w:vAlign w:val="center"/>
          </w:tcPr>
          <w:p w14:paraId="2D3F0DB6">
            <w:pPr>
              <w:pStyle w:val="26"/>
              <w:bidi w:val="0"/>
              <w:rPr>
                <w:color w:val="auto"/>
                <w:lang w:val="en-US" w:eastAsia="zh-CN"/>
              </w:rPr>
            </w:pPr>
            <w:r>
              <w:rPr>
                <w:rFonts w:hint="eastAsia"/>
                <w:color w:val="auto"/>
                <w:lang w:val="en-US" w:eastAsia="zh-CN"/>
              </w:rPr>
              <w:t>三</w:t>
            </w:r>
          </w:p>
        </w:tc>
      </w:tr>
    </w:tbl>
    <w:p w14:paraId="6B2C9AF6">
      <w:pPr>
        <w:rPr>
          <w:rFonts w:ascii="Times New Roman" w:hAnsi="Times New Roman"/>
          <w:color w:val="auto"/>
        </w:rPr>
      </w:pPr>
      <w:r>
        <w:rPr>
          <w:rFonts w:hint="eastAsia" w:ascii="Times New Roman" w:hAnsi="Times New Roman"/>
          <w:color w:val="auto"/>
        </w:rPr>
        <w:t>通过查上表判定项目地下水环境影响评价等级标准为</w:t>
      </w:r>
      <w:r>
        <w:rPr>
          <w:rFonts w:hint="eastAsia"/>
          <w:color w:val="auto"/>
          <w:lang w:val="en-US" w:eastAsia="zh-CN"/>
        </w:rPr>
        <w:t>三</w:t>
      </w:r>
      <w:r>
        <w:rPr>
          <w:rFonts w:hint="eastAsia" w:ascii="Times New Roman" w:hAnsi="Times New Roman"/>
          <w:color w:val="auto"/>
        </w:rPr>
        <w:t>级。</w:t>
      </w:r>
    </w:p>
    <w:p w14:paraId="1F9B96C2">
      <w:pPr>
        <w:pStyle w:val="5"/>
        <w:bidi w:val="0"/>
        <w:rPr>
          <w:color w:val="auto"/>
          <w:lang w:val="en-US" w:eastAsia="zh-CN"/>
        </w:rPr>
      </w:pPr>
      <w:r>
        <w:rPr>
          <w:rFonts w:hint="eastAsia"/>
          <w:color w:val="auto"/>
          <w:lang w:val="en-US" w:eastAsia="zh-CN"/>
        </w:rPr>
        <w:t>土壤环境评价工作等级</w:t>
      </w:r>
    </w:p>
    <w:p w14:paraId="2B5EA062">
      <w:pPr>
        <w:rPr>
          <w:rFonts w:ascii="Times New Roman" w:hAnsi="Times New Roman" w:eastAsia="宋体"/>
          <w:color w:val="auto"/>
        </w:rPr>
      </w:pPr>
      <w:r>
        <w:rPr>
          <w:rFonts w:hint="eastAsia" w:ascii="Times New Roman" w:hAnsi="Times New Roman"/>
          <w:color w:val="auto"/>
        </w:rPr>
        <w:t>根据《环境影响评价技术导则土壤环境》（HJ964-2018），本项目属于污染影响型建设项目。土壤环境评价等级判定过程如下：</w:t>
      </w:r>
    </w:p>
    <w:p w14:paraId="4B618893">
      <w:pPr>
        <w:rPr>
          <w:rFonts w:ascii="Times New Roman" w:hAnsi="Times New Roman"/>
          <w:color w:val="auto"/>
        </w:rPr>
      </w:pPr>
      <w:r>
        <w:rPr>
          <w:rFonts w:hint="eastAsia" w:ascii="Times New Roman" w:hAnsi="Times New Roman"/>
          <w:color w:val="auto"/>
        </w:rPr>
        <w:t>1、项目类别</w:t>
      </w:r>
    </w:p>
    <w:p w14:paraId="28F268D8">
      <w:pPr>
        <w:rPr>
          <w:rFonts w:ascii="Times New Roman" w:hAnsi="Times New Roman"/>
          <w:color w:val="auto"/>
        </w:rPr>
      </w:pPr>
      <w:r>
        <w:rPr>
          <w:rFonts w:hint="eastAsia" w:ascii="Times New Roman" w:hAnsi="Times New Roman"/>
          <w:color w:val="auto"/>
        </w:rPr>
        <w:t>本项目所属行业类别为“</w:t>
      </w:r>
      <w:r>
        <w:rPr>
          <w:rFonts w:hint="eastAsia"/>
          <w:color w:val="auto"/>
          <w:lang w:eastAsia="zh-CN"/>
        </w:rPr>
        <w:t>C3525 模具制造</w:t>
      </w:r>
      <w:r>
        <w:rPr>
          <w:rFonts w:hint="eastAsia" w:ascii="Times New Roman" w:hAnsi="Times New Roman"/>
          <w:color w:val="auto"/>
        </w:rPr>
        <w:t>”，根据HJ2.3-2018的附录A中的表A.1土壤环境影响评价项目类别，</w:t>
      </w:r>
      <w:r>
        <w:rPr>
          <w:rFonts w:hint="eastAsia" w:ascii="Times New Roman" w:hAnsi="Times New Roman"/>
          <w:color w:val="auto"/>
          <w:lang w:val="en-US" w:eastAsia="zh-CN"/>
        </w:rPr>
        <w:t>本项目属于“制造业 ”中的“设备制造、金属制品、汽车制造及其他用品制造—有电镀工艺的”，</w:t>
      </w:r>
      <w:r>
        <w:rPr>
          <w:rFonts w:hint="eastAsia" w:ascii="Times New Roman" w:hAnsi="Times New Roman"/>
          <w:color w:val="auto"/>
        </w:rPr>
        <w:t>确定本项目所属的土壤环境影响评价项目类别为I类。详见下表：</w:t>
      </w:r>
    </w:p>
    <w:p w14:paraId="557B9207">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7</w:t>
      </w:r>
      <w:r>
        <w:rPr>
          <w:color w:val="auto"/>
          <w:lang w:val="en-US" w:eastAsia="zh-CN"/>
        </w:rPr>
        <w:fldChar w:fldCharType="end"/>
      </w:r>
      <w:r>
        <w:rPr>
          <w:color w:val="auto"/>
          <w:lang w:val="en-US" w:eastAsia="zh-CN"/>
        </w:rPr>
        <w:t>土壤环境影响评价项目类别</w:t>
      </w:r>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22"/>
        <w:gridCol w:w="3574"/>
        <w:gridCol w:w="1097"/>
        <w:gridCol w:w="1097"/>
        <w:gridCol w:w="1104"/>
      </w:tblGrid>
      <w:tr w14:paraId="29ED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941" w:type="pct"/>
            <w:gridSpan w:val="2"/>
            <w:vMerge w:val="restart"/>
            <w:vAlign w:val="center"/>
          </w:tcPr>
          <w:p w14:paraId="1671AD8D">
            <w:pPr>
              <w:pStyle w:val="36"/>
              <w:bidi w:val="0"/>
              <w:rPr>
                <w:color w:val="auto"/>
                <w:lang w:val="en-US" w:eastAsia="zh-CN"/>
              </w:rPr>
            </w:pPr>
            <w:r>
              <w:rPr>
                <w:color w:val="auto"/>
                <w:lang w:val="en-US" w:eastAsia="zh-CN"/>
              </w:rPr>
              <w:t>行业类别</w:t>
            </w:r>
          </w:p>
        </w:tc>
        <w:tc>
          <w:tcPr>
            <w:tcW w:w="4058" w:type="pct"/>
            <w:gridSpan w:val="4"/>
            <w:vAlign w:val="center"/>
          </w:tcPr>
          <w:p w14:paraId="23BEECBD">
            <w:pPr>
              <w:pStyle w:val="36"/>
              <w:bidi w:val="0"/>
              <w:rPr>
                <w:color w:val="auto"/>
                <w:lang w:val="en-US" w:eastAsia="zh-CN"/>
              </w:rPr>
            </w:pPr>
            <w:r>
              <w:rPr>
                <w:color w:val="auto"/>
                <w:lang w:val="en-US" w:eastAsia="zh-CN"/>
              </w:rPr>
              <w:t>项目类别</w:t>
            </w:r>
          </w:p>
        </w:tc>
      </w:tr>
      <w:tr w14:paraId="515B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pct"/>
            <w:gridSpan w:val="2"/>
            <w:vMerge w:val="continue"/>
            <w:vAlign w:val="center"/>
          </w:tcPr>
          <w:p w14:paraId="30D54F1E">
            <w:pPr>
              <w:pStyle w:val="36"/>
              <w:bidi w:val="0"/>
              <w:rPr>
                <w:color w:val="auto"/>
                <w:lang w:val="en-US" w:eastAsia="zh-CN"/>
              </w:rPr>
            </w:pPr>
          </w:p>
        </w:tc>
        <w:tc>
          <w:tcPr>
            <w:tcW w:w="2104" w:type="pct"/>
            <w:vAlign w:val="center"/>
          </w:tcPr>
          <w:p w14:paraId="35A0F963">
            <w:pPr>
              <w:pStyle w:val="36"/>
              <w:bidi w:val="0"/>
              <w:rPr>
                <w:color w:val="auto"/>
                <w:lang w:val="en-US" w:eastAsia="zh-CN"/>
              </w:rPr>
            </w:pPr>
            <w:r>
              <w:rPr>
                <w:color w:val="auto"/>
                <w:lang w:val="en-US" w:eastAsia="zh-CN"/>
              </w:rPr>
              <w:t>I类</w:t>
            </w:r>
          </w:p>
        </w:tc>
        <w:tc>
          <w:tcPr>
            <w:tcW w:w="650" w:type="pct"/>
            <w:vAlign w:val="center"/>
          </w:tcPr>
          <w:p w14:paraId="50B300D7">
            <w:pPr>
              <w:pStyle w:val="36"/>
              <w:bidi w:val="0"/>
              <w:rPr>
                <w:color w:val="auto"/>
                <w:lang w:val="en-US" w:eastAsia="zh-CN"/>
              </w:rPr>
            </w:pPr>
            <w:r>
              <w:rPr>
                <w:color w:val="auto"/>
                <w:lang w:val="en-US" w:eastAsia="zh-CN"/>
              </w:rPr>
              <w:t>II类</w:t>
            </w:r>
          </w:p>
        </w:tc>
        <w:tc>
          <w:tcPr>
            <w:tcW w:w="650" w:type="pct"/>
            <w:vAlign w:val="center"/>
          </w:tcPr>
          <w:p w14:paraId="3B1F671D">
            <w:pPr>
              <w:pStyle w:val="36"/>
              <w:bidi w:val="0"/>
              <w:rPr>
                <w:color w:val="auto"/>
                <w:lang w:val="en-US" w:eastAsia="zh-CN"/>
              </w:rPr>
            </w:pPr>
            <w:r>
              <w:rPr>
                <w:color w:val="auto"/>
                <w:lang w:val="en-US" w:eastAsia="zh-CN"/>
              </w:rPr>
              <w:t>III类</w:t>
            </w:r>
          </w:p>
        </w:tc>
        <w:tc>
          <w:tcPr>
            <w:tcW w:w="652" w:type="pct"/>
            <w:vAlign w:val="center"/>
          </w:tcPr>
          <w:p w14:paraId="06023CCA">
            <w:pPr>
              <w:pStyle w:val="36"/>
              <w:bidi w:val="0"/>
              <w:rPr>
                <w:color w:val="auto"/>
                <w:lang w:val="en-US" w:eastAsia="zh-CN"/>
              </w:rPr>
            </w:pPr>
            <w:r>
              <w:rPr>
                <w:color w:val="auto"/>
                <w:lang w:val="en-US" w:eastAsia="zh-CN"/>
              </w:rPr>
              <w:t>IV类</w:t>
            </w:r>
          </w:p>
        </w:tc>
      </w:tr>
      <w:tr w14:paraId="738F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 w:type="pct"/>
            <w:vAlign w:val="center"/>
          </w:tcPr>
          <w:p w14:paraId="2F371056">
            <w:pPr>
              <w:pStyle w:val="26"/>
              <w:bidi w:val="0"/>
              <w:rPr>
                <w:color w:val="auto"/>
                <w:lang w:val="en-US" w:eastAsia="zh-CN"/>
              </w:rPr>
            </w:pPr>
            <w:r>
              <w:rPr>
                <w:color w:val="auto"/>
                <w:lang w:val="en-US" w:eastAsia="zh-CN"/>
              </w:rPr>
              <w:t>制造业</w:t>
            </w:r>
          </w:p>
        </w:tc>
        <w:tc>
          <w:tcPr>
            <w:tcW w:w="724" w:type="pct"/>
            <w:vAlign w:val="center"/>
          </w:tcPr>
          <w:p w14:paraId="4D4C7895">
            <w:pPr>
              <w:pStyle w:val="26"/>
              <w:bidi w:val="0"/>
              <w:rPr>
                <w:color w:val="auto"/>
                <w:lang w:val="en-US" w:eastAsia="zh-CN"/>
              </w:rPr>
            </w:pPr>
            <w:r>
              <w:rPr>
                <w:rFonts w:hint="eastAsia"/>
                <w:color w:val="auto"/>
                <w:lang w:val="en-US" w:eastAsia="zh-CN"/>
              </w:rPr>
              <w:t>设备制造、金属制品、汽车制造及其他用品制造</w:t>
            </w:r>
          </w:p>
        </w:tc>
        <w:tc>
          <w:tcPr>
            <w:tcW w:w="2104" w:type="pct"/>
            <w:shd w:val="clear" w:color="auto" w:fill="D7D7D7" w:themeFill="background1" w:themeFillShade="D8"/>
            <w:vAlign w:val="center"/>
          </w:tcPr>
          <w:p w14:paraId="61DF5806">
            <w:pPr>
              <w:pStyle w:val="26"/>
              <w:bidi w:val="0"/>
              <w:rPr>
                <w:rFonts w:hint="eastAsia"/>
                <w:color w:val="auto"/>
                <w:lang w:val="en-US" w:eastAsia="zh-CN"/>
              </w:rPr>
            </w:pPr>
            <w:r>
              <w:rPr>
                <w:rFonts w:hint="eastAsia"/>
                <w:b/>
                <w:bCs/>
                <w:color w:val="auto"/>
                <w:lang w:val="en-US" w:eastAsia="zh-CN"/>
              </w:rPr>
              <w:t>有电镀工艺的</w:t>
            </w:r>
            <w:r>
              <w:rPr>
                <w:rFonts w:hint="eastAsia"/>
                <w:color w:val="auto"/>
                <w:lang w:val="en-US" w:eastAsia="zh-CN"/>
              </w:rPr>
              <w:t>；金属制品表面处理及热处理加工的；使用有机涂层的（喷粉、喷塑和电泳除外）；</w:t>
            </w:r>
          </w:p>
          <w:p w14:paraId="1F1043DF">
            <w:pPr>
              <w:pStyle w:val="26"/>
              <w:bidi w:val="0"/>
              <w:rPr>
                <w:color w:val="auto"/>
                <w:lang w:val="en-US" w:eastAsia="zh-CN"/>
              </w:rPr>
            </w:pPr>
            <w:r>
              <w:rPr>
                <w:rFonts w:hint="eastAsia"/>
                <w:color w:val="auto"/>
                <w:lang w:val="en-US" w:eastAsia="zh-CN"/>
              </w:rPr>
              <w:t>有钝化工艺的热镀锌</w:t>
            </w:r>
          </w:p>
        </w:tc>
        <w:tc>
          <w:tcPr>
            <w:tcW w:w="650" w:type="pct"/>
            <w:vAlign w:val="center"/>
          </w:tcPr>
          <w:p w14:paraId="70AA7DF1">
            <w:pPr>
              <w:pStyle w:val="26"/>
              <w:bidi w:val="0"/>
              <w:rPr>
                <w:color w:val="auto"/>
                <w:lang w:val="en-US" w:eastAsia="zh-CN"/>
              </w:rPr>
            </w:pPr>
            <w:r>
              <w:rPr>
                <w:rFonts w:hint="eastAsia"/>
                <w:color w:val="auto"/>
                <w:lang w:val="en-US" w:eastAsia="zh-CN"/>
              </w:rPr>
              <w:t>有化学处理工艺的</w:t>
            </w:r>
          </w:p>
        </w:tc>
        <w:tc>
          <w:tcPr>
            <w:tcW w:w="650" w:type="pct"/>
            <w:vAlign w:val="center"/>
          </w:tcPr>
          <w:p w14:paraId="7F542890">
            <w:pPr>
              <w:pStyle w:val="26"/>
              <w:bidi w:val="0"/>
              <w:rPr>
                <w:color w:val="auto"/>
                <w:lang w:val="en-US" w:eastAsia="zh-CN"/>
              </w:rPr>
            </w:pPr>
            <w:r>
              <w:rPr>
                <w:color w:val="auto"/>
                <w:lang w:val="en-US" w:eastAsia="zh-CN"/>
              </w:rPr>
              <w:t>其他</w:t>
            </w:r>
          </w:p>
        </w:tc>
        <w:tc>
          <w:tcPr>
            <w:tcW w:w="652" w:type="pct"/>
            <w:vAlign w:val="center"/>
          </w:tcPr>
          <w:p w14:paraId="49F9EF0A">
            <w:pPr>
              <w:pStyle w:val="26"/>
              <w:bidi w:val="0"/>
              <w:rPr>
                <w:rFonts w:hint="eastAsia"/>
                <w:color w:val="auto"/>
                <w:lang w:val="en-US" w:eastAsia="zh-CN"/>
              </w:rPr>
            </w:pPr>
            <w:r>
              <w:rPr>
                <w:rFonts w:hint="eastAsia"/>
                <w:color w:val="auto"/>
                <w:lang w:val="en-US" w:eastAsia="zh-CN"/>
              </w:rPr>
              <w:t>/</w:t>
            </w:r>
          </w:p>
        </w:tc>
      </w:tr>
    </w:tbl>
    <w:p w14:paraId="2BFADA5F">
      <w:pPr>
        <w:rPr>
          <w:rFonts w:ascii="Times New Roman" w:hAnsi="Times New Roman" w:cs="Times New Roman"/>
          <w:color w:val="auto"/>
        </w:rPr>
      </w:pPr>
      <w:r>
        <w:rPr>
          <w:rFonts w:hint="eastAsia" w:ascii="Times New Roman" w:hAnsi="Times New Roman"/>
          <w:color w:val="auto"/>
        </w:rPr>
        <w:t>2、</w:t>
      </w:r>
      <w:r>
        <w:rPr>
          <w:rFonts w:ascii="Times New Roman" w:hAnsi="Times New Roman"/>
          <w:color w:val="auto"/>
        </w:rPr>
        <w:t>占地规模</w:t>
      </w:r>
    </w:p>
    <w:p w14:paraId="5140AD9A">
      <w:pPr>
        <w:rPr>
          <w:rFonts w:ascii="Times New Roman" w:hAnsi="Times New Roman"/>
          <w:color w:val="auto"/>
        </w:rPr>
      </w:pPr>
      <w:r>
        <w:rPr>
          <w:rFonts w:ascii="Times New Roman" w:hAnsi="Times New Roman"/>
          <w:color w:val="auto"/>
        </w:rPr>
        <w:t>根据导则，污染影响型建设项目将其占地规模分为大型（≥50h</w:t>
      </w:r>
      <w:r>
        <w:rPr>
          <w:rFonts w:hint="eastAsia" w:ascii="Times New Roman" w:hAnsi="Times New Roman"/>
          <w:color w:val="auto"/>
          <w:lang w:eastAsia="zh-CN"/>
        </w:rPr>
        <w:t>m</w:t>
      </w:r>
      <w:r>
        <w:rPr>
          <w:rFonts w:hint="eastAsia" w:ascii="Times New Roman" w:hAnsi="Times New Roman"/>
          <w:color w:val="auto"/>
          <w:vertAlign w:val="superscript"/>
          <w:lang w:eastAsia="zh-CN"/>
        </w:rPr>
        <w:t>2</w:t>
      </w:r>
      <w:r>
        <w:rPr>
          <w:rFonts w:ascii="Times New Roman" w:hAnsi="Times New Roman"/>
          <w:color w:val="auto"/>
        </w:rPr>
        <w:t>）、中型（5~50h</w:t>
      </w:r>
      <w:r>
        <w:rPr>
          <w:rFonts w:hint="eastAsia" w:ascii="Times New Roman" w:hAnsi="Times New Roman"/>
          <w:color w:val="auto"/>
          <w:lang w:eastAsia="zh-CN"/>
        </w:rPr>
        <w:t>m</w:t>
      </w:r>
      <w:r>
        <w:rPr>
          <w:rFonts w:hint="eastAsia" w:ascii="Times New Roman" w:hAnsi="Times New Roman"/>
          <w:color w:val="auto"/>
          <w:vertAlign w:val="superscript"/>
          <w:lang w:eastAsia="zh-CN"/>
        </w:rPr>
        <w:t>2</w:t>
      </w:r>
      <w:r>
        <w:rPr>
          <w:rFonts w:ascii="Times New Roman" w:hAnsi="Times New Roman"/>
          <w:color w:val="auto"/>
        </w:rPr>
        <w:t>）、小型（≤5h</w:t>
      </w:r>
      <w:r>
        <w:rPr>
          <w:rFonts w:hint="eastAsia" w:ascii="Times New Roman" w:hAnsi="Times New Roman"/>
          <w:color w:val="auto"/>
          <w:lang w:eastAsia="zh-CN"/>
        </w:rPr>
        <w:t>m</w:t>
      </w:r>
      <w:r>
        <w:rPr>
          <w:rFonts w:hint="eastAsia" w:ascii="Times New Roman" w:hAnsi="Times New Roman"/>
          <w:color w:val="auto"/>
          <w:vertAlign w:val="superscript"/>
          <w:lang w:eastAsia="zh-CN"/>
        </w:rPr>
        <w:t>2</w:t>
      </w:r>
      <w:r>
        <w:rPr>
          <w:rFonts w:ascii="Times New Roman" w:hAnsi="Times New Roman"/>
          <w:color w:val="auto"/>
        </w:rPr>
        <w:t>），建设项目占地主要为永久占地。本项目占地面积</w:t>
      </w:r>
      <w:r>
        <w:rPr>
          <w:rFonts w:hint="eastAsia"/>
          <w:color w:val="auto"/>
          <w:highlight w:val="none"/>
          <w:lang w:val="en-US" w:eastAsia="zh-CN"/>
        </w:rPr>
        <w:t>约2h</w:t>
      </w:r>
      <w:r>
        <w:rPr>
          <w:rFonts w:hint="eastAsia" w:ascii="Times New Roman" w:hAnsi="Times New Roman"/>
          <w:color w:val="auto"/>
          <w:highlight w:val="none"/>
          <w:lang w:eastAsia="zh-CN"/>
        </w:rPr>
        <w:t>m</w:t>
      </w:r>
      <w:r>
        <w:rPr>
          <w:rFonts w:hint="eastAsia" w:ascii="Times New Roman" w:hAnsi="Times New Roman"/>
          <w:color w:val="auto"/>
          <w:highlight w:val="none"/>
          <w:vertAlign w:val="superscript"/>
          <w:lang w:eastAsia="zh-CN"/>
        </w:rPr>
        <w:t>2</w:t>
      </w:r>
      <w:r>
        <w:rPr>
          <w:rFonts w:ascii="Times New Roman" w:hAnsi="Times New Roman"/>
          <w:color w:val="auto"/>
          <w:highlight w:val="none"/>
        </w:rPr>
        <w:t>，</w:t>
      </w:r>
      <w:r>
        <w:rPr>
          <w:rFonts w:ascii="Times New Roman" w:hAnsi="Times New Roman"/>
          <w:color w:val="auto"/>
        </w:rPr>
        <w:t>属于</w:t>
      </w:r>
      <w:r>
        <w:rPr>
          <w:rFonts w:hint="eastAsia"/>
          <w:color w:val="auto"/>
          <w:lang w:val="en-US" w:eastAsia="zh-CN"/>
        </w:rPr>
        <w:t>小</w:t>
      </w:r>
      <w:r>
        <w:rPr>
          <w:rFonts w:ascii="Times New Roman" w:hAnsi="Times New Roman"/>
          <w:color w:val="auto"/>
        </w:rPr>
        <w:t>型。</w:t>
      </w:r>
    </w:p>
    <w:p w14:paraId="7F85C410">
      <w:pPr>
        <w:rPr>
          <w:rFonts w:ascii="Times New Roman" w:hAnsi="Times New Roman"/>
          <w:color w:val="auto"/>
        </w:rPr>
      </w:pPr>
      <w:r>
        <w:rPr>
          <w:rFonts w:hint="eastAsia" w:ascii="Times New Roman" w:hAnsi="Times New Roman"/>
          <w:color w:val="auto"/>
        </w:rPr>
        <w:t>3、敏感程度</w:t>
      </w:r>
    </w:p>
    <w:p w14:paraId="75BE0BEE">
      <w:pPr>
        <w:rPr>
          <w:rFonts w:ascii="Times New Roman" w:hAnsi="Times New Roman"/>
          <w:color w:val="auto"/>
        </w:rPr>
      </w:pPr>
      <w:r>
        <w:rPr>
          <w:rFonts w:hint="eastAsia" w:ascii="Times New Roman" w:hAnsi="Times New Roman"/>
          <w:color w:val="auto"/>
        </w:rPr>
        <w:t>根据导则，建设项目所在地周边的土壤环境敏感程度分为敏感、较敏感、不敏感。判别依据详见下表：</w:t>
      </w:r>
    </w:p>
    <w:p w14:paraId="0160F0CC">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8</w:t>
      </w:r>
      <w:r>
        <w:rPr>
          <w:color w:val="auto"/>
          <w:lang w:val="en-US" w:eastAsia="zh-CN"/>
        </w:rPr>
        <w:fldChar w:fldCharType="end"/>
      </w:r>
      <w:r>
        <w:rPr>
          <w:color w:val="auto"/>
          <w:lang w:val="en-US" w:eastAsia="zh-CN"/>
        </w:rPr>
        <w:t>污染影响型敏感程度分级表</w:t>
      </w:r>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5"/>
        <w:gridCol w:w="6915"/>
      </w:tblGrid>
      <w:tr w14:paraId="636F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42" w:type="pct"/>
            <w:vAlign w:val="center"/>
          </w:tcPr>
          <w:p w14:paraId="5AD5E2C9">
            <w:pPr>
              <w:pStyle w:val="36"/>
              <w:bidi w:val="0"/>
              <w:rPr>
                <w:color w:val="auto"/>
                <w:lang w:val="en-US" w:eastAsia="zh-CN"/>
              </w:rPr>
            </w:pPr>
            <w:r>
              <w:rPr>
                <w:color w:val="auto"/>
                <w:lang w:val="en-US" w:eastAsia="zh-CN"/>
              </w:rPr>
              <w:t>敏感程度</w:t>
            </w:r>
          </w:p>
        </w:tc>
        <w:tc>
          <w:tcPr>
            <w:tcW w:w="4057" w:type="pct"/>
            <w:vAlign w:val="center"/>
          </w:tcPr>
          <w:p w14:paraId="0513E485">
            <w:pPr>
              <w:pStyle w:val="36"/>
              <w:bidi w:val="0"/>
              <w:rPr>
                <w:color w:val="auto"/>
                <w:lang w:val="en-US" w:eastAsia="zh-CN"/>
              </w:rPr>
            </w:pPr>
            <w:r>
              <w:rPr>
                <w:color w:val="auto"/>
                <w:lang w:val="en-US" w:eastAsia="zh-CN"/>
              </w:rPr>
              <w:t>评价工作分级判据</w:t>
            </w:r>
          </w:p>
        </w:tc>
      </w:tr>
      <w:tr w14:paraId="1613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pct"/>
            <w:vAlign w:val="center"/>
          </w:tcPr>
          <w:p w14:paraId="5D2648D0">
            <w:pPr>
              <w:pStyle w:val="26"/>
              <w:bidi w:val="0"/>
              <w:rPr>
                <w:color w:val="auto"/>
                <w:lang w:val="en-US" w:eastAsia="zh-CN"/>
              </w:rPr>
            </w:pPr>
            <w:r>
              <w:rPr>
                <w:color w:val="auto"/>
                <w:lang w:val="en-US" w:eastAsia="zh-CN"/>
              </w:rPr>
              <w:t>敏感</w:t>
            </w:r>
          </w:p>
        </w:tc>
        <w:tc>
          <w:tcPr>
            <w:tcW w:w="4057" w:type="pct"/>
            <w:vAlign w:val="center"/>
          </w:tcPr>
          <w:p w14:paraId="353C54E3">
            <w:pPr>
              <w:pStyle w:val="26"/>
              <w:bidi w:val="0"/>
              <w:rPr>
                <w:color w:val="auto"/>
                <w:lang w:val="en-US" w:eastAsia="zh-CN"/>
              </w:rPr>
            </w:pPr>
            <w:r>
              <w:rPr>
                <w:color w:val="auto"/>
                <w:lang w:val="en-US" w:eastAsia="zh-CN"/>
              </w:rPr>
              <w:t>建设项目周边存在耕地、园地、牧草地、饮用水水源地或居民区、学校、医院、疗养院、养老院等土壤环境敏感目标的</w:t>
            </w:r>
          </w:p>
        </w:tc>
      </w:tr>
      <w:tr w14:paraId="5854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pct"/>
            <w:vAlign w:val="center"/>
          </w:tcPr>
          <w:p w14:paraId="0A355166">
            <w:pPr>
              <w:pStyle w:val="26"/>
              <w:bidi w:val="0"/>
              <w:rPr>
                <w:color w:val="auto"/>
                <w:lang w:val="en-US" w:eastAsia="zh-CN"/>
              </w:rPr>
            </w:pPr>
            <w:r>
              <w:rPr>
                <w:color w:val="auto"/>
                <w:lang w:val="en-US" w:eastAsia="zh-CN"/>
              </w:rPr>
              <w:t>较敏感</w:t>
            </w:r>
          </w:p>
        </w:tc>
        <w:tc>
          <w:tcPr>
            <w:tcW w:w="4057" w:type="pct"/>
            <w:vAlign w:val="center"/>
          </w:tcPr>
          <w:p w14:paraId="4895EEA0">
            <w:pPr>
              <w:pStyle w:val="26"/>
              <w:bidi w:val="0"/>
              <w:rPr>
                <w:color w:val="auto"/>
                <w:lang w:val="en-US" w:eastAsia="zh-CN"/>
              </w:rPr>
            </w:pPr>
            <w:r>
              <w:rPr>
                <w:color w:val="auto"/>
                <w:lang w:val="en-US" w:eastAsia="zh-CN"/>
              </w:rPr>
              <w:t>建设项目周边存在其他土壤环境敏感目标的</w:t>
            </w:r>
          </w:p>
        </w:tc>
      </w:tr>
      <w:tr w14:paraId="7AB2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pct"/>
            <w:vAlign w:val="center"/>
          </w:tcPr>
          <w:p w14:paraId="190D8DE6">
            <w:pPr>
              <w:pStyle w:val="26"/>
              <w:bidi w:val="0"/>
              <w:rPr>
                <w:color w:val="auto"/>
                <w:lang w:val="en-US" w:eastAsia="zh-CN"/>
              </w:rPr>
            </w:pPr>
            <w:r>
              <w:rPr>
                <w:color w:val="auto"/>
                <w:lang w:val="en-US" w:eastAsia="zh-CN"/>
              </w:rPr>
              <w:t>不敏感</w:t>
            </w:r>
          </w:p>
        </w:tc>
        <w:tc>
          <w:tcPr>
            <w:tcW w:w="4057" w:type="pct"/>
            <w:vAlign w:val="center"/>
          </w:tcPr>
          <w:p w14:paraId="0974715F">
            <w:pPr>
              <w:pStyle w:val="26"/>
              <w:bidi w:val="0"/>
              <w:rPr>
                <w:color w:val="auto"/>
                <w:lang w:val="en-US" w:eastAsia="zh-CN"/>
              </w:rPr>
            </w:pPr>
            <w:r>
              <w:rPr>
                <w:color w:val="auto"/>
                <w:lang w:val="en-US" w:eastAsia="zh-CN"/>
              </w:rPr>
              <w:t>其他情况</w:t>
            </w:r>
          </w:p>
        </w:tc>
      </w:tr>
    </w:tbl>
    <w:p w14:paraId="3FF23B4E">
      <w:pPr>
        <w:rPr>
          <w:rFonts w:ascii="Times New Roman" w:hAnsi="Times New Roman" w:cs="Times New Roman"/>
          <w:color w:val="auto"/>
        </w:rPr>
      </w:pPr>
      <w:r>
        <w:rPr>
          <w:rFonts w:hint="eastAsia" w:ascii="Times New Roman" w:hAnsi="Times New Roman"/>
          <w:color w:val="auto"/>
        </w:rPr>
        <w:t>本项目位于江苏省</w:t>
      </w:r>
      <w:r>
        <w:rPr>
          <w:rFonts w:hint="eastAsia"/>
          <w:color w:val="auto"/>
          <w:lang w:eastAsia="zh-CN"/>
        </w:rPr>
        <w:t>昆山市花桥镇逢善路358号</w:t>
      </w:r>
      <w:r>
        <w:rPr>
          <w:rFonts w:hint="eastAsia" w:ascii="Times New Roman" w:hAnsi="Times New Roman"/>
          <w:color w:val="auto"/>
        </w:rPr>
        <w:t>，所在地块属于工业用地，</w:t>
      </w:r>
      <w:r>
        <w:rPr>
          <w:rFonts w:hint="eastAsia" w:ascii="Times New Roman" w:hAnsi="Times New Roman"/>
          <w:color w:val="auto"/>
          <w:lang w:val="en-US" w:eastAsia="zh-CN"/>
        </w:rPr>
        <w:t>根据现场调查，本项目周边 217m 处为华讯宿舍，因此</w:t>
      </w:r>
      <w:r>
        <w:rPr>
          <w:rFonts w:hint="eastAsia" w:ascii="Times New Roman" w:hAnsi="Times New Roman"/>
          <w:color w:val="auto"/>
        </w:rPr>
        <w:t>确定本项目土壤环境敏感程度为“</w:t>
      </w:r>
      <w:r>
        <w:rPr>
          <w:rFonts w:hint="eastAsia" w:ascii="Times New Roman" w:hAnsi="Times New Roman"/>
          <w:color w:val="auto"/>
          <w:lang w:val="en-US" w:eastAsia="zh-CN"/>
        </w:rPr>
        <w:t>较</w:t>
      </w:r>
      <w:r>
        <w:rPr>
          <w:rFonts w:hint="eastAsia" w:ascii="Times New Roman" w:hAnsi="Times New Roman"/>
          <w:color w:val="auto"/>
        </w:rPr>
        <w:t>敏感”。</w:t>
      </w:r>
    </w:p>
    <w:p w14:paraId="61290D28">
      <w:pPr>
        <w:rPr>
          <w:rFonts w:ascii="Times New Roman" w:hAnsi="Times New Roman"/>
          <w:color w:val="auto"/>
        </w:rPr>
      </w:pPr>
      <w:r>
        <w:rPr>
          <w:rFonts w:hint="eastAsia" w:ascii="Times New Roman" w:hAnsi="Times New Roman"/>
          <w:color w:val="auto"/>
        </w:rPr>
        <w:t>对照土壤导则中评价工作等级划分，详见下表：</w:t>
      </w:r>
    </w:p>
    <w:p w14:paraId="0D322FA3">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9</w:t>
      </w:r>
      <w:r>
        <w:rPr>
          <w:color w:val="auto"/>
          <w:lang w:val="en-US" w:eastAsia="zh-CN"/>
        </w:rPr>
        <w:fldChar w:fldCharType="end"/>
      </w:r>
      <w:r>
        <w:rPr>
          <w:color w:val="auto"/>
          <w:lang w:val="en-US" w:eastAsia="zh-CN"/>
        </w:rPr>
        <w:t>污染影响型土壤环境评价工作等级划分表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729"/>
        <w:gridCol w:w="743"/>
        <w:gridCol w:w="748"/>
        <w:gridCol w:w="743"/>
        <w:gridCol w:w="745"/>
        <w:gridCol w:w="747"/>
        <w:gridCol w:w="745"/>
        <w:gridCol w:w="743"/>
        <w:gridCol w:w="747"/>
      </w:tblGrid>
      <w:tr w14:paraId="56D0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blHeader/>
          <w:jc w:val="center"/>
        </w:trPr>
        <w:tc>
          <w:tcPr>
            <w:tcW w:w="1073" w:type="pct"/>
            <w:vMerge w:val="restart"/>
            <w:vAlign w:val="center"/>
          </w:tcPr>
          <w:p w14:paraId="247C34F7">
            <w:pPr>
              <w:pStyle w:val="36"/>
              <w:bidi w:val="0"/>
              <w:rPr>
                <w:color w:val="auto"/>
                <w:lang w:val="en-US" w:eastAsia="zh-CN"/>
              </w:rPr>
            </w:pPr>
            <w:r>
              <w:rPr>
                <w:rFonts w:hint="eastAsia"/>
                <w:color w:val="auto"/>
                <w:lang w:val="en-US" w:eastAsia="zh-CN"/>
              </w:rPr>
              <w:t>敏感程度</w:t>
            </w:r>
          </w:p>
          <w:p w14:paraId="712A1BED">
            <w:pPr>
              <w:pStyle w:val="36"/>
              <w:bidi w:val="0"/>
              <w:rPr>
                <w:color w:val="auto"/>
                <w:lang w:val="en-US" w:eastAsia="zh-CN"/>
              </w:rPr>
            </w:pPr>
            <w:r>
              <w:rPr>
                <w:rFonts w:hint="eastAsia"/>
                <w:color w:val="auto"/>
                <w:lang w:val="en-US" w:eastAsia="zh-CN"/>
              </w:rPr>
              <w:t>评价工作等级</w:t>
            </w:r>
          </w:p>
          <w:p w14:paraId="5D49ADE8">
            <w:pPr>
              <w:pStyle w:val="36"/>
              <w:bidi w:val="0"/>
              <w:rPr>
                <w:color w:val="auto"/>
                <w:lang w:val="en-US" w:eastAsia="zh-CN"/>
              </w:rPr>
            </w:pPr>
            <w:r>
              <w:rPr>
                <w:rFonts w:hint="eastAsia"/>
                <w:color w:val="auto"/>
                <w:lang w:val="en-US" w:eastAsia="zh-CN"/>
              </w:rPr>
              <w:t>占地规模</w:t>
            </w:r>
          </w:p>
        </w:tc>
        <w:tc>
          <w:tcPr>
            <w:tcW w:w="1303" w:type="pct"/>
            <w:gridSpan w:val="3"/>
            <w:vAlign w:val="center"/>
          </w:tcPr>
          <w:p w14:paraId="2735FE9A">
            <w:pPr>
              <w:pStyle w:val="36"/>
              <w:bidi w:val="0"/>
              <w:rPr>
                <w:color w:val="auto"/>
                <w:lang w:val="en-US" w:eastAsia="zh-CN"/>
              </w:rPr>
            </w:pPr>
            <w:r>
              <w:rPr>
                <w:color w:val="auto"/>
                <w:lang w:val="en-US" w:eastAsia="zh-CN"/>
              </w:rPr>
              <w:t>I类项目</w:t>
            </w:r>
          </w:p>
        </w:tc>
        <w:tc>
          <w:tcPr>
            <w:tcW w:w="1311" w:type="pct"/>
            <w:gridSpan w:val="3"/>
            <w:vAlign w:val="center"/>
          </w:tcPr>
          <w:p w14:paraId="657A03E8">
            <w:pPr>
              <w:pStyle w:val="36"/>
              <w:bidi w:val="0"/>
              <w:rPr>
                <w:color w:val="auto"/>
                <w:lang w:val="en-US" w:eastAsia="zh-CN"/>
              </w:rPr>
            </w:pPr>
            <w:r>
              <w:rPr>
                <w:color w:val="auto"/>
                <w:lang w:val="en-US" w:eastAsia="zh-CN"/>
              </w:rPr>
              <w:t>II类项目</w:t>
            </w:r>
          </w:p>
        </w:tc>
        <w:tc>
          <w:tcPr>
            <w:tcW w:w="1311" w:type="pct"/>
            <w:gridSpan w:val="3"/>
            <w:vAlign w:val="center"/>
          </w:tcPr>
          <w:p w14:paraId="0FCE7C01">
            <w:pPr>
              <w:pStyle w:val="36"/>
              <w:bidi w:val="0"/>
              <w:rPr>
                <w:color w:val="auto"/>
                <w:lang w:val="en-US" w:eastAsia="zh-CN"/>
              </w:rPr>
            </w:pPr>
            <w:r>
              <w:rPr>
                <w:color w:val="auto"/>
                <w:lang w:val="en-US" w:eastAsia="zh-CN"/>
              </w:rPr>
              <w:t>III类项目</w:t>
            </w:r>
          </w:p>
        </w:tc>
      </w:tr>
      <w:tr w14:paraId="35CA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3" w:type="pct"/>
            <w:vMerge w:val="continue"/>
            <w:vAlign w:val="center"/>
          </w:tcPr>
          <w:p w14:paraId="10C5250F">
            <w:pPr>
              <w:pStyle w:val="36"/>
              <w:bidi w:val="0"/>
              <w:rPr>
                <w:color w:val="auto"/>
                <w:lang w:val="en-US" w:eastAsia="zh-CN"/>
              </w:rPr>
            </w:pPr>
          </w:p>
        </w:tc>
        <w:tc>
          <w:tcPr>
            <w:tcW w:w="428" w:type="pct"/>
            <w:vAlign w:val="center"/>
          </w:tcPr>
          <w:p w14:paraId="1E3BBDA8">
            <w:pPr>
              <w:pStyle w:val="36"/>
              <w:bidi w:val="0"/>
              <w:rPr>
                <w:color w:val="auto"/>
                <w:lang w:val="en-US" w:eastAsia="zh-CN"/>
              </w:rPr>
            </w:pPr>
            <w:r>
              <w:rPr>
                <w:color w:val="auto"/>
                <w:lang w:val="en-US" w:eastAsia="zh-CN"/>
              </w:rPr>
              <w:t>大</w:t>
            </w:r>
          </w:p>
        </w:tc>
        <w:tc>
          <w:tcPr>
            <w:tcW w:w="436" w:type="pct"/>
            <w:vAlign w:val="center"/>
          </w:tcPr>
          <w:p w14:paraId="6C2739B0">
            <w:pPr>
              <w:pStyle w:val="36"/>
              <w:bidi w:val="0"/>
              <w:rPr>
                <w:color w:val="auto"/>
                <w:lang w:val="en-US" w:eastAsia="zh-CN"/>
              </w:rPr>
            </w:pPr>
            <w:r>
              <w:rPr>
                <w:color w:val="auto"/>
                <w:lang w:val="en-US" w:eastAsia="zh-CN"/>
              </w:rPr>
              <w:t>中</w:t>
            </w:r>
          </w:p>
        </w:tc>
        <w:tc>
          <w:tcPr>
            <w:tcW w:w="438" w:type="pct"/>
            <w:vAlign w:val="center"/>
          </w:tcPr>
          <w:p w14:paraId="6D08E523">
            <w:pPr>
              <w:pStyle w:val="36"/>
              <w:bidi w:val="0"/>
              <w:rPr>
                <w:color w:val="auto"/>
                <w:lang w:val="en-US" w:eastAsia="zh-CN"/>
              </w:rPr>
            </w:pPr>
            <w:r>
              <w:rPr>
                <w:color w:val="auto"/>
                <w:lang w:val="en-US" w:eastAsia="zh-CN"/>
              </w:rPr>
              <w:t>小</w:t>
            </w:r>
          </w:p>
        </w:tc>
        <w:tc>
          <w:tcPr>
            <w:tcW w:w="436" w:type="pct"/>
            <w:vAlign w:val="center"/>
          </w:tcPr>
          <w:p w14:paraId="24D01CF9">
            <w:pPr>
              <w:pStyle w:val="36"/>
              <w:bidi w:val="0"/>
              <w:rPr>
                <w:color w:val="auto"/>
                <w:lang w:val="en-US" w:eastAsia="zh-CN"/>
              </w:rPr>
            </w:pPr>
            <w:r>
              <w:rPr>
                <w:color w:val="auto"/>
                <w:lang w:val="en-US" w:eastAsia="zh-CN"/>
              </w:rPr>
              <w:t>大</w:t>
            </w:r>
          </w:p>
        </w:tc>
        <w:tc>
          <w:tcPr>
            <w:tcW w:w="437" w:type="pct"/>
            <w:vAlign w:val="center"/>
          </w:tcPr>
          <w:p w14:paraId="6BA1727F">
            <w:pPr>
              <w:pStyle w:val="36"/>
              <w:bidi w:val="0"/>
              <w:rPr>
                <w:color w:val="auto"/>
                <w:lang w:val="en-US" w:eastAsia="zh-CN"/>
              </w:rPr>
            </w:pPr>
            <w:r>
              <w:rPr>
                <w:color w:val="auto"/>
                <w:lang w:val="en-US" w:eastAsia="zh-CN"/>
              </w:rPr>
              <w:t>中</w:t>
            </w:r>
          </w:p>
        </w:tc>
        <w:tc>
          <w:tcPr>
            <w:tcW w:w="437" w:type="pct"/>
            <w:vAlign w:val="center"/>
          </w:tcPr>
          <w:p w14:paraId="2F6466C8">
            <w:pPr>
              <w:pStyle w:val="36"/>
              <w:bidi w:val="0"/>
              <w:rPr>
                <w:color w:val="auto"/>
                <w:lang w:val="en-US" w:eastAsia="zh-CN"/>
              </w:rPr>
            </w:pPr>
            <w:r>
              <w:rPr>
                <w:color w:val="auto"/>
                <w:lang w:val="en-US" w:eastAsia="zh-CN"/>
              </w:rPr>
              <w:t>小</w:t>
            </w:r>
          </w:p>
        </w:tc>
        <w:tc>
          <w:tcPr>
            <w:tcW w:w="437" w:type="pct"/>
            <w:vAlign w:val="center"/>
          </w:tcPr>
          <w:p w14:paraId="42BEFFB0">
            <w:pPr>
              <w:pStyle w:val="36"/>
              <w:bidi w:val="0"/>
              <w:rPr>
                <w:color w:val="auto"/>
                <w:lang w:val="en-US" w:eastAsia="zh-CN"/>
              </w:rPr>
            </w:pPr>
            <w:r>
              <w:rPr>
                <w:color w:val="auto"/>
                <w:lang w:val="en-US" w:eastAsia="zh-CN"/>
              </w:rPr>
              <w:t>大</w:t>
            </w:r>
          </w:p>
        </w:tc>
        <w:tc>
          <w:tcPr>
            <w:tcW w:w="436" w:type="pct"/>
            <w:vAlign w:val="center"/>
          </w:tcPr>
          <w:p w14:paraId="6C0D15AD">
            <w:pPr>
              <w:pStyle w:val="36"/>
              <w:bidi w:val="0"/>
              <w:rPr>
                <w:color w:val="auto"/>
                <w:lang w:val="en-US" w:eastAsia="zh-CN"/>
              </w:rPr>
            </w:pPr>
            <w:r>
              <w:rPr>
                <w:color w:val="auto"/>
                <w:lang w:val="en-US" w:eastAsia="zh-CN"/>
              </w:rPr>
              <w:t>中</w:t>
            </w:r>
          </w:p>
        </w:tc>
        <w:tc>
          <w:tcPr>
            <w:tcW w:w="437" w:type="pct"/>
            <w:vAlign w:val="center"/>
          </w:tcPr>
          <w:p w14:paraId="4D261919">
            <w:pPr>
              <w:pStyle w:val="36"/>
              <w:bidi w:val="0"/>
              <w:rPr>
                <w:color w:val="auto"/>
                <w:lang w:val="en-US" w:eastAsia="zh-CN"/>
              </w:rPr>
            </w:pPr>
            <w:r>
              <w:rPr>
                <w:color w:val="auto"/>
                <w:lang w:val="en-US" w:eastAsia="zh-CN"/>
              </w:rPr>
              <w:t>小</w:t>
            </w:r>
          </w:p>
        </w:tc>
      </w:tr>
      <w:tr w14:paraId="215B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3" w:type="pct"/>
            <w:vAlign w:val="center"/>
          </w:tcPr>
          <w:p w14:paraId="68AAC409">
            <w:pPr>
              <w:pStyle w:val="26"/>
              <w:bidi w:val="0"/>
              <w:rPr>
                <w:color w:val="auto"/>
                <w:lang w:val="en-US" w:eastAsia="zh-CN"/>
              </w:rPr>
            </w:pPr>
            <w:r>
              <w:rPr>
                <w:color w:val="auto"/>
                <w:lang w:val="en-US" w:eastAsia="zh-CN"/>
              </w:rPr>
              <w:t>敏感</w:t>
            </w:r>
          </w:p>
        </w:tc>
        <w:tc>
          <w:tcPr>
            <w:tcW w:w="428" w:type="pct"/>
            <w:shd w:val="clear" w:color="auto" w:fill="FFFFFF" w:themeFill="background1"/>
            <w:vAlign w:val="center"/>
          </w:tcPr>
          <w:p w14:paraId="7CB72174">
            <w:pPr>
              <w:pStyle w:val="26"/>
              <w:bidi w:val="0"/>
              <w:rPr>
                <w:color w:val="auto"/>
                <w:lang w:val="en-US" w:eastAsia="zh-CN"/>
              </w:rPr>
            </w:pPr>
            <w:r>
              <w:rPr>
                <w:color w:val="auto"/>
                <w:lang w:val="en-US" w:eastAsia="zh-CN"/>
              </w:rPr>
              <w:t>一级</w:t>
            </w:r>
          </w:p>
        </w:tc>
        <w:tc>
          <w:tcPr>
            <w:tcW w:w="436" w:type="pct"/>
            <w:shd w:val="clear" w:color="auto" w:fill="FFFFFF" w:themeFill="background1"/>
            <w:vAlign w:val="center"/>
          </w:tcPr>
          <w:p w14:paraId="5953F40E">
            <w:pPr>
              <w:pStyle w:val="26"/>
              <w:bidi w:val="0"/>
              <w:rPr>
                <w:color w:val="auto"/>
                <w:lang w:val="en-US" w:eastAsia="zh-CN"/>
              </w:rPr>
            </w:pPr>
            <w:r>
              <w:rPr>
                <w:color w:val="auto"/>
                <w:lang w:val="en-US" w:eastAsia="zh-CN"/>
              </w:rPr>
              <w:t>一级</w:t>
            </w:r>
          </w:p>
        </w:tc>
        <w:tc>
          <w:tcPr>
            <w:tcW w:w="438" w:type="pct"/>
            <w:vAlign w:val="center"/>
          </w:tcPr>
          <w:p w14:paraId="5CE625BB">
            <w:pPr>
              <w:pStyle w:val="26"/>
              <w:bidi w:val="0"/>
              <w:rPr>
                <w:color w:val="auto"/>
                <w:lang w:val="en-US" w:eastAsia="zh-CN"/>
              </w:rPr>
            </w:pPr>
            <w:r>
              <w:rPr>
                <w:color w:val="auto"/>
                <w:lang w:val="en-US" w:eastAsia="zh-CN"/>
              </w:rPr>
              <w:t>一级</w:t>
            </w:r>
          </w:p>
        </w:tc>
        <w:tc>
          <w:tcPr>
            <w:tcW w:w="436" w:type="pct"/>
            <w:vAlign w:val="center"/>
          </w:tcPr>
          <w:p w14:paraId="72FC03FE">
            <w:pPr>
              <w:pStyle w:val="26"/>
              <w:bidi w:val="0"/>
              <w:rPr>
                <w:color w:val="auto"/>
                <w:lang w:val="en-US" w:eastAsia="zh-CN"/>
              </w:rPr>
            </w:pPr>
            <w:r>
              <w:rPr>
                <w:color w:val="auto"/>
                <w:lang w:val="en-US" w:eastAsia="zh-CN"/>
              </w:rPr>
              <w:t>二级</w:t>
            </w:r>
          </w:p>
        </w:tc>
        <w:tc>
          <w:tcPr>
            <w:tcW w:w="437" w:type="pct"/>
            <w:vAlign w:val="center"/>
          </w:tcPr>
          <w:p w14:paraId="39268E01">
            <w:pPr>
              <w:pStyle w:val="26"/>
              <w:bidi w:val="0"/>
              <w:rPr>
                <w:color w:val="auto"/>
                <w:lang w:val="en-US" w:eastAsia="zh-CN"/>
              </w:rPr>
            </w:pPr>
            <w:r>
              <w:rPr>
                <w:color w:val="auto"/>
                <w:lang w:val="en-US" w:eastAsia="zh-CN"/>
              </w:rPr>
              <w:t>二级</w:t>
            </w:r>
          </w:p>
        </w:tc>
        <w:tc>
          <w:tcPr>
            <w:tcW w:w="437" w:type="pct"/>
            <w:vAlign w:val="center"/>
          </w:tcPr>
          <w:p w14:paraId="738DB294">
            <w:pPr>
              <w:pStyle w:val="26"/>
              <w:bidi w:val="0"/>
              <w:rPr>
                <w:color w:val="auto"/>
                <w:lang w:val="en-US" w:eastAsia="zh-CN"/>
              </w:rPr>
            </w:pPr>
            <w:r>
              <w:rPr>
                <w:color w:val="auto"/>
                <w:lang w:val="en-US" w:eastAsia="zh-CN"/>
              </w:rPr>
              <w:t>二级</w:t>
            </w:r>
          </w:p>
        </w:tc>
        <w:tc>
          <w:tcPr>
            <w:tcW w:w="437" w:type="pct"/>
            <w:vAlign w:val="center"/>
          </w:tcPr>
          <w:p w14:paraId="2A94B075">
            <w:pPr>
              <w:pStyle w:val="26"/>
              <w:bidi w:val="0"/>
              <w:rPr>
                <w:color w:val="auto"/>
                <w:lang w:val="en-US" w:eastAsia="zh-CN"/>
              </w:rPr>
            </w:pPr>
            <w:r>
              <w:rPr>
                <w:color w:val="auto"/>
                <w:lang w:val="en-US" w:eastAsia="zh-CN"/>
              </w:rPr>
              <w:t>三级</w:t>
            </w:r>
          </w:p>
        </w:tc>
        <w:tc>
          <w:tcPr>
            <w:tcW w:w="436" w:type="pct"/>
            <w:vAlign w:val="center"/>
          </w:tcPr>
          <w:p w14:paraId="2190613C">
            <w:pPr>
              <w:pStyle w:val="26"/>
              <w:bidi w:val="0"/>
              <w:rPr>
                <w:color w:val="auto"/>
                <w:lang w:val="en-US" w:eastAsia="zh-CN"/>
              </w:rPr>
            </w:pPr>
            <w:r>
              <w:rPr>
                <w:color w:val="auto"/>
                <w:lang w:val="en-US" w:eastAsia="zh-CN"/>
              </w:rPr>
              <w:t>三级</w:t>
            </w:r>
          </w:p>
        </w:tc>
        <w:tc>
          <w:tcPr>
            <w:tcW w:w="437" w:type="pct"/>
            <w:vAlign w:val="center"/>
          </w:tcPr>
          <w:p w14:paraId="73753A29">
            <w:pPr>
              <w:pStyle w:val="26"/>
              <w:bidi w:val="0"/>
              <w:rPr>
                <w:color w:val="auto"/>
                <w:lang w:val="en-US" w:eastAsia="zh-CN"/>
              </w:rPr>
            </w:pPr>
            <w:r>
              <w:rPr>
                <w:color w:val="auto"/>
                <w:lang w:val="en-US" w:eastAsia="zh-CN"/>
              </w:rPr>
              <w:t>三级</w:t>
            </w:r>
          </w:p>
        </w:tc>
      </w:tr>
      <w:tr w14:paraId="1E30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3" w:type="pct"/>
            <w:vAlign w:val="center"/>
          </w:tcPr>
          <w:p w14:paraId="613CB341">
            <w:pPr>
              <w:pStyle w:val="26"/>
              <w:bidi w:val="0"/>
              <w:rPr>
                <w:color w:val="auto"/>
                <w:lang w:val="en-US" w:eastAsia="zh-CN"/>
              </w:rPr>
            </w:pPr>
            <w:r>
              <w:rPr>
                <w:color w:val="auto"/>
                <w:lang w:val="en-US" w:eastAsia="zh-CN"/>
              </w:rPr>
              <w:t>较敏感</w:t>
            </w:r>
          </w:p>
        </w:tc>
        <w:tc>
          <w:tcPr>
            <w:tcW w:w="428" w:type="pct"/>
            <w:vAlign w:val="center"/>
          </w:tcPr>
          <w:p w14:paraId="09F9B7F1">
            <w:pPr>
              <w:pStyle w:val="26"/>
              <w:bidi w:val="0"/>
              <w:rPr>
                <w:color w:val="auto"/>
                <w:lang w:val="en-US" w:eastAsia="zh-CN"/>
              </w:rPr>
            </w:pPr>
            <w:r>
              <w:rPr>
                <w:color w:val="auto"/>
                <w:lang w:val="en-US" w:eastAsia="zh-CN"/>
              </w:rPr>
              <w:t>一级</w:t>
            </w:r>
          </w:p>
        </w:tc>
        <w:tc>
          <w:tcPr>
            <w:tcW w:w="436" w:type="pct"/>
            <w:vAlign w:val="center"/>
          </w:tcPr>
          <w:p w14:paraId="34F1C344">
            <w:pPr>
              <w:pStyle w:val="26"/>
              <w:bidi w:val="0"/>
              <w:rPr>
                <w:color w:val="auto"/>
                <w:lang w:val="en-US" w:eastAsia="zh-CN"/>
              </w:rPr>
            </w:pPr>
            <w:r>
              <w:rPr>
                <w:color w:val="auto"/>
                <w:lang w:val="en-US" w:eastAsia="zh-CN"/>
              </w:rPr>
              <w:t>一级</w:t>
            </w:r>
          </w:p>
        </w:tc>
        <w:tc>
          <w:tcPr>
            <w:tcW w:w="438" w:type="pct"/>
            <w:shd w:val="clear" w:color="auto" w:fill="E7E6E6" w:themeFill="background2"/>
            <w:vAlign w:val="center"/>
          </w:tcPr>
          <w:p w14:paraId="132AF8E7">
            <w:pPr>
              <w:pStyle w:val="26"/>
              <w:bidi w:val="0"/>
              <w:rPr>
                <w:color w:val="auto"/>
                <w:lang w:val="en-US" w:eastAsia="zh-CN"/>
              </w:rPr>
            </w:pPr>
            <w:r>
              <w:rPr>
                <w:color w:val="auto"/>
                <w:lang w:val="en-US" w:eastAsia="zh-CN"/>
              </w:rPr>
              <w:t>二级</w:t>
            </w:r>
          </w:p>
        </w:tc>
        <w:tc>
          <w:tcPr>
            <w:tcW w:w="436" w:type="pct"/>
            <w:vAlign w:val="center"/>
          </w:tcPr>
          <w:p w14:paraId="3B8AD5A1">
            <w:pPr>
              <w:pStyle w:val="26"/>
              <w:bidi w:val="0"/>
              <w:rPr>
                <w:color w:val="auto"/>
                <w:lang w:val="en-US" w:eastAsia="zh-CN"/>
              </w:rPr>
            </w:pPr>
            <w:r>
              <w:rPr>
                <w:color w:val="auto"/>
                <w:lang w:val="en-US" w:eastAsia="zh-CN"/>
              </w:rPr>
              <w:t>二级</w:t>
            </w:r>
          </w:p>
        </w:tc>
        <w:tc>
          <w:tcPr>
            <w:tcW w:w="437" w:type="pct"/>
            <w:vAlign w:val="center"/>
          </w:tcPr>
          <w:p w14:paraId="29789E01">
            <w:pPr>
              <w:pStyle w:val="26"/>
              <w:bidi w:val="0"/>
              <w:rPr>
                <w:color w:val="auto"/>
                <w:lang w:val="en-US" w:eastAsia="zh-CN"/>
              </w:rPr>
            </w:pPr>
            <w:r>
              <w:rPr>
                <w:color w:val="auto"/>
                <w:lang w:val="en-US" w:eastAsia="zh-CN"/>
              </w:rPr>
              <w:t>二级</w:t>
            </w:r>
          </w:p>
        </w:tc>
        <w:tc>
          <w:tcPr>
            <w:tcW w:w="437" w:type="pct"/>
            <w:vAlign w:val="center"/>
          </w:tcPr>
          <w:p w14:paraId="2D17F84A">
            <w:pPr>
              <w:pStyle w:val="26"/>
              <w:bidi w:val="0"/>
              <w:rPr>
                <w:color w:val="auto"/>
                <w:lang w:val="en-US" w:eastAsia="zh-CN"/>
              </w:rPr>
            </w:pPr>
            <w:r>
              <w:rPr>
                <w:color w:val="auto"/>
                <w:lang w:val="en-US" w:eastAsia="zh-CN"/>
              </w:rPr>
              <w:t>三级</w:t>
            </w:r>
          </w:p>
        </w:tc>
        <w:tc>
          <w:tcPr>
            <w:tcW w:w="437" w:type="pct"/>
            <w:vAlign w:val="center"/>
          </w:tcPr>
          <w:p w14:paraId="43D830F5">
            <w:pPr>
              <w:pStyle w:val="26"/>
              <w:bidi w:val="0"/>
              <w:rPr>
                <w:color w:val="auto"/>
                <w:lang w:val="en-US" w:eastAsia="zh-CN"/>
              </w:rPr>
            </w:pPr>
            <w:r>
              <w:rPr>
                <w:color w:val="auto"/>
                <w:lang w:val="en-US" w:eastAsia="zh-CN"/>
              </w:rPr>
              <w:t>三级</w:t>
            </w:r>
          </w:p>
        </w:tc>
        <w:tc>
          <w:tcPr>
            <w:tcW w:w="436" w:type="pct"/>
            <w:vAlign w:val="center"/>
          </w:tcPr>
          <w:p w14:paraId="53D515F2">
            <w:pPr>
              <w:pStyle w:val="26"/>
              <w:bidi w:val="0"/>
              <w:rPr>
                <w:color w:val="auto"/>
                <w:lang w:val="en-US" w:eastAsia="zh-CN"/>
              </w:rPr>
            </w:pPr>
            <w:r>
              <w:rPr>
                <w:color w:val="auto"/>
                <w:lang w:val="en-US" w:eastAsia="zh-CN"/>
              </w:rPr>
              <w:t>三级</w:t>
            </w:r>
          </w:p>
        </w:tc>
        <w:tc>
          <w:tcPr>
            <w:tcW w:w="437" w:type="pct"/>
            <w:vAlign w:val="center"/>
          </w:tcPr>
          <w:p w14:paraId="658E8453">
            <w:pPr>
              <w:pStyle w:val="26"/>
              <w:bidi w:val="0"/>
              <w:rPr>
                <w:color w:val="auto"/>
                <w:lang w:val="en-US" w:eastAsia="zh-CN"/>
              </w:rPr>
            </w:pPr>
            <w:r>
              <w:rPr>
                <w:color w:val="auto"/>
                <w:lang w:val="en-US" w:eastAsia="zh-CN"/>
              </w:rPr>
              <w:t>-</w:t>
            </w:r>
          </w:p>
        </w:tc>
      </w:tr>
      <w:tr w14:paraId="70FF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3" w:type="pct"/>
            <w:vAlign w:val="center"/>
          </w:tcPr>
          <w:p w14:paraId="590FB980">
            <w:pPr>
              <w:pStyle w:val="26"/>
              <w:bidi w:val="0"/>
              <w:rPr>
                <w:color w:val="auto"/>
                <w:lang w:val="en-US" w:eastAsia="zh-CN"/>
              </w:rPr>
            </w:pPr>
            <w:r>
              <w:rPr>
                <w:color w:val="auto"/>
                <w:lang w:val="en-US" w:eastAsia="zh-CN"/>
              </w:rPr>
              <w:t>不敏感</w:t>
            </w:r>
          </w:p>
        </w:tc>
        <w:tc>
          <w:tcPr>
            <w:tcW w:w="428" w:type="pct"/>
            <w:vAlign w:val="center"/>
          </w:tcPr>
          <w:p w14:paraId="7F40DBD1">
            <w:pPr>
              <w:pStyle w:val="26"/>
              <w:bidi w:val="0"/>
              <w:rPr>
                <w:color w:val="auto"/>
                <w:lang w:val="en-US" w:eastAsia="zh-CN"/>
              </w:rPr>
            </w:pPr>
            <w:r>
              <w:rPr>
                <w:color w:val="auto"/>
                <w:lang w:val="en-US" w:eastAsia="zh-CN"/>
              </w:rPr>
              <w:t>一级</w:t>
            </w:r>
          </w:p>
        </w:tc>
        <w:tc>
          <w:tcPr>
            <w:tcW w:w="436" w:type="pct"/>
            <w:shd w:val="clear" w:color="auto" w:fill="auto"/>
            <w:vAlign w:val="center"/>
          </w:tcPr>
          <w:p w14:paraId="2B30600B">
            <w:pPr>
              <w:pStyle w:val="26"/>
              <w:bidi w:val="0"/>
              <w:rPr>
                <w:color w:val="auto"/>
                <w:lang w:val="en-US" w:eastAsia="zh-CN"/>
              </w:rPr>
            </w:pPr>
            <w:r>
              <w:rPr>
                <w:color w:val="auto"/>
                <w:lang w:val="en-US" w:eastAsia="zh-CN"/>
              </w:rPr>
              <w:t>二级</w:t>
            </w:r>
          </w:p>
        </w:tc>
        <w:tc>
          <w:tcPr>
            <w:tcW w:w="438" w:type="pct"/>
            <w:shd w:val="clear" w:color="auto" w:fill="auto"/>
            <w:vAlign w:val="center"/>
          </w:tcPr>
          <w:p w14:paraId="79776B3C">
            <w:pPr>
              <w:pStyle w:val="26"/>
              <w:bidi w:val="0"/>
              <w:rPr>
                <w:color w:val="auto"/>
                <w:lang w:val="en-US" w:eastAsia="zh-CN"/>
              </w:rPr>
            </w:pPr>
            <w:r>
              <w:rPr>
                <w:color w:val="auto"/>
                <w:lang w:val="en-US" w:eastAsia="zh-CN"/>
              </w:rPr>
              <w:t>二级</w:t>
            </w:r>
          </w:p>
        </w:tc>
        <w:tc>
          <w:tcPr>
            <w:tcW w:w="436" w:type="pct"/>
            <w:vAlign w:val="center"/>
          </w:tcPr>
          <w:p w14:paraId="2AF4DCD5">
            <w:pPr>
              <w:pStyle w:val="26"/>
              <w:bidi w:val="0"/>
              <w:rPr>
                <w:color w:val="auto"/>
                <w:lang w:val="en-US" w:eastAsia="zh-CN"/>
              </w:rPr>
            </w:pPr>
            <w:r>
              <w:rPr>
                <w:color w:val="auto"/>
                <w:lang w:val="en-US" w:eastAsia="zh-CN"/>
              </w:rPr>
              <w:t>二级</w:t>
            </w:r>
          </w:p>
        </w:tc>
        <w:tc>
          <w:tcPr>
            <w:tcW w:w="437" w:type="pct"/>
            <w:vAlign w:val="center"/>
          </w:tcPr>
          <w:p w14:paraId="60E80307">
            <w:pPr>
              <w:pStyle w:val="26"/>
              <w:bidi w:val="0"/>
              <w:rPr>
                <w:color w:val="auto"/>
                <w:lang w:val="en-US" w:eastAsia="zh-CN"/>
              </w:rPr>
            </w:pPr>
            <w:r>
              <w:rPr>
                <w:color w:val="auto"/>
                <w:lang w:val="en-US" w:eastAsia="zh-CN"/>
              </w:rPr>
              <w:t>三级</w:t>
            </w:r>
          </w:p>
        </w:tc>
        <w:tc>
          <w:tcPr>
            <w:tcW w:w="437" w:type="pct"/>
            <w:vAlign w:val="center"/>
          </w:tcPr>
          <w:p w14:paraId="782F713E">
            <w:pPr>
              <w:pStyle w:val="26"/>
              <w:bidi w:val="0"/>
              <w:rPr>
                <w:color w:val="auto"/>
                <w:lang w:val="en-US" w:eastAsia="zh-CN"/>
              </w:rPr>
            </w:pPr>
            <w:r>
              <w:rPr>
                <w:color w:val="auto"/>
                <w:lang w:val="en-US" w:eastAsia="zh-CN"/>
              </w:rPr>
              <w:t>三级</w:t>
            </w:r>
          </w:p>
        </w:tc>
        <w:tc>
          <w:tcPr>
            <w:tcW w:w="437" w:type="pct"/>
            <w:vAlign w:val="center"/>
          </w:tcPr>
          <w:p w14:paraId="5D6EDCAB">
            <w:pPr>
              <w:pStyle w:val="26"/>
              <w:bidi w:val="0"/>
              <w:rPr>
                <w:color w:val="auto"/>
                <w:lang w:val="en-US" w:eastAsia="zh-CN"/>
              </w:rPr>
            </w:pPr>
            <w:r>
              <w:rPr>
                <w:color w:val="auto"/>
                <w:lang w:val="en-US" w:eastAsia="zh-CN"/>
              </w:rPr>
              <w:t>三级</w:t>
            </w:r>
          </w:p>
        </w:tc>
        <w:tc>
          <w:tcPr>
            <w:tcW w:w="436" w:type="pct"/>
            <w:vAlign w:val="center"/>
          </w:tcPr>
          <w:p w14:paraId="7DCE1FD8">
            <w:pPr>
              <w:pStyle w:val="26"/>
              <w:bidi w:val="0"/>
              <w:rPr>
                <w:color w:val="auto"/>
                <w:lang w:val="en-US" w:eastAsia="zh-CN"/>
              </w:rPr>
            </w:pPr>
            <w:r>
              <w:rPr>
                <w:color w:val="auto"/>
                <w:lang w:val="en-US" w:eastAsia="zh-CN"/>
              </w:rPr>
              <w:t>-</w:t>
            </w:r>
          </w:p>
        </w:tc>
        <w:tc>
          <w:tcPr>
            <w:tcW w:w="437" w:type="pct"/>
            <w:vAlign w:val="center"/>
          </w:tcPr>
          <w:p w14:paraId="3A8D9B1F">
            <w:pPr>
              <w:pStyle w:val="26"/>
              <w:bidi w:val="0"/>
              <w:rPr>
                <w:color w:val="auto"/>
                <w:lang w:val="en-US" w:eastAsia="zh-CN"/>
              </w:rPr>
            </w:pPr>
            <w:r>
              <w:rPr>
                <w:color w:val="auto"/>
                <w:lang w:val="en-US" w:eastAsia="zh-CN"/>
              </w:rPr>
              <w:t>-</w:t>
            </w:r>
          </w:p>
        </w:tc>
      </w:tr>
    </w:tbl>
    <w:p w14:paraId="07A9CA94">
      <w:pPr>
        <w:pStyle w:val="28"/>
        <w:bidi w:val="0"/>
        <w:rPr>
          <w:color w:val="auto"/>
          <w:lang w:val="en-US" w:eastAsia="zh-CN"/>
        </w:rPr>
      </w:pPr>
      <w:r>
        <w:rPr>
          <w:rFonts w:hint="eastAsia"/>
          <w:color w:val="auto"/>
          <w:lang w:val="en-US" w:eastAsia="zh-CN"/>
        </w:rPr>
        <w:t>注：“-”表示可不开展土壤环境影响评价工作</w:t>
      </w:r>
    </w:p>
    <w:p w14:paraId="0CE602AB">
      <w:pPr>
        <w:rPr>
          <w:rFonts w:ascii="Times New Roman" w:hAnsi="Times New Roman"/>
          <w:color w:val="auto"/>
        </w:rPr>
      </w:pPr>
      <w:r>
        <w:rPr>
          <w:rFonts w:hint="eastAsia" w:ascii="Times New Roman" w:hAnsi="Times New Roman"/>
          <w:color w:val="auto"/>
        </w:rPr>
        <w:t>综上，确定本项目土壤环境影响评价工作等级为</w:t>
      </w:r>
      <w:r>
        <w:rPr>
          <w:rFonts w:hint="eastAsia"/>
          <w:color w:val="auto"/>
          <w:lang w:val="en-US" w:eastAsia="zh-CN"/>
        </w:rPr>
        <w:t>二</w:t>
      </w:r>
      <w:r>
        <w:rPr>
          <w:rFonts w:hint="eastAsia" w:ascii="Times New Roman" w:hAnsi="Times New Roman"/>
          <w:color w:val="auto"/>
        </w:rPr>
        <w:t>级。</w:t>
      </w:r>
    </w:p>
    <w:p w14:paraId="53AB6531">
      <w:pPr>
        <w:pStyle w:val="5"/>
        <w:bidi w:val="0"/>
        <w:rPr>
          <w:color w:val="auto"/>
          <w:lang w:val="en-US" w:eastAsia="zh-CN"/>
        </w:rPr>
      </w:pPr>
      <w:r>
        <w:rPr>
          <w:rFonts w:hint="eastAsia"/>
          <w:color w:val="auto"/>
          <w:lang w:val="en-US" w:eastAsia="zh-CN"/>
        </w:rPr>
        <w:t>环境风险评价工作等级</w:t>
      </w:r>
    </w:p>
    <w:p w14:paraId="579CF3DB">
      <w:pPr>
        <w:rPr>
          <w:rFonts w:ascii="Times New Roman" w:hAnsi="Times New Roman"/>
          <w:color w:val="auto"/>
        </w:rPr>
      </w:pPr>
      <w:r>
        <w:rPr>
          <w:rFonts w:hint="eastAsia" w:ascii="Times New Roman" w:hAnsi="Times New Roman"/>
          <w:color w:val="auto"/>
        </w:rPr>
        <w:t>根据《建设项目环境风险评价技术导则》（HJ169-2018），本项目风险评价等级判断情况如下：</w:t>
      </w:r>
    </w:p>
    <w:p w14:paraId="7C851C5B">
      <w:pPr>
        <w:pStyle w:val="46"/>
        <w:bidi w:val="0"/>
        <w:rPr>
          <w:rFonts w:hint="eastAsia"/>
          <w:color w:val="auto"/>
          <w:lang w:val="en-US" w:eastAsia="zh-CN"/>
        </w:rPr>
      </w:pPr>
      <w:r>
        <w:rPr>
          <w:rFonts w:hint="eastAsia"/>
          <w:color w:val="auto"/>
          <w:lang w:val="en-US" w:eastAsia="zh-CN"/>
        </w:rPr>
        <w:t>（1）危险物质及工艺系统危险性（P）的分级确定</w:t>
      </w:r>
    </w:p>
    <w:p w14:paraId="402D2702">
      <w:pPr>
        <w:pStyle w:val="46"/>
        <w:bidi w:val="0"/>
        <w:rPr>
          <w:rFonts w:hint="eastAsia"/>
          <w:color w:val="auto"/>
          <w:lang w:val="en-US" w:eastAsia="zh-CN"/>
        </w:rPr>
      </w:pPr>
      <w:r>
        <w:rPr>
          <w:rFonts w:hint="eastAsia"/>
          <w:color w:val="auto"/>
          <w:lang w:val="en-US" w:eastAsia="zh-CN"/>
        </w:rPr>
        <w:t>①危险物质数量与临界量比值（Q）</w:t>
      </w:r>
    </w:p>
    <w:p w14:paraId="56325BE7">
      <w:pPr>
        <w:rPr>
          <w:rFonts w:ascii="Times New Roman" w:hAnsi="Times New Roman"/>
          <w:color w:val="auto"/>
        </w:rPr>
      </w:pPr>
      <w:r>
        <w:rPr>
          <w:rFonts w:hint="eastAsia" w:ascii="Times New Roman" w:hAnsi="Times New Roman"/>
          <w:color w:val="auto"/>
        </w:rPr>
        <w:t>计算所涉及的每种危险物质在厂界内的最大存在总量与其在附录B中对应临界量的比值Q。在不同厂区的同一种物质，按其在厂界内的最大存在总量计算。对于长输管线项目，按照两个截断阀室之间管段危险物质最大存在总计算。</w:t>
      </w:r>
    </w:p>
    <w:p w14:paraId="24E6D2CB">
      <w:pPr>
        <w:rPr>
          <w:rFonts w:ascii="Times New Roman" w:hAnsi="Times New Roman"/>
          <w:color w:val="auto"/>
        </w:rPr>
      </w:pPr>
      <w:r>
        <w:rPr>
          <w:rFonts w:hint="eastAsia" w:ascii="Times New Roman" w:hAnsi="Times New Roman"/>
          <w:color w:val="auto"/>
        </w:rPr>
        <w:t>当只涉及一种危险物质时，计算该物质的总量与其临界量比值，即为Q；</w:t>
      </w:r>
    </w:p>
    <w:p w14:paraId="55C6D3FF">
      <w:pPr>
        <w:rPr>
          <w:rFonts w:ascii="Times New Roman" w:hAnsi="Times New Roman"/>
          <w:color w:val="auto"/>
        </w:rPr>
      </w:pPr>
      <w:r>
        <w:rPr>
          <w:rFonts w:hint="eastAsia" w:ascii="Times New Roman" w:hAnsi="Times New Roman"/>
          <w:color w:val="auto"/>
        </w:rPr>
        <w:t>当存在多种危险物质时，则按式（C.1）计算物质总量与其临界量比值（Q）：</w:t>
      </w:r>
    </w:p>
    <w:p w14:paraId="69528633">
      <w:pPr>
        <w:pStyle w:val="26"/>
        <w:bidi w:val="0"/>
        <w:rPr>
          <w:lang w:val="en-US" w:eastAsia="zh-CN"/>
        </w:rPr>
      </w:pPr>
      <w:r>
        <w:rPr>
          <w:lang w:val="en-US" w:eastAsia="zh-CN"/>
        </w:rPr>
        <w:drawing>
          <wp:inline distT="0" distB="0" distL="0" distR="0">
            <wp:extent cx="1668780" cy="434340"/>
            <wp:effectExtent l="0" t="0" r="7620" b="3810"/>
            <wp:docPr id="12681813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81330" name="图片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668780" cy="434340"/>
                    </a:xfrm>
                    <a:prstGeom prst="rect">
                      <a:avLst/>
                    </a:prstGeom>
                    <a:noFill/>
                  </pic:spPr>
                </pic:pic>
              </a:graphicData>
            </a:graphic>
          </wp:inline>
        </w:drawing>
      </w:r>
    </w:p>
    <w:p w14:paraId="4D5048FA">
      <w:pPr>
        <w:rPr>
          <w:rFonts w:ascii="Times New Roman" w:hAnsi="Times New Roman"/>
          <w:color w:val="auto"/>
        </w:rPr>
      </w:pPr>
      <w:r>
        <w:rPr>
          <w:rFonts w:hint="eastAsia" w:ascii="Times New Roman" w:hAnsi="Times New Roman"/>
          <w:color w:val="auto"/>
        </w:rPr>
        <w:t>式中，</w:t>
      </w:r>
      <w:r>
        <w:rPr>
          <w:rFonts w:ascii="Times New Roman" w:hAnsi="Times New Roman"/>
          <w:b/>
          <w:i/>
          <w:color w:val="auto"/>
        </w:rPr>
        <w:t>q</w:t>
      </w:r>
      <w:r>
        <w:rPr>
          <w:rFonts w:ascii="Times New Roman" w:hAnsi="Times New Roman"/>
          <w:b/>
          <w:i/>
          <w:color w:val="auto"/>
          <w:vertAlign w:val="subscript"/>
        </w:rPr>
        <w:t>1</w:t>
      </w:r>
      <w:r>
        <w:rPr>
          <w:rFonts w:hint="eastAsia" w:ascii="Times New Roman" w:hAnsi="Times New Roman"/>
          <w:b/>
          <w:i/>
          <w:color w:val="auto"/>
        </w:rPr>
        <w:t>，</w:t>
      </w:r>
      <w:r>
        <w:rPr>
          <w:rFonts w:ascii="Times New Roman" w:hAnsi="Times New Roman"/>
          <w:b/>
          <w:i/>
          <w:color w:val="auto"/>
        </w:rPr>
        <w:t>q</w:t>
      </w:r>
      <w:r>
        <w:rPr>
          <w:rFonts w:ascii="Times New Roman" w:hAnsi="Times New Roman"/>
          <w:b/>
          <w:i/>
          <w:color w:val="auto"/>
          <w:vertAlign w:val="subscript"/>
        </w:rPr>
        <w:t>2</w:t>
      </w:r>
      <w:r>
        <w:rPr>
          <w:rFonts w:ascii="Times New Roman" w:hAnsi="Times New Roman"/>
          <w:b/>
          <w:i/>
          <w:color w:val="auto"/>
        </w:rPr>
        <w:t>…</w:t>
      </w:r>
      <w:r>
        <w:rPr>
          <w:rFonts w:hint="eastAsia" w:ascii="Times New Roman" w:hAnsi="Times New Roman"/>
          <w:b/>
          <w:i/>
          <w:color w:val="auto"/>
        </w:rPr>
        <w:t>，</w:t>
      </w:r>
      <w:r>
        <w:rPr>
          <w:rFonts w:ascii="Times New Roman" w:hAnsi="Times New Roman"/>
          <w:b/>
          <w:i/>
          <w:color w:val="auto"/>
        </w:rPr>
        <w:t>q</w:t>
      </w:r>
      <w:r>
        <w:rPr>
          <w:rFonts w:ascii="Times New Roman" w:hAnsi="Times New Roman"/>
          <w:b/>
          <w:i/>
          <w:color w:val="auto"/>
          <w:vertAlign w:val="subscript"/>
        </w:rPr>
        <w:t>n</w:t>
      </w:r>
      <w:r>
        <w:rPr>
          <w:rFonts w:hint="eastAsia" w:ascii="Times New Roman" w:hAnsi="Times New Roman"/>
          <w:color w:val="auto"/>
        </w:rPr>
        <w:t>—每种危险物质的最大存在总量，t。</w:t>
      </w:r>
    </w:p>
    <w:p w14:paraId="47BA269E">
      <w:pPr>
        <w:rPr>
          <w:rFonts w:ascii="Times New Roman" w:hAnsi="Times New Roman"/>
          <w:color w:val="auto"/>
        </w:rPr>
      </w:pPr>
      <w:r>
        <w:rPr>
          <w:rFonts w:hint="eastAsia" w:ascii="Times New Roman" w:hAnsi="Times New Roman"/>
          <w:color w:val="auto"/>
        </w:rPr>
        <w:tab/>
      </w:r>
      <w:r>
        <w:rPr>
          <w:rFonts w:hint="eastAsia" w:ascii="Times New Roman" w:hAnsi="Times New Roman"/>
          <w:color w:val="auto"/>
        </w:rPr>
        <w:tab/>
      </w:r>
      <w:r>
        <w:rPr>
          <w:rFonts w:ascii="Times New Roman" w:hAnsi="Times New Roman"/>
          <w:b/>
          <w:i/>
          <w:color w:val="auto"/>
        </w:rPr>
        <w:t>Q</w:t>
      </w:r>
      <w:r>
        <w:rPr>
          <w:rFonts w:ascii="Times New Roman" w:hAnsi="Times New Roman"/>
          <w:b/>
          <w:i/>
          <w:color w:val="auto"/>
          <w:vertAlign w:val="subscript"/>
        </w:rPr>
        <w:t>1</w:t>
      </w:r>
      <w:r>
        <w:rPr>
          <w:rFonts w:ascii="Times New Roman" w:hAnsi="Times New Roman"/>
          <w:b/>
          <w:i/>
          <w:color w:val="auto"/>
        </w:rPr>
        <w:t>，Q</w:t>
      </w:r>
      <w:r>
        <w:rPr>
          <w:rFonts w:ascii="Times New Roman" w:hAnsi="Times New Roman"/>
          <w:b/>
          <w:i/>
          <w:color w:val="auto"/>
          <w:vertAlign w:val="subscript"/>
        </w:rPr>
        <w:t>2</w:t>
      </w:r>
      <w:r>
        <w:rPr>
          <w:rFonts w:ascii="Times New Roman" w:hAnsi="Times New Roman"/>
          <w:b/>
          <w:i/>
          <w:color w:val="auto"/>
        </w:rPr>
        <w:t>…Q</w:t>
      </w:r>
      <w:r>
        <w:rPr>
          <w:rFonts w:ascii="Times New Roman" w:hAnsi="Times New Roman"/>
          <w:b/>
          <w:i/>
          <w:color w:val="auto"/>
          <w:vertAlign w:val="subscript"/>
        </w:rPr>
        <w:t>n</w:t>
      </w:r>
      <w:r>
        <w:rPr>
          <w:rFonts w:hint="eastAsia" w:ascii="Times New Roman" w:hAnsi="Times New Roman"/>
          <w:color w:val="auto"/>
        </w:rPr>
        <w:t>—每种危险物质的临界量，t。</w:t>
      </w:r>
    </w:p>
    <w:p w14:paraId="2E73F182">
      <w:pPr>
        <w:rPr>
          <w:rFonts w:ascii="Times New Roman" w:hAnsi="Times New Roman"/>
          <w:color w:val="auto"/>
        </w:rPr>
      </w:pPr>
      <w:r>
        <w:rPr>
          <w:rFonts w:hint="eastAsia" w:ascii="Times New Roman" w:hAnsi="Times New Roman"/>
          <w:color w:val="auto"/>
        </w:rPr>
        <w:t>当Q＜1时，该项目环境风险潜势为Ⅰ。</w:t>
      </w:r>
    </w:p>
    <w:p w14:paraId="395D2B3B">
      <w:pPr>
        <w:rPr>
          <w:rFonts w:ascii="Times New Roman" w:hAnsi="Times New Roman"/>
          <w:color w:val="auto"/>
        </w:rPr>
      </w:pPr>
      <w:r>
        <w:rPr>
          <w:rFonts w:hint="eastAsia" w:ascii="Times New Roman" w:hAnsi="Times New Roman"/>
          <w:color w:val="auto"/>
        </w:rPr>
        <w:t>当Q≥1时，将Q值划分为：（1）1≤Q＜10；（2）10≤Q＜100；（3）Q≥100。</w:t>
      </w:r>
    </w:p>
    <w:p w14:paraId="7DA35F09">
      <w:pPr>
        <w:rPr>
          <w:rFonts w:ascii="Times New Roman" w:hAnsi="Times New Roman"/>
          <w:color w:val="auto"/>
        </w:rPr>
      </w:pPr>
      <w:r>
        <w:rPr>
          <w:rFonts w:hint="eastAsia"/>
          <w:color w:val="auto"/>
          <w:lang w:val="en-US" w:eastAsia="zh-CN"/>
        </w:rPr>
        <w:t>根据计算</w:t>
      </w:r>
      <w:r>
        <w:rPr>
          <w:rFonts w:hint="eastAsia" w:ascii="Times New Roman" w:hAnsi="Times New Roman"/>
          <w:color w:val="auto"/>
        </w:rPr>
        <w:t>厂区Q值属于10</w:t>
      </w:r>
      <w:r>
        <w:rPr>
          <w:rFonts w:hint="eastAsia"/>
          <w:color w:val="auto"/>
          <w:lang w:val="en-US" w:eastAsia="zh-CN"/>
        </w:rPr>
        <w:t>&lt;</w:t>
      </w:r>
      <w:r>
        <w:rPr>
          <w:rFonts w:hint="eastAsia" w:ascii="Times New Roman" w:hAnsi="Times New Roman"/>
          <w:color w:val="auto"/>
        </w:rPr>
        <w:t>Q</w:t>
      </w:r>
      <w:r>
        <w:rPr>
          <w:rFonts w:hint="default" w:ascii="Arial" w:hAnsi="Arial" w:cs="Arial"/>
          <w:color w:val="auto"/>
          <w:lang w:val="en-US" w:eastAsia="zh-CN"/>
        </w:rPr>
        <w:t>≤</w:t>
      </w:r>
      <w:r>
        <w:rPr>
          <w:rFonts w:hint="eastAsia" w:ascii="Times New Roman" w:hAnsi="Times New Roman"/>
          <w:color w:val="auto"/>
        </w:rPr>
        <w:t>100范围</w:t>
      </w:r>
      <w:r>
        <w:rPr>
          <w:rFonts w:ascii="Times New Roman" w:hAnsi="Times New Roman"/>
          <w:color w:val="auto"/>
        </w:rPr>
        <w:t>。</w:t>
      </w:r>
    </w:p>
    <w:p w14:paraId="38CAE02C">
      <w:pPr>
        <w:pStyle w:val="46"/>
        <w:bidi w:val="0"/>
        <w:rPr>
          <w:color w:val="auto"/>
          <w:lang w:val="en-US" w:eastAsia="zh-CN"/>
        </w:rPr>
      </w:pPr>
      <w:r>
        <w:rPr>
          <w:rFonts w:hint="eastAsia"/>
          <w:color w:val="auto"/>
          <w:lang w:val="en-US" w:eastAsia="zh-CN"/>
        </w:rPr>
        <w:t>②</w:t>
      </w:r>
      <w:r>
        <w:rPr>
          <w:color w:val="auto"/>
          <w:lang w:val="en-US" w:eastAsia="zh-CN"/>
        </w:rPr>
        <w:t>行业及生产工艺（M）</w:t>
      </w:r>
    </w:p>
    <w:p w14:paraId="0DB7B247">
      <w:pPr>
        <w:bidi w:val="0"/>
        <w:rPr>
          <w:rFonts w:ascii="Times New Roman" w:hAnsi="Times New Roman"/>
          <w:color w:val="auto"/>
          <w:highlight w:val="none"/>
        </w:rPr>
      </w:pPr>
      <w:r>
        <w:rPr>
          <w:rFonts w:ascii="Times New Roman" w:hAnsi="Times New Roman"/>
          <w:color w:val="auto"/>
        </w:rPr>
        <w:t>行业及生产工艺</w:t>
      </w:r>
      <w:r>
        <w:rPr>
          <w:rFonts w:ascii="Times New Roman" w:hAnsi="Times New Roman"/>
          <w:color w:val="auto"/>
          <w:highlight w:val="none"/>
        </w:rPr>
        <w:t>判定详见下表。</w:t>
      </w:r>
    </w:p>
    <w:p w14:paraId="4687CE89">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10</w:t>
      </w:r>
      <w:r>
        <w:rPr>
          <w:color w:val="auto"/>
          <w:lang w:val="en-US" w:eastAsia="zh-CN"/>
        </w:rPr>
        <w:fldChar w:fldCharType="end"/>
      </w:r>
      <w:r>
        <w:rPr>
          <w:color w:val="auto"/>
          <w:lang w:val="en-US" w:eastAsia="zh-CN"/>
        </w:rPr>
        <w:t>行业及生产工艺（M）</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22"/>
        <w:gridCol w:w="5315"/>
        <w:gridCol w:w="1176"/>
      </w:tblGrid>
      <w:tr w14:paraId="058A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tcMar>
              <w:left w:w="0" w:type="dxa"/>
              <w:right w:w="0" w:type="dxa"/>
            </w:tcMar>
            <w:vAlign w:val="center"/>
          </w:tcPr>
          <w:p w14:paraId="10B419B0">
            <w:pPr>
              <w:pStyle w:val="36"/>
              <w:bidi w:val="0"/>
              <w:rPr>
                <w:color w:val="auto"/>
              </w:rPr>
            </w:pPr>
            <w:r>
              <w:rPr>
                <w:color w:val="auto"/>
              </w:rPr>
              <w:t>行业</w:t>
            </w:r>
          </w:p>
        </w:tc>
        <w:tc>
          <w:tcPr>
            <w:tcW w:w="3197" w:type="pct"/>
            <w:tcMar>
              <w:left w:w="0" w:type="dxa"/>
              <w:right w:w="0" w:type="dxa"/>
            </w:tcMar>
            <w:vAlign w:val="center"/>
          </w:tcPr>
          <w:p w14:paraId="32F854FC">
            <w:pPr>
              <w:pStyle w:val="36"/>
              <w:bidi w:val="0"/>
              <w:rPr>
                <w:color w:val="auto"/>
              </w:rPr>
            </w:pPr>
            <w:r>
              <w:rPr>
                <w:color w:val="auto"/>
              </w:rPr>
              <w:t>评估依据</w:t>
            </w:r>
          </w:p>
        </w:tc>
        <w:tc>
          <w:tcPr>
            <w:tcW w:w="705" w:type="pct"/>
            <w:tcMar>
              <w:left w:w="0" w:type="dxa"/>
              <w:right w:w="0" w:type="dxa"/>
            </w:tcMar>
            <w:vAlign w:val="center"/>
          </w:tcPr>
          <w:p w14:paraId="229533BB">
            <w:pPr>
              <w:pStyle w:val="36"/>
              <w:bidi w:val="0"/>
              <w:rPr>
                <w:color w:val="auto"/>
              </w:rPr>
            </w:pPr>
            <w:r>
              <w:rPr>
                <w:color w:val="auto"/>
              </w:rPr>
              <w:t>标准分值</w:t>
            </w:r>
          </w:p>
        </w:tc>
      </w:tr>
      <w:tr w14:paraId="4737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vMerge w:val="restart"/>
            <w:tcMar>
              <w:left w:w="0" w:type="dxa"/>
              <w:right w:w="0" w:type="dxa"/>
            </w:tcMar>
            <w:vAlign w:val="center"/>
          </w:tcPr>
          <w:p w14:paraId="1BDC4AC8">
            <w:pPr>
              <w:pStyle w:val="26"/>
              <w:bidi w:val="0"/>
              <w:rPr>
                <w:color w:val="auto"/>
              </w:rPr>
            </w:pPr>
            <w:r>
              <w:rPr>
                <w:color w:val="auto"/>
              </w:rPr>
              <w:t>石化、化工、医药、轻工、化纤、有色冶炼等</w:t>
            </w:r>
          </w:p>
        </w:tc>
        <w:tc>
          <w:tcPr>
            <w:tcW w:w="3197" w:type="pct"/>
            <w:tcMar>
              <w:left w:w="0" w:type="dxa"/>
              <w:right w:w="0" w:type="dxa"/>
            </w:tcMar>
            <w:vAlign w:val="center"/>
          </w:tcPr>
          <w:p w14:paraId="47EE6D37">
            <w:pPr>
              <w:pStyle w:val="26"/>
              <w:bidi w:val="0"/>
              <w:jc w:val="both"/>
              <w:rPr>
                <w:color w:val="auto"/>
              </w:rPr>
            </w:pPr>
            <w:r>
              <w:rPr>
                <w:color w:val="auto"/>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05" w:type="pct"/>
            <w:tcMar>
              <w:left w:w="0" w:type="dxa"/>
              <w:right w:w="0" w:type="dxa"/>
            </w:tcMar>
            <w:vAlign w:val="center"/>
          </w:tcPr>
          <w:p w14:paraId="182275B7">
            <w:pPr>
              <w:pStyle w:val="26"/>
              <w:bidi w:val="0"/>
              <w:rPr>
                <w:color w:val="auto"/>
              </w:rPr>
            </w:pPr>
            <w:r>
              <w:rPr>
                <w:color w:val="auto"/>
              </w:rPr>
              <w:t>10/套</w:t>
            </w:r>
          </w:p>
        </w:tc>
      </w:tr>
      <w:tr w14:paraId="7009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vMerge w:val="continue"/>
            <w:tcMar>
              <w:left w:w="0" w:type="dxa"/>
              <w:right w:w="0" w:type="dxa"/>
            </w:tcMar>
            <w:vAlign w:val="center"/>
          </w:tcPr>
          <w:p w14:paraId="29756EA2">
            <w:pPr>
              <w:pStyle w:val="26"/>
              <w:bidi w:val="0"/>
              <w:rPr>
                <w:color w:val="auto"/>
              </w:rPr>
            </w:pPr>
          </w:p>
        </w:tc>
        <w:tc>
          <w:tcPr>
            <w:tcW w:w="3197" w:type="pct"/>
            <w:tcMar>
              <w:left w:w="0" w:type="dxa"/>
              <w:right w:w="0" w:type="dxa"/>
            </w:tcMar>
            <w:vAlign w:val="center"/>
          </w:tcPr>
          <w:p w14:paraId="1A418497">
            <w:pPr>
              <w:pStyle w:val="26"/>
              <w:bidi w:val="0"/>
              <w:jc w:val="both"/>
              <w:rPr>
                <w:color w:val="auto"/>
              </w:rPr>
            </w:pPr>
            <w:r>
              <w:rPr>
                <w:color w:val="auto"/>
              </w:rPr>
              <w:t>无机酸制酸工艺、焦化工艺</w:t>
            </w:r>
          </w:p>
        </w:tc>
        <w:tc>
          <w:tcPr>
            <w:tcW w:w="705" w:type="pct"/>
            <w:tcMar>
              <w:left w:w="0" w:type="dxa"/>
              <w:right w:w="0" w:type="dxa"/>
            </w:tcMar>
            <w:vAlign w:val="center"/>
          </w:tcPr>
          <w:p w14:paraId="74BCF09A">
            <w:pPr>
              <w:pStyle w:val="26"/>
              <w:bidi w:val="0"/>
              <w:rPr>
                <w:color w:val="auto"/>
              </w:rPr>
            </w:pPr>
            <w:r>
              <w:rPr>
                <w:color w:val="auto"/>
              </w:rPr>
              <w:t>5/套</w:t>
            </w:r>
          </w:p>
        </w:tc>
      </w:tr>
      <w:tr w14:paraId="047C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vMerge w:val="continue"/>
            <w:tcMar>
              <w:left w:w="0" w:type="dxa"/>
              <w:right w:w="0" w:type="dxa"/>
            </w:tcMar>
            <w:vAlign w:val="center"/>
          </w:tcPr>
          <w:p w14:paraId="39DD6430">
            <w:pPr>
              <w:pStyle w:val="26"/>
              <w:bidi w:val="0"/>
              <w:rPr>
                <w:color w:val="auto"/>
              </w:rPr>
            </w:pPr>
          </w:p>
        </w:tc>
        <w:tc>
          <w:tcPr>
            <w:tcW w:w="3197" w:type="pct"/>
            <w:tcMar>
              <w:left w:w="0" w:type="dxa"/>
              <w:right w:w="0" w:type="dxa"/>
            </w:tcMar>
            <w:vAlign w:val="center"/>
          </w:tcPr>
          <w:p w14:paraId="383F5701">
            <w:pPr>
              <w:pStyle w:val="26"/>
              <w:bidi w:val="0"/>
              <w:jc w:val="both"/>
              <w:rPr>
                <w:color w:val="auto"/>
              </w:rPr>
            </w:pPr>
            <w:r>
              <w:rPr>
                <w:color w:val="auto"/>
              </w:rPr>
              <w:t>其他高温或高压，且涉及危险物质的工艺过程a、危险物质贮存罐区</w:t>
            </w:r>
          </w:p>
        </w:tc>
        <w:tc>
          <w:tcPr>
            <w:tcW w:w="705" w:type="pct"/>
            <w:tcMar>
              <w:left w:w="0" w:type="dxa"/>
              <w:right w:w="0" w:type="dxa"/>
            </w:tcMar>
            <w:vAlign w:val="center"/>
          </w:tcPr>
          <w:p w14:paraId="37E0F1DB">
            <w:pPr>
              <w:pStyle w:val="26"/>
              <w:bidi w:val="0"/>
              <w:rPr>
                <w:color w:val="auto"/>
              </w:rPr>
            </w:pPr>
            <w:r>
              <w:rPr>
                <w:color w:val="auto"/>
              </w:rPr>
              <w:t>5/套（罐区）</w:t>
            </w:r>
          </w:p>
        </w:tc>
      </w:tr>
      <w:tr w14:paraId="3565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tcMar>
              <w:left w:w="0" w:type="dxa"/>
              <w:right w:w="0" w:type="dxa"/>
            </w:tcMar>
            <w:vAlign w:val="center"/>
          </w:tcPr>
          <w:p w14:paraId="1FA1F54F">
            <w:pPr>
              <w:pStyle w:val="26"/>
              <w:bidi w:val="0"/>
              <w:rPr>
                <w:color w:val="auto"/>
              </w:rPr>
            </w:pPr>
            <w:r>
              <w:rPr>
                <w:color w:val="auto"/>
              </w:rPr>
              <w:t>管道、港口/码头等</w:t>
            </w:r>
          </w:p>
        </w:tc>
        <w:tc>
          <w:tcPr>
            <w:tcW w:w="3197" w:type="pct"/>
            <w:tcMar>
              <w:left w:w="0" w:type="dxa"/>
              <w:right w:w="0" w:type="dxa"/>
            </w:tcMar>
            <w:vAlign w:val="center"/>
          </w:tcPr>
          <w:p w14:paraId="72A6B031">
            <w:pPr>
              <w:pStyle w:val="26"/>
              <w:bidi w:val="0"/>
              <w:jc w:val="both"/>
              <w:rPr>
                <w:color w:val="auto"/>
              </w:rPr>
            </w:pPr>
            <w:r>
              <w:rPr>
                <w:color w:val="auto"/>
              </w:rPr>
              <w:t>涉及危险物质管道运输项目、港口/码头等</w:t>
            </w:r>
          </w:p>
        </w:tc>
        <w:tc>
          <w:tcPr>
            <w:tcW w:w="705" w:type="pct"/>
            <w:tcMar>
              <w:left w:w="0" w:type="dxa"/>
              <w:right w:w="0" w:type="dxa"/>
            </w:tcMar>
            <w:vAlign w:val="center"/>
          </w:tcPr>
          <w:p w14:paraId="72791A77">
            <w:pPr>
              <w:pStyle w:val="26"/>
              <w:bidi w:val="0"/>
              <w:rPr>
                <w:color w:val="auto"/>
              </w:rPr>
            </w:pPr>
            <w:r>
              <w:rPr>
                <w:color w:val="auto"/>
              </w:rPr>
              <w:t>10</w:t>
            </w:r>
          </w:p>
        </w:tc>
      </w:tr>
      <w:tr w14:paraId="0D01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tcMar>
              <w:left w:w="0" w:type="dxa"/>
              <w:right w:w="0" w:type="dxa"/>
            </w:tcMar>
            <w:vAlign w:val="center"/>
          </w:tcPr>
          <w:p w14:paraId="1C6D2A78">
            <w:pPr>
              <w:pStyle w:val="26"/>
              <w:bidi w:val="0"/>
              <w:rPr>
                <w:color w:val="auto"/>
              </w:rPr>
            </w:pPr>
            <w:r>
              <w:rPr>
                <w:color w:val="auto"/>
              </w:rPr>
              <w:t>石油天然气</w:t>
            </w:r>
          </w:p>
        </w:tc>
        <w:tc>
          <w:tcPr>
            <w:tcW w:w="3197" w:type="pct"/>
            <w:tcMar>
              <w:left w:w="0" w:type="dxa"/>
              <w:right w:w="0" w:type="dxa"/>
            </w:tcMar>
            <w:vAlign w:val="center"/>
          </w:tcPr>
          <w:p w14:paraId="2DDD00E0">
            <w:pPr>
              <w:pStyle w:val="26"/>
              <w:bidi w:val="0"/>
              <w:jc w:val="both"/>
              <w:rPr>
                <w:color w:val="auto"/>
              </w:rPr>
            </w:pPr>
            <w:r>
              <w:rPr>
                <w:color w:val="auto"/>
              </w:rPr>
              <w:t>石油、天然气、页岩气开采（含净化），气库（不含加气站的气库），油库（不含加气站的油库）、油气管线b（不含城镇燃气管线）</w:t>
            </w:r>
          </w:p>
        </w:tc>
        <w:tc>
          <w:tcPr>
            <w:tcW w:w="705" w:type="pct"/>
            <w:tcMar>
              <w:left w:w="0" w:type="dxa"/>
              <w:right w:w="0" w:type="dxa"/>
            </w:tcMar>
            <w:vAlign w:val="center"/>
          </w:tcPr>
          <w:p w14:paraId="2AB9C42D">
            <w:pPr>
              <w:pStyle w:val="26"/>
              <w:bidi w:val="0"/>
              <w:rPr>
                <w:color w:val="auto"/>
              </w:rPr>
            </w:pPr>
            <w:r>
              <w:rPr>
                <w:color w:val="auto"/>
              </w:rPr>
              <w:t>10</w:t>
            </w:r>
          </w:p>
        </w:tc>
      </w:tr>
      <w:tr w14:paraId="38B1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96" w:type="pct"/>
            <w:tcMar>
              <w:left w:w="0" w:type="dxa"/>
              <w:right w:w="0" w:type="dxa"/>
            </w:tcMar>
            <w:vAlign w:val="center"/>
          </w:tcPr>
          <w:p w14:paraId="12B4275D">
            <w:pPr>
              <w:pStyle w:val="26"/>
              <w:bidi w:val="0"/>
              <w:rPr>
                <w:color w:val="auto"/>
              </w:rPr>
            </w:pPr>
            <w:r>
              <w:rPr>
                <w:color w:val="auto"/>
              </w:rPr>
              <w:t>其他</w:t>
            </w:r>
          </w:p>
        </w:tc>
        <w:tc>
          <w:tcPr>
            <w:tcW w:w="3197" w:type="pct"/>
            <w:tcMar>
              <w:left w:w="0" w:type="dxa"/>
              <w:right w:w="0" w:type="dxa"/>
            </w:tcMar>
            <w:vAlign w:val="center"/>
          </w:tcPr>
          <w:p w14:paraId="5906DF0F">
            <w:pPr>
              <w:pStyle w:val="26"/>
              <w:bidi w:val="0"/>
              <w:jc w:val="both"/>
              <w:rPr>
                <w:color w:val="auto"/>
              </w:rPr>
            </w:pPr>
            <w:r>
              <w:rPr>
                <w:color w:val="auto"/>
              </w:rPr>
              <w:t>涉及危险物质使用、贮存的项目</w:t>
            </w:r>
          </w:p>
        </w:tc>
        <w:tc>
          <w:tcPr>
            <w:tcW w:w="705" w:type="pct"/>
            <w:tcMar>
              <w:left w:w="0" w:type="dxa"/>
              <w:right w:w="0" w:type="dxa"/>
            </w:tcMar>
            <w:vAlign w:val="center"/>
          </w:tcPr>
          <w:p w14:paraId="0D331670">
            <w:pPr>
              <w:pStyle w:val="26"/>
              <w:bidi w:val="0"/>
              <w:rPr>
                <w:color w:val="auto"/>
              </w:rPr>
            </w:pPr>
            <w:r>
              <w:rPr>
                <w:color w:val="auto"/>
              </w:rPr>
              <w:t>5</w:t>
            </w:r>
          </w:p>
        </w:tc>
      </w:tr>
      <w:tr w14:paraId="1C72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3"/>
            <w:tcMar>
              <w:left w:w="0" w:type="dxa"/>
              <w:right w:w="0" w:type="dxa"/>
            </w:tcMar>
            <w:vAlign w:val="center"/>
          </w:tcPr>
          <w:p w14:paraId="01B5E722">
            <w:pPr>
              <w:pStyle w:val="26"/>
              <w:bidi w:val="0"/>
              <w:rPr>
                <w:color w:val="auto"/>
              </w:rPr>
            </w:pPr>
            <w:r>
              <w:rPr>
                <w:color w:val="auto"/>
              </w:rPr>
              <w:t>a高温指工艺温度≥300℃，高压指压力容器的设计压力（P）≥10.0MPa；b长输管道运输项目应按站场、管线分段进行评价。</w:t>
            </w:r>
          </w:p>
        </w:tc>
      </w:tr>
      <w:tr w14:paraId="7C7B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3"/>
            <w:tcMar>
              <w:left w:w="0" w:type="dxa"/>
              <w:right w:w="0" w:type="dxa"/>
            </w:tcMar>
            <w:vAlign w:val="center"/>
          </w:tcPr>
          <w:p w14:paraId="22528566">
            <w:pPr>
              <w:pStyle w:val="36"/>
              <w:bidi w:val="0"/>
              <w:rPr>
                <w:rFonts w:ascii="Times New Roman" w:hAnsi="Times New Roman"/>
                <w:b/>
                <w:color w:val="auto"/>
                <w:szCs w:val="21"/>
              </w:rPr>
            </w:pPr>
            <w:r>
              <w:rPr>
                <w:color w:val="auto"/>
              </w:rPr>
              <w:t>合计（ΣM）</w:t>
            </w:r>
          </w:p>
        </w:tc>
      </w:tr>
    </w:tbl>
    <w:p w14:paraId="74040989">
      <w:pPr>
        <w:jc w:val="left"/>
        <w:rPr>
          <w:rFonts w:ascii="Times New Roman" w:hAnsi="Times New Roman"/>
          <w:color w:val="auto"/>
          <w:szCs w:val="28"/>
        </w:rPr>
      </w:pPr>
      <w:r>
        <w:rPr>
          <w:rFonts w:ascii="Times New Roman" w:hAnsi="Times New Roman"/>
          <w:color w:val="auto"/>
          <w:szCs w:val="28"/>
        </w:rPr>
        <w:t>拟建项目M=</w:t>
      </w:r>
      <w:r>
        <w:rPr>
          <w:rFonts w:hint="eastAsia" w:ascii="Times New Roman" w:hAnsi="Times New Roman"/>
          <w:color w:val="auto"/>
          <w:szCs w:val="28"/>
          <w:lang w:val="en-US" w:eastAsia="zh-CN"/>
        </w:rPr>
        <w:t>35，M</w:t>
      </w:r>
      <w:r>
        <w:rPr>
          <w:rFonts w:hint="eastAsia" w:ascii="微软雅黑" w:hAnsi="微软雅黑" w:eastAsia="微软雅黑" w:cs="微软雅黑"/>
          <w:color w:val="auto"/>
          <w:szCs w:val="28"/>
          <w:lang w:val="en-US" w:eastAsia="zh-CN"/>
        </w:rPr>
        <w:t>&gt;</w:t>
      </w:r>
      <w:r>
        <w:rPr>
          <w:rFonts w:hint="eastAsia" w:ascii="Times New Roman" w:hAnsi="Times New Roman"/>
          <w:color w:val="auto"/>
          <w:szCs w:val="28"/>
          <w:lang w:val="en-US" w:eastAsia="zh-CN"/>
        </w:rPr>
        <w:t>20</w:t>
      </w:r>
      <w:r>
        <w:rPr>
          <w:rFonts w:hint="eastAsia" w:ascii="Times New Roman" w:hAnsi="Times New Roman"/>
          <w:color w:val="auto"/>
          <w:szCs w:val="28"/>
        </w:rPr>
        <w:t>，以M</w:t>
      </w:r>
      <w:r>
        <w:rPr>
          <w:rFonts w:hint="eastAsia" w:ascii="Times New Roman" w:hAnsi="Times New Roman"/>
          <w:color w:val="auto"/>
          <w:szCs w:val="28"/>
          <w:lang w:val="en-US" w:eastAsia="zh-CN"/>
        </w:rPr>
        <w:t>1</w:t>
      </w:r>
      <w:r>
        <w:rPr>
          <w:rFonts w:hint="eastAsia" w:ascii="Times New Roman" w:hAnsi="Times New Roman"/>
          <w:color w:val="auto"/>
          <w:szCs w:val="28"/>
        </w:rPr>
        <w:t>表示</w:t>
      </w:r>
      <w:r>
        <w:rPr>
          <w:rFonts w:ascii="Times New Roman" w:hAnsi="Times New Roman"/>
          <w:color w:val="auto"/>
          <w:szCs w:val="28"/>
        </w:rPr>
        <w:t>。</w:t>
      </w:r>
    </w:p>
    <w:p w14:paraId="1652C01B">
      <w:pPr>
        <w:pStyle w:val="46"/>
        <w:bidi w:val="0"/>
        <w:rPr>
          <w:color w:val="auto"/>
          <w:lang w:val="en-US" w:eastAsia="zh-CN"/>
        </w:rPr>
      </w:pPr>
      <w:r>
        <w:rPr>
          <w:rFonts w:hint="eastAsia"/>
          <w:color w:val="auto"/>
          <w:lang w:val="en-US" w:eastAsia="zh-CN"/>
        </w:rPr>
        <w:t>③</w:t>
      </w:r>
      <w:r>
        <w:rPr>
          <w:color w:val="auto"/>
          <w:lang w:val="en-US" w:eastAsia="zh-CN"/>
        </w:rPr>
        <w:t>危险物质及工艺系统危险性（P）分级</w:t>
      </w:r>
    </w:p>
    <w:p w14:paraId="14C3A17B">
      <w:pPr>
        <w:bidi w:val="0"/>
        <w:rPr>
          <w:rFonts w:ascii="Times New Roman" w:hAnsi="Times New Roman"/>
          <w:color w:val="auto"/>
          <w:highlight w:val="none"/>
        </w:rPr>
      </w:pPr>
      <w:r>
        <w:rPr>
          <w:rFonts w:ascii="Times New Roman" w:hAnsi="Times New Roman"/>
          <w:color w:val="auto"/>
        </w:rPr>
        <w:t>根据危险物质数量与临界量比值（Q）和行业及生产工艺（M）确定危险物质及工</w:t>
      </w:r>
      <w:r>
        <w:rPr>
          <w:rFonts w:ascii="Times New Roman" w:hAnsi="Times New Roman"/>
          <w:color w:val="auto"/>
          <w:highlight w:val="none"/>
        </w:rPr>
        <w:t>艺系统危险性（P）等级。</w:t>
      </w:r>
    </w:p>
    <w:p w14:paraId="688A20F1">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11</w:t>
      </w:r>
      <w:r>
        <w:rPr>
          <w:color w:val="auto"/>
          <w:lang w:val="en-US" w:eastAsia="zh-CN"/>
        </w:rPr>
        <w:fldChar w:fldCharType="end"/>
      </w:r>
      <w:r>
        <w:rPr>
          <w:color w:val="auto"/>
          <w:lang w:val="en-US" w:eastAsia="zh-CN"/>
        </w:rPr>
        <w:t>危险物质及工艺系统危险性等级判断（P）</w:t>
      </w:r>
    </w:p>
    <w:tbl>
      <w:tblPr>
        <w:tblStyle w:val="21"/>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2"/>
        <w:gridCol w:w="1589"/>
        <w:gridCol w:w="1589"/>
        <w:gridCol w:w="1667"/>
        <w:gridCol w:w="1517"/>
      </w:tblGrid>
      <w:tr w14:paraId="75E1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179" w:type="pct"/>
            <w:vMerge w:val="restart"/>
            <w:shd w:val="clear" w:color="auto" w:fill="auto"/>
            <w:tcMar>
              <w:left w:w="0" w:type="dxa"/>
              <w:right w:w="0" w:type="dxa"/>
            </w:tcMar>
            <w:vAlign w:val="center"/>
          </w:tcPr>
          <w:p w14:paraId="620346DD">
            <w:pPr>
              <w:pStyle w:val="36"/>
              <w:bidi w:val="0"/>
              <w:rPr>
                <w:color w:val="auto"/>
                <w:lang w:val="en-US" w:eastAsia="zh-CN"/>
              </w:rPr>
            </w:pPr>
            <w:r>
              <w:rPr>
                <w:color w:val="auto"/>
                <w:lang w:val="en-US" w:eastAsia="zh-CN"/>
              </w:rPr>
              <w:t>危险物质数量与临界量比值（Q）</w:t>
            </w:r>
          </w:p>
        </w:tc>
        <w:tc>
          <w:tcPr>
            <w:tcW w:w="3820" w:type="pct"/>
            <w:gridSpan w:val="4"/>
            <w:shd w:val="clear" w:color="auto" w:fill="auto"/>
            <w:tcMar>
              <w:left w:w="0" w:type="dxa"/>
              <w:right w:w="0" w:type="dxa"/>
            </w:tcMar>
            <w:vAlign w:val="center"/>
          </w:tcPr>
          <w:p w14:paraId="3E60A1A1">
            <w:pPr>
              <w:pStyle w:val="36"/>
              <w:bidi w:val="0"/>
              <w:rPr>
                <w:color w:val="auto"/>
                <w:lang w:val="en-US" w:eastAsia="zh-CN"/>
              </w:rPr>
            </w:pPr>
            <w:r>
              <w:rPr>
                <w:color w:val="auto"/>
                <w:lang w:val="en-US" w:eastAsia="zh-CN"/>
              </w:rPr>
              <w:t>行业及生产工艺（M）</w:t>
            </w:r>
          </w:p>
        </w:tc>
      </w:tr>
      <w:tr w14:paraId="2209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179" w:type="pct"/>
            <w:vMerge w:val="continue"/>
            <w:shd w:val="clear" w:color="auto" w:fill="auto"/>
            <w:tcMar>
              <w:left w:w="0" w:type="dxa"/>
              <w:right w:w="0" w:type="dxa"/>
            </w:tcMar>
            <w:vAlign w:val="center"/>
          </w:tcPr>
          <w:p w14:paraId="319E518D">
            <w:pPr>
              <w:pStyle w:val="36"/>
              <w:bidi w:val="0"/>
              <w:rPr>
                <w:color w:val="auto"/>
                <w:lang w:val="en-US" w:eastAsia="zh-CN"/>
              </w:rPr>
            </w:pPr>
          </w:p>
        </w:tc>
        <w:tc>
          <w:tcPr>
            <w:tcW w:w="954" w:type="pct"/>
            <w:shd w:val="clear" w:color="auto" w:fill="auto"/>
            <w:tcMar>
              <w:left w:w="0" w:type="dxa"/>
              <w:right w:w="0" w:type="dxa"/>
            </w:tcMar>
            <w:vAlign w:val="center"/>
          </w:tcPr>
          <w:p w14:paraId="2BC7A2AD">
            <w:pPr>
              <w:pStyle w:val="36"/>
              <w:bidi w:val="0"/>
              <w:rPr>
                <w:color w:val="auto"/>
                <w:lang w:val="en-US" w:eastAsia="zh-CN"/>
              </w:rPr>
            </w:pPr>
            <w:r>
              <w:rPr>
                <w:color w:val="auto"/>
                <w:lang w:val="en-US" w:eastAsia="zh-CN"/>
              </w:rPr>
              <w:t>M1</w:t>
            </w:r>
          </w:p>
        </w:tc>
        <w:tc>
          <w:tcPr>
            <w:tcW w:w="954" w:type="pct"/>
            <w:shd w:val="clear" w:color="auto" w:fill="auto"/>
            <w:tcMar>
              <w:left w:w="0" w:type="dxa"/>
              <w:right w:w="0" w:type="dxa"/>
            </w:tcMar>
            <w:vAlign w:val="center"/>
          </w:tcPr>
          <w:p w14:paraId="592E403C">
            <w:pPr>
              <w:pStyle w:val="36"/>
              <w:bidi w:val="0"/>
              <w:rPr>
                <w:rFonts w:hint="default"/>
                <w:color w:val="auto"/>
                <w:lang w:val="en-US" w:eastAsia="zh-CN"/>
              </w:rPr>
            </w:pPr>
            <w:r>
              <w:rPr>
                <w:rFonts w:hint="eastAsia"/>
                <w:color w:val="auto"/>
                <w:lang w:val="en-US" w:eastAsia="zh-CN"/>
              </w:rPr>
              <w:t>M2</w:t>
            </w:r>
          </w:p>
        </w:tc>
        <w:tc>
          <w:tcPr>
            <w:tcW w:w="1001" w:type="pct"/>
            <w:shd w:val="clear" w:color="auto" w:fill="auto"/>
            <w:tcMar>
              <w:left w:w="0" w:type="dxa"/>
              <w:right w:w="0" w:type="dxa"/>
            </w:tcMar>
            <w:vAlign w:val="center"/>
          </w:tcPr>
          <w:p w14:paraId="64DC4DF7">
            <w:pPr>
              <w:pStyle w:val="36"/>
              <w:bidi w:val="0"/>
              <w:rPr>
                <w:rFonts w:hint="default"/>
                <w:color w:val="auto"/>
                <w:lang w:val="en-US" w:eastAsia="zh-CN"/>
              </w:rPr>
            </w:pPr>
            <w:r>
              <w:rPr>
                <w:rFonts w:hint="eastAsia"/>
                <w:color w:val="auto"/>
                <w:lang w:val="en-US" w:eastAsia="zh-CN"/>
              </w:rPr>
              <w:t>M3</w:t>
            </w:r>
          </w:p>
        </w:tc>
        <w:tc>
          <w:tcPr>
            <w:tcW w:w="909" w:type="pct"/>
            <w:shd w:val="clear" w:color="auto" w:fill="auto"/>
            <w:tcMar>
              <w:left w:w="0" w:type="dxa"/>
              <w:right w:w="0" w:type="dxa"/>
            </w:tcMar>
            <w:vAlign w:val="center"/>
          </w:tcPr>
          <w:p w14:paraId="4BE16555">
            <w:pPr>
              <w:pStyle w:val="36"/>
              <w:bidi w:val="0"/>
              <w:rPr>
                <w:color w:val="auto"/>
                <w:lang w:val="en-US" w:eastAsia="zh-CN"/>
              </w:rPr>
            </w:pPr>
            <w:r>
              <w:rPr>
                <w:color w:val="auto"/>
                <w:lang w:val="en-US" w:eastAsia="zh-CN"/>
              </w:rPr>
              <w:t>M4</w:t>
            </w:r>
          </w:p>
        </w:tc>
      </w:tr>
      <w:tr w14:paraId="7BA2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179" w:type="pct"/>
            <w:shd w:val="clear" w:color="auto" w:fill="auto"/>
            <w:tcMar>
              <w:left w:w="0" w:type="dxa"/>
              <w:right w:w="0" w:type="dxa"/>
            </w:tcMar>
            <w:vAlign w:val="center"/>
          </w:tcPr>
          <w:p w14:paraId="5CBC3D6E">
            <w:pPr>
              <w:pStyle w:val="26"/>
              <w:bidi w:val="0"/>
              <w:rPr>
                <w:color w:val="auto"/>
                <w:lang w:val="en-US" w:eastAsia="zh-CN"/>
              </w:rPr>
            </w:pPr>
            <w:r>
              <w:rPr>
                <w:color w:val="auto"/>
                <w:lang w:val="en-US" w:eastAsia="zh-CN"/>
              </w:rPr>
              <w:t>Q≥100</w:t>
            </w:r>
          </w:p>
        </w:tc>
        <w:tc>
          <w:tcPr>
            <w:tcW w:w="954" w:type="pct"/>
            <w:shd w:val="clear" w:color="auto" w:fill="auto"/>
            <w:tcMar>
              <w:left w:w="0" w:type="dxa"/>
              <w:right w:w="0" w:type="dxa"/>
            </w:tcMar>
            <w:vAlign w:val="center"/>
          </w:tcPr>
          <w:p w14:paraId="197D382B">
            <w:pPr>
              <w:pStyle w:val="26"/>
              <w:bidi w:val="0"/>
              <w:rPr>
                <w:color w:val="auto"/>
                <w:lang w:val="en-US" w:eastAsia="zh-CN"/>
              </w:rPr>
            </w:pPr>
            <w:r>
              <w:rPr>
                <w:color w:val="auto"/>
                <w:lang w:val="en-US" w:eastAsia="zh-CN"/>
              </w:rPr>
              <w:t>P1</w:t>
            </w:r>
          </w:p>
        </w:tc>
        <w:tc>
          <w:tcPr>
            <w:tcW w:w="954" w:type="pct"/>
            <w:shd w:val="clear" w:color="auto" w:fill="auto"/>
            <w:tcMar>
              <w:left w:w="0" w:type="dxa"/>
              <w:right w:w="0" w:type="dxa"/>
            </w:tcMar>
            <w:vAlign w:val="center"/>
          </w:tcPr>
          <w:p w14:paraId="51D0EE85">
            <w:pPr>
              <w:pStyle w:val="26"/>
              <w:bidi w:val="0"/>
              <w:rPr>
                <w:color w:val="auto"/>
                <w:lang w:val="en-US" w:eastAsia="zh-CN"/>
              </w:rPr>
            </w:pPr>
            <w:r>
              <w:rPr>
                <w:color w:val="auto"/>
                <w:lang w:val="en-US" w:eastAsia="zh-CN"/>
              </w:rPr>
              <w:t>P1</w:t>
            </w:r>
          </w:p>
        </w:tc>
        <w:tc>
          <w:tcPr>
            <w:tcW w:w="1001" w:type="pct"/>
            <w:shd w:val="clear" w:color="auto" w:fill="auto"/>
            <w:tcMar>
              <w:left w:w="0" w:type="dxa"/>
              <w:right w:w="0" w:type="dxa"/>
            </w:tcMar>
            <w:vAlign w:val="center"/>
          </w:tcPr>
          <w:p w14:paraId="141DDE5D">
            <w:pPr>
              <w:pStyle w:val="26"/>
              <w:bidi w:val="0"/>
              <w:rPr>
                <w:color w:val="auto"/>
                <w:lang w:val="en-US" w:eastAsia="zh-CN"/>
              </w:rPr>
            </w:pPr>
            <w:r>
              <w:rPr>
                <w:color w:val="auto"/>
                <w:lang w:val="en-US" w:eastAsia="zh-CN"/>
              </w:rPr>
              <w:t>P2</w:t>
            </w:r>
          </w:p>
        </w:tc>
        <w:tc>
          <w:tcPr>
            <w:tcW w:w="909" w:type="pct"/>
            <w:shd w:val="clear" w:color="auto" w:fill="auto"/>
            <w:tcMar>
              <w:left w:w="0" w:type="dxa"/>
              <w:right w:w="0" w:type="dxa"/>
            </w:tcMar>
            <w:vAlign w:val="center"/>
          </w:tcPr>
          <w:p w14:paraId="4B3245CA">
            <w:pPr>
              <w:pStyle w:val="26"/>
              <w:bidi w:val="0"/>
              <w:rPr>
                <w:color w:val="auto"/>
                <w:lang w:val="en-US" w:eastAsia="zh-CN"/>
              </w:rPr>
            </w:pPr>
            <w:r>
              <w:rPr>
                <w:color w:val="auto"/>
                <w:lang w:val="en-US" w:eastAsia="zh-CN"/>
              </w:rPr>
              <w:t>P3</w:t>
            </w:r>
          </w:p>
        </w:tc>
      </w:tr>
      <w:tr w14:paraId="7E42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79" w:type="pct"/>
            <w:shd w:val="clear" w:color="auto" w:fill="auto"/>
            <w:tcMar>
              <w:left w:w="0" w:type="dxa"/>
              <w:right w:w="0" w:type="dxa"/>
            </w:tcMar>
            <w:vAlign w:val="center"/>
          </w:tcPr>
          <w:p w14:paraId="40F9F7B5">
            <w:pPr>
              <w:pStyle w:val="26"/>
              <w:bidi w:val="0"/>
              <w:rPr>
                <w:color w:val="auto"/>
                <w:lang w:val="en-US" w:eastAsia="zh-CN"/>
              </w:rPr>
            </w:pPr>
            <w:r>
              <w:rPr>
                <w:color w:val="auto"/>
                <w:lang w:val="en-US" w:eastAsia="zh-CN"/>
              </w:rPr>
              <w:t>10≤Q＜100</w:t>
            </w:r>
          </w:p>
        </w:tc>
        <w:tc>
          <w:tcPr>
            <w:tcW w:w="954" w:type="pct"/>
            <w:shd w:val="clear" w:color="auto" w:fill="CFCECE" w:themeFill="background2" w:themeFillShade="E5"/>
            <w:tcMar>
              <w:left w:w="0" w:type="dxa"/>
              <w:right w:w="0" w:type="dxa"/>
            </w:tcMar>
            <w:vAlign w:val="center"/>
          </w:tcPr>
          <w:p w14:paraId="62ED181B">
            <w:pPr>
              <w:pStyle w:val="26"/>
              <w:bidi w:val="0"/>
              <w:rPr>
                <w:color w:val="auto"/>
                <w:lang w:val="en-US" w:eastAsia="zh-CN"/>
              </w:rPr>
            </w:pPr>
            <w:r>
              <w:rPr>
                <w:color w:val="auto"/>
                <w:lang w:val="en-US" w:eastAsia="zh-CN"/>
              </w:rPr>
              <w:t>P1</w:t>
            </w:r>
          </w:p>
        </w:tc>
        <w:tc>
          <w:tcPr>
            <w:tcW w:w="954" w:type="pct"/>
            <w:shd w:val="clear" w:color="auto" w:fill="auto"/>
            <w:tcMar>
              <w:left w:w="0" w:type="dxa"/>
              <w:right w:w="0" w:type="dxa"/>
            </w:tcMar>
            <w:vAlign w:val="center"/>
          </w:tcPr>
          <w:p w14:paraId="1E227FC7">
            <w:pPr>
              <w:pStyle w:val="26"/>
              <w:bidi w:val="0"/>
              <w:rPr>
                <w:color w:val="auto"/>
                <w:lang w:val="en-US" w:eastAsia="zh-CN"/>
              </w:rPr>
            </w:pPr>
            <w:r>
              <w:rPr>
                <w:color w:val="auto"/>
                <w:lang w:val="en-US" w:eastAsia="zh-CN"/>
              </w:rPr>
              <w:t>P2</w:t>
            </w:r>
          </w:p>
        </w:tc>
        <w:tc>
          <w:tcPr>
            <w:tcW w:w="1001" w:type="pct"/>
            <w:shd w:val="clear" w:color="auto" w:fill="auto"/>
            <w:tcMar>
              <w:left w:w="0" w:type="dxa"/>
              <w:right w:w="0" w:type="dxa"/>
            </w:tcMar>
            <w:vAlign w:val="center"/>
          </w:tcPr>
          <w:p w14:paraId="7A411177">
            <w:pPr>
              <w:pStyle w:val="26"/>
              <w:bidi w:val="0"/>
              <w:rPr>
                <w:color w:val="auto"/>
                <w:lang w:val="en-US" w:eastAsia="zh-CN"/>
              </w:rPr>
            </w:pPr>
            <w:r>
              <w:rPr>
                <w:color w:val="auto"/>
                <w:lang w:val="en-US" w:eastAsia="zh-CN"/>
              </w:rPr>
              <w:t>P3</w:t>
            </w:r>
          </w:p>
        </w:tc>
        <w:tc>
          <w:tcPr>
            <w:tcW w:w="909" w:type="pct"/>
            <w:shd w:val="clear" w:color="auto" w:fill="auto"/>
            <w:tcMar>
              <w:left w:w="0" w:type="dxa"/>
              <w:right w:w="0" w:type="dxa"/>
            </w:tcMar>
            <w:vAlign w:val="center"/>
          </w:tcPr>
          <w:p w14:paraId="07352917">
            <w:pPr>
              <w:pStyle w:val="26"/>
              <w:bidi w:val="0"/>
              <w:rPr>
                <w:color w:val="auto"/>
                <w:lang w:val="en-US" w:eastAsia="zh-CN"/>
              </w:rPr>
            </w:pPr>
            <w:r>
              <w:rPr>
                <w:color w:val="auto"/>
                <w:lang w:val="en-US" w:eastAsia="zh-CN"/>
              </w:rPr>
              <w:t>P4</w:t>
            </w:r>
          </w:p>
        </w:tc>
      </w:tr>
      <w:tr w14:paraId="7D3B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179" w:type="pct"/>
            <w:shd w:val="clear" w:color="auto" w:fill="auto"/>
            <w:tcMar>
              <w:left w:w="0" w:type="dxa"/>
              <w:right w:w="0" w:type="dxa"/>
            </w:tcMar>
            <w:vAlign w:val="center"/>
          </w:tcPr>
          <w:p w14:paraId="4B9BCEC4">
            <w:pPr>
              <w:pStyle w:val="26"/>
              <w:bidi w:val="0"/>
              <w:rPr>
                <w:color w:val="auto"/>
                <w:lang w:val="en-US" w:eastAsia="zh-CN"/>
              </w:rPr>
            </w:pPr>
            <w:r>
              <w:rPr>
                <w:color w:val="auto"/>
                <w:lang w:val="en-US" w:eastAsia="zh-CN"/>
              </w:rPr>
              <w:t>1≤Q＜10</w:t>
            </w:r>
          </w:p>
        </w:tc>
        <w:tc>
          <w:tcPr>
            <w:tcW w:w="954" w:type="pct"/>
            <w:shd w:val="clear" w:color="auto" w:fill="auto"/>
            <w:tcMar>
              <w:left w:w="0" w:type="dxa"/>
              <w:right w:w="0" w:type="dxa"/>
            </w:tcMar>
            <w:vAlign w:val="center"/>
          </w:tcPr>
          <w:p w14:paraId="6F77005E">
            <w:pPr>
              <w:pStyle w:val="26"/>
              <w:bidi w:val="0"/>
              <w:rPr>
                <w:color w:val="auto"/>
                <w:lang w:val="en-US" w:eastAsia="zh-CN"/>
              </w:rPr>
            </w:pPr>
            <w:r>
              <w:rPr>
                <w:color w:val="auto"/>
                <w:lang w:val="en-US" w:eastAsia="zh-CN"/>
              </w:rPr>
              <w:t>P2</w:t>
            </w:r>
          </w:p>
        </w:tc>
        <w:tc>
          <w:tcPr>
            <w:tcW w:w="954" w:type="pct"/>
            <w:shd w:val="clear" w:color="auto" w:fill="auto"/>
            <w:tcMar>
              <w:left w:w="0" w:type="dxa"/>
              <w:right w:w="0" w:type="dxa"/>
            </w:tcMar>
            <w:vAlign w:val="center"/>
          </w:tcPr>
          <w:p w14:paraId="2D82EB4B">
            <w:pPr>
              <w:pStyle w:val="26"/>
              <w:bidi w:val="0"/>
              <w:rPr>
                <w:color w:val="auto"/>
                <w:lang w:val="en-US" w:eastAsia="zh-CN"/>
              </w:rPr>
            </w:pPr>
            <w:r>
              <w:rPr>
                <w:color w:val="auto"/>
                <w:lang w:val="en-US" w:eastAsia="zh-CN"/>
              </w:rPr>
              <w:t>P3</w:t>
            </w:r>
          </w:p>
        </w:tc>
        <w:tc>
          <w:tcPr>
            <w:tcW w:w="1001" w:type="pct"/>
            <w:shd w:val="clear" w:color="auto" w:fill="auto"/>
            <w:tcMar>
              <w:left w:w="0" w:type="dxa"/>
              <w:right w:w="0" w:type="dxa"/>
            </w:tcMar>
            <w:vAlign w:val="center"/>
          </w:tcPr>
          <w:p w14:paraId="7EB8C5A9">
            <w:pPr>
              <w:pStyle w:val="26"/>
              <w:bidi w:val="0"/>
              <w:rPr>
                <w:color w:val="auto"/>
                <w:lang w:val="en-US" w:eastAsia="zh-CN"/>
              </w:rPr>
            </w:pPr>
            <w:r>
              <w:rPr>
                <w:color w:val="auto"/>
                <w:lang w:val="en-US" w:eastAsia="zh-CN"/>
              </w:rPr>
              <w:t>P4</w:t>
            </w:r>
          </w:p>
        </w:tc>
        <w:tc>
          <w:tcPr>
            <w:tcW w:w="909" w:type="pct"/>
            <w:shd w:val="clear" w:color="auto" w:fill="auto"/>
            <w:tcMar>
              <w:left w:w="0" w:type="dxa"/>
              <w:right w:w="0" w:type="dxa"/>
            </w:tcMar>
            <w:vAlign w:val="center"/>
          </w:tcPr>
          <w:p w14:paraId="769AE2A2">
            <w:pPr>
              <w:pStyle w:val="26"/>
              <w:bidi w:val="0"/>
              <w:rPr>
                <w:color w:val="auto"/>
                <w:lang w:val="en-US" w:eastAsia="zh-CN"/>
              </w:rPr>
            </w:pPr>
            <w:r>
              <w:rPr>
                <w:color w:val="auto"/>
                <w:lang w:val="en-US" w:eastAsia="zh-CN"/>
              </w:rPr>
              <w:t>P4</w:t>
            </w:r>
          </w:p>
        </w:tc>
      </w:tr>
    </w:tbl>
    <w:p w14:paraId="71519189">
      <w:pPr>
        <w:bidi w:val="0"/>
        <w:rPr>
          <w:rFonts w:ascii="Times New Roman" w:hAnsi="Times New Roman"/>
          <w:color w:val="auto"/>
        </w:rPr>
      </w:pPr>
      <w:r>
        <w:rPr>
          <w:rFonts w:ascii="Times New Roman" w:hAnsi="Times New Roman"/>
          <w:color w:val="auto"/>
          <w:highlight w:val="none"/>
        </w:rPr>
        <w:t>拟建项目Q值属于</w:t>
      </w:r>
      <w:r>
        <w:rPr>
          <w:color w:val="auto"/>
          <w:lang w:val="en-US" w:eastAsia="zh-CN"/>
        </w:rPr>
        <w:t>10≤Q＜100</w:t>
      </w:r>
      <w:r>
        <w:rPr>
          <w:rFonts w:ascii="Times New Roman" w:hAnsi="Times New Roman"/>
          <w:color w:val="auto"/>
          <w:highlight w:val="none"/>
        </w:rPr>
        <w:t>，M=</w:t>
      </w:r>
      <w:r>
        <w:rPr>
          <w:rFonts w:hint="eastAsia" w:ascii="Times New Roman" w:hAnsi="Times New Roman"/>
          <w:color w:val="auto"/>
          <w:highlight w:val="none"/>
          <w:lang w:val="en-US" w:eastAsia="zh-CN"/>
        </w:rPr>
        <w:t>35</w:t>
      </w:r>
      <w:r>
        <w:rPr>
          <w:rFonts w:ascii="Times New Roman" w:hAnsi="Times New Roman"/>
          <w:color w:val="auto"/>
          <w:highlight w:val="none"/>
        </w:rPr>
        <w:t>（M</w:t>
      </w:r>
      <w:r>
        <w:rPr>
          <w:rFonts w:hint="eastAsia" w:ascii="Times New Roman" w:hAnsi="Times New Roman"/>
          <w:color w:val="auto"/>
          <w:highlight w:val="none"/>
          <w:lang w:val="en-US" w:eastAsia="zh-CN"/>
        </w:rPr>
        <w:t>1</w:t>
      </w:r>
      <w:r>
        <w:rPr>
          <w:rFonts w:ascii="Times New Roman" w:hAnsi="Times New Roman"/>
          <w:color w:val="auto"/>
          <w:highlight w:val="none"/>
        </w:rPr>
        <w:t>），</w:t>
      </w:r>
      <w:r>
        <w:rPr>
          <w:rFonts w:ascii="Times New Roman" w:hAnsi="Times New Roman"/>
          <w:color w:val="auto"/>
        </w:rPr>
        <w:t>因而危险物质及工艺系统危险性等级判定为P</w:t>
      </w:r>
      <w:r>
        <w:rPr>
          <w:rFonts w:hint="eastAsia" w:ascii="Times New Roman" w:hAnsi="Times New Roman"/>
          <w:color w:val="auto"/>
          <w:lang w:val="en-US" w:eastAsia="zh-CN"/>
        </w:rPr>
        <w:t>1</w:t>
      </w:r>
      <w:r>
        <w:rPr>
          <w:rFonts w:ascii="Times New Roman" w:hAnsi="Times New Roman"/>
          <w:color w:val="auto"/>
        </w:rPr>
        <w:t>。</w:t>
      </w:r>
    </w:p>
    <w:p w14:paraId="51D35A59">
      <w:pPr>
        <w:pStyle w:val="46"/>
        <w:bidi w:val="0"/>
        <w:rPr>
          <w:color w:val="auto"/>
        </w:rPr>
      </w:pPr>
      <w:r>
        <w:rPr>
          <w:color w:val="auto"/>
        </w:rPr>
        <w:fldChar w:fldCharType="begin"/>
      </w:r>
      <w:r>
        <w:rPr>
          <w:color w:val="auto"/>
        </w:rPr>
        <w:instrText xml:space="preserve"> = 4 \* GB3 </w:instrText>
      </w:r>
      <w:r>
        <w:rPr>
          <w:color w:val="auto"/>
        </w:rPr>
        <w:fldChar w:fldCharType="separate"/>
      </w:r>
      <w:r>
        <w:rPr>
          <w:color w:val="auto"/>
        </w:rPr>
        <w:t>④</w:t>
      </w:r>
      <w:r>
        <w:rPr>
          <w:color w:val="auto"/>
        </w:rPr>
        <w:fldChar w:fldCharType="end"/>
      </w:r>
      <w:r>
        <w:rPr>
          <w:color w:val="auto"/>
        </w:rPr>
        <w:t>环境敏感程度（E）的分级确定</w:t>
      </w:r>
    </w:p>
    <w:p w14:paraId="71766C73">
      <w:pPr>
        <w:jc w:val="left"/>
        <w:rPr>
          <w:rFonts w:ascii="Times New Roman" w:hAnsi="Times New Roman"/>
          <w:color w:val="auto"/>
          <w:szCs w:val="28"/>
        </w:rPr>
      </w:pPr>
      <w:r>
        <w:rPr>
          <w:rFonts w:ascii="Times New Roman" w:hAnsi="Times New Roman"/>
          <w:color w:val="auto"/>
          <w:szCs w:val="28"/>
        </w:rPr>
        <w:t>本项目环境敏感特征详见下表。</w:t>
      </w:r>
    </w:p>
    <w:p w14:paraId="0F9D4CD7">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12</w:t>
      </w:r>
      <w:r>
        <w:rPr>
          <w:color w:val="auto"/>
          <w:lang w:val="en-US" w:eastAsia="zh-CN"/>
        </w:rPr>
        <w:fldChar w:fldCharType="end"/>
      </w:r>
      <w:r>
        <w:rPr>
          <w:color w:val="auto"/>
          <w:lang w:val="en-US" w:eastAsia="zh-CN"/>
        </w:rPr>
        <w:t>厂区大气环境敏感程度分级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3"/>
        <w:gridCol w:w="7413"/>
      </w:tblGrid>
      <w:tr w14:paraId="7A45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3" w:type="pct"/>
            <w:tcMar>
              <w:left w:w="0" w:type="dxa"/>
              <w:right w:w="0" w:type="dxa"/>
            </w:tcMar>
            <w:vAlign w:val="center"/>
          </w:tcPr>
          <w:p w14:paraId="1BBF167A">
            <w:pPr>
              <w:pStyle w:val="36"/>
              <w:bidi w:val="0"/>
              <w:rPr>
                <w:color w:val="auto"/>
                <w:lang w:val="en-US" w:eastAsia="zh-CN"/>
              </w:rPr>
            </w:pPr>
            <w:r>
              <w:rPr>
                <w:color w:val="auto"/>
                <w:lang w:val="en-US" w:eastAsia="zh-CN"/>
              </w:rPr>
              <w:t>分级</w:t>
            </w:r>
          </w:p>
        </w:tc>
        <w:tc>
          <w:tcPr>
            <w:tcW w:w="4457" w:type="pct"/>
            <w:tcMar>
              <w:left w:w="0" w:type="dxa"/>
              <w:right w:w="0" w:type="dxa"/>
            </w:tcMar>
            <w:vAlign w:val="center"/>
          </w:tcPr>
          <w:p w14:paraId="4C2B6EC2">
            <w:pPr>
              <w:pStyle w:val="36"/>
              <w:bidi w:val="0"/>
              <w:rPr>
                <w:color w:val="auto"/>
                <w:lang w:val="en-US" w:eastAsia="zh-CN"/>
              </w:rPr>
            </w:pPr>
            <w:r>
              <w:rPr>
                <w:color w:val="auto"/>
                <w:lang w:val="en-US" w:eastAsia="zh-CN"/>
              </w:rPr>
              <w:t>大气环境敏感性</w:t>
            </w:r>
          </w:p>
        </w:tc>
      </w:tr>
      <w:tr w14:paraId="4E06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3" w:type="pct"/>
            <w:shd w:val="clear" w:color="auto" w:fill="D8D8D8" w:themeFill="background1" w:themeFillShade="D9"/>
            <w:tcMar>
              <w:left w:w="0" w:type="dxa"/>
              <w:right w:w="0" w:type="dxa"/>
            </w:tcMar>
            <w:vAlign w:val="center"/>
          </w:tcPr>
          <w:p w14:paraId="4FC6B0AF">
            <w:pPr>
              <w:pStyle w:val="26"/>
              <w:bidi w:val="0"/>
              <w:rPr>
                <w:color w:val="auto"/>
                <w:lang w:val="en-US" w:eastAsia="zh-CN"/>
              </w:rPr>
            </w:pPr>
            <w:r>
              <w:rPr>
                <w:color w:val="auto"/>
                <w:lang w:val="en-US" w:eastAsia="zh-CN"/>
              </w:rPr>
              <w:t>E1</w:t>
            </w:r>
          </w:p>
        </w:tc>
        <w:tc>
          <w:tcPr>
            <w:tcW w:w="4457" w:type="pct"/>
            <w:shd w:val="clear" w:color="auto" w:fill="D8D8D8" w:themeFill="background1" w:themeFillShade="D9"/>
            <w:tcMar>
              <w:left w:w="0" w:type="dxa"/>
              <w:right w:w="0" w:type="dxa"/>
            </w:tcMar>
            <w:vAlign w:val="center"/>
          </w:tcPr>
          <w:p w14:paraId="460622AE">
            <w:pPr>
              <w:pStyle w:val="26"/>
              <w:bidi w:val="0"/>
              <w:rPr>
                <w:color w:val="auto"/>
                <w:lang w:val="en-US" w:eastAsia="zh-CN"/>
              </w:rPr>
            </w:pPr>
            <w:r>
              <w:rPr>
                <w:color w:val="auto"/>
                <w:lang w:val="en-US" w:eastAsia="zh-CN"/>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14:paraId="1CDD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3" w:type="pct"/>
            <w:tcMar>
              <w:left w:w="0" w:type="dxa"/>
              <w:right w:w="0" w:type="dxa"/>
            </w:tcMar>
            <w:vAlign w:val="center"/>
          </w:tcPr>
          <w:p w14:paraId="462EF120">
            <w:pPr>
              <w:pStyle w:val="26"/>
              <w:bidi w:val="0"/>
              <w:rPr>
                <w:color w:val="auto"/>
                <w:lang w:val="en-US" w:eastAsia="zh-CN"/>
              </w:rPr>
            </w:pPr>
            <w:r>
              <w:rPr>
                <w:color w:val="auto"/>
                <w:lang w:val="en-US" w:eastAsia="zh-CN"/>
              </w:rPr>
              <w:t>E2</w:t>
            </w:r>
          </w:p>
        </w:tc>
        <w:tc>
          <w:tcPr>
            <w:tcW w:w="4457" w:type="pct"/>
            <w:tcMar>
              <w:left w:w="0" w:type="dxa"/>
              <w:right w:w="0" w:type="dxa"/>
            </w:tcMar>
            <w:vAlign w:val="center"/>
          </w:tcPr>
          <w:p w14:paraId="1AFFECE6">
            <w:pPr>
              <w:pStyle w:val="26"/>
              <w:bidi w:val="0"/>
              <w:rPr>
                <w:color w:val="auto"/>
                <w:lang w:val="en-US" w:eastAsia="zh-CN"/>
              </w:rPr>
            </w:pPr>
            <w:r>
              <w:rPr>
                <w:color w:val="auto"/>
                <w:lang w:val="en-US" w:eastAsia="zh-CN"/>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14:paraId="4BBA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3" w:type="pct"/>
            <w:tcMar>
              <w:left w:w="0" w:type="dxa"/>
              <w:right w:w="0" w:type="dxa"/>
            </w:tcMar>
            <w:vAlign w:val="center"/>
          </w:tcPr>
          <w:p w14:paraId="4BFA273D">
            <w:pPr>
              <w:pStyle w:val="26"/>
              <w:bidi w:val="0"/>
              <w:rPr>
                <w:color w:val="auto"/>
                <w:lang w:val="en-US" w:eastAsia="zh-CN"/>
              </w:rPr>
            </w:pPr>
            <w:r>
              <w:rPr>
                <w:color w:val="auto"/>
                <w:lang w:val="en-US" w:eastAsia="zh-CN"/>
              </w:rPr>
              <w:t>E3</w:t>
            </w:r>
          </w:p>
        </w:tc>
        <w:tc>
          <w:tcPr>
            <w:tcW w:w="4457" w:type="pct"/>
            <w:tcMar>
              <w:left w:w="0" w:type="dxa"/>
              <w:right w:w="0" w:type="dxa"/>
            </w:tcMar>
            <w:vAlign w:val="center"/>
          </w:tcPr>
          <w:p w14:paraId="14C4F606">
            <w:pPr>
              <w:pStyle w:val="26"/>
              <w:bidi w:val="0"/>
              <w:rPr>
                <w:color w:val="auto"/>
                <w:lang w:val="en-US" w:eastAsia="zh-CN"/>
              </w:rPr>
            </w:pPr>
            <w:r>
              <w:rPr>
                <w:color w:val="auto"/>
                <w:lang w:val="en-US" w:eastAsia="zh-CN"/>
              </w:rPr>
              <w:t>周边5km范围内居住区、医疗卫生、文化教育、科研、行政办公等机构人口总数小于1万人；或周边500m范围内人口总数小于500人；油气、化学品输送管线管段周边200m范围内，每千米管段人口数小于100人</w:t>
            </w:r>
          </w:p>
        </w:tc>
      </w:tr>
    </w:tbl>
    <w:p w14:paraId="6E228572">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13</w:t>
      </w:r>
      <w:r>
        <w:rPr>
          <w:color w:val="auto"/>
          <w:lang w:val="en-US" w:eastAsia="zh-CN"/>
        </w:rPr>
        <w:fldChar w:fldCharType="end"/>
      </w:r>
      <w:r>
        <w:rPr>
          <w:color w:val="auto"/>
          <w:lang w:val="en-US" w:eastAsia="zh-CN"/>
        </w:rPr>
        <w:t>厂区地表水环境敏感程度分级</w:t>
      </w:r>
    </w:p>
    <w:tbl>
      <w:tblPr>
        <w:tblStyle w:val="21"/>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3"/>
        <w:gridCol w:w="2217"/>
        <w:gridCol w:w="2419"/>
        <w:gridCol w:w="2267"/>
      </w:tblGrid>
      <w:tr w14:paraId="5CD2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4" w:type="pct"/>
            <w:vMerge w:val="restart"/>
            <w:tcMar>
              <w:left w:w="0" w:type="dxa"/>
              <w:right w:w="0" w:type="dxa"/>
            </w:tcMar>
            <w:vAlign w:val="center"/>
          </w:tcPr>
          <w:p w14:paraId="0E769F84">
            <w:pPr>
              <w:pStyle w:val="36"/>
              <w:bidi w:val="0"/>
              <w:rPr>
                <w:color w:val="auto"/>
                <w:lang w:val="en-US" w:eastAsia="zh-CN"/>
              </w:rPr>
            </w:pPr>
            <w:r>
              <w:rPr>
                <w:color w:val="auto"/>
                <w:lang w:val="en-US" w:eastAsia="zh-CN"/>
              </w:rPr>
              <w:t>环境敏感目标</w:t>
            </w:r>
          </w:p>
        </w:tc>
        <w:tc>
          <w:tcPr>
            <w:tcW w:w="4135" w:type="pct"/>
            <w:gridSpan w:val="3"/>
            <w:tcMar>
              <w:left w:w="0" w:type="dxa"/>
              <w:right w:w="0" w:type="dxa"/>
            </w:tcMar>
            <w:vAlign w:val="center"/>
          </w:tcPr>
          <w:p w14:paraId="334804E7">
            <w:pPr>
              <w:pStyle w:val="36"/>
              <w:bidi w:val="0"/>
              <w:rPr>
                <w:color w:val="auto"/>
                <w:lang w:val="en-US" w:eastAsia="zh-CN"/>
              </w:rPr>
            </w:pPr>
            <w:r>
              <w:rPr>
                <w:color w:val="auto"/>
                <w:lang w:val="en-US" w:eastAsia="zh-CN"/>
              </w:rPr>
              <w:t>地表水功能敏感性</w:t>
            </w:r>
          </w:p>
        </w:tc>
      </w:tr>
      <w:tr w14:paraId="54A8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Mar>
              <w:left w:w="0" w:type="dxa"/>
              <w:right w:w="0" w:type="dxa"/>
            </w:tcMar>
            <w:vAlign w:val="center"/>
          </w:tcPr>
          <w:p w14:paraId="6D96E864">
            <w:pPr>
              <w:pStyle w:val="36"/>
              <w:bidi w:val="0"/>
              <w:rPr>
                <w:color w:val="auto"/>
                <w:lang w:val="en-US" w:eastAsia="zh-CN"/>
              </w:rPr>
            </w:pPr>
          </w:p>
        </w:tc>
        <w:tc>
          <w:tcPr>
            <w:tcW w:w="1328" w:type="pct"/>
            <w:shd w:val="clear" w:color="auto" w:fill="auto"/>
            <w:tcMar>
              <w:left w:w="0" w:type="dxa"/>
              <w:right w:w="0" w:type="dxa"/>
            </w:tcMar>
            <w:vAlign w:val="center"/>
          </w:tcPr>
          <w:p w14:paraId="40ABB8EE">
            <w:pPr>
              <w:pStyle w:val="36"/>
              <w:bidi w:val="0"/>
              <w:rPr>
                <w:color w:val="auto"/>
                <w:lang w:val="en-US" w:eastAsia="zh-CN"/>
              </w:rPr>
            </w:pPr>
            <w:r>
              <w:rPr>
                <w:color w:val="auto"/>
                <w:lang w:val="en-US" w:eastAsia="zh-CN"/>
              </w:rPr>
              <w:t>F1</w:t>
            </w:r>
          </w:p>
        </w:tc>
        <w:tc>
          <w:tcPr>
            <w:tcW w:w="1449" w:type="pct"/>
            <w:shd w:val="clear" w:color="auto" w:fill="auto"/>
            <w:tcMar>
              <w:left w:w="0" w:type="dxa"/>
              <w:right w:w="0" w:type="dxa"/>
            </w:tcMar>
            <w:vAlign w:val="center"/>
          </w:tcPr>
          <w:p w14:paraId="7AE6B2E3">
            <w:pPr>
              <w:pStyle w:val="36"/>
              <w:bidi w:val="0"/>
              <w:rPr>
                <w:color w:val="auto"/>
                <w:lang w:val="en-US" w:eastAsia="zh-CN"/>
              </w:rPr>
            </w:pPr>
            <w:r>
              <w:rPr>
                <w:color w:val="auto"/>
                <w:lang w:val="en-US" w:eastAsia="zh-CN"/>
              </w:rPr>
              <w:t>F2</w:t>
            </w:r>
          </w:p>
        </w:tc>
        <w:tc>
          <w:tcPr>
            <w:tcW w:w="1356" w:type="pct"/>
            <w:shd w:val="clear" w:color="auto" w:fill="auto"/>
            <w:tcMar>
              <w:left w:w="0" w:type="dxa"/>
              <w:right w:w="0" w:type="dxa"/>
            </w:tcMar>
            <w:vAlign w:val="center"/>
          </w:tcPr>
          <w:p w14:paraId="05CAB227">
            <w:pPr>
              <w:pStyle w:val="36"/>
              <w:bidi w:val="0"/>
              <w:rPr>
                <w:color w:val="auto"/>
                <w:lang w:val="en-US" w:eastAsia="zh-CN"/>
              </w:rPr>
            </w:pPr>
            <w:r>
              <w:rPr>
                <w:color w:val="auto"/>
                <w:lang w:val="en-US" w:eastAsia="zh-CN"/>
              </w:rPr>
              <w:t>F3</w:t>
            </w:r>
          </w:p>
        </w:tc>
      </w:tr>
      <w:tr w14:paraId="549A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864" w:type="pct"/>
            <w:tcMar>
              <w:left w:w="0" w:type="dxa"/>
              <w:right w:w="0" w:type="dxa"/>
            </w:tcMar>
            <w:vAlign w:val="center"/>
          </w:tcPr>
          <w:p w14:paraId="02548EDC">
            <w:pPr>
              <w:pStyle w:val="26"/>
              <w:bidi w:val="0"/>
              <w:rPr>
                <w:color w:val="auto"/>
                <w:lang w:val="en-US" w:eastAsia="zh-CN"/>
              </w:rPr>
            </w:pPr>
            <w:r>
              <w:rPr>
                <w:color w:val="auto"/>
                <w:lang w:val="en-US" w:eastAsia="zh-CN"/>
              </w:rPr>
              <w:t>S1</w:t>
            </w:r>
          </w:p>
        </w:tc>
        <w:tc>
          <w:tcPr>
            <w:tcW w:w="1328" w:type="pct"/>
            <w:shd w:val="clear" w:color="auto" w:fill="FFFFFF" w:themeFill="background1"/>
            <w:tcMar>
              <w:left w:w="0" w:type="dxa"/>
              <w:right w:w="0" w:type="dxa"/>
            </w:tcMar>
            <w:vAlign w:val="center"/>
          </w:tcPr>
          <w:p w14:paraId="2D0F20F3">
            <w:pPr>
              <w:pStyle w:val="26"/>
              <w:bidi w:val="0"/>
              <w:rPr>
                <w:color w:val="auto"/>
                <w:lang w:val="en-US" w:eastAsia="zh-CN"/>
              </w:rPr>
            </w:pPr>
            <w:r>
              <w:rPr>
                <w:color w:val="auto"/>
                <w:lang w:val="en-US" w:eastAsia="zh-CN"/>
              </w:rPr>
              <w:t>E1</w:t>
            </w:r>
          </w:p>
        </w:tc>
        <w:tc>
          <w:tcPr>
            <w:tcW w:w="1449" w:type="pct"/>
            <w:shd w:val="clear" w:color="auto" w:fill="FFFFFF" w:themeFill="background1"/>
            <w:tcMar>
              <w:left w:w="0" w:type="dxa"/>
              <w:right w:w="0" w:type="dxa"/>
            </w:tcMar>
            <w:vAlign w:val="center"/>
          </w:tcPr>
          <w:p w14:paraId="164C0F15">
            <w:pPr>
              <w:pStyle w:val="26"/>
              <w:bidi w:val="0"/>
              <w:rPr>
                <w:color w:val="auto"/>
                <w:lang w:val="en-US" w:eastAsia="zh-CN"/>
              </w:rPr>
            </w:pPr>
            <w:r>
              <w:rPr>
                <w:color w:val="auto"/>
                <w:lang w:val="en-US" w:eastAsia="zh-CN"/>
              </w:rPr>
              <w:t>E1</w:t>
            </w:r>
          </w:p>
        </w:tc>
        <w:tc>
          <w:tcPr>
            <w:tcW w:w="1356" w:type="pct"/>
            <w:shd w:val="clear" w:color="auto" w:fill="auto"/>
            <w:tcMar>
              <w:left w:w="0" w:type="dxa"/>
              <w:right w:w="0" w:type="dxa"/>
            </w:tcMar>
            <w:vAlign w:val="center"/>
          </w:tcPr>
          <w:p w14:paraId="52E9C637">
            <w:pPr>
              <w:pStyle w:val="26"/>
              <w:bidi w:val="0"/>
              <w:rPr>
                <w:color w:val="auto"/>
                <w:lang w:val="en-US" w:eastAsia="zh-CN"/>
              </w:rPr>
            </w:pPr>
            <w:r>
              <w:rPr>
                <w:color w:val="auto"/>
                <w:lang w:val="en-US" w:eastAsia="zh-CN"/>
              </w:rPr>
              <w:t>E2</w:t>
            </w:r>
          </w:p>
        </w:tc>
      </w:tr>
      <w:tr w14:paraId="4209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4" w:type="pct"/>
            <w:tcMar>
              <w:left w:w="0" w:type="dxa"/>
              <w:right w:w="0" w:type="dxa"/>
            </w:tcMar>
            <w:vAlign w:val="center"/>
          </w:tcPr>
          <w:p w14:paraId="770FED13">
            <w:pPr>
              <w:pStyle w:val="26"/>
              <w:bidi w:val="0"/>
              <w:rPr>
                <w:color w:val="auto"/>
                <w:lang w:val="en-US" w:eastAsia="zh-CN"/>
              </w:rPr>
            </w:pPr>
            <w:r>
              <w:rPr>
                <w:color w:val="auto"/>
                <w:lang w:val="en-US" w:eastAsia="zh-CN"/>
              </w:rPr>
              <w:t>S2</w:t>
            </w:r>
          </w:p>
        </w:tc>
        <w:tc>
          <w:tcPr>
            <w:tcW w:w="1328" w:type="pct"/>
            <w:shd w:val="clear" w:color="auto" w:fill="FFFFFF" w:themeFill="background1"/>
            <w:tcMar>
              <w:left w:w="0" w:type="dxa"/>
              <w:right w:w="0" w:type="dxa"/>
            </w:tcMar>
            <w:vAlign w:val="center"/>
          </w:tcPr>
          <w:p w14:paraId="5B9F96F8">
            <w:pPr>
              <w:pStyle w:val="26"/>
              <w:bidi w:val="0"/>
              <w:rPr>
                <w:color w:val="auto"/>
                <w:lang w:val="en-US" w:eastAsia="zh-CN"/>
              </w:rPr>
            </w:pPr>
            <w:r>
              <w:rPr>
                <w:color w:val="auto"/>
                <w:lang w:val="en-US" w:eastAsia="zh-CN"/>
              </w:rPr>
              <w:t>E1</w:t>
            </w:r>
          </w:p>
        </w:tc>
        <w:tc>
          <w:tcPr>
            <w:tcW w:w="1449" w:type="pct"/>
            <w:shd w:val="clear" w:color="auto" w:fill="auto"/>
            <w:tcMar>
              <w:left w:w="0" w:type="dxa"/>
              <w:right w:w="0" w:type="dxa"/>
            </w:tcMar>
            <w:vAlign w:val="center"/>
          </w:tcPr>
          <w:p w14:paraId="63604348">
            <w:pPr>
              <w:pStyle w:val="26"/>
              <w:bidi w:val="0"/>
              <w:rPr>
                <w:color w:val="auto"/>
                <w:lang w:val="en-US" w:eastAsia="zh-CN"/>
              </w:rPr>
            </w:pPr>
            <w:r>
              <w:rPr>
                <w:color w:val="auto"/>
                <w:lang w:val="en-US" w:eastAsia="zh-CN"/>
              </w:rPr>
              <w:t>E2</w:t>
            </w:r>
          </w:p>
        </w:tc>
        <w:tc>
          <w:tcPr>
            <w:tcW w:w="1356" w:type="pct"/>
            <w:shd w:val="clear" w:color="auto" w:fill="auto"/>
            <w:tcMar>
              <w:left w:w="0" w:type="dxa"/>
              <w:right w:w="0" w:type="dxa"/>
            </w:tcMar>
            <w:vAlign w:val="center"/>
          </w:tcPr>
          <w:p w14:paraId="14B343A8">
            <w:pPr>
              <w:pStyle w:val="26"/>
              <w:bidi w:val="0"/>
              <w:rPr>
                <w:color w:val="auto"/>
                <w:lang w:val="en-US" w:eastAsia="zh-CN"/>
              </w:rPr>
            </w:pPr>
            <w:r>
              <w:rPr>
                <w:color w:val="auto"/>
                <w:lang w:val="en-US" w:eastAsia="zh-CN"/>
              </w:rPr>
              <w:t>E3</w:t>
            </w:r>
          </w:p>
        </w:tc>
      </w:tr>
      <w:tr w14:paraId="4555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4" w:type="pct"/>
            <w:tcMar>
              <w:left w:w="0" w:type="dxa"/>
              <w:right w:w="0" w:type="dxa"/>
            </w:tcMar>
            <w:vAlign w:val="center"/>
          </w:tcPr>
          <w:p w14:paraId="13877E18">
            <w:pPr>
              <w:pStyle w:val="26"/>
              <w:bidi w:val="0"/>
              <w:rPr>
                <w:color w:val="auto"/>
                <w:lang w:val="en-US" w:eastAsia="zh-CN"/>
              </w:rPr>
            </w:pPr>
            <w:r>
              <w:rPr>
                <w:color w:val="auto"/>
                <w:lang w:val="en-US" w:eastAsia="zh-CN"/>
              </w:rPr>
              <w:t>S3</w:t>
            </w:r>
          </w:p>
        </w:tc>
        <w:tc>
          <w:tcPr>
            <w:tcW w:w="1328" w:type="pct"/>
            <w:shd w:val="clear" w:color="auto" w:fill="FFFFFF" w:themeFill="background1"/>
            <w:tcMar>
              <w:left w:w="0" w:type="dxa"/>
              <w:right w:w="0" w:type="dxa"/>
            </w:tcMar>
            <w:vAlign w:val="center"/>
          </w:tcPr>
          <w:p w14:paraId="4DF2AF8C">
            <w:pPr>
              <w:pStyle w:val="26"/>
              <w:bidi w:val="0"/>
              <w:rPr>
                <w:color w:val="auto"/>
                <w:lang w:val="en-US" w:eastAsia="zh-CN"/>
              </w:rPr>
            </w:pPr>
            <w:r>
              <w:rPr>
                <w:color w:val="auto"/>
                <w:lang w:val="en-US" w:eastAsia="zh-CN"/>
              </w:rPr>
              <w:t>E1</w:t>
            </w:r>
          </w:p>
        </w:tc>
        <w:tc>
          <w:tcPr>
            <w:tcW w:w="1449" w:type="pct"/>
            <w:shd w:val="clear" w:color="auto" w:fill="E7E6E6" w:themeFill="background2"/>
            <w:tcMar>
              <w:left w:w="0" w:type="dxa"/>
              <w:right w:w="0" w:type="dxa"/>
            </w:tcMar>
            <w:vAlign w:val="center"/>
          </w:tcPr>
          <w:p w14:paraId="154326CB">
            <w:pPr>
              <w:pStyle w:val="26"/>
              <w:bidi w:val="0"/>
              <w:rPr>
                <w:color w:val="auto"/>
                <w:lang w:val="en-US" w:eastAsia="zh-CN"/>
              </w:rPr>
            </w:pPr>
            <w:r>
              <w:rPr>
                <w:color w:val="auto"/>
                <w:lang w:val="en-US" w:eastAsia="zh-CN"/>
              </w:rPr>
              <w:t>E2</w:t>
            </w:r>
          </w:p>
        </w:tc>
        <w:tc>
          <w:tcPr>
            <w:tcW w:w="1356" w:type="pct"/>
            <w:shd w:val="clear" w:color="auto" w:fill="auto"/>
            <w:tcMar>
              <w:left w:w="0" w:type="dxa"/>
              <w:right w:w="0" w:type="dxa"/>
            </w:tcMar>
            <w:vAlign w:val="center"/>
          </w:tcPr>
          <w:p w14:paraId="7752C8CE">
            <w:pPr>
              <w:pStyle w:val="26"/>
              <w:bidi w:val="0"/>
              <w:rPr>
                <w:color w:val="auto"/>
                <w:lang w:val="en-US" w:eastAsia="zh-CN"/>
              </w:rPr>
            </w:pPr>
            <w:r>
              <w:rPr>
                <w:color w:val="auto"/>
                <w:lang w:val="en-US" w:eastAsia="zh-CN"/>
              </w:rPr>
              <w:t>E3</w:t>
            </w:r>
          </w:p>
        </w:tc>
      </w:tr>
    </w:tbl>
    <w:p w14:paraId="60BD1FF8">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14</w:t>
      </w:r>
      <w:r>
        <w:rPr>
          <w:color w:val="auto"/>
          <w:lang w:val="en-US" w:eastAsia="zh-CN"/>
        </w:rPr>
        <w:fldChar w:fldCharType="end"/>
      </w:r>
      <w:r>
        <w:rPr>
          <w:color w:val="auto"/>
          <w:lang w:val="en-US" w:eastAsia="zh-CN"/>
        </w:rPr>
        <w:t>厂区地表水功能敏感性分级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01"/>
        <w:gridCol w:w="6515"/>
      </w:tblGrid>
      <w:tr w14:paraId="6F24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85" w:hRule="atLeast"/>
          <w:jc w:val="center"/>
        </w:trPr>
        <w:tc>
          <w:tcPr>
            <w:tcW w:w="1083" w:type="pct"/>
            <w:shd w:val="clear" w:color="auto" w:fill="auto"/>
            <w:tcMar>
              <w:left w:w="0" w:type="dxa"/>
              <w:right w:w="0" w:type="dxa"/>
            </w:tcMar>
            <w:vAlign w:val="center"/>
          </w:tcPr>
          <w:p w14:paraId="32F32735">
            <w:pPr>
              <w:pStyle w:val="36"/>
              <w:bidi w:val="0"/>
              <w:rPr>
                <w:color w:val="auto"/>
                <w:lang w:val="en-US" w:eastAsia="zh-CN"/>
              </w:rPr>
            </w:pPr>
            <w:r>
              <w:rPr>
                <w:color w:val="auto"/>
                <w:lang w:val="en-US" w:eastAsia="zh-CN"/>
              </w:rPr>
              <w:t>敏感性</w:t>
            </w:r>
          </w:p>
        </w:tc>
        <w:tc>
          <w:tcPr>
            <w:tcW w:w="3917" w:type="pct"/>
            <w:shd w:val="clear" w:color="auto" w:fill="auto"/>
            <w:tcMar>
              <w:left w:w="0" w:type="dxa"/>
              <w:right w:w="0" w:type="dxa"/>
            </w:tcMar>
            <w:vAlign w:val="center"/>
          </w:tcPr>
          <w:p w14:paraId="50E2B737">
            <w:pPr>
              <w:pStyle w:val="36"/>
              <w:bidi w:val="0"/>
              <w:rPr>
                <w:color w:val="auto"/>
                <w:lang w:val="en-US" w:eastAsia="zh-CN"/>
              </w:rPr>
            </w:pPr>
            <w:r>
              <w:rPr>
                <w:color w:val="auto"/>
                <w:lang w:val="en-US" w:eastAsia="zh-CN"/>
              </w:rPr>
              <w:t>地表水环境敏感特征</w:t>
            </w:r>
          </w:p>
        </w:tc>
      </w:tr>
      <w:tr w14:paraId="1BF8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083" w:type="pct"/>
            <w:shd w:val="clear" w:color="auto" w:fill="auto"/>
            <w:tcMar>
              <w:left w:w="0" w:type="dxa"/>
              <w:right w:w="0" w:type="dxa"/>
            </w:tcMar>
            <w:vAlign w:val="center"/>
          </w:tcPr>
          <w:p w14:paraId="6DD91980">
            <w:pPr>
              <w:pStyle w:val="26"/>
              <w:bidi w:val="0"/>
              <w:rPr>
                <w:color w:val="auto"/>
                <w:lang w:val="en-US" w:eastAsia="zh-CN"/>
              </w:rPr>
            </w:pPr>
            <w:r>
              <w:rPr>
                <w:color w:val="auto"/>
                <w:lang w:val="en-US" w:eastAsia="zh-CN"/>
              </w:rPr>
              <w:t>敏感F1</w:t>
            </w:r>
          </w:p>
        </w:tc>
        <w:tc>
          <w:tcPr>
            <w:tcW w:w="3917" w:type="pct"/>
            <w:shd w:val="clear" w:color="auto" w:fill="auto"/>
            <w:tcMar>
              <w:left w:w="0" w:type="dxa"/>
              <w:right w:w="0" w:type="dxa"/>
            </w:tcMar>
            <w:vAlign w:val="center"/>
          </w:tcPr>
          <w:p w14:paraId="64D46412">
            <w:pPr>
              <w:pStyle w:val="26"/>
              <w:bidi w:val="0"/>
              <w:rPr>
                <w:color w:val="auto"/>
                <w:lang w:val="en-US" w:eastAsia="zh-CN"/>
              </w:rPr>
            </w:pPr>
            <w:r>
              <w:rPr>
                <w:color w:val="auto"/>
                <w:lang w:val="en-US" w:eastAsia="zh-CN"/>
              </w:rPr>
              <w:t>排放点进入地表水水域环境功能为Ⅱ类及以上，或海水水质分类第一类；</w:t>
            </w:r>
          </w:p>
          <w:p w14:paraId="2075B89C">
            <w:pPr>
              <w:pStyle w:val="26"/>
              <w:bidi w:val="0"/>
              <w:rPr>
                <w:color w:val="auto"/>
                <w:lang w:val="en-US" w:eastAsia="zh-CN"/>
              </w:rPr>
            </w:pPr>
            <w:r>
              <w:rPr>
                <w:color w:val="auto"/>
                <w:lang w:val="en-US" w:eastAsia="zh-CN"/>
              </w:rPr>
              <w:t>或以发生事故时，危险物质泄漏到水体的排放点算起，排放进入受纳河流最大流速时，24h流经范围内涉跨国界的</w:t>
            </w:r>
          </w:p>
        </w:tc>
      </w:tr>
      <w:tr w14:paraId="1642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083" w:type="pct"/>
            <w:shd w:val="clear" w:color="auto" w:fill="CFCECE" w:themeFill="background2" w:themeFillShade="E5"/>
            <w:tcMar>
              <w:left w:w="0" w:type="dxa"/>
              <w:right w:w="0" w:type="dxa"/>
            </w:tcMar>
            <w:vAlign w:val="center"/>
          </w:tcPr>
          <w:p w14:paraId="3316D788">
            <w:pPr>
              <w:pStyle w:val="26"/>
              <w:bidi w:val="0"/>
              <w:rPr>
                <w:color w:val="auto"/>
                <w:lang w:val="en-US" w:eastAsia="zh-CN"/>
              </w:rPr>
            </w:pPr>
            <w:r>
              <w:rPr>
                <w:color w:val="auto"/>
                <w:lang w:val="en-US" w:eastAsia="zh-CN"/>
              </w:rPr>
              <w:t>敏感F2</w:t>
            </w:r>
          </w:p>
        </w:tc>
        <w:tc>
          <w:tcPr>
            <w:tcW w:w="3917" w:type="pct"/>
            <w:shd w:val="clear" w:color="auto" w:fill="CFCECE" w:themeFill="background2" w:themeFillShade="E5"/>
            <w:tcMar>
              <w:left w:w="0" w:type="dxa"/>
              <w:right w:w="0" w:type="dxa"/>
            </w:tcMar>
            <w:vAlign w:val="center"/>
          </w:tcPr>
          <w:p w14:paraId="6587914A">
            <w:pPr>
              <w:pStyle w:val="26"/>
              <w:bidi w:val="0"/>
              <w:rPr>
                <w:color w:val="auto"/>
                <w:lang w:val="en-US" w:eastAsia="zh-CN"/>
              </w:rPr>
            </w:pPr>
            <w:r>
              <w:rPr>
                <w:color w:val="auto"/>
                <w:lang w:val="en-US" w:eastAsia="zh-CN"/>
              </w:rPr>
              <w:t>排放点进入地表水水域环境功能为Ⅲ类，或海水水质分类第二类；</w:t>
            </w:r>
          </w:p>
          <w:p w14:paraId="7AFED6DA">
            <w:pPr>
              <w:pStyle w:val="26"/>
              <w:bidi w:val="0"/>
              <w:rPr>
                <w:color w:val="auto"/>
                <w:lang w:val="en-US" w:eastAsia="zh-CN"/>
              </w:rPr>
            </w:pPr>
            <w:r>
              <w:rPr>
                <w:color w:val="auto"/>
                <w:lang w:val="en-US" w:eastAsia="zh-CN"/>
              </w:rPr>
              <w:t>或以发生事故时，危险物质泄漏到水体的排放点算起，排放进入受纳河流最大流速时，24h流经范围内涉跨省界的</w:t>
            </w:r>
          </w:p>
        </w:tc>
      </w:tr>
      <w:tr w14:paraId="6E1A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1083" w:type="pct"/>
            <w:shd w:val="clear" w:color="auto" w:fill="auto"/>
            <w:tcMar>
              <w:left w:w="0" w:type="dxa"/>
              <w:right w:w="0" w:type="dxa"/>
            </w:tcMar>
            <w:vAlign w:val="center"/>
          </w:tcPr>
          <w:p w14:paraId="12B295CE">
            <w:pPr>
              <w:pStyle w:val="26"/>
              <w:bidi w:val="0"/>
              <w:rPr>
                <w:color w:val="auto"/>
                <w:lang w:val="en-US" w:eastAsia="zh-CN"/>
              </w:rPr>
            </w:pPr>
            <w:r>
              <w:rPr>
                <w:color w:val="auto"/>
                <w:lang w:val="en-US" w:eastAsia="zh-CN"/>
              </w:rPr>
              <w:t>敏感F3</w:t>
            </w:r>
          </w:p>
        </w:tc>
        <w:tc>
          <w:tcPr>
            <w:tcW w:w="3917" w:type="pct"/>
            <w:shd w:val="clear" w:color="auto" w:fill="auto"/>
            <w:tcMar>
              <w:left w:w="0" w:type="dxa"/>
              <w:right w:w="0" w:type="dxa"/>
            </w:tcMar>
            <w:vAlign w:val="center"/>
          </w:tcPr>
          <w:p w14:paraId="2905198F">
            <w:pPr>
              <w:pStyle w:val="26"/>
              <w:bidi w:val="0"/>
              <w:rPr>
                <w:color w:val="auto"/>
                <w:lang w:val="en-US" w:eastAsia="zh-CN"/>
              </w:rPr>
            </w:pPr>
            <w:r>
              <w:rPr>
                <w:color w:val="auto"/>
                <w:lang w:val="en-US" w:eastAsia="zh-CN"/>
              </w:rPr>
              <w:t>上述地区之外的其他地区</w:t>
            </w:r>
          </w:p>
        </w:tc>
      </w:tr>
    </w:tbl>
    <w:p w14:paraId="7DB67D2B">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15</w:t>
      </w:r>
      <w:r>
        <w:rPr>
          <w:color w:val="auto"/>
          <w:lang w:val="en-US" w:eastAsia="zh-CN"/>
        </w:rPr>
        <w:fldChar w:fldCharType="end"/>
      </w:r>
      <w:r>
        <w:rPr>
          <w:color w:val="auto"/>
          <w:lang w:val="en-US" w:eastAsia="zh-CN"/>
        </w:rPr>
        <w:t>厂区地表水环境敏感目标分级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9"/>
        <w:gridCol w:w="7157"/>
      </w:tblGrid>
      <w:tr w14:paraId="0A09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97" w:type="pct"/>
            <w:tcMar>
              <w:left w:w="0" w:type="dxa"/>
              <w:right w:w="0" w:type="dxa"/>
            </w:tcMar>
            <w:vAlign w:val="center"/>
          </w:tcPr>
          <w:p w14:paraId="51C4AF9D">
            <w:pPr>
              <w:pStyle w:val="36"/>
              <w:bidi w:val="0"/>
              <w:rPr>
                <w:color w:val="auto"/>
                <w:lang w:val="en-US" w:eastAsia="zh-CN"/>
              </w:rPr>
            </w:pPr>
            <w:r>
              <w:rPr>
                <w:color w:val="auto"/>
                <w:lang w:val="en-US" w:eastAsia="zh-CN"/>
              </w:rPr>
              <w:t>分级</w:t>
            </w:r>
          </w:p>
        </w:tc>
        <w:tc>
          <w:tcPr>
            <w:tcW w:w="4303" w:type="pct"/>
            <w:tcMar>
              <w:left w:w="0" w:type="dxa"/>
              <w:right w:w="0" w:type="dxa"/>
            </w:tcMar>
            <w:vAlign w:val="center"/>
          </w:tcPr>
          <w:p w14:paraId="31B3B796">
            <w:pPr>
              <w:pStyle w:val="36"/>
              <w:bidi w:val="0"/>
              <w:rPr>
                <w:color w:val="auto"/>
                <w:lang w:val="en-US" w:eastAsia="zh-CN"/>
              </w:rPr>
            </w:pPr>
            <w:r>
              <w:rPr>
                <w:color w:val="auto"/>
                <w:lang w:val="en-US" w:eastAsia="zh-CN"/>
              </w:rPr>
              <w:t>环境敏感目标</w:t>
            </w:r>
          </w:p>
        </w:tc>
      </w:tr>
      <w:tr w14:paraId="5870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97" w:type="pct"/>
            <w:shd w:val="clear" w:color="auto" w:fill="FFFFFF" w:themeFill="background1"/>
            <w:tcMar>
              <w:left w:w="0" w:type="dxa"/>
              <w:right w:w="0" w:type="dxa"/>
            </w:tcMar>
            <w:vAlign w:val="center"/>
          </w:tcPr>
          <w:p w14:paraId="3AB46F9A">
            <w:pPr>
              <w:pStyle w:val="26"/>
              <w:bidi w:val="0"/>
              <w:rPr>
                <w:color w:val="auto"/>
                <w:lang w:val="en-US" w:eastAsia="zh-CN"/>
              </w:rPr>
            </w:pPr>
            <w:r>
              <w:rPr>
                <w:color w:val="auto"/>
                <w:lang w:val="en-US" w:eastAsia="zh-CN"/>
              </w:rPr>
              <w:t>S1</w:t>
            </w:r>
          </w:p>
        </w:tc>
        <w:tc>
          <w:tcPr>
            <w:tcW w:w="4303" w:type="pct"/>
            <w:shd w:val="clear" w:color="auto" w:fill="FFFFFF" w:themeFill="background1"/>
            <w:tcMar>
              <w:left w:w="0" w:type="dxa"/>
              <w:right w:w="0" w:type="dxa"/>
            </w:tcMar>
            <w:vAlign w:val="center"/>
          </w:tcPr>
          <w:p w14:paraId="3C7EEA83">
            <w:pPr>
              <w:pStyle w:val="26"/>
              <w:bidi w:val="0"/>
              <w:rPr>
                <w:color w:val="auto"/>
                <w:lang w:val="en-US" w:eastAsia="zh-CN"/>
              </w:rPr>
            </w:pPr>
            <w:r>
              <w:rPr>
                <w:color w:val="auto"/>
                <w:lang w:val="en-US" w:eastAsia="zh-CN"/>
              </w:rPr>
              <w:t>发生事故时，危险物质泄漏到内陆水体的排放点下游（顺水流向）10km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w:t>
            </w:r>
            <w:r>
              <w:rPr>
                <w:rStyle w:val="27"/>
                <w:color w:val="auto"/>
                <w:lang w:val="en-US" w:eastAsia="zh-CN"/>
              </w:rPr>
              <w:t>；风景名胜区</w:t>
            </w:r>
            <w:r>
              <w:rPr>
                <w:color w:val="auto"/>
                <w:lang w:val="en-US" w:eastAsia="zh-CN"/>
              </w:rPr>
              <w:t>；或其他特殊重要保护区域</w:t>
            </w:r>
          </w:p>
        </w:tc>
      </w:tr>
      <w:tr w14:paraId="1964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97" w:type="pct"/>
            <w:shd w:val="clear" w:color="auto" w:fill="auto"/>
            <w:tcMar>
              <w:left w:w="0" w:type="dxa"/>
              <w:right w:w="0" w:type="dxa"/>
            </w:tcMar>
            <w:vAlign w:val="center"/>
          </w:tcPr>
          <w:p w14:paraId="27BA7604">
            <w:pPr>
              <w:pStyle w:val="26"/>
              <w:bidi w:val="0"/>
              <w:rPr>
                <w:color w:val="auto"/>
                <w:lang w:val="en-US" w:eastAsia="zh-CN"/>
              </w:rPr>
            </w:pPr>
            <w:r>
              <w:rPr>
                <w:color w:val="auto"/>
                <w:lang w:val="en-US" w:eastAsia="zh-CN"/>
              </w:rPr>
              <w:t>S2</w:t>
            </w:r>
          </w:p>
        </w:tc>
        <w:tc>
          <w:tcPr>
            <w:tcW w:w="4303" w:type="pct"/>
            <w:shd w:val="clear" w:color="auto" w:fill="auto"/>
            <w:tcMar>
              <w:left w:w="0" w:type="dxa"/>
              <w:right w:w="0" w:type="dxa"/>
            </w:tcMar>
            <w:vAlign w:val="center"/>
          </w:tcPr>
          <w:p w14:paraId="6CE58808">
            <w:pPr>
              <w:pStyle w:val="26"/>
              <w:bidi w:val="0"/>
              <w:rPr>
                <w:color w:val="auto"/>
                <w:lang w:val="en-US" w:eastAsia="zh-CN"/>
              </w:rPr>
            </w:pPr>
            <w:r>
              <w:rPr>
                <w:color w:val="auto"/>
                <w:lang w:val="en-US" w:eastAsia="zh-CN"/>
              </w:rPr>
              <w:t>发生事故时，危险物质泄漏到内陆水体的排放点下游（顺水流向）10km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14:paraId="1A00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97" w:type="pct"/>
            <w:shd w:val="clear" w:color="auto" w:fill="E7E6E6" w:themeFill="background2"/>
            <w:tcMar>
              <w:left w:w="0" w:type="dxa"/>
              <w:right w:w="0" w:type="dxa"/>
            </w:tcMar>
            <w:vAlign w:val="center"/>
          </w:tcPr>
          <w:p w14:paraId="55233CBD">
            <w:pPr>
              <w:pStyle w:val="26"/>
              <w:bidi w:val="0"/>
              <w:rPr>
                <w:color w:val="auto"/>
                <w:lang w:val="en-US" w:eastAsia="zh-CN"/>
              </w:rPr>
            </w:pPr>
            <w:r>
              <w:rPr>
                <w:color w:val="auto"/>
                <w:lang w:val="en-US" w:eastAsia="zh-CN"/>
              </w:rPr>
              <w:t>S3</w:t>
            </w:r>
          </w:p>
        </w:tc>
        <w:tc>
          <w:tcPr>
            <w:tcW w:w="4303" w:type="pct"/>
            <w:shd w:val="clear" w:color="auto" w:fill="E7E6E6" w:themeFill="background2"/>
            <w:tcMar>
              <w:left w:w="0" w:type="dxa"/>
              <w:right w:w="0" w:type="dxa"/>
            </w:tcMar>
            <w:vAlign w:val="center"/>
          </w:tcPr>
          <w:p w14:paraId="02880579">
            <w:pPr>
              <w:pStyle w:val="26"/>
              <w:bidi w:val="0"/>
              <w:rPr>
                <w:color w:val="auto"/>
                <w:lang w:val="en-US" w:eastAsia="zh-CN"/>
              </w:rPr>
            </w:pPr>
            <w:r>
              <w:rPr>
                <w:color w:val="auto"/>
                <w:lang w:val="en-US" w:eastAsia="zh-CN"/>
              </w:rPr>
              <w:t>排放点下游（顺水流向）10km范围、近岸海域一个潮周期水质点可能达到的最大水平距离的两倍范围内无上述类型1和类型2包括的敏感保护目标</w:t>
            </w:r>
          </w:p>
        </w:tc>
      </w:tr>
    </w:tbl>
    <w:p w14:paraId="1BC74A2E">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16</w:t>
      </w:r>
      <w:r>
        <w:rPr>
          <w:color w:val="auto"/>
          <w:lang w:val="en-US" w:eastAsia="zh-CN"/>
        </w:rPr>
        <w:fldChar w:fldCharType="end"/>
      </w:r>
      <w:r>
        <w:rPr>
          <w:color w:val="auto"/>
          <w:lang w:val="en-US" w:eastAsia="zh-CN"/>
        </w:rPr>
        <w:t>地下水环境敏感程度分级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0"/>
        <w:gridCol w:w="2726"/>
        <w:gridCol w:w="1672"/>
        <w:gridCol w:w="2478"/>
      </w:tblGrid>
      <w:tr w14:paraId="1AB0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6" w:type="pct"/>
            <w:vMerge w:val="restart"/>
            <w:tcMar>
              <w:left w:w="0" w:type="dxa"/>
              <w:right w:w="0" w:type="dxa"/>
            </w:tcMar>
            <w:vAlign w:val="center"/>
          </w:tcPr>
          <w:p w14:paraId="3181E25E">
            <w:pPr>
              <w:pStyle w:val="36"/>
              <w:bidi w:val="0"/>
              <w:rPr>
                <w:color w:val="auto"/>
              </w:rPr>
            </w:pPr>
            <w:r>
              <w:rPr>
                <w:color w:val="auto"/>
              </w:rPr>
              <w:t>包气带防污性能</w:t>
            </w:r>
          </w:p>
        </w:tc>
        <w:tc>
          <w:tcPr>
            <w:tcW w:w="4134" w:type="pct"/>
            <w:gridSpan w:val="3"/>
            <w:tcMar>
              <w:left w:w="0" w:type="dxa"/>
              <w:right w:w="0" w:type="dxa"/>
            </w:tcMar>
            <w:vAlign w:val="center"/>
          </w:tcPr>
          <w:p w14:paraId="3B9B23E0">
            <w:pPr>
              <w:pStyle w:val="36"/>
              <w:bidi w:val="0"/>
              <w:rPr>
                <w:color w:val="auto"/>
              </w:rPr>
            </w:pPr>
            <w:r>
              <w:rPr>
                <w:color w:val="auto"/>
              </w:rPr>
              <w:t>地下水功能敏感性</w:t>
            </w:r>
          </w:p>
        </w:tc>
      </w:tr>
      <w:tr w14:paraId="4930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Mar>
              <w:left w:w="0" w:type="dxa"/>
              <w:right w:w="0" w:type="dxa"/>
            </w:tcMar>
            <w:vAlign w:val="center"/>
          </w:tcPr>
          <w:p w14:paraId="5E0836C6">
            <w:pPr>
              <w:pStyle w:val="36"/>
              <w:bidi w:val="0"/>
              <w:rPr>
                <w:color w:val="auto"/>
              </w:rPr>
            </w:pPr>
          </w:p>
        </w:tc>
        <w:tc>
          <w:tcPr>
            <w:tcW w:w="1639" w:type="pct"/>
            <w:tcMar>
              <w:left w:w="0" w:type="dxa"/>
              <w:right w:w="0" w:type="dxa"/>
            </w:tcMar>
            <w:vAlign w:val="center"/>
          </w:tcPr>
          <w:p w14:paraId="47E69EB2">
            <w:pPr>
              <w:pStyle w:val="36"/>
              <w:bidi w:val="0"/>
              <w:rPr>
                <w:color w:val="auto"/>
              </w:rPr>
            </w:pPr>
            <w:r>
              <w:rPr>
                <w:color w:val="auto"/>
              </w:rPr>
              <w:t>G1</w:t>
            </w:r>
          </w:p>
        </w:tc>
        <w:tc>
          <w:tcPr>
            <w:tcW w:w="1005" w:type="pct"/>
            <w:tcMar>
              <w:left w:w="0" w:type="dxa"/>
              <w:right w:w="0" w:type="dxa"/>
            </w:tcMar>
            <w:vAlign w:val="center"/>
          </w:tcPr>
          <w:p w14:paraId="7F045B56">
            <w:pPr>
              <w:pStyle w:val="36"/>
              <w:bidi w:val="0"/>
              <w:rPr>
                <w:color w:val="auto"/>
              </w:rPr>
            </w:pPr>
            <w:r>
              <w:rPr>
                <w:color w:val="auto"/>
              </w:rPr>
              <w:t>G2</w:t>
            </w:r>
          </w:p>
        </w:tc>
        <w:tc>
          <w:tcPr>
            <w:tcW w:w="1490" w:type="pct"/>
            <w:tcMar>
              <w:left w:w="0" w:type="dxa"/>
              <w:right w:w="0" w:type="dxa"/>
            </w:tcMar>
            <w:vAlign w:val="center"/>
          </w:tcPr>
          <w:p w14:paraId="01478759">
            <w:pPr>
              <w:pStyle w:val="36"/>
              <w:bidi w:val="0"/>
              <w:rPr>
                <w:color w:val="auto"/>
              </w:rPr>
            </w:pPr>
            <w:r>
              <w:rPr>
                <w:color w:val="auto"/>
              </w:rPr>
              <w:t>G3</w:t>
            </w:r>
          </w:p>
        </w:tc>
      </w:tr>
      <w:tr w14:paraId="25A4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6" w:type="pct"/>
            <w:tcMar>
              <w:left w:w="0" w:type="dxa"/>
              <w:right w:w="0" w:type="dxa"/>
            </w:tcMar>
            <w:vAlign w:val="center"/>
          </w:tcPr>
          <w:p w14:paraId="39F6C6AE">
            <w:pPr>
              <w:pStyle w:val="26"/>
              <w:bidi w:val="0"/>
              <w:rPr>
                <w:color w:val="auto"/>
              </w:rPr>
            </w:pPr>
            <w:r>
              <w:rPr>
                <w:color w:val="auto"/>
              </w:rPr>
              <w:t>D1</w:t>
            </w:r>
          </w:p>
        </w:tc>
        <w:tc>
          <w:tcPr>
            <w:tcW w:w="1639" w:type="pct"/>
            <w:tcMar>
              <w:left w:w="0" w:type="dxa"/>
              <w:right w:w="0" w:type="dxa"/>
            </w:tcMar>
            <w:vAlign w:val="center"/>
          </w:tcPr>
          <w:p w14:paraId="4A54E576">
            <w:pPr>
              <w:pStyle w:val="26"/>
              <w:bidi w:val="0"/>
              <w:rPr>
                <w:color w:val="auto"/>
              </w:rPr>
            </w:pPr>
            <w:r>
              <w:rPr>
                <w:color w:val="auto"/>
              </w:rPr>
              <w:t>E1</w:t>
            </w:r>
          </w:p>
        </w:tc>
        <w:tc>
          <w:tcPr>
            <w:tcW w:w="1005" w:type="pct"/>
            <w:tcMar>
              <w:left w:w="0" w:type="dxa"/>
              <w:right w:w="0" w:type="dxa"/>
            </w:tcMar>
            <w:vAlign w:val="center"/>
          </w:tcPr>
          <w:p w14:paraId="79E4474B">
            <w:pPr>
              <w:pStyle w:val="26"/>
              <w:bidi w:val="0"/>
              <w:rPr>
                <w:color w:val="auto"/>
              </w:rPr>
            </w:pPr>
            <w:r>
              <w:rPr>
                <w:color w:val="auto"/>
              </w:rPr>
              <w:t>E1</w:t>
            </w:r>
          </w:p>
        </w:tc>
        <w:tc>
          <w:tcPr>
            <w:tcW w:w="1490" w:type="pct"/>
            <w:shd w:val="clear" w:color="auto" w:fill="E7E6E6" w:themeFill="background2"/>
            <w:tcMar>
              <w:left w:w="0" w:type="dxa"/>
              <w:right w:w="0" w:type="dxa"/>
            </w:tcMar>
            <w:vAlign w:val="center"/>
          </w:tcPr>
          <w:p w14:paraId="7E7A6834">
            <w:pPr>
              <w:pStyle w:val="26"/>
              <w:bidi w:val="0"/>
              <w:rPr>
                <w:color w:val="auto"/>
              </w:rPr>
            </w:pPr>
            <w:r>
              <w:rPr>
                <w:color w:val="auto"/>
              </w:rPr>
              <w:t>E2</w:t>
            </w:r>
          </w:p>
        </w:tc>
      </w:tr>
      <w:tr w14:paraId="4BEF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6" w:type="pct"/>
            <w:tcMar>
              <w:left w:w="0" w:type="dxa"/>
              <w:right w:w="0" w:type="dxa"/>
            </w:tcMar>
            <w:vAlign w:val="center"/>
          </w:tcPr>
          <w:p w14:paraId="474FF5A2">
            <w:pPr>
              <w:pStyle w:val="26"/>
              <w:bidi w:val="0"/>
              <w:rPr>
                <w:color w:val="auto"/>
              </w:rPr>
            </w:pPr>
            <w:r>
              <w:rPr>
                <w:color w:val="auto"/>
              </w:rPr>
              <w:t>D2</w:t>
            </w:r>
          </w:p>
        </w:tc>
        <w:tc>
          <w:tcPr>
            <w:tcW w:w="1639" w:type="pct"/>
            <w:tcMar>
              <w:left w:w="0" w:type="dxa"/>
              <w:right w:w="0" w:type="dxa"/>
            </w:tcMar>
            <w:vAlign w:val="center"/>
          </w:tcPr>
          <w:p w14:paraId="30ADA33D">
            <w:pPr>
              <w:pStyle w:val="26"/>
              <w:bidi w:val="0"/>
              <w:rPr>
                <w:color w:val="auto"/>
              </w:rPr>
            </w:pPr>
            <w:r>
              <w:rPr>
                <w:color w:val="auto"/>
              </w:rPr>
              <w:t>E1</w:t>
            </w:r>
          </w:p>
        </w:tc>
        <w:tc>
          <w:tcPr>
            <w:tcW w:w="1005" w:type="pct"/>
            <w:tcMar>
              <w:left w:w="0" w:type="dxa"/>
              <w:right w:w="0" w:type="dxa"/>
            </w:tcMar>
            <w:vAlign w:val="center"/>
          </w:tcPr>
          <w:p w14:paraId="738CDD41">
            <w:pPr>
              <w:pStyle w:val="26"/>
              <w:bidi w:val="0"/>
              <w:rPr>
                <w:color w:val="auto"/>
              </w:rPr>
            </w:pPr>
            <w:r>
              <w:rPr>
                <w:color w:val="auto"/>
              </w:rPr>
              <w:t>E2</w:t>
            </w:r>
          </w:p>
        </w:tc>
        <w:tc>
          <w:tcPr>
            <w:tcW w:w="1490" w:type="pct"/>
            <w:shd w:val="clear" w:color="auto" w:fill="FFFFFF" w:themeFill="background1"/>
            <w:tcMar>
              <w:left w:w="0" w:type="dxa"/>
              <w:right w:w="0" w:type="dxa"/>
            </w:tcMar>
            <w:vAlign w:val="center"/>
          </w:tcPr>
          <w:p w14:paraId="41494C7A">
            <w:pPr>
              <w:pStyle w:val="26"/>
              <w:bidi w:val="0"/>
              <w:rPr>
                <w:color w:val="auto"/>
              </w:rPr>
            </w:pPr>
            <w:r>
              <w:rPr>
                <w:color w:val="auto"/>
              </w:rPr>
              <w:t>E3</w:t>
            </w:r>
          </w:p>
        </w:tc>
      </w:tr>
      <w:tr w14:paraId="60DC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6" w:type="pct"/>
            <w:tcMar>
              <w:left w:w="0" w:type="dxa"/>
              <w:right w:w="0" w:type="dxa"/>
            </w:tcMar>
            <w:vAlign w:val="center"/>
          </w:tcPr>
          <w:p w14:paraId="2A911009">
            <w:pPr>
              <w:pStyle w:val="26"/>
              <w:bidi w:val="0"/>
              <w:rPr>
                <w:color w:val="auto"/>
              </w:rPr>
            </w:pPr>
            <w:r>
              <w:rPr>
                <w:color w:val="auto"/>
              </w:rPr>
              <w:t>D3</w:t>
            </w:r>
          </w:p>
        </w:tc>
        <w:tc>
          <w:tcPr>
            <w:tcW w:w="1639" w:type="pct"/>
            <w:tcMar>
              <w:left w:w="0" w:type="dxa"/>
              <w:right w:w="0" w:type="dxa"/>
            </w:tcMar>
            <w:vAlign w:val="center"/>
          </w:tcPr>
          <w:p w14:paraId="7E9DB4FD">
            <w:pPr>
              <w:pStyle w:val="26"/>
              <w:bidi w:val="0"/>
              <w:rPr>
                <w:color w:val="auto"/>
              </w:rPr>
            </w:pPr>
            <w:r>
              <w:rPr>
                <w:color w:val="auto"/>
              </w:rPr>
              <w:t>E2</w:t>
            </w:r>
          </w:p>
        </w:tc>
        <w:tc>
          <w:tcPr>
            <w:tcW w:w="1005" w:type="pct"/>
            <w:tcMar>
              <w:left w:w="0" w:type="dxa"/>
              <w:right w:w="0" w:type="dxa"/>
            </w:tcMar>
            <w:vAlign w:val="center"/>
          </w:tcPr>
          <w:p w14:paraId="039A112A">
            <w:pPr>
              <w:pStyle w:val="26"/>
              <w:bidi w:val="0"/>
              <w:rPr>
                <w:color w:val="auto"/>
              </w:rPr>
            </w:pPr>
            <w:r>
              <w:rPr>
                <w:color w:val="auto"/>
              </w:rPr>
              <w:t>E3</w:t>
            </w:r>
          </w:p>
        </w:tc>
        <w:tc>
          <w:tcPr>
            <w:tcW w:w="1490" w:type="pct"/>
            <w:shd w:val="clear" w:color="auto" w:fill="FFFFFF" w:themeFill="background1"/>
            <w:tcMar>
              <w:left w:w="0" w:type="dxa"/>
              <w:right w:w="0" w:type="dxa"/>
            </w:tcMar>
            <w:vAlign w:val="center"/>
          </w:tcPr>
          <w:p w14:paraId="4F457954">
            <w:pPr>
              <w:pStyle w:val="26"/>
              <w:bidi w:val="0"/>
              <w:rPr>
                <w:color w:val="auto"/>
              </w:rPr>
            </w:pPr>
            <w:r>
              <w:rPr>
                <w:color w:val="auto"/>
              </w:rPr>
              <w:t>E3</w:t>
            </w:r>
          </w:p>
        </w:tc>
      </w:tr>
    </w:tbl>
    <w:p w14:paraId="5C5B5E23">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17</w:t>
      </w:r>
      <w:r>
        <w:rPr>
          <w:color w:val="auto"/>
          <w:lang w:val="en-US" w:eastAsia="zh-CN"/>
        </w:rPr>
        <w:fldChar w:fldCharType="end"/>
      </w:r>
      <w:r>
        <w:rPr>
          <w:color w:val="auto"/>
          <w:lang w:val="en-US" w:eastAsia="zh-CN"/>
        </w:rPr>
        <w:t>厂区地下水功能敏感性分区</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17"/>
        <w:gridCol w:w="6899"/>
      </w:tblGrid>
      <w:tr w14:paraId="307F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2" w:type="pct"/>
            <w:tcMar>
              <w:left w:w="0" w:type="dxa"/>
              <w:right w:w="0" w:type="dxa"/>
            </w:tcMar>
            <w:vAlign w:val="center"/>
          </w:tcPr>
          <w:p w14:paraId="56FBE2DF">
            <w:pPr>
              <w:pStyle w:val="36"/>
              <w:bidi w:val="0"/>
              <w:rPr>
                <w:color w:val="auto"/>
              </w:rPr>
            </w:pPr>
            <w:r>
              <w:rPr>
                <w:color w:val="auto"/>
              </w:rPr>
              <w:t>敏感性</w:t>
            </w:r>
          </w:p>
        </w:tc>
        <w:tc>
          <w:tcPr>
            <w:tcW w:w="4148" w:type="pct"/>
            <w:tcMar>
              <w:left w:w="0" w:type="dxa"/>
              <w:right w:w="0" w:type="dxa"/>
            </w:tcMar>
            <w:vAlign w:val="center"/>
          </w:tcPr>
          <w:p w14:paraId="4775E80D">
            <w:pPr>
              <w:pStyle w:val="36"/>
              <w:bidi w:val="0"/>
              <w:rPr>
                <w:color w:val="auto"/>
              </w:rPr>
            </w:pPr>
            <w:r>
              <w:rPr>
                <w:color w:val="auto"/>
              </w:rPr>
              <w:t>地下水环境敏感特征</w:t>
            </w:r>
          </w:p>
        </w:tc>
      </w:tr>
      <w:tr w14:paraId="51F1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2" w:type="pct"/>
            <w:tcMar>
              <w:left w:w="0" w:type="dxa"/>
              <w:right w:w="0" w:type="dxa"/>
            </w:tcMar>
            <w:vAlign w:val="center"/>
          </w:tcPr>
          <w:p w14:paraId="7BF5B4A8">
            <w:pPr>
              <w:pStyle w:val="26"/>
              <w:bidi w:val="0"/>
              <w:rPr>
                <w:color w:val="auto"/>
              </w:rPr>
            </w:pPr>
            <w:r>
              <w:rPr>
                <w:color w:val="auto"/>
              </w:rPr>
              <w:t>敏感G1</w:t>
            </w:r>
          </w:p>
        </w:tc>
        <w:tc>
          <w:tcPr>
            <w:tcW w:w="4148" w:type="pct"/>
            <w:tcMar>
              <w:left w:w="0" w:type="dxa"/>
              <w:right w:w="0" w:type="dxa"/>
            </w:tcMar>
            <w:vAlign w:val="center"/>
          </w:tcPr>
          <w:p w14:paraId="7D7A4877">
            <w:pPr>
              <w:pStyle w:val="26"/>
              <w:bidi w:val="0"/>
              <w:jc w:val="both"/>
              <w:rPr>
                <w:color w:val="auto"/>
              </w:rPr>
            </w:pPr>
            <w:r>
              <w:rPr>
                <w:color w:val="auto"/>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6C5D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2" w:type="pct"/>
            <w:tcMar>
              <w:left w:w="0" w:type="dxa"/>
              <w:right w:w="0" w:type="dxa"/>
            </w:tcMar>
            <w:vAlign w:val="center"/>
          </w:tcPr>
          <w:p w14:paraId="4DECCBE1">
            <w:pPr>
              <w:pStyle w:val="26"/>
              <w:bidi w:val="0"/>
              <w:rPr>
                <w:color w:val="auto"/>
              </w:rPr>
            </w:pPr>
            <w:r>
              <w:rPr>
                <w:color w:val="auto"/>
              </w:rPr>
              <w:t>较敏感G2</w:t>
            </w:r>
          </w:p>
        </w:tc>
        <w:tc>
          <w:tcPr>
            <w:tcW w:w="4148" w:type="pct"/>
            <w:tcMar>
              <w:left w:w="0" w:type="dxa"/>
              <w:right w:w="0" w:type="dxa"/>
            </w:tcMar>
            <w:vAlign w:val="center"/>
          </w:tcPr>
          <w:p w14:paraId="0A2D7776">
            <w:pPr>
              <w:pStyle w:val="26"/>
              <w:bidi w:val="0"/>
              <w:jc w:val="both"/>
              <w:rPr>
                <w:color w:val="auto"/>
              </w:rPr>
            </w:pPr>
            <w:r>
              <w:rPr>
                <w:color w:val="auto"/>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a</w:t>
            </w:r>
          </w:p>
        </w:tc>
      </w:tr>
      <w:tr w14:paraId="38E1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52" w:type="pct"/>
            <w:shd w:val="clear" w:color="auto" w:fill="D8D8D8" w:themeFill="background1" w:themeFillShade="D9"/>
            <w:tcMar>
              <w:left w:w="0" w:type="dxa"/>
              <w:right w:w="0" w:type="dxa"/>
            </w:tcMar>
            <w:vAlign w:val="center"/>
          </w:tcPr>
          <w:p w14:paraId="5FAF2BBF">
            <w:pPr>
              <w:pStyle w:val="26"/>
              <w:bidi w:val="0"/>
              <w:rPr>
                <w:color w:val="auto"/>
              </w:rPr>
            </w:pPr>
            <w:r>
              <w:rPr>
                <w:color w:val="auto"/>
              </w:rPr>
              <w:t>不敏感G3</w:t>
            </w:r>
          </w:p>
        </w:tc>
        <w:tc>
          <w:tcPr>
            <w:tcW w:w="4148" w:type="pct"/>
            <w:shd w:val="clear" w:color="auto" w:fill="D8D8D8" w:themeFill="background1" w:themeFillShade="D9"/>
            <w:tcMar>
              <w:left w:w="0" w:type="dxa"/>
              <w:right w:w="0" w:type="dxa"/>
            </w:tcMar>
            <w:vAlign w:val="center"/>
          </w:tcPr>
          <w:p w14:paraId="4BCF77DD">
            <w:pPr>
              <w:pStyle w:val="26"/>
              <w:bidi w:val="0"/>
              <w:rPr>
                <w:color w:val="auto"/>
              </w:rPr>
            </w:pPr>
            <w:r>
              <w:rPr>
                <w:color w:val="auto"/>
              </w:rPr>
              <w:t>上述地区之外的其他地区</w:t>
            </w:r>
          </w:p>
        </w:tc>
      </w:tr>
      <w:tr w14:paraId="0D09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2"/>
            <w:tcMar>
              <w:left w:w="0" w:type="dxa"/>
              <w:right w:w="0" w:type="dxa"/>
            </w:tcMar>
            <w:vAlign w:val="center"/>
          </w:tcPr>
          <w:p w14:paraId="56C25827">
            <w:pPr>
              <w:pStyle w:val="26"/>
              <w:bidi w:val="0"/>
              <w:jc w:val="both"/>
              <w:rPr>
                <w:color w:val="auto"/>
              </w:rPr>
            </w:pPr>
            <w:r>
              <w:rPr>
                <w:color w:val="auto"/>
              </w:rPr>
              <w:t>a“环境敏感区”是指《建设项目环境影响评价分类管理名录》中所界定的涉及地下水的环境敏感区</w:t>
            </w:r>
          </w:p>
        </w:tc>
      </w:tr>
    </w:tbl>
    <w:p w14:paraId="2E2C9E16">
      <w:pPr>
        <w:rPr>
          <w:rFonts w:ascii="Times New Roman" w:hAnsi="Times New Roman"/>
          <w:b/>
          <w:color w:val="auto"/>
          <w:kern w:val="0"/>
          <w:sz w:val="24"/>
          <w:highlight w:val="none"/>
        </w:rPr>
      </w:pPr>
      <w:r>
        <w:rPr>
          <w:rFonts w:hint="eastAsia" w:ascii="Times New Roman" w:hAnsi="Times New Roman"/>
          <w:bCs/>
          <w:color w:val="auto"/>
          <w:lang w:val="en-US" w:eastAsia="zh-CN"/>
        </w:rPr>
        <w:t>根据企业早期</w:t>
      </w:r>
      <w:r>
        <w:rPr>
          <w:rFonts w:hint="eastAsia" w:ascii="Times New Roman" w:hAnsi="Times New Roman"/>
          <w:bCs/>
          <w:color w:val="auto"/>
          <w:lang w:eastAsia="zh-CN"/>
        </w:rPr>
        <w:t>《</w:t>
      </w:r>
      <w:r>
        <w:rPr>
          <w:rFonts w:hint="eastAsia" w:ascii="Times New Roman" w:hAnsi="Times New Roman"/>
          <w:bCs/>
          <w:color w:val="auto"/>
          <w:lang w:val="en-US" w:eastAsia="zh-CN"/>
        </w:rPr>
        <w:t>苏州昆运制版有限公司绿色智能化制版项目岩土工程勘察报告</w:t>
      </w:r>
      <w:r>
        <w:rPr>
          <w:rFonts w:hint="eastAsia" w:ascii="Times New Roman" w:hAnsi="Times New Roman"/>
          <w:bCs/>
          <w:color w:val="auto"/>
          <w:lang w:eastAsia="zh-CN"/>
        </w:rPr>
        <w:t>》（</w:t>
      </w:r>
      <w:r>
        <w:rPr>
          <w:rFonts w:hint="eastAsia" w:ascii="Times New Roman" w:hAnsi="Times New Roman"/>
          <w:bCs/>
          <w:color w:val="auto"/>
          <w:lang w:val="en-US" w:eastAsia="zh-CN"/>
        </w:rPr>
        <w:t>工程编号：HYKC-260410，昆山华一岩土勘察工程有限公司</w:t>
      </w:r>
      <w:r>
        <w:rPr>
          <w:rFonts w:hint="eastAsia" w:ascii="Times New Roman" w:hAnsi="Times New Roman"/>
          <w:bCs/>
          <w:color w:val="auto"/>
          <w:lang w:eastAsia="zh-CN"/>
        </w:rPr>
        <w:t>）</w:t>
      </w:r>
      <w:r>
        <w:rPr>
          <w:rFonts w:ascii="Times New Roman" w:hAnsi="Times New Roman"/>
          <w:bCs/>
          <w:color w:val="auto"/>
        </w:rPr>
        <w:t>，建设项目场地内包气带岩（土）层单层厚度</w:t>
      </w:r>
      <w:r>
        <w:rPr>
          <w:rFonts w:hint="eastAsia" w:ascii="Times New Roman" w:hAnsi="Times New Roman"/>
          <w:bCs/>
          <w:color w:val="auto"/>
          <w:lang w:val="en-US" w:eastAsia="zh-CN"/>
        </w:rPr>
        <w:t>0.50-2.20m，平均1.19m</w:t>
      </w:r>
      <w:r>
        <w:rPr>
          <w:rFonts w:ascii="Times New Roman" w:hAnsi="Times New Roman"/>
          <w:bCs/>
          <w:color w:val="auto"/>
          <w:highlight w:val="none"/>
        </w:rPr>
        <w:t>，且分布连续、稳定</w:t>
      </w:r>
      <w:r>
        <w:rPr>
          <w:rFonts w:hint="eastAsia" w:ascii="Times New Roman" w:hAnsi="Times New Roman"/>
          <w:bCs/>
          <w:color w:val="auto"/>
          <w:highlight w:val="none"/>
          <w:lang w:eastAsia="zh-CN"/>
        </w:rPr>
        <w:t>，</w:t>
      </w:r>
      <w:r>
        <w:rPr>
          <w:rFonts w:hint="eastAsia" w:ascii="Times New Roman" w:hAnsi="Times New Roman"/>
          <w:bCs/>
          <w:color w:val="auto"/>
          <w:highlight w:val="none"/>
          <w:lang w:val="en-US" w:eastAsia="zh-CN"/>
        </w:rPr>
        <w:t>根据土壤现状监测数据，场地包气带岩(土)层渗透系数为1.</w:t>
      </w:r>
      <w:r>
        <w:rPr>
          <w:rFonts w:hint="eastAsia"/>
          <w:bCs/>
          <w:color w:val="auto"/>
          <w:highlight w:val="none"/>
          <w:lang w:val="en-US" w:eastAsia="zh-CN"/>
        </w:rPr>
        <w:t>0</w:t>
      </w:r>
      <w:r>
        <w:rPr>
          <w:rFonts w:hint="eastAsia" w:ascii="Times New Roman" w:hAnsi="Times New Roman"/>
          <w:bCs/>
          <w:color w:val="auto"/>
          <w:highlight w:val="none"/>
          <w:lang w:val="en-US" w:eastAsia="zh-CN"/>
        </w:rPr>
        <w:t>×10</w:t>
      </w:r>
      <w:r>
        <w:rPr>
          <w:rFonts w:hint="eastAsia" w:ascii="Times New Roman" w:hAnsi="Times New Roman"/>
          <w:bCs/>
          <w:color w:val="auto"/>
          <w:highlight w:val="none"/>
          <w:vertAlign w:val="superscript"/>
          <w:lang w:val="en-US" w:eastAsia="zh-CN"/>
        </w:rPr>
        <w:t>-5</w:t>
      </w:r>
      <w:r>
        <w:rPr>
          <w:rFonts w:hint="eastAsia" w:ascii="Times New Roman" w:hAnsi="Times New Roman"/>
          <w:bCs/>
          <w:color w:val="auto"/>
          <w:highlight w:val="none"/>
          <w:vertAlign w:val="baseline"/>
          <w:lang w:val="en-US" w:eastAsia="zh-CN"/>
        </w:rPr>
        <w:t>cm/s</w:t>
      </w:r>
      <w:r>
        <w:rPr>
          <w:rFonts w:ascii="Times New Roman" w:hAnsi="Times New Roman"/>
          <w:bCs/>
          <w:color w:val="auto"/>
          <w:highlight w:val="none"/>
        </w:rPr>
        <w:t>。</w:t>
      </w:r>
    </w:p>
    <w:p w14:paraId="7B9E4FA7">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2.3</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18</w:t>
      </w:r>
      <w:r>
        <w:rPr>
          <w:color w:val="auto"/>
          <w:lang w:val="en-US" w:eastAsia="zh-CN"/>
        </w:rPr>
        <w:fldChar w:fldCharType="end"/>
      </w:r>
      <w:r>
        <w:rPr>
          <w:color w:val="auto"/>
          <w:lang w:val="en-US" w:eastAsia="zh-CN"/>
        </w:rPr>
        <w:t>包气带防污性能分级</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9"/>
        <w:gridCol w:w="7157"/>
      </w:tblGrid>
      <w:tr w14:paraId="100F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tcMar>
              <w:left w:w="0" w:type="dxa"/>
              <w:right w:w="0" w:type="dxa"/>
            </w:tcMar>
            <w:vAlign w:val="center"/>
          </w:tcPr>
          <w:p w14:paraId="63B5D7D7">
            <w:pPr>
              <w:pStyle w:val="36"/>
              <w:bidi w:val="0"/>
              <w:rPr>
                <w:color w:val="auto"/>
              </w:rPr>
            </w:pPr>
            <w:r>
              <w:rPr>
                <w:color w:val="auto"/>
              </w:rPr>
              <w:t>分级</w:t>
            </w:r>
          </w:p>
        </w:tc>
        <w:tc>
          <w:tcPr>
            <w:tcW w:w="4303" w:type="pct"/>
            <w:tcMar>
              <w:left w:w="0" w:type="dxa"/>
              <w:right w:w="0" w:type="dxa"/>
            </w:tcMar>
            <w:vAlign w:val="center"/>
          </w:tcPr>
          <w:p w14:paraId="34EBB32E">
            <w:pPr>
              <w:pStyle w:val="36"/>
              <w:bidi w:val="0"/>
              <w:rPr>
                <w:color w:val="auto"/>
              </w:rPr>
            </w:pPr>
            <w:r>
              <w:rPr>
                <w:color w:val="auto"/>
              </w:rPr>
              <w:t>包气带岩土的渗透性能</w:t>
            </w:r>
          </w:p>
        </w:tc>
      </w:tr>
      <w:tr w14:paraId="43B7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tcMar>
              <w:left w:w="0" w:type="dxa"/>
              <w:right w:w="0" w:type="dxa"/>
            </w:tcMar>
            <w:vAlign w:val="center"/>
          </w:tcPr>
          <w:p w14:paraId="770F7FDE">
            <w:pPr>
              <w:pStyle w:val="26"/>
              <w:bidi w:val="0"/>
              <w:rPr>
                <w:color w:val="auto"/>
              </w:rPr>
            </w:pPr>
            <w:r>
              <w:rPr>
                <w:color w:val="auto"/>
              </w:rPr>
              <w:t>D3</w:t>
            </w:r>
          </w:p>
        </w:tc>
        <w:tc>
          <w:tcPr>
            <w:tcW w:w="4303" w:type="pct"/>
            <w:tcMar>
              <w:left w:w="0" w:type="dxa"/>
              <w:right w:w="0" w:type="dxa"/>
            </w:tcMar>
            <w:vAlign w:val="center"/>
          </w:tcPr>
          <w:p w14:paraId="64602CAD">
            <w:pPr>
              <w:pStyle w:val="26"/>
              <w:bidi w:val="0"/>
              <w:jc w:val="left"/>
              <w:rPr>
                <w:color w:val="auto"/>
              </w:rPr>
            </w:pPr>
            <w:r>
              <w:rPr>
                <w:color w:val="auto"/>
              </w:rPr>
              <w:t>Mb≥1.0m，K≤1.0×10-6cm/s，且分布连续、稳定</w:t>
            </w:r>
          </w:p>
        </w:tc>
      </w:tr>
      <w:tr w14:paraId="74EC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shd w:val="clear" w:color="auto" w:fill="FFFFFF" w:themeFill="background1"/>
            <w:tcMar>
              <w:left w:w="0" w:type="dxa"/>
              <w:right w:w="0" w:type="dxa"/>
            </w:tcMar>
            <w:vAlign w:val="center"/>
          </w:tcPr>
          <w:p w14:paraId="050F0C5C">
            <w:pPr>
              <w:pStyle w:val="26"/>
              <w:bidi w:val="0"/>
              <w:rPr>
                <w:color w:val="auto"/>
              </w:rPr>
            </w:pPr>
            <w:r>
              <w:rPr>
                <w:color w:val="auto"/>
              </w:rPr>
              <w:t>D2</w:t>
            </w:r>
          </w:p>
        </w:tc>
        <w:tc>
          <w:tcPr>
            <w:tcW w:w="4303" w:type="pct"/>
            <w:shd w:val="clear" w:color="auto" w:fill="FFFFFF" w:themeFill="background1"/>
            <w:tcMar>
              <w:left w:w="0" w:type="dxa"/>
              <w:right w:w="0" w:type="dxa"/>
            </w:tcMar>
            <w:vAlign w:val="center"/>
          </w:tcPr>
          <w:p w14:paraId="17D9B4E1">
            <w:pPr>
              <w:pStyle w:val="26"/>
              <w:bidi w:val="0"/>
              <w:jc w:val="left"/>
              <w:rPr>
                <w:color w:val="auto"/>
              </w:rPr>
            </w:pPr>
            <w:r>
              <w:rPr>
                <w:color w:val="auto"/>
              </w:rPr>
              <w:t>0.5m≤Mb&lt;1.0m，K≤1.0×10</w:t>
            </w:r>
            <w:r>
              <w:rPr>
                <w:color w:val="auto"/>
                <w:vertAlign w:val="superscript"/>
              </w:rPr>
              <w:t>-6</w:t>
            </w:r>
            <w:r>
              <w:rPr>
                <w:color w:val="auto"/>
              </w:rPr>
              <w:t>cm/s，且分布连续、稳定</w:t>
            </w:r>
          </w:p>
          <w:p w14:paraId="0D41265A">
            <w:pPr>
              <w:pStyle w:val="26"/>
              <w:bidi w:val="0"/>
              <w:jc w:val="left"/>
              <w:rPr>
                <w:color w:val="auto"/>
              </w:rPr>
            </w:pPr>
            <w:r>
              <w:rPr>
                <w:color w:val="auto"/>
              </w:rPr>
              <w:t>Mb≥1.0m，1.0×10</w:t>
            </w:r>
            <w:r>
              <w:rPr>
                <w:color w:val="auto"/>
                <w:vertAlign w:val="superscript"/>
              </w:rPr>
              <w:t>-6</w:t>
            </w:r>
            <w:r>
              <w:rPr>
                <w:color w:val="auto"/>
              </w:rPr>
              <w:t>cm/s＜K≤1.0×10</w:t>
            </w:r>
            <w:r>
              <w:rPr>
                <w:color w:val="auto"/>
                <w:vertAlign w:val="superscript"/>
              </w:rPr>
              <w:t>-4</w:t>
            </w:r>
            <w:r>
              <w:rPr>
                <w:color w:val="auto"/>
              </w:rPr>
              <w:t>cm/s，且分布连续、稳定</w:t>
            </w:r>
          </w:p>
        </w:tc>
      </w:tr>
      <w:tr w14:paraId="4744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shd w:val="clear" w:color="auto" w:fill="E7E6E6" w:themeFill="background2"/>
            <w:tcMar>
              <w:left w:w="0" w:type="dxa"/>
              <w:right w:w="0" w:type="dxa"/>
            </w:tcMar>
            <w:vAlign w:val="center"/>
          </w:tcPr>
          <w:p w14:paraId="0E254042">
            <w:pPr>
              <w:pStyle w:val="26"/>
              <w:bidi w:val="0"/>
              <w:rPr>
                <w:color w:val="auto"/>
              </w:rPr>
            </w:pPr>
            <w:r>
              <w:rPr>
                <w:color w:val="auto"/>
              </w:rPr>
              <w:t>D1</w:t>
            </w:r>
          </w:p>
        </w:tc>
        <w:tc>
          <w:tcPr>
            <w:tcW w:w="4303" w:type="pct"/>
            <w:shd w:val="clear" w:color="auto" w:fill="E7E6E6" w:themeFill="background2"/>
            <w:tcMar>
              <w:left w:w="0" w:type="dxa"/>
              <w:right w:w="0" w:type="dxa"/>
            </w:tcMar>
            <w:vAlign w:val="center"/>
          </w:tcPr>
          <w:p w14:paraId="0C029066">
            <w:pPr>
              <w:pStyle w:val="26"/>
              <w:bidi w:val="0"/>
              <w:jc w:val="left"/>
              <w:rPr>
                <w:color w:val="auto"/>
              </w:rPr>
            </w:pPr>
            <w:r>
              <w:rPr>
                <w:color w:val="auto"/>
              </w:rPr>
              <w:t>岩（土）层不满足上述“D2”和“D3”条件</w:t>
            </w:r>
          </w:p>
        </w:tc>
      </w:tr>
      <w:tr w14:paraId="4F95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00" w:type="pct"/>
            <w:gridSpan w:val="2"/>
            <w:tcMar>
              <w:left w:w="0" w:type="dxa"/>
              <w:right w:w="0" w:type="dxa"/>
            </w:tcMar>
            <w:vAlign w:val="center"/>
          </w:tcPr>
          <w:p w14:paraId="392243E6">
            <w:pPr>
              <w:pStyle w:val="26"/>
              <w:bidi w:val="0"/>
              <w:jc w:val="left"/>
              <w:rPr>
                <w:color w:val="auto"/>
              </w:rPr>
            </w:pPr>
            <w:r>
              <w:rPr>
                <w:color w:val="auto"/>
              </w:rPr>
              <w:t>Mb：岩土层的单层厚度。</w:t>
            </w:r>
          </w:p>
          <w:p w14:paraId="150E500B">
            <w:pPr>
              <w:pStyle w:val="26"/>
              <w:bidi w:val="0"/>
              <w:jc w:val="left"/>
              <w:rPr>
                <w:color w:val="auto"/>
              </w:rPr>
            </w:pPr>
            <w:r>
              <w:rPr>
                <w:color w:val="auto"/>
              </w:rPr>
              <w:t>K：渗透系数。</w:t>
            </w:r>
          </w:p>
        </w:tc>
      </w:tr>
    </w:tbl>
    <w:p w14:paraId="0C87593A">
      <w:pPr>
        <w:pStyle w:val="46"/>
        <w:bidi w:val="0"/>
        <w:rPr>
          <w:color w:val="auto"/>
          <w:highlight w:val="none"/>
        </w:rPr>
      </w:pPr>
      <w:r>
        <w:rPr>
          <w:color w:val="auto"/>
          <w:highlight w:val="none"/>
        </w:rPr>
        <w:t>（</w:t>
      </w:r>
      <w:r>
        <w:rPr>
          <w:rFonts w:hint="eastAsia"/>
          <w:color w:val="auto"/>
          <w:highlight w:val="none"/>
          <w:lang w:val="en-US" w:eastAsia="zh-CN"/>
        </w:rPr>
        <w:t>2</w:t>
      </w:r>
      <w:r>
        <w:rPr>
          <w:color w:val="auto"/>
          <w:highlight w:val="none"/>
        </w:rPr>
        <w:t>）环境风险潜势判定</w:t>
      </w:r>
    </w:p>
    <w:p w14:paraId="174AF261">
      <w:pPr>
        <w:jc w:val="left"/>
        <w:rPr>
          <w:rFonts w:ascii="Times New Roman" w:hAnsi="Times New Roman"/>
          <w:color w:val="auto"/>
          <w:szCs w:val="28"/>
          <w:highlight w:val="none"/>
        </w:rPr>
      </w:pPr>
      <w:r>
        <w:rPr>
          <w:rFonts w:ascii="Times New Roman" w:hAnsi="Times New Roman"/>
          <w:color w:val="auto"/>
          <w:szCs w:val="28"/>
          <w:highlight w:val="none"/>
        </w:rPr>
        <w:t>环境风险潜势判定详见下表。</w:t>
      </w:r>
    </w:p>
    <w:p w14:paraId="4AAD039E">
      <w:pPr>
        <w:pStyle w:val="25"/>
        <w:bidi w:val="0"/>
        <w:rPr>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t>环境风险潜势判定</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63"/>
        <w:gridCol w:w="1588"/>
        <w:gridCol w:w="1588"/>
        <w:gridCol w:w="1588"/>
        <w:gridCol w:w="1589"/>
      </w:tblGrid>
      <w:tr w14:paraId="2AF7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0" w:type="pct"/>
            <w:vMerge w:val="restart"/>
            <w:tcMar>
              <w:left w:w="0" w:type="dxa"/>
              <w:right w:w="0" w:type="dxa"/>
            </w:tcMar>
            <w:vAlign w:val="center"/>
          </w:tcPr>
          <w:p w14:paraId="5FF24839">
            <w:pPr>
              <w:pStyle w:val="36"/>
              <w:bidi w:val="0"/>
              <w:rPr>
                <w:color w:val="auto"/>
                <w:highlight w:val="none"/>
              </w:rPr>
            </w:pPr>
            <w:r>
              <w:rPr>
                <w:color w:val="auto"/>
                <w:highlight w:val="none"/>
              </w:rPr>
              <w:t>环境敏感程度（E）</w:t>
            </w:r>
          </w:p>
        </w:tc>
        <w:tc>
          <w:tcPr>
            <w:tcW w:w="3820" w:type="pct"/>
            <w:gridSpan w:val="4"/>
            <w:tcMar>
              <w:left w:w="0" w:type="dxa"/>
              <w:right w:w="0" w:type="dxa"/>
            </w:tcMar>
            <w:vAlign w:val="center"/>
          </w:tcPr>
          <w:p w14:paraId="706C3F2C">
            <w:pPr>
              <w:pStyle w:val="36"/>
              <w:bidi w:val="0"/>
              <w:rPr>
                <w:color w:val="auto"/>
                <w:highlight w:val="none"/>
              </w:rPr>
            </w:pPr>
            <w:r>
              <w:rPr>
                <w:color w:val="auto"/>
                <w:highlight w:val="none"/>
              </w:rPr>
              <w:t>危险物质及工艺系统危险性（P）</w:t>
            </w:r>
          </w:p>
        </w:tc>
      </w:tr>
      <w:tr w14:paraId="0546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Mar>
              <w:left w:w="0" w:type="dxa"/>
              <w:right w:w="0" w:type="dxa"/>
            </w:tcMar>
            <w:vAlign w:val="center"/>
          </w:tcPr>
          <w:p w14:paraId="35DA73E5">
            <w:pPr>
              <w:pStyle w:val="36"/>
              <w:bidi w:val="0"/>
              <w:rPr>
                <w:color w:val="auto"/>
                <w:highlight w:val="none"/>
              </w:rPr>
            </w:pPr>
          </w:p>
        </w:tc>
        <w:tc>
          <w:tcPr>
            <w:tcW w:w="955" w:type="pct"/>
            <w:tcMar>
              <w:left w:w="0" w:type="dxa"/>
              <w:right w:w="0" w:type="dxa"/>
            </w:tcMar>
            <w:vAlign w:val="center"/>
          </w:tcPr>
          <w:p w14:paraId="1ED9E271">
            <w:pPr>
              <w:pStyle w:val="36"/>
              <w:bidi w:val="0"/>
              <w:rPr>
                <w:color w:val="auto"/>
                <w:highlight w:val="none"/>
              </w:rPr>
            </w:pPr>
            <w:r>
              <w:rPr>
                <w:color w:val="auto"/>
                <w:highlight w:val="none"/>
              </w:rPr>
              <w:t>极高危害（P1）</w:t>
            </w:r>
          </w:p>
        </w:tc>
        <w:tc>
          <w:tcPr>
            <w:tcW w:w="955" w:type="pct"/>
            <w:tcMar>
              <w:left w:w="0" w:type="dxa"/>
              <w:right w:w="0" w:type="dxa"/>
            </w:tcMar>
            <w:vAlign w:val="center"/>
          </w:tcPr>
          <w:p w14:paraId="3CAB29F6">
            <w:pPr>
              <w:pStyle w:val="36"/>
              <w:bidi w:val="0"/>
              <w:rPr>
                <w:color w:val="auto"/>
                <w:highlight w:val="none"/>
              </w:rPr>
            </w:pPr>
            <w:r>
              <w:rPr>
                <w:color w:val="auto"/>
                <w:highlight w:val="none"/>
              </w:rPr>
              <w:t>高度危害（P2）</w:t>
            </w:r>
          </w:p>
        </w:tc>
        <w:tc>
          <w:tcPr>
            <w:tcW w:w="955" w:type="pct"/>
            <w:tcMar>
              <w:left w:w="0" w:type="dxa"/>
              <w:right w:w="0" w:type="dxa"/>
            </w:tcMar>
            <w:vAlign w:val="center"/>
          </w:tcPr>
          <w:p w14:paraId="75D88297">
            <w:pPr>
              <w:pStyle w:val="36"/>
              <w:bidi w:val="0"/>
              <w:rPr>
                <w:color w:val="auto"/>
                <w:highlight w:val="none"/>
              </w:rPr>
            </w:pPr>
            <w:r>
              <w:rPr>
                <w:color w:val="auto"/>
                <w:highlight w:val="none"/>
              </w:rPr>
              <w:t>中度危害（P3）</w:t>
            </w:r>
          </w:p>
        </w:tc>
        <w:tc>
          <w:tcPr>
            <w:tcW w:w="955" w:type="pct"/>
            <w:tcMar>
              <w:left w:w="0" w:type="dxa"/>
              <w:right w:w="0" w:type="dxa"/>
            </w:tcMar>
            <w:vAlign w:val="center"/>
          </w:tcPr>
          <w:p w14:paraId="0125797A">
            <w:pPr>
              <w:pStyle w:val="36"/>
              <w:bidi w:val="0"/>
              <w:rPr>
                <w:color w:val="auto"/>
                <w:highlight w:val="none"/>
              </w:rPr>
            </w:pPr>
            <w:r>
              <w:rPr>
                <w:color w:val="auto"/>
                <w:highlight w:val="none"/>
              </w:rPr>
              <w:t>轻度危害（P4）</w:t>
            </w:r>
          </w:p>
        </w:tc>
      </w:tr>
      <w:tr w14:paraId="13EA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0" w:type="pct"/>
            <w:tcMar>
              <w:left w:w="0" w:type="dxa"/>
              <w:right w:w="0" w:type="dxa"/>
            </w:tcMar>
            <w:vAlign w:val="center"/>
          </w:tcPr>
          <w:p w14:paraId="32D23FD0">
            <w:pPr>
              <w:pStyle w:val="26"/>
              <w:bidi w:val="0"/>
              <w:rPr>
                <w:color w:val="auto"/>
                <w:highlight w:val="none"/>
              </w:rPr>
            </w:pPr>
            <w:r>
              <w:rPr>
                <w:color w:val="auto"/>
                <w:highlight w:val="none"/>
              </w:rPr>
              <w:t>环境高度敏感区（E1）</w:t>
            </w:r>
          </w:p>
        </w:tc>
        <w:tc>
          <w:tcPr>
            <w:tcW w:w="955" w:type="pct"/>
            <w:tcMar>
              <w:left w:w="0" w:type="dxa"/>
              <w:right w:w="0" w:type="dxa"/>
            </w:tcMar>
            <w:vAlign w:val="center"/>
          </w:tcPr>
          <w:p w14:paraId="6707CA3C">
            <w:pPr>
              <w:pStyle w:val="26"/>
              <w:bidi w:val="0"/>
              <w:rPr>
                <w:color w:val="auto"/>
                <w:highlight w:val="none"/>
              </w:rPr>
            </w:pPr>
            <w:r>
              <w:rPr>
                <w:color w:val="auto"/>
                <w:highlight w:val="none"/>
              </w:rPr>
              <w:t>Ⅳ</w:t>
            </w:r>
            <w:r>
              <w:rPr>
                <w:color w:val="auto"/>
                <w:highlight w:val="none"/>
                <w:vertAlign w:val="superscript"/>
              </w:rPr>
              <w:t>+</w:t>
            </w:r>
          </w:p>
        </w:tc>
        <w:tc>
          <w:tcPr>
            <w:tcW w:w="955" w:type="pct"/>
            <w:tcMar>
              <w:left w:w="0" w:type="dxa"/>
              <w:right w:w="0" w:type="dxa"/>
            </w:tcMar>
            <w:vAlign w:val="center"/>
          </w:tcPr>
          <w:p w14:paraId="51B96A29">
            <w:pPr>
              <w:pStyle w:val="26"/>
              <w:bidi w:val="0"/>
              <w:rPr>
                <w:color w:val="auto"/>
                <w:highlight w:val="none"/>
              </w:rPr>
            </w:pPr>
            <w:r>
              <w:rPr>
                <w:color w:val="auto"/>
                <w:highlight w:val="none"/>
              </w:rPr>
              <w:t>Ⅳ</w:t>
            </w:r>
          </w:p>
        </w:tc>
        <w:tc>
          <w:tcPr>
            <w:tcW w:w="955" w:type="pct"/>
            <w:tcMar>
              <w:left w:w="0" w:type="dxa"/>
              <w:right w:w="0" w:type="dxa"/>
            </w:tcMar>
            <w:vAlign w:val="center"/>
          </w:tcPr>
          <w:p w14:paraId="0B090688">
            <w:pPr>
              <w:pStyle w:val="26"/>
              <w:bidi w:val="0"/>
              <w:rPr>
                <w:color w:val="auto"/>
                <w:highlight w:val="none"/>
              </w:rPr>
            </w:pPr>
            <w:r>
              <w:rPr>
                <w:color w:val="auto"/>
                <w:highlight w:val="none"/>
              </w:rPr>
              <w:t>Ⅲ</w:t>
            </w:r>
          </w:p>
        </w:tc>
        <w:tc>
          <w:tcPr>
            <w:tcW w:w="955" w:type="pct"/>
            <w:shd w:val="clear" w:color="auto" w:fill="FFFFFF" w:themeFill="background1"/>
            <w:tcMar>
              <w:left w:w="0" w:type="dxa"/>
              <w:right w:w="0" w:type="dxa"/>
            </w:tcMar>
            <w:vAlign w:val="center"/>
          </w:tcPr>
          <w:p w14:paraId="096978FD">
            <w:pPr>
              <w:pStyle w:val="26"/>
              <w:bidi w:val="0"/>
              <w:rPr>
                <w:color w:val="auto"/>
                <w:highlight w:val="none"/>
              </w:rPr>
            </w:pPr>
            <w:r>
              <w:rPr>
                <w:color w:val="auto"/>
                <w:highlight w:val="none"/>
              </w:rPr>
              <w:t>Ⅲ</w:t>
            </w:r>
          </w:p>
        </w:tc>
      </w:tr>
      <w:tr w14:paraId="604B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0" w:type="pct"/>
            <w:tcMar>
              <w:left w:w="0" w:type="dxa"/>
              <w:right w:w="0" w:type="dxa"/>
            </w:tcMar>
            <w:vAlign w:val="center"/>
          </w:tcPr>
          <w:p w14:paraId="21BDFC37">
            <w:pPr>
              <w:pStyle w:val="26"/>
              <w:bidi w:val="0"/>
              <w:rPr>
                <w:color w:val="auto"/>
                <w:highlight w:val="none"/>
              </w:rPr>
            </w:pPr>
            <w:r>
              <w:rPr>
                <w:color w:val="auto"/>
                <w:highlight w:val="none"/>
              </w:rPr>
              <w:t>环境中度敏感区（E2）</w:t>
            </w:r>
          </w:p>
        </w:tc>
        <w:tc>
          <w:tcPr>
            <w:tcW w:w="955" w:type="pct"/>
            <w:tcMar>
              <w:left w:w="0" w:type="dxa"/>
              <w:right w:w="0" w:type="dxa"/>
            </w:tcMar>
            <w:vAlign w:val="center"/>
          </w:tcPr>
          <w:p w14:paraId="0BD1F0AA">
            <w:pPr>
              <w:pStyle w:val="26"/>
              <w:bidi w:val="0"/>
              <w:rPr>
                <w:color w:val="auto"/>
                <w:highlight w:val="none"/>
              </w:rPr>
            </w:pPr>
            <w:r>
              <w:rPr>
                <w:color w:val="auto"/>
                <w:highlight w:val="none"/>
              </w:rPr>
              <w:t>Ⅳ</w:t>
            </w:r>
          </w:p>
        </w:tc>
        <w:tc>
          <w:tcPr>
            <w:tcW w:w="955" w:type="pct"/>
            <w:tcMar>
              <w:left w:w="0" w:type="dxa"/>
              <w:right w:w="0" w:type="dxa"/>
            </w:tcMar>
            <w:vAlign w:val="center"/>
          </w:tcPr>
          <w:p w14:paraId="15880EA8">
            <w:pPr>
              <w:pStyle w:val="26"/>
              <w:bidi w:val="0"/>
              <w:rPr>
                <w:color w:val="auto"/>
                <w:highlight w:val="none"/>
              </w:rPr>
            </w:pPr>
            <w:r>
              <w:rPr>
                <w:color w:val="auto"/>
                <w:highlight w:val="none"/>
              </w:rPr>
              <w:t>Ⅲ</w:t>
            </w:r>
          </w:p>
        </w:tc>
        <w:tc>
          <w:tcPr>
            <w:tcW w:w="955" w:type="pct"/>
            <w:tcMar>
              <w:left w:w="0" w:type="dxa"/>
              <w:right w:w="0" w:type="dxa"/>
            </w:tcMar>
            <w:vAlign w:val="center"/>
          </w:tcPr>
          <w:p w14:paraId="416E8C5A">
            <w:pPr>
              <w:pStyle w:val="26"/>
              <w:bidi w:val="0"/>
              <w:rPr>
                <w:color w:val="auto"/>
                <w:highlight w:val="none"/>
              </w:rPr>
            </w:pPr>
            <w:r>
              <w:rPr>
                <w:color w:val="auto"/>
                <w:highlight w:val="none"/>
              </w:rPr>
              <w:t>Ⅲ</w:t>
            </w:r>
          </w:p>
        </w:tc>
        <w:tc>
          <w:tcPr>
            <w:tcW w:w="955" w:type="pct"/>
            <w:shd w:val="clear" w:color="auto" w:fill="FFFFFF" w:themeFill="background1"/>
            <w:tcMar>
              <w:left w:w="0" w:type="dxa"/>
              <w:right w:w="0" w:type="dxa"/>
            </w:tcMar>
            <w:vAlign w:val="center"/>
          </w:tcPr>
          <w:p w14:paraId="613141F9">
            <w:pPr>
              <w:pStyle w:val="26"/>
              <w:bidi w:val="0"/>
              <w:rPr>
                <w:color w:val="auto"/>
                <w:highlight w:val="none"/>
              </w:rPr>
            </w:pPr>
            <w:r>
              <w:rPr>
                <w:color w:val="auto"/>
                <w:highlight w:val="none"/>
              </w:rPr>
              <w:t>Ⅱ</w:t>
            </w:r>
          </w:p>
        </w:tc>
      </w:tr>
      <w:tr w14:paraId="2269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80" w:type="pct"/>
            <w:tcMar>
              <w:left w:w="0" w:type="dxa"/>
              <w:right w:w="0" w:type="dxa"/>
            </w:tcMar>
            <w:vAlign w:val="center"/>
          </w:tcPr>
          <w:p w14:paraId="62B2E84A">
            <w:pPr>
              <w:pStyle w:val="26"/>
              <w:bidi w:val="0"/>
              <w:rPr>
                <w:color w:val="auto"/>
                <w:highlight w:val="none"/>
              </w:rPr>
            </w:pPr>
            <w:r>
              <w:rPr>
                <w:color w:val="auto"/>
                <w:highlight w:val="none"/>
              </w:rPr>
              <w:t>环境低度敏感区（E3）</w:t>
            </w:r>
          </w:p>
        </w:tc>
        <w:tc>
          <w:tcPr>
            <w:tcW w:w="955" w:type="pct"/>
            <w:tcMar>
              <w:left w:w="0" w:type="dxa"/>
              <w:right w:w="0" w:type="dxa"/>
            </w:tcMar>
            <w:vAlign w:val="center"/>
          </w:tcPr>
          <w:p w14:paraId="66E3BEF3">
            <w:pPr>
              <w:pStyle w:val="26"/>
              <w:bidi w:val="0"/>
              <w:rPr>
                <w:color w:val="auto"/>
                <w:highlight w:val="none"/>
              </w:rPr>
            </w:pPr>
            <w:r>
              <w:rPr>
                <w:color w:val="auto"/>
                <w:highlight w:val="none"/>
              </w:rPr>
              <w:t>Ⅲ</w:t>
            </w:r>
          </w:p>
        </w:tc>
        <w:tc>
          <w:tcPr>
            <w:tcW w:w="955" w:type="pct"/>
            <w:tcMar>
              <w:left w:w="0" w:type="dxa"/>
              <w:right w:w="0" w:type="dxa"/>
            </w:tcMar>
            <w:vAlign w:val="center"/>
          </w:tcPr>
          <w:p w14:paraId="559C26A4">
            <w:pPr>
              <w:pStyle w:val="26"/>
              <w:bidi w:val="0"/>
              <w:rPr>
                <w:color w:val="auto"/>
                <w:highlight w:val="none"/>
              </w:rPr>
            </w:pPr>
            <w:r>
              <w:rPr>
                <w:color w:val="auto"/>
                <w:highlight w:val="none"/>
              </w:rPr>
              <w:t>Ⅲ</w:t>
            </w:r>
          </w:p>
        </w:tc>
        <w:tc>
          <w:tcPr>
            <w:tcW w:w="955" w:type="pct"/>
            <w:tcMar>
              <w:left w:w="0" w:type="dxa"/>
              <w:right w:w="0" w:type="dxa"/>
            </w:tcMar>
            <w:vAlign w:val="center"/>
          </w:tcPr>
          <w:p w14:paraId="70C88FC1">
            <w:pPr>
              <w:pStyle w:val="26"/>
              <w:bidi w:val="0"/>
              <w:rPr>
                <w:color w:val="auto"/>
                <w:highlight w:val="none"/>
              </w:rPr>
            </w:pPr>
            <w:r>
              <w:rPr>
                <w:color w:val="auto"/>
                <w:highlight w:val="none"/>
              </w:rPr>
              <w:t>Ⅱ</w:t>
            </w:r>
          </w:p>
        </w:tc>
        <w:tc>
          <w:tcPr>
            <w:tcW w:w="955" w:type="pct"/>
            <w:shd w:val="clear" w:color="auto" w:fill="FFFFFF" w:themeFill="background1"/>
            <w:tcMar>
              <w:left w:w="0" w:type="dxa"/>
              <w:right w:w="0" w:type="dxa"/>
            </w:tcMar>
            <w:vAlign w:val="center"/>
          </w:tcPr>
          <w:p w14:paraId="3E09B394">
            <w:pPr>
              <w:pStyle w:val="26"/>
              <w:bidi w:val="0"/>
              <w:rPr>
                <w:color w:val="auto"/>
                <w:highlight w:val="none"/>
              </w:rPr>
            </w:pPr>
            <w:r>
              <w:rPr>
                <w:color w:val="auto"/>
                <w:highlight w:val="none"/>
              </w:rPr>
              <w:t>Ⅰ</w:t>
            </w:r>
          </w:p>
        </w:tc>
      </w:tr>
      <w:tr w14:paraId="4616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5"/>
            <w:tcMar>
              <w:left w:w="0" w:type="dxa"/>
              <w:right w:w="0" w:type="dxa"/>
            </w:tcMar>
            <w:vAlign w:val="center"/>
          </w:tcPr>
          <w:p w14:paraId="7F61E86E">
            <w:pPr>
              <w:pStyle w:val="26"/>
              <w:bidi w:val="0"/>
              <w:jc w:val="both"/>
              <w:rPr>
                <w:color w:val="auto"/>
                <w:highlight w:val="none"/>
              </w:rPr>
            </w:pPr>
            <w:r>
              <w:rPr>
                <w:color w:val="auto"/>
                <w:highlight w:val="none"/>
              </w:rPr>
              <w:t>注：Ⅳ</w:t>
            </w:r>
            <w:r>
              <w:rPr>
                <w:color w:val="auto"/>
                <w:highlight w:val="none"/>
                <w:vertAlign w:val="superscript"/>
              </w:rPr>
              <w:t>+</w:t>
            </w:r>
            <w:r>
              <w:rPr>
                <w:color w:val="auto"/>
                <w:highlight w:val="none"/>
              </w:rPr>
              <w:t>为极高环境风险。</w:t>
            </w:r>
          </w:p>
        </w:tc>
      </w:tr>
    </w:tbl>
    <w:p w14:paraId="605E617D">
      <w:pPr>
        <w:jc w:val="left"/>
        <w:rPr>
          <w:rFonts w:ascii="Times New Roman" w:hAnsi="Times New Roman"/>
          <w:color w:val="auto"/>
          <w:szCs w:val="28"/>
          <w:highlight w:val="none"/>
        </w:rPr>
      </w:pPr>
      <w:r>
        <w:rPr>
          <w:rFonts w:ascii="Times New Roman" w:hAnsi="Times New Roman"/>
          <w:color w:val="auto"/>
          <w:szCs w:val="28"/>
          <w:highlight w:val="none"/>
        </w:rPr>
        <w:t>拟建项目危险物质及工艺系统危险性等级判定为P</w:t>
      </w:r>
      <w:r>
        <w:rPr>
          <w:rFonts w:hint="eastAsia" w:ascii="Times New Roman" w:hAnsi="Times New Roman"/>
          <w:color w:val="auto"/>
          <w:szCs w:val="28"/>
          <w:highlight w:val="none"/>
          <w:lang w:val="en-US" w:eastAsia="zh-CN"/>
        </w:rPr>
        <w:t>1</w:t>
      </w:r>
      <w:r>
        <w:rPr>
          <w:rFonts w:ascii="Times New Roman" w:hAnsi="Times New Roman"/>
          <w:color w:val="auto"/>
          <w:szCs w:val="28"/>
          <w:highlight w:val="none"/>
        </w:rPr>
        <w:t>，各要素环境风险潜势判定如下：</w:t>
      </w:r>
    </w:p>
    <w:p w14:paraId="1647A6D8">
      <w:pPr>
        <w:widowControl w:val="0"/>
        <w:numPr>
          <w:ilvl w:val="0"/>
          <w:numId w:val="7"/>
        </w:numPr>
        <w:ind w:firstLineChars="0"/>
        <w:jc w:val="left"/>
        <w:rPr>
          <w:rFonts w:ascii="Times New Roman" w:hAnsi="Times New Roman"/>
          <w:color w:val="auto"/>
          <w:szCs w:val="28"/>
          <w:highlight w:val="none"/>
        </w:rPr>
      </w:pPr>
      <w:r>
        <w:rPr>
          <w:rFonts w:ascii="Times New Roman" w:hAnsi="Times New Roman"/>
          <w:color w:val="auto"/>
          <w:szCs w:val="28"/>
          <w:highlight w:val="none"/>
        </w:rPr>
        <w:t>大气环境敏感程度为E1，环境风险潜势为</w:t>
      </w:r>
      <w:r>
        <w:rPr>
          <w:rFonts w:hint="eastAsia" w:ascii="Times New Roman" w:hAnsi="Times New Roman"/>
          <w:color w:val="auto"/>
          <w:szCs w:val="28"/>
          <w:highlight w:val="none"/>
          <w:lang w:val="en-US" w:eastAsia="zh-CN"/>
        </w:rPr>
        <w:t>III</w:t>
      </w:r>
      <w:r>
        <w:rPr>
          <w:rFonts w:ascii="Times New Roman" w:hAnsi="Times New Roman"/>
          <w:color w:val="auto"/>
          <w:szCs w:val="28"/>
          <w:highlight w:val="none"/>
        </w:rPr>
        <w:t>。</w:t>
      </w:r>
    </w:p>
    <w:p w14:paraId="1AB6942D">
      <w:pPr>
        <w:widowControl w:val="0"/>
        <w:numPr>
          <w:ilvl w:val="0"/>
          <w:numId w:val="7"/>
        </w:numPr>
        <w:ind w:firstLineChars="0"/>
        <w:jc w:val="left"/>
        <w:rPr>
          <w:rFonts w:ascii="Times New Roman" w:hAnsi="Times New Roman"/>
          <w:color w:val="auto"/>
          <w:szCs w:val="28"/>
          <w:highlight w:val="none"/>
        </w:rPr>
      </w:pPr>
      <w:r>
        <w:rPr>
          <w:rFonts w:ascii="Times New Roman" w:hAnsi="Times New Roman"/>
          <w:color w:val="auto"/>
          <w:szCs w:val="28"/>
          <w:highlight w:val="none"/>
        </w:rPr>
        <w:t>地表水环境敏感程度为E</w:t>
      </w:r>
      <w:r>
        <w:rPr>
          <w:rFonts w:hint="eastAsia"/>
          <w:color w:val="auto"/>
          <w:szCs w:val="28"/>
          <w:highlight w:val="none"/>
          <w:lang w:val="en-US" w:eastAsia="zh-CN"/>
        </w:rPr>
        <w:t>2</w:t>
      </w:r>
      <w:r>
        <w:rPr>
          <w:rFonts w:ascii="Times New Roman" w:hAnsi="Times New Roman"/>
          <w:color w:val="auto"/>
          <w:szCs w:val="28"/>
          <w:highlight w:val="none"/>
        </w:rPr>
        <w:t>，环境风险潜势</w:t>
      </w:r>
      <w:r>
        <w:rPr>
          <w:rFonts w:hint="eastAsia" w:ascii="仿宋_GB2312" w:hAnsi="仿宋_GB2312" w:eastAsia="仿宋_GB2312" w:cs="仿宋_GB2312"/>
          <w:color w:val="auto"/>
          <w:szCs w:val="28"/>
          <w:highlight w:val="none"/>
          <w:lang w:val="en-US" w:eastAsia="zh-CN"/>
        </w:rPr>
        <w:t>Ⅱ</w:t>
      </w:r>
      <w:r>
        <w:rPr>
          <w:rFonts w:ascii="Times New Roman" w:hAnsi="Times New Roman"/>
          <w:color w:val="auto"/>
          <w:szCs w:val="28"/>
          <w:highlight w:val="none"/>
        </w:rPr>
        <w:t>。</w:t>
      </w:r>
    </w:p>
    <w:p w14:paraId="47514826">
      <w:pPr>
        <w:widowControl w:val="0"/>
        <w:numPr>
          <w:ilvl w:val="0"/>
          <w:numId w:val="7"/>
        </w:numPr>
        <w:ind w:firstLineChars="0"/>
        <w:jc w:val="left"/>
        <w:rPr>
          <w:rFonts w:ascii="Times New Roman" w:hAnsi="Times New Roman"/>
          <w:color w:val="auto"/>
          <w:szCs w:val="28"/>
          <w:highlight w:val="none"/>
        </w:rPr>
      </w:pPr>
      <w:r>
        <w:rPr>
          <w:rFonts w:ascii="Times New Roman" w:hAnsi="Times New Roman"/>
          <w:color w:val="auto"/>
          <w:szCs w:val="28"/>
          <w:highlight w:val="none"/>
        </w:rPr>
        <w:t>地下水环境敏感程度为E</w:t>
      </w:r>
      <w:r>
        <w:rPr>
          <w:rFonts w:hint="eastAsia"/>
          <w:color w:val="auto"/>
          <w:szCs w:val="28"/>
          <w:highlight w:val="none"/>
          <w:lang w:val="en-US" w:eastAsia="zh-CN"/>
        </w:rPr>
        <w:t>2</w:t>
      </w:r>
      <w:r>
        <w:rPr>
          <w:rFonts w:ascii="Times New Roman" w:hAnsi="Times New Roman"/>
          <w:color w:val="auto"/>
          <w:szCs w:val="28"/>
          <w:highlight w:val="none"/>
        </w:rPr>
        <w:t>，环境风险潜势为</w:t>
      </w:r>
      <w:r>
        <w:rPr>
          <w:rFonts w:hint="eastAsia" w:ascii="Times New Roman" w:hAnsi="Times New Roman"/>
          <w:color w:val="auto"/>
          <w:szCs w:val="28"/>
          <w:highlight w:val="none"/>
          <w:lang w:val="en-US" w:eastAsia="zh-CN"/>
        </w:rPr>
        <w:t>Ⅱ</w:t>
      </w:r>
      <w:r>
        <w:rPr>
          <w:rFonts w:ascii="Times New Roman" w:hAnsi="Times New Roman"/>
          <w:color w:val="auto"/>
          <w:szCs w:val="28"/>
          <w:highlight w:val="none"/>
        </w:rPr>
        <w:t>。</w:t>
      </w:r>
    </w:p>
    <w:p w14:paraId="67D9EB4B">
      <w:pPr>
        <w:rPr>
          <w:rFonts w:ascii="Times New Roman" w:hAnsi="Times New Roman"/>
          <w:color w:val="auto"/>
          <w:highlight w:val="none"/>
        </w:rPr>
      </w:pPr>
      <w:r>
        <w:rPr>
          <w:rFonts w:ascii="Times New Roman" w:hAnsi="Times New Roman"/>
          <w:color w:val="auto"/>
          <w:szCs w:val="28"/>
          <w:highlight w:val="none"/>
        </w:rPr>
        <w:t>因而，</w:t>
      </w:r>
      <w:r>
        <w:rPr>
          <w:rFonts w:hint="eastAsia" w:ascii="Times New Roman" w:hAnsi="Times New Roman"/>
          <w:color w:val="auto"/>
          <w:szCs w:val="28"/>
          <w:highlight w:val="none"/>
          <w:lang w:val="en-US" w:eastAsia="zh-CN"/>
        </w:rPr>
        <w:t>企业</w:t>
      </w:r>
      <w:r>
        <w:rPr>
          <w:rFonts w:ascii="Times New Roman" w:hAnsi="Times New Roman"/>
          <w:color w:val="auto"/>
          <w:szCs w:val="28"/>
          <w:highlight w:val="none"/>
        </w:rPr>
        <w:t>环境风险潜势综合等级为</w:t>
      </w:r>
      <w:r>
        <w:rPr>
          <w:rFonts w:hint="eastAsia" w:ascii="Times New Roman" w:hAnsi="Times New Roman"/>
          <w:color w:val="auto"/>
          <w:szCs w:val="28"/>
          <w:highlight w:val="none"/>
          <w:lang w:val="en-US" w:eastAsia="zh-CN"/>
        </w:rPr>
        <w:t>III</w:t>
      </w:r>
      <w:r>
        <w:rPr>
          <w:rFonts w:ascii="Times New Roman" w:hAnsi="Times New Roman"/>
          <w:color w:val="auto"/>
          <w:szCs w:val="28"/>
          <w:highlight w:val="none"/>
        </w:rPr>
        <w:t>。</w:t>
      </w:r>
    </w:p>
    <w:p w14:paraId="205657E0">
      <w:pPr>
        <w:pStyle w:val="46"/>
        <w:bidi w:val="0"/>
        <w:rPr>
          <w:color w:val="auto"/>
          <w:highlight w:val="none"/>
        </w:rPr>
      </w:pPr>
      <w:r>
        <w:rPr>
          <w:color w:val="auto"/>
          <w:highlight w:val="none"/>
        </w:rPr>
        <w:t>（</w:t>
      </w:r>
      <w:r>
        <w:rPr>
          <w:rFonts w:hint="eastAsia"/>
          <w:color w:val="auto"/>
          <w:highlight w:val="none"/>
          <w:lang w:val="en-US" w:eastAsia="zh-CN"/>
        </w:rPr>
        <w:t>3</w:t>
      </w:r>
      <w:r>
        <w:rPr>
          <w:color w:val="auto"/>
          <w:highlight w:val="none"/>
        </w:rPr>
        <w:t>）评价工作等级划分</w:t>
      </w:r>
    </w:p>
    <w:p w14:paraId="44337624">
      <w:pPr>
        <w:rPr>
          <w:rFonts w:ascii="Times New Roman" w:hAnsi="Times New Roman"/>
          <w:color w:val="auto"/>
          <w:highlight w:val="none"/>
        </w:rPr>
      </w:pPr>
      <w:r>
        <w:rPr>
          <w:rFonts w:ascii="Times New Roman" w:hAnsi="Times New Roman"/>
          <w:color w:val="auto"/>
          <w:highlight w:val="none"/>
        </w:rPr>
        <w:t>评价工作等级划分详见下表。</w:t>
      </w:r>
    </w:p>
    <w:p w14:paraId="16B65C42">
      <w:pPr>
        <w:pStyle w:val="25"/>
        <w:bidi w:val="0"/>
        <w:rPr>
          <w:color w:val="auto"/>
          <w:highlight w:val="none"/>
        </w:rPr>
      </w:pPr>
      <w:bookmarkStart w:id="80" w:name="_Ref18444932"/>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noBreakHyphen/>
      </w:r>
      <w:bookmarkEnd w:id="80"/>
      <w:r>
        <w:rPr>
          <w:color w:val="auto"/>
          <w:highlight w:val="none"/>
        </w:rPr>
        <w:t>22评价工作等级划分</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61"/>
        <w:gridCol w:w="1588"/>
        <w:gridCol w:w="1588"/>
        <w:gridCol w:w="1588"/>
        <w:gridCol w:w="1591"/>
      </w:tblGrid>
      <w:tr w14:paraId="03D2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9" w:type="pct"/>
            <w:tcMar>
              <w:left w:w="0" w:type="dxa"/>
              <w:right w:w="0" w:type="dxa"/>
            </w:tcMar>
            <w:vAlign w:val="center"/>
          </w:tcPr>
          <w:p w14:paraId="23101CFC">
            <w:pPr>
              <w:pStyle w:val="36"/>
              <w:bidi w:val="0"/>
              <w:rPr>
                <w:color w:val="auto"/>
                <w:highlight w:val="none"/>
              </w:rPr>
            </w:pPr>
            <w:r>
              <w:rPr>
                <w:color w:val="auto"/>
                <w:highlight w:val="none"/>
              </w:rPr>
              <w:t>环境风险潜势</w:t>
            </w:r>
          </w:p>
        </w:tc>
        <w:tc>
          <w:tcPr>
            <w:tcW w:w="955" w:type="pct"/>
            <w:tcMar>
              <w:left w:w="0" w:type="dxa"/>
              <w:right w:w="0" w:type="dxa"/>
            </w:tcMar>
            <w:vAlign w:val="center"/>
          </w:tcPr>
          <w:p w14:paraId="2804F4C2">
            <w:pPr>
              <w:pStyle w:val="36"/>
              <w:bidi w:val="0"/>
              <w:rPr>
                <w:color w:val="auto"/>
                <w:highlight w:val="none"/>
              </w:rPr>
            </w:pPr>
            <w:r>
              <w:rPr>
                <w:color w:val="auto"/>
                <w:highlight w:val="none"/>
              </w:rPr>
              <w:t>Ⅳ、Ⅳ+</w:t>
            </w:r>
          </w:p>
        </w:tc>
        <w:tc>
          <w:tcPr>
            <w:tcW w:w="955" w:type="pct"/>
            <w:tcMar>
              <w:left w:w="0" w:type="dxa"/>
              <w:right w:w="0" w:type="dxa"/>
            </w:tcMar>
            <w:vAlign w:val="center"/>
          </w:tcPr>
          <w:p w14:paraId="202500DD">
            <w:pPr>
              <w:pStyle w:val="36"/>
              <w:bidi w:val="0"/>
              <w:rPr>
                <w:color w:val="auto"/>
                <w:highlight w:val="none"/>
              </w:rPr>
            </w:pPr>
            <w:r>
              <w:rPr>
                <w:color w:val="auto"/>
                <w:highlight w:val="none"/>
              </w:rPr>
              <w:t>Ⅲ</w:t>
            </w:r>
          </w:p>
        </w:tc>
        <w:tc>
          <w:tcPr>
            <w:tcW w:w="955" w:type="pct"/>
            <w:tcMar>
              <w:left w:w="0" w:type="dxa"/>
              <w:right w:w="0" w:type="dxa"/>
            </w:tcMar>
            <w:vAlign w:val="center"/>
          </w:tcPr>
          <w:p w14:paraId="2DD1EF45">
            <w:pPr>
              <w:pStyle w:val="36"/>
              <w:bidi w:val="0"/>
              <w:rPr>
                <w:color w:val="auto"/>
                <w:highlight w:val="none"/>
              </w:rPr>
            </w:pPr>
            <w:r>
              <w:rPr>
                <w:color w:val="auto"/>
                <w:highlight w:val="none"/>
              </w:rPr>
              <w:t>Ⅱ</w:t>
            </w:r>
          </w:p>
        </w:tc>
        <w:tc>
          <w:tcPr>
            <w:tcW w:w="956" w:type="pct"/>
            <w:tcMar>
              <w:left w:w="0" w:type="dxa"/>
              <w:right w:w="0" w:type="dxa"/>
            </w:tcMar>
            <w:vAlign w:val="center"/>
          </w:tcPr>
          <w:p w14:paraId="5DE2C011">
            <w:pPr>
              <w:pStyle w:val="36"/>
              <w:bidi w:val="0"/>
              <w:rPr>
                <w:color w:val="auto"/>
                <w:highlight w:val="none"/>
              </w:rPr>
            </w:pPr>
            <w:r>
              <w:rPr>
                <w:color w:val="auto"/>
                <w:highlight w:val="none"/>
              </w:rPr>
              <w:t>Ⅰ</w:t>
            </w:r>
          </w:p>
        </w:tc>
      </w:tr>
      <w:tr w14:paraId="22E0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79" w:type="pct"/>
            <w:tcMar>
              <w:left w:w="0" w:type="dxa"/>
              <w:right w:w="0" w:type="dxa"/>
            </w:tcMar>
            <w:vAlign w:val="center"/>
          </w:tcPr>
          <w:p w14:paraId="5DB8AD49">
            <w:pPr>
              <w:pStyle w:val="26"/>
              <w:bidi w:val="0"/>
              <w:rPr>
                <w:color w:val="auto"/>
                <w:highlight w:val="none"/>
              </w:rPr>
            </w:pPr>
            <w:r>
              <w:rPr>
                <w:color w:val="auto"/>
                <w:highlight w:val="none"/>
              </w:rPr>
              <w:t>评价工作等级</w:t>
            </w:r>
          </w:p>
        </w:tc>
        <w:tc>
          <w:tcPr>
            <w:tcW w:w="955" w:type="pct"/>
            <w:tcMar>
              <w:left w:w="0" w:type="dxa"/>
              <w:right w:w="0" w:type="dxa"/>
            </w:tcMar>
            <w:vAlign w:val="center"/>
          </w:tcPr>
          <w:p w14:paraId="37C603C1">
            <w:pPr>
              <w:pStyle w:val="26"/>
              <w:bidi w:val="0"/>
              <w:rPr>
                <w:color w:val="auto"/>
                <w:highlight w:val="none"/>
              </w:rPr>
            </w:pPr>
            <w:r>
              <w:rPr>
                <w:color w:val="auto"/>
                <w:highlight w:val="none"/>
              </w:rPr>
              <w:t>一</w:t>
            </w:r>
          </w:p>
        </w:tc>
        <w:tc>
          <w:tcPr>
            <w:tcW w:w="955" w:type="pct"/>
            <w:tcMar>
              <w:left w:w="0" w:type="dxa"/>
              <w:right w:w="0" w:type="dxa"/>
            </w:tcMar>
            <w:vAlign w:val="center"/>
          </w:tcPr>
          <w:p w14:paraId="10843F27">
            <w:pPr>
              <w:pStyle w:val="26"/>
              <w:bidi w:val="0"/>
              <w:rPr>
                <w:color w:val="auto"/>
                <w:highlight w:val="none"/>
              </w:rPr>
            </w:pPr>
            <w:r>
              <w:rPr>
                <w:color w:val="auto"/>
                <w:highlight w:val="none"/>
              </w:rPr>
              <w:t>二</w:t>
            </w:r>
          </w:p>
        </w:tc>
        <w:tc>
          <w:tcPr>
            <w:tcW w:w="955" w:type="pct"/>
            <w:tcMar>
              <w:left w:w="0" w:type="dxa"/>
              <w:right w:w="0" w:type="dxa"/>
            </w:tcMar>
            <w:vAlign w:val="center"/>
          </w:tcPr>
          <w:p w14:paraId="14963B64">
            <w:pPr>
              <w:pStyle w:val="26"/>
              <w:bidi w:val="0"/>
              <w:rPr>
                <w:color w:val="auto"/>
                <w:highlight w:val="none"/>
              </w:rPr>
            </w:pPr>
            <w:r>
              <w:rPr>
                <w:color w:val="auto"/>
                <w:highlight w:val="none"/>
              </w:rPr>
              <w:t>三</w:t>
            </w:r>
          </w:p>
        </w:tc>
        <w:tc>
          <w:tcPr>
            <w:tcW w:w="956" w:type="pct"/>
            <w:tcMar>
              <w:left w:w="0" w:type="dxa"/>
              <w:right w:w="0" w:type="dxa"/>
            </w:tcMar>
            <w:vAlign w:val="center"/>
          </w:tcPr>
          <w:p w14:paraId="2F722A14">
            <w:pPr>
              <w:pStyle w:val="26"/>
              <w:bidi w:val="0"/>
              <w:rPr>
                <w:color w:val="auto"/>
                <w:highlight w:val="none"/>
              </w:rPr>
            </w:pPr>
            <w:r>
              <w:rPr>
                <w:color w:val="auto"/>
                <w:highlight w:val="none"/>
              </w:rPr>
              <w:t>简单分析</w:t>
            </w:r>
            <w:r>
              <w:rPr>
                <w:color w:val="auto"/>
                <w:highlight w:val="none"/>
                <w:vertAlign w:val="superscript"/>
              </w:rPr>
              <w:t>a</w:t>
            </w:r>
          </w:p>
        </w:tc>
      </w:tr>
      <w:tr w14:paraId="1E1B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5"/>
            <w:tcMar>
              <w:left w:w="0" w:type="dxa"/>
              <w:right w:w="0" w:type="dxa"/>
            </w:tcMar>
            <w:vAlign w:val="center"/>
          </w:tcPr>
          <w:p w14:paraId="18BB6E31">
            <w:pPr>
              <w:pStyle w:val="26"/>
              <w:bidi w:val="0"/>
              <w:jc w:val="both"/>
              <w:rPr>
                <w:color w:val="auto"/>
                <w:highlight w:val="none"/>
              </w:rPr>
            </w:pPr>
            <w:r>
              <w:rPr>
                <w:color w:val="auto"/>
                <w:highlight w:val="none"/>
              </w:rPr>
              <w:t>A是相对与详细评价工作内容而言，在描述危险物质、环境影响途径、环境危害后果、风险防范措施等方面给出定性的说明。见附录A。</w:t>
            </w:r>
          </w:p>
        </w:tc>
      </w:tr>
    </w:tbl>
    <w:p w14:paraId="28A897E9">
      <w:pPr>
        <w:jc w:val="left"/>
        <w:rPr>
          <w:rFonts w:ascii="Times New Roman" w:hAnsi="Times New Roman"/>
          <w:color w:val="auto"/>
          <w:szCs w:val="28"/>
          <w:highlight w:val="none"/>
        </w:rPr>
      </w:pPr>
      <w:r>
        <w:rPr>
          <w:rFonts w:ascii="Times New Roman" w:hAnsi="Times New Roman"/>
          <w:color w:val="auto"/>
          <w:szCs w:val="28"/>
          <w:highlight w:val="none"/>
        </w:rPr>
        <w:t>拟建项目各要素评价工作等级判定如下：</w:t>
      </w:r>
    </w:p>
    <w:p w14:paraId="17A8C906">
      <w:pPr>
        <w:widowControl w:val="0"/>
        <w:numPr>
          <w:ilvl w:val="1"/>
          <w:numId w:val="0"/>
        </w:numPr>
        <w:ind w:left="0" w:leftChars="0" w:firstLine="560" w:firstLineChars="200"/>
        <w:jc w:val="left"/>
        <w:rPr>
          <w:rFonts w:ascii="Times New Roman" w:hAnsi="Times New Roman"/>
          <w:color w:val="auto"/>
          <w:szCs w:val="28"/>
          <w:highlight w:val="none"/>
        </w:rPr>
      </w:pPr>
      <w:r>
        <w:rPr>
          <w:rFonts w:hint="eastAsia" w:ascii="Times New Roman" w:hAnsi="Times New Roman" w:eastAsia="儷宋 Pro" w:cs="Times New Roman"/>
          <w:color w:val="auto"/>
          <w:kern w:val="2"/>
          <w:sz w:val="28"/>
          <w:szCs w:val="28"/>
          <w:highlight w:val="none"/>
          <w:lang w:val="en-US" w:eastAsia="zh-CN" w:bidi="ar-SA"/>
        </w:rPr>
        <w:t>①</w:t>
      </w:r>
      <w:r>
        <w:rPr>
          <w:rFonts w:ascii="Times New Roman" w:hAnsi="Times New Roman"/>
          <w:color w:val="auto"/>
          <w:szCs w:val="28"/>
          <w:highlight w:val="none"/>
        </w:rPr>
        <w:t>大气环境风险潜势为Ⅳ</w:t>
      </w:r>
      <w:r>
        <w:rPr>
          <w:rFonts w:ascii="Times New Roman" w:hAnsi="Times New Roman"/>
          <w:color w:val="auto"/>
          <w:szCs w:val="28"/>
          <w:highlight w:val="none"/>
          <w:vertAlign w:val="superscript"/>
        </w:rPr>
        <w:t>+</w:t>
      </w:r>
      <w:r>
        <w:rPr>
          <w:rFonts w:ascii="Times New Roman" w:hAnsi="Times New Roman"/>
          <w:color w:val="auto"/>
          <w:szCs w:val="28"/>
          <w:highlight w:val="none"/>
        </w:rPr>
        <w:t>，评价等级为</w:t>
      </w:r>
      <w:r>
        <w:rPr>
          <w:rFonts w:hint="eastAsia"/>
          <w:color w:val="auto"/>
          <w:szCs w:val="28"/>
          <w:highlight w:val="none"/>
          <w:lang w:val="en-US" w:eastAsia="zh-CN"/>
        </w:rPr>
        <w:t>二</w:t>
      </w:r>
      <w:r>
        <w:rPr>
          <w:rFonts w:ascii="Times New Roman" w:hAnsi="Times New Roman"/>
          <w:color w:val="auto"/>
          <w:szCs w:val="28"/>
          <w:highlight w:val="none"/>
        </w:rPr>
        <w:t>级。</w:t>
      </w:r>
    </w:p>
    <w:p w14:paraId="6F918190">
      <w:pPr>
        <w:widowControl w:val="0"/>
        <w:numPr>
          <w:ilvl w:val="1"/>
          <w:numId w:val="0"/>
        </w:numPr>
        <w:ind w:left="0" w:leftChars="0" w:firstLine="560" w:firstLineChars="200"/>
        <w:jc w:val="left"/>
        <w:rPr>
          <w:rFonts w:ascii="Times New Roman" w:hAnsi="Times New Roman"/>
          <w:color w:val="auto"/>
          <w:szCs w:val="28"/>
          <w:highlight w:val="none"/>
        </w:rPr>
      </w:pPr>
      <w:r>
        <w:rPr>
          <w:rFonts w:hint="eastAsia" w:ascii="Times New Roman" w:hAnsi="Times New Roman" w:eastAsia="儷宋 Pro" w:cs="Times New Roman"/>
          <w:color w:val="auto"/>
          <w:kern w:val="2"/>
          <w:sz w:val="28"/>
          <w:szCs w:val="28"/>
          <w:highlight w:val="none"/>
          <w:lang w:val="en-US" w:eastAsia="zh-CN" w:bidi="ar-SA"/>
        </w:rPr>
        <w:t>②</w:t>
      </w:r>
      <w:r>
        <w:rPr>
          <w:rFonts w:ascii="Times New Roman" w:hAnsi="Times New Roman"/>
          <w:color w:val="auto"/>
          <w:szCs w:val="28"/>
          <w:highlight w:val="none"/>
        </w:rPr>
        <w:t>地表水环境风险潜势为</w:t>
      </w:r>
      <w:r>
        <w:rPr>
          <w:rFonts w:hint="default" w:ascii="Times New Roman Regular" w:hAnsi="Times New Roman Regular" w:cs="Times New Roman Regular"/>
          <w:color w:val="auto"/>
          <w:szCs w:val="20"/>
          <w:highlight w:val="none"/>
        </w:rPr>
        <w:t>Ⅳ</w:t>
      </w:r>
      <w:r>
        <w:rPr>
          <w:rFonts w:ascii="Times New Roman" w:hAnsi="Times New Roman"/>
          <w:color w:val="auto"/>
          <w:szCs w:val="28"/>
          <w:highlight w:val="none"/>
        </w:rPr>
        <w:t>，评价等级为</w:t>
      </w:r>
      <w:r>
        <w:rPr>
          <w:rFonts w:hint="eastAsia"/>
          <w:color w:val="auto"/>
          <w:szCs w:val="28"/>
          <w:highlight w:val="none"/>
          <w:lang w:val="en-US" w:eastAsia="zh-CN"/>
        </w:rPr>
        <w:t>三</w:t>
      </w:r>
      <w:r>
        <w:rPr>
          <w:rFonts w:ascii="Times New Roman" w:hAnsi="Times New Roman"/>
          <w:color w:val="auto"/>
          <w:szCs w:val="28"/>
          <w:highlight w:val="none"/>
        </w:rPr>
        <w:t>级。</w:t>
      </w:r>
    </w:p>
    <w:p w14:paraId="59610349">
      <w:pPr>
        <w:jc w:val="left"/>
        <w:rPr>
          <w:rFonts w:hint="eastAsia" w:ascii="Times New Roman" w:hAnsi="Times New Roman"/>
          <w:color w:val="auto"/>
          <w:szCs w:val="28"/>
          <w:highlight w:val="none"/>
          <w:lang w:eastAsia="zh-CN"/>
        </w:rPr>
      </w:pPr>
      <w:r>
        <w:rPr>
          <w:rFonts w:hint="eastAsia" w:ascii="Times New Roman" w:hAnsi="Times New Roman" w:eastAsia="儷宋 Pro" w:cs="Times New Roman"/>
          <w:color w:val="auto"/>
          <w:kern w:val="2"/>
          <w:sz w:val="28"/>
          <w:szCs w:val="21"/>
          <w:highlight w:val="none"/>
          <w:lang w:val="en-US" w:eastAsia="zh-CN" w:bidi="ar-SA"/>
        </w:rPr>
        <w:t>③</w:t>
      </w:r>
      <w:r>
        <w:rPr>
          <w:rFonts w:ascii="Times New Roman" w:hAnsi="Times New Roman"/>
          <w:color w:val="auto"/>
          <w:szCs w:val="28"/>
          <w:highlight w:val="none"/>
        </w:rPr>
        <w:t>地下水环境风险潜势为</w:t>
      </w:r>
      <w:r>
        <w:rPr>
          <w:rFonts w:hint="eastAsia" w:ascii="Songti SC" w:hAnsi="Songti SC" w:eastAsia="Songti SC" w:cs="Songti SC"/>
          <w:color w:val="auto"/>
          <w:szCs w:val="28"/>
          <w:highlight w:val="none"/>
        </w:rPr>
        <w:t>Ⅲ</w:t>
      </w:r>
      <w:r>
        <w:rPr>
          <w:rFonts w:ascii="Times New Roman" w:hAnsi="Times New Roman"/>
          <w:color w:val="auto"/>
          <w:szCs w:val="28"/>
          <w:highlight w:val="none"/>
        </w:rPr>
        <w:t>，评价等级为</w:t>
      </w:r>
      <w:r>
        <w:rPr>
          <w:rFonts w:hint="eastAsia"/>
          <w:color w:val="auto"/>
          <w:szCs w:val="28"/>
          <w:highlight w:val="none"/>
          <w:lang w:val="en-US" w:eastAsia="zh-CN"/>
        </w:rPr>
        <w:t>三</w:t>
      </w:r>
      <w:r>
        <w:rPr>
          <w:rFonts w:ascii="Times New Roman" w:hAnsi="Times New Roman"/>
          <w:color w:val="auto"/>
          <w:szCs w:val="28"/>
          <w:highlight w:val="none"/>
        </w:rPr>
        <w:t>级。</w:t>
      </w:r>
    </w:p>
    <w:p w14:paraId="1A730CDD">
      <w:pPr>
        <w:pStyle w:val="5"/>
        <w:bidi w:val="0"/>
        <w:rPr>
          <w:color w:val="auto"/>
          <w:lang w:val="en-US" w:eastAsia="zh-CN"/>
        </w:rPr>
      </w:pPr>
      <w:r>
        <w:rPr>
          <w:rFonts w:hint="eastAsia"/>
          <w:color w:val="auto"/>
          <w:lang w:val="en-US" w:eastAsia="zh-CN"/>
        </w:rPr>
        <w:t>生态环境影响评价等级</w:t>
      </w:r>
    </w:p>
    <w:p w14:paraId="2F0F82C2">
      <w:pPr>
        <w:rPr>
          <w:rFonts w:hint="eastAsia" w:ascii="Times New Roman" w:hAnsi="Times New Roman"/>
          <w:color w:val="auto"/>
        </w:rPr>
      </w:pPr>
      <w:r>
        <w:rPr>
          <w:rFonts w:hint="eastAsia" w:ascii="Times New Roman" w:hAnsi="Times New Roman"/>
          <w:color w:val="auto"/>
        </w:rPr>
        <w:t>根据《环境影响评价技术导则 生态影响》（HJ19-2022），“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2075D6F8">
      <w:pPr>
        <w:rPr>
          <w:rFonts w:ascii="Times New Roman" w:hAnsi="Times New Roman"/>
          <w:color w:val="auto"/>
        </w:rPr>
      </w:pPr>
      <w:r>
        <w:rPr>
          <w:rFonts w:hint="eastAsia" w:ascii="Times New Roman" w:hAnsi="Times New Roman"/>
          <w:color w:val="auto"/>
        </w:rPr>
        <w:t>本项目属于技改扩建项目，建设地点为昆山运城压纹制版有限公司现有厂区范围内。根据《苏州市“三线一单”生态环境分区管控实施方案》，本项目位于昆山市花桥镇花桥北部产业区，属于重点管控单元，项目建设符合重点管控单元要求。因此，本项目生态影响评价可不确定评价等级，直接进行生态影响简单分析。</w:t>
      </w:r>
    </w:p>
    <w:p w14:paraId="7500CEB3">
      <w:pPr>
        <w:pStyle w:val="4"/>
        <w:bidi w:val="0"/>
        <w:rPr>
          <w:color w:val="auto"/>
          <w:lang w:val="en-US" w:eastAsia="zh-CN"/>
        </w:rPr>
      </w:pPr>
      <w:bookmarkStart w:id="81" w:name="_Toc22383"/>
      <w:bookmarkStart w:id="82" w:name="_Toc29935"/>
      <w:r>
        <w:rPr>
          <w:rFonts w:hint="eastAsia"/>
          <w:color w:val="auto"/>
          <w:lang w:val="en-US" w:eastAsia="zh-CN"/>
        </w:rPr>
        <w:t>评价重点</w:t>
      </w:r>
      <w:bookmarkEnd w:id="81"/>
      <w:bookmarkEnd w:id="82"/>
    </w:p>
    <w:p w14:paraId="1CEE934F">
      <w:pPr>
        <w:rPr>
          <w:rFonts w:ascii="Times New Roman" w:hAnsi="Times New Roman"/>
          <w:color w:val="auto"/>
        </w:rPr>
      </w:pPr>
      <w:r>
        <w:rPr>
          <w:rFonts w:hint="eastAsia" w:ascii="Times New Roman" w:hAnsi="Times New Roman"/>
          <w:color w:val="auto"/>
        </w:rPr>
        <w:t>根据项目建设特点、产排污特征、区域环境功能要求和区域基础设施条件，确定本次环评的工作重点是工程分析、项目环境影响预测及评价、环境保护措施及其经济、技术论证。</w:t>
      </w:r>
    </w:p>
    <w:p w14:paraId="40B57CBE">
      <w:pPr>
        <w:rPr>
          <w:rFonts w:ascii="Times New Roman" w:hAnsi="Times New Roman"/>
          <w:color w:val="auto"/>
        </w:rPr>
      </w:pPr>
      <w:r>
        <w:rPr>
          <w:rFonts w:hint="eastAsia" w:ascii="Times New Roman" w:hAnsi="Times New Roman"/>
          <w:color w:val="auto"/>
        </w:rPr>
        <w:t>（1）工程分析：调查分析工艺流程及排污环节，核实污染源、污染因子和污染源强、排污特征，核算项目的污染物产生量、削减量、排放量，以及污染物排放总量控制指标建议值。</w:t>
      </w:r>
    </w:p>
    <w:p w14:paraId="46D83878">
      <w:pPr>
        <w:rPr>
          <w:rFonts w:ascii="Times New Roman" w:hAnsi="Times New Roman"/>
          <w:color w:val="auto"/>
        </w:rPr>
      </w:pPr>
      <w:r>
        <w:rPr>
          <w:rFonts w:hint="eastAsia" w:ascii="Times New Roman" w:hAnsi="Times New Roman"/>
          <w:color w:val="auto"/>
        </w:rPr>
        <w:t>（2）环境影响预测与评价：通过预测及分析，评价项目污染物排放对环境的影响程度，并根据评价结果提出环境影响缓减措施。</w:t>
      </w:r>
    </w:p>
    <w:p w14:paraId="1A397B60">
      <w:pPr>
        <w:rPr>
          <w:rFonts w:ascii="Times New Roman" w:hAnsi="Times New Roman"/>
          <w:color w:val="auto"/>
        </w:rPr>
      </w:pPr>
      <w:r>
        <w:rPr>
          <w:rFonts w:hint="eastAsia" w:ascii="Times New Roman" w:hAnsi="Times New Roman"/>
          <w:color w:val="auto"/>
        </w:rPr>
        <w:t>（3）环境保护措施及其经济、技术论证：对项目拟采用的废气、废水、固体废物、噪声污染控制方案进行分析，论证污染物稳定达标排放的可行性，提出污染控制缓减措施和建议。</w:t>
      </w:r>
    </w:p>
    <w:p w14:paraId="659A32FD">
      <w:pPr>
        <w:pStyle w:val="3"/>
        <w:bidi w:val="0"/>
        <w:rPr>
          <w:color w:val="auto"/>
          <w:lang w:val="en-US" w:eastAsia="zh-CN"/>
        </w:rPr>
      </w:pPr>
      <w:bookmarkStart w:id="83" w:name="_Toc4559"/>
      <w:bookmarkStart w:id="84" w:name="_Toc28248"/>
      <w:r>
        <w:rPr>
          <w:rFonts w:hint="eastAsia"/>
          <w:color w:val="auto"/>
          <w:lang w:val="en-US" w:eastAsia="zh-CN"/>
        </w:rPr>
        <w:t>评价范围及环境敏感区</w:t>
      </w:r>
      <w:bookmarkEnd w:id="83"/>
      <w:bookmarkEnd w:id="84"/>
    </w:p>
    <w:p w14:paraId="1745D42E">
      <w:pPr>
        <w:pStyle w:val="4"/>
        <w:bidi w:val="0"/>
        <w:rPr>
          <w:color w:val="auto"/>
          <w:lang w:val="en-US" w:eastAsia="zh-CN"/>
        </w:rPr>
      </w:pPr>
      <w:bookmarkStart w:id="85" w:name="_Toc19017"/>
      <w:bookmarkStart w:id="86" w:name="_Toc27792"/>
      <w:r>
        <w:rPr>
          <w:rFonts w:hint="eastAsia"/>
          <w:color w:val="auto"/>
          <w:lang w:val="en-US" w:eastAsia="zh-CN"/>
        </w:rPr>
        <w:t>评价范围</w:t>
      </w:r>
      <w:bookmarkEnd w:id="85"/>
      <w:bookmarkEnd w:id="86"/>
    </w:p>
    <w:p w14:paraId="035EF784">
      <w:pPr>
        <w:rPr>
          <w:rFonts w:ascii="Times New Roman" w:hAnsi="Times New Roman"/>
          <w:color w:val="auto"/>
        </w:rPr>
      </w:pPr>
      <w:r>
        <w:rPr>
          <w:rFonts w:hint="eastAsia" w:ascii="Times New Roman" w:hAnsi="Times New Roman"/>
          <w:color w:val="auto"/>
        </w:rPr>
        <w:t>根据拟建项目污染物排放特点及当地气象条件、自然环境状况，结合各导则的要求，确定各环境要素评价范围见</w:t>
      </w:r>
      <w:r>
        <w:rPr>
          <w:rFonts w:ascii="Times New Roman" w:hAnsi="Times New Roman"/>
          <w:color w:val="auto"/>
        </w:rPr>
        <w:fldChar w:fldCharType="begin"/>
      </w:r>
      <w:r>
        <w:rPr>
          <w:rFonts w:ascii="Times New Roman" w:hAnsi="Times New Roman"/>
          <w:color w:val="auto"/>
        </w:rPr>
        <w:instrText xml:space="preserve"> </w:instrText>
      </w:r>
      <w:r>
        <w:rPr>
          <w:rFonts w:hint="eastAsia" w:ascii="Times New Roman" w:hAnsi="Times New Roman"/>
          <w:color w:val="auto"/>
        </w:rPr>
        <w:instrText xml:space="preserve">REF _Ref156840852 \h</w:instrText>
      </w:r>
      <w:r>
        <w:rPr>
          <w:rFonts w:ascii="Times New Roman" w:hAnsi="Times New Roman"/>
          <w:color w:val="auto"/>
        </w:rPr>
        <w:instrText xml:space="preserve"> </w:instrText>
      </w:r>
      <w:r>
        <w:rPr>
          <w:rFonts w:ascii="Times New Roman" w:hAnsi="Times New Roman"/>
          <w:color w:val="auto"/>
        </w:rPr>
        <w:fldChar w:fldCharType="separate"/>
      </w: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2.4</w:t>
      </w:r>
      <w:r>
        <w:rPr>
          <w:rFonts w:ascii="Times New Roman" w:hAnsi="Times New Roman"/>
          <w:color w:val="auto"/>
        </w:rPr>
        <w:fldChar w:fldCharType="end"/>
      </w:r>
      <w:r>
        <w:rPr>
          <w:rFonts w:ascii="Times New Roman" w:hAnsi="Times New Roman"/>
          <w:color w:val="auto"/>
        </w:rPr>
        <w:noBreakHyphen/>
      </w:r>
      <w:r>
        <w:rPr>
          <w:rFonts w:ascii="Times New Roman" w:hAnsi="Times New Roman"/>
          <w:color w:val="auto"/>
        </w:rPr>
        <w:t>1</w:t>
      </w:r>
      <w:r>
        <w:rPr>
          <w:rFonts w:ascii="Times New Roman" w:hAnsi="Times New Roman"/>
          <w:color w:val="auto"/>
        </w:rPr>
        <w:fldChar w:fldCharType="end"/>
      </w:r>
      <w:r>
        <w:rPr>
          <w:rFonts w:hint="eastAsia" w:ascii="Times New Roman" w:hAnsi="Times New Roman"/>
          <w:color w:val="auto"/>
        </w:rPr>
        <w:t>。</w:t>
      </w:r>
    </w:p>
    <w:p w14:paraId="40AB44B7">
      <w:pPr>
        <w:pStyle w:val="25"/>
        <w:bidi w:val="0"/>
        <w:rPr>
          <w:color w:val="auto"/>
          <w:lang w:val="en-US" w:eastAsia="zh-CN"/>
        </w:rPr>
      </w:pPr>
      <w:bookmarkStart w:id="87" w:name="_Ref156840852"/>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2.4</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bookmarkEnd w:id="87"/>
      <w:r>
        <w:rPr>
          <w:color w:val="auto"/>
          <w:lang w:val="en-US" w:eastAsia="zh-CN"/>
        </w:rPr>
        <w:t>项目环境影响评价范围</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12"/>
        <w:gridCol w:w="1810"/>
        <w:gridCol w:w="5194"/>
      </w:tblGrid>
      <w:tr w14:paraId="53C7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6AD12C8D">
            <w:pPr>
              <w:pStyle w:val="36"/>
              <w:bidi w:val="0"/>
              <w:rPr>
                <w:color w:val="auto"/>
                <w:lang w:val="en-US" w:eastAsia="zh-CN"/>
              </w:rPr>
            </w:pPr>
            <w:bookmarkStart w:id="88" w:name="_Hlk157412702"/>
            <w:r>
              <w:rPr>
                <w:color w:val="auto"/>
                <w:lang w:val="en-US" w:eastAsia="zh-CN"/>
              </w:rPr>
              <w:t>评价内容</w:t>
            </w:r>
          </w:p>
        </w:tc>
        <w:tc>
          <w:tcPr>
            <w:tcW w:w="1088" w:type="pct"/>
            <w:tcMar>
              <w:left w:w="0" w:type="dxa"/>
              <w:right w:w="0" w:type="dxa"/>
            </w:tcMar>
            <w:vAlign w:val="center"/>
          </w:tcPr>
          <w:p w14:paraId="74A6770D">
            <w:pPr>
              <w:pStyle w:val="36"/>
              <w:bidi w:val="0"/>
              <w:rPr>
                <w:color w:val="auto"/>
                <w:lang w:val="en-US" w:eastAsia="zh-CN"/>
              </w:rPr>
            </w:pPr>
            <w:r>
              <w:rPr>
                <w:color w:val="auto"/>
                <w:lang w:val="en-US" w:eastAsia="zh-CN"/>
              </w:rPr>
              <w:t>评价等级</w:t>
            </w:r>
          </w:p>
        </w:tc>
        <w:tc>
          <w:tcPr>
            <w:tcW w:w="3123" w:type="pct"/>
            <w:tcMar>
              <w:left w:w="0" w:type="dxa"/>
              <w:right w:w="0" w:type="dxa"/>
            </w:tcMar>
            <w:vAlign w:val="center"/>
          </w:tcPr>
          <w:p w14:paraId="533F7836">
            <w:pPr>
              <w:pStyle w:val="36"/>
              <w:bidi w:val="0"/>
              <w:rPr>
                <w:color w:val="auto"/>
                <w:lang w:val="en-US" w:eastAsia="zh-CN"/>
              </w:rPr>
            </w:pPr>
            <w:r>
              <w:rPr>
                <w:color w:val="auto"/>
                <w:lang w:val="en-US" w:eastAsia="zh-CN"/>
              </w:rPr>
              <w:t>评价范围</w:t>
            </w:r>
          </w:p>
        </w:tc>
      </w:tr>
      <w:tr w14:paraId="662C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5E3DDA64">
            <w:pPr>
              <w:pStyle w:val="26"/>
              <w:bidi w:val="0"/>
              <w:rPr>
                <w:color w:val="auto"/>
                <w:lang w:val="en-US" w:eastAsia="zh-CN"/>
              </w:rPr>
            </w:pPr>
            <w:r>
              <w:rPr>
                <w:color w:val="auto"/>
                <w:lang w:val="en-US" w:eastAsia="zh-CN"/>
              </w:rPr>
              <w:t>大气环境</w:t>
            </w:r>
          </w:p>
        </w:tc>
        <w:tc>
          <w:tcPr>
            <w:tcW w:w="1088" w:type="pct"/>
            <w:tcMar>
              <w:left w:w="0" w:type="dxa"/>
              <w:right w:w="0" w:type="dxa"/>
            </w:tcMar>
            <w:vAlign w:val="center"/>
          </w:tcPr>
          <w:p w14:paraId="1FD35BAF">
            <w:pPr>
              <w:pStyle w:val="26"/>
              <w:bidi w:val="0"/>
              <w:rPr>
                <w:color w:val="auto"/>
                <w:lang w:val="en-US" w:eastAsia="zh-CN"/>
              </w:rPr>
            </w:pPr>
            <w:r>
              <w:rPr>
                <w:rFonts w:hint="eastAsia"/>
                <w:color w:val="auto"/>
                <w:lang w:val="en-US" w:eastAsia="zh-CN"/>
              </w:rPr>
              <w:t>二</w:t>
            </w:r>
            <w:r>
              <w:rPr>
                <w:color w:val="auto"/>
                <w:lang w:val="en-US" w:eastAsia="zh-CN"/>
              </w:rPr>
              <w:t>级</w:t>
            </w:r>
          </w:p>
        </w:tc>
        <w:tc>
          <w:tcPr>
            <w:tcW w:w="3123" w:type="pct"/>
            <w:tcMar>
              <w:left w:w="0" w:type="dxa"/>
              <w:right w:w="0" w:type="dxa"/>
            </w:tcMar>
            <w:vAlign w:val="center"/>
          </w:tcPr>
          <w:p w14:paraId="7CDF9B59">
            <w:pPr>
              <w:pStyle w:val="26"/>
              <w:bidi w:val="0"/>
              <w:rPr>
                <w:color w:val="auto"/>
                <w:lang w:val="en-US" w:eastAsia="zh-CN"/>
              </w:rPr>
            </w:pPr>
            <w:r>
              <w:rPr>
                <w:color w:val="auto"/>
                <w:lang w:val="en-US" w:eastAsia="zh-CN"/>
              </w:rPr>
              <w:t>以项目厂址为中心点，评价范围边长取5km</w:t>
            </w:r>
          </w:p>
        </w:tc>
      </w:tr>
      <w:tr w14:paraId="17A1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74FB28D0">
            <w:pPr>
              <w:pStyle w:val="26"/>
              <w:bidi w:val="0"/>
              <w:rPr>
                <w:color w:val="auto"/>
                <w:lang w:val="en-US" w:eastAsia="zh-CN"/>
              </w:rPr>
            </w:pPr>
            <w:r>
              <w:rPr>
                <w:color w:val="auto"/>
                <w:lang w:val="en-US" w:eastAsia="zh-CN"/>
              </w:rPr>
              <w:t>地表水环境</w:t>
            </w:r>
          </w:p>
        </w:tc>
        <w:tc>
          <w:tcPr>
            <w:tcW w:w="1088" w:type="pct"/>
            <w:tcMar>
              <w:left w:w="0" w:type="dxa"/>
              <w:right w:w="0" w:type="dxa"/>
            </w:tcMar>
            <w:vAlign w:val="center"/>
          </w:tcPr>
          <w:p w14:paraId="2B738443">
            <w:pPr>
              <w:pStyle w:val="26"/>
              <w:bidi w:val="0"/>
              <w:rPr>
                <w:color w:val="auto"/>
                <w:lang w:val="en-US" w:eastAsia="zh-CN"/>
              </w:rPr>
            </w:pPr>
            <w:r>
              <w:rPr>
                <w:color w:val="auto"/>
                <w:lang w:val="en-US" w:eastAsia="zh-CN"/>
              </w:rPr>
              <w:t>三级B</w:t>
            </w:r>
          </w:p>
        </w:tc>
        <w:tc>
          <w:tcPr>
            <w:tcW w:w="3123" w:type="pct"/>
            <w:tcMar>
              <w:left w:w="0" w:type="dxa"/>
              <w:right w:w="0" w:type="dxa"/>
            </w:tcMar>
            <w:vAlign w:val="center"/>
          </w:tcPr>
          <w:p w14:paraId="06549C9A">
            <w:pPr>
              <w:pStyle w:val="26"/>
              <w:bidi w:val="0"/>
              <w:rPr>
                <w:color w:val="auto"/>
                <w:lang w:val="en-US" w:eastAsia="zh-CN"/>
              </w:rPr>
            </w:pPr>
            <w:r>
              <w:rPr>
                <w:color w:val="auto"/>
                <w:lang w:val="en-US" w:eastAsia="zh-CN"/>
              </w:rPr>
              <w:t>/（评价依托污水处理设施环境可行性）</w:t>
            </w:r>
          </w:p>
        </w:tc>
      </w:tr>
      <w:tr w14:paraId="6B59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5C3C9148">
            <w:pPr>
              <w:pStyle w:val="26"/>
              <w:bidi w:val="0"/>
              <w:rPr>
                <w:color w:val="auto"/>
                <w:lang w:val="en-US" w:eastAsia="zh-CN"/>
              </w:rPr>
            </w:pPr>
            <w:r>
              <w:rPr>
                <w:color w:val="auto"/>
                <w:lang w:val="en-US" w:eastAsia="zh-CN"/>
              </w:rPr>
              <w:t>声环境</w:t>
            </w:r>
          </w:p>
        </w:tc>
        <w:tc>
          <w:tcPr>
            <w:tcW w:w="1088" w:type="pct"/>
            <w:tcMar>
              <w:left w:w="0" w:type="dxa"/>
              <w:right w:w="0" w:type="dxa"/>
            </w:tcMar>
            <w:vAlign w:val="center"/>
          </w:tcPr>
          <w:p w14:paraId="1CDC1B33">
            <w:pPr>
              <w:pStyle w:val="26"/>
              <w:bidi w:val="0"/>
              <w:rPr>
                <w:color w:val="auto"/>
                <w:lang w:val="en-US" w:eastAsia="zh-CN"/>
              </w:rPr>
            </w:pPr>
            <w:r>
              <w:rPr>
                <w:color w:val="auto"/>
                <w:lang w:val="en-US" w:eastAsia="zh-CN"/>
              </w:rPr>
              <w:t>三级</w:t>
            </w:r>
          </w:p>
        </w:tc>
        <w:tc>
          <w:tcPr>
            <w:tcW w:w="3123" w:type="pct"/>
            <w:tcMar>
              <w:left w:w="0" w:type="dxa"/>
              <w:right w:w="0" w:type="dxa"/>
            </w:tcMar>
            <w:vAlign w:val="center"/>
          </w:tcPr>
          <w:p w14:paraId="10506807">
            <w:pPr>
              <w:pStyle w:val="26"/>
              <w:bidi w:val="0"/>
              <w:rPr>
                <w:color w:val="auto"/>
                <w:lang w:val="en-US" w:eastAsia="zh-CN"/>
              </w:rPr>
            </w:pPr>
            <w:r>
              <w:rPr>
                <w:color w:val="auto"/>
                <w:lang w:val="en-US" w:eastAsia="zh-CN"/>
              </w:rPr>
              <w:t>项目厂界外200m范围内</w:t>
            </w:r>
          </w:p>
        </w:tc>
      </w:tr>
      <w:tr w14:paraId="505D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4E2B856A">
            <w:pPr>
              <w:pStyle w:val="26"/>
              <w:bidi w:val="0"/>
              <w:rPr>
                <w:color w:val="auto"/>
                <w:lang w:val="en-US" w:eastAsia="zh-CN"/>
              </w:rPr>
            </w:pPr>
            <w:r>
              <w:rPr>
                <w:color w:val="auto"/>
                <w:lang w:val="en-US" w:eastAsia="zh-CN"/>
              </w:rPr>
              <w:t>地下水环境</w:t>
            </w:r>
          </w:p>
        </w:tc>
        <w:tc>
          <w:tcPr>
            <w:tcW w:w="1088" w:type="pct"/>
            <w:tcMar>
              <w:left w:w="0" w:type="dxa"/>
              <w:right w:w="0" w:type="dxa"/>
            </w:tcMar>
            <w:vAlign w:val="center"/>
          </w:tcPr>
          <w:p w14:paraId="1A5680E4">
            <w:pPr>
              <w:pStyle w:val="26"/>
              <w:bidi w:val="0"/>
              <w:rPr>
                <w:color w:val="auto"/>
                <w:lang w:val="en-US" w:eastAsia="zh-CN"/>
              </w:rPr>
            </w:pPr>
            <w:r>
              <w:rPr>
                <w:rFonts w:hint="eastAsia"/>
                <w:color w:val="auto"/>
                <w:lang w:val="en-US" w:eastAsia="zh-CN"/>
              </w:rPr>
              <w:t>三</w:t>
            </w:r>
            <w:r>
              <w:rPr>
                <w:color w:val="auto"/>
                <w:lang w:val="en-US" w:eastAsia="zh-CN"/>
              </w:rPr>
              <w:t>级</w:t>
            </w:r>
          </w:p>
        </w:tc>
        <w:tc>
          <w:tcPr>
            <w:tcW w:w="3123" w:type="pct"/>
            <w:tcMar>
              <w:left w:w="0" w:type="dxa"/>
              <w:right w:w="0" w:type="dxa"/>
            </w:tcMar>
            <w:vAlign w:val="center"/>
          </w:tcPr>
          <w:p w14:paraId="22120C5B">
            <w:pPr>
              <w:pStyle w:val="26"/>
              <w:bidi w:val="0"/>
              <w:rPr>
                <w:color w:val="auto"/>
                <w:lang w:val="en-US" w:eastAsia="zh-CN"/>
              </w:rPr>
            </w:pPr>
            <w:r>
              <w:rPr>
                <w:color w:val="auto"/>
                <w:lang w:val="en-US" w:eastAsia="zh-CN"/>
              </w:rPr>
              <w:t>项目所在地水文地质单元，以厂区为中心，东至上海墨玉路、南至吴淞江、西至黄浦江中路、北至太仓塘，约 5km</w:t>
            </w:r>
            <w:r>
              <w:rPr>
                <w:color w:val="auto"/>
                <w:vertAlign w:val="superscript"/>
                <w:lang w:val="en-US" w:eastAsia="zh-CN"/>
              </w:rPr>
              <w:t>2</w:t>
            </w:r>
            <w:r>
              <w:rPr>
                <w:color w:val="auto"/>
                <w:lang w:val="en-US" w:eastAsia="zh-CN"/>
              </w:rPr>
              <w:t>范围</w:t>
            </w:r>
          </w:p>
        </w:tc>
      </w:tr>
      <w:tr w14:paraId="2D6B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748A82E5">
            <w:pPr>
              <w:pStyle w:val="26"/>
              <w:bidi w:val="0"/>
              <w:rPr>
                <w:color w:val="auto"/>
                <w:lang w:val="en-US" w:eastAsia="zh-CN"/>
              </w:rPr>
            </w:pPr>
            <w:r>
              <w:rPr>
                <w:color w:val="auto"/>
                <w:lang w:val="en-US" w:eastAsia="zh-CN"/>
              </w:rPr>
              <w:t>土壤环境</w:t>
            </w:r>
          </w:p>
        </w:tc>
        <w:tc>
          <w:tcPr>
            <w:tcW w:w="1088" w:type="pct"/>
            <w:tcMar>
              <w:left w:w="0" w:type="dxa"/>
              <w:right w:w="0" w:type="dxa"/>
            </w:tcMar>
            <w:vAlign w:val="center"/>
          </w:tcPr>
          <w:p w14:paraId="284E7C9F">
            <w:pPr>
              <w:pStyle w:val="26"/>
              <w:bidi w:val="0"/>
              <w:rPr>
                <w:color w:val="auto"/>
                <w:lang w:val="en-US" w:eastAsia="zh-CN"/>
              </w:rPr>
            </w:pPr>
            <w:r>
              <w:rPr>
                <w:rFonts w:hint="eastAsia"/>
                <w:color w:val="auto"/>
                <w:lang w:val="en-US" w:eastAsia="zh-CN"/>
              </w:rPr>
              <w:t>二</w:t>
            </w:r>
            <w:r>
              <w:rPr>
                <w:color w:val="auto"/>
                <w:lang w:val="en-US" w:eastAsia="zh-CN"/>
              </w:rPr>
              <w:t>级</w:t>
            </w:r>
          </w:p>
        </w:tc>
        <w:tc>
          <w:tcPr>
            <w:tcW w:w="3123" w:type="pct"/>
            <w:tcMar>
              <w:left w:w="0" w:type="dxa"/>
              <w:right w:w="0" w:type="dxa"/>
            </w:tcMar>
            <w:vAlign w:val="center"/>
          </w:tcPr>
          <w:p w14:paraId="00DC303F">
            <w:pPr>
              <w:pStyle w:val="26"/>
              <w:bidi w:val="0"/>
              <w:rPr>
                <w:color w:val="auto"/>
                <w:lang w:val="en-US" w:eastAsia="zh-CN"/>
              </w:rPr>
            </w:pPr>
            <w:r>
              <w:rPr>
                <w:color w:val="auto"/>
                <w:lang w:val="en-US" w:eastAsia="zh-CN"/>
              </w:rPr>
              <w:t>项目厂界外扩</w:t>
            </w:r>
            <w:r>
              <w:rPr>
                <w:rFonts w:hint="eastAsia"/>
                <w:color w:val="auto"/>
                <w:lang w:val="en-US" w:eastAsia="zh-CN"/>
              </w:rPr>
              <w:t>200</w:t>
            </w:r>
            <w:r>
              <w:rPr>
                <w:color w:val="auto"/>
                <w:lang w:val="en-US" w:eastAsia="zh-CN"/>
              </w:rPr>
              <w:t>范围内</w:t>
            </w:r>
          </w:p>
        </w:tc>
      </w:tr>
      <w:tr w14:paraId="4BF6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22ADED5A">
            <w:pPr>
              <w:pStyle w:val="26"/>
              <w:bidi w:val="0"/>
              <w:rPr>
                <w:color w:val="auto"/>
                <w:lang w:val="en-US" w:eastAsia="zh-CN"/>
              </w:rPr>
            </w:pPr>
            <w:r>
              <w:rPr>
                <w:color w:val="auto"/>
                <w:lang w:val="en-US" w:eastAsia="zh-CN"/>
              </w:rPr>
              <w:t>风险</w:t>
            </w:r>
          </w:p>
        </w:tc>
        <w:tc>
          <w:tcPr>
            <w:tcW w:w="1088" w:type="pct"/>
            <w:tcMar>
              <w:left w:w="0" w:type="dxa"/>
              <w:right w:w="0" w:type="dxa"/>
            </w:tcMar>
            <w:vAlign w:val="center"/>
          </w:tcPr>
          <w:p w14:paraId="374B7297">
            <w:pPr>
              <w:pStyle w:val="26"/>
              <w:bidi w:val="0"/>
              <w:rPr>
                <w:rFonts w:hint="eastAsia"/>
                <w:color w:val="auto"/>
                <w:lang w:val="en-US" w:eastAsia="zh-CN"/>
              </w:rPr>
            </w:pPr>
            <w:r>
              <w:rPr>
                <w:color w:val="auto"/>
                <w:lang w:val="en-US" w:eastAsia="zh-CN"/>
              </w:rPr>
              <w:t>大气</w:t>
            </w:r>
            <w:r>
              <w:rPr>
                <w:rFonts w:hint="eastAsia"/>
                <w:color w:val="auto"/>
                <w:lang w:val="en-US" w:eastAsia="zh-CN"/>
              </w:rPr>
              <w:t>二</w:t>
            </w:r>
            <w:r>
              <w:rPr>
                <w:color w:val="auto"/>
                <w:lang w:val="en-US" w:eastAsia="zh-CN"/>
              </w:rPr>
              <w:t>级、地表水</w:t>
            </w:r>
            <w:r>
              <w:rPr>
                <w:rFonts w:hint="eastAsia"/>
                <w:color w:val="auto"/>
                <w:lang w:val="en-US" w:eastAsia="zh-CN"/>
              </w:rPr>
              <w:t>三</w:t>
            </w:r>
            <w:r>
              <w:rPr>
                <w:color w:val="auto"/>
                <w:lang w:val="en-US" w:eastAsia="zh-CN"/>
              </w:rPr>
              <w:t>级、地下水</w:t>
            </w:r>
            <w:r>
              <w:rPr>
                <w:rFonts w:hint="eastAsia"/>
                <w:color w:val="auto"/>
                <w:lang w:val="en-US" w:eastAsia="zh-CN"/>
              </w:rPr>
              <w:t>三级</w:t>
            </w:r>
          </w:p>
        </w:tc>
        <w:tc>
          <w:tcPr>
            <w:tcW w:w="3123" w:type="pct"/>
            <w:tcMar>
              <w:left w:w="0" w:type="dxa"/>
              <w:right w:w="0" w:type="dxa"/>
            </w:tcMar>
            <w:vAlign w:val="center"/>
          </w:tcPr>
          <w:p w14:paraId="41A0AE62">
            <w:pPr>
              <w:pStyle w:val="26"/>
              <w:bidi w:val="0"/>
              <w:rPr>
                <w:color w:val="auto"/>
                <w:lang w:val="en-US" w:eastAsia="zh-CN"/>
              </w:rPr>
            </w:pPr>
            <w:r>
              <w:rPr>
                <w:color w:val="auto"/>
                <w:lang w:val="en-US" w:eastAsia="zh-CN"/>
              </w:rPr>
              <w:t>大气：厂区边界为中心、半径5公里范围</w:t>
            </w:r>
          </w:p>
          <w:p w14:paraId="1D6E6CA8">
            <w:pPr>
              <w:pStyle w:val="26"/>
              <w:bidi w:val="0"/>
              <w:rPr>
                <w:rFonts w:hint="eastAsia"/>
                <w:color w:val="auto"/>
                <w:lang w:val="en-US" w:eastAsia="zh-CN"/>
              </w:rPr>
            </w:pPr>
            <w:r>
              <w:rPr>
                <w:color w:val="auto"/>
                <w:lang w:val="en-US" w:eastAsia="zh-CN"/>
              </w:rPr>
              <w:t>地表水</w:t>
            </w:r>
            <w:r>
              <w:rPr>
                <w:rFonts w:hint="eastAsia"/>
                <w:color w:val="auto"/>
                <w:lang w:val="en-US" w:eastAsia="zh-CN"/>
              </w:rPr>
              <w:t>：周边水体排口至下游2km范围；</w:t>
            </w:r>
          </w:p>
          <w:p w14:paraId="034057C7">
            <w:pPr>
              <w:pStyle w:val="26"/>
              <w:bidi w:val="0"/>
              <w:rPr>
                <w:color w:val="auto"/>
                <w:lang w:val="en-US" w:eastAsia="zh-CN"/>
              </w:rPr>
            </w:pPr>
            <w:r>
              <w:rPr>
                <w:color w:val="auto"/>
                <w:lang w:val="en-US" w:eastAsia="zh-CN"/>
              </w:rPr>
              <w:t>地下水：</w:t>
            </w:r>
            <w:r>
              <w:rPr>
                <w:rFonts w:hint="eastAsia"/>
                <w:color w:val="auto"/>
                <w:lang w:val="en-US" w:eastAsia="zh-CN"/>
              </w:rPr>
              <w:t>同地下水环境评价范围</w:t>
            </w:r>
          </w:p>
        </w:tc>
      </w:tr>
      <w:tr w14:paraId="17E6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89" w:type="pct"/>
            <w:tcMar>
              <w:left w:w="0" w:type="dxa"/>
              <w:right w:w="0" w:type="dxa"/>
            </w:tcMar>
            <w:vAlign w:val="center"/>
          </w:tcPr>
          <w:p w14:paraId="2813124C">
            <w:pPr>
              <w:pStyle w:val="26"/>
              <w:bidi w:val="0"/>
              <w:rPr>
                <w:color w:val="auto"/>
                <w:lang w:val="en-US" w:eastAsia="zh-CN"/>
              </w:rPr>
            </w:pPr>
            <w:r>
              <w:rPr>
                <w:color w:val="auto"/>
                <w:lang w:val="en-US" w:eastAsia="zh-CN"/>
              </w:rPr>
              <w:t>生态环境</w:t>
            </w:r>
          </w:p>
        </w:tc>
        <w:tc>
          <w:tcPr>
            <w:tcW w:w="1088" w:type="pct"/>
            <w:tcMar>
              <w:left w:w="0" w:type="dxa"/>
              <w:right w:w="0" w:type="dxa"/>
            </w:tcMar>
            <w:vAlign w:val="center"/>
          </w:tcPr>
          <w:p w14:paraId="285D3834">
            <w:pPr>
              <w:pStyle w:val="26"/>
              <w:bidi w:val="0"/>
              <w:rPr>
                <w:color w:val="auto"/>
                <w:lang w:val="en-US" w:eastAsia="zh-CN"/>
              </w:rPr>
            </w:pPr>
            <w:r>
              <w:rPr>
                <w:color w:val="auto"/>
                <w:lang w:val="en-US" w:eastAsia="zh-CN"/>
              </w:rPr>
              <w:t>/</w:t>
            </w:r>
          </w:p>
        </w:tc>
        <w:tc>
          <w:tcPr>
            <w:tcW w:w="3123" w:type="pct"/>
            <w:tcMar>
              <w:left w:w="0" w:type="dxa"/>
              <w:right w:w="0" w:type="dxa"/>
            </w:tcMar>
            <w:vAlign w:val="center"/>
          </w:tcPr>
          <w:p w14:paraId="37CA623E">
            <w:pPr>
              <w:pStyle w:val="26"/>
              <w:bidi w:val="0"/>
              <w:rPr>
                <w:color w:val="auto"/>
                <w:lang w:val="en-US" w:eastAsia="zh-CN"/>
              </w:rPr>
            </w:pPr>
            <w:r>
              <w:rPr>
                <w:rFonts w:hint="eastAsia"/>
                <w:color w:val="auto"/>
                <w:lang w:val="en-US" w:eastAsia="zh-CN"/>
              </w:rPr>
              <w:t>/（</w:t>
            </w:r>
            <w:r>
              <w:rPr>
                <w:color w:val="auto"/>
                <w:lang w:val="en-US" w:eastAsia="zh-CN"/>
              </w:rPr>
              <w:t>简单分析</w:t>
            </w:r>
            <w:r>
              <w:rPr>
                <w:rFonts w:hint="eastAsia"/>
                <w:color w:val="auto"/>
                <w:lang w:val="en-US" w:eastAsia="zh-CN"/>
              </w:rPr>
              <w:t>）</w:t>
            </w:r>
          </w:p>
        </w:tc>
      </w:tr>
    </w:tbl>
    <w:p w14:paraId="63B7BF7F">
      <w:pPr>
        <w:pStyle w:val="4"/>
        <w:bidi w:val="0"/>
        <w:rPr>
          <w:color w:val="auto"/>
          <w:lang w:val="en-US" w:eastAsia="zh-CN"/>
        </w:rPr>
      </w:pPr>
      <w:bookmarkStart w:id="89" w:name="_Toc12345"/>
      <w:bookmarkStart w:id="90" w:name="_Toc7354"/>
      <w:r>
        <w:rPr>
          <w:rFonts w:hint="eastAsia"/>
          <w:color w:val="auto"/>
          <w:lang w:val="en-US" w:eastAsia="zh-CN"/>
        </w:rPr>
        <w:t>环境敏感保护目标</w:t>
      </w:r>
      <w:bookmarkEnd w:id="89"/>
      <w:bookmarkEnd w:id="90"/>
    </w:p>
    <w:p w14:paraId="2D98FF99">
      <w:pPr>
        <w:pStyle w:val="5"/>
        <w:bidi w:val="0"/>
        <w:rPr>
          <w:color w:val="auto"/>
          <w:lang w:val="en-US" w:eastAsia="zh-CN"/>
        </w:rPr>
      </w:pPr>
      <w:r>
        <w:rPr>
          <w:rFonts w:hint="eastAsia"/>
          <w:color w:val="auto"/>
          <w:lang w:val="en-US" w:eastAsia="zh-CN"/>
        </w:rPr>
        <w:t>环境空气保护目标</w:t>
      </w:r>
    </w:p>
    <w:p w14:paraId="6E0D60A6">
      <w:pPr>
        <w:rPr>
          <w:rFonts w:ascii="Times New Roman" w:hAnsi="Times New Roman"/>
          <w:color w:val="auto"/>
          <w:highlight w:val="none"/>
        </w:rPr>
      </w:pPr>
      <w:r>
        <w:rPr>
          <w:rFonts w:hint="eastAsia" w:ascii="Times New Roman" w:hAnsi="Times New Roman"/>
          <w:color w:val="auto"/>
          <w:highlight w:val="none"/>
        </w:rPr>
        <w:t>项目周围环境空气保护目标见</w:t>
      </w:r>
      <w:r>
        <w:rPr>
          <w:rFonts w:ascii="Times New Roman" w:hAnsi="Times New Roman"/>
          <w:color w:val="auto"/>
          <w:highlight w:val="none"/>
        </w:rPr>
        <w:fldChar w:fldCharType="begin"/>
      </w:r>
      <w:r>
        <w:rPr>
          <w:color w:val="auto"/>
          <w:highlight w:val="none"/>
        </w:rPr>
        <w:instrText xml:space="preserve"> REF _Ref156840860 \h  \* MERGEFORMAT</w:instrText>
      </w:r>
      <w:r>
        <w:rPr>
          <w:rFonts w:ascii="Times New Roman" w:hAnsi="Times New Roman"/>
          <w:color w:val="auto"/>
          <w:highlight w:val="none"/>
        </w:rPr>
        <w:fldChar w:fldCharType="separate"/>
      </w:r>
      <w:r>
        <w:rPr>
          <w:rFonts w:ascii="Times New Roman" w:hAnsi="Times New Roman"/>
          <w:color w:val="auto"/>
          <w:highlight w:val="none"/>
        </w:rPr>
        <w:t>表</w:t>
      </w:r>
      <w:r>
        <w:rPr>
          <w:rFonts w:ascii="Times New Roman" w:hAnsi="Times New Roman"/>
          <w:color w:val="auto"/>
          <w:highlight w:val="none"/>
        </w:rPr>
        <w:fldChar w:fldCharType="begin"/>
      </w:r>
      <w:r>
        <w:rPr>
          <w:rFonts w:ascii="Times New Roman" w:hAnsi="Times New Roman"/>
          <w:color w:val="auto"/>
          <w:highlight w:val="none"/>
        </w:rPr>
        <w:instrText xml:space="preserve"> STYLEREF 2 \s </w:instrText>
      </w:r>
      <w:r>
        <w:rPr>
          <w:rFonts w:ascii="Times New Roman" w:hAnsi="Times New Roman"/>
          <w:color w:val="auto"/>
          <w:highlight w:val="none"/>
        </w:rPr>
        <w:fldChar w:fldCharType="separate"/>
      </w:r>
      <w:r>
        <w:rPr>
          <w:rFonts w:ascii="Times New Roman" w:hAnsi="Times New Roman"/>
          <w:color w:val="auto"/>
          <w:highlight w:val="none"/>
        </w:rPr>
        <w:t>2.4</w:t>
      </w:r>
      <w:r>
        <w:rPr>
          <w:rFonts w:ascii="Times New Roman" w:hAnsi="Times New Roman"/>
          <w:color w:val="auto"/>
          <w:highlight w:val="none"/>
        </w:rPr>
        <w:fldChar w:fldCharType="end"/>
      </w:r>
      <w:r>
        <w:rPr>
          <w:rFonts w:ascii="Times New Roman" w:hAnsi="Times New Roman"/>
          <w:color w:val="auto"/>
          <w:highlight w:val="none"/>
        </w:rPr>
        <w:noBreakHyphen/>
      </w:r>
      <w:r>
        <w:rPr>
          <w:rFonts w:ascii="Times New Roman" w:hAnsi="Times New Roman"/>
          <w:color w:val="auto"/>
          <w:highlight w:val="none"/>
        </w:rPr>
        <w:t>2</w:t>
      </w:r>
      <w:r>
        <w:rPr>
          <w:rFonts w:ascii="Times New Roman" w:hAnsi="Times New Roman"/>
          <w:color w:val="auto"/>
          <w:highlight w:val="none"/>
        </w:rPr>
        <w:fldChar w:fldCharType="end"/>
      </w:r>
      <w:r>
        <w:rPr>
          <w:rFonts w:hint="eastAsia" w:ascii="Times New Roman" w:hAnsi="Times New Roman"/>
          <w:color w:val="auto"/>
          <w:highlight w:val="none"/>
        </w:rPr>
        <w:t>和附图</w:t>
      </w:r>
      <w:r>
        <w:rPr>
          <w:rFonts w:hint="eastAsia" w:ascii="Times New Roman" w:hAnsi="Times New Roman"/>
          <w:color w:val="auto"/>
          <w:highlight w:val="none"/>
          <w:lang w:val="en-US" w:eastAsia="zh-CN"/>
        </w:rPr>
        <w:t>7</w:t>
      </w:r>
      <w:r>
        <w:rPr>
          <w:rFonts w:hint="eastAsia" w:ascii="Times New Roman" w:hAnsi="Times New Roman"/>
          <w:color w:val="auto"/>
          <w:highlight w:val="none"/>
        </w:rPr>
        <w:t>。</w:t>
      </w:r>
    </w:p>
    <w:p w14:paraId="334A64A5">
      <w:pPr>
        <w:pStyle w:val="25"/>
        <w:bidi w:val="0"/>
        <w:rPr>
          <w:color w:val="auto"/>
          <w:highlight w:val="none"/>
          <w:lang w:val="en-US" w:eastAsia="zh-CN"/>
        </w:rPr>
      </w:pPr>
      <w:bookmarkStart w:id="91" w:name="_Ref156840860"/>
      <w:r>
        <w:rPr>
          <w:color w:val="auto"/>
          <w:highlight w:val="none"/>
          <w:lang w:val="en-US" w:eastAsia="zh-CN"/>
        </w:rPr>
        <w:t>表</w:t>
      </w:r>
      <w:r>
        <w:rPr>
          <w:color w:val="auto"/>
          <w:highlight w:val="none"/>
          <w:lang w:val="en-US" w:eastAsia="zh-CN"/>
        </w:rPr>
        <w:fldChar w:fldCharType="begin"/>
      </w:r>
      <w:r>
        <w:rPr>
          <w:color w:val="auto"/>
          <w:highlight w:val="none"/>
          <w:lang w:val="en-US" w:eastAsia="zh-CN"/>
        </w:rPr>
        <w:instrText xml:space="preserve"> STYLEREF 2 \s </w:instrText>
      </w:r>
      <w:r>
        <w:rPr>
          <w:color w:val="auto"/>
          <w:highlight w:val="none"/>
          <w:lang w:val="en-US" w:eastAsia="zh-CN"/>
        </w:rPr>
        <w:fldChar w:fldCharType="separate"/>
      </w:r>
      <w:r>
        <w:rPr>
          <w:color w:val="auto"/>
          <w:highlight w:val="none"/>
          <w:lang w:val="en-US" w:eastAsia="zh-CN"/>
        </w:rPr>
        <w:t>2.4</w:t>
      </w:r>
      <w:r>
        <w:rPr>
          <w:color w:val="auto"/>
          <w:highlight w:val="none"/>
          <w:lang w:val="en-US" w:eastAsia="zh-CN"/>
        </w:rPr>
        <w:fldChar w:fldCharType="end"/>
      </w:r>
      <w:r>
        <w:rPr>
          <w:color w:val="auto"/>
          <w:highlight w:val="none"/>
          <w:lang w:val="en-US" w:eastAsia="zh-CN"/>
        </w:rPr>
        <w:noBreakHyphen/>
      </w:r>
      <w:r>
        <w:rPr>
          <w:color w:val="auto"/>
          <w:highlight w:val="none"/>
          <w:lang w:val="en-US" w:eastAsia="zh-CN"/>
        </w:rPr>
        <w:fldChar w:fldCharType="begin"/>
      </w:r>
      <w:r>
        <w:rPr>
          <w:color w:val="auto"/>
          <w:highlight w:val="none"/>
          <w:lang w:val="en-US" w:eastAsia="zh-CN"/>
        </w:rPr>
        <w:instrText xml:space="preserve"> SEQ 表 \* ARABIC \s 2 </w:instrText>
      </w:r>
      <w:r>
        <w:rPr>
          <w:color w:val="auto"/>
          <w:highlight w:val="none"/>
          <w:lang w:val="en-US" w:eastAsia="zh-CN"/>
        </w:rPr>
        <w:fldChar w:fldCharType="separate"/>
      </w:r>
      <w:r>
        <w:rPr>
          <w:color w:val="auto"/>
          <w:highlight w:val="none"/>
          <w:lang w:val="en-US" w:eastAsia="zh-CN"/>
        </w:rPr>
        <w:t>2</w:t>
      </w:r>
      <w:r>
        <w:rPr>
          <w:color w:val="auto"/>
          <w:highlight w:val="none"/>
          <w:lang w:val="en-US" w:eastAsia="zh-CN"/>
        </w:rPr>
        <w:fldChar w:fldCharType="end"/>
      </w:r>
      <w:bookmarkEnd w:id="91"/>
      <w:r>
        <w:rPr>
          <w:color w:val="auto"/>
          <w:highlight w:val="none"/>
          <w:lang w:val="en-US" w:eastAsia="zh-CN"/>
        </w:rPr>
        <w:t>项目周围环境空气保护目标</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602"/>
        <w:gridCol w:w="1039"/>
        <w:gridCol w:w="1241"/>
        <w:gridCol w:w="1209"/>
        <w:gridCol w:w="1408"/>
        <w:gridCol w:w="1409"/>
      </w:tblGrid>
      <w:tr w14:paraId="70FA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0" w:type="pct"/>
            <w:vMerge w:val="restart"/>
            <w:noWrap/>
            <w:vAlign w:val="center"/>
          </w:tcPr>
          <w:p w14:paraId="3E4D3118">
            <w:pPr>
              <w:pStyle w:val="36"/>
              <w:bidi w:val="0"/>
              <w:rPr>
                <w:lang w:val="en-US" w:eastAsia="zh-CN"/>
              </w:rPr>
            </w:pPr>
            <w:r>
              <w:rPr>
                <w:rFonts w:hint="eastAsia"/>
                <w:lang w:val="en-US" w:eastAsia="zh-CN"/>
              </w:rPr>
              <w:t>序号</w:t>
            </w:r>
          </w:p>
        </w:tc>
        <w:tc>
          <w:tcPr>
            <w:tcW w:w="939" w:type="pct"/>
            <w:vMerge w:val="restart"/>
            <w:noWrap/>
            <w:vAlign w:val="center"/>
          </w:tcPr>
          <w:p w14:paraId="611A9B18">
            <w:pPr>
              <w:pStyle w:val="36"/>
              <w:bidi w:val="0"/>
              <w:rPr>
                <w:rFonts w:hint="eastAsia"/>
                <w:lang w:val="en-US" w:eastAsia="zh-CN"/>
              </w:rPr>
            </w:pPr>
            <w:r>
              <w:rPr>
                <w:rFonts w:hint="eastAsia"/>
                <w:lang w:val="en-US" w:eastAsia="zh-CN"/>
              </w:rPr>
              <w:t>名称</w:t>
            </w:r>
          </w:p>
        </w:tc>
        <w:tc>
          <w:tcPr>
            <w:tcW w:w="609" w:type="pct"/>
            <w:vMerge w:val="restart"/>
            <w:noWrap/>
            <w:vAlign w:val="center"/>
          </w:tcPr>
          <w:p w14:paraId="6232B103">
            <w:pPr>
              <w:pStyle w:val="36"/>
              <w:bidi w:val="0"/>
              <w:rPr>
                <w:rFonts w:hint="eastAsia"/>
                <w:lang w:val="en-US" w:eastAsia="zh-CN"/>
              </w:rPr>
            </w:pPr>
            <w:r>
              <w:rPr>
                <w:rFonts w:hint="eastAsia"/>
                <w:lang w:val="en-US" w:eastAsia="zh-CN"/>
              </w:rPr>
              <w:t>保护对象</w:t>
            </w:r>
          </w:p>
        </w:tc>
        <w:tc>
          <w:tcPr>
            <w:tcW w:w="728" w:type="pct"/>
            <w:vMerge w:val="restart"/>
            <w:noWrap/>
            <w:vAlign w:val="center"/>
          </w:tcPr>
          <w:p w14:paraId="59722E9D">
            <w:pPr>
              <w:pStyle w:val="36"/>
              <w:bidi w:val="0"/>
              <w:rPr>
                <w:rFonts w:hint="eastAsia"/>
                <w:lang w:val="en-US" w:eastAsia="zh-CN"/>
              </w:rPr>
            </w:pPr>
            <w:r>
              <w:rPr>
                <w:rFonts w:hint="eastAsia"/>
                <w:lang w:val="en-US" w:eastAsia="zh-CN"/>
              </w:rPr>
              <w:t>保护内容</w:t>
            </w:r>
          </w:p>
          <w:p w14:paraId="326B622E">
            <w:pPr>
              <w:pStyle w:val="36"/>
              <w:bidi w:val="0"/>
              <w:rPr>
                <w:rFonts w:hint="eastAsia"/>
                <w:lang w:val="en-US" w:eastAsia="zh-CN"/>
              </w:rPr>
            </w:pPr>
            <w:r>
              <w:rPr>
                <w:rFonts w:hint="eastAsia"/>
                <w:lang w:val="en-US" w:eastAsia="zh-CN"/>
              </w:rPr>
              <w:t>（人口）</w:t>
            </w:r>
          </w:p>
        </w:tc>
        <w:tc>
          <w:tcPr>
            <w:tcW w:w="709" w:type="pct"/>
            <w:vMerge w:val="restart"/>
            <w:noWrap/>
            <w:vAlign w:val="center"/>
          </w:tcPr>
          <w:p w14:paraId="4F504E17">
            <w:pPr>
              <w:pStyle w:val="36"/>
              <w:bidi w:val="0"/>
              <w:rPr>
                <w:rFonts w:hint="eastAsia"/>
                <w:lang w:val="en-US" w:eastAsia="zh-CN"/>
              </w:rPr>
            </w:pPr>
            <w:r>
              <w:rPr>
                <w:rFonts w:hint="eastAsia"/>
                <w:lang w:val="en-US" w:eastAsia="zh-CN"/>
              </w:rPr>
              <w:t>环境功能区</w:t>
            </w:r>
          </w:p>
        </w:tc>
        <w:tc>
          <w:tcPr>
            <w:tcW w:w="826" w:type="pct"/>
            <w:vMerge w:val="restart"/>
            <w:noWrap/>
            <w:vAlign w:val="center"/>
          </w:tcPr>
          <w:p w14:paraId="1C27C3D3">
            <w:pPr>
              <w:pStyle w:val="36"/>
              <w:bidi w:val="0"/>
              <w:rPr>
                <w:rFonts w:hint="eastAsia"/>
                <w:lang w:val="en-US" w:eastAsia="zh-CN"/>
              </w:rPr>
            </w:pPr>
            <w:r>
              <w:rPr>
                <w:rFonts w:hint="eastAsia"/>
                <w:lang w:val="en-US" w:eastAsia="zh-CN"/>
              </w:rPr>
              <w:t>相对厂址方位</w:t>
            </w:r>
          </w:p>
        </w:tc>
        <w:tc>
          <w:tcPr>
            <w:tcW w:w="826" w:type="pct"/>
            <w:vMerge w:val="restart"/>
            <w:noWrap/>
            <w:vAlign w:val="center"/>
          </w:tcPr>
          <w:p w14:paraId="2F238DB7">
            <w:pPr>
              <w:pStyle w:val="36"/>
              <w:bidi w:val="0"/>
              <w:rPr>
                <w:rFonts w:hint="eastAsia"/>
                <w:lang w:val="en-US" w:eastAsia="zh-CN"/>
              </w:rPr>
            </w:pPr>
            <w:r>
              <w:rPr>
                <w:rFonts w:hint="eastAsia"/>
                <w:lang w:val="en-US" w:eastAsia="zh-CN"/>
              </w:rPr>
              <w:t>相对厂界距离</w:t>
            </w:r>
          </w:p>
        </w:tc>
      </w:tr>
      <w:tr w14:paraId="53FE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0" w:type="pct"/>
            <w:vMerge w:val="continue"/>
            <w:noWrap/>
            <w:vAlign w:val="center"/>
          </w:tcPr>
          <w:p w14:paraId="74B9F9D9">
            <w:pPr>
              <w:pStyle w:val="26"/>
              <w:bidi w:val="0"/>
              <w:jc w:val="center"/>
              <w:rPr>
                <w:rFonts w:hint="eastAsia"/>
                <w:color w:val="auto"/>
                <w:highlight w:val="none"/>
                <w:lang w:val="en-US" w:eastAsia="zh-CN"/>
              </w:rPr>
            </w:pPr>
          </w:p>
        </w:tc>
        <w:tc>
          <w:tcPr>
            <w:tcW w:w="939" w:type="pct"/>
            <w:vMerge w:val="continue"/>
            <w:noWrap/>
            <w:vAlign w:val="center"/>
          </w:tcPr>
          <w:p w14:paraId="60F61EF5">
            <w:pPr>
              <w:pStyle w:val="26"/>
              <w:bidi w:val="0"/>
              <w:jc w:val="center"/>
              <w:rPr>
                <w:rFonts w:hint="eastAsia"/>
                <w:color w:val="auto"/>
                <w:highlight w:val="none"/>
                <w:lang w:val="en-US" w:eastAsia="zh-CN"/>
              </w:rPr>
            </w:pPr>
          </w:p>
        </w:tc>
        <w:tc>
          <w:tcPr>
            <w:tcW w:w="609" w:type="pct"/>
            <w:vMerge w:val="continue"/>
            <w:noWrap/>
            <w:vAlign w:val="center"/>
          </w:tcPr>
          <w:p w14:paraId="01DB3DE1">
            <w:pPr>
              <w:pStyle w:val="26"/>
              <w:bidi w:val="0"/>
              <w:jc w:val="center"/>
              <w:rPr>
                <w:rFonts w:hint="eastAsia"/>
                <w:color w:val="auto"/>
                <w:highlight w:val="none"/>
                <w:lang w:val="en-US" w:eastAsia="zh-CN"/>
              </w:rPr>
            </w:pPr>
          </w:p>
        </w:tc>
        <w:tc>
          <w:tcPr>
            <w:tcW w:w="728" w:type="pct"/>
            <w:vMerge w:val="continue"/>
            <w:noWrap/>
            <w:vAlign w:val="center"/>
          </w:tcPr>
          <w:p w14:paraId="766922F7">
            <w:pPr>
              <w:pStyle w:val="26"/>
              <w:bidi w:val="0"/>
              <w:jc w:val="center"/>
              <w:rPr>
                <w:rFonts w:hint="eastAsia"/>
                <w:color w:val="auto"/>
                <w:highlight w:val="none"/>
                <w:lang w:val="en-US" w:eastAsia="zh-CN"/>
              </w:rPr>
            </w:pPr>
          </w:p>
        </w:tc>
        <w:tc>
          <w:tcPr>
            <w:tcW w:w="709" w:type="pct"/>
            <w:vMerge w:val="continue"/>
            <w:noWrap/>
            <w:vAlign w:val="center"/>
          </w:tcPr>
          <w:p w14:paraId="188F35BF">
            <w:pPr>
              <w:pStyle w:val="26"/>
              <w:bidi w:val="0"/>
              <w:jc w:val="center"/>
              <w:rPr>
                <w:rFonts w:hint="eastAsia"/>
                <w:color w:val="auto"/>
                <w:highlight w:val="none"/>
                <w:lang w:val="en-US" w:eastAsia="zh-CN"/>
              </w:rPr>
            </w:pPr>
          </w:p>
        </w:tc>
        <w:tc>
          <w:tcPr>
            <w:tcW w:w="826" w:type="pct"/>
            <w:vMerge w:val="continue"/>
            <w:noWrap/>
            <w:vAlign w:val="center"/>
          </w:tcPr>
          <w:p w14:paraId="7CADCFF7">
            <w:pPr>
              <w:pStyle w:val="26"/>
              <w:bidi w:val="0"/>
              <w:jc w:val="center"/>
              <w:rPr>
                <w:rFonts w:hint="eastAsia"/>
                <w:color w:val="auto"/>
                <w:highlight w:val="none"/>
                <w:lang w:val="en-US" w:eastAsia="zh-CN"/>
              </w:rPr>
            </w:pPr>
          </w:p>
        </w:tc>
        <w:tc>
          <w:tcPr>
            <w:tcW w:w="826" w:type="pct"/>
            <w:vMerge w:val="continue"/>
            <w:noWrap/>
            <w:vAlign w:val="center"/>
          </w:tcPr>
          <w:p w14:paraId="68331285">
            <w:pPr>
              <w:pStyle w:val="26"/>
              <w:bidi w:val="0"/>
              <w:jc w:val="center"/>
              <w:rPr>
                <w:rFonts w:hint="eastAsia"/>
                <w:color w:val="auto"/>
                <w:highlight w:val="none"/>
                <w:lang w:val="en-US" w:eastAsia="zh-CN"/>
              </w:rPr>
            </w:pPr>
          </w:p>
        </w:tc>
      </w:tr>
      <w:tr w14:paraId="41A5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0" w:type="pct"/>
            <w:vMerge w:val="continue"/>
            <w:noWrap/>
            <w:vAlign w:val="center"/>
          </w:tcPr>
          <w:p w14:paraId="3148C5EF">
            <w:pPr>
              <w:pStyle w:val="26"/>
              <w:bidi w:val="0"/>
              <w:jc w:val="center"/>
              <w:rPr>
                <w:rFonts w:hint="eastAsia"/>
                <w:color w:val="auto"/>
                <w:highlight w:val="none"/>
                <w:lang w:val="en-US" w:eastAsia="zh-CN"/>
              </w:rPr>
            </w:pPr>
          </w:p>
        </w:tc>
        <w:tc>
          <w:tcPr>
            <w:tcW w:w="939" w:type="pct"/>
            <w:vMerge w:val="continue"/>
            <w:noWrap/>
            <w:vAlign w:val="center"/>
          </w:tcPr>
          <w:p w14:paraId="660FC07A">
            <w:pPr>
              <w:pStyle w:val="26"/>
              <w:bidi w:val="0"/>
              <w:jc w:val="center"/>
              <w:rPr>
                <w:rFonts w:hint="eastAsia"/>
                <w:color w:val="auto"/>
                <w:highlight w:val="none"/>
                <w:lang w:val="en-US" w:eastAsia="zh-CN"/>
              </w:rPr>
            </w:pPr>
          </w:p>
        </w:tc>
        <w:tc>
          <w:tcPr>
            <w:tcW w:w="609" w:type="pct"/>
            <w:vMerge w:val="continue"/>
            <w:noWrap/>
            <w:vAlign w:val="center"/>
          </w:tcPr>
          <w:p w14:paraId="4B5DEF13">
            <w:pPr>
              <w:pStyle w:val="26"/>
              <w:bidi w:val="0"/>
              <w:jc w:val="center"/>
              <w:rPr>
                <w:rFonts w:hint="eastAsia"/>
                <w:color w:val="auto"/>
                <w:highlight w:val="none"/>
                <w:lang w:val="en-US" w:eastAsia="zh-CN"/>
              </w:rPr>
            </w:pPr>
          </w:p>
        </w:tc>
        <w:tc>
          <w:tcPr>
            <w:tcW w:w="728" w:type="pct"/>
            <w:vMerge w:val="continue"/>
            <w:noWrap/>
            <w:vAlign w:val="center"/>
          </w:tcPr>
          <w:p w14:paraId="5C412AD9">
            <w:pPr>
              <w:pStyle w:val="26"/>
              <w:bidi w:val="0"/>
              <w:jc w:val="center"/>
              <w:rPr>
                <w:rFonts w:hint="eastAsia"/>
                <w:color w:val="auto"/>
                <w:highlight w:val="none"/>
                <w:lang w:val="en-US" w:eastAsia="zh-CN"/>
              </w:rPr>
            </w:pPr>
          </w:p>
        </w:tc>
        <w:tc>
          <w:tcPr>
            <w:tcW w:w="709" w:type="pct"/>
            <w:vMerge w:val="continue"/>
            <w:noWrap/>
            <w:vAlign w:val="center"/>
          </w:tcPr>
          <w:p w14:paraId="1BA720AF">
            <w:pPr>
              <w:pStyle w:val="26"/>
              <w:bidi w:val="0"/>
              <w:jc w:val="center"/>
              <w:rPr>
                <w:rFonts w:hint="eastAsia"/>
                <w:color w:val="auto"/>
                <w:highlight w:val="none"/>
                <w:lang w:val="en-US" w:eastAsia="zh-CN"/>
              </w:rPr>
            </w:pPr>
          </w:p>
        </w:tc>
        <w:tc>
          <w:tcPr>
            <w:tcW w:w="826" w:type="pct"/>
            <w:vMerge w:val="continue"/>
            <w:noWrap/>
            <w:vAlign w:val="center"/>
          </w:tcPr>
          <w:p w14:paraId="568D09DB">
            <w:pPr>
              <w:pStyle w:val="26"/>
              <w:bidi w:val="0"/>
              <w:jc w:val="center"/>
              <w:rPr>
                <w:rFonts w:hint="eastAsia"/>
                <w:color w:val="auto"/>
                <w:highlight w:val="none"/>
                <w:lang w:val="en-US" w:eastAsia="zh-CN"/>
              </w:rPr>
            </w:pPr>
          </w:p>
        </w:tc>
        <w:tc>
          <w:tcPr>
            <w:tcW w:w="826" w:type="pct"/>
            <w:vMerge w:val="continue"/>
            <w:noWrap/>
            <w:vAlign w:val="center"/>
          </w:tcPr>
          <w:p w14:paraId="065717D6">
            <w:pPr>
              <w:pStyle w:val="26"/>
              <w:bidi w:val="0"/>
              <w:jc w:val="center"/>
              <w:rPr>
                <w:rFonts w:hint="eastAsia"/>
                <w:color w:val="auto"/>
                <w:highlight w:val="none"/>
                <w:lang w:val="en-US" w:eastAsia="zh-CN"/>
              </w:rPr>
            </w:pPr>
          </w:p>
        </w:tc>
      </w:tr>
      <w:tr w14:paraId="4896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60" w:type="pct"/>
            <w:vMerge w:val="continue"/>
            <w:vAlign w:val="center"/>
          </w:tcPr>
          <w:p w14:paraId="1972C8E9">
            <w:pPr>
              <w:pStyle w:val="26"/>
              <w:bidi w:val="0"/>
              <w:jc w:val="center"/>
              <w:rPr>
                <w:color w:val="auto"/>
                <w:highlight w:val="none"/>
                <w:lang w:val="en-US" w:eastAsia="zh-CN"/>
              </w:rPr>
            </w:pPr>
          </w:p>
        </w:tc>
        <w:tc>
          <w:tcPr>
            <w:tcW w:w="939" w:type="pct"/>
            <w:vMerge w:val="continue"/>
            <w:vAlign w:val="center"/>
          </w:tcPr>
          <w:p w14:paraId="661DAD4E">
            <w:pPr>
              <w:pStyle w:val="26"/>
              <w:bidi w:val="0"/>
              <w:jc w:val="center"/>
              <w:rPr>
                <w:color w:val="auto"/>
                <w:highlight w:val="none"/>
                <w:lang w:val="en-US" w:eastAsia="zh-CN"/>
              </w:rPr>
            </w:pPr>
          </w:p>
        </w:tc>
        <w:tc>
          <w:tcPr>
            <w:tcW w:w="609" w:type="pct"/>
            <w:vMerge w:val="continue"/>
            <w:vAlign w:val="center"/>
          </w:tcPr>
          <w:p w14:paraId="3F4FE115">
            <w:pPr>
              <w:pStyle w:val="26"/>
              <w:bidi w:val="0"/>
              <w:jc w:val="center"/>
              <w:rPr>
                <w:color w:val="auto"/>
                <w:highlight w:val="none"/>
                <w:lang w:val="en-US" w:eastAsia="zh-CN"/>
              </w:rPr>
            </w:pPr>
          </w:p>
        </w:tc>
        <w:tc>
          <w:tcPr>
            <w:tcW w:w="728" w:type="pct"/>
            <w:vMerge w:val="continue"/>
            <w:vAlign w:val="center"/>
          </w:tcPr>
          <w:p w14:paraId="15EF09A2">
            <w:pPr>
              <w:pStyle w:val="26"/>
              <w:bidi w:val="0"/>
              <w:jc w:val="center"/>
              <w:rPr>
                <w:color w:val="auto"/>
                <w:highlight w:val="none"/>
                <w:lang w:val="en-US" w:eastAsia="zh-CN"/>
              </w:rPr>
            </w:pPr>
          </w:p>
        </w:tc>
        <w:tc>
          <w:tcPr>
            <w:tcW w:w="709" w:type="pct"/>
            <w:vMerge w:val="continue"/>
            <w:vAlign w:val="center"/>
          </w:tcPr>
          <w:p w14:paraId="7226841A">
            <w:pPr>
              <w:pStyle w:val="26"/>
              <w:bidi w:val="0"/>
              <w:jc w:val="center"/>
              <w:rPr>
                <w:color w:val="auto"/>
                <w:highlight w:val="none"/>
                <w:lang w:val="en-US" w:eastAsia="zh-CN"/>
              </w:rPr>
            </w:pPr>
          </w:p>
        </w:tc>
        <w:tc>
          <w:tcPr>
            <w:tcW w:w="826" w:type="pct"/>
            <w:vMerge w:val="continue"/>
            <w:vAlign w:val="center"/>
          </w:tcPr>
          <w:p w14:paraId="73F9BEB9">
            <w:pPr>
              <w:pStyle w:val="26"/>
              <w:bidi w:val="0"/>
              <w:jc w:val="center"/>
              <w:rPr>
                <w:color w:val="auto"/>
                <w:highlight w:val="none"/>
                <w:lang w:val="en-US" w:eastAsia="zh-CN"/>
              </w:rPr>
            </w:pPr>
          </w:p>
        </w:tc>
        <w:tc>
          <w:tcPr>
            <w:tcW w:w="826" w:type="pct"/>
            <w:vMerge w:val="continue"/>
            <w:vAlign w:val="center"/>
          </w:tcPr>
          <w:p w14:paraId="4FAC2355">
            <w:pPr>
              <w:pStyle w:val="26"/>
              <w:bidi w:val="0"/>
              <w:jc w:val="center"/>
              <w:rPr>
                <w:color w:val="auto"/>
                <w:highlight w:val="none"/>
                <w:lang w:val="en-US" w:eastAsia="zh-CN"/>
              </w:rPr>
            </w:pPr>
          </w:p>
        </w:tc>
      </w:tr>
      <w:tr w14:paraId="1EC4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DFC5D0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w:t>
            </w:r>
          </w:p>
        </w:tc>
        <w:tc>
          <w:tcPr>
            <w:tcW w:w="939" w:type="pct"/>
            <w:noWrap/>
            <w:vAlign w:val="center"/>
          </w:tcPr>
          <w:p w14:paraId="30B9D9D5">
            <w:pPr>
              <w:pStyle w:val="26"/>
              <w:bidi w:val="0"/>
              <w:jc w:val="center"/>
              <w:rPr>
                <w:rFonts w:hint="eastAsia"/>
                <w:lang w:val="en-US" w:eastAsia="zh-CN"/>
              </w:rPr>
            </w:pPr>
            <w:r>
              <w:t>华讯宿舍</w:t>
            </w:r>
          </w:p>
        </w:tc>
        <w:tc>
          <w:tcPr>
            <w:tcW w:w="609" w:type="pct"/>
            <w:noWrap/>
            <w:vAlign w:val="center"/>
          </w:tcPr>
          <w:p w14:paraId="4DAC8A06">
            <w:pPr>
              <w:pStyle w:val="26"/>
              <w:bidi w:val="0"/>
              <w:jc w:val="center"/>
              <w:rPr>
                <w:rFonts w:hint="eastAsia"/>
                <w:lang w:val="en-US" w:eastAsia="zh-CN"/>
              </w:rPr>
            </w:pPr>
            <w:r>
              <w:t>居住区</w:t>
            </w:r>
          </w:p>
        </w:tc>
        <w:tc>
          <w:tcPr>
            <w:tcW w:w="728" w:type="pct"/>
            <w:noWrap/>
            <w:vAlign w:val="center"/>
          </w:tcPr>
          <w:p w14:paraId="3DDC69B3">
            <w:pPr>
              <w:pStyle w:val="26"/>
              <w:bidi w:val="0"/>
              <w:jc w:val="center"/>
              <w:rPr>
                <w:rFonts w:hint="eastAsia"/>
                <w:lang w:val="en-US" w:eastAsia="zh-CN"/>
              </w:rPr>
            </w:pPr>
            <w:r>
              <w:t>500</w:t>
            </w:r>
          </w:p>
        </w:tc>
        <w:tc>
          <w:tcPr>
            <w:tcW w:w="709" w:type="pct"/>
            <w:vMerge w:val="restart"/>
            <w:vAlign w:val="center"/>
          </w:tcPr>
          <w:p w14:paraId="10FEE2C8">
            <w:pPr>
              <w:pStyle w:val="26"/>
              <w:bidi w:val="0"/>
              <w:jc w:val="center"/>
              <w:rPr>
                <w:rFonts w:hint="eastAsia"/>
                <w:color w:val="auto"/>
                <w:highlight w:val="none"/>
                <w:lang w:val="en-US" w:eastAsia="zh-CN"/>
              </w:rPr>
            </w:pPr>
            <w:r>
              <w:rPr>
                <w:rFonts w:hint="eastAsia"/>
                <w:color w:val="auto"/>
                <w:highlight w:val="none"/>
                <w:lang w:val="en-US" w:eastAsia="zh-CN"/>
              </w:rPr>
              <w:t>执行《环境空气质量标准》</w:t>
            </w:r>
            <w:r>
              <w:rPr>
                <w:rFonts w:hint="eastAsia"/>
                <w:color w:val="auto"/>
                <w:highlight w:val="none"/>
                <w:lang w:val="en-US" w:eastAsia="zh-CN"/>
              </w:rPr>
              <w:br w:type="textWrapping"/>
            </w:r>
            <w:r>
              <w:rPr>
                <w:rFonts w:hint="eastAsia"/>
                <w:color w:val="auto"/>
                <w:highlight w:val="none"/>
                <w:lang w:val="en-US" w:eastAsia="zh-CN"/>
              </w:rPr>
              <w:t>（GB3095-</w:t>
            </w:r>
            <w:r>
              <w:rPr>
                <w:rFonts w:hint="eastAsia"/>
                <w:color w:val="auto"/>
                <w:highlight w:val="none"/>
                <w:lang w:val="en-US" w:eastAsia="zh-CN"/>
              </w:rPr>
              <w:br w:type="textWrapping"/>
            </w:r>
            <w:r>
              <w:rPr>
                <w:rFonts w:hint="eastAsia"/>
                <w:color w:val="auto"/>
                <w:highlight w:val="none"/>
                <w:lang w:val="en-US" w:eastAsia="zh-CN"/>
              </w:rPr>
              <w:t>2026）二级标准</w:t>
            </w:r>
          </w:p>
        </w:tc>
        <w:tc>
          <w:tcPr>
            <w:tcW w:w="826" w:type="pct"/>
            <w:shd w:val="clear" w:color="auto" w:fill="auto"/>
            <w:noWrap/>
            <w:vAlign w:val="center"/>
          </w:tcPr>
          <w:p w14:paraId="261823FB">
            <w:pPr>
              <w:pStyle w:val="26"/>
              <w:bidi w:val="0"/>
              <w:jc w:val="center"/>
              <w:rPr>
                <w:rFonts w:hint="eastAsia"/>
                <w:lang w:val="en-US" w:eastAsia="zh-CN"/>
              </w:rPr>
            </w:pPr>
            <w:r>
              <w:t>西北</w:t>
            </w:r>
          </w:p>
        </w:tc>
        <w:tc>
          <w:tcPr>
            <w:tcW w:w="826" w:type="pct"/>
            <w:shd w:val="clear" w:color="auto" w:fill="auto"/>
            <w:noWrap/>
            <w:vAlign w:val="center"/>
          </w:tcPr>
          <w:p w14:paraId="24831AE5">
            <w:pPr>
              <w:pStyle w:val="26"/>
              <w:bidi w:val="0"/>
              <w:jc w:val="center"/>
              <w:rPr>
                <w:rFonts w:hint="eastAsia"/>
                <w:lang w:val="en-US" w:eastAsia="zh-CN"/>
              </w:rPr>
            </w:pPr>
            <w:r>
              <w:t>217</w:t>
            </w:r>
          </w:p>
        </w:tc>
      </w:tr>
      <w:tr w14:paraId="7686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1F6532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w:t>
            </w:r>
          </w:p>
        </w:tc>
        <w:tc>
          <w:tcPr>
            <w:tcW w:w="939" w:type="pct"/>
            <w:noWrap/>
            <w:vAlign w:val="center"/>
          </w:tcPr>
          <w:p w14:paraId="21604459">
            <w:pPr>
              <w:pStyle w:val="26"/>
              <w:bidi w:val="0"/>
              <w:jc w:val="center"/>
              <w:rPr>
                <w:rFonts w:hint="eastAsia"/>
                <w:lang w:val="en-US" w:eastAsia="zh-CN"/>
              </w:rPr>
            </w:pPr>
            <w:r>
              <w:t>花桥老年公寓</w:t>
            </w:r>
          </w:p>
        </w:tc>
        <w:tc>
          <w:tcPr>
            <w:tcW w:w="609" w:type="pct"/>
            <w:vAlign w:val="center"/>
          </w:tcPr>
          <w:p w14:paraId="4C83B2A6">
            <w:pPr>
              <w:pStyle w:val="26"/>
              <w:bidi w:val="0"/>
              <w:jc w:val="center"/>
              <w:rPr>
                <w:lang w:val="en-US" w:eastAsia="zh-CN"/>
              </w:rPr>
            </w:pPr>
            <w:r>
              <w:t>居民区</w:t>
            </w:r>
          </w:p>
        </w:tc>
        <w:tc>
          <w:tcPr>
            <w:tcW w:w="728" w:type="pct"/>
            <w:noWrap/>
            <w:vAlign w:val="center"/>
          </w:tcPr>
          <w:p w14:paraId="64A86170">
            <w:pPr>
              <w:pStyle w:val="26"/>
              <w:bidi w:val="0"/>
              <w:jc w:val="center"/>
              <w:rPr>
                <w:rFonts w:hint="eastAsia"/>
                <w:lang w:val="en-US" w:eastAsia="zh-CN"/>
              </w:rPr>
            </w:pPr>
            <w:r>
              <w:t>500</w:t>
            </w:r>
          </w:p>
        </w:tc>
        <w:tc>
          <w:tcPr>
            <w:tcW w:w="709" w:type="pct"/>
            <w:vMerge w:val="continue"/>
            <w:vAlign w:val="center"/>
          </w:tcPr>
          <w:p w14:paraId="45D286FE">
            <w:pPr>
              <w:pStyle w:val="26"/>
              <w:bidi w:val="0"/>
              <w:jc w:val="center"/>
              <w:rPr>
                <w:color w:val="auto"/>
                <w:highlight w:val="none"/>
                <w:lang w:val="en-US" w:eastAsia="zh-CN"/>
              </w:rPr>
            </w:pPr>
          </w:p>
        </w:tc>
        <w:tc>
          <w:tcPr>
            <w:tcW w:w="826" w:type="pct"/>
            <w:shd w:val="clear" w:color="auto" w:fill="auto"/>
            <w:noWrap/>
            <w:vAlign w:val="center"/>
          </w:tcPr>
          <w:p w14:paraId="017EE14C">
            <w:pPr>
              <w:pStyle w:val="26"/>
              <w:bidi w:val="0"/>
              <w:jc w:val="center"/>
              <w:rPr>
                <w:rFonts w:hint="eastAsia"/>
                <w:lang w:val="en-US" w:eastAsia="zh-CN"/>
              </w:rPr>
            </w:pPr>
            <w:r>
              <w:t>西北</w:t>
            </w:r>
          </w:p>
        </w:tc>
        <w:tc>
          <w:tcPr>
            <w:tcW w:w="826" w:type="pct"/>
            <w:shd w:val="clear" w:color="auto" w:fill="auto"/>
            <w:noWrap/>
            <w:vAlign w:val="center"/>
          </w:tcPr>
          <w:p w14:paraId="2CD2EE76">
            <w:pPr>
              <w:pStyle w:val="26"/>
              <w:bidi w:val="0"/>
              <w:jc w:val="center"/>
              <w:rPr>
                <w:rFonts w:hint="eastAsia"/>
                <w:lang w:val="en-US" w:eastAsia="zh-CN"/>
              </w:rPr>
            </w:pPr>
            <w:r>
              <w:t>835</w:t>
            </w:r>
          </w:p>
        </w:tc>
      </w:tr>
      <w:tr w14:paraId="26C9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C86E9A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w:t>
            </w:r>
          </w:p>
        </w:tc>
        <w:tc>
          <w:tcPr>
            <w:tcW w:w="939" w:type="pct"/>
            <w:noWrap/>
            <w:vAlign w:val="center"/>
          </w:tcPr>
          <w:p w14:paraId="189B284C">
            <w:pPr>
              <w:pStyle w:val="26"/>
              <w:bidi w:val="0"/>
              <w:jc w:val="center"/>
              <w:rPr>
                <w:rFonts w:hint="eastAsia"/>
                <w:lang w:val="en-US" w:eastAsia="zh-CN"/>
              </w:rPr>
            </w:pPr>
            <w:r>
              <w:t>星浜别墅区</w:t>
            </w:r>
          </w:p>
        </w:tc>
        <w:tc>
          <w:tcPr>
            <w:tcW w:w="609" w:type="pct"/>
            <w:vAlign w:val="center"/>
          </w:tcPr>
          <w:p w14:paraId="480D1D47">
            <w:pPr>
              <w:pStyle w:val="26"/>
              <w:bidi w:val="0"/>
              <w:jc w:val="center"/>
              <w:rPr>
                <w:lang w:val="en-US" w:eastAsia="zh-CN"/>
              </w:rPr>
            </w:pPr>
            <w:r>
              <w:t>居民区</w:t>
            </w:r>
          </w:p>
        </w:tc>
        <w:tc>
          <w:tcPr>
            <w:tcW w:w="728" w:type="pct"/>
            <w:noWrap/>
            <w:vAlign w:val="center"/>
          </w:tcPr>
          <w:p w14:paraId="6501E4C4">
            <w:pPr>
              <w:pStyle w:val="26"/>
              <w:bidi w:val="0"/>
              <w:jc w:val="center"/>
              <w:rPr>
                <w:rFonts w:hint="eastAsia"/>
                <w:lang w:val="en-US" w:eastAsia="zh-CN"/>
              </w:rPr>
            </w:pPr>
            <w:r>
              <w:t>264</w:t>
            </w:r>
          </w:p>
        </w:tc>
        <w:tc>
          <w:tcPr>
            <w:tcW w:w="709" w:type="pct"/>
            <w:vMerge w:val="continue"/>
            <w:vAlign w:val="center"/>
          </w:tcPr>
          <w:p w14:paraId="621D7027">
            <w:pPr>
              <w:pStyle w:val="26"/>
              <w:bidi w:val="0"/>
              <w:jc w:val="center"/>
              <w:rPr>
                <w:color w:val="auto"/>
                <w:highlight w:val="none"/>
                <w:lang w:val="en-US" w:eastAsia="zh-CN"/>
              </w:rPr>
            </w:pPr>
          </w:p>
        </w:tc>
        <w:tc>
          <w:tcPr>
            <w:tcW w:w="826" w:type="pct"/>
            <w:shd w:val="clear" w:color="auto" w:fill="auto"/>
            <w:noWrap/>
            <w:vAlign w:val="center"/>
          </w:tcPr>
          <w:p w14:paraId="1F8C8BB6">
            <w:pPr>
              <w:pStyle w:val="26"/>
              <w:bidi w:val="0"/>
              <w:jc w:val="center"/>
              <w:rPr>
                <w:rFonts w:hint="eastAsia"/>
                <w:lang w:val="en-US" w:eastAsia="zh-CN"/>
              </w:rPr>
            </w:pPr>
            <w:r>
              <w:t>东</w:t>
            </w:r>
          </w:p>
        </w:tc>
        <w:tc>
          <w:tcPr>
            <w:tcW w:w="826" w:type="pct"/>
            <w:shd w:val="clear" w:color="auto" w:fill="auto"/>
            <w:noWrap/>
            <w:vAlign w:val="center"/>
          </w:tcPr>
          <w:p w14:paraId="4C95A008">
            <w:pPr>
              <w:pStyle w:val="26"/>
              <w:bidi w:val="0"/>
              <w:jc w:val="center"/>
              <w:rPr>
                <w:rFonts w:hint="eastAsia"/>
                <w:lang w:val="en-US" w:eastAsia="zh-CN"/>
              </w:rPr>
            </w:pPr>
            <w:r>
              <w:t>1100</w:t>
            </w:r>
          </w:p>
        </w:tc>
      </w:tr>
      <w:tr w14:paraId="44E4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FA46E4A">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w:t>
            </w:r>
          </w:p>
        </w:tc>
        <w:tc>
          <w:tcPr>
            <w:tcW w:w="939" w:type="pct"/>
            <w:noWrap/>
            <w:vAlign w:val="center"/>
          </w:tcPr>
          <w:p w14:paraId="71E9BDCC">
            <w:pPr>
              <w:pStyle w:val="26"/>
              <w:bidi w:val="0"/>
              <w:jc w:val="center"/>
              <w:rPr>
                <w:rFonts w:hint="eastAsia"/>
                <w:lang w:val="en-US" w:eastAsia="zh-CN"/>
              </w:rPr>
            </w:pPr>
            <w:r>
              <w:t>陆家宅</w:t>
            </w:r>
          </w:p>
        </w:tc>
        <w:tc>
          <w:tcPr>
            <w:tcW w:w="609" w:type="pct"/>
            <w:vAlign w:val="center"/>
          </w:tcPr>
          <w:p w14:paraId="0A3067E5">
            <w:pPr>
              <w:pStyle w:val="26"/>
              <w:bidi w:val="0"/>
              <w:jc w:val="center"/>
              <w:rPr>
                <w:lang w:val="en-US" w:eastAsia="zh-CN"/>
              </w:rPr>
            </w:pPr>
            <w:r>
              <w:t>居民区</w:t>
            </w:r>
          </w:p>
        </w:tc>
        <w:tc>
          <w:tcPr>
            <w:tcW w:w="728" w:type="pct"/>
            <w:noWrap/>
            <w:vAlign w:val="center"/>
          </w:tcPr>
          <w:p w14:paraId="522FFFDC">
            <w:pPr>
              <w:pStyle w:val="26"/>
              <w:bidi w:val="0"/>
              <w:jc w:val="center"/>
              <w:rPr>
                <w:rFonts w:hint="eastAsia"/>
                <w:lang w:val="en-US" w:eastAsia="zh-CN"/>
              </w:rPr>
            </w:pPr>
            <w:r>
              <w:t>200</w:t>
            </w:r>
          </w:p>
        </w:tc>
        <w:tc>
          <w:tcPr>
            <w:tcW w:w="709" w:type="pct"/>
            <w:vMerge w:val="continue"/>
            <w:vAlign w:val="center"/>
          </w:tcPr>
          <w:p w14:paraId="551BE1E1">
            <w:pPr>
              <w:pStyle w:val="26"/>
              <w:bidi w:val="0"/>
              <w:jc w:val="center"/>
              <w:rPr>
                <w:color w:val="auto"/>
                <w:highlight w:val="none"/>
                <w:lang w:val="en-US" w:eastAsia="zh-CN"/>
              </w:rPr>
            </w:pPr>
          </w:p>
        </w:tc>
        <w:tc>
          <w:tcPr>
            <w:tcW w:w="826" w:type="pct"/>
            <w:shd w:val="clear" w:color="auto" w:fill="auto"/>
            <w:noWrap/>
            <w:vAlign w:val="center"/>
          </w:tcPr>
          <w:p w14:paraId="63DF5BDE">
            <w:pPr>
              <w:pStyle w:val="26"/>
              <w:bidi w:val="0"/>
              <w:jc w:val="center"/>
              <w:rPr>
                <w:rFonts w:hint="eastAsia"/>
                <w:lang w:val="en-US" w:eastAsia="zh-CN"/>
              </w:rPr>
            </w:pPr>
            <w:r>
              <w:t>东</w:t>
            </w:r>
          </w:p>
        </w:tc>
        <w:tc>
          <w:tcPr>
            <w:tcW w:w="826" w:type="pct"/>
            <w:shd w:val="clear" w:color="auto" w:fill="auto"/>
            <w:noWrap/>
            <w:vAlign w:val="center"/>
          </w:tcPr>
          <w:p w14:paraId="35BCC468">
            <w:pPr>
              <w:pStyle w:val="26"/>
              <w:bidi w:val="0"/>
              <w:jc w:val="center"/>
              <w:rPr>
                <w:rFonts w:hint="eastAsia"/>
                <w:lang w:val="en-US" w:eastAsia="zh-CN"/>
              </w:rPr>
            </w:pPr>
            <w:r>
              <w:t>1700</w:t>
            </w:r>
          </w:p>
        </w:tc>
      </w:tr>
      <w:tr w14:paraId="3B86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F1B26D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w:t>
            </w:r>
          </w:p>
        </w:tc>
        <w:tc>
          <w:tcPr>
            <w:tcW w:w="939" w:type="pct"/>
            <w:noWrap/>
            <w:vAlign w:val="center"/>
          </w:tcPr>
          <w:p w14:paraId="703968FD">
            <w:pPr>
              <w:pStyle w:val="26"/>
              <w:bidi w:val="0"/>
              <w:jc w:val="center"/>
              <w:rPr>
                <w:rFonts w:hint="eastAsia"/>
                <w:lang w:val="en-US" w:eastAsia="zh-CN"/>
              </w:rPr>
            </w:pPr>
            <w:r>
              <w:t>肖浜头</w:t>
            </w:r>
          </w:p>
        </w:tc>
        <w:tc>
          <w:tcPr>
            <w:tcW w:w="609" w:type="pct"/>
            <w:vAlign w:val="center"/>
          </w:tcPr>
          <w:p w14:paraId="2AD06D07">
            <w:pPr>
              <w:pStyle w:val="26"/>
              <w:bidi w:val="0"/>
              <w:jc w:val="center"/>
              <w:rPr>
                <w:lang w:val="en-US" w:eastAsia="zh-CN"/>
              </w:rPr>
            </w:pPr>
            <w:r>
              <w:t>居民区</w:t>
            </w:r>
          </w:p>
        </w:tc>
        <w:tc>
          <w:tcPr>
            <w:tcW w:w="728" w:type="pct"/>
            <w:noWrap/>
            <w:vAlign w:val="center"/>
          </w:tcPr>
          <w:p w14:paraId="6BBFBD91">
            <w:pPr>
              <w:pStyle w:val="26"/>
              <w:bidi w:val="0"/>
              <w:jc w:val="center"/>
              <w:rPr>
                <w:rFonts w:hint="eastAsia"/>
                <w:lang w:val="en-US" w:eastAsia="zh-CN"/>
              </w:rPr>
            </w:pPr>
            <w:r>
              <w:t>200</w:t>
            </w:r>
          </w:p>
        </w:tc>
        <w:tc>
          <w:tcPr>
            <w:tcW w:w="709" w:type="pct"/>
            <w:vMerge w:val="continue"/>
            <w:vAlign w:val="center"/>
          </w:tcPr>
          <w:p w14:paraId="409BEFEE">
            <w:pPr>
              <w:pStyle w:val="26"/>
              <w:bidi w:val="0"/>
              <w:jc w:val="center"/>
              <w:rPr>
                <w:color w:val="auto"/>
                <w:highlight w:val="none"/>
                <w:lang w:val="en-US" w:eastAsia="zh-CN"/>
              </w:rPr>
            </w:pPr>
          </w:p>
        </w:tc>
        <w:tc>
          <w:tcPr>
            <w:tcW w:w="826" w:type="pct"/>
            <w:shd w:val="clear" w:color="auto" w:fill="auto"/>
            <w:noWrap/>
            <w:vAlign w:val="center"/>
          </w:tcPr>
          <w:p w14:paraId="138D3308">
            <w:pPr>
              <w:pStyle w:val="26"/>
              <w:bidi w:val="0"/>
              <w:jc w:val="center"/>
              <w:rPr>
                <w:rFonts w:hint="eastAsia"/>
                <w:lang w:val="en-US" w:eastAsia="zh-CN"/>
              </w:rPr>
            </w:pPr>
            <w:r>
              <w:t>东</w:t>
            </w:r>
          </w:p>
        </w:tc>
        <w:tc>
          <w:tcPr>
            <w:tcW w:w="826" w:type="pct"/>
            <w:shd w:val="clear" w:color="auto" w:fill="auto"/>
            <w:noWrap/>
            <w:vAlign w:val="center"/>
          </w:tcPr>
          <w:p w14:paraId="1DB85FC7">
            <w:pPr>
              <w:pStyle w:val="26"/>
              <w:bidi w:val="0"/>
              <w:jc w:val="center"/>
              <w:rPr>
                <w:rFonts w:hint="eastAsia"/>
                <w:lang w:val="en-US" w:eastAsia="zh-CN"/>
              </w:rPr>
            </w:pPr>
            <w:r>
              <w:t>1900</w:t>
            </w:r>
          </w:p>
        </w:tc>
      </w:tr>
      <w:tr w14:paraId="0967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417966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w:t>
            </w:r>
          </w:p>
        </w:tc>
        <w:tc>
          <w:tcPr>
            <w:tcW w:w="939" w:type="pct"/>
            <w:noWrap/>
            <w:vAlign w:val="center"/>
          </w:tcPr>
          <w:p w14:paraId="3A674351">
            <w:pPr>
              <w:pStyle w:val="26"/>
              <w:bidi w:val="0"/>
              <w:jc w:val="center"/>
              <w:rPr>
                <w:rFonts w:hint="eastAsia"/>
                <w:lang w:val="en-US" w:eastAsia="zh-CN"/>
              </w:rPr>
            </w:pPr>
            <w:r>
              <w:t>卞家宅</w:t>
            </w:r>
          </w:p>
        </w:tc>
        <w:tc>
          <w:tcPr>
            <w:tcW w:w="609" w:type="pct"/>
            <w:vAlign w:val="center"/>
          </w:tcPr>
          <w:p w14:paraId="64695F1A">
            <w:pPr>
              <w:pStyle w:val="26"/>
              <w:bidi w:val="0"/>
              <w:jc w:val="center"/>
              <w:rPr>
                <w:lang w:val="en-US" w:eastAsia="zh-CN"/>
              </w:rPr>
            </w:pPr>
            <w:r>
              <w:t>居民区</w:t>
            </w:r>
          </w:p>
        </w:tc>
        <w:tc>
          <w:tcPr>
            <w:tcW w:w="728" w:type="pct"/>
            <w:noWrap/>
            <w:vAlign w:val="center"/>
          </w:tcPr>
          <w:p w14:paraId="788A762D">
            <w:pPr>
              <w:pStyle w:val="26"/>
              <w:bidi w:val="0"/>
              <w:jc w:val="center"/>
              <w:rPr>
                <w:rFonts w:hint="eastAsia"/>
                <w:lang w:val="en-US" w:eastAsia="zh-CN"/>
              </w:rPr>
            </w:pPr>
            <w:r>
              <w:t>200</w:t>
            </w:r>
          </w:p>
        </w:tc>
        <w:tc>
          <w:tcPr>
            <w:tcW w:w="709" w:type="pct"/>
            <w:vMerge w:val="continue"/>
            <w:vAlign w:val="center"/>
          </w:tcPr>
          <w:p w14:paraId="69F104A4">
            <w:pPr>
              <w:pStyle w:val="26"/>
              <w:bidi w:val="0"/>
              <w:jc w:val="center"/>
              <w:rPr>
                <w:color w:val="auto"/>
                <w:highlight w:val="none"/>
                <w:lang w:val="en-US" w:eastAsia="zh-CN"/>
              </w:rPr>
            </w:pPr>
          </w:p>
        </w:tc>
        <w:tc>
          <w:tcPr>
            <w:tcW w:w="826" w:type="pct"/>
            <w:shd w:val="clear" w:color="auto" w:fill="auto"/>
            <w:noWrap/>
            <w:vAlign w:val="center"/>
          </w:tcPr>
          <w:p w14:paraId="0CEC15AD">
            <w:pPr>
              <w:pStyle w:val="26"/>
              <w:bidi w:val="0"/>
              <w:jc w:val="center"/>
              <w:rPr>
                <w:rFonts w:hint="eastAsia"/>
                <w:lang w:val="en-US" w:eastAsia="zh-CN"/>
              </w:rPr>
            </w:pPr>
            <w:r>
              <w:t>东北</w:t>
            </w:r>
          </w:p>
        </w:tc>
        <w:tc>
          <w:tcPr>
            <w:tcW w:w="826" w:type="pct"/>
            <w:shd w:val="clear" w:color="auto" w:fill="auto"/>
            <w:noWrap/>
            <w:vAlign w:val="center"/>
          </w:tcPr>
          <w:p w14:paraId="499C3922">
            <w:pPr>
              <w:pStyle w:val="26"/>
              <w:bidi w:val="0"/>
              <w:jc w:val="center"/>
              <w:rPr>
                <w:rFonts w:hint="eastAsia"/>
                <w:lang w:val="en-US" w:eastAsia="zh-CN"/>
              </w:rPr>
            </w:pPr>
            <w:r>
              <w:t>2200</w:t>
            </w:r>
          </w:p>
        </w:tc>
      </w:tr>
      <w:tr w14:paraId="463F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AC2FCF9">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w:t>
            </w:r>
          </w:p>
        </w:tc>
        <w:tc>
          <w:tcPr>
            <w:tcW w:w="939" w:type="pct"/>
            <w:noWrap/>
            <w:vAlign w:val="center"/>
          </w:tcPr>
          <w:p w14:paraId="0E9D0B3B">
            <w:pPr>
              <w:pStyle w:val="26"/>
              <w:bidi w:val="0"/>
              <w:jc w:val="center"/>
              <w:rPr>
                <w:rFonts w:hint="eastAsia"/>
                <w:lang w:val="en-US" w:eastAsia="zh-CN"/>
              </w:rPr>
            </w:pPr>
            <w:r>
              <w:t>黄家宅</w:t>
            </w:r>
          </w:p>
        </w:tc>
        <w:tc>
          <w:tcPr>
            <w:tcW w:w="609" w:type="pct"/>
            <w:vAlign w:val="center"/>
          </w:tcPr>
          <w:p w14:paraId="4D12A756">
            <w:pPr>
              <w:pStyle w:val="26"/>
              <w:bidi w:val="0"/>
              <w:jc w:val="center"/>
              <w:rPr>
                <w:lang w:val="en-US" w:eastAsia="zh-CN"/>
              </w:rPr>
            </w:pPr>
            <w:r>
              <w:t>居民区</w:t>
            </w:r>
          </w:p>
        </w:tc>
        <w:tc>
          <w:tcPr>
            <w:tcW w:w="728" w:type="pct"/>
            <w:noWrap/>
            <w:vAlign w:val="center"/>
          </w:tcPr>
          <w:p w14:paraId="19558385">
            <w:pPr>
              <w:pStyle w:val="26"/>
              <w:bidi w:val="0"/>
              <w:jc w:val="center"/>
              <w:rPr>
                <w:rFonts w:hint="eastAsia"/>
                <w:lang w:val="en-US" w:eastAsia="zh-CN"/>
              </w:rPr>
            </w:pPr>
            <w:r>
              <w:t>300</w:t>
            </w:r>
          </w:p>
        </w:tc>
        <w:tc>
          <w:tcPr>
            <w:tcW w:w="709" w:type="pct"/>
            <w:vMerge w:val="continue"/>
            <w:vAlign w:val="center"/>
          </w:tcPr>
          <w:p w14:paraId="3FE825FF">
            <w:pPr>
              <w:pStyle w:val="26"/>
              <w:bidi w:val="0"/>
              <w:jc w:val="center"/>
              <w:rPr>
                <w:color w:val="auto"/>
                <w:highlight w:val="none"/>
                <w:lang w:val="en-US" w:eastAsia="zh-CN"/>
              </w:rPr>
            </w:pPr>
          </w:p>
        </w:tc>
        <w:tc>
          <w:tcPr>
            <w:tcW w:w="826" w:type="pct"/>
            <w:shd w:val="clear" w:color="auto" w:fill="auto"/>
            <w:noWrap/>
            <w:vAlign w:val="center"/>
          </w:tcPr>
          <w:p w14:paraId="2F3B2113">
            <w:pPr>
              <w:pStyle w:val="26"/>
              <w:bidi w:val="0"/>
              <w:jc w:val="center"/>
              <w:rPr>
                <w:rFonts w:hint="eastAsia"/>
                <w:lang w:val="en-US" w:eastAsia="zh-CN"/>
              </w:rPr>
            </w:pPr>
            <w:r>
              <w:t>东北</w:t>
            </w:r>
          </w:p>
        </w:tc>
        <w:tc>
          <w:tcPr>
            <w:tcW w:w="826" w:type="pct"/>
            <w:shd w:val="clear" w:color="auto" w:fill="auto"/>
            <w:noWrap/>
            <w:vAlign w:val="center"/>
          </w:tcPr>
          <w:p w14:paraId="07D2BF97">
            <w:pPr>
              <w:pStyle w:val="26"/>
              <w:bidi w:val="0"/>
              <w:jc w:val="center"/>
              <w:rPr>
                <w:rFonts w:hint="eastAsia"/>
                <w:lang w:val="en-US" w:eastAsia="zh-CN"/>
              </w:rPr>
            </w:pPr>
            <w:r>
              <w:t>3200</w:t>
            </w:r>
          </w:p>
        </w:tc>
      </w:tr>
      <w:tr w14:paraId="2B5F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1C03E93">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w:t>
            </w:r>
          </w:p>
        </w:tc>
        <w:tc>
          <w:tcPr>
            <w:tcW w:w="939" w:type="pct"/>
            <w:noWrap/>
            <w:vAlign w:val="center"/>
          </w:tcPr>
          <w:p w14:paraId="467A6831">
            <w:pPr>
              <w:pStyle w:val="26"/>
              <w:bidi w:val="0"/>
              <w:jc w:val="center"/>
              <w:rPr>
                <w:rFonts w:hint="eastAsia"/>
                <w:lang w:val="en-US" w:eastAsia="zh-CN"/>
              </w:rPr>
            </w:pPr>
            <w:r>
              <w:t>潘家宅</w:t>
            </w:r>
          </w:p>
        </w:tc>
        <w:tc>
          <w:tcPr>
            <w:tcW w:w="609" w:type="pct"/>
            <w:vAlign w:val="center"/>
          </w:tcPr>
          <w:p w14:paraId="7747A6F8">
            <w:pPr>
              <w:pStyle w:val="26"/>
              <w:bidi w:val="0"/>
              <w:jc w:val="center"/>
              <w:rPr>
                <w:lang w:val="en-US" w:eastAsia="zh-CN"/>
              </w:rPr>
            </w:pPr>
            <w:r>
              <w:t>居民区</w:t>
            </w:r>
          </w:p>
        </w:tc>
        <w:tc>
          <w:tcPr>
            <w:tcW w:w="728" w:type="pct"/>
            <w:noWrap/>
            <w:vAlign w:val="center"/>
          </w:tcPr>
          <w:p w14:paraId="6D8E9B9F">
            <w:pPr>
              <w:pStyle w:val="26"/>
              <w:bidi w:val="0"/>
              <w:jc w:val="center"/>
              <w:rPr>
                <w:rFonts w:hint="eastAsia"/>
                <w:lang w:val="en-US" w:eastAsia="zh-CN"/>
              </w:rPr>
            </w:pPr>
            <w:r>
              <w:t>200</w:t>
            </w:r>
          </w:p>
        </w:tc>
        <w:tc>
          <w:tcPr>
            <w:tcW w:w="709" w:type="pct"/>
            <w:vMerge w:val="continue"/>
            <w:vAlign w:val="center"/>
          </w:tcPr>
          <w:p w14:paraId="59EA0626">
            <w:pPr>
              <w:pStyle w:val="26"/>
              <w:bidi w:val="0"/>
              <w:jc w:val="center"/>
              <w:rPr>
                <w:color w:val="auto"/>
                <w:highlight w:val="none"/>
                <w:lang w:val="en-US" w:eastAsia="zh-CN"/>
              </w:rPr>
            </w:pPr>
          </w:p>
        </w:tc>
        <w:tc>
          <w:tcPr>
            <w:tcW w:w="826" w:type="pct"/>
            <w:shd w:val="clear" w:color="auto" w:fill="auto"/>
            <w:noWrap/>
            <w:vAlign w:val="center"/>
          </w:tcPr>
          <w:p w14:paraId="0D97EAB2">
            <w:pPr>
              <w:pStyle w:val="26"/>
              <w:bidi w:val="0"/>
              <w:jc w:val="center"/>
              <w:rPr>
                <w:rFonts w:hint="eastAsia"/>
                <w:lang w:val="en-US" w:eastAsia="zh-CN"/>
              </w:rPr>
            </w:pPr>
            <w:r>
              <w:t>东北</w:t>
            </w:r>
          </w:p>
        </w:tc>
        <w:tc>
          <w:tcPr>
            <w:tcW w:w="826" w:type="pct"/>
            <w:shd w:val="clear" w:color="auto" w:fill="auto"/>
            <w:noWrap/>
            <w:vAlign w:val="center"/>
          </w:tcPr>
          <w:p w14:paraId="3C493F27">
            <w:pPr>
              <w:pStyle w:val="26"/>
              <w:bidi w:val="0"/>
              <w:jc w:val="center"/>
              <w:rPr>
                <w:rFonts w:hint="eastAsia"/>
                <w:lang w:val="en-US" w:eastAsia="zh-CN"/>
              </w:rPr>
            </w:pPr>
            <w:r>
              <w:t>4300</w:t>
            </w:r>
          </w:p>
        </w:tc>
      </w:tr>
      <w:tr w14:paraId="1859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AC1111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9</w:t>
            </w:r>
          </w:p>
        </w:tc>
        <w:tc>
          <w:tcPr>
            <w:tcW w:w="939" w:type="pct"/>
            <w:noWrap/>
            <w:vAlign w:val="center"/>
          </w:tcPr>
          <w:p w14:paraId="21E761BA">
            <w:pPr>
              <w:pStyle w:val="26"/>
              <w:bidi w:val="0"/>
              <w:jc w:val="center"/>
              <w:rPr>
                <w:rFonts w:hint="eastAsia"/>
                <w:lang w:val="en-US" w:eastAsia="zh-CN"/>
              </w:rPr>
            </w:pPr>
            <w:r>
              <w:t>周泾别墅</w:t>
            </w:r>
          </w:p>
        </w:tc>
        <w:tc>
          <w:tcPr>
            <w:tcW w:w="609" w:type="pct"/>
            <w:vAlign w:val="center"/>
          </w:tcPr>
          <w:p w14:paraId="64679D47">
            <w:pPr>
              <w:pStyle w:val="26"/>
              <w:bidi w:val="0"/>
              <w:jc w:val="center"/>
              <w:rPr>
                <w:lang w:val="en-US" w:eastAsia="zh-CN"/>
              </w:rPr>
            </w:pPr>
            <w:r>
              <w:t>居民区</w:t>
            </w:r>
          </w:p>
        </w:tc>
        <w:tc>
          <w:tcPr>
            <w:tcW w:w="728" w:type="pct"/>
            <w:noWrap/>
            <w:vAlign w:val="center"/>
          </w:tcPr>
          <w:p w14:paraId="16A7D126">
            <w:pPr>
              <w:pStyle w:val="26"/>
              <w:bidi w:val="0"/>
              <w:jc w:val="center"/>
              <w:rPr>
                <w:rFonts w:hint="eastAsia"/>
                <w:lang w:val="en-US" w:eastAsia="zh-CN"/>
              </w:rPr>
            </w:pPr>
            <w:r>
              <w:t>500</w:t>
            </w:r>
          </w:p>
        </w:tc>
        <w:tc>
          <w:tcPr>
            <w:tcW w:w="709" w:type="pct"/>
            <w:vMerge w:val="continue"/>
            <w:vAlign w:val="center"/>
          </w:tcPr>
          <w:p w14:paraId="737568AE">
            <w:pPr>
              <w:pStyle w:val="26"/>
              <w:bidi w:val="0"/>
              <w:jc w:val="center"/>
              <w:rPr>
                <w:color w:val="auto"/>
                <w:highlight w:val="none"/>
                <w:lang w:val="en-US" w:eastAsia="zh-CN"/>
              </w:rPr>
            </w:pPr>
          </w:p>
        </w:tc>
        <w:tc>
          <w:tcPr>
            <w:tcW w:w="826" w:type="pct"/>
            <w:shd w:val="clear" w:color="auto" w:fill="auto"/>
            <w:noWrap/>
            <w:vAlign w:val="center"/>
          </w:tcPr>
          <w:p w14:paraId="0614BA4F">
            <w:pPr>
              <w:pStyle w:val="26"/>
              <w:bidi w:val="0"/>
              <w:jc w:val="center"/>
              <w:rPr>
                <w:rFonts w:hint="eastAsia"/>
                <w:lang w:val="en-US" w:eastAsia="zh-CN"/>
              </w:rPr>
            </w:pPr>
            <w:r>
              <w:t>东北</w:t>
            </w:r>
          </w:p>
        </w:tc>
        <w:tc>
          <w:tcPr>
            <w:tcW w:w="826" w:type="pct"/>
            <w:shd w:val="clear" w:color="auto" w:fill="auto"/>
            <w:noWrap/>
            <w:vAlign w:val="center"/>
          </w:tcPr>
          <w:p w14:paraId="0DC087C2">
            <w:pPr>
              <w:pStyle w:val="26"/>
              <w:bidi w:val="0"/>
              <w:jc w:val="center"/>
              <w:rPr>
                <w:rFonts w:hint="eastAsia"/>
                <w:lang w:val="en-US" w:eastAsia="zh-CN"/>
              </w:rPr>
            </w:pPr>
            <w:r>
              <w:t>4500</w:t>
            </w:r>
          </w:p>
        </w:tc>
      </w:tr>
      <w:tr w14:paraId="5710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15DD19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10</w:t>
            </w:r>
          </w:p>
        </w:tc>
        <w:tc>
          <w:tcPr>
            <w:tcW w:w="939" w:type="pct"/>
            <w:noWrap/>
            <w:vAlign w:val="center"/>
          </w:tcPr>
          <w:p w14:paraId="55F1FAA0">
            <w:pPr>
              <w:pStyle w:val="26"/>
              <w:bidi w:val="0"/>
              <w:jc w:val="center"/>
              <w:rPr>
                <w:rFonts w:hint="eastAsia"/>
                <w:lang w:val="en-US" w:eastAsia="zh-CN"/>
              </w:rPr>
            </w:pPr>
            <w:r>
              <w:t>嘉定翠庭</w:t>
            </w:r>
          </w:p>
        </w:tc>
        <w:tc>
          <w:tcPr>
            <w:tcW w:w="609" w:type="pct"/>
            <w:vAlign w:val="center"/>
          </w:tcPr>
          <w:p w14:paraId="7E0FEC1C">
            <w:pPr>
              <w:pStyle w:val="26"/>
              <w:bidi w:val="0"/>
              <w:jc w:val="center"/>
              <w:rPr>
                <w:lang w:val="en-US" w:eastAsia="zh-CN"/>
              </w:rPr>
            </w:pPr>
            <w:r>
              <w:t>居民区</w:t>
            </w:r>
          </w:p>
        </w:tc>
        <w:tc>
          <w:tcPr>
            <w:tcW w:w="728" w:type="pct"/>
            <w:noWrap/>
            <w:vAlign w:val="center"/>
          </w:tcPr>
          <w:p w14:paraId="4A50FF74">
            <w:pPr>
              <w:pStyle w:val="26"/>
              <w:bidi w:val="0"/>
              <w:jc w:val="center"/>
              <w:rPr>
                <w:rFonts w:hint="eastAsia"/>
                <w:lang w:val="en-US" w:eastAsia="zh-CN"/>
              </w:rPr>
            </w:pPr>
            <w:r>
              <w:t>8142</w:t>
            </w:r>
          </w:p>
        </w:tc>
        <w:tc>
          <w:tcPr>
            <w:tcW w:w="709" w:type="pct"/>
            <w:vMerge w:val="continue"/>
            <w:vAlign w:val="center"/>
          </w:tcPr>
          <w:p w14:paraId="24B82A94">
            <w:pPr>
              <w:pStyle w:val="26"/>
              <w:bidi w:val="0"/>
              <w:jc w:val="center"/>
              <w:rPr>
                <w:color w:val="auto"/>
                <w:highlight w:val="none"/>
                <w:lang w:val="en-US" w:eastAsia="zh-CN"/>
              </w:rPr>
            </w:pPr>
          </w:p>
        </w:tc>
        <w:tc>
          <w:tcPr>
            <w:tcW w:w="826" w:type="pct"/>
            <w:shd w:val="clear" w:color="auto" w:fill="auto"/>
            <w:noWrap/>
            <w:vAlign w:val="center"/>
          </w:tcPr>
          <w:p w14:paraId="3D7B2242">
            <w:pPr>
              <w:pStyle w:val="26"/>
              <w:bidi w:val="0"/>
              <w:jc w:val="center"/>
              <w:rPr>
                <w:rFonts w:hint="eastAsia"/>
                <w:lang w:val="en-US" w:eastAsia="zh-CN"/>
              </w:rPr>
            </w:pPr>
            <w:r>
              <w:t>东北</w:t>
            </w:r>
          </w:p>
        </w:tc>
        <w:tc>
          <w:tcPr>
            <w:tcW w:w="826" w:type="pct"/>
            <w:shd w:val="clear" w:color="auto" w:fill="auto"/>
            <w:noWrap/>
            <w:vAlign w:val="center"/>
          </w:tcPr>
          <w:p w14:paraId="4C87179D">
            <w:pPr>
              <w:pStyle w:val="26"/>
              <w:bidi w:val="0"/>
              <w:jc w:val="center"/>
              <w:rPr>
                <w:rFonts w:hint="eastAsia"/>
                <w:lang w:val="en-US" w:eastAsia="zh-CN"/>
              </w:rPr>
            </w:pPr>
            <w:r>
              <w:t>4820</w:t>
            </w:r>
          </w:p>
        </w:tc>
      </w:tr>
      <w:tr w14:paraId="2267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7F1E856">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11</w:t>
            </w:r>
          </w:p>
        </w:tc>
        <w:tc>
          <w:tcPr>
            <w:tcW w:w="939" w:type="pct"/>
            <w:noWrap/>
            <w:vAlign w:val="center"/>
          </w:tcPr>
          <w:p w14:paraId="45D9B48D">
            <w:pPr>
              <w:pStyle w:val="26"/>
              <w:bidi w:val="0"/>
              <w:jc w:val="center"/>
              <w:rPr>
                <w:rFonts w:hint="eastAsia"/>
                <w:lang w:val="en-US" w:eastAsia="zh-CN"/>
              </w:rPr>
            </w:pPr>
            <w:r>
              <w:t>沁乐小区</w:t>
            </w:r>
          </w:p>
        </w:tc>
        <w:tc>
          <w:tcPr>
            <w:tcW w:w="609" w:type="pct"/>
            <w:vAlign w:val="center"/>
          </w:tcPr>
          <w:p w14:paraId="42A4521A">
            <w:pPr>
              <w:pStyle w:val="26"/>
              <w:bidi w:val="0"/>
              <w:jc w:val="center"/>
              <w:rPr>
                <w:lang w:val="en-US" w:eastAsia="zh-CN"/>
              </w:rPr>
            </w:pPr>
            <w:r>
              <w:t>居民区</w:t>
            </w:r>
          </w:p>
        </w:tc>
        <w:tc>
          <w:tcPr>
            <w:tcW w:w="728" w:type="pct"/>
            <w:noWrap/>
            <w:vAlign w:val="center"/>
          </w:tcPr>
          <w:p w14:paraId="6C24D34F">
            <w:pPr>
              <w:pStyle w:val="26"/>
              <w:bidi w:val="0"/>
              <w:jc w:val="center"/>
              <w:rPr>
                <w:rFonts w:hint="eastAsia"/>
                <w:lang w:val="en-US" w:eastAsia="zh-CN"/>
              </w:rPr>
            </w:pPr>
            <w:r>
              <w:t>2412</w:t>
            </w:r>
          </w:p>
        </w:tc>
        <w:tc>
          <w:tcPr>
            <w:tcW w:w="709" w:type="pct"/>
            <w:vMerge w:val="continue"/>
            <w:vAlign w:val="center"/>
          </w:tcPr>
          <w:p w14:paraId="61D15495">
            <w:pPr>
              <w:pStyle w:val="26"/>
              <w:bidi w:val="0"/>
              <w:jc w:val="center"/>
              <w:rPr>
                <w:color w:val="auto"/>
                <w:highlight w:val="none"/>
                <w:lang w:val="en-US" w:eastAsia="zh-CN"/>
              </w:rPr>
            </w:pPr>
          </w:p>
        </w:tc>
        <w:tc>
          <w:tcPr>
            <w:tcW w:w="826" w:type="pct"/>
            <w:shd w:val="clear" w:color="auto" w:fill="auto"/>
            <w:noWrap/>
            <w:vAlign w:val="center"/>
          </w:tcPr>
          <w:p w14:paraId="051FE8E1">
            <w:pPr>
              <w:pStyle w:val="26"/>
              <w:bidi w:val="0"/>
              <w:jc w:val="center"/>
              <w:rPr>
                <w:rFonts w:hint="eastAsia"/>
                <w:lang w:val="en-US" w:eastAsia="zh-CN"/>
              </w:rPr>
            </w:pPr>
            <w:r>
              <w:t>东</w:t>
            </w:r>
          </w:p>
        </w:tc>
        <w:tc>
          <w:tcPr>
            <w:tcW w:w="826" w:type="pct"/>
            <w:shd w:val="clear" w:color="auto" w:fill="auto"/>
            <w:noWrap/>
            <w:vAlign w:val="center"/>
          </w:tcPr>
          <w:p w14:paraId="15DAD820">
            <w:pPr>
              <w:pStyle w:val="26"/>
              <w:bidi w:val="0"/>
              <w:jc w:val="center"/>
              <w:rPr>
                <w:rFonts w:hint="eastAsia"/>
                <w:lang w:val="en-US" w:eastAsia="zh-CN"/>
              </w:rPr>
            </w:pPr>
            <w:r>
              <w:t>4300</w:t>
            </w:r>
          </w:p>
        </w:tc>
      </w:tr>
      <w:tr w14:paraId="1ED1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0B8A68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12</w:t>
            </w:r>
          </w:p>
        </w:tc>
        <w:tc>
          <w:tcPr>
            <w:tcW w:w="939" w:type="pct"/>
            <w:noWrap/>
            <w:vAlign w:val="center"/>
          </w:tcPr>
          <w:p w14:paraId="2D9162F3">
            <w:pPr>
              <w:pStyle w:val="26"/>
              <w:bidi w:val="0"/>
              <w:jc w:val="center"/>
              <w:rPr>
                <w:rFonts w:hint="eastAsia"/>
                <w:lang w:val="en-US" w:eastAsia="zh-CN"/>
              </w:rPr>
            </w:pPr>
            <w:r>
              <w:t>沁富佳苑</w:t>
            </w:r>
          </w:p>
        </w:tc>
        <w:tc>
          <w:tcPr>
            <w:tcW w:w="609" w:type="pct"/>
            <w:vAlign w:val="center"/>
          </w:tcPr>
          <w:p w14:paraId="4B2CDFA5">
            <w:pPr>
              <w:pStyle w:val="26"/>
              <w:bidi w:val="0"/>
              <w:jc w:val="center"/>
              <w:rPr>
                <w:lang w:val="en-US" w:eastAsia="zh-CN"/>
              </w:rPr>
            </w:pPr>
            <w:r>
              <w:t>居民区</w:t>
            </w:r>
          </w:p>
        </w:tc>
        <w:tc>
          <w:tcPr>
            <w:tcW w:w="728" w:type="pct"/>
            <w:noWrap/>
            <w:vAlign w:val="center"/>
          </w:tcPr>
          <w:p w14:paraId="003BC70A">
            <w:pPr>
              <w:pStyle w:val="26"/>
              <w:bidi w:val="0"/>
              <w:jc w:val="center"/>
              <w:rPr>
                <w:rFonts w:hint="eastAsia"/>
                <w:lang w:val="en-US" w:eastAsia="zh-CN"/>
              </w:rPr>
            </w:pPr>
            <w:r>
              <w:t>6207</w:t>
            </w:r>
          </w:p>
        </w:tc>
        <w:tc>
          <w:tcPr>
            <w:tcW w:w="709" w:type="pct"/>
            <w:vMerge w:val="continue"/>
            <w:vAlign w:val="center"/>
          </w:tcPr>
          <w:p w14:paraId="60433215">
            <w:pPr>
              <w:pStyle w:val="26"/>
              <w:bidi w:val="0"/>
              <w:jc w:val="center"/>
              <w:rPr>
                <w:color w:val="auto"/>
                <w:highlight w:val="none"/>
                <w:lang w:val="en-US" w:eastAsia="zh-CN"/>
              </w:rPr>
            </w:pPr>
          </w:p>
        </w:tc>
        <w:tc>
          <w:tcPr>
            <w:tcW w:w="826" w:type="pct"/>
            <w:shd w:val="clear" w:color="auto" w:fill="auto"/>
            <w:noWrap/>
            <w:vAlign w:val="center"/>
          </w:tcPr>
          <w:p w14:paraId="747563E1">
            <w:pPr>
              <w:pStyle w:val="26"/>
              <w:bidi w:val="0"/>
              <w:jc w:val="center"/>
              <w:rPr>
                <w:rFonts w:hint="eastAsia"/>
                <w:lang w:val="en-US" w:eastAsia="zh-CN"/>
              </w:rPr>
            </w:pPr>
            <w:r>
              <w:t>东</w:t>
            </w:r>
          </w:p>
        </w:tc>
        <w:tc>
          <w:tcPr>
            <w:tcW w:w="826" w:type="pct"/>
            <w:shd w:val="clear" w:color="auto" w:fill="auto"/>
            <w:noWrap/>
            <w:vAlign w:val="center"/>
          </w:tcPr>
          <w:p w14:paraId="6FAB92B8">
            <w:pPr>
              <w:pStyle w:val="26"/>
              <w:bidi w:val="0"/>
              <w:jc w:val="center"/>
              <w:rPr>
                <w:rFonts w:hint="eastAsia"/>
                <w:lang w:val="en-US" w:eastAsia="zh-CN"/>
              </w:rPr>
            </w:pPr>
            <w:r>
              <w:t>3700</w:t>
            </w:r>
          </w:p>
        </w:tc>
      </w:tr>
      <w:tr w14:paraId="13AA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A9FA7C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13</w:t>
            </w:r>
          </w:p>
        </w:tc>
        <w:tc>
          <w:tcPr>
            <w:tcW w:w="939" w:type="pct"/>
            <w:noWrap/>
            <w:vAlign w:val="center"/>
          </w:tcPr>
          <w:p w14:paraId="347FE72D">
            <w:pPr>
              <w:pStyle w:val="26"/>
              <w:bidi w:val="0"/>
              <w:jc w:val="center"/>
              <w:rPr>
                <w:rFonts w:hint="eastAsia"/>
                <w:lang w:val="en-US" w:eastAsia="zh-CN"/>
              </w:rPr>
            </w:pPr>
            <w:r>
              <w:t>兰棠佳苑</w:t>
            </w:r>
          </w:p>
        </w:tc>
        <w:tc>
          <w:tcPr>
            <w:tcW w:w="609" w:type="pct"/>
            <w:vAlign w:val="center"/>
          </w:tcPr>
          <w:p w14:paraId="2E4EC834">
            <w:pPr>
              <w:pStyle w:val="26"/>
              <w:bidi w:val="0"/>
              <w:jc w:val="center"/>
              <w:rPr>
                <w:lang w:val="en-US" w:eastAsia="zh-CN"/>
              </w:rPr>
            </w:pPr>
            <w:r>
              <w:t>居民区</w:t>
            </w:r>
          </w:p>
        </w:tc>
        <w:tc>
          <w:tcPr>
            <w:tcW w:w="728" w:type="pct"/>
            <w:noWrap/>
            <w:vAlign w:val="center"/>
          </w:tcPr>
          <w:p w14:paraId="2973C059">
            <w:pPr>
              <w:pStyle w:val="26"/>
              <w:bidi w:val="0"/>
              <w:jc w:val="center"/>
              <w:rPr>
                <w:rFonts w:hint="eastAsia"/>
                <w:lang w:val="en-US" w:eastAsia="zh-CN"/>
              </w:rPr>
            </w:pPr>
            <w:r>
              <w:t>4332</w:t>
            </w:r>
          </w:p>
        </w:tc>
        <w:tc>
          <w:tcPr>
            <w:tcW w:w="709" w:type="pct"/>
            <w:vMerge w:val="continue"/>
            <w:vAlign w:val="center"/>
          </w:tcPr>
          <w:p w14:paraId="6FC40D8D">
            <w:pPr>
              <w:pStyle w:val="26"/>
              <w:bidi w:val="0"/>
              <w:jc w:val="center"/>
              <w:rPr>
                <w:color w:val="auto"/>
                <w:highlight w:val="none"/>
                <w:lang w:val="en-US" w:eastAsia="zh-CN"/>
              </w:rPr>
            </w:pPr>
          </w:p>
        </w:tc>
        <w:tc>
          <w:tcPr>
            <w:tcW w:w="826" w:type="pct"/>
            <w:shd w:val="clear" w:color="auto" w:fill="auto"/>
            <w:noWrap/>
            <w:vAlign w:val="center"/>
          </w:tcPr>
          <w:p w14:paraId="3D56519A">
            <w:pPr>
              <w:pStyle w:val="26"/>
              <w:bidi w:val="0"/>
              <w:jc w:val="center"/>
              <w:rPr>
                <w:rFonts w:hint="eastAsia"/>
                <w:lang w:val="en-US" w:eastAsia="zh-CN"/>
              </w:rPr>
            </w:pPr>
            <w:r>
              <w:t>东</w:t>
            </w:r>
          </w:p>
        </w:tc>
        <w:tc>
          <w:tcPr>
            <w:tcW w:w="826" w:type="pct"/>
            <w:shd w:val="clear" w:color="auto" w:fill="auto"/>
            <w:noWrap/>
            <w:vAlign w:val="center"/>
          </w:tcPr>
          <w:p w14:paraId="0F1A94D9">
            <w:pPr>
              <w:pStyle w:val="26"/>
              <w:bidi w:val="0"/>
              <w:jc w:val="center"/>
              <w:rPr>
                <w:rFonts w:hint="eastAsia"/>
                <w:lang w:val="en-US" w:eastAsia="zh-CN"/>
              </w:rPr>
            </w:pPr>
            <w:r>
              <w:t>3230</w:t>
            </w:r>
          </w:p>
        </w:tc>
      </w:tr>
      <w:tr w14:paraId="7FD3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4151DF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14</w:t>
            </w:r>
          </w:p>
        </w:tc>
        <w:tc>
          <w:tcPr>
            <w:tcW w:w="939" w:type="pct"/>
            <w:noWrap/>
            <w:vAlign w:val="center"/>
          </w:tcPr>
          <w:p w14:paraId="127F8BA0">
            <w:pPr>
              <w:pStyle w:val="26"/>
              <w:bidi w:val="0"/>
              <w:jc w:val="center"/>
              <w:rPr>
                <w:rFonts w:hint="eastAsia"/>
                <w:lang w:val="en-US" w:eastAsia="zh-CN"/>
              </w:rPr>
            </w:pPr>
            <w:r>
              <w:t>胜巷新村</w:t>
            </w:r>
          </w:p>
        </w:tc>
        <w:tc>
          <w:tcPr>
            <w:tcW w:w="609" w:type="pct"/>
            <w:vAlign w:val="center"/>
          </w:tcPr>
          <w:p w14:paraId="4D8F2A04">
            <w:pPr>
              <w:pStyle w:val="26"/>
              <w:bidi w:val="0"/>
              <w:jc w:val="center"/>
              <w:rPr>
                <w:lang w:val="en-US" w:eastAsia="zh-CN"/>
              </w:rPr>
            </w:pPr>
            <w:r>
              <w:t>居民区</w:t>
            </w:r>
          </w:p>
        </w:tc>
        <w:tc>
          <w:tcPr>
            <w:tcW w:w="728" w:type="pct"/>
            <w:noWrap/>
            <w:vAlign w:val="center"/>
          </w:tcPr>
          <w:p w14:paraId="4DA9644E">
            <w:pPr>
              <w:pStyle w:val="26"/>
              <w:bidi w:val="0"/>
              <w:jc w:val="center"/>
              <w:rPr>
                <w:rFonts w:hint="eastAsia"/>
                <w:lang w:val="en-US" w:eastAsia="zh-CN"/>
              </w:rPr>
            </w:pPr>
            <w:r>
              <w:t>504</w:t>
            </w:r>
          </w:p>
        </w:tc>
        <w:tc>
          <w:tcPr>
            <w:tcW w:w="709" w:type="pct"/>
            <w:vMerge w:val="continue"/>
            <w:vAlign w:val="center"/>
          </w:tcPr>
          <w:p w14:paraId="7AA67328">
            <w:pPr>
              <w:pStyle w:val="26"/>
              <w:bidi w:val="0"/>
              <w:jc w:val="center"/>
              <w:rPr>
                <w:color w:val="auto"/>
                <w:highlight w:val="none"/>
                <w:lang w:val="en-US" w:eastAsia="zh-CN"/>
              </w:rPr>
            </w:pPr>
          </w:p>
        </w:tc>
        <w:tc>
          <w:tcPr>
            <w:tcW w:w="826" w:type="pct"/>
            <w:shd w:val="clear" w:color="auto" w:fill="auto"/>
            <w:noWrap/>
            <w:vAlign w:val="center"/>
          </w:tcPr>
          <w:p w14:paraId="36A24F71">
            <w:pPr>
              <w:pStyle w:val="26"/>
              <w:bidi w:val="0"/>
              <w:jc w:val="center"/>
              <w:rPr>
                <w:rFonts w:hint="eastAsia"/>
                <w:lang w:val="en-US" w:eastAsia="zh-CN"/>
              </w:rPr>
            </w:pPr>
            <w:r>
              <w:t>东南</w:t>
            </w:r>
          </w:p>
        </w:tc>
        <w:tc>
          <w:tcPr>
            <w:tcW w:w="826" w:type="pct"/>
            <w:shd w:val="clear" w:color="auto" w:fill="auto"/>
            <w:noWrap/>
            <w:vAlign w:val="center"/>
          </w:tcPr>
          <w:p w14:paraId="3CCAFCE3">
            <w:pPr>
              <w:pStyle w:val="26"/>
              <w:bidi w:val="0"/>
              <w:jc w:val="center"/>
              <w:rPr>
                <w:rFonts w:hint="eastAsia"/>
                <w:lang w:val="en-US" w:eastAsia="zh-CN"/>
              </w:rPr>
            </w:pPr>
            <w:r>
              <w:t>3205</w:t>
            </w:r>
          </w:p>
        </w:tc>
      </w:tr>
      <w:tr w14:paraId="4868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C99FDB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15</w:t>
            </w:r>
          </w:p>
        </w:tc>
        <w:tc>
          <w:tcPr>
            <w:tcW w:w="939" w:type="pct"/>
            <w:noWrap/>
            <w:vAlign w:val="center"/>
          </w:tcPr>
          <w:p w14:paraId="296E2E66">
            <w:pPr>
              <w:pStyle w:val="26"/>
              <w:bidi w:val="0"/>
              <w:jc w:val="center"/>
              <w:rPr>
                <w:rFonts w:hint="eastAsia"/>
                <w:lang w:val="en-US" w:eastAsia="zh-CN"/>
              </w:rPr>
            </w:pPr>
            <w:r>
              <w:t>澳丽映象嘉园</w:t>
            </w:r>
          </w:p>
        </w:tc>
        <w:tc>
          <w:tcPr>
            <w:tcW w:w="609" w:type="pct"/>
            <w:vAlign w:val="center"/>
          </w:tcPr>
          <w:p w14:paraId="030B3390">
            <w:pPr>
              <w:pStyle w:val="26"/>
              <w:bidi w:val="0"/>
              <w:jc w:val="center"/>
              <w:rPr>
                <w:lang w:val="en-US" w:eastAsia="zh-CN"/>
              </w:rPr>
            </w:pPr>
            <w:r>
              <w:t>居民区</w:t>
            </w:r>
          </w:p>
        </w:tc>
        <w:tc>
          <w:tcPr>
            <w:tcW w:w="728" w:type="pct"/>
            <w:noWrap/>
            <w:vAlign w:val="center"/>
          </w:tcPr>
          <w:p w14:paraId="2A5F2A7C">
            <w:pPr>
              <w:pStyle w:val="26"/>
              <w:bidi w:val="0"/>
              <w:jc w:val="center"/>
              <w:rPr>
                <w:rFonts w:hint="eastAsia"/>
                <w:lang w:val="en-US" w:eastAsia="zh-CN"/>
              </w:rPr>
            </w:pPr>
            <w:r>
              <w:t>2946</w:t>
            </w:r>
          </w:p>
        </w:tc>
        <w:tc>
          <w:tcPr>
            <w:tcW w:w="709" w:type="pct"/>
            <w:vMerge w:val="continue"/>
            <w:vAlign w:val="center"/>
          </w:tcPr>
          <w:p w14:paraId="51A3AA07">
            <w:pPr>
              <w:pStyle w:val="26"/>
              <w:bidi w:val="0"/>
              <w:jc w:val="center"/>
              <w:rPr>
                <w:color w:val="auto"/>
                <w:highlight w:val="none"/>
                <w:lang w:val="en-US" w:eastAsia="zh-CN"/>
              </w:rPr>
            </w:pPr>
          </w:p>
        </w:tc>
        <w:tc>
          <w:tcPr>
            <w:tcW w:w="826" w:type="pct"/>
            <w:shd w:val="clear" w:color="auto" w:fill="auto"/>
            <w:noWrap/>
            <w:vAlign w:val="center"/>
          </w:tcPr>
          <w:p w14:paraId="48101DA9">
            <w:pPr>
              <w:pStyle w:val="26"/>
              <w:bidi w:val="0"/>
              <w:jc w:val="center"/>
              <w:rPr>
                <w:rFonts w:hint="eastAsia"/>
                <w:lang w:val="en-US" w:eastAsia="zh-CN"/>
              </w:rPr>
            </w:pPr>
            <w:r>
              <w:t>东南</w:t>
            </w:r>
          </w:p>
        </w:tc>
        <w:tc>
          <w:tcPr>
            <w:tcW w:w="826" w:type="pct"/>
            <w:shd w:val="clear" w:color="auto" w:fill="auto"/>
            <w:noWrap/>
            <w:vAlign w:val="center"/>
          </w:tcPr>
          <w:p w14:paraId="4791581A">
            <w:pPr>
              <w:pStyle w:val="26"/>
              <w:bidi w:val="0"/>
              <w:jc w:val="center"/>
              <w:rPr>
                <w:rFonts w:hint="eastAsia"/>
                <w:lang w:val="en-US" w:eastAsia="zh-CN"/>
              </w:rPr>
            </w:pPr>
            <w:r>
              <w:t>3400</w:t>
            </w:r>
          </w:p>
        </w:tc>
      </w:tr>
      <w:tr w14:paraId="56D5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5A0536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16</w:t>
            </w:r>
          </w:p>
        </w:tc>
        <w:tc>
          <w:tcPr>
            <w:tcW w:w="939" w:type="pct"/>
            <w:noWrap/>
            <w:vAlign w:val="center"/>
          </w:tcPr>
          <w:p w14:paraId="7EC6D7E1">
            <w:pPr>
              <w:pStyle w:val="26"/>
              <w:bidi w:val="0"/>
              <w:jc w:val="center"/>
              <w:rPr>
                <w:rFonts w:hint="eastAsia"/>
                <w:lang w:val="en-US" w:eastAsia="zh-CN"/>
              </w:rPr>
            </w:pPr>
            <w:r>
              <w:t>博泰新苑</w:t>
            </w:r>
          </w:p>
        </w:tc>
        <w:tc>
          <w:tcPr>
            <w:tcW w:w="609" w:type="pct"/>
            <w:vAlign w:val="center"/>
          </w:tcPr>
          <w:p w14:paraId="2A1C84DA">
            <w:pPr>
              <w:pStyle w:val="26"/>
              <w:bidi w:val="0"/>
              <w:jc w:val="center"/>
              <w:rPr>
                <w:lang w:val="en-US" w:eastAsia="zh-CN"/>
              </w:rPr>
            </w:pPr>
            <w:r>
              <w:t>居民区</w:t>
            </w:r>
          </w:p>
        </w:tc>
        <w:tc>
          <w:tcPr>
            <w:tcW w:w="728" w:type="pct"/>
            <w:noWrap/>
            <w:vAlign w:val="center"/>
          </w:tcPr>
          <w:p w14:paraId="013F9E42">
            <w:pPr>
              <w:pStyle w:val="26"/>
              <w:bidi w:val="0"/>
              <w:jc w:val="center"/>
              <w:rPr>
                <w:rFonts w:hint="eastAsia"/>
                <w:lang w:val="en-US" w:eastAsia="zh-CN"/>
              </w:rPr>
            </w:pPr>
            <w:r>
              <w:t>1686</w:t>
            </w:r>
          </w:p>
        </w:tc>
        <w:tc>
          <w:tcPr>
            <w:tcW w:w="709" w:type="pct"/>
            <w:vMerge w:val="continue"/>
            <w:vAlign w:val="center"/>
          </w:tcPr>
          <w:p w14:paraId="52817814">
            <w:pPr>
              <w:pStyle w:val="26"/>
              <w:bidi w:val="0"/>
              <w:jc w:val="center"/>
              <w:rPr>
                <w:color w:val="auto"/>
                <w:highlight w:val="none"/>
                <w:lang w:val="en-US" w:eastAsia="zh-CN"/>
              </w:rPr>
            </w:pPr>
          </w:p>
        </w:tc>
        <w:tc>
          <w:tcPr>
            <w:tcW w:w="826" w:type="pct"/>
            <w:shd w:val="clear" w:color="auto" w:fill="auto"/>
            <w:noWrap/>
            <w:vAlign w:val="center"/>
          </w:tcPr>
          <w:p w14:paraId="768D05DF">
            <w:pPr>
              <w:pStyle w:val="26"/>
              <w:bidi w:val="0"/>
              <w:jc w:val="center"/>
              <w:rPr>
                <w:rFonts w:hint="eastAsia"/>
                <w:lang w:val="en-US" w:eastAsia="zh-CN"/>
              </w:rPr>
            </w:pPr>
            <w:r>
              <w:t>东南</w:t>
            </w:r>
          </w:p>
        </w:tc>
        <w:tc>
          <w:tcPr>
            <w:tcW w:w="826" w:type="pct"/>
            <w:shd w:val="clear" w:color="auto" w:fill="auto"/>
            <w:noWrap/>
            <w:vAlign w:val="center"/>
          </w:tcPr>
          <w:p w14:paraId="7C0163D9">
            <w:pPr>
              <w:pStyle w:val="26"/>
              <w:bidi w:val="0"/>
              <w:jc w:val="center"/>
              <w:rPr>
                <w:rFonts w:hint="eastAsia"/>
                <w:lang w:val="en-US" w:eastAsia="zh-CN"/>
              </w:rPr>
            </w:pPr>
            <w:r>
              <w:t>3600</w:t>
            </w:r>
          </w:p>
        </w:tc>
      </w:tr>
      <w:tr w14:paraId="6450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43B5C6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17</w:t>
            </w:r>
          </w:p>
        </w:tc>
        <w:tc>
          <w:tcPr>
            <w:tcW w:w="939" w:type="pct"/>
            <w:noWrap/>
            <w:vAlign w:val="center"/>
          </w:tcPr>
          <w:p w14:paraId="7F0850F5">
            <w:pPr>
              <w:pStyle w:val="26"/>
              <w:bidi w:val="0"/>
              <w:jc w:val="center"/>
              <w:rPr>
                <w:rFonts w:hint="eastAsia"/>
                <w:lang w:val="en-US" w:eastAsia="zh-CN"/>
              </w:rPr>
            </w:pPr>
            <w:r>
              <w:t>和亭佳苑</w:t>
            </w:r>
          </w:p>
        </w:tc>
        <w:tc>
          <w:tcPr>
            <w:tcW w:w="609" w:type="pct"/>
            <w:vAlign w:val="center"/>
          </w:tcPr>
          <w:p w14:paraId="0FF0B544">
            <w:pPr>
              <w:pStyle w:val="26"/>
              <w:bidi w:val="0"/>
              <w:jc w:val="center"/>
              <w:rPr>
                <w:lang w:val="en-US" w:eastAsia="zh-CN"/>
              </w:rPr>
            </w:pPr>
            <w:r>
              <w:t>居民区</w:t>
            </w:r>
          </w:p>
        </w:tc>
        <w:tc>
          <w:tcPr>
            <w:tcW w:w="728" w:type="pct"/>
            <w:noWrap/>
            <w:vAlign w:val="center"/>
          </w:tcPr>
          <w:p w14:paraId="0F7D2024">
            <w:pPr>
              <w:pStyle w:val="26"/>
              <w:bidi w:val="0"/>
              <w:jc w:val="center"/>
              <w:rPr>
                <w:rFonts w:hint="eastAsia"/>
                <w:lang w:val="en-US" w:eastAsia="zh-CN"/>
              </w:rPr>
            </w:pPr>
            <w:r>
              <w:t>2232</w:t>
            </w:r>
          </w:p>
        </w:tc>
        <w:tc>
          <w:tcPr>
            <w:tcW w:w="709" w:type="pct"/>
            <w:vMerge w:val="continue"/>
            <w:vAlign w:val="center"/>
          </w:tcPr>
          <w:p w14:paraId="527676D8">
            <w:pPr>
              <w:pStyle w:val="26"/>
              <w:bidi w:val="0"/>
              <w:jc w:val="center"/>
              <w:rPr>
                <w:color w:val="auto"/>
                <w:highlight w:val="none"/>
                <w:lang w:val="en-US" w:eastAsia="zh-CN"/>
              </w:rPr>
            </w:pPr>
          </w:p>
        </w:tc>
        <w:tc>
          <w:tcPr>
            <w:tcW w:w="826" w:type="pct"/>
            <w:shd w:val="clear" w:color="auto" w:fill="auto"/>
            <w:noWrap/>
            <w:vAlign w:val="center"/>
          </w:tcPr>
          <w:p w14:paraId="5AE88AAF">
            <w:pPr>
              <w:pStyle w:val="26"/>
              <w:bidi w:val="0"/>
              <w:jc w:val="center"/>
              <w:rPr>
                <w:rFonts w:hint="eastAsia"/>
                <w:lang w:val="en-US" w:eastAsia="zh-CN"/>
              </w:rPr>
            </w:pPr>
            <w:r>
              <w:t>东南</w:t>
            </w:r>
          </w:p>
        </w:tc>
        <w:tc>
          <w:tcPr>
            <w:tcW w:w="826" w:type="pct"/>
            <w:shd w:val="clear" w:color="auto" w:fill="auto"/>
            <w:noWrap/>
            <w:vAlign w:val="center"/>
          </w:tcPr>
          <w:p w14:paraId="534AFD3B">
            <w:pPr>
              <w:pStyle w:val="26"/>
              <w:bidi w:val="0"/>
              <w:jc w:val="center"/>
              <w:rPr>
                <w:rFonts w:hint="eastAsia"/>
                <w:lang w:val="en-US" w:eastAsia="zh-CN"/>
              </w:rPr>
            </w:pPr>
            <w:r>
              <w:t>3800</w:t>
            </w:r>
          </w:p>
        </w:tc>
      </w:tr>
      <w:tr w14:paraId="46C1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B4F4176">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18</w:t>
            </w:r>
          </w:p>
        </w:tc>
        <w:tc>
          <w:tcPr>
            <w:tcW w:w="939" w:type="pct"/>
            <w:noWrap/>
            <w:vAlign w:val="center"/>
          </w:tcPr>
          <w:p w14:paraId="20D05370">
            <w:pPr>
              <w:pStyle w:val="26"/>
              <w:bidi w:val="0"/>
              <w:jc w:val="center"/>
              <w:rPr>
                <w:rFonts w:hint="eastAsia"/>
                <w:lang w:val="en-US" w:eastAsia="zh-CN"/>
              </w:rPr>
            </w:pPr>
            <w:r>
              <w:t>安亭镇水产村</w:t>
            </w:r>
          </w:p>
        </w:tc>
        <w:tc>
          <w:tcPr>
            <w:tcW w:w="609" w:type="pct"/>
            <w:vAlign w:val="center"/>
          </w:tcPr>
          <w:p w14:paraId="35AC4D06">
            <w:pPr>
              <w:pStyle w:val="26"/>
              <w:bidi w:val="0"/>
              <w:jc w:val="center"/>
              <w:rPr>
                <w:lang w:val="en-US" w:eastAsia="zh-CN"/>
              </w:rPr>
            </w:pPr>
            <w:r>
              <w:t>居民区</w:t>
            </w:r>
          </w:p>
        </w:tc>
        <w:tc>
          <w:tcPr>
            <w:tcW w:w="728" w:type="pct"/>
            <w:noWrap/>
            <w:vAlign w:val="center"/>
          </w:tcPr>
          <w:p w14:paraId="30256863">
            <w:pPr>
              <w:pStyle w:val="26"/>
              <w:bidi w:val="0"/>
              <w:jc w:val="center"/>
              <w:rPr>
                <w:rFonts w:hint="eastAsia"/>
                <w:lang w:val="en-US" w:eastAsia="zh-CN"/>
              </w:rPr>
            </w:pPr>
            <w:r>
              <w:t>240</w:t>
            </w:r>
          </w:p>
        </w:tc>
        <w:tc>
          <w:tcPr>
            <w:tcW w:w="709" w:type="pct"/>
            <w:vMerge w:val="continue"/>
            <w:vAlign w:val="center"/>
          </w:tcPr>
          <w:p w14:paraId="737872D2">
            <w:pPr>
              <w:pStyle w:val="26"/>
              <w:bidi w:val="0"/>
              <w:jc w:val="center"/>
              <w:rPr>
                <w:color w:val="auto"/>
                <w:highlight w:val="none"/>
                <w:lang w:val="en-US" w:eastAsia="zh-CN"/>
              </w:rPr>
            </w:pPr>
          </w:p>
        </w:tc>
        <w:tc>
          <w:tcPr>
            <w:tcW w:w="826" w:type="pct"/>
            <w:shd w:val="clear" w:color="auto" w:fill="auto"/>
            <w:noWrap/>
            <w:vAlign w:val="center"/>
          </w:tcPr>
          <w:p w14:paraId="6CFE75DF">
            <w:pPr>
              <w:pStyle w:val="26"/>
              <w:bidi w:val="0"/>
              <w:jc w:val="center"/>
              <w:rPr>
                <w:rFonts w:hint="eastAsia"/>
                <w:lang w:val="en-US" w:eastAsia="zh-CN"/>
              </w:rPr>
            </w:pPr>
            <w:r>
              <w:t>东南</w:t>
            </w:r>
          </w:p>
        </w:tc>
        <w:tc>
          <w:tcPr>
            <w:tcW w:w="826" w:type="pct"/>
            <w:shd w:val="clear" w:color="auto" w:fill="auto"/>
            <w:noWrap/>
            <w:vAlign w:val="center"/>
          </w:tcPr>
          <w:p w14:paraId="7B68C8A2">
            <w:pPr>
              <w:pStyle w:val="26"/>
              <w:bidi w:val="0"/>
              <w:jc w:val="center"/>
              <w:rPr>
                <w:rFonts w:hint="eastAsia"/>
                <w:lang w:val="en-US" w:eastAsia="zh-CN"/>
              </w:rPr>
            </w:pPr>
            <w:r>
              <w:t>4350</w:t>
            </w:r>
          </w:p>
        </w:tc>
      </w:tr>
      <w:tr w14:paraId="55A5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299572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19</w:t>
            </w:r>
          </w:p>
        </w:tc>
        <w:tc>
          <w:tcPr>
            <w:tcW w:w="939" w:type="pct"/>
            <w:noWrap/>
            <w:vAlign w:val="center"/>
          </w:tcPr>
          <w:p w14:paraId="7B106DA4">
            <w:pPr>
              <w:pStyle w:val="26"/>
              <w:bidi w:val="0"/>
              <w:jc w:val="center"/>
              <w:rPr>
                <w:rFonts w:hint="eastAsia"/>
                <w:lang w:val="en-US" w:eastAsia="zh-CN"/>
              </w:rPr>
            </w:pPr>
            <w:r>
              <w:t>欧韵艺墅</w:t>
            </w:r>
          </w:p>
        </w:tc>
        <w:tc>
          <w:tcPr>
            <w:tcW w:w="609" w:type="pct"/>
            <w:vAlign w:val="center"/>
          </w:tcPr>
          <w:p w14:paraId="5BCD8C55">
            <w:pPr>
              <w:pStyle w:val="26"/>
              <w:bidi w:val="0"/>
              <w:jc w:val="center"/>
              <w:rPr>
                <w:lang w:val="en-US" w:eastAsia="zh-CN"/>
              </w:rPr>
            </w:pPr>
            <w:r>
              <w:t>居民区</w:t>
            </w:r>
          </w:p>
        </w:tc>
        <w:tc>
          <w:tcPr>
            <w:tcW w:w="728" w:type="pct"/>
            <w:noWrap/>
            <w:vAlign w:val="center"/>
          </w:tcPr>
          <w:p w14:paraId="1A2E8094">
            <w:pPr>
              <w:pStyle w:val="26"/>
              <w:bidi w:val="0"/>
              <w:jc w:val="center"/>
              <w:rPr>
                <w:rFonts w:hint="eastAsia"/>
                <w:lang w:val="en-US" w:eastAsia="zh-CN"/>
              </w:rPr>
            </w:pPr>
            <w:r>
              <w:t>384</w:t>
            </w:r>
          </w:p>
        </w:tc>
        <w:tc>
          <w:tcPr>
            <w:tcW w:w="709" w:type="pct"/>
            <w:vMerge w:val="continue"/>
            <w:vAlign w:val="center"/>
          </w:tcPr>
          <w:p w14:paraId="4D028665">
            <w:pPr>
              <w:pStyle w:val="26"/>
              <w:bidi w:val="0"/>
              <w:jc w:val="center"/>
              <w:rPr>
                <w:color w:val="auto"/>
                <w:highlight w:val="none"/>
                <w:lang w:val="en-US" w:eastAsia="zh-CN"/>
              </w:rPr>
            </w:pPr>
          </w:p>
        </w:tc>
        <w:tc>
          <w:tcPr>
            <w:tcW w:w="826" w:type="pct"/>
            <w:shd w:val="clear" w:color="auto" w:fill="auto"/>
            <w:noWrap/>
            <w:vAlign w:val="center"/>
          </w:tcPr>
          <w:p w14:paraId="1906CC81">
            <w:pPr>
              <w:pStyle w:val="26"/>
              <w:bidi w:val="0"/>
              <w:jc w:val="center"/>
              <w:rPr>
                <w:rFonts w:hint="eastAsia"/>
                <w:lang w:val="en-US" w:eastAsia="zh-CN"/>
              </w:rPr>
            </w:pPr>
            <w:r>
              <w:t>东南</w:t>
            </w:r>
          </w:p>
        </w:tc>
        <w:tc>
          <w:tcPr>
            <w:tcW w:w="826" w:type="pct"/>
            <w:shd w:val="clear" w:color="auto" w:fill="auto"/>
            <w:noWrap/>
            <w:vAlign w:val="center"/>
          </w:tcPr>
          <w:p w14:paraId="1789C787">
            <w:pPr>
              <w:pStyle w:val="26"/>
              <w:bidi w:val="0"/>
              <w:jc w:val="center"/>
              <w:rPr>
                <w:rFonts w:hint="eastAsia"/>
                <w:lang w:val="en-US" w:eastAsia="zh-CN"/>
              </w:rPr>
            </w:pPr>
            <w:r>
              <w:t>4100</w:t>
            </w:r>
          </w:p>
        </w:tc>
      </w:tr>
      <w:tr w14:paraId="4662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02A9ED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20</w:t>
            </w:r>
          </w:p>
        </w:tc>
        <w:tc>
          <w:tcPr>
            <w:tcW w:w="939" w:type="pct"/>
            <w:noWrap/>
            <w:vAlign w:val="center"/>
          </w:tcPr>
          <w:p w14:paraId="56160E70">
            <w:pPr>
              <w:pStyle w:val="26"/>
              <w:bidi w:val="0"/>
              <w:jc w:val="center"/>
              <w:rPr>
                <w:rFonts w:hint="eastAsia"/>
                <w:lang w:val="en-US" w:eastAsia="zh-CN"/>
              </w:rPr>
            </w:pPr>
            <w:r>
              <w:t>迎春公寓</w:t>
            </w:r>
          </w:p>
        </w:tc>
        <w:tc>
          <w:tcPr>
            <w:tcW w:w="609" w:type="pct"/>
            <w:vAlign w:val="center"/>
          </w:tcPr>
          <w:p w14:paraId="1F21961C">
            <w:pPr>
              <w:pStyle w:val="26"/>
              <w:bidi w:val="0"/>
              <w:jc w:val="center"/>
              <w:rPr>
                <w:lang w:val="en-US" w:eastAsia="zh-CN"/>
              </w:rPr>
            </w:pPr>
            <w:r>
              <w:t>居民区</w:t>
            </w:r>
          </w:p>
        </w:tc>
        <w:tc>
          <w:tcPr>
            <w:tcW w:w="728" w:type="pct"/>
            <w:noWrap/>
            <w:vAlign w:val="center"/>
          </w:tcPr>
          <w:p w14:paraId="4507B520">
            <w:pPr>
              <w:pStyle w:val="26"/>
              <w:bidi w:val="0"/>
              <w:jc w:val="center"/>
              <w:rPr>
                <w:rFonts w:hint="eastAsia"/>
                <w:lang w:val="en-US" w:eastAsia="zh-CN"/>
              </w:rPr>
            </w:pPr>
            <w:r>
              <w:t>618</w:t>
            </w:r>
          </w:p>
        </w:tc>
        <w:tc>
          <w:tcPr>
            <w:tcW w:w="709" w:type="pct"/>
            <w:vMerge w:val="continue"/>
            <w:vAlign w:val="center"/>
          </w:tcPr>
          <w:p w14:paraId="7137A53E">
            <w:pPr>
              <w:pStyle w:val="26"/>
              <w:bidi w:val="0"/>
              <w:jc w:val="center"/>
              <w:rPr>
                <w:color w:val="auto"/>
                <w:highlight w:val="none"/>
                <w:lang w:val="en-US" w:eastAsia="zh-CN"/>
              </w:rPr>
            </w:pPr>
          </w:p>
        </w:tc>
        <w:tc>
          <w:tcPr>
            <w:tcW w:w="826" w:type="pct"/>
            <w:shd w:val="clear" w:color="auto" w:fill="auto"/>
            <w:noWrap/>
            <w:vAlign w:val="center"/>
          </w:tcPr>
          <w:p w14:paraId="24276610">
            <w:pPr>
              <w:pStyle w:val="26"/>
              <w:bidi w:val="0"/>
              <w:jc w:val="center"/>
              <w:rPr>
                <w:rFonts w:hint="eastAsia"/>
                <w:lang w:val="en-US" w:eastAsia="zh-CN"/>
              </w:rPr>
            </w:pPr>
            <w:r>
              <w:t>东南</w:t>
            </w:r>
          </w:p>
        </w:tc>
        <w:tc>
          <w:tcPr>
            <w:tcW w:w="826" w:type="pct"/>
            <w:shd w:val="clear" w:color="auto" w:fill="auto"/>
            <w:noWrap/>
            <w:vAlign w:val="center"/>
          </w:tcPr>
          <w:p w14:paraId="4BAA8C7C">
            <w:pPr>
              <w:pStyle w:val="26"/>
              <w:bidi w:val="0"/>
              <w:jc w:val="center"/>
              <w:rPr>
                <w:rFonts w:hint="eastAsia"/>
                <w:lang w:val="en-US" w:eastAsia="zh-CN"/>
              </w:rPr>
            </w:pPr>
            <w:r>
              <w:t>4305</w:t>
            </w:r>
          </w:p>
        </w:tc>
      </w:tr>
      <w:tr w14:paraId="1E31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D4792C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21</w:t>
            </w:r>
          </w:p>
        </w:tc>
        <w:tc>
          <w:tcPr>
            <w:tcW w:w="939" w:type="pct"/>
            <w:noWrap/>
            <w:vAlign w:val="center"/>
          </w:tcPr>
          <w:p w14:paraId="3E6EB69B">
            <w:pPr>
              <w:pStyle w:val="26"/>
              <w:bidi w:val="0"/>
              <w:jc w:val="center"/>
              <w:rPr>
                <w:rFonts w:hint="eastAsia"/>
                <w:lang w:val="en-US" w:eastAsia="zh-CN"/>
              </w:rPr>
            </w:pPr>
            <w:r>
              <w:t>红湖小区</w:t>
            </w:r>
          </w:p>
        </w:tc>
        <w:tc>
          <w:tcPr>
            <w:tcW w:w="609" w:type="pct"/>
            <w:vAlign w:val="center"/>
          </w:tcPr>
          <w:p w14:paraId="62C04140">
            <w:pPr>
              <w:pStyle w:val="26"/>
              <w:bidi w:val="0"/>
              <w:jc w:val="center"/>
              <w:rPr>
                <w:lang w:val="en-US" w:eastAsia="zh-CN"/>
              </w:rPr>
            </w:pPr>
            <w:r>
              <w:t>居民区</w:t>
            </w:r>
          </w:p>
        </w:tc>
        <w:tc>
          <w:tcPr>
            <w:tcW w:w="728" w:type="pct"/>
            <w:noWrap/>
            <w:vAlign w:val="center"/>
          </w:tcPr>
          <w:p w14:paraId="215AD2E8">
            <w:pPr>
              <w:pStyle w:val="26"/>
              <w:bidi w:val="0"/>
              <w:jc w:val="center"/>
              <w:rPr>
                <w:rFonts w:hint="eastAsia"/>
                <w:lang w:val="en-US" w:eastAsia="zh-CN"/>
              </w:rPr>
            </w:pPr>
            <w:r>
              <w:t>333</w:t>
            </w:r>
          </w:p>
        </w:tc>
        <w:tc>
          <w:tcPr>
            <w:tcW w:w="709" w:type="pct"/>
            <w:vMerge w:val="continue"/>
            <w:vAlign w:val="center"/>
          </w:tcPr>
          <w:p w14:paraId="36169B7E">
            <w:pPr>
              <w:pStyle w:val="26"/>
              <w:bidi w:val="0"/>
              <w:jc w:val="center"/>
              <w:rPr>
                <w:color w:val="auto"/>
                <w:highlight w:val="none"/>
                <w:lang w:val="en-US" w:eastAsia="zh-CN"/>
              </w:rPr>
            </w:pPr>
          </w:p>
        </w:tc>
        <w:tc>
          <w:tcPr>
            <w:tcW w:w="826" w:type="pct"/>
            <w:shd w:val="clear" w:color="auto" w:fill="auto"/>
            <w:noWrap/>
            <w:vAlign w:val="center"/>
          </w:tcPr>
          <w:p w14:paraId="27FB58AE">
            <w:pPr>
              <w:pStyle w:val="26"/>
              <w:bidi w:val="0"/>
              <w:jc w:val="center"/>
              <w:rPr>
                <w:rFonts w:hint="eastAsia"/>
                <w:lang w:val="en-US" w:eastAsia="zh-CN"/>
              </w:rPr>
            </w:pPr>
            <w:r>
              <w:t>东南</w:t>
            </w:r>
          </w:p>
        </w:tc>
        <w:tc>
          <w:tcPr>
            <w:tcW w:w="826" w:type="pct"/>
            <w:shd w:val="clear" w:color="auto" w:fill="auto"/>
            <w:noWrap/>
            <w:vAlign w:val="center"/>
          </w:tcPr>
          <w:p w14:paraId="79FA6F83">
            <w:pPr>
              <w:pStyle w:val="26"/>
              <w:bidi w:val="0"/>
              <w:jc w:val="center"/>
              <w:rPr>
                <w:rFonts w:hint="eastAsia"/>
                <w:lang w:val="en-US" w:eastAsia="zh-CN"/>
              </w:rPr>
            </w:pPr>
            <w:r>
              <w:t>4600</w:t>
            </w:r>
          </w:p>
        </w:tc>
      </w:tr>
      <w:tr w14:paraId="57A7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95AAEA0">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22</w:t>
            </w:r>
          </w:p>
        </w:tc>
        <w:tc>
          <w:tcPr>
            <w:tcW w:w="939" w:type="pct"/>
            <w:noWrap/>
            <w:vAlign w:val="center"/>
          </w:tcPr>
          <w:p w14:paraId="05D730C3">
            <w:pPr>
              <w:pStyle w:val="26"/>
              <w:bidi w:val="0"/>
              <w:jc w:val="center"/>
              <w:rPr>
                <w:rFonts w:hint="eastAsia"/>
                <w:lang w:val="en-US" w:eastAsia="zh-CN"/>
              </w:rPr>
            </w:pPr>
            <w:r>
              <w:t>承安翡翠公馆</w:t>
            </w:r>
          </w:p>
        </w:tc>
        <w:tc>
          <w:tcPr>
            <w:tcW w:w="609" w:type="pct"/>
            <w:vAlign w:val="center"/>
          </w:tcPr>
          <w:p w14:paraId="3F178BD7">
            <w:pPr>
              <w:pStyle w:val="26"/>
              <w:bidi w:val="0"/>
              <w:jc w:val="center"/>
              <w:rPr>
                <w:lang w:val="en-US" w:eastAsia="zh-CN"/>
              </w:rPr>
            </w:pPr>
            <w:r>
              <w:t>居民区</w:t>
            </w:r>
          </w:p>
        </w:tc>
        <w:tc>
          <w:tcPr>
            <w:tcW w:w="728" w:type="pct"/>
            <w:noWrap/>
            <w:vAlign w:val="center"/>
          </w:tcPr>
          <w:p w14:paraId="527AEC9F">
            <w:pPr>
              <w:pStyle w:val="26"/>
              <w:bidi w:val="0"/>
              <w:jc w:val="center"/>
              <w:rPr>
                <w:rFonts w:hint="eastAsia"/>
                <w:lang w:val="en-US" w:eastAsia="zh-CN"/>
              </w:rPr>
            </w:pPr>
            <w:r>
              <w:t>1182</w:t>
            </w:r>
          </w:p>
        </w:tc>
        <w:tc>
          <w:tcPr>
            <w:tcW w:w="709" w:type="pct"/>
            <w:vMerge w:val="continue"/>
            <w:vAlign w:val="center"/>
          </w:tcPr>
          <w:p w14:paraId="72DF3594">
            <w:pPr>
              <w:pStyle w:val="26"/>
              <w:bidi w:val="0"/>
              <w:jc w:val="center"/>
              <w:rPr>
                <w:color w:val="auto"/>
                <w:highlight w:val="none"/>
                <w:lang w:val="en-US" w:eastAsia="zh-CN"/>
              </w:rPr>
            </w:pPr>
          </w:p>
        </w:tc>
        <w:tc>
          <w:tcPr>
            <w:tcW w:w="826" w:type="pct"/>
            <w:shd w:val="clear" w:color="auto" w:fill="auto"/>
            <w:noWrap/>
            <w:vAlign w:val="center"/>
          </w:tcPr>
          <w:p w14:paraId="7ECCA12D">
            <w:pPr>
              <w:pStyle w:val="26"/>
              <w:bidi w:val="0"/>
              <w:jc w:val="center"/>
              <w:rPr>
                <w:rFonts w:hint="eastAsia"/>
                <w:lang w:val="en-US" w:eastAsia="zh-CN"/>
              </w:rPr>
            </w:pPr>
            <w:r>
              <w:t>东南</w:t>
            </w:r>
          </w:p>
        </w:tc>
        <w:tc>
          <w:tcPr>
            <w:tcW w:w="826" w:type="pct"/>
            <w:shd w:val="clear" w:color="auto" w:fill="auto"/>
            <w:noWrap/>
            <w:vAlign w:val="center"/>
          </w:tcPr>
          <w:p w14:paraId="7A99C77F">
            <w:pPr>
              <w:pStyle w:val="26"/>
              <w:bidi w:val="0"/>
              <w:jc w:val="center"/>
              <w:rPr>
                <w:rFonts w:hint="eastAsia"/>
                <w:lang w:val="en-US" w:eastAsia="zh-CN"/>
              </w:rPr>
            </w:pPr>
            <w:r>
              <w:t>4605</w:t>
            </w:r>
          </w:p>
        </w:tc>
      </w:tr>
      <w:tr w14:paraId="18B8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9C3B47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23</w:t>
            </w:r>
          </w:p>
        </w:tc>
        <w:tc>
          <w:tcPr>
            <w:tcW w:w="939" w:type="pct"/>
            <w:noWrap/>
            <w:vAlign w:val="center"/>
          </w:tcPr>
          <w:p w14:paraId="0DCB907D">
            <w:pPr>
              <w:pStyle w:val="26"/>
              <w:bidi w:val="0"/>
              <w:jc w:val="center"/>
              <w:rPr>
                <w:rFonts w:hint="eastAsia"/>
                <w:lang w:val="en-US" w:eastAsia="zh-CN"/>
              </w:rPr>
            </w:pPr>
            <w:r>
              <w:t>玉兰三村</w:t>
            </w:r>
          </w:p>
        </w:tc>
        <w:tc>
          <w:tcPr>
            <w:tcW w:w="609" w:type="pct"/>
            <w:vAlign w:val="center"/>
          </w:tcPr>
          <w:p w14:paraId="50E18A98">
            <w:pPr>
              <w:pStyle w:val="26"/>
              <w:bidi w:val="0"/>
              <w:jc w:val="center"/>
              <w:rPr>
                <w:lang w:val="en-US" w:eastAsia="zh-CN"/>
              </w:rPr>
            </w:pPr>
            <w:r>
              <w:t>居民区</w:t>
            </w:r>
          </w:p>
        </w:tc>
        <w:tc>
          <w:tcPr>
            <w:tcW w:w="728" w:type="pct"/>
            <w:noWrap/>
            <w:vAlign w:val="center"/>
          </w:tcPr>
          <w:p w14:paraId="6D07E6C9">
            <w:pPr>
              <w:pStyle w:val="26"/>
              <w:bidi w:val="0"/>
              <w:jc w:val="center"/>
              <w:rPr>
                <w:rFonts w:hint="eastAsia"/>
                <w:lang w:val="en-US" w:eastAsia="zh-CN"/>
              </w:rPr>
            </w:pPr>
            <w:r>
              <w:t>4080</w:t>
            </w:r>
          </w:p>
        </w:tc>
        <w:tc>
          <w:tcPr>
            <w:tcW w:w="709" w:type="pct"/>
            <w:vMerge w:val="continue"/>
            <w:vAlign w:val="center"/>
          </w:tcPr>
          <w:p w14:paraId="45B0C75E">
            <w:pPr>
              <w:pStyle w:val="26"/>
              <w:bidi w:val="0"/>
              <w:jc w:val="center"/>
              <w:rPr>
                <w:color w:val="auto"/>
                <w:highlight w:val="none"/>
                <w:lang w:val="en-US" w:eastAsia="zh-CN"/>
              </w:rPr>
            </w:pPr>
          </w:p>
        </w:tc>
        <w:tc>
          <w:tcPr>
            <w:tcW w:w="826" w:type="pct"/>
            <w:shd w:val="clear" w:color="auto" w:fill="auto"/>
            <w:noWrap/>
            <w:vAlign w:val="center"/>
          </w:tcPr>
          <w:p w14:paraId="3C667AB5">
            <w:pPr>
              <w:pStyle w:val="26"/>
              <w:bidi w:val="0"/>
              <w:jc w:val="center"/>
              <w:rPr>
                <w:rFonts w:hint="eastAsia"/>
                <w:lang w:val="en-US" w:eastAsia="zh-CN"/>
              </w:rPr>
            </w:pPr>
            <w:r>
              <w:t>东南</w:t>
            </w:r>
          </w:p>
        </w:tc>
        <w:tc>
          <w:tcPr>
            <w:tcW w:w="826" w:type="pct"/>
            <w:shd w:val="clear" w:color="auto" w:fill="auto"/>
            <w:noWrap/>
            <w:vAlign w:val="center"/>
          </w:tcPr>
          <w:p w14:paraId="2740DF76">
            <w:pPr>
              <w:pStyle w:val="26"/>
              <w:bidi w:val="0"/>
              <w:jc w:val="center"/>
              <w:rPr>
                <w:rFonts w:hint="eastAsia"/>
                <w:lang w:val="en-US" w:eastAsia="zh-CN"/>
              </w:rPr>
            </w:pPr>
            <w:r>
              <w:t>4610</w:t>
            </w:r>
          </w:p>
        </w:tc>
      </w:tr>
      <w:tr w14:paraId="2578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9198B3A">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24</w:t>
            </w:r>
          </w:p>
        </w:tc>
        <w:tc>
          <w:tcPr>
            <w:tcW w:w="939" w:type="pct"/>
            <w:noWrap/>
            <w:vAlign w:val="center"/>
          </w:tcPr>
          <w:p w14:paraId="36FB27FC">
            <w:pPr>
              <w:pStyle w:val="26"/>
              <w:bidi w:val="0"/>
              <w:jc w:val="center"/>
              <w:rPr>
                <w:rFonts w:hint="eastAsia"/>
                <w:lang w:val="en-US" w:eastAsia="zh-CN"/>
              </w:rPr>
            </w:pPr>
            <w:r>
              <w:t>玉兰二村</w:t>
            </w:r>
          </w:p>
        </w:tc>
        <w:tc>
          <w:tcPr>
            <w:tcW w:w="609" w:type="pct"/>
            <w:vAlign w:val="center"/>
          </w:tcPr>
          <w:p w14:paraId="4D74C8CA">
            <w:pPr>
              <w:pStyle w:val="26"/>
              <w:bidi w:val="0"/>
              <w:jc w:val="center"/>
              <w:rPr>
                <w:lang w:val="en-US" w:eastAsia="zh-CN"/>
              </w:rPr>
            </w:pPr>
            <w:r>
              <w:t>居民区</w:t>
            </w:r>
          </w:p>
        </w:tc>
        <w:tc>
          <w:tcPr>
            <w:tcW w:w="728" w:type="pct"/>
            <w:noWrap/>
            <w:vAlign w:val="center"/>
          </w:tcPr>
          <w:p w14:paraId="1ED0E4ED">
            <w:pPr>
              <w:pStyle w:val="26"/>
              <w:bidi w:val="0"/>
              <w:jc w:val="center"/>
              <w:rPr>
                <w:rFonts w:hint="eastAsia"/>
                <w:lang w:val="en-US" w:eastAsia="zh-CN"/>
              </w:rPr>
            </w:pPr>
            <w:r>
              <w:t>2748</w:t>
            </w:r>
          </w:p>
        </w:tc>
        <w:tc>
          <w:tcPr>
            <w:tcW w:w="709" w:type="pct"/>
            <w:vMerge w:val="continue"/>
            <w:vAlign w:val="center"/>
          </w:tcPr>
          <w:p w14:paraId="052D1C37">
            <w:pPr>
              <w:pStyle w:val="26"/>
              <w:bidi w:val="0"/>
              <w:jc w:val="center"/>
              <w:rPr>
                <w:color w:val="auto"/>
                <w:highlight w:val="none"/>
                <w:lang w:val="en-US" w:eastAsia="zh-CN"/>
              </w:rPr>
            </w:pPr>
          </w:p>
        </w:tc>
        <w:tc>
          <w:tcPr>
            <w:tcW w:w="826" w:type="pct"/>
            <w:shd w:val="clear" w:color="auto" w:fill="auto"/>
            <w:noWrap/>
            <w:vAlign w:val="center"/>
          </w:tcPr>
          <w:p w14:paraId="295C3BCF">
            <w:pPr>
              <w:pStyle w:val="26"/>
              <w:bidi w:val="0"/>
              <w:jc w:val="center"/>
              <w:rPr>
                <w:rFonts w:hint="eastAsia"/>
                <w:lang w:val="en-US" w:eastAsia="zh-CN"/>
              </w:rPr>
            </w:pPr>
            <w:r>
              <w:t>东南</w:t>
            </w:r>
          </w:p>
        </w:tc>
        <w:tc>
          <w:tcPr>
            <w:tcW w:w="826" w:type="pct"/>
            <w:shd w:val="clear" w:color="auto" w:fill="auto"/>
            <w:noWrap/>
            <w:vAlign w:val="center"/>
          </w:tcPr>
          <w:p w14:paraId="6DB649BC">
            <w:pPr>
              <w:pStyle w:val="26"/>
              <w:bidi w:val="0"/>
              <w:jc w:val="center"/>
              <w:rPr>
                <w:rFonts w:hint="eastAsia"/>
                <w:lang w:val="en-US" w:eastAsia="zh-CN"/>
              </w:rPr>
            </w:pPr>
            <w:r>
              <w:t>4505</w:t>
            </w:r>
          </w:p>
        </w:tc>
      </w:tr>
      <w:tr w14:paraId="3DDF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10ADD7B">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25</w:t>
            </w:r>
          </w:p>
        </w:tc>
        <w:tc>
          <w:tcPr>
            <w:tcW w:w="939" w:type="pct"/>
            <w:noWrap/>
            <w:vAlign w:val="center"/>
          </w:tcPr>
          <w:p w14:paraId="1D633D80">
            <w:pPr>
              <w:pStyle w:val="26"/>
              <w:bidi w:val="0"/>
              <w:jc w:val="center"/>
              <w:rPr>
                <w:rFonts w:hint="eastAsia"/>
                <w:lang w:val="en-US" w:eastAsia="zh-CN"/>
              </w:rPr>
            </w:pPr>
            <w:r>
              <w:t>玉兰一村</w:t>
            </w:r>
          </w:p>
        </w:tc>
        <w:tc>
          <w:tcPr>
            <w:tcW w:w="609" w:type="pct"/>
            <w:vAlign w:val="center"/>
          </w:tcPr>
          <w:p w14:paraId="17FE044D">
            <w:pPr>
              <w:pStyle w:val="26"/>
              <w:bidi w:val="0"/>
              <w:jc w:val="center"/>
              <w:rPr>
                <w:lang w:val="en-US" w:eastAsia="zh-CN"/>
              </w:rPr>
            </w:pPr>
            <w:r>
              <w:t>居民区</w:t>
            </w:r>
          </w:p>
        </w:tc>
        <w:tc>
          <w:tcPr>
            <w:tcW w:w="728" w:type="pct"/>
            <w:noWrap/>
            <w:vAlign w:val="center"/>
          </w:tcPr>
          <w:p w14:paraId="76E0B770">
            <w:pPr>
              <w:pStyle w:val="26"/>
              <w:bidi w:val="0"/>
              <w:jc w:val="center"/>
              <w:rPr>
                <w:rFonts w:hint="eastAsia"/>
                <w:lang w:val="en-US" w:eastAsia="zh-CN"/>
              </w:rPr>
            </w:pPr>
            <w:r>
              <w:t>3024</w:t>
            </w:r>
          </w:p>
        </w:tc>
        <w:tc>
          <w:tcPr>
            <w:tcW w:w="709" w:type="pct"/>
            <w:vMerge w:val="continue"/>
            <w:vAlign w:val="center"/>
          </w:tcPr>
          <w:p w14:paraId="5B6141C5">
            <w:pPr>
              <w:pStyle w:val="26"/>
              <w:bidi w:val="0"/>
              <w:jc w:val="center"/>
              <w:rPr>
                <w:color w:val="auto"/>
                <w:highlight w:val="none"/>
                <w:lang w:val="en-US" w:eastAsia="zh-CN"/>
              </w:rPr>
            </w:pPr>
          </w:p>
        </w:tc>
        <w:tc>
          <w:tcPr>
            <w:tcW w:w="826" w:type="pct"/>
            <w:shd w:val="clear" w:color="auto" w:fill="auto"/>
            <w:noWrap/>
            <w:vAlign w:val="center"/>
          </w:tcPr>
          <w:p w14:paraId="3D35A905">
            <w:pPr>
              <w:pStyle w:val="26"/>
              <w:bidi w:val="0"/>
              <w:jc w:val="center"/>
              <w:rPr>
                <w:rFonts w:hint="eastAsia"/>
                <w:lang w:val="en-US" w:eastAsia="zh-CN"/>
              </w:rPr>
            </w:pPr>
            <w:r>
              <w:t>东南</w:t>
            </w:r>
          </w:p>
        </w:tc>
        <w:tc>
          <w:tcPr>
            <w:tcW w:w="826" w:type="pct"/>
            <w:shd w:val="clear" w:color="auto" w:fill="auto"/>
            <w:noWrap/>
            <w:vAlign w:val="center"/>
          </w:tcPr>
          <w:p w14:paraId="736E5763">
            <w:pPr>
              <w:pStyle w:val="26"/>
              <w:bidi w:val="0"/>
              <w:jc w:val="center"/>
              <w:rPr>
                <w:rFonts w:hint="eastAsia"/>
                <w:lang w:val="en-US" w:eastAsia="zh-CN"/>
              </w:rPr>
            </w:pPr>
            <w:r>
              <w:t>4710</w:t>
            </w:r>
          </w:p>
        </w:tc>
      </w:tr>
      <w:tr w14:paraId="6C87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1F481E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26</w:t>
            </w:r>
          </w:p>
        </w:tc>
        <w:tc>
          <w:tcPr>
            <w:tcW w:w="939" w:type="pct"/>
            <w:noWrap/>
            <w:vAlign w:val="center"/>
          </w:tcPr>
          <w:p w14:paraId="4029B4DE">
            <w:pPr>
              <w:pStyle w:val="26"/>
              <w:bidi w:val="0"/>
              <w:jc w:val="center"/>
              <w:rPr>
                <w:rFonts w:hint="eastAsia"/>
                <w:lang w:val="en-US" w:eastAsia="zh-CN"/>
              </w:rPr>
            </w:pPr>
            <w:r>
              <w:t>玉兰水仙小区</w:t>
            </w:r>
          </w:p>
        </w:tc>
        <w:tc>
          <w:tcPr>
            <w:tcW w:w="609" w:type="pct"/>
            <w:vAlign w:val="center"/>
          </w:tcPr>
          <w:p w14:paraId="5E6651FC">
            <w:pPr>
              <w:pStyle w:val="26"/>
              <w:bidi w:val="0"/>
              <w:jc w:val="center"/>
              <w:rPr>
                <w:lang w:val="en-US" w:eastAsia="zh-CN"/>
              </w:rPr>
            </w:pPr>
            <w:r>
              <w:t>居民区</w:t>
            </w:r>
          </w:p>
        </w:tc>
        <w:tc>
          <w:tcPr>
            <w:tcW w:w="728" w:type="pct"/>
            <w:noWrap/>
            <w:vAlign w:val="center"/>
          </w:tcPr>
          <w:p w14:paraId="0752BAC8">
            <w:pPr>
              <w:pStyle w:val="26"/>
              <w:bidi w:val="0"/>
              <w:jc w:val="center"/>
              <w:rPr>
                <w:rFonts w:hint="eastAsia"/>
                <w:lang w:val="en-US" w:eastAsia="zh-CN"/>
              </w:rPr>
            </w:pPr>
            <w:r>
              <w:t>4089</w:t>
            </w:r>
          </w:p>
        </w:tc>
        <w:tc>
          <w:tcPr>
            <w:tcW w:w="709" w:type="pct"/>
            <w:vMerge w:val="continue"/>
            <w:vAlign w:val="center"/>
          </w:tcPr>
          <w:p w14:paraId="7006035B">
            <w:pPr>
              <w:pStyle w:val="26"/>
              <w:bidi w:val="0"/>
              <w:jc w:val="center"/>
              <w:rPr>
                <w:color w:val="auto"/>
                <w:highlight w:val="none"/>
                <w:lang w:val="en-US" w:eastAsia="zh-CN"/>
              </w:rPr>
            </w:pPr>
          </w:p>
        </w:tc>
        <w:tc>
          <w:tcPr>
            <w:tcW w:w="826" w:type="pct"/>
            <w:shd w:val="clear" w:color="auto" w:fill="auto"/>
            <w:noWrap/>
            <w:vAlign w:val="center"/>
          </w:tcPr>
          <w:p w14:paraId="44109803">
            <w:pPr>
              <w:pStyle w:val="26"/>
              <w:bidi w:val="0"/>
              <w:jc w:val="center"/>
              <w:rPr>
                <w:rFonts w:hint="eastAsia"/>
                <w:lang w:val="en-US" w:eastAsia="zh-CN"/>
              </w:rPr>
            </w:pPr>
            <w:r>
              <w:t>东南</w:t>
            </w:r>
          </w:p>
        </w:tc>
        <w:tc>
          <w:tcPr>
            <w:tcW w:w="826" w:type="pct"/>
            <w:shd w:val="clear" w:color="auto" w:fill="auto"/>
            <w:noWrap/>
            <w:vAlign w:val="center"/>
          </w:tcPr>
          <w:p w14:paraId="13559214">
            <w:pPr>
              <w:pStyle w:val="26"/>
              <w:bidi w:val="0"/>
              <w:jc w:val="center"/>
              <w:rPr>
                <w:rFonts w:hint="eastAsia"/>
                <w:lang w:val="en-US" w:eastAsia="zh-CN"/>
              </w:rPr>
            </w:pPr>
            <w:r>
              <w:t>4800</w:t>
            </w:r>
          </w:p>
        </w:tc>
      </w:tr>
      <w:tr w14:paraId="3C43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A8066A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27</w:t>
            </w:r>
          </w:p>
        </w:tc>
        <w:tc>
          <w:tcPr>
            <w:tcW w:w="939" w:type="pct"/>
            <w:noWrap/>
            <w:vAlign w:val="center"/>
          </w:tcPr>
          <w:p w14:paraId="47B447C2">
            <w:pPr>
              <w:pStyle w:val="26"/>
              <w:bidi w:val="0"/>
              <w:jc w:val="center"/>
              <w:rPr>
                <w:rFonts w:hint="eastAsia"/>
                <w:lang w:val="en-US" w:eastAsia="zh-CN"/>
              </w:rPr>
            </w:pPr>
            <w:r>
              <w:t>红梅小区</w:t>
            </w:r>
          </w:p>
        </w:tc>
        <w:tc>
          <w:tcPr>
            <w:tcW w:w="609" w:type="pct"/>
            <w:vAlign w:val="center"/>
          </w:tcPr>
          <w:p w14:paraId="4B5706F7">
            <w:pPr>
              <w:pStyle w:val="26"/>
              <w:bidi w:val="0"/>
              <w:jc w:val="center"/>
              <w:rPr>
                <w:lang w:val="en-US" w:eastAsia="zh-CN"/>
              </w:rPr>
            </w:pPr>
            <w:r>
              <w:t>居民区</w:t>
            </w:r>
          </w:p>
        </w:tc>
        <w:tc>
          <w:tcPr>
            <w:tcW w:w="728" w:type="pct"/>
            <w:noWrap/>
            <w:vAlign w:val="center"/>
          </w:tcPr>
          <w:p w14:paraId="478E9B4B">
            <w:pPr>
              <w:pStyle w:val="26"/>
              <w:bidi w:val="0"/>
              <w:jc w:val="center"/>
              <w:rPr>
                <w:rFonts w:hint="eastAsia"/>
                <w:lang w:val="en-US" w:eastAsia="zh-CN"/>
              </w:rPr>
            </w:pPr>
            <w:r>
              <w:t>6738</w:t>
            </w:r>
          </w:p>
        </w:tc>
        <w:tc>
          <w:tcPr>
            <w:tcW w:w="709" w:type="pct"/>
            <w:vMerge w:val="continue"/>
            <w:vAlign w:val="center"/>
          </w:tcPr>
          <w:p w14:paraId="6A4AECF9">
            <w:pPr>
              <w:pStyle w:val="26"/>
              <w:bidi w:val="0"/>
              <w:jc w:val="center"/>
              <w:rPr>
                <w:color w:val="auto"/>
                <w:highlight w:val="none"/>
                <w:lang w:val="en-US" w:eastAsia="zh-CN"/>
              </w:rPr>
            </w:pPr>
          </w:p>
        </w:tc>
        <w:tc>
          <w:tcPr>
            <w:tcW w:w="826" w:type="pct"/>
            <w:shd w:val="clear" w:color="auto" w:fill="auto"/>
            <w:noWrap/>
            <w:vAlign w:val="center"/>
          </w:tcPr>
          <w:p w14:paraId="7E1876AA">
            <w:pPr>
              <w:pStyle w:val="26"/>
              <w:bidi w:val="0"/>
              <w:jc w:val="center"/>
              <w:rPr>
                <w:rFonts w:hint="eastAsia"/>
                <w:lang w:val="en-US" w:eastAsia="zh-CN"/>
              </w:rPr>
            </w:pPr>
            <w:r>
              <w:t>东南</w:t>
            </w:r>
          </w:p>
        </w:tc>
        <w:tc>
          <w:tcPr>
            <w:tcW w:w="826" w:type="pct"/>
            <w:shd w:val="clear" w:color="auto" w:fill="auto"/>
            <w:noWrap/>
            <w:vAlign w:val="center"/>
          </w:tcPr>
          <w:p w14:paraId="4265E74C">
            <w:pPr>
              <w:pStyle w:val="26"/>
              <w:bidi w:val="0"/>
              <w:jc w:val="center"/>
              <w:rPr>
                <w:rFonts w:hint="eastAsia"/>
                <w:lang w:val="en-US" w:eastAsia="zh-CN"/>
              </w:rPr>
            </w:pPr>
            <w:r>
              <w:t>4700</w:t>
            </w:r>
          </w:p>
        </w:tc>
      </w:tr>
      <w:tr w14:paraId="2BF9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2B43E19">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28</w:t>
            </w:r>
          </w:p>
        </w:tc>
        <w:tc>
          <w:tcPr>
            <w:tcW w:w="939" w:type="pct"/>
            <w:noWrap/>
            <w:vAlign w:val="center"/>
          </w:tcPr>
          <w:p w14:paraId="1F757B7B">
            <w:pPr>
              <w:pStyle w:val="26"/>
              <w:bidi w:val="0"/>
              <w:jc w:val="center"/>
              <w:rPr>
                <w:rFonts w:hint="eastAsia"/>
                <w:lang w:val="en-US" w:eastAsia="zh-CN"/>
              </w:rPr>
            </w:pPr>
            <w:r>
              <w:t>芙蓉新村</w:t>
            </w:r>
          </w:p>
        </w:tc>
        <w:tc>
          <w:tcPr>
            <w:tcW w:w="609" w:type="pct"/>
            <w:vAlign w:val="center"/>
          </w:tcPr>
          <w:p w14:paraId="05A1A42E">
            <w:pPr>
              <w:pStyle w:val="26"/>
              <w:bidi w:val="0"/>
              <w:jc w:val="center"/>
              <w:rPr>
                <w:lang w:val="en-US" w:eastAsia="zh-CN"/>
              </w:rPr>
            </w:pPr>
            <w:r>
              <w:t>居民区</w:t>
            </w:r>
          </w:p>
        </w:tc>
        <w:tc>
          <w:tcPr>
            <w:tcW w:w="728" w:type="pct"/>
            <w:noWrap/>
            <w:vAlign w:val="center"/>
          </w:tcPr>
          <w:p w14:paraId="2C3C469A">
            <w:pPr>
              <w:pStyle w:val="26"/>
              <w:bidi w:val="0"/>
              <w:jc w:val="center"/>
              <w:rPr>
                <w:rFonts w:hint="eastAsia"/>
                <w:lang w:val="en-US" w:eastAsia="zh-CN"/>
              </w:rPr>
            </w:pPr>
            <w:r>
              <w:t>3054</w:t>
            </w:r>
          </w:p>
        </w:tc>
        <w:tc>
          <w:tcPr>
            <w:tcW w:w="709" w:type="pct"/>
            <w:vMerge w:val="continue"/>
            <w:vAlign w:val="center"/>
          </w:tcPr>
          <w:p w14:paraId="4A91DA79">
            <w:pPr>
              <w:pStyle w:val="26"/>
              <w:bidi w:val="0"/>
              <w:jc w:val="center"/>
              <w:rPr>
                <w:color w:val="auto"/>
                <w:highlight w:val="none"/>
                <w:lang w:val="en-US" w:eastAsia="zh-CN"/>
              </w:rPr>
            </w:pPr>
          </w:p>
        </w:tc>
        <w:tc>
          <w:tcPr>
            <w:tcW w:w="826" w:type="pct"/>
            <w:shd w:val="clear" w:color="auto" w:fill="auto"/>
            <w:noWrap/>
            <w:vAlign w:val="center"/>
          </w:tcPr>
          <w:p w14:paraId="09E487DA">
            <w:pPr>
              <w:pStyle w:val="26"/>
              <w:bidi w:val="0"/>
              <w:jc w:val="center"/>
              <w:rPr>
                <w:rFonts w:hint="eastAsia"/>
                <w:lang w:val="en-US" w:eastAsia="zh-CN"/>
              </w:rPr>
            </w:pPr>
            <w:r>
              <w:t>东南</w:t>
            </w:r>
          </w:p>
        </w:tc>
        <w:tc>
          <w:tcPr>
            <w:tcW w:w="826" w:type="pct"/>
            <w:shd w:val="clear" w:color="auto" w:fill="auto"/>
            <w:noWrap/>
            <w:vAlign w:val="center"/>
          </w:tcPr>
          <w:p w14:paraId="415474DE">
            <w:pPr>
              <w:pStyle w:val="26"/>
              <w:bidi w:val="0"/>
              <w:jc w:val="center"/>
              <w:rPr>
                <w:rFonts w:hint="eastAsia"/>
                <w:lang w:val="en-US" w:eastAsia="zh-CN"/>
              </w:rPr>
            </w:pPr>
            <w:r>
              <w:t>4750</w:t>
            </w:r>
          </w:p>
        </w:tc>
      </w:tr>
      <w:tr w14:paraId="1ABC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572425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29</w:t>
            </w:r>
          </w:p>
        </w:tc>
        <w:tc>
          <w:tcPr>
            <w:tcW w:w="939" w:type="pct"/>
            <w:noWrap/>
            <w:vAlign w:val="center"/>
          </w:tcPr>
          <w:p w14:paraId="0A13E411">
            <w:pPr>
              <w:pStyle w:val="26"/>
              <w:bidi w:val="0"/>
              <w:jc w:val="center"/>
              <w:rPr>
                <w:rFonts w:hint="eastAsia"/>
                <w:lang w:val="en-US" w:eastAsia="zh-CN"/>
              </w:rPr>
            </w:pPr>
            <w:r>
              <w:t>西郊世纪华城</w:t>
            </w:r>
          </w:p>
        </w:tc>
        <w:tc>
          <w:tcPr>
            <w:tcW w:w="609" w:type="pct"/>
            <w:vAlign w:val="center"/>
          </w:tcPr>
          <w:p w14:paraId="29EE7DDE">
            <w:pPr>
              <w:pStyle w:val="26"/>
              <w:bidi w:val="0"/>
              <w:jc w:val="center"/>
              <w:rPr>
                <w:lang w:val="en-US" w:eastAsia="zh-CN"/>
              </w:rPr>
            </w:pPr>
            <w:r>
              <w:t>居民区</w:t>
            </w:r>
          </w:p>
        </w:tc>
        <w:tc>
          <w:tcPr>
            <w:tcW w:w="728" w:type="pct"/>
            <w:noWrap/>
            <w:vAlign w:val="center"/>
          </w:tcPr>
          <w:p w14:paraId="7A496054">
            <w:pPr>
              <w:pStyle w:val="26"/>
              <w:bidi w:val="0"/>
              <w:jc w:val="center"/>
              <w:rPr>
                <w:rFonts w:hint="eastAsia"/>
                <w:lang w:val="en-US" w:eastAsia="zh-CN"/>
              </w:rPr>
            </w:pPr>
            <w:r>
              <w:t>630</w:t>
            </w:r>
          </w:p>
        </w:tc>
        <w:tc>
          <w:tcPr>
            <w:tcW w:w="709" w:type="pct"/>
            <w:vMerge w:val="continue"/>
            <w:vAlign w:val="center"/>
          </w:tcPr>
          <w:p w14:paraId="380E5156">
            <w:pPr>
              <w:pStyle w:val="26"/>
              <w:bidi w:val="0"/>
              <w:jc w:val="center"/>
              <w:rPr>
                <w:color w:val="auto"/>
                <w:highlight w:val="none"/>
                <w:lang w:val="en-US" w:eastAsia="zh-CN"/>
              </w:rPr>
            </w:pPr>
          </w:p>
        </w:tc>
        <w:tc>
          <w:tcPr>
            <w:tcW w:w="826" w:type="pct"/>
            <w:shd w:val="clear" w:color="auto" w:fill="auto"/>
            <w:noWrap/>
            <w:vAlign w:val="center"/>
          </w:tcPr>
          <w:p w14:paraId="1D548335">
            <w:pPr>
              <w:pStyle w:val="26"/>
              <w:bidi w:val="0"/>
              <w:jc w:val="center"/>
              <w:rPr>
                <w:rFonts w:hint="eastAsia"/>
                <w:lang w:val="en-US" w:eastAsia="zh-CN"/>
              </w:rPr>
            </w:pPr>
            <w:r>
              <w:t>东南</w:t>
            </w:r>
          </w:p>
        </w:tc>
        <w:tc>
          <w:tcPr>
            <w:tcW w:w="826" w:type="pct"/>
            <w:shd w:val="clear" w:color="auto" w:fill="auto"/>
            <w:noWrap/>
            <w:vAlign w:val="center"/>
          </w:tcPr>
          <w:p w14:paraId="2D2F8EF7">
            <w:pPr>
              <w:pStyle w:val="26"/>
              <w:bidi w:val="0"/>
              <w:jc w:val="center"/>
              <w:rPr>
                <w:rFonts w:hint="eastAsia"/>
                <w:lang w:val="en-US" w:eastAsia="zh-CN"/>
              </w:rPr>
            </w:pPr>
            <w:r>
              <w:t>4120</w:t>
            </w:r>
          </w:p>
        </w:tc>
      </w:tr>
      <w:tr w14:paraId="17A4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213401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30</w:t>
            </w:r>
          </w:p>
        </w:tc>
        <w:tc>
          <w:tcPr>
            <w:tcW w:w="939" w:type="pct"/>
            <w:noWrap/>
            <w:vAlign w:val="center"/>
          </w:tcPr>
          <w:p w14:paraId="0266B021">
            <w:pPr>
              <w:pStyle w:val="26"/>
              <w:bidi w:val="0"/>
              <w:jc w:val="center"/>
              <w:rPr>
                <w:rFonts w:hint="eastAsia"/>
                <w:lang w:val="en-US" w:eastAsia="zh-CN"/>
              </w:rPr>
            </w:pPr>
            <w:r>
              <w:t>逸墅馆</w:t>
            </w:r>
          </w:p>
        </w:tc>
        <w:tc>
          <w:tcPr>
            <w:tcW w:w="609" w:type="pct"/>
            <w:vAlign w:val="center"/>
          </w:tcPr>
          <w:p w14:paraId="6823C4B3">
            <w:pPr>
              <w:pStyle w:val="26"/>
              <w:bidi w:val="0"/>
              <w:jc w:val="center"/>
              <w:rPr>
                <w:lang w:val="en-US" w:eastAsia="zh-CN"/>
              </w:rPr>
            </w:pPr>
            <w:r>
              <w:t>居民区</w:t>
            </w:r>
          </w:p>
        </w:tc>
        <w:tc>
          <w:tcPr>
            <w:tcW w:w="728" w:type="pct"/>
            <w:noWrap/>
            <w:vAlign w:val="center"/>
          </w:tcPr>
          <w:p w14:paraId="7EDC411A">
            <w:pPr>
              <w:pStyle w:val="26"/>
              <w:bidi w:val="0"/>
              <w:jc w:val="center"/>
              <w:rPr>
                <w:rFonts w:hint="eastAsia"/>
                <w:lang w:val="en-US" w:eastAsia="zh-CN"/>
              </w:rPr>
            </w:pPr>
            <w:r>
              <w:t>390</w:t>
            </w:r>
          </w:p>
        </w:tc>
        <w:tc>
          <w:tcPr>
            <w:tcW w:w="709" w:type="pct"/>
            <w:vMerge w:val="continue"/>
            <w:vAlign w:val="center"/>
          </w:tcPr>
          <w:p w14:paraId="43851057">
            <w:pPr>
              <w:pStyle w:val="26"/>
              <w:bidi w:val="0"/>
              <w:jc w:val="center"/>
              <w:rPr>
                <w:color w:val="auto"/>
                <w:highlight w:val="none"/>
                <w:lang w:val="en-US" w:eastAsia="zh-CN"/>
              </w:rPr>
            </w:pPr>
          </w:p>
        </w:tc>
        <w:tc>
          <w:tcPr>
            <w:tcW w:w="826" w:type="pct"/>
            <w:shd w:val="clear" w:color="auto" w:fill="auto"/>
            <w:noWrap/>
            <w:vAlign w:val="center"/>
          </w:tcPr>
          <w:p w14:paraId="67209C71">
            <w:pPr>
              <w:pStyle w:val="26"/>
              <w:bidi w:val="0"/>
              <w:jc w:val="center"/>
              <w:rPr>
                <w:rFonts w:hint="eastAsia"/>
                <w:lang w:val="en-US" w:eastAsia="zh-CN"/>
              </w:rPr>
            </w:pPr>
            <w:r>
              <w:t>东南</w:t>
            </w:r>
          </w:p>
        </w:tc>
        <w:tc>
          <w:tcPr>
            <w:tcW w:w="826" w:type="pct"/>
            <w:shd w:val="clear" w:color="auto" w:fill="auto"/>
            <w:noWrap/>
            <w:vAlign w:val="center"/>
          </w:tcPr>
          <w:p w14:paraId="6653DA82">
            <w:pPr>
              <w:pStyle w:val="26"/>
              <w:bidi w:val="0"/>
              <w:jc w:val="center"/>
              <w:rPr>
                <w:rFonts w:hint="eastAsia"/>
                <w:lang w:val="en-US" w:eastAsia="zh-CN"/>
              </w:rPr>
            </w:pPr>
            <w:r>
              <w:t>4140</w:t>
            </w:r>
          </w:p>
        </w:tc>
      </w:tr>
      <w:tr w14:paraId="49F3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1A0B579">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31</w:t>
            </w:r>
          </w:p>
        </w:tc>
        <w:tc>
          <w:tcPr>
            <w:tcW w:w="939" w:type="pct"/>
            <w:noWrap/>
            <w:vAlign w:val="center"/>
          </w:tcPr>
          <w:p w14:paraId="55BB7A1B">
            <w:pPr>
              <w:pStyle w:val="26"/>
              <w:bidi w:val="0"/>
              <w:jc w:val="center"/>
              <w:rPr>
                <w:rFonts w:hint="eastAsia"/>
                <w:lang w:val="en-US" w:eastAsia="zh-CN"/>
              </w:rPr>
            </w:pPr>
            <w:r>
              <w:t>新安花园</w:t>
            </w:r>
          </w:p>
        </w:tc>
        <w:tc>
          <w:tcPr>
            <w:tcW w:w="609" w:type="pct"/>
            <w:vAlign w:val="center"/>
          </w:tcPr>
          <w:p w14:paraId="59E84EEA">
            <w:pPr>
              <w:pStyle w:val="26"/>
              <w:bidi w:val="0"/>
              <w:jc w:val="center"/>
              <w:rPr>
                <w:lang w:val="en-US" w:eastAsia="zh-CN"/>
              </w:rPr>
            </w:pPr>
            <w:r>
              <w:t>居民区</w:t>
            </w:r>
          </w:p>
        </w:tc>
        <w:tc>
          <w:tcPr>
            <w:tcW w:w="728" w:type="pct"/>
            <w:noWrap/>
            <w:vAlign w:val="center"/>
          </w:tcPr>
          <w:p w14:paraId="62AF26B4">
            <w:pPr>
              <w:pStyle w:val="26"/>
              <w:bidi w:val="0"/>
              <w:jc w:val="center"/>
              <w:rPr>
                <w:rFonts w:hint="eastAsia"/>
                <w:lang w:val="en-US" w:eastAsia="zh-CN"/>
              </w:rPr>
            </w:pPr>
            <w:r>
              <w:t>264</w:t>
            </w:r>
          </w:p>
        </w:tc>
        <w:tc>
          <w:tcPr>
            <w:tcW w:w="709" w:type="pct"/>
            <w:vMerge w:val="continue"/>
            <w:vAlign w:val="center"/>
          </w:tcPr>
          <w:p w14:paraId="0E8AC21F">
            <w:pPr>
              <w:pStyle w:val="26"/>
              <w:bidi w:val="0"/>
              <w:jc w:val="center"/>
              <w:rPr>
                <w:color w:val="auto"/>
                <w:highlight w:val="none"/>
                <w:lang w:val="en-US" w:eastAsia="zh-CN"/>
              </w:rPr>
            </w:pPr>
          </w:p>
        </w:tc>
        <w:tc>
          <w:tcPr>
            <w:tcW w:w="826" w:type="pct"/>
            <w:shd w:val="clear" w:color="auto" w:fill="auto"/>
            <w:noWrap/>
            <w:vAlign w:val="center"/>
          </w:tcPr>
          <w:p w14:paraId="15127683">
            <w:pPr>
              <w:pStyle w:val="26"/>
              <w:bidi w:val="0"/>
              <w:jc w:val="center"/>
              <w:rPr>
                <w:rFonts w:hint="eastAsia"/>
                <w:lang w:val="en-US" w:eastAsia="zh-CN"/>
              </w:rPr>
            </w:pPr>
            <w:r>
              <w:t>东南</w:t>
            </w:r>
          </w:p>
        </w:tc>
        <w:tc>
          <w:tcPr>
            <w:tcW w:w="826" w:type="pct"/>
            <w:shd w:val="clear" w:color="auto" w:fill="auto"/>
            <w:noWrap/>
            <w:vAlign w:val="center"/>
          </w:tcPr>
          <w:p w14:paraId="357D3E40">
            <w:pPr>
              <w:pStyle w:val="26"/>
              <w:bidi w:val="0"/>
              <w:jc w:val="center"/>
              <w:rPr>
                <w:rFonts w:hint="eastAsia"/>
                <w:lang w:val="en-US" w:eastAsia="zh-CN"/>
              </w:rPr>
            </w:pPr>
            <w:r>
              <w:t>3810</w:t>
            </w:r>
          </w:p>
        </w:tc>
      </w:tr>
      <w:tr w14:paraId="0F05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270AAD0">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32</w:t>
            </w:r>
          </w:p>
        </w:tc>
        <w:tc>
          <w:tcPr>
            <w:tcW w:w="939" w:type="pct"/>
            <w:noWrap/>
            <w:vAlign w:val="center"/>
          </w:tcPr>
          <w:p w14:paraId="3F6F9112">
            <w:pPr>
              <w:pStyle w:val="26"/>
              <w:bidi w:val="0"/>
              <w:jc w:val="center"/>
              <w:rPr>
                <w:rFonts w:hint="eastAsia"/>
                <w:lang w:val="en-US" w:eastAsia="zh-CN"/>
              </w:rPr>
            </w:pPr>
            <w:r>
              <w:t>大名城名郡</w:t>
            </w:r>
          </w:p>
        </w:tc>
        <w:tc>
          <w:tcPr>
            <w:tcW w:w="609" w:type="pct"/>
            <w:vAlign w:val="center"/>
          </w:tcPr>
          <w:p w14:paraId="26C16E50">
            <w:pPr>
              <w:pStyle w:val="26"/>
              <w:bidi w:val="0"/>
              <w:jc w:val="center"/>
              <w:rPr>
                <w:lang w:val="en-US" w:eastAsia="zh-CN"/>
              </w:rPr>
            </w:pPr>
            <w:r>
              <w:t>居民区</w:t>
            </w:r>
          </w:p>
        </w:tc>
        <w:tc>
          <w:tcPr>
            <w:tcW w:w="728" w:type="pct"/>
            <w:noWrap/>
            <w:vAlign w:val="center"/>
          </w:tcPr>
          <w:p w14:paraId="285E2121">
            <w:pPr>
              <w:pStyle w:val="26"/>
              <w:bidi w:val="0"/>
              <w:jc w:val="center"/>
              <w:rPr>
                <w:rFonts w:hint="eastAsia"/>
                <w:lang w:val="en-US" w:eastAsia="zh-CN"/>
              </w:rPr>
            </w:pPr>
            <w:r>
              <w:t>2508</w:t>
            </w:r>
          </w:p>
        </w:tc>
        <w:tc>
          <w:tcPr>
            <w:tcW w:w="709" w:type="pct"/>
            <w:vMerge w:val="continue"/>
            <w:vAlign w:val="center"/>
          </w:tcPr>
          <w:p w14:paraId="2209DAC1">
            <w:pPr>
              <w:pStyle w:val="26"/>
              <w:bidi w:val="0"/>
              <w:jc w:val="center"/>
              <w:rPr>
                <w:color w:val="auto"/>
                <w:highlight w:val="none"/>
                <w:lang w:val="en-US" w:eastAsia="zh-CN"/>
              </w:rPr>
            </w:pPr>
          </w:p>
        </w:tc>
        <w:tc>
          <w:tcPr>
            <w:tcW w:w="826" w:type="pct"/>
            <w:shd w:val="clear" w:color="auto" w:fill="auto"/>
            <w:noWrap/>
            <w:vAlign w:val="center"/>
          </w:tcPr>
          <w:p w14:paraId="735FEEB6">
            <w:pPr>
              <w:pStyle w:val="26"/>
              <w:bidi w:val="0"/>
              <w:jc w:val="center"/>
              <w:rPr>
                <w:rFonts w:hint="eastAsia"/>
                <w:lang w:val="en-US" w:eastAsia="zh-CN"/>
              </w:rPr>
            </w:pPr>
            <w:r>
              <w:t>东南</w:t>
            </w:r>
          </w:p>
        </w:tc>
        <w:tc>
          <w:tcPr>
            <w:tcW w:w="826" w:type="pct"/>
            <w:shd w:val="clear" w:color="auto" w:fill="auto"/>
            <w:noWrap/>
            <w:vAlign w:val="center"/>
          </w:tcPr>
          <w:p w14:paraId="33152365">
            <w:pPr>
              <w:pStyle w:val="26"/>
              <w:bidi w:val="0"/>
              <w:jc w:val="center"/>
              <w:rPr>
                <w:rFonts w:hint="eastAsia"/>
                <w:lang w:val="en-US" w:eastAsia="zh-CN"/>
              </w:rPr>
            </w:pPr>
            <w:r>
              <w:t>4710</w:t>
            </w:r>
          </w:p>
        </w:tc>
      </w:tr>
      <w:tr w14:paraId="41CCC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E46953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33</w:t>
            </w:r>
          </w:p>
        </w:tc>
        <w:tc>
          <w:tcPr>
            <w:tcW w:w="939" w:type="pct"/>
            <w:noWrap/>
            <w:vAlign w:val="center"/>
          </w:tcPr>
          <w:p w14:paraId="73F1CDA8">
            <w:pPr>
              <w:pStyle w:val="26"/>
              <w:bidi w:val="0"/>
              <w:jc w:val="center"/>
              <w:rPr>
                <w:rFonts w:hint="eastAsia"/>
                <w:lang w:val="en-US" w:eastAsia="zh-CN"/>
              </w:rPr>
            </w:pPr>
            <w:r>
              <w:t>安亭中央公园小区</w:t>
            </w:r>
          </w:p>
        </w:tc>
        <w:tc>
          <w:tcPr>
            <w:tcW w:w="609" w:type="pct"/>
            <w:vAlign w:val="center"/>
          </w:tcPr>
          <w:p w14:paraId="2B1664FA">
            <w:pPr>
              <w:pStyle w:val="26"/>
              <w:bidi w:val="0"/>
              <w:jc w:val="center"/>
              <w:rPr>
                <w:lang w:val="en-US" w:eastAsia="zh-CN"/>
              </w:rPr>
            </w:pPr>
            <w:r>
              <w:t>居民区</w:t>
            </w:r>
          </w:p>
        </w:tc>
        <w:tc>
          <w:tcPr>
            <w:tcW w:w="728" w:type="pct"/>
            <w:noWrap/>
            <w:vAlign w:val="center"/>
          </w:tcPr>
          <w:p w14:paraId="12740BB8">
            <w:pPr>
              <w:pStyle w:val="26"/>
              <w:bidi w:val="0"/>
              <w:jc w:val="center"/>
              <w:rPr>
                <w:rFonts w:hint="eastAsia"/>
                <w:lang w:val="en-US" w:eastAsia="zh-CN"/>
              </w:rPr>
            </w:pPr>
            <w:r>
              <w:t>3513</w:t>
            </w:r>
          </w:p>
        </w:tc>
        <w:tc>
          <w:tcPr>
            <w:tcW w:w="709" w:type="pct"/>
            <w:vMerge w:val="continue"/>
            <w:vAlign w:val="center"/>
          </w:tcPr>
          <w:p w14:paraId="798D3B09">
            <w:pPr>
              <w:pStyle w:val="26"/>
              <w:bidi w:val="0"/>
              <w:jc w:val="center"/>
              <w:rPr>
                <w:color w:val="auto"/>
                <w:highlight w:val="none"/>
                <w:lang w:val="en-US" w:eastAsia="zh-CN"/>
              </w:rPr>
            </w:pPr>
          </w:p>
        </w:tc>
        <w:tc>
          <w:tcPr>
            <w:tcW w:w="826" w:type="pct"/>
            <w:shd w:val="clear" w:color="auto" w:fill="auto"/>
            <w:noWrap/>
            <w:vAlign w:val="center"/>
          </w:tcPr>
          <w:p w14:paraId="41F2D858">
            <w:pPr>
              <w:pStyle w:val="26"/>
              <w:bidi w:val="0"/>
              <w:jc w:val="center"/>
              <w:rPr>
                <w:rFonts w:hint="eastAsia"/>
                <w:lang w:val="en-US" w:eastAsia="zh-CN"/>
              </w:rPr>
            </w:pPr>
            <w:r>
              <w:t>东南</w:t>
            </w:r>
          </w:p>
        </w:tc>
        <w:tc>
          <w:tcPr>
            <w:tcW w:w="826" w:type="pct"/>
            <w:shd w:val="clear" w:color="auto" w:fill="auto"/>
            <w:noWrap/>
            <w:vAlign w:val="center"/>
          </w:tcPr>
          <w:p w14:paraId="3264AC20">
            <w:pPr>
              <w:pStyle w:val="26"/>
              <w:bidi w:val="0"/>
              <w:jc w:val="center"/>
              <w:rPr>
                <w:rFonts w:hint="eastAsia"/>
                <w:lang w:val="en-US" w:eastAsia="zh-CN"/>
              </w:rPr>
            </w:pPr>
            <w:r>
              <w:t>4520</w:t>
            </w:r>
          </w:p>
        </w:tc>
      </w:tr>
      <w:tr w14:paraId="334C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FF6C887">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34</w:t>
            </w:r>
          </w:p>
        </w:tc>
        <w:tc>
          <w:tcPr>
            <w:tcW w:w="939" w:type="pct"/>
            <w:noWrap/>
            <w:vAlign w:val="center"/>
          </w:tcPr>
          <w:p w14:paraId="1E0E735F">
            <w:pPr>
              <w:pStyle w:val="26"/>
              <w:bidi w:val="0"/>
              <w:jc w:val="center"/>
              <w:rPr>
                <w:rFonts w:hint="eastAsia"/>
                <w:lang w:val="en-US" w:eastAsia="zh-CN"/>
              </w:rPr>
            </w:pPr>
            <w:r>
              <w:t>凯德都会新峰</w:t>
            </w:r>
          </w:p>
        </w:tc>
        <w:tc>
          <w:tcPr>
            <w:tcW w:w="609" w:type="pct"/>
            <w:vAlign w:val="center"/>
          </w:tcPr>
          <w:p w14:paraId="543BD9E4">
            <w:pPr>
              <w:pStyle w:val="26"/>
              <w:bidi w:val="0"/>
              <w:jc w:val="center"/>
              <w:rPr>
                <w:lang w:val="en-US" w:eastAsia="zh-CN"/>
              </w:rPr>
            </w:pPr>
            <w:r>
              <w:t>居民区</w:t>
            </w:r>
          </w:p>
        </w:tc>
        <w:tc>
          <w:tcPr>
            <w:tcW w:w="728" w:type="pct"/>
            <w:noWrap/>
            <w:vAlign w:val="center"/>
          </w:tcPr>
          <w:p w14:paraId="7594A0BE">
            <w:pPr>
              <w:pStyle w:val="26"/>
              <w:bidi w:val="0"/>
              <w:jc w:val="center"/>
              <w:rPr>
                <w:rFonts w:hint="eastAsia"/>
                <w:lang w:val="en-US" w:eastAsia="zh-CN"/>
              </w:rPr>
            </w:pPr>
            <w:r>
              <w:t>3582</w:t>
            </w:r>
          </w:p>
        </w:tc>
        <w:tc>
          <w:tcPr>
            <w:tcW w:w="709" w:type="pct"/>
            <w:vMerge w:val="continue"/>
            <w:vAlign w:val="center"/>
          </w:tcPr>
          <w:p w14:paraId="1D3E7D9E">
            <w:pPr>
              <w:pStyle w:val="26"/>
              <w:bidi w:val="0"/>
              <w:jc w:val="center"/>
              <w:rPr>
                <w:color w:val="auto"/>
                <w:highlight w:val="none"/>
                <w:lang w:val="en-US" w:eastAsia="zh-CN"/>
              </w:rPr>
            </w:pPr>
          </w:p>
        </w:tc>
        <w:tc>
          <w:tcPr>
            <w:tcW w:w="826" w:type="pct"/>
            <w:shd w:val="clear" w:color="auto" w:fill="auto"/>
            <w:noWrap/>
            <w:vAlign w:val="center"/>
          </w:tcPr>
          <w:p w14:paraId="61D42FB6">
            <w:pPr>
              <w:pStyle w:val="26"/>
              <w:bidi w:val="0"/>
              <w:jc w:val="center"/>
              <w:rPr>
                <w:rFonts w:hint="eastAsia"/>
                <w:lang w:val="en-US" w:eastAsia="zh-CN"/>
              </w:rPr>
            </w:pPr>
            <w:r>
              <w:t>东南</w:t>
            </w:r>
          </w:p>
        </w:tc>
        <w:tc>
          <w:tcPr>
            <w:tcW w:w="826" w:type="pct"/>
            <w:shd w:val="clear" w:color="auto" w:fill="auto"/>
            <w:noWrap/>
            <w:vAlign w:val="center"/>
          </w:tcPr>
          <w:p w14:paraId="37155E45">
            <w:pPr>
              <w:pStyle w:val="26"/>
              <w:bidi w:val="0"/>
              <w:jc w:val="center"/>
              <w:rPr>
                <w:rFonts w:hint="eastAsia"/>
                <w:lang w:val="en-US" w:eastAsia="zh-CN"/>
              </w:rPr>
            </w:pPr>
            <w:r>
              <w:t>5000</w:t>
            </w:r>
          </w:p>
        </w:tc>
      </w:tr>
      <w:tr w14:paraId="7C0F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A1233A9">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35</w:t>
            </w:r>
          </w:p>
        </w:tc>
        <w:tc>
          <w:tcPr>
            <w:tcW w:w="939" w:type="pct"/>
            <w:noWrap/>
            <w:vAlign w:val="center"/>
          </w:tcPr>
          <w:p w14:paraId="68322FEE">
            <w:pPr>
              <w:pStyle w:val="26"/>
              <w:bidi w:val="0"/>
              <w:jc w:val="center"/>
              <w:rPr>
                <w:rFonts w:hint="eastAsia"/>
                <w:lang w:val="en-US" w:eastAsia="zh-CN"/>
              </w:rPr>
            </w:pPr>
            <w:r>
              <w:t>小台北别墅</w:t>
            </w:r>
          </w:p>
        </w:tc>
        <w:tc>
          <w:tcPr>
            <w:tcW w:w="609" w:type="pct"/>
            <w:vAlign w:val="center"/>
          </w:tcPr>
          <w:p w14:paraId="5F428E0A">
            <w:pPr>
              <w:pStyle w:val="26"/>
              <w:bidi w:val="0"/>
              <w:jc w:val="center"/>
              <w:rPr>
                <w:lang w:val="en-US" w:eastAsia="zh-CN"/>
              </w:rPr>
            </w:pPr>
            <w:r>
              <w:t>居民区</w:t>
            </w:r>
          </w:p>
        </w:tc>
        <w:tc>
          <w:tcPr>
            <w:tcW w:w="728" w:type="pct"/>
            <w:noWrap/>
            <w:vAlign w:val="center"/>
          </w:tcPr>
          <w:p w14:paraId="316F5E70">
            <w:pPr>
              <w:pStyle w:val="26"/>
              <w:bidi w:val="0"/>
              <w:jc w:val="center"/>
              <w:rPr>
                <w:rFonts w:hint="eastAsia"/>
                <w:lang w:val="en-US" w:eastAsia="zh-CN"/>
              </w:rPr>
            </w:pPr>
            <w:r>
              <w:t>492</w:t>
            </w:r>
          </w:p>
        </w:tc>
        <w:tc>
          <w:tcPr>
            <w:tcW w:w="709" w:type="pct"/>
            <w:vMerge w:val="continue"/>
            <w:vAlign w:val="center"/>
          </w:tcPr>
          <w:p w14:paraId="68C4BCA1">
            <w:pPr>
              <w:pStyle w:val="26"/>
              <w:bidi w:val="0"/>
              <w:jc w:val="center"/>
              <w:rPr>
                <w:color w:val="auto"/>
                <w:highlight w:val="none"/>
                <w:lang w:val="en-US" w:eastAsia="zh-CN"/>
              </w:rPr>
            </w:pPr>
          </w:p>
        </w:tc>
        <w:tc>
          <w:tcPr>
            <w:tcW w:w="826" w:type="pct"/>
            <w:shd w:val="clear" w:color="auto" w:fill="auto"/>
            <w:noWrap/>
            <w:vAlign w:val="center"/>
          </w:tcPr>
          <w:p w14:paraId="12388EC0">
            <w:pPr>
              <w:pStyle w:val="26"/>
              <w:bidi w:val="0"/>
              <w:jc w:val="center"/>
              <w:rPr>
                <w:rFonts w:hint="eastAsia"/>
                <w:lang w:val="en-US" w:eastAsia="zh-CN"/>
              </w:rPr>
            </w:pPr>
            <w:r>
              <w:t>东南</w:t>
            </w:r>
          </w:p>
        </w:tc>
        <w:tc>
          <w:tcPr>
            <w:tcW w:w="826" w:type="pct"/>
            <w:shd w:val="clear" w:color="auto" w:fill="auto"/>
            <w:noWrap/>
            <w:vAlign w:val="center"/>
          </w:tcPr>
          <w:p w14:paraId="387553BC">
            <w:pPr>
              <w:pStyle w:val="26"/>
              <w:bidi w:val="0"/>
              <w:jc w:val="center"/>
              <w:rPr>
                <w:rFonts w:hint="eastAsia"/>
                <w:lang w:val="en-US" w:eastAsia="zh-CN"/>
              </w:rPr>
            </w:pPr>
            <w:r>
              <w:t>4950</w:t>
            </w:r>
          </w:p>
        </w:tc>
      </w:tr>
      <w:tr w14:paraId="4CD1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CF6795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36</w:t>
            </w:r>
          </w:p>
        </w:tc>
        <w:tc>
          <w:tcPr>
            <w:tcW w:w="939" w:type="pct"/>
            <w:noWrap/>
            <w:vAlign w:val="center"/>
          </w:tcPr>
          <w:p w14:paraId="3643324E">
            <w:pPr>
              <w:pStyle w:val="26"/>
              <w:bidi w:val="0"/>
              <w:jc w:val="center"/>
              <w:rPr>
                <w:rFonts w:hint="eastAsia"/>
                <w:lang w:val="en-US" w:eastAsia="zh-CN"/>
              </w:rPr>
            </w:pPr>
            <w:r>
              <w:t>海宝别墅</w:t>
            </w:r>
          </w:p>
        </w:tc>
        <w:tc>
          <w:tcPr>
            <w:tcW w:w="609" w:type="pct"/>
            <w:vAlign w:val="center"/>
          </w:tcPr>
          <w:p w14:paraId="6C01C6CE">
            <w:pPr>
              <w:pStyle w:val="26"/>
              <w:bidi w:val="0"/>
              <w:jc w:val="center"/>
              <w:rPr>
                <w:lang w:val="en-US" w:eastAsia="zh-CN"/>
              </w:rPr>
            </w:pPr>
            <w:r>
              <w:t>居民区</w:t>
            </w:r>
          </w:p>
        </w:tc>
        <w:tc>
          <w:tcPr>
            <w:tcW w:w="728" w:type="pct"/>
            <w:noWrap/>
            <w:vAlign w:val="center"/>
          </w:tcPr>
          <w:p w14:paraId="61227DBC">
            <w:pPr>
              <w:pStyle w:val="26"/>
              <w:bidi w:val="0"/>
              <w:jc w:val="center"/>
              <w:rPr>
                <w:rFonts w:hint="eastAsia"/>
                <w:lang w:val="en-US" w:eastAsia="zh-CN"/>
              </w:rPr>
            </w:pPr>
            <w:r>
              <w:t>420</w:t>
            </w:r>
          </w:p>
        </w:tc>
        <w:tc>
          <w:tcPr>
            <w:tcW w:w="709" w:type="pct"/>
            <w:vMerge w:val="continue"/>
            <w:vAlign w:val="center"/>
          </w:tcPr>
          <w:p w14:paraId="08852AF6">
            <w:pPr>
              <w:pStyle w:val="26"/>
              <w:bidi w:val="0"/>
              <w:jc w:val="center"/>
              <w:rPr>
                <w:color w:val="auto"/>
                <w:highlight w:val="none"/>
                <w:lang w:val="en-US" w:eastAsia="zh-CN"/>
              </w:rPr>
            </w:pPr>
          </w:p>
        </w:tc>
        <w:tc>
          <w:tcPr>
            <w:tcW w:w="826" w:type="pct"/>
            <w:shd w:val="clear" w:color="auto" w:fill="auto"/>
            <w:noWrap/>
            <w:vAlign w:val="center"/>
          </w:tcPr>
          <w:p w14:paraId="73630EBE">
            <w:pPr>
              <w:pStyle w:val="26"/>
              <w:bidi w:val="0"/>
              <w:jc w:val="center"/>
              <w:rPr>
                <w:rFonts w:hint="eastAsia"/>
                <w:lang w:val="en-US" w:eastAsia="zh-CN"/>
              </w:rPr>
            </w:pPr>
            <w:r>
              <w:t>东南</w:t>
            </w:r>
          </w:p>
        </w:tc>
        <w:tc>
          <w:tcPr>
            <w:tcW w:w="826" w:type="pct"/>
            <w:shd w:val="clear" w:color="auto" w:fill="auto"/>
            <w:noWrap/>
            <w:vAlign w:val="center"/>
          </w:tcPr>
          <w:p w14:paraId="1E7931E5">
            <w:pPr>
              <w:pStyle w:val="26"/>
              <w:bidi w:val="0"/>
              <w:jc w:val="center"/>
              <w:rPr>
                <w:rFonts w:hint="eastAsia"/>
                <w:lang w:val="en-US" w:eastAsia="zh-CN"/>
              </w:rPr>
            </w:pPr>
            <w:r>
              <w:t>4950</w:t>
            </w:r>
          </w:p>
        </w:tc>
      </w:tr>
      <w:tr w14:paraId="08BD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AFC69A6">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37</w:t>
            </w:r>
          </w:p>
        </w:tc>
        <w:tc>
          <w:tcPr>
            <w:tcW w:w="939" w:type="pct"/>
            <w:noWrap/>
            <w:vAlign w:val="center"/>
          </w:tcPr>
          <w:p w14:paraId="3C37D402">
            <w:pPr>
              <w:pStyle w:val="26"/>
              <w:bidi w:val="0"/>
              <w:jc w:val="center"/>
              <w:rPr>
                <w:rFonts w:hint="eastAsia"/>
                <w:lang w:val="en-US" w:eastAsia="zh-CN"/>
              </w:rPr>
            </w:pPr>
            <w:r>
              <w:t>凯德都会晶彩</w:t>
            </w:r>
          </w:p>
        </w:tc>
        <w:tc>
          <w:tcPr>
            <w:tcW w:w="609" w:type="pct"/>
            <w:vAlign w:val="center"/>
          </w:tcPr>
          <w:p w14:paraId="2C188FBF">
            <w:pPr>
              <w:pStyle w:val="26"/>
              <w:bidi w:val="0"/>
              <w:jc w:val="center"/>
              <w:rPr>
                <w:lang w:val="en-US" w:eastAsia="zh-CN"/>
              </w:rPr>
            </w:pPr>
            <w:r>
              <w:t>居民区</w:t>
            </w:r>
          </w:p>
        </w:tc>
        <w:tc>
          <w:tcPr>
            <w:tcW w:w="728" w:type="pct"/>
            <w:noWrap/>
            <w:vAlign w:val="center"/>
          </w:tcPr>
          <w:p w14:paraId="1C045C9C">
            <w:pPr>
              <w:pStyle w:val="26"/>
              <w:bidi w:val="0"/>
              <w:jc w:val="center"/>
              <w:rPr>
                <w:rFonts w:hint="eastAsia"/>
                <w:lang w:val="en-US" w:eastAsia="zh-CN"/>
              </w:rPr>
            </w:pPr>
            <w:r>
              <w:t>3387</w:t>
            </w:r>
          </w:p>
        </w:tc>
        <w:tc>
          <w:tcPr>
            <w:tcW w:w="709" w:type="pct"/>
            <w:vMerge w:val="continue"/>
            <w:vAlign w:val="center"/>
          </w:tcPr>
          <w:p w14:paraId="4496DD33">
            <w:pPr>
              <w:pStyle w:val="26"/>
              <w:bidi w:val="0"/>
              <w:jc w:val="center"/>
              <w:rPr>
                <w:color w:val="auto"/>
                <w:highlight w:val="none"/>
                <w:lang w:val="en-US" w:eastAsia="zh-CN"/>
              </w:rPr>
            </w:pPr>
          </w:p>
        </w:tc>
        <w:tc>
          <w:tcPr>
            <w:tcW w:w="826" w:type="pct"/>
            <w:shd w:val="clear" w:color="auto" w:fill="auto"/>
            <w:noWrap/>
            <w:vAlign w:val="center"/>
          </w:tcPr>
          <w:p w14:paraId="366E11F2">
            <w:pPr>
              <w:pStyle w:val="26"/>
              <w:bidi w:val="0"/>
              <w:jc w:val="center"/>
              <w:rPr>
                <w:rFonts w:hint="eastAsia"/>
                <w:lang w:val="en-US" w:eastAsia="zh-CN"/>
              </w:rPr>
            </w:pPr>
            <w:r>
              <w:t>东南</w:t>
            </w:r>
          </w:p>
        </w:tc>
        <w:tc>
          <w:tcPr>
            <w:tcW w:w="826" w:type="pct"/>
            <w:shd w:val="clear" w:color="auto" w:fill="auto"/>
            <w:noWrap/>
            <w:vAlign w:val="center"/>
          </w:tcPr>
          <w:p w14:paraId="3AA796DF">
            <w:pPr>
              <w:pStyle w:val="26"/>
              <w:bidi w:val="0"/>
              <w:jc w:val="center"/>
              <w:rPr>
                <w:rFonts w:hint="eastAsia"/>
                <w:lang w:val="en-US" w:eastAsia="zh-CN"/>
              </w:rPr>
            </w:pPr>
            <w:r>
              <w:t>5100</w:t>
            </w:r>
          </w:p>
        </w:tc>
      </w:tr>
      <w:tr w14:paraId="0CA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EFBD823">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38</w:t>
            </w:r>
          </w:p>
        </w:tc>
        <w:tc>
          <w:tcPr>
            <w:tcW w:w="939" w:type="pct"/>
            <w:noWrap/>
            <w:vAlign w:val="center"/>
          </w:tcPr>
          <w:p w14:paraId="1255504D">
            <w:pPr>
              <w:pStyle w:val="26"/>
              <w:bidi w:val="0"/>
              <w:jc w:val="center"/>
              <w:rPr>
                <w:rFonts w:hint="eastAsia"/>
                <w:lang w:val="en-US" w:eastAsia="zh-CN"/>
              </w:rPr>
            </w:pPr>
            <w:r>
              <w:t>鑫宇嘉苑</w:t>
            </w:r>
          </w:p>
        </w:tc>
        <w:tc>
          <w:tcPr>
            <w:tcW w:w="609" w:type="pct"/>
            <w:vAlign w:val="center"/>
          </w:tcPr>
          <w:p w14:paraId="4CFF7EE6">
            <w:pPr>
              <w:pStyle w:val="26"/>
              <w:bidi w:val="0"/>
              <w:jc w:val="center"/>
              <w:rPr>
                <w:lang w:val="en-US" w:eastAsia="zh-CN"/>
              </w:rPr>
            </w:pPr>
            <w:r>
              <w:t>居民区</w:t>
            </w:r>
          </w:p>
        </w:tc>
        <w:tc>
          <w:tcPr>
            <w:tcW w:w="728" w:type="pct"/>
            <w:noWrap/>
            <w:vAlign w:val="center"/>
          </w:tcPr>
          <w:p w14:paraId="443E9179">
            <w:pPr>
              <w:pStyle w:val="26"/>
              <w:bidi w:val="0"/>
              <w:jc w:val="center"/>
              <w:rPr>
                <w:rFonts w:hint="eastAsia"/>
                <w:lang w:val="en-US" w:eastAsia="zh-CN"/>
              </w:rPr>
            </w:pPr>
            <w:r>
              <w:t>2658</w:t>
            </w:r>
          </w:p>
        </w:tc>
        <w:tc>
          <w:tcPr>
            <w:tcW w:w="709" w:type="pct"/>
            <w:vMerge w:val="continue"/>
            <w:vAlign w:val="center"/>
          </w:tcPr>
          <w:p w14:paraId="69F7D736">
            <w:pPr>
              <w:pStyle w:val="26"/>
              <w:bidi w:val="0"/>
              <w:jc w:val="center"/>
              <w:rPr>
                <w:color w:val="auto"/>
                <w:highlight w:val="none"/>
                <w:lang w:val="en-US" w:eastAsia="zh-CN"/>
              </w:rPr>
            </w:pPr>
          </w:p>
        </w:tc>
        <w:tc>
          <w:tcPr>
            <w:tcW w:w="826" w:type="pct"/>
            <w:shd w:val="clear" w:color="auto" w:fill="auto"/>
            <w:noWrap/>
            <w:vAlign w:val="center"/>
          </w:tcPr>
          <w:p w14:paraId="78BB79AB">
            <w:pPr>
              <w:pStyle w:val="26"/>
              <w:bidi w:val="0"/>
              <w:jc w:val="center"/>
              <w:rPr>
                <w:rFonts w:hint="eastAsia"/>
                <w:lang w:val="en-US" w:eastAsia="zh-CN"/>
              </w:rPr>
            </w:pPr>
            <w:r>
              <w:t>东南</w:t>
            </w:r>
          </w:p>
        </w:tc>
        <w:tc>
          <w:tcPr>
            <w:tcW w:w="826" w:type="pct"/>
            <w:shd w:val="clear" w:color="auto" w:fill="auto"/>
            <w:noWrap/>
            <w:vAlign w:val="center"/>
          </w:tcPr>
          <w:p w14:paraId="60DE7D5B">
            <w:pPr>
              <w:pStyle w:val="26"/>
              <w:bidi w:val="0"/>
              <w:jc w:val="center"/>
              <w:rPr>
                <w:rFonts w:hint="eastAsia"/>
                <w:lang w:val="en-US" w:eastAsia="zh-CN"/>
              </w:rPr>
            </w:pPr>
            <w:r>
              <w:t>4635</w:t>
            </w:r>
          </w:p>
        </w:tc>
      </w:tr>
      <w:tr w14:paraId="58AE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613442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39</w:t>
            </w:r>
          </w:p>
        </w:tc>
        <w:tc>
          <w:tcPr>
            <w:tcW w:w="939" w:type="pct"/>
            <w:noWrap/>
            <w:vAlign w:val="center"/>
          </w:tcPr>
          <w:p w14:paraId="7183BD35">
            <w:pPr>
              <w:pStyle w:val="26"/>
              <w:bidi w:val="0"/>
              <w:jc w:val="center"/>
              <w:rPr>
                <w:rFonts w:hint="eastAsia"/>
                <w:lang w:val="en-US" w:eastAsia="zh-CN"/>
              </w:rPr>
            </w:pPr>
            <w:r>
              <w:t>金都安亭家园</w:t>
            </w:r>
          </w:p>
        </w:tc>
        <w:tc>
          <w:tcPr>
            <w:tcW w:w="609" w:type="pct"/>
            <w:vAlign w:val="center"/>
          </w:tcPr>
          <w:p w14:paraId="23A704B4">
            <w:pPr>
              <w:pStyle w:val="26"/>
              <w:bidi w:val="0"/>
              <w:jc w:val="center"/>
              <w:rPr>
                <w:lang w:val="en-US" w:eastAsia="zh-CN"/>
              </w:rPr>
            </w:pPr>
            <w:r>
              <w:t>居民区</w:t>
            </w:r>
          </w:p>
        </w:tc>
        <w:tc>
          <w:tcPr>
            <w:tcW w:w="728" w:type="pct"/>
            <w:noWrap/>
            <w:vAlign w:val="center"/>
          </w:tcPr>
          <w:p w14:paraId="6D33AF0A">
            <w:pPr>
              <w:pStyle w:val="26"/>
              <w:bidi w:val="0"/>
              <w:jc w:val="center"/>
              <w:rPr>
                <w:rFonts w:hint="eastAsia"/>
                <w:lang w:val="en-US" w:eastAsia="zh-CN"/>
              </w:rPr>
            </w:pPr>
            <w:r>
              <w:t>2757</w:t>
            </w:r>
          </w:p>
        </w:tc>
        <w:tc>
          <w:tcPr>
            <w:tcW w:w="709" w:type="pct"/>
            <w:vMerge w:val="continue"/>
            <w:vAlign w:val="center"/>
          </w:tcPr>
          <w:p w14:paraId="6CEC58FF">
            <w:pPr>
              <w:pStyle w:val="26"/>
              <w:bidi w:val="0"/>
              <w:jc w:val="center"/>
              <w:rPr>
                <w:color w:val="auto"/>
                <w:highlight w:val="none"/>
                <w:lang w:val="en-US" w:eastAsia="zh-CN"/>
              </w:rPr>
            </w:pPr>
          </w:p>
        </w:tc>
        <w:tc>
          <w:tcPr>
            <w:tcW w:w="826" w:type="pct"/>
            <w:shd w:val="clear" w:color="auto" w:fill="auto"/>
            <w:noWrap/>
            <w:vAlign w:val="center"/>
          </w:tcPr>
          <w:p w14:paraId="1B5DA8F9">
            <w:pPr>
              <w:pStyle w:val="26"/>
              <w:bidi w:val="0"/>
              <w:jc w:val="center"/>
              <w:rPr>
                <w:rFonts w:hint="eastAsia"/>
                <w:lang w:val="en-US" w:eastAsia="zh-CN"/>
              </w:rPr>
            </w:pPr>
            <w:r>
              <w:t>东南</w:t>
            </w:r>
          </w:p>
        </w:tc>
        <w:tc>
          <w:tcPr>
            <w:tcW w:w="826" w:type="pct"/>
            <w:shd w:val="clear" w:color="auto" w:fill="auto"/>
            <w:noWrap/>
            <w:vAlign w:val="center"/>
          </w:tcPr>
          <w:p w14:paraId="66984C6C">
            <w:pPr>
              <w:pStyle w:val="26"/>
              <w:bidi w:val="0"/>
              <w:jc w:val="center"/>
              <w:rPr>
                <w:rFonts w:hint="eastAsia"/>
                <w:lang w:val="en-US" w:eastAsia="zh-CN"/>
              </w:rPr>
            </w:pPr>
            <w:r>
              <w:t>3820</w:t>
            </w:r>
          </w:p>
        </w:tc>
      </w:tr>
      <w:tr w14:paraId="5E7B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BB5F23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40</w:t>
            </w:r>
          </w:p>
        </w:tc>
        <w:tc>
          <w:tcPr>
            <w:tcW w:w="939" w:type="pct"/>
            <w:noWrap/>
            <w:vAlign w:val="center"/>
          </w:tcPr>
          <w:p w14:paraId="3397CB14">
            <w:pPr>
              <w:pStyle w:val="26"/>
              <w:bidi w:val="0"/>
              <w:jc w:val="center"/>
              <w:rPr>
                <w:rFonts w:hint="eastAsia"/>
                <w:lang w:val="en-US" w:eastAsia="zh-CN"/>
              </w:rPr>
            </w:pPr>
            <w:r>
              <w:t>曹安花园</w:t>
            </w:r>
          </w:p>
        </w:tc>
        <w:tc>
          <w:tcPr>
            <w:tcW w:w="609" w:type="pct"/>
            <w:vAlign w:val="center"/>
          </w:tcPr>
          <w:p w14:paraId="52937DF1">
            <w:pPr>
              <w:pStyle w:val="26"/>
              <w:bidi w:val="0"/>
              <w:jc w:val="center"/>
              <w:rPr>
                <w:lang w:val="en-US" w:eastAsia="zh-CN"/>
              </w:rPr>
            </w:pPr>
            <w:r>
              <w:t>居民区</w:t>
            </w:r>
          </w:p>
        </w:tc>
        <w:tc>
          <w:tcPr>
            <w:tcW w:w="728" w:type="pct"/>
            <w:noWrap/>
            <w:vAlign w:val="center"/>
          </w:tcPr>
          <w:p w14:paraId="15761CE2">
            <w:pPr>
              <w:pStyle w:val="26"/>
              <w:bidi w:val="0"/>
              <w:jc w:val="center"/>
              <w:rPr>
                <w:rFonts w:hint="eastAsia"/>
                <w:lang w:val="en-US" w:eastAsia="zh-CN"/>
              </w:rPr>
            </w:pPr>
            <w:r>
              <w:t>2757</w:t>
            </w:r>
          </w:p>
        </w:tc>
        <w:tc>
          <w:tcPr>
            <w:tcW w:w="709" w:type="pct"/>
            <w:vMerge w:val="continue"/>
            <w:vAlign w:val="center"/>
          </w:tcPr>
          <w:p w14:paraId="2D323945">
            <w:pPr>
              <w:pStyle w:val="26"/>
              <w:bidi w:val="0"/>
              <w:jc w:val="center"/>
              <w:rPr>
                <w:color w:val="auto"/>
                <w:highlight w:val="none"/>
                <w:lang w:val="en-US" w:eastAsia="zh-CN"/>
              </w:rPr>
            </w:pPr>
          </w:p>
        </w:tc>
        <w:tc>
          <w:tcPr>
            <w:tcW w:w="826" w:type="pct"/>
            <w:shd w:val="clear" w:color="auto" w:fill="auto"/>
            <w:noWrap/>
            <w:vAlign w:val="center"/>
          </w:tcPr>
          <w:p w14:paraId="71AC8237">
            <w:pPr>
              <w:pStyle w:val="26"/>
              <w:bidi w:val="0"/>
              <w:jc w:val="center"/>
              <w:rPr>
                <w:rFonts w:hint="eastAsia"/>
                <w:lang w:val="en-US" w:eastAsia="zh-CN"/>
              </w:rPr>
            </w:pPr>
            <w:r>
              <w:t>东南</w:t>
            </w:r>
          </w:p>
        </w:tc>
        <w:tc>
          <w:tcPr>
            <w:tcW w:w="826" w:type="pct"/>
            <w:shd w:val="clear" w:color="auto" w:fill="auto"/>
            <w:noWrap/>
            <w:vAlign w:val="center"/>
          </w:tcPr>
          <w:p w14:paraId="0F26B470">
            <w:pPr>
              <w:pStyle w:val="26"/>
              <w:bidi w:val="0"/>
              <w:jc w:val="center"/>
              <w:rPr>
                <w:rFonts w:hint="eastAsia"/>
                <w:lang w:val="en-US" w:eastAsia="zh-CN"/>
              </w:rPr>
            </w:pPr>
            <w:r>
              <w:t>3655</w:t>
            </w:r>
          </w:p>
        </w:tc>
      </w:tr>
      <w:tr w14:paraId="096F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916C78A">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41</w:t>
            </w:r>
          </w:p>
        </w:tc>
        <w:tc>
          <w:tcPr>
            <w:tcW w:w="939" w:type="pct"/>
            <w:noWrap/>
            <w:vAlign w:val="center"/>
          </w:tcPr>
          <w:p w14:paraId="738BAFA2">
            <w:pPr>
              <w:pStyle w:val="26"/>
              <w:bidi w:val="0"/>
              <w:jc w:val="center"/>
              <w:rPr>
                <w:rFonts w:hint="eastAsia"/>
                <w:lang w:val="en-US" w:eastAsia="zh-CN"/>
              </w:rPr>
            </w:pPr>
            <w:r>
              <w:t>中置花苑</w:t>
            </w:r>
          </w:p>
        </w:tc>
        <w:tc>
          <w:tcPr>
            <w:tcW w:w="609" w:type="pct"/>
            <w:vAlign w:val="center"/>
          </w:tcPr>
          <w:p w14:paraId="008E257E">
            <w:pPr>
              <w:pStyle w:val="26"/>
              <w:bidi w:val="0"/>
              <w:jc w:val="center"/>
              <w:rPr>
                <w:lang w:val="en-US" w:eastAsia="zh-CN"/>
              </w:rPr>
            </w:pPr>
            <w:r>
              <w:t>居民区</w:t>
            </w:r>
          </w:p>
        </w:tc>
        <w:tc>
          <w:tcPr>
            <w:tcW w:w="728" w:type="pct"/>
            <w:noWrap/>
            <w:vAlign w:val="center"/>
          </w:tcPr>
          <w:p w14:paraId="3D4BFD5F">
            <w:pPr>
              <w:pStyle w:val="26"/>
              <w:bidi w:val="0"/>
              <w:jc w:val="center"/>
              <w:rPr>
                <w:rFonts w:hint="eastAsia"/>
                <w:lang w:val="en-US" w:eastAsia="zh-CN"/>
              </w:rPr>
            </w:pPr>
            <w:r>
              <w:t>795</w:t>
            </w:r>
          </w:p>
        </w:tc>
        <w:tc>
          <w:tcPr>
            <w:tcW w:w="709" w:type="pct"/>
            <w:vMerge w:val="continue"/>
            <w:vAlign w:val="center"/>
          </w:tcPr>
          <w:p w14:paraId="77AC9C93">
            <w:pPr>
              <w:pStyle w:val="26"/>
              <w:bidi w:val="0"/>
              <w:jc w:val="center"/>
              <w:rPr>
                <w:color w:val="auto"/>
                <w:highlight w:val="none"/>
                <w:lang w:val="en-US" w:eastAsia="zh-CN"/>
              </w:rPr>
            </w:pPr>
          </w:p>
        </w:tc>
        <w:tc>
          <w:tcPr>
            <w:tcW w:w="826" w:type="pct"/>
            <w:shd w:val="clear" w:color="auto" w:fill="auto"/>
            <w:noWrap/>
            <w:vAlign w:val="center"/>
          </w:tcPr>
          <w:p w14:paraId="46D6C0D4">
            <w:pPr>
              <w:pStyle w:val="26"/>
              <w:bidi w:val="0"/>
              <w:jc w:val="center"/>
              <w:rPr>
                <w:rFonts w:hint="eastAsia"/>
                <w:lang w:val="en-US" w:eastAsia="zh-CN"/>
              </w:rPr>
            </w:pPr>
            <w:r>
              <w:t>东南</w:t>
            </w:r>
          </w:p>
        </w:tc>
        <w:tc>
          <w:tcPr>
            <w:tcW w:w="826" w:type="pct"/>
            <w:shd w:val="clear" w:color="auto" w:fill="auto"/>
            <w:noWrap/>
            <w:vAlign w:val="center"/>
          </w:tcPr>
          <w:p w14:paraId="556A189F">
            <w:pPr>
              <w:pStyle w:val="26"/>
              <w:bidi w:val="0"/>
              <w:jc w:val="center"/>
              <w:rPr>
                <w:rFonts w:hint="eastAsia"/>
                <w:lang w:val="en-US" w:eastAsia="zh-CN"/>
              </w:rPr>
            </w:pPr>
            <w:r>
              <w:t>3605</w:t>
            </w:r>
          </w:p>
        </w:tc>
      </w:tr>
      <w:tr w14:paraId="4958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5E7BB9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42</w:t>
            </w:r>
          </w:p>
        </w:tc>
        <w:tc>
          <w:tcPr>
            <w:tcW w:w="939" w:type="pct"/>
            <w:noWrap/>
            <w:vAlign w:val="center"/>
          </w:tcPr>
          <w:p w14:paraId="2B3373C0">
            <w:pPr>
              <w:pStyle w:val="26"/>
              <w:bidi w:val="0"/>
              <w:jc w:val="center"/>
              <w:rPr>
                <w:rFonts w:hint="eastAsia"/>
                <w:lang w:val="en-US" w:eastAsia="zh-CN"/>
              </w:rPr>
            </w:pPr>
            <w:r>
              <w:t>中宇花苑</w:t>
            </w:r>
          </w:p>
        </w:tc>
        <w:tc>
          <w:tcPr>
            <w:tcW w:w="609" w:type="pct"/>
            <w:vAlign w:val="center"/>
          </w:tcPr>
          <w:p w14:paraId="3120797A">
            <w:pPr>
              <w:pStyle w:val="26"/>
              <w:bidi w:val="0"/>
              <w:jc w:val="center"/>
              <w:rPr>
                <w:lang w:val="en-US" w:eastAsia="zh-CN"/>
              </w:rPr>
            </w:pPr>
            <w:r>
              <w:t>居民区</w:t>
            </w:r>
          </w:p>
        </w:tc>
        <w:tc>
          <w:tcPr>
            <w:tcW w:w="728" w:type="pct"/>
            <w:noWrap/>
            <w:vAlign w:val="center"/>
          </w:tcPr>
          <w:p w14:paraId="0037ECAB">
            <w:pPr>
              <w:pStyle w:val="26"/>
              <w:bidi w:val="0"/>
              <w:jc w:val="center"/>
              <w:rPr>
                <w:rFonts w:hint="eastAsia"/>
                <w:lang w:val="en-US" w:eastAsia="zh-CN"/>
              </w:rPr>
            </w:pPr>
            <w:r>
              <w:t>1626</w:t>
            </w:r>
          </w:p>
        </w:tc>
        <w:tc>
          <w:tcPr>
            <w:tcW w:w="709" w:type="pct"/>
            <w:vMerge w:val="continue"/>
            <w:vAlign w:val="center"/>
          </w:tcPr>
          <w:p w14:paraId="56A235E9">
            <w:pPr>
              <w:pStyle w:val="26"/>
              <w:bidi w:val="0"/>
              <w:jc w:val="center"/>
              <w:rPr>
                <w:color w:val="auto"/>
                <w:highlight w:val="none"/>
                <w:lang w:val="en-US" w:eastAsia="zh-CN"/>
              </w:rPr>
            </w:pPr>
          </w:p>
        </w:tc>
        <w:tc>
          <w:tcPr>
            <w:tcW w:w="826" w:type="pct"/>
            <w:shd w:val="clear" w:color="auto" w:fill="auto"/>
            <w:noWrap/>
            <w:vAlign w:val="center"/>
          </w:tcPr>
          <w:p w14:paraId="4170E941">
            <w:pPr>
              <w:pStyle w:val="26"/>
              <w:bidi w:val="0"/>
              <w:jc w:val="center"/>
              <w:rPr>
                <w:rFonts w:hint="eastAsia"/>
                <w:lang w:val="en-US" w:eastAsia="zh-CN"/>
              </w:rPr>
            </w:pPr>
            <w:r>
              <w:t>东南</w:t>
            </w:r>
          </w:p>
        </w:tc>
        <w:tc>
          <w:tcPr>
            <w:tcW w:w="826" w:type="pct"/>
            <w:shd w:val="clear" w:color="auto" w:fill="auto"/>
            <w:noWrap/>
            <w:vAlign w:val="center"/>
          </w:tcPr>
          <w:p w14:paraId="5A7460F4">
            <w:pPr>
              <w:pStyle w:val="26"/>
              <w:bidi w:val="0"/>
              <w:jc w:val="center"/>
              <w:rPr>
                <w:rFonts w:hint="eastAsia"/>
                <w:lang w:val="en-US" w:eastAsia="zh-CN"/>
              </w:rPr>
            </w:pPr>
            <w:r>
              <w:t>3550</w:t>
            </w:r>
          </w:p>
        </w:tc>
      </w:tr>
      <w:tr w14:paraId="540A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B96DF6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43</w:t>
            </w:r>
          </w:p>
        </w:tc>
        <w:tc>
          <w:tcPr>
            <w:tcW w:w="939" w:type="pct"/>
            <w:noWrap/>
            <w:vAlign w:val="center"/>
          </w:tcPr>
          <w:p w14:paraId="23B1DC03">
            <w:pPr>
              <w:pStyle w:val="26"/>
              <w:bidi w:val="0"/>
              <w:jc w:val="center"/>
              <w:rPr>
                <w:rFonts w:hint="eastAsia"/>
                <w:lang w:val="en-US" w:eastAsia="zh-CN"/>
              </w:rPr>
            </w:pPr>
            <w:r>
              <w:t>庞家浜新村小区</w:t>
            </w:r>
          </w:p>
        </w:tc>
        <w:tc>
          <w:tcPr>
            <w:tcW w:w="609" w:type="pct"/>
            <w:vAlign w:val="center"/>
          </w:tcPr>
          <w:p w14:paraId="38887A1D">
            <w:pPr>
              <w:pStyle w:val="26"/>
              <w:bidi w:val="0"/>
              <w:jc w:val="center"/>
              <w:rPr>
                <w:lang w:val="en-US" w:eastAsia="zh-CN"/>
              </w:rPr>
            </w:pPr>
            <w:r>
              <w:t>居民区</w:t>
            </w:r>
          </w:p>
        </w:tc>
        <w:tc>
          <w:tcPr>
            <w:tcW w:w="728" w:type="pct"/>
            <w:noWrap/>
            <w:vAlign w:val="center"/>
          </w:tcPr>
          <w:p w14:paraId="7355D776">
            <w:pPr>
              <w:pStyle w:val="26"/>
              <w:bidi w:val="0"/>
              <w:jc w:val="center"/>
              <w:rPr>
                <w:rFonts w:hint="eastAsia"/>
                <w:lang w:val="en-US" w:eastAsia="zh-CN"/>
              </w:rPr>
            </w:pPr>
            <w:r>
              <w:t>2211</w:t>
            </w:r>
          </w:p>
        </w:tc>
        <w:tc>
          <w:tcPr>
            <w:tcW w:w="709" w:type="pct"/>
            <w:vMerge w:val="continue"/>
            <w:vAlign w:val="center"/>
          </w:tcPr>
          <w:p w14:paraId="273515BA">
            <w:pPr>
              <w:pStyle w:val="26"/>
              <w:bidi w:val="0"/>
              <w:jc w:val="center"/>
              <w:rPr>
                <w:color w:val="auto"/>
                <w:highlight w:val="none"/>
                <w:lang w:val="en-US" w:eastAsia="zh-CN"/>
              </w:rPr>
            </w:pPr>
          </w:p>
        </w:tc>
        <w:tc>
          <w:tcPr>
            <w:tcW w:w="826" w:type="pct"/>
            <w:shd w:val="clear" w:color="auto" w:fill="auto"/>
            <w:noWrap/>
            <w:vAlign w:val="center"/>
          </w:tcPr>
          <w:p w14:paraId="57A34A9C">
            <w:pPr>
              <w:pStyle w:val="26"/>
              <w:bidi w:val="0"/>
              <w:jc w:val="center"/>
              <w:rPr>
                <w:rFonts w:hint="eastAsia"/>
                <w:lang w:val="en-US" w:eastAsia="zh-CN"/>
              </w:rPr>
            </w:pPr>
            <w:r>
              <w:t>东南</w:t>
            </w:r>
          </w:p>
        </w:tc>
        <w:tc>
          <w:tcPr>
            <w:tcW w:w="826" w:type="pct"/>
            <w:shd w:val="clear" w:color="auto" w:fill="auto"/>
            <w:noWrap/>
            <w:vAlign w:val="center"/>
          </w:tcPr>
          <w:p w14:paraId="23C9DF01">
            <w:pPr>
              <w:pStyle w:val="26"/>
              <w:bidi w:val="0"/>
              <w:jc w:val="center"/>
              <w:rPr>
                <w:rFonts w:hint="eastAsia"/>
                <w:lang w:val="en-US" w:eastAsia="zh-CN"/>
              </w:rPr>
            </w:pPr>
            <w:r>
              <w:t>3330</w:t>
            </w:r>
          </w:p>
        </w:tc>
      </w:tr>
      <w:tr w14:paraId="3DA1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F7D076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44</w:t>
            </w:r>
          </w:p>
        </w:tc>
        <w:tc>
          <w:tcPr>
            <w:tcW w:w="939" w:type="pct"/>
            <w:noWrap/>
            <w:vAlign w:val="center"/>
          </w:tcPr>
          <w:p w14:paraId="305C641C">
            <w:pPr>
              <w:pStyle w:val="26"/>
              <w:bidi w:val="0"/>
              <w:jc w:val="center"/>
              <w:rPr>
                <w:rFonts w:hint="eastAsia"/>
                <w:lang w:val="en-US" w:eastAsia="zh-CN"/>
              </w:rPr>
            </w:pPr>
            <w:r>
              <w:t>曹新花园别墅北区</w:t>
            </w:r>
          </w:p>
        </w:tc>
        <w:tc>
          <w:tcPr>
            <w:tcW w:w="609" w:type="pct"/>
            <w:vAlign w:val="center"/>
          </w:tcPr>
          <w:p w14:paraId="0D47EB3A">
            <w:pPr>
              <w:pStyle w:val="26"/>
              <w:bidi w:val="0"/>
              <w:jc w:val="center"/>
              <w:rPr>
                <w:lang w:val="en-US" w:eastAsia="zh-CN"/>
              </w:rPr>
            </w:pPr>
            <w:r>
              <w:t>居民区</w:t>
            </w:r>
          </w:p>
        </w:tc>
        <w:tc>
          <w:tcPr>
            <w:tcW w:w="728" w:type="pct"/>
            <w:noWrap/>
            <w:vAlign w:val="center"/>
          </w:tcPr>
          <w:p w14:paraId="58C379AE">
            <w:pPr>
              <w:pStyle w:val="26"/>
              <w:bidi w:val="0"/>
              <w:jc w:val="center"/>
              <w:rPr>
                <w:rFonts w:hint="eastAsia"/>
                <w:lang w:val="en-US" w:eastAsia="zh-CN"/>
              </w:rPr>
            </w:pPr>
            <w:r>
              <w:t>320</w:t>
            </w:r>
          </w:p>
        </w:tc>
        <w:tc>
          <w:tcPr>
            <w:tcW w:w="709" w:type="pct"/>
            <w:vMerge w:val="continue"/>
            <w:vAlign w:val="center"/>
          </w:tcPr>
          <w:p w14:paraId="02519A23">
            <w:pPr>
              <w:pStyle w:val="26"/>
              <w:bidi w:val="0"/>
              <w:jc w:val="center"/>
              <w:rPr>
                <w:color w:val="auto"/>
                <w:highlight w:val="none"/>
                <w:lang w:val="en-US" w:eastAsia="zh-CN"/>
              </w:rPr>
            </w:pPr>
          </w:p>
        </w:tc>
        <w:tc>
          <w:tcPr>
            <w:tcW w:w="826" w:type="pct"/>
            <w:shd w:val="clear" w:color="auto" w:fill="auto"/>
            <w:noWrap/>
            <w:vAlign w:val="center"/>
          </w:tcPr>
          <w:p w14:paraId="3884719D">
            <w:pPr>
              <w:pStyle w:val="26"/>
              <w:bidi w:val="0"/>
              <w:jc w:val="center"/>
              <w:rPr>
                <w:rFonts w:hint="eastAsia"/>
                <w:lang w:val="en-US" w:eastAsia="zh-CN"/>
              </w:rPr>
            </w:pPr>
            <w:r>
              <w:t>东南</w:t>
            </w:r>
          </w:p>
        </w:tc>
        <w:tc>
          <w:tcPr>
            <w:tcW w:w="826" w:type="pct"/>
            <w:shd w:val="clear" w:color="auto" w:fill="auto"/>
            <w:noWrap/>
            <w:vAlign w:val="center"/>
          </w:tcPr>
          <w:p w14:paraId="03F86C3A">
            <w:pPr>
              <w:pStyle w:val="26"/>
              <w:bidi w:val="0"/>
              <w:jc w:val="center"/>
              <w:rPr>
                <w:rFonts w:hint="eastAsia"/>
                <w:lang w:val="en-US" w:eastAsia="zh-CN"/>
              </w:rPr>
            </w:pPr>
            <w:r>
              <w:t>3190</w:t>
            </w:r>
          </w:p>
        </w:tc>
      </w:tr>
      <w:tr w14:paraId="0D76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76FECC4">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45</w:t>
            </w:r>
          </w:p>
        </w:tc>
        <w:tc>
          <w:tcPr>
            <w:tcW w:w="939" w:type="pct"/>
            <w:noWrap/>
            <w:vAlign w:val="center"/>
          </w:tcPr>
          <w:p w14:paraId="249B42A4">
            <w:pPr>
              <w:pStyle w:val="26"/>
              <w:bidi w:val="0"/>
              <w:jc w:val="center"/>
              <w:rPr>
                <w:rFonts w:hint="eastAsia"/>
                <w:lang w:val="en-US" w:eastAsia="zh-CN"/>
              </w:rPr>
            </w:pPr>
            <w:r>
              <w:t>曹新花园别墅南区</w:t>
            </w:r>
          </w:p>
        </w:tc>
        <w:tc>
          <w:tcPr>
            <w:tcW w:w="609" w:type="pct"/>
            <w:vAlign w:val="center"/>
          </w:tcPr>
          <w:p w14:paraId="4AE8A210">
            <w:pPr>
              <w:pStyle w:val="26"/>
              <w:bidi w:val="0"/>
              <w:jc w:val="center"/>
              <w:rPr>
                <w:lang w:val="en-US" w:eastAsia="zh-CN"/>
              </w:rPr>
            </w:pPr>
            <w:r>
              <w:t>居民区</w:t>
            </w:r>
          </w:p>
        </w:tc>
        <w:tc>
          <w:tcPr>
            <w:tcW w:w="728" w:type="pct"/>
            <w:noWrap/>
            <w:vAlign w:val="center"/>
          </w:tcPr>
          <w:p w14:paraId="29A93CBE">
            <w:pPr>
              <w:pStyle w:val="26"/>
              <w:bidi w:val="0"/>
              <w:jc w:val="center"/>
              <w:rPr>
                <w:rFonts w:hint="eastAsia"/>
                <w:lang w:val="en-US" w:eastAsia="zh-CN"/>
              </w:rPr>
            </w:pPr>
            <w:r>
              <w:t>289</w:t>
            </w:r>
          </w:p>
        </w:tc>
        <w:tc>
          <w:tcPr>
            <w:tcW w:w="709" w:type="pct"/>
            <w:vMerge w:val="continue"/>
            <w:vAlign w:val="center"/>
          </w:tcPr>
          <w:p w14:paraId="6B841024">
            <w:pPr>
              <w:pStyle w:val="26"/>
              <w:bidi w:val="0"/>
              <w:jc w:val="center"/>
              <w:rPr>
                <w:color w:val="auto"/>
                <w:highlight w:val="none"/>
                <w:lang w:val="en-US" w:eastAsia="zh-CN"/>
              </w:rPr>
            </w:pPr>
          </w:p>
        </w:tc>
        <w:tc>
          <w:tcPr>
            <w:tcW w:w="826" w:type="pct"/>
            <w:shd w:val="clear" w:color="auto" w:fill="auto"/>
            <w:noWrap/>
            <w:vAlign w:val="center"/>
          </w:tcPr>
          <w:p w14:paraId="73D4205C">
            <w:pPr>
              <w:pStyle w:val="26"/>
              <w:bidi w:val="0"/>
              <w:jc w:val="center"/>
              <w:rPr>
                <w:rFonts w:hint="eastAsia"/>
                <w:lang w:val="en-US" w:eastAsia="zh-CN"/>
              </w:rPr>
            </w:pPr>
            <w:r>
              <w:t>东南</w:t>
            </w:r>
          </w:p>
        </w:tc>
        <w:tc>
          <w:tcPr>
            <w:tcW w:w="826" w:type="pct"/>
            <w:shd w:val="clear" w:color="auto" w:fill="auto"/>
            <w:noWrap/>
            <w:vAlign w:val="center"/>
          </w:tcPr>
          <w:p w14:paraId="6C669A47">
            <w:pPr>
              <w:pStyle w:val="26"/>
              <w:bidi w:val="0"/>
              <w:jc w:val="center"/>
              <w:rPr>
                <w:rFonts w:hint="eastAsia"/>
                <w:lang w:val="en-US" w:eastAsia="zh-CN"/>
              </w:rPr>
            </w:pPr>
            <w:r>
              <w:t>3240</w:t>
            </w:r>
          </w:p>
        </w:tc>
      </w:tr>
      <w:tr w14:paraId="292F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B51ED0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46</w:t>
            </w:r>
          </w:p>
        </w:tc>
        <w:tc>
          <w:tcPr>
            <w:tcW w:w="939" w:type="pct"/>
            <w:noWrap/>
            <w:vAlign w:val="center"/>
          </w:tcPr>
          <w:p w14:paraId="1C224D4F">
            <w:pPr>
              <w:pStyle w:val="26"/>
              <w:bidi w:val="0"/>
              <w:jc w:val="center"/>
              <w:rPr>
                <w:rFonts w:hint="eastAsia"/>
                <w:lang w:val="en-US" w:eastAsia="zh-CN"/>
              </w:rPr>
            </w:pPr>
            <w:r>
              <w:t>曹新花园</w:t>
            </w:r>
          </w:p>
        </w:tc>
        <w:tc>
          <w:tcPr>
            <w:tcW w:w="609" w:type="pct"/>
            <w:vAlign w:val="center"/>
          </w:tcPr>
          <w:p w14:paraId="082B65EB">
            <w:pPr>
              <w:pStyle w:val="26"/>
              <w:bidi w:val="0"/>
              <w:jc w:val="center"/>
              <w:rPr>
                <w:lang w:val="en-US" w:eastAsia="zh-CN"/>
              </w:rPr>
            </w:pPr>
            <w:r>
              <w:t>居民区</w:t>
            </w:r>
          </w:p>
        </w:tc>
        <w:tc>
          <w:tcPr>
            <w:tcW w:w="728" w:type="pct"/>
            <w:noWrap/>
            <w:vAlign w:val="center"/>
          </w:tcPr>
          <w:p w14:paraId="5AB8DEEA">
            <w:pPr>
              <w:pStyle w:val="26"/>
              <w:bidi w:val="0"/>
              <w:jc w:val="center"/>
              <w:rPr>
                <w:rFonts w:hint="eastAsia"/>
                <w:lang w:val="en-US" w:eastAsia="zh-CN"/>
              </w:rPr>
            </w:pPr>
            <w:r>
              <w:t>1250</w:t>
            </w:r>
          </w:p>
        </w:tc>
        <w:tc>
          <w:tcPr>
            <w:tcW w:w="709" w:type="pct"/>
            <w:vMerge w:val="continue"/>
            <w:vAlign w:val="center"/>
          </w:tcPr>
          <w:p w14:paraId="0B371081">
            <w:pPr>
              <w:pStyle w:val="26"/>
              <w:bidi w:val="0"/>
              <w:jc w:val="center"/>
              <w:rPr>
                <w:color w:val="auto"/>
                <w:highlight w:val="none"/>
                <w:lang w:val="en-US" w:eastAsia="zh-CN"/>
              </w:rPr>
            </w:pPr>
          </w:p>
        </w:tc>
        <w:tc>
          <w:tcPr>
            <w:tcW w:w="826" w:type="pct"/>
            <w:shd w:val="clear" w:color="auto" w:fill="auto"/>
            <w:noWrap/>
            <w:vAlign w:val="center"/>
          </w:tcPr>
          <w:p w14:paraId="2F2C3336">
            <w:pPr>
              <w:pStyle w:val="26"/>
              <w:bidi w:val="0"/>
              <w:jc w:val="center"/>
              <w:rPr>
                <w:rFonts w:hint="eastAsia"/>
                <w:lang w:val="en-US" w:eastAsia="zh-CN"/>
              </w:rPr>
            </w:pPr>
            <w:r>
              <w:t>东南</w:t>
            </w:r>
          </w:p>
        </w:tc>
        <w:tc>
          <w:tcPr>
            <w:tcW w:w="826" w:type="pct"/>
            <w:shd w:val="clear" w:color="auto" w:fill="auto"/>
            <w:noWrap/>
            <w:vAlign w:val="center"/>
          </w:tcPr>
          <w:p w14:paraId="742D98AE">
            <w:pPr>
              <w:pStyle w:val="26"/>
              <w:bidi w:val="0"/>
              <w:jc w:val="center"/>
              <w:rPr>
                <w:rFonts w:hint="eastAsia"/>
                <w:lang w:val="en-US" w:eastAsia="zh-CN"/>
              </w:rPr>
            </w:pPr>
            <w:r>
              <w:t>3610</w:t>
            </w:r>
          </w:p>
        </w:tc>
      </w:tr>
      <w:tr w14:paraId="7AC5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7D8638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47</w:t>
            </w:r>
          </w:p>
        </w:tc>
        <w:tc>
          <w:tcPr>
            <w:tcW w:w="939" w:type="pct"/>
            <w:noWrap/>
            <w:vAlign w:val="center"/>
          </w:tcPr>
          <w:p w14:paraId="347EDA71">
            <w:pPr>
              <w:pStyle w:val="26"/>
              <w:bidi w:val="0"/>
              <w:jc w:val="center"/>
              <w:rPr>
                <w:rFonts w:hint="eastAsia"/>
                <w:lang w:val="en-US" w:eastAsia="zh-CN"/>
              </w:rPr>
            </w:pPr>
            <w:r>
              <w:t>博泰景苑</w:t>
            </w:r>
          </w:p>
        </w:tc>
        <w:tc>
          <w:tcPr>
            <w:tcW w:w="609" w:type="pct"/>
            <w:vAlign w:val="center"/>
          </w:tcPr>
          <w:p w14:paraId="0DA4C7EB">
            <w:pPr>
              <w:pStyle w:val="26"/>
              <w:bidi w:val="0"/>
              <w:jc w:val="center"/>
              <w:rPr>
                <w:lang w:val="en-US" w:eastAsia="zh-CN"/>
              </w:rPr>
            </w:pPr>
            <w:r>
              <w:t>居民区</w:t>
            </w:r>
          </w:p>
        </w:tc>
        <w:tc>
          <w:tcPr>
            <w:tcW w:w="728" w:type="pct"/>
            <w:noWrap/>
            <w:vAlign w:val="center"/>
          </w:tcPr>
          <w:p w14:paraId="78085A63">
            <w:pPr>
              <w:pStyle w:val="26"/>
              <w:bidi w:val="0"/>
              <w:jc w:val="center"/>
              <w:rPr>
                <w:rFonts w:hint="eastAsia"/>
                <w:lang w:val="en-US" w:eastAsia="zh-CN"/>
              </w:rPr>
            </w:pPr>
            <w:r>
              <w:t>1455</w:t>
            </w:r>
          </w:p>
        </w:tc>
        <w:tc>
          <w:tcPr>
            <w:tcW w:w="709" w:type="pct"/>
            <w:vMerge w:val="continue"/>
            <w:vAlign w:val="center"/>
          </w:tcPr>
          <w:p w14:paraId="6AA9860E">
            <w:pPr>
              <w:pStyle w:val="26"/>
              <w:bidi w:val="0"/>
              <w:jc w:val="center"/>
              <w:rPr>
                <w:color w:val="auto"/>
                <w:highlight w:val="none"/>
                <w:lang w:val="en-US" w:eastAsia="zh-CN"/>
              </w:rPr>
            </w:pPr>
          </w:p>
        </w:tc>
        <w:tc>
          <w:tcPr>
            <w:tcW w:w="826" w:type="pct"/>
            <w:shd w:val="clear" w:color="auto" w:fill="auto"/>
            <w:noWrap/>
            <w:vAlign w:val="center"/>
          </w:tcPr>
          <w:p w14:paraId="5BFAA3C6">
            <w:pPr>
              <w:pStyle w:val="26"/>
              <w:bidi w:val="0"/>
              <w:jc w:val="center"/>
              <w:rPr>
                <w:rFonts w:hint="eastAsia"/>
                <w:lang w:val="en-US" w:eastAsia="zh-CN"/>
              </w:rPr>
            </w:pPr>
            <w:r>
              <w:t>东南</w:t>
            </w:r>
          </w:p>
        </w:tc>
        <w:tc>
          <w:tcPr>
            <w:tcW w:w="826" w:type="pct"/>
            <w:shd w:val="clear" w:color="auto" w:fill="auto"/>
            <w:noWrap/>
            <w:vAlign w:val="center"/>
          </w:tcPr>
          <w:p w14:paraId="69379574">
            <w:pPr>
              <w:pStyle w:val="26"/>
              <w:bidi w:val="0"/>
              <w:jc w:val="center"/>
              <w:rPr>
                <w:rFonts w:hint="eastAsia"/>
                <w:lang w:val="en-US" w:eastAsia="zh-CN"/>
              </w:rPr>
            </w:pPr>
            <w:r>
              <w:t>3910</w:t>
            </w:r>
          </w:p>
        </w:tc>
      </w:tr>
      <w:tr w14:paraId="4358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CD60AE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48</w:t>
            </w:r>
          </w:p>
        </w:tc>
        <w:tc>
          <w:tcPr>
            <w:tcW w:w="939" w:type="pct"/>
            <w:noWrap/>
            <w:vAlign w:val="center"/>
          </w:tcPr>
          <w:p w14:paraId="3DB631C9">
            <w:pPr>
              <w:pStyle w:val="26"/>
              <w:bidi w:val="0"/>
              <w:jc w:val="center"/>
              <w:rPr>
                <w:rFonts w:hint="eastAsia"/>
                <w:lang w:val="en-US" w:eastAsia="zh-CN"/>
              </w:rPr>
            </w:pPr>
            <w:r>
              <w:t>安亭雅苑</w:t>
            </w:r>
          </w:p>
        </w:tc>
        <w:tc>
          <w:tcPr>
            <w:tcW w:w="609" w:type="pct"/>
            <w:vAlign w:val="center"/>
          </w:tcPr>
          <w:p w14:paraId="7ECE9CAE">
            <w:pPr>
              <w:pStyle w:val="26"/>
              <w:bidi w:val="0"/>
              <w:jc w:val="center"/>
              <w:rPr>
                <w:lang w:val="en-US" w:eastAsia="zh-CN"/>
              </w:rPr>
            </w:pPr>
            <w:r>
              <w:t>居民区</w:t>
            </w:r>
          </w:p>
        </w:tc>
        <w:tc>
          <w:tcPr>
            <w:tcW w:w="728" w:type="pct"/>
            <w:noWrap/>
            <w:vAlign w:val="center"/>
          </w:tcPr>
          <w:p w14:paraId="429A17C1">
            <w:pPr>
              <w:pStyle w:val="26"/>
              <w:bidi w:val="0"/>
              <w:jc w:val="center"/>
              <w:rPr>
                <w:rFonts w:hint="eastAsia"/>
                <w:lang w:val="en-US" w:eastAsia="zh-CN"/>
              </w:rPr>
            </w:pPr>
            <w:r>
              <w:t>336</w:t>
            </w:r>
          </w:p>
        </w:tc>
        <w:tc>
          <w:tcPr>
            <w:tcW w:w="709" w:type="pct"/>
            <w:vMerge w:val="continue"/>
            <w:vAlign w:val="center"/>
          </w:tcPr>
          <w:p w14:paraId="6CB63319">
            <w:pPr>
              <w:pStyle w:val="26"/>
              <w:bidi w:val="0"/>
              <w:jc w:val="center"/>
              <w:rPr>
                <w:color w:val="auto"/>
                <w:highlight w:val="none"/>
                <w:lang w:val="en-US" w:eastAsia="zh-CN"/>
              </w:rPr>
            </w:pPr>
          </w:p>
        </w:tc>
        <w:tc>
          <w:tcPr>
            <w:tcW w:w="826" w:type="pct"/>
            <w:shd w:val="clear" w:color="auto" w:fill="auto"/>
            <w:noWrap/>
            <w:vAlign w:val="center"/>
          </w:tcPr>
          <w:p w14:paraId="75FF1A3D">
            <w:pPr>
              <w:pStyle w:val="26"/>
              <w:bidi w:val="0"/>
              <w:jc w:val="center"/>
              <w:rPr>
                <w:rFonts w:hint="eastAsia"/>
                <w:lang w:val="en-US" w:eastAsia="zh-CN"/>
              </w:rPr>
            </w:pPr>
            <w:r>
              <w:t>东南</w:t>
            </w:r>
          </w:p>
        </w:tc>
        <w:tc>
          <w:tcPr>
            <w:tcW w:w="826" w:type="pct"/>
            <w:shd w:val="clear" w:color="auto" w:fill="auto"/>
            <w:noWrap/>
            <w:vAlign w:val="center"/>
          </w:tcPr>
          <w:p w14:paraId="76A1F24E">
            <w:pPr>
              <w:pStyle w:val="26"/>
              <w:bidi w:val="0"/>
              <w:jc w:val="center"/>
              <w:rPr>
                <w:rFonts w:hint="eastAsia"/>
                <w:lang w:val="en-US" w:eastAsia="zh-CN"/>
              </w:rPr>
            </w:pPr>
            <w:r>
              <w:t>4310</w:t>
            </w:r>
          </w:p>
        </w:tc>
      </w:tr>
      <w:tr w14:paraId="73BE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FD8724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49</w:t>
            </w:r>
          </w:p>
        </w:tc>
        <w:tc>
          <w:tcPr>
            <w:tcW w:w="939" w:type="pct"/>
            <w:noWrap/>
            <w:vAlign w:val="center"/>
          </w:tcPr>
          <w:p w14:paraId="7EA2E345">
            <w:pPr>
              <w:pStyle w:val="26"/>
              <w:bidi w:val="0"/>
              <w:jc w:val="center"/>
              <w:rPr>
                <w:rFonts w:hint="eastAsia"/>
                <w:lang w:val="en-US" w:eastAsia="zh-CN"/>
              </w:rPr>
            </w:pPr>
            <w:r>
              <w:t>协通公寓</w:t>
            </w:r>
          </w:p>
        </w:tc>
        <w:tc>
          <w:tcPr>
            <w:tcW w:w="609" w:type="pct"/>
            <w:vAlign w:val="center"/>
          </w:tcPr>
          <w:p w14:paraId="3CDDFFB4">
            <w:pPr>
              <w:pStyle w:val="26"/>
              <w:bidi w:val="0"/>
              <w:jc w:val="center"/>
              <w:rPr>
                <w:lang w:val="en-US" w:eastAsia="zh-CN"/>
              </w:rPr>
            </w:pPr>
            <w:r>
              <w:t>居民区</w:t>
            </w:r>
          </w:p>
        </w:tc>
        <w:tc>
          <w:tcPr>
            <w:tcW w:w="728" w:type="pct"/>
            <w:noWrap/>
            <w:vAlign w:val="center"/>
          </w:tcPr>
          <w:p w14:paraId="46986889">
            <w:pPr>
              <w:pStyle w:val="26"/>
              <w:bidi w:val="0"/>
              <w:jc w:val="center"/>
              <w:rPr>
                <w:rFonts w:hint="eastAsia"/>
                <w:lang w:val="en-US" w:eastAsia="zh-CN"/>
              </w:rPr>
            </w:pPr>
            <w:r>
              <w:t>1218</w:t>
            </w:r>
          </w:p>
        </w:tc>
        <w:tc>
          <w:tcPr>
            <w:tcW w:w="709" w:type="pct"/>
            <w:vMerge w:val="continue"/>
            <w:vAlign w:val="center"/>
          </w:tcPr>
          <w:p w14:paraId="5F8D809F">
            <w:pPr>
              <w:pStyle w:val="26"/>
              <w:bidi w:val="0"/>
              <w:jc w:val="center"/>
              <w:rPr>
                <w:color w:val="auto"/>
                <w:highlight w:val="none"/>
                <w:lang w:val="en-US" w:eastAsia="zh-CN"/>
              </w:rPr>
            </w:pPr>
          </w:p>
        </w:tc>
        <w:tc>
          <w:tcPr>
            <w:tcW w:w="826" w:type="pct"/>
            <w:shd w:val="clear" w:color="auto" w:fill="auto"/>
            <w:noWrap/>
            <w:vAlign w:val="center"/>
          </w:tcPr>
          <w:p w14:paraId="76AE6EEC">
            <w:pPr>
              <w:pStyle w:val="26"/>
              <w:bidi w:val="0"/>
              <w:jc w:val="center"/>
              <w:rPr>
                <w:rFonts w:hint="eastAsia"/>
                <w:lang w:val="en-US" w:eastAsia="zh-CN"/>
              </w:rPr>
            </w:pPr>
            <w:r>
              <w:t>东南</w:t>
            </w:r>
          </w:p>
        </w:tc>
        <w:tc>
          <w:tcPr>
            <w:tcW w:w="826" w:type="pct"/>
            <w:shd w:val="clear" w:color="auto" w:fill="auto"/>
            <w:noWrap/>
            <w:vAlign w:val="center"/>
          </w:tcPr>
          <w:p w14:paraId="6BCC1AA7">
            <w:pPr>
              <w:pStyle w:val="26"/>
              <w:bidi w:val="0"/>
              <w:jc w:val="center"/>
              <w:rPr>
                <w:rFonts w:hint="eastAsia"/>
                <w:lang w:val="en-US" w:eastAsia="zh-CN"/>
              </w:rPr>
            </w:pPr>
            <w:r>
              <w:t>4103</w:t>
            </w:r>
          </w:p>
        </w:tc>
      </w:tr>
      <w:tr w14:paraId="7251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F6D606B">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50</w:t>
            </w:r>
          </w:p>
        </w:tc>
        <w:tc>
          <w:tcPr>
            <w:tcW w:w="939" w:type="pct"/>
            <w:noWrap/>
            <w:vAlign w:val="center"/>
          </w:tcPr>
          <w:p w14:paraId="5C8B7475">
            <w:pPr>
              <w:pStyle w:val="26"/>
              <w:bidi w:val="0"/>
              <w:jc w:val="center"/>
              <w:rPr>
                <w:rFonts w:hint="eastAsia"/>
                <w:lang w:val="en-US" w:eastAsia="zh-CN"/>
              </w:rPr>
            </w:pPr>
            <w:r>
              <w:t>绿地卡米小城</w:t>
            </w:r>
          </w:p>
        </w:tc>
        <w:tc>
          <w:tcPr>
            <w:tcW w:w="609" w:type="pct"/>
            <w:vAlign w:val="center"/>
          </w:tcPr>
          <w:p w14:paraId="5E7C0125">
            <w:pPr>
              <w:pStyle w:val="26"/>
              <w:bidi w:val="0"/>
              <w:jc w:val="center"/>
              <w:rPr>
                <w:lang w:val="en-US" w:eastAsia="zh-CN"/>
              </w:rPr>
            </w:pPr>
            <w:r>
              <w:t>居民区</w:t>
            </w:r>
          </w:p>
        </w:tc>
        <w:tc>
          <w:tcPr>
            <w:tcW w:w="728" w:type="pct"/>
            <w:noWrap/>
            <w:vAlign w:val="center"/>
          </w:tcPr>
          <w:p w14:paraId="051E2DA2">
            <w:pPr>
              <w:pStyle w:val="26"/>
              <w:bidi w:val="0"/>
              <w:jc w:val="center"/>
              <w:rPr>
                <w:rFonts w:hint="eastAsia"/>
                <w:lang w:val="en-US" w:eastAsia="zh-CN"/>
              </w:rPr>
            </w:pPr>
            <w:r>
              <w:t>3300</w:t>
            </w:r>
          </w:p>
        </w:tc>
        <w:tc>
          <w:tcPr>
            <w:tcW w:w="709" w:type="pct"/>
            <w:vMerge w:val="continue"/>
            <w:vAlign w:val="center"/>
          </w:tcPr>
          <w:p w14:paraId="3E73DA12">
            <w:pPr>
              <w:pStyle w:val="26"/>
              <w:bidi w:val="0"/>
              <w:jc w:val="center"/>
              <w:rPr>
                <w:color w:val="auto"/>
                <w:highlight w:val="none"/>
                <w:lang w:val="en-US" w:eastAsia="zh-CN"/>
              </w:rPr>
            </w:pPr>
          </w:p>
        </w:tc>
        <w:tc>
          <w:tcPr>
            <w:tcW w:w="826" w:type="pct"/>
            <w:shd w:val="clear" w:color="auto" w:fill="auto"/>
            <w:noWrap/>
            <w:vAlign w:val="center"/>
          </w:tcPr>
          <w:p w14:paraId="34262508">
            <w:pPr>
              <w:pStyle w:val="26"/>
              <w:bidi w:val="0"/>
              <w:jc w:val="center"/>
              <w:rPr>
                <w:rFonts w:hint="eastAsia"/>
                <w:lang w:val="en-US" w:eastAsia="zh-CN"/>
              </w:rPr>
            </w:pPr>
            <w:r>
              <w:t>东南</w:t>
            </w:r>
          </w:p>
        </w:tc>
        <w:tc>
          <w:tcPr>
            <w:tcW w:w="826" w:type="pct"/>
            <w:shd w:val="clear" w:color="auto" w:fill="auto"/>
            <w:noWrap/>
            <w:vAlign w:val="center"/>
          </w:tcPr>
          <w:p w14:paraId="18151DD9">
            <w:pPr>
              <w:pStyle w:val="26"/>
              <w:bidi w:val="0"/>
              <w:jc w:val="center"/>
              <w:rPr>
                <w:rFonts w:hint="eastAsia"/>
                <w:lang w:val="en-US" w:eastAsia="zh-CN"/>
              </w:rPr>
            </w:pPr>
            <w:r>
              <w:t>2879</w:t>
            </w:r>
          </w:p>
        </w:tc>
      </w:tr>
      <w:tr w14:paraId="7F0E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386546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51</w:t>
            </w:r>
          </w:p>
        </w:tc>
        <w:tc>
          <w:tcPr>
            <w:tcW w:w="939" w:type="pct"/>
            <w:noWrap/>
            <w:vAlign w:val="center"/>
          </w:tcPr>
          <w:p w14:paraId="261E972F">
            <w:pPr>
              <w:pStyle w:val="26"/>
              <w:bidi w:val="0"/>
              <w:jc w:val="center"/>
              <w:rPr>
                <w:rFonts w:hint="eastAsia"/>
                <w:lang w:val="en-US" w:eastAsia="zh-CN"/>
              </w:rPr>
            </w:pPr>
            <w:r>
              <w:t>四季花园</w:t>
            </w:r>
          </w:p>
        </w:tc>
        <w:tc>
          <w:tcPr>
            <w:tcW w:w="609" w:type="pct"/>
            <w:vAlign w:val="center"/>
          </w:tcPr>
          <w:p w14:paraId="4B25741F">
            <w:pPr>
              <w:pStyle w:val="26"/>
              <w:bidi w:val="0"/>
              <w:jc w:val="center"/>
              <w:rPr>
                <w:lang w:val="en-US" w:eastAsia="zh-CN"/>
              </w:rPr>
            </w:pPr>
            <w:r>
              <w:t>居民区</w:t>
            </w:r>
          </w:p>
        </w:tc>
        <w:tc>
          <w:tcPr>
            <w:tcW w:w="728" w:type="pct"/>
            <w:noWrap/>
            <w:vAlign w:val="center"/>
          </w:tcPr>
          <w:p w14:paraId="66D7AE05">
            <w:pPr>
              <w:pStyle w:val="26"/>
              <w:bidi w:val="0"/>
              <w:jc w:val="center"/>
              <w:rPr>
                <w:rFonts w:hint="eastAsia"/>
                <w:lang w:val="en-US" w:eastAsia="zh-CN"/>
              </w:rPr>
            </w:pPr>
            <w:r>
              <w:t>2400</w:t>
            </w:r>
          </w:p>
        </w:tc>
        <w:tc>
          <w:tcPr>
            <w:tcW w:w="709" w:type="pct"/>
            <w:vMerge w:val="continue"/>
            <w:vAlign w:val="center"/>
          </w:tcPr>
          <w:p w14:paraId="7CCBBC65">
            <w:pPr>
              <w:pStyle w:val="26"/>
              <w:bidi w:val="0"/>
              <w:jc w:val="center"/>
              <w:rPr>
                <w:color w:val="auto"/>
                <w:highlight w:val="none"/>
                <w:lang w:val="en-US" w:eastAsia="zh-CN"/>
              </w:rPr>
            </w:pPr>
          </w:p>
        </w:tc>
        <w:tc>
          <w:tcPr>
            <w:tcW w:w="826" w:type="pct"/>
            <w:shd w:val="clear" w:color="auto" w:fill="auto"/>
            <w:noWrap/>
            <w:vAlign w:val="center"/>
          </w:tcPr>
          <w:p w14:paraId="2655B877">
            <w:pPr>
              <w:pStyle w:val="26"/>
              <w:bidi w:val="0"/>
              <w:jc w:val="center"/>
              <w:rPr>
                <w:rFonts w:hint="eastAsia"/>
                <w:lang w:val="en-US" w:eastAsia="zh-CN"/>
              </w:rPr>
            </w:pPr>
            <w:r>
              <w:t>东南</w:t>
            </w:r>
          </w:p>
        </w:tc>
        <w:tc>
          <w:tcPr>
            <w:tcW w:w="826" w:type="pct"/>
            <w:shd w:val="clear" w:color="auto" w:fill="auto"/>
            <w:noWrap/>
            <w:vAlign w:val="center"/>
          </w:tcPr>
          <w:p w14:paraId="1DC8BE1C">
            <w:pPr>
              <w:pStyle w:val="26"/>
              <w:bidi w:val="0"/>
              <w:jc w:val="center"/>
              <w:rPr>
                <w:rFonts w:hint="eastAsia"/>
                <w:lang w:val="en-US" w:eastAsia="zh-CN"/>
              </w:rPr>
            </w:pPr>
            <w:r>
              <w:t>2835</w:t>
            </w:r>
          </w:p>
        </w:tc>
      </w:tr>
      <w:tr w14:paraId="69ED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99BEA9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52</w:t>
            </w:r>
          </w:p>
        </w:tc>
        <w:tc>
          <w:tcPr>
            <w:tcW w:w="939" w:type="pct"/>
            <w:noWrap/>
            <w:vAlign w:val="center"/>
          </w:tcPr>
          <w:p w14:paraId="3F48F86B">
            <w:pPr>
              <w:pStyle w:val="26"/>
              <w:bidi w:val="0"/>
              <w:jc w:val="center"/>
              <w:rPr>
                <w:rFonts w:hint="eastAsia"/>
                <w:lang w:val="en-US" w:eastAsia="zh-CN"/>
              </w:rPr>
            </w:pPr>
            <w:r>
              <w:t>绿地世纪雅苑</w:t>
            </w:r>
          </w:p>
        </w:tc>
        <w:tc>
          <w:tcPr>
            <w:tcW w:w="609" w:type="pct"/>
            <w:vAlign w:val="center"/>
          </w:tcPr>
          <w:p w14:paraId="666C5E21">
            <w:pPr>
              <w:pStyle w:val="26"/>
              <w:bidi w:val="0"/>
              <w:jc w:val="center"/>
              <w:rPr>
                <w:lang w:val="en-US" w:eastAsia="zh-CN"/>
              </w:rPr>
            </w:pPr>
            <w:r>
              <w:t>居民区</w:t>
            </w:r>
          </w:p>
        </w:tc>
        <w:tc>
          <w:tcPr>
            <w:tcW w:w="728" w:type="pct"/>
            <w:noWrap/>
            <w:vAlign w:val="center"/>
          </w:tcPr>
          <w:p w14:paraId="260EB934">
            <w:pPr>
              <w:pStyle w:val="26"/>
              <w:bidi w:val="0"/>
              <w:jc w:val="center"/>
              <w:rPr>
                <w:rFonts w:hint="eastAsia"/>
                <w:lang w:val="en-US" w:eastAsia="zh-CN"/>
              </w:rPr>
            </w:pPr>
            <w:r>
              <w:t>6792</w:t>
            </w:r>
          </w:p>
        </w:tc>
        <w:tc>
          <w:tcPr>
            <w:tcW w:w="709" w:type="pct"/>
            <w:vMerge w:val="continue"/>
            <w:vAlign w:val="center"/>
          </w:tcPr>
          <w:p w14:paraId="65149E81">
            <w:pPr>
              <w:pStyle w:val="26"/>
              <w:bidi w:val="0"/>
              <w:jc w:val="center"/>
              <w:rPr>
                <w:color w:val="auto"/>
                <w:highlight w:val="none"/>
                <w:lang w:val="en-US" w:eastAsia="zh-CN"/>
              </w:rPr>
            </w:pPr>
          </w:p>
        </w:tc>
        <w:tc>
          <w:tcPr>
            <w:tcW w:w="826" w:type="pct"/>
            <w:shd w:val="clear" w:color="auto" w:fill="auto"/>
            <w:noWrap/>
            <w:vAlign w:val="center"/>
          </w:tcPr>
          <w:p w14:paraId="12479E6E">
            <w:pPr>
              <w:pStyle w:val="26"/>
              <w:bidi w:val="0"/>
              <w:jc w:val="center"/>
              <w:rPr>
                <w:rFonts w:hint="eastAsia"/>
                <w:lang w:val="en-US" w:eastAsia="zh-CN"/>
              </w:rPr>
            </w:pPr>
            <w:r>
              <w:t>东南</w:t>
            </w:r>
          </w:p>
        </w:tc>
        <w:tc>
          <w:tcPr>
            <w:tcW w:w="826" w:type="pct"/>
            <w:shd w:val="clear" w:color="auto" w:fill="auto"/>
            <w:noWrap/>
            <w:vAlign w:val="center"/>
          </w:tcPr>
          <w:p w14:paraId="2AC79EA9">
            <w:pPr>
              <w:pStyle w:val="26"/>
              <w:bidi w:val="0"/>
              <w:jc w:val="center"/>
              <w:rPr>
                <w:rFonts w:hint="eastAsia"/>
                <w:lang w:val="en-US" w:eastAsia="zh-CN"/>
              </w:rPr>
            </w:pPr>
            <w:r>
              <w:t>2885</w:t>
            </w:r>
          </w:p>
        </w:tc>
      </w:tr>
      <w:tr w14:paraId="18A5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205598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53</w:t>
            </w:r>
          </w:p>
        </w:tc>
        <w:tc>
          <w:tcPr>
            <w:tcW w:w="939" w:type="pct"/>
            <w:noWrap/>
            <w:vAlign w:val="center"/>
          </w:tcPr>
          <w:p w14:paraId="55767178">
            <w:pPr>
              <w:pStyle w:val="26"/>
              <w:bidi w:val="0"/>
              <w:jc w:val="center"/>
              <w:rPr>
                <w:rFonts w:hint="eastAsia"/>
                <w:lang w:val="en-US" w:eastAsia="zh-CN"/>
              </w:rPr>
            </w:pPr>
            <w:r>
              <w:t>嘉景庭</w:t>
            </w:r>
          </w:p>
        </w:tc>
        <w:tc>
          <w:tcPr>
            <w:tcW w:w="609" w:type="pct"/>
            <w:vAlign w:val="center"/>
          </w:tcPr>
          <w:p w14:paraId="74BEF670">
            <w:pPr>
              <w:pStyle w:val="26"/>
              <w:bidi w:val="0"/>
              <w:jc w:val="center"/>
              <w:rPr>
                <w:lang w:val="en-US" w:eastAsia="zh-CN"/>
              </w:rPr>
            </w:pPr>
            <w:r>
              <w:t>居民区</w:t>
            </w:r>
          </w:p>
        </w:tc>
        <w:tc>
          <w:tcPr>
            <w:tcW w:w="728" w:type="pct"/>
            <w:noWrap/>
            <w:vAlign w:val="center"/>
          </w:tcPr>
          <w:p w14:paraId="581ED801">
            <w:pPr>
              <w:pStyle w:val="26"/>
              <w:bidi w:val="0"/>
              <w:jc w:val="center"/>
              <w:rPr>
                <w:rFonts w:hint="eastAsia"/>
                <w:lang w:val="en-US" w:eastAsia="zh-CN"/>
              </w:rPr>
            </w:pPr>
            <w:r>
              <w:t>1578</w:t>
            </w:r>
          </w:p>
        </w:tc>
        <w:tc>
          <w:tcPr>
            <w:tcW w:w="709" w:type="pct"/>
            <w:vMerge w:val="continue"/>
            <w:vAlign w:val="center"/>
          </w:tcPr>
          <w:p w14:paraId="5EE90772">
            <w:pPr>
              <w:pStyle w:val="26"/>
              <w:bidi w:val="0"/>
              <w:jc w:val="center"/>
              <w:rPr>
                <w:color w:val="auto"/>
                <w:highlight w:val="none"/>
                <w:lang w:val="en-US" w:eastAsia="zh-CN"/>
              </w:rPr>
            </w:pPr>
          </w:p>
        </w:tc>
        <w:tc>
          <w:tcPr>
            <w:tcW w:w="826" w:type="pct"/>
            <w:shd w:val="clear" w:color="auto" w:fill="auto"/>
            <w:noWrap/>
            <w:vAlign w:val="center"/>
          </w:tcPr>
          <w:p w14:paraId="2ED2BBBE">
            <w:pPr>
              <w:pStyle w:val="26"/>
              <w:bidi w:val="0"/>
              <w:jc w:val="center"/>
              <w:rPr>
                <w:rFonts w:hint="eastAsia"/>
                <w:lang w:val="en-US" w:eastAsia="zh-CN"/>
              </w:rPr>
            </w:pPr>
            <w:r>
              <w:t>东南</w:t>
            </w:r>
          </w:p>
        </w:tc>
        <w:tc>
          <w:tcPr>
            <w:tcW w:w="826" w:type="pct"/>
            <w:shd w:val="clear" w:color="auto" w:fill="auto"/>
            <w:noWrap/>
            <w:vAlign w:val="center"/>
          </w:tcPr>
          <w:p w14:paraId="65587988">
            <w:pPr>
              <w:pStyle w:val="26"/>
              <w:bidi w:val="0"/>
              <w:jc w:val="center"/>
              <w:rPr>
                <w:rFonts w:hint="eastAsia"/>
                <w:lang w:val="en-US" w:eastAsia="zh-CN"/>
              </w:rPr>
            </w:pPr>
            <w:r>
              <w:t>2604</w:t>
            </w:r>
          </w:p>
        </w:tc>
      </w:tr>
      <w:tr w14:paraId="61F7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0D446B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54</w:t>
            </w:r>
          </w:p>
        </w:tc>
        <w:tc>
          <w:tcPr>
            <w:tcW w:w="939" w:type="pct"/>
            <w:noWrap/>
            <w:vAlign w:val="center"/>
          </w:tcPr>
          <w:p w14:paraId="66D2EF77">
            <w:pPr>
              <w:pStyle w:val="26"/>
              <w:bidi w:val="0"/>
              <w:jc w:val="center"/>
              <w:rPr>
                <w:rFonts w:hint="eastAsia"/>
                <w:lang w:val="en-US" w:eastAsia="zh-CN"/>
              </w:rPr>
            </w:pPr>
            <w:r>
              <w:t>安亭向阳别墅</w:t>
            </w:r>
          </w:p>
        </w:tc>
        <w:tc>
          <w:tcPr>
            <w:tcW w:w="609" w:type="pct"/>
            <w:vAlign w:val="center"/>
          </w:tcPr>
          <w:p w14:paraId="31CB9245">
            <w:pPr>
              <w:pStyle w:val="26"/>
              <w:bidi w:val="0"/>
              <w:jc w:val="center"/>
              <w:rPr>
                <w:lang w:val="en-US" w:eastAsia="zh-CN"/>
              </w:rPr>
            </w:pPr>
            <w:r>
              <w:t>居民区</w:t>
            </w:r>
          </w:p>
        </w:tc>
        <w:tc>
          <w:tcPr>
            <w:tcW w:w="728" w:type="pct"/>
            <w:noWrap/>
            <w:vAlign w:val="center"/>
          </w:tcPr>
          <w:p w14:paraId="36BB3D90">
            <w:pPr>
              <w:pStyle w:val="26"/>
              <w:bidi w:val="0"/>
              <w:jc w:val="center"/>
              <w:rPr>
                <w:rFonts w:hint="eastAsia"/>
                <w:lang w:val="en-US" w:eastAsia="zh-CN"/>
              </w:rPr>
            </w:pPr>
            <w:r>
              <w:t>360</w:t>
            </w:r>
          </w:p>
        </w:tc>
        <w:tc>
          <w:tcPr>
            <w:tcW w:w="709" w:type="pct"/>
            <w:vMerge w:val="continue"/>
            <w:vAlign w:val="center"/>
          </w:tcPr>
          <w:p w14:paraId="7B27FE6C">
            <w:pPr>
              <w:pStyle w:val="26"/>
              <w:bidi w:val="0"/>
              <w:jc w:val="center"/>
              <w:rPr>
                <w:color w:val="auto"/>
                <w:highlight w:val="none"/>
                <w:lang w:val="en-US" w:eastAsia="zh-CN"/>
              </w:rPr>
            </w:pPr>
          </w:p>
        </w:tc>
        <w:tc>
          <w:tcPr>
            <w:tcW w:w="826" w:type="pct"/>
            <w:shd w:val="clear" w:color="auto" w:fill="auto"/>
            <w:noWrap/>
            <w:vAlign w:val="center"/>
          </w:tcPr>
          <w:p w14:paraId="3225A37F">
            <w:pPr>
              <w:pStyle w:val="26"/>
              <w:bidi w:val="0"/>
              <w:jc w:val="center"/>
              <w:rPr>
                <w:rFonts w:hint="eastAsia"/>
                <w:lang w:val="en-US" w:eastAsia="zh-CN"/>
              </w:rPr>
            </w:pPr>
            <w:r>
              <w:t>东南</w:t>
            </w:r>
          </w:p>
        </w:tc>
        <w:tc>
          <w:tcPr>
            <w:tcW w:w="826" w:type="pct"/>
            <w:shd w:val="clear" w:color="auto" w:fill="auto"/>
            <w:noWrap/>
            <w:vAlign w:val="center"/>
          </w:tcPr>
          <w:p w14:paraId="5DC60847">
            <w:pPr>
              <w:pStyle w:val="26"/>
              <w:bidi w:val="0"/>
              <w:jc w:val="center"/>
              <w:rPr>
                <w:rFonts w:hint="eastAsia"/>
                <w:lang w:val="en-US" w:eastAsia="zh-CN"/>
              </w:rPr>
            </w:pPr>
            <w:r>
              <w:t>1995</w:t>
            </w:r>
          </w:p>
        </w:tc>
      </w:tr>
      <w:tr w14:paraId="5219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19C1404">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55</w:t>
            </w:r>
          </w:p>
        </w:tc>
        <w:tc>
          <w:tcPr>
            <w:tcW w:w="939" w:type="pct"/>
            <w:noWrap/>
            <w:vAlign w:val="center"/>
          </w:tcPr>
          <w:p w14:paraId="7F5FB9E5">
            <w:pPr>
              <w:pStyle w:val="26"/>
              <w:bidi w:val="0"/>
              <w:jc w:val="center"/>
              <w:rPr>
                <w:rFonts w:hint="eastAsia"/>
                <w:lang w:val="en-US" w:eastAsia="zh-CN"/>
              </w:rPr>
            </w:pPr>
            <w:r>
              <w:t>向阳新居</w:t>
            </w:r>
          </w:p>
        </w:tc>
        <w:tc>
          <w:tcPr>
            <w:tcW w:w="609" w:type="pct"/>
            <w:vAlign w:val="center"/>
          </w:tcPr>
          <w:p w14:paraId="035A2256">
            <w:pPr>
              <w:pStyle w:val="26"/>
              <w:bidi w:val="0"/>
              <w:jc w:val="center"/>
              <w:rPr>
                <w:lang w:val="en-US" w:eastAsia="zh-CN"/>
              </w:rPr>
            </w:pPr>
            <w:r>
              <w:t>居民区</w:t>
            </w:r>
          </w:p>
        </w:tc>
        <w:tc>
          <w:tcPr>
            <w:tcW w:w="728" w:type="pct"/>
            <w:noWrap/>
            <w:vAlign w:val="center"/>
          </w:tcPr>
          <w:p w14:paraId="38902A2B">
            <w:pPr>
              <w:pStyle w:val="26"/>
              <w:bidi w:val="0"/>
              <w:jc w:val="center"/>
              <w:rPr>
                <w:rFonts w:hint="eastAsia"/>
                <w:lang w:val="en-US" w:eastAsia="zh-CN"/>
              </w:rPr>
            </w:pPr>
            <w:r>
              <w:t>726</w:t>
            </w:r>
          </w:p>
        </w:tc>
        <w:tc>
          <w:tcPr>
            <w:tcW w:w="709" w:type="pct"/>
            <w:vMerge w:val="continue"/>
            <w:vAlign w:val="center"/>
          </w:tcPr>
          <w:p w14:paraId="04E289FC">
            <w:pPr>
              <w:pStyle w:val="26"/>
              <w:bidi w:val="0"/>
              <w:jc w:val="center"/>
              <w:rPr>
                <w:color w:val="auto"/>
                <w:highlight w:val="none"/>
                <w:lang w:val="en-US" w:eastAsia="zh-CN"/>
              </w:rPr>
            </w:pPr>
          </w:p>
        </w:tc>
        <w:tc>
          <w:tcPr>
            <w:tcW w:w="826" w:type="pct"/>
            <w:shd w:val="clear" w:color="auto" w:fill="auto"/>
            <w:noWrap/>
            <w:vAlign w:val="center"/>
          </w:tcPr>
          <w:p w14:paraId="4C211AAF">
            <w:pPr>
              <w:pStyle w:val="26"/>
              <w:bidi w:val="0"/>
              <w:jc w:val="center"/>
              <w:rPr>
                <w:rFonts w:hint="eastAsia"/>
                <w:lang w:val="en-US" w:eastAsia="zh-CN"/>
              </w:rPr>
            </w:pPr>
            <w:r>
              <w:t>东南</w:t>
            </w:r>
          </w:p>
        </w:tc>
        <w:tc>
          <w:tcPr>
            <w:tcW w:w="826" w:type="pct"/>
            <w:shd w:val="clear" w:color="auto" w:fill="auto"/>
            <w:noWrap/>
            <w:vAlign w:val="center"/>
          </w:tcPr>
          <w:p w14:paraId="344BF237">
            <w:pPr>
              <w:pStyle w:val="26"/>
              <w:bidi w:val="0"/>
              <w:jc w:val="center"/>
              <w:rPr>
                <w:rFonts w:hint="eastAsia"/>
                <w:lang w:val="en-US" w:eastAsia="zh-CN"/>
              </w:rPr>
            </w:pPr>
            <w:r>
              <w:t>1920</w:t>
            </w:r>
          </w:p>
        </w:tc>
      </w:tr>
      <w:tr w14:paraId="2252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EE261D6">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56</w:t>
            </w:r>
          </w:p>
        </w:tc>
        <w:tc>
          <w:tcPr>
            <w:tcW w:w="939" w:type="pct"/>
            <w:noWrap/>
            <w:vAlign w:val="center"/>
          </w:tcPr>
          <w:p w14:paraId="7C1E352C">
            <w:pPr>
              <w:pStyle w:val="26"/>
              <w:bidi w:val="0"/>
              <w:jc w:val="center"/>
              <w:rPr>
                <w:rFonts w:hint="eastAsia"/>
                <w:lang w:val="en-US" w:eastAsia="zh-CN"/>
              </w:rPr>
            </w:pPr>
            <w:r>
              <w:t>阳光都城</w:t>
            </w:r>
          </w:p>
        </w:tc>
        <w:tc>
          <w:tcPr>
            <w:tcW w:w="609" w:type="pct"/>
            <w:vAlign w:val="center"/>
          </w:tcPr>
          <w:p w14:paraId="1B73A657">
            <w:pPr>
              <w:pStyle w:val="26"/>
              <w:bidi w:val="0"/>
              <w:jc w:val="center"/>
              <w:rPr>
                <w:lang w:val="en-US" w:eastAsia="zh-CN"/>
              </w:rPr>
            </w:pPr>
            <w:r>
              <w:t>居民区</w:t>
            </w:r>
          </w:p>
        </w:tc>
        <w:tc>
          <w:tcPr>
            <w:tcW w:w="728" w:type="pct"/>
            <w:noWrap/>
            <w:vAlign w:val="center"/>
          </w:tcPr>
          <w:p w14:paraId="2E535C86">
            <w:pPr>
              <w:pStyle w:val="26"/>
              <w:bidi w:val="0"/>
              <w:jc w:val="center"/>
              <w:rPr>
                <w:rFonts w:hint="eastAsia"/>
                <w:lang w:val="en-US" w:eastAsia="zh-CN"/>
              </w:rPr>
            </w:pPr>
            <w:r>
              <w:t>1863</w:t>
            </w:r>
          </w:p>
        </w:tc>
        <w:tc>
          <w:tcPr>
            <w:tcW w:w="709" w:type="pct"/>
            <w:vMerge w:val="continue"/>
            <w:vAlign w:val="center"/>
          </w:tcPr>
          <w:p w14:paraId="6845A685">
            <w:pPr>
              <w:pStyle w:val="26"/>
              <w:bidi w:val="0"/>
              <w:jc w:val="center"/>
              <w:rPr>
                <w:color w:val="auto"/>
                <w:highlight w:val="none"/>
                <w:lang w:val="en-US" w:eastAsia="zh-CN"/>
              </w:rPr>
            </w:pPr>
          </w:p>
        </w:tc>
        <w:tc>
          <w:tcPr>
            <w:tcW w:w="826" w:type="pct"/>
            <w:shd w:val="clear" w:color="auto" w:fill="auto"/>
            <w:noWrap/>
            <w:vAlign w:val="center"/>
          </w:tcPr>
          <w:p w14:paraId="30D1404C">
            <w:pPr>
              <w:pStyle w:val="26"/>
              <w:bidi w:val="0"/>
              <w:jc w:val="center"/>
              <w:rPr>
                <w:rFonts w:hint="eastAsia"/>
                <w:lang w:val="en-US" w:eastAsia="zh-CN"/>
              </w:rPr>
            </w:pPr>
            <w:r>
              <w:t>东南</w:t>
            </w:r>
          </w:p>
        </w:tc>
        <w:tc>
          <w:tcPr>
            <w:tcW w:w="826" w:type="pct"/>
            <w:shd w:val="clear" w:color="auto" w:fill="auto"/>
            <w:noWrap/>
            <w:vAlign w:val="center"/>
          </w:tcPr>
          <w:p w14:paraId="266AD047">
            <w:pPr>
              <w:pStyle w:val="26"/>
              <w:bidi w:val="0"/>
              <w:jc w:val="center"/>
              <w:rPr>
                <w:rFonts w:hint="eastAsia"/>
                <w:lang w:val="en-US" w:eastAsia="zh-CN"/>
              </w:rPr>
            </w:pPr>
            <w:r>
              <w:t>2263</w:t>
            </w:r>
          </w:p>
        </w:tc>
      </w:tr>
      <w:tr w14:paraId="2D8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3C21AF4">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57</w:t>
            </w:r>
          </w:p>
        </w:tc>
        <w:tc>
          <w:tcPr>
            <w:tcW w:w="939" w:type="pct"/>
            <w:noWrap/>
            <w:vAlign w:val="center"/>
          </w:tcPr>
          <w:p w14:paraId="3D9AD1CC">
            <w:pPr>
              <w:pStyle w:val="26"/>
              <w:bidi w:val="0"/>
              <w:jc w:val="center"/>
              <w:rPr>
                <w:rFonts w:hint="eastAsia"/>
                <w:lang w:val="en-US" w:eastAsia="zh-CN"/>
              </w:rPr>
            </w:pPr>
            <w:r>
              <w:t>雅菊苑</w:t>
            </w:r>
          </w:p>
        </w:tc>
        <w:tc>
          <w:tcPr>
            <w:tcW w:w="609" w:type="pct"/>
            <w:vAlign w:val="center"/>
          </w:tcPr>
          <w:p w14:paraId="286C3A40">
            <w:pPr>
              <w:pStyle w:val="26"/>
              <w:bidi w:val="0"/>
              <w:jc w:val="center"/>
              <w:rPr>
                <w:lang w:val="en-US" w:eastAsia="zh-CN"/>
              </w:rPr>
            </w:pPr>
            <w:r>
              <w:t>居民区</w:t>
            </w:r>
          </w:p>
        </w:tc>
        <w:tc>
          <w:tcPr>
            <w:tcW w:w="728" w:type="pct"/>
            <w:noWrap/>
            <w:vAlign w:val="center"/>
          </w:tcPr>
          <w:p w14:paraId="449D6EFA">
            <w:pPr>
              <w:pStyle w:val="26"/>
              <w:bidi w:val="0"/>
              <w:jc w:val="center"/>
              <w:rPr>
                <w:rFonts w:hint="eastAsia"/>
                <w:lang w:val="en-US" w:eastAsia="zh-CN"/>
              </w:rPr>
            </w:pPr>
            <w:r>
              <w:t>996</w:t>
            </w:r>
          </w:p>
        </w:tc>
        <w:tc>
          <w:tcPr>
            <w:tcW w:w="709" w:type="pct"/>
            <w:vMerge w:val="continue"/>
            <w:vAlign w:val="center"/>
          </w:tcPr>
          <w:p w14:paraId="3273F45D">
            <w:pPr>
              <w:pStyle w:val="26"/>
              <w:bidi w:val="0"/>
              <w:jc w:val="center"/>
              <w:rPr>
                <w:color w:val="auto"/>
                <w:highlight w:val="none"/>
                <w:lang w:val="en-US" w:eastAsia="zh-CN"/>
              </w:rPr>
            </w:pPr>
          </w:p>
        </w:tc>
        <w:tc>
          <w:tcPr>
            <w:tcW w:w="826" w:type="pct"/>
            <w:shd w:val="clear" w:color="auto" w:fill="auto"/>
            <w:noWrap/>
            <w:vAlign w:val="center"/>
          </w:tcPr>
          <w:p w14:paraId="484E909E">
            <w:pPr>
              <w:pStyle w:val="26"/>
              <w:bidi w:val="0"/>
              <w:jc w:val="center"/>
              <w:rPr>
                <w:rFonts w:hint="eastAsia"/>
                <w:lang w:val="en-US" w:eastAsia="zh-CN"/>
              </w:rPr>
            </w:pPr>
            <w:r>
              <w:t>东南</w:t>
            </w:r>
          </w:p>
        </w:tc>
        <w:tc>
          <w:tcPr>
            <w:tcW w:w="826" w:type="pct"/>
            <w:shd w:val="clear" w:color="auto" w:fill="auto"/>
            <w:noWrap/>
            <w:vAlign w:val="center"/>
          </w:tcPr>
          <w:p w14:paraId="48A1AF27">
            <w:pPr>
              <w:pStyle w:val="26"/>
              <w:bidi w:val="0"/>
              <w:jc w:val="center"/>
              <w:rPr>
                <w:rFonts w:hint="eastAsia"/>
                <w:lang w:val="en-US" w:eastAsia="zh-CN"/>
              </w:rPr>
            </w:pPr>
            <w:r>
              <w:t>2313</w:t>
            </w:r>
          </w:p>
        </w:tc>
      </w:tr>
      <w:tr w14:paraId="5BF6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7CFB976">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58</w:t>
            </w:r>
          </w:p>
        </w:tc>
        <w:tc>
          <w:tcPr>
            <w:tcW w:w="939" w:type="pct"/>
            <w:noWrap/>
            <w:vAlign w:val="center"/>
          </w:tcPr>
          <w:p w14:paraId="3853BFBE">
            <w:pPr>
              <w:pStyle w:val="26"/>
              <w:bidi w:val="0"/>
              <w:jc w:val="center"/>
              <w:rPr>
                <w:rFonts w:hint="eastAsia"/>
                <w:lang w:val="en-US" w:eastAsia="zh-CN"/>
              </w:rPr>
            </w:pPr>
            <w:r>
              <w:t>中城花园</w:t>
            </w:r>
          </w:p>
        </w:tc>
        <w:tc>
          <w:tcPr>
            <w:tcW w:w="609" w:type="pct"/>
            <w:vAlign w:val="center"/>
          </w:tcPr>
          <w:p w14:paraId="2E133F81">
            <w:pPr>
              <w:pStyle w:val="26"/>
              <w:bidi w:val="0"/>
              <w:jc w:val="center"/>
              <w:rPr>
                <w:lang w:val="en-US" w:eastAsia="zh-CN"/>
              </w:rPr>
            </w:pPr>
            <w:r>
              <w:t>居民区</w:t>
            </w:r>
          </w:p>
        </w:tc>
        <w:tc>
          <w:tcPr>
            <w:tcW w:w="728" w:type="pct"/>
            <w:noWrap/>
            <w:vAlign w:val="center"/>
          </w:tcPr>
          <w:p w14:paraId="32F45C01">
            <w:pPr>
              <w:pStyle w:val="26"/>
              <w:bidi w:val="0"/>
              <w:jc w:val="center"/>
              <w:rPr>
                <w:rFonts w:hint="eastAsia"/>
                <w:lang w:val="en-US" w:eastAsia="zh-CN"/>
              </w:rPr>
            </w:pPr>
            <w:r>
              <w:t>996</w:t>
            </w:r>
          </w:p>
        </w:tc>
        <w:tc>
          <w:tcPr>
            <w:tcW w:w="709" w:type="pct"/>
            <w:vMerge w:val="continue"/>
            <w:vAlign w:val="center"/>
          </w:tcPr>
          <w:p w14:paraId="6E7CF8AE">
            <w:pPr>
              <w:pStyle w:val="26"/>
              <w:bidi w:val="0"/>
              <w:jc w:val="center"/>
              <w:rPr>
                <w:color w:val="auto"/>
                <w:highlight w:val="none"/>
                <w:lang w:val="en-US" w:eastAsia="zh-CN"/>
              </w:rPr>
            </w:pPr>
          </w:p>
        </w:tc>
        <w:tc>
          <w:tcPr>
            <w:tcW w:w="826" w:type="pct"/>
            <w:shd w:val="clear" w:color="auto" w:fill="auto"/>
            <w:noWrap/>
            <w:vAlign w:val="center"/>
          </w:tcPr>
          <w:p w14:paraId="0F3448C4">
            <w:pPr>
              <w:pStyle w:val="26"/>
              <w:bidi w:val="0"/>
              <w:jc w:val="center"/>
              <w:rPr>
                <w:rFonts w:hint="eastAsia"/>
                <w:lang w:val="en-US" w:eastAsia="zh-CN"/>
              </w:rPr>
            </w:pPr>
            <w:r>
              <w:t>东南</w:t>
            </w:r>
          </w:p>
        </w:tc>
        <w:tc>
          <w:tcPr>
            <w:tcW w:w="826" w:type="pct"/>
            <w:shd w:val="clear" w:color="auto" w:fill="auto"/>
            <w:noWrap/>
            <w:vAlign w:val="center"/>
          </w:tcPr>
          <w:p w14:paraId="50400A63">
            <w:pPr>
              <w:pStyle w:val="26"/>
              <w:bidi w:val="0"/>
              <w:jc w:val="center"/>
              <w:rPr>
                <w:rFonts w:hint="eastAsia"/>
                <w:lang w:val="en-US" w:eastAsia="zh-CN"/>
              </w:rPr>
            </w:pPr>
            <w:r>
              <w:t>2360</w:t>
            </w:r>
          </w:p>
        </w:tc>
      </w:tr>
      <w:tr w14:paraId="5878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4D86B64">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59</w:t>
            </w:r>
          </w:p>
        </w:tc>
        <w:tc>
          <w:tcPr>
            <w:tcW w:w="939" w:type="pct"/>
            <w:noWrap/>
            <w:vAlign w:val="center"/>
          </w:tcPr>
          <w:p w14:paraId="60B93737">
            <w:pPr>
              <w:pStyle w:val="26"/>
              <w:bidi w:val="0"/>
              <w:jc w:val="center"/>
              <w:rPr>
                <w:rFonts w:hint="eastAsia"/>
                <w:lang w:val="en-US" w:eastAsia="zh-CN"/>
              </w:rPr>
            </w:pPr>
            <w:r>
              <w:t>中城紫竹苑</w:t>
            </w:r>
          </w:p>
        </w:tc>
        <w:tc>
          <w:tcPr>
            <w:tcW w:w="609" w:type="pct"/>
            <w:vAlign w:val="center"/>
          </w:tcPr>
          <w:p w14:paraId="16F5952C">
            <w:pPr>
              <w:pStyle w:val="26"/>
              <w:bidi w:val="0"/>
              <w:jc w:val="center"/>
              <w:rPr>
                <w:lang w:val="en-US" w:eastAsia="zh-CN"/>
              </w:rPr>
            </w:pPr>
            <w:r>
              <w:t>居民区</w:t>
            </w:r>
          </w:p>
        </w:tc>
        <w:tc>
          <w:tcPr>
            <w:tcW w:w="728" w:type="pct"/>
            <w:noWrap/>
            <w:vAlign w:val="center"/>
          </w:tcPr>
          <w:p w14:paraId="1A6915FD">
            <w:pPr>
              <w:pStyle w:val="26"/>
              <w:bidi w:val="0"/>
              <w:jc w:val="center"/>
              <w:rPr>
                <w:rFonts w:hint="eastAsia"/>
                <w:lang w:val="en-US" w:eastAsia="zh-CN"/>
              </w:rPr>
            </w:pPr>
            <w:r>
              <w:t>495</w:t>
            </w:r>
          </w:p>
        </w:tc>
        <w:tc>
          <w:tcPr>
            <w:tcW w:w="709" w:type="pct"/>
            <w:vMerge w:val="continue"/>
            <w:vAlign w:val="center"/>
          </w:tcPr>
          <w:p w14:paraId="7450BAB6">
            <w:pPr>
              <w:pStyle w:val="26"/>
              <w:bidi w:val="0"/>
              <w:jc w:val="center"/>
              <w:rPr>
                <w:color w:val="auto"/>
                <w:highlight w:val="none"/>
                <w:lang w:val="en-US" w:eastAsia="zh-CN"/>
              </w:rPr>
            </w:pPr>
          </w:p>
        </w:tc>
        <w:tc>
          <w:tcPr>
            <w:tcW w:w="826" w:type="pct"/>
            <w:shd w:val="clear" w:color="auto" w:fill="auto"/>
            <w:noWrap/>
            <w:vAlign w:val="center"/>
          </w:tcPr>
          <w:p w14:paraId="13D77FB8">
            <w:pPr>
              <w:pStyle w:val="26"/>
              <w:bidi w:val="0"/>
              <w:jc w:val="center"/>
              <w:rPr>
                <w:rFonts w:hint="eastAsia"/>
                <w:lang w:val="en-US" w:eastAsia="zh-CN"/>
              </w:rPr>
            </w:pPr>
            <w:r>
              <w:t>东南</w:t>
            </w:r>
          </w:p>
        </w:tc>
        <w:tc>
          <w:tcPr>
            <w:tcW w:w="826" w:type="pct"/>
            <w:shd w:val="clear" w:color="auto" w:fill="auto"/>
            <w:noWrap/>
            <w:vAlign w:val="center"/>
          </w:tcPr>
          <w:p w14:paraId="1E51A6EE">
            <w:pPr>
              <w:pStyle w:val="26"/>
              <w:bidi w:val="0"/>
              <w:jc w:val="center"/>
              <w:rPr>
                <w:rFonts w:hint="eastAsia"/>
                <w:lang w:val="en-US" w:eastAsia="zh-CN"/>
              </w:rPr>
            </w:pPr>
            <w:r>
              <w:t>2108</w:t>
            </w:r>
          </w:p>
        </w:tc>
      </w:tr>
      <w:tr w14:paraId="7AE7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99058E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60</w:t>
            </w:r>
          </w:p>
        </w:tc>
        <w:tc>
          <w:tcPr>
            <w:tcW w:w="939" w:type="pct"/>
            <w:noWrap/>
            <w:vAlign w:val="center"/>
          </w:tcPr>
          <w:p w14:paraId="118EF4BA">
            <w:pPr>
              <w:pStyle w:val="26"/>
              <w:bidi w:val="0"/>
              <w:jc w:val="center"/>
              <w:rPr>
                <w:rFonts w:hint="eastAsia"/>
                <w:lang w:val="en-US" w:eastAsia="zh-CN"/>
              </w:rPr>
            </w:pPr>
            <w:r>
              <w:t>中城花园-玉兰苑</w:t>
            </w:r>
          </w:p>
        </w:tc>
        <w:tc>
          <w:tcPr>
            <w:tcW w:w="609" w:type="pct"/>
            <w:vAlign w:val="center"/>
          </w:tcPr>
          <w:p w14:paraId="5F2EA3B5">
            <w:pPr>
              <w:pStyle w:val="26"/>
              <w:bidi w:val="0"/>
              <w:jc w:val="center"/>
              <w:rPr>
                <w:lang w:val="en-US" w:eastAsia="zh-CN"/>
              </w:rPr>
            </w:pPr>
            <w:r>
              <w:t>居民区</w:t>
            </w:r>
          </w:p>
        </w:tc>
        <w:tc>
          <w:tcPr>
            <w:tcW w:w="728" w:type="pct"/>
            <w:noWrap/>
            <w:vAlign w:val="center"/>
          </w:tcPr>
          <w:p w14:paraId="7661100A">
            <w:pPr>
              <w:pStyle w:val="26"/>
              <w:bidi w:val="0"/>
              <w:jc w:val="center"/>
              <w:rPr>
                <w:rFonts w:hint="eastAsia"/>
                <w:lang w:val="en-US" w:eastAsia="zh-CN"/>
              </w:rPr>
            </w:pPr>
            <w:r>
              <w:t>1719</w:t>
            </w:r>
          </w:p>
        </w:tc>
        <w:tc>
          <w:tcPr>
            <w:tcW w:w="709" w:type="pct"/>
            <w:vMerge w:val="continue"/>
            <w:vAlign w:val="center"/>
          </w:tcPr>
          <w:p w14:paraId="0F974CCB">
            <w:pPr>
              <w:pStyle w:val="26"/>
              <w:bidi w:val="0"/>
              <w:jc w:val="center"/>
              <w:rPr>
                <w:color w:val="auto"/>
                <w:highlight w:val="none"/>
                <w:lang w:val="en-US" w:eastAsia="zh-CN"/>
              </w:rPr>
            </w:pPr>
          </w:p>
        </w:tc>
        <w:tc>
          <w:tcPr>
            <w:tcW w:w="826" w:type="pct"/>
            <w:shd w:val="clear" w:color="auto" w:fill="auto"/>
            <w:noWrap/>
            <w:vAlign w:val="center"/>
          </w:tcPr>
          <w:p w14:paraId="09736A44">
            <w:pPr>
              <w:pStyle w:val="26"/>
              <w:bidi w:val="0"/>
              <w:jc w:val="center"/>
              <w:rPr>
                <w:rFonts w:hint="eastAsia"/>
                <w:lang w:val="en-US" w:eastAsia="zh-CN"/>
              </w:rPr>
            </w:pPr>
            <w:r>
              <w:t>东南</w:t>
            </w:r>
          </w:p>
        </w:tc>
        <w:tc>
          <w:tcPr>
            <w:tcW w:w="826" w:type="pct"/>
            <w:shd w:val="clear" w:color="auto" w:fill="auto"/>
            <w:noWrap/>
            <w:vAlign w:val="center"/>
          </w:tcPr>
          <w:p w14:paraId="49D6A69B">
            <w:pPr>
              <w:pStyle w:val="26"/>
              <w:bidi w:val="0"/>
              <w:jc w:val="center"/>
              <w:rPr>
                <w:rFonts w:hint="eastAsia"/>
                <w:lang w:val="en-US" w:eastAsia="zh-CN"/>
              </w:rPr>
            </w:pPr>
            <w:r>
              <w:t>2306</w:t>
            </w:r>
          </w:p>
        </w:tc>
      </w:tr>
      <w:tr w14:paraId="700C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6B4BD3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61</w:t>
            </w:r>
          </w:p>
        </w:tc>
        <w:tc>
          <w:tcPr>
            <w:tcW w:w="939" w:type="pct"/>
            <w:noWrap/>
            <w:vAlign w:val="center"/>
          </w:tcPr>
          <w:p w14:paraId="2404B7CA">
            <w:pPr>
              <w:pStyle w:val="26"/>
              <w:bidi w:val="0"/>
              <w:jc w:val="center"/>
              <w:rPr>
                <w:rFonts w:hint="eastAsia"/>
                <w:lang w:val="en-US" w:eastAsia="zh-CN"/>
              </w:rPr>
            </w:pPr>
            <w:r>
              <w:t>清竹苑</w:t>
            </w:r>
          </w:p>
        </w:tc>
        <w:tc>
          <w:tcPr>
            <w:tcW w:w="609" w:type="pct"/>
            <w:vAlign w:val="center"/>
          </w:tcPr>
          <w:p w14:paraId="43219DDD">
            <w:pPr>
              <w:pStyle w:val="26"/>
              <w:bidi w:val="0"/>
              <w:jc w:val="center"/>
              <w:rPr>
                <w:lang w:val="en-US" w:eastAsia="zh-CN"/>
              </w:rPr>
            </w:pPr>
            <w:r>
              <w:t>居民区</w:t>
            </w:r>
          </w:p>
        </w:tc>
        <w:tc>
          <w:tcPr>
            <w:tcW w:w="728" w:type="pct"/>
            <w:noWrap/>
            <w:vAlign w:val="center"/>
          </w:tcPr>
          <w:p w14:paraId="5725FB53">
            <w:pPr>
              <w:pStyle w:val="26"/>
              <w:bidi w:val="0"/>
              <w:jc w:val="center"/>
              <w:rPr>
                <w:rFonts w:hint="eastAsia"/>
                <w:lang w:val="en-US" w:eastAsia="zh-CN"/>
              </w:rPr>
            </w:pPr>
            <w:r>
              <w:t>150</w:t>
            </w:r>
          </w:p>
        </w:tc>
        <w:tc>
          <w:tcPr>
            <w:tcW w:w="709" w:type="pct"/>
            <w:vMerge w:val="continue"/>
            <w:vAlign w:val="center"/>
          </w:tcPr>
          <w:p w14:paraId="427DD5B4">
            <w:pPr>
              <w:pStyle w:val="26"/>
              <w:bidi w:val="0"/>
              <w:jc w:val="center"/>
              <w:rPr>
                <w:color w:val="auto"/>
                <w:highlight w:val="none"/>
                <w:lang w:val="en-US" w:eastAsia="zh-CN"/>
              </w:rPr>
            </w:pPr>
          </w:p>
        </w:tc>
        <w:tc>
          <w:tcPr>
            <w:tcW w:w="826" w:type="pct"/>
            <w:shd w:val="clear" w:color="auto" w:fill="auto"/>
            <w:noWrap/>
            <w:vAlign w:val="center"/>
          </w:tcPr>
          <w:p w14:paraId="00FB23D4">
            <w:pPr>
              <w:pStyle w:val="26"/>
              <w:bidi w:val="0"/>
              <w:jc w:val="center"/>
              <w:rPr>
                <w:rFonts w:hint="eastAsia"/>
                <w:lang w:val="en-US" w:eastAsia="zh-CN"/>
              </w:rPr>
            </w:pPr>
            <w:r>
              <w:t>东南</w:t>
            </w:r>
          </w:p>
        </w:tc>
        <w:tc>
          <w:tcPr>
            <w:tcW w:w="826" w:type="pct"/>
            <w:shd w:val="clear" w:color="auto" w:fill="auto"/>
            <w:noWrap/>
            <w:vAlign w:val="center"/>
          </w:tcPr>
          <w:p w14:paraId="6AD45EC0">
            <w:pPr>
              <w:pStyle w:val="26"/>
              <w:bidi w:val="0"/>
              <w:jc w:val="center"/>
              <w:rPr>
                <w:rFonts w:hint="eastAsia"/>
                <w:lang w:val="en-US" w:eastAsia="zh-CN"/>
              </w:rPr>
            </w:pPr>
            <w:r>
              <w:t>2403</w:t>
            </w:r>
          </w:p>
        </w:tc>
      </w:tr>
      <w:tr w14:paraId="7E7E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8EC390B">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62</w:t>
            </w:r>
          </w:p>
        </w:tc>
        <w:tc>
          <w:tcPr>
            <w:tcW w:w="939" w:type="pct"/>
            <w:noWrap/>
            <w:vAlign w:val="center"/>
          </w:tcPr>
          <w:p w14:paraId="01CF1104">
            <w:pPr>
              <w:pStyle w:val="26"/>
              <w:bidi w:val="0"/>
              <w:jc w:val="center"/>
              <w:rPr>
                <w:rFonts w:hint="eastAsia"/>
                <w:lang w:val="en-US" w:eastAsia="zh-CN"/>
              </w:rPr>
            </w:pPr>
            <w:r>
              <w:t>清怡园</w:t>
            </w:r>
          </w:p>
        </w:tc>
        <w:tc>
          <w:tcPr>
            <w:tcW w:w="609" w:type="pct"/>
            <w:vAlign w:val="center"/>
          </w:tcPr>
          <w:p w14:paraId="1A6269D3">
            <w:pPr>
              <w:pStyle w:val="26"/>
              <w:bidi w:val="0"/>
              <w:jc w:val="center"/>
              <w:rPr>
                <w:lang w:val="en-US" w:eastAsia="zh-CN"/>
              </w:rPr>
            </w:pPr>
            <w:r>
              <w:t>居民区</w:t>
            </w:r>
          </w:p>
        </w:tc>
        <w:tc>
          <w:tcPr>
            <w:tcW w:w="728" w:type="pct"/>
            <w:noWrap/>
            <w:vAlign w:val="center"/>
          </w:tcPr>
          <w:p w14:paraId="5C9DFA2F">
            <w:pPr>
              <w:pStyle w:val="26"/>
              <w:bidi w:val="0"/>
              <w:jc w:val="center"/>
              <w:rPr>
                <w:rFonts w:hint="eastAsia"/>
                <w:lang w:val="en-US" w:eastAsia="zh-CN"/>
              </w:rPr>
            </w:pPr>
            <w:r>
              <w:t>120</w:t>
            </w:r>
          </w:p>
        </w:tc>
        <w:tc>
          <w:tcPr>
            <w:tcW w:w="709" w:type="pct"/>
            <w:vMerge w:val="continue"/>
            <w:vAlign w:val="center"/>
          </w:tcPr>
          <w:p w14:paraId="0471796F">
            <w:pPr>
              <w:pStyle w:val="26"/>
              <w:bidi w:val="0"/>
              <w:jc w:val="center"/>
              <w:rPr>
                <w:color w:val="auto"/>
                <w:highlight w:val="none"/>
                <w:lang w:val="en-US" w:eastAsia="zh-CN"/>
              </w:rPr>
            </w:pPr>
          </w:p>
        </w:tc>
        <w:tc>
          <w:tcPr>
            <w:tcW w:w="826" w:type="pct"/>
            <w:shd w:val="clear" w:color="auto" w:fill="auto"/>
            <w:noWrap/>
            <w:vAlign w:val="center"/>
          </w:tcPr>
          <w:p w14:paraId="1A28E6E5">
            <w:pPr>
              <w:pStyle w:val="26"/>
              <w:bidi w:val="0"/>
              <w:jc w:val="center"/>
              <w:rPr>
                <w:rFonts w:hint="eastAsia"/>
                <w:lang w:val="en-US" w:eastAsia="zh-CN"/>
              </w:rPr>
            </w:pPr>
            <w:r>
              <w:t>东南</w:t>
            </w:r>
          </w:p>
        </w:tc>
        <w:tc>
          <w:tcPr>
            <w:tcW w:w="826" w:type="pct"/>
            <w:shd w:val="clear" w:color="auto" w:fill="auto"/>
            <w:noWrap/>
            <w:vAlign w:val="center"/>
          </w:tcPr>
          <w:p w14:paraId="7B9D10AC">
            <w:pPr>
              <w:pStyle w:val="26"/>
              <w:bidi w:val="0"/>
              <w:jc w:val="center"/>
              <w:rPr>
                <w:rFonts w:hint="eastAsia"/>
                <w:lang w:val="en-US" w:eastAsia="zh-CN"/>
              </w:rPr>
            </w:pPr>
            <w:r>
              <w:t>2630</w:t>
            </w:r>
          </w:p>
        </w:tc>
      </w:tr>
      <w:tr w14:paraId="5528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7F023A0">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63</w:t>
            </w:r>
          </w:p>
        </w:tc>
        <w:tc>
          <w:tcPr>
            <w:tcW w:w="939" w:type="pct"/>
            <w:noWrap/>
            <w:vAlign w:val="center"/>
          </w:tcPr>
          <w:p w14:paraId="49DDDD91">
            <w:pPr>
              <w:pStyle w:val="26"/>
              <w:bidi w:val="0"/>
              <w:jc w:val="center"/>
              <w:rPr>
                <w:rFonts w:hint="eastAsia"/>
                <w:lang w:val="en-US" w:eastAsia="zh-CN"/>
              </w:rPr>
            </w:pPr>
            <w:r>
              <w:t>名俊豪庭</w:t>
            </w:r>
          </w:p>
        </w:tc>
        <w:tc>
          <w:tcPr>
            <w:tcW w:w="609" w:type="pct"/>
            <w:vAlign w:val="center"/>
          </w:tcPr>
          <w:p w14:paraId="5FC3FA89">
            <w:pPr>
              <w:pStyle w:val="26"/>
              <w:bidi w:val="0"/>
              <w:jc w:val="center"/>
              <w:rPr>
                <w:lang w:val="en-US" w:eastAsia="zh-CN"/>
              </w:rPr>
            </w:pPr>
            <w:r>
              <w:t>居民区</w:t>
            </w:r>
          </w:p>
        </w:tc>
        <w:tc>
          <w:tcPr>
            <w:tcW w:w="728" w:type="pct"/>
            <w:noWrap/>
            <w:vAlign w:val="center"/>
          </w:tcPr>
          <w:p w14:paraId="6ECD375A">
            <w:pPr>
              <w:pStyle w:val="26"/>
              <w:bidi w:val="0"/>
              <w:jc w:val="center"/>
              <w:rPr>
                <w:rFonts w:hint="eastAsia"/>
                <w:lang w:val="en-US" w:eastAsia="zh-CN"/>
              </w:rPr>
            </w:pPr>
            <w:r>
              <w:t>4497</w:t>
            </w:r>
          </w:p>
        </w:tc>
        <w:tc>
          <w:tcPr>
            <w:tcW w:w="709" w:type="pct"/>
            <w:vMerge w:val="continue"/>
            <w:vAlign w:val="center"/>
          </w:tcPr>
          <w:p w14:paraId="45A3E89C">
            <w:pPr>
              <w:pStyle w:val="26"/>
              <w:bidi w:val="0"/>
              <w:jc w:val="center"/>
              <w:rPr>
                <w:color w:val="auto"/>
                <w:highlight w:val="none"/>
                <w:lang w:val="en-US" w:eastAsia="zh-CN"/>
              </w:rPr>
            </w:pPr>
          </w:p>
        </w:tc>
        <w:tc>
          <w:tcPr>
            <w:tcW w:w="826" w:type="pct"/>
            <w:shd w:val="clear" w:color="auto" w:fill="auto"/>
            <w:noWrap/>
            <w:vAlign w:val="center"/>
          </w:tcPr>
          <w:p w14:paraId="20F3252B">
            <w:pPr>
              <w:pStyle w:val="26"/>
              <w:bidi w:val="0"/>
              <w:jc w:val="center"/>
              <w:rPr>
                <w:rFonts w:hint="eastAsia"/>
                <w:lang w:val="en-US" w:eastAsia="zh-CN"/>
              </w:rPr>
            </w:pPr>
            <w:r>
              <w:t>东南</w:t>
            </w:r>
          </w:p>
        </w:tc>
        <w:tc>
          <w:tcPr>
            <w:tcW w:w="826" w:type="pct"/>
            <w:shd w:val="clear" w:color="auto" w:fill="auto"/>
            <w:noWrap/>
            <w:vAlign w:val="center"/>
          </w:tcPr>
          <w:p w14:paraId="65A6BE99">
            <w:pPr>
              <w:pStyle w:val="26"/>
              <w:bidi w:val="0"/>
              <w:jc w:val="center"/>
              <w:rPr>
                <w:rFonts w:hint="eastAsia"/>
                <w:lang w:val="en-US" w:eastAsia="zh-CN"/>
              </w:rPr>
            </w:pPr>
            <w:r>
              <w:t>2905</w:t>
            </w:r>
          </w:p>
        </w:tc>
      </w:tr>
      <w:tr w14:paraId="1461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5BB0FF1">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64</w:t>
            </w:r>
          </w:p>
        </w:tc>
        <w:tc>
          <w:tcPr>
            <w:tcW w:w="939" w:type="pct"/>
            <w:noWrap/>
            <w:vAlign w:val="center"/>
          </w:tcPr>
          <w:p w14:paraId="728EE791">
            <w:pPr>
              <w:pStyle w:val="26"/>
              <w:bidi w:val="0"/>
              <w:jc w:val="center"/>
              <w:rPr>
                <w:rFonts w:hint="eastAsia"/>
                <w:lang w:val="en-US" w:eastAsia="zh-CN"/>
              </w:rPr>
            </w:pPr>
            <w:r>
              <w:t>宝家丽公寓</w:t>
            </w:r>
          </w:p>
        </w:tc>
        <w:tc>
          <w:tcPr>
            <w:tcW w:w="609" w:type="pct"/>
            <w:vAlign w:val="center"/>
          </w:tcPr>
          <w:p w14:paraId="078E207D">
            <w:pPr>
              <w:pStyle w:val="26"/>
              <w:bidi w:val="0"/>
              <w:jc w:val="center"/>
              <w:rPr>
                <w:lang w:val="en-US" w:eastAsia="zh-CN"/>
              </w:rPr>
            </w:pPr>
            <w:r>
              <w:t>居民区</w:t>
            </w:r>
          </w:p>
        </w:tc>
        <w:tc>
          <w:tcPr>
            <w:tcW w:w="728" w:type="pct"/>
            <w:noWrap/>
            <w:vAlign w:val="center"/>
          </w:tcPr>
          <w:p w14:paraId="4981A006">
            <w:pPr>
              <w:pStyle w:val="26"/>
              <w:bidi w:val="0"/>
              <w:jc w:val="center"/>
              <w:rPr>
                <w:rFonts w:hint="eastAsia"/>
                <w:lang w:val="en-US" w:eastAsia="zh-CN"/>
              </w:rPr>
            </w:pPr>
            <w:r>
              <w:t>1959</w:t>
            </w:r>
          </w:p>
        </w:tc>
        <w:tc>
          <w:tcPr>
            <w:tcW w:w="709" w:type="pct"/>
            <w:vMerge w:val="continue"/>
            <w:vAlign w:val="center"/>
          </w:tcPr>
          <w:p w14:paraId="5AB920E0">
            <w:pPr>
              <w:pStyle w:val="26"/>
              <w:bidi w:val="0"/>
              <w:jc w:val="center"/>
              <w:rPr>
                <w:color w:val="auto"/>
                <w:highlight w:val="none"/>
                <w:lang w:val="en-US" w:eastAsia="zh-CN"/>
              </w:rPr>
            </w:pPr>
          </w:p>
        </w:tc>
        <w:tc>
          <w:tcPr>
            <w:tcW w:w="826" w:type="pct"/>
            <w:shd w:val="clear" w:color="auto" w:fill="auto"/>
            <w:noWrap/>
            <w:vAlign w:val="center"/>
          </w:tcPr>
          <w:p w14:paraId="617F3C75">
            <w:pPr>
              <w:pStyle w:val="26"/>
              <w:bidi w:val="0"/>
              <w:jc w:val="center"/>
              <w:rPr>
                <w:rFonts w:hint="eastAsia"/>
                <w:lang w:val="en-US" w:eastAsia="zh-CN"/>
              </w:rPr>
            </w:pPr>
            <w:r>
              <w:t>东南</w:t>
            </w:r>
          </w:p>
        </w:tc>
        <w:tc>
          <w:tcPr>
            <w:tcW w:w="826" w:type="pct"/>
            <w:shd w:val="clear" w:color="auto" w:fill="auto"/>
            <w:noWrap/>
            <w:vAlign w:val="center"/>
          </w:tcPr>
          <w:p w14:paraId="2F0E7097">
            <w:pPr>
              <w:pStyle w:val="26"/>
              <w:bidi w:val="0"/>
              <w:jc w:val="center"/>
              <w:rPr>
                <w:rFonts w:hint="eastAsia"/>
                <w:lang w:val="en-US" w:eastAsia="zh-CN"/>
              </w:rPr>
            </w:pPr>
            <w:r>
              <w:t>3320</w:t>
            </w:r>
          </w:p>
        </w:tc>
      </w:tr>
      <w:tr w14:paraId="794E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46190A2">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65</w:t>
            </w:r>
          </w:p>
        </w:tc>
        <w:tc>
          <w:tcPr>
            <w:tcW w:w="939" w:type="pct"/>
            <w:noWrap/>
            <w:vAlign w:val="center"/>
          </w:tcPr>
          <w:p w14:paraId="62313DDA">
            <w:pPr>
              <w:pStyle w:val="26"/>
              <w:bidi w:val="0"/>
              <w:jc w:val="center"/>
              <w:rPr>
                <w:rFonts w:hint="eastAsia"/>
                <w:lang w:val="en-US" w:eastAsia="zh-CN"/>
              </w:rPr>
            </w:pPr>
            <w:r>
              <w:t>智慧城</w:t>
            </w:r>
          </w:p>
        </w:tc>
        <w:tc>
          <w:tcPr>
            <w:tcW w:w="609" w:type="pct"/>
            <w:vAlign w:val="center"/>
          </w:tcPr>
          <w:p w14:paraId="7459AA9D">
            <w:pPr>
              <w:pStyle w:val="26"/>
              <w:bidi w:val="0"/>
              <w:jc w:val="center"/>
              <w:rPr>
                <w:lang w:val="en-US" w:eastAsia="zh-CN"/>
              </w:rPr>
            </w:pPr>
            <w:r>
              <w:t>居民区</w:t>
            </w:r>
          </w:p>
        </w:tc>
        <w:tc>
          <w:tcPr>
            <w:tcW w:w="728" w:type="pct"/>
            <w:noWrap/>
            <w:vAlign w:val="center"/>
          </w:tcPr>
          <w:p w14:paraId="4D64AB2D">
            <w:pPr>
              <w:pStyle w:val="26"/>
              <w:bidi w:val="0"/>
              <w:jc w:val="center"/>
              <w:rPr>
                <w:rFonts w:hint="eastAsia"/>
                <w:lang w:val="en-US" w:eastAsia="zh-CN"/>
              </w:rPr>
            </w:pPr>
            <w:r>
              <w:t>250</w:t>
            </w:r>
          </w:p>
        </w:tc>
        <w:tc>
          <w:tcPr>
            <w:tcW w:w="709" w:type="pct"/>
            <w:vMerge w:val="continue"/>
            <w:vAlign w:val="center"/>
          </w:tcPr>
          <w:p w14:paraId="3E829652">
            <w:pPr>
              <w:pStyle w:val="26"/>
              <w:bidi w:val="0"/>
              <w:jc w:val="center"/>
              <w:rPr>
                <w:color w:val="auto"/>
                <w:highlight w:val="none"/>
                <w:lang w:val="en-US" w:eastAsia="zh-CN"/>
              </w:rPr>
            </w:pPr>
          </w:p>
        </w:tc>
        <w:tc>
          <w:tcPr>
            <w:tcW w:w="826" w:type="pct"/>
            <w:shd w:val="clear" w:color="auto" w:fill="auto"/>
            <w:noWrap/>
            <w:vAlign w:val="center"/>
          </w:tcPr>
          <w:p w14:paraId="55745C20">
            <w:pPr>
              <w:pStyle w:val="26"/>
              <w:bidi w:val="0"/>
              <w:jc w:val="center"/>
              <w:rPr>
                <w:rFonts w:hint="eastAsia"/>
                <w:lang w:val="en-US" w:eastAsia="zh-CN"/>
              </w:rPr>
            </w:pPr>
            <w:r>
              <w:t>东南</w:t>
            </w:r>
          </w:p>
        </w:tc>
        <w:tc>
          <w:tcPr>
            <w:tcW w:w="826" w:type="pct"/>
            <w:shd w:val="clear" w:color="auto" w:fill="auto"/>
            <w:noWrap/>
            <w:vAlign w:val="center"/>
          </w:tcPr>
          <w:p w14:paraId="5CFFE90D">
            <w:pPr>
              <w:pStyle w:val="26"/>
              <w:bidi w:val="0"/>
              <w:jc w:val="center"/>
              <w:rPr>
                <w:rFonts w:hint="eastAsia"/>
                <w:lang w:val="en-US" w:eastAsia="zh-CN"/>
              </w:rPr>
            </w:pPr>
            <w:r>
              <w:t>3205</w:t>
            </w:r>
          </w:p>
        </w:tc>
      </w:tr>
      <w:tr w14:paraId="5DAC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E7C087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66</w:t>
            </w:r>
          </w:p>
        </w:tc>
        <w:tc>
          <w:tcPr>
            <w:tcW w:w="939" w:type="pct"/>
            <w:noWrap/>
            <w:vAlign w:val="center"/>
          </w:tcPr>
          <w:p w14:paraId="3C329731">
            <w:pPr>
              <w:pStyle w:val="26"/>
              <w:bidi w:val="0"/>
              <w:jc w:val="center"/>
              <w:rPr>
                <w:rFonts w:hint="eastAsia"/>
                <w:lang w:val="en-US" w:eastAsia="zh-CN"/>
              </w:rPr>
            </w:pPr>
            <w:r>
              <w:t>新浦别墅</w:t>
            </w:r>
          </w:p>
        </w:tc>
        <w:tc>
          <w:tcPr>
            <w:tcW w:w="609" w:type="pct"/>
            <w:vAlign w:val="center"/>
          </w:tcPr>
          <w:p w14:paraId="08075A05">
            <w:pPr>
              <w:pStyle w:val="26"/>
              <w:bidi w:val="0"/>
              <w:jc w:val="center"/>
              <w:rPr>
                <w:lang w:val="en-US" w:eastAsia="zh-CN"/>
              </w:rPr>
            </w:pPr>
            <w:r>
              <w:t>居民区</w:t>
            </w:r>
          </w:p>
        </w:tc>
        <w:tc>
          <w:tcPr>
            <w:tcW w:w="728" w:type="pct"/>
            <w:noWrap/>
            <w:vAlign w:val="center"/>
          </w:tcPr>
          <w:p w14:paraId="67791B08">
            <w:pPr>
              <w:pStyle w:val="26"/>
              <w:bidi w:val="0"/>
              <w:jc w:val="center"/>
              <w:rPr>
                <w:rFonts w:hint="eastAsia"/>
                <w:lang w:val="en-US" w:eastAsia="zh-CN"/>
              </w:rPr>
            </w:pPr>
            <w:r>
              <w:t>360</w:t>
            </w:r>
          </w:p>
        </w:tc>
        <w:tc>
          <w:tcPr>
            <w:tcW w:w="709" w:type="pct"/>
            <w:vMerge w:val="continue"/>
            <w:vAlign w:val="center"/>
          </w:tcPr>
          <w:p w14:paraId="77E81778">
            <w:pPr>
              <w:pStyle w:val="26"/>
              <w:bidi w:val="0"/>
              <w:jc w:val="center"/>
              <w:rPr>
                <w:color w:val="auto"/>
                <w:highlight w:val="none"/>
                <w:lang w:val="en-US" w:eastAsia="zh-CN"/>
              </w:rPr>
            </w:pPr>
          </w:p>
        </w:tc>
        <w:tc>
          <w:tcPr>
            <w:tcW w:w="826" w:type="pct"/>
            <w:shd w:val="clear" w:color="auto" w:fill="auto"/>
            <w:noWrap/>
            <w:vAlign w:val="center"/>
          </w:tcPr>
          <w:p w14:paraId="278F7DF2">
            <w:pPr>
              <w:pStyle w:val="26"/>
              <w:bidi w:val="0"/>
              <w:jc w:val="center"/>
              <w:rPr>
                <w:rFonts w:hint="eastAsia"/>
                <w:lang w:val="en-US" w:eastAsia="zh-CN"/>
              </w:rPr>
            </w:pPr>
            <w:r>
              <w:t>东南</w:t>
            </w:r>
          </w:p>
        </w:tc>
        <w:tc>
          <w:tcPr>
            <w:tcW w:w="826" w:type="pct"/>
            <w:shd w:val="clear" w:color="auto" w:fill="auto"/>
            <w:noWrap/>
            <w:vAlign w:val="center"/>
          </w:tcPr>
          <w:p w14:paraId="29915D1D">
            <w:pPr>
              <w:pStyle w:val="26"/>
              <w:bidi w:val="0"/>
              <w:jc w:val="center"/>
              <w:rPr>
                <w:rFonts w:hint="eastAsia"/>
                <w:lang w:val="en-US" w:eastAsia="zh-CN"/>
              </w:rPr>
            </w:pPr>
            <w:r>
              <w:t>3405</w:t>
            </w:r>
          </w:p>
        </w:tc>
      </w:tr>
      <w:tr w14:paraId="25AD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5F85D07">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67</w:t>
            </w:r>
          </w:p>
        </w:tc>
        <w:tc>
          <w:tcPr>
            <w:tcW w:w="939" w:type="pct"/>
            <w:noWrap/>
            <w:vAlign w:val="center"/>
          </w:tcPr>
          <w:p w14:paraId="2A096A2B">
            <w:pPr>
              <w:pStyle w:val="26"/>
              <w:bidi w:val="0"/>
              <w:jc w:val="center"/>
              <w:rPr>
                <w:rFonts w:hint="eastAsia"/>
                <w:lang w:val="en-US" w:eastAsia="zh-CN"/>
              </w:rPr>
            </w:pPr>
            <w:r>
              <w:t>启航社 U 时代</w:t>
            </w:r>
          </w:p>
        </w:tc>
        <w:tc>
          <w:tcPr>
            <w:tcW w:w="609" w:type="pct"/>
            <w:vAlign w:val="center"/>
          </w:tcPr>
          <w:p w14:paraId="1FEB202E">
            <w:pPr>
              <w:pStyle w:val="26"/>
              <w:bidi w:val="0"/>
              <w:jc w:val="center"/>
              <w:rPr>
                <w:lang w:val="en-US" w:eastAsia="zh-CN"/>
              </w:rPr>
            </w:pPr>
            <w:r>
              <w:t>居民区</w:t>
            </w:r>
          </w:p>
        </w:tc>
        <w:tc>
          <w:tcPr>
            <w:tcW w:w="728" w:type="pct"/>
            <w:noWrap/>
            <w:vAlign w:val="center"/>
          </w:tcPr>
          <w:p w14:paraId="27F98CD9">
            <w:pPr>
              <w:pStyle w:val="26"/>
              <w:bidi w:val="0"/>
              <w:jc w:val="center"/>
              <w:rPr>
                <w:rFonts w:hint="eastAsia"/>
                <w:lang w:val="en-US" w:eastAsia="zh-CN"/>
              </w:rPr>
            </w:pPr>
            <w:r>
              <w:t>7395</w:t>
            </w:r>
          </w:p>
        </w:tc>
        <w:tc>
          <w:tcPr>
            <w:tcW w:w="709" w:type="pct"/>
            <w:vMerge w:val="continue"/>
            <w:vAlign w:val="center"/>
          </w:tcPr>
          <w:p w14:paraId="20508844">
            <w:pPr>
              <w:pStyle w:val="26"/>
              <w:bidi w:val="0"/>
              <w:jc w:val="center"/>
              <w:rPr>
                <w:color w:val="auto"/>
                <w:highlight w:val="none"/>
                <w:lang w:val="en-US" w:eastAsia="zh-CN"/>
              </w:rPr>
            </w:pPr>
          </w:p>
        </w:tc>
        <w:tc>
          <w:tcPr>
            <w:tcW w:w="826" w:type="pct"/>
            <w:shd w:val="clear" w:color="auto" w:fill="auto"/>
            <w:noWrap/>
            <w:vAlign w:val="center"/>
          </w:tcPr>
          <w:p w14:paraId="171F14C9">
            <w:pPr>
              <w:pStyle w:val="26"/>
              <w:bidi w:val="0"/>
              <w:jc w:val="center"/>
              <w:rPr>
                <w:rFonts w:hint="eastAsia"/>
                <w:lang w:val="en-US" w:eastAsia="zh-CN"/>
              </w:rPr>
            </w:pPr>
            <w:r>
              <w:t>东南</w:t>
            </w:r>
          </w:p>
        </w:tc>
        <w:tc>
          <w:tcPr>
            <w:tcW w:w="826" w:type="pct"/>
            <w:shd w:val="clear" w:color="auto" w:fill="auto"/>
            <w:noWrap/>
            <w:vAlign w:val="center"/>
          </w:tcPr>
          <w:p w14:paraId="2407A0F1">
            <w:pPr>
              <w:pStyle w:val="26"/>
              <w:bidi w:val="0"/>
              <w:jc w:val="center"/>
              <w:rPr>
                <w:rFonts w:hint="eastAsia"/>
                <w:lang w:val="en-US" w:eastAsia="zh-CN"/>
              </w:rPr>
            </w:pPr>
            <w:r>
              <w:t>4350</w:t>
            </w:r>
          </w:p>
        </w:tc>
      </w:tr>
      <w:tr w14:paraId="65F1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8A7124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68</w:t>
            </w:r>
          </w:p>
        </w:tc>
        <w:tc>
          <w:tcPr>
            <w:tcW w:w="939" w:type="pct"/>
            <w:noWrap/>
            <w:vAlign w:val="center"/>
          </w:tcPr>
          <w:p w14:paraId="5DCF0852">
            <w:pPr>
              <w:pStyle w:val="26"/>
              <w:bidi w:val="0"/>
              <w:jc w:val="center"/>
              <w:rPr>
                <w:rFonts w:hint="eastAsia"/>
                <w:lang w:val="en-US" w:eastAsia="zh-CN"/>
              </w:rPr>
            </w:pPr>
            <w:r>
              <w:t>时代名邸</w:t>
            </w:r>
          </w:p>
        </w:tc>
        <w:tc>
          <w:tcPr>
            <w:tcW w:w="609" w:type="pct"/>
            <w:vAlign w:val="center"/>
          </w:tcPr>
          <w:p w14:paraId="3B86190D">
            <w:pPr>
              <w:pStyle w:val="26"/>
              <w:bidi w:val="0"/>
              <w:jc w:val="center"/>
              <w:rPr>
                <w:lang w:val="en-US" w:eastAsia="zh-CN"/>
              </w:rPr>
            </w:pPr>
            <w:r>
              <w:t>居民区</w:t>
            </w:r>
          </w:p>
        </w:tc>
        <w:tc>
          <w:tcPr>
            <w:tcW w:w="728" w:type="pct"/>
            <w:noWrap/>
            <w:vAlign w:val="center"/>
          </w:tcPr>
          <w:p w14:paraId="388CEC30">
            <w:pPr>
              <w:pStyle w:val="26"/>
              <w:bidi w:val="0"/>
              <w:jc w:val="center"/>
              <w:rPr>
                <w:rFonts w:hint="eastAsia"/>
                <w:lang w:val="en-US" w:eastAsia="zh-CN"/>
              </w:rPr>
            </w:pPr>
            <w:r>
              <w:t>2047</w:t>
            </w:r>
          </w:p>
        </w:tc>
        <w:tc>
          <w:tcPr>
            <w:tcW w:w="709" w:type="pct"/>
            <w:vMerge w:val="continue"/>
            <w:vAlign w:val="center"/>
          </w:tcPr>
          <w:p w14:paraId="2CF97C97">
            <w:pPr>
              <w:pStyle w:val="26"/>
              <w:bidi w:val="0"/>
              <w:jc w:val="center"/>
              <w:rPr>
                <w:color w:val="auto"/>
                <w:highlight w:val="none"/>
                <w:lang w:val="en-US" w:eastAsia="zh-CN"/>
              </w:rPr>
            </w:pPr>
          </w:p>
        </w:tc>
        <w:tc>
          <w:tcPr>
            <w:tcW w:w="826" w:type="pct"/>
            <w:shd w:val="clear" w:color="auto" w:fill="auto"/>
            <w:noWrap/>
            <w:vAlign w:val="center"/>
          </w:tcPr>
          <w:p w14:paraId="0DBA924A">
            <w:pPr>
              <w:pStyle w:val="26"/>
              <w:bidi w:val="0"/>
              <w:jc w:val="center"/>
              <w:rPr>
                <w:rFonts w:hint="eastAsia"/>
                <w:lang w:val="en-US" w:eastAsia="zh-CN"/>
              </w:rPr>
            </w:pPr>
            <w:r>
              <w:t>东南</w:t>
            </w:r>
          </w:p>
        </w:tc>
        <w:tc>
          <w:tcPr>
            <w:tcW w:w="826" w:type="pct"/>
            <w:shd w:val="clear" w:color="auto" w:fill="auto"/>
            <w:noWrap/>
            <w:vAlign w:val="center"/>
          </w:tcPr>
          <w:p w14:paraId="4608CDB8">
            <w:pPr>
              <w:pStyle w:val="26"/>
              <w:bidi w:val="0"/>
              <w:jc w:val="center"/>
              <w:rPr>
                <w:rFonts w:hint="eastAsia"/>
                <w:lang w:val="en-US" w:eastAsia="zh-CN"/>
              </w:rPr>
            </w:pPr>
            <w:r>
              <w:t>4590</w:t>
            </w:r>
          </w:p>
        </w:tc>
      </w:tr>
      <w:tr w14:paraId="3C58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D311F94">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69</w:t>
            </w:r>
          </w:p>
        </w:tc>
        <w:tc>
          <w:tcPr>
            <w:tcW w:w="939" w:type="pct"/>
            <w:noWrap/>
            <w:vAlign w:val="center"/>
          </w:tcPr>
          <w:p w14:paraId="5EC56871">
            <w:pPr>
              <w:pStyle w:val="26"/>
              <w:bidi w:val="0"/>
              <w:jc w:val="center"/>
              <w:rPr>
                <w:rFonts w:hint="eastAsia"/>
                <w:lang w:val="en-US" w:eastAsia="zh-CN"/>
              </w:rPr>
            </w:pPr>
            <w:r>
              <w:t>时代名邸-二期</w:t>
            </w:r>
          </w:p>
        </w:tc>
        <w:tc>
          <w:tcPr>
            <w:tcW w:w="609" w:type="pct"/>
            <w:vAlign w:val="center"/>
          </w:tcPr>
          <w:p w14:paraId="060A5774">
            <w:pPr>
              <w:pStyle w:val="26"/>
              <w:bidi w:val="0"/>
              <w:jc w:val="center"/>
              <w:rPr>
                <w:lang w:val="en-US" w:eastAsia="zh-CN"/>
              </w:rPr>
            </w:pPr>
            <w:r>
              <w:t>居民区</w:t>
            </w:r>
          </w:p>
        </w:tc>
        <w:tc>
          <w:tcPr>
            <w:tcW w:w="728" w:type="pct"/>
            <w:noWrap/>
            <w:vAlign w:val="center"/>
          </w:tcPr>
          <w:p w14:paraId="1DE7BBF7">
            <w:pPr>
              <w:pStyle w:val="26"/>
              <w:bidi w:val="0"/>
              <w:jc w:val="center"/>
              <w:rPr>
                <w:rFonts w:hint="eastAsia"/>
                <w:lang w:val="en-US" w:eastAsia="zh-CN"/>
              </w:rPr>
            </w:pPr>
            <w:r>
              <w:t>2000</w:t>
            </w:r>
          </w:p>
        </w:tc>
        <w:tc>
          <w:tcPr>
            <w:tcW w:w="709" w:type="pct"/>
            <w:vMerge w:val="continue"/>
            <w:vAlign w:val="center"/>
          </w:tcPr>
          <w:p w14:paraId="2961FAF9">
            <w:pPr>
              <w:pStyle w:val="26"/>
              <w:bidi w:val="0"/>
              <w:jc w:val="center"/>
              <w:rPr>
                <w:color w:val="auto"/>
                <w:highlight w:val="none"/>
                <w:lang w:val="en-US" w:eastAsia="zh-CN"/>
              </w:rPr>
            </w:pPr>
          </w:p>
        </w:tc>
        <w:tc>
          <w:tcPr>
            <w:tcW w:w="826" w:type="pct"/>
            <w:shd w:val="clear" w:color="auto" w:fill="auto"/>
            <w:noWrap/>
            <w:vAlign w:val="center"/>
          </w:tcPr>
          <w:p w14:paraId="573EABF4">
            <w:pPr>
              <w:pStyle w:val="26"/>
              <w:bidi w:val="0"/>
              <w:jc w:val="center"/>
              <w:rPr>
                <w:rFonts w:hint="eastAsia"/>
                <w:lang w:val="en-US" w:eastAsia="zh-CN"/>
              </w:rPr>
            </w:pPr>
            <w:r>
              <w:t>东南</w:t>
            </w:r>
          </w:p>
        </w:tc>
        <w:tc>
          <w:tcPr>
            <w:tcW w:w="826" w:type="pct"/>
            <w:shd w:val="clear" w:color="auto" w:fill="auto"/>
            <w:noWrap/>
            <w:vAlign w:val="center"/>
          </w:tcPr>
          <w:p w14:paraId="6925B974">
            <w:pPr>
              <w:pStyle w:val="26"/>
              <w:bidi w:val="0"/>
              <w:jc w:val="center"/>
              <w:rPr>
                <w:rFonts w:hint="eastAsia"/>
                <w:lang w:val="en-US" w:eastAsia="zh-CN"/>
              </w:rPr>
            </w:pPr>
            <w:r>
              <w:t>4215</w:t>
            </w:r>
          </w:p>
        </w:tc>
      </w:tr>
      <w:tr w14:paraId="1B86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0C423E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70</w:t>
            </w:r>
          </w:p>
        </w:tc>
        <w:tc>
          <w:tcPr>
            <w:tcW w:w="939" w:type="pct"/>
            <w:noWrap/>
            <w:vAlign w:val="center"/>
          </w:tcPr>
          <w:p w14:paraId="4B99EC8E">
            <w:pPr>
              <w:pStyle w:val="26"/>
              <w:bidi w:val="0"/>
              <w:jc w:val="center"/>
              <w:rPr>
                <w:rFonts w:hint="eastAsia"/>
                <w:lang w:val="en-US" w:eastAsia="zh-CN"/>
              </w:rPr>
            </w:pPr>
            <w:r>
              <w:t>鑫苑刘府</w:t>
            </w:r>
          </w:p>
        </w:tc>
        <w:tc>
          <w:tcPr>
            <w:tcW w:w="609" w:type="pct"/>
            <w:vAlign w:val="center"/>
          </w:tcPr>
          <w:p w14:paraId="14D3D98C">
            <w:pPr>
              <w:pStyle w:val="26"/>
              <w:bidi w:val="0"/>
              <w:jc w:val="center"/>
              <w:rPr>
                <w:lang w:val="en-US" w:eastAsia="zh-CN"/>
              </w:rPr>
            </w:pPr>
            <w:r>
              <w:t>居民区</w:t>
            </w:r>
          </w:p>
        </w:tc>
        <w:tc>
          <w:tcPr>
            <w:tcW w:w="728" w:type="pct"/>
            <w:noWrap/>
            <w:vAlign w:val="center"/>
          </w:tcPr>
          <w:p w14:paraId="4EF7C2A7">
            <w:pPr>
              <w:pStyle w:val="26"/>
              <w:bidi w:val="0"/>
              <w:jc w:val="center"/>
              <w:rPr>
                <w:rFonts w:hint="eastAsia"/>
                <w:lang w:val="en-US" w:eastAsia="zh-CN"/>
              </w:rPr>
            </w:pPr>
            <w:r>
              <w:t>7700</w:t>
            </w:r>
          </w:p>
        </w:tc>
        <w:tc>
          <w:tcPr>
            <w:tcW w:w="709" w:type="pct"/>
            <w:vMerge w:val="continue"/>
            <w:vAlign w:val="center"/>
          </w:tcPr>
          <w:p w14:paraId="46B000A2">
            <w:pPr>
              <w:pStyle w:val="26"/>
              <w:bidi w:val="0"/>
              <w:jc w:val="center"/>
              <w:rPr>
                <w:color w:val="auto"/>
                <w:highlight w:val="none"/>
                <w:lang w:val="en-US" w:eastAsia="zh-CN"/>
              </w:rPr>
            </w:pPr>
          </w:p>
        </w:tc>
        <w:tc>
          <w:tcPr>
            <w:tcW w:w="826" w:type="pct"/>
            <w:shd w:val="clear" w:color="auto" w:fill="auto"/>
            <w:noWrap/>
            <w:vAlign w:val="center"/>
          </w:tcPr>
          <w:p w14:paraId="325A01EC">
            <w:pPr>
              <w:pStyle w:val="26"/>
              <w:bidi w:val="0"/>
              <w:jc w:val="center"/>
              <w:rPr>
                <w:rFonts w:hint="eastAsia"/>
                <w:lang w:val="en-US" w:eastAsia="zh-CN"/>
              </w:rPr>
            </w:pPr>
            <w:r>
              <w:t>东南</w:t>
            </w:r>
          </w:p>
        </w:tc>
        <w:tc>
          <w:tcPr>
            <w:tcW w:w="826" w:type="pct"/>
            <w:shd w:val="clear" w:color="auto" w:fill="auto"/>
            <w:noWrap/>
            <w:vAlign w:val="center"/>
          </w:tcPr>
          <w:p w14:paraId="77AB8B12">
            <w:pPr>
              <w:pStyle w:val="26"/>
              <w:bidi w:val="0"/>
              <w:jc w:val="center"/>
              <w:rPr>
                <w:rFonts w:hint="eastAsia"/>
                <w:lang w:val="en-US" w:eastAsia="zh-CN"/>
              </w:rPr>
            </w:pPr>
            <w:r>
              <w:t>4320</w:t>
            </w:r>
          </w:p>
        </w:tc>
      </w:tr>
      <w:tr w14:paraId="6453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02C84C0">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71</w:t>
            </w:r>
          </w:p>
        </w:tc>
        <w:tc>
          <w:tcPr>
            <w:tcW w:w="939" w:type="pct"/>
            <w:noWrap/>
            <w:vAlign w:val="center"/>
          </w:tcPr>
          <w:p w14:paraId="116E74E1">
            <w:pPr>
              <w:pStyle w:val="26"/>
              <w:bidi w:val="0"/>
              <w:jc w:val="center"/>
              <w:rPr>
                <w:rFonts w:hint="eastAsia"/>
                <w:lang w:val="en-US" w:eastAsia="zh-CN"/>
              </w:rPr>
            </w:pPr>
            <w:r>
              <w:t>鑫苑国际城市花园</w:t>
            </w:r>
          </w:p>
        </w:tc>
        <w:tc>
          <w:tcPr>
            <w:tcW w:w="609" w:type="pct"/>
            <w:vAlign w:val="center"/>
          </w:tcPr>
          <w:p w14:paraId="15A5561D">
            <w:pPr>
              <w:pStyle w:val="26"/>
              <w:bidi w:val="0"/>
              <w:jc w:val="center"/>
              <w:rPr>
                <w:lang w:val="en-US" w:eastAsia="zh-CN"/>
              </w:rPr>
            </w:pPr>
            <w:r>
              <w:t>居民区</w:t>
            </w:r>
          </w:p>
        </w:tc>
        <w:tc>
          <w:tcPr>
            <w:tcW w:w="728" w:type="pct"/>
            <w:noWrap/>
            <w:vAlign w:val="center"/>
          </w:tcPr>
          <w:p w14:paraId="0EE33BB5">
            <w:pPr>
              <w:pStyle w:val="26"/>
              <w:bidi w:val="0"/>
              <w:jc w:val="center"/>
              <w:rPr>
                <w:rFonts w:hint="eastAsia"/>
                <w:lang w:val="en-US" w:eastAsia="zh-CN"/>
              </w:rPr>
            </w:pPr>
            <w:r>
              <w:t>7900</w:t>
            </w:r>
          </w:p>
        </w:tc>
        <w:tc>
          <w:tcPr>
            <w:tcW w:w="709" w:type="pct"/>
            <w:vMerge w:val="continue"/>
            <w:vAlign w:val="center"/>
          </w:tcPr>
          <w:p w14:paraId="5C10F500">
            <w:pPr>
              <w:pStyle w:val="26"/>
              <w:bidi w:val="0"/>
              <w:jc w:val="center"/>
              <w:rPr>
                <w:color w:val="auto"/>
                <w:highlight w:val="none"/>
                <w:lang w:val="en-US" w:eastAsia="zh-CN"/>
              </w:rPr>
            </w:pPr>
          </w:p>
        </w:tc>
        <w:tc>
          <w:tcPr>
            <w:tcW w:w="826" w:type="pct"/>
            <w:shd w:val="clear" w:color="auto" w:fill="auto"/>
            <w:noWrap/>
            <w:vAlign w:val="center"/>
          </w:tcPr>
          <w:p w14:paraId="582EAF51">
            <w:pPr>
              <w:pStyle w:val="26"/>
              <w:bidi w:val="0"/>
              <w:jc w:val="center"/>
              <w:rPr>
                <w:rFonts w:hint="eastAsia"/>
                <w:lang w:val="en-US" w:eastAsia="zh-CN"/>
              </w:rPr>
            </w:pPr>
            <w:r>
              <w:t>东南</w:t>
            </w:r>
          </w:p>
        </w:tc>
        <w:tc>
          <w:tcPr>
            <w:tcW w:w="826" w:type="pct"/>
            <w:shd w:val="clear" w:color="auto" w:fill="auto"/>
            <w:noWrap/>
            <w:vAlign w:val="center"/>
          </w:tcPr>
          <w:p w14:paraId="575968B1">
            <w:pPr>
              <w:pStyle w:val="26"/>
              <w:bidi w:val="0"/>
              <w:jc w:val="center"/>
              <w:rPr>
                <w:rFonts w:hint="eastAsia"/>
                <w:lang w:val="en-US" w:eastAsia="zh-CN"/>
              </w:rPr>
            </w:pPr>
            <w:r>
              <w:t>3790</w:t>
            </w:r>
          </w:p>
        </w:tc>
      </w:tr>
      <w:tr w14:paraId="4CF8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EAB9BA7">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72</w:t>
            </w:r>
          </w:p>
        </w:tc>
        <w:tc>
          <w:tcPr>
            <w:tcW w:w="939" w:type="pct"/>
            <w:noWrap/>
            <w:vAlign w:val="center"/>
          </w:tcPr>
          <w:p w14:paraId="1A27649E">
            <w:pPr>
              <w:pStyle w:val="26"/>
              <w:bidi w:val="0"/>
              <w:jc w:val="center"/>
              <w:rPr>
                <w:rFonts w:hint="eastAsia"/>
                <w:lang w:val="en-US" w:eastAsia="zh-CN"/>
              </w:rPr>
            </w:pPr>
            <w:r>
              <w:t>时代嘉苑</w:t>
            </w:r>
          </w:p>
        </w:tc>
        <w:tc>
          <w:tcPr>
            <w:tcW w:w="609" w:type="pct"/>
            <w:vAlign w:val="center"/>
          </w:tcPr>
          <w:p w14:paraId="60DE2E2D">
            <w:pPr>
              <w:pStyle w:val="26"/>
              <w:bidi w:val="0"/>
              <w:jc w:val="center"/>
              <w:rPr>
                <w:lang w:val="en-US" w:eastAsia="zh-CN"/>
              </w:rPr>
            </w:pPr>
            <w:r>
              <w:t>居民区</w:t>
            </w:r>
          </w:p>
        </w:tc>
        <w:tc>
          <w:tcPr>
            <w:tcW w:w="728" w:type="pct"/>
            <w:noWrap/>
            <w:vAlign w:val="center"/>
          </w:tcPr>
          <w:p w14:paraId="4E5B8930">
            <w:pPr>
              <w:pStyle w:val="26"/>
              <w:bidi w:val="0"/>
              <w:jc w:val="center"/>
              <w:rPr>
                <w:rFonts w:hint="eastAsia"/>
                <w:lang w:val="en-US" w:eastAsia="zh-CN"/>
              </w:rPr>
            </w:pPr>
            <w:r>
              <w:t>2970</w:t>
            </w:r>
          </w:p>
        </w:tc>
        <w:tc>
          <w:tcPr>
            <w:tcW w:w="709" w:type="pct"/>
            <w:vMerge w:val="continue"/>
            <w:vAlign w:val="center"/>
          </w:tcPr>
          <w:p w14:paraId="7AF69E27">
            <w:pPr>
              <w:pStyle w:val="26"/>
              <w:bidi w:val="0"/>
              <w:jc w:val="center"/>
              <w:rPr>
                <w:color w:val="auto"/>
                <w:highlight w:val="none"/>
                <w:lang w:val="en-US" w:eastAsia="zh-CN"/>
              </w:rPr>
            </w:pPr>
          </w:p>
        </w:tc>
        <w:tc>
          <w:tcPr>
            <w:tcW w:w="826" w:type="pct"/>
            <w:shd w:val="clear" w:color="auto" w:fill="auto"/>
            <w:noWrap/>
            <w:vAlign w:val="center"/>
          </w:tcPr>
          <w:p w14:paraId="06E867B4">
            <w:pPr>
              <w:pStyle w:val="26"/>
              <w:bidi w:val="0"/>
              <w:jc w:val="center"/>
              <w:rPr>
                <w:rFonts w:hint="eastAsia"/>
                <w:lang w:val="en-US" w:eastAsia="zh-CN"/>
              </w:rPr>
            </w:pPr>
            <w:r>
              <w:t>东南</w:t>
            </w:r>
          </w:p>
        </w:tc>
        <w:tc>
          <w:tcPr>
            <w:tcW w:w="826" w:type="pct"/>
            <w:shd w:val="clear" w:color="auto" w:fill="auto"/>
            <w:noWrap/>
            <w:vAlign w:val="center"/>
          </w:tcPr>
          <w:p w14:paraId="29E81817">
            <w:pPr>
              <w:pStyle w:val="26"/>
              <w:bidi w:val="0"/>
              <w:jc w:val="center"/>
              <w:rPr>
                <w:rFonts w:hint="eastAsia"/>
                <w:lang w:val="en-US" w:eastAsia="zh-CN"/>
              </w:rPr>
            </w:pPr>
            <w:r>
              <w:t>3810</w:t>
            </w:r>
          </w:p>
        </w:tc>
      </w:tr>
      <w:tr w14:paraId="34A9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822F220">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73</w:t>
            </w:r>
          </w:p>
        </w:tc>
        <w:tc>
          <w:tcPr>
            <w:tcW w:w="939" w:type="pct"/>
            <w:noWrap/>
            <w:vAlign w:val="center"/>
          </w:tcPr>
          <w:p w14:paraId="71700970">
            <w:pPr>
              <w:pStyle w:val="26"/>
              <w:bidi w:val="0"/>
              <w:jc w:val="center"/>
              <w:rPr>
                <w:rFonts w:hint="eastAsia"/>
                <w:lang w:val="en-US" w:eastAsia="zh-CN"/>
              </w:rPr>
            </w:pPr>
            <w:r>
              <w:t>启航社－河东区</w:t>
            </w:r>
          </w:p>
        </w:tc>
        <w:tc>
          <w:tcPr>
            <w:tcW w:w="609" w:type="pct"/>
            <w:vAlign w:val="center"/>
          </w:tcPr>
          <w:p w14:paraId="04A7DE19">
            <w:pPr>
              <w:pStyle w:val="26"/>
              <w:bidi w:val="0"/>
              <w:jc w:val="center"/>
              <w:rPr>
                <w:lang w:val="en-US" w:eastAsia="zh-CN"/>
              </w:rPr>
            </w:pPr>
            <w:r>
              <w:t>居民区</w:t>
            </w:r>
          </w:p>
        </w:tc>
        <w:tc>
          <w:tcPr>
            <w:tcW w:w="728" w:type="pct"/>
            <w:noWrap/>
            <w:vAlign w:val="center"/>
          </w:tcPr>
          <w:p w14:paraId="4EE97D66">
            <w:pPr>
              <w:pStyle w:val="26"/>
              <w:bidi w:val="0"/>
              <w:jc w:val="center"/>
              <w:rPr>
                <w:rFonts w:hint="eastAsia"/>
                <w:lang w:val="en-US" w:eastAsia="zh-CN"/>
              </w:rPr>
            </w:pPr>
            <w:r>
              <w:t>9297</w:t>
            </w:r>
          </w:p>
        </w:tc>
        <w:tc>
          <w:tcPr>
            <w:tcW w:w="709" w:type="pct"/>
            <w:vMerge w:val="continue"/>
            <w:vAlign w:val="center"/>
          </w:tcPr>
          <w:p w14:paraId="63354C33">
            <w:pPr>
              <w:pStyle w:val="26"/>
              <w:bidi w:val="0"/>
              <w:jc w:val="center"/>
              <w:rPr>
                <w:color w:val="auto"/>
                <w:highlight w:val="none"/>
                <w:lang w:val="en-US" w:eastAsia="zh-CN"/>
              </w:rPr>
            </w:pPr>
          </w:p>
        </w:tc>
        <w:tc>
          <w:tcPr>
            <w:tcW w:w="826" w:type="pct"/>
            <w:shd w:val="clear" w:color="auto" w:fill="auto"/>
            <w:noWrap/>
            <w:vAlign w:val="center"/>
          </w:tcPr>
          <w:p w14:paraId="48F9CB85">
            <w:pPr>
              <w:pStyle w:val="26"/>
              <w:bidi w:val="0"/>
              <w:jc w:val="center"/>
              <w:rPr>
                <w:rFonts w:hint="eastAsia"/>
                <w:lang w:val="en-US" w:eastAsia="zh-CN"/>
              </w:rPr>
            </w:pPr>
            <w:r>
              <w:t>东南</w:t>
            </w:r>
          </w:p>
        </w:tc>
        <w:tc>
          <w:tcPr>
            <w:tcW w:w="826" w:type="pct"/>
            <w:shd w:val="clear" w:color="auto" w:fill="auto"/>
            <w:noWrap/>
            <w:vAlign w:val="center"/>
          </w:tcPr>
          <w:p w14:paraId="2BDDE0E0">
            <w:pPr>
              <w:pStyle w:val="26"/>
              <w:bidi w:val="0"/>
              <w:jc w:val="center"/>
              <w:rPr>
                <w:rFonts w:hint="eastAsia"/>
                <w:lang w:val="en-US" w:eastAsia="zh-CN"/>
              </w:rPr>
            </w:pPr>
            <w:r>
              <w:t>3218</w:t>
            </w:r>
          </w:p>
        </w:tc>
      </w:tr>
      <w:tr w14:paraId="796C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5458D37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74</w:t>
            </w:r>
          </w:p>
        </w:tc>
        <w:tc>
          <w:tcPr>
            <w:tcW w:w="939" w:type="pct"/>
            <w:noWrap/>
            <w:vAlign w:val="center"/>
          </w:tcPr>
          <w:p w14:paraId="282E620C">
            <w:pPr>
              <w:pStyle w:val="26"/>
              <w:bidi w:val="0"/>
              <w:jc w:val="center"/>
              <w:rPr>
                <w:rFonts w:hint="eastAsia"/>
                <w:lang w:val="en-US" w:eastAsia="zh-CN"/>
              </w:rPr>
            </w:pPr>
            <w:r>
              <w:t>绿地新瑅香公馆</w:t>
            </w:r>
          </w:p>
        </w:tc>
        <w:tc>
          <w:tcPr>
            <w:tcW w:w="609" w:type="pct"/>
            <w:vAlign w:val="center"/>
          </w:tcPr>
          <w:p w14:paraId="7B64F7DA">
            <w:pPr>
              <w:pStyle w:val="26"/>
              <w:bidi w:val="0"/>
              <w:jc w:val="center"/>
              <w:rPr>
                <w:lang w:val="en-US" w:eastAsia="zh-CN"/>
              </w:rPr>
            </w:pPr>
            <w:r>
              <w:t>居民区</w:t>
            </w:r>
          </w:p>
        </w:tc>
        <w:tc>
          <w:tcPr>
            <w:tcW w:w="728" w:type="pct"/>
            <w:noWrap/>
            <w:vAlign w:val="center"/>
          </w:tcPr>
          <w:p w14:paraId="76EDEB3E">
            <w:pPr>
              <w:pStyle w:val="26"/>
              <w:bidi w:val="0"/>
              <w:jc w:val="center"/>
              <w:rPr>
                <w:rFonts w:hint="eastAsia"/>
                <w:lang w:val="en-US" w:eastAsia="zh-CN"/>
              </w:rPr>
            </w:pPr>
            <w:r>
              <w:t>9696</w:t>
            </w:r>
          </w:p>
        </w:tc>
        <w:tc>
          <w:tcPr>
            <w:tcW w:w="709" w:type="pct"/>
            <w:vMerge w:val="continue"/>
            <w:vAlign w:val="center"/>
          </w:tcPr>
          <w:p w14:paraId="5F7FD5E8">
            <w:pPr>
              <w:pStyle w:val="26"/>
              <w:bidi w:val="0"/>
              <w:jc w:val="center"/>
              <w:rPr>
                <w:color w:val="auto"/>
                <w:highlight w:val="none"/>
                <w:lang w:val="en-US" w:eastAsia="zh-CN"/>
              </w:rPr>
            </w:pPr>
          </w:p>
        </w:tc>
        <w:tc>
          <w:tcPr>
            <w:tcW w:w="826" w:type="pct"/>
            <w:shd w:val="clear" w:color="auto" w:fill="auto"/>
            <w:noWrap/>
            <w:vAlign w:val="center"/>
          </w:tcPr>
          <w:p w14:paraId="4B0F5750">
            <w:pPr>
              <w:pStyle w:val="26"/>
              <w:bidi w:val="0"/>
              <w:jc w:val="center"/>
              <w:rPr>
                <w:rFonts w:hint="eastAsia"/>
                <w:lang w:val="en-US" w:eastAsia="zh-CN"/>
              </w:rPr>
            </w:pPr>
            <w:r>
              <w:t>东南</w:t>
            </w:r>
          </w:p>
        </w:tc>
        <w:tc>
          <w:tcPr>
            <w:tcW w:w="826" w:type="pct"/>
            <w:shd w:val="clear" w:color="auto" w:fill="auto"/>
            <w:noWrap/>
            <w:vAlign w:val="center"/>
          </w:tcPr>
          <w:p w14:paraId="553B3244">
            <w:pPr>
              <w:pStyle w:val="26"/>
              <w:bidi w:val="0"/>
              <w:jc w:val="center"/>
              <w:rPr>
                <w:rFonts w:hint="eastAsia"/>
                <w:lang w:val="en-US" w:eastAsia="zh-CN"/>
              </w:rPr>
            </w:pPr>
            <w:r>
              <w:t>3480</w:t>
            </w:r>
          </w:p>
        </w:tc>
      </w:tr>
      <w:tr w14:paraId="6911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011A9B21">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75</w:t>
            </w:r>
          </w:p>
        </w:tc>
        <w:tc>
          <w:tcPr>
            <w:tcW w:w="939" w:type="pct"/>
            <w:noWrap/>
            <w:vAlign w:val="center"/>
          </w:tcPr>
          <w:p w14:paraId="768CDA1B">
            <w:pPr>
              <w:pStyle w:val="26"/>
              <w:bidi w:val="0"/>
              <w:jc w:val="center"/>
              <w:rPr>
                <w:rFonts w:hint="eastAsia"/>
                <w:lang w:val="en-US" w:eastAsia="zh-CN"/>
              </w:rPr>
            </w:pPr>
            <w:r>
              <w:t>启航社－河西区</w:t>
            </w:r>
          </w:p>
        </w:tc>
        <w:tc>
          <w:tcPr>
            <w:tcW w:w="609" w:type="pct"/>
            <w:vAlign w:val="center"/>
          </w:tcPr>
          <w:p w14:paraId="3BABF0E3">
            <w:pPr>
              <w:pStyle w:val="26"/>
              <w:bidi w:val="0"/>
              <w:jc w:val="center"/>
              <w:rPr>
                <w:lang w:val="en-US" w:eastAsia="zh-CN"/>
              </w:rPr>
            </w:pPr>
            <w:r>
              <w:t>居民区</w:t>
            </w:r>
          </w:p>
        </w:tc>
        <w:tc>
          <w:tcPr>
            <w:tcW w:w="728" w:type="pct"/>
            <w:noWrap/>
            <w:vAlign w:val="center"/>
          </w:tcPr>
          <w:p w14:paraId="1D3E68E3">
            <w:pPr>
              <w:pStyle w:val="26"/>
              <w:bidi w:val="0"/>
              <w:jc w:val="center"/>
              <w:rPr>
                <w:rFonts w:hint="eastAsia"/>
                <w:lang w:val="en-US" w:eastAsia="zh-CN"/>
              </w:rPr>
            </w:pPr>
            <w:r>
              <w:t>3963</w:t>
            </w:r>
          </w:p>
        </w:tc>
        <w:tc>
          <w:tcPr>
            <w:tcW w:w="709" w:type="pct"/>
            <w:vMerge w:val="continue"/>
            <w:vAlign w:val="center"/>
          </w:tcPr>
          <w:p w14:paraId="082523E6">
            <w:pPr>
              <w:pStyle w:val="26"/>
              <w:bidi w:val="0"/>
              <w:jc w:val="center"/>
              <w:rPr>
                <w:color w:val="auto"/>
                <w:highlight w:val="none"/>
                <w:lang w:val="en-US" w:eastAsia="zh-CN"/>
              </w:rPr>
            </w:pPr>
          </w:p>
        </w:tc>
        <w:tc>
          <w:tcPr>
            <w:tcW w:w="826" w:type="pct"/>
            <w:shd w:val="clear" w:color="auto" w:fill="auto"/>
            <w:noWrap/>
            <w:vAlign w:val="center"/>
          </w:tcPr>
          <w:p w14:paraId="2379D612">
            <w:pPr>
              <w:pStyle w:val="26"/>
              <w:bidi w:val="0"/>
              <w:jc w:val="center"/>
              <w:rPr>
                <w:rFonts w:hint="eastAsia"/>
                <w:lang w:val="en-US" w:eastAsia="zh-CN"/>
              </w:rPr>
            </w:pPr>
            <w:r>
              <w:t>东南</w:t>
            </w:r>
          </w:p>
        </w:tc>
        <w:tc>
          <w:tcPr>
            <w:tcW w:w="826" w:type="pct"/>
            <w:shd w:val="clear" w:color="auto" w:fill="auto"/>
            <w:noWrap/>
            <w:vAlign w:val="center"/>
          </w:tcPr>
          <w:p w14:paraId="317CD092">
            <w:pPr>
              <w:pStyle w:val="26"/>
              <w:bidi w:val="0"/>
              <w:jc w:val="center"/>
              <w:rPr>
                <w:rFonts w:hint="eastAsia"/>
                <w:lang w:val="en-US" w:eastAsia="zh-CN"/>
              </w:rPr>
            </w:pPr>
            <w:r>
              <w:t>3320</w:t>
            </w:r>
          </w:p>
        </w:tc>
      </w:tr>
      <w:tr w14:paraId="273D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C86E4C5">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76</w:t>
            </w:r>
          </w:p>
        </w:tc>
        <w:tc>
          <w:tcPr>
            <w:tcW w:w="939" w:type="pct"/>
            <w:noWrap/>
            <w:vAlign w:val="center"/>
          </w:tcPr>
          <w:p w14:paraId="7F7BC72E">
            <w:pPr>
              <w:pStyle w:val="26"/>
              <w:bidi w:val="0"/>
              <w:jc w:val="center"/>
              <w:rPr>
                <w:rFonts w:hint="eastAsia"/>
                <w:lang w:val="en-US" w:eastAsia="zh-CN"/>
              </w:rPr>
            </w:pPr>
            <w:r>
              <w:t>新城郡尚海香悦花园</w:t>
            </w:r>
          </w:p>
        </w:tc>
        <w:tc>
          <w:tcPr>
            <w:tcW w:w="609" w:type="pct"/>
            <w:vAlign w:val="center"/>
          </w:tcPr>
          <w:p w14:paraId="16BCB533">
            <w:pPr>
              <w:pStyle w:val="26"/>
              <w:bidi w:val="0"/>
              <w:jc w:val="center"/>
              <w:rPr>
                <w:lang w:val="en-US" w:eastAsia="zh-CN"/>
              </w:rPr>
            </w:pPr>
            <w:r>
              <w:t>居民区</w:t>
            </w:r>
          </w:p>
        </w:tc>
        <w:tc>
          <w:tcPr>
            <w:tcW w:w="728" w:type="pct"/>
            <w:noWrap/>
            <w:vAlign w:val="center"/>
          </w:tcPr>
          <w:p w14:paraId="74D8E5E9">
            <w:pPr>
              <w:pStyle w:val="26"/>
              <w:bidi w:val="0"/>
              <w:jc w:val="center"/>
              <w:rPr>
                <w:rFonts w:hint="eastAsia"/>
                <w:lang w:val="en-US" w:eastAsia="zh-CN"/>
              </w:rPr>
            </w:pPr>
            <w:r>
              <w:t>6102</w:t>
            </w:r>
          </w:p>
        </w:tc>
        <w:tc>
          <w:tcPr>
            <w:tcW w:w="709" w:type="pct"/>
            <w:vMerge w:val="continue"/>
            <w:vAlign w:val="center"/>
          </w:tcPr>
          <w:p w14:paraId="32988F28">
            <w:pPr>
              <w:pStyle w:val="26"/>
              <w:bidi w:val="0"/>
              <w:jc w:val="center"/>
              <w:rPr>
                <w:color w:val="auto"/>
                <w:highlight w:val="none"/>
                <w:lang w:val="en-US" w:eastAsia="zh-CN"/>
              </w:rPr>
            </w:pPr>
          </w:p>
        </w:tc>
        <w:tc>
          <w:tcPr>
            <w:tcW w:w="826" w:type="pct"/>
            <w:shd w:val="clear" w:color="auto" w:fill="auto"/>
            <w:noWrap/>
            <w:vAlign w:val="center"/>
          </w:tcPr>
          <w:p w14:paraId="06E279E8">
            <w:pPr>
              <w:pStyle w:val="26"/>
              <w:bidi w:val="0"/>
              <w:jc w:val="center"/>
              <w:rPr>
                <w:rFonts w:hint="eastAsia"/>
                <w:lang w:val="en-US" w:eastAsia="zh-CN"/>
              </w:rPr>
            </w:pPr>
            <w:r>
              <w:t>东南</w:t>
            </w:r>
          </w:p>
        </w:tc>
        <w:tc>
          <w:tcPr>
            <w:tcW w:w="826" w:type="pct"/>
            <w:shd w:val="clear" w:color="auto" w:fill="auto"/>
            <w:noWrap/>
            <w:vAlign w:val="center"/>
          </w:tcPr>
          <w:p w14:paraId="2FE0FD0D">
            <w:pPr>
              <w:pStyle w:val="26"/>
              <w:bidi w:val="0"/>
              <w:jc w:val="center"/>
              <w:rPr>
                <w:rFonts w:hint="eastAsia"/>
                <w:lang w:val="en-US" w:eastAsia="zh-CN"/>
              </w:rPr>
            </w:pPr>
            <w:r>
              <w:t>3284</w:t>
            </w:r>
          </w:p>
        </w:tc>
      </w:tr>
      <w:tr w14:paraId="4464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6DB8F8FE">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77</w:t>
            </w:r>
          </w:p>
        </w:tc>
        <w:tc>
          <w:tcPr>
            <w:tcW w:w="939" w:type="pct"/>
            <w:noWrap/>
            <w:vAlign w:val="center"/>
          </w:tcPr>
          <w:p w14:paraId="42D817DE">
            <w:pPr>
              <w:pStyle w:val="26"/>
              <w:bidi w:val="0"/>
              <w:jc w:val="center"/>
              <w:rPr>
                <w:rFonts w:hint="eastAsia"/>
                <w:lang w:val="en-US" w:eastAsia="zh-CN"/>
              </w:rPr>
            </w:pPr>
            <w:r>
              <w:t>星汇兰亭</w:t>
            </w:r>
          </w:p>
        </w:tc>
        <w:tc>
          <w:tcPr>
            <w:tcW w:w="609" w:type="pct"/>
            <w:vAlign w:val="center"/>
          </w:tcPr>
          <w:p w14:paraId="129E3FF1">
            <w:pPr>
              <w:pStyle w:val="26"/>
              <w:bidi w:val="0"/>
              <w:jc w:val="center"/>
              <w:rPr>
                <w:lang w:val="en-US" w:eastAsia="zh-CN"/>
              </w:rPr>
            </w:pPr>
            <w:r>
              <w:t>居民区</w:t>
            </w:r>
          </w:p>
        </w:tc>
        <w:tc>
          <w:tcPr>
            <w:tcW w:w="728" w:type="pct"/>
            <w:noWrap/>
            <w:vAlign w:val="center"/>
          </w:tcPr>
          <w:p w14:paraId="0AE44B10">
            <w:pPr>
              <w:pStyle w:val="26"/>
              <w:bidi w:val="0"/>
              <w:jc w:val="center"/>
              <w:rPr>
                <w:rFonts w:hint="eastAsia"/>
                <w:lang w:val="en-US" w:eastAsia="zh-CN"/>
              </w:rPr>
            </w:pPr>
            <w:r>
              <w:t>4872</w:t>
            </w:r>
          </w:p>
        </w:tc>
        <w:tc>
          <w:tcPr>
            <w:tcW w:w="709" w:type="pct"/>
            <w:vMerge w:val="continue"/>
            <w:vAlign w:val="center"/>
          </w:tcPr>
          <w:p w14:paraId="1819CC8D">
            <w:pPr>
              <w:pStyle w:val="26"/>
              <w:bidi w:val="0"/>
              <w:jc w:val="center"/>
              <w:rPr>
                <w:color w:val="auto"/>
                <w:highlight w:val="none"/>
                <w:lang w:val="en-US" w:eastAsia="zh-CN"/>
              </w:rPr>
            </w:pPr>
          </w:p>
        </w:tc>
        <w:tc>
          <w:tcPr>
            <w:tcW w:w="826" w:type="pct"/>
            <w:shd w:val="clear" w:color="auto" w:fill="auto"/>
            <w:noWrap/>
            <w:vAlign w:val="center"/>
          </w:tcPr>
          <w:p w14:paraId="43014763">
            <w:pPr>
              <w:pStyle w:val="26"/>
              <w:bidi w:val="0"/>
              <w:jc w:val="center"/>
              <w:rPr>
                <w:rFonts w:hint="eastAsia"/>
                <w:lang w:val="en-US" w:eastAsia="zh-CN"/>
              </w:rPr>
            </w:pPr>
            <w:r>
              <w:t>东南</w:t>
            </w:r>
          </w:p>
        </w:tc>
        <w:tc>
          <w:tcPr>
            <w:tcW w:w="826" w:type="pct"/>
            <w:shd w:val="clear" w:color="auto" w:fill="auto"/>
            <w:noWrap/>
            <w:vAlign w:val="center"/>
          </w:tcPr>
          <w:p w14:paraId="021EFE68">
            <w:pPr>
              <w:pStyle w:val="26"/>
              <w:bidi w:val="0"/>
              <w:jc w:val="center"/>
              <w:rPr>
                <w:rFonts w:hint="eastAsia"/>
                <w:lang w:val="en-US" w:eastAsia="zh-CN"/>
              </w:rPr>
            </w:pPr>
            <w:r>
              <w:t>3020</w:t>
            </w:r>
          </w:p>
        </w:tc>
      </w:tr>
      <w:tr w14:paraId="38DF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D968C7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78</w:t>
            </w:r>
          </w:p>
        </w:tc>
        <w:tc>
          <w:tcPr>
            <w:tcW w:w="939" w:type="pct"/>
            <w:noWrap/>
            <w:vAlign w:val="center"/>
          </w:tcPr>
          <w:p w14:paraId="3F7FC53E">
            <w:pPr>
              <w:pStyle w:val="26"/>
              <w:bidi w:val="0"/>
              <w:jc w:val="center"/>
              <w:rPr>
                <w:rFonts w:hint="eastAsia"/>
                <w:lang w:val="en-US" w:eastAsia="zh-CN"/>
              </w:rPr>
            </w:pPr>
            <w:r>
              <w:t>天誉名邸</w:t>
            </w:r>
          </w:p>
        </w:tc>
        <w:tc>
          <w:tcPr>
            <w:tcW w:w="609" w:type="pct"/>
            <w:vAlign w:val="center"/>
          </w:tcPr>
          <w:p w14:paraId="4A63A40D">
            <w:pPr>
              <w:pStyle w:val="26"/>
              <w:bidi w:val="0"/>
              <w:jc w:val="center"/>
              <w:rPr>
                <w:lang w:val="en-US" w:eastAsia="zh-CN"/>
              </w:rPr>
            </w:pPr>
            <w:r>
              <w:t>居民区</w:t>
            </w:r>
          </w:p>
        </w:tc>
        <w:tc>
          <w:tcPr>
            <w:tcW w:w="728" w:type="pct"/>
            <w:noWrap/>
            <w:vAlign w:val="center"/>
          </w:tcPr>
          <w:p w14:paraId="6B98FB58">
            <w:pPr>
              <w:pStyle w:val="26"/>
              <w:bidi w:val="0"/>
              <w:jc w:val="center"/>
              <w:rPr>
                <w:rFonts w:hint="eastAsia"/>
                <w:lang w:val="en-US" w:eastAsia="zh-CN"/>
              </w:rPr>
            </w:pPr>
            <w:r>
              <w:t>8784</w:t>
            </w:r>
          </w:p>
        </w:tc>
        <w:tc>
          <w:tcPr>
            <w:tcW w:w="709" w:type="pct"/>
            <w:vMerge w:val="continue"/>
            <w:vAlign w:val="center"/>
          </w:tcPr>
          <w:p w14:paraId="2514118C">
            <w:pPr>
              <w:pStyle w:val="26"/>
              <w:bidi w:val="0"/>
              <w:jc w:val="center"/>
              <w:rPr>
                <w:color w:val="auto"/>
                <w:highlight w:val="none"/>
                <w:lang w:val="en-US" w:eastAsia="zh-CN"/>
              </w:rPr>
            </w:pPr>
          </w:p>
        </w:tc>
        <w:tc>
          <w:tcPr>
            <w:tcW w:w="826" w:type="pct"/>
            <w:shd w:val="clear" w:color="auto" w:fill="auto"/>
            <w:noWrap/>
            <w:vAlign w:val="center"/>
          </w:tcPr>
          <w:p w14:paraId="1EE9199D">
            <w:pPr>
              <w:pStyle w:val="26"/>
              <w:bidi w:val="0"/>
              <w:jc w:val="center"/>
              <w:rPr>
                <w:rFonts w:hint="eastAsia"/>
                <w:lang w:val="en-US" w:eastAsia="zh-CN"/>
              </w:rPr>
            </w:pPr>
            <w:r>
              <w:t>东南</w:t>
            </w:r>
          </w:p>
        </w:tc>
        <w:tc>
          <w:tcPr>
            <w:tcW w:w="826" w:type="pct"/>
            <w:shd w:val="clear" w:color="auto" w:fill="auto"/>
            <w:noWrap/>
            <w:vAlign w:val="center"/>
          </w:tcPr>
          <w:p w14:paraId="5FFB45EF">
            <w:pPr>
              <w:pStyle w:val="26"/>
              <w:bidi w:val="0"/>
              <w:jc w:val="center"/>
              <w:rPr>
                <w:rFonts w:hint="eastAsia"/>
                <w:lang w:val="en-US" w:eastAsia="zh-CN"/>
              </w:rPr>
            </w:pPr>
            <w:r>
              <w:t>2940</w:t>
            </w:r>
          </w:p>
        </w:tc>
      </w:tr>
      <w:tr w14:paraId="025A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26DC96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79</w:t>
            </w:r>
          </w:p>
        </w:tc>
        <w:tc>
          <w:tcPr>
            <w:tcW w:w="939" w:type="pct"/>
            <w:noWrap/>
            <w:vAlign w:val="center"/>
          </w:tcPr>
          <w:p w14:paraId="0C9ACD99">
            <w:pPr>
              <w:pStyle w:val="26"/>
              <w:bidi w:val="0"/>
              <w:jc w:val="center"/>
              <w:rPr>
                <w:rFonts w:hint="eastAsia"/>
                <w:lang w:val="en-US" w:eastAsia="zh-CN"/>
              </w:rPr>
            </w:pPr>
            <w:r>
              <w:t>公桥新村</w:t>
            </w:r>
          </w:p>
        </w:tc>
        <w:tc>
          <w:tcPr>
            <w:tcW w:w="609" w:type="pct"/>
            <w:vAlign w:val="center"/>
          </w:tcPr>
          <w:p w14:paraId="78ACE21D">
            <w:pPr>
              <w:pStyle w:val="26"/>
              <w:bidi w:val="0"/>
              <w:jc w:val="center"/>
              <w:rPr>
                <w:lang w:val="en-US" w:eastAsia="zh-CN"/>
              </w:rPr>
            </w:pPr>
            <w:r>
              <w:t>居民区</w:t>
            </w:r>
          </w:p>
        </w:tc>
        <w:tc>
          <w:tcPr>
            <w:tcW w:w="728" w:type="pct"/>
            <w:noWrap/>
            <w:vAlign w:val="center"/>
          </w:tcPr>
          <w:p w14:paraId="0300DA8B">
            <w:pPr>
              <w:pStyle w:val="26"/>
              <w:bidi w:val="0"/>
              <w:jc w:val="center"/>
              <w:rPr>
                <w:rFonts w:hint="eastAsia"/>
                <w:lang w:val="en-US" w:eastAsia="zh-CN"/>
              </w:rPr>
            </w:pPr>
            <w:r>
              <w:t>3561</w:t>
            </w:r>
          </w:p>
        </w:tc>
        <w:tc>
          <w:tcPr>
            <w:tcW w:w="709" w:type="pct"/>
            <w:vMerge w:val="continue"/>
            <w:vAlign w:val="center"/>
          </w:tcPr>
          <w:p w14:paraId="61A814E5">
            <w:pPr>
              <w:pStyle w:val="26"/>
              <w:bidi w:val="0"/>
              <w:jc w:val="center"/>
              <w:rPr>
                <w:color w:val="auto"/>
                <w:highlight w:val="none"/>
                <w:lang w:val="en-US" w:eastAsia="zh-CN"/>
              </w:rPr>
            </w:pPr>
          </w:p>
        </w:tc>
        <w:tc>
          <w:tcPr>
            <w:tcW w:w="826" w:type="pct"/>
            <w:shd w:val="clear" w:color="auto" w:fill="auto"/>
            <w:noWrap/>
            <w:vAlign w:val="center"/>
          </w:tcPr>
          <w:p w14:paraId="71A092CB">
            <w:pPr>
              <w:pStyle w:val="26"/>
              <w:bidi w:val="0"/>
              <w:jc w:val="center"/>
              <w:rPr>
                <w:rFonts w:hint="eastAsia"/>
                <w:lang w:val="en-US" w:eastAsia="zh-CN"/>
              </w:rPr>
            </w:pPr>
            <w:r>
              <w:t>东南</w:t>
            </w:r>
          </w:p>
        </w:tc>
        <w:tc>
          <w:tcPr>
            <w:tcW w:w="826" w:type="pct"/>
            <w:shd w:val="clear" w:color="auto" w:fill="auto"/>
            <w:noWrap/>
            <w:vAlign w:val="center"/>
          </w:tcPr>
          <w:p w14:paraId="0359211B">
            <w:pPr>
              <w:pStyle w:val="26"/>
              <w:bidi w:val="0"/>
              <w:jc w:val="center"/>
              <w:rPr>
                <w:rFonts w:hint="eastAsia"/>
                <w:lang w:val="en-US" w:eastAsia="zh-CN"/>
              </w:rPr>
            </w:pPr>
            <w:r>
              <w:t>2730</w:t>
            </w:r>
          </w:p>
        </w:tc>
      </w:tr>
      <w:tr w14:paraId="4B9A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AC5F76C">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80</w:t>
            </w:r>
          </w:p>
        </w:tc>
        <w:tc>
          <w:tcPr>
            <w:tcW w:w="939" w:type="pct"/>
            <w:noWrap/>
            <w:vAlign w:val="center"/>
          </w:tcPr>
          <w:p w14:paraId="2FE366B8">
            <w:pPr>
              <w:pStyle w:val="26"/>
              <w:bidi w:val="0"/>
              <w:jc w:val="center"/>
              <w:rPr>
                <w:rFonts w:hint="eastAsia"/>
                <w:lang w:val="en-US" w:eastAsia="zh-CN"/>
              </w:rPr>
            </w:pPr>
            <w:r>
              <w:t>梅浦新村</w:t>
            </w:r>
          </w:p>
        </w:tc>
        <w:tc>
          <w:tcPr>
            <w:tcW w:w="609" w:type="pct"/>
            <w:vAlign w:val="center"/>
          </w:tcPr>
          <w:p w14:paraId="146E7BCF">
            <w:pPr>
              <w:pStyle w:val="26"/>
              <w:bidi w:val="0"/>
              <w:jc w:val="center"/>
              <w:rPr>
                <w:lang w:val="en-US" w:eastAsia="zh-CN"/>
              </w:rPr>
            </w:pPr>
            <w:r>
              <w:t>居民区</w:t>
            </w:r>
          </w:p>
        </w:tc>
        <w:tc>
          <w:tcPr>
            <w:tcW w:w="728" w:type="pct"/>
            <w:noWrap/>
            <w:vAlign w:val="center"/>
          </w:tcPr>
          <w:p w14:paraId="16DB29C2">
            <w:pPr>
              <w:pStyle w:val="26"/>
              <w:bidi w:val="0"/>
              <w:jc w:val="center"/>
              <w:rPr>
                <w:rFonts w:hint="eastAsia"/>
                <w:lang w:val="en-US" w:eastAsia="zh-CN"/>
              </w:rPr>
            </w:pPr>
            <w:r>
              <w:t>897</w:t>
            </w:r>
          </w:p>
        </w:tc>
        <w:tc>
          <w:tcPr>
            <w:tcW w:w="709" w:type="pct"/>
            <w:vMerge w:val="continue"/>
            <w:vAlign w:val="center"/>
          </w:tcPr>
          <w:p w14:paraId="50FEFD4C">
            <w:pPr>
              <w:pStyle w:val="26"/>
              <w:bidi w:val="0"/>
              <w:jc w:val="center"/>
              <w:rPr>
                <w:color w:val="auto"/>
                <w:highlight w:val="none"/>
                <w:lang w:val="en-US" w:eastAsia="zh-CN"/>
              </w:rPr>
            </w:pPr>
          </w:p>
        </w:tc>
        <w:tc>
          <w:tcPr>
            <w:tcW w:w="826" w:type="pct"/>
            <w:shd w:val="clear" w:color="auto" w:fill="auto"/>
            <w:noWrap/>
            <w:vAlign w:val="center"/>
          </w:tcPr>
          <w:p w14:paraId="4B4E1E46">
            <w:pPr>
              <w:pStyle w:val="26"/>
              <w:bidi w:val="0"/>
              <w:jc w:val="center"/>
              <w:rPr>
                <w:rFonts w:hint="eastAsia"/>
                <w:lang w:val="en-US" w:eastAsia="zh-CN"/>
              </w:rPr>
            </w:pPr>
            <w:r>
              <w:t>东南</w:t>
            </w:r>
          </w:p>
        </w:tc>
        <w:tc>
          <w:tcPr>
            <w:tcW w:w="826" w:type="pct"/>
            <w:shd w:val="clear" w:color="auto" w:fill="auto"/>
            <w:noWrap/>
            <w:vAlign w:val="center"/>
          </w:tcPr>
          <w:p w14:paraId="40F00491">
            <w:pPr>
              <w:pStyle w:val="26"/>
              <w:bidi w:val="0"/>
              <w:jc w:val="center"/>
              <w:rPr>
                <w:rFonts w:hint="eastAsia"/>
                <w:lang w:val="en-US" w:eastAsia="zh-CN"/>
              </w:rPr>
            </w:pPr>
            <w:r>
              <w:t>2634</w:t>
            </w:r>
          </w:p>
        </w:tc>
      </w:tr>
      <w:tr w14:paraId="1CE9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D486659">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81</w:t>
            </w:r>
          </w:p>
        </w:tc>
        <w:tc>
          <w:tcPr>
            <w:tcW w:w="939" w:type="pct"/>
            <w:noWrap/>
            <w:vAlign w:val="center"/>
          </w:tcPr>
          <w:p w14:paraId="78FBF3EB">
            <w:pPr>
              <w:pStyle w:val="26"/>
              <w:bidi w:val="0"/>
              <w:jc w:val="center"/>
              <w:rPr>
                <w:rFonts w:hint="eastAsia"/>
                <w:lang w:val="en-US" w:eastAsia="zh-CN"/>
              </w:rPr>
            </w:pPr>
            <w:r>
              <w:t>徐公桥人才公寓</w:t>
            </w:r>
          </w:p>
        </w:tc>
        <w:tc>
          <w:tcPr>
            <w:tcW w:w="609" w:type="pct"/>
            <w:vAlign w:val="center"/>
          </w:tcPr>
          <w:p w14:paraId="122CA274">
            <w:pPr>
              <w:pStyle w:val="26"/>
              <w:bidi w:val="0"/>
              <w:jc w:val="center"/>
              <w:rPr>
                <w:lang w:val="en-US" w:eastAsia="zh-CN"/>
              </w:rPr>
            </w:pPr>
            <w:r>
              <w:t>居民区</w:t>
            </w:r>
          </w:p>
        </w:tc>
        <w:tc>
          <w:tcPr>
            <w:tcW w:w="728" w:type="pct"/>
            <w:noWrap/>
            <w:vAlign w:val="center"/>
          </w:tcPr>
          <w:p w14:paraId="50A9382C">
            <w:pPr>
              <w:pStyle w:val="26"/>
              <w:bidi w:val="0"/>
              <w:jc w:val="center"/>
              <w:rPr>
                <w:rFonts w:hint="eastAsia"/>
                <w:lang w:val="en-US" w:eastAsia="zh-CN"/>
              </w:rPr>
            </w:pPr>
            <w:r>
              <w:t>2400</w:t>
            </w:r>
          </w:p>
        </w:tc>
        <w:tc>
          <w:tcPr>
            <w:tcW w:w="709" w:type="pct"/>
            <w:vMerge w:val="continue"/>
            <w:vAlign w:val="center"/>
          </w:tcPr>
          <w:p w14:paraId="554F139B">
            <w:pPr>
              <w:pStyle w:val="26"/>
              <w:bidi w:val="0"/>
              <w:jc w:val="center"/>
              <w:rPr>
                <w:color w:val="auto"/>
                <w:highlight w:val="none"/>
                <w:lang w:val="en-US" w:eastAsia="zh-CN"/>
              </w:rPr>
            </w:pPr>
          </w:p>
        </w:tc>
        <w:tc>
          <w:tcPr>
            <w:tcW w:w="826" w:type="pct"/>
            <w:shd w:val="clear" w:color="auto" w:fill="auto"/>
            <w:noWrap/>
            <w:vAlign w:val="center"/>
          </w:tcPr>
          <w:p w14:paraId="7C996EC9">
            <w:pPr>
              <w:pStyle w:val="26"/>
              <w:bidi w:val="0"/>
              <w:jc w:val="center"/>
              <w:rPr>
                <w:rFonts w:hint="eastAsia"/>
                <w:lang w:val="en-US" w:eastAsia="zh-CN"/>
              </w:rPr>
            </w:pPr>
            <w:r>
              <w:t>东南</w:t>
            </w:r>
          </w:p>
        </w:tc>
        <w:tc>
          <w:tcPr>
            <w:tcW w:w="826" w:type="pct"/>
            <w:shd w:val="clear" w:color="auto" w:fill="auto"/>
            <w:noWrap/>
            <w:vAlign w:val="center"/>
          </w:tcPr>
          <w:p w14:paraId="1B535B18">
            <w:pPr>
              <w:pStyle w:val="26"/>
              <w:bidi w:val="0"/>
              <w:jc w:val="center"/>
              <w:rPr>
                <w:rFonts w:hint="eastAsia"/>
                <w:lang w:val="en-US" w:eastAsia="zh-CN"/>
              </w:rPr>
            </w:pPr>
            <w:r>
              <w:t>2320</w:t>
            </w:r>
          </w:p>
        </w:tc>
      </w:tr>
      <w:tr w14:paraId="2265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21D9612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82</w:t>
            </w:r>
          </w:p>
        </w:tc>
        <w:tc>
          <w:tcPr>
            <w:tcW w:w="939" w:type="pct"/>
            <w:noWrap/>
            <w:vAlign w:val="center"/>
          </w:tcPr>
          <w:p w14:paraId="0ED227E9">
            <w:pPr>
              <w:pStyle w:val="26"/>
              <w:bidi w:val="0"/>
              <w:jc w:val="center"/>
              <w:rPr>
                <w:rFonts w:hint="eastAsia"/>
                <w:lang w:val="en-US" w:eastAsia="zh-CN"/>
              </w:rPr>
            </w:pPr>
            <w:r>
              <w:t>徐公桥花园</w:t>
            </w:r>
          </w:p>
        </w:tc>
        <w:tc>
          <w:tcPr>
            <w:tcW w:w="609" w:type="pct"/>
            <w:vAlign w:val="center"/>
          </w:tcPr>
          <w:p w14:paraId="39DDA192">
            <w:pPr>
              <w:pStyle w:val="26"/>
              <w:bidi w:val="0"/>
              <w:jc w:val="center"/>
              <w:rPr>
                <w:lang w:val="en-US" w:eastAsia="zh-CN"/>
              </w:rPr>
            </w:pPr>
            <w:r>
              <w:t>居民区</w:t>
            </w:r>
          </w:p>
        </w:tc>
        <w:tc>
          <w:tcPr>
            <w:tcW w:w="728" w:type="pct"/>
            <w:noWrap/>
            <w:vAlign w:val="center"/>
          </w:tcPr>
          <w:p w14:paraId="53C77AC3">
            <w:pPr>
              <w:pStyle w:val="26"/>
              <w:bidi w:val="0"/>
              <w:jc w:val="center"/>
              <w:rPr>
                <w:rFonts w:hint="eastAsia"/>
                <w:lang w:val="en-US" w:eastAsia="zh-CN"/>
              </w:rPr>
            </w:pPr>
            <w:r>
              <w:t>4035</w:t>
            </w:r>
          </w:p>
        </w:tc>
        <w:tc>
          <w:tcPr>
            <w:tcW w:w="709" w:type="pct"/>
            <w:vMerge w:val="continue"/>
            <w:vAlign w:val="center"/>
          </w:tcPr>
          <w:p w14:paraId="35C4DCA4">
            <w:pPr>
              <w:pStyle w:val="26"/>
              <w:bidi w:val="0"/>
              <w:jc w:val="center"/>
              <w:rPr>
                <w:color w:val="auto"/>
                <w:highlight w:val="none"/>
                <w:lang w:val="en-US" w:eastAsia="zh-CN"/>
              </w:rPr>
            </w:pPr>
          </w:p>
        </w:tc>
        <w:tc>
          <w:tcPr>
            <w:tcW w:w="826" w:type="pct"/>
            <w:shd w:val="clear" w:color="auto" w:fill="auto"/>
            <w:noWrap/>
            <w:vAlign w:val="center"/>
          </w:tcPr>
          <w:p w14:paraId="1420FA85">
            <w:pPr>
              <w:pStyle w:val="26"/>
              <w:bidi w:val="0"/>
              <w:jc w:val="center"/>
              <w:rPr>
                <w:rFonts w:hint="eastAsia"/>
                <w:lang w:val="en-US" w:eastAsia="zh-CN"/>
              </w:rPr>
            </w:pPr>
            <w:r>
              <w:t>东南</w:t>
            </w:r>
          </w:p>
        </w:tc>
        <w:tc>
          <w:tcPr>
            <w:tcW w:w="826" w:type="pct"/>
            <w:shd w:val="clear" w:color="auto" w:fill="auto"/>
            <w:noWrap/>
            <w:vAlign w:val="center"/>
          </w:tcPr>
          <w:p w14:paraId="1414FCD3">
            <w:pPr>
              <w:pStyle w:val="26"/>
              <w:bidi w:val="0"/>
              <w:jc w:val="center"/>
              <w:rPr>
                <w:rFonts w:hint="eastAsia"/>
                <w:lang w:val="en-US" w:eastAsia="zh-CN"/>
              </w:rPr>
            </w:pPr>
            <w:r>
              <w:t>2401</w:t>
            </w:r>
          </w:p>
        </w:tc>
      </w:tr>
      <w:tr w14:paraId="5B52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7600ECF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83</w:t>
            </w:r>
          </w:p>
        </w:tc>
        <w:tc>
          <w:tcPr>
            <w:tcW w:w="939" w:type="pct"/>
            <w:noWrap/>
            <w:vAlign w:val="center"/>
          </w:tcPr>
          <w:p w14:paraId="5F8217E4">
            <w:pPr>
              <w:pStyle w:val="26"/>
              <w:bidi w:val="0"/>
              <w:jc w:val="center"/>
              <w:rPr>
                <w:rFonts w:hint="eastAsia"/>
                <w:lang w:val="en-US" w:eastAsia="zh-CN"/>
              </w:rPr>
            </w:pPr>
            <w:r>
              <w:t>上海裕花园</w:t>
            </w:r>
          </w:p>
        </w:tc>
        <w:tc>
          <w:tcPr>
            <w:tcW w:w="609" w:type="pct"/>
            <w:vAlign w:val="center"/>
          </w:tcPr>
          <w:p w14:paraId="11349607">
            <w:pPr>
              <w:pStyle w:val="26"/>
              <w:bidi w:val="0"/>
              <w:jc w:val="center"/>
              <w:rPr>
                <w:lang w:val="en-US" w:eastAsia="zh-CN"/>
              </w:rPr>
            </w:pPr>
            <w:r>
              <w:t>居民区</w:t>
            </w:r>
          </w:p>
        </w:tc>
        <w:tc>
          <w:tcPr>
            <w:tcW w:w="728" w:type="pct"/>
            <w:noWrap/>
            <w:vAlign w:val="center"/>
          </w:tcPr>
          <w:p w14:paraId="7E2B03AD">
            <w:pPr>
              <w:pStyle w:val="26"/>
              <w:bidi w:val="0"/>
              <w:jc w:val="center"/>
              <w:rPr>
                <w:rFonts w:hint="eastAsia"/>
                <w:lang w:val="en-US" w:eastAsia="zh-CN"/>
              </w:rPr>
            </w:pPr>
            <w:r>
              <w:t>5259</w:t>
            </w:r>
          </w:p>
        </w:tc>
        <w:tc>
          <w:tcPr>
            <w:tcW w:w="709" w:type="pct"/>
            <w:vMerge w:val="continue"/>
            <w:vAlign w:val="center"/>
          </w:tcPr>
          <w:p w14:paraId="2E388A14">
            <w:pPr>
              <w:pStyle w:val="26"/>
              <w:bidi w:val="0"/>
              <w:jc w:val="center"/>
              <w:rPr>
                <w:color w:val="auto"/>
                <w:highlight w:val="none"/>
                <w:lang w:val="en-US" w:eastAsia="zh-CN"/>
              </w:rPr>
            </w:pPr>
          </w:p>
        </w:tc>
        <w:tc>
          <w:tcPr>
            <w:tcW w:w="826" w:type="pct"/>
            <w:shd w:val="clear" w:color="auto" w:fill="auto"/>
            <w:noWrap/>
            <w:vAlign w:val="center"/>
          </w:tcPr>
          <w:p w14:paraId="159EBC8F">
            <w:pPr>
              <w:pStyle w:val="26"/>
              <w:bidi w:val="0"/>
              <w:jc w:val="center"/>
              <w:rPr>
                <w:rFonts w:hint="eastAsia"/>
                <w:lang w:val="en-US" w:eastAsia="zh-CN"/>
              </w:rPr>
            </w:pPr>
            <w:r>
              <w:t>东南</w:t>
            </w:r>
          </w:p>
        </w:tc>
        <w:tc>
          <w:tcPr>
            <w:tcW w:w="826" w:type="pct"/>
            <w:shd w:val="clear" w:color="auto" w:fill="auto"/>
            <w:noWrap/>
            <w:vAlign w:val="center"/>
          </w:tcPr>
          <w:p w14:paraId="564BB116">
            <w:pPr>
              <w:pStyle w:val="26"/>
              <w:bidi w:val="0"/>
              <w:jc w:val="center"/>
              <w:rPr>
                <w:rFonts w:hint="eastAsia"/>
                <w:lang w:val="en-US" w:eastAsia="zh-CN"/>
              </w:rPr>
            </w:pPr>
            <w:r>
              <w:t>2680</w:t>
            </w:r>
          </w:p>
        </w:tc>
      </w:tr>
      <w:tr w14:paraId="79DB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C3456B7">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84</w:t>
            </w:r>
          </w:p>
        </w:tc>
        <w:tc>
          <w:tcPr>
            <w:tcW w:w="939" w:type="pct"/>
            <w:noWrap/>
            <w:vAlign w:val="center"/>
          </w:tcPr>
          <w:p w14:paraId="641F5B62">
            <w:pPr>
              <w:pStyle w:val="26"/>
              <w:bidi w:val="0"/>
              <w:jc w:val="center"/>
              <w:rPr>
                <w:rFonts w:hint="eastAsia"/>
                <w:lang w:val="en-US" w:eastAsia="zh-CN"/>
              </w:rPr>
            </w:pPr>
            <w:r>
              <w:t>游站未来城</w:t>
            </w:r>
          </w:p>
        </w:tc>
        <w:tc>
          <w:tcPr>
            <w:tcW w:w="609" w:type="pct"/>
            <w:vAlign w:val="center"/>
          </w:tcPr>
          <w:p w14:paraId="4F534DD3">
            <w:pPr>
              <w:pStyle w:val="26"/>
              <w:bidi w:val="0"/>
              <w:jc w:val="center"/>
              <w:rPr>
                <w:lang w:val="en-US" w:eastAsia="zh-CN"/>
              </w:rPr>
            </w:pPr>
            <w:r>
              <w:t>居民区</w:t>
            </w:r>
          </w:p>
        </w:tc>
        <w:tc>
          <w:tcPr>
            <w:tcW w:w="728" w:type="pct"/>
            <w:noWrap/>
            <w:vAlign w:val="center"/>
          </w:tcPr>
          <w:p w14:paraId="3FAEAD13">
            <w:pPr>
              <w:pStyle w:val="26"/>
              <w:bidi w:val="0"/>
              <w:jc w:val="center"/>
              <w:rPr>
                <w:rFonts w:hint="eastAsia"/>
                <w:lang w:val="en-US" w:eastAsia="zh-CN"/>
              </w:rPr>
            </w:pPr>
            <w:r>
              <w:t>4749</w:t>
            </w:r>
          </w:p>
        </w:tc>
        <w:tc>
          <w:tcPr>
            <w:tcW w:w="709" w:type="pct"/>
            <w:vMerge w:val="continue"/>
            <w:vAlign w:val="center"/>
          </w:tcPr>
          <w:p w14:paraId="727F4851">
            <w:pPr>
              <w:pStyle w:val="26"/>
              <w:bidi w:val="0"/>
              <w:jc w:val="center"/>
              <w:rPr>
                <w:color w:val="auto"/>
                <w:highlight w:val="none"/>
                <w:lang w:val="en-US" w:eastAsia="zh-CN"/>
              </w:rPr>
            </w:pPr>
          </w:p>
        </w:tc>
        <w:tc>
          <w:tcPr>
            <w:tcW w:w="826" w:type="pct"/>
            <w:shd w:val="clear" w:color="auto" w:fill="auto"/>
            <w:noWrap/>
            <w:vAlign w:val="center"/>
          </w:tcPr>
          <w:p w14:paraId="79B67007">
            <w:pPr>
              <w:pStyle w:val="26"/>
              <w:bidi w:val="0"/>
              <w:jc w:val="center"/>
              <w:rPr>
                <w:rFonts w:hint="eastAsia"/>
                <w:lang w:val="en-US" w:eastAsia="zh-CN"/>
              </w:rPr>
            </w:pPr>
            <w:r>
              <w:t>东南</w:t>
            </w:r>
          </w:p>
        </w:tc>
        <w:tc>
          <w:tcPr>
            <w:tcW w:w="826" w:type="pct"/>
            <w:shd w:val="clear" w:color="auto" w:fill="auto"/>
            <w:noWrap/>
            <w:vAlign w:val="center"/>
          </w:tcPr>
          <w:p w14:paraId="243795AC">
            <w:pPr>
              <w:pStyle w:val="26"/>
              <w:bidi w:val="0"/>
              <w:jc w:val="center"/>
              <w:rPr>
                <w:rFonts w:hint="eastAsia"/>
                <w:lang w:val="en-US" w:eastAsia="zh-CN"/>
              </w:rPr>
            </w:pPr>
            <w:r>
              <w:t>2805</w:t>
            </w:r>
          </w:p>
        </w:tc>
      </w:tr>
      <w:tr w14:paraId="0C83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1B3D02A1">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85</w:t>
            </w:r>
          </w:p>
        </w:tc>
        <w:tc>
          <w:tcPr>
            <w:tcW w:w="939" w:type="pct"/>
            <w:noWrap/>
            <w:vAlign w:val="center"/>
          </w:tcPr>
          <w:p w14:paraId="3908708D">
            <w:pPr>
              <w:pStyle w:val="26"/>
              <w:bidi w:val="0"/>
              <w:jc w:val="center"/>
              <w:rPr>
                <w:rFonts w:hint="eastAsia"/>
                <w:lang w:val="en-US" w:eastAsia="zh-CN"/>
              </w:rPr>
            </w:pPr>
            <w:r>
              <w:t>金项村</w:t>
            </w:r>
          </w:p>
        </w:tc>
        <w:tc>
          <w:tcPr>
            <w:tcW w:w="609" w:type="pct"/>
            <w:vAlign w:val="center"/>
          </w:tcPr>
          <w:p w14:paraId="50247273">
            <w:pPr>
              <w:pStyle w:val="26"/>
              <w:bidi w:val="0"/>
              <w:jc w:val="center"/>
              <w:rPr>
                <w:lang w:val="en-US" w:eastAsia="zh-CN"/>
              </w:rPr>
            </w:pPr>
            <w:r>
              <w:t>居民区</w:t>
            </w:r>
          </w:p>
        </w:tc>
        <w:tc>
          <w:tcPr>
            <w:tcW w:w="728" w:type="pct"/>
            <w:noWrap/>
            <w:vAlign w:val="center"/>
          </w:tcPr>
          <w:p w14:paraId="466A27F9">
            <w:pPr>
              <w:pStyle w:val="26"/>
              <w:bidi w:val="0"/>
              <w:jc w:val="center"/>
              <w:rPr>
                <w:rFonts w:hint="eastAsia"/>
                <w:lang w:val="en-US" w:eastAsia="zh-CN"/>
              </w:rPr>
            </w:pPr>
            <w:r>
              <w:t>290</w:t>
            </w:r>
          </w:p>
        </w:tc>
        <w:tc>
          <w:tcPr>
            <w:tcW w:w="709" w:type="pct"/>
            <w:vMerge w:val="continue"/>
            <w:vAlign w:val="center"/>
          </w:tcPr>
          <w:p w14:paraId="36C833E6">
            <w:pPr>
              <w:pStyle w:val="26"/>
              <w:bidi w:val="0"/>
              <w:jc w:val="center"/>
              <w:rPr>
                <w:color w:val="auto"/>
                <w:highlight w:val="none"/>
                <w:lang w:val="en-US" w:eastAsia="zh-CN"/>
              </w:rPr>
            </w:pPr>
          </w:p>
        </w:tc>
        <w:tc>
          <w:tcPr>
            <w:tcW w:w="826" w:type="pct"/>
            <w:shd w:val="clear" w:color="auto" w:fill="auto"/>
            <w:noWrap/>
            <w:vAlign w:val="center"/>
          </w:tcPr>
          <w:p w14:paraId="6D332650">
            <w:pPr>
              <w:pStyle w:val="26"/>
              <w:bidi w:val="0"/>
              <w:jc w:val="center"/>
              <w:rPr>
                <w:rFonts w:hint="eastAsia"/>
                <w:lang w:val="en-US" w:eastAsia="zh-CN"/>
              </w:rPr>
            </w:pPr>
            <w:r>
              <w:t>东南</w:t>
            </w:r>
          </w:p>
        </w:tc>
        <w:tc>
          <w:tcPr>
            <w:tcW w:w="826" w:type="pct"/>
            <w:shd w:val="clear" w:color="auto" w:fill="auto"/>
            <w:noWrap/>
            <w:vAlign w:val="center"/>
          </w:tcPr>
          <w:p w14:paraId="6C9E812B">
            <w:pPr>
              <w:pStyle w:val="26"/>
              <w:bidi w:val="0"/>
              <w:jc w:val="center"/>
              <w:rPr>
                <w:rFonts w:hint="eastAsia"/>
                <w:lang w:val="en-US" w:eastAsia="zh-CN"/>
              </w:rPr>
            </w:pPr>
            <w:r>
              <w:t>4706</w:t>
            </w:r>
          </w:p>
        </w:tc>
      </w:tr>
      <w:tr w14:paraId="2DC9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2F24D2F">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86</w:t>
            </w:r>
          </w:p>
        </w:tc>
        <w:tc>
          <w:tcPr>
            <w:tcW w:w="939" w:type="pct"/>
            <w:noWrap/>
            <w:vAlign w:val="center"/>
          </w:tcPr>
          <w:p w14:paraId="4D624994">
            <w:pPr>
              <w:pStyle w:val="26"/>
              <w:bidi w:val="0"/>
              <w:jc w:val="center"/>
              <w:rPr>
                <w:rFonts w:hint="eastAsia"/>
                <w:lang w:val="en-US" w:eastAsia="zh-CN"/>
              </w:rPr>
            </w:pPr>
            <w:r>
              <w:t>蒋浦村</w:t>
            </w:r>
          </w:p>
        </w:tc>
        <w:tc>
          <w:tcPr>
            <w:tcW w:w="609" w:type="pct"/>
            <w:vAlign w:val="center"/>
          </w:tcPr>
          <w:p w14:paraId="18C972A1">
            <w:pPr>
              <w:pStyle w:val="26"/>
              <w:bidi w:val="0"/>
              <w:jc w:val="center"/>
              <w:rPr>
                <w:lang w:val="en-US" w:eastAsia="zh-CN"/>
              </w:rPr>
            </w:pPr>
            <w:r>
              <w:t>居民区</w:t>
            </w:r>
          </w:p>
        </w:tc>
        <w:tc>
          <w:tcPr>
            <w:tcW w:w="728" w:type="pct"/>
            <w:noWrap/>
            <w:vAlign w:val="center"/>
          </w:tcPr>
          <w:p w14:paraId="41BB445B">
            <w:pPr>
              <w:pStyle w:val="26"/>
              <w:bidi w:val="0"/>
              <w:jc w:val="center"/>
              <w:rPr>
                <w:rFonts w:hint="eastAsia"/>
                <w:lang w:val="en-US" w:eastAsia="zh-CN"/>
              </w:rPr>
            </w:pPr>
            <w:r>
              <w:t>120</w:t>
            </w:r>
          </w:p>
        </w:tc>
        <w:tc>
          <w:tcPr>
            <w:tcW w:w="709" w:type="pct"/>
            <w:vMerge w:val="continue"/>
            <w:vAlign w:val="center"/>
          </w:tcPr>
          <w:p w14:paraId="6809452F">
            <w:pPr>
              <w:pStyle w:val="26"/>
              <w:bidi w:val="0"/>
              <w:jc w:val="center"/>
              <w:rPr>
                <w:color w:val="auto"/>
                <w:highlight w:val="none"/>
                <w:lang w:val="en-US" w:eastAsia="zh-CN"/>
              </w:rPr>
            </w:pPr>
          </w:p>
        </w:tc>
        <w:tc>
          <w:tcPr>
            <w:tcW w:w="826" w:type="pct"/>
            <w:shd w:val="clear" w:color="auto" w:fill="auto"/>
            <w:noWrap/>
            <w:vAlign w:val="center"/>
          </w:tcPr>
          <w:p w14:paraId="32FD0460">
            <w:pPr>
              <w:pStyle w:val="26"/>
              <w:bidi w:val="0"/>
              <w:jc w:val="center"/>
              <w:rPr>
                <w:rFonts w:hint="eastAsia"/>
                <w:lang w:val="en-US" w:eastAsia="zh-CN"/>
              </w:rPr>
            </w:pPr>
            <w:r>
              <w:t>东南</w:t>
            </w:r>
          </w:p>
        </w:tc>
        <w:tc>
          <w:tcPr>
            <w:tcW w:w="826" w:type="pct"/>
            <w:shd w:val="clear" w:color="auto" w:fill="auto"/>
            <w:noWrap/>
            <w:vAlign w:val="center"/>
          </w:tcPr>
          <w:p w14:paraId="27C72A3B">
            <w:pPr>
              <w:pStyle w:val="26"/>
              <w:bidi w:val="0"/>
              <w:jc w:val="center"/>
              <w:rPr>
                <w:rFonts w:hint="eastAsia"/>
                <w:lang w:val="en-US" w:eastAsia="zh-CN"/>
              </w:rPr>
            </w:pPr>
            <w:r>
              <w:t>4620</w:t>
            </w:r>
          </w:p>
        </w:tc>
      </w:tr>
      <w:tr w14:paraId="49B6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0430A5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87</w:t>
            </w:r>
          </w:p>
        </w:tc>
        <w:tc>
          <w:tcPr>
            <w:tcW w:w="939" w:type="pct"/>
            <w:shd w:val="clear" w:color="auto" w:fill="auto"/>
            <w:noWrap/>
            <w:vAlign w:val="center"/>
          </w:tcPr>
          <w:p w14:paraId="1CAB25A4">
            <w:pPr>
              <w:pStyle w:val="26"/>
              <w:bidi w:val="0"/>
              <w:jc w:val="center"/>
              <w:rPr>
                <w:rFonts w:hint="eastAsia"/>
                <w:lang w:val="en-US" w:eastAsia="zh-CN"/>
              </w:rPr>
            </w:pPr>
            <w:r>
              <w:t>绿地启航城</w:t>
            </w:r>
          </w:p>
        </w:tc>
        <w:tc>
          <w:tcPr>
            <w:tcW w:w="609" w:type="pct"/>
            <w:shd w:val="clear" w:color="auto" w:fill="auto"/>
            <w:vAlign w:val="center"/>
          </w:tcPr>
          <w:p w14:paraId="1E1A0797">
            <w:pPr>
              <w:pStyle w:val="26"/>
              <w:bidi w:val="0"/>
              <w:jc w:val="center"/>
              <w:rPr>
                <w:lang w:val="en-US" w:eastAsia="zh-CN"/>
              </w:rPr>
            </w:pPr>
            <w:r>
              <w:t>居民区</w:t>
            </w:r>
          </w:p>
        </w:tc>
        <w:tc>
          <w:tcPr>
            <w:tcW w:w="728" w:type="pct"/>
            <w:shd w:val="clear" w:color="auto" w:fill="auto"/>
            <w:noWrap/>
            <w:vAlign w:val="center"/>
          </w:tcPr>
          <w:p w14:paraId="045BCDB7">
            <w:pPr>
              <w:pStyle w:val="26"/>
              <w:bidi w:val="0"/>
              <w:jc w:val="center"/>
              <w:rPr>
                <w:rFonts w:hint="eastAsia"/>
                <w:lang w:val="en-US" w:eastAsia="zh-CN"/>
              </w:rPr>
            </w:pPr>
            <w:r>
              <w:t>6765</w:t>
            </w:r>
          </w:p>
        </w:tc>
        <w:tc>
          <w:tcPr>
            <w:tcW w:w="709" w:type="pct"/>
            <w:vMerge w:val="continue"/>
            <w:vAlign w:val="center"/>
          </w:tcPr>
          <w:p w14:paraId="0538BF17">
            <w:pPr>
              <w:pStyle w:val="26"/>
              <w:bidi w:val="0"/>
              <w:jc w:val="center"/>
              <w:rPr>
                <w:color w:val="auto"/>
                <w:highlight w:val="none"/>
                <w:lang w:val="en-US" w:eastAsia="zh-CN"/>
              </w:rPr>
            </w:pPr>
          </w:p>
        </w:tc>
        <w:tc>
          <w:tcPr>
            <w:tcW w:w="826" w:type="pct"/>
            <w:shd w:val="clear" w:color="auto" w:fill="auto"/>
            <w:noWrap/>
            <w:vAlign w:val="center"/>
          </w:tcPr>
          <w:p w14:paraId="412AE46A">
            <w:pPr>
              <w:pStyle w:val="26"/>
              <w:bidi w:val="0"/>
              <w:jc w:val="center"/>
              <w:rPr>
                <w:rFonts w:hint="eastAsia"/>
                <w:lang w:val="en-US" w:eastAsia="zh-CN"/>
              </w:rPr>
            </w:pPr>
            <w:r>
              <w:t>东南</w:t>
            </w:r>
          </w:p>
        </w:tc>
        <w:tc>
          <w:tcPr>
            <w:tcW w:w="826" w:type="pct"/>
            <w:shd w:val="clear" w:color="auto" w:fill="auto"/>
            <w:noWrap/>
            <w:vAlign w:val="center"/>
          </w:tcPr>
          <w:p w14:paraId="67310854">
            <w:pPr>
              <w:pStyle w:val="26"/>
              <w:bidi w:val="0"/>
              <w:jc w:val="center"/>
              <w:rPr>
                <w:rFonts w:hint="eastAsia"/>
                <w:lang w:val="en-US" w:eastAsia="zh-CN"/>
              </w:rPr>
            </w:pPr>
            <w:r>
              <w:t>2750</w:t>
            </w:r>
          </w:p>
        </w:tc>
      </w:tr>
      <w:tr w14:paraId="48AB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4EAB36FD">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88</w:t>
            </w:r>
          </w:p>
        </w:tc>
        <w:tc>
          <w:tcPr>
            <w:tcW w:w="939" w:type="pct"/>
            <w:shd w:val="clear" w:color="auto" w:fill="auto"/>
            <w:noWrap/>
            <w:vAlign w:val="center"/>
          </w:tcPr>
          <w:p w14:paraId="10D09501">
            <w:pPr>
              <w:pStyle w:val="26"/>
              <w:bidi w:val="0"/>
              <w:jc w:val="center"/>
              <w:rPr>
                <w:rFonts w:hint="eastAsia"/>
                <w:lang w:val="en-US" w:eastAsia="zh-CN"/>
              </w:rPr>
            </w:pPr>
            <w:r>
              <w:t>佳客青年公寓</w:t>
            </w:r>
          </w:p>
        </w:tc>
        <w:tc>
          <w:tcPr>
            <w:tcW w:w="609" w:type="pct"/>
            <w:shd w:val="clear" w:color="auto" w:fill="auto"/>
            <w:vAlign w:val="center"/>
          </w:tcPr>
          <w:p w14:paraId="5F296F9D">
            <w:pPr>
              <w:pStyle w:val="26"/>
              <w:bidi w:val="0"/>
              <w:jc w:val="center"/>
              <w:rPr>
                <w:lang w:val="en-US" w:eastAsia="zh-CN"/>
              </w:rPr>
            </w:pPr>
            <w:r>
              <w:t>居民区</w:t>
            </w:r>
          </w:p>
        </w:tc>
        <w:tc>
          <w:tcPr>
            <w:tcW w:w="728" w:type="pct"/>
            <w:shd w:val="clear" w:color="auto" w:fill="auto"/>
            <w:noWrap/>
            <w:vAlign w:val="center"/>
          </w:tcPr>
          <w:p w14:paraId="59FC1B42">
            <w:pPr>
              <w:pStyle w:val="26"/>
              <w:bidi w:val="0"/>
              <w:jc w:val="center"/>
              <w:rPr>
                <w:rFonts w:hint="eastAsia"/>
                <w:lang w:val="en-US" w:eastAsia="zh-CN"/>
              </w:rPr>
            </w:pPr>
            <w:r>
              <w:t>506</w:t>
            </w:r>
          </w:p>
        </w:tc>
        <w:tc>
          <w:tcPr>
            <w:tcW w:w="709" w:type="pct"/>
            <w:vMerge w:val="continue"/>
            <w:vAlign w:val="center"/>
          </w:tcPr>
          <w:p w14:paraId="1E48406E">
            <w:pPr>
              <w:pStyle w:val="26"/>
              <w:bidi w:val="0"/>
              <w:jc w:val="center"/>
              <w:rPr>
                <w:color w:val="auto"/>
                <w:highlight w:val="none"/>
                <w:lang w:val="en-US" w:eastAsia="zh-CN"/>
              </w:rPr>
            </w:pPr>
          </w:p>
        </w:tc>
        <w:tc>
          <w:tcPr>
            <w:tcW w:w="826" w:type="pct"/>
            <w:shd w:val="clear" w:color="auto" w:fill="auto"/>
            <w:noWrap/>
            <w:vAlign w:val="center"/>
          </w:tcPr>
          <w:p w14:paraId="48B6E12C">
            <w:pPr>
              <w:pStyle w:val="26"/>
              <w:bidi w:val="0"/>
              <w:jc w:val="center"/>
              <w:rPr>
                <w:rFonts w:hint="eastAsia"/>
                <w:lang w:val="en-US" w:eastAsia="zh-CN"/>
              </w:rPr>
            </w:pPr>
            <w:r>
              <w:t>东南</w:t>
            </w:r>
          </w:p>
        </w:tc>
        <w:tc>
          <w:tcPr>
            <w:tcW w:w="826" w:type="pct"/>
            <w:shd w:val="clear" w:color="auto" w:fill="auto"/>
            <w:noWrap/>
            <w:vAlign w:val="center"/>
          </w:tcPr>
          <w:p w14:paraId="0D5660B1">
            <w:pPr>
              <w:pStyle w:val="26"/>
              <w:bidi w:val="0"/>
              <w:jc w:val="center"/>
              <w:rPr>
                <w:rFonts w:hint="eastAsia"/>
                <w:lang w:val="en-US" w:eastAsia="zh-CN"/>
              </w:rPr>
            </w:pPr>
            <w:r>
              <w:t>2780</w:t>
            </w:r>
          </w:p>
        </w:tc>
      </w:tr>
      <w:tr w14:paraId="54E4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noWrap/>
            <w:vAlign w:val="center"/>
          </w:tcPr>
          <w:p w14:paraId="3FE97CF8">
            <w:pPr>
              <w:pStyle w:val="26"/>
              <w:keepNext w:val="0"/>
              <w:keepLines w:val="0"/>
              <w:widowControl/>
              <w:suppressLineNumbers w:val="0"/>
              <w:ind w:firstLineChars="0"/>
              <w:jc w:val="center"/>
              <w:textAlignment w:val="auto"/>
              <w:rPr>
                <w:rFonts w:hint="eastAsia"/>
                <w:color w:val="auto"/>
                <w:highlight w:val="none"/>
                <w:lang w:val="en-US" w:eastAsia="zh-CN"/>
              </w:rPr>
            </w:pPr>
            <w:r>
              <w:rPr>
                <w:rFonts w:hint="eastAsia"/>
                <w:color w:val="auto"/>
                <w:highlight w:val="none"/>
                <w:lang w:val="en-US" w:eastAsia="zh-CN"/>
              </w:rPr>
              <w:t>89</w:t>
            </w:r>
          </w:p>
        </w:tc>
        <w:tc>
          <w:tcPr>
            <w:tcW w:w="939" w:type="pct"/>
            <w:shd w:val="clear" w:color="auto" w:fill="auto"/>
            <w:noWrap/>
            <w:vAlign w:val="center"/>
          </w:tcPr>
          <w:p w14:paraId="0FAE1EA4">
            <w:pPr>
              <w:pStyle w:val="26"/>
              <w:bidi w:val="0"/>
              <w:jc w:val="center"/>
              <w:rPr>
                <w:rFonts w:hint="eastAsia"/>
                <w:lang w:val="en-US" w:eastAsia="zh-CN"/>
              </w:rPr>
            </w:pPr>
            <w:r>
              <w:t>绿地 21 城-C 区</w:t>
            </w:r>
          </w:p>
        </w:tc>
        <w:tc>
          <w:tcPr>
            <w:tcW w:w="609" w:type="pct"/>
            <w:shd w:val="clear" w:color="auto" w:fill="auto"/>
            <w:vAlign w:val="center"/>
          </w:tcPr>
          <w:p w14:paraId="594B044F">
            <w:pPr>
              <w:pStyle w:val="26"/>
              <w:bidi w:val="0"/>
              <w:jc w:val="center"/>
              <w:rPr>
                <w:lang w:val="en-US" w:eastAsia="zh-CN"/>
              </w:rPr>
            </w:pPr>
            <w:r>
              <w:t>居民区</w:t>
            </w:r>
          </w:p>
        </w:tc>
        <w:tc>
          <w:tcPr>
            <w:tcW w:w="728" w:type="pct"/>
            <w:shd w:val="clear" w:color="auto" w:fill="auto"/>
            <w:noWrap/>
            <w:vAlign w:val="center"/>
          </w:tcPr>
          <w:p w14:paraId="38953CE6">
            <w:pPr>
              <w:pStyle w:val="26"/>
              <w:bidi w:val="0"/>
              <w:jc w:val="center"/>
              <w:rPr>
                <w:rFonts w:hint="eastAsia"/>
                <w:lang w:val="en-US" w:eastAsia="zh-CN"/>
              </w:rPr>
            </w:pPr>
            <w:r>
              <w:t>4236</w:t>
            </w:r>
          </w:p>
        </w:tc>
        <w:tc>
          <w:tcPr>
            <w:tcW w:w="709" w:type="pct"/>
            <w:vMerge w:val="continue"/>
            <w:vAlign w:val="center"/>
          </w:tcPr>
          <w:p w14:paraId="22366462">
            <w:pPr>
              <w:pStyle w:val="26"/>
              <w:bidi w:val="0"/>
              <w:jc w:val="center"/>
              <w:rPr>
                <w:color w:val="auto"/>
                <w:highlight w:val="none"/>
                <w:lang w:val="en-US" w:eastAsia="zh-CN"/>
              </w:rPr>
            </w:pPr>
          </w:p>
        </w:tc>
        <w:tc>
          <w:tcPr>
            <w:tcW w:w="826" w:type="pct"/>
            <w:shd w:val="clear" w:color="auto" w:fill="auto"/>
            <w:noWrap/>
            <w:vAlign w:val="center"/>
          </w:tcPr>
          <w:p w14:paraId="658EABE3">
            <w:pPr>
              <w:pStyle w:val="26"/>
              <w:bidi w:val="0"/>
              <w:jc w:val="center"/>
              <w:rPr>
                <w:rFonts w:hint="eastAsia"/>
                <w:lang w:val="en-US" w:eastAsia="zh-CN"/>
              </w:rPr>
            </w:pPr>
            <w:r>
              <w:t>南</w:t>
            </w:r>
          </w:p>
        </w:tc>
        <w:tc>
          <w:tcPr>
            <w:tcW w:w="826" w:type="pct"/>
            <w:shd w:val="clear" w:color="auto" w:fill="auto"/>
            <w:noWrap/>
            <w:vAlign w:val="center"/>
          </w:tcPr>
          <w:p w14:paraId="7CC8FC03">
            <w:pPr>
              <w:pStyle w:val="26"/>
              <w:bidi w:val="0"/>
              <w:jc w:val="center"/>
              <w:rPr>
                <w:rFonts w:hint="eastAsia"/>
                <w:lang w:val="en-US" w:eastAsia="zh-CN"/>
              </w:rPr>
            </w:pPr>
            <w:r>
              <w:t>2325</w:t>
            </w:r>
          </w:p>
        </w:tc>
      </w:tr>
      <w:tr w14:paraId="4496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7DD7ECA">
            <w:pPr>
              <w:pStyle w:val="26"/>
              <w:bidi w:val="0"/>
              <w:jc w:val="center"/>
              <w:rPr>
                <w:rFonts w:hint="eastAsia"/>
                <w:lang w:val="en-US" w:eastAsia="zh-CN"/>
              </w:rPr>
            </w:pPr>
            <w:r>
              <w:rPr>
                <w:rFonts w:hint="default"/>
                <w:lang w:val="en-US" w:eastAsia="zh-CN"/>
              </w:rPr>
              <w:t>90</w:t>
            </w:r>
          </w:p>
        </w:tc>
        <w:tc>
          <w:tcPr>
            <w:tcW w:w="939" w:type="pct"/>
            <w:shd w:val="clear" w:color="auto" w:fill="auto"/>
            <w:noWrap/>
            <w:vAlign w:val="center"/>
          </w:tcPr>
          <w:p w14:paraId="131ACEFB">
            <w:pPr>
              <w:pStyle w:val="26"/>
              <w:bidi w:val="0"/>
              <w:jc w:val="center"/>
              <w:rPr>
                <w:rFonts w:hint="eastAsia"/>
                <w:lang w:val="en-US" w:eastAsia="zh-CN"/>
              </w:rPr>
            </w:pPr>
            <w:r>
              <w:t>绿地 21 城国际家园A 区</w:t>
            </w:r>
          </w:p>
        </w:tc>
        <w:tc>
          <w:tcPr>
            <w:tcW w:w="609" w:type="pct"/>
            <w:shd w:val="clear" w:color="auto" w:fill="auto"/>
            <w:vAlign w:val="center"/>
          </w:tcPr>
          <w:p w14:paraId="05FD2EC4">
            <w:pPr>
              <w:pStyle w:val="26"/>
              <w:bidi w:val="0"/>
              <w:jc w:val="center"/>
              <w:rPr>
                <w:lang w:val="en-US" w:eastAsia="zh-CN"/>
              </w:rPr>
            </w:pPr>
            <w:r>
              <w:t>居民区</w:t>
            </w:r>
          </w:p>
        </w:tc>
        <w:tc>
          <w:tcPr>
            <w:tcW w:w="728" w:type="pct"/>
            <w:shd w:val="clear" w:color="auto" w:fill="auto"/>
            <w:noWrap/>
            <w:vAlign w:val="center"/>
          </w:tcPr>
          <w:p w14:paraId="4B5DFD0A">
            <w:pPr>
              <w:pStyle w:val="26"/>
              <w:bidi w:val="0"/>
              <w:jc w:val="center"/>
              <w:rPr>
                <w:rFonts w:hint="eastAsia"/>
                <w:lang w:val="en-US" w:eastAsia="zh-CN"/>
              </w:rPr>
            </w:pPr>
            <w:r>
              <w:t>1830</w:t>
            </w:r>
          </w:p>
        </w:tc>
        <w:tc>
          <w:tcPr>
            <w:tcW w:w="709" w:type="pct"/>
            <w:vMerge w:val="continue"/>
            <w:vAlign w:val="center"/>
          </w:tcPr>
          <w:p w14:paraId="098C211A">
            <w:pPr>
              <w:pStyle w:val="26"/>
              <w:bidi w:val="0"/>
              <w:jc w:val="center"/>
              <w:rPr>
                <w:color w:val="auto"/>
                <w:highlight w:val="none"/>
                <w:lang w:val="en-US" w:eastAsia="zh-CN"/>
              </w:rPr>
            </w:pPr>
          </w:p>
        </w:tc>
        <w:tc>
          <w:tcPr>
            <w:tcW w:w="826" w:type="pct"/>
            <w:shd w:val="clear" w:color="auto" w:fill="auto"/>
            <w:noWrap/>
            <w:vAlign w:val="center"/>
          </w:tcPr>
          <w:p w14:paraId="3FD68BA1">
            <w:pPr>
              <w:pStyle w:val="26"/>
              <w:bidi w:val="0"/>
              <w:jc w:val="center"/>
              <w:rPr>
                <w:rFonts w:hint="eastAsia"/>
                <w:lang w:val="en-US" w:eastAsia="zh-CN"/>
              </w:rPr>
            </w:pPr>
            <w:r>
              <w:t>西南</w:t>
            </w:r>
          </w:p>
        </w:tc>
        <w:tc>
          <w:tcPr>
            <w:tcW w:w="826" w:type="pct"/>
            <w:shd w:val="clear" w:color="auto" w:fill="auto"/>
            <w:noWrap/>
            <w:vAlign w:val="center"/>
          </w:tcPr>
          <w:p w14:paraId="7F14BA62">
            <w:pPr>
              <w:pStyle w:val="26"/>
              <w:bidi w:val="0"/>
              <w:jc w:val="center"/>
              <w:rPr>
                <w:rFonts w:hint="eastAsia"/>
                <w:lang w:val="en-US" w:eastAsia="zh-CN"/>
              </w:rPr>
            </w:pPr>
            <w:r>
              <w:t>2360</w:t>
            </w:r>
          </w:p>
        </w:tc>
      </w:tr>
      <w:tr w14:paraId="64EE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D7E9D06">
            <w:pPr>
              <w:pStyle w:val="26"/>
              <w:bidi w:val="0"/>
              <w:jc w:val="center"/>
              <w:rPr>
                <w:rFonts w:hint="eastAsia"/>
                <w:lang w:val="en-US" w:eastAsia="zh-CN"/>
              </w:rPr>
            </w:pPr>
            <w:r>
              <w:rPr>
                <w:rFonts w:hint="default"/>
                <w:lang w:val="en-US" w:eastAsia="zh-CN"/>
              </w:rPr>
              <w:t>91</w:t>
            </w:r>
          </w:p>
        </w:tc>
        <w:tc>
          <w:tcPr>
            <w:tcW w:w="939" w:type="pct"/>
            <w:shd w:val="clear" w:color="auto" w:fill="auto"/>
            <w:noWrap/>
            <w:vAlign w:val="center"/>
          </w:tcPr>
          <w:p w14:paraId="7BD1D265">
            <w:pPr>
              <w:pStyle w:val="26"/>
              <w:bidi w:val="0"/>
              <w:jc w:val="center"/>
              <w:rPr>
                <w:rFonts w:hint="eastAsia"/>
                <w:lang w:val="en-US" w:eastAsia="zh-CN"/>
              </w:rPr>
            </w:pPr>
            <w:r>
              <w:t>绿地丽水名邸</w:t>
            </w:r>
          </w:p>
        </w:tc>
        <w:tc>
          <w:tcPr>
            <w:tcW w:w="609" w:type="pct"/>
            <w:shd w:val="clear" w:color="auto" w:fill="auto"/>
            <w:vAlign w:val="center"/>
          </w:tcPr>
          <w:p w14:paraId="480FC453">
            <w:pPr>
              <w:pStyle w:val="26"/>
              <w:bidi w:val="0"/>
              <w:jc w:val="center"/>
              <w:rPr>
                <w:lang w:val="en-US" w:eastAsia="zh-CN"/>
              </w:rPr>
            </w:pPr>
            <w:r>
              <w:t>居民区</w:t>
            </w:r>
          </w:p>
        </w:tc>
        <w:tc>
          <w:tcPr>
            <w:tcW w:w="728" w:type="pct"/>
            <w:shd w:val="clear" w:color="auto" w:fill="auto"/>
            <w:noWrap/>
            <w:vAlign w:val="center"/>
          </w:tcPr>
          <w:p w14:paraId="099902FC">
            <w:pPr>
              <w:pStyle w:val="26"/>
              <w:bidi w:val="0"/>
              <w:jc w:val="center"/>
              <w:rPr>
                <w:rFonts w:hint="eastAsia"/>
                <w:lang w:val="en-US" w:eastAsia="zh-CN"/>
              </w:rPr>
            </w:pPr>
            <w:r>
              <w:t>1830</w:t>
            </w:r>
          </w:p>
        </w:tc>
        <w:tc>
          <w:tcPr>
            <w:tcW w:w="709" w:type="pct"/>
            <w:vMerge w:val="continue"/>
            <w:vAlign w:val="center"/>
          </w:tcPr>
          <w:p w14:paraId="39B6E412">
            <w:pPr>
              <w:pStyle w:val="26"/>
              <w:bidi w:val="0"/>
              <w:jc w:val="center"/>
              <w:rPr>
                <w:color w:val="auto"/>
                <w:highlight w:val="none"/>
                <w:lang w:val="en-US" w:eastAsia="zh-CN"/>
              </w:rPr>
            </w:pPr>
          </w:p>
        </w:tc>
        <w:tc>
          <w:tcPr>
            <w:tcW w:w="826" w:type="pct"/>
            <w:shd w:val="clear" w:color="auto" w:fill="auto"/>
            <w:noWrap/>
            <w:vAlign w:val="center"/>
          </w:tcPr>
          <w:p w14:paraId="60E1765F">
            <w:pPr>
              <w:pStyle w:val="26"/>
              <w:bidi w:val="0"/>
              <w:jc w:val="center"/>
              <w:rPr>
                <w:rFonts w:hint="eastAsia"/>
                <w:lang w:val="en-US" w:eastAsia="zh-CN"/>
              </w:rPr>
            </w:pPr>
            <w:r>
              <w:t>南</w:t>
            </w:r>
          </w:p>
        </w:tc>
        <w:tc>
          <w:tcPr>
            <w:tcW w:w="826" w:type="pct"/>
            <w:shd w:val="clear" w:color="auto" w:fill="auto"/>
            <w:noWrap/>
            <w:vAlign w:val="center"/>
          </w:tcPr>
          <w:p w14:paraId="4AD5398D">
            <w:pPr>
              <w:pStyle w:val="26"/>
              <w:bidi w:val="0"/>
              <w:jc w:val="center"/>
              <w:rPr>
                <w:rFonts w:hint="eastAsia"/>
                <w:lang w:val="en-US" w:eastAsia="zh-CN"/>
              </w:rPr>
            </w:pPr>
            <w:r>
              <w:t>2705</w:t>
            </w:r>
          </w:p>
        </w:tc>
      </w:tr>
      <w:tr w14:paraId="087F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F58DC4E">
            <w:pPr>
              <w:pStyle w:val="26"/>
              <w:bidi w:val="0"/>
              <w:jc w:val="center"/>
              <w:rPr>
                <w:rFonts w:hint="eastAsia"/>
                <w:lang w:val="en-US" w:eastAsia="zh-CN"/>
              </w:rPr>
            </w:pPr>
            <w:r>
              <w:rPr>
                <w:rFonts w:hint="default"/>
                <w:lang w:val="en-US" w:eastAsia="zh-CN"/>
              </w:rPr>
              <w:t>92</w:t>
            </w:r>
          </w:p>
        </w:tc>
        <w:tc>
          <w:tcPr>
            <w:tcW w:w="939" w:type="pct"/>
            <w:shd w:val="clear" w:color="auto" w:fill="auto"/>
            <w:noWrap/>
            <w:vAlign w:val="center"/>
          </w:tcPr>
          <w:p w14:paraId="0C33A979">
            <w:pPr>
              <w:pStyle w:val="26"/>
              <w:bidi w:val="0"/>
              <w:jc w:val="center"/>
              <w:rPr>
                <w:rFonts w:hint="eastAsia"/>
                <w:lang w:val="en-US" w:eastAsia="zh-CN"/>
              </w:rPr>
            </w:pPr>
            <w:r>
              <w:t>花桥别墅</w:t>
            </w:r>
          </w:p>
        </w:tc>
        <w:tc>
          <w:tcPr>
            <w:tcW w:w="609" w:type="pct"/>
            <w:shd w:val="clear" w:color="auto" w:fill="auto"/>
            <w:vAlign w:val="center"/>
          </w:tcPr>
          <w:p w14:paraId="0D5D258E">
            <w:pPr>
              <w:pStyle w:val="26"/>
              <w:bidi w:val="0"/>
              <w:jc w:val="center"/>
              <w:rPr>
                <w:lang w:val="en-US" w:eastAsia="zh-CN"/>
              </w:rPr>
            </w:pPr>
            <w:r>
              <w:t>居民区</w:t>
            </w:r>
          </w:p>
        </w:tc>
        <w:tc>
          <w:tcPr>
            <w:tcW w:w="728" w:type="pct"/>
            <w:shd w:val="clear" w:color="auto" w:fill="auto"/>
            <w:noWrap/>
            <w:vAlign w:val="center"/>
          </w:tcPr>
          <w:p w14:paraId="46E74817">
            <w:pPr>
              <w:pStyle w:val="26"/>
              <w:bidi w:val="0"/>
              <w:jc w:val="center"/>
              <w:rPr>
                <w:rFonts w:hint="eastAsia"/>
                <w:lang w:val="en-US" w:eastAsia="zh-CN"/>
              </w:rPr>
            </w:pPr>
            <w:r>
              <w:t>260</w:t>
            </w:r>
          </w:p>
        </w:tc>
        <w:tc>
          <w:tcPr>
            <w:tcW w:w="709" w:type="pct"/>
            <w:vMerge w:val="continue"/>
            <w:vAlign w:val="center"/>
          </w:tcPr>
          <w:p w14:paraId="31AF6426">
            <w:pPr>
              <w:pStyle w:val="26"/>
              <w:bidi w:val="0"/>
              <w:jc w:val="center"/>
              <w:rPr>
                <w:color w:val="auto"/>
                <w:highlight w:val="none"/>
                <w:lang w:val="en-US" w:eastAsia="zh-CN"/>
              </w:rPr>
            </w:pPr>
          </w:p>
        </w:tc>
        <w:tc>
          <w:tcPr>
            <w:tcW w:w="826" w:type="pct"/>
            <w:shd w:val="clear" w:color="auto" w:fill="auto"/>
            <w:noWrap/>
            <w:vAlign w:val="center"/>
          </w:tcPr>
          <w:p w14:paraId="21ECD330">
            <w:pPr>
              <w:pStyle w:val="26"/>
              <w:bidi w:val="0"/>
              <w:jc w:val="center"/>
              <w:rPr>
                <w:rFonts w:hint="eastAsia"/>
                <w:lang w:val="en-US" w:eastAsia="zh-CN"/>
              </w:rPr>
            </w:pPr>
            <w:r>
              <w:t>西南</w:t>
            </w:r>
          </w:p>
        </w:tc>
        <w:tc>
          <w:tcPr>
            <w:tcW w:w="826" w:type="pct"/>
            <w:shd w:val="clear" w:color="auto" w:fill="auto"/>
            <w:noWrap/>
            <w:vAlign w:val="center"/>
          </w:tcPr>
          <w:p w14:paraId="2F0FBA93">
            <w:pPr>
              <w:pStyle w:val="26"/>
              <w:bidi w:val="0"/>
              <w:jc w:val="center"/>
              <w:rPr>
                <w:rFonts w:hint="eastAsia"/>
                <w:lang w:val="en-US" w:eastAsia="zh-CN"/>
              </w:rPr>
            </w:pPr>
            <w:r>
              <w:t>2750</w:t>
            </w:r>
          </w:p>
        </w:tc>
      </w:tr>
      <w:tr w14:paraId="52A9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F23ABD4">
            <w:pPr>
              <w:pStyle w:val="26"/>
              <w:bidi w:val="0"/>
              <w:jc w:val="center"/>
              <w:rPr>
                <w:rFonts w:hint="eastAsia"/>
                <w:lang w:val="en-US" w:eastAsia="zh-CN"/>
              </w:rPr>
            </w:pPr>
            <w:r>
              <w:rPr>
                <w:rFonts w:hint="default"/>
                <w:lang w:val="en-US" w:eastAsia="zh-CN"/>
              </w:rPr>
              <w:t>93</w:t>
            </w:r>
          </w:p>
        </w:tc>
        <w:tc>
          <w:tcPr>
            <w:tcW w:w="939" w:type="pct"/>
            <w:shd w:val="clear" w:color="auto" w:fill="auto"/>
            <w:noWrap/>
            <w:vAlign w:val="center"/>
          </w:tcPr>
          <w:p w14:paraId="0FDE4D15">
            <w:pPr>
              <w:pStyle w:val="26"/>
              <w:bidi w:val="0"/>
              <w:jc w:val="center"/>
              <w:rPr>
                <w:rFonts w:hint="eastAsia"/>
                <w:lang w:val="en-US" w:eastAsia="zh-CN"/>
              </w:rPr>
            </w:pPr>
            <w:r>
              <w:t>绿地 21 城-B 区</w:t>
            </w:r>
          </w:p>
        </w:tc>
        <w:tc>
          <w:tcPr>
            <w:tcW w:w="609" w:type="pct"/>
            <w:shd w:val="clear" w:color="auto" w:fill="auto"/>
            <w:vAlign w:val="center"/>
          </w:tcPr>
          <w:p w14:paraId="01167ED6">
            <w:pPr>
              <w:pStyle w:val="26"/>
              <w:bidi w:val="0"/>
              <w:jc w:val="center"/>
              <w:rPr>
                <w:lang w:val="en-US" w:eastAsia="zh-CN"/>
              </w:rPr>
            </w:pPr>
            <w:r>
              <w:t>居民区</w:t>
            </w:r>
          </w:p>
        </w:tc>
        <w:tc>
          <w:tcPr>
            <w:tcW w:w="728" w:type="pct"/>
            <w:shd w:val="clear" w:color="auto" w:fill="auto"/>
            <w:noWrap/>
            <w:vAlign w:val="center"/>
          </w:tcPr>
          <w:p w14:paraId="1F56F293">
            <w:pPr>
              <w:pStyle w:val="26"/>
              <w:bidi w:val="0"/>
              <w:jc w:val="center"/>
              <w:rPr>
                <w:rFonts w:hint="eastAsia"/>
                <w:lang w:val="en-US" w:eastAsia="zh-CN"/>
              </w:rPr>
            </w:pPr>
            <w:r>
              <w:t>2454</w:t>
            </w:r>
          </w:p>
        </w:tc>
        <w:tc>
          <w:tcPr>
            <w:tcW w:w="709" w:type="pct"/>
            <w:vMerge w:val="continue"/>
            <w:vAlign w:val="center"/>
          </w:tcPr>
          <w:p w14:paraId="74864E82">
            <w:pPr>
              <w:pStyle w:val="26"/>
              <w:bidi w:val="0"/>
              <w:jc w:val="center"/>
              <w:rPr>
                <w:color w:val="auto"/>
                <w:highlight w:val="none"/>
                <w:lang w:val="en-US" w:eastAsia="zh-CN"/>
              </w:rPr>
            </w:pPr>
          </w:p>
        </w:tc>
        <w:tc>
          <w:tcPr>
            <w:tcW w:w="826" w:type="pct"/>
            <w:shd w:val="clear" w:color="auto" w:fill="auto"/>
            <w:noWrap/>
            <w:vAlign w:val="center"/>
          </w:tcPr>
          <w:p w14:paraId="0780586B">
            <w:pPr>
              <w:pStyle w:val="26"/>
              <w:bidi w:val="0"/>
              <w:jc w:val="center"/>
              <w:rPr>
                <w:rFonts w:hint="eastAsia"/>
                <w:lang w:val="en-US" w:eastAsia="zh-CN"/>
              </w:rPr>
            </w:pPr>
            <w:r>
              <w:t>西南</w:t>
            </w:r>
          </w:p>
        </w:tc>
        <w:tc>
          <w:tcPr>
            <w:tcW w:w="826" w:type="pct"/>
            <w:shd w:val="clear" w:color="auto" w:fill="auto"/>
            <w:noWrap/>
            <w:vAlign w:val="center"/>
          </w:tcPr>
          <w:p w14:paraId="4D94E95E">
            <w:pPr>
              <w:pStyle w:val="26"/>
              <w:bidi w:val="0"/>
              <w:jc w:val="center"/>
              <w:rPr>
                <w:rFonts w:hint="eastAsia"/>
                <w:lang w:val="en-US" w:eastAsia="zh-CN"/>
              </w:rPr>
            </w:pPr>
            <w:r>
              <w:t>3020</w:t>
            </w:r>
          </w:p>
        </w:tc>
      </w:tr>
      <w:tr w14:paraId="6689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ECA23D2">
            <w:pPr>
              <w:pStyle w:val="26"/>
              <w:bidi w:val="0"/>
              <w:jc w:val="center"/>
              <w:rPr>
                <w:rFonts w:hint="eastAsia"/>
                <w:lang w:val="en-US" w:eastAsia="zh-CN"/>
              </w:rPr>
            </w:pPr>
            <w:r>
              <w:rPr>
                <w:rFonts w:hint="default"/>
                <w:lang w:val="en-US" w:eastAsia="zh-CN"/>
              </w:rPr>
              <w:t>94</w:t>
            </w:r>
          </w:p>
        </w:tc>
        <w:tc>
          <w:tcPr>
            <w:tcW w:w="939" w:type="pct"/>
            <w:shd w:val="clear" w:color="auto" w:fill="auto"/>
            <w:noWrap/>
            <w:vAlign w:val="center"/>
          </w:tcPr>
          <w:p w14:paraId="36A23A3B">
            <w:pPr>
              <w:pStyle w:val="26"/>
              <w:bidi w:val="0"/>
              <w:jc w:val="center"/>
              <w:rPr>
                <w:rFonts w:hint="eastAsia"/>
                <w:lang w:val="en-US" w:eastAsia="zh-CN"/>
              </w:rPr>
            </w:pPr>
            <w:r>
              <w:t>绿地加颂名邸 7 号</w:t>
            </w:r>
          </w:p>
        </w:tc>
        <w:tc>
          <w:tcPr>
            <w:tcW w:w="609" w:type="pct"/>
            <w:shd w:val="clear" w:color="auto" w:fill="auto"/>
            <w:vAlign w:val="center"/>
          </w:tcPr>
          <w:p w14:paraId="57BCBD95">
            <w:pPr>
              <w:pStyle w:val="26"/>
              <w:bidi w:val="0"/>
              <w:jc w:val="center"/>
              <w:rPr>
                <w:lang w:val="en-US" w:eastAsia="zh-CN"/>
              </w:rPr>
            </w:pPr>
            <w:r>
              <w:t>居民区</w:t>
            </w:r>
          </w:p>
        </w:tc>
        <w:tc>
          <w:tcPr>
            <w:tcW w:w="728" w:type="pct"/>
            <w:shd w:val="clear" w:color="auto" w:fill="auto"/>
            <w:noWrap/>
            <w:vAlign w:val="center"/>
          </w:tcPr>
          <w:p w14:paraId="7BCB05FD">
            <w:pPr>
              <w:pStyle w:val="26"/>
              <w:bidi w:val="0"/>
              <w:jc w:val="center"/>
              <w:rPr>
                <w:rFonts w:hint="eastAsia"/>
                <w:lang w:val="en-US" w:eastAsia="zh-CN"/>
              </w:rPr>
            </w:pPr>
            <w:r>
              <w:t>270</w:t>
            </w:r>
          </w:p>
        </w:tc>
        <w:tc>
          <w:tcPr>
            <w:tcW w:w="709" w:type="pct"/>
            <w:vMerge w:val="continue"/>
            <w:vAlign w:val="center"/>
          </w:tcPr>
          <w:p w14:paraId="4DF6E3B1">
            <w:pPr>
              <w:pStyle w:val="26"/>
              <w:bidi w:val="0"/>
              <w:jc w:val="center"/>
              <w:rPr>
                <w:color w:val="auto"/>
                <w:highlight w:val="none"/>
                <w:lang w:val="en-US" w:eastAsia="zh-CN"/>
              </w:rPr>
            </w:pPr>
          </w:p>
        </w:tc>
        <w:tc>
          <w:tcPr>
            <w:tcW w:w="826" w:type="pct"/>
            <w:shd w:val="clear" w:color="auto" w:fill="auto"/>
            <w:noWrap/>
            <w:vAlign w:val="center"/>
          </w:tcPr>
          <w:p w14:paraId="28C8248C">
            <w:pPr>
              <w:pStyle w:val="26"/>
              <w:bidi w:val="0"/>
              <w:jc w:val="center"/>
              <w:rPr>
                <w:rFonts w:hint="eastAsia"/>
                <w:lang w:val="en-US" w:eastAsia="zh-CN"/>
              </w:rPr>
            </w:pPr>
            <w:r>
              <w:t>西南</w:t>
            </w:r>
          </w:p>
        </w:tc>
        <w:tc>
          <w:tcPr>
            <w:tcW w:w="826" w:type="pct"/>
            <w:shd w:val="clear" w:color="auto" w:fill="auto"/>
            <w:noWrap/>
            <w:vAlign w:val="center"/>
          </w:tcPr>
          <w:p w14:paraId="1FDF385B">
            <w:pPr>
              <w:pStyle w:val="26"/>
              <w:bidi w:val="0"/>
              <w:jc w:val="center"/>
              <w:rPr>
                <w:rFonts w:hint="eastAsia"/>
                <w:lang w:val="en-US" w:eastAsia="zh-CN"/>
              </w:rPr>
            </w:pPr>
            <w:r>
              <w:t>3320</w:t>
            </w:r>
          </w:p>
        </w:tc>
      </w:tr>
      <w:tr w14:paraId="6153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9CA57C7">
            <w:pPr>
              <w:pStyle w:val="26"/>
              <w:bidi w:val="0"/>
              <w:jc w:val="center"/>
              <w:rPr>
                <w:rFonts w:hint="eastAsia"/>
                <w:lang w:val="en-US" w:eastAsia="zh-CN"/>
              </w:rPr>
            </w:pPr>
            <w:r>
              <w:rPr>
                <w:rFonts w:hint="default"/>
                <w:lang w:val="en-US" w:eastAsia="zh-CN"/>
              </w:rPr>
              <w:t>95</w:t>
            </w:r>
          </w:p>
        </w:tc>
        <w:tc>
          <w:tcPr>
            <w:tcW w:w="939" w:type="pct"/>
            <w:shd w:val="clear" w:color="auto" w:fill="auto"/>
            <w:noWrap/>
            <w:vAlign w:val="center"/>
          </w:tcPr>
          <w:p w14:paraId="47F9A0B9">
            <w:pPr>
              <w:pStyle w:val="26"/>
              <w:bidi w:val="0"/>
              <w:jc w:val="center"/>
              <w:rPr>
                <w:rFonts w:hint="eastAsia"/>
                <w:lang w:val="en-US" w:eastAsia="zh-CN"/>
              </w:rPr>
            </w:pPr>
            <w:r>
              <w:t>揽云居</w:t>
            </w:r>
          </w:p>
        </w:tc>
        <w:tc>
          <w:tcPr>
            <w:tcW w:w="609" w:type="pct"/>
            <w:shd w:val="clear" w:color="auto" w:fill="auto"/>
            <w:vAlign w:val="center"/>
          </w:tcPr>
          <w:p w14:paraId="05E8BAB7">
            <w:pPr>
              <w:pStyle w:val="26"/>
              <w:bidi w:val="0"/>
              <w:jc w:val="center"/>
              <w:rPr>
                <w:lang w:val="en-US" w:eastAsia="zh-CN"/>
              </w:rPr>
            </w:pPr>
            <w:r>
              <w:t>居民区</w:t>
            </w:r>
          </w:p>
        </w:tc>
        <w:tc>
          <w:tcPr>
            <w:tcW w:w="728" w:type="pct"/>
            <w:shd w:val="clear" w:color="auto" w:fill="auto"/>
            <w:noWrap/>
            <w:vAlign w:val="center"/>
          </w:tcPr>
          <w:p w14:paraId="3FCBE613">
            <w:pPr>
              <w:pStyle w:val="26"/>
              <w:bidi w:val="0"/>
              <w:jc w:val="center"/>
              <w:rPr>
                <w:rFonts w:hint="eastAsia"/>
                <w:lang w:val="en-US" w:eastAsia="zh-CN"/>
              </w:rPr>
            </w:pPr>
            <w:r>
              <w:t>1230</w:t>
            </w:r>
          </w:p>
        </w:tc>
        <w:tc>
          <w:tcPr>
            <w:tcW w:w="709" w:type="pct"/>
            <w:vMerge w:val="continue"/>
            <w:vAlign w:val="center"/>
          </w:tcPr>
          <w:p w14:paraId="1B9D0EC7">
            <w:pPr>
              <w:pStyle w:val="26"/>
              <w:bidi w:val="0"/>
              <w:jc w:val="center"/>
              <w:rPr>
                <w:color w:val="auto"/>
                <w:highlight w:val="none"/>
                <w:lang w:val="en-US" w:eastAsia="zh-CN"/>
              </w:rPr>
            </w:pPr>
          </w:p>
        </w:tc>
        <w:tc>
          <w:tcPr>
            <w:tcW w:w="826" w:type="pct"/>
            <w:shd w:val="clear" w:color="auto" w:fill="auto"/>
            <w:noWrap/>
            <w:vAlign w:val="center"/>
          </w:tcPr>
          <w:p w14:paraId="15E62276">
            <w:pPr>
              <w:pStyle w:val="26"/>
              <w:bidi w:val="0"/>
              <w:jc w:val="center"/>
              <w:rPr>
                <w:rFonts w:hint="eastAsia"/>
                <w:lang w:val="en-US" w:eastAsia="zh-CN"/>
              </w:rPr>
            </w:pPr>
            <w:r>
              <w:t>西南</w:t>
            </w:r>
          </w:p>
        </w:tc>
        <w:tc>
          <w:tcPr>
            <w:tcW w:w="826" w:type="pct"/>
            <w:shd w:val="clear" w:color="auto" w:fill="auto"/>
            <w:noWrap/>
            <w:vAlign w:val="center"/>
          </w:tcPr>
          <w:p w14:paraId="54E93A3C">
            <w:pPr>
              <w:pStyle w:val="26"/>
              <w:bidi w:val="0"/>
              <w:jc w:val="center"/>
              <w:rPr>
                <w:rFonts w:hint="eastAsia"/>
                <w:lang w:val="en-US" w:eastAsia="zh-CN"/>
              </w:rPr>
            </w:pPr>
            <w:r>
              <w:t>3650</w:t>
            </w:r>
          </w:p>
        </w:tc>
      </w:tr>
      <w:tr w14:paraId="2817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D2E3872">
            <w:pPr>
              <w:pStyle w:val="26"/>
              <w:bidi w:val="0"/>
              <w:jc w:val="center"/>
              <w:rPr>
                <w:rFonts w:hint="eastAsia"/>
                <w:lang w:val="en-US" w:eastAsia="zh-CN"/>
              </w:rPr>
            </w:pPr>
            <w:r>
              <w:rPr>
                <w:rFonts w:hint="default"/>
                <w:lang w:val="en-US" w:eastAsia="zh-CN"/>
              </w:rPr>
              <w:t>96</w:t>
            </w:r>
          </w:p>
        </w:tc>
        <w:tc>
          <w:tcPr>
            <w:tcW w:w="939" w:type="pct"/>
            <w:shd w:val="clear" w:color="auto" w:fill="auto"/>
            <w:noWrap/>
            <w:vAlign w:val="center"/>
          </w:tcPr>
          <w:p w14:paraId="69F63442">
            <w:pPr>
              <w:pStyle w:val="26"/>
              <w:bidi w:val="0"/>
              <w:jc w:val="center"/>
              <w:rPr>
                <w:rFonts w:hint="eastAsia"/>
                <w:lang w:val="en-US" w:eastAsia="zh-CN"/>
              </w:rPr>
            </w:pPr>
            <w:r>
              <w:t>百合园</w:t>
            </w:r>
          </w:p>
        </w:tc>
        <w:tc>
          <w:tcPr>
            <w:tcW w:w="609" w:type="pct"/>
            <w:shd w:val="clear" w:color="auto" w:fill="auto"/>
            <w:vAlign w:val="center"/>
          </w:tcPr>
          <w:p w14:paraId="021B0300">
            <w:pPr>
              <w:pStyle w:val="26"/>
              <w:bidi w:val="0"/>
              <w:jc w:val="center"/>
              <w:rPr>
                <w:lang w:val="en-US" w:eastAsia="zh-CN"/>
              </w:rPr>
            </w:pPr>
            <w:r>
              <w:t>居民区</w:t>
            </w:r>
          </w:p>
        </w:tc>
        <w:tc>
          <w:tcPr>
            <w:tcW w:w="728" w:type="pct"/>
            <w:shd w:val="clear" w:color="auto" w:fill="auto"/>
            <w:noWrap/>
            <w:vAlign w:val="center"/>
          </w:tcPr>
          <w:p w14:paraId="2529237E">
            <w:pPr>
              <w:pStyle w:val="26"/>
              <w:bidi w:val="0"/>
              <w:jc w:val="center"/>
              <w:rPr>
                <w:rFonts w:hint="eastAsia"/>
                <w:lang w:val="en-US" w:eastAsia="zh-CN"/>
              </w:rPr>
            </w:pPr>
            <w:r>
              <w:t>894</w:t>
            </w:r>
          </w:p>
        </w:tc>
        <w:tc>
          <w:tcPr>
            <w:tcW w:w="709" w:type="pct"/>
            <w:vMerge w:val="continue"/>
            <w:vAlign w:val="center"/>
          </w:tcPr>
          <w:p w14:paraId="6F18A2A2">
            <w:pPr>
              <w:pStyle w:val="26"/>
              <w:bidi w:val="0"/>
              <w:jc w:val="center"/>
              <w:rPr>
                <w:color w:val="auto"/>
                <w:highlight w:val="none"/>
                <w:lang w:val="en-US" w:eastAsia="zh-CN"/>
              </w:rPr>
            </w:pPr>
          </w:p>
        </w:tc>
        <w:tc>
          <w:tcPr>
            <w:tcW w:w="826" w:type="pct"/>
            <w:shd w:val="clear" w:color="auto" w:fill="auto"/>
            <w:noWrap/>
            <w:vAlign w:val="center"/>
          </w:tcPr>
          <w:p w14:paraId="2F4A096F">
            <w:pPr>
              <w:pStyle w:val="26"/>
              <w:bidi w:val="0"/>
              <w:jc w:val="center"/>
              <w:rPr>
                <w:rFonts w:hint="eastAsia"/>
                <w:lang w:val="en-US" w:eastAsia="zh-CN"/>
              </w:rPr>
            </w:pPr>
            <w:r>
              <w:t>西南</w:t>
            </w:r>
          </w:p>
        </w:tc>
        <w:tc>
          <w:tcPr>
            <w:tcW w:w="826" w:type="pct"/>
            <w:shd w:val="clear" w:color="auto" w:fill="auto"/>
            <w:noWrap/>
            <w:vAlign w:val="center"/>
          </w:tcPr>
          <w:p w14:paraId="22CA0489">
            <w:pPr>
              <w:pStyle w:val="26"/>
              <w:bidi w:val="0"/>
              <w:jc w:val="center"/>
              <w:rPr>
                <w:rFonts w:hint="eastAsia"/>
                <w:lang w:val="en-US" w:eastAsia="zh-CN"/>
              </w:rPr>
            </w:pPr>
            <w:r>
              <w:t>3510</w:t>
            </w:r>
          </w:p>
        </w:tc>
      </w:tr>
      <w:tr w14:paraId="1022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770A149">
            <w:pPr>
              <w:pStyle w:val="26"/>
              <w:bidi w:val="0"/>
              <w:jc w:val="center"/>
              <w:rPr>
                <w:rFonts w:hint="eastAsia"/>
                <w:lang w:val="en-US" w:eastAsia="zh-CN"/>
              </w:rPr>
            </w:pPr>
            <w:r>
              <w:rPr>
                <w:rFonts w:hint="default"/>
                <w:lang w:val="en-US" w:eastAsia="zh-CN"/>
              </w:rPr>
              <w:t>97</w:t>
            </w:r>
          </w:p>
        </w:tc>
        <w:tc>
          <w:tcPr>
            <w:tcW w:w="939" w:type="pct"/>
            <w:shd w:val="clear" w:color="auto" w:fill="auto"/>
            <w:noWrap/>
            <w:vAlign w:val="center"/>
          </w:tcPr>
          <w:p w14:paraId="7CCE4BA5">
            <w:pPr>
              <w:pStyle w:val="26"/>
              <w:bidi w:val="0"/>
              <w:jc w:val="center"/>
              <w:rPr>
                <w:rFonts w:hint="eastAsia"/>
                <w:lang w:val="en-US" w:eastAsia="zh-CN"/>
              </w:rPr>
            </w:pPr>
            <w:r>
              <w:t>天地院</w:t>
            </w:r>
          </w:p>
        </w:tc>
        <w:tc>
          <w:tcPr>
            <w:tcW w:w="609" w:type="pct"/>
            <w:shd w:val="clear" w:color="auto" w:fill="auto"/>
            <w:vAlign w:val="center"/>
          </w:tcPr>
          <w:p w14:paraId="6960E8BC">
            <w:pPr>
              <w:pStyle w:val="26"/>
              <w:bidi w:val="0"/>
              <w:jc w:val="center"/>
              <w:rPr>
                <w:lang w:val="en-US" w:eastAsia="zh-CN"/>
              </w:rPr>
            </w:pPr>
            <w:r>
              <w:t>居民区</w:t>
            </w:r>
          </w:p>
        </w:tc>
        <w:tc>
          <w:tcPr>
            <w:tcW w:w="728" w:type="pct"/>
            <w:shd w:val="clear" w:color="auto" w:fill="auto"/>
            <w:noWrap/>
            <w:vAlign w:val="center"/>
          </w:tcPr>
          <w:p w14:paraId="47735AF3">
            <w:pPr>
              <w:pStyle w:val="26"/>
              <w:bidi w:val="0"/>
              <w:jc w:val="center"/>
              <w:rPr>
                <w:rFonts w:hint="eastAsia"/>
                <w:lang w:val="en-US" w:eastAsia="zh-CN"/>
              </w:rPr>
            </w:pPr>
            <w:r>
              <w:t>1650</w:t>
            </w:r>
          </w:p>
        </w:tc>
        <w:tc>
          <w:tcPr>
            <w:tcW w:w="709" w:type="pct"/>
            <w:vMerge w:val="continue"/>
            <w:vAlign w:val="center"/>
          </w:tcPr>
          <w:p w14:paraId="2126A2D7">
            <w:pPr>
              <w:pStyle w:val="26"/>
              <w:bidi w:val="0"/>
              <w:jc w:val="center"/>
              <w:rPr>
                <w:color w:val="auto"/>
                <w:highlight w:val="none"/>
                <w:lang w:val="en-US" w:eastAsia="zh-CN"/>
              </w:rPr>
            </w:pPr>
          </w:p>
        </w:tc>
        <w:tc>
          <w:tcPr>
            <w:tcW w:w="826" w:type="pct"/>
            <w:shd w:val="clear" w:color="auto" w:fill="auto"/>
            <w:noWrap/>
            <w:vAlign w:val="center"/>
          </w:tcPr>
          <w:p w14:paraId="095705BC">
            <w:pPr>
              <w:pStyle w:val="26"/>
              <w:bidi w:val="0"/>
              <w:jc w:val="center"/>
              <w:rPr>
                <w:rFonts w:hint="eastAsia"/>
                <w:lang w:val="en-US" w:eastAsia="zh-CN"/>
              </w:rPr>
            </w:pPr>
            <w:r>
              <w:t>西南</w:t>
            </w:r>
          </w:p>
        </w:tc>
        <w:tc>
          <w:tcPr>
            <w:tcW w:w="826" w:type="pct"/>
            <w:shd w:val="clear" w:color="auto" w:fill="auto"/>
            <w:noWrap/>
            <w:vAlign w:val="center"/>
          </w:tcPr>
          <w:p w14:paraId="7A89447A">
            <w:pPr>
              <w:pStyle w:val="26"/>
              <w:bidi w:val="0"/>
              <w:jc w:val="center"/>
              <w:rPr>
                <w:rFonts w:hint="eastAsia"/>
                <w:lang w:val="en-US" w:eastAsia="zh-CN"/>
              </w:rPr>
            </w:pPr>
            <w:r>
              <w:t>3360</w:t>
            </w:r>
          </w:p>
        </w:tc>
      </w:tr>
      <w:tr w14:paraId="799C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B221224">
            <w:pPr>
              <w:pStyle w:val="26"/>
              <w:bidi w:val="0"/>
              <w:jc w:val="center"/>
              <w:rPr>
                <w:rFonts w:hint="eastAsia"/>
                <w:lang w:val="en-US" w:eastAsia="zh-CN"/>
              </w:rPr>
            </w:pPr>
            <w:r>
              <w:rPr>
                <w:rFonts w:hint="default"/>
                <w:lang w:val="en-US" w:eastAsia="zh-CN"/>
              </w:rPr>
              <w:t>98</w:t>
            </w:r>
          </w:p>
        </w:tc>
        <w:tc>
          <w:tcPr>
            <w:tcW w:w="939" w:type="pct"/>
            <w:shd w:val="clear" w:color="auto" w:fill="auto"/>
            <w:noWrap/>
            <w:vAlign w:val="center"/>
          </w:tcPr>
          <w:p w14:paraId="6D1D710D">
            <w:pPr>
              <w:pStyle w:val="26"/>
              <w:bidi w:val="0"/>
              <w:jc w:val="center"/>
              <w:rPr>
                <w:rFonts w:hint="eastAsia"/>
                <w:lang w:val="en-US" w:eastAsia="zh-CN"/>
              </w:rPr>
            </w:pPr>
            <w:r>
              <w:t>绿地国际家园</w:t>
            </w:r>
          </w:p>
        </w:tc>
        <w:tc>
          <w:tcPr>
            <w:tcW w:w="609" w:type="pct"/>
            <w:shd w:val="clear" w:color="auto" w:fill="auto"/>
            <w:vAlign w:val="center"/>
          </w:tcPr>
          <w:p w14:paraId="468AA6B3">
            <w:pPr>
              <w:pStyle w:val="26"/>
              <w:bidi w:val="0"/>
              <w:jc w:val="center"/>
              <w:rPr>
                <w:lang w:val="en-US" w:eastAsia="zh-CN"/>
              </w:rPr>
            </w:pPr>
            <w:r>
              <w:t>居民区</w:t>
            </w:r>
          </w:p>
        </w:tc>
        <w:tc>
          <w:tcPr>
            <w:tcW w:w="728" w:type="pct"/>
            <w:shd w:val="clear" w:color="auto" w:fill="auto"/>
            <w:noWrap/>
            <w:vAlign w:val="center"/>
          </w:tcPr>
          <w:p w14:paraId="62A72BB3">
            <w:pPr>
              <w:pStyle w:val="26"/>
              <w:bidi w:val="0"/>
              <w:jc w:val="center"/>
              <w:rPr>
                <w:rFonts w:hint="eastAsia"/>
                <w:lang w:val="en-US" w:eastAsia="zh-CN"/>
              </w:rPr>
            </w:pPr>
            <w:r>
              <w:t>405</w:t>
            </w:r>
          </w:p>
        </w:tc>
        <w:tc>
          <w:tcPr>
            <w:tcW w:w="709" w:type="pct"/>
            <w:vMerge w:val="continue"/>
            <w:vAlign w:val="center"/>
          </w:tcPr>
          <w:p w14:paraId="64F93448">
            <w:pPr>
              <w:pStyle w:val="26"/>
              <w:bidi w:val="0"/>
              <w:jc w:val="center"/>
              <w:rPr>
                <w:color w:val="auto"/>
                <w:highlight w:val="none"/>
                <w:lang w:val="en-US" w:eastAsia="zh-CN"/>
              </w:rPr>
            </w:pPr>
          </w:p>
        </w:tc>
        <w:tc>
          <w:tcPr>
            <w:tcW w:w="826" w:type="pct"/>
            <w:shd w:val="clear" w:color="auto" w:fill="auto"/>
            <w:noWrap/>
            <w:vAlign w:val="center"/>
          </w:tcPr>
          <w:p w14:paraId="19BCF08C">
            <w:pPr>
              <w:pStyle w:val="26"/>
              <w:bidi w:val="0"/>
              <w:jc w:val="center"/>
              <w:rPr>
                <w:rFonts w:hint="eastAsia"/>
                <w:lang w:val="en-US" w:eastAsia="zh-CN"/>
              </w:rPr>
            </w:pPr>
            <w:r>
              <w:t>西南</w:t>
            </w:r>
          </w:p>
        </w:tc>
        <w:tc>
          <w:tcPr>
            <w:tcW w:w="826" w:type="pct"/>
            <w:shd w:val="clear" w:color="auto" w:fill="auto"/>
            <w:noWrap/>
            <w:vAlign w:val="center"/>
          </w:tcPr>
          <w:p w14:paraId="3971DDC6">
            <w:pPr>
              <w:pStyle w:val="26"/>
              <w:bidi w:val="0"/>
              <w:jc w:val="center"/>
              <w:rPr>
                <w:rFonts w:hint="eastAsia"/>
                <w:lang w:val="en-US" w:eastAsia="zh-CN"/>
              </w:rPr>
            </w:pPr>
            <w:r>
              <w:t>2910</w:t>
            </w:r>
          </w:p>
        </w:tc>
      </w:tr>
      <w:tr w14:paraId="7CEE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74B645B">
            <w:pPr>
              <w:pStyle w:val="26"/>
              <w:bidi w:val="0"/>
              <w:jc w:val="center"/>
              <w:rPr>
                <w:rFonts w:hint="eastAsia"/>
                <w:lang w:val="en-US" w:eastAsia="zh-CN"/>
              </w:rPr>
            </w:pPr>
            <w:r>
              <w:rPr>
                <w:rFonts w:hint="default"/>
                <w:lang w:val="en-US" w:eastAsia="zh-CN"/>
              </w:rPr>
              <w:t>99</w:t>
            </w:r>
          </w:p>
        </w:tc>
        <w:tc>
          <w:tcPr>
            <w:tcW w:w="939" w:type="pct"/>
            <w:shd w:val="clear" w:color="auto" w:fill="auto"/>
            <w:noWrap/>
            <w:vAlign w:val="center"/>
          </w:tcPr>
          <w:p w14:paraId="348EB85E">
            <w:pPr>
              <w:pStyle w:val="26"/>
              <w:bidi w:val="0"/>
              <w:jc w:val="center"/>
              <w:rPr>
                <w:rFonts w:hint="eastAsia"/>
                <w:lang w:val="en-US" w:eastAsia="zh-CN"/>
              </w:rPr>
            </w:pPr>
            <w:r>
              <w:t>玫瑰园</w:t>
            </w:r>
          </w:p>
        </w:tc>
        <w:tc>
          <w:tcPr>
            <w:tcW w:w="609" w:type="pct"/>
            <w:shd w:val="clear" w:color="auto" w:fill="auto"/>
            <w:vAlign w:val="center"/>
          </w:tcPr>
          <w:p w14:paraId="3569B460">
            <w:pPr>
              <w:pStyle w:val="26"/>
              <w:bidi w:val="0"/>
              <w:jc w:val="center"/>
              <w:rPr>
                <w:lang w:val="en-US" w:eastAsia="zh-CN"/>
              </w:rPr>
            </w:pPr>
            <w:r>
              <w:t>居民区</w:t>
            </w:r>
          </w:p>
        </w:tc>
        <w:tc>
          <w:tcPr>
            <w:tcW w:w="728" w:type="pct"/>
            <w:shd w:val="clear" w:color="auto" w:fill="auto"/>
            <w:noWrap/>
            <w:vAlign w:val="center"/>
          </w:tcPr>
          <w:p w14:paraId="6C448AC1">
            <w:pPr>
              <w:pStyle w:val="26"/>
              <w:bidi w:val="0"/>
              <w:jc w:val="center"/>
              <w:rPr>
                <w:rFonts w:hint="eastAsia"/>
                <w:lang w:val="en-US" w:eastAsia="zh-CN"/>
              </w:rPr>
            </w:pPr>
            <w:r>
              <w:t>8784</w:t>
            </w:r>
          </w:p>
        </w:tc>
        <w:tc>
          <w:tcPr>
            <w:tcW w:w="709" w:type="pct"/>
            <w:vMerge w:val="continue"/>
            <w:vAlign w:val="center"/>
          </w:tcPr>
          <w:p w14:paraId="5B8A04CD">
            <w:pPr>
              <w:pStyle w:val="26"/>
              <w:bidi w:val="0"/>
              <w:jc w:val="center"/>
              <w:rPr>
                <w:color w:val="auto"/>
                <w:highlight w:val="none"/>
                <w:lang w:val="en-US" w:eastAsia="zh-CN"/>
              </w:rPr>
            </w:pPr>
          </w:p>
        </w:tc>
        <w:tc>
          <w:tcPr>
            <w:tcW w:w="826" w:type="pct"/>
            <w:shd w:val="clear" w:color="auto" w:fill="auto"/>
            <w:noWrap/>
            <w:vAlign w:val="center"/>
          </w:tcPr>
          <w:p w14:paraId="5A17156A">
            <w:pPr>
              <w:pStyle w:val="26"/>
              <w:bidi w:val="0"/>
              <w:jc w:val="center"/>
              <w:rPr>
                <w:rFonts w:hint="eastAsia"/>
                <w:lang w:val="en-US" w:eastAsia="zh-CN"/>
              </w:rPr>
            </w:pPr>
            <w:r>
              <w:t>西南</w:t>
            </w:r>
          </w:p>
        </w:tc>
        <w:tc>
          <w:tcPr>
            <w:tcW w:w="826" w:type="pct"/>
            <w:shd w:val="clear" w:color="auto" w:fill="auto"/>
            <w:noWrap/>
            <w:vAlign w:val="center"/>
          </w:tcPr>
          <w:p w14:paraId="516ED2B8">
            <w:pPr>
              <w:pStyle w:val="26"/>
              <w:bidi w:val="0"/>
              <w:jc w:val="center"/>
              <w:rPr>
                <w:rFonts w:hint="eastAsia"/>
                <w:lang w:val="en-US" w:eastAsia="zh-CN"/>
              </w:rPr>
            </w:pPr>
            <w:r>
              <w:t>2890</w:t>
            </w:r>
          </w:p>
        </w:tc>
      </w:tr>
      <w:tr w14:paraId="459F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6468FE8">
            <w:pPr>
              <w:pStyle w:val="26"/>
              <w:bidi w:val="0"/>
              <w:jc w:val="center"/>
              <w:rPr>
                <w:rFonts w:hint="eastAsia"/>
                <w:lang w:val="en-US" w:eastAsia="zh-CN"/>
              </w:rPr>
            </w:pPr>
            <w:r>
              <w:rPr>
                <w:rFonts w:hint="default"/>
                <w:lang w:val="en-US" w:eastAsia="zh-CN"/>
              </w:rPr>
              <w:t>100</w:t>
            </w:r>
          </w:p>
        </w:tc>
        <w:tc>
          <w:tcPr>
            <w:tcW w:w="939" w:type="pct"/>
            <w:shd w:val="clear" w:color="auto" w:fill="auto"/>
            <w:noWrap/>
            <w:vAlign w:val="center"/>
          </w:tcPr>
          <w:p w14:paraId="14D92446">
            <w:pPr>
              <w:pStyle w:val="26"/>
              <w:bidi w:val="0"/>
              <w:jc w:val="center"/>
              <w:rPr>
                <w:rFonts w:hint="eastAsia"/>
                <w:lang w:val="en-US" w:eastAsia="zh-CN"/>
              </w:rPr>
            </w:pPr>
            <w:r>
              <w:t>绿地 21 城</w:t>
            </w:r>
          </w:p>
        </w:tc>
        <w:tc>
          <w:tcPr>
            <w:tcW w:w="609" w:type="pct"/>
            <w:shd w:val="clear" w:color="auto" w:fill="auto"/>
            <w:vAlign w:val="center"/>
          </w:tcPr>
          <w:p w14:paraId="37B7328D">
            <w:pPr>
              <w:pStyle w:val="26"/>
              <w:bidi w:val="0"/>
              <w:jc w:val="center"/>
              <w:rPr>
                <w:lang w:val="en-US" w:eastAsia="zh-CN"/>
              </w:rPr>
            </w:pPr>
            <w:r>
              <w:t>居民区</w:t>
            </w:r>
          </w:p>
        </w:tc>
        <w:tc>
          <w:tcPr>
            <w:tcW w:w="728" w:type="pct"/>
            <w:shd w:val="clear" w:color="auto" w:fill="auto"/>
            <w:noWrap/>
            <w:vAlign w:val="center"/>
          </w:tcPr>
          <w:p w14:paraId="591F6123">
            <w:pPr>
              <w:pStyle w:val="26"/>
              <w:bidi w:val="0"/>
              <w:jc w:val="center"/>
              <w:rPr>
                <w:rFonts w:hint="eastAsia"/>
                <w:lang w:val="en-US" w:eastAsia="zh-CN"/>
              </w:rPr>
            </w:pPr>
            <w:r>
              <w:t>26000</w:t>
            </w:r>
          </w:p>
        </w:tc>
        <w:tc>
          <w:tcPr>
            <w:tcW w:w="709" w:type="pct"/>
            <w:vMerge w:val="continue"/>
            <w:vAlign w:val="center"/>
          </w:tcPr>
          <w:p w14:paraId="197E536E">
            <w:pPr>
              <w:pStyle w:val="26"/>
              <w:bidi w:val="0"/>
              <w:jc w:val="center"/>
              <w:rPr>
                <w:color w:val="auto"/>
                <w:highlight w:val="none"/>
                <w:lang w:val="en-US" w:eastAsia="zh-CN"/>
              </w:rPr>
            </w:pPr>
          </w:p>
        </w:tc>
        <w:tc>
          <w:tcPr>
            <w:tcW w:w="826" w:type="pct"/>
            <w:shd w:val="clear" w:color="auto" w:fill="auto"/>
            <w:noWrap/>
            <w:vAlign w:val="center"/>
          </w:tcPr>
          <w:p w14:paraId="193B8F15">
            <w:pPr>
              <w:pStyle w:val="26"/>
              <w:bidi w:val="0"/>
              <w:jc w:val="center"/>
              <w:rPr>
                <w:rFonts w:hint="eastAsia"/>
                <w:lang w:val="en-US" w:eastAsia="zh-CN"/>
              </w:rPr>
            </w:pPr>
            <w:r>
              <w:t>西南</w:t>
            </w:r>
          </w:p>
        </w:tc>
        <w:tc>
          <w:tcPr>
            <w:tcW w:w="826" w:type="pct"/>
            <w:shd w:val="clear" w:color="auto" w:fill="auto"/>
            <w:noWrap/>
            <w:vAlign w:val="center"/>
          </w:tcPr>
          <w:p w14:paraId="133623BA">
            <w:pPr>
              <w:pStyle w:val="26"/>
              <w:bidi w:val="0"/>
              <w:jc w:val="center"/>
              <w:rPr>
                <w:rFonts w:hint="eastAsia"/>
                <w:lang w:val="en-US" w:eastAsia="zh-CN"/>
              </w:rPr>
            </w:pPr>
            <w:r>
              <w:t>2205</w:t>
            </w:r>
          </w:p>
        </w:tc>
      </w:tr>
      <w:tr w14:paraId="7E58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414709D">
            <w:pPr>
              <w:pStyle w:val="26"/>
              <w:bidi w:val="0"/>
              <w:jc w:val="center"/>
              <w:rPr>
                <w:rFonts w:hint="eastAsia"/>
                <w:lang w:val="en-US" w:eastAsia="zh-CN"/>
              </w:rPr>
            </w:pPr>
            <w:r>
              <w:rPr>
                <w:rFonts w:hint="default"/>
                <w:lang w:val="en-US" w:eastAsia="zh-CN"/>
              </w:rPr>
              <w:t>101</w:t>
            </w:r>
          </w:p>
        </w:tc>
        <w:tc>
          <w:tcPr>
            <w:tcW w:w="939" w:type="pct"/>
            <w:shd w:val="clear" w:color="auto" w:fill="auto"/>
            <w:noWrap/>
            <w:vAlign w:val="center"/>
          </w:tcPr>
          <w:p w14:paraId="3A9FE047">
            <w:pPr>
              <w:pStyle w:val="26"/>
              <w:bidi w:val="0"/>
              <w:jc w:val="center"/>
              <w:rPr>
                <w:rFonts w:hint="eastAsia"/>
                <w:lang w:val="en-US" w:eastAsia="zh-CN"/>
              </w:rPr>
            </w:pPr>
            <w:r>
              <w:t>合欢园</w:t>
            </w:r>
          </w:p>
        </w:tc>
        <w:tc>
          <w:tcPr>
            <w:tcW w:w="609" w:type="pct"/>
            <w:shd w:val="clear" w:color="auto" w:fill="auto"/>
            <w:vAlign w:val="center"/>
          </w:tcPr>
          <w:p w14:paraId="5F0BD937">
            <w:pPr>
              <w:pStyle w:val="26"/>
              <w:bidi w:val="0"/>
              <w:jc w:val="center"/>
              <w:rPr>
                <w:lang w:val="en-US" w:eastAsia="zh-CN"/>
              </w:rPr>
            </w:pPr>
            <w:r>
              <w:t>居民区</w:t>
            </w:r>
          </w:p>
        </w:tc>
        <w:tc>
          <w:tcPr>
            <w:tcW w:w="728" w:type="pct"/>
            <w:shd w:val="clear" w:color="auto" w:fill="auto"/>
            <w:noWrap/>
            <w:vAlign w:val="center"/>
          </w:tcPr>
          <w:p w14:paraId="19B583A5">
            <w:pPr>
              <w:pStyle w:val="26"/>
              <w:bidi w:val="0"/>
              <w:jc w:val="center"/>
              <w:rPr>
                <w:rFonts w:hint="eastAsia"/>
                <w:lang w:val="en-US" w:eastAsia="zh-CN"/>
              </w:rPr>
            </w:pPr>
            <w:r>
              <w:t>2500</w:t>
            </w:r>
          </w:p>
        </w:tc>
        <w:tc>
          <w:tcPr>
            <w:tcW w:w="709" w:type="pct"/>
            <w:vMerge w:val="continue"/>
            <w:vAlign w:val="center"/>
          </w:tcPr>
          <w:p w14:paraId="4DD4EF16">
            <w:pPr>
              <w:pStyle w:val="26"/>
              <w:bidi w:val="0"/>
              <w:jc w:val="center"/>
              <w:rPr>
                <w:color w:val="auto"/>
                <w:highlight w:val="none"/>
                <w:lang w:val="en-US" w:eastAsia="zh-CN"/>
              </w:rPr>
            </w:pPr>
          </w:p>
        </w:tc>
        <w:tc>
          <w:tcPr>
            <w:tcW w:w="826" w:type="pct"/>
            <w:shd w:val="clear" w:color="auto" w:fill="auto"/>
            <w:noWrap/>
            <w:vAlign w:val="center"/>
          </w:tcPr>
          <w:p w14:paraId="41D4A38F">
            <w:pPr>
              <w:pStyle w:val="26"/>
              <w:bidi w:val="0"/>
              <w:jc w:val="center"/>
              <w:rPr>
                <w:rFonts w:hint="eastAsia"/>
                <w:lang w:val="en-US" w:eastAsia="zh-CN"/>
              </w:rPr>
            </w:pPr>
            <w:r>
              <w:t>西南</w:t>
            </w:r>
          </w:p>
        </w:tc>
        <w:tc>
          <w:tcPr>
            <w:tcW w:w="826" w:type="pct"/>
            <w:shd w:val="clear" w:color="auto" w:fill="auto"/>
            <w:noWrap/>
            <w:vAlign w:val="center"/>
          </w:tcPr>
          <w:p w14:paraId="3D5120C7">
            <w:pPr>
              <w:pStyle w:val="26"/>
              <w:bidi w:val="0"/>
              <w:jc w:val="center"/>
              <w:rPr>
                <w:rFonts w:hint="eastAsia"/>
                <w:lang w:val="en-US" w:eastAsia="zh-CN"/>
              </w:rPr>
            </w:pPr>
            <w:r>
              <w:t>2510</w:t>
            </w:r>
          </w:p>
        </w:tc>
      </w:tr>
      <w:tr w14:paraId="36F6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10245FD">
            <w:pPr>
              <w:pStyle w:val="26"/>
              <w:bidi w:val="0"/>
              <w:jc w:val="center"/>
              <w:rPr>
                <w:rFonts w:hint="eastAsia"/>
                <w:lang w:val="en-US" w:eastAsia="zh-CN"/>
              </w:rPr>
            </w:pPr>
            <w:r>
              <w:rPr>
                <w:rFonts w:hint="default"/>
                <w:lang w:val="en-US" w:eastAsia="zh-CN"/>
              </w:rPr>
              <w:t>102</w:t>
            </w:r>
          </w:p>
        </w:tc>
        <w:tc>
          <w:tcPr>
            <w:tcW w:w="939" w:type="pct"/>
            <w:shd w:val="clear" w:color="auto" w:fill="auto"/>
            <w:noWrap/>
            <w:vAlign w:val="center"/>
          </w:tcPr>
          <w:p w14:paraId="4CEB39C6">
            <w:pPr>
              <w:pStyle w:val="26"/>
              <w:bidi w:val="0"/>
              <w:jc w:val="center"/>
              <w:rPr>
                <w:rFonts w:hint="eastAsia"/>
                <w:lang w:val="en-US" w:eastAsia="zh-CN"/>
              </w:rPr>
            </w:pPr>
            <w:r>
              <w:t>樨桂园</w:t>
            </w:r>
          </w:p>
        </w:tc>
        <w:tc>
          <w:tcPr>
            <w:tcW w:w="609" w:type="pct"/>
            <w:shd w:val="clear" w:color="auto" w:fill="auto"/>
            <w:vAlign w:val="center"/>
          </w:tcPr>
          <w:p w14:paraId="45AB9531">
            <w:pPr>
              <w:pStyle w:val="26"/>
              <w:bidi w:val="0"/>
              <w:jc w:val="center"/>
              <w:rPr>
                <w:lang w:val="en-US" w:eastAsia="zh-CN"/>
              </w:rPr>
            </w:pPr>
            <w:r>
              <w:t>居民区</w:t>
            </w:r>
          </w:p>
        </w:tc>
        <w:tc>
          <w:tcPr>
            <w:tcW w:w="728" w:type="pct"/>
            <w:shd w:val="clear" w:color="auto" w:fill="auto"/>
            <w:noWrap/>
            <w:vAlign w:val="center"/>
          </w:tcPr>
          <w:p w14:paraId="731484DF">
            <w:pPr>
              <w:pStyle w:val="26"/>
              <w:bidi w:val="0"/>
              <w:jc w:val="center"/>
              <w:rPr>
                <w:rFonts w:hint="eastAsia"/>
                <w:lang w:val="en-US" w:eastAsia="zh-CN"/>
              </w:rPr>
            </w:pPr>
            <w:r>
              <w:t>1000</w:t>
            </w:r>
          </w:p>
        </w:tc>
        <w:tc>
          <w:tcPr>
            <w:tcW w:w="709" w:type="pct"/>
            <w:vMerge w:val="continue"/>
            <w:vAlign w:val="center"/>
          </w:tcPr>
          <w:p w14:paraId="587B038D">
            <w:pPr>
              <w:pStyle w:val="26"/>
              <w:bidi w:val="0"/>
              <w:jc w:val="center"/>
              <w:rPr>
                <w:color w:val="auto"/>
                <w:highlight w:val="none"/>
                <w:lang w:val="en-US" w:eastAsia="zh-CN"/>
              </w:rPr>
            </w:pPr>
          </w:p>
        </w:tc>
        <w:tc>
          <w:tcPr>
            <w:tcW w:w="826" w:type="pct"/>
            <w:shd w:val="clear" w:color="auto" w:fill="auto"/>
            <w:noWrap/>
            <w:vAlign w:val="center"/>
          </w:tcPr>
          <w:p w14:paraId="467A9BE1">
            <w:pPr>
              <w:pStyle w:val="26"/>
              <w:bidi w:val="0"/>
              <w:jc w:val="center"/>
              <w:rPr>
                <w:rFonts w:hint="eastAsia"/>
                <w:lang w:val="en-US" w:eastAsia="zh-CN"/>
              </w:rPr>
            </w:pPr>
            <w:r>
              <w:t>西南</w:t>
            </w:r>
          </w:p>
        </w:tc>
        <w:tc>
          <w:tcPr>
            <w:tcW w:w="826" w:type="pct"/>
            <w:shd w:val="clear" w:color="auto" w:fill="auto"/>
            <w:noWrap/>
            <w:vAlign w:val="center"/>
          </w:tcPr>
          <w:p w14:paraId="3F83C4DC">
            <w:pPr>
              <w:pStyle w:val="26"/>
              <w:bidi w:val="0"/>
              <w:jc w:val="center"/>
              <w:rPr>
                <w:rFonts w:hint="eastAsia"/>
                <w:lang w:val="en-US" w:eastAsia="zh-CN"/>
              </w:rPr>
            </w:pPr>
            <w:r>
              <w:t>2310</w:t>
            </w:r>
          </w:p>
        </w:tc>
      </w:tr>
      <w:tr w14:paraId="7603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022369C">
            <w:pPr>
              <w:pStyle w:val="26"/>
              <w:bidi w:val="0"/>
              <w:jc w:val="center"/>
              <w:rPr>
                <w:rFonts w:hint="eastAsia"/>
                <w:lang w:val="en-US" w:eastAsia="zh-CN"/>
              </w:rPr>
            </w:pPr>
            <w:r>
              <w:rPr>
                <w:rFonts w:hint="default"/>
                <w:lang w:val="en-US" w:eastAsia="zh-CN"/>
              </w:rPr>
              <w:t>103</w:t>
            </w:r>
          </w:p>
        </w:tc>
        <w:tc>
          <w:tcPr>
            <w:tcW w:w="939" w:type="pct"/>
            <w:shd w:val="clear" w:color="auto" w:fill="auto"/>
            <w:noWrap/>
            <w:vAlign w:val="center"/>
          </w:tcPr>
          <w:p w14:paraId="019BCA9B">
            <w:pPr>
              <w:pStyle w:val="26"/>
              <w:bidi w:val="0"/>
              <w:jc w:val="center"/>
              <w:rPr>
                <w:rFonts w:hint="eastAsia"/>
                <w:lang w:val="en-US" w:eastAsia="zh-CN"/>
              </w:rPr>
            </w:pPr>
            <w:r>
              <w:t>国际华城</w:t>
            </w:r>
          </w:p>
        </w:tc>
        <w:tc>
          <w:tcPr>
            <w:tcW w:w="609" w:type="pct"/>
            <w:shd w:val="clear" w:color="auto" w:fill="auto"/>
            <w:vAlign w:val="center"/>
          </w:tcPr>
          <w:p w14:paraId="56E3ADDD">
            <w:pPr>
              <w:pStyle w:val="26"/>
              <w:bidi w:val="0"/>
              <w:jc w:val="center"/>
              <w:rPr>
                <w:lang w:val="en-US" w:eastAsia="zh-CN"/>
              </w:rPr>
            </w:pPr>
            <w:r>
              <w:t>居民区</w:t>
            </w:r>
          </w:p>
        </w:tc>
        <w:tc>
          <w:tcPr>
            <w:tcW w:w="728" w:type="pct"/>
            <w:shd w:val="clear" w:color="auto" w:fill="auto"/>
            <w:noWrap/>
            <w:vAlign w:val="center"/>
          </w:tcPr>
          <w:p w14:paraId="238F2682">
            <w:pPr>
              <w:pStyle w:val="26"/>
              <w:bidi w:val="0"/>
              <w:jc w:val="center"/>
              <w:rPr>
                <w:rFonts w:hint="eastAsia"/>
                <w:lang w:val="en-US" w:eastAsia="zh-CN"/>
              </w:rPr>
            </w:pPr>
            <w:r>
              <w:t>5430</w:t>
            </w:r>
          </w:p>
        </w:tc>
        <w:tc>
          <w:tcPr>
            <w:tcW w:w="709" w:type="pct"/>
            <w:vMerge w:val="continue"/>
            <w:vAlign w:val="center"/>
          </w:tcPr>
          <w:p w14:paraId="49E916B5">
            <w:pPr>
              <w:pStyle w:val="26"/>
              <w:bidi w:val="0"/>
              <w:jc w:val="center"/>
              <w:rPr>
                <w:color w:val="auto"/>
                <w:highlight w:val="none"/>
                <w:lang w:val="en-US" w:eastAsia="zh-CN"/>
              </w:rPr>
            </w:pPr>
          </w:p>
        </w:tc>
        <w:tc>
          <w:tcPr>
            <w:tcW w:w="826" w:type="pct"/>
            <w:shd w:val="clear" w:color="auto" w:fill="auto"/>
            <w:noWrap/>
            <w:vAlign w:val="center"/>
          </w:tcPr>
          <w:p w14:paraId="551F4AEB">
            <w:pPr>
              <w:pStyle w:val="26"/>
              <w:bidi w:val="0"/>
              <w:jc w:val="center"/>
              <w:rPr>
                <w:rFonts w:hint="eastAsia"/>
                <w:lang w:val="en-US" w:eastAsia="zh-CN"/>
              </w:rPr>
            </w:pPr>
            <w:r>
              <w:t>西南</w:t>
            </w:r>
          </w:p>
        </w:tc>
        <w:tc>
          <w:tcPr>
            <w:tcW w:w="826" w:type="pct"/>
            <w:shd w:val="clear" w:color="auto" w:fill="auto"/>
            <w:noWrap/>
            <w:vAlign w:val="center"/>
          </w:tcPr>
          <w:p w14:paraId="38CC3B58">
            <w:pPr>
              <w:pStyle w:val="26"/>
              <w:bidi w:val="0"/>
              <w:jc w:val="center"/>
              <w:rPr>
                <w:rFonts w:hint="eastAsia"/>
                <w:lang w:val="en-US" w:eastAsia="zh-CN"/>
              </w:rPr>
            </w:pPr>
            <w:r>
              <w:t>1920</w:t>
            </w:r>
          </w:p>
        </w:tc>
      </w:tr>
      <w:tr w14:paraId="4F23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9B0C2B8">
            <w:pPr>
              <w:pStyle w:val="26"/>
              <w:bidi w:val="0"/>
              <w:jc w:val="center"/>
              <w:rPr>
                <w:rFonts w:hint="eastAsia"/>
                <w:lang w:val="en-US" w:eastAsia="zh-CN"/>
              </w:rPr>
            </w:pPr>
            <w:r>
              <w:rPr>
                <w:rFonts w:hint="default"/>
                <w:lang w:val="en-US" w:eastAsia="zh-CN"/>
              </w:rPr>
              <w:t>104</w:t>
            </w:r>
          </w:p>
        </w:tc>
        <w:tc>
          <w:tcPr>
            <w:tcW w:w="939" w:type="pct"/>
            <w:shd w:val="clear" w:color="auto" w:fill="auto"/>
            <w:noWrap/>
            <w:vAlign w:val="center"/>
          </w:tcPr>
          <w:p w14:paraId="355B5AC8">
            <w:pPr>
              <w:pStyle w:val="26"/>
              <w:bidi w:val="0"/>
              <w:jc w:val="center"/>
              <w:rPr>
                <w:rFonts w:hint="eastAsia"/>
                <w:lang w:val="en-US" w:eastAsia="zh-CN"/>
              </w:rPr>
            </w:pPr>
            <w:r>
              <w:t>花溪畔居-南区</w:t>
            </w:r>
          </w:p>
        </w:tc>
        <w:tc>
          <w:tcPr>
            <w:tcW w:w="609" w:type="pct"/>
            <w:shd w:val="clear" w:color="auto" w:fill="auto"/>
            <w:vAlign w:val="center"/>
          </w:tcPr>
          <w:p w14:paraId="4DE77151">
            <w:pPr>
              <w:pStyle w:val="26"/>
              <w:bidi w:val="0"/>
              <w:jc w:val="center"/>
              <w:rPr>
                <w:lang w:val="en-US" w:eastAsia="zh-CN"/>
              </w:rPr>
            </w:pPr>
            <w:r>
              <w:t>居民区</w:t>
            </w:r>
          </w:p>
        </w:tc>
        <w:tc>
          <w:tcPr>
            <w:tcW w:w="728" w:type="pct"/>
            <w:shd w:val="clear" w:color="auto" w:fill="auto"/>
            <w:noWrap/>
            <w:vAlign w:val="center"/>
          </w:tcPr>
          <w:p w14:paraId="62853B8C">
            <w:pPr>
              <w:pStyle w:val="26"/>
              <w:bidi w:val="0"/>
              <w:jc w:val="center"/>
              <w:rPr>
                <w:rFonts w:hint="eastAsia"/>
                <w:lang w:val="en-US" w:eastAsia="zh-CN"/>
              </w:rPr>
            </w:pPr>
            <w:r>
              <w:t>5094</w:t>
            </w:r>
          </w:p>
        </w:tc>
        <w:tc>
          <w:tcPr>
            <w:tcW w:w="709" w:type="pct"/>
            <w:vMerge w:val="continue"/>
            <w:vAlign w:val="center"/>
          </w:tcPr>
          <w:p w14:paraId="62928740">
            <w:pPr>
              <w:pStyle w:val="26"/>
              <w:bidi w:val="0"/>
              <w:jc w:val="center"/>
              <w:rPr>
                <w:color w:val="auto"/>
                <w:highlight w:val="none"/>
                <w:lang w:val="en-US" w:eastAsia="zh-CN"/>
              </w:rPr>
            </w:pPr>
          </w:p>
        </w:tc>
        <w:tc>
          <w:tcPr>
            <w:tcW w:w="826" w:type="pct"/>
            <w:shd w:val="clear" w:color="auto" w:fill="auto"/>
            <w:noWrap/>
            <w:vAlign w:val="center"/>
          </w:tcPr>
          <w:p w14:paraId="7B4E988E">
            <w:pPr>
              <w:pStyle w:val="26"/>
              <w:bidi w:val="0"/>
              <w:jc w:val="center"/>
              <w:rPr>
                <w:rFonts w:hint="eastAsia"/>
                <w:lang w:val="en-US" w:eastAsia="zh-CN"/>
              </w:rPr>
            </w:pPr>
            <w:r>
              <w:t>西南</w:t>
            </w:r>
          </w:p>
        </w:tc>
        <w:tc>
          <w:tcPr>
            <w:tcW w:w="826" w:type="pct"/>
            <w:shd w:val="clear" w:color="auto" w:fill="auto"/>
            <w:noWrap/>
            <w:vAlign w:val="center"/>
          </w:tcPr>
          <w:p w14:paraId="7B216218">
            <w:pPr>
              <w:pStyle w:val="26"/>
              <w:bidi w:val="0"/>
              <w:jc w:val="center"/>
              <w:rPr>
                <w:rFonts w:hint="eastAsia"/>
                <w:lang w:val="en-US" w:eastAsia="zh-CN"/>
              </w:rPr>
            </w:pPr>
            <w:r>
              <w:t>1820</w:t>
            </w:r>
          </w:p>
        </w:tc>
      </w:tr>
      <w:tr w14:paraId="632C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4EED596">
            <w:pPr>
              <w:pStyle w:val="26"/>
              <w:bidi w:val="0"/>
              <w:jc w:val="center"/>
              <w:rPr>
                <w:rFonts w:hint="eastAsia"/>
                <w:lang w:val="en-US" w:eastAsia="zh-CN"/>
              </w:rPr>
            </w:pPr>
            <w:r>
              <w:rPr>
                <w:rFonts w:hint="default"/>
                <w:lang w:val="en-US" w:eastAsia="zh-CN"/>
              </w:rPr>
              <w:t>105</w:t>
            </w:r>
          </w:p>
        </w:tc>
        <w:tc>
          <w:tcPr>
            <w:tcW w:w="939" w:type="pct"/>
            <w:shd w:val="clear" w:color="auto" w:fill="auto"/>
            <w:noWrap/>
            <w:vAlign w:val="center"/>
          </w:tcPr>
          <w:p w14:paraId="281C2847">
            <w:pPr>
              <w:pStyle w:val="26"/>
              <w:bidi w:val="0"/>
              <w:jc w:val="center"/>
              <w:rPr>
                <w:rFonts w:hint="eastAsia"/>
                <w:lang w:val="en-US" w:eastAsia="zh-CN"/>
              </w:rPr>
            </w:pPr>
            <w:r>
              <w:t>花溪畔居-北区</w:t>
            </w:r>
          </w:p>
        </w:tc>
        <w:tc>
          <w:tcPr>
            <w:tcW w:w="609" w:type="pct"/>
            <w:shd w:val="clear" w:color="auto" w:fill="auto"/>
            <w:vAlign w:val="center"/>
          </w:tcPr>
          <w:p w14:paraId="7FE1AD29">
            <w:pPr>
              <w:pStyle w:val="26"/>
              <w:bidi w:val="0"/>
              <w:jc w:val="center"/>
              <w:rPr>
                <w:lang w:val="en-US" w:eastAsia="zh-CN"/>
              </w:rPr>
            </w:pPr>
            <w:r>
              <w:t>居民区</w:t>
            </w:r>
          </w:p>
        </w:tc>
        <w:tc>
          <w:tcPr>
            <w:tcW w:w="728" w:type="pct"/>
            <w:shd w:val="clear" w:color="auto" w:fill="auto"/>
            <w:noWrap/>
            <w:vAlign w:val="center"/>
          </w:tcPr>
          <w:p w14:paraId="3DFF845E">
            <w:pPr>
              <w:pStyle w:val="26"/>
              <w:bidi w:val="0"/>
              <w:jc w:val="center"/>
              <w:rPr>
                <w:rFonts w:hint="eastAsia"/>
                <w:lang w:val="en-US" w:eastAsia="zh-CN"/>
              </w:rPr>
            </w:pPr>
            <w:r>
              <w:t>465</w:t>
            </w:r>
          </w:p>
        </w:tc>
        <w:tc>
          <w:tcPr>
            <w:tcW w:w="709" w:type="pct"/>
            <w:vMerge w:val="continue"/>
            <w:vAlign w:val="center"/>
          </w:tcPr>
          <w:p w14:paraId="719BF481">
            <w:pPr>
              <w:pStyle w:val="26"/>
              <w:bidi w:val="0"/>
              <w:jc w:val="center"/>
              <w:rPr>
                <w:color w:val="auto"/>
                <w:highlight w:val="none"/>
                <w:lang w:val="en-US" w:eastAsia="zh-CN"/>
              </w:rPr>
            </w:pPr>
          </w:p>
        </w:tc>
        <w:tc>
          <w:tcPr>
            <w:tcW w:w="826" w:type="pct"/>
            <w:shd w:val="clear" w:color="auto" w:fill="auto"/>
            <w:noWrap/>
            <w:vAlign w:val="center"/>
          </w:tcPr>
          <w:p w14:paraId="33DF9968">
            <w:pPr>
              <w:pStyle w:val="26"/>
              <w:bidi w:val="0"/>
              <w:jc w:val="center"/>
              <w:rPr>
                <w:rFonts w:hint="eastAsia"/>
                <w:lang w:val="en-US" w:eastAsia="zh-CN"/>
              </w:rPr>
            </w:pPr>
            <w:r>
              <w:t>西南</w:t>
            </w:r>
          </w:p>
        </w:tc>
        <w:tc>
          <w:tcPr>
            <w:tcW w:w="826" w:type="pct"/>
            <w:shd w:val="clear" w:color="auto" w:fill="auto"/>
            <w:noWrap/>
            <w:vAlign w:val="center"/>
          </w:tcPr>
          <w:p w14:paraId="3FDEA053">
            <w:pPr>
              <w:pStyle w:val="26"/>
              <w:bidi w:val="0"/>
              <w:jc w:val="center"/>
              <w:rPr>
                <w:rFonts w:hint="eastAsia"/>
                <w:lang w:val="en-US" w:eastAsia="zh-CN"/>
              </w:rPr>
            </w:pPr>
            <w:r>
              <w:t>1980</w:t>
            </w:r>
          </w:p>
        </w:tc>
      </w:tr>
      <w:tr w14:paraId="1652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DF9E8BA">
            <w:pPr>
              <w:pStyle w:val="26"/>
              <w:bidi w:val="0"/>
              <w:jc w:val="center"/>
              <w:rPr>
                <w:rFonts w:hint="eastAsia"/>
                <w:lang w:val="en-US" w:eastAsia="zh-CN"/>
              </w:rPr>
            </w:pPr>
            <w:r>
              <w:rPr>
                <w:rFonts w:hint="default"/>
                <w:lang w:val="en-US" w:eastAsia="zh-CN"/>
              </w:rPr>
              <w:t>106</w:t>
            </w:r>
          </w:p>
        </w:tc>
        <w:tc>
          <w:tcPr>
            <w:tcW w:w="939" w:type="pct"/>
            <w:shd w:val="clear" w:color="auto" w:fill="auto"/>
            <w:noWrap/>
            <w:vAlign w:val="center"/>
          </w:tcPr>
          <w:p w14:paraId="22BA0B10">
            <w:pPr>
              <w:pStyle w:val="26"/>
              <w:bidi w:val="0"/>
              <w:jc w:val="center"/>
              <w:rPr>
                <w:rFonts w:hint="eastAsia"/>
                <w:lang w:val="en-US" w:eastAsia="zh-CN"/>
              </w:rPr>
            </w:pPr>
            <w:r>
              <w:t>花溪畔居</w:t>
            </w:r>
          </w:p>
        </w:tc>
        <w:tc>
          <w:tcPr>
            <w:tcW w:w="609" w:type="pct"/>
            <w:shd w:val="clear" w:color="auto" w:fill="auto"/>
            <w:vAlign w:val="center"/>
          </w:tcPr>
          <w:p w14:paraId="3E31CD6E">
            <w:pPr>
              <w:pStyle w:val="26"/>
              <w:bidi w:val="0"/>
              <w:jc w:val="center"/>
              <w:rPr>
                <w:lang w:val="en-US" w:eastAsia="zh-CN"/>
              </w:rPr>
            </w:pPr>
            <w:r>
              <w:t>居民区</w:t>
            </w:r>
          </w:p>
        </w:tc>
        <w:tc>
          <w:tcPr>
            <w:tcW w:w="728" w:type="pct"/>
            <w:shd w:val="clear" w:color="auto" w:fill="auto"/>
            <w:noWrap/>
            <w:vAlign w:val="center"/>
          </w:tcPr>
          <w:p w14:paraId="26E31C22">
            <w:pPr>
              <w:pStyle w:val="26"/>
              <w:bidi w:val="0"/>
              <w:jc w:val="center"/>
              <w:rPr>
                <w:rFonts w:hint="eastAsia"/>
                <w:lang w:val="en-US" w:eastAsia="zh-CN"/>
              </w:rPr>
            </w:pPr>
            <w:r>
              <w:t>3300</w:t>
            </w:r>
          </w:p>
        </w:tc>
        <w:tc>
          <w:tcPr>
            <w:tcW w:w="709" w:type="pct"/>
            <w:vMerge w:val="continue"/>
            <w:vAlign w:val="center"/>
          </w:tcPr>
          <w:p w14:paraId="657E8E06">
            <w:pPr>
              <w:pStyle w:val="26"/>
              <w:bidi w:val="0"/>
              <w:jc w:val="center"/>
              <w:rPr>
                <w:color w:val="auto"/>
                <w:highlight w:val="none"/>
                <w:lang w:val="en-US" w:eastAsia="zh-CN"/>
              </w:rPr>
            </w:pPr>
          </w:p>
        </w:tc>
        <w:tc>
          <w:tcPr>
            <w:tcW w:w="826" w:type="pct"/>
            <w:shd w:val="clear" w:color="auto" w:fill="auto"/>
            <w:noWrap/>
            <w:vAlign w:val="center"/>
          </w:tcPr>
          <w:p w14:paraId="06343ABC">
            <w:pPr>
              <w:pStyle w:val="26"/>
              <w:bidi w:val="0"/>
              <w:jc w:val="center"/>
              <w:rPr>
                <w:rFonts w:hint="eastAsia"/>
                <w:lang w:val="en-US" w:eastAsia="zh-CN"/>
              </w:rPr>
            </w:pPr>
            <w:r>
              <w:t>西南</w:t>
            </w:r>
          </w:p>
        </w:tc>
        <w:tc>
          <w:tcPr>
            <w:tcW w:w="826" w:type="pct"/>
            <w:shd w:val="clear" w:color="auto" w:fill="auto"/>
            <w:noWrap/>
            <w:vAlign w:val="center"/>
          </w:tcPr>
          <w:p w14:paraId="30FDEDA0">
            <w:pPr>
              <w:pStyle w:val="26"/>
              <w:bidi w:val="0"/>
              <w:jc w:val="center"/>
              <w:rPr>
                <w:rFonts w:hint="eastAsia"/>
                <w:lang w:val="en-US" w:eastAsia="zh-CN"/>
              </w:rPr>
            </w:pPr>
            <w:r>
              <w:t>1620</w:t>
            </w:r>
          </w:p>
        </w:tc>
      </w:tr>
      <w:tr w14:paraId="28A3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1BF71C8">
            <w:pPr>
              <w:pStyle w:val="26"/>
              <w:bidi w:val="0"/>
              <w:jc w:val="center"/>
              <w:rPr>
                <w:rFonts w:hint="eastAsia"/>
                <w:lang w:val="en-US" w:eastAsia="zh-CN"/>
              </w:rPr>
            </w:pPr>
            <w:r>
              <w:rPr>
                <w:rFonts w:hint="default"/>
                <w:lang w:val="en-US" w:eastAsia="zh-CN"/>
              </w:rPr>
              <w:t>107</w:t>
            </w:r>
          </w:p>
        </w:tc>
        <w:tc>
          <w:tcPr>
            <w:tcW w:w="939" w:type="pct"/>
            <w:shd w:val="clear" w:color="auto" w:fill="auto"/>
            <w:noWrap/>
            <w:vAlign w:val="center"/>
          </w:tcPr>
          <w:p w14:paraId="642D81A9">
            <w:pPr>
              <w:pStyle w:val="26"/>
              <w:bidi w:val="0"/>
              <w:jc w:val="center"/>
              <w:rPr>
                <w:rFonts w:hint="eastAsia"/>
                <w:lang w:val="en-US" w:eastAsia="zh-CN"/>
              </w:rPr>
            </w:pPr>
            <w:r>
              <w:t>花望新村</w:t>
            </w:r>
          </w:p>
        </w:tc>
        <w:tc>
          <w:tcPr>
            <w:tcW w:w="609" w:type="pct"/>
            <w:shd w:val="clear" w:color="auto" w:fill="auto"/>
            <w:vAlign w:val="center"/>
          </w:tcPr>
          <w:p w14:paraId="67A07268">
            <w:pPr>
              <w:pStyle w:val="26"/>
              <w:bidi w:val="0"/>
              <w:jc w:val="center"/>
              <w:rPr>
                <w:lang w:val="en-US" w:eastAsia="zh-CN"/>
              </w:rPr>
            </w:pPr>
            <w:r>
              <w:t>居民区</w:t>
            </w:r>
          </w:p>
        </w:tc>
        <w:tc>
          <w:tcPr>
            <w:tcW w:w="728" w:type="pct"/>
            <w:shd w:val="clear" w:color="auto" w:fill="auto"/>
            <w:noWrap/>
            <w:vAlign w:val="center"/>
          </w:tcPr>
          <w:p w14:paraId="02B6442C">
            <w:pPr>
              <w:pStyle w:val="26"/>
              <w:bidi w:val="0"/>
              <w:jc w:val="center"/>
              <w:rPr>
                <w:rFonts w:hint="eastAsia"/>
                <w:lang w:val="en-US" w:eastAsia="zh-CN"/>
              </w:rPr>
            </w:pPr>
            <w:r>
              <w:t>2088</w:t>
            </w:r>
          </w:p>
        </w:tc>
        <w:tc>
          <w:tcPr>
            <w:tcW w:w="709" w:type="pct"/>
            <w:vMerge w:val="continue"/>
            <w:vAlign w:val="center"/>
          </w:tcPr>
          <w:p w14:paraId="6C5BE800">
            <w:pPr>
              <w:pStyle w:val="26"/>
              <w:bidi w:val="0"/>
              <w:jc w:val="center"/>
              <w:rPr>
                <w:color w:val="auto"/>
                <w:highlight w:val="none"/>
                <w:lang w:val="en-US" w:eastAsia="zh-CN"/>
              </w:rPr>
            </w:pPr>
          </w:p>
        </w:tc>
        <w:tc>
          <w:tcPr>
            <w:tcW w:w="826" w:type="pct"/>
            <w:shd w:val="clear" w:color="auto" w:fill="auto"/>
            <w:noWrap/>
            <w:vAlign w:val="center"/>
          </w:tcPr>
          <w:p w14:paraId="44E65760">
            <w:pPr>
              <w:pStyle w:val="26"/>
              <w:bidi w:val="0"/>
              <w:jc w:val="center"/>
              <w:rPr>
                <w:rFonts w:hint="eastAsia"/>
                <w:lang w:val="en-US" w:eastAsia="zh-CN"/>
              </w:rPr>
            </w:pPr>
            <w:r>
              <w:t>西南</w:t>
            </w:r>
          </w:p>
        </w:tc>
        <w:tc>
          <w:tcPr>
            <w:tcW w:w="826" w:type="pct"/>
            <w:shd w:val="clear" w:color="auto" w:fill="auto"/>
            <w:noWrap/>
            <w:vAlign w:val="center"/>
          </w:tcPr>
          <w:p w14:paraId="0F1B66F6">
            <w:pPr>
              <w:pStyle w:val="26"/>
              <w:bidi w:val="0"/>
              <w:jc w:val="center"/>
              <w:rPr>
                <w:rFonts w:hint="eastAsia"/>
                <w:lang w:val="en-US" w:eastAsia="zh-CN"/>
              </w:rPr>
            </w:pPr>
            <w:r>
              <w:t>1500</w:t>
            </w:r>
          </w:p>
        </w:tc>
      </w:tr>
      <w:tr w14:paraId="56C4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42D5449">
            <w:pPr>
              <w:pStyle w:val="26"/>
              <w:bidi w:val="0"/>
              <w:jc w:val="center"/>
              <w:rPr>
                <w:rFonts w:hint="eastAsia"/>
                <w:lang w:val="en-US" w:eastAsia="zh-CN"/>
              </w:rPr>
            </w:pPr>
            <w:r>
              <w:rPr>
                <w:rFonts w:hint="default"/>
                <w:lang w:val="en-US" w:eastAsia="zh-CN"/>
              </w:rPr>
              <w:t>108</w:t>
            </w:r>
          </w:p>
        </w:tc>
        <w:tc>
          <w:tcPr>
            <w:tcW w:w="939" w:type="pct"/>
            <w:shd w:val="clear" w:color="auto" w:fill="auto"/>
            <w:noWrap/>
            <w:vAlign w:val="center"/>
          </w:tcPr>
          <w:p w14:paraId="4F29577E">
            <w:pPr>
              <w:pStyle w:val="26"/>
              <w:bidi w:val="0"/>
              <w:jc w:val="center"/>
              <w:rPr>
                <w:rFonts w:hint="eastAsia"/>
                <w:lang w:val="en-US" w:eastAsia="zh-CN"/>
              </w:rPr>
            </w:pPr>
            <w:r>
              <w:t>白云佳苑</w:t>
            </w:r>
          </w:p>
        </w:tc>
        <w:tc>
          <w:tcPr>
            <w:tcW w:w="609" w:type="pct"/>
            <w:shd w:val="clear" w:color="auto" w:fill="auto"/>
            <w:vAlign w:val="center"/>
          </w:tcPr>
          <w:p w14:paraId="31923C87">
            <w:pPr>
              <w:pStyle w:val="26"/>
              <w:bidi w:val="0"/>
              <w:jc w:val="center"/>
              <w:rPr>
                <w:lang w:val="en-US" w:eastAsia="zh-CN"/>
              </w:rPr>
            </w:pPr>
            <w:r>
              <w:t>居民区</w:t>
            </w:r>
          </w:p>
        </w:tc>
        <w:tc>
          <w:tcPr>
            <w:tcW w:w="728" w:type="pct"/>
            <w:shd w:val="clear" w:color="auto" w:fill="auto"/>
            <w:noWrap/>
            <w:vAlign w:val="center"/>
          </w:tcPr>
          <w:p w14:paraId="2F106525">
            <w:pPr>
              <w:pStyle w:val="26"/>
              <w:bidi w:val="0"/>
              <w:jc w:val="center"/>
              <w:rPr>
                <w:rFonts w:hint="eastAsia"/>
                <w:lang w:val="en-US" w:eastAsia="zh-CN"/>
              </w:rPr>
            </w:pPr>
            <w:r>
              <w:t>525</w:t>
            </w:r>
          </w:p>
        </w:tc>
        <w:tc>
          <w:tcPr>
            <w:tcW w:w="709" w:type="pct"/>
            <w:vMerge w:val="continue"/>
            <w:vAlign w:val="center"/>
          </w:tcPr>
          <w:p w14:paraId="417842B8">
            <w:pPr>
              <w:pStyle w:val="26"/>
              <w:bidi w:val="0"/>
              <w:jc w:val="center"/>
              <w:rPr>
                <w:color w:val="auto"/>
                <w:highlight w:val="none"/>
                <w:lang w:val="en-US" w:eastAsia="zh-CN"/>
              </w:rPr>
            </w:pPr>
          </w:p>
        </w:tc>
        <w:tc>
          <w:tcPr>
            <w:tcW w:w="826" w:type="pct"/>
            <w:shd w:val="clear" w:color="auto" w:fill="auto"/>
            <w:noWrap/>
            <w:vAlign w:val="center"/>
          </w:tcPr>
          <w:p w14:paraId="4D244644">
            <w:pPr>
              <w:pStyle w:val="26"/>
              <w:bidi w:val="0"/>
              <w:jc w:val="center"/>
              <w:rPr>
                <w:rFonts w:hint="eastAsia"/>
                <w:lang w:val="en-US" w:eastAsia="zh-CN"/>
              </w:rPr>
            </w:pPr>
            <w:r>
              <w:t>西南</w:t>
            </w:r>
          </w:p>
        </w:tc>
        <w:tc>
          <w:tcPr>
            <w:tcW w:w="826" w:type="pct"/>
            <w:shd w:val="clear" w:color="auto" w:fill="auto"/>
            <w:noWrap/>
            <w:vAlign w:val="center"/>
          </w:tcPr>
          <w:p w14:paraId="0C789018">
            <w:pPr>
              <w:pStyle w:val="26"/>
              <w:bidi w:val="0"/>
              <w:jc w:val="center"/>
              <w:rPr>
                <w:rFonts w:hint="eastAsia"/>
                <w:lang w:val="en-US" w:eastAsia="zh-CN"/>
              </w:rPr>
            </w:pPr>
            <w:r>
              <w:t>1630</w:t>
            </w:r>
          </w:p>
        </w:tc>
      </w:tr>
      <w:tr w14:paraId="7748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87428A5">
            <w:pPr>
              <w:pStyle w:val="26"/>
              <w:bidi w:val="0"/>
              <w:jc w:val="center"/>
              <w:rPr>
                <w:rFonts w:hint="eastAsia"/>
                <w:lang w:val="en-US" w:eastAsia="zh-CN"/>
              </w:rPr>
            </w:pPr>
            <w:r>
              <w:rPr>
                <w:rFonts w:hint="default"/>
                <w:lang w:val="en-US" w:eastAsia="zh-CN"/>
              </w:rPr>
              <w:t>109</w:t>
            </w:r>
          </w:p>
        </w:tc>
        <w:tc>
          <w:tcPr>
            <w:tcW w:w="939" w:type="pct"/>
            <w:shd w:val="clear" w:color="auto" w:fill="auto"/>
            <w:noWrap/>
            <w:vAlign w:val="center"/>
          </w:tcPr>
          <w:p w14:paraId="79DBA2DB">
            <w:pPr>
              <w:pStyle w:val="26"/>
              <w:bidi w:val="0"/>
              <w:jc w:val="center"/>
              <w:rPr>
                <w:rFonts w:hint="eastAsia"/>
                <w:lang w:val="en-US" w:eastAsia="zh-CN"/>
              </w:rPr>
            </w:pPr>
            <w:r>
              <w:t>龙光花溪澜园</w:t>
            </w:r>
          </w:p>
        </w:tc>
        <w:tc>
          <w:tcPr>
            <w:tcW w:w="609" w:type="pct"/>
            <w:shd w:val="clear" w:color="auto" w:fill="auto"/>
            <w:vAlign w:val="center"/>
          </w:tcPr>
          <w:p w14:paraId="059D52B2">
            <w:pPr>
              <w:pStyle w:val="26"/>
              <w:bidi w:val="0"/>
              <w:jc w:val="center"/>
              <w:rPr>
                <w:lang w:val="en-US" w:eastAsia="zh-CN"/>
              </w:rPr>
            </w:pPr>
            <w:r>
              <w:t>居民区</w:t>
            </w:r>
          </w:p>
        </w:tc>
        <w:tc>
          <w:tcPr>
            <w:tcW w:w="728" w:type="pct"/>
            <w:shd w:val="clear" w:color="auto" w:fill="auto"/>
            <w:noWrap/>
            <w:vAlign w:val="center"/>
          </w:tcPr>
          <w:p w14:paraId="243D3B79">
            <w:pPr>
              <w:pStyle w:val="26"/>
              <w:bidi w:val="0"/>
              <w:jc w:val="center"/>
              <w:rPr>
                <w:rFonts w:hint="eastAsia"/>
                <w:lang w:val="en-US" w:eastAsia="zh-CN"/>
              </w:rPr>
            </w:pPr>
            <w:r>
              <w:t>2790</w:t>
            </w:r>
          </w:p>
        </w:tc>
        <w:tc>
          <w:tcPr>
            <w:tcW w:w="709" w:type="pct"/>
            <w:vMerge w:val="continue"/>
            <w:vAlign w:val="center"/>
          </w:tcPr>
          <w:p w14:paraId="40492594">
            <w:pPr>
              <w:pStyle w:val="26"/>
              <w:bidi w:val="0"/>
              <w:jc w:val="center"/>
              <w:rPr>
                <w:color w:val="auto"/>
                <w:highlight w:val="none"/>
                <w:lang w:val="en-US" w:eastAsia="zh-CN"/>
              </w:rPr>
            </w:pPr>
          </w:p>
        </w:tc>
        <w:tc>
          <w:tcPr>
            <w:tcW w:w="826" w:type="pct"/>
            <w:shd w:val="clear" w:color="auto" w:fill="auto"/>
            <w:noWrap/>
            <w:vAlign w:val="center"/>
          </w:tcPr>
          <w:p w14:paraId="69E0170D">
            <w:pPr>
              <w:pStyle w:val="26"/>
              <w:bidi w:val="0"/>
              <w:jc w:val="center"/>
              <w:rPr>
                <w:rFonts w:hint="eastAsia"/>
                <w:lang w:val="en-US" w:eastAsia="zh-CN"/>
              </w:rPr>
            </w:pPr>
            <w:r>
              <w:t>西南</w:t>
            </w:r>
          </w:p>
        </w:tc>
        <w:tc>
          <w:tcPr>
            <w:tcW w:w="826" w:type="pct"/>
            <w:shd w:val="clear" w:color="auto" w:fill="auto"/>
            <w:noWrap/>
            <w:vAlign w:val="center"/>
          </w:tcPr>
          <w:p w14:paraId="388C3412">
            <w:pPr>
              <w:pStyle w:val="26"/>
              <w:bidi w:val="0"/>
              <w:jc w:val="center"/>
              <w:rPr>
                <w:rFonts w:hint="eastAsia"/>
                <w:lang w:val="en-US" w:eastAsia="zh-CN"/>
              </w:rPr>
            </w:pPr>
            <w:r>
              <w:t>1420</w:t>
            </w:r>
          </w:p>
        </w:tc>
      </w:tr>
      <w:tr w14:paraId="217B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7930DBD">
            <w:pPr>
              <w:pStyle w:val="26"/>
              <w:bidi w:val="0"/>
              <w:jc w:val="center"/>
              <w:rPr>
                <w:rFonts w:hint="eastAsia"/>
                <w:lang w:val="en-US" w:eastAsia="zh-CN"/>
              </w:rPr>
            </w:pPr>
            <w:r>
              <w:rPr>
                <w:rFonts w:hint="default"/>
                <w:lang w:val="en-US" w:eastAsia="zh-CN"/>
              </w:rPr>
              <w:t>110</w:t>
            </w:r>
          </w:p>
        </w:tc>
        <w:tc>
          <w:tcPr>
            <w:tcW w:w="939" w:type="pct"/>
            <w:shd w:val="clear" w:color="auto" w:fill="auto"/>
            <w:noWrap/>
            <w:vAlign w:val="center"/>
          </w:tcPr>
          <w:p w14:paraId="462EC6D7">
            <w:pPr>
              <w:pStyle w:val="26"/>
              <w:bidi w:val="0"/>
              <w:jc w:val="center"/>
              <w:rPr>
                <w:rFonts w:hint="eastAsia"/>
                <w:lang w:val="en-US" w:eastAsia="zh-CN"/>
              </w:rPr>
            </w:pPr>
            <w:r>
              <w:t>天福苑小区</w:t>
            </w:r>
          </w:p>
        </w:tc>
        <w:tc>
          <w:tcPr>
            <w:tcW w:w="609" w:type="pct"/>
            <w:shd w:val="clear" w:color="auto" w:fill="auto"/>
            <w:vAlign w:val="center"/>
          </w:tcPr>
          <w:p w14:paraId="3189A61A">
            <w:pPr>
              <w:pStyle w:val="26"/>
              <w:bidi w:val="0"/>
              <w:jc w:val="center"/>
              <w:rPr>
                <w:lang w:val="en-US" w:eastAsia="zh-CN"/>
              </w:rPr>
            </w:pPr>
            <w:r>
              <w:t>居民区</w:t>
            </w:r>
          </w:p>
        </w:tc>
        <w:tc>
          <w:tcPr>
            <w:tcW w:w="728" w:type="pct"/>
            <w:shd w:val="clear" w:color="auto" w:fill="auto"/>
            <w:noWrap/>
            <w:vAlign w:val="center"/>
          </w:tcPr>
          <w:p w14:paraId="57D295C3">
            <w:pPr>
              <w:pStyle w:val="26"/>
              <w:bidi w:val="0"/>
              <w:jc w:val="center"/>
              <w:rPr>
                <w:rFonts w:hint="eastAsia"/>
                <w:lang w:val="en-US" w:eastAsia="zh-CN"/>
              </w:rPr>
            </w:pPr>
            <w:r>
              <w:t>6531</w:t>
            </w:r>
          </w:p>
        </w:tc>
        <w:tc>
          <w:tcPr>
            <w:tcW w:w="709" w:type="pct"/>
            <w:vMerge w:val="continue"/>
            <w:vAlign w:val="center"/>
          </w:tcPr>
          <w:p w14:paraId="3C08F616">
            <w:pPr>
              <w:pStyle w:val="26"/>
              <w:bidi w:val="0"/>
              <w:jc w:val="center"/>
              <w:rPr>
                <w:color w:val="auto"/>
                <w:highlight w:val="none"/>
                <w:lang w:val="en-US" w:eastAsia="zh-CN"/>
              </w:rPr>
            </w:pPr>
          </w:p>
        </w:tc>
        <w:tc>
          <w:tcPr>
            <w:tcW w:w="826" w:type="pct"/>
            <w:shd w:val="clear" w:color="auto" w:fill="auto"/>
            <w:noWrap/>
            <w:vAlign w:val="center"/>
          </w:tcPr>
          <w:p w14:paraId="212F3DCF">
            <w:pPr>
              <w:pStyle w:val="26"/>
              <w:bidi w:val="0"/>
              <w:jc w:val="center"/>
              <w:rPr>
                <w:rFonts w:hint="eastAsia"/>
                <w:lang w:val="en-US" w:eastAsia="zh-CN"/>
              </w:rPr>
            </w:pPr>
            <w:r>
              <w:t>西</w:t>
            </w:r>
          </w:p>
        </w:tc>
        <w:tc>
          <w:tcPr>
            <w:tcW w:w="826" w:type="pct"/>
            <w:shd w:val="clear" w:color="auto" w:fill="auto"/>
            <w:noWrap/>
            <w:vAlign w:val="center"/>
          </w:tcPr>
          <w:p w14:paraId="64B97B09">
            <w:pPr>
              <w:pStyle w:val="26"/>
              <w:bidi w:val="0"/>
              <w:jc w:val="center"/>
              <w:rPr>
                <w:rFonts w:hint="eastAsia"/>
                <w:lang w:val="en-US" w:eastAsia="zh-CN"/>
              </w:rPr>
            </w:pPr>
            <w:r>
              <w:t>1680</w:t>
            </w:r>
          </w:p>
        </w:tc>
      </w:tr>
      <w:tr w14:paraId="5359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09AF3F3">
            <w:pPr>
              <w:pStyle w:val="26"/>
              <w:bidi w:val="0"/>
              <w:jc w:val="center"/>
              <w:rPr>
                <w:rFonts w:hint="eastAsia"/>
                <w:lang w:val="en-US" w:eastAsia="zh-CN"/>
              </w:rPr>
            </w:pPr>
            <w:r>
              <w:rPr>
                <w:rFonts w:hint="default"/>
                <w:lang w:val="en-US" w:eastAsia="zh-CN"/>
              </w:rPr>
              <w:t>111</w:t>
            </w:r>
          </w:p>
        </w:tc>
        <w:tc>
          <w:tcPr>
            <w:tcW w:w="939" w:type="pct"/>
            <w:shd w:val="clear" w:color="auto" w:fill="auto"/>
            <w:noWrap/>
            <w:vAlign w:val="center"/>
          </w:tcPr>
          <w:p w14:paraId="4163C6B4">
            <w:pPr>
              <w:pStyle w:val="26"/>
              <w:bidi w:val="0"/>
              <w:jc w:val="center"/>
              <w:rPr>
                <w:rFonts w:hint="eastAsia"/>
                <w:lang w:val="en-US" w:eastAsia="zh-CN"/>
              </w:rPr>
            </w:pPr>
            <w:r>
              <w:t>花桥阳光苑</w:t>
            </w:r>
          </w:p>
        </w:tc>
        <w:tc>
          <w:tcPr>
            <w:tcW w:w="609" w:type="pct"/>
            <w:shd w:val="clear" w:color="auto" w:fill="auto"/>
            <w:vAlign w:val="center"/>
          </w:tcPr>
          <w:p w14:paraId="55A2D78E">
            <w:pPr>
              <w:pStyle w:val="26"/>
              <w:bidi w:val="0"/>
              <w:jc w:val="center"/>
              <w:rPr>
                <w:lang w:val="en-US" w:eastAsia="zh-CN"/>
              </w:rPr>
            </w:pPr>
            <w:r>
              <w:t>居民区</w:t>
            </w:r>
          </w:p>
        </w:tc>
        <w:tc>
          <w:tcPr>
            <w:tcW w:w="728" w:type="pct"/>
            <w:shd w:val="clear" w:color="auto" w:fill="auto"/>
            <w:noWrap/>
            <w:vAlign w:val="center"/>
          </w:tcPr>
          <w:p w14:paraId="7F5430B0">
            <w:pPr>
              <w:pStyle w:val="26"/>
              <w:bidi w:val="0"/>
              <w:jc w:val="center"/>
              <w:rPr>
                <w:rFonts w:hint="eastAsia"/>
                <w:lang w:val="en-US" w:eastAsia="zh-CN"/>
              </w:rPr>
            </w:pPr>
            <w:r>
              <w:t>483</w:t>
            </w:r>
          </w:p>
        </w:tc>
        <w:tc>
          <w:tcPr>
            <w:tcW w:w="709" w:type="pct"/>
            <w:vMerge w:val="continue"/>
            <w:vAlign w:val="center"/>
          </w:tcPr>
          <w:p w14:paraId="7DFA6EAA">
            <w:pPr>
              <w:pStyle w:val="26"/>
              <w:bidi w:val="0"/>
              <w:jc w:val="center"/>
              <w:rPr>
                <w:color w:val="auto"/>
                <w:highlight w:val="none"/>
                <w:lang w:val="en-US" w:eastAsia="zh-CN"/>
              </w:rPr>
            </w:pPr>
          </w:p>
        </w:tc>
        <w:tc>
          <w:tcPr>
            <w:tcW w:w="826" w:type="pct"/>
            <w:shd w:val="clear" w:color="auto" w:fill="auto"/>
            <w:noWrap/>
            <w:vAlign w:val="center"/>
          </w:tcPr>
          <w:p w14:paraId="2E0AA173">
            <w:pPr>
              <w:pStyle w:val="26"/>
              <w:bidi w:val="0"/>
              <w:jc w:val="center"/>
              <w:rPr>
                <w:rFonts w:hint="eastAsia"/>
                <w:lang w:val="en-US" w:eastAsia="zh-CN"/>
              </w:rPr>
            </w:pPr>
            <w:r>
              <w:t>西南</w:t>
            </w:r>
          </w:p>
        </w:tc>
        <w:tc>
          <w:tcPr>
            <w:tcW w:w="826" w:type="pct"/>
            <w:shd w:val="clear" w:color="auto" w:fill="auto"/>
            <w:noWrap/>
            <w:vAlign w:val="center"/>
          </w:tcPr>
          <w:p w14:paraId="01F35C06">
            <w:pPr>
              <w:pStyle w:val="26"/>
              <w:bidi w:val="0"/>
              <w:jc w:val="center"/>
              <w:rPr>
                <w:rFonts w:hint="eastAsia"/>
                <w:lang w:val="en-US" w:eastAsia="zh-CN"/>
              </w:rPr>
            </w:pPr>
            <w:r>
              <w:t>1690</w:t>
            </w:r>
          </w:p>
        </w:tc>
      </w:tr>
      <w:tr w14:paraId="0460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3E41A40">
            <w:pPr>
              <w:pStyle w:val="26"/>
              <w:bidi w:val="0"/>
              <w:jc w:val="center"/>
              <w:rPr>
                <w:rFonts w:hint="eastAsia"/>
                <w:lang w:val="en-US" w:eastAsia="zh-CN"/>
              </w:rPr>
            </w:pPr>
            <w:r>
              <w:rPr>
                <w:rFonts w:hint="default"/>
                <w:lang w:val="en-US" w:eastAsia="zh-CN"/>
              </w:rPr>
              <w:t>112</w:t>
            </w:r>
          </w:p>
        </w:tc>
        <w:tc>
          <w:tcPr>
            <w:tcW w:w="939" w:type="pct"/>
            <w:shd w:val="clear" w:color="auto" w:fill="auto"/>
            <w:noWrap/>
            <w:vAlign w:val="center"/>
          </w:tcPr>
          <w:p w14:paraId="0D623797">
            <w:pPr>
              <w:pStyle w:val="26"/>
              <w:bidi w:val="0"/>
              <w:jc w:val="center"/>
              <w:rPr>
                <w:rFonts w:hint="eastAsia"/>
                <w:lang w:val="en-US" w:eastAsia="zh-CN"/>
              </w:rPr>
            </w:pPr>
            <w:r>
              <w:t>鑫隆广场</w:t>
            </w:r>
          </w:p>
        </w:tc>
        <w:tc>
          <w:tcPr>
            <w:tcW w:w="609" w:type="pct"/>
            <w:shd w:val="clear" w:color="auto" w:fill="auto"/>
            <w:vAlign w:val="center"/>
          </w:tcPr>
          <w:p w14:paraId="2128635E">
            <w:pPr>
              <w:pStyle w:val="26"/>
              <w:bidi w:val="0"/>
              <w:jc w:val="center"/>
              <w:rPr>
                <w:lang w:val="en-US" w:eastAsia="zh-CN"/>
              </w:rPr>
            </w:pPr>
            <w:r>
              <w:t>居民区</w:t>
            </w:r>
          </w:p>
        </w:tc>
        <w:tc>
          <w:tcPr>
            <w:tcW w:w="728" w:type="pct"/>
            <w:shd w:val="clear" w:color="auto" w:fill="auto"/>
            <w:noWrap/>
            <w:vAlign w:val="center"/>
          </w:tcPr>
          <w:p w14:paraId="5772115F">
            <w:pPr>
              <w:pStyle w:val="26"/>
              <w:bidi w:val="0"/>
              <w:jc w:val="center"/>
              <w:rPr>
                <w:rFonts w:hint="eastAsia"/>
                <w:lang w:val="en-US" w:eastAsia="zh-CN"/>
              </w:rPr>
            </w:pPr>
            <w:r>
              <w:t>1395</w:t>
            </w:r>
          </w:p>
        </w:tc>
        <w:tc>
          <w:tcPr>
            <w:tcW w:w="709" w:type="pct"/>
            <w:vMerge w:val="continue"/>
            <w:vAlign w:val="center"/>
          </w:tcPr>
          <w:p w14:paraId="18F90D4D">
            <w:pPr>
              <w:pStyle w:val="26"/>
              <w:bidi w:val="0"/>
              <w:jc w:val="center"/>
              <w:rPr>
                <w:color w:val="auto"/>
                <w:highlight w:val="none"/>
                <w:lang w:val="en-US" w:eastAsia="zh-CN"/>
              </w:rPr>
            </w:pPr>
          </w:p>
        </w:tc>
        <w:tc>
          <w:tcPr>
            <w:tcW w:w="826" w:type="pct"/>
            <w:shd w:val="clear" w:color="auto" w:fill="auto"/>
            <w:noWrap/>
            <w:vAlign w:val="center"/>
          </w:tcPr>
          <w:p w14:paraId="1A2B90DA">
            <w:pPr>
              <w:pStyle w:val="26"/>
              <w:bidi w:val="0"/>
              <w:jc w:val="center"/>
              <w:rPr>
                <w:rFonts w:hint="eastAsia"/>
                <w:lang w:val="en-US" w:eastAsia="zh-CN"/>
              </w:rPr>
            </w:pPr>
            <w:r>
              <w:t>西南</w:t>
            </w:r>
          </w:p>
        </w:tc>
        <w:tc>
          <w:tcPr>
            <w:tcW w:w="826" w:type="pct"/>
            <w:shd w:val="clear" w:color="auto" w:fill="auto"/>
            <w:noWrap/>
            <w:vAlign w:val="center"/>
          </w:tcPr>
          <w:p w14:paraId="79A44731">
            <w:pPr>
              <w:pStyle w:val="26"/>
              <w:bidi w:val="0"/>
              <w:jc w:val="center"/>
              <w:rPr>
                <w:rFonts w:hint="eastAsia"/>
                <w:lang w:val="en-US" w:eastAsia="zh-CN"/>
              </w:rPr>
            </w:pPr>
            <w:r>
              <w:t>1945</w:t>
            </w:r>
          </w:p>
        </w:tc>
      </w:tr>
      <w:tr w14:paraId="75E5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0ED3DC8">
            <w:pPr>
              <w:pStyle w:val="26"/>
              <w:bidi w:val="0"/>
              <w:jc w:val="center"/>
              <w:rPr>
                <w:rFonts w:hint="eastAsia"/>
                <w:lang w:val="en-US" w:eastAsia="zh-CN"/>
              </w:rPr>
            </w:pPr>
            <w:r>
              <w:rPr>
                <w:rFonts w:hint="default"/>
                <w:lang w:val="en-US" w:eastAsia="zh-CN"/>
              </w:rPr>
              <w:t>113</w:t>
            </w:r>
          </w:p>
        </w:tc>
        <w:tc>
          <w:tcPr>
            <w:tcW w:w="939" w:type="pct"/>
            <w:shd w:val="clear" w:color="auto" w:fill="auto"/>
            <w:noWrap/>
            <w:vAlign w:val="center"/>
          </w:tcPr>
          <w:p w14:paraId="30288FDD">
            <w:pPr>
              <w:pStyle w:val="26"/>
              <w:bidi w:val="0"/>
              <w:jc w:val="center"/>
              <w:rPr>
                <w:rFonts w:hint="eastAsia"/>
                <w:lang w:val="en-US" w:eastAsia="zh-CN"/>
              </w:rPr>
            </w:pPr>
            <w:r>
              <w:t>竹苑</w:t>
            </w:r>
          </w:p>
        </w:tc>
        <w:tc>
          <w:tcPr>
            <w:tcW w:w="609" w:type="pct"/>
            <w:shd w:val="clear" w:color="auto" w:fill="auto"/>
            <w:vAlign w:val="center"/>
          </w:tcPr>
          <w:p w14:paraId="33F60E94">
            <w:pPr>
              <w:pStyle w:val="26"/>
              <w:bidi w:val="0"/>
              <w:jc w:val="center"/>
              <w:rPr>
                <w:lang w:val="en-US" w:eastAsia="zh-CN"/>
              </w:rPr>
            </w:pPr>
            <w:r>
              <w:t>居民区</w:t>
            </w:r>
          </w:p>
        </w:tc>
        <w:tc>
          <w:tcPr>
            <w:tcW w:w="728" w:type="pct"/>
            <w:shd w:val="clear" w:color="auto" w:fill="auto"/>
            <w:noWrap/>
            <w:vAlign w:val="center"/>
          </w:tcPr>
          <w:p w14:paraId="294045EB">
            <w:pPr>
              <w:pStyle w:val="26"/>
              <w:bidi w:val="0"/>
              <w:jc w:val="center"/>
              <w:rPr>
                <w:rFonts w:hint="eastAsia"/>
                <w:lang w:val="en-US" w:eastAsia="zh-CN"/>
              </w:rPr>
            </w:pPr>
            <w:r>
              <w:t>1500</w:t>
            </w:r>
          </w:p>
        </w:tc>
        <w:tc>
          <w:tcPr>
            <w:tcW w:w="709" w:type="pct"/>
            <w:vMerge w:val="continue"/>
            <w:vAlign w:val="center"/>
          </w:tcPr>
          <w:p w14:paraId="629635D8">
            <w:pPr>
              <w:pStyle w:val="26"/>
              <w:bidi w:val="0"/>
              <w:jc w:val="center"/>
              <w:rPr>
                <w:color w:val="auto"/>
                <w:highlight w:val="none"/>
                <w:lang w:val="en-US" w:eastAsia="zh-CN"/>
              </w:rPr>
            </w:pPr>
          </w:p>
        </w:tc>
        <w:tc>
          <w:tcPr>
            <w:tcW w:w="826" w:type="pct"/>
            <w:shd w:val="clear" w:color="auto" w:fill="auto"/>
            <w:noWrap/>
            <w:vAlign w:val="center"/>
          </w:tcPr>
          <w:p w14:paraId="1088D5DC">
            <w:pPr>
              <w:pStyle w:val="26"/>
              <w:bidi w:val="0"/>
              <w:jc w:val="center"/>
              <w:rPr>
                <w:rFonts w:hint="eastAsia"/>
                <w:lang w:val="en-US" w:eastAsia="zh-CN"/>
              </w:rPr>
            </w:pPr>
            <w:r>
              <w:t>西南</w:t>
            </w:r>
          </w:p>
        </w:tc>
        <w:tc>
          <w:tcPr>
            <w:tcW w:w="826" w:type="pct"/>
            <w:shd w:val="clear" w:color="auto" w:fill="auto"/>
            <w:noWrap/>
            <w:vAlign w:val="center"/>
          </w:tcPr>
          <w:p w14:paraId="67446C17">
            <w:pPr>
              <w:pStyle w:val="26"/>
              <w:bidi w:val="0"/>
              <w:jc w:val="center"/>
              <w:rPr>
                <w:rFonts w:hint="eastAsia"/>
                <w:lang w:val="en-US" w:eastAsia="zh-CN"/>
              </w:rPr>
            </w:pPr>
            <w:r>
              <w:t>1905</w:t>
            </w:r>
          </w:p>
        </w:tc>
      </w:tr>
      <w:tr w14:paraId="26D0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564347B">
            <w:pPr>
              <w:pStyle w:val="26"/>
              <w:bidi w:val="0"/>
              <w:jc w:val="center"/>
              <w:rPr>
                <w:rFonts w:hint="eastAsia"/>
                <w:lang w:val="en-US" w:eastAsia="zh-CN"/>
              </w:rPr>
            </w:pPr>
            <w:r>
              <w:rPr>
                <w:rFonts w:hint="default"/>
                <w:lang w:val="en-US" w:eastAsia="zh-CN"/>
              </w:rPr>
              <w:t>114</w:t>
            </w:r>
          </w:p>
        </w:tc>
        <w:tc>
          <w:tcPr>
            <w:tcW w:w="939" w:type="pct"/>
            <w:shd w:val="clear" w:color="auto" w:fill="auto"/>
            <w:noWrap/>
            <w:vAlign w:val="center"/>
          </w:tcPr>
          <w:p w14:paraId="3E96D4CB">
            <w:pPr>
              <w:pStyle w:val="26"/>
              <w:bidi w:val="0"/>
              <w:jc w:val="center"/>
              <w:rPr>
                <w:rFonts w:hint="eastAsia"/>
                <w:lang w:val="en-US" w:eastAsia="zh-CN"/>
              </w:rPr>
            </w:pPr>
            <w:r>
              <w:t>梅苑里</w:t>
            </w:r>
          </w:p>
        </w:tc>
        <w:tc>
          <w:tcPr>
            <w:tcW w:w="609" w:type="pct"/>
            <w:shd w:val="clear" w:color="auto" w:fill="auto"/>
            <w:vAlign w:val="center"/>
          </w:tcPr>
          <w:p w14:paraId="0E07F3B4">
            <w:pPr>
              <w:pStyle w:val="26"/>
              <w:bidi w:val="0"/>
              <w:jc w:val="center"/>
              <w:rPr>
                <w:lang w:val="en-US" w:eastAsia="zh-CN"/>
              </w:rPr>
            </w:pPr>
            <w:r>
              <w:t>居民区</w:t>
            </w:r>
          </w:p>
        </w:tc>
        <w:tc>
          <w:tcPr>
            <w:tcW w:w="728" w:type="pct"/>
            <w:shd w:val="clear" w:color="auto" w:fill="auto"/>
            <w:noWrap/>
            <w:vAlign w:val="center"/>
          </w:tcPr>
          <w:p w14:paraId="090092DD">
            <w:pPr>
              <w:pStyle w:val="26"/>
              <w:bidi w:val="0"/>
              <w:jc w:val="center"/>
              <w:rPr>
                <w:rFonts w:hint="eastAsia"/>
                <w:lang w:val="en-US" w:eastAsia="zh-CN"/>
              </w:rPr>
            </w:pPr>
            <w:r>
              <w:t>3003</w:t>
            </w:r>
          </w:p>
        </w:tc>
        <w:tc>
          <w:tcPr>
            <w:tcW w:w="709" w:type="pct"/>
            <w:vMerge w:val="continue"/>
            <w:vAlign w:val="center"/>
          </w:tcPr>
          <w:p w14:paraId="23521AC5">
            <w:pPr>
              <w:pStyle w:val="26"/>
              <w:bidi w:val="0"/>
              <w:jc w:val="center"/>
              <w:rPr>
                <w:color w:val="auto"/>
                <w:highlight w:val="none"/>
                <w:lang w:val="en-US" w:eastAsia="zh-CN"/>
              </w:rPr>
            </w:pPr>
          </w:p>
        </w:tc>
        <w:tc>
          <w:tcPr>
            <w:tcW w:w="826" w:type="pct"/>
            <w:shd w:val="clear" w:color="auto" w:fill="auto"/>
            <w:noWrap/>
            <w:vAlign w:val="center"/>
          </w:tcPr>
          <w:p w14:paraId="49BD6DD3">
            <w:pPr>
              <w:pStyle w:val="26"/>
              <w:bidi w:val="0"/>
              <w:jc w:val="center"/>
              <w:rPr>
                <w:rFonts w:hint="eastAsia"/>
                <w:lang w:val="en-US" w:eastAsia="zh-CN"/>
              </w:rPr>
            </w:pPr>
            <w:r>
              <w:t>西</w:t>
            </w:r>
          </w:p>
        </w:tc>
        <w:tc>
          <w:tcPr>
            <w:tcW w:w="826" w:type="pct"/>
            <w:shd w:val="clear" w:color="auto" w:fill="auto"/>
            <w:noWrap/>
            <w:vAlign w:val="center"/>
          </w:tcPr>
          <w:p w14:paraId="21C5571F">
            <w:pPr>
              <w:pStyle w:val="26"/>
              <w:bidi w:val="0"/>
              <w:jc w:val="center"/>
              <w:rPr>
                <w:rFonts w:hint="eastAsia"/>
                <w:lang w:val="en-US" w:eastAsia="zh-CN"/>
              </w:rPr>
            </w:pPr>
            <w:r>
              <w:t>1690</w:t>
            </w:r>
          </w:p>
        </w:tc>
      </w:tr>
      <w:tr w14:paraId="213F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DE5DB37">
            <w:pPr>
              <w:pStyle w:val="26"/>
              <w:bidi w:val="0"/>
              <w:jc w:val="center"/>
              <w:rPr>
                <w:rFonts w:hint="eastAsia"/>
                <w:lang w:val="en-US" w:eastAsia="zh-CN"/>
              </w:rPr>
            </w:pPr>
            <w:r>
              <w:rPr>
                <w:rFonts w:hint="default"/>
                <w:lang w:val="en-US" w:eastAsia="zh-CN"/>
              </w:rPr>
              <w:t>115</w:t>
            </w:r>
          </w:p>
        </w:tc>
        <w:tc>
          <w:tcPr>
            <w:tcW w:w="939" w:type="pct"/>
            <w:shd w:val="clear" w:color="auto" w:fill="auto"/>
            <w:noWrap/>
            <w:vAlign w:val="center"/>
          </w:tcPr>
          <w:p w14:paraId="5027C010">
            <w:pPr>
              <w:pStyle w:val="26"/>
              <w:bidi w:val="0"/>
              <w:jc w:val="center"/>
              <w:rPr>
                <w:rFonts w:hint="eastAsia"/>
                <w:lang w:val="en-US" w:eastAsia="zh-CN"/>
              </w:rPr>
            </w:pPr>
            <w:r>
              <w:t>黄城花园</w:t>
            </w:r>
          </w:p>
        </w:tc>
        <w:tc>
          <w:tcPr>
            <w:tcW w:w="609" w:type="pct"/>
            <w:shd w:val="clear" w:color="auto" w:fill="auto"/>
            <w:vAlign w:val="center"/>
          </w:tcPr>
          <w:p w14:paraId="67955318">
            <w:pPr>
              <w:pStyle w:val="26"/>
              <w:bidi w:val="0"/>
              <w:jc w:val="center"/>
              <w:rPr>
                <w:lang w:val="en-US" w:eastAsia="zh-CN"/>
              </w:rPr>
            </w:pPr>
            <w:r>
              <w:t>居民区</w:t>
            </w:r>
          </w:p>
        </w:tc>
        <w:tc>
          <w:tcPr>
            <w:tcW w:w="728" w:type="pct"/>
            <w:shd w:val="clear" w:color="auto" w:fill="auto"/>
            <w:noWrap/>
            <w:vAlign w:val="center"/>
          </w:tcPr>
          <w:p w14:paraId="37F1E348">
            <w:pPr>
              <w:pStyle w:val="26"/>
              <w:bidi w:val="0"/>
              <w:jc w:val="center"/>
              <w:rPr>
                <w:rFonts w:hint="eastAsia"/>
                <w:lang w:val="en-US" w:eastAsia="zh-CN"/>
              </w:rPr>
            </w:pPr>
            <w:r>
              <w:t>8418</w:t>
            </w:r>
          </w:p>
        </w:tc>
        <w:tc>
          <w:tcPr>
            <w:tcW w:w="709" w:type="pct"/>
            <w:vMerge w:val="continue"/>
            <w:vAlign w:val="center"/>
          </w:tcPr>
          <w:p w14:paraId="52C6FF2D">
            <w:pPr>
              <w:pStyle w:val="26"/>
              <w:bidi w:val="0"/>
              <w:jc w:val="center"/>
              <w:rPr>
                <w:color w:val="auto"/>
                <w:highlight w:val="none"/>
                <w:lang w:val="en-US" w:eastAsia="zh-CN"/>
              </w:rPr>
            </w:pPr>
          </w:p>
        </w:tc>
        <w:tc>
          <w:tcPr>
            <w:tcW w:w="826" w:type="pct"/>
            <w:shd w:val="clear" w:color="auto" w:fill="auto"/>
            <w:noWrap/>
            <w:vAlign w:val="center"/>
          </w:tcPr>
          <w:p w14:paraId="7DB850E9">
            <w:pPr>
              <w:pStyle w:val="26"/>
              <w:bidi w:val="0"/>
              <w:jc w:val="center"/>
              <w:rPr>
                <w:rFonts w:hint="eastAsia"/>
                <w:lang w:val="en-US" w:eastAsia="zh-CN"/>
              </w:rPr>
            </w:pPr>
            <w:r>
              <w:t>西</w:t>
            </w:r>
          </w:p>
        </w:tc>
        <w:tc>
          <w:tcPr>
            <w:tcW w:w="826" w:type="pct"/>
            <w:shd w:val="clear" w:color="auto" w:fill="auto"/>
            <w:noWrap/>
            <w:vAlign w:val="center"/>
          </w:tcPr>
          <w:p w14:paraId="18A0A6B6">
            <w:pPr>
              <w:pStyle w:val="26"/>
              <w:bidi w:val="0"/>
              <w:jc w:val="center"/>
              <w:rPr>
                <w:rFonts w:hint="eastAsia"/>
                <w:lang w:val="en-US" w:eastAsia="zh-CN"/>
              </w:rPr>
            </w:pPr>
            <w:r>
              <w:t>2930</w:t>
            </w:r>
          </w:p>
        </w:tc>
      </w:tr>
      <w:tr w14:paraId="51AD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347E31E">
            <w:pPr>
              <w:pStyle w:val="26"/>
              <w:bidi w:val="0"/>
              <w:jc w:val="center"/>
              <w:rPr>
                <w:rFonts w:hint="eastAsia"/>
                <w:lang w:val="en-US" w:eastAsia="zh-CN"/>
              </w:rPr>
            </w:pPr>
            <w:r>
              <w:rPr>
                <w:rFonts w:hint="default"/>
                <w:lang w:val="en-US" w:eastAsia="zh-CN"/>
              </w:rPr>
              <w:t>116</w:t>
            </w:r>
          </w:p>
        </w:tc>
        <w:tc>
          <w:tcPr>
            <w:tcW w:w="939" w:type="pct"/>
            <w:shd w:val="clear" w:color="auto" w:fill="auto"/>
            <w:noWrap/>
            <w:vAlign w:val="center"/>
          </w:tcPr>
          <w:p w14:paraId="04AC7993">
            <w:pPr>
              <w:pStyle w:val="26"/>
              <w:bidi w:val="0"/>
              <w:jc w:val="center"/>
              <w:rPr>
                <w:rFonts w:hint="eastAsia"/>
                <w:lang w:val="en-US" w:eastAsia="zh-CN"/>
              </w:rPr>
            </w:pPr>
            <w:r>
              <w:t>可逸兰亭</w:t>
            </w:r>
          </w:p>
        </w:tc>
        <w:tc>
          <w:tcPr>
            <w:tcW w:w="609" w:type="pct"/>
            <w:shd w:val="clear" w:color="auto" w:fill="auto"/>
            <w:vAlign w:val="center"/>
          </w:tcPr>
          <w:p w14:paraId="539CA67B">
            <w:pPr>
              <w:pStyle w:val="26"/>
              <w:bidi w:val="0"/>
              <w:jc w:val="center"/>
              <w:rPr>
                <w:lang w:val="en-US" w:eastAsia="zh-CN"/>
              </w:rPr>
            </w:pPr>
            <w:r>
              <w:t>居民区</w:t>
            </w:r>
          </w:p>
        </w:tc>
        <w:tc>
          <w:tcPr>
            <w:tcW w:w="728" w:type="pct"/>
            <w:shd w:val="clear" w:color="auto" w:fill="auto"/>
            <w:noWrap/>
            <w:vAlign w:val="center"/>
          </w:tcPr>
          <w:p w14:paraId="3522D411">
            <w:pPr>
              <w:pStyle w:val="26"/>
              <w:bidi w:val="0"/>
              <w:jc w:val="center"/>
              <w:rPr>
                <w:rFonts w:hint="eastAsia"/>
                <w:lang w:val="en-US" w:eastAsia="zh-CN"/>
              </w:rPr>
            </w:pPr>
            <w:r>
              <w:t>12882</w:t>
            </w:r>
          </w:p>
        </w:tc>
        <w:tc>
          <w:tcPr>
            <w:tcW w:w="709" w:type="pct"/>
            <w:vMerge w:val="continue"/>
            <w:vAlign w:val="center"/>
          </w:tcPr>
          <w:p w14:paraId="2015D9C5">
            <w:pPr>
              <w:pStyle w:val="26"/>
              <w:bidi w:val="0"/>
              <w:jc w:val="center"/>
              <w:rPr>
                <w:color w:val="auto"/>
                <w:highlight w:val="none"/>
                <w:lang w:val="en-US" w:eastAsia="zh-CN"/>
              </w:rPr>
            </w:pPr>
          </w:p>
        </w:tc>
        <w:tc>
          <w:tcPr>
            <w:tcW w:w="826" w:type="pct"/>
            <w:shd w:val="clear" w:color="auto" w:fill="auto"/>
            <w:noWrap/>
            <w:vAlign w:val="center"/>
          </w:tcPr>
          <w:p w14:paraId="31ADE88B">
            <w:pPr>
              <w:pStyle w:val="26"/>
              <w:bidi w:val="0"/>
              <w:jc w:val="center"/>
              <w:rPr>
                <w:rFonts w:hint="eastAsia"/>
                <w:lang w:val="en-US" w:eastAsia="zh-CN"/>
              </w:rPr>
            </w:pPr>
            <w:r>
              <w:t>西</w:t>
            </w:r>
          </w:p>
        </w:tc>
        <w:tc>
          <w:tcPr>
            <w:tcW w:w="826" w:type="pct"/>
            <w:shd w:val="clear" w:color="auto" w:fill="auto"/>
            <w:noWrap/>
            <w:vAlign w:val="center"/>
          </w:tcPr>
          <w:p w14:paraId="3F85F91F">
            <w:pPr>
              <w:pStyle w:val="26"/>
              <w:bidi w:val="0"/>
              <w:jc w:val="center"/>
              <w:rPr>
                <w:rFonts w:hint="eastAsia"/>
                <w:lang w:val="en-US" w:eastAsia="zh-CN"/>
              </w:rPr>
            </w:pPr>
            <w:r>
              <w:t>3410</w:t>
            </w:r>
          </w:p>
        </w:tc>
      </w:tr>
      <w:tr w14:paraId="491A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670DEB4">
            <w:pPr>
              <w:pStyle w:val="26"/>
              <w:bidi w:val="0"/>
              <w:jc w:val="center"/>
              <w:rPr>
                <w:rFonts w:hint="eastAsia"/>
                <w:lang w:val="en-US" w:eastAsia="zh-CN"/>
              </w:rPr>
            </w:pPr>
            <w:r>
              <w:rPr>
                <w:rFonts w:hint="default"/>
                <w:lang w:val="en-US" w:eastAsia="zh-CN"/>
              </w:rPr>
              <w:t>117</w:t>
            </w:r>
          </w:p>
        </w:tc>
        <w:tc>
          <w:tcPr>
            <w:tcW w:w="939" w:type="pct"/>
            <w:shd w:val="clear" w:color="auto" w:fill="auto"/>
            <w:noWrap/>
            <w:vAlign w:val="center"/>
          </w:tcPr>
          <w:p w14:paraId="6A399B6F">
            <w:pPr>
              <w:pStyle w:val="26"/>
              <w:bidi w:val="0"/>
              <w:jc w:val="center"/>
              <w:rPr>
                <w:rFonts w:hint="eastAsia"/>
                <w:lang w:val="en-US" w:eastAsia="zh-CN"/>
              </w:rPr>
            </w:pPr>
            <w:r>
              <w:t>集善新村</w:t>
            </w:r>
          </w:p>
        </w:tc>
        <w:tc>
          <w:tcPr>
            <w:tcW w:w="609" w:type="pct"/>
            <w:shd w:val="clear" w:color="auto" w:fill="auto"/>
            <w:vAlign w:val="center"/>
          </w:tcPr>
          <w:p w14:paraId="3FDA67FD">
            <w:pPr>
              <w:pStyle w:val="26"/>
              <w:bidi w:val="0"/>
              <w:jc w:val="center"/>
              <w:rPr>
                <w:lang w:val="en-US" w:eastAsia="zh-CN"/>
              </w:rPr>
            </w:pPr>
            <w:r>
              <w:t>居民区</w:t>
            </w:r>
          </w:p>
        </w:tc>
        <w:tc>
          <w:tcPr>
            <w:tcW w:w="728" w:type="pct"/>
            <w:shd w:val="clear" w:color="auto" w:fill="auto"/>
            <w:noWrap/>
            <w:vAlign w:val="center"/>
          </w:tcPr>
          <w:p w14:paraId="42D1E71F">
            <w:pPr>
              <w:pStyle w:val="26"/>
              <w:bidi w:val="0"/>
              <w:jc w:val="center"/>
              <w:rPr>
                <w:rFonts w:hint="eastAsia"/>
                <w:lang w:val="en-US" w:eastAsia="zh-CN"/>
              </w:rPr>
            </w:pPr>
            <w:r>
              <w:t>6186</w:t>
            </w:r>
          </w:p>
        </w:tc>
        <w:tc>
          <w:tcPr>
            <w:tcW w:w="709" w:type="pct"/>
            <w:vMerge w:val="continue"/>
            <w:vAlign w:val="center"/>
          </w:tcPr>
          <w:p w14:paraId="07929D16">
            <w:pPr>
              <w:pStyle w:val="26"/>
              <w:bidi w:val="0"/>
              <w:jc w:val="center"/>
              <w:rPr>
                <w:color w:val="auto"/>
                <w:highlight w:val="none"/>
                <w:lang w:val="en-US" w:eastAsia="zh-CN"/>
              </w:rPr>
            </w:pPr>
          </w:p>
        </w:tc>
        <w:tc>
          <w:tcPr>
            <w:tcW w:w="826" w:type="pct"/>
            <w:shd w:val="clear" w:color="auto" w:fill="auto"/>
            <w:noWrap/>
            <w:vAlign w:val="center"/>
          </w:tcPr>
          <w:p w14:paraId="6A106858">
            <w:pPr>
              <w:pStyle w:val="26"/>
              <w:bidi w:val="0"/>
              <w:jc w:val="center"/>
              <w:rPr>
                <w:rFonts w:hint="eastAsia"/>
                <w:lang w:val="en-US" w:eastAsia="zh-CN"/>
              </w:rPr>
            </w:pPr>
            <w:r>
              <w:t>西</w:t>
            </w:r>
          </w:p>
        </w:tc>
        <w:tc>
          <w:tcPr>
            <w:tcW w:w="826" w:type="pct"/>
            <w:shd w:val="clear" w:color="auto" w:fill="auto"/>
            <w:noWrap/>
            <w:vAlign w:val="center"/>
          </w:tcPr>
          <w:p w14:paraId="3402CC37">
            <w:pPr>
              <w:pStyle w:val="26"/>
              <w:bidi w:val="0"/>
              <w:jc w:val="center"/>
              <w:rPr>
                <w:rFonts w:hint="eastAsia"/>
                <w:lang w:val="en-US" w:eastAsia="zh-CN"/>
              </w:rPr>
            </w:pPr>
            <w:r>
              <w:t>3450</w:t>
            </w:r>
          </w:p>
        </w:tc>
      </w:tr>
      <w:tr w14:paraId="3260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5E307FD">
            <w:pPr>
              <w:pStyle w:val="26"/>
              <w:bidi w:val="0"/>
              <w:jc w:val="center"/>
              <w:rPr>
                <w:rFonts w:hint="eastAsia"/>
                <w:lang w:val="en-US" w:eastAsia="zh-CN"/>
              </w:rPr>
            </w:pPr>
            <w:r>
              <w:rPr>
                <w:rFonts w:hint="default"/>
                <w:lang w:val="en-US" w:eastAsia="zh-CN"/>
              </w:rPr>
              <w:t>118</w:t>
            </w:r>
          </w:p>
        </w:tc>
        <w:tc>
          <w:tcPr>
            <w:tcW w:w="939" w:type="pct"/>
            <w:shd w:val="clear" w:color="auto" w:fill="auto"/>
            <w:noWrap/>
            <w:vAlign w:val="center"/>
          </w:tcPr>
          <w:p w14:paraId="3BFB7002">
            <w:pPr>
              <w:pStyle w:val="26"/>
              <w:bidi w:val="0"/>
              <w:jc w:val="center"/>
              <w:rPr>
                <w:rFonts w:hint="eastAsia"/>
                <w:lang w:val="en-US" w:eastAsia="zh-CN"/>
              </w:rPr>
            </w:pPr>
            <w:r>
              <w:t>花苑新村</w:t>
            </w:r>
          </w:p>
        </w:tc>
        <w:tc>
          <w:tcPr>
            <w:tcW w:w="609" w:type="pct"/>
            <w:shd w:val="clear" w:color="auto" w:fill="auto"/>
            <w:vAlign w:val="center"/>
          </w:tcPr>
          <w:p w14:paraId="3A5BC78F">
            <w:pPr>
              <w:pStyle w:val="26"/>
              <w:bidi w:val="0"/>
              <w:jc w:val="center"/>
              <w:rPr>
                <w:lang w:val="en-US" w:eastAsia="zh-CN"/>
              </w:rPr>
            </w:pPr>
            <w:r>
              <w:t>居民区</w:t>
            </w:r>
          </w:p>
        </w:tc>
        <w:tc>
          <w:tcPr>
            <w:tcW w:w="728" w:type="pct"/>
            <w:shd w:val="clear" w:color="auto" w:fill="auto"/>
            <w:noWrap/>
            <w:vAlign w:val="center"/>
          </w:tcPr>
          <w:p w14:paraId="04E5A8B5">
            <w:pPr>
              <w:pStyle w:val="26"/>
              <w:bidi w:val="0"/>
              <w:jc w:val="center"/>
              <w:rPr>
                <w:rFonts w:hint="eastAsia"/>
                <w:lang w:val="en-US" w:eastAsia="zh-CN"/>
              </w:rPr>
            </w:pPr>
            <w:r>
              <w:t>9936</w:t>
            </w:r>
          </w:p>
        </w:tc>
        <w:tc>
          <w:tcPr>
            <w:tcW w:w="709" w:type="pct"/>
            <w:vMerge w:val="continue"/>
            <w:vAlign w:val="center"/>
          </w:tcPr>
          <w:p w14:paraId="0163ADF8">
            <w:pPr>
              <w:pStyle w:val="26"/>
              <w:bidi w:val="0"/>
              <w:jc w:val="center"/>
              <w:rPr>
                <w:color w:val="auto"/>
                <w:highlight w:val="none"/>
                <w:lang w:val="en-US" w:eastAsia="zh-CN"/>
              </w:rPr>
            </w:pPr>
          </w:p>
        </w:tc>
        <w:tc>
          <w:tcPr>
            <w:tcW w:w="826" w:type="pct"/>
            <w:shd w:val="clear" w:color="auto" w:fill="auto"/>
            <w:noWrap/>
            <w:vAlign w:val="center"/>
          </w:tcPr>
          <w:p w14:paraId="3E8C77C7">
            <w:pPr>
              <w:pStyle w:val="26"/>
              <w:bidi w:val="0"/>
              <w:jc w:val="center"/>
              <w:rPr>
                <w:rFonts w:hint="eastAsia"/>
                <w:lang w:val="en-US" w:eastAsia="zh-CN"/>
              </w:rPr>
            </w:pPr>
            <w:r>
              <w:t>西</w:t>
            </w:r>
          </w:p>
        </w:tc>
        <w:tc>
          <w:tcPr>
            <w:tcW w:w="826" w:type="pct"/>
            <w:shd w:val="clear" w:color="auto" w:fill="auto"/>
            <w:noWrap/>
            <w:vAlign w:val="center"/>
          </w:tcPr>
          <w:p w14:paraId="4A1CDDCB">
            <w:pPr>
              <w:pStyle w:val="26"/>
              <w:bidi w:val="0"/>
              <w:jc w:val="center"/>
              <w:rPr>
                <w:rFonts w:hint="eastAsia"/>
                <w:lang w:val="en-US" w:eastAsia="zh-CN"/>
              </w:rPr>
            </w:pPr>
            <w:r>
              <w:t>2530</w:t>
            </w:r>
          </w:p>
        </w:tc>
      </w:tr>
      <w:tr w14:paraId="6860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5C5F06E">
            <w:pPr>
              <w:pStyle w:val="26"/>
              <w:bidi w:val="0"/>
              <w:jc w:val="center"/>
              <w:rPr>
                <w:rFonts w:hint="eastAsia"/>
                <w:lang w:val="en-US" w:eastAsia="zh-CN"/>
              </w:rPr>
            </w:pPr>
            <w:r>
              <w:rPr>
                <w:rFonts w:hint="default"/>
                <w:lang w:val="en-US" w:eastAsia="zh-CN"/>
              </w:rPr>
              <w:t>119</w:t>
            </w:r>
          </w:p>
        </w:tc>
        <w:tc>
          <w:tcPr>
            <w:tcW w:w="939" w:type="pct"/>
            <w:shd w:val="clear" w:color="auto" w:fill="auto"/>
            <w:noWrap/>
            <w:vAlign w:val="center"/>
          </w:tcPr>
          <w:p w14:paraId="0C699A54">
            <w:pPr>
              <w:pStyle w:val="26"/>
              <w:bidi w:val="0"/>
              <w:jc w:val="center"/>
              <w:rPr>
                <w:rFonts w:hint="eastAsia"/>
                <w:lang w:val="en-US" w:eastAsia="zh-CN"/>
              </w:rPr>
            </w:pPr>
            <w:r>
              <w:t>蒋浦新村</w:t>
            </w:r>
          </w:p>
        </w:tc>
        <w:tc>
          <w:tcPr>
            <w:tcW w:w="609" w:type="pct"/>
            <w:shd w:val="clear" w:color="auto" w:fill="auto"/>
            <w:vAlign w:val="center"/>
          </w:tcPr>
          <w:p w14:paraId="52B74013">
            <w:pPr>
              <w:pStyle w:val="26"/>
              <w:bidi w:val="0"/>
              <w:jc w:val="center"/>
              <w:rPr>
                <w:lang w:val="en-US" w:eastAsia="zh-CN"/>
              </w:rPr>
            </w:pPr>
            <w:r>
              <w:t>居民区</w:t>
            </w:r>
          </w:p>
        </w:tc>
        <w:tc>
          <w:tcPr>
            <w:tcW w:w="728" w:type="pct"/>
            <w:shd w:val="clear" w:color="auto" w:fill="auto"/>
            <w:noWrap/>
            <w:vAlign w:val="center"/>
          </w:tcPr>
          <w:p w14:paraId="5208174D">
            <w:pPr>
              <w:pStyle w:val="26"/>
              <w:bidi w:val="0"/>
              <w:jc w:val="center"/>
              <w:rPr>
                <w:rFonts w:hint="eastAsia"/>
                <w:lang w:val="en-US" w:eastAsia="zh-CN"/>
              </w:rPr>
            </w:pPr>
            <w:r>
              <w:t>486</w:t>
            </w:r>
          </w:p>
        </w:tc>
        <w:tc>
          <w:tcPr>
            <w:tcW w:w="709" w:type="pct"/>
            <w:vMerge w:val="continue"/>
            <w:vAlign w:val="center"/>
          </w:tcPr>
          <w:p w14:paraId="75AFE995">
            <w:pPr>
              <w:pStyle w:val="26"/>
              <w:bidi w:val="0"/>
              <w:jc w:val="center"/>
              <w:rPr>
                <w:color w:val="auto"/>
                <w:highlight w:val="none"/>
                <w:lang w:val="en-US" w:eastAsia="zh-CN"/>
              </w:rPr>
            </w:pPr>
          </w:p>
        </w:tc>
        <w:tc>
          <w:tcPr>
            <w:tcW w:w="826" w:type="pct"/>
            <w:shd w:val="clear" w:color="auto" w:fill="auto"/>
            <w:noWrap/>
            <w:vAlign w:val="center"/>
          </w:tcPr>
          <w:p w14:paraId="6EE62E5C">
            <w:pPr>
              <w:pStyle w:val="26"/>
              <w:bidi w:val="0"/>
              <w:jc w:val="center"/>
              <w:rPr>
                <w:rFonts w:hint="eastAsia"/>
                <w:lang w:val="en-US" w:eastAsia="zh-CN"/>
              </w:rPr>
            </w:pPr>
            <w:r>
              <w:t>西南</w:t>
            </w:r>
          </w:p>
        </w:tc>
        <w:tc>
          <w:tcPr>
            <w:tcW w:w="826" w:type="pct"/>
            <w:shd w:val="clear" w:color="auto" w:fill="auto"/>
            <w:noWrap/>
            <w:vAlign w:val="center"/>
          </w:tcPr>
          <w:p w14:paraId="6A2B1B74">
            <w:pPr>
              <w:pStyle w:val="26"/>
              <w:bidi w:val="0"/>
              <w:jc w:val="center"/>
              <w:rPr>
                <w:rFonts w:hint="eastAsia"/>
                <w:lang w:val="en-US" w:eastAsia="zh-CN"/>
              </w:rPr>
            </w:pPr>
            <w:r>
              <w:t>2910</w:t>
            </w:r>
          </w:p>
        </w:tc>
      </w:tr>
      <w:tr w14:paraId="4AB0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C96F27D">
            <w:pPr>
              <w:pStyle w:val="26"/>
              <w:bidi w:val="0"/>
              <w:jc w:val="center"/>
              <w:rPr>
                <w:rFonts w:hint="eastAsia"/>
                <w:lang w:val="en-US" w:eastAsia="zh-CN"/>
              </w:rPr>
            </w:pPr>
            <w:r>
              <w:rPr>
                <w:rFonts w:hint="default"/>
                <w:lang w:val="en-US" w:eastAsia="zh-CN"/>
              </w:rPr>
              <w:t>120</w:t>
            </w:r>
          </w:p>
        </w:tc>
        <w:tc>
          <w:tcPr>
            <w:tcW w:w="939" w:type="pct"/>
            <w:shd w:val="clear" w:color="auto" w:fill="auto"/>
            <w:noWrap/>
            <w:vAlign w:val="center"/>
          </w:tcPr>
          <w:p w14:paraId="1A040B3C">
            <w:pPr>
              <w:pStyle w:val="26"/>
              <w:bidi w:val="0"/>
              <w:jc w:val="center"/>
              <w:rPr>
                <w:rFonts w:hint="eastAsia"/>
                <w:lang w:val="en-US" w:eastAsia="zh-CN"/>
              </w:rPr>
            </w:pPr>
            <w:r>
              <w:t>花家浜新村北区</w:t>
            </w:r>
          </w:p>
        </w:tc>
        <w:tc>
          <w:tcPr>
            <w:tcW w:w="609" w:type="pct"/>
            <w:shd w:val="clear" w:color="auto" w:fill="auto"/>
            <w:vAlign w:val="center"/>
          </w:tcPr>
          <w:p w14:paraId="51AF48F8">
            <w:pPr>
              <w:pStyle w:val="26"/>
              <w:bidi w:val="0"/>
              <w:jc w:val="center"/>
              <w:rPr>
                <w:lang w:val="en-US" w:eastAsia="zh-CN"/>
              </w:rPr>
            </w:pPr>
            <w:r>
              <w:t>居民区</w:t>
            </w:r>
          </w:p>
        </w:tc>
        <w:tc>
          <w:tcPr>
            <w:tcW w:w="728" w:type="pct"/>
            <w:shd w:val="clear" w:color="auto" w:fill="auto"/>
            <w:noWrap/>
            <w:vAlign w:val="center"/>
          </w:tcPr>
          <w:p w14:paraId="6CCAFB99">
            <w:pPr>
              <w:pStyle w:val="26"/>
              <w:bidi w:val="0"/>
              <w:jc w:val="center"/>
              <w:rPr>
                <w:rFonts w:hint="eastAsia"/>
                <w:lang w:val="en-US" w:eastAsia="zh-CN"/>
              </w:rPr>
            </w:pPr>
            <w:r>
              <w:t>2097</w:t>
            </w:r>
          </w:p>
        </w:tc>
        <w:tc>
          <w:tcPr>
            <w:tcW w:w="709" w:type="pct"/>
            <w:vMerge w:val="continue"/>
            <w:vAlign w:val="center"/>
          </w:tcPr>
          <w:p w14:paraId="21942CE0">
            <w:pPr>
              <w:pStyle w:val="26"/>
              <w:bidi w:val="0"/>
              <w:jc w:val="center"/>
              <w:rPr>
                <w:color w:val="auto"/>
                <w:highlight w:val="none"/>
                <w:lang w:val="en-US" w:eastAsia="zh-CN"/>
              </w:rPr>
            </w:pPr>
          </w:p>
        </w:tc>
        <w:tc>
          <w:tcPr>
            <w:tcW w:w="826" w:type="pct"/>
            <w:shd w:val="clear" w:color="auto" w:fill="auto"/>
            <w:noWrap/>
            <w:vAlign w:val="center"/>
          </w:tcPr>
          <w:p w14:paraId="4D0B9B13">
            <w:pPr>
              <w:pStyle w:val="26"/>
              <w:bidi w:val="0"/>
              <w:jc w:val="center"/>
              <w:rPr>
                <w:rFonts w:hint="eastAsia"/>
                <w:lang w:val="en-US" w:eastAsia="zh-CN"/>
              </w:rPr>
            </w:pPr>
            <w:r>
              <w:t>西南</w:t>
            </w:r>
          </w:p>
        </w:tc>
        <w:tc>
          <w:tcPr>
            <w:tcW w:w="826" w:type="pct"/>
            <w:shd w:val="clear" w:color="auto" w:fill="auto"/>
            <w:noWrap/>
            <w:vAlign w:val="center"/>
          </w:tcPr>
          <w:p w14:paraId="6D4DDCC3">
            <w:pPr>
              <w:pStyle w:val="26"/>
              <w:bidi w:val="0"/>
              <w:jc w:val="center"/>
              <w:rPr>
                <w:rFonts w:hint="eastAsia"/>
                <w:lang w:val="en-US" w:eastAsia="zh-CN"/>
              </w:rPr>
            </w:pPr>
            <w:r>
              <w:t>2950</w:t>
            </w:r>
          </w:p>
        </w:tc>
      </w:tr>
      <w:tr w14:paraId="16BB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8861893">
            <w:pPr>
              <w:pStyle w:val="26"/>
              <w:bidi w:val="0"/>
              <w:jc w:val="center"/>
              <w:rPr>
                <w:rFonts w:hint="eastAsia"/>
                <w:lang w:val="en-US" w:eastAsia="zh-CN"/>
              </w:rPr>
            </w:pPr>
            <w:r>
              <w:rPr>
                <w:rFonts w:hint="default"/>
                <w:lang w:val="en-US" w:eastAsia="zh-CN"/>
              </w:rPr>
              <w:t>121</w:t>
            </w:r>
          </w:p>
        </w:tc>
        <w:tc>
          <w:tcPr>
            <w:tcW w:w="939" w:type="pct"/>
            <w:shd w:val="clear" w:color="auto" w:fill="auto"/>
            <w:noWrap/>
            <w:vAlign w:val="center"/>
          </w:tcPr>
          <w:p w14:paraId="36C25469">
            <w:pPr>
              <w:pStyle w:val="26"/>
              <w:bidi w:val="0"/>
              <w:jc w:val="center"/>
              <w:rPr>
                <w:rFonts w:hint="eastAsia"/>
                <w:lang w:val="en-US" w:eastAsia="zh-CN"/>
              </w:rPr>
            </w:pPr>
            <w:r>
              <w:t>姜夏新村</w:t>
            </w:r>
          </w:p>
        </w:tc>
        <w:tc>
          <w:tcPr>
            <w:tcW w:w="609" w:type="pct"/>
            <w:shd w:val="clear" w:color="auto" w:fill="auto"/>
            <w:vAlign w:val="center"/>
          </w:tcPr>
          <w:p w14:paraId="798B56E5">
            <w:pPr>
              <w:pStyle w:val="26"/>
              <w:bidi w:val="0"/>
              <w:jc w:val="center"/>
              <w:rPr>
                <w:lang w:val="en-US" w:eastAsia="zh-CN"/>
              </w:rPr>
            </w:pPr>
            <w:r>
              <w:t>居民区</w:t>
            </w:r>
          </w:p>
        </w:tc>
        <w:tc>
          <w:tcPr>
            <w:tcW w:w="728" w:type="pct"/>
            <w:shd w:val="clear" w:color="auto" w:fill="auto"/>
            <w:noWrap/>
            <w:vAlign w:val="center"/>
          </w:tcPr>
          <w:p w14:paraId="0E72279D">
            <w:pPr>
              <w:pStyle w:val="26"/>
              <w:bidi w:val="0"/>
              <w:jc w:val="center"/>
              <w:rPr>
                <w:rFonts w:hint="eastAsia"/>
                <w:lang w:val="en-US" w:eastAsia="zh-CN"/>
              </w:rPr>
            </w:pPr>
            <w:r>
              <w:t>1629</w:t>
            </w:r>
          </w:p>
        </w:tc>
        <w:tc>
          <w:tcPr>
            <w:tcW w:w="709" w:type="pct"/>
            <w:vMerge w:val="continue"/>
            <w:vAlign w:val="center"/>
          </w:tcPr>
          <w:p w14:paraId="256E9DC5">
            <w:pPr>
              <w:pStyle w:val="26"/>
              <w:bidi w:val="0"/>
              <w:jc w:val="center"/>
              <w:rPr>
                <w:color w:val="auto"/>
                <w:highlight w:val="none"/>
                <w:lang w:val="en-US" w:eastAsia="zh-CN"/>
              </w:rPr>
            </w:pPr>
          </w:p>
        </w:tc>
        <w:tc>
          <w:tcPr>
            <w:tcW w:w="826" w:type="pct"/>
            <w:shd w:val="clear" w:color="auto" w:fill="auto"/>
            <w:noWrap/>
            <w:vAlign w:val="center"/>
          </w:tcPr>
          <w:p w14:paraId="205E1040">
            <w:pPr>
              <w:pStyle w:val="26"/>
              <w:bidi w:val="0"/>
              <w:jc w:val="center"/>
              <w:rPr>
                <w:rFonts w:hint="eastAsia"/>
                <w:lang w:val="en-US" w:eastAsia="zh-CN"/>
              </w:rPr>
            </w:pPr>
            <w:r>
              <w:t>西南</w:t>
            </w:r>
          </w:p>
        </w:tc>
        <w:tc>
          <w:tcPr>
            <w:tcW w:w="826" w:type="pct"/>
            <w:shd w:val="clear" w:color="auto" w:fill="auto"/>
            <w:noWrap/>
            <w:vAlign w:val="center"/>
          </w:tcPr>
          <w:p w14:paraId="04F9DE29">
            <w:pPr>
              <w:pStyle w:val="26"/>
              <w:bidi w:val="0"/>
              <w:jc w:val="center"/>
              <w:rPr>
                <w:rFonts w:hint="eastAsia"/>
                <w:lang w:val="en-US" w:eastAsia="zh-CN"/>
              </w:rPr>
            </w:pPr>
            <w:r>
              <w:t>3206</w:t>
            </w:r>
          </w:p>
        </w:tc>
      </w:tr>
      <w:tr w14:paraId="0AB2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A5CE8CF">
            <w:pPr>
              <w:pStyle w:val="26"/>
              <w:bidi w:val="0"/>
              <w:jc w:val="center"/>
              <w:rPr>
                <w:rFonts w:hint="eastAsia"/>
                <w:lang w:val="en-US" w:eastAsia="zh-CN"/>
              </w:rPr>
            </w:pPr>
            <w:r>
              <w:rPr>
                <w:rFonts w:hint="default"/>
                <w:lang w:val="en-US" w:eastAsia="zh-CN"/>
              </w:rPr>
              <w:t>122</w:t>
            </w:r>
          </w:p>
        </w:tc>
        <w:tc>
          <w:tcPr>
            <w:tcW w:w="939" w:type="pct"/>
            <w:shd w:val="clear" w:color="auto" w:fill="auto"/>
            <w:noWrap/>
            <w:vAlign w:val="center"/>
          </w:tcPr>
          <w:p w14:paraId="724841F1">
            <w:pPr>
              <w:pStyle w:val="26"/>
              <w:bidi w:val="0"/>
              <w:jc w:val="center"/>
              <w:rPr>
                <w:rFonts w:hint="eastAsia"/>
                <w:lang w:val="en-US" w:eastAsia="zh-CN"/>
              </w:rPr>
            </w:pPr>
            <w:r>
              <w:t>花溪.悦里</w:t>
            </w:r>
          </w:p>
        </w:tc>
        <w:tc>
          <w:tcPr>
            <w:tcW w:w="609" w:type="pct"/>
            <w:shd w:val="clear" w:color="auto" w:fill="auto"/>
            <w:vAlign w:val="center"/>
          </w:tcPr>
          <w:p w14:paraId="4C595521">
            <w:pPr>
              <w:pStyle w:val="26"/>
              <w:bidi w:val="0"/>
              <w:jc w:val="center"/>
              <w:rPr>
                <w:lang w:val="en-US" w:eastAsia="zh-CN"/>
              </w:rPr>
            </w:pPr>
            <w:r>
              <w:t>居民区</w:t>
            </w:r>
          </w:p>
        </w:tc>
        <w:tc>
          <w:tcPr>
            <w:tcW w:w="728" w:type="pct"/>
            <w:shd w:val="clear" w:color="auto" w:fill="auto"/>
            <w:noWrap/>
            <w:vAlign w:val="center"/>
          </w:tcPr>
          <w:p w14:paraId="74FA2EFE">
            <w:pPr>
              <w:pStyle w:val="26"/>
              <w:bidi w:val="0"/>
              <w:jc w:val="center"/>
              <w:rPr>
                <w:rFonts w:hint="eastAsia"/>
                <w:lang w:val="en-US" w:eastAsia="zh-CN"/>
              </w:rPr>
            </w:pPr>
            <w:r>
              <w:t>650</w:t>
            </w:r>
          </w:p>
        </w:tc>
        <w:tc>
          <w:tcPr>
            <w:tcW w:w="709" w:type="pct"/>
            <w:vMerge w:val="continue"/>
            <w:vAlign w:val="center"/>
          </w:tcPr>
          <w:p w14:paraId="780A23B6">
            <w:pPr>
              <w:pStyle w:val="26"/>
              <w:bidi w:val="0"/>
              <w:jc w:val="center"/>
              <w:rPr>
                <w:color w:val="auto"/>
                <w:highlight w:val="none"/>
                <w:lang w:val="en-US" w:eastAsia="zh-CN"/>
              </w:rPr>
            </w:pPr>
          </w:p>
        </w:tc>
        <w:tc>
          <w:tcPr>
            <w:tcW w:w="826" w:type="pct"/>
            <w:shd w:val="clear" w:color="auto" w:fill="auto"/>
            <w:noWrap/>
            <w:vAlign w:val="center"/>
          </w:tcPr>
          <w:p w14:paraId="47A3EBF6">
            <w:pPr>
              <w:pStyle w:val="26"/>
              <w:bidi w:val="0"/>
              <w:jc w:val="center"/>
              <w:rPr>
                <w:rFonts w:hint="eastAsia"/>
                <w:lang w:val="en-US" w:eastAsia="zh-CN"/>
              </w:rPr>
            </w:pPr>
            <w:r>
              <w:t>西南</w:t>
            </w:r>
          </w:p>
        </w:tc>
        <w:tc>
          <w:tcPr>
            <w:tcW w:w="826" w:type="pct"/>
            <w:shd w:val="clear" w:color="auto" w:fill="auto"/>
            <w:noWrap/>
            <w:vAlign w:val="center"/>
          </w:tcPr>
          <w:p w14:paraId="724A62D7">
            <w:pPr>
              <w:pStyle w:val="26"/>
              <w:bidi w:val="0"/>
              <w:jc w:val="center"/>
              <w:rPr>
                <w:rFonts w:hint="eastAsia"/>
                <w:lang w:val="en-US" w:eastAsia="zh-CN"/>
              </w:rPr>
            </w:pPr>
            <w:r>
              <w:t>3110</w:t>
            </w:r>
          </w:p>
        </w:tc>
      </w:tr>
      <w:tr w14:paraId="0AE4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3FF197F">
            <w:pPr>
              <w:pStyle w:val="26"/>
              <w:bidi w:val="0"/>
              <w:jc w:val="center"/>
              <w:rPr>
                <w:rFonts w:hint="eastAsia"/>
                <w:lang w:val="en-US" w:eastAsia="zh-CN"/>
              </w:rPr>
            </w:pPr>
            <w:r>
              <w:rPr>
                <w:rFonts w:hint="default"/>
                <w:lang w:val="en-US" w:eastAsia="zh-CN"/>
              </w:rPr>
              <w:t>123</w:t>
            </w:r>
          </w:p>
        </w:tc>
        <w:tc>
          <w:tcPr>
            <w:tcW w:w="939" w:type="pct"/>
            <w:shd w:val="clear" w:color="auto" w:fill="auto"/>
            <w:noWrap/>
            <w:vAlign w:val="center"/>
          </w:tcPr>
          <w:p w14:paraId="19F9A5A9">
            <w:pPr>
              <w:pStyle w:val="26"/>
              <w:bidi w:val="0"/>
              <w:jc w:val="center"/>
              <w:rPr>
                <w:rFonts w:hint="eastAsia"/>
                <w:lang w:val="en-US" w:eastAsia="zh-CN"/>
              </w:rPr>
            </w:pPr>
            <w:r>
              <w:t>绿地青青家园繁华里</w:t>
            </w:r>
          </w:p>
        </w:tc>
        <w:tc>
          <w:tcPr>
            <w:tcW w:w="609" w:type="pct"/>
            <w:shd w:val="clear" w:color="auto" w:fill="auto"/>
            <w:vAlign w:val="center"/>
          </w:tcPr>
          <w:p w14:paraId="59F22A90">
            <w:pPr>
              <w:pStyle w:val="26"/>
              <w:bidi w:val="0"/>
              <w:jc w:val="center"/>
              <w:rPr>
                <w:lang w:val="en-US" w:eastAsia="zh-CN"/>
              </w:rPr>
            </w:pPr>
            <w:r>
              <w:t>居民区</w:t>
            </w:r>
          </w:p>
        </w:tc>
        <w:tc>
          <w:tcPr>
            <w:tcW w:w="728" w:type="pct"/>
            <w:shd w:val="clear" w:color="auto" w:fill="auto"/>
            <w:noWrap/>
            <w:vAlign w:val="center"/>
          </w:tcPr>
          <w:p w14:paraId="2D88A5A8">
            <w:pPr>
              <w:pStyle w:val="26"/>
              <w:bidi w:val="0"/>
              <w:jc w:val="center"/>
              <w:rPr>
                <w:rFonts w:hint="eastAsia"/>
                <w:lang w:val="en-US" w:eastAsia="zh-CN"/>
              </w:rPr>
            </w:pPr>
            <w:r>
              <w:t>5178</w:t>
            </w:r>
          </w:p>
        </w:tc>
        <w:tc>
          <w:tcPr>
            <w:tcW w:w="709" w:type="pct"/>
            <w:vMerge w:val="continue"/>
            <w:vAlign w:val="center"/>
          </w:tcPr>
          <w:p w14:paraId="59B0A40C">
            <w:pPr>
              <w:pStyle w:val="26"/>
              <w:bidi w:val="0"/>
              <w:jc w:val="center"/>
              <w:rPr>
                <w:color w:val="auto"/>
                <w:highlight w:val="none"/>
                <w:lang w:val="en-US" w:eastAsia="zh-CN"/>
              </w:rPr>
            </w:pPr>
          </w:p>
        </w:tc>
        <w:tc>
          <w:tcPr>
            <w:tcW w:w="826" w:type="pct"/>
            <w:shd w:val="clear" w:color="auto" w:fill="auto"/>
            <w:noWrap/>
            <w:vAlign w:val="center"/>
          </w:tcPr>
          <w:p w14:paraId="427820EF">
            <w:pPr>
              <w:pStyle w:val="26"/>
              <w:bidi w:val="0"/>
              <w:jc w:val="center"/>
              <w:rPr>
                <w:rFonts w:hint="eastAsia"/>
                <w:lang w:val="en-US" w:eastAsia="zh-CN"/>
              </w:rPr>
            </w:pPr>
            <w:r>
              <w:t>西南</w:t>
            </w:r>
          </w:p>
        </w:tc>
        <w:tc>
          <w:tcPr>
            <w:tcW w:w="826" w:type="pct"/>
            <w:shd w:val="clear" w:color="auto" w:fill="auto"/>
            <w:noWrap/>
            <w:vAlign w:val="center"/>
          </w:tcPr>
          <w:p w14:paraId="04476F6B">
            <w:pPr>
              <w:pStyle w:val="26"/>
              <w:bidi w:val="0"/>
              <w:jc w:val="center"/>
              <w:rPr>
                <w:rFonts w:hint="eastAsia"/>
                <w:lang w:val="en-US" w:eastAsia="zh-CN"/>
              </w:rPr>
            </w:pPr>
            <w:r>
              <w:t>3210</w:t>
            </w:r>
          </w:p>
        </w:tc>
      </w:tr>
      <w:tr w14:paraId="0E17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6FB82A3">
            <w:pPr>
              <w:pStyle w:val="26"/>
              <w:bidi w:val="0"/>
              <w:jc w:val="center"/>
              <w:rPr>
                <w:rFonts w:hint="eastAsia"/>
                <w:lang w:val="en-US" w:eastAsia="zh-CN"/>
              </w:rPr>
            </w:pPr>
            <w:r>
              <w:rPr>
                <w:rFonts w:hint="default"/>
                <w:lang w:val="en-US" w:eastAsia="zh-CN"/>
              </w:rPr>
              <w:t>124</w:t>
            </w:r>
          </w:p>
        </w:tc>
        <w:tc>
          <w:tcPr>
            <w:tcW w:w="939" w:type="pct"/>
            <w:shd w:val="clear" w:color="auto" w:fill="auto"/>
            <w:noWrap/>
            <w:vAlign w:val="center"/>
          </w:tcPr>
          <w:p w14:paraId="5667D1D3">
            <w:pPr>
              <w:pStyle w:val="26"/>
              <w:bidi w:val="0"/>
              <w:jc w:val="center"/>
              <w:rPr>
                <w:rFonts w:hint="eastAsia"/>
                <w:lang w:val="en-US" w:eastAsia="zh-CN"/>
              </w:rPr>
            </w:pPr>
            <w:r>
              <w:t>朗绿花园</w:t>
            </w:r>
          </w:p>
        </w:tc>
        <w:tc>
          <w:tcPr>
            <w:tcW w:w="609" w:type="pct"/>
            <w:shd w:val="clear" w:color="auto" w:fill="auto"/>
            <w:vAlign w:val="center"/>
          </w:tcPr>
          <w:p w14:paraId="0E6F5620">
            <w:pPr>
              <w:pStyle w:val="26"/>
              <w:bidi w:val="0"/>
              <w:jc w:val="center"/>
              <w:rPr>
                <w:lang w:val="en-US" w:eastAsia="zh-CN"/>
              </w:rPr>
            </w:pPr>
            <w:r>
              <w:t>居民区</w:t>
            </w:r>
          </w:p>
        </w:tc>
        <w:tc>
          <w:tcPr>
            <w:tcW w:w="728" w:type="pct"/>
            <w:shd w:val="clear" w:color="auto" w:fill="auto"/>
            <w:noWrap/>
            <w:vAlign w:val="center"/>
          </w:tcPr>
          <w:p w14:paraId="5491C818">
            <w:pPr>
              <w:pStyle w:val="26"/>
              <w:bidi w:val="0"/>
              <w:jc w:val="center"/>
              <w:rPr>
                <w:rFonts w:hint="eastAsia"/>
                <w:lang w:val="en-US" w:eastAsia="zh-CN"/>
              </w:rPr>
            </w:pPr>
            <w:r>
              <w:t>888</w:t>
            </w:r>
          </w:p>
        </w:tc>
        <w:tc>
          <w:tcPr>
            <w:tcW w:w="709" w:type="pct"/>
            <w:vMerge w:val="continue"/>
            <w:vAlign w:val="center"/>
          </w:tcPr>
          <w:p w14:paraId="7FC03874">
            <w:pPr>
              <w:pStyle w:val="26"/>
              <w:bidi w:val="0"/>
              <w:jc w:val="center"/>
              <w:rPr>
                <w:color w:val="auto"/>
                <w:highlight w:val="none"/>
                <w:lang w:val="en-US" w:eastAsia="zh-CN"/>
              </w:rPr>
            </w:pPr>
          </w:p>
        </w:tc>
        <w:tc>
          <w:tcPr>
            <w:tcW w:w="826" w:type="pct"/>
            <w:shd w:val="clear" w:color="auto" w:fill="auto"/>
            <w:noWrap/>
            <w:vAlign w:val="center"/>
          </w:tcPr>
          <w:p w14:paraId="741EC555">
            <w:pPr>
              <w:pStyle w:val="26"/>
              <w:bidi w:val="0"/>
              <w:jc w:val="center"/>
              <w:rPr>
                <w:rFonts w:hint="eastAsia"/>
                <w:lang w:val="en-US" w:eastAsia="zh-CN"/>
              </w:rPr>
            </w:pPr>
            <w:r>
              <w:t>西南</w:t>
            </w:r>
          </w:p>
        </w:tc>
        <w:tc>
          <w:tcPr>
            <w:tcW w:w="826" w:type="pct"/>
            <w:shd w:val="clear" w:color="auto" w:fill="auto"/>
            <w:noWrap/>
            <w:vAlign w:val="center"/>
          </w:tcPr>
          <w:p w14:paraId="43B2A992">
            <w:pPr>
              <w:pStyle w:val="26"/>
              <w:bidi w:val="0"/>
              <w:jc w:val="center"/>
              <w:rPr>
                <w:rFonts w:hint="eastAsia"/>
                <w:lang w:val="en-US" w:eastAsia="zh-CN"/>
              </w:rPr>
            </w:pPr>
            <w:r>
              <w:t>2901</w:t>
            </w:r>
          </w:p>
        </w:tc>
      </w:tr>
      <w:tr w14:paraId="7840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E0EDE78">
            <w:pPr>
              <w:pStyle w:val="26"/>
              <w:bidi w:val="0"/>
              <w:jc w:val="center"/>
              <w:rPr>
                <w:rFonts w:hint="eastAsia"/>
                <w:lang w:val="en-US" w:eastAsia="zh-CN"/>
              </w:rPr>
            </w:pPr>
            <w:r>
              <w:rPr>
                <w:rFonts w:hint="default"/>
                <w:lang w:val="en-US" w:eastAsia="zh-CN"/>
              </w:rPr>
              <w:t>125</w:t>
            </w:r>
          </w:p>
        </w:tc>
        <w:tc>
          <w:tcPr>
            <w:tcW w:w="939" w:type="pct"/>
            <w:shd w:val="clear" w:color="auto" w:fill="auto"/>
            <w:noWrap/>
            <w:vAlign w:val="center"/>
          </w:tcPr>
          <w:p w14:paraId="7672B5CE">
            <w:pPr>
              <w:pStyle w:val="26"/>
              <w:bidi w:val="0"/>
              <w:jc w:val="center"/>
              <w:rPr>
                <w:rFonts w:hint="eastAsia"/>
                <w:lang w:val="en-US" w:eastAsia="zh-CN"/>
              </w:rPr>
            </w:pPr>
            <w:r>
              <w:t>金城花园</w:t>
            </w:r>
          </w:p>
        </w:tc>
        <w:tc>
          <w:tcPr>
            <w:tcW w:w="609" w:type="pct"/>
            <w:shd w:val="clear" w:color="auto" w:fill="auto"/>
            <w:vAlign w:val="center"/>
          </w:tcPr>
          <w:p w14:paraId="1D8ABFFC">
            <w:pPr>
              <w:pStyle w:val="26"/>
              <w:bidi w:val="0"/>
              <w:jc w:val="center"/>
              <w:rPr>
                <w:lang w:val="en-US" w:eastAsia="zh-CN"/>
              </w:rPr>
            </w:pPr>
            <w:r>
              <w:t>居民区</w:t>
            </w:r>
          </w:p>
        </w:tc>
        <w:tc>
          <w:tcPr>
            <w:tcW w:w="728" w:type="pct"/>
            <w:shd w:val="clear" w:color="auto" w:fill="auto"/>
            <w:noWrap/>
            <w:vAlign w:val="center"/>
          </w:tcPr>
          <w:p w14:paraId="3216C4C0">
            <w:pPr>
              <w:pStyle w:val="26"/>
              <w:bidi w:val="0"/>
              <w:jc w:val="center"/>
              <w:rPr>
                <w:rFonts w:hint="eastAsia"/>
                <w:lang w:val="en-US" w:eastAsia="zh-CN"/>
              </w:rPr>
            </w:pPr>
            <w:r>
              <w:t>4164</w:t>
            </w:r>
          </w:p>
        </w:tc>
        <w:tc>
          <w:tcPr>
            <w:tcW w:w="709" w:type="pct"/>
            <w:vMerge w:val="continue"/>
            <w:vAlign w:val="center"/>
          </w:tcPr>
          <w:p w14:paraId="2AB94B76">
            <w:pPr>
              <w:pStyle w:val="26"/>
              <w:bidi w:val="0"/>
              <w:jc w:val="center"/>
              <w:rPr>
                <w:color w:val="auto"/>
                <w:highlight w:val="none"/>
                <w:lang w:val="en-US" w:eastAsia="zh-CN"/>
              </w:rPr>
            </w:pPr>
          </w:p>
        </w:tc>
        <w:tc>
          <w:tcPr>
            <w:tcW w:w="826" w:type="pct"/>
            <w:shd w:val="clear" w:color="auto" w:fill="auto"/>
            <w:noWrap/>
            <w:vAlign w:val="center"/>
          </w:tcPr>
          <w:p w14:paraId="1E31FF5A">
            <w:pPr>
              <w:pStyle w:val="26"/>
              <w:bidi w:val="0"/>
              <w:jc w:val="center"/>
              <w:rPr>
                <w:rFonts w:hint="eastAsia"/>
                <w:lang w:val="en-US" w:eastAsia="zh-CN"/>
              </w:rPr>
            </w:pPr>
            <w:r>
              <w:t>西南</w:t>
            </w:r>
          </w:p>
        </w:tc>
        <w:tc>
          <w:tcPr>
            <w:tcW w:w="826" w:type="pct"/>
            <w:shd w:val="clear" w:color="auto" w:fill="auto"/>
            <w:noWrap/>
            <w:vAlign w:val="center"/>
          </w:tcPr>
          <w:p w14:paraId="4F0DF887">
            <w:pPr>
              <w:pStyle w:val="26"/>
              <w:bidi w:val="0"/>
              <w:jc w:val="center"/>
              <w:rPr>
                <w:rFonts w:hint="eastAsia"/>
                <w:lang w:val="en-US" w:eastAsia="zh-CN"/>
              </w:rPr>
            </w:pPr>
            <w:r>
              <w:t>3504</w:t>
            </w:r>
          </w:p>
        </w:tc>
      </w:tr>
      <w:tr w14:paraId="3B65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1C14F57">
            <w:pPr>
              <w:pStyle w:val="26"/>
              <w:bidi w:val="0"/>
              <w:jc w:val="center"/>
              <w:rPr>
                <w:rFonts w:hint="eastAsia"/>
                <w:lang w:val="en-US" w:eastAsia="zh-CN"/>
              </w:rPr>
            </w:pPr>
            <w:r>
              <w:rPr>
                <w:rFonts w:hint="default"/>
                <w:lang w:val="en-US" w:eastAsia="zh-CN"/>
              </w:rPr>
              <w:t>126</w:t>
            </w:r>
          </w:p>
        </w:tc>
        <w:tc>
          <w:tcPr>
            <w:tcW w:w="939" w:type="pct"/>
            <w:shd w:val="clear" w:color="auto" w:fill="auto"/>
            <w:noWrap/>
            <w:vAlign w:val="center"/>
          </w:tcPr>
          <w:p w14:paraId="2FEEE096">
            <w:pPr>
              <w:pStyle w:val="26"/>
              <w:bidi w:val="0"/>
              <w:jc w:val="center"/>
              <w:rPr>
                <w:rFonts w:hint="eastAsia"/>
                <w:lang w:val="en-US" w:eastAsia="zh-CN"/>
              </w:rPr>
            </w:pPr>
            <w:r>
              <w:t>花都新村</w:t>
            </w:r>
          </w:p>
        </w:tc>
        <w:tc>
          <w:tcPr>
            <w:tcW w:w="609" w:type="pct"/>
            <w:shd w:val="clear" w:color="auto" w:fill="auto"/>
            <w:vAlign w:val="center"/>
          </w:tcPr>
          <w:p w14:paraId="63B4AAA5">
            <w:pPr>
              <w:pStyle w:val="26"/>
              <w:bidi w:val="0"/>
              <w:jc w:val="center"/>
              <w:rPr>
                <w:lang w:val="en-US" w:eastAsia="zh-CN"/>
              </w:rPr>
            </w:pPr>
            <w:r>
              <w:t>居民区</w:t>
            </w:r>
          </w:p>
        </w:tc>
        <w:tc>
          <w:tcPr>
            <w:tcW w:w="728" w:type="pct"/>
            <w:shd w:val="clear" w:color="auto" w:fill="auto"/>
            <w:noWrap/>
            <w:vAlign w:val="center"/>
          </w:tcPr>
          <w:p w14:paraId="462FF981">
            <w:pPr>
              <w:pStyle w:val="26"/>
              <w:bidi w:val="0"/>
              <w:jc w:val="center"/>
              <w:rPr>
                <w:rFonts w:hint="eastAsia"/>
                <w:lang w:val="en-US" w:eastAsia="zh-CN"/>
              </w:rPr>
            </w:pPr>
            <w:r>
              <w:t>207</w:t>
            </w:r>
          </w:p>
        </w:tc>
        <w:tc>
          <w:tcPr>
            <w:tcW w:w="709" w:type="pct"/>
            <w:vMerge w:val="continue"/>
            <w:vAlign w:val="center"/>
          </w:tcPr>
          <w:p w14:paraId="07AB7372">
            <w:pPr>
              <w:pStyle w:val="26"/>
              <w:bidi w:val="0"/>
              <w:jc w:val="center"/>
              <w:rPr>
                <w:color w:val="auto"/>
                <w:highlight w:val="none"/>
                <w:lang w:val="en-US" w:eastAsia="zh-CN"/>
              </w:rPr>
            </w:pPr>
          </w:p>
        </w:tc>
        <w:tc>
          <w:tcPr>
            <w:tcW w:w="826" w:type="pct"/>
            <w:shd w:val="clear" w:color="auto" w:fill="auto"/>
            <w:noWrap/>
            <w:vAlign w:val="center"/>
          </w:tcPr>
          <w:p w14:paraId="425B191E">
            <w:pPr>
              <w:pStyle w:val="26"/>
              <w:bidi w:val="0"/>
              <w:jc w:val="center"/>
              <w:rPr>
                <w:rFonts w:hint="eastAsia"/>
                <w:lang w:val="en-US" w:eastAsia="zh-CN"/>
              </w:rPr>
            </w:pPr>
            <w:r>
              <w:t>西南</w:t>
            </w:r>
          </w:p>
        </w:tc>
        <w:tc>
          <w:tcPr>
            <w:tcW w:w="826" w:type="pct"/>
            <w:shd w:val="clear" w:color="auto" w:fill="auto"/>
            <w:noWrap/>
            <w:vAlign w:val="center"/>
          </w:tcPr>
          <w:p w14:paraId="448C2CE8">
            <w:pPr>
              <w:pStyle w:val="26"/>
              <w:bidi w:val="0"/>
              <w:jc w:val="center"/>
              <w:rPr>
                <w:rFonts w:hint="eastAsia"/>
                <w:lang w:val="en-US" w:eastAsia="zh-CN"/>
              </w:rPr>
            </w:pPr>
            <w:r>
              <w:t>2405</w:t>
            </w:r>
          </w:p>
        </w:tc>
      </w:tr>
      <w:tr w14:paraId="309D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F624B16">
            <w:pPr>
              <w:pStyle w:val="26"/>
              <w:bidi w:val="0"/>
              <w:jc w:val="center"/>
              <w:rPr>
                <w:rFonts w:hint="eastAsia"/>
                <w:lang w:val="en-US" w:eastAsia="zh-CN"/>
              </w:rPr>
            </w:pPr>
            <w:r>
              <w:rPr>
                <w:rFonts w:hint="default"/>
                <w:lang w:val="en-US" w:eastAsia="zh-CN"/>
              </w:rPr>
              <w:t>127</w:t>
            </w:r>
          </w:p>
        </w:tc>
        <w:tc>
          <w:tcPr>
            <w:tcW w:w="939" w:type="pct"/>
            <w:shd w:val="clear" w:color="auto" w:fill="auto"/>
            <w:noWrap/>
            <w:vAlign w:val="center"/>
          </w:tcPr>
          <w:p w14:paraId="071A865B">
            <w:pPr>
              <w:pStyle w:val="26"/>
              <w:bidi w:val="0"/>
              <w:jc w:val="center"/>
              <w:rPr>
                <w:rFonts w:hint="eastAsia"/>
                <w:lang w:val="en-US" w:eastAsia="zh-CN"/>
              </w:rPr>
            </w:pPr>
            <w:r>
              <w:t>机关住宅楼</w:t>
            </w:r>
          </w:p>
        </w:tc>
        <w:tc>
          <w:tcPr>
            <w:tcW w:w="609" w:type="pct"/>
            <w:shd w:val="clear" w:color="auto" w:fill="auto"/>
            <w:vAlign w:val="center"/>
          </w:tcPr>
          <w:p w14:paraId="1AACCF67">
            <w:pPr>
              <w:pStyle w:val="26"/>
              <w:bidi w:val="0"/>
              <w:jc w:val="center"/>
              <w:rPr>
                <w:lang w:val="en-US" w:eastAsia="zh-CN"/>
              </w:rPr>
            </w:pPr>
            <w:r>
              <w:t>居民区</w:t>
            </w:r>
          </w:p>
        </w:tc>
        <w:tc>
          <w:tcPr>
            <w:tcW w:w="728" w:type="pct"/>
            <w:shd w:val="clear" w:color="auto" w:fill="auto"/>
            <w:noWrap/>
            <w:vAlign w:val="center"/>
          </w:tcPr>
          <w:p w14:paraId="67AA0B5F">
            <w:pPr>
              <w:pStyle w:val="26"/>
              <w:bidi w:val="0"/>
              <w:jc w:val="center"/>
              <w:rPr>
                <w:rFonts w:hint="eastAsia"/>
                <w:lang w:val="en-US" w:eastAsia="zh-CN"/>
              </w:rPr>
            </w:pPr>
            <w:r>
              <w:t>300</w:t>
            </w:r>
          </w:p>
        </w:tc>
        <w:tc>
          <w:tcPr>
            <w:tcW w:w="709" w:type="pct"/>
            <w:vMerge w:val="continue"/>
            <w:vAlign w:val="center"/>
          </w:tcPr>
          <w:p w14:paraId="46566758">
            <w:pPr>
              <w:pStyle w:val="26"/>
              <w:bidi w:val="0"/>
              <w:jc w:val="center"/>
              <w:rPr>
                <w:color w:val="auto"/>
                <w:highlight w:val="none"/>
                <w:lang w:val="en-US" w:eastAsia="zh-CN"/>
              </w:rPr>
            </w:pPr>
          </w:p>
        </w:tc>
        <w:tc>
          <w:tcPr>
            <w:tcW w:w="826" w:type="pct"/>
            <w:shd w:val="clear" w:color="auto" w:fill="auto"/>
            <w:noWrap/>
            <w:vAlign w:val="center"/>
          </w:tcPr>
          <w:p w14:paraId="0D926DC7">
            <w:pPr>
              <w:pStyle w:val="26"/>
              <w:bidi w:val="0"/>
              <w:jc w:val="center"/>
              <w:rPr>
                <w:rFonts w:hint="eastAsia"/>
                <w:lang w:val="en-US" w:eastAsia="zh-CN"/>
              </w:rPr>
            </w:pPr>
            <w:r>
              <w:t>西南</w:t>
            </w:r>
          </w:p>
        </w:tc>
        <w:tc>
          <w:tcPr>
            <w:tcW w:w="826" w:type="pct"/>
            <w:shd w:val="clear" w:color="auto" w:fill="auto"/>
            <w:noWrap/>
            <w:vAlign w:val="center"/>
          </w:tcPr>
          <w:p w14:paraId="14FA9129">
            <w:pPr>
              <w:pStyle w:val="26"/>
              <w:bidi w:val="0"/>
              <w:jc w:val="center"/>
              <w:rPr>
                <w:rFonts w:hint="eastAsia"/>
                <w:lang w:val="en-US" w:eastAsia="zh-CN"/>
              </w:rPr>
            </w:pPr>
            <w:r>
              <w:t>2365</w:t>
            </w:r>
          </w:p>
        </w:tc>
      </w:tr>
      <w:tr w14:paraId="46B0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197DF3A">
            <w:pPr>
              <w:pStyle w:val="26"/>
              <w:bidi w:val="0"/>
              <w:jc w:val="center"/>
              <w:rPr>
                <w:rFonts w:hint="eastAsia"/>
                <w:lang w:val="en-US" w:eastAsia="zh-CN"/>
              </w:rPr>
            </w:pPr>
            <w:r>
              <w:rPr>
                <w:rFonts w:hint="default"/>
                <w:lang w:val="en-US" w:eastAsia="zh-CN"/>
              </w:rPr>
              <w:t>128</w:t>
            </w:r>
          </w:p>
        </w:tc>
        <w:tc>
          <w:tcPr>
            <w:tcW w:w="939" w:type="pct"/>
            <w:shd w:val="clear" w:color="auto" w:fill="auto"/>
            <w:noWrap/>
            <w:vAlign w:val="center"/>
          </w:tcPr>
          <w:p w14:paraId="32337EC5">
            <w:pPr>
              <w:pStyle w:val="26"/>
              <w:bidi w:val="0"/>
              <w:jc w:val="center"/>
              <w:rPr>
                <w:rFonts w:hint="eastAsia"/>
                <w:lang w:val="en-US" w:eastAsia="zh-CN"/>
              </w:rPr>
            </w:pPr>
            <w:r>
              <w:t>光明新村北区</w:t>
            </w:r>
          </w:p>
        </w:tc>
        <w:tc>
          <w:tcPr>
            <w:tcW w:w="609" w:type="pct"/>
            <w:shd w:val="clear" w:color="auto" w:fill="auto"/>
            <w:vAlign w:val="center"/>
          </w:tcPr>
          <w:p w14:paraId="602FC33A">
            <w:pPr>
              <w:pStyle w:val="26"/>
              <w:bidi w:val="0"/>
              <w:jc w:val="center"/>
              <w:rPr>
                <w:lang w:val="en-US" w:eastAsia="zh-CN"/>
              </w:rPr>
            </w:pPr>
            <w:r>
              <w:t>居民区</w:t>
            </w:r>
          </w:p>
        </w:tc>
        <w:tc>
          <w:tcPr>
            <w:tcW w:w="728" w:type="pct"/>
            <w:shd w:val="clear" w:color="auto" w:fill="auto"/>
            <w:noWrap/>
            <w:vAlign w:val="center"/>
          </w:tcPr>
          <w:p w14:paraId="6C0A57A1">
            <w:pPr>
              <w:pStyle w:val="26"/>
              <w:bidi w:val="0"/>
              <w:jc w:val="center"/>
              <w:rPr>
                <w:rFonts w:hint="eastAsia"/>
                <w:lang w:val="en-US" w:eastAsia="zh-CN"/>
              </w:rPr>
            </w:pPr>
            <w:r>
              <w:t>684</w:t>
            </w:r>
          </w:p>
        </w:tc>
        <w:tc>
          <w:tcPr>
            <w:tcW w:w="709" w:type="pct"/>
            <w:vMerge w:val="continue"/>
            <w:vAlign w:val="center"/>
          </w:tcPr>
          <w:p w14:paraId="43E76A99">
            <w:pPr>
              <w:pStyle w:val="26"/>
              <w:bidi w:val="0"/>
              <w:jc w:val="center"/>
              <w:rPr>
                <w:color w:val="auto"/>
                <w:highlight w:val="none"/>
                <w:lang w:val="en-US" w:eastAsia="zh-CN"/>
              </w:rPr>
            </w:pPr>
          </w:p>
        </w:tc>
        <w:tc>
          <w:tcPr>
            <w:tcW w:w="826" w:type="pct"/>
            <w:shd w:val="clear" w:color="auto" w:fill="auto"/>
            <w:noWrap/>
            <w:vAlign w:val="center"/>
          </w:tcPr>
          <w:p w14:paraId="620ABDCB">
            <w:pPr>
              <w:pStyle w:val="26"/>
              <w:bidi w:val="0"/>
              <w:jc w:val="center"/>
              <w:rPr>
                <w:rFonts w:hint="eastAsia"/>
                <w:lang w:val="en-US" w:eastAsia="zh-CN"/>
              </w:rPr>
            </w:pPr>
            <w:r>
              <w:t>西南</w:t>
            </w:r>
          </w:p>
        </w:tc>
        <w:tc>
          <w:tcPr>
            <w:tcW w:w="826" w:type="pct"/>
            <w:shd w:val="clear" w:color="auto" w:fill="auto"/>
            <w:noWrap/>
            <w:vAlign w:val="center"/>
          </w:tcPr>
          <w:p w14:paraId="545FE582">
            <w:pPr>
              <w:pStyle w:val="26"/>
              <w:bidi w:val="0"/>
              <w:jc w:val="center"/>
              <w:rPr>
                <w:rFonts w:hint="eastAsia"/>
                <w:lang w:val="en-US" w:eastAsia="zh-CN"/>
              </w:rPr>
            </w:pPr>
            <w:r>
              <w:t>2635</w:t>
            </w:r>
          </w:p>
        </w:tc>
      </w:tr>
      <w:tr w14:paraId="4D29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2E38D2F">
            <w:pPr>
              <w:pStyle w:val="26"/>
              <w:bidi w:val="0"/>
              <w:jc w:val="center"/>
              <w:rPr>
                <w:rFonts w:hint="eastAsia"/>
                <w:lang w:val="en-US" w:eastAsia="zh-CN"/>
              </w:rPr>
            </w:pPr>
            <w:r>
              <w:rPr>
                <w:rFonts w:hint="default"/>
                <w:lang w:val="en-US" w:eastAsia="zh-CN"/>
              </w:rPr>
              <w:t>129</w:t>
            </w:r>
          </w:p>
        </w:tc>
        <w:tc>
          <w:tcPr>
            <w:tcW w:w="939" w:type="pct"/>
            <w:shd w:val="clear" w:color="auto" w:fill="auto"/>
            <w:noWrap/>
            <w:vAlign w:val="center"/>
          </w:tcPr>
          <w:p w14:paraId="0D1AE1EE">
            <w:pPr>
              <w:pStyle w:val="26"/>
              <w:bidi w:val="0"/>
              <w:jc w:val="center"/>
              <w:rPr>
                <w:rFonts w:hint="eastAsia"/>
                <w:lang w:val="en-US" w:eastAsia="zh-CN"/>
              </w:rPr>
            </w:pPr>
            <w:r>
              <w:t>光明新村南区</w:t>
            </w:r>
          </w:p>
        </w:tc>
        <w:tc>
          <w:tcPr>
            <w:tcW w:w="609" w:type="pct"/>
            <w:shd w:val="clear" w:color="auto" w:fill="auto"/>
            <w:vAlign w:val="center"/>
          </w:tcPr>
          <w:p w14:paraId="3AEB8E00">
            <w:pPr>
              <w:pStyle w:val="26"/>
              <w:bidi w:val="0"/>
              <w:jc w:val="center"/>
              <w:rPr>
                <w:lang w:val="en-US" w:eastAsia="zh-CN"/>
              </w:rPr>
            </w:pPr>
            <w:r>
              <w:t>居民区</w:t>
            </w:r>
          </w:p>
        </w:tc>
        <w:tc>
          <w:tcPr>
            <w:tcW w:w="728" w:type="pct"/>
            <w:shd w:val="clear" w:color="auto" w:fill="auto"/>
            <w:noWrap/>
            <w:vAlign w:val="center"/>
          </w:tcPr>
          <w:p w14:paraId="740B9880">
            <w:pPr>
              <w:pStyle w:val="26"/>
              <w:bidi w:val="0"/>
              <w:jc w:val="center"/>
              <w:rPr>
                <w:rFonts w:hint="eastAsia"/>
                <w:lang w:val="en-US" w:eastAsia="zh-CN"/>
              </w:rPr>
            </w:pPr>
            <w:r>
              <w:t>1200</w:t>
            </w:r>
          </w:p>
        </w:tc>
        <w:tc>
          <w:tcPr>
            <w:tcW w:w="709" w:type="pct"/>
            <w:vMerge w:val="continue"/>
            <w:vAlign w:val="center"/>
          </w:tcPr>
          <w:p w14:paraId="58A5F1EC">
            <w:pPr>
              <w:pStyle w:val="26"/>
              <w:bidi w:val="0"/>
              <w:jc w:val="center"/>
              <w:rPr>
                <w:color w:val="auto"/>
                <w:highlight w:val="none"/>
                <w:lang w:val="en-US" w:eastAsia="zh-CN"/>
              </w:rPr>
            </w:pPr>
          </w:p>
        </w:tc>
        <w:tc>
          <w:tcPr>
            <w:tcW w:w="826" w:type="pct"/>
            <w:shd w:val="clear" w:color="auto" w:fill="auto"/>
            <w:noWrap/>
            <w:vAlign w:val="center"/>
          </w:tcPr>
          <w:p w14:paraId="43EC7F63">
            <w:pPr>
              <w:pStyle w:val="26"/>
              <w:bidi w:val="0"/>
              <w:jc w:val="center"/>
              <w:rPr>
                <w:rFonts w:hint="eastAsia"/>
                <w:lang w:val="en-US" w:eastAsia="zh-CN"/>
              </w:rPr>
            </w:pPr>
            <w:r>
              <w:t>西南</w:t>
            </w:r>
          </w:p>
        </w:tc>
        <w:tc>
          <w:tcPr>
            <w:tcW w:w="826" w:type="pct"/>
            <w:shd w:val="clear" w:color="auto" w:fill="auto"/>
            <w:noWrap/>
            <w:vAlign w:val="center"/>
          </w:tcPr>
          <w:p w14:paraId="76C5C173">
            <w:pPr>
              <w:pStyle w:val="26"/>
              <w:bidi w:val="0"/>
              <w:jc w:val="center"/>
              <w:rPr>
                <w:rFonts w:hint="eastAsia"/>
                <w:lang w:val="en-US" w:eastAsia="zh-CN"/>
              </w:rPr>
            </w:pPr>
            <w:r>
              <w:t>2405</w:t>
            </w:r>
          </w:p>
        </w:tc>
      </w:tr>
      <w:tr w14:paraId="32A0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92BD7BC">
            <w:pPr>
              <w:pStyle w:val="26"/>
              <w:bidi w:val="0"/>
              <w:jc w:val="center"/>
              <w:rPr>
                <w:rFonts w:hint="eastAsia"/>
                <w:lang w:val="en-US" w:eastAsia="zh-CN"/>
              </w:rPr>
            </w:pPr>
            <w:r>
              <w:rPr>
                <w:rFonts w:hint="default"/>
                <w:lang w:val="en-US" w:eastAsia="zh-CN"/>
              </w:rPr>
              <w:t>130</w:t>
            </w:r>
          </w:p>
        </w:tc>
        <w:tc>
          <w:tcPr>
            <w:tcW w:w="939" w:type="pct"/>
            <w:shd w:val="clear" w:color="auto" w:fill="auto"/>
            <w:noWrap/>
            <w:vAlign w:val="center"/>
          </w:tcPr>
          <w:p w14:paraId="16E799BD">
            <w:pPr>
              <w:pStyle w:val="26"/>
              <w:bidi w:val="0"/>
              <w:jc w:val="center"/>
              <w:rPr>
                <w:rFonts w:hint="eastAsia"/>
                <w:lang w:val="en-US" w:eastAsia="zh-CN"/>
              </w:rPr>
            </w:pPr>
            <w:r>
              <w:t>花溪公馆</w:t>
            </w:r>
          </w:p>
        </w:tc>
        <w:tc>
          <w:tcPr>
            <w:tcW w:w="609" w:type="pct"/>
            <w:shd w:val="clear" w:color="auto" w:fill="auto"/>
            <w:vAlign w:val="center"/>
          </w:tcPr>
          <w:p w14:paraId="418D0418">
            <w:pPr>
              <w:pStyle w:val="26"/>
              <w:bidi w:val="0"/>
              <w:jc w:val="center"/>
              <w:rPr>
                <w:lang w:val="en-US" w:eastAsia="zh-CN"/>
              </w:rPr>
            </w:pPr>
            <w:r>
              <w:t>居民区</w:t>
            </w:r>
          </w:p>
        </w:tc>
        <w:tc>
          <w:tcPr>
            <w:tcW w:w="728" w:type="pct"/>
            <w:shd w:val="clear" w:color="auto" w:fill="auto"/>
            <w:noWrap/>
            <w:vAlign w:val="center"/>
          </w:tcPr>
          <w:p w14:paraId="1488939B">
            <w:pPr>
              <w:pStyle w:val="26"/>
              <w:bidi w:val="0"/>
              <w:jc w:val="center"/>
              <w:rPr>
                <w:rFonts w:hint="eastAsia"/>
                <w:lang w:val="en-US" w:eastAsia="zh-CN"/>
              </w:rPr>
            </w:pPr>
            <w:r>
              <w:t>3339</w:t>
            </w:r>
          </w:p>
        </w:tc>
        <w:tc>
          <w:tcPr>
            <w:tcW w:w="709" w:type="pct"/>
            <w:vMerge w:val="continue"/>
            <w:vAlign w:val="center"/>
          </w:tcPr>
          <w:p w14:paraId="0BB65491">
            <w:pPr>
              <w:pStyle w:val="26"/>
              <w:bidi w:val="0"/>
              <w:jc w:val="center"/>
              <w:rPr>
                <w:color w:val="auto"/>
                <w:highlight w:val="none"/>
                <w:lang w:val="en-US" w:eastAsia="zh-CN"/>
              </w:rPr>
            </w:pPr>
          </w:p>
        </w:tc>
        <w:tc>
          <w:tcPr>
            <w:tcW w:w="826" w:type="pct"/>
            <w:shd w:val="clear" w:color="auto" w:fill="auto"/>
            <w:noWrap/>
            <w:vAlign w:val="center"/>
          </w:tcPr>
          <w:p w14:paraId="1C2CBC69">
            <w:pPr>
              <w:pStyle w:val="26"/>
              <w:bidi w:val="0"/>
              <w:jc w:val="center"/>
              <w:rPr>
                <w:rFonts w:hint="eastAsia"/>
                <w:lang w:val="en-US" w:eastAsia="zh-CN"/>
              </w:rPr>
            </w:pPr>
            <w:r>
              <w:t>西南</w:t>
            </w:r>
          </w:p>
        </w:tc>
        <w:tc>
          <w:tcPr>
            <w:tcW w:w="826" w:type="pct"/>
            <w:shd w:val="clear" w:color="auto" w:fill="auto"/>
            <w:noWrap/>
            <w:vAlign w:val="center"/>
          </w:tcPr>
          <w:p w14:paraId="449D54C0">
            <w:pPr>
              <w:pStyle w:val="26"/>
              <w:bidi w:val="0"/>
              <w:jc w:val="center"/>
              <w:rPr>
                <w:rFonts w:hint="eastAsia"/>
                <w:lang w:val="en-US" w:eastAsia="zh-CN"/>
              </w:rPr>
            </w:pPr>
            <w:r>
              <w:t>2430</w:t>
            </w:r>
          </w:p>
        </w:tc>
      </w:tr>
      <w:tr w14:paraId="3EC5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D50F1CF">
            <w:pPr>
              <w:pStyle w:val="26"/>
              <w:bidi w:val="0"/>
              <w:jc w:val="center"/>
              <w:rPr>
                <w:rFonts w:hint="eastAsia"/>
                <w:lang w:val="en-US" w:eastAsia="zh-CN"/>
              </w:rPr>
            </w:pPr>
            <w:r>
              <w:rPr>
                <w:rFonts w:hint="default"/>
                <w:lang w:val="en-US" w:eastAsia="zh-CN"/>
              </w:rPr>
              <w:t>131</w:t>
            </w:r>
          </w:p>
        </w:tc>
        <w:tc>
          <w:tcPr>
            <w:tcW w:w="939" w:type="pct"/>
            <w:shd w:val="clear" w:color="auto" w:fill="auto"/>
            <w:noWrap/>
            <w:vAlign w:val="center"/>
          </w:tcPr>
          <w:p w14:paraId="2CB539C4">
            <w:pPr>
              <w:pStyle w:val="26"/>
              <w:bidi w:val="0"/>
              <w:jc w:val="center"/>
              <w:rPr>
                <w:rFonts w:hint="eastAsia"/>
                <w:lang w:val="en-US" w:eastAsia="zh-CN"/>
              </w:rPr>
            </w:pPr>
            <w:r>
              <w:t>花溪人才公寓</w:t>
            </w:r>
          </w:p>
        </w:tc>
        <w:tc>
          <w:tcPr>
            <w:tcW w:w="609" w:type="pct"/>
            <w:shd w:val="clear" w:color="auto" w:fill="auto"/>
            <w:vAlign w:val="center"/>
          </w:tcPr>
          <w:p w14:paraId="7973D238">
            <w:pPr>
              <w:pStyle w:val="26"/>
              <w:bidi w:val="0"/>
              <w:jc w:val="center"/>
              <w:rPr>
                <w:lang w:val="en-US" w:eastAsia="zh-CN"/>
              </w:rPr>
            </w:pPr>
            <w:r>
              <w:t>居民区</w:t>
            </w:r>
          </w:p>
        </w:tc>
        <w:tc>
          <w:tcPr>
            <w:tcW w:w="728" w:type="pct"/>
            <w:shd w:val="clear" w:color="auto" w:fill="auto"/>
            <w:noWrap/>
            <w:vAlign w:val="center"/>
          </w:tcPr>
          <w:p w14:paraId="2A2BBA34">
            <w:pPr>
              <w:pStyle w:val="26"/>
              <w:bidi w:val="0"/>
              <w:jc w:val="center"/>
              <w:rPr>
                <w:rFonts w:hint="eastAsia"/>
                <w:lang w:val="en-US" w:eastAsia="zh-CN"/>
              </w:rPr>
            </w:pPr>
            <w:r>
              <w:t>3558</w:t>
            </w:r>
          </w:p>
        </w:tc>
        <w:tc>
          <w:tcPr>
            <w:tcW w:w="709" w:type="pct"/>
            <w:vMerge w:val="continue"/>
            <w:vAlign w:val="center"/>
          </w:tcPr>
          <w:p w14:paraId="6C7820DF">
            <w:pPr>
              <w:pStyle w:val="26"/>
              <w:bidi w:val="0"/>
              <w:jc w:val="center"/>
              <w:rPr>
                <w:color w:val="auto"/>
                <w:highlight w:val="none"/>
                <w:lang w:val="en-US" w:eastAsia="zh-CN"/>
              </w:rPr>
            </w:pPr>
          </w:p>
        </w:tc>
        <w:tc>
          <w:tcPr>
            <w:tcW w:w="826" w:type="pct"/>
            <w:shd w:val="clear" w:color="auto" w:fill="auto"/>
            <w:noWrap/>
            <w:vAlign w:val="center"/>
          </w:tcPr>
          <w:p w14:paraId="6F7FBEC6">
            <w:pPr>
              <w:pStyle w:val="26"/>
              <w:bidi w:val="0"/>
              <w:jc w:val="center"/>
              <w:rPr>
                <w:rFonts w:hint="eastAsia"/>
                <w:lang w:val="en-US" w:eastAsia="zh-CN"/>
              </w:rPr>
            </w:pPr>
            <w:r>
              <w:t>西南</w:t>
            </w:r>
          </w:p>
        </w:tc>
        <w:tc>
          <w:tcPr>
            <w:tcW w:w="826" w:type="pct"/>
            <w:shd w:val="clear" w:color="auto" w:fill="auto"/>
            <w:noWrap/>
            <w:vAlign w:val="center"/>
          </w:tcPr>
          <w:p w14:paraId="36EF2E3C">
            <w:pPr>
              <w:pStyle w:val="26"/>
              <w:bidi w:val="0"/>
              <w:jc w:val="center"/>
              <w:rPr>
                <w:rFonts w:hint="eastAsia"/>
                <w:lang w:val="en-US" w:eastAsia="zh-CN"/>
              </w:rPr>
            </w:pPr>
            <w:r>
              <w:t>2820</w:t>
            </w:r>
          </w:p>
        </w:tc>
      </w:tr>
      <w:tr w14:paraId="60A1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27CB15D">
            <w:pPr>
              <w:pStyle w:val="26"/>
              <w:bidi w:val="0"/>
              <w:jc w:val="center"/>
              <w:rPr>
                <w:rFonts w:hint="eastAsia"/>
                <w:lang w:val="en-US" w:eastAsia="zh-CN"/>
              </w:rPr>
            </w:pPr>
            <w:r>
              <w:rPr>
                <w:rFonts w:hint="default"/>
                <w:lang w:val="en-US" w:eastAsia="zh-CN"/>
              </w:rPr>
              <w:t>132</w:t>
            </w:r>
          </w:p>
        </w:tc>
        <w:tc>
          <w:tcPr>
            <w:tcW w:w="939" w:type="pct"/>
            <w:shd w:val="clear" w:color="auto" w:fill="auto"/>
            <w:noWrap/>
            <w:vAlign w:val="center"/>
          </w:tcPr>
          <w:p w14:paraId="1B8D83A3">
            <w:pPr>
              <w:pStyle w:val="26"/>
              <w:bidi w:val="0"/>
              <w:jc w:val="center"/>
              <w:rPr>
                <w:rFonts w:hint="eastAsia"/>
                <w:lang w:val="en-US" w:eastAsia="zh-CN"/>
              </w:rPr>
            </w:pPr>
            <w:r>
              <w:t>花溪公园里</w:t>
            </w:r>
          </w:p>
        </w:tc>
        <w:tc>
          <w:tcPr>
            <w:tcW w:w="609" w:type="pct"/>
            <w:shd w:val="clear" w:color="auto" w:fill="auto"/>
            <w:vAlign w:val="center"/>
          </w:tcPr>
          <w:p w14:paraId="69BF61C0">
            <w:pPr>
              <w:pStyle w:val="26"/>
              <w:bidi w:val="0"/>
              <w:jc w:val="center"/>
              <w:rPr>
                <w:lang w:val="en-US" w:eastAsia="zh-CN"/>
              </w:rPr>
            </w:pPr>
            <w:r>
              <w:t>居民区</w:t>
            </w:r>
          </w:p>
        </w:tc>
        <w:tc>
          <w:tcPr>
            <w:tcW w:w="728" w:type="pct"/>
            <w:shd w:val="clear" w:color="auto" w:fill="auto"/>
            <w:noWrap/>
            <w:vAlign w:val="center"/>
          </w:tcPr>
          <w:p w14:paraId="0D05EF45">
            <w:pPr>
              <w:pStyle w:val="26"/>
              <w:bidi w:val="0"/>
              <w:jc w:val="center"/>
              <w:rPr>
                <w:rFonts w:hint="eastAsia"/>
                <w:lang w:val="en-US" w:eastAsia="zh-CN"/>
              </w:rPr>
            </w:pPr>
            <w:r>
              <w:t>1368</w:t>
            </w:r>
          </w:p>
        </w:tc>
        <w:tc>
          <w:tcPr>
            <w:tcW w:w="709" w:type="pct"/>
            <w:vMerge w:val="continue"/>
            <w:vAlign w:val="center"/>
          </w:tcPr>
          <w:p w14:paraId="458AA6A9">
            <w:pPr>
              <w:pStyle w:val="26"/>
              <w:bidi w:val="0"/>
              <w:jc w:val="center"/>
              <w:rPr>
                <w:color w:val="auto"/>
                <w:highlight w:val="none"/>
                <w:lang w:val="en-US" w:eastAsia="zh-CN"/>
              </w:rPr>
            </w:pPr>
          </w:p>
        </w:tc>
        <w:tc>
          <w:tcPr>
            <w:tcW w:w="826" w:type="pct"/>
            <w:shd w:val="clear" w:color="auto" w:fill="auto"/>
            <w:noWrap/>
            <w:vAlign w:val="center"/>
          </w:tcPr>
          <w:p w14:paraId="17CE253E">
            <w:pPr>
              <w:pStyle w:val="26"/>
              <w:bidi w:val="0"/>
              <w:jc w:val="center"/>
              <w:rPr>
                <w:rFonts w:hint="eastAsia"/>
                <w:lang w:val="en-US" w:eastAsia="zh-CN"/>
              </w:rPr>
            </w:pPr>
            <w:r>
              <w:t>西南</w:t>
            </w:r>
          </w:p>
        </w:tc>
        <w:tc>
          <w:tcPr>
            <w:tcW w:w="826" w:type="pct"/>
            <w:shd w:val="clear" w:color="auto" w:fill="auto"/>
            <w:noWrap/>
            <w:vAlign w:val="center"/>
          </w:tcPr>
          <w:p w14:paraId="7BB11397">
            <w:pPr>
              <w:pStyle w:val="26"/>
              <w:bidi w:val="0"/>
              <w:jc w:val="center"/>
              <w:rPr>
                <w:rFonts w:hint="eastAsia"/>
                <w:lang w:val="en-US" w:eastAsia="zh-CN"/>
              </w:rPr>
            </w:pPr>
            <w:r>
              <w:t>2840</w:t>
            </w:r>
          </w:p>
        </w:tc>
      </w:tr>
      <w:tr w14:paraId="0FD3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2E66D78">
            <w:pPr>
              <w:pStyle w:val="26"/>
              <w:bidi w:val="0"/>
              <w:jc w:val="center"/>
              <w:rPr>
                <w:rFonts w:hint="eastAsia"/>
                <w:lang w:val="en-US" w:eastAsia="zh-CN"/>
              </w:rPr>
            </w:pPr>
            <w:r>
              <w:rPr>
                <w:rFonts w:hint="default"/>
                <w:lang w:val="en-US" w:eastAsia="zh-CN"/>
              </w:rPr>
              <w:t>133</w:t>
            </w:r>
          </w:p>
        </w:tc>
        <w:tc>
          <w:tcPr>
            <w:tcW w:w="939" w:type="pct"/>
            <w:shd w:val="clear" w:color="auto" w:fill="auto"/>
            <w:noWrap/>
            <w:vAlign w:val="center"/>
          </w:tcPr>
          <w:p w14:paraId="16E46E4A">
            <w:pPr>
              <w:pStyle w:val="26"/>
              <w:bidi w:val="0"/>
              <w:jc w:val="center"/>
              <w:rPr>
                <w:rFonts w:hint="eastAsia"/>
                <w:lang w:val="en-US" w:eastAsia="zh-CN"/>
              </w:rPr>
            </w:pPr>
            <w:r>
              <w:t>绿地象屿德馨嘉苑</w:t>
            </w:r>
          </w:p>
        </w:tc>
        <w:tc>
          <w:tcPr>
            <w:tcW w:w="609" w:type="pct"/>
            <w:shd w:val="clear" w:color="auto" w:fill="auto"/>
            <w:vAlign w:val="center"/>
          </w:tcPr>
          <w:p w14:paraId="4F887F1B">
            <w:pPr>
              <w:pStyle w:val="26"/>
              <w:bidi w:val="0"/>
              <w:jc w:val="center"/>
              <w:rPr>
                <w:lang w:val="en-US" w:eastAsia="zh-CN"/>
              </w:rPr>
            </w:pPr>
            <w:r>
              <w:t>居民区</w:t>
            </w:r>
          </w:p>
        </w:tc>
        <w:tc>
          <w:tcPr>
            <w:tcW w:w="728" w:type="pct"/>
            <w:shd w:val="clear" w:color="auto" w:fill="auto"/>
            <w:noWrap/>
            <w:vAlign w:val="center"/>
          </w:tcPr>
          <w:p w14:paraId="59EBEA06">
            <w:pPr>
              <w:pStyle w:val="26"/>
              <w:bidi w:val="0"/>
              <w:jc w:val="center"/>
              <w:rPr>
                <w:rFonts w:hint="eastAsia"/>
                <w:lang w:val="en-US" w:eastAsia="zh-CN"/>
              </w:rPr>
            </w:pPr>
            <w:r>
              <w:t>4998</w:t>
            </w:r>
          </w:p>
        </w:tc>
        <w:tc>
          <w:tcPr>
            <w:tcW w:w="709" w:type="pct"/>
            <w:vMerge w:val="continue"/>
            <w:vAlign w:val="center"/>
          </w:tcPr>
          <w:p w14:paraId="1F453DDA">
            <w:pPr>
              <w:pStyle w:val="26"/>
              <w:bidi w:val="0"/>
              <w:jc w:val="center"/>
              <w:rPr>
                <w:color w:val="auto"/>
                <w:highlight w:val="none"/>
                <w:lang w:val="en-US" w:eastAsia="zh-CN"/>
              </w:rPr>
            </w:pPr>
          </w:p>
        </w:tc>
        <w:tc>
          <w:tcPr>
            <w:tcW w:w="826" w:type="pct"/>
            <w:shd w:val="clear" w:color="auto" w:fill="auto"/>
            <w:noWrap/>
            <w:vAlign w:val="center"/>
          </w:tcPr>
          <w:p w14:paraId="7461225C">
            <w:pPr>
              <w:pStyle w:val="26"/>
              <w:bidi w:val="0"/>
              <w:jc w:val="center"/>
              <w:rPr>
                <w:rFonts w:hint="eastAsia"/>
                <w:lang w:val="en-US" w:eastAsia="zh-CN"/>
              </w:rPr>
            </w:pPr>
            <w:r>
              <w:t>西南</w:t>
            </w:r>
          </w:p>
        </w:tc>
        <w:tc>
          <w:tcPr>
            <w:tcW w:w="826" w:type="pct"/>
            <w:shd w:val="clear" w:color="auto" w:fill="auto"/>
            <w:noWrap/>
            <w:vAlign w:val="center"/>
          </w:tcPr>
          <w:p w14:paraId="6737777C">
            <w:pPr>
              <w:pStyle w:val="26"/>
              <w:bidi w:val="0"/>
              <w:jc w:val="center"/>
              <w:rPr>
                <w:rFonts w:hint="eastAsia"/>
                <w:lang w:val="en-US" w:eastAsia="zh-CN"/>
              </w:rPr>
            </w:pPr>
            <w:r>
              <w:t>2610</w:t>
            </w:r>
          </w:p>
        </w:tc>
      </w:tr>
      <w:tr w14:paraId="6D35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EFA1675">
            <w:pPr>
              <w:pStyle w:val="26"/>
              <w:bidi w:val="0"/>
              <w:jc w:val="center"/>
              <w:rPr>
                <w:rFonts w:hint="eastAsia"/>
                <w:lang w:val="en-US" w:eastAsia="zh-CN"/>
              </w:rPr>
            </w:pPr>
            <w:r>
              <w:rPr>
                <w:rFonts w:hint="default"/>
                <w:lang w:val="en-US" w:eastAsia="zh-CN"/>
              </w:rPr>
              <w:t>134</w:t>
            </w:r>
          </w:p>
        </w:tc>
        <w:tc>
          <w:tcPr>
            <w:tcW w:w="939" w:type="pct"/>
            <w:shd w:val="clear" w:color="auto" w:fill="auto"/>
            <w:noWrap/>
            <w:vAlign w:val="center"/>
          </w:tcPr>
          <w:p w14:paraId="330CB480">
            <w:pPr>
              <w:pStyle w:val="26"/>
              <w:bidi w:val="0"/>
              <w:jc w:val="center"/>
              <w:rPr>
                <w:rFonts w:hint="eastAsia"/>
                <w:lang w:val="en-US" w:eastAsia="zh-CN"/>
              </w:rPr>
            </w:pPr>
            <w:r>
              <w:t>钱河村</w:t>
            </w:r>
          </w:p>
        </w:tc>
        <w:tc>
          <w:tcPr>
            <w:tcW w:w="609" w:type="pct"/>
            <w:shd w:val="clear" w:color="auto" w:fill="auto"/>
            <w:vAlign w:val="center"/>
          </w:tcPr>
          <w:p w14:paraId="3DB48572">
            <w:pPr>
              <w:pStyle w:val="26"/>
              <w:bidi w:val="0"/>
              <w:jc w:val="center"/>
              <w:rPr>
                <w:lang w:val="en-US" w:eastAsia="zh-CN"/>
              </w:rPr>
            </w:pPr>
            <w:r>
              <w:t>居民区</w:t>
            </w:r>
          </w:p>
        </w:tc>
        <w:tc>
          <w:tcPr>
            <w:tcW w:w="728" w:type="pct"/>
            <w:shd w:val="clear" w:color="auto" w:fill="auto"/>
            <w:noWrap/>
            <w:vAlign w:val="center"/>
          </w:tcPr>
          <w:p w14:paraId="0FB86C48">
            <w:pPr>
              <w:pStyle w:val="26"/>
              <w:bidi w:val="0"/>
              <w:jc w:val="center"/>
              <w:rPr>
                <w:rFonts w:hint="eastAsia"/>
                <w:lang w:val="en-US" w:eastAsia="zh-CN"/>
              </w:rPr>
            </w:pPr>
            <w:r>
              <w:t>150</w:t>
            </w:r>
          </w:p>
        </w:tc>
        <w:tc>
          <w:tcPr>
            <w:tcW w:w="709" w:type="pct"/>
            <w:vMerge w:val="continue"/>
            <w:vAlign w:val="center"/>
          </w:tcPr>
          <w:p w14:paraId="6E53DFB6">
            <w:pPr>
              <w:pStyle w:val="26"/>
              <w:bidi w:val="0"/>
              <w:jc w:val="center"/>
              <w:rPr>
                <w:color w:val="auto"/>
                <w:highlight w:val="none"/>
                <w:lang w:val="en-US" w:eastAsia="zh-CN"/>
              </w:rPr>
            </w:pPr>
          </w:p>
        </w:tc>
        <w:tc>
          <w:tcPr>
            <w:tcW w:w="826" w:type="pct"/>
            <w:shd w:val="clear" w:color="auto" w:fill="auto"/>
            <w:noWrap/>
            <w:vAlign w:val="center"/>
          </w:tcPr>
          <w:p w14:paraId="1D1BBD1E">
            <w:pPr>
              <w:pStyle w:val="26"/>
              <w:bidi w:val="0"/>
              <w:jc w:val="center"/>
              <w:rPr>
                <w:rFonts w:hint="eastAsia"/>
                <w:lang w:val="en-US" w:eastAsia="zh-CN"/>
              </w:rPr>
            </w:pPr>
            <w:r>
              <w:t>西南</w:t>
            </w:r>
          </w:p>
        </w:tc>
        <w:tc>
          <w:tcPr>
            <w:tcW w:w="826" w:type="pct"/>
            <w:shd w:val="clear" w:color="auto" w:fill="auto"/>
            <w:noWrap/>
            <w:vAlign w:val="center"/>
          </w:tcPr>
          <w:p w14:paraId="3D2B7791">
            <w:pPr>
              <w:pStyle w:val="26"/>
              <w:bidi w:val="0"/>
              <w:jc w:val="center"/>
              <w:rPr>
                <w:rFonts w:hint="eastAsia"/>
                <w:lang w:val="en-US" w:eastAsia="zh-CN"/>
              </w:rPr>
            </w:pPr>
            <w:r>
              <w:t>3101</w:t>
            </w:r>
          </w:p>
        </w:tc>
      </w:tr>
      <w:tr w14:paraId="4F88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3EB8B1F">
            <w:pPr>
              <w:pStyle w:val="26"/>
              <w:bidi w:val="0"/>
              <w:jc w:val="center"/>
              <w:rPr>
                <w:rFonts w:hint="eastAsia"/>
                <w:lang w:val="en-US" w:eastAsia="zh-CN"/>
              </w:rPr>
            </w:pPr>
            <w:r>
              <w:rPr>
                <w:rFonts w:hint="default"/>
                <w:lang w:val="en-US" w:eastAsia="zh-CN"/>
              </w:rPr>
              <w:t>135</w:t>
            </w:r>
          </w:p>
        </w:tc>
        <w:tc>
          <w:tcPr>
            <w:tcW w:w="939" w:type="pct"/>
            <w:shd w:val="clear" w:color="auto" w:fill="auto"/>
            <w:noWrap/>
            <w:vAlign w:val="center"/>
          </w:tcPr>
          <w:p w14:paraId="66086FCA">
            <w:pPr>
              <w:pStyle w:val="26"/>
              <w:bidi w:val="0"/>
              <w:jc w:val="center"/>
              <w:rPr>
                <w:rFonts w:hint="eastAsia"/>
                <w:lang w:val="en-US" w:eastAsia="zh-CN"/>
              </w:rPr>
            </w:pPr>
            <w:r>
              <w:t>常发香城湾光榭区</w:t>
            </w:r>
          </w:p>
        </w:tc>
        <w:tc>
          <w:tcPr>
            <w:tcW w:w="609" w:type="pct"/>
            <w:shd w:val="clear" w:color="auto" w:fill="auto"/>
            <w:vAlign w:val="center"/>
          </w:tcPr>
          <w:p w14:paraId="6F177BD9">
            <w:pPr>
              <w:pStyle w:val="26"/>
              <w:bidi w:val="0"/>
              <w:jc w:val="center"/>
              <w:rPr>
                <w:lang w:val="en-US" w:eastAsia="zh-CN"/>
              </w:rPr>
            </w:pPr>
            <w:r>
              <w:t>居民区</w:t>
            </w:r>
          </w:p>
        </w:tc>
        <w:tc>
          <w:tcPr>
            <w:tcW w:w="728" w:type="pct"/>
            <w:shd w:val="clear" w:color="auto" w:fill="auto"/>
            <w:noWrap/>
            <w:vAlign w:val="center"/>
          </w:tcPr>
          <w:p w14:paraId="1A1967B7">
            <w:pPr>
              <w:pStyle w:val="26"/>
              <w:bidi w:val="0"/>
              <w:jc w:val="center"/>
              <w:rPr>
                <w:rFonts w:hint="eastAsia"/>
                <w:lang w:val="en-US" w:eastAsia="zh-CN"/>
              </w:rPr>
            </w:pPr>
            <w:r>
              <w:t>5274</w:t>
            </w:r>
          </w:p>
        </w:tc>
        <w:tc>
          <w:tcPr>
            <w:tcW w:w="709" w:type="pct"/>
            <w:vMerge w:val="continue"/>
            <w:vAlign w:val="center"/>
          </w:tcPr>
          <w:p w14:paraId="6E394725">
            <w:pPr>
              <w:pStyle w:val="26"/>
              <w:bidi w:val="0"/>
              <w:jc w:val="center"/>
              <w:rPr>
                <w:color w:val="auto"/>
                <w:highlight w:val="none"/>
                <w:lang w:val="en-US" w:eastAsia="zh-CN"/>
              </w:rPr>
            </w:pPr>
          </w:p>
        </w:tc>
        <w:tc>
          <w:tcPr>
            <w:tcW w:w="826" w:type="pct"/>
            <w:shd w:val="clear" w:color="auto" w:fill="auto"/>
            <w:noWrap/>
            <w:vAlign w:val="center"/>
          </w:tcPr>
          <w:p w14:paraId="1CC8EFA0">
            <w:pPr>
              <w:pStyle w:val="26"/>
              <w:bidi w:val="0"/>
              <w:jc w:val="center"/>
              <w:rPr>
                <w:rFonts w:hint="eastAsia"/>
                <w:lang w:val="en-US" w:eastAsia="zh-CN"/>
              </w:rPr>
            </w:pPr>
            <w:r>
              <w:t>西南</w:t>
            </w:r>
          </w:p>
        </w:tc>
        <w:tc>
          <w:tcPr>
            <w:tcW w:w="826" w:type="pct"/>
            <w:shd w:val="clear" w:color="auto" w:fill="auto"/>
            <w:noWrap/>
            <w:vAlign w:val="center"/>
          </w:tcPr>
          <w:p w14:paraId="00858484">
            <w:pPr>
              <w:pStyle w:val="26"/>
              <w:bidi w:val="0"/>
              <w:jc w:val="center"/>
              <w:rPr>
                <w:rFonts w:hint="eastAsia"/>
                <w:lang w:val="en-US" w:eastAsia="zh-CN"/>
              </w:rPr>
            </w:pPr>
            <w:r>
              <w:t>3020</w:t>
            </w:r>
          </w:p>
        </w:tc>
      </w:tr>
      <w:tr w14:paraId="06E2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5DFC20E">
            <w:pPr>
              <w:pStyle w:val="26"/>
              <w:bidi w:val="0"/>
              <w:jc w:val="center"/>
              <w:rPr>
                <w:rFonts w:hint="eastAsia"/>
                <w:lang w:val="en-US" w:eastAsia="zh-CN"/>
              </w:rPr>
            </w:pPr>
            <w:r>
              <w:rPr>
                <w:rFonts w:hint="default"/>
                <w:lang w:val="en-US" w:eastAsia="zh-CN"/>
              </w:rPr>
              <w:t>136</w:t>
            </w:r>
          </w:p>
        </w:tc>
        <w:tc>
          <w:tcPr>
            <w:tcW w:w="939" w:type="pct"/>
            <w:shd w:val="clear" w:color="auto" w:fill="auto"/>
            <w:noWrap/>
            <w:vAlign w:val="center"/>
          </w:tcPr>
          <w:p w14:paraId="046915CF">
            <w:pPr>
              <w:pStyle w:val="26"/>
              <w:bidi w:val="0"/>
              <w:jc w:val="center"/>
              <w:rPr>
                <w:rFonts w:hint="eastAsia"/>
                <w:lang w:val="en-US" w:eastAsia="zh-CN"/>
              </w:rPr>
            </w:pPr>
            <w:r>
              <w:t>常发香城湾</w:t>
            </w:r>
          </w:p>
        </w:tc>
        <w:tc>
          <w:tcPr>
            <w:tcW w:w="609" w:type="pct"/>
            <w:shd w:val="clear" w:color="auto" w:fill="auto"/>
            <w:vAlign w:val="center"/>
          </w:tcPr>
          <w:p w14:paraId="30C67632">
            <w:pPr>
              <w:pStyle w:val="26"/>
              <w:bidi w:val="0"/>
              <w:jc w:val="center"/>
              <w:rPr>
                <w:lang w:val="en-US" w:eastAsia="zh-CN"/>
              </w:rPr>
            </w:pPr>
            <w:r>
              <w:t>居民区</w:t>
            </w:r>
          </w:p>
        </w:tc>
        <w:tc>
          <w:tcPr>
            <w:tcW w:w="728" w:type="pct"/>
            <w:shd w:val="clear" w:color="auto" w:fill="auto"/>
            <w:noWrap/>
            <w:vAlign w:val="center"/>
          </w:tcPr>
          <w:p w14:paraId="6049AECE">
            <w:pPr>
              <w:pStyle w:val="26"/>
              <w:bidi w:val="0"/>
              <w:jc w:val="center"/>
              <w:rPr>
                <w:rFonts w:hint="eastAsia"/>
                <w:lang w:val="en-US" w:eastAsia="zh-CN"/>
              </w:rPr>
            </w:pPr>
            <w:r>
              <w:t>1332</w:t>
            </w:r>
          </w:p>
        </w:tc>
        <w:tc>
          <w:tcPr>
            <w:tcW w:w="709" w:type="pct"/>
            <w:vMerge w:val="continue"/>
            <w:vAlign w:val="center"/>
          </w:tcPr>
          <w:p w14:paraId="42195558">
            <w:pPr>
              <w:pStyle w:val="26"/>
              <w:bidi w:val="0"/>
              <w:jc w:val="center"/>
              <w:rPr>
                <w:color w:val="auto"/>
                <w:highlight w:val="none"/>
                <w:lang w:val="en-US" w:eastAsia="zh-CN"/>
              </w:rPr>
            </w:pPr>
          </w:p>
        </w:tc>
        <w:tc>
          <w:tcPr>
            <w:tcW w:w="826" w:type="pct"/>
            <w:shd w:val="clear" w:color="auto" w:fill="auto"/>
            <w:noWrap/>
            <w:vAlign w:val="center"/>
          </w:tcPr>
          <w:p w14:paraId="6646B542">
            <w:pPr>
              <w:pStyle w:val="26"/>
              <w:bidi w:val="0"/>
              <w:jc w:val="center"/>
              <w:rPr>
                <w:rFonts w:hint="eastAsia"/>
                <w:lang w:val="en-US" w:eastAsia="zh-CN"/>
              </w:rPr>
            </w:pPr>
            <w:r>
              <w:t>西南</w:t>
            </w:r>
          </w:p>
        </w:tc>
        <w:tc>
          <w:tcPr>
            <w:tcW w:w="826" w:type="pct"/>
            <w:shd w:val="clear" w:color="auto" w:fill="auto"/>
            <w:noWrap/>
            <w:vAlign w:val="center"/>
          </w:tcPr>
          <w:p w14:paraId="7E4106B4">
            <w:pPr>
              <w:pStyle w:val="26"/>
              <w:bidi w:val="0"/>
              <w:jc w:val="center"/>
              <w:rPr>
                <w:rFonts w:hint="eastAsia"/>
                <w:lang w:val="en-US" w:eastAsia="zh-CN"/>
              </w:rPr>
            </w:pPr>
            <w:r>
              <w:t>2920</w:t>
            </w:r>
          </w:p>
        </w:tc>
      </w:tr>
      <w:tr w14:paraId="2F30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EE0DBC1">
            <w:pPr>
              <w:pStyle w:val="26"/>
              <w:bidi w:val="0"/>
              <w:jc w:val="center"/>
              <w:rPr>
                <w:rFonts w:hint="eastAsia"/>
                <w:lang w:val="en-US" w:eastAsia="zh-CN"/>
              </w:rPr>
            </w:pPr>
            <w:r>
              <w:rPr>
                <w:rFonts w:hint="default"/>
                <w:lang w:val="en-US" w:eastAsia="zh-CN"/>
              </w:rPr>
              <w:t>137</w:t>
            </w:r>
          </w:p>
        </w:tc>
        <w:tc>
          <w:tcPr>
            <w:tcW w:w="939" w:type="pct"/>
            <w:shd w:val="clear" w:color="auto" w:fill="auto"/>
            <w:noWrap/>
            <w:vAlign w:val="center"/>
          </w:tcPr>
          <w:p w14:paraId="4C98D6FB">
            <w:pPr>
              <w:pStyle w:val="26"/>
              <w:bidi w:val="0"/>
              <w:jc w:val="center"/>
              <w:rPr>
                <w:rFonts w:hint="eastAsia"/>
                <w:lang w:val="en-US" w:eastAsia="zh-CN"/>
              </w:rPr>
            </w:pPr>
            <w:r>
              <w:t>香城湾枫庭</w:t>
            </w:r>
          </w:p>
        </w:tc>
        <w:tc>
          <w:tcPr>
            <w:tcW w:w="609" w:type="pct"/>
            <w:shd w:val="clear" w:color="auto" w:fill="auto"/>
            <w:vAlign w:val="center"/>
          </w:tcPr>
          <w:p w14:paraId="198971AE">
            <w:pPr>
              <w:pStyle w:val="26"/>
              <w:bidi w:val="0"/>
              <w:jc w:val="center"/>
              <w:rPr>
                <w:lang w:val="en-US" w:eastAsia="zh-CN"/>
              </w:rPr>
            </w:pPr>
            <w:r>
              <w:t>居民区</w:t>
            </w:r>
          </w:p>
        </w:tc>
        <w:tc>
          <w:tcPr>
            <w:tcW w:w="728" w:type="pct"/>
            <w:shd w:val="clear" w:color="auto" w:fill="auto"/>
            <w:noWrap/>
            <w:vAlign w:val="center"/>
          </w:tcPr>
          <w:p w14:paraId="1CF95769">
            <w:pPr>
              <w:pStyle w:val="26"/>
              <w:bidi w:val="0"/>
              <w:jc w:val="center"/>
              <w:rPr>
                <w:rFonts w:hint="eastAsia"/>
                <w:lang w:val="en-US" w:eastAsia="zh-CN"/>
              </w:rPr>
            </w:pPr>
            <w:r>
              <w:t>1455</w:t>
            </w:r>
          </w:p>
        </w:tc>
        <w:tc>
          <w:tcPr>
            <w:tcW w:w="709" w:type="pct"/>
            <w:vMerge w:val="continue"/>
            <w:vAlign w:val="center"/>
          </w:tcPr>
          <w:p w14:paraId="1361AA48">
            <w:pPr>
              <w:pStyle w:val="26"/>
              <w:bidi w:val="0"/>
              <w:jc w:val="center"/>
              <w:rPr>
                <w:color w:val="auto"/>
                <w:highlight w:val="none"/>
                <w:lang w:val="en-US" w:eastAsia="zh-CN"/>
              </w:rPr>
            </w:pPr>
          </w:p>
        </w:tc>
        <w:tc>
          <w:tcPr>
            <w:tcW w:w="826" w:type="pct"/>
            <w:shd w:val="clear" w:color="auto" w:fill="auto"/>
            <w:noWrap/>
            <w:vAlign w:val="center"/>
          </w:tcPr>
          <w:p w14:paraId="2C02FD84">
            <w:pPr>
              <w:pStyle w:val="26"/>
              <w:bidi w:val="0"/>
              <w:jc w:val="center"/>
              <w:rPr>
                <w:rFonts w:hint="eastAsia"/>
                <w:lang w:val="en-US" w:eastAsia="zh-CN"/>
              </w:rPr>
            </w:pPr>
            <w:r>
              <w:t>西南</w:t>
            </w:r>
          </w:p>
        </w:tc>
        <w:tc>
          <w:tcPr>
            <w:tcW w:w="826" w:type="pct"/>
            <w:shd w:val="clear" w:color="auto" w:fill="auto"/>
            <w:noWrap/>
            <w:vAlign w:val="center"/>
          </w:tcPr>
          <w:p w14:paraId="72167BD3">
            <w:pPr>
              <w:pStyle w:val="26"/>
              <w:bidi w:val="0"/>
              <w:jc w:val="center"/>
              <w:rPr>
                <w:rFonts w:hint="eastAsia"/>
                <w:lang w:val="en-US" w:eastAsia="zh-CN"/>
              </w:rPr>
            </w:pPr>
            <w:r>
              <w:t>2960</w:t>
            </w:r>
          </w:p>
        </w:tc>
      </w:tr>
      <w:tr w14:paraId="7CC6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254A5E4">
            <w:pPr>
              <w:pStyle w:val="26"/>
              <w:bidi w:val="0"/>
              <w:jc w:val="center"/>
              <w:rPr>
                <w:rFonts w:hint="eastAsia"/>
                <w:lang w:val="en-US" w:eastAsia="zh-CN"/>
              </w:rPr>
            </w:pPr>
            <w:r>
              <w:rPr>
                <w:rFonts w:hint="default"/>
                <w:lang w:val="en-US" w:eastAsia="zh-CN"/>
              </w:rPr>
              <w:t>138</w:t>
            </w:r>
          </w:p>
        </w:tc>
        <w:tc>
          <w:tcPr>
            <w:tcW w:w="939" w:type="pct"/>
            <w:shd w:val="clear" w:color="auto" w:fill="auto"/>
            <w:noWrap/>
            <w:vAlign w:val="center"/>
          </w:tcPr>
          <w:p w14:paraId="5E89D76A">
            <w:pPr>
              <w:pStyle w:val="26"/>
              <w:bidi w:val="0"/>
              <w:jc w:val="center"/>
              <w:rPr>
                <w:rFonts w:hint="eastAsia"/>
                <w:lang w:val="en-US" w:eastAsia="zh-CN"/>
              </w:rPr>
            </w:pPr>
            <w:r>
              <w:t>棕榈湾</w:t>
            </w:r>
          </w:p>
        </w:tc>
        <w:tc>
          <w:tcPr>
            <w:tcW w:w="609" w:type="pct"/>
            <w:shd w:val="clear" w:color="auto" w:fill="auto"/>
            <w:vAlign w:val="center"/>
          </w:tcPr>
          <w:p w14:paraId="5B3E047F">
            <w:pPr>
              <w:pStyle w:val="26"/>
              <w:bidi w:val="0"/>
              <w:jc w:val="center"/>
              <w:rPr>
                <w:lang w:val="en-US" w:eastAsia="zh-CN"/>
              </w:rPr>
            </w:pPr>
            <w:r>
              <w:t>居民区</w:t>
            </w:r>
          </w:p>
        </w:tc>
        <w:tc>
          <w:tcPr>
            <w:tcW w:w="728" w:type="pct"/>
            <w:shd w:val="clear" w:color="auto" w:fill="auto"/>
            <w:noWrap/>
            <w:vAlign w:val="center"/>
          </w:tcPr>
          <w:p w14:paraId="70BE2C5F">
            <w:pPr>
              <w:pStyle w:val="26"/>
              <w:bidi w:val="0"/>
              <w:jc w:val="center"/>
              <w:rPr>
                <w:rFonts w:hint="eastAsia"/>
                <w:lang w:val="en-US" w:eastAsia="zh-CN"/>
              </w:rPr>
            </w:pPr>
            <w:r>
              <w:t>6570</w:t>
            </w:r>
          </w:p>
        </w:tc>
        <w:tc>
          <w:tcPr>
            <w:tcW w:w="709" w:type="pct"/>
            <w:vMerge w:val="continue"/>
            <w:vAlign w:val="center"/>
          </w:tcPr>
          <w:p w14:paraId="232D1F1B">
            <w:pPr>
              <w:pStyle w:val="26"/>
              <w:bidi w:val="0"/>
              <w:jc w:val="center"/>
              <w:rPr>
                <w:color w:val="auto"/>
                <w:highlight w:val="none"/>
                <w:lang w:val="en-US" w:eastAsia="zh-CN"/>
              </w:rPr>
            </w:pPr>
          </w:p>
        </w:tc>
        <w:tc>
          <w:tcPr>
            <w:tcW w:w="826" w:type="pct"/>
            <w:shd w:val="clear" w:color="auto" w:fill="auto"/>
            <w:noWrap/>
            <w:vAlign w:val="center"/>
          </w:tcPr>
          <w:p w14:paraId="4A7C7B12">
            <w:pPr>
              <w:pStyle w:val="26"/>
              <w:bidi w:val="0"/>
              <w:jc w:val="center"/>
              <w:rPr>
                <w:rFonts w:hint="eastAsia"/>
                <w:lang w:val="en-US" w:eastAsia="zh-CN"/>
              </w:rPr>
            </w:pPr>
            <w:r>
              <w:t>西南</w:t>
            </w:r>
          </w:p>
        </w:tc>
        <w:tc>
          <w:tcPr>
            <w:tcW w:w="826" w:type="pct"/>
            <w:shd w:val="clear" w:color="auto" w:fill="auto"/>
            <w:noWrap/>
            <w:vAlign w:val="center"/>
          </w:tcPr>
          <w:p w14:paraId="7DA9C14E">
            <w:pPr>
              <w:pStyle w:val="26"/>
              <w:bidi w:val="0"/>
              <w:jc w:val="center"/>
              <w:rPr>
                <w:rFonts w:hint="eastAsia"/>
                <w:lang w:val="en-US" w:eastAsia="zh-CN"/>
              </w:rPr>
            </w:pPr>
            <w:r>
              <w:t>3295</w:t>
            </w:r>
          </w:p>
        </w:tc>
      </w:tr>
      <w:tr w14:paraId="7376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C32B86F">
            <w:pPr>
              <w:pStyle w:val="26"/>
              <w:bidi w:val="0"/>
              <w:jc w:val="center"/>
              <w:rPr>
                <w:rFonts w:hint="eastAsia"/>
                <w:lang w:val="en-US" w:eastAsia="zh-CN"/>
              </w:rPr>
            </w:pPr>
            <w:r>
              <w:rPr>
                <w:rFonts w:hint="default"/>
                <w:lang w:val="en-US" w:eastAsia="zh-CN"/>
              </w:rPr>
              <w:t>139</w:t>
            </w:r>
          </w:p>
        </w:tc>
        <w:tc>
          <w:tcPr>
            <w:tcW w:w="939" w:type="pct"/>
            <w:shd w:val="clear" w:color="auto" w:fill="auto"/>
            <w:noWrap/>
            <w:vAlign w:val="center"/>
          </w:tcPr>
          <w:p w14:paraId="17AE98C7">
            <w:pPr>
              <w:pStyle w:val="26"/>
              <w:bidi w:val="0"/>
              <w:jc w:val="center"/>
              <w:rPr>
                <w:rFonts w:hint="eastAsia"/>
                <w:lang w:val="en-US" w:eastAsia="zh-CN"/>
              </w:rPr>
            </w:pPr>
            <w:r>
              <w:t>鑫苑世家</w:t>
            </w:r>
          </w:p>
        </w:tc>
        <w:tc>
          <w:tcPr>
            <w:tcW w:w="609" w:type="pct"/>
            <w:shd w:val="clear" w:color="auto" w:fill="auto"/>
            <w:vAlign w:val="center"/>
          </w:tcPr>
          <w:p w14:paraId="6874B979">
            <w:pPr>
              <w:pStyle w:val="26"/>
              <w:bidi w:val="0"/>
              <w:jc w:val="center"/>
              <w:rPr>
                <w:lang w:val="en-US" w:eastAsia="zh-CN"/>
              </w:rPr>
            </w:pPr>
            <w:r>
              <w:t>居民区</w:t>
            </w:r>
          </w:p>
        </w:tc>
        <w:tc>
          <w:tcPr>
            <w:tcW w:w="728" w:type="pct"/>
            <w:shd w:val="clear" w:color="auto" w:fill="auto"/>
            <w:noWrap/>
            <w:vAlign w:val="center"/>
          </w:tcPr>
          <w:p w14:paraId="7035556E">
            <w:pPr>
              <w:pStyle w:val="26"/>
              <w:bidi w:val="0"/>
              <w:jc w:val="center"/>
              <w:rPr>
                <w:rFonts w:hint="eastAsia"/>
                <w:lang w:val="en-US" w:eastAsia="zh-CN"/>
              </w:rPr>
            </w:pPr>
            <w:r>
              <w:t>7839</w:t>
            </w:r>
          </w:p>
        </w:tc>
        <w:tc>
          <w:tcPr>
            <w:tcW w:w="709" w:type="pct"/>
            <w:vMerge w:val="continue"/>
            <w:vAlign w:val="center"/>
          </w:tcPr>
          <w:p w14:paraId="33F00D0F">
            <w:pPr>
              <w:pStyle w:val="26"/>
              <w:bidi w:val="0"/>
              <w:jc w:val="center"/>
              <w:rPr>
                <w:color w:val="auto"/>
                <w:highlight w:val="none"/>
                <w:lang w:val="en-US" w:eastAsia="zh-CN"/>
              </w:rPr>
            </w:pPr>
          </w:p>
        </w:tc>
        <w:tc>
          <w:tcPr>
            <w:tcW w:w="826" w:type="pct"/>
            <w:shd w:val="clear" w:color="auto" w:fill="auto"/>
            <w:noWrap/>
            <w:vAlign w:val="center"/>
          </w:tcPr>
          <w:p w14:paraId="3F11E13E">
            <w:pPr>
              <w:pStyle w:val="26"/>
              <w:bidi w:val="0"/>
              <w:jc w:val="center"/>
              <w:rPr>
                <w:rFonts w:hint="eastAsia"/>
                <w:lang w:val="en-US" w:eastAsia="zh-CN"/>
              </w:rPr>
            </w:pPr>
            <w:r>
              <w:t>西南</w:t>
            </w:r>
          </w:p>
        </w:tc>
        <w:tc>
          <w:tcPr>
            <w:tcW w:w="826" w:type="pct"/>
            <w:shd w:val="clear" w:color="auto" w:fill="auto"/>
            <w:noWrap/>
            <w:vAlign w:val="center"/>
          </w:tcPr>
          <w:p w14:paraId="4C6576E3">
            <w:pPr>
              <w:pStyle w:val="26"/>
              <w:bidi w:val="0"/>
              <w:jc w:val="center"/>
              <w:rPr>
                <w:rFonts w:hint="eastAsia"/>
                <w:lang w:val="en-US" w:eastAsia="zh-CN"/>
              </w:rPr>
            </w:pPr>
            <w:r>
              <w:t>3698</w:t>
            </w:r>
          </w:p>
        </w:tc>
      </w:tr>
      <w:tr w14:paraId="4273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26B4553">
            <w:pPr>
              <w:pStyle w:val="26"/>
              <w:bidi w:val="0"/>
              <w:jc w:val="center"/>
              <w:rPr>
                <w:rFonts w:hint="eastAsia"/>
                <w:lang w:val="en-US" w:eastAsia="zh-CN"/>
              </w:rPr>
            </w:pPr>
            <w:r>
              <w:rPr>
                <w:rFonts w:hint="default"/>
                <w:lang w:val="en-US" w:eastAsia="zh-CN"/>
              </w:rPr>
              <w:t>140</w:t>
            </w:r>
          </w:p>
        </w:tc>
        <w:tc>
          <w:tcPr>
            <w:tcW w:w="939" w:type="pct"/>
            <w:shd w:val="clear" w:color="auto" w:fill="auto"/>
            <w:noWrap/>
            <w:vAlign w:val="center"/>
          </w:tcPr>
          <w:p w14:paraId="08BD10C0">
            <w:pPr>
              <w:pStyle w:val="26"/>
              <w:bidi w:val="0"/>
              <w:jc w:val="center"/>
              <w:rPr>
                <w:rFonts w:hint="eastAsia"/>
                <w:lang w:val="en-US" w:eastAsia="zh-CN"/>
              </w:rPr>
            </w:pPr>
            <w:r>
              <w:t>国基城邦逸墅</w:t>
            </w:r>
          </w:p>
        </w:tc>
        <w:tc>
          <w:tcPr>
            <w:tcW w:w="609" w:type="pct"/>
            <w:shd w:val="clear" w:color="auto" w:fill="auto"/>
            <w:vAlign w:val="center"/>
          </w:tcPr>
          <w:p w14:paraId="18BB1860">
            <w:pPr>
              <w:pStyle w:val="26"/>
              <w:bidi w:val="0"/>
              <w:jc w:val="center"/>
              <w:rPr>
                <w:lang w:val="en-US" w:eastAsia="zh-CN"/>
              </w:rPr>
            </w:pPr>
            <w:r>
              <w:t>居民区</w:t>
            </w:r>
          </w:p>
        </w:tc>
        <w:tc>
          <w:tcPr>
            <w:tcW w:w="728" w:type="pct"/>
            <w:shd w:val="clear" w:color="auto" w:fill="auto"/>
            <w:noWrap/>
            <w:vAlign w:val="center"/>
          </w:tcPr>
          <w:p w14:paraId="266C2618">
            <w:pPr>
              <w:pStyle w:val="26"/>
              <w:bidi w:val="0"/>
              <w:jc w:val="center"/>
              <w:rPr>
                <w:rFonts w:hint="eastAsia"/>
                <w:lang w:val="en-US" w:eastAsia="zh-CN"/>
              </w:rPr>
            </w:pPr>
            <w:r>
              <w:t>3798</w:t>
            </w:r>
          </w:p>
        </w:tc>
        <w:tc>
          <w:tcPr>
            <w:tcW w:w="709" w:type="pct"/>
            <w:vMerge w:val="continue"/>
            <w:vAlign w:val="center"/>
          </w:tcPr>
          <w:p w14:paraId="51A931AE">
            <w:pPr>
              <w:pStyle w:val="26"/>
              <w:bidi w:val="0"/>
              <w:jc w:val="center"/>
              <w:rPr>
                <w:color w:val="auto"/>
                <w:highlight w:val="none"/>
                <w:lang w:val="en-US" w:eastAsia="zh-CN"/>
              </w:rPr>
            </w:pPr>
          </w:p>
        </w:tc>
        <w:tc>
          <w:tcPr>
            <w:tcW w:w="826" w:type="pct"/>
            <w:shd w:val="clear" w:color="auto" w:fill="auto"/>
            <w:noWrap/>
            <w:vAlign w:val="center"/>
          </w:tcPr>
          <w:p w14:paraId="357A1878">
            <w:pPr>
              <w:pStyle w:val="26"/>
              <w:bidi w:val="0"/>
              <w:jc w:val="center"/>
              <w:rPr>
                <w:rFonts w:hint="eastAsia"/>
                <w:lang w:val="en-US" w:eastAsia="zh-CN"/>
              </w:rPr>
            </w:pPr>
            <w:r>
              <w:t>西南</w:t>
            </w:r>
          </w:p>
        </w:tc>
        <w:tc>
          <w:tcPr>
            <w:tcW w:w="826" w:type="pct"/>
            <w:shd w:val="clear" w:color="auto" w:fill="auto"/>
            <w:noWrap/>
            <w:vAlign w:val="center"/>
          </w:tcPr>
          <w:p w14:paraId="6840ACA6">
            <w:pPr>
              <w:pStyle w:val="26"/>
              <w:bidi w:val="0"/>
              <w:jc w:val="center"/>
              <w:rPr>
                <w:rFonts w:hint="eastAsia"/>
                <w:lang w:val="en-US" w:eastAsia="zh-CN"/>
              </w:rPr>
            </w:pPr>
            <w:r>
              <w:t>3798</w:t>
            </w:r>
          </w:p>
        </w:tc>
      </w:tr>
      <w:tr w14:paraId="4576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8369F36">
            <w:pPr>
              <w:pStyle w:val="26"/>
              <w:bidi w:val="0"/>
              <w:jc w:val="center"/>
              <w:rPr>
                <w:rFonts w:hint="eastAsia"/>
                <w:lang w:val="en-US" w:eastAsia="zh-CN"/>
              </w:rPr>
            </w:pPr>
            <w:r>
              <w:rPr>
                <w:rFonts w:hint="default"/>
                <w:lang w:val="en-US" w:eastAsia="zh-CN"/>
              </w:rPr>
              <w:t>141</w:t>
            </w:r>
          </w:p>
        </w:tc>
        <w:tc>
          <w:tcPr>
            <w:tcW w:w="939" w:type="pct"/>
            <w:shd w:val="clear" w:color="auto" w:fill="auto"/>
            <w:noWrap/>
            <w:vAlign w:val="center"/>
          </w:tcPr>
          <w:p w14:paraId="512CA54B">
            <w:pPr>
              <w:pStyle w:val="26"/>
              <w:bidi w:val="0"/>
              <w:jc w:val="center"/>
              <w:rPr>
                <w:rFonts w:hint="eastAsia"/>
                <w:lang w:val="en-US" w:eastAsia="zh-CN"/>
              </w:rPr>
            </w:pPr>
            <w:r>
              <w:t>绿地理想家园</w:t>
            </w:r>
          </w:p>
        </w:tc>
        <w:tc>
          <w:tcPr>
            <w:tcW w:w="609" w:type="pct"/>
            <w:shd w:val="clear" w:color="auto" w:fill="auto"/>
            <w:vAlign w:val="center"/>
          </w:tcPr>
          <w:p w14:paraId="6E8036B2">
            <w:pPr>
              <w:pStyle w:val="26"/>
              <w:bidi w:val="0"/>
              <w:jc w:val="center"/>
              <w:rPr>
                <w:lang w:val="en-US" w:eastAsia="zh-CN"/>
              </w:rPr>
            </w:pPr>
            <w:r>
              <w:t>居民区</w:t>
            </w:r>
          </w:p>
        </w:tc>
        <w:tc>
          <w:tcPr>
            <w:tcW w:w="728" w:type="pct"/>
            <w:shd w:val="clear" w:color="auto" w:fill="auto"/>
            <w:noWrap/>
            <w:vAlign w:val="center"/>
          </w:tcPr>
          <w:p w14:paraId="499EF549">
            <w:pPr>
              <w:pStyle w:val="26"/>
              <w:bidi w:val="0"/>
              <w:jc w:val="center"/>
              <w:rPr>
                <w:rFonts w:hint="eastAsia"/>
                <w:lang w:val="en-US" w:eastAsia="zh-CN"/>
              </w:rPr>
            </w:pPr>
            <w:r>
              <w:t>6285</w:t>
            </w:r>
          </w:p>
        </w:tc>
        <w:tc>
          <w:tcPr>
            <w:tcW w:w="709" w:type="pct"/>
            <w:vMerge w:val="continue"/>
            <w:vAlign w:val="center"/>
          </w:tcPr>
          <w:p w14:paraId="26F5042D">
            <w:pPr>
              <w:pStyle w:val="26"/>
              <w:bidi w:val="0"/>
              <w:jc w:val="center"/>
              <w:rPr>
                <w:color w:val="auto"/>
                <w:highlight w:val="none"/>
                <w:lang w:val="en-US" w:eastAsia="zh-CN"/>
              </w:rPr>
            </w:pPr>
          </w:p>
        </w:tc>
        <w:tc>
          <w:tcPr>
            <w:tcW w:w="826" w:type="pct"/>
            <w:shd w:val="clear" w:color="auto" w:fill="auto"/>
            <w:noWrap/>
            <w:vAlign w:val="center"/>
          </w:tcPr>
          <w:p w14:paraId="12E0AA87">
            <w:pPr>
              <w:pStyle w:val="26"/>
              <w:bidi w:val="0"/>
              <w:jc w:val="center"/>
              <w:rPr>
                <w:rFonts w:hint="eastAsia"/>
                <w:lang w:val="en-US" w:eastAsia="zh-CN"/>
              </w:rPr>
            </w:pPr>
            <w:r>
              <w:t>西南</w:t>
            </w:r>
          </w:p>
        </w:tc>
        <w:tc>
          <w:tcPr>
            <w:tcW w:w="826" w:type="pct"/>
            <w:shd w:val="clear" w:color="auto" w:fill="auto"/>
            <w:noWrap/>
            <w:vAlign w:val="center"/>
          </w:tcPr>
          <w:p w14:paraId="0DC4FD8C">
            <w:pPr>
              <w:pStyle w:val="26"/>
              <w:bidi w:val="0"/>
              <w:jc w:val="center"/>
              <w:rPr>
                <w:rFonts w:hint="eastAsia"/>
                <w:lang w:val="en-US" w:eastAsia="zh-CN"/>
              </w:rPr>
            </w:pPr>
            <w:r>
              <w:t>4205</w:t>
            </w:r>
          </w:p>
        </w:tc>
      </w:tr>
      <w:tr w14:paraId="13D6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0C01234">
            <w:pPr>
              <w:pStyle w:val="26"/>
              <w:bidi w:val="0"/>
              <w:jc w:val="center"/>
              <w:rPr>
                <w:rFonts w:hint="eastAsia"/>
                <w:lang w:val="en-US" w:eastAsia="zh-CN"/>
              </w:rPr>
            </w:pPr>
            <w:r>
              <w:rPr>
                <w:rFonts w:hint="default"/>
                <w:lang w:val="en-US" w:eastAsia="zh-CN"/>
              </w:rPr>
              <w:t>142</w:t>
            </w:r>
          </w:p>
        </w:tc>
        <w:tc>
          <w:tcPr>
            <w:tcW w:w="939" w:type="pct"/>
            <w:shd w:val="clear" w:color="auto" w:fill="auto"/>
            <w:noWrap/>
            <w:vAlign w:val="center"/>
          </w:tcPr>
          <w:p w14:paraId="7866CB7B">
            <w:pPr>
              <w:pStyle w:val="26"/>
              <w:bidi w:val="0"/>
              <w:jc w:val="center"/>
              <w:rPr>
                <w:rFonts w:hint="eastAsia"/>
                <w:lang w:val="en-US" w:eastAsia="zh-CN"/>
              </w:rPr>
            </w:pPr>
            <w:r>
              <w:t>永利裕园</w:t>
            </w:r>
          </w:p>
        </w:tc>
        <w:tc>
          <w:tcPr>
            <w:tcW w:w="609" w:type="pct"/>
            <w:shd w:val="clear" w:color="auto" w:fill="auto"/>
            <w:vAlign w:val="center"/>
          </w:tcPr>
          <w:p w14:paraId="4283D3EE">
            <w:pPr>
              <w:pStyle w:val="26"/>
              <w:bidi w:val="0"/>
              <w:jc w:val="center"/>
              <w:rPr>
                <w:lang w:val="en-US" w:eastAsia="zh-CN"/>
              </w:rPr>
            </w:pPr>
            <w:r>
              <w:t>居民区</w:t>
            </w:r>
          </w:p>
        </w:tc>
        <w:tc>
          <w:tcPr>
            <w:tcW w:w="728" w:type="pct"/>
            <w:shd w:val="clear" w:color="auto" w:fill="auto"/>
            <w:noWrap/>
            <w:vAlign w:val="center"/>
          </w:tcPr>
          <w:p w14:paraId="25BDD0B3">
            <w:pPr>
              <w:pStyle w:val="26"/>
              <w:bidi w:val="0"/>
              <w:jc w:val="center"/>
              <w:rPr>
                <w:rFonts w:hint="eastAsia"/>
                <w:lang w:val="en-US" w:eastAsia="zh-CN"/>
              </w:rPr>
            </w:pPr>
            <w:r>
              <w:t>4116</w:t>
            </w:r>
          </w:p>
        </w:tc>
        <w:tc>
          <w:tcPr>
            <w:tcW w:w="709" w:type="pct"/>
            <w:vMerge w:val="continue"/>
            <w:vAlign w:val="center"/>
          </w:tcPr>
          <w:p w14:paraId="7A00C70F">
            <w:pPr>
              <w:pStyle w:val="26"/>
              <w:bidi w:val="0"/>
              <w:jc w:val="center"/>
              <w:rPr>
                <w:color w:val="auto"/>
                <w:highlight w:val="none"/>
                <w:lang w:val="en-US" w:eastAsia="zh-CN"/>
              </w:rPr>
            </w:pPr>
          </w:p>
        </w:tc>
        <w:tc>
          <w:tcPr>
            <w:tcW w:w="826" w:type="pct"/>
            <w:shd w:val="clear" w:color="auto" w:fill="auto"/>
            <w:noWrap/>
            <w:vAlign w:val="center"/>
          </w:tcPr>
          <w:p w14:paraId="4989EA5E">
            <w:pPr>
              <w:pStyle w:val="26"/>
              <w:bidi w:val="0"/>
              <w:jc w:val="center"/>
              <w:rPr>
                <w:rFonts w:hint="eastAsia"/>
                <w:lang w:val="en-US" w:eastAsia="zh-CN"/>
              </w:rPr>
            </w:pPr>
            <w:r>
              <w:t>西南</w:t>
            </w:r>
          </w:p>
        </w:tc>
        <w:tc>
          <w:tcPr>
            <w:tcW w:w="826" w:type="pct"/>
            <w:shd w:val="clear" w:color="auto" w:fill="auto"/>
            <w:noWrap/>
            <w:vAlign w:val="center"/>
          </w:tcPr>
          <w:p w14:paraId="49A019B2">
            <w:pPr>
              <w:pStyle w:val="26"/>
              <w:bidi w:val="0"/>
              <w:jc w:val="center"/>
              <w:rPr>
                <w:rFonts w:hint="eastAsia"/>
                <w:lang w:val="en-US" w:eastAsia="zh-CN"/>
              </w:rPr>
            </w:pPr>
            <w:r>
              <w:t>4230</w:t>
            </w:r>
          </w:p>
        </w:tc>
      </w:tr>
      <w:tr w14:paraId="4AF3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E2C5E59">
            <w:pPr>
              <w:pStyle w:val="26"/>
              <w:bidi w:val="0"/>
              <w:jc w:val="center"/>
              <w:rPr>
                <w:rFonts w:hint="eastAsia"/>
                <w:lang w:val="en-US" w:eastAsia="zh-CN"/>
              </w:rPr>
            </w:pPr>
            <w:r>
              <w:rPr>
                <w:rFonts w:hint="default"/>
                <w:lang w:val="en-US" w:eastAsia="zh-CN"/>
              </w:rPr>
              <w:t>143</w:t>
            </w:r>
          </w:p>
        </w:tc>
        <w:tc>
          <w:tcPr>
            <w:tcW w:w="939" w:type="pct"/>
            <w:shd w:val="clear" w:color="auto" w:fill="auto"/>
            <w:noWrap/>
            <w:vAlign w:val="center"/>
          </w:tcPr>
          <w:p w14:paraId="17F31FAB">
            <w:pPr>
              <w:pStyle w:val="26"/>
              <w:bidi w:val="0"/>
              <w:jc w:val="center"/>
              <w:rPr>
                <w:rFonts w:hint="eastAsia"/>
                <w:lang w:val="en-US" w:eastAsia="zh-CN"/>
              </w:rPr>
            </w:pPr>
            <w:r>
              <w:t>建滔裕园</w:t>
            </w:r>
          </w:p>
        </w:tc>
        <w:tc>
          <w:tcPr>
            <w:tcW w:w="609" w:type="pct"/>
            <w:shd w:val="clear" w:color="auto" w:fill="auto"/>
            <w:vAlign w:val="center"/>
          </w:tcPr>
          <w:p w14:paraId="26B41FF4">
            <w:pPr>
              <w:pStyle w:val="26"/>
              <w:bidi w:val="0"/>
              <w:jc w:val="center"/>
              <w:rPr>
                <w:lang w:val="en-US" w:eastAsia="zh-CN"/>
              </w:rPr>
            </w:pPr>
            <w:r>
              <w:t>居民区</w:t>
            </w:r>
          </w:p>
        </w:tc>
        <w:tc>
          <w:tcPr>
            <w:tcW w:w="728" w:type="pct"/>
            <w:shd w:val="clear" w:color="auto" w:fill="auto"/>
            <w:noWrap/>
            <w:vAlign w:val="center"/>
          </w:tcPr>
          <w:p w14:paraId="40B98F8C">
            <w:pPr>
              <w:pStyle w:val="26"/>
              <w:bidi w:val="0"/>
              <w:jc w:val="center"/>
              <w:rPr>
                <w:rFonts w:hint="eastAsia"/>
                <w:lang w:val="en-US" w:eastAsia="zh-CN"/>
              </w:rPr>
            </w:pPr>
            <w:r>
              <w:t>5206</w:t>
            </w:r>
          </w:p>
        </w:tc>
        <w:tc>
          <w:tcPr>
            <w:tcW w:w="709" w:type="pct"/>
            <w:vMerge w:val="continue"/>
            <w:vAlign w:val="center"/>
          </w:tcPr>
          <w:p w14:paraId="1EAF6020">
            <w:pPr>
              <w:pStyle w:val="26"/>
              <w:bidi w:val="0"/>
              <w:jc w:val="center"/>
              <w:rPr>
                <w:color w:val="auto"/>
                <w:highlight w:val="none"/>
                <w:lang w:val="en-US" w:eastAsia="zh-CN"/>
              </w:rPr>
            </w:pPr>
          </w:p>
        </w:tc>
        <w:tc>
          <w:tcPr>
            <w:tcW w:w="826" w:type="pct"/>
            <w:shd w:val="clear" w:color="auto" w:fill="auto"/>
            <w:noWrap/>
            <w:vAlign w:val="center"/>
          </w:tcPr>
          <w:p w14:paraId="182459FB">
            <w:pPr>
              <w:pStyle w:val="26"/>
              <w:bidi w:val="0"/>
              <w:jc w:val="center"/>
              <w:rPr>
                <w:rFonts w:hint="eastAsia"/>
                <w:lang w:val="en-US" w:eastAsia="zh-CN"/>
              </w:rPr>
            </w:pPr>
            <w:r>
              <w:t>西南</w:t>
            </w:r>
          </w:p>
        </w:tc>
        <w:tc>
          <w:tcPr>
            <w:tcW w:w="826" w:type="pct"/>
            <w:shd w:val="clear" w:color="auto" w:fill="auto"/>
            <w:noWrap/>
            <w:vAlign w:val="center"/>
          </w:tcPr>
          <w:p w14:paraId="636332CD">
            <w:pPr>
              <w:pStyle w:val="26"/>
              <w:bidi w:val="0"/>
              <w:jc w:val="center"/>
              <w:rPr>
                <w:rFonts w:hint="eastAsia"/>
                <w:lang w:val="en-US" w:eastAsia="zh-CN"/>
              </w:rPr>
            </w:pPr>
            <w:r>
              <w:t>4250</w:t>
            </w:r>
          </w:p>
        </w:tc>
      </w:tr>
      <w:tr w14:paraId="6A4A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C3F14E1">
            <w:pPr>
              <w:pStyle w:val="26"/>
              <w:bidi w:val="0"/>
              <w:jc w:val="center"/>
              <w:rPr>
                <w:rFonts w:hint="eastAsia"/>
                <w:lang w:val="en-US" w:eastAsia="zh-CN"/>
              </w:rPr>
            </w:pPr>
            <w:r>
              <w:rPr>
                <w:rFonts w:hint="default"/>
                <w:lang w:val="en-US" w:eastAsia="zh-CN"/>
              </w:rPr>
              <w:t>144</w:t>
            </w:r>
          </w:p>
        </w:tc>
        <w:tc>
          <w:tcPr>
            <w:tcW w:w="939" w:type="pct"/>
            <w:shd w:val="clear" w:color="auto" w:fill="auto"/>
            <w:noWrap/>
            <w:vAlign w:val="center"/>
          </w:tcPr>
          <w:p w14:paraId="1EFD3EA0">
            <w:pPr>
              <w:pStyle w:val="26"/>
              <w:bidi w:val="0"/>
              <w:jc w:val="center"/>
              <w:rPr>
                <w:rFonts w:hint="eastAsia"/>
                <w:lang w:val="en-US" w:eastAsia="zh-CN"/>
              </w:rPr>
            </w:pPr>
            <w:r>
              <w:t>滨江御花园</w:t>
            </w:r>
          </w:p>
        </w:tc>
        <w:tc>
          <w:tcPr>
            <w:tcW w:w="609" w:type="pct"/>
            <w:shd w:val="clear" w:color="auto" w:fill="auto"/>
            <w:vAlign w:val="center"/>
          </w:tcPr>
          <w:p w14:paraId="0431FC25">
            <w:pPr>
              <w:pStyle w:val="26"/>
              <w:bidi w:val="0"/>
              <w:jc w:val="center"/>
              <w:rPr>
                <w:lang w:val="en-US" w:eastAsia="zh-CN"/>
              </w:rPr>
            </w:pPr>
            <w:r>
              <w:t>居民区</w:t>
            </w:r>
          </w:p>
        </w:tc>
        <w:tc>
          <w:tcPr>
            <w:tcW w:w="728" w:type="pct"/>
            <w:shd w:val="clear" w:color="auto" w:fill="auto"/>
            <w:noWrap/>
            <w:vAlign w:val="center"/>
          </w:tcPr>
          <w:p w14:paraId="3BD67E7F">
            <w:pPr>
              <w:pStyle w:val="26"/>
              <w:bidi w:val="0"/>
              <w:jc w:val="center"/>
              <w:rPr>
                <w:rFonts w:hint="eastAsia"/>
                <w:lang w:val="en-US" w:eastAsia="zh-CN"/>
              </w:rPr>
            </w:pPr>
            <w:r>
              <w:t>5000</w:t>
            </w:r>
          </w:p>
        </w:tc>
        <w:tc>
          <w:tcPr>
            <w:tcW w:w="709" w:type="pct"/>
            <w:vMerge w:val="continue"/>
            <w:vAlign w:val="center"/>
          </w:tcPr>
          <w:p w14:paraId="68FC1764">
            <w:pPr>
              <w:pStyle w:val="26"/>
              <w:bidi w:val="0"/>
              <w:jc w:val="center"/>
              <w:rPr>
                <w:color w:val="auto"/>
                <w:highlight w:val="none"/>
                <w:lang w:val="en-US" w:eastAsia="zh-CN"/>
              </w:rPr>
            </w:pPr>
          </w:p>
        </w:tc>
        <w:tc>
          <w:tcPr>
            <w:tcW w:w="826" w:type="pct"/>
            <w:shd w:val="clear" w:color="auto" w:fill="auto"/>
            <w:noWrap/>
            <w:vAlign w:val="center"/>
          </w:tcPr>
          <w:p w14:paraId="4C9BD4BC">
            <w:pPr>
              <w:pStyle w:val="26"/>
              <w:bidi w:val="0"/>
              <w:jc w:val="center"/>
              <w:rPr>
                <w:rFonts w:hint="eastAsia"/>
                <w:lang w:val="en-US" w:eastAsia="zh-CN"/>
              </w:rPr>
            </w:pPr>
            <w:r>
              <w:t>西南</w:t>
            </w:r>
          </w:p>
        </w:tc>
        <w:tc>
          <w:tcPr>
            <w:tcW w:w="826" w:type="pct"/>
            <w:shd w:val="clear" w:color="auto" w:fill="auto"/>
            <w:noWrap/>
            <w:vAlign w:val="center"/>
          </w:tcPr>
          <w:p w14:paraId="4543D1C8">
            <w:pPr>
              <w:pStyle w:val="26"/>
              <w:bidi w:val="0"/>
              <w:jc w:val="center"/>
              <w:rPr>
                <w:rFonts w:hint="eastAsia"/>
                <w:lang w:val="en-US" w:eastAsia="zh-CN"/>
              </w:rPr>
            </w:pPr>
            <w:r>
              <w:t>4290</w:t>
            </w:r>
          </w:p>
        </w:tc>
      </w:tr>
      <w:tr w14:paraId="2E98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A7C0E23">
            <w:pPr>
              <w:pStyle w:val="26"/>
              <w:bidi w:val="0"/>
              <w:jc w:val="center"/>
              <w:rPr>
                <w:rFonts w:hint="eastAsia"/>
                <w:lang w:val="en-US" w:eastAsia="zh-CN"/>
              </w:rPr>
            </w:pPr>
            <w:r>
              <w:rPr>
                <w:rFonts w:hint="default"/>
                <w:lang w:val="en-US" w:eastAsia="zh-CN"/>
              </w:rPr>
              <w:t>145</w:t>
            </w:r>
          </w:p>
        </w:tc>
        <w:tc>
          <w:tcPr>
            <w:tcW w:w="939" w:type="pct"/>
            <w:shd w:val="clear" w:color="auto" w:fill="auto"/>
            <w:noWrap/>
            <w:vAlign w:val="center"/>
          </w:tcPr>
          <w:p w14:paraId="10A2262C">
            <w:pPr>
              <w:pStyle w:val="26"/>
              <w:bidi w:val="0"/>
              <w:jc w:val="center"/>
              <w:rPr>
                <w:rFonts w:hint="eastAsia"/>
                <w:lang w:val="en-US" w:eastAsia="zh-CN"/>
              </w:rPr>
            </w:pPr>
            <w:r>
              <w:t>万科魅力花园-西区</w:t>
            </w:r>
          </w:p>
        </w:tc>
        <w:tc>
          <w:tcPr>
            <w:tcW w:w="609" w:type="pct"/>
            <w:shd w:val="clear" w:color="auto" w:fill="auto"/>
            <w:vAlign w:val="center"/>
          </w:tcPr>
          <w:p w14:paraId="5716428C">
            <w:pPr>
              <w:pStyle w:val="26"/>
              <w:bidi w:val="0"/>
              <w:jc w:val="center"/>
              <w:rPr>
                <w:lang w:val="en-US" w:eastAsia="zh-CN"/>
              </w:rPr>
            </w:pPr>
            <w:r>
              <w:t>居民区</w:t>
            </w:r>
          </w:p>
        </w:tc>
        <w:tc>
          <w:tcPr>
            <w:tcW w:w="728" w:type="pct"/>
            <w:shd w:val="clear" w:color="auto" w:fill="auto"/>
            <w:noWrap/>
            <w:vAlign w:val="center"/>
          </w:tcPr>
          <w:p w14:paraId="6BD2E3F2">
            <w:pPr>
              <w:pStyle w:val="26"/>
              <w:bidi w:val="0"/>
              <w:jc w:val="center"/>
              <w:rPr>
                <w:rFonts w:hint="eastAsia"/>
                <w:lang w:val="en-US" w:eastAsia="zh-CN"/>
              </w:rPr>
            </w:pPr>
            <w:r>
              <w:t>6507</w:t>
            </w:r>
          </w:p>
        </w:tc>
        <w:tc>
          <w:tcPr>
            <w:tcW w:w="709" w:type="pct"/>
            <w:vMerge w:val="continue"/>
            <w:vAlign w:val="center"/>
          </w:tcPr>
          <w:p w14:paraId="6E012479">
            <w:pPr>
              <w:pStyle w:val="26"/>
              <w:bidi w:val="0"/>
              <w:jc w:val="center"/>
              <w:rPr>
                <w:color w:val="auto"/>
                <w:highlight w:val="none"/>
                <w:lang w:val="en-US" w:eastAsia="zh-CN"/>
              </w:rPr>
            </w:pPr>
          </w:p>
        </w:tc>
        <w:tc>
          <w:tcPr>
            <w:tcW w:w="826" w:type="pct"/>
            <w:shd w:val="clear" w:color="auto" w:fill="auto"/>
            <w:noWrap/>
            <w:vAlign w:val="center"/>
          </w:tcPr>
          <w:p w14:paraId="0CA8754B">
            <w:pPr>
              <w:pStyle w:val="26"/>
              <w:bidi w:val="0"/>
              <w:jc w:val="center"/>
              <w:rPr>
                <w:rFonts w:hint="eastAsia"/>
                <w:lang w:val="en-US" w:eastAsia="zh-CN"/>
              </w:rPr>
            </w:pPr>
            <w:r>
              <w:t>西南</w:t>
            </w:r>
          </w:p>
        </w:tc>
        <w:tc>
          <w:tcPr>
            <w:tcW w:w="826" w:type="pct"/>
            <w:shd w:val="clear" w:color="auto" w:fill="auto"/>
            <w:noWrap/>
            <w:vAlign w:val="center"/>
          </w:tcPr>
          <w:p w14:paraId="56073B42">
            <w:pPr>
              <w:pStyle w:val="26"/>
              <w:bidi w:val="0"/>
              <w:jc w:val="center"/>
              <w:rPr>
                <w:rFonts w:hint="eastAsia"/>
                <w:lang w:val="en-US" w:eastAsia="zh-CN"/>
              </w:rPr>
            </w:pPr>
            <w:r>
              <w:t>4910</w:t>
            </w:r>
          </w:p>
        </w:tc>
      </w:tr>
      <w:tr w14:paraId="136E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A259063">
            <w:pPr>
              <w:pStyle w:val="26"/>
              <w:bidi w:val="0"/>
              <w:jc w:val="center"/>
              <w:rPr>
                <w:rFonts w:hint="eastAsia"/>
                <w:lang w:val="en-US" w:eastAsia="zh-CN"/>
              </w:rPr>
            </w:pPr>
            <w:r>
              <w:rPr>
                <w:rFonts w:hint="default"/>
                <w:lang w:val="en-US" w:eastAsia="zh-CN"/>
              </w:rPr>
              <w:t>146</w:t>
            </w:r>
          </w:p>
        </w:tc>
        <w:tc>
          <w:tcPr>
            <w:tcW w:w="939" w:type="pct"/>
            <w:shd w:val="clear" w:color="auto" w:fill="auto"/>
            <w:noWrap/>
            <w:vAlign w:val="center"/>
          </w:tcPr>
          <w:p w14:paraId="51D26DD6">
            <w:pPr>
              <w:pStyle w:val="26"/>
              <w:bidi w:val="0"/>
              <w:jc w:val="center"/>
              <w:rPr>
                <w:rFonts w:hint="eastAsia"/>
                <w:lang w:val="en-US" w:eastAsia="zh-CN"/>
              </w:rPr>
            </w:pPr>
            <w:r>
              <w:t>万科魅力花园-东区</w:t>
            </w:r>
          </w:p>
        </w:tc>
        <w:tc>
          <w:tcPr>
            <w:tcW w:w="609" w:type="pct"/>
            <w:shd w:val="clear" w:color="auto" w:fill="auto"/>
            <w:vAlign w:val="center"/>
          </w:tcPr>
          <w:p w14:paraId="7DE19222">
            <w:pPr>
              <w:pStyle w:val="26"/>
              <w:bidi w:val="0"/>
              <w:jc w:val="center"/>
              <w:rPr>
                <w:lang w:val="en-US" w:eastAsia="zh-CN"/>
              </w:rPr>
            </w:pPr>
            <w:r>
              <w:t>居民区</w:t>
            </w:r>
          </w:p>
        </w:tc>
        <w:tc>
          <w:tcPr>
            <w:tcW w:w="728" w:type="pct"/>
            <w:shd w:val="clear" w:color="auto" w:fill="auto"/>
            <w:noWrap/>
            <w:vAlign w:val="center"/>
          </w:tcPr>
          <w:p w14:paraId="65139C31">
            <w:pPr>
              <w:pStyle w:val="26"/>
              <w:bidi w:val="0"/>
              <w:jc w:val="center"/>
              <w:rPr>
                <w:rFonts w:hint="eastAsia"/>
                <w:lang w:val="en-US" w:eastAsia="zh-CN"/>
              </w:rPr>
            </w:pPr>
            <w:r>
              <w:t>7152</w:t>
            </w:r>
          </w:p>
        </w:tc>
        <w:tc>
          <w:tcPr>
            <w:tcW w:w="709" w:type="pct"/>
            <w:vMerge w:val="continue"/>
            <w:vAlign w:val="center"/>
          </w:tcPr>
          <w:p w14:paraId="35CDA28A">
            <w:pPr>
              <w:pStyle w:val="26"/>
              <w:bidi w:val="0"/>
              <w:jc w:val="center"/>
              <w:rPr>
                <w:color w:val="auto"/>
                <w:highlight w:val="none"/>
                <w:lang w:val="en-US" w:eastAsia="zh-CN"/>
              </w:rPr>
            </w:pPr>
          </w:p>
        </w:tc>
        <w:tc>
          <w:tcPr>
            <w:tcW w:w="826" w:type="pct"/>
            <w:shd w:val="clear" w:color="auto" w:fill="auto"/>
            <w:noWrap/>
            <w:vAlign w:val="center"/>
          </w:tcPr>
          <w:p w14:paraId="6601C873">
            <w:pPr>
              <w:pStyle w:val="26"/>
              <w:bidi w:val="0"/>
              <w:jc w:val="center"/>
              <w:rPr>
                <w:rFonts w:hint="eastAsia"/>
                <w:lang w:val="en-US" w:eastAsia="zh-CN"/>
              </w:rPr>
            </w:pPr>
            <w:r>
              <w:t>西南</w:t>
            </w:r>
          </w:p>
        </w:tc>
        <w:tc>
          <w:tcPr>
            <w:tcW w:w="826" w:type="pct"/>
            <w:shd w:val="clear" w:color="auto" w:fill="auto"/>
            <w:noWrap/>
            <w:vAlign w:val="center"/>
          </w:tcPr>
          <w:p w14:paraId="14910B8C">
            <w:pPr>
              <w:pStyle w:val="26"/>
              <w:bidi w:val="0"/>
              <w:jc w:val="center"/>
              <w:rPr>
                <w:rFonts w:hint="eastAsia"/>
                <w:lang w:val="en-US" w:eastAsia="zh-CN"/>
              </w:rPr>
            </w:pPr>
            <w:r>
              <w:t>4860</w:t>
            </w:r>
          </w:p>
        </w:tc>
      </w:tr>
      <w:tr w14:paraId="7D6D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FF9DA72">
            <w:pPr>
              <w:pStyle w:val="26"/>
              <w:bidi w:val="0"/>
              <w:jc w:val="center"/>
              <w:rPr>
                <w:rFonts w:hint="eastAsia"/>
                <w:lang w:val="en-US" w:eastAsia="zh-CN"/>
              </w:rPr>
            </w:pPr>
            <w:r>
              <w:rPr>
                <w:rFonts w:hint="default"/>
                <w:lang w:val="en-US" w:eastAsia="zh-CN"/>
              </w:rPr>
              <w:t>147</w:t>
            </w:r>
          </w:p>
        </w:tc>
        <w:tc>
          <w:tcPr>
            <w:tcW w:w="939" w:type="pct"/>
            <w:shd w:val="clear" w:color="auto" w:fill="auto"/>
            <w:noWrap/>
            <w:vAlign w:val="center"/>
          </w:tcPr>
          <w:p w14:paraId="097BF95D">
            <w:pPr>
              <w:pStyle w:val="26"/>
              <w:bidi w:val="0"/>
              <w:jc w:val="center"/>
              <w:rPr>
                <w:rFonts w:hint="eastAsia"/>
                <w:lang w:val="en-US" w:eastAsia="zh-CN"/>
              </w:rPr>
            </w:pPr>
            <w:r>
              <w:t>万科魅力花园-南区</w:t>
            </w:r>
          </w:p>
        </w:tc>
        <w:tc>
          <w:tcPr>
            <w:tcW w:w="609" w:type="pct"/>
            <w:shd w:val="clear" w:color="auto" w:fill="auto"/>
            <w:vAlign w:val="center"/>
          </w:tcPr>
          <w:p w14:paraId="4763AD0A">
            <w:pPr>
              <w:pStyle w:val="26"/>
              <w:bidi w:val="0"/>
              <w:jc w:val="center"/>
              <w:rPr>
                <w:lang w:val="en-US" w:eastAsia="zh-CN"/>
              </w:rPr>
            </w:pPr>
            <w:r>
              <w:t>居民区</w:t>
            </w:r>
          </w:p>
        </w:tc>
        <w:tc>
          <w:tcPr>
            <w:tcW w:w="728" w:type="pct"/>
            <w:shd w:val="clear" w:color="auto" w:fill="auto"/>
            <w:noWrap/>
            <w:vAlign w:val="center"/>
          </w:tcPr>
          <w:p w14:paraId="2390A564">
            <w:pPr>
              <w:pStyle w:val="26"/>
              <w:bidi w:val="0"/>
              <w:jc w:val="center"/>
              <w:rPr>
                <w:rFonts w:hint="eastAsia"/>
                <w:lang w:val="en-US" w:eastAsia="zh-CN"/>
              </w:rPr>
            </w:pPr>
            <w:r>
              <w:t>11379</w:t>
            </w:r>
          </w:p>
        </w:tc>
        <w:tc>
          <w:tcPr>
            <w:tcW w:w="709" w:type="pct"/>
            <w:vMerge w:val="continue"/>
            <w:vAlign w:val="center"/>
          </w:tcPr>
          <w:p w14:paraId="7C457806">
            <w:pPr>
              <w:pStyle w:val="26"/>
              <w:bidi w:val="0"/>
              <w:jc w:val="center"/>
              <w:rPr>
                <w:color w:val="auto"/>
                <w:highlight w:val="none"/>
                <w:lang w:val="en-US" w:eastAsia="zh-CN"/>
              </w:rPr>
            </w:pPr>
          </w:p>
        </w:tc>
        <w:tc>
          <w:tcPr>
            <w:tcW w:w="826" w:type="pct"/>
            <w:shd w:val="clear" w:color="auto" w:fill="auto"/>
            <w:noWrap/>
            <w:vAlign w:val="center"/>
          </w:tcPr>
          <w:p w14:paraId="477ADF8C">
            <w:pPr>
              <w:pStyle w:val="26"/>
              <w:bidi w:val="0"/>
              <w:jc w:val="center"/>
              <w:rPr>
                <w:rFonts w:hint="eastAsia"/>
                <w:lang w:val="en-US" w:eastAsia="zh-CN"/>
              </w:rPr>
            </w:pPr>
            <w:r>
              <w:t>西南</w:t>
            </w:r>
          </w:p>
        </w:tc>
        <w:tc>
          <w:tcPr>
            <w:tcW w:w="826" w:type="pct"/>
            <w:shd w:val="clear" w:color="auto" w:fill="auto"/>
            <w:noWrap/>
            <w:vAlign w:val="center"/>
          </w:tcPr>
          <w:p w14:paraId="635D7897">
            <w:pPr>
              <w:pStyle w:val="26"/>
              <w:bidi w:val="0"/>
              <w:jc w:val="center"/>
              <w:rPr>
                <w:rFonts w:hint="eastAsia"/>
                <w:lang w:val="en-US" w:eastAsia="zh-CN"/>
              </w:rPr>
            </w:pPr>
            <w:r>
              <w:t>4950</w:t>
            </w:r>
          </w:p>
        </w:tc>
      </w:tr>
      <w:tr w14:paraId="60C1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8D19F7E">
            <w:pPr>
              <w:pStyle w:val="26"/>
              <w:bidi w:val="0"/>
              <w:jc w:val="center"/>
              <w:rPr>
                <w:rFonts w:hint="eastAsia"/>
                <w:lang w:val="en-US" w:eastAsia="zh-CN"/>
              </w:rPr>
            </w:pPr>
            <w:r>
              <w:rPr>
                <w:rFonts w:hint="default"/>
                <w:lang w:val="en-US" w:eastAsia="zh-CN"/>
              </w:rPr>
              <w:t>148</w:t>
            </w:r>
          </w:p>
        </w:tc>
        <w:tc>
          <w:tcPr>
            <w:tcW w:w="939" w:type="pct"/>
            <w:shd w:val="clear" w:color="auto" w:fill="auto"/>
            <w:noWrap/>
            <w:vAlign w:val="center"/>
          </w:tcPr>
          <w:p w14:paraId="0D845FD1">
            <w:pPr>
              <w:pStyle w:val="26"/>
              <w:bidi w:val="0"/>
              <w:jc w:val="center"/>
              <w:rPr>
                <w:rFonts w:hint="eastAsia"/>
                <w:lang w:val="en-US" w:eastAsia="zh-CN"/>
              </w:rPr>
            </w:pPr>
            <w:r>
              <w:t>绿地滨江雅苑</w:t>
            </w:r>
          </w:p>
        </w:tc>
        <w:tc>
          <w:tcPr>
            <w:tcW w:w="609" w:type="pct"/>
            <w:shd w:val="clear" w:color="auto" w:fill="auto"/>
            <w:vAlign w:val="center"/>
          </w:tcPr>
          <w:p w14:paraId="333D4A93">
            <w:pPr>
              <w:pStyle w:val="26"/>
              <w:bidi w:val="0"/>
              <w:jc w:val="center"/>
              <w:rPr>
                <w:lang w:val="en-US" w:eastAsia="zh-CN"/>
              </w:rPr>
            </w:pPr>
            <w:r>
              <w:t>居民区</w:t>
            </w:r>
          </w:p>
        </w:tc>
        <w:tc>
          <w:tcPr>
            <w:tcW w:w="728" w:type="pct"/>
            <w:shd w:val="clear" w:color="auto" w:fill="auto"/>
            <w:noWrap/>
            <w:vAlign w:val="center"/>
          </w:tcPr>
          <w:p w14:paraId="68953000">
            <w:pPr>
              <w:pStyle w:val="26"/>
              <w:bidi w:val="0"/>
              <w:jc w:val="center"/>
              <w:rPr>
                <w:rFonts w:hint="eastAsia"/>
                <w:lang w:val="en-US" w:eastAsia="zh-CN"/>
              </w:rPr>
            </w:pPr>
            <w:r>
              <w:t>6288</w:t>
            </w:r>
          </w:p>
        </w:tc>
        <w:tc>
          <w:tcPr>
            <w:tcW w:w="709" w:type="pct"/>
            <w:vMerge w:val="continue"/>
            <w:vAlign w:val="center"/>
          </w:tcPr>
          <w:p w14:paraId="2509915B">
            <w:pPr>
              <w:pStyle w:val="26"/>
              <w:bidi w:val="0"/>
              <w:jc w:val="center"/>
              <w:rPr>
                <w:color w:val="auto"/>
                <w:highlight w:val="none"/>
                <w:lang w:val="en-US" w:eastAsia="zh-CN"/>
              </w:rPr>
            </w:pPr>
          </w:p>
        </w:tc>
        <w:tc>
          <w:tcPr>
            <w:tcW w:w="826" w:type="pct"/>
            <w:shd w:val="clear" w:color="auto" w:fill="auto"/>
            <w:noWrap/>
            <w:vAlign w:val="center"/>
          </w:tcPr>
          <w:p w14:paraId="4612BB80">
            <w:pPr>
              <w:pStyle w:val="26"/>
              <w:bidi w:val="0"/>
              <w:jc w:val="center"/>
              <w:rPr>
                <w:rFonts w:hint="eastAsia"/>
                <w:lang w:val="en-US" w:eastAsia="zh-CN"/>
              </w:rPr>
            </w:pPr>
            <w:r>
              <w:t>西南</w:t>
            </w:r>
          </w:p>
        </w:tc>
        <w:tc>
          <w:tcPr>
            <w:tcW w:w="826" w:type="pct"/>
            <w:shd w:val="clear" w:color="auto" w:fill="auto"/>
            <w:noWrap/>
            <w:vAlign w:val="center"/>
          </w:tcPr>
          <w:p w14:paraId="36E3E303">
            <w:pPr>
              <w:pStyle w:val="26"/>
              <w:bidi w:val="0"/>
              <w:jc w:val="center"/>
              <w:rPr>
                <w:rFonts w:hint="eastAsia"/>
                <w:lang w:val="en-US" w:eastAsia="zh-CN"/>
              </w:rPr>
            </w:pPr>
            <w:r>
              <w:t>4870</w:t>
            </w:r>
          </w:p>
        </w:tc>
      </w:tr>
      <w:tr w14:paraId="0415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F22A96B">
            <w:pPr>
              <w:pStyle w:val="26"/>
              <w:bidi w:val="0"/>
              <w:jc w:val="center"/>
              <w:rPr>
                <w:rFonts w:hint="eastAsia"/>
                <w:lang w:val="en-US" w:eastAsia="zh-CN"/>
              </w:rPr>
            </w:pPr>
            <w:r>
              <w:rPr>
                <w:rFonts w:hint="default"/>
                <w:lang w:val="en-US" w:eastAsia="zh-CN"/>
              </w:rPr>
              <w:t>149</w:t>
            </w:r>
          </w:p>
        </w:tc>
        <w:tc>
          <w:tcPr>
            <w:tcW w:w="939" w:type="pct"/>
            <w:shd w:val="clear" w:color="auto" w:fill="auto"/>
            <w:noWrap/>
            <w:vAlign w:val="center"/>
          </w:tcPr>
          <w:p w14:paraId="22BB0F53">
            <w:pPr>
              <w:pStyle w:val="26"/>
              <w:bidi w:val="0"/>
              <w:jc w:val="center"/>
              <w:rPr>
                <w:rFonts w:hint="eastAsia"/>
                <w:lang w:val="en-US" w:eastAsia="zh-CN"/>
              </w:rPr>
            </w:pPr>
            <w:r>
              <w:t>五里村</w:t>
            </w:r>
          </w:p>
        </w:tc>
        <w:tc>
          <w:tcPr>
            <w:tcW w:w="609" w:type="pct"/>
            <w:shd w:val="clear" w:color="auto" w:fill="auto"/>
            <w:vAlign w:val="center"/>
          </w:tcPr>
          <w:p w14:paraId="24E90321">
            <w:pPr>
              <w:pStyle w:val="26"/>
              <w:bidi w:val="0"/>
              <w:jc w:val="center"/>
              <w:rPr>
                <w:lang w:val="en-US" w:eastAsia="zh-CN"/>
              </w:rPr>
            </w:pPr>
            <w:r>
              <w:t>居民区</w:t>
            </w:r>
          </w:p>
        </w:tc>
        <w:tc>
          <w:tcPr>
            <w:tcW w:w="728" w:type="pct"/>
            <w:shd w:val="clear" w:color="auto" w:fill="auto"/>
            <w:noWrap/>
            <w:vAlign w:val="center"/>
          </w:tcPr>
          <w:p w14:paraId="04AC7F2A">
            <w:pPr>
              <w:pStyle w:val="26"/>
              <w:bidi w:val="0"/>
              <w:jc w:val="center"/>
              <w:rPr>
                <w:rFonts w:hint="eastAsia"/>
                <w:lang w:val="en-US" w:eastAsia="zh-CN"/>
              </w:rPr>
            </w:pPr>
            <w:r>
              <w:t>180</w:t>
            </w:r>
          </w:p>
        </w:tc>
        <w:tc>
          <w:tcPr>
            <w:tcW w:w="709" w:type="pct"/>
            <w:vMerge w:val="continue"/>
            <w:vAlign w:val="center"/>
          </w:tcPr>
          <w:p w14:paraId="0841406B">
            <w:pPr>
              <w:pStyle w:val="26"/>
              <w:bidi w:val="0"/>
              <w:jc w:val="center"/>
              <w:rPr>
                <w:color w:val="auto"/>
                <w:highlight w:val="none"/>
                <w:lang w:val="en-US" w:eastAsia="zh-CN"/>
              </w:rPr>
            </w:pPr>
          </w:p>
        </w:tc>
        <w:tc>
          <w:tcPr>
            <w:tcW w:w="826" w:type="pct"/>
            <w:shd w:val="clear" w:color="auto" w:fill="auto"/>
            <w:noWrap/>
            <w:vAlign w:val="center"/>
          </w:tcPr>
          <w:p w14:paraId="10A3DC7C">
            <w:pPr>
              <w:pStyle w:val="26"/>
              <w:bidi w:val="0"/>
              <w:jc w:val="center"/>
              <w:rPr>
                <w:rFonts w:hint="eastAsia"/>
                <w:lang w:val="en-US" w:eastAsia="zh-CN"/>
              </w:rPr>
            </w:pPr>
            <w:r>
              <w:t>西南</w:t>
            </w:r>
          </w:p>
        </w:tc>
        <w:tc>
          <w:tcPr>
            <w:tcW w:w="826" w:type="pct"/>
            <w:shd w:val="clear" w:color="auto" w:fill="auto"/>
            <w:noWrap/>
            <w:vAlign w:val="center"/>
          </w:tcPr>
          <w:p w14:paraId="40E4ED29">
            <w:pPr>
              <w:pStyle w:val="26"/>
              <w:bidi w:val="0"/>
              <w:jc w:val="center"/>
              <w:rPr>
                <w:rFonts w:hint="eastAsia"/>
                <w:lang w:val="en-US" w:eastAsia="zh-CN"/>
              </w:rPr>
            </w:pPr>
            <w:r>
              <w:t>4680</w:t>
            </w:r>
          </w:p>
        </w:tc>
      </w:tr>
      <w:tr w14:paraId="7898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C5B0144">
            <w:pPr>
              <w:pStyle w:val="26"/>
              <w:bidi w:val="0"/>
              <w:jc w:val="center"/>
              <w:rPr>
                <w:rFonts w:hint="eastAsia"/>
                <w:lang w:val="en-US" w:eastAsia="zh-CN"/>
              </w:rPr>
            </w:pPr>
            <w:r>
              <w:rPr>
                <w:rFonts w:hint="default"/>
                <w:lang w:val="en-US" w:eastAsia="zh-CN"/>
              </w:rPr>
              <w:t>150</w:t>
            </w:r>
          </w:p>
        </w:tc>
        <w:tc>
          <w:tcPr>
            <w:tcW w:w="939" w:type="pct"/>
            <w:shd w:val="clear" w:color="auto" w:fill="auto"/>
            <w:noWrap/>
            <w:vAlign w:val="center"/>
          </w:tcPr>
          <w:p w14:paraId="00EF1040">
            <w:pPr>
              <w:pStyle w:val="26"/>
              <w:bidi w:val="0"/>
              <w:jc w:val="center"/>
              <w:rPr>
                <w:rFonts w:hint="eastAsia"/>
                <w:lang w:val="en-US" w:eastAsia="zh-CN"/>
              </w:rPr>
            </w:pPr>
            <w:r>
              <w:t>青浦金苑</w:t>
            </w:r>
          </w:p>
        </w:tc>
        <w:tc>
          <w:tcPr>
            <w:tcW w:w="609" w:type="pct"/>
            <w:shd w:val="clear" w:color="auto" w:fill="auto"/>
            <w:vAlign w:val="center"/>
          </w:tcPr>
          <w:p w14:paraId="4325F46F">
            <w:pPr>
              <w:pStyle w:val="26"/>
              <w:bidi w:val="0"/>
              <w:jc w:val="center"/>
              <w:rPr>
                <w:lang w:val="en-US" w:eastAsia="zh-CN"/>
              </w:rPr>
            </w:pPr>
            <w:r>
              <w:t>居民区</w:t>
            </w:r>
          </w:p>
        </w:tc>
        <w:tc>
          <w:tcPr>
            <w:tcW w:w="728" w:type="pct"/>
            <w:shd w:val="clear" w:color="auto" w:fill="auto"/>
            <w:noWrap/>
            <w:vAlign w:val="center"/>
          </w:tcPr>
          <w:p w14:paraId="186DC0E6">
            <w:pPr>
              <w:pStyle w:val="26"/>
              <w:bidi w:val="0"/>
              <w:jc w:val="center"/>
              <w:rPr>
                <w:rFonts w:hint="eastAsia"/>
                <w:lang w:val="en-US" w:eastAsia="zh-CN"/>
              </w:rPr>
            </w:pPr>
            <w:r>
              <w:t>324</w:t>
            </w:r>
          </w:p>
        </w:tc>
        <w:tc>
          <w:tcPr>
            <w:tcW w:w="709" w:type="pct"/>
            <w:vMerge w:val="continue"/>
            <w:vAlign w:val="center"/>
          </w:tcPr>
          <w:p w14:paraId="66923AAC">
            <w:pPr>
              <w:pStyle w:val="26"/>
              <w:bidi w:val="0"/>
              <w:jc w:val="center"/>
              <w:rPr>
                <w:color w:val="auto"/>
                <w:highlight w:val="none"/>
                <w:lang w:val="en-US" w:eastAsia="zh-CN"/>
              </w:rPr>
            </w:pPr>
          </w:p>
        </w:tc>
        <w:tc>
          <w:tcPr>
            <w:tcW w:w="826" w:type="pct"/>
            <w:shd w:val="clear" w:color="auto" w:fill="auto"/>
            <w:noWrap/>
            <w:vAlign w:val="center"/>
          </w:tcPr>
          <w:p w14:paraId="7DB1ACEE">
            <w:pPr>
              <w:pStyle w:val="26"/>
              <w:bidi w:val="0"/>
              <w:jc w:val="center"/>
              <w:rPr>
                <w:rFonts w:hint="eastAsia"/>
                <w:lang w:val="en-US" w:eastAsia="zh-CN"/>
              </w:rPr>
            </w:pPr>
            <w:r>
              <w:t>西南</w:t>
            </w:r>
          </w:p>
        </w:tc>
        <w:tc>
          <w:tcPr>
            <w:tcW w:w="826" w:type="pct"/>
            <w:shd w:val="clear" w:color="auto" w:fill="auto"/>
            <w:noWrap/>
            <w:vAlign w:val="center"/>
          </w:tcPr>
          <w:p w14:paraId="745FF89C">
            <w:pPr>
              <w:pStyle w:val="26"/>
              <w:bidi w:val="0"/>
              <w:jc w:val="center"/>
              <w:rPr>
                <w:rFonts w:hint="eastAsia"/>
                <w:lang w:val="en-US" w:eastAsia="zh-CN"/>
              </w:rPr>
            </w:pPr>
            <w:r>
              <w:t>5720</w:t>
            </w:r>
          </w:p>
        </w:tc>
      </w:tr>
      <w:tr w14:paraId="0E8E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0A50EF9">
            <w:pPr>
              <w:pStyle w:val="26"/>
              <w:bidi w:val="0"/>
              <w:jc w:val="center"/>
              <w:rPr>
                <w:rFonts w:hint="eastAsia"/>
                <w:lang w:val="en-US" w:eastAsia="zh-CN"/>
              </w:rPr>
            </w:pPr>
            <w:r>
              <w:rPr>
                <w:rFonts w:hint="default"/>
                <w:lang w:val="en-US" w:eastAsia="zh-CN"/>
              </w:rPr>
              <w:t>151</w:t>
            </w:r>
          </w:p>
        </w:tc>
        <w:tc>
          <w:tcPr>
            <w:tcW w:w="939" w:type="pct"/>
            <w:shd w:val="clear" w:color="auto" w:fill="auto"/>
            <w:noWrap/>
            <w:vAlign w:val="center"/>
          </w:tcPr>
          <w:p w14:paraId="5BADDFDD">
            <w:pPr>
              <w:pStyle w:val="26"/>
              <w:bidi w:val="0"/>
              <w:jc w:val="center"/>
              <w:rPr>
                <w:rFonts w:hint="eastAsia"/>
                <w:lang w:val="en-US" w:eastAsia="zh-CN"/>
              </w:rPr>
            </w:pPr>
            <w:r>
              <w:t>浦岸花园</w:t>
            </w:r>
          </w:p>
        </w:tc>
        <w:tc>
          <w:tcPr>
            <w:tcW w:w="609" w:type="pct"/>
            <w:shd w:val="clear" w:color="auto" w:fill="auto"/>
            <w:vAlign w:val="center"/>
          </w:tcPr>
          <w:p w14:paraId="0A41155A">
            <w:pPr>
              <w:pStyle w:val="26"/>
              <w:bidi w:val="0"/>
              <w:jc w:val="center"/>
              <w:rPr>
                <w:lang w:val="en-US" w:eastAsia="zh-CN"/>
              </w:rPr>
            </w:pPr>
            <w:r>
              <w:t>居民区</w:t>
            </w:r>
          </w:p>
        </w:tc>
        <w:tc>
          <w:tcPr>
            <w:tcW w:w="728" w:type="pct"/>
            <w:shd w:val="clear" w:color="auto" w:fill="auto"/>
            <w:noWrap/>
            <w:vAlign w:val="center"/>
          </w:tcPr>
          <w:p w14:paraId="0A09A713">
            <w:pPr>
              <w:pStyle w:val="26"/>
              <w:bidi w:val="0"/>
              <w:jc w:val="center"/>
              <w:rPr>
                <w:rFonts w:hint="eastAsia"/>
                <w:lang w:val="en-US" w:eastAsia="zh-CN"/>
              </w:rPr>
            </w:pPr>
            <w:r>
              <w:t>3240</w:t>
            </w:r>
          </w:p>
        </w:tc>
        <w:tc>
          <w:tcPr>
            <w:tcW w:w="709" w:type="pct"/>
            <w:vMerge w:val="continue"/>
            <w:vAlign w:val="center"/>
          </w:tcPr>
          <w:p w14:paraId="556340A0">
            <w:pPr>
              <w:pStyle w:val="26"/>
              <w:bidi w:val="0"/>
              <w:jc w:val="center"/>
              <w:rPr>
                <w:color w:val="auto"/>
                <w:highlight w:val="none"/>
                <w:lang w:val="en-US" w:eastAsia="zh-CN"/>
              </w:rPr>
            </w:pPr>
          </w:p>
        </w:tc>
        <w:tc>
          <w:tcPr>
            <w:tcW w:w="826" w:type="pct"/>
            <w:shd w:val="clear" w:color="auto" w:fill="auto"/>
            <w:noWrap/>
            <w:vAlign w:val="center"/>
          </w:tcPr>
          <w:p w14:paraId="4CDEA3E5">
            <w:pPr>
              <w:pStyle w:val="26"/>
              <w:bidi w:val="0"/>
              <w:jc w:val="center"/>
              <w:rPr>
                <w:rFonts w:hint="eastAsia"/>
                <w:lang w:val="en-US" w:eastAsia="zh-CN"/>
              </w:rPr>
            </w:pPr>
            <w:r>
              <w:t>西南</w:t>
            </w:r>
          </w:p>
        </w:tc>
        <w:tc>
          <w:tcPr>
            <w:tcW w:w="826" w:type="pct"/>
            <w:shd w:val="clear" w:color="auto" w:fill="auto"/>
            <w:noWrap/>
            <w:vAlign w:val="center"/>
          </w:tcPr>
          <w:p w14:paraId="1E9F5205">
            <w:pPr>
              <w:pStyle w:val="26"/>
              <w:bidi w:val="0"/>
              <w:jc w:val="center"/>
              <w:rPr>
                <w:rFonts w:hint="eastAsia"/>
                <w:lang w:val="en-US" w:eastAsia="zh-CN"/>
              </w:rPr>
            </w:pPr>
            <w:r>
              <w:t>5510</w:t>
            </w:r>
          </w:p>
        </w:tc>
      </w:tr>
      <w:tr w14:paraId="622F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F57A511">
            <w:pPr>
              <w:pStyle w:val="26"/>
              <w:bidi w:val="0"/>
              <w:jc w:val="center"/>
              <w:rPr>
                <w:rFonts w:hint="eastAsia"/>
                <w:lang w:val="en-US" w:eastAsia="zh-CN"/>
              </w:rPr>
            </w:pPr>
            <w:r>
              <w:rPr>
                <w:rFonts w:hint="default"/>
                <w:lang w:val="en-US" w:eastAsia="zh-CN"/>
              </w:rPr>
              <w:t>152</w:t>
            </w:r>
          </w:p>
        </w:tc>
        <w:tc>
          <w:tcPr>
            <w:tcW w:w="939" w:type="pct"/>
            <w:shd w:val="clear" w:color="auto" w:fill="auto"/>
            <w:noWrap/>
            <w:vAlign w:val="center"/>
          </w:tcPr>
          <w:p w14:paraId="11FB0343">
            <w:pPr>
              <w:pStyle w:val="26"/>
              <w:bidi w:val="0"/>
              <w:jc w:val="center"/>
              <w:rPr>
                <w:rFonts w:hint="eastAsia"/>
                <w:lang w:val="en-US" w:eastAsia="zh-CN"/>
              </w:rPr>
            </w:pPr>
            <w:r>
              <w:t>象屿都城怡园</w:t>
            </w:r>
          </w:p>
        </w:tc>
        <w:tc>
          <w:tcPr>
            <w:tcW w:w="609" w:type="pct"/>
            <w:shd w:val="clear" w:color="auto" w:fill="auto"/>
            <w:vAlign w:val="center"/>
          </w:tcPr>
          <w:p w14:paraId="1E09EAAD">
            <w:pPr>
              <w:pStyle w:val="26"/>
              <w:bidi w:val="0"/>
              <w:jc w:val="center"/>
              <w:rPr>
                <w:lang w:val="en-US" w:eastAsia="zh-CN"/>
              </w:rPr>
            </w:pPr>
            <w:r>
              <w:t>居民区</w:t>
            </w:r>
          </w:p>
        </w:tc>
        <w:tc>
          <w:tcPr>
            <w:tcW w:w="728" w:type="pct"/>
            <w:shd w:val="clear" w:color="auto" w:fill="auto"/>
            <w:noWrap/>
            <w:vAlign w:val="center"/>
          </w:tcPr>
          <w:p w14:paraId="4F9C0B98">
            <w:pPr>
              <w:pStyle w:val="26"/>
              <w:bidi w:val="0"/>
              <w:jc w:val="center"/>
              <w:rPr>
                <w:rFonts w:hint="eastAsia"/>
                <w:lang w:val="en-US" w:eastAsia="zh-CN"/>
              </w:rPr>
            </w:pPr>
            <w:r>
              <w:t>13671</w:t>
            </w:r>
          </w:p>
        </w:tc>
        <w:tc>
          <w:tcPr>
            <w:tcW w:w="709" w:type="pct"/>
            <w:vMerge w:val="continue"/>
            <w:vAlign w:val="center"/>
          </w:tcPr>
          <w:p w14:paraId="68E96EEE">
            <w:pPr>
              <w:pStyle w:val="26"/>
              <w:bidi w:val="0"/>
              <w:jc w:val="center"/>
              <w:rPr>
                <w:color w:val="auto"/>
                <w:highlight w:val="none"/>
                <w:lang w:val="en-US" w:eastAsia="zh-CN"/>
              </w:rPr>
            </w:pPr>
          </w:p>
        </w:tc>
        <w:tc>
          <w:tcPr>
            <w:tcW w:w="826" w:type="pct"/>
            <w:shd w:val="clear" w:color="auto" w:fill="auto"/>
            <w:noWrap/>
            <w:vAlign w:val="center"/>
          </w:tcPr>
          <w:p w14:paraId="18088B6B">
            <w:pPr>
              <w:pStyle w:val="26"/>
              <w:bidi w:val="0"/>
              <w:jc w:val="center"/>
              <w:rPr>
                <w:rFonts w:hint="eastAsia"/>
                <w:lang w:val="en-US" w:eastAsia="zh-CN"/>
              </w:rPr>
            </w:pPr>
            <w:r>
              <w:t>西南</w:t>
            </w:r>
          </w:p>
        </w:tc>
        <w:tc>
          <w:tcPr>
            <w:tcW w:w="826" w:type="pct"/>
            <w:shd w:val="clear" w:color="auto" w:fill="auto"/>
            <w:noWrap/>
            <w:vAlign w:val="center"/>
          </w:tcPr>
          <w:p w14:paraId="3BC5CE41">
            <w:pPr>
              <w:pStyle w:val="26"/>
              <w:bidi w:val="0"/>
              <w:jc w:val="center"/>
              <w:rPr>
                <w:rFonts w:hint="eastAsia"/>
                <w:lang w:val="en-US" w:eastAsia="zh-CN"/>
              </w:rPr>
            </w:pPr>
            <w:r>
              <w:t>4998</w:t>
            </w:r>
          </w:p>
        </w:tc>
      </w:tr>
      <w:tr w14:paraId="762B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3E7CC79">
            <w:pPr>
              <w:pStyle w:val="26"/>
              <w:bidi w:val="0"/>
              <w:jc w:val="center"/>
              <w:rPr>
                <w:rFonts w:hint="eastAsia"/>
                <w:lang w:val="en-US" w:eastAsia="zh-CN"/>
              </w:rPr>
            </w:pPr>
            <w:r>
              <w:rPr>
                <w:rFonts w:hint="default"/>
                <w:lang w:val="en-US" w:eastAsia="zh-CN"/>
              </w:rPr>
              <w:t>153</w:t>
            </w:r>
          </w:p>
        </w:tc>
        <w:tc>
          <w:tcPr>
            <w:tcW w:w="939" w:type="pct"/>
            <w:shd w:val="clear" w:color="auto" w:fill="auto"/>
            <w:noWrap/>
            <w:vAlign w:val="center"/>
          </w:tcPr>
          <w:p w14:paraId="0D64FDFC">
            <w:pPr>
              <w:pStyle w:val="26"/>
              <w:bidi w:val="0"/>
              <w:jc w:val="center"/>
              <w:rPr>
                <w:rFonts w:hint="eastAsia"/>
                <w:lang w:val="en-US" w:eastAsia="zh-CN"/>
              </w:rPr>
            </w:pPr>
            <w:r>
              <w:t>香逸铂悦壹期</w:t>
            </w:r>
          </w:p>
        </w:tc>
        <w:tc>
          <w:tcPr>
            <w:tcW w:w="609" w:type="pct"/>
            <w:shd w:val="clear" w:color="auto" w:fill="auto"/>
            <w:vAlign w:val="center"/>
          </w:tcPr>
          <w:p w14:paraId="37146FD3">
            <w:pPr>
              <w:pStyle w:val="26"/>
              <w:bidi w:val="0"/>
              <w:jc w:val="center"/>
              <w:rPr>
                <w:lang w:val="en-US" w:eastAsia="zh-CN"/>
              </w:rPr>
            </w:pPr>
            <w:r>
              <w:t>居民区</w:t>
            </w:r>
          </w:p>
        </w:tc>
        <w:tc>
          <w:tcPr>
            <w:tcW w:w="728" w:type="pct"/>
            <w:shd w:val="clear" w:color="auto" w:fill="auto"/>
            <w:noWrap/>
            <w:vAlign w:val="center"/>
          </w:tcPr>
          <w:p w14:paraId="0BB8274F">
            <w:pPr>
              <w:pStyle w:val="26"/>
              <w:bidi w:val="0"/>
              <w:jc w:val="center"/>
              <w:rPr>
                <w:rFonts w:hint="eastAsia"/>
                <w:lang w:val="en-US" w:eastAsia="zh-CN"/>
              </w:rPr>
            </w:pPr>
            <w:r>
              <w:t>6936</w:t>
            </w:r>
          </w:p>
        </w:tc>
        <w:tc>
          <w:tcPr>
            <w:tcW w:w="709" w:type="pct"/>
            <w:vMerge w:val="continue"/>
            <w:vAlign w:val="center"/>
          </w:tcPr>
          <w:p w14:paraId="2D8DD798">
            <w:pPr>
              <w:pStyle w:val="26"/>
              <w:bidi w:val="0"/>
              <w:jc w:val="center"/>
              <w:rPr>
                <w:color w:val="auto"/>
                <w:highlight w:val="none"/>
                <w:lang w:val="en-US" w:eastAsia="zh-CN"/>
              </w:rPr>
            </w:pPr>
          </w:p>
        </w:tc>
        <w:tc>
          <w:tcPr>
            <w:tcW w:w="826" w:type="pct"/>
            <w:shd w:val="clear" w:color="auto" w:fill="auto"/>
            <w:noWrap/>
            <w:vAlign w:val="center"/>
          </w:tcPr>
          <w:p w14:paraId="68AA46DE">
            <w:pPr>
              <w:pStyle w:val="26"/>
              <w:bidi w:val="0"/>
              <w:jc w:val="center"/>
              <w:rPr>
                <w:rFonts w:hint="eastAsia"/>
                <w:lang w:val="en-US" w:eastAsia="zh-CN"/>
              </w:rPr>
            </w:pPr>
            <w:r>
              <w:t>西南</w:t>
            </w:r>
          </w:p>
        </w:tc>
        <w:tc>
          <w:tcPr>
            <w:tcW w:w="826" w:type="pct"/>
            <w:shd w:val="clear" w:color="auto" w:fill="auto"/>
            <w:noWrap/>
            <w:vAlign w:val="center"/>
          </w:tcPr>
          <w:p w14:paraId="0D500865">
            <w:pPr>
              <w:pStyle w:val="26"/>
              <w:bidi w:val="0"/>
              <w:jc w:val="center"/>
              <w:rPr>
                <w:rFonts w:hint="eastAsia"/>
                <w:lang w:val="en-US" w:eastAsia="zh-CN"/>
              </w:rPr>
            </w:pPr>
            <w:r>
              <w:t>4720</w:t>
            </w:r>
          </w:p>
        </w:tc>
      </w:tr>
      <w:tr w14:paraId="5413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C2117BB">
            <w:pPr>
              <w:pStyle w:val="26"/>
              <w:bidi w:val="0"/>
              <w:jc w:val="center"/>
              <w:rPr>
                <w:rFonts w:hint="eastAsia"/>
                <w:lang w:val="en-US" w:eastAsia="zh-CN"/>
              </w:rPr>
            </w:pPr>
            <w:r>
              <w:rPr>
                <w:rFonts w:hint="default"/>
                <w:lang w:val="en-US" w:eastAsia="zh-CN"/>
              </w:rPr>
              <w:t>154</w:t>
            </w:r>
          </w:p>
        </w:tc>
        <w:tc>
          <w:tcPr>
            <w:tcW w:w="939" w:type="pct"/>
            <w:shd w:val="clear" w:color="auto" w:fill="auto"/>
            <w:noWrap/>
            <w:vAlign w:val="center"/>
          </w:tcPr>
          <w:p w14:paraId="4FC06832">
            <w:pPr>
              <w:pStyle w:val="26"/>
              <w:bidi w:val="0"/>
              <w:jc w:val="center"/>
              <w:rPr>
                <w:rFonts w:hint="eastAsia"/>
                <w:lang w:val="en-US" w:eastAsia="zh-CN"/>
              </w:rPr>
            </w:pPr>
            <w:r>
              <w:t>香逸尚城园</w:t>
            </w:r>
          </w:p>
        </w:tc>
        <w:tc>
          <w:tcPr>
            <w:tcW w:w="609" w:type="pct"/>
            <w:shd w:val="clear" w:color="auto" w:fill="auto"/>
            <w:vAlign w:val="center"/>
          </w:tcPr>
          <w:p w14:paraId="7CBFDCD0">
            <w:pPr>
              <w:pStyle w:val="26"/>
              <w:bidi w:val="0"/>
              <w:jc w:val="center"/>
              <w:rPr>
                <w:lang w:val="en-US" w:eastAsia="zh-CN"/>
              </w:rPr>
            </w:pPr>
            <w:r>
              <w:t>居民区</w:t>
            </w:r>
          </w:p>
        </w:tc>
        <w:tc>
          <w:tcPr>
            <w:tcW w:w="728" w:type="pct"/>
            <w:shd w:val="clear" w:color="auto" w:fill="auto"/>
            <w:noWrap/>
            <w:vAlign w:val="center"/>
          </w:tcPr>
          <w:p w14:paraId="3F65E368">
            <w:pPr>
              <w:pStyle w:val="26"/>
              <w:bidi w:val="0"/>
              <w:jc w:val="center"/>
              <w:rPr>
                <w:rFonts w:hint="eastAsia"/>
                <w:lang w:val="en-US" w:eastAsia="zh-CN"/>
              </w:rPr>
            </w:pPr>
            <w:r>
              <w:t>5946</w:t>
            </w:r>
          </w:p>
        </w:tc>
        <w:tc>
          <w:tcPr>
            <w:tcW w:w="709" w:type="pct"/>
            <w:vMerge w:val="continue"/>
            <w:vAlign w:val="center"/>
          </w:tcPr>
          <w:p w14:paraId="15B489E1">
            <w:pPr>
              <w:pStyle w:val="26"/>
              <w:bidi w:val="0"/>
              <w:jc w:val="center"/>
              <w:rPr>
                <w:color w:val="auto"/>
                <w:highlight w:val="none"/>
                <w:lang w:val="en-US" w:eastAsia="zh-CN"/>
              </w:rPr>
            </w:pPr>
          </w:p>
        </w:tc>
        <w:tc>
          <w:tcPr>
            <w:tcW w:w="826" w:type="pct"/>
            <w:shd w:val="clear" w:color="auto" w:fill="auto"/>
            <w:noWrap/>
            <w:vAlign w:val="center"/>
          </w:tcPr>
          <w:p w14:paraId="48B7AC13">
            <w:pPr>
              <w:pStyle w:val="26"/>
              <w:bidi w:val="0"/>
              <w:jc w:val="center"/>
              <w:rPr>
                <w:rFonts w:hint="eastAsia"/>
                <w:lang w:val="en-US" w:eastAsia="zh-CN"/>
              </w:rPr>
            </w:pPr>
            <w:r>
              <w:t>西南</w:t>
            </w:r>
          </w:p>
        </w:tc>
        <w:tc>
          <w:tcPr>
            <w:tcW w:w="826" w:type="pct"/>
            <w:shd w:val="clear" w:color="auto" w:fill="auto"/>
            <w:noWrap/>
            <w:vAlign w:val="center"/>
          </w:tcPr>
          <w:p w14:paraId="3E2495D9">
            <w:pPr>
              <w:pStyle w:val="26"/>
              <w:bidi w:val="0"/>
              <w:jc w:val="center"/>
              <w:rPr>
                <w:rFonts w:hint="eastAsia"/>
                <w:lang w:val="en-US" w:eastAsia="zh-CN"/>
              </w:rPr>
            </w:pPr>
            <w:r>
              <w:t>4650</w:t>
            </w:r>
          </w:p>
        </w:tc>
      </w:tr>
      <w:tr w14:paraId="5ECD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6F1C7D3">
            <w:pPr>
              <w:pStyle w:val="26"/>
              <w:bidi w:val="0"/>
              <w:jc w:val="center"/>
              <w:rPr>
                <w:rFonts w:hint="eastAsia"/>
                <w:lang w:val="en-US" w:eastAsia="zh-CN"/>
              </w:rPr>
            </w:pPr>
            <w:r>
              <w:rPr>
                <w:rFonts w:hint="default"/>
                <w:lang w:val="en-US" w:eastAsia="zh-CN"/>
              </w:rPr>
              <w:t>155</w:t>
            </w:r>
          </w:p>
        </w:tc>
        <w:tc>
          <w:tcPr>
            <w:tcW w:w="939" w:type="pct"/>
            <w:shd w:val="clear" w:color="auto" w:fill="auto"/>
            <w:noWrap/>
            <w:vAlign w:val="center"/>
          </w:tcPr>
          <w:p w14:paraId="5B210B5A">
            <w:pPr>
              <w:pStyle w:val="26"/>
              <w:bidi w:val="0"/>
              <w:jc w:val="center"/>
              <w:rPr>
                <w:rFonts w:hint="eastAsia"/>
                <w:lang w:val="en-US" w:eastAsia="zh-CN"/>
              </w:rPr>
            </w:pPr>
            <w:r>
              <w:t>象屿都城嘉园</w:t>
            </w:r>
          </w:p>
        </w:tc>
        <w:tc>
          <w:tcPr>
            <w:tcW w:w="609" w:type="pct"/>
            <w:shd w:val="clear" w:color="auto" w:fill="auto"/>
            <w:vAlign w:val="center"/>
          </w:tcPr>
          <w:p w14:paraId="10F96592">
            <w:pPr>
              <w:pStyle w:val="26"/>
              <w:bidi w:val="0"/>
              <w:jc w:val="center"/>
              <w:rPr>
                <w:lang w:val="en-US" w:eastAsia="zh-CN"/>
              </w:rPr>
            </w:pPr>
            <w:r>
              <w:t>居民区</w:t>
            </w:r>
          </w:p>
        </w:tc>
        <w:tc>
          <w:tcPr>
            <w:tcW w:w="728" w:type="pct"/>
            <w:shd w:val="clear" w:color="auto" w:fill="auto"/>
            <w:noWrap/>
            <w:vAlign w:val="center"/>
          </w:tcPr>
          <w:p w14:paraId="1E05C8D3">
            <w:pPr>
              <w:pStyle w:val="26"/>
              <w:bidi w:val="0"/>
              <w:jc w:val="center"/>
              <w:rPr>
                <w:rFonts w:hint="eastAsia"/>
                <w:lang w:val="en-US" w:eastAsia="zh-CN"/>
              </w:rPr>
            </w:pPr>
            <w:r>
              <w:t>15981</w:t>
            </w:r>
          </w:p>
        </w:tc>
        <w:tc>
          <w:tcPr>
            <w:tcW w:w="709" w:type="pct"/>
            <w:vMerge w:val="continue"/>
            <w:vAlign w:val="center"/>
          </w:tcPr>
          <w:p w14:paraId="67363540">
            <w:pPr>
              <w:pStyle w:val="26"/>
              <w:bidi w:val="0"/>
              <w:jc w:val="center"/>
              <w:rPr>
                <w:color w:val="auto"/>
                <w:highlight w:val="none"/>
                <w:lang w:val="en-US" w:eastAsia="zh-CN"/>
              </w:rPr>
            </w:pPr>
          </w:p>
        </w:tc>
        <w:tc>
          <w:tcPr>
            <w:tcW w:w="826" w:type="pct"/>
            <w:shd w:val="clear" w:color="auto" w:fill="auto"/>
            <w:noWrap/>
            <w:vAlign w:val="center"/>
          </w:tcPr>
          <w:p w14:paraId="44E6FD6A">
            <w:pPr>
              <w:pStyle w:val="26"/>
              <w:bidi w:val="0"/>
              <w:jc w:val="center"/>
              <w:rPr>
                <w:rFonts w:hint="eastAsia"/>
                <w:lang w:val="en-US" w:eastAsia="zh-CN"/>
              </w:rPr>
            </w:pPr>
            <w:r>
              <w:t>西南</w:t>
            </w:r>
          </w:p>
        </w:tc>
        <w:tc>
          <w:tcPr>
            <w:tcW w:w="826" w:type="pct"/>
            <w:shd w:val="clear" w:color="auto" w:fill="auto"/>
            <w:noWrap/>
            <w:vAlign w:val="center"/>
          </w:tcPr>
          <w:p w14:paraId="099E0E27">
            <w:pPr>
              <w:pStyle w:val="26"/>
              <w:bidi w:val="0"/>
              <w:jc w:val="center"/>
              <w:rPr>
                <w:rFonts w:hint="eastAsia"/>
                <w:lang w:val="en-US" w:eastAsia="zh-CN"/>
              </w:rPr>
            </w:pPr>
            <w:r>
              <w:t>4260</w:t>
            </w:r>
          </w:p>
        </w:tc>
      </w:tr>
      <w:tr w14:paraId="6143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8CD5274">
            <w:pPr>
              <w:pStyle w:val="26"/>
              <w:bidi w:val="0"/>
              <w:jc w:val="center"/>
              <w:rPr>
                <w:rFonts w:hint="eastAsia"/>
                <w:lang w:val="en-US" w:eastAsia="zh-CN"/>
              </w:rPr>
            </w:pPr>
            <w:r>
              <w:rPr>
                <w:rFonts w:hint="default"/>
                <w:lang w:val="en-US" w:eastAsia="zh-CN"/>
              </w:rPr>
              <w:t>156</w:t>
            </w:r>
          </w:p>
        </w:tc>
        <w:tc>
          <w:tcPr>
            <w:tcW w:w="939" w:type="pct"/>
            <w:shd w:val="clear" w:color="auto" w:fill="auto"/>
            <w:noWrap/>
            <w:vAlign w:val="center"/>
          </w:tcPr>
          <w:p w14:paraId="78A25A7C">
            <w:pPr>
              <w:pStyle w:val="26"/>
              <w:bidi w:val="0"/>
              <w:jc w:val="center"/>
              <w:rPr>
                <w:rFonts w:hint="eastAsia"/>
                <w:lang w:val="en-US" w:eastAsia="zh-CN"/>
              </w:rPr>
            </w:pPr>
            <w:r>
              <w:t>中科花苑</w:t>
            </w:r>
          </w:p>
        </w:tc>
        <w:tc>
          <w:tcPr>
            <w:tcW w:w="609" w:type="pct"/>
            <w:shd w:val="clear" w:color="auto" w:fill="auto"/>
            <w:vAlign w:val="center"/>
          </w:tcPr>
          <w:p w14:paraId="7FE64FC8">
            <w:pPr>
              <w:pStyle w:val="26"/>
              <w:bidi w:val="0"/>
              <w:jc w:val="center"/>
              <w:rPr>
                <w:lang w:val="en-US" w:eastAsia="zh-CN"/>
              </w:rPr>
            </w:pPr>
            <w:r>
              <w:t>居民区</w:t>
            </w:r>
          </w:p>
        </w:tc>
        <w:tc>
          <w:tcPr>
            <w:tcW w:w="728" w:type="pct"/>
            <w:shd w:val="clear" w:color="auto" w:fill="auto"/>
            <w:noWrap/>
            <w:vAlign w:val="center"/>
          </w:tcPr>
          <w:p w14:paraId="72F1F056">
            <w:pPr>
              <w:pStyle w:val="26"/>
              <w:bidi w:val="0"/>
              <w:jc w:val="center"/>
              <w:rPr>
                <w:rFonts w:hint="eastAsia"/>
                <w:lang w:val="en-US" w:eastAsia="zh-CN"/>
              </w:rPr>
            </w:pPr>
            <w:r>
              <w:t>5235</w:t>
            </w:r>
          </w:p>
        </w:tc>
        <w:tc>
          <w:tcPr>
            <w:tcW w:w="709" w:type="pct"/>
            <w:vMerge w:val="continue"/>
            <w:vAlign w:val="center"/>
          </w:tcPr>
          <w:p w14:paraId="33A20AF8">
            <w:pPr>
              <w:pStyle w:val="26"/>
              <w:bidi w:val="0"/>
              <w:jc w:val="center"/>
              <w:rPr>
                <w:color w:val="auto"/>
                <w:highlight w:val="none"/>
                <w:lang w:val="en-US" w:eastAsia="zh-CN"/>
              </w:rPr>
            </w:pPr>
          </w:p>
        </w:tc>
        <w:tc>
          <w:tcPr>
            <w:tcW w:w="826" w:type="pct"/>
            <w:shd w:val="clear" w:color="auto" w:fill="auto"/>
            <w:noWrap/>
            <w:vAlign w:val="center"/>
          </w:tcPr>
          <w:p w14:paraId="02B14434">
            <w:pPr>
              <w:pStyle w:val="26"/>
              <w:bidi w:val="0"/>
              <w:jc w:val="center"/>
              <w:rPr>
                <w:rFonts w:hint="eastAsia"/>
                <w:lang w:val="en-US" w:eastAsia="zh-CN"/>
              </w:rPr>
            </w:pPr>
            <w:r>
              <w:t>西南</w:t>
            </w:r>
          </w:p>
        </w:tc>
        <w:tc>
          <w:tcPr>
            <w:tcW w:w="826" w:type="pct"/>
            <w:shd w:val="clear" w:color="auto" w:fill="auto"/>
            <w:noWrap/>
            <w:vAlign w:val="center"/>
          </w:tcPr>
          <w:p w14:paraId="1809502B">
            <w:pPr>
              <w:pStyle w:val="26"/>
              <w:bidi w:val="0"/>
              <w:jc w:val="center"/>
              <w:rPr>
                <w:rFonts w:hint="eastAsia"/>
                <w:lang w:val="en-US" w:eastAsia="zh-CN"/>
              </w:rPr>
            </w:pPr>
            <w:r>
              <w:t>4195</w:t>
            </w:r>
          </w:p>
        </w:tc>
      </w:tr>
      <w:tr w14:paraId="76D1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DCD8B04">
            <w:pPr>
              <w:pStyle w:val="26"/>
              <w:bidi w:val="0"/>
              <w:jc w:val="center"/>
              <w:rPr>
                <w:rFonts w:hint="eastAsia"/>
                <w:lang w:val="en-US" w:eastAsia="zh-CN"/>
              </w:rPr>
            </w:pPr>
            <w:r>
              <w:rPr>
                <w:rFonts w:hint="default"/>
                <w:lang w:val="en-US" w:eastAsia="zh-CN"/>
              </w:rPr>
              <w:t>157</w:t>
            </w:r>
          </w:p>
        </w:tc>
        <w:tc>
          <w:tcPr>
            <w:tcW w:w="939" w:type="pct"/>
            <w:shd w:val="clear" w:color="auto" w:fill="auto"/>
            <w:noWrap/>
            <w:vAlign w:val="center"/>
          </w:tcPr>
          <w:p w14:paraId="2F2022C0">
            <w:pPr>
              <w:pStyle w:val="26"/>
              <w:bidi w:val="0"/>
              <w:jc w:val="center"/>
              <w:rPr>
                <w:rFonts w:hint="eastAsia"/>
                <w:lang w:val="en-US" w:eastAsia="zh-CN"/>
              </w:rPr>
            </w:pPr>
            <w:r>
              <w:t>中科创新广场</w:t>
            </w:r>
          </w:p>
        </w:tc>
        <w:tc>
          <w:tcPr>
            <w:tcW w:w="609" w:type="pct"/>
            <w:shd w:val="clear" w:color="auto" w:fill="auto"/>
            <w:vAlign w:val="center"/>
          </w:tcPr>
          <w:p w14:paraId="30158D2A">
            <w:pPr>
              <w:pStyle w:val="26"/>
              <w:bidi w:val="0"/>
              <w:jc w:val="center"/>
              <w:rPr>
                <w:lang w:val="en-US" w:eastAsia="zh-CN"/>
              </w:rPr>
            </w:pPr>
            <w:r>
              <w:t>居民区</w:t>
            </w:r>
          </w:p>
        </w:tc>
        <w:tc>
          <w:tcPr>
            <w:tcW w:w="728" w:type="pct"/>
            <w:shd w:val="clear" w:color="auto" w:fill="auto"/>
            <w:noWrap/>
            <w:vAlign w:val="center"/>
          </w:tcPr>
          <w:p w14:paraId="4248434B">
            <w:pPr>
              <w:pStyle w:val="26"/>
              <w:bidi w:val="0"/>
              <w:jc w:val="center"/>
              <w:rPr>
                <w:rFonts w:hint="eastAsia"/>
                <w:lang w:val="en-US" w:eastAsia="zh-CN"/>
              </w:rPr>
            </w:pPr>
            <w:r>
              <w:t>1791</w:t>
            </w:r>
          </w:p>
        </w:tc>
        <w:tc>
          <w:tcPr>
            <w:tcW w:w="709" w:type="pct"/>
            <w:vMerge w:val="continue"/>
            <w:vAlign w:val="center"/>
          </w:tcPr>
          <w:p w14:paraId="3E6EC6E5">
            <w:pPr>
              <w:pStyle w:val="26"/>
              <w:bidi w:val="0"/>
              <w:jc w:val="center"/>
              <w:rPr>
                <w:color w:val="auto"/>
                <w:highlight w:val="none"/>
                <w:lang w:val="en-US" w:eastAsia="zh-CN"/>
              </w:rPr>
            </w:pPr>
          </w:p>
        </w:tc>
        <w:tc>
          <w:tcPr>
            <w:tcW w:w="826" w:type="pct"/>
            <w:shd w:val="clear" w:color="auto" w:fill="auto"/>
            <w:noWrap/>
            <w:vAlign w:val="center"/>
          </w:tcPr>
          <w:p w14:paraId="652FADE9">
            <w:pPr>
              <w:pStyle w:val="26"/>
              <w:bidi w:val="0"/>
              <w:jc w:val="center"/>
              <w:rPr>
                <w:rFonts w:hint="eastAsia"/>
                <w:lang w:val="en-US" w:eastAsia="zh-CN"/>
              </w:rPr>
            </w:pPr>
            <w:r>
              <w:t>西南</w:t>
            </w:r>
          </w:p>
        </w:tc>
        <w:tc>
          <w:tcPr>
            <w:tcW w:w="826" w:type="pct"/>
            <w:shd w:val="clear" w:color="auto" w:fill="auto"/>
            <w:noWrap/>
            <w:vAlign w:val="center"/>
          </w:tcPr>
          <w:p w14:paraId="0E1D5488">
            <w:pPr>
              <w:pStyle w:val="26"/>
              <w:bidi w:val="0"/>
              <w:jc w:val="center"/>
              <w:rPr>
                <w:rFonts w:hint="eastAsia"/>
                <w:lang w:val="en-US" w:eastAsia="zh-CN"/>
              </w:rPr>
            </w:pPr>
            <w:r>
              <w:t>4230</w:t>
            </w:r>
          </w:p>
        </w:tc>
      </w:tr>
      <w:tr w14:paraId="6559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A47561F">
            <w:pPr>
              <w:pStyle w:val="26"/>
              <w:bidi w:val="0"/>
              <w:jc w:val="center"/>
              <w:rPr>
                <w:rFonts w:hint="eastAsia"/>
                <w:lang w:val="en-US" w:eastAsia="zh-CN"/>
              </w:rPr>
            </w:pPr>
            <w:r>
              <w:rPr>
                <w:rFonts w:hint="default"/>
                <w:lang w:val="en-US" w:eastAsia="zh-CN"/>
              </w:rPr>
              <w:t>158</w:t>
            </w:r>
          </w:p>
        </w:tc>
        <w:tc>
          <w:tcPr>
            <w:tcW w:w="939" w:type="pct"/>
            <w:shd w:val="clear" w:color="auto" w:fill="auto"/>
            <w:noWrap/>
            <w:vAlign w:val="center"/>
          </w:tcPr>
          <w:p w14:paraId="30D89B18">
            <w:pPr>
              <w:pStyle w:val="26"/>
              <w:bidi w:val="0"/>
              <w:jc w:val="center"/>
              <w:rPr>
                <w:rFonts w:hint="eastAsia"/>
                <w:lang w:val="en-US" w:eastAsia="zh-CN"/>
              </w:rPr>
            </w:pPr>
            <w:r>
              <w:t>嘉宝梦之城</w:t>
            </w:r>
          </w:p>
        </w:tc>
        <w:tc>
          <w:tcPr>
            <w:tcW w:w="609" w:type="pct"/>
            <w:shd w:val="clear" w:color="auto" w:fill="auto"/>
            <w:vAlign w:val="center"/>
          </w:tcPr>
          <w:p w14:paraId="2F43409C">
            <w:pPr>
              <w:pStyle w:val="26"/>
              <w:bidi w:val="0"/>
              <w:jc w:val="center"/>
              <w:rPr>
                <w:lang w:val="en-US" w:eastAsia="zh-CN"/>
              </w:rPr>
            </w:pPr>
            <w:r>
              <w:t>居民区</w:t>
            </w:r>
          </w:p>
        </w:tc>
        <w:tc>
          <w:tcPr>
            <w:tcW w:w="728" w:type="pct"/>
            <w:shd w:val="clear" w:color="auto" w:fill="auto"/>
            <w:noWrap/>
            <w:vAlign w:val="center"/>
          </w:tcPr>
          <w:p w14:paraId="08655A1F">
            <w:pPr>
              <w:pStyle w:val="26"/>
              <w:bidi w:val="0"/>
              <w:jc w:val="center"/>
              <w:rPr>
                <w:rFonts w:hint="eastAsia"/>
                <w:lang w:val="en-US" w:eastAsia="zh-CN"/>
              </w:rPr>
            </w:pPr>
            <w:r>
              <w:t>5973</w:t>
            </w:r>
          </w:p>
        </w:tc>
        <w:tc>
          <w:tcPr>
            <w:tcW w:w="709" w:type="pct"/>
            <w:vMerge w:val="continue"/>
            <w:vAlign w:val="center"/>
          </w:tcPr>
          <w:p w14:paraId="564C843E">
            <w:pPr>
              <w:pStyle w:val="26"/>
              <w:bidi w:val="0"/>
              <w:jc w:val="center"/>
              <w:rPr>
                <w:color w:val="auto"/>
                <w:highlight w:val="none"/>
                <w:lang w:val="en-US" w:eastAsia="zh-CN"/>
              </w:rPr>
            </w:pPr>
          </w:p>
        </w:tc>
        <w:tc>
          <w:tcPr>
            <w:tcW w:w="826" w:type="pct"/>
            <w:shd w:val="clear" w:color="auto" w:fill="auto"/>
            <w:noWrap/>
            <w:vAlign w:val="center"/>
          </w:tcPr>
          <w:p w14:paraId="65AD607F">
            <w:pPr>
              <w:pStyle w:val="26"/>
              <w:bidi w:val="0"/>
              <w:jc w:val="center"/>
              <w:rPr>
                <w:rFonts w:hint="eastAsia"/>
                <w:lang w:val="en-US" w:eastAsia="zh-CN"/>
              </w:rPr>
            </w:pPr>
            <w:r>
              <w:t>西南</w:t>
            </w:r>
          </w:p>
        </w:tc>
        <w:tc>
          <w:tcPr>
            <w:tcW w:w="826" w:type="pct"/>
            <w:shd w:val="clear" w:color="auto" w:fill="auto"/>
            <w:noWrap/>
            <w:vAlign w:val="center"/>
          </w:tcPr>
          <w:p w14:paraId="0E87E8CB">
            <w:pPr>
              <w:pStyle w:val="26"/>
              <w:bidi w:val="0"/>
              <w:jc w:val="center"/>
              <w:rPr>
                <w:rFonts w:hint="eastAsia"/>
                <w:lang w:val="en-US" w:eastAsia="zh-CN"/>
              </w:rPr>
            </w:pPr>
            <w:r>
              <w:t>4968</w:t>
            </w:r>
          </w:p>
        </w:tc>
      </w:tr>
      <w:tr w14:paraId="2AA6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0E247FB8">
            <w:pPr>
              <w:pStyle w:val="26"/>
              <w:bidi w:val="0"/>
              <w:jc w:val="center"/>
              <w:rPr>
                <w:rFonts w:hint="eastAsia"/>
                <w:lang w:val="en-US" w:eastAsia="zh-CN"/>
              </w:rPr>
            </w:pPr>
            <w:r>
              <w:rPr>
                <w:rFonts w:hint="default"/>
                <w:lang w:val="en-US" w:eastAsia="zh-CN"/>
              </w:rPr>
              <w:t>159</w:t>
            </w:r>
          </w:p>
        </w:tc>
        <w:tc>
          <w:tcPr>
            <w:tcW w:w="939" w:type="pct"/>
            <w:shd w:val="clear" w:color="auto" w:fill="auto"/>
            <w:noWrap/>
            <w:vAlign w:val="center"/>
          </w:tcPr>
          <w:p w14:paraId="49B6328D">
            <w:pPr>
              <w:pStyle w:val="26"/>
              <w:bidi w:val="0"/>
              <w:jc w:val="center"/>
              <w:rPr>
                <w:rFonts w:hint="eastAsia"/>
                <w:lang w:val="en-US" w:eastAsia="zh-CN"/>
              </w:rPr>
            </w:pPr>
            <w:r>
              <w:t>嘉宝梦之悦</w:t>
            </w:r>
          </w:p>
        </w:tc>
        <w:tc>
          <w:tcPr>
            <w:tcW w:w="609" w:type="pct"/>
            <w:shd w:val="clear" w:color="auto" w:fill="auto"/>
            <w:vAlign w:val="center"/>
          </w:tcPr>
          <w:p w14:paraId="2153F3C9">
            <w:pPr>
              <w:pStyle w:val="26"/>
              <w:bidi w:val="0"/>
              <w:jc w:val="center"/>
              <w:rPr>
                <w:lang w:val="en-US" w:eastAsia="zh-CN"/>
              </w:rPr>
            </w:pPr>
            <w:r>
              <w:t>居民区</w:t>
            </w:r>
          </w:p>
        </w:tc>
        <w:tc>
          <w:tcPr>
            <w:tcW w:w="728" w:type="pct"/>
            <w:shd w:val="clear" w:color="auto" w:fill="auto"/>
            <w:noWrap/>
            <w:vAlign w:val="center"/>
          </w:tcPr>
          <w:p w14:paraId="6605B62A">
            <w:pPr>
              <w:pStyle w:val="26"/>
              <w:bidi w:val="0"/>
              <w:jc w:val="center"/>
              <w:rPr>
                <w:rFonts w:hint="eastAsia"/>
                <w:lang w:val="en-US" w:eastAsia="zh-CN"/>
              </w:rPr>
            </w:pPr>
            <w:r>
              <w:t>5814</w:t>
            </w:r>
          </w:p>
        </w:tc>
        <w:tc>
          <w:tcPr>
            <w:tcW w:w="709" w:type="pct"/>
            <w:vMerge w:val="continue"/>
            <w:vAlign w:val="center"/>
          </w:tcPr>
          <w:p w14:paraId="36AADF81">
            <w:pPr>
              <w:pStyle w:val="26"/>
              <w:bidi w:val="0"/>
              <w:jc w:val="center"/>
              <w:rPr>
                <w:color w:val="auto"/>
                <w:highlight w:val="none"/>
                <w:lang w:val="en-US" w:eastAsia="zh-CN"/>
              </w:rPr>
            </w:pPr>
          </w:p>
        </w:tc>
        <w:tc>
          <w:tcPr>
            <w:tcW w:w="826" w:type="pct"/>
            <w:shd w:val="clear" w:color="auto" w:fill="auto"/>
            <w:noWrap/>
            <w:vAlign w:val="center"/>
          </w:tcPr>
          <w:p w14:paraId="33562B94">
            <w:pPr>
              <w:pStyle w:val="26"/>
              <w:bidi w:val="0"/>
              <w:jc w:val="center"/>
              <w:rPr>
                <w:rFonts w:hint="eastAsia"/>
                <w:lang w:val="en-US" w:eastAsia="zh-CN"/>
              </w:rPr>
            </w:pPr>
            <w:r>
              <w:t>西南</w:t>
            </w:r>
          </w:p>
        </w:tc>
        <w:tc>
          <w:tcPr>
            <w:tcW w:w="826" w:type="pct"/>
            <w:shd w:val="clear" w:color="auto" w:fill="auto"/>
            <w:noWrap/>
            <w:vAlign w:val="center"/>
          </w:tcPr>
          <w:p w14:paraId="1B857744">
            <w:pPr>
              <w:pStyle w:val="26"/>
              <w:bidi w:val="0"/>
              <w:jc w:val="center"/>
              <w:rPr>
                <w:rFonts w:hint="eastAsia"/>
                <w:lang w:val="en-US" w:eastAsia="zh-CN"/>
              </w:rPr>
            </w:pPr>
            <w:r>
              <w:t>5020</w:t>
            </w:r>
          </w:p>
        </w:tc>
      </w:tr>
      <w:tr w14:paraId="7747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4C13C4AE">
            <w:pPr>
              <w:pStyle w:val="26"/>
              <w:bidi w:val="0"/>
              <w:jc w:val="center"/>
              <w:rPr>
                <w:rFonts w:hint="eastAsia"/>
                <w:lang w:val="en-US" w:eastAsia="zh-CN"/>
              </w:rPr>
            </w:pPr>
            <w:r>
              <w:rPr>
                <w:rFonts w:hint="default"/>
                <w:lang w:val="en-US" w:eastAsia="zh-CN"/>
              </w:rPr>
              <w:t>160</w:t>
            </w:r>
          </w:p>
        </w:tc>
        <w:tc>
          <w:tcPr>
            <w:tcW w:w="939" w:type="pct"/>
            <w:shd w:val="clear" w:color="auto" w:fill="auto"/>
            <w:noWrap/>
            <w:vAlign w:val="center"/>
          </w:tcPr>
          <w:p w14:paraId="1A7B69A9">
            <w:pPr>
              <w:pStyle w:val="26"/>
              <w:bidi w:val="0"/>
              <w:jc w:val="center"/>
              <w:rPr>
                <w:rFonts w:hint="eastAsia"/>
                <w:lang w:val="en-US" w:eastAsia="zh-CN"/>
              </w:rPr>
            </w:pPr>
            <w:r>
              <w:t>花桥裕花园</w:t>
            </w:r>
          </w:p>
        </w:tc>
        <w:tc>
          <w:tcPr>
            <w:tcW w:w="609" w:type="pct"/>
            <w:shd w:val="clear" w:color="auto" w:fill="auto"/>
            <w:vAlign w:val="center"/>
          </w:tcPr>
          <w:p w14:paraId="574D58D8">
            <w:pPr>
              <w:pStyle w:val="26"/>
              <w:bidi w:val="0"/>
              <w:jc w:val="center"/>
              <w:rPr>
                <w:lang w:val="en-US" w:eastAsia="zh-CN"/>
              </w:rPr>
            </w:pPr>
            <w:r>
              <w:t>居民区</w:t>
            </w:r>
          </w:p>
        </w:tc>
        <w:tc>
          <w:tcPr>
            <w:tcW w:w="728" w:type="pct"/>
            <w:shd w:val="clear" w:color="auto" w:fill="auto"/>
            <w:noWrap/>
            <w:vAlign w:val="center"/>
          </w:tcPr>
          <w:p w14:paraId="39A77EC4">
            <w:pPr>
              <w:pStyle w:val="26"/>
              <w:bidi w:val="0"/>
              <w:jc w:val="center"/>
              <w:rPr>
                <w:rFonts w:hint="eastAsia"/>
                <w:lang w:val="en-US" w:eastAsia="zh-CN"/>
              </w:rPr>
            </w:pPr>
            <w:r>
              <w:t>13749</w:t>
            </w:r>
          </w:p>
        </w:tc>
        <w:tc>
          <w:tcPr>
            <w:tcW w:w="709" w:type="pct"/>
            <w:vMerge w:val="continue"/>
            <w:vAlign w:val="center"/>
          </w:tcPr>
          <w:p w14:paraId="6B760EC7">
            <w:pPr>
              <w:pStyle w:val="26"/>
              <w:bidi w:val="0"/>
              <w:jc w:val="center"/>
              <w:rPr>
                <w:color w:val="auto"/>
                <w:highlight w:val="none"/>
                <w:lang w:val="en-US" w:eastAsia="zh-CN"/>
              </w:rPr>
            </w:pPr>
          </w:p>
        </w:tc>
        <w:tc>
          <w:tcPr>
            <w:tcW w:w="826" w:type="pct"/>
            <w:shd w:val="clear" w:color="auto" w:fill="auto"/>
            <w:noWrap/>
            <w:vAlign w:val="center"/>
          </w:tcPr>
          <w:p w14:paraId="30F24C84">
            <w:pPr>
              <w:pStyle w:val="26"/>
              <w:bidi w:val="0"/>
              <w:jc w:val="center"/>
              <w:rPr>
                <w:rFonts w:hint="eastAsia"/>
                <w:lang w:val="en-US" w:eastAsia="zh-CN"/>
              </w:rPr>
            </w:pPr>
            <w:r>
              <w:t>西南</w:t>
            </w:r>
          </w:p>
        </w:tc>
        <w:tc>
          <w:tcPr>
            <w:tcW w:w="826" w:type="pct"/>
            <w:shd w:val="clear" w:color="auto" w:fill="auto"/>
            <w:noWrap/>
            <w:vAlign w:val="center"/>
          </w:tcPr>
          <w:p w14:paraId="665EE98E">
            <w:pPr>
              <w:pStyle w:val="26"/>
              <w:bidi w:val="0"/>
              <w:jc w:val="center"/>
              <w:rPr>
                <w:rFonts w:hint="eastAsia"/>
                <w:lang w:val="en-US" w:eastAsia="zh-CN"/>
              </w:rPr>
            </w:pPr>
            <w:r>
              <w:t>4670</w:t>
            </w:r>
          </w:p>
        </w:tc>
      </w:tr>
      <w:tr w14:paraId="15A9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01D431B">
            <w:pPr>
              <w:pStyle w:val="26"/>
              <w:bidi w:val="0"/>
              <w:jc w:val="center"/>
              <w:rPr>
                <w:rFonts w:hint="eastAsia"/>
                <w:lang w:val="en-US" w:eastAsia="zh-CN"/>
              </w:rPr>
            </w:pPr>
            <w:r>
              <w:rPr>
                <w:rFonts w:hint="default"/>
                <w:lang w:val="en-US" w:eastAsia="zh-CN"/>
              </w:rPr>
              <w:t>161</w:t>
            </w:r>
          </w:p>
        </w:tc>
        <w:tc>
          <w:tcPr>
            <w:tcW w:w="939" w:type="pct"/>
            <w:shd w:val="clear" w:color="auto" w:fill="auto"/>
            <w:noWrap/>
            <w:vAlign w:val="center"/>
          </w:tcPr>
          <w:p w14:paraId="544E6698">
            <w:pPr>
              <w:pStyle w:val="26"/>
              <w:bidi w:val="0"/>
              <w:jc w:val="center"/>
              <w:rPr>
                <w:rFonts w:hint="eastAsia"/>
                <w:lang w:val="en-US" w:eastAsia="zh-CN"/>
              </w:rPr>
            </w:pPr>
            <w:r>
              <w:t>台昆国际商墅</w:t>
            </w:r>
          </w:p>
        </w:tc>
        <w:tc>
          <w:tcPr>
            <w:tcW w:w="609" w:type="pct"/>
            <w:shd w:val="clear" w:color="auto" w:fill="auto"/>
            <w:vAlign w:val="center"/>
          </w:tcPr>
          <w:p w14:paraId="41EA87F4">
            <w:pPr>
              <w:pStyle w:val="26"/>
              <w:bidi w:val="0"/>
              <w:jc w:val="center"/>
              <w:rPr>
                <w:lang w:val="en-US" w:eastAsia="zh-CN"/>
              </w:rPr>
            </w:pPr>
            <w:r>
              <w:t>居民区</w:t>
            </w:r>
          </w:p>
        </w:tc>
        <w:tc>
          <w:tcPr>
            <w:tcW w:w="728" w:type="pct"/>
            <w:shd w:val="clear" w:color="auto" w:fill="auto"/>
            <w:noWrap/>
            <w:vAlign w:val="center"/>
          </w:tcPr>
          <w:p w14:paraId="289896D5">
            <w:pPr>
              <w:pStyle w:val="26"/>
              <w:bidi w:val="0"/>
              <w:jc w:val="center"/>
              <w:rPr>
                <w:rFonts w:hint="eastAsia"/>
                <w:lang w:val="en-US" w:eastAsia="zh-CN"/>
              </w:rPr>
            </w:pPr>
            <w:r>
              <w:t>705</w:t>
            </w:r>
          </w:p>
        </w:tc>
        <w:tc>
          <w:tcPr>
            <w:tcW w:w="709" w:type="pct"/>
            <w:vMerge w:val="continue"/>
            <w:vAlign w:val="center"/>
          </w:tcPr>
          <w:p w14:paraId="6F75401D">
            <w:pPr>
              <w:pStyle w:val="26"/>
              <w:bidi w:val="0"/>
              <w:jc w:val="center"/>
              <w:rPr>
                <w:color w:val="auto"/>
                <w:highlight w:val="none"/>
                <w:lang w:val="en-US" w:eastAsia="zh-CN"/>
              </w:rPr>
            </w:pPr>
          </w:p>
        </w:tc>
        <w:tc>
          <w:tcPr>
            <w:tcW w:w="826" w:type="pct"/>
            <w:shd w:val="clear" w:color="auto" w:fill="auto"/>
            <w:noWrap/>
            <w:vAlign w:val="center"/>
          </w:tcPr>
          <w:p w14:paraId="3E786A08">
            <w:pPr>
              <w:pStyle w:val="26"/>
              <w:bidi w:val="0"/>
              <w:jc w:val="center"/>
              <w:rPr>
                <w:rFonts w:hint="eastAsia"/>
                <w:lang w:val="en-US" w:eastAsia="zh-CN"/>
              </w:rPr>
            </w:pPr>
            <w:r>
              <w:t>西</w:t>
            </w:r>
          </w:p>
        </w:tc>
        <w:tc>
          <w:tcPr>
            <w:tcW w:w="826" w:type="pct"/>
            <w:shd w:val="clear" w:color="auto" w:fill="auto"/>
            <w:noWrap/>
            <w:vAlign w:val="center"/>
          </w:tcPr>
          <w:p w14:paraId="630B5238">
            <w:pPr>
              <w:pStyle w:val="26"/>
              <w:bidi w:val="0"/>
              <w:jc w:val="center"/>
              <w:rPr>
                <w:rFonts w:hint="eastAsia"/>
                <w:lang w:val="en-US" w:eastAsia="zh-CN"/>
              </w:rPr>
            </w:pPr>
            <w:r>
              <w:t>4235</w:t>
            </w:r>
          </w:p>
        </w:tc>
      </w:tr>
      <w:tr w14:paraId="6B4D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4DCC959">
            <w:pPr>
              <w:pStyle w:val="26"/>
              <w:bidi w:val="0"/>
              <w:jc w:val="center"/>
              <w:rPr>
                <w:rFonts w:hint="eastAsia"/>
                <w:lang w:val="en-US" w:eastAsia="zh-CN"/>
              </w:rPr>
            </w:pPr>
            <w:r>
              <w:rPr>
                <w:rFonts w:hint="default"/>
                <w:lang w:val="en-US" w:eastAsia="zh-CN"/>
              </w:rPr>
              <w:t>162</w:t>
            </w:r>
          </w:p>
        </w:tc>
        <w:tc>
          <w:tcPr>
            <w:tcW w:w="939" w:type="pct"/>
            <w:shd w:val="clear" w:color="auto" w:fill="auto"/>
            <w:noWrap/>
            <w:vAlign w:val="center"/>
          </w:tcPr>
          <w:p w14:paraId="019FB7DF">
            <w:pPr>
              <w:pStyle w:val="26"/>
              <w:bidi w:val="0"/>
              <w:jc w:val="center"/>
              <w:rPr>
                <w:rFonts w:hint="eastAsia"/>
                <w:lang w:val="en-US" w:eastAsia="zh-CN"/>
              </w:rPr>
            </w:pPr>
            <w:r>
              <w:t>两岸新天地</w:t>
            </w:r>
          </w:p>
        </w:tc>
        <w:tc>
          <w:tcPr>
            <w:tcW w:w="609" w:type="pct"/>
            <w:shd w:val="clear" w:color="auto" w:fill="auto"/>
            <w:vAlign w:val="center"/>
          </w:tcPr>
          <w:p w14:paraId="749C1D77">
            <w:pPr>
              <w:pStyle w:val="26"/>
              <w:bidi w:val="0"/>
              <w:jc w:val="center"/>
              <w:rPr>
                <w:lang w:val="en-US" w:eastAsia="zh-CN"/>
              </w:rPr>
            </w:pPr>
            <w:r>
              <w:t>居民区</w:t>
            </w:r>
          </w:p>
        </w:tc>
        <w:tc>
          <w:tcPr>
            <w:tcW w:w="728" w:type="pct"/>
            <w:shd w:val="clear" w:color="auto" w:fill="auto"/>
            <w:noWrap/>
            <w:vAlign w:val="center"/>
          </w:tcPr>
          <w:p w14:paraId="2D5CAE1E">
            <w:pPr>
              <w:pStyle w:val="26"/>
              <w:bidi w:val="0"/>
              <w:jc w:val="center"/>
              <w:rPr>
                <w:rFonts w:hint="eastAsia"/>
                <w:lang w:val="en-US" w:eastAsia="zh-CN"/>
              </w:rPr>
            </w:pPr>
            <w:r>
              <w:t>2208</w:t>
            </w:r>
          </w:p>
        </w:tc>
        <w:tc>
          <w:tcPr>
            <w:tcW w:w="709" w:type="pct"/>
            <w:vMerge w:val="continue"/>
            <w:vAlign w:val="center"/>
          </w:tcPr>
          <w:p w14:paraId="4D9D235F">
            <w:pPr>
              <w:pStyle w:val="26"/>
              <w:bidi w:val="0"/>
              <w:jc w:val="center"/>
              <w:rPr>
                <w:color w:val="auto"/>
                <w:highlight w:val="none"/>
                <w:lang w:val="en-US" w:eastAsia="zh-CN"/>
              </w:rPr>
            </w:pPr>
          </w:p>
        </w:tc>
        <w:tc>
          <w:tcPr>
            <w:tcW w:w="826" w:type="pct"/>
            <w:shd w:val="clear" w:color="auto" w:fill="auto"/>
            <w:noWrap/>
            <w:vAlign w:val="center"/>
          </w:tcPr>
          <w:p w14:paraId="23EEB7D8">
            <w:pPr>
              <w:pStyle w:val="26"/>
              <w:bidi w:val="0"/>
              <w:jc w:val="center"/>
              <w:rPr>
                <w:rFonts w:hint="eastAsia"/>
                <w:lang w:val="en-US" w:eastAsia="zh-CN"/>
              </w:rPr>
            </w:pPr>
            <w:r>
              <w:t>西北</w:t>
            </w:r>
          </w:p>
        </w:tc>
        <w:tc>
          <w:tcPr>
            <w:tcW w:w="826" w:type="pct"/>
            <w:shd w:val="clear" w:color="auto" w:fill="auto"/>
            <w:noWrap/>
            <w:vAlign w:val="center"/>
          </w:tcPr>
          <w:p w14:paraId="0DAE2080">
            <w:pPr>
              <w:pStyle w:val="26"/>
              <w:bidi w:val="0"/>
              <w:jc w:val="center"/>
              <w:rPr>
                <w:rFonts w:hint="eastAsia"/>
                <w:lang w:val="en-US" w:eastAsia="zh-CN"/>
              </w:rPr>
            </w:pPr>
            <w:r>
              <w:t>4705</w:t>
            </w:r>
          </w:p>
        </w:tc>
      </w:tr>
      <w:tr w14:paraId="7CA0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31F81AF">
            <w:pPr>
              <w:pStyle w:val="26"/>
              <w:bidi w:val="0"/>
              <w:jc w:val="center"/>
              <w:rPr>
                <w:rFonts w:hint="eastAsia"/>
                <w:lang w:val="en-US" w:eastAsia="zh-CN"/>
              </w:rPr>
            </w:pPr>
            <w:r>
              <w:rPr>
                <w:rFonts w:hint="default"/>
                <w:lang w:val="en-US" w:eastAsia="zh-CN"/>
              </w:rPr>
              <w:t>163</w:t>
            </w:r>
          </w:p>
        </w:tc>
        <w:tc>
          <w:tcPr>
            <w:tcW w:w="939" w:type="pct"/>
            <w:shd w:val="clear" w:color="auto" w:fill="auto"/>
            <w:noWrap/>
            <w:vAlign w:val="center"/>
          </w:tcPr>
          <w:p w14:paraId="43579501">
            <w:pPr>
              <w:pStyle w:val="26"/>
              <w:bidi w:val="0"/>
              <w:jc w:val="center"/>
              <w:rPr>
                <w:rFonts w:hint="eastAsia"/>
                <w:lang w:val="en-US" w:eastAsia="zh-CN"/>
              </w:rPr>
            </w:pPr>
            <w:r>
              <w:t>常发豪郡</w:t>
            </w:r>
          </w:p>
        </w:tc>
        <w:tc>
          <w:tcPr>
            <w:tcW w:w="609" w:type="pct"/>
            <w:shd w:val="clear" w:color="auto" w:fill="auto"/>
            <w:vAlign w:val="center"/>
          </w:tcPr>
          <w:p w14:paraId="4B775462">
            <w:pPr>
              <w:pStyle w:val="26"/>
              <w:bidi w:val="0"/>
              <w:jc w:val="center"/>
              <w:rPr>
                <w:lang w:val="en-US" w:eastAsia="zh-CN"/>
              </w:rPr>
            </w:pPr>
            <w:r>
              <w:t>居民区</w:t>
            </w:r>
          </w:p>
        </w:tc>
        <w:tc>
          <w:tcPr>
            <w:tcW w:w="728" w:type="pct"/>
            <w:shd w:val="clear" w:color="auto" w:fill="auto"/>
            <w:noWrap/>
            <w:vAlign w:val="center"/>
          </w:tcPr>
          <w:p w14:paraId="235010A6">
            <w:pPr>
              <w:pStyle w:val="26"/>
              <w:bidi w:val="0"/>
              <w:jc w:val="center"/>
              <w:rPr>
                <w:rFonts w:hint="eastAsia"/>
                <w:lang w:val="en-US" w:eastAsia="zh-CN"/>
              </w:rPr>
            </w:pPr>
            <w:r>
              <w:t>10122</w:t>
            </w:r>
          </w:p>
        </w:tc>
        <w:tc>
          <w:tcPr>
            <w:tcW w:w="709" w:type="pct"/>
            <w:vMerge w:val="continue"/>
            <w:vAlign w:val="center"/>
          </w:tcPr>
          <w:p w14:paraId="49017794">
            <w:pPr>
              <w:pStyle w:val="26"/>
              <w:bidi w:val="0"/>
              <w:jc w:val="center"/>
              <w:rPr>
                <w:color w:val="auto"/>
                <w:highlight w:val="none"/>
                <w:lang w:val="en-US" w:eastAsia="zh-CN"/>
              </w:rPr>
            </w:pPr>
          </w:p>
        </w:tc>
        <w:tc>
          <w:tcPr>
            <w:tcW w:w="826" w:type="pct"/>
            <w:shd w:val="clear" w:color="auto" w:fill="auto"/>
            <w:noWrap/>
            <w:vAlign w:val="center"/>
          </w:tcPr>
          <w:p w14:paraId="1B46E53F">
            <w:pPr>
              <w:pStyle w:val="26"/>
              <w:bidi w:val="0"/>
              <w:jc w:val="center"/>
              <w:rPr>
                <w:rFonts w:hint="eastAsia"/>
                <w:lang w:val="en-US" w:eastAsia="zh-CN"/>
              </w:rPr>
            </w:pPr>
            <w:r>
              <w:t>西北</w:t>
            </w:r>
          </w:p>
        </w:tc>
        <w:tc>
          <w:tcPr>
            <w:tcW w:w="826" w:type="pct"/>
            <w:shd w:val="clear" w:color="auto" w:fill="auto"/>
            <w:noWrap/>
            <w:vAlign w:val="center"/>
          </w:tcPr>
          <w:p w14:paraId="4E58E606">
            <w:pPr>
              <w:pStyle w:val="26"/>
              <w:bidi w:val="0"/>
              <w:jc w:val="center"/>
              <w:rPr>
                <w:rFonts w:hint="eastAsia"/>
                <w:lang w:val="en-US" w:eastAsia="zh-CN"/>
              </w:rPr>
            </w:pPr>
            <w:r>
              <w:t>4750</w:t>
            </w:r>
          </w:p>
        </w:tc>
      </w:tr>
      <w:tr w14:paraId="3F1F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1E97043">
            <w:pPr>
              <w:pStyle w:val="26"/>
              <w:bidi w:val="0"/>
              <w:jc w:val="center"/>
              <w:rPr>
                <w:rFonts w:hint="eastAsia"/>
                <w:lang w:val="en-US" w:eastAsia="zh-CN"/>
              </w:rPr>
            </w:pPr>
            <w:r>
              <w:rPr>
                <w:rFonts w:hint="default"/>
                <w:lang w:val="en-US" w:eastAsia="zh-CN"/>
              </w:rPr>
              <w:t>164</w:t>
            </w:r>
          </w:p>
        </w:tc>
        <w:tc>
          <w:tcPr>
            <w:tcW w:w="939" w:type="pct"/>
            <w:shd w:val="clear" w:color="auto" w:fill="auto"/>
            <w:noWrap/>
            <w:vAlign w:val="center"/>
          </w:tcPr>
          <w:p w14:paraId="73E31E7B">
            <w:pPr>
              <w:pStyle w:val="26"/>
              <w:bidi w:val="0"/>
              <w:jc w:val="center"/>
              <w:rPr>
                <w:rFonts w:hint="eastAsia"/>
                <w:lang w:val="en-US" w:eastAsia="zh-CN"/>
              </w:rPr>
            </w:pPr>
            <w:r>
              <w:t>常发豪郡北区</w:t>
            </w:r>
          </w:p>
        </w:tc>
        <w:tc>
          <w:tcPr>
            <w:tcW w:w="609" w:type="pct"/>
            <w:shd w:val="clear" w:color="auto" w:fill="auto"/>
            <w:vAlign w:val="center"/>
          </w:tcPr>
          <w:p w14:paraId="2CA8F1F4">
            <w:pPr>
              <w:pStyle w:val="26"/>
              <w:bidi w:val="0"/>
              <w:jc w:val="center"/>
              <w:rPr>
                <w:lang w:val="en-US" w:eastAsia="zh-CN"/>
              </w:rPr>
            </w:pPr>
            <w:r>
              <w:t>居民区</w:t>
            </w:r>
          </w:p>
        </w:tc>
        <w:tc>
          <w:tcPr>
            <w:tcW w:w="728" w:type="pct"/>
            <w:shd w:val="clear" w:color="auto" w:fill="auto"/>
            <w:noWrap/>
            <w:vAlign w:val="center"/>
          </w:tcPr>
          <w:p w14:paraId="3FB4D0AB">
            <w:pPr>
              <w:pStyle w:val="26"/>
              <w:bidi w:val="0"/>
              <w:jc w:val="center"/>
              <w:rPr>
                <w:rFonts w:hint="eastAsia"/>
                <w:lang w:val="en-US" w:eastAsia="zh-CN"/>
              </w:rPr>
            </w:pPr>
            <w:r>
              <w:t>6054</w:t>
            </w:r>
          </w:p>
        </w:tc>
        <w:tc>
          <w:tcPr>
            <w:tcW w:w="709" w:type="pct"/>
            <w:vMerge w:val="continue"/>
            <w:vAlign w:val="center"/>
          </w:tcPr>
          <w:p w14:paraId="371955F2">
            <w:pPr>
              <w:pStyle w:val="26"/>
              <w:bidi w:val="0"/>
              <w:jc w:val="center"/>
              <w:rPr>
                <w:color w:val="auto"/>
                <w:highlight w:val="none"/>
                <w:lang w:val="en-US" w:eastAsia="zh-CN"/>
              </w:rPr>
            </w:pPr>
          </w:p>
        </w:tc>
        <w:tc>
          <w:tcPr>
            <w:tcW w:w="826" w:type="pct"/>
            <w:shd w:val="clear" w:color="auto" w:fill="auto"/>
            <w:noWrap/>
            <w:vAlign w:val="center"/>
          </w:tcPr>
          <w:p w14:paraId="2CD0B1A1">
            <w:pPr>
              <w:pStyle w:val="26"/>
              <w:bidi w:val="0"/>
              <w:jc w:val="center"/>
              <w:rPr>
                <w:rFonts w:hint="eastAsia"/>
                <w:lang w:val="en-US" w:eastAsia="zh-CN"/>
              </w:rPr>
            </w:pPr>
            <w:r>
              <w:t>西北</w:t>
            </w:r>
          </w:p>
        </w:tc>
        <w:tc>
          <w:tcPr>
            <w:tcW w:w="826" w:type="pct"/>
            <w:shd w:val="clear" w:color="auto" w:fill="auto"/>
            <w:noWrap/>
            <w:vAlign w:val="center"/>
          </w:tcPr>
          <w:p w14:paraId="331F336A">
            <w:pPr>
              <w:pStyle w:val="26"/>
              <w:bidi w:val="0"/>
              <w:jc w:val="center"/>
              <w:rPr>
                <w:rFonts w:hint="eastAsia"/>
                <w:lang w:val="en-US" w:eastAsia="zh-CN"/>
              </w:rPr>
            </w:pPr>
            <w:r>
              <w:t>4780</w:t>
            </w:r>
          </w:p>
        </w:tc>
      </w:tr>
      <w:tr w14:paraId="01D7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652AD77C">
            <w:pPr>
              <w:pStyle w:val="26"/>
              <w:bidi w:val="0"/>
              <w:jc w:val="center"/>
              <w:rPr>
                <w:rFonts w:hint="eastAsia"/>
                <w:lang w:val="en-US" w:eastAsia="zh-CN"/>
              </w:rPr>
            </w:pPr>
            <w:r>
              <w:rPr>
                <w:rFonts w:hint="default"/>
                <w:lang w:val="en-US" w:eastAsia="zh-CN"/>
              </w:rPr>
              <w:t>165</w:t>
            </w:r>
          </w:p>
        </w:tc>
        <w:tc>
          <w:tcPr>
            <w:tcW w:w="939" w:type="pct"/>
            <w:shd w:val="clear" w:color="auto" w:fill="auto"/>
            <w:noWrap/>
            <w:vAlign w:val="center"/>
          </w:tcPr>
          <w:p w14:paraId="0ACB96FF">
            <w:pPr>
              <w:pStyle w:val="26"/>
              <w:bidi w:val="0"/>
              <w:jc w:val="center"/>
              <w:rPr>
                <w:rFonts w:hint="eastAsia"/>
                <w:lang w:val="en-US" w:eastAsia="zh-CN"/>
              </w:rPr>
            </w:pPr>
            <w:r>
              <w:t>嘉定区安亭小学</w:t>
            </w:r>
          </w:p>
        </w:tc>
        <w:tc>
          <w:tcPr>
            <w:tcW w:w="609" w:type="pct"/>
            <w:shd w:val="clear" w:color="auto" w:fill="auto"/>
            <w:vAlign w:val="center"/>
          </w:tcPr>
          <w:p w14:paraId="73790F11">
            <w:pPr>
              <w:pStyle w:val="26"/>
              <w:bidi w:val="0"/>
              <w:jc w:val="center"/>
              <w:rPr>
                <w:lang w:val="en-US" w:eastAsia="zh-CN"/>
              </w:rPr>
            </w:pPr>
            <w:r>
              <w:t>居民区</w:t>
            </w:r>
          </w:p>
        </w:tc>
        <w:tc>
          <w:tcPr>
            <w:tcW w:w="728" w:type="pct"/>
            <w:shd w:val="clear" w:color="auto" w:fill="auto"/>
            <w:noWrap/>
            <w:vAlign w:val="center"/>
          </w:tcPr>
          <w:p w14:paraId="057E3664">
            <w:pPr>
              <w:pStyle w:val="26"/>
              <w:bidi w:val="0"/>
              <w:jc w:val="center"/>
              <w:rPr>
                <w:rFonts w:hint="eastAsia"/>
                <w:lang w:val="en-US" w:eastAsia="zh-CN"/>
              </w:rPr>
            </w:pPr>
            <w:r>
              <w:t>1500</w:t>
            </w:r>
          </w:p>
        </w:tc>
        <w:tc>
          <w:tcPr>
            <w:tcW w:w="709" w:type="pct"/>
            <w:vMerge w:val="continue"/>
            <w:vAlign w:val="center"/>
          </w:tcPr>
          <w:p w14:paraId="16B17D3B">
            <w:pPr>
              <w:pStyle w:val="26"/>
              <w:bidi w:val="0"/>
              <w:jc w:val="center"/>
              <w:rPr>
                <w:color w:val="auto"/>
                <w:highlight w:val="none"/>
                <w:lang w:val="en-US" w:eastAsia="zh-CN"/>
              </w:rPr>
            </w:pPr>
          </w:p>
        </w:tc>
        <w:tc>
          <w:tcPr>
            <w:tcW w:w="826" w:type="pct"/>
            <w:shd w:val="clear" w:color="auto" w:fill="auto"/>
            <w:noWrap/>
            <w:vAlign w:val="center"/>
          </w:tcPr>
          <w:p w14:paraId="6D6141F3">
            <w:pPr>
              <w:pStyle w:val="26"/>
              <w:bidi w:val="0"/>
              <w:jc w:val="center"/>
              <w:rPr>
                <w:rFonts w:hint="eastAsia"/>
                <w:lang w:val="en-US" w:eastAsia="zh-CN"/>
              </w:rPr>
            </w:pPr>
            <w:r>
              <w:t>东南</w:t>
            </w:r>
          </w:p>
        </w:tc>
        <w:tc>
          <w:tcPr>
            <w:tcW w:w="826" w:type="pct"/>
            <w:shd w:val="clear" w:color="auto" w:fill="auto"/>
            <w:noWrap/>
            <w:vAlign w:val="center"/>
          </w:tcPr>
          <w:p w14:paraId="49BD22DF">
            <w:pPr>
              <w:pStyle w:val="26"/>
              <w:bidi w:val="0"/>
              <w:jc w:val="center"/>
              <w:rPr>
                <w:rFonts w:hint="eastAsia"/>
                <w:lang w:val="en-US" w:eastAsia="zh-CN"/>
              </w:rPr>
            </w:pPr>
            <w:r>
              <w:t>4105</w:t>
            </w:r>
          </w:p>
        </w:tc>
      </w:tr>
      <w:tr w14:paraId="5260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1941798B">
            <w:pPr>
              <w:pStyle w:val="26"/>
              <w:bidi w:val="0"/>
              <w:jc w:val="center"/>
              <w:rPr>
                <w:rFonts w:hint="eastAsia"/>
                <w:lang w:val="en-US" w:eastAsia="zh-CN"/>
              </w:rPr>
            </w:pPr>
            <w:r>
              <w:rPr>
                <w:rFonts w:hint="default"/>
                <w:lang w:val="en-US" w:eastAsia="zh-CN"/>
              </w:rPr>
              <w:t>166</w:t>
            </w:r>
          </w:p>
        </w:tc>
        <w:tc>
          <w:tcPr>
            <w:tcW w:w="939" w:type="pct"/>
            <w:shd w:val="clear" w:color="auto" w:fill="auto"/>
            <w:noWrap/>
            <w:vAlign w:val="center"/>
          </w:tcPr>
          <w:p w14:paraId="3A520491">
            <w:pPr>
              <w:pStyle w:val="26"/>
              <w:bidi w:val="0"/>
              <w:jc w:val="center"/>
              <w:rPr>
                <w:rFonts w:hint="eastAsia"/>
                <w:lang w:val="en-US" w:eastAsia="zh-CN"/>
              </w:rPr>
            </w:pPr>
            <w:r>
              <w:t>花桥镇徐公桥小学</w:t>
            </w:r>
          </w:p>
        </w:tc>
        <w:tc>
          <w:tcPr>
            <w:tcW w:w="609" w:type="pct"/>
            <w:shd w:val="clear" w:color="auto" w:fill="auto"/>
            <w:vAlign w:val="center"/>
          </w:tcPr>
          <w:p w14:paraId="4116032A">
            <w:pPr>
              <w:pStyle w:val="26"/>
              <w:bidi w:val="0"/>
              <w:jc w:val="center"/>
              <w:rPr>
                <w:lang w:val="en-US" w:eastAsia="zh-CN"/>
              </w:rPr>
            </w:pPr>
            <w:r>
              <w:t>学校</w:t>
            </w:r>
          </w:p>
        </w:tc>
        <w:tc>
          <w:tcPr>
            <w:tcW w:w="728" w:type="pct"/>
            <w:shd w:val="clear" w:color="auto" w:fill="auto"/>
            <w:noWrap/>
            <w:vAlign w:val="center"/>
          </w:tcPr>
          <w:p w14:paraId="66D76508">
            <w:pPr>
              <w:pStyle w:val="26"/>
              <w:bidi w:val="0"/>
              <w:jc w:val="center"/>
              <w:rPr>
                <w:rFonts w:hint="eastAsia"/>
                <w:lang w:val="en-US" w:eastAsia="zh-CN"/>
              </w:rPr>
            </w:pPr>
            <w:r>
              <w:t>1800</w:t>
            </w:r>
          </w:p>
        </w:tc>
        <w:tc>
          <w:tcPr>
            <w:tcW w:w="709" w:type="pct"/>
            <w:vMerge w:val="continue"/>
            <w:vAlign w:val="center"/>
          </w:tcPr>
          <w:p w14:paraId="5C80A791">
            <w:pPr>
              <w:pStyle w:val="26"/>
              <w:bidi w:val="0"/>
              <w:jc w:val="center"/>
              <w:rPr>
                <w:color w:val="auto"/>
                <w:highlight w:val="none"/>
                <w:lang w:val="en-US" w:eastAsia="zh-CN"/>
              </w:rPr>
            </w:pPr>
          </w:p>
        </w:tc>
        <w:tc>
          <w:tcPr>
            <w:tcW w:w="826" w:type="pct"/>
            <w:shd w:val="clear" w:color="auto" w:fill="auto"/>
            <w:noWrap/>
            <w:vAlign w:val="center"/>
          </w:tcPr>
          <w:p w14:paraId="22BE0E21">
            <w:pPr>
              <w:pStyle w:val="26"/>
              <w:bidi w:val="0"/>
              <w:jc w:val="center"/>
              <w:rPr>
                <w:rFonts w:hint="eastAsia"/>
                <w:lang w:val="en-US" w:eastAsia="zh-CN"/>
              </w:rPr>
            </w:pPr>
            <w:r>
              <w:t>东南</w:t>
            </w:r>
          </w:p>
        </w:tc>
        <w:tc>
          <w:tcPr>
            <w:tcW w:w="826" w:type="pct"/>
            <w:shd w:val="clear" w:color="auto" w:fill="auto"/>
            <w:noWrap/>
            <w:vAlign w:val="center"/>
          </w:tcPr>
          <w:p w14:paraId="62AB529F">
            <w:pPr>
              <w:pStyle w:val="26"/>
              <w:bidi w:val="0"/>
              <w:jc w:val="center"/>
              <w:rPr>
                <w:rFonts w:hint="eastAsia"/>
                <w:lang w:val="en-US" w:eastAsia="zh-CN"/>
              </w:rPr>
            </w:pPr>
            <w:r>
              <w:t>2530</w:t>
            </w:r>
          </w:p>
        </w:tc>
      </w:tr>
      <w:tr w14:paraId="45F6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71AF86F">
            <w:pPr>
              <w:pStyle w:val="26"/>
              <w:bidi w:val="0"/>
              <w:jc w:val="center"/>
              <w:rPr>
                <w:rFonts w:hint="eastAsia"/>
                <w:lang w:val="en-US" w:eastAsia="zh-CN"/>
              </w:rPr>
            </w:pPr>
            <w:r>
              <w:rPr>
                <w:rFonts w:hint="default"/>
                <w:lang w:val="en-US" w:eastAsia="zh-CN"/>
              </w:rPr>
              <w:t>167</w:t>
            </w:r>
          </w:p>
        </w:tc>
        <w:tc>
          <w:tcPr>
            <w:tcW w:w="939" w:type="pct"/>
            <w:shd w:val="clear" w:color="auto" w:fill="auto"/>
            <w:noWrap/>
            <w:vAlign w:val="center"/>
          </w:tcPr>
          <w:p w14:paraId="64F07EE2">
            <w:pPr>
              <w:pStyle w:val="26"/>
              <w:bidi w:val="0"/>
              <w:jc w:val="center"/>
              <w:rPr>
                <w:rFonts w:hint="eastAsia"/>
                <w:lang w:val="en-US" w:eastAsia="zh-CN"/>
              </w:rPr>
            </w:pPr>
            <w:r>
              <w:t>花桥徐公桥中学</w:t>
            </w:r>
          </w:p>
        </w:tc>
        <w:tc>
          <w:tcPr>
            <w:tcW w:w="609" w:type="pct"/>
            <w:shd w:val="clear" w:color="auto" w:fill="auto"/>
            <w:vAlign w:val="center"/>
          </w:tcPr>
          <w:p w14:paraId="27349588">
            <w:pPr>
              <w:pStyle w:val="26"/>
              <w:bidi w:val="0"/>
              <w:jc w:val="center"/>
              <w:rPr>
                <w:lang w:val="en-US" w:eastAsia="zh-CN"/>
              </w:rPr>
            </w:pPr>
            <w:r>
              <w:t>学校</w:t>
            </w:r>
          </w:p>
        </w:tc>
        <w:tc>
          <w:tcPr>
            <w:tcW w:w="728" w:type="pct"/>
            <w:shd w:val="clear" w:color="auto" w:fill="auto"/>
            <w:noWrap/>
            <w:vAlign w:val="center"/>
          </w:tcPr>
          <w:p w14:paraId="2BF1C6B0">
            <w:pPr>
              <w:pStyle w:val="26"/>
              <w:bidi w:val="0"/>
              <w:jc w:val="center"/>
              <w:rPr>
                <w:rFonts w:hint="eastAsia"/>
                <w:lang w:val="en-US" w:eastAsia="zh-CN"/>
              </w:rPr>
            </w:pPr>
            <w:r>
              <w:t>1500</w:t>
            </w:r>
          </w:p>
        </w:tc>
        <w:tc>
          <w:tcPr>
            <w:tcW w:w="709" w:type="pct"/>
            <w:vMerge w:val="continue"/>
            <w:vAlign w:val="center"/>
          </w:tcPr>
          <w:p w14:paraId="4D0FD4A3">
            <w:pPr>
              <w:pStyle w:val="26"/>
              <w:bidi w:val="0"/>
              <w:jc w:val="center"/>
              <w:rPr>
                <w:color w:val="auto"/>
                <w:highlight w:val="none"/>
                <w:lang w:val="en-US" w:eastAsia="zh-CN"/>
              </w:rPr>
            </w:pPr>
          </w:p>
        </w:tc>
        <w:tc>
          <w:tcPr>
            <w:tcW w:w="826" w:type="pct"/>
            <w:shd w:val="clear" w:color="auto" w:fill="auto"/>
            <w:noWrap/>
            <w:vAlign w:val="center"/>
          </w:tcPr>
          <w:p w14:paraId="7972CA90">
            <w:pPr>
              <w:pStyle w:val="26"/>
              <w:bidi w:val="0"/>
              <w:jc w:val="center"/>
              <w:rPr>
                <w:rFonts w:hint="eastAsia"/>
                <w:lang w:val="en-US" w:eastAsia="zh-CN"/>
              </w:rPr>
            </w:pPr>
            <w:r>
              <w:t>东南</w:t>
            </w:r>
          </w:p>
        </w:tc>
        <w:tc>
          <w:tcPr>
            <w:tcW w:w="826" w:type="pct"/>
            <w:shd w:val="clear" w:color="auto" w:fill="auto"/>
            <w:noWrap/>
            <w:vAlign w:val="center"/>
          </w:tcPr>
          <w:p w14:paraId="778DABB7">
            <w:pPr>
              <w:pStyle w:val="26"/>
              <w:bidi w:val="0"/>
              <w:jc w:val="center"/>
              <w:rPr>
                <w:rFonts w:hint="eastAsia"/>
                <w:lang w:val="en-US" w:eastAsia="zh-CN"/>
              </w:rPr>
            </w:pPr>
            <w:r>
              <w:t>3104</w:t>
            </w:r>
          </w:p>
        </w:tc>
      </w:tr>
      <w:tr w14:paraId="07E4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0D6647C">
            <w:pPr>
              <w:pStyle w:val="26"/>
              <w:bidi w:val="0"/>
              <w:jc w:val="center"/>
              <w:rPr>
                <w:rFonts w:hint="eastAsia"/>
                <w:lang w:val="en-US" w:eastAsia="zh-CN"/>
              </w:rPr>
            </w:pPr>
            <w:r>
              <w:rPr>
                <w:rFonts w:hint="default"/>
                <w:lang w:val="en-US" w:eastAsia="zh-CN"/>
              </w:rPr>
              <w:t>168</w:t>
            </w:r>
          </w:p>
        </w:tc>
        <w:tc>
          <w:tcPr>
            <w:tcW w:w="939" w:type="pct"/>
            <w:shd w:val="clear" w:color="auto" w:fill="auto"/>
            <w:noWrap/>
            <w:vAlign w:val="center"/>
          </w:tcPr>
          <w:p w14:paraId="31E1BCB9">
            <w:pPr>
              <w:pStyle w:val="26"/>
              <w:bidi w:val="0"/>
              <w:jc w:val="center"/>
              <w:rPr>
                <w:rFonts w:hint="eastAsia"/>
                <w:lang w:val="en-US" w:eastAsia="zh-CN"/>
              </w:rPr>
            </w:pPr>
            <w:r>
              <w:t>昆山市花桥中学</w:t>
            </w:r>
          </w:p>
        </w:tc>
        <w:tc>
          <w:tcPr>
            <w:tcW w:w="609" w:type="pct"/>
            <w:shd w:val="clear" w:color="auto" w:fill="auto"/>
            <w:vAlign w:val="center"/>
          </w:tcPr>
          <w:p w14:paraId="0F18FA00">
            <w:pPr>
              <w:pStyle w:val="26"/>
              <w:bidi w:val="0"/>
              <w:jc w:val="center"/>
              <w:rPr>
                <w:lang w:val="en-US" w:eastAsia="zh-CN"/>
              </w:rPr>
            </w:pPr>
            <w:r>
              <w:t>医院</w:t>
            </w:r>
          </w:p>
        </w:tc>
        <w:tc>
          <w:tcPr>
            <w:tcW w:w="728" w:type="pct"/>
            <w:shd w:val="clear" w:color="auto" w:fill="auto"/>
            <w:noWrap/>
            <w:vAlign w:val="center"/>
          </w:tcPr>
          <w:p w14:paraId="61A1CF06">
            <w:pPr>
              <w:pStyle w:val="26"/>
              <w:bidi w:val="0"/>
              <w:jc w:val="center"/>
              <w:rPr>
                <w:rFonts w:hint="eastAsia"/>
                <w:lang w:val="en-US" w:eastAsia="zh-CN"/>
              </w:rPr>
            </w:pPr>
            <w:r>
              <w:t>1500</w:t>
            </w:r>
          </w:p>
        </w:tc>
        <w:tc>
          <w:tcPr>
            <w:tcW w:w="709" w:type="pct"/>
            <w:vMerge w:val="continue"/>
            <w:vAlign w:val="center"/>
          </w:tcPr>
          <w:p w14:paraId="6579925F">
            <w:pPr>
              <w:pStyle w:val="26"/>
              <w:bidi w:val="0"/>
              <w:jc w:val="center"/>
              <w:rPr>
                <w:color w:val="auto"/>
                <w:highlight w:val="none"/>
                <w:lang w:val="en-US" w:eastAsia="zh-CN"/>
              </w:rPr>
            </w:pPr>
          </w:p>
        </w:tc>
        <w:tc>
          <w:tcPr>
            <w:tcW w:w="826" w:type="pct"/>
            <w:shd w:val="clear" w:color="auto" w:fill="auto"/>
            <w:noWrap/>
            <w:vAlign w:val="center"/>
          </w:tcPr>
          <w:p w14:paraId="20E7A589">
            <w:pPr>
              <w:pStyle w:val="26"/>
              <w:bidi w:val="0"/>
              <w:jc w:val="center"/>
              <w:rPr>
                <w:rFonts w:hint="eastAsia"/>
                <w:lang w:val="en-US" w:eastAsia="zh-CN"/>
              </w:rPr>
            </w:pPr>
            <w:r>
              <w:t>西南</w:t>
            </w:r>
          </w:p>
        </w:tc>
        <w:tc>
          <w:tcPr>
            <w:tcW w:w="826" w:type="pct"/>
            <w:shd w:val="clear" w:color="auto" w:fill="auto"/>
            <w:noWrap/>
            <w:vAlign w:val="center"/>
          </w:tcPr>
          <w:p w14:paraId="06F3E04A">
            <w:pPr>
              <w:pStyle w:val="26"/>
              <w:bidi w:val="0"/>
              <w:jc w:val="center"/>
              <w:rPr>
                <w:rFonts w:hint="eastAsia"/>
                <w:lang w:val="en-US" w:eastAsia="zh-CN"/>
              </w:rPr>
            </w:pPr>
            <w:r>
              <w:t>2050</w:t>
            </w:r>
          </w:p>
        </w:tc>
      </w:tr>
      <w:tr w14:paraId="48E7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3648DA63">
            <w:pPr>
              <w:pStyle w:val="26"/>
              <w:bidi w:val="0"/>
              <w:jc w:val="center"/>
              <w:rPr>
                <w:rFonts w:hint="eastAsia"/>
                <w:lang w:val="en-US" w:eastAsia="zh-CN"/>
              </w:rPr>
            </w:pPr>
            <w:r>
              <w:rPr>
                <w:rFonts w:hint="default"/>
                <w:lang w:val="en-US" w:eastAsia="zh-CN"/>
              </w:rPr>
              <w:t>169</w:t>
            </w:r>
          </w:p>
        </w:tc>
        <w:tc>
          <w:tcPr>
            <w:tcW w:w="939" w:type="pct"/>
            <w:shd w:val="clear" w:color="auto" w:fill="auto"/>
            <w:noWrap/>
            <w:vAlign w:val="center"/>
          </w:tcPr>
          <w:p w14:paraId="21728C9D">
            <w:pPr>
              <w:pStyle w:val="26"/>
              <w:bidi w:val="0"/>
              <w:jc w:val="center"/>
              <w:rPr>
                <w:rFonts w:hint="eastAsia"/>
                <w:lang w:val="en-US" w:eastAsia="zh-CN"/>
              </w:rPr>
            </w:pPr>
            <w:r>
              <w:t>昆山市花桥中心小学</w:t>
            </w:r>
          </w:p>
        </w:tc>
        <w:tc>
          <w:tcPr>
            <w:tcW w:w="609" w:type="pct"/>
            <w:shd w:val="clear" w:color="auto" w:fill="auto"/>
            <w:vAlign w:val="center"/>
          </w:tcPr>
          <w:p w14:paraId="2EDECCD3">
            <w:pPr>
              <w:pStyle w:val="26"/>
              <w:bidi w:val="0"/>
              <w:jc w:val="center"/>
              <w:rPr>
                <w:lang w:val="en-US" w:eastAsia="zh-CN"/>
              </w:rPr>
            </w:pPr>
            <w:r>
              <w:t>学校</w:t>
            </w:r>
          </w:p>
        </w:tc>
        <w:tc>
          <w:tcPr>
            <w:tcW w:w="728" w:type="pct"/>
            <w:shd w:val="clear" w:color="auto" w:fill="auto"/>
            <w:noWrap/>
            <w:vAlign w:val="center"/>
          </w:tcPr>
          <w:p w14:paraId="5BC309FD">
            <w:pPr>
              <w:pStyle w:val="26"/>
              <w:bidi w:val="0"/>
              <w:jc w:val="center"/>
              <w:rPr>
                <w:rFonts w:hint="eastAsia"/>
                <w:lang w:val="en-US" w:eastAsia="zh-CN"/>
              </w:rPr>
            </w:pPr>
            <w:r>
              <w:t>1000</w:t>
            </w:r>
          </w:p>
        </w:tc>
        <w:tc>
          <w:tcPr>
            <w:tcW w:w="709" w:type="pct"/>
            <w:vMerge w:val="continue"/>
            <w:vAlign w:val="center"/>
          </w:tcPr>
          <w:p w14:paraId="404A2090">
            <w:pPr>
              <w:pStyle w:val="26"/>
              <w:bidi w:val="0"/>
              <w:jc w:val="center"/>
              <w:rPr>
                <w:color w:val="auto"/>
                <w:highlight w:val="none"/>
                <w:lang w:val="en-US" w:eastAsia="zh-CN"/>
              </w:rPr>
            </w:pPr>
          </w:p>
        </w:tc>
        <w:tc>
          <w:tcPr>
            <w:tcW w:w="826" w:type="pct"/>
            <w:shd w:val="clear" w:color="auto" w:fill="auto"/>
            <w:noWrap/>
            <w:vAlign w:val="center"/>
          </w:tcPr>
          <w:p w14:paraId="6D79CBB4">
            <w:pPr>
              <w:pStyle w:val="26"/>
              <w:bidi w:val="0"/>
              <w:jc w:val="center"/>
              <w:rPr>
                <w:rFonts w:hint="eastAsia"/>
                <w:lang w:val="en-US" w:eastAsia="zh-CN"/>
              </w:rPr>
            </w:pPr>
            <w:r>
              <w:t>西南</w:t>
            </w:r>
          </w:p>
        </w:tc>
        <w:tc>
          <w:tcPr>
            <w:tcW w:w="826" w:type="pct"/>
            <w:shd w:val="clear" w:color="auto" w:fill="auto"/>
            <w:noWrap/>
            <w:vAlign w:val="center"/>
          </w:tcPr>
          <w:p w14:paraId="2D07E28C">
            <w:pPr>
              <w:pStyle w:val="26"/>
              <w:bidi w:val="0"/>
              <w:jc w:val="center"/>
              <w:rPr>
                <w:rFonts w:hint="eastAsia"/>
                <w:lang w:val="en-US" w:eastAsia="zh-CN"/>
              </w:rPr>
            </w:pPr>
            <w:r>
              <w:t>2610</w:t>
            </w:r>
          </w:p>
        </w:tc>
      </w:tr>
      <w:tr w14:paraId="7BCA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7F44E629">
            <w:pPr>
              <w:pStyle w:val="26"/>
              <w:bidi w:val="0"/>
              <w:jc w:val="center"/>
              <w:rPr>
                <w:rFonts w:hint="eastAsia"/>
                <w:lang w:val="en-US" w:eastAsia="zh-CN"/>
              </w:rPr>
            </w:pPr>
            <w:r>
              <w:rPr>
                <w:rFonts w:hint="default"/>
                <w:lang w:val="en-US" w:eastAsia="zh-CN"/>
              </w:rPr>
              <w:t>170</w:t>
            </w:r>
          </w:p>
        </w:tc>
        <w:tc>
          <w:tcPr>
            <w:tcW w:w="939" w:type="pct"/>
            <w:shd w:val="clear" w:color="auto" w:fill="auto"/>
            <w:noWrap/>
            <w:vAlign w:val="center"/>
          </w:tcPr>
          <w:p w14:paraId="61BF4616">
            <w:pPr>
              <w:pStyle w:val="26"/>
              <w:bidi w:val="0"/>
              <w:jc w:val="center"/>
              <w:rPr>
                <w:rFonts w:hint="eastAsia"/>
                <w:lang w:val="en-US" w:eastAsia="zh-CN"/>
              </w:rPr>
            </w:pPr>
            <w:r>
              <w:t>华东康桥学校</w:t>
            </w:r>
          </w:p>
        </w:tc>
        <w:tc>
          <w:tcPr>
            <w:tcW w:w="609" w:type="pct"/>
            <w:shd w:val="clear" w:color="auto" w:fill="auto"/>
            <w:vAlign w:val="center"/>
          </w:tcPr>
          <w:p w14:paraId="3F363207">
            <w:pPr>
              <w:pStyle w:val="26"/>
              <w:bidi w:val="0"/>
              <w:jc w:val="center"/>
              <w:rPr>
                <w:lang w:val="en-US" w:eastAsia="zh-CN"/>
              </w:rPr>
            </w:pPr>
            <w:r>
              <w:t>学校</w:t>
            </w:r>
          </w:p>
        </w:tc>
        <w:tc>
          <w:tcPr>
            <w:tcW w:w="728" w:type="pct"/>
            <w:shd w:val="clear" w:color="auto" w:fill="auto"/>
            <w:noWrap/>
            <w:vAlign w:val="center"/>
          </w:tcPr>
          <w:p w14:paraId="2E668E2E">
            <w:pPr>
              <w:pStyle w:val="26"/>
              <w:bidi w:val="0"/>
              <w:jc w:val="center"/>
              <w:rPr>
                <w:rFonts w:hint="eastAsia"/>
                <w:lang w:val="en-US" w:eastAsia="zh-CN"/>
              </w:rPr>
            </w:pPr>
            <w:r>
              <w:t>800</w:t>
            </w:r>
          </w:p>
        </w:tc>
        <w:tc>
          <w:tcPr>
            <w:tcW w:w="709" w:type="pct"/>
            <w:vMerge w:val="continue"/>
            <w:vAlign w:val="center"/>
          </w:tcPr>
          <w:p w14:paraId="1A86DEC4">
            <w:pPr>
              <w:pStyle w:val="26"/>
              <w:bidi w:val="0"/>
              <w:jc w:val="center"/>
              <w:rPr>
                <w:color w:val="auto"/>
                <w:highlight w:val="none"/>
                <w:lang w:val="en-US" w:eastAsia="zh-CN"/>
              </w:rPr>
            </w:pPr>
          </w:p>
        </w:tc>
        <w:tc>
          <w:tcPr>
            <w:tcW w:w="826" w:type="pct"/>
            <w:shd w:val="clear" w:color="auto" w:fill="auto"/>
            <w:noWrap/>
            <w:vAlign w:val="center"/>
          </w:tcPr>
          <w:p w14:paraId="02725AB6">
            <w:pPr>
              <w:pStyle w:val="26"/>
              <w:bidi w:val="0"/>
              <w:jc w:val="center"/>
              <w:rPr>
                <w:rFonts w:hint="eastAsia"/>
                <w:lang w:val="en-US" w:eastAsia="zh-CN"/>
              </w:rPr>
            </w:pPr>
            <w:r>
              <w:t>西南</w:t>
            </w:r>
          </w:p>
        </w:tc>
        <w:tc>
          <w:tcPr>
            <w:tcW w:w="826" w:type="pct"/>
            <w:shd w:val="clear" w:color="auto" w:fill="auto"/>
            <w:noWrap/>
            <w:vAlign w:val="center"/>
          </w:tcPr>
          <w:p w14:paraId="72CE04E7">
            <w:pPr>
              <w:pStyle w:val="26"/>
              <w:bidi w:val="0"/>
              <w:jc w:val="center"/>
              <w:rPr>
                <w:rFonts w:hint="eastAsia"/>
                <w:lang w:val="en-US" w:eastAsia="zh-CN"/>
              </w:rPr>
            </w:pPr>
            <w:r>
              <w:t>3730</w:t>
            </w:r>
          </w:p>
        </w:tc>
      </w:tr>
      <w:tr w14:paraId="0D52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DE7C584">
            <w:pPr>
              <w:pStyle w:val="26"/>
              <w:bidi w:val="0"/>
              <w:jc w:val="center"/>
              <w:rPr>
                <w:rFonts w:hint="eastAsia"/>
                <w:lang w:val="en-US" w:eastAsia="zh-CN"/>
              </w:rPr>
            </w:pPr>
            <w:r>
              <w:rPr>
                <w:rFonts w:hint="default"/>
                <w:lang w:val="en-US" w:eastAsia="zh-CN"/>
              </w:rPr>
              <w:t>171</w:t>
            </w:r>
          </w:p>
        </w:tc>
        <w:tc>
          <w:tcPr>
            <w:tcW w:w="939" w:type="pct"/>
            <w:shd w:val="clear" w:color="auto" w:fill="auto"/>
            <w:noWrap/>
            <w:vAlign w:val="center"/>
          </w:tcPr>
          <w:p w14:paraId="1DAACF8C">
            <w:pPr>
              <w:pStyle w:val="26"/>
              <w:bidi w:val="0"/>
              <w:jc w:val="center"/>
              <w:rPr>
                <w:rFonts w:hint="eastAsia"/>
                <w:lang w:val="en-US" w:eastAsia="zh-CN"/>
              </w:rPr>
            </w:pPr>
            <w:r>
              <w:t>昆山市花桥集善中学</w:t>
            </w:r>
          </w:p>
        </w:tc>
        <w:tc>
          <w:tcPr>
            <w:tcW w:w="609" w:type="pct"/>
            <w:shd w:val="clear" w:color="auto" w:fill="auto"/>
            <w:vAlign w:val="center"/>
          </w:tcPr>
          <w:p w14:paraId="0D2BCDD2">
            <w:pPr>
              <w:pStyle w:val="26"/>
              <w:bidi w:val="0"/>
              <w:jc w:val="center"/>
              <w:rPr>
                <w:lang w:val="en-US" w:eastAsia="zh-CN"/>
              </w:rPr>
            </w:pPr>
            <w:r>
              <w:t>学校</w:t>
            </w:r>
          </w:p>
        </w:tc>
        <w:tc>
          <w:tcPr>
            <w:tcW w:w="728" w:type="pct"/>
            <w:shd w:val="clear" w:color="auto" w:fill="auto"/>
            <w:noWrap/>
            <w:vAlign w:val="center"/>
          </w:tcPr>
          <w:p w14:paraId="1481482F">
            <w:pPr>
              <w:pStyle w:val="26"/>
              <w:bidi w:val="0"/>
              <w:jc w:val="center"/>
              <w:rPr>
                <w:rFonts w:hint="eastAsia"/>
                <w:lang w:val="en-US" w:eastAsia="zh-CN"/>
              </w:rPr>
            </w:pPr>
            <w:r>
              <w:t>2000</w:t>
            </w:r>
          </w:p>
        </w:tc>
        <w:tc>
          <w:tcPr>
            <w:tcW w:w="709" w:type="pct"/>
            <w:vMerge w:val="continue"/>
            <w:vAlign w:val="center"/>
          </w:tcPr>
          <w:p w14:paraId="3605099C">
            <w:pPr>
              <w:pStyle w:val="26"/>
              <w:bidi w:val="0"/>
              <w:jc w:val="center"/>
              <w:rPr>
                <w:color w:val="auto"/>
                <w:highlight w:val="none"/>
                <w:lang w:val="en-US" w:eastAsia="zh-CN"/>
              </w:rPr>
            </w:pPr>
          </w:p>
        </w:tc>
        <w:tc>
          <w:tcPr>
            <w:tcW w:w="826" w:type="pct"/>
            <w:shd w:val="clear" w:color="auto" w:fill="auto"/>
            <w:noWrap/>
            <w:vAlign w:val="center"/>
          </w:tcPr>
          <w:p w14:paraId="43722670">
            <w:pPr>
              <w:pStyle w:val="26"/>
              <w:bidi w:val="0"/>
              <w:jc w:val="center"/>
              <w:rPr>
                <w:rFonts w:hint="eastAsia"/>
                <w:lang w:val="en-US" w:eastAsia="zh-CN"/>
              </w:rPr>
            </w:pPr>
            <w:r>
              <w:t>西南</w:t>
            </w:r>
          </w:p>
        </w:tc>
        <w:tc>
          <w:tcPr>
            <w:tcW w:w="826" w:type="pct"/>
            <w:shd w:val="clear" w:color="auto" w:fill="auto"/>
            <w:noWrap/>
            <w:vAlign w:val="center"/>
          </w:tcPr>
          <w:p w14:paraId="5BE76F13">
            <w:pPr>
              <w:pStyle w:val="26"/>
              <w:bidi w:val="0"/>
              <w:jc w:val="center"/>
              <w:rPr>
                <w:rFonts w:hint="eastAsia"/>
                <w:lang w:val="en-US" w:eastAsia="zh-CN"/>
              </w:rPr>
            </w:pPr>
            <w:r>
              <w:t>4520</w:t>
            </w:r>
          </w:p>
        </w:tc>
      </w:tr>
      <w:tr w14:paraId="20F4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49586FF">
            <w:pPr>
              <w:pStyle w:val="26"/>
              <w:bidi w:val="0"/>
              <w:jc w:val="center"/>
              <w:rPr>
                <w:rFonts w:hint="eastAsia"/>
                <w:lang w:val="en-US" w:eastAsia="zh-CN"/>
              </w:rPr>
            </w:pPr>
            <w:r>
              <w:rPr>
                <w:rFonts w:hint="default"/>
                <w:lang w:val="en-US" w:eastAsia="zh-CN"/>
              </w:rPr>
              <w:t>172</w:t>
            </w:r>
          </w:p>
        </w:tc>
        <w:tc>
          <w:tcPr>
            <w:tcW w:w="939" w:type="pct"/>
            <w:shd w:val="clear" w:color="auto" w:fill="auto"/>
            <w:noWrap/>
            <w:vAlign w:val="center"/>
          </w:tcPr>
          <w:p w14:paraId="5692C954">
            <w:pPr>
              <w:pStyle w:val="26"/>
              <w:bidi w:val="0"/>
              <w:jc w:val="center"/>
              <w:rPr>
                <w:rFonts w:hint="eastAsia"/>
                <w:lang w:val="en-US" w:eastAsia="zh-CN"/>
              </w:rPr>
            </w:pPr>
            <w:r>
              <w:t>昆山花桥国际商务城中等专业学校</w:t>
            </w:r>
          </w:p>
        </w:tc>
        <w:tc>
          <w:tcPr>
            <w:tcW w:w="609" w:type="pct"/>
            <w:shd w:val="clear" w:color="auto" w:fill="auto"/>
            <w:vAlign w:val="center"/>
          </w:tcPr>
          <w:p w14:paraId="7120AB05">
            <w:pPr>
              <w:pStyle w:val="26"/>
              <w:bidi w:val="0"/>
              <w:jc w:val="center"/>
              <w:rPr>
                <w:lang w:val="en-US" w:eastAsia="zh-CN"/>
              </w:rPr>
            </w:pPr>
            <w:r>
              <w:t>学校</w:t>
            </w:r>
          </w:p>
        </w:tc>
        <w:tc>
          <w:tcPr>
            <w:tcW w:w="728" w:type="pct"/>
            <w:shd w:val="clear" w:color="auto" w:fill="auto"/>
            <w:noWrap/>
            <w:vAlign w:val="center"/>
          </w:tcPr>
          <w:p w14:paraId="08134230">
            <w:pPr>
              <w:pStyle w:val="26"/>
              <w:bidi w:val="0"/>
              <w:jc w:val="center"/>
              <w:rPr>
                <w:rFonts w:hint="eastAsia"/>
                <w:lang w:val="en-US" w:eastAsia="zh-CN"/>
              </w:rPr>
            </w:pPr>
            <w:r>
              <w:t>1500</w:t>
            </w:r>
          </w:p>
        </w:tc>
        <w:tc>
          <w:tcPr>
            <w:tcW w:w="709" w:type="pct"/>
            <w:vMerge w:val="continue"/>
            <w:vAlign w:val="center"/>
          </w:tcPr>
          <w:p w14:paraId="2FD30FDC">
            <w:pPr>
              <w:pStyle w:val="26"/>
              <w:bidi w:val="0"/>
              <w:jc w:val="center"/>
              <w:rPr>
                <w:color w:val="auto"/>
                <w:highlight w:val="none"/>
                <w:lang w:val="en-US" w:eastAsia="zh-CN"/>
              </w:rPr>
            </w:pPr>
          </w:p>
        </w:tc>
        <w:tc>
          <w:tcPr>
            <w:tcW w:w="826" w:type="pct"/>
            <w:shd w:val="clear" w:color="auto" w:fill="auto"/>
            <w:noWrap/>
            <w:vAlign w:val="center"/>
          </w:tcPr>
          <w:p w14:paraId="0F00D2F4">
            <w:pPr>
              <w:pStyle w:val="26"/>
              <w:bidi w:val="0"/>
              <w:jc w:val="center"/>
              <w:rPr>
                <w:rFonts w:hint="eastAsia"/>
                <w:lang w:val="en-US" w:eastAsia="zh-CN"/>
              </w:rPr>
            </w:pPr>
            <w:r>
              <w:t>西</w:t>
            </w:r>
          </w:p>
        </w:tc>
        <w:tc>
          <w:tcPr>
            <w:tcW w:w="826" w:type="pct"/>
            <w:shd w:val="clear" w:color="auto" w:fill="auto"/>
            <w:noWrap/>
            <w:vAlign w:val="center"/>
          </w:tcPr>
          <w:p w14:paraId="37E6694A">
            <w:pPr>
              <w:pStyle w:val="26"/>
              <w:bidi w:val="0"/>
              <w:jc w:val="center"/>
              <w:rPr>
                <w:rFonts w:hint="eastAsia"/>
                <w:lang w:val="en-US" w:eastAsia="zh-CN"/>
              </w:rPr>
            </w:pPr>
            <w:r>
              <w:t>3715</w:t>
            </w:r>
          </w:p>
        </w:tc>
      </w:tr>
      <w:tr w14:paraId="564F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21D2D120">
            <w:pPr>
              <w:pStyle w:val="26"/>
              <w:bidi w:val="0"/>
              <w:jc w:val="center"/>
              <w:rPr>
                <w:rFonts w:hint="eastAsia"/>
                <w:lang w:val="en-US" w:eastAsia="zh-CN"/>
              </w:rPr>
            </w:pPr>
            <w:r>
              <w:rPr>
                <w:rFonts w:hint="default"/>
                <w:lang w:val="en-US" w:eastAsia="zh-CN"/>
              </w:rPr>
              <w:t>173</w:t>
            </w:r>
          </w:p>
        </w:tc>
        <w:tc>
          <w:tcPr>
            <w:tcW w:w="939" w:type="pct"/>
            <w:shd w:val="clear" w:color="auto" w:fill="auto"/>
            <w:noWrap/>
            <w:vAlign w:val="center"/>
          </w:tcPr>
          <w:p w14:paraId="3A43891E">
            <w:pPr>
              <w:pStyle w:val="26"/>
              <w:bidi w:val="0"/>
              <w:jc w:val="center"/>
              <w:rPr>
                <w:rFonts w:hint="eastAsia"/>
                <w:lang w:val="en-US" w:eastAsia="zh-CN"/>
              </w:rPr>
            </w:pPr>
            <w:r>
              <w:t>硅湖学院</w:t>
            </w:r>
          </w:p>
        </w:tc>
        <w:tc>
          <w:tcPr>
            <w:tcW w:w="609" w:type="pct"/>
            <w:shd w:val="clear" w:color="auto" w:fill="auto"/>
            <w:vAlign w:val="center"/>
          </w:tcPr>
          <w:p w14:paraId="15C63490">
            <w:pPr>
              <w:pStyle w:val="26"/>
              <w:bidi w:val="0"/>
              <w:jc w:val="center"/>
              <w:rPr>
                <w:lang w:val="en-US" w:eastAsia="zh-CN"/>
              </w:rPr>
            </w:pPr>
            <w:r>
              <w:t>学校</w:t>
            </w:r>
          </w:p>
        </w:tc>
        <w:tc>
          <w:tcPr>
            <w:tcW w:w="728" w:type="pct"/>
            <w:shd w:val="clear" w:color="auto" w:fill="auto"/>
            <w:noWrap/>
            <w:vAlign w:val="center"/>
          </w:tcPr>
          <w:p w14:paraId="52EEFC42">
            <w:pPr>
              <w:pStyle w:val="26"/>
              <w:bidi w:val="0"/>
              <w:jc w:val="center"/>
              <w:rPr>
                <w:rFonts w:hint="eastAsia"/>
                <w:lang w:val="en-US" w:eastAsia="zh-CN"/>
              </w:rPr>
            </w:pPr>
            <w:r>
              <w:t>1500</w:t>
            </w:r>
          </w:p>
        </w:tc>
        <w:tc>
          <w:tcPr>
            <w:tcW w:w="709" w:type="pct"/>
            <w:vMerge w:val="continue"/>
            <w:vAlign w:val="center"/>
          </w:tcPr>
          <w:p w14:paraId="2BB2EF0D">
            <w:pPr>
              <w:pStyle w:val="26"/>
              <w:bidi w:val="0"/>
              <w:jc w:val="center"/>
              <w:rPr>
                <w:color w:val="auto"/>
                <w:highlight w:val="none"/>
                <w:lang w:val="en-US" w:eastAsia="zh-CN"/>
              </w:rPr>
            </w:pPr>
          </w:p>
        </w:tc>
        <w:tc>
          <w:tcPr>
            <w:tcW w:w="826" w:type="pct"/>
            <w:shd w:val="clear" w:color="auto" w:fill="auto"/>
            <w:noWrap/>
            <w:vAlign w:val="center"/>
          </w:tcPr>
          <w:p w14:paraId="4B34134A">
            <w:pPr>
              <w:pStyle w:val="26"/>
              <w:bidi w:val="0"/>
              <w:jc w:val="center"/>
              <w:rPr>
                <w:rFonts w:hint="eastAsia"/>
                <w:lang w:val="en-US" w:eastAsia="zh-CN"/>
              </w:rPr>
            </w:pPr>
            <w:r>
              <w:t>东南</w:t>
            </w:r>
          </w:p>
        </w:tc>
        <w:tc>
          <w:tcPr>
            <w:tcW w:w="826" w:type="pct"/>
            <w:shd w:val="clear" w:color="auto" w:fill="auto"/>
            <w:noWrap/>
            <w:vAlign w:val="center"/>
          </w:tcPr>
          <w:p w14:paraId="02CF0E7A">
            <w:pPr>
              <w:pStyle w:val="26"/>
              <w:bidi w:val="0"/>
              <w:jc w:val="center"/>
              <w:rPr>
                <w:rFonts w:hint="eastAsia"/>
                <w:lang w:val="en-US" w:eastAsia="zh-CN"/>
              </w:rPr>
            </w:pPr>
            <w:r>
              <w:t>3750</w:t>
            </w:r>
          </w:p>
        </w:tc>
      </w:tr>
      <w:tr w14:paraId="72E9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60" w:type="pct"/>
            <w:shd w:val="clear" w:color="auto" w:fill="auto"/>
            <w:noWrap/>
            <w:vAlign w:val="center"/>
          </w:tcPr>
          <w:p w14:paraId="5BD18461">
            <w:pPr>
              <w:pStyle w:val="26"/>
              <w:bidi w:val="0"/>
              <w:jc w:val="center"/>
              <w:rPr>
                <w:rFonts w:hint="default"/>
                <w:lang w:val="en-US" w:eastAsia="zh-CN"/>
              </w:rPr>
            </w:pPr>
            <w:r>
              <w:rPr>
                <w:rFonts w:hint="eastAsia"/>
                <w:lang w:val="en-US" w:eastAsia="zh-CN"/>
              </w:rPr>
              <w:t>174</w:t>
            </w:r>
          </w:p>
        </w:tc>
        <w:tc>
          <w:tcPr>
            <w:tcW w:w="939" w:type="pct"/>
            <w:shd w:val="clear" w:color="auto" w:fill="auto"/>
            <w:noWrap/>
            <w:vAlign w:val="center"/>
          </w:tcPr>
          <w:p w14:paraId="4853CDCF">
            <w:pPr>
              <w:pStyle w:val="26"/>
              <w:bidi w:val="0"/>
              <w:jc w:val="center"/>
            </w:pPr>
            <w:r>
              <w:t>璟禧云庭</w:t>
            </w:r>
          </w:p>
        </w:tc>
        <w:tc>
          <w:tcPr>
            <w:tcW w:w="609" w:type="pct"/>
            <w:shd w:val="clear" w:color="auto" w:fill="auto"/>
            <w:vAlign w:val="center"/>
          </w:tcPr>
          <w:p w14:paraId="7776C56E">
            <w:pPr>
              <w:pStyle w:val="26"/>
              <w:bidi w:val="0"/>
              <w:jc w:val="center"/>
              <w:rPr>
                <w:rFonts w:hint="default" w:eastAsia="仿宋_GB2312"/>
                <w:lang w:val="en-US" w:eastAsia="zh-CN"/>
              </w:rPr>
            </w:pPr>
            <w:r>
              <w:rPr>
                <w:rFonts w:hint="eastAsia"/>
                <w:lang w:val="en-US" w:eastAsia="zh-CN"/>
              </w:rPr>
              <w:t>居住区</w:t>
            </w:r>
          </w:p>
        </w:tc>
        <w:tc>
          <w:tcPr>
            <w:tcW w:w="728" w:type="pct"/>
            <w:shd w:val="clear" w:color="auto" w:fill="auto"/>
            <w:noWrap/>
            <w:vAlign w:val="center"/>
          </w:tcPr>
          <w:p w14:paraId="44A9FD8D">
            <w:pPr>
              <w:pStyle w:val="26"/>
              <w:bidi w:val="0"/>
              <w:jc w:val="center"/>
              <w:rPr>
                <w:rFonts w:hint="default" w:eastAsia="仿宋_GB2312"/>
                <w:lang w:val="en-US" w:eastAsia="zh-CN"/>
              </w:rPr>
            </w:pPr>
            <w:r>
              <w:rPr>
                <w:rFonts w:hint="eastAsia"/>
                <w:lang w:val="en-US" w:eastAsia="zh-CN"/>
              </w:rPr>
              <w:t>4000</w:t>
            </w:r>
          </w:p>
        </w:tc>
        <w:tc>
          <w:tcPr>
            <w:tcW w:w="709" w:type="pct"/>
            <w:vMerge w:val="continue"/>
            <w:vAlign w:val="center"/>
          </w:tcPr>
          <w:p w14:paraId="5002FE23">
            <w:pPr>
              <w:pStyle w:val="26"/>
              <w:bidi w:val="0"/>
              <w:jc w:val="center"/>
              <w:rPr>
                <w:color w:val="auto"/>
                <w:highlight w:val="none"/>
                <w:lang w:val="en-US" w:eastAsia="zh-CN"/>
              </w:rPr>
            </w:pPr>
          </w:p>
        </w:tc>
        <w:tc>
          <w:tcPr>
            <w:tcW w:w="826" w:type="pct"/>
            <w:shd w:val="clear" w:color="auto" w:fill="auto"/>
            <w:noWrap/>
            <w:vAlign w:val="center"/>
          </w:tcPr>
          <w:p w14:paraId="4E4A8BED">
            <w:pPr>
              <w:pStyle w:val="26"/>
              <w:bidi w:val="0"/>
              <w:jc w:val="center"/>
            </w:pPr>
            <w:r>
              <w:rPr>
                <w:rFonts w:hint="eastAsia"/>
                <w:lang w:val="en-US" w:eastAsia="zh-CN"/>
              </w:rPr>
              <w:t>西南</w:t>
            </w:r>
          </w:p>
        </w:tc>
        <w:tc>
          <w:tcPr>
            <w:tcW w:w="826" w:type="pct"/>
            <w:shd w:val="clear" w:color="auto" w:fill="auto"/>
            <w:noWrap/>
            <w:vAlign w:val="center"/>
          </w:tcPr>
          <w:p w14:paraId="32EBD2B5">
            <w:pPr>
              <w:pStyle w:val="26"/>
              <w:bidi w:val="0"/>
              <w:jc w:val="center"/>
            </w:pPr>
            <w:r>
              <w:rPr>
                <w:rFonts w:hint="eastAsia"/>
                <w:lang w:val="en-US" w:eastAsia="zh-CN"/>
              </w:rPr>
              <w:t>1100</w:t>
            </w:r>
          </w:p>
        </w:tc>
      </w:tr>
    </w:tbl>
    <w:p w14:paraId="780B2989">
      <w:pPr>
        <w:pStyle w:val="28"/>
        <w:bidi w:val="0"/>
        <w:rPr>
          <w:color w:val="auto"/>
          <w:highlight w:val="none"/>
          <w:lang w:val="en-US" w:eastAsia="zh-CN"/>
        </w:rPr>
      </w:pPr>
      <w:r>
        <w:rPr>
          <w:color w:val="auto"/>
          <w:highlight w:val="none"/>
          <w:lang w:val="en-US" w:eastAsia="zh-CN"/>
        </w:rPr>
        <w:t>注：以本项目厂区中心为坐标原点（0，0）。</w:t>
      </w:r>
    </w:p>
    <w:p w14:paraId="547258B8">
      <w:pPr>
        <w:pStyle w:val="5"/>
        <w:bidi w:val="0"/>
        <w:rPr>
          <w:color w:val="auto"/>
          <w:lang w:val="en-US" w:eastAsia="zh-CN"/>
        </w:rPr>
      </w:pPr>
      <w:r>
        <w:rPr>
          <w:rFonts w:hint="eastAsia"/>
          <w:color w:val="auto"/>
          <w:lang w:val="en-US" w:eastAsia="zh-CN"/>
        </w:rPr>
        <w:t>地表水环境保护目标</w:t>
      </w:r>
    </w:p>
    <w:p w14:paraId="21C82540">
      <w:pPr>
        <w:rPr>
          <w:rFonts w:ascii="Times New Roman" w:hAnsi="Times New Roman"/>
          <w:color w:val="auto"/>
        </w:rPr>
      </w:pPr>
      <w:r>
        <w:rPr>
          <w:rFonts w:hint="eastAsia" w:ascii="Times New Roman" w:hAnsi="Times New Roman"/>
          <w:color w:val="auto"/>
        </w:rPr>
        <w:t>项目周围地表水环境保护目标详见下表：</w:t>
      </w:r>
    </w:p>
    <w:p w14:paraId="4D980659">
      <w:pPr>
        <w:pStyle w:val="25"/>
        <w:bidi w:val="0"/>
        <w:rPr>
          <w:color w:val="auto"/>
          <w:highlight w:val="none"/>
          <w:lang w:val="en-US" w:eastAsia="zh-CN"/>
        </w:rPr>
      </w:pPr>
      <w:r>
        <w:rPr>
          <w:color w:val="auto"/>
          <w:highlight w:val="none"/>
          <w:lang w:val="en-US" w:eastAsia="zh-CN"/>
        </w:rPr>
        <w:t>表</w:t>
      </w:r>
      <w:r>
        <w:rPr>
          <w:color w:val="auto"/>
          <w:highlight w:val="none"/>
          <w:lang w:val="en-US" w:eastAsia="zh-CN"/>
        </w:rPr>
        <w:fldChar w:fldCharType="begin"/>
      </w:r>
      <w:r>
        <w:rPr>
          <w:color w:val="auto"/>
          <w:highlight w:val="none"/>
          <w:lang w:val="en-US" w:eastAsia="zh-CN"/>
        </w:rPr>
        <w:instrText xml:space="preserve"> STYLEREF 2 \s </w:instrText>
      </w:r>
      <w:r>
        <w:rPr>
          <w:color w:val="auto"/>
          <w:highlight w:val="none"/>
          <w:lang w:val="en-US" w:eastAsia="zh-CN"/>
        </w:rPr>
        <w:fldChar w:fldCharType="separate"/>
      </w:r>
      <w:r>
        <w:rPr>
          <w:color w:val="auto"/>
          <w:highlight w:val="none"/>
          <w:lang w:val="en-US" w:eastAsia="zh-CN"/>
        </w:rPr>
        <w:t>2.4</w:t>
      </w:r>
      <w:r>
        <w:rPr>
          <w:color w:val="auto"/>
          <w:highlight w:val="none"/>
          <w:lang w:val="en-US" w:eastAsia="zh-CN"/>
        </w:rPr>
        <w:fldChar w:fldCharType="end"/>
      </w:r>
      <w:r>
        <w:rPr>
          <w:color w:val="auto"/>
          <w:highlight w:val="none"/>
          <w:lang w:val="en-US" w:eastAsia="zh-CN"/>
        </w:rPr>
        <w:noBreakHyphen/>
      </w:r>
      <w:r>
        <w:rPr>
          <w:color w:val="auto"/>
          <w:highlight w:val="none"/>
          <w:lang w:val="en-US" w:eastAsia="zh-CN"/>
        </w:rPr>
        <w:fldChar w:fldCharType="begin"/>
      </w:r>
      <w:r>
        <w:rPr>
          <w:color w:val="auto"/>
          <w:highlight w:val="none"/>
          <w:lang w:val="en-US" w:eastAsia="zh-CN"/>
        </w:rPr>
        <w:instrText xml:space="preserve"> SEQ 表 \* ARABIC \s 2 </w:instrText>
      </w:r>
      <w:r>
        <w:rPr>
          <w:color w:val="auto"/>
          <w:highlight w:val="none"/>
          <w:lang w:val="en-US" w:eastAsia="zh-CN"/>
        </w:rPr>
        <w:fldChar w:fldCharType="separate"/>
      </w:r>
      <w:r>
        <w:rPr>
          <w:color w:val="auto"/>
          <w:highlight w:val="none"/>
          <w:lang w:val="en-US" w:eastAsia="zh-CN"/>
        </w:rPr>
        <w:t>3</w:t>
      </w:r>
      <w:r>
        <w:rPr>
          <w:color w:val="auto"/>
          <w:highlight w:val="none"/>
          <w:lang w:val="en-US" w:eastAsia="zh-CN"/>
        </w:rPr>
        <w:fldChar w:fldCharType="end"/>
      </w:r>
      <w:r>
        <w:rPr>
          <w:color w:val="auto"/>
          <w:highlight w:val="none"/>
          <w:lang w:val="en-US" w:eastAsia="zh-CN"/>
        </w:rPr>
        <w:t>项目周围地表水环境保护目标</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877"/>
        <w:gridCol w:w="1214"/>
        <w:gridCol w:w="1544"/>
        <w:gridCol w:w="1592"/>
        <w:gridCol w:w="2292"/>
      </w:tblGrid>
      <w:tr w14:paraId="020D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1101" w:type="pct"/>
            <w:vMerge w:val="restart"/>
            <w:shd w:val="clear" w:color="auto" w:fill="auto"/>
            <w:vAlign w:val="center"/>
          </w:tcPr>
          <w:p w14:paraId="6D5DFB09">
            <w:pPr>
              <w:pStyle w:val="36"/>
              <w:bidi w:val="0"/>
              <w:rPr>
                <w:color w:val="auto"/>
              </w:rPr>
            </w:pPr>
            <w:r>
              <w:rPr>
                <w:rFonts w:hint="eastAsia"/>
                <w:color w:val="auto"/>
                <w:lang w:val="en-US" w:eastAsia="zh-CN"/>
              </w:rPr>
              <w:t>环境保护目标</w:t>
            </w:r>
          </w:p>
        </w:tc>
        <w:tc>
          <w:tcPr>
            <w:tcW w:w="1618" w:type="pct"/>
            <w:gridSpan w:val="2"/>
            <w:shd w:val="clear" w:color="auto" w:fill="auto"/>
            <w:vAlign w:val="center"/>
          </w:tcPr>
          <w:p w14:paraId="5532DA31">
            <w:pPr>
              <w:pStyle w:val="36"/>
              <w:bidi w:val="0"/>
              <w:rPr>
                <w:rFonts w:hint="eastAsia"/>
                <w:color w:val="auto"/>
              </w:rPr>
            </w:pPr>
            <w:r>
              <w:rPr>
                <w:rFonts w:hint="eastAsia"/>
                <w:color w:val="auto"/>
                <w:lang w:val="en-US" w:eastAsia="zh-CN"/>
              </w:rPr>
              <w:t>相对厂区</w:t>
            </w:r>
          </w:p>
        </w:tc>
        <w:tc>
          <w:tcPr>
            <w:tcW w:w="934" w:type="pct"/>
            <w:vMerge w:val="restart"/>
            <w:shd w:val="clear" w:color="auto" w:fill="auto"/>
            <w:vAlign w:val="center"/>
          </w:tcPr>
          <w:p w14:paraId="4598D401">
            <w:pPr>
              <w:pStyle w:val="36"/>
              <w:bidi w:val="0"/>
              <w:rPr>
                <w:rFonts w:hint="eastAsia"/>
                <w:color w:val="auto"/>
              </w:rPr>
            </w:pPr>
            <w:r>
              <w:rPr>
                <w:rFonts w:hint="eastAsia"/>
                <w:color w:val="auto"/>
                <w:lang w:val="en-US" w:eastAsia="zh-CN"/>
              </w:rPr>
              <w:t>与本项目的水力联系</w:t>
            </w:r>
          </w:p>
        </w:tc>
        <w:tc>
          <w:tcPr>
            <w:tcW w:w="1345" w:type="pct"/>
            <w:vMerge w:val="restart"/>
            <w:shd w:val="clear" w:color="auto" w:fill="auto"/>
            <w:vAlign w:val="center"/>
          </w:tcPr>
          <w:p w14:paraId="4DCCB9D2">
            <w:pPr>
              <w:pStyle w:val="36"/>
              <w:bidi w:val="0"/>
              <w:rPr>
                <w:rFonts w:hint="eastAsia"/>
                <w:color w:val="auto"/>
              </w:rPr>
            </w:pPr>
            <w:r>
              <w:rPr>
                <w:rFonts w:hint="eastAsia"/>
                <w:color w:val="auto"/>
                <w:lang w:val="en-US" w:eastAsia="zh-CN"/>
              </w:rPr>
              <w:t>环境功能要求</w:t>
            </w:r>
          </w:p>
        </w:tc>
      </w:tr>
      <w:tr w14:paraId="4F2F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pct"/>
            <w:vMerge w:val="continue"/>
            <w:shd w:val="clear" w:color="auto" w:fill="auto"/>
            <w:vAlign w:val="center"/>
          </w:tcPr>
          <w:p w14:paraId="19739D98">
            <w:pPr>
              <w:pStyle w:val="36"/>
              <w:bidi w:val="0"/>
              <w:rPr>
                <w:rFonts w:hint="eastAsia"/>
                <w:color w:val="auto"/>
              </w:rPr>
            </w:pPr>
          </w:p>
        </w:tc>
        <w:tc>
          <w:tcPr>
            <w:tcW w:w="712" w:type="pct"/>
            <w:vMerge w:val="restart"/>
            <w:shd w:val="clear" w:color="auto" w:fill="auto"/>
            <w:vAlign w:val="center"/>
          </w:tcPr>
          <w:p w14:paraId="20DF8EFD">
            <w:pPr>
              <w:pStyle w:val="36"/>
              <w:bidi w:val="0"/>
              <w:rPr>
                <w:rFonts w:hint="eastAsia"/>
                <w:color w:val="auto"/>
              </w:rPr>
            </w:pPr>
            <w:r>
              <w:rPr>
                <w:rFonts w:hint="eastAsia"/>
                <w:color w:val="auto"/>
                <w:lang w:val="en-US" w:eastAsia="zh-CN"/>
              </w:rPr>
              <w:t>方位</w:t>
            </w:r>
          </w:p>
        </w:tc>
        <w:tc>
          <w:tcPr>
            <w:tcW w:w="906" w:type="pct"/>
            <w:vMerge w:val="restart"/>
            <w:shd w:val="clear" w:color="auto" w:fill="auto"/>
            <w:vAlign w:val="center"/>
          </w:tcPr>
          <w:p w14:paraId="143776EE">
            <w:pPr>
              <w:pStyle w:val="36"/>
              <w:bidi w:val="0"/>
              <w:rPr>
                <w:rFonts w:hint="eastAsia"/>
                <w:color w:val="auto"/>
              </w:rPr>
            </w:pPr>
            <w:r>
              <w:rPr>
                <w:rFonts w:hint="eastAsia"/>
                <w:color w:val="auto"/>
                <w:lang w:val="en-US" w:eastAsia="zh-CN"/>
              </w:rPr>
              <w:t>距离（</w:t>
            </w:r>
            <w:r>
              <w:rPr>
                <w:rFonts w:hint="default"/>
                <w:color w:val="auto"/>
                <w:lang w:val="en-US" w:eastAsia="zh-CN"/>
              </w:rPr>
              <w:t>m</w:t>
            </w:r>
            <w:r>
              <w:rPr>
                <w:color w:val="auto"/>
                <w:lang w:val="en-US" w:eastAsia="zh-CN"/>
              </w:rPr>
              <w:t>）</w:t>
            </w:r>
          </w:p>
        </w:tc>
        <w:tc>
          <w:tcPr>
            <w:tcW w:w="934" w:type="pct"/>
            <w:vMerge w:val="continue"/>
            <w:shd w:val="clear" w:color="auto" w:fill="auto"/>
            <w:vAlign w:val="center"/>
          </w:tcPr>
          <w:p w14:paraId="3A0518FD">
            <w:pPr>
              <w:pStyle w:val="36"/>
              <w:bidi w:val="0"/>
              <w:rPr>
                <w:rFonts w:hint="eastAsia"/>
                <w:color w:val="auto"/>
              </w:rPr>
            </w:pPr>
          </w:p>
        </w:tc>
        <w:tc>
          <w:tcPr>
            <w:tcW w:w="1345" w:type="pct"/>
            <w:vMerge w:val="continue"/>
            <w:shd w:val="clear" w:color="auto" w:fill="auto"/>
            <w:vAlign w:val="center"/>
          </w:tcPr>
          <w:p w14:paraId="7B6B4BD6">
            <w:pPr>
              <w:pStyle w:val="36"/>
              <w:bidi w:val="0"/>
              <w:rPr>
                <w:rFonts w:hint="eastAsia"/>
                <w:color w:val="auto"/>
              </w:rPr>
            </w:pPr>
          </w:p>
        </w:tc>
      </w:tr>
      <w:tr w14:paraId="4B81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01" w:type="pct"/>
            <w:vMerge w:val="continue"/>
            <w:shd w:val="clear" w:color="auto" w:fill="auto"/>
            <w:vAlign w:val="center"/>
          </w:tcPr>
          <w:p w14:paraId="05FA925D">
            <w:pPr>
              <w:pStyle w:val="36"/>
              <w:bidi w:val="0"/>
              <w:rPr>
                <w:rFonts w:hint="eastAsia"/>
                <w:color w:val="auto"/>
              </w:rPr>
            </w:pPr>
          </w:p>
        </w:tc>
        <w:tc>
          <w:tcPr>
            <w:tcW w:w="712" w:type="pct"/>
            <w:vMerge w:val="continue"/>
            <w:shd w:val="clear" w:color="auto" w:fill="auto"/>
            <w:vAlign w:val="center"/>
          </w:tcPr>
          <w:p w14:paraId="695192F6">
            <w:pPr>
              <w:pStyle w:val="36"/>
              <w:bidi w:val="0"/>
              <w:rPr>
                <w:rFonts w:hint="eastAsia"/>
                <w:color w:val="auto"/>
              </w:rPr>
            </w:pPr>
          </w:p>
        </w:tc>
        <w:tc>
          <w:tcPr>
            <w:tcW w:w="906" w:type="pct"/>
            <w:vMerge w:val="continue"/>
            <w:shd w:val="clear" w:color="auto" w:fill="auto"/>
            <w:vAlign w:val="center"/>
          </w:tcPr>
          <w:p w14:paraId="19CB5C37">
            <w:pPr>
              <w:pStyle w:val="36"/>
              <w:bidi w:val="0"/>
              <w:rPr>
                <w:rFonts w:hint="eastAsia"/>
                <w:color w:val="auto"/>
              </w:rPr>
            </w:pPr>
          </w:p>
        </w:tc>
        <w:tc>
          <w:tcPr>
            <w:tcW w:w="934" w:type="pct"/>
            <w:vMerge w:val="continue"/>
            <w:shd w:val="clear" w:color="auto" w:fill="auto"/>
            <w:vAlign w:val="center"/>
          </w:tcPr>
          <w:p w14:paraId="6633DBED">
            <w:pPr>
              <w:pStyle w:val="36"/>
              <w:bidi w:val="0"/>
              <w:rPr>
                <w:rFonts w:hint="eastAsia"/>
                <w:color w:val="auto"/>
              </w:rPr>
            </w:pPr>
          </w:p>
        </w:tc>
        <w:tc>
          <w:tcPr>
            <w:tcW w:w="1345" w:type="pct"/>
            <w:vMerge w:val="continue"/>
            <w:shd w:val="clear" w:color="auto" w:fill="auto"/>
            <w:vAlign w:val="center"/>
          </w:tcPr>
          <w:p w14:paraId="799834E1">
            <w:pPr>
              <w:pStyle w:val="36"/>
              <w:bidi w:val="0"/>
              <w:rPr>
                <w:rFonts w:hint="eastAsia"/>
                <w:color w:val="auto"/>
              </w:rPr>
            </w:pPr>
          </w:p>
        </w:tc>
      </w:tr>
      <w:tr w14:paraId="641E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1" w:type="pct"/>
            <w:shd w:val="clear" w:color="auto" w:fill="auto"/>
            <w:vAlign w:val="center"/>
          </w:tcPr>
          <w:p w14:paraId="68E68725">
            <w:pPr>
              <w:pStyle w:val="26"/>
              <w:bidi w:val="0"/>
              <w:jc w:val="center"/>
              <w:rPr>
                <w:rFonts w:hint="eastAsia"/>
              </w:rPr>
            </w:pPr>
            <w:r>
              <w:t>小瓦浦河</w:t>
            </w:r>
          </w:p>
        </w:tc>
        <w:tc>
          <w:tcPr>
            <w:tcW w:w="712" w:type="pct"/>
            <w:shd w:val="clear" w:color="auto" w:fill="auto"/>
            <w:vAlign w:val="center"/>
          </w:tcPr>
          <w:p w14:paraId="37953755">
            <w:pPr>
              <w:pStyle w:val="26"/>
              <w:bidi w:val="0"/>
              <w:jc w:val="center"/>
              <w:rPr>
                <w:rFonts w:hint="eastAsia"/>
              </w:rPr>
            </w:pPr>
            <w:r>
              <w:t>西</w:t>
            </w:r>
          </w:p>
        </w:tc>
        <w:tc>
          <w:tcPr>
            <w:tcW w:w="906" w:type="pct"/>
            <w:shd w:val="clear" w:color="auto" w:fill="auto"/>
            <w:vAlign w:val="center"/>
          </w:tcPr>
          <w:p w14:paraId="26A113AC">
            <w:pPr>
              <w:pStyle w:val="26"/>
              <w:bidi w:val="0"/>
              <w:jc w:val="center"/>
              <w:rPr>
                <w:rFonts w:hint="default"/>
              </w:rPr>
            </w:pPr>
            <w:r>
              <w:t>1980</w:t>
            </w:r>
          </w:p>
        </w:tc>
        <w:tc>
          <w:tcPr>
            <w:tcW w:w="934" w:type="pct"/>
            <w:shd w:val="clear" w:color="auto" w:fill="auto"/>
            <w:vAlign w:val="center"/>
          </w:tcPr>
          <w:p w14:paraId="61760900">
            <w:pPr>
              <w:pStyle w:val="26"/>
              <w:bidi w:val="0"/>
              <w:rPr>
                <w:rFonts w:hint="eastAsia"/>
                <w:color w:val="auto"/>
              </w:rPr>
            </w:pPr>
            <w:r>
              <w:rPr>
                <w:rFonts w:hint="eastAsia"/>
                <w:color w:val="auto"/>
                <w:lang w:val="en-US" w:eastAsia="zh-CN"/>
              </w:rPr>
              <w:t>纳污河流</w:t>
            </w:r>
          </w:p>
        </w:tc>
        <w:tc>
          <w:tcPr>
            <w:tcW w:w="1345" w:type="pct"/>
            <w:vMerge w:val="restart"/>
            <w:shd w:val="clear" w:color="auto" w:fill="auto"/>
            <w:vAlign w:val="center"/>
          </w:tcPr>
          <w:p w14:paraId="063A03E6">
            <w:pPr>
              <w:pStyle w:val="26"/>
              <w:bidi w:val="0"/>
              <w:rPr>
                <w:rFonts w:hint="eastAsia"/>
                <w:color w:val="auto"/>
              </w:rPr>
            </w:pPr>
            <w:r>
              <w:rPr>
                <w:rFonts w:hint="eastAsia"/>
                <w:color w:val="auto"/>
                <w:lang w:val="en-US" w:eastAsia="zh-CN"/>
              </w:rPr>
              <w:t>《地表水环境质量标准》（</w:t>
            </w:r>
            <w:r>
              <w:rPr>
                <w:rFonts w:hint="default"/>
                <w:color w:val="auto"/>
                <w:lang w:val="en-US" w:eastAsia="zh-CN"/>
              </w:rPr>
              <w:t>GB3838-2002</w:t>
            </w:r>
            <w:r>
              <w:rPr>
                <w:rFonts w:hint="eastAsia"/>
                <w:color w:val="auto"/>
                <w:lang w:val="en-US" w:eastAsia="zh-CN"/>
              </w:rPr>
              <w:t>）</w:t>
            </w:r>
            <w:r>
              <w:rPr>
                <w:rFonts w:hint="default"/>
                <w:color w:val="auto"/>
                <w:lang w:val="en-US" w:eastAsia="zh-CN"/>
              </w:rPr>
              <w:t>Ⅳ</w:t>
            </w:r>
            <w:r>
              <w:rPr>
                <w:rFonts w:hint="eastAsia"/>
                <w:color w:val="auto"/>
                <w:lang w:val="en-US" w:eastAsia="zh-CN"/>
              </w:rPr>
              <w:t>类</w:t>
            </w:r>
          </w:p>
        </w:tc>
      </w:tr>
      <w:tr w14:paraId="41C8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01" w:type="pct"/>
            <w:shd w:val="clear" w:color="auto" w:fill="auto"/>
            <w:vAlign w:val="center"/>
          </w:tcPr>
          <w:p w14:paraId="7CD74CC1">
            <w:pPr>
              <w:pStyle w:val="26"/>
              <w:bidi w:val="0"/>
              <w:jc w:val="center"/>
              <w:rPr>
                <w:rFonts w:hint="eastAsia"/>
              </w:rPr>
            </w:pPr>
            <w:r>
              <w:t>鸡鸣塘</w:t>
            </w:r>
          </w:p>
        </w:tc>
        <w:tc>
          <w:tcPr>
            <w:tcW w:w="712" w:type="pct"/>
            <w:shd w:val="clear" w:color="auto" w:fill="auto"/>
            <w:vAlign w:val="center"/>
          </w:tcPr>
          <w:p w14:paraId="67D36969">
            <w:pPr>
              <w:pStyle w:val="26"/>
              <w:bidi w:val="0"/>
              <w:jc w:val="center"/>
              <w:rPr>
                <w:rFonts w:hint="eastAsia"/>
              </w:rPr>
            </w:pPr>
            <w:r>
              <w:t>北</w:t>
            </w:r>
          </w:p>
        </w:tc>
        <w:tc>
          <w:tcPr>
            <w:tcW w:w="906" w:type="pct"/>
            <w:shd w:val="clear" w:color="auto" w:fill="auto"/>
            <w:vAlign w:val="center"/>
          </w:tcPr>
          <w:p w14:paraId="22A856AB">
            <w:pPr>
              <w:pStyle w:val="26"/>
              <w:bidi w:val="0"/>
              <w:jc w:val="center"/>
              <w:rPr>
                <w:rFonts w:hint="default"/>
              </w:rPr>
            </w:pPr>
            <w:r>
              <w:t>143</w:t>
            </w:r>
          </w:p>
        </w:tc>
        <w:tc>
          <w:tcPr>
            <w:tcW w:w="934" w:type="pct"/>
            <w:shd w:val="clear" w:color="auto" w:fill="auto"/>
            <w:vAlign w:val="center"/>
          </w:tcPr>
          <w:p w14:paraId="6688D78D">
            <w:pPr>
              <w:pStyle w:val="26"/>
              <w:bidi w:val="0"/>
              <w:rPr>
                <w:rFonts w:hint="eastAsia"/>
                <w:color w:val="auto"/>
              </w:rPr>
            </w:pPr>
            <w:r>
              <w:rPr>
                <w:rFonts w:hint="eastAsia"/>
                <w:color w:val="auto"/>
                <w:lang w:val="en-US" w:eastAsia="zh-CN"/>
              </w:rPr>
              <w:t>周边河流</w:t>
            </w:r>
          </w:p>
        </w:tc>
        <w:tc>
          <w:tcPr>
            <w:tcW w:w="1345" w:type="pct"/>
            <w:vMerge w:val="continue"/>
            <w:shd w:val="clear" w:color="auto" w:fill="auto"/>
            <w:vAlign w:val="center"/>
          </w:tcPr>
          <w:p w14:paraId="48E02614">
            <w:pPr>
              <w:pStyle w:val="26"/>
              <w:bidi w:val="0"/>
              <w:rPr>
                <w:rFonts w:hint="eastAsia"/>
                <w:color w:val="auto"/>
              </w:rPr>
            </w:pPr>
          </w:p>
        </w:tc>
      </w:tr>
      <w:tr w14:paraId="057B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101" w:type="pct"/>
            <w:shd w:val="clear" w:color="auto" w:fill="auto"/>
            <w:vAlign w:val="center"/>
          </w:tcPr>
          <w:p w14:paraId="4C4D8877">
            <w:pPr>
              <w:pStyle w:val="26"/>
              <w:bidi w:val="0"/>
              <w:jc w:val="center"/>
              <w:rPr>
                <w:rFonts w:hint="eastAsia"/>
              </w:rPr>
            </w:pPr>
            <w:r>
              <w:t>夏泉泾</w:t>
            </w:r>
          </w:p>
        </w:tc>
        <w:tc>
          <w:tcPr>
            <w:tcW w:w="712" w:type="pct"/>
            <w:shd w:val="clear" w:color="auto" w:fill="auto"/>
            <w:vAlign w:val="center"/>
          </w:tcPr>
          <w:p w14:paraId="2FC1205F">
            <w:pPr>
              <w:pStyle w:val="26"/>
              <w:bidi w:val="0"/>
              <w:jc w:val="center"/>
              <w:rPr>
                <w:rFonts w:hint="eastAsia"/>
              </w:rPr>
            </w:pPr>
            <w:r>
              <w:t>东</w:t>
            </w:r>
          </w:p>
        </w:tc>
        <w:tc>
          <w:tcPr>
            <w:tcW w:w="906" w:type="pct"/>
            <w:shd w:val="clear" w:color="auto" w:fill="auto"/>
            <w:vAlign w:val="center"/>
          </w:tcPr>
          <w:p w14:paraId="0D8A0D4B">
            <w:pPr>
              <w:pStyle w:val="26"/>
              <w:bidi w:val="0"/>
              <w:jc w:val="center"/>
              <w:rPr>
                <w:rFonts w:hint="eastAsia"/>
              </w:rPr>
            </w:pPr>
            <w:r>
              <w:t>293</w:t>
            </w:r>
          </w:p>
        </w:tc>
        <w:tc>
          <w:tcPr>
            <w:tcW w:w="934" w:type="pct"/>
            <w:shd w:val="clear" w:color="auto" w:fill="auto"/>
            <w:vAlign w:val="center"/>
          </w:tcPr>
          <w:p w14:paraId="6B6D5B19">
            <w:pPr>
              <w:pStyle w:val="26"/>
              <w:bidi w:val="0"/>
              <w:rPr>
                <w:rFonts w:hint="eastAsia"/>
                <w:color w:val="auto"/>
              </w:rPr>
            </w:pPr>
            <w:r>
              <w:rPr>
                <w:rFonts w:hint="eastAsia"/>
                <w:color w:val="auto"/>
                <w:lang w:val="en-US" w:eastAsia="zh-CN"/>
              </w:rPr>
              <w:t>周边河流</w:t>
            </w:r>
          </w:p>
        </w:tc>
        <w:tc>
          <w:tcPr>
            <w:tcW w:w="1345" w:type="pct"/>
            <w:vMerge w:val="continue"/>
            <w:shd w:val="clear" w:color="auto" w:fill="auto"/>
            <w:vAlign w:val="center"/>
          </w:tcPr>
          <w:p w14:paraId="7F5D6345">
            <w:pPr>
              <w:pStyle w:val="26"/>
              <w:bidi w:val="0"/>
              <w:rPr>
                <w:rFonts w:hint="eastAsia"/>
                <w:color w:val="auto"/>
              </w:rPr>
            </w:pPr>
          </w:p>
        </w:tc>
      </w:tr>
      <w:tr w14:paraId="26E6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01" w:type="pct"/>
            <w:shd w:val="clear" w:color="auto" w:fill="auto"/>
            <w:vAlign w:val="center"/>
          </w:tcPr>
          <w:p w14:paraId="58D8F0BA">
            <w:pPr>
              <w:pStyle w:val="26"/>
              <w:bidi w:val="0"/>
              <w:jc w:val="center"/>
              <w:rPr>
                <w:rFonts w:hint="eastAsia"/>
              </w:rPr>
            </w:pPr>
            <w:r>
              <w:t>吴淞江</w:t>
            </w:r>
          </w:p>
        </w:tc>
        <w:tc>
          <w:tcPr>
            <w:tcW w:w="712" w:type="pct"/>
            <w:shd w:val="clear" w:color="auto" w:fill="auto"/>
            <w:vAlign w:val="center"/>
          </w:tcPr>
          <w:p w14:paraId="6B71BE65">
            <w:pPr>
              <w:pStyle w:val="26"/>
              <w:bidi w:val="0"/>
              <w:jc w:val="center"/>
              <w:rPr>
                <w:rFonts w:hint="eastAsia"/>
              </w:rPr>
            </w:pPr>
            <w:r>
              <w:t>南</w:t>
            </w:r>
          </w:p>
        </w:tc>
        <w:tc>
          <w:tcPr>
            <w:tcW w:w="906" w:type="pct"/>
            <w:shd w:val="clear" w:color="auto" w:fill="auto"/>
            <w:vAlign w:val="center"/>
          </w:tcPr>
          <w:p w14:paraId="608C4246">
            <w:pPr>
              <w:pStyle w:val="26"/>
              <w:bidi w:val="0"/>
              <w:jc w:val="center"/>
              <w:rPr>
                <w:rFonts w:hint="eastAsia"/>
              </w:rPr>
            </w:pPr>
            <w:r>
              <w:t>2890</w:t>
            </w:r>
          </w:p>
        </w:tc>
        <w:tc>
          <w:tcPr>
            <w:tcW w:w="934" w:type="pct"/>
            <w:shd w:val="clear" w:color="auto" w:fill="auto"/>
            <w:vAlign w:val="center"/>
          </w:tcPr>
          <w:p w14:paraId="7CA047C9">
            <w:pPr>
              <w:pStyle w:val="26"/>
              <w:bidi w:val="0"/>
              <w:rPr>
                <w:rFonts w:hint="eastAsia"/>
                <w:color w:val="auto"/>
              </w:rPr>
            </w:pPr>
            <w:r>
              <w:rPr>
                <w:rFonts w:hint="eastAsia"/>
                <w:color w:val="auto"/>
                <w:lang w:val="en-US" w:eastAsia="zh-CN"/>
              </w:rPr>
              <w:t>纳污河流</w:t>
            </w:r>
          </w:p>
        </w:tc>
        <w:tc>
          <w:tcPr>
            <w:tcW w:w="1345" w:type="pct"/>
            <w:vMerge w:val="continue"/>
            <w:shd w:val="clear" w:color="auto" w:fill="auto"/>
            <w:vAlign w:val="center"/>
          </w:tcPr>
          <w:p w14:paraId="319C10CB">
            <w:pPr>
              <w:pStyle w:val="26"/>
              <w:bidi w:val="0"/>
              <w:rPr>
                <w:rFonts w:hint="eastAsia"/>
                <w:color w:val="auto"/>
              </w:rPr>
            </w:pPr>
          </w:p>
        </w:tc>
      </w:tr>
    </w:tbl>
    <w:p w14:paraId="5A56CED7">
      <w:pPr>
        <w:pStyle w:val="5"/>
        <w:bidi w:val="0"/>
        <w:rPr>
          <w:color w:val="auto"/>
          <w:lang w:val="en-US" w:eastAsia="zh-CN"/>
        </w:rPr>
      </w:pPr>
      <w:r>
        <w:rPr>
          <w:rFonts w:hint="eastAsia"/>
          <w:color w:val="auto"/>
          <w:lang w:val="en-US" w:eastAsia="zh-CN"/>
        </w:rPr>
        <w:t>生态环境保护目标</w:t>
      </w:r>
    </w:p>
    <w:p w14:paraId="18E91F92">
      <w:pPr>
        <w:rPr>
          <w:rFonts w:ascii="Times New Roman" w:hAnsi="Times New Roman"/>
          <w:color w:val="auto"/>
        </w:rPr>
      </w:pPr>
      <w:r>
        <w:rPr>
          <w:rFonts w:hint="eastAsia" w:ascii="Times New Roman" w:hAnsi="Times New Roman"/>
          <w:color w:val="auto"/>
        </w:rPr>
        <w:t>项目周围生态环境保护目标详见</w:t>
      </w:r>
      <w:r>
        <w:rPr>
          <w:rFonts w:ascii="Times New Roman" w:hAnsi="Times New Roman"/>
          <w:color w:val="auto"/>
        </w:rPr>
        <w:fldChar w:fldCharType="begin"/>
      </w:r>
      <w:r>
        <w:rPr>
          <w:rFonts w:ascii="Times New Roman" w:hAnsi="Times New Roman"/>
          <w:color w:val="auto"/>
        </w:rPr>
        <w:instrText xml:space="preserve"> </w:instrText>
      </w:r>
      <w:r>
        <w:rPr>
          <w:rFonts w:hint="eastAsia" w:ascii="Times New Roman" w:hAnsi="Times New Roman"/>
          <w:color w:val="auto"/>
        </w:rPr>
        <w:instrText xml:space="preserve">REF _Ref162354491 \h</w:instrText>
      </w:r>
      <w:r>
        <w:rPr>
          <w:rFonts w:ascii="Times New Roman" w:hAnsi="Times New Roman"/>
          <w:color w:val="auto"/>
        </w:rPr>
        <w:instrText xml:space="preserve"> </w:instrText>
      </w:r>
      <w:r>
        <w:rPr>
          <w:rFonts w:ascii="Times New Roman" w:hAnsi="Times New Roman"/>
          <w:color w:val="auto"/>
        </w:rPr>
        <w:fldChar w:fldCharType="separate"/>
      </w: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2.4</w:t>
      </w:r>
      <w:r>
        <w:rPr>
          <w:rFonts w:ascii="Times New Roman" w:hAnsi="Times New Roman"/>
          <w:color w:val="auto"/>
        </w:rPr>
        <w:fldChar w:fldCharType="end"/>
      </w:r>
      <w:r>
        <w:rPr>
          <w:rFonts w:ascii="Times New Roman" w:hAnsi="Times New Roman"/>
          <w:color w:val="auto"/>
        </w:rPr>
        <w:noBreakHyphen/>
      </w:r>
      <w:r>
        <w:rPr>
          <w:rFonts w:ascii="Times New Roman" w:hAnsi="Times New Roman"/>
          <w:color w:val="auto"/>
        </w:rPr>
        <w:t>4</w:t>
      </w:r>
      <w:r>
        <w:rPr>
          <w:rFonts w:ascii="Times New Roman" w:hAnsi="Times New Roman"/>
          <w:color w:val="auto"/>
        </w:rPr>
        <w:fldChar w:fldCharType="end"/>
      </w:r>
      <w:r>
        <w:rPr>
          <w:rFonts w:hint="eastAsia" w:ascii="Times New Roman" w:hAnsi="Times New Roman"/>
          <w:color w:val="auto"/>
        </w:rPr>
        <w:t>和附图</w:t>
      </w:r>
      <w:r>
        <w:rPr>
          <w:rFonts w:hint="eastAsia" w:ascii="Times New Roman" w:hAnsi="Times New Roman"/>
          <w:color w:val="auto"/>
          <w:lang w:val="en-US" w:eastAsia="zh-CN"/>
        </w:rPr>
        <w:t>3和附图4</w:t>
      </w:r>
      <w:r>
        <w:rPr>
          <w:rFonts w:hint="eastAsia" w:ascii="Times New Roman" w:hAnsi="Times New Roman"/>
          <w:color w:val="auto"/>
        </w:rPr>
        <w:t>：</w:t>
      </w:r>
    </w:p>
    <w:p w14:paraId="3CFB21AB">
      <w:pPr>
        <w:pStyle w:val="25"/>
        <w:bidi w:val="0"/>
        <w:rPr>
          <w:color w:val="auto"/>
          <w:lang w:val="en-US" w:eastAsia="zh-CN"/>
        </w:rPr>
      </w:pPr>
      <w:bookmarkStart w:id="92" w:name="_Ref162354491"/>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2.4</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4</w:t>
      </w:r>
      <w:r>
        <w:rPr>
          <w:color w:val="auto"/>
          <w:lang w:val="en-US" w:eastAsia="zh-CN"/>
        </w:rPr>
        <w:fldChar w:fldCharType="end"/>
      </w:r>
      <w:bookmarkEnd w:id="92"/>
      <w:r>
        <w:rPr>
          <w:color w:val="auto"/>
          <w:lang w:val="en-US" w:eastAsia="zh-CN"/>
        </w:rPr>
        <w:t>项目周围生态环境保护目标</w:t>
      </w:r>
    </w:p>
    <w:tbl>
      <w:tblPr>
        <w:tblStyle w:val="5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5"/>
        <w:gridCol w:w="1642"/>
        <w:gridCol w:w="1333"/>
        <w:gridCol w:w="1224"/>
        <w:gridCol w:w="1995"/>
      </w:tblGrid>
      <w:tr w14:paraId="218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1364" w:type="pct"/>
            <w:vAlign w:val="center"/>
          </w:tcPr>
          <w:p w14:paraId="48753CA4">
            <w:pPr>
              <w:pStyle w:val="36"/>
              <w:bidi w:val="0"/>
              <w:rPr>
                <w:color w:val="auto"/>
              </w:rPr>
            </w:pPr>
            <w:r>
              <w:rPr>
                <w:color w:val="auto"/>
                <w:lang w:val="en-US" w:eastAsia="zh-CN"/>
              </w:rPr>
              <w:t>生态环境保护</w:t>
            </w:r>
            <w:r>
              <w:rPr>
                <w:rFonts w:hint="eastAsia"/>
                <w:color w:val="auto"/>
                <w:lang w:val="en-US" w:eastAsia="zh-CN"/>
              </w:rPr>
              <w:t>目标</w:t>
            </w:r>
            <w:r>
              <w:rPr>
                <w:color w:val="auto"/>
              </w:rPr>
              <w:t>名称</w:t>
            </w:r>
          </w:p>
        </w:tc>
        <w:tc>
          <w:tcPr>
            <w:tcW w:w="963" w:type="pct"/>
            <w:vAlign w:val="center"/>
          </w:tcPr>
          <w:p w14:paraId="54A431EC">
            <w:pPr>
              <w:pStyle w:val="36"/>
              <w:bidi w:val="0"/>
              <w:rPr>
                <w:color w:val="auto"/>
              </w:rPr>
            </w:pPr>
            <w:r>
              <w:rPr>
                <w:color w:val="auto"/>
              </w:rPr>
              <w:t>规模</w:t>
            </w:r>
          </w:p>
        </w:tc>
        <w:tc>
          <w:tcPr>
            <w:tcW w:w="782" w:type="pct"/>
            <w:vAlign w:val="center"/>
          </w:tcPr>
          <w:p w14:paraId="3A1C1C7A">
            <w:pPr>
              <w:pStyle w:val="36"/>
              <w:bidi w:val="0"/>
              <w:rPr>
                <w:color w:val="auto"/>
              </w:rPr>
            </w:pPr>
            <w:r>
              <w:rPr>
                <w:color w:val="auto"/>
              </w:rPr>
              <w:t>相对厂址方位</w:t>
            </w:r>
          </w:p>
        </w:tc>
        <w:tc>
          <w:tcPr>
            <w:tcW w:w="718" w:type="pct"/>
            <w:vAlign w:val="center"/>
          </w:tcPr>
          <w:p w14:paraId="637D43D1">
            <w:pPr>
              <w:pStyle w:val="36"/>
              <w:bidi w:val="0"/>
              <w:rPr>
                <w:color w:val="auto"/>
              </w:rPr>
            </w:pPr>
            <w:r>
              <w:rPr>
                <w:color w:val="auto"/>
              </w:rPr>
              <w:t>相对厂界距离/m</w:t>
            </w:r>
          </w:p>
        </w:tc>
        <w:tc>
          <w:tcPr>
            <w:tcW w:w="1170" w:type="pct"/>
            <w:vAlign w:val="center"/>
          </w:tcPr>
          <w:p w14:paraId="579F9E6A">
            <w:pPr>
              <w:pStyle w:val="36"/>
              <w:bidi w:val="0"/>
              <w:rPr>
                <w:color w:val="auto"/>
              </w:rPr>
            </w:pPr>
            <w:r>
              <w:rPr>
                <w:color w:val="auto"/>
              </w:rPr>
              <w:t>环境功能</w:t>
            </w:r>
          </w:p>
        </w:tc>
      </w:tr>
      <w:tr w14:paraId="7A51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4" w:type="pct"/>
            <w:shd w:val="clear" w:color="auto" w:fill="auto"/>
            <w:vAlign w:val="center"/>
          </w:tcPr>
          <w:p w14:paraId="34253332">
            <w:pPr>
              <w:pStyle w:val="26"/>
              <w:bidi w:val="0"/>
              <w:jc w:val="center"/>
              <w:rPr>
                <w:lang w:val="en-US" w:eastAsia="zh-CN"/>
              </w:rPr>
            </w:pPr>
            <w:r>
              <w:t>江苏天福国家湿地公园</w:t>
            </w:r>
          </w:p>
        </w:tc>
        <w:tc>
          <w:tcPr>
            <w:tcW w:w="963" w:type="pct"/>
            <w:shd w:val="clear" w:color="auto" w:fill="auto"/>
            <w:vAlign w:val="center"/>
          </w:tcPr>
          <w:p w14:paraId="11908C19">
            <w:pPr>
              <w:pStyle w:val="26"/>
              <w:bidi w:val="0"/>
              <w:jc w:val="center"/>
              <w:rPr>
                <w:color w:val="auto"/>
                <w:lang w:val="en-US" w:eastAsia="zh-CN"/>
              </w:rPr>
            </w:pPr>
            <w:r>
              <w:rPr>
                <w:rFonts w:hint="eastAsia"/>
                <w:color w:val="auto"/>
                <w:lang w:val="en-US" w:eastAsia="zh-CN"/>
              </w:rPr>
              <w:t>4.87</w:t>
            </w:r>
            <w:r>
              <w:rPr>
                <w:color w:val="auto"/>
              </w:rPr>
              <w:t>km</w:t>
            </w:r>
            <w:r>
              <w:rPr>
                <w:color w:val="auto"/>
                <w:vertAlign w:val="superscript"/>
              </w:rPr>
              <w:t>2</w:t>
            </w:r>
          </w:p>
        </w:tc>
        <w:tc>
          <w:tcPr>
            <w:tcW w:w="782" w:type="pct"/>
            <w:shd w:val="clear" w:color="auto" w:fill="auto"/>
            <w:vAlign w:val="center"/>
          </w:tcPr>
          <w:p w14:paraId="715B5DEA">
            <w:pPr>
              <w:pStyle w:val="26"/>
              <w:bidi w:val="0"/>
              <w:jc w:val="center"/>
              <w:rPr>
                <w:rFonts w:hint="default" w:eastAsia="仿宋_GB2312"/>
                <w:color w:val="auto"/>
                <w:lang w:val="en-US" w:eastAsia="zh-CN"/>
              </w:rPr>
            </w:pPr>
            <w:r>
              <w:rPr>
                <w:rFonts w:hint="eastAsia"/>
                <w:color w:val="auto"/>
                <w:lang w:val="en-US" w:eastAsia="zh-CN"/>
              </w:rPr>
              <w:t>北</w:t>
            </w:r>
          </w:p>
        </w:tc>
        <w:tc>
          <w:tcPr>
            <w:tcW w:w="718" w:type="pct"/>
            <w:shd w:val="clear" w:color="auto" w:fill="auto"/>
            <w:vAlign w:val="center"/>
          </w:tcPr>
          <w:p w14:paraId="592EDB1C">
            <w:pPr>
              <w:pStyle w:val="26"/>
              <w:bidi w:val="0"/>
              <w:jc w:val="center"/>
              <w:rPr>
                <w:rFonts w:hint="default"/>
                <w:color w:val="auto"/>
                <w:lang w:val="en-US" w:eastAsia="zh-CN"/>
              </w:rPr>
            </w:pPr>
            <w:r>
              <w:rPr>
                <w:rFonts w:hint="eastAsia"/>
                <w:color w:val="auto"/>
                <w:lang w:val="en-US" w:eastAsia="zh-CN"/>
              </w:rPr>
              <w:t>1470</w:t>
            </w:r>
          </w:p>
        </w:tc>
        <w:tc>
          <w:tcPr>
            <w:tcW w:w="1170" w:type="pct"/>
            <w:shd w:val="clear" w:color="auto" w:fill="auto"/>
            <w:vAlign w:val="center"/>
          </w:tcPr>
          <w:p w14:paraId="759899CF">
            <w:pPr>
              <w:pStyle w:val="26"/>
              <w:bidi w:val="0"/>
              <w:jc w:val="center"/>
              <w:rPr>
                <w:lang w:val="en-US" w:eastAsia="zh-CN"/>
              </w:rPr>
            </w:pPr>
            <w:r>
              <w:t>总体规划中确定的范围（包括湿地保育区和恢复重建区等）</w:t>
            </w:r>
          </w:p>
        </w:tc>
      </w:tr>
      <w:tr w14:paraId="3314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4" w:type="pct"/>
            <w:shd w:val="clear" w:color="auto" w:fill="auto"/>
            <w:vAlign w:val="center"/>
          </w:tcPr>
          <w:p w14:paraId="4129259D">
            <w:pPr>
              <w:pStyle w:val="26"/>
              <w:bidi w:val="0"/>
              <w:jc w:val="center"/>
            </w:pPr>
            <w:r>
              <w:t>昆山市省级生态公益林</w:t>
            </w:r>
          </w:p>
        </w:tc>
        <w:tc>
          <w:tcPr>
            <w:tcW w:w="963" w:type="pct"/>
            <w:shd w:val="clear" w:color="auto" w:fill="auto"/>
            <w:vAlign w:val="center"/>
          </w:tcPr>
          <w:p w14:paraId="495547D0">
            <w:pPr>
              <w:pStyle w:val="26"/>
              <w:bidi w:val="0"/>
              <w:jc w:val="center"/>
              <w:rPr>
                <w:rFonts w:hint="default" w:eastAsia="仿宋_GB2312"/>
                <w:color w:val="auto"/>
                <w:lang w:val="en-US" w:eastAsia="zh-CN"/>
              </w:rPr>
            </w:pPr>
            <w:r>
              <w:rPr>
                <w:rFonts w:hint="eastAsia"/>
                <w:color w:val="auto"/>
                <w:lang w:val="en-US" w:eastAsia="zh-CN"/>
              </w:rPr>
              <w:t>4.18km</w:t>
            </w:r>
            <w:r>
              <w:rPr>
                <w:rFonts w:hint="eastAsia"/>
                <w:color w:val="auto"/>
                <w:vertAlign w:val="superscript"/>
                <w:lang w:val="en-US" w:eastAsia="zh-CN"/>
              </w:rPr>
              <w:t>2</w:t>
            </w:r>
          </w:p>
        </w:tc>
        <w:tc>
          <w:tcPr>
            <w:tcW w:w="782" w:type="pct"/>
            <w:shd w:val="clear" w:color="auto" w:fill="auto"/>
            <w:vAlign w:val="center"/>
          </w:tcPr>
          <w:p w14:paraId="2CAF2FC9">
            <w:pPr>
              <w:pStyle w:val="26"/>
              <w:bidi w:val="0"/>
              <w:jc w:val="center"/>
              <w:rPr>
                <w:rFonts w:hint="eastAsia" w:eastAsia="仿宋_GB2312"/>
                <w:color w:val="auto"/>
                <w:lang w:val="en-US" w:eastAsia="zh-CN"/>
              </w:rPr>
            </w:pPr>
            <w:r>
              <w:rPr>
                <w:rFonts w:hint="eastAsia"/>
                <w:color w:val="auto"/>
                <w:lang w:val="en-US" w:eastAsia="zh-CN"/>
              </w:rPr>
              <w:t>西南</w:t>
            </w:r>
          </w:p>
        </w:tc>
        <w:tc>
          <w:tcPr>
            <w:tcW w:w="718" w:type="pct"/>
            <w:shd w:val="clear" w:color="auto" w:fill="auto"/>
            <w:vAlign w:val="center"/>
          </w:tcPr>
          <w:p w14:paraId="37EB35E7">
            <w:pPr>
              <w:pStyle w:val="26"/>
              <w:bidi w:val="0"/>
              <w:jc w:val="center"/>
              <w:rPr>
                <w:rFonts w:hint="default"/>
                <w:color w:val="auto"/>
                <w:lang w:val="en-US" w:eastAsia="zh-CN"/>
              </w:rPr>
            </w:pPr>
            <w:r>
              <w:rPr>
                <w:rFonts w:hint="eastAsia"/>
                <w:color w:val="auto"/>
                <w:lang w:val="en-US" w:eastAsia="zh-CN"/>
              </w:rPr>
              <w:t>1170</w:t>
            </w:r>
          </w:p>
        </w:tc>
        <w:tc>
          <w:tcPr>
            <w:tcW w:w="1170" w:type="pct"/>
            <w:shd w:val="clear" w:color="auto" w:fill="auto"/>
            <w:vAlign w:val="center"/>
          </w:tcPr>
          <w:p w14:paraId="1482B1B6">
            <w:pPr>
              <w:pStyle w:val="26"/>
              <w:bidi w:val="0"/>
              <w:jc w:val="center"/>
            </w:pPr>
            <w:r>
              <w:t>省级认定的生态公益林范围</w:t>
            </w:r>
          </w:p>
        </w:tc>
      </w:tr>
    </w:tbl>
    <w:p w14:paraId="41D4DE15">
      <w:pPr>
        <w:pStyle w:val="5"/>
        <w:bidi w:val="0"/>
        <w:rPr>
          <w:color w:val="auto"/>
          <w:lang w:val="en-US" w:eastAsia="zh-CN"/>
        </w:rPr>
      </w:pPr>
      <w:r>
        <w:rPr>
          <w:rFonts w:hint="eastAsia"/>
          <w:color w:val="auto"/>
          <w:lang w:val="en-US" w:eastAsia="zh-CN"/>
        </w:rPr>
        <w:t>其他环境保护目标</w:t>
      </w:r>
    </w:p>
    <w:p w14:paraId="458176A6">
      <w:pPr>
        <w:bidi w:val="0"/>
        <w:rPr>
          <w:rFonts w:hint="eastAsia"/>
          <w:color w:val="auto"/>
        </w:rPr>
      </w:pPr>
      <w:r>
        <w:rPr>
          <w:rFonts w:hint="eastAsia"/>
          <w:color w:val="auto"/>
        </w:rPr>
        <w:t>项目周围其他环境保护目标详见下表：</w:t>
      </w:r>
    </w:p>
    <w:p w14:paraId="3A93762E">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2.4</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5</w:t>
      </w:r>
      <w:r>
        <w:rPr>
          <w:color w:val="auto"/>
          <w:lang w:val="en-US" w:eastAsia="zh-CN"/>
        </w:rPr>
        <w:fldChar w:fldCharType="end"/>
      </w:r>
      <w:r>
        <w:rPr>
          <w:color w:val="auto"/>
          <w:lang w:val="en-US" w:eastAsia="zh-CN"/>
        </w:rPr>
        <w:t>项目周围其他环境保护目标</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292"/>
        <w:gridCol w:w="1500"/>
        <w:gridCol w:w="1403"/>
        <w:gridCol w:w="866"/>
        <w:gridCol w:w="2498"/>
      </w:tblGrid>
      <w:tr w14:paraId="52D0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64" w:type="pct"/>
            <w:vAlign w:val="center"/>
          </w:tcPr>
          <w:p w14:paraId="0927C29D">
            <w:pPr>
              <w:pStyle w:val="36"/>
              <w:bidi w:val="0"/>
              <w:rPr>
                <w:color w:val="auto"/>
                <w:lang w:val="en-US" w:eastAsia="zh-CN"/>
              </w:rPr>
            </w:pPr>
            <w:r>
              <w:rPr>
                <w:color w:val="auto"/>
                <w:lang w:val="en-US" w:eastAsia="zh-CN"/>
              </w:rPr>
              <w:t>环境要素</w:t>
            </w:r>
          </w:p>
        </w:tc>
        <w:tc>
          <w:tcPr>
            <w:tcW w:w="758" w:type="pct"/>
            <w:vAlign w:val="center"/>
          </w:tcPr>
          <w:p w14:paraId="1EB26839">
            <w:pPr>
              <w:pStyle w:val="36"/>
              <w:bidi w:val="0"/>
              <w:rPr>
                <w:color w:val="auto"/>
                <w:lang w:val="en-US" w:eastAsia="zh-CN"/>
              </w:rPr>
            </w:pPr>
            <w:r>
              <w:rPr>
                <w:color w:val="auto"/>
                <w:lang w:val="en-US" w:eastAsia="zh-CN"/>
              </w:rPr>
              <w:t>环境保护目标</w:t>
            </w:r>
          </w:p>
        </w:tc>
        <w:tc>
          <w:tcPr>
            <w:tcW w:w="880" w:type="pct"/>
            <w:vAlign w:val="center"/>
          </w:tcPr>
          <w:p w14:paraId="0661117C">
            <w:pPr>
              <w:pStyle w:val="36"/>
              <w:bidi w:val="0"/>
              <w:rPr>
                <w:color w:val="auto"/>
                <w:lang w:val="en-US" w:eastAsia="zh-CN"/>
              </w:rPr>
            </w:pPr>
            <w:r>
              <w:rPr>
                <w:color w:val="auto"/>
                <w:lang w:val="en-US" w:eastAsia="zh-CN"/>
              </w:rPr>
              <w:t>相对厂界距离m</w:t>
            </w:r>
          </w:p>
        </w:tc>
        <w:tc>
          <w:tcPr>
            <w:tcW w:w="823" w:type="pct"/>
            <w:vAlign w:val="center"/>
          </w:tcPr>
          <w:p w14:paraId="21FBF505">
            <w:pPr>
              <w:pStyle w:val="36"/>
              <w:bidi w:val="0"/>
              <w:rPr>
                <w:color w:val="auto"/>
                <w:lang w:val="en-US" w:eastAsia="zh-CN"/>
              </w:rPr>
            </w:pPr>
            <w:r>
              <w:rPr>
                <w:color w:val="auto"/>
                <w:lang w:val="en-US" w:eastAsia="zh-CN"/>
              </w:rPr>
              <w:t>相对厂址方位</w:t>
            </w:r>
          </w:p>
        </w:tc>
        <w:tc>
          <w:tcPr>
            <w:tcW w:w="507" w:type="pct"/>
            <w:vAlign w:val="center"/>
          </w:tcPr>
          <w:p w14:paraId="267E87C5">
            <w:pPr>
              <w:pStyle w:val="36"/>
              <w:bidi w:val="0"/>
              <w:rPr>
                <w:color w:val="auto"/>
                <w:lang w:val="en-US" w:eastAsia="zh-CN"/>
              </w:rPr>
            </w:pPr>
            <w:r>
              <w:rPr>
                <w:color w:val="auto"/>
                <w:lang w:val="en-US" w:eastAsia="zh-CN"/>
              </w:rPr>
              <w:t>规模</w:t>
            </w:r>
          </w:p>
        </w:tc>
        <w:tc>
          <w:tcPr>
            <w:tcW w:w="1466" w:type="pct"/>
            <w:vAlign w:val="center"/>
          </w:tcPr>
          <w:p w14:paraId="02B2E408">
            <w:pPr>
              <w:pStyle w:val="36"/>
              <w:bidi w:val="0"/>
              <w:rPr>
                <w:color w:val="auto"/>
                <w:lang w:val="en-US" w:eastAsia="zh-CN"/>
              </w:rPr>
            </w:pPr>
            <w:r>
              <w:rPr>
                <w:color w:val="auto"/>
                <w:lang w:val="en-US" w:eastAsia="zh-CN"/>
              </w:rPr>
              <w:t>环境功能要求</w:t>
            </w:r>
          </w:p>
        </w:tc>
      </w:tr>
      <w:tr w14:paraId="2B9D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4" w:type="pct"/>
            <w:vAlign w:val="center"/>
          </w:tcPr>
          <w:p w14:paraId="7F2895B0">
            <w:pPr>
              <w:pStyle w:val="26"/>
              <w:bidi w:val="0"/>
              <w:rPr>
                <w:color w:val="auto"/>
                <w:lang w:val="en-US" w:eastAsia="zh-CN"/>
              </w:rPr>
            </w:pPr>
            <w:r>
              <w:rPr>
                <w:color w:val="auto"/>
                <w:lang w:val="en-US" w:eastAsia="zh-CN"/>
              </w:rPr>
              <w:t>声环境</w:t>
            </w:r>
          </w:p>
        </w:tc>
        <w:tc>
          <w:tcPr>
            <w:tcW w:w="2969" w:type="pct"/>
            <w:gridSpan w:val="4"/>
            <w:shd w:val="clear" w:color="auto" w:fill="auto"/>
            <w:vAlign w:val="center"/>
          </w:tcPr>
          <w:p w14:paraId="6ABAC674">
            <w:pPr>
              <w:pStyle w:val="26"/>
              <w:bidi w:val="0"/>
              <w:rPr>
                <w:rFonts w:ascii="Times New Roman" w:hAnsi="Times New Roman" w:eastAsia="仿宋_GB2312" w:cs="Times New Roman"/>
                <w:color w:val="auto"/>
                <w:kern w:val="2"/>
                <w:sz w:val="21"/>
                <w:szCs w:val="22"/>
                <w:lang w:val="en-US" w:eastAsia="zh-CN" w:bidi="ar-SA"/>
              </w:rPr>
            </w:pPr>
            <w:r>
              <w:rPr>
                <w:rFonts w:ascii="Times New Roman" w:hAnsi="Times New Roman" w:eastAsia="仿宋_GB2312" w:cs="Times New Roman"/>
                <w:color w:val="auto"/>
                <w:kern w:val="2"/>
                <w:sz w:val="21"/>
                <w:szCs w:val="22"/>
                <w:lang w:val="en-US" w:eastAsia="zh-CN" w:bidi="ar-SA"/>
              </w:rPr>
              <w:t>厂界周围200m无环境保护目标</w:t>
            </w:r>
          </w:p>
        </w:tc>
        <w:tc>
          <w:tcPr>
            <w:tcW w:w="1466" w:type="pct"/>
            <w:vAlign w:val="center"/>
          </w:tcPr>
          <w:p w14:paraId="194F7A38">
            <w:pPr>
              <w:pStyle w:val="26"/>
              <w:bidi w:val="0"/>
              <w:rPr>
                <w:color w:val="auto"/>
                <w:lang w:val="en-US" w:eastAsia="zh-CN"/>
              </w:rPr>
            </w:pPr>
            <w:r>
              <w:rPr>
                <w:color w:val="auto"/>
                <w:lang w:val="en-US" w:eastAsia="zh-CN"/>
              </w:rPr>
              <w:t>《声环境质量标准》（GB3096-2008）</w:t>
            </w:r>
            <w:r>
              <w:rPr>
                <w:rFonts w:hint="eastAsia"/>
                <w:color w:val="auto"/>
                <w:lang w:val="en-US" w:eastAsia="zh-CN"/>
              </w:rPr>
              <w:t>2</w:t>
            </w:r>
            <w:r>
              <w:rPr>
                <w:color w:val="auto"/>
                <w:lang w:val="en-US" w:eastAsia="zh-CN"/>
              </w:rPr>
              <w:t>类</w:t>
            </w:r>
          </w:p>
        </w:tc>
      </w:tr>
      <w:tr w14:paraId="5021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64" w:type="pct"/>
            <w:vAlign w:val="center"/>
          </w:tcPr>
          <w:p w14:paraId="54F8AB2A">
            <w:pPr>
              <w:pStyle w:val="26"/>
              <w:bidi w:val="0"/>
              <w:rPr>
                <w:color w:val="auto"/>
                <w:lang w:val="en-US" w:eastAsia="zh-CN"/>
              </w:rPr>
            </w:pPr>
            <w:r>
              <w:rPr>
                <w:color w:val="auto"/>
                <w:lang w:val="en-US" w:eastAsia="zh-CN"/>
              </w:rPr>
              <w:t>地下水环境</w:t>
            </w:r>
          </w:p>
        </w:tc>
        <w:tc>
          <w:tcPr>
            <w:tcW w:w="2969" w:type="pct"/>
            <w:gridSpan w:val="4"/>
            <w:vAlign w:val="center"/>
          </w:tcPr>
          <w:p w14:paraId="634BB12C">
            <w:pPr>
              <w:pStyle w:val="26"/>
              <w:bidi w:val="0"/>
              <w:rPr>
                <w:color w:val="auto"/>
              </w:rPr>
            </w:pPr>
            <w:r>
              <w:rPr>
                <w:color w:val="auto"/>
                <w:lang w:val="en-US" w:eastAsia="zh-CN"/>
              </w:rPr>
              <w:t>评价区域范围内地下水环境</w:t>
            </w:r>
          </w:p>
        </w:tc>
        <w:tc>
          <w:tcPr>
            <w:tcW w:w="1466" w:type="pct"/>
            <w:vAlign w:val="center"/>
          </w:tcPr>
          <w:p w14:paraId="6BE2204B">
            <w:pPr>
              <w:pStyle w:val="26"/>
              <w:bidi w:val="0"/>
              <w:rPr>
                <w:color w:val="auto"/>
                <w:lang w:val="en-US" w:eastAsia="zh-CN"/>
              </w:rPr>
            </w:pPr>
            <w:r>
              <w:rPr>
                <w:color w:val="auto"/>
                <w:lang w:val="en-US" w:eastAsia="zh-CN"/>
              </w:rPr>
              <w:t>《地下水环境质量标准》（GB/T14848-2017）</w:t>
            </w:r>
          </w:p>
        </w:tc>
      </w:tr>
      <w:tr w14:paraId="2506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4" w:type="pct"/>
            <w:vAlign w:val="center"/>
          </w:tcPr>
          <w:p w14:paraId="006C6C3C">
            <w:pPr>
              <w:pStyle w:val="26"/>
              <w:bidi w:val="0"/>
              <w:rPr>
                <w:color w:val="auto"/>
                <w:lang w:val="en-US" w:eastAsia="zh-CN"/>
              </w:rPr>
            </w:pPr>
            <w:r>
              <w:rPr>
                <w:color w:val="auto"/>
                <w:lang w:val="en-US" w:eastAsia="zh-CN"/>
              </w:rPr>
              <w:t>土壤</w:t>
            </w:r>
          </w:p>
        </w:tc>
        <w:tc>
          <w:tcPr>
            <w:tcW w:w="2969" w:type="pct"/>
            <w:gridSpan w:val="4"/>
            <w:vAlign w:val="center"/>
          </w:tcPr>
          <w:p w14:paraId="74DF17BA">
            <w:pPr>
              <w:pStyle w:val="26"/>
              <w:bidi w:val="0"/>
              <w:rPr>
                <w:color w:val="auto"/>
              </w:rPr>
            </w:pPr>
            <w:r>
              <w:rPr>
                <w:color w:val="auto"/>
                <w:lang w:val="en-US" w:eastAsia="zh-CN"/>
              </w:rPr>
              <w:t>项目厂界范围内及厂界外</w:t>
            </w:r>
            <w:r>
              <w:rPr>
                <w:rFonts w:hint="eastAsia"/>
                <w:color w:val="auto"/>
                <w:lang w:val="en-US" w:eastAsia="zh-CN"/>
              </w:rPr>
              <w:t>200</w:t>
            </w:r>
            <w:r>
              <w:rPr>
                <w:color w:val="auto"/>
                <w:lang w:val="en-US" w:eastAsia="zh-CN"/>
              </w:rPr>
              <w:t>km范围内土壤环境</w:t>
            </w:r>
          </w:p>
        </w:tc>
        <w:tc>
          <w:tcPr>
            <w:tcW w:w="1466" w:type="pct"/>
            <w:vAlign w:val="center"/>
          </w:tcPr>
          <w:p w14:paraId="15272A62">
            <w:pPr>
              <w:pStyle w:val="26"/>
              <w:bidi w:val="0"/>
              <w:rPr>
                <w:color w:val="auto"/>
                <w:lang w:val="en-US" w:eastAsia="zh-CN"/>
              </w:rPr>
            </w:pPr>
            <w:r>
              <w:rPr>
                <w:color w:val="auto"/>
                <w:lang w:val="en-US" w:eastAsia="zh-CN"/>
              </w:rPr>
              <w:t>《土壤环境质量建设用地土壤污染风险管控标准（试行）》（GB36600-2018）</w:t>
            </w:r>
          </w:p>
        </w:tc>
      </w:tr>
      <w:bookmarkEnd w:id="88"/>
    </w:tbl>
    <w:p w14:paraId="1EBB6EF3">
      <w:pPr>
        <w:rPr>
          <w:rFonts w:ascii="Times New Roman" w:hAnsi="Times New Roman"/>
          <w:color w:val="auto"/>
        </w:rPr>
      </w:pPr>
    </w:p>
    <w:p w14:paraId="7CF6CFD2">
      <w:pPr>
        <w:pStyle w:val="3"/>
        <w:bidi w:val="0"/>
        <w:rPr>
          <w:color w:val="auto"/>
          <w:lang w:val="en-US" w:eastAsia="zh-CN"/>
        </w:rPr>
      </w:pPr>
      <w:bookmarkStart w:id="93" w:name="_Toc15811"/>
      <w:bookmarkStart w:id="94" w:name="_Toc29821"/>
      <w:r>
        <w:rPr>
          <w:rFonts w:hint="eastAsia"/>
          <w:color w:val="auto"/>
          <w:lang w:val="en-US" w:eastAsia="zh-CN"/>
        </w:rPr>
        <w:t>相关规划及环境功能区划</w:t>
      </w:r>
      <w:bookmarkEnd w:id="93"/>
      <w:bookmarkEnd w:id="94"/>
    </w:p>
    <w:p w14:paraId="4E72F030">
      <w:pPr>
        <w:pStyle w:val="4"/>
        <w:bidi w:val="0"/>
        <w:rPr>
          <w:color w:val="auto"/>
          <w:lang w:val="en-US" w:eastAsia="zh-CN"/>
        </w:rPr>
      </w:pPr>
      <w:bookmarkStart w:id="95" w:name="_Toc8546"/>
      <w:r>
        <w:rPr>
          <w:rFonts w:hint="eastAsia"/>
          <w:color w:val="auto"/>
          <w:lang w:val="en-US" w:eastAsia="zh-CN"/>
        </w:rPr>
        <w:t>与《昆山市国土空间总体规划（2021-2035年）》相符性分析</w:t>
      </w:r>
      <w:bookmarkEnd w:id="95"/>
    </w:p>
    <w:p w14:paraId="21F3DB9A">
      <w:pPr>
        <w:ind w:firstLine="480"/>
        <w:rPr>
          <w:rFonts w:ascii="Times New Roman" w:hAnsi="Times New Roman"/>
          <w:color w:val="auto"/>
        </w:rPr>
      </w:pPr>
      <w:r>
        <w:rPr>
          <w:rFonts w:hint="eastAsia" w:ascii="Times New Roman" w:hAnsi="Times New Roman"/>
          <w:color w:val="auto"/>
        </w:rPr>
        <w:t>《昆山市国土空间总体规划（2021-2035年）》于2025年经江苏省人民政府批复同意，文件明确了：</w:t>
      </w:r>
    </w:p>
    <w:p w14:paraId="648CFAEB">
      <w:pPr>
        <w:ind w:firstLine="480"/>
        <w:rPr>
          <w:rFonts w:ascii="Times New Roman" w:hAnsi="Times New Roman"/>
          <w:color w:val="auto"/>
        </w:rPr>
      </w:pPr>
      <w:r>
        <w:rPr>
          <w:rFonts w:hint="eastAsia" w:ascii="Times New Roman" w:hAnsi="Times New Roman"/>
          <w:color w:val="auto"/>
        </w:rPr>
        <w:t>昆山市发展目标：到2035年，率先实现中国式现代化的县域示范；到本世纪中叶，全面建成社会主义现代化大城市。</w:t>
      </w:r>
    </w:p>
    <w:p w14:paraId="421F323B">
      <w:pPr>
        <w:ind w:firstLine="480"/>
        <w:rPr>
          <w:rFonts w:ascii="Times New Roman" w:hAnsi="Times New Roman"/>
          <w:color w:val="auto"/>
        </w:rPr>
      </w:pPr>
      <w:r>
        <w:rPr>
          <w:rFonts w:hint="eastAsia" w:ascii="Times New Roman" w:hAnsi="Times New Roman"/>
          <w:color w:val="auto"/>
        </w:rPr>
        <w:t>市域国土空间总体格局：转变多主体分散发展的模式，进一步加强全市统筹力度，强化中心功能提升和片区发展主题和特色塑造，形成“一主三副一带六片区”的国土空间总体格局。</w:t>
      </w:r>
    </w:p>
    <w:p w14:paraId="01DC3BC0">
      <w:pPr>
        <w:ind w:firstLine="480"/>
        <w:rPr>
          <w:rFonts w:ascii="Times New Roman" w:hAnsi="Times New Roman"/>
          <w:color w:val="auto"/>
        </w:rPr>
      </w:pPr>
      <w:r>
        <w:rPr>
          <w:rFonts w:hint="eastAsia" w:ascii="Times New Roman" w:hAnsi="Times New Roman"/>
          <w:color w:val="auto"/>
        </w:rPr>
        <w:t>一主：城市主中心。</w:t>
      </w:r>
    </w:p>
    <w:p w14:paraId="4205D5FA">
      <w:pPr>
        <w:ind w:firstLine="480"/>
        <w:rPr>
          <w:rFonts w:ascii="Times New Roman" w:hAnsi="Times New Roman"/>
          <w:color w:val="auto"/>
        </w:rPr>
      </w:pPr>
      <w:r>
        <w:rPr>
          <w:rFonts w:hint="eastAsia" w:ascii="Times New Roman" w:hAnsi="Times New Roman"/>
          <w:color w:val="auto"/>
        </w:rPr>
        <w:t>三副：东部副中心、西部副中心和南部滨湖副中心。</w:t>
      </w:r>
    </w:p>
    <w:p w14:paraId="2D59C915">
      <w:pPr>
        <w:ind w:firstLine="480"/>
        <w:rPr>
          <w:rFonts w:ascii="Times New Roman" w:hAnsi="Times New Roman"/>
          <w:color w:val="auto"/>
        </w:rPr>
      </w:pPr>
      <w:r>
        <w:rPr>
          <w:rFonts w:hint="eastAsia" w:ascii="Times New Roman" w:hAnsi="Times New Roman"/>
          <w:color w:val="auto"/>
        </w:rPr>
        <w:t>一带：吴淞江科创带。</w:t>
      </w:r>
    </w:p>
    <w:p w14:paraId="40E10E0F">
      <w:pPr>
        <w:ind w:firstLine="480"/>
        <w:rPr>
          <w:rFonts w:ascii="Times New Roman" w:hAnsi="Times New Roman"/>
          <w:color w:val="auto"/>
        </w:rPr>
      </w:pPr>
      <w:r>
        <w:rPr>
          <w:rFonts w:hint="eastAsia" w:ascii="Times New Roman" w:hAnsi="Times New Roman"/>
          <w:color w:val="auto"/>
        </w:rPr>
        <w:t>六区：现代城市核心区、产城融合示范区、产业创新引领区、特色国际商务贸易区、特色强镇样板区和江南文化样板区。</w:t>
      </w:r>
    </w:p>
    <w:p w14:paraId="406A2AB7">
      <w:pPr>
        <w:ind w:firstLine="480"/>
        <w:rPr>
          <w:rFonts w:ascii="Times New Roman" w:hAnsi="Times New Roman"/>
          <w:color w:val="auto"/>
        </w:rPr>
      </w:pPr>
      <w:r>
        <w:rPr>
          <w:rFonts w:hint="eastAsia" w:ascii="Times New Roman" w:hAnsi="Times New Roman"/>
          <w:color w:val="auto"/>
        </w:rPr>
        <w:t>1、现代城市核心区</w:t>
      </w:r>
    </w:p>
    <w:p w14:paraId="41453068">
      <w:pPr>
        <w:ind w:firstLine="480"/>
        <w:rPr>
          <w:rFonts w:ascii="Times New Roman" w:hAnsi="Times New Roman"/>
          <w:color w:val="auto"/>
        </w:rPr>
      </w:pPr>
      <w:r>
        <w:rPr>
          <w:rFonts w:hint="eastAsia" w:ascii="Times New Roman" w:hAnsi="Times New Roman"/>
          <w:color w:val="auto"/>
        </w:rPr>
        <w:t>以中环以内区域为主体，依托娄江、青阳港、吴淞江等滨水区域，打造青阳港滨水城市客厅、昆山南站城市门户、玉山广场等重点片区，完善亭林园周边等区域城市功能，塑造老城传统文化集聚区，建设绿色、多元、活力的城市主中心。</w:t>
      </w:r>
    </w:p>
    <w:p w14:paraId="30D8C1B9">
      <w:pPr>
        <w:ind w:firstLine="480"/>
        <w:rPr>
          <w:rFonts w:ascii="Times New Roman" w:hAnsi="Times New Roman"/>
          <w:color w:val="auto"/>
        </w:rPr>
      </w:pPr>
      <w:r>
        <w:rPr>
          <w:rFonts w:hint="eastAsia" w:ascii="Times New Roman" w:hAnsi="Times New Roman"/>
          <w:color w:val="auto"/>
        </w:rPr>
        <w:t>2、产城融合示范区</w:t>
      </w:r>
    </w:p>
    <w:p w14:paraId="06D1E308">
      <w:pPr>
        <w:ind w:firstLine="480"/>
        <w:rPr>
          <w:rFonts w:ascii="Times New Roman" w:hAnsi="Times New Roman"/>
          <w:color w:val="auto"/>
        </w:rPr>
      </w:pPr>
      <w:r>
        <w:rPr>
          <w:rFonts w:hint="eastAsia" w:ascii="Times New Roman" w:hAnsi="Times New Roman"/>
          <w:color w:val="auto"/>
        </w:rPr>
        <w:t>以昆山开发区、周市镇为主体，建设夏驾河科创走廊、金鸡河产业科创走廊等，向北联动太仓，共同打造苏州先进制造增长极，建设包容、开放、共享的东部副中心。</w:t>
      </w:r>
    </w:p>
    <w:p w14:paraId="382FBC72">
      <w:pPr>
        <w:ind w:firstLine="480"/>
        <w:rPr>
          <w:rFonts w:ascii="Times New Roman" w:hAnsi="Times New Roman"/>
          <w:color w:val="auto"/>
        </w:rPr>
      </w:pPr>
      <w:r>
        <w:rPr>
          <w:rFonts w:hint="eastAsia" w:ascii="Times New Roman" w:hAnsi="Times New Roman"/>
          <w:color w:val="auto"/>
        </w:rPr>
        <w:t>3、产业创新引领区</w:t>
      </w:r>
    </w:p>
    <w:p w14:paraId="29DF282D">
      <w:pPr>
        <w:ind w:firstLine="480"/>
        <w:rPr>
          <w:rFonts w:ascii="Times New Roman" w:hAnsi="Times New Roman"/>
          <w:color w:val="auto"/>
        </w:rPr>
      </w:pPr>
      <w:r>
        <w:rPr>
          <w:rFonts w:hint="eastAsia" w:ascii="Times New Roman" w:hAnsi="Times New Roman"/>
          <w:color w:val="auto"/>
        </w:rPr>
        <w:t>以昆山高新区、巴城镇为主体，高标准规划建设阳澄湖两岸科创中心，匠心雕琢城市庭院，重点开发昆曲小镇等特色功能区，向西融入苏州主城，打造苏州市内全域一体化发展科创强引擎，建设创新、生态、宜居的西部副中心。</w:t>
      </w:r>
    </w:p>
    <w:p w14:paraId="46948430">
      <w:pPr>
        <w:ind w:firstLine="480"/>
        <w:rPr>
          <w:rFonts w:ascii="Times New Roman" w:hAnsi="Times New Roman"/>
          <w:color w:val="auto"/>
        </w:rPr>
      </w:pPr>
      <w:r>
        <w:rPr>
          <w:rFonts w:hint="eastAsia" w:ascii="Times New Roman" w:hAnsi="Times New Roman"/>
          <w:color w:val="auto"/>
        </w:rPr>
        <w:t>4、特色国际商务贸易区</w:t>
      </w:r>
    </w:p>
    <w:p w14:paraId="05510DAA">
      <w:pPr>
        <w:ind w:firstLine="480"/>
        <w:rPr>
          <w:rFonts w:ascii="Times New Roman" w:hAnsi="Times New Roman"/>
          <w:color w:val="auto"/>
        </w:rPr>
      </w:pPr>
      <w:r>
        <w:rPr>
          <w:rFonts w:hint="eastAsia" w:ascii="Times New Roman" w:hAnsi="Times New Roman"/>
          <w:color w:val="auto"/>
        </w:rPr>
        <w:t>以花桥经济开发区、陆家镇为主体，以总部经济、数字经济、研发产业和商贸会展等现代服务业为主导，向东接轨上海，积极参与虹桥国际开放枢纽建设，加快建设数字经济实验区、虹桥北向副中心、沪苏对接桥头堡、国际青年创新城，当好苏州全面对接上海“桥头堡”。</w:t>
      </w:r>
    </w:p>
    <w:p w14:paraId="3CB3BFA4">
      <w:pPr>
        <w:ind w:firstLine="480"/>
        <w:rPr>
          <w:rFonts w:ascii="Times New Roman" w:hAnsi="Times New Roman"/>
          <w:color w:val="auto"/>
        </w:rPr>
      </w:pPr>
      <w:r>
        <w:rPr>
          <w:rFonts w:hint="eastAsia" w:ascii="Times New Roman" w:hAnsi="Times New Roman"/>
          <w:color w:val="auto"/>
        </w:rPr>
        <w:t>5、特色强镇样板区</w:t>
      </w:r>
    </w:p>
    <w:p w14:paraId="3D47632C">
      <w:pPr>
        <w:ind w:firstLine="480"/>
        <w:rPr>
          <w:rFonts w:ascii="Times New Roman" w:hAnsi="Times New Roman"/>
          <w:color w:val="auto"/>
        </w:rPr>
      </w:pPr>
      <w:r>
        <w:rPr>
          <w:rFonts w:hint="eastAsia" w:ascii="Times New Roman" w:hAnsi="Times New Roman"/>
          <w:color w:val="auto"/>
        </w:rPr>
        <w:t>以张浦镇、千灯镇为主体，依托历史文化名镇文化底蕴和吴淞江生态廊道，以精密机械、生物科技等产业为特色，加快吴淞江两岸城市有机更新步伐，加强沿线生态环境保护，完善区域公共服务设施配套，规划预控昆山未来城，打造特色强镇样板区。</w:t>
      </w:r>
    </w:p>
    <w:p w14:paraId="1A746763">
      <w:pPr>
        <w:ind w:firstLine="480"/>
        <w:rPr>
          <w:rFonts w:ascii="Times New Roman" w:hAnsi="Times New Roman"/>
          <w:color w:val="auto"/>
        </w:rPr>
      </w:pPr>
      <w:r>
        <w:rPr>
          <w:rFonts w:hint="eastAsia" w:ascii="Times New Roman" w:hAnsi="Times New Roman"/>
          <w:color w:val="auto"/>
        </w:rPr>
        <w:t>6、江南文化样板区</w:t>
      </w:r>
    </w:p>
    <w:p w14:paraId="00DAA5F6">
      <w:pPr>
        <w:rPr>
          <w:rFonts w:ascii="Times New Roman" w:hAnsi="Times New Roman"/>
          <w:color w:val="auto"/>
        </w:rPr>
      </w:pPr>
      <w:r>
        <w:rPr>
          <w:rFonts w:hint="eastAsia" w:ascii="Times New Roman" w:hAnsi="Times New Roman"/>
          <w:color w:val="auto"/>
        </w:rPr>
        <w:t>以昆山旅游度假区为主体，推进锦溪镇、淀山湖镇、周庄镇一体化发展，向南协同推进长三角生态绿色一体化发展示范区建设，建设生态绿色、风景如画的南部滨湖副中心。</w:t>
      </w:r>
    </w:p>
    <w:p w14:paraId="4C66A052">
      <w:pPr>
        <w:rPr>
          <w:rFonts w:hint="default" w:ascii="Times New Roman" w:hAnsi="Times New Roman"/>
          <w:color w:val="auto"/>
          <w:lang w:val="en-US" w:eastAsia="zh-CN"/>
        </w:rPr>
      </w:pPr>
      <w:r>
        <w:rPr>
          <w:rFonts w:hint="eastAsia" w:ascii="Times New Roman" w:hAnsi="Times New Roman"/>
          <w:color w:val="auto"/>
          <w:lang w:val="en-US" w:eastAsia="zh-CN"/>
        </w:rPr>
        <w:t>相符性分析：</w:t>
      </w:r>
      <w:r>
        <w:rPr>
          <w:rFonts w:hint="eastAsia" w:ascii="Times New Roman" w:hAnsi="Times New Roman"/>
          <w:color w:val="auto"/>
        </w:rPr>
        <w:t>本项目所在地</w:t>
      </w:r>
      <w:r>
        <w:rPr>
          <w:rFonts w:hint="eastAsia" w:ascii="Times New Roman" w:hAnsi="Times New Roman"/>
          <w:color w:val="auto"/>
          <w:lang w:val="en-US" w:eastAsia="zh-CN"/>
        </w:rPr>
        <w:t>位于</w:t>
      </w:r>
      <w:r>
        <w:rPr>
          <w:rFonts w:hint="eastAsia"/>
          <w:color w:val="auto"/>
          <w:lang w:val="en-US" w:eastAsia="zh-CN"/>
        </w:rPr>
        <w:t>昆山市花桥镇逢善路358号</w:t>
      </w:r>
      <w:r>
        <w:rPr>
          <w:rFonts w:hint="eastAsia" w:ascii="Times New Roman" w:hAnsi="Times New Roman"/>
          <w:color w:val="auto"/>
          <w:lang w:val="en-US" w:eastAsia="zh-CN"/>
        </w:rPr>
        <w:t>，位于花桥北部工业园，</w:t>
      </w:r>
      <w:r>
        <w:rPr>
          <w:rFonts w:hint="eastAsia" w:ascii="Times New Roman" w:hAnsi="Times New Roman"/>
          <w:color w:val="auto"/>
        </w:rPr>
        <w:t>利用</w:t>
      </w:r>
      <w:r>
        <w:rPr>
          <w:rFonts w:hint="eastAsia"/>
          <w:color w:val="auto"/>
          <w:lang w:eastAsia="zh-CN"/>
        </w:rPr>
        <w:t>现有</w:t>
      </w:r>
      <w:r>
        <w:rPr>
          <w:rFonts w:hint="eastAsia" w:ascii="Times New Roman" w:hAnsi="Times New Roman"/>
          <w:color w:val="auto"/>
          <w:lang w:val="en-US" w:eastAsia="zh-CN"/>
        </w:rPr>
        <w:t>厂区进行扩建，</w:t>
      </w:r>
      <w:r>
        <w:rPr>
          <w:rFonts w:hint="eastAsia" w:ascii="Times New Roman" w:hAnsi="Times New Roman"/>
          <w:color w:val="auto"/>
        </w:rPr>
        <w:t>用地性质为工业用地</w:t>
      </w:r>
      <w:r>
        <w:rPr>
          <w:rFonts w:hint="eastAsia" w:ascii="Times New Roman" w:hAnsi="Times New Roman"/>
          <w:color w:val="auto"/>
          <w:lang w:eastAsia="zh-CN"/>
        </w:rPr>
        <w:t>，</w:t>
      </w:r>
      <w:r>
        <w:rPr>
          <w:rFonts w:hint="eastAsia" w:ascii="Times New Roman" w:hAnsi="Times New Roman"/>
          <w:color w:val="auto"/>
        </w:rPr>
        <w:t>符合</w:t>
      </w:r>
      <w:r>
        <w:rPr>
          <w:rFonts w:hint="eastAsia" w:ascii="Times New Roman" w:hAnsi="Times New Roman"/>
          <w:color w:val="auto"/>
          <w:lang w:val="en-US" w:eastAsia="zh-CN"/>
        </w:rPr>
        <w:t>国土空间</w:t>
      </w:r>
      <w:r>
        <w:rPr>
          <w:rFonts w:hint="eastAsia" w:ascii="Times New Roman" w:hAnsi="Times New Roman"/>
          <w:color w:val="auto"/>
        </w:rPr>
        <w:t>规划要求。</w:t>
      </w:r>
    </w:p>
    <w:p w14:paraId="79FDEEE9">
      <w:pPr>
        <w:pStyle w:val="4"/>
        <w:bidi w:val="0"/>
        <w:rPr>
          <w:color w:val="auto"/>
          <w:lang w:val="en-US" w:eastAsia="zh-CN"/>
        </w:rPr>
      </w:pPr>
      <w:bookmarkStart w:id="96" w:name="_Toc3525"/>
      <w:bookmarkStart w:id="97" w:name="_Toc3013"/>
      <w:r>
        <w:rPr>
          <w:rFonts w:hint="eastAsia"/>
          <w:color w:val="auto"/>
          <w:lang w:val="en-US" w:eastAsia="zh-CN"/>
        </w:rPr>
        <w:t>与花桥北部工业园</w:t>
      </w:r>
      <w:bookmarkEnd w:id="96"/>
      <w:r>
        <w:rPr>
          <w:rFonts w:hint="eastAsia"/>
          <w:color w:val="auto"/>
          <w:lang w:val="en-US" w:eastAsia="zh-CN"/>
        </w:rPr>
        <w:t>相符性分析</w:t>
      </w:r>
      <w:bookmarkEnd w:id="97"/>
    </w:p>
    <w:p w14:paraId="4BE2DCA6">
      <w:pPr>
        <w:rPr>
          <w:rFonts w:hint="eastAsia" w:ascii="Times New Roman" w:hAnsi="Times New Roman"/>
          <w:color w:val="auto"/>
        </w:rPr>
      </w:pPr>
      <w:r>
        <w:rPr>
          <w:rFonts w:hint="eastAsia"/>
          <w:color w:val="auto"/>
          <w:lang w:val="en-US" w:eastAsia="zh-CN"/>
        </w:rPr>
        <w:t>1、</w:t>
      </w:r>
      <w:r>
        <w:rPr>
          <w:rFonts w:hint="eastAsia" w:ascii="Times New Roman" w:hAnsi="Times New Roman"/>
          <w:color w:val="auto"/>
        </w:rPr>
        <w:t>功能定位：集先进制造业与生态休闲服务业为一体的，体现城市与自然相融合、高效与绿色相融合的综合型片区。</w:t>
      </w:r>
    </w:p>
    <w:p w14:paraId="2ECEFE5C">
      <w:pPr>
        <w:rPr>
          <w:rFonts w:hint="eastAsia" w:ascii="Times New Roman" w:hAnsi="Times New Roman"/>
          <w:color w:val="auto"/>
        </w:rPr>
      </w:pPr>
      <w:r>
        <w:rPr>
          <w:rFonts w:hint="eastAsia"/>
          <w:color w:val="auto"/>
          <w:lang w:val="en-US" w:eastAsia="zh-CN"/>
        </w:rPr>
        <w:t>2、</w:t>
      </w:r>
      <w:r>
        <w:rPr>
          <w:rFonts w:hint="eastAsia" w:ascii="Times New Roman" w:hAnsi="Times New Roman"/>
          <w:color w:val="auto"/>
        </w:rPr>
        <w:t>规划目标：</w:t>
      </w:r>
    </w:p>
    <w:p w14:paraId="7108B24A">
      <w:pPr>
        <w:rPr>
          <w:rFonts w:hint="eastAsia" w:ascii="Times New Roman" w:hAnsi="Times New Roman"/>
          <w:color w:val="auto"/>
        </w:rPr>
      </w:pPr>
      <w:r>
        <w:rPr>
          <w:rFonts w:hint="eastAsia" w:ascii="仿宋_GB2312" w:hAnsi="仿宋_GB2312" w:eastAsia="仿宋_GB2312" w:cs="仿宋_GB2312"/>
          <w:color w:val="auto"/>
        </w:rPr>
        <w:t>①</w:t>
      </w:r>
      <w:r>
        <w:rPr>
          <w:rFonts w:hint="eastAsia" w:ascii="Times New Roman" w:hAnsi="Times New Roman"/>
          <w:color w:val="auto"/>
        </w:rPr>
        <w:t>活力的产业空间——以产业整合与升级为前提，结合人性化尺度的生产空间,创建具有人气、活力的高新生产空间。</w:t>
      </w:r>
    </w:p>
    <w:p w14:paraId="28752FB7">
      <w:pPr>
        <w:rPr>
          <w:rFonts w:hint="eastAsia" w:ascii="Times New Roman" w:hAnsi="Times New Roman"/>
          <w:color w:val="auto"/>
        </w:rPr>
      </w:pPr>
      <w:r>
        <w:rPr>
          <w:rFonts w:hint="eastAsia" w:ascii="仿宋_GB2312" w:hAnsi="仿宋_GB2312" w:eastAsia="仿宋_GB2312" w:cs="仿宋_GB2312"/>
          <w:color w:val="auto"/>
        </w:rPr>
        <w:t>②</w:t>
      </w:r>
      <w:r>
        <w:rPr>
          <w:rFonts w:hint="eastAsia" w:ascii="Times New Roman" w:hAnsi="Times New Roman"/>
          <w:color w:val="auto"/>
        </w:rPr>
        <w:t>完善的配套空间——以集中开发为重点，完善各类生产服务设施，塑造功能有机混合的工业配套社区。</w:t>
      </w:r>
    </w:p>
    <w:p w14:paraId="56258738">
      <w:pPr>
        <w:rPr>
          <w:rFonts w:hint="eastAsia" w:ascii="Times New Roman" w:hAnsi="Times New Roman"/>
          <w:color w:val="auto"/>
        </w:rPr>
      </w:pPr>
      <w:r>
        <w:rPr>
          <w:rFonts w:hint="eastAsia" w:ascii="仿宋_GB2312" w:hAnsi="仿宋_GB2312" w:eastAsia="仿宋_GB2312" w:cs="仿宋_GB2312"/>
          <w:color w:val="auto"/>
        </w:rPr>
        <w:t>③</w:t>
      </w:r>
      <w:r>
        <w:rPr>
          <w:rFonts w:hint="eastAsia" w:ascii="Times New Roman" w:hAnsi="Times New Roman"/>
          <w:color w:val="auto"/>
        </w:rPr>
        <w:t>宜人的绿化景观空间——以生态环境建设为特色，以主要道路和水系为切入点，为区内生产生活、休闲娱乐提供环境宜人的绿化景观空间 。</w:t>
      </w:r>
    </w:p>
    <w:p w14:paraId="26DA65DE">
      <w:pPr>
        <w:rPr>
          <w:rFonts w:hint="eastAsia" w:ascii="Times New Roman" w:hAnsi="Times New Roman"/>
          <w:color w:val="auto"/>
        </w:rPr>
      </w:pPr>
      <w:r>
        <w:rPr>
          <w:rFonts w:hint="eastAsia"/>
          <w:color w:val="auto"/>
          <w:lang w:val="en-US" w:eastAsia="zh-CN"/>
        </w:rPr>
        <w:t>3、</w:t>
      </w:r>
      <w:r>
        <w:rPr>
          <w:rFonts w:hint="eastAsia" w:ascii="Times New Roman" w:hAnsi="Times New Roman"/>
          <w:color w:val="auto"/>
        </w:rPr>
        <w:t>规划结构：规划形成“一轴统领，两区辉映 ”的总体结构。</w:t>
      </w:r>
    </w:p>
    <w:p w14:paraId="62B6243A">
      <w:pPr>
        <w:rPr>
          <w:rFonts w:hint="eastAsia" w:ascii="Times New Roman" w:hAnsi="Times New Roman"/>
          <w:color w:val="auto"/>
        </w:rPr>
      </w:pPr>
      <w:r>
        <w:rPr>
          <w:rFonts w:hint="eastAsia" w:ascii="Times New Roman" w:hAnsi="Times New Roman"/>
          <w:color w:val="auto"/>
        </w:rPr>
        <w:t>“一轴统领 ”：即串联南北方向的沿沪大道交通发展轴；</w:t>
      </w:r>
    </w:p>
    <w:p w14:paraId="557AA22D">
      <w:pPr>
        <w:rPr>
          <w:rFonts w:hint="eastAsia" w:ascii="Times New Roman" w:hAnsi="Times New Roman"/>
          <w:color w:val="auto"/>
        </w:rPr>
      </w:pPr>
      <w:r>
        <w:rPr>
          <w:rFonts w:hint="eastAsia" w:ascii="Times New Roman" w:hAnsi="Times New Roman"/>
          <w:color w:val="auto"/>
        </w:rPr>
        <w:t>“两区辉映 ”：即铁路以北以发展花卉农业、生态休闲、创意工坊、康健乐活等功能的天福生态休闲区；以发展先进制造业和区域物流业的北部产业区。</w:t>
      </w:r>
    </w:p>
    <w:p w14:paraId="480BAECA">
      <w:pPr>
        <w:rPr>
          <w:rFonts w:hint="eastAsia" w:ascii="Times New Roman" w:hAnsi="Times New Roman"/>
          <w:color w:val="auto"/>
        </w:rPr>
      </w:pPr>
      <w:r>
        <w:rPr>
          <w:rFonts w:hint="eastAsia"/>
          <w:color w:val="auto"/>
          <w:lang w:val="en-US" w:eastAsia="zh-CN"/>
        </w:rPr>
        <w:t>4、</w:t>
      </w:r>
      <w:r>
        <w:rPr>
          <w:rFonts w:hint="eastAsia" w:ascii="Times New Roman" w:hAnsi="Times New Roman"/>
          <w:color w:val="auto"/>
        </w:rPr>
        <w:t>工业用地：规划工业用地472.09公顷，占规划城市建设用地的52.55%。</w:t>
      </w:r>
    </w:p>
    <w:p w14:paraId="3AD7C040">
      <w:pPr>
        <w:rPr>
          <w:rFonts w:hint="eastAsia" w:ascii="Times New Roman" w:hAnsi="Times New Roman"/>
          <w:color w:val="auto"/>
        </w:rPr>
      </w:pPr>
      <w:r>
        <w:rPr>
          <w:rFonts w:hint="eastAsia" w:ascii="Times New Roman" w:hAnsi="Times New Roman"/>
          <w:color w:val="auto"/>
        </w:rPr>
        <w:t>规划采取保留更新的方式引导产业升级，保留以金属制品、通用设备制造、专用设备制造、交通运输设备制造等装备制造产业，逐步更新投入产出比低、环境效益不佳的企业，提高土地利用效率。</w:t>
      </w:r>
    </w:p>
    <w:p w14:paraId="3BA421E0">
      <w:pPr>
        <w:rPr>
          <w:rFonts w:hint="eastAsia" w:ascii="Times New Roman" w:hAnsi="Times New Roman"/>
          <w:color w:val="auto"/>
        </w:rPr>
      </w:pPr>
      <w:r>
        <w:rPr>
          <w:rFonts w:hint="eastAsia"/>
          <w:color w:val="auto"/>
          <w:lang w:val="en-US" w:eastAsia="zh-CN"/>
        </w:rPr>
        <w:t>5、</w:t>
      </w:r>
      <w:r>
        <w:rPr>
          <w:rFonts w:hint="eastAsia" w:ascii="Times New Roman" w:hAnsi="Times New Roman"/>
          <w:color w:val="auto"/>
        </w:rPr>
        <w:t>环境功能区划：</w:t>
      </w:r>
    </w:p>
    <w:p w14:paraId="7D22F5DF">
      <w:pPr>
        <w:rPr>
          <w:rFonts w:hint="eastAsia" w:ascii="Times New Roman" w:hAnsi="Times New Roman"/>
          <w:color w:val="auto"/>
        </w:rPr>
      </w:pPr>
      <w:r>
        <w:rPr>
          <w:rFonts w:hint="eastAsia" w:ascii="仿宋_GB2312" w:hAnsi="仿宋_GB2312" w:eastAsia="仿宋_GB2312" w:cs="仿宋_GB2312"/>
          <w:color w:val="auto"/>
        </w:rPr>
        <w:t>①</w:t>
      </w:r>
      <w:r>
        <w:rPr>
          <w:rFonts w:hint="eastAsia" w:ascii="Times New Roman" w:hAnsi="Times New Roman"/>
          <w:color w:val="auto"/>
        </w:rPr>
        <w:t>环境空气质量目标</w:t>
      </w:r>
    </w:p>
    <w:p w14:paraId="2A402F88">
      <w:pPr>
        <w:rPr>
          <w:rFonts w:hint="eastAsia" w:ascii="Times New Roman" w:hAnsi="Times New Roman"/>
          <w:color w:val="auto"/>
        </w:rPr>
      </w:pPr>
      <w:r>
        <w:rPr>
          <w:rFonts w:hint="eastAsia" w:ascii="Times New Roman" w:hAnsi="Times New Roman"/>
          <w:color w:val="auto"/>
        </w:rPr>
        <w:t>桥苑应达到《环境空气质量标准》（GB3095-2012）一类区标准，其他区域均应达到二类区标准。</w:t>
      </w:r>
    </w:p>
    <w:p w14:paraId="7B05AF51">
      <w:pPr>
        <w:rPr>
          <w:rFonts w:hint="eastAsia" w:ascii="Times New Roman" w:hAnsi="Times New Roman"/>
          <w:color w:val="auto"/>
        </w:rPr>
      </w:pPr>
      <w:r>
        <w:rPr>
          <w:rFonts w:hint="eastAsia" w:ascii="仿宋_GB2312" w:hAnsi="仿宋_GB2312" w:eastAsia="仿宋_GB2312" w:cs="仿宋_GB2312"/>
          <w:color w:val="auto"/>
        </w:rPr>
        <w:t>②</w:t>
      </w:r>
      <w:r>
        <w:rPr>
          <w:rFonts w:hint="eastAsia" w:ascii="Times New Roman" w:hAnsi="Times New Roman"/>
          <w:color w:val="auto"/>
        </w:rPr>
        <w:t>水环境质量目标</w:t>
      </w:r>
    </w:p>
    <w:p w14:paraId="090FFEB9">
      <w:pPr>
        <w:rPr>
          <w:rFonts w:hint="eastAsia" w:ascii="Times New Roman" w:hAnsi="Times New Roman"/>
          <w:color w:val="auto"/>
        </w:rPr>
      </w:pPr>
      <w:r>
        <w:rPr>
          <w:rFonts w:hint="eastAsia" w:ascii="Times New Roman" w:hAnsi="Times New Roman"/>
          <w:color w:val="auto"/>
        </w:rPr>
        <w:t>水系水质稳定达到《地表水环境质量标准》（GB3838-2002）IV类水质标准。</w:t>
      </w:r>
    </w:p>
    <w:p w14:paraId="1D9C3029">
      <w:pPr>
        <w:rPr>
          <w:rFonts w:hint="eastAsia" w:ascii="Times New Roman" w:hAnsi="Times New Roman"/>
          <w:color w:val="auto"/>
        </w:rPr>
      </w:pPr>
      <w:r>
        <w:rPr>
          <w:rFonts w:hint="eastAsia" w:ascii="仿宋_GB2312" w:hAnsi="仿宋_GB2312" w:eastAsia="仿宋_GB2312" w:cs="仿宋_GB2312"/>
          <w:color w:val="auto"/>
        </w:rPr>
        <w:t>③</w:t>
      </w:r>
      <w:r>
        <w:rPr>
          <w:rFonts w:hint="eastAsia" w:ascii="Times New Roman" w:hAnsi="Times New Roman"/>
          <w:color w:val="auto"/>
        </w:rPr>
        <w:t>声环境质量目标</w:t>
      </w:r>
    </w:p>
    <w:p w14:paraId="57215EF3">
      <w:pPr>
        <w:rPr>
          <w:rFonts w:hint="eastAsia" w:ascii="Times New Roman" w:hAnsi="Times New Roman"/>
          <w:color w:val="auto"/>
        </w:rPr>
      </w:pPr>
      <w:r>
        <w:rPr>
          <w:rFonts w:hint="eastAsia" w:ascii="Times New Roman" w:hAnsi="Times New Roman"/>
          <w:color w:val="auto"/>
        </w:rPr>
        <w:t>噪声环境质量达到国家《声环境质量标准》（GB3096-2008）规定的各功能区标准。</w:t>
      </w:r>
    </w:p>
    <w:p w14:paraId="216D8565">
      <w:pPr>
        <w:rPr>
          <w:rFonts w:hint="eastAsia" w:ascii="Times New Roman" w:hAnsi="Times New Roman"/>
          <w:color w:val="auto"/>
        </w:rPr>
      </w:pPr>
      <w:r>
        <w:rPr>
          <w:rFonts w:hint="eastAsia"/>
          <w:color w:val="auto"/>
          <w:lang w:val="en-US" w:eastAsia="zh-CN"/>
        </w:rPr>
        <w:t>6、</w:t>
      </w:r>
      <w:r>
        <w:rPr>
          <w:rFonts w:hint="eastAsia" w:ascii="Times New Roman" w:hAnsi="Times New Roman"/>
          <w:color w:val="auto"/>
        </w:rPr>
        <w:t>污染防治：</w:t>
      </w:r>
    </w:p>
    <w:p w14:paraId="3670CB0A">
      <w:pPr>
        <w:rPr>
          <w:rFonts w:hint="eastAsia" w:ascii="Times New Roman" w:hAnsi="Times New Roman"/>
          <w:color w:val="auto"/>
        </w:rPr>
      </w:pPr>
      <w:r>
        <w:rPr>
          <w:rFonts w:hint="eastAsia" w:ascii="Times New Roman" w:hAnsi="Times New Roman"/>
          <w:color w:val="auto"/>
        </w:rPr>
        <w:t>加强大气环境污染控制：大力推进建筑节能，调整能源结构，推广使用清洁高效能源。结合绿化建设，选择抗污染树种，提高植物净化能力，改善大气环境质量。</w:t>
      </w:r>
    </w:p>
    <w:p w14:paraId="4C08B939">
      <w:pPr>
        <w:rPr>
          <w:rFonts w:hint="eastAsia" w:ascii="Times New Roman" w:hAnsi="Times New Roman"/>
          <w:color w:val="auto"/>
        </w:rPr>
      </w:pPr>
      <w:r>
        <w:rPr>
          <w:rFonts w:hint="eastAsia" w:ascii="Times New Roman" w:hAnsi="Times New Roman"/>
          <w:color w:val="auto"/>
        </w:rPr>
        <w:t>强化固体废物污染防治：加强垃圾分类收集、处理、利用，对生活垃圾、建筑垃圾等有效实施减量化，加强有害垃圾源头处理和管理，科学、安全地处置危险废物、医疗废物。</w:t>
      </w:r>
    </w:p>
    <w:p w14:paraId="18F92407">
      <w:pPr>
        <w:rPr>
          <w:rFonts w:hint="eastAsia" w:ascii="Times New Roman" w:hAnsi="Times New Roman"/>
          <w:color w:val="auto"/>
          <w:lang w:eastAsia="zh-CN"/>
        </w:rPr>
      </w:pPr>
      <w:r>
        <w:rPr>
          <w:rFonts w:hint="eastAsia" w:ascii="Times New Roman" w:hAnsi="Times New Roman"/>
          <w:color w:val="auto"/>
        </w:rPr>
        <w:t>本项目属于模具制造业，属于金属制品，本次扩建项目引进更为先进的生产设备，着力更好的发展先进制造业，提高土地利用效率。符合花桥北部工业园建设要求</w:t>
      </w:r>
      <w:r>
        <w:rPr>
          <w:rFonts w:hint="eastAsia"/>
          <w:color w:val="auto"/>
          <w:lang w:eastAsia="zh-CN"/>
        </w:rPr>
        <w:t>，</w:t>
      </w:r>
      <w:r>
        <w:rPr>
          <w:rFonts w:hint="eastAsia" w:ascii="Times New Roman" w:hAnsi="Times New Roman"/>
          <w:color w:val="auto"/>
        </w:rPr>
        <w:t>符合昆山市城市总体发展指标方向</w:t>
      </w:r>
      <w:r>
        <w:rPr>
          <w:rFonts w:hint="eastAsia" w:ascii="Times New Roman" w:cs="Times New Roman"/>
          <w:b w:val="0"/>
          <w:bCs w:val="0"/>
          <w:color w:val="auto"/>
          <w:kern w:val="0"/>
          <w:sz w:val="28"/>
          <w:szCs w:val="28"/>
          <w:lang w:val="en-US" w:eastAsia="zh-CN" w:bidi="ar-SA"/>
        </w:rPr>
        <w:t>。</w:t>
      </w:r>
    </w:p>
    <w:p w14:paraId="67850732">
      <w:pPr>
        <w:pStyle w:val="4"/>
        <w:bidi w:val="0"/>
        <w:rPr>
          <w:rFonts w:hint="eastAsia"/>
          <w:color w:val="auto"/>
          <w:lang w:val="en-US" w:eastAsia="zh-CN"/>
        </w:rPr>
      </w:pPr>
      <w:bookmarkStart w:id="98" w:name="_Toc28116"/>
      <w:r>
        <w:rPr>
          <w:rFonts w:hint="eastAsia"/>
          <w:color w:val="auto"/>
          <w:lang w:val="en-US" w:eastAsia="zh-CN"/>
        </w:rPr>
        <w:t>与《昆山市 D09 规划编制单元控制性详细规划》的相符性</w:t>
      </w:r>
      <w:bookmarkEnd w:id="98"/>
    </w:p>
    <w:p w14:paraId="2F2F0BD7">
      <w:pPr>
        <w:rPr>
          <w:rFonts w:hint="eastAsia" w:ascii="Times New Roman" w:hAnsi="Times New Roman"/>
          <w:color w:val="auto"/>
          <w:lang w:eastAsia="zh-CN"/>
        </w:rPr>
      </w:pPr>
      <w:r>
        <w:rPr>
          <w:rFonts w:hint="eastAsia" w:ascii="Times New Roman" w:hAnsi="Times New Roman"/>
          <w:color w:val="auto"/>
          <w:lang w:eastAsia="zh-CN"/>
        </w:rPr>
        <w:t>《昆山市 D09 规划编制单元控制性详细规划》规划范围东至江苏省界-徐公桥路，南至沪宁高速，西至大瓦浦，北至沪宁铁路，总规划面积约 7.71 平方公里。区域定位：集先进制造业与现代物流业为一体的智慧产品片区。规划结构：规划形成“双轴统领、四区辉映”的空间格局。“双轴统领”：</w:t>
      </w:r>
    </w:p>
    <w:p w14:paraId="0C4A51B1">
      <w:pPr>
        <w:rPr>
          <w:rFonts w:hint="eastAsia" w:ascii="Times New Roman" w:hAnsi="Times New Roman"/>
          <w:color w:val="auto"/>
          <w:lang w:eastAsia="zh-CN"/>
        </w:rPr>
      </w:pPr>
      <w:r>
        <w:rPr>
          <w:rFonts w:hint="eastAsia" w:ascii="Times New Roman" w:hAnsi="Times New Roman"/>
          <w:color w:val="auto"/>
          <w:lang w:eastAsia="zh-CN"/>
        </w:rPr>
        <w:t>串联南北的沿沪大道交通发展轴和串联东西的逢星路交通发展轴；“四区辉映 ”：围绕沿沪大道两侧形成的智慧产业片区；以发展先进制造业为主的两个现代工业片区，以及产业片区提供相关的配套服务的服务配套片区。</w:t>
      </w:r>
    </w:p>
    <w:p w14:paraId="5930860B">
      <w:pPr>
        <w:rPr>
          <w:rFonts w:hint="eastAsia" w:ascii="Times New Roman" w:hAnsi="Times New Roman"/>
          <w:color w:val="auto"/>
          <w:lang w:eastAsia="zh-CN"/>
        </w:rPr>
      </w:pPr>
      <w:r>
        <w:rPr>
          <w:rFonts w:hint="eastAsia" w:ascii="Times New Roman" w:hAnsi="Times New Roman"/>
          <w:color w:val="auto"/>
          <w:lang w:eastAsia="zh-CN"/>
        </w:rPr>
        <w:t>本项目位于昆山市花桥镇逢善路 358 号，根据《昆山市 D09 规划编制单元控制性详细规划》（附图3），本项目选址位于二类工业用地范围内，符合区域用地规划。</w:t>
      </w:r>
    </w:p>
    <w:p w14:paraId="26CDB00E">
      <w:pPr>
        <w:rPr>
          <w:rFonts w:ascii="Times New Roman" w:hAnsi="Times New Roman"/>
          <w:color w:val="auto"/>
        </w:rPr>
      </w:pPr>
    </w:p>
    <w:bookmarkEnd w:id="78"/>
    <w:p w14:paraId="4F507204">
      <w:pPr>
        <w:rPr>
          <w:rFonts w:ascii="Times New Roman" w:hAnsi="Times New Roman"/>
          <w:color w:val="auto"/>
        </w:rPr>
      </w:pPr>
    </w:p>
    <w:p w14:paraId="379FD531">
      <w:pPr>
        <w:bidi w:val="0"/>
        <w:rPr>
          <w:color w:val="auto"/>
        </w:rPr>
      </w:pPr>
    </w:p>
    <w:p w14:paraId="63AD9EA3">
      <w:pPr>
        <w:bidi w:val="0"/>
        <w:rPr>
          <w:color w:val="auto"/>
        </w:rPr>
      </w:pPr>
    </w:p>
    <w:p w14:paraId="23A47D26">
      <w:pPr>
        <w:bidi w:val="0"/>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F2EBB6">
      <w:pPr>
        <w:pStyle w:val="2"/>
        <w:rPr>
          <w:color w:val="auto"/>
        </w:rPr>
      </w:pPr>
      <w:bookmarkStart w:id="99" w:name="_Toc18722"/>
      <w:bookmarkStart w:id="100" w:name="_Toc18092"/>
      <w:r>
        <w:rPr>
          <w:rFonts w:hint="eastAsia"/>
          <w:color w:val="auto"/>
        </w:rPr>
        <w:t>现有项目工程回顾</w:t>
      </w:r>
      <w:bookmarkEnd w:id="99"/>
      <w:bookmarkEnd w:id="100"/>
    </w:p>
    <w:p w14:paraId="0A497465">
      <w:pPr>
        <w:pStyle w:val="3"/>
        <w:bidi w:val="0"/>
        <w:rPr>
          <w:color w:val="auto"/>
          <w:lang w:val="en-US" w:eastAsia="zh-CN"/>
        </w:rPr>
      </w:pPr>
      <w:bookmarkStart w:id="101" w:name="_Toc19939"/>
      <w:bookmarkStart w:id="102" w:name="_Toc22277"/>
      <w:r>
        <w:rPr>
          <w:rFonts w:hint="eastAsia"/>
          <w:color w:val="auto"/>
          <w:lang w:val="en-US" w:eastAsia="zh-CN"/>
        </w:rPr>
        <w:t>现有项目概况</w:t>
      </w:r>
      <w:bookmarkEnd w:id="101"/>
      <w:bookmarkEnd w:id="102"/>
    </w:p>
    <w:p w14:paraId="3F0300E9">
      <w:pPr>
        <w:pStyle w:val="4"/>
        <w:rPr>
          <w:color w:val="auto"/>
        </w:rPr>
      </w:pPr>
      <w:bookmarkStart w:id="103" w:name="_Toc16135"/>
      <w:bookmarkStart w:id="104" w:name="_Toc19849"/>
      <w:r>
        <w:rPr>
          <w:rFonts w:hint="eastAsia"/>
          <w:color w:val="auto"/>
        </w:rPr>
        <w:t>现有项目建设情况</w:t>
      </w:r>
      <w:bookmarkEnd w:id="103"/>
      <w:bookmarkEnd w:id="104"/>
    </w:p>
    <w:p w14:paraId="7F6EE60D">
      <w:pPr>
        <w:rPr>
          <w:rFonts w:hint="eastAsia"/>
          <w:color w:val="auto"/>
          <w:lang w:eastAsia="zh-CN"/>
        </w:rPr>
      </w:pPr>
      <w:r>
        <w:rPr>
          <w:rFonts w:hint="eastAsia"/>
          <w:color w:val="auto"/>
          <w:lang w:eastAsia="zh-CN"/>
        </w:rPr>
        <w:t>昆山运城压纹制版有限公司成立于 2003 年，经营范围为：非金属制品模具设计、制造；销售自产产品；货物及技术的进出口业务。（依法须经批准的项目，经相关部门批准后方可开展经营活动）。</w:t>
      </w:r>
    </w:p>
    <w:p w14:paraId="58DE25B0">
      <w:pPr>
        <w:bidi w:val="0"/>
        <w:rPr>
          <w:rFonts w:hint="eastAsia"/>
          <w:color w:val="auto"/>
          <w:lang w:eastAsia="zh-CN"/>
        </w:rPr>
      </w:pPr>
      <w:r>
        <w:rPr>
          <w:rFonts w:hint="eastAsia"/>
          <w:color w:val="auto"/>
          <w:lang w:eastAsia="zh-CN"/>
        </w:rPr>
        <w:t>2004年2月5日经苏环建[2004]79号文批准，于现址昆山市花桥镇逢善路358号，建设压纹版辊生产项目，目前年生产销售2500支版辊（其中750支需要电镀，1750支不需要电镀）。</w:t>
      </w:r>
    </w:p>
    <w:p w14:paraId="40DA87EE">
      <w:pPr>
        <w:bidi w:val="0"/>
        <w:rPr>
          <w:rFonts w:hint="eastAsia" w:ascii="Times New Roman" w:eastAsia="仿宋_GB2312"/>
          <w:color w:val="auto"/>
          <w:lang w:val="en-US" w:eastAsia="zh-CN"/>
        </w:rPr>
      </w:pPr>
      <w:r>
        <w:rPr>
          <w:rFonts w:hint="eastAsia"/>
          <w:color w:val="auto"/>
          <w:lang w:eastAsia="zh-CN"/>
        </w:rPr>
        <w:t>2019年，昆山运城压纹制版有限公司为提高产品品质及精度，增加喷砂工艺及部分加工设备对现有激光雕刻生产线进行改造，同时产品方案保持不变，仍为年生产销售2500支版辊（其中750支需要电镀，1750支不需要电镀）。委托编制环评，并于2019年10月14日取得昆山生态环境局批复，同时在2020年完成自主验收微精版。</w:t>
      </w:r>
      <w:r>
        <w:rPr>
          <w:rFonts w:hint="eastAsia"/>
          <w:color w:val="auto"/>
          <w:lang w:val="en-US" w:eastAsia="zh-CN"/>
        </w:rPr>
        <w:t>2</w:t>
      </w:r>
      <w:r>
        <w:rPr>
          <w:rFonts w:hint="eastAsia"/>
          <w:color w:val="auto"/>
          <w:lang w:eastAsia="zh-CN"/>
        </w:rPr>
        <w:t>024年，昆山运城压纹制版有限公司新增投资4000万元，建设“激光雕刻绿色智能化生产线项目”，通过优化电镀线自动化程度，提高单个产品的生产效率，同时新增微精版的生产。此次技改扩建完成后，全厂年产压纹版辊3250支、微精版8500支。项目委托编制环评，于2024年11月2日取得苏州市生态环境局批复（苏环建〔2024〕83第0222号），并于2025年9月完成自主验收</w:t>
      </w:r>
      <w:r>
        <w:rPr>
          <w:rFonts w:hint="eastAsia" w:ascii="Times New Roman" w:eastAsia="仿宋_GB2312"/>
          <w:color w:val="auto"/>
          <w:lang w:val="en-US" w:eastAsia="zh-CN"/>
        </w:rPr>
        <w:t>。</w:t>
      </w:r>
    </w:p>
    <w:p w14:paraId="332F149C">
      <w:pPr>
        <w:bidi w:val="0"/>
        <w:rPr>
          <w:rFonts w:hint="eastAsia"/>
          <w:color w:val="auto"/>
        </w:rPr>
      </w:pPr>
      <w:r>
        <w:rPr>
          <w:rFonts w:hint="eastAsia"/>
          <w:color w:val="auto"/>
          <w:lang w:val="en-US" w:eastAsia="zh-CN"/>
        </w:rPr>
        <w:t>现有项目建设情况与环保手续一致，不存在未批先建情况。</w:t>
      </w:r>
      <w:r>
        <w:rPr>
          <w:rFonts w:hint="eastAsia" w:eastAsia="仿宋_GB2312"/>
          <w:color w:val="auto"/>
          <w:lang w:eastAsia="zh-CN"/>
        </w:rPr>
        <w:t>环保手续情况具体</w:t>
      </w:r>
      <w:r>
        <w:rPr>
          <w:rFonts w:hint="eastAsia"/>
          <w:color w:val="auto"/>
        </w:rPr>
        <w:t>见</w:t>
      </w:r>
      <w:r>
        <w:rPr>
          <w:color w:val="auto"/>
        </w:rPr>
        <w:fldChar w:fldCharType="begin"/>
      </w:r>
      <w:r>
        <w:rPr>
          <w:color w:val="auto"/>
        </w:rPr>
        <w:instrText xml:space="preserve"> </w:instrText>
      </w:r>
      <w:r>
        <w:rPr>
          <w:rFonts w:hint="eastAsia"/>
          <w:color w:val="auto"/>
        </w:rPr>
        <w:instrText xml:space="preserve">REF _Ref159332461 \h</w:instrText>
      </w:r>
      <w:r>
        <w:rPr>
          <w:color w:val="auto"/>
        </w:rPr>
        <w:instrText xml:space="preserve"> </w:instrText>
      </w:r>
      <w:r>
        <w:rPr>
          <w:color w:val="auto"/>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3.1</w:t>
      </w:r>
      <w:r>
        <w:rPr>
          <w:color w:val="auto"/>
        </w:rPr>
        <w:fldChar w:fldCharType="end"/>
      </w:r>
      <w:r>
        <w:rPr>
          <w:color w:val="auto"/>
        </w:rPr>
        <w:noBreakHyphen/>
      </w:r>
      <w:r>
        <w:rPr>
          <w:color w:val="auto"/>
        </w:rPr>
        <w:t>1</w:t>
      </w:r>
      <w:r>
        <w:rPr>
          <w:color w:val="auto"/>
        </w:rPr>
        <w:fldChar w:fldCharType="end"/>
      </w:r>
      <w:r>
        <w:rPr>
          <w:rFonts w:hint="eastAsia"/>
          <w:color w:val="auto"/>
        </w:rPr>
        <w:t>。</w:t>
      </w:r>
    </w:p>
    <w:p w14:paraId="58431A5F">
      <w:pPr>
        <w:rPr>
          <w:rFonts w:hint="eastAsia"/>
          <w:color w:val="auto"/>
        </w:rPr>
      </w:pPr>
    </w:p>
    <w:p w14:paraId="6B88C71A">
      <w:pPr>
        <w:rPr>
          <w:rFonts w:hint="eastAsia"/>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2A84F565">
      <w:pPr>
        <w:pStyle w:val="25"/>
        <w:bidi w:val="0"/>
        <w:rPr>
          <w:color w:val="auto"/>
          <w:lang w:val="en-US" w:eastAsia="zh-CN"/>
        </w:rPr>
      </w:pPr>
      <w:bookmarkStart w:id="105" w:name="_Ref159332461"/>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3.1</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bookmarkEnd w:id="105"/>
      <w:r>
        <w:rPr>
          <w:rFonts w:hint="eastAsia"/>
          <w:color w:val="auto"/>
          <w:lang w:val="en-US" w:eastAsia="zh-CN"/>
        </w:rPr>
        <w:t>现有项目履行环保手续情况一览表</w:t>
      </w:r>
    </w:p>
    <w:tbl>
      <w:tblPr>
        <w:tblStyle w:val="20"/>
        <w:tblW w:w="47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954"/>
        <w:gridCol w:w="1647"/>
        <w:gridCol w:w="3607"/>
        <w:gridCol w:w="1467"/>
        <w:gridCol w:w="1183"/>
        <w:gridCol w:w="1765"/>
        <w:gridCol w:w="1227"/>
      </w:tblGrid>
      <w:tr w14:paraId="7178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 w:type="pct"/>
            <w:vAlign w:val="center"/>
          </w:tcPr>
          <w:p w14:paraId="3823CC3F">
            <w:pPr>
              <w:pStyle w:val="36"/>
              <w:bidi w:val="0"/>
              <w:jc w:val="center"/>
              <w:rPr>
                <w:rFonts w:hint="eastAsia"/>
                <w:color w:val="auto"/>
                <w:lang w:val="en-US" w:eastAsia="zh-CN"/>
              </w:rPr>
            </w:pPr>
            <w:r>
              <w:rPr>
                <w:rFonts w:hint="eastAsia"/>
                <w:color w:val="auto"/>
                <w:lang w:val="en-US" w:eastAsia="zh-CN"/>
              </w:rPr>
              <w:t>序号</w:t>
            </w:r>
          </w:p>
        </w:tc>
        <w:tc>
          <w:tcPr>
            <w:tcW w:w="729" w:type="pct"/>
            <w:vAlign w:val="center"/>
          </w:tcPr>
          <w:p w14:paraId="31533266">
            <w:pPr>
              <w:pStyle w:val="36"/>
              <w:bidi w:val="0"/>
              <w:jc w:val="center"/>
              <w:rPr>
                <w:rFonts w:hint="eastAsia"/>
                <w:color w:val="auto"/>
                <w:lang w:val="en-US" w:eastAsia="zh-CN"/>
              </w:rPr>
            </w:pPr>
            <w:r>
              <w:rPr>
                <w:rFonts w:hint="eastAsia"/>
                <w:color w:val="auto"/>
                <w:lang w:val="en-US" w:eastAsia="zh-CN"/>
              </w:rPr>
              <w:t>项目名称</w:t>
            </w:r>
          </w:p>
        </w:tc>
        <w:tc>
          <w:tcPr>
            <w:tcW w:w="615" w:type="pct"/>
            <w:vAlign w:val="center"/>
          </w:tcPr>
          <w:p w14:paraId="6ABE18A1">
            <w:pPr>
              <w:pStyle w:val="36"/>
              <w:bidi w:val="0"/>
              <w:jc w:val="center"/>
              <w:rPr>
                <w:rFonts w:hint="default"/>
                <w:color w:val="auto"/>
                <w:lang w:val="en-US" w:eastAsia="zh-CN"/>
              </w:rPr>
            </w:pPr>
            <w:r>
              <w:rPr>
                <w:rFonts w:hint="eastAsia"/>
                <w:color w:val="auto"/>
                <w:lang w:val="en-US" w:eastAsia="zh-CN"/>
              </w:rPr>
              <w:t>批复情况/时间</w:t>
            </w:r>
          </w:p>
        </w:tc>
        <w:tc>
          <w:tcPr>
            <w:tcW w:w="1347" w:type="pct"/>
            <w:vAlign w:val="center"/>
          </w:tcPr>
          <w:p w14:paraId="41C74C80">
            <w:pPr>
              <w:pStyle w:val="36"/>
              <w:bidi w:val="0"/>
              <w:jc w:val="center"/>
              <w:rPr>
                <w:rFonts w:hint="default"/>
                <w:color w:val="auto"/>
                <w:lang w:val="en-US" w:eastAsia="zh-CN"/>
              </w:rPr>
            </w:pPr>
            <w:r>
              <w:rPr>
                <w:rFonts w:hint="eastAsia"/>
                <w:color w:val="auto"/>
                <w:lang w:val="en-US" w:eastAsia="zh-CN"/>
              </w:rPr>
              <w:t>批复建设内容</w:t>
            </w:r>
          </w:p>
        </w:tc>
        <w:tc>
          <w:tcPr>
            <w:tcW w:w="548" w:type="pct"/>
            <w:vAlign w:val="center"/>
          </w:tcPr>
          <w:p w14:paraId="0C866E04">
            <w:pPr>
              <w:pStyle w:val="36"/>
              <w:bidi w:val="0"/>
              <w:jc w:val="center"/>
              <w:rPr>
                <w:rFonts w:hint="default"/>
                <w:color w:val="auto"/>
                <w:lang w:val="en-US" w:eastAsia="zh-CN"/>
              </w:rPr>
            </w:pPr>
            <w:r>
              <w:rPr>
                <w:rFonts w:hint="eastAsia"/>
                <w:color w:val="auto"/>
                <w:lang w:val="en-US" w:eastAsia="zh-CN"/>
              </w:rPr>
              <w:t>实际建设情况</w:t>
            </w:r>
          </w:p>
        </w:tc>
        <w:tc>
          <w:tcPr>
            <w:tcW w:w="441" w:type="pct"/>
            <w:vAlign w:val="center"/>
          </w:tcPr>
          <w:p w14:paraId="493514EA">
            <w:pPr>
              <w:pStyle w:val="36"/>
              <w:bidi w:val="0"/>
              <w:jc w:val="center"/>
              <w:rPr>
                <w:rFonts w:hint="eastAsia"/>
                <w:color w:val="auto"/>
                <w:lang w:val="en-US" w:eastAsia="zh-CN"/>
              </w:rPr>
            </w:pPr>
            <w:r>
              <w:rPr>
                <w:rFonts w:hint="eastAsia"/>
                <w:color w:val="auto"/>
                <w:lang w:val="en-US" w:eastAsia="zh-CN"/>
              </w:rPr>
              <w:t>文件类型</w:t>
            </w:r>
          </w:p>
        </w:tc>
        <w:tc>
          <w:tcPr>
            <w:tcW w:w="659" w:type="pct"/>
            <w:vAlign w:val="center"/>
          </w:tcPr>
          <w:p w14:paraId="6C11D867">
            <w:pPr>
              <w:pStyle w:val="36"/>
              <w:bidi w:val="0"/>
              <w:jc w:val="center"/>
              <w:rPr>
                <w:rFonts w:hint="default"/>
                <w:color w:val="auto"/>
                <w:lang w:val="en-US" w:eastAsia="zh-CN"/>
              </w:rPr>
            </w:pPr>
            <w:r>
              <w:rPr>
                <w:rFonts w:hint="eastAsia"/>
                <w:color w:val="auto"/>
                <w:lang w:val="en-US" w:eastAsia="zh-CN"/>
              </w:rPr>
              <w:t>验收情况</w:t>
            </w:r>
          </w:p>
        </w:tc>
        <w:tc>
          <w:tcPr>
            <w:tcW w:w="458" w:type="pct"/>
            <w:vAlign w:val="center"/>
          </w:tcPr>
          <w:p w14:paraId="023BD48E">
            <w:pPr>
              <w:pStyle w:val="36"/>
              <w:bidi w:val="0"/>
              <w:jc w:val="center"/>
              <w:rPr>
                <w:rFonts w:hint="default"/>
                <w:color w:val="auto"/>
                <w:lang w:val="en-US" w:eastAsia="zh-CN"/>
              </w:rPr>
            </w:pPr>
            <w:r>
              <w:rPr>
                <w:rFonts w:hint="eastAsia"/>
                <w:color w:val="auto"/>
                <w:lang w:val="en-US" w:eastAsia="zh-CN"/>
              </w:rPr>
              <w:t>生产情况</w:t>
            </w:r>
          </w:p>
        </w:tc>
      </w:tr>
      <w:tr w14:paraId="1C8E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 w:type="pct"/>
            <w:vAlign w:val="center"/>
          </w:tcPr>
          <w:p w14:paraId="698A0CD8">
            <w:pPr>
              <w:pStyle w:val="26"/>
              <w:bidi w:val="0"/>
              <w:jc w:val="center"/>
              <w:rPr>
                <w:rFonts w:hint="eastAsia" w:eastAsia="仿宋_GB2312"/>
                <w:color w:val="auto"/>
                <w:lang w:val="en-US" w:eastAsia="zh-CN"/>
              </w:rPr>
            </w:pPr>
            <w:r>
              <w:rPr>
                <w:rFonts w:hint="eastAsia"/>
                <w:color w:val="auto"/>
                <w:lang w:val="en-US" w:eastAsia="zh-CN"/>
              </w:rPr>
              <w:t>1</w:t>
            </w:r>
          </w:p>
        </w:tc>
        <w:tc>
          <w:tcPr>
            <w:tcW w:w="729" w:type="pct"/>
            <w:vAlign w:val="center"/>
          </w:tcPr>
          <w:p w14:paraId="74E96809">
            <w:pPr>
              <w:pStyle w:val="26"/>
              <w:bidi w:val="0"/>
              <w:jc w:val="center"/>
              <w:rPr>
                <w:rFonts w:hint="eastAsia"/>
                <w:color w:val="auto"/>
              </w:rPr>
            </w:pPr>
            <w:r>
              <w:rPr>
                <w:rFonts w:hint="eastAsia"/>
                <w:color w:val="auto"/>
              </w:rPr>
              <w:t>昆山运城压纹制版有限公司年产2500支版辊建设项目</w:t>
            </w:r>
          </w:p>
        </w:tc>
        <w:tc>
          <w:tcPr>
            <w:tcW w:w="615" w:type="pct"/>
            <w:vAlign w:val="center"/>
          </w:tcPr>
          <w:p w14:paraId="65E9A8BC">
            <w:pPr>
              <w:pStyle w:val="26"/>
              <w:bidi w:val="0"/>
              <w:jc w:val="center"/>
            </w:pPr>
            <w:r>
              <w:t>昆环建</w:t>
            </w:r>
          </w:p>
          <w:p w14:paraId="25AFE6EB">
            <w:pPr>
              <w:pStyle w:val="26"/>
              <w:bidi w:val="0"/>
              <w:jc w:val="center"/>
              <w:rPr>
                <w:rFonts w:hint="eastAsia"/>
                <w:lang w:val="en-US" w:eastAsia="zh-CN"/>
              </w:rPr>
            </w:pPr>
            <w:r>
              <w:t>[</w:t>
            </w:r>
            <w:r>
              <w:fldChar w:fldCharType="begin"/>
            </w:r>
            <w:r>
              <w:instrText xml:space="preserve"> HYPERLINK \l "bookmark26" </w:instrText>
            </w:r>
            <w:r>
              <w:fldChar w:fldCharType="separate"/>
            </w:r>
            <w:r>
              <w:t>2003</w:t>
            </w:r>
            <w:r>
              <w:fldChar w:fldCharType="end"/>
            </w:r>
            <w:r>
              <w:t>]2648号、苏环建[</w:t>
            </w:r>
            <w:r>
              <w:fldChar w:fldCharType="begin"/>
            </w:r>
            <w:r>
              <w:instrText xml:space="preserve"> HYPERLINK \l "bookmark27" </w:instrText>
            </w:r>
            <w:r>
              <w:fldChar w:fldCharType="separate"/>
            </w:r>
            <w:r>
              <w:t>2004</w:t>
            </w:r>
            <w:r>
              <w:fldChar w:fldCharType="end"/>
            </w:r>
            <w:r>
              <w:t>]79号</w:t>
            </w:r>
            <w:r>
              <w:rPr>
                <w:rFonts w:hint="eastAsia"/>
                <w:lang w:val="en-US" w:eastAsia="zh-CN"/>
              </w:rPr>
              <w:t>/2004年2月</w:t>
            </w:r>
          </w:p>
          <w:p w14:paraId="48A0F6C7">
            <w:pPr>
              <w:pStyle w:val="26"/>
              <w:bidi w:val="0"/>
              <w:jc w:val="center"/>
              <w:rPr>
                <w:rFonts w:hint="eastAsia" w:eastAsia="仿宋_GB2312"/>
                <w:lang w:val="en-US" w:eastAsia="zh-CN"/>
              </w:rPr>
            </w:pPr>
            <w:r>
              <w:rPr>
                <w:rFonts w:hint="eastAsia"/>
                <w:lang w:val="en-US" w:eastAsia="zh-CN"/>
              </w:rPr>
              <w:t>5日</w:t>
            </w:r>
          </w:p>
        </w:tc>
        <w:tc>
          <w:tcPr>
            <w:tcW w:w="1347" w:type="pct"/>
            <w:vAlign w:val="center"/>
          </w:tcPr>
          <w:p w14:paraId="08A36F19">
            <w:pPr>
              <w:pStyle w:val="26"/>
              <w:bidi w:val="0"/>
              <w:jc w:val="center"/>
              <w:rPr>
                <w:rFonts w:hint="eastAsia"/>
              </w:rPr>
            </w:pPr>
            <w:r>
              <w:t>年生产压纹版辊 2500 支</w:t>
            </w:r>
          </w:p>
        </w:tc>
        <w:tc>
          <w:tcPr>
            <w:tcW w:w="548" w:type="pct"/>
            <w:vMerge w:val="restart"/>
            <w:vAlign w:val="center"/>
          </w:tcPr>
          <w:p w14:paraId="6087A3B6">
            <w:pPr>
              <w:pStyle w:val="26"/>
              <w:bidi w:val="0"/>
              <w:jc w:val="center"/>
              <w:rPr>
                <w:rFonts w:hint="default" w:eastAsia="仿宋_GB2312"/>
                <w:color w:val="auto"/>
                <w:lang w:val="en-US" w:eastAsia="zh-CN"/>
              </w:rPr>
            </w:pPr>
            <w:r>
              <w:rPr>
                <w:rFonts w:hint="default" w:eastAsia="仿宋_GB2312"/>
                <w:color w:val="auto"/>
                <w:lang w:val="en-US" w:eastAsia="zh-CN"/>
              </w:rPr>
              <w:t>已建成，与设计规模相同</w:t>
            </w:r>
          </w:p>
        </w:tc>
        <w:tc>
          <w:tcPr>
            <w:tcW w:w="441" w:type="pct"/>
            <w:vAlign w:val="center"/>
          </w:tcPr>
          <w:p w14:paraId="089ECB93">
            <w:pPr>
              <w:pStyle w:val="26"/>
              <w:bidi w:val="0"/>
              <w:jc w:val="center"/>
              <w:rPr>
                <w:rFonts w:hint="eastAsia"/>
                <w:color w:val="auto"/>
              </w:rPr>
            </w:pPr>
            <w:r>
              <w:rPr>
                <w:rFonts w:hint="eastAsia"/>
                <w:color w:val="auto"/>
              </w:rPr>
              <w:t>报告书</w:t>
            </w:r>
          </w:p>
        </w:tc>
        <w:tc>
          <w:tcPr>
            <w:tcW w:w="659" w:type="pct"/>
            <w:vMerge w:val="restart"/>
            <w:vAlign w:val="center"/>
          </w:tcPr>
          <w:p w14:paraId="03AC74FD">
            <w:pPr>
              <w:pStyle w:val="26"/>
              <w:bidi w:val="0"/>
              <w:jc w:val="center"/>
              <w:rPr>
                <w:rFonts w:hint="eastAsia"/>
                <w:color w:val="auto"/>
              </w:rPr>
            </w:pPr>
            <w:r>
              <w:rPr>
                <w:rFonts w:hint="eastAsia"/>
                <w:color w:val="auto"/>
              </w:rPr>
              <w:t>2016年12月30日，昆环验【2016】0451号</w:t>
            </w:r>
          </w:p>
        </w:tc>
        <w:tc>
          <w:tcPr>
            <w:tcW w:w="458" w:type="pct"/>
            <w:vMerge w:val="restart"/>
            <w:vAlign w:val="center"/>
          </w:tcPr>
          <w:p w14:paraId="1D7D0240">
            <w:pPr>
              <w:pStyle w:val="26"/>
              <w:bidi w:val="0"/>
              <w:jc w:val="center"/>
              <w:rPr>
                <w:rFonts w:hint="default" w:eastAsia="仿宋_GB2312"/>
                <w:color w:val="auto"/>
                <w:lang w:val="en-US" w:eastAsia="zh-CN"/>
              </w:rPr>
            </w:pPr>
            <w:r>
              <w:rPr>
                <w:rFonts w:hint="eastAsia"/>
                <w:color w:val="auto"/>
                <w:lang w:val="en-US" w:eastAsia="zh-CN"/>
              </w:rPr>
              <w:t>正常运行</w:t>
            </w:r>
          </w:p>
        </w:tc>
      </w:tr>
      <w:tr w14:paraId="158E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 w:type="pct"/>
            <w:vAlign w:val="center"/>
          </w:tcPr>
          <w:p w14:paraId="6D5593CF">
            <w:pPr>
              <w:pStyle w:val="26"/>
              <w:bidi w:val="0"/>
              <w:jc w:val="center"/>
              <w:rPr>
                <w:rFonts w:hint="eastAsia" w:eastAsia="仿宋_GB2312"/>
                <w:color w:val="auto"/>
                <w:lang w:val="en-US" w:eastAsia="zh-CN"/>
              </w:rPr>
            </w:pPr>
            <w:r>
              <w:rPr>
                <w:rFonts w:hint="eastAsia"/>
                <w:color w:val="auto"/>
                <w:lang w:val="en-US" w:eastAsia="zh-CN"/>
              </w:rPr>
              <w:t>2</w:t>
            </w:r>
          </w:p>
        </w:tc>
        <w:tc>
          <w:tcPr>
            <w:tcW w:w="729" w:type="pct"/>
            <w:vAlign w:val="center"/>
          </w:tcPr>
          <w:p w14:paraId="46D954F9">
            <w:pPr>
              <w:pStyle w:val="26"/>
              <w:bidi w:val="0"/>
              <w:jc w:val="center"/>
              <w:rPr>
                <w:rFonts w:hint="default" w:eastAsia="仿宋_GB2312"/>
                <w:color w:val="auto"/>
                <w:lang w:val="en-US" w:eastAsia="zh-CN"/>
              </w:rPr>
            </w:pPr>
            <w:r>
              <w:rPr>
                <w:rFonts w:hint="eastAsia"/>
                <w:color w:val="auto"/>
              </w:rPr>
              <w:t>昆山运城压纹制版有限公司年产2500支版辊项目</w:t>
            </w:r>
            <w:r>
              <w:rPr>
                <w:rFonts w:hint="eastAsia"/>
                <w:color w:val="auto"/>
                <w:lang w:val="en-US" w:eastAsia="zh-CN"/>
              </w:rPr>
              <w:t>环境影响修编建设项目</w:t>
            </w:r>
          </w:p>
        </w:tc>
        <w:tc>
          <w:tcPr>
            <w:tcW w:w="615" w:type="pct"/>
            <w:vAlign w:val="center"/>
          </w:tcPr>
          <w:p w14:paraId="22F475E3">
            <w:pPr>
              <w:pStyle w:val="26"/>
              <w:bidi w:val="0"/>
              <w:jc w:val="center"/>
            </w:pPr>
            <w:r>
              <w:t>昆环建</w:t>
            </w:r>
          </w:p>
          <w:p w14:paraId="6E6DFEF6">
            <w:pPr>
              <w:pStyle w:val="26"/>
              <w:bidi w:val="0"/>
              <w:jc w:val="center"/>
              <w:rPr>
                <w:rFonts w:hint="eastAsia"/>
                <w:lang w:val="en-US" w:eastAsia="zh-CN"/>
              </w:rPr>
            </w:pPr>
            <w:r>
              <w:t>[</w:t>
            </w:r>
            <w:r>
              <w:fldChar w:fldCharType="begin"/>
            </w:r>
            <w:r>
              <w:instrText xml:space="preserve"> HYPERLINK \l "bookmark28" </w:instrText>
            </w:r>
            <w:r>
              <w:fldChar w:fldCharType="separate"/>
            </w:r>
            <w:r>
              <w:t>2014</w:t>
            </w:r>
            <w:r>
              <w:fldChar w:fldCharType="end"/>
            </w:r>
            <w:r>
              <w:t>]2733号</w:t>
            </w:r>
            <w:r>
              <w:rPr>
                <w:rFonts w:hint="eastAsia"/>
                <w:lang w:val="en-US" w:eastAsia="zh-CN"/>
              </w:rPr>
              <w:t>/2014年11月</w:t>
            </w:r>
          </w:p>
          <w:p w14:paraId="6DABD1E6">
            <w:pPr>
              <w:pStyle w:val="26"/>
              <w:bidi w:val="0"/>
              <w:jc w:val="center"/>
              <w:rPr>
                <w:rFonts w:hint="eastAsia" w:eastAsia="仿宋_GB2312"/>
                <w:lang w:val="en-US" w:eastAsia="zh-CN"/>
              </w:rPr>
            </w:pPr>
            <w:r>
              <w:rPr>
                <w:rFonts w:hint="eastAsia"/>
                <w:lang w:val="en-US" w:eastAsia="zh-CN"/>
              </w:rPr>
              <w:t>18日</w:t>
            </w:r>
          </w:p>
        </w:tc>
        <w:tc>
          <w:tcPr>
            <w:tcW w:w="1347" w:type="pct"/>
            <w:vAlign w:val="center"/>
          </w:tcPr>
          <w:p w14:paraId="1540A70D">
            <w:pPr>
              <w:pStyle w:val="26"/>
              <w:bidi w:val="0"/>
              <w:jc w:val="center"/>
              <w:rPr>
                <w:rFonts w:hint="eastAsia"/>
                <w:lang w:eastAsia="zh-CN"/>
              </w:rPr>
            </w:pPr>
            <w:r>
              <w:t>对原环评有关固废部分进行修编说明，本次修编不涉及生产规模及生产工艺调整，仅就原申报环评中与实际不符的内容进行修编，按照《国家危险废物名录（2008 版）》重新进行了编号，并根据危险废物类别分别委托有资质单位进行处置。</w:t>
            </w:r>
          </w:p>
        </w:tc>
        <w:tc>
          <w:tcPr>
            <w:tcW w:w="548" w:type="pct"/>
            <w:vMerge w:val="continue"/>
            <w:vAlign w:val="center"/>
          </w:tcPr>
          <w:p w14:paraId="78991E24">
            <w:pPr>
              <w:pStyle w:val="26"/>
              <w:bidi w:val="0"/>
              <w:jc w:val="center"/>
              <w:rPr>
                <w:rFonts w:hint="default"/>
                <w:lang w:val="en-US" w:eastAsia="zh-CN"/>
              </w:rPr>
            </w:pPr>
          </w:p>
        </w:tc>
        <w:tc>
          <w:tcPr>
            <w:tcW w:w="441" w:type="pct"/>
            <w:vAlign w:val="center"/>
          </w:tcPr>
          <w:p w14:paraId="5A5581C4">
            <w:pPr>
              <w:pStyle w:val="26"/>
              <w:bidi w:val="0"/>
              <w:jc w:val="center"/>
              <w:rPr>
                <w:rFonts w:hint="eastAsia" w:eastAsia="仿宋_GB2312"/>
                <w:color w:val="auto"/>
                <w:lang w:val="en-US" w:eastAsia="zh-CN"/>
              </w:rPr>
            </w:pPr>
            <w:r>
              <w:rPr>
                <w:rFonts w:hint="eastAsia"/>
                <w:color w:val="auto"/>
                <w:lang w:val="en-US" w:eastAsia="zh-CN"/>
              </w:rPr>
              <w:t>报告表</w:t>
            </w:r>
          </w:p>
        </w:tc>
        <w:tc>
          <w:tcPr>
            <w:tcW w:w="659" w:type="pct"/>
            <w:vMerge w:val="continue"/>
            <w:vAlign w:val="center"/>
          </w:tcPr>
          <w:p w14:paraId="756C930A">
            <w:pPr>
              <w:pStyle w:val="26"/>
              <w:bidi w:val="0"/>
              <w:jc w:val="center"/>
              <w:rPr>
                <w:rFonts w:hint="eastAsia"/>
                <w:color w:val="auto"/>
              </w:rPr>
            </w:pPr>
          </w:p>
        </w:tc>
        <w:tc>
          <w:tcPr>
            <w:tcW w:w="458" w:type="pct"/>
            <w:vMerge w:val="continue"/>
            <w:vAlign w:val="center"/>
          </w:tcPr>
          <w:p w14:paraId="6F76D14B">
            <w:pPr>
              <w:pStyle w:val="26"/>
              <w:bidi w:val="0"/>
              <w:jc w:val="center"/>
              <w:rPr>
                <w:rFonts w:hint="default" w:eastAsia="仿宋_GB2312"/>
                <w:color w:val="auto"/>
                <w:lang w:val="en-US" w:eastAsia="zh-CN"/>
              </w:rPr>
            </w:pPr>
          </w:p>
        </w:tc>
      </w:tr>
      <w:tr w14:paraId="2BD4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 w:type="pct"/>
            <w:vAlign w:val="center"/>
          </w:tcPr>
          <w:p w14:paraId="5E11E2CF">
            <w:pPr>
              <w:pStyle w:val="26"/>
              <w:bidi w:val="0"/>
              <w:jc w:val="center"/>
              <w:rPr>
                <w:rFonts w:hint="eastAsia" w:eastAsia="仿宋_GB2312"/>
                <w:color w:val="auto"/>
                <w:lang w:val="en-US" w:eastAsia="zh-CN"/>
              </w:rPr>
            </w:pPr>
            <w:r>
              <w:rPr>
                <w:rFonts w:hint="eastAsia"/>
                <w:color w:val="auto"/>
                <w:lang w:val="en-US" w:eastAsia="zh-CN"/>
              </w:rPr>
              <w:t>3</w:t>
            </w:r>
          </w:p>
        </w:tc>
        <w:tc>
          <w:tcPr>
            <w:tcW w:w="729" w:type="pct"/>
            <w:vAlign w:val="center"/>
          </w:tcPr>
          <w:p w14:paraId="1B083E1B">
            <w:pPr>
              <w:pStyle w:val="26"/>
              <w:bidi w:val="0"/>
              <w:jc w:val="center"/>
              <w:rPr>
                <w:rFonts w:hint="default"/>
                <w:color w:val="auto"/>
                <w:lang w:val="en-US"/>
              </w:rPr>
            </w:pPr>
            <w:r>
              <w:rPr>
                <w:rFonts w:hint="eastAsia"/>
                <w:color w:val="auto"/>
              </w:rPr>
              <w:t>昆山运城压纹制版有限公司年产2500支版辊项目</w:t>
            </w:r>
            <w:r>
              <w:rPr>
                <w:rFonts w:hint="eastAsia"/>
                <w:color w:val="auto"/>
                <w:lang w:val="en-US" w:eastAsia="zh-CN"/>
              </w:rPr>
              <w:t>环境影响报告书修编报告</w:t>
            </w:r>
          </w:p>
        </w:tc>
        <w:tc>
          <w:tcPr>
            <w:tcW w:w="615" w:type="pct"/>
            <w:vAlign w:val="center"/>
          </w:tcPr>
          <w:p w14:paraId="01840FAC">
            <w:pPr>
              <w:pStyle w:val="26"/>
              <w:bidi w:val="0"/>
              <w:jc w:val="center"/>
            </w:pPr>
            <w:r>
              <w:t>昆环建</w:t>
            </w:r>
          </w:p>
          <w:p w14:paraId="2D50D474">
            <w:pPr>
              <w:pStyle w:val="26"/>
              <w:bidi w:val="0"/>
              <w:jc w:val="center"/>
              <w:rPr>
                <w:rFonts w:hint="eastAsia"/>
                <w:lang w:val="en-US" w:eastAsia="zh-CN"/>
              </w:rPr>
            </w:pPr>
            <w:r>
              <w:t>[</w:t>
            </w:r>
            <w:r>
              <w:fldChar w:fldCharType="begin"/>
            </w:r>
            <w:r>
              <w:instrText xml:space="preserve"> HYPERLINK \l "bookmark29" </w:instrText>
            </w:r>
            <w:r>
              <w:fldChar w:fldCharType="separate"/>
            </w:r>
            <w:r>
              <w:t>2015</w:t>
            </w:r>
            <w:r>
              <w:fldChar w:fldCharType="end"/>
            </w:r>
            <w:r>
              <w:t>]2645号</w:t>
            </w:r>
            <w:r>
              <w:rPr>
                <w:rFonts w:hint="eastAsia"/>
                <w:lang w:val="en-US" w:eastAsia="zh-CN"/>
              </w:rPr>
              <w:t>/2015年12月</w:t>
            </w:r>
          </w:p>
          <w:p w14:paraId="4A9A07A5">
            <w:pPr>
              <w:pStyle w:val="26"/>
              <w:bidi w:val="0"/>
              <w:jc w:val="center"/>
              <w:rPr>
                <w:rFonts w:hint="eastAsia" w:eastAsia="仿宋_GB2312"/>
                <w:lang w:val="en-US" w:eastAsia="zh-CN"/>
              </w:rPr>
            </w:pPr>
            <w:r>
              <w:rPr>
                <w:rFonts w:hint="eastAsia"/>
                <w:lang w:val="en-US" w:eastAsia="zh-CN"/>
              </w:rPr>
              <w:t>7日</w:t>
            </w:r>
          </w:p>
        </w:tc>
        <w:tc>
          <w:tcPr>
            <w:tcW w:w="1347" w:type="pct"/>
            <w:vAlign w:val="center"/>
          </w:tcPr>
          <w:p w14:paraId="42A43BFB">
            <w:pPr>
              <w:pStyle w:val="26"/>
              <w:bidi w:val="0"/>
              <w:jc w:val="center"/>
              <w:rPr>
                <w:rFonts w:hint="default"/>
                <w:lang w:val="en-US" w:eastAsia="zh-CN"/>
              </w:rPr>
            </w:pPr>
            <w:r>
              <w:t>原环评有关固废部分进行修编，主要是按照《国家危险废物名录（2008 版）》重新进行了编号，并根据危险废物类别分别委托有资质单位进行处置，变更后企业危险废物产生总量为 52 吨/年，主要为含铬污泥（HW21）8 吨/年、含铜污泥（HW22）4 吨/年、含镍废液（HW17）10 吨/年、废乳化液（HW09）及废抹布（HW49）1 吨/年、废三氯化铁液（HW22）29 吨/年</w:t>
            </w:r>
          </w:p>
        </w:tc>
        <w:tc>
          <w:tcPr>
            <w:tcW w:w="548" w:type="pct"/>
            <w:vMerge w:val="continue"/>
            <w:vAlign w:val="center"/>
          </w:tcPr>
          <w:p w14:paraId="747B82AF">
            <w:pPr>
              <w:pStyle w:val="26"/>
              <w:bidi w:val="0"/>
              <w:jc w:val="center"/>
              <w:rPr>
                <w:rFonts w:hint="eastAsia"/>
              </w:rPr>
            </w:pPr>
          </w:p>
        </w:tc>
        <w:tc>
          <w:tcPr>
            <w:tcW w:w="441" w:type="pct"/>
            <w:vAlign w:val="center"/>
          </w:tcPr>
          <w:p w14:paraId="2223733E">
            <w:pPr>
              <w:pStyle w:val="26"/>
              <w:bidi w:val="0"/>
              <w:jc w:val="center"/>
              <w:rPr>
                <w:rFonts w:hint="default"/>
                <w:color w:val="auto"/>
                <w:lang w:val="en-US"/>
              </w:rPr>
            </w:pPr>
            <w:r>
              <w:rPr>
                <w:rFonts w:hint="eastAsia"/>
                <w:color w:val="auto"/>
                <w:lang w:val="en-US" w:eastAsia="zh-CN"/>
              </w:rPr>
              <w:t>报告表</w:t>
            </w:r>
          </w:p>
        </w:tc>
        <w:tc>
          <w:tcPr>
            <w:tcW w:w="659" w:type="pct"/>
            <w:vMerge w:val="continue"/>
            <w:vAlign w:val="center"/>
          </w:tcPr>
          <w:p w14:paraId="34F000CB">
            <w:pPr>
              <w:pStyle w:val="26"/>
              <w:bidi w:val="0"/>
              <w:jc w:val="center"/>
              <w:rPr>
                <w:rFonts w:hint="eastAsia" w:eastAsia="仿宋_GB2312"/>
                <w:color w:val="auto"/>
                <w:lang w:eastAsia="zh-CN"/>
              </w:rPr>
            </w:pPr>
          </w:p>
        </w:tc>
        <w:tc>
          <w:tcPr>
            <w:tcW w:w="458" w:type="pct"/>
            <w:vMerge w:val="continue"/>
            <w:vAlign w:val="center"/>
          </w:tcPr>
          <w:p w14:paraId="485CB7FA">
            <w:pPr>
              <w:pStyle w:val="26"/>
              <w:bidi w:val="0"/>
              <w:jc w:val="center"/>
              <w:rPr>
                <w:rFonts w:hint="eastAsia"/>
                <w:color w:val="auto"/>
              </w:rPr>
            </w:pPr>
          </w:p>
        </w:tc>
      </w:tr>
      <w:tr w14:paraId="45BC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99" w:type="pct"/>
            <w:vAlign w:val="center"/>
          </w:tcPr>
          <w:p w14:paraId="3EFECEAE">
            <w:pPr>
              <w:pStyle w:val="26"/>
              <w:bidi w:val="0"/>
              <w:jc w:val="center"/>
              <w:rPr>
                <w:rFonts w:hint="eastAsia" w:eastAsia="仿宋_GB2312"/>
                <w:color w:val="auto"/>
                <w:lang w:val="en-US" w:eastAsia="zh-CN"/>
              </w:rPr>
            </w:pPr>
            <w:r>
              <w:rPr>
                <w:rFonts w:hint="eastAsia"/>
                <w:color w:val="auto"/>
                <w:lang w:val="en-US" w:eastAsia="zh-CN"/>
              </w:rPr>
              <w:t>4</w:t>
            </w:r>
          </w:p>
        </w:tc>
        <w:tc>
          <w:tcPr>
            <w:tcW w:w="729" w:type="pct"/>
            <w:vAlign w:val="center"/>
          </w:tcPr>
          <w:p w14:paraId="1348E8EB">
            <w:pPr>
              <w:pStyle w:val="26"/>
              <w:bidi w:val="0"/>
              <w:jc w:val="center"/>
              <w:rPr>
                <w:rFonts w:hint="default" w:eastAsia="仿宋_GB2312"/>
                <w:color w:val="auto"/>
                <w:lang w:val="en-US" w:eastAsia="zh-CN"/>
              </w:rPr>
            </w:pPr>
            <w:r>
              <w:rPr>
                <w:rFonts w:hint="eastAsia"/>
                <w:color w:val="auto"/>
              </w:rPr>
              <w:t>昆山运城压纹制版有限公司</w:t>
            </w:r>
            <w:r>
              <w:rPr>
                <w:rFonts w:hint="eastAsia"/>
                <w:color w:val="auto"/>
                <w:lang w:val="en-US" w:eastAsia="zh-CN"/>
              </w:rPr>
              <w:t>技改项目</w:t>
            </w:r>
          </w:p>
        </w:tc>
        <w:tc>
          <w:tcPr>
            <w:tcW w:w="615" w:type="pct"/>
            <w:vAlign w:val="center"/>
          </w:tcPr>
          <w:p w14:paraId="2EBC6293">
            <w:pPr>
              <w:pStyle w:val="26"/>
              <w:bidi w:val="0"/>
              <w:jc w:val="center"/>
            </w:pPr>
            <w:r>
              <w:t>昆环建</w:t>
            </w:r>
          </w:p>
          <w:p w14:paraId="2B98436D">
            <w:pPr>
              <w:pStyle w:val="26"/>
              <w:bidi w:val="0"/>
              <w:jc w:val="center"/>
              <w:rPr>
                <w:rFonts w:hint="eastAsia"/>
                <w:lang w:val="en-US" w:eastAsia="zh-CN"/>
              </w:rPr>
            </w:pPr>
            <w:r>
              <w:t>[</w:t>
            </w:r>
            <w:r>
              <w:fldChar w:fldCharType="begin"/>
            </w:r>
            <w:r>
              <w:instrText xml:space="preserve"> HYPERLINK \l "bookmark30" </w:instrText>
            </w:r>
            <w:r>
              <w:fldChar w:fldCharType="separate"/>
            </w:r>
            <w:r>
              <w:t>2019</w:t>
            </w:r>
            <w:r>
              <w:fldChar w:fldCharType="end"/>
            </w:r>
            <w:r>
              <w:t>]2283号</w:t>
            </w:r>
            <w:r>
              <w:rPr>
                <w:rFonts w:hint="eastAsia"/>
                <w:lang w:val="en-US" w:eastAsia="zh-CN"/>
              </w:rPr>
              <w:t>/2019年10月</w:t>
            </w:r>
          </w:p>
          <w:p w14:paraId="10E0B545">
            <w:pPr>
              <w:pStyle w:val="26"/>
              <w:bidi w:val="0"/>
              <w:jc w:val="center"/>
              <w:rPr>
                <w:rFonts w:hint="eastAsia" w:eastAsia="仿宋_GB2312"/>
                <w:lang w:val="en-US" w:eastAsia="zh-CN"/>
              </w:rPr>
            </w:pPr>
            <w:r>
              <w:rPr>
                <w:rFonts w:hint="eastAsia"/>
                <w:lang w:val="en-US" w:eastAsia="zh-CN"/>
              </w:rPr>
              <w:t>14日</w:t>
            </w:r>
          </w:p>
        </w:tc>
        <w:tc>
          <w:tcPr>
            <w:tcW w:w="1347" w:type="pct"/>
            <w:vAlign w:val="center"/>
          </w:tcPr>
          <w:p w14:paraId="65F6F355">
            <w:pPr>
              <w:pStyle w:val="26"/>
              <w:bidi w:val="0"/>
              <w:jc w:val="center"/>
            </w:pPr>
            <w:r>
              <w:t>增加喷砂工艺及部分加工设备对现有激光雕刻生产线进行改造，</w:t>
            </w:r>
          </w:p>
          <w:p w14:paraId="2417F58D">
            <w:pPr>
              <w:pStyle w:val="26"/>
              <w:bidi w:val="0"/>
              <w:jc w:val="center"/>
            </w:pPr>
            <w:r>
              <w:t>另外企业原项目生产废水经中水回用系统“物化+RO ”处理后回</w:t>
            </w:r>
          </w:p>
          <w:p w14:paraId="20E8CEC7">
            <w:pPr>
              <w:pStyle w:val="26"/>
              <w:bidi w:val="0"/>
              <w:jc w:val="center"/>
            </w:pPr>
            <w:r>
              <w:t>用于生产作清洗用水不外排。现为提高回用水水质，并增强回用</w:t>
            </w:r>
          </w:p>
          <w:p w14:paraId="6FC3DFE6">
            <w:pPr>
              <w:pStyle w:val="26"/>
              <w:bidi w:val="0"/>
              <w:jc w:val="center"/>
            </w:pPr>
            <w:r>
              <w:t>水效率，拟对原中水回用系统进行技术改造，使用MVR 蒸发器</w:t>
            </w:r>
          </w:p>
          <w:p w14:paraId="7C734F9B">
            <w:pPr>
              <w:pStyle w:val="26"/>
              <w:bidi w:val="0"/>
              <w:jc w:val="center"/>
              <w:rPr>
                <w:rFonts w:hint="eastAsia"/>
                <w:lang w:val="en-US" w:eastAsia="zh-CN"/>
              </w:rPr>
            </w:pPr>
            <w:r>
              <w:t>回用系统替换原有 RO 回用系统。</w:t>
            </w:r>
          </w:p>
        </w:tc>
        <w:tc>
          <w:tcPr>
            <w:tcW w:w="548" w:type="pct"/>
            <w:vAlign w:val="center"/>
          </w:tcPr>
          <w:p w14:paraId="1419BB9B">
            <w:pPr>
              <w:pStyle w:val="26"/>
              <w:bidi w:val="0"/>
              <w:jc w:val="center"/>
              <w:rPr>
                <w:rFonts w:hint="eastAsia" w:eastAsia="仿宋_GB2312"/>
                <w:color w:val="auto"/>
                <w:lang w:val="en-US" w:eastAsia="zh-CN"/>
              </w:rPr>
            </w:pPr>
            <w:r>
              <w:rPr>
                <w:rFonts w:hint="eastAsia" w:eastAsia="仿宋_GB2312"/>
                <w:color w:val="auto"/>
                <w:lang w:val="en-US" w:eastAsia="zh-CN"/>
              </w:rPr>
              <w:t>已建成，与设计规模相同</w:t>
            </w:r>
          </w:p>
        </w:tc>
        <w:tc>
          <w:tcPr>
            <w:tcW w:w="441" w:type="pct"/>
            <w:vAlign w:val="center"/>
          </w:tcPr>
          <w:p w14:paraId="71664842">
            <w:pPr>
              <w:pStyle w:val="26"/>
              <w:bidi w:val="0"/>
              <w:jc w:val="center"/>
              <w:rPr>
                <w:rFonts w:hint="eastAsia"/>
                <w:color w:val="auto"/>
              </w:rPr>
            </w:pPr>
            <w:r>
              <w:rPr>
                <w:rFonts w:hint="eastAsia"/>
                <w:color w:val="auto"/>
                <w:lang w:val="en-US" w:eastAsia="zh-CN"/>
              </w:rPr>
              <w:t>报告表</w:t>
            </w:r>
          </w:p>
        </w:tc>
        <w:tc>
          <w:tcPr>
            <w:tcW w:w="659" w:type="pct"/>
            <w:vAlign w:val="center"/>
          </w:tcPr>
          <w:p w14:paraId="7D2E089F">
            <w:pPr>
              <w:pStyle w:val="26"/>
              <w:bidi w:val="0"/>
              <w:jc w:val="center"/>
              <w:rPr>
                <w:rFonts w:hint="eastAsia"/>
                <w:color w:val="auto"/>
              </w:rPr>
            </w:pPr>
            <w:r>
              <w:rPr>
                <w:rFonts w:hint="eastAsia"/>
                <w:color w:val="auto"/>
              </w:rPr>
              <w:t>废气、废水2020年2月完成自主验收；</w:t>
            </w:r>
          </w:p>
          <w:p w14:paraId="698C8317">
            <w:pPr>
              <w:pStyle w:val="26"/>
              <w:bidi w:val="0"/>
              <w:jc w:val="center"/>
              <w:rPr>
                <w:rFonts w:hint="eastAsia"/>
                <w:color w:val="auto"/>
              </w:rPr>
            </w:pPr>
            <w:r>
              <w:rPr>
                <w:rFonts w:hint="eastAsia"/>
                <w:color w:val="auto"/>
              </w:rPr>
              <w:t>固废验收批复号苏行审环验[2020]40148号</w:t>
            </w:r>
          </w:p>
        </w:tc>
        <w:tc>
          <w:tcPr>
            <w:tcW w:w="458" w:type="pct"/>
            <w:vAlign w:val="center"/>
          </w:tcPr>
          <w:p w14:paraId="684CE65C">
            <w:pPr>
              <w:pStyle w:val="26"/>
              <w:bidi w:val="0"/>
              <w:jc w:val="center"/>
              <w:rPr>
                <w:rFonts w:hint="eastAsia" w:eastAsia="仿宋_GB2312"/>
                <w:color w:val="auto"/>
                <w:lang w:val="en-US" w:eastAsia="zh-CN"/>
              </w:rPr>
            </w:pPr>
            <w:r>
              <w:rPr>
                <w:rFonts w:hint="eastAsia"/>
                <w:color w:val="auto"/>
                <w:lang w:val="en-US" w:eastAsia="zh-CN"/>
              </w:rPr>
              <w:t>正常运行</w:t>
            </w:r>
          </w:p>
        </w:tc>
      </w:tr>
      <w:tr w14:paraId="1336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 w:type="pct"/>
            <w:vAlign w:val="center"/>
          </w:tcPr>
          <w:p w14:paraId="7FB1C7CC">
            <w:pPr>
              <w:pStyle w:val="26"/>
              <w:bidi w:val="0"/>
              <w:jc w:val="center"/>
              <w:rPr>
                <w:rFonts w:hint="eastAsia" w:eastAsia="仿宋_GB2312"/>
                <w:color w:val="auto"/>
                <w:lang w:val="en-US" w:eastAsia="zh-CN"/>
              </w:rPr>
            </w:pPr>
            <w:r>
              <w:rPr>
                <w:rFonts w:hint="eastAsia"/>
                <w:color w:val="auto"/>
                <w:lang w:val="en-US" w:eastAsia="zh-CN"/>
              </w:rPr>
              <w:t>5</w:t>
            </w:r>
          </w:p>
        </w:tc>
        <w:tc>
          <w:tcPr>
            <w:tcW w:w="729" w:type="pct"/>
            <w:vAlign w:val="center"/>
          </w:tcPr>
          <w:p w14:paraId="4C82F449">
            <w:pPr>
              <w:pStyle w:val="26"/>
              <w:bidi w:val="0"/>
              <w:jc w:val="center"/>
              <w:rPr>
                <w:rFonts w:hint="eastAsia"/>
                <w:color w:val="auto"/>
              </w:rPr>
            </w:pPr>
            <w:r>
              <w:rPr>
                <w:rFonts w:hint="eastAsia"/>
                <w:color w:val="auto"/>
              </w:rPr>
              <w:t>昆山运城压纹制版有限公司激光雕刻绿色智能化生产线项目</w:t>
            </w:r>
          </w:p>
        </w:tc>
        <w:tc>
          <w:tcPr>
            <w:tcW w:w="615" w:type="pct"/>
            <w:vAlign w:val="center"/>
          </w:tcPr>
          <w:p w14:paraId="3DCFEF81">
            <w:pPr>
              <w:pStyle w:val="26"/>
              <w:bidi w:val="0"/>
              <w:jc w:val="center"/>
              <w:rPr>
                <w:rFonts w:hint="default"/>
                <w:lang w:val="en-US" w:eastAsia="zh-CN"/>
              </w:rPr>
            </w:pPr>
            <w:r>
              <w:rPr>
                <w:rFonts w:hint="eastAsia"/>
                <w:lang w:val="en-US" w:eastAsia="zh-CN"/>
              </w:rPr>
              <w:t>苏环建〔2024〕83第0222号/2024年11月2日</w:t>
            </w:r>
          </w:p>
        </w:tc>
        <w:tc>
          <w:tcPr>
            <w:tcW w:w="1347" w:type="pct"/>
            <w:vAlign w:val="center"/>
          </w:tcPr>
          <w:p w14:paraId="6D7AD798">
            <w:pPr>
              <w:pStyle w:val="26"/>
              <w:bidi w:val="0"/>
              <w:jc w:val="center"/>
              <w:rPr>
                <w:rFonts w:hint="default" w:eastAsia="仿宋_GB2312"/>
                <w:color w:val="auto"/>
                <w:lang w:val="en-US" w:eastAsia="zh-CN"/>
              </w:rPr>
            </w:pPr>
            <w:r>
              <w:rPr>
                <w:rFonts w:hint="default" w:eastAsia="仿宋_GB2312"/>
                <w:color w:val="auto"/>
                <w:lang w:val="en-US" w:eastAsia="zh-CN"/>
              </w:rPr>
              <w:t>通过优化电镀线自动化程度，提高单个产品的生产效率，同时新增微精版的生产。此次技改扩建完成后，全厂年产压纹版辊3250支、微精版8500支</w:t>
            </w:r>
          </w:p>
        </w:tc>
        <w:tc>
          <w:tcPr>
            <w:tcW w:w="548" w:type="pct"/>
            <w:vAlign w:val="center"/>
          </w:tcPr>
          <w:p w14:paraId="7C2DA361">
            <w:pPr>
              <w:pStyle w:val="26"/>
              <w:bidi w:val="0"/>
              <w:jc w:val="center"/>
              <w:rPr>
                <w:rFonts w:hint="eastAsia"/>
                <w:color w:val="auto"/>
              </w:rPr>
            </w:pPr>
            <w:r>
              <w:rPr>
                <w:rFonts w:hint="default" w:eastAsia="仿宋_GB2312"/>
                <w:color w:val="auto"/>
                <w:lang w:val="en-US" w:eastAsia="zh-CN"/>
              </w:rPr>
              <w:t>已建成，与设计规模相同</w:t>
            </w:r>
          </w:p>
        </w:tc>
        <w:tc>
          <w:tcPr>
            <w:tcW w:w="441" w:type="pct"/>
            <w:vAlign w:val="center"/>
          </w:tcPr>
          <w:p w14:paraId="612281D8">
            <w:pPr>
              <w:pStyle w:val="26"/>
              <w:bidi w:val="0"/>
              <w:jc w:val="center"/>
              <w:rPr>
                <w:rFonts w:hint="default" w:eastAsia="仿宋_GB2312"/>
                <w:color w:val="auto"/>
                <w:lang w:val="en-US" w:eastAsia="zh-CN"/>
              </w:rPr>
            </w:pPr>
            <w:r>
              <w:rPr>
                <w:rFonts w:hint="eastAsia"/>
                <w:color w:val="auto"/>
              </w:rPr>
              <w:t>报告书</w:t>
            </w:r>
          </w:p>
        </w:tc>
        <w:tc>
          <w:tcPr>
            <w:tcW w:w="659" w:type="pct"/>
            <w:vAlign w:val="center"/>
          </w:tcPr>
          <w:p w14:paraId="62121CC0">
            <w:pPr>
              <w:pStyle w:val="26"/>
              <w:bidi w:val="0"/>
              <w:jc w:val="center"/>
              <w:rPr>
                <w:rFonts w:hint="eastAsia" w:eastAsia="仿宋_GB2312"/>
                <w:color w:val="auto"/>
                <w:lang w:val="en-US" w:eastAsia="zh-CN"/>
              </w:rPr>
            </w:pPr>
            <w:r>
              <w:rPr>
                <w:rFonts w:hint="eastAsia" w:eastAsia="仿宋_GB2312"/>
                <w:color w:val="auto"/>
                <w:lang w:val="en-US" w:eastAsia="zh-CN"/>
              </w:rPr>
              <w:t>2025</w:t>
            </w:r>
            <w:r>
              <w:rPr>
                <w:rFonts w:hint="eastAsia" w:eastAsia="仿宋_GB2312"/>
                <w:color w:val="auto"/>
                <w:highlight w:val="none"/>
                <w:lang w:val="en-US" w:eastAsia="zh-CN"/>
              </w:rPr>
              <w:t>年9月完成</w:t>
            </w:r>
            <w:r>
              <w:rPr>
                <w:rFonts w:hint="eastAsia"/>
                <w:color w:val="auto"/>
                <w:highlight w:val="none"/>
                <w:lang w:val="en-US" w:eastAsia="zh-CN"/>
              </w:rPr>
              <w:t>一阶段</w:t>
            </w:r>
            <w:r>
              <w:rPr>
                <w:rFonts w:hint="eastAsia" w:eastAsia="仿宋_GB2312"/>
                <w:color w:val="auto"/>
                <w:highlight w:val="none"/>
                <w:lang w:val="en-US" w:eastAsia="zh-CN"/>
              </w:rPr>
              <w:t>自主验收</w:t>
            </w:r>
          </w:p>
        </w:tc>
        <w:tc>
          <w:tcPr>
            <w:tcW w:w="458" w:type="pct"/>
            <w:vAlign w:val="center"/>
          </w:tcPr>
          <w:p w14:paraId="37956BF5">
            <w:pPr>
              <w:pStyle w:val="26"/>
              <w:bidi w:val="0"/>
              <w:jc w:val="center"/>
              <w:rPr>
                <w:rFonts w:hint="eastAsia"/>
                <w:color w:val="auto"/>
              </w:rPr>
            </w:pPr>
            <w:r>
              <w:rPr>
                <w:rFonts w:hint="eastAsia"/>
                <w:color w:val="auto"/>
                <w:lang w:val="en-US" w:eastAsia="zh-CN"/>
              </w:rPr>
              <w:t>正常运行</w:t>
            </w:r>
          </w:p>
        </w:tc>
      </w:tr>
    </w:tbl>
    <w:p w14:paraId="2272D048">
      <w:pPr>
        <w:pStyle w:val="28"/>
        <w:rPr>
          <w:rFonts w:hint="eastAsia"/>
          <w:color w:val="auto"/>
        </w:rPr>
      </w:pPr>
    </w:p>
    <w:p w14:paraId="66D88226">
      <w:pPr>
        <w:pStyle w:val="28"/>
        <w:rPr>
          <w:rFonts w:hint="eastAsia"/>
          <w:color w:val="auto"/>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795512C7">
      <w:pPr>
        <w:pStyle w:val="4"/>
        <w:rPr>
          <w:color w:val="auto"/>
        </w:rPr>
      </w:pPr>
      <w:bookmarkStart w:id="106" w:name="_Toc16790"/>
      <w:bookmarkStart w:id="107" w:name="_Toc11679"/>
      <w:bookmarkStart w:id="108" w:name="_Toc19136"/>
      <w:r>
        <w:rPr>
          <w:rFonts w:hint="eastAsia"/>
          <w:color w:val="auto"/>
        </w:rPr>
        <w:t>主体工程及产品方案</w:t>
      </w:r>
      <w:bookmarkEnd w:id="106"/>
      <w:bookmarkEnd w:id="107"/>
      <w:bookmarkEnd w:id="108"/>
    </w:p>
    <w:p w14:paraId="279934CB">
      <w:pPr>
        <w:rPr>
          <w:rFonts w:hint="eastAsia"/>
          <w:color w:val="auto"/>
        </w:rPr>
      </w:pPr>
      <w:r>
        <w:rPr>
          <w:rFonts w:hint="eastAsia"/>
          <w:color w:val="auto"/>
        </w:rPr>
        <w:t>根据企业现有项目实际情况，现状产品方案详见</w:t>
      </w:r>
      <w:r>
        <w:rPr>
          <w:rFonts w:hint="eastAsia" w:ascii="Times New Roman" w:eastAsia="仿宋_GB2312"/>
          <w:color w:val="auto"/>
          <w:lang w:val="en-US" w:eastAsia="zh-CN"/>
        </w:rPr>
        <w:t>下表</w:t>
      </w:r>
      <w:r>
        <w:rPr>
          <w:rFonts w:hint="eastAsia"/>
          <w:color w:val="auto"/>
        </w:rPr>
        <w:t>。</w:t>
      </w:r>
    </w:p>
    <w:p w14:paraId="7BC5D2D4">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3.1</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2</w:t>
      </w:r>
      <w:r>
        <w:rPr>
          <w:color w:val="auto"/>
          <w:lang w:val="en-US" w:eastAsia="zh-CN"/>
        </w:rPr>
        <w:fldChar w:fldCharType="end"/>
      </w:r>
      <w:r>
        <w:rPr>
          <w:rFonts w:hint="eastAsia"/>
          <w:color w:val="auto"/>
          <w:lang w:val="en-US" w:eastAsia="zh-CN"/>
        </w:rPr>
        <w:t>建设单位现有项目产品方案</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83"/>
        <w:gridCol w:w="1888"/>
        <w:gridCol w:w="2606"/>
        <w:gridCol w:w="2736"/>
      </w:tblGrid>
      <w:tr w14:paraId="14AA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pct"/>
            <w:shd w:val="clear" w:color="auto" w:fill="auto"/>
            <w:tcMar>
              <w:left w:w="0" w:type="dxa"/>
              <w:right w:w="0" w:type="dxa"/>
            </w:tcMar>
            <w:vAlign w:val="center"/>
          </w:tcPr>
          <w:p w14:paraId="34204070">
            <w:pPr>
              <w:pStyle w:val="36"/>
              <w:bidi w:val="0"/>
              <w:rPr>
                <w:rFonts w:hint="eastAsia" w:ascii="Times New Roman" w:hAnsi="Times New Roman" w:eastAsia="仿宋_GB2312" w:cs="Times New Roman"/>
                <w:b/>
                <w:color w:val="auto"/>
                <w:kern w:val="2"/>
                <w:sz w:val="21"/>
                <w:szCs w:val="22"/>
                <w:lang w:val="en-US" w:eastAsia="zh-CN" w:bidi="ar-SA"/>
              </w:rPr>
            </w:pPr>
            <w:r>
              <w:rPr>
                <w:rFonts w:hint="eastAsia"/>
                <w:color w:val="auto"/>
              </w:rPr>
              <w:t>序号</w:t>
            </w:r>
          </w:p>
        </w:tc>
        <w:tc>
          <w:tcPr>
            <w:tcW w:w="1135" w:type="pct"/>
            <w:shd w:val="clear" w:color="auto" w:fill="auto"/>
            <w:tcMar>
              <w:left w:w="0" w:type="dxa"/>
              <w:right w:w="0" w:type="dxa"/>
            </w:tcMar>
            <w:vAlign w:val="center"/>
          </w:tcPr>
          <w:p w14:paraId="21A061E0">
            <w:pPr>
              <w:pStyle w:val="36"/>
              <w:bidi w:val="0"/>
              <w:rPr>
                <w:rFonts w:hint="eastAsia" w:ascii="Times New Roman" w:hAnsi="Times New Roman" w:eastAsia="仿宋_GB2312" w:cs="Times New Roman"/>
                <w:b/>
                <w:color w:val="auto"/>
                <w:kern w:val="2"/>
                <w:sz w:val="21"/>
                <w:szCs w:val="22"/>
                <w:lang w:val="en-US" w:eastAsia="zh-CN" w:bidi="ar-SA"/>
              </w:rPr>
            </w:pPr>
            <w:r>
              <w:rPr>
                <w:rFonts w:hint="eastAsia"/>
                <w:color w:val="auto"/>
              </w:rPr>
              <w:t>产品名称</w:t>
            </w:r>
          </w:p>
        </w:tc>
        <w:tc>
          <w:tcPr>
            <w:tcW w:w="1567" w:type="pct"/>
            <w:shd w:val="clear" w:color="auto" w:fill="auto"/>
            <w:tcMar>
              <w:left w:w="0" w:type="dxa"/>
              <w:right w:w="0" w:type="dxa"/>
            </w:tcMar>
            <w:vAlign w:val="center"/>
          </w:tcPr>
          <w:p w14:paraId="744DD73D">
            <w:pPr>
              <w:pStyle w:val="36"/>
              <w:bidi w:val="0"/>
              <w:rPr>
                <w:rFonts w:hint="eastAsia" w:ascii="Times New Roman" w:hAnsi="Times New Roman" w:eastAsia="仿宋_GB2312" w:cs="Times New Roman"/>
                <w:b/>
                <w:color w:val="auto"/>
                <w:kern w:val="2"/>
                <w:sz w:val="21"/>
                <w:szCs w:val="22"/>
                <w:lang w:val="en-US" w:eastAsia="zh-CN" w:bidi="ar-SA"/>
              </w:rPr>
            </w:pPr>
            <w:r>
              <w:rPr>
                <w:rFonts w:hint="eastAsia"/>
                <w:color w:val="auto"/>
              </w:rPr>
              <w:t>设计生产能力</w:t>
            </w:r>
            <w:r>
              <w:rPr>
                <w:rFonts w:hint="eastAsia"/>
                <w:color w:val="auto"/>
                <w:lang w:eastAsia="zh-CN"/>
              </w:rPr>
              <w:t>（</w:t>
            </w:r>
            <w:r>
              <w:rPr>
                <w:rFonts w:hint="eastAsia"/>
                <w:color w:val="auto"/>
                <w:lang w:val="en-US" w:eastAsia="zh-CN"/>
              </w:rPr>
              <w:t>支/a</w:t>
            </w:r>
            <w:r>
              <w:rPr>
                <w:rFonts w:hint="eastAsia"/>
                <w:color w:val="auto"/>
                <w:lang w:eastAsia="zh-CN"/>
              </w:rPr>
              <w:t>）</w:t>
            </w:r>
          </w:p>
        </w:tc>
        <w:tc>
          <w:tcPr>
            <w:tcW w:w="1645" w:type="pct"/>
            <w:shd w:val="clear" w:color="auto" w:fill="auto"/>
            <w:tcMar>
              <w:left w:w="0" w:type="dxa"/>
              <w:right w:w="0" w:type="dxa"/>
            </w:tcMar>
            <w:vAlign w:val="center"/>
          </w:tcPr>
          <w:p w14:paraId="1834C6A0">
            <w:pPr>
              <w:pStyle w:val="36"/>
              <w:bidi w:val="0"/>
              <w:rPr>
                <w:rFonts w:hint="default" w:ascii="Times New Roman" w:hAnsi="Times New Roman" w:eastAsia="仿宋_GB2312" w:cs="Times New Roman"/>
                <w:b/>
                <w:color w:val="auto"/>
                <w:kern w:val="2"/>
                <w:sz w:val="21"/>
                <w:szCs w:val="22"/>
                <w:lang w:val="en-US" w:eastAsia="zh-CN" w:bidi="ar-SA"/>
              </w:rPr>
            </w:pPr>
            <w:r>
              <w:rPr>
                <w:rFonts w:hint="eastAsia" w:cs="Times New Roman"/>
                <w:b/>
                <w:color w:val="auto"/>
                <w:kern w:val="2"/>
                <w:sz w:val="21"/>
                <w:szCs w:val="22"/>
                <w:lang w:val="en-US" w:eastAsia="zh-CN" w:bidi="ar-SA"/>
              </w:rPr>
              <w:t>备注</w:t>
            </w:r>
          </w:p>
        </w:tc>
      </w:tr>
      <w:tr w14:paraId="716A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pct"/>
            <w:tcMar>
              <w:left w:w="0" w:type="dxa"/>
              <w:right w:w="0" w:type="dxa"/>
            </w:tcMar>
            <w:vAlign w:val="center"/>
          </w:tcPr>
          <w:p w14:paraId="53CB30D1">
            <w:pPr>
              <w:pStyle w:val="36"/>
              <w:bidi w:val="0"/>
              <w:rPr>
                <w:rFonts w:hint="default" w:eastAsia="仿宋_GB2312"/>
                <w:b w:val="0"/>
                <w:bCs/>
                <w:color w:val="auto"/>
                <w:lang w:val="en-US" w:eastAsia="zh-CN"/>
              </w:rPr>
            </w:pPr>
            <w:r>
              <w:rPr>
                <w:rFonts w:hint="eastAsia"/>
                <w:b w:val="0"/>
                <w:bCs/>
                <w:color w:val="auto"/>
                <w:lang w:val="en-US" w:eastAsia="zh-CN"/>
              </w:rPr>
              <w:t>1</w:t>
            </w:r>
          </w:p>
        </w:tc>
        <w:tc>
          <w:tcPr>
            <w:tcW w:w="1135" w:type="pct"/>
            <w:tcMar>
              <w:left w:w="0" w:type="dxa"/>
              <w:right w:w="0" w:type="dxa"/>
            </w:tcMar>
            <w:vAlign w:val="center"/>
          </w:tcPr>
          <w:p w14:paraId="4A4D6F4D">
            <w:pPr>
              <w:pStyle w:val="36"/>
              <w:bidi w:val="0"/>
              <w:rPr>
                <w:rFonts w:hint="eastAsia"/>
                <w:b w:val="0"/>
                <w:bCs/>
                <w:color w:val="auto"/>
                <w:lang w:val="en-US" w:eastAsia="zh-CN"/>
              </w:rPr>
            </w:pPr>
            <w:r>
              <w:rPr>
                <w:rFonts w:hint="eastAsia"/>
                <w:b w:val="0"/>
                <w:bCs/>
                <w:color w:val="auto"/>
                <w:lang w:val="en-US" w:eastAsia="zh-CN"/>
              </w:rPr>
              <w:t>压纹版辊</w:t>
            </w:r>
          </w:p>
        </w:tc>
        <w:tc>
          <w:tcPr>
            <w:tcW w:w="1567" w:type="pct"/>
            <w:tcMar>
              <w:left w:w="0" w:type="dxa"/>
              <w:right w:w="0" w:type="dxa"/>
            </w:tcMar>
            <w:vAlign w:val="center"/>
          </w:tcPr>
          <w:p w14:paraId="217CF582">
            <w:pPr>
              <w:pStyle w:val="36"/>
              <w:bidi w:val="0"/>
              <w:rPr>
                <w:rFonts w:hint="default" w:eastAsia="仿宋_GB2312"/>
                <w:b w:val="0"/>
                <w:bCs/>
                <w:color w:val="auto"/>
                <w:lang w:val="en-US" w:eastAsia="zh-CN"/>
              </w:rPr>
            </w:pPr>
            <w:r>
              <w:rPr>
                <w:rFonts w:hint="eastAsia"/>
                <w:b w:val="0"/>
                <w:bCs/>
                <w:color w:val="auto"/>
                <w:lang w:val="en-US" w:eastAsia="zh-CN"/>
              </w:rPr>
              <w:t>3250</w:t>
            </w:r>
          </w:p>
        </w:tc>
        <w:tc>
          <w:tcPr>
            <w:tcW w:w="1645" w:type="pct"/>
            <w:vMerge w:val="restart"/>
            <w:tcMar>
              <w:left w:w="0" w:type="dxa"/>
              <w:right w:w="0" w:type="dxa"/>
            </w:tcMar>
            <w:vAlign w:val="center"/>
          </w:tcPr>
          <w:p w14:paraId="42033ED0">
            <w:pPr>
              <w:pStyle w:val="36"/>
              <w:bidi w:val="0"/>
              <w:rPr>
                <w:rFonts w:hint="eastAsia"/>
                <w:b w:val="0"/>
                <w:bCs/>
                <w:color w:val="auto"/>
                <w:lang w:val="en-US" w:eastAsia="zh-CN"/>
              </w:rPr>
            </w:pPr>
            <w:r>
              <w:rPr>
                <w:rFonts w:hint="eastAsia"/>
                <w:b w:val="0"/>
                <w:bCs/>
                <w:color w:val="auto"/>
                <w:lang w:val="en-US" w:eastAsia="zh-CN"/>
              </w:rPr>
              <w:t>为了保证版辊的耐用性，后期企业的产品均需电镀</w:t>
            </w:r>
          </w:p>
        </w:tc>
      </w:tr>
      <w:tr w14:paraId="3BDF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pct"/>
            <w:tcMar>
              <w:left w:w="0" w:type="dxa"/>
              <w:right w:w="0" w:type="dxa"/>
            </w:tcMar>
            <w:vAlign w:val="center"/>
          </w:tcPr>
          <w:p w14:paraId="093069F4">
            <w:pPr>
              <w:pStyle w:val="36"/>
              <w:bidi w:val="0"/>
              <w:rPr>
                <w:rFonts w:hint="eastAsia"/>
                <w:b w:val="0"/>
                <w:bCs/>
                <w:color w:val="auto"/>
              </w:rPr>
            </w:pPr>
            <w:r>
              <w:rPr>
                <w:rFonts w:hint="eastAsia"/>
                <w:b w:val="0"/>
                <w:bCs/>
                <w:color w:val="auto"/>
                <w:lang w:val="en-US" w:eastAsia="zh-CN"/>
              </w:rPr>
              <w:t>2</w:t>
            </w:r>
          </w:p>
        </w:tc>
        <w:tc>
          <w:tcPr>
            <w:tcW w:w="1135" w:type="pct"/>
            <w:tcMar>
              <w:left w:w="0" w:type="dxa"/>
              <w:right w:w="0" w:type="dxa"/>
            </w:tcMar>
            <w:vAlign w:val="center"/>
          </w:tcPr>
          <w:p w14:paraId="1D7B2E10">
            <w:pPr>
              <w:pStyle w:val="36"/>
              <w:bidi w:val="0"/>
              <w:rPr>
                <w:rFonts w:hint="default" w:eastAsia="仿宋_GB2312"/>
                <w:b w:val="0"/>
                <w:bCs/>
                <w:color w:val="auto"/>
                <w:lang w:val="en-US" w:eastAsia="zh-CN"/>
              </w:rPr>
            </w:pPr>
            <w:r>
              <w:rPr>
                <w:rFonts w:hint="default" w:eastAsia="仿宋_GB2312"/>
                <w:b w:val="0"/>
                <w:bCs/>
                <w:color w:val="auto"/>
                <w:lang w:val="en-US" w:eastAsia="zh-CN"/>
              </w:rPr>
              <w:t>微精版</w:t>
            </w:r>
          </w:p>
        </w:tc>
        <w:tc>
          <w:tcPr>
            <w:tcW w:w="1567" w:type="pct"/>
            <w:tcMar>
              <w:left w:w="0" w:type="dxa"/>
              <w:right w:w="0" w:type="dxa"/>
            </w:tcMar>
            <w:vAlign w:val="center"/>
          </w:tcPr>
          <w:p w14:paraId="10DBEA7E">
            <w:pPr>
              <w:pStyle w:val="36"/>
              <w:bidi w:val="0"/>
              <w:rPr>
                <w:rFonts w:hint="default" w:eastAsia="仿宋_GB2312"/>
                <w:b w:val="0"/>
                <w:bCs/>
                <w:color w:val="auto"/>
                <w:lang w:val="en-US" w:eastAsia="zh-CN"/>
              </w:rPr>
            </w:pPr>
            <w:r>
              <w:rPr>
                <w:rFonts w:hint="eastAsia"/>
                <w:b w:val="0"/>
                <w:bCs/>
                <w:color w:val="auto"/>
                <w:lang w:val="en-US" w:eastAsia="zh-CN"/>
              </w:rPr>
              <w:t>8500</w:t>
            </w:r>
          </w:p>
        </w:tc>
        <w:tc>
          <w:tcPr>
            <w:tcW w:w="1645" w:type="pct"/>
            <w:vMerge w:val="continue"/>
            <w:tcMar>
              <w:left w:w="0" w:type="dxa"/>
              <w:right w:w="0" w:type="dxa"/>
            </w:tcMar>
            <w:vAlign w:val="center"/>
          </w:tcPr>
          <w:p w14:paraId="2595981E">
            <w:pPr>
              <w:pStyle w:val="36"/>
              <w:bidi w:val="0"/>
              <w:rPr>
                <w:rFonts w:hint="default"/>
                <w:b w:val="0"/>
                <w:bCs/>
                <w:color w:val="auto"/>
                <w:lang w:val="en-US" w:eastAsia="zh-CN"/>
              </w:rPr>
            </w:pPr>
          </w:p>
        </w:tc>
      </w:tr>
    </w:tbl>
    <w:p w14:paraId="7C8B6D5B">
      <w:pPr>
        <w:pStyle w:val="25"/>
        <w:bidi w:val="0"/>
        <w:rPr>
          <w:rFonts w:hint="eastAsia"/>
          <w:color w:val="auto"/>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3.1</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3</w:t>
      </w:r>
      <w:r>
        <w:rPr>
          <w:color w:val="auto"/>
          <w:lang w:val="en-US" w:eastAsia="zh-CN"/>
        </w:rPr>
        <w:fldChar w:fldCharType="end"/>
      </w:r>
      <w:r>
        <w:rPr>
          <w:rFonts w:hint="eastAsia"/>
          <w:color w:val="auto"/>
          <w:lang w:val="en-US" w:eastAsia="zh-CN"/>
        </w:rPr>
        <w:t>版辊镀层面积及常用规格一览表</w:t>
      </w:r>
    </w:p>
    <w:tbl>
      <w:tblPr>
        <w:tblStyle w:val="21"/>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5"/>
        <w:gridCol w:w="897"/>
        <w:gridCol w:w="897"/>
        <w:gridCol w:w="897"/>
        <w:gridCol w:w="897"/>
        <w:gridCol w:w="897"/>
        <w:gridCol w:w="897"/>
        <w:gridCol w:w="898"/>
        <w:gridCol w:w="903"/>
      </w:tblGrid>
      <w:tr w14:paraId="4AAE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shd w:val="clear" w:color="auto" w:fill="auto"/>
            <w:tcMar>
              <w:left w:w="0" w:type="dxa"/>
              <w:right w:w="0" w:type="dxa"/>
            </w:tcMar>
            <w:vAlign w:val="center"/>
          </w:tcPr>
          <w:p w14:paraId="4C9661EA">
            <w:pPr>
              <w:pStyle w:val="36"/>
              <w:bidi w:val="0"/>
              <w:jc w:val="center"/>
              <w:rPr>
                <w:rFonts w:hint="eastAsia" w:ascii="Times New Roman" w:hAnsi="Times New Roman" w:eastAsia="仿宋_GB2312" w:cs="Times New Roman"/>
                <w:b/>
                <w:color w:val="auto"/>
                <w:kern w:val="2"/>
                <w:sz w:val="21"/>
                <w:szCs w:val="22"/>
                <w:lang w:val="en-US" w:eastAsia="zh-CN" w:bidi="ar-SA"/>
              </w:rPr>
            </w:pPr>
            <w:r>
              <w:rPr>
                <w:rFonts w:hint="eastAsia"/>
                <w:color w:val="auto"/>
              </w:rPr>
              <w:t>产品名称</w:t>
            </w:r>
          </w:p>
        </w:tc>
        <w:tc>
          <w:tcPr>
            <w:tcW w:w="536" w:type="pct"/>
            <w:shd w:val="clear" w:color="auto" w:fill="auto"/>
            <w:tcMar>
              <w:left w:w="0" w:type="dxa"/>
              <w:right w:w="0" w:type="dxa"/>
            </w:tcMar>
            <w:vAlign w:val="center"/>
          </w:tcPr>
          <w:p w14:paraId="1BDA2237">
            <w:pPr>
              <w:pStyle w:val="36"/>
              <w:bidi w:val="0"/>
              <w:jc w:val="center"/>
              <w:rPr>
                <w:rFonts w:hint="default" w:ascii="Times New Roman" w:hAnsi="Times New Roman" w:eastAsia="仿宋_GB2312" w:cs="Times New Roman"/>
                <w:b/>
                <w:color w:val="auto"/>
                <w:kern w:val="2"/>
                <w:sz w:val="21"/>
                <w:szCs w:val="22"/>
                <w:lang w:val="en-US" w:eastAsia="zh-CN" w:bidi="ar-SA"/>
              </w:rPr>
            </w:pPr>
            <w:r>
              <w:rPr>
                <w:rFonts w:hint="eastAsia" w:cs="Times New Roman"/>
                <w:b/>
                <w:color w:val="auto"/>
                <w:kern w:val="2"/>
                <w:sz w:val="21"/>
                <w:szCs w:val="22"/>
                <w:lang w:val="en-US" w:eastAsia="zh-CN" w:bidi="ar-SA"/>
              </w:rPr>
              <w:t>镀种</w:t>
            </w:r>
          </w:p>
        </w:tc>
        <w:tc>
          <w:tcPr>
            <w:tcW w:w="536" w:type="pct"/>
            <w:shd w:val="clear" w:color="auto" w:fill="auto"/>
            <w:tcMar>
              <w:left w:w="0" w:type="dxa"/>
              <w:right w:w="0" w:type="dxa"/>
            </w:tcMar>
            <w:vAlign w:val="center"/>
          </w:tcPr>
          <w:p w14:paraId="793E87E7">
            <w:pPr>
              <w:pStyle w:val="36"/>
              <w:bidi w:val="0"/>
              <w:jc w:val="center"/>
              <w:rPr>
                <w:rFonts w:hint="eastAsia"/>
                <w:lang w:val="en-US" w:eastAsia="zh-CN"/>
              </w:rPr>
            </w:pPr>
            <w:r>
              <w:t>处理次数</w:t>
            </w:r>
          </w:p>
        </w:tc>
        <w:tc>
          <w:tcPr>
            <w:tcW w:w="536" w:type="pct"/>
            <w:shd w:val="clear" w:color="auto" w:fill="auto"/>
            <w:tcMar>
              <w:left w:w="0" w:type="dxa"/>
              <w:right w:w="0" w:type="dxa"/>
            </w:tcMar>
            <w:vAlign w:val="center"/>
          </w:tcPr>
          <w:p w14:paraId="3B6200D7">
            <w:pPr>
              <w:pStyle w:val="36"/>
              <w:bidi w:val="0"/>
              <w:jc w:val="center"/>
            </w:pPr>
            <w:r>
              <w:t>代表性镀层厚度</w:t>
            </w:r>
          </w:p>
          <w:p w14:paraId="6902F7BB">
            <w:pPr>
              <w:pStyle w:val="36"/>
              <w:bidi w:val="0"/>
              <w:jc w:val="center"/>
              <w:rPr>
                <w:rFonts w:hint="eastAsia"/>
                <w:lang w:val="en-US" w:eastAsia="zh-CN"/>
              </w:rPr>
            </w:pPr>
            <w:r>
              <w:t>(μm）</w:t>
            </w:r>
          </w:p>
        </w:tc>
        <w:tc>
          <w:tcPr>
            <w:tcW w:w="536" w:type="pct"/>
            <w:shd w:val="clear" w:color="auto" w:fill="auto"/>
            <w:tcMar>
              <w:left w:w="0" w:type="dxa"/>
              <w:right w:w="0" w:type="dxa"/>
            </w:tcMar>
            <w:vAlign w:val="center"/>
          </w:tcPr>
          <w:p w14:paraId="0D41B228">
            <w:pPr>
              <w:pStyle w:val="36"/>
              <w:bidi w:val="0"/>
              <w:jc w:val="center"/>
              <w:rPr>
                <w:rFonts w:hint="eastAsia"/>
                <w:lang w:val="en-US" w:eastAsia="zh-CN"/>
              </w:rPr>
            </w:pPr>
            <w:r>
              <w:t>类型占比（表面处理方法对应产品占比）</w:t>
            </w:r>
          </w:p>
        </w:tc>
        <w:tc>
          <w:tcPr>
            <w:tcW w:w="536" w:type="pct"/>
            <w:shd w:val="clear" w:color="auto" w:fill="auto"/>
            <w:tcMar>
              <w:left w:w="0" w:type="dxa"/>
              <w:right w:w="0" w:type="dxa"/>
            </w:tcMar>
            <w:vAlign w:val="center"/>
          </w:tcPr>
          <w:p w14:paraId="77223BC8">
            <w:pPr>
              <w:pStyle w:val="36"/>
              <w:bidi w:val="0"/>
              <w:jc w:val="center"/>
              <w:rPr>
                <w:rFonts w:hint="eastAsia"/>
                <w:lang w:val="en-US" w:eastAsia="zh-CN"/>
              </w:rPr>
            </w:pPr>
            <w:r>
              <w:t>版辊数量（支/a）</w:t>
            </w:r>
          </w:p>
        </w:tc>
        <w:tc>
          <w:tcPr>
            <w:tcW w:w="536" w:type="pct"/>
            <w:shd w:val="clear" w:color="auto" w:fill="auto"/>
            <w:tcMar>
              <w:left w:w="0" w:type="dxa"/>
              <w:right w:w="0" w:type="dxa"/>
            </w:tcMar>
            <w:vAlign w:val="center"/>
          </w:tcPr>
          <w:p w14:paraId="31F49731">
            <w:pPr>
              <w:pStyle w:val="36"/>
              <w:bidi w:val="0"/>
              <w:jc w:val="center"/>
              <w:rPr>
                <w:rFonts w:hint="eastAsia"/>
                <w:lang w:val="en-US" w:eastAsia="zh-CN"/>
              </w:rPr>
            </w:pPr>
            <w:r>
              <w:t>返修数量（支/a）</w:t>
            </w:r>
            <w:r>
              <w:rPr>
                <w:vertAlign w:val="superscript"/>
              </w:rPr>
              <w:t>①</w:t>
            </w:r>
          </w:p>
        </w:tc>
        <w:tc>
          <w:tcPr>
            <w:tcW w:w="536" w:type="pct"/>
            <w:shd w:val="clear" w:color="auto" w:fill="auto"/>
            <w:tcMar>
              <w:left w:w="0" w:type="dxa"/>
              <w:right w:w="0" w:type="dxa"/>
            </w:tcMar>
            <w:vAlign w:val="center"/>
          </w:tcPr>
          <w:p w14:paraId="3A518BDA">
            <w:pPr>
              <w:pStyle w:val="36"/>
              <w:bidi w:val="0"/>
              <w:jc w:val="center"/>
            </w:pPr>
            <w:r>
              <w:t>单支版辊面积</w:t>
            </w:r>
          </w:p>
          <w:p w14:paraId="6BA9E1F8">
            <w:pPr>
              <w:pStyle w:val="36"/>
              <w:bidi w:val="0"/>
              <w:jc w:val="center"/>
              <w:rPr>
                <w:rFonts w:hint="eastAsia"/>
                <w:lang w:val="en-US" w:eastAsia="zh-CN"/>
              </w:rPr>
            </w:pPr>
            <w:r>
              <w:t>（m</w:t>
            </w:r>
            <w:r>
              <w:rPr>
                <w:vertAlign w:val="superscript"/>
              </w:rPr>
              <w:t>2</w:t>
            </w:r>
            <w:r>
              <w:t>）</w:t>
            </w:r>
            <w:r>
              <w:rPr>
                <w:vertAlign w:val="superscript"/>
              </w:rPr>
              <w:t>②</w:t>
            </w:r>
          </w:p>
        </w:tc>
        <w:tc>
          <w:tcPr>
            <w:tcW w:w="539" w:type="pct"/>
            <w:shd w:val="clear" w:color="auto" w:fill="auto"/>
            <w:tcMar>
              <w:left w:w="0" w:type="dxa"/>
              <w:right w:w="0" w:type="dxa"/>
            </w:tcMar>
            <w:vAlign w:val="center"/>
          </w:tcPr>
          <w:p w14:paraId="5C337A36">
            <w:pPr>
              <w:pStyle w:val="36"/>
              <w:bidi w:val="0"/>
              <w:jc w:val="center"/>
            </w:pPr>
            <w:r>
              <w:t>金属镀层面积</w:t>
            </w:r>
          </w:p>
          <w:p w14:paraId="106E3FC1">
            <w:pPr>
              <w:pStyle w:val="36"/>
              <w:bidi w:val="0"/>
              <w:jc w:val="center"/>
              <w:rPr>
                <w:rFonts w:hint="eastAsia"/>
                <w:lang w:val="en-US" w:eastAsia="zh-CN"/>
              </w:rPr>
            </w:pPr>
            <w:r>
              <w:t>（m</w:t>
            </w:r>
            <w:r>
              <w:rPr>
                <w:vertAlign w:val="superscript"/>
              </w:rPr>
              <w:t>2</w:t>
            </w:r>
            <w:r>
              <w:t>）</w:t>
            </w:r>
          </w:p>
        </w:tc>
      </w:tr>
      <w:tr w14:paraId="730B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restart"/>
            <w:shd w:val="clear" w:color="auto" w:fill="auto"/>
            <w:tcMar>
              <w:left w:w="0" w:type="dxa"/>
              <w:right w:w="0" w:type="dxa"/>
            </w:tcMar>
            <w:vAlign w:val="center"/>
          </w:tcPr>
          <w:p w14:paraId="49FE6AFE">
            <w:pPr>
              <w:pStyle w:val="36"/>
              <w:bidi w:val="0"/>
              <w:jc w:val="center"/>
              <w:rPr>
                <w:rFonts w:hint="default" w:ascii="Times New Roman" w:hAnsi="Times New Roman" w:eastAsia="仿宋_GB2312" w:cs="Times New Roman"/>
                <w:b w:val="0"/>
                <w:bCs/>
                <w:color w:val="auto"/>
                <w:kern w:val="2"/>
                <w:sz w:val="21"/>
                <w:szCs w:val="22"/>
                <w:lang w:val="en-US" w:eastAsia="zh-CN" w:bidi="ar-SA"/>
              </w:rPr>
            </w:pPr>
            <w:r>
              <w:rPr>
                <w:rFonts w:hint="eastAsia"/>
                <w:b w:val="0"/>
                <w:bCs/>
                <w:color w:val="auto"/>
                <w:lang w:val="en-US" w:eastAsia="zh-CN"/>
              </w:rPr>
              <w:t>压纹版辊</w:t>
            </w:r>
          </w:p>
        </w:tc>
        <w:tc>
          <w:tcPr>
            <w:tcW w:w="536" w:type="pct"/>
            <w:tcMar>
              <w:left w:w="0" w:type="dxa"/>
              <w:right w:w="0" w:type="dxa"/>
            </w:tcMar>
            <w:vAlign w:val="center"/>
          </w:tcPr>
          <w:p w14:paraId="551F307F">
            <w:pPr>
              <w:pStyle w:val="26"/>
              <w:bidi w:val="0"/>
              <w:jc w:val="center"/>
              <w:rPr>
                <w:rFonts w:hint="default"/>
                <w:lang w:val="en-US" w:eastAsia="zh-CN"/>
              </w:rPr>
            </w:pPr>
            <w:r>
              <w:t>碱铜</w:t>
            </w:r>
            <w:r>
              <w:rPr>
                <w:vertAlign w:val="superscript"/>
              </w:rPr>
              <w:t>③</w:t>
            </w:r>
          </w:p>
        </w:tc>
        <w:tc>
          <w:tcPr>
            <w:tcW w:w="536" w:type="pct"/>
            <w:tcMar>
              <w:left w:w="0" w:type="dxa"/>
              <w:right w:w="0" w:type="dxa"/>
            </w:tcMar>
            <w:vAlign w:val="center"/>
          </w:tcPr>
          <w:p w14:paraId="4EC4DA6F">
            <w:pPr>
              <w:pStyle w:val="26"/>
              <w:bidi w:val="0"/>
              <w:jc w:val="center"/>
              <w:rPr>
                <w:rFonts w:hint="default"/>
                <w:lang w:val="en-US" w:eastAsia="zh-CN"/>
              </w:rPr>
            </w:pPr>
            <w:r>
              <w:t>1</w:t>
            </w:r>
          </w:p>
        </w:tc>
        <w:tc>
          <w:tcPr>
            <w:tcW w:w="536" w:type="pct"/>
            <w:tcMar>
              <w:left w:w="0" w:type="dxa"/>
              <w:right w:w="0" w:type="dxa"/>
            </w:tcMar>
            <w:vAlign w:val="center"/>
          </w:tcPr>
          <w:p w14:paraId="0C69903B">
            <w:pPr>
              <w:pStyle w:val="26"/>
              <w:bidi w:val="0"/>
              <w:jc w:val="center"/>
              <w:rPr>
                <w:rFonts w:hint="eastAsia"/>
              </w:rPr>
            </w:pPr>
            <w:r>
              <w:t>0.8</w:t>
            </w:r>
          </w:p>
        </w:tc>
        <w:tc>
          <w:tcPr>
            <w:tcW w:w="536" w:type="pct"/>
            <w:tcMar>
              <w:left w:w="0" w:type="dxa"/>
              <w:right w:w="0" w:type="dxa"/>
            </w:tcMar>
            <w:vAlign w:val="center"/>
          </w:tcPr>
          <w:p w14:paraId="61FCD2D7">
            <w:pPr>
              <w:pStyle w:val="26"/>
              <w:bidi w:val="0"/>
              <w:jc w:val="center"/>
              <w:rPr>
                <w:rFonts w:hint="eastAsia"/>
                <w:lang w:val="en-US" w:eastAsia="zh-CN"/>
              </w:rPr>
            </w:pPr>
            <w:r>
              <w:t>100%</w:t>
            </w:r>
          </w:p>
        </w:tc>
        <w:tc>
          <w:tcPr>
            <w:tcW w:w="536" w:type="pct"/>
            <w:tcMar>
              <w:left w:w="0" w:type="dxa"/>
              <w:right w:w="0" w:type="dxa"/>
            </w:tcMar>
            <w:vAlign w:val="center"/>
          </w:tcPr>
          <w:p w14:paraId="255BCED7">
            <w:pPr>
              <w:pStyle w:val="26"/>
              <w:bidi w:val="0"/>
              <w:jc w:val="center"/>
              <w:rPr>
                <w:rFonts w:hint="eastAsia"/>
                <w:lang w:val="en-US" w:eastAsia="zh-CN"/>
              </w:rPr>
            </w:pPr>
            <w:r>
              <w:t>2925</w:t>
            </w:r>
          </w:p>
        </w:tc>
        <w:tc>
          <w:tcPr>
            <w:tcW w:w="536" w:type="pct"/>
            <w:tcMar>
              <w:left w:w="0" w:type="dxa"/>
              <w:right w:w="0" w:type="dxa"/>
            </w:tcMar>
            <w:vAlign w:val="center"/>
          </w:tcPr>
          <w:p w14:paraId="6F18BAB8">
            <w:pPr>
              <w:pStyle w:val="26"/>
              <w:bidi w:val="0"/>
              <w:jc w:val="center"/>
              <w:rPr>
                <w:rFonts w:hint="eastAsia"/>
                <w:lang w:val="en-US" w:eastAsia="zh-CN"/>
              </w:rPr>
            </w:pPr>
            <w:r>
              <w:t>163</w:t>
            </w:r>
          </w:p>
        </w:tc>
        <w:tc>
          <w:tcPr>
            <w:tcW w:w="536" w:type="pct"/>
            <w:tcMar>
              <w:left w:w="0" w:type="dxa"/>
              <w:right w:w="0" w:type="dxa"/>
            </w:tcMar>
            <w:vAlign w:val="center"/>
          </w:tcPr>
          <w:p w14:paraId="07BBD598">
            <w:pPr>
              <w:pStyle w:val="26"/>
              <w:bidi w:val="0"/>
              <w:jc w:val="center"/>
              <w:rPr>
                <w:rFonts w:hint="eastAsia"/>
                <w:lang w:val="en-US" w:eastAsia="zh-CN"/>
              </w:rPr>
            </w:pPr>
            <w:r>
              <w:t>7.536</w:t>
            </w:r>
          </w:p>
        </w:tc>
        <w:tc>
          <w:tcPr>
            <w:tcW w:w="539" w:type="pct"/>
            <w:tcMar>
              <w:left w:w="0" w:type="dxa"/>
              <w:right w:w="0" w:type="dxa"/>
            </w:tcMar>
            <w:vAlign w:val="center"/>
          </w:tcPr>
          <w:p w14:paraId="44129D1D">
            <w:pPr>
              <w:pStyle w:val="26"/>
              <w:bidi w:val="0"/>
              <w:jc w:val="center"/>
              <w:rPr>
                <w:rFonts w:hint="eastAsia"/>
                <w:lang w:val="en-US" w:eastAsia="zh-CN"/>
              </w:rPr>
            </w:pPr>
            <w:r>
              <w:t>23271</w:t>
            </w:r>
          </w:p>
        </w:tc>
      </w:tr>
      <w:tr w14:paraId="688A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continue"/>
            <w:shd w:val="clear" w:color="auto" w:fill="auto"/>
            <w:tcMar>
              <w:left w:w="0" w:type="dxa"/>
              <w:right w:w="0" w:type="dxa"/>
            </w:tcMar>
            <w:vAlign w:val="center"/>
          </w:tcPr>
          <w:p w14:paraId="3A2E2E4C">
            <w:pPr>
              <w:pStyle w:val="36"/>
              <w:bidi w:val="0"/>
              <w:jc w:val="center"/>
              <w:rPr>
                <w:rFonts w:hint="eastAsia" w:ascii="Times New Roman" w:hAnsi="Times New Roman" w:eastAsia="仿宋_GB2312" w:cs="Times New Roman"/>
                <w:b w:val="0"/>
                <w:bCs/>
                <w:color w:val="auto"/>
                <w:kern w:val="2"/>
                <w:sz w:val="21"/>
                <w:szCs w:val="22"/>
                <w:lang w:val="en-US" w:eastAsia="zh-CN" w:bidi="ar-SA"/>
              </w:rPr>
            </w:pPr>
          </w:p>
        </w:tc>
        <w:tc>
          <w:tcPr>
            <w:tcW w:w="536" w:type="pct"/>
            <w:tcMar>
              <w:left w:w="0" w:type="dxa"/>
              <w:right w:w="0" w:type="dxa"/>
            </w:tcMar>
            <w:vAlign w:val="center"/>
          </w:tcPr>
          <w:p w14:paraId="2CA82515">
            <w:pPr>
              <w:pStyle w:val="26"/>
              <w:bidi w:val="0"/>
              <w:jc w:val="center"/>
              <w:rPr>
                <w:rFonts w:hint="eastAsia"/>
              </w:rPr>
            </w:pPr>
            <w:r>
              <w:t>镀铜</w:t>
            </w:r>
            <w:r>
              <w:rPr>
                <w:vertAlign w:val="superscript"/>
              </w:rPr>
              <w:t>③</w:t>
            </w:r>
          </w:p>
        </w:tc>
        <w:tc>
          <w:tcPr>
            <w:tcW w:w="536" w:type="pct"/>
            <w:tcMar>
              <w:left w:w="0" w:type="dxa"/>
              <w:right w:w="0" w:type="dxa"/>
            </w:tcMar>
            <w:vAlign w:val="center"/>
          </w:tcPr>
          <w:p w14:paraId="25462A10">
            <w:pPr>
              <w:pStyle w:val="26"/>
              <w:bidi w:val="0"/>
              <w:jc w:val="center"/>
              <w:rPr>
                <w:rFonts w:hint="default"/>
                <w:lang w:val="en-US" w:eastAsia="zh-CN"/>
              </w:rPr>
            </w:pPr>
            <w:r>
              <w:t>1</w:t>
            </w:r>
          </w:p>
        </w:tc>
        <w:tc>
          <w:tcPr>
            <w:tcW w:w="536" w:type="pct"/>
            <w:tcMar>
              <w:left w:w="0" w:type="dxa"/>
              <w:right w:w="0" w:type="dxa"/>
            </w:tcMar>
            <w:vAlign w:val="center"/>
          </w:tcPr>
          <w:p w14:paraId="19AA30A1">
            <w:pPr>
              <w:pStyle w:val="26"/>
              <w:bidi w:val="0"/>
              <w:jc w:val="center"/>
              <w:rPr>
                <w:rFonts w:hint="eastAsia"/>
                <w:lang w:eastAsia="zh-CN"/>
              </w:rPr>
            </w:pPr>
            <w:r>
              <w:t>300</w:t>
            </w:r>
          </w:p>
        </w:tc>
        <w:tc>
          <w:tcPr>
            <w:tcW w:w="536" w:type="pct"/>
            <w:tcMar>
              <w:left w:w="0" w:type="dxa"/>
              <w:right w:w="0" w:type="dxa"/>
            </w:tcMar>
            <w:vAlign w:val="center"/>
          </w:tcPr>
          <w:p w14:paraId="3D89D599">
            <w:pPr>
              <w:pStyle w:val="26"/>
              <w:bidi w:val="0"/>
              <w:jc w:val="center"/>
              <w:rPr>
                <w:rFonts w:hint="default"/>
                <w:lang w:val="en-US" w:eastAsia="zh-CN"/>
              </w:rPr>
            </w:pPr>
            <w:r>
              <w:t>100%</w:t>
            </w:r>
          </w:p>
        </w:tc>
        <w:tc>
          <w:tcPr>
            <w:tcW w:w="536" w:type="pct"/>
            <w:tcMar>
              <w:left w:w="0" w:type="dxa"/>
              <w:right w:w="0" w:type="dxa"/>
            </w:tcMar>
            <w:vAlign w:val="center"/>
          </w:tcPr>
          <w:p w14:paraId="489DC818">
            <w:pPr>
              <w:pStyle w:val="26"/>
              <w:bidi w:val="0"/>
              <w:jc w:val="center"/>
              <w:rPr>
                <w:rFonts w:hint="default"/>
                <w:lang w:val="en-US" w:eastAsia="zh-CN"/>
              </w:rPr>
            </w:pPr>
            <w:r>
              <w:t>2925</w:t>
            </w:r>
          </w:p>
        </w:tc>
        <w:tc>
          <w:tcPr>
            <w:tcW w:w="536" w:type="pct"/>
            <w:tcMar>
              <w:left w:w="0" w:type="dxa"/>
              <w:right w:w="0" w:type="dxa"/>
            </w:tcMar>
            <w:vAlign w:val="center"/>
          </w:tcPr>
          <w:p w14:paraId="0355BADB">
            <w:pPr>
              <w:pStyle w:val="26"/>
              <w:bidi w:val="0"/>
              <w:jc w:val="center"/>
              <w:rPr>
                <w:rFonts w:hint="default"/>
                <w:lang w:val="en-US" w:eastAsia="zh-CN"/>
              </w:rPr>
            </w:pPr>
            <w:r>
              <w:t>163</w:t>
            </w:r>
          </w:p>
        </w:tc>
        <w:tc>
          <w:tcPr>
            <w:tcW w:w="536" w:type="pct"/>
            <w:tcMar>
              <w:left w:w="0" w:type="dxa"/>
              <w:right w:w="0" w:type="dxa"/>
            </w:tcMar>
            <w:vAlign w:val="center"/>
          </w:tcPr>
          <w:p w14:paraId="4FB7BF76">
            <w:pPr>
              <w:pStyle w:val="26"/>
              <w:bidi w:val="0"/>
              <w:jc w:val="center"/>
              <w:rPr>
                <w:rFonts w:hint="default"/>
                <w:lang w:val="en-US" w:eastAsia="zh-CN"/>
              </w:rPr>
            </w:pPr>
            <w:r>
              <w:t>7.536</w:t>
            </w:r>
          </w:p>
        </w:tc>
        <w:tc>
          <w:tcPr>
            <w:tcW w:w="539" w:type="pct"/>
            <w:tcMar>
              <w:left w:w="0" w:type="dxa"/>
              <w:right w:w="0" w:type="dxa"/>
            </w:tcMar>
            <w:vAlign w:val="center"/>
          </w:tcPr>
          <w:p w14:paraId="316722CC">
            <w:pPr>
              <w:pStyle w:val="26"/>
              <w:bidi w:val="0"/>
              <w:jc w:val="center"/>
              <w:rPr>
                <w:rFonts w:hint="default"/>
                <w:lang w:val="en-US" w:eastAsia="zh-CN"/>
              </w:rPr>
            </w:pPr>
            <w:r>
              <w:t>23271</w:t>
            </w:r>
          </w:p>
        </w:tc>
      </w:tr>
      <w:tr w14:paraId="34CD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continue"/>
            <w:shd w:val="clear" w:color="auto" w:fill="auto"/>
            <w:tcMar>
              <w:left w:w="0" w:type="dxa"/>
              <w:right w:w="0" w:type="dxa"/>
            </w:tcMar>
            <w:vAlign w:val="center"/>
          </w:tcPr>
          <w:p w14:paraId="64E661DD">
            <w:pPr>
              <w:pStyle w:val="36"/>
              <w:bidi w:val="0"/>
              <w:jc w:val="center"/>
              <w:rPr>
                <w:rFonts w:hint="default" w:eastAsia="仿宋_GB2312"/>
                <w:b w:val="0"/>
                <w:bCs/>
                <w:color w:val="auto"/>
                <w:lang w:val="en-US" w:eastAsia="zh-CN"/>
              </w:rPr>
            </w:pPr>
          </w:p>
        </w:tc>
        <w:tc>
          <w:tcPr>
            <w:tcW w:w="536" w:type="pct"/>
            <w:tcMar>
              <w:left w:w="0" w:type="dxa"/>
              <w:right w:w="0" w:type="dxa"/>
            </w:tcMar>
            <w:vAlign w:val="center"/>
          </w:tcPr>
          <w:p w14:paraId="6993F31E">
            <w:pPr>
              <w:pStyle w:val="26"/>
              <w:bidi w:val="0"/>
              <w:jc w:val="center"/>
              <w:rPr>
                <w:rFonts w:hint="eastAsia"/>
              </w:rPr>
            </w:pPr>
            <w:r>
              <w:t>镀铬</w:t>
            </w:r>
          </w:p>
        </w:tc>
        <w:tc>
          <w:tcPr>
            <w:tcW w:w="536" w:type="pct"/>
            <w:tcMar>
              <w:left w:w="0" w:type="dxa"/>
              <w:right w:w="0" w:type="dxa"/>
            </w:tcMar>
            <w:vAlign w:val="center"/>
          </w:tcPr>
          <w:p w14:paraId="1AD8861F">
            <w:pPr>
              <w:pStyle w:val="26"/>
              <w:bidi w:val="0"/>
              <w:jc w:val="center"/>
              <w:rPr>
                <w:rFonts w:hint="default"/>
                <w:lang w:val="en-US" w:eastAsia="zh-CN"/>
              </w:rPr>
            </w:pPr>
            <w:r>
              <w:t>1</w:t>
            </w:r>
          </w:p>
        </w:tc>
        <w:tc>
          <w:tcPr>
            <w:tcW w:w="536" w:type="pct"/>
            <w:tcMar>
              <w:left w:w="0" w:type="dxa"/>
              <w:right w:w="0" w:type="dxa"/>
            </w:tcMar>
            <w:vAlign w:val="center"/>
          </w:tcPr>
          <w:p w14:paraId="48FC2D0D">
            <w:pPr>
              <w:pStyle w:val="26"/>
              <w:bidi w:val="0"/>
              <w:jc w:val="center"/>
              <w:rPr>
                <w:rFonts w:hint="eastAsia"/>
                <w:lang w:eastAsia="zh-CN"/>
              </w:rPr>
            </w:pPr>
            <w:r>
              <w:t>20</w:t>
            </w:r>
          </w:p>
        </w:tc>
        <w:tc>
          <w:tcPr>
            <w:tcW w:w="536" w:type="pct"/>
            <w:tcMar>
              <w:left w:w="0" w:type="dxa"/>
              <w:right w:w="0" w:type="dxa"/>
            </w:tcMar>
            <w:vAlign w:val="center"/>
          </w:tcPr>
          <w:p w14:paraId="50C047AA">
            <w:pPr>
              <w:pStyle w:val="26"/>
              <w:bidi w:val="0"/>
              <w:jc w:val="center"/>
              <w:rPr>
                <w:rFonts w:hint="default"/>
                <w:lang w:val="en-US" w:eastAsia="zh-CN"/>
              </w:rPr>
            </w:pPr>
            <w:r>
              <w:t>100%</w:t>
            </w:r>
          </w:p>
        </w:tc>
        <w:tc>
          <w:tcPr>
            <w:tcW w:w="536" w:type="pct"/>
            <w:tcMar>
              <w:left w:w="0" w:type="dxa"/>
              <w:right w:w="0" w:type="dxa"/>
            </w:tcMar>
            <w:vAlign w:val="center"/>
          </w:tcPr>
          <w:p w14:paraId="79E6EA8E">
            <w:pPr>
              <w:pStyle w:val="26"/>
              <w:bidi w:val="0"/>
              <w:jc w:val="center"/>
              <w:rPr>
                <w:rFonts w:hint="default"/>
                <w:lang w:val="en-US" w:eastAsia="zh-CN"/>
              </w:rPr>
            </w:pPr>
            <w:r>
              <w:t>3250</w:t>
            </w:r>
          </w:p>
        </w:tc>
        <w:tc>
          <w:tcPr>
            <w:tcW w:w="536" w:type="pct"/>
            <w:tcMar>
              <w:left w:w="0" w:type="dxa"/>
              <w:right w:w="0" w:type="dxa"/>
            </w:tcMar>
            <w:vAlign w:val="center"/>
          </w:tcPr>
          <w:p w14:paraId="6A18D478">
            <w:pPr>
              <w:pStyle w:val="26"/>
              <w:bidi w:val="0"/>
              <w:jc w:val="center"/>
              <w:rPr>
                <w:rFonts w:hint="default"/>
                <w:lang w:val="en-US" w:eastAsia="zh-CN"/>
              </w:rPr>
            </w:pPr>
            <w:r>
              <w:t>163</w:t>
            </w:r>
          </w:p>
        </w:tc>
        <w:tc>
          <w:tcPr>
            <w:tcW w:w="536" w:type="pct"/>
            <w:tcMar>
              <w:left w:w="0" w:type="dxa"/>
              <w:right w:w="0" w:type="dxa"/>
            </w:tcMar>
            <w:vAlign w:val="center"/>
          </w:tcPr>
          <w:p w14:paraId="1365CA7E">
            <w:pPr>
              <w:pStyle w:val="26"/>
              <w:bidi w:val="0"/>
              <w:jc w:val="center"/>
              <w:rPr>
                <w:rFonts w:hint="default"/>
                <w:lang w:val="en-US" w:eastAsia="zh-CN"/>
              </w:rPr>
            </w:pPr>
            <w:r>
              <w:t>7.536</w:t>
            </w:r>
          </w:p>
        </w:tc>
        <w:tc>
          <w:tcPr>
            <w:tcW w:w="539" w:type="pct"/>
            <w:tcMar>
              <w:left w:w="0" w:type="dxa"/>
              <w:right w:w="0" w:type="dxa"/>
            </w:tcMar>
            <w:vAlign w:val="center"/>
          </w:tcPr>
          <w:p w14:paraId="62946218">
            <w:pPr>
              <w:pStyle w:val="26"/>
              <w:bidi w:val="0"/>
              <w:jc w:val="center"/>
              <w:rPr>
                <w:rFonts w:hint="default"/>
                <w:lang w:val="en-US" w:eastAsia="zh-CN"/>
              </w:rPr>
            </w:pPr>
            <w:r>
              <w:t>25717</w:t>
            </w:r>
          </w:p>
        </w:tc>
      </w:tr>
      <w:tr w14:paraId="4CED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restart"/>
            <w:shd w:val="clear" w:color="auto" w:fill="auto"/>
            <w:tcMar>
              <w:left w:w="0" w:type="dxa"/>
              <w:right w:w="0" w:type="dxa"/>
            </w:tcMar>
            <w:vAlign w:val="center"/>
          </w:tcPr>
          <w:p w14:paraId="16447782">
            <w:pPr>
              <w:pStyle w:val="36"/>
              <w:bidi w:val="0"/>
              <w:jc w:val="center"/>
              <w:rPr>
                <w:rFonts w:hint="default" w:eastAsia="仿宋_GB2312"/>
                <w:b w:val="0"/>
                <w:bCs/>
                <w:color w:val="auto"/>
                <w:lang w:val="en-US" w:eastAsia="zh-CN"/>
              </w:rPr>
            </w:pPr>
            <w:r>
              <w:rPr>
                <w:rFonts w:hint="default" w:eastAsia="仿宋_GB2312"/>
                <w:b w:val="0"/>
                <w:bCs/>
                <w:color w:val="auto"/>
                <w:lang w:val="en-US" w:eastAsia="zh-CN"/>
              </w:rPr>
              <w:t>微精版</w:t>
            </w:r>
          </w:p>
        </w:tc>
        <w:tc>
          <w:tcPr>
            <w:tcW w:w="536" w:type="pct"/>
            <w:tcMar>
              <w:left w:w="0" w:type="dxa"/>
              <w:right w:w="0" w:type="dxa"/>
            </w:tcMar>
            <w:vAlign w:val="center"/>
          </w:tcPr>
          <w:p w14:paraId="02BCAAC2">
            <w:pPr>
              <w:pStyle w:val="26"/>
              <w:bidi w:val="0"/>
              <w:jc w:val="center"/>
              <w:rPr>
                <w:rFonts w:hint="eastAsia"/>
              </w:rPr>
            </w:pPr>
            <w:r>
              <w:t>碱铜</w:t>
            </w:r>
          </w:p>
        </w:tc>
        <w:tc>
          <w:tcPr>
            <w:tcW w:w="536" w:type="pct"/>
            <w:tcMar>
              <w:left w:w="0" w:type="dxa"/>
              <w:right w:w="0" w:type="dxa"/>
            </w:tcMar>
            <w:vAlign w:val="center"/>
          </w:tcPr>
          <w:p w14:paraId="6AD270C6">
            <w:pPr>
              <w:pStyle w:val="26"/>
              <w:bidi w:val="0"/>
              <w:jc w:val="center"/>
              <w:rPr>
                <w:rFonts w:hint="default"/>
                <w:lang w:val="en-US" w:eastAsia="zh-CN"/>
              </w:rPr>
            </w:pPr>
            <w:r>
              <w:t>1</w:t>
            </w:r>
          </w:p>
        </w:tc>
        <w:tc>
          <w:tcPr>
            <w:tcW w:w="536" w:type="pct"/>
            <w:tcMar>
              <w:left w:w="0" w:type="dxa"/>
              <w:right w:w="0" w:type="dxa"/>
            </w:tcMar>
            <w:vAlign w:val="center"/>
          </w:tcPr>
          <w:p w14:paraId="67CAA291">
            <w:pPr>
              <w:pStyle w:val="26"/>
              <w:bidi w:val="0"/>
              <w:jc w:val="center"/>
              <w:rPr>
                <w:rFonts w:hint="eastAsia"/>
                <w:lang w:eastAsia="zh-CN"/>
              </w:rPr>
            </w:pPr>
            <w:r>
              <w:t>0.8</w:t>
            </w:r>
          </w:p>
        </w:tc>
        <w:tc>
          <w:tcPr>
            <w:tcW w:w="536" w:type="pct"/>
            <w:tcMar>
              <w:left w:w="0" w:type="dxa"/>
              <w:right w:w="0" w:type="dxa"/>
            </w:tcMar>
            <w:vAlign w:val="center"/>
          </w:tcPr>
          <w:p w14:paraId="12FBC694">
            <w:pPr>
              <w:pStyle w:val="26"/>
              <w:bidi w:val="0"/>
              <w:jc w:val="center"/>
              <w:rPr>
                <w:rFonts w:hint="default"/>
                <w:lang w:val="en-US" w:eastAsia="zh-CN"/>
              </w:rPr>
            </w:pPr>
            <w:r>
              <w:t>100%</w:t>
            </w:r>
          </w:p>
        </w:tc>
        <w:tc>
          <w:tcPr>
            <w:tcW w:w="536" w:type="pct"/>
            <w:tcMar>
              <w:left w:w="0" w:type="dxa"/>
              <w:right w:w="0" w:type="dxa"/>
            </w:tcMar>
            <w:vAlign w:val="center"/>
          </w:tcPr>
          <w:p w14:paraId="11000795">
            <w:pPr>
              <w:pStyle w:val="26"/>
              <w:bidi w:val="0"/>
              <w:jc w:val="center"/>
              <w:rPr>
                <w:rFonts w:hint="default"/>
                <w:lang w:val="en-US" w:eastAsia="zh-CN"/>
              </w:rPr>
            </w:pPr>
            <w:r>
              <w:t>8500</w:t>
            </w:r>
          </w:p>
        </w:tc>
        <w:tc>
          <w:tcPr>
            <w:tcW w:w="536" w:type="pct"/>
            <w:tcMar>
              <w:left w:w="0" w:type="dxa"/>
              <w:right w:w="0" w:type="dxa"/>
            </w:tcMar>
            <w:vAlign w:val="center"/>
          </w:tcPr>
          <w:p w14:paraId="41358765">
            <w:pPr>
              <w:pStyle w:val="26"/>
              <w:bidi w:val="0"/>
              <w:jc w:val="center"/>
              <w:rPr>
                <w:rFonts w:hint="default"/>
                <w:lang w:val="en-US" w:eastAsia="zh-CN"/>
              </w:rPr>
            </w:pPr>
            <w:r>
              <w:t>425</w:t>
            </w:r>
          </w:p>
        </w:tc>
        <w:tc>
          <w:tcPr>
            <w:tcW w:w="536" w:type="pct"/>
            <w:tcMar>
              <w:left w:w="0" w:type="dxa"/>
              <w:right w:w="0" w:type="dxa"/>
            </w:tcMar>
            <w:vAlign w:val="center"/>
          </w:tcPr>
          <w:p w14:paraId="582903B6">
            <w:pPr>
              <w:pStyle w:val="26"/>
              <w:bidi w:val="0"/>
              <w:jc w:val="center"/>
              <w:rPr>
                <w:rFonts w:hint="default"/>
                <w:lang w:val="en-US" w:eastAsia="zh-CN"/>
              </w:rPr>
            </w:pPr>
            <w:r>
              <w:t>3.6738</w:t>
            </w:r>
          </w:p>
        </w:tc>
        <w:tc>
          <w:tcPr>
            <w:tcW w:w="539" w:type="pct"/>
            <w:tcMar>
              <w:left w:w="0" w:type="dxa"/>
              <w:right w:w="0" w:type="dxa"/>
            </w:tcMar>
            <w:vAlign w:val="center"/>
          </w:tcPr>
          <w:p w14:paraId="3ABEA9F6">
            <w:pPr>
              <w:pStyle w:val="26"/>
              <w:bidi w:val="0"/>
              <w:jc w:val="center"/>
              <w:rPr>
                <w:rFonts w:hint="default"/>
                <w:lang w:val="en-US" w:eastAsia="zh-CN"/>
              </w:rPr>
            </w:pPr>
            <w:r>
              <w:t>32789</w:t>
            </w:r>
          </w:p>
        </w:tc>
      </w:tr>
      <w:tr w14:paraId="11A1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continue"/>
            <w:shd w:val="clear" w:color="auto" w:fill="auto"/>
            <w:tcMar>
              <w:left w:w="0" w:type="dxa"/>
              <w:right w:w="0" w:type="dxa"/>
            </w:tcMar>
            <w:vAlign w:val="center"/>
          </w:tcPr>
          <w:p w14:paraId="04C57F00">
            <w:pPr>
              <w:pStyle w:val="36"/>
              <w:bidi w:val="0"/>
              <w:jc w:val="center"/>
              <w:rPr>
                <w:rFonts w:hint="default" w:eastAsia="仿宋_GB2312"/>
                <w:b w:val="0"/>
                <w:bCs/>
                <w:color w:val="auto"/>
                <w:lang w:val="en-US" w:eastAsia="zh-CN"/>
              </w:rPr>
            </w:pPr>
          </w:p>
        </w:tc>
        <w:tc>
          <w:tcPr>
            <w:tcW w:w="536" w:type="pct"/>
            <w:tcMar>
              <w:left w:w="0" w:type="dxa"/>
              <w:right w:w="0" w:type="dxa"/>
            </w:tcMar>
            <w:vAlign w:val="center"/>
          </w:tcPr>
          <w:p w14:paraId="1DF0C913">
            <w:pPr>
              <w:pStyle w:val="26"/>
              <w:bidi w:val="0"/>
              <w:jc w:val="center"/>
              <w:rPr>
                <w:rFonts w:hint="eastAsia"/>
              </w:rPr>
            </w:pPr>
            <w:r>
              <w:t>镀铜</w:t>
            </w:r>
          </w:p>
        </w:tc>
        <w:tc>
          <w:tcPr>
            <w:tcW w:w="536" w:type="pct"/>
            <w:tcMar>
              <w:left w:w="0" w:type="dxa"/>
              <w:right w:w="0" w:type="dxa"/>
            </w:tcMar>
            <w:vAlign w:val="center"/>
          </w:tcPr>
          <w:p w14:paraId="0143339E">
            <w:pPr>
              <w:pStyle w:val="26"/>
              <w:bidi w:val="0"/>
              <w:jc w:val="center"/>
              <w:rPr>
                <w:rFonts w:hint="default"/>
                <w:lang w:val="en-US" w:eastAsia="zh-CN"/>
              </w:rPr>
            </w:pPr>
            <w:r>
              <w:t>1</w:t>
            </w:r>
          </w:p>
        </w:tc>
        <w:tc>
          <w:tcPr>
            <w:tcW w:w="536" w:type="pct"/>
            <w:tcMar>
              <w:left w:w="0" w:type="dxa"/>
              <w:right w:w="0" w:type="dxa"/>
            </w:tcMar>
            <w:vAlign w:val="center"/>
          </w:tcPr>
          <w:p w14:paraId="32055DBA">
            <w:pPr>
              <w:pStyle w:val="26"/>
              <w:bidi w:val="0"/>
              <w:jc w:val="center"/>
              <w:rPr>
                <w:rFonts w:hint="eastAsia"/>
                <w:lang w:eastAsia="zh-CN"/>
              </w:rPr>
            </w:pPr>
            <w:r>
              <w:t>70</w:t>
            </w:r>
          </w:p>
        </w:tc>
        <w:tc>
          <w:tcPr>
            <w:tcW w:w="536" w:type="pct"/>
            <w:tcMar>
              <w:left w:w="0" w:type="dxa"/>
              <w:right w:w="0" w:type="dxa"/>
            </w:tcMar>
            <w:vAlign w:val="center"/>
          </w:tcPr>
          <w:p w14:paraId="53BC0BC3">
            <w:pPr>
              <w:pStyle w:val="26"/>
              <w:bidi w:val="0"/>
              <w:jc w:val="center"/>
              <w:rPr>
                <w:rFonts w:hint="default"/>
                <w:lang w:val="en-US" w:eastAsia="zh-CN"/>
              </w:rPr>
            </w:pPr>
            <w:r>
              <w:t>100%</w:t>
            </w:r>
          </w:p>
        </w:tc>
        <w:tc>
          <w:tcPr>
            <w:tcW w:w="536" w:type="pct"/>
            <w:tcMar>
              <w:left w:w="0" w:type="dxa"/>
              <w:right w:w="0" w:type="dxa"/>
            </w:tcMar>
            <w:vAlign w:val="center"/>
          </w:tcPr>
          <w:p w14:paraId="4D0F29BD">
            <w:pPr>
              <w:pStyle w:val="26"/>
              <w:bidi w:val="0"/>
              <w:jc w:val="center"/>
              <w:rPr>
                <w:rFonts w:hint="default"/>
                <w:lang w:val="en-US" w:eastAsia="zh-CN"/>
              </w:rPr>
            </w:pPr>
            <w:r>
              <w:t>8500</w:t>
            </w:r>
          </w:p>
        </w:tc>
        <w:tc>
          <w:tcPr>
            <w:tcW w:w="536" w:type="pct"/>
            <w:tcMar>
              <w:left w:w="0" w:type="dxa"/>
              <w:right w:w="0" w:type="dxa"/>
            </w:tcMar>
            <w:vAlign w:val="center"/>
          </w:tcPr>
          <w:p w14:paraId="056F5BC9">
            <w:pPr>
              <w:pStyle w:val="26"/>
              <w:bidi w:val="0"/>
              <w:jc w:val="center"/>
              <w:rPr>
                <w:rFonts w:hint="default"/>
                <w:lang w:val="en-US" w:eastAsia="zh-CN"/>
              </w:rPr>
            </w:pPr>
            <w:r>
              <w:t>425</w:t>
            </w:r>
          </w:p>
        </w:tc>
        <w:tc>
          <w:tcPr>
            <w:tcW w:w="536" w:type="pct"/>
            <w:tcMar>
              <w:left w:w="0" w:type="dxa"/>
              <w:right w:w="0" w:type="dxa"/>
            </w:tcMar>
            <w:vAlign w:val="center"/>
          </w:tcPr>
          <w:p w14:paraId="6D2065B2">
            <w:pPr>
              <w:pStyle w:val="26"/>
              <w:bidi w:val="0"/>
              <w:jc w:val="center"/>
              <w:rPr>
                <w:rFonts w:hint="default"/>
                <w:lang w:val="en-US" w:eastAsia="zh-CN"/>
              </w:rPr>
            </w:pPr>
            <w:r>
              <w:t>3.6738</w:t>
            </w:r>
          </w:p>
        </w:tc>
        <w:tc>
          <w:tcPr>
            <w:tcW w:w="539" w:type="pct"/>
            <w:tcMar>
              <w:left w:w="0" w:type="dxa"/>
              <w:right w:w="0" w:type="dxa"/>
            </w:tcMar>
            <w:vAlign w:val="center"/>
          </w:tcPr>
          <w:p w14:paraId="05067877">
            <w:pPr>
              <w:pStyle w:val="26"/>
              <w:bidi w:val="0"/>
              <w:jc w:val="center"/>
              <w:rPr>
                <w:rFonts w:hint="default"/>
                <w:lang w:val="en-US" w:eastAsia="zh-CN"/>
              </w:rPr>
            </w:pPr>
            <w:r>
              <w:t>32789</w:t>
            </w:r>
          </w:p>
        </w:tc>
      </w:tr>
      <w:tr w14:paraId="37FE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8" w:type="pct"/>
            <w:vMerge w:val="continue"/>
            <w:shd w:val="clear" w:color="auto" w:fill="auto"/>
            <w:tcMar>
              <w:left w:w="0" w:type="dxa"/>
              <w:right w:w="0" w:type="dxa"/>
            </w:tcMar>
            <w:vAlign w:val="center"/>
          </w:tcPr>
          <w:p w14:paraId="14D08ACD">
            <w:pPr>
              <w:pStyle w:val="36"/>
              <w:bidi w:val="0"/>
              <w:jc w:val="center"/>
              <w:rPr>
                <w:rFonts w:hint="default" w:eastAsia="仿宋_GB2312"/>
                <w:b w:val="0"/>
                <w:bCs/>
                <w:color w:val="auto"/>
                <w:lang w:val="en-US" w:eastAsia="zh-CN"/>
              </w:rPr>
            </w:pPr>
          </w:p>
        </w:tc>
        <w:tc>
          <w:tcPr>
            <w:tcW w:w="536" w:type="pct"/>
            <w:tcMar>
              <w:left w:w="0" w:type="dxa"/>
              <w:right w:w="0" w:type="dxa"/>
            </w:tcMar>
            <w:vAlign w:val="center"/>
          </w:tcPr>
          <w:p w14:paraId="7118191C">
            <w:pPr>
              <w:pStyle w:val="26"/>
              <w:bidi w:val="0"/>
              <w:jc w:val="center"/>
              <w:rPr>
                <w:rFonts w:hint="eastAsia"/>
              </w:rPr>
            </w:pPr>
            <w:r>
              <w:t>镀铬</w:t>
            </w:r>
          </w:p>
        </w:tc>
        <w:tc>
          <w:tcPr>
            <w:tcW w:w="536" w:type="pct"/>
            <w:tcMar>
              <w:left w:w="0" w:type="dxa"/>
              <w:right w:w="0" w:type="dxa"/>
            </w:tcMar>
            <w:vAlign w:val="center"/>
          </w:tcPr>
          <w:p w14:paraId="014D94FB">
            <w:pPr>
              <w:pStyle w:val="26"/>
              <w:bidi w:val="0"/>
              <w:jc w:val="center"/>
              <w:rPr>
                <w:rFonts w:hint="default"/>
                <w:lang w:val="en-US" w:eastAsia="zh-CN"/>
              </w:rPr>
            </w:pPr>
            <w:r>
              <w:t>1</w:t>
            </w:r>
          </w:p>
        </w:tc>
        <w:tc>
          <w:tcPr>
            <w:tcW w:w="536" w:type="pct"/>
            <w:tcMar>
              <w:left w:w="0" w:type="dxa"/>
              <w:right w:w="0" w:type="dxa"/>
            </w:tcMar>
            <w:vAlign w:val="center"/>
          </w:tcPr>
          <w:p w14:paraId="44C8E041">
            <w:pPr>
              <w:pStyle w:val="26"/>
              <w:bidi w:val="0"/>
              <w:jc w:val="center"/>
              <w:rPr>
                <w:rFonts w:hint="eastAsia"/>
                <w:lang w:eastAsia="zh-CN"/>
              </w:rPr>
            </w:pPr>
            <w:r>
              <w:t>10</w:t>
            </w:r>
          </w:p>
        </w:tc>
        <w:tc>
          <w:tcPr>
            <w:tcW w:w="536" w:type="pct"/>
            <w:tcMar>
              <w:left w:w="0" w:type="dxa"/>
              <w:right w:w="0" w:type="dxa"/>
            </w:tcMar>
            <w:vAlign w:val="center"/>
          </w:tcPr>
          <w:p w14:paraId="30D79817">
            <w:pPr>
              <w:pStyle w:val="26"/>
              <w:bidi w:val="0"/>
              <w:jc w:val="center"/>
              <w:rPr>
                <w:rFonts w:hint="default"/>
                <w:lang w:val="en-US" w:eastAsia="zh-CN"/>
              </w:rPr>
            </w:pPr>
            <w:r>
              <w:t>100%</w:t>
            </w:r>
          </w:p>
        </w:tc>
        <w:tc>
          <w:tcPr>
            <w:tcW w:w="536" w:type="pct"/>
            <w:tcMar>
              <w:left w:w="0" w:type="dxa"/>
              <w:right w:w="0" w:type="dxa"/>
            </w:tcMar>
            <w:vAlign w:val="center"/>
          </w:tcPr>
          <w:p w14:paraId="4AB09130">
            <w:pPr>
              <w:pStyle w:val="26"/>
              <w:bidi w:val="0"/>
              <w:jc w:val="center"/>
              <w:rPr>
                <w:rFonts w:hint="default"/>
                <w:lang w:val="en-US" w:eastAsia="zh-CN"/>
              </w:rPr>
            </w:pPr>
            <w:r>
              <w:t>8500</w:t>
            </w:r>
          </w:p>
        </w:tc>
        <w:tc>
          <w:tcPr>
            <w:tcW w:w="536" w:type="pct"/>
            <w:tcMar>
              <w:left w:w="0" w:type="dxa"/>
              <w:right w:w="0" w:type="dxa"/>
            </w:tcMar>
            <w:vAlign w:val="center"/>
          </w:tcPr>
          <w:p w14:paraId="56BC1443">
            <w:pPr>
              <w:pStyle w:val="26"/>
              <w:bidi w:val="0"/>
              <w:jc w:val="center"/>
              <w:rPr>
                <w:rFonts w:hint="default"/>
                <w:lang w:val="en-US" w:eastAsia="zh-CN"/>
              </w:rPr>
            </w:pPr>
            <w:r>
              <w:t>425</w:t>
            </w:r>
          </w:p>
        </w:tc>
        <w:tc>
          <w:tcPr>
            <w:tcW w:w="536" w:type="pct"/>
            <w:tcMar>
              <w:left w:w="0" w:type="dxa"/>
              <w:right w:w="0" w:type="dxa"/>
            </w:tcMar>
            <w:vAlign w:val="center"/>
          </w:tcPr>
          <w:p w14:paraId="01A08F3F">
            <w:pPr>
              <w:pStyle w:val="26"/>
              <w:bidi w:val="0"/>
              <w:jc w:val="center"/>
              <w:rPr>
                <w:rFonts w:hint="default"/>
                <w:lang w:val="en-US" w:eastAsia="zh-CN"/>
              </w:rPr>
            </w:pPr>
            <w:r>
              <w:t>3.6738</w:t>
            </w:r>
          </w:p>
        </w:tc>
        <w:tc>
          <w:tcPr>
            <w:tcW w:w="539" w:type="pct"/>
            <w:tcMar>
              <w:left w:w="0" w:type="dxa"/>
              <w:right w:w="0" w:type="dxa"/>
            </w:tcMar>
            <w:vAlign w:val="center"/>
          </w:tcPr>
          <w:p w14:paraId="5CD870E1">
            <w:pPr>
              <w:pStyle w:val="26"/>
              <w:bidi w:val="0"/>
              <w:jc w:val="center"/>
              <w:rPr>
                <w:rFonts w:hint="default"/>
                <w:lang w:val="en-US" w:eastAsia="zh-CN"/>
              </w:rPr>
            </w:pPr>
            <w:r>
              <w:t>32789</w:t>
            </w:r>
          </w:p>
        </w:tc>
      </w:tr>
      <w:tr w14:paraId="1D0E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60" w:type="pct"/>
            <w:gridSpan w:val="8"/>
            <w:shd w:val="clear" w:color="auto" w:fill="auto"/>
            <w:tcMar>
              <w:left w:w="0" w:type="dxa"/>
              <w:right w:w="0" w:type="dxa"/>
            </w:tcMar>
            <w:vAlign w:val="center"/>
          </w:tcPr>
          <w:p w14:paraId="78955169">
            <w:pPr>
              <w:pStyle w:val="36"/>
              <w:bidi w:val="0"/>
              <w:jc w:val="center"/>
              <w:rPr>
                <w:rFonts w:hint="default"/>
                <w:b w:val="0"/>
                <w:bCs/>
                <w:color w:val="auto"/>
                <w:lang w:val="en-US" w:eastAsia="zh-CN"/>
              </w:rPr>
            </w:pPr>
            <w:r>
              <w:rPr>
                <w:rFonts w:hint="eastAsia"/>
                <w:b w:val="0"/>
                <w:bCs/>
                <w:color w:val="auto"/>
                <w:lang w:val="en-US" w:eastAsia="zh-CN"/>
              </w:rPr>
              <w:t>合计</w:t>
            </w:r>
          </w:p>
        </w:tc>
        <w:tc>
          <w:tcPr>
            <w:tcW w:w="539" w:type="pct"/>
            <w:tcMar>
              <w:left w:w="0" w:type="dxa"/>
              <w:right w:w="0" w:type="dxa"/>
            </w:tcMar>
            <w:vAlign w:val="center"/>
          </w:tcPr>
          <w:p w14:paraId="2D5D40B0">
            <w:pPr>
              <w:pStyle w:val="36"/>
              <w:bidi w:val="0"/>
              <w:jc w:val="center"/>
              <w:rPr>
                <w:rFonts w:hint="default"/>
                <w:b w:val="0"/>
                <w:bCs/>
                <w:color w:val="auto"/>
                <w:lang w:val="en-US" w:eastAsia="zh-CN"/>
              </w:rPr>
            </w:pPr>
            <w:r>
              <w:rPr>
                <w:rFonts w:hint="default"/>
                <w:b w:val="0"/>
                <w:bCs/>
                <w:color w:val="auto"/>
                <w:lang w:val="en-US" w:eastAsia="zh-CN"/>
              </w:rPr>
              <w:t>170626</w:t>
            </w:r>
          </w:p>
        </w:tc>
      </w:tr>
    </w:tbl>
    <w:p w14:paraId="150257C1">
      <w:pPr>
        <w:pStyle w:val="26"/>
        <w:bidi w:val="0"/>
        <w:jc w:val="left"/>
        <w:rPr>
          <w:rFonts w:hint="eastAsia"/>
          <w:lang w:val="en-US" w:eastAsia="zh-CN"/>
        </w:rPr>
      </w:pPr>
      <w:r>
        <w:rPr>
          <w:rFonts w:hint="eastAsia"/>
          <w:lang w:val="en-US" w:eastAsia="zh-CN"/>
        </w:rPr>
        <w:t>备注：</w:t>
      </w:r>
    </w:p>
    <w:p w14:paraId="5C624915">
      <w:pPr>
        <w:pStyle w:val="26"/>
        <w:bidi w:val="0"/>
        <w:jc w:val="left"/>
        <w:rPr>
          <w:rFonts w:hint="eastAsia"/>
        </w:rPr>
      </w:pPr>
      <w:r>
        <w:rPr>
          <w:rFonts w:hint="eastAsia"/>
        </w:rPr>
        <w:t>①按产品总量的 5％计算。</w:t>
      </w:r>
    </w:p>
    <w:p w14:paraId="4195960B">
      <w:pPr>
        <w:pStyle w:val="26"/>
        <w:bidi w:val="0"/>
        <w:jc w:val="left"/>
        <w:rPr>
          <w:rFonts w:hint="eastAsia"/>
        </w:rPr>
      </w:pPr>
      <w:r>
        <w:rPr>
          <w:rFonts w:hint="eastAsia"/>
        </w:rPr>
        <w:t>②本次按最大面积核算：版辊面积为版辊圆柱体表面积，不含两端。单个版辊表面积 2×3.14×0.3×4=7.536（m2）、2×3.14×0.325×1.8=3.6738（m</w:t>
      </w:r>
      <w:r>
        <w:rPr>
          <w:rFonts w:hint="eastAsia"/>
          <w:vertAlign w:val="superscript"/>
        </w:rPr>
        <w:t>2</w:t>
      </w:r>
      <w:r>
        <w:rPr>
          <w:rFonts w:hint="eastAsia"/>
        </w:rPr>
        <w:t>）</w:t>
      </w:r>
    </w:p>
    <w:p w14:paraId="77C0BFEF">
      <w:pPr>
        <w:pStyle w:val="26"/>
        <w:bidi w:val="0"/>
        <w:jc w:val="left"/>
        <w:rPr>
          <w:rFonts w:hint="eastAsia"/>
        </w:rPr>
      </w:pPr>
      <w:r>
        <w:rPr>
          <w:rFonts w:hint="eastAsia"/>
        </w:rPr>
        <w:t>③其中10％压纹版辊不需要碱铜及镀铜，直接镀铬即可。</w:t>
      </w:r>
    </w:p>
    <w:p w14:paraId="7E3E618C">
      <w:pPr>
        <w:pStyle w:val="3"/>
        <w:bidi w:val="0"/>
        <w:rPr>
          <w:color w:val="auto"/>
          <w:lang w:val="en-US" w:eastAsia="zh-CN"/>
        </w:rPr>
      </w:pPr>
      <w:bookmarkStart w:id="109" w:name="_Toc31594"/>
      <w:bookmarkStart w:id="110" w:name="_Toc27269"/>
      <w:r>
        <w:rPr>
          <w:rFonts w:hint="eastAsia"/>
          <w:color w:val="auto"/>
          <w:lang w:val="en-US" w:eastAsia="zh-CN"/>
        </w:rPr>
        <w:t>现有项目公用及辅助工程</w:t>
      </w:r>
      <w:bookmarkEnd w:id="109"/>
      <w:bookmarkEnd w:id="110"/>
    </w:p>
    <w:p w14:paraId="3A313644">
      <w:pPr>
        <w:rPr>
          <w:rFonts w:eastAsia="宋体"/>
          <w:color w:val="auto"/>
          <w:sz w:val="24"/>
          <w:szCs w:val="24"/>
        </w:rPr>
      </w:pPr>
      <w:r>
        <w:rPr>
          <w:rFonts w:hint="eastAsia"/>
          <w:color w:val="auto"/>
        </w:rPr>
        <w:t>现有项目主体及公辅情况详</w:t>
      </w:r>
      <w:r>
        <w:rPr>
          <w:color w:val="auto"/>
        </w:rPr>
        <w:t>见</w:t>
      </w:r>
      <w:r>
        <w:rPr>
          <w:color w:val="auto"/>
        </w:rPr>
        <w:fldChar w:fldCharType="begin"/>
      </w:r>
      <w:r>
        <w:rPr>
          <w:color w:val="auto"/>
        </w:rPr>
        <w:instrText xml:space="preserve"> REF _Ref159332463 \h </w:instrText>
      </w:r>
      <w:r>
        <w:rPr>
          <w:color w:val="auto"/>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3.2</w:t>
      </w:r>
      <w:r>
        <w:rPr>
          <w:color w:val="auto"/>
        </w:rPr>
        <w:fldChar w:fldCharType="end"/>
      </w:r>
      <w:r>
        <w:rPr>
          <w:color w:val="auto"/>
        </w:rPr>
        <w:noBreakHyphen/>
      </w:r>
      <w:r>
        <w:rPr>
          <w:color w:val="auto"/>
        </w:rPr>
        <w:t>1</w:t>
      </w:r>
      <w:r>
        <w:rPr>
          <w:color w:val="auto"/>
        </w:rPr>
        <w:fldChar w:fldCharType="end"/>
      </w:r>
      <w:r>
        <w:rPr>
          <w:rFonts w:hint="eastAsia"/>
          <w:color w:val="auto"/>
        </w:rPr>
        <w:t>。</w:t>
      </w:r>
    </w:p>
    <w:p w14:paraId="0CFB92AB">
      <w:pPr>
        <w:pStyle w:val="25"/>
        <w:bidi w:val="0"/>
        <w:rPr>
          <w:color w:val="auto"/>
          <w:lang w:val="en-US" w:eastAsia="zh-CN"/>
        </w:rPr>
      </w:pPr>
      <w:bookmarkStart w:id="111" w:name="_Ref159332463"/>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3.2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bookmarkEnd w:id="111"/>
      <w:r>
        <w:rPr>
          <w:color w:val="auto"/>
          <w:lang w:val="en-US" w:eastAsia="zh-CN"/>
        </w:rPr>
        <w:t>现有</w:t>
      </w:r>
      <w:r>
        <w:rPr>
          <w:rFonts w:hint="eastAsia"/>
          <w:color w:val="auto"/>
          <w:lang w:val="en-US" w:eastAsia="zh-CN"/>
        </w:rPr>
        <w:t>项目公辅工程一览表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72"/>
        <w:gridCol w:w="890"/>
        <w:gridCol w:w="895"/>
        <w:gridCol w:w="2079"/>
        <w:gridCol w:w="2081"/>
        <w:gridCol w:w="1602"/>
      </w:tblGrid>
      <w:tr w14:paraId="72D9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70" w:type="pct"/>
            <w:shd w:val="clear" w:color="auto" w:fill="auto"/>
            <w:vAlign w:val="center"/>
          </w:tcPr>
          <w:p w14:paraId="12D9FF1B">
            <w:pPr>
              <w:pStyle w:val="36"/>
              <w:bidi w:val="0"/>
              <w:rPr>
                <w:color w:val="auto"/>
              </w:rPr>
            </w:pPr>
            <w:r>
              <w:rPr>
                <w:rFonts w:hint="eastAsia"/>
                <w:color w:val="auto"/>
                <w:lang w:val="en-US" w:eastAsia="zh-CN"/>
              </w:rPr>
              <w:t>类别</w:t>
            </w:r>
          </w:p>
        </w:tc>
        <w:tc>
          <w:tcPr>
            <w:tcW w:w="1047" w:type="pct"/>
            <w:gridSpan w:val="2"/>
            <w:shd w:val="clear" w:color="auto" w:fill="auto"/>
            <w:vAlign w:val="center"/>
          </w:tcPr>
          <w:p w14:paraId="7E192687">
            <w:pPr>
              <w:pStyle w:val="36"/>
              <w:bidi w:val="0"/>
              <w:rPr>
                <w:rFonts w:hint="eastAsia"/>
                <w:color w:val="auto"/>
              </w:rPr>
            </w:pPr>
            <w:r>
              <w:rPr>
                <w:rFonts w:hint="eastAsia"/>
                <w:color w:val="auto"/>
                <w:lang w:val="en-US" w:eastAsia="zh-CN"/>
              </w:rPr>
              <w:t>建设名称</w:t>
            </w:r>
          </w:p>
        </w:tc>
        <w:tc>
          <w:tcPr>
            <w:tcW w:w="2441" w:type="pct"/>
            <w:gridSpan w:val="2"/>
            <w:shd w:val="clear" w:color="auto" w:fill="auto"/>
            <w:vAlign w:val="center"/>
          </w:tcPr>
          <w:p w14:paraId="2CC1AA3C">
            <w:pPr>
              <w:pStyle w:val="36"/>
              <w:bidi w:val="0"/>
              <w:rPr>
                <w:rFonts w:hint="default"/>
                <w:color w:val="auto"/>
                <w:lang w:val="en-US"/>
              </w:rPr>
            </w:pPr>
            <w:r>
              <w:rPr>
                <w:rFonts w:hint="eastAsia"/>
                <w:color w:val="auto"/>
                <w:lang w:val="en-US" w:eastAsia="zh-CN"/>
              </w:rPr>
              <w:t>建设内容</w:t>
            </w:r>
          </w:p>
        </w:tc>
        <w:tc>
          <w:tcPr>
            <w:tcW w:w="940" w:type="pct"/>
            <w:shd w:val="clear" w:color="auto" w:fill="auto"/>
            <w:vAlign w:val="center"/>
          </w:tcPr>
          <w:p w14:paraId="02F7277D">
            <w:pPr>
              <w:pStyle w:val="36"/>
              <w:bidi w:val="0"/>
              <w:rPr>
                <w:rFonts w:hint="default"/>
                <w:color w:val="auto"/>
                <w:lang w:val="en-US" w:eastAsia="zh-CN"/>
              </w:rPr>
            </w:pPr>
            <w:r>
              <w:rPr>
                <w:rFonts w:hint="eastAsia"/>
                <w:color w:val="auto"/>
                <w:lang w:val="en-US" w:eastAsia="zh-CN"/>
              </w:rPr>
              <w:t>备注</w:t>
            </w:r>
          </w:p>
        </w:tc>
      </w:tr>
      <w:tr w14:paraId="61B7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0" w:type="pct"/>
            <w:vMerge w:val="restart"/>
            <w:shd w:val="clear" w:color="auto" w:fill="auto"/>
            <w:vAlign w:val="center"/>
          </w:tcPr>
          <w:p w14:paraId="340A61F4">
            <w:pPr>
              <w:pStyle w:val="26"/>
              <w:bidi w:val="0"/>
              <w:rPr>
                <w:rFonts w:hint="eastAsia"/>
                <w:color w:val="auto"/>
              </w:rPr>
            </w:pPr>
            <w:r>
              <w:rPr>
                <w:rFonts w:hint="eastAsia"/>
                <w:color w:val="auto"/>
                <w:lang w:val="en-US" w:eastAsia="zh-CN"/>
              </w:rPr>
              <w:t>主体工程</w:t>
            </w:r>
          </w:p>
        </w:tc>
        <w:tc>
          <w:tcPr>
            <w:tcW w:w="1047" w:type="pct"/>
            <w:gridSpan w:val="2"/>
            <w:shd w:val="clear" w:color="auto" w:fill="auto"/>
            <w:vAlign w:val="center"/>
          </w:tcPr>
          <w:p w14:paraId="243121E3">
            <w:pPr>
              <w:pStyle w:val="26"/>
              <w:bidi w:val="0"/>
              <w:rPr>
                <w:rFonts w:hint="default"/>
                <w:color w:val="auto"/>
                <w:lang w:val="en-US" w:eastAsia="zh-CN"/>
              </w:rPr>
            </w:pPr>
            <w:r>
              <w:rPr>
                <w:rFonts w:hint="default"/>
                <w:color w:val="auto"/>
                <w:lang w:val="en-US" w:eastAsia="zh-CN"/>
              </w:rPr>
              <w:t>1#</w:t>
            </w:r>
            <w:r>
              <w:rPr>
                <w:rFonts w:hint="eastAsia"/>
                <w:color w:val="auto"/>
                <w:lang w:val="en-US" w:eastAsia="zh-CN"/>
              </w:rPr>
              <w:t>车间</w:t>
            </w:r>
          </w:p>
        </w:tc>
        <w:tc>
          <w:tcPr>
            <w:tcW w:w="2441" w:type="pct"/>
            <w:gridSpan w:val="2"/>
            <w:shd w:val="clear" w:color="auto" w:fill="auto"/>
            <w:vAlign w:val="center"/>
          </w:tcPr>
          <w:p w14:paraId="7CC5FF90">
            <w:pPr>
              <w:pStyle w:val="26"/>
              <w:bidi w:val="0"/>
              <w:rPr>
                <w:rFonts w:hint="eastAsia"/>
                <w:color w:val="auto"/>
              </w:rPr>
            </w:pPr>
            <w:r>
              <w:rPr>
                <w:rFonts w:hint="eastAsia"/>
                <w:color w:val="auto"/>
              </w:rPr>
              <w:t>1 条自动电镀生产线，</w:t>
            </w:r>
          </w:p>
          <w:p w14:paraId="6960C753">
            <w:pPr>
              <w:pStyle w:val="26"/>
              <w:bidi w:val="0"/>
              <w:rPr>
                <w:rFonts w:hint="eastAsia"/>
                <w:color w:val="auto"/>
              </w:rPr>
            </w:pPr>
            <w:r>
              <w:rPr>
                <w:rFonts w:hint="eastAsia"/>
                <w:color w:val="auto"/>
              </w:rPr>
              <w:t>年处理加工 3250 支压纹版辊，总电镀面积约 72259m</w:t>
            </w:r>
            <w:r>
              <w:rPr>
                <w:rFonts w:hint="eastAsia"/>
                <w:color w:val="auto"/>
                <w:vertAlign w:val="superscript"/>
              </w:rPr>
              <w:t>2</w:t>
            </w:r>
            <w:r>
              <w:rPr>
                <w:rFonts w:hint="eastAsia"/>
                <w:color w:val="auto"/>
              </w:rPr>
              <w:t>/a</w:t>
            </w:r>
          </w:p>
        </w:tc>
        <w:tc>
          <w:tcPr>
            <w:tcW w:w="940" w:type="pct"/>
            <w:shd w:val="clear" w:color="auto" w:fill="auto"/>
            <w:vAlign w:val="center"/>
          </w:tcPr>
          <w:p w14:paraId="69753F35">
            <w:pPr>
              <w:pStyle w:val="26"/>
              <w:bidi w:val="0"/>
              <w:rPr>
                <w:rFonts w:hint="default"/>
                <w:color w:val="auto"/>
                <w:lang w:val="en-US" w:eastAsia="zh-CN"/>
              </w:rPr>
            </w:pPr>
            <w:r>
              <w:rPr>
                <w:rFonts w:hint="eastAsia"/>
                <w:color w:val="auto"/>
                <w:lang w:val="en-US" w:eastAsia="zh-CN"/>
              </w:rPr>
              <w:t>用于压纹版辊自动电镀线、雕刻、办公</w:t>
            </w:r>
          </w:p>
        </w:tc>
      </w:tr>
      <w:tr w14:paraId="4A75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0" w:type="pct"/>
            <w:vMerge w:val="continue"/>
            <w:shd w:val="clear" w:color="auto" w:fill="auto"/>
            <w:vAlign w:val="center"/>
          </w:tcPr>
          <w:p w14:paraId="61B5D192">
            <w:pPr>
              <w:pStyle w:val="26"/>
              <w:bidi w:val="0"/>
              <w:rPr>
                <w:rFonts w:hint="eastAsia"/>
                <w:color w:val="auto"/>
              </w:rPr>
            </w:pPr>
          </w:p>
        </w:tc>
        <w:tc>
          <w:tcPr>
            <w:tcW w:w="1047" w:type="pct"/>
            <w:gridSpan w:val="2"/>
            <w:shd w:val="clear" w:color="auto" w:fill="auto"/>
            <w:vAlign w:val="center"/>
          </w:tcPr>
          <w:p w14:paraId="6F2C0B8E">
            <w:pPr>
              <w:pStyle w:val="26"/>
              <w:bidi w:val="0"/>
              <w:rPr>
                <w:rFonts w:hint="default"/>
                <w:color w:val="auto"/>
                <w:lang w:val="en-US" w:eastAsia="zh-CN"/>
              </w:rPr>
            </w:pPr>
            <w:r>
              <w:rPr>
                <w:rFonts w:hint="default"/>
                <w:color w:val="auto"/>
                <w:lang w:val="en-US" w:eastAsia="zh-CN"/>
              </w:rPr>
              <w:t>2#</w:t>
            </w:r>
            <w:r>
              <w:rPr>
                <w:rFonts w:hint="eastAsia"/>
                <w:color w:val="auto"/>
                <w:lang w:val="en-US" w:eastAsia="zh-CN"/>
              </w:rPr>
              <w:t>车间</w:t>
            </w:r>
          </w:p>
        </w:tc>
        <w:tc>
          <w:tcPr>
            <w:tcW w:w="2441" w:type="pct"/>
            <w:gridSpan w:val="2"/>
            <w:shd w:val="clear" w:color="auto" w:fill="auto"/>
            <w:vAlign w:val="center"/>
          </w:tcPr>
          <w:p w14:paraId="4851ADBA">
            <w:pPr>
              <w:pStyle w:val="26"/>
              <w:bidi w:val="0"/>
              <w:rPr>
                <w:rFonts w:hint="default" w:eastAsia="仿宋_GB2312"/>
                <w:color w:val="auto"/>
                <w:lang w:val="en-US" w:eastAsia="zh-CN"/>
              </w:rPr>
            </w:pPr>
            <w:r>
              <w:rPr>
                <w:rFonts w:hint="eastAsia"/>
                <w:color w:val="auto"/>
                <w:lang w:val="en-US" w:eastAsia="zh-CN"/>
              </w:rPr>
              <w:t>机加工车间</w:t>
            </w:r>
          </w:p>
        </w:tc>
        <w:tc>
          <w:tcPr>
            <w:tcW w:w="940" w:type="pct"/>
            <w:shd w:val="clear" w:color="auto" w:fill="auto"/>
            <w:vAlign w:val="center"/>
          </w:tcPr>
          <w:p w14:paraId="1064BE75">
            <w:pPr>
              <w:pStyle w:val="26"/>
              <w:bidi w:val="0"/>
              <w:rPr>
                <w:rFonts w:hint="eastAsia"/>
                <w:color w:val="auto"/>
                <w:lang w:val="en-US" w:eastAsia="zh-CN"/>
              </w:rPr>
            </w:pPr>
            <w:r>
              <w:rPr>
                <w:rFonts w:hint="eastAsia"/>
                <w:color w:val="auto"/>
                <w:lang w:val="en-US" w:eastAsia="zh-CN"/>
              </w:rPr>
              <w:t>用于压纹版辊机加工</w:t>
            </w:r>
          </w:p>
        </w:tc>
      </w:tr>
      <w:tr w14:paraId="70F9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70" w:type="pct"/>
            <w:vMerge w:val="continue"/>
            <w:shd w:val="clear" w:color="auto" w:fill="auto"/>
            <w:vAlign w:val="center"/>
          </w:tcPr>
          <w:p w14:paraId="486434C6">
            <w:pPr>
              <w:pStyle w:val="26"/>
              <w:bidi w:val="0"/>
              <w:rPr>
                <w:rFonts w:hint="eastAsia"/>
                <w:color w:val="auto"/>
              </w:rPr>
            </w:pPr>
          </w:p>
        </w:tc>
        <w:tc>
          <w:tcPr>
            <w:tcW w:w="1047" w:type="pct"/>
            <w:gridSpan w:val="2"/>
            <w:shd w:val="clear" w:color="auto" w:fill="auto"/>
            <w:vAlign w:val="center"/>
          </w:tcPr>
          <w:p w14:paraId="5CC8950E">
            <w:pPr>
              <w:pStyle w:val="26"/>
              <w:bidi w:val="0"/>
              <w:rPr>
                <w:rFonts w:hint="default"/>
                <w:color w:val="auto"/>
                <w:lang w:val="en-US" w:eastAsia="zh-CN"/>
              </w:rPr>
            </w:pPr>
            <w:r>
              <w:rPr>
                <w:rFonts w:hint="default"/>
                <w:color w:val="auto"/>
                <w:lang w:val="en-US" w:eastAsia="zh-CN"/>
              </w:rPr>
              <w:t>3#</w:t>
            </w:r>
            <w:r>
              <w:rPr>
                <w:rFonts w:hint="eastAsia"/>
                <w:color w:val="auto"/>
                <w:lang w:val="en-US" w:eastAsia="zh-CN"/>
              </w:rPr>
              <w:t>车间</w:t>
            </w:r>
          </w:p>
        </w:tc>
        <w:tc>
          <w:tcPr>
            <w:tcW w:w="2441" w:type="pct"/>
            <w:gridSpan w:val="2"/>
            <w:shd w:val="clear" w:color="auto" w:fill="auto"/>
            <w:vAlign w:val="center"/>
          </w:tcPr>
          <w:p w14:paraId="471B0988">
            <w:pPr>
              <w:pStyle w:val="26"/>
              <w:bidi w:val="0"/>
              <w:rPr>
                <w:rFonts w:hint="eastAsia" w:eastAsia="仿宋_GB2312"/>
                <w:color w:val="auto"/>
                <w:lang w:eastAsia="zh-CN"/>
              </w:rPr>
            </w:pPr>
            <w:r>
              <w:rPr>
                <w:rFonts w:hint="eastAsia"/>
                <w:color w:val="auto"/>
              </w:rPr>
              <w:t>设置机加工</w:t>
            </w:r>
            <w:r>
              <w:rPr>
                <w:rFonts w:hint="eastAsia"/>
                <w:color w:val="auto"/>
                <w:lang w:val="en-US" w:eastAsia="zh-CN"/>
              </w:rPr>
              <w:t>车间、</w:t>
            </w:r>
            <w:r>
              <w:rPr>
                <w:rFonts w:hint="eastAsia"/>
                <w:color w:val="auto"/>
              </w:rPr>
              <w:t>污水处理站、危废暂存仓库</w:t>
            </w:r>
            <w:r>
              <w:rPr>
                <w:rFonts w:hint="eastAsia"/>
                <w:color w:val="auto"/>
                <w:lang w:eastAsia="zh-CN"/>
              </w:rPr>
              <w:t>；1条激光雕刻绿色智能化生产线及电镀线，年处理加工约 8500支微精版，总电镀面积约 98367m</w:t>
            </w:r>
            <w:r>
              <w:rPr>
                <w:rFonts w:hint="eastAsia"/>
                <w:color w:val="auto"/>
                <w:vertAlign w:val="superscript"/>
                <w:lang w:eastAsia="zh-CN"/>
              </w:rPr>
              <w:t>2</w:t>
            </w:r>
            <w:r>
              <w:rPr>
                <w:rFonts w:hint="eastAsia"/>
                <w:color w:val="auto"/>
                <w:lang w:eastAsia="zh-CN"/>
              </w:rPr>
              <w:t>/a</w:t>
            </w:r>
          </w:p>
        </w:tc>
        <w:tc>
          <w:tcPr>
            <w:tcW w:w="940" w:type="pct"/>
            <w:shd w:val="clear" w:color="auto" w:fill="auto"/>
            <w:vAlign w:val="center"/>
          </w:tcPr>
          <w:p w14:paraId="54C8AF8A">
            <w:pPr>
              <w:pStyle w:val="26"/>
              <w:bidi w:val="0"/>
              <w:rPr>
                <w:rFonts w:hint="default"/>
                <w:color w:val="auto"/>
                <w:lang w:val="en-US" w:eastAsia="zh-CN"/>
              </w:rPr>
            </w:pPr>
            <w:r>
              <w:rPr>
                <w:rFonts w:hint="eastAsia"/>
                <w:color w:val="auto"/>
                <w:lang w:val="en-US" w:eastAsia="zh-CN"/>
              </w:rPr>
              <w:t>用于微精版机加工、激光雕刻及电镀</w:t>
            </w:r>
          </w:p>
        </w:tc>
      </w:tr>
      <w:tr w14:paraId="6EB6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70" w:type="pct"/>
            <w:vMerge w:val="restart"/>
            <w:shd w:val="clear" w:color="auto" w:fill="auto"/>
            <w:vAlign w:val="center"/>
          </w:tcPr>
          <w:p w14:paraId="6A3FDDE7">
            <w:pPr>
              <w:pStyle w:val="26"/>
              <w:bidi w:val="0"/>
              <w:rPr>
                <w:rFonts w:hint="eastAsia"/>
                <w:color w:val="auto"/>
              </w:rPr>
            </w:pPr>
            <w:r>
              <w:rPr>
                <w:rFonts w:hint="eastAsia"/>
                <w:color w:val="auto"/>
                <w:lang w:val="en-US" w:eastAsia="zh-CN"/>
              </w:rPr>
              <w:t>贮运工程</w:t>
            </w:r>
          </w:p>
        </w:tc>
        <w:tc>
          <w:tcPr>
            <w:tcW w:w="1047" w:type="pct"/>
            <w:gridSpan w:val="2"/>
            <w:shd w:val="clear" w:color="auto" w:fill="auto"/>
            <w:vAlign w:val="center"/>
          </w:tcPr>
          <w:p w14:paraId="56F0FD4A">
            <w:pPr>
              <w:pStyle w:val="26"/>
              <w:bidi w:val="0"/>
              <w:rPr>
                <w:rFonts w:hint="eastAsia"/>
                <w:color w:val="auto"/>
              </w:rPr>
            </w:pPr>
            <w:r>
              <w:rPr>
                <w:rFonts w:hint="eastAsia"/>
                <w:color w:val="auto"/>
                <w:lang w:val="en-US" w:eastAsia="zh-CN"/>
              </w:rPr>
              <w:t>化学品暂存库</w:t>
            </w:r>
          </w:p>
        </w:tc>
        <w:tc>
          <w:tcPr>
            <w:tcW w:w="2441" w:type="pct"/>
            <w:gridSpan w:val="2"/>
            <w:shd w:val="clear" w:color="auto" w:fill="auto"/>
            <w:vAlign w:val="center"/>
          </w:tcPr>
          <w:p w14:paraId="25848392">
            <w:pPr>
              <w:pStyle w:val="26"/>
              <w:bidi w:val="0"/>
              <w:rPr>
                <w:rFonts w:hint="eastAsia"/>
                <w:color w:val="auto"/>
              </w:rPr>
            </w:pPr>
            <w:r>
              <w:rPr>
                <w:rFonts w:hint="eastAsia"/>
                <w:color w:val="auto"/>
                <w:lang w:val="en-US" w:eastAsia="zh-CN"/>
              </w:rPr>
              <w:t>建筑面积60</w:t>
            </w:r>
            <w:r>
              <w:rPr>
                <w:rFonts w:hint="default"/>
                <w:color w:val="auto"/>
                <w:lang w:val="en-US" w:eastAsia="zh-CN"/>
              </w:rPr>
              <w:t>m</w:t>
            </w:r>
            <w:r>
              <w:rPr>
                <w:color w:val="auto"/>
                <w:vertAlign w:val="superscript"/>
                <w:lang w:val="en-US" w:eastAsia="zh-CN"/>
              </w:rPr>
              <w:t>2</w:t>
            </w:r>
          </w:p>
        </w:tc>
        <w:tc>
          <w:tcPr>
            <w:tcW w:w="940" w:type="pct"/>
            <w:shd w:val="clear" w:color="auto" w:fill="auto"/>
            <w:vAlign w:val="center"/>
          </w:tcPr>
          <w:p w14:paraId="753EB4AB">
            <w:pPr>
              <w:pStyle w:val="26"/>
              <w:bidi w:val="0"/>
              <w:rPr>
                <w:rFonts w:hint="default"/>
                <w:color w:val="auto"/>
                <w:lang w:val="en-US" w:eastAsia="zh-CN"/>
              </w:rPr>
            </w:pPr>
            <w:r>
              <w:rPr>
                <w:rFonts w:hint="eastAsia"/>
                <w:color w:val="auto"/>
                <w:lang w:val="en-US" w:eastAsia="zh-CN"/>
              </w:rPr>
              <w:t>/</w:t>
            </w:r>
          </w:p>
        </w:tc>
      </w:tr>
      <w:tr w14:paraId="52FB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570" w:type="pct"/>
            <w:vMerge w:val="continue"/>
            <w:shd w:val="clear" w:color="auto" w:fill="auto"/>
            <w:vAlign w:val="center"/>
          </w:tcPr>
          <w:p w14:paraId="06D2AC51">
            <w:pPr>
              <w:pStyle w:val="26"/>
              <w:bidi w:val="0"/>
              <w:rPr>
                <w:rFonts w:hint="eastAsia"/>
                <w:color w:val="auto"/>
              </w:rPr>
            </w:pPr>
          </w:p>
        </w:tc>
        <w:tc>
          <w:tcPr>
            <w:tcW w:w="1047" w:type="pct"/>
            <w:gridSpan w:val="2"/>
            <w:shd w:val="clear" w:color="auto" w:fill="auto"/>
            <w:vAlign w:val="center"/>
          </w:tcPr>
          <w:p w14:paraId="3E632BAD">
            <w:pPr>
              <w:pStyle w:val="26"/>
              <w:bidi w:val="0"/>
              <w:rPr>
                <w:rFonts w:hint="eastAsia"/>
                <w:color w:val="auto"/>
              </w:rPr>
            </w:pPr>
            <w:r>
              <w:rPr>
                <w:rFonts w:hint="eastAsia"/>
                <w:color w:val="auto"/>
                <w:lang w:val="en-US" w:eastAsia="zh-CN"/>
              </w:rPr>
              <w:t>一般原料仓库</w:t>
            </w:r>
          </w:p>
        </w:tc>
        <w:tc>
          <w:tcPr>
            <w:tcW w:w="2441" w:type="pct"/>
            <w:gridSpan w:val="2"/>
            <w:shd w:val="clear" w:color="auto" w:fill="auto"/>
            <w:vAlign w:val="center"/>
          </w:tcPr>
          <w:p w14:paraId="5D6C6B12">
            <w:pPr>
              <w:pStyle w:val="26"/>
              <w:bidi w:val="0"/>
              <w:rPr>
                <w:rFonts w:hint="default"/>
                <w:color w:val="auto"/>
              </w:rPr>
            </w:pPr>
            <w:r>
              <w:rPr>
                <w:rFonts w:hint="eastAsia"/>
                <w:color w:val="auto"/>
                <w:lang w:val="en-US" w:eastAsia="zh-CN"/>
              </w:rPr>
              <w:t>建筑面积270</w:t>
            </w:r>
            <w:r>
              <w:rPr>
                <w:rFonts w:hint="default"/>
                <w:color w:val="auto"/>
                <w:lang w:val="en-US" w:eastAsia="zh-CN"/>
              </w:rPr>
              <w:t>m</w:t>
            </w:r>
            <w:r>
              <w:rPr>
                <w:color w:val="auto"/>
                <w:vertAlign w:val="superscript"/>
                <w:lang w:val="en-US" w:eastAsia="zh-CN"/>
              </w:rPr>
              <w:t>2</w:t>
            </w:r>
          </w:p>
        </w:tc>
        <w:tc>
          <w:tcPr>
            <w:tcW w:w="940" w:type="pct"/>
            <w:shd w:val="clear" w:color="auto" w:fill="auto"/>
            <w:vAlign w:val="center"/>
          </w:tcPr>
          <w:p w14:paraId="0997A79A">
            <w:pPr>
              <w:pStyle w:val="26"/>
              <w:bidi w:val="0"/>
              <w:rPr>
                <w:rFonts w:hint="default"/>
                <w:color w:val="auto"/>
                <w:lang w:val="en-US" w:eastAsia="zh-CN"/>
              </w:rPr>
            </w:pPr>
            <w:r>
              <w:rPr>
                <w:rFonts w:hint="eastAsia"/>
                <w:color w:val="auto"/>
                <w:lang w:val="en-US" w:eastAsia="zh-CN"/>
              </w:rPr>
              <w:t>/</w:t>
            </w:r>
          </w:p>
        </w:tc>
      </w:tr>
      <w:tr w14:paraId="3F52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0" w:type="pct"/>
            <w:vMerge w:val="continue"/>
            <w:shd w:val="clear" w:color="auto" w:fill="auto"/>
            <w:vAlign w:val="center"/>
          </w:tcPr>
          <w:p w14:paraId="2C4CF6FD">
            <w:pPr>
              <w:pStyle w:val="26"/>
              <w:bidi w:val="0"/>
              <w:rPr>
                <w:rFonts w:hint="eastAsia"/>
                <w:color w:val="auto"/>
              </w:rPr>
            </w:pPr>
          </w:p>
        </w:tc>
        <w:tc>
          <w:tcPr>
            <w:tcW w:w="1047" w:type="pct"/>
            <w:gridSpan w:val="2"/>
            <w:shd w:val="clear" w:color="auto" w:fill="auto"/>
            <w:vAlign w:val="center"/>
          </w:tcPr>
          <w:p w14:paraId="54B3F819">
            <w:pPr>
              <w:pStyle w:val="26"/>
              <w:bidi w:val="0"/>
              <w:rPr>
                <w:rFonts w:hint="eastAsia"/>
                <w:color w:val="auto"/>
              </w:rPr>
            </w:pPr>
            <w:r>
              <w:rPr>
                <w:rFonts w:hint="eastAsia"/>
                <w:color w:val="auto"/>
                <w:lang w:val="en-US" w:eastAsia="zh-CN"/>
              </w:rPr>
              <w:t>成品仓库</w:t>
            </w:r>
          </w:p>
        </w:tc>
        <w:tc>
          <w:tcPr>
            <w:tcW w:w="2441" w:type="pct"/>
            <w:gridSpan w:val="2"/>
            <w:shd w:val="clear" w:color="auto" w:fill="auto"/>
            <w:vAlign w:val="center"/>
          </w:tcPr>
          <w:p w14:paraId="7D05044C">
            <w:pPr>
              <w:pStyle w:val="26"/>
              <w:bidi w:val="0"/>
              <w:rPr>
                <w:rFonts w:hint="eastAsia"/>
                <w:color w:val="auto"/>
              </w:rPr>
            </w:pPr>
            <w:r>
              <w:rPr>
                <w:rFonts w:hint="eastAsia"/>
                <w:color w:val="auto"/>
                <w:lang w:val="en-US" w:eastAsia="zh-CN"/>
              </w:rPr>
              <w:t>建筑面积28</w:t>
            </w:r>
            <w:r>
              <w:rPr>
                <w:rFonts w:hint="default"/>
                <w:color w:val="auto"/>
                <w:lang w:val="en-US" w:eastAsia="zh-CN"/>
              </w:rPr>
              <w:t>0m</w:t>
            </w:r>
            <w:r>
              <w:rPr>
                <w:color w:val="auto"/>
                <w:vertAlign w:val="superscript"/>
                <w:lang w:val="en-US" w:eastAsia="zh-CN"/>
              </w:rPr>
              <w:t>2</w:t>
            </w:r>
          </w:p>
        </w:tc>
        <w:tc>
          <w:tcPr>
            <w:tcW w:w="940" w:type="pct"/>
            <w:shd w:val="clear" w:color="auto" w:fill="auto"/>
            <w:vAlign w:val="center"/>
          </w:tcPr>
          <w:p w14:paraId="529ED414">
            <w:pPr>
              <w:pStyle w:val="26"/>
              <w:bidi w:val="0"/>
              <w:rPr>
                <w:rFonts w:hint="default"/>
                <w:color w:val="auto"/>
                <w:lang w:val="en-US" w:eastAsia="zh-CN"/>
              </w:rPr>
            </w:pPr>
            <w:r>
              <w:rPr>
                <w:rFonts w:hint="eastAsia"/>
                <w:color w:val="auto"/>
                <w:lang w:val="en-US" w:eastAsia="zh-CN"/>
              </w:rPr>
              <w:t>/</w:t>
            </w:r>
          </w:p>
        </w:tc>
      </w:tr>
      <w:tr w14:paraId="004B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70" w:type="pct"/>
            <w:vMerge w:val="restart"/>
            <w:shd w:val="clear" w:color="auto" w:fill="auto"/>
            <w:vAlign w:val="center"/>
          </w:tcPr>
          <w:p w14:paraId="5543BD3D">
            <w:pPr>
              <w:pStyle w:val="26"/>
              <w:bidi w:val="0"/>
              <w:rPr>
                <w:rFonts w:hint="eastAsia"/>
                <w:color w:val="auto"/>
              </w:rPr>
            </w:pPr>
            <w:r>
              <w:rPr>
                <w:rFonts w:hint="eastAsia"/>
                <w:color w:val="auto"/>
                <w:lang w:val="en-US" w:eastAsia="zh-CN"/>
              </w:rPr>
              <w:t>公用工程</w:t>
            </w:r>
          </w:p>
        </w:tc>
        <w:tc>
          <w:tcPr>
            <w:tcW w:w="522" w:type="pct"/>
            <w:vMerge w:val="restart"/>
            <w:shd w:val="clear" w:color="auto" w:fill="auto"/>
            <w:vAlign w:val="center"/>
          </w:tcPr>
          <w:p w14:paraId="33E357F5">
            <w:pPr>
              <w:pStyle w:val="26"/>
              <w:bidi w:val="0"/>
              <w:rPr>
                <w:rFonts w:hint="eastAsia"/>
                <w:color w:val="auto"/>
              </w:rPr>
            </w:pPr>
            <w:r>
              <w:rPr>
                <w:rFonts w:hint="eastAsia"/>
                <w:color w:val="auto"/>
                <w:lang w:val="en-US" w:eastAsia="zh-CN"/>
              </w:rPr>
              <w:t>给水</w:t>
            </w:r>
          </w:p>
        </w:tc>
        <w:tc>
          <w:tcPr>
            <w:tcW w:w="525" w:type="pct"/>
            <w:shd w:val="clear" w:color="auto" w:fill="auto"/>
            <w:vAlign w:val="center"/>
          </w:tcPr>
          <w:p w14:paraId="71B7DCDF">
            <w:pPr>
              <w:pStyle w:val="26"/>
              <w:bidi w:val="0"/>
              <w:rPr>
                <w:rFonts w:hint="eastAsia"/>
                <w:color w:val="auto"/>
              </w:rPr>
            </w:pPr>
            <w:r>
              <w:rPr>
                <w:rFonts w:hint="eastAsia"/>
                <w:color w:val="auto"/>
                <w:lang w:val="en-US" w:eastAsia="zh-CN"/>
              </w:rPr>
              <w:t>自来水</w:t>
            </w:r>
          </w:p>
        </w:tc>
        <w:tc>
          <w:tcPr>
            <w:tcW w:w="2441" w:type="pct"/>
            <w:gridSpan w:val="2"/>
            <w:shd w:val="clear" w:color="auto" w:fill="auto"/>
            <w:vAlign w:val="center"/>
          </w:tcPr>
          <w:p w14:paraId="75D935A9">
            <w:pPr>
              <w:pStyle w:val="26"/>
              <w:bidi w:val="0"/>
              <w:rPr>
                <w:rFonts w:hint="default"/>
                <w:color w:val="auto"/>
              </w:rPr>
            </w:pPr>
            <w:r>
              <w:rPr>
                <w:rFonts w:hint="default"/>
                <w:color w:val="auto"/>
                <w:lang w:val="en-US" w:eastAsia="zh-CN"/>
              </w:rPr>
              <w:t>8188.534m</w:t>
            </w:r>
            <w:r>
              <w:rPr>
                <w:color w:val="auto"/>
                <w:vertAlign w:val="superscript"/>
                <w:lang w:val="en-US" w:eastAsia="zh-CN"/>
              </w:rPr>
              <w:t>3</w:t>
            </w:r>
            <w:r>
              <w:rPr>
                <w:rFonts w:hint="default"/>
                <w:color w:val="auto"/>
                <w:lang w:val="en-US" w:eastAsia="zh-CN"/>
              </w:rPr>
              <w:t>/a</w:t>
            </w:r>
          </w:p>
        </w:tc>
        <w:tc>
          <w:tcPr>
            <w:tcW w:w="940" w:type="pct"/>
            <w:shd w:val="clear" w:color="auto" w:fill="auto"/>
            <w:vAlign w:val="center"/>
          </w:tcPr>
          <w:p w14:paraId="3AA445AC">
            <w:pPr>
              <w:pStyle w:val="26"/>
              <w:bidi w:val="0"/>
              <w:rPr>
                <w:rFonts w:hint="default"/>
                <w:color w:val="auto"/>
                <w:lang w:val="en-US" w:eastAsia="zh-CN"/>
              </w:rPr>
            </w:pPr>
            <w:r>
              <w:rPr>
                <w:rFonts w:hint="eastAsia"/>
                <w:color w:val="auto"/>
                <w:lang w:val="en-US" w:eastAsia="zh-CN"/>
              </w:rPr>
              <w:t>市政自来水管网直接供给</w:t>
            </w:r>
          </w:p>
        </w:tc>
      </w:tr>
      <w:tr w14:paraId="47C3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04C3B4FE">
            <w:pPr>
              <w:pStyle w:val="26"/>
              <w:bidi w:val="0"/>
              <w:rPr>
                <w:rFonts w:hint="eastAsia"/>
                <w:color w:val="auto"/>
              </w:rPr>
            </w:pPr>
          </w:p>
        </w:tc>
        <w:tc>
          <w:tcPr>
            <w:tcW w:w="522" w:type="pct"/>
            <w:vMerge w:val="continue"/>
            <w:shd w:val="clear" w:color="auto" w:fill="auto"/>
            <w:vAlign w:val="center"/>
          </w:tcPr>
          <w:p w14:paraId="758E9A69">
            <w:pPr>
              <w:pStyle w:val="26"/>
              <w:bidi w:val="0"/>
              <w:rPr>
                <w:rFonts w:hint="eastAsia"/>
                <w:color w:val="auto"/>
              </w:rPr>
            </w:pPr>
          </w:p>
        </w:tc>
        <w:tc>
          <w:tcPr>
            <w:tcW w:w="525" w:type="pct"/>
            <w:shd w:val="clear" w:color="auto" w:fill="auto"/>
            <w:vAlign w:val="center"/>
          </w:tcPr>
          <w:p w14:paraId="22BB806E">
            <w:pPr>
              <w:pStyle w:val="26"/>
              <w:bidi w:val="0"/>
              <w:rPr>
                <w:rFonts w:hint="eastAsia"/>
                <w:color w:val="auto"/>
              </w:rPr>
            </w:pPr>
            <w:r>
              <w:rPr>
                <w:rFonts w:hint="eastAsia"/>
                <w:color w:val="auto"/>
                <w:lang w:val="en-US" w:eastAsia="zh-CN"/>
              </w:rPr>
              <w:t>纯水</w:t>
            </w:r>
          </w:p>
        </w:tc>
        <w:tc>
          <w:tcPr>
            <w:tcW w:w="2441" w:type="pct"/>
            <w:gridSpan w:val="2"/>
            <w:shd w:val="clear" w:color="auto" w:fill="auto"/>
            <w:vAlign w:val="center"/>
          </w:tcPr>
          <w:p w14:paraId="523CD40D">
            <w:pPr>
              <w:pStyle w:val="26"/>
              <w:bidi w:val="0"/>
              <w:rPr>
                <w:rFonts w:hint="eastAsia"/>
                <w:color w:val="auto"/>
              </w:rPr>
            </w:pPr>
            <w:r>
              <w:rPr>
                <w:rFonts w:hint="eastAsia"/>
                <w:color w:val="auto"/>
                <w:lang w:val="en-US" w:eastAsia="zh-CN"/>
              </w:rPr>
              <w:t>一套2t/h制纯水系统</w:t>
            </w:r>
          </w:p>
        </w:tc>
        <w:tc>
          <w:tcPr>
            <w:tcW w:w="940" w:type="pct"/>
            <w:shd w:val="clear" w:color="auto" w:fill="auto"/>
            <w:vAlign w:val="center"/>
          </w:tcPr>
          <w:p w14:paraId="20BD2118">
            <w:pPr>
              <w:pStyle w:val="26"/>
              <w:bidi w:val="0"/>
              <w:rPr>
                <w:rFonts w:hint="default"/>
                <w:color w:val="auto"/>
                <w:lang w:val="en-US" w:eastAsia="zh-CN"/>
              </w:rPr>
            </w:pPr>
            <w:r>
              <w:rPr>
                <w:rFonts w:hint="eastAsia"/>
                <w:color w:val="auto"/>
                <w:lang w:val="en-US" w:eastAsia="zh-CN"/>
              </w:rPr>
              <w:t>/</w:t>
            </w:r>
          </w:p>
        </w:tc>
      </w:tr>
      <w:tr w14:paraId="3DBB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70" w:type="pct"/>
            <w:vMerge w:val="continue"/>
            <w:shd w:val="clear" w:color="auto" w:fill="auto"/>
            <w:vAlign w:val="center"/>
          </w:tcPr>
          <w:p w14:paraId="1513DBDD">
            <w:pPr>
              <w:pStyle w:val="26"/>
              <w:bidi w:val="0"/>
              <w:rPr>
                <w:rFonts w:hint="eastAsia"/>
                <w:color w:val="auto"/>
              </w:rPr>
            </w:pPr>
          </w:p>
        </w:tc>
        <w:tc>
          <w:tcPr>
            <w:tcW w:w="522" w:type="pct"/>
            <w:vMerge w:val="restart"/>
            <w:shd w:val="clear" w:color="auto" w:fill="auto"/>
            <w:vAlign w:val="center"/>
          </w:tcPr>
          <w:p w14:paraId="598DF89E">
            <w:pPr>
              <w:pStyle w:val="26"/>
              <w:bidi w:val="0"/>
              <w:rPr>
                <w:rFonts w:hint="eastAsia"/>
                <w:color w:val="auto"/>
              </w:rPr>
            </w:pPr>
            <w:r>
              <w:rPr>
                <w:rFonts w:hint="eastAsia"/>
                <w:color w:val="auto"/>
                <w:lang w:val="en-US" w:eastAsia="zh-CN"/>
              </w:rPr>
              <w:t>排水</w:t>
            </w:r>
          </w:p>
        </w:tc>
        <w:tc>
          <w:tcPr>
            <w:tcW w:w="525" w:type="pct"/>
            <w:shd w:val="clear" w:color="auto" w:fill="auto"/>
            <w:vAlign w:val="center"/>
          </w:tcPr>
          <w:p w14:paraId="28236AFC">
            <w:pPr>
              <w:pStyle w:val="26"/>
              <w:bidi w:val="0"/>
              <w:rPr>
                <w:rFonts w:hint="eastAsia"/>
                <w:color w:val="auto"/>
              </w:rPr>
            </w:pPr>
            <w:r>
              <w:rPr>
                <w:rFonts w:hint="eastAsia"/>
                <w:color w:val="auto"/>
                <w:lang w:val="en-US" w:eastAsia="zh-CN"/>
              </w:rPr>
              <w:t>生活污水</w:t>
            </w:r>
          </w:p>
        </w:tc>
        <w:tc>
          <w:tcPr>
            <w:tcW w:w="2441" w:type="pct"/>
            <w:gridSpan w:val="2"/>
            <w:shd w:val="clear" w:color="auto" w:fill="auto"/>
            <w:vAlign w:val="center"/>
          </w:tcPr>
          <w:p w14:paraId="174E553F">
            <w:pPr>
              <w:pStyle w:val="26"/>
              <w:bidi w:val="0"/>
              <w:rPr>
                <w:rFonts w:hint="default"/>
                <w:color w:val="auto"/>
              </w:rPr>
            </w:pPr>
            <w:r>
              <w:rPr>
                <w:rFonts w:hint="eastAsia"/>
                <w:color w:val="auto"/>
                <w:lang w:val="en-US" w:eastAsia="zh-CN"/>
              </w:rPr>
              <w:t>342</w:t>
            </w:r>
            <w:r>
              <w:rPr>
                <w:rFonts w:hint="default"/>
                <w:color w:val="auto"/>
                <w:lang w:val="en-US" w:eastAsia="zh-CN"/>
              </w:rPr>
              <w:t>0m</w:t>
            </w:r>
            <w:r>
              <w:rPr>
                <w:rFonts w:hint="default"/>
                <w:color w:val="auto"/>
                <w:vertAlign w:val="superscript"/>
                <w:lang w:val="en-US" w:eastAsia="zh-CN"/>
              </w:rPr>
              <w:t>3</w:t>
            </w:r>
            <w:r>
              <w:rPr>
                <w:rFonts w:hint="default"/>
                <w:color w:val="auto"/>
                <w:lang w:val="en-US" w:eastAsia="zh-CN"/>
              </w:rPr>
              <w:t>/a</w:t>
            </w:r>
          </w:p>
        </w:tc>
        <w:tc>
          <w:tcPr>
            <w:tcW w:w="940" w:type="pct"/>
            <w:shd w:val="clear" w:color="auto" w:fill="auto"/>
            <w:vAlign w:val="center"/>
          </w:tcPr>
          <w:p w14:paraId="1996B8BC">
            <w:pPr>
              <w:pStyle w:val="26"/>
              <w:bidi w:val="0"/>
              <w:rPr>
                <w:rFonts w:hint="default"/>
                <w:color w:val="auto"/>
                <w:lang w:val="en-US" w:eastAsia="zh-CN"/>
              </w:rPr>
            </w:pPr>
            <w:r>
              <w:rPr>
                <w:rFonts w:hint="eastAsia"/>
                <w:color w:val="auto"/>
                <w:lang w:val="en-US" w:eastAsia="zh-CN"/>
              </w:rPr>
              <w:t>纳入昆山建邦环境投资有限公司花桥污水处理厂</w:t>
            </w:r>
          </w:p>
        </w:tc>
      </w:tr>
      <w:tr w14:paraId="3C88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70" w:type="pct"/>
            <w:vMerge w:val="continue"/>
            <w:shd w:val="clear" w:color="auto" w:fill="auto"/>
            <w:vAlign w:val="center"/>
          </w:tcPr>
          <w:p w14:paraId="29E69CF0">
            <w:pPr>
              <w:pStyle w:val="26"/>
              <w:bidi w:val="0"/>
              <w:rPr>
                <w:rFonts w:hint="eastAsia"/>
                <w:color w:val="auto"/>
              </w:rPr>
            </w:pPr>
          </w:p>
        </w:tc>
        <w:tc>
          <w:tcPr>
            <w:tcW w:w="522" w:type="pct"/>
            <w:vMerge w:val="continue"/>
            <w:shd w:val="clear" w:color="auto" w:fill="auto"/>
            <w:vAlign w:val="center"/>
          </w:tcPr>
          <w:p w14:paraId="5E7E37CC">
            <w:pPr>
              <w:pStyle w:val="26"/>
              <w:bidi w:val="0"/>
              <w:rPr>
                <w:rFonts w:hint="eastAsia"/>
                <w:color w:val="auto"/>
              </w:rPr>
            </w:pPr>
          </w:p>
        </w:tc>
        <w:tc>
          <w:tcPr>
            <w:tcW w:w="525" w:type="pct"/>
            <w:shd w:val="clear" w:color="auto" w:fill="auto"/>
            <w:vAlign w:val="center"/>
          </w:tcPr>
          <w:p w14:paraId="0D135E3F">
            <w:pPr>
              <w:pStyle w:val="26"/>
              <w:bidi w:val="0"/>
              <w:rPr>
                <w:rFonts w:hint="eastAsia"/>
                <w:color w:val="auto"/>
              </w:rPr>
            </w:pPr>
            <w:r>
              <w:rPr>
                <w:rFonts w:hint="eastAsia"/>
                <w:color w:val="auto"/>
                <w:lang w:val="en-US" w:eastAsia="zh-CN"/>
              </w:rPr>
              <w:t>生产废水</w:t>
            </w:r>
          </w:p>
        </w:tc>
        <w:tc>
          <w:tcPr>
            <w:tcW w:w="2441" w:type="pct"/>
            <w:gridSpan w:val="2"/>
            <w:shd w:val="clear" w:color="auto" w:fill="auto"/>
            <w:vAlign w:val="center"/>
          </w:tcPr>
          <w:p w14:paraId="3FF8E745">
            <w:pPr>
              <w:pStyle w:val="26"/>
              <w:bidi w:val="0"/>
              <w:rPr>
                <w:rFonts w:hint="eastAsia"/>
                <w:color w:val="auto"/>
              </w:rPr>
            </w:pPr>
            <w:r>
              <w:rPr>
                <w:rFonts w:hint="eastAsia"/>
                <w:color w:val="auto"/>
                <w:lang w:val="en-US" w:eastAsia="zh-CN"/>
              </w:rPr>
              <w:t>0m</w:t>
            </w:r>
            <w:r>
              <w:rPr>
                <w:rFonts w:hint="eastAsia"/>
                <w:color w:val="auto"/>
                <w:vertAlign w:val="superscript"/>
                <w:lang w:val="en-US" w:eastAsia="zh-CN"/>
              </w:rPr>
              <w:t>3</w:t>
            </w:r>
            <w:r>
              <w:rPr>
                <w:rFonts w:hint="eastAsia"/>
                <w:color w:val="auto"/>
                <w:lang w:val="en-US" w:eastAsia="zh-CN"/>
              </w:rPr>
              <w:t>/a</w:t>
            </w:r>
          </w:p>
        </w:tc>
        <w:tc>
          <w:tcPr>
            <w:tcW w:w="940" w:type="pct"/>
            <w:shd w:val="clear" w:color="auto" w:fill="auto"/>
            <w:vAlign w:val="center"/>
          </w:tcPr>
          <w:p w14:paraId="2C427F76">
            <w:pPr>
              <w:pStyle w:val="26"/>
              <w:bidi w:val="0"/>
              <w:rPr>
                <w:rFonts w:hint="default"/>
                <w:color w:val="auto"/>
                <w:lang w:val="en-US" w:eastAsia="zh-CN"/>
              </w:rPr>
            </w:pPr>
            <w:r>
              <w:rPr>
                <w:rFonts w:hint="eastAsia"/>
                <w:color w:val="auto"/>
                <w:lang w:val="en-US" w:eastAsia="zh-CN"/>
              </w:rPr>
              <w:t>经厂区自建的污水处理系统处理后全部回用，不外排</w:t>
            </w:r>
          </w:p>
        </w:tc>
      </w:tr>
      <w:tr w14:paraId="5E1B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70" w:type="pct"/>
            <w:vMerge w:val="continue"/>
            <w:shd w:val="clear" w:color="auto" w:fill="auto"/>
            <w:vAlign w:val="center"/>
          </w:tcPr>
          <w:p w14:paraId="4DA82B63">
            <w:pPr>
              <w:pStyle w:val="26"/>
              <w:bidi w:val="0"/>
              <w:rPr>
                <w:rFonts w:hint="eastAsia"/>
                <w:color w:val="auto"/>
              </w:rPr>
            </w:pPr>
          </w:p>
        </w:tc>
        <w:tc>
          <w:tcPr>
            <w:tcW w:w="522" w:type="pct"/>
            <w:vMerge w:val="continue"/>
            <w:shd w:val="clear" w:color="auto" w:fill="auto"/>
            <w:vAlign w:val="center"/>
          </w:tcPr>
          <w:p w14:paraId="38BE4850">
            <w:pPr>
              <w:pStyle w:val="26"/>
              <w:bidi w:val="0"/>
              <w:rPr>
                <w:rFonts w:hint="eastAsia"/>
                <w:color w:val="auto"/>
              </w:rPr>
            </w:pPr>
          </w:p>
        </w:tc>
        <w:tc>
          <w:tcPr>
            <w:tcW w:w="525" w:type="pct"/>
            <w:shd w:val="clear" w:color="auto" w:fill="auto"/>
            <w:vAlign w:val="center"/>
          </w:tcPr>
          <w:p w14:paraId="1BC666A4">
            <w:pPr>
              <w:pStyle w:val="26"/>
              <w:bidi w:val="0"/>
              <w:rPr>
                <w:rFonts w:hint="eastAsia"/>
                <w:color w:val="auto"/>
              </w:rPr>
            </w:pPr>
            <w:r>
              <w:rPr>
                <w:rFonts w:hint="eastAsia"/>
                <w:color w:val="auto"/>
                <w:lang w:val="en-US" w:eastAsia="zh-CN"/>
              </w:rPr>
              <w:t>雨水</w:t>
            </w:r>
          </w:p>
        </w:tc>
        <w:tc>
          <w:tcPr>
            <w:tcW w:w="2441" w:type="pct"/>
            <w:gridSpan w:val="2"/>
            <w:shd w:val="clear" w:color="auto" w:fill="auto"/>
            <w:vAlign w:val="center"/>
          </w:tcPr>
          <w:p w14:paraId="74E5C886">
            <w:pPr>
              <w:pStyle w:val="26"/>
              <w:bidi w:val="0"/>
              <w:rPr>
                <w:rFonts w:hint="eastAsia"/>
                <w:color w:val="auto"/>
              </w:rPr>
            </w:pPr>
            <w:r>
              <w:rPr>
                <w:rFonts w:hint="eastAsia"/>
                <w:color w:val="auto"/>
                <w:lang w:val="en-US" w:eastAsia="zh-CN"/>
              </w:rPr>
              <w:t>雨水管网，雨污分流，</w:t>
            </w:r>
            <w:r>
              <w:rPr>
                <w:rFonts w:hint="default"/>
                <w:color w:val="auto"/>
                <w:lang w:val="en-US" w:eastAsia="zh-CN"/>
              </w:rPr>
              <w:t>1</w:t>
            </w:r>
            <w:r>
              <w:rPr>
                <w:rFonts w:hint="eastAsia"/>
                <w:color w:val="auto"/>
                <w:lang w:val="en-US" w:eastAsia="zh-CN"/>
              </w:rPr>
              <w:t>个雨水排口，设置截止阀</w:t>
            </w:r>
          </w:p>
        </w:tc>
        <w:tc>
          <w:tcPr>
            <w:tcW w:w="940" w:type="pct"/>
            <w:shd w:val="clear" w:color="auto" w:fill="auto"/>
            <w:vAlign w:val="center"/>
          </w:tcPr>
          <w:p w14:paraId="5A8A0446">
            <w:pPr>
              <w:pStyle w:val="26"/>
              <w:bidi w:val="0"/>
              <w:rPr>
                <w:rFonts w:hint="default"/>
                <w:color w:val="auto"/>
                <w:lang w:val="en-US" w:eastAsia="zh-CN"/>
              </w:rPr>
            </w:pPr>
            <w:r>
              <w:rPr>
                <w:rFonts w:hint="eastAsia"/>
                <w:color w:val="auto"/>
                <w:lang w:val="en-US" w:eastAsia="zh-CN"/>
              </w:rPr>
              <w:t>/</w:t>
            </w:r>
          </w:p>
        </w:tc>
      </w:tr>
      <w:tr w14:paraId="2B54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1C1F7F4C">
            <w:pPr>
              <w:pStyle w:val="26"/>
              <w:bidi w:val="0"/>
              <w:rPr>
                <w:rFonts w:hint="eastAsia"/>
                <w:color w:val="auto"/>
              </w:rPr>
            </w:pPr>
          </w:p>
        </w:tc>
        <w:tc>
          <w:tcPr>
            <w:tcW w:w="1047" w:type="pct"/>
            <w:gridSpan w:val="2"/>
            <w:shd w:val="clear" w:color="auto" w:fill="auto"/>
            <w:vAlign w:val="center"/>
          </w:tcPr>
          <w:p w14:paraId="0AB05F2B">
            <w:pPr>
              <w:pStyle w:val="26"/>
              <w:bidi w:val="0"/>
              <w:rPr>
                <w:rFonts w:hint="eastAsia"/>
                <w:color w:val="auto"/>
              </w:rPr>
            </w:pPr>
            <w:r>
              <w:rPr>
                <w:rFonts w:hint="eastAsia"/>
                <w:color w:val="auto"/>
                <w:lang w:val="en-US" w:eastAsia="zh-CN"/>
              </w:rPr>
              <w:t>供电</w:t>
            </w:r>
          </w:p>
        </w:tc>
        <w:tc>
          <w:tcPr>
            <w:tcW w:w="2441" w:type="pct"/>
            <w:gridSpan w:val="2"/>
            <w:shd w:val="clear" w:color="auto" w:fill="auto"/>
            <w:vAlign w:val="center"/>
          </w:tcPr>
          <w:p w14:paraId="69028929">
            <w:pPr>
              <w:pStyle w:val="26"/>
              <w:bidi w:val="0"/>
              <w:rPr>
                <w:rFonts w:hint="eastAsia"/>
                <w:color w:val="auto"/>
              </w:rPr>
            </w:pPr>
            <w:r>
              <w:rPr>
                <w:rFonts w:hint="eastAsia"/>
                <w:color w:val="auto"/>
                <w:highlight w:val="none"/>
                <w:lang w:val="en-US" w:eastAsia="zh-CN"/>
              </w:rPr>
              <w:t>388万</w:t>
            </w:r>
            <w:r>
              <w:rPr>
                <w:color w:val="auto"/>
                <w:highlight w:val="none"/>
                <w:lang w:val="en-US" w:eastAsia="zh-CN"/>
              </w:rPr>
              <w:t>kwh/a</w:t>
            </w:r>
          </w:p>
        </w:tc>
        <w:tc>
          <w:tcPr>
            <w:tcW w:w="940" w:type="pct"/>
            <w:shd w:val="clear" w:color="auto" w:fill="auto"/>
            <w:vAlign w:val="center"/>
          </w:tcPr>
          <w:p w14:paraId="27813F59">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5555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5134D1DA">
            <w:pPr>
              <w:pStyle w:val="26"/>
              <w:bidi w:val="0"/>
              <w:rPr>
                <w:rFonts w:hint="eastAsia"/>
                <w:color w:val="auto"/>
              </w:rPr>
            </w:pPr>
          </w:p>
        </w:tc>
        <w:tc>
          <w:tcPr>
            <w:tcW w:w="1047" w:type="pct"/>
            <w:gridSpan w:val="2"/>
            <w:shd w:val="clear" w:color="auto" w:fill="auto"/>
            <w:vAlign w:val="center"/>
          </w:tcPr>
          <w:p w14:paraId="09A78304">
            <w:pPr>
              <w:pStyle w:val="26"/>
              <w:bidi w:val="0"/>
              <w:rPr>
                <w:rFonts w:hint="default" w:eastAsia="仿宋_GB2312"/>
                <w:color w:val="auto"/>
                <w:lang w:val="en-US" w:eastAsia="zh-CN"/>
              </w:rPr>
            </w:pPr>
            <w:r>
              <w:rPr>
                <w:rFonts w:hint="eastAsia"/>
                <w:color w:val="auto"/>
                <w:lang w:val="en-US" w:eastAsia="zh-CN"/>
              </w:rPr>
              <w:t>压缩空气</w:t>
            </w:r>
          </w:p>
        </w:tc>
        <w:tc>
          <w:tcPr>
            <w:tcW w:w="2441" w:type="pct"/>
            <w:gridSpan w:val="2"/>
            <w:shd w:val="clear" w:color="auto" w:fill="auto"/>
            <w:vAlign w:val="center"/>
          </w:tcPr>
          <w:p w14:paraId="49A48E2F">
            <w:pPr>
              <w:pStyle w:val="26"/>
              <w:bidi w:val="0"/>
              <w:rPr>
                <w:rFonts w:hint="default"/>
                <w:color w:val="auto"/>
              </w:rPr>
            </w:pPr>
            <w:r>
              <w:rPr>
                <w:rFonts w:hint="default"/>
                <w:color w:val="auto"/>
              </w:rPr>
              <w:t>四套 1800Nm3/h 无油螺杆式空气压缩机组</w:t>
            </w:r>
          </w:p>
        </w:tc>
        <w:tc>
          <w:tcPr>
            <w:tcW w:w="940" w:type="pct"/>
            <w:shd w:val="clear" w:color="auto" w:fill="auto"/>
            <w:vAlign w:val="center"/>
          </w:tcPr>
          <w:p w14:paraId="4F5CBD6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2BA2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074C61F0">
            <w:pPr>
              <w:pStyle w:val="26"/>
              <w:bidi w:val="0"/>
              <w:rPr>
                <w:rFonts w:hint="eastAsia"/>
                <w:color w:val="auto"/>
              </w:rPr>
            </w:pPr>
          </w:p>
        </w:tc>
        <w:tc>
          <w:tcPr>
            <w:tcW w:w="1047" w:type="pct"/>
            <w:gridSpan w:val="2"/>
            <w:shd w:val="clear" w:color="auto" w:fill="auto"/>
            <w:vAlign w:val="center"/>
          </w:tcPr>
          <w:p w14:paraId="7D35E567">
            <w:pPr>
              <w:pStyle w:val="26"/>
              <w:bidi w:val="0"/>
              <w:rPr>
                <w:rFonts w:hint="eastAsia" w:eastAsia="仿宋_GB2312"/>
                <w:color w:val="auto"/>
                <w:lang w:val="en-US" w:eastAsia="zh-CN"/>
              </w:rPr>
            </w:pPr>
            <w:r>
              <w:rPr>
                <w:rFonts w:hint="eastAsia"/>
                <w:color w:val="auto"/>
                <w:lang w:val="en-US" w:eastAsia="zh-CN"/>
              </w:rPr>
              <w:t>综合楼</w:t>
            </w:r>
          </w:p>
        </w:tc>
        <w:tc>
          <w:tcPr>
            <w:tcW w:w="2441" w:type="pct"/>
            <w:gridSpan w:val="2"/>
            <w:shd w:val="clear" w:color="auto" w:fill="auto"/>
            <w:vAlign w:val="center"/>
          </w:tcPr>
          <w:p w14:paraId="7B7B4F64">
            <w:pPr>
              <w:pStyle w:val="26"/>
              <w:bidi w:val="0"/>
              <w:rPr>
                <w:rFonts w:hint="default" w:eastAsia="仿宋_GB2312"/>
                <w:color w:val="auto"/>
                <w:lang w:val="en-US" w:eastAsia="zh-CN"/>
              </w:rPr>
            </w:pPr>
            <w:r>
              <w:rPr>
                <w:rFonts w:hint="eastAsia"/>
                <w:color w:val="auto"/>
                <w:lang w:val="en-US" w:eastAsia="zh-CN"/>
              </w:rPr>
              <w:t>2栋，倒班宿舍</w:t>
            </w:r>
          </w:p>
        </w:tc>
        <w:tc>
          <w:tcPr>
            <w:tcW w:w="940" w:type="pct"/>
            <w:shd w:val="clear" w:color="auto" w:fill="auto"/>
            <w:vAlign w:val="center"/>
          </w:tcPr>
          <w:p w14:paraId="37A9E61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2C73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pct"/>
            <w:vMerge w:val="restart"/>
            <w:shd w:val="clear" w:color="auto" w:fill="auto"/>
            <w:vAlign w:val="center"/>
          </w:tcPr>
          <w:p w14:paraId="771ABA25">
            <w:pPr>
              <w:pStyle w:val="26"/>
              <w:bidi w:val="0"/>
              <w:rPr>
                <w:rFonts w:hint="eastAsia"/>
                <w:color w:val="auto"/>
              </w:rPr>
            </w:pPr>
            <w:r>
              <w:rPr>
                <w:rFonts w:hint="eastAsia"/>
                <w:color w:val="auto"/>
                <w:lang w:val="en-US" w:eastAsia="zh-CN"/>
              </w:rPr>
              <w:t>环保工程</w:t>
            </w:r>
          </w:p>
        </w:tc>
        <w:tc>
          <w:tcPr>
            <w:tcW w:w="522" w:type="pct"/>
            <w:vMerge w:val="restart"/>
            <w:shd w:val="clear" w:color="auto" w:fill="auto"/>
            <w:vAlign w:val="center"/>
          </w:tcPr>
          <w:p w14:paraId="796C7DCB">
            <w:pPr>
              <w:pStyle w:val="26"/>
              <w:bidi w:val="0"/>
              <w:rPr>
                <w:rFonts w:hint="eastAsia"/>
                <w:color w:val="auto"/>
              </w:rPr>
            </w:pPr>
            <w:r>
              <w:rPr>
                <w:rFonts w:hint="eastAsia"/>
                <w:color w:val="auto"/>
                <w:lang w:val="en-US" w:eastAsia="zh-CN"/>
              </w:rPr>
              <w:t>废气处理</w:t>
            </w:r>
          </w:p>
        </w:tc>
        <w:tc>
          <w:tcPr>
            <w:tcW w:w="525" w:type="pct"/>
            <w:vMerge w:val="restart"/>
            <w:shd w:val="clear" w:color="auto" w:fill="auto"/>
            <w:vAlign w:val="center"/>
          </w:tcPr>
          <w:p w14:paraId="521E67F3">
            <w:pPr>
              <w:pStyle w:val="26"/>
              <w:bidi w:val="0"/>
              <w:rPr>
                <w:rFonts w:hint="default"/>
                <w:color w:val="auto"/>
                <w:lang w:val="en-US" w:eastAsia="zh-CN"/>
              </w:rPr>
            </w:pPr>
            <w:r>
              <w:rPr>
                <w:rFonts w:hint="eastAsia"/>
                <w:color w:val="auto"/>
                <w:lang w:val="en-US" w:eastAsia="zh-CN"/>
              </w:rPr>
              <w:t>压纹版辊</w:t>
            </w:r>
          </w:p>
        </w:tc>
        <w:tc>
          <w:tcPr>
            <w:tcW w:w="1220" w:type="pct"/>
            <w:shd w:val="clear" w:color="auto" w:fill="auto"/>
            <w:vAlign w:val="center"/>
          </w:tcPr>
          <w:p w14:paraId="509F0F06">
            <w:pPr>
              <w:pStyle w:val="26"/>
              <w:bidi w:val="0"/>
              <w:rPr>
                <w:rFonts w:hint="eastAsia"/>
                <w:color w:val="auto"/>
              </w:rPr>
            </w:pPr>
            <w:r>
              <w:rPr>
                <w:rFonts w:hint="eastAsia"/>
                <w:color w:val="auto"/>
                <w:lang w:val="en-US" w:eastAsia="zh-CN"/>
              </w:rPr>
              <w:t>镀铬（铬酸雾）</w:t>
            </w:r>
          </w:p>
        </w:tc>
        <w:tc>
          <w:tcPr>
            <w:tcW w:w="1221" w:type="pct"/>
            <w:shd w:val="clear" w:color="auto" w:fill="auto"/>
            <w:vAlign w:val="center"/>
          </w:tcPr>
          <w:p w14:paraId="4CA4DAB0">
            <w:pPr>
              <w:pStyle w:val="26"/>
              <w:bidi w:val="0"/>
              <w:rPr>
                <w:rFonts w:hint="eastAsia"/>
                <w:color w:val="auto"/>
                <w:lang w:val="en-US" w:eastAsia="zh-CN"/>
              </w:rPr>
            </w:pPr>
            <w:r>
              <w:rPr>
                <w:rFonts w:hint="eastAsia"/>
                <w:color w:val="auto"/>
                <w:lang w:val="en-US" w:eastAsia="zh-CN"/>
              </w:rPr>
              <w:t>密闭管路收集+“凝聚回收+二级碱喷淋塔 ”+15 米高的排气筒（DA004）</w:t>
            </w:r>
          </w:p>
        </w:tc>
        <w:tc>
          <w:tcPr>
            <w:tcW w:w="940" w:type="pct"/>
            <w:shd w:val="clear" w:color="auto" w:fill="auto"/>
            <w:vAlign w:val="center"/>
          </w:tcPr>
          <w:p w14:paraId="791C5D93">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0A70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570" w:type="pct"/>
            <w:vMerge w:val="continue"/>
            <w:shd w:val="clear" w:color="auto" w:fill="auto"/>
            <w:vAlign w:val="center"/>
          </w:tcPr>
          <w:p w14:paraId="62D9B108">
            <w:pPr>
              <w:pStyle w:val="26"/>
              <w:bidi w:val="0"/>
              <w:rPr>
                <w:rFonts w:hint="eastAsia"/>
                <w:color w:val="auto"/>
              </w:rPr>
            </w:pPr>
          </w:p>
        </w:tc>
        <w:tc>
          <w:tcPr>
            <w:tcW w:w="522" w:type="pct"/>
            <w:vMerge w:val="continue"/>
            <w:shd w:val="clear" w:color="auto" w:fill="auto"/>
            <w:vAlign w:val="center"/>
          </w:tcPr>
          <w:p w14:paraId="3561A730">
            <w:pPr>
              <w:pStyle w:val="26"/>
              <w:bidi w:val="0"/>
              <w:rPr>
                <w:rFonts w:hint="eastAsia"/>
                <w:color w:val="auto"/>
              </w:rPr>
            </w:pPr>
          </w:p>
        </w:tc>
        <w:tc>
          <w:tcPr>
            <w:tcW w:w="525" w:type="pct"/>
            <w:vMerge w:val="continue"/>
            <w:shd w:val="clear" w:color="auto" w:fill="auto"/>
            <w:vAlign w:val="center"/>
          </w:tcPr>
          <w:p w14:paraId="202E0B78">
            <w:pPr>
              <w:pStyle w:val="26"/>
              <w:bidi w:val="0"/>
              <w:rPr>
                <w:rFonts w:hint="eastAsia"/>
                <w:color w:val="auto"/>
              </w:rPr>
            </w:pPr>
          </w:p>
        </w:tc>
        <w:tc>
          <w:tcPr>
            <w:tcW w:w="1220" w:type="pct"/>
            <w:shd w:val="clear" w:color="auto" w:fill="auto"/>
            <w:vAlign w:val="center"/>
          </w:tcPr>
          <w:p w14:paraId="5CC34821">
            <w:pPr>
              <w:pStyle w:val="26"/>
              <w:bidi w:val="0"/>
              <w:rPr>
                <w:rFonts w:hint="eastAsia" w:eastAsia="仿宋_GB2312"/>
                <w:color w:val="auto"/>
                <w:highlight w:val="none"/>
                <w:lang w:val="en-US" w:eastAsia="zh-CN"/>
              </w:rPr>
            </w:pPr>
            <w:r>
              <w:rPr>
                <w:rFonts w:hint="eastAsia"/>
                <w:color w:val="auto"/>
              </w:rPr>
              <w:t>浸蚀、喷酸</w:t>
            </w:r>
            <w:r>
              <w:rPr>
                <w:rFonts w:hint="eastAsia"/>
                <w:color w:val="auto"/>
                <w:lang w:eastAsia="zh-CN"/>
              </w:rPr>
              <w:t>、</w:t>
            </w:r>
            <w:r>
              <w:rPr>
                <w:rFonts w:hint="eastAsia"/>
                <w:color w:val="auto"/>
              </w:rPr>
              <w:t>镀铜及清洗</w:t>
            </w:r>
            <w:r>
              <w:rPr>
                <w:rFonts w:hint="eastAsia"/>
                <w:color w:val="auto"/>
                <w:lang w:eastAsia="zh-CN"/>
              </w:rPr>
              <w:t>（</w:t>
            </w:r>
            <w:r>
              <w:rPr>
                <w:rFonts w:hint="eastAsia"/>
                <w:color w:val="auto"/>
              </w:rPr>
              <w:t>硫酸雾</w:t>
            </w:r>
            <w:r>
              <w:rPr>
                <w:rFonts w:hint="eastAsia"/>
                <w:color w:val="auto"/>
                <w:lang w:eastAsia="zh-CN"/>
              </w:rPr>
              <w:t>）</w:t>
            </w:r>
          </w:p>
        </w:tc>
        <w:tc>
          <w:tcPr>
            <w:tcW w:w="1221" w:type="pct"/>
            <w:shd w:val="clear" w:color="auto" w:fill="auto"/>
            <w:vAlign w:val="center"/>
          </w:tcPr>
          <w:p w14:paraId="20853E34">
            <w:pPr>
              <w:pStyle w:val="26"/>
              <w:bidi w:val="0"/>
              <w:rPr>
                <w:rFonts w:hint="eastAsia"/>
                <w:color w:val="auto"/>
                <w:highlight w:val="none"/>
                <w:lang w:val="en-US" w:eastAsia="zh-CN"/>
              </w:rPr>
            </w:pPr>
            <w:r>
              <w:rPr>
                <w:rFonts w:hint="eastAsia"/>
                <w:color w:val="auto"/>
                <w:highlight w:val="none"/>
                <w:lang w:val="en-US" w:eastAsia="zh-CN"/>
              </w:rPr>
              <w:t>密闭管路收集+“二级碱喷淋塔 ”+15米高的排气筒（DA001）</w:t>
            </w:r>
          </w:p>
        </w:tc>
        <w:tc>
          <w:tcPr>
            <w:tcW w:w="940" w:type="pct"/>
            <w:shd w:val="clear" w:color="auto" w:fill="auto"/>
            <w:vAlign w:val="center"/>
          </w:tcPr>
          <w:p w14:paraId="63CD4BED">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2467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trPr>
        <w:tc>
          <w:tcPr>
            <w:tcW w:w="570" w:type="pct"/>
            <w:vMerge w:val="continue"/>
            <w:shd w:val="clear" w:color="auto" w:fill="auto"/>
            <w:vAlign w:val="center"/>
          </w:tcPr>
          <w:p w14:paraId="6E67B99E">
            <w:pPr>
              <w:pStyle w:val="26"/>
              <w:bidi w:val="0"/>
              <w:rPr>
                <w:rFonts w:hint="eastAsia"/>
                <w:color w:val="auto"/>
              </w:rPr>
            </w:pPr>
          </w:p>
        </w:tc>
        <w:tc>
          <w:tcPr>
            <w:tcW w:w="522" w:type="pct"/>
            <w:vMerge w:val="continue"/>
            <w:shd w:val="clear" w:color="auto" w:fill="auto"/>
            <w:vAlign w:val="center"/>
          </w:tcPr>
          <w:p w14:paraId="7380B8F0">
            <w:pPr>
              <w:pStyle w:val="26"/>
              <w:bidi w:val="0"/>
              <w:rPr>
                <w:rFonts w:hint="eastAsia"/>
                <w:color w:val="auto"/>
              </w:rPr>
            </w:pPr>
          </w:p>
        </w:tc>
        <w:tc>
          <w:tcPr>
            <w:tcW w:w="525" w:type="pct"/>
            <w:vMerge w:val="continue"/>
            <w:shd w:val="clear" w:color="auto" w:fill="auto"/>
            <w:vAlign w:val="center"/>
          </w:tcPr>
          <w:p w14:paraId="35810CC9">
            <w:pPr>
              <w:pStyle w:val="26"/>
              <w:bidi w:val="0"/>
              <w:rPr>
                <w:rFonts w:hint="eastAsia"/>
                <w:color w:val="auto"/>
              </w:rPr>
            </w:pPr>
          </w:p>
        </w:tc>
        <w:tc>
          <w:tcPr>
            <w:tcW w:w="1220" w:type="pct"/>
            <w:shd w:val="clear" w:color="auto" w:fill="auto"/>
            <w:vAlign w:val="center"/>
          </w:tcPr>
          <w:p w14:paraId="5FE0D41C">
            <w:pPr>
              <w:pStyle w:val="26"/>
              <w:bidi w:val="0"/>
              <w:rPr>
                <w:rFonts w:hint="eastAsia"/>
                <w:color w:val="auto"/>
                <w:highlight w:val="none"/>
              </w:rPr>
            </w:pPr>
            <w:r>
              <w:rPr>
                <w:rFonts w:hint="eastAsia"/>
                <w:color w:val="auto"/>
                <w:highlight w:val="none"/>
              </w:rPr>
              <w:t>喷砂</w:t>
            </w:r>
            <w:r>
              <w:rPr>
                <w:rFonts w:hint="eastAsia"/>
                <w:color w:val="auto"/>
                <w:highlight w:val="none"/>
                <w:lang w:eastAsia="zh-CN"/>
              </w:rPr>
              <w:t>（</w:t>
            </w:r>
            <w:r>
              <w:rPr>
                <w:rFonts w:hint="eastAsia"/>
                <w:color w:val="auto"/>
                <w:highlight w:val="none"/>
              </w:rPr>
              <w:t>颗粒物</w:t>
            </w:r>
            <w:r>
              <w:rPr>
                <w:rFonts w:hint="eastAsia"/>
                <w:color w:val="auto"/>
                <w:highlight w:val="none"/>
                <w:lang w:eastAsia="zh-CN"/>
              </w:rPr>
              <w:t>）</w:t>
            </w:r>
          </w:p>
        </w:tc>
        <w:tc>
          <w:tcPr>
            <w:tcW w:w="1221" w:type="pct"/>
            <w:shd w:val="clear" w:color="auto" w:fill="auto"/>
            <w:vAlign w:val="center"/>
          </w:tcPr>
          <w:p w14:paraId="2919E2DA">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集气罩/密闭管路收</w:t>
            </w:r>
          </w:p>
          <w:p w14:paraId="10C587CD">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集+“袋式除尘 ”+15 米高的排气筒（DA005）</w:t>
            </w:r>
          </w:p>
        </w:tc>
        <w:tc>
          <w:tcPr>
            <w:tcW w:w="940" w:type="pct"/>
            <w:vMerge w:val="restart"/>
            <w:shd w:val="clear" w:color="auto" w:fill="auto"/>
            <w:vAlign w:val="center"/>
          </w:tcPr>
          <w:p w14:paraId="4694B30D">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合并排放</w:t>
            </w:r>
          </w:p>
        </w:tc>
      </w:tr>
      <w:tr w14:paraId="745C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70" w:type="pct"/>
            <w:vMerge w:val="continue"/>
            <w:shd w:val="clear" w:color="auto" w:fill="auto"/>
            <w:vAlign w:val="center"/>
          </w:tcPr>
          <w:p w14:paraId="663103C9">
            <w:pPr>
              <w:pStyle w:val="26"/>
              <w:bidi w:val="0"/>
              <w:rPr>
                <w:rFonts w:hint="eastAsia"/>
                <w:color w:val="auto"/>
              </w:rPr>
            </w:pPr>
          </w:p>
        </w:tc>
        <w:tc>
          <w:tcPr>
            <w:tcW w:w="522" w:type="pct"/>
            <w:vMerge w:val="continue"/>
            <w:shd w:val="clear" w:color="auto" w:fill="auto"/>
            <w:vAlign w:val="center"/>
          </w:tcPr>
          <w:p w14:paraId="1C03165B">
            <w:pPr>
              <w:pStyle w:val="26"/>
              <w:bidi w:val="0"/>
              <w:rPr>
                <w:rFonts w:hint="eastAsia"/>
                <w:color w:val="auto"/>
              </w:rPr>
            </w:pPr>
          </w:p>
        </w:tc>
        <w:tc>
          <w:tcPr>
            <w:tcW w:w="525" w:type="pct"/>
            <w:vMerge w:val="continue"/>
            <w:shd w:val="clear" w:color="auto" w:fill="auto"/>
            <w:vAlign w:val="center"/>
          </w:tcPr>
          <w:p w14:paraId="33D32091">
            <w:pPr>
              <w:pStyle w:val="26"/>
              <w:bidi w:val="0"/>
              <w:rPr>
                <w:rFonts w:hint="eastAsia"/>
                <w:color w:val="auto"/>
              </w:rPr>
            </w:pPr>
          </w:p>
        </w:tc>
        <w:tc>
          <w:tcPr>
            <w:tcW w:w="1220" w:type="pct"/>
            <w:shd w:val="clear" w:color="auto" w:fill="auto"/>
            <w:vAlign w:val="center"/>
          </w:tcPr>
          <w:p w14:paraId="6B61164D">
            <w:pPr>
              <w:pStyle w:val="26"/>
              <w:bidi w:val="0"/>
              <w:rPr>
                <w:rFonts w:hint="eastAsia"/>
                <w:color w:val="auto"/>
                <w:highlight w:val="none"/>
              </w:rPr>
            </w:pPr>
            <w:r>
              <w:rPr>
                <w:rFonts w:hint="eastAsia"/>
                <w:color w:val="auto"/>
                <w:highlight w:val="none"/>
              </w:rPr>
              <w:t>喷胶、调胶、清洁</w:t>
            </w:r>
            <w:r>
              <w:rPr>
                <w:rFonts w:hint="eastAsia"/>
                <w:color w:val="auto"/>
                <w:highlight w:val="none"/>
                <w:lang w:eastAsia="zh-CN"/>
              </w:rPr>
              <w:t>（</w:t>
            </w:r>
            <w:r>
              <w:rPr>
                <w:rFonts w:hint="eastAsia"/>
                <w:color w:val="auto"/>
                <w:highlight w:val="none"/>
              </w:rPr>
              <w:t>非甲烷总烃、二甲苯</w:t>
            </w:r>
            <w:r>
              <w:rPr>
                <w:rFonts w:hint="eastAsia"/>
                <w:color w:val="auto"/>
                <w:highlight w:val="none"/>
                <w:lang w:eastAsia="zh-CN"/>
              </w:rPr>
              <w:t>）</w:t>
            </w:r>
          </w:p>
        </w:tc>
        <w:tc>
          <w:tcPr>
            <w:tcW w:w="1221" w:type="pct"/>
            <w:shd w:val="clear" w:color="auto" w:fill="auto"/>
            <w:vAlign w:val="center"/>
          </w:tcPr>
          <w:p w14:paraId="7369DBBC">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集气罩/密闭管路收集+“水喷淋+二级活性炭 ”+15米高的排气筒（DA005）</w:t>
            </w:r>
          </w:p>
        </w:tc>
        <w:tc>
          <w:tcPr>
            <w:tcW w:w="940" w:type="pct"/>
            <w:vMerge w:val="continue"/>
            <w:shd w:val="clear" w:color="auto" w:fill="auto"/>
            <w:vAlign w:val="center"/>
          </w:tcPr>
          <w:p w14:paraId="4C901B93">
            <w:pPr>
              <w:pStyle w:val="26"/>
              <w:bidi w:val="0"/>
              <w:rPr>
                <w:rFonts w:hint="eastAsia"/>
                <w:color w:val="auto"/>
                <w:lang w:val="en-US" w:eastAsia="zh-CN"/>
              </w:rPr>
            </w:pPr>
          </w:p>
        </w:tc>
      </w:tr>
      <w:tr w14:paraId="02A0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70" w:type="pct"/>
            <w:vMerge w:val="continue"/>
            <w:shd w:val="clear" w:color="auto" w:fill="auto"/>
            <w:vAlign w:val="center"/>
          </w:tcPr>
          <w:p w14:paraId="534E3BB3">
            <w:pPr>
              <w:pStyle w:val="26"/>
              <w:bidi w:val="0"/>
              <w:rPr>
                <w:rFonts w:hint="eastAsia"/>
                <w:color w:val="auto"/>
              </w:rPr>
            </w:pPr>
          </w:p>
        </w:tc>
        <w:tc>
          <w:tcPr>
            <w:tcW w:w="522" w:type="pct"/>
            <w:vMerge w:val="continue"/>
            <w:shd w:val="clear" w:color="auto" w:fill="auto"/>
            <w:vAlign w:val="center"/>
          </w:tcPr>
          <w:p w14:paraId="5A252B26">
            <w:pPr>
              <w:pStyle w:val="26"/>
              <w:bidi w:val="0"/>
              <w:rPr>
                <w:rFonts w:hint="eastAsia"/>
                <w:color w:val="auto"/>
              </w:rPr>
            </w:pPr>
          </w:p>
        </w:tc>
        <w:tc>
          <w:tcPr>
            <w:tcW w:w="525" w:type="pct"/>
            <w:vMerge w:val="continue"/>
            <w:shd w:val="clear" w:color="auto" w:fill="auto"/>
            <w:vAlign w:val="center"/>
          </w:tcPr>
          <w:p w14:paraId="7F444A09">
            <w:pPr>
              <w:pStyle w:val="26"/>
              <w:bidi w:val="0"/>
              <w:rPr>
                <w:rFonts w:hint="eastAsia"/>
                <w:color w:val="auto"/>
              </w:rPr>
            </w:pPr>
          </w:p>
        </w:tc>
        <w:tc>
          <w:tcPr>
            <w:tcW w:w="1220" w:type="pct"/>
            <w:shd w:val="clear" w:color="auto" w:fill="auto"/>
            <w:vAlign w:val="center"/>
          </w:tcPr>
          <w:p w14:paraId="251C2C5A">
            <w:pPr>
              <w:pStyle w:val="26"/>
              <w:bidi w:val="0"/>
              <w:rPr>
                <w:rFonts w:hint="eastAsia"/>
                <w:color w:val="auto"/>
                <w:highlight w:val="none"/>
              </w:rPr>
            </w:pPr>
            <w:r>
              <w:rPr>
                <w:rFonts w:hint="eastAsia"/>
                <w:color w:val="auto"/>
                <w:highlight w:val="none"/>
              </w:rPr>
              <w:t>激光直刻</w:t>
            </w:r>
            <w:r>
              <w:rPr>
                <w:rFonts w:hint="eastAsia"/>
                <w:color w:val="auto"/>
                <w:highlight w:val="none"/>
                <w:lang w:eastAsia="zh-CN"/>
              </w:rPr>
              <w:t>（</w:t>
            </w:r>
            <w:r>
              <w:rPr>
                <w:rFonts w:hint="eastAsia"/>
                <w:color w:val="auto"/>
                <w:highlight w:val="none"/>
                <w:lang w:val="en-US" w:eastAsia="zh-CN"/>
              </w:rPr>
              <w:t>颗粒物</w:t>
            </w:r>
            <w:r>
              <w:rPr>
                <w:rFonts w:hint="eastAsia"/>
                <w:color w:val="auto"/>
                <w:highlight w:val="none"/>
                <w:lang w:eastAsia="zh-CN"/>
              </w:rPr>
              <w:t>）</w:t>
            </w:r>
          </w:p>
        </w:tc>
        <w:tc>
          <w:tcPr>
            <w:tcW w:w="1221" w:type="pct"/>
            <w:shd w:val="clear" w:color="auto" w:fill="auto"/>
            <w:vAlign w:val="center"/>
          </w:tcPr>
          <w:p w14:paraId="5B60CD9D">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集气罩/密闭管路收</w:t>
            </w:r>
          </w:p>
          <w:p w14:paraId="05DB3A5E">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集+“袋式除尘 ”+15 米高的排气筒（DA00</w:t>
            </w:r>
            <w:r>
              <w:rPr>
                <w:rFonts w:hint="eastAsia" w:cs="Times New Roman"/>
                <w:color w:val="auto"/>
                <w:kern w:val="2"/>
                <w:sz w:val="21"/>
                <w:szCs w:val="22"/>
                <w:highlight w:val="none"/>
                <w:lang w:val="en-US" w:eastAsia="zh-CN" w:bidi="ar-SA"/>
              </w:rPr>
              <w:t>3</w:t>
            </w:r>
            <w:r>
              <w:rPr>
                <w:rFonts w:hint="eastAsia" w:ascii="Times New Roman" w:hAnsi="Times New Roman" w:eastAsia="仿宋_GB2312" w:cs="Times New Roman"/>
                <w:color w:val="auto"/>
                <w:kern w:val="2"/>
                <w:sz w:val="21"/>
                <w:szCs w:val="22"/>
                <w:highlight w:val="none"/>
                <w:lang w:val="en-US" w:eastAsia="zh-CN" w:bidi="ar-SA"/>
              </w:rPr>
              <w:t>）</w:t>
            </w:r>
          </w:p>
        </w:tc>
        <w:tc>
          <w:tcPr>
            <w:tcW w:w="940" w:type="pct"/>
            <w:vMerge w:val="restart"/>
            <w:shd w:val="clear" w:color="auto" w:fill="auto"/>
            <w:vAlign w:val="center"/>
          </w:tcPr>
          <w:p w14:paraId="5A780571">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合并排放</w:t>
            </w:r>
          </w:p>
        </w:tc>
      </w:tr>
      <w:tr w14:paraId="7FDD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70" w:type="pct"/>
            <w:vMerge w:val="continue"/>
            <w:shd w:val="clear" w:color="auto" w:fill="auto"/>
            <w:vAlign w:val="center"/>
          </w:tcPr>
          <w:p w14:paraId="5422BC13">
            <w:pPr>
              <w:pStyle w:val="26"/>
              <w:bidi w:val="0"/>
              <w:rPr>
                <w:rFonts w:hint="eastAsia"/>
                <w:color w:val="auto"/>
              </w:rPr>
            </w:pPr>
          </w:p>
        </w:tc>
        <w:tc>
          <w:tcPr>
            <w:tcW w:w="522" w:type="pct"/>
            <w:vMerge w:val="continue"/>
            <w:shd w:val="clear" w:color="auto" w:fill="auto"/>
            <w:vAlign w:val="center"/>
          </w:tcPr>
          <w:p w14:paraId="6959E2EE">
            <w:pPr>
              <w:pStyle w:val="26"/>
              <w:bidi w:val="0"/>
              <w:rPr>
                <w:rFonts w:hint="eastAsia"/>
                <w:color w:val="auto"/>
              </w:rPr>
            </w:pPr>
          </w:p>
        </w:tc>
        <w:tc>
          <w:tcPr>
            <w:tcW w:w="525" w:type="pct"/>
            <w:vMerge w:val="continue"/>
            <w:shd w:val="clear" w:color="auto" w:fill="auto"/>
            <w:vAlign w:val="center"/>
          </w:tcPr>
          <w:p w14:paraId="204F9B1F">
            <w:pPr>
              <w:pStyle w:val="26"/>
              <w:bidi w:val="0"/>
              <w:rPr>
                <w:rFonts w:hint="eastAsia"/>
                <w:color w:val="auto"/>
              </w:rPr>
            </w:pPr>
          </w:p>
        </w:tc>
        <w:tc>
          <w:tcPr>
            <w:tcW w:w="1220" w:type="pct"/>
            <w:shd w:val="clear" w:color="auto" w:fill="auto"/>
            <w:vAlign w:val="center"/>
          </w:tcPr>
          <w:p w14:paraId="3D28FFD7">
            <w:pPr>
              <w:pStyle w:val="26"/>
              <w:bidi w:val="0"/>
              <w:rPr>
                <w:rFonts w:hint="eastAsia"/>
                <w:color w:val="auto"/>
                <w:highlight w:val="none"/>
              </w:rPr>
            </w:pPr>
            <w:r>
              <w:rPr>
                <w:rFonts w:hint="eastAsia"/>
                <w:color w:val="auto"/>
                <w:highlight w:val="none"/>
              </w:rPr>
              <w:t>激光雕刻工艺产生的有机废气（非甲烷总烃、二甲苯、颗粒物）</w:t>
            </w:r>
          </w:p>
        </w:tc>
        <w:tc>
          <w:tcPr>
            <w:tcW w:w="1221" w:type="pct"/>
            <w:shd w:val="clear" w:color="auto" w:fill="auto"/>
            <w:vAlign w:val="center"/>
          </w:tcPr>
          <w:p w14:paraId="5F9D6BD1">
            <w:pPr>
              <w:pStyle w:val="26"/>
              <w:bidi w:val="0"/>
              <w:rPr>
                <w:rFonts w:hint="eastAsia"/>
                <w:color w:val="auto"/>
                <w:highlight w:val="none"/>
                <w:lang w:val="en-US" w:eastAsia="zh-CN"/>
              </w:rPr>
            </w:pPr>
            <w:r>
              <w:rPr>
                <w:rFonts w:hint="eastAsia"/>
                <w:color w:val="auto"/>
                <w:highlight w:val="none"/>
                <w:lang w:val="en-US" w:eastAsia="zh-CN"/>
              </w:rPr>
              <w:t>密闭管路收集+“袋式除尘+水喷淋+二级活性炭 ”+15 米高的排气筒（DA003）</w:t>
            </w:r>
          </w:p>
        </w:tc>
        <w:tc>
          <w:tcPr>
            <w:tcW w:w="940" w:type="pct"/>
            <w:vMerge w:val="continue"/>
            <w:shd w:val="clear" w:color="auto" w:fill="auto"/>
            <w:vAlign w:val="center"/>
          </w:tcPr>
          <w:p w14:paraId="4F76E1B0">
            <w:pPr>
              <w:pStyle w:val="26"/>
              <w:bidi w:val="0"/>
              <w:rPr>
                <w:rFonts w:hint="eastAsia"/>
                <w:color w:val="auto"/>
                <w:lang w:val="en-US" w:eastAsia="zh-CN"/>
              </w:rPr>
            </w:pPr>
          </w:p>
        </w:tc>
      </w:tr>
      <w:tr w14:paraId="57C0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0" w:type="pct"/>
            <w:vMerge w:val="continue"/>
            <w:shd w:val="clear" w:color="auto" w:fill="auto"/>
            <w:vAlign w:val="center"/>
          </w:tcPr>
          <w:p w14:paraId="605995E5">
            <w:pPr>
              <w:pStyle w:val="26"/>
              <w:bidi w:val="0"/>
              <w:rPr>
                <w:rFonts w:hint="eastAsia"/>
                <w:color w:val="auto"/>
              </w:rPr>
            </w:pPr>
          </w:p>
        </w:tc>
        <w:tc>
          <w:tcPr>
            <w:tcW w:w="522" w:type="pct"/>
            <w:vMerge w:val="continue"/>
            <w:shd w:val="clear" w:color="auto" w:fill="auto"/>
            <w:vAlign w:val="center"/>
          </w:tcPr>
          <w:p w14:paraId="6FA22874">
            <w:pPr>
              <w:pStyle w:val="26"/>
              <w:bidi w:val="0"/>
              <w:rPr>
                <w:rFonts w:hint="eastAsia"/>
                <w:color w:val="auto"/>
              </w:rPr>
            </w:pPr>
          </w:p>
        </w:tc>
        <w:tc>
          <w:tcPr>
            <w:tcW w:w="525" w:type="pct"/>
            <w:vMerge w:val="continue"/>
            <w:shd w:val="clear" w:color="auto" w:fill="auto"/>
            <w:vAlign w:val="center"/>
          </w:tcPr>
          <w:p w14:paraId="1976E473">
            <w:pPr>
              <w:pStyle w:val="26"/>
              <w:bidi w:val="0"/>
              <w:rPr>
                <w:rFonts w:hint="eastAsia"/>
                <w:color w:val="auto"/>
              </w:rPr>
            </w:pPr>
          </w:p>
        </w:tc>
        <w:tc>
          <w:tcPr>
            <w:tcW w:w="1220" w:type="pct"/>
            <w:shd w:val="clear" w:color="auto" w:fill="auto"/>
            <w:vAlign w:val="center"/>
          </w:tcPr>
          <w:p w14:paraId="4CD1E3E3">
            <w:pPr>
              <w:pStyle w:val="26"/>
              <w:bidi w:val="0"/>
              <w:rPr>
                <w:rFonts w:hint="eastAsia"/>
                <w:color w:val="auto"/>
                <w:highlight w:val="none"/>
              </w:rPr>
            </w:pPr>
            <w:r>
              <w:rPr>
                <w:rFonts w:hint="eastAsia"/>
                <w:color w:val="auto"/>
                <w:highlight w:val="none"/>
              </w:rPr>
              <w:t>腐蚀车间清洗槽产生的氯化氢</w:t>
            </w:r>
          </w:p>
        </w:tc>
        <w:tc>
          <w:tcPr>
            <w:tcW w:w="1221" w:type="pct"/>
            <w:shd w:val="clear" w:color="auto" w:fill="auto"/>
            <w:vAlign w:val="center"/>
          </w:tcPr>
          <w:p w14:paraId="06FC1C8D">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密闭管路收集+“二级碱喷淋塔”+15米高的排气筒（DA002）</w:t>
            </w:r>
          </w:p>
        </w:tc>
        <w:tc>
          <w:tcPr>
            <w:tcW w:w="940" w:type="pct"/>
            <w:shd w:val="clear" w:color="auto" w:fill="auto"/>
            <w:vAlign w:val="center"/>
          </w:tcPr>
          <w:p w14:paraId="295002C2">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r>
      <w:tr w14:paraId="779E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0" w:type="pct"/>
            <w:vMerge w:val="continue"/>
            <w:shd w:val="clear" w:color="auto" w:fill="auto"/>
            <w:vAlign w:val="center"/>
          </w:tcPr>
          <w:p w14:paraId="7CD5078B">
            <w:pPr>
              <w:pStyle w:val="26"/>
              <w:bidi w:val="0"/>
              <w:rPr>
                <w:rFonts w:hint="eastAsia"/>
                <w:color w:val="auto"/>
              </w:rPr>
            </w:pPr>
          </w:p>
        </w:tc>
        <w:tc>
          <w:tcPr>
            <w:tcW w:w="522" w:type="pct"/>
            <w:vMerge w:val="continue"/>
            <w:shd w:val="clear" w:color="auto" w:fill="auto"/>
            <w:vAlign w:val="center"/>
          </w:tcPr>
          <w:p w14:paraId="16E6DE60">
            <w:pPr>
              <w:pStyle w:val="26"/>
              <w:bidi w:val="0"/>
              <w:rPr>
                <w:rFonts w:hint="eastAsia"/>
                <w:color w:val="auto"/>
              </w:rPr>
            </w:pPr>
          </w:p>
        </w:tc>
        <w:tc>
          <w:tcPr>
            <w:tcW w:w="525" w:type="pct"/>
            <w:vMerge w:val="continue"/>
            <w:shd w:val="clear" w:color="auto" w:fill="auto"/>
            <w:vAlign w:val="center"/>
          </w:tcPr>
          <w:p w14:paraId="6949FBBC">
            <w:pPr>
              <w:pStyle w:val="26"/>
              <w:bidi w:val="0"/>
              <w:rPr>
                <w:rFonts w:hint="eastAsia"/>
                <w:color w:val="auto"/>
              </w:rPr>
            </w:pPr>
          </w:p>
        </w:tc>
        <w:tc>
          <w:tcPr>
            <w:tcW w:w="1220" w:type="pct"/>
            <w:shd w:val="clear" w:color="auto" w:fill="auto"/>
            <w:vAlign w:val="center"/>
          </w:tcPr>
          <w:p w14:paraId="146B3AA6">
            <w:pPr>
              <w:pStyle w:val="26"/>
              <w:bidi w:val="0"/>
              <w:rPr>
                <w:rFonts w:hint="eastAsia"/>
                <w:color w:val="auto"/>
                <w:highlight w:val="none"/>
              </w:rPr>
            </w:pPr>
            <w:r>
              <w:rPr>
                <w:rFonts w:hint="eastAsia"/>
                <w:color w:val="auto"/>
                <w:highlight w:val="none"/>
              </w:rPr>
              <w:t>焊接产生的颗粒物（无组织）</w:t>
            </w:r>
          </w:p>
        </w:tc>
        <w:tc>
          <w:tcPr>
            <w:tcW w:w="1221" w:type="pct"/>
            <w:shd w:val="clear" w:color="auto" w:fill="auto"/>
            <w:vAlign w:val="center"/>
          </w:tcPr>
          <w:p w14:paraId="5864E437">
            <w:pPr>
              <w:pStyle w:val="26"/>
              <w:bidi w:val="0"/>
              <w:rPr>
                <w:rFonts w:hint="eastAsia"/>
                <w:color w:val="auto"/>
                <w:highlight w:val="none"/>
                <w:lang w:val="en-US" w:eastAsia="zh-CN"/>
              </w:rPr>
            </w:pPr>
            <w:r>
              <w:rPr>
                <w:rFonts w:hint="eastAsia"/>
                <w:color w:val="auto"/>
                <w:highlight w:val="none"/>
                <w:lang w:val="en-US" w:eastAsia="zh-CN"/>
              </w:rPr>
              <w:t>移动式焊烟净化器收集处理后，加强车间通风</w:t>
            </w:r>
          </w:p>
        </w:tc>
        <w:tc>
          <w:tcPr>
            <w:tcW w:w="940" w:type="pct"/>
            <w:shd w:val="clear" w:color="auto" w:fill="auto"/>
            <w:vAlign w:val="center"/>
          </w:tcPr>
          <w:p w14:paraId="0E35C225">
            <w:pPr>
              <w:pStyle w:val="26"/>
              <w:bidi w:val="0"/>
              <w:rPr>
                <w:rFonts w:hint="eastAsia"/>
                <w:color w:val="auto"/>
                <w:lang w:val="en-US" w:eastAsia="zh-CN"/>
              </w:rPr>
            </w:pPr>
            <w:r>
              <w:rPr>
                <w:rFonts w:hint="eastAsia"/>
                <w:color w:val="auto"/>
                <w:lang w:val="en-US" w:eastAsia="zh-CN"/>
              </w:rPr>
              <w:t>/</w:t>
            </w:r>
          </w:p>
        </w:tc>
      </w:tr>
      <w:tr w14:paraId="23D3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0" w:type="pct"/>
            <w:vMerge w:val="continue"/>
            <w:shd w:val="clear" w:color="auto" w:fill="auto"/>
            <w:vAlign w:val="center"/>
          </w:tcPr>
          <w:p w14:paraId="789F3184">
            <w:pPr>
              <w:pStyle w:val="26"/>
              <w:bidi w:val="0"/>
              <w:rPr>
                <w:rFonts w:hint="eastAsia"/>
                <w:color w:val="auto"/>
              </w:rPr>
            </w:pPr>
          </w:p>
        </w:tc>
        <w:tc>
          <w:tcPr>
            <w:tcW w:w="522" w:type="pct"/>
            <w:vMerge w:val="continue"/>
            <w:shd w:val="clear" w:color="auto" w:fill="auto"/>
            <w:vAlign w:val="center"/>
          </w:tcPr>
          <w:p w14:paraId="549D37BB">
            <w:pPr>
              <w:pStyle w:val="26"/>
              <w:bidi w:val="0"/>
              <w:rPr>
                <w:rFonts w:hint="eastAsia"/>
                <w:color w:val="auto"/>
              </w:rPr>
            </w:pPr>
          </w:p>
        </w:tc>
        <w:tc>
          <w:tcPr>
            <w:tcW w:w="525" w:type="pct"/>
            <w:vMerge w:val="restart"/>
            <w:shd w:val="clear" w:color="auto" w:fill="auto"/>
            <w:vAlign w:val="center"/>
          </w:tcPr>
          <w:p w14:paraId="14271081">
            <w:pPr>
              <w:pStyle w:val="26"/>
              <w:bidi w:val="0"/>
              <w:rPr>
                <w:rFonts w:hint="eastAsia"/>
                <w:color w:val="auto"/>
              </w:rPr>
            </w:pPr>
            <w:r>
              <w:rPr>
                <w:rFonts w:hint="eastAsia"/>
                <w:color w:val="auto"/>
                <w:lang w:val="en-US" w:eastAsia="zh-CN"/>
              </w:rPr>
              <w:t>微精版</w:t>
            </w:r>
          </w:p>
        </w:tc>
        <w:tc>
          <w:tcPr>
            <w:tcW w:w="1220" w:type="pct"/>
            <w:shd w:val="clear" w:color="auto" w:fill="auto"/>
            <w:vAlign w:val="center"/>
          </w:tcPr>
          <w:p w14:paraId="40B203A3">
            <w:pPr>
              <w:pStyle w:val="26"/>
              <w:bidi w:val="0"/>
              <w:rPr>
                <w:rFonts w:hint="eastAsia"/>
                <w:color w:val="auto"/>
                <w:highlight w:val="none"/>
              </w:rPr>
            </w:pPr>
            <w:r>
              <w:rPr>
                <w:rFonts w:hint="eastAsia"/>
                <w:color w:val="auto"/>
                <w:highlight w:val="none"/>
              </w:rPr>
              <w:t>镀铜产生的氯化氢、硫酸雾</w:t>
            </w:r>
          </w:p>
        </w:tc>
        <w:tc>
          <w:tcPr>
            <w:tcW w:w="1221" w:type="pct"/>
            <w:shd w:val="clear" w:color="auto" w:fill="auto"/>
            <w:vAlign w:val="center"/>
          </w:tcPr>
          <w:p w14:paraId="78391ACF">
            <w:pPr>
              <w:pStyle w:val="26"/>
              <w:bidi w:val="0"/>
              <w:rPr>
                <w:rFonts w:hint="eastAsia"/>
                <w:color w:val="auto"/>
                <w:highlight w:val="none"/>
                <w:lang w:val="en-US" w:eastAsia="zh-CN"/>
              </w:rPr>
            </w:pPr>
            <w:r>
              <w:rPr>
                <w:rFonts w:hint="eastAsia"/>
                <w:color w:val="auto"/>
                <w:highlight w:val="none"/>
                <w:lang w:val="en-US" w:eastAsia="zh-CN"/>
              </w:rPr>
              <w:t>密闭管路收集+“二级碱喷淋塔”+15米高的排气筒</w:t>
            </w:r>
          </w:p>
          <w:p w14:paraId="351111C6">
            <w:pPr>
              <w:pStyle w:val="26"/>
              <w:bidi w:val="0"/>
              <w:rPr>
                <w:rFonts w:hint="eastAsia"/>
                <w:color w:val="auto"/>
                <w:highlight w:val="none"/>
                <w:lang w:val="en-US" w:eastAsia="zh-CN"/>
              </w:rPr>
            </w:pPr>
            <w:r>
              <w:rPr>
                <w:rFonts w:hint="eastAsia"/>
                <w:color w:val="auto"/>
                <w:highlight w:val="none"/>
                <w:lang w:val="en-US" w:eastAsia="zh-CN"/>
              </w:rPr>
              <w:t>（DA006）</w:t>
            </w:r>
          </w:p>
        </w:tc>
        <w:tc>
          <w:tcPr>
            <w:tcW w:w="940" w:type="pct"/>
            <w:shd w:val="clear" w:color="auto" w:fill="auto"/>
            <w:vAlign w:val="center"/>
          </w:tcPr>
          <w:p w14:paraId="27B6A6F1">
            <w:pPr>
              <w:pStyle w:val="26"/>
              <w:bidi w:val="0"/>
              <w:rPr>
                <w:rFonts w:hint="eastAsia"/>
                <w:color w:val="auto"/>
                <w:lang w:val="en-US" w:eastAsia="zh-CN"/>
              </w:rPr>
            </w:pPr>
            <w:r>
              <w:rPr>
                <w:rFonts w:hint="eastAsia"/>
                <w:color w:val="auto"/>
                <w:lang w:val="en-US" w:eastAsia="zh-CN"/>
              </w:rPr>
              <w:t>/</w:t>
            </w:r>
          </w:p>
        </w:tc>
      </w:tr>
      <w:tr w14:paraId="78F3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0" w:type="pct"/>
            <w:vMerge w:val="continue"/>
            <w:shd w:val="clear" w:color="auto" w:fill="auto"/>
            <w:vAlign w:val="center"/>
          </w:tcPr>
          <w:p w14:paraId="5B0D6820">
            <w:pPr>
              <w:pStyle w:val="26"/>
              <w:bidi w:val="0"/>
              <w:rPr>
                <w:rFonts w:hint="eastAsia"/>
                <w:color w:val="auto"/>
              </w:rPr>
            </w:pPr>
          </w:p>
        </w:tc>
        <w:tc>
          <w:tcPr>
            <w:tcW w:w="522" w:type="pct"/>
            <w:vMerge w:val="continue"/>
            <w:shd w:val="clear" w:color="auto" w:fill="auto"/>
            <w:vAlign w:val="center"/>
          </w:tcPr>
          <w:p w14:paraId="5C0F4904">
            <w:pPr>
              <w:pStyle w:val="26"/>
              <w:bidi w:val="0"/>
              <w:rPr>
                <w:rFonts w:hint="eastAsia"/>
                <w:color w:val="auto"/>
              </w:rPr>
            </w:pPr>
          </w:p>
        </w:tc>
        <w:tc>
          <w:tcPr>
            <w:tcW w:w="525" w:type="pct"/>
            <w:vMerge w:val="continue"/>
            <w:shd w:val="clear" w:color="auto" w:fill="auto"/>
            <w:vAlign w:val="center"/>
          </w:tcPr>
          <w:p w14:paraId="0191980E">
            <w:pPr>
              <w:pStyle w:val="26"/>
              <w:bidi w:val="0"/>
              <w:rPr>
                <w:rFonts w:hint="eastAsia"/>
                <w:color w:val="auto"/>
              </w:rPr>
            </w:pPr>
          </w:p>
        </w:tc>
        <w:tc>
          <w:tcPr>
            <w:tcW w:w="1220" w:type="pct"/>
            <w:shd w:val="clear" w:color="auto" w:fill="auto"/>
            <w:vAlign w:val="center"/>
          </w:tcPr>
          <w:p w14:paraId="4B31178A">
            <w:pPr>
              <w:pStyle w:val="26"/>
              <w:bidi w:val="0"/>
              <w:rPr>
                <w:rFonts w:hint="eastAsia"/>
                <w:color w:val="auto"/>
                <w:highlight w:val="none"/>
              </w:rPr>
            </w:pPr>
            <w:r>
              <w:rPr>
                <w:rFonts w:hint="eastAsia"/>
                <w:color w:val="auto"/>
                <w:highlight w:val="none"/>
              </w:rPr>
              <w:t>镀铬产生的硫酸雾、铬酸雾</w:t>
            </w:r>
          </w:p>
        </w:tc>
        <w:tc>
          <w:tcPr>
            <w:tcW w:w="1221" w:type="pct"/>
            <w:shd w:val="clear" w:color="auto" w:fill="auto"/>
            <w:vAlign w:val="center"/>
          </w:tcPr>
          <w:p w14:paraId="079F7057">
            <w:pPr>
              <w:pStyle w:val="26"/>
              <w:bidi w:val="0"/>
              <w:rPr>
                <w:rFonts w:hint="eastAsia"/>
                <w:color w:val="auto"/>
                <w:highlight w:val="none"/>
                <w:lang w:val="en-US" w:eastAsia="zh-CN"/>
              </w:rPr>
            </w:pPr>
            <w:r>
              <w:rPr>
                <w:rFonts w:hint="eastAsia"/>
                <w:color w:val="auto"/>
                <w:highlight w:val="none"/>
                <w:lang w:val="en-US" w:eastAsia="zh-CN"/>
              </w:rPr>
              <w:t>密闭管路收集+“凝聚回收+二级碱喷淋塔”+15米高的排气筒（DA007）</w:t>
            </w:r>
          </w:p>
        </w:tc>
        <w:tc>
          <w:tcPr>
            <w:tcW w:w="940" w:type="pct"/>
            <w:shd w:val="clear" w:color="auto" w:fill="auto"/>
            <w:vAlign w:val="center"/>
          </w:tcPr>
          <w:p w14:paraId="3C058D1A">
            <w:pPr>
              <w:pStyle w:val="26"/>
              <w:bidi w:val="0"/>
              <w:rPr>
                <w:rFonts w:hint="eastAsia"/>
                <w:color w:val="auto"/>
                <w:lang w:val="en-US" w:eastAsia="zh-CN"/>
              </w:rPr>
            </w:pPr>
            <w:r>
              <w:rPr>
                <w:rFonts w:hint="eastAsia"/>
                <w:color w:val="auto"/>
                <w:lang w:val="en-US" w:eastAsia="zh-CN"/>
              </w:rPr>
              <w:t>/</w:t>
            </w:r>
          </w:p>
        </w:tc>
      </w:tr>
      <w:tr w14:paraId="5C6A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70" w:type="pct"/>
            <w:vMerge w:val="continue"/>
            <w:shd w:val="clear" w:color="auto" w:fill="auto"/>
            <w:vAlign w:val="center"/>
          </w:tcPr>
          <w:p w14:paraId="0D8F0FF8">
            <w:pPr>
              <w:pStyle w:val="26"/>
              <w:bidi w:val="0"/>
              <w:rPr>
                <w:rFonts w:hint="eastAsia"/>
                <w:color w:val="auto"/>
              </w:rPr>
            </w:pPr>
          </w:p>
        </w:tc>
        <w:tc>
          <w:tcPr>
            <w:tcW w:w="522" w:type="pct"/>
            <w:vMerge w:val="continue"/>
            <w:shd w:val="clear" w:color="auto" w:fill="auto"/>
            <w:vAlign w:val="center"/>
          </w:tcPr>
          <w:p w14:paraId="2D7A3A85">
            <w:pPr>
              <w:pStyle w:val="26"/>
              <w:bidi w:val="0"/>
              <w:rPr>
                <w:rFonts w:hint="eastAsia"/>
                <w:color w:val="auto"/>
              </w:rPr>
            </w:pPr>
          </w:p>
        </w:tc>
        <w:tc>
          <w:tcPr>
            <w:tcW w:w="525" w:type="pct"/>
            <w:vMerge w:val="continue"/>
            <w:shd w:val="clear" w:color="auto" w:fill="auto"/>
            <w:vAlign w:val="center"/>
          </w:tcPr>
          <w:p w14:paraId="145EFF93">
            <w:pPr>
              <w:pStyle w:val="26"/>
              <w:bidi w:val="0"/>
              <w:rPr>
                <w:rFonts w:hint="eastAsia"/>
                <w:color w:val="auto"/>
              </w:rPr>
            </w:pPr>
          </w:p>
        </w:tc>
        <w:tc>
          <w:tcPr>
            <w:tcW w:w="1220" w:type="pct"/>
            <w:shd w:val="clear" w:color="auto" w:fill="auto"/>
            <w:vAlign w:val="center"/>
          </w:tcPr>
          <w:p w14:paraId="49A9BCA0">
            <w:pPr>
              <w:pStyle w:val="26"/>
              <w:bidi w:val="0"/>
              <w:rPr>
                <w:rFonts w:hint="eastAsia"/>
                <w:color w:val="auto"/>
                <w:highlight w:val="none"/>
              </w:rPr>
            </w:pPr>
            <w:r>
              <w:rPr>
                <w:rFonts w:hint="eastAsia"/>
                <w:color w:val="auto"/>
                <w:highlight w:val="none"/>
              </w:rPr>
              <w:t>激光雕刻、擦拭、喷胶、清洁、打样产生的有机废气（非甲烷总烃）</w:t>
            </w:r>
          </w:p>
        </w:tc>
        <w:tc>
          <w:tcPr>
            <w:tcW w:w="1221" w:type="pct"/>
            <w:shd w:val="clear" w:color="auto" w:fill="auto"/>
            <w:vAlign w:val="center"/>
          </w:tcPr>
          <w:p w14:paraId="4B143391">
            <w:pPr>
              <w:pStyle w:val="26"/>
              <w:bidi w:val="0"/>
              <w:rPr>
                <w:rFonts w:hint="eastAsia"/>
                <w:color w:val="auto"/>
                <w:highlight w:val="none"/>
                <w:lang w:val="en-US" w:eastAsia="zh-CN"/>
              </w:rPr>
            </w:pPr>
            <w:r>
              <w:rPr>
                <w:rFonts w:hint="eastAsia"/>
                <w:color w:val="auto"/>
                <w:highlight w:val="none"/>
                <w:lang w:val="en-US" w:eastAsia="zh-CN"/>
              </w:rPr>
              <w:t>集气罩/密闭管路收</w:t>
            </w:r>
          </w:p>
          <w:p w14:paraId="02B3EC64">
            <w:pPr>
              <w:pStyle w:val="26"/>
              <w:bidi w:val="0"/>
              <w:rPr>
                <w:rFonts w:hint="eastAsia"/>
                <w:color w:val="auto"/>
                <w:highlight w:val="none"/>
                <w:lang w:val="en-US" w:eastAsia="zh-CN"/>
              </w:rPr>
            </w:pPr>
            <w:r>
              <w:rPr>
                <w:rFonts w:hint="eastAsia"/>
                <w:color w:val="auto"/>
                <w:highlight w:val="none"/>
                <w:lang w:val="en-US" w:eastAsia="zh-CN"/>
              </w:rPr>
              <w:t>集+“二级活性炭”+15米高的排气筒</w:t>
            </w:r>
          </w:p>
          <w:p w14:paraId="5B9EA7FA">
            <w:pPr>
              <w:pStyle w:val="26"/>
              <w:bidi w:val="0"/>
              <w:rPr>
                <w:rFonts w:hint="eastAsia"/>
                <w:color w:val="auto"/>
                <w:highlight w:val="none"/>
                <w:lang w:val="en-US" w:eastAsia="zh-CN"/>
              </w:rPr>
            </w:pPr>
            <w:r>
              <w:rPr>
                <w:rFonts w:hint="eastAsia"/>
                <w:color w:val="auto"/>
                <w:highlight w:val="none"/>
                <w:lang w:val="en-US" w:eastAsia="zh-CN"/>
              </w:rPr>
              <w:t>（DA008）</w:t>
            </w:r>
          </w:p>
        </w:tc>
        <w:tc>
          <w:tcPr>
            <w:tcW w:w="940" w:type="pct"/>
            <w:shd w:val="clear" w:color="auto" w:fill="auto"/>
            <w:vAlign w:val="center"/>
          </w:tcPr>
          <w:p w14:paraId="660903C3">
            <w:pPr>
              <w:pStyle w:val="26"/>
              <w:bidi w:val="0"/>
              <w:rPr>
                <w:rFonts w:hint="eastAsia"/>
                <w:color w:val="auto"/>
                <w:lang w:val="en-US" w:eastAsia="zh-CN"/>
              </w:rPr>
            </w:pPr>
            <w:r>
              <w:rPr>
                <w:rFonts w:hint="eastAsia"/>
                <w:color w:val="auto"/>
                <w:lang w:val="en-US" w:eastAsia="zh-CN"/>
              </w:rPr>
              <w:t>/</w:t>
            </w:r>
          </w:p>
        </w:tc>
      </w:tr>
      <w:tr w14:paraId="3C85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70" w:type="pct"/>
            <w:vMerge w:val="continue"/>
            <w:shd w:val="clear" w:color="auto" w:fill="auto"/>
            <w:vAlign w:val="center"/>
          </w:tcPr>
          <w:p w14:paraId="21760562">
            <w:pPr>
              <w:pStyle w:val="26"/>
              <w:bidi w:val="0"/>
              <w:rPr>
                <w:rFonts w:hint="eastAsia"/>
                <w:color w:val="auto"/>
              </w:rPr>
            </w:pPr>
          </w:p>
        </w:tc>
        <w:tc>
          <w:tcPr>
            <w:tcW w:w="522" w:type="pct"/>
            <w:vMerge w:val="continue"/>
            <w:shd w:val="clear" w:color="auto" w:fill="auto"/>
            <w:vAlign w:val="center"/>
          </w:tcPr>
          <w:p w14:paraId="2D66A7EC">
            <w:pPr>
              <w:pStyle w:val="26"/>
              <w:bidi w:val="0"/>
              <w:rPr>
                <w:rFonts w:hint="eastAsia"/>
                <w:color w:val="auto"/>
              </w:rPr>
            </w:pPr>
          </w:p>
        </w:tc>
        <w:tc>
          <w:tcPr>
            <w:tcW w:w="525" w:type="pct"/>
            <w:shd w:val="clear" w:color="auto" w:fill="auto"/>
            <w:vAlign w:val="center"/>
          </w:tcPr>
          <w:p w14:paraId="0566BBE4">
            <w:pPr>
              <w:pStyle w:val="26"/>
              <w:bidi w:val="0"/>
              <w:rPr>
                <w:rFonts w:hint="eastAsia"/>
                <w:color w:val="auto"/>
              </w:rPr>
            </w:pPr>
            <w:r>
              <w:rPr>
                <w:rFonts w:hint="eastAsia"/>
                <w:color w:val="auto"/>
                <w:highlight w:val="none"/>
                <w:lang w:val="en-US" w:eastAsia="zh-CN"/>
              </w:rPr>
              <w:t>危废暂存仓库、废水处理站</w:t>
            </w:r>
          </w:p>
        </w:tc>
        <w:tc>
          <w:tcPr>
            <w:tcW w:w="1220" w:type="pct"/>
            <w:shd w:val="clear" w:color="auto" w:fill="auto"/>
            <w:vAlign w:val="center"/>
          </w:tcPr>
          <w:p w14:paraId="4B47AFC0">
            <w:pPr>
              <w:pStyle w:val="26"/>
              <w:bidi w:val="0"/>
              <w:rPr>
                <w:rFonts w:hint="eastAsia"/>
                <w:color w:val="auto"/>
                <w:highlight w:val="none"/>
              </w:rPr>
            </w:pPr>
            <w:r>
              <w:rPr>
                <w:spacing w:val="5"/>
              </w:rPr>
              <w:t>氯化氢</w:t>
            </w:r>
          </w:p>
        </w:tc>
        <w:tc>
          <w:tcPr>
            <w:tcW w:w="1221" w:type="pct"/>
            <w:shd w:val="clear" w:color="auto" w:fill="auto"/>
            <w:vAlign w:val="center"/>
          </w:tcPr>
          <w:p w14:paraId="40E33395">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整体抽风收集+“碱喷淋”+15米高的排气筒（DA0</w:t>
            </w:r>
            <w:r>
              <w:rPr>
                <w:rFonts w:hint="eastAsia" w:cs="Times New Roman"/>
                <w:color w:val="auto"/>
                <w:kern w:val="2"/>
                <w:sz w:val="21"/>
                <w:szCs w:val="22"/>
                <w:highlight w:val="none"/>
                <w:lang w:val="en-US" w:eastAsia="zh-CN" w:bidi="ar-SA"/>
              </w:rPr>
              <w:t>9</w:t>
            </w:r>
            <w:r>
              <w:rPr>
                <w:rFonts w:hint="eastAsia" w:ascii="Times New Roman" w:hAnsi="Times New Roman" w:eastAsia="仿宋_GB2312" w:cs="Times New Roman"/>
                <w:color w:val="auto"/>
                <w:kern w:val="2"/>
                <w:sz w:val="21"/>
                <w:szCs w:val="22"/>
                <w:highlight w:val="none"/>
                <w:lang w:val="en-US" w:eastAsia="zh-CN" w:bidi="ar-SA"/>
              </w:rPr>
              <w:t>）</w:t>
            </w:r>
          </w:p>
        </w:tc>
        <w:tc>
          <w:tcPr>
            <w:tcW w:w="940" w:type="pct"/>
            <w:shd w:val="clear" w:color="auto" w:fill="auto"/>
            <w:vAlign w:val="center"/>
          </w:tcPr>
          <w:p w14:paraId="7323178B">
            <w:pPr>
              <w:pStyle w:val="26"/>
              <w:bidi w:val="0"/>
              <w:rPr>
                <w:rFonts w:hint="default"/>
                <w:color w:val="auto"/>
                <w:lang w:val="en-US" w:eastAsia="zh-CN"/>
              </w:rPr>
            </w:pPr>
            <w:r>
              <w:rPr>
                <w:rFonts w:hint="eastAsia"/>
                <w:color w:val="auto"/>
                <w:lang w:val="en-US" w:eastAsia="zh-CN"/>
              </w:rPr>
              <w:t>/</w:t>
            </w:r>
          </w:p>
        </w:tc>
      </w:tr>
      <w:tr w14:paraId="656D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570" w:type="pct"/>
            <w:vMerge w:val="continue"/>
            <w:shd w:val="clear" w:color="auto" w:fill="auto"/>
            <w:vAlign w:val="center"/>
          </w:tcPr>
          <w:p w14:paraId="12AF3279">
            <w:pPr>
              <w:pStyle w:val="26"/>
              <w:bidi w:val="0"/>
              <w:rPr>
                <w:rFonts w:hint="eastAsia"/>
                <w:color w:val="auto"/>
              </w:rPr>
            </w:pPr>
          </w:p>
        </w:tc>
        <w:tc>
          <w:tcPr>
            <w:tcW w:w="522" w:type="pct"/>
            <w:vMerge w:val="restart"/>
            <w:shd w:val="clear" w:color="auto" w:fill="auto"/>
            <w:vAlign w:val="center"/>
          </w:tcPr>
          <w:p w14:paraId="54F8B828">
            <w:pPr>
              <w:pStyle w:val="26"/>
              <w:bidi w:val="0"/>
              <w:rPr>
                <w:rFonts w:hint="eastAsia"/>
                <w:color w:val="auto"/>
              </w:rPr>
            </w:pPr>
            <w:r>
              <w:rPr>
                <w:rFonts w:hint="eastAsia"/>
                <w:color w:val="auto"/>
                <w:lang w:val="en-US" w:eastAsia="zh-CN"/>
              </w:rPr>
              <w:t>废水处理</w:t>
            </w:r>
          </w:p>
        </w:tc>
        <w:tc>
          <w:tcPr>
            <w:tcW w:w="525" w:type="pct"/>
            <w:shd w:val="clear" w:color="auto" w:fill="auto"/>
            <w:vAlign w:val="center"/>
          </w:tcPr>
          <w:p w14:paraId="78A0CC61">
            <w:pPr>
              <w:pStyle w:val="26"/>
              <w:bidi w:val="0"/>
              <w:rPr>
                <w:rFonts w:hint="eastAsia"/>
                <w:color w:val="auto"/>
              </w:rPr>
            </w:pPr>
            <w:r>
              <w:rPr>
                <w:rFonts w:hint="eastAsia"/>
                <w:color w:val="auto"/>
                <w:lang w:val="en-US" w:eastAsia="zh-CN"/>
              </w:rPr>
              <w:t>生产废水</w:t>
            </w:r>
          </w:p>
        </w:tc>
        <w:tc>
          <w:tcPr>
            <w:tcW w:w="2441" w:type="pct"/>
            <w:gridSpan w:val="2"/>
            <w:shd w:val="clear" w:color="auto" w:fill="auto"/>
            <w:vAlign w:val="center"/>
          </w:tcPr>
          <w:p w14:paraId="6D1E5183">
            <w:pPr>
              <w:pStyle w:val="26"/>
              <w:bidi w:val="0"/>
              <w:rPr>
                <w:rFonts w:hint="default"/>
                <w:color w:val="auto"/>
              </w:rPr>
            </w:pPr>
            <w:r>
              <w:rPr>
                <w:rFonts w:hint="default"/>
                <w:color w:val="auto"/>
                <w:lang w:val="en-US" w:eastAsia="zh-CN"/>
              </w:rPr>
              <w:t xml:space="preserve">4972.996t/a </w:t>
            </w:r>
            <w:r>
              <w:rPr>
                <w:rFonts w:hint="eastAsia"/>
                <w:color w:val="auto"/>
                <w:lang w:val="en-US" w:eastAsia="zh-CN"/>
              </w:rPr>
              <w:t>工艺生产废水+486t/a初期雨水+1330.332t/a清下水；</w:t>
            </w:r>
            <w:r>
              <w:rPr>
                <w:rFonts w:hint="default"/>
                <w:color w:val="auto"/>
                <w:lang w:val="en-US" w:eastAsia="zh-CN"/>
              </w:rPr>
              <w:t>经厂区自建的污水处理系统</w:t>
            </w:r>
            <w:r>
              <w:rPr>
                <w:rFonts w:hint="eastAsia"/>
                <w:color w:val="auto"/>
                <w:lang w:val="en-US" w:eastAsia="zh-CN"/>
              </w:rPr>
              <w:t>（处理能力为18m</w:t>
            </w:r>
            <w:r>
              <w:rPr>
                <w:rFonts w:hint="eastAsia"/>
                <w:color w:val="auto"/>
                <w:vertAlign w:val="superscript"/>
                <w:lang w:val="en-US" w:eastAsia="zh-CN"/>
              </w:rPr>
              <w:t>3</w:t>
            </w:r>
            <w:r>
              <w:rPr>
                <w:rFonts w:hint="eastAsia"/>
                <w:color w:val="auto"/>
                <w:lang w:val="en-US" w:eastAsia="zh-CN"/>
              </w:rPr>
              <w:t>/d）</w:t>
            </w:r>
            <w:r>
              <w:rPr>
                <w:rFonts w:hint="default"/>
                <w:color w:val="auto"/>
                <w:lang w:val="en-US" w:eastAsia="zh-CN"/>
              </w:rPr>
              <w:t>处理后全部回用，不外排</w:t>
            </w:r>
          </w:p>
        </w:tc>
        <w:tc>
          <w:tcPr>
            <w:tcW w:w="940" w:type="pct"/>
            <w:shd w:val="clear" w:color="auto" w:fill="auto"/>
            <w:vAlign w:val="center"/>
          </w:tcPr>
          <w:p w14:paraId="365B3544">
            <w:pPr>
              <w:pStyle w:val="26"/>
              <w:bidi w:val="0"/>
              <w:rPr>
                <w:rFonts w:hint="default"/>
                <w:color w:val="auto"/>
                <w:lang w:val="en-US" w:eastAsia="zh-CN"/>
              </w:rPr>
            </w:pPr>
            <w:r>
              <w:rPr>
                <w:rFonts w:hint="eastAsia"/>
                <w:color w:val="auto"/>
                <w:lang w:val="en-US" w:eastAsia="zh-CN"/>
              </w:rPr>
              <w:t>/</w:t>
            </w:r>
          </w:p>
        </w:tc>
      </w:tr>
      <w:tr w14:paraId="0837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70" w:type="pct"/>
            <w:vMerge w:val="continue"/>
            <w:shd w:val="clear" w:color="auto" w:fill="auto"/>
            <w:vAlign w:val="center"/>
          </w:tcPr>
          <w:p w14:paraId="61C5752B">
            <w:pPr>
              <w:pStyle w:val="26"/>
              <w:bidi w:val="0"/>
              <w:rPr>
                <w:rFonts w:hint="eastAsia"/>
                <w:color w:val="auto"/>
              </w:rPr>
            </w:pPr>
          </w:p>
        </w:tc>
        <w:tc>
          <w:tcPr>
            <w:tcW w:w="522" w:type="pct"/>
            <w:vMerge w:val="continue"/>
            <w:shd w:val="clear" w:color="auto" w:fill="auto"/>
            <w:vAlign w:val="center"/>
          </w:tcPr>
          <w:p w14:paraId="6757176B">
            <w:pPr>
              <w:pStyle w:val="26"/>
              <w:bidi w:val="0"/>
              <w:rPr>
                <w:rFonts w:hint="eastAsia"/>
                <w:color w:val="auto"/>
              </w:rPr>
            </w:pPr>
          </w:p>
        </w:tc>
        <w:tc>
          <w:tcPr>
            <w:tcW w:w="525" w:type="pct"/>
            <w:shd w:val="clear" w:color="auto" w:fill="auto"/>
            <w:vAlign w:val="center"/>
          </w:tcPr>
          <w:p w14:paraId="57B340B0">
            <w:pPr>
              <w:pStyle w:val="26"/>
              <w:bidi w:val="0"/>
              <w:rPr>
                <w:rFonts w:hint="eastAsia"/>
                <w:color w:val="auto"/>
              </w:rPr>
            </w:pPr>
            <w:r>
              <w:rPr>
                <w:rFonts w:hint="eastAsia"/>
                <w:color w:val="auto"/>
                <w:lang w:val="en-US" w:eastAsia="zh-CN"/>
              </w:rPr>
              <w:t>生活污水</w:t>
            </w:r>
          </w:p>
        </w:tc>
        <w:tc>
          <w:tcPr>
            <w:tcW w:w="2441" w:type="pct"/>
            <w:gridSpan w:val="2"/>
            <w:shd w:val="clear" w:color="auto" w:fill="auto"/>
            <w:vAlign w:val="center"/>
          </w:tcPr>
          <w:p w14:paraId="19154E76">
            <w:pPr>
              <w:pStyle w:val="26"/>
              <w:bidi w:val="0"/>
              <w:rPr>
                <w:rFonts w:hint="eastAsia"/>
                <w:color w:val="auto"/>
              </w:rPr>
            </w:pPr>
            <w:r>
              <w:rPr>
                <w:rFonts w:hint="eastAsia"/>
                <w:color w:val="auto"/>
                <w:lang w:val="en-US" w:eastAsia="zh-CN"/>
              </w:rPr>
              <w:t>直接接入市政污水管网至昆山市淀山湖琨澄水质净化有限公司集中处理</w:t>
            </w:r>
          </w:p>
        </w:tc>
        <w:tc>
          <w:tcPr>
            <w:tcW w:w="940" w:type="pct"/>
            <w:shd w:val="clear" w:color="auto" w:fill="auto"/>
            <w:vAlign w:val="center"/>
          </w:tcPr>
          <w:p w14:paraId="0DE85318">
            <w:pPr>
              <w:pStyle w:val="26"/>
              <w:bidi w:val="0"/>
              <w:rPr>
                <w:rFonts w:hint="default"/>
                <w:color w:val="auto"/>
                <w:lang w:val="en-US" w:eastAsia="zh-CN"/>
              </w:rPr>
            </w:pPr>
            <w:r>
              <w:rPr>
                <w:rFonts w:hint="eastAsia"/>
                <w:color w:val="auto"/>
                <w:lang w:val="en-US" w:eastAsia="zh-CN"/>
              </w:rPr>
              <w:t>/</w:t>
            </w:r>
          </w:p>
        </w:tc>
      </w:tr>
      <w:tr w14:paraId="1223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3F00BE71">
            <w:pPr>
              <w:pStyle w:val="26"/>
              <w:bidi w:val="0"/>
              <w:rPr>
                <w:rFonts w:hint="eastAsia"/>
                <w:color w:val="auto"/>
              </w:rPr>
            </w:pPr>
          </w:p>
        </w:tc>
        <w:tc>
          <w:tcPr>
            <w:tcW w:w="1047" w:type="pct"/>
            <w:gridSpan w:val="2"/>
            <w:shd w:val="clear" w:color="auto" w:fill="auto"/>
            <w:vAlign w:val="center"/>
          </w:tcPr>
          <w:p w14:paraId="09AFEE80">
            <w:pPr>
              <w:pStyle w:val="26"/>
              <w:bidi w:val="0"/>
              <w:rPr>
                <w:rFonts w:hint="eastAsia"/>
                <w:color w:val="auto"/>
              </w:rPr>
            </w:pPr>
            <w:r>
              <w:rPr>
                <w:rFonts w:hint="eastAsia"/>
                <w:color w:val="auto"/>
                <w:lang w:val="en-US" w:eastAsia="zh-CN"/>
              </w:rPr>
              <w:t>噪声处理</w:t>
            </w:r>
          </w:p>
        </w:tc>
        <w:tc>
          <w:tcPr>
            <w:tcW w:w="2441" w:type="pct"/>
            <w:gridSpan w:val="2"/>
            <w:shd w:val="clear" w:color="auto" w:fill="auto"/>
            <w:vAlign w:val="center"/>
          </w:tcPr>
          <w:p w14:paraId="6756E7F1">
            <w:pPr>
              <w:pStyle w:val="26"/>
              <w:bidi w:val="0"/>
              <w:rPr>
                <w:rFonts w:hint="eastAsia"/>
                <w:color w:val="auto"/>
              </w:rPr>
            </w:pPr>
            <w:r>
              <w:rPr>
                <w:rFonts w:hint="eastAsia"/>
                <w:color w:val="auto"/>
                <w:lang w:val="en-US" w:eastAsia="zh-CN"/>
              </w:rPr>
              <w:t>隔声、减振、消声</w:t>
            </w:r>
          </w:p>
        </w:tc>
        <w:tc>
          <w:tcPr>
            <w:tcW w:w="940" w:type="pct"/>
            <w:shd w:val="clear" w:color="auto" w:fill="auto"/>
            <w:vAlign w:val="center"/>
          </w:tcPr>
          <w:p w14:paraId="207D134B">
            <w:pPr>
              <w:pStyle w:val="26"/>
              <w:bidi w:val="0"/>
              <w:rPr>
                <w:rFonts w:hint="default"/>
                <w:color w:val="auto"/>
                <w:lang w:val="en-US" w:eastAsia="zh-CN"/>
              </w:rPr>
            </w:pPr>
            <w:r>
              <w:rPr>
                <w:rFonts w:hint="eastAsia"/>
                <w:color w:val="auto"/>
                <w:lang w:val="en-US" w:eastAsia="zh-CN"/>
              </w:rPr>
              <w:t>/</w:t>
            </w:r>
          </w:p>
        </w:tc>
      </w:tr>
      <w:tr w14:paraId="5E10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70" w:type="pct"/>
            <w:vMerge w:val="continue"/>
            <w:shd w:val="clear" w:color="auto" w:fill="auto"/>
            <w:vAlign w:val="center"/>
          </w:tcPr>
          <w:p w14:paraId="6231E0E3">
            <w:pPr>
              <w:pStyle w:val="26"/>
              <w:bidi w:val="0"/>
              <w:rPr>
                <w:rFonts w:hint="eastAsia"/>
                <w:color w:val="auto"/>
              </w:rPr>
            </w:pPr>
          </w:p>
        </w:tc>
        <w:tc>
          <w:tcPr>
            <w:tcW w:w="522" w:type="pct"/>
            <w:vMerge w:val="restart"/>
            <w:shd w:val="clear" w:color="auto" w:fill="auto"/>
            <w:vAlign w:val="center"/>
          </w:tcPr>
          <w:p w14:paraId="01E1B2A1">
            <w:pPr>
              <w:pStyle w:val="26"/>
              <w:bidi w:val="0"/>
              <w:rPr>
                <w:rFonts w:hint="eastAsia"/>
                <w:color w:val="auto"/>
              </w:rPr>
            </w:pPr>
            <w:r>
              <w:rPr>
                <w:rFonts w:hint="eastAsia"/>
                <w:color w:val="auto"/>
                <w:lang w:val="en-US" w:eastAsia="zh-CN"/>
              </w:rPr>
              <w:t>固废贮存</w:t>
            </w:r>
          </w:p>
        </w:tc>
        <w:tc>
          <w:tcPr>
            <w:tcW w:w="525" w:type="pct"/>
            <w:shd w:val="clear" w:color="auto" w:fill="auto"/>
            <w:vAlign w:val="center"/>
          </w:tcPr>
          <w:p w14:paraId="4C892C89">
            <w:pPr>
              <w:pStyle w:val="26"/>
              <w:bidi w:val="0"/>
              <w:rPr>
                <w:rFonts w:hint="eastAsia"/>
                <w:color w:val="auto"/>
              </w:rPr>
            </w:pPr>
            <w:r>
              <w:rPr>
                <w:rFonts w:hint="eastAsia"/>
                <w:color w:val="auto"/>
                <w:lang w:val="en-US" w:eastAsia="zh-CN"/>
              </w:rPr>
              <w:t>危废仓库</w:t>
            </w:r>
          </w:p>
        </w:tc>
        <w:tc>
          <w:tcPr>
            <w:tcW w:w="2441" w:type="pct"/>
            <w:gridSpan w:val="2"/>
            <w:shd w:val="clear" w:color="auto" w:fill="auto"/>
            <w:vAlign w:val="center"/>
          </w:tcPr>
          <w:p w14:paraId="4EB19CD0">
            <w:pPr>
              <w:pStyle w:val="26"/>
              <w:bidi w:val="0"/>
              <w:rPr>
                <w:rFonts w:hint="default"/>
                <w:color w:val="auto"/>
              </w:rPr>
            </w:pPr>
            <w:r>
              <w:rPr>
                <w:rFonts w:hint="eastAsia"/>
                <w:color w:val="auto"/>
                <w:lang w:val="en-US" w:eastAsia="zh-CN"/>
              </w:rPr>
              <w:t>188.3</w:t>
            </w:r>
            <w:r>
              <w:rPr>
                <w:rFonts w:hint="default"/>
                <w:color w:val="auto"/>
                <w:lang w:val="en-US" w:eastAsia="zh-CN"/>
              </w:rPr>
              <w:t>m</w:t>
            </w:r>
            <w:r>
              <w:rPr>
                <w:color w:val="auto"/>
                <w:vertAlign w:val="superscript"/>
                <w:lang w:val="en-US" w:eastAsia="zh-CN"/>
              </w:rPr>
              <w:t>2</w:t>
            </w:r>
          </w:p>
        </w:tc>
        <w:tc>
          <w:tcPr>
            <w:tcW w:w="940" w:type="pct"/>
            <w:shd w:val="clear" w:color="auto" w:fill="auto"/>
            <w:vAlign w:val="center"/>
          </w:tcPr>
          <w:p w14:paraId="0C541723">
            <w:pPr>
              <w:pStyle w:val="26"/>
              <w:bidi w:val="0"/>
              <w:rPr>
                <w:rFonts w:hint="default"/>
                <w:color w:val="auto"/>
                <w:lang w:val="en-US" w:eastAsia="zh-CN"/>
              </w:rPr>
            </w:pPr>
            <w:r>
              <w:rPr>
                <w:rFonts w:hint="eastAsia"/>
                <w:color w:val="auto"/>
                <w:lang w:val="en-US" w:eastAsia="zh-CN"/>
              </w:rPr>
              <w:t>位于3#车间</w:t>
            </w:r>
          </w:p>
        </w:tc>
      </w:tr>
      <w:tr w14:paraId="3729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70" w:type="pct"/>
            <w:vMerge w:val="continue"/>
            <w:shd w:val="clear" w:color="auto" w:fill="auto"/>
            <w:vAlign w:val="center"/>
          </w:tcPr>
          <w:p w14:paraId="6A23E5ED">
            <w:pPr>
              <w:pStyle w:val="26"/>
              <w:bidi w:val="0"/>
              <w:rPr>
                <w:rFonts w:hint="eastAsia"/>
                <w:color w:val="auto"/>
              </w:rPr>
            </w:pPr>
          </w:p>
        </w:tc>
        <w:tc>
          <w:tcPr>
            <w:tcW w:w="522" w:type="pct"/>
            <w:vMerge w:val="continue"/>
            <w:shd w:val="clear" w:color="auto" w:fill="auto"/>
            <w:vAlign w:val="center"/>
          </w:tcPr>
          <w:p w14:paraId="2754413D">
            <w:pPr>
              <w:pStyle w:val="26"/>
              <w:bidi w:val="0"/>
              <w:rPr>
                <w:rFonts w:hint="eastAsia"/>
                <w:color w:val="auto"/>
              </w:rPr>
            </w:pPr>
          </w:p>
        </w:tc>
        <w:tc>
          <w:tcPr>
            <w:tcW w:w="525" w:type="pct"/>
            <w:shd w:val="clear" w:color="auto" w:fill="auto"/>
            <w:vAlign w:val="center"/>
          </w:tcPr>
          <w:p w14:paraId="3D14C0A6">
            <w:pPr>
              <w:pStyle w:val="26"/>
              <w:bidi w:val="0"/>
              <w:rPr>
                <w:rFonts w:hint="eastAsia"/>
                <w:color w:val="auto"/>
              </w:rPr>
            </w:pPr>
            <w:r>
              <w:rPr>
                <w:rFonts w:hint="eastAsia"/>
                <w:color w:val="auto"/>
                <w:lang w:val="en-US" w:eastAsia="zh-CN"/>
              </w:rPr>
              <w:t>一般固废库</w:t>
            </w:r>
          </w:p>
        </w:tc>
        <w:tc>
          <w:tcPr>
            <w:tcW w:w="2441" w:type="pct"/>
            <w:gridSpan w:val="2"/>
            <w:shd w:val="clear" w:color="auto" w:fill="auto"/>
            <w:vAlign w:val="center"/>
          </w:tcPr>
          <w:p w14:paraId="0531FB12">
            <w:pPr>
              <w:pStyle w:val="26"/>
              <w:bidi w:val="0"/>
              <w:rPr>
                <w:rFonts w:hint="default"/>
                <w:color w:val="auto"/>
              </w:rPr>
            </w:pPr>
            <w:r>
              <w:rPr>
                <w:rFonts w:hint="eastAsia"/>
                <w:color w:val="auto"/>
                <w:lang w:val="en-US" w:eastAsia="zh-CN"/>
              </w:rPr>
              <w:t>94</w:t>
            </w:r>
            <w:r>
              <w:rPr>
                <w:rFonts w:hint="default"/>
                <w:color w:val="auto"/>
                <w:lang w:val="en-US" w:eastAsia="zh-CN"/>
              </w:rPr>
              <w:t>m</w:t>
            </w:r>
            <w:r>
              <w:rPr>
                <w:rFonts w:hint="default"/>
                <w:color w:val="auto"/>
                <w:vertAlign w:val="superscript"/>
                <w:lang w:val="en-US" w:eastAsia="zh-CN"/>
              </w:rPr>
              <w:t>2</w:t>
            </w:r>
          </w:p>
        </w:tc>
        <w:tc>
          <w:tcPr>
            <w:tcW w:w="940" w:type="pct"/>
            <w:shd w:val="clear" w:color="auto" w:fill="auto"/>
            <w:vAlign w:val="center"/>
          </w:tcPr>
          <w:p w14:paraId="739F0F14">
            <w:pPr>
              <w:pStyle w:val="26"/>
              <w:bidi w:val="0"/>
              <w:rPr>
                <w:rFonts w:hint="default"/>
                <w:color w:val="auto"/>
                <w:lang w:val="en-US" w:eastAsia="zh-CN"/>
              </w:rPr>
            </w:pPr>
            <w:r>
              <w:rPr>
                <w:spacing w:val="3"/>
              </w:rPr>
              <w:t>位于</w:t>
            </w:r>
            <w:r>
              <w:rPr>
                <w:rFonts w:ascii="Times New Roman" w:hAnsi="Times New Roman" w:eastAsia="Times New Roman" w:cs="Times New Roman"/>
                <w:spacing w:val="4"/>
              </w:rPr>
              <w:t>3#</w:t>
            </w:r>
            <w:r>
              <w:rPr>
                <w:spacing w:val="4"/>
              </w:rPr>
              <w:t>车间</w:t>
            </w:r>
          </w:p>
        </w:tc>
      </w:tr>
      <w:tr w14:paraId="71B4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70" w:type="pct"/>
            <w:vMerge w:val="continue"/>
            <w:shd w:val="clear" w:color="auto" w:fill="auto"/>
            <w:vAlign w:val="center"/>
          </w:tcPr>
          <w:p w14:paraId="37182E1A">
            <w:pPr>
              <w:pStyle w:val="26"/>
              <w:bidi w:val="0"/>
              <w:rPr>
                <w:rFonts w:hint="eastAsia"/>
                <w:color w:val="auto"/>
              </w:rPr>
            </w:pPr>
          </w:p>
        </w:tc>
        <w:tc>
          <w:tcPr>
            <w:tcW w:w="1047" w:type="pct"/>
            <w:gridSpan w:val="2"/>
            <w:shd w:val="clear" w:color="auto" w:fill="auto"/>
            <w:vAlign w:val="center"/>
          </w:tcPr>
          <w:p w14:paraId="4BC48132">
            <w:pPr>
              <w:pStyle w:val="26"/>
              <w:bidi w:val="0"/>
              <w:rPr>
                <w:rFonts w:hint="default" w:eastAsia="仿宋_GB2312"/>
                <w:color w:val="auto"/>
                <w:lang w:val="en-US" w:eastAsia="zh-CN"/>
              </w:rPr>
            </w:pPr>
            <w:r>
              <w:rPr>
                <w:rFonts w:hint="eastAsia"/>
                <w:color w:val="auto"/>
                <w:lang w:val="en-US" w:eastAsia="zh-CN"/>
              </w:rPr>
              <w:t>初期雨水池</w:t>
            </w:r>
          </w:p>
        </w:tc>
        <w:tc>
          <w:tcPr>
            <w:tcW w:w="2441" w:type="pct"/>
            <w:gridSpan w:val="2"/>
            <w:shd w:val="clear" w:color="auto" w:fill="auto"/>
            <w:vAlign w:val="center"/>
          </w:tcPr>
          <w:p w14:paraId="7F1CD63E">
            <w:pPr>
              <w:pStyle w:val="26"/>
              <w:bidi w:val="0"/>
              <w:rPr>
                <w:rFonts w:hint="default"/>
                <w:color w:val="auto"/>
              </w:rPr>
            </w:pPr>
            <w:r>
              <w:rPr>
                <w:rFonts w:hint="eastAsia"/>
                <w:color w:val="auto"/>
                <w:highlight w:val="none"/>
                <w:lang w:val="en-US" w:eastAsia="zh-CN"/>
              </w:rPr>
              <w:t>80</w:t>
            </w:r>
            <w:r>
              <w:rPr>
                <w:rFonts w:hint="default"/>
                <w:color w:val="auto"/>
                <w:highlight w:val="none"/>
                <w:lang w:val="en-US" w:eastAsia="zh-CN"/>
              </w:rPr>
              <w:t>m</w:t>
            </w:r>
            <w:r>
              <w:rPr>
                <w:rFonts w:hint="default"/>
                <w:color w:val="auto"/>
                <w:highlight w:val="none"/>
                <w:vertAlign w:val="superscript"/>
                <w:lang w:val="en-US" w:eastAsia="zh-CN"/>
              </w:rPr>
              <w:t>3</w:t>
            </w:r>
          </w:p>
        </w:tc>
        <w:tc>
          <w:tcPr>
            <w:tcW w:w="940" w:type="pct"/>
            <w:shd w:val="clear" w:color="auto" w:fill="auto"/>
            <w:vAlign w:val="center"/>
          </w:tcPr>
          <w:p w14:paraId="1B3B0296">
            <w:pPr>
              <w:pStyle w:val="26"/>
              <w:bidi w:val="0"/>
              <w:rPr>
                <w:rFonts w:hint="default"/>
                <w:color w:val="auto"/>
                <w:lang w:val="en-US" w:eastAsia="zh-CN"/>
              </w:rPr>
            </w:pPr>
            <w:r>
              <w:rPr>
                <w:rFonts w:hint="eastAsia"/>
                <w:color w:val="auto"/>
                <w:lang w:val="en-US" w:eastAsia="zh-CN"/>
              </w:rPr>
              <w:t>/</w:t>
            </w:r>
          </w:p>
        </w:tc>
      </w:tr>
      <w:tr w14:paraId="3EB6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70" w:type="pct"/>
            <w:vMerge w:val="continue"/>
            <w:shd w:val="clear" w:color="auto" w:fill="auto"/>
            <w:vAlign w:val="center"/>
          </w:tcPr>
          <w:p w14:paraId="063EDA94">
            <w:pPr>
              <w:pStyle w:val="26"/>
              <w:bidi w:val="0"/>
              <w:rPr>
                <w:rFonts w:hint="eastAsia"/>
                <w:color w:val="auto"/>
              </w:rPr>
            </w:pPr>
          </w:p>
        </w:tc>
        <w:tc>
          <w:tcPr>
            <w:tcW w:w="1047" w:type="pct"/>
            <w:gridSpan w:val="2"/>
            <w:shd w:val="clear" w:color="auto" w:fill="auto"/>
            <w:vAlign w:val="center"/>
          </w:tcPr>
          <w:p w14:paraId="1EF53700">
            <w:pPr>
              <w:pStyle w:val="26"/>
              <w:bidi w:val="0"/>
              <w:rPr>
                <w:rFonts w:hint="eastAsia"/>
                <w:color w:val="auto"/>
              </w:rPr>
            </w:pPr>
            <w:r>
              <w:rPr>
                <w:rFonts w:hint="eastAsia"/>
                <w:color w:val="auto"/>
                <w:lang w:val="en-US" w:eastAsia="zh-CN"/>
              </w:rPr>
              <w:t>应急池</w:t>
            </w:r>
          </w:p>
        </w:tc>
        <w:tc>
          <w:tcPr>
            <w:tcW w:w="2441" w:type="pct"/>
            <w:gridSpan w:val="2"/>
            <w:shd w:val="clear" w:color="auto" w:fill="auto"/>
            <w:vAlign w:val="center"/>
          </w:tcPr>
          <w:p w14:paraId="7D9CBF82">
            <w:pPr>
              <w:pStyle w:val="26"/>
              <w:bidi w:val="0"/>
              <w:rPr>
                <w:rFonts w:hint="eastAsia"/>
                <w:color w:val="auto"/>
              </w:rPr>
            </w:pPr>
            <w:r>
              <w:rPr>
                <w:rFonts w:hint="eastAsia"/>
                <w:color w:val="auto"/>
                <w:lang w:val="en-US" w:eastAsia="zh-CN"/>
              </w:rPr>
              <w:t>厂区事故应急池6</w:t>
            </w:r>
            <w:r>
              <w:rPr>
                <w:rFonts w:hint="default"/>
                <w:color w:val="auto"/>
                <w:lang w:val="en-US" w:eastAsia="zh-CN"/>
              </w:rPr>
              <w:t>0m</w:t>
            </w:r>
            <w:r>
              <w:rPr>
                <w:color w:val="auto"/>
                <w:vertAlign w:val="superscript"/>
                <w:lang w:val="en-US" w:eastAsia="zh-CN"/>
              </w:rPr>
              <w:t>3</w:t>
            </w:r>
          </w:p>
        </w:tc>
        <w:tc>
          <w:tcPr>
            <w:tcW w:w="940" w:type="pct"/>
            <w:shd w:val="clear" w:color="auto" w:fill="auto"/>
            <w:vAlign w:val="center"/>
          </w:tcPr>
          <w:p w14:paraId="2EA927A3">
            <w:pPr>
              <w:pStyle w:val="26"/>
              <w:bidi w:val="0"/>
              <w:rPr>
                <w:rFonts w:hint="default"/>
                <w:color w:val="auto"/>
                <w:lang w:val="en-US" w:eastAsia="zh-CN"/>
              </w:rPr>
            </w:pPr>
            <w:r>
              <w:rPr>
                <w:rFonts w:hint="eastAsia"/>
                <w:color w:val="auto"/>
                <w:lang w:val="en-US" w:eastAsia="zh-CN"/>
              </w:rPr>
              <w:t>/</w:t>
            </w:r>
          </w:p>
        </w:tc>
      </w:tr>
    </w:tbl>
    <w:p w14:paraId="66A99E79">
      <w:pPr>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6389E5BC">
      <w:pPr>
        <w:pStyle w:val="3"/>
        <w:bidi w:val="0"/>
        <w:rPr>
          <w:color w:val="auto"/>
          <w:lang w:val="en-US" w:eastAsia="zh-CN"/>
        </w:rPr>
      </w:pPr>
      <w:bookmarkStart w:id="112" w:name="_Toc32537"/>
      <w:bookmarkStart w:id="113" w:name="_Toc22510"/>
      <w:r>
        <w:rPr>
          <w:rFonts w:hint="eastAsia"/>
          <w:color w:val="auto"/>
          <w:lang w:val="en-US" w:eastAsia="zh-CN"/>
        </w:rPr>
        <w:t>现有原辅材料消耗及主要设备</w:t>
      </w:r>
      <w:bookmarkEnd w:id="112"/>
      <w:bookmarkEnd w:id="113"/>
    </w:p>
    <w:p w14:paraId="6E722878">
      <w:pPr>
        <w:pStyle w:val="4"/>
        <w:bidi w:val="0"/>
        <w:rPr>
          <w:rFonts w:hint="eastAsia"/>
          <w:color w:val="auto"/>
        </w:rPr>
      </w:pPr>
      <w:bookmarkStart w:id="114" w:name="_Toc16251"/>
      <w:bookmarkStart w:id="115" w:name="_Toc12473"/>
      <w:r>
        <w:rPr>
          <w:rFonts w:hint="eastAsia"/>
          <w:color w:val="auto"/>
        </w:rPr>
        <w:t>原辅材料消耗</w:t>
      </w:r>
      <w:bookmarkEnd w:id="114"/>
      <w:bookmarkEnd w:id="115"/>
    </w:p>
    <w:p w14:paraId="4B357281">
      <w:pPr>
        <w:rPr>
          <w:color w:val="auto"/>
        </w:rPr>
      </w:pPr>
      <w:r>
        <w:rPr>
          <w:rFonts w:hint="eastAsia"/>
          <w:color w:val="auto"/>
        </w:rPr>
        <w:t>现有项目主要原辅材料使用情况见表3.3</w:t>
      </w:r>
      <w:r>
        <w:rPr>
          <w:rFonts w:hint="eastAsia"/>
          <w:color w:val="auto"/>
        </w:rPr>
        <w:noBreakHyphen/>
      </w:r>
      <w:r>
        <w:rPr>
          <w:rFonts w:hint="eastAsia"/>
          <w:color w:val="auto"/>
        </w:rPr>
        <w:t>1。</w:t>
      </w:r>
    </w:p>
    <w:p w14:paraId="6FEEEBE4">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3.3</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现有项目主要原辅材料消耗表</w:t>
      </w:r>
    </w:p>
    <w:tbl>
      <w:tblPr>
        <w:tblStyle w:val="5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8"/>
        <w:gridCol w:w="615"/>
        <w:gridCol w:w="769"/>
        <w:gridCol w:w="1442"/>
        <w:gridCol w:w="2233"/>
        <w:gridCol w:w="1791"/>
        <w:gridCol w:w="1492"/>
        <w:gridCol w:w="1235"/>
        <w:gridCol w:w="746"/>
        <w:gridCol w:w="1643"/>
        <w:gridCol w:w="1396"/>
      </w:tblGrid>
      <w:tr w14:paraId="1DB3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14" w:type="pct"/>
            <w:vAlign w:val="center"/>
          </w:tcPr>
          <w:p w14:paraId="0FBBA1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产品</w:t>
            </w:r>
          </w:p>
        </w:tc>
        <w:tc>
          <w:tcPr>
            <w:tcW w:w="220" w:type="pct"/>
            <w:vAlign w:val="center"/>
          </w:tcPr>
          <w:p w14:paraId="4704E98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工段</w:t>
            </w:r>
          </w:p>
        </w:tc>
        <w:tc>
          <w:tcPr>
            <w:tcW w:w="275" w:type="pct"/>
            <w:vAlign w:val="center"/>
          </w:tcPr>
          <w:p w14:paraId="0ECCCA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序号</w:t>
            </w:r>
          </w:p>
        </w:tc>
        <w:tc>
          <w:tcPr>
            <w:tcW w:w="516" w:type="pct"/>
            <w:vAlign w:val="center"/>
          </w:tcPr>
          <w:p w14:paraId="268A40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使用工序</w:t>
            </w:r>
          </w:p>
        </w:tc>
        <w:tc>
          <w:tcPr>
            <w:tcW w:w="799" w:type="pct"/>
            <w:vAlign w:val="center"/>
          </w:tcPr>
          <w:p w14:paraId="3B86B4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原辅材料名称</w:t>
            </w:r>
          </w:p>
        </w:tc>
        <w:tc>
          <w:tcPr>
            <w:tcW w:w="641" w:type="pct"/>
            <w:vAlign w:val="center"/>
          </w:tcPr>
          <w:p w14:paraId="7C0B32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规格型号</w:t>
            </w:r>
          </w:p>
        </w:tc>
        <w:tc>
          <w:tcPr>
            <w:tcW w:w="534" w:type="pct"/>
            <w:vAlign w:val="center"/>
          </w:tcPr>
          <w:p w14:paraId="66883E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年耗量</w:t>
            </w:r>
          </w:p>
        </w:tc>
        <w:tc>
          <w:tcPr>
            <w:tcW w:w="442" w:type="pct"/>
            <w:vAlign w:val="center"/>
          </w:tcPr>
          <w:p w14:paraId="14AA67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最大存储量</w:t>
            </w:r>
          </w:p>
        </w:tc>
        <w:tc>
          <w:tcPr>
            <w:tcW w:w="267" w:type="pct"/>
            <w:vAlign w:val="center"/>
          </w:tcPr>
          <w:p w14:paraId="401ED60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单位</w:t>
            </w:r>
          </w:p>
        </w:tc>
        <w:tc>
          <w:tcPr>
            <w:tcW w:w="588" w:type="pct"/>
            <w:vAlign w:val="center"/>
          </w:tcPr>
          <w:p w14:paraId="7108EC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贮存位置</w:t>
            </w:r>
          </w:p>
        </w:tc>
        <w:tc>
          <w:tcPr>
            <w:tcW w:w="499" w:type="pct"/>
            <w:vAlign w:val="center"/>
          </w:tcPr>
          <w:p w14:paraId="0F103CD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包装规格</w:t>
            </w:r>
          </w:p>
        </w:tc>
      </w:tr>
      <w:tr w14:paraId="06B8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restart"/>
            <w:vAlign w:val="center"/>
          </w:tcPr>
          <w:p w14:paraId="13E61A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压纹版辊</w:t>
            </w:r>
          </w:p>
        </w:tc>
        <w:tc>
          <w:tcPr>
            <w:tcW w:w="220" w:type="pct"/>
            <w:vMerge w:val="restart"/>
            <w:vAlign w:val="center"/>
          </w:tcPr>
          <w:p w14:paraId="656E95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机械加工</w:t>
            </w:r>
          </w:p>
        </w:tc>
        <w:tc>
          <w:tcPr>
            <w:tcW w:w="275" w:type="pct"/>
            <w:vAlign w:val="center"/>
          </w:tcPr>
          <w:p w14:paraId="0582F4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516" w:type="pct"/>
            <w:vAlign w:val="center"/>
          </w:tcPr>
          <w:p w14:paraId="6AF583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粗车</w:t>
            </w:r>
          </w:p>
        </w:tc>
        <w:tc>
          <w:tcPr>
            <w:tcW w:w="799" w:type="pct"/>
            <w:vAlign w:val="center"/>
          </w:tcPr>
          <w:p w14:paraId="01EA4C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无缝钢管</w:t>
            </w:r>
          </w:p>
        </w:tc>
        <w:tc>
          <w:tcPr>
            <w:tcW w:w="641" w:type="pct"/>
            <w:vAlign w:val="center"/>
          </w:tcPr>
          <w:p w14:paraId="3B5AB1A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6FB9EA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600</w:t>
            </w:r>
          </w:p>
        </w:tc>
        <w:tc>
          <w:tcPr>
            <w:tcW w:w="442" w:type="pct"/>
            <w:vAlign w:val="center"/>
          </w:tcPr>
          <w:p w14:paraId="4132943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w:t>
            </w:r>
          </w:p>
        </w:tc>
        <w:tc>
          <w:tcPr>
            <w:tcW w:w="267" w:type="pct"/>
            <w:vAlign w:val="center"/>
          </w:tcPr>
          <w:p w14:paraId="28E9E34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Merge w:val="restart"/>
            <w:vAlign w:val="center"/>
          </w:tcPr>
          <w:p w14:paraId="7674EA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 、2#厂房中间，露天堆放</w:t>
            </w:r>
          </w:p>
        </w:tc>
        <w:tc>
          <w:tcPr>
            <w:tcW w:w="499" w:type="pct"/>
            <w:vAlign w:val="center"/>
          </w:tcPr>
          <w:p w14:paraId="1A0189D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5559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70E565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4D395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26BC25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516" w:type="pct"/>
            <w:vAlign w:val="center"/>
          </w:tcPr>
          <w:p w14:paraId="50028F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粗车</w:t>
            </w:r>
          </w:p>
        </w:tc>
        <w:tc>
          <w:tcPr>
            <w:tcW w:w="799" w:type="pct"/>
            <w:vAlign w:val="center"/>
          </w:tcPr>
          <w:p w14:paraId="5830637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圆钢</w:t>
            </w:r>
          </w:p>
        </w:tc>
        <w:tc>
          <w:tcPr>
            <w:tcW w:w="641" w:type="pct"/>
            <w:vAlign w:val="center"/>
          </w:tcPr>
          <w:p w14:paraId="094F3A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04DA0C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190</w:t>
            </w:r>
          </w:p>
        </w:tc>
        <w:tc>
          <w:tcPr>
            <w:tcW w:w="442" w:type="pct"/>
            <w:vAlign w:val="center"/>
          </w:tcPr>
          <w:p w14:paraId="463E30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w:t>
            </w:r>
          </w:p>
        </w:tc>
        <w:tc>
          <w:tcPr>
            <w:tcW w:w="267" w:type="pct"/>
            <w:vAlign w:val="center"/>
          </w:tcPr>
          <w:p w14:paraId="10BDAA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Merge w:val="continue"/>
            <w:vAlign w:val="center"/>
          </w:tcPr>
          <w:p w14:paraId="0F9E5F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99" w:type="pct"/>
            <w:vAlign w:val="center"/>
          </w:tcPr>
          <w:p w14:paraId="7B7213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06BF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0E27D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E2C0F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48C15F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516" w:type="pct"/>
            <w:vAlign w:val="center"/>
          </w:tcPr>
          <w:p w14:paraId="1263FD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粗车</w:t>
            </w:r>
          </w:p>
        </w:tc>
        <w:tc>
          <w:tcPr>
            <w:tcW w:w="799" w:type="pct"/>
            <w:vAlign w:val="center"/>
          </w:tcPr>
          <w:p w14:paraId="5F0385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钢板</w:t>
            </w:r>
          </w:p>
        </w:tc>
        <w:tc>
          <w:tcPr>
            <w:tcW w:w="641" w:type="pct"/>
            <w:vAlign w:val="center"/>
          </w:tcPr>
          <w:p w14:paraId="3A184D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504D92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3.6</w:t>
            </w:r>
          </w:p>
        </w:tc>
        <w:tc>
          <w:tcPr>
            <w:tcW w:w="442" w:type="pct"/>
            <w:vAlign w:val="center"/>
          </w:tcPr>
          <w:p w14:paraId="674DA9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497202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Merge w:val="continue"/>
            <w:vAlign w:val="center"/>
          </w:tcPr>
          <w:p w14:paraId="27ADEF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99" w:type="pct"/>
            <w:vAlign w:val="center"/>
          </w:tcPr>
          <w:p w14:paraId="3B29B8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6444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60844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C0D9D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2B21F6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516" w:type="pct"/>
            <w:shd w:val="clear" w:color="auto" w:fill="auto"/>
            <w:vAlign w:val="center"/>
          </w:tcPr>
          <w:p w14:paraId="221050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4C624D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导轨油</w:t>
            </w:r>
          </w:p>
        </w:tc>
        <w:tc>
          <w:tcPr>
            <w:tcW w:w="641" w:type="pct"/>
            <w:shd w:val="clear" w:color="auto" w:fill="auto"/>
            <w:vAlign w:val="center"/>
          </w:tcPr>
          <w:p w14:paraId="0E51ED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32#</w:t>
            </w:r>
          </w:p>
        </w:tc>
        <w:tc>
          <w:tcPr>
            <w:tcW w:w="534" w:type="pct"/>
            <w:shd w:val="clear" w:color="auto" w:fill="auto"/>
            <w:vAlign w:val="center"/>
          </w:tcPr>
          <w:p w14:paraId="08B023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shd w:val="clear" w:color="auto" w:fill="auto"/>
            <w:vAlign w:val="center"/>
          </w:tcPr>
          <w:p w14:paraId="1BA2050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shd w:val="clear" w:color="auto" w:fill="auto"/>
            <w:vAlign w:val="center"/>
          </w:tcPr>
          <w:p w14:paraId="4B2A56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3C8550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1DED49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0127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8536E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9BAE62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57B99D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516" w:type="pct"/>
            <w:shd w:val="clear" w:color="auto" w:fill="auto"/>
            <w:vAlign w:val="center"/>
          </w:tcPr>
          <w:p w14:paraId="4EEC32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4BEB3D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导轨油</w:t>
            </w:r>
          </w:p>
        </w:tc>
        <w:tc>
          <w:tcPr>
            <w:tcW w:w="641" w:type="pct"/>
            <w:shd w:val="clear" w:color="auto" w:fill="auto"/>
            <w:vAlign w:val="center"/>
          </w:tcPr>
          <w:p w14:paraId="75E208B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w:t>
            </w:r>
          </w:p>
        </w:tc>
        <w:tc>
          <w:tcPr>
            <w:tcW w:w="534" w:type="pct"/>
            <w:shd w:val="clear" w:color="auto" w:fill="auto"/>
            <w:vAlign w:val="center"/>
          </w:tcPr>
          <w:p w14:paraId="17809E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shd w:val="clear" w:color="auto" w:fill="auto"/>
            <w:vAlign w:val="center"/>
          </w:tcPr>
          <w:p w14:paraId="4A87CC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shd w:val="clear" w:color="auto" w:fill="auto"/>
            <w:vAlign w:val="center"/>
          </w:tcPr>
          <w:p w14:paraId="3A12A6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7AD441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00B4EC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4C73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E14A1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E2D97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4B9393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w:t>
            </w:r>
          </w:p>
        </w:tc>
        <w:tc>
          <w:tcPr>
            <w:tcW w:w="516" w:type="pct"/>
            <w:shd w:val="clear" w:color="auto" w:fill="auto"/>
            <w:vAlign w:val="center"/>
          </w:tcPr>
          <w:p w14:paraId="24D21B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39491E3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主轴油</w:t>
            </w:r>
          </w:p>
        </w:tc>
        <w:tc>
          <w:tcPr>
            <w:tcW w:w="641" w:type="pct"/>
            <w:shd w:val="clear" w:color="auto" w:fill="auto"/>
            <w:vAlign w:val="center"/>
          </w:tcPr>
          <w:p w14:paraId="67C666A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534" w:type="pct"/>
            <w:shd w:val="clear" w:color="auto" w:fill="auto"/>
            <w:vAlign w:val="center"/>
          </w:tcPr>
          <w:p w14:paraId="320B10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shd w:val="clear" w:color="auto" w:fill="auto"/>
            <w:vAlign w:val="center"/>
          </w:tcPr>
          <w:p w14:paraId="497046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shd w:val="clear" w:color="auto" w:fill="auto"/>
            <w:vAlign w:val="center"/>
          </w:tcPr>
          <w:p w14:paraId="4C044D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40881F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746F67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223C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7DEAA2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611F6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580241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w:t>
            </w:r>
          </w:p>
        </w:tc>
        <w:tc>
          <w:tcPr>
            <w:tcW w:w="516" w:type="pct"/>
            <w:shd w:val="clear" w:color="auto" w:fill="auto"/>
            <w:vAlign w:val="center"/>
          </w:tcPr>
          <w:p w14:paraId="0AC2B5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1768E7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主轴油</w:t>
            </w:r>
          </w:p>
        </w:tc>
        <w:tc>
          <w:tcPr>
            <w:tcW w:w="641" w:type="pct"/>
            <w:shd w:val="clear" w:color="auto" w:fill="auto"/>
            <w:vAlign w:val="center"/>
          </w:tcPr>
          <w:p w14:paraId="435375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534" w:type="pct"/>
            <w:shd w:val="clear" w:color="auto" w:fill="auto"/>
            <w:vAlign w:val="center"/>
          </w:tcPr>
          <w:p w14:paraId="26E043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shd w:val="clear" w:color="auto" w:fill="auto"/>
            <w:vAlign w:val="center"/>
          </w:tcPr>
          <w:p w14:paraId="11C2C0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shd w:val="clear" w:color="auto" w:fill="auto"/>
            <w:vAlign w:val="center"/>
          </w:tcPr>
          <w:p w14:paraId="316829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0EF7FD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7AF2DD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1A45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76794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AFB8AD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1EC3E19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w:t>
            </w:r>
          </w:p>
        </w:tc>
        <w:tc>
          <w:tcPr>
            <w:tcW w:w="516" w:type="pct"/>
            <w:shd w:val="clear" w:color="auto" w:fill="auto"/>
            <w:vAlign w:val="center"/>
          </w:tcPr>
          <w:p w14:paraId="2673D4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4636F4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液压油</w:t>
            </w:r>
          </w:p>
        </w:tc>
        <w:tc>
          <w:tcPr>
            <w:tcW w:w="641" w:type="pct"/>
            <w:shd w:val="clear" w:color="auto" w:fill="auto"/>
            <w:vAlign w:val="center"/>
          </w:tcPr>
          <w:p w14:paraId="6D69DE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33CBCB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shd w:val="clear" w:color="auto" w:fill="auto"/>
            <w:vAlign w:val="center"/>
          </w:tcPr>
          <w:p w14:paraId="3D887F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shd w:val="clear" w:color="auto" w:fill="auto"/>
            <w:vAlign w:val="center"/>
          </w:tcPr>
          <w:p w14:paraId="7F8BFC2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2149D5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34EF24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569B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4A241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710AB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062845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w:t>
            </w:r>
          </w:p>
        </w:tc>
        <w:tc>
          <w:tcPr>
            <w:tcW w:w="516" w:type="pct"/>
            <w:shd w:val="clear" w:color="auto" w:fill="auto"/>
            <w:vAlign w:val="center"/>
          </w:tcPr>
          <w:p w14:paraId="7401DF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车工</w:t>
            </w:r>
          </w:p>
        </w:tc>
        <w:tc>
          <w:tcPr>
            <w:tcW w:w="799" w:type="pct"/>
            <w:shd w:val="clear" w:color="auto" w:fill="auto"/>
            <w:vAlign w:val="center"/>
          </w:tcPr>
          <w:p w14:paraId="362D18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乳化液</w:t>
            </w:r>
          </w:p>
        </w:tc>
        <w:tc>
          <w:tcPr>
            <w:tcW w:w="641" w:type="pct"/>
            <w:shd w:val="clear" w:color="auto" w:fill="auto"/>
            <w:vAlign w:val="center"/>
          </w:tcPr>
          <w:p w14:paraId="60D211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70A09B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442" w:type="pct"/>
            <w:shd w:val="clear" w:color="auto" w:fill="auto"/>
            <w:vAlign w:val="center"/>
          </w:tcPr>
          <w:p w14:paraId="5FD868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0.25</w:t>
            </w:r>
          </w:p>
        </w:tc>
        <w:tc>
          <w:tcPr>
            <w:tcW w:w="267" w:type="pct"/>
            <w:shd w:val="clear" w:color="auto" w:fill="auto"/>
            <w:vAlign w:val="center"/>
          </w:tcPr>
          <w:p w14:paraId="7BD4FB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0138F40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582CA0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68D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F87128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42EC1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43E889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w:t>
            </w:r>
          </w:p>
        </w:tc>
        <w:tc>
          <w:tcPr>
            <w:tcW w:w="516" w:type="pct"/>
            <w:shd w:val="clear" w:color="auto" w:fill="auto"/>
            <w:vAlign w:val="center"/>
          </w:tcPr>
          <w:p w14:paraId="0BAC1A8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799" w:type="pct"/>
            <w:shd w:val="clear" w:color="auto" w:fill="auto"/>
            <w:vAlign w:val="center"/>
          </w:tcPr>
          <w:p w14:paraId="0E2DC6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机油</w:t>
            </w:r>
          </w:p>
        </w:tc>
        <w:tc>
          <w:tcPr>
            <w:tcW w:w="641" w:type="pct"/>
            <w:shd w:val="clear" w:color="auto" w:fill="auto"/>
            <w:vAlign w:val="center"/>
          </w:tcPr>
          <w:p w14:paraId="7F0176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7FD33BD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0.6</w:t>
            </w:r>
          </w:p>
        </w:tc>
        <w:tc>
          <w:tcPr>
            <w:tcW w:w="442" w:type="pct"/>
            <w:shd w:val="clear" w:color="auto" w:fill="auto"/>
            <w:vAlign w:val="center"/>
          </w:tcPr>
          <w:p w14:paraId="31163B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267" w:type="pct"/>
            <w:shd w:val="clear" w:color="auto" w:fill="auto"/>
            <w:vAlign w:val="center"/>
          </w:tcPr>
          <w:p w14:paraId="3985EA6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01E7D3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shd w:val="clear" w:color="auto" w:fill="auto"/>
            <w:vAlign w:val="center"/>
          </w:tcPr>
          <w:p w14:paraId="6E4F751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2219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8854D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08EFA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112576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11.</w:t>
            </w:r>
          </w:p>
        </w:tc>
        <w:tc>
          <w:tcPr>
            <w:tcW w:w="516" w:type="pct"/>
            <w:shd w:val="clear" w:color="auto" w:fill="auto"/>
            <w:vAlign w:val="center"/>
          </w:tcPr>
          <w:p w14:paraId="2BB913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c>
          <w:tcPr>
            <w:tcW w:w="799" w:type="pct"/>
            <w:shd w:val="clear" w:color="auto" w:fill="auto"/>
            <w:vAlign w:val="center"/>
          </w:tcPr>
          <w:p w14:paraId="165D610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乙炔</w:t>
            </w:r>
          </w:p>
        </w:tc>
        <w:tc>
          <w:tcPr>
            <w:tcW w:w="641" w:type="pct"/>
            <w:shd w:val="clear" w:color="auto" w:fill="auto"/>
            <w:vAlign w:val="center"/>
          </w:tcPr>
          <w:p w14:paraId="7581F43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0AFC27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6000</w:t>
            </w:r>
          </w:p>
        </w:tc>
        <w:tc>
          <w:tcPr>
            <w:tcW w:w="442" w:type="pct"/>
            <w:shd w:val="clear" w:color="auto" w:fill="auto"/>
            <w:vAlign w:val="center"/>
          </w:tcPr>
          <w:p w14:paraId="4E1A5E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267" w:type="pct"/>
            <w:shd w:val="clear" w:color="auto" w:fill="auto"/>
            <w:vAlign w:val="center"/>
          </w:tcPr>
          <w:p w14:paraId="4E3FE7F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L</w:t>
            </w:r>
          </w:p>
        </w:tc>
        <w:tc>
          <w:tcPr>
            <w:tcW w:w="588" w:type="pct"/>
            <w:shd w:val="clear" w:color="auto" w:fill="auto"/>
            <w:vAlign w:val="center"/>
          </w:tcPr>
          <w:p w14:paraId="676C20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2CDC7A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40L/瓶</w:t>
            </w:r>
          </w:p>
        </w:tc>
      </w:tr>
      <w:tr w14:paraId="32B2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7C6FD8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34460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34512D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516" w:type="pct"/>
            <w:shd w:val="clear" w:color="auto" w:fill="auto"/>
            <w:vAlign w:val="center"/>
          </w:tcPr>
          <w:p w14:paraId="78FD32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c>
          <w:tcPr>
            <w:tcW w:w="799" w:type="pct"/>
            <w:shd w:val="clear" w:color="auto" w:fill="auto"/>
            <w:vAlign w:val="center"/>
          </w:tcPr>
          <w:p w14:paraId="5BD893A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氧气</w:t>
            </w:r>
          </w:p>
        </w:tc>
        <w:tc>
          <w:tcPr>
            <w:tcW w:w="641" w:type="pct"/>
            <w:shd w:val="clear" w:color="auto" w:fill="auto"/>
            <w:vAlign w:val="center"/>
          </w:tcPr>
          <w:p w14:paraId="563C5F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1C5BB2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5000</w:t>
            </w:r>
          </w:p>
        </w:tc>
        <w:tc>
          <w:tcPr>
            <w:tcW w:w="442" w:type="pct"/>
            <w:shd w:val="clear" w:color="auto" w:fill="auto"/>
            <w:vAlign w:val="center"/>
          </w:tcPr>
          <w:p w14:paraId="58F34D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267" w:type="pct"/>
            <w:shd w:val="clear" w:color="auto" w:fill="auto"/>
            <w:vAlign w:val="center"/>
          </w:tcPr>
          <w:p w14:paraId="614FE8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L</w:t>
            </w:r>
          </w:p>
        </w:tc>
        <w:tc>
          <w:tcPr>
            <w:tcW w:w="588" w:type="pct"/>
            <w:shd w:val="clear" w:color="auto" w:fill="auto"/>
            <w:vAlign w:val="center"/>
          </w:tcPr>
          <w:p w14:paraId="0E6B59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43E5B3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40L/瓶</w:t>
            </w:r>
          </w:p>
        </w:tc>
      </w:tr>
      <w:tr w14:paraId="25FC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31D29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E8918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4F45DC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13.</w:t>
            </w:r>
          </w:p>
        </w:tc>
        <w:tc>
          <w:tcPr>
            <w:tcW w:w="516" w:type="pct"/>
            <w:shd w:val="clear" w:color="auto" w:fill="auto"/>
            <w:vAlign w:val="center"/>
          </w:tcPr>
          <w:p w14:paraId="465275E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c>
          <w:tcPr>
            <w:tcW w:w="799" w:type="pct"/>
            <w:shd w:val="clear" w:color="auto" w:fill="auto"/>
            <w:vAlign w:val="center"/>
          </w:tcPr>
          <w:p w14:paraId="5EA0BC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氮气</w:t>
            </w:r>
          </w:p>
        </w:tc>
        <w:tc>
          <w:tcPr>
            <w:tcW w:w="641" w:type="pct"/>
            <w:shd w:val="clear" w:color="auto" w:fill="auto"/>
            <w:vAlign w:val="center"/>
          </w:tcPr>
          <w:p w14:paraId="2C2E016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6AAAF4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400</w:t>
            </w:r>
          </w:p>
        </w:tc>
        <w:tc>
          <w:tcPr>
            <w:tcW w:w="442" w:type="pct"/>
            <w:shd w:val="clear" w:color="auto" w:fill="auto"/>
            <w:vAlign w:val="center"/>
          </w:tcPr>
          <w:p w14:paraId="0A0F95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160</w:t>
            </w:r>
          </w:p>
        </w:tc>
        <w:tc>
          <w:tcPr>
            <w:tcW w:w="267" w:type="pct"/>
            <w:shd w:val="clear" w:color="auto" w:fill="auto"/>
            <w:vAlign w:val="center"/>
          </w:tcPr>
          <w:p w14:paraId="2DE6956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L</w:t>
            </w:r>
          </w:p>
        </w:tc>
        <w:tc>
          <w:tcPr>
            <w:tcW w:w="588" w:type="pct"/>
            <w:shd w:val="clear" w:color="auto" w:fill="auto"/>
            <w:vAlign w:val="center"/>
          </w:tcPr>
          <w:p w14:paraId="6F1BB8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09352C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40L/瓶</w:t>
            </w:r>
          </w:p>
        </w:tc>
      </w:tr>
      <w:tr w14:paraId="7160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9EB1F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069DDD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65B541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14.</w:t>
            </w:r>
          </w:p>
        </w:tc>
        <w:tc>
          <w:tcPr>
            <w:tcW w:w="516" w:type="pct"/>
            <w:shd w:val="clear" w:color="auto" w:fill="auto"/>
            <w:vAlign w:val="center"/>
          </w:tcPr>
          <w:p w14:paraId="1EA57CD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c>
          <w:tcPr>
            <w:tcW w:w="799" w:type="pct"/>
            <w:shd w:val="clear" w:color="auto" w:fill="auto"/>
            <w:vAlign w:val="center"/>
          </w:tcPr>
          <w:p w14:paraId="289EE1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氩气</w:t>
            </w:r>
          </w:p>
        </w:tc>
        <w:tc>
          <w:tcPr>
            <w:tcW w:w="641" w:type="pct"/>
            <w:shd w:val="clear" w:color="auto" w:fill="auto"/>
            <w:vAlign w:val="center"/>
          </w:tcPr>
          <w:p w14:paraId="01A9A9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7B393E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640</w:t>
            </w:r>
          </w:p>
        </w:tc>
        <w:tc>
          <w:tcPr>
            <w:tcW w:w="442" w:type="pct"/>
            <w:shd w:val="clear" w:color="auto" w:fill="auto"/>
            <w:vAlign w:val="center"/>
          </w:tcPr>
          <w:p w14:paraId="1764FE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160</w:t>
            </w:r>
          </w:p>
        </w:tc>
        <w:tc>
          <w:tcPr>
            <w:tcW w:w="267" w:type="pct"/>
            <w:shd w:val="clear" w:color="auto" w:fill="auto"/>
            <w:vAlign w:val="center"/>
          </w:tcPr>
          <w:p w14:paraId="36044C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L</w:t>
            </w:r>
          </w:p>
        </w:tc>
        <w:tc>
          <w:tcPr>
            <w:tcW w:w="588" w:type="pct"/>
            <w:shd w:val="clear" w:color="auto" w:fill="auto"/>
            <w:vAlign w:val="center"/>
          </w:tcPr>
          <w:p w14:paraId="3E143E3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5C6BCFF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40L/瓶</w:t>
            </w:r>
          </w:p>
        </w:tc>
      </w:tr>
      <w:tr w14:paraId="3D96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AE2F2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50661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156E3D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516" w:type="pct"/>
            <w:shd w:val="clear" w:color="auto" w:fill="auto"/>
            <w:vAlign w:val="center"/>
          </w:tcPr>
          <w:p w14:paraId="54D011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c>
          <w:tcPr>
            <w:tcW w:w="799" w:type="pct"/>
            <w:shd w:val="clear" w:color="auto" w:fill="auto"/>
            <w:vAlign w:val="center"/>
          </w:tcPr>
          <w:p w14:paraId="5A4E74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二氧化碳</w:t>
            </w:r>
          </w:p>
        </w:tc>
        <w:tc>
          <w:tcPr>
            <w:tcW w:w="641" w:type="pct"/>
            <w:shd w:val="clear" w:color="auto" w:fill="auto"/>
            <w:vAlign w:val="center"/>
          </w:tcPr>
          <w:p w14:paraId="401A04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726EC8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20000</w:t>
            </w:r>
          </w:p>
        </w:tc>
        <w:tc>
          <w:tcPr>
            <w:tcW w:w="442" w:type="pct"/>
            <w:shd w:val="clear" w:color="auto" w:fill="auto"/>
            <w:vAlign w:val="center"/>
          </w:tcPr>
          <w:p w14:paraId="3BF181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160</w:t>
            </w:r>
          </w:p>
        </w:tc>
        <w:tc>
          <w:tcPr>
            <w:tcW w:w="267" w:type="pct"/>
            <w:shd w:val="clear" w:color="auto" w:fill="auto"/>
            <w:vAlign w:val="center"/>
          </w:tcPr>
          <w:p w14:paraId="44D150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L</w:t>
            </w:r>
          </w:p>
        </w:tc>
        <w:tc>
          <w:tcPr>
            <w:tcW w:w="588" w:type="pct"/>
            <w:shd w:val="clear" w:color="auto" w:fill="auto"/>
            <w:vAlign w:val="center"/>
          </w:tcPr>
          <w:p w14:paraId="1EA503E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14B500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40L/瓶</w:t>
            </w:r>
          </w:p>
        </w:tc>
      </w:tr>
      <w:tr w14:paraId="6884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755FD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1C2A4E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6849A67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w:t>
            </w:r>
          </w:p>
        </w:tc>
        <w:tc>
          <w:tcPr>
            <w:tcW w:w="516" w:type="pct"/>
            <w:shd w:val="clear" w:color="auto" w:fill="auto"/>
            <w:vAlign w:val="center"/>
          </w:tcPr>
          <w:p w14:paraId="4BA09EE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电焊</w:t>
            </w:r>
          </w:p>
        </w:tc>
        <w:tc>
          <w:tcPr>
            <w:tcW w:w="799" w:type="pct"/>
            <w:shd w:val="clear" w:color="auto" w:fill="auto"/>
            <w:vAlign w:val="center"/>
          </w:tcPr>
          <w:p w14:paraId="7BE65D7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气体保护实心焊丝</w:t>
            </w:r>
          </w:p>
          <w:p w14:paraId="5FD213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（无铅）</w:t>
            </w:r>
          </w:p>
        </w:tc>
        <w:tc>
          <w:tcPr>
            <w:tcW w:w="641" w:type="pct"/>
            <w:shd w:val="clear" w:color="auto" w:fill="auto"/>
            <w:vAlign w:val="center"/>
          </w:tcPr>
          <w:p w14:paraId="4DBB3C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JQ.MG70S-6</w:t>
            </w:r>
          </w:p>
        </w:tc>
        <w:tc>
          <w:tcPr>
            <w:tcW w:w="534" w:type="pct"/>
            <w:shd w:val="clear" w:color="auto" w:fill="auto"/>
            <w:vAlign w:val="center"/>
          </w:tcPr>
          <w:p w14:paraId="777F03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w:t>
            </w:r>
          </w:p>
        </w:tc>
        <w:tc>
          <w:tcPr>
            <w:tcW w:w="442" w:type="pct"/>
            <w:shd w:val="clear" w:color="auto" w:fill="auto"/>
            <w:vAlign w:val="center"/>
          </w:tcPr>
          <w:p w14:paraId="1AB7C6D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shd w:val="clear" w:color="auto" w:fill="auto"/>
            <w:vAlign w:val="center"/>
          </w:tcPr>
          <w:p w14:paraId="046DCC3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4AF8CDA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shd w:val="clear" w:color="auto" w:fill="auto"/>
            <w:vAlign w:val="center"/>
          </w:tcPr>
          <w:p w14:paraId="1CFA76B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20KG/箱</w:t>
            </w:r>
          </w:p>
        </w:tc>
      </w:tr>
      <w:tr w14:paraId="5770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F9A3E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2D412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31DF27D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w:t>
            </w:r>
          </w:p>
        </w:tc>
        <w:tc>
          <w:tcPr>
            <w:tcW w:w="516" w:type="pct"/>
            <w:shd w:val="clear" w:color="auto" w:fill="auto"/>
            <w:vAlign w:val="center"/>
          </w:tcPr>
          <w:p w14:paraId="2290BE3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喷砂</w:t>
            </w:r>
          </w:p>
        </w:tc>
        <w:tc>
          <w:tcPr>
            <w:tcW w:w="799" w:type="pct"/>
            <w:shd w:val="clear" w:color="auto" w:fill="auto"/>
            <w:vAlign w:val="center"/>
          </w:tcPr>
          <w:p w14:paraId="73A7F0B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白刚玉、玻璃珠</w:t>
            </w:r>
          </w:p>
        </w:tc>
        <w:tc>
          <w:tcPr>
            <w:tcW w:w="641" w:type="pct"/>
            <w:shd w:val="clear" w:color="auto" w:fill="auto"/>
            <w:vAlign w:val="center"/>
          </w:tcPr>
          <w:p w14:paraId="687D0A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0EE999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442" w:type="pct"/>
            <w:shd w:val="clear" w:color="auto" w:fill="auto"/>
            <w:vAlign w:val="center"/>
          </w:tcPr>
          <w:p w14:paraId="509EEC5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267" w:type="pct"/>
            <w:shd w:val="clear" w:color="auto" w:fill="auto"/>
            <w:vAlign w:val="center"/>
          </w:tcPr>
          <w:p w14:paraId="5A1308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60E7336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shd w:val="clear" w:color="auto" w:fill="auto"/>
            <w:vAlign w:val="center"/>
          </w:tcPr>
          <w:p w14:paraId="66B25F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66DB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67CF33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BD0C5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vAlign w:val="center"/>
          </w:tcPr>
          <w:p w14:paraId="68E0ECF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18.</w:t>
            </w:r>
          </w:p>
        </w:tc>
        <w:tc>
          <w:tcPr>
            <w:tcW w:w="516" w:type="pct"/>
            <w:shd w:val="clear" w:color="auto" w:fill="auto"/>
            <w:vAlign w:val="center"/>
          </w:tcPr>
          <w:p w14:paraId="5A50CE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打样</w:t>
            </w:r>
          </w:p>
        </w:tc>
        <w:tc>
          <w:tcPr>
            <w:tcW w:w="799" w:type="pct"/>
            <w:shd w:val="clear" w:color="auto" w:fill="auto"/>
            <w:vAlign w:val="center"/>
          </w:tcPr>
          <w:p w14:paraId="050A77E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皮革</w:t>
            </w:r>
          </w:p>
        </w:tc>
        <w:tc>
          <w:tcPr>
            <w:tcW w:w="641" w:type="pct"/>
            <w:shd w:val="clear" w:color="auto" w:fill="auto"/>
            <w:vAlign w:val="center"/>
          </w:tcPr>
          <w:p w14:paraId="706C268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shd w:val="clear" w:color="auto" w:fill="auto"/>
            <w:vAlign w:val="center"/>
          </w:tcPr>
          <w:p w14:paraId="43094A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442" w:type="pct"/>
            <w:shd w:val="clear" w:color="auto" w:fill="auto"/>
            <w:vAlign w:val="center"/>
          </w:tcPr>
          <w:p w14:paraId="14F8CC6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0.15</w:t>
            </w:r>
          </w:p>
        </w:tc>
        <w:tc>
          <w:tcPr>
            <w:tcW w:w="267" w:type="pct"/>
            <w:shd w:val="clear" w:color="auto" w:fill="auto"/>
            <w:vAlign w:val="center"/>
          </w:tcPr>
          <w:p w14:paraId="296E20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shd w:val="clear" w:color="auto" w:fill="auto"/>
            <w:vAlign w:val="center"/>
          </w:tcPr>
          <w:p w14:paraId="798FC4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shd w:val="clear" w:color="auto" w:fill="auto"/>
            <w:vAlign w:val="center"/>
          </w:tcPr>
          <w:p w14:paraId="6D569B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18A6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trPr>
        <w:tc>
          <w:tcPr>
            <w:tcW w:w="214" w:type="pct"/>
            <w:vMerge w:val="continue"/>
            <w:vAlign w:val="center"/>
          </w:tcPr>
          <w:p w14:paraId="7B8CA2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restart"/>
            <w:vAlign w:val="center"/>
          </w:tcPr>
          <w:p w14:paraId="1264D8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w:t>
            </w:r>
          </w:p>
        </w:tc>
        <w:tc>
          <w:tcPr>
            <w:tcW w:w="275" w:type="pct"/>
            <w:shd w:val="clear" w:color="auto" w:fill="auto"/>
            <w:vAlign w:val="center"/>
          </w:tcPr>
          <w:p w14:paraId="5F19EF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19.</w:t>
            </w:r>
          </w:p>
        </w:tc>
        <w:tc>
          <w:tcPr>
            <w:tcW w:w="516" w:type="pct"/>
            <w:vAlign w:val="center"/>
          </w:tcPr>
          <w:p w14:paraId="1866A8E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清洁</w:t>
            </w:r>
          </w:p>
        </w:tc>
        <w:tc>
          <w:tcPr>
            <w:tcW w:w="799" w:type="pct"/>
            <w:vAlign w:val="center"/>
          </w:tcPr>
          <w:p w14:paraId="0412D5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酒精</w:t>
            </w:r>
          </w:p>
        </w:tc>
        <w:tc>
          <w:tcPr>
            <w:tcW w:w="641" w:type="pct"/>
            <w:vAlign w:val="center"/>
          </w:tcPr>
          <w:p w14:paraId="7044910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99.8%</w:t>
            </w:r>
          </w:p>
        </w:tc>
        <w:tc>
          <w:tcPr>
            <w:tcW w:w="534" w:type="pct"/>
            <w:vAlign w:val="center"/>
          </w:tcPr>
          <w:p w14:paraId="5E142F3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1.295</w:t>
            </w:r>
          </w:p>
        </w:tc>
        <w:tc>
          <w:tcPr>
            <w:tcW w:w="442" w:type="pct"/>
            <w:vAlign w:val="center"/>
          </w:tcPr>
          <w:p w14:paraId="389C74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75EF4B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F00DF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7F0092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4A6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trPr>
        <w:tc>
          <w:tcPr>
            <w:tcW w:w="214" w:type="pct"/>
            <w:vMerge w:val="continue"/>
            <w:vAlign w:val="center"/>
          </w:tcPr>
          <w:p w14:paraId="1258A8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4BF9C2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D05B5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w:t>
            </w:r>
          </w:p>
        </w:tc>
        <w:tc>
          <w:tcPr>
            <w:tcW w:w="516" w:type="pct"/>
            <w:vAlign w:val="center"/>
          </w:tcPr>
          <w:p w14:paraId="3AEE43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喷胶</w:t>
            </w:r>
          </w:p>
        </w:tc>
        <w:tc>
          <w:tcPr>
            <w:tcW w:w="799" w:type="pct"/>
            <w:vAlign w:val="center"/>
          </w:tcPr>
          <w:p w14:paraId="740E926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3307 单层耐高温涂</w:t>
            </w:r>
          </w:p>
          <w:p w14:paraId="1B451C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料</w:t>
            </w:r>
          </w:p>
        </w:tc>
        <w:tc>
          <w:tcPr>
            <w:tcW w:w="641" w:type="pct"/>
            <w:vAlign w:val="center"/>
          </w:tcPr>
          <w:p w14:paraId="2C1191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14AF4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442" w:type="pct"/>
            <w:vAlign w:val="center"/>
          </w:tcPr>
          <w:p w14:paraId="19C582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0.25</w:t>
            </w:r>
          </w:p>
        </w:tc>
        <w:tc>
          <w:tcPr>
            <w:tcW w:w="267" w:type="pct"/>
            <w:vAlign w:val="center"/>
          </w:tcPr>
          <w:p w14:paraId="70713B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A0DFD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45F271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18KG/桶</w:t>
            </w:r>
          </w:p>
        </w:tc>
      </w:tr>
      <w:tr w14:paraId="411B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2DED4E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350AE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46E83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21.</w:t>
            </w:r>
          </w:p>
        </w:tc>
        <w:tc>
          <w:tcPr>
            <w:tcW w:w="516" w:type="pct"/>
            <w:vAlign w:val="center"/>
          </w:tcPr>
          <w:p w14:paraId="074D6E3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调胶</w:t>
            </w:r>
          </w:p>
        </w:tc>
        <w:tc>
          <w:tcPr>
            <w:tcW w:w="799" w:type="pct"/>
            <w:vAlign w:val="center"/>
          </w:tcPr>
          <w:p w14:paraId="60B765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二甲苯</w:t>
            </w:r>
          </w:p>
        </w:tc>
        <w:tc>
          <w:tcPr>
            <w:tcW w:w="641" w:type="pct"/>
            <w:vAlign w:val="center"/>
          </w:tcPr>
          <w:p w14:paraId="55969E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w:t>
            </w:r>
          </w:p>
        </w:tc>
        <w:tc>
          <w:tcPr>
            <w:tcW w:w="534" w:type="pct"/>
            <w:vAlign w:val="center"/>
          </w:tcPr>
          <w:p w14:paraId="55874C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0.8</w:t>
            </w:r>
          </w:p>
        </w:tc>
        <w:tc>
          <w:tcPr>
            <w:tcW w:w="442" w:type="pct"/>
            <w:vAlign w:val="center"/>
          </w:tcPr>
          <w:p w14:paraId="2B83B5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0.05</w:t>
            </w:r>
          </w:p>
        </w:tc>
        <w:tc>
          <w:tcPr>
            <w:tcW w:w="267" w:type="pct"/>
            <w:vAlign w:val="center"/>
          </w:tcPr>
          <w:p w14:paraId="28E281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C6228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0D7026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5D4A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F7BBC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A81B4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3CD33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22.</w:t>
            </w:r>
          </w:p>
        </w:tc>
        <w:tc>
          <w:tcPr>
            <w:tcW w:w="516" w:type="pct"/>
            <w:vAlign w:val="center"/>
          </w:tcPr>
          <w:p w14:paraId="11AB84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浸蚀</w:t>
            </w:r>
          </w:p>
        </w:tc>
        <w:tc>
          <w:tcPr>
            <w:tcW w:w="799" w:type="pct"/>
            <w:vAlign w:val="center"/>
          </w:tcPr>
          <w:p w14:paraId="6EDE58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双氧水</w:t>
            </w:r>
          </w:p>
        </w:tc>
        <w:tc>
          <w:tcPr>
            <w:tcW w:w="641" w:type="pct"/>
            <w:vAlign w:val="center"/>
          </w:tcPr>
          <w:p w14:paraId="301B200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w:t>
            </w:r>
          </w:p>
        </w:tc>
        <w:tc>
          <w:tcPr>
            <w:tcW w:w="534" w:type="pct"/>
            <w:vAlign w:val="center"/>
          </w:tcPr>
          <w:p w14:paraId="666F2DD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442" w:type="pct"/>
            <w:vAlign w:val="center"/>
          </w:tcPr>
          <w:p w14:paraId="4370B8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7214C4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202B936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7D9604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5B21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214" w:type="pct"/>
            <w:vMerge w:val="continue"/>
            <w:vAlign w:val="center"/>
          </w:tcPr>
          <w:p w14:paraId="3A8238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A014D0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F9309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23.</w:t>
            </w:r>
          </w:p>
        </w:tc>
        <w:tc>
          <w:tcPr>
            <w:tcW w:w="516" w:type="pct"/>
            <w:vAlign w:val="center"/>
          </w:tcPr>
          <w:p w14:paraId="6FFC517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浸蚀</w:t>
            </w:r>
          </w:p>
        </w:tc>
        <w:tc>
          <w:tcPr>
            <w:tcW w:w="799" w:type="pct"/>
            <w:vAlign w:val="center"/>
          </w:tcPr>
          <w:p w14:paraId="63B396B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55 环保型铜化学抛光 B 剂</w:t>
            </w:r>
          </w:p>
        </w:tc>
        <w:tc>
          <w:tcPr>
            <w:tcW w:w="641" w:type="pct"/>
            <w:vAlign w:val="center"/>
          </w:tcPr>
          <w:p w14:paraId="11B00FD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64D4D1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442" w:type="pct"/>
            <w:vAlign w:val="center"/>
          </w:tcPr>
          <w:p w14:paraId="2D160EE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0.025</w:t>
            </w:r>
          </w:p>
        </w:tc>
        <w:tc>
          <w:tcPr>
            <w:tcW w:w="267" w:type="pct"/>
            <w:vAlign w:val="center"/>
          </w:tcPr>
          <w:p w14:paraId="19C689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97BA0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6AC91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CF0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6018F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4C9C5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B5017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24.</w:t>
            </w:r>
          </w:p>
        </w:tc>
        <w:tc>
          <w:tcPr>
            <w:tcW w:w="516" w:type="pct"/>
            <w:vAlign w:val="center"/>
          </w:tcPr>
          <w:p w14:paraId="4615241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w:t>
            </w:r>
          </w:p>
        </w:tc>
        <w:tc>
          <w:tcPr>
            <w:tcW w:w="799" w:type="pct"/>
            <w:vAlign w:val="center"/>
          </w:tcPr>
          <w:p w14:paraId="4217AE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盐酸</w:t>
            </w:r>
          </w:p>
        </w:tc>
        <w:tc>
          <w:tcPr>
            <w:tcW w:w="641" w:type="pct"/>
            <w:vAlign w:val="center"/>
          </w:tcPr>
          <w:p w14:paraId="4F52BA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35%-37%</w:t>
            </w:r>
          </w:p>
        </w:tc>
        <w:tc>
          <w:tcPr>
            <w:tcW w:w="534" w:type="pct"/>
            <w:vAlign w:val="center"/>
          </w:tcPr>
          <w:p w14:paraId="5534C9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442" w:type="pct"/>
            <w:vAlign w:val="center"/>
          </w:tcPr>
          <w:p w14:paraId="41A9D9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4E6A33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1D89B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476AAE1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095D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75F5D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30C7A4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41360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w:t>
            </w:r>
          </w:p>
        </w:tc>
        <w:tc>
          <w:tcPr>
            <w:tcW w:w="516" w:type="pct"/>
            <w:vAlign w:val="center"/>
          </w:tcPr>
          <w:p w14:paraId="1CB3A4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w:t>
            </w:r>
          </w:p>
        </w:tc>
        <w:tc>
          <w:tcPr>
            <w:tcW w:w="799" w:type="pct"/>
            <w:vAlign w:val="center"/>
          </w:tcPr>
          <w:p w14:paraId="708DE3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氯酸钠</w:t>
            </w:r>
          </w:p>
        </w:tc>
        <w:tc>
          <w:tcPr>
            <w:tcW w:w="641" w:type="pct"/>
            <w:vAlign w:val="center"/>
          </w:tcPr>
          <w:p w14:paraId="6FC02F3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w:t>
            </w:r>
          </w:p>
        </w:tc>
        <w:tc>
          <w:tcPr>
            <w:tcW w:w="534" w:type="pct"/>
            <w:vAlign w:val="center"/>
          </w:tcPr>
          <w:p w14:paraId="085B02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442" w:type="pct"/>
            <w:vAlign w:val="center"/>
          </w:tcPr>
          <w:p w14:paraId="7A5222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019868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0AC63F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3E9F3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50KG/袋</w:t>
            </w:r>
          </w:p>
        </w:tc>
      </w:tr>
      <w:tr w14:paraId="608A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91C1A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3D569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124BA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26.</w:t>
            </w:r>
          </w:p>
        </w:tc>
        <w:tc>
          <w:tcPr>
            <w:tcW w:w="516" w:type="pct"/>
            <w:vAlign w:val="center"/>
          </w:tcPr>
          <w:p w14:paraId="3CBF77B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w:t>
            </w:r>
          </w:p>
        </w:tc>
        <w:tc>
          <w:tcPr>
            <w:tcW w:w="799" w:type="pct"/>
            <w:vAlign w:val="center"/>
          </w:tcPr>
          <w:p w14:paraId="10B1492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金属清洗剂</w:t>
            </w:r>
          </w:p>
        </w:tc>
        <w:tc>
          <w:tcPr>
            <w:tcW w:w="641" w:type="pct"/>
            <w:vAlign w:val="center"/>
          </w:tcPr>
          <w:p w14:paraId="6EB4F89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TX- 1~4</w:t>
            </w:r>
          </w:p>
        </w:tc>
        <w:tc>
          <w:tcPr>
            <w:tcW w:w="534" w:type="pct"/>
            <w:vAlign w:val="center"/>
          </w:tcPr>
          <w:p w14:paraId="7F8649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442" w:type="pct"/>
            <w:vAlign w:val="center"/>
          </w:tcPr>
          <w:p w14:paraId="1564C1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341BCC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01D53AA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74D1C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293F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01518F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76FAF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09FE1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27.</w:t>
            </w:r>
          </w:p>
        </w:tc>
        <w:tc>
          <w:tcPr>
            <w:tcW w:w="516" w:type="pct"/>
            <w:vAlign w:val="center"/>
          </w:tcPr>
          <w:p w14:paraId="210707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w:t>
            </w:r>
          </w:p>
        </w:tc>
        <w:tc>
          <w:tcPr>
            <w:tcW w:w="799" w:type="pct"/>
            <w:vAlign w:val="center"/>
          </w:tcPr>
          <w:p w14:paraId="5DE5B0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砂纸</w:t>
            </w:r>
          </w:p>
        </w:tc>
        <w:tc>
          <w:tcPr>
            <w:tcW w:w="641" w:type="pct"/>
            <w:vAlign w:val="center"/>
          </w:tcPr>
          <w:p w14:paraId="4549BF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59B7BB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vAlign w:val="center"/>
          </w:tcPr>
          <w:p w14:paraId="3DA51D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768BF99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0943F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2FA950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5KG/箱</w:t>
            </w:r>
          </w:p>
        </w:tc>
      </w:tr>
      <w:tr w14:paraId="6E6F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9630F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2A37B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926AB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28.</w:t>
            </w:r>
          </w:p>
        </w:tc>
        <w:tc>
          <w:tcPr>
            <w:tcW w:w="516" w:type="pct"/>
            <w:vAlign w:val="center"/>
          </w:tcPr>
          <w:p w14:paraId="1F3145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w:t>
            </w:r>
          </w:p>
        </w:tc>
        <w:tc>
          <w:tcPr>
            <w:tcW w:w="799" w:type="pct"/>
            <w:vAlign w:val="center"/>
          </w:tcPr>
          <w:p w14:paraId="1D62CB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4981E8E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RC-CU200B</w:t>
            </w:r>
          </w:p>
        </w:tc>
        <w:tc>
          <w:tcPr>
            <w:tcW w:w="534" w:type="pct"/>
            <w:vAlign w:val="center"/>
          </w:tcPr>
          <w:p w14:paraId="5D13A9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0.8</w:t>
            </w:r>
          </w:p>
        </w:tc>
        <w:tc>
          <w:tcPr>
            <w:tcW w:w="442" w:type="pct"/>
            <w:vAlign w:val="center"/>
          </w:tcPr>
          <w:p w14:paraId="5531E5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40D891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37CAD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7A2C5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E44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3D52D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7205B7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AF7EE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29.</w:t>
            </w:r>
          </w:p>
        </w:tc>
        <w:tc>
          <w:tcPr>
            <w:tcW w:w="516" w:type="pct"/>
            <w:vAlign w:val="center"/>
          </w:tcPr>
          <w:p w14:paraId="3EBACF9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w:t>
            </w:r>
          </w:p>
        </w:tc>
        <w:tc>
          <w:tcPr>
            <w:tcW w:w="799" w:type="pct"/>
            <w:vAlign w:val="center"/>
          </w:tcPr>
          <w:p w14:paraId="7FC2ED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03768D1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RC-CU200C</w:t>
            </w:r>
          </w:p>
        </w:tc>
        <w:tc>
          <w:tcPr>
            <w:tcW w:w="534" w:type="pct"/>
            <w:vAlign w:val="center"/>
          </w:tcPr>
          <w:p w14:paraId="5BA5B3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0.375</w:t>
            </w:r>
          </w:p>
        </w:tc>
        <w:tc>
          <w:tcPr>
            <w:tcW w:w="442" w:type="pct"/>
            <w:vAlign w:val="center"/>
          </w:tcPr>
          <w:p w14:paraId="74D2BF1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748AAF6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0015BD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0462D5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0E8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20428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EE019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3ACC74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w:t>
            </w:r>
          </w:p>
        </w:tc>
        <w:tc>
          <w:tcPr>
            <w:tcW w:w="516" w:type="pct"/>
            <w:vAlign w:val="center"/>
          </w:tcPr>
          <w:p w14:paraId="328440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w:t>
            </w:r>
          </w:p>
        </w:tc>
        <w:tc>
          <w:tcPr>
            <w:tcW w:w="799" w:type="pct"/>
            <w:vAlign w:val="center"/>
          </w:tcPr>
          <w:p w14:paraId="526362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硼酸</w:t>
            </w:r>
          </w:p>
        </w:tc>
        <w:tc>
          <w:tcPr>
            <w:tcW w:w="641" w:type="pct"/>
            <w:vAlign w:val="center"/>
          </w:tcPr>
          <w:p w14:paraId="3818D6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456B82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442" w:type="pct"/>
            <w:vAlign w:val="center"/>
          </w:tcPr>
          <w:p w14:paraId="70CCF0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31A4C7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94CF0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AE8E1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15DE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trPr>
        <w:tc>
          <w:tcPr>
            <w:tcW w:w="214" w:type="pct"/>
            <w:vMerge w:val="continue"/>
            <w:vAlign w:val="center"/>
          </w:tcPr>
          <w:p w14:paraId="3C29B1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D6978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7B6B6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31.</w:t>
            </w:r>
          </w:p>
        </w:tc>
        <w:tc>
          <w:tcPr>
            <w:tcW w:w="516" w:type="pct"/>
            <w:vAlign w:val="center"/>
          </w:tcPr>
          <w:p w14:paraId="175301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镀铜、浸蚀</w:t>
            </w:r>
          </w:p>
        </w:tc>
        <w:tc>
          <w:tcPr>
            <w:tcW w:w="799" w:type="pct"/>
            <w:vAlign w:val="center"/>
          </w:tcPr>
          <w:p w14:paraId="6B35C7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w:t>
            </w:r>
          </w:p>
        </w:tc>
        <w:tc>
          <w:tcPr>
            <w:tcW w:w="641" w:type="pct"/>
            <w:vAlign w:val="center"/>
          </w:tcPr>
          <w:p w14:paraId="219FD4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95%</w:t>
            </w:r>
          </w:p>
        </w:tc>
        <w:tc>
          <w:tcPr>
            <w:tcW w:w="534" w:type="pct"/>
            <w:vAlign w:val="center"/>
          </w:tcPr>
          <w:p w14:paraId="054C94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w:t>
            </w:r>
          </w:p>
        </w:tc>
        <w:tc>
          <w:tcPr>
            <w:tcW w:w="442" w:type="pct"/>
            <w:vAlign w:val="center"/>
          </w:tcPr>
          <w:p w14:paraId="5B0446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2FA3E5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942CA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76ECCE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25L/桶</w:t>
            </w:r>
          </w:p>
        </w:tc>
      </w:tr>
      <w:tr w14:paraId="77BC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8EAC4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6188C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D96BA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32.</w:t>
            </w:r>
          </w:p>
        </w:tc>
        <w:tc>
          <w:tcPr>
            <w:tcW w:w="516" w:type="pct"/>
            <w:vAlign w:val="center"/>
          </w:tcPr>
          <w:p w14:paraId="746F6D6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c>
          <w:tcPr>
            <w:tcW w:w="799" w:type="pct"/>
            <w:vAlign w:val="center"/>
          </w:tcPr>
          <w:p w14:paraId="7488B76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410D51D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K- 1#</w:t>
            </w:r>
          </w:p>
        </w:tc>
        <w:tc>
          <w:tcPr>
            <w:tcW w:w="534" w:type="pct"/>
            <w:vAlign w:val="center"/>
          </w:tcPr>
          <w:p w14:paraId="3CE04EA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0.8</w:t>
            </w:r>
          </w:p>
        </w:tc>
        <w:tc>
          <w:tcPr>
            <w:tcW w:w="442" w:type="pct"/>
            <w:vAlign w:val="center"/>
          </w:tcPr>
          <w:p w14:paraId="6878E4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7A7008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7194A8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DD4BD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62EF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7C118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A405BF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EE620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33.</w:t>
            </w:r>
          </w:p>
        </w:tc>
        <w:tc>
          <w:tcPr>
            <w:tcW w:w="516" w:type="pct"/>
            <w:vAlign w:val="center"/>
          </w:tcPr>
          <w:p w14:paraId="0AA970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c>
          <w:tcPr>
            <w:tcW w:w="799" w:type="pct"/>
            <w:vAlign w:val="center"/>
          </w:tcPr>
          <w:p w14:paraId="54FCD6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2111B41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K-2#</w:t>
            </w:r>
          </w:p>
        </w:tc>
        <w:tc>
          <w:tcPr>
            <w:tcW w:w="534" w:type="pct"/>
            <w:vAlign w:val="center"/>
          </w:tcPr>
          <w:p w14:paraId="59A422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442" w:type="pct"/>
            <w:vAlign w:val="center"/>
          </w:tcPr>
          <w:p w14:paraId="3343FD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68DC99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22889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01B638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0119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F21A2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2CC3C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84411E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34.</w:t>
            </w:r>
          </w:p>
        </w:tc>
        <w:tc>
          <w:tcPr>
            <w:tcW w:w="516" w:type="pct"/>
            <w:vAlign w:val="center"/>
          </w:tcPr>
          <w:p w14:paraId="2386F8B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c>
          <w:tcPr>
            <w:tcW w:w="799" w:type="pct"/>
            <w:vAlign w:val="center"/>
          </w:tcPr>
          <w:p w14:paraId="79FDEC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磷铜球</w:t>
            </w:r>
          </w:p>
        </w:tc>
        <w:tc>
          <w:tcPr>
            <w:tcW w:w="641" w:type="pct"/>
            <w:vAlign w:val="center"/>
          </w:tcPr>
          <w:p w14:paraId="6FE3FA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99.9%</w:t>
            </w:r>
          </w:p>
        </w:tc>
        <w:tc>
          <w:tcPr>
            <w:tcW w:w="534" w:type="pct"/>
            <w:vAlign w:val="center"/>
          </w:tcPr>
          <w:p w14:paraId="45A616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6.5</w:t>
            </w:r>
          </w:p>
        </w:tc>
        <w:tc>
          <w:tcPr>
            <w:tcW w:w="442" w:type="pct"/>
            <w:vAlign w:val="center"/>
          </w:tcPr>
          <w:p w14:paraId="772A41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10D2EC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5AC00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2187E7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C92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DC693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BC3B6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BAC38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w:t>
            </w:r>
          </w:p>
        </w:tc>
        <w:tc>
          <w:tcPr>
            <w:tcW w:w="516" w:type="pct"/>
            <w:vAlign w:val="center"/>
          </w:tcPr>
          <w:p w14:paraId="1C7E51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c>
          <w:tcPr>
            <w:tcW w:w="799" w:type="pct"/>
            <w:vAlign w:val="center"/>
          </w:tcPr>
          <w:p w14:paraId="336227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硫酸铜</w:t>
            </w:r>
          </w:p>
        </w:tc>
        <w:tc>
          <w:tcPr>
            <w:tcW w:w="641" w:type="pct"/>
            <w:vAlign w:val="center"/>
          </w:tcPr>
          <w:p w14:paraId="62AB37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256724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w:t>
            </w:r>
          </w:p>
        </w:tc>
        <w:tc>
          <w:tcPr>
            <w:tcW w:w="442" w:type="pct"/>
            <w:vAlign w:val="center"/>
          </w:tcPr>
          <w:p w14:paraId="38416A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0.05</w:t>
            </w:r>
          </w:p>
        </w:tc>
        <w:tc>
          <w:tcPr>
            <w:tcW w:w="267" w:type="pct"/>
            <w:vAlign w:val="center"/>
          </w:tcPr>
          <w:p w14:paraId="1D41B26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28FF88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11A8E7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53CB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54EC9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E6769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C8292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36.</w:t>
            </w:r>
          </w:p>
        </w:tc>
        <w:tc>
          <w:tcPr>
            <w:tcW w:w="516" w:type="pct"/>
            <w:vAlign w:val="center"/>
          </w:tcPr>
          <w:p w14:paraId="03AAFB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w:t>
            </w:r>
          </w:p>
        </w:tc>
        <w:tc>
          <w:tcPr>
            <w:tcW w:w="799" w:type="pct"/>
            <w:vAlign w:val="center"/>
          </w:tcPr>
          <w:p w14:paraId="3E3DE71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铬酐</w:t>
            </w:r>
          </w:p>
        </w:tc>
        <w:tc>
          <w:tcPr>
            <w:tcW w:w="641" w:type="pct"/>
            <w:vAlign w:val="center"/>
          </w:tcPr>
          <w:p w14:paraId="76A065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≥99.2%</w:t>
            </w:r>
          </w:p>
        </w:tc>
        <w:tc>
          <w:tcPr>
            <w:tcW w:w="534" w:type="pct"/>
            <w:vAlign w:val="center"/>
          </w:tcPr>
          <w:p w14:paraId="5DED77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w:t>
            </w:r>
          </w:p>
        </w:tc>
        <w:tc>
          <w:tcPr>
            <w:tcW w:w="442" w:type="pct"/>
            <w:vAlign w:val="center"/>
          </w:tcPr>
          <w:p w14:paraId="3C62197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225483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802522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1C8082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1C5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5B8DA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94AE8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341E2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37.</w:t>
            </w:r>
          </w:p>
        </w:tc>
        <w:tc>
          <w:tcPr>
            <w:tcW w:w="516" w:type="pct"/>
            <w:vAlign w:val="center"/>
          </w:tcPr>
          <w:p w14:paraId="798D10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w:t>
            </w:r>
          </w:p>
        </w:tc>
        <w:tc>
          <w:tcPr>
            <w:tcW w:w="799" w:type="pct"/>
            <w:vAlign w:val="center"/>
          </w:tcPr>
          <w:p w14:paraId="2B80719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铬雾抑制剂</w:t>
            </w:r>
          </w:p>
        </w:tc>
        <w:tc>
          <w:tcPr>
            <w:tcW w:w="641" w:type="pct"/>
            <w:vAlign w:val="center"/>
          </w:tcPr>
          <w:p w14:paraId="145394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D7925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0.15</w:t>
            </w:r>
          </w:p>
        </w:tc>
        <w:tc>
          <w:tcPr>
            <w:tcW w:w="442" w:type="pct"/>
            <w:vAlign w:val="center"/>
          </w:tcPr>
          <w:p w14:paraId="769C7C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0.025</w:t>
            </w:r>
          </w:p>
        </w:tc>
        <w:tc>
          <w:tcPr>
            <w:tcW w:w="267" w:type="pct"/>
            <w:vAlign w:val="center"/>
          </w:tcPr>
          <w:p w14:paraId="3B2325A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E78A7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CF1B9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65C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48238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2A1DC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5AD06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38.</w:t>
            </w:r>
          </w:p>
        </w:tc>
        <w:tc>
          <w:tcPr>
            <w:tcW w:w="516" w:type="pct"/>
            <w:vAlign w:val="center"/>
          </w:tcPr>
          <w:p w14:paraId="1BCD6C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w:t>
            </w:r>
          </w:p>
        </w:tc>
        <w:tc>
          <w:tcPr>
            <w:tcW w:w="799" w:type="pct"/>
            <w:vAlign w:val="center"/>
          </w:tcPr>
          <w:p w14:paraId="3811D3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铬添加剂</w:t>
            </w:r>
          </w:p>
        </w:tc>
        <w:tc>
          <w:tcPr>
            <w:tcW w:w="641" w:type="pct"/>
            <w:vAlign w:val="center"/>
          </w:tcPr>
          <w:p w14:paraId="01C52A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66B444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442" w:type="pct"/>
            <w:vAlign w:val="center"/>
          </w:tcPr>
          <w:p w14:paraId="127B81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075FD8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7DB9D3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8AADC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4031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6D9B8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5C2AC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887B4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39.</w:t>
            </w:r>
          </w:p>
        </w:tc>
        <w:tc>
          <w:tcPr>
            <w:tcW w:w="516" w:type="pct"/>
            <w:vAlign w:val="center"/>
          </w:tcPr>
          <w:p w14:paraId="53791E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w:t>
            </w:r>
          </w:p>
        </w:tc>
        <w:tc>
          <w:tcPr>
            <w:tcW w:w="799" w:type="pct"/>
            <w:vAlign w:val="center"/>
          </w:tcPr>
          <w:p w14:paraId="3479D0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稀硫酸</w:t>
            </w:r>
          </w:p>
        </w:tc>
        <w:tc>
          <w:tcPr>
            <w:tcW w:w="641" w:type="pct"/>
            <w:vAlign w:val="center"/>
          </w:tcPr>
          <w:p w14:paraId="590D68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w:t>
            </w:r>
          </w:p>
        </w:tc>
        <w:tc>
          <w:tcPr>
            <w:tcW w:w="534" w:type="pct"/>
            <w:vAlign w:val="center"/>
          </w:tcPr>
          <w:p w14:paraId="4E119F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442" w:type="pct"/>
            <w:vAlign w:val="center"/>
          </w:tcPr>
          <w:p w14:paraId="623B97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5163AC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4F9F0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737DCF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0BE6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3149C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7D5B8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4BD4A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516" w:type="pct"/>
            <w:vAlign w:val="center"/>
          </w:tcPr>
          <w:p w14:paraId="4AE845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电解</w:t>
            </w:r>
          </w:p>
        </w:tc>
        <w:tc>
          <w:tcPr>
            <w:tcW w:w="799" w:type="pct"/>
            <w:vAlign w:val="center"/>
          </w:tcPr>
          <w:p w14:paraId="649AB0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磷酸</w:t>
            </w:r>
          </w:p>
        </w:tc>
        <w:tc>
          <w:tcPr>
            <w:tcW w:w="641" w:type="pct"/>
            <w:vAlign w:val="center"/>
          </w:tcPr>
          <w:p w14:paraId="13CD2B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85%</w:t>
            </w:r>
          </w:p>
        </w:tc>
        <w:tc>
          <w:tcPr>
            <w:tcW w:w="534" w:type="pct"/>
            <w:vAlign w:val="center"/>
          </w:tcPr>
          <w:p w14:paraId="1CBB97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7.5</w:t>
            </w:r>
          </w:p>
        </w:tc>
        <w:tc>
          <w:tcPr>
            <w:tcW w:w="442" w:type="pct"/>
            <w:vAlign w:val="center"/>
          </w:tcPr>
          <w:p w14:paraId="24516A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0.25</w:t>
            </w:r>
          </w:p>
        </w:tc>
        <w:tc>
          <w:tcPr>
            <w:tcW w:w="267" w:type="pct"/>
            <w:vAlign w:val="center"/>
          </w:tcPr>
          <w:p w14:paraId="67152A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775FC6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DEE5F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865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4984BE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C9C32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891265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41.</w:t>
            </w:r>
          </w:p>
        </w:tc>
        <w:tc>
          <w:tcPr>
            <w:tcW w:w="516" w:type="pct"/>
            <w:vAlign w:val="center"/>
          </w:tcPr>
          <w:p w14:paraId="404210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电解</w:t>
            </w:r>
          </w:p>
        </w:tc>
        <w:tc>
          <w:tcPr>
            <w:tcW w:w="799" w:type="pct"/>
            <w:vAlign w:val="center"/>
          </w:tcPr>
          <w:p w14:paraId="7697B05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COSMO-电解添加剂</w:t>
            </w:r>
          </w:p>
        </w:tc>
        <w:tc>
          <w:tcPr>
            <w:tcW w:w="641" w:type="pct"/>
            <w:vAlign w:val="center"/>
          </w:tcPr>
          <w:p w14:paraId="39741B6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40C4F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w:t>
            </w:r>
          </w:p>
        </w:tc>
        <w:tc>
          <w:tcPr>
            <w:tcW w:w="442" w:type="pct"/>
            <w:vAlign w:val="center"/>
          </w:tcPr>
          <w:p w14:paraId="7AEAF0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0.025</w:t>
            </w:r>
          </w:p>
        </w:tc>
        <w:tc>
          <w:tcPr>
            <w:tcW w:w="267" w:type="pct"/>
            <w:vAlign w:val="center"/>
          </w:tcPr>
          <w:p w14:paraId="4B6D1D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D7FAC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4A16F6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FB0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14" w:type="pct"/>
            <w:vMerge w:val="continue"/>
            <w:vAlign w:val="center"/>
          </w:tcPr>
          <w:p w14:paraId="607232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87059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AECBA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42.</w:t>
            </w:r>
          </w:p>
        </w:tc>
        <w:tc>
          <w:tcPr>
            <w:tcW w:w="516" w:type="pct"/>
            <w:vAlign w:val="center"/>
          </w:tcPr>
          <w:p w14:paraId="3385F2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挤压</w:t>
            </w:r>
          </w:p>
        </w:tc>
        <w:tc>
          <w:tcPr>
            <w:tcW w:w="799" w:type="pct"/>
            <w:vAlign w:val="center"/>
          </w:tcPr>
          <w:p w14:paraId="07B5FD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硝酸</w:t>
            </w:r>
          </w:p>
        </w:tc>
        <w:tc>
          <w:tcPr>
            <w:tcW w:w="641" w:type="pct"/>
            <w:vAlign w:val="center"/>
          </w:tcPr>
          <w:p w14:paraId="50A6C2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65%～68%</w:t>
            </w:r>
          </w:p>
        </w:tc>
        <w:tc>
          <w:tcPr>
            <w:tcW w:w="534" w:type="pct"/>
            <w:vAlign w:val="center"/>
          </w:tcPr>
          <w:p w14:paraId="46C221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0.3</w:t>
            </w:r>
          </w:p>
        </w:tc>
        <w:tc>
          <w:tcPr>
            <w:tcW w:w="442" w:type="pct"/>
            <w:vAlign w:val="center"/>
          </w:tcPr>
          <w:p w14:paraId="78B734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3A699F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280668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FFDFA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4D75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14" w:type="pct"/>
            <w:vMerge w:val="continue"/>
            <w:vAlign w:val="center"/>
          </w:tcPr>
          <w:p w14:paraId="37D486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B8B65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4AF5C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43.</w:t>
            </w:r>
          </w:p>
        </w:tc>
        <w:tc>
          <w:tcPr>
            <w:tcW w:w="516" w:type="pct"/>
            <w:vAlign w:val="center"/>
          </w:tcPr>
          <w:p w14:paraId="1953A5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退镀、脱脂</w:t>
            </w:r>
          </w:p>
        </w:tc>
        <w:tc>
          <w:tcPr>
            <w:tcW w:w="799" w:type="pct"/>
            <w:vAlign w:val="center"/>
          </w:tcPr>
          <w:p w14:paraId="61260C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氢氧化钠</w:t>
            </w:r>
          </w:p>
        </w:tc>
        <w:tc>
          <w:tcPr>
            <w:tcW w:w="641" w:type="pct"/>
            <w:vAlign w:val="center"/>
          </w:tcPr>
          <w:p w14:paraId="0010BD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6CA1651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w:t>
            </w:r>
          </w:p>
        </w:tc>
        <w:tc>
          <w:tcPr>
            <w:tcW w:w="442" w:type="pct"/>
            <w:vAlign w:val="center"/>
          </w:tcPr>
          <w:p w14:paraId="45C259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596E2A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E7D22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7BD4B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50kg/袋</w:t>
            </w:r>
          </w:p>
        </w:tc>
      </w:tr>
      <w:tr w14:paraId="59B7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restart"/>
            <w:vAlign w:val="center"/>
          </w:tcPr>
          <w:p w14:paraId="6B5F03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微精版</w:t>
            </w:r>
          </w:p>
        </w:tc>
        <w:tc>
          <w:tcPr>
            <w:tcW w:w="220" w:type="pct"/>
            <w:vMerge w:val="restart"/>
            <w:vAlign w:val="center"/>
          </w:tcPr>
          <w:p w14:paraId="447CD7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机械加工</w:t>
            </w:r>
          </w:p>
        </w:tc>
        <w:tc>
          <w:tcPr>
            <w:tcW w:w="275" w:type="pct"/>
            <w:shd w:val="clear" w:color="auto" w:fill="auto"/>
            <w:vAlign w:val="center"/>
          </w:tcPr>
          <w:p w14:paraId="1FCBDE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44.</w:t>
            </w:r>
          </w:p>
        </w:tc>
        <w:tc>
          <w:tcPr>
            <w:tcW w:w="516" w:type="pct"/>
            <w:vAlign w:val="center"/>
          </w:tcPr>
          <w:p w14:paraId="343EED9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机加-车堵</w:t>
            </w:r>
          </w:p>
        </w:tc>
        <w:tc>
          <w:tcPr>
            <w:tcW w:w="799" w:type="pct"/>
            <w:vAlign w:val="center"/>
          </w:tcPr>
          <w:p w14:paraId="41F2EC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堵头</w:t>
            </w:r>
          </w:p>
        </w:tc>
        <w:tc>
          <w:tcPr>
            <w:tcW w:w="641" w:type="pct"/>
            <w:vAlign w:val="center"/>
          </w:tcPr>
          <w:p w14:paraId="66C096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382AB2A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32</w:t>
            </w:r>
          </w:p>
        </w:tc>
        <w:tc>
          <w:tcPr>
            <w:tcW w:w="442" w:type="pct"/>
            <w:vAlign w:val="center"/>
          </w:tcPr>
          <w:p w14:paraId="3199ABB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4EFB93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6462B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1E2FBA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50EB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36F75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0F57D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31E07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45.</w:t>
            </w:r>
          </w:p>
        </w:tc>
        <w:tc>
          <w:tcPr>
            <w:tcW w:w="516" w:type="pct"/>
            <w:vAlign w:val="center"/>
          </w:tcPr>
          <w:p w14:paraId="77886E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机加-锯料</w:t>
            </w:r>
          </w:p>
        </w:tc>
        <w:tc>
          <w:tcPr>
            <w:tcW w:w="799" w:type="pct"/>
            <w:vAlign w:val="center"/>
          </w:tcPr>
          <w:p w14:paraId="2D901A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无缝钢管</w:t>
            </w:r>
          </w:p>
        </w:tc>
        <w:tc>
          <w:tcPr>
            <w:tcW w:w="641" w:type="pct"/>
            <w:vAlign w:val="center"/>
          </w:tcPr>
          <w:p w14:paraId="7BB36F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008DD3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86</w:t>
            </w:r>
          </w:p>
        </w:tc>
        <w:tc>
          <w:tcPr>
            <w:tcW w:w="442" w:type="pct"/>
            <w:vAlign w:val="center"/>
          </w:tcPr>
          <w:p w14:paraId="176004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7A01ED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Merge w:val="restart"/>
            <w:vAlign w:val="center"/>
          </w:tcPr>
          <w:p w14:paraId="317E93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 、2#厂房中间，露天堆放</w:t>
            </w:r>
          </w:p>
        </w:tc>
        <w:tc>
          <w:tcPr>
            <w:tcW w:w="499" w:type="pct"/>
            <w:vAlign w:val="center"/>
          </w:tcPr>
          <w:p w14:paraId="6C5D49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2F3F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F8C3D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8E5A5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6911A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w:t>
            </w:r>
          </w:p>
        </w:tc>
        <w:tc>
          <w:tcPr>
            <w:tcW w:w="516" w:type="pct"/>
            <w:vAlign w:val="center"/>
          </w:tcPr>
          <w:p w14:paraId="233118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机加-卷板</w:t>
            </w:r>
          </w:p>
        </w:tc>
        <w:tc>
          <w:tcPr>
            <w:tcW w:w="799" w:type="pct"/>
            <w:vAlign w:val="center"/>
          </w:tcPr>
          <w:p w14:paraId="4D8EE4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钢板</w:t>
            </w:r>
          </w:p>
        </w:tc>
        <w:tc>
          <w:tcPr>
            <w:tcW w:w="641" w:type="pct"/>
            <w:vAlign w:val="center"/>
          </w:tcPr>
          <w:p w14:paraId="47CA96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Q235B</w:t>
            </w:r>
          </w:p>
        </w:tc>
        <w:tc>
          <w:tcPr>
            <w:tcW w:w="534" w:type="pct"/>
            <w:vAlign w:val="center"/>
          </w:tcPr>
          <w:p w14:paraId="02BFDC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w:t>
            </w:r>
          </w:p>
        </w:tc>
        <w:tc>
          <w:tcPr>
            <w:tcW w:w="442" w:type="pct"/>
            <w:vAlign w:val="center"/>
          </w:tcPr>
          <w:p w14:paraId="350AED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28F480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Merge w:val="continue"/>
            <w:vAlign w:val="center"/>
          </w:tcPr>
          <w:p w14:paraId="65BEC80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99" w:type="pct"/>
            <w:vAlign w:val="center"/>
          </w:tcPr>
          <w:p w14:paraId="7FFD0F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散装</w:t>
            </w:r>
          </w:p>
        </w:tc>
      </w:tr>
      <w:tr w14:paraId="5BC9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2ED77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0F8B3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3AA72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47.</w:t>
            </w:r>
          </w:p>
        </w:tc>
        <w:tc>
          <w:tcPr>
            <w:tcW w:w="516" w:type="pct"/>
            <w:vAlign w:val="center"/>
          </w:tcPr>
          <w:p w14:paraId="1E6EEA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机加－精车</w:t>
            </w:r>
          </w:p>
        </w:tc>
        <w:tc>
          <w:tcPr>
            <w:tcW w:w="799" w:type="pct"/>
            <w:vAlign w:val="center"/>
          </w:tcPr>
          <w:p w14:paraId="6A0A30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车刀</w:t>
            </w:r>
          </w:p>
        </w:tc>
        <w:tc>
          <w:tcPr>
            <w:tcW w:w="641" w:type="pct"/>
            <w:vAlign w:val="center"/>
          </w:tcPr>
          <w:p w14:paraId="44BB06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858D3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292</w:t>
            </w:r>
          </w:p>
        </w:tc>
        <w:tc>
          <w:tcPr>
            <w:tcW w:w="442" w:type="pct"/>
            <w:vAlign w:val="center"/>
          </w:tcPr>
          <w:p w14:paraId="544EC18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w:t>
            </w:r>
          </w:p>
        </w:tc>
        <w:tc>
          <w:tcPr>
            <w:tcW w:w="267" w:type="pct"/>
            <w:vAlign w:val="center"/>
          </w:tcPr>
          <w:p w14:paraId="2CA7A0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4F02A7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1F4E8C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7684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46B15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67E57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6D36A0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48.</w:t>
            </w:r>
          </w:p>
        </w:tc>
        <w:tc>
          <w:tcPr>
            <w:tcW w:w="516" w:type="pct"/>
            <w:vAlign w:val="center"/>
          </w:tcPr>
          <w:p w14:paraId="224B7A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机加－精车</w:t>
            </w:r>
          </w:p>
        </w:tc>
        <w:tc>
          <w:tcPr>
            <w:tcW w:w="799" w:type="pct"/>
            <w:vAlign w:val="center"/>
          </w:tcPr>
          <w:p w14:paraId="13A9D2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导热油</w:t>
            </w:r>
          </w:p>
        </w:tc>
        <w:tc>
          <w:tcPr>
            <w:tcW w:w="641" w:type="pct"/>
            <w:vAlign w:val="center"/>
          </w:tcPr>
          <w:p w14:paraId="61725C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BB994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442" w:type="pct"/>
            <w:vAlign w:val="center"/>
          </w:tcPr>
          <w:p w14:paraId="7CA4A4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501C15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F4DFA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605D5E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5CD9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3F5F9F3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78249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8A582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49.</w:t>
            </w:r>
          </w:p>
        </w:tc>
        <w:tc>
          <w:tcPr>
            <w:tcW w:w="516" w:type="pct"/>
            <w:vAlign w:val="center"/>
          </w:tcPr>
          <w:p w14:paraId="31B3FE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机加－双头焊</w:t>
            </w:r>
          </w:p>
        </w:tc>
        <w:tc>
          <w:tcPr>
            <w:tcW w:w="799" w:type="pct"/>
            <w:vAlign w:val="center"/>
          </w:tcPr>
          <w:p w14:paraId="440BB2D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二氧化碳导电嘴</w:t>
            </w:r>
          </w:p>
        </w:tc>
        <w:tc>
          <w:tcPr>
            <w:tcW w:w="641" w:type="pct"/>
            <w:vAlign w:val="center"/>
          </w:tcPr>
          <w:p w14:paraId="4785B5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5E0CF2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568</w:t>
            </w:r>
          </w:p>
        </w:tc>
        <w:tc>
          <w:tcPr>
            <w:tcW w:w="442" w:type="pct"/>
            <w:vAlign w:val="center"/>
          </w:tcPr>
          <w:p w14:paraId="47CD6EA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267" w:type="pct"/>
            <w:vAlign w:val="center"/>
          </w:tcPr>
          <w:p w14:paraId="6BEF7C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062B14E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7001D4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6D23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214" w:type="pct"/>
            <w:vMerge w:val="continue"/>
            <w:vAlign w:val="center"/>
          </w:tcPr>
          <w:p w14:paraId="63F16D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D486B4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2349E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w:t>
            </w:r>
          </w:p>
        </w:tc>
        <w:tc>
          <w:tcPr>
            <w:tcW w:w="516" w:type="pct"/>
            <w:vAlign w:val="center"/>
          </w:tcPr>
          <w:p w14:paraId="1A5C174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机加－双头焊</w:t>
            </w:r>
          </w:p>
        </w:tc>
        <w:tc>
          <w:tcPr>
            <w:tcW w:w="799" w:type="pct"/>
            <w:vAlign w:val="center"/>
          </w:tcPr>
          <w:p w14:paraId="2CFBBD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气体保护实心焊丝</w:t>
            </w:r>
          </w:p>
          <w:p w14:paraId="408954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（无铅）</w:t>
            </w:r>
          </w:p>
        </w:tc>
        <w:tc>
          <w:tcPr>
            <w:tcW w:w="641" w:type="pct"/>
            <w:vAlign w:val="center"/>
          </w:tcPr>
          <w:p w14:paraId="178DAF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JQ.MG70S-6</w:t>
            </w:r>
          </w:p>
        </w:tc>
        <w:tc>
          <w:tcPr>
            <w:tcW w:w="534" w:type="pct"/>
            <w:vAlign w:val="center"/>
          </w:tcPr>
          <w:p w14:paraId="2604A3A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11</w:t>
            </w:r>
          </w:p>
        </w:tc>
        <w:tc>
          <w:tcPr>
            <w:tcW w:w="442" w:type="pct"/>
            <w:vAlign w:val="center"/>
          </w:tcPr>
          <w:p w14:paraId="525F6F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63C0EA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5479A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5D3E51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7DAB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FEC1D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27D15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253DB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w:t>
            </w:r>
          </w:p>
        </w:tc>
        <w:tc>
          <w:tcPr>
            <w:tcW w:w="516" w:type="pct"/>
            <w:vAlign w:val="center"/>
          </w:tcPr>
          <w:p w14:paraId="37CAA6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机加－精车</w:t>
            </w:r>
          </w:p>
        </w:tc>
        <w:tc>
          <w:tcPr>
            <w:tcW w:w="799" w:type="pct"/>
            <w:vAlign w:val="center"/>
          </w:tcPr>
          <w:p w14:paraId="3B8CD0A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乳化液</w:t>
            </w:r>
          </w:p>
        </w:tc>
        <w:tc>
          <w:tcPr>
            <w:tcW w:w="641" w:type="pct"/>
            <w:vAlign w:val="center"/>
          </w:tcPr>
          <w:p w14:paraId="55B9837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871F7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442" w:type="pct"/>
            <w:vAlign w:val="center"/>
          </w:tcPr>
          <w:p w14:paraId="32DD49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vAlign w:val="center"/>
          </w:tcPr>
          <w:p w14:paraId="153372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A1DEB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3DB0EC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3DBE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10E40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1F839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024EC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52.</w:t>
            </w:r>
          </w:p>
        </w:tc>
        <w:tc>
          <w:tcPr>
            <w:tcW w:w="516" w:type="pct"/>
            <w:vAlign w:val="center"/>
          </w:tcPr>
          <w:p w14:paraId="592024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机加－精车</w:t>
            </w:r>
          </w:p>
        </w:tc>
        <w:tc>
          <w:tcPr>
            <w:tcW w:w="799" w:type="pct"/>
            <w:vAlign w:val="center"/>
          </w:tcPr>
          <w:p w14:paraId="4765884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液压油</w:t>
            </w:r>
          </w:p>
        </w:tc>
        <w:tc>
          <w:tcPr>
            <w:tcW w:w="641" w:type="pct"/>
            <w:vAlign w:val="center"/>
          </w:tcPr>
          <w:p w14:paraId="4AC07B4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2B6E66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442" w:type="pct"/>
            <w:vAlign w:val="center"/>
          </w:tcPr>
          <w:p w14:paraId="75E64C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0.17</w:t>
            </w:r>
          </w:p>
        </w:tc>
        <w:tc>
          <w:tcPr>
            <w:tcW w:w="267" w:type="pct"/>
            <w:vAlign w:val="center"/>
          </w:tcPr>
          <w:p w14:paraId="14B6A2A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557E1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机修房</w:t>
            </w:r>
          </w:p>
        </w:tc>
        <w:tc>
          <w:tcPr>
            <w:tcW w:w="499" w:type="pct"/>
            <w:vAlign w:val="center"/>
          </w:tcPr>
          <w:p w14:paraId="19A2419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170 KG/桶</w:t>
            </w:r>
          </w:p>
        </w:tc>
      </w:tr>
      <w:tr w14:paraId="6AE5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53B6CD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71390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F13F2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53.</w:t>
            </w:r>
          </w:p>
        </w:tc>
        <w:tc>
          <w:tcPr>
            <w:tcW w:w="516" w:type="pct"/>
            <w:vAlign w:val="center"/>
          </w:tcPr>
          <w:p w14:paraId="116B9F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机加－双头焊</w:t>
            </w:r>
          </w:p>
        </w:tc>
        <w:tc>
          <w:tcPr>
            <w:tcW w:w="799" w:type="pct"/>
            <w:vAlign w:val="center"/>
          </w:tcPr>
          <w:p w14:paraId="0EF2A4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二氧化碳</w:t>
            </w:r>
          </w:p>
        </w:tc>
        <w:tc>
          <w:tcPr>
            <w:tcW w:w="641" w:type="pct"/>
            <w:vAlign w:val="center"/>
          </w:tcPr>
          <w:p w14:paraId="316FB4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84041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2.1</w:t>
            </w:r>
          </w:p>
        </w:tc>
        <w:tc>
          <w:tcPr>
            <w:tcW w:w="442" w:type="pct"/>
            <w:vAlign w:val="center"/>
          </w:tcPr>
          <w:p w14:paraId="35A7DA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w:t>
            </w:r>
          </w:p>
        </w:tc>
        <w:tc>
          <w:tcPr>
            <w:tcW w:w="267" w:type="pct"/>
            <w:vAlign w:val="center"/>
          </w:tcPr>
          <w:p w14:paraId="586AF9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739999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vAlign w:val="center"/>
          </w:tcPr>
          <w:p w14:paraId="6E2BF2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 钢瓶</w:t>
            </w:r>
          </w:p>
        </w:tc>
      </w:tr>
      <w:tr w14:paraId="443F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25043F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71560D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3B0198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54.</w:t>
            </w:r>
          </w:p>
        </w:tc>
        <w:tc>
          <w:tcPr>
            <w:tcW w:w="516" w:type="pct"/>
            <w:vAlign w:val="center"/>
          </w:tcPr>
          <w:p w14:paraId="0A2999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机加－双头焊</w:t>
            </w:r>
          </w:p>
        </w:tc>
        <w:tc>
          <w:tcPr>
            <w:tcW w:w="799" w:type="pct"/>
            <w:vAlign w:val="center"/>
          </w:tcPr>
          <w:p w14:paraId="47C5680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氩气</w:t>
            </w:r>
          </w:p>
        </w:tc>
        <w:tc>
          <w:tcPr>
            <w:tcW w:w="641" w:type="pct"/>
            <w:vAlign w:val="center"/>
          </w:tcPr>
          <w:p w14:paraId="383147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ECD57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6.2</w:t>
            </w:r>
          </w:p>
        </w:tc>
        <w:tc>
          <w:tcPr>
            <w:tcW w:w="442" w:type="pct"/>
            <w:vAlign w:val="center"/>
          </w:tcPr>
          <w:p w14:paraId="30EE25D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w:t>
            </w:r>
          </w:p>
        </w:tc>
        <w:tc>
          <w:tcPr>
            <w:tcW w:w="267" w:type="pct"/>
            <w:vAlign w:val="center"/>
          </w:tcPr>
          <w:p w14:paraId="4E3B93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26CF6F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车间堆放区</w:t>
            </w:r>
          </w:p>
        </w:tc>
        <w:tc>
          <w:tcPr>
            <w:tcW w:w="499" w:type="pct"/>
            <w:vAlign w:val="center"/>
          </w:tcPr>
          <w:p w14:paraId="17926C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40L 钢瓶</w:t>
            </w:r>
          </w:p>
        </w:tc>
      </w:tr>
      <w:tr w14:paraId="159D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8EB69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restart"/>
            <w:vAlign w:val="center"/>
          </w:tcPr>
          <w:p w14:paraId="4FF8EB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电镀线</w:t>
            </w:r>
          </w:p>
        </w:tc>
        <w:tc>
          <w:tcPr>
            <w:tcW w:w="275" w:type="pct"/>
            <w:shd w:val="clear" w:color="auto" w:fill="auto"/>
            <w:vAlign w:val="center"/>
          </w:tcPr>
          <w:p w14:paraId="219173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55.</w:t>
            </w:r>
          </w:p>
        </w:tc>
        <w:tc>
          <w:tcPr>
            <w:tcW w:w="516" w:type="pct"/>
            <w:vAlign w:val="center"/>
          </w:tcPr>
          <w:p w14:paraId="1D80AC6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0DF65F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过滤芯</w:t>
            </w:r>
          </w:p>
        </w:tc>
        <w:tc>
          <w:tcPr>
            <w:tcW w:w="641" w:type="pct"/>
            <w:vAlign w:val="center"/>
          </w:tcPr>
          <w:p w14:paraId="3B2AD9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680184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2000</w:t>
            </w:r>
          </w:p>
        </w:tc>
        <w:tc>
          <w:tcPr>
            <w:tcW w:w="442" w:type="pct"/>
            <w:vAlign w:val="center"/>
          </w:tcPr>
          <w:p w14:paraId="3BED5B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w:t>
            </w:r>
          </w:p>
        </w:tc>
        <w:tc>
          <w:tcPr>
            <w:tcW w:w="267" w:type="pct"/>
            <w:vAlign w:val="center"/>
          </w:tcPr>
          <w:p w14:paraId="151C1B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7C1329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0A367D8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 个/袋</w:t>
            </w:r>
          </w:p>
        </w:tc>
      </w:tr>
      <w:tr w14:paraId="1C83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FDD82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8CA11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9D8CD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56.</w:t>
            </w:r>
          </w:p>
        </w:tc>
        <w:tc>
          <w:tcPr>
            <w:tcW w:w="516" w:type="pct"/>
            <w:vAlign w:val="center"/>
          </w:tcPr>
          <w:p w14:paraId="0C63C7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72192A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活性炭过滤芯</w:t>
            </w:r>
          </w:p>
        </w:tc>
        <w:tc>
          <w:tcPr>
            <w:tcW w:w="641" w:type="pct"/>
            <w:vAlign w:val="center"/>
          </w:tcPr>
          <w:p w14:paraId="1524A2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181585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100</w:t>
            </w:r>
          </w:p>
        </w:tc>
        <w:tc>
          <w:tcPr>
            <w:tcW w:w="442" w:type="pct"/>
            <w:vAlign w:val="center"/>
          </w:tcPr>
          <w:p w14:paraId="5CD83C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w:t>
            </w:r>
          </w:p>
        </w:tc>
        <w:tc>
          <w:tcPr>
            <w:tcW w:w="267" w:type="pct"/>
            <w:vAlign w:val="center"/>
          </w:tcPr>
          <w:p w14:paraId="5BAD92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083C22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6812B1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 个/袋</w:t>
            </w:r>
          </w:p>
        </w:tc>
      </w:tr>
      <w:tr w14:paraId="1223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07B75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D70D2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DEF75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57.</w:t>
            </w:r>
          </w:p>
        </w:tc>
        <w:tc>
          <w:tcPr>
            <w:tcW w:w="516" w:type="pct"/>
            <w:vAlign w:val="center"/>
          </w:tcPr>
          <w:p w14:paraId="6977A48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电镀-研磨</w:t>
            </w:r>
          </w:p>
        </w:tc>
        <w:tc>
          <w:tcPr>
            <w:tcW w:w="799" w:type="pct"/>
            <w:vAlign w:val="center"/>
          </w:tcPr>
          <w:p w14:paraId="355336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金刚石砂轮刀</w:t>
            </w:r>
          </w:p>
        </w:tc>
        <w:tc>
          <w:tcPr>
            <w:tcW w:w="641" w:type="pct"/>
            <w:vAlign w:val="center"/>
          </w:tcPr>
          <w:p w14:paraId="7DDE01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C3734A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80</w:t>
            </w:r>
          </w:p>
        </w:tc>
        <w:tc>
          <w:tcPr>
            <w:tcW w:w="442" w:type="pct"/>
            <w:vAlign w:val="center"/>
          </w:tcPr>
          <w:p w14:paraId="370BEEF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267" w:type="pct"/>
            <w:vAlign w:val="center"/>
          </w:tcPr>
          <w:p w14:paraId="575EB8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7770A8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414575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 个/袋</w:t>
            </w:r>
          </w:p>
        </w:tc>
      </w:tr>
      <w:tr w14:paraId="4191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648A5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DA534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504C3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58.</w:t>
            </w:r>
          </w:p>
        </w:tc>
        <w:tc>
          <w:tcPr>
            <w:tcW w:w="516" w:type="pct"/>
            <w:vAlign w:val="center"/>
          </w:tcPr>
          <w:p w14:paraId="4EAFF5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电镀-钢清洗</w:t>
            </w:r>
          </w:p>
        </w:tc>
        <w:tc>
          <w:tcPr>
            <w:tcW w:w="799" w:type="pct"/>
            <w:vAlign w:val="center"/>
          </w:tcPr>
          <w:p w14:paraId="178BBC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金属清洗剂</w:t>
            </w:r>
          </w:p>
        </w:tc>
        <w:tc>
          <w:tcPr>
            <w:tcW w:w="641" w:type="pct"/>
            <w:vAlign w:val="center"/>
          </w:tcPr>
          <w:p w14:paraId="45FFD80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534" w:type="pct"/>
            <w:vAlign w:val="center"/>
          </w:tcPr>
          <w:p w14:paraId="459313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0.44</w:t>
            </w:r>
          </w:p>
        </w:tc>
        <w:tc>
          <w:tcPr>
            <w:tcW w:w="442" w:type="pct"/>
            <w:vAlign w:val="center"/>
          </w:tcPr>
          <w:p w14:paraId="580FE0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6023BD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77E6FB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D8461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1KG/袋</w:t>
            </w:r>
          </w:p>
        </w:tc>
      </w:tr>
      <w:tr w14:paraId="4238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E6218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9F378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A02086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59.</w:t>
            </w:r>
          </w:p>
        </w:tc>
        <w:tc>
          <w:tcPr>
            <w:tcW w:w="516" w:type="pct"/>
            <w:vAlign w:val="center"/>
          </w:tcPr>
          <w:p w14:paraId="76FDBE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7B86A7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酒精</w:t>
            </w:r>
          </w:p>
        </w:tc>
        <w:tc>
          <w:tcPr>
            <w:tcW w:w="641" w:type="pct"/>
            <w:vAlign w:val="center"/>
          </w:tcPr>
          <w:p w14:paraId="45FAAC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99.8%</w:t>
            </w:r>
          </w:p>
        </w:tc>
        <w:tc>
          <w:tcPr>
            <w:tcW w:w="534" w:type="pct"/>
            <w:vAlign w:val="center"/>
          </w:tcPr>
          <w:p w14:paraId="1E7F6AE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0.78</w:t>
            </w:r>
          </w:p>
        </w:tc>
        <w:tc>
          <w:tcPr>
            <w:tcW w:w="442" w:type="pct"/>
            <w:vAlign w:val="center"/>
          </w:tcPr>
          <w:p w14:paraId="4DF745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0.04</w:t>
            </w:r>
          </w:p>
        </w:tc>
        <w:tc>
          <w:tcPr>
            <w:tcW w:w="267" w:type="pct"/>
            <w:vAlign w:val="center"/>
          </w:tcPr>
          <w:p w14:paraId="00558F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BF14EE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613A0E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59D7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F28D9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B9012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2C0E1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w:t>
            </w:r>
          </w:p>
        </w:tc>
        <w:tc>
          <w:tcPr>
            <w:tcW w:w="516" w:type="pct"/>
            <w:vAlign w:val="center"/>
          </w:tcPr>
          <w:p w14:paraId="357AE5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754ACB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w:t>
            </w:r>
          </w:p>
        </w:tc>
        <w:tc>
          <w:tcPr>
            <w:tcW w:w="641" w:type="pct"/>
            <w:vAlign w:val="center"/>
          </w:tcPr>
          <w:p w14:paraId="7431EB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5327F0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2.341</w:t>
            </w:r>
          </w:p>
        </w:tc>
        <w:tc>
          <w:tcPr>
            <w:tcW w:w="442" w:type="pct"/>
            <w:vAlign w:val="center"/>
          </w:tcPr>
          <w:p w14:paraId="21E28B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0.04</w:t>
            </w:r>
          </w:p>
        </w:tc>
        <w:tc>
          <w:tcPr>
            <w:tcW w:w="267" w:type="pct"/>
            <w:vAlign w:val="center"/>
          </w:tcPr>
          <w:p w14:paraId="0E6AF6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F956B6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609C0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67EB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0813F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E133B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DF48D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w:t>
            </w:r>
          </w:p>
        </w:tc>
        <w:tc>
          <w:tcPr>
            <w:tcW w:w="516" w:type="pct"/>
            <w:vAlign w:val="center"/>
          </w:tcPr>
          <w:p w14:paraId="4EDBC00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3D9A0C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硫酸铜</w:t>
            </w:r>
          </w:p>
        </w:tc>
        <w:tc>
          <w:tcPr>
            <w:tcW w:w="641" w:type="pct"/>
            <w:vAlign w:val="center"/>
          </w:tcPr>
          <w:p w14:paraId="1B58F9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57B0DD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0.3</w:t>
            </w:r>
          </w:p>
        </w:tc>
        <w:tc>
          <w:tcPr>
            <w:tcW w:w="442" w:type="pct"/>
            <w:vAlign w:val="center"/>
          </w:tcPr>
          <w:p w14:paraId="647AA8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5404188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5B97B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BBA663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1D4A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5324B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9CC73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BE11F5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62.</w:t>
            </w:r>
          </w:p>
        </w:tc>
        <w:tc>
          <w:tcPr>
            <w:tcW w:w="516" w:type="pct"/>
            <w:vAlign w:val="center"/>
          </w:tcPr>
          <w:p w14:paraId="6C2595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电镀-碱铜</w:t>
            </w:r>
          </w:p>
        </w:tc>
        <w:tc>
          <w:tcPr>
            <w:tcW w:w="799" w:type="pct"/>
            <w:vAlign w:val="center"/>
          </w:tcPr>
          <w:p w14:paraId="7006DD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硼酸</w:t>
            </w:r>
          </w:p>
        </w:tc>
        <w:tc>
          <w:tcPr>
            <w:tcW w:w="641" w:type="pct"/>
            <w:vAlign w:val="center"/>
          </w:tcPr>
          <w:p w14:paraId="5CD296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45C1E4D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0.101</w:t>
            </w:r>
          </w:p>
        </w:tc>
        <w:tc>
          <w:tcPr>
            <w:tcW w:w="442" w:type="pct"/>
            <w:vAlign w:val="center"/>
          </w:tcPr>
          <w:p w14:paraId="1AA56E9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0.025</w:t>
            </w:r>
          </w:p>
        </w:tc>
        <w:tc>
          <w:tcPr>
            <w:tcW w:w="267" w:type="pct"/>
            <w:vAlign w:val="center"/>
          </w:tcPr>
          <w:p w14:paraId="1C5A02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5D0D23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F3590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0D4D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14" w:type="pct"/>
            <w:vMerge w:val="continue"/>
            <w:vAlign w:val="center"/>
          </w:tcPr>
          <w:p w14:paraId="685B9F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35010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A04C0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63.</w:t>
            </w:r>
          </w:p>
        </w:tc>
        <w:tc>
          <w:tcPr>
            <w:tcW w:w="516" w:type="pct"/>
            <w:vAlign w:val="center"/>
          </w:tcPr>
          <w:p w14:paraId="0791D9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36716D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23A7A9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K- 1#</w:t>
            </w:r>
          </w:p>
        </w:tc>
        <w:tc>
          <w:tcPr>
            <w:tcW w:w="534" w:type="pct"/>
            <w:vAlign w:val="center"/>
          </w:tcPr>
          <w:p w14:paraId="053A143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0.745</w:t>
            </w:r>
          </w:p>
        </w:tc>
        <w:tc>
          <w:tcPr>
            <w:tcW w:w="442" w:type="pct"/>
            <w:vAlign w:val="center"/>
          </w:tcPr>
          <w:p w14:paraId="30EAF0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267" w:type="pct"/>
            <w:vAlign w:val="center"/>
          </w:tcPr>
          <w:p w14:paraId="14572D8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8EA94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6DC95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C4F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14" w:type="pct"/>
            <w:vMerge w:val="continue"/>
            <w:vAlign w:val="center"/>
          </w:tcPr>
          <w:p w14:paraId="6F4FA2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BED5E0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4AA57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64.</w:t>
            </w:r>
          </w:p>
        </w:tc>
        <w:tc>
          <w:tcPr>
            <w:tcW w:w="516" w:type="pct"/>
            <w:vAlign w:val="center"/>
          </w:tcPr>
          <w:p w14:paraId="230C43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0AB2F3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098FA9C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K-2#</w:t>
            </w:r>
          </w:p>
        </w:tc>
        <w:tc>
          <w:tcPr>
            <w:tcW w:w="534" w:type="pct"/>
            <w:vAlign w:val="center"/>
          </w:tcPr>
          <w:p w14:paraId="75E3EA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0.149</w:t>
            </w:r>
          </w:p>
        </w:tc>
        <w:tc>
          <w:tcPr>
            <w:tcW w:w="442" w:type="pct"/>
            <w:vAlign w:val="center"/>
          </w:tcPr>
          <w:p w14:paraId="13F69A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739363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E1926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049675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3B08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6A05DB6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B6F97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5A577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65.</w:t>
            </w:r>
          </w:p>
        </w:tc>
        <w:tc>
          <w:tcPr>
            <w:tcW w:w="516" w:type="pct"/>
            <w:vAlign w:val="center"/>
          </w:tcPr>
          <w:p w14:paraId="33412B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电镀-研磨</w:t>
            </w:r>
          </w:p>
        </w:tc>
        <w:tc>
          <w:tcPr>
            <w:tcW w:w="799" w:type="pct"/>
            <w:vAlign w:val="center"/>
          </w:tcPr>
          <w:p w14:paraId="1FA24B5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砂轮</w:t>
            </w:r>
          </w:p>
        </w:tc>
        <w:tc>
          <w:tcPr>
            <w:tcW w:w="641" w:type="pct"/>
            <w:vAlign w:val="center"/>
          </w:tcPr>
          <w:p w14:paraId="78EE5F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6513F4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1419</w:t>
            </w:r>
          </w:p>
        </w:tc>
        <w:tc>
          <w:tcPr>
            <w:tcW w:w="442" w:type="pct"/>
            <w:vAlign w:val="center"/>
          </w:tcPr>
          <w:p w14:paraId="374B6C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w:t>
            </w:r>
          </w:p>
        </w:tc>
        <w:tc>
          <w:tcPr>
            <w:tcW w:w="267" w:type="pct"/>
            <w:vAlign w:val="center"/>
          </w:tcPr>
          <w:p w14:paraId="78BB86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个</w:t>
            </w:r>
          </w:p>
        </w:tc>
        <w:tc>
          <w:tcPr>
            <w:tcW w:w="588" w:type="pct"/>
            <w:vAlign w:val="center"/>
          </w:tcPr>
          <w:p w14:paraId="2F16ACD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4B86C3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 个/袋</w:t>
            </w:r>
          </w:p>
        </w:tc>
      </w:tr>
      <w:tr w14:paraId="4132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2C5E08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C743A9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596BC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66.</w:t>
            </w:r>
          </w:p>
        </w:tc>
        <w:tc>
          <w:tcPr>
            <w:tcW w:w="516" w:type="pct"/>
            <w:vAlign w:val="center"/>
          </w:tcPr>
          <w:p w14:paraId="581B518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电镀-研磨</w:t>
            </w:r>
          </w:p>
        </w:tc>
        <w:tc>
          <w:tcPr>
            <w:tcW w:w="799" w:type="pct"/>
            <w:vAlign w:val="center"/>
          </w:tcPr>
          <w:p w14:paraId="587125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铜层清洗剂</w:t>
            </w:r>
          </w:p>
        </w:tc>
        <w:tc>
          <w:tcPr>
            <w:tcW w:w="641" w:type="pct"/>
            <w:vAlign w:val="center"/>
          </w:tcPr>
          <w:p w14:paraId="411BE8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5F618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vAlign w:val="center"/>
          </w:tcPr>
          <w:p w14:paraId="75A1896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648F1B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089E6E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8642C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65C7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F04594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0D1F39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34643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67.</w:t>
            </w:r>
          </w:p>
        </w:tc>
        <w:tc>
          <w:tcPr>
            <w:tcW w:w="516" w:type="pct"/>
            <w:vAlign w:val="center"/>
          </w:tcPr>
          <w:p w14:paraId="7867A20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电镀-研磨</w:t>
            </w:r>
          </w:p>
        </w:tc>
        <w:tc>
          <w:tcPr>
            <w:tcW w:w="799" w:type="pct"/>
            <w:vAlign w:val="center"/>
          </w:tcPr>
          <w:p w14:paraId="0EB052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铜抛光砂带</w:t>
            </w:r>
          </w:p>
        </w:tc>
        <w:tc>
          <w:tcPr>
            <w:tcW w:w="641" w:type="pct"/>
            <w:vAlign w:val="center"/>
          </w:tcPr>
          <w:p w14:paraId="0F0C7EE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28E5CB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442" w:type="pct"/>
            <w:vAlign w:val="center"/>
          </w:tcPr>
          <w:p w14:paraId="2D30F0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7B65E9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卷</w:t>
            </w:r>
          </w:p>
        </w:tc>
        <w:tc>
          <w:tcPr>
            <w:tcW w:w="588" w:type="pct"/>
            <w:vAlign w:val="center"/>
          </w:tcPr>
          <w:p w14:paraId="187BDA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184662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50m/卷</w:t>
            </w:r>
          </w:p>
        </w:tc>
      </w:tr>
      <w:tr w14:paraId="6326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6BB4E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211C6C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EF719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68.</w:t>
            </w:r>
          </w:p>
        </w:tc>
        <w:tc>
          <w:tcPr>
            <w:tcW w:w="516" w:type="pct"/>
            <w:vAlign w:val="center"/>
          </w:tcPr>
          <w:p w14:paraId="738EB2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电镀-碱铜</w:t>
            </w:r>
          </w:p>
        </w:tc>
        <w:tc>
          <w:tcPr>
            <w:tcW w:w="799" w:type="pct"/>
            <w:vAlign w:val="center"/>
          </w:tcPr>
          <w:p w14:paraId="15D046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7C39B3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RC-CU200B</w:t>
            </w:r>
          </w:p>
        </w:tc>
        <w:tc>
          <w:tcPr>
            <w:tcW w:w="534" w:type="pct"/>
            <w:vAlign w:val="center"/>
          </w:tcPr>
          <w:p w14:paraId="7DCBC72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442" w:type="pct"/>
            <w:vAlign w:val="center"/>
          </w:tcPr>
          <w:p w14:paraId="59E2AE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1F5DE3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28A325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713D92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804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6C451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C4E0B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A01A6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69.</w:t>
            </w:r>
          </w:p>
        </w:tc>
        <w:tc>
          <w:tcPr>
            <w:tcW w:w="516" w:type="pct"/>
            <w:vAlign w:val="center"/>
          </w:tcPr>
          <w:p w14:paraId="5C34BC3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电镀-碱铜</w:t>
            </w:r>
          </w:p>
        </w:tc>
        <w:tc>
          <w:tcPr>
            <w:tcW w:w="799" w:type="pct"/>
            <w:vAlign w:val="center"/>
          </w:tcPr>
          <w:p w14:paraId="7B77DC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铜添加剂</w:t>
            </w:r>
          </w:p>
        </w:tc>
        <w:tc>
          <w:tcPr>
            <w:tcW w:w="641" w:type="pct"/>
            <w:vAlign w:val="center"/>
          </w:tcPr>
          <w:p w14:paraId="364893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RC-CU200C</w:t>
            </w:r>
          </w:p>
        </w:tc>
        <w:tc>
          <w:tcPr>
            <w:tcW w:w="534" w:type="pct"/>
            <w:vAlign w:val="center"/>
          </w:tcPr>
          <w:p w14:paraId="59F1F53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442" w:type="pct"/>
            <w:vAlign w:val="center"/>
          </w:tcPr>
          <w:p w14:paraId="28CCF5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04ABB3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5D0F4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10A65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60AE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9C597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831FD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F8F9BF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70.</w:t>
            </w:r>
          </w:p>
        </w:tc>
        <w:tc>
          <w:tcPr>
            <w:tcW w:w="516" w:type="pct"/>
            <w:vAlign w:val="center"/>
          </w:tcPr>
          <w:p w14:paraId="40034E2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324D3B4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盐酸</w:t>
            </w:r>
          </w:p>
        </w:tc>
        <w:tc>
          <w:tcPr>
            <w:tcW w:w="641" w:type="pct"/>
            <w:vAlign w:val="center"/>
          </w:tcPr>
          <w:p w14:paraId="361DD1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35%-37%</w:t>
            </w:r>
          </w:p>
        </w:tc>
        <w:tc>
          <w:tcPr>
            <w:tcW w:w="534" w:type="pct"/>
            <w:vAlign w:val="center"/>
          </w:tcPr>
          <w:p w14:paraId="25DDC3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21</w:t>
            </w:r>
          </w:p>
        </w:tc>
        <w:tc>
          <w:tcPr>
            <w:tcW w:w="442" w:type="pct"/>
            <w:vAlign w:val="center"/>
          </w:tcPr>
          <w:p w14:paraId="62B665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267" w:type="pct"/>
            <w:vAlign w:val="center"/>
          </w:tcPr>
          <w:p w14:paraId="24DF99F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瓶</w:t>
            </w:r>
          </w:p>
        </w:tc>
        <w:tc>
          <w:tcPr>
            <w:tcW w:w="588" w:type="pct"/>
            <w:vAlign w:val="center"/>
          </w:tcPr>
          <w:p w14:paraId="2AB921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12E916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4737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886DA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3880A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1126D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71.</w:t>
            </w:r>
          </w:p>
        </w:tc>
        <w:tc>
          <w:tcPr>
            <w:tcW w:w="516" w:type="pct"/>
            <w:vAlign w:val="center"/>
          </w:tcPr>
          <w:p w14:paraId="1E2E69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电镀-镀铜</w:t>
            </w:r>
          </w:p>
        </w:tc>
        <w:tc>
          <w:tcPr>
            <w:tcW w:w="799" w:type="pct"/>
            <w:vAlign w:val="center"/>
          </w:tcPr>
          <w:p w14:paraId="613CD6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铜角</w:t>
            </w:r>
          </w:p>
        </w:tc>
        <w:tc>
          <w:tcPr>
            <w:tcW w:w="641" w:type="pct"/>
            <w:vAlign w:val="center"/>
          </w:tcPr>
          <w:p w14:paraId="661BC2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99.99%</w:t>
            </w:r>
          </w:p>
        </w:tc>
        <w:tc>
          <w:tcPr>
            <w:tcW w:w="534" w:type="pct"/>
            <w:vAlign w:val="center"/>
          </w:tcPr>
          <w:p w14:paraId="407993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442" w:type="pct"/>
            <w:vAlign w:val="center"/>
          </w:tcPr>
          <w:p w14:paraId="43BACC6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267" w:type="pct"/>
            <w:vAlign w:val="center"/>
          </w:tcPr>
          <w:p w14:paraId="04ADA1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39F6E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373014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25KG/箱</w:t>
            </w:r>
          </w:p>
        </w:tc>
      </w:tr>
      <w:tr w14:paraId="0ED5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3E1916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restart"/>
            <w:vAlign w:val="center"/>
          </w:tcPr>
          <w:p w14:paraId="015B62F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新科线</w:t>
            </w:r>
          </w:p>
        </w:tc>
        <w:tc>
          <w:tcPr>
            <w:tcW w:w="275" w:type="pct"/>
            <w:shd w:val="clear" w:color="auto" w:fill="auto"/>
            <w:vAlign w:val="center"/>
          </w:tcPr>
          <w:p w14:paraId="4D57ECE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72.</w:t>
            </w:r>
          </w:p>
        </w:tc>
        <w:tc>
          <w:tcPr>
            <w:tcW w:w="516" w:type="pct"/>
            <w:vAlign w:val="center"/>
          </w:tcPr>
          <w:p w14:paraId="54282B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新科-感光</w:t>
            </w:r>
          </w:p>
        </w:tc>
        <w:tc>
          <w:tcPr>
            <w:tcW w:w="799" w:type="pct"/>
            <w:vAlign w:val="center"/>
          </w:tcPr>
          <w:p w14:paraId="38198D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感光液</w:t>
            </w:r>
          </w:p>
        </w:tc>
        <w:tc>
          <w:tcPr>
            <w:tcW w:w="641" w:type="pct"/>
            <w:vAlign w:val="center"/>
          </w:tcPr>
          <w:p w14:paraId="288865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2709A6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442" w:type="pct"/>
            <w:vAlign w:val="center"/>
          </w:tcPr>
          <w:p w14:paraId="68D33E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1DC58F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838AE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51879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10L/桶</w:t>
            </w:r>
          </w:p>
        </w:tc>
      </w:tr>
      <w:tr w14:paraId="476B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163AD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537831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F9307A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73.</w:t>
            </w:r>
          </w:p>
        </w:tc>
        <w:tc>
          <w:tcPr>
            <w:tcW w:w="516" w:type="pct"/>
            <w:vAlign w:val="center"/>
          </w:tcPr>
          <w:p w14:paraId="510710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新科-显影</w:t>
            </w:r>
          </w:p>
        </w:tc>
        <w:tc>
          <w:tcPr>
            <w:tcW w:w="799" w:type="pct"/>
            <w:vAlign w:val="center"/>
          </w:tcPr>
          <w:p w14:paraId="116E43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显影液</w:t>
            </w:r>
          </w:p>
        </w:tc>
        <w:tc>
          <w:tcPr>
            <w:tcW w:w="641" w:type="pct"/>
            <w:vAlign w:val="center"/>
          </w:tcPr>
          <w:p w14:paraId="638185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74477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442" w:type="pct"/>
            <w:vAlign w:val="center"/>
          </w:tcPr>
          <w:p w14:paraId="6CEAF8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357921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603493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5700F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187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306C47F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ADAD81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56CFD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74.</w:t>
            </w:r>
          </w:p>
        </w:tc>
        <w:tc>
          <w:tcPr>
            <w:tcW w:w="516" w:type="pct"/>
            <w:vAlign w:val="center"/>
          </w:tcPr>
          <w:p w14:paraId="1A3C26E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新科-腐蚀</w:t>
            </w:r>
          </w:p>
        </w:tc>
        <w:tc>
          <w:tcPr>
            <w:tcW w:w="799" w:type="pct"/>
            <w:vAlign w:val="center"/>
          </w:tcPr>
          <w:p w14:paraId="775610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氯化铜</w:t>
            </w:r>
          </w:p>
        </w:tc>
        <w:tc>
          <w:tcPr>
            <w:tcW w:w="641" w:type="pct"/>
            <w:vAlign w:val="center"/>
          </w:tcPr>
          <w:p w14:paraId="58EF4F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8DEA2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w:t>
            </w:r>
          </w:p>
        </w:tc>
        <w:tc>
          <w:tcPr>
            <w:tcW w:w="442" w:type="pct"/>
            <w:vAlign w:val="center"/>
          </w:tcPr>
          <w:p w14:paraId="4D60FD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w:t>
            </w:r>
          </w:p>
        </w:tc>
        <w:tc>
          <w:tcPr>
            <w:tcW w:w="267" w:type="pct"/>
            <w:vAlign w:val="center"/>
          </w:tcPr>
          <w:p w14:paraId="19B8D53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E42FEB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D180B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300B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1C21A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54D2C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0A03E6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75.</w:t>
            </w:r>
          </w:p>
        </w:tc>
        <w:tc>
          <w:tcPr>
            <w:tcW w:w="516" w:type="pct"/>
            <w:vAlign w:val="center"/>
          </w:tcPr>
          <w:p w14:paraId="0B2B2B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492EE56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铬抛光砂带</w:t>
            </w:r>
          </w:p>
        </w:tc>
        <w:tc>
          <w:tcPr>
            <w:tcW w:w="641" w:type="pct"/>
            <w:vAlign w:val="center"/>
          </w:tcPr>
          <w:p w14:paraId="0CA233D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B0BA2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216</w:t>
            </w:r>
          </w:p>
        </w:tc>
        <w:tc>
          <w:tcPr>
            <w:tcW w:w="442" w:type="pct"/>
            <w:vAlign w:val="center"/>
          </w:tcPr>
          <w:p w14:paraId="1D5A9B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w:t>
            </w:r>
          </w:p>
        </w:tc>
        <w:tc>
          <w:tcPr>
            <w:tcW w:w="267" w:type="pct"/>
            <w:vAlign w:val="center"/>
          </w:tcPr>
          <w:p w14:paraId="6D6589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卷</w:t>
            </w:r>
          </w:p>
        </w:tc>
        <w:tc>
          <w:tcPr>
            <w:tcW w:w="588" w:type="pct"/>
            <w:vAlign w:val="center"/>
          </w:tcPr>
          <w:p w14:paraId="719E63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原辅料仓库</w:t>
            </w:r>
          </w:p>
        </w:tc>
        <w:tc>
          <w:tcPr>
            <w:tcW w:w="499" w:type="pct"/>
            <w:vAlign w:val="center"/>
          </w:tcPr>
          <w:p w14:paraId="093F59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50m/卷</w:t>
            </w:r>
          </w:p>
        </w:tc>
      </w:tr>
      <w:tr w14:paraId="1597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321B0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2308A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BC55F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76.</w:t>
            </w:r>
          </w:p>
        </w:tc>
        <w:tc>
          <w:tcPr>
            <w:tcW w:w="516" w:type="pct"/>
            <w:vAlign w:val="center"/>
          </w:tcPr>
          <w:p w14:paraId="10BF47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03F612C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铬酐</w:t>
            </w:r>
          </w:p>
        </w:tc>
        <w:tc>
          <w:tcPr>
            <w:tcW w:w="641" w:type="pct"/>
            <w:vAlign w:val="center"/>
          </w:tcPr>
          <w:p w14:paraId="60FC53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FF0E8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w:t>
            </w:r>
          </w:p>
        </w:tc>
        <w:tc>
          <w:tcPr>
            <w:tcW w:w="442" w:type="pct"/>
            <w:vAlign w:val="center"/>
          </w:tcPr>
          <w:p w14:paraId="09E3061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0.3</w:t>
            </w:r>
          </w:p>
        </w:tc>
        <w:tc>
          <w:tcPr>
            <w:tcW w:w="267" w:type="pct"/>
            <w:vAlign w:val="center"/>
          </w:tcPr>
          <w:p w14:paraId="41AEBA6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12A06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61D8B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1264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A5B2B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F0F91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44417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77.</w:t>
            </w:r>
          </w:p>
        </w:tc>
        <w:tc>
          <w:tcPr>
            <w:tcW w:w="516" w:type="pct"/>
            <w:vAlign w:val="center"/>
          </w:tcPr>
          <w:p w14:paraId="771DCA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4A500B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铬雾抑制剂</w:t>
            </w:r>
          </w:p>
        </w:tc>
        <w:tc>
          <w:tcPr>
            <w:tcW w:w="641" w:type="pct"/>
            <w:vAlign w:val="center"/>
          </w:tcPr>
          <w:p w14:paraId="51E0D2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0DDEC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0.15</w:t>
            </w:r>
          </w:p>
        </w:tc>
        <w:tc>
          <w:tcPr>
            <w:tcW w:w="442" w:type="pct"/>
            <w:vAlign w:val="center"/>
          </w:tcPr>
          <w:p w14:paraId="5E759E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0.025</w:t>
            </w:r>
          </w:p>
        </w:tc>
        <w:tc>
          <w:tcPr>
            <w:tcW w:w="267" w:type="pct"/>
            <w:vAlign w:val="center"/>
          </w:tcPr>
          <w:p w14:paraId="73DB68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F4813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443DEE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25KG/桶</w:t>
            </w:r>
          </w:p>
        </w:tc>
      </w:tr>
      <w:tr w14:paraId="50E8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214" w:type="pct"/>
            <w:vMerge w:val="continue"/>
            <w:vAlign w:val="center"/>
          </w:tcPr>
          <w:p w14:paraId="73ECFE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7E3D4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020A9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78.</w:t>
            </w:r>
          </w:p>
        </w:tc>
        <w:tc>
          <w:tcPr>
            <w:tcW w:w="516" w:type="pct"/>
            <w:vAlign w:val="center"/>
          </w:tcPr>
          <w:p w14:paraId="66F71A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新科-超声波清洗</w:t>
            </w:r>
          </w:p>
        </w:tc>
        <w:tc>
          <w:tcPr>
            <w:tcW w:w="799" w:type="pct"/>
            <w:vAlign w:val="center"/>
          </w:tcPr>
          <w:p w14:paraId="1C9D662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超声波清洗剂</w:t>
            </w:r>
          </w:p>
        </w:tc>
        <w:tc>
          <w:tcPr>
            <w:tcW w:w="641" w:type="pct"/>
            <w:vAlign w:val="center"/>
          </w:tcPr>
          <w:p w14:paraId="4E90ADD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A6228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vAlign w:val="center"/>
          </w:tcPr>
          <w:p w14:paraId="231226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15AB92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A1E06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B0224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3D05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214" w:type="pct"/>
            <w:vMerge w:val="continue"/>
            <w:vAlign w:val="center"/>
          </w:tcPr>
          <w:p w14:paraId="2790AA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8F771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59B265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79.</w:t>
            </w:r>
          </w:p>
        </w:tc>
        <w:tc>
          <w:tcPr>
            <w:tcW w:w="516" w:type="pct"/>
            <w:vAlign w:val="center"/>
          </w:tcPr>
          <w:p w14:paraId="5EA638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新科－清洗版面</w:t>
            </w:r>
          </w:p>
        </w:tc>
        <w:tc>
          <w:tcPr>
            <w:tcW w:w="799" w:type="pct"/>
            <w:vAlign w:val="center"/>
          </w:tcPr>
          <w:p w14:paraId="4296943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乙酸乙酯</w:t>
            </w:r>
          </w:p>
        </w:tc>
        <w:tc>
          <w:tcPr>
            <w:tcW w:w="641" w:type="pct"/>
            <w:vAlign w:val="center"/>
          </w:tcPr>
          <w:p w14:paraId="6529DD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B4996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442" w:type="pct"/>
            <w:vAlign w:val="center"/>
          </w:tcPr>
          <w:p w14:paraId="07DC868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2BB04B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7F620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59D7BC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48F0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77A676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784178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70D44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80.</w:t>
            </w:r>
          </w:p>
        </w:tc>
        <w:tc>
          <w:tcPr>
            <w:tcW w:w="516" w:type="pct"/>
            <w:vAlign w:val="center"/>
          </w:tcPr>
          <w:p w14:paraId="2D42956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52049AB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铬添加剂</w:t>
            </w:r>
          </w:p>
        </w:tc>
        <w:tc>
          <w:tcPr>
            <w:tcW w:w="641" w:type="pct"/>
            <w:vAlign w:val="center"/>
          </w:tcPr>
          <w:p w14:paraId="1353EB7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38A48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0.1</w:t>
            </w:r>
          </w:p>
        </w:tc>
        <w:tc>
          <w:tcPr>
            <w:tcW w:w="442" w:type="pct"/>
            <w:vAlign w:val="center"/>
          </w:tcPr>
          <w:p w14:paraId="513351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565A2F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27C85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01DCE4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4F46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5F6E0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EC32F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BA920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81.</w:t>
            </w:r>
          </w:p>
        </w:tc>
        <w:tc>
          <w:tcPr>
            <w:tcW w:w="516" w:type="pct"/>
            <w:vAlign w:val="center"/>
          </w:tcPr>
          <w:p w14:paraId="355724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新科－退修</w:t>
            </w:r>
          </w:p>
        </w:tc>
        <w:tc>
          <w:tcPr>
            <w:tcW w:w="799" w:type="pct"/>
            <w:vAlign w:val="center"/>
          </w:tcPr>
          <w:p w14:paraId="7FE79C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氢氧化钠</w:t>
            </w:r>
          </w:p>
        </w:tc>
        <w:tc>
          <w:tcPr>
            <w:tcW w:w="641" w:type="pct"/>
            <w:vAlign w:val="center"/>
          </w:tcPr>
          <w:p w14:paraId="67E58D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57005D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442" w:type="pct"/>
            <w:vAlign w:val="center"/>
          </w:tcPr>
          <w:p w14:paraId="65699B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47D25C0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9599C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64C7F8B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5241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D4559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A29AE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260C0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82.</w:t>
            </w:r>
          </w:p>
        </w:tc>
        <w:tc>
          <w:tcPr>
            <w:tcW w:w="516" w:type="pct"/>
            <w:vAlign w:val="center"/>
          </w:tcPr>
          <w:p w14:paraId="3008C0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新科-脱脂</w:t>
            </w:r>
          </w:p>
        </w:tc>
        <w:tc>
          <w:tcPr>
            <w:tcW w:w="799" w:type="pct"/>
            <w:vAlign w:val="center"/>
          </w:tcPr>
          <w:p w14:paraId="21A31C4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脱脂剂</w:t>
            </w:r>
          </w:p>
        </w:tc>
        <w:tc>
          <w:tcPr>
            <w:tcW w:w="641" w:type="pct"/>
            <w:vAlign w:val="center"/>
          </w:tcPr>
          <w:p w14:paraId="7691D0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C1FB61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442" w:type="pct"/>
            <w:vAlign w:val="center"/>
          </w:tcPr>
          <w:p w14:paraId="312CA0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5DE1C30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55E8B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30D9D88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76E5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F56CD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270846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48878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83.</w:t>
            </w:r>
          </w:p>
        </w:tc>
        <w:tc>
          <w:tcPr>
            <w:tcW w:w="516" w:type="pct"/>
            <w:vAlign w:val="center"/>
          </w:tcPr>
          <w:p w14:paraId="7171CE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70040D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双氧水</w:t>
            </w:r>
          </w:p>
        </w:tc>
        <w:tc>
          <w:tcPr>
            <w:tcW w:w="641" w:type="pct"/>
            <w:vAlign w:val="center"/>
          </w:tcPr>
          <w:p w14:paraId="051711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49DDFB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0.6</w:t>
            </w:r>
          </w:p>
        </w:tc>
        <w:tc>
          <w:tcPr>
            <w:tcW w:w="442" w:type="pct"/>
            <w:vAlign w:val="center"/>
          </w:tcPr>
          <w:p w14:paraId="5C756F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4407AD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B9821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危化品防爆柜</w:t>
            </w:r>
          </w:p>
        </w:tc>
        <w:tc>
          <w:tcPr>
            <w:tcW w:w="499" w:type="pct"/>
            <w:vAlign w:val="center"/>
          </w:tcPr>
          <w:p w14:paraId="56F0FA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62A9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1248C9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CAB285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69823D9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84.</w:t>
            </w:r>
          </w:p>
        </w:tc>
        <w:tc>
          <w:tcPr>
            <w:tcW w:w="516" w:type="pct"/>
            <w:vAlign w:val="center"/>
          </w:tcPr>
          <w:p w14:paraId="0BFB7D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新科－镀铬</w:t>
            </w:r>
          </w:p>
        </w:tc>
        <w:tc>
          <w:tcPr>
            <w:tcW w:w="799" w:type="pct"/>
            <w:vAlign w:val="center"/>
          </w:tcPr>
          <w:p w14:paraId="1DEE98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w:t>
            </w:r>
          </w:p>
        </w:tc>
        <w:tc>
          <w:tcPr>
            <w:tcW w:w="641" w:type="pct"/>
            <w:vAlign w:val="center"/>
          </w:tcPr>
          <w:p w14:paraId="40599C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w:t>
            </w:r>
          </w:p>
        </w:tc>
        <w:tc>
          <w:tcPr>
            <w:tcW w:w="534" w:type="pct"/>
            <w:vAlign w:val="center"/>
          </w:tcPr>
          <w:p w14:paraId="29C6B8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0.8</w:t>
            </w:r>
          </w:p>
        </w:tc>
        <w:tc>
          <w:tcPr>
            <w:tcW w:w="442" w:type="pct"/>
            <w:vAlign w:val="center"/>
          </w:tcPr>
          <w:p w14:paraId="5EBDD4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283867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728EA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2E915C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20KG/桶</w:t>
            </w:r>
          </w:p>
        </w:tc>
      </w:tr>
      <w:tr w14:paraId="2F18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48BCECB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10A90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EED9B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85.</w:t>
            </w:r>
          </w:p>
        </w:tc>
        <w:tc>
          <w:tcPr>
            <w:tcW w:w="516" w:type="pct"/>
            <w:vAlign w:val="center"/>
          </w:tcPr>
          <w:p w14:paraId="16CAF41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新科-挂胶机</w:t>
            </w:r>
          </w:p>
        </w:tc>
        <w:tc>
          <w:tcPr>
            <w:tcW w:w="799" w:type="pct"/>
            <w:vAlign w:val="center"/>
          </w:tcPr>
          <w:p w14:paraId="036416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异丙醇</w:t>
            </w:r>
          </w:p>
        </w:tc>
        <w:tc>
          <w:tcPr>
            <w:tcW w:w="641" w:type="pct"/>
            <w:vAlign w:val="center"/>
          </w:tcPr>
          <w:p w14:paraId="6758CD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34" w:type="pct"/>
            <w:vAlign w:val="center"/>
          </w:tcPr>
          <w:p w14:paraId="55C30AE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442" w:type="pct"/>
            <w:vAlign w:val="center"/>
          </w:tcPr>
          <w:p w14:paraId="74636A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35AB1F2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58E7FA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525E11A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4C09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77034AD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BE2EE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D500D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86.</w:t>
            </w:r>
          </w:p>
        </w:tc>
        <w:tc>
          <w:tcPr>
            <w:tcW w:w="516" w:type="pct"/>
            <w:vAlign w:val="center"/>
          </w:tcPr>
          <w:p w14:paraId="2B2940D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打样</w:t>
            </w:r>
          </w:p>
        </w:tc>
        <w:tc>
          <w:tcPr>
            <w:tcW w:w="799" w:type="pct"/>
            <w:vAlign w:val="center"/>
          </w:tcPr>
          <w:p w14:paraId="140F21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水性油墨</w:t>
            </w:r>
          </w:p>
        </w:tc>
        <w:tc>
          <w:tcPr>
            <w:tcW w:w="641" w:type="pct"/>
            <w:vAlign w:val="center"/>
          </w:tcPr>
          <w:p w14:paraId="1B1E63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0948F9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0.85</w:t>
            </w:r>
          </w:p>
        </w:tc>
        <w:tc>
          <w:tcPr>
            <w:tcW w:w="442" w:type="pct"/>
            <w:vAlign w:val="center"/>
          </w:tcPr>
          <w:p w14:paraId="69226C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0.01</w:t>
            </w:r>
          </w:p>
        </w:tc>
        <w:tc>
          <w:tcPr>
            <w:tcW w:w="267" w:type="pct"/>
            <w:vAlign w:val="center"/>
          </w:tcPr>
          <w:p w14:paraId="2AFA94C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FF9A0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危化品仓库</w:t>
            </w:r>
          </w:p>
        </w:tc>
        <w:tc>
          <w:tcPr>
            <w:tcW w:w="499" w:type="pct"/>
            <w:vAlign w:val="center"/>
          </w:tcPr>
          <w:p w14:paraId="1A76932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6874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214" w:type="pct"/>
            <w:vMerge w:val="continue"/>
            <w:vAlign w:val="center"/>
          </w:tcPr>
          <w:p w14:paraId="2E77C6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restart"/>
            <w:vAlign w:val="center"/>
          </w:tcPr>
          <w:p w14:paraId="5CB5AD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水处理</w:t>
            </w:r>
          </w:p>
        </w:tc>
        <w:tc>
          <w:tcPr>
            <w:tcW w:w="275" w:type="pct"/>
            <w:shd w:val="clear" w:color="auto" w:fill="auto"/>
            <w:vAlign w:val="center"/>
          </w:tcPr>
          <w:p w14:paraId="1A63A6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87.</w:t>
            </w:r>
          </w:p>
        </w:tc>
        <w:tc>
          <w:tcPr>
            <w:tcW w:w="516" w:type="pct"/>
            <w:vAlign w:val="center"/>
          </w:tcPr>
          <w:p w14:paraId="6C5B29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水处理</w:t>
            </w:r>
          </w:p>
        </w:tc>
        <w:tc>
          <w:tcPr>
            <w:tcW w:w="799" w:type="pct"/>
            <w:vAlign w:val="center"/>
          </w:tcPr>
          <w:p w14:paraId="16C5E5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聚合氯化铝</w:t>
            </w:r>
          </w:p>
        </w:tc>
        <w:tc>
          <w:tcPr>
            <w:tcW w:w="641" w:type="pct"/>
            <w:vAlign w:val="center"/>
          </w:tcPr>
          <w:p w14:paraId="259860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FFB46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442" w:type="pct"/>
            <w:vAlign w:val="center"/>
          </w:tcPr>
          <w:p w14:paraId="7D8FC3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267" w:type="pct"/>
            <w:vAlign w:val="center"/>
          </w:tcPr>
          <w:p w14:paraId="4BF655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353B48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污水处理站</w:t>
            </w:r>
          </w:p>
        </w:tc>
        <w:tc>
          <w:tcPr>
            <w:tcW w:w="499" w:type="pct"/>
            <w:vAlign w:val="center"/>
          </w:tcPr>
          <w:p w14:paraId="1D97E8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5E09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14" w:type="pct"/>
            <w:vMerge w:val="continue"/>
            <w:vAlign w:val="center"/>
          </w:tcPr>
          <w:p w14:paraId="37C2E0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20A887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C243E0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88.</w:t>
            </w:r>
          </w:p>
        </w:tc>
        <w:tc>
          <w:tcPr>
            <w:tcW w:w="516" w:type="pct"/>
            <w:vAlign w:val="center"/>
          </w:tcPr>
          <w:p w14:paraId="5D078C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水处理</w:t>
            </w:r>
          </w:p>
        </w:tc>
        <w:tc>
          <w:tcPr>
            <w:tcW w:w="799" w:type="pct"/>
            <w:vAlign w:val="center"/>
          </w:tcPr>
          <w:p w14:paraId="6BC22E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聚丙烯酰胺</w:t>
            </w:r>
          </w:p>
        </w:tc>
        <w:tc>
          <w:tcPr>
            <w:tcW w:w="641" w:type="pct"/>
            <w:vAlign w:val="center"/>
          </w:tcPr>
          <w:p w14:paraId="0C29C2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7A2265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0. 1</w:t>
            </w:r>
          </w:p>
        </w:tc>
        <w:tc>
          <w:tcPr>
            <w:tcW w:w="442" w:type="pct"/>
            <w:vAlign w:val="center"/>
          </w:tcPr>
          <w:p w14:paraId="625DD0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0.05</w:t>
            </w:r>
          </w:p>
        </w:tc>
        <w:tc>
          <w:tcPr>
            <w:tcW w:w="267" w:type="pct"/>
            <w:vAlign w:val="center"/>
          </w:tcPr>
          <w:p w14:paraId="366D39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6E00DC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污水处理站</w:t>
            </w:r>
          </w:p>
        </w:tc>
        <w:tc>
          <w:tcPr>
            <w:tcW w:w="499" w:type="pct"/>
            <w:vAlign w:val="center"/>
          </w:tcPr>
          <w:p w14:paraId="069DFF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492F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2B495D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5767B0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319F5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89.</w:t>
            </w:r>
          </w:p>
        </w:tc>
        <w:tc>
          <w:tcPr>
            <w:tcW w:w="516" w:type="pct"/>
            <w:vAlign w:val="center"/>
          </w:tcPr>
          <w:p w14:paraId="0A0B821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水处理</w:t>
            </w:r>
          </w:p>
        </w:tc>
        <w:tc>
          <w:tcPr>
            <w:tcW w:w="799" w:type="pct"/>
            <w:vAlign w:val="center"/>
          </w:tcPr>
          <w:p w14:paraId="1C75EF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焦亚硫酸钠</w:t>
            </w:r>
          </w:p>
        </w:tc>
        <w:tc>
          <w:tcPr>
            <w:tcW w:w="641" w:type="pct"/>
            <w:vAlign w:val="center"/>
          </w:tcPr>
          <w:p w14:paraId="044245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87E856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2.8</w:t>
            </w:r>
          </w:p>
        </w:tc>
        <w:tc>
          <w:tcPr>
            <w:tcW w:w="442" w:type="pct"/>
            <w:vAlign w:val="center"/>
          </w:tcPr>
          <w:p w14:paraId="065FDE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0.2</w:t>
            </w:r>
          </w:p>
        </w:tc>
        <w:tc>
          <w:tcPr>
            <w:tcW w:w="267" w:type="pct"/>
            <w:vAlign w:val="center"/>
          </w:tcPr>
          <w:p w14:paraId="79143E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1FD0873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污水处理站</w:t>
            </w:r>
          </w:p>
        </w:tc>
        <w:tc>
          <w:tcPr>
            <w:tcW w:w="499" w:type="pct"/>
            <w:vAlign w:val="center"/>
          </w:tcPr>
          <w:p w14:paraId="0C23A68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6FA8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3FCC42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EDCE5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E3630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90.</w:t>
            </w:r>
          </w:p>
        </w:tc>
        <w:tc>
          <w:tcPr>
            <w:tcW w:w="516" w:type="pct"/>
            <w:vAlign w:val="center"/>
          </w:tcPr>
          <w:p w14:paraId="50ACE3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水处理</w:t>
            </w:r>
          </w:p>
        </w:tc>
        <w:tc>
          <w:tcPr>
            <w:tcW w:w="799" w:type="pct"/>
            <w:vAlign w:val="center"/>
          </w:tcPr>
          <w:p w14:paraId="460307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氢氧化钠</w:t>
            </w:r>
          </w:p>
        </w:tc>
        <w:tc>
          <w:tcPr>
            <w:tcW w:w="641" w:type="pct"/>
            <w:vAlign w:val="center"/>
          </w:tcPr>
          <w:p w14:paraId="5F8A73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45D6AE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w:t>
            </w:r>
          </w:p>
        </w:tc>
        <w:tc>
          <w:tcPr>
            <w:tcW w:w="442" w:type="pct"/>
            <w:vAlign w:val="center"/>
          </w:tcPr>
          <w:p w14:paraId="052742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0.5</w:t>
            </w:r>
          </w:p>
        </w:tc>
        <w:tc>
          <w:tcPr>
            <w:tcW w:w="267" w:type="pct"/>
            <w:vAlign w:val="center"/>
          </w:tcPr>
          <w:p w14:paraId="7B7E1A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t</w:t>
            </w:r>
          </w:p>
        </w:tc>
        <w:tc>
          <w:tcPr>
            <w:tcW w:w="588" w:type="pct"/>
            <w:vAlign w:val="center"/>
          </w:tcPr>
          <w:p w14:paraId="48CE6C9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污水处理站</w:t>
            </w:r>
          </w:p>
        </w:tc>
        <w:tc>
          <w:tcPr>
            <w:tcW w:w="499" w:type="pct"/>
            <w:vAlign w:val="center"/>
          </w:tcPr>
          <w:p w14:paraId="3F4FE5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25KG/袋</w:t>
            </w:r>
          </w:p>
        </w:tc>
      </w:tr>
      <w:tr w14:paraId="4003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49C167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restart"/>
            <w:vAlign w:val="center"/>
          </w:tcPr>
          <w:p w14:paraId="680ECF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化验</w:t>
            </w:r>
          </w:p>
        </w:tc>
        <w:tc>
          <w:tcPr>
            <w:tcW w:w="275" w:type="pct"/>
            <w:shd w:val="clear" w:color="auto" w:fill="auto"/>
            <w:vAlign w:val="center"/>
          </w:tcPr>
          <w:p w14:paraId="0E2E0A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91.</w:t>
            </w:r>
          </w:p>
        </w:tc>
        <w:tc>
          <w:tcPr>
            <w:tcW w:w="516" w:type="pct"/>
            <w:vAlign w:val="center"/>
          </w:tcPr>
          <w:p w14:paraId="2A97E9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5E201D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氢氧化钠</w:t>
            </w:r>
          </w:p>
        </w:tc>
        <w:tc>
          <w:tcPr>
            <w:tcW w:w="641" w:type="pct"/>
            <w:vAlign w:val="center"/>
          </w:tcPr>
          <w:p w14:paraId="0737A7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2EB936E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656C9C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47B843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5BBF619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67EB57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6DC8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214" w:type="pct"/>
            <w:vMerge w:val="continue"/>
            <w:vAlign w:val="center"/>
          </w:tcPr>
          <w:p w14:paraId="1F9703E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65CE72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5F8E19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92.</w:t>
            </w:r>
          </w:p>
        </w:tc>
        <w:tc>
          <w:tcPr>
            <w:tcW w:w="516" w:type="pct"/>
            <w:vAlign w:val="center"/>
          </w:tcPr>
          <w:p w14:paraId="7A43FE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75050C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盐酸</w:t>
            </w:r>
          </w:p>
        </w:tc>
        <w:tc>
          <w:tcPr>
            <w:tcW w:w="641" w:type="pct"/>
            <w:vAlign w:val="center"/>
          </w:tcPr>
          <w:p w14:paraId="678EC54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4B8DC2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2A6701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70F6EF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18767B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1DF683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2E0A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21CE8A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26D030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3F96AA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93.</w:t>
            </w:r>
          </w:p>
        </w:tc>
        <w:tc>
          <w:tcPr>
            <w:tcW w:w="516" w:type="pct"/>
            <w:vAlign w:val="center"/>
          </w:tcPr>
          <w:p w14:paraId="1D1CBCF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1AFCAF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w:t>
            </w:r>
          </w:p>
        </w:tc>
        <w:tc>
          <w:tcPr>
            <w:tcW w:w="641" w:type="pct"/>
            <w:vAlign w:val="center"/>
          </w:tcPr>
          <w:p w14:paraId="68F42CE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D832B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1C9C3E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6B1737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06001B6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1ACE2A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7103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170FA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41B671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CD120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94.</w:t>
            </w:r>
          </w:p>
        </w:tc>
        <w:tc>
          <w:tcPr>
            <w:tcW w:w="516" w:type="pct"/>
            <w:vAlign w:val="center"/>
          </w:tcPr>
          <w:p w14:paraId="70A593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1F37781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硫酸亚铁</w:t>
            </w:r>
          </w:p>
        </w:tc>
        <w:tc>
          <w:tcPr>
            <w:tcW w:w="641" w:type="pct"/>
            <w:vAlign w:val="center"/>
          </w:tcPr>
          <w:p w14:paraId="40BD21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465C22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49AF6B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2B8C0E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7E4B38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0A60C8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3341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0322FC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CF6A83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4C9040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95.</w:t>
            </w:r>
          </w:p>
        </w:tc>
        <w:tc>
          <w:tcPr>
            <w:tcW w:w="516" w:type="pct"/>
            <w:vAlign w:val="center"/>
          </w:tcPr>
          <w:p w14:paraId="2F2E2D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3AE8B2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过硫酸铵</w:t>
            </w:r>
          </w:p>
        </w:tc>
        <w:tc>
          <w:tcPr>
            <w:tcW w:w="641" w:type="pct"/>
            <w:vAlign w:val="center"/>
          </w:tcPr>
          <w:p w14:paraId="341765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3B60BB2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30B354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153AAB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2C48EF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7613F7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2BAC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5F8740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1DD30E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1E49E1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96.</w:t>
            </w:r>
          </w:p>
        </w:tc>
        <w:tc>
          <w:tcPr>
            <w:tcW w:w="516" w:type="pct"/>
            <w:vAlign w:val="center"/>
          </w:tcPr>
          <w:p w14:paraId="0A6D44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7D71A8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EDTA</w:t>
            </w:r>
          </w:p>
        </w:tc>
        <w:tc>
          <w:tcPr>
            <w:tcW w:w="641" w:type="pct"/>
            <w:vAlign w:val="center"/>
          </w:tcPr>
          <w:p w14:paraId="1AB6F3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12800E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787867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4CE29DA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3754EB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691941C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38D8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14" w:type="pct"/>
            <w:vMerge w:val="continue"/>
            <w:vAlign w:val="center"/>
          </w:tcPr>
          <w:p w14:paraId="62F86F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3386F13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2785FD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97.</w:t>
            </w:r>
          </w:p>
        </w:tc>
        <w:tc>
          <w:tcPr>
            <w:tcW w:w="516" w:type="pct"/>
            <w:vAlign w:val="center"/>
          </w:tcPr>
          <w:p w14:paraId="56F4A4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515400F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硝酸银</w:t>
            </w:r>
          </w:p>
        </w:tc>
        <w:tc>
          <w:tcPr>
            <w:tcW w:w="641" w:type="pct"/>
            <w:vAlign w:val="center"/>
          </w:tcPr>
          <w:p w14:paraId="2DE153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0D1E3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38558C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318F29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6B385D1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3CC140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r w14:paraId="7A59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14" w:type="pct"/>
            <w:vMerge w:val="continue"/>
            <w:vAlign w:val="center"/>
          </w:tcPr>
          <w:p w14:paraId="55C5390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20" w:type="pct"/>
            <w:vMerge w:val="continue"/>
            <w:vAlign w:val="center"/>
          </w:tcPr>
          <w:p w14:paraId="05202D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275" w:type="pct"/>
            <w:shd w:val="clear" w:color="auto" w:fill="auto"/>
            <w:vAlign w:val="center"/>
          </w:tcPr>
          <w:p w14:paraId="7F79B5C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98.</w:t>
            </w:r>
          </w:p>
        </w:tc>
        <w:tc>
          <w:tcPr>
            <w:tcW w:w="516" w:type="pct"/>
            <w:vAlign w:val="center"/>
          </w:tcPr>
          <w:p w14:paraId="2B6EFD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实验室</w:t>
            </w:r>
          </w:p>
        </w:tc>
        <w:tc>
          <w:tcPr>
            <w:tcW w:w="799" w:type="pct"/>
            <w:vAlign w:val="center"/>
          </w:tcPr>
          <w:p w14:paraId="343EA8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氯化钡</w:t>
            </w:r>
          </w:p>
        </w:tc>
        <w:tc>
          <w:tcPr>
            <w:tcW w:w="641" w:type="pct"/>
            <w:vAlign w:val="center"/>
          </w:tcPr>
          <w:p w14:paraId="267D076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4" w:type="pct"/>
            <w:vAlign w:val="center"/>
          </w:tcPr>
          <w:p w14:paraId="7AF0141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442" w:type="pct"/>
            <w:vAlign w:val="center"/>
          </w:tcPr>
          <w:p w14:paraId="088B7E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w:t>
            </w:r>
          </w:p>
        </w:tc>
        <w:tc>
          <w:tcPr>
            <w:tcW w:w="267" w:type="pct"/>
            <w:vAlign w:val="center"/>
          </w:tcPr>
          <w:p w14:paraId="643BFE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ml</w:t>
            </w:r>
          </w:p>
        </w:tc>
        <w:tc>
          <w:tcPr>
            <w:tcW w:w="588" w:type="pct"/>
            <w:vAlign w:val="center"/>
          </w:tcPr>
          <w:p w14:paraId="0F4197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危化品储存柜</w:t>
            </w:r>
          </w:p>
        </w:tc>
        <w:tc>
          <w:tcPr>
            <w:tcW w:w="499" w:type="pct"/>
            <w:vAlign w:val="center"/>
          </w:tcPr>
          <w:p w14:paraId="4B5707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500ml/瓶</w:t>
            </w:r>
          </w:p>
        </w:tc>
      </w:tr>
    </w:tbl>
    <w:p w14:paraId="345CCF91">
      <w:pPr>
        <w:rPr>
          <w:rFonts w:hint="eastAsia"/>
          <w:color w:val="auto"/>
        </w:rPr>
        <w:sectPr>
          <w:pgSz w:w="16838" w:h="11906" w:orient="landscape"/>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82" w:charSpace="0"/>
        </w:sectPr>
      </w:pPr>
      <w:r>
        <w:rPr>
          <w:rFonts w:hint="eastAsia"/>
          <w:color w:val="auto"/>
        </w:rPr>
        <w:br w:type="page"/>
      </w:r>
    </w:p>
    <w:p w14:paraId="43E5ABC9">
      <w:pPr>
        <w:pStyle w:val="4"/>
        <w:bidi w:val="0"/>
        <w:rPr>
          <w:rFonts w:hint="eastAsia"/>
          <w:color w:val="auto"/>
        </w:rPr>
      </w:pPr>
      <w:bookmarkStart w:id="116" w:name="_Toc16184"/>
      <w:bookmarkStart w:id="117" w:name="_Toc28080"/>
      <w:r>
        <w:rPr>
          <w:rFonts w:hint="eastAsia"/>
          <w:color w:val="auto"/>
        </w:rPr>
        <w:t>主要设备</w:t>
      </w:r>
      <w:bookmarkEnd w:id="116"/>
      <w:bookmarkEnd w:id="117"/>
    </w:p>
    <w:p w14:paraId="5E617937">
      <w:pPr>
        <w:rPr>
          <w:color w:val="auto"/>
        </w:rPr>
      </w:pPr>
      <w:r>
        <w:rPr>
          <w:rFonts w:hint="eastAsia"/>
          <w:color w:val="auto"/>
        </w:rPr>
        <w:t>本次评价根据现有已取得的排污许可</w:t>
      </w:r>
      <w:r>
        <w:rPr>
          <w:rFonts w:hint="eastAsia" w:eastAsia="仿宋_GB2312"/>
          <w:color w:val="auto"/>
          <w:lang w:eastAsia="zh-CN"/>
        </w:rPr>
        <w:t>、</w:t>
      </w:r>
      <w:r>
        <w:rPr>
          <w:rFonts w:hint="eastAsia"/>
          <w:color w:val="auto"/>
        </w:rPr>
        <w:t>现有项目环评，梳理</w:t>
      </w:r>
      <w:r>
        <w:rPr>
          <w:rFonts w:hint="eastAsia"/>
          <w:color w:val="auto"/>
          <w:lang w:eastAsia="zh-CN"/>
        </w:rPr>
        <w:t>昆运制版</w:t>
      </w:r>
      <w:r>
        <w:rPr>
          <w:rFonts w:hint="eastAsia"/>
          <w:color w:val="auto"/>
        </w:rPr>
        <w:t>现有全厂设备情况见下表。</w:t>
      </w:r>
    </w:p>
    <w:p w14:paraId="78A5CA97">
      <w:pPr>
        <w:pStyle w:val="25"/>
        <w:bidi w:val="0"/>
        <w:rPr>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3.3</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现有项目主要设备一览表</w:t>
      </w:r>
    </w:p>
    <w:tbl>
      <w:tblPr>
        <w:tblStyle w:val="50"/>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1"/>
        <w:gridCol w:w="579"/>
        <w:gridCol w:w="778"/>
        <w:gridCol w:w="613"/>
        <w:gridCol w:w="1561"/>
        <w:gridCol w:w="2070"/>
        <w:gridCol w:w="887"/>
        <w:gridCol w:w="1284"/>
      </w:tblGrid>
      <w:tr w14:paraId="7A3F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689" w:type="pct"/>
            <w:gridSpan w:val="2"/>
            <w:vAlign w:val="center"/>
          </w:tcPr>
          <w:p w14:paraId="44751CBA">
            <w:pPr>
              <w:pStyle w:val="36"/>
              <w:bidi w:val="0"/>
              <w:rPr>
                <w:rFonts w:hint="eastAsia"/>
                <w:lang w:val="en-US" w:eastAsia="zh-CN"/>
              </w:rPr>
            </w:pPr>
            <w:r>
              <w:rPr>
                <w:rFonts w:hint="eastAsia"/>
                <w:lang w:val="en-US" w:eastAsia="zh-CN"/>
              </w:rPr>
              <w:t>类型</w:t>
            </w:r>
          </w:p>
        </w:tc>
        <w:tc>
          <w:tcPr>
            <w:tcW w:w="466" w:type="pct"/>
            <w:vAlign w:val="center"/>
          </w:tcPr>
          <w:p w14:paraId="3C5225B4">
            <w:pPr>
              <w:pStyle w:val="36"/>
              <w:bidi w:val="0"/>
              <w:rPr>
                <w:rFonts w:hint="eastAsia"/>
                <w:lang w:val="en-US" w:eastAsia="zh-CN"/>
              </w:rPr>
            </w:pPr>
            <w:r>
              <w:rPr>
                <w:rFonts w:hint="eastAsia"/>
                <w:lang w:val="en-US" w:eastAsia="zh-CN"/>
              </w:rPr>
              <w:t>涉及工段</w:t>
            </w:r>
          </w:p>
        </w:tc>
        <w:tc>
          <w:tcPr>
            <w:tcW w:w="367" w:type="pct"/>
            <w:vAlign w:val="center"/>
          </w:tcPr>
          <w:p w14:paraId="0652C169">
            <w:pPr>
              <w:pStyle w:val="36"/>
              <w:bidi w:val="0"/>
              <w:rPr>
                <w:rFonts w:hint="default"/>
                <w:lang w:val="en-US" w:eastAsia="zh-CN"/>
              </w:rPr>
            </w:pPr>
            <w:r>
              <w:rPr>
                <w:rFonts w:hint="eastAsia"/>
                <w:lang w:val="en-US" w:eastAsia="zh-CN"/>
              </w:rPr>
              <w:t>序号</w:t>
            </w:r>
          </w:p>
        </w:tc>
        <w:tc>
          <w:tcPr>
            <w:tcW w:w="935" w:type="pct"/>
            <w:vAlign w:val="center"/>
          </w:tcPr>
          <w:p w14:paraId="1B51AE0E">
            <w:pPr>
              <w:pStyle w:val="36"/>
              <w:bidi w:val="0"/>
              <w:rPr>
                <w:rFonts w:hint="eastAsia"/>
                <w:lang w:val="en-US" w:eastAsia="zh-CN"/>
              </w:rPr>
            </w:pPr>
            <w:r>
              <w:rPr>
                <w:rFonts w:hint="eastAsia"/>
                <w:lang w:val="en-US" w:eastAsia="zh-CN"/>
              </w:rPr>
              <w:t>名称</w:t>
            </w:r>
          </w:p>
        </w:tc>
        <w:tc>
          <w:tcPr>
            <w:tcW w:w="1240" w:type="pct"/>
            <w:vAlign w:val="center"/>
          </w:tcPr>
          <w:p w14:paraId="34A02DF2">
            <w:pPr>
              <w:pStyle w:val="36"/>
              <w:bidi w:val="0"/>
              <w:rPr>
                <w:rFonts w:hint="eastAsia"/>
                <w:lang w:val="en-US" w:eastAsia="zh-CN"/>
              </w:rPr>
            </w:pPr>
            <w:r>
              <w:rPr>
                <w:rFonts w:hint="eastAsia"/>
                <w:lang w:val="en-US" w:eastAsia="zh-CN"/>
              </w:rPr>
              <w:t>型号、规格</w:t>
            </w:r>
          </w:p>
        </w:tc>
        <w:tc>
          <w:tcPr>
            <w:tcW w:w="531" w:type="pct"/>
            <w:vAlign w:val="center"/>
          </w:tcPr>
          <w:p w14:paraId="3F330721">
            <w:pPr>
              <w:pStyle w:val="36"/>
              <w:bidi w:val="0"/>
              <w:rPr>
                <w:rFonts w:hint="eastAsia"/>
                <w:lang w:val="en-US" w:eastAsia="zh-CN"/>
              </w:rPr>
            </w:pPr>
            <w:r>
              <w:rPr>
                <w:rFonts w:hint="eastAsia"/>
                <w:lang w:val="en-US" w:eastAsia="zh-CN"/>
              </w:rPr>
              <w:t>数量（台/套）</w:t>
            </w:r>
          </w:p>
        </w:tc>
        <w:tc>
          <w:tcPr>
            <w:tcW w:w="769" w:type="pct"/>
            <w:vAlign w:val="center"/>
          </w:tcPr>
          <w:p w14:paraId="6E58C2F6">
            <w:pPr>
              <w:pStyle w:val="36"/>
              <w:bidi w:val="0"/>
              <w:rPr>
                <w:rFonts w:hint="eastAsia"/>
                <w:lang w:val="en-US" w:eastAsia="zh-CN"/>
              </w:rPr>
            </w:pPr>
            <w:r>
              <w:rPr>
                <w:rFonts w:hint="eastAsia"/>
                <w:lang w:val="en-US" w:eastAsia="zh-CN"/>
              </w:rPr>
              <w:t>对应工段</w:t>
            </w:r>
          </w:p>
        </w:tc>
      </w:tr>
      <w:tr w14:paraId="291E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342" w:type="pct"/>
            <w:vMerge w:val="restart"/>
            <w:vAlign w:val="center"/>
          </w:tcPr>
          <w:p w14:paraId="4E56C8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生产设备</w:t>
            </w:r>
          </w:p>
        </w:tc>
        <w:tc>
          <w:tcPr>
            <w:tcW w:w="347" w:type="pct"/>
            <w:vMerge w:val="restart"/>
            <w:vAlign w:val="center"/>
          </w:tcPr>
          <w:p w14:paraId="55BC2D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压纹版辊</w:t>
            </w:r>
          </w:p>
        </w:tc>
        <w:tc>
          <w:tcPr>
            <w:tcW w:w="466" w:type="pct"/>
            <w:vMerge w:val="restart"/>
            <w:vAlign w:val="center"/>
          </w:tcPr>
          <w:p w14:paraId="124BB0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367" w:type="pct"/>
            <w:vAlign w:val="center"/>
          </w:tcPr>
          <w:p w14:paraId="6684D19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935" w:type="pct"/>
            <w:vAlign w:val="center"/>
          </w:tcPr>
          <w:p w14:paraId="0C0750E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车床</w:t>
            </w:r>
          </w:p>
        </w:tc>
        <w:tc>
          <w:tcPr>
            <w:tcW w:w="1240" w:type="pct"/>
            <w:vAlign w:val="center"/>
          </w:tcPr>
          <w:p w14:paraId="64C299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CW6180</w:t>
            </w:r>
          </w:p>
        </w:tc>
        <w:tc>
          <w:tcPr>
            <w:tcW w:w="531" w:type="pct"/>
            <w:vAlign w:val="center"/>
          </w:tcPr>
          <w:p w14:paraId="7530E06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w:t>
            </w:r>
          </w:p>
        </w:tc>
        <w:tc>
          <w:tcPr>
            <w:tcW w:w="769" w:type="pct"/>
            <w:vAlign w:val="center"/>
          </w:tcPr>
          <w:p w14:paraId="290D59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车加工</w:t>
            </w:r>
          </w:p>
        </w:tc>
      </w:tr>
      <w:tr w14:paraId="4F72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42" w:type="pct"/>
            <w:vMerge w:val="continue"/>
            <w:vAlign w:val="center"/>
          </w:tcPr>
          <w:p w14:paraId="233641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7D0C6F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079C11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D06F7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935" w:type="pct"/>
            <w:vAlign w:val="center"/>
          </w:tcPr>
          <w:p w14:paraId="57530A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数控车床</w:t>
            </w:r>
          </w:p>
        </w:tc>
        <w:tc>
          <w:tcPr>
            <w:tcW w:w="1240" w:type="pct"/>
            <w:vAlign w:val="center"/>
          </w:tcPr>
          <w:p w14:paraId="1AD41D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CKBP6180</w:t>
            </w:r>
          </w:p>
        </w:tc>
        <w:tc>
          <w:tcPr>
            <w:tcW w:w="531" w:type="pct"/>
            <w:vAlign w:val="center"/>
          </w:tcPr>
          <w:p w14:paraId="053A56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w:t>
            </w:r>
          </w:p>
        </w:tc>
        <w:tc>
          <w:tcPr>
            <w:tcW w:w="769" w:type="pct"/>
            <w:vAlign w:val="center"/>
          </w:tcPr>
          <w:p w14:paraId="07DCD4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车加工</w:t>
            </w:r>
          </w:p>
        </w:tc>
      </w:tr>
      <w:tr w14:paraId="174B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0E01C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DD5BD0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5DAD6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7F2BA21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935" w:type="pct"/>
            <w:vAlign w:val="center"/>
          </w:tcPr>
          <w:p w14:paraId="12E6D0A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锯床</w:t>
            </w:r>
          </w:p>
        </w:tc>
        <w:tc>
          <w:tcPr>
            <w:tcW w:w="1240" w:type="pct"/>
            <w:vAlign w:val="center"/>
          </w:tcPr>
          <w:p w14:paraId="4635B4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G24245</w:t>
            </w:r>
          </w:p>
        </w:tc>
        <w:tc>
          <w:tcPr>
            <w:tcW w:w="531" w:type="pct"/>
            <w:vAlign w:val="center"/>
          </w:tcPr>
          <w:p w14:paraId="417EA3C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19D529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锯料</w:t>
            </w:r>
          </w:p>
        </w:tc>
      </w:tr>
      <w:tr w14:paraId="113A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F6885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95763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AA182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2D31B4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935" w:type="pct"/>
            <w:vAlign w:val="center"/>
          </w:tcPr>
          <w:p w14:paraId="21072F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铣床</w:t>
            </w:r>
          </w:p>
        </w:tc>
        <w:tc>
          <w:tcPr>
            <w:tcW w:w="1240" w:type="pct"/>
            <w:vAlign w:val="center"/>
          </w:tcPr>
          <w:p w14:paraId="2869D7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X6140</w:t>
            </w:r>
          </w:p>
        </w:tc>
        <w:tc>
          <w:tcPr>
            <w:tcW w:w="531" w:type="pct"/>
            <w:vAlign w:val="center"/>
          </w:tcPr>
          <w:p w14:paraId="121537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258DE5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车加工</w:t>
            </w:r>
          </w:p>
        </w:tc>
      </w:tr>
      <w:tr w14:paraId="3D0B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EBADB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A0C1C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D0E0B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62399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w:t>
            </w:r>
          </w:p>
        </w:tc>
        <w:tc>
          <w:tcPr>
            <w:tcW w:w="935" w:type="pct"/>
            <w:vAlign w:val="center"/>
          </w:tcPr>
          <w:p w14:paraId="0E0714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磨床</w:t>
            </w:r>
          </w:p>
        </w:tc>
        <w:tc>
          <w:tcPr>
            <w:tcW w:w="1240" w:type="pct"/>
            <w:vAlign w:val="center"/>
          </w:tcPr>
          <w:p w14:paraId="51C138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MQ1350B</w:t>
            </w:r>
          </w:p>
        </w:tc>
        <w:tc>
          <w:tcPr>
            <w:tcW w:w="531" w:type="pct"/>
            <w:vAlign w:val="center"/>
          </w:tcPr>
          <w:p w14:paraId="4E6EF6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769" w:type="pct"/>
            <w:vAlign w:val="center"/>
          </w:tcPr>
          <w:p w14:paraId="7F42D1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磨加工</w:t>
            </w:r>
          </w:p>
        </w:tc>
      </w:tr>
      <w:tr w14:paraId="2E0F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E6ED2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809A2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FF3EF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9F32A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w:t>
            </w:r>
          </w:p>
        </w:tc>
        <w:tc>
          <w:tcPr>
            <w:tcW w:w="935" w:type="pct"/>
            <w:vAlign w:val="center"/>
          </w:tcPr>
          <w:p w14:paraId="339F2C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平衡机</w:t>
            </w:r>
          </w:p>
        </w:tc>
        <w:tc>
          <w:tcPr>
            <w:tcW w:w="1240" w:type="pct"/>
            <w:vAlign w:val="center"/>
          </w:tcPr>
          <w:p w14:paraId="27B367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SD- 10</w:t>
            </w:r>
          </w:p>
        </w:tc>
        <w:tc>
          <w:tcPr>
            <w:tcW w:w="531" w:type="pct"/>
            <w:vAlign w:val="center"/>
          </w:tcPr>
          <w:p w14:paraId="0EDF95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6F8DBF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动平衡检测</w:t>
            </w:r>
          </w:p>
        </w:tc>
      </w:tr>
      <w:tr w14:paraId="3ADE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342" w:type="pct"/>
            <w:vMerge w:val="continue"/>
            <w:vAlign w:val="center"/>
          </w:tcPr>
          <w:p w14:paraId="51BE45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0A557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2D81B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92B91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w:t>
            </w:r>
          </w:p>
        </w:tc>
        <w:tc>
          <w:tcPr>
            <w:tcW w:w="935" w:type="pct"/>
            <w:vAlign w:val="center"/>
          </w:tcPr>
          <w:p w14:paraId="208B2B6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高频加热机（电加热）</w:t>
            </w:r>
          </w:p>
        </w:tc>
        <w:tc>
          <w:tcPr>
            <w:tcW w:w="1240" w:type="pct"/>
            <w:vAlign w:val="center"/>
          </w:tcPr>
          <w:p w14:paraId="20FD89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XJH-60KW-B</w:t>
            </w:r>
          </w:p>
        </w:tc>
        <w:tc>
          <w:tcPr>
            <w:tcW w:w="531" w:type="pct"/>
            <w:vAlign w:val="center"/>
          </w:tcPr>
          <w:p w14:paraId="42B77D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7B2214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装轴</w:t>
            </w:r>
          </w:p>
        </w:tc>
      </w:tr>
      <w:tr w14:paraId="1CED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C3716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BE330E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D54F0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6D769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8.</w:t>
            </w:r>
          </w:p>
        </w:tc>
        <w:tc>
          <w:tcPr>
            <w:tcW w:w="935" w:type="pct"/>
            <w:vAlign w:val="center"/>
          </w:tcPr>
          <w:p w14:paraId="373E61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焊机</w:t>
            </w:r>
          </w:p>
        </w:tc>
        <w:tc>
          <w:tcPr>
            <w:tcW w:w="1240" w:type="pct"/>
            <w:vAlign w:val="center"/>
          </w:tcPr>
          <w:p w14:paraId="0ADFE8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BX1-500F</w:t>
            </w:r>
          </w:p>
        </w:tc>
        <w:tc>
          <w:tcPr>
            <w:tcW w:w="531" w:type="pct"/>
            <w:vAlign w:val="center"/>
          </w:tcPr>
          <w:p w14:paraId="3EEEBE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769" w:type="pct"/>
            <w:vAlign w:val="center"/>
          </w:tcPr>
          <w:p w14:paraId="4CB3A4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r>
      <w:tr w14:paraId="0E85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C25A3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676AE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75381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53365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9.</w:t>
            </w:r>
          </w:p>
        </w:tc>
        <w:tc>
          <w:tcPr>
            <w:tcW w:w="935" w:type="pct"/>
            <w:vAlign w:val="center"/>
          </w:tcPr>
          <w:p w14:paraId="0E7AC6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研磨机</w:t>
            </w:r>
          </w:p>
        </w:tc>
        <w:tc>
          <w:tcPr>
            <w:tcW w:w="1240" w:type="pct"/>
            <w:vAlign w:val="center"/>
          </w:tcPr>
          <w:p w14:paraId="315AF07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DYYM3300</w:t>
            </w:r>
          </w:p>
        </w:tc>
        <w:tc>
          <w:tcPr>
            <w:tcW w:w="531" w:type="pct"/>
            <w:vAlign w:val="center"/>
          </w:tcPr>
          <w:p w14:paraId="0086CC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3BF38D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磨加工</w:t>
            </w:r>
          </w:p>
        </w:tc>
      </w:tr>
      <w:tr w14:paraId="5B3D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66332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2491B4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2D58FC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72DC45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10.</w:t>
            </w:r>
          </w:p>
        </w:tc>
        <w:tc>
          <w:tcPr>
            <w:tcW w:w="935" w:type="pct"/>
            <w:vAlign w:val="center"/>
          </w:tcPr>
          <w:p w14:paraId="1D1FBC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精雕机</w:t>
            </w:r>
          </w:p>
        </w:tc>
        <w:tc>
          <w:tcPr>
            <w:tcW w:w="1240" w:type="pct"/>
            <w:vAlign w:val="center"/>
          </w:tcPr>
          <w:p w14:paraId="7F1605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JQD-360</w:t>
            </w:r>
          </w:p>
        </w:tc>
        <w:tc>
          <w:tcPr>
            <w:tcW w:w="531" w:type="pct"/>
            <w:vAlign w:val="center"/>
          </w:tcPr>
          <w:p w14:paraId="620ECA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w:t>
            </w:r>
          </w:p>
        </w:tc>
        <w:tc>
          <w:tcPr>
            <w:tcW w:w="769" w:type="pct"/>
            <w:vAlign w:val="center"/>
          </w:tcPr>
          <w:p w14:paraId="057EEF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车加工</w:t>
            </w:r>
          </w:p>
        </w:tc>
      </w:tr>
      <w:tr w14:paraId="7126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F4BDD3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13028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4BECA2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w:t>
            </w:r>
          </w:p>
        </w:tc>
        <w:tc>
          <w:tcPr>
            <w:tcW w:w="367" w:type="pct"/>
            <w:vAlign w:val="center"/>
          </w:tcPr>
          <w:p w14:paraId="3A17A1F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11.</w:t>
            </w:r>
          </w:p>
        </w:tc>
        <w:tc>
          <w:tcPr>
            <w:tcW w:w="935" w:type="pct"/>
            <w:vAlign w:val="center"/>
          </w:tcPr>
          <w:p w14:paraId="6377DE0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清洗机</w:t>
            </w:r>
          </w:p>
        </w:tc>
        <w:tc>
          <w:tcPr>
            <w:tcW w:w="1240" w:type="pct"/>
            <w:vAlign w:val="center"/>
          </w:tcPr>
          <w:p w14:paraId="4CB1CC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4300* 1100* 1430</w:t>
            </w:r>
          </w:p>
        </w:tc>
        <w:tc>
          <w:tcPr>
            <w:tcW w:w="531" w:type="pct"/>
            <w:vAlign w:val="center"/>
          </w:tcPr>
          <w:p w14:paraId="62620D2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4294511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清洁</w:t>
            </w:r>
          </w:p>
        </w:tc>
      </w:tr>
      <w:tr w14:paraId="3A5C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9E10E4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5BD38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3A6FCE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喷胶</w:t>
            </w:r>
          </w:p>
        </w:tc>
        <w:tc>
          <w:tcPr>
            <w:tcW w:w="367" w:type="pct"/>
            <w:vAlign w:val="center"/>
          </w:tcPr>
          <w:p w14:paraId="3C2C44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935" w:type="pct"/>
            <w:vAlign w:val="center"/>
          </w:tcPr>
          <w:p w14:paraId="29CA5DD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喷胶设备</w:t>
            </w:r>
          </w:p>
        </w:tc>
        <w:tc>
          <w:tcPr>
            <w:tcW w:w="1240" w:type="pct"/>
            <w:vAlign w:val="center"/>
          </w:tcPr>
          <w:p w14:paraId="7CECBC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5200* 1970* 1500</w:t>
            </w:r>
          </w:p>
        </w:tc>
        <w:tc>
          <w:tcPr>
            <w:tcW w:w="531" w:type="pct"/>
            <w:vAlign w:val="center"/>
          </w:tcPr>
          <w:p w14:paraId="0F436F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769" w:type="pct"/>
            <w:vAlign w:val="center"/>
          </w:tcPr>
          <w:p w14:paraId="700E28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喷胶</w:t>
            </w:r>
          </w:p>
        </w:tc>
      </w:tr>
      <w:tr w14:paraId="448D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342" w:type="pct"/>
            <w:vMerge w:val="continue"/>
            <w:vAlign w:val="center"/>
          </w:tcPr>
          <w:p w14:paraId="713B0F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5E240E1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125758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激光雕刻</w:t>
            </w:r>
          </w:p>
        </w:tc>
        <w:tc>
          <w:tcPr>
            <w:tcW w:w="367" w:type="pct"/>
            <w:vAlign w:val="center"/>
          </w:tcPr>
          <w:p w14:paraId="762466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13.</w:t>
            </w:r>
          </w:p>
        </w:tc>
        <w:tc>
          <w:tcPr>
            <w:tcW w:w="935" w:type="pct"/>
            <w:vAlign w:val="center"/>
          </w:tcPr>
          <w:p w14:paraId="70C8B99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激光雕刻机</w:t>
            </w:r>
          </w:p>
        </w:tc>
        <w:tc>
          <w:tcPr>
            <w:tcW w:w="1240" w:type="pct"/>
            <w:vAlign w:val="center"/>
          </w:tcPr>
          <w:p w14:paraId="18D8795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DIGILAS3500</w:t>
            </w:r>
          </w:p>
        </w:tc>
        <w:tc>
          <w:tcPr>
            <w:tcW w:w="531" w:type="pct"/>
            <w:vAlign w:val="center"/>
          </w:tcPr>
          <w:p w14:paraId="2C13A39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769" w:type="pct"/>
            <w:vAlign w:val="center"/>
          </w:tcPr>
          <w:p w14:paraId="6D18DC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激光雕刻</w:t>
            </w:r>
          </w:p>
        </w:tc>
      </w:tr>
      <w:tr w14:paraId="4DCF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432786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BAFC3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0A1972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w:t>
            </w:r>
          </w:p>
        </w:tc>
        <w:tc>
          <w:tcPr>
            <w:tcW w:w="367" w:type="pct"/>
            <w:vAlign w:val="center"/>
          </w:tcPr>
          <w:p w14:paraId="6A414E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14.</w:t>
            </w:r>
          </w:p>
        </w:tc>
        <w:tc>
          <w:tcPr>
            <w:tcW w:w="935" w:type="pct"/>
            <w:vAlign w:val="center"/>
          </w:tcPr>
          <w:p w14:paraId="409690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腐蚀机</w:t>
            </w:r>
          </w:p>
        </w:tc>
        <w:tc>
          <w:tcPr>
            <w:tcW w:w="1240" w:type="pct"/>
            <w:vAlign w:val="center"/>
          </w:tcPr>
          <w:p w14:paraId="3ADF96B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ACIGRAF2500</w:t>
            </w:r>
          </w:p>
        </w:tc>
        <w:tc>
          <w:tcPr>
            <w:tcW w:w="531" w:type="pct"/>
            <w:vAlign w:val="center"/>
          </w:tcPr>
          <w:p w14:paraId="1B10F1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769" w:type="pct"/>
            <w:vAlign w:val="center"/>
          </w:tcPr>
          <w:p w14:paraId="2DA322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w:t>
            </w:r>
          </w:p>
        </w:tc>
      </w:tr>
      <w:tr w14:paraId="463E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01A0E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C06C8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42B9198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打磨</w:t>
            </w:r>
          </w:p>
        </w:tc>
        <w:tc>
          <w:tcPr>
            <w:tcW w:w="367" w:type="pct"/>
            <w:vAlign w:val="center"/>
          </w:tcPr>
          <w:p w14:paraId="78D4E1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15.</w:t>
            </w:r>
          </w:p>
        </w:tc>
        <w:tc>
          <w:tcPr>
            <w:tcW w:w="935" w:type="pct"/>
            <w:vAlign w:val="center"/>
          </w:tcPr>
          <w:p w14:paraId="56C98F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打磨机</w:t>
            </w:r>
          </w:p>
        </w:tc>
        <w:tc>
          <w:tcPr>
            <w:tcW w:w="1240" w:type="pct"/>
            <w:vAlign w:val="center"/>
          </w:tcPr>
          <w:p w14:paraId="42DD08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6570* 1500* 1700</w:t>
            </w:r>
          </w:p>
        </w:tc>
        <w:tc>
          <w:tcPr>
            <w:tcW w:w="531" w:type="pct"/>
            <w:vAlign w:val="center"/>
          </w:tcPr>
          <w:p w14:paraId="61F130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071E2A5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图案处理</w:t>
            </w:r>
          </w:p>
        </w:tc>
      </w:tr>
      <w:tr w14:paraId="18BF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2757B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8A25A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0A25FE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喷砂</w:t>
            </w:r>
          </w:p>
        </w:tc>
        <w:tc>
          <w:tcPr>
            <w:tcW w:w="367" w:type="pct"/>
            <w:vAlign w:val="center"/>
          </w:tcPr>
          <w:p w14:paraId="24D7C2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16.</w:t>
            </w:r>
          </w:p>
        </w:tc>
        <w:tc>
          <w:tcPr>
            <w:tcW w:w="935" w:type="pct"/>
            <w:vAlign w:val="center"/>
          </w:tcPr>
          <w:p w14:paraId="3169B65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喷砂机</w:t>
            </w:r>
          </w:p>
        </w:tc>
        <w:tc>
          <w:tcPr>
            <w:tcW w:w="1240" w:type="pct"/>
            <w:vAlign w:val="center"/>
          </w:tcPr>
          <w:p w14:paraId="5E6C76A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5850* 1900* 1280</w:t>
            </w:r>
          </w:p>
        </w:tc>
        <w:tc>
          <w:tcPr>
            <w:tcW w:w="531" w:type="pct"/>
            <w:vAlign w:val="center"/>
          </w:tcPr>
          <w:p w14:paraId="160D0AF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w:t>
            </w:r>
          </w:p>
        </w:tc>
        <w:tc>
          <w:tcPr>
            <w:tcW w:w="769" w:type="pct"/>
            <w:vAlign w:val="center"/>
          </w:tcPr>
          <w:p w14:paraId="455F8A7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喷砂</w:t>
            </w:r>
          </w:p>
        </w:tc>
      </w:tr>
      <w:tr w14:paraId="6AEA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43247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110021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0C4AB3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打样</w:t>
            </w:r>
          </w:p>
        </w:tc>
        <w:tc>
          <w:tcPr>
            <w:tcW w:w="367" w:type="pct"/>
            <w:vAlign w:val="center"/>
          </w:tcPr>
          <w:p w14:paraId="25749B8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17.</w:t>
            </w:r>
          </w:p>
        </w:tc>
        <w:tc>
          <w:tcPr>
            <w:tcW w:w="935" w:type="pct"/>
            <w:vAlign w:val="center"/>
          </w:tcPr>
          <w:p w14:paraId="0B14D4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打样机</w:t>
            </w:r>
          </w:p>
        </w:tc>
        <w:tc>
          <w:tcPr>
            <w:tcW w:w="1240" w:type="pct"/>
            <w:vAlign w:val="center"/>
          </w:tcPr>
          <w:p w14:paraId="7AC1BD0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4200*2800* 1000</w:t>
            </w:r>
          </w:p>
        </w:tc>
        <w:tc>
          <w:tcPr>
            <w:tcW w:w="531" w:type="pct"/>
            <w:vAlign w:val="center"/>
          </w:tcPr>
          <w:p w14:paraId="54084D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E42E3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打样</w:t>
            </w:r>
          </w:p>
        </w:tc>
      </w:tr>
      <w:tr w14:paraId="5009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90F727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B536C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Align w:val="center"/>
          </w:tcPr>
          <w:p w14:paraId="7C5085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挤压</w:t>
            </w:r>
          </w:p>
        </w:tc>
        <w:tc>
          <w:tcPr>
            <w:tcW w:w="367" w:type="pct"/>
            <w:vAlign w:val="center"/>
          </w:tcPr>
          <w:p w14:paraId="56594D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18.</w:t>
            </w:r>
          </w:p>
        </w:tc>
        <w:tc>
          <w:tcPr>
            <w:tcW w:w="935" w:type="pct"/>
            <w:vAlign w:val="center"/>
          </w:tcPr>
          <w:p w14:paraId="48CE29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挤压机</w:t>
            </w:r>
          </w:p>
        </w:tc>
        <w:tc>
          <w:tcPr>
            <w:tcW w:w="1240" w:type="pct"/>
            <w:vAlign w:val="center"/>
          </w:tcPr>
          <w:p w14:paraId="59E9FD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定制</w:t>
            </w:r>
          </w:p>
        </w:tc>
        <w:tc>
          <w:tcPr>
            <w:tcW w:w="531" w:type="pct"/>
            <w:vAlign w:val="center"/>
          </w:tcPr>
          <w:p w14:paraId="322B7C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C6008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挤压</w:t>
            </w:r>
          </w:p>
        </w:tc>
      </w:tr>
      <w:tr w14:paraId="31F3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54213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90B233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restart"/>
            <w:vAlign w:val="center"/>
          </w:tcPr>
          <w:p w14:paraId="50DD97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电镀</w:t>
            </w:r>
          </w:p>
        </w:tc>
        <w:tc>
          <w:tcPr>
            <w:tcW w:w="367" w:type="pct"/>
            <w:vAlign w:val="center"/>
          </w:tcPr>
          <w:p w14:paraId="781CBC0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19.</w:t>
            </w:r>
          </w:p>
        </w:tc>
        <w:tc>
          <w:tcPr>
            <w:tcW w:w="935" w:type="pct"/>
            <w:vAlign w:val="center"/>
          </w:tcPr>
          <w:p w14:paraId="1281F33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装版台</w:t>
            </w:r>
          </w:p>
        </w:tc>
        <w:tc>
          <w:tcPr>
            <w:tcW w:w="1240" w:type="pct"/>
            <w:vAlign w:val="center"/>
          </w:tcPr>
          <w:p w14:paraId="28D99B5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4FFED3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2E06827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7174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00B76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234BED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FBB6D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7F4850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20.</w:t>
            </w:r>
          </w:p>
        </w:tc>
        <w:tc>
          <w:tcPr>
            <w:tcW w:w="935" w:type="pct"/>
            <w:vAlign w:val="center"/>
          </w:tcPr>
          <w:p w14:paraId="1677CF1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停放架</w:t>
            </w:r>
          </w:p>
        </w:tc>
        <w:tc>
          <w:tcPr>
            <w:tcW w:w="1240" w:type="pct"/>
            <w:vAlign w:val="center"/>
          </w:tcPr>
          <w:p w14:paraId="7256E6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5400*2000* 1400</w:t>
            </w:r>
          </w:p>
        </w:tc>
        <w:tc>
          <w:tcPr>
            <w:tcW w:w="531" w:type="pct"/>
            <w:vAlign w:val="center"/>
          </w:tcPr>
          <w:p w14:paraId="49F5CD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3450B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5E61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4FB819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49420A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1C215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574CC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21.</w:t>
            </w:r>
          </w:p>
        </w:tc>
        <w:tc>
          <w:tcPr>
            <w:tcW w:w="935" w:type="pct"/>
            <w:vAlign w:val="center"/>
          </w:tcPr>
          <w:p w14:paraId="5BE0D7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碱铜槽</w:t>
            </w:r>
          </w:p>
        </w:tc>
        <w:tc>
          <w:tcPr>
            <w:tcW w:w="1240" w:type="pct"/>
            <w:vAlign w:val="center"/>
          </w:tcPr>
          <w:p w14:paraId="30EAE6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3EED3C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F5B54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w:t>
            </w:r>
          </w:p>
        </w:tc>
      </w:tr>
      <w:tr w14:paraId="4D7A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7E82D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00A3B0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35B96B0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9B44AC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22.</w:t>
            </w:r>
          </w:p>
        </w:tc>
        <w:tc>
          <w:tcPr>
            <w:tcW w:w="935" w:type="pct"/>
            <w:vAlign w:val="center"/>
          </w:tcPr>
          <w:p w14:paraId="2E42A2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镀铜槽</w:t>
            </w:r>
          </w:p>
        </w:tc>
        <w:tc>
          <w:tcPr>
            <w:tcW w:w="1240" w:type="pct"/>
            <w:vAlign w:val="center"/>
          </w:tcPr>
          <w:p w14:paraId="65E4B6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38A6637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633424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r>
      <w:tr w14:paraId="79D6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5F4F8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2219CA1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52B698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91D3A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23.</w:t>
            </w:r>
          </w:p>
        </w:tc>
        <w:tc>
          <w:tcPr>
            <w:tcW w:w="935" w:type="pct"/>
            <w:vAlign w:val="center"/>
          </w:tcPr>
          <w:p w14:paraId="49A9F8B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天车</w:t>
            </w:r>
          </w:p>
        </w:tc>
        <w:tc>
          <w:tcPr>
            <w:tcW w:w="1240" w:type="pct"/>
            <w:vAlign w:val="center"/>
          </w:tcPr>
          <w:p w14:paraId="34021E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6000*2000*2000</w:t>
            </w:r>
          </w:p>
        </w:tc>
        <w:tc>
          <w:tcPr>
            <w:tcW w:w="531" w:type="pct"/>
            <w:vAlign w:val="center"/>
          </w:tcPr>
          <w:p w14:paraId="0C4F0DA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7E42AE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544D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C0AE13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1359B0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BEE2A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BBA06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24.</w:t>
            </w:r>
          </w:p>
        </w:tc>
        <w:tc>
          <w:tcPr>
            <w:tcW w:w="935" w:type="pct"/>
            <w:vAlign w:val="center"/>
          </w:tcPr>
          <w:p w14:paraId="60B4C2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退镀槽</w:t>
            </w:r>
          </w:p>
        </w:tc>
        <w:tc>
          <w:tcPr>
            <w:tcW w:w="1240" w:type="pct"/>
            <w:vAlign w:val="center"/>
          </w:tcPr>
          <w:p w14:paraId="0D9A8D9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7EA7469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BFDB63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退镀</w:t>
            </w:r>
          </w:p>
        </w:tc>
      </w:tr>
      <w:tr w14:paraId="3C31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BDCEC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AFF1B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C114B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81659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25.</w:t>
            </w:r>
          </w:p>
        </w:tc>
        <w:tc>
          <w:tcPr>
            <w:tcW w:w="935" w:type="pct"/>
            <w:vAlign w:val="center"/>
          </w:tcPr>
          <w:p w14:paraId="46A5C7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镀铬槽</w:t>
            </w:r>
          </w:p>
        </w:tc>
        <w:tc>
          <w:tcPr>
            <w:tcW w:w="1240" w:type="pct"/>
            <w:vAlign w:val="center"/>
          </w:tcPr>
          <w:p w14:paraId="1F45F7D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61D96EA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1197939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w:t>
            </w:r>
          </w:p>
        </w:tc>
      </w:tr>
      <w:tr w14:paraId="6CB2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A47C93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EB196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D7A4C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3D840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26.</w:t>
            </w:r>
          </w:p>
        </w:tc>
        <w:tc>
          <w:tcPr>
            <w:tcW w:w="935" w:type="pct"/>
            <w:vAlign w:val="center"/>
          </w:tcPr>
          <w:p w14:paraId="24C08AA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电解槽</w:t>
            </w:r>
          </w:p>
        </w:tc>
        <w:tc>
          <w:tcPr>
            <w:tcW w:w="1240" w:type="pct"/>
            <w:vAlign w:val="center"/>
          </w:tcPr>
          <w:p w14:paraId="099F7B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506FD6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D25CFD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电解</w:t>
            </w:r>
          </w:p>
        </w:tc>
      </w:tr>
      <w:tr w14:paraId="259D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341E4C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8B5BA8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CA2F5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37534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27.</w:t>
            </w:r>
          </w:p>
        </w:tc>
        <w:tc>
          <w:tcPr>
            <w:tcW w:w="935" w:type="pct"/>
            <w:vAlign w:val="center"/>
          </w:tcPr>
          <w:p w14:paraId="1CB351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浸蚀槽</w:t>
            </w:r>
          </w:p>
        </w:tc>
        <w:tc>
          <w:tcPr>
            <w:tcW w:w="1240" w:type="pct"/>
            <w:vAlign w:val="center"/>
          </w:tcPr>
          <w:p w14:paraId="2134880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1650* 1340</w:t>
            </w:r>
          </w:p>
        </w:tc>
        <w:tc>
          <w:tcPr>
            <w:tcW w:w="531" w:type="pct"/>
            <w:vAlign w:val="center"/>
          </w:tcPr>
          <w:p w14:paraId="20FC666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971337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浸蚀</w:t>
            </w:r>
          </w:p>
        </w:tc>
      </w:tr>
      <w:tr w14:paraId="15D1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ADA90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7B4EB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8CF2D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D2AE4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28.</w:t>
            </w:r>
          </w:p>
        </w:tc>
        <w:tc>
          <w:tcPr>
            <w:tcW w:w="935" w:type="pct"/>
            <w:vAlign w:val="center"/>
          </w:tcPr>
          <w:p w14:paraId="4765D48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铬清洗槽</w:t>
            </w:r>
          </w:p>
        </w:tc>
        <w:tc>
          <w:tcPr>
            <w:tcW w:w="1240" w:type="pct"/>
            <w:vAlign w:val="center"/>
          </w:tcPr>
          <w:p w14:paraId="62827A5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6160* 1850* 1340</w:t>
            </w:r>
          </w:p>
        </w:tc>
        <w:tc>
          <w:tcPr>
            <w:tcW w:w="531" w:type="pct"/>
            <w:vAlign w:val="center"/>
          </w:tcPr>
          <w:p w14:paraId="48C8D85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447657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w:t>
            </w:r>
          </w:p>
        </w:tc>
      </w:tr>
      <w:tr w14:paraId="7EB3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trPr>
        <w:tc>
          <w:tcPr>
            <w:tcW w:w="342" w:type="pct"/>
            <w:vMerge w:val="continue"/>
            <w:vAlign w:val="center"/>
          </w:tcPr>
          <w:p w14:paraId="4A4304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restart"/>
            <w:vAlign w:val="center"/>
          </w:tcPr>
          <w:p w14:paraId="64B82C1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微精版</w:t>
            </w:r>
          </w:p>
        </w:tc>
        <w:tc>
          <w:tcPr>
            <w:tcW w:w="466" w:type="pct"/>
            <w:vMerge w:val="restart"/>
            <w:vAlign w:val="center"/>
          </w:tcPr>
          <w:p w14:paraId="263DB29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机加工</w:t>
            </w:r>
          </w:p>
        </w:tc>
        <w:tc>
          <w:tcPr>
            <w:tcW w:w="367" w:type="pct"/>
            <w:vAlign w:val="center"/>
          </w:tcPr>
          <w:p w14:paraId="70AF1B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29.</w:t>
            </w:r>
          </w:p>
        </w:tc>
        <w:tc>
          <w:tcPr>
            <w:tcW w:w="935" w:type="pct"/>
            <w:vAlign w:val="center"/>
          </w:tcPr>
          <w:p w14:paraId="6C5BF5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卷管上料架</w:t>
            </w:r>
          </w:p>
        </w:tc>
        <w:tc>
          <w:tcPr>
            <w:tcW w:w="1240" w:type="pct"/>
            <w:vAlign w:val="center"/>
          </w:tcPr>
          <w:p w14:paraId="2B6089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0CEBE95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5F9B5A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2FDA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 w:hRule="atLeast"/>
        </w:trPr>
        <w:tc>
          <w:tcPr>
            <w:tcW w:w="342" w:type="pct"/>
            <w:vMerge w:val="continue"/>
            <w:vAlign w:val="center"/>
          </w:tcPr>
          <w:p w14:paraId="54F774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390FB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AED9E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F36CB0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30.</w:t>
            </w:r>
          </w:p>
        </w:tc>
        <w:tc>
          <w:tcPr>
            <w:tcW w:w="935" w:type="pct"/>
            <w:vAlign w:val="center"/>
          </w:tcPr>
          <w:p w14:paraId="2E084E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卷管机</w:t>
            </w:r>
          </w:p>
        </w:tc>
        <w:tc>
          <w:tcPr>
            <w:tcW w:w="1240" w:type="pct"/>
            <w:vAlign w:val="center"/>
          </w:tcPr>
          <w:p w14:paraId="2DA261A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456E23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7D1485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卷管</w:t>
            </w:r>
          </w:p>
        </w:tc>
      </w:tr>
      <w:tr w14:paraId="7F63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34683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976C76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58B8BD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A24E4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31.</w:t>
            </w:r>
          </w:p>
        </w:tc>
        <w:tc>
          <w:tcPr>
            <w:tcW w:w="935" w:type="pct"/>
            <w:vAlign w:val="center"/>
          </w:tcPr>
          <w:p w14:paraId="4DA644A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校圆机</w:t>
            </w:r>
          </w:p>
        </w:tc>
        <w:tc>
          <w:tcPr>
            <w:tcW w:w="1240" w:type="pct"/>
            <w:vAlign w:val="center"/>
          </w:tcPr>
          <w:p w14:paraId="1353A0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63523B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71D0A62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校圆</w:t>
            </w:r>
          </w:p>
        </w:tc>
      </w:tr>
      <w:tr w14:paraId="76F6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9B7FE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035A3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CA7055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CBCB8B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32.</w:t>
            </w:r>
          </w:p>
        </w:tc>
        <w:tc>
          <w:tcPr>
            <w:tcW w:w="935" w:type="pct"/>
            <w:vAlign w:val="center"/>
          </w:tcPr>
          <w:p w14:paraId="10B9E11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工位架</w:t>
            </w:r>
          </w:p>
        </w:tc>
        <w:tc>
          <w:tcPr>
            <w:tcW w:w="1240" w:type="pct"/>
            <w:vAlign w:val="center"/>
          </w:tcPr>
          <w:p w14:paraId="003A58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043CA0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w:t>
            </w:r>
          </w:p>
        </w:tc>
        <w:tc>
          <w:tcPr>
            <w:tcW w:w="769" w:type="pct"/>
            <w:vAlign w:val="center"/>
          </w:tcPr>
          <w:p w14:paraId="4BA490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2BCA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35D4F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BE34D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390FE24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9DC6A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33.</w:t>
            </w:r>
          </w:p>
        </w:tc>
        <w:tc>
          <w:tcPr>
            <w:tcW w:w="935" w:type="pct"/>
            <w:vAlign w:val="center"/>
          </w:tcPr>
          <w:p w14:paraId="77D734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焊接机</w:t>
            </w:r>
          </w:p>
        </w:tc>
        <w:tc>
          <w:tcPr>
            <w:tcW w:w="1240" w:type="pct"/>
            <w:vAlign w:val="center"/>
          </w:tcPr>
          <w:p w14:paraId="77EBE5B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1EC91A6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4D3E03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r>
      <w:tr w14:paraId="7FD9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105A9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29D26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74FEBE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A37F4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34.</w:t>
            </w:r>
          </w:p>
        </w:tc>
        <w:tc>
          <w:tcPr>
            <w:tcW w:w="935" w:type="pct"/>
            <w:vAlign w:val="center"/>
          </w:tcPr>
          <w:p w14:paraId="39717C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堵头料仓</w:t>
            </w:r>
          </w:p>
        </w:tc>
        <w:tc>
          <w:tcPr>
            <w:tcW w:w="1240" w:type="pct"/>
            <w:vAlign w:val="center"/>
          </w:tcPr>
          <w:p w14:paraId="726B39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567CF6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95C71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6706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234C27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E2276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AC558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F3A90C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35.</w:t>
            </w:r>
          </w:p>
        </w:tc>
        <w:tc>
          <w:tcPr>
            <w:tcW w:w="935" w:type="pct"/>
            <w:vAlign w:val="center"/>
          </w:tcPr>
          <w:p w14:paraId="61454E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车堵机</w:t>
            </w:r>
          </w:p>
        </w:tc>
        <w:tc>
          <w:tcPr>
            <w:tcW w:w="1240" w:type="pct"/>
            <w:vAlign w:val="center"/>
          </w:tcPr>
          <w:p w14:paraId="7D1A6B6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68D4392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3197F56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车堵</w:t>
            </w:r>
          </w:p>
        </w:tc>
      </w:tr>
      <w:tr w14:paraId="4872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C58A1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58117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B5C7F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5FA8BC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36.</w:t>
            </w:r>
          </w:p>
        </w:tc>
        <w:tc>
          <w:tcPr>
            <w:tcW w:w="935" w:type="pct"/>
            <w:vAlign w:val="center"/>
          </w:tcPr>
          <w:p w14:paraId="2A5EF5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拉键机</w:t>
            </w:r>
          </w:p>
        </w:tc>
        <w:tc>
          <w:tcPr>
            <w:tcW w:w="1240" w:type="pct"/>
            <w:vAlign w:val="center"/>
          </w:tcPr>
          <w:p w14:paraId="79EE1D1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1485D0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52E8BC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拉键</w:t>
            </w:r>
          </w:p>
        </w:tc>
      </w:tr>
      <w:tr w14:paraId="520B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CADA5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51329EB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32197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71754D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37.</w:t>
            </w:r>
          </w:p>
        </w:tc>
        <w:tc>
          <w:tcPr>
            <w:tcW w:w="935" w:type="pct"/>
            <w:vAlign w:val="center"/>
          </w:tcPr>
          <w:p w14:paraId="7C0045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双头焊机</w:t>
            </w:r>
          </w:p>
        </w:tc>
        <w:tc>
          <w:tcPr>
            <w:tcW w:w="1240" w:type="pct"/>
            <w:vAlign w:val="center"/>
          </w:tcPr>
          <w:p w14:paraId="52906E5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B3E0F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4272E1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焊接</w:t>
            </w:r>
          </w:p>
        </w:tc>
      </w:tr>
      <w:tr w14:paraId="73C9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35180A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FD9C10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D2A67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A94B1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38.</w:t>
            </w:r>
          </w:p>
        </w:tc>
        <w:tc>
          <w:tcPr>
            <w:tcW w:w="935" w:type="pct"/>
            <w:vAlign w:val="center"/>
          </w:tcPr>
          <w:p w14:paraId="4258C0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上料货叉（双头焊用）</w:t>
            </w:r>
          </w:p>
        </w:tc>
        <w:tc>
          <w:tcPr>
            <w:tcW w:w="1240" w:type="pct"/>
            <w:vAlign w:val="center"/>
          </w:tcPr>
          <w:p w14:paraId="601C352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690AF3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702CDB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上料</w:t>
            </w:r>
          </w:p>
        </w:tc>
      </w:tr>
      <w:tr w14:paraId="62E8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501337F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82EE1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34FC8FF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34F06DF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39.</w:t>
            </w:r>
          </w:p>
        </w:tc>
        <w:tc>
          <w:tcPr>
            <w:tcW w:w="935" w:type="pct"/>
            <w:vAlign w:val="center"/>
          </w:tcPr>
          <w:p w14:paraId="527106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钢管进料 AGV+放版架</w:t>
            </w:r>
          </w:p>
        </w:tc>
        <w:tc>
          <w:tcPr>
            <w:tcW w:w="1240" w:type="pct"/>
            <w:vAlign w:val="center"/>
          </w:tcPr>
          <w:p w14:paraId="5C1140B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4F5C55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428BC0E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进料</w:t>
            </w:r>
          </w:p>
        </w:tc>
      </w:tr>
      <w:tr w14:paraId="27D9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06174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33BD48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98B070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D9E154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40.</w:t>
            </w:r>
          </w:p>
        </w:tc>
        <w:tc>
          <w:tcPr>
            <w:tcW w:w="935" w:type="pct"/>
            <w:vAlign w:val="center"/>
          </w:tcPr>
          <w:p w14:paraId="161E10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 位等待工位</w:t>
            </w:r>
          </w:p>
        </w:tc>
        <w:tc>
          <w:tcPr>
            <w:tcW w:w="1240" w:type="pct"/>
            <w:vAlign w:val="center"/>
          </w:tcPr>
          <w:p w14:paraId="3041FB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A4AE4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E0948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B18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342" w:type="pct"/>
            <w:vMerge w:val="continue"/>
            <w:vAlign w:val="center"/>
          </w:tcPr>
          <w:p w14:paraId="51F3A50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1FCDB6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68E96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40C2C9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41.</w:t>
            </w:r>
          </w:p>
        </w:tc>
        <w:tc>
          <w:tcPr>
            <w:tcW w:w="935" w:type="pct"/>
            <w:vAlign w:val="center"/>
          </w:tcPr>
          <w:p w14:paraId="3BD47AB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周转 AGV+放版架</w:t>
            </w:r>
          </w:p>
        </w:tc>
        <w:tc>
          <w:tcPr>
            <w:tcW w:w="1240" w:type="pct"/>
            <w:vAlign w:val="center"/>
          </w:tcPr>
          <w:p w14:paraId="0448AA6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4BB957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36C0AE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595C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A8E73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5FA81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74CA4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987D1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42.</w:t>
            </w:r>
          </w:p>
        </w:tc>
        <w:tc>
          <w:tcPr>
            <w:tcW w:w="935" w:type="pct"/>
            <w:vAlign w:val="center"/>
          </w:tcPr>
          <w:p w14:paraId="757C5B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双头镗孔机</w:t>
            </w:r>
          </w:p>
        </w:tc>
        <w:tc>
          <w:tcPr>
            <w:tcW w:w="1240" w:type="pct"/>
            <w:vAlign w:val="center"/>
          </w:tcPr>
          <w:p w14:paraId="05A34F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53AFE78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5AFE8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镗孔</w:t>
            </w:r>
          </w:p>
        </w:tc>
      </w:tr>
      <w:tr w14:paraId="7E06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342" w:type="pct"/>
            <w:vMerge w:val="continue"/>
            <w:vAlign w:val="center"/>
          </w:tcPr>
          <w:p w14:paraId="03FAD7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AAAB8B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0DCA3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75D998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43.</w:t>
            </w:r>
          </w:p>
        </w:tc>
        <w:tc>
          <w:tcPr>
            <w:tcW w:w="935" w:type="pct"/>
            <w:vAlign w:val="center"/>
          </w:tcPr>
          <w:p w14:paraId="197D27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上料货叉+上下料工位</w:t>
            </w:r>
          </w:p>
        </w:tc>
        <w:tc>
          <w:tcPr>
            <w:tcW w:w="1240" w:type="pct"/>
            <w:vAlign w:val="center"/>
          </w:tcPr>
          <w:p w14:paraId="594B8B9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59FACCD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D9FD2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640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713868B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E4EF57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B321B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490769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44.</w:t>
            </w:r>
          </w:p>
        </w:tc>
        <w:tc>
          <w:tcPr>
            <w:tcW w:w="935" w:type="pct"/>
            <w:vAlign w:val="center"/>
          </w:tcPr>
          <w:p w14:paraId="016708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沈阳斜车</w:t>
            </w:r>
          </w:p>
        </w:tc>
        <w:tc>
          <w:tcPr>
            <w:tcW w:w="1240" w:type="pct"/>
            <w:vAlign w:val="center"/>
          </w:tcPr>
          <w:p w14:paraId="4043F4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374CC2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137670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199E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E8C12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26DBE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8264E4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C662EA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45.</w:t>
            </w:r>
          </w:p>
        </w:tc>
        <w:tc>
          <w:tcPr>
            <w:tcW w:w="935" w:type="pct"/>
            <w:vAlign w:val="center"/>
          </w:tcPr>
          <w:p w14:paraId="2BD91C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动平衡机</w:t>
            </w:r>
          </w:p>
        </w:tc>
        <w:tc>
          <w:tcPr>
            <w:tcW w:w="1240" w:type="pct"/>
            <w:vAlign w:val="center"/>
          </w:tcPr>
          <w:p w14:paraId="55D3D51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6DF5FD8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20779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动平衡检测</w:t>
            </w:r>
          </w:p>
        </w:tc>
      </w:tr>
      <w:tr w14:paraId="7612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1AED21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8D5B3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51F96EB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3F9FB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w:t>
            </w:r>
          </w:p>
        </w:tc>
        <w:tc>
          <w:tcPr>
            <w:tcW w:w="935" w:type="pct"/>
            <w:vAlign w:val="center"/>
          </w:tcPr>
          <w:p w14:paraId="3B0B3FB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动平衡上下料工位</w:t>
            </w:r>
          </w:p>
        </w:tc>
        <w:tc>
          <w:tcPr>
            <w:tcW w:w="1240" w:type="pct"/>
            <w:vAlign w:val="center"/>
          </w:tcPr>
          <w:p w14:paraId="42B867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41F3E6E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97B8A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动平衡检测</w:t>
            </w:r>
          </w:p>
        </w:tc>
      </w:tr>
      <w:tr w14:paraId="7A5C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FF674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979F12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8ADD2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ED0662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47.</w:t>
            </w:r>
          </w:p>
        </w:tc>
        <w:tc>
          <w:tcPr>
            <w:tcW w:w="935" w:type="pct"/>
            <w:vAlign w:val="center"/>
          </w:tcPr>
          <w:p w14:paraId="217B70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激光打码机</w:t>
            </w:r>
          </w:p>
        </w:tc>
        <w:tc>
          <w:tcPr>
            <w:tcW w:w="1240" w:type="pct"/>
            <w:vAlign w:val="center"/>
          </w:tcPr>
          <w:p w14:paraId="0BA5A3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73D2D0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D640E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打码</w:t>
            </w:r>
          </w:p>
        </w:tc>
      </w:tr>
      <w:tr w14:paraId="73D4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07DE11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4693E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54CA3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38CE4E1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48.</w:t>
            </w:r>
          </w:p>
        </w:tc>
        <w:tc>
          <w:tcPr>
            <w:tcW w:w="935" w:type="pct"/>
            <w:vAlign w:val="center"/>
          </w:tcPr>
          <w:p w14:paraId="4FF3C9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高速钢管研磨机</w:t>
            </w:r>
          </w:p>
        </w:tc>
        <w:tc>
          <w:tcPr>
            <w:tcW w:w="1240" w:type="pct"/>
            <w:vAlign w:val="center"/>
          </w:tcPr>
          <w:p w14:paraId="409FED2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572190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0C19AA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研磨</w:t>
            </w:r>
          </w:p>
        </w:tc>
      </w:tr>
      <w:tr w14:paraId="3A99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1087F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5F8DC4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614138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CCA2EF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49.</w:t>
            </w:r>
          </w:p>
        </w:tc>
        <w:tc>
          <w:tcPr>
            <w:tcW w:w="935" w:type="pct"/>
            <w:vAlign w:val="center"/>
          </w:tcPr>
          <w:p w14:paraId="27BF77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 位修版工位</w:t>
            </w:r>
          </w:p>
        </w:tc>
        <w:tc>
          <w:tcPr>
            <w:tcW w:w="1240" w:type="pct"/>
            <w:vAlign w:val="center"/>
          </w:tcPr>
          <w:p w14:paraId="66BE0D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66A4328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F97A46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45FD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88682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BF0C0D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406A5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16BF02D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50.</w:t>
            </w:r>
          </w:p>
        </w:tc>
        <w:tc>
          <w:tcPr>
            <w:tcW w:w="935" w:type="pct"/>
            <w:vAlign w:val="center"/>
          </w:tcPr>
          <w:p w14:paraId="0184846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自动测径机</w:t>
            </w:r>
          </w:p>
        </w:tc>
        <w:tc>
          <w:tcPr>
            <w:tcW w:w="1240" w:type="pct"/>
            <w:vAlign w:val="center"/>
          </w:tcPr>
          <w:p w14:paraId="6226A7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49E7F33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06CC0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797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46A19E0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6FC43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restart"/>
            <w:vAlign w:val="center"/>
          </w:tcPr>
          <w:p w14:paraId="6C8AF8E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激光雕刻绿色智能化生产线</w:t>
            </w:r>
          </w:p>
        </w:tc>
        <w:tc>
          <w:tcPr>
            <w:tcW w:w="367" w:type="pct"/>
            <w:vAlign w:val="center"/>
          </w:tcPr>
          <w:p w14:paraId="340B310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w:t>
            </w:r>
          </w:p>
        </w:tc>
        <w:tc>
          <w:tcPr>
            <w:tcW w:w="935" w:type="pct"/>
            <w:vAlign w:val="center"/>
          </w:tcPr>
          <w:p w14:paraId="1898D69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钢辊清洗机</w:t>
            </w:r>
          </w:p>
        </w:tc>
        <w:tc>
          <w:tcPr>
            <w:tcW w:w="1240" w:type="pct"/>
            <w:vAlign w:val="center"/>
          </w:tcPr>
          <w:p w14:paraId="5C0B99A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5100* 1600* 1800</w:t>
            </w:r>
          </w:p>
        </w:tc>
        <w:tc>
          <w:tcPr>
            <w:tcW w:w="531" w:type="pct"/>
            <w:vAlign w:val="center"/>
          </w:tcPr>
          <w:p w14:paraId="653AC92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E0606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清洗</w:t>
            </w:r>
          </w:p>
        </w:tc>
      </w:tr>
      <w:tr w14:paraId="7AAD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A0F01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5ED598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5447F49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05CE9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52.</w:t>
            </w:r>
          </w:p>
        </w:tc>
        <w:tc>
          <w:tcPr>
            <w:tcW w:w="935" w:type="pct"/>
            <w:vAlign w:val="center"/>
          </w:tcPr>
          <w:p w14:paraId="24ED3D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钢辊脱脂机</w:t>
            </w:r>
          </w:p>
        </w:tc>
        <w:tc>
          <w:tcPr>
            <w:tcW w:w="1240" w:type="pct"/>
            <w:vAlign w:val="center"/>
          </w:tcPr>
          <w:p w14:paraId="68E286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5100* 1600* 1800</w:t>
            </w:r>
          </w:p>
        </w:tc>
        <w:tc>
          <w:tcPr>
            <w:tcW w:w="531" w:type="pct"/>
            <w:vAlign w:val="center"/>
          </w:tcPr>
          <w:p w14:paraId="196B834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99634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脱脂</w:t>
            </w:r>
          </w:p>
        </w:tc>
      </w:tr>
      <w:tr w14:paraId="5C05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4AC1073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EF671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5CC43F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94C45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53.</w:t>
            </w:r>
          </w:p>
        </w:tc>
        <w:tc>
          <w:tcPr>
            <w:tcW w:w="935" w:type="pct"/>
            <w:vAlign w:val="center"/>
          </w:tcPr>
          <w:p w14:paraId="00171C3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碱铜机</w:t>
            </w:r>
          </w:p>
        </w:tc>
        <w:tc>
          <w:tcPr>
            <w:tcW w:w="1240" w:type="pct"/>
            <w:vAlign w:val="center"/>
          </w:tcPr>
          <w:p w14:paraId="02FB75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5100* 1600* 1800</w:t>
            </w:r>
          </w:p>
        </w:tc>
        <w:tc>
          <w:tcPr>
            <w:tcW w:w="531" w:type="pct"/>
            <w:vAlign w:val="center"/>
          </w:tcPr>
          <w:p w14:paraId="16258FF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7AE971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碱铜</w:t>
            </w:r>
          </w:p>
        </w:tc>
      </w:tr>
      <w:tr w14:paraId="0375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1518E9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6F2F1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3E7F59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9FF9D2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54.</w:t>
            </w:r>
          </w:p>
        </w:tc>
        <w:tc>
          <w:tcPr>
            <w:tcW w:w="935" w:type="pct"/>
            <w:vAlign w:val="center"/>
          </w:tcPr>
          <w:p w14:paraId="503D70F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镀铜机</w:t>
            </w:r>
          </w:p>
        </w:tc>
        <w:tc>
          <w:tcPr>
            <w:tcW w:w="1240" w:type="pct"/>
            <w:vAlign w:val="center"/>
          </w:tcPr>
          <w:p w14:paraId="341C908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5100* 1600* 1800</w:t>
            </w:r>
          </w:p>
        </w:tc>
        <w:tc>
          <w:tcPr>
            <w:tcW w:w="531" w:type="pct"/>
            <w:vAlign w:val="center"/>
          </w:tcPr>
          <w:p w14:paraId="0E254AA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4285EC5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镀铜</w:t>
            </w:r>
          </w:p>
        </w:tc>
      </w:tr>
      <w:tr w14:paraId="6A0C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548131C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7CFCF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FE5D96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ED500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55.</w:t>
            </w:r>
          </w:p>
        </w:tc>
        <w:tc>
          <w:tcPr>
            <w:tcW w:w="935" w:type="pct"/>
            <w:vAlign w:val="center"/>
          </w:tcPr>
          <w:p w14:paraId="62753D5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退铬槽</w:t>
            </w:r>
          </w:p>
        </w:tc>
        <w:tc>
          <w:tcPr>
            <w:tcW w:w="1240" w:type="pct"/>
            <w:vAlign w:val="center"/>
          </w:tcPr>
          <w:p w14:paraId="0B20C7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5100* 1600* 1800</w:t>
            </w:r>
          </w:p>
        </w:tc>
        <w:tc>
          <w:tcPr>
            <w:tcW w:w="531" w:type="pct"/>
            <w:vAlign w:val="center"/>
          </w:tcPr>
          <w:p w14:paraId="6D60A1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5B38AA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退铬</w:t>
            </w:r>
          </w:p>
        </w:tc>
      </w:tr>
      <w:tr w14:paraId="23B7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7D088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1FC1D4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2FFD3F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2BF00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56.</w:t>
            </w:r>
          </w:p>
        </w:tc>
        <w:tc>
          <w:tcPr>
            <w:tcW w:w="935" w:type="pct"/>
            <w:vAlign w:val="center"/>
          </w:tcPr>
          <w:p w14:paraId="138B23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研磨抛光机</w:t>
            </w:r>
          </w:p>
        </w:tc>
        <w:tc>
          <w:tcPr>
            <w:tcW w:w="1240" w:type="pct"/>
            <w:vAlign w:val="center"/>
          </w:tcPr>
          <w:p w14:paraId="56BDC9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4600*2000* 1600</w:t>
            </w:r>
          </w:p>
        </w:tc>
        <w:tc>
          <w:tcPr>
            <w:tcW w:w="531" w:type="pct"/>
            <w:vAlign w:val="center"/>
          </w:tcPr>
          <w:p w14:paraId="0C0CF5A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F633D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研磨</w:t>
            </w:r>
          </w:p>
        </w:tc>
      </w:tr>
      <w:tr w14:paraId="1A10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5109B1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B832B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E2B95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A1AD35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57.</w:t>
            </w:r>
          </w:p>
        </w:tc>
        <w:tc>
          <w:tcPr>
            <w:tcW w:w="935" w:type="pct"/>
            <w:vAlign w:val="center"/>
          </w:tcPr>
          <w:p w14:paraId="4EFD8D4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车磨抛</w:t>
            </w:r>
          </w:p>
        </w:tc>
        <w:tc>
          <w:tcPr>
            <w:tcW w:w="1240" w:type="pct"/>
            <w:vAlign w:val="center"/>
          </w:tcPr>
          <w:p w14:paraId="4E95824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43C44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CDCB15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研磨</w:t>
            </w:r>
          </w:p>
        </w:tc>
      </w:tr>
      <w:tr w14:paraId="4BE6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4B6366E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145B9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E819FF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E15E6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58.</w:t>
            </w:r>
          </w:p>
        </w:tc>
        <w:tc>
          <w:tcPr>
            <w:tcW w:w="935" w:type="pct"/>
            <w:vAlign w:val="center"/>
          </w:tcPr>
          <w:p w14:paraId="6A8E82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自动验点机</w:t>
            </w:r>
          </w:p>
        </w:tc>
        <w:tc>
          <w:tcPr>
            <w:tcW w:w="1240" w:type="pct"/>
            <w:vAlign w:val="center"/>
          </w:tcPr>
          <w:p w14:paraId="6525713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0297FE2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5EBE71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验点</w:t>
            </w:r>
          </w:p>
        </w:tc>
      </w:tr>
      <w:tr w14:paraId="1271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550A0C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1D61A7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0A21DF4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F30D04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59.</w:t>
            </w:r>
          </w:p>
        </w:tc>
        <w:tc>
          <w:tcPr>
            <w:tcW w:w="935" w:type="pct"/>
            <w:vAlign w:val="center"/>
          </w:tcPr>
          <w:p w14:paraId="21A42CB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修版工位（2</w:t>
            </w:r>
          </w:p>
          <w:p w14:paraId="56F2E60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位）</w:t>
            </w:r>
          </w:p>
        </w:tc>
        <w:tc>
          <w:tcPr>
            <w:tcW w:w="1240" w:type="pct"/>
            <w:vAlign w:val="center"/>
          </w:tcPr>
          <w:p w14:paraId="02B8A89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35CE2B0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73BB8C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77CE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19161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5E1CDA3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6CDE77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4AD29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w:t>
            </w:r>
          </w:p>
        </w:tc>
        <w:tc>
          <w:tcPr>
            <w:tcW w:w="935" w:type="pct"/>
            <w:vAlign w:val="center"/>
          </w:tcPr>
          <w:p w14:paraId="2B91915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进料小车工位</w:t>
            </w:r>
          </w:p>
        </w:tc>
        <w:tc>
          <w:tcPr>
            <w:tcW w:w="1240" w:type="pct"/>
            <w:vAlign w:val="center"/>
          </w:tcPr>
          <w:p w14:paraId="5B716E0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0DA06D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4A71C2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5C8C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342" w:type="pct"/>
            <w:vMerge w:val="continue"/>
            <w:vAlign w:val="center"/>
          </w:tcPr>
          <w:p w14:paraId="5D157ED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20B3BA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A2624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24B06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61.</w:t>
            </w:r>
          </w:p>
        </w:tc>
        <w:tc>
          <w:tcPr>
            <w:tcW w:w="935" w:type="pct"/>
            <w:vAlign w:val="center"/>
          </w:tcPr>
          <w:p w14:paraId="7BFF749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出料 agv+2 工位</w:t>
            </w:r>
          </w:p>
        </w:tc>
        <w:tc>
          <w:tcPr>
            <w:tcW w:w="1240" w:type="pct"/>
            <w:vAlign w:val="center"/>
          </w:tcPr>
          <w:p w14:paraId="634B814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99E103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E60D7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C44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trPr>
        <w:tc>
          <w:tcPr>
            <w:tcW w:w="342" w:type="pct"/>
            <w:vMerge w:val="continue"/>
            <w:vAlign w:val="center"/>
          </w:tcPr>
          <w:p w14:paraId="60C434C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00DCA9C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4BF1E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C86E3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62.</w:t>
            </w:r>
          </w:p>
        </w:tc>
        <w:tc>
          <w:tcPr>
            <w:tcW w:w="935" w:type="pct"/>
            <w:vAlign w:val="center"/>
          </w:tcPr>
          <w:p w14:paraId="4419040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桁架机器人（行车）</w:t>
            </w:r>
          </w:p>
        </w:tc>
        <w:tc>
          <w:tcPr>
            <w:tcW w:w="1240" w:type="pct"/>
            <w:vAlign w:val="center"/>
          </w:tcPr>
          <w:p w14:paraId="27301C7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C708FE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w:t>
            </w:r>
          </w:p>
        </w:tc>
        <w:tc>
          <w:tcPr>
            <w:tcW w:w="769" w:type="pct"/>
            <w:vAlign w:val="center"/>
          </w:tcPr>
          <w:p w14:paraId="57278E7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594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7631B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9B5D3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734AE0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D9E1E9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63.</w:t>
            </w:r>
          </w:p>
        </w:tc>
        <w:tc>
          <w:tcPr>
            <w:tcW w:w="935" w:type="pct"/>
            <w:vAlign w:val="center"/>
          </w:tcPr>
          <w:p w14:paraId="3A9DC38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铜线龙门导轨</w:t>
            </w:r>
          </w:p>
        </w:tc>
        <w:tc>
          <w:tcPr>
            <w:tcW w:w="1240" w:type="pct"/>
            <w:vAlign w:val="center"/>
          </w:tcPr>
          <w:p w14:paraId="3793AB1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3830525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0196826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60D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42" w:type="pct"/>
            <w:vMerge w:val="continue"/>
            <w:vAlign w:val="center"/>
          </w:tcPr>
          <w:p w14:paraId="2DF01E3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3869BD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63CF6E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38ED80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64.</w:t>
            </w:r>
          </w:p>
        </w:tc>
        <w:tc>
          <w:tcPr>
            <w:tcW w:w="935" w:type="pct"/>
            <w:vAlign w:val="center"/>
          </w:tcPr>
          <w:p w14:paraId="7547CC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剥胶机</w:t>
            </w:r>
          </w:p>
        </w:tc>
        <w:tc>
          <w:tcPr>
            <w:tcW w:w="1240" w:type="pct"/>
            <w:vAlign w:val="center"/>
          </w:tcPr>
          <w:p w14:paraId="4A8B56F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5300* 1900* 1800</w:t>
            </w:r>
          </w:p>
        </w:tc>
        <w:tc>
          <w:tcPr>
            <w:tcW w:w="531" w:type="pct"/>
            <w:vAlign w:val="center"/>
          </w:tcPr>
          <w:p w14:paraId="7687B5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64F14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剥胶</w:t>
            </w:r>
          </w:p>
        </w:tc>
      </w:tr>
      <w:tr w14:paraId="2784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42" w:type="pct"/>
            <w:vMerge w:val="continue"/>
            <w:vAlign w:val="center"/>
          </w:tcPr>
          <w:p w14:paraId="11A1662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21C67DA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278EA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02E652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65.</w:t>
            </w:r>
          </w:p>
        </w:tc>
        <w:tc>
          <w:tcPr>
            <w:tcW w:w="935" w:type="pct"/>
            <w:vAlign w:val="center"/>
          </w:tcPr>
          <w:p w14:paraId="2294F16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腐蚀机</w:t>
            </w:r>
          </w:p>
        </w:tc>
        <w:tc>
          <w:tcPr>
            <w:tcW w:w="1240" w:type="pct"/>
            <w:vAlign w:val="center"/>
          </w:tcPr>
          <w:p w14:paraId="0D4FB9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5800*2100* 1800</w:t>
            </w:r>
          </w:p>
        </w:tc>
        <w:tc>
          <w:tcPr>
            <w:tcW w:w="531" w:type="pct"/>
            <w:vAlign w:val="center"/>
          </w:tcPr>
          <w:p w14:paraId="2464C04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0128CF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腐蚀</w:t>
            </w:r>
          </w:p>
        </w:tc>
      </w:tr>
      <w:tr w14:paraId="18AF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6E1097E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49CA80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6949F0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3F634B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66.</w:t>
            </w:r>
          </w:p>
        </w:tc>
        <w:tc>
          <w:tcPr>
            <w:tcW w:w="935" w:type="pct"/>
            <w:vAlign w:val="center"/>
          </w:tcPr>
          <w:p w14:paraId="2AB45E4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显影机</w:t>
            </w:r>
          </w:p>
        </w:tc>
        <w:tc>
          <w:tcPr>
            <w:tcW w:w="1240" w:type="pct"/>
            <w:vAlign w:val="center"/>
          </w:tcPr>
          <w:p w14:paraId="4FDFAEA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4600* 1800* 1800</w:t>
            </w:r>
          </w:p>
        </w:tc>
        <w:tc>
          <w:tcPr>
            <w:tcW w:w="531" w:type="pct"/>
            <w:vAlign w:val="center"/>
          </w:tcPr>
          <w:p w14:paraId="1758274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786CBC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显影</w:t>
            </w:r>
          </w:p>
        </w:tc>
      </w:tr>
      <w:tr w14:paraId="3795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42" w:type="pct"/>
            <w:vMerge w:val="continue"/>
            <w:vAlign w:val="center"/>
          </w:tcPr>
          <w:p w14:paraId="1779456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7D41D34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C0895F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8E44C8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67.</w:t>
            </w:r>
          </w:p>
        </w:tc>
        <w:tc>
          <w:tcPr>
            <w:tcW w:w="935" w:type="pct"/>
            <w:vAlign w:val="center"/>
          </w:tcPr>
          <w:p w14:paraId="443D66C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雕刻机</w:t>
            </w:r>
          </w:p>
        </w:tc>
        <w:tc>
          <w:tcPr>
            <w:tcW w:w="1240" w:type="pct"/>
            <w:vAlign w:val="center"/>
          </w:tcPr>
          <w:p w14:paraId="1C301EE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4600*2000* 1800</w:t>
            </w:r>
          </w:p>
        </w:tc>
        <w:tc>
          <w:tcPr>
            <w:tcW w:w="531" w:type="pct"/>
            <w:vAlign w:val="center"/>
          </w:tcPr>
          <w:p w14:paraId="7172158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5CD631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雕刻</w:t>
            </w:r>
          </w:p>
        </w:tc>
      </w:tr>
      <w:tr w14:paraId="0F49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0664B95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2707F04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60ADF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5C86A63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68.</w:t>
            </w:r>
          </w:p>
        </w:tc>
        <w:tc>
          <w:tcPr>
            <w:tcW w:w="935" w:type="pct"/>
            <w:vAlign w:val="center"/>
          </w:tcPr>
          <w:p w14:paraId="5DFD1BB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干燥架</w:t>
            </w:r>
          </w:p>
        </w:tc>
        <w:tc>
          <w:tcPr>
            <w:tcW w:w="1240" w:type="pct"/>
            <w:vAlign w:val="center"/>
          </w:tcPr>
          <w:p w14:paraId="6E5855C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3C1791E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8F175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干燥</w:t>
            </w:r>
          </w:p>
        </w:tc>
      </w:tr>
      <w:tr w14:paraId="516D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342" w:type="pct"/>
            <w:vMerge w:val="continue"/>
            <w:vAlign w:val="center"/>
          </w:tcPr>
          <w:p w14:paraId="4772C57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45E5D18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352677B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7979878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69.</w:t>
            </w:r>
          </w:p>
        </w:tc>
        <w:tc>
          <w:tcPr>
            <w:tcW w:w="935" w:type="pct"/>
            <w:vAlign w:val="center"/>
          </w:tcPr>
          <w:p w14:paraId="00F7BEB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挂胶机</w:t>
            </w:r>
          </w:p>
        </w:tc>
        <w:tc>
          <w:tcPr>
            <w:tcW w:w="1240" w:type="pct"/>
            <w:vAlign w:val="center"/>
          </w:tcPr>
          <w:p w14:paraId="23292BD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4600* 1800*3300</w:t>
            </w:r>
          </w:p>
        </w:tc>
        <w:tc>
          <w:tcPr>
            <w:tcW w:w="531" w:type="pct"/>
            <w:vAlign w:val="center"/>
          </w:tcPr>
          <w:p w14:paraId="45F4F45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4F982B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挂胶</w:t>
            </w:r>
          </w:p>
        </w:tc>
      </w:tr>
      <w:tr w14:paraId="23EF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438EAF9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60BECB5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252EF7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1664BD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70.</w:t>
            </w:r>
          </w:p>
        </w:tc>
        <w:tc>
          <w:tcPr>
            <w:tcW w:w="935" w:type="pct"/>
            <w:vAlign w:val="center"/>
          </w:tcPr>
          <w:p w14:paraId="0C3CE6A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超声波清洗机</w:t>
            </w:r>
          </w:p>
        </w:tc>
        <w:tc>
          <w:tcPr>
            <w:tcW w:w="1240" w:type="pct"/>
            <w:vAlign w:val="center"/>
          </w:tcPr>
          <w:p w14:paraId="0C804A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3800* 1600* 1500</w:t>
            </w:r>
          </w:p>
        </w:tc>
        <w:tc>
          <w:tcPr>
            <w:tcW w:w="531" w:type="pct"/>
            <w:vAlign w:val="center"/>
          </w:tcPr>
          <w:p w14:paraId="21555BD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607103C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超声波清洗</w:t>
            </w:r>
          </w:p>
        </w:tc>
      </w:tr>
      <w:tr w14:paraId="1CF2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33F7145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F3D693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4E52172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6CB6CE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71.</w:t>
            </w:r>
          </w:p>
        </w:tc>
        <w:tc>
          <w:tcPr>
            <w:tcW w:w="935" w:type="pct"/>
            <w:vAlign w:val="center"/>
          </w:tcPr>
          <w:p w14:paraId="2B3B4E3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镀铬槽</w:t>
            </w:r>
          </w:p>
        </w:tc>
        <w:tc>
          <w:tcPr>
            <w:tcW w:w="1240" w:type="pct"/>
            <w:vAlign w:val="center"/>
          </w:tcPr>
          <w:p w14:paraId="45C1EB5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6000*3000*3300</w:t>
            </w:r>
          </w:p>
        </w:tc>
        <w:tc>
          <w:tcPr>
            <w:tcW w:w="531" w:type="pct"/>
            <w:vAlign w:val="center"/>
          </w:tcPr>
          <w:p w14:paraId="3D5DF75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B70B2DB">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镀铬</w:t>
            </w:r>
          </w:p>
        </w:tc>
      </w:tr>
      <w:tr w14:paraId="7872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1A2F124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3D62D1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706AB8A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3635494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72.</w:t>
            </w:r>
          </w:p>
        </w:tc>
        <w:tc>
          <w:tcPr>
            <w:tcW w:w="935" w:type="pct"/>
            <w:vAlign w:val="center"/>
          </w:tcPr>
          <w:p w14:paraId="076A9AE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铬抛机</w:t>
            </w:r>
          </w:p>
        </w:tc>
        <w:tc>
          <w:tcPr>
            <w:tcW w:w="1240" w:type="pct"/>
            <w:vAlign w:val="center"/>
          </w:tcPr>
          <w:p w14:paraId="5A1C3B1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7CD0521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F12C79E">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铬抛</w:t>
            </w:r>
          </w:p>
        </w:tc>
      </w:tr>
      <w:tr w14:paraId="2A57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42" w:type="pct"/>
            <w:vMerge w:val="continue"/>
            <w:vAlign w:val="center"/>
          </w:tcPr>
          <w:p w14:paraId="25A3D3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47" w:type="pct"/>
            <w:vMerge w:val="continue"/>
            <w:vAlign w:val="center"/>
          </w:tcPr>
          <w:p w14:paraId="16BB39C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466" w:type="pct"/>
            <w:vMerge w:val="continue"/>
            <w:vAlign w:val="center"/>
          </w:tcPr>
          <w:p w14:paraId="17D5D0D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897DA2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73.</w:t>
            </w:r>
          </w:p>
        </w:tc>
        <w:tc>
          <w:tcPr>
            <w:tcW w:w="935" w:type="pct"/>
            <w:vAlign w:val="center"/>
          </w:tcPr>
          <w:p w14:paraId="221D022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卸版工位</w:t>
            </w:r>
          </w:p>
        </w:tc>
        <w:tc>
          <w:tcPr>
            <w:tcW w:w="1240" w:type="pct"/>
            <w:vAlign w:val="center"/>
          </w:tcPr>
          <w:p w14:paraId="5D1B58F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2B5CE1A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31147B3D">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6301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1155" w:type="pct"/>
            <w:gridSpan w:val="3"/>
            <w:vMerge w:val="restart"/>
            <w:vAlign w:val="center"/>
          </w:tcPr>
          <w:p w14:paraId="215D292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公用设备</w:t>
            </w:r>
          </w:p>
        </w:tc>
        <w:tc>
          <w:tcPr>
            <w:tcW w:w="367" w:type="pct"/>
            <w:vAlign w:val="center"/>
          </w:tcPr>
          <w:p w14:paraId="46C9C0E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74.</w:t>
            </w:r>
          </w:p>
        </w:tc>
        <w:tc>
          <w:tcPr>
            <w:tcW w:w="935" w:type="pct"/>
            <w:vAlign w:val="center"/>
          </w:tcPr>
          <w:p w14:paraId="3C6D9287">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空压机</w:t>
            </w:r>
          </w:p>
        </w:tc>
        <w:tc>
          <w:tcPr>
            <w:tcW w:w="1240" w:type="pct"/>
            <w:vAlign w:val="center"/>
          </w:tcPr>
          <w:p w14:paraId="77749C8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1800Nm3/h</w:t>
            </w:r>
          </w:p>
        </w:tc>
        <w:tc>
          <w:tcPr>
            <w:tcW w:w="531" w:type="pct"/>
            <w:vAlign w:val="center"/>
          </w:tcPr>
          <w:p w14:paraId="2EF4BA7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4</w:t>
            </w:r>
          </w:p>
        </w:tc>
        <w:tc>
          <w:tcPr>
            <w:tcW w:w="769" w:type="pct"/>
            <w:vAlign w:val="center"/>
          </w:tcPr>
          <w:p w14:paraId="6304F7C1">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压缩空气</w:t>
            </w:r>
          </w:p>
        </w:tc>
      </w:tr>
      <w:tr w14:paraId="522B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1155" w:type="pct"/>
            <w:gridSpan w:val="3"/>
            <w:vMerge w:val="continue"/>
            <w:vAlign w:val="center"/>
          </w:tcPr>
          <w:p w14:paraId="2A26172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218F62C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75.</w:t>
            </w:r>
          </w:p>
        </w:tc>
        <w:tc>
          <w:tcPr>
            <w:tcW w:w="935" w:type="pct"/>
            <w:vAlign w:val="center"/>
          </w:tcPr>
          <w:p w14:paraId="45DF4400">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纯水设备</w:t>
            </w:r>
          </w:p>
        </w:tc>
        <w:tc>
          <w:tcPr>
            <w:tcW w:w="1240" w:type="pct"/>
            <w:vAlign w:val="center"/>
          </w:tcPr>
          <w:p w14:paraId="6ABE1C3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2t/h</w:t>
            </w:r>
          </w:p>
        </w:tc>
        <w:tc>
          <w:tcPr>
            <w:tcW w:w="531" w:type="pct"/>
            <w:vAlign w:val="center"/>
          </w:tcPr>
          <w:p w14:paraId="04DF2FAC">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1E1BA22A">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纯水</w:t>
            </w:r>
          </w:p>
        </w:tc>
      </w:tr>
      <w:tr w14:paraId="5E78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1155" w:type="pct"/>
            <w:gridSpan w:val="3"/>
            <w:vMerge w:val="continue"/>
            <w:vAlign w:val="center"/>
          </w:tcPr>
          <w:p w14:paraId="3F00667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p>
        </w:tc>
        <w:tc>
          <w:tcPr>
            <w:tcW w:w="367" w:type="pct"/>
            <w:vAlign w:val="center"/>
          </w:tcPr>
          <w:p w14:paraId="4FB13609">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76.</w:t>
            </w:r>
          </w:p>
        </w:tc>
        <w:tc>
          <w:tcPr>
            <w:tcW w:w="935" w:type="pct"/>
            <w:vAlign w:val="center"/>
          </w:tcPr>
          <w:p w14:paraId="6A6A11F6">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行车</w:t>
            </w:r>
          </w:p>
        </w:tc>
        <w:tc>
          <w:tcPr>
            <w:tcW w:w="1240" w:type="pct"/>
            <w:vAlign w:val="center"/>
          </w:tcPr>
          <w:p w14:paraId="7F08D3B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c>
          <w:tcPr>
            <w:tcW w:w="531" w:type="pct"/>
            <w:vAlign w:val="center"/>
          </w:tcPr>
          <w:p w14:paraId="78CCA7D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12</w:t>
            </w:r>
          </w:p>
        </w:tc>
        <w:tc>
          <w:tcPr>
            <w:tcW w:w="769" w:type="pct"/>
            <w:vAlign w:val="center"/>
          </w:tcPr>
          <w:p w14:paraId="0C238805">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r w14:paraId="06AB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1" w:hRule="atLeast"/>
        </w:trPr>
        <w:tc>
          <w:tcPr>
            <w:tcW w:w="1155" w:type="pct"/>
            <w:gridSpan w:val="3"/>
            <w:vAlign w:val="center"/>
          </w:tcPr>
          <w:p w14:paraId="7E6A16F2">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环保设备</w:t>
            </w:r>
          </w:p>
        </w:tc>
        <w:tc>
          <w:tcPr>
            <w:tcW w:w="367" w:type="pct"/>
            <w:vAlign w:val="center"/>
          </w:tcPr>
          <w:p w14:paraId="51569F1F">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77.</w:t>
            </w:r>
          </w:p>
        </w:tc>
        <w:tc>
          <w:tcPr>
            <w:tcW w:w="935" w:type="pct"/>
            <w:vAlign w:val="center"/>
          </w:tcPr>
          <w:p w14:paraId="645D8F88">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废水处理设备</w:t>
            </w:r>
          </w:p>
        </w:tc>
        <w:tc>
          <w:tcPr>
            <w:tcW w:w="1240" w:type="pct"/>
            <w:vAlign w:val="center"/>
          </w:tcPr>
          <w:p w14:paraId="4702B293">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处理能力为18m</w:t>
            </w:r>
            <w:r>
              <w:rPr>
                <w:rFonts w:hint="eastAsia" w:ascii="Times New Roman" w:hAnsi="Times New Roman" w:eastAsia="仿宋_GB2312" w:cs="Times New Roman"/>
                <w:snapToGrid w:val="0"/>
                <w:color w:val="auto"/>
                <w:kern w:val="2"/>
                <w:sz w:val="21"/>
                <w:szCs w:val="22"/>
                <w:vertAlign w:val="superscript"/>
                <w:lang w:val="en-US" w:eastAsia="zh-CN" w:bidi="ar-SA"/>
              </w:rPr>
              <w:t>3</w:t>
            </w:r>
            <w:r>
              <w:rPr>
                <w:rFonts w:hint="eastAsia" w:ascii="Times New Roman" w:hAnsi="Times New Roman" w:eastAsia="仿宋_GB2312" w:cs="Times New Roman"/>
                <w:snapToGrid w:val="0"/>
                <w:color w:val="auto"/>
                <w:kern w:val="2"/>
                <w:sz w:val="21"/>
                <w:szCs w:val="22"/>
                <w:lang w:val="en-US" w:eastAsia="zh-CN" w:bidi="ar-SA"/>
              </w:rPr>
              <w:t>/d</w:t>
            </w:r>
          </w:p>
        </w:tc>
        <w:tc>
          <w:tcPr>
            <w:tcW w:w="531" w:type="pct"/>
            <w:vAlign w:val="center"/>
          </w:tcPr>
          <w:p w14:paraId="525B51B4">
            <w:pPr>
              <w:widowControl w:val="0"/>
              <w:kinsoku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1</w:t>
            </w:r>
          </w:p>
        </w:tc>
        <w:tc>
          <w:tcPr>
            <w:tcW w:w="769" w:type="pct"/>
            <w:vAlign w:val="center"/>
          </w:tcPr>
          <w:p w14:paraId="2EF374B9">
            <w:pPr>
              <w:widowControl w:val="0"/>
              <w:kinsoku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仿宋_GB2312" w:cs="Times New Roman"/>
                <w:snapToGrid w:val="0"/>
                <w:color w:val="auto"/>
                <w:kern w:val="2"/>
                <w:sz w:val="21"/>
                <w:szCs w:val="22"/>
                <w:lang w:val="en-US" w:eastAsia="zh-CN" w:bidi="ar-SA"/>
              </w:rPr>
            </w:pPr>
            <w:r>
              <w:rPr>
                <w:rFonts w:hint="eastAsia" w:ascii="Times New Roman" w:hAnsi="Times New Roman" w:eastAsia="仿宋_GB2312" w:cs="Times New Roman"/>
                <w:snapToGrid w:val="0"/>
                <w:color w:val="auto"/>
                <w:kern w:val="2"/>
                <w:sz w:val="21"/>
                <w:szCs w:val="22"/>
                <w:lang w:val="en-US" w:eastAsia="zh-CN" w:bidi="ar-SA"/>
              </w:rPr>
              <w:t>/</w:t>
            </w:r>
          </w:p>
        </w:tc>
      </w:tr>
    </w:tbl>
    <w:p w14:paraId="3625E2E1">
      <w:pPr>
        <w:pStyle w:val="26"/>
        <w:bidi w:val="0"/>
        <w:rPr>
          <w:color w:val="auto"/>
        </w:rPr>
      </w:pPr>
    </w:p>
    <w:p w14:paraId="1DC1EFBA">
      <w:pPr>
        <w:pStyle w:val="3"/>
        <w:bidi w:val="0"/>
        <w:rPr>
          <w:color w:val="auto"/>
          <w:lang w:val="en-US" w:eastAsia="zh-CN"/>
        </w:rPr>
      </w:pPr>
      <w:bookmarkStart w:id="118" w:name="_Toc21447"/>
      <w:bookmarkStart w:id="119" w:name="_Toc8563"/>
      <w:r>
        <w:rPr>
          <w:rFonts w:hint="eastAsia"/>
          <w:color w:val="auto"/>
          <w:lang w:val="en-US" w:eastAsia="zh-CN"/>
        </w:rPr>
        <w:t>现有项目生产工艺流程</w:t>
      </w:r>
      <w:bookmarkEnd w:id="118"/>
      <w:bookmarkEnd w:id="119"/>
    </w:p>
    <w:p w14:paraId="34166705">
      <w:pPr>
        <w:pStyle w:val="4"/>
        <w:rPr>
          <w:color w:val="auto"/>
        </w:rPr>
      </w:pPr>
      <w:bookmarkStart w:id="120" w:name="_Toc17446"/>
      <w:r>
        <w:rPr>
          <w:rFonts w:hint="eastAsia"/>
          <w:color w:val="auto"/>
          <w:lang w:val="en-US" w:eastAsia="zh-CN"/>
        </w:rPr>
        <w:t>压纹版辊</w:t>
      </w:r>
      <w:bookmarkEnd w:id="120"/>
    </w:p>
    <w:p w14:paraId="5BD6C79D">
      <w:pPr>
        <w:rPr>
          <w:rFonts w:hint="default" w:eastAsia="仿宋_GB2312"/>
          <w:color w:val="auto"/>
          <w:lang w:val="en-US" w:eastAsia="zh-CN"/>
        </w:rPr>
      </w:pPr>
      <w:r>
        <w:rPr>
          <w:rFonts w:hint="eastAsia" w:ascii="Times New Roman" w:eastAsia="仿宋_GB2312"/>
          <w:color w:val="auto"/>
          <w:lang w:val="en-US" w:eastAsia="zh-CN"/>
        </w:rPr>
        <w:t>现有项目压纹版辊生产工艺主要为机械加工、激光雕刻（直刻）、电镀等，其中10％的压纹版辊机加工后仅需进行镀铬，无需雕刻、碱铜及镀铜；40％的压纹版辊机加工后进行激光直刻，然后镀铜、镀铬；50％的压纹版辊机加工后进行激光雕刻，然后镀铜、镀铬。现有在产产品生产工艺如下所示：</w:t>
      </w:r>
    </w:p>
    <w:p w14:paraId="00C49BBF">
      <w:pPr>
        <w:pStyle w:val="26"/>
        <w:bidi w:val="0"/>
      </w:pPr>
    </w:p>
    <w:p w14:paraId="5843C6C9">
      <w:pPr>
        <w:pStyle w:val="25"/>
        <w:bidi w:val="0"/>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29B6B8AB">
      <w:pPr>
        <w:pStyle w:val="26"/>
        <w:bidi w:val="0"/>
        <w:rPr>
          <w:rFonts w:hint="eastAsia"/>
          <w:lang w:eastAsia="zh-CN"/>
        </w:rPr>
      </w:pPr>
      <w:r>
        <w:rPr>
          <w:rFonts w:hint="eastAsia"/>
          <w:lang w:eastAsia="zh-CN"/>
        </w:rPr>
        <w:drawing>
          <wp:inline distT="0" distB="0" distL="114300" distR="114300">
            <wp:extent cx="8314055" cy="10436225"/>
            <wp:effectExtent l="0" t="0" r="4445" b="3175"/>
            <wp:docPr id="2" name="图片 2" descr="PixPin_2026-05-13_17-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ixPin_2026-05-13_17-05-32"/>
                    <pic:cNvPicPr>
                      <a:picLocks noChangeAspect="1"/>
                    </pic:cNvPicPr>
                  </pic:nvPicPr>
                  <pic:blipFill>
                    <a:blip r:embed="rId19"/>
                    <a:srcRect l="2548" r="3727" b="6765"/>
                    <a:stretch>
                      <a:fillRect/>
                    </a:stretch>
                  </pic:blipFill>
                  <pic:spPr>
                    <a:xfrm>
                      <a:off x="0" y="0"/>
                      <a:ext cx="8314055" cy="10436225"/>
                    </a:xfrm>
                    <a:prstGeom prst="rect">
                      <a:avLst/>
                    </a:prstGeom>
                  </pic:spPr>
                </pic:pic>
              </a:graphicData>
            </a:graphic>
          </wp:inline>
        </w:drawing>
      </w:r>
    </w:p>
    <w:p w14:paraId="769629AA">
      <w:pPr>
        <w:pStyle w:val="25"/>
        <w:bidi w:val="0"/>
        <w:rPr>
          <w:rFonts w:hint="eastAsia"/>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3.4</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压纹版辊工艺流程及产污环节示意图</w:t>
      </w:r>
    </w:p>
    <w:p w14:paraId="7CD55936">
      <w:pPr>
        <w:bidi w:val="0"/>
        <w:rPr>
          <w:rFonts w:hint="eastAsia"/>
          <w:color w:val="auto"/>
        </w:rPr>
        <w:sectPr>
          <w:pgSz w:w="16838" w:h="23811"/>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4F025B90">
      <w:pPr>
        <w:bidi w:val="0"/>
        <w:rPr>
          <w:rFonts w:hint="eastAsia" w:eastAsia="仿宋_GB2312"/>
          <w:color w:val="auto"/>
          <w:lang w:eastAsia="zh-CN"/>
        </w:rPr>
      </w:pPr>
      <w:r>
        <w:rPr>
          <w:rFonts w:hint="eastAsia" w:eastAsia="仿宋_GB2312"/>
          <w:color w:val="auto"/>
          <w:lang w:eastAsia="zh-CN"/>
        </w:rPr>
        <w:t>工艺流程简述：</w:t>
      </w:r>
    </w:p>
    <w:p w14:paraId="43997EC0">
      <w:pPr>
        <w:bidi w:val="0"/>
        <w:rPr>
          <w:rFonts w:hint="eastAsia" w:eastAsia="仿宋_GB2312"/>
          <w:color w:val="auto"/>
          <w:lang w:eastAsia="zh-CN"/>
        </w:rPr>
      </w:pPr>
      <w:r>
        <w:rPr>
          <w:rFonts w:hint="eastAsia" w:eastAsia="仿宋_GB2312"/>
          <w:b/>
          <w:bCs/>
          <w:color w:val="auto"/>
          <w:lang w:eastAsia="zh-CN"/>
        </w:rPr>
        <w:t>锯料：</w:t>
      </w:r>
      <w:r>
        <w:rPr>
          <w:rFonts w:hint="eastAsia" w:eastAsia="仿宋_GB2312"/>
          <w:color w:val="auto"/>
          <w:lang w:eastAsia="zh-CN"/>
        </w:rPr>
        <w:t>使用锯床将无缝钢管、圆钢锯成所需尺寸。此工段会产生少量金属边角料和碎屑（S1）。</w:t>
      </w:r>
    </w:p>
    <w:p w14:paraId="72812901">
      <w:pPr>
        <w:bidi w:val="0"/>
        <w:rPr>
          <w:rFonts w:hint="eastAsia" w:eastAsia="仿宋_GB2312"/>
          <w:color w:val="auto"/>
          <w:lang w:eastAsia="zh-CN"/>
        </w:rPr>
      </w:pPr>
      <w:r>
        <w:rPr>
          <w:rFonts w:hint="eastAsia" w:eastAsia="仿宋_GB2312"/>
          <w:b/>
          <w:bCs/>
          <w:color w:val="auto"/>
          <w:lang w:eastAsia="zh-CN"/>
        </w:rPr>
        <w:t>车加工：</w:t>
      </w:r>
      <w:r>
        <w:rPr>
          <w:rFonts w:hint="eastAsia" w:eastAsia="仿宋_GB2312"/>
          <w:color w:val="auto"/>
          <w:lang w:eastAsia="zh-CN"/>
        </w:rPr>
        <w:t>使用车床、铣床等进行车加工。加工过程中会产生少量金属边角料和碎屑（S2），由于车加工过程使用乳化液进行冷却，乳化液原液与自来水按比例（1:10）配置而成，乳化液循环使用，不断添加，定期更换（约三个月一次）。此工段会产生定期更换的废乳化液（L1），同时乳化液使用过程中挥发产生少量的有机废气，以非甲烷总烃计（G1）。</w:t>
      </w:r>
    </w:p>
    <w:p w14:paraId="3C22EFCF">
      <w:pPr>
        <w:bidi w:val="0"/>
        <w:rPr>
          <w:rFonts w:hint="eastAsia" w:eastAsia="仿宋_GB2312"/>
          <w:color w:val="auto"/>
          <w:lang w:eastAsia="zh-CN"/>
        </w:rPr>
      </w:pPr>
      <w:r>
        <w:rPr>
          <w:rFonts w:hint="eastAsia" w:eastAsia="仿宋_GB2312"/>
          <w:b/>
          <w:bCs/>
          <w:color w:val="auto"/>
          <w:lang w:eastAsia="zh-CN"/>
        </w:rPr>
        <w:t>装轴：</w:t>
      </w:r>
      <w:r>
        <w:rPr>
          <w:rFonts w:hint="eastAsia" w:eastAsia="仿宋_GB2312"/>
          <w:color w:val="auto"/>
          <w:lang w:eastAsia="zh-CN"/>
        </w:rPr>
        <w:t>对加工好的版辊进行人工装轴。此工段不产生污染物。</w:t>
      </w:r>
    </w:p>
    <w:p w14:paraId="05186CA6">
      <w:pPr>
        <w:bidi w:val="0"/>
        <w:rPr>
          <w:rFonts w:hint="eastAsia" w:eastAsia="仿宋_GB2312"/>
          <w:color w:val="auto"/>
          <w:lang w:eastAsia="zh-CN"/>
        </w:rPr>
      </w:pPr>
      <w:r>
        <w:rPr>
          <w:rFonts w:hint="eastAsia" w:eastAsia="仿宋_GB2312"/>
          <w:b/>
          <w:bCs/>
          <w:color w:val="auto"/>
          <w:lang w:eastAsia="zh-CN"/>
        </w:rPr>
        <w:t>焊接：</w:t>
      </w:r>
      <w:r>
        <w:rPr>
          <w:rFonts w:hint="eastAsia" w:eastAsia="仿宋_GB2312"/>
          <w:color w:val="auto"/>
          <w:lang w:eastAsia="zh-CN"/>
        </w:rPr>
        <w:t>使用无铅焊条，同时辅以乙炔、氧气、氩气、二氧化碳气体助燃及保护，此工段焊接过程中会产生焊接烟尘，以颗粒物计（G2），焊渣（S3）。</w:t>
      </w:r>
    </w:p>
    <w:p w14:paraId="45631B62">
      <w:pPr>
        <w:bidi w:val="0"/>
        <w:rPr>
          <w:rFonts w:hint="eastAsia" w:eastAsia="仿宋_GB2312"/>
          <w:color w:val="auto"/>
          <w:lang w:eastAsia="zh-CN"/>
        </w:rPr>
      </w:pPr>
      <w:r>
        <w:rPr>
          <w:rFonts w:hint="eastAsia" w:eastAsia="仿宋_GB2312"/>
          <w:b/>
          <w:bCs/>
          <w:color w:val="auto"/>
          <w:lang w:eastAsia="zh-CN"/>
        </w:rPr>
        <w:t>车加工：</w:t>
      </w:r>
      <w:r>
        <w:rPr>
          <w:rFonts w:hint="eastAsia" w:eastAsia="仿宋_GB2312"/>
          <w:color w:val="auto"/>
          <w:lang w:eastAsia="zh-CN"/>
        </w:rPr>
        <w:t>使用车床、铣床等进行车加工。加工过程中会产生少量金属边角料和碎屑（S4），由于车加工过程使用乳化液进行冷却，乳化液原液与自来水按比例（1:10）配置而成，乳化液循环使用，不断添加，定期更换（约三个月一次）。此工段会产生定期更换的废乳化液（L2），同时乳化液使用过程中挥发产生少量的有机废气，以非甲烷总烃计（G3）。</w:t>
      </w:r>
    </w:p>
    <w:p w14:paraId="521C0172">
      <w:pPr>
        <w:bidi w:val="0"/>
        <w:rPr>
          <w:rFonts w:hint="eastAsia" w:eastAsia="仿宋_GB2312"/>
          <w:color w:val="auto"/>
          <w:lang w:eastAsia="zh-CN"/>
        </w:rPr>
      </w:pPr>
      <w:r>
        <w:rPr>
          <w:rFonts w:hint="eastAsia" w:eastAsia="仿宋_GB2312"/>
          <w:b/>
          <w:bCs/>
          <w:color w:val="auto"/>
          <w:lang w:eastAsia="zh-CN"/>
        </w:rPr>
        <w:t>磨加工：</w:t>
      </w:r>
      <w:r>
        <w:rPr>
          <w:rFonts w:hint="eastAsia" w:eastAsia="仿宋_GB2312"/>
          <w:color w:val="auto"/>
          <w:lang w:eastAsia="zh-CN"/>
        </w:rPr>
        <w:t>使用磨床对切割、焊接之后的毛刺等进行打磨加工，本次打磨为湿式加工，加工过程使用乳化液进行冷却润滑，乳化液原液和水按比例（1:10）配置而成，乳化液循环使用，不断添加，定期更换（约三个月一次）。此工段会产生少量金属边角料和碎屑（S5）、乳化液使用过程中挥发产生少量的有机废气，以非甲烷总烃计（G4）、定期更换的废乳化液（L3）。</w:t>
      </w:r>
    </w:p>
    <w:p w14:paraId="3D653AA3">
      <w:pPr>
        <w:bidi w:val="0"/>
        <w:rPr>
          <w:rFonts w:hint="eastAsia" w:eastAsia="仿宋_GB2312"/>
          <w:color w:val="auto"/>
          <w:lang w:eastAsia="zh-CN"/>
        </w:rPr>
      </w:pPr>
      <w:r>
        <w:rPr>
          <w:rFonts w:hint="eastAsia" w:eastAsia="仿宋_GB2312"/>
          <w:b/>
          <w:bCs/>
          <w:color w:val="auto"/>
          <w:lang w:eastAsia="zh-CN"/>
        </w:rPr>
        <w:t>挤压：</w:t>
      </w:r>
      <w:r>
        <w:rPr>
          <w:rFonts w:hint="eastAsia" w:eastAsia="仿宋_GB2312"/>
          <w:color w:val="auto"/>
          <w:lang w:eastAsia="zh-CN"/>
        </w:rPr>
        <w:t>使用挤压机按客户要求物理挤压出图案，使用浓度为3％的硝酸进行边缘腐蚀处理，使得机加工后的版辊边缘光滑，还可以去除机加工后版辊上的少量油污；同时稀硝酸与钢材会产生微量腐蚀反应，可对挤压后的图案进行雾化处理，提高后续电镀层的附着力。</w:t>
      </w:r>
    </w:p>
    <w:p w14:paraId="36874A7C">
      <w:pPr>
        <w:bidi w:val="0"/>
        <w:rPr>
          <w:rFonts w:hint="eastAsia" w:eastAsia="仿宋_GB2312"/>
          <w:color w:val="auto"/>
          <w:lang w:eastAsia="zh-CN"/>
        </w:rPr>
      </w:pPr>
      <w:r>
        <w:rPr>
          <w:rFonts w:hint="eastAsia" w:eastAsia="仿宋_GB2312"/>
          <w:color w:val="auto"/>
          <w:lang w:eastAsia="zh-CN"/>
        </w:rPr>
        <w:t>根据《污染源源强核算技术指南 电镀》（HJ 984-2018），在质量百分浓度≤3%稀硝酸溶液中清洗铝、不锈钢钝化、锌镀层出光等氮氧化物产生情况可忽略。</w:t>
      </w:r>
    </w:p>
    <w:p w14:paraId="349E8BEF">
      <w:pPr>
        <w:bidi w:val="0"/>
        <w:rPr>
          <w:rFonts w:hint="eastAsia" w:eastAsia="仿宋_GB2312"/>
          <w:color w:val="auto"/>
          <w:lang w:eastAsia="zh-CN"/>
        </w:rPr>
      </w:pPr>
      <w:r>
        <w:rPr>
          <w:rFonts w:hint="eastAsia" w:eastAsia="仿宋_GB2312"/>
          <w:color w:val="auto"/>
          <w:lang w:eastAsia="zh-CN"/>
        </w:rPr>
        <w:t>此过程会产生少量硝酸废液（L6）。</w:t>
      </w:r>
    </w:p>
    <w:p w14:paraId="0B9E5424">
      <w:pPr>
        <w:bidi w:val="0"/>
        <w:rPr>
          <w:rFonts w:hint="eastAsia" w:eastAsia="仿宋_GB2312"/>
          <w:b/>
          <w:bCs/>
          <w:color w:val="auto"/>
          <w:lang w:eastAsia="zh-CN"/>
        </w:rPr>
      </w:pPr>
      <w:r>
        <w:rPr>
          <w:rFonts w:hint="eastAsia" w:eastAsia="仿宋_GB2312"/>
          <w:b/>
          <w:bCs/>
          <w:color w:val="auto"/>
          <w:lang w:eastAsia="zh-CN"/>
        </w:rPr>
        <w:t>挤压后的版辊无需进行镀铜，进入下一步镀铬工序即可，约占版辊总产能 10％。</w:t>
      </w:r>
    </w:p>
    <w:p w14:paraId="55156BC0">
      <w:pPr>
        <w:bidi w:val="0"/>
        <w:rPr>
          <w:rFonts w:hint="eastAsia" w:eastAsia="仿宋_GB2312"/>
          <w:color w:val="auto"/>
          <w:lang w:eastAsia="zh-CN"/>
        </w:rPr>
      </w:pPr>
      <w:r>
        <w:rPr>
          <w:rFonts w:hint="eastAsia" w:eastAsia="仿宋_GB2312"/>
          <w:b/>
          <w:bCs/>
          <w:color w:val="auto"/>
          <w:lang w:eastAsia="zh-CN"/>
        </w:rPr>
        <w:t>喷淋清洗</w:t>
      </w:r>
      <w:r>
        <w:rPr>
          <w:rFonts w:hint="eastAsia" w:eastAsia="仿宋_GB2312"/>
          <w:color w:val="auto"/>
          <w:lang w:eastAsia="zh-CN"/>
        </w:rPr>
        <w:t>：使用金属清洗剂及纯水，调配浓度约为 20％的清洗剂，在装版台位置（装版台下设储液槽），在常温下，打开喷头对版辊表面进行喷淋冲洗，喷淋时间约30s（一边喷淋一边手动砂纸打磨），喷头流量约 30L/min ，喷淋产生的清洗废水进厂内自建污水处理站。此工段产生清洗废水（W1）、废砂纸（S6）。</w:t>
      </w:r>
    </w:p>
    <w:p w14:paraId="6B397201">
      <w:pPr>
        <w:bidi w:val="0"/>
        <w:rPr>
          <w:rFonts w:hint="eastAsia" w:eastAsia="仿宋_GB2312"/>
          <w:color w:val="auto"/>
          <w:lang w:eastAsia="zh-CN"/>
        </w:rPr>
      </w:pPr>
      <w:r>
        <w:rPr>
          <w:rFonts w:hint="eastAsia" w:eastAsia="仿宋_GB2312"/>
          <w:b/>
          <w:bCs/>
          <w:color w:val="auto"/>
          <w:lang w:eastAsia="zh-CN"/>
        </w:rPr>
        <w:t>碱铜：</w:t>
      </w:r>
      <w:r>
        <w:rPr>
          <w:rFonts w:hint="eastAsia" w:eastAsia="仿宋_GB2312"/>
          <w:color w:val="auto"/>
          <w:lang w:eastAsia="zh-CN"/>
        </w:rPr>
        <w:t>使用碱铜 B 、C 添加剂加入纯水调配碱性溶液，对碱铜槽进行电加热，工作温度控制在 45-50℃</w:t>
      </w:r>
      <w:r>
        <w:rPr>
          <w:rFonts w:hint="eastAsia"/>
          <w:color w:val="auto"/>
          <w:lang w:eastAsia="zh-CN"/>
        </w:rPr>
        <w:t>，</w:t>
      </w:r>
      <w:r>
        <w:rPr>
          <w:rFonts w:hint="eastAsia" w:eastAsia="仿宋_GB2312"/>
          <w:color w:val="auto"/>
          <w:lang w:eastAsia="zh-CN"/>
        </w:rPr>
        <w:t>pH 9.3-9.8，保持铜离子浓度在 6—8g/L ，将版辊浸泡至槽体溶液内约 5min 。将碱铜槽中自带的高纯紫铜表面铜氧化成为可镀铜的活性铜，并清除表面的还原物，以促进铜离子的吸附。碱铜的作用主要为在版辊表面镀一层薄铜，防止在镀铜过程中，镀铜槽中的药剂与钢辊表面产生反应。由于碱铜的镀覆铜层较薄，故需再进行镀铜进行强化。</w:t>
      </w:r>
    </w:p>
    <w:p w14:paraId="344381D3">
      <w:pPr>
        <w:bidi w:val="0"/>
        <w:rPr>
          <w:rFonts w:hint="eastAsia" w:eastAsia="仿宋_GB2312"/>
          <w:color w:val="auto"/>
          <w:lang w:eastAsia="zh-CN"/>
        </w:rPr>
      </w:pPr>
      <w:r>
        <w:rPr>
          <w:rFonts w:hint="eastAsia" w:eastAsia="仿宋_GB2312"/>
          <w:color w:val="auto"/>
          <w:lang w:eastAsia="zh-CN"/>
        </w:rPr>
        <w:t>碱铜后，铜槽内的碱铜液下降回流至储液槽，槽体内的纯水喷头自动开启喷淋清洗，喷淋时间约 5s ，喷头流量约 10L/min ，清洗水产生量约为 0.83L ，清洗水进入储液槽内，由于碱铜一次整体过程需要约 1h 左右，且镀铜过程中需对槽液进行电加热，喷淋清洗后的清洗水量 0.83L 与镀铜过程中的水分蒸发量可平衡。</w:t>
      </w:r>
    </w:p>
    <w:p w14:paraId="238B9A32">
      <w:pPr>
        <w:bidi w:val="0"/>
        <w:rPr>
          <w:rFonts w:hint="eastAsia" w:eastAsia="仿宋_GB2312"/>
          <w:color w:val="auto"/>
          <w:lang w:eastAsia="zh-CN"/>
        </w:rPr>
      </w:pPr>
      <w:r>
        <w:rPr>
          <w:rFonts w:hint="eastAsia" w:eastAsia="仿宋_GB2312"/>
          <w:color w:val="auto"/>
          <w:lang w:eastAsia="zh-CN"/>
        </w:rPr>
        <w:t>故喷淋清洗后的清洗水进入碱铜液储液槽，作为槽液蒸发消耗量补充，清洗水不外排，此工段不产生清洗废水。</w:t>
      </w:r>
    </w:p>
    <w:p w14:paraId="7EC519C9">
      <w:pPr>
        <w:bidi w:val="0"/>
        <w:rPr>
          <w:rFonts w:hint="eastAsia" w:eastAsia="仿宋_GB2312"/>
          <w:color w:val="auto"/>
          <w:lang w:eastAsia="zh-CN"/>
        </w:rPr>
      </w:pPr>
      <w:r>
        <w:rPr>
          <w:rFonts w:hint="eastAsia" w:eastAsia="仿宋_GB2312"/>
          <w:color w:val="auto"/>
          <w:lang w:eastAsia="zh-CN"/>
        </w:rPr>
        <w:t>为保持槽体浓度，日常定期对槽体取样分析槽液浓度，根据分析结果，对槽液定期添加药剂或者加入纯水稀释，槽体内槽液日常循环使用；为防止长期使用槽液可能影响电镀效果，企业约每两年更换一次新槽液。此工段会产生碱铜废液（L4）。</w:t>
      </w:r>
    </w:p>
    <w:p w14:paraId="045D42DB">
      <w:pPr>
        <w:bidi w:val="0"/>
        <w:rPr>
          <w:rFonts w:hint="eastAsia" w:eastAsia="仿宋_GB2312"/>
          <w:color w:val="auto"/>
          <w:lang w:eastAsia="zh-CN"/>
        </w:rPr>
      </w:pPr>
      <w:r>
        <w:rPr>
          <w:rFonts w:hint="eastAsia" w:eastAsia="仿宋_GB2312"/>
          <w:b/>
          <w:bCs/>
          <w:color w:val="auto"/>
          <w:lang w:eastAsia="zh-CN"/>
        </w:rPr>
        <w:t>镀铜：</w:t>
      </w:r>
      <w:r>
        <w:rPr>
          <w:rFonts w:hint="eastAsia" w:eastAsia="仿宋_GB2312"/>
          <w:color w:val="auto"/>
          <w:lang w:eastAsia="zh-CN"/>
        </w:rPr>
        <w:t>属于电解镀铜，将碱铜处理后的版辊浸入含有铜离子的酸性电解液（使用磷铜球、硫酸、铜添加剂（G-1、G-2）及纯水调配）中，保证反应后的溶液中硫酸铜 190—240g/L 、硫酸 55—70g/L ，控制镀槽温度在38-40℃,磷铜球为阳极，被氧化成阳离子进入电镀液，版辊为阴极，磷铜球被氧化成的阳离子在版辊表面被还原形成镀层。</w:t>
      </w:r>
    </w:p>
    <w:p w14:paraId="4A3BAB12">
      <w:pPr>
        <w:bidi w:val="0"/>
        <w:rPr>
          <w:rFonts w:hint="eastAsia" w:eastAsia="仿宋_GB2312"/>
          <w:color w:val="auto"/>
          <w:lang w:eastAsia="zh-CN"/>
        </w:rPr>
      </w:pPr>
      <w:r>
        <w:rPr>
          <w:rFonts w:hint="eastAsia" w:eastAsia="仿宋_GB2312"/>
          <w:color w:val="auto"/>
          <w:lang w:eastAsia="zh-CN"/>
        </w:rPr>
        <w:t>镀铜后，铜槽内的镀铜液下降回流至储液槽，槽体内的纯水喷头自动开启喷淋清洗，喷淋时间约 10s ，喷头流量约 30L/min ，清洗水产生量约为 5L ，清洗水进入储液槽内，由于镀铜一次整体需要约4h 左右，且镀铜过程中需对槽液进行电加热，喷淋清洗后的清洗水量 5L 与镀铜过程中的水分蒸发量可平衡。</w:t>
      </w:r>
    </w:p>
    <w:p w14:paraId="6B013C0A">
      <w:pPr>
        <w:bidi w:val="0"/>
        <w:rPr>
          <w:rFonts w:hint="eastAsia" w:eastAsia="仿宋_GB2312"/>
          <w:color w:val="auto"/>
          <w:lang w:eastAsia="zh-CN"/>
        </w:rPr>
      </w:pPr>
      <w:r>
        <w:rPr>
          <w:rFonts w:hint="eastAsia" w:eastAsia="仿宋_GB2312"/>
          <w:color w:val="auto"/>
          <w:lang w:eastAsia="zh-CN"/>
        </w:rPr>
        <w:t>故喷淋清洗后的清洗水进入镀铜液储液槽，作为槽液蒸发消耗量补充，冲洗水不外排，此工段不产生清洗废水。</w:t>
      </w:r>
    </w:p>
    <w:p w14:paraId="38862475">
      <w:pPr>
        <w:bidi w:val="0"/>
        <w:rPr>
          <w:rFonts w:hint="eastAsia" w:eastAsia="仿宋_GB2312"/>
          <w:color w:val="auto"/>
          <w:lang w:eastAsia="zh-CN"/>
        </w:rPr>
      </w:pPr>
      <w:r>
        <w:rPr>
          <w:rFonts w:hint="eastAsia" w:eastAsia="仿宋_GB2312"/>
          <w:color w:val="auto"/>
          <w:lang w:eastAsia="zh-CN"/>
        </w:rPr>
        <w:t>为保持槽体浓度， 日常定期对槽体取样分析槽液浓度，根据分析结果，对槽液定期添加药剂或者加入纯水稀释，槽体内槽液日常循环使用；为防止长期使用槽液可能影响电镀效果，企业约每两年更换一次新槽液。</w:t>
      </w:r>
    </w:p>
    <w:p w14:paraId="06E2CB67">
      <w:pPr>
        <w:bidi w:val="0"/>
        <w:rPr>
          <w:rFonts w:hint="eastAsia" w:eastAsia="仿宋_GB2312"/>
          <w:color w:val="auto"/>
          <w:lang w:eastAsia="zh-CN"/>
        </w:rPr>
      </w:pPr>
      <w:r>
        <w:rPr>
          <w:rFonts w:hint="eastAsia" w:eastAsia="仿宋_GB2312"/>
          <w:color w:val="auto"/>
          <w:lang w:eastAsia="zh-CN"/>
        </w:rPr>
        <w:t>铜添加剂G-2成分组成为聚乙二醇 5.0%、聚丙二醇 2.0%、蝶酰谷氨酸 2.0%、水 91.0%，根据查阅相关资料聚丙二醇无挥发性，聚乙二醇考虑少量挥发（按非甲烷总烃）。</w:t>
      </w:r>
    </w:p>
    <w:p w14:paraId="2B74999E">
      <w:pPr>
        <w:bidi w:val="0"/>
        <w:rPr>
          <w:rFonts w:hint="eastAsia" w:eastAsia="仿宋_GB2312"/>
          <w:color w:val="auto"/>
          <w:lang w:eastAsia="zh-CN"/>
        </w:rPr>
      </w:pPr>
      <w:r>
        <w:rPr>
          <w:rFonts w:hint="eastAsia" w:eastAsia="仿宋_GB2312"/>
          <w:color w:val="auto"/>
          <w:lang w:eastAsia="zh-CN"/>
        </w:rPr>
        <w:t>故此工段会产生镀铜废液（L5）、硫酸雾（G5）。</w:t>
      </w:r>
    </w:p>
    <w:p w14:paraId="5FDDB57B">
      <w:pPr>
        <w:bidi w:val="0"/>
        <w:rPr>
          <w:rFonts w:hint="eastAsia" w:eastAsia="仿宋_GB2312"/>
          <w:color w:val="auto"/>
          <w:lang w:eastAsia="zh-CN"/>
        </w:rPr>
      </w:pPr>
      <w:r>
        <w:rPr>
          <w:rFonts w:hint="eastAsia" w:eastAsia="仿宋_GB2312"/>
          <w:b/>
          <w:bCs/>
          <w:color w:val="auto"/>
          <w:lang w:eastAsia="zh-CN"/>
        </w:rPr>
        <w:t>检验：</w:t>
      </w:r>
      <w:r>
        <w:rPr>
          <w:rFonts w:hint="eastAsia" w:eastAsia="仿宋_GB2312"/>
          <w:color w:val="auto"/>
          <w:lang w:eastAsia="zh-CN"/>
        </w:rPr>
        <w:t>镀铜后，不合格的版辊回至机加工，合格品进入下一步湿式打磨工段。</w:t>
      </w:r>
    </w:p>
    <w:p w14:paraId="41B2AF19">
      <w:pPr>
        <w:bidi w:val="0"/>
        <w:rPr>
          <w:rFonts w:hint="eastAsia" w:eastAsia="仿宋_GB2312"/>
          <w:color w:val="auto"/>
          <w:lang w:eastAsia="zh-CN"/>
        </w:rPr>
      </w:pPr>
      <w:r>
        <w:rPr>
          <w:rFonts w:hint="eastAsia" w:eastAsia="仿宋_GB2312"/>
          <w:b/>
          <w:bCs/>
          <w:color w:val="auto"/>
          <w:lang w:eastAsia="zh-CN"/>
        </w:rPr>
        <w:t>湿式打磨：</w:t>
      </w:r>
      <w:r>
        <w:rPr>
          <w:rFonts w:hint="eastAsia" w:eastAsia="仿宋_GB2312"/>
          <w:color w:val="auto"/>
          <w:lang w:eastAsia="zh-CN"/>
        </w:rPr>
        <w:t>对镀铜后的版辊的铜层使用打磨机一边喷淋一边进行湿式打磨，使版 辊表面光滑均匀，便于下一步雕刻。此工段会产生金属碎屑（S7）、研磨废水（W2）。</w:t>
      </w:r>
    </w:p>
    <w:p w14:paraId="059B68CD">
      <w:pPr>
        <w:bidi w:val="0"/>
        <w:rPr>
          <w:rFonts w:hint="eastAsia" w:eastAsia="仿宋_GB2312"/>
          <w:color w:val="auto"/>
          <w:lang w:eastAsia="zh-CN"/>
        </w:rPr>
      </w:pPr>
      <w:r>
        <w:rPr>
          <w:rFonts w:hint="eastAsia" w:eastAsia="仿宋_GB2312"/>
          <w:b/>
          <w:bCs/>
          <w:color w:val="auto"/>
          <w:lang w:eastAsia="zh-CN"/>
        </w:rPr>
        <w:t>动平衡检测：</w:t>
      </w:r>
      <w:r>
        <w:rPr>
          <w:rFonts w:hint="eastAsia" w:eastAsia="仿宋_GB2312"/>
          <w:color w:val="auto"/>
          <w:lang w:eastAsia="zh-CN"/>
        </w:rPr>
        <w:t>使用平衡机，对机加工后的带轴压纹版辊进行动平衡检测，即在转动状态下，测定转子不平衡重量所在方位，以及确定平衡重力应加的位置与大小，根据平衡机测出的数据对转子的不平衡量进行校正。确保产品在生产过程中保持稳定。</w:t>
      </w:r>
    </w:p>
    <w:p w14:paraId="1FE56834">
      <w:pPr>
        <w:bidi w:val="0"/>
        <w:rPr>
          <w:rFonts w:hint="eastAsia" w:eastAsia="仿宋_GB2312"/>
          <w:color w:val="auto"/>
          <w:lang w:eastAsia="zh-CN"/>
        </w:rPr>
      </w:pPr>
      <w:r>
        <w:rPr>
          <w:rFonts w:hint="eastAsia" w:eastAsia="仿宋_GB2312"/>
          <w:b/>
          <w:bCs/>
          <w:color w:val="auto"/>
          <w:lang w:eastAsia="zh-CN"/>
        </w:rPr>
        <w:t>喷砂：</w:t>
      </w:r>
      <w:r>
        <w:rPr>
          <w:rFonts w:hint="eastAsia" w:eastAsia="仿宋_GB2312"/>
          <w:color w:val="auto"/>
          <w:lang w:eastAsia="zh-CN"/>
        </w:rPr>
        <w:t>使用喷砂机对机加工后的钢辊进行喷砂加工，采用压缩空气为动力，以形成高速喷射束将喷料（白刚玉、玻璃珠）高速喷射到需处理的版辊表面，使表面的外表或形状发生变化，使表面获得一定的清洁度和不同的粗糙度，表面的机械性能得到改善，因此提高了版辊的抗疲劳性，增加了它和涂层之间的附着力，有利于涂料的流平和装饰。此工段会产生少量颗粒物（G6）及长期使用后产生的废白刚玉、玻璃珠（S8）。</w:t>
      </w:r>
    </w:p>
    <w:p w14:paraId="554D398B">
      <w:pPr>
        <w:bidi w:val="0"/>
        <w:rPr>
          <w:rFonts w:hint="eastAsia" w:eastAsia="仿宋_GB2312"/>
          <w:color w:val="auto"/>
          <w:lang w:eastAsia="zh-CN"/>
        </w:rPr>
      </w:pPr>
      <w:r>
        <w:rPr>
          <w:rFonts w:hint="eastAsia" w:eastAsia="仿宋_GB2312"/>
          <w:color w:val="auto"/>
          <w:lang w:eastAsia="zh-CN"/>
        </w:rPr>
        <w:t>喷砂后进入下一步雕刻流程。雕刻分为激光直刻及激光雕刻工艺，主要区别为激光直刻工艺仅进行机械雕刻；激光雕刻工艺为对喷胶面进行雕刻，再根据胶面雕刻图案对版辊进行腐蚀，可以腐蚀出更为丰富、复杂多样化的图案，同时对版辊无离子损伤，腐蚀过程容易控制，成本较低。</w:t>
      </w:r>
    </w:p>
    <w:p w14:paraId="40483BFD">
      <w:pPr>
        <w:bidi w:val="0"/>
        <w:rPr>
          <w:rFonts w:hint="eastAsia" w:eastAsia="仿宋_GB2312"/>
          <w:color w:val="auto"/>
          <w:lang w:eastAsia="zh-CN"/>
        </w:rPr>
      </w:pPr>
      <w:r>
        <w:rPr>
          <w:rFonts w:hint="eastAsia" w:eastAsia="仿宋_GB2312"/>
          <w:b/>
          <w:bCs/>
          <w:color w:val="auto"/>
          <w:lang w:eastAsia="zh-CN"/>
        </w:rPr>
        <w:t>激光直刻：</w:t>
      </w:r>
      <w:r>
        <w:rPr>
          <w:rFonts w:hint="eastAsia" w:eastAsia="仿宋_GB2312"/>
          <w:color w:val="auto"/>
          <w:lang w:eastAsia="zh-CN"/>
        </w:rPr>
        <w:t>使用激光雕刻机，根据客户要求的图案类型，对产品进行雕刻。此过程会产生金属颗粒物（G7）。</w:t>
      </w:r>
    </w:p>
    <w:p w14:paraId="238814C5">
      <w:pPr>
        <w:bidi w:val="0"/>
        <w:rPr>
          <w:rFonts w:hint="eastAsia" w:eastAsia="仿宋_GB2312"/>
          <w:color w:val="auto"/>
          <w:lang w:eastAsia="zh-CN"/>
        </w:rPr>
      </w:pPr>
      <w:r>
        <w:rPr>
          <w:rFonts w:hint="eastAsia" w:eastAsia="仿宋_GB2312"/>
          <w:b/>
          <w:bCs/>
          <w:color w:val="auto"/>
          <w:lang w:eastAsia="zh-CN"/>
        </w:rPr>
        <w:t>脱脂清洗：</w:t>
      </w:r>
      <w:r>
        <w:rPr>
          <w:rFonts w:hint="eastAsia" w:eastAsia="仿宋_GB2312"/>
          <w:color w:val="auto"/>
          <w:lang w:eastAsia="zh-CN"/>
        </w:rPr>
        <w:t>镀铬前，在铬清洗槽内，将储液槽内的脱脂液升至工作槽内，版辊浸泡至槽体内，使用氢氧化钠，浓度为 60—70g/L ，电加热至35-40℃</w:t>
      </w:r>
      <w:r>
        <w:rPr>
          <w:rFonts w:hint="eastAsia"/>
          <w:color w:val="auto"/>
          <w:lang w:eastAsia="zh-CN"/>
        </w:rPr>
        <w:t>，</w:t>
      </w:r>
      <w:r>
        <w:rPr>
          <w:rFonts w:hint="eastAsia" w:eastAsia="仿宋_GB2312"/>
          <w:color w:val="auto"/>
          <w:lang w:eastAsia="zh-CN"/>
        </w:rPr>
        <w:t>浸泡10—15min。浸泡完成后，脱脂液下降至储液槽，打开喷头，对版辊进行喷淋冲洗，冲洗时间 30s ，喷头流量约 30L/min 。此工段产生脱脂槽液（L7）、清洗废水（W3）。</w:t>
      </w:r>
    </w:p>
    <w:p w14:paraId="24D7FFFB">
      <w:pPr>
        <w:bidi w:val="0"/>
        <w:rPr>
          <w:rFonts w:hint="eastAsia" w:eastAsia="仿宋_GB2312"/>
          <w:b/>
          <w:bCs/>
          <w:color w:val="auto"/>
          <w:lang w:eastAsia="zh-CN"/>
        </w:rPr>
      </w:pPr>
      <w:r>
        <w:rPr>
          <w:rFonts w:hint="eastAsia" w:eastAsia="仿宋_GB2312"/>
          <w:b/>
          <w:bCs/>
          <w:color w:val="auto"/>
          <w:lang w:eastAsia="zh-CN"/>
        </w:rPr>
        <w:t>脱脂清洗完成后，分为电解及浸蚀处理。</w:t>
      </w:r>
    </w:p>
    <w:p w14:paraId="6C1661C7">
      <w:pPr>
        <w:bidi w:val="0"/>
        <w:rPr>
          <w:rFonts w:hint="eastAsia" w:eastAsia="仿宋_GB2312"/>
          <w:color w:val="auto"/>
          <w:lang w:eastAsia="zh-CN"/>
        </w:rPr>
      </w:pPr>
      <w:r>
        <w:rPr>
          <w:rFonts w:hint="eastAsia" w:eastAsia="仿宋_GB2312"/>
          <w:b/>
          <w:bCs/>
          <w:color w:val="auto"/>
          <w:lang w:eastAsia="zh-CN"/>
        </w:rPr>
        <w:t>电解：</w:t>
      </w:r>
      <w:r>
        <w:rPr>
          <w:rFonts w:hint="eastAsia" w:eastAsia="仿宋_GB2312"/>
          <w:color w:val="auto"/>
          <w:lang w:eastAsia="zh-CN"/>
        </w:rPr>
        <w:t>利用电流通过金属版辊和电解液之间的界面产生的电化学反应来实现金属的溶解。可去除表面污垢，提高表面光洁度； 增加表面的活性，有利于后续镀层的附着力等。其主要步骤如下：</w:t>
      </w:r>
    </w:p>
    <w:p w14:paraId="5788503A">
      <w:pPr>
        <w:bidi w:val="0"/>
        <w:rPr>
          <w:rFonts w:hint="eastAsia" w:eastAsia="仿宋_GB2312"/>
          <w:color w:val="auto"/>
          <w:lang w:eastAsia="zh-CN"/>
        </w:rPr>
      </w:pPr>
      <w:r>
        <w:rPr>
          <w:rFonts w:hint="eastAsia" w:eastAsia="仿宋_GB2312"/>
          <w:color w:val="auto"/>
          <w:lang w:eastAsia="zh-CN"/>
        </w:rPr>
        <w:t>构成电池：在电解过程中，版辊作为阳极，电解液中的离子作为阴极，二者通过电解液连接形成一个电池系统。</w:t>
      </w:r>
    </w:p>
    <w:p w14:paraId="5D0C8D58">
      <w:pPr>
        <w:bidi w:val="0"/>
        <w:rPr>
          <w:rFonts w:hint="eastAsia" w:eastAsia="仿宋_GB2312"/>
          <w:color w:val="auto"/>
          <w:lang w:eastAsia="zh-CN"/>
        </w:rPr>
      </w:pPr>
      <w:r>
        <w:rPr>
          <w:rFonts w:hint="eastAsia" w:eastAsia="仿宋_GB2312"/>
          <w:color w:val="auto"/>
          <w:lang w:eastAsia="zh-CN"/>
        </w:rPr>
        <w:t>电解液溶解金属：当直流电流通过电解液时，阳极金属会发生氧化反应，释放出金属离子进入电解液中。</w:t>
      </w:r>
    </w:p>
    <w:p w14:paraId="6AA00DFF">
      <w:pPr>
        <w:bidi w:val="0"/>
        <w:rPr>
          <w:rFonts w:hint="eastAsia" w:eastAsia="仿宋_GB2312"/>
          <w:color w:val="auto"/>
          <w:lang w:eastAsia="zh-CN"/>
        </w:rPr>
      </w:pPr>
      <w:r>
        <w:rPr>
          <w:rFonts w:hint="eastAsia" w:eastAsia="仿宋_GB2312"/>
          <w:color w:val="auto"/>
          <w:lang w:eastAsia="zh-CN"/>
        </w:rPr>
        <w:t>使用磷酸、电解添加剂调配电解液，磷酸浓度为850—1000g/L，在温度为25-30℃下，电解10—15min左右。</w:t>
      </w:r>
    </w:p>
    <w:p w14:paraId="77F64F73">
      <w:pPr>
        <w:bidi w:val="0"/>
        <w:rPr>
          <w:rFonts w:hint="eastAsia" w:eastAsia="仿宋_GB2312"/>
          <w:color w:val="auto"/>
          <w:lang w:eastAsia="zh-CN"/>
        </w:rPr>
      </w:pPr>
      <w:r>
        <w:rPr>
          <w:rFonts w:hint="eastAsia" w:eastAsia="仿宋_GB2312"/>
          <w:color w:val="auto"/>
          <w:lang w:eastAsia="zh-CN"/>
        </w:rPr>
        <w:t>根据查阅相关资料，磷酸是三元中强酸，为高沸点酸，沸点为261℃</w:t>
      </w:r>
      <w:r>
        <w:rPr>
          <w:rFonts w:hint="eastAsia"/>
          <w:color w:val="auto"/>
          <w:lang w:eastAsia="zh-CN"/>
        </w:rPr>
        <w:t>，</w:t>
      </w:r>
      <w:r>
        <w:rPr>
          <w:rFonts w:hint="eastAsia" w:eastAsia="仿宋_GB2312"/>
          <w:color w:val="auto"/>
          <w:lang w:eastAsia="zh-CN"/>
        </w:rPr>
        <w:t>不易挥发，不易分解，几乎没有氧化性。本次电解槽液温度为25-30℃</w:t>
      </w:r>
      <w:r>
        <w:rPr>
          <w:rFonts w:hint="eastAsia"/>
          <w:color w:val="auto"/>
          <w:lang w:eastAsia="zh-CN"/>
        </w:rPr>
        <w:t>，</w:t>
      </w:r>
      <w:r>
        <w:rPr>
          <w:rFonts w:hint="eastAsia" w:eastAsia="仿宋_GB2312"/>
          <w:color w:val="auto"/>
          <w:lang w:eastAsia="zh-CN"/>
        </w:rPr>
        <w:t>且电解时间较短，在槽体内盖板工作，故本次不考虑磷酸挥发产生磷酸雾。</w:t>
      </w:r>
    </w:p>
    <w:p w14:paraId="77D81429">
      <w:pPr>
        <w:bidi w:val="0"/>
        <w:rPr>
          <w:rFonts w:hint="eastAsia" w:eastAsia="仿宋_GB2312"/>
          <w:color w:val="auto"/>
          <w:lang w:eastAsia="zh-CN"/>
        </w:rPr>
      </w:pPr>
      <w:r>
        <w:rPr>
          <w:rFonts w:hint="eastAsia" w:eastAsia="仿宋_GB2312"/>
          <w:color w:val="auto"/>
          <w:lang w:eastAsia="zh-CN"/>
        </w:rPr>
        <w:t>此工段会产生废电解液（L8）。</w:t>
      </w:r>
    </w:p>
    <w:p w14:paraId="1D404D84">
      <w:pPr>
        <w:bidi w:val="0"/>
        <w:rPr>
          <w:rFonts w:hint="eastAsia" w:eastAsia="仿宋_GB2312"/>
          <w:color w:val="auto"/>
          <w:lang w:eastAsia="zh-CN"/>
        </w:rPr>
      </w:pPr>
      <w:r>
        <w:rPr>
          <w:rFonts w:hint="eastAsia" w:eastAsia="仿宋_GB2312"/>
          <w:b/>
          <w:bCs/>
          <w:color w:val="auto"/>
          <w:lang w:eastAsia="zh-CN"/>
        </w:rPr>
        <w:t>浸蚀：</w:t>
      </w:r>
      <w:r>
        <w:rPr>
          <w:rFonts w:hint="eastAsia" w:eastAsia="仿宋_GB2312"/>
          <w:color w:val="auto"/>
          <w:lang w:eastAsia="zh-CN"/>
        </w:rPr>
        <w:t>使用硫酸、双氧水、55 环保型铜化学抛光 B 剂调配溶液，对版辊表面轻微溶蚀，给版辊表面以增加粗糙度，去除直刻版辊激光烧灼形成的氧化物，为后续的镀铬提供一个微粗糙的活性铜表面。为了达到理想的效果，浸蚀深度通常控制在0.6~1.2μm。浸蚀液浓度控制为双氧水50g/L，硫酸 100g/L，在温度为15-20℃下，浸泡10—15min左右。</w:t>
      </w:r>
    </w:p>
    <w:p w14:paraId="33814531">
      <w:pPr>
        <w:bidi w:val="0"/>
        <w:rPr>
          <w:rFonts w:hint="eastAsia" w:eastAsia="仿宋_GB2312"/>
          <w:color w:val="auto"/>
          <w:lang w:eastAsia="zh-CN"/>
        </w:rPr>
      </w:pPr>
      <w:r>
        <w:rPr>
          <w:rFonts w:hint="eastAsia" w:eastAsia="仿宋_GB2312"/>
          <w:color w:val="auto"/>
          <w:lang w:eastAsia="zh-CN"/>
        </w:rPr>
        <w:t>反应方程式如下：</w:t>
      </w:r>
    </w:p>
    <w:p w14:paraId="39EAC1F5">
      <w:pPr>
        <w:bidi w:val="0"/>
        <w:rPr>
          <w:rFonts w:hint="eastAsia" w:eastAsia="仿宋_GB2312"/>
          <w:color w:val="auto"/>
          <w:lang w:eastAsia="zh-CN"/>
        </w:rPr>
      </w:pPr>
      <w:r>
        <w:rPr>
          <w:rFonts w:hint="eastAsia" w:eastAsia="仿宋_GB2312"/>
          <w:color w:val="auto"/>
          <w:lang w:eastAsia="zh-CN"/>
        </w:rPr>
        <w:t>H</w:t>
      </w:r>
      <w:r>
        <w:rPr>
          <w:rFonts w:hint="eastAsia" w:eastAsia="仿宋_GB2312"/>
          <w:color w:val="auto"/>
          <w:vertAlign w:val="subscript"/>
          <w:lang w:eastAsia="zh-CN"/>
        </w:rPr>
        <w:t>2</w:t>
      </w:r>
      <w:r>
        <w:rPr>
          <w:rFonts w:hint="eastAsia" w:eastAsia="仿宋_GB2312"/>
          <w:color w:val="auto"/>
          <w:lang w:eastAsia="zh-CN"/>
        </w:rPr>
        <w:t>SO</w:t>
      </w:r>
      <w:r>
        <w:rPr>
          <w:rFonts w:hint="eastAsia" w:eastAsia="仿宋_GB2312"/>
          <w:color w:val="auto"/>
          <w:vertAlign w:val="subscript"/>
          <w:lang w:eastAsia="zh-CN"/>
        </w:rPr>
        <w:t>4</w:t>
      </w:r>
      <w:r>
        <w:rPr>
          <w:rFonts w:hint="eastAsia" w:eastAsia="仿宋_GB2312"/>
          <w:color w:val="auto"/>
          <w:lang w:eastAsia="zh-CN"/>
        </w:rPr>
        <w:t>+ H</w:t>
      </w:r>
      <w:r>
        <w:rPr>
          <w:rFonts w:hint="eastAsia" w:eastAsia="仿宋_GB2312"/>
          <w:color w:val="auto"/>
          <w:vertAlign w:val="subscript"/>
          <w:lang w:eastAsia="zh-CN"/>
        </w:rPr>
        <w:t>2</w:t>
      </w:r>
      <w:r>
        <w:rPr>
          <w:rFonts w:hint="eastAsia"/>
          <w:color w:val="auto"/>
          <w:lang w:val="en-US" w:eastAsia="zh-CN"/>
        </w:rPr>
        <w:t>O</w:t>
      </w:r>
      <w:r>
        <w:rPr>
          <w:rFonts w:hint="eastAsia" w:eastAsia="仿宋_GB2312"/>
          <w:color w:val="auto"/>
          <w:vertAlign w:val="subscript"/>
          <w:lang w:eastAsia="zh-CN"/>
        </w:rPr>
        <w:t>2</w:t>
      </w:r>
      <w:r>
        <w:rPr>
          <w:rFonts w:hint="eastAsia" w:eastAsia="仿宋_GB2312"/>
          <w:color w:val="auto"/>
          <w:lang w:eastAsia="zh-CN"/>
        </w:rPr>
        <w:t>+ Cu→CuS</w:t>
      </w:r>
      <w:r>
        <w:rPr>
          <w:rFonts w:hint="eastAsia"/>
          <w:color w:val="auto"/>
          <w:lang w:val="en-US" w:eastAsia="zh-CN"/>
        </w:rPr>
        <w:t>O</w:t>
      </w:r>
      <w:r>
        <w:rPr>
          <w:rFonts w:hint="eastAsia" w:eastAsia="仿宋_GB2312"/>
          <w:color w:val="auto"/>
          <w:vertAlign w:val="subscript"/>
          <w:lang w:eastAsia="zh-CN"/>
        </w:rPr>
        <w:t>4</w:t>
      </w:r>
      <w:r>
        <w:rPr>
          <w:rFonts w:hint="eastAsia" w:eastAsia="仿宋_GB2312"/>
          <w:color w:val="auto"/>
          <w:lang w:eastAsia="zh-CN"/>
        </w:rPr>
        <w:t>+ 2H</w:t>
      </w:r>
      <w:r>
        <w:rPr>
          <w:rFonts w:hint="eastAsia" w:eastAsia="仿宋_GB2312"/>
          <w:color w:val="auto"/>
          <w:vertAlign w:val="subscript"/>
          <w:lang w:eastAsia="zh-CN"/>
        </w:rPr>
        <w:t>2</w:t>
      </w:r>
      <w:r>
        <w:rPr>
          <w:rFonts w:hint="eastAsia"/>
          <w:color w:val="auto"/>
          <w:lang w:val="en-US" w:eastAsia="zh-CN"/>
        </w:rPr>
        <w:t>O</w:t>
      </w:r>
    </w:p>
    <w:p w14:paraId="29229C71">
      <w:pPr>
        <w:bidi w:val="0"/>
        <w:rPr>
          <w:rFonts w:hint="eastAsia" w:eastAsia="仿宋_GB2312"/>
          <w:color w:val="auto"/>
          <w:lang w:eastAsia="zh-CN"/>
        </w:rPr>
      </w:pPr>
      <w:r>
        <w:rPr>
          <w:rFonts w:hint="eastAsia" w:eastAsia="仿宋_GB2312"/>
          <w:color w:val="auto"/>
          <w:lang w:eastAsia="zh-CN"/>
        </w:rPr>
        <w:t>同时在55环保型铜化学抛光B剂的作用下，达成良好均匀的粗化效果，反应方程式如下：</w:t>
      </w:r>
    </w:p>
    <w:p w14:paraId="3F0E122A">
      <w:pPr>
        <w:bidi w:val="0"/>
        <w:rPr>
          <w:rFonts w:hint="eastAsia" w:eastAsia="仿宋_GB2312"/>
          <w:color w:val="auto"/>
          <w:lang w:eastAsia="zh-CN"/>
        </w:rPr>
      </w:pPr>
      <w:r>
        <w:rPr>
          <w:rFonts w:hint="eastAsia" w:eastAsia="仿宋_GB2312"/>
          <w:color w:val="auto"/>
          <w:lang w:eastAsia="zh-CN"/>
        </w:rPr>
        <w:t>阴极反应：Cu</w:t>
      </w:r>
      <w:r>
        <w:rPr>
          <w:rFonts w:hint="eastAsia" w:eastAsia="仿宋_GB2312"/>
          <w:color w:val="auto"/>
          <w:vertAlign w:val="superscript"/>
          <w:lang w:eastAsia="zh-CN"/>
        </w:rPr>
        <w:t>+</w:t>
      </w:r>
      <w:r>
        <w:rPr>
          <w:rFonts w:hint="eastAsia" w:eastAsia="仿宋_GB2312"/>
          <w:color w:val="auto"/>
          <w:lang w:eastAsia="zh-CN"/>
        </w:rPr>
        <w:t xml:space="preserve"> + 2e</w:t>
      </w:r>
      <w:r>
        <w:rPr>
          <w:rFonts w:hint="eastAsia" w:eastAsia="仿宋_GB2312"/>
          <w:color w:val="auto"/>
          <w:vertAlign w:val="superscript"/>
          <w:lang w:eastAsia="zh-CN"/>
        </w:rPr>
        <w:t>-</w:t>
      </w:r>
      <w:r>
        <w:rPr>
          <w:rFonts w:hint="eastAsia" w:eastAsia="仿宋_GB2312"/>
          <w:color w:val="auto"/>
          <w:lang w:eastAsia="zh-CN"/>
        </w:rPr>
        <w:t>→Cu</w:t>
      </w:r>
    </w:p>
    <w:p w14:paraId="2508E8A2">
      <w:pPr>
        <w:bidi w:val="0"/>
        <w:rPr>
          <w:rFonts w:hint="eastAsia" w:eastAsia="仿宋_GB2312"/>
          <w:color w:val="auto"/>
          <w:lang w:eastAsia="zh-CN"/>
        </w:rPr>
      </w:pPr>
      <w:r>
        <w:rPr>
          <w:rFonts w:hint="eastAsia" w:eastAsia="仿宋_GB2312"/>
          <w:color w:val="auto"/>
          <w:lang w:eastAsia="zh-CN"/>
        </w:rPr>
        <w:t>阳极反应：2</w:t>
      </w:r>
      <w:r>
        <w:rPr>
          <w:rFonts w:hint="eastAsia"/>
          <w:color w:val="auto"/>
          <w:lang w:val="en-US" w:eastAsia="zh-CN"/>
        </w:rPr>
        <w:t>O</w:t>
      </w:r>
      <w:r>
        <w:rPr>
          <w:rFonts w:hint="eastAsia" w:eastAsia="仿宋_GB2312"/>
          <w:color w:val="auto"/>
          <w:lang w:eastAsia="zh-CN"/>
        </w:rPr>
        <w:t>H</w:t>
      </w:r>
      <w:r>
        <w:rPr>
          <w:rFonts w:hint="eastAsia" w:eastAsia="仿宋_GB2312"/>
          <w:color w:val="auto"/>
          <w:vertAlign w:val="superscript"/>
          <w:lang w:eastAsia="zh-CN"/>
        </w:rPr>
        <w:t>-</w:t>
      </w:r>
      <w:r>
        <w:rPr>
          <w:rFonts w:hint="eastAsia" w:eastAsia="仿宋_GB2312"/>
          <w:color w:val="auto"/>
          <w:lang w:eastAsia="zh-CN"/>
        </w:rPr>
        <w:t xml:space="preserve"> - 2e</w:t>
      </w:r>
      <w:r>
        <w:rPr>
          <w:rFonts w:hint="eastAsia" w:eastAsia="仿宋_GB2312"/>
          <w:color w:val="auto"/>
          <w:vertAlign w:val="superscript"/>
          <w:lang w:eastAsia="zh-CN"/>
        </w:rPr>
        <w:t>-</w:t>
      </w:r>
      <w:r>
        <w:rPr>
          <w:rFonts w:hint="eastAsia" w:eastAsia="仿宋_GB2312"/>
          <w:color w:val="auto"/>
          <w:lang w:eastAsia="zh-CN"/>
        </w:rPr>
        <w:t>→H</w:t>
      </w:r>
      <w:r>
        <w:rPr>
          <w:rFonts w:hint="eastAsia" w:eastAsia="仿宋_GB2312"/>
          <w:color w:val="auto"/>
          <w:vertAlign w:val="subscript"/>
          <w:lang w:eastAsia="zh-CN"/>
        </w:rPr>
        <w:t>2</w:t>
      </w:r>
      <w:r>
        <w:rPr>
          <w:rFonts w:hint="eastAsia" w:eastAsia="仿宋_GB2312"/>
          <w:color w:val="auto"/>
          <w:lang w:eastAsia="zh-CN"/>
        </w:rPr>
        <w:t>O + 1/2</w:t>
      </w:r>
      <w:r>
        <w:rPr>
          <w:rFonts w:hint="eastAsia"/>
          <w:color w:val="auto"/>
          <w:lang w:val="en-US" w:eastAsia="zh-CN"/>
        </w:rPr>
        <w:t>O</w:t>
      </w:r>
      <w:r>
        <w:rPr>
          <w:rFonts w:hint="eastAsia" w:eastAsia="仿宋_GB2312"/>
          <w:color w:val="auto"/>
          <w:vertAlign w:val="subscript"/>
          <w:lang w:eastAsia="zh-CN"/>
        </w:rPr>
        <w:t>2</w:t>
      </w:r>
    </w:p>
    <w:p w14:paraId="687298CE">
      <w:pPr>
        <w:bidi w:val="0"/>
        <w:rPr>
          <w:rFonts w:hint="eastAsia" w:eastAsia="仿宋_GB2312"/>
          <w:color w:val="auto"/>
          <w:lang w:eastAsia="zh-CN"/>
        </w:rPr>
      </w:pPr>
      <w:r>
        <w:rPr>
          <w:rFonts w:hint="eastAsia" w:eastAsia="仿宋_GB2312"/>
          <w:color w:val="auto"/>
          <w:lang w:eastAsia="zh-CN"/>
        </w:rPr>
        <w:t>保持槽体浓度，定期添加药剂，日常循环使用，约每两年更换一次槽液。此工段产生废浸蚀液（L9）、硫酸雾（G8）。</w:t>
      </w:r>
    </w:p>
    <w:p w14:paraId="4D649A46">
      <w:pPr>
        <w:bidi w:val="0"/>
        <w:rPr>
          <w:rFonts w:hint="eastAsia" w:eastAsia="仿宋_GB2312"/>
          <w:color w:val="auto"/>
          <w:lang w:eastAsia="zh-CN"/>
        </w:rPr>
      </w:pPr>
      <w:r>
        <w:rPr>
          <w:rFonts w:hint="eastAsia" w:eastAsia="仿宋_GB2312"/>
          <w:b/>
          <w:bCs/>
          <w:color w:val="auto"/>
          <w:lang w:eastAsia="zh-CN"/>
        </w:rPr>
        <w:t>喷酸清洗：</w:t>
      </w:r>
      <w:r>
        <w:rPr>
          <w:rFonts w:hint="eastAsia" w:eastAsia="仿宋_GB2312"/>
          <w:color w:val="auto"/>
          <w:lang w:eastAsia="zh-CN"/>
        </w:rPr>
        <w:t>使用浓度约为3％的稀硫酸，对电解浸蚀后的版辊进行清洗，继续清除版辊表面上的薄锈或氧化膜。喷酸清洗在铬清洗槽位置进行，此工段产生酸洗废水（W4）、硫酸雾（G9）。</w:t>
      </w:r>
    </w:p>
    <w:p w14:paraId="291D3F41">
      <w:pPr>
        <w:bidi w:val="0"/>
        <w:rPr>
          <w:rFonts w:hint="eastAsia" w:eastAsia="仿宋_GB2312"/>
          <w:color w:val="auto"/>
          <w:lang w:eastAsia="zh-CN"/>
        </w:rPr>
      </w:pPr>
      <w:r>
        <w:rPr>
          <w:rFonts w:hint="eastAsia" w:eastAsia="仿宋_GB2312"/>
          <w:b/>
          <w:bCs/>
          <w:color w:val="auto"/>
          <w:lang w:eastAsia="zh-CN"/>
        </w:rPr>
        <w:t>调胶：</w:t>
      </w:r>
      <w:r>
        <w:rPr>
          <w:rFonts w:hint="eastAsia" w:eastAsia="仿宋_GB2312"/>
          <w:color w:val="auto"/>
          <w:lang w:eastAsia="zh-CN"/>
        </w:rPr>
        <w:t>压纹版辊在喷胶前，需先对购入的3307 单层耐高温涂料使用二甲苯进行调胶稀释，在密闭的调胶车间中，手动将3307单层耐高温涂料与二甲苯按5：3的比例，装入专用的容器中进行调配，调配后的液体密封加盖后，装入喷胶设备中。此过程中会产生调胶废气，主要污染因子为有机废气，以非甲烷总烃计（G10）、二甲苯（G11）。</w:t>
      </w:r>
    </w:p>
    <w:p w14:paraId="05DA8452">
      <w:pPr>
        <w:bidi w:val="0"/>
        <w:rPr>
          <w:rFonts w:hint="eastAsia" w:eastAsia="仿宋_GB2312"/>
          <w:color w:val="auto"/>
          <w:lang w:eastAsia="zh-CN"/>
        </w:rPr>
      </w:pPr>
      <w:r>
        <w:rPr>
          <w:rFonts w:hint="eastAsia" w:eastAsia="仿宋_GB2312"/>
          <w:b/>
          <w:bCs/>
          <w:color w:val="auto"/>
          <w:lang w:eastAsia="zh-CN"/>
        </w:rPr>
        <w:t>喷胶：</w:t>
      </w:r>
      <w:r>
        <w:rPr>
          <w:rFonts w:hint="eastAsia" w:eastAsia="仿宋_GB2312"/>
          <w:color w:val="auto"/>
          <w:lang w:eastAsia="zh-CN"/>
        </w:rPr>
        <w:t>使用喷胶设备在密闭车间内进行喷胶，喷胶是指向版面喷涂一层均匀的激光胶（二甲苯稀释后的 3307 单层耐高温涂料），喷胶后自然干燥 10min 即可，无需进行加热烘烤。此过程会产生有机废气非甲烷总烃计（G12），二甲苯废气（G13）。</w:t>
      </w:r>
    </w:p>
    <w:p w14:paraId="60E854C0">
      <w:pPr>
        <w:bidi w:val="0"/>
        <w:rPr>
          <w:rFonts w:hint="eastAsia" w:eastAsia="仿宋_GB2312"/>
          <w:color w:val="auto"/>
          <w:lang w:eastAsia="zh-CN"/>
        </w:rPr>
      </w:pPr>
      <w:r>
        <w:rPr>
          <w:rFonts w:hint="eastAsia" w:eastAsia="仿宋_GB2312"/>
          <w:b/>
          <w:bCs/>
          <w:color w:val="auto"/>
          <w:lang w:eastAsia="zh-CN"/>
        </w:rPr>
        <w:t>激光雕刻：</w:t>
      </w:r>
      <w:r>
        <w:rPr>
          <w:rFonts w:hint="eastAsia" w:eastAsia="仿宋_GB2312"/>
          <w:color w:val="auto"/>
          <w:lang w:eastAsia="zh-CN"/>
        </w:rPr>
        <w:t>使用激光雕刻机，根据客户要求的图案类型，对产品进行机械雕刻。激光机喷射出激光束将图文部分所对应的胶层直接灼烧，瞬间气化。此过程会产生有机废气，以非甲烷总烃（G14）及二甲苯（G15）计，以及颗粒物（G16）。</w:t>
      </w:r>
    </w:p>
    <w:p w14:paraId="64546AD1">
      <w:pPr>
        <w:bidi w:val="0"/>
        <w:rPr>
          <w:rFonts w:hint="eastAsia" w:eastAsia="仿宋_GB2312"/>
          <w:color w:val="auto"/>
          <w:lang w:eastAsia="zh-CN"/>
        </w:rPr>
      </w:pPr>
      <w:r>
        <w:rPr>
          <w:rFonts w:hint="eastAsia" w:eastAsia="仿宋_GB2312"/>
          <w:b/>
          <w:bCs/>
          <w:color w:val="auto"/>
          <w:lang w:eastAsia="zh-CN"/>
        </w:rPr>
        <w:t>腐蚀：</w:t>
      </w:r>
      <w:r>
        <w:rPr>
          <w:rFonts w:hint="eastAsia" w:eastAsia="仿宋_GB2312"/>
          <w:color w:val="auto"/>
          <w:lang w:eastAsia="zh-CN"/>
        </w:rPr>
        <w:t>使用盐酸、氯酸钠调配腐蚀液，对版面进行腐蚀，由于图文部分的胶层已被打开，被腐蚀后形成凹下去的网穴。腐蚀液定期添补，每两年更换一次，此过程会产生氯化氢废气（G17）、废腐蚀液（L10）。</w:t>
      </w:r>
    </w:p>
    <w:p w14:paraId="6F2658AB">
      <w:pPr>
        <w:bidi w:val="0"/>
        <w:rPr>
          <w:rFonts w:hint="eastAsia" w:eastAsia="仿宋_GB2312"/>
          <w:color w:val="auto"/>
          <w:lang w:eastAsia="zh-CN"/>
        </w:rPr>
      </w:pPr>
      <w:r>
        <w:rPr>
          <w:rFonts w:hint="eastAsia" w:eastAsia="仿宋_GB2312"/>
          <w:b/>
          <w:bCs/>
          <w:color w:val="auto"/>
          <w:lang w:eastAsia="zh-CN"/>
        </w:rPr>
        <w:t>清洁：</w:t>
      </w:r>
      <w:r>
        <w:rPr>
          <w:rFonts w:hint="eastAsia" w:eastAsia="仿宋_GB2312"/>
          <w:color w:val="auto"/>
          <w:lang w:eastAsia="zh-CN"/>
        </w:rPr>
        <w:t>在车间内设置清洁工位，对腐蚀后的版辊表面使用酒精对处理后的版辊进行清洁，清除残余胶料，此过程会产生有机废气，以非甲烷总烃计（G18）、废擦拭物（S9）。</w:t>
      </w:r>
    </w:p>
    <w:p w14:paraId="1B112394">
      <w:pPr>
        <w:bidi w:val="0"/>
        <w:rPr>
          <w:rFonts w:hint="eastAsia" w:eastAsia="仿宋_GB2312"/>
          <w:color w:val="auto"/>
          <w:lang w:eastAsia="zh-CN"/>
        </w:rPr>
      </w:pPr>
      <w:r>
        <w:rPr>
          <w:rFonts w:hint="eastAsia" w:eastAsia="仿宋_GB2312"/>
          <w:b/>
          <w:bCs/>
          <w:color w:val="auto"/>
          <w:lang w:eastAsia="zh-CN"/>
        </w:rPr>
        <w:t>物理打磨：</w:t>
      </w:r>
      <w:r>
        <w:rPr>
          <w:rFonts w:hint="eastAsia" w:eastAsia="仿宋_GB2312"/>
          <w:color w:val="auto"/>
          <w:lang w:eastAsia="zh-CN"/>
        </w:rPr>
        <w:t>使用打磨机进行物理打磨，增加版辊表面的粗糙光滑度，此过程会产生少量金属颗粒物（G19）。</w:t>
      </w:r>
    </w:p>
    <w:p w14:paraId="1539818D">
      <w:pPr>
        <w:bidi w:val="0"/>
        <w:rPr>
          <w:rFonts w:hint="eastAsia" w:eastAsia="仿宋_GB2312"/>
          <w:color w:val="auto"/>
          <w:lang w:eastAsia="zh-CN"/>
        </w:rPr>
      </w:pPr>
      <w:r>
        <w:rPr>
          <w:rFonts w:hint="eastAsia" w:eastAsia="仿宋_GB2312"/>
          <w:b/>
          <w:bCs/>
          <w:color w:val="auto"/>
          <w:lang w:eastAsia="zh-CN"/>
        </w:rPr>
        <w:t>喷砂：</w:t>
      </w:r>
      <w:r>
        <w:rPr>
          <w:rFonts w:hint="eastAsia" w:eastAsia="仿宋_GB2312"/>
          <w:color w:val="auto"/>
          <w:lang w:eastAsia="zh-CN"/>
        </w:rPr>
        <w:t>与前段喷砂工艺相同，使用喷砂机对机加工腐蚀后的钢辊进行喷砂加工，采用压缩空气为动力，以形成高速喷射束将喷料（白刚玉、玻璃珠）高速喷射到需处理版辊表面，使表面的外表或形状发生变化，表面获得一定的清洁度和不同的粗糙度，版辊表面的机械性能得到改善，因此提高了版辊的抗疲劳性，增加了它和涂层之间的附着力，有利于涂料的流平和装饰。此工段会产生少量颗粒物（G20）及长期使用后产生的废白刚玉、玻璃珠（S10）。</w:t>
      </w:r>
    </w:p>
    <w:p w14:paraId="5F30F7D3">
      <w:pPr>
        <w:bidi w:val="0"/>
        <w:rPr>
          <w:rFonts w:hint="eastAsia" w:eastAsia="仿宋_GB2312"/>
          <w:color w:val="auto"/>
          <w:lang w:eastAsia="zh-CN"/>
        </w:rPr>
      </w:pPr>
      <w:r>
        <w:rPr>
          <w:rFonts w:hint="eastAsia" w:eastAsia="仿宋_GB2312"/>
          <w:b/>
          <w:bCs/>
          <w:color w:val="auto"/>
          <w:lang w:eastAsia="zh-CN"/>
        </w:rPr>
        <w:t>打样：</w:t>
      </w:r>
      <w:r>
        <w:rPr>
          <w:rFonts w:hint="eastAsia" w:eastAsia="仿宋_GB2312"/>
          <w:color w:val="auto"/>
          <w:lang w:eastAsia="zh-CN"/>
        </w:rPr>
        <w:t>对已经完成机加工及雕刻的版辊使用皮革硬压纹理，送至客户检验。此过程无污染产生。</w:t>
      </w:r>
    </w:p>
    <w:p w14:paraId="4037D51C">
      <w:pPr>
        <w:bidi w:val="0"/>
        <w:rPr>
          <w:rFonts w:hint="eastAsia" w:eastAsia="仿宋_GB2312"/>
          <w:color w:val="auto"/>
          <w:lang w:eastAsia="zh-CN"/>
        </w:rPr>
      </w:pPr>
      <w:r>
        <w:rPr>
          <w:rFonts w:hint="eastAsia" w:eastAsia="仿宋_GB2312"/>
          <w:b/>
          <w:bCs/>
          <w:color w:val="auto"/>
          <w:lang w:eastAsia="zh-CN"/>
        </w:rPr>
        <w:t>喷淋清洗：</w:t>
      </w:r>
      <w:r>
        <w:rPr>
          <w:rFonts w:hint="eastAsia" w:eastAsia="仿宋_GB2312"/>
          <w:color w:val="auto"/>
          <w:lang w:eastAsia="zh-CN"/>
        </w:rPr>
        <w:t>镀铬前，在铬清洗槽对版辊进行喷淋清洗，使用纯水喷淋清洗，在常温下，对版辊表面进行喷淋冲洗，喷淋时间约 30s ，喷头流量约 30L/min 。此工段产生清洗废水（W5）。</w:t>
      </w:r>
    </w:p>
    <w:p w14:paraId="1828481F">
      <w:pPr>
        <w:bidi w:val="0"/>
        <w:rPr>
          <w:rFonts w:hint="eastAsia" w:eastAsia="仿宋_GB2312"/>
          <w:color w:val="auto"/>
          <w:lang w:eastAsia="zh-CN"/>
        </w:rPr>
      </w:pPr>
      <w:r>
        <w:rPr>
          <w:rFonts w:hint="eastAsia" w:eastAsia="仿宋_GB2312"/>
          <w:b/>
          <w:bCs/>
          <w:color w:val="auto"/>
          <w:lang w:eastAsia="zh-CN"/>
        </w:rPr>
        <w:t>镀铬（挤压、激光直刻、激光雕刻后镀铬工艺均一致）：</w:t>
      </w:r>
      <w:r>
        <w:rPr>
          <w:rFonts w:hint="eastAsia" w:eastAsia="仿宋_GB2312"/>
          <w:color w:val="auto"/>
          <w:lang w:eastAsia="zh-CN"/>
        </w:rPr>
        <w:t>使用铬酐、铬添加剂进行镀铬，铬酐为主盐，浓度为180～220g/L；铬添加剂起催化剂作用，浓度2.5～4g/L，加入铬酸雾抑制剂。</w:t>
      </w:r>
    </w:p>
    <w:p w14:paraId="190F538F">
      <w:pPr>
        <w:bidi w:val="0"/>
        <w:rPr>
          <w:rFonts w:hint="eastAsia" w:eastAsia="仿宋_GB2312"/>
          <w:color w:val="auto"/>
          <w:lang w:eastAsia="zh-CN"/>
        </w:rPr>
      </w:pPr>
      <w:r>
        <w:rPr>
          <w:rFonts w:hint="eastAsia" w:eastAsia="仿宋_GB2312"/>
          <w:color w:val="auto"/>
          <w:lang w:eastAsia="zh-CN"/>
        </w:rPr>
        <w:t>阴极反应：Cr</w:t>
      </w:r>
      <w:r>
        <w:rPr>
          <w:rFonts w:hint="eastAsia" w:eastAsia="仿宋_GB2312"/>
          <w:color w:val="auto"/>
          <w:vertAlign w:val="subscript"/>
          <w:lang w:eastAsia="zh-CN"/>
        </w:rPr>
        <w:t>2</w:t>
      </w:r>
      <w:r>
        <w:rPr>
          <w:rFonts w:hint="eastAsia" w:eastAsia="仿宋_GB2312"/>
          <w:color w:val="auto"/>
          <w:lang w:eastAsia="zh-CN"/>
        </w:rPr>
        <w:t>O</w:t>
      </w:r>
      <w:r>
        <w:rPr>
          <w:rFonts w:hint="eastAsia" w:eastAsia="仿宋_GB2312"/>
          <w:color w:val="auto"/>
          <w:vertAlign w:val="subscript"/>
          <w:lang w:eastAsia="zh-CN"/>
        </w:rPr>
        <w:t>7</w:t>
      </w:r>
      <w:r>
        <w:rPr>
          <w:rFonts w:hint="eastAsia" w:eastAsia="仿宋_GB2312"/>
          <w:color w:val="auto"/>
          <w:lang w:eastAsia="zh-CN"/>
        </w:rPr>
        <w:t xml:space="preserve"> </w:t>
      </w:r>
      <w:r>
        <w:rPr>
          <w:rFonts w:hint="eastAsia" w:eastAsia="仿宋_GB2312"/>
          <w:color w:val="auto"/>
          <w:vertAlign w:val="superscript"/>
          <w:lang w:eastAsia="zh-CN"/>
        </w:rPr>
        <w:t>2-</w:t>
      </w:r>
      <w:r>
        <w:rPr>
          <w:rFonts w:hint="eastAsia" w:eastAsia="仿宋_GB2312"/>
          <w:color w:val="auto"/>
          <w:lang w:eastAsia="zh-CN"/>
        </w:rPr>
        <w:t>+14H</w:t>
      </w:r>
      <w:r>
        <w:rPr>
          <w:rFonts w:hint="eastAsia" w:eastAsia="仿宋_GB2312"/>
          <w:color w:val="auto"/>
          <w:vertAlign w:val="superscript"/>
          <w:lang w:eastAsia="zh-CN"/>
        </w:rPr>
        <w:t>+</w:t>
      </w:r>
      <w:r>
        <w:rPr>
          <w:rFonts w:hint="eastAsia" w:eastAsia="仿宋_GB2312"/>
          <w:color w:val="auto"/>
          <w:lang w:eastAsia="zh-CN"/>
        </w:rPr>
        <w:t>+6e→2Cr</w:t>
      </w:r>
      <w:r>
        <w:rPr>
          <w:rFonts w:hint="eastAsia" w:eastAsia="仿宋_GB2312"/>
          <w:color w:val="auto"/>
          <w:vertAlign w:val="superscript"/>
          <w:lang w:eastAsia="zh-CN"/>
        </w:rPr>
        <w:t>3+</w:t>
      </w:r>
      <w:r>
        <w:rPr>
          <w:rFonts w:hint="eastAsia" w:eastAsia="仿宋_GB2312"/>
          <w:color w:val="auto"/>
          <w:lang w:eastAsia="zh-CN"/>
        </w:rPr>
        <w:t>+7H</w:t>
      </w:r>
      <w:r>
        <w:rPr>
          <w:rFonts w:hint="eastAsia" w:eastAsia="仿宋_GB2312"/>
          <w:color w:val="auto"/>
          <w:vertAlign w:val="subscript"/>
          <w:lang w:eastAsia="zh-CN"/>
        </w:rPr>
        <w:t>2</w:t>
      </w:r>
      <w:r>
        <w:rPr>
          <w:rFonts w:hint="eastAsia" w:eastAsia="仿宋_GB2312"/>
          <w:color w:val="auto"/>
          <w:lang w:eastAsia="zh-CN"/>
        </w:rPr>
        <w:t>O</w:t>
      </w:r>
    </w:p>
    <w:p w14:paraId="317EEA61">
      <w:pPr>
        <w:bidi w:val="0"/>
        <w:rPr>
          <w:rFonts w:hint="eastAsia" w:eastAsia="仿宋_GB2312"/>
          <w:color w:val="auto"/>
          <w:lang w:eastAsia="zh-CN"/>
        </w:rPr>
      </w:pPr>
      <w:r>
        <w:rPr>
          <w:rFonts w:hint="eastAsia" w:eastAsia="仿宋_GB2312"/>
          <w:color w:val="auto"/>
          <w:lang w:eastAsia="zh-CN"/>
        </w:rPr>
        <w:t>2H</w:t>
      </w:r>
      <w:r>
        <w:rPr>
          <w:rFonts w:hint="eastAsia" w:eastAsia="仿宋_GB2312"/>
          <w:color w:val="auto"/>
          <w:vertAlign w:val="superscript"/>
          <w:lang w:eastAsia="zh-CN"/>
        </w:rPr>
        <w:t>+</w:t>
      </w:r>
      <w:r>
        <w:rPr>
          <w:rFonts w:hint="eastAsia" w:eastAsia="仿宋_GB2312"/>
          <w:color w:val="auto"/>
          <w:lang w:eastAsia="zh-CN"/>
        </w:rPr>
        <w:t>+2e→H</w:t>
      </w:r>
      <w:r>
        <w:rPr>
          <w:rFonts w:hint="eastAsia" w:eastAsia="仿宋_GB2312"/>
          <w:color w:val="auto"/>
          <w:vertAlign w:val="subscript"/>
          <w:lang w:eastAsia="zh-CN"/>
        </w:rPr>
        <w:t>2</w:t>
      </w:r>
      <w:r>
        <w:rPr>
          <w:rFonts w:hint="eastAsia" w:eastAsia="仿宋_GB2312"/>
          <w:color w:val="auto"/>
          <w:lang w:eastAsia="zh-CN"/>
        </w:rPr>
        <w:t>↑</w:t>
      </w:r>
    </w:p>
    <w:p w14:paraId="0B4258DB">
      <w:pPr>
        <w:bidi w:val="0"/>
        <w:rPr>
          <w:rFonts w:hint="eastAsia" w:eastAsia="仿宋_GB2312"/>
          <w:color w:val="auto"/>
          <w:lang w:eastAsia="zh-CN"/>
        </w:rPr>
      </w:pPr>
      <w:r>
        <w:rPr>
          <w:rFonts w:hint="eastAsia" w:eastAsia="仿宋_GB2312"/>
          <w:color w:val="auto"/>
          <w:lang w:eastAsia="zh-CN"/>
        </w:rPr>
        <w:t>CrO</w:t>
      </w:r>
      <w:r>
        <w:rPr>
          <w:rFonts w:hint="eastAsia" w:eastAsia="仿宋_GB2312"/>
          <w:color w:val="auto"/>
          <w:vertAlign w:val="subscript"/>
          <w:lang w:eastAsia="zh-CN"/>
        </w:rPr>
        <w:t>4</w:t>
      </w:r>
      <w:r>
        <w:rPr>
          <w:rFonts w:hint="eastAsia" w:eastAsia="仿宋_GB2312"/>
          <w:color w:val="auto"/>
          <w:vertAlign w:val="superscript"/>
          <w:lang w:eastAsia="zh-CN"/>
        </w:rPr>
        <w:t>2-</w:t>
      </w:r>
      <w:r>
        <w:rPr>
          <w:rFonts w:hint="eastAsia" w:eastAsia="仿宋_GB2312"/>
          <w:color w:val="auto"/>
          <w:lang w:eastAsia="zh-CN"/>
        </w:rPr>
        <w:t>+4H</w:t>
      </w:r>
      <w:r>
        <w:rPr>
          <w:rFonts w:hint="eastAsia" w:eastAsia="仿宋_GB2312"/>
          <w:color w:val="auto"/>
          <w:vertAlign w:val="superscript"/>
          <w:lang w:eastAsia="zh-CN"/>
        </w:rPr>
        <w:t>+</w:t>
      </w:r>
      <w:r>
        <w:rPr>
          <w:rFonts w:hint="eastAsia" w:eastAsia="仿宋_GB2312"/>
          <w:color w:val="auto"/>
          <w:lang w:eastAsia="zh-CN"/>
        </w:rPr>
        <w:t>+6e→Cr+4OH</w:t>
      </w:r>
      <w:r>
        <w:rPr>
          <w:rFonts w:hint="eastAsia" w:eastAsia="仿宋_GB2312"/>
          <w:color w:val="auto"/>
          <w:vertAlign w:val="superscript"/>
          <w:lang w:eastAsia="zh-CN"/>
        </w:rPr>
        <w:t>-</w:t>
      </w:r>
    </w:p>
    <w:p w14:paraId="14AF1F76">
      <w:pPr>
        <w:bidi w:val="0"/>
        <w:rPr>
          <w:rFonts w:hint="eastAsia" w:eastAsia="仿宋_GB2312"/>
          <w:color w:val="auto"/>
          <w:lang w:eastAsia="zh-CN"/>
        </w:rPr>
      </w:pPr>
      <w:r>
        <w:rPr>
          <w:rFonts w:hint="eastAsia" w:eastAsia="仿宋_GB2312"/>
          <w:color w:val="auto"/>
          <w:lang w:eastAsia="zh-CN"/>
        </w:rPr>
        <w:t>阳极反应：2Cr</w:t>
      </w:r>
      <w:r>
        <w:rPr>
          <w:rFonts w:hint="eastAsia" w:eastAsia="仿宋_GB2312"/>
          <w:color w:val="auto"/>
          <w:vertAlign w:val="superscript"/>
          <w:lang w:eastAsia="zh-CN"/>
        </w:rPr>
        <w:t>3+</w:t>
      </w:r>
      <w:r>
        <w:rPr>
          <w:rFonts w:hint="eastAsia" w:eastAsia="仿宋_GB2312"/>
          <w:color w:val="auto"/>
          <w:lang w:eastAsia="zh-CN"/>
        </w:rPr>
        <w:t xml:space="preserve"> -6e+7H</w:t>
      </w:r>
      <w:r>
        <w:rPr>
          <w:rFonts w:hint="eastAsia" w:eastAsia="仿宋_GB2312"/>
          <w:color w:val="auto"/>
          <w:vertAlign w:val="subscript"/>
          <w:lang w:eastAsia="zh-CN"/>
        </w:rPr>
        <w:t>2</w:t>
      </w:r>
      <w:r>
        <w:rPr>
          <w:rFonts w:hint="eastAsia" w:eastAsia="仿宋_GB2312"/>
          <w:color w:val="auto"/>
          <w:lang w:eastAsia="zh-CN"/>
        </w:rPr>
        <w:t>O→Cr</w:t>
      </w:r>
      <w:r>
        <w:rPr>
          <w:rFonts w:hint="eastAsia" w:eastAsia="仿宋_GB2312"/>
          <w:color w:val="auto"/>
          <w:vertAlign w:val="subscript"/>
          <w:lang w:eastAsia="zh-CN"/>
        </w:rPr>
        <w:t>2</w:t>
      </w:r>
      <w:r>
        <w:rPr>
          <w:rFonts w:hint="eastAsia" w:eastAsia="仿宋_GB2312"/>
          <w:color w:val="auto"/>
          <w:lang w:eastAsia="zh-CN"/>
        </w:rPr>
        <w:t>O</w:t>
      </w:r>
      <w:r>
        <w:rPr>
          <w:rFonts w:hint="eastAsia" w:eastAsia="仿宋_GB2312"/>
          <w:color w:val="auto"/>
          <w:vertAlign w:val="subscript"/>
          <w:lang w:eastAsia="zh-CN"/>
        </w:rPr>
        <w:t>7</w:t>
      </w:r>
      <w:r>
        <w:rPr>
          <w:rFonts w:hint="eastAsia" w:eastAsia="仿宋_GB2312"/>
          <w:color w:val="auto"/>
          <w:vertAlign w:val="superscript"/>
          <w:lang w:eastAsia="zh-CN"/>
        </w:rPr>
        <w:t>2-</w:t>
      </w:r>
      <w:r>
        <w:rPr>
          <w:rFonts w:hint="eastAsia" w:eastAsia="仿宋_GB2312"/>
          <w:color w:val="auto"/>
          <w:lang w:eastAsia="zh-CN"/>
        </w:rPr>
        <w:t>+14H</w:t>
      </w:r>
      <w:r>
        <w:rPr>
          <w:rFonts w:hint="eastAsia" w:eastAsia="仿宋_GB2312"/>
          <w:color w:val="auto"/>
          <w:vertAlign w:val="superscript"/>
          <w:lang w:eastAsia="zh-CN"/>
        </w:rPr>
        <w:t>+</w:t>
      </w:r>
    </w:p>
    <w:p w14:paraId="1F56CA27">
      <w:pPr>
        <w:bidi w:val="0"/>
        <w:rPr>
          <w:rFonts w:hint="eastAsia" w:eastAsia="仿宋_GB2312"/>
          <w:color w:val="auto"/>
          <w:lang w:eastAsia="zh-CN"/>
        </w:rPr>
      </w:pPr>
      <w:r>
        <w:rPr>
          <w:rFonts w:hint="eastAsia" w:eastAsia="仿宋_GB2312"/>
          <w:color w:val="auto"/>
          <w:lang w:eastAsia="zh-CN"/>
        </w:rPr>
        <w:t>2H</w:t>
      </w:r>
      <w:r>
        <w:rPr>
          <w:rFonts w:hint="eastAsia" w:eastAsia="仿宋_GB2312"/>
          <w:color w:val="auto"/>
          <w:vertAlign w:val="subscript"/>
          <w:lang w:eastAsia="zh-CN"/>
        </w:rPr>
        <w:t>2</w:t>
      </w:r>
      <w:r>
        <w:rPr>
          <w:rFonts w:hint="eastAsia" w:eastAsia="仿宋_GB2312"/>
          <w:color w:val="auto"/>
          <w:lang w:eastAsia="zh-CN"/>
        </w:rPr>
        <w:t>O-4e→O</w:t>
      </w:r>
      <w:r>
        <w:rPr>
          <w:rFonts w:hint="eastAsia" w:eastAsia="仿宋_GB2312"/>
          <w:color w:val="auto"/>
          <w:vertAlign w:val="subscript"/>
          <w:lang w:eastAsia="zh-CN"/>
        </w:rPr>
        <w:t>2</w:t>
      </w:r>
      <w:r>
        <w:rPr>
          <w:rFonts w:hint="eastAsia" w:eastAsia="仿宋_GB2312"/>
          <w:color w:val="auto"/>
          <w:lang w:eastAsia="zh-CN"/>
        </w:rPr>
        <w:t>↑+4H</w:t>
      </w:r>
      <w:r>
        <w:rPr>
          <w:rFonts w:hint="eastAsia" w:eastAsia="仿宋_GB2312"/>
          <w:color w:val="auto"/>
          <w:vertAlign w:val="superscript"/>
          <w:lang w:eastAsia="zh-CN"/>
        </w:rPr>
        <w:t>+</w:t>
      </w:r>
    </w:p>
    <w:p w14:paraId="5D879219">
      <w:pPr>
        <w:bidi w:val="0"/>
        <w:rPr>
          <w:rFonts w:hint="eastAsia" w:eastAsia="仿宋_GB2312"/>
          <w:color w:val="auto"/>
          <w:lang w:eastAsia="zh-CN"/>
        </w:rPr>
      </w:pPr>
      <w:r>
        <w:rPr>
          <w:rFonts w:hint="eastAsia" w:eastAsia="仿宋_GB2312"/>
          <w:color w:val="auto"/>
          <w:lang w:eastAsia="zh-CN"/>
        </w:rPr>
        <w:t>镀铬后，使用纯水，在铬槽中对镀铬后的版辊进行喷淋清洗，喷淋时间约 10s ，喷头流量约 30L/min ，清洗水产生量约为 5L ，清洗水进入储液槽内。喷淋清洗后的清洗水进入镀铬液储液槽，作为槽液蒸发消耗量补充，冲洗水不外排，故此工段不产生清洗废水。</w:t>
      </w:r>
    </w:p>
    <w:p w14:paraId="5007F03F">
      <w:pPr>
        <w:bidi w:val="0"/>
        <w:rPr>
          <w:rFonts w:hint="eastAsia" w:eastAsia="仿宋_GB2312"/>
          <w:color w:val="auto"/>
          <w:lang w:eastAsia="zh-CN"/>
        </w:rPr>
      </w:pPr>
      <w:r>
        <w:rPr>
          <w:rFonts w:hint="eastAsia" w:eastAsia="仿宋_GB2312"/>
          <w:color w:val="auto"/>
          <w:lang w:eastAsia="zh-CN"/>
        </w:rPr>
        <w:t>由于镀铬一次需要 1h 以上，镀铬温度较高，故喷淋清洗后的清洗水与镀铬过程中的水分蒸发量可平衡。</w:t>
      </w:r>
    </w:p>
    <w:p w14:paraId="492FA89B">
      <w:pPr>
        <w:bidi w:val="0"/>
        <w:rPr>
          <w:rFonts w:hint="eastAsia" w:eastAsia="仿宋_GB2312"/>
          <w:color w:val="auto"/>
          <w:lang w:eastAsia="zh-CN"/>
        </w:rPr>
      </w:pPr>
      <w:r>
        <w:rPr>
          <w:rFonts w:hint="eastAsia" w:eastAsia="仿宋_GB2312"/>
          <w:color w:val="auto"/>
          <w:lang w:eastAsia="zh-CN"/>
        </w:rPr>
        <w:t>为保持槽体浓度，日常定期对槽体取样分析槽液浓度，根据分析结果，对槽液定期添加药剂或者加入纯水稀释，槽体内槽液日常循环使用；为防止长期使用槽液可能影响电镀效果，企业约每两年更换一次新槽液。此工段产生含铬废液（L11）、铬酸雾（G21）。</w:t>
      </w:r>
    </w:p>
    <w:p w14:paraId="35FD7D76">
      <w:pPr>
        <w:bidi w:val="0"/>
        <w:rPr>
          <w:rFonts w:hint="eastAsia" w:eastAsia="仿宋_GB2312"/>
          <w:color w:val="auto"/>
          <w:lang w:eastAsia="zh-CN"/>
        </w:rPr>
      </w:pPr>
      <w:r>
        <w:rPr>
          <w:rFonts w:hint="eastAsia" w:eastAsia="仿宋_GB2312"/>
          <w:b/>
          <w:bCs/>
          <w:color w:val="auto"/>
          <w:lang w:eastAsia="zh-CN"/>
        </w:rPr>
        <w:t>检验：</w:t>
      </w:r>
      <w:r>
        <w:rPr>
          <w:rFonts w:hint="eastAsia" w:eastAsia="仿宋_GB2312"/>
          <w:color w:val="auto"/>
          <w:lang w:eastAsia="zh-CN"/>
        </w:rPr>
        <w:t>对镀铬后的产品进行人工外观检验，不使用仪器设备，此过程不产生污染物，不合格品进行退镀（退镀工艺见流程图 3.</w:t>
      </w:r>
      <w:r>
        <w:rPr>
          <w:rFonts w:hint="eastAsia"/>
          <w:color w:val="auto"/>
          <w:lang w:val="en-US" w:eastAsia="zh-CN"/>
        </w:rPr>
        <w:t>4</w:t>
      </w:r>
      <w:r>
        <w:rPr>
          <w:rFonts w:hint="eastAsia" w:eastAsia="仿宋_GB2312"/>
          <w:color w:val="auto"/>
          <w:lang w:eastAsia="zh-CN"/>
        </w:rPr>
        <w:t>-</w:t>
      </w:r>
      <w:r>
        <w:rPr>
          <w:rFonts w:hint="eastAsia"/>
          <w:color w:val="auto"/>
          <w:lang w:val="en-US" w:eastAsia="zh-CN"/>
        </w:rPr>
        <w:t>2</w:t>
      </w:r>
      <w:r>
        <w:rPr>
          <w:rFonts w:hint="eastAsia" w:eastAsia="仿宋_GB2312"/>
          <w:color w:val="auto"/>
          <w:lang w:eastAsia="zh-CN"/>
        </w:rPr>
        <w:t>）后重新处理。</w:t>
      </w:r>
    </w:p>
    <w:p w14:paraId="65BF2F12">
      <w:pPr>
        <w:bidi w:val="0"/>
        <w:rPr>
          <w:rFonts w:hint="eastAsia" w:eastAsia="仿宋_GB2312"/>
          <w:b/>
          <w:bCs/>
          <w:color w:val="auto"/>
          <w:lang w:eastAsia="zh-CN"/>
        </w:rPr>
      </w:pPr>
      <w:r>
        <w:rPr>
          <w:rFonts w:hint="eastAsia" w:eastAsia="仿宋_GB2312"/>
          <w:b/>
          <w:bCs/>
          <w:color w:val="auto"/>
          <w:lang w:eastAsia="zh-CN"/>
        </w:rPr>
        <w:t>以上步骤完成后，即为成品，包装出货即可。</w:t>
      </w:r>
    </w:p>
    <w:p w14:paraId="02062A0C">
      <w:pPr>
        <w:bidi w:val="0"/>
        <w:rPr>
          <w:rFonts w:hint="eastAsia" w:eastAsia="仿宋_GB2312"/>
          <w:b/>
          <w:bCs/>
          <w:color w:val="auto"/>
          <w:lang w:eastAsia="zh-CN"/>
        </w:rPr>
      </w:pPr>
      <w:r>
        <w:rPr>
          <w:rFonts w:hint="eastAsia" w:eastAsia="仿宋_GB2312"/>
          <w:b/>
          <w:bCs/>
          <w:color w:val="auto"/>
          <w:lang w:eastAsia="zh-CN"/>
        </w:rPr>
        <w:t>退镀工艺：版辊镀层分为镀铜及镀铬，镀铜不合格的产品直接回至机加工段，物理剥除后重新镀铜；铬层则使用氢氧化钠溶液进行化学反应剥除，不存在同时退铜及退铬过程，退铬具体工艺如下：</w:t>
      </w:r>
    </w:p>
    <w:p w14:paraId="6C43B365">
      <w:pPr>
        <w:bidi w:val="0"/>
        <w:rPr>
          <w:rFonts w:hint="eastAsia" w:eastAsia="仿宋_GB2312"/>
          <w:b/>
          <w:bCs/>
          <w:color w:val="auto"/>
          <w:lang w:eastAsia="zh-CN"/>
        </w:rPr>
      </w:pPr>
      <w:r>
        <w:rPr>
          <w:rFonts w:hint="eastAsia" w:eastAsia="仿宋_GB2312"/>
          <w:b/>
          <w:bCs/>
          <w:color w:val="auto"/>
          <w:lang w:eastAsia="zh-CN"/>
        </w:rPr>
        <w:t>退铬工艺流程：</w:t>
      </w:r>
    </w:p>
    <w:p w14:paraId="496B2AC6">
      <w:pPr>
        <w:pStyle w:val="26"/>
        <w:bidi w:val="0"/>
        <w:rPr>
          <w:rFonts w:hint="eastAsia"/>
          <w:lang w:eastAsia="zh-CN"/>
        </w:rPr>
      </w:pPr>
      <w:r>
        <w:rPr>
          <w:rFonts w:hint="eastAsia"/>
          <w:lang w:eastAsia="zh-CN"/>
        </w:rPr>
        <w:drawing>
          <wp:inline distT="0" distB="0" distL="114300" distR="114300">
            <wp:extent cx="4429760" cy="1998345"/>
            <wp:effectExtent l="0" t="0" r="2540" b="8255"/>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20"/>
                    <a:stretch>
                      <a:fillRect/>
                    </a:stretch>
                  </pic:blipFill>
                  <pic:spPr>
                    <a:xfrm>
                      <a:off x="0" y="0"/>
                      <a:ext cx="4429760" cy="1998345"/>
                    </a:xfrm>
                    <a:prstGeom prst="rect">
                      <a:avLst/>
                    </a:prstGeom>
                    <a:noFill/>
                    <a:ln>
                      <a:noFill/>
                    </a:ln>
                  </pic:spPr>
                </pic:pic>
              </a:graphicData>
            </a:graphic>
          </wp:inline>
        </w:drawing>
      </w:r>
    </w:p>
    <w:p w14:paraId="06B6FC5C">
      <w:pPr>
        <w:pStyle w:val="25"/>
        <w:bidi w:val="0"/>
        <w:rPr>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3.4</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退铬工艺流程及产污环节图</w:t>
      </w:r>
    </w:p>
    <w:p w14:paraId="13A2A099">
      <w:pPr>
        <w:bidi w:val="0"/>
        <w:rPr>
          <w:rFonts w:hint="eastAsia" w:eastAsia="仿宋_GB2312"/>
          <w:color w:val="auto"/>
          <w:lang w:eastAsia="zh-CN"/>
        </w:rPr>
      </w:pPr>
      <w:r>
        <w:rPr>
          <w:rFonts w:hint="eastAsia" w:eastAsia="仿宋_GB2312"/>
          <w:b/>
          <w:bCs/>
          <w:color w:val="auto"/>
          <w:lang w:eastAsia="zh-CN"/>
        </w:rPr>
        <w:t>退镀：</w:t>
      </w:r>
      <w:r>
        <w:rPr>
          <w:rFonts w:hint="eastAsia" w:eastAsia="仿宋_GB2312"/>
          <w:color w:val="auto"/>
          <w:lang w:eastAsia="zh-CN"/>
        </w:rPr>
        <w:t>使用氢氧化钠，浓度为 60—70g/L ，退镀槽电加热至 35-40℃ , 铬层与氢氧化钠溶液进行化学反应，可将不良镀层剥离辊胚，退铬槽定期添加氢氧化钠及纯水，过滤循环使用，退铬完成后，打开槽体内喷头，进行退铬后清洗。此工段产生退铬废水（W12）。</w:t>
      </w:r>
    </w:p>
    <w:p w14:paraId="40205FFB">
      <w:pPr>
        <w:bidi w:val="0"/>
        <w:rPr>
          <w:rFonts w:hint="eastAsia" w:eastAsia="仿宋_GB2312"/>
          <w:color w:val="auto"/>
          <w:lang w:eastAsia="zh-CN"/>
        </w:rPr>
      </w:pPr>
      <w:r>
        <w:rPr>
          <w:rFonts w:hint="eastAsia" w:eastAsia="仿宋_GB2312"/>
          <w:color w:val="auto"/>
          <w:lang w:eastAsia="zh-CN"/>
        </w:rPr>
        <w:t>退铬后的版辊重新进行镀铬处理。</w:t>
      </w:r>
    </w:p>
    <w:p w14:paraId="4733C228">
      <w:pPr>
        <w:bidi w:val="0"/>
        <w:rPr>
          <w:rFonts w:hint="eastAsia" w:eastAsia="仿宋_GB2312"/>
          <w:color w:val="auto"/>
          <w:lang w:eastAsia="zh-CN"/>
        </w:rPr>
      </w:pPr>
    </w:p>
    <w:p w14:paraId="5081B590">
      <w:pPr>
        <w:pStyle w:val="4"/>
        <w:bidi w:val="0"/>
        <w:rPr>
          <w:rFonts w:hint="eastAsia"/>
          <w:color w:val="auto"/>
          <w:lang w:eastAsia="zh-CN"/>
        </w:rPr>
      </w:pPr>
      <w:bookmarkStart w:id="121" w:name="_Toc26697"/>
      <w:r>
        <w:rPr>
          <w:rFonts w:hint="eastAsia"/>
          <w:color w:val="auto"/>
          <w:lang w:val="en-US" w:eastAsia="zh-CN"/>
        </w:rPr>
        <w:t>微精版</w:t>
      </w:r>
      <w:bookmarkEnd w:id="121"/>
    </w:p>
    <w:p w14:paraId="34FD2AD3">
      <w:pPr>
        <w:bidi w:val="0"/>
        <w:rPr>
          <w:rFonts w:hint="eastAsia"/>
          <w:color w:val="auto"/>
          <w:lang w:eastAsia="zh-CN"/>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66361277">
      <w:pPr>
        <w:pStyle w:val="26"/>
        <w:bidi w:val="0"/>
        <w:rPr>
          <w:rFonts w:hint="eastAsia"/>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904875</wp:posOffset>
                </wp:positionH>
                <wp:positionV relativeFrom="paragraph">
                  <wp:posOffset>339725</wp:posOffset>
                </wp:positionV>
                <wp:extent cx="1443990" cy="525145"/>
                <wp:effectExtent l="0" t="0" r="3810" b="8255"/>
                <wp:wrapNone/>
                <wp:docPr id="90" name="文本框 90"/>
                <wp:cNvGraphicFramePr/>
                <a:graphic xmlns:a="http://schemas.openxmlformats.org/drawingml/2006/main">
                  <a:graphicData uri="http://schemas.microsoft.com/office/word/2010/wordprocessingShape">
                    <wps:wsp>
                      <wps:cNvSpPr txBox="1"/>
                      <wps:spPr>
                        <a:xfrm>
                          <a:off x="2005965" y="1747520"/>
                          <a:ext cx="1443990" cy="5251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5C398">
                            <w:pPr>
                              <w:ind w:left="0" w:leftChars="0" w:firstLine="0" w:firstLineChars="0"/>
                              <w:rPr>
                                <w:rFonts w:hint="default" w:eastAsia="仿宋_GB2312"/>
                                <w:b/>
                                <w:bCs/>
                                <w:color w:val="FF0000"/>
                                <w:sz w:val="21"/>
                                <w:szCs w:val="21"/>
                                <w:lang w:val="en-US" w:eastAsia="zh-CN"/>
                              </w:rPr>
                            </w:pPr>
                            <w:r>
                              <w:rPr>
                                <w:rFonts w:hint="eastAsia"/>
                                <w:b/>
                                <w:bCs/>
                                <w:color w:val="FF0000"/>
                                <w:sz w:val="21"/>
                                <w:szCs w:val="21"/>
                                <w:lang w:val="en-US" w:eastAsia="zh-CN"/>
                              </w:rPr>
                              <w:t>暂未建设，暂时委外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25pt;margin-top:26.75pt;height:41.35pt;width:113.7pt;z-index:251660288;mso-width-relative:page;mso-height-relative:page;" filled="f" stroked="f" coordsize="21600,21600" o:gfxdata="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6Q2v02gAAAAoBAAAPAAAAAAAAAAEA&#10;IAAAACIAAABkcnMvZG93bnJldi54bWxQSwECFAAUAAAACACHTuJAbjhXCUYCAAB0BAAADgAAAAAA&#10;AAABACAAAAApAQAAZHJzL2Uyb0RvYy54bWxQSwUGAAAAAAYABgBZAQAA4QUAAAAA&#10;">
                <v:fill on="f" focussize="0,0"/>
                <v:stroke on="f" weight="0.5pt"/>
                <v:imagedata o:title=""/>
                <o:lock v:ext="edit" aspectratio="f"/>
                <v:textbox>
                  <w:txbxContent>
                    <w:p w14:paraId="19B5C398">
                      <w:pPr>
                        <w:ind w:left="0" w:leftChars="0" w:firstLine="0" w:firstLineChars="0"/>
                        <w:rPr>
                          <w:rFonts w:hint="default" w:eastAsia="仿宋_GB2312"/>
                          <w:b/>
                          <w:bCs/>
                          <w:color w:val="FF0000"/>
                          <w:sz w:val="21"/>
                          <w:szCs w:val="21"/>
                          <w:lang w:val="en-US" w:eastAsia="zh-CN"/>
                        </w:rPr>
                      </w:pPr>
                      <w:r>
                        <w:rPr>
                          <w:rFonts w:hint="eastAsia"/>
                          <w:b/>
                          <w:bCs/>
                          <w:color w:val="FF0000"/>
                          <w:sz w:val="21"/>
                          <w:szCs w:val="21"/>
                          <w:lang w:val="en-US" w:eastAsia="zh-CN"/>
                        </w:rPr>
                        <w:t>暂未建设，暂时委外</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975360</wp:posOffset>
                </wp:positionH>
                <wp:positionV relativeFrom="paragraph">
                  <wp:posOffset>339725</wp:posOffset>
                </wp:positionV>
                <wp:extent cx="3133090" cy="1968500"/>
                <wp:effectExtent l="6350" t="6350" r="10160" b="6350"/>
                <wp:wrapNone/>
                <wp:docPr id="89" name="矩形 89"/>
                <wp:cNvGraphicFramePr/>
                <a:graphic xmlns:a="http://schemas.openxmlformats.org/drawingml/2006/main">
                  <a:graphicData uri="http://schemas.microsoft.com/office/word/2010/wordprocessingShape">
                    <wps:wsp>
                      <wps:cNvSpPr/>
                      <wps:spPr>
                        <a:xfrm>
                          <a:off x="1783715" y="1482725"/>
                          <a:ext cx="3133090" cy="19685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8pt;margin-top:26.75pt;height:155pt;width:246.7pt;z-index:251659264;v-text-anchor:middle;mso-width-relative:page;mso-height-relative:page;" filled="f" stroked="t" coordsize="21600,21600" o:gfxdata="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rZab9NYAAAAKAQAADwAAAAAAAAABACAAAAAiAAAAZHJz&#10;L2Rvd25yZXYueG1sUEsBAhQAFAAAAAgAh07iQLDk9Kl4AgAA2gQAAA4AAAAAAAAAAQAgAAAAJQEA&#10;AGRycy9lMm9Eb2MueG1sUEsFBgAAAAAGAAYAWQEAAA8GAAAAAA==&#10;">
                <v:fill on="f" focussize="0,0"/>
                <v:stroke weight="1pt" color="#FF0000 [2404]" miterlimit="8" joinstyle="miter"/>
                <v:imagedata o:title=""/>
                <o:lock v:ext="edit" aspectratio="f"/>
              </v:rect>
            </w:pict>
          </mc:Fallback>
        </mc:AlternateContent>
      </w:r>
      <w:r>
        <w:rPr>
          <w:rFonts w:hint="eastAsia"/>
          <w:lang w:eastAsia="zh-CN"/>
        </w:rPr>
        <w:drawing>
          <wp:inline distT="0" distB="0" distL="114300" distR="114300">
            <wp:extent cx="7050405" cy="4652010"/>
            <wp:effectExtent l="0" t="0" r="10795" b="8890"/>
            <wp:docPr id="61" name="图片 61" descr="PixPin_2026-05-13_17-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PixPin_2026-05-13_17-21-35"/>
                    <pic:cNvPicPr>
                      <a:picLocks noChangeAspect="1"/>
                    </pic:cNvPicPr>
                  </pic:nvPicPr>
                  <pic:blipFill>
                    <a:blip r:embed="rId21"/>
                    <a:stretch>
                      <a:fillRect/>
                    </a:stretch>
                  </pic:blipFill>
                  <pic:spPr>
                    <a:xfrm>
                      <a:off x="0" y="0"/>
                      <a:ext cx="7050405" cy="4652010"/>
                    </a:xfrm>
                    <a:prstGeom prst="rect">
                      <a:avLst/>
                    </a:prstGeom>
                  </pic:spPr>
                </pic:pic>
              </a:graphicData>
            </a:graphic>
          </wp:inline>
        </w:drawing>
      </w:r>
    </w:p>
    <w:p w14:paraId="07BC4EF3">
      <w:pPr>
        <w:pStyle w:val="25"/>
        <w:bidi w:val="0"/>
        <w:rPr>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3.4</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3</w:t>
      </w:r>
      <w:r>
        <w:rPr>
          <w:rFonts w:hint="eastAsia"/>
          <w:color w:val="auto"/>
          <w:lang w:val="en-US" w:eastAsia="zh-CN"/>
        </w:rPr>
        <w:fldChar w:fldCharType="end"/>
      </w:r>
      <w:r>
        <w:rPr>
          <w:rFonts w:hint="eastAsia"/>
          <w:color w:val="auto"/>
          <w:lang w:val="en-US" w:eastAsia="zh-CN"/>
        </w:rPr>
        <w:t>微精版工艺流程及产污环节示意图</w:t>
      </w:r>
    </w:p>
    <w:p w14:paraId="3077CDDD">
      <w:pPr>
        <w:bidi w:val="0"/>
        <w:rPr>
          <w:rFonts w:hint="eastAsia" w:eastAsia="仿宋_GB2312"/>
          <w:color w:val="auto"/>
          <w:lang w:eastAsia="zh-CN"/>
        </w:rPr>
        <w:sectPr>
          <w:pgSz w:w="16838" w:h="11906" w:orient="landscape"/>
          <w:pgMar w:top="1800" w:right="1440" w:bottom="1800"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085F9677">
      <w:pPr>
        <w:bidi w:val="0"/>
        <w:rPr>
          <w:rFonts w:hint="eastAsia" w:eastAsia="仿宋_GB2312"/>
          <w:color w:val="auto"/>
          <w:lang w:eastAsia="zh-CN"/>
        </w:rPr>
      </w:pPr>
      <w:r>
        <w:rPr>
          <w:rFonts w:hint="eastAsia" w:eastAsia="仿宋_GB2312"/>
          <w:b/>
          <w:bCs/>
          <w:color w:val="auto"/>
          <w:lang w:eastAsia="zh-CN"/>
        </w:rPr>
        <w:t>车堵：</w:t>
      </w:r>
      <w:r>
        <w:rPr>
          <w:rFonts w:hint="eastAsia" w:eastAsia="仿宋_GB2312"/>
          <w:color w:val="auto"/>
          <w:lang w:eastAsia="zh-CN"/>
        </w:rPr>
        <w:t>根据产品要求，使用堵头机将堵头车加工至客户要求尺寸。此过程会产生金属边角料及碎屑（S11）。</w:t>
      </w:r>
    </w:p>
    <w:p w14:paraId="01D12600">
      <w:pPr>
        <w:bidi w:val="0"/>
        <w:rPr>
          <w:rFonts w:hint="eastAsia" w:eastAsia="仿宋_GB2312"/>
          <w:color w:val="auto"/>
          <w:lang w:eastAsia="zh-CN"/>
        </w:rPr>
      </w:pPr>
      <w:r>
        <w:rPr>
          <w:rFonts w:hint="eastAsia" w:eastAsia="仿宋_GB2312"/>
          <w:b/>
          <w:bCs/>
          <w:color w:val="auto"/>
          <w:lang w:eastAsia="zh-CN"/>
        </w:rPr>
        <w:t>拉键：</w:t>
      </w:r>
      <w:r>
        <w:rPr>
          <w:rFonts w:hint="eastAsia" w:eastAsia="仿宋_GB2312"/>
          <w:color w:val="auto"/>
          <w:lang w:eastAsia="zh-CN"/>
        </w:rPr>
        <w:t>根据客户要求，使用拉键机在堵头内孔加工相应键槽。此工段不产生污染物。</w:t>
      </w:r>
    </w:p>
    <w:p w14:paraId="3AB5197E">
      <w:pPr>
        <w:bidi w:val="0"/>
        <w:rPr>
          <w:rFonts w:hint="eastAsia" w:eastAsia="仿宋_GB2312"/>
          <w:color w:val="auto"/>
          <w:lang w:eastAsia="zh-CN"/>
        </w:rPr>
      </w:pPr>
      <w:r>
        <w:rPr>
          <w:rFonts w:hint="eastAsia" w:eastAsia="仿宋_GB2312"/>
          <w:b/>
          <w:bCs/>
          <w:color w:val="auto"/>
          <w:lang w:eastAsia="zh-CN"/>
        </w:rPr>
        <w:t>校圆：</w:t>
      </w:r>
      <w:r>
        <w:rPr>
          <w:rFonts w:hint="eastAsia" w:eastAsia="仿宋_GB2312"/>
          <w:color w:val="auto"/>
          <w:lang w:eastAsia="zh-CN"/>
        </w:rPr>
        <w:t>使用校圆机，对加工后的版辊进行校圆。此工段不产生污染物。</w:t>
      </w:r>
    </w:p>
    <w:p w14:paraId="2C2FD92C">
      <w:pPr>
        <w:bidi w:val="0"/>
        <w:rPr>
          <w:rFonts w:hint="eastAsia" w:eastAsia="仿宋_GB2312"/>
          <w:color w:val="auto"/>
          <w:lang w:eastAsia="zh-CN"/>
        </w:rPr>
      </w:pPr>
      <w:r>
        <w:rPr>
          <w:rFonts w:hint="eastAsia" w:eastAsia="仿宋_GB2312"/>
          <w:b/>
          <w:bCs/>
          <w:color w:val="auto"/>
          <w:lang w:eastAsia="zh-CN"/>
        </w:rPr>
        <w:t>双头焊：</w:t>
      </w:r>
      <w:r>
        <w:rPr>
          <w:rFonts w:hint="eastAsia" w:eastAsia="仿宋_GB2312"/>
          <w:color w:val="auto"/>
          <w:lang w:eastAsia="zh-CN"/>
        </w:rPr>
        <w:t>利用焊条将钢管和堵头焊接，保护气体采用混合气（二氧化碳和氩气），此工段焊接过程中会焊接烟尘，以颗粒物计（G22），焊渣（S12）。</w:t>
      </w:r>
    </w:p>
    <w:p w14:paraId="29D96A82">
      <w:pPr>
        <w:bidi w:val="0"/>
        <w:rPr>
          <w:rFonts w:hint="eastAsia" w:eastAsia="仿宋_GB2312"/>
          <w:color w:val="auto"/>
          <w:lang w:eastAsia="zh-CN"/>
        </w:rPr>
      </w:pPr>
      <w:r>
        <w:rPr>
          <w:rFonts w:hint="eastAsia" w:eastAsia="仿宋_GB2312"/>
          <w:b/>
          <w:bCs/>
          <w:color w:val="auto"/>
          <w:lang w:eastAsia="zh-CN"/>
        </w:rPr>
        <w:t>双头镗：</w:t>
      </w:r>
      <w:r>
        <w:rPr>
          <w:rFonts w:hint="eastAsia" w:eastAsia="仿宋_GB2312"/>
          <w:color w:val="auto"/>
          <w:lang w:eastAsia="zh-CN"/>
        </w:rPr>
        <w:t>根据客户要求，使用双头镗孔机进行再加工，此过程会产生金属边角料及碎屑（S13）。</w:t>
      </w:r>
    </w:p>
    <w:p w14:paraId="214C05D7">
      <w:pPr>
        <w:bidi w:val="0"/>
        <w:rPr>
          <w:rFonts w:hint="eastAsia" w:eastAsia="仿宋_GB2312"/>
          <w:color w:val="auto"/>
          <w:lang w:eastAsia="zh-CN"/>
        </w:rPr>
      </w:pPr>
      <w:r>
        <w:rPr>
          <w:rFonts w:hint="eastAsia" w:eastAsia="仿宋_GB2312"/>
          <w:b/>
          <w:bCs/>
          <w:color w:val="auto"/>
          <w:lang w:eastAsia="zh-CN"/>
        </w:rPr>
        <w:t>动平衡检测：</w:t>
      </w:r>
      <w:r>
        <w:rPr>
          <w:rFonts w:hint="eastAsia" w:eastAsia="仿宋_GB2312"/>
          <w:color w:val="auto"/>
          <w:lang w:eastAsia="zh-CN"/>
        </w:rPr>
        <w:t>使用平衡机，对机加工后的带轴压纹版辊进行动平衡检测，即在转动状态下，测定转子不平衡重量所在方位，以及确定平衡重力应加的位置与大小，根据平衡机测出的数据对转子的不平衡量进行机械校正。确保产品在生产过程中保持稳定。此工段不产生污染物。</w:t>
      </w:r>
    </w:p>
    <w:p w14:paraId="6BB7BA4A">
      <w:pPr>
        <w:bidi w:val="0"/>
        <w:rPr>
          <w:rFonts w:hint="default" w:eastAsia="仿宋_GB2312"/>
          <w:b/>
          <w:bCs/>
          <w:color w:val="auto"/>
          <w:lang w:val="en-US" w:eastAsia="zh-CN"/>
        </w:rPr>
      </w:pPr>
      <w:r>
        <w:rPr>
          <w:rFonts w:hint="eastAsia"/>
          <w:b/>
          <w:bCs/>
          <w:color w:val="auto"/>
          <w:lang w:val="en-US" w:eastAsia="zh-CN"/>
        </w:rPr>
        <w:t>上述工艺企业暂未建设，暂时委外处理。</w:t>
      </w:r>
    </w:p>
    <w:p w14:paraId="6ABDCEE7">
      <w:pPr>
        <w:bidi w:val="0"/>
        <w:rPr>
          <w:rFonts w:hint="eastAsia" w:eastAsia="仿宋_GB2312"/>
          <w:color w:val="auto"/>
          <w:lang w:eastAsia="zh-CN"/>
        </w:rPr>
      </w:pPr>
      <w:r>
        <w:rPr>
          <w:rFonts w:hint="eastAsia" w:eastAsia="仿宋_GB2312"/>
          <w:b/>
          <w:bCs/>
          <w:color w:val="auto"/>
          <w:lang w:eastAsia="zh-CN"/>
        </w:rPr>
        <w:t>粗精一体：</w:t>
      </w:r>
      <w:r>
        <w:rPr>
          <w:rFonts w:hint="eastAsia" w:eastAsia="仿宋_GB2312"/>
          <w:color w:val="auto"/>
          <w:lang w:eastAsia="zh-CN"/>
        </w:rPr>
        <w:t>利用数控车床，车削钢管表面，去除表面锈迹，同时将钢管加工至客户需求的尺寸。车加工过程使用乳化液进行冷却，乳化液原液与自来水按比例（1:10）配置而成，乳化液循环使用，不断添加，定期更换（约三个月一次）。此工段会产生金属边角料及碎屑（S14），定期更换的废乳化液（L12），乳化液产生的有机废气，以非甲烷总烃计（G23）。</w:t>
      </w:r>
    </w:p>
    <w:p w14:paraId="517D7C6A">
      <w:pPr>
        <w:bidi w:val="0"/>
        <w:rPr>
          <w:rFonts w:hint="eastAsia" w:eastAsia="仿宋_GB2312"/>
          <w:color w:val="auto"/>
          <w:lang w:eastAsia="zh-CN"/>
        </w:rPr>
      </w:pPr>
      <w:r>
        <w:rPr>
          <w:rFonts w:hint="eastAsia" w:eastAsia="仿宋_GB2312"/>
          <w:b/>
          <w:bCs/>
          <w:color w:val="auto"/>
          <w:lang w:eastAsia="zh-CN"/>
        </w:rPr>
        <w:t>钢辊研磨：</w:t>
      </w:r>
      <w:r>
        <w:rPr>
          <w:rFonts w:hint="eastAsia" w:eastAsia="仿宋_GB2312"/>
          <w:color w:val="auto"/>
          <w:lang w:eastAsia="zh-CN"/>
        </w:rPr>
        <w:t>使用研磨抛光机对钢体表面进行研磨以消除车刀纹，提升版面光洁度。为湿式，研磨水经研磨系统处理后循环使用。此工段会产生金属边角料及碎屑（S15），研磨废水（W6）。</w:t>
      </w:r>
    </w:p>
    <w:p w14:paraId="730647F7">
      <w:pPr>
        <w:bidi w:val="0"/>
        <w:rPr>
          <w:rFonts w:hint="eastAsia" w:eastAsia="仿宋_GB2312"/>
          <w:color w:val="auto"/>
          <w:lang w:eastAsia="zh-CN"/>
        </w:rPr>
      </w:pPr>
      <w:r>
        <w:rPr>
          <w:rFonts w:hint="eastAsia" w:eastAsia="仿宋_GB2312"/>
          <w:b/>
          <w:bCs/>
          <w:color w:val="auto"/>
          <w:lang w:eastAsia="zh-CN"/>
        </w:rPr>
        <w:t>钢辊清洗：</w:t>
      </w:r>
      <w:r>
        <w:rPr>
          <w:rFonts w:hint="eastAsia" w:eastAsia="仿宋_GB2312"/>
          <w:color w:val="auto"/>
          <w:lang w:eastAsia="zh-CN"/>
        </w:rPr>
        <w:t>研磨后在研磨机内，打开清洗水喷头，利用自来水对版辊表面进行冲洗，此工段会产生清洗废水（W7）。</w:t>
      </w:r>
    </w:p>
    <w:p w14:paraId="5F147344">
      <w:pPr>
        <w:bidi w:val="0"/>
        <w:rPr>
          <w:rFonts w:hint="eastAsia" w:eastAsia="仿宋_GB2312"/>
          <w:color w:val="auto"/>
          <w:lang w:eastAsia="zh-CN"/>
        </w:rPr>
      </w:pPr>
      <w:r>
        <w:rPr>
          <w:rFonts w:hint="eastAsia" w:eastAsia="仿宋_GB2312"/>
          <w:b/>
          <w:bCs/>
          <w:color w:val="auto"/>
          <w:lang w:eastAsia="zh-CN"/>
        </w:rPr>
        <w:t>钢辊脱脂：</w:t>
      </w:r>
      <w:r>
        <w:rPr>
          <w:rFonts w:hint="eastAsia" w:eastAsia="仿宋_GB2312"/>
          <w:color w:val="auto"/>
          <w:lang w:eastAsia="zh-CN"/>
        </w:rPr>
        <w:t>采用脱脂剂对辊坯进行脱脂，脱脂温度 35-45℃ , 使用纯水调配，此工段会产生脱脂废液（L13）。</w:t>
      </w:r>
    </w:p>
    <w:p w14:paraId="5F76875B">
      <w:pPr>
        <w:bidi w:val="0"/>
        <w:rPr>
          <w:rFonts w:hint="eastAsia" w:eastAsia="仿宋_GB2312"/>
          <w:color w:val="auto"/>
          <w:lang w:eastAsia="zh-CN"/>
        </w:rPr>
      </w:pPr>
      <w:r>
        <w:rPr>
          <w:rFonts w:hint="eastAsia" w:eastAsia="仿宋_GB2312"/>
          <w:b/>
          <w:bCs/>
          <w:color w:val="auto"/>
          <w:lang w:eastAsia="zh-CN"/>
        </w:rPr>
        <w:t>碱铜：</w:t>
      </w:r>
      <w:r>
        <w:rPr>
          <w:rFonts w:hint="eastAsia" w:eastAsia="仿宋_GB2312"/>
          <w:color w:val="auto"/>
          <w:lang w:eastAsia="zh-CN"/>
        </w:rPr>
        <w:t>使用铜添加剂（RC-CU200B 、C）、硼酸使用纯水调配碱性溶液，将铜角表面铜氧化成为可镀铜的活性铜，并清除表面的还原物，以促进铜离子的吸附。</w:t>
      </w:r>
    </w:p>
    <w:p w14:paraId="1AFFC1E9">
      <w:pPr>
        <w:bidi w:val="0"/>
        <w:rPr>
          <w:rFonts w:hint="eastAsia" w:eastAsia="仿宋_GB2312"/>
          <w:color w:val="auto"/>
          <w:lang w:eastAsia="zh-CN"/>
        </w:rPr>
      </w:pPr>
      <w:r>
        <w:rPr>
          <w:rFonts w:hint="eastAsia" w:eastAsia="仿宋_GB2312"/>
          <w:color w:val="auto"/>
          <w:lang w:eastAsia="zh-CN"/>
        </w:rPr>
        <w:t>碱铜后，铜槽内的碱铜液下降回流至储液槽，槽体内的纯水喷头自动开启喷淋清洗，喷淋时间约 5s ，喷头流量约 10L/min ，清洗水产生量约为 0.83L ，清洗水进入储液槽内，由于碱铜一次整体过程需要约 1h 左右，且镀铜过程中需对槽液进行电加热，喷淋清洗后的清洗水量 0.83L 与镀铜过程中的水分蒸发量可平衡。</w:t>
      </w:r>
    </w:p>
    <w:p w14:paraId="7247A3F9">
      <w:pPr>
        <w:bidi w:val="0"/>
        <w:rPr>
          <w:rFonts w:hint="eastAsia" w:eastAsia="仿宋_GB2312"/>
          <w:color w:val="auto"/>
          <w:lang w:eastAsia="zh-CN"/>
        </w:rPr>
      </w:pPr>
      <w:r>
        <w:rPr>
          <w:rFonts w:hint="eastAsia" w:eastAsia="仿宋_GB2312"/>
          <w:color w:val="auto"/>
          <w:lang w:eastAsia="zh-CN"/>
        </w:rPr>
        <w:t>故喷淋清洗后的清洗水进入碱铜液储液槽，作为槽液蒸发消耗量补充，冲洗水不外排，此工段不产生清洗废水。</w:t>
      </w:r>
    </w:p>
    <w:p w14:paraId="312E8AC2">
      <w:pPr>
        <w:bidi w:val="0"/>
        <w:rPr>
          <w:rFonts w:hint="eastAsia" w:eastAsia="仿宋_GB2312"/>
          <w:color w:val="auto"/>
          <w:lang w:eastAsia="zh-CN"/>
        </w:rPr>
      </w:pPr>
      <w:r>
        <w:rPr>
          <w:rFonts w:hint="eastAsia" w:eastAsia="仿宋_GB2312"/>
          <w:color w:val="auto"/>
          <w:lang w:eastAsia="zh-CN"/>
        </w:rPr>
        <w:t>为保持槽体浓度，日常定期对槽体取样分析槽液浓度，根据分析结果，对槽液定期添加药剂或者加入纯水稀释，槽体内槽液日常循环使用；为防止长期使用槽液可能影响电镀效果，企业约每两年更换一次新槽液。此工段会产生碱铜废液（L14）。</w:t>
      </w:r>
    </w:p>
    <w:p w14:paraId="25BB0141">
      <w:pPr>
        <w:bidi w:val="0"/>
        <w:rPr>
          <w:rFonts w:hint="eastAsia" w:eastAsia="仿宋_GB2312"/>
          <w:color w:val="auto"/>
          <w:lang w:eastAsia="zh-CN"/>
        </w:rPr>
      </w:pPr>
      <w:r>
        <w:rPr>
          <w:rFonts w:hint="eastAsia" w:eastAsia="仿宋_GB2312"/>
          <w:b/>
          <w:bCs/>
          <w:color w:val="auto"/>
          <w:lang w:eastAsia="zh-CN"/>
        </w:rPr>
        <w:t>镀铜：</w:t>
      </w:r>
      <w:r>
        <w:rPr>
          <w:rFonts w:hint="eastAsia" w:eastAsia="仿宋_GB2312"/>
          <w:color w:val="auto"/>
          <w:lang w:eastAsia="zh-CN"/>
        </w:rPr>
        <w:t>属于化学镀铜，在碱铜预镀后，将版辊浸入含有铜离子的酸性电解液（使用铜角、盐酸、铜添加剂 COSMO-K1 、K2 、硫酸铜、硫酸及纯水调配）中，在电解液和版辊之间加上电流，版辊为阴极，铜角为阳极，控制镀槽温度在 37℃左右，在镀液和版辊之间加上电流，通过电化学反应在版辊表面沉积铜离子，从而形成一层厚度均匀的铜膜。主要反应方程式如下：</w:t>
      </w:r>
    </w:p>
    <w:p w14:paraId="1132AE85">
      <w:pPr>
        <w:bidi w:val="0"/>
        <w:rPr>
          <w:rFonts w:hint="eastAsia" w:eastAsia="仿宋_GB2312"/>
          <w:color w:val="auto"/>
          <w:lang w:eastAsia="zh-CN"/>
        </w:rPr>
      </w:pPr>
      <w:r>
        <w:rPr>
          <w:rFonts w:hint="eastAsia" w:eastAsia="仿宋_GB2312"/>
          <w:color w:val="auto"/>
          <w:lang w:eastAsia="zh-CN"/>
        </w:rPr>
        <w:t>阳极 Cu－2e</w:t>
      </w:r>
      <w:r>
        <w:rPr>
          <w:rFonts w:hint="eastAsia" w:eastAsia="仿宋_GB2312"/>
          <w:color w:val="auto"/>
          <w:vertAlign w:val="superscript"/>
          <w:lang w:eastAsia="zh-CN"/>
        </w:rPr>
        <w:t>-</w:t>
      </w:r>
      <w:r>
        <w:rPr>
          <w:rFonts w:hint="eastAsia" w:eastAsia="仿宋_GB2312"/>
          <w:color w:val="auto"/>
          <w:lang w:eastAsia="zh-CN"/>
        </w:rPr>
        <w:t>=Cu</w:t>
      </w:r>
      <w:r>
        <w:rPr>
          <w:rFonts w:hint="eastAsia" w:eastAsia="仿宋_GB2312"/>
          <w:color w:val="auto"/>
          <w:vertAlign w:val="superscript"/>
          <w:lang w:eastAsia="zh-CN"/>
        </w:rPr>
        <w:t>2+</w:t>
      </w:r>
    </w:p>
    <w:p w14:paraId="1CB263C9">
      <w:pPr>
        <w:bidi w:val="0"/>
        <w:rPr>
          <w:rFonts w:hint="eastAsia" w:eastAsia="仿宋_GB2312"/>
          <w:color w:val="auto"/>
          <w:lang w:eastAsia="zh-CN"/>
        </w:rPr>
      </w:pPr>
      <w:r>
        <w:rPr>
          <w:rFonts w:hint="eastAsia" w:eastAsia="仿宋_GB2312"/>
          <w:color w:val="auto"/>
          <w:lang w:eastAsia="zh-CN"/>
        </w:rPr>
        <w:t>阴极 Cu</w:t>
      </w:r>
      <w:r>
        <w:rPr>
          <w:rFonts w:hint="eastAsia" w:eastAsia="仿宋_GB2312"/>
          <w:color w:val="auto"/>
          <w:vertAlign w:val="superscript"/>
          <w:lang w:eastAsia="zh-CN"/>
        </w:rPr>
        <w:t>2+</w:t>
      </w:r>
      <w:r>
        <w:rPr>
          <w:rFonts w:hint="eastAsia" w:eastAsia="仿宋_GB2312"/>
          <w:color w:val="auto"/>
          <w:lang w:eastAsia="zh-CN"/>
        </w:rPr>
        <w:t>+2e</w:t>
      </w:r>
      <w:r>
        <w:rPr>
          <w:rFonts w:hint="eastAsia" w:eastAsia="仿宋_GB2312"/>
          <w:color w:val="auto"/>
          <w:vertAlign w:val="superscript"/>
          <w:lang w:eastAsia="zh-CN"/>
        </w:rPr>
        <w:t>-</w:t>
      </w:r>
      <w:r>
        <w:rPr>
          <w:rFonts w:hint="eastAsia" w:eastAsia="仿宋_GB2312"/>
          <w:color w:val="auto"/>
          <w:lang w:eastAsia="zh-CN"/>
        </w:rPr>
        <w:t>=Cu</w:t>
      </w:r>
    </w:p>
    <w:p w14:paraId="57432064">
      <w:pPr>
        <w:bidi w:val="0"/>
        <w:rPr>
          <w:rFonts w:hint="eastAsia" w:eastAsia="仿宋_GB2312"/>
          <w:color w:val="auto"/>
          <w:lang w:eastAsia="zh-CN"/>
        </w:rPr>
      </w:pPr>
      <w:r>
        <w:rPr>
          <w:rFonts w:hint="eastAsia" w:eastAsia="仿宋_GB2312"/>
          <w:color w:val="auto"/>
          <w:lang w:eastAsia="zh-CN"/>
        </w:rPr>
        <w:t>镀铜后，铜槽内的镀铜液下降回流至储液槽，槽体内的纯水喷头自动开启喷淋清洗，喷淋时间约 10s ，喷头流量约 30L/min ，清洗水产生量约为 5L ，清洗水进入储液槽内，由于镀铜一次整体需要约4h 左右，且镀铜过程中需对槽液进行电加热，喷淋清洗后的清洗水量 5L 与镀铜过程中的水分蒸发量可平衡。</w:t>
      </w:r>
    </w:p>
    <w:p w14:paraId="098AAA9B">
      <w:pPr>
        <w:bidi w:val="0"/>
        <w:rPr>
          <w:rFonts w:hint="eastAsia" w:eastAsia="仿宋_GB2312"/>
          <w:color w:val="auto"/>
          <w:lang w:eastAsia="zh-CN"/>
        </w:rPr>
      </w:pPr>
      <w:r>
        <w:rPr>
          <w:rFonts w:hint="eastAsia" w:eastAsia="仿宋_GB2312"/>
          <w:color w:val="auto"/>
          <w:lang w:eastAsia="zh-CN"/>
        </w:rPr>
        <w:t>故喷淋清洗后的清洗水进入镀铜液储液槽，作为槽液蒸发消耗量补充，冲洗水不外排，此工段不产生清洗废水。此工段会产生镀铜废液（L15），氯化氢废气（G24）、硫酸雾（G25）。</w:t>
      </w:r>
    </w:p>
    <w:p w14:paraId="6D28A6AB">
      <w:pPr>
        <w:bidi w:val="0"/>
        <w:rPr>
          <w:rFonts w:hint="eastAsia" w:eastAsia="仿宋_GB2312"/>
          <w:color w:val="auto"/>
          <w:lang w:eastAsia="zh-CN"/>
        </w:rPr>
      </w:pPr>
      <w:r>
        <w:rPr>
          <w:rFonts w:hint="eastAsia" w:eastAsia="仿宋_GB2312"/>
          <w:b/>
          <w:bCs/>
          <w:color w:val="auto"/>
          <w:lang w:eastAsia="zh-CN"/>
        </w:rPr>
        <w:t>铜辊研磨：</w:t>
      </w:r>
      <w:r>
        <w:rPr>
          <w:rFonts w:hint="eastAsia" w:eastAsia="仿宋_GB2312"/>
          <w:color w:val="auto"/>
          <w:lang w:eastAsia="zh-CN"/>
        </w:rPr>
        <w:t>镀铜后采用金刚石砂轮刀、铜层清洗剂、铜抛砂光带对镀铜层表面进行湿式研磨，研磨水经研磨系统处理后循环使用。此工段会产生金属边角料及碎屑（S16），研磨废水（W8）。</w:t>
      </w:r>
    </w:p>
    <w:p w14:paraId="5B18C65C">
      <w:pPr>
        <w:bidi w:val="0"/>
        <w:rPr>
          <w:rFonts w:hint="eastAsia" w:eastAsia="仿宋_GB2312"/>
          <w:color w:val="auto"/>
          <w:lang w:eastAsia="zh-CN"/>
        </w:rPr>
      </w:pPr>
      <w:r>
        <w:rPr>
          <w:rFonts w:hint="eastAsia" w:eastAsia="仿宋_GB2312"/>
          <w:b/>
          <w:bCs/>
          <w:color w:val="auto"/>
          <w:lang w:eastAsia="zh-CN"/>
        </w:rPr>
        <w:t>检验：</w:t>
      </w:r>
      <w:r>
        <w:rPr>
          <w:rFonts w:hint="eastAsia" w:eastAsia="仿宋_GB2312"/>
          <w:color w:val="auto"/>
          <w:lang w:eastAsia="zh-CN"/>
        </w:rPr>
        <w:t>对镀铜后的版辊进行人工检验，对镀覆不合格的版辊的铜层返回至钢辊研磨工段。</w:t>
      </w:r>
    </w:p>
    <w:p w14:paraId="4B172641">
      <w:pPr>
        <w:bidi w:val="0"/>
        <w:rPr>
          <w:rFonts w:hint="eastAsia" w:eastAsia="仿宋_GB2312"/>
          <w:color w:val="auto"/>
          <w:lang w:eastAsia="zh-CN"/>
        </w:rPr>
      </w:pPr>
      <w:r>
        <w:rPr>
          <w:rFonts w:hint="eastAsia" w:eastAsia="仿宋_GB2312"/>
          <w:color w:val="auto"/>
          <w:lang w:eastAsia="zh-CN"/>
        </w:rPr>
        <w:t>超声波清洗：使用超声波设备加入超声波清洗剂对版辊进行清洗。清洗废水过滤循环使用，每周更换一次。此过程会产生清洗废水（W9）。</w:t>
      </w:r>
    </w:p>
    <w:p w14:paraId="016BA9A8">
      <w:pPr>
        <w:bidi w:val="0"/>
        <w:rPr>
          <w:rFonts w:hint="eastAsia" w:eastAsia="仿宋_GB2312"/>
          <w:color w:val="auto"/>
          <w:lang w:eastAsia="zh-CN"/>
        </w:rPr>
      </w:pPr>
      <w:r>
        <w:rPr>
          <w:rFonts w:hint="eastAsia" w:eastAsia="仿宋_GB2312"/>
          <w:b/>
          <w:bCs/>
          <w:color w:val="auto"/>
          <w:lang w:eastAsia="zh-CN"/>
        </w:rPr>
        <w:t>挂胶：</w:t>
      </w:r>
      <w:r>
        <w:rPr>
          <w:rFonts w:hint="eastAsia" w:eastAsia="仿宋_GB2312"/>
          <w:color w:val="auto"/>
          <w:lang w:eastAsia="zh-CN"/>
        </w:rPr>
        <w:t>在版辊表面均匀地滚涂一层 4um 厚度的感光液，挂胶过程全封闭。此工段会产生有机废气，以非甲烷总烃计（G26）（主要为进出挂胶设备过程中产生）。</w:t>
      </w:r>
    </w:p>
    <w:p w14:paraId="7636F228">
      <w:pPr>
        <w:bidi w:val="0"/>
        <w:rPr>
          <w:rFonts w:hint="eastAsia" w:eastAsia="仿宋_GB2312"/>
          <w:color w:val="auto"/>
          <w:lang w:eastAsia="zh-CN"/>
        </w:rPr>
      </w:pPr>
      <w:r>
        <w:rPr>
          <w:rFonts w:hint="eastAsia" w:eastAsia="仿宋_GB2312"/>
          <w:b/>
          <w:bCs/>
          <w:color w:val="auto"/>
          <w:lang w:eastAsia="zh-CN"/>
        </w:rPr>
        <w:t>擦拭：</w:t>
      </w:r>
      <w:r>
        <w:rPr>
          <w:rFonts w:hint="eastAsia" w:eastAsia="仿宋_GB2312"/>
          <w:color w:val="auto"/>
          <w:lang w:eastAsia="zh-CN"/>
        </w:rPr>
        <w:t>使用异丙醇对挂胶后的版辊进行检验，对超出挂胶区域的版辊使用异丙醇进行擦拭。此工段会产生有机废气，以非甲烷总烃计（G27），废擦拭物（S17）。</w:t>
      </w:r>
    </w:p>
    <w:p w14:paraId="03DB32DA">
      <w:pPr>
        <w:bidi w:val="0"/>
        <w:rPr>
          <w:rFonts w:hint="eastAsia" w:eastAsia="仿宋_GB2312"/>
          <w:color w:val="auto"/>
          <w:lang w:eastAsia="zh-CN"/>
        </w:rPr>
      </w:pPr>
      <w:r>
        <w:rPr>
          <w:rFonts w:hint="eastAsia" w:eastAsia="仿宋_GB2312"/>
          <w:b/>
          <w:bCs/>
          <w:color w:val="auto"/>
          <w:lang w:eastAsia="zh-CN"/>
        </w:rPr>
        <w:t>自然干燥：</w:t>
      </w:r>
      <w:r>
        <w:rPr>
          <w:rFonts w:hint="eastAsia" w:eastAsia="仿宋_GB2312"/>
          <w:color w:val="auto"/>
          <w:lang w:eastAsia="zh-CN"/>
        </w:rPr>
        <w:t>挂胶后的版辊进行自然干燥，约 10min ，此工段会产生少量有机废气（G28）。</w:t>
      </w:r>
    </w:p>
    <w:p w14:paraId="6FCF00FE">
      <w:pPr>
        <w:bidi w:val="0"/>
        <w:rPr>
          <w:rFonts w:hint="eastAsia" w:eastAsia="仿宋_GB2312"/>
          <w:color w:val="auto"/>
          <w:lang w:eastAsia="zh-CN"/>
        </w:rPr>
      </w:pPr>
      <w:r>
        <w:rPr>
          <w:rFonts w:hint="eastAsia" w:eastAsia="仿宋_GB2312"/>
          <w:b/>
          <w:bCs/>
          <w:color w:val="auto"/>
          <w:lang w:eastAsia="zh-CN"/>
        </w:rPr>
        <w:t>感光显影：</w:t>
      </w:r>
      <w:r>
        <w:rPr>
          <w:rFonts w:hint="eastAsia" w:eastAsia="仿宋_GB2312"/>
          <w:color w:val="auto"/>
          <w:lang w:eastAsia="zh-CN"/>
        </w:rPr>
        <w:t>涂胶完成后的微精版涂抹显影液，使用显影机发射激光光束，照射在版辊表面的胶上，激光照射过的部分会发生变质，通过感光液与碱性显影液发生反应，把雕刻部分的感光液溶解掉，露出铜层。此工段会产生少量有机废气，以非甲烷总烃计（G29），显影废液（L16）。</w:t>
      </w:r>
    </w:p>
    <w:p w14:paraId="6A6CD674">
      <w:pPr>
        <w:bidi w:val="0"/>
        <w:rPr>
          <w:rFonts w:hint="eastAsia" w:eastAsia="仿宋_GB2312"/>
          <w:color w:val="auto"/>
          <w:lang w:eastAsia="zh-CN"/>
        </w:rPr>
      </w:pPr>
      <w:r>
        <w:rPr>
          <w:rFonts w:hint="eastAsia" w:eastAsia="仿宋_GB2312"/>
          <w:b/>
          <w:bCs/>
          <w:color w:val="auto"/>
          <w:lang w:eastAsia="zh-CN"/>
        </w:rPr>
        <w:t>腐蚀：</w:t>
      </w:r>
      <w:r>
        <w:rPr>
          <w:rFonts w:hint="eastAsia" w:eastAsia="仿宋_GB2312"/>
          <w:color w:val="auto"/>
          <w:lang w:eastAsia="zh-CN"/>
        </w:rPr>
        <w:t>使用氯化铜对版面进行腐蚀，由于图文部分的胶层已被打开，被腐蚀后形成凹下去的网穴。此工段会产生废腐蚀液（L17）及腐蚀槽渣（S18）。</w:t>
      </w:r>
    </w:p>
    <w:p w14:paraId="5B18C1DE">
      <w:pPr>
        <w:bidi w:val="0"/>
        <w:rPr>
          <w:rFonts w:hint="eastAsia" w:eastAsia="仿宋_GB2312"/>
          <w:color w:val="auto"/>
          <w:lang w:eastAsia="zh-CN"/>
        </w:rPr>
      </w:pPr>
      <w:r>
        <w:rPr>
          <w:rFonts w:hint="eastAsia" w:eastAsia="仿宋_GB2312"/>
          <w:b/>
          <w:bCs/>
          <w:color w:val="auto"/>
          <w:lang w:eastAsia="zh-CN"/>
        </w:rPr>
        <w:t>剥胶：</w:t>
      </w:r>
      <w:r>
        <w:rPr>
          <w:rFonts w:hint="eastAsia" w:eastAsia="仿宋_GB2312"/>
          <w:color w:val="auto"/>
          <w:lang w:eastAsia="zh-CN"/>
        </w:rPr>
        <w:t>采用脱脂剂对版辊上剩余的胶体及油污进行溶解剥除，通过脱脂剂与感光液反应溶解，露出活泼的版辊金属界面，以保证电镀层与基体的良好结合力。此工段会产生含铜脱脂废水（W10）。</w:t>
      </w:r>
    </w:p>
    <w:p w14:paraId="647F3552">
      <w:pPr>
        <w:bidi w:val="0"/>
        <w:rPr>
          <w:rFonts w:hint="eastAsia" w:eastAsia="仿宋_GB2312"/>
          <w:color w:val="auto"/>
          <w:lang w:eastAsia="zh-CN"/>
        </w:rPr>
      </w:pPr>
      <w:r>
        <w:rPr>
          <w:rFonts w:hint="eastAsia" w:eastAsia="仿宋_GB2312"/>
          <w:b/>
          <w:bCs/>
          <w:color w:val="auto"/>
          <w:lang w:eastAsia="zh-CN"/>
        </w:rPr>
        <w:t>镀铬：</w:t>
      </w:r>
      <w:r>
        <w:rPr>
          <w:rFonts w:hint="eastAsia" w:eastAsia="仿宋_GB2312"/>
          <w:color w:val="auto"/>
          <w:lang w:eastAsia="zh-CN"/>
        </w:rPr>
        <w:t>镀铬温度为58-60℃,使用原料为铬酐（250g/L）、铬添加剂、双氧水、硫酸（2.8g/L），镀铬时间约 20 分钟。此工段会产生含铬废液（L18）、硫酸雾（G30）、铬酸雾（G31）。</w:t>
      </w:r>
    </w:p>
    <w:p w14:paraId="03FD2607">
      <w:pPr>
        <w:bidi w:val="0"/>
        <w:rPr>
          <w:rFonts w:hint="eastAsia" w:eastAsia="仿宋_GB2312"/>
          <w:color w:val="auto"/>
          <w:lang w:eastAsia="zh-CN"/>
        </w:rPr>
      </w:pPr>
      <w:r>
        <w:rPr>
          <w:rFonts w:hint="eastAsia" w:eastAsia="仿宋_GB2312"/>
          <w:b/>
          <w:bCs/>
          <w:color w:val="auto"/>
          <w:lang w:eastAsia="zh-CN"/>
        </w:rPr>
        <w:t>清洗：</w:t>
      </w:r>
      <w:r>
        <w:rPr>
          <w:rFonts w:hint="eastAsia" w:eastAsia="仿宋_GB2312"/>
          <w:color w:val="auto"/>
          <w:lang w:eastAsia="zh-CN"/>
        </w:rPr>
        <w:t>镀铬完成后对版面用纯水进行冲洗。此过程会产生清洗废水（W11）。</w:t>
      </w:r>
    </w:p>
    <w:p w14:paraId="19FA2D86">
      <w:pPr>
        <w:bidi w:val="0"/>
        <w:rPr>
          <w:rFonts w:hint="eastAsia" w:eastAsia="仿宋_GB2312"/>
          <w:color w:val="auto"/>
          <w:lang w:eastAsia="zh-CN"/>
        </w:rPr>
      </w:pPr>
      <w:r>
        <w:rPr>
          <w:rFonts w:hint="eastAsia" w:eastAsia="仿宋_GB2312"/>
          <w:b/>
          <w:bCs/>
          <w:color w:val="auto"/>
          <w:lang w:eastAsia="zh-CN"/>
        </w:rPr>
        <w:t>铬抛：</w:t>
      </w:r>
      <w:r>
        <w:rPr>
          <w:rFonts w:hint="eastAsia" w:eastAsia="仿宋_GB2312"/>
          <w:color w:val="auto"/>
          <w:lang w:eastAsia="zh-CN"/>
        </w:rPr>
        <w:t>由于镀铬后，表层光滑，后续印刷使用时需要表层带有纹理便于上墨，故使用铬抛光带进行湿法抛光研磨，水循环使用。此工段会产生金属边角料及碎屑（S19）。</w:t>
      </w:r>
    </w:p>
    <w:p w14:paraId="44E0C6B1">
      <w:pPr>
        <w:bidi w:val="0"/>
        <w:rPr>
          <w:rFonts w:hint="eastAsia" w:eastAsia="仿宋_GB2312"/>
          <w:color w:val="auto"/>
          <w:lang w:eastAsia="zh-CN"/>
        </w:rPr>
      </w:pPr>
      <w:r>
        <w:rPr>
          <w:rFonts w:hint="eastAsia" w:eastAsia="仿宋_GB2312"/>
          <w:b/>
          <w:bCs/>
          <w:color w:val="auto"/>
          <w:lang w:eastAsia="zh-CN"/>
        </w:rPr>
        <w:t>打样擦拭：</w:t>
      </w:r>
      <w:r>
        <w:rPr>
          <w:rFonts w:hint="eastAsia" w:eastAsia="仿宋_GB2312"/>
          <w:color w:val="auto"/>
          <w:lang w:eastAsia="zh-CN"/>
        </w:rPr>
        <w:t>使用水性油墨均匀涂至已完成的版辊表面进行打样，检查版辊的图形是否符合要求，打样后的水性油墨使用乙酸乙酯进行擦除，此工段会产生有机废气，以非甲烷总烃计（G32）、沾染油墨的废擦拭物（S20）。</w:t>
      </w:r>
    </w:p>
    <w:p w14:paraId="6D1871B0">
      <w:pPr>
        <w:bidi w:val="0"/>
        <w:rPr>
          <w:rFonts w:hint="eastAsia" w:eastAsia="仿宋_GB2312"/>
          <w:color w:val="auto"/>
          <w:lang w:eastAsia="zh-CN"/>
        </w:rPr>
      </w:pPr>
      <w:r>
        <w:rPr>
          <w:rFonts w:hint="eastAsia" w:eastAsia="仿宋_GB2312"/>
          <w:b/>
          <w:bCs/>
          <w:color w:val="auto"/>
          <w:lang w:eastAsia="zh-CN"/>
        </w:rPr>
        <w:t>检验：</w:t>
      </w:r>
      <w:r>
        <w:rPr>
          <w:rFonts w:hint="eastAsia" w:eastAsia="仿宋_GB2312"/>
          <w:color w:val="auto"/>
          <w:lang w:eastAsia="zh-CN"/>
        </w:rPr>
        <w:t>人工对版辊表面进行外观检查，不使用仪器设备，检查是否存在缺陷，检验不合格的版辊将进行退铬（工艺与压纹版辊退镀工艺一致）。退铬后重新电镀。</w:t>
      </w:r>
    </w:p>
    <w:p w14:paraId="0C337698">
      <w:pPr>
        <w:bidi w:val="0"/>
        <w:rPr>
          <w:rFonts w:hint="eastAsia"/>
          <w:color w:val="auto"/>
          <w:lang w:eastAsia="zh-CN"/>
        </w:rPr>
      </w:pPr>
      <w:r>
        <w:rPr>
          <w:rFonts w:hint="eastAsia" w:eastAsia="仿宋_GB2312"/>
          <w:b/>
          <w:bCs/>
          <w:color w:val="auto"/>
          <w:lang w:eastAsia="zh-CN"/>
        </w:rPr>
        <w:t>发版：</w:t>
      </w:r>
      <w:r>
        <w:rPr>
          <w:rFonts w:hint="eastAsia" w:eastAsia="仿宋_GB2312"/>
          <w:color w:val="auto"/>
          <w:lang w:eastAsia="zh-CN"/>
        </w:rPr>
        <w:t>将制作完成的微精版包装入库。</w:t>
      </w:r>
    </w:p>
    <w:p w14:paraId="25BF152F">
      <w:pPr>
        <w:pStyle w:val="3"/>
        <w:bidi w:val="0"/>
        <w:rPr>
          <w:color w:val="auto"/>
          <w:highlight w:val="none"/>
          <w:lang w:val="en-US" w:eastAsia="zh-CN"/>
        </w:rPr>
      </w:pPr>
      <w:bookmarkStart w:id="122" w:name="_Toc14900"/>
      <w:bookmarkStart w:id="123" w:name="_Toc17563"/>
      <w:r>
        <w:rPr>
          <w:rFonts w:hint="eastAsia"/>
          <w:color w:val="auto"/>
          <w:highlight w:val="none"/>
          <w:lang w:val="en-US" w:eastAsia="zh-CN"/>
        </w:rPr>
        <w:t>现有污染防治措施及</w:t>
      </w:r>
      <w:bookmarkEnd w:id="122"/>
      <w:r>
        <w:rPr>
          <w:rFonts w:hint="eastAsia"/>
          <w:color w:val="auto"/>
          <w:highlight w:val="none"/>
          <w:lang w:val="en-US" w:eastAsia="zh-CN"/>
        </w:rPr>
        <w:t>达标分析</w:t>
      </w:r>
      <w:bookmarkEnd w:id="123"/>
    </w:p>
    <w:p w14:paraId="05C70D0D">
      <w:pPr>
        <w:pStyle w:val="4"/>
        <w:bidi w:val="0"/>
        <w:rPr>
          <w:rFonts w:hint="eastAsia"/>
          <w:color w:val="auto"/>
        </w:rPr>
      </w:pPr>
      <w:bookmarkStart w:id="124" w:name="_Toc24214"/>
      <w:bookmarkStart w:id="125" w:name="_Toc19750"/>
      <w:r>
        <w:rPr>
          <w:rFonts w:hint="eastAsia"/>
          <w:color w:val="auto"/>
        </w:rPr>
        <w:t>大气污染物产生排放情况</w:t>
      </w:r>
      <w:bookmarkEnd w:id="124"/>
      <w:bookmarkEnd w:id="125"/>
    </w:p>
    <w:p w14:paraId="36408921">
      <w:pPr>
        <w:pStyle w:val="5"/>
        <w:bidi w:val="0"/>
        <w:rPr>
          <w:rFonts w:hint="eastAsia"/>
          <w:color w:val="auto"/>
        </w:rPr>
      </w:pPr>
      <w:r>
        <w:rPr>
          <w:rFonts w:hint="eastAsia"/>
          <w:color w:val="auto"/>
        </w:rPr>
        <w:t>产生排放情况及治理措施</w:t>
      </w:r>
    </w:p>
    <w:p w14:paraId="7FDABED7">
      <w:pPr>
        <w:pStyle w:val="6"/>
        <w:bidi w:val="0"/>
        <w:rPr>
          <w:rFonts w:hint="eastAsia"/>
          <w:color w:val="auto"/>
          <w:lang w:val="en-US" w:eastAsia="zh-CN"/>
        </w:rPr>
      </w:pPr>
      <w:r>
        <w:rPr>
          <w:rFonts w:hint="eastAsia"/>
          <w:color w:val="auto"/>
          <w:lang w:val="en-US" w:eastAsia="zh-CN"/>
        </w:rPr>
        <w:t>废气治理概况</w:t>
      </w:r>
    </w:p>
    <w:p w14:paraId="14D68FCA">
      <w:pPr>
        <w:rPr>
          <w:rFonts w:hint="eastAsia"/>
          <w:color w:val="auto"/>
        </w:rPr>
      </w:pPr>
      <w:r>
        <w:rPr>
          <w:rFonts w:hint="eastAsia"/>
          <w:color w:val="auto"/>
        </w:rPr>
        <w:t>企业各项废气的现有废气处理措施情况如下：</w:t>
      </w:r>
    </w:p>
    <w:p w14:paraId="64373F11">
      <w:pPr>
        <w:rPr>
          <w:rFonts w:hint="eastAsia"/>
          <w:color w:val="auto"/>
        </w:rPr>
      </w:pPr>
      <w:r>
        <w:rPr>
          <w:rFonts w:hint="eastAsia"/>
          <w:color w:val="auto"/>
        </w:rPr>
        <w:t>①镀铜、浸蚀、喷酸清洗等过程中产生的硫酸雾废气密闭收集后经“二级碱喷淋塔”处理后，通过 15m 高排气筒（DA001）排放；</w:t>
      </w:r>
    </w:p>
    <w:p w14:paraId="76AF1970">
      <w:pPr>
        <w:rPr>
          <w:rFonts w:hint="eastAsia"/>
          <w:color w:val="auto"/>
        </w:rPr>
      </w:pPr>
      <w:r>
        <w:rPr>
          <w:rFonts w:hint="eastAsia"/>
          <w:color w:val="auto"/>
        </w:rPr>
        <w:t>②腐蚀过程中产生的氯化氢废气密闭收集后经“二级碱喷淋塔”处理后，通过 15m 高排气筒（DA002）排放；</w:t>
      </w:r>
    </w:p>
    <w:p w14:paraId="331CC0E0">
      <w:pPr>
        <w:rPr>
          <w:rFonts w:hint="eastAsia"/>
          <w:color w:val="auto"/>
        </w:rPr>
      </w:pPr>
      <w:r>
        <w:rPr>
          <w:rFonts w:hint="eastAsia"/>
          <w:color w:val="auto"/>
        </w:rPr>
        <w:t>③激光雕刻过程中产生的二甲苯、非甲烷总烃、颗粒物密闭管路收集经“袋式除尘+水喷淋+二级活性炭”+15 米高的排气筒（DA003），激光直刻过程产生的颗粒物经“袋式除尘”+15 米高的排气筒（DA003）排放；</w:t>
      </w:r>
    </w:p>
    <w:p w14:paraId="15636177">
      <w:pPr>
        <w:rPr>
          <w:rFonts w:hint="eastAsia"/>
          <w:color w:val="auto"/>
        </w:rPr>
      </w:pPr>
      <w:r>
        <w:rPr>
          <w:rFonts w:hint="eastAsia"/>
          <w:color w:val="auto"/>
        </w:rPr>
        <w:t>④镀铬过程中产生的铬酸雾废气密闭收集后经“凝聚回收+二级碱喷淋塔”处理后，通过15m 高排气筒（DA004）排放；</w:t>
      </w:r>
    </w:p>
    <w:p w14:paraId="2276B1B8">
      <w:pPr>
        <w:rPr>
          <w:rFonts w:hint="eastAsia"/>
          <w:color w:val="auto"/>
        </w:rPr>
      </w:pPr>
      <w:r>
        <w:rPr>
          <w:rFonts w:hint="eastAsia"/>
          <w:color w:val="auto"/>
        </w:rPr>
        <w:t>⑤喷砂过程中产生的颗粒物经“袋式除尘”+15 米高的排气筒（DA005）排放，调胶、喷胶、清洁过程中产生的二甲苯、非甲烷总烃集气罩/密闭管路收集后经“水喷淋+二级活性炭” 处理后，通过 15 米高排气筒（DA005）排放，环评排气筒编号为 DA006；</w:t>
      </w:r>
    </w:p>
    <w:p w14:paraId="767F9CEB">
      <w:pPr>
        <w:rPr>
          <w:rFonts w:hint="eastAsia"/>
          <w:color w:val="auto"/>
        </w:rPr>
      </w:pPr>
      <w:r>
        <w:rPr>
          <w:rFonts w:hint="eastAsia"/>
          <w:color w:val="auto"/>
        </w:rPr>
        <w:t>⑥微精版镀铜过程中产生的硫酸雾、氯化氢废气密闭收集后经“二级碱喷淋塔”处理后，通过 15m 高排气筒（DA006）排放，环评排气筒编号为 DA007；</w:t>
      </w:r>
    </w:p>
    <w:p w14:paraId="19465942">
      <w:pPr>
        <w:rPr>
          <w:rFonts w:hint="eastAsia"/>
          <w:color w:val="auto"/>
        </w:rPr>
      </w:pPr>
      <w:r>
        <w:rPr>
          <w:rFonts w:hint="eastAsia"/>
          <w:color w:val="auto"/>
        </w:rPr>
        <w:t>⑦镀铬过程中产生的硫酸雾、铬酸雾废气密闭管路收集后经“凝聚回收+二级碱喷淋塔”+15 米高的排气筒（DA007）排放，环评排气筒编号为 DA008；</w:t>
      </w:r>
    </w:p>
    <w:p w14:paraId="39BC64A6">
      <w:pPr>
        <w:rPr>
          <w:rFonts w:hint="eastAsia"/>
          <w:color w:val="auto"/>
        </w:rPr>
      </w:pPr>
      <w:r>
        <w:rPr>
          <w:rFonts w:hint="eastAsia"/>
          <w:color w:val="auto"/>
        </w:rPr>
        <w:t>⑧挂胶、自然干燥、擦拭、感光显影、打样等过程中产生的非甲烷总烃集气罩/密闭管路收集后经“二级活性炭”处理后，通过 15m 高排气筒（DA008）排放，环评排气筒编号为DA009；</w:t>
      </w:r>
    </w:p>
    <w:p w14:paraId="0110088E">
      <w:pPr>
        <w:rPr>
          <w:rFonts w:hint="eastAsia"/>
          <w:color w:val="auto"/>
        </w:rPr>
      </w:pPr>
      <w:r>
        <w:rPr>
          <w:rFonts w:hint="eastAsia"/>
          <w:color w:val="auto"/>
        </w:rPr>
        <w:t>⑨危废暂存仓库、废水处理站产生的氯化氢废气经整体抽风统一收集后，经“碱喷淋塔” 处理后，通过 15m 高排气筒（DA009）排放，环评排气筒编号为 DA010。</w:t>
      </w:r>
    </w:p>
    <w:p w14:paraId="60037585">
      <w:pPr>
        <w:rPr>
          <w:color w:val="auto"/>
        </w:rPr>
      </w:pPr>
      <w:r>
        <w:rPr>
          <w:rFonts w:hint="eastAsia"/>
          <w:color w:val="auto"/>
        </w:rPr>
        <w:t>焊接烟尘经烟尘净化装置处理后车间内无组织排放；乳化液使用过程产生的有机废气均经油雾净化装置处理后车间内无组织排放</w:t>
      </w:r>
      <w:r>
        <w:rPr>
          <w:rFonts w:hint="eastAsia" w:eastAsia="仿宋_GB2312"/>
          <w:color w:val="auto"/>
          <w:highlight w:val="none"/>
          <w:lang w:eastAsia="zh-CN"/>
        </w:rPr>
        <w:t>。</w:t>
      </w:r>
    </w:p>
    <w:p w14:paraId="155B6902">
      <w:pPr>
        <w:pStyle w:val="26"/>
        <w:bidi w:val="0"/>
        <w:rPr>
          <w:rFonts w:hint="eastAsia"/>
          <w:lang w:eastAsia="zh-CN"/>
        </w:rPr>
      </w:pPr>
      <w:r>
        <w:rPr>
          <w:rFonts w:hint="eastAsia"/>
          <w:lang w:eastAsia="zh-CN"/>
        </w:rPr>
        <w:drawing>
          <wp:inline distT="0" distB="0" distL="114300" distR="114300">
            <wp:extent cx="5303520" cy="7671435"/>
            <wp:effectExtent l="0" t="0" r="5080" b="12065"/>
            <wp:docPr id="9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6"/>
                    <pic:cNvPicPr>
                      <a:picLocks noChangeAspect="1"/>
                    </pic:cNvPicPr>
                  </pic:nvPicPr>
                  <pic:blipFill>
                    <a:blip r:embed="rId22"/>
                    <a:srcRect r="3076" b="5925"/>
                    <a:stretch>
                      <a:fillRect/>
                    </a:stretch>
                  </pic:blipFill>
                  <pic:spPr>
                    <a:xfrm>
                      <a:off x="0" y="0"/>
                      <a:ext cx="5303520" cy="7671435"/>
                    </a:xfrm>
                    <a:prstGeom prst="rect">
                      <a:avLst/>
                    </a:prstGeom>
                    <a:noFill/>
                    <a:ln>
                      <a:noFill/>
                    </a:ln>
                  </pic:spPr>
                </pic:pic>
              </a:graphicData>
            </a:graphic>
          </wp:inline>
        </w:drawing>
      </w:r>
    </w:p>
    <w:p w14:paraId="548D188A">
      <w:pPr>
        <w:pStyle w:val="25"/>
        <w:bidi w:val="0"/>
        <w:rPr>
          <w:rFonts w:hint="eastAsia"/>
          <w:color w:val="auto"/>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3.5</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废气处理</w:t>
      </w:r>
      <w:r>
        <w:rPr>
          <w:rFonts w:hint="eastAsia"/>
          <w:color w:val="auto"/>
        </w:rPr>
        <w:t>流程图</w:t>
      </w:r>
    </w:p>
    <w:p w14:paraId="0B47DEAD">
      <w:pPr>
        <w:pStyle w:val="26"/>
        <w:bidi w:val="0"/>
        <w:rPr>
          <w:rFonts w:hint="eastAsia"/>
          <w:color w:val="auto"/>
        </w:rPr>
      </w:pPr>
    </w:p>
    <w:p w14:paraId="5471FCC0">
      <w:pPr>
        <w:pStyle w:val="5"/>
        <w:bidi w:val="0"/>
        <w:rPr>
          <w:rFonts w:hint="eastAsia"/>
          <w:color w:val="auto"/>
        </w:rPr>
      </w:pPr>
      <w:r>
        <w:rPr>
          <w:rFonts w:hint="eastAsia"/>
          <w:color w:val="auto"/>
          <w:lang w:val="en-US" w:eastAsia="zh-CN"/>
        </w:rPr>
        <w:t>大气污染物排放情况达标分析</w:t>
      </w:r>
    </w:p>
    <w:p w14:paraId="4738DB9F">
      <w:pPr>
        <w:pStyle w:val="46"/>
        <w:bidi w:val="0"/>
        <w:rPr>
          <w:rFonts w:hint="eastAsia"/>
          <w:color w:val="auto"/>
        </w:rPr>
      </w:pPr>
      <w:r>
        <w:rPr>
          <w:rFonts w:hint="eastAsia"/>
          <w:color w:val="auto"/>
        </w:rPr>
        <w:t>1）有组织废气</w:t>
      </w:r>
    </w:p>
    <w:p w14:paraId="3E1C9D07">
      <w:pPr>
        <w:rPr>
          <w:rFonts w:hint="eastAsia"/>
          <w:color w:val="auto"/>
          <w:lang w:val="en-US" w:eastAsia="zh-CN"/>
        </w:rPr>
      </w:pPr>
      <w:r>
        <w:rPr>
          <w:rFonts w:hint="eastAsia" w:ascii="Times New Roman" w:eastAsia="仿宋_GB2312"/>
          <w:color w:val="auto"/>
          <w:lang w:val="en-US" w:eastAsia="zh-CN"/>
        </w:rPr>
        <w:t>根据企业最新排污许可证要求，废气自行监测频次要求如下：</w:t>
      </w:r>
    </w:p>
    <w:p w14:paraId="1B0689B6">
      <w:pPr>
        <w:pStyle w:val="25"/>
        <w:bidi w:val="0"/>
        <w:rPr>
          <w:rFonts w:hint="eastAsia"/>
          <w:color w:val="auto"/>
          <w:lang w:val="en-US" w:eastAsia="zh-CN"/>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rFonts w:hint="eastAsia"/>
          <w:color w:val="auto"/>
          <w:lang w:val="en-US" w:eastAsia="zh-CN"/>
        </w:rPr>
        <w:t>废气监测频次要求</w:t>
      </w:r>
    </w:p>
    <w:tbl>
      <w:tblPr>
        <w:tblStyle w:val="50"/>
        <w:tblW w:w="501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13"/>
        <w:gridCol w:w="1430"/>
        <w:gridCol w:w="4296"/>
        <w:gridCol w:w="1691"/>
      </w:tblGrid>
      <w:tr w14:paraId="58A6E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48" w:type="pct"/>
            <w:vAlign w:val="center"/>
          </w:tcPr>
          <w:p w14:paraId="37266AE1">
            <w:pPr>
              <w:pStyle w:val="26"/>
              <w:bidi w:val="0"/>
              <w:jc w:val="center"/>
              <w:rPr>
                <w:rFonts w:hint="eastAsia"/>
                <w:lang w:val="en-US" w:eastAsia="zh-CN"/>
              </w:rPr>
            </w:pPr>
            <w:r>
              <w:rPr>
                <w:rFonts w:hint="eastAsia"/>
                <w:lang w:val="en-US" w:eastAsia="zh-CN"/>
              </w:rPr>
              <w:t>监测对象</w:t>
            </w:r>
          </w:p>
        </w:tc>
        <w:tc>
          <w:tcPr>
            <w:tcW w:w="858" w:type="pct"/>
            <w:vAlign w:val="center"/>
          </w:tcPr>
          <w:p w14:paraId="3085230E">
            <w:pPr>
              <w:pStyle w:val="26"/>
              <w:bidi w:val="0"/>
              <w:jc w:val="center"/>
              <w:rPr>
                <w:rFonts w:hint="eastAsia"/>
                <w:lang w:val="en-US" w:eastAsia="zh-CN"/>
              </w:rPr>
            </w:pPr>
            <w:r>
              <w:rPr>
                <w:rFonts w:hint="eastAsia"/>
                <w:lang w:val="en-US" w:eastAsia="zh-CN"/>
              </w:rPr>
              <w:t>监测点位</w:t>
            </w:r>
          </w:p>
        </w:tc>
        <w:tc>
          <w:tcPr>
            <w:tcW w:w="2578" w:type="pct"/>
            <w:vAlign w:val="center"/>
          </w:tcPr>
          <w:p w14:paraId="515D12D5">
            <w:pPr>
              <w:pStyle w:val="26"/>
              <w:bidi w:val="0"/>
              <w:jc w:val="center"/>
              <w:rPr>
                <w:rFonts w:hint="eastAsia"/>
                <w:lang w:val="en-US" w:eastAsia="zh-CN"/>
              </w:rPr>
            </w:pPr>
            <w:r>
              <w:rPr>
                <w:rFonts w:hint="eastAsia"/>
                <w:lang w:val="en-US" w:eastAsia="zh-CN"/>
              </w:rPr>
              <w:t>监测指标</w:t>
            </w:r>
          </w:p>
        </w:tc>
        <w:tc>
          <w:tcPr>
            <w:tcW w:w="1015" w:type="pct"/>
            <w:vAlign w:val="center"/>
          </w:tcPr>
          <w:p w14:paraId="3F4A577A">
            <w:pPr>
              <w:pStyle w:val="26"/>
              <w:bidi w:val="0"/>
              <w:jc w:val="center"/>
              <w:rPr>
                <w:rFonts w:hint="eastAsia"/>
                <w:lang w:val="en-US" w:eastAsia="zh-CN"/>
              </w:rPr>
            </w:pPr>
            <w:r>
              <w:rPr>
                <w:rFonts w:hint="eastAsia"/>
                <w:lang w:val="en-US" w:eastAsia="zh-CN"/>
              </w:rPr>
              <w:t>监测频次</w:t>
            </w:r>
          </w:p>
        </w:tc>
      </w:tr>
      <w:tr w14:paraId="73AE5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48" w:type="pct"/>
            <w:vMerge w:val="restart"/>
            <w:tcBorders>
              <w:bottom w:val="nil"/>
            </w:tcBorders>
            <w:vAlign w:val="center"/>
          </w:tcPr>
          <w:p w14:paraId="6B327FD5">
            <w:pPr>
              <w:pStyle w:val="26"/>
              <w:bidi w:val="0"/>
              <w:jc w:val="center"/>
              <w:rPr>
                <w:rFonts w:hint="eastAsia"/>
                <w:lang w:val="en-US" w:eastAsia="zh-CN"/>
              </w:rPr>
            </w:pPr>
            <w:r>
              <w:rPr>
                <w:rFonts w:hint="eastAsia"/>
                <w:lang w:val="en-US" w:eastAsia="zh-CN"/>
              </w:rPr>
              <w:t>废气</w:t>
            </w:r>
          </w:p>
        </w:tc>
        <w:tc>
          <w:tcPr>
            <w:tcW w:w="858" w:type="pct"/>
            <w:vAlign w:val="center"/>
          </w:tcPr>
          <w:p w14:paraId="6C2A90D5">
            <w:pPr>
              <w:pStyle w:val="26"/>
              <w:bidi w:val="0"/>
              <w:jc w:val="center"/>
              <w:rPr>
                <w:rFonts w:hint="eastAsia"/>
                <w:lang w:val="en-US" w:eastAsia="zh-CN"/>
              </w:rPr>
            </w:pPr>
            <w:r>
              <w:rPr>
                <w:rFonts w:hint="eastAsia"/>
                <w:lang w:val="en-US" w:eastAsia="zh-CN"/>
              </w:rPr>
              <w:t>DA001</w:t>
            </w:r>
          </w:p>
        </w:tc>
        <w:tc>
          <w:tcPr>
            <w:tcW w:w="2578" w:type="pct"/>
            <w:vAlign w:val="center"/>
          </w:tcPr>
          <w:p w14:paraId="342E5E65">
            <w:pPr>
              <w:pStyle w:val="26"/>
              <w:bidi w:val="0"/>
              <w:jc w:val="center"/>
              <w:rPr>
                <w:rFonts w:hint="eastAsia"/>
                <w:lang w:val="en-US" w:eastAsia="zh-CN"/>
              </w:rPr>
            </w:pPr>
            <w:r>
              <w:rPr>
                <w:rFonts w:hint="eastAsia"/>
                <w:lang w:val="en-US" w:eastAsia="zh-CN"/>
              </w:rPr>
              <w:t>硫酸雾</w:t>
            </w:r>
          </w:p>
        </w:tc>
        <w:tc>
          <w:tcPr>
            <w:tcW w:w="1015" w:type="pct"/>
            <w:vAlign w:val="center"/>
          </w:tcPr>
          <w:p w14:paraId="298833B6">
            <w:pPr>
              <w:pStyle w:val="26"/>
              <w:bidi w:val="0"/>
              <w:jc w:val="center"/>
              <w:rPr>
                <w:rFonts w:hint="eastAsia"/>
                <w:lang w:val="en-US" w:eastAsia="zh-CN"/>
              </w:rPr>
            </w:pPr>
            <w:r>
              <w:rPr>
                <w:rFonts w:hint="eastAsia"/>
                <w:lang w:val="en-US" w:eastAsia="zh-CN"/>
              </w:rPr>
              <w:t>每半年一次</w:t>
            </w:r>
          </w:p>
        </w:tc>
      </w:tr>
      <w:tr w14:paraId="18F00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48" w:type="pct"/>
            <w:vMerge w:val="continue"/>
            <w:tcBorders>
              <w:top w:val="nil"/>
              <w:bottom w:val="nil"/>
            </w:tcBorders>
            <w:vAlign w:val="center"/>
          </w:tcPr>
          <w:p w14:paraId="5B916675">
            <w:pPr>
              <w:pStyle w:val="26"/>
              <w:bidi w:val="0"/>
              <w:jc w:val="center"/>
              <w:rPr>
                <w:rFonts w:hint="eastAsia"/>
                <w:lang w:val="en-US" w:eastAsia="zh-CN"/>
              </w:rPr>
            </w:pPr>
          </w:p>
        </w:tc>
        <w:tc>
          <w:tcPr>
            <w:tcW w:w="858" w:type="pct"/>
            <w:vAlign w:val="center"/>
          </w:tcPr>
          <w:p w14:paraId="16B489DE">
            <w:pPr>
              <w:pStyle w:val="26"/>
              <w:bidi w:val="0"/>
              <w:jc w:val="center"/>
              <w:rPr>
                <w:rFonts w:hint="eastAsia"/>
                <w:lang w:val="en-US" w:eastAsia="zh-CN"/>
              </w:rPr>
            </w:pPr>
            <w:r>
              <w:rPr>
                <w:rFonts w:hint="eastAsia"/>
                <w:lang w:val="en-US" w:eastAsia="zh-CN"/>
              </w:rPr>
              <w:t>DA002</w:t>
            </w:r>
          </w:p>
        </w:tc>
        <w:tc>
          <w:tcPr>
            <w:tcW w:w="2578" w:type="pct"/>
            <w:vAlign w:val="center"/>
          </w:tcPr>
          <w:p w14:paraId="143DFB00">
            <w:pPr>
              <w:pStyle w:val="26"/>
              <w:bidi w:val="0"/>
              <w:jc w:val="center"/>
              <w:rPr>
                <w:rFonts w:hint="eastAsia"/>
                <w:lang w:val="en-US" w:eastAsia="zh-CN"/>
              </w:rPr>
            </w:pPr>
            <w:r>
              <w:rPr>
                <w:rFonts w:hint="eastAsia"/>
                <w:lang w:val="en-US" w:eastAsia="zh-CN"/>
              </w:rPr>
              <w:t>氯化氢</w:t>
            </w:r>
          </w:p>
        </w:tc>
        <w:tc>
          <w:tcPr>
            <w:tcW w:w="1015" w:type="pct"/>
            <w:vAlign w:val="center"/>
          </w:tcPr>
          <w:p w14:paraId="1F8B48FD">
            <w:pPr>
              <w:pStyle w:val="26"/>
              <w:bidi w:val="0"/>
              <w:jc w:val="center"/>
              <w:rPr>
                <w:rFonts w:hint="eastAsia"/>
                <w:lang w:val="en-US" w:eastAsia="zh-CN"/>
              </w:rPr>
            </w:pPr>
            <w:r>
              <w:rPr>
                <w:rFonts w:hint="eastAsia"/>
                <w:lang w:val="en-US" w:eastAsia="zh-CN"/>
              </w:rPr>
              <w:t>每半年一次</w:t>
            </w:r>
          </w:p>
        </w:tc>
      </w:tr>
      <w:tr w14:paraId="749EA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03FD2013">
            <w:pPr>
              <w:pStyle w:val="26"/>
              <w:bidi w:val="0"/>
              <w:jc w:val="center"/>
              <w:rPr>
                <w:rFonts w:hint="eastAsia"/>
                <w:lang w:val="en-US" w:eastAsia="zh-CN"/>
              </w:rPr>
            </w:pPr>
          </w:p>
        </w:tc>
        <w:tc>
          <w:tcPr>
            <w:tcW w:w="858" w:type="pct"/>
            <w:vAlign w:val="center"/>
          </w:tcPr>
          <w:p w14:paraId="05AD1EAB">
            <w:pPr>
              <w:pStyle w:val="26"/>
              <w:bidi w:val="0"/>
              <w:jc w:val="center"/>
              <w:rPr>
                <w:rFonts w:hint="eastAsia"/>
                <w:lang w:val="en-US" w:eastAsia="zh-CN"/>
              </w:rPr>
            </w:pPr>
            <w:r>
              <w:rPr>
                <w:rFonts w:hint="eastAsia"/>
                <w:lang w:val="en-US" w:eastAsia="zh-CN"/>
              </w:rPr>
              <w:t>DA003</w:t>
            </w:r>
          </w:p>
        </w:tc>
        <w:tc>
          <w:tcPr>
            <w:tcW w:w="2578" w:type="pct"/>
            <w:vAlign w:val="center"/>
          </w:tcPr>
          <w:p w14:paraId="7D02FF96">
            <w:pPr>
              <w:pStyle w:val="26"/>
              <w:bidi w:val="0"/>
              <w:jc w:val="center"/>
              <w:rPr>
                <w:rFonts w:hint="eastAsia"/>
                <w:lang w:val="en-US" w:eastAsia="zh-CN"/>
              </w:rPr>
            </w:pPr>
            <w:r>
              <w:rPr>
                <w:rFonts w:hint="eastAsia"/>
                <w:lang w:val="en-US" w:eastAsia="zh-CN"/>
              </w:rPr>
              <w:t>非甲烷总烃、二甲苯、颗粒物</w:t>
            </w:r>
          </w:p>
        </w:tc>
        <w:tc>
          <w:tcPr>
            <w:tcW w:w="1015" w:type="pct"/>
            <w:vAlign w:val="center"/>
          </w:tcPr>
          <w:p w14:paraId="2C640353">
            <w:pPr>
              <w:pStyle w:val="26"/>
              <w:bidi w:val="0"/>
              <w:jc w:val="center"/>
              <w:rPr>
                <w:rFonts w:hint="eastAsia"/>
                <w:lang w:val="en-US" w:eastAsia="zh-CN"/>
              </w:rPr>
            </w:pPr>
            <w:r>
              <w:rPr>
                <w:rFonts w:hint="eastAsia"/>
                <w:lang w:val="en-US" w:eastAsia="zh-CN"/>
              </w:rPr>
              <w:t>每半年一次</w:t>
            </w:r>
          </w:p>
        </w:tc>
      </w:tr>
      <w:tr w14:paraId="780FA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3845F791">
            <w:pPr>
              <w:pStyle w:val="26"/>
              <w:bidi w:val="0"/>
              <w:jc w:val="center"/>
              <w:rPr>
                <w:rFonts w:hint="eastAsia"/>
                <w:lang w:val="en-US" w:eastAsia="zh-CN"/>
              </w:rPr>
            </w:pPr>
          </w:p>
        </w:tc>
        <w:tc>
          <w:tcPr>
            <w:tcW w:w="858" w:type="pct"/>
            <w:vAlign w:val="center"/>
          </w:tcPr>
          <w:p w14:paraId="24D112D4">
            <w:pPr>
              <w:pStyle w:val="26"/>
              <w:bidi w:val="0"/>
              <w:jc w:val="center"/>
              <w:rPr>
                <w:rFonts w:hint="eastAsia"/>
                <w:lang w:val="en-US" w:eastAsia="zh-CN"/>
              </w:rPr>
            </w:pPr>
            <w:r>
              <w:rPr>
                <w:rFonts w:hint="eastAsia"/>
                <w:lang w:val="en-US" w:eastAsia="zh-CN"/>
              </w:rPr>
              <w:t>DA004</w:t>
            </w:r>
          </w:p>
        </w:tc>
        <w:tc>
          <w:tcPr>
            <w:tcW w:w="2578" w:type="pct"/>
            <w:vAlign w:val="center"/>
          </w:tcPr>
          <w:p w14:paraId="6F477CE7">
            <w:pPr>
              <w:pStyle w:val="26"/>
              <w:bidi w:val="0"/>
              <w:jc w:val="center"/>
              <w:rPr>
                <w:rFonts w:hint="eastAsia"/>
                <w:lang w:val="en-US" w:eastAsia="zh-CN"/>
              </w:rPr>
            </w:pPr>
            <w:r>
              <w:rPr>
                <w:rFonts w:hint="eastAsia"/>
                <w:lang w:val="en-US" w:eastAsia="zh-CN"/>
              </w:rPr>
              <w:t>铬酸雾</w:t>
            </w:r>
          </w:p>
        </w:tc>
        <w:tc>
          <w:tcPr>
            <w:tcW w:w="1015" w:type="pct"/>
            <w:vAlign w:val="center"/>
          </w:tcPr>
          <w:p w14:paraId="08495620">
            <w:pPr>
              <w:pStyle w:val="26"/>
              <w:bidi w:val="0"/>
              <w:jc w:val="center"/>
              <w:rPr>
                <w:rFonts w:hint="eastAsia"/>
                <w:lang w:val="en-US" w:eastAsia="zh-CN"/>
              </w:rPr>
            </w:pPr>
            <w:r>
              <w:rPr>
                <w:rFonts w:hint="eastAsia"/>
                <w:lang w:val="en-US" w:eastAsia="zh-CN"/>
              </w:rPr>
              <w:t>每半年一次</w:t>
            </w:r>
          </w:p>
        </w:tc>
      </w:tr>
      <w:tr w14:paraId="7A436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6CFA0E32">
            <w:pPr>
              <w:pStyle w:val="26"/>
              <w:bidi w:val="0"/>
              <w:jc w:val="center"/>
              <w:rPr>
                <w:rFonts w:hint="eastAsia"/>
                <w:lang w:val="en-US" w:eastAsia="zh-CN"/>
              </w:rPr>
            </w:pPr>
          </w:p>
        </w:tc>
        <w:tc>
          <w:tcPr>
            <w:tcW w:w="858" w:type="pct"/>
            <w:vAlign w:val="center"/>
          </w:tcPr>
          <w:p w14:paraId="10448FD7">
            <w:pPr>
              <w:pStyle w:val="26"/>
              <w:bidi w:val="0"/>
              <w:jc w:val="center"/>
              <w:rPr>
                <w:rFonts w:hint="eastAsia"/>
                <w:lang w:val="en-US" w:eastAsia="zh-CN"/>
              </w:rPr>
            </w:pPr>
            <w:r>
              <w:rPr>
                <w:rFonts w:hint="eastAsia"/>
                <w:lang w:val="en-US" w:eastAsia="zh-CN"/>
              </w:rPr>
              <w:t>DA005</w:t>
            </w:r>
          </w:p>
        </w:tc>
        <w:tc>
          <w:tcPr>
            <w:tcW w:w="2578" w:type="pct"/>
            <w:vAlign w:val="center"/>
          </w:tcPr>
          <w:p w14:paraId="07454C5B">
            <w:pPr>
              <w:pStyle w:val="26"/>
              <w:bidi w:val="0"/>
              <w:jc w:val="center"/>
              <w:rPr>
                <w:rFonts w:hint="eastAsia"/>
                <w:lang w:val="en-US" w:eastAsia="zh-CN"/>
              </w:rPr>
            </w:pPr>
            <w:r>
              <w:rPr>
                <w:rFonts w:hint="eastAsia"/>
                <w:lang w:val="en-US" w:eastAsia="zh-CN"/>
              </w:rPr>
              <w:t>颗粒物、非甲烷总烃、二甲苯</w:t>
            </w:r>
          </w:p>
        </w:tc>
        <w:tc>
          <w:tcPr>
            <w:tcW w:w="1015" w:type="pct"/>
            <w:vAlign w:val="center"/>
          </w:tcPr>
          <w:p w14:paraId="00CEB41D">
            <w:pPr>
              <w:pStyle w:val="26"/>
              <w:bidi w:val="0"/>
              <w:jc w:val="center"/>
              <w:rPr>
                <w:rFonts w:hint="eastAsia"/>
                <w:lang w:val="en-US" w:eastAsia="zh-CN"/>
              </w:rPr>
            </w:pPr>
            <w:r>
              <w:rPr>
                <w:rFonts w:hint="eastAsia"/>
                <w:lang w:val="en-US" w:eastAsia="zh-CN"/>
              </w:rPr>
              <w:t>每半年一次</w:t>
            </w:r>
          </w:p>
        </w:tc>
      </w:tr>
      <w:tr w14:paraId="18123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6B524C1F">
            <w:pPr>
              <w:pStyle w:val="26"/>
              <w:bidi w:val="0"/>
              <w:jc w:val="center"/>
              <w:rPr>
                <w:rFonts w:hint="eastAsia"/>
                <w:lang w:val="en-US" w:eastAsia="zh-CN"/>
              </w:rPr>
            </w:pPr>
          </w:p>
        </w:tc>
        <w:tc>
          <w:tcPr>
            <w:tcW w:w="858" w:type="pct"/>
            <w:shd w:val="clear" w:color="auto" w:fill="auto"/>
            <w:vAlign w:val="center"/>
          </w:tcPr>
          <w:p w14:paraId="69C53616">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DA006</w:t>
            </w:r>
          </w:p>
        </w:tc>
        <w:tc>
          <w:tcPr>
            <w:tcW w:w="2578" w:type="pct"/>
            <w:vAlign w:val="center"/>
          </w:tcPr>
          <w:p w14:paraId="1C50D7C1">
            <w:pPr>
              <w:pStyle w:val="26"/>
              <w:bidi w:val="0"/>
              <w:jc w:val="center"/>
              <w:rPr>
                <w:rFonts w:hint="eastAsia"/>
                <w:lang w:val="en-US" w:eastAsia="zh-CN"/>
              </w:rPr>
            </w:pPr>
            <w:r>
              <w:rPr>
                <w:rFonts w:hint="eastAsia"/>
                <w:lang w:val="en-US" w:eastAsia="zh-CN"/>
              </w:rPr>
              <w:t>氯化氢、硫酸雾</w:t>
            </w:r>
          </w:p>
        </w:tc>
        <w:tc>
          <w:tcPr>
            <w:tcW w:w="1015" w:type="pct"/>
            <w:vAlign w:val="center"/>
          </w:tcPr>
          <w:p w14:paraId="5F631BC0">
            <w:pPr>
              <w:pStyle w:val="26"/>
              <w:bidi w:val="0"/>
              <w:jc w:val="center"/>
              <w:rPr>
                <w:rFonts w:hint="eastAsia"/>
                <w:lang w:val="en-US" w:eastAsia="zh-CN"/>
              </w:rPr>
            </w:pPr>
            <w:r>
              <w:rPr>
                <w:rFonts w:hint="eastAsia"/>
                <w:lang w:val="en-US" w:eastAsia="zh-CN"/>
              </w:rPr>
              <w:t>每半年一次</w:t>
            </w:r>
          </w:p>
        </w:tc>
      </w:tr>
      <w:tr w14:paraId="25AE3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662EEF55">
            <w:pPr>
              <w:pStyle w:val="26"/>
              <w:bidi w:val="0"/>
              <w:jc w:val="center"/>
              <w:rPr>
                <w:rFonts w:hint="eastAsia"/>
                <w:lang w:val="en-US" w:eastAsia="zh-CN"/>
              </w:rPr>
            </w:pPr>
          </w:p>
        </w:tc>
        <w:tc>
          <w:tcPr>
            <w:tcW w:w="858" w:type="pct"/>
            <w:shd w:val="clear" w:color="auto" w:fill="auto"/>
            <w:vAlign w:val="center"/>
          </w:tcPr>
          <w:p w14:paraId="6D2650FD">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DA007</w:t>
            </w:r>
          </w:p>
        </w:tc>
        <w:tc>
          <w:tcPr>
            <w:tcW w:w="2578" w:type="pct"/>
            <w:vAlign w:val="center"/>
          </w:tcPr>
          <w:p w14:paraId="5885CBFE">
            <w:pPr>
              <w:pStyle w:val="26"/>
              <w:bidi w:val="0"/>
              <w:jc w:val="center"/>
              <w:rPr>
                <w:rFonts w:hint="eastAsia"/>
                <w:lang w:val="en-US" w:eastAsia="zh-CN"/>
              </w:rPr>
            </w:pPr>
            <w:r>
              <w:rPr>
                <w:rFonts w:hint="eastAsia"/>
                <w:lang w:val="en-US" w:eastAsia="zh-CN"/>
              </w:rPr>
              <w:t>硫酸雾、铬酸雾</w:t>
            </w:r>
          </w:p>
        </w:tc>
        <w:tc>
          <w:tcPr>
            <w:tcW w:w="1015" w:type="pct"/>
            <w:vAlign w:val="center"/>
          </w:tcPr>
          <w:p w14:paraId="25A2A8F3">
            <w:pPr>
              <w:pStyle w:val="26"/>
              <w:bidi w:val="0"/>
              <w:jc w:val="center"/>
              <w:rPr>
                <w:rFonts w:hint="eastAsia"/>
                <w:lang w:val="en-US" w:eastAsia="zh-CN"/>
              </w:rPr>
            </w:pPr>
            <w:r>
              <w:rPr>
                <w:rFonts w:hint="eastAsia"/>
                <w:lang w:val="en-US" w:eastAsia="zh-CN"/>
              </w:rPr>
              <w:t>每半年一次</w:t>
            </w:r>
          </w:p>
        </w:tc>
      </w:tr>
      <w:tr w14:paraId="20A49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1ACF4A58">
            <w:pPr>
              <w:pStyle w:val="26"/>
              <w:bidi w:val="0"/>
              <w:jc w:val="center"/>
              <w:rPr>
                <w:rFonts w:hint="eastAsia"/>
                <w:lang w:val="en-US" w:eastAsia="zh-CN"/>
              </w:rPr>
            </w:pPr>
          </w:p>
        </w:tc>
        <w:tc>
          <w:tcPr>
            <w:tcW w:w="858" w:type="pct"/>
            <w:shd w:val="clear" w:color="auto" w:fill="auto"/>
            <w:vAlign w:val="center"/>
          </w:tcPr>
          <w:p w14:paraId="3C99A644">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2578" w:type="pct"/>
            <w:vAlign w:val="center"/>
          </w:tcPr>
          <w:p w14:paraId="4733EC8A">
            <w:pPr>
              <w:pStyle w:val="26"/>
              <w:bidi w:val="0"/>
              <w:jc w:val="center"/>
              <w:rPr>
                <w:rFonts w:hint="eastAsia"/>
                <w:lang w:val="en-US" w:eastAsia="zh-CN"/>
              </w:rPr>
            </w:pPr>
            <w:r>
              <w:rPr>
                <w:rFonts w:hint="eastAsia"/>
                <w:lang w:val="en-US" w:eastAsia="zh-CN"/>
              </w:rPr>
              <w:t>非甲烷总烃、酚类</w:t>
            </w:r>
          </w:p>
        </w:tc>
        <w:tc>
          <w:tcPr>
            <w:tcW w:w="1015" w:type="pct"/>
            <w:vAlign w:val="center"/>
          </w:tcPr>
          <w:p w14:paraId="4BBDE821">
            <w:pPr>
              <w:pStyle w:val="26"/>
              <w:bidi w:val="0"/>
              <w:jc w:val="center"/>
              <w:rPr>
                <w:rFonts w:hint="eastAsia"/>
                <w:lang w:val="en-US" w:eastAsia="zh-CN"/>
              </w:rPr>
            </w:pPr>
            <w:r>
              <w:rPr>
                <w:rFonts w:hint="eastAsia"/>
                <w:lang w:val="en-US" w:eastAsia="zh-CN"/>
              </w:rPr>
              <w:t>每半年一次</w:t>
            </w:r>
          </w:p>
        </w:tc>
      </w:tr>
      <w:tr w14:paraId="40F8F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bottom w:val="nil"/>
            </w:tcBorders>
            <w:vAlign w:val="center"/>
          </w:tcPr>
          <w:p w14:paraId="73DB15DC">
            <w:pPr>
              <w:pStyle w:val="26"/>
              <w:bidi w:val="0"/>
              <w:jc w:val="center"/>
              <w:rPr>
                <w:rFonts w:hint="eastAsia"/>
                <w:lang w:val="en-US" w:eastAsia="zh-CN"/>
              </w:rPr>
            </w:pPr>
          </w:p>
        </w:tc>
        <w:tc>
          <w:tcPr>
            <w:tcW w:w="858" w:type="pct"/>
            <w:shd w:val="clear" w:color="auto" w:fill="auto"/>
            <w:vAlign w:val="center"/>
          </w:tcPr>
          <w:p w14:paraId="06846CFC">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DA009</w:t>
            </w:r>
          </w:p>
        </w:tc>
        <w:tc>
          <w:tcPr>
            <w:tcW w:w="2578" w:type="pct"/>
            <w:vAlign w:val="center"/>
          </w:tcPr>
          <w:p w14:paraId="4B183F67">
            <w:pPr>
              <w:pStyle w:val="26"/>
              <w:bidi w:val="0"/>
              <w:jc w:val="center"/>
              <w:rPr>
                <w:rFonts w:hint="eastAsia"/>
                <w:lang w:val="en-US" w:eastAsia="zh-CN"/>
              </w:rPr>
            </w:pPr>
            <w:r>
              <w:rPr>
                <w:rFonts w:hint="eastAsia"/>
                <w:lang w:val="en-US" w:eastAsia="zh-CN"/>
              </w:rPr>
              <w:t>氯化氢</w:t>
            </w:r>
          </w:p>
        </w:tc>
        <w:tc>
          <w:tcPr>
            <w:tcW w:w="1015" w:type="pct"/>
            <w:vAlign w:val="center"/>
          </w:tcPr>
          <w:p w14:paraId="6E1FB3DA">
            <w:pPr>
              <w:pStyle w:val="26"/>
              <w:bidi w:val="0"/>
              <w:jc w:val="center"/>
              <w:rPr>
                <w:rFonts w:hint="eastAsia"/>
                <w:lang w:val="en-US" w:eastAsia="zh-CN"/>
              </w:rPr>
            </w:pPr>
            <w:r>
              <w:rPr>
                <w:rFonts w:hint="eastAsia"/>
                <w:lang w:val="en-US" w:eastAsia="zh-CN"/>
              </w:rPr>
              <w:t>每半年一次</w:t>
            </w:r>
          </w:p>
        </w:tc>
      </w:tr>
      <w:tr w14:paraId="76083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48" w:type="pct"/>
            <w:vMerge w:val="continue"/>
            <w:tcBorders>
              <w:top w:val="nil"/>
              <w:bottom w:val="nil"/>
            </w:tcBorders>
            <w:vAlign w:val="center"/>
          </w:tcPr>
          <w:p w14:paraId="53F73BB2">
            <w:pPr>
              <w:pStyle w:val="26"/>
              <w:bidi w:val="0"/>
              <w:jc w:val="center"/>
              <w:rPr>
                <w:rFonts w:hint="eastAsia"/>
                <w:lang w:val="en-US" w:eastAsia="zh-CN"/>
              </w:rPr>
            </w:pPr>
          </w:p>
        </w:tc>
        <w:tc>
          <w:tcPr>
            <w:tcW w:w="858" w:type="pct"/>
            <w:vAlign w:val="center"/>
          </w:tcPr>
          <w:p w14:paraId="32C9C94E">
            <w:pPr>
              <w:pStyle w:val="26"/>
              <w:bidi w:val="0"/>
              <w:jc w:val="center"/>
              <w:rPr>
                <w:rFonts w:hint="eastAsia"/>
                <w:lang w:val="en-US" w:eastAsia="zh-CN"/>
              </w:rPr>
            </w:pPr>
            <w:r>
              <w:rPr>
                <w:rFonts w:hint="eastAsia"/>
                <w:lang w:val="en-US" w:eastAsia="zh-CN"/>
              </w:rPr>
              <w:t>厂界</w:t>
            </w:r>
          </w:p>
        </w:tc>
        <w:tc>
          <w:tcPr>
            <w:tcW w:w="2578" w:type="pct"/>
            <w:vAlign w:val="center"/>
          </w:tcPr>
          <w:p w14:paraId="7FA74A3D">
            <w:pPr>
              <w:pStyle w:val="26"/>
              <w:bidi w:val="0"/>
              <w:jc w:val="center"/>
              <w:rPr>
                <w:rFonts w:hint="eastAsia"/>
                <w:lang w:val="en-US" w:eastAsia="zh-CN"/>
              </w:rPr>
            </w:pPr>
            <w:r>
              <w:rPr>
                <w:rFonts w:hint="eastAsia"/>
                <w:lang w:val="en-US" w:eastAsia="zh-CN"/>
              </w:rPr>
              <w:t>非甲烷总烃、二甲苯、硫酸雾、铬酸雾、颗粒物、氯化氢</w:t>
            </w:r>
          </w:p>
        </w:tc>
        <w:tc>
          <w:tcPr>
            <w:tcW w:w="1015" w:type="pct"/>
            <w:vAlign w:val="center"/>
          </w:tcPr>
          <w:p w14:paraId="07580D8D">
            <w:pPr>
              <w:pStyle w:val="26"/>
              <w:bidi w:val="0"/>
              <w:jc w:val="center"/>
              <w:rPr>
                <w:rFonts w:hint="eastAsia"/>
                <w:lang w:val="en-US" w:eastAsia="zh-CN"/>
              </w:rPr>
            </w:pPr>
            <w:r>
              <w:rPr>
                <w:rFonts w:hint="eastAsia"/>
                <w:lang w:val="en-US" w:eastAsia="zh-CN"/>
              </w:rPr>
              <w:t>每年一次</w:t>
            </w:r>
          </w:p>
        </w:tc>
      </w:tr>
      <w:tr w14:paraId="06B7F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48" w:type="pct"/>
            <w:vMerge w:val="continue"/>
            <w:tcBorders>
              <w:top w:val="nil"/>
            </w:tcBorders>
            <w:vAlign w:val="center"/>
          </w:tcPr>
          <w:p w14:paraId="108EB01D">
            <w:pPr>
              <w:pStyle w:val="26"/>
              <w:bidi w:val="0"/>
              <w:jc w:val="center"/>
              <w:rPr>
                <w:rFonts w:hint="eastAsia"/>
                <w:lang w:val="en-US" w:eastAsia="zh-CN"/>
              </w:rPr>
            </w:pPr>
          </w:p>
        </w:tc>
        <w:tc>
          <w:tcPr>
            <w:tcW w:w="858" w:type="pct"/>
            <w:vAlign w:val="center"/>
          </w:tcPr>
          <w:p w14:paraId="029A729F">
            <w:pPr>
              <w:pStyle w:val="26"/>
              <w:bidi w:val="0"/>
              <w:jc w:val="center"/>
              <w:rPr>
                <w:rFonts w:hint="eastAsia"/>
                <w:lang w:val="en-US" w:eastAsia="zh-CN"/>
              </w:rPr>
            </w:pPr>
            <w:r>
              <w:rPr>
                <w:rFonts w:hint="eastAsia"/>
                <w:lang w:val="en-US" w:eastAsia="zh-CN"/>
              </w:rPr>
              <w:t>厂内（厂房外）</w:t>
            </w:r>
          </w:p>
        </w:tc>
        <w:tc>
          <w:tcPr>
            <w:tcW w:w="2578" w:type="pct"/>
            <w:vAlign w:val="center"/>
          </w:tcPr>
          <w:p w14:paraId="2FD2FEA7">
            <w:pPr>
              <w:pStyle w:val="26"/>
              <w:bidi w:val="0"/>
              <w:jc w:val="center"/>
              <w:rPr>
                <w:rFonts w:hint="eastAsia"/>
                <w:lang w:val="en-US" w:eastAsia="zh-CN"/>
              </w:rPr>
            </w:pPr>
            <w:r>
              <w:rPr>
                <w:rFonts w:hint="eastAsia"/>
                <w:lang w:val="en-US" w:eastAsia="zh-CN"/>
              </w:rPr>
              <w:t>非甲烷总烃</w:t>
            </w:r>
          </w:p>
        </w:tc>
        <w:tc>
          <w:tcPr>
            <w:tcW w:w="1015" w:type="pct"/>
            <w:vAlign w:val="center"/>
          </w:tcPr>
          <w:p w14:paraId="730EC17E">
            <w:pPr>
              <w:pStyle w:val="26"/>
              <w:bidi w:val="0"/>
              <w:jc w:val="center"/>
              <w:rPr>
                <w:rFonts w:hint="eastAsia"/>
                <w:lang w:val="en-US" w:eastAsia="zh-CN"/>
              </w:rPr>
            </w:pPr>
            <w:r>
              <w:rPr>
                <w:rFonts w:hint="eastAsia"/>
                <w:lang w:val="en-US" w:eastAsia="zh-CN"/>
              </w:rPr>
              <w:t>每半年一次</w:t>
            </w:r>
          </w:p>
        </w:tc>
      </w:tr>
    </w:tbl>
    <w:p w14:paraId="2CD09B5B">
      <w:pPr>
        <w:rPr>
          <w:rFonts w:hint="eastAsia"/>
          <w:color w:val="auto"/>
        </w:rPr>
      </w:pPr>
      <w:r>
        <w:rPr>
          <w:rFonts w:hint="eastAsia"/>
          <w:color w:val="auto"/>
        </w:rPr>
        <w:t>根据</w:t>
      </w:r>
      <w:r>
        <w:rPr>
          <w:rFonts w:hint="eastAsia"/>
          <w:color w:val="auto"/>
          <w:lang w:eastAsia="zh-CN"/>
        </w:rPr>
        <w:t>《昆山运城压纹制版有限公司激光雕刻绿色智能化生产线项目第一阶段竣工环境保护验收监测报告表》</w:t>
      </w:r>
      <w:r>
        <w:rPr>
          <w:rFonts w:hint="eastAsia"/>
          <w:color w:val="auto"/>
        </w:rPr>
        <w:t>，废气采样时间为202</w:t>
      </w:r>
      <w:r>
        <w:rPr>
          <w:rFonts w:hint="eastAsia" w:ascii="Times New Roman" w:eastAsia="仿宋_GB2312"/>
          <w:color w:val="auto"/>
          <w:lang w:val="en-US" w:eastAsia="zh-CN"/>
        </w:rPr>
        <w:t>5年</w:t>
      </w:r>
      <w:r>
        <w:rPr>
          <w:rFonts w:hint="eastAsia"/>
          <w:color w:val="auto"/>
          <w:lang w:val="en-US" w:eastAsia="zh-CN"/>
        </w:rPr>
        <w:t>7</w:t>
      </w:r>
      <w:r>
        <w:rPr>
          <w:rFonts w:hint="eastAsia" w:ascii="Times New Roman" w:eastAsia="仿宋_GB2312"/>
          <w:color w:val="auto"/>
          <w:lang w:val="en-US" w:eastAsia="zh-CN"/>
        </w:rPr>
        <w:t>月</w:t>
      </w:r>
      <w:r>
        <w:rPr>
          <w:rFonts w:hint="eastAsia"/>
          <w:color w:val="auto"/>
        </w:rPr>
        <w:t>，监测期间企业生产工况稳定，各类污染防治设施正常运行，监测结果详见下表。</w:t>
      </w:r>
    </w:p>
    <w:p w14:paraId="1FEAD0F8">
      <w:pPr>
        <w:pStyle w:val="25"/>
        <w:bidi w:val="0"/>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702F8E71">
      <w:pPr>
        <w:pStyle w:val="25"/>
        <w:bidi w:val="0"/>
        <w:rPr>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t>现有项目</w:t>
      </w:r>
      <w:r>
        <w:rPr>
          <w:rFonts w:hint="eastAsia"/>
          <w:color w:val="auto"/>
          <w:highlight w:val="none"/>
        </w:rPr>
        <w:t>有组织废气</w:t>
      </w:r>
      <w:r>
        <w:rPr>
          <w:color w:val="auto"/>
          <w:highlight w:val="none"/>
        </w:rPr>
        <w:t>监测数据统计表</w:t>
      </w:r>
    </w:p>
    <w:tbl>
      <w:tblPr>
        <w:tblStyle w:val="1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862"/>
        <w:gridCol w:w="2600"/>
        <w:gridCol w:w="927"/>
        <w:gridCol w:w="1197"/>
        <w:gridCol w:w="1029"/>
        <w:gridCol w:w="1355"/>
        <w:gridCol w:w="862"/>
        <w:gridCol w:w="1117"/>
        <w:gridCol w:w="1117"/>
        <w:gridCol w:w="1117"/>
        <w:gridCol w:w="1117"/>
        <w:gridCol w:w="863"/>
      </w:tblGrid>
      <w:tr w14:paraId="2DE9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40" w:hRule="atLeast"/>
        </w:trPr>
        <w:tc>
          <w:tcPr>
            <w:tcW w:w="304" w:type="pct"/>
            <w:shd w:val="clear" w:color="auto" w:fill="FFFFFF"/>
            <w:vAlign w:val="center"/>
          </w:tcPr>
          <w:p w14:paraId="08373C10">
            <w:pPr>
              <w:pStyle w:val="36"/>
              <w:bidi w:val="0"/>
              <w:rPr>
                <w:rFonts w:hint="eastAsia"/>
                <w:lang w:val="en-US" w:eastAsia="zh-CN"/>
              </w:rPr>
            </w:pPr>
            <w:r>
              <w:rPr>
                <w:rFonts w:hint="eastAsia"/>
                <w:lang w:val="en-US" w:eastAsia="zh-CN"/>
              </w:rPr>
              <w:t>排气筒编号</w:t>
            </w:r>
          </w:p>
        </w:tc>
        <w:tc>
          <w:tcPr>
            <w:tcW w:w="917" w:type="pct"/>
            <w:shd w:val="clear" w:color="auto" w:fill="FFFFFF"/>
            <w:vAlign w:val="center"/>
          </w:tcPr>
          <w:p w14:paraId="6CFF4DFB">
            <w:pPr>
              <w:pStyle w:val="36"/>
              <w:bidi w:val="0"/>
              <w:rPr>
                <w:rFonts w:hint="eastAsia"/>
                <w:lang w:val="en-US" w:eastAsia="zh-CN"/>
              </w:rPr>
            </w:pPr>
            <w:r>
              <w:rPr>
                <w:rFonts w:hint="eastAsia"/>
                <w:lang w:val="en-US" w:eastAsia="zh-CN"/>
              </w:rPr>
              <w:t>采样点位</w:t>
            </w:r>
          </w:p>
        </w:tc>
        <w:tc>
          <w:tcPr>
            <w:tcW w:w="327" w:type="pct"/>
            <w:shd w:val="clear" w:color="auto" w:fill="FFFFFF"/>
            <w:vAlign w:val="center"/>
          </w:tcPr>
          <w:p w14:paraId="664CA858">
            <w:pPr>
              <w:pStyle w:val="36"/>
              <w:bidi w:val="0"/>
              <w:rPr>
                <w:rFonts w:hint="eastAsia"/>
                <w:lang w:val="en-US" w:eastAsia="zh-CN"/>
              </w:rPr>
            </w:pPr>
            <w:r>
              <w:rPr>
                <w:rFonts w:hint="eastAsia"/>
                <w:lang w:val="en-US" w:eastAsia="zh-CN"/>
              </w:rPr>
              <w:t>进出口</w:t>
            </w:r>
          </w:p>
        </w:tc>
        <w:tc>
          <w:tcPr>
            <w:tcW w:w="422" w:type="pct"/>
            <w:shd w:val="clear" w:color="auto" w:fill="FFFFFF"/>
            <w:vAlign w:val="center"/>
          </w:tcPr>
          <w:p w14:paraId="35F8BE80">
            <w:pPr>
              <w:pStyle w:val="36"/>
              <w:bidi w:val="0"/>
              <w:rPr>
                <w:rFonts w:hint="eastAsia"/>
                <w:lang w:val="en-US" w:eastAsia="zh-CN"/>
              </w:rPr>
            </w:pPr>
            <w:r>
              <w:rPr>
                <w:rFonts w:hint="eastAsia"/>
                <w:lang w:val="en-US" w:eastAsia="zh-CN"/>
              </w:rPr>
              <w:t>采样日期</w:t>
            </w:r>
          </w:p>
        </w:tc>
        <w:tc>
          <w:tcPr>
            <w:tcW w:w="363" w:type="pct"/>
            <w:shd w:val="clear" w:color="auto" w:fill="FFFFFF"/>
            <w:vAlign w:val="center"/>
          </w:tcPr>
          <w:p w14:paraId="7015AF7F">
            <w:pPr>
              <w:pStyle w:val="36"/>
              <w:bidi w:val="0"/>
              <w:rPr>
                <w:rFonts w:hint="eastAsia"/>
                <w:lang w:val="en-US" w:eastAsia="zh-CN"/>
              </w:rPr>
            </w:pPr>
            <w:r>
              <w:rPr>
                <w:rFonts w:hint="eastAsia"/>
                <w:lang w:val="en-US" w:eastAsia="zh-CN"/>
              </w:rPr>
              <w:t>监测因子</w:t>
            </w:r>
          </w:p>
        </w:tc>
        <w:tc>
          <w:tcPr>
            <w:tcW w:w="478" w:type="pct"/>
            <w:shd w:val="clear" w:color="auto" w:fill="FFFFFF"/>
            <w:vAlign w:val="center"/>
          </w:tcPr>
          <w:p w14:paraId="0DBD02DC">
            <w:pPr>
              <w:pStyle w:val="36"/>
              <w:bidi w:val="0"/>
              <w:rPr>
                <w:rFonts w:hint="eastAsia"/>
                <w:lang w:val="en-US" w:eastAsia="zh-CN"/>
              </w:rPr>
            </w:pPr>
            <w:r>
              <w:rPr>
                <w:rFonts w:hint="eastAsia"/>
                <w:lang w:val="en-US" w:eastAsia="zh-CN"/>
              </w:rPr>
              <w:t>子类型</w:t>
            </w:r>
          </w:p>
        </w:tc>
        <w:tc>
          <w:tcPr>
            <w:tcW w:w="304" w:type="pct"/>
            <w:shd w:val="clear" w:color="auto" w:fill="FFFFFF"/>
            <w:vAlign w:val="center"/>
          </w:tcPr>
          <w:p w14:paraId="43501D9F">
            <w:pPr>
              <w:pStyle w:val="36"/>
              <w:bidi w:val="0"/>
              <w:rPr>
                <w:rFonts w:hint="eastAsia"/>
                <w:lang w:val="en-US" w:eastAsia="zh-CN"/>
              </w:rPr>
            </w:pPr>
            <w:r>
              <w:rPr>
                <w:rFonts w:hint="eastAsia"/>
                <w:lang w:val="en-US" w:eastAsia="zh-CN"/>
              </w:rPr>
              <w:t>单位</w:t>
            </w:r>
          </w:p>
        </w:tc>
        <w:tc>
          <w:tcPr>
            <w:tcW w:w="394" w:type="pct"/>
            <w:shd w:val="clear" w:color="auto" w:fill="FFFFFF"/>
            <w:vAlign w:val="center"/>
          </w:tcPr>
          <w:p w14:paraId="0A31A4AB">
            <w:pPr>
              <w:pStyle w:val="36"/>
              <w:bidi w:val="0"/>
              <w:rPr>
                <w:rFonts w:hint="eastAsia"/>
                <w:lang w:val="en-US" w:eastAsia="zh-CN"/>
              </w:rPr>
            </w:pPr>
            <w:r>
              <w:rPr>
                <w:rFonts w:hint="eastAsia"/>
                <w:lang w:val="en-US" w:eastAsia="zh-CN"/>
              </w:rPr>
              <w:t>第1次</w:t>
            </w:r>
          </w:p>
        </w:tc>
        <w:tc>
          <w:tcPr>
            <w:tcW w:w="394" w:type="pct"/>
            <w:shd w:val="clear" w:color="auto" w:fill="FFFFFF"/>
            <w:vAlign w:val="center"/>
          </w:tcPr>
          <w:p w14:paraId="41ADFA90">
            <w:pPr>
              <w:pStyle w:val="36"/>
              <w:bidi w:val="0"/>
              <w:rPr>
                <w:rFonts w:hint="eastAsia"/>
                <w:lang w:val="en-US" w:eastAsia="zh-CN"/>
              </w:rPr>
            </w:pPr>
            <w:r>
              <w:rPr>
                <w:rFonts w:hint="eastAsia"/>
                <w:lang w:val="en-US" w:eastAsia="zh-CN"/>
              </w:rPr>
              <w:t>第2次</w:t>
            </w:r>
          </w:p>
        </w:tc>
        <w:tc>
          <w:tcPr>
            <w:tcW w:w="394" w:type="pct"/>
            <w:shd w:val="clear" w:color="auto" w:fill="FFFFFF"/>
            <w:vAlign w:val="center"/>
          </w:tcPr>
          <w:p w14:paraId="0896554D">
            <w:pPr>
              <w:pStyle w:val="36"/>
              <w:bidi w:val="0"/>
              <w:rPr>
                <w:rFonts w:hint="eastAsia"/>
                <w:lang w:val="en-US" w:eastAsia="zh-CN"/>
              </w:rPr>
            </w:pPr>
            <w:r>
              <w:rPr>
                <w:rFonts w:hint="eastAsia"/>
                <w:lang w:val="en-US" w:eastAsia="zh-CN"/>
              </w:rPr>
              <w:t>第3次</w:t>
            </w:r>
          </w:p>
        </w:tc>
        <w:tc>
          <w:tcPr>
            <w:tcW w:w="394" w:type="pct"/>
            <w:shd w:val="clear" w:color="auto" w:fill="FFFFFF"/>
            <w:vAlign w:val="center"/>
          </w:tcPr>
          <w:p w14:paraId="3DAD129E">
            <w:pPr>
              <w:pStyle w:val="36"/>
              <w:bidi w:val="0"/>
              <w:rPr>
                <w:rFonts w:hint="eastAsia"/>
                <w:lang w:val="en-US" w:eastAsia="zh-CN"/>
              </w:rPr>
            </w:pPr>
            <w:r>
              <w:rPr>
                <w:rFonts w:hint="eastAsia"/>
                <w:lang w:val="en-US" w:eastAsia="zh-CN"/>
              </w:rPr>
              <w:t>均值</w:t>
            </w:r>
          </w:p>
        </w:tc>
        <w:tc>
          <w:tcPr>
            <w:tcW w:w="304" w:type="pct"/>
            <w:shd w:val="clear" w:color="auto" w:fill="FFFFFF"/>
            <w:vAlign w:val="center"/>
          </w:tcPr>
          <w:p w14:paraId="0700B639">
            <w:pPr>
              <w:pStyle w:val="36"/>
              <w:bidi w:val="0"/>
              <w:rPr>
                <w:rFonts w:hint="eastAsia"/>
                <w:lang w:val="en-US" w:eastAsia="zh-CN"/>
              </w:rPr>
            </w:pPr>
            <w:r>
              <w:rPr>
                <w:rFonts w:hint="eastAsia"/>
                <w:lang w:val="en-US" w:eastAsia="zh-CN"/>
              </w:rPr>
              <w:t>标准限值</w:t>
            </w:r>
          </w:p>
        </w:tc>
      </w:tr>
      <w:tr w14:paraId="25D8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95E79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4913E9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镀铜、浸蚀、喷酸清洗等DA001进口（F1）</w:t>
            </w:r>
          </w:p>
        </w:tc>
        <w:tc>
          <w:tcPr>
            <w:tcW w:w="327" w:type="pct"/>
            <w:shd w:val="clear" w:color="auto" w:fill="FFFFFF"/>
            <w:vAlign w:val="center"/>
          </w:tcPr>
          <w:p w14:paraId="3E727B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62641E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3D8ABBB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2F893FC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AD54D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2E564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0.48</w:t>
            </w:r>
          </w:p>
        </w:tc>
        <w:tc>
          <w:tcPr>
            <w:tcW w:w="394" w:type="pct"/>
            <w:shd w:val="clear" w:color="auto" w:fill="FFFFFF"/>
            <w:vAlign w:val="center"/>
          </w:tcPr>
          <w:p w14:paraId="79C646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0.47</w:t>
            </w:r>
          </w:p>
        </w:tc>
        <w:tc>
          <w:tcPr>
            <w:tcW w:w="394" w:type="pct"/>
            <w:shd w:val="clear" w:color="auto" w:fill="FFFFFF"/>
            <w:vAlign w:val="center"/>
          </w:tcPr>
          <w:p w14:paraId="3DDCDF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0.49</w:t>
            </w:r>
          </w:p>
        </w:tc>
        <w:tc>
          <w:tcPr>
            <w:tcW w:w="394" w:type="pct"/>
            <w:shd w:val="clear" w:color="auto" w:fill="FFFFFF"/>
            <w:vAlign w:val="center"/>
          </w:tcPr>
          <w:p w14:paraId="78733C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0.48</w:t>
            </w:r>
          </w:p>
        </w:tc>
        <w:tc>
          <w:tcPr>
            <w:tcW w:w="304" w:type="pct"/>
            <w:shd w:val="clear" w:color="auto" w:fill="FFFFFF"/>
            <w:vAlign w:val="center"/>
          </w:tcPr>
          <w:p w14:paraId="6C8F4D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84E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20DC337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04BC28B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727817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EA657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D36FAC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10DD8C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4FC11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BA530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0.33</w:t>
            </w:r>
          </w:p>
        </w:tc>
        <w:tc>
          <w:tcPr>
            <w:tcW w:w="394" w:type="pct"/>
            <w:shd w:val="clear" w:color="auto" w:fill="FFFFFF"/>
            <w:vAlign w:val="center"/>
          </w:tcPr>
          <w:p w14:paraId="56D898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0.29</w:t>
            </w:r>
          </w:p>
        </w:tc>
        <w:tc>
          <w:tcPr>
            <w:tcW w:w="394" w:type="pct"/>
            <w:shd w:val="clear" w:color="auto" w:fill="FFFFFF"/>
            <w:vAlign w:val="center"/>
          </w:tcPr>
          <w:p w14:paraId="16CBF5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0.27</w:t>
            </w:r>
          </w:p>
        </w:tc>
        <w:tc>
          <w:tcPr>
            <w:tcW w:w="394" w:type="pct"/>
            <w:shd w:val="clear" w:color="auto" w:fill="FFFFFF"/>
            <w:vAlign w:val="center"/>
          </w:tcPr>
          <w:p w14:paraId="2BB516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0.30</w:t>
            </w:r>
          </w:p>
        </w:tc>
        <w:tc>
          <w:tcPr>
            <w:tcW w:w="304" w:type="pct"/>
            <w:shd w:val="clear" w:color="auto" w:fill="FFFFFF"/>
            <w:vAlign w:val="center"/>
          </w:tcPr>
          <w:p w14:paraId="4E73E8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BAC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911093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4A521C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53F4215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799957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0876D3B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428CB44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38E581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E91EC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2.12</w:t>
            </w:r>
          </w:p>
        </w:tc>
        <w:tc>
          <w:tcPr>
            <w:tcW w:w="394" w:type="pct"/>
            <w:shd w:val="clear" w:color="auto" w:fill="FFFFFF"/>
            <w:vAlign w:val="center"/>
          </w:tcPr>
          <w:p w14:paraId="4C38D8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1.99</w:t>
            </w:r>
          </w:p>
        </w:tc>
        <w:tc>
          <w:tcPr>
            <w:tcW w:w="394" w:type="pct"/>
            <w:shd w:val="clear" w:color="auto" w:fill="FFFFFF"/>
            <w:vAlign w:val="center"/>
          </w:tcPr>
          <w:p w14:paraId="64FA02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1.81</w:t>
            </w:r>
          </w:p>
        </w:tc>
        <w:tc>
          <w:tcPr>
            <w:tcW w:w="394" w:type="pct"/>
            <w:shd w:val="clear" w:color="auto" w:fill="FFFFFF"/>
            <w:vAlign w:val="center"/>
          </w:tcPr>
          <w:p w14:paraId="55D6CC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1.98</w:t>
            </w:r>
          </w:p>
        </w:tc>
        <w:tc>
          <w:tcPr>
            <w:tcW w:w="304" w:type="pct"/>
            <w:shd w:val="clear" w:color="auto" w:fill="FFFFFF"/>
            <w:vAlign w:val="center"/>
          </w:tcPr>
          <w:p w14:paraId="0B3C39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39DF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D55C6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03FC56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6BDBF6A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4CBC10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4C53134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15A0B1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4CBB03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415BD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6.44×10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E81EC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6.04×10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7EBC6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5.49×10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C0393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5.99×10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2012E3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767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748E90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2979553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镀铜、浸蚀、喷酸清洗等DA001进口（F1）</w:t>
            </w:r>
          </w:p>
        </w:tc>
        <w:tc>
          <w:tcPr>
            <w:tcW w:w="327" w:type="pct"/>
            <w:shd w:val="clear" w:color="auto" w:fill="FFFFFF"/>
            <w:vAlign w:val="center"/>
          </w:tcPr>
          <w:p w14:paraId="41853B7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879A97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0B9875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603D929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C6FBD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C07D8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0.32</w:t>
            </w:r>
          </w:p>
        </w:tc>
        <w:tc>
          <w:tcPr>
            <w:tcW w:w="394" w:type="pct"/>
            <w:shd w:val="clear" w:color="auto" w:fill="FFFFFF"/>
            <w:vAlign w:val="center"/>
          </w:tcPr>
          <w:p w14:paraId="311F39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0.32</w:t>
            </w:r>
          </w:p>
        </w:tc>
        <w:tc>
          <w:tcPr>
            <w:tcW w:w="394" w:type="pct"/>
            <w:shd w:val="clear" w:color="auto" w:fill="FFFFFF"/>
            <w:vAlign w:val="center"/>
          </w:tcPr>
          <w:p w14:paraId="299474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0.32</w:t>
            </w:r>
          </w:p>
        </w:tc>
        <w:tc>
          <w:tcPr>
            <w:tcW w:w="394" w:type="pct"/>
            <w:shd w:val="clear" w:color="auto" w:fill="FFFFFF"/>
            <w:vAlign w:val="center"/>
          </w:tcPr>
          <w:p w14:paraId="5083AE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0.32</w:t>
            </w:r>
          </w:p>
        </w:tc>
        <w:tc>
          <w:tcPr>
            <w:tcW w:w="304" w:type="pct"/>
            <w:shd w:val="clear" w:color="auto" w:fill="FFFFFF"/>
            <w:vAlign w:val="center"/>
          </w:tcPr>
          <w:p w14:paraId="159EDE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6AB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F7FF1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309F15D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镀铜、浸蚀、喷酸清洗等DA001进口（F1）</w:t>
            </w:r>
          </w:p>
        </w:tc>
        <w:tc>
          <w:tcPr>
            <w:tcW w:w="327" w:type="pct"/>
            <w:shd w:val="clear" w:color="auto" w:fill="FFFFFF"/>
            <w:vAlign w:val="center"/>
          </w:tcPr>
          <w:p w14:paraId="0A9C9B0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B8F42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23ED0E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4BEE23F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A8CC6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F25D5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6AE9A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6.23×10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5BFE4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6.23×10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70FDB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787C93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219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CAB244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4A40CE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337E63E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67EB30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3F4FE1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7EF16C8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C97E4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B98E0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0.21</w:t>
            </w:r>
          </w:p>
        </w:tc>
        <w:tc>
          <w:tcPr>
            <w:tcW w:w="394" w:type="pct"/>
            <w:shd w:val="clear" w:color="auto" w:fill="FFFFFF"/>
            <w:vAlign w:val="center"/>
          </w:tcPr>
          <w:p w14:paraId="2787A1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0.23</w:t>
            </w:r>
          </w:p>
        </w:tc>
        <w:tc>
          <w:tcPr>
            <w:tcW w:w="394" w:type="pct"/>
            <w:shd w:val="clear" w:color="auto" w:fill="FFFFFF"/>
            <w:vAlign w:val="center"/>
          </w:tcPr>
          <w:p w14:paraId="50ED96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0.20</w:t>
            </w:r>
          </w:p>
        </w:tc>
        <w:tc>
          <w:tcPr>
            <w:tcW w:w="394" w:type="pct"/>
            <w:shd w:val="clear" w:color="auto" w:fill="FFFFFF"/>
            <w:vAlign w:val="center"/>
          </w:tcPr>
          <w:p w14:paraId="29576D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0.21</w:t>
            </w:r>
          </w:p>
        </w:tc>
        <w:tc>
          <w:tcPr>
            <w:tcW w:w="304" w:type="pct"/>
            <w:shd w:val="clear" w:color="auto" w:fill="FFFFFF"/>
            <w:vAlign w:val="center"/>
          </w:tcPr>
          <w:p w14:paraId="78D551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E7B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27C20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6D476BC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655057F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1E32DE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A9CE92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6045CE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746AB6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58927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1.28</w:t>
            </w:r>
          </w:p>
        </w:tc>
        <w:tc>
          <w:tcPr>
            <w:tcW w:w="394" w:type="pct"/>
            <w:shd w:val="clear" w:color="auto" w:fill="FFFFFF"/>
            <w:vAlign w:val="center"/>
          </w:tcPr>
          <w:p w14:paraId="71C0A7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1.37</w:t>
            </w:r>
          </w:p>
        </w:tc>
        <w:tc>
          <w:tcPr>
            <w:tcW w:w="394" w:type="pct"/>
            <w:shd w:val="clear" w:color="auto" w:fill="FFFFFF"/>
            <w:vAlign w:val="center"/>
          </w:tcPr>
          <w:p w14:paraId="1CB10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1.31</w:t>
            </w:r>
          </w:p>
        </w:tc>
        <w:tc>
          <w:tcPr>
            <w:tcW w:w="394" w:type="pct"/>
            <w:shd w:val="clear" w:color="auto" w:fill="FFFFFF"/>
            <w:vAlign w:val="center"/>
          </w:tcPr>
          <w:p w14:paraId="4F08C9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1.32</w:t>
            </w:r>
          </w:p>
        </w:tc>
        <w:tc>
          <w:tcPr>
            <w:tcW w:w="304" w:type="pct"/>
            <w:shd w:val="clear" w:color="auto" w:fill="FFFFFF"/>
            <w:vAlign w:val="center"/>
          </w:tcPr>
          <w:p w14:paraId="17EEE7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7A63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FAC1D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DA001</w:t>
            </w:r>
          </w:p>
        </w:tc>
        <w:tc>
          <w:tcPr>
            <w:tcW w:w="917" w:type="pct"/>
            <w:shd w:val="clear" w:color="auto" w:fill="FFFFFF"/>
            <w:vAlign w:val="center"/>
          </w:tcPr>
          <w:p w14:paraId="7F752FE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镀铜、浸蚀、喷酸清洗等DA001出口（F2）</w:t>
            </w:r>
          </w:p>
        </w:tc>
        <w:tc>
          <w:tcPr>
            <w:tcW w:w="327" w:type="pct"/>
            <w:shd w:val="clear" w:color="auto" w:fill="FFFFFF"/>
            <w:vAlign w:val="center"/>
          </w:tcPr>
          <w:p w14:paraId="6A86E3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4EBC6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2FF8684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83DF17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94C83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15C17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45154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FCDF3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3.98×10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0420F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4.00×10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5B1F46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B0B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DCCBA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0C6DEF2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腐蚀DA002进口（F3）</w:t>
            </w:r>
          </w:p>
        </w:tc>
        <w:tc>
          <w:tcPr>
            <w:tcW w:w="327" w:type="pct"/>
            <w:shd w:val="clear" w:color="auto" w:fill="FFFFFF"/>
            <w:vAlign w:val="center"/>
          </w:tcPr>
          <w:p w14:paraId="093D6F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302B8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1976CE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4B8E6E3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3D935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278AB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0.62</w:t>
            </w:r>
          </w:p>
        </w:tc>
        <w:tc>
          <w:tcPr>
            <w:tcW w:w="394" w:type="pct"/>
            <w:shd w:val="clear" w:color="auto" w:fill="FFFFFF"/>
            <w:vAlign w:val="center"/>
          </w:tcPr>
          <w:p w14:paraId="1D73A0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0.54</w:t>
            </w:r>
          </w:p>
        </w:tc>
        <w:tc>
          <w:tcPr>
            <w:tcW w:w="394" w:type="pct"/>
            <w:shd w:val="clear" w:color="auto" w:fill="FFFFFF"/>
            <w:vAlign w:val="center"/>
          </w:tcPr>
          <w:p w14:paraId="3E597C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0.56</w:t>
            </w:r>
          </w:p>
        </w:tc>
        <w:tc>
          <w:tcPr>
            <w:tcW w:w="394" w:type="pct"/>
            <w:shd w:val="clear" w:color="auto" w:fill="FFFFFF"/>
            <w:vAlign w:val="center"/>
          </w:tcPr>
          <w:p w14:paraId="5C8838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0.57</w:t>
            </w:r>
          </w:p>
        </w:tc>
        <w:tc>
          <w:tcPr>
            <w:tcW w:w="304" w:type="pct"/>
            <w:shd w:val="clear" w:color="auto" w:fill="FFFFFF"/>
            <w:vAlign w:val="center"/>
          </w:tcPr>
          <w:p w14:paraId="39885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5C4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A39C9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0D7DCBC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腐蚀DA002进口（F3）</w:t>
            </w:r>
          </w:p>
        </w:tc>
        <w:tc>
          <w:tcPr>
            <w:tcW w:w="327" w:type="pct"/>
            <w:shd w:val="clear" w:color="auto" w:fill="FFFFFF"/>
            <w:vAlign w:val="center"/>
          </w:tcPr>
          <w:p w14:paraId="008A23B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39443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AB5087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570B42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C2527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4E4DE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4.61×10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49255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4.04×10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962CD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3.74×10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C1308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4.13×10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56F91A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1CD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664716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58E5B3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21AED96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E0926C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2C62EA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5286BDC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EDA5B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534D8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0.35</w:t>
            </w:r>
          </w:p>
        </w:tc>
        <w:tc>
          <w:tcPr>
            <w:tcW w:w="394" w:type="pct"/>
            <w:shd w:val="clear" w:color="auto" w:fill="FFFFFF"/>
            <w:vAlign w:val="center"/>
          </w:tcPr>
          <w:p w14:paraId="0E9311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0.31</w:t>
            </w:r>
          </w:p>
        </w:tc>
        <w:tc>
          <w:tcPr>
            <w:tcW w:w="394" w:type="pct"/>
            <w:shd w:val="clear" w:color="auto" w:fill="FFFFFF"/>
            <w:vAlign w:val="center"/>
          </w:tcPr>
          <w:p w14:paraId="138CBC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0.37</w:t>
            </w:r>
          </w:p>
        </w:tc>
        <w:tc>
          <w:tcPr>
            <w:tcW w:w="394" w:type="pct"/>
            <w:shd w:val="clear" w:color="auto" w:fill="FFFFFF"/>
            <w:vAlign w:val="center"/>
          </w:tcPr>
          <w:p w14:paraId="33B1B2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0.34</w:t>
            </w:r>
          </w:p>
        </w:tc>
        <w:tc>
          <w:tcPr>
            <w:tcW w:w="304" w:type="pct"/>
            <w:shd w:val="clear" w:color="auto" w:fill="FFFFFF"/>
            <w:vAlign w:val="center"/>
          </w:tcPr>
          <w:p w14:paraId="0BB2C0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4E6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2277B9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14A6607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508ADFC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224F3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7024DA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45D7B7B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0DB6F8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F4DFE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0.91</w:t>
            </w:r>
          </w:p>
        </w:tc>
        <w:tc>
          <w:tcPr>
            <w:tcW w:w="394" w:type="pct"/>
            <w:shd w:val="clear" w:color="auto" w:fill="FFFFFF"/>
            <w:vAlign w:val="center"/>
          </w:tcPr>
          <w:p w14:paraId="3DEF13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0.76</w:t>
            </w:r>
          </w:p>
        </w:tc>
        <w:tc>
          <w:tcPr>
            <w:tcW w:w="394" w:type="pct"/>
            <w:shd w:val="clear" w:color="auto" w:fill="FFFFFF"/>
            <w:vAlign w:val="center"/>
          </w:tcPr>
          <w:p w14:paraId="59A940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0.91</w:t>
            </w:r>
          </w:p>
        </w:tc>
        <w:tc>
          <w:tcPr>
            <w:tcW w:w="394" w:type="pct"/>
            <w:shd w:val="clear" w:color="auto" w:fill="FFFFFF"/>
            <w:vAlign w:val="center"/>
          </w:tcPr>
          <w:p w14:paraId="425DDC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0.86</w:t>
            </w:r>
          </w:p>
        </w:tc>
        <w:tc>
          <w:tcPr>
            <w:tcW w:w="304" w:type="pct"/>
            <w:shd w:val="clear" w:color="auto" w:fill="FFFFFF"/>
            <w:vAlign w:val="center"/>
          </w:tcPr>
          <w:p w14:paraId="5BB3F1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1EAB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81848D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3F4BEC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56E156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327042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1CDDB1C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45532A9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FC7DC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7FC9F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2.74×10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53537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72B9B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2.75×10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49481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2.60×10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70481D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D8A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38CFD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01CCA8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腐蚀DA002进口（F3）</w:t>
            </w:r>
          </w:p>
        </w:tc>
        <w:tc>
          <w:tcPr>
            <w:tcW w:w="327" w:type="pct"/>
            <w:shd w:val="clear" w:color="auto" w:fill="FFFFFF"/>
            <w:vAlign w:val="center"/>
          </w:tcPr>
          <w:p w14:paraId="3681F27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8A07D9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11F916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33334B9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DF973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080F6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0.70</w:t>
            </w:r>
          </w:p>
        </w:tc>
        <w:tc>
          <w:tcPr>
            <w:tcW w:w="394" w:type="pct"/>
            <w:shd w:val="clear" w:color="auto" w:fill="FFFFFF"/>
            <w:vAlign w:val="center"/>
          </w:tcPr>
          <w:p w14:paraId="0D9FF9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3947EF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0.67</w:t>
            </w:r>
          </w:p>
        </w:tc>
        <w:tc>
          <w:tcPr>
            <w:tcW w:w="394" w:type="pct"/>
            <w:shd w:val="clear" w:color="auto" w:fill="FFFFFF"/>
            <w:vAlign w:val="center"/>
          </w:tcPr>
          <w:p w14:paraId="637365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04" w:type="pct"/>
            <w:shd w:val="clear" w:color="auto" w:fill="FFFFFF"/>
            <w:vAlign w:val="center"/>
          </w:tcPr>
          <w:p w14:paraId="10D55C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CFC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2AFBC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53CA20D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腐蚀DA002进口（F3）</w:t>
            </w:r>
          </w:p>
        </w:tc>
        <w:tc>
          <w:tcPr>
            <w:tcW w:w="327" w:type="pct"/>
            <w:shd w:val="clear" w:color="auto" w:fill="FFFFFF"/>
            <w:vAlign w:val="center"/>
          </w:tcPr>
          <w:p w14:paraId="295FEDF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63A380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D09E06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7F8C17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26362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81EB6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4.38×10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C1E96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EA28F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4.05×10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A5C88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14C8DA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0C5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B6958D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41DD921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582FFEE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38FE377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2B66BE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2FA996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23E1A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3C28B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0.35</w:t>
            </w:r>
          </w:p>
        </w:tc>
        <w:tc>
          <w:tcPr>
            <w:tcW w:w="394" w:type="pct"/>
            <w:shd w:val="clear" w:color="auto" w:fill="FFFFFF"/>
            <w:vAlign w:val="center"/>
          </w:tcPr>
          <w:p w14:paraId="290C78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0.42</w:t>
            </w:r>
          </w:p>
        </w:tc>
        <w:tc>
          <w:tcPr>
            <w:tcW w:w="394" w:type="pct"/>
            <w:shd w:val="clear" w:color="auto" w:fill="FFFFFF"/>
            <w:vAlign w:val="center"/>
          </w:tcPr>
          <w:p w14:paraId="6E958E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0.39</w:t>
            </w:r>
          </w:p>
        </w:tc>
        <w:tc>
          <w:tcPr>
            <w:tcW w:w="394" w:type="pct"/>
            <w:shd w:val="clear" w:color="auto" w:fill="FFFFFF"/>
            <w:vAlign w:val="center"/>
          </w:tcPr>
          <w:p w14:paraId="6FD7CF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0.39</w:t>
            </w:r>
          </w:p>
        </w:tc>
        <w:tc>
          <w:tcPr>
            <w:tcW w:w="304" w:type="pct"/>
            <w:shd w:val="clear" w:color="auto" w:fill="FFFFFF"/>
            <w:vAlign w:val="center"/>
          </w:tcPr>
          <w:p w14:paraId="486934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13D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6C2A90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0F95F2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7B30F4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417C3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3DE8B16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AB2C46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33967C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0BB26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0.98</w:t>
            </w:r>
          </w:p>
        </w:tc>
        <w:tc>
          <w:tcPr>
            <w:tcW w:w="394" w:type="pct"/>
            <w:shd w:val="clear" w:color="auto" w:fill="FFFFFF"/>
            <w:vAlign w:val="center"/>
          </w:tcPr>
          <w:p w14:paraId="6E9113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0.83</w:t>
            </w:r>
          </w:p>
        </w:tc>
        <w:tc>
          <w:tcPr>
            <w:tcW w:w="394" w:type="pct"/>
            <w:shd w:val="clear" w:color="auto" w:fill="FFFFFF"/>
            <w:vAlign w:val="center"/>
          </w:tcPr>
          <w:p w14:paraId="2E5F55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0.77</w:t>
            </w:r>
          </w:p>
        </w:tc>
        <w:tc>
          <w:tcPr>
            <w:tcW w:w="394" w:type="pct"/>
            <w:shd w:val="clear" w:color="auto" w:fill="FFFFFF"/>
            <w:vAlign w:val="center"/>
          </w:tcPr>
          <w:p w14:paraId="73EBD8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0.86</w:t>
            </w:r>
          </w:p>
        </w:tc>
        <w:tc>
          <w:tcPr>
            <w:tcW w:w="304" w:type="pct"/>
            <w:shd w:val="clear" w:color="auto" w:fill="FFFFFF"/>
            <w:vAlign w:val="center"/>
          </w:tcPr>
          <w:p w14:paraId="0369A7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4735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FB3D92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DA002</w:t>
            </w:r>
          </w:p>
        </w:tc>
        <w:tc>
          <w:tcPr>
            <w:tcW w:w="917" w:type="pct"/>
            <w:shd w:val="clear" w:color="auto" w:fill="FFFFFF"/>
            <w:vAlign w:val="center"/>
          </w:tcPr>
          <w:p w14:paraId="42A1DA8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腐蚀DA002出口（F4）</w:t>
            </w:r>
          </w:p>
        </w:tc>
        <w:tc>
          <w:tcPr>
            <w:tcW w:w="327" w:type="pct"/>
            <w:shd w:val="clear" w:color="auto" w:fill="FFFFFF"/>
            <w:vAlign w:val="center"/>
          </w:tcPr>
          <w:p w14:paraId="47C499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13D9D5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11001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5DA70AF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D3BBB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3D77E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2.98×10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9E6EA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2.52×10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66833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86382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2.61×10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4A00ED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E49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FDE06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987A3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796DC88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A8CC08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7F168F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05862D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B2242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FDDA7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3D37EF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w:t>
            </w:r>
          </w:p>
        </w:tc>
        <w:tc>
          <w:tcPr>
            <w:tcW w:w="394" w:type="pct"/>
            <w:shd w:val="clear" w:color="auto" w:fill="FFFFFF"/>
            <w:vAlign w:val="center"/>
          </w:tcPr>
          <w:p w14:paraId="0C4298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3B51BD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w:t>
            </w:r>
          </w:p>
        </w:tc>
        <w:tc>
          <w:tcPr>
            <w:tcW w:w="304" w:type="pct"/>
            <w:shd w:val="clear" w:color="auto" w:fill="FFFFFF"/>
            <w:vAlign w:val="center"/>
          </w:tcPr>
          <w:p w14:paraId="305B4C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67F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9DFC4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07AF7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2082FD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6C78DF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119CEA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323FC4A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846A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F29FE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2.88×10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DB9BC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3.28×10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F43DB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3.10×10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4CDDB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277E70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BB4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1A96ED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758B7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3804E33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131FC7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31FF2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10991EB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E81DF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2C024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0.044</w:t>
            </w:r>
          </w:p>
        </w:tc>
        <w:tc>
          <w:tcPr>
            <w:tcW w:w="394" w:type="pct"/>
            <w:shd w:val="clear" w:color="auto" w:fill="FFFFFF"/>
            <w:vAlign w:val="center"/>
          </w:tcPr>
          <w:p w14:paraId="0D172C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0.161</w:t>
            </w:r>
          </w:p>
        </w:tc>
        <w:tc>
          <w:tcPr>
            <w:tcW w:w="394" w:type="pct"/>
            <w:shd w:val="clear" w:color="auto" w:fill="FFFFFF"/>
            <w:vAlign w:val="center"/>
          </w:tcPr>
          <w:p w14:paraId="0FA705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0.047</w:t>
            </w:r>
          </w:p>
        </w:tc>
        <w:tc>
          <w:tcPr>
            <w:tcW w:w="394" w:type="pct"/>
            <w:shd w:val="clear" w:color="auto" w:fill="FFFFFF"/>
            <w:vAlign w:val="center"/>
          </w:tcPr>
          <w:p w14:paraId="3E34EB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w:t>
            </w:r>
            <w:r>
              <w:rPr>
                <w:rFonts w:hint="eastAsia" w:cs="Times New Roman"/>
                <w:color w:val="auto"/>
                <w:kern w:val="2"/>
                <w:sz w:val="21"/>
                <w:szCs w:val="22"/>
                <w:highlight w:val="none"/>
                <w:lang w:val="en-US" w:eastAsia="zh-CN" w:bidi="ar-SA"/>
              </w:rPr>
              <w:t>84</w:t>
            </w:r>
          </w:p>
        </w:tc>
        <w:tc>
          <w:tcPr>
            <w:tcW w:w="304" w:type="pct"/>
            <w:shd w:val="clear" w:color="auto" w:fill="FFFFFF"/>
            <w:vAlign w:val="center"/>
          </w:tcPr>
          <w:p w14:paraId="65299D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23EB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A7E1D6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92720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690717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DC27F9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40F115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1F94F2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50DC5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15866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6.20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05C6AB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0B302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6.14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042C74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2EE105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4C8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FCAF3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FEC68B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0E66737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0025EF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4F2490A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2E7E963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0C900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C808B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CC4D2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0.047</w:t>
            </w:r>
          </w:p>
        </w:tc>
        <w:tc>
          <w:tcPr>
            <w:tcW w:w="394" w:type="pct"/>
            <w:shd w:val="clear" w:color="auto" w:fill="FFFFFF"/>
            <w:vAlign w:val="center"/>
          </w:tcPr>
          <w:p w14:paraId="51DAAD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0.008</w:t>
            </w:r>
          </w:p>
        </w:tc>
        <w:tc>
          <w:tcPr>
            <w:tcW w:w="394" w:type="pct"/>
            <w:shd w:val="clear" w:color="auto" w:fill="FFFFFF"/>
            <w:vAlign w:val="center"/>
          </w:tcPr>
          <w:p w14:paraId="5A593A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0.019</w:t>
            </w:r>
          </w:p>
        </w:tc>
        <w:tc>
          <w:tcPr>
            <w:tcW w:w="304" w:type="pct"/>
            <w:shd w:val="clear" w:color="auto" w:fill="FFFFFF"/>
            <w:vAlign w:val="center"/>
          </w:tcPr>
          <w:p w14:paraId="5DD3A2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33A5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03B17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31E81CE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5774EA1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0E3853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6AE860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38BC390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6CE0D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1E0B5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2EC5EB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6.43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6CEF28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1F0CF1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2.59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39B246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5C2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0FE69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63B292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156464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E8E2D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048920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519AE0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B4375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25650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2.38</w:t>
            </w:r>
          </w:p>
        </w:tc>
        <w:tc>
          <w:tcPr>
            <w:tcW w:w="394" w:type="pct"/>
            <w:shd w:val="clear" w:color="auto" w:fill="FFFFFF"/>
            <w:vAlign w:val="center"/>
          </w:tcPr>
          <w:p w14:paraId="3EB244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2.44</w:t>
            </w:r>
          </w:p>
        </w:tc>
        <w:tc>
          <w:tcPr>
            <w:tcW w:w="394" w:type="pct"/>
            <w:shd w:val="clear" w:color="auto" w:fill="FFFFFF"/>
            <w:vAlign w:val="center"/>
          </w:tcPr>
          <w:p w14:paraId="440CFA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3.0</w:t>
            </w:r>
          </w:p>
        </w:tc>
        <w:tc>
          <w:tcPr>
            <w:tcW w:w="394" w:type="pct"/>
            <w:shd w:val="clear" w:color="auto" w:fill="FFFFFF"/>
            <w:vAlign w:val="center"/>
          </w:tcPr>
          <w:p w14:paraId="15C428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.61</w:t>
            </w:r>
          </w:p>
        </w:tc>
        <w:tc>
          <w:tcPr>
            <w:tcW w:w="304" w:type="pct"/>
            <w:shd w:val="clear" w:color="auto" w:fill="FFFFFF"/>
            <w:vAlign w:val="center"/>
          </w:tcPr>
          <w:p w14:paraId="4914A4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686F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9A5A5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ACF6A9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01F6D62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3836FF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CDBE70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5DD0EAD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C956E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13677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3.36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3DE7A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34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DB3C8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92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C9CA2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54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21ADAA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32F1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6D5375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DA005</w:t>
            </w:r>
          </w:p>
        </w:tc>
        <w:tc>
          <w:tcPr>
            <w:tcW w:w="917" w:type="pct"/>
            <w:shd w:val="clear" w:color="auto" w:fill="FFFFFF"/>
            <w:vAlign w:val="center"/>
          </w:tcPr>
          <w:p w14:paraId="0DBC5A7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综合废气排口DA005进口2（F6）</w:t>
            </w:r>
          </w:p>
        </w:tc>
        <w:tc>
          <w:tcPr>
            <w:tcW w:w="327" w:type="pct"/>
            <w:shd w:val="clear" w:color="auto" w:fill="FFFFFF"/>
            <w:vAlign w:val="center"/>
          </w:tcPr>
          <w:p w14:paraId="376FD6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进口</w:t>
            </w:r>
          </w:p>
        </w:tc>
        <w:tc>
          <w:tcPr>
            <w:tcW w:w="422" w:type="pct"/>
            <w:shd w:val="clear" w:color="auto" w:fill="FFFFFF"/>
            <w:vAlign w:val="center"/>
          </w:tcPr>
          <w:p w14:paraId="489917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2025-07-14</w:t>
            </w:r>
          </w:p>
        </w:tc>
        <w:tc>
          <w:tcPr>
            <w:tcW w:w="363" w:type="pct"/>
            <w:shd w:val="clear" w:color="auto" w:fill="FFFFFF"/>
            <w:vAlign w:val="center"/>
          </w:tcPr>
          <w:p w14:paraId="524505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70D1670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1DC0C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8A04D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5C3431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599A35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2.0</w:t>
            </w:r>
          </w:p>
        </w:tc>
        <w:tc>
          <w:tcPr>
            <w:tcW w:w="394" w:type="pct"/>
            <w:shd w:val="clear" w:color="auto" w:fill="FFFFFF"/>
            <w:vAlign w:val="center"/>
          </w:tcPr>
          <w:p w14:paraId="7F0D2F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2.1</w:t>
            </w:r>
          </w:p>
        </w:tc>
        <w:tc>
          <w:tcPr>
            <w:tcW w:w="304" w:type="pct"/>
            <w:shd w:val="clear" w:color="auto" w:fill="FFFFFF"/>
            <w:vAlign w:val="center"/>
          </w:tcPr>
          <w:p w14:paraId="318141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D0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652A0B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DA005</w:t>
            </w:r>
          </w:p>
        </w:tc>
        <w:tc>
          <w:tcPr>
            <w:tcW w:w="917" w:type="pct"/>
            <w:shd w:val="clear" w:color="auto" w:fill="FFFFFF"/>
            <w:vAlign w:val="center"/>
          </w:tcPr>
          <w:p w14:paraId="682FE4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综合废气排口DA005进口2（F6）</w:t>
            </w:r>
          </w:p>
        </w:tc>
        <w:tc>
          <w:tcPr>
            <w:tcW w:w="327" w:type="pct"/>
            <w:shd w:val="clear" w:color="auto" w:fill="FFFFFF"/>
            <w:vAlign w:val="center"/>
          </w:tcPr>
          <w:p w14:paraId="51FC067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进口</w:t>
            </w:r>
          </w:p>
        </w:tc>
        <w:tc>
          <w:tcPr>
            <w:tcW w:w="422" w:type="pct"/>
            <w:shd w:val="clear" w:color="auto" w:fill="FFFFFF"/>
            <w:vAlign w:val="center"/>
          </w:tcPr>
          <w:p w14:paraId="2394EA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2025-07-14</w:t>
            </w:r>
          </w:p>
        </w:tc>
        <w:tc>
          <w:tcPr>
            <w:tcW w:w="363" w:type="pct"/>
            <w:shd w:val="clear" w:color="auto" w:fill="FFFFFF"/>
            <w:vAlign w:val="center"/>
          </w:tcPr>
          <w:p w14:paraId="13E2F05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2A8C8E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44778B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A02D2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4.31×10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E8072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4.24×10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F6FEF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D7190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4AB811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FEA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6E3CF0E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DA005</w:t>
            </w:r>
          </w:p>
        </w:tc>
        <w:tc>
          <w:tcPr>
            <w:tcW w:w="917" w:type="pct"/>
            <w:shd w:val="clear" w:color="auto" w:fill="FFFFFF"/>
            <w:vAlign w:val="center"/>
          </w:tcPr>
          <w:p w14:paraId="6045439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综合废气排口DA005进口2（F6）</w:t>
            </w:r>
          </w:p>
        </w:tc>
        <w:tc>
          <w:tcPr>
            <w:tcW w:w="327" w:type="pct"/>
            <w:shd w:val="clear" w:color="auto" w:fill="FFFFFF"/>
            <w:vAlign w:val="center"/>
          </w:tcPr>
          <w:p w14:paraId="14CA64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进口</w:t>
            </w:r>
          </w:p>
        </w:tc>
        <w:tc>
          <w:tcPr>
            <w:tcW w:w="422" w:type="pct"/>
            <w:shd w:val="clear" w:color="auto" w:fill="FFFFFF"/>
            <w:vAlign w:val="center"/>
          </w:tcPr>
          <w:p w14:paraId="7C7FE75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2025-07-14</w:t>
            </w:r>
          </w:p>
        </w:tc>
        <w:tc>
          <w:tcPr>
            <w:tcW w:w="363" w:type="pct"/>
            <w:shd w:val="clear" w:color="auto" w:fill="FFFFFF"/>
            <w:vAlign w:val="center"/>
          </w:tcPr>
          <w:p w14:paraId="7A65D94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0C7F68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28D18A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884A1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0167</w:t>
            </w:r>
          </w:p>
        </w:tc>
        <w:tc>
          <w:tcPr>
            <w:tcW w:w="394" w:type="pct"/>
            <w:shd w:val="clear" w:color="auto" w:fill="FFFFFF"/>
            <w:vAlign w:val="center"/>
          </w:tcPr>
          <w:p w14:paraId="1275FA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0.060</w:t>
            </w:r>
          </w:p>
        </w:tc>
        <w:tc>
          <w:tcPr>
            <w:tcW w:w="394" w:type="pct"/>
            <w:shd w:val="clear" w:color="auto" w:fill="FFFFFF"/>
            <w:vAlign w:val="center"/>
          </w:tcPr>
          <w:p w14:paraId="7E725E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0.050</w:t>
            </w:r>
          </w:p>
        </w:tc>
        <w:tc>
          <w:tcPr>
            <w:tcW w:w="394" w:type="pct"/>
            <w:shd w:val="clear" w:color="auto" w:fill="FFFFFF"/>
            <w:vAlign w:val="center"/>
          </w:tcPr>
          <w:p w14:paraId="6A3508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0.092</w:t>
            </w:r>
          </w:p>
        </w:tc>
        <w:tc>
          <w:tcPr>
            <w:tcW w:w="304" w:type="pct"/>
            <w:shd w:val="clear" w:color="auto" w:fill="FFFFFF"/>
            <w:vAlign w:val="center"/>
          </w:tcPr>
          <w:p w14:paraId="57C3CB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49B0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95F65A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DA005</w:t>
            </w:r>
          </w:p>
        </w:tc>
        <w:tc>
          <w:tcPr>
            <w:tcW w:w="917" w:type="pct"/>
            <w:shd w:val="clear" w:color="auto" w:fill="FFFFFF"/>
            <w:vAlign w:val="center"/>
          </w:tcPr>
          <w:p w14:paraId="2D1E7FF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综合废气排口DA005进口2（F6）</w:t>
            </w:r>
          </w:p>
        </w:tc>
        <w:tc>
          <w:tcPr>
            <w:tcW w:w="327" w:type="pct"/>
            <w:shd w:val="clear" w:color="auto" w:fill="FFFFFF"/>
            <w:vAlign w:val="center"/>
          </w:tcPr>
          <w:p w14:paraId="207E7B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进口</w:t>
            </w:r>
          </w:p>
        </w:tc>
        <w:tc>
          <w:tcPr>
            <w:tcW w:w="422" w:type="pct"/>
            <w:shd w:val="clear" w:color="auto" w:fill="FFFFFF"/>
            <w:vAlign w:val="center"/>
          </w:tcPr>
          <w:p w14:paraId="7996ED6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2025-07-14</w:t>
            </w:r>
          </w:p>
        </w:tc>
        <w:tc>
          <w:tcPr>
            <w:tcW w:w="363" w:type="pct"/>
            <w:shd w:val="clear" w:color="auto" w:fill="FFFFFF"/>
            <w:vAlign w:val="center"/>
          </w:tcPr>
          <w:p w14:paraId="030D45C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75F3A3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6F5280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F35EE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3.27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D3D27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AD134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9.72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1C886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1.80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346FD7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3306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8D665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DA005</w:t>
            </w:r>
          </w:p>
        </w:tc>
        <w:tc>
          <w:tcPr>
            <w:tcW w:w="917" w:type="pct"/>
            <w:shd w:val="clear" w:color="auto" w:fill="FFFFFF"/>
            <w:vAlign w:val="center"/>
          </w:tcPr>
          <w:p w14:paraId="654352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综合废气排口DA005进口2（F6）</w:t>
            </w:r>
          </w:p>
        </w:tc>
        <w:tc>
          <w:tcPr>
            <w:tcW w:w="327" w:type="pct"/>
            <w:shd w:val="clear" w:color="auto" w:fill="FFFFFF"/>
            <w:vAlign w:val="center"/>
          </w:tcPr>
          <w:p w14:paraId="138C773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进口</w:t>
            </w:r>
          </w:p>
        </w:tc>
        <w:tc>
          <w:tcPr>
            <w:tcW w:w="422" w:type="pct"/>
            <w:shd w:val="clear" w:color="auto" w:fill="FFFFFF"/>
            <w:vAlign w:val="center"/>
          </w:tcPr>
          <w:p w14:paraId="5D3BB2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2025-07-14</w:t>
            </w:r>
          </w:p>
        </w:tc>
        <w:tc>
          <w:tcPr>
            <w:tcW w:w="363" w:type="pct"/>
            <w:shd w:val="clear" w:color="auto" w:fill="FFFFFF"/>
            <w:vAlign w:val="center"/>
          </w:tcPr>
          <w:p w14:paraId="4533CBD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7C4F8CB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769D9F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CCD7D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0.053</w:t>
            </w:r>
          </w:p>
        </w:tc>
        <w:tc>
          <w:tcPr>
            <w:tcW w:w="394" w:type="pct"/>
            <w:shd w:val="clear" w:color="auto" w:fill="FFFFFF"/>
            <w:vAlign w:val="center"/>
          </w:tcPr>
          <w:p w14:paraId="5B5B96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6DB663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3184B4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w:t>
            </w:r>
            <w:r>
              <w:rPr>
                <w:rFonts w:hint="eastAsia" w:cs="Times New Roman"/>
                <w:color w:val="auto"/>
                <w:kern w:val="2"/>
                <w:sz w:val="21"/>
                <w:szCs w:val="22"/>
                <w:highlight w:val="none"/>
                <w:lang w:val="en-US" w:eastAsia="zh-CN" w:bidi="ar-SA"/>
              </w:rPr>
              <w:t>019</w:t>
            </w:r>
          </w:p>
        </w:tc>
        <w:tc>
          <w:tcPr>
            <w:tcW w:w="304" w:type="pct"/>
            <w:shd w:val="clear" w:color="auto" w:fill="FFFFFF"/>
            <w:vAlign w:val="center"/>
          </w:tcPr>
          <w:p w14:paraId="75AB72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C86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272829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DA005</w:t>
            </w:r>
          </w:p>
        </w:tc>
        <w:tc>
          <w:tcPr>
            <w:tcW w:w="917" w:type="pct"/>
            <w:shd w:val="clear" w:color="auto" w:fill="FFFFFF"/>
            <w:vAlign w:val="center"/>
          </w:tcPr>
          <w:p w14:paraId="593265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综合废气排口DA005进口2（F6）</w:t>
            </w:r>
          </w:p>
        </w:tc>
        <w:tc>
          <w:tcPr>
            <w:tcW w:w="327" w:type="pct"/>
            <w:shd w:val="clear" w:color="auto" w:fill="FFFFFF"/>
            <w:vAlign w:val="center"/>
          </w:tcPr>
          <w:p w14:paraId="3FF8190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进口</w:t>
            </w:r>
          </w:p>
        </w:tc>
        <w:tc>
          <w:tcPr>
            <w:tcW w:w="422" w:type="pct"/>
            <w:shd w:val="clear" w:color="auto" w:fill="FFFFFF"/>
            <w:vAlign w:val="center"/>
          </w:tcPr>
          <w:p w14:paraId="237ED13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2025-07-14</w:t>
            </w:r>
          </w:p>
        </w:tc>
        <w:tc>
          <w:tcPr>
            <w:tcW w:w="363" w:type="pct"/>
            <w:shd w:val="clear" w:color="auto" w:fill="FFFFFF"/>
            <w:vAlign w:val="center"/>
          </w:tcPr>
          <w:p w14:paraId="5755112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57845AD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521858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2288A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D9B79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2B885E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7E675B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3.72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04" w:type="pct"/>
            <w:shd w:val="clear" w:color="auto" w:fill="FFFFFF"/>
            <w:vAlign w:val="center"/>
          </w:tcPr>
          <w:p w14:paraId="164A87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4382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823A98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DA005</w:t>
            </w:r>
          </w:p>
        </w:tc>
        <w:tc>
          <w:tcPr>
            <w:tcW w:w="917" w:type="pct"/>
            <w:shd w:val="clear" w:color="auto" w:fill="FFFFFF"/>
            <w:vAlign w:val="center"/>
          </w:tcPr>
          <w:p w14:paraId="60A2124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综合废气排口DA005进口2（F6）</w:t>
            </w:r>
          </w:p>
        </w:tc>
        <w:tc>
          <w:tcPr>
            <w:tcW w:w="327" w:type="pct"/>
            <w:shd w:val="clear" w:color="auto" w:fill="FFFFFF"/>
            <w:vAlign w:val="center"/>
          </w:tcPr>
          <w:p w14:paraId="233542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进口</w:t>
            </w:r>
          </w:p>
        </w:tc>
        <w:tc>
          <w:tcPr>
            <w:tcW w:w="422" w:type="pct"/>
            <w:shd w:val="clear" w:color="auto" w:fill="FFFFFF"/>
            <w:vAlign w:val="center"/>
          </w:tcPr>
          <w:p w14:paraId="1D8726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olor w:val="auto"/>
                <w:lang w:val="en-US" w:eastAsia="zh-CN"/>
              </w:rPr>
            </w:pPr>
            <w:r>
              <w:rPr>
                <w:rFonts w:hint="eastAsia"/>
                <w:color w:val="auto"/>
                <w:lang w:val="en-US" w:eastAsia="zh-CN"/>
              </w:rPr>
              <w:t>2025-07-14</w:t>
            </w:r>
          </w:p>
        </w:tc>
        <w:tc>
          <w:tcPr>
            <w:tcW w:w="363" w:type="pct"/>
            <w:shd w:val="clear" w:color="auto" w:fill="FFFFFF"/>
            <w:vAlign w:val="center"/>
          </w:tcPr>
          <w:p w14:paraId="0474BCC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69D48E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5EB4DC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8011D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2.12</w:t>
            </w:r>
          </w:p>
        </w:tc>
        <w:tc>
          <w:tcPr>
            <w:tcW w:w="394" w:type="pct"/>
            <w:shd w:val="clear" w:color="auto" w:fill="FFFFFF"/>
            <w:vAlign w:val="center"/>
          </w:tcPr>
          <w:p w14:paraId="1E4D59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2.33</w:t>
            </w:r>
          </w:p>
        </w:tc>
        <w:tc>
          <w:tcPr>
            <w:tcW w:w="394" w:type="pct"/>
            <w:shd w:val="clear" w:color="auto" w:fill="FFFFFF"/>
            <w:vAlign w:val="center"/>
          </w:tcPr>
          <w:p w14:paraId="1A9B58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2.09</w:t>
            </w:r>
          </w:p>
        </w:tc>
        <w:tc>
          <w:tcPr>
            <w:tcW w:w="394" w:type="pct"/>
            <w:shd w:val="clear" w:color="auto" w:fill="FFFFFF"/>
            <w:vAlign w:val="center"/>
          </w:tcPr>
          <w:p w14:paraId="72E26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2.18</w:t>
            </w:r>
          </w:p>
        </w:tc>
        <w:tc>
          <w:tcPr>
            <w:tcW w:w="304" w:type="pct"/>
            <w:shd w:val="clear" w:color="auto" w:fill="FFFFFF"/>
            <w:vAlign w:val="center"/>
          </w:tcPr>
          <w:p w14:paraId="14A8F3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7E04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59AF721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DA005</w:t>
            </w:r>
          </w:p>
        </w:tc>
        <w:tc>
          <w:tcPr>
            <w:tcW w:w="917" w:type="pct"/>
            <w:shd w:val="clear" w:color="auto" w:fill="FFFFFF"/>
            <w:vAlign w:val="center"/>
          </w:tcPr>
          <w:p w14:paraId="2BD79A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综合废气排口DA005进口2（F6）</w:t>
            </w:r>
          </w:p>
        </w:tc>
        <w:tc>
          <w:tcPr>
            <w:tcW w:w="327" w:type="pct"/>
            <w:shd w:val="clear" w:color="auto" w:fill="FFFFFF"/>
            <w:vAlign w:val="center"/>
          </w:tcPr>
          <w:p w14:paraId="3B27A36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进口</w:t>
            </w:r>
          </w:p>
        </w:tc>
        <w:tc>
          <w:tcPr>
            <w:tcW w:w="422" w:type="pct"/>
            <w:shd w:val="clear" w:color="auto" w:fill="FFFFFF"/>
            <w:vAlign w:val="center"/>
          </w:tcPr>
          <w:p w14:paraId="3ECA04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2025-07-14</w:t>
            </w:r>
          </w:p>
        </w:tc>
        <w:tc>
          <w:tcPr>
            <w:tcW w:w="363" w:type="pct"/>
            <w:shd w:val="clear" w:color="auto" w:fill="FFFFFF"/>
            <w:vAlign w:val="center"/>
          </w:tcPr>
          <w:p w14:paraId="4F141CC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50879F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285672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D25BD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w:t>
            </w:r>
            <w:r>
              <w:rPr>
                <w:rFonts w:hint="eastAsia" w:cs="Times New Roman"/>
                <w:color w:val="auto"/>
                <w:kern w:val="2"/>
                <w:sz w:val="21"/>
                <w:szCs w:val="22"/>
                <w:highlight w:val="none"/>
                <w:lang w:val="en-US" w:eastAsia="zh-CN" w:bidi="ar-SA"/>
              </w:rPr>
              <w:t>15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0DE5B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w:t>
            </w:r>
            <w:r>
              <w:rPr>
                <w:rFonts w:hint="eastAsia" w:cs="Times New Roman"/>
                <w:color w:val="auto"/>
                <w:kern w:val="2"/>
                <w:sz w:val="21"/>
                <w:szCs w:val="22"/>
                <w:highlight w:val="none"/>
                <w:lang w:val="en-US" w:eastAsia="zh-CN" w:bidi="ar-SA"/>
              </w:rPr>
              <w:t>49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F57B3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w:t>
            </w:r>
            <w:r>
              <w:rPr>
                <w:rFonts w:hint="eastAsia" w:cs="Times New Roman"/>
                <w:color w:val="auto"/>
                <w:kern w:val="2"/>
                <w:sz w:val="21"/>
                <w:szCs w:val="22"/>
                <w:highlight w:val="none"/>
                <w:lang w:val="en-US" w:eastAsia="zh-CN" w:bidi="ar-SA"/>
              </w:rPr>
              <w:t>06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4C768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w:t>
            </w:r>
            <w:r>
              <w:rPr>
                <w:rFonts w:hint="eastAsia" w:cs="Times New Roman"/>
                <w:color w:val="auto"/>
                <w:kern w:val="2"/>
                <w:sz w:val="21"/>
                <w:szCs w:val="22"/>
                <w:highlight w:val="none"/>
                <w:lang w:val="en-US" w:eastAsia="zh-CN" w:bidi="ar-SA"/>
              </w:rPr>
              <w:t>23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123DEF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2C1B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F44EC5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5760B1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14E8CAF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8F94FF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3C8D25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7112144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1EF87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DE076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1.0</w:t>
            </w:r>
          </w:p>
        </w:tc>
        <w:tc>
          <w:tcPr>
            <w:tcW w:w="394" w:type="pct"/>
            <w:shd w:val="clear" w:color="auto" w:fill="FFFFFF"/>
            <w:vAlign w:val="center"/>
          </w:tcPr>
          <w:p w14:paraId="76CF7A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w:t>
            </w:r>
          </w:p>
        </w:tc>
        <w:tc>
          <w:tcPr>
            <w:tcW w:w="394" w:type="pct"/>
            <w:shd w:val="clear" w:color="auto" w:fill="FFFFFF"/>
            <w:vAlign w:val="center"/>
          </w:tcPr>
          <w:p w14:paraId="19A692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94" w:type="pct"/>
            <w:shd w:val="clear" w:color="auto" w:fill="FFFFFF"/>
            <w:vAlign w:val="center"/>
          </w:tcPr>
          <w:p w14:paraId="681FC9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04" w:type="pct"/>
            <w:shd w:val="clear" w:color="auto" w:fill="FFFFFF"/>
            <w:vAlign w:val="center"/>
          </w:tcPr>
          <w:p w14:paraId="0A472C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20</w:t>
            </w:r>
          </w:p>
        </w:tc>
      </w:tr>
      <w:tr w14:paraId="5458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9CCD66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C5FB5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024C8A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0FD6A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0D3DF3E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730EB76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BC510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3759E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3.22×10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34C77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3.85×10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0EA33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3.54×10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8D63A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3.54×10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238CE8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p>
        </w:tc>
      </w:tr>
      <w:tr w14:paraId="2A22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447067D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6AF76B9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3286E3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3E69224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2C106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487581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26D70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00925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0.019</w:t>
            </w:r>
          </w:p>
        </w:tc>
        <w:tc>
          <w:tcPr>
            <w:tcW w:w="394" w:type="pct"/>
            <w:shd w:val="clear" w:color="auto" w:fill="FFFFFF"/>
            <w:vAlign w:val="center"/>
          </w:tcPr>
          <w:p w14:paraId="02B218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0.038</w:t>
            </w:r>
          </w:p>
        </w:tc>
        <w:tc>
          <w:tcPr>
            <w:tcW w:w="394" w:type="pct"/>
            <w:shd w:val="clear" w:color="auto" w:fill="FFFFFF"/>
            <w:vAlign w:val="center"/>
          </w:tcPr>
          <w:p w14:paraId="681E8C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0.039</w:t>
            </w:r>
          </w:p>
        </w:tc>
        <w:tc>
          <w:tcPr>
            <w:tcW w:w="394" w:type="pct"/>
            <w:shd w:val="clear" w:color="auto" w:fill="FFFFFF"/>
            <w:vAlign w:val="center"/>
          </w:tcPr>
          <w:p w14:paraId="2BFB19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0.032</w:t>
            </w:r>
          </w:p>
        </w:tc>
        <w:tc>
          <w:tcPr>
            <w:tcW w:w="304" w:type="pct"/>
            <w:shd w:val="clear" w:color="auto" w:fill="FFFFFF"/>
            <w:vAlign w:val="center"/>
          </w:tcPr>
          <w:p w14:paraId="69E5ED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701B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9E5C3E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648E3EC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43CC14D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2DC18E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0185D7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694A94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98A66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C1B02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6.12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262DA6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395A9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D92A6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554540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0472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9683E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2A11A6C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5003D4F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7C6556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1E1B9CF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05CC89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5C126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BAA33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0.010</w:t>
            </w:r>
          </w:p>
        </w:tc>
        <w:tc>
          <w:tcPr>
            <w:tcW w:w="394" w:type="pct"/>
            <w:shd w:val="clear" w:color="auto" w:fill="FFFFFF"/>
            <w:vAlign w:val="center"/>
          </w:tcPr>
          <w:p w14:paraId="55DEFE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7CFC7A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11F87C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0.005</w:t>
            </w:r>
          </w:p>
        </w:tc>
        <w:tc>
          <w:tcPr>
            <w:tcW w:w="304" w:type="pct"/>
            <w:shd w:val="clear" w:color="auto" w:fill="FFFFFF"/>
            <w:vAlign w:val="center"/>
          </w:tcPr>
          <w:p w14:paraId="6BD268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53DE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0CC128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53BB34B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6EB66A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11F6ADA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5EE7E8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48166E0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E27DE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9364E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3.22×10</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1CCF92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6D541C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4D49C5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1.50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04" w:type="pct"/>
            <w:shd w:val="clear" w:color="auto" w:fill="FFFFFF"/>
            <w:vAlign w:val="center"/>
          </w:tcPr>
          <w:p w14:paraId="50DD81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0A22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7775E43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94069F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2B1A98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DF20CE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95BDDD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5E6859D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D7704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BFF19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1.06</w:t>
            </w:r>
          </w:p>
        </w:tc>
        <w:tc>
          <w:tcPr>
            <w:tcW w:w="394" w:type="pct"/>
            <w:shd w:val="clear" w:color="auto" w:fill="FFFFFF"/>
            <w:vAlign w:val="center"/>
          </w:tcPr>
          <w:p w14:paraId="5D896F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1.03</w:t>
            </w:r>
          </w:p>
        </w:tc>
        <w:tc>
          <w:tcPr>
            <w:tcW w:w="394" w:type="pct"/>
            <w:shd w:val="clear" w:color="auto" w:fill="FFFFFF"/>
            <w:vAlign w:val="center"/>
          </w:tcPr>
          <w:p w14:paraId="549F4E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0.86</w:t>
            </w:r>
          </w:p>
        </w:tc>
        <w:tc>
          <w:tcPr>
            <w:tcW w:w="394" w:type="pct"/>
            <w:shd w:val="clear" w:color="auto" w:fill="FFFFFF"/>
            <w:vAlign w:val="center"/>
          </w:tcPr>
          <w:p w14:paraId="545B02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0.98</w:t>
            </w:r>
          </w:p>
        </w:tc>
        <w:tc>
          <w:tcPr>
            <w:tcW w:w="304" w:type="pct"/>
            <w:shd w:val="clear" w:color="auto" w:fill="FFFFFF"/>
            <w:vAlign w:val="center"/>
          </w:tcPr>
          <w:p w14:paraId="623E0E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5551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21C070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598D3FB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0CD8583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5B09E6A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2A04EDF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537D8A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52F88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FB4F9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41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037A6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31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FA05F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2.77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9C712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16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30963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4762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3C91D9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FFF7F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3500EB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D2E84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AA04F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50A71C7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19439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407C8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3065E7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w:t>
            </w:r>
          </w:p>
        </w:tc>
        <w:tc>
          <w:tcPr>
            <w:tcW w:w="394" w:type="pct"/>
            <w:shd w:val="clear" w:color="auto" w:fill="FFFFFF"/>
            <w:vAlign w:val="center"/>
          </w:tcPr>
          <w:p w14:paraId="7E323E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2.5</w:t>
            </w:r>
          </w:p>
        </w:tc>
        <w:tc>
          <w:tcPr>
            <w:tcW w:w="394" w:type="pct"/>
            <w:shd w:val="clear" w:color="auto" w:fill="FFFFFF"/>
            <w:vAlign w:val="center"/>
          </w:tcPr>
          <w:p w14:paraId="691C35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w:t>
            </w:r>
          </w:p>
        </w:tc>
        <w:tc>
          <w:tcPr>
            <w:tcW w:w="304" w:type="pct"/>
            <w:shd w:val="clear" w:color="auto" w:fill="FFFFFF"/>
            <w:vAlign w:val="center"/>
          </w:tcPr>
          <w:p w14:paraId="24CCDE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C9C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4837418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5A4867D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66234E5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3E9AB8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6EA66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007E55D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68B9F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D9A92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3.34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2B356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3.59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882A0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3.64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A74E0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3.52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504D67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61C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AA8C7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20458A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5D9CCBF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C144DE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1E39BF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0B88107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215E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826DD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1.12</w:t>
            </w:r>
          </w:p>
        </w:tc>
        <w:tc>
          <w:tcPr>
            <w:tcW w:w="394" w:type="pct"/>
            <w:shd w:val="clear" w:color="auto" w:fill="FFFFFF"/>
            <w:vAlign w:val="center"/>
          </w:tcPr>
          <w:p w14:paraId="479730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2.46</w:t>
            </w:r>
          </w:p>
        </w:tc>
        <w:tc>
          <w:tcPr>
            <w:tcW w:w="394" w:type="pct"/>
            <w:shd w:val="clear" w:color="auto" w:fill="FFFFFF"/>
            <w:vAlign w:val="center"/>
          </w:tcPr>
          <w:p w14:paraId="5424EA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p>
        </w:tc>
        <w:tc>
          <w:tcPr>
            <w:tcW w:w="394" w:type="pct"/>
            <w:shd w:val="clear" w:color="auto" w:fill="FFFFFF"/>
            <w:vAlign w:val="center"/>
          </w:tcPr>
          <w:p w14:paraId="183FA5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1.68</w:t>
            </w:r>
          </w:p>
        </w:tc>
        <w:tc>
          <w:tcPr>
            <w:tcW w:w="304" w:type="pct"/>
            <w:shd w:val="clear" w:color="auto" w:fill="FFFFFF"/>
            <w:vAlign w:val="center"/>
          </w:tcPr>
          <w:p w14:paraId="6A26C3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4DA2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703DF8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738E39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综合废气排口DA005进口1（F5）</w:t>
            </w:r>
          </w:p>
        </w:tc>
        <w:tc>
          <w:tcPr>
            <w:tcW w:w="327" w:type="pct"/>
            <w:shd w:val="clear" w:color="auto" w:fill="FFFFFF"/>
            <w:vAlign w:val="center"/>
          </w:tcPr>
          <w:p w14:paraId="40B83F0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5469B8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17754B8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02BDCF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1E6B6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32D27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1.70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9A4C6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3.68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53B7E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88A9D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2.51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775C46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75CA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F03A59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5207958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5C3950F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C6439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67B391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59EEAFC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D8162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2D290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0.282</w:t>
            </w:r>
          </w:p>
        </w:tc>
        <w:tc>
          <w:tcPr>
            <w:tcW w:w="394" w:type="pct"/>
            <w:shd w:val="clear" w:color="auto" w:fill="FFFFFF"/>
            <w:vAlign w:val="center"/>
          </w:tcPr>
          <w:p w14:paraId="64DF45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0.709</w:t>
            </w:r>
          </w:p>
        </w:tc>
        <w:tc>
          <w:tcPr>
            <w:tcW w:w="394" w:type="pct"/>
            <w:shd w:val="clear" w:color="auto" w:fill="FFFFFF"/>
            <w:vAlign w:val="center"/>
          </w:tcPr>
          <w:p w14:paraId="6E0B3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0.367</w:t>
            </w:r>
          </w:p>
        </w:tc>
        <w:tc>
          <w:tcPr>
            <w:tcW w:w="394" w:type="pct"/>
            <w:shd w:val="clear" w:color="auto" w:fill="FFFFFF"/>
            <w:vAlign w:val="center"/>
          </w:tcPr>
          <w:p w14:paraId="44AFF5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0.453</w:t>
            </w:r>
          </w:p>
        </w:tc>
        <w:tc>
          <w:tcPr>
            <w:tcW w:w="304" w:type="pct"/>
            <w:shd w:val="clear" w:color="auto" w:fill="FFFFFF"/>
            <w:vAlign w:val="center"/>
          </w:tcPr>
          <w:p w14:paraId="4FEBBB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71B0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85A3F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32E3225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综合废气排口DA005进口1（F5）</w:t>
            </w:r>
          </w:p>
        </w:tc>
        <w:tc>
          <w:tcPr>
            <w:tcW w:w="327" w:type="pct"/>
            <w:shd w:val="clear" w:color="auto" w:fill="FFFFFF"/>
            <w:vAlign w:val="center"/>
          </w:tcPr>
          <w:p w14:paraId="6B68314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7290A98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07E1A48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2BA1BAE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AB3FA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FFB7B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4.28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5231E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DF5A5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5.34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09BC7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6.74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4B938A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954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7850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C98B9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综合废气排口DA005进口1（F5）</w:t>
            </w:r>
          </w:p>
        </w:tc>
        <w:tc>
          <w:tcPr>
            <w:tcW w:w="327" w:type="pct"/>
            <w:shd w:val="clear" w:color="auto" w:fill="FFFFFF"/>
            <w:vAlign w:val="center"/>
          </w:tcPr>
          <w:p w14:paraId="2CC949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5A67C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506498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6870B7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71F91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06522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6.45</w:t>
            </w:r>
          </w:p>
        </w:tc>
        <w:tc>
          <w:tcPr>
            <w:tcW w:w="394" w:type="pct"/>
            <w:shd w:val="clear" w:color="auto" w:fill="FFFFFF"/>
            <w:vAlign w:val="center"/>
          </w:tcPr>
          <w:p w14:paraId="743555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6.51</w:t>
            </w:r>
          </w:p>
        </w:tc>
        <w:tc>
          <w:tcPr>
            <w:tcW w:w="394" w:type="pct"/>
            <w:shd w:val="clear" w:color="auto" w:fill="FFFFFF"/>
            <w:vAlign w:val="center"/>
          </w:tcPr>
          <w:p w14:paraId="657EA3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2.45</w:t>
            </w:r>
          </w:p>
        </w:tc>
        <w:tc>
          <w:tcPr>
            <w:tcW w:w="394" w:type="pct"/>
            <w:shd w:val="clear" w:color="auto" w:fill="FFFFFF"/>
            <w:vAlign w:val="center"/>
          </w:tcPr>
          <w:p w14:paraId="58211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5.14</w:t>
            </w:r>
          </w:p>
        </w:tc>
        <w:tc>
          <w:tcPr>
            <w:tcW w:w="304" w:type="pct"/>
            <w:shd w:val="clear" w:color="auto" w:fill="FFFFFF"/>
            <w:vAlign w:val="center"/>
          </w:tcPr>
          <w:p w14:paraId="30BA7D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BE4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F75A2C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61E18F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综合废气排口DA005进口1（F5）</w:t>
            </w:r>
          </w:p>
        </w:tc>
        <w:tc>
          <w:tcPr>
            <w:tcW w:w="327" w:type="pct"/>
            <w:shd w:val="clear" w:color="auto" w:fill="FFFFFF"/>
            <w:vAlign w:val="center"/>
          </w:tcPr>
          <w:p w14:paraId="10D6EE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76FAA30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291A03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19ADF05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3C843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975E0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9.79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F2C3A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9.74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CCB93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3.56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F3A3B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7.70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6DEE26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44CE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AC502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306495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综合废气排口DA005进口2（F6）</w:t>
            </w:r>
          </w:p>
        </w:tc>
        <w:tc>
          <w:tcPr>
            <w:tcW w:w="327" w:type="pct"/>
            <w:shd w:val="clear" w:color="auto" w:fill="FFFFFF"/>
            <w:vAlign w:val="center"/>
          </w:tcPr>
          <w:p w14:paraId="7F223ED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68483B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08BC9E3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10908D3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2A7A4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7CC75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w:t>
            </w:r>
          </w:p>
        </w:tc>
        <w:tc>
          <w:tcPr>
            <w:tcW w:w="394" w:type="pct"/>
            <w:shd w:val="clear" w:color="auto" w:fill="FFFFFF"/>
            <w:vAlign w:val="center"/>
          </w:tcPr>
          <w:p w14:paraId="5D25FA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w:t>
            </w:r>
          </w:p>
        </w:tc>
        <w:tc>
          <w:tcPr>
            <w:tcW w:w="394" w:type="pct"/>
            <w:shd w:val="clear" w:color="auto" w:fill="FFFFFF"/>
            <w:vAlign w:val="center"/>
          </w:tcPr>
          <w:p w14:paraId="1C8BCC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2.2</w:t>
            </w:r>
          </w:p>
        </w:tc>
        <w:tc>
          <w:tcPr>
            <w:tcW w:w="394" w:type="pct"/>
            <w:shd w:val="clear" w:color="auto" w:fill="FFFFFF"/>
            <w:vAlign w:val="center"/>
          </w:tcPr>
          <w:p w14:paraId="0DC398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w:t>
            </w:r>
          </w:p>
        </w:tc>
        <w:tc>
          <w:tcPr>
            <w:tcW w:w="304" w:type="pct"/>
            <w:shd w:val="clear" w:color="auto" w:fill="FFFFFF"/>
            <w:vAlign w:val="center"/>
          </w:tcPr>
          <w:p w14:paraId="6BE07E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85F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D970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5ECFB1A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综合废气排口DA005进口2（F6）</w:t>
            </w:r>
          </w:p>
        </w:tc>
        <w:tc>
          <w:tcPr>
            <w:tcW w:w="327" w:type="pct"/>
            <w:shd w:val="clear" w:color="auto" w:fill="FFFFFF"/>
            <w:vAlign w:val="center"/>
          </w:tcPr>
          <w:p w14:paraId="5D7B1B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DAC2E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3347C8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0B8D89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1C1C1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0DB59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4.30×10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72106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4.57×10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91B49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4.29×10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7B887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4.38×10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6D04C5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18B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FAA93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6A3A25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综合废气排口DA005进口2（F6）</w:t>
            </w:r>
          </w:p>
        </w:tc>
        <w:tc>
          <w:tcPr>
            <w:tcW w:w="327" w:type="pct"/>
            <w:shd w:val="clear" w:color="auto" w:fill="FFFFFF"/>
            <w:vAlign w:val="center"/>
          </w:tcPr>
          <w:p w14:paraId="793763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3E0373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3E48088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4A453A1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B82C2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A4436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1.82</w:t>
            </w:r>
          </w:p>
        </w:tc>
        <w:tc>
          <w:tcPr>
            <w:tcW w:w="394" w:type="pct"/>
            <w:shd w:val="clear" w:color="auto" w:fill="FFFFFF"/>
            <w:vAlign w:val="center"/>
          </w:tcPr>
          <w:p w14:paraId="54C91F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2.10</w:t>
            </w:r>
          </w:p>
        </w:tc>
        <w:tc>
          <w:tcPr>
            <w:tcW w:w="394" w:type="pct"/>
            <w:shd w:val="clear" w:color="auto" w:fill="FFFFFF"/>
            <w:vAlign w:val="center"/>
          </w:tcPr>
          <w:p w14:paraId="562A92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2.42</w:t>
            </w:r>
          </w:p>
        </w:tc>
        <w:tc>
          <w:tcPr>
            <w:tcW w:w="394" w:type="pct"/>
            <w:shd w:val="clear" w:color="auto" w:fill="FFFFFF"/>
            <w:vAlign w:val="center"/>
          </w:tcPr>
          <w:p w14:paraId="782854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1.41</w:t>
            </w:r>
          </w:p>
        </w:tc>
        <w:tc>
          <w:tcPr>
            <w:tcW w:w="304" w:type="pct"/>
            <w:shd w:val="clear" w:color="auto" w:fill="FFFFFF"/>
            <w:vAlign w:val="center"/>
          </w:tcPr>
          <w:p w14:paraId="5E6A6A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535E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558D22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60F5CF3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综合废气排口DA005进口2（F6）</w:t>
            </w:r>
          </w:p>
        </w:tc>
        <w:tc>
          <w:tcPr>
            <w:tcW w:w="327" w:type="pct"/>
            <w:shd w:val="clear" w:color="auto" w:fill="FFFFFF"/>
            <w:vAlign w:val="center"/>
          </w:tcPr>
          <w:p w14:paraId="1559CED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52ABFB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5251C59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5141275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49777C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30030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3.40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23311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w:t>
            </w:r>
            <w:r>
              <w:rPr>
                <w:rFonts w:hint="eastAsia" w:cs="Times New Roman"/>
                <w:color w:val="auto"/>
                <w:kern w:val="2"/>
                <w:sz w:val="21"/>
                <w:szCs w:val="22"/>
                <w:highlight w:val="none"/>
                <w:lang w:val="en-US" w:eastAsia="zh-CN" w:bidi="ar-SA"/>
              </w:rPr>
              <w:t>1</w:t>
            </w:r>
            <w:r>
              <w:rPr>
                <w:rFonts w:hint="eastAsia" w:ascii="Times New Roman" w:hAnsi="Times New Roman" w:eastAsia="仿宋_GB2312" w:cs="Times New Roman"/>
                <w:color w:val="auto"/>
                <w:kern w:val="2"/>
                <w:sz w:val="21"/>
                <w:szCs w:val="22"/>
                <w:highlight w:val="none"/>
                <w:lang w:val="en-US" w:eastAsia="zh-CN" w:bidi="ar-SA"/>
              </w:rPr>
              <w:t>7×10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43AE7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2.75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0CE15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3.44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044E83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6CB9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B7707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505B13A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综合废气排口DA005进口2（F6）</w:t>
            </w:r>
          </w:p>
        </w:tc>
        <w:tc>
          <w:tcPr>
            <w:tcW w:w="327" w:type="pct"/>
            <w:shd w:val="clear" w:color="auto" w:fill="FFFFFF"/>
            <w:vAlign w:val="center"/>
          </w:tcPr>
          <w:p w14:paraId="136651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CB3C3A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2437E9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79E12A9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CBCD8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987E1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0.436</w:t>
            </w:r>
          </w:p>
        </w:tc>
        <w:tc>
          <w:tcPr>
            <w:tcW w:w="394" w:type="pct"/>
            <w:shd w:val="clear" w:color="auto" w:fill="FFFFFF"/>
            <w:vAlign w:val="center"/>
          </w:tcPr>
          <w:p w14:paraId="6755EE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0.577</w:t>
            </w:r>
          </w:p>
        </w:tc>
        <w:tc>
          <w:tcPr>
            <w:tcW w:w="394" w:type="pct"/>
            <w:shd w:val="clear" w:color="auto" w:fill="FFFFFF"/>
            <w:vAlign w:val="center"/>
          </w:tcPr>
          <w:p w14:paraId="3F1E84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0.394</w:t>
            </w:r>
          </w:p>
        </w:tc>
        <w:tc>
          <w:tcPr>
            <w:tcW w:w="394" w:type="pct"/>
            <w:shd w:val="clear" w:color="auto" w:fill="FFFFFF"/>
            <w:vAlign w:val="center"/>
          </w:tcPr>
          <w:p w14:paraId="5C53CE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0.469</w:t>
            </w:r>
          </w:p>
        </w:tc>
        <w:tc>
          <w:tcPr>
            <w:tcW w:w="304" w:type="pct"/>
            <w:shd w:val="clear" w:color="auto" w:fill="FFFFFF"/>
            <w:vAlign w:val="center"/>
          </w:tcPr>
          <w:p w14:paraId="1965F6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122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D9A60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7F19F80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综合废气排口DA005进口2（F6）</w:t>
            </w:r>
          </w:p>
        </w:tc>
        <w:tc>
          <w:tcPr>
            <w:tcW w:w="327" w:type="pct"/>
            <w:shd w:val="clear" w:color="auto" w:fill="FFFFFF"/>
            <w:vAlign w:val="center"/>
          </w:tcPr>
          <w:p w14:paraId="62DFC7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6A71036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1E467BB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7D9E075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2B88A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05B4D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8.15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463C6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AB0AB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7.68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166FE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9.10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1C865F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1E17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D7800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6ACC71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综合废气排口DA005进口2（F6）</w:t>
            </w:r>
          </w:p>
        </w:tc>
        <w:tc>
          <w:tcPr>
            <w:tcW w:w="327" w:type="pct"/>
            <w:shd w:val="clear" w:color="auto" w:fill="FFFFFF"/>
            <w:vAlign w:val="center"/>
          </w:tcPr>
          <w:p w14:paraId="78644AE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F23E5F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3AED842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13B0BA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0035F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8CD1F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6.46</w:t>
            </w:r>
          </w:p>
        </w:tc>
        <w:tc>
          <w:tcPr>
            <w:tcW w:w="394" w:type="pct"/>
            <w:shd w:val="clear" w:color="auto" w:fill="FFFFFF"/>
            <w:vAlign w:val="center"/>
          </w:tcPr>
          <w:p w14:paraId="12EE8E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6.38</w:t>
            </w:r>
          </w:p>
        </w:tc>
        <w:tc>
          <w:tcPr>
            <w:tcW w:w="394" w:type="pct"/>
            <w:shd w:val="clear" w:color="auto" w:fill="FFFFFF"/>
            <w:vAlign w:val="center"/>
          </w:tcPr>
          <w:p w14:paraId="178E2D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1.95</w:t>
            </w:r>
          </w:p>
        </w:tc>
        <w:tc>
          <w:tcPr>
            <w:tcW w:w="394" w:type="pct"/>
            <w:shd w:val="clear" w:color="auto" w:fill="FFFFFF"/>
            <w:vAlign w:val="center"/>
          </w:tcPr>
          <w:p w14:paraId="3C0B19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4.93</w:t>
            </w:r>
          </w:p>
        </w:tc>
        <w:tc>
          <w:tcPr>
            <w:tcW w:w="304" w:type="pct"/>
            <w:shd w:val="clear" w:color="auto" w:fill="FFFFFF"/>
            <w:vAlign w:val="center"/>
          </w:tcPr>
          <w:p w14:paraId="67C4D7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5813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DDE767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7589F54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综合废气排口DA005进口2（F6）</w:t>
            </w:r>
          </w:p>
        </w:tc>
        <w:tc>
          <w:tcPr>
            <w:tcW w:w="327" w:type="pct"/>
            <w:shd w:val="clear" w:color="auto" w:fill="FFFFFF"/>
            <w:vAlign w:val="center"/>
          </w:tcPr>
          <w:p w14:paraId="77C269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35391A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37A36C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5C31928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3735B5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879AB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735CDF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07365D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3.80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08EC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9.52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1F3E67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53AD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48EF08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1D605CB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07B4432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576F5A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6F379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185BF1A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2E900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2D28D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94" w:type="pct"/>
            <w:shd w:val="clear" w:color="auto" w:fill="FFFFFF"/>
            <w:vAlign w:val="center"/>
          </w:tcPr>
          <w:p w14:paraId="7F6914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94" w:type="pct"/>
            <w:shd w:val="clear" w:color="auto" w:fill="FFFFFF"/>
            <w:vAlign w:val="center"/>
          </w:tcPr>
          <w:p w14:paraId="1D7A97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w:t>
            </w:r>
          </w:p>
        </w:tc>
        <w:tc>
          <w:tcPr>
            <w:tcW w:w="394" w:type="pct"/>
            <w:shd w:val="clear" w:color="auto" w:fill="FFFFFF"/>
            <w:vAlign w:val="center"/>
          </w:tcPr>
          <w:p w14:paraId="16DCFE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04" w:type="pct"/>
            <w:shd w:val="clear" w:color="auto" w:fill="FFFFFF"/>
            <w:vAlign w:val="center"/>
          </w:tcPr>
          <w:p w14:paraId="61751F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20</w:t>
            </w:r>
          </w:p>
        </w:tc>
      </w:tr>
      <w:tr w14:paraId="67D7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0C55F3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4E1D01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74F9C39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099A8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23703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7A528F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49D38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CF995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3BC67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3.53×10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16F11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00F32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3.73×10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66FBEE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p>
        </w:tc>
      </w:tr>
      <w:tr w14:paraId="50DB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419340D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0F3D049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3C1EB99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30D82E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02F97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7F02B58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507BD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18312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0.044</w:t>
            </w:r>
          </w:p>
        </w:tc>
        <w:tc>
          <w:tcPr>
            <w:tcW w:w="394" w:type="pct"/>
            <w:shd w:val="clear" w:color="auto" w:fill="FFFFFF"/>
            <w:vAlign w:val="center"/>
          </w:tcPr>
          <w:p w14:paraId="2A5AAC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0.028</w:t>
            </w:r>
          </w:p>
        </w:tc>
        <w:tc>
          <w:tcPr>
            <w:tcW w:w="394" w:type="pct"/>
            <w:shd w:val="clear" w:color="auto" w:fill="FFFFFF"/>
            <w:vAlign w:val="center"/>
          </w:tcPr>
          <w:p w14:paraId="51F6DF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0.036</w:t>
            </w:r>
          </w:p>
        </w:tc>
        <w:tc>
          <w:tcPr>
            <w:tcW w:w="394" w:type="pct"/>
            <w:shd w:val="clear" w:color="auto" w:fill="FFFFFF"/>
            <w:vAlign w:val="center"/>
          </w:tcPr>
          <w:p w14:paraId="7514A8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0.036</w:t>
            </w:r>
          </w:p>
        </w:tc>
        <w:tc>
          <w:tcPr>
            <w:tcW w:w="304" w:type="pct"/>
            <w:shd w:val="clear" w:color="auto" w:fill="FFFFFF"/>
            <w:vAlign w:val="center"/>
          </w:tcPr>
          <w:p w14:paraId="38CA50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511D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680B32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3EBB60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11802A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71C2D9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035A01A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54736D3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2A29D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7D82E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1.53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296BA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8.97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33709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593B1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76DB42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597F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85A1A9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35970B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1B666C4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54CEAD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36BED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174CC0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ADFDA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3F88B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41D151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6E9A0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7145A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00D706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4006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5855B6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4B2229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179F3A8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5A1CFD7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70A9B2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72EDC56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2F55F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FA00D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9AF5C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569D1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F11D9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49E9F9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6BB4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783D03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DA005</w:t>
            </w:r>
          </w:p>
        </w:tc>
        <w:tc>
          <w:tcPr>
            <w:tcW w:w="917" w:type="pct"/>
            <w:shd w:val="clear" w:color="auto" w:fill="FFFFFF"/>
            <w:vAlign w:val="center"/>
          </w:tcPr>
          <w:p w14:paraId="7C58069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综合废气排口DA005出口（F7）</w:t>
            </w:r>
          </w:p>
        </w:tc>
        <w:tc>
          <w:tcPr>
            <w:tcW w:w="327" w:type="pct"/>
            <w:shd w:val="clear" w:color="auto" w:fill="FFFFFF"/>
            <w:vAlign w:val="center"/>
          </w:tcPr>
          <w:p w14:paraId="4AE468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DBAD8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F79AC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02E4B6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D371F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902D6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0.90</w:t>
            </w:r>
          </w:p>
        </w:tc>
        <w:tc>
          <w:tcPr>
            <w:tcW w:w="394" w:type="pct"/>
            <w:shd w:val="clear" w:color="auto" w:fill="FFFFFF"/>
            <w:vAlign w:val="center"/>
          </w:tcPr>
          <w:p w14:paraId="1F6FF2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0.93</w:t>
            </w:r>
          </w:p>
        </w:tc>
        <w:tc>
          <w:tcPr>
            <w:tcW w:w="394" w:type="pct"/>
            <w:shd w:val="clear" w:color="auto" w:fill="FFFFFF"/>
            <w:vAlign w:val="center"/>
          </w:tcPr>
          <w:p w14:paraId="1CAF6F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0.99</w:t>
            </w:r>
          </w:p>
        </w:tc>
        <w:tc>
          <w:tcPr>
            <w:tcW w:w="394" w:type="pct"/>
            <w:shd w:val="clear" w:color="auto" w:fill="FFFFFF"/>
            <w:vAlign w:val="center"/>
          </w:tcPr>
          <w:p w14:paraId="3E07FA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0.94</w:t>
            </w:r>
          </w:p>
        </w:tc>
        <w:tc>
          <w:tcPr>
            <w:tcW w:w="304" w:type="pct"/>
            <w:shd w:val="clear" w:color="auto" w:fill="FFFFFF"/>
            <w:vAlign w:val="center"/>
          </w:tcPr>
          <w:p w14:paraId="0BF5E1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16BC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13C4B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DA005</w:t>
            </w:r>
          </w:p>
        </w:tc>
        <w:tc>
          <w:tcPr>
            <w:tcW w:w="917" w:type="pct"/>
            <w:shd w:val="clear" w:color="auto" w:fill="FFFFFF"/>
            <w:vAlign w:val="center"/>
          </w:tcPr>
          <w:p w14:paraId="3070EC8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综合废气排口DA005出口（F7）</w:t>
            </w:r>
          </w:p>
        </w:tc>
        <w:tc>
          <w:tcPr>
            <w:tcW w:w="327" w:type="pct"/>
            <w:shd w:val="clear" w:color="auto" w:fill="FFFFFF"/>
            <w:vAlign w:val="center"/>
          </w:tcPr>
          <w:p w14:paraId="17E3F0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3743579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50FF1CB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346BCDF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EC327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D667D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1</w:t>
            </w:r>
            <w:r>
              <w:rPr>
                <w:rFonts w:hint="eastAsia" w:ascii="Times New Roman" w:hAnsi="Times New Roman" w:eastAsia="仿宋_GB2312" w:cs="Times New Roman"/>
                <w:color w:val="auto"/>
                <w:kern w:val="2"/>
                <w:sz w:val="21"/>
                <w:szCs w:val="22"/>
                <w:highlight w:val="none"/>
                <w:lang w:val="en-US" w:eastAsia="zh-CN" w:bidi="ar-SA"/>
              </w:rPr>
              <w:t>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DA19D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2.98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AF923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16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ED093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w:t>
            </w:r>
            <w:r>
              <w:rPr>
                <w:rFonts w:hint="eastAsia" w:cs="Times New Roman"/>
                <w:color w:val="auto"/>
                <w:kern w:val="2"/>
                <w:sz w:val="21"/>
                <w:szCs w:val="22"/>
                <w:highlight w:val="none"/>
                <w:lang w:val="en-US" w:eastAsia="zh-CN" w:bidi="ar-SA"/>
              </w:rPr>
              <w:t>09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026F53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1D37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EFC4D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59AF85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镀铬DA004进口（F8）</w:t>
            </w:r>
          </w:p>
        </w:tc>
        <w:tc>
          <w:tcPr>
            <w:tcW w:w="327" w:type="pct"/>
            <w:shd w:val="clear" w:color="auto" w:fill="FFFFFF"/>
            <w:vAlign w:val="center"/>
          </w:tcPr>
          <w:p w14:paraId="7BD5B25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B6D56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3DD08B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7B650C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0245D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676AC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A8E06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4DD1F0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6E84E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6511CA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9A7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5895C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0337250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镀铬DA004进口（F8）</w:t>
            </w:r>
          </w:p>
        </w:tc>
        <w:tc>
          <w:tcPr>
            <w:tcW w:w="327" w:type="pct"/>
            <w:shd w:val="clear" w:color="auto" w:fill="FFFFFF"/>
            <w:vAlign w:val="center"/>
          </w:tcPr>
          <w:p w14:paraId="23BF09A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B350A2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A6EAE5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5D300E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B91B0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A4B86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EE63F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32371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226BE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008448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399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878623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781214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5356FE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089EBE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2281C6D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6898E3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352F0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F8505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737A7E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4615AD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CEC58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4AC9F8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084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27EE93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3D5FA2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78E5CB8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F83BF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2CCD52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EF8469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6FCDBC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4C61E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1508C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DC738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5B258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3B40B9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0.05</w:t>
            </w:r>
          </w:p>
        </w:tc>
      </w:tr>
      <w:tr w14:paraId="5B9E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03ACC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32A189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554F0CE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32FC4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3C0B74B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D0D06F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E34A1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F502A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16F14F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7CFB3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7070B1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4EB933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CF0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BE70A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1F46746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镀铬DA004进口（F8）</w:t>
            </w:r>
          </w:p>
        </w:tc>
        <w:tc>
          <w:tcPr>
            <w:tcW w:w="327" w:type="pct"/>
            <w:shd w:val="clear" w:color="auto" w:fill="FFFFFF"/>
            <w:vAlign w:val="center"/>
          </w:tcPr>
          <w:p w14:paraId="78B18B3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20C0BC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1363A6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44CF574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4300E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D4F0A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206139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71EDA1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401BD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1970F0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C7F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BF0C8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2DA21F1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镀铬DA004进口（F8）</w:t>
            </w:r>
          </w:p>
        </w:tc>
        <w:tc>
          <w:tcPr>
            <w:tcW w:w="327" w:type="pct"/>
            <w:shd w:val="clear" w:color="auto" w:fill="FFFFFF"/>
            <w:vAlign w:val="center"/>
          </w:tcPr>
          <w:p w14:paraId="56BF17E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FE8EC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AFA15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D6E5CB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B9868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17206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7593AA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384BB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969E3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208A46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5AF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16B1BA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0659A9C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300D620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0209BF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1CF6C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6FEDF26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F6570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027FC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A04A8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4268BF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EDF1F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224918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E2A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D6C6E9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239B2C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53D5B8F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0D2D7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2F6AFB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435D106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2FB763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4BB09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F9078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41FA7B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8C664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64803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0.05</w:t>
            </w:r>
          </w:p>
        </w:tc>
      </w:tr>
      <w:tr w14:paraId="041E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93A811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DA004</w:t>
            </w:r>
          </w:p>
        </w:tc>
        <w:tc>
          <w:tcPr>
            <w:tcW w:w="917" w:type="pct"/>
            <w:shd w:val="clear" w:color="auto" w:fill="FFFFFF"/>
            <w:vAlign w:val="center"/>
          </w:tcPr>
          <w:p w14:paraId="669EFDA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镀铬DA004出口（F9）</w:t>
            </w:r>
          </w:p>
        </w:tc>
        <w:tc>
          <w:tcPr>
            <w:tcW w:w="327" w:type="pct"/>
            <w:shd w:val="clear" w:color="auto" w:fill="FFFFFF"/>
            <w:vAlign w:val="center"/>
          </w:tcPr>
          <w:p w14:paraId="2611B67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E12D0C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BA345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D5F21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9D675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CFF4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1CF3D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C6E7B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67A956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41418A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BD1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BD186E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6948B0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3E439D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07CEC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0C5B2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73F2A10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FB4C1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E7F47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2.6</w:t>
            </w:r>
          </w:p>
        </w:tc>
        <w:tc>
          <w:tcPr>
            <w:tcW w:w="394" w:type="pct"/>
            <w:shd w:val="clear" w:color="auto" w:fill="FFFFFF"/>
            <w:vAlign w:val="center"/>
          </w:tcPr>
          <w:p w14:paraId="58559A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2.2</w:t>
            </w:r>
          </w:p>
        </w:tc>
        <w:tc>
          <w:tcPr>
            <w:tcW w:w="394" w:type="pct"/>
            <w:shd w:val="clear" w:color="auto" w:fill="FFFFFF"/>
            <w:vAlign w:val="center"/>
          </w:tcPr>
          <w:p w14:paraId="220764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2.6</w:t>
            </w:r>
          </w:p>
        </w:tc>
        <w:tc>
          <w:tcPr>
            <w:tcW w:w="394" w:type="pct"/>
            <w:shd w:val="clear" w:color="auto" w:fill="FFFFFF"/>
            <w:vAlign w:val="center"/>
          </w:tcPr>
          <w:p w14:paraId="7347DF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2.5</w:t>
            </w:r>
          </w:p>
        </w:tc>
        <w:tc>
          <w:tcPr>
            <w:tcW w:w="304" w:type="pct"/>
            <w:shd w:val="clear" w:color="auto" w:fill="FFFFFF"/>
            <w:vAlign w:val="center"/>
          </w:tcPr>
          <w:p w14:paraId="0A5CAF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6B4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CED6A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43D48F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50C5030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1BF7FF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32DD9E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6A35D7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6D238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2AE05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2.73×10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12585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A6218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2.73×10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8F74E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2.59×10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19C0BF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CAC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410A23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350930C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1E70E31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321B28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7FE0321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64D52F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022A3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BA834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0.048</w:t>
            </w:r>
          </w:p>
        </w:tc>
        <w:tc>
          <w:tcPr>
            <w:tcW w:w="394" w:type="pct"/>
            <w:shd w:val="clear" w:color="auto" w:fill="FFFFFF"/>
            <w:vAlign w:val="center"/>
          </w:tcPr>
          <w:p w14:paraId="402286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0.051</w:t>
            </w:r>
          </w:p>
        </w:tc>
        <w:tc>
          <w:tcPr>
            <w:tcW w:w="394" w:type="pct"/>
            <w:shd w:val="clear" w:color="auto" w:fill="FFFFFF"/>
            <w:vAlign w:val="center"/>
          </w:tcPr>
          <w:p w14:paraId="335582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0.249</w:t>
            </w:r>
          </w:p>
        </w:tc>
        <w:tc>
          <w:tcPr>
            <w:tcW w:w="394" w:type="pct"/>
            <w:shd w:val="clear" w:color="auto" w:fill="FFFFFF"/>
            <w:vAlign w:val="center"/>
          </w:tcPr>
          <w:p w14:paraId="7B9777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0.116</w:t>
            </w:r>
          </w:p>
        </w:tc>
        <w:tc>
          <w:tcPr>
            <w:tcW w:w="304" w:type="pct"/>
            <w:shd w:val="clear" w:color="auto" w:fill="FFFFFF"/>
            <w:vAlign w:val="center"/>
          </w:tcPr>
          <w:p w14:paraId="32A9BE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A4E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FC25B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50C406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2C46CD7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3B0CFC8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5D45C4A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30A1CC4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7F9A9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61F3B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5.04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39B888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5.34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17FD9E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61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5A98E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74FC26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5FE6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12E0B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135E5A6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12AF6C0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52C8B0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71226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5650C6A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5AD30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0F3B8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2C916F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0.015</w:t>
            </w:r>
          </w:p>
        </w:tc>
        <w:tc>
          <w:tcPr>
            <w:tcW w:w="394" w:type="pct"/>
            <w:shd w:val="clear" w:color="auto" w:fill="FFFFFF"/>
            <w:vAlign w:val="center"/>
          </w:tcPr>
          <w:p w14:paraId="6EE926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0.076</w:t>
            </w:r>
          </w:p>
        </w:tc>
        <w:tc>
          <w:tcPr>
            <w:tcW w:w="394" w:type="pct"/>
            <w:shd w:val="clear" w:color="auto" w:fill="FFFFFF"/>
            <w:vAlign w:val="center"/>
          </w:tcPr>
          <w:p w14:paraId="52E4E6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0.031</w:t>
            </w:r>
          </w:p>
        </w:tc>
        <w:tc>
          <w:tcPr>
            <w:tcW w:w="304" w:type="pct"/>
            <w:shd w:val="clear" w:color="auto" w:fill="FFFFFF"/>
            <w:vAlign w:val="center"/>
          </w:tcPr>
          <w:p w14:paraId="78C30D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1178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9A424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48F1F9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6DDC097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609C05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1133BA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26986C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13476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363EB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DA8DD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1.57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09156A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7.98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453E1A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3.25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04" w:type="pct"/>
            <w:shd w:val="clear" w:color="auto" w:fill="FFFFFF"/>
            <w:vAlign w:val="center"/>
          </w:tcPr>
          <w:p w14:paraId="5664AC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4752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51396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67FA32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4AA57C4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C49BBA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4D748F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6895656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A093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FE2EF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3.90</w:t>
            </w:r>
          </w:p>
        </w:tc>
        <w:tc>
          <w:tcPr>
            <w:tcW w:w="394" w:type="pct"/>
            <w:shd w:val="clear" w:color="auto" w:fill="FFFFFF"/>
            <w:vAlign w:val="center"/>
          </w:tcPr>
          <w:p w14:paraId="506BA6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4.11</w:t>
            </w:r>
          </w:p>
        </w:tc>
        <w:tc>
          <w:tcPr>
            <w:tcW w:w="394" w:type="pct"/>
            <w:shd w:val="clear" w:color="auto" w:fill="FFFFFF"/>
            <w:vAlign w:val="center"/>
          </w:tcPr>
          <w:p w14:paraId="3B3172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4.36</w:t>
            </w:r>
          </w:p>
        </w:tc>
        <w:tc>
          <w:tcPr>
            <w:tcW w:w="394" w:type="pct"/>
            <w:shd w:val="clear" w:color="auto" w:fill="FFFFFF"/>
            <w:vAlign w:val="center"/>
          </w:tcPr>
          <w:p w14:paraId="6BF633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4.12</w:t>
            </w:r>
          </w:p>
        </w:tc>
        <w:tc>
          <w:tcPr>
            <w:tcW w:w="304" w:type="pct"/>
            <w:shd w:val="clear" w:color="auto" w:fill="FFFFFF"/>
            <w:vAlign w:val="center"/>
          </w:tcPr>
          <w:p w14:paraId="2CAB6D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8BB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3B171C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21E572A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642AA48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2A3C209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30A1C09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1F3D8FF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F75E5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83843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4.10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3A913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w:t>
            </w:r>
            <w:r>
              <w:rPr>
                <w:rFonts w:hint="eastAsia" w:ascii="Times New Roman" w:hAnsi="Times New Roman" w:eastAsia="仿宋_GB2312" w:cs="Times New Roman"/>
                <w:color w:val="auto"/>
                <w:kern w:val="2"/>
                <w:sz w:val="21"/>
                <w:szCs w:val="22"/>
                <w:highlight w:val="none"/>
                <w:lang w:val="en-US" w:eastAsia="zh-CN" w:bidi="ar-SA"/>
              </w:rPr>
              <w:t>.30×10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0D97C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4.58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37055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4.33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46860C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F3C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822FE8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114A58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6E925C4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949400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44BE2F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40CAF9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F3183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E9224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w:t>
            </w:r>
          </w:p>
        </w:tc>
        <w:tc>
          <w:tcPr>
            <w:tcW w:w="394" w:type="pct"/>
            <w:shd w:val="clear" w:color="auto" w:fill="FFFFFF"/>
            <w:vAlign w:val="center"/>
          </w:tcPr>
          <w:p w14:paraId="32C3C5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w:t>
            </w:r>
          </w:p>
        </w:tc>
        <w:tc>
          <w:tcPr>
            <w:tcW w:w="394" w:type="pct"/>
            <w:shd w:val="clear" w:color="auto" w:fill="FFFFFF"/>
            <w:vAlign w:val="center"/>
          </w:tcPr>
          <w:p w14:paraId="768B87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1.0</w:t>
            </w:r>
          </w:p>
        </w:tc>
        <w:tc>
          <w:tcPr>
            <w:tcW w:w="394" w:type="pct"/>
            <w:shd w:val="clear" w:color="auto" w:fill="FFFFFF"/>
            <w:vAlign w:val="center"/>
          </w:tcPr>
          <w:p w14:paraId="2363D9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w:t>
            </w:r>
          </w:p>
        </w:tc>
        <w:tc>
          <w:tcPr>
            <w:tcW w:w="304" w:type="pct"/>
            <w:shd w:val="clear" w:color="auto" w:fill="FFFFFF"/>
            <w:vAlign w:val="center"/>
          </w:tcPr>
          <w:p w14:paraId="692A66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20</w:t>
            </w:r>
          </w:p>
        </w:tc>
      </w:tr>
      <w:tr w14:paraId="1DAC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79D71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6F1C19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11A9625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6D2D12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61D91DC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04DE5FF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49960B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75B90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6CA21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1.37×10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E52CB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B36E9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1.24×10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3230E7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p>
        </w:tc>
      </w:tr>
      <w:tr w14:paraId="1119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5B23D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5F8363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10FD7C9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09D6B56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48BFD4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1EF89D5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5C5C15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2C5D0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0.017</w:t>
            </w:r>
          </w:p>
        </w:tc>
        <w:tc>
          <w:tcPr>
            <w:tcW w:w="394" w:type="pct"/>
            <w:shd w:val="clear" w:color="auto" w:fill="FFFFFF"/>
            <w:vAlign w:val="center"/>
          </w:tcPr>
          <w:p w14:paraId="26CDC3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0.018</w:t>
            </w:r>
          </w:p>
        </w:tc>
        <w:tc>
          <w:tcPr>
            <w:tcW w:w="394" w:type="pct"/>
            <w:shd w:val="clear" w:color="auto" w:fill="FFFFFF"/>
            <w:vAlign w:val="center"/>
          </w:tcPr>
          <w:p w14:paraId="238A4D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0.030</w:t>
            </w:r>
          </w:p>
        </w:tc>
        <w:tc>
          <w:tcPr>
            <w:tcW w:w="394" w:type="pct"/>
            <w:shd w:val="clear" w:color="auto" w:fill="FFFFFF"/>
            <w:vAlign w:val="center"/>
          </w:tcPr>
          <w:p w14:paraId="19FB22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0.022</w:t>
            </w:r>
          </w:p>
        </w:tc>
        <w:tc>
          <w:tcPr>
            <w:tcW w:w="304" w:type="pct"/>
            <w:shd w:val="clear" w:color="auto" w:fill="FFFFFF"/>
            <w:vAlign w:val="center"/>
          </w:tcPr>
          <w:p w14:paraId="41B68F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4222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CD404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70A1B5F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37874F4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39416C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66BE6CE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405A5F1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57D7B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A54E3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11BC16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1.89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05CDD9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3.42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43535B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2.26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04" w:type="pct"/>
            <w:shd w:val="clear" w:color="auto" w:fill="FFFFFF"/>
            <w:vAlign w:val="center"/>
          </w:tcPr>
          <w:p w14:paraId="31BAAB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00ED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680482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3F05C0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3725590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4F48CF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31555D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26B7713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5173CF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65201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120FB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F523F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B7C23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04" w:type="pct"/>
            <w:shd w:val="clear" w:color="auto" w:fill="FFFFFF"/>
            <w:vAlign w:val="center"/>
          </w:tcPr>
          <w:p w14:paraId="049EA4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4F0A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A9B9B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34410F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0E13D2B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366D4A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4559DB2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7C7BE7B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0680E5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F8086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74DFC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141B7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0E01C9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27B74F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6BD8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147EF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0216B50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144687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36F8AB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2025-07-14</w:t>
            </w:r>
          </w:p>
        </w:tc>
        <w:tc>
          <w:tcPr>
            <w:tcW w:w="363" w:type="pct"/>
            <w:shd w:val="clear" w:color="auto" w:fill="FFFFFF"/>
            <w:vAlign w:val="center"/>
          </w:tcPr>
          <w:p w14:paraId="507C15F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28FC3C3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排放浓度</w:t>
            </w:r>
          </w:p>
        </w:tc>
        <w:tc>
          <w:tcPr>
            <w:tcW w:w="304" w:type="pct"/>
            <w:shd w:val="clear" w:color="auto" w:fill="FFFFFF"/>
            <w:vAlign w:val="center"/>
          </w:tcPr>
          <w:p w14:paraId="153A70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23ABA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1.98</w:t>
            </w:r>
          </w:p>
        </w:tc>
        <w:tc>
          <w:tcPr>
            <w:tcW w:w="394" w:type="pct"/>
            <w:shd w:val="clear" w:color="auto" w:fill="FFFFFF"/>
            <w:vAlign w:val="center"/>
          </w:tcPr>
          <w:p w14:paraId="3F6255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1.92</w:t>
            </w:r>
          </w:p>
        </w:tc>
        <w:tc>
          <w:tcPr>
            <w:tcW w:w="394" w:type="pct"/>
            <w:shd w:val="clear" w:color="auto" w:fill="FFFFFF"/>
            <w:vAlign w:val="center"/>
          </w:tcPr>
          <w:p w14:paraId="52EAE7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1.45</w:t>
            </w:r>
          </w:p>
        </w:tc>
        <w:tc>
          <w:tcPr>
            <w:tcW w:w="394" w:type="pct"/>
            <w:shd w:val="clear" w:color="auto" w:fill="FFFFFF"/>
            <w:vAlign w:val="center"/>
          </w:tcPr>
          <w:p w14:paraId="57B1E5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1.78</w:t>
            </w:r>
          </w:p>
        </w:tc>
        <w:tc>
          <w:tcPr>
            <w:tcW w:w="304" w:type="pct"/>
            <w:shd w:val="clear" w:color="auto" w:fill="FFFFFF"/>
            <w:vAlign w:val="center"/>
          </w:tcPr>
          <w:p w14:paraId="37BF75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5EE3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FD65B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6EE8669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53553A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28ABFB2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2025-07-14</w:t>
            </w:r>
          </w:p>
        </w:tc>
        <w:tc>
          <w:tcPr>
            <w:tcW w:w="363" w:type="pct"/>
            <w:shd w:val="clear" w:color="auto" w:fill="FFFFFF"/>
            <w:vAlign w:val="center"/>
          </w:tcPr>
          <w:p w14:paraId="1C1154A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0F63C93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3EAC6F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29E03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r>
              <w:rPr>
                <w:rFonts w:hint="eastAsia" w:cs="Times New Roman"/>
                <w:color w:val="auto"/>
                <w:kern w:val="2"/>
                <w:sz w:val="21"/>
                <w:szCs w:val="22"/>
                <w:highlight w:val="none"/>
                <w:lang w:val="en-US" w:eastAsia="zh-CN" w:bidi="ar-SA"/>
              </w:rPr>
              <w:t>7</w:t>
            </w:r>
            <w:r>
              <w:rPr>
                <w:rFonts w:hint="eastAsia" w:ascii="Times New Roman" w:hAnsi="Times New Roman" w:eastAsia="仿宋_GB2312" w:cs="Times New Roman"/>
                <w:color w:val="auto"/>
                <w:kern w:val="2"/>
                <w:sz w:val="21"/>
                <w:szCs w:val="22"/>
                <w:highlight w:val="none"/>
                <w:lang w:val="en-US" w:eastAsia="zh-CN" w:bidi="ar-SA"/>
              </w:rPr>
              <w:t>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EE01C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2.02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32979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r>
              <w:rPr>
                <w:rFonts w:hint="eastAsia" w:cs="Times New Roman"/>
                <w:color w:val="auto"/>
                <w:kern w:val="2"/>
                <w:sz w:val="21"/>
                <w:szCs w:val="22"/>
                <w:highlight w:val="none"/>
                <w:lang w:val="en-US" w:eastAsia="zh-CN" w:bidi="ar-SA"/>
              </w:rPr>
              <w:t>65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57856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r>
              <w:rPr>
                <w:rFonts w:hint="eastAsia" w:cs="Times New Roman"/>
                <w:color w:val="auto"/>
                <w:kern w:val="2"/>
                <w:sz w:val="21"/>
                <w:szCs w:val="22"/>
                <w:highlight w:val="none"/>
                <w:lang w:val="en-US" w:eastAsia="zh-CN" w:bidi="ar-SA"/>
              </w:rPr>
              <w:t>79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0DD6FF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06DD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3E920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35B6F8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209D7B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362A72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7EA6F1B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37D933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0BB27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1AAFA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w:t>
            </w:r>
          </w:p>
        </w:tc>
        <w:tc>
          <w:tcPr>
            <w:tcW w:w="394" w:type="pct"/>
            <w:shd w:val="clear" w:color="auto" w:fill="FFFFFF"/>
            <w:vAlign w:val="center"/>
          </w:tcPr>
          <w:p w14:paraId="227CAB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w:t>
            </w:r>
          </w:p>
        </w:tc>
        <w:tc>
          <w:tcPr>
            <w:tcW w:w="394" w:type="pct"/>
            <w:shd w:val="clear" w:color="auto" w:fill="FFFFFF"/>
            <w:vAlign w:val="center"/>
          </w:tcPr>
          <w:p w14:paraId="18DD2C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w:t>
            </w:r>
          </w:p>
        </w:tc>
        <w:tc>
          <w:tcPr>
            <w:tcW w:w="394" w:type="pct"/>
            <w:shd w:val="clear" w:color="auto" w:fill="FFFFFF"/>
            <w:vAlign w:val="center"/>
          </w:tcPr>
          <w:p w14:paraId="78B307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w:t>
            </w:r>
          </w:p>
        </w:tc>
        <w:tc>
          <w:tcPr>
            <w:tcW w:w="304" w:type="pct"/>
            <w:shd w:val="clear" w:color="auto" w:fill="FFFFFF"/>
            <w:vAlign w:val="center"/>
          </w:tcPr>
          <w:p w14:paraId="16E9D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860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08C9FA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28D13B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00F614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B64EE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CB0E5D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456A7D0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CE864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6C29E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19047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2.39×10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A4787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2.50×10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EF46A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2.42×10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4A0A39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89A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01F250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50D95C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34F256C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E4EBC6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011CA0C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221B7BF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C58D6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EDFDD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1.35</w:t>
            </w:r>
          </w:p>
        </w:tc>
        <w:tc>
          <w:tcPr>
            <w:tcW w:w="394" w:type="pct"/>
            <w:shd w:val="clear" w:color="auto" w:fill="FFFFFF"/>
            <w:vAlign w:val="center"/>
          </w:tcPr>
          <w:p w14:paraId="31F320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3.11</w:t>
            </w:r>
          </w:p>
        </w:tc>
        <w:tc>
          <w:tcPr>
            <w:tcW w:w="394" w:type="pct"/>
            <w:shd w:val="clear" w:color="auto" w:fill="FFFFFF"/>
            <w:vAlign w:val="center"/>
          </w:tcPr>
          <w:p w14:paraId="55184A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2.75</w:t>
            </w:r>
          </w:p>
        </w:tc>
        <w:tc>
          <w:tcPr>
            <w:tcW w:w="394" w:type="pct"/>
            <w:shd w:val="clear" w:color="auto" w:fill="FFFFFF"/>
            <w:vAlign w:val="center"/>
          </w:tcPr>
          <w:p w14:paraId="327BED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2.40</w:t>
            </w:r>
          </w:p>
        </w:tc>
        <w:tc>
          <w:tcPr>
            <w:tcW w:w="304" w:type="pct"/>
            <w:shd w:val="clear" w:color="auto" w:fill="FFFFFF"/>
            <w:vAlign w:val="center"/>
          </w:tcPr>
          <w:p w14:paraId="1483A0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0965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8E1BE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67B998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32281B1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470568E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421CBE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2EA1E2C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C2054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5D6D7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25011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3.23</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03B6B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86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77793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50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51138D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14EF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58BF2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27C5B6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14B005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0427F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F07B6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0BE5AD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1E4CE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40F9F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0.377</w:t>
            </w:r>
          </w:p>
        </w:tc>
        <w:tc>
          <w:tcPr>
            <w:tcW w:w="394" w:type="pct"/>
            <w:shd w:val="clear" w:color="auto" w:fill="FFFFFF"/>
            <w:vAlign w:val="center"/>
          </w:tcPr>
          <w:p w14:paraId="353B70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0.874</w:t>
            </w:r>
          </w:p>
        </w:tc>
        <w:tc>
          <w:tcPr>
            <w:tcW w:w="394" w:type="pct"/>
            <w:shd w:val="clear" w:color="auto" w:fill="FFFFFF"/>
            <w:vAlign w:val="center"/>
          </w:tcPr>
          <w:p w14:paraId="284E98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0.847</w:t>
            </w:r>
          </w:p>
        </w:tc>
        <w:tc>
          <w:tcPr>
            <w:tcW w:w="394" w:type="pct"/>
            <w:shd w:val="clear" w:color="auto" w:fill="FFFFFF"/>
            <w:vAlign w:val="center"/>
          </w:tcPr>
          <w:p w14:paraId="033DFA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0.699</w:t>
            </w:r>
          </w:p>
        </w:tc>
        <w:tc>
          <w:tcPr>
            <w:tcW w:w="304" w:type="pct"/>
            <w:shd w:val="clear" w:color="auto" w:fill="FFFFFF"/>
            <w:vAlign w:val="center"/>
          </w:tcPr>
          <w:p w14:paraId="6EE2AD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25A2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341BC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5730A12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1849BA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397BA4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53687BF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05A7252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0086DC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EEFF8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3.90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DD9A6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9.08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4BC97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8.81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8A9D8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7.26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26925A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6137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B45024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7C199F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综合废气排口DA003进口（F10）</w:t>
            </w:r>
          </w:p>
        </w:tc>
        <w:tc>
          <w:tcPr>
            <w:tcW w:w="327" w:type="pct"/>
            <w:shd w:val="clear" w:color="auto" w:fill="FFFFFF"/>
            <w:vAlign w:val="center"/>
          </w:tcPr>
          <w:p w14:paraId="25B9EAE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1A27C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48DB4B3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639E8B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38ACD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DD443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2.37</w:t>
            </w:r>
          </w:p>
        </w:tc>
        <w:tc>
          <w:tcPr>
            <w:tcW w:w="394" w:type="pct"/>
            <w:shd w:val="clear" w:color="auto" w:fill="FFFFFF"/>
            <w:vAlign w:val="center"/>
          </w:tcPr>
          <w:p w14:paraId="08E0C3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2.10</w:t>
            </w:r>
          </w:p>
        </w:tc>
        <w:tc>
          <w:tcPr>
            <w:tcW w:w="394" w:type="pct"/>
            <w:shd w:val="clear" w:color="auto" w:fill="FFFFFF"/>
            <w:vAlign w:val="center"/>
          </w:tcPr>
          <w:p w14:paraId="7AD9A9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1.62</w:t>
            </w:r>
          </w:p>
        </w:tc>
        <w:tc>
          <w:tcPr>
            <w:tcW w:w="394" w:type="pct"/>
            <w:shd w:val="clear" w:color="auto" w:fill="FFFFFF"/>
            <w:vAlign w:val="center"/>
          </w:tcPr>
          <w:p w14:paraId="4744BE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2.03</w:t>
            </w:r>
          </w:p>
        </w:tc>
        <w:tc>
          <w:tcPr>
            <w:tcW w:w="304" w:type="pct"/>
            <w:shd w:val="clear" w:color="auto" w:fill="FFFFFF"/>
            <w:vAlign w:val="center"/>
          </w:tcPr>
          <w:p w14:paraId="33BDD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3ECB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71036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6BDFAD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综合废气排口DA003进口（F10）</w:t>
            </w:r>
          </w:p>
        </w:tc>
        <w:tc>
          <w:tcPr>
            <w:tcW w:w="327" w:type="pct"/>
            <w:shd w:val="clear" w:color="auto" w:fill="FFFFFF"/>
            <w:vAlign w:val="center"/>
          </w:tcPr>
          <w:p w14:paraId="47D21E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0A28F0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667E46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6866174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5C6267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D7A6F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F7784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59826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1.68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9DB50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11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7BE97B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p>
        </w:tc>
      </w:tr>
      <w:tr w14:paraId="54E9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6935CC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763F9CE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4E51768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0D005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3964D67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25A365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B3E19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6CF4F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w:t>
            </w:r>
          </w:p>
        </w:tc>
        <w:tc>
          <w:tcPr>
            <w:tcW w:w="394" w:type="pct"/>
            <w:shd w:val="clear" w:color="auto" w:fill="FFFFFF"/>
            <w:vAlign w:val="center"/>
          </w:tcPr>
          <w:p w14:paraId="5CE9A3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w:t>
            </w:r>
          </w:p>
        </w:tc>
        <w:tc>
          <w:tcPr>
            <w:tcW w:w="394" w:type="pct"/>
            <w:shd w:val="clear" w:color="auto" w:fill="FFFFFF"/>
            <w:vAlign w:val="center"/>
          </w:tcPr>
          <w:p w14:paraId="45807B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w:t>
            </w:r>
          </w:p>
        </w:tc>
        <w:tc>
          <w:tcPr>
            <w:tcW w:w="394" w:type="pct"/>
            <w:shd w:val="clear" w:color="auto" w:fill="FFFFFF"/>
            <w:vAlign w:val="center"/>
          </w:tcPr>
          <w:p w14:paraId="1B586C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w:t>
            </w:r>
          </w:p>
        </w:tc>
        <w:tc>
          <w:tcPr>
            <w:tcW w:w="304" w:type="pct"/>
            <w:shd w:val="clear" w:color="auto" w:fill="FFFFFF"/>
            <w:vAlign w:val="center"/>
          </w:tcPr>
          <w:p w14:paraId="53BF9F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20</w:t>
            </w:r>
          </w:p>
        </w:tc>
      </w:tr>
      <w:tr w14:paraId="5B2C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1F0A8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2750161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3A66B1F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0282AE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6425623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颗粒物</w:t>
            </w:r>
          </w:p>
        </w:tc>
        <w:tc>
          <w:tcPr>
            <w:tcW w:w="478" w:type="pct"/>
            <w:shd w:val="clear" w:color="auto" w:fill="FFFFFF"/>
            <w:vAlign w:val="center"/>
          </w:tcPr>
          <w:p w14:paraId="63EF7C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A9B48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84AB3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1.27×10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742F5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484B8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1.16×10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4FA91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3F3995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w:t>
            </w:r>
          </w:p>
        </w:tc>
      </w:tr>
      <w:tr w14:paraId="20D4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5E6D1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6DB56A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6F39F93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52219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ACE9A8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对/间二甲苯</w:t>
            </w:r>
          </w:p>
        </w:tc>
        <w:tc>
          <w:tcPr>
            <w:tcW w:w="478" w:type="pct"/>
            <w:shd w:val="clear" w:color="auto" w:fill="FFFFFF"/>
            <w:vAlign w:val="center"/>
          </w:tcPr>
          <w:p w14:paraId="286A16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E3CE8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D3BF0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0.041</w:t>
            </w:r>
          </w:p>
        </w:tc>
        <w:tc>
          <w:tcPr>
            <w:tcW w:w="394" w:type="pct"/>
            <w:shd w:val="clear" w:color="auto" w:fill="FFFFFF"/>
            <w:vAlign w:val="center"/>
          </w:tcPr>
          <w:p w14:paraId="006277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0.145</w:t>
            </w:r>
          </w:p>
        </w:tc>
        <w:tc>
          <w:tcPr>
            <w:tcW w:w="394" w:type="pct"/>
            <w:shd w:val="clear" w:color="auto" w:fill="FFFFFF"/>
            <w:vAlign w:val="center"/>
          </w:tcPr>
          <w:p w14:paraId="29C115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0.040</w:t>
            </w:r>
          </w:p>
        </w:tc>
        <w:tc>
          <w:tcPr>
            <w:tcW w:w="394" w:type="pct"/>
            <w:shd w:val="clear" w:color="auto" w:fill="FFFFFF"/>
            <w:vAlign w:val="center"/>
          </w:tcPr>
          <w:p w14:paraId="2467E8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0.075</w:t>
            </w:r>
          </w:p>
        </w:tc>
        <w:tc>
          <w:tcPr>
            <w:tcW w:w="304" w:type="pct"/>
            <w:shd w:val="clear" w:color="auto" w:fill="FFFFFF"/>
            <w:vAlign w:val="center"/>
          </w:tcPr>
          <w:p w14:paraId="4CBFBD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3CB2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4CFF23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0B3E373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2C5D46A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325926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12CFB8D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对/间二甲苯</w:t>
            </w:r>
          </w:p>
        </w:tc>
        <w:tc>
          <w:tcPr>
            <w:tcW w:w="478" w:type="pct"/>
            <w:shd w:val="clear" w:color="auto" w:fill="FFFFFF"/>
            <w:vAlign w:val="center"/>
          </w:tcPr>
          <w:p w14:paraId="7DB7650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C3FB9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350F2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2.45</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971D0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42352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1.68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CA9DD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11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66A11D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5CBD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6B8A23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582931F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44E925E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7FA536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5702185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邻二甲苯</w:t>
            </w:r>
          </w:p>
        </w:tc>
        <w:tc>
          <w:tcPr>
            <w:tcW w:w="478" w:type="pct"/>
            <w:shd w:val="clear" w:color="auto" w:fill="FFFFFF"/>
            <w:vAlign w:val="center"/>
          </w:tcPr>
          <w:p w14:paraId="32313CB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06258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74D20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5A5C46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0.028</w:t>
            </w:r>
          </w:p>
        </w:tc>
        <w:tc>
          <w:tcPr>
            <w:tcW w:w="394" w:type="pct"/>
            <w:shd w:val="clear" w:color="auto" w:fill="FFFFFF"/>
            <w:vAlign w:val="center"/>
          </w:tcPr>
          <w:p w14:paraId="086CD7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ND</w:t>
            </w:r>
          </w:p>
        </w:tc>
        <w:tc>
          <w:tcPr>
            <w:tcW w:w="394" w:type="pct"/>
            <w:shd w:val="clear" w:color="auto" w:fill="FFFFFF"/>
            <w:vAlign w:val="center"/>
          </w:tcPr>
          <w:p w14:paraId="13CA6B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0.011</w:t>
            </w:r>
          </w:p>
        </w:tc>
        <w:tc>
          <w:tcPr>
            <w:tcW w:w="304" w:type="pct"/>
            <w:shd w:val="clear" w:color="auto" w:fill="FFFFFF"/>
            <w:vAlign w:val="center"/>
          </w:tcPr>
          <w:p w14:paraId="5AEBE6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6D18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0E0E0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644A66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7D0E93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0CF4308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153B0B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邻二甲苯</w:t>
            </w:r>
          </w:p>
        </w:tc>
        <w:tc>
          <w:tcPr>
            <w:tcW w:w="478" w:type="pct"/>
            <w:shd w:val="clear" w:color="auto" w:fill="FFFFFF"/>
            <w:vAlign w:val="center"/>
          </w:tcPr>
          <w:p w14:paraId="0F175C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3943E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1B604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2C9DE4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3.18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94" w:type="pct"/>
            <w:shd w:val="clear" w:color="auto" w:fill="FFFFFF"/>
            <w:vAlign w:val="center"/>
          </w:tcPr>
          <w:p w14:paraId="52AC69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0BD02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5</w:t>
            </w:r>
          </w:p>
        </w:tc>
        <w:tc>
          <w:tcPr>
            <w:tcW w:w="304" w:type="pct"/>
            <w:shd w:val="clear" w:color="auto" w:fill="FFFFFF"/>
            <w:vAlign w:val="center"/>
          </w:tcPr>
          <w:p w14:paraId="49607A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0.72</w:t>
            </w:r>
          </w:p>
        </w:tc>
      </w:tr>
      <w:tr w14:paraId="3778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A2F6D4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DA003</w:t>
            </w:r>
          </w:p>
        </w:tc>
        <w:tc>
          <w:tcPr>
            <w:tcW w:w="917" w:type="pct"/>
            <w:shd w:val="clear" w:color="auto" w:fill="FFFFFF"/>
            <w:vAlign w:val="center"/>
          </w:tcPr>
          <w:p w14:paraId="0F1BCC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综合废气排口DA003出口（F11）</w:t>
            </w:r>
          </w:p>
        </w:tc>
        <w:tc>
          <w:tcPr>
            <w:tcW w:w="327" w:type="pct"/>
            <w:shd w:val="clear" w:color="auto" w:fill="FFFFFF"/>
            <w:vAlign w:val="center"/>
          </w:tcPr>
          <w:p w14:paraId="46E73E7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FC88B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2025-07-15</w:t>
            </w:r>
          </w:p>
        </w:tc>
        <w:tc>
          <w:tcPr>
            <w:tcW w:w="363" w:type="pct"/>
            <w:shd w:val="clear" w:color="auto" w:fill="FFFFFF"/>
            <w:vAlign w:val="center"/>
          </w:tcPr>
          <w:p w14:paraId="1022A5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259E88D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BE55C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7D075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1.02</w:t>
            </w:r>
          </w:p>
        </w:tc>
        <w:tc>
          <w:tcPr>
            <w:tcW w:w="394" w:type="pct"/>
            <w:shd w:val="clear" w:color="auto" w:fill="FFFFFF"/>
            <w:vAlign w:val="center"/>
          </w:tcPr>
          <w:p w14:paraId="3DD248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1.12</w:t>
            </w:r>
          </w:p>
        </w:tc>
        <w:tc>
          <w:tcPr>
            <w:tcW w:w="394" w:type="pct"/>
            <w:shd w:val="clear" w:color="auto" w:fill="FFFFFF"/>
            <w:vAlign w:val="center"/>
          </w:tcPr>
          <w:p w14:paraId="4F0AA0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1.06</w:t>
            </w:r>
          </w:p>
        </w:tc>
        <w:tc>
          <w:tcPr>
            <w:tcW w:w="394" w:type="pct"/>
            <w:shd w:val="clear" w:color="auto" w:fill="FFFFFF"/>
            <w:vAlign w:val="center"/>
          </w:tcPr>
          <w:p w14:paraId="547C3B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1.07</w:t>
            </w:r>
          </w:p>
        </w:tc>
        <w:tc>
          <w:tcPr>
            <w:tcW w:w="304" w:type="pct"/>
            <w:shd w:val="clear" w:color="auto" w:fill="FFFFFF"/>
            <w:vAlign w:val="center"/>
          </w:tcPr>
          <w:p w14:paraId="110063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19F6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6F61157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DA003</w:t>
            </w:r>
          </w:p>
        </w:tc>
        <w:tc>
          <w:tcPr>
            <w:tcW w:w="917" w:type="pct"/>
            <w:shd w:val="clear" w:color="auto" w:fill="FFFFFF"/>
            <w:vAlign w:val="center"/>
          </w:tcPr>
          <w:p w14:paraId="07B184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综合废气排口DA003出口（F11）</w:t>
            </w:r>
          </w:p>
        </w:tc>
        <w:tc>
          <w:tcPr>
            <w:tcW w:w="327" w:type="pct"/>
            <w:shd w:val="clear" w:color="auto" w:fill="FFFFFF"/>
            <w:vAlign w:val="center"/>
          </w:tcPr>
          <w:p w14:paraId="1949AD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5B9851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2025-07-15</w:t>
            </w:r>
          </w:p>
        </w:tc>
        <w:tc>
          <w:tcPr>
            <w:tcW w:w="363" w:type="pct"/>
            <w:shd w:val="clear" w:color="auto" w:fill="FFFFFF"/>
            <w:vAlign w:val="center"/>
          </w:tcPr>
          <w:p w14:paraId="23A8B21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6505132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F2D77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6D6CF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1.08</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A4CA4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1.27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A0CB7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409DD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1.16</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5AD9BA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5A6A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EF8159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30BCD31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11F36AE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CB764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54A69D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29ECC2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C9A00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8C096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0.76</w:t>
            </w:r>
          </w:p>
        </w:tc>
        <w:tc>
          <w:tcPr>
            <w:tcW w:w="394" w:type="pct"/>
            <w:shd w:val="clear" w:color="auto" w:fill="FFFFFF"/>
            <w:vAlign w:val="center"/>
          </w:tcPr>
          <w:p w14:paraId="3D2237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0.80</w:t>
            </w:r>
          </w:p>
        </w:tc>
        <w:tc>
          <w:tcPr>
            <w:tcW w:w="394" w:type="pct"/>
            <w:shd w:val="clear" w:color="auto" w:fill="FFFFFF"/>
            <w:vAlign w:val="center"/>
          </w:tcPr>
          <w:p w14:paraId="670499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0.90</w:t>
            </w:r>
          </w:p>
        </w:tc>
        <w:tc>
          <w:tcPr>
            <w:tcW w:w="394" w:type="pct"/>
            <w:shd w:val="clear" w:color="auto" w:fill="FFFFFF"/>
            <w:vAlign w:val="center"/>
          </w:tcPr>
          <w:p w14:paraId="45EF3F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0.82</w:t>
            </w:r>
          </w:p>
        </w:tc>
        <w:tc>
          <w:tcPr>
            <w:tcW w:w="304" w:type="pct"/>
            <w:shd w:val="clear" w:color="auto" w:fill="FFFFFF"/>
            <w:vAlign w:val="center"/>
          </w:tcPr>
          <w:p w14:paraId="4E31A5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D16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C20A8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242A7CA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41A3CC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3DE50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57D3DB3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5CCE58F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8CCE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E70B2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6.54×10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47D68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3FDD0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6.87×10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B670A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6.55×10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6D0D02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61D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6EE66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75BE1B4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22C4CF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12F140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BE4778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29043AE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E8455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8FDBA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0.29</w:t>
            </w:r>
          </w:p>
        </w:tc>
        <w:tc>
          <w:tcPr>
            <w:tcW w:w="394" w:type="pct"/>
            <w:shd w:val="clear" w:color="auto" w:fill="FFFFFF"/>
            <w:vAlign w:val="center"/>
          </w:tcPr>
          <w:p w14:paraId="3846AC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0.41</w:t>
            </w:r>
          </w:p>
        </w:tc>
        <w:tc>
          <w:tcPr>
            <w:tcW w:w="394" w:type="pct"/>
            <w:shd w:val="clear" w:color="auto" w:fill="FFFFFF"/>
            <w:vAlign w:val="center"/>
          </w:tcPr>
          <w:p w14:paraId="062C61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0.41</w:t>
            </w:r>
          </w:p>
        </w:tc>
        <w:tc>
          <w:tcPr>
            <w:tcW w:w="394" w:type="pct"/>
            <w:shd w:val="clear" w:color="auto" w:fill="FFFFFF"/>
            <w:vAlign w:val="center"/>
          </w:tcPr>
          <w:p w14:paraId="7A232D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0.37</w:t>
            </w:r>
          </w:p>
        </w:tc>
        <w:tc>
          <w:tcPr>
            <w:tcW w:w="304" w:type="pct"/>
            <w:shd w:val="clear" w:color="auto" w:fill="FFFFFF"/>
            <w:vAlign w:val="center"/>
          </w:tcPr>
          <w:p w14:paraId="28D5A0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1C1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CF62E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4CF7A05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23C614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35C6C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9B7646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7DE3C11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6016F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71E3D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2.49×10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F9EB6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3.20×10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D2BD5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3.13×10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F8F2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2.94×10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075F55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1E6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05D7AE8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4D1713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7758E6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6F597F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018B86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59BA98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57EFB0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FF134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0.57</w:t>
            </w:r>
          </w:p>
        </w:tc>
        <w:tc>
          <w:tcPr>
            <w:tcW w:w="394" w:type="pct"/>
            <w:shd w:val="clear" w:color="auto" w:fill="FFFFFF"/>
            <w:vAlign w:val="center"/>
          </w:tcPr>
          <w:p w14:paraId="41DECF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0.50</w:t>
            </w:r>
          </w:p>
        </w:tc>
        <w:tc>
          <w:tcPr>
            <w:tcW w:w="394" w:type="pct"/>
            <w:shd w:val="clear" w:color="auto" w:fill="FFFFFF"/>
            <w:vAlign w:val="center"/>
          </w:tcPr>
          <w:p w14:paraId="10FC84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0.54</w:t>
            </w:r>
          </w:p>
        </w:tc>
        <w:tc>
          <w:tcPr>
            <w:tcW w:w="394" w:type="pct"/>
            <w:shd w:val="clear" w:color="auto" w:fill="FFFFFF"/>
            <w:vAlign w:val="center"/>
          </w:tcPr>
          <w:p w14:paraId="09DC7A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0.54</w:t>
            </w:r>
          </w:p>
        </w:tc>
        <w:tc>
          <w:tcPr>
            <w:tcW w:w="304" w:type="pct"/>
            <w:shd w:val="clear" w:color="auto" w:fill="FFFFFF"/>
            <w:vAlign w:val="center"/>
          </w:tcPr>
          <w:p w14:paraId="0160EE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6E6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6230734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4817BA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5021A37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16A0C4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2D6256D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5C25A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2EF4D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7A78A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1.43</w:t>
            </w:r>
          </w:p>
        </w:tc>
        <w:tc>
          <w:tcPr>
            <w:tcW w:w="394" w:type="pct"/>
            <w:shd w:val="clear" w:color="auto" w:fill="FFFFFF"/>
            <w:vAlign w:val="center"/>
          </w:tcPr>
          <w:p w14:paraId="2B3C30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1.26</w:t>
            </w:r>
          </w:p>
        </w:tc>
        <w:tc>
          <w:tcPr>
            <w:tcW w:w="394" w:type="pct"/>
            <w:shd w:val="clear" w:color="auto" w:fill="FFFFFF"/>
            <w:vAlign w:val="center"/>
          </w:tcPr>
          <w:p w14:paraId="69ECD7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1.36</w:t>
            </w:r>
          </w:p>
        </w:tc>
        <w:tc>
          <w:tcPr>
            <w:tcW w:w="394" w:type="pct"/>
            <w:shd w:val="clear" w:color="auto" w:fill="FFFFFF"/>
            <w:vAlign w:val="center"/>
          </w:tcPr>
          <w:p w14:paraId="2D77A8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1.35</w:t>
            </w:r>
          </w:p>
        </w:tc>
        <w:tc>
          <w:tcPr>
            <w:tcW w:w="304" w:type="pct"/>
            <w:shd w:val="clear" w:color="auto" w:fill="FFFFFF"/>
            <w:vAlign w:val="center"/>
          </w:tcPr>
          <w:p w14:paraId="364E2C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62B7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4EC545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118752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0522017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E7F22E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57D282C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520C036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A35F3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CB71B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4.34×10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4C228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3.81×10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825AE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4721D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4.09×10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71E720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B05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534EF2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5F8B13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09D4442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040931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7550C0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761D5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B0011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46CC8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0.22</w:t>
            </w:r>
          </w:p>
        </w:tc>
        <w:tc>
          <w:tcPr>
            <w:tcW w:w="394" w:type="pct"/>
            <w:shd w:val="clear" w:color="auto" w:fill="FFFFFF"/>
            <w:vAlign w:val="center"/>
          </w:tcPr>
          <w:p w14:paraId="04AB41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6858A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0.21</w:t>
            </w:r>
          </w:p>
        </w:tc>
        <w:tc>
          <w:tcPr>
            <w:tcW w:w="394" w:type="pct"/>
            <w:shd w:val="clear" w:color="auto" w:fill="FFFFFF"/>
            <w:vAlign w:val="center"/>
          </w:tcPr>
          <w:p w14:paraId="637A7E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125800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3A3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B9F8D9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59654FD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733D1BA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E669E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1D4F4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7B78B0F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6BF9D0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17EE3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0.55</w:t>
            </w:r>
          </w:p>
        </w:tc>
        <w:tc>
          <w:tcPr>
            <w:tcW w:w="394" w:type="pct"/>
            <w:shd w:val="clear" w:color="auto" w:fill="FFFFFF"/>
            <w:vAlign w:val="center"/>
          </w:tcPr>
          <w:p w14:paraId="5F965D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1F8AB2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0.53</w:t>
            </w:r>
          </w:p>
        </w:tc>
        <w:tc>
          <w:tcPr>
            <w:tcW w:w="394" w:type="pct"/>
            <w:shd w:val="clear" w:color="auto" w:fill="FFFFFF"/>
            <w:vAlign w:val="center"/>
          </w:tcPr>
          <w:p w14:paraId="537C5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3B1D81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0EE3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D5EBB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72BAB0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041C85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A6601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5F52365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2BB44FB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0C94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281ED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2F568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74992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D2F4E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6AFD37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4C0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F67D5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214CBF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2BD17AA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39F82D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66C66B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2281E5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02092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B3C35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0.76</w:t>
            </w:r>
          </w:p>
        </w:tc>
        <w:tc>
          <w:tcPr>
            <w:tcW w:w="394" w:type="pct"/>
            <w:shd w:val="clear" w:color="auto" w:fill="FFFFFF"/>
            <w:vAlign w:val="center"/>
          </w:tcPr>
          <w:p w14:paraId="438A03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0.77</w:t>
            </w:r>
          </w:p>
        </w:tc>
        <w:tc>
          <w:tcPr>
            <w:tcW w:w="394" w:type="pct"/>
            <w:shd w:val="clear" w:color="auto" w:fill="FFFFFF"/>
            <w:vAlign w:val="center"/>
          </w:tcPr>
          <w:p w14:paraId="45E827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0.91</w:t>
            </w:r>
          </w:p>
        </w:tc>
        <w:tc>
          <w:tcPr>
            <w:tcW w:w="394" w:type="pct"/>
            <w:shd w:val="clear" w:color="auto" w:fill="FFFFFF"/>
            <w:vAlign w:val="center"/>
          </w:tcPr>
          <w:p w14:paraId="05D8AC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0.81</w:t>
            </w:r>
          </w:p>
        </w:tc>
        <w:tc>
          <w:tcPr>
            <w:tcW w:w="304" w:type="pct"/>
            <w:shd w:val="clear" w:color="auto" w:fill="FFFFFF"/>
            <w:vAlign w:val="center"/>
          </w:tcPr>
          <w:p w14:paraId="4CB911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D42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743D38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3FE135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31607B9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ACDF48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297145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00A086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338AB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C4925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6.25×10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B3FE1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6.00×10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7ACB5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7.22×10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25A07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6.49×10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0F34E5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773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D80FBA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00F8CBA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0EB585C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0D5E5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43555A4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645572D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48BC6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F369B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0.37</w:t>
            </w:r>
          </w:p>
        </w:tc>
        <w:tc>
          <w:tcPr>
            <w:tcW w:w="394" w:type="pct"/>
            <w:shd w:val="clear" w:color="auto" w:fill="FFFFFF"/>
            <w:vAlign w:val="center"/>
          </w:tcPr>
          <w:p w14:paraId="15BE76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0.41</w:t>
            </w:r>
          </w:p>
        </w:tc>
        <w:tc>
          <w:tcPr>
            <w:tcW w:w="394" w:type="pct"/>
            <w:shd w:val="clear" w:color="auto" w:fill="FFFFFF"/>
            <w:vAlign w:val="center"/>
          </w:tcPr>
          <w:p w14:paraId="7041A6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0.38</w:t>
            </w:r>
          </w:p>
        </w:tc>
        <w:tc>
          <w:tcPr>
            <w:tcW w:w="394" w:type="pct"/>
            <w:shd w:val="clear" w:color="auto" w:fill="FFFFFF"/>
            <w:vAlign w:val="center"/>
          </w:tcPr>
          <w:p w14:paraId="7897DA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0.39</w:t>
            </w:r>
          </w:p>
        </w:tc>
        <w:tc>
          <w:tcPr>
            <w:tcW w:w="304" w:type="pct"/>
            <w:shd w:val="clear" w:color="auto" w:fill="FFFFFF"/>
            <w:vAlign w:val="center"/>
          </w:tcPr>
          <w:p w14:paraId="0C1EA5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6CF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4EA9EFE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2C363CC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镀铜DA006进口（F12）</w:t>
            </w:r>
          </w:p>
        </w:tc>
        <w:tc>
          <w:tcPr>
            <w:tcW w:w="327" w:type="pct"/>
            <w:shd w:val="clear" w:color="auto" w:fill="FFFFFF"/>
            <w:vAlign w:val="center"/>
          </w:tcPr>
          <w:p w14:paraId="1BC94C5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025941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4CD8649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608014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BF12E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DBE47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F0DF0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3.19×10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CAD04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46130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5195FD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CF4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AD0DF9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41C1046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36AF154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650B13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6FBCD2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070948C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874E8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580C6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0.52</w:t>
            </w:r>
          </w:p>
        </w:tc>
        <w:tc>
          <w:tcPr>
            <w:tcW w:w="394" w:type="pct"/>
            <w:shd w:val="clear" w:color="auto" w:fill="FFFFFF"/>
            <w:vAlign w:val="center"/>
          </w:tcPr>
          <w:p w14:paraId="2F0EF2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0.54</w:t>
            </w:r>
          </w:p>
        </w:tc>
        <w:tc>
          <w:tcPr>
            <w:tcW w:w="394" w:type="pct"/>
            <w:shd w:val="clear" w:color="auto" w:fill="FFFFFF"/>
            <w:vAlign w:val="center"/>
          </w:tcPr>
          <w:p w14:paraId="448DB6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0.52</w:t>
            </w:r>
          </w:p>
        </w:tc>
        <w:tc>
          <w:tcPr>
            <w:tcW w:w="394" w:type="pct"/>
            <w:shd w:val="clear" w:color="auto" w:fill="FFFFFF"/>
            <w:vAlign w:val="center"/>
          </w:tcPr>
          <w:p w14:paraId="6426B3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0.53</w:t>
            </w:r>
          </w:p>
        </w:tc>
        <w:tc>
          <w:tcPr>
            <w:tcW w:w="304" w:type="pct"/>
            <w:shd w:val="clear" w:color="auto" w:fill="FFFFFF"/>
            <w:vAlign w:val="center"/>
          </w:tcPr>
          <w:p w14:paraId="6B0136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430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E3856E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2D5801A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5AF7BB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5646F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225544F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AC9E55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4C3FC3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3970C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1.31</w:t>
            </w:r>
          </w:p>
        </w:tc>
        <w:tc>
          <w:tcPr>
            <w:tcW w:w="394" w:type="pct"/>
            <w:shd w:val="clear" w:color="auto" w:fill="FFFFFF"/>
            <w:vAlign w:val="center"/>
          </w:tcPr>
          <w:p w14:paraId="2CE752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1.35</w:t>
            </w:r>
          </w:p>
        </w:tc>
        <w:tc>
          <w:tcPr>
            <w:tcW w:w="394" w:type="pct"/>
            <w:shd w:val="clear" w:color="auto" w:fill="FFFFFF"/>
            <w:vAlign w:val="center"/>
          </w:tcPr>
          <w:p w14:paraId="1CD7FE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1.30</w:t>
            </w:r>
          </w:p>
        </w:tc>
        <w:tc>
          <w:tcPr>
            <w:tcW w:w="394" w:type="pct"/>
            <w:shd w:val="clear" w:color="auto" w:fill="FFFFFF"/>
            <w:vAlign w:val="center"/>
          </w:tcPr>
          <w:p w14:paraId="1AACA7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1.32</w:t>
            </w:r>
          </w:p>
        </w:tc>
        <w:tc>
          <w:tcPr>
            <w:tcW w:w="304" w:type="pct"/>
            <w:shd w:val="clear" w:color="auto" w:fill="FFFFFF"/>
            <w:vAlign w:val="center"/>
          </w:tcPr>
          <w:p w14:paraId="164885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6572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85EB3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5154322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479C6BC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41E339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6CF3E64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2713F7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42BF1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168DC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3.97×10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7D867E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4.10×10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E3E13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3.95×10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14D5E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4.01×10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0910BB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B3E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5972B6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6751476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76B2C74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39BEF4C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1C318D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2D01849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63381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3B47F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0.21</w:t>
            </w:r>
          </w:p>
        </w:tc>
        <w:tc>
          <w:tcPr>
            <w:tcW w:w="394" w:type="pct"/>
            <w:shd w:val="clear" w:color="auto" w:fill="FFFFFF"/>
            <w:vAlign w:val="center"/>
          </w:tcPr>
          <w:p w14:paraId="2BAB8E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0.22</w:t>
            </w:r>
          </w:p>
        </w:tc>
        <w:tc>
          <w:tcPr>
            <w:tcW w:w="394" w:type="pct"/>
            <w:shd w:val="clear" w:color="auto" w:fill="FFFFFF"/>
            <w:vAlign w:val="center"/>
          </w:tcPr>
          <w:p w14:paraId="23A73F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0.20</w:t>
            </w:r>
          </w:p>
        </w:tc>
        <w:tc>
          <w:tcPr>
            <w:tcW w:w="394" w:type="pct"/>
            <w:shd w:val="clear" w:color="auto" w:fill="FFFFFF"/>
            <w:vAlign w:val="center"/>
          </w:tcPr>
          <w:p w14:paraId="7D4721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0.21</w:t>
            </w:r>
          </w:p>
        </w:tc>
        <w:tc>
          <w:tcPr>
            <w:tcW w:w="304" w:type="pct"/>
            <w:shd w:val="clear" w:color="auto" w:fill="FFFFFF"/>
            <w:vAlign w:val="center"/>
          </w:tcPr>
          <w:p w14:paraId="086CF6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D81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E61244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344F33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6EB860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C08D7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656BD5E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C52631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3B9C15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7A20A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0.53</w:t>
            </w:r>
          </w:p>
        </w:tc>
        <w:tc>
          <w:tcPr>
            <w:tcW w:w="394" w:type="pct"/>
            <w:shd w:val="clear" w:color="auto" w:fill="FFFFFF"/>
            <w:vAlign w:val="center"/>
          </w:tcPr>
          <w:p w14:paraId="33771C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0.55</w:t>
            </w:r>
          </w:p>
        </w:tc>
        <w:tc>
          <w:tcPr>
            <w:tcW w:w="394" w:type="pct"/>
            <w:shd w:val="clear" w:color="auto" w:fill="FFFFFF"/>
            <w:vAlign w:val="center"/>
          </w:tcPr>
          <w:p w14:paraId="4375DD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0.50</w:t>
            </w:r>
          </w:p>
        </w:tc>
        <w:tc>
          <w:tcPr>
            <w:tcW w:w="394" w:type="pct"/>
            <w:shd w:val="clear" w:color="auto" w:fill="FFFFFF"/>
            <w:vAlign w:val="center"/>
          </w:tcPr>
          <w:p w14:paraId="4838F2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0.53</w:t>
            </w:r>
          </w:p>
        </w:tc>
        <w:tc>
          <w:tcPr>
            <w:tcW w:w="304" w:type="pct"/>
            <w:shd w:val="clear" w:color="auto" w:fill="FFFFFF"/>
            <w:vAlign w:val="center"/>
          </w:tcPr>
          <w:p w14:paraId="219ED3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061E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0A2EB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DA006</w:t>
            </w:r>
          </w:p>
        </w:tc>
        <w:tc>
          <w:tcPr>
            <w:tcW w:w="917" w:type="pct"/>
            <w:shd w:val="clear" w:color="auto" w:fill="FFFFFF"/>
            <w:vAlign w:val="center"/>
          </w:tcPr>
          <w:p w14:paraId="7B43C14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镀铜DA006出口（F13）</w:t>
            </w:r>
          </w:p>
        </w:tc>
        <w:tc>
          <w:tcPr>
            <w:tcW w:w="327" w:type="pct"/>
            <w:shd w:val="clear" w:color="auto" w:fill="FFFFFF"/>
            <w:vAlign w:val="center"/>
          </w:tcPr>
          <w:p w14:paraId="2D00591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176413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20C9C89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76E47D9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2EEDE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511A8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1E4AA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1.67×10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841D6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1.52×10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A7F8A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6A984F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1D37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E24598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7A8AF1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119FCE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DE64C2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798B7E0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0E3CB20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2A8A9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40758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979EC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DC9A8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79F66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417059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808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09953E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5F67CE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2A5484D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65AA6A8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7432ACD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2FA22CC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070067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6312F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69018C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B07F6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45D0D4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0A40B6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5D8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80B654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47D7E2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022DA14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54F4EC5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64D05EB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BC492B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78CE5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60BED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1.42</w:t>
            </w:r>
          </w:p>
        </w:tc>
        <w:tc>
          <w:tcPr>
            <w:tcW w:w="394" w:type="pct"/>
            <w:shd w:val="clear" w:color="auto" w:fill="FFFFFF"/>
            <w:vAlign w:val="center"/>
          </w:tcPr>
          <w:p w14:paraId="6A97AA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1.32</w:t>
            </w:r>
          </w:p>
        </w:tc>
        <w:tc>
          <w:tcPr>
            <w:tcW w:w="394" w:type="pct"/>
            <w:shd w:val="clear" w:color="auto" w:fill="FFFFFF"/>
            <w:vAlign w:val="center"/>
          </w:tcPr>
          <w:p w14:paraId="55D5F5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1.35</w:t>
            </w:r>
          </w:p>
        </w:tc>
        <w:tc>
          <w:tcPr>
            <w:tcW w:w="394" w:type="pct"/>
            <w:shd w:val="clear" w:color="auto" w:fill="FFFFFF"/>
            <w:vAlign w:val="center"/>
          </w:tcPr>
          <w:p w14:paraId="3FA7A9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1.36</w:t>
            </w:r>
          </w:p>
        </w:tc>
        <w:tc>
          <w:tcPr>
            <w:tcW w:w="304" w:type="pct"/>
            <w:shd w:val="clear" w:color="auto" w:fill="FFFFFF"/>
            <w:vAlign w:val="center"/>
          </w:tcPr>
          <w:p w14:paraId="29975F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8C9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8063E8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A4730E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64518E1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20ADD95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4A8A6AD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765A75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4B4B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39CFC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9.05×10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A1B20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8.98×10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3D134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8.96×10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3A76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9.00×10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0244A4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A9E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5A09B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67AF2C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50A25A4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16B05C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2B97DE8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3B1AB90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913E4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FE421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10243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0DD6E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731B9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3B3424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075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15C4BC6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67406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34D35C5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46AD9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1E9747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F1632C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46942D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7E5F1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402685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969F4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4BCD3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78D246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0.05</w:t>
            </w:r>
          </w:p>
        </w:tc>
      </w:tr>
      <w:tr w14:paraId="1538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9AEAB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09FF38F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0DADF3D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6C883E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038989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39B58A6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882C9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61D74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652B3C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15ED89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642D98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5551EB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B2C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BF4B0B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4EE9BCB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1A914D1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B622C7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0FF06CC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3BA598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360DE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C218B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77C5DB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0.81</w:t>
            </w:r>
          </w:p>
        </w:tc>
        <w:tc>
          <w:tcPr>
            <w:tcW w:w="394" w:type="pct"/>
            <w:shd w:val="clear" w:color="auto" w:fill="FFFFFF"/>
            <w:vAlign w:val="center"/>
          </w:tcPr>
          <w:p w14:paraId="6A9420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0.81</w:t>
            </w:r>
          </w:p>
        </w:tc>
        <w:tc>
          <w:tcPr>
            <w:tcW w:w="394" w:type="pct"/>
            <w:shd w:val="clear" w:color="auto" w:fill="FFFFFF"/>
            <w:vAlign w:val="center"/>
          </w:tcPr>
          <w:p w14:paraId="085F87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0.77</w:t>
            </w:r>
          </w:p>
        </w:tc>
        <w:tc>
          <w:tcPr>
            <w:tcW w:w="304" w:type="pct"/>
            <w:shd w:val="clear" w:color="auto" w:fill="FFFFFF"/>
            <w:vAlign w:val="center"/>
          </w:tcPr>
          <w:p w14:paraId="576AC4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3A2D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6AF79A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B4A2F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08F4F74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B583B4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1FB50F2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6458FF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780232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F45E9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1.65</w:t>
            </w:r>
          </w:p>
        </w:tc>
        <w:tc>
          <w:tcPr>
            <w:tcW w:w="394" w:type="pct"/>
            <w:shd w:val="clear" w:color="auto" w:fill="FFFFFF"/>
            <w:vAlign w:val="center"/>
          </w:tcPr>
          <w:p w14:paraId="5E0956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1.97</w:t>
            </w:r>
          </w:p>
        </w:tc>
        <w:tc>
          <w:tcPr>
            <w:tcW w:w="394" w:type="pct"/>
            <w:shd w:val="clear" w:color="auto" w:fill="FFFFFF"/>
            <w:vAlign w:val="center"/>
          </w:tcPr>
          <w:p w14:paraId="0E5260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1.60</w:t>
            </w:r>
          </w:p>
        </w:tc>
        <w:tc>
          <w:tcPr>
            <w:tcW w:w="394" w:type="pct"/>
            <w:shd w:val="clear" w:color="auto" w:fill="FFFFFF"/>
            <w:vAlign w:val="center"/>
          </w:tcPr>
          <w:p w14:paraId="5B7D75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1.74</w:t>
            </w:r>
          </w:p>
        </w:tc>
        <w:tc>
          <w:tcPr>
            <w:tcW w:w="304" w:type="pct"/>
            <w:shd w:val="clear" w:color="auto" w:fill="FFFFFF"/>
            <w:vAlign w:val="center"/>
          </w:tcPr>
          <w:p w14:paraId="19FA30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1104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2EC83C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652AF77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02CF1AE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283B5E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2025-07-16</w:t>
            </w:r>
          </w:p>
        </w:tc>
        <w:tc>
          <w:tcPr>
            <w:tcW w:w="363" w:type="pct"/>
            <w:shd w:val="clear" w:color="auto" w:fill="FFFFFF"/>
            <w:vAlign w:val="center"/>
          </w:tcPr>
          <w:p w14:paraId="2AC129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4B30237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D70A3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AB3FC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5.00×10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2090C4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5.96×10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4906B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4.86×10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453DD9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5.27×10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1F7B2B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381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1DBA5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19BC59F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662B556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E43E0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182791C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53ABC0F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E458C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3721F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2FB74F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7A8CE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75A43A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6521ED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12B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E119C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6C2B379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69559C3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9ADA7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34920BA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391FD4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D25C6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0FA77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DF549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7C800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6C84AB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4F3E9D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569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49608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EDC101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1A7CD1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30E710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353A85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0044A9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9A790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FC9DE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1.71</w:t>
            </w:r>
          </w:p>
        </w:tc>
        <w:tc>
          <w:tcPr>
            <w:tcW w:w="394" w:type="pct"/>
            <w:shd w:val="clear" w:color="auto" w:fill="FFFFFF"/>
            <w:vAlign w:val="center"/>
          </w:tcPr>
          <w:p w14:paraId="7FE5FA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1.69</w:t>
            </w:r>
          </w:p>
        </w:tc>
        <w:tc>
          <w:tcPr>
            <w:tcW w:w="394" w:type="pct"/>
            <w:shd w:val="clear" w:color="auto" w:fill="FFFFFF"/>
            <w:vAlign w:val="center"/>
          </w:tcPr>
          <w:p w14:paraId="209AAD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1.72</w:t>
            </w:r>
          </w:p>
        </w:tc>
        <w:tc>
          <w:tcPr>
            <w:tcW w:w="394" w:type="pct"/>
            <w:shd w:val="clear" w:color="auto" w:fill="FFFFFF"/>
            <w:vAlign w:val="center"/>
          </w:tcPr>
          <w:p w14:paraId="6CA112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1.71</w:t>
            </w:r>
          </w:p>
        </w:tc>
        <w:tc>
          <w:tcPr>
            <w:tcW w:w="304" w:type="pct"/>
            <w:shd w:val="clear" w:color="auto" w:fill="FFFFFF"/>
            <w:vAlign w:val="center"/>
          </w:tcPr>
          <w:p w14:paraId="51284A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01E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C54D6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54BF4E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镀铬DA007进口（F14）</w:t>
            </w:r>
          </w:p>
        </w:tc>
        <w:tc>
          <w:tcPr>
            <w:tcW w:w="327" w:type="pct"/>
            <w:shd w:val="clear" w:color="auto" w:fill="FFFFFF"/>
            <w:vAlign w:val="center"/>
          </w:tcPr>
          <w:p w14:paraId="74E4132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1AAD9D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37E1EF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5CEE9C6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3A83A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458F5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08051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1.27×10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2244C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4A710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1.28×10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7019F6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6404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8E837F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1CF64DB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7A4E690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1664C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0ACADFC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24D1DC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75F2F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E6F45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00D87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217173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80A6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43CA67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5CA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FB0304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2345DA7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5D62DA1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77B4E4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2D5A613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3D2C8A7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057D0F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3EBFDA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24A6E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4B221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54E756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7CB392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0.05</w:t>
            </w:r>
          </w:p>
        </w:tc>
      </w:tr>
      <w:tr w14:paraId="30AD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8BE221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2A85248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4EA7638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D7172F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1A25F13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铬酸雾</w:t>
            </w:r>
          </w:p>
        </w:tc>
        <w:tc>
          <w:tcPr>
            <w:tcW w:w="478" w:type="pct"/>
            <w:shd w:val="clear" w:color="auto" w:fill="FFFFFF"/>
            <w:vAlign w:val="center"/>
          </w:tcPr>
          <w:p w14:paraId="1765AA0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219623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B3A8C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40D303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77A05A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94" w:type="pct"/>
            <w:shd w:val="clear" w:color="auto" w:fill="FFFFFF"/>
            <w:vAlign w:val="center"/>
          </w:tcPr>
          <w:p w14:paraId="0CAF81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c>
          <w:tcPr>
            <w:tcW w:w="304" w:type="pct"/>
            <w:shd w:val="clear" w:color="auto" w:fill="FFFFFF"/>
            <w:vAlign w:val="center"/>
          </w:tcPr>
          <w:p w14:paraId="38158B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C16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BE22C5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7BF5903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46ECD63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7B5AE8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03C4151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1FCE4E2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5ABCB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5E215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0.72</w:t>
            </w:r>
          </w:p>
        </w:tc>
        <w:tc>
          <w:tcPr>
            <w:tcW w:w="394" w:type="pct"/>
            <w:shd w:val="clear" w:color="auto" w:fill="FFFFFF"/>
            <w:vAlign w:val="center"/>
          </w:tcPr>
          <w:p w14:paraId="7ED5EC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0.60</w:t>
            </w:r>
          </w:p>
        </w:tc>
        <w:tc>
          <w:tcPr>
            <w:tcW w:w="394" w:type="pct"/>
            <w:shd w:val="clear" w:color="auto" w:fill="FFFFFF"/>
            <w:vAlign w:val="center"/>
          </w:tcPr>
          <w:p w14:paraId="6AC674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0.90</w:t>
            </w:r>
          </w:p>
        </w:tc>
        <w:tc>
          <w:tcPr>
            <w:tcW w:w="394" w:type="pct"/>
            <w:shd w:val="clear" w:color="auto" w:fill="FFFFFF"/>
            <w:vAlign w:val="center"/>
          </w:tcPr>
          <w:p w14:paraId="512343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0.74</w:t>
            </w:r>
          </w:p>
        </w:tc>
        <w:tc>
          <w:tcPr>
            <w:tcW w:w="304" w:type="pct"/>
            <w:shd w:val="clear" w:color="auto" w:fill="FFFFFF"/>
            <w:vAlign w:val="center"/>
          </w:tcPr>
          <w:p w14:paraId="3711DB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743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B323B5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20E5846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38E45DE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0FEB8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4B6791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689F164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基准排气量排放浓度</w:t>
            </w:r>
          </w:p>
        </w:tc>
        <w:tc>
          <w:tcPr>
            <w:tcW w:w="304" w:type="pct"/>
            <w:shd w:val="clear" w:color="auto" w:fill="FFFFFF"/>
            <w:vAlign w:val="center"/>
          </w:tcPr>
          <w:p w14:paraId="2ABA56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1AFBF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1.75</w:t>
            </w:r>
          </w:p>
        </w:tc>
        <w:tc>
          <w:tcPr>
            <w:tcW w:w="394" w:type="pct"/>
            <w:shd w:val="clear" w:color="auto" w:fill="FFFFFF"/>
            <w:vAlign w:val="center"/>
          </w:tcPr>
          <w:p w14:paraId="2C7989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1.46</w:t>
            </w:r>
          </w:p>
        </w:tc>
        <w:tc>
          <w:tcPr>
            <w:tcW w:w="394" w:type="pct"/>
            <w:shd w:val="clear" w:color="auto" w:fill="FFFFFF"/>
            <w:vAlign w:val="center"/>
          </w:tcPr>
          <w:p w14:paraId="43811C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1.78</w:t>
            </w:r>
          </w:p>
        </w:tc>
        <w:tc>
          <w:tcPr>
            <w:tcW w:w="394" w:type="pct"/>
            <w:shd w:val="clear" w:color="auto" w:fill="FFFFFF"/>
            <w:vAlign w:val="center"/>
          </w:tcPr>
          <w:p w14:paraId="0B6C97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1.66</w:t>
            </w:r>
          </w:p>
        </w:tc>
        <w:tc>
          <w:tcPr>
            <w:tcW w:w="304" w:type="pct"/>
            <w:shd w:val="clear" w:color="auto" w:fill="FFFFFF"/>
            <w:vAlign w:val="center"/>
          </w:tcPr>
          <w:p w14:paraId="522AE3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30</w:t>
            </w:r>
          </w:p>
        </w:tc>
      </w:tr>
      <w:tr w14:paraId="3C43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F1A882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DA007</w:t>
            </w:r>
          </w:p>
        </w:tc>
        <w:tc>
          <w:tcPr>
            <w:tcW w:w="917" w:type="pct"/>
            <w:shd w:val="clear" w:color="auto" w:fill="FFFFFF"/>
            <w:vAlign w:val="center"/>
          </w:tcPr>
          <w:p w14:paraId="750CFF7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镀铬DA007出口（F15）</w:t>
            </w:r>
          </w:p>
        </w:tc>
        <w:tc>
          <w:tcPr>
            <w:tcW w:w="327" w:type="pct"/>
            <w:shd w:val="clear" w:color="auto" w:fill="FFFFFF"/>
            <w:vAlign w:val="center"/>
          </w:tcPr>
          <w:p w14:paraId="762A1C3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0129104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2025-07-17</w:t>
            </w:r>
          </w:p>
        </w:tc>
        <w:tc>
          <w:tcPr>
            <w:tcW w:w="363" w:type="pct"/>
            <w:shd w:val="clear" w:color="auto" w:fill="FFFFFF"/>
            <w:vAlign w:val="center"/>
          </w:tcPr>
          <w:p w14:paraId="4D7D3B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硫酸雾</w:t>
            </w:r>
          </w:p>
        </w:tc>
        <w:tc>
          <w:tcPr>
            <w:tcW w:w="478" w:type="pct"/>
            <w:shd w:val="clear" w:color="auto" w:fill="FFFFFF"/>
            <w:vAlign w:val="center"/>
          </w:tcPr>
          <w:p w14:paraId="52A35DB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335491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9FBD7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5.30×10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BC42B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4.42×10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597D94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5.39×10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DE548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5.04×10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60C4DE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28D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128D132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42CBAEE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挂胶、自然干燥、擦拭、感光显影、打样DA008进口（F16）</w:t>
            </w:r>
          </w:p>
        </w:tc>
        <w:tc>
          <w:tcPr>
            <w:tcW w:w="327" w:type="pct"/>
            <w:shd w:val="clear" w:color="auto" w:fill="FFFFFF"/>
            <w:vAlign w:val="center"/>
          </w:tcPr>
          <w:p w14:paraId="0A0627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CE0E4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76BC3E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酚类化合物</w:t>
            </w:r>
          </w:p>
        </w:tc>
        <w:tc>
          <w:tcPr>
            <w:tcW w:w="478" w:type="pct"/>
            <w:shd w:val="clear" w:color="auto" w:fill="FFFFFF"/>
            <w:vAlign w:val="center"/>
          </w:tcPr>
          <w:p w14:paraId="37F4870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EB098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DFADB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56DA0A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5BA39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3AF403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4A2E6C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186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5E57B21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63F975F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挂胶、自然干燥、擦拭、感光显影、打样DA008进口（F16）</w:t>
            </w:r>
          </w:p>
        </w:tc>
        <w:tc>
          <w:tcPr>
            <w:tcW w:w="327" w:type="pct"/>
            <w:shd w:val="clear" w:color="auto" w:fill="FFFFFF"/>
            <w:vAlign w:val="center"/>
          </w:tcPr>
          <w:p w14:paraId="17018F5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3CDF1FB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2025-07-18</w:t>
            </w:r>
          </w:p>
        </w:tc>
        <w:tc>
          <w:tcPr>
            <w:tcW w:w="363" w:type="pct"/>
            <w:shd w:val="clear" w:color="auto" w:fill="FFFFFF"/>
            <w:vAlign w:val="center"/>
          </w:tcPr>
          <w:p w14:paraId="352DA7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酚类化合物</w:t>
            </w:r>
          </w:p>
        </w:tc>
        <w:tc>
          <w:tcPr>
            <w:tcW w:w="478" w:type="pct"/>
            <w:shd w:val="clear" w:color="auto" w:fill="FFFFFF"/>
            <w:vAlign w:val="center"/>
          </w:tcPr>
          <w:p w14:paraId="66A7250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95760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42C0F8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6AFD74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01625C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2DCFB2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6E64B7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r>
      <w:tr w14:paraId="7401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03ECE7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07CC492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挂胶、自然干燥、擦拭、感光显影、打样DA008进口（F16）</w:t>
            </w:r>
          </w:p>
        </w:tc>
        <w:tc>
          <w:tcPr>
            <w:tcW w:w="327" w:type="pct"/>
            <w:shd w:val="clear" w:color="auto" w:fill="FFFFFF"/>
            <w:vAlign w:val="center"/>
          </w:tcPr>
          <w:p w14:paraId="1F34CEC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40C6D9D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3380727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61EB005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165CE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7FBDA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2.24</w:t>
            </w:r>
          </w:p>
        </w:tc>
        <w:tc>
          <w:tcPr>
            <w:tcW w:w="394" w:type="pct"/>
            <w:shd w:val="clear" w:color="auto" w:fill="FFFFFF"/>
            <w:vAlign w:val="center"/>
          </w:tcPr>
          <w:p w14:paraId="390B24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2.30</w:t>
            </w:r>
          </w:p>
        </w:tc>
        <w:tc>
          <w:tcPr>
            <w:tcW w:w="394" w:type="pct"/>
            <w:shd w:val="clear" w:color="auto" w:fill="FFFFFF"/>
            <w:vAlign w:val="center"/>
          </w:tcPr>
          <w:p w14:paraId="46CC7A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2.22</w:t>
            </w:r>
          </w:p>
        </w:tc>
        <w:tc>
          <w:tcPr>
            <w:tcW w:w="394" w:type="pct"/>
            <w:shd w:val="clear" w:color="auto" w:fill="FFFFFF"/>
            <w:vAlign w:val="center"/>
          </w:tcPr>
          <w:p w14:paraId="0FD286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25</w:t>
            </w:r>
          </w:p>
        </w:tc>
        <w:tc>
          <w:tcPr>
            <w:tcW w:w="304" w:type="pct"/>
            <w:shd w:val="clear" w:color="auto" w:fill="FFFFFF"/>
            <w:vAlign w:val="center"/>
          </w:tcPr>
          <w:p w14:paraId="2D5623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9E6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21DE718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611D16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挂胶、自然干燥、擦拭、感光显影、打样DA008进口（F16）</w:t>
            </w:r>
          </w:p>
        </w:tc>
        <w:tc>
          <w:tcPr>
            <w:tcW w:w="327" w:type="pct"/>
            <w:shd w:val="clear" w:color="auto" w:fill="FFFFFF"/>
            <w:vAlign w:val="center"/>
          </w:tcPr>
          <w:p w14:paraId="598DF88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7F739F1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2025-07-18</w:t>
            </w:r>
          </w:p>
        </w:tc>
        <w:tc>
          <w:tcPr>
            <w:tcW w:w="363" w:type="pct"/>
            <w:shd w:val="clear" w:color="auto" w:fill="FFFFFF"/>
            <w:vAlign w:val="center"/>
          </w:tcPr>
          <w:p w14:paraId="4C485B6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666AD8C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C92CA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1915B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209CEC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1.50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6B3205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6E02A6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04" w:type="pct"/>
            <w:shd w:val="clear" w:color="auto" w:fill="FFFFFF"/>
            <w:vAlign w:val="center"/>
          </w:tcPr>
          <w:p w14:paraId="1E9563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r>
      <w:tr w14:paraId="4B4F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0" w:hRule="atLeast"/>
        </w:trPr>
        <w:tc>
          <w:tcPr>
            <w:tcW w:w="304" w:type="pct"/>
            <w:shd w:val="clear" w:color="auto" w:fill="FFFFFF"/>
            <w:vAlign w:val="center"/>
          </w:tcPr>
          <w:p w14:paraId="4DCA56A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4062D71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挂胶、自然干燥、擦拭、感光显影、打样DA008出口（F17）</w:t>
            </w:r>
          </w:p>
        </w:tc>
        <w:tc>
          <w:tcPr>
            <w:tcW w:w="327" w:type="pct"/>
            <w:shd w:val="clear" w:color="auto" w:fill="FFFFFF"/>
            <w:vAlign w:val="center"/>
          </w:tcPr>
          <w:p w14:paraId="02BACAD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A917F0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0AECD95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酚类化合物</w:t>
            </w:r>
          </w:p>
        </w:tc>
        <w:tc>
          <w:tcPr>
            <w:tcW w:w="478" w:type="pct"/>
            <w:shd w:val="clear" w:color="auto" w:fill="FFFFFF"/>
            <w:vAlign w:val="center"/>
          </w:tcPr>
          <w:p w14:paraId="061F2A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1E381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3BA14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F3451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6CC456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C61AB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389767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20</w:t>
            </w:r>
          </w:p>
        </w:tc>
      </w:tr>
      <w:tr w14:paraId="2D4C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DFD27B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118530A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挂胶、自然干燥、擦拭、感光显影、打样DA008出口（F17）</w:t>
            </w:r>
          </w:p>
        </w:tc>
        <w:tc>
          <w:tcPr>
            <w:tcW w:w="327" w:type="pct"/>
            <w:shd w:val="clear" w:color="auto" w:fill="FFFFFF"/>
            <w:vAlign w:val="center"/>
          </w:tcPr>
          <w:p w14:paraId="6A1E709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58C640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2025-07-18</w:t>
            </w:r>
          </w:p>
        </w:tc>
        <w:tc>
          <w:tcPr>
            <w:tcW w:w="363" w:type="pct"/>
            <w:shd w:val="clear" w:color="auto" w:fill="FFFFFF"/>
            <w:vAlign w:val="center"/>
          </w:tcPr>
          <w:p w14:paraId="045EA67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酚类化合物</w:t>
            </w:r>
          </w:p>
        </w:tc>
        <w:tc>
          <w:tcPr>
            <w:tcW w:w="478" w:type="pct"/>
            <w:shd w:val="clear" w:color="auto" w:fill="FFFFFF"/>
            <w:vAlign w:val="center"/>
          </w:tcPr>
          <w:p w14:paraId="448A904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184E7F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5E9871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286C8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E08DE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667537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21CBAC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0.072</w:t>
            </w:r>
          </w:p>
        </w:tc>
      </w:tr>
      <w:tr w14:paraId="5285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3CE36D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3A466B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挂胶、自然干燥、擦拭、感光显影、打样DA008出口（F17）</w:t>
            </w:r>
          </w:p>
        </w:tc>
        <w:tc>
          <w:tcPr>
            <w:tcW w:w="327" w:type="pct"/>
            <w:shd w:val="clear" w:color="auto" w:fill="FFFFFF"/>
            <w:vAlign w:val="center"/>
          </w:tcPr>
          <w:p w14:paraId="0C460C5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5ACF443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3D4C928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5761446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2A3B48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5E703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1.18</w:t>
            </w:r>
          </w:p>
        </w:tc>
        <w:tc>
          <w:tcPr>
            <w:tcW w:w="394" w:type="pct"/>
            <w:shd w:val="clear" w:color="auto" w:fill="FFFFFF"/>
            <w:vAlign w:val="center"/>
          </w:tcPr>
          <w:p w14:paraId="5148A8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1.12</w:t>
            </w:r>
          </w:p>
        </w:tc>
        <w:tc>
          <w:tcPr>
            <w:tcW w:w="394" w:type="pct"/>
            <w:shd w:val="clear" w:color="auto" w:fill="FFFFFF"/>
            <w:vAlign w:val="center"/>
          </w:tcPr>
          <w:p w14:paraId="18B950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1.13</w:t>
            </w:r>
          </w:p>
        </w:tc>
        <w:tc>
          <w:tcPr>
            <w:tcW w:w="394" w:type="pct"/>
            <w:shd w:val="clear" w:color="auto" w:fill="FFFFFF"/>
            <w:vAlign w:val="center"/>
          </w:tcPr>
          <w:p w14:paraId="5E2C55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1.14</w:t>
            </w:r>
          </w:p>
        </w:tc>
        <w:tc>
          <w:tcPr>
            <w:tcW w:w="304" w:type="pct"/>
            <w:shd w:val="clear" w:color="auto" w:fill="FFFFFF"/>
            <w:vAlign w:val="center"/>
          </w:tcPr>
          <w:p w14:paraId="7BCDB7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0C5B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DCDACA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6D3C96C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挂胶、自然干燥、擦拭、感光显影、打样DA008出口（F17）</w:t>
            </w:r>
          </w:p>
        </w:tc>
        <w:tc>
          <w:tcPr>
            <w:tcW w:w="327" w:type="pct"/>
            <w:shd w:val="clear" w:color="auto" w:fill="FFFFFF"/>
            <w:vAlign w:val="center"/>
          </w:tcPr>
          <w:p w14:paraId="3F7AD4F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7FD960E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2025-07-18</w:t>
            </w:r>
          </w:p>
        </w:tc>
        <w:tc>
          <w:tcPr>
            <w:tcW w:w="363" w:type="pct"/>
            <w:shd w:val="clear" w:color="auto" w:fill="FFFFFF"/>
            <w:vAlign w:val="center"/>
          </w:tcPr>
          <w:p w14:paraId="2742B0D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17AC845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541A51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BEE38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7.90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B4F60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7.29</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6BF7F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7.31</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839CA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7.50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50D390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4E3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FE87FB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0E89D4E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挂胶、自然干燥、擦拭、感光显影、打样DA008进口（F16）</w:t>
            </w:r>
          </w:p>
        </w:tc>
        <w:tc>
          <w:tcPr>
            <w:tcW w:w="327" w:type="pct"/>
            <w:shd w:val="clear" w:color="auto" w:fill="FFFFFF"/>
            <w:vAlign w:val="center"/>
          </w:tcPr>
          <w:p w14:paraId="7B6178B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8CDA8D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4FF537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酚类化合物</w:t>
            </w:r>
          </w:p>
        </w:tc>
        <w:tc>
          <w:tcPr>
            <w:tcW w:w="478" w:type="pct"/>
            <w:shd w:val="clear" w:color="auto" w:fill="FFFFFF"/>
            <w:vAlign w:val="center"/>
          </w:tcPr>
          <w:p w14:paraId="1B016A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0CA940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CD95B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2AB208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66C2F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4CBDE3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43B183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04C8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B90F7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5C0E3B7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挂胶、自然干燥、擦拭、感光显影、打样DA008进口（F16）</w:t>
            </w:r>
          </w:p>
        </w:tc>
        <w:tc>
          <w:tcPr>
            <w:tcW w:w="327" w:type="pct"/>
            <w:shd w:val="clear" w:color="auto" w:fill="FFFFFF"/>
            <w:vAlign w:val="center"/>
          </w:tcPr>
          <w:p w14:paraId="20B5B96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6C9C583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2025-07-19</w:t>
            </w:r>
          </w:p>
        </w:tc>
        <w:tc>
          <w:tcPr>
            <w:tcW w:w="363" w:type="pct"/>
            <w:shd w:val="clear" w:color="auto" w:fill="FFFFFF"/>
            <w:vAlign w:val="center"/>
          </w:tcPr>
          <w:p w14:paraId="3245647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酚类化合物</w:t>
            </w:r>
          </w:p>
        </w:tc>
        <w:tc>
          <w:tcPr>
            <w:tcW w:w="478" w:type="pct"/>
            <w:shd w:val="clear" w:color="auto" w:fill="FFFFFF"/>
            <w:vAlign w:val="center"/>
          </w:tcPr>
          <w:p w14:paraId="2632136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6290DC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135BF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60A8A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D23D3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185124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4B021A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r>
      <w:tr w14:paraId="44F2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05A2A4F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5DF2EEC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挂胶、自然干燥、擦拭、感光显影、打样DA008进口（F16）</w:t>
            </w:r>
          </w:p>
        </w:tc>
        <w:tc>
          <w:tcPr>
            <w:tcW w:w="327" w:type="pct"/>
            <w:shd w:val="clear" w:color="auto" w:fill="FFFFFF"/>
            <w:vAlign w:val="center"/>
          </w:tcPr>
          <w:p w14:paraId="3CC39DC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03B8FC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7FC7930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7C57725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65EBE2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0C1CF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2.18</w:t>
            </w:r>
          </w:p>
        </w:tc>
        <w:tc>
          <w:tcPr>
            <w:tcW w:w="394" w:type="pct"/>
            <w:shd w:val="clear" w:color="auto" w:fill="FFFFFF"/>
            <w:vAlign w:val="center"/>
          </w:tcPr>
          <w:p w14:paraId="35A053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2.33</w:t>
            </w:r>
          </w:p>
        </w:tc>
        <w:tc>
          <w:tcPr>
            <w:tcW w:w="394" w:type="pct"/>
            <w:shd w:val="clear" w:color="auto" w:fill="FFFFFF"/>
            <w:vAlign w:val="center"/>
          </w:tcPr>
          <w:p w14:paraId="4BAE55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2.26</w:t>
            </w:r>
          </w:p>
        </w:tc>
        <w:tc>
          <w:tcPr>
            <w:tcW w:w="394" w:type="pct"/>
            <w:shd w:val="clear" w:color="auto" w:fill="FFFFFF"/>
            <w:vAlign w:val="center"/>
          </w:tcPr>
          <w:p w14:paraId="0CF5CD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2.</w:t>
            </w:r>
            <w:r>
              <w:rPr>
                <w:rFonts w:hint="eastAsia" w:cs="Times New Roman"/>
                <w:color w:val="auto"/>
                <w:kern w:val="2"/>
                <w:sz w:val="21"/>
                <w:szCs w:val="22"/>
                <w:highlight w:val="none"/>
                <w:lang w:val="en-US" w:eastAsia="zh-CN" w:bidi="ar-SA"/>
              </w:rPr>
              <w:t>26</w:t>
            </w:r>
          </w:p>
        </w:tc>
        <w:tc>
          <w:tcPr>
            <w:tcW w:w="304" w:type="pct"/>
            <w:shd w:val="clear" w:color="auto" w:fill="FFFFFF"/>
            <w:vAlign w:val="center"/>
          </w:tcPr>
          <w:p w14:paraId="56FAC6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42BB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B67B18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3CA8399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挂胶、自然干燥、擦拭、感光显影、打样DA008进口（F16）</w:t>
            </w:r>
          </w:p>
        </w:tc>
        <w:tc>
          <w:tcPr>
            <w:tcW w:w="327" w:type="pct"/>
            <w:shd w:val="clear" w:color="auto" w:fill="FFFFFF"/>
            <w:vAlign w:val="center"/>
          </w:tcPr>
          <w:p w14:paraId="3D21E8F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进口</w:t>
            </w:r>
          </w:p>
        </w:tc>
        <w:tc>
          <w:tcPr>
            <w:tcW w:w="422" w:type="pct"/>
            <w:shd w:val="clear" w:color="auto" w:fill="FFFFFF"/>
            <w:vAlign w:val="center"/>
          </w:tcPr>
          <w:p w14:paraId="14AA6A6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2025-07-19</w:t>
            </w:r>
          </w:p>
        </w:tc>
        <w:tc>
          <w:tcPr>
            <w:tcW w:w="363" w:type="pct"/>
            <w:shd w:val="clear" w:color="auto" w:fill="FFFFFF"/>
            <w:vAlign w:val="center"/>
          </w:tcPr>
          <w:p w14:paraId="1468737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4D1A35E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591882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3C744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73FEF0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1.52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4B08CB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94" w:type="pct"/>
            <w:shd w:val="clear" w:color="auto" w:fill="FFFFFF"/>
            <w:vAlign w:val="center"/>
          </w:tcPr>
          <w:p w14:paraId="72172B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1.47</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2</w:t>
            </w:r>
          </w:p>
        </w:tc>
        <w:tc>
          <w:tcPr>
            <w:tcW w:w="304" w:type="pct"/>
            <w:shd w:val="clear" w:color="auto" w:fill="FFFFFF"/>
            <w:vAlign w:val="center"/>
          </w:tcPr>
          <w:p w14:paraId="22386A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r>
      <w:tr w14:paraId="3EBF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D8FA31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44BD953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挂胶、自然干燥、擦拭、感光显影、打样DA008出口（F17）</w:t>
            </w:r>
          </w:p>
        </w:tc>
        <w:tc>
          <w:tcPr>
            <w:tcW w:w="327" w:type="pct"/>
            <w:shd w:val="clear" w:color="auto" w:fill="FFFFFF"/>
            <w:vAlign w:val="center"/>
          </w:tcPr>
          <w:p w14:paraId="212C9E6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6A804A2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7DF808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酚类化合物</w:t>
            </w:r>
          </w:p>
        </w:tc>
        <w:tc>
          <w:tcPr>
            <w:tcW w:w="478" w:type="pct"/>
            <w:shd w:val="clear" w:color="auto" w:fill="FFFFFF"/>
            <w:vAlign w:val="center"/>
          </w:tcPr>
          <w:p w14:paraId="0DD3D94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3F3E71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EFEC4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12C92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0E6D1E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94" w:type="pct"/>
            <w:shd w:val="clear" w:color="auto" w:fill="FFFFFF"/>
            <w:vAlign w:val="center"/>
          </w:tcPr>
          <w:p w14:paraId="78181A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ND</w:t>
            </w:r>
          </w:p>
        </w:tc>
        <w:tc>
          <w:tcPr>
            <w:tcW w:w="304" w:type="pct"/>
            <w:shd w:val="clear" w:color="auto" w:fill="FFFFFF"/>
            <w:vAlign w:val="center"/>
          </w:tcPr>
          <w:p w14:paraId="74657B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20</w:t>
            </w:r>
          </w:p>
        </w:tc>
      </w:tr>
      <w:tr w14:paraId="4A84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6A9111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1E428E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挂胶、自然干燥、擦拭、感光显影、打样DA008出口（F17）</w:t>
            </w:r>
          </w:p>
        </w:tc>
        <w:tc>
          <w:tcPr>
            <w:tcW w:w="327" w:type="pct"/>
            <w:shd w:val="clear" w:color="auto" w:fill="FFFFFF"/>
            <w:vAlign w:val="center"/>
          </w:tcPr>
          <w:p w14:paraId="7EAD648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0AFCF6A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2025-07-19</w:t>
            </w:r>
          </w:p>
        </w:tc>
        <w:tc>
          <w:tcPr>
            <w:tcW w:w="363" w:type="pct"/>
            <w:shd w:val="clear" w:color="auto" w:fill="FFFFFF"/>
            <w:vAlign w:val="center"/>
          </w:tcPr>
          <w:p w14:paraId="643B587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酚类化合物</w:t>
            </w:r>
          </w:p>
        </w:tc>
        <w:tc>
          <w:tcPr>
            <w:tcW w:w="478" w:type="pct"/>
            <w:shd w:val="clear" w:color="auto" w:fill="FFFFFF"/>
            <w:vAlign w:val="center"/>
          </w:tcPr>
          <w:p w14:paraId="1864C4D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72E2A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E7D3F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3EBEBC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7D98BA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94" w:type="pct"/>
            <w:shd w:val="clear" w:color="auto" w:fill="FFFFFF"/>
            <w:vAlign w:val="center"/>
          </w:tcPr>
          <w:p w14:paraId="2024CC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w:t>
            </w:r>
          </w:p>
        </w:tc>
        <w:tc>
          <w:tcPr>
            <w:tcW w:w="304" w:type="pct"/>
            <w:shd w:val="clear" w:color="auto" w:fill="FFFFFF"/>
            <w:vAlign w:val="center"/>
          </w:tcPr>
          <w:p w14:paraId="130AD2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0.072</w:t>
            </w:r>
          </w:p>
        </w:tc>
      </w:tr>
      <w:tr w14:paraId="3F71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69F85B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DA008</w:t>
            </w:r>
          </w:p>
        </w:tc>
        <w:tc>
          <w:tcPr>
            <w:tcW w:w="917" w:type="pct"/>
            <w:shd w:val="clear" w:color="auto" w:fill="FFFFFF"/>
            <w:vAlign w:val="center"/>
          </w:tcPr>
          <w:p w14:paraId="527E7BC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挂胶、自然干燥、擦拭、感光显影、打样DA008出口（F17）</w:t>
            </w:r>
          </w:p>
        </w:tc>
        <w:tc>
          <w:tcPr>
            <w:tcW w:w="327" w:type="pct"/>
            <w:shd w:val="clear" w:color="auto" w:fill="FFFFFF"/>
            <w:vAlign w:val="center"/>
          </w:tcPr>
          <w:p w14:paraId="1BAC6D1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4787CFD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0228747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非甲烷总烃</w:t>
            </w:r>
          </w:p>
        </w:tc>
        <w:tc>
          <w:tcPr>
            <w:tcW w:w="478" w:type="pct"/>
            <w:shd w:val="clear" w:color="auto" w:fill="FFFFFF"/>
            <w:vAlign w:val="center"/>
          </w:tcPr>
          <w:p w14:paraId="7427B87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B4D9A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C6FA1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1.11</w:t>
            </w:r>
          </w:p>
        </w:tc>
        <w:tc>
          <w:tcPr>
            <w:tcW w:w="394" w:type="pct"/>
            <w:shd w:val="clear" w:color="auto" w:fill="FFFFFF"/>
            <w:vAlign w:val="center"/>
          </w:tcPr>
          <w:p w14:paraId="76352E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1.10</w:t>
            </w:r>
          </w:p>
        </w:tc>
        <w:tc>
          <w:tcPr>
            <w:tcW w:w="394" w:type="pct"/>
            <w:shd w:val="clear" w:color="auto" w:fill="FFFFFF"/>
            <w:vAlign w:val="center"/>
          </w:tcPr>
          <w:p w14:paraId="322843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1.09</w:t>
            </w:r>
          </w:p>
        </w:tc>
        <w:tc>
          <w:tcPr>
            <w:tcW w:w="394" w:type="pct"/>
            <w:shd w:val="clear" w:color="auto" w:fill="FFFFFF"/>
            <w:vAlign w:val="center"/>
          </w:tcPr>
          <w:p w14:paraId="5CD832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1.10</w:t>
            </w:r>
          </w:p>
        </w:tc>
        <w:tc>
          <w:tcPr>
            <w:tcW w:w="304" w:type="pct"/>
            <w:shd w:val="clear" w:color="auto" w:fill="FFFFFF"/>
            <w:vAlign w:val="center"/>
          </w:tcPr>
          <w:p w14:paraId="27FF2E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60</w:t>
            </w:r>
          </w:p>
        </w:tc>
      </w:tr>
      <w:tr w14:paraId="595E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2ECEFA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DA008</w:t>
            </w:r>
          </w:p>
        </w:tc>
        <w:tc>
          <w:tcPr>
            <w:tcW w:w="917" w:type="pct"/>
            <w:shd w:val="clear" w:color="auto" w:fill="FFFFFF"/>
            <w:vAlign w:val="center"/>
          </w:tcPr>
          <w:p w14:paraId="33636E2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挂胶、自然干燥、擦拭、感光显影、打样DA008出口（F17）</w:t>
            </w:r>
          </w:p>
        </w:tc>
        <w:tc>
          <w:tcPr>
            <w:tcW w:w="327" w:type="pct"/>
            <w:shd w:val="clear" w:color="auto" w:fill="FFFFFF"/>
            <w:vAlign w:val="center"/>
          </w:tcPr>
          <w:p w14:paraId="5C8C826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出口</w:t>
            </w:r>
          </w:p>
        </w:tc>
        <w:tc>
          <w:tcPr>
            <w:tcW w:w="422" w:type="pct"/>
            <w:shd w:val="clear" w:color="auto" w:fill="FFFFFF"/>
            <w:vAlign w:val="center"/>
          </w:tcPr>
          <w:p w14:paraId="6699EDB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2025-07-19</w:t>
            </w:r>
          </w:p>
        </w:tc>
        <w:tc>
          <w:tcPr>
            <w:tcW w:w="363" w:type="pct"/>
            <w:shd w:val="clear" w:color="auto" w:fill="FFFFFF"/>
            <w:vAlign w:val="center"/>
          </w:tcPr>
          <w:p w14:paraId="1C52EE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非甲烷总烃</w:t>
            </w:r>
          </w:p>
        </w:tc>
        <w:tc>
          <w:tcPr>
            <w:tcW w:w="478" w:type="pct"/>
            <w:shd w:val="clear" w:color="auto" w:fill="FFFFFF"/>
            <w:vAlign w:val="center"/>
          </w:tcPr>
          <w:p w14:paraId="142708F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排放速率</w:t>
            </w:r>
          </w:p>
        </w:tc>
        <w:tc>
          <w:tcPr>
            <w:tcW w:w="304" w:type="pct"/>
            <w:shd w:val="clear" w:color="auto" w:fill="FFFFFF"/>
            <w:vAlign w:val="center"/>
          </w:tcPr>
          <w:p w14:paraId="761E5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604351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7.24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889D4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7.22</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908B3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7.14</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FD1D9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7.20</w:t>
            </w:r>
            <w:r>
              <w:rPr>
                <w:rFonts w:hint="eastAsia" w:ascii="Times New Roman" w:hAnsi="Times New Roman" w:eastAsia="仿宋_GB2312" w:cs="Times New Roman"/>
                <w:color w:val="auto"/>
                <w:kern w:val="2"/>
                <w:sz w:val="21"/>
                <w:szCs w:val="22"/>
                <w:highlight w:val="none"/>
                <w:lang w:val="en-US" w:eastAsia="zh-CN" w:bidi="ar-SA"/>
              </w:rPr>
              <w:t>×10</w:t>
            </w:r>
            <w:r>
              <w:rPr>
                <w:rFonts w:hint="eastAsia" w:ascii="Times New Roman" w:hAnsi="Times New Roman" w:eastAsia="仿宋_GB2312" w:cs="Times New Roman"/>
                <w:color w:val="auto"/>
                <w:kern w:val="2"/>
                <w:sz w:val="21"/>
                <w:szCs w:val="22"/>
                <w:highlight w:val="none"/>
                <w:vertAlign w:val="superscript"/>
                <w:lang w:val="en-US" w:eastAsia="zh-CN" w:bidi="ar-SA"/>
              </w:rPr>
              <w:t>-</w:t>
            </w:r>
            <w:r>
              <w:rPr>
                <w:rFonts w:hint="eastAsia"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26A86B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3</w:t>
            </w:r>
          </w:p>
        </w:tc>
      </w:tr>
      <w:tr w14:paraId="1236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F39A2E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DA009</w:t>
            </w:r>
          </w:p>
        </w:tc>
        <w:tc>
          <w:tcPr>
            <w:tcW w:w="917" w:type="pct"/>
            <w:shd w:val="clear" w:color="auto" w:fill="FFFFFF"/>
            <w:vAlign w:val="center"/>
          </w:tcPr>
          <w:p w14:paraId="59A1A7F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危废暂存仓库、废水处理站进口（F18）</w:t>
            </w:r>
          </w:p>
        </w:tc>
        <w:tc>
          <w:tcPr>
            <w:tcW w:w="327" w:type="pct"/>
            <w:shd w:val="clear" w:color="auto" w:fill="FFFFFF"/>
            <w:vAlign w:val="center"/>
          </w:tcPr>
          <w:p w14:paraId="12930FB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进口</w:t>
            </w:r>
          </w:p>
        </w:tc>
        <w:tc>
          <w:tcPr>
            <w:tcW w:w="422" w:type="pct"/>
            <w:shd w:val="clear" w:color="auto" w:fill="FFFFFF"/>
            <w:vAlign w:val="center"/>
          </w:tcPr>
          <w:p w14:paraId="0C494ED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2B8A748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氯化氢</w:t>
            </w:r>
          </w:p>
        </w:tc>
        <w:tc>
          <w:tcPr>
            <w:tcW w:w="478" w:type="pct"/>
            <w:shd w:val="clear" w:color="auto" w:fill="FFFFFF"/>
            <w:vAlign w:val="center"/>
          </w:tcPr>
          <w:p w14:paraId="7344D9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72FDDA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E8565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0.93</w:t>
            </w:r>
          </w:p>
        </w:tc>
        <w:tc>
          <w:tcPr>
            <w:tcW w:w="394" w:type="pct"/>
            <w:shd w:val="clear" w:color="auto" w:fill="FFFFFF"/>
            <w:vAlign w:val="center"/>
          </w:tcPr>
          <w:p w14:paraId="78173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1.17</w:t>
            </w:r>
          </w:p>
        </w:tc>
        <w:tc>
          <w:tcPr>
            <w:tcW w:w="394" w:type="pct"/>
            <w:shd w:val="clear" w:color="auto" w:fill="FFFFFF"/>
            <w:vAlign w:val="center"/>
          </w:tcPr>
          <w:p w14:paraId="71DD2C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0.87</w:t>
            </w:r>
          </w:p>
        </w:tc>
        <w:tc>
          <w:tcPr>
            <w:tcW w:w="394" w:type="pct"/>
            <w:shd w:val="clear" w:color="auto" w:fill="FFFFFF"/>
            <w:vAlign w:val="center"/>
          </w:tcPr>
          <w:p w14:paraId="400E9E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0.99</w:t>
            </w:r>
          </w:p>
        </w:tc>
        <w:tc>
          <w:tcPr>
            <w:tcW w:w="304" w:type="pct"/>
            <w:shd w:val="clear" w:color="auto" w:fill="FFFFFF"/>
            <w:vAlign w:val="center"/>
          </w:tcPr>
          <w:p w14:paraId="5397EA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2BF6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9F99E6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DA009</w:t>
            </w:r>
          </w:p>
        </w:tc>
        <w:tc>
          <w:tcPr>
            <w:tcW w:w="917" w:type="pct"/>
            <w:shd w:val="clear" w:color="auto" w:fill="FFFFFF"/>
            <w:vAlign w:val="center"/>
          </w:tcPr>
          <w:p w14:paraId="4BD964A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危废暂存仓库、废水处理站进口（F18）</w:t>
            </w:r>
          </w:p>
        </w:tc>
        <w:tc>
          <w:tcPr>
            <w:tcW w:w="327" w:type="pct"/>
            <w:shd w:val="clear" w:color="auto" w:fill="FFFFFF"/>
            <w:vAlign w:val="center"/>
          </w:tcPr>
          <w:p w14:paraId="58FF655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A691D8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41742BC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5FA0751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C927E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27B436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791FD5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1.69×10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4E3546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1.26×10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5E18AC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1.45×10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051036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482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23E187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282A59F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危废暂存仓库、废水处理站出口（F19）</w:t>
            </w:r>
          </w:p>
        </w:tc>
        <w:tc>
          <w:tcPr>
            <w:tcW w:w="327" w:type="pct"/>
            <w:shd w:val="clear" w:color="auto" w:fill="FFFFFF"/>
            <w:vAlign w:val="center"/>
          </w:tcPr>
          <w:p w14:paraId="1E76885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出口</w:t>
            </w:r>
          </w:p>
        </w:tc>
        <w:tc>
          <w:tcPr>
            <w:tcW w:w="422" w:type="pct"/>
            <w:shd w:val="clear" w:color="auto" w:fill="FFFFFF"/>
            <w:vAlign w:val="center"/>
          </w:tcPr>
          <w:p w14:paraId="35760A7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75DBCC8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1C182D5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48BDE2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27D49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0.61</w:t>
            </w:r>
          </w:p>
        </w:tc>
        <w:tc>
          <w:tcPr>
            <w:tcW w:w="394" w:type="pct"/>
            <w:shd w:val="clear" w:color="auto" w:fill="FFFFFF"/>
            <w:vAlign w:val="center"/>
          </w:tcPr>
          <w:p w14:paraId="173FA2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71F442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30E471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0.66</w:t>
            </w:r>
          </w:p>
        </w:tc>
        <w:tc>
          <w:tcPr>
            <w:tcW w:w="304" w:type="pct"/>
            <w:shd w:val="clear" w:color="auto" w:fill="FFFFFF"/>
            <w:vAlign w:val="center"/>
          </w:tcPr>
          <w:p w14:paraId="01B880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679F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355D00D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47A910EF">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危废暂存仓库、废水处理站出口（F19）</w:t>
            </w:r>
          </w:p>
        </w:tc>
        <w:tc>
          <w:tcPr>
            <w:tcW w:w="327" w:type="pct"/>
            <w:shd w:val="clear" w:color="auto" w:fill="FFFFFF"/>
            <w:vAlign w:val="center"/>
          </w:tcPr>
          <w:p w14:paraId="1D9E7E3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lang w:val="en-US" w:eastAsia="zh-CN"/>
              </w:rPr>
              <w:t>出口</w:t>
            </w:r>
          </w:p>
        </w:tc>
        <w:tc>
          <w:tcPr>
            <w:tcW w:w="422" w:type="pct"/>
            <w:shd w:val="clear" w:color="auto" w:fill="FFFFFF"/>
            <w:vAlign w:val="center"/>
          </w:tcPr>
          <w:p w14:paraId="7CFF1A8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2025-07-18</w:t>
            </w:r>
          </w:p>
        </w:tc>
        <w:tc>
          <w:tcPr>
            <w:tcW w:w="363" w:type="pct"/>
            <w:shd w:val="clear" w:color="auto" w:fill="FFFFFF"/>
            <w:vAlign w:val="center"/>
          </w:tcPr>
          <w:p w14:paraId="5176897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0D262C94">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F8522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754FD2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8.61×10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9E6E3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9.69×10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0B2F16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9.59×10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08F46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9.30×10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29AE94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0.18</w:t>
            </w:r>
          </w:p>
        </w:tc>
      </w:tr>
      <w:tr w14:paraId="13DD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00613AC">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041F441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危废暂存仓库、废水处理站进口（F18）</w:t>
            </w:r>
          </w:p>
        </w:tc>
        <w:tc>
          <w:tcPr>
            <w:tcW w:w="327" w:type="pct"/>
            <w:shd w:val="clear" w:color="auto" w:fill="FFFFFF"/>
            <w:vAlign w:val="center"/>
          </w:tcPr>
          <w:p w14:paraId="1F5825A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1A24B67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1041C0D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67EA31A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BE3F0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3C54B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0.94</w:t>
            </w:r>
          </w:p>
        </w:tc>
        <w:tc>
          <w:tcPr>
            <w:tcW w:w="394" w:type="pct"/>
            <w:shd w:val="clear" w:color="auto" w:fill="FFFFFF"/>
            <w:vAlign w:val="center"/>
          </w:tcPr>
          <w:p w14:paraId="6E6AE0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1.04</w:t>
            </w:r>
          </w:p>
        </w:tc>
        <w:tc>
          <w:tcPr>
            <w:tcW w:w="394" w:type="pct"/>
            <w:shd w:val="clear" w:color="auto" w:fill="FFFFFF"/>
            <w:vAlign w:val="center"/>
          </w:tcPr>
          <w:p w14:paraId="162C60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0.87</w:t>
            </w:r>
          </w:p>
        </w:tc>
        <w:tc>
          <w:tcPr>
            <w:tcW w:w="394" w:type="pct"/>
            <w:shd w:val="clear" w:color="auto" w:fill="FFFFFF"/>
            <w:vAlign w:val="center"/>
          </w:tcPr>
          <w:p w14:paraId="2A70ED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0.95</w:t>
            </w:r>
          </w:p>
        </w:tc>
        <w:tc>
          <w:tcPr>
            <w:tcW w:w="304" w:type="pct"/>
            <w:shd w:val="clear" w:color="auto" w:fill="FFFFFF"/>
            <w:vAlign w:val="center"/>
          </w:tcPr>
          <w:p w14:paraId="632A28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5F08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5561A776">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116226F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危废暂存仓库、废水处理站进口（F18）</w:t>
            </w:r>
          </w:p>
        </w:tc>
        <w:tc>
          <w:tcPr>
            <w:tcW w:w="327" w:type="pct"/>
            <w:shd w:val="clear" w:color="auto" w:fill="FFFFFF"/>
            <w:vAlign w:val="center"/>
          </w:tcPr>
          <w:p w14:paraId="50068A7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进口</w:t>
            </w:r>
          </w:p>
        </w:tc>
        <w:tc>
          <w:tcPr>
            <w:tcW w:w="422" w:type="pct"/>
            <w:shd w:val="clear" w:color="auto" w:fill="FFFFFF"/>
            <w:vAlign w:val="center"/>
          </w:tcPr>
          <w:p w14:paraId="7AEE0913">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4F04972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101A29E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1868D4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07F83A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1.46×10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016490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1.55×10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698155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1.30×10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2C62D3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1.43×10</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04" w:type="pct"/>
            <w:shd w:val="clear" w:color="auto" w:fill="FFFFFF"/>
            <w:vAlign w:val="center"/>
          </w:tcPr>
          <w:p w14:paraId="20E902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w:t>
            </w:r>
          </w:p>
        </w:tc>
      </w:tr>
      <w:tr w14:paraId="7C18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7CBFF58E">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7CECB0B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危废暂存仓库、废水处理站出口（F19）</w:t>
            </w:r>
          </w:p>
        </w:tc>
        <w:tc>
          <w:tcPr>
            <w:tcW w:w="327" w:type="pct"/>
            <w:shd w:val="clear" w:color="auto" w:fill="FFFFFF"/>
            <w:vAlign w:val="center"/>
          </w:tcPr>
          <w:p w14:paraId="7D5D1DA1">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178D83DB">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0B8A6F39">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0C7ED9B7">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排放浓度</w:t>
            </w:r>
          </w:p>
        </w:tc>
        <w:tc>
          <w:tcPr>
            <w:tcW w:w="304" w:type="pct"/>
            <w:shd w:val="clear" w:color="auto" w:fill="FFFFFF"/>
            <w:vAlign w:val="center"/>
          </w:tcPr>
          <w:p w14:paraId="1F39C4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mg/m</w:t>
            </w:r>
            <w:r>
              <w:rPr>
                <w:rFonts w:hint="eastAsia" w:ascii="Times New Roman" w:hAnsi="Times New Roman" w:eastAsia="仿宋_GB2312" w:cs="Times New Roman"/>
                <w:color w:val="auto"/>
                <w:kern w:val="2"/>
                <w:sz w:val="21"/>
                <w:szCs w:val="22"/>
                <w:highlight w:val="none"/>
                <w:vertAlign w:val="superscript"/>
                <w:lang w:val="en-US" w:eastAsia="zh-CN" w:bidi="ar-SA"/>
              </w:rPr>
              <w:t>3</w:t>
            </w:r>
          </w:p>
        </w:tc>
        <w:tc>
          <w:tcPr>
            <w:tcW w:w="394" w:type="pct"/>
            <w:shd w:val="clear" w:color="auto" w:fill="FFFFFF"/>
            <w:vAlign w:val="center"/>
          </w:tcPr>
          <w:p w14:paraId="1F4F32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0.60</w:t>
            </w:r>
          </w:p>
        </w:tc>
        <w:tc>
          <w:tcPr>
            <w:tcW w:w="394" w:type="pct"/>
            <w:shd w:val="clear" w:color="auto" w:fill="FFFFFF"/>
            <w:vAlign w:val="center"/>
          </w:tcPr>
          <w:p w14:paraId="286714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600B79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0.68</w:t>
            </w:r>
          </w:p>
        </w:tc>
        <w:tc>
          <w:tcPr>
            <w:tcW w:w="394" w:type="pct"/>
            <w:shd w:val="clear" w:color="auto" w:fill="FFFFFF"/>
            <w:vAlign w:val="center"/>
          </w:tcPr>
          <w:p w14:paraId="6D7D91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0.65</w:t>
            </w:r>
          </w:p>
        </w:tc>
        <w:tc>
          <w:tcPr>
            <w:tcW w:w="304" w:type="pct"/>
            <w:shd w:val="clear" w:color="auto" w:fill="FFFFFF"/>
            <w:vAlign w:val="center"/>
          </w:tcPr>
          <w:p w14:paraId="46AD58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10</w:t>
            </w:r>
          </w:p>
        </w:tc>
      </w:tr>
      <w:tr w14:paraId="3465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4" w:type="pct"/>
            <w:shd w:val="clear" w:color="auto" w:fill="FFFFFF"/>
            <w:vAlign w:val="center"/>
          </w:tcPr>
          <w:p w14:paraId="2C2267E0">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DA009</w:t>
            </w:r>
          </w:p>
        </w:tc>
        <w:tc>
          <w:tcPr>
            <w:tcW w:w="917" w:type="pct"/>
            <w:shd w:val="clear" w:color="auto" w:fill="FFFFFF"/>
            <w:vAlign w:val="center"/>
          </w:tcPr>
          <w:p w14:paraId="383B83A5">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危废暂存仓库、废水处理站出口（F19）</w:t>
            </w:r>
          </w:p>
        </w:tc>
        <w:tc>
          <w:tcPr>
            <w:tcW w:w="327" w:type="pct"/>
            <w:shd w:val="clear" w:color="auto" w:fill="FFFFFF"/>
            <w:vAlign w:val="center"/>
          </w:tcPr>
          <w:p w14:paraId="6C6374D8">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出口</w:t>
            </w:r>
          </w:p>
        </w:tc>
        <w:tc>
          <w:tcPr>
            <w:tcW w:w="422" w:type="pct"/>
            <w:shd w:val="clear" w:color="auto" w:fill="FFFFFF"/>
            <w:vAlign w:val="center"/>
          </w:tcPr>
          <w:p w14:paraId="24BB9872">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2025-07-19</w:t>
            </w:r>
          </w:p>
        </w:tc>
        <w:tc>
          <w:tcPr>
            <w:tcW w:w="363" w:type="pct"/>
            <w:shd w:val="clear" w:color="auto" w:fill="FFFFFF"/>
            <w:vAlign w:val="center"/>
          </w:tcPr>
          <w:p w14:paraId="12A0B23A">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氯化氢</w:t>
            </w:r>
          </w:p>
        </w:tc>
        <w:tc>
          <w:tcPr>
            <w:tcW w:w="478" w:type="pct"/>
            <w:shd w:val="clear" w:color="auto" w:fill="FFFFFF"/>
            <w:vAlign w:val="center"/>
          </w:tcPr>
          <w:p w14:paraId="1107916D">
            <w:pPr>
              <w:pStyle w:val="2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lang w:val="en-US" w:eastAsia="zh-CN"/>
              </w:rPr>
            </w:pPr>
            <w:r>
              <w:rPr>
                <w:rFonts w:hint="eastAsia"/>
                <w:lang w:val="en-US" w:eastAsia="zh-CN"/>
              </w:rPr>
              <w:t>排放速率</w:t>
            </w:r>
          </w:p>
        </w:tc>
        <w:tc>
          <w:tcPr>
            <w:tcW w:w="304" w:type="pct"/>
            <w:shd w:val="clear" w:color="auto" w:fill="FFFFFF"/>
            <w:vAlign w:val="center"/>
          </w:tcPr>
          <w:p w14:paraId="7C5BE3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kg/h</w:t>
            </w:r>
          </w:p>
        </w:tc>
        <w:tc>
          <w:tcPr>
            <w:tcW w:w="394" w:type="pct"/>
            <w:shd w:val="clear" w:color="auto" w:fill="FFFFFF"/>
            <w:vAlign w:val="center"/>
          </w:tcPr>
          <w:p w14:paraId="15C368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8.38×10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368A4B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9.59×10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1AE816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9.57×10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94" w:type="pct"/>
            <w:shd w:val="clear" w:color="auto" w:fill="FFFFFF"/>
            <w:vAlign w:val="center"/>
          </w:tcPr>
          <w:p w14:paraId="670E23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ascii="Times New Roman" w:hAnsi="Times New Roman" w:eastAsia="仿宋_GB2312" w:cs="Times New Roman"/>
                <w:color w:val="auto"/>
                <w:kern w:val="2"/>
                <w:sz w:val="21"/>
                <w:szCs w:val="22"/>
                <w:highlight w:val="none"/>
                <w:lang w:val="en-US" w:eastAsia="zh-CN" w:bidi="ar-SA"/>
              </w:rPr>
              <w:t>9.18×10</w:t>
            </w:r>
            <w:r>
              <w:rPr>
                <w:rFonts w:hint="eastAsia" w:ascii="Times New Roman" w:hAnsi="Times New Roman" w:eastAsia="仿宋_GB2312" w:cs="Times New Roman"/>
                <w:color w:val="auto"/>
                <w:kern w:val="2"/>
                <w:sz w:val="21"/>
                <w:szCs w:val="22"/>
                <w:highlight w:val="none"/>
                <w:vertAlign w:val="superscript"/>
                <w:lang w:val="en-US" w:eastAsia="zh-CN" w:bidi="ar-SA"/>
              </w:rPr>
              <w:t>-4</w:t>
            </w:r>
          </w:p>
        </w:tc>
        <w:tc>
          <w:tcPr>
            <w:tcW w:w="304" w:type="pct"/>
            <w:shd w:val="clear" w:color="auto" w:fill="FFFFFF"/>
            <w:vAlign w:val="center"/>
          </w:tcPr>
          <w:p w14:paraId="46BD75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_GB2312" w:cs="Times New Roman"/>
                <w:color w:val="auto"/>
                <w:kern w:val="2"/>
                <w:sz w:val="21"/>
                <w:szCs w:val="22"/>
                <w:highlight w:val="none"/>
                <w:lang w:val="en-US" w:eastAsia="zh-CN" w:bidi="ar-SA"/>
              </w:rPr>
            </w:pPr>
            <w:r>
              <w:rPr>
                <w:rFonts w:hint="eastAsia" w:cs="Times New Roman"/>
                <w:color w:val="auto"/>
                <w:kern w:val="2"/>
                <w:sz w:val="21"/>
                <w:szCs w:val="22"/>
                <w:highlight w:val="none"/>
                <w:lang w:val="en-US" w:eastAsia="zh-CN" w:bidi="ar-SA"/>
              </w:rPr>
              <w:t>0.18</w:t>
            </w:r>
          </w:p>
        </w:tc>
      </w:tr>
    </w:tbl>
    <w:p w14:paraId="0F5B8108">
      <w:pPr>
        <w:pStyle w:val="26"/>
        <w:bidi w:val="0"/>
        <w:rPr>
          <w:color w:val="auto"/>
        </w:rPr>
      </w:pPr>
    </w:p>
    <w:p w14:paraId="311FCDB3">
      <w:pPr>
        <w:rPr>
          <w:color w:val="auto"/>
          <w:highlight w:val="none"/>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4F748504">
      <w:pPr>
        <w:rPr>
          <w:rFonts w:hint="default" w:eastAsia="仿宋_GB2312"/>
          <w:color w:val="auto"/>
          <w:highlight w:val="none"/>
          <w:lang w:val="en-US" w:eastAsia="zh-CN"/>
        </w:rPr>
      </w:pPr>
      <w:r>
        <w:rPr>
          <w:rFonts w:hint="eastAsia"/>
          <w:color w:val="auto"/>
          <w:highlight w:val="none"/>
        </w:rPr>
        <w:t>验收监测表明：各设施硫酸雾、氯化氢、铬酸雾废气排放值均满足《电镀污染物排放标准》（GB21900-2008）表 5 排放限值，颗粒物、非甲烷总烃、二甲苯、酚类化合物、危废仓库排放的氯化氢均满足《大气污染物综合排放标准》(DB32/4041-2021)表 1 标准。</w:t>
      </w:r>
    </w:p>
    <w:p w14:paraId="6DCAAF81">
      <w:pPr>
        <w:pStyle w:val="46"/>
        <w:bidi w:val="0"/>
        <w:rPr>
          <w:color w:val="auto"/>
        </w:rPr>
      </w:pPr>
      <w:r>
        <w:rPr>
          <w:color w:val="auto"/>
        </w:rPr>
        <w:t>2）无组织废气</w:t>
      </w:r>
    </w:p>
    <w:p w14:paraId="62993C08">
      <w:pPr>
        <w:rPr>
          <w:color w:val="auto"/>
          <w:highlight w:val="none"/>
        </w:rPr>
      </w:pPr>
      <w:r>
        <w:rPr>
          <w:color w:val="auto"/>
          <w:highlight w:val="none"/>
        </w:rPr>
        <w:t>根据</w:t>
      </w:r>
      <w:r>
        <w:rPr>
          <w:rFonts w:hint="eastAsia"/>
          <w:color w:val="auto"/>
          <w:highlight w:val="none"/>
          <w:lang w:eastAsia="zh-CN"/>
        </w:rPr>
        <w:t>《昆山运城压纹制版有限公司激光雕刻绿色智能化生产线项目第一阶段竣工环境保护验收监测报告表》</w:t>
      </w:r>
      <w:r>
        <w:rPr>
          <w:color w:val="auto"/>
          <w:highlight w:val="none"/>
        </w:rPr>
        <w:t>，</w:t>
      </w:r>
      <w:r>
        <w:rPr>
          <w:rFonts w:hint="eastAsia"/>
          <w:color w:val="auto"/>
        </w:rPr>
        <w:t>废气采样时间为202</w:t>
      </w:r>
      <w:r>
        <w:rPr>
          <w:rFonts w:hint="eastAsia" w:ascii="Times New Roman" w:eastAsia="仿宋_GB2312"/>
          <w:color w:val="auto"/>
          <w:lang w:val="en-US" w:eastAsia="zh-CN"/>
        </w:rPr>
        <w:t>5年7月，</w:t>
      </w:r>
      <w:r>
        <w:rPr>
          <w:color w:val="auto"/>
          <w:highlight w:val="none"/>
        </w:rPr>
        <w:t>无组织废气监测数据统计见下表。</w:t>
      </w:r>
    </w:p>
    <w:p w14:paraId="15B59C6A">
      <w:pPr>
        <w:pStyle w:val="25"/>
        <w:bidi w:val="0"/>
        <w:rPr>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lang w:val="en-US" w:eastAsia="zh-CN"/>
        </w:rPr>
        <w:t>厂界</w:t>
      </w:r>
      <w:r>
        <w:rPr>
          <w:color w:val="auto"/>
          <w:highlight w:val="none"/>
        </w:rPr>
        <w:t>无组织废气达标排放情况（mg/</w:t>
      </w:r>
      <w:r>
        <w:rPr>
          <w:rFonts w:hint="eastAsia"/>
          <w:color w:val="auto"/>
          <w:highlight w:val="none"/>
          <w:lang w:eastAsia="zh-CN"/>
        </w:rPr>
        <w:t>m</w:t>
      </w:r>
      <w:r>
        <w:rPr>
          <w:rFonts w:hint="eastAsia"/>
          <w:color w:val="auto"/>
          <w:highlight w:val="none"/>
          <w:vertAlign w:val="superscript"/>
          <w:lang w:eastAsia="zh-CN"/>
        </w:rPr>
        <w:t>3</w:t>
      </w:r>
      <w:r>
        <w:rPr>
          <w:color w:val="auto"/>
          <w:highlight w:val="none"/>
        </w:rPr>
        <w:t>）</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21"/>
        <w:gridCol w:w="1519"/>
        <w:gridCol w:w="1491"/>
        <w:gridCol w:w="1297"/>
        <w:gridCol w:w="1447"/>
        <w:gridCol w:w="1344"/>
      </w:tblGrid>
      <w:tr w14:paraId="5B56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34" w:type="pct"/>
            <w:shd w:val="clear" w:color="auto" w:fill="auto"/>
            <w:noWrap/>
            <w:vAlign w:val="center"/>
          </w:tcPr>
          <w:p w14:paraId="79002F6F">
            <w:pPr>
              <w:pStyle w:val="36"/>
              <w:bidi w:val="0"/>
              <w:rPr>
                <w:rFonts w:hint="eastAsia"/>
                <w:color w:val="auto"/>
              </w:rPr>
            </w:pPr>
            <w:r>
              <w:rPr>
                <w:rFonts w:hint="eastAsia"/>
                <w:color w:val="auto"/>
                <w:lang w:val="en-US" w:eastAsia="zh-CN"/>
              </w:rPr>
              <w:t>监测时间</w:t>
            </w:r>
          </w:p>
        </w:tc>
        <w:tc>
          <w:tcPr>
            <w:tcW w:w="891" w:type="pct"/>
            <w:shd w:val="clear" w:color="auto" w:fill="auto"/>
            <w:vAlign w:val="center"/>
          </w:tcPr>
          <w:p w14:paraId="08105688">
            <w:pPr>
              <w:pStyle w:val="36"/>
              <w:bidi w:val="0"/>
              <w:rPr>
                <w:color w:val="auto"/>
              </w:rPr>
            </w:pPr>
            <w:r>
              <w:rPr>
                <w:rFonts w:hint="eastAsia"/>
                <w:color w:val="auto"/>
                <w:lang w:val="en-US" w:eastAsia="zh-CN"/>
              </w:rPr>
              <w:t>检测项目</w:t>
            </w:r>
          </w:p>
        </w:tc>
        <w:tc>
          <w:tcPr>
            <w:tcW w:w="875" w:type="pct"/>
            <w:shd w:val="clear" w:color="auto" w:fill="auto"/>
            <w:vAlign w:val="center"/>
          </w:tcPr>
          <w:p w14:paraId="516B8D33">
            <w:pPr>
              <w:pStyle w:val="36"/>
              <w:bidi w:val="0"/>
              <w:rPr>
                <w:rFonts w:hint="eastAsia"/>
                <w:color w:val="auto"/>
              </w:rPr>
            </w:pPr>
            <w:r>
              <w:rPr>
                <w:rFonts w:hint="eastAsia"/>
                <w:color w:val="auto"/>
                <w:lang w:val="en-US" w:eastAsia="zh-CN"/>
              </w:rPr>
              <w:t>点位名称</w:t>
            </w:r>
          </w:p>
        </w:tc>
        <w:tc>
          <w:tcPr>
            <w:tcW w:w="761" w:type="pct"/>
            <w:shd w:val="clear" w:color="auto" w:fill="auto"/>
            <w:vAlign w:val="center"/>
          </w:tcPr>
          <w:p w14:paraId="547030E9">
            <w:pPr>
              <w:pStyle w:val="36"/>
              <w:bidi w:val="0"/>
              <w:rPr>
                <w:rFonts w:hint="default"/>
                <w:color w:val="auto"/>
                <w:lang w:val="en-US"/>
              </w:rPr>
            </w:pPr>
            <w:r>
              <w:rPr>
                <w:rFonts w:hint="eastAsia"/>
                <w:color w:val="auto"/>
                <w:lang w:val="en-US" w:eastAsia="zh-CN"/>
              </w:rPr>
              <w:t>检测结果（最大值）</w:t>
            </w:r>
          </w:p>
        </w:tc>
        <w:tc>
          <w:tcPr>
            <w:tcW w:w="849" w:type="pct"/>
            <w:shd w:val="clear" w:color="auto" w:fill="auto"/>
            <w:vAlign w:val="center"/>
          </w:tcPr>
          <w:p w14:paraId="433DFCC2">
            <w:pPr>
              <w:pStyle w:val="36"/>
              <w:bidi w:val="0"/>
              <w:rPr>
                <w:rFonts w:hint="eastAsia"/>
                <w:color w:val="auto"/>
              </w:rPr>
            </w:pPr>
            <w:r>
              <w:rPr>
                <w:rFonts w:hint="eastAsia"/>
                <w:color w:val="auto"/>
                <w:lang w:val="en-US" w:eastAsia="zh-CN"/>
              </w:rPr>
              <w:t>标准限值</w:t>
            </w:r>
          </w:p>
        </w:tc>
        <w:tc>
          <w:tcPr>
            <w:tcW w:w="788" w:type="pct"/>
            <w:shd w:val="clear" w:color="auto" w:fill="auto"/>
            <w:vAlign w:val="center"/>
          </w:tcPr>
          <w:p w14:paraId="0A3A9939">
            <w:pPr>
              <w:pStyle w:val="36"/>
              <w:bidi w:val="0"/>
              <w:rPr>
                <w:rFonts w:hint="eastAsia"/>
                <w:color w:val="auto"/>
              </w:rPr>
            </w:pPr>
            <w:r>
              <w:rPr>
                <w:rFonts w:hint="eastAsia"/>
                <w:color w:val="auto"/>
                <w:lang w:val="en-US" w:eastAsia="zh-CN"/>
              </w:rPr>
              <w:t>达标分析</w:t>
            </w:r>
          </w:p>
        </w:tc>
      </w:tr>
      <w:tr w14:paraId="3CA4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834" w:type="pct"/>
            <w:vMerge w:val="restart"/>
            <w:shd w:val="clear" w:color="auto" w:fill="auto"/>
            <w:noWrap/>
            <w:vAlign w:val="center"/>
          </w:tcPr>
          <w:p w14:paraId="5A499526">
            <w:pPr>
              <w:pStyle w:val="26"/>
              <w:bidi w:val="0"/>
              <w:rPr>
                <w:rFonts w:hint="default"/>
                <w:color w:val="auto"/>
                <w:lang w:val="en-US"/>
              </w:rPr>
            </w:pPr>
            <w:r>
              <w:rPr>
                <w:rFonts w:hint="eastAsia"/>
                <w:color w:val="auto"/>
                <w:lang w:val="en-US" w:eastAsia="zh-CN"/>
              </w:rPr>
              <w:t>2025-7-14</w:t>
            </w:r>
          </w:p>
        </w:tc>
        <w:tc>
          <w:tcPr>
            <w:tcW w:w="891" w:type="pct"/>
            <w:vMerge w:val="restart"/>
            <w:shd w:val="clear" w:color="auto" w:fill="auto"/>
            <w:vAlign w:val="center"/>
          </w:tcPr>
          <w:p w14:paraId="75FA1D3D">
            <w:pPr>
              <w:pStyle w:val="26"/>
              <w:bidi w:val="0"/>
              <w:rPr>
                <w:rFonts w:hint="eastAsia"/>
                <w:color w:val="auto"/>
              </w:rPr>
            </w:pPr>
            <w:r>
              <w:rPr>
                <w:rFonts w:hint="eastAsia"/>
                <w:color w:val="auto"/>
                <w:lang w:val="en-US" w:eastAsia="zh-CN"/>
              </w:rPr>
              <w:t>总悬浮颗粒物(mg/m³)</w:t>
            </w:r>
          </w:p>
        </w:tc>
        <w:tc>
          <w:tcPr>
            <w:tcW w:w="875" w:type="pct"/>
            <w:shd w:val="clear" w:color="auto" w:fill="auto"/>
            <w:vAlign w:val="center"/>
          </w:tcPr>
          <w:p w14:paraId="771D62DD">
            <w:pPr>
              <w:pStyle w:val="26"/>
              <w:bidi w:val="0"/>
              <w:rPr>
                <w:rFonts w:hint="eastAsia"/>
                <w:color w:val="auto"/>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071B82C3">
            <w:pPr>
              <w:pStyle w:val="26"/>
              <w:bidi w:val="0"/>
              <w:rPr>
                <w:rFonts w:hint="default"/>
                <w:color w:val="auto"/>
                <w:lang w:val="en-US"/>
              </w:rPr>
            </w:pPr>
            <w:r>
              <w:rPr>
                <w:rFonts w:hint="default"/>
                <w:color w:val="auto"/>
                <w:lang w:val="en-US" w:eastAsia="zh-CN"/>
              </w:rPr>
              <w:t>0.</w:t>
            </w:r>
            <w:r>
              <w:rPr>
                <w:rFonts w:hint="eastAsia"/>
                <w:color w:val="auto"/>
                <w:lang w:val="en-US" w:eastAsia="zh-CN"/>
              </w:rPr>
              <w:t>264</w:t>
            </w:r>
          </w:p>
        </w:tc>
        <w:tc>
          <w:tcPr>
            <w:tcW w:w="849" w:type="pct"/>
            <w:vMerge w:val="restart"/>
            <w:shd w:val="clear" w:color="auto" w:fill="auto"/>
            <w:vAlign w:val="center"/>
          </w:tcPr>
          <w:p w14:paraId="2E7A6CD1">
            <w:pPr>
              <w:pStyle w:val="26"/>
              <w:bidi w:val="0"/>
              <w:rPr>
                <w:rFonts w:hint="default"/>
                <w:color w:val="auto"/>
                <w:lang w:val="en-US"/>
              </w:rPr>
            </w:pPr>
            <w:r>
              <w:rPr>
                <w:rFonts w:hint="eastAsia"/>
                <w:color w:val="auto"/>
                <w:lang w:val="en-US" w:eastAsia="zh-CN"/>
              </w:rPr>
              <w:t>0.5</w:t>
            </w:r>
          </w:p>
        </w:tc>
        <w:tc>
          <w:tcPr>
            <w:tcW w:w="788" w:type="pct"/>
            <w:vMerge w:val="restart"/>
            <w:shd w:val="clear" w:color="auto" w:fill="auto"/>
            <w:noWrap/>
            <w:vAlign w:val="center"/>
          </w:tcPr>
          <w:p w14:paraId="3874263E">
            <w:pPr>
              <w:pStyle w:val="26"/>
              <w:bidi w:val="0"/>
              <w:rPr>
                <w:rFonts w:hint="eastAsia"/>
                <w:color w:val="auto"/>
              </w:rPr>
            </w:pPr>
            <w:r>
              <w:rPr>
                <w:rFonts w:hint="eastAsia"/>
                <w:color w:val="auto"/>
                <w:lang w:val="en-US" w:eastAsia="zh-CN"/>
              </w:rPr>
              <w:t>达标</w:t>
            </w:r>
          </w:p>
        </w:tc>
      </w:tr>
      <w:tr w14:paraId="17C1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1047A78C">
            <w:pPr>
              <w:bidi w:val="0"/>
              <w:rPr>
                <w:rFonts w:hint="eastAsia"/>
                <w:color w:val="auto"/>
              </w:rPr>
            </w:pPr>
          </w:p>
        </w:tc>
        <w:tc>
          <w:tcPr>
            <w:tcW w:w="891" w:type="pct"/>
            <w:vMerge w:val="continue"/>
            <w:shd w:val="clear" w:color="auto" w:fill="auto"/>
            <w:vAlign w:val="center"/>
          </w:tcPr>
          <w:p w14:paraId="1C2CE061">
            <w:pPr>
              <w:bidi w:val="0"/>
              <w:rPr>
                <w:rFonts w:hint="eastAsia"/>
                <w:color w:val="auto"/>
              </w:rPr>
            </w:pPr>
          </w:p>
        </w:tc>
        <w:tc>
          <w:tcPr>
            <w:tcW w:w="875" w:type="pct"/>
            <w:shd w:val="clear" w:color="auto" w:fill="auto"/>
            <w:vAlign w:val="center"/>
          </w:tcPr>
          <w:p w14:paraId="0B7B335E">
            <w:pPr>
              <w:pStyle w:val="26"/>
              <w:bidi w:val="0"/>
              <w:rPr>
                <w:rFonts w:hint="eastAsia"/>
                <w:color w:val="auto"/>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44D16D26">
            <w:pPr>
              <w:pStyle w:val="26"/>
              <w:bidi w:val="0"/>
              <w:rPr>
                <w:rFonts w:hint="default" w:eastAsia="仿宋_GB2312"/>
                <w:color w:val="auto"/>
                <w:lang w:val="en-US" w:eastAsia="zh-CN"/>
              </w:rPr>
            </w:pPr>
            <w:r>
              <w:rPr>
                <w:rFonts w:hint="eastAsia"/>
                <w:color w:val="auto"/>
                <w:lang w:val="en-US" w:eastAsia="zh-CN"/>
              </w:rPr>
              <w:t>0.363</w:t>
            </w:r>
          </w:p>
        </w:tc>
        <w:tc>
          <w:tcPr>
            <w:tcW w:w="849" w:type="pct"/>
            <w:vMerge w:val="continue"/>
            <w:shd w:val="clear" w:color="auto" w:fill="auto"/>
            <w:vAlign w:val="center"/>
          </w:tcPr>
          <w:p w14:paraId="42B1F1B0">
            <w:pPr>
              <w:bidi w:val="0"/>
              <w:rPr>
                <w:rFonts w:hint="default"/>
                <w:color w:val="auto"/>
              </w:rPr>
            </w:pPr>
          </w:p>
        </w:tc>
        <w:tc>
          <w:tcPr>
            <w:tcW w:w="788" w:type="pct"/>
            <w:vMerge w:val="continue"/>
            <w:shd w:val="clear" w:color="auto" w:fill="auto"/>
            <w:noWrap/>
            <w:vAlign w:val="center"/>
          </w:tcPr>
          <w:p w14:paraId="0CF28068">
            <w:pPr>
              <w:bidi w:val="0"/>
              <w:rPr>
                <w:rFonts w:hint="eastAsia"/>
                <w:color w:val="auto"/>
              </w:rPr>
            </w:pPr>
          </w:p>
        </w:tc>
      </w:tr>
      <w:tr w14:paraId="3283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834" w:type="pct"/>
            <w:vMerge w:val="continue"/>
            <w:shd w:val="clear" w:color="auto" w:fill="auto"/>
            <w:noWrap/>
            <w:vAlign w:val="center"/>
          </w:tcPr>
          <w:p w14:paraId="48912322">
            <w:pPr>
              <w:bidi w:val="0"/>
              <w:rPr>
                <w:rFonts w:hint="eastAsia"/>
                <w:color w:val="auto"/>
              </w:rPr>
            </w:pPr>
          </w:p>
        </w:tc>
        <w:tc>
          <w:tcPr>
            <w:tcW w:w="891" w:type="pct"/>
            <w:vMerge w:val="continue"/>
            <w:shd w:val="clear" w:color="auto" w:fill="auto"/>
            <w:vAlign w:val="center"/>
          </w:tcPr>
          <w:p w14:paraId="74299296">
            <w:pPr>
              <w:bidi w:val="0"/>
              <w:rPr>
                <w:rFonts w:hint="eastAsia"/>
                <w:color w:val="auto"/>
              </w:rPr>
            </w:pPr>
          </w:p>
        </w:tc>
        <w:tc>
          <w:tcPr>
            <w:tcW w:w="875" w:type="pct"/>
            <w:shd w:val="clear" w:color="auto" w:fill="auto"/>
            <w:vAlign w:val="center"/>
          </w:tcPr>
          <w:p w14:paraId="076273AB">
            <w:pPr>
              <w:pStyle w:val="26"/>
              <w:bidi w:val="0"/>
              <w:rPr>
                <w:rFonts w:hint="eastAsia"/>
                <w:color w:val="auto"/>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474C6093">
            <w:pPr>
              <w:pStyle w:val="26"/>
              <w:bidi w:val="0"/>
              <w:rPr>
                <w:rFonts w:hint="default" w:eastAsia="仿宋_GB2312"/>
                <w:color w:val="auto"/>
                <w:lang w:val="en-US" w:eastAsia="zh-CN"/>
              </w:rPr>
            </w:pPr>
            <w:r>
              <w:rPr>
                <w:rFonts w:hint="eastAsia"/>
                <w:color w:val="auto"/>
                <w:lang w:val="en-US" w:eastAsia="zh-CN"/>
              </w:rPr>
              <w:t>0.373</w:t>
            </w:r>
          </w:p>
        </w:tc>
        <w:tc>
          <w:tcPr>
            <w:tcW w:w="849" w:type="pct"/>
            <w:vMerge w:val="continue"/>
            <w:shd w:val="clear" w:color="auto" w:fill="auto"/>
            <w:vAlign w:val="center"/>
          </w:tcPr>
          <w:p w14:paraId="26677095">
            <w:pPr>
              <w:bidi w:val="0"/>
              <w:rPr>
                <w:rFonts w:hint="default"/>
                <w:color w:val="auto"/>
              </w:rPr>
            </w:pPr>
          </w:p>
        </w:tc>
        <w:tc>
          <w:tcPr>
            <w:tcW w:w="788" w:type="pct"/>
            <w:vMerge w:val="continue"/>
            <w:shd w:val="clear" w:color="auto" w:fill="auto"/>
            <w:noWrap/>
            <w:vAlign w:val="center"/>
          </w:tcPr>
          <w:p w14:paraId="1F7FD551">
            <w:pPr>
              <w:bidi w:val="0"/>
              <w:rPr>
                <w:rFonts w:hint="eastAsia"/>
                <w:color w:val="auto"/>
              </w:rPr>
            </w:pPr>
          </w:p>
        </w:tc>
      </w:tr>
      <w:tr w14:paraId="1E3C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637EECC3">
            <w:pPr>
              <w:bidi w:val="0"/>
              <w:rPr>
                <w:rFonts w:hint="eastAsia"/>
                <w:color w:val="auto"/>
              </w:rPr>
            </w:pPr>
          </w:p>
        </w:tc>
        <w:tc>
          <w:tcPr>
            <w:tcW w:w="891" w:type="pct"/>
            <w:vMerge w:val="continue"/>
            <w:shd w:val="clear" w:color="auto" w:fill="auto"/>
            <w:vAlign w:val="center"/>
          </w:tcPr>
          <w:p w14:paraId="52CBA03D">
            <w:pPr>
              <w:bidi w:val="0"/>
              <w:rPr>
                <w:rFonts w:hint="eastAsia"/>
                <w:color w:val="auto"/>
              </w:rPr>
            </w:pPr>
          </w:p>
        </w:tc>
        <w:tc>
          <w:tcPr>
            <w:tcW w:w="875" w:type="pct"/>
            <w:shd w:val="clear" w:color="auto" w:fill="auto"/>
            <w:vAlign w:val="center"/>
          </w:tcPr>
          <w:p w14:paraId="59C8FDEC">
            <w:pPr>
              <w:pStyle w:val="26"/>
              <w:bidi w:val="0"/>
              <w:rPr>
                <w:rFonts w:hint="eastAsia"/>
                <w:color w:val="auto"/>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30C96950">
            <w:pPr>
              <w:pStyle w:val="26"/>
              <w:bidi w:val="0"/>
              <w:rPr>
                <w:rFonts w:hint="default" w:eastAsia="仿宋_GB2312"/>
                <w:color w:val="auto"/>
                <w:lang w:val="en-US" w:eastAsia="zh-CN"/>
              </w:rPr>
            </w:pPr>
            <w:r>
              <w:rPr>
                <w:rFonts w:hint="eastAsia"/>
                <w:color w:val="auto"/>
                <w:lang w:val="en-US" w:eastAsia="zh-CN"/>
              </w:rPr>
              <w:t>0.376</w:t>
            </w:r>
          </w:p>
        </w:tc>
        <w:tc>
          <w:tcPr>
            <w:tcW w:w="849" w:type="pct"/>
            <w:vMerge w:val="continue"/>
            <w:shd w:val="clear" w:color="auto" w:fill="auto"/>
            <w:vAlign w:val="center"/>
          </w:tcPr>
          <w:p w14:paraId="615F29F7">
            <w:pPr>
              <w:bidi w:val="0"/>
              <w:rPr>
                <w:rFonts w:hint="default"/>
                <w:color w:val="auto"/>
              </w:rPr>
            </w:pPr>
          </w:p>
        </w:tc>
        <w:tc>
          <w:tcPr>
            <w:tcW w:w="788" w:type="pct"/>
            <w:vMerge w:val="continue"/>
            <w:shd w:val="clear" w:color="auto" w:fill="auto"/>
            <w:noWrap/>
            <w:vAlign w:val="center"/>
          </w:tcPr>
          <w:p w14:paraId="422A6F45">
            <w:pPr>
              <w:bidi w:val="0"/>
              <w:rPr>
                <w:rFonts w:hint="eastAsia"/>
                <w:color w:val="auto"/>
              </w:rPr>
            </w:pPr>
          </w:p>
        </w:tc>
      </w:tr>
      <w:tr w14:paraId="1CCD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67790D38">
            <w:pPr>
              <w:bidi w:val="0"/>
              <w:rPr>
                <w:rFonts w:hint="eastAsia"/>
                <w:color w:val="auto"/>
              </w:rPr>
            </w:pPr>
          </w:p>
        </w:tc>
        <w:tc>
          <w:tcPr>
            <w:tcW w:w="891" w:type="pct"/>
            <w:vMerge w:val="restart"/>
            <w:shd w:val="clear" w:color="auto" w:fill="auto"/>
            <w:vAlign w:val="center"/>
          </w:tcPr>
          <w:p w14:paraId="024118B5">
            <w:pPr>
              <w:pStyle w:val="26"/>
              <w:bidi w:val="0"/>
              <w:rPr>
                <w:rFonts w:hint="eastAsia"/>
                <w:color w:val="auto"/>
              </w:rPr>
            </w:pPr>
            <w:r>
              <w:rPr>
                <w:rFonts w:hint="eastAsia"/>
                <w:color w:val="auto"/>
                <w:lang w:val="en-US" w:eastAsia="zh-CN"/>
              </w:rPr>
              <w:t>氯化氢</w:t>
            </w:r>
          </w:p>
        </w:tc>
        <w:tc>
          <w:tcPr>
            <w:tcW w:w="875" w:type="pct"/>
            <w:shd w:val="clear" w:color="auto" w:fill="auto"/>
            <w:vAlign w:val="center"/>
          </w:tcPr>
          <w:p w14:paraId="5CDF8CC0">
            <w:pPr>
              <w:pStyle w:val="26"/>
              <w:bidi w:val="0"/>
              <w:rPr>
                <w:rFonts w:hint="eastAsia"/>
                <w:color w:val="auto"/>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466EDD60">
            <w:pPr>
              <w:pStyle w:val="26"/>
              <w:bidi w:val="0"/>
              <w:rPr>
                <w:rFonts w:hint="default"/>
                <w:color w:val="auto"/>
                <w:lang w:val="en-US"/>
              </w:rPr>
            </w:pPr>
            <w:r>
              <w:rPr>
                <w:rFonts w:hint="eastAsia"/>
                <w:color w:val="auto"/>
                <w:lang w:val="en-US" w:eastAsia="zh-CN"/>
              </w:rPr>
              <w:t>ND</w:t>
            </w:r>
          </w:p>
        </w:tc>
        <w:tc>
          <w:tcPr>
            <w:tcW w:w="849" w:type="pct"/>
            <w:vMerge w:val="restart"/>
            <w:shd w:val="clear" w:color="auto" w:fill="auto"/>
            <w:vAlign w:val="center"/>
          </w:tcPr>
          <w:p w14:paraId="66ABB931">
            <w:pPr>
              <w:pStyle w:val="26"/>
              <w:bidi w:val="0"/>
              <w:rPr>
                <w:rFonts w:hint="default"/>
                <w:color w:val="auto"/>
                <w:lang w:val="en-US" w:eastAsia="zh-CN"/>
              </w:rPr>
            </w:pPr>
            <w:r>
              <w:rPr>
                <w:rFonts w:hint="eastAsia"/>
                <w:color w:val="auto"/>
                <w:lang w:val="en-US" w:eastAsia="zh-CN"/>
              </w:rPr>
              <w:t>0.05</w:t>
            </w:r>
          </w:p>
        </w:tc>
        <w:tc>
          <w:tcPr>
            <w:tcW w:w="788" w:type="pct"/>
            <w:vMerge w:val="restart"/>
            <w:shd w:val="clear" w:color="auto" w:fill="auto"/>
            <w:noWrap/>
            <w:vAlign w:val="center"/>
          </w:tcPr>
          <w:p w14:paraId="69E9D4D9">
            <w:pPr>
              <w:pStyle w:val="26"/>
              <w:bidi w:val="0"/>
              <w:rPr>
                <w:rFonts w:hint="eastAsia"/>
                <w:color w:val="auto"/>
              </w:rPr>
            </w:pPr>
            <w:r>
              <w:rPr>
                <w:rFonts w:hint="eastAsia"/>
                <w:color w:val="auto"/>
                <w:lang w:val="en-US" w:eastAsia="zh-CN"/>
              </w:rPr>
              <w:t>达标</w:t>
            </w:r>
          </w:p>
        </w:tc>
      </w:tr>
      <w:tr w14:paraId="44A9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02C433C8">
            <w:pPr>
              <w:bidi w:val="0"/>
              <w:rPr>
                <w:rFonts w:hint="eastAsia"/>
                <w:color w:val="auto"/>
              </w:rPr>
            </w:pPr>
          </w:p>
        </w:tc>
        <w:tc>
          <w:tcPr>
            <w:tcW w:w="891" w:type="pct"/>
            <w:vMerge w:val="continue"/>
            <w:shd w:val="clear" w:color="auto" w:fill="auto"/>
            <w:vAlign w:val="center"/>
          </w:tcPr>
          <w:p w14:paraId="259AE6EE">
            <w:pPr>
              <w:bidi w:val="0"/>
              <w:rPr>
                <w:rFonts w:hint="eastAsia"/>
                <w:color w:val="auto"/>
              </w:rPr>
            </w:pPr>
          </w:p>
        </w:tc>
        <w:tc>
          <w:tcPr>
            <w:tcW w:w="875" w:type="pct"/>
            <w:shd w:val="clear" w:color="auto" w:fill="auto"/>
            <w:vAlign w:val="center"/>
          </w:tcPr>
          <w:p w14:paraId="4BF0674A">
            <w:pPr>
              <w:pStyle w:val="26"/>
              <w:bidi w:val="0"/>
              <w:rPr>
                <w:rFonts w:hint="eastAsia"/>
                <w:color w:val="auto"/>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096D0EDD">
            <w:pPr>
              <w:pStyle w:val="26"/>
              <w:bidi w:val="0"/>
              <w:rPr>
                <w:rFonts w:hint="default"/>
                <w:color w:val="auto"/>
                <w:lang w:val="en-US"/>
              </w:rPr>
            </w:pPr>
            <w:r>
              <w:rPr>
                <w:rFonts w:hint="eastAsia"/>
                <w:color w:val="auto"/>
                <w:lang w:val="en-US" w:eastAsia="zh-CN"/>
              </w:rPr>
              <w:t>0.045</w:t>
            </w:r>
          </w:p>
        </w:tc>
        <w:tc>
          <w:tcPr>
            <w:tcW w:w="849" w:type="pct"/>
            <w:vMerge w:val="continue"/>
            <w:shd w:val="clear" w:color="auto" w:fill="auto"/>
            <w:vAlign w:val="center"/>
          </w:tcPr>
          <w:p w14:paraId="49E1D1C7">
            <w:pPr>
              <w:bidi w:val="0"/>
              <w:rPr>
                <w:rFonts w:hint="default"/>
                <w:color w:val="auto"/>
              </w:rPr>
            </w:pPr>
          </w:p>
        </w:tc>
        <w:tc>
          <w:tcPr>
            <w:tcW w:w="788" w:type="pct"/>
            <w:vMerge w:val="continue"/>
            <w:shd w:val="clear" w:color="auto" w:fill="auto"/>
            <w:noWrap/>
            <w:vAlign w:val="center"/>
          </w:tcPr>
          <w:p w14:paraId="665302C0">
            <w:pPr>
              <w:bidi w:val="0"/>
              <w:rPr>
                <w:rFonts w:hint="eastAsia"/>
                <w:color w:val="auto"/>
              </w:rPr>
            </w:pPr>
          </w:p>
        </w:tc>
      </w:tr>
      <w:tr w14:paraId="52A9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587EE1BB">
            <w:pPr>
              <w:bidi w:val="0"/>
              <w:rPr>
                <w:rFonts w:hint="eastAsia"/>
                <w:color w:val="auto"/>
              </w:rPr>
            </w:pPr>
          </w:p>
        </w:tc>
        <w:tc>
          <w:tcPr>
            <w:tcW w:w="891" w:type="pct"/>
            <w:vMerge w:val="continue"/>
            <w:shd w:val="clear" w:color="auto" w:fill="auto"/>
            <w:vAlign w:val="center"/>
          </w:tcPr>
          <w:p w14:paraId="6E9793AB">
            <w:pPr>
              <w:bidi w:val="0"/>
              <w:rPr>
                <w:rFonts w:hint="eastAsia"/>
                <w:color w:val="auto"/>
              </w:rPr>
            </w:pPr>
          </w:p>
        </w:tc>
        <w:tc>
          <w:tcPr>
            <w:tcW w:w="875" w:type="pct"/>
            <w:shd w:val="clear" w:color="auto" w:fill="auto"/>
            <w:vAlign w:val="center"/>
          </w:tcPr>
          <w:p w14:paraId="0886A715">
            <w:pPr>
              <w:pStyle w:val="26"/>
              <w:bidi w:val="0"/>
              <w:rPr>
                <w:rFonts w:hint="eastAsia"/>
                <w:color w:val="auto"/>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1208E450">
            <w:pPr>
              <w:pStyle w:val="26"/>
              <w:bidi w:val="0"/>
              <w:rPr>
                <w:rFonts w:hint="default"/>
                <w:color w:val="auto"/>
                <w:lang w:val="en-US"/>
              </w:rPr>
            </w:pPr>
            <w:r>
              <w:rPr>
                <w:rFonts w:hint="eastAsia"/>
                <w:color w:val="auto"/>
                <w:lang w:val="en-US" w:eastAsia="zh-CN"/>
              </w:rPr>
              <w:t>0.047</w:t>
            </w:r>
          </w:p>
        </w:tc>
        <w:tc>
          <w:tcPr>
            <w:tcW w:w="849" w:type="pct"/>
            <w:vMerge w:val="continue"/>
            <w:shd w:val="clear" w:color="auto" w:fill="auto"/>
            <w:vAlign w:val="center"/>
          </w:tcPr>
          <w:p w14:paraId="56B6FCA9">
            <w:pPr>
              <w:bidi w:val="0"/>
              <w:rPr>
                <w:rFonts w:hint="default"/>
                <w:color w:val="auto"/>
              </w:rPr>
            </w:pPr>
          </w:p>
        </w:tc>
        <w:tc>
          <w:tcPr>
            <w:tcW w:w="788" w:type="pct"/>
            <w:vMerge w:val="continue"/>
            <w:shd w:val="clear" w:color="auto" w:fill="auto"/>
            <w:noWrap/>
            <w:vAlign w:val="center"/>
          </w:tcPr>
          <w:p w14:paraId="0AA54F5D">
            <w:pPr>
              <w:bidi w:val="0"/>
              <w:rPr>
                <w:rFonts w:hint="eastAsia"/>
                <w:color w:val="auto"/>
              </w:rPr>
            </w:pPr>
          </w:p>
        </w:tc>
      </w:tr>
      <w:tr w14:paraId="6670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431B34D0">
            <w:pPr>
              <w:bidi w:val="0"/>
              <w:rPr>
                <w:rFonts w:hint="eastAsia"/>
                <w:color w:val="auto"/>
              </w:rPr>
            </w:pPr>
          </w:p>
        </w:tc>
        <w:tc>
          <w:tcPr>
            <w:tcW w:w="891" w:type="pct"/>
            <w:vMerge w:val="continue"/>
            <w:shd w:val="clear" w:color="auto" w:fill="auto"/>
            <w:vAlign w:val="center"/>
          </w:tcPr>
          <w:p w14:paraId="3CDAEDEC">
            <w:pPr>
              <w:bidi w:val="0"/>
              <w:rPr>
                <w:rFonts w:hint="eastAsia"/>
                <w:color w:val="auto"/>
              </w:rPr>
            </w:pPr>
          </w:p>
        </w:tc>
        <w:tc>
          <w:tcPr>
            <w:tcW w:w="875" w:type="pct"/>
            <w:shd w:val="clear" w:color="auto" w:fill="auto"/>
            <w:vAlign w:val="center"/>
          </w:tcPr>
          <w:p w14:paraId="5546CAFC">
            <w:pPr>
              <w:pStyle w:val="26"/>
              <w:bidi w:val="0"/>
              <w:rPr>
                <w:rFonts w:hint="eastAsia"/>
                <w:color w:val="auto"/>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37A2EFE3">
            <w:pPr>
              <w:pStyle w:val="26"/>
              <w:bidi w:val="0"/>
              <w:rPr>
                <w:rFonts w:hint="default"/>
                <w:color w:val="auto"/>
                <w:lang w:val="en-US"/>
              </w:rPr>
            </w:pPr>
            <w:r>
              <w:rPr>
                <w:rFonts w:hint="eastAsia"/>
                <w:color w:val="auto"/>
                <w:lang w:val="en-US" w:eastAsia="zh-CN"/>
              </w:rPr>
              <w:t>0.048</w:t>
            </w:r>
          </w:p>
        </w:tc>
        <w:tc>
          <w:tcPr>
            <w:tcW w:w="849" w:type="pct"/>
            <w:vMerge w:val="continue"/>
            <w:shd w:val="clear" w:color="auto" w:fill="auto"/>
            <w:vAlign w:val="center"/>
          </w:tcPr>
          <w:p w14:paraId="1B9CB025">
            <w:pPr>
              <w:bidi w:val="0"/>
              <w:rPr>
                <w:rFonts w:hint="default"/>
                <w:color w:val="auto"/>
              </w:rPr>
            </w:pPr>
          </w:p>
        </w:tc>
        <w:tc>
          <w:tcPr>
            <w:tcW w:w="788" w:type="pct"/>
            <w:vMerge w:val="continue"/>
            <w:shd w:val="clear" w:color="auto" w:fill="auto"/>
            <w:noWrap/>
            <w:vAlign w:val="center"/>
          </w:tcPr>
          <w:p w14:paraId="19CB4BFC">
            <w:pPr>
              <w:bidi w:val="0"/>
              <w:rPr>
                <w:rFonts w:hint="eastAsia"/>
                <w:color w:val="auto"/>
              </w:rPr>
            </w:pPr>
          </w:p>
        </w:tc>
      </w:tr>
      <w:tr w14:paraId="2882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14976F3B">
            <w:pPr>
              <w:bidi w:val="0"/>
              <w:rPr>
                <w:rFonts w:hint="eastAsia"/>
                <w:color w:val="auto"/>
              </w:rPr>
            </w:pPr>
          </w:p>
        </w:tc>
        <w:tc>
          <w:tcPr>
            <w:tcW w:w="891" w:type="pct"/>
            <w:vMerge w:val="restart"/>
            <w:shd w:val="clear" w:color="auto" w:fill="auto"/>
            <w:vAlign w:val="center"/>
          </w:tcPr>
          <w:p w14:paraId="1B712569">
            <w:pPr>
              <w:pStyle w:val="26"/>
              <w:bidi w:val="0"/>
              <w:rPr>
                <w:rFonts w:hint="eastAsia"/>
                <w:color w:val="auto"/>
              </w:rPr>
            </w:pPr>
            <w:r>
              <w:rPr>
                <w:rFonts w:hint="eastAsia"/>
                <w:color w:val="auto"/>
                <w:lang w:val="en-US" w:eastAsia="zh-CN"/>
              </w:rPr>
              <w:t>硫酸雾</w:t>
            </w:r>
          </w:p>
        </w:tc>
        <w:tc>
          <w:tcPr>
            <w:tcW w:w="875" w:type="pct"/>
            <w:shd w:val="clear" w:color="auto" w:fill="auto"/>
            <w:vAlign w:val="center"/>
          </w:tcPr>
          <w:p w14:paraId="32B81E66">
            <w:pPr>
              <w:pStyle w:val="26"/>
              <w:bidi w:val="0"/>
              <w:rPr>
                <w:rFonts w:hint="eastAsia"/>
                <w:color w:val="auto"/>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2F3B9254">
            <w:pPr>
              <w:pStyle w:val="26"/>
              <w:bidi w:val="0"/>
              <w:rPr>
                <w:rFonts w:hint="default" w:eastAsia="仿宋_GB2312"/>
                <w:color w:val="auto"/>
                <w:lang w:val="en-US" w:eastAsia="zh-CN"/>
              </w:rPr>
            </w:pPr>
            <w:r>
              <w:rPr>
                <w:rFonts w:hint="eastAsia"/>
                <w:color w:val="auto"/>
                <w:lang w:val="en-US" w:eastAsia="zh-CN"/>
              </w:rPr>
              <w:t>0.043</w:t>
            </w:r>
          </w:p>
        </w:tc>
        <w:tc>
          <w:tcPr>
            <w:tcW w:w="849" w:type="pct"/>
            <w:vMerge w:val="restart"/>
            <w:shd w:val="clear" w:color="auto" w:fill="auto"/>
            <w:vAlign w:val="center"/>
          </w:tcPr>
          <w:p w14:paraId="206E5494">
            <w:pPr>
              <w:pStyle w:val="26"/>
              <w:bidi w:val="0"/>
              <w:rPr>
                <w:rFonts w:hint="default"/>
                <w:color w:val="auto"/>
                <w:lang w:val="en-US" w:eastAsia="zh-CN"/>
              </w:rPr>
            </w:pPr>
            <w:r>
              <w:rPr>
                <w:rFonts w:hint="eastAsia"/>
                <w:color w:val="auto"/>
                <w:lang w:val="en-US" w:eastAsia="zh-CN"/>
              </w:rPr>
              <w:t>0.3</w:t>
            </w:r>
          </w:p>
        </w:tc>
        <w:tc>
          <w:tcPr>
            <w:tcW w:w="788" w:type="pct"/>
            <w:vMerge w:val="restart"/>
            <w:shd w:val="clear" w:color="auto" w:fill="auto"/>
            <w:noWrap/>
            <w:vAlign w:val="center"/>
          </w:tcPr>
          <w:p w14:paraId="00C52B37">
            <w:pPr>
              <w:pStyle w:val="26"/>
              <w:bidi w:val="0"/>
              <w:rPr>
                <w:rFonts w:hint="eastAsia"/>
                <w:color w:val="auto"/>
              </w:rPr>
            </w:pPr>
            <w:r>
              <w:rPr>
                <w:rFonts w:hint="eastAsia"/>
                <w:color w:val="auto"/>
                <w:lang w:val="en-US" w:eastAsia="zh-CN"/>
              </w:rPr>
              <w:t>达标</w:t>
            </w:r>
          </w:p>
        </w:tc>
      </w:tr>
      <w:tr w14:paraId="7AD9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7184CF3C">
            <w:pPr>
              <w:bidi w:val="0"/>
              <w:rPr>
                <w:rFonts w:hint="eastAsia"/>
                <w:color w:val="auto"/>
              </w:rPr>
            </w:pPr>
          </w:p>
        </w:tc>
        <w:tc>
          <w:tcPr>
            <w:tcW w:w="891" w:type="pct"/>
            <w:vMerge w:val="continue"/>
            <w:shd w:val="clear" w:color="auto" w:fill="auto"/>
            <w:vAlign w:val="center"/>
          </w:tcPr>
          <w:p w14:paraId="68DA47A6">
            <w:pPr>
              <w:bidi w:val="0"/>
              <w:rPr>
                <w:rFonts w:hint="eastAsia"/>
                <w:color w:val="auto"/>
              </w:rPr>
            </w:pPr>
          </w:p>
        </w:tc>
        <w:tc>
          <w:tcPr>
            <w:tcW w:w="875" w:type="pct"/>
            <w:shd w:val="clear" w:color="auto" w:fill="auto"/>
            <w:vAlign w:val="center"/>
          </w:tcPr>
          <w:p w14:paraId="6B63CE8A">
            <w:pPr>
              <w:pStyle w:val="26"/>
              <w:bidi w:val="0"/>
              <w:rPr>
                <w:rFonts w:hint="eastAsia"/>
                <w:color w:val="auto"/>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5CA5C5D9">
            <w:pPr>
              <w:pStyle w:val="26"/>
              <w:bidi w:val="0"/>
              <w:rPr>
                <w:rFonts w:hint="default" w:eastAsia="仿宋_GB2312"/>
                <w:color w:val="auto"/>
                <w:lang w:val="en-US" w:eastAsia="zh-CN"/>
              </w:rPr>
            </w:pPr>
            <w:r>
              <w:rPr>
                <w:rFonts w:hint="eastAsia"/>
                <w:color w:val="auto"/>
                <w:lang w:val="en-US" w:eastAsia="zh-CN"/>
              </w:rPr>
              <w:t>0.084</w:t>
            </w:r>
          </w:p>
        </w:tc>
        <w:tc>
          <w:tcPr>
            <w:tcW w:w="849" w:type="pct"/>
            <w:vMerge w:val="continue"/>
            <w:shd w:val="clear" w:color="auto" w:fill="auto"/>
            <w:vAlign w:val="center"/>
          </w:tcPr>
          <w:p w14:paraId="6170C9F1">
            <w:pPr>
              <w:bidi w:val="0"/>
              <w:rPr>
                <w:rFonts w:hint="default"/>
                <w:color w:val="auto"/>
              </w:rPr>
            </w:pPr>
          </w:p>
        </w:tc>
        <w:tc>
          <w:tcPr>
            <w:tcW w:w="788" w:type="pct"/>
            <w:vMerge w:val="continue"/>
            <w:shd w:val="clear" w:color="auto" w:fill="auto"/>
            <w:noWrap/>
            <w:vAlign w:val="center"/>
          </w:tcPr>
          <w:p w14:paraId="4DCD1FA3">
            <w:pPr>
              <w:bidi w:val="0"/>
              <w:rPr>
                <w:rFonts w:hint="eastAsia"/>
                <w:color w:val="auto"/>
              </w:rPr>
            </w:pPr>
          </w:p>
        </w:tc>
      </w:tr>
      <w:tr w14:paraId="072F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7BFCE9B8">
            <w:pPr>
              <w:bidi w:val="0"/>
              <w:rPr>
                <w:rFonts w:hint="eastAsia"/>
                <w:color w:val="auto"/>
              </w:rPr>
            </w:pPr>
          </w:p>
        </w:tc>
        <w:tc>
          <w:tcPr>
            <w:tcW w:w="891" w:type="pct"/>
            <w:vMerge w:val="continue"/>
            <w:shd w:val="clear" w:color="auto" w:fill="auto"/>
            <w:vAlign w:val="center"/>
          </w:tcPr>
          <w:p w14:paraId="5F801BBC">
            <w:pPr>
              <w:bidi w:val="0"/>
              <w:rPr>
                <w:rFonts w:hint="eastAsia"/>
                <w:color w:val="auto"/>
              </w:rPr>
            </w:pPr>
          </w:p>
        </w:tc>
        <w:tc>
          <w:tcPr>
            <w:tcW w:w="875" w:type="pct"/>
            <w:shd w:val="clear" w:color="auto" w:fill="auto"/>
            <w:vAlign w:val="center"/>
          </w:tcPr>
          <w:p w14:paraId="2F2B15F5">
            <w:pPr>
              <w:pStyle w:val="26"/>
              <w:bidi w:val="0"/>
              <w:rPr>
                <w:rFonts w:hint="eastAsia"/>
                <w:color w:val="auto"/>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4421EF19">
            <w:pPr>
              <w:pStyle w:val="26"/>
              <w:bidi w:val="0"/>
              <w:rPr>
                <w:rFonts w:hint="default" w:eastAsia="仿宋_GB2312"/>
                <w:color w:val="auto"/>
                <w:lang w:val="en-US" w:eastAsia="zh-CN"/>
              </w:rPr>
            </w:pPr>
            <w:r>
              <w:rPr>
                <w:rFonts w:hint="eastAsia"/>
                <w:color w:val="auto"/>
                <w:lang w:val="en-US" w:eastAsia="zh-CN"/>
              </w:rPr>
              <w:t>0.064</w:t>
            </w:r>
          </w:p>
        </w:tc>
        <w:tc>
          <w:tcPr>
            <w:tcW w:w="849" w:type="pct"/>
            <w:vMerge w:val="continue"/>
            <w:shd w:val="clear" w:color="auto" w:fill="auto"/>
            <w:vAlign w:val="center"/>
          </w:tcPr>
          <w:p w14:paraId="71C0309E">
            <w:pPr>
              <w:bidi w:val="0"/>
              <w:rPr>
                <w:rFonts w:hint="default"/>
                <w:color w:val="auto"/>
              </w:rPr>
            </w:pPr>
          </w:p>
        </w:tc>
        <w:tc>
          <w:tcPr>
            <w:tcW w:w="788" w:type="pct"/>
            <w:vMerge w:val="continue"/>
            <w:shd w:val="clear" w:color="auto" w:fill="auto"/>
            <w:noWrap/>
            <w:vAlign w:val="center"/>
          </w:tcPr>
          <w:p w14:paraId="7655762C">
            <w:pPr>
              <w:bidi w:val="0"/>
              <w:rPr>
                <w:rFonts w:hint="eastAsia"/>
                <w:color w:val="auto"/>
              </w:rPr>
            </w:pPr>
          </w:p>
        </w:tc>
      </w:tr>
      <w:tr w14:paraId="4768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6DF02332">
            <w:pPr>
              <w:bidi w:val="0"/>
              <w:rPr>
                <w:rFonts w:hint="eastAsia"/>
                <w:color w:val="auto"/>
              </w:rPr>
            </w:pPr>
          </w:p>
        </w:tc>
        <w:tc>
          <w:tcPr>
            <w:tcW w:w="891" w:type="pct"/>
            <w:vMerge w:val="continue"/>
            <w:shd w:val="clear" w:color="auto" w:fill="auto"/>
            <w:vAlign w:val="center"/>
          </w:tcPr>
          <w:p w14:paraId="74010E6C">
            <w:pPr>
              <w:bidi w:val="0"/>
              <w:rPr>
                <w:rFonts w:hint="eastAsia"/>
                <w:color w:val="auto"/>
              </w:rPr>
            </w:pPr>
          </w:p>
        </w:tc>
        <w:tc>
          <w:tcPr>
            <w:tcW w:w="875" w:type="pct"/>
            <w:shd w:val="clear" w:color="auto" w:fill="auto"/>
            <w:vAlign w:val="center"/>
          </w:tcPr>
          <w:p w14:paraId="4F5ADCDB">
            <w:pPr>
              <w:pStyle w:val="26"/>
              <w:bidi w:val="0"/>
              <w:rPr>
                <w:rFonts w:hint="eastAsia"/>
                <w:color w:val="auto"/>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7BEB9C51">
            <w:pPr>
              <w:pStyle w:val="26"/>
              <w:bidi w:val="0"/>
              <w:rPr>
                <w:rFonts w:hint="default" w:eastAsia="仿宋_GB2312"/>
                <w:color w:val="auto"/>
                <w:lang w:val="en-US" w:eastAsia="zh-CN"/>
              </w:rPr>
            </w:pPr>
            <w:r>
              <w:rPr>
                <w:rFonts w:hint="eastAsia"/>
                <w:color w:val="auto"/>
                <w:lang w:val="en-US" w:eastAsia="zh-CN"/>
              </w:rPr>
              <w:t>0.065</w:t>
            </w:r>
          </w:p>
        </w:tc>
        <w:tc>
          <w:tcPr>
            <w:tcW w:w="849" w:type="pct"/>
            <w:vMerge w:val="continue"/>
            <w:shd w:val="clear" w:color="auto" w:fill="auto"/>
            <w:vAlign w:val="center"/>
          </w:tcPr>
          <w:p w14:paraId="652C10F1">
            <w:pPr>
              <w:bidi w:val="0"/>
              <w:rPr>
                <w:rFonts w:hint="default"/>
                <w:color w:val="auto"/>
              </w:rPr>
            </w:pPr>
          </w:p>
        </w:tc>
        <w:tc>
          <w:tcPr>
            <w:tcW w:w="788" w:type="pct"/>
            <w:vMerge w:val="continue"/>
            <w:shd w:val="clear" w:color="auto" w:fill="auto"/>
            <w:noWrap/>
            <w:vAlign w:val="center"/>
          </w:tcPr>
          <w:p w14:paraId="61B1B086">
            <w:pPr>
              <w:bidi w:val="0"/>
              <w:rPr>
                <w:rFonts w:hint="eastAsia"/>
                <w:color w:val="auto"/>
              </w:rPr>
            </w:pPr>
          </w:p>
        </w:tc>
      </w:tr>
      <w:tr w14:paraId="3CB9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75503BEC">
            <w:pPr>
              <w:bidi w:val="0"/>
              <w:rPr>
                <w:rFonts w:hint="eastAsia"/>
                <w:color w:val="auto"/>
              </w:rPr>
            </w:pPr>
          </w:p>
        </w:tc>
        <w:tc>
          <w:tcPr>
            <w:tcW w:w="891" w:type="pct"/>
            <w:vMerge w:val="restart"/>
            <w:shd w:val="clear" w:color="auto" w:fill="auto"/>
            <w:noWrap/>
            <w:vAlign w:val="center"/>
          </w:tcPr>
          <w:p w14:paraId="302BD99A">
            <w:pPr>
              <w:pStyle w:val="26"/>
              <w:bidi w:val="0"/>
              <w:rPr>
                <w:rFonts w:hint="eastAsia" w:eastAsia="仿宋_GB2312"/>
                <w:color w:val="auto"/>
                <w:lang w:val="en-US" w:eastAsia="zh-CN"/>
              </w:rPr>
            </w:pPr>
            <w:r>
              <w:rPr>
                <w:rFonts w:hint="eastAsia"/>
                <w:color w:val="auto"/>
                <w:lang w:val="en-US" w:eastAsia="zh-CN"/>
              </w:rPr>
              <w:t>铬酸雾</w:t>
            </w:r>
          </w:p>
        </w:tc>
        <w:tc>
          <w:tcPr>
            <w:tcW w:w="875" w:type="pct"/>
            <w:shd w:val="clear" w:color="auto" w:fill="auto"/>
            <w:vAlign w:val="center"/>
          </w:tcPr>
          <w:p w14:paraId="4FB60B74">
            <w:pPr>
              <w:pStyle w:val="26"/>
              <w:bidi w:val="0"/>
              <w:rPr>
                <w:rFonts w:hint="eastAsia"/>
                <w:color w:val="auto"/>
              </w:rPr>
            </w:pPr>
            <w:r>
              <w:rPr>
                <w:rFonts w:hint="eastAsia"/>
                <w:color w:val="auto"/>
                <w:lang w:val="en-US" w:eastAsia="zh-CN"/>
              </w:rPr>
              <w:t>上风向</w:t>
            </w:r>
            <w:r>
              <w:rPr>
                <w:rFonts w:hint="default"/>
                <w:color w:val="auto"/>
                <w:lang w:val="en-US" w:eastAsia="zh-CN"/>
              </w:rPr>
              <w:t>1</w:t>
            </w:r>
          </w:p>
        </w:tc>
        <w:tc>
          <w:tcPr>
            <w:tcW w:w="761" w:type="pct"/>
            <w:shd w:val="clear" w:color="auto" w:fill="auto"/>
            <w:noWrap/>
            <w:vAlign w:val="center"/>
          </w:tcPr>
          <w:p w14:paraId="338C5883">
            <w:pPr>
              <w:pStyle w:val="26"/>
              <w:bidi w:val="0"/>
              <w:rPr>
                <w:rFonts w:hint="eastAsia"/>
                <w:color w:val="auto"/>
              </w:rPr>
            </w:pPr>
            <w:r>
              <w:rPr>
                <w:rFonts w:hint="eastAsia"/>
                <w:color w:val="auto"/>
                <w:lang w:val="en-US" w:eastAsia="zh-CN"/>
              </w:rPr>
              <w:t>ND</w:t>
            </w:r>
          </w:p>
        </w:tc>
        <w:tc>
          <w:tcPr>
            <w:tcW w:w="849" w:type="pct"/>
            <w:vMerge w:val="restart"/>
            <w:shd w:val="clear" w:color="auto" w:fill="auto"/>
            <w:noWrap/>
            <w:vAlign w:val="center"/>
          </w:tcPr>
          <w:p w14:paraId="20BF51FF">
            <w:pPr>
              <w:pStyle w:val="26"/>
              <w:bidi w:val="0"/>
              <w:rPr>
                <w:rFonts w:hint="default"/>
                <w:color w:val="auto"/>
                <w:lang w:val="en-US"/>
              </w:rPr>
            </w:pPr>
            <w:r>
              <w:rPr>
                <w:rFonts w:hint="eastAsia"/>
                <w:color w:val="auto"/>
                <w:lang w:val="en-US" w:eastAsia="zh-CN"/>
              </w:rPr>
              <w:t>0.002</w:t>
            </w:r>
          </w:p>
        </w:tc>
        <w:tc>
          <w:tcPr>
            <w:tcW w:w="788" w:type="pct"/>
            <w:vMerge w:val="restart"/>
            <w:shd w:val="clear" w:color="auto" w:fill="auto"/>
            <w:noWrap/>
            <w:vAlign w:val="center"/>
          </w:tcPr>
          <w:p w14:paraId="2958E7D4">
            <w:pPr>
              <w:pStyle w:val="26"/>
              <w:bidi w:val="0"/>
              <w:rPr>
                <w:rFonts w:hint="eastAsia"/>
                <w:color w:val="auto"/>
              </w:rPr>
            </w:pPr>
            <w:r>
              <w:rPr>
                <w:rFonts w:hint="eastAsia"/>
                <w:color w:val="auto"/>
                <w:lang w:val="en-US" w:eastAsia="zh-CN"/>
              </w:rPr>
              <w:t>达标</w:t>
            </w:r>
          </w:p>
        </w:tc>
      </w:tr>
      <w:tr w14:paraId="2143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2180A3FA">
            <w:pPr>
              <w:bidi w:val="0"/>
              <w:rPr>
                <w:rFonts w:hint="eastAsia"/>
                <w:color w:val="auto"/>
              </w:rPr>
            </w:pPr>
          </w:p>
        </w:tc>
        <w:tc>
          <w:tcPr>
            <w:tcW w:w="891" w:type="pct"/>
            <w:vMerge w:val="continue"/>
            <w:shd w:val="clear" w:color="auto" w:fill="auto"/>
            <w:noWrap/>
            <w:vAlign w:val="center"/>
          </w:tcPr>
          <w:p w14:paraId="4757B228">
            <w:pPr>
              <w:bidi w:val="0"/>
              <w:rPr>
                <w:rFonts w:hint="eastAsia"/>
                <w:color w:val="auto"/>
              </w:rPr>
            </w:pPr>
          </w:p>
        </w:tc>
        <w:tc>
          <w:tcPr>
            <w:tcW w:w="875" w:type="pct"/>
            <w:shd w:val="clear" w:color="auto" w:fill="auto"/>
            <w:vAlign w:val="center"/>
          </w:tcPr>
          <w:p w14:paraId="56045D3A">
            <w:pPr>
              <w:pStyle w:val="26"/>
              <w:bidi w:val="0"/>
              <w:rPr>
                <w:rFonts w:hint="eastAsia"/>
                <w:color w:val="auto"/>
              </w:rPr>
            </w:pPr>
            <w:r>
              <w:rPr>
                <w:rFonts w:hint="eastAsia"/>
                <w:color w:val="auto"/>
                <w:lang w:val="en-US" w:eastAsia="zh-CN"/>
              </w:rPr>
              <w:t>下风向</w:t>
            </w:r>
            <w:r>
              <w:rPr>
                <w:rFonts w:hint="default"/>
                <w:color w:val="auto"/>
                <w:lang w:val="en-US" w:eastAsia="zh-CN"/>
              </w:rPr>
              <w:t>2</w:t>
            </w:r>
          </w:p>
        </w:tc>
        <w:tc>
          <w:tcPr>
            <w:tcW w:w="761" w:type="pct"/>
            <w:shd w:val="clear" w:color="auto" w:fill="auto"/>
            <w:noWrap/>
            <w:vAlign w:val="center"/>
          </w:tcPr>
          <w:p w14:paraId="30825175">
            <w:pPr>
              <w:pStyle w:val="26"/>
              <w:bidi w:val="0"/>
              <w:rPr>
                <w:rFonts w:hint="eastAsia"/>
                <w:color w:val="auto"/>
              </w:rPr>
            </w:pPr>
            <w:r>
              <w:rPr>
                <w:rFonts w:hint="eastAsia"/>
                <w:color w:val="auto"/>
                <w:lang w:val="en-US" w:eastAsia="zh-CN"/>
              </w:rPr>
              <w:t>ND</w:t>
            </w:r>
          </w:p>
        </w:tc>
        <w:tc>
          <w:tcPr>
            <w:tcW w:w="849" w:type="pct"/>
            <w:vMerge w:val="continue"/>
            <w:shd w:val="clear" w:color="auto" w:fill="auto"/>
            <w:noWrap/>
            <w:vAlign w:val="center"/>
          </w:tcPr>
          <w:p w14:paraId="1F783AB8">
            <w:pPr>
              <w:bidi w:val="0"/>
              <w:rPr>
                <w:rFonts w:hint="eastAsia"/>
                <w:color w:val="auto"/>
              </w:rPr>
            </w:pPr>
          </w:p>
        </w:tc>
        <w:tc>
          <w:tcPr>
            <w:tcW w:w="788" w:type="pct"/>
            <w:vMerge w:val="continue"/>
            <w:shd w:val="clear" w:color="auto" w:fill="auto"/>
            <w:noWrap/>
            <w:vAlign w:val="center"/>
          </w:tcPr>
          <w:p w14:paraId="261F99F2">
            <w:pPr>
              <w:bidi w:val="0"/>
              <w:rPr>
                <w:rFonts w:hint="eastAsia"/>
                <w:color w:val="auto"/>
              </w:rPr>
            </w:pPr>
          </w:p>
        </w:tc>
      </w:tr>
      <w:tr w14:paraId="655D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7C876F55">
            <w:pPr>
              <w:bidi w:val="0"/>
              <w:rPr>
                <w:rFonts w:hint="eastAsia"/>
                <w:color w:val="auto"/>
              </w:rPr>
            </w:pPr>
          </w:p>
        </w:tc>
        <w:tc>
          <w:tcPr>
            <w:tcW w:w="891" w:type="pct"/>
            <w:vMerge w:val="continue"/>
            <w:shd w:val="clear" w:color="auto" w:fill="auto"/>
            <w:noWrap/>
            <w:vAlign w:val="center"/>
          </w:tcPr>
          <w:p w14:paraId="5D96F49A">
            <w:pPr>
              <w:bidi w:val="0"/>
              <w:rPr>
                <w:rFonts w:hint="eastAsia"/>
                <w:color w:val="auto"/>
              </w:rPr>
            </w:pPr>
          </w:p>
        </w:tc>
        <w:tc>
          <w:tcPr>
            <w:tcW w:w="875" w:type="pct"/>
            <w:shd w:val="clear" w:color="auto" w:fill="auto"/>
            <w:vAlign w:val="center"/>
          </w:tcPr>
          <w:p w14:paraId="0491B4B2">
            <w:pPr>
              <w:pStyle w:val="26"/>
              <w:bidi w:val="0"/>
              <w:rPr>
                <w:rFonts w:hint="eastAsia"/>
                <w:color w:val="auto"/>
              </w:rPr>
            </w:pPr>
            <w:r>
              <w:rPr>
                <w:rFonts w:hint="eastAsia"/>
                <w:color w:val="auto"/>
                <w:lang w:val="en-US" w:eastAsia="zh-CN"/>
              </w:rPr>
              <w:t>下风向</w:t>
            </w:r>
            <w:r>
              <w:rPr>
                <w:rFonts w:hint="default"/>
                <w:color w:val="auto"/>
                <w:lang w:val="en-US" w:eastAsia="zh-CN"/>
              </w:rPr>
              <w:t>3</w:t>
            </w:r>
          </w:p>
        </w:tc>
        <w:tc>
          <w:tcPr>
            <w:tcW w:w="761" w:type="pct"/>
            <w:shd w:val="clear" w:color="auto" w:fill="auto"/>
            <w:noWrap/>
            <w:vAlign w:val="center"/>
          </w:tcPr>
          <w:p w14:paraId="069179A8">
            <w:pPr>
              <w:pStyle w:val="26"/>
              <w:bidi w:val="0"/>
              <w:rPr>
                <w:rFonts w:hint="eastAsia"/>
                <w:color w:val="auto"/>
              </w:rPr>
            </w:pPr>
            <w:r>
              <w:rPr>
                <w:rFonts w:hint="eastAsia"/>
                <w:color w:val="auto"/>
                <w:lang w:val="en-US" w:eastAsia="zh-CN"/>
              </w:rPr>
              <w:t>ND</w:t>
            </w:r>
          </w:p>
        </w:tc>
        <w:tc>
          <w:tcPr>
            <w:tcW w:w="849" w:type="pct"/>
            <w:vMerge w:val="continue"/>
            <w:shd w:val="clear" w:color="auto" w:fill="auto"/>
            <w:noWrap/>
            <w:vAlign w:val="center"/>
          </w:tcPr>
          <w:p w14:paraId="33A4792E">
            <w:pPr>
              <w:bidi w:val="0"/>
              <w:rPr>
                <w:rFonts w:hint="eastAsia"/>
                <w:color w:val="auto"/>
              </w:rPr>
            </w:pPr>
          </w:p>
        </w:tc>
        <w:tc>
          <w:tcPr>
            <w:tcW w:w="788" w:type="pct"/>
            <w:vMerge w:val="continue"/>
            <w:shd w:val="clear" w:color="auto" w:fill="auto"/>
            <w:noWrap/>
            <w:vAlign w:val="center"/>
          </w:tcPr>
          <w:p w14:paraId="2E71DF19">
            <w:pPr>
              <w:bidi w:val="0"/>
              <w:rPr>
                <w:rFonts w:hint="eastAsia"/>
                <w:color w:val="auto"/>
              </w:rPr>
            </w:pPr>
          </w:p>
        </w:tc>
      </w:tr>
      <w:tr w14:paraId="774B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425783B2">
            <w:pPr>
              <w:bidi w:val="0"/>
              <w:rPr>
                <w:rFonts w:hint="eastAsia"/>
                <w:color w:val="auto"/>
              </w:rPr>
            </w:pPr>
          </w:p>
        </w:tc>
        <w:tc>
          <w:tcPr>
            <w:tcW w:w="891" w:type="pct"/>
            <w:vMerge w:val="continue"/>
            <w:shd w:val="clear" w:color="auto" w:fill="auto"/>
            <w:noWrap/>
            <w:vAlign w:val="center"/>
          </w:tcPr>
          <w:p w14:paraId="065ABB8E">
            <w:pPr>
              <w:bidi w:val="0"/>
              <w:rPr>
                <w:rFonts w:hint="eastAsia"/>
                <w:color w:val="auto"/>
              </w:rPr>
            </w:pPr>
          </w:p>
        </w:tc>
        <w:tc>
          <w:tcPr>
            <w:tcW w:w="875" w:type="pct"/>
            <w:shd w:val="clear" w:color="auto" w:fill="auto"/>
            <w:vAlign w:val="center"/>
          </w:tcPr>
          <w:p w14:paraId="51BD2893">
            <w:pPr>
              <w:pStyle w:val="26"/>
              <w:bidi w:val="0"/>
              <w:rPr>
                <w:rFonts w:hint="eastAsia"/>
                <w:color w:val="auto"/>
              </w:rPr>
            </w:pPr>
            <w:r>
              <w:rPr>
                <w:rFonts w:hint="eastAsia"/>
                <w:color w:val="auto"/>
                <w:lang w:val="en-US" w:eastAsia="zh-CN"/>
              </w:rPr>
              <w:t>下风向</w:t>
            </w:r>
            <w:r>
              <w:rPr>
                <w:rFonts w:hint="default"/>
                <w:color w:val="auto"/>
                <w:lang w:val="en-US" w:eastAsia="zh-CN"/>
              </w:rPr>
              <w:t>4</w:t>
            </w:r>
          </w:p>
        </w:tc>
        <w:tc>
          <w:tcPr>
            <w:tcW w:w="761" w:type="pct"/>
            <w:shd w:val="clear" w:color="auto" w:fill="auto"/>
            <w:noWrap/>
            <w:vAlign w:val="center"/>
          </w:tcPr>
          <w:p w14:paraId="1B644580">
            <w:pPr>
              <w:pStyle w:val="26"/>
              <w:bidi w:val="0"/>
              <w:rPr>
                <w:rFonts w:hint="eastAsia"/>
                <w:color w:val="auto"/>
              </w:rPr>
            </w:pPr>
            <w:r>
              <w:rPr>
                <w:rFonts w:hint="eastAsia"/>
                <w:color w:val="auto"/>
                <w:lang w:val="en-US" w:eastAsia="zh-CN"/>
              </w:rPr>
              <w:t>ND</w:t>
            </w:r>
          </w:p>
        </w:tc>
        <w:tc>
          <w:tcPr>
            <w:tcW w:w="849" w:type="pct"/>
            <w:vMerge w:val="continue"/>
            <w:shd w:val="clear" w:color="auto" w:fill="auto"/>
            <w:noWrap/>
            <w:vAlign w:val="center"/>
          </w:tcPr>
          <w:p w14:paraId="36D70601">
            <w:pPr>
              <w:bidi w:val="0"/>
              <w:rPr>
                <w:rFonts w:hint="eastAsia"/>
                <w:color w:val="auto"/>
              </w:rPr>
            </w:pPr>
          </w:p>
        </w:tc>
        <w:tc>
          <w:tcPr>
            <w:tcW w:w="788" w:type="pct"/>
            <w:vMerge w:val="continue"/>
            <w:shd w:val="clear" w:color="auto" w:fill="auto"/>
            <w:noWrap/>
            <w:vAlign w:val="center"/>
          </w:tcPr>
          <w:p w14:paraId="72E99982">
            <w:pPr>
              <w:bidi w:val="0"/>
              <w:rPr>
                <w:rFonts w:hint="eastAsia"/>
                <w:color w:val="auto"/>
              </w:rPr>
            </w:pPr>
          </w:p>
        </w:tc>
      </w:tr>
      <w:tr w14:paraId="2A1A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3315725E">
            <w:pPr>
              <w:bidi w:val="0"/>
              <w:rPr>
                <w:rFonts w:hint="eastAsia"/>
                <w:color w:val="auto"/>
              </w:rPr>
            </w:pPr>
          </w:p>
        </w:tc>
        <w:tc>
          <w:tcPr>
            <w:tcW w:w="891" w:type="pct"/>
            <w:vMerge w:val="restart"/>
            <w:shd w:val="clear" w:color="auto" w:fill="auto"/>
            <w:vAlign w:val="center"/>
          </w:tcPr>
          <w:p w14:paraId="4FF495A5">
            <w:pPr>
              <w:pStyle w:val="26"/>
              <w:bidi w:val="0"/>
              <w:rPr>
                <w:rFonts w:hint="default" w:eastAsia="仿宋_GB2312"/>
                <w:color w:val="auto"/>
                <w:lang w:val="en-US" w:eastAsia="zh-CN"/>
              </w:rPr>
            </w:pPr>
            <w:r>
              <w:rPr>
                <w:rFonts w:hint="eastAsia"/>
                <w:color w:val="auto"/>
                <w:lang w:val="en-US" w:eastAsia="zh-CN"/>
              </w:rPr>
              <w:t>酚类化合物</w:t>
            </w:r>
          </w:p>
        </w:tc>
        <w:tc>
          <w:tcPr>
            <w:tcW w:w="875" w:type="pct"/>
            <w:shd w:val="clear" w:color="auto" w:fill="auto"/>
            <w:vAlign w:val="center"/>
          </w:tcPr>
          <w:p w14:paraId="38EA2945">
            <w:pPr>
              <w:pStyle w:val="26"/>
              <w:bidi w:val="0"/>
              <w:rPr>
                <w:rFonts w:hint="eastAsia"/>
                <w:color w:val="auto"/>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353BF73D">
            <w:pPr>
              <w:pStyle w:val="26"/>
              <w:bidi w:val="0"/>
              <w:rPr>
                <w:rFonts w:hint="default"/>
                <w:color w:val="auto"/>
              </w:rPr>
            </w:pPr>
            <w:r>
              <w:rPr>
                <w:rFonts w:hint="eastAsia"/>
                <w:color w:val="auto"/>
                <w:lang w:val="en-US" w:eastAsia="zh-CN"/>
              </w:rPr>
              <w:t>ND</w:t>
            </w:r>
          </w:p>
        </w:tc>
        <w:tc>
          <w:tcPr>
            <w:tcW w:w="849" w:type="pct"/>
            <w:vMerge w:val="restart"/>
            <w:shd w:val="clear" w:color="auto" w:fill="auto"/>
            <w:vAlign w:val="center"/>
          </w:tcPr>
          <w:p w14:paraId="78541F26">
            <w:pPr>
              <w:pStyle w:val="26"/>
              <w:bidi w:val="0"/>
              <w:rPr>
                <w:rFonts w:hint="default"/>
                <w:color w:val="auto"/>
                <w:lang w:val="en-US"/>
              </w:rPr>
            </w:pPr>
            <w:r>
              <w:rPr>
                <w:rFonts w:hint="eastAsia"/>
                <w:color w:val="auto"/>
                <w:lang w:val="en-US" w:eastAsia="zh-CN"/>
              </w:rPr>
              <w:t>0.02</w:t>
            </w:r>
          </w:p>
        </w:tc>
        <w:tc>
          <w:tcPr>
            <w:tcW w:w="788" w:type="pct"/>
            <w:vMerge w:val="restart"/>
            <w:shd w:val="clear" w:color="auto" w:fill="auto"/>
            <w:noWrap/>
            <w:vAlign w:val="center"/>
          </w:tcPr>
          <w:p w14:paraId="2FC70EB2">
            <w:pPr>
              <w:pStyle w:val="26"/>
              <w:bidi w:val="0"/>
              <w:rPr>
                <w:rFonts w:hint="eastAsia"/>
                <w:color w:val="auto"/>
              </w:rPr>
            </w:pPr>
            <w:r>
              <w:rPr>
                <w:rFonts w:hint="eastAsia"/>
                <w:color w:val="auto"/>
                <w:lang w:val="en-US" w:eastAsia="zh-CN"/>
              </w:rPr>
              <w:t>达标</w:t>
            </w:r>
          </w:p>
        </w:tc>
      </w:tr>
      <w:tr w14:paraId="54E6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724D19CF">
            <w:pPr>
              <w:bidi w:val="0"/>
              <w:rPr>
                <w:rFonts w:hint="eastAsia"/>
                <w:color w:val="auto"/>
              </w:rPr>
            </w:pPr>
          </w:p>
        </w:tc>
        <w:tc>
          <w:tcPr>
            <w:tcW w:w="891" w:type="pct"/>
            <w:vMerge w:val="continue"/>
            <w:shd w:val="clear" w:color="auto" w:fill="auto"/>
            <w:vAlign w:val="center"/>
          </w:tcPr>
          <w:p w14:paraId="4989775C">
            <w:pPr>
              <w:bidi w:val="0"/>
              <w:rPr>
                <w:rFonts w:hint="eastAsia"/>
                <w:color w:val="auto"/>
              </w:rPr>
            </w:pPr>
          </w:p>
        </w:tc>
        <w:tc>
          <w:tcPr>
            <w:tcW w:w="875" w:type="pct"/>
            <w:shd w:val="clear" w:color="auto" w:fill="auto"/>
            <w:vAlign w:val="center"/>
          </w:tcPr>
          <w:p w14:paraId="6F42F5C5">
            <w:pPr>
              <w:pStyle w:val="26"/>
              <w:bidi w:val="0"/>
              <w:rPr>
                <w:rFonts w:hint="eastAsia"/>
                <w:color w:val="auto"/>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6891B8CA">
            <w:pPr>
              <w:pStyle w:val="26"/>
              <w:bidi w:val="0"/>
              <w:rPr>
                <w:rFonts w:hint="default"/>
                <w:color w:val="auto"/>
              </w:rPr>
            </w:pPr>
            <w:r>
              <w:rPr>
                <w:rFonts w:hint="eastAsia"/>
                <w:color w:val="auto"/>
                <w:lang w:val="en-US" w:eastAsia="zh-CN"/>
              </w:rPr>
              <w:t>ND</w:t>
            </w:r>
          </w:p>
        </w:tc>
        <w:tc>
          <w:tcPr>
            <w:tcW w:w="849" w:type="pct"/>
            <w:vMerge w:val="continue"/>
            <w:shd w:val="clear" w:color="auto" w:fill="auto"/>
            <w:vAlign w:val="center"/>
          </w:tcPr>
          <w:p w14:paraId="0A187857">
            <w:pPr>
              <w:bidi w:val="0"/>
              <w:rPr>
                <w:rFonts w:hint="default"/>
                <w:color w:val="auto"/>
              </w:rPr>
            </w:pPr>
          </w:p>
        </w:tc>
        <w:tc>
          <w:tcPr>
            <w:tcW w:w="788" w:type="pct"/>
            <w:vMerge w:val="continue"/>
            <w:shd w:val="clear" w:color="auto" w:fill="auto"/>
            <w:noWrap/>
            <w:vAlign w:val="center"/>
          </w:tcPr>
          <w:p w14:paraId="5FF49E50">
            <w:pPr>
              <w:bidi w:val="0"/>
              <w:rPr>
                <w:rFonts w:hint="eastAsia"/>
                <w:color w:val="auto"/>
              </w:rPr>
            </w:pPr>
          </w:p>
        </w:tc>
      </w:tr>
      <w:tr w14:paraId="77D6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5FC3FB64">
            <w:pPr>
              <w:bidi w:val="0"/>
              <w:rPr>
                <w:rFonts w:hint="eastAsia"/>
                <w:color w:val="auto"/>
              </w:rPr>
            </w:pPr>
          </w:p>
        </w:tc>
        <w:tc>
          <w:tcPr>
            <w:tcW w:w="891" w:type="pct"/>
            <w:vMerge w:val="continue"/>
            <w:shd w:val="clear" w:color="auto" w:fill="auto"/>
            <w:vAlign w:val="center"/>
          </w:tcPr>
          <w:p w14:paraId="63EEA374">
            <w:pPr>
              <w:bidi w:val="0"/>
              <w:rPr>
                <w:rFonts w:hint="eastAsia"/>
                <w:color w:val="auto"/>
              </w:rPr>
            </w:pPr>
          </w:p>
        </w:tc>
        <w:tc>
          <w:tcPr>
            <w:tcW w:w="875" w:type="pct"/>
            <w:shd w:val="clear" w:color="auto" w:fill="auto"/>
            <w:vAlign w:val="center"/>
          </w:tcPr>
          <w:p w14:paraId="1BA62727">
            <w:pPr>
              <w:pStyle w:val="26"/>
              <w:bidi w:val="0"/>
              <w:rPr>
                <w:rFonts w:hint="eastAsia"/>
                <w:color w:val="auto"/>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733E6642">
            <w:pPr>
              <w:pStyle w:val="26"/>
              <w:bidi w:val="0"/>
              <w:rPr>
                <w:rFonts w:hint="default"/>
                <w:color w:val="auto"/>
              </w:rPr>
            </w:pPr>
            <w:r>
              <w:rPr>
                <w:rFonts w:hint="eastAsia"/>
                <w:color w:val="auto"/>
                <w:lang w:val="en-US" w:eastAsia="zh-CN"/>
              </w:rPr>
              <w:t>ND</w:t>
            </w:r>
          </w:p>
        </w:tc>
        <w:tc>
          <w:tcPr>
            <w:tcW w:w="849" w:type="pct"/>
            <w:vMerge w:val="continue"/>
            <w:shd w:val="clear" w:color="auto" w:fill="auto"/>
            <w:vAlign w:val="center"/>
          </w:tcPr>
          <w:p w14:paraId="558C42C1">
            <w:pPr>
              <w:bidi w:val="0"/>
              <w:rPr>
                <w:rFonts w:hint="default"/>
                <w:color w:val="auto"/>
              </w:rPr>
            </w:pPr>
          </w:p>
        </w:tc>
        <w:tc>
          <w:tcPr>
            <w:tcW w:w="788" w:type="pct"/>
            <w:vMerge w:val="continue"/>
            <w:shd w:val="clear" w:color="auto" w:fill="auto"/>
            <w:noWrap/>
            <w:vAlign w:val="center"/>
          </w:tcPr>
          <w:p w14:paraId="5FD73D28">
            <w:pPr>
              <w:bidi w:val="0"/>
              <w:rPr>
                <w:rFonts w:hint="eastAsia"/>
                <w:color w:val="auto"/>
              </w:rPr>
            </w:pPr>
          </w:p>
        </w:tc>
      </w:tr>
      <w:tr w14:paraId="5EB7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147F1A8B">
            <w:pPr>
              <w:bidi w:val="0"/>
              <w:rPr>
                <w:rFonts w:hint="eastAsia"/>
                <w:color w:val="auto"/>
              </w:rPr>
            </w:pPr>
          </w:p>
        </w:tc>
        <w:tc>
          <w:tcPr>
            <w:tcW w:w="891" w:type="pct"/>
            <w:vMerge w:val="continue"/>
            <w:shd w:val="clear" w:color="auto" w:fill="auto"/>
            <w:vAlign w:val="center"/>
          </w:tcPr>
          <w:p w14:paraId="607E7308">
            <w:pPr>
              <w:bidi w:val="0"/>
              <w:rPr>
                <w:rFonts w:hint="eastAsia"/>
                <w:color w:val="auto"/>
              </w:rPr>
            </w:pPr>
          </w:p>
        </w:tc>
        <w:tc>
          <w:tcPr>
            <w:tcW w:w="875" w:type="pct"/>
            <w:shd w:val="clear" w:color="auto" w:fill="auto"/>
            <w:vAlign w:val="center"/>
          </w:tcPr>
          <w:p w14:paraId="488C9B9F">
            <w:pPr>
              <w:pStyle w:val="26"/>
              <w:bidi w:val="0"/>
              <w:rPr>
                <w:rFonts w:hint="eastAsia"/>
                <w:color w:val="auto"/>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3F444DCF">
            <w:pPr>
              <w:pStyle w:val="26"/>
              <w:bidi w:val="0"/>
              <w:rPr>
                <w:rFonts w:hint="default"/>
                <w:color w:val="auto"/>
              </w:rPr>
            </w:pPr>
            <w:r>
              <w:rPr>
                <w:rFonts w:hint="eastAsia"/>
                <w:color w:val="auto"/>
                <w:lang w:val="en-US" w:eastAsia="zh-CN"/>
              </w:rPr>
              <w:t>ND</w:t>
            </w:r>
          </w:p>
        </w:tc>
        <w:tc>
          <w:tcPr>
            <w:tcW w:w="849" w:type="pct"/>
            <w:vMerge w:val="continue"/>
            <w:shd w:val="clear" w:color="auto" w:fill="auto"/>
            <w:vAlign w:val="center"/>
          </w:tcPr>
          <w:p w14:paraId="61414BBB">
            <w:pPr>
              <w:bidi w:val="0"/>
              <w:rPr>
                <w:rFonts w:hint="default"/>
                <w:color w:val="auto"/>
              </w:rPr>
            </w:pPr>
          </w:p>
        </w:tc>
        <w:tc>
          <w:tcPr>
            <w:tcW w:w="788" w:type="pct"/>
            <w:vMerge w:val="continue"/>
            <w:shd w:val="clear" w:color="auto" w:fill="auto"/>
            <w:noWrap/>
            <w:vAlign w:val="center"/>
          </w:tcPr>
          <w:p w14:paraId="2D68F83E">
            <w:pPr>
              <w:bidi w:val="0"/>
              <w:rPr>
                <w:rFonts w:hint="eastAsia"/>
                <w:color w:val="auto"/>
              </w:rPr>
            </w:pPr>
          </w:p>
        </w:tc>
      </w:tr>
      <w:tr w14:paraId="1075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34E6451C">
            <w:pPr>
              <w:pStyle w:val="26"/>
              <w:bidi w:val="0"/>
              <w:rPr>
                <w:rFonts w:hint="eastAsia"/>
                <w:color w:val="auto"/>
              </w:rPr>
            </w:pPr>
          </w:p>
        </w:tc>
        <w:tc>
          <w:tcPr>
            <w:tcW w:w="891" w:type="pct"/>
            <w:vMerge w:val="restart"/>
            <w:shd w:val="clear" w:color="auto" w:fill="auto"/>
            <w:vAlign w:val="center"/>
          </w:tcPr>
          <w:p w14:paraId="491AB720">
            <w:pPr>
              <w:pStyle w:val="26"/>
              <w:bidi w:val="0"/>
              <w:rPr>
                <w:rFonts w:hint="default" w:ascii="Times New Roman" w:hAnsi="Times New Roman" w:eastAsia="仿宋_GB2312" w:cs="Times New Roman"/>
                <w:color w:val="auto"/>
                <w:kern w:val="2"/>
                <w:sz w:val="21"/>
                <w:szCs w:val="22"/>
                <w:lang w:val="en-US" w:eastAsia="zh-CN" w:bidi="ar-SA"/>
              </w:rPr>
            </w:pPr>
            <w:r>
              <w:rPr>
                <w:rFonts w:hint="eastAsia" w:cs="Times New Roman"/>
                <w:color w:val="auto"/>
                <w:kern w:val="2"/>
                <w:sz w:val="21"/>
                <w:szCs w:val="22"/>
                <w:lang w:val="en-US" w:eastAsia="zh-CN" w:bidi="ar-SA"/>
              </w:rPr>
              <w:t>二甲苯</w:t>
            </w:r>
          </w:p>
        </w:tc>
        <w:tc>
          <w:tcPr>
            <w:tcW w:w="875" w:type="pct"/>
            <w:shd w:val="clear" w:color="auto" w:fill="auto"/>
            <w:vAlign w:val="center"/>
          </w:tcPr>
          <w:p w14:paraId="08D7B9FA">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6BFD6C99">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restart"/>
            <w:shd w:val="clear" w:color="auto" w:fill="auto"/>
            <w:vAlign w:val="center"/>
          </w:tcPr>
          <w:p w14:paraId="46733FCB">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0.2</w:t>
            </w:r>
          </w:p>
        </w:tc>
        <w:tc>
          <w:tcPr>
            <w:tcW w:w="788" w:type="pct"/>
            <w:vMerge w:val="restart"/>
            <w:shd w:val="clear" w:color="auto" w:fill="auto"/>
            <w:noWrap/>
            <w:vAlign w:val="center"/>
          </w:tcPr>
          <w:p w14:paraId="514C5F3A">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达标</w:t>
            </w:r>
          </w:p>
        </w:tc>
      </w:tr>
      <w:tr w14:paraId="05D9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5E6D105D">
            <w:pPr>
              <w:pStyle w:val="26"/>
              <w:bidi w:val="0"/>
              <w:rPr>
                <w:rFonts w:hint="eastAsia"/>
                <w:color w:val="auto"/>
              </w:rPr>
            </w:pPr>
          </w:p>
        </w:tc>
        <w:tc>
          <w:tcPr>
            <w:tcW w:w="891" w:type="pct"/>
            <w:vMerge w:val="continue"/>
            <w:shd w:val="clear" w:color="auto" w:fill="auto"/>
            <w:vAlign w:val="center"/>
          </w:tcPr>
          <w:p w14:paraId="7C2AF792">
            <w:pPr>
              <w:pStyle w:val="26"/>
              <w:bidi w:val="0"/>
              <w:rPr>
                <w:rFonts w:hint="eastAsia" w:cs="Times New Roman"/>
                <w:color w:val="auto"/>
                <w:kern w:val="2"/>
                <w:sz w:val="21"/>
                <w:szCs w:val="22"/>
                <w:lang w:val="en-US" w:eastAsia="zh-CN" w:bidi="ar-SA"/>
              </w:rPr>
            </w:pPr>
          </w:p>
        </w:tc>
        <w:tc>
          <w:tcPr>
            <w:tcW w:w="875" w:type="pct"/>
            <w:shd w:val="clear" w:color="auto" w:fill="auto"/>
            <w:vAlign w:val="center"/>
          </w:tcPr>
          <w:p w14:paraId="5A1FE43D">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541591AC">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224F1DBE">
            <w:pPr>
              <w:pStyle w:val="26"/>
              <w:bidi w:val="0"/>
              <w:rPr>
                <w:rFonts w:hint="default"/>
                <w:color w:val="auto"/>
                <w:lang w:val="en-US" w:eastAsia="zh-CN"/>
              </w:rPr>
            </w:pPr>
          </w:p>
        </w:tc>
        <w:tc>
          <w:tcPr>
            <w:tcW w:w="788" w:type="pct"/>
            <w:vMerge w:val="continue"/>
            <w:shd w:val="clear" w:color="auto" w:fill="auto"/>
            <w:noWrap/>
            <w:vAlign w:val="center"/>
          </w:tcPr>
          <w:p w14:paraId="4BC60AA6">
            <w:pPr>
              <w:pStyle w:val="26"/>
              <w:bidi w:val="0"/>
              <w:rPr>
                <w:rFonts w:hint="eastAsia"/>
                <w:color w:val="auto"/>
                <w:lang w:val="en-US" w:eastAsia="zh-CN"/>
              </w:rPr>
            </w:pPr>
          </w:p>
        </w:tc>
      </w:tr>
      <w:tr w14:paraId="7BEA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834" w:type="pct"/>
            <w:vMerge w:val="continue"/>
            <w:shd w:val="clear" w:color="auto" w:fill="auto"/>
            <w:noWrap/>
            <w:vAlign w:val="center"/>
          </w:tcPr>
          <w:p w14:paraId="0B1DC340">
            <w:pPr>
              <w:pStyle w:val="26"/>
              <w:bidi w:val="0"/>
              <w:rPr>
                <w:rFonts w:hint="eastAsia"/>
                <w:color w:val="auto"/>
              </w:rPr>
            </w:pPr>
          </w:p>
        </w:tc>
        <w:tc>
          <w:tcPr>
            <w:tcW w:w="891" w:type="pct"/>
            <w:vMerge w:val="continue"/>
            <w:shd w:val="clear" w:color="auto" w:fill="auto"/>
            <w:vAlign w:val="center"/>
          </w:tcPr>
          <w:p w14:paraId="2569859A">
            <w:pPr>
              <w:bidi w:val="0"/>
              <w:rPr>
                <w:rFonts w:hint="eastAsia"/>
                <w:color w:val="auto"/>
              </w:rPr>
            </w:pPr>
          </w:p>
        </w:tc>
        <w:tc>
          <w:tcPr>
            <w:tcW w:w="875" w:type="pct"/>
            <w:shd w:val="clear" w:color="auto" w:fill="auto"/>
            <w:vAlign w:val="center"/>
          </w:tcPr>
          <w:p w14:paraId="56BC93E8">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662651A1">
            <w:pPr>
              <w:pStyle w:val="26"/>
              <w:bidi w:val="0"/>
              <w:rPr>
                <w:rFonts w:hint="default"/>
                <w:color w:val="auto"/>
                <w:lang w:val="en-US" w:eastAsia="zh-CN"/>
              </w:rPr>
            </w:pPr>
            <w:r>
              <w:rPr>
                <w:rFonts w:hint="eastAsia"/>
                <w:color w:val="auto"/>
                <w:lang w:val="en-US" w:eastAsia="zh-CN"/>
              </w:rPr>
              <w:t>ND</w:t>
            </w:r>
          </w:p>
        </w:tc>
        <w:tc>
          <w:tcPr>
            <w:tcW w:w="849" w:type="pct"/>
            <w:vMerge w:val="continue"/>
            <w:shd w:val="clear" w:color="auto" w:fill="auto"/>
            <w:vAlign w:val="center"/>
          </w:tcPr>
          <w:p w14:paraId="4E192DC3">
            <w:pPr>
              <w:bidi w:val="0"/>
              <w:rPr>
                <w:rFonts w:hint="default"/>
                <w:color w:val="auto"/>
              </w:rPr>
            </w:pPr>
          </w:p>
        </w:tc>
        <w:tc>
          <w:tcPr>
            <w:tcW w:w="788" w:type="pct"/>
            <w:vMerge w:val="continue"/>
            <w:shd w:val="clear" w:color="auto" w:fill="auto"/>
            <w:noWrap/>
            <w:vAlign w:val="center"/>
          </w:tcPr>
          <w:p w14:paraId="4297B5C1">
            <w:pPr>
              <w:bidi w:val="0"/>
              <w:rPr>
                <w:rFonts w:hint="eastAsia"/>
                <w:color w:val="auto"/>
              </w:rPr>
            </w:pPr>
          </w:p>
        </w:tc>
      </w:tr>
      <w:tr w14:paraId="535A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834" w:type="pct"/>
            <w:vMerge w:val="continue"/>
            <w:shd w:val="clear" w:color="auto" w:fill="auto"/>
            <w:noWrap/>
            <w:vAlign w:val="center"/>
          </w:tcPr>
          <w:p w14:paraId="4324084A">
            <w:pPr>
              <w:pStyle w:val="26"/>
              <w:bidi w:val="0"/>
              <w:rPr>
                <w:rFonts w:hint="eastAsia"/>
                <w:color w:val="auto"/>
              </w:rPr>
            </w:pPr>
          </w:p>
        </w:tc>
        <w:tc>
          <w:tcPr>
            <w:tcW w:w="891" w:type="pct"/>
            <w:vMerge w:val="continue"/>
            <w:shd w:val="clear" w:color="auto" w:fill="auto"/>
            <w:vAlign w:val="center"/>
          </w:tcPr>
          <w:p w14:paraId="7A38D5C0">
            <w:pPr>
              <w:bidi w:val="0"/>
              <w:rPr>
                <w:rFonts w:hint="eastAsia"/>
                <w:color w:val="auto"/>
              </w:rPr>
            </w:pPr>
          </w:p>
        </w:tc>
        <w:tc>
          <w:tcPr>
            <w:tcW w:w="875" w:type="pct"/>
            <w:shd w:val="clear" w:color="auto" w:fill="auto"/>
            <w:vAlign w:val="center"/>
          </w:tcPr>
          <w:p w14:paraId="223644B4">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0BA07337">
            <w:pPr>
              <w:pStyle w:val="26"/>
              <w:bidi w:val="0"/>
              <w:rPr>
                <w:rFonts w:hint="default"/>
                <w:color w:val="auto"/>
                <w:lang w:val="en-US" w:eastAsia="zh-CN"/>
              </w:rPr>
            </w:pPr>
            <w:r>
              <w:rPr>
                <w:rFonts w:hint="eastAsia"/>
                <w:color w:val="auto"/>
                <w:lang w:val="en-US" w:eastAsia="zh-CN"/>
              </w:rPr>
              <w:t>ND</w:t>
            </w:r>
          </w:p>
        </w:tc>
        <w:tc>
          <w:tcPr>
            <w:tcW w:w="849" w:type="pct"/>
            <w:vMerge w:val="continue"/>
            <w:shd w:val="clear" w:color="auto" w:fill="auto"/>
            <w:vAlign w:val="center"/>
          </w:tcPr>
          <w:p w14:paraId="07500F6A">
            <w:pPr>
              <w:bidi w:val="0"/>
              <w:rPr>
                <w:rFonts w:hint="default"/>
                <w:color w:val="auto"/>
              </w:rPr>
            </w:pPr>
          </w:p>
        </w:tc>
        <w:tc>
          <w:tcPr>
            <w:tcW w:w="788" w:type="pct"/>
            <w:vMerge w:val="continue"/>
            <w:shd w:val="clear" w:color="auto" w:fill="auto"/>
            <w:noWrap/>
            <w:vAlign w:val="center"/>
          </w:tcPr>
          <w:p w14:paraId="4EBD3728">
            <w:pPr>
              <w:bidi w:val="0"/>
              <w:rPr>
                <w:rFonts w:hint="eastAsia"/>
                <w:color w:val="auto"/>
              </w:rPr>
            </w:pPr>
          </w:p>
        </w:tc>
      </w:tr>
      <w:tr w14:paraId="33CA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269D51A1">
            <w:pPr>
              <w:pStyle w:val="26"/>
              <w:bidi w:val="0"/>
              <w:rPr>
                <w:rFonts w:hint="eastAsia"/>
                <w:color w:val="auto"/>
                <w:lang w:val="en-US" w:eastAsia="zh-CN"/>
              </w:rPr>
            </w:pPr>
          </w:p>
        </w:tc>
        <w:tc>
          <w:tcPr>
            <w:tcW w:w="891" w:type="pct"/>
            <w:vMerge w:val="restart"/>
            <w:shd w:val="clear" w:color="auto" w:fill="auto"/>
            <w:vAlign w:val="center"/>
          </w:tcPr>
          <w:p w14:paraId="50D55ABB">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非甲烷总烃</w:t>
            </w:r>
          </w:p>
        </w:tc>
        <w:tc>
          <w:tcPr>
            <w:tcW w:w="875" w:type="pct"/>
            <w:shd w:val="clear" w:color="auto" w:fill="auto"/>
            <w:vAlign w:val="center"/>
          </w:tcPr>
          <w:p w14:paraId="481C0F77">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上风向</w:t>
            </w:r>
            <w:r>
              <w:rPr>
                <w:rFonts w:hint="default"/>
                <w:color w:val="auto"/>
                <w:lang w:val="en-US" w:eastAsia="zh-CN"/>
              </w:rPr>
              <w:t>1</w:t>
            </w:r>
          </w:p>
        </w:tc>
        <w:tc>
          <w:tcPr>
            <w:tcW w:w="761" w:type="pct"/>
            <w:shd w:val="clear" w:color="auto" w:fill="auto"/>
            <w:vAlign w:val="center"/>
          </w:tcPr>
          <w:p w14:paraId="5C81F35F">
            <w:pPr>
              <w:pStyle w:val="26"/>
              <w:bidi w:val="0"/>
              <w:rPr>
                <w:rFonts w:hint="default"/>
                <w:color w:val="auto"/>
                <w:lang w:val="en-US" w:eastAsia="zh-CN"/>
              </w:rPr>
            </w:pPr>
            <w:r>
              <w:rPr>
                <w:rFonts w:hint="eastAsia"/>
                <w:color w:val="auto"/>
                <w:lang w:val="en-US" w:eastAsia="zh-CN"/>
              </w:rPr>
              <w:t>0.86</w:t>
            </w:r>
          </w:p>
        </w:tc>
        <w:tc>
          <w:tcPr>
            <w:tcW w:w="849" w:type="pct"/>
            <w:vMerge w:val="restart"/>
            <w:shd w:val="clear" w:color="auto" w:fill="auto"/>
            <w:vAlign w:val="center"/>
          </w:tcPr>
          <w:p w14:paraId="75D90FB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4</w:t>
            </w:r>
          </w:p>
        </w:tc>
        <w:tc>
          <w:tcPr>
            <w:tcW w:w="788" w:type="pct"/>
            <w:vMerge w:val="restart"/>
            <w:shd w:val="clear" w:color="auto" w:fill="auto"/>
            <w:noWrap/>
            <w:vAlign w:val="center"/>
          </w:tcPr>
          <w:p w14:paraId="39744795">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达标</w:t>
            </w:r>
          </w:p>
        </w:tc>
      </w:tr>
      <w:tr w14:paraId="207C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56CFB8E3">
            <w:pPr>
              <w:pStyle w:val="26"/>
              <w:bidi w:val="0"/>
              <w:rPr>
                <w:rFonts w:hint="eastAsia"/>
                <w:color w:val="auto"/>
                <w:lang w:val="en-US" w:eastAsia="zh-CN"/>
              </w:rPr>
            </w:pPr>
          </w:p>
        </w:tc>
        <w:tc>
          <w:tcPr>
            <w:tcW w:w="891" w:type="pct"/>
            <w:vMerge w:val="continue"/>
            <w:shd w:val="clear" w:color="auto" w:fill="auto"/>
            <w:vAlign w:val="center"/>
          </w:tcPr>
          <w:p w14:paraId="50410BAC">
            <w:pPr>
              <w:pStyle w:val="26"/>
              <w:bidi w:val="0"/>
              <w:rPr>
                <w:rFonts w:hint="eastAsia"/>
                <w:color w:val="auto"/>
                <w:lang w:val="en-US" w:eastAsia="zh-CN"/>
              </w:rPr>
            </w:pPr>
          </w:p>
        </w:tc>
        <w:tc>
          <w:tcPr>
            <w:tcW w:w="875" w:type="pct"/>
            <w:shd w:val="clear" w:color="auto" w:fill="auto"/>
            <w:vAlign w:val="center"/>
          </w:tcPr>
          <w:p w14:paraId="4A007FFF">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2</w:t>
            </w:r>
          </w:p>
        </w:tc>
        <w:tc>
          <w:tcPr>
            <w:tcW w:w="761" w:type="pct"/>
            <w:shd w:val="clear" w:color="auto" w:fill="auto"/>
            <w:vAlign w:val="center"/>
          </w:tcPr>
          <w:p w14:paraId="01978571">
            <w:pPr>
              <w:pStyle w:val="26"/>
              <w:bidi w:val="0"/>
              <w:rPr>
                <w:rFonts w:hint="default"/>
                <w:color w:val="auto"/>
                <w:lang w:val="en-US" w:eastAsia="zh-CN"/>
              </w:rPr>
            </w:pPr>
            <w:r>
              <w:rPr>
                <w:rFonts w:hint="eastAsia"/>
                <w:color w:val="auto"/>
                <w:lang w:val="en-US" w:eastAsia="zh-CN"/>
              </w:rPr>
              <w:t>1.24</w:t>
            </w:r>
          </w:p>
        </w:tc>
        <w:tc>
          <w:tcPr>
            <w:tcW w:w="849" w:type="pct"/>
            <w:vMerge w:val="continue"/>
            <w:shd w:val="clear" w:color="auto" w:fill="auto"/>
            <w:vAlign w:val="center"/>
          </w:tcPr>
          <w:p w14:paraId="59D89657">
            <w:pPr>
              <w:pStyle w:val="26"/>
              <w:bidi w:val="0"/>
              <w:rPr>
                <w:rFonts w:hint="default"/>
                <w:color w:val="auto"/>
                <w:lang w:val="en-US" w:eastAsia="zh-CN"/>
              </w:rPr>
            </w:pPr>
          </w:p>
        </w:tc>
        <w:tc>
          <w:tcPr>
            <w:tcW w:w="788" w:type="pct"/>
            <w:vMerge w:val="continue"/>
            <w:shd w:val="clear" w:color="auto" w:fill="auto"/>
            <w:noWrap/>
            <w:vAlign w:val="center"/>
          </w:tcPr>
          <w:p w14:paraId="58B47D15">
            <w:pPr>
              <w:pStyle w:val="26"/>
              <w:bidi w:val="0"/>
              <w:rPr>
                <w:rFonts w:hint="eastAsia"/>
                <w:color w:val="auto"/>
                <w:lang w:val="en-US" w:eastAsia="zh-CN"/>
              </w:rPr>
            </w:pPr>
          </w:p>
        </w:tc>
      </w:tr>
      <w:tr w14:paraId="3FD1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3E5BB482">
            <w:pPr>
              <w:pStyle w:val="26"/>
              <w:bidi w:val="0"/>
              <w:rPr>
                <w:rFonts w:hint="eastAsia"/>
                <w:color w:val="auto"/>
                <w:lang w:val="en-US" w:eastAsia="zh-CN"/>
              </w:rPr>
            </w:pPr>
          </w:p>
        </w:tc>
        <w:tc>
          <w:tcPr>
            <w:tcW w:w="891" w:type="pct"/>
            <w:vMerge w:val="continue"/>
            <w:shd w:val="clear" w:color="auto" w:fill="auto"/>
            <w:vAlign w:val="center"/>
          </w:tcPr>
          <w:p w14:paraId="1C38F2D6">
            <w:pPr>
              <w:pStyle w:val="26"/>
              <w:bidi w:val="0"/>
              <w:rPr>
                <w:rFonts w:hint="eastAsia"/>
                <w:color w:val="auto"/>
                <w:lang w:val="en-US" w:eastAsia="zh-CN"/>
              </w:rPr>
            </w:pPr>
          </w:p>
        </w:tc>
        <w:tc>
          <w:tcPr>
            <w:tcW w:w="875" w:type="pct"/>
            <w:shd w:val="clear" w:color="auto" w:fill="auto"/>
            <w:vAlign w:val="center"/>
          </w:tcPr>
          <w:p w14:paraId="399108F6">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3</w:t>
            </w:r>
          </w:p>
        </w:tc>
        <w:tc>
          <w:tcPr>
            <w:tcW w:w="761" w:type="pct"/>
            <w:shd w:val="clear" w:color="auto" w:fill="auto"/>
            <w:vAlign w:val="center"/>
          </w:tcPr>
          <w:p w14:paraId="5FFE8BA2">
            <w:pPr>
              <w:pStyle w:val="26"/>
              <w:bidi w:val="0"/>
              <w:rPr>
                <w:rFonts w:hint="default"/>
                <w:color w:val="auto"/>
                <w:lang w:val="en-US" w:eastAsia="zh-CN"/>
              </w:rPr>
            </w:pPr>
            <w:r>
              <w:rPr>
                <w:rFonts w:hint="eastAsia"/>
                <w:color w:val="auto"/>
                <w:lang w:val="en-US" w:eastAsia="zh-CN"/>
              </w:rPr>
              <w:t>1.25</w:t>
            </w:r>
          </w:p>
        </w:tc>
        <w:tc>
          <w:tcPr>
            <w:tcW w:w="849" w:type="pct"/>
            <w:vMerge w:val="continue"/>
            <w:shd w:val="clear" w:color="auto" w:fill="auto"/>
            <w:vAlign w:val="center"/>
          </w:tcPr>
          <w:p w14:paraId="42E484B2">
            <w:pPr>
              <w:pStyle w:val="26"/>
              <w:bidi w:val="0"/>
              <w:rPr>
                <w:rFonts w:hint="default"/>
                <w:color w:val="auto"/>
                <w:lang w:val="en-US" w:eastAsia="zh-CN"/>
              </w:rPr>
            </w:pPr>
          </w:p>
        </w:tc>
        <w:tc>
          <w:tcPr>
            <w:tcW w:w="788" w:type="pct"/>
            <w:vMerge w:val="continue"/>
            <w:shd w:val="clear" w:color="auto" w:fill="auto"/>
            <w:noWrap/>
            <w:vAlign w:val="center"/>
          </w:tcPr>
          <w:p w14:paraId="2EFDEF5C">
            <w:pPr>
              <w:pStyle w:val="26"/>
              <w:bidi w:val="0"/>
              <w:rPr>
                <w:rFonts w:hint="eastAsia"/>
                <w:color w:val="auto"/>
                <w:lang w:val="en-US" w:eastAsia="zh-CN"/>
              </w:rPr>
            </w:pPr>
          </w:p>
        </w:tc>
      </w:tr>
      <w:tr w14:paraId="4DC2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68DA2AA7">
            <w:pPr>
              <w:pStyle w:val="26"/>
              <w:bidi w:val="0"/>
              <w:rPr>
                <w:rFonts w:hint="eastAsia"/>
                <w:color w:val="auto"/>
                <w:lang w:val="en-US" w:eastAsia="zh-CN"/>
              </w:rPr>
            </w:pPr>
          </w:p>
        </w:tc>
        <w:tc>
          <w:tcPr>
            <w:tcW w:w="891" w:type="pct"/>
            <w:vMerge w:val="continue"/>
            <w:shd w:val="clear" w:color="auto" w:fill="auto"/>
            <w:vAlign w:val="center"/>
          </w:tcPr>
          <w:p w14:paraId="2A32A93A">
            <w:pPr>
              <w:pStyle w:val="26"/>
              <w:bidi w:val="0"/>
              <w:rPr>
                <w:rFonts w:hint="eastAsia"/>
                <w:color w:val="auto"/>
                <w:lang w:val="en-US" w:eastAsia="zh-CN"/>
              </w:rPr>
            </w:pPr>
          </w:p>
        </w:tc>
        <w:tc>
          <w:tcPr>
            <w:tcW w:w="875" w:type="pct"/>
            <w:shd w:val="clear" w:color="auto" w:fill="auto"/>
            <w:vAlign w:val="center"/>
          </w:tcPr>
          <w:p w14:paraId="57228134">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下风向</w:t>
            </w:r>
            <w:r>
              <w:rPr>
                <w:rFonts w:hint="default"/>
                <w:color w:val="auto"/>
                <w:lang w:val="en-US" w:eastAsia="zh-CN"/>
              </w:rPr>
              <w:t>4</w:t>
            </w:r>
          </w:p>
        </w:tc>
        <w:tc>
          <w:tcPr>
            <w:tcW w:w="761" w:type="pct"/>
            <w:shd w:val="clear" w:color="auto" w:fill="auto"/>
            <w:vAlign w:val="center"/>
          </w:tcPr>
          <w:p w14:paraId="67BACB54">
            <w:pPr>
              <w:pStyle w:val="26"/>
              <w:bidi w:val="0"/>
              <w:rPr>
                <w:rFonts w:hint="default"/>
                <w:color w:val="auto"/>
                <w:lang w:val="en-US" w:eastAsia="zh-CN"/>
              </w:rPr>
            </w:pPr>
            <w:r>
              <w:rPr>
                <w:rFonts w:hint="eastAsia"/>
                <w:color w:val="auto"/>
                <w:lang w:val="en-US" w:eastAsia="zh-CN"/>
              </w:rPr>
              <w:t>1.25</w:t>
            </w:r>
          </w:p>
        </w:tc>
        <w:tc>
          <w:tcPr>
            <w:tcW w:w="849" w:type="pct"/>
            <w:vMerge w:val="continue"/>
            <w:shd w:val="clear" w:color="auto" w:fill="auto"/>
            <w:vAlign w:val="center"/>
          </w:tcPr>
          <w:p w14:paraId="1D818F95">
            <w:pPr>
              <w:pStyle w:val="26"/>
              <w:bidi w:val="0"/>
              <w:rPr>
                <w:rFonts w:hint="default"/>
                <w:color w:val="auto"/>
                <w:lang w:val="en-US" w:eastAsia="zh-CN"/>
              </w:rPr>
            </w:pPr>
          </w:p>
        </w:tc>
        <w:tc>
          <w:tcPr>
            <w:tcW w:w="788" w:type="pct"/>
            <w:vMerge w:val="continue"/>
            <w:shd w:val="clear" w:color="auto" w:fill="auto"/>
            <w:noWrap/>
            <w:vAlign w:val="center"/>
          </w:tcPr>
          <w:p w14:paraId="1F5658E4">
            <w:pPr>
              <w:pStyle w:val="26"/>
              <w:bidi w:val="0"/>
              <w:rPr>
                <w:rFonts w:hint="eastAsia"/>
                <w:color w:val="auto"/>
                <w:lang w:val="en-US" w:eastAsia="zh-CN"/>
              </w:rPr>
            </w:pPr>
          </w:p>
        </w:tc>
      </w:tr>
      <w:tr w14:paraId="1D37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834" w:type="pct"/>
            <w:vMerge w:val="restart"/>
            <w:shd w:val="clear" w:color="auto" w:fill="auto"/>
            <w:noWrap/>
            <w:vAlign w:val="center"/>
          </w:tcPr>
          <w:p w14:paraId="1A542602">
            <w:pPr>
              <w:pStyle w:val="26"/>
              <w:bidi w:val="0"/>
              <w:rPr>
                <w:rFonts w:hint="default"/>
                <w:color w:val="auto"/>
                <w:highlight w:val="none"/>
                <w:lang w:val="en-US"/>
              </w:rPr>
            </w:pPr>
            <w:r>
              <w:rPr>
                <w:rFonts w:hint="eastAsia"/>
                <w:color w:val="auto"/>
                <w:highlight w:val="none"/>
                <w:lang w:val="en-US" w:eastAsia="zh-CN"/>
              </w:rPr>
              <w:t>2025-7-15</w:t>
            </w:r>
          </w:p>
        </w:tc>
        <w:tc>
          <w:tcPr>
            <w:tcW w:w="891" w:type="pct"/>
            <w:vMerge w:val="restart"/>
            <w:shd w:val="clear" w:color="auto" w:fill="auto"/>
            <w:vAlign w:val="center"/>
          </w:tcPr>
          <w:p w14:paraId="43B5C3C6">
            <w:pPr>
              <w:pStyle w:val="26"/>
              <w:bidi w:val="0"/>
              <w:rPr>
                <w:rFonts w:hint="eastAsia"/>
                <w:color w:val="auto"/>
                <w:highlight w:val="none"/>
              </w:rPr>
            </w:pPr>
            <w:r>
              <w:rPr>
                <w:rFonts w:hint="eastAsia"/>
                <w:color w:val="auto"/>
                <w:highlight w:val="none"/>
                <w:lang w:val="en-US" w:eastAsia="zh-CN"/>
              </w:rPr>
              <w:t>总悬浮颗粒物(mg/m³)</w:t>
            </w:r>
          </w:p>
        </w:tc>
        <w:tc>
          <w:tcPr>
            <w:tcW w:w="875" w:type="pct"/>
            <w:shd w:val="clear" w:color="auto" w:fill="auto"/>
            <w:vAlign w:val="center"/>
          </w:tcPr>
          <w:p w14:paraId="6C9AB382">
            <w:pPr>
              <w:pStyle w:val="26"/>
              <w:bidi w:val="0"/>
              <w:rPr>
                <w:rFonts w:hint="eastAsia"/>
                <w:color w:val="auto"/>
                <w:highlight w:val="none"/>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7EE3AF48">
            <w:pPr>
              <w:pStyle w:val="26"/>
              <w:bidi w:val="0"/>
              <w:rPr>
                <w:rFonts w:hint="default" w:ascii="Times New Roman" w:hAnsi="Times New Roman" w:eastAsia="仿宋_GB2312" w:cs="Times New Roman"/>
                <w:color w:val="auto"/>
                <w:kern w:val="2"/>
                <w:sz w:val="21"/>
                <w:szCs w:val="22"/>
                <w:lang w:val="en-US" w:eastAsia="zh-CN" w:bidi="ar-SA"/>
              </w:rPr>
            </w:pPr>
            <w:r>
              <w:rPr>
                <w:rFonts w:hint="default"/>
                <w:color w:val="auto"/>
                <w:lang w:val="en-US" w:eastAsia="zh-CN"/>
              </w:rPr>
              <w:t>0.</w:t>
            </w:r>
            <w:r>
              <w:rPr>
                <w:rFonts w:hint="eastAsia"/>
                <w:color w:val="auto"/>
                <w:lang w:val="en-US" w:eastAsia="zh-CN"/>
              </w:rPr>
              <w:t>246</w:t>
            </w:r>
          </w:p>
        </w:tc>
        <w:tc>
          <w:tcPr>
            <w:tcW w:w="849" w:type="pct"/>
            <w:vMerge w:val="restart"/>
            <w:shd w:val="clear" w:color="auto" w:fill="auto"/>
            <w:vAlign w:val="center"/>
          </w:tcPr>
          <w:p w14:paraId="397ED6AD">
            <w:pPr>
              <w:pStyle w:val="26"/>
              <w:bidi w:val="0"/>
              <w:rPr>
                <w:rFonts w:hint="default"/>
                <w:color w:val="auto"/>
                <w:highlight w:val="none"/>
              </w:rPr>
            </w:pPr>
            <w:r>
              <w:rPr>
                <w:rFonts w:hint="eastAsia"/>
                <w:color w:val="auto"/>
                <w:lang w:val="en-US" w:eastAsia="zh-CN"/>
              </w:rPr>
              <w:t>0.5</w:t>
            </w:r>
          </w:p>
        </w:tc>
        <w:tc>
          <w:tcPr>
            <w:tcW w:w="788" w:type="pct"/>
            <w:vMerge w:val="restart"/>
            <w:shd w:val="clear" w:color="auto" w:fill="auto"/>
            <w:noWrap/>
            <w:vAlign w:val="center"/>
          </w:tcPr>
          <w:p w14:paraId="648AB99E">
            <w:pPr>
              <w:pStyle w:val="26"/>
              <w:bidi w:val="0"/>
              <w:rPr>
                <w:rFonts w:hint="eastAsia"/>
                <w:color w:val="auto"/>
                <w:highlight w:val="none"/>
              </w:rPr>
            </w:pPr>
            <w:r>
              <w:rPr>
                <w:rFonts w:hint="eastAsia"/>
                <w:color w:val="auto"/>
                <w:lang w:val="en-US" w:eastAsia="zh-CN"/>
              </w:rPr>
              <w:t>达标</w:t>
            </w:r>
          </w:p>
        </w:tc>
      </w:tr>
      <w:tr w14:paraId="0BA2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19569722">
            <w:pPr>
              <w:pStyle w:val="26"/>
              <w:bidi w:val="0"/>
              <w:rPr>
                <w:rFonts w:hint="eastAsia"/>
                <w:color w:val="auto"/>
                <w:highlight w:val="none"/>
              </w:rPr>
            </w:pPr>
          </w:p>
        </w:tc>
        <w:tc>
          <w:tcPr>
            <w:tcW w:w="891" w:type="pct"/>
            <w:vMerge w:val="continue"/>
            <w:shd w:val="clear" w:color="auto" w:fill="auto"/>
            <w:vAlign w:val="center"/>
          </w:tcPr>
          <w:p w14:paraId="2EA14C3D">
            <w:pPr>
              <w:pStyle w:val="26"/>
              <w:bidi w:val="0"/>
              <w:rPr>
                <w:rFonts w:hint="eastAsia"/>
                <w:color w:val="auto"/>
                <w:highlight w:val="none"/>
              </w:rPr>
            </w:pPr>
          </w:p>
        </w:tc>
        <w:tc>
          <w:tcPr>
            <w:tcW w:w="875" w:type="pct"/>
            <w:shd w:val="clear" w:color="auto" w:fill="auto"/>
            <w:vAlign w:val="center"/>
          </w:tcPr>
          <w:p w14:paraId="60553155">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3A442BC7">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0.364</w:t>
            </w:r>
          </w:p>
        </w:tc>
        <w:tc>
          <w:tcPr>
            <w:tcW w:w="849" w:type="pct"/>
            <w:vMerge w:val="continue"/>
            <w:shd w:val="clear" w:color="auto" w:fill="auto"/>
            <w:vAlign w:val="center"/>
          </w:tcPr>
          <w:p w14:paraId="1B49B403">
            <w:pPr>
              <w:pStyle w:val="26"/>
              <w:bidi w:val="0"/>
              <w:rPr>
                <w:rFonts w:hint="default"/>
                <w:color w:val="auto"/>
                <w:highlight w:val="none"/>
              </w:rPr>
            </w:pPr>
          </w:p>
        </w:tc>
        <w:tc>
          <w:tcPr>
            <w:tcW w:w="788" w:type="pct"/>
            <w:vMerge w:val="continue"/>
            <w:shd w:val="clear" w:color="auto" w:fill="auto"/>
            <w:noWrap/>
            <w:vAlign w:val="center"/>
          </w:tcPr>
          <w:p w14:paraId="6CF83FCB">
            <w:pPr>
              <w:pStyle w:val="26"/>
              <w:bidi w:val="0"/>
              <w:rPr>
                <w:rFonts w:hint="eastAsia"/>
                <w:color w:val="auto"/>
                <w:highlight w:val="none"/>
              </w:rPr>
            </w:pPr>
          </w:p>
        </w:tc>
      </w:tr>
      <w:tr w14:paraId="437E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834" w:type="pct"/>
            <w:vMerge w:val="continue"/>
            <w:shd w:val="clear" w:color="auto" w:fill="auto"/>
            <w:noWrap/>
            <w:vAlign w:val="center"/>
          </w:tcPr>
          <w:p w14:paraId="299C0B2F">
            <w:pPr>
              <w:pStyle w:val="26"/>
              <w:bidi w:val="0"/>
              <w:rPr>
                <w:rFonts w:hint="eastAsia"/>
                <w:color w:val="auto"/>
                <w:highlight w:val="none"/>
              </w:rPr>
            </w:pPr>
          </w:p>
        </w:tc>
        <w:tc>
          <w:tcPr>
            <w:tcW w:w="891" w:type="pct"/>
            <w:vMerge w:val="continue"/>
            <w:shd w:val="clear" w:color="auto" w:fill="auto"/>
            <w:vAlign w:val="center"/>
          </w:tcPr>
          <w:p w14:paraId="00F67F3B">
            <w:pPr>
              <w:pStyle w:val="26"/>
              <w:bidi w:val="0"/>
              <w:rPr>
                <w:rFonts w:hint="eastAsia"/>
                <w:color w:val="auto"/>
                <w:highlight w:val="none"/>
              </w:rPr>
            </w:pPr>
          </w:p>
        </w:tc>
        <w:tc>
          <w:tcPr>
            <w:tcW w:w="875" w:type="pct"/>
            <w:shd w:val="clear" w:color="auto" w:fill="auto"/>
            <w:vAlign w:val="center"/>
          </w:tcPr>
          <w:p w14:paraId="6DDC104F">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0BB600FD">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0.373</w:t>
            </w:r>
          </w:p>
        </w:tc>
        <w:tc>
          <w:tcPr>
            <w:tcW w:w="849" w:type="pct"/>
            <w:vMerge w:val="continue"/>
            <w:shd w:val="clear" w:color="auto" w:fill="auto"/>
            <w:vAlign w:val="center"/>
          </w:tcPr>
          <w:p w14:paraId="38BCCF43">
            <w:pPr>
              <w:pStyle w:val="26"/>
              <w:bidi w:val="0"/>
              <w:rPr>
                <w:rFonts w:hint="default"/>
                <w:color w:val="auto"/>
                <w:highlight w:val="none"/>
              </w:rPr>
            </w:pPr>
          </w:p>
        </w:tc>
        <w:tc>
          <w:tcPr>
            <w:tcW w:w="788" w:type="pct"/>
            <w:vMerge w:val="continue"/>
            <w:shd w:val="clear" w:color="auto" w:fill="auto"/>
            <w:noWrap/>
            <w:vAlign w:val="center"/>
          </w:tcPr>
          <w:p w14:paraId="2AECF0B3">
            <w:pPr>
              <w:pStyle w:val="26"/>
              <w:bidi w:val="0"/>
              <w:rPr>
                <w:rFonts w:hint="eastAsia"/>
                <w:color w:val="auto"/>
                <w:highlight w:val="none"/>
              </w:rPr>
            </w:pPr>
          </w:p>
        </w:tc>
      </w:tr>
      <w:tr w14:paraId="7D16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0AAF126A">
            <w:pPr>
              <w:pStyle w:val="26"/>
              <w:bidi w:val="0"/>
              <w:rPr>
                <w:rFonts w:hint="eastAsia"/>
                <w:color w:val="auto"/>
                <w:highlight w:val="none"/>
              </w:rPr>
            </w:pPr>
          </w:p>
        </w:tc>
        <w:tc>
          <w:tcPr>
            <w:tcW w:w="891" w:type="pct"/>
            <w:vMerge w:val="continue"/>
            <w:shd w:val="clear" w:color="auto" w:fill="auto"/>
            <w:vAlign w:val="center"/>
          </w:tcPr>
          <w:p w14:paraId="5DEA7A89">
            <w:pPr>
              <w:pStyle w:val="26"/>
              <w:bidi w:val="0"/>
              <w:rPr>
                <w:rFonts w:hint="eastAsia"/>
                <w:color w:val="auto"/>
                <w:highlight w:val="none"/>
              </w:rPr>
            </w:pPr>
          </w:p>
        </w:tc>
        <w:tc>
          <w:tcPr>
            <w:tcW w:w="875" w:type="pct"/>
            <w:shd w:val="clear" w:color="auto" w:fill="auto"/>
            <w:vAlign w:val="center"/>
          </w:tcPr>
          <w:p w14:paraId="2F543CCC">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142AC026">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0.379</w:t>
            </w:r>
          </w:p>
        </w:tc>
        <w:tc>
          <w:tcPr>
            <w:tcW w:w="849" w:type="pct"/>
            <w:vMerge w:val="continue"/>
            <w:shd w:val="clear" w:color="auto" w:fill="auto"/>
            <w:vAlign w:val="center"/>
          </w:tcPr>
          <w:p w14:paraId="02565ECA">
            <w:pPr>
              <w:pStyle w:val="26"/>
              <w:bidi w:val="0"/>
              <w:rPr>
                <w:rFonts w:hint="default"/>
                <w:color w:val="auto"/>
                <w:highlight w:val="none"/>
              </w:rPr>
            </w:pPr>
          </w:p>
        </w:tc>
        <w:tc>
          <w:tcPr>
            <w:tcW w:w="788" w:type="pct"/>
            <w:vMerge w:val="continue"/>
            <w:shd w:val="clear" w:color="auto" w:fill="auto"/>
            <w:noWrap/>
            <w:vAlign w:val="center"/>
          </w:tcPr>
          <w:p w14:paraId="0F4A9492">
            <w:pPr>
              <w:pStyle w:val="26"/>
              <w:bidi w:val="0"/>
              <w:rPr>
                <w:rFonts w:hint="eastAsia"/>
                <w:color w:val="auto"/>
                <w:highlight w:val="none"/>
              </w:rPr>
            </w:pPr>
          </w:p>
        </w:tc>
      </w:tr>
      <w:tr w14:paraId="246D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18348A92">
            <w:pPr>
              <w:pStyle w:val="26"/>
              <w:bidi w:val="0"/>
              <w:rPr>
                <w:rFonts w:hint="eastAsia"/>
                <w:color w:val="auto"/>
                <w:highlight w:val="none"/>
              </w:rPr>
            </w:pPr>
          </w:p>
        </w:tc>
        <w:tc>
          <w:tcPr>
            <w:tcW w:w="891" w:type="pct"/>
            <w:vMerge w:val="restart"/>
            <w:shd w:val="clear" w:color="auto" w:fill="auto"/>
            <w:vAlign w:val="center"/>
          </w:tcPr>
          <w:p w14:paraId="78DD71C2">
            <w:pPr>
              <w:pStyle w:val="26"/>
              <w:bidi w:val="0"/>
              <w:rPr>
                <w:rFonts w:hint="eastAsia"/>
                <w:color w:val="auto"/>
                <w:highlight w:val="none"/>
              </w:rPr>
            </w:pPr>
            <w:r>
              <w:rPr>
                <w:rFonts w:hint="eastAsia"/>
                <w:color w:val="auto"/>
                <w:highlight w:val="none"/>
                <w:lang w:val="en-US" w:eastAsia="zh-CN"/>
              </w:rPr>
              <w:t>氯化氢</w:t>
            </w:r>
          </w:p>
        </w:tc>
        <w:tc>
          <w:tcPr>
            <w:tcW w:w="875" w:type="pct"/>
            <w:shd w:val="clear" w:color="auto" w:fill="auto"/>
            <w:vAlign w:val="center"/>
          </w:tcPr>
          <w:p w14:paraId="608B3093">
            <w:pPr>
              <w:pStyle w:val="26"/>
              <w:bidi w:val="0"/>
              <w:rPr>
                <w:rFonts w:hint="eastAsia"/>
                <w:color w:val="auto"/>
                <w:highlight w:val="none"/>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6E165B6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restart"/>
            <w:shd w:val="clear" w:color="auto" w:fill="auto"/>
            <w:vAlign w:val="center"/>
          </w:tcPr>
          <w:p w14:paraId="484FE534">
            <w:pPr>
              <w:pStyle w:val="26"/>
              <w:bidi w:val="0"/>
              <w:rPr>
                <w:rFonts w:hint="default"/>
                <w:color w:val="auto"/>
                <w:highlight w:val="none"/>
              </w:rPr>
            </w:pPr>
            <w:r>
              <w:rPr>
                <w:rFonts w:hint="eastAsia"/>
                <w:color w:val="auto"/>
                <w:lang w:val="en-US" w:eastAsia="zh-CN"/>
              </w:rPr>
              <w:t>0.05</w:t>
            </w:r>
          </w:p>
        </w:tc>
        <w:tc>
          <w:tcPr>
            <w:tcW w:w="788" w:type="pct"/>
            <w:vMerge w:val="restart"/>
            <w:shd w:val="clear" w:color="auto" w:fill="auto"/>
            <w:noWrap/>
            <w:vAlign w:val="center"/>
          </w:tcPr>
          <w:p w14:paraId="65B463AF">
            <w:pPr>
              <w:pStyle w:val="26"/>
              <w:bidi w:val="0"/>
              <w:rPr>
                <w:rFonts w:hint="eastAsia"/>
                <w:color w:val="auto"/>
                <w:highlight w:val="none"/>
              </w:rPr>
            </w:pPr>
            <w:r>
              <w:rPr>
                <w:rFonts w:hint="eastAsia"/>
                <w:color w:val="auto"/>
                <w:lang w:val="en-US" w:eastAsia="zh-CN"/>
              </w:rPr>
              <w:t>达标</w:t>
            </w:r>
          </w:p>
        </w:tc>
      </w:tr>
      <w:tr w14:paraId="6F7B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34" w:type="pct"/>
            <w:vMerge w:val="continue"/>
            <w:shd w:val="clear" w:color="auto" w:fill="auto"/>
            <w:noWrap/>
            <w:vAlign w:val="center"/>
          </w:tcPr>
          <w:p w14:paraId="35C507F0">
            <w:pPr>
              <w:pStyle w:val="26"/>
              <w:bidi w:val="0"/>
              <w:rPr>
                <w:rFonts w:hint="eastAsia"/>
                <w:color w:val="auto"/>
                <w:highlight w:val="none"/>
              </w:rPr>
            </w:pPr>
          </w:p>
        </w:tc>
        <w:tc>
          <w:tcPr>
            <w:tcW w:w="891" w:type="pct"/>
            <w:vMerge w:val="continue"/>
            <w:shd w:val="clear" w:color="auto" w:fill="auto"/>
            <w:vAlign w:val="center"/>
          </w:tcPr>
          <w:p w14:paraId="1BE8E9A5">
            <w:pPr>
              <w:pStyle w:val="26"/>
              <w:bidi w:val="0"/>
              <w:rPr>
                <w:rFonts w:hint="eastAsia"/>
                <w:color w:val="auto"/>
                <w:highlight w:val="none"/>
              </w:rPr>
            </w:pPr>
          </w:p>
        </w:tc>
        <w:tc>
          <w:tcPr>
            <w:tcW w:w="875" w:type="pct"/>
            <w:shd w:val="clear" w:color="auto" w:fill="auto"/>
            <w:vAlign w:val="center"/>
          </w:tcPr>
          <w:p w14:paraId="1582B638">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19042A85">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0.047</w:t>
            </w:r>
          </w:p>
        </w:tc>
        <w:tc>
          <w:tcPr>
            <w:tcW w:w="849" w:type="pct"/>
            <w:vMerge w:val="continue"/>
            <w:shd w:val="clear" w:color="auto" w:fill="auto"/>
            <w:vAlign w:val="center"/>
          </w:tcPr>
          <w:p w14:paraId="696ADEC8">
            <w:pPr>
              <w:pStyle w:val="26"/>
              <w:bidi w:val="0"/>
              <w:rPr>
                <w:rFonts w:hint="default"/>
                <w:color w:val="auto"/>
                <w:highlight w:val="none"/>
              </w:rPr>
            </w:pPr>
          </w:p>
        </w:tc>
        <w:tc>
          <w:tcPr>
            <w:tcW w:w="788" w:type="pct"/>
            <w:vMerge w:val="continue"/>
            <w:shd w:val="clear" w:color="auto" w:fill="auto"/>
            <w:noWrap/>
            <w:vAlign w:val="center"/>
          </w:tcPr>
          <w:p w14:paraId="52869D2A">
            <w:pPr>
              <w:pStyle w:val="26"/>
              <w:bidi w:val="0"/>
              <w:rPr>
                <w:rFonts w:hint="eastAsia"/>
                <w:color w:val="auto"/>
                <w:highlight w:val="none"/>
              </w:rPr>
            </w:pPr>
          </w:p>
        </w:tc>
      </w:tr>
      <w:tr w14:paraId="509C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61454576">
            <w:pPr>
              <w:pStyle w:val="26"/>
              <w:bidi w:val="0"/>
              <w:rPr>
                <w:rFonts w:hint="eastAsia"/>
                <w:color w:val="auto"/>
                <w:highlight w:val="none"/>
              </w:rPr>
            </w:pPr>
          </w:p>
        </w:tc>
        <w:tc>
          <w:tcPr>
            <w:tcW w:w="891" w:type="pct"/>
            <w:vMerge w:val="continue"/>
            <w:shd w:val="clear" w:color="auto" w:fill="auto"/>
            <w:vAlign w:val="center"/>
          </w:tcPr>
          <w:p w14:paraId="7DAF040C">
            <w:pPr>
              <w:pStyle w:val="26"/>
              <w:bidi w:val="0"/>
              <w:rPr>
                <w:rFonts w:hint="eastAsia"/>
                <w:color w:val="auto"/>
                <w:highlight w:val="none"/>
              </w:rPr>
            </w:pPr>
          </w:p>
        </w:tc>
        <w:tc>
          <w:tcPr>
            <w:tcW w:w="875" w:type="pct"/>
            <w:shd w:val="clear" w:color="auto" w:fill="auto"/>
            <w:vAlign w:val="center"/>
          </w:tcPr>
          <w:p w14:paraId="72539A91">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01F6C38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0.047</w:t>
            </w:r>
          </w:p>
        </w:tc>
        <w:tc>
          <w:tcPr>
            <w:tcW w:w="849" w:type="pct"/>
            <w:vMerge w:val="continue"/>
            <w:shd w:val="clear" w:color="auto" w:fill="auto"/>
            <w:vAlign w:val="center"/>
          </w:tcPr>
          <w:p w14:paraId="704D0BF0">
            <w:pPr>
              <w:pStyle w:val="26"/>
              <w:bidi w:val="0"/>
              <w:rPr>
                <w:rFonts w:hint="default"/>
                <w:color w:val="auto"/>
                <w:highlight w:val="none"/>
              </w:rPr>
            </w:pPr>
          </w:p>
        </w:tc>
        <w:tc>
          <w:tcPr>
            <w:tcW w:w="788" w:type="pct"/>
            <w:vMerge w:val="continue"/>
            <w:shd w:val="clear" w:color="auto" w:fill="auto"/>
            <w:noWrap/>
            <w:vAlign w:val="center"/>
          </w:tcPr>
          <w:p w14:paraId="4D564357">
            <w:pPr>
              <w:pStyle w:val="26"/>
              <w:bidi w:val="0"/>
              <w:rPr>
                <w:rFonts w:hint="eastAsia"/>
                <w:color w:val="auto"/>
                <w:highlight w:val="none"/>
              </w:rPr>
            </w:pPr>
          </w:p>
        </w:tc>
      </w:tr>
      <w:tr w14:paraId="7659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72F6CAFC">
            <w:pPr>
              <w:pStyle w:val="26"/>
              <w:bidi w:val="0"/>
              <w:rPr>
                <w:rFonts w:hint="eastAsia"/>
                <w:color w:val="auto"/>
                <w:highlight w:val="none"/>
              </w:rPr>
            </w:pPr>
          </w:p>
        </w:tc>
        <w:tc>
          <w:tcPr>
            <w:tcW w:w="891" w:type="pct"/>
            <w:vMerge w:val="continue"/>
            <w:shd w:val="clear" w:color="auto" w:fill="auto"/>
            <w:vAlign w:val="center"/>
          </w:tcPr>
          <w:p w14:paraId="10281A2A">
            <w:pPr>
              <w:pStyle w:val="26"/>
              <w:bidi w:val="0"/>
              <w:rPr>
                <w:rFonts w:hint="eastAsia"/>
                <w:color w:val="auto"/>
                <w:highlight w:val="none"/>
              </w:rPr>
            </w:pPr>
          </w:p>
        </w:tc>
        <w:tc>
          <w:tcPr>
            <w:tcW w:w="875" w:type="pct"/>
            <w:shd w:val="clear" w:color="auto" w:fill="auto"/>
            <w:vAlign w:val="center"/>
          </w:tcPr>
          <w:p w14:paraId="344EE1DA">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65CB9D2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0.047</w:t>
            </w:r>
          </w:p>
        </w:tc>
        <w:tc>
          <w:tcPr>
            <w:tcW w:w="849" w:type="pct"/>
            <w:vMerge w:val="continue"/>
            <w:shd w:val="clear" w:color="auto" w:fill="auto"/>
            <w:vAlign w:val="center"/>
          </w:tcPr>
          <w:p w14:paraId="39FD2E4C">
            <w:pPr>
              <w:pStyle w:val="26"/>
              <w:bidi w:val="0"/>
              <w:rPr>
                <w:rFonts w:hint="default"/>
                <w:color w:val="auto"/>
                <w:highlight w:val="none"/>
              </w:rPr>
            </w:pPr>
          </w:p>
        </w:tc>
        <w:tc>
          <w:tcPr>
            <w:tcW w:w="788" w:type="pct"/>
            <w:vMerge w:val="continue"/>
            <w:shd w:val="clear" w:color="auto" w:fill="auto"/>
            <w:noWrap/>
            <w:vAlign w:val="center"/>
          </w:tcPr>
          <w:p w14:paraId="694D3D94">
            <w:pPr>
              <w:pStyle w:val="26"/>
              <w:bidi w:val="0"/>
              <w:rPr>
                <w:rFonts w:hint="eastAsia"/>
                <w:color w:val="auto"/>
                <w:highlight w:val="none"/>
              </w:rPr>
            </w:pPr>
          </w:p>
        </w:tc>
      </w:tr>
      <w:tr w14:paraId="57A0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7E881E78">
            <w:pPr>
              <w:pStyle w:val="26"/>
              <w:bidi w:val="0"/>
              <w:rPr>
                <w:rFonts w:hint="eastAsia"/>
                <w:color w:val="auto"/>
                <w:highlight w:val="none"/>
              </w:rPr>
            </w:pPr>
          </w:p>
        </w:tc>
        <w:tc>
          <w:tcPr>
            <w:tcW w:w="891" w:type="pct"/>
            <w:vMerge w:val="restart"/>
            <w:shd w:val="clear" w:color="auto" w:fill="auto"/>
            <w:vAlign w:val="center"/>
          </w:tcPr>
          <w:p w14:paraId="51BE7553">
            <w:pPr>
              <w:pStyle w:val="26"/>
              <w:bidi w:val="0"/>
              <w:rPr>
                <w:rFonts w:hint="eastAsia"/>
                <w:color w:val="auto"/>
                <w:highlight w:val="none"/>
              </w:rPr>
            </w:pPr>
            <w:r>
              <w:rPr>
                <w:rFonts w:hint="eastAsia"/>
                <w:color w:val="auto"/>
                <w:highlight w:val="none"/>
                <w:lang w:val="en-US" w:eastAsia="zh-CN"/>
              </w:rPr>
              <w:t>硫酸雾</w:t>
            </w:r>
          </w:p>
        </w:tc>
        <w:tc>
          <w:tcPr>
            <w:tcW w:w="875" w:type="pct"/>
            <w:shd w:val="clear" w:color="auto" w:fill="auto"/>
            <w:vAlign w:val="center"/>
          </w:tcPr>
          <w:p w14:paraId="5B60C121">
            <w:pPr>
              <w:pStyle w:val="26"/>
              <w:bidi w:val="0"/>
              <w:rPr>
                <w:rFonts w:hint="eastAsia"/>
                <w:color w:val="auto"/>
                <w:highlight w:val="none"/>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2C7C9AF7">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0.044</w:t>
            </w:r>
          </w:p>
        </w:tc>
        <w:tc>
          <w:tcPr>
            <w:tcW w:w="849" w:type="pct"/>
            <w:vMerge w:val="restart"/>
            <w:shd w:val="clear" w:color="auto" w:fill="auto"/>
            <w:vAlign w:val="center"/>
          </w:tcPr>
          <w:p w14:paraId="30CEB412">
            <w:pPr>
              <w:pStyle w:val="26"/>
              <w:bidi w:val="0"/>
              <w:rPr>
                <w:rFonts w:hint="default"/>
                <w:color w:val="auto"/>
                <w:highlight w:val="none"/>
              </w:rPr>
            </w:pPr>
            <w:r>
              <w:rPr>
                <w:rFonts w:hint="eastAsia"/>
                <w:color w:val="auto"/>
                <w:lang w:val="en-US" w:eastAsia="zh-CN"/>
              </w:rPr>
              <w:t>0.3</w:t>
            </w:r>
          </w:p>
        </w:tc>
        <w:tc>
          <w:tcPr>
            <w:tcW w:w="788" w:type="pct"/>
            <w:vMerge w:val="restart"/>
            <w:shd w:val="clear" w:color="auto" w:fill="auto"/>
            <w:noWrap/>
            <w:vAlign w:val="center"/>
          </w:tcPr>
          <w:p w14:paraId="53FC8D64">
            <w:pPr>
              <w:pStyle w:val="26"/>
              <w:bidi w:val="0"/>
              <w:rPr>
                <w:rFonts w:hint="eastAsia"/>
                <w:color w:val="auto"/>
                <w:highlight w:val="none"/>
              </w:rPr>
            </w:pPr>
            <w:r>
              <w:rPr>
                <w:rFonts w:hint="eastAsia"/>
                <w:color w:val="auto"/>
                <w:lang w:val="en-US" w:eastAsia="zh-CN"/>
              </w:rPr>
              <w:t>达标</w:t>
            </w:r>
          </w:p>
        </w:tc>
      </w:tr>
      <w:tr w14:paraId="4EED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0FF496BD">
            <w:pPr>
              <w:pStyle w:val="26"/>
              <w:bidi w:val="0"/>
              <w:rPr>
                <w:rFonts w:hint="eastAsia"/>
                <w:color w:val="auto"/>
                <w:highlight w:val="none"/>
              </w:rPr>
            </w:pPr>
          </w:p>
        </w:tc>
        <w:tc>
          <w:tcPr>
            <w:tcW w:w="891" w:type="pct"/>
            <w:vMerge w:val="continue"/>
            <w:shd w:val="clear" w:color="auto" w:fill="auto"/>
            <w:vAlign w:val="center"/>
          </w:tcPr>
          <w:p w14:paraId="453F25B6">
            <w:pPr>
              <w:pStyle w:val="26"/>
              <w:bidi w:val="0"/>
              <w:rPr>
                <w:rFonts w:hint="eastAsia"/>
                <w:color w:val="auto"/>
                <w:highlight w:val="none"/>
              </w:rPr>
            </w:pPr>
          </w:p>
        </w:tc>
        <w:tc>
          <w:tcPr>
            <w:tcW w:w="875" w:type="pct"/>
            <w:shd w:val="clear" w:color="auto" w:fill="auto"/>
            <w:vAlign w:val="center"/>
          </w:tcPr>
          <w:p w14:paraId="6369B6DB">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5D8E2F7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0.063</w:t>
            </w:r>
          </w:p>
        </w:tc>
        <w:tc>
          <w:tcPr>
            <w:tcW w:w="849" w:type="pct"/>
            <w:vMerge w:val="continue"/>
            <w:shd w:val="clear" w:color="auto" w:fill="auto"/>
            <w:vAlign w:val="center"/>
          </w:tcPr>
          <w:p w14:paraId="63A52020">
            <w:pPr>
              <w:pStyle w:val="26"/>
              <w:bidi w:val="0"/>
              <w:rPr>
                <w:rFonts w:hint="default"/>
                <w:color w:val="auto"/>
                <w:highlight w:val="none"/>
              </w:rPr>
            </w:pPr>
          </w:p>
        </w:tc>
        <w:tc>
          <w:tcPr>
            <w:tcW w:w="788" w:type="pct"/>
            <w:vMerge w:val="continue"/>
            <w:shd w:val="clear" w:color="auto" w:fill="auto"/>
            <w:noWrap/>
            <w:vAlign w:val="center"/>
          </w:tcPr>
          <w:p w14:paraId="7426B4A4">
            <w:pPr>
              <w:pStyle w:val="26"/>
              <w:bidi w:val="0"/>
              <w:rPr>
                <w:rFonts w:hint="eastAsia"/>
                <w:color w:val="auto"/>
                <w:highlight w:val="none"/>
              </w:rPr>
            </w:pPr>
          </w:p>
        </w:tc>
      </w:tr>
      <w:tr w14:paraId="3887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0E6D3FEB">
            <w:pPr>
              <w:pStyle w:val="26"/>
              <w:bidi w:val="0"/>
              <w:rPr>
                <w:rFonts w:hint="eastAsia"/>
                <w:color w:val="auto"/>
                <w:highlight w:val="none"/>
              </w:rPr>
            </w:pPr>
          </w:p>
        </w:tc>
        <w:tc>
          <w:tcPr>
            <w:tcW w:w="891" w:type="pct"/>
            <w:vMerge w:val="continue"/>
            <w:shd w:val="clear" w:color="auto" w:fill="auto"/>
            <w:vAlign w:val="center"/>
          </w:tcPr>
          <w:p w14:paraId="103DE68A">
            <w:pPr>
              <w:pStyle w:val="26"/>
              <w:bidi w:val="0"/>
              <w:rPr>
                <w:rFonts w:hint="eastAsia"/>
                <w:color w:val="auto"/>
                <w:highlight w:val="none"/>
              </w:rPr>
            </w:pPr>
          </w:p>
        </w:tc>
        <w:tc>
          <w:tcPr>
            <w:tcW w:w="875" w:type="pct"/>
            <w:shd w:val="clear" w:color="auto" w:fill="auto"/>
            <w:vAlign w:val="center"/>
          </w:tcPr>
          <w:p w14:paraId="622DE59B">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73B585F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0.069</w:t>
            </w:r>
          </w:p>
        </w:tc>
        <w:tc>
          <w:tcPr>
            <w:tcW w:w="849" w:type="pct"/>
            <w:vMerge w:val="continue"/>
            <w:shd w:val="clear" w:color="auto" w:fill="auto"/>
            <w:vAlign w:val="center"/>
          </w:tcPr>
          <w:p w14:paraId="30A4991F">
            <w:pPr>
              <w:pStyle w:val="26"/>
              <w:bidi w:val="0"/>
              <w:rPr>
                <w:rFonts w:hint="default"/>
                <w:color w:val="auto"/>
                <w:highlight w:val="none"/>
              </w:rPr>
            </w:pPr>
          </w:p>
        </w:tc>
        <w:tc>
          <w:tcPr>
            <w:tcW w:w="788" w:type="pct"/>
            <w:vMerge w:val="continue"/>
            <w:shd w:val="clear" w:color="auto" w:fill="auto"/>
            <w:noWrap/>
            <w:vAlign w:val="center"/>
          </w:tcPr>
          <w:p w14:paraId="4E7CAE82">
            <w:pPr>
              <w:pStyle w:val="26"/>
              <w:bidi w:val="0"/>
              <w:rPr>
                <w:rFonts w:hint="eastAsia"/>
                <w:color w:val="auto"/>
                <w:highlight w:val="none"/>
              </w:rPr>
            </w:pPr>
          </w:p>
        </w:tc>
      </w:tr>
      <w:tr w14:paraId="54F8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226D6AF1">
            <w:pPr>
              <w:pStyle w:val="26"/>
              <w:bidi w:val="0"/>
              <w:rPr>
                <w:rFonts w:hint="eastAsia"/>
                <w:color w:val="auto"/>
                <w:highlight w:val="none"/>
              </w:rPr>
            </w:pPr>
          </w:p>
        </w:tc>
        <w:tc>
          <w:tcPr>
            <w:tcW w:w="891" w:type="pct"/>
            <w:vMerge w:val="continue"/>
            <w:shd w:val="clear" w:color="auto" w:fill="auto"/>
            <w:vAlign w:val="center"/>
          </w:tcPr>
          <w:p w14:paraId="256BE862">
            <w:pPr>
              <w:pStyle w:val="26"/>
              <w:bidi w:val="0"/>
              <w:rPr>
                <w:rFonts w:hint="eastAsia"/>
                <w:color w:val="auto"/>
                <w:highlight w:val="none"/>
              </w:rPr>
            </w:pPr>
          </w:p>
        </w:tc>
        <w:tc>
          <w:tcPr>
            <w:tcW w:w="875" w:type="pct"/>
            <w:shd w:val="clear" w:color="auto" w:fill="auto"/>
            <w:vAlign w:val="center"/>
          </w:tcPr>
          <w:p w14:paraId="3BD5079E">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672D708E">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0.073</w:t>
            </w:r>
          </w:p>
        </w:tc>
        <w:tc>
          <w:tcPr>
            <w:tcW w:w="849" w:type="pct"/>
            <w:vMerge w:val="continue"/>
            <w:shd w:val="clear" w:color="auto" w:fill="auto"/>
            <w:vAlign w:val="center"/>
          </w:tcPr>
          <w:p w14:paraId="2B35F9DE">
            <w:pPr>
              <w:pStyle w:val="26"/>
              <w:bidi w:val="0"/>
              <w:rPr>
                <w:rFonts w:hint="default"/>
                <w:color w:val="auto"/>
                <w:highlight w:val="none"/>
              </w:rPr>
            </w:pPr>
          </w:p>
        </w:tc>
        <w:tc>
          <w:tcPr>
            <w:tcW w:w="788" w:type="pct"/>
            <w:vMerge w:val="continue"/>
            <w:shd w:val="clear" w:color="auto" w:fill="auto"/>
            <w:noWrap/>
            <w:vAlign w:val="center"/>
          </w:tcPr>
          <w:p w14:paraId="5442D034">
            <w:pPr>
              <w:pStyle w:val="26"/>
              <w:bidi w:val="0"/>
              <w:rPr>
                <w:rFonts w:hint="eastAsia"/>
                <w:color w:val="auto"/>
                <w:highlight w:val="none"/>
              </w:rPr>
            </w:pPr>
          </w:p>
        </w:tc>
      </w:tr>
      <w:tr w14:paraId="6352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76298488">
            <w:pPr>
              <w:pStyle w:val="26"/>
              <w:bidi w:val="0"/>
              <w:rPr>
                <w:rFonts w:hint="eastAsia"/>
                <w:color w:val="auto"/>
                <w:highlight w:val="none"/>
              </w:rPr>
            </w:pPr>
          </w:p>
        </w:tc>
        <w:tc>
          <w:tcPr>
            <w:tcW w:w="891" w:type="pct"/>
            <w:vMerge w:val="restart"/>
            <w:shd w:val="clear" w:color="auto" w:fill="auto"/>
            <w:noWrap/>
            <w:vAlign w:val="center"/>
          </w:tcPr>
          <w:p w14:paraId="6A452AEC">
            <w:pPr>
              <w:pStyle w:val="26"/>
              <w:bidi w:val="0"/>
              <w:rPr>
                <w:rFonts w:hint="eastAsia"/>
                <w:color w:val="auto"/>
                <w:highlight w:val="none"/>
                <w:lang w:val="en-US" w:eastAsia="zh-CN"/>
              </w:rPr>
            </w:pPr>
            <w:r>
              <w:rPr>
                <w:rFonts w:hint="eastAsia"/>
                <w:color w:val="auto"/>
                <w:highlight w:val="none"/>
                <w:lang w:val="en-US" w:eastAsia="zh-CN"/>
              </w:rPr>
              <w:t>铬酸雾</w:t>
            </w:r>
          </w:p>
        </w:tc>
        <w:tc>
          <w:tcPr>
            <w:tcW w:w="875" w:type="pct"/>
            <w:shd w:val="clear" w:color="auto" w:fill="auto"/>
            <w:vAlign w:val="center"/>
          </w:tcPr>
          <w:p w14:paraId="6DBA8566">
            <w:pPr>
              <w:pStyle w:val="26"/>
              <w:bidi w:val="0"/>
              <w:rPr>
                <w:rFonts w:hint="eastAsia"/>
                <w:color w:val="auto"/>
                <w:highlight w:val="none"/>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noWrap/>
            <w:vAlign w:val="center"/>
          </w:tcPr>
          <w:p w14:paraId="59CE135C">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restart"/>
            <w:shd w:val="clear" w:color="auto" w:fill="auto"/>
            <w:noWrap/>
            <w:vAlign w:val="center"/>
          </w:tcPr>
          <w:p w14:paraId="384DFD7D">
            <w:pPr>
              <w:pStyle w:val="26"/>
              <w:bidi w:val="0"/>
              <w:rPr>
                <w:rFonts w:hint="eastAsia"/>
                <w:color w:val="auto"/>
                <w:highlight w:val="none"/>
              </w:rPr>
            </w:pPr>
            <w:r>
              <w:rPr>
                <w:rFonts w:hint="eastAsia"/>
                <w:color w:val="auto"/>
                <w:lang w:val="en-US" w:eastAsia="zh-CN"/>
              </w:rPr>
              <w:t>0.002</w:t>
            </w:r>
          </w:p>
        </w:tc>
        <w:tc>
          <w:tcPr>
            <w:tcW w:w="788" w:type="pct"/>
            <w:vMerge w:val="restart"/>
            <w:shd w:val="clear" w:color="auto" w:fill="auto"/>
            <w:noWrap/>
            <w:vAlign w:val="center"/>
          </w:tcPr>
          <w:p w14:paraId="17C54838">
            <w:pPr>
              <w:pStyle w:val="26"/>
              <w:bidi w:val="0"/>
              <w:rPr>
                <w:rFonts w:hint="eastAsia"/>
                <w:color w:val="auto"/>
                <w:highlight w:val="none"/>
              </w:rPr>
            </w:pPr>
            <w:r>
              <w:rPr>
                <w:rFonts w:hint="eastAsia"/>
                <w:color w:val="auto"/>
                <w:lang w:val="en-US" w:eastAsia="zh-CN"/>
              </w:rPr>
              <w:t>达标</w:t>
            </w:r>
          </w:p>
        </w:tc>
      </w:tr>
      <w:tr w14:paraId="7745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00D661DC">
            <w:pPr>
              <w:pStyle w:val="26"/>
              <w:bidi w:val="0"/>
              <w:rPr>
                <w:rFonts w:hint="eastAsia"/>
                <w:color w:val="auto"/>
                <w:highlight w:val="none"/>
              </w:rPr>
            </w:pPr>
          </w:p>
        </w:tc>
        <w:tc>
          <w:tcPr>
            <w:tcW w:w="891" w:type="pct"/>
            <w:vMerge w:val="continue"/>
            <w:shd w:val="clear" w:color="auto" w:fill="auto"/>
            <w:noWrap/>
            <w:vAlign w:val="center"/>
          </w:tcPr>
          <w:p w14:paraId="0142E79B">
            <w:pPr>
              <w:pStyle w:val="26"/>
              <w:bidi w:val="0"/>
              <w:rPr>
                <w:rFonts w:hint="eastAsia"/>
                <w:color w:val="auto"/>
                <w:highlight w:val="none"/>
              </w:rPr>
            </w:pPr>
          </w:p>
        </w:tc>
        <w:tc>
          <w:tcPr>
            <w:tcW w:w="875" w:type="pct"/>
            <w:shd w:val="clear" w:color="auto" w:fill="auto"/>
            <w:vAlign w:val="center"/>
          </w:tcPr>
          <w:p w14:paraId="365E3388">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noWrap/>
            <w:vAlign w:val="center"/>
          </w:tcPr>
          <w:p w14:paraId="48C2B78B">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noWrap/>
            <w:vAlign w:val="center"/>
          </w:tcPr>
          <w:p w14:paraId="47B79661">
            <w:pPr>
              <w:pStyle w:val="26"/>
              <w:bidi w:val="0"/>
              <w:rPr>
                <w:rFonts w:hint="eastAsia"/>
                <w:color w:val="auto"/>
                <w:highlight w:val="none"/>
              </w:rPr>
            </w:pPr>
          </w:p>
        </w:tc>
        <w:tc>
          <w:tcPr>
            <w:tcW w:w="788" w:type="pct"/>
            <w:vMerge w:val="continue"/>
            <w:shd w:val="clear" w:color="auto" w:fill="auto"/>
            <w:noWrap/>
            <w:vAlign w:val="center"/>
          </w:tcPr>
          <w:p w14:paraId="6C8EAECC">
            <w:pPr>
              <w:pStyle w:val="26"/>
              <w:bidi w:val="0"/>
              <w:rPr>
                <w:rFonts w:hint="eastAsia"/>
                <w:color w:val="auto"/>
                <w:highlight w:val="none"/>
              </w:rPr>
            </w:pPr>
          </w:p>
        </w:tc>
      </w:tr>
      <w:tr w14:paraId="0AEE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175257B0">
            <w:pPr>
              <w:pStyle w:val="26"/>
              <w:bidi w:val="0"/>
              <w:rPr>
                <w:rFonts w:hint="eastAsia"/>
                <w:color w:val="auto"/>
                <w:highlight w:val="none"/>
              </w:rPr>
            </w:pPr>
          </w:p>
        </w:tc>
        <w:tc>
          <w:tcPr>
            <w:tcW w:w="891" w:type="pct"/>
            <w:vMerge w:val="continue"/>
            <w:shd w:val="clear" w:color="auto" w:fill="auto"/>
            <w:noWrap/>
            <w:vAlign w:val="center"/>
          </w:tcPr>
          <w:p w14:paraId="357679C0">
            <w:pPr>
              <w:pStyle w:val="26"/>
              <w:bidi w:val="0"/>
              <w:rPr>
                <w:rFonts w:hint="eastAsia"/>
                <w:color w:val="auto"/>
                <w:highlight w:val="none"/>
              </w:rPr>
            </w:pPr>
          </w:p>
        </w:tc>
        <w:tc>
          <w:tcPr>
            <w:tcW w:w="875" w:type="pct"/>
            <w:shd w:val="clear" w:color="auto" w:fill="auto"/>
            <w:vAlign w:val="center"/>
          </w:tcPr>
          <w:p w14:paraId="767C16BE">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noWrap/>
            <w:vAlign w:val="center"/>
          </w:tcPr>
          <w:p w14:paraId="29242948">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noWrap/>
            <w:vAlign w:val="center"/>
          </w:tcPr>
          <w:p w14:paraId="7375AA32">
            <w:pPr>
              <w:pStyle w:val="26"/>
              <w:bidi w:val="0"/>
              <w:rPr>
                <w:rFonts w:hint="eastAsia"/>
                <w:color w:val="auto"/>
                <w:highlight w:val="none"/>
              </w:rPr>
            </w:pPr>
          </w:p>
        </w:tc>
        <w:tc>
          <w:tcPr>
            <w:tcW w:w="788" w:type="pct"/>
            <w:vMerge w:val="continue"/>
            <w:shd w:val="clear" w:color="auto" w:fill="auto"/>
            <w:noWrap/>
            <w:vAlign w:val="center"/>
          </w:tcPr>
          <w:p w14:paraId="6C06DFAA">
            <w:pPr>
              <w:pStyle w:val="26"/>
              <w:bidi w:val="0"/>
              <w:rPr>
                <w:rFonts w:hint="eastAsia"/>
                <w:color w:val="auto"/>
                <w:highlight w:val="none"/>
              </w:rPr>
            </w:pPr>
          </w:p>
        </w:tc>
      </w:tr>
      <w:tr w14:paraId="2527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26405A24">
            <w:pPr>
              <w:pStyle w:val="26"/>
              <w:bidi w:val="0"/>
              <w:rPr>
                <w:rFonts w:hint="eastAsia"/>
                <w:color w:val="auto"/>
                <w:highlight w:val="none"/>
              </w:rPr>
            </w:pPr>
          </w:p>
        </w:tc>
        <w:tc>
          <w:tcPr>
            <w:tcW w:w="891" w:type="pct"/>
            <w:vMerge w:val="continue"/>
            <w:shd w:val="clear" w:color="auto" w:fill="auto"/>
            <w:noWrap/>
            <w:vAlign w:val="center"/>
          </w:tcPr>
          <w:p w14:paraId="0DB7381A">
            <w:pPr>
              <w:pStyle w:val="26"/>
              <w:bidi w:val="0"/>
              <w:rPr>
                <w:rFonts w:hint="eastAsia"/>
                <w:color w:val="auto"/>
                <w:highlight w:val="none"/>
              </w:rPr>
            </w:pPr>
          </w:p>
        </w:tc>
        <w:tc>
          <w:tcPr>
            <w:tcW w:w="875" w:type="pct"/>
            <w:shd w:val="clear" w:color="auto" w:fill="auto"/>
            <w:vAlign w:val="center"/>
          </w:tcPr>
          <w:p w14:paraId="1A378210">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noWrap/>
            <w:vAlign w:val="center"/>
          </w:tcPr>
          <w:p w14:paraId="50EB4940">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noWrap/>
            <w:vAlign w:val="center"/>
          </w:tcPr>
          <w:p w14:paraId="4659DD87">
            <w:pPr>
              <w:pStyle w:val="26"/>
              <w:bidi w:val="0"/>
              <w:rPr>
                <w:rFonts w:hint="eastAsia"/>
                <w:color w:val="auto"/>
                <w:highlight w:val="none"/>
              </w:rPr>
            </w:pPr>
          </w:p>
        </w:tc>
        <w:tc>
          <w:tcPr>
            <w:tcW w:w="788" w:type="pct"/>
            <w:vMerge w:val="continue"/>
            <w:shd w:val="clear" w:color="auto" w:fill="auto"/>
            <w:noWrap/>
            <w:vAlign w:val="center"/>
          </w:tcPr>
          <w:p w14:paraId="2E98BF3E">
            <w:pPr>
              <w:pStyle w:val="26"/>
              <w:bidi w:val="0"/>
              <w:rPr>
                <w:rFonts w:hint="eastAsia"/>
                <w:color w:val="auto"/>
                <w:highlight w:val="none"/>
              </w:rPr>
            </w:pPr>
          </w:p>
        </w:tc>
      </w:tr>
      <w:tr w14:paraId="5810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6E3D31D0">
            <w:pPr>
              <w:pStyle w:val="26"/>
              <w:bidi w:val="0"/>
              <w:rPr>
                <w:rFonts w:hint="eastAsia"/>
                <w:color w:val="auto"/>
                <w:highlight w:val="none"/>
              </w:rPr>
            </w:pPr>
          </w:p>
        </w:tc>
        <w:tc>
          <w:tcPr>
            <w:tcW w:w="891" w:type="pct"/>
            <w:vMerge w:val="restart"/>
            <w:shd w:val="clear" w:color="auto" w:fill="auto"/>
            <w:vAlign w:val="center"/>
          </w:tcPr>
          <w:p w14:paraId="7619435B">
            <w:pPr>
              <w:pStyle w:val="26"/>
              <w:bidi w:val="0"/>
              <w:rPr>
                <w:rFonts w:hint="default"/>
                <w:color w:val="auto"/>
                <w:highlight w:val="none"/>
                <w:lang w:val="en-US" w:eastAsia="zh-CN"/>
              </w:rPr>
            </w:pPr>
            <w:r>
              <w:rPr>
                <w:rFonts w:hint="eastAsia"/>
                <w:color w:val="auto"/>
                <w:highlight w:val="none"/>
                <w:lang w:val="en-US" w:eastAsia="zh-CN"/>
              </w:rPr>
              <w:t>酚类化合物</w:t>
            </w:r>
          </w:p>
        </w:tc>
        <w:tc>
          <w:tcPr>
            <w:tcW w:w="875" w:type="pct"/>
            <w:shd w:val="clear" w:color="auto" w:fill="auto"/>
            <w:vAlign w:val="center"/>
          </w:tcPr>
          <w:p w14:paraId="59741F94">
            <w:pPr>
              <w:pStyle w:val="26"/>
              <w:bidi w:val="0"/>
              <w:rPr>
                <w:rFonts w:hint="eastAsia"/>
                <w:color w:val="auto"/>
                <w:highlight w:val="none"/>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692870E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restart"/>
            <w:shd w:val="clear" w:color="auto" w:fill="auto"/>
            <w:vAlign w:val="center"/>
          </w:tcPr>
          <w:p w14:paraId="646E03A2">
            <w:pPr>
              <w:pStyle w:val="26"/>
              <w:bidi w:val="0"/>
              <w:rPr>
                <w:rFonts w:hint="default"/>
                <w:color w:val="auto"/>
                <w:highlight w:val="none"/>
              </w:rPr>
            </w:pPr>
            <w:r>
              <w:rPr>
                <w:rFonts w:hint="eastAsia"/>
                <w:color w:val="auto"/>
                <w:lang w:val="en-US" w:eastAsia="zh-CN"/>
              </w:rPr>
              <w:t>0.02</w:t>
            </w:r>
          </w:p>
        </w:tc>
        <w:tc>
          <w:tcPr>
            <w:tcW w:w="788" w:type="pct"/>
            <w:vMerge w:val="restart"/>
            <w:shd w:val="clear" w:color="auto" w:fill="auto"/>
            <w:noWrap/>
            <w:vAlign w:val="center"/>
          </w:tcPr>
          <w:p w14:paraId="1C5D8DBB">
            <w:pPr>
              <w:pStyle w:val="26"/>
              <w:bidi w:val="0"/>
              <w:rPr>
                <w:rFonts w:hint="eastAsia"/>
                <w:color w:val="auto"/>
                <w:highlight w:val="none"/>
              </w:rPr>
            </w:pPr>
            <w:r>
              <w:rPr>
                <w:rFonts w:hint="eastAsia"/>
                <w:color w:val="auto"/>
                <w:lang w:val="en-US" w:eastAsia="zh-CN"/>
              </w:rPr>
              <w:t>达标</w:t>
            </w:r>
          </w:p>
        </w:tc>
      </w:tr>
      <w:tr w14:paraId="581E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3D3A8FA1">
            <w:pPr>
              <w:pStyle w:val="26"/>
              <w:bidi w:val="0"/>
              <w:rPr>
                <w:rFonts w:hint="eastAsia"/>
                <w:color w:val="auto"/>
                <w:highlight w:val="none"/>
              </w:rPr>
            </w:pPr>
          </w:p>
        </w:tc>
        <w:tc>
          <w:tcPr>
            <w:tcW w:w="891" w:type="pct"/>
            <w:vMerge w:val="continue"/>
            <w:shd w:val="clear" w:color="auto" w:fill="auto"/>
            <w:vAlign w:val="center"/>
          </w:tcPr>
          <w:p w14:paraId="29443FF5">
            <w:pPr>
              <w:pStyle w:val="26"/>
              <w:bidi w:val="0"/>
              <w:rPr>
                <w:rFonts w:hint="eastAsia"/>
                <w:color w:val="auto"/>
                <w:highlight w:val="none"/>
              </w:rPr>
            </w:pPr>
          </w:p>
        </w:tc>
        <w:tc>
          <w:tcPr>
            <w:tcW w:w="875" w:type="pct"/>
            <w:shd w:val="clear" w:color="auto" w:fill="auto"/>
            <w:vAlign w:val="center"/>
          </w:tcPr>
          <w:p w14:paraId="106A4E86">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65BB23A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3371A807">
            <w:pPr>
              <w:pStyle w:val="26"/>
              <w:bidi w:val="0"/>
              <w:rPr>
                <w:rFonts w:hint="default"/>
                <w:color w:val="auto"/>
                <w:highlight w:val="none"/>
              </w:rPr>
            </w:pPr>
          </w:p>
        </w:tc>
        <w:tc>
          <w:tcPr>
            <w:tcW w:w="788" w:type="pct"/>
            <w:vMerge w:val="continue"/>
            <w:shd w:val="clear" w:color="auto" w:fill="auto"/>
            <w:noWrap/>
            <w:vAlign w:val="center"/>
          </w:tcPr>
          <w:p w14:paraId="510493E2">
            <w:pPr>
              <w:pStyle w:val="26"/>
              <w:bidi w:val="0"/>
              <w:rPr>
                <w:rFonts w:hint="eastAsia"/>
                <w:color w:val="auto"/>
                <w:highlight w:val="none"/>
              </w:rPr>
            </w:pPr>
          </w:p>
        </w:tc>
      </w:tr>
      <w:tr w14:paraId="5219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3E28A2DB">
            <w:pPr>
              <w:pStyle w:val="26"/>
              <w:bidi w:val="0"/>
              <w:rPr>
                <w:rFonts w:hint="eastAsia"/>
                <w:color w:val="auto"/>
                <w:highlight w:val="none"/>
              </w:rPr>
            </w:pPr>
          </w:p>
        </w:tc>
        <w:tc>
          <w:tcPr>
            <w:tcW w:w="891" w:type="pct"/>
            <w:vMerge w:val="continue"/>
            <w:shd w:val="clear" w:color="auto" w:fill="auto"/>
            <w:vAlign w:val="center"/>
          </w:tcPr>
          <w:p w14:paraId="11E40C89">
            <w:pPr>
              <w:pStyle w:val="26"/>
              <w:bidi w:val="0"/>
              <w:rPr>
                <w:rFonts w:hint="eastAsia"/>
                <w:color w:val="auto"/>
                <w:highlight w:val="none"/>
              </w:rPr>
            </w:pPr>
          </w:p>
        </w:tc>
        <w:tc>
          <w:tcPr>
            <w:tcW w:w="875" w:type="pct"/>
            <w:shd w:val="clear" w:color="auto" w:fill="auto"/>
            <w:vAlign w:val="center"/>
          </w:tcPr>
          <w:p w14:paraId="61B41EA8">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6DB9837B">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5C3E1254">
            <w:pPr>
              <w:pStyle w:val="26"/>
              <w:bidi w:val="0"/>
              <w:rPr>
                <w:rFonts w:hint="default"/>
                <w:color w:val="auto"/>
                <w:highlight w:val="none"/>
              </w:rPr>
            </w:pPr>
          </w:p>
        </w:tc>
        <w:tc>
          <w:tcPr>
            <w:tcW w:w="788" w:type="pct"/>
            <w:vMerge w:val="continue"/>
            <w:shd w:val="clear" w:color="auto" w:fill="auto"/>
            <w:noWrap/>
            <w:vAlign w:val="center"/>
          </w:tcPr>
          <w:p w14:paraId="6C521B20">
            <w:pPr>
              <w:pStyle w:val="26"/>
              <w:bidi w:val="0"/>
              <w:rPr>
                <w:rFonts w:hint="eastAsia"/>
                <w:color w:val="auto"/>
                <w:highlight w:val="none"/>
              </w:rPr>
            </w:pPr>
          </w:p>
        </w:tc>
      </w:tr>
      <w:tr w14:paraId="2401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4B4AAD78">
            <w:pPr>
              <w:pStyle w:val="26"/>
              <w:bidi w:val="0"/>
              <w:rPr>
                <w:rFonts w:hint="eastAsia"/>
                <w:color w:val="auto"/>
                <w:highlight w:val="none"/>
              </w:rPr>
            </w:pPr>
          </w:p>
        </w:tc>
        <w:tc>
          <w:tcPr>
            <w:tcW w:w="891" w:type="pct"/>
            <w:vMerge w:val="continue"/>
            <w:shd w:val="clear" w:color="auto" w:fill="auto"/>
            <w:vAlign w:val="center"/>
          </w:tcPr>
          <w:p w14:paraId="5E21C342">
            <w:pPr>
              <w:pStyle w:val="26"/>
              <w:bidi w:val="0"/>
              <w:rPr>
                <w:rFonts w:hint="eastAsia"/>
                <w:color w:val="auto"/>
                <w:highlight w:val="none"/>
              </w:rPr>
            </w:pPr>
          </w:p>
        </w:tc>
        <w:tc>
          <w:tcPr>
            <w:tcW w:w="875" w:type="pct"/>
            <w:shd w:val="clear" w:color="auto" w:fill="auto"/>
            <w:vAlign w:val="center"/>
          </w:tcPr>
          <w:p w14:paraId="1A7A684E">
            <w:pPr>
              <w:pStyle w:val="26"/>
              <w:bidi w:val="0"/>
              <w:rPr>
                <w:rFonts w:hint="eastAsia"/>
                <w:color w:val="auto"/>
                <w:highlight w:val="none"/>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11BF1AF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18FB64DC">
            <w:pPr>
              <w:pStyle w:val="26"/>
              <w:bidi w:val="0"/>
              <w:rPr>
                <w:rFonts w:hint="default"/>
                <w:color w:val="auto"/>
                <w:highlight w:val="none"/>
              </w:rPr>
            </w:pPr>
          </w:p>
        </w:tc>
        <w:tc>
          <w:tcPr>
            <w:tcW w:w="788" w:type="pct"/>
            <w:vMerge w:val="continue"/>
            <w:shd w:val="clear" w:color="auto" w:fill="auto"/>
            <w:noWrap/>
            <w:vAlign w:val="center"/>
          </w:tcPr>
          <w:p w14:paraId="13598861">
            <w:pPr>
              <w:pStyle w:val="26"/>
              <w:bidi w:val="0"/>
              <w:rPr>
                <w:rFonts w:hint="eastAsia"/>
                <w:color w:val="auto"/>
                <w:highlight w:val="none"/>
              </w:rPr>
            </w:pPr>
          </w:p>
        </w:tc>
      </w:tr>
      <w:tr w14:paraId="16C8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1E2D06AF">
            <w:pPr>
              <w:pStyle w:val="26"/>
              <w:bidi w:val="0"/>
              <w:rPr>
                <w:rFonts w:hint="eastAsia"/>
                <w:color w:val="auto"/>
                <w:highlight w:val="none"/>
              </w:rPr>
            </w:pPr>
          </w:p>
        </w:tc>
        <w:tc>
          <w:tcPr>
            <w:tcW w:w="891" w:type="pct"/>
            <w:vMerge w:val="restart"/>
            <w:shd w:val="clear" w:color="auto" w:fill="auto"/>
            <w:vAlign w:val="center"/>
          </w:tcPr>
          <w:p w14:paraId="38AD02E3">
            <w:pPr>
              <w:pStyle w:val="26"/>
              <w:bidi w:val="0"/>
              <w:rPr>
                <w:rFonts w:hint="default"/>
                <w:color w:val="auto"/>
                <w:highlight w:val="none"/>
                <w:lang w:val="en-US" w:eastAsia="zh-CN"/>
              </w:rPr>
            </w:pPr>
            <w:r>
              <w:rPr>
                <w:rFonts w:hint="eastAsia"/>
                <w:color w:val="auto"/>
                <w:highlight w:val="none"/>
                <w:lang w:val="en-US" w:eastAsia="zh-CN"/>
              </w:rPr>
              <w:t>二甲苯</w:t>
            </w:r>
          </w:p>
        </w:tc>
        <w:tc>
          <w:tcPr>
            <w:tcW w:w="875" w:type="pct"/>
            <w:shd w:val="clear" w:color="auto" w:fill="auto"/>
            <w:vAlign w:val="center"/>
          </w:tcPr>
          <w:p w14:paraId="0B1C8638">
            <w:pPr>
              <w:pStyle w:val="26"/>
              <w:bidi w:val="0"/>
              <w:rPr>
                <w:rFonts w:hint="eastAsia"/>
                <w:color w:val="auto"/>
                <w:highlight w:val="none"/>
                <w:lang w:val="en-US" w:eastAsia="zh-CN"/>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76F15E1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restart"/>
            <w:shd w:val="clear" w:color="auto" w:fill="auto"/>
            <w:vAlign w:val="center"/>
          </w:tcPr>
          <w:p w14:paraId="20C19024">
            <w:pPr>
              <w:pStyle w:val="26"/>
              <w:bidi w:val="0"/>
              <w:rPr>
                <w:rFonts w:hint="default"/>
                <w:color w:val="auto"/>
                <w:highlight w:val="none"/>
                <w:lang w:val="en-US" w:eastAsia="zh-CN"/>
              </w:rPr>
            </w:pPr>
            <w:r>
              <w:rPr>
                <w:rFonts w:hint="eastAsia"/>
                <w:color w:val="auto"/>
                <w:lang w:val="en-US" w:eastAsia="zh-CN"/>
              </w:rPr>
              <w:t>0.2</w:t>
            </w:r>
          </w:p>
        </w:tc>
        <w:tc>
          <w:tcPr>
            <w:tcW w:w="788" w:type="pct"/>
            <w:vMerge w:val="restart"/>
            <w:shd w:val="clear" w:color="auto" w:fill="auto"/>
            <w:noWrap/>
            <w:vAlign w:val="center"/>
          </w:tcPr>
          <w:p w14:paraId="101C2F1E">
            <w:pPr>
              <w:pStyle w:val="26"/>
              <w:bidi w:val="0"/>
              <w:rPr>
                <w:rFonts w:hint="eastAsia"/>
                <w:color w:val="auto"/>
                <w:highlight w:val="none"/>
                <w:lang w:val="en-US" w:eastAsia="zh-CN"/>
              </w:rPr>
            </w:pPr>
            <w:r>
              <w:rPr>
                <w:rFonts w:hint="eastAsia"/>
                <w:color w:val="auto"/>
                <w:lang w:val="en-US" w:eastAsia="zh-CN"/>
              </w:rPr>
              <w:t>达标</w:t>
            </w:r>
          </w:p>
        </w:tc>
      </w:tr>
      <w:tr w14:paraId="2FBB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4" w:type="pct"/>
            <w:vMerge w:val="continue"/>
            <w:shd w:val="clear" w:color="auto" w:fill="auto"/>
            <w:noWrap/>
            <w:vAlign w:val="center"/>
          </w:tcPr>
          <w:p w14:paraId="6A4EA9E8">
            <w:pPr>
              <w:pStyle w:val="26"/>
              <w:bidi w:val="0"/>
              <w:rPr>
                <w:rFonts w:hint="eastAsia"/>
                <w:color w:val="auto"/>
                <w:highlight w:val="none"/>
              </w:rPr>
            </w:pPr>
          </w:p>
        </w:tc>
        <w:tc>
          <w:tcPr>
            <w:tcW w:w="891" w:type="pct"/>
            <w:vMerge w:val="continue"/>
            <w:shd w:val="clear" w:color="auto" w:fill="auto"/>
            <w:vAlign w:val="center"/>
          </w:tcPr>
          <w:p w14:paraId="14451FC3">
            <w:pPr>
              <w:pStyle w:val="26"/>
              <w:bidi w:val="0"/>
              <w:rPr>
                <w:rFonts w:hint="eastAsia"/>
                <w:color w:val="auto"/>
                <w:highlight w:val="none"/>
                <w:lang w:val="en-US" w:eastAsia="zh-CN"/>
              </w:rPr>
            </w:pPr>
          </w:p>
        </w:tc>
        <w:tc>
          <w:tcPr>
            <w:tcW w:w="875" w:type="pct"/>
            <w:shd w:val="clear" w:color="auto" w:fill="auto"/>
            <w:vAlign w:val="center"/>
          </w:tcPr>
          <w:p w14:paraId="7DFFAD3D">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4B3D5E31">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746E2DE3">
            <w:pPr>
              <w:pStyle w:val="26"/>
              <w:bidi w:val="0"/>
              <w:rPr>
                <w:rFonts w:hint="default"/>
                <w:color w:val="auto"/>
                <w:highlight w:val="none"/>
                <w:lang w:val="en-US" w:eastAsia="zh-CN"/>
              </w:rPr>
            </w:pPr>
          </w:p>
        </w:tc>
        <w:tc>
          <w:tcPr>
            <w:tcW w:w="788" w:type="pct"/>
            <w:vMerge w:val="continue"/>
            <w:shd w:val="clear" w:color="auto" w:fill="auto"/>
            <w:noWrap/>
            <w:vAlign w:val="center"/>
          </w:tcPr>
          <w:p w14:paraId="05504725">
            <w:pPr>
              <w:pStyle w:val="26"/>
              <w:bidi w:val="0"/>
              <w:rPr>
                <w:rFonts w:hint="eastAsia"/>
                <w:color w:val="auto"/>
                <w:highlight w:val="none"/>
                <w:lang w:val="en-US" w:eastAsia="zh-CN"/>
              </w:rPr>
            </w:pPr>
          </w:p>
        </w:tc>
      </w:tr>
      <w:tr w14:paraId="3A57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834" w:type="pct"/>
            <w:vMerge w:val="continue"/>
            <w:shd w:val="clear" w:color="auto" w:fill="auto"/>
            <w:noWrap/>
            <w:vAlign w:val="center"/>
          </w:tcPr>
          <w:p w14:paraId="51C6D18C">
            <w:pPr>
              <w:pStyle w:val="26"/>
              <w:bidi w:val="0"/>
              <w:rPr>
                <w:rFonts w:hint="eastAsia"/>
                <w:color w:val="auto"/>
                <w:highlight w:val="none"/>
              </w:rPr>
            </w:pPr>
          </w:p>
        </w:tc>
        <w:tc>
          <w:tcPr>
            <w:tcW w:w="891" w:type="pct"/>
            <w:vMerge w:val="continue"/>
            <w:shd w:val="clear" w:color="auto" w:fill="auto"/>
            <w:vAlign w:val="center"/>
          </w:tcPr>
          <w:p w14:paraId="353F1E18">
            <w:pPr>
              <w:pStyle w:val="26"/>
              <w:bidi w:val="0"/>
              <w:rPr>
                <w:rFonts w:hint="eastAsia"/>
                <w:color w:val="auto"/>
                <w:highlight w:val="none"/>
              </w:rPr>
            </w:pPr>
          </w:p>
        </w:tc>
        <w:tc>
          <w:tcPr>
            <w:tcW w:w="875" w:type="pct"/>
            <w:shd w:val="clear" w:color="auto" w:fill="auto"/>
            <w:vAlign w:val="center"/>
          </w:tcPr>
          <w:p w14:paraId="15FF5293">
            <w:pPr>
              <w:pStyle w:val="26"/>
              <w:bidi w:val="0"/>
              <w:rPr>
                <w:rFonts w:hint="eastAsia"/>
                <w:color w:val="auto"/>
                <w:highlight w:val="none"/>
                <w:lang w:val="en-US" w:eastAsia="zh-CN"/>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4E8F32E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5DDB163D">
            <w:pPr>
              <w:pStyle w:val="26"/>
              <w:bidi w:val="0"/>
              <w:rPr>
                <w:rFonts w:hint="default"/>
                <w:color w:val="auto"/>
                <w:highlight w:val="none"/>
              </w:rPr>
            </w:pPr>
          </w:p>
        </w:tc>
        <w:tc>
          <w:tcPr>
            <w:tcW w:w="788" w:type="pct"/>
            <w:vMerge w:val="continue"/>
            <w:shd w:val="clear" w:color="auto" w:fill="auto"/>
            <w:noWrap/>
            <w:vAlign w:val="center"/>
          </w:tcPr>
          <w:p w14:paraId="2D5C39E0">
            <w:pPr>
              <w:pStyle w:val="26"/>
              <w:bidi w:val="0"/>
              <w:rPr>
                <w:rFonts w:hint="eastAsia"/>
                <w:color w:val="auto"/>
                <w:highlight w:val="none"/>
              </w:rPr>
            </w:pPr>
          </w:p>
        </w:tc>
      </w:tr>
      <w:tr w14:paraId="2856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834" w:type="pct"/>
            <w:vMerge w:val="continue"/>
            <w:shd w:val="clear" w:color="auto" w:fill="auto"/>
            <w:noWrap/>
            <w:vAlign w:val="center"/>
          </w:tcPr>
          <w:p w14:paraId="0F33A43B">
            <w:pPr>
              <w:pStyle w:val="26"/>
              <w:bidi w:val="0"/>
              <w:rPr>
                <w:rFonts w:hint="eastAsia"/>
                <w:color w:val="auto"/>
                <w:highlight w:val="none"/>
              </w:rPr>
            </w:pPr>
          </w:p>
        </w:tc>
        <w:tc>
          <w:tcPr>
            <w:tcW w:w="891" w:type="pct"/>
            <w:vMerge w:val="continue"/>
            <w:shd w:val="clear" w:color="auto" w:fill="auto"/>
            <w:vAlign w:val="center"/>
          </w:tcPr>
          <w:p w14:paraId="5A1F2372">
            <w:pPr>
              <w:pStyle w:val="26"/>
              <w:bidi w:val="0"/>
              <w:rPr>
                <w:rFonts w:hint="eastAsia"/>
                <w:color w:val="auto"/>
                <w:highlight w:val="none"/>
              </w:rPr>
            </w:pPr>
          </w:p>
        </w:tc>
        <w:tc>
          <w:tcPr>
            <w:tcW w:w="875" w:type="pct"/>
            <w:shd w:val="clear" w:color="auto" w:fill="auto"/>
            <w:vAlign w:val="center"/>
          </w:tcPr>
          <w:p w14:paraId="6357A6F2">
            <w:pPr>
              <w:pStyle w:val="26"/>
              <w:bidi w:val="0"/>
              <w:rPr>
                <w:rFonts w:hint="eastAsia"/>
                <w:color w:val="auto"/>
                <w:highlight w:val="none"/>
                <w:lang w:val="en-US" w:eastAsia="zh-CN"/>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759F408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ND</w:t>
            </w:r>
          </w:p>
        </w:tc>
        <w:tc>
          <w:tcPr>
            <w:tcW w:w="849" w:type="pct"/>
            <w:vMerge w:val="continue"/>
            <w:shd w:val="clear" w:color="auto" w:fill="auto"/>
            <w:vAlign w:val="center"/>
          </w:tcPr>
          <w:p w14:paraId="65FECCC4">
            <w:pPr>
              <w:pStyle w:val="26"/>
              <w:bidi w:val="0"/>
              <w:rPr>
                <w:rFonts w:hint="default"/>
                <w:color w:val="auto"/>
                <w:highlight w:val="none"/>
              </w:rPr>
            </w:pPr>
          </w:p>
        </w:tc>
        <w:tc>
          <w:tcPr>
            <w:tcW w:w="788" w:type="pct"/>
            <w:vMerge w:val="continue"/>
            <w:shd w:val="clear" w:color="auto" w:fill="auto"/>
            <w:noWrap/>
            <w:vAlign w:val="center"/>
          </w:tcPr>
          <w:p w14:paraId="783151EB">
            <w:pPr>
              <w:pStyle w:val="26"/>
              <w:bidi w:val="0"/>
              <w:rPr>
                <w:rFonts w:hint="eastAsia"/>
                <w:color w:val="auto"/>
                <w:highlight w:val="none"/>
              </w:rPr>
            </w:pPr>
          </w:p>
        </w:tc>
      </w:tr>
      <w:tr w14:paraId="7317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26CAAFC9">
            <w:pPr>
              <w:pStyle w:val="26"/>
              <w:bidi w:val="0"/>
              <w:rPr>
                <w:rFonts w:hint="eastAsia"/>
                <w:color w:val="auto"/>
                <w:highlight w:val="none"/>
                <w:lang w:val="en-US" w:eastAsia="zh-CN"/>
              </w:rPr>
            </w:pPr>
          </w:p>
        </w:tc>
        <w:tc>
          <w:tcPr>
            <w:tcW w:w="891" w:type="pct"/>
            <w:vMerge w:val="restart"/>
            <w:shd w:val="clear" w:color="auto" w:fill="auto"/>
            <w:vAlign w:val="center"/>
          </w:tcPr>
          <w:p w14:paraId="7C575166">
            <w:pPr>
              <w:pStyle w:val="26"/>
              <w:bidi w:val="0"/>
              <w:rPr>
                <w:rFonts w:hint="default"/>
                <w:color w:val="auto"/>
                <w:highlight w:val="none"/>
                <w:lang w:val="en-US" w:eastAsia="zh-CN"/>
              </w:rPr>
            </w:pPr>
            <w:r>
              <w:rPr>
                <w:rFonts w:hint="eastAsia"/>
                <w:color w:val="auto"/>
                <w:highlight w:val="none"/>
                <w:lang w:val="en-US" w:eastAsia="zh-CN"/>
              </w:rPr>
              <w:t>非甲烷总烃</w:t>
            </w:r>
          </w:p>
        </w:tc>
        <w:tc>
          <w:tcPr>
            <w:tcW w:w="875" w:type="pct"/>
            <w:shd w:val="clear" w:color="auto" w:fill="auto"/>
            <w:vAlign w:val="center"/>
          </w:tcPr>
          <w:p w14:paraId="6E01C3DB">
            <w:pPr>
              <w:pStyle w:val="26"/>
              <w:bidi w:val="0"/>
              <w:rPr>
                <w:rFonts w:hint="eastAsia"/>
                <w:color w:val="auto"/>
                <w:highlight w:val="none"/>
                <w:lang w:val="en-US" w:eastAsia="zh-CN"/>
              </w:rPr>
            </w:pPr>
            <w:r>
              <w:rPr>
                <w:rFonts w:hint="eastAsia"/>
                <w:color w:val="auto"/>
                <w:highlight w:val="none"/>
                <w:lang w:val="en-US" w:eastAsia="zh-CN"/>
              </w:rPr>
              <w:t>上风向</w:t>
            </w:r>
            <w:r>
              <w:rPr>
                <w:rFonts w:hint="default"/>
                <w:color w:val="auto"/>
                <w:highlight w:val="none"/>
                <w:lang w:val="en-US" w:eastAsia="zh-CN"/>
              </w:rPr>
              <w:t>1</w:t>
            </w:r>
          </w:p>
        </w:tc>
        <w:tc>
          <w:tcPr>
            <w:tcW w:w="761" w:type="pct"/>
            <w:shd w:val="clear" w:color="auto" w:fill="auto"/>
            <w:vAlign w:val="center"/>
          </w:tcPr>
          <w:p w14:paraId="415D011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0.84</w:t>
            </w:r>
          </w:p>
        </w:tc>
        <w:tc>
          <w:tcPr>
            <w:tcW w:w="849" w:type="pct"/>
            <w:vMerge w:val="restart"/>
            <w:shd w:val="clear" w:color="auto" w:fill="auto"/>
            <w:vAlign w:val="center"/>
          </w:tcPr>
          <w:p w14:paraId="4A86B09D">
            <w:pPr>
              <w:pStyle w:val="26"/>
              <w:bidi w:val="0"/>
              <w:rPr>
                <w:rFonts w:hint="default"/>
                <w:color w:val="auto"/>
                <w:highlight w:val="none"/>
                <w:lang w:val="en-US" w:eastAsia="zh-CN"/>
              </w:rPr>
            </w:pPr>
            <w:r>
              <w:rPr>
                <w:rFonts w:hint="eastAsia"/>
                <w:color w:val="auto"/>
                <w:lang w:val="en-US" w:eastAsia="zh-CN"/>
              </w:rPr>
              <w:t>4</w:t>
            </w:r>
          </w:p>
        </w:tc>
        <w:tc>
          <w:tcPr>
            <w:tcW w:w="788" w:type="pct"/>
            <w:vMerge w:val="restart"/>
            <w:shd w:val="clear" w:color="auto" w:fill="auto"/>
            <w:noWrap/>
            <w:vAlign w:val="center"/>
          </w:tcPr>
          <w:p w14:paraId="38925A2D">
            <w:pPr>
              <w:pStyle w:val="26"/>
              <w:bidi w:val="0"/>
              <w:rPr>
                <w:rFonts w:hint="eastAsia"/>
                <w:color w:val="auto"/>
                <w:highlight w:val="none"/>
                <w:lang w:val="en-US" w:eastAsia="zh-CN"/>
              </w:rPr>
            </w:pPr>
            <w:r>
              <w:rPr>
                <w:rFonts w:hint="eastAsia"/>
                <w:color w:val="auto"/>
                <w:lang w:val="en-US" w:eastAsia="zh-CN"/>
              </w:rPr>
              <w:t>达标</w:t>
            </w:r>
          </w:p>
        </w:tc>
      </w:tr>
      <w:tr w14:paraId="60EE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62A6E349">
            <w:pPr>
              <w:pStyle w:val="26"/>
              <w:bidi w:val="0"/>
              <w:rPr>
                <w:rFonts w:hint="eastAsia"/>
                <w:color w:val="auto"/>
                <w:highlight w:val="none"/>
                <w:lang w:val="en-US" w:eastAsia="zh-CN"/>
              </w:rPr>
            </w:pPr>
          </w:p>
        </w:tc>
        <w:tc>
          <w:tcPr>
            <w:tcW w:w="891" w:type="pct"/>
            <w:vMerge w:val="continue"/>
            <w:shd w:val="clear" w:color="auto" w:fill="auto"/>
            <w:vAlign w:val="center"/>
          </w:tcPr>
          <w:p w14:paraId="7AD09C9D">
            <w:pPr>
              <w:pStyle w:val="26"/>
              <w:bidi w:val="0"/>
              <w:rPr>
                <w:rFonts w:hint="eastAsia"/>
                <w:color w:val="auto"/>
                <w:highlight w:val="none"/>
                <w:lang w:val="en-US" w:eastAsia="zh-CN"/>
              </w:rPr>
            </w:pPr>
          </w:p>
        </w:tc>
        <w:tc>
          <w:tcPr>
            <w:tcW w:w="875" w:type="pct"/>
            <w:shd w:val="clear" w:color="auto" w:fill="auto"/>
            <w:vAlign w:val="center"/>
          </w:tcPr>
          <w:p w14:paraId="7A94B0F6">
            <w:pPr>
              <w:pStyle w:val="26"/>
              <w:bidi w:val="0"/>
              <w:rPr>
                <w:rFonts w:hint="eastAsia"/>
                <w:color w:val="auto"/>
                <w:highlight w:val="none"/>
                <w:lang w:val="en-US" w:eastAsia="zh-CN"/>
              </w:rPr>
            </w:pPr>
            <w:r>
              <w:rPr>
                <w:rFonts w:hint="eastAsia"/>
                <w:color w:val="auto"/>
                <w:highlight w:val="none"/>
                <w:lang w:val="en-US" w:eastAsia="zh-CN"/>
              </w:rPr>
              <w:t>下风向</w:t>
            </w:r>
            <w:r>
              <w:rPr>
                <w:rFonts w:hint="default"/>
                <w:color w:val="auto"/>
                <w:highlight w:val="none"/>
                <w:lang w:val="en-US" w:eastAsia="zh-CN"/>
              </w:rPr>
              <w:t>2</w:t>
            </w:r>
          </w:p>
        </w:tc>
        <w:tc>
          <w:tcPr>
            <w:tcW w:w="761" w:type="pct"/>
            <w:shd w:val="clear" w:color="auto" w:fill="auto"/>
            <w:vAlign w:val="center"/>
          </w:tcPr>
          <w:p w14:paraId="32CC9E8C">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1.22</w:t>
            </w:r>
          </w:p>
        </w:tc>
        <w:tc>
          <w:tcPr>
            <w:tcW w:w="849" w:type="pct"/>
            <w:vMerge w:val="continue"/>
            <w:shd w:val="clear" w:color="auto" w:fill="auto"/>
            <w:vAlign w:val="center"/>
          </w:tcPr>
          <w:p w14:paraId="0F4804E0">
            <w:pPr>
              <w:pStyle w:val="26"/>
              <w:bidi w:val="0"/>
              <w:rPr>
                <w:rFonts w:hint="default"/>
                <w:color w:val="auto"/>
                <w:highlight w:val="none"/>
                <w:lang w:val="en-US" w:eastAsia="zh-CN"/>
              </w:rPr>
            </w:pPr>
          </w:p>
        </w:tc>
        <w:tc>
          <w:tcPr>
            <w:tcW w:w="788" w:type="pct"/>
            <w:vMerge w:val="continue"/>
            <w:shd w:val="clear" w:color="auto" w:fill="auto"/>
            <w:noWrap/>
            <w:vAlign w:val="center"/>
          </w:tcPr>
          <w:p w14:paraId="32B04021">
            <w:pPr>
              <w:pStyle w:val="26"/>
              <w:bidi w:val="0"/>
              <w:rPr>
                <w:rFonts w:hint="eastAsia"/>
                <w:color w:val="auto"/>
                <w:highlight w:val="none"/>
                <w:lang w:val="en-US" w:eastAsia="zh-CN"/>
              </w:rPr>
            </w:pPr>
          </w:p>
        </w:tc>
      </w:tr>
      <w:tr w14:paraId="2C72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6C5AF80D">
            <w:pPr>
              <w:pStyle w:val="26"/>
              <w:bidi w:val="0"/>
              <w:rPr>
                <w:rFonts w:hint="eastAsia"/>
                <w:color w:val="auto"/>
                <w:highlight w:val="none"/>
                <w:lang w:val="en-US" w:eastAsia="zh-CN"/>
              </w:rPr>
            </w:pPr>
          </w:p>
        </w:tc>
        <w:tc>
          <w:tcPr>
            <w:tcW w:w="891" w:type="pct"/>
            <w:vMerge w:val="continue"/>
            <w:shd w:val="clear" w:color="auto" w:fill="auto"/>
            <w:vAlign w:val="center"/>
          </w:tcPr>
          <w:p w14:paraId="3176A2AC">
            <w:pPr>
              <w:pStyle w:val="26"/>
              <w:bidi w:val="0"/>
              <w:rPr>
                <w:rFonts w:hint="eastAsia"/>
                <w:color w:val="auto"/>
                <w:highlight w:val="none"/>
                <w:lang w:val="en-US" w:eastAsia="zh-CN"/>
              </w:rPr>
            </w:pPr>
          </w:p>
        </w:tc>
        <w:tc>
          <w:tcPr>
            <w:tcW w:w="875" w:type="pct"/>
            <w:shd w:val="clear" w:color="auto" w:fill="auto"/>
            <w:vAlign w:val="center"/>
          </w:tcPr>
          <w:p w14:paraId="34C8122B">
            <w:pPr>
              <w:pStyle w:val="26"/>
              <w:bidi w:val="0"/>
              <w:rPr>
                <w:rFonts w:hint="eastAsia"/>
                <w:color w:val="auto"/>
                <w:highlight w:val="none"/>
                <w:lang w:val="en-US" w:eastAsia="zh-CN"/>
              </w:rPr>
            </w:pPr>
            <w:r>
              <w:rPr>
                <w:rFonts w:hint="eastAsia"/>
                <w:color w:val="auto"/>
                <w:highlight w:val="none"/>
                <w:lang w:val="en-US" w:eastAsia="zh-CN"/>
              </w:rPr>
              <w:t>下风向</w:t>
            </w:r>
            <w:r>
              <w:rPr>
                <w:rFonts w:hint="default"/>
                <w:color w:val="auto"/>
                <w:highlight w:val="none"/>
                <w:lang w:val="en-US" w:eastAsia="zh-CN"/>
              </w:rPr>
              <w:t>3</w:t>
            </w:r>
          </w:p>
        </w:tc>
        <w:tc>
          <w:tcPr>
            <w:tcW w:w="761" w:type="pct"/>
            <w:shd w:val="clear" w:color="auto" w:fill="auto"/>
            <w:vAlign w:val="center"/>
          </w:tcPr>
          <w:p w14:paraId="56E7178E">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1.23</w:t>
            </w:r>
          </w:p>
        </w:tc>
        <w:tc>
          <w:tcPr>
            <w:tcW w:w="849" w:type="pct"/>
            <w:vMerge w:val="continue"/>
            <w:shd w:val="clear" w:color="auto" w:fill="auto"/>
            <w:vAlign w:val="center"/>
          </w:tcPr>
          <w:p w14:paraId="5D55B62D">
            <w:pPr>
              <w:pStyle w:val="26"/>
              <w:bidi w:val="0"/>
              <w:rPr>
                <w:rFonts w:hint="default"/>
                <w:color w:val="auto"/>
                <w:highlight w:val="none"/>
                <w:lang w:val="en-US" w:eastAsia="zh-CN"/>
              </w:rPr>
            </w:pPr>
          </w:p>
        </w:tc>
        <w:tc>
          <w:tcPr>
            <w:tcW w:w="788" w:type="pct"/>
            <w:vMerge w:val="continue"/>
            <w:shd w:val="clear" w:color="auto" w:fill="auto"/>
            <w:noWrap/>
            <w:vAlign w:val="center"/>
          </w:tcPr>
          <w:p w14:paraId="74E1EB81">
            <w:pPr>
              <w:pStyle w:val="26"/>
              <w:bidi w:val="0"/>
              <w:rPr>
                <w:rFonts w:hint="eastAsia"/>
                <w:color w:val="auto"/>
                <w:highlight w:val="none"/>
                <w:lang w:val="en-US" w:eastAsia="zh-CN"/>
              </w:rPr>
            </w:pPr>
          </w:p>
        </w:tc>
      </w:tr>
      <w:tr w14:paraId="26B1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834" w:type="pct"/>
            <w:vMerge w:val="continue"/>
            <w:shd w:val="clear" w:color="auto" w:fill="auto"/>
            <w:noWrap/>
            <w:vAlign w:val="center"/>
          </w:tcPr>
          <w:p w14:paraId="4AB05EFC">
            <w:pPr>
              <w:pStyle w:val="26"/>
              <w:bidi w:val="0"/>
              <w:rPr>
                <w:rFonts w:hint="eastAsia"/>
                <w:color w:val="auto"/>
                <w:highlight w:val="none"/>
                <w:lang w:val="en-US" w:eastAsia="zh-CN"/>
              </w:rPr>
            </w:pPr>
          </w:p>
        </w:tc>
        <w:tc>
          <w:tcPr>
            <w:tcW w:w="891" w:type="pct"/>
            <w:vMerge w:val="continue"/>
            <w:shd w:val="clear" w:color="auto" w:fill="auto"/>
            <w:vAlign w:val="center"/>
          </w:tcPr>
          <w:p w14:paraId="45EC41E5">
            <w:pPr>
              <w:pStyle w:val="26"/>
              <w:bidi w:val="0"/>
              <w:rPr>
                <w:rFonts w:hint="eastAsia"/>
                <w:color w:val="auto"/>
                <w:highlight w:val="none"/>
                <w:lang w:val="en-US" w:eastAsia="zh-CN"/>
              </w:rPr>
            </w:pPr>
          </w:p>
        </w:tc>
        <w:tc>
          <w:tcPr>
            <w:tcW w:w="875" w:type="pct"/>
            <w:shd w:val="clear" w:color="auto" w:fill="auto"/>
            <w:vAlign w:val="center"/>
          </w:tcPr>
          <w:p w14:paraId="29155722">
            <w:pPr>
              <w:pStyle w:val="26"/>
              <w:bidi w:val="0"/>
              <w:rPr>
                <w:rFonts w:hint="eastAsia"/>
                <w:color w:val="auto"/>
                <w:highlight w:val="none"/>
                <w:lang w:val="en-US" w:eastAsia="zh-CN"/>
              </w:rPr>
            </w:pPr>
            <w:r>
              <w:rPr>
                <w:rFonts w:hint="eastAsia"/>
                <w:color w:val="auto"/>
                <w:highlight w:val="none"/>
                <w:lang w:val="en-US" w:eastAsia="zh-CN"/>
              </w:rPr>
              <w:t>下风向</w:t>
            </w:r>
            <w:r>
              <w:rPr>
                <w:rFonts w:hint="default"/>
                <w:color w:val="auto"/>
                <w:highlight w:val="none"/>
                <w:lang w:val="en-US" w:eastAsia="zh-CN"/>
              </w:rPr>
              <w:t>4</w:t>
            </w:r>
          </w:p>
        </w:tc>
        <w:tc>
          <w:tcPr>
            <w:tcW w:w="761" w:type="pct"/>
            <w:shd w:val="clear" w:color="auto" w:fill="auto"/>
            <w:vAlign w:val="center"/>
          </w:tcPr>
          <w:p w14:paraId="5B60B881">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1.23</w:t>
            </w:r>
          </w:p>
        </w:tc>
        <w:tc>
          <w:tcPr>
            <w:tcW w:w="849" w:type="pct"/>
            <w:vMerge w:val="continue"/>
            <w:shd w:val="clear" w:color="auto" w:fill="auto"/>
            <w:vAlign w:val="center"/>
          </w:tcPr>
          <w:p w14:paraId="62C0B2DD">
            <w:pPr>
              <w:pStyle w:val="26"/>
              <w:bidi w:val="0"/>
              <w:rPr>
                <w:rFonts w:hint="default"/>
                <w:color w:val="auto"/>
                <w:highlight w:val="none"/>
                <w:lang w:val="en-US" w:eastAsia="zh-CN"/>
              </w:rPr>
            </w:pPr>
          </w:p>
        </w:tc>
        <w:tc>
          <w:tcPr>
            <w:tcW w:w="788" w:type="pct"/>
            <w:vMerge w:val="continue"/>
            <w:shd w:val="clear" w:color="auto" w:fill="auto"/>
            <w:noWrap/>
            <w:vAlign w:val="center"/>
          </w:tcPr>
          <w:p w14:paraId="639D646C">
            <w:pPr>
              <w:pStyle w:val="26"/>
              <w:bidi w:val="0"/>
              <w:rPr>
                <w:rFonts w:hint="eastAsia"/>
                <w:color w:val="auto"/>
                <w:highlight w:val="none"/>
                <w:lang w:val="en-US" w:eastAsia="zh-CN"/>
              </w:rPr>
            </w:pPr>
          </w:p>
        </w:tc>
      </w:tr>
    </w:tbl>
    <w:p w14:paraId="70FD5B01">
      <w:pPr>
        <w:pStyle w:val="26"/>
        <w:bidi w:val="0"/>
        <w:rPr>
          <w:color w:val="FF0000"/>
          <w:highlight w:val="yellow"/>
        </w:rPr>
      </w:pPr>
    </w:p>
    <w:p w14:paraId="2BD4063D">
      <w:pPr>
        <w:pStyle w:val="25"/>
        <w:bidi w:val="0"/>
        <w:rPr>
          <w:color w:val="auto"/>
          <w:highlight w:val="none"/>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4</w:t>
      </w:r>
      <w:r>
        <w:rPr>
          <w:color w:val="auto"/>
          <w:highlight w:val="none"/>
        </w:rPr>
        <w:fldChar w:fldCharType="end"/>
      </w:r>
      <w:r>
        <w:rPr>
          <w:rFonts w:hint="eastAsia"/>
          <w:color w:val="auto"/>
          <w:highlight w:val="none"/>
          <w:lang w:val="en-US" w:eastAsia="zh-CN"/>
        </w:rPr>
        <w:t>厂区内</w:t>
      </w:r>
      <w:r>
        <w:rPr>
          <w:color w:val="auto"/>
          <w:highlight w:val="none"/>
        </w:rPr>
        <w:t>无组织废气达标排放情况（mg/</w:t>
      </w:r>
      <w:r>
        <w:rPr>
          <w:rFonts w:hint="eastAsia"/>
          <w:color w:val="auto"/>
          <w:highlight w:val="none"/>
          <w:lang w:eastAsia="zh-CN"/>
        </w:rPr>
        <w:t>m</w:t>
      </w:r>
      <w:r>
        <w:rPr>
          <w:rFonts w:hint="eastAsia"/>
          <w:color w:val="auto"/>
          <w:highlight w:val="none"/>
          <w:vertAlign w:val="superscript"/>
          <w:lang w:eastAsia="zh-CN"/>
        </w:rPr>
        <w:t>3</w:t>
      </w:r>
      <w:r>
        <w:rPr>
          <w:color w:val="auto"/>
          <w:highlight w:val="none"/>
        </w:rPr>
        <w:t>）</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68"/>
        <w:gridCol w:w="1193"/>
        <w:gridCol w:w="2609"/>
        <w:gridCol w:w="1394"/>
        <w:gridCol w:w="1093"/>
        <w:gridCol w:w="1060"/>
      </w:tblGrid>
      <w:tr w14:paraId="1445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85" w:type="pct"/>
            <w:shd w:val="clear" w:color="auto" w:fill="auto"/>
            <w:vAlign w:val="center"/>
          </w:tcPr>
          <w:p w14:paraId="2313EDC2">
            <w:pPr>
              <w:pStyle w:val="36"/>
              <w:bidi w:val="0"/>
            </w:pPr>
            <w:r>
              <w:rPr>
                <w:rFonts w:hint="eastAsia"/>
                <w:lang w:val="en-US" w:eastAsia="zh-CN"/>
              </w:rPr>
              <w:t>检测项目</w:t>
            </w:r>
          </w:p>
        </w:tc>
        <w:tc>
          <w:tcPr>
            <w:tcW w:w="700" w:type="pct"/>
            <w:shd w:val="clear" w:color="auto" w:fill="auto"/>
            <w:vAlign w:val="center"/>
          </w:tcPr>
          <w:p w14:paraId="7B9E75C3">
            <w:pPr>
              <w:pStyle w:val="36"/>
              <w:bidi w:val="0"/>
              <w:rPr>
                <w:rFonts w:hint="default"/>
                <w:lang w:val="en-US" w:eastAsia="zh-CN"/>
              </w:rPr>
            </w:pPr>
            <w:r>
              <w:rPr>
                <w:rFonts w:hint="eastAsia"/>
                <w:lang w:val="en-US" w:eastAsia="zh-CN"/>
              </w:rPr>
              <w:t>采样时间</w:t>
            </w:r>
          </w:p>
        </w:tc>
        <w:tc>
          <w:tcPr>
            <w:tcW w:w="1531" w:type="pct"/>
            <w:shd w:val="clear" w:color="auto" w:fill="auto"/>
            <w:vAlign w:val="center"/>
          </w:tcPr>
          <w:p w14:paraId="79A4691C">
            <w:pPr>
              <w:pStyle w:val="36"/>
              <w:bidi w:val="0"/>
              <w:rPr>
                <w:rFonts w:hint="eastAsia"/>
              </w:rPr>
            </w:pPr>
            <w:r>
              <w:rPr>
                <w:rFonts w:hint="eastAsia"/>
                <w:lang w:val="en-US" w:eastAsia="zh-CN"/>
              </w:rPr>
              <w:t>点位名称</w:t>
            </w:r>
          </w:p>
        </w:tc>
        <w:tc>
          <w:tcPr>
            <w:tcW w:w="818" w:type="pct"/>
            <w:shd w:val="clear" w:color="auto" w:fill="auto"/>
            <w:vAlign w:val="center"/>
          </w:tcPr>
          <w:p w14:paraId="3B71A09D">
            <w:pPr>
              <w:pStyle w:val="36"/>
              <w:bidi w:val="0"/>
              <w:rPr>
                <w:rFonts w:hint="eastAsia"/>
              </w:rPr>
            </w:pPr>
            <w:r>
              <w:rPr>
                <w:rFonts w:hint="eastAsia"/>
                <w:lang w:val="en-US" w:eastAsia="zh-CN"/>
              </w:rPr>
              <w:t>小时均值</w:t>
            </w:r>
          </w:p>
        </w:tc>
        <w:tc>
          <w:tcPr>
            <w:tcW w:w="641" w:type="pct"/>
            <w:shd w:val="clear" w:color="auto" w:fill="auto"/>
            <w:vAlign w:val="center"/>
          </w:tcPr>
          <w:p w14:paraId="2EFFF795">
            <w:pPr>
              <w:pStyle w:val="36"/>
              <w:bidi w:val="0"/>
              <w:rPr>
                <w:rFonts w:hint="eastAsia"/>
              </w:rPr>
            </w:pPr>
            <w:r>
              <w:rPr>
                <w:rFonts w:hint="eastAsia"/>
                <w:lang w:val="en-US" w:eastAsia="zh-CN"/>
              </w:rPr>
              <w:t>标准限值</w:t>
            </w:r>
          </w:p>
        </w:tc>
        <w:tc>
          <w:tcPr>
            <w:tcW w:w="622" w:type="pct"/>
            <w:shd w:val="clear" w:color="auto" w:fill="auto"/>
            <w:noWrap/>
            <w:vAlign w:val="center"/>
          </w:tcPr>
          <w:p w14:paraId="0129322B">
            <w:pPr>
              <w:pStyle w:val="36"/>
              <w:bidi w:val="0"/>
              <w:rPr>
                <w:rFonts w:hint="eastAsia"/>
              </w:rPr>
            </w:pPr>
            <w:r>
              <w:rPr>
                <w:rFonts w:hint="eastAsia"/>
                <w:lang w:val="en-US" w:eastAsia="zh-CN"/>
              </w:rPr>
              <w:t>达标分析</w:t>
            </w:r>
          </w:p>
        </w:tc>
      </w:tr>
      <w:tr w14:paraId="479D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85" w:type="pct"/>
            <w:vMerge w:val="restart"/>
            <w:shd w:val="clear" w:color="auto" w:fill="auto"/>
            <w:vAlign w:val="center"/>
          </w:tcPr>
          <w:p w14:paraId="5151E5C1">
            <w:pPr>
              <w:pStyle w:val="26"/>
              <w:bidi w:val="0"/>
              <w:rPr>
                <w:rFonts w:hint="eastAsia"/>
              </w:rPr>
            </w:pPr>
            <w:r>
              <w:rPr>
                <w:rFonts w:hint="eastAsia"/>
                <w:lang w:val="en-US" w:eastAsia="zh-CN"/>
              </w:rPr>
              <w:t>厂区内非甲烷总烃(mg/m³)</w:t>
            </w:r>
          </w:p>
        </w:tc>
        <w:tc>
          <w:tcPr>
            <w:tcW w:w="700" w:type="pct"/>
            <w:shd w:val="clear" w:color="auto" w:fill="auto"/>
            <w:vAlign w:val="center"/>
          </w:tcPr>
          <w:p w14:paraId="0A3EB12E">
            <w:pPr>
              <w:pStyle w:val="26"/>
              <w:bidi w:val="0"/>
              <w:rPr>
                <w:rFonts w:hint="default"/>
                <w:lang w:val="en-US" w:eastAsia="zh-CN"/>
              </w:rPr>
            </w:pPr>
            <w:r>
              <w:rPr>
                <w:rFonts w:hint="eastAsia"/>
                <w:lang w:val="en-US" w:eastAsia="zh-CN"/>
              </w:rPr>
              <w:t>2025.7.14</w:t>
            </w:r>
          </w:p>
        </w:tc>
        <w:tc>
          <w:tcPr>
            <w:tcW w:w="1531" w:type="pct"/>
            <w:shd w:val="clear" w:color="auto" w:fill="auto"/>
            <w:vAlign w:val="center"/>
          </w:tcPr>
          <w:p w14:paraId="66203EDF">
            <w:pPr>
              <w:pStyle w:val="26"/>
              <w:bidi w:val="0"/>
              <w:rPr>
                <w:rFonts w:hint="eastAsia"/>
              </w:rPr>
            </w:pPr>
            <w:r>
              <w:rPr>
                <w:rFonts w:hint="eastAsia"/>
                <w:lang w:val="en-US" w:eastAsia="zh-CN"/>
              </w:rPr>
              <w:t>1#车间门外 1m</w:t>
            </w:r>
          </w:p>
        </w:tc>
        <w:tc>
          <w:tcPr>
            <w:tcW w:w="818" w:type="pct"/>
            <w:shd w:val="clear" w:color="auto" w:fill="auto"/>
            <w:noWrap/>
            <w:vAlign w:val="center"/>
          </w:tcPr>
          <w:p w14:paraId="28A5B431">
            <w:pPr>
              <w:pStyle w:val="26"/>
              <w:bidi w:val="0"/>
              <w:rPr>
                <w:rFonts w:hint="default" w:eastAsia="仿宋_GB2312"/>
                <w:lang w:val="en-US" w:eastAsia="zh-CN"/>
              </w:rPr>
            </w:pPr>
            <w:r>
              <w:rPr>
                <w:rFonts w:hint="eastAsia"/>
                <w:lang w:val="en-US" w:eastAsia="zh-CN"/>
              </w:rPr>
              <w:t>1.57</w:t>
            </w:r>
          </w:p>
        </w:tc>
        <w:tc>
          <w:tcPr>
            <w:tcW w:w="641" w:type="pct"/>
            <w:vMerge w:val="restart"/>
            <w:shd w:val="clear" w:color="auto" w:fill="auto"/>
            <w:noWrap/>
            <w:vAlign w:val="center"/>
          </w:tcPr>
          <w:p w14:paraId="70D563D8">
            <w:pPr>
              <w:pStyle w:val="26"/>
              <w:bidi w:val="0"/>
              <w:rPr>
                <w:rFonts w:hint="eastAsia"/>
              </w:rPr>
            </w:pPr>
            <w:r>
              <w:rPr>
                <w:rFonts w:hint="eastAsia"/>
                <w:lang w:val="en-US" w:eastAsia="zh-CN"/>
              </w:rPr>
              <w:t>6</w:t>
            </w:r>
          </w:p>
        </w:tc>
        <w:tc>
          <w:tcPr>
            <w:tcW w:w="622" w:type="pct"/>
            <w:vMerge w:val="restart"/>
            <w:shd w:val="clear" w:color="auto" w:fill="auto"/>
            <w:noWrap/>
            <w:vAlign w:val="center"/>
          </w:tcPr>
          <w:p w14:paraId="4BE63364">
            <w:pPr>
              <w:pStyle w:val="26"/>
              <w:bidi w:val="0"/>
              <w:rPr>
                <w:rFonts w:hint="eastAsia"/>
              </w:rPr>
            </w:pPr>
            <w:r>
              <w:rPr>
                <w:rFonts w:hint="eastAsia"/>
                <w:lang w:val="en-US" w:eastAsia="zh-CN"/>
              </w:rPr>
              <w:t>达标</w:t>
            </w:r>
          </w:p>
        </w:tc>
      </w:tr>
      <w:tr w14:paraId="3FE2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85" w:type="pct"/>
            <w:vMerge w:val="continue"/>
            <w:shd w:val="clear" w:color="auto" w:fill="auto"/>
            <w:vAlign w:val="center"/>
          </w:tcPr>
          <w:p w14:paraId="316E2EAC">
            <w:pPr>
              <w:pStyle w:val="26"/>
              <w:bidi w:val="0"/>
              <w:rPr>
                <w:rFonts w:hint="eastAsia"/>
              </w:rPr>
            </w:pPr>
          </w:p>
        </w:tc>
        <w:tc>
          <w:tcPr>
            <w:tcW w:w="700" w:type="pct"/>
            <w:shd w:val="clear" w:color="auto" w:fill="auto"/>
            <w:vAlign w:val="center"/>
          </w:tcPr>
          <w:p w14:paraId="5FD966BE">
            <w:pPr>
              <w:pStyle w:val="26"/>
              <w:bidi w:val="0"/>
              <w:rPr>
                <w:rFonts w:hint="default"/>
                <w:lang w:val="en-US" w:eastAsia="zh-CN"/>
              </w:rPr>
            </w:pPr>
            <w:r>
              <w:rPr>
                <w:rFonts w:hint="eastAsia"/>
                <w:lang w:val="en-US" w:eastAsia="zh-CN"/>
              </w:rPr>
              <w:t>2025.7.15</w:t>
            </w:r>
          </w:p>
        </w:tc>
        <w:tc>
          <w:tcPr>
            <w:tcW w:w="1531" w:type="pct"/>
            <w:shd w:val="clear" w:color="auto" w:fill="auto"/>
            <w:vAlign w:val="center"/>
          </w:tcPr>
          <w:p w14:paraId="61D417E2">
            <w:pPr>
              <w:pStyle w:val="26"/>
              <w:bidi w:val="0"/>
              <w:rPr>
                <w:rFonts w:hint="eastAsia"/>
              </w:rPr>
            </w:pPr>
            <w:r>
              <w:rPr>
                <w:rFonts w:hint="eastAsia"/>
                <w:lang w:val="en-US" w:eastAsia="zh-CN"/>
              </w:rPr>
              <w:t>1#车间门外 1m</w:t>
            </w:r>
          </w:p>
        </w:tc>
        <w:tc>
          <w:tcPr>
            <w:tcW w:w="818" w:type="pct"/>
            <w:shd w:val="clear" w:color="auto" w:fill="auto"/>
            <w:noWrap/>
            <w:vAlign w:val="center"/>
          </w:tcPr>
          <w:p w14:paraId="15757F9D">
            <w:pPr>
              <w:pStyle w:val="26"/>
              <w:bidi w:val="0"/>
              <w:rPr>
                <w:rFonts w:hint="default"/>
                <w:lang w:val="en-US"/>
              </w:rPr>
            </w:pPr>
            <w:r>
              <w:rPr>
                <w:rFonts w:hint="eastAsia"/>
                <w:lang w:val="en-US" w:eastAsia="zh-CN"/>
              </w:rPr>
              <w:t>1.60</w:t>
            </w:r>
          </w:p>
        </w:tc>
        <w:tc>
          <w:tcPr>
            <w:tcW w:w="641" w:type="pct"/>
            <w:vMerge w:val="continue"/>
            <w:shd w:val="clear" w:color="auto" w:fill="auto"/>
            <w:noWrap/>
            <w:vAlign w:val="center"/>
          </w:tcPr>
          <w:p w14:paraId="1438503D">
            <w:pPr>
              <w:pStyle w:val="26"/>
              <w:bidi w:val="0"/>
              <w:rPr>
                <w:rFonts w:hint="eastAsia"/>
              </w:rPr>
            </w:pPr>
          </w:p>
        </w:tc>
        <w:tc>
          <w:tcPr>
            <w:tcW w:w="622" w:type="pct"/>
            <w:vMerge w:val="continue"/>
            <w:shd w:val="clear" w:color="auto" w:fill="auto"/>
            <w:noWrap/>
            <w:vAlign w:val="center"/>
          </w:tcPr>
          <w:p w14:paraId="768DB86F">
            <w:pPr>
              <w:pStyle w:val="26"/>
              <w:bidi w:val="0"/>
              <w:rPr>
                <w:rFonts w:hint="eastAsia"/>
              </w:rPr>
            </w:pPr>
          </w:p>
        </w:tc>
      </w:tr>
    </w:tbl>
    <w:p w14:paraId="4C7110F1">
      <w:pPr>
        <w:rPr>
          <w:color w:val="auto"/>
        </w:rPr>
      </w:pPr>
      <w:r>
        <w:rPr>
          <w:color w:val="auto"/>
        </w:rPr>
        <w:t>由上表可知，现有项目</w:t>
      </w:r>
      <w:r>
        <w:rPr>
          <w:rFonts w:hint="eastAsia"/>
          <w:color w:val="auto"/>
        </w:rPr>
        <w:t>厂界颗粒物、非甲烷总烃、氯化氢、硫酸雾、铬酸雾无组织检测浓度，均满足江苏省《大气污染物综合排放标准》（DB32/4041-2021）表 3标准，铬酸雾、酚类化合物、二甲苯未检出。厂区内非甲烷总烃无组织检测浓度，能够满足江苏省《大气污染物综合排放标准》（DB32/4041-2021）表 2 标准</w:t>
      </w:r>
      <w:r>
        <w:rPr>
          <w:color w:val="auto"/>
        </w:rPr>
        <w:t>。</w:t>
      </w:r>
    </w:p>
    <w:p w14:paraId="5307FC15">
      <w:pPr>
        <w:pStyle w:val="4"/>
        <w:rPr>
          <w:color w:val="auto"/>
        </w:rPr>
      </w:pPr>
      <w:bookmarkStart w:id="126" w:name="_Toc25074"/>
      <w:bookmarkStart w:id="127" w:name="_Toc13296"/>
      <w:r>
        <w:rPr>
          <w:rFonts w:hint="eastAsia"/>
          <w:color w:val="auto"/>
        </w:rPr>
        <w:t>废水</w:t>
      </w:r>
      <w:r>
        <w:rPr>
          <w:rFonts w:hint="eastAsia"/>
          <w:color w:val="auto"/>
          <w:lang w:val="en-US" w:eastAsia="zh-CN"/>
        </w:rPr>
        <w:t>产生排放情况</w:t>
      </w:r>
      <w:bookmarkEnd w:id="126"/>
      <w:bookmarkEnd w:id="127"/>
    </w:p>
    <w:p w14:paraId="1A0DDA65">
      <w:pPr>
        <w:pStyle w:val="5"/>
        <w:rPr>
          <w:color w:val="auto"/>
        </w:rPr>
      </w:pPr>
      <w:r>
        <w:rPr>
          <w:color w:val="auto"/>
        </w:rPr>
        <w:t>产生排放情况及治理措施</w:t>
      </w:r>
    </w:p>
    <w:p w14:paraId="4FD06E96">
      <w:pPr>
        <w:pStyle w:val="6"/>
        <w:bidi w:val="0"/>
        <w:rPr>
          <w:color w:val="auto"/>
          <w:lang w:val="en-US" w:eastAsia="zh-CN"/>
        </w:rPr>
      </w:pPr>
      <w:r>
        <w:rPr>
          <w:color w:val="auto"/>
          <w:lang w:val="en-US" w:eastAsia="zh-CN"/>
        </w:rPr>
        <w:t>废水产生排放及治理概况</w:t>
      </w:r>
    </w:p>
    <w:p w14:paraId="10F49468">
      <w:pPr>
        <w:rPr>
          <w:rFonts w:hint="eastAsia"/>
          <w:color w:val="auto"/>
          <w:lang w:eastAsia="zh-CN"/>
        </w:rPr>
      </w:pPr>
      <w:r>
        <w:rPr>
          <w:color w:val="auto"/>
        </w:rPr>
        <w:t>现有项目</w:t>
      </w:r>
      <w:r>
        <w:rPr>
          <w:rFonts w:hint="eastAsia"/>
          <w:color w:val="auto"/>
          <w:lang w:val="en-US" w:eastAsia="zh-CN"/>
        </w:rPr>
        <w:t>生产</w:t>
      </w:r>
      <w:r>
        <w:rPr>
          <w:color w:val="auto"/>
        </w:rPr>
        <w:t>废水主要</w:t>
      </w:r>
      <w:r>
        <w:rPr>
          <w:rFonts w:hint="eastAsia"/>
          <w:color w:val="auto"/>
        </w:rPr>
        <w:t>包括工艺废水</w:t>
      </w:r>
      <w:r>
        <w:rPr>
          <w:rFonts w:hint="eastAsia"/>
          <w:color w:val="auto"/>
          <w:lang w:val="en-US" w:eastAsia="zh-CN"/>
        </w:rPr>
        <w:t>4972.996</w:t>
      </w:r>
      <w:r>
        <w:rPr>
          <w:rFonts w:hint="eastAsia" w:ascii="Times New Roman" w:eastAsia="仿宋_GB2312"/>
          <w:color w:val="auto"/>
          <w:lang w:val="en-US" w:eastAsia="zh-CN"/>
        </w:rPr>
        <w:t>t/a</w:t>
      </w:r>
      <w:r>
        <w:rPr>
          <w:rFonts w:hint="eastAsia"/>
          <w:color w:val="auto"/>
          <w:lang w:val="en-US" w:eastAsia="zh-CN"/>
        </w:rPr>
        <w:t>（包括含铜废水、含铬废水、洗涤塔废水、车间地面冲洗废水）</w:t>
      </w:r>
      <w:r>
        <w:rPr>
          <w:rFonts w:hint="eastAsia" w:ascii="Times New Roman" w:eastAsia="仿宋_GB2312"/>
          <w:color w:val="auto"/>
          <w:lang w:val="en-US" w:eastAsia="zh-CN"/>
        </w:rPr>
        <w:t>，</w:t>
      </w:r>
      <w:r>
        <w:rPr>
          <w:rFonts w:hint="eastAsia"/>
          <w:color w:val="auto"/>
        </w:rPr>
        <w:t>初期雨水</w:t>
      </w:r>
      <w:r>
        <w:rPr>
          <w:rFonts w:hint="eastAsia"/>
          <w:color w:val="auto"/>
          <w:lang w:val="en-US" w:eastAsia="zh-CN"/>
        </w:rPr>
        <w:t>486</w:t>
      </w:r>
      <w:r>
        <w:rPr>
          <w:rFonts w:hint="eastAsia"/>
          <w:color w:val="auto"/>
        </w:rPr>
        <w:t>t</w:t>
      </w:r>
      <w:r>
        <w:rPr>
          <w:rFonts w:hint="eastAsia" w:ascii="Times New Roman" w:eastAsia="仿宋_GB2312"/>
          <w:color w:val="auto"/>
          <w:lang w:val="en-US" w:eastAsia="zh-CN"/>
        </w:rPr>
        <w:t>/</w:t>
      </w:r>
      <w:r>
        <w:rPr>
          <w:rFonts w:hint="eastAsia"/>
          <w:color w:val="auto"/>
        </w:rPr>
        <w:t>a</w:t>
      </w:r>
      <w:r>
        <w:rPr>
          <w:rFonts w:hint="eastAsia"/>
          <w:color w:val="auto"/>
          <w:lang w:val="en-US" w:eastAsia="zh-CN"/>
        </w:rPr>
        <w:t>及纯水制备浓水1330.332</w:t>
      </w:r>
      <w:r>
        <w:rPr>
          <w:rFonts w:hint="eastAsia"/>
          <w:color w:val="auto"/>
        </w:rPr>
        <w:t>t/a</w:t>
      </w:r>
      <w:r>
        <w:rPr>
          <w:rFonts w:hint="eastAsia"/>
          <w:color w:val="auto"/>
          <w:lang w:eastAsia="zh-CN"/>
        </w:rPr>
        <w:t>。</w:t>
      </w:r>
    </w:p>
    <w:p w14:paraId="340D2BE3">
      <w:pPr>
        <w:rPr>
          <w:rFonts w:hint="eastAsia"/>
          <w:color w:val="auto"/>
        </w:rPr>
      </w:pPr>
      <w:r>
        <w:rPr>
          <w:rFonts w:hint="eastAsia"/>
          <w:color w:val="auto"/>
          <w:lang w:val="en-US" w:eastAsia="zh-CN"/>
        </w:rPr>
        <w:t>初期雨水、纯水制备浓水、洗涤塔废水、车间地面冲洗废水纳入含铬废水，一并进入含铬废水处理系统（物化沉淀+MVR蒸发）处理，蒸发冷凝水进入纯水制备系统，制备的纯水全部回用于生产，浓水继续进入含铬废水预处理系统，不外排；含铜废水进入含铜废水处理系统（物化沉淀+MVR蒸发）预处理后，蒸发冷凝水进入纯水制备系统，制备的纯水全部回用于生产，浓水继续进入含铜废水预处理系统，不外排；</w:t>
      </w:r>
      <w:r>
        <w:rPr>
          <w:rFonts w:hint="eastAsia"/>
          <w:color w:val="auto"/>
        </w:rPr>
        <w:t>研磨废水经研磨废水处理回用系统（物化沉淀+压滤）处理后全部回用至研磨工段。</w:t>
      </w:r>
    </w:p>
    <w:p w14:paraId="08FFFB3D">
      <w:pPr>
        <w:rPr>
          <w:rFonts w:hint="eastAsia"/>
          <w:color w:val="auto"/>
        </w:rPr>
      </w:pPr>
      <w:r>
        <w:rPr>
          <w:rFonts w:hint="eastAsia"/>
          <w:color w:val="auto"/>
        </w:rPr>
        <w:t>员工</w:t>
      </w:r>
      <w:r>
        <w:rPr>
          <w:rFonts w:hint="eastAsia"/>
          <w:color w:val="auto"/>
          <w:lang w:val="en-US" w:eastAsia="zh-CN"/>
        </w:rPr>
        <w:t>生活污水3420</w:t>
      </w:r>
      <w:r>
        <w:rPr>
          <w:rFonts w:hint="eastAsia"/>
          <w:color w:val="auto"/>
        </w:rPr>
        <w:t>t/a接管进入昆山建邦环境投资有限公司花桥污水处理厂处理达标后最终排入小瓦浦河。</w:t>
      </w:r>
    </w:p>
    <w:p w14:paraId="18F5D968">
      <w:pPr>
        <w:rPr>
          <w:color w:val="auto"/>
        </w:rPr>
      </w:pPr>
      <w:r>
        <w:rPr>
          <w:color w:val="auto"/>
        </w:rPr>
        <w:t>现有项目水平衡见</w:t>
      </w:r>
      <w:r>
        <w:rPr>
          <w:rFonts w:hint="eastAsia" w:ascii="Times New Roman" w:eastAsia="仿宋_GB2312"/>
          <w:color w:val="auto"/>
          <w:lang w:val="en-US" w:eastAsia="zh-CN"/>
        </w:rPr>
        <w:t>下图</w:t>
      </w:r>
      <w:r>
        <w:rPr>
          <w:color w:val="auto"/>
        </w:rPr>
        <w:t>。</w:t>
      </w:r>
    </w:p>
    <w:p w14:paraId="73A9F816">
      <w:pPr>
        <w:pStyle w:val="26"/>
        <w:bidi w:val="0"/>
        <w:rPr>
          <w:rFonts w:hint="eastAsia"/>
          <w:lang w:eastAsia="zh-CN"/>
        </w:rPr>
      </w:pPr>
      <w:r>
        <w:rPr>
          <w:rFonts w:hint="eastAsia"/>
          <w:lang w:eastAsia="zh-CN"/>
        </w:rPr>
        <w:drawing>
          <wp:inline distT="0" distB="0" distL="114300" distR="114300">
            <wp:extent cx="5112385" cy="5311775"/>
            <wp:effectExtent l="0" t="0" r="0" b="0"/>
            <wp:docPr id="92" name="图片 92" descr="PixPin_2026-05-13_20-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PixPin_2026-05-13_20-07-45"/>
                    <pic:cNvPicPr>
                      <a:picLocks noChangeAspect="1"/>
                    </pic:cNvPicPr>
                  </pic:nvPicPr>
                  <pic:blipFill>
                    <a:blip r:embed="rId23"/>
                    <a:srcRect r="2965" b="5288"/>
                    <a:stretch>
                      <a:fillRect/>
                    </a:stretch>
                  </pic:blipFill>
                  <pic:spPr>
                    <a:xfrm>
                      <a:off x="0" y="0"/>
                      <a:ext cx="5112385" cy="5311775"/>
                    </a:xfrm>
                    <a:prstGeom prst="rect">
                      <a:avLst/>
                    </a:prstGeom>
                  </pic:spPr>
                </pic:pic>
              </a:graphicData>
            </a:graphic>
          </wp:inline>
        </w:drawing>
      </w:r>
    </w:p>
    <w:p w14:paraId="43E4949F">
      <w:pPr>
        <w:pStyle w:val="25"/>
        <w:rPr>
          <w:rFonts w:hint="eastAsia"/>
          <w:color w:val="auto"/>
        </w:rPr>
      </w:pPr>
      <w:r>
        <w:rPr>
          <w:color w:val="auto"/>
        </w:rPr>
        <w:t>图</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图 \* ARABIC \s 2 </w:instrText>
      </w:r>
      <w:r>
        <w:rPr>
          <w:color w:val="auto"/>
        </w:rPr>
        <w:fldChar w:fldCharType="separate"/>
      </w:r>
      <w:r>
        <w:rPr>
          <w:color w:val="auto"/>
        </w:rPr>
        <w:t>2</w:t>
      </w:r>
      <w:r>
        <w:rPr>
          <w:color w:val="auto"/>
        </w:rPr>
        <w:fldChar w:fldCharType="end"/>
      </w:r>
      <w:r>
        <w:rPr>
          <w:rFonts w:hint="eastAsia"/>
          <w:color w:val="auto"/>
        </w:rPr>
        <w:t>现有项目水平衡图（t/a）</w:t>
      </w:r>
    </w:p>
    <w:p w14:paraId="784AC87E">
      <w:pPr>
        <w:rPr>
          <w:rFonts w:hint="eastAsia"/>
          <w:color w:val="auto"/>
        </w:rPr>
      </w:pPr>
    </w:p>
    <w:p w14:paraId="5FCA0C1A">
      <w:pPr>
        <w:rPr>
          <w:rFonts w:hint="eastAsia"/>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06B405FF">
      <w:pPr>
        <w:pStyle w:val="6"/>
        <w:bidi w:val="0"/>
        <w:rPr>
          <w:color w:val="auto"/>
          <w:lang w:val="en-US" w:eastAsia="zh-CN"/>
        </w:rPr>
      </w:pPr>
      <w:r>
        <w:rPr>
          <w:rFonts w:hint="eastAsia"/>
          <w:color w:val="auto"/>
          <w:lang w:val="en-US" w:eastAsia="zh-CN"/>
        </w:rPr>
        <w:t>现有项目废水治理措施</w:t>
      </w:r>
    </w:p>
    <w:p w14:paraId="125602B4">
      <w:pPr>
        <w:bidi w:val="0"/>
        <w:rPr>
          <w:rFonts w:hint="eastAsia"/>
          <w:b/>
          <w:bCs/>
          <w:color w:val="auto"/>
        </w:rPr>
      </w:pPr>
      <w:r>
        <w:rPr>
          <w:rFonts w:hint="eastAsia"/>
          <w:b/>
          <w:bCs/>
          <w:color w:val="auto"/>
          <w:lang w:val="en-US" w:eastAsia="zh-CN"/>
        </w:rPr>
        <w:t>1、</w:t>
      </w:r>
      <w:r>
        <w:rPr>
          <w:rFonts w:hint="eastAsia"/>
          <w:b/>
          <w:bCs/>
          <w:color w:val="auto"/>
        </w:rPr>
        <w:t>含铜废水、含铬废水</w:t>
      </w:r>
    </w:p>
    <w:p w14:paraId="100D4D94">
      <w:pPr>
        <w:pStyle w:val="26"/>
        <w:bidi w:val="0"/>
      </w:pPr>
      <w:r>
        <w:drawing>
          <wp:inline distT="0" distB="0" distL="114300" distR="114300">
            <wp:extent cx="5269865" cy="2870835"/>
            <wp:effectExtent l="0" t="0" r="635" b="1206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24"/>
                    <a:stretch>
                      <a:fillRect/>
                    </a:stretch>
                  </pic:blipFill>
                  <pic:spPr>
                    <a:xfrm>
                      <a:off x="0" y="0"/>
                      <a:ext cx="5269865" cy="2870835"/>
                    </a:xfrm>
                    <a:prstGeom prst="rect">
                      <a:avLst/>
                    </a:prstGeom>
                    <a:noFill/>
                    <a:ln>
                      <a:noFill/>
                    </a:ln>
                  </pic:spPr>
                </pic:pic>
              </a:graphicData>
            </a:graphic>
          </wp:inline>
        </w:drawing>
      </w:r>
    </w:p>
    <w:p w14:paraId="07CC1548">
      <w:pPr>
        <w:pStyle w:val="25"/>
        <w:bidi w:val="0"/>
        <w:rPr>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3.5</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3</w:t>
      </w:r>
      <w:r>
        <w:rPr>
          <w:rFonts w:hint="eastAsia"/>
          <w:color w:val="auto"/>
          <w:lang w:val="en-US" w:eastAsia="zh-CN"/>
        </w:rPr>
        <w:fldChar w:fldCharType="end"/>
      </w:r>
      <w:r>
        <w:rPr>
          <w:rFonts w:hint="eastAsia"/>
          <w:color w:val="auto"/>
          <w:lang w:val="en-US" w:eastAsia="zh-CN"/>
        </w:rPr>
        <w:t>含铜、含铬污水处理系统图</w:t>
      </w:r>
    </w:p>
    <w:p w14:paraId="698902C2">
      <w:pPr>
        <w:bidi w:val="0"/>
        <w:rPr>
          <w:rFonts w:hint="eastAsia"/>
          <w:color w:val="auto"/>
        </w:rPr>
      </w:pPr>
      <w:r>
        <w:rPr>
          <w:rFonts w:hint="eastAsia"/>
          <w:color w:val="auto"/>
        </w:rPr>
        <w:t>①含铜废水预处理</w:t>
      </w:r>
    </w:p>
    <w:p w14:paraId="2A65D12F">
      <w:pPr>
        <w:bidi w:val="0"/>
        <w:rPr>
          <w:rFonts w:hint="eastAsia"/>
          <w:color w:val="auto"/>
        </w:rPr>
      </w:pPr>
      <w:r>
        <w:rPr>
          <w:rFonts w:hint="eastAsia"/>
          <w:color w:val="auto"/>
        </w:rPr>
        <w:t>对于电镀含铜废水采用铜 SBR 间歇式自控废水处理设备进行物化法处理：</w:t>
      </w:r>
    </w:p>
    <w:p w14:paraId="74FE1D92">
      <w:pPr>
        <w:bidi w:val="0"/>
        <w:rPr>
          <w:rFonts w:hint="eastAsia"/>
          <w:color w:val="auto"/>
        </w:rPr>
      </w:pPr>
      <w:r>
        <w:rPr>
          <w:rFonts w:hint="eastAsia"/>
          <w:color w:val="auto"/>
        </w:rPr>
        <w:t>SBR 处理装置首先通过 pH 控制器及加药泵加入氢氧化钠来调节 pH 值至 10.0左右，由计量泵分别加入重捕剂药剂、絮凝剂 PAC 及 PAM 进行反应絮凝沉淀  3 小时以上，药剂反应时间分别为 5 分钟、10 分钟、5 分钟、3 分钟；重金属及悬浮物沉淀后的上清水经过砂滤、袋滤过滤后，汇入 PH 回调箱中进行 PH 回调，经反应沉淀后，废水中的 SS 去除率可达99％，混凝沉淀后经过 MVR 蒸发器进行蒸发，蒸发后的蒸馏水经过膜做成纯水回用；沉淀池底部定期排出的污泥排到含铜污泥池，通过污泥泵打入铜压滤机变污泥饼后外运给专业公司处理。</w:t>
      </w:r>
      <w:r>
        <w:rPr>
          <w:rFonts w:hint="eastAsia"/>
          <w:color w:val="auto"/>
          <w:lang w:val="en-US" w:eastAsia="zh-CN"/>
        </w:rPr>
        <w:t>现有</w:t>
      </w:r>
      <w:r>
        <w:rPr>
          <w:rFonts w:hint="eastAsia"/>
          <w:color w:val="auto"/>
        </w:rPr>
        <w:t>废水处理系统设置含铜废水预处理能力为 8t/a ，含铜废水</w:t>
      </w:r>
      <w:r>
        <w:rPr>
          <w:rFonts w:hint="eastAsia"/>
          <w:color w:val="auto"/>
          <w:lang w:val="en-US" w:eastAsia="zh-CN"/>
        </w:rPr>
        <w:t>实际处理量</w:t>
      </w:r>
      <w:r>
        <w:rPr>
          <w:rFonts w:hint="eastAsia"/>
          <w:color w:val="auto"/>
        </w:rPr>
        <w:t>为 5.82t/a ，可满足废水处理量。</w:t>
      </w:r>
    </w:p>
    <w:p w14:paraId="30F7A97D">
      <w:pPr>
        <w:bidi w:val="0"/>
        <w:rPr>
          <w:rFonts w:hint="eastAsia"/>
          <w:color w:val="auto"/>
        </w:rPr>
      </w:pPr>
      <w:r>
        <w:rPr>
          <w:rFonts w:hint="eastAsia"/>
          <w:color w:val="auto"/>
        </w:rPr>
        <w:t>重金属沉淀加药化学反应方程式如下：</w:t>
      </w:r>
    </w:p>
    <w:p w14:paraId="684CB648">
      <w:pPr>
        <w:bidi w:val="0"/>
        <w:rPr>
          <w:rFonts w:hint="eastAsia"/>
          <w:color w:val="auto"/>
        </w:rPr>
      </w:pPr>
      <w:r>
        <w:rPr>
          <w:rFonts w:hint="eastAsia"/>
          <w:color w:val="auto"/>
        </w:rPr>
        <w:t>Cu+NaOH=Cu(OH)</w:t>
      </w:r>
      <w:r>
        <w:rPr>
          <w:rFonts w:hint="eastAsia"/>
          <w:color w:val="auto"/>
          <w:vertAlign w:val="subscript"/>
        </w:rPr>
        <w:t>2</w:t>
      </w:r>
      <w:r>
        <w:rPr>
          <w:rFonts w:hint="eastAsia"/>
          <w:color w:val="auto"/>
        </w:rPr>
        <w:t>↓铜沉淀物</w:t>
      </w:r>
    </w:p>
    <w:p w14:paraId="4E377890">
      <w:pPr>
        <w:bidi w:val="0"/>
        <w:rPr>
          <w:rFonts w:hint="eastAsia"/>
          <w:color w:val="auto"/>
        </w:rPr>
      </w:pPr>
      <w:r>
        <w:rPr>
          <w:rFonts w:hint="eastAsia"/>
          <w:color w:val="auto"/>
        </w:rPr>
        <w:t>②含铬废水</w:t>
      </w:r>
    </w:p>
    <w:p w14:paraId="2EC7FC4B">
      <w:pPr>
        <w:bidi w:val="0"/>
        <w:rPr>
          <w:rFonts w:hint="eastAsia"/>
          <w:color w:val="auto"/>
        </w:rPr>
      </w:pPr>
      <w:r>
        <w:rPr>
          <w:rFonts w:hint="eastAsia"/>
          <w:color w:val="auto"/>
        </w:rPr>
        <w:t>对于电镀含铬废水采用铬 SBR 间歇式自控废水处理设备进行物化法处理： SBR 处理装置首先通过 pH 控制器及加药泵加入硫酸来调节 pH 值至 3.0-3.5，再通过 ORP 控制器及加药泵加入焦亚硫酸钠来调节 ORP 值至 250Mv 以下，通过 pH 控制器自动加氢氧化钠调整到 8.5 左右；由磁力泵加入絮凝剂 PAC 及PAM 进行反应絮凝沉淀 3 小时以上，药剂反应时间分别为 5 分钟、15 分钟、5分钟、3 分钟；重金属及悬浮物沉淀后的上清水经过砂滤、袋滤过滤后，经反应沉淀后，废水中的 SS 去除率可达99％，汇入 PH 回调箱中进行值 PH 回调，后经过 MVR 蒸发器进行蒸发，蒸发后的蒸馏水经过膜做成纯水回用；沉淀池底部定期排出的污泥排到含铬污泥池，通过污泥泵打入铬压滤机变污泥饼后外运给专业公司处理。</w:t>
      </w:r>
      <w:r>
        <w:rPr>
          <w:rFonts w:hint="eastAsia"/>
          <w:color w:val="auto"/>
          <w:lang w:val="en-US" w:eastAsia="zh-CN"/>
        </w:rPr>
        <w:t>现有</w:t>
      </w:r>
      <w:r>
        <w:rPr>
          <w:rFonts w:hint="eastAsia"/>
          <w:color w:val="auto"/>
        </w:rPr>
        <w:t>废水处理系统设置含铬废水预处理能力为 5t/a ，含铬废水</w:t>
      </w:r>
      <w:r>
        <w:rPr>
          <w:rFonts w:hint="eastAsia"/>
          <w:color w:val="auto"/>
          <w:lang w:val="en-US" w:eastAsia="zh-CN"/>
        </w:rPr>
        <w:t>实际处理量</w:t>
      </w:r>
      <w:r>
        <w:rPr>
          <w:rFonts w:hint="eastAsia"/>
          <w:color w:val="auto"/>
        </w:rPr>
        <w:t>为 2.8t/a ，可满足废水处理量。</w:t>
      </w:r>
    </w:p>
    <w:p w14:paraId="5BF100F0">
      <w:pPr>
        <w:bidi w:val="0"/>
        <w:rPr>
          <w:rFonts w:hint="eastAsia"/>
          <w:color w:val="auto"/>
        </w:rPr>
      </w:pPr>
      <w:r>
        <w:rPr>
          <w:rFonts w:hint="eastAsia"/>
          <w:color w:val="auto"/>
        </w:rPr>
        <w:t>重金属沉淀加药化学反应方程式如下：</w:t>
      </w:r>
    </w:p>
    <w:p w14:paraId="0D40CBD6">
      <w:pPr>
        <w:bidi w:val="0"/>
        <w:rPr>
          <w:rFonts w:hint="eastAsia"/>
          <w:color w:val="auto"/>
        </w:rPr>
      </w:pPr>
      <w:r>
        <w:rPr>
          <w:rFonts w:hint="eastAsia"/>
          <w:color w:val="auto"/>
        </w:rPr>
        <w:t>Cr</w:t>
      </w:r>
      <w:r>
        <w:rPr>
          <w:rFonts w:hint="eastAsia"/>
          <w:color w:val="auto"/>
          <w:vertAlign w:val="subscript"/>
        </w:rPr>
        <w:t>2</w:t>
      </w:r>
      <w:r>
        <w:rPr>
          <w:rFonts w:hint="eastAsia"/>
          <w:color w:val="auto"/>
        </w:rPr>
        <w:t>(SO</w:t>
      </w:r>
      <w:r>
        <w:rPr>
          <w:rFonts w:hint="eastAsia"/>
          <w:color w:val="auto"/>
          <w:vertAlign w:val="subscript"/>
        </w:rPr>
        <w:t>4</w:t>
      </w:r>
      <w:r>
        <w:rPr>
          <w:rFonts w:hint="eastAsia"/>
          <w:color w:val="auto"/>
        </w:rPr>
        <w:t>)</w:t>
      </w:r>
      <w:r>
        <w:rPr>
          <w:rFonts w:hint="eastAsia"/>
          <w:color w:val="auto"/>
          <w:vertAlign w:val="subscript"/>
        </w:rPr>
        <w:t>3</w:t>
      </w:r>
      <w:r>
        <w:rPr>
          <w:rFonts w:hint="eastAsia"/>
          <w:color w:val="auto"/>
        </w:rPr>
        <w:t>+6NaOH=3Na</w:t>
      </w:r>
      <w:r>
        <w:rPr>
          <w:rFonts w:hint="eastAsia"/>
          <w:color w:val="auto"/>
          <w:vertAlign w:val="subscript"/>
        </w:rPr>
        <w:t>2</w:t>
      </w:r>
      <w:r>
        <w:rPr>
          <w:rFonts w:hint="eastAsia"/>
          <w:color w:val="auto"/>
        </w:rPr>
        <w:t>SO</w:t>
      </w:r>
      <w:r>
        <w:rPr>
          <w:rFonts w:hint="eastAsia"/>
          <w:color w:val="auto"/>
          <w:vertAlign w:val="subscript"/>
        </w:rPr>
        <w:t>4</w:t>
      </w:r>
      <w:r>
        <w:rPr>
          <w:rFonts w:hint="eastAsia"/>
          <w:color w:val="auto"/>
        </w:rPr>
        <w:t>+2Cr(OH)</w:t>
      </w:r>
      <w:r>
        <w:rPr>
          <w:rFonts w:hint="eastAsia"/>
          <w:color w:val="auto"/>
          <w:vertAlign w:val="subscript"/>
        </w:rPr>
        <w:t>3</w:t>
      </w:r>
      <w:r>
        <w:rPr>
          <w:rFonts w:hint="eastAsia"/>
          <w:color w:val="auto"/>
        </w:rPr>
        <w:t xml:space="preserve"> ↓铬沉淀物</w:t>
      </w:r>
    </w:p>
    <w:p w14:paraId="505BD9E8">
      <w:pPr>
        <w:bidi w:val="0"/>
        <w:rPr>
          <w:rFonts w:hint="eastAsia"/>
          <w:color w:val="auto"/>
        </w:rPr>
      </w:pPr>
      <w:r>
        <w:rPr>
          <w:rFonts w:hint="eastAsia"/>
          <w:color w:val="auto"/>
        </w:rPr>
        <w:t>③MVR 蒸发处理</w:t>
      </w:r>
    </w:p>
    <w:p w14:paraId="6CE7C1DF">
      <w:pPr>
        <w:bidi w:val="0"/>
        <w:rPr>
          <w:rFonts w:hint="eastAsia"/>
          <w:color w:val="auto"/>
        </w:rPr>
      </w:pPr>
      <w:r>
        <w:rPr>
          <w:rFonts w:hint="eastAsia"/>
          <w:color w:val="auto"/>
        </w:rPr>
        <w:t>建设单位为实现含铜废水、含铬废水不外排，将含铜废水、含铬废水物化预处理后，经MVR装置蒸发处理，蒸发冷凝水回用，蒸发残渣作为危废委托处理。</w:t>
      </w:r>
      <w:r>
        <w:rPr>
          <w:rFonts w:hint="eastAsia"/>
          <w:color w:val="auto"/>
          <w:lang w:val="en-US" w:eastAsia="zh-CN"/>
        </w:rPr>
        <w:t>现有废水处理系统</w:t>
      </w:r>
      <w:r>
        <w:rPr>
          <w:rFonts w:hint="eastAsia"/>
          <w:color w:val="auto"/>
        </w:rPr>
        <w:t>设置一套处理能力为</w:t>
      </w:r>
      <w:r>
        <w:rPr>
          <w:rFonts w:hint="eastAsia"/>
          <w:color w:val="auto"/>
          <w:lang w:val="en-US" w:eastAsia="zh-CN"/>
        </w:rPr>
        <w:t>24</w:t>
      </w:r>
      <w:r>
        <w:rPr>
          <w:rFonts w:hint="eastAsia"/>
          <w:color w:val="auto"/>
        </w:rPr>
        <w:t>t/</w:t>
      </w:r>
      <w:r>
        <w:rPr>
          <w:rFonts w:hint="eastAsia"/>
          <w:color w:val="auto"/>
          <w:lang w:val="en-US" w:eastAsia="zh-CN"/>
        </w:rPr>
        <w:t>d</w:t>
      </w:r>
      <w:r>
        <w:rPr>
          <w:rFonts w:hint="eastAsia"/>
          <w:color w:val="auto"/>
        </w:rPr>
        <w:t xml:space="preserve"> MVR装置</w:t>
      </w:r>
      <w:r>
        <w:rPr>
          <w:rFonts w:hint="eastAsia"/>
          <w:color w:val="auto"/>
          <w:lang w:eastAsia="zh-CN"/>
        </w:rPr>
        <w:t>，</w:t>
      </w:r>
      <w:r>
        <w:rPr>
          <w:rFonts w:hint="eastAsia"/>
          <w:color w:val="auto"/>
          <w:lang w:val="en-US" w:eastAsia="zh-CN"/>
        </w:rPr>
        <w:t>实际</w:t>
      </w:r>
      <w:r>
        <w:rPr>
          <w:rFonts w:hint="eastAsia"/>
          <w:color w:val="auto"/>
        </w:rPr>
        <w:t>需经MVR装置处理的水量为11.42t/d，可满足废水处理量。</w:t>
      </w:r>
    </w:p>
    <w:p w14:paraId="5BFC2A4E">
      <w:pPr>
        <w:bidi w:val="0"/>
        <w:rPr>
          <w:rFonts w:hint="eastAsia"/>
          <w:b/>
          <w:bCs/>
          <w:color w:val="auto"/>
        </w:rPr>
      </w:pPr>
      <w:r>
        <w:rPr>
          <w:rFonts w:hint="eastAsia"/>
          <w:b/>
          <w:bCs/>
          <w:color w:val="auto"/>
          <w:lang w:val="en-US" w:eastAsia="zh-CN"/>
        </w:rPr>
        <w:t>2、</w:t>
      </w:r>
      <w:r>
        <w:rPr>
          <w:rFonts w:hint="eastAsia"/>
          <w:b/>
          <w:bCs/>
          <w:color w:val="auto"/>
        </w:rPr>
        <w:t>研磨废水预处理</w:t>
      </w:r>
    </w:p>
    <w:p w14:paraId="2320C3F5">
      <w:pPr>
        <w:bidi w:val="0"/>
        <w:rPr>
          <w:color w:val="auto"/>
        </w:rPr>
      </w:pPr>
      <w:r>
        <w:rPr>
          <w:rFonts w:hint="eastAsia"/>
          <w:color w:val="auto"/>
        </w:rPr>
        <w:t>研磨废水主要为湿式打磨工段后产生的废水。研磨废水收集后经压滤机压滤后通过增压泵打入回用水箱回用，污泥委外处理。</w:t>
      </w:r>
      <w:r>
        <w:rPr>
          <w:rFonts w:hint="eastAsia"/>
          <w:color w:val="auto"/>
          <w:lang w:val="en-US" w:eastAsia="zh-CN"/>
        </w:rPr>
        <w:t>现有</w:t>
      </w:r>
      <w:r>
        <w:rPr>
          <w:rFonts w:hint="eastAsia"/>
          <w:color w:val="auto"/>
        </w:rPr>
        <w:t>项目废水处理系统设置研磨废水处理能力为 5t/a ，研磨废水</w:t>
      </w:r>
      <w:r>
        <w:rPr>
          <w:rFonts w:hint="eastAsia"/>
          <w:color w:val="auto"/>
          <w:lang w:val="en-US" w:eastAsia="zh-CN"/>
        </w:rPr>
        <w:t>实际处理量</w:t>
      </w:r>
      <w:r>
        <w:rPr>
          <w:rFonts w:hint="eastAsia"/>
          <w:color w:val="auto"/>
        </w:rPr>
        <w:t>为 3.52t/a ，可满足废水处理量。</w:t>
      </w:r>
    </w:p>
    <w:p w14:paraId="78CBEE91">
      <w:pPr>
        <w:pStyle w:val="26"/>
        <w:bidi w:val="0"/>
      </w:pPr>
      <w:r>
        <w:drawing>
          <wp:inline distT="0" distB="0" distL="114300" distR="114300">
            <wp:extent cx="5271135" cy="1273175"/>
            <wp:effectExtent l="0" t="0" r="12065" b="95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25"/>
                    <a:stretch>
                      <a:fillRect/>
                    </a:stretch>
                  </pic:blipFill>
                  <pic:spPr>
                    <a:xfrm>
                      <a:off x="0" y="0"/>
                      <a:ext cx="5271135" cy="1273175"/>
                    </a:xfrm>
                    <a:prstGeom prst="rect">
                      <a:avLst/>
                    </a:prstGeom>
                    <a:noFill/>
                    <a:ln>
                      <a:noFill/>
                    </a:ln>
                  </pic:spPr>
                </pic:pic>
              </a:graphicData>
            </a:graphic>
          </wp:inline>
        </w:drawing>
      </w:r>
    </w:p>
    <w:p w14:paraId="03A7ED74">
      <w:pPr>
        <w:pStyle w:val="25"/>
        <w:bidi w:val="0"/>
        <w:rPr>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3.5</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4</w:t>
      </w:r>
      <w:r>
        <w:rPr>
          <w:rFonts w:hint="eastAsia"/>
          <w:color w:val="auto"/>
          <w:lang w:val="en-US" w:eastAsia="zh-CN"/>
        </w:rPr>
        <w:fldChar w:fldCharType="end"/>
      </w:r>
      <w:r>
        <w:rPr>
          <w:rFonts w:hint="eastAsia"/>
          <w:color w:val="auto"/>
          <w:lang w:val="en-US" w:eastAsia="zh-CN"/>
        </w:rPr>
        <w:t>研磨污水处理系统图</w:t>
      </w:r>
    </w:p>
    <w:p w14:paraId="4E4F12F6">
      <w:pPr>
        <w:pStyle w:val="5"/>
        <w:ind w:firstLine="301"/>
        <w:rPr>
          <w:color w:val="auto"/>
        </w:rPr>
      </w:pPr>
      <w:r>
        <w:rPr>
          <w:rFonts w:hint="eastAsia"/>
          <w:color w:val="auto"/>
          <w:lang w:val="en-US" w:eastAsia="zh-CN"/>
        </w:rPr>
        <w:t>达标排放分析</w:t>
      </w:r>
    </w:p>
    <w:p w14:paraId="12387855">
      <w:pPr>
        <w:ind w:firstLineChars="0"/>
        <w:rPr>
          <w:rFonts w:hint="eastAsia" w:eastAsia="仿宋_GB2312"/>
          <w:color w:val="auto"/>
          <w:lang w:val="en-US" w:eastAsia="zh-CN"/>
        </w:rPr>
      </w:pPr>
      <w:r>
        <w:rPr>
          <w:color w:val="auto"/>
        </w:rPr>
        <w:t>（1）</w:t>
      </w:r>
      <w:r>
        <w:rPr>
          <w:rFonts w:hint="eastAsia"/>
          <w:color w:val="auto"/>
          <w:lang w:val="en-US" w:eastAsia="zh-CN"/>
        </w:rPr>
        <w:t>回用水</w:t>
      </w:r>
      <w:r>
        <w:rPr>
          <w:color w:val="auto"/>
        </w:rPr>
        <w:t>监测</w:t>
      </w:r>
      <w:r>
        <w:rPr>
          <w:rFonts w:hint="eastAsia"/>
          <w:color w:val="auto"/>
          <w:lang w:val="en-US" w:eastAsia="zh-CN"/>
        </w:rPr>
        <w:t>情况</w:t>
      </w:r>
    </w:p>
    <w:p w14:paraId="36762B1B">
      <w:pPr>
        <w:ind w:firstLineChars="0"/>
        <w:rPr>
          <w:color w:val="auto"/>
        </w:rPr>
      </w:pPr>
      <w:r>
        <w:rPr>
          <w:rFonts w:hint="eastAsia"/>
          <w:color w:val="auto"/>
          <w:lang w:eastAsia="zh-CN"/>
        </w:rPr>
        <w:t>2025年7月16-17日，委托江苏鹿华检测科技有限公司对项目回用水箱出口进行了监测</w:t>
      </w:r>
      <w:r>
        <w:rPr>
          <w:rFonts w:hint="eastAsia"/>
          <w:color w:val="auto"/>
        </w:rPr>
        <w:t>。回用水中的pH值、浊度、化学需氧量、氨氮、总磷、总氮、石油类的排放浓度值均能满足《城市污水再生利用 工业用水水质》（GB/T19923-2024）表 1“ 工艺用水、产品用水”标准限值。铜、镍、铬未检出，悬浮物和电导率的排放浓度值满足企业自定标准限值</w:t>
      </w:r>
      <w:r>
        <w:rPr>
          <w:rFonts w:hint="eastAsia"/>
          <w:color w:val="auto"/>
          <w:lang w:eastAsia="zh-CN"/>
        </w:rPr>
        <w:t>。</w:t>
      </w:r>
      <w:r>
        <w:rPr>
          <w:rFonts w:hint="eastAsia"/>
          <w:color w:val="auto"/>
        </w:rPr>
        <w:t>具体数据见下表。</w:t>
      </w:r>
    </w:p>
    <w:p w14:paraId="6B93B5F9">
      <w:pPr>
        <w:pStyle w:val="25"/>
        <w:bidi w:val="0"/>
        <w:rPr>
          <w:rFonts w:hint="default" w:eastAsia="仿宋_GB2312"/>
          <w:color w:val="auto"/>
          <w:lang w:val="en-US" w:eastAsia="zh-CN"/>
        </w:rPr>
      </w:pPr>
      <w:bookmarkStart w:id="128" w:name="_Ref108794348"/>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5</w:t>
      </w:r>
      <w:r>
        <w:rPr>
          <w:color w:val="auto"/>
        </w:rPr>
        <w:fldChar w:fldCharType="end"/>
      </w:r>
      <w:bookmarkEnd w:id="128"/>
      <w:r>
        <w:rPr>
          <w:rFonts w:hint="eastAsia"/>
          <w:color w:val="auto"/>
          <w:lang w:val="en-US" w:eastAsia="zh-CN"/>
        </w:rPr>
        <w:t>回用水</w:t>
      </w:r>
      <w:r>
        <w:rPr>
          <w:color w:val="auto"/>
        </w:rPr>
        <w:t>监测</w:t>
      </w:r>
      <w:r>
        <w:rPr>
          <w:rFonts w:hint="eastAsia"/>
          <w:color w:val="auto"/>
          <w:lang w:val="en-US" w:eastAsia="zh-CN"/>
        </w:rPr>
        <w:t>统计表</w:t>
      </w:r>
    </w:p>
    <w:tbl>
      <w:tblPr>
        <w:tblStyle w:val="1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637"/>
        <w:gridCol w:w="969"/>
        <w:gridCol w:w="866"/>
        <w:gridCol w:w="777"/>
        <w:gridCol w:w="704"/>
        <w:gridCol w:w="704"/>
        <w:gridCol w:w="704"/>
        <w:gridCol w:w="704"/>
        <w:gridCol w:w="704"/>
        <w:gridCol w:w="780"/>
        <w:gridCol w:w="964"/>
      </w:tblGrid>
      <w:tr w14:paraId="51F0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20" w:hRule="atLeast"/>
        </w:trPr>
        <w:tc>
          <w:tcPr>
            <w:tcW w:w="374" w:type="pct"/>
            <w:shd w:val="clear" w:color="auto" w:fill="FFFFFF"/>
            <w:vAlign w:val="center"/>
          </w:tcPr>
          <w:p w14:paraId="31C5A69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bookmarkStart w:id="129" w:name="OLE_LINK1"/>
            <w:r>
              <w:rPr>
                <w:rFonts w:hint="eastAsia" w:ascii="Times New Roman" w:hAnsi="Times New Roman" w:eastAsia="仿宋_GB2312" w:cs="Times New Roman"/>
                <w:color w:val="000000"/>
                <w:spacing w:val="-11"/>
                <w:kern w:val="0"/>
                <w:sz w:val="21"/>
                <w:szCs w:val="21"/>
                <w:lang w:val="en-US" w:eastAsia="zh-CN" w:bidi="ar-SA"/>
              </w:rPr>
              <w:t>采样点位</w:t>
            </w:r>
          </w:p>
        </w:tc>
        <w:tc>
          <w:tcPr>
            <w:tcW w:w="569" w:type="pct"/>
            <w:shd w:val="clear" w:color="auto" w:fill="FFFFFF"/>
            <w:vAlign w:val="center"/>
          </w:tcPr>
          <w:p w14:paraId="02EC45C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检测项目</w:t>
            </w:r>
          </w:p>
        </w:tc>
        <w:tc>
          <w:tcPr>
            <w:tcW w:w="508" w:type="pct"/>
            <w:shd w:val="clear" w:color="auto" w:fill="FFFFFF"/>
            <w:vAlign w:val="center"/>
          </w:tcPr>
          <w:p w14:paraId="1068910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单位</w:t>
            </w:r>
          </w:p>
        </w:tc>
        <w:tc>
          <w:tcPr>
            <w:tcW w:w="456" w:type="pct"/>
            <w:shd w:val="clear" w:color="auto" w:fill="FFFFFF"/>
            <w:vAlign w:val="center"/>
          </w:tcPr>
          <w:p w14:paraId="335AF2A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标准限值</w:t>
            </w:r>
          </w:p>
        </w:tc>
        <w:tc>
          <w:tcPr>
            <w:tcW w:w="413" w:type="pct"/>
            <w:shd w:val="clear" w:color="auto" w:fill="FFFFFF"/>
            <w:vAlign w:val="center"/>
          </w:tcPr>
          <w:p w14:paraId="3459BAA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监测时间</w:t>
            </w:r>
          </w:p>
        </w:tc>
        <w:tc>
          <w:tcPr>
            <w:tcW w:w="413" w:type="pct"/>
            <w:shd w:val="clear" w:color="auto" w:fill="FFFFFF"/>
            <w:vAlign w:val="center"/>
          </w:tcPr>
          <w:p w14:paraId="1203DCD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第1次</w:t>
            </w:r>
          </w:p>
        </w:tc>
        <w:tc>
          <w:tcPr>
            <w:tcW w:w="413" w:type="pct"/>
            <w:shd w:val="clear" w:color="auto" w:fill="FFFFFF"/>
            <w:vAlign w:val="center"/>
          </w:tcPr>
          <w:p w14:paraId="611AD32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第2次</w:t>
            </w:r>
          </w:p>
        </w:tc>
        <w:tc>
          <w:tcPr>
            <w:tcW w:w="413" w:type="pct"/>
            <w:shd w:val="clear" w:color="auto" w:fill="FFFFFF"/>
            <w:vAlign w:val="center"/>
          </w:tcPr>
          <w:p w14:paraId="7CAA2F2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第3次</w:t>
            </w:r>
          </w:p>
        </w:tc>
        <w:tc>
          <w:tcPr>
            <w:tcW w:w="413" w:type="pct"/>
            <w:shd w:val="clear" w:color="auto" w:fill="FFFFFF"/>
            <w:vAlign w:val="center"/>
          </w:tcPr>
          <w:p w14:paraId="3401D6C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第4次</w:t>
            </w:r>
          </w:p>
        </w:tc>
        <w:tc>
          <w:tcPr>
            <w:tcW w:w="458" w:type="pct"/>
            <w:shd w:val="clear" w:color="auto" w:fill="FFFFFF"/>
            <w:vAlign w:val="center"/>
          </w:tcPr>
          <w:p w14:paraId="3E81679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日均值</w:t>
            </w:r>
          </w:p>
        </w:tc>
        <w:tc>
          <w:tcPr>
            <w:tcW w:w="566" w:type="pct"/>
            <w:shd w:val="clear" w:color="auto" w:fill="FFFFFF"/>
            <w:vAlign w:val="center"/>
          </w:tcPr>
          <w:p w14:paraId="47DF6A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是否达标</w:t>
            </w:r>
          </w:p>
        </w:tc>
      </w:tr>
      <w:tr w14:paraId="45AD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0" w:hRule="atLeast"/>
        </w:trPr>
        <w:tc>
          <w:tcPr>
            <w:tcW w:w="374" w:type="pct"/>
            <w:vMerge w:val="restart"/>
            <w:shd w:val="clear" w:color="auto" w:fill="FFFFFF"/>
            <w:vAlign w:val="center"/>
          </w:tcPr>
          <w:p w14:paraId="40B5409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回用水箱出口FS1</w:t>
            </w:r>
          </w:p>
        </w:tc>
        <w:tc>
          <w:tcPr>
            <w:tcW w:w="569" w:type="pct"/>
            <w:shd w:val="clear" w:color="auto" w:fill="FFFFFF"/>
            <w:vAlign w:val="center"/>
          </w:tcPr>
          <w:p w14:paraId="14B07BC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pH值</w:t>
            </w:r>
          </w:p>
        </w:tc>
        <w:tc>
          <w:tcPr>
            <w:tcW w:w="508" w:type="pct"/>
            <w:shd w:val="clear" w:color="auto" w:fill="FFFFFF"/>
            <w:vAlign w:val="center"/>
          </w:tcPr>
          <w:p w14:paraId="47764A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无量纲</w:t>
            </w:r>
          </w:p>
        </w:tc>
        <w:tc>
          <w:tcPr>
            <w:tcW w:w="456" w:type="pct"/>
            <w:shd w:val="clear" w:color="auto" w:fill="FFFFFF"/>
            <w:vAlign w:val="center"/>
          </w:tcPr>
          <w:p w14:paraId="197167F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6.0~9.0</w:t>
            </w:r>
          </w:p>
        </w:tc>
        <w:tc>
          <w:tcPr>
            <w:tcW w:w="413" w:type="pct"/>
            <w:vMerge w:val="restart"/>
            <w:shd w:val="clear" w:color="auto" w:fill="FFFFFF"/>
            <w:vAlign w:val="center"/>
          </w:tcPr>
          <w:p w14:paraId="248DD50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2025年7月16日</w:t>
            </w:r>
          </w:p>
        </w:tc>
        <w:tc>
          <w:tcPr>
            <w:tcW w:w="413" w:type="pct"/>
            <w:shd w:val="clear" w:color="auto" w:fill="FFFFFF"/>
            <w:vAlign w:val="center"/>
          </w:tcPr>
          <w:p w14:paraId="1A108EE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7.1</w:t>
            </w:r>
          </w:p>
        </w:tc>
        <w:tc>
          <w:tcPr>
            <w:tcW w:w="413" w:type="pct"/>
            <w:shd w:val="clear" w:color="auto" w:fill="FFFFFF"/>
            <w:vAlign w:val="center"/>
          </w:tcPr>
          <w:p w14:paraId="09BFC2A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7.1</w:t>
            </w:r>
          </w:p>
        </w:tc>
        <w:tc>
          <w:tcPr>
            <w:tcW w:w="413" w:type="pct"/>
            <w:shd w:val="clear" w:color="auto" w:fill="FFFFFF"/>
            <w:vAlign w:val="center"/>
          </w:tcPr>
          <w:p w14:paraId="525E09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w:t>
            </w:r>
          </w:p>
        </w:tc>
        <w:tc>
          <w:tcPr>
            <w:tcW w:w="413" w:type="pct"/>
            <w:shd w:val="clear" w:color="auto" w:fill="FFFFFF"/>
            <w:vAlign w:val="center"/>
          </w:tcPr>
          <w:p w14:paraId="73EE1EA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w:t>
            </w:r>
          </w:p>
        </w:tc>
        <w:tc>
          <w:tcPr>
            <w:tcW w:w="458" w:type="pct"/>
            <w:shd w:val="clear" w:color="auto" w:fill="FFFFFF"/>
            <w:vAlign w:val="center"/>
          </w:tcPr>
          <w:p w14:paraId="64B3149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7.0~7.1</w:t>
            </w:r>
          </w:p>
        </w:tc>
        <w:tc>
          <w:tcPr>
            <w:tcW w:w="566" w:type="pct"/>
            <w:shd w:val="clear" w:color="auto" w:fill="FFFFFF"/>
            <w:vAlign w:val="center"/>
          </w:tcPr>
          <w:p w14:paraId="1807E8B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3247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0121AB4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7F45E00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浊度</w:t>
            </w:r>
          </w:p>
        </w:tc>
        <w:tc>
          <w:tcPr>
            <w:tcW w:w="508" w:type="pct"/>
            <w:shd w:val="clear" w:color="auto" w:fill="FFFFFF"/>
            <w:vAlign w:val="center"/>
          </w:tcPr>
          <w:p w14:paraId="749F2FB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NTU</w:t>
            </w:r>
          </w:p>
        </w:tc>
        <w:tc>
          <w:tcPr>
            <w:tcW w:w="456" w:type="pct"/>
            <w:shd w:val="clear" w:color="auto" w:fill="FFFFFF"/>
            <w:vAlign w:val="center"/>
          </w:tcPr>
          <w:p w14:paraId="0505A45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vMerge w:val="continue"/>
            <w:shd w:val="clear" w:color="auto" w:fill="FFFFFF"/>
            <w:vAlign w:val="center"/>
          </w:tcPr>
          <w:p w14:paraId="0B40195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1DCF9A0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1.25</w:t>
            </w:r>
          </w:p>
        </w:tc>
        <w:tc>
          <w:tcPr>
            <w:tcW w:w="413" w:type="pct"/>
            <w:shd w:val="clear" w:color="auto" w:fill="FFFFFF"/>
            <w:vAlign w:val="center"/>
          </w:tcPr>
          <w:p w14:paraId="0D42C26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1.27</w:t>
            </w:r>
          </w:p>
        </w:tc>
        <w:tc>
          <w:tcPr>
            <w:tcW w:w="413" w:type="pct"/>
            <w:shd w:val="clear" w:color="auto" w:fill="FFFFFF"/>
            <w:vAlign w:val="center"/>
          </w:tcPr>
          <w:p w14:paraId="5AFAF46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1.21</w:t>
            </w:r>
          </w:p>
        </w:tc>
        <w:tc>
          <w:tcPr>
            <w:tcW w:w="413" w:type="pct"/>
            <w:shd w:val="clear" w:color="auto" w:fill="FFFFFF"/>
            <w:vAlign w:val="center"/>
          </w:tcPr>
          <w:p w14:paraId="617D6D6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1.24</w:t>
            </w:r>
          </w:p>
        </w:tc>
        <w:tc>
          <w:tcPr>
            <w:tcW w:w="458" w:type="pct"/>
            <w:shd w:val="clear" w:color="auto" w:fill="FFFFFF"/>
            <w:vAlign w:val="center"/>
          </w:tcPr>
          <w:p w14:paraId="41E761B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1.24</w:t>
            </w:r>
          </w:p>
        </w:tc>
        <w:tc>
          <w:tcPr>
            <w:tcW w:w="566" w:type="pct"/>
            <w:shd w:val="clear" w:color="auto" w:fill="FFFFFF"/>
            <w:vAlign w:val="center"/>
          </w:tcPr>
          <w:p w14:paraId="7E05C6D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204D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3B4D519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396895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悬浮物</w:t>
            </w:r>
          </w:p>
        </w:tc>
        <w:tc>
          <w:tcPr>
            <w:tcW w:w="508" w:type="pct"/>
            <w:shd w:val="clear" w:color="auto" w:fill="FFFFFF"/>
            <w:vAlign w:val="center"/>
          </w:tcPr>
          <w:p w14:paraId="2644E6F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471944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30</w:t>
            </w:r>
          </w:p>
        </w:tc>
        <w:tc>
          <w:tcPr>
            <w:tcW w:w="413" w:type="pct"/>
            <w:vMerge w:val="continue"/>
            <w:shd w:val="clear" w:color="auto" w:fill="FFFFFF"/>
            <w:vAlign w:val="center"/>
          </w:tcPr>
          <w:p w14:paraId="3817A92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0BEA4BE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shd w:val="clear" w:color="auto" w:fill="FFFFFF"/>
            <w:vAlign w:val="center"/>
          </w:tcPr>
          <w:p w14:paraId="45ACBD8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shd w:val="clear" w:color="auto" w:fill="FFFFFF"/>
            <w:vAlign w:val="center"/>
          </w:tcPr>
          <w:p w14:paraId="0D43AA9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shd w:val="clear" w:color="auto" w:fill="FFFFFF"/>
            <w:vAlign w:val="center"/>
          </w:tcPr>
          <w:p w14:paraId="547DA09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58" w:type="pct"/>
            <w:shd w:val="clear" w:color="auto" w:fill="FFFFFF"/>
            <w:vAlign w:val="center"/>
          </w:tcPr>
          <w:p w14:paraId="2956BB8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566" w:type="pct"/>
            <w:shd w:val="clear" w:color="auto" w:fill="FFFFFF"/>
            <w:vAlign w:val="center"/>
          </w:tcPr>
          <w:p w14:paraId="4FE5543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376D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421EBF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2A71639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化学需氧量</w:t>
            </w:r>
          </w:p>
        </w:tc>
        <w:tc>
          <w:tcPr>
            <w:tcW w:w="508" w:type="pct"/>
            <w:shd w:val="clear" w:color="auto" w:fill="FFFFFF"/>
            <w:vAlign w:val="center"/>
          </w:tcPr>
          <w:p w14:paraId="7C5A3AF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21108CA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50</w:t>
            </w:r>
          </w:p>
        </w:tc>
        <w:tc>
          <w:tcPr>
            <w:tcW w:w="413" w:type="pct"/>
            <w:vMerge w:val="continue"/>
            <w:shd w:val="clear" w:color="auto" w:fill="FFFFFF"/>
            <w:vAlign w:val="center"/>
          </w:tcPr>
          <w:p w14:paraId="7CB9B4B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5A6B5F1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shd w:val="clear" w:color="auto" w:fill="FFFFFF"/>
            <w:vAlign w:val="center"/>
          </w:tcPr>
          <w:p w14:paraId="48F0554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6</w:t>
            </w:r>
          </w:p>
        </w:tc>
        <w:tc>
          <w:tcPr>
            <w:tcW w:w="413" w:type="pct"/>
            <w:shd w:val="clear" w:color="auto" w:fill="FFFFFF"/>
            <w:vAlign w:val="center"/>
          </w:tcPr>
          <w:p w14:paraId="316C414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shd w:val="clear" w:color="auto" w:fill="FFFFFF"/>
            <w:vAlign w:val="center"/>
          </w:tcPr>
          <w:p w14:paraId="62D3030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58" w:type="pct"/>
            <w:shd w:val="clear" w:color="auto" w:fill="FFFFFF"/>
            <w:vAlign w:val="center"/>
          </w:tcPr>
          <w:p w14:paraId="7A2C3D1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566" w:type="pct"/>
            <w:shd w:val="clear" w:color="auto" w:fill="FFFFFF"/>
            <w:vAlign w:val="center"/>
          </w:tcPr>
          <w:p w14:paraId="10A78F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267D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665ABF9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596140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氨氮</w:t>
            </w:r>
          </w:p>
        </w:tc>
        <w:tc>
          <w:tcPr>
            <w:tcW w:w="508" w:type="pct"/>
            <w:shd w:val="clear" w:color="auto" w:fill="FFFFFF"/>
            <w:vAlign w:val="center"/>
          </w:tcPr>
          <w:p w14:paraId="55AD281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74E805F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vMerge w:val="continue"/>
            <w:shd w:val="clear" w:color="auto" w:fill="FFFFFF"/>
            <w:vAlign w:val="center"/>
          </w:tcPr>
          <w:p w14:paraId="3D18644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20A32CD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0.634</w:t>
            </w:r>
          </w:p>
        </w:tc>
        <w:tc>
          <w:tcPr>
            <w:tcW w:w="413" w:type="pct"/>
            <w:shd w:val="clear" w:color="auto" w:fill="FFFFFF"/>
            <w:vAlign w:val="center"/>
          </w:tcPr>
          <w:p w14:paraId="4F0F840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0.624</w:t>
            </w:r>
          </w:p>
        </w:tc>
        <w:tc>
          <w:tcPr>
            <w:tcW w:w="413" w:type="pct"/>
            <w:shd w:val="clear" w:color="auto" w:fill="FFFFFF"/>
            <w:vAlign w:val="center"/>
          </w:tcPr>
          <w:p w14:paraId="7941BD8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0.629</w:t>
            </w:r>
          </w:p>
        </w:tc>
        <w:tc>
          <w:tcPr>
            <w:tcW w:w="413" w:type="pct"/>
            <w:shd w:val="clear" w:color="auto" w:fill="FFFFFF"/>
            <w:vAlign w:val="center"/>
          </w:tcPr>
          <w:p w14:paraId="45D1AF0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0.627</w:t>
            </w:r>
          </w:p>
        </w:tc>
        <w:tc>
          <w:tcPr>
            <w:tcW w:w="458" w:type="pct"/>
            <w:shd w:val="clear" w:color="auto" w:fill="FFFFFF"/>
            <w:vAlign w:val="center"/>
          </w:tcPr>
          <w:p w14:paraId="1A7FE14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0.628</w:t>
            </w:r>
          </w:p>
        </w:tc>
        <w:tc>
          <w:tcPr>
            <w:tcW w:w="566" w:type="pct"/>
            <w:shd w:val="clear" w:color="auto" w:fill="FFFFFF"/>
            <w:vAlign w:val="center"/>
          </w:tcPr>
          <w:p w14:paraId="107AB50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3D98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0363441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2CB247E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总磷</w:t>
            </w:r>
          </w:p>
        </w:tc>
        <w:tc>
          <w:tcPr>
            <w:tcW w:w="508" w:type="pct"/>
            <w:shd w:val="clear" w:color="auto" w:fill="FFFFFF"/>
            <w:vAlign w:val="center"/>
          </w:tcPr>
          <w:p w14:paraId="378E0C5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8296CD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0.5</w:t>
            </w:r>
          </w:p>
        </w:tc>
        <w:tc>
          <w:tcPr>
            <w:tcW w:w="413" w:type="pct"/>
            <w:vMerge w:val="continue"/>
            <w:shd w:val="clear" w:color="auto" w:fill="FFFFFF"/>
            <w:vAlign w:val="center"/>
          </w:tcPr>
          <w:p w14:paraId="6F5AFC8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7C3C4A8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shd w:val="clear" w:color="auto" w:fill="FFFFFF"/>
            <w:vAlign w:val="center"/>
          </w:tcPr>
          <w:p w14:paraId="60FA909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0.02</w:t>
            </w:r>
          </w:p>
        </w:tc>
        <w:tc>
          <w:tcPr>
            <w:tcW w:w="413" w:type="pct"/>
            <w:shd w:val="clear" w:color="auto" w:fill="FFFFFF"/>
            <w:vAlign w:val="center"/>
          </w:tcPr>
          <w:p w14:paraId="191E525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shd w:val="clear" w:color="auto" w:fill="FFFFFF"/>
            <w:vAlign w:val="center"/>
          </w:tcPr>
          <w:p w14:paraId="48A5971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58" w:type="pct"/>
            <w:shd w:val="clear" w:color="auto" w:fill="FFFFFF"/>
            <w:vAlign w:val="center"/>
          </w:tcPr>
          <w:p w14:paraId="4540C22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566" w:type="pct"/>
            <w:shd w:val="clear" w:color="auto" w:fill="FFFFFF"/>
            <w:vAlign w:val="center"/>
          </w:tcPr>
          <w:p w14:paraId="24FE1B7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1C8F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75D17E2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6AC7ED1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总氮</w:t>
            </w:r>
          </w:p>
        </w:tc>
        <w:tc>
          <w:tcPr>
            <w:tcW w:w="508" w:type="pct"/>
            <w:shd w:val="clear" w:color="auto" w:fill="FFFFFF"/>
            <w:vAlign w:val="center"/>
          </w:tcPr>
          <w:p w14:paraId="7BF4087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64F321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15</w:t>
            </w:r>
          </w:p>
        </w:tc>
        <w:tc>
          <w:tcPr>
            <w:tcW w:w="413" w:type="pct"/>
            <w:vMerge w:val="continue"/>
            <w:shd w:val="clear" w:color="auto" w:fill="FFFFFF"/>
            <w:vAlign w:val="center"/>
          </w:tcPr>
          <w:p w14:paraId="394C22D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07B5F92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1.98</w:t>
            </w:r>
          </w:p>
        </w:tc>
        <w:tc>
          <w:tcPr>
            <w:tcW w:w="413" w:type="pct"/>
            <w:shd w:val="clear" w:color="auto" w:fill="FFFFFF"/>
            <w:vAlign w:val="center"/>
          </w:tcPr>
          <w:p w14:paraId="20DFE41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1.62</w:t>
            </w:r>
          </w:p>
        </w:tc>
        <w:tc>
          <w:tcPr>
            <w:tcW w:w="413" w:type="pct"/>
            <w:shd w:val="clear" w:color="auto" w:fill="FFFFFF"/>
            <w:vAlign w:val="center"/>
          </w:tcPr>
          <w:p w14:paraId="480BC2D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2.35</w:t>
            </w:r>
          </w:p>
        </w:tc>
        <w:tc>
          <w:tcPr>
            <w:tcW w:w="413" w:type="pct"/>
            <w:shd w:val="clear" w:color="auto" w:fill="FFFFFF"/>
            <w:vAlign w:val="center"/>
          </w:tcPr>
          <w:p w14:paraId="2DEE38A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2.09</w:t>
            </w:r>
          </w:p>
        </w:tc>
        <w:tc>
          <w:tcPr>
            <w:tcW w:w="458" w:type="pct"/>
            <w:shd w:val="clear" w:color="auto" w:fill="FFFFFF"/>
            <w:vAlign w:val="center"/>
          </w:tcPr>
          <w:p w14:paraId="2F8BA0A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2.01</w:t>
            </w:r>
          </w:p>
        </w:tc>
        <w:tc>
          <w:tcPr>
            <w:tcW w:w="566" w:type="pct"/>
            <w:shd w:val="clear" w:color="auto" w:fill="FFFFFF"/>
            <w:vAlign w:val="center"/>
          </w:tcPr>
          <w:p w14:paraId="5EE380D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35AB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398AFC2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6F51737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电导率</w:t>
            </w:r>
          </w:p>
        </w:tc>
        <w:tc>
          <w:tcPr>
            <w:tcW w:w="508" w:type="pct"/>
            <w:shd w:val="clear" w:color="auto" w:fill="FFFFFF"/>
            <w:vAlign w:val="center"/>
          </w:tcPr>
          <w:p w14:paraId="2BF682A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μS/cm</w:t>
            </w:r>
          </w:p>
        </w:tc>
        <w:tc>
          <w:tcPr>
            <w:tcW w:w="456" w:type="pct"/>
            <w:shd w:val="clear" w:color="auto" w:fill="FFFFFF"/>
            <w:vAlign w:val="center"/>
          </w:tcPr>
          <w:p w14:paraId="4D0F706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200</w:t>
            </w:r>
          </w:p>
        </w:tc>
        <w:tc>
          <w:tcPr>
            <w:tcW w:w="413" w:type="pct"/>
            <w:vMerge w:val="continue"/>
            <w:shd w:val="clear" w:color="auto" w:fill="FFFFFF"/>
            <w:vAlign w:val="center"/>
          </w:tcPr>
          <w:p w14:paraId="338A44F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275D381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1.73</w:t>
            </w:r>
          </w:p>
        </w:tc>
        <w:tc>
          <w:tcPr>
            <w:tcW w:w="413" w:type="pct"/>
            <w:shd w:val="clear" w:color="auto" w:fill="FFFFFF"/>
            <w:vAlign w:val="center"/>
          </w:tcPr>
          <w:p w14:paraId="2067B7B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1.75</w:t>
            </w:r>
          </w:p>
        </w:tc>
        <w:tc>
          <w:tcPr>
            <w:tcW w:w="413" w:type="pct"/>
            <w:shd w:val="clear" w:color="auto" w:fill="FFFFFF"/>
            <w:vAlign w:val="center"/>
          </w:tcPr>
          <w:p w14:paraId="59CACC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1.74</w:t>
            </w:r>
          </w:p>
        </w:tc>
        <w:tc>
          <w:tcPr>
            <w:tcW w:w="413" w:type="pct"/>
            <w:shd w:val="clear" w:color="auto" w:fill="FFFFFF"/>
            <w:vAlign w:val="center"/>
          </w:tcPr>
          <w:p w14:paraId="645B133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1.76</w:t>
            </w:r>
          </w:p>
        </w:tc>
        <w:tc>
          <w:tcPr>
            <w:tcW w:w="458" w:type="pct"/>
            <w:shd w:val="clear" w:color="auto" w:fill="FFFFFF"/>
            <w:vAlign w:val="center"/>
          </w:tcPr>
          <w:p w14:paraId="60B1B6F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1.74</w:t>
            </w:r>
          </w:p>
        </w:tc>
        <w:tc>
          <w:tcPr>
            <w:tcW w:w="566" w:type="pct"/>
            <w:shd w:val="clear" w:color="auto" w:fill="FFFFFF"/>
            <w:vAlign w:val="center"/>
          </w:tcPr>
          <w:p w14:paraId="056CD96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5B5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49E5552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67444B0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石油类</w:t>
            </w:r>
          </w:p>
        </w:tc>
        <w:tc>
          <w:tcPr>
            <w:tcW w:w="508" w:type="pct"/>
            <w:shd w:val="clear" w:color="auto" w:fill="FFFFFF"/>
            <w:vAlign w:val="center"/>
          </w:tcPr>
          <w:p w14:paraId="3EBC6D8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01A1367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vMerge w:val="continue"/>
            <w:shd w:val="clear" w:color="auto" w:fill="FFFFFF"/>
            <w:vAlign w:val="center"/>
          </w:tcPr>
          <w:p w14:paraId="7AC0811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6CF6822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0.08</w:t>
            </w:r>
          </w:p>
        </w:tc>
        <w:tc>
          <w:tcPr>
            <w:tcW w:w="413" w:type="pct"/>
            <w:shd w:val="clear" w:color="auto" w:fill="FFFFFF"/>
            <w:vAlign w:val="center"/>
          </w:tcPr>
          <w:p w14:paraId="5E86A32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0.06</w:t>
            </w:r>
          </w:p>
        </w:tc>
        <w:tc>
          <w:tcPr>
            <w:tcW w:w="413" w:type="pct"/>
            <w:shd w:val="clear" w:color="auto" w:fill="FFFFFF"/>
            <w:vAlign w:val="center"/>
          </w:tcPr>
          <w:p w14:paraId="330300A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0.06</w:t>
            </w:r>
          </w:p>
        </w:tc>
        <w:tc>
          <w:tcPr>
            <w:tcW w:w="413" w:type="pct"/>
            <w:shd w:val="clear" w:color="auto" w:fill="FFFFFF"/>
            <w:vAlign w:val="center"/>
          </w:tcPr>
          <w:p w14:paraId="7EF4B5E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0.06</w:t>
            </w:r>
          </w:p>
        </w:tc>
        <w:tc>
          <w:tcPr>
            <w:tcW w:w="458" w:type="pct"/>
            <w:shd w:val="clear" w:color="auto" w:fill="FFFFFF"/>
            <w:vAlign w:val="center"/>
          </w:tcPr>
          <w:p w14:paraId="663DFE7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0.06</w:t>
            </w:r>
          </w:p>
        </w:tc>
        <w:tc>
          <w:tcPr>
            <w:tcW w:w="566" w:type="pct"/>
            <w:shd w:val="clear" w:color="auto" w:fill="FFFFFF"/>
            <w:vAlign w:val="center"/>
          </w:tcPr>
          <w:p w14:paraId="09165B7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06BC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19479EF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380A882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铜</w:t>
            </w:r>
          </w:p>
        </w:tc>
        <w:tc>
          <w:tcPr>
            <w:tcW w:w="508" w:type="pct"/>
            <w:shd w:val="clear" w:color="auto" w:fill="FFFFFF"/>
            <w:vAlign w:val="center"/>
          </w:tcPr>
          <w:p w14:paraId="66FDCB7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217F55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vMerge w:val="continue"/>
            <w:shd w:val="clear" w:color="auto" w:fill="FFFFFF"/>
            <w:vAlign w:val="center"/>
          </w:tcPr>
          <w:p w14:paraId="1921FF1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4A20FB3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7BD2C71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7FC7DBB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0239010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77DA44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413523C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7C9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13BF372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62306BC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镍</w:t>
            </w:r>
          </w:p>
        </w:tc>
        <w:tc>
          <w:tcPr>
            <w:tcW w:w="508" w:type="pct"/>
            <w:shd w:val="clear" w:color="auto" w:fill="FFFFFF"/>
            <w:vAlign w:val="center"/>
          </w:tcPr>
          <w:p w14:paraId="3824938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8D386A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0.01</w:t>
            </w:r>
          </w:p>
        </w:tc>
        <w:tc>
          <w:tcPr>
            <w:tcW w:w="413" w:type="pct"/>
            <w:vMerge w:val="continue"/>
            <w:shd w:val="clear" w:color="auto" w:fill="FFFFFF"/>
            <w:vAlign w:val="center"/>
          </w:tcPr>
          <w:p w14:paraId="645583B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42A4FB5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448EA50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3A8D59F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72F2A3C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730FFBA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25E9A18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2A8B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0C1BC97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4C58701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铬</w:t>
            </w:r>
          </w:p>
        </w:tc>
        <w:tc>
          <w:tcPr>
            <w:tcW w:w="508" w:type="pct"/>
            <w:shd w:val="clear" w:color="auto" w:fill="FFFFFF"/>
            <w:vAlign w:val="center"/>
          </w:tcPr>
          <w:p w14:paraId="2A578F3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436DD9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0.05</w:t>
            </w:r>
          </w:p>
        </w:tc>
        <w:tc>
          <w:tcPr>
            <w:tcW w:w="413" w:type="pct"/>
            <w:vMerge w:val="continue"/>
            <w:shd w:val="clear" w:color="auto" w:fill="FFFFFF"/>
            <w:vAlign w:val="center"/>
          </w:tcPr>
          <w:p w14:paraId="6711F5B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559ADFB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158B871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5673AC2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7399FF8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37ED83A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528992F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2940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2D3C9A4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0D760D8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pH值</w:t>
            </w:r>
          </w:p>
        </w:tc>
        <w:tc>
          <w:tcPr>
            <w:tcW w:w="508" w:type="pct"/>
            <w:shd w:val="clear" w:color="auto" w:fill="FFFFFF"/>
            <w:vAlign w:val="center"/>
          </w:tcPr>
          <w:p w14:paraId="0D9A796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无量纲</w:t>
            </w:r>
          </w:p>
        </w:tc>
        <w:tc>
          <w:tcPr>
            <w:tcW w:w="456" w:type="pct"/>
            <w:shd w:val="clear" w:color="auto" w:fill="FFFFFF"/>
            <w:vAlign w:val="center"/>
          </w:tcPr>
          <w:p w14:paraId="5D7040B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6.0~9.0</w:t>
            </w:r>
          </w:p>
        </w:tc>
        <w:tc>
          <w:tcPr>
            <w:tcW w:w="413" w:type="pct"/>
            <w:vMerge w:val="restart"/>
            <w:shd w:val="clear" w:color="auto" w:fill="FFFFFF"/>
            <w:vAlign w:val="center"/>
          </w:tcPr>
          <w:p w14:paraId="6E64115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2025年7月17日</w:t>
            </w:r>
          </w:p>
        </w:tc>
        <w:tc>
          <w:tcPr>
            <w:tcW w:w="413" w:type="pct"/>
            <w:shd w:val="clear" w:color="auto" w:fill="FFFFFF"/>
            <w:vAlign w:val="center"/>
          </w:tcPr>
          <w:p w14:paraId="01780EE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w:t>
            </w:r>
          </w:p>
        </w:tc>
        <w:tc>
          <w:tcPr>
            <w:tcW w:w="413" w:type="pct"/>
            <w:shd w:val="clear" w:color="auto" w:fill="FFFFFF"/>
            <w:vAlign w:val="center"/>
          </w:tcPr>
          <w:p w14:paraId="7906EFF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7.1</w:t>
            </w:r>
          </w:p>
        </w:tc>
        <w:tc>
          <w:tcPr>
            <w:tcW w:w="413" w:type="pct"/>
            <w:shd w:val="clear" w:color="auto" w:fill="FFFFFF"/>
            <w:vAlign w:val="center"/>
          </w:tcPr>
          <w:p w14:paraId="028A2C5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w:t>
            </w:r>
          </w:p>
        </w:tc>
        <w:tc>
          <w:tcPr>
            <w:tcW w:w="413" w:type="pct"/>
            <w:shd w:val="clear" w:color="auto" w:fill="FFFFFF"/>
            <w:vAlign w:val="center"/>
          </w:tcPr>
          <w:p w14:paraId="1804499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w:t>
            </w:r>
          </w:p>
        </w:tc>
        <w:tc>
          <w:tcPr>
            <w:tcW w:w="458" w:type="pct"/>
            <w:shd w:val="clear" w:color="auto" w:fill="FFFFFF"/>
            <w:vAlign w:val="center"/>
          </w:tcPr>
          <w:p w14:paraId="7769F4A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7.0~7.1</w:t>
            </w:r>
          </w:p>
        </w:tc>
        <w:tc>
          <w:tcPr>
            <w:tcW w:w="566" w:type="pct"/>
            <w:shd w:val="clear" w:color="auto" w:fill="FFFFFF"/>
            <w:vAlign w:val="center"/>
          </w:tcPr>
          <w:p w14:paraId="37F289A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57D5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35E747A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3B7FC11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浊度</w:t>
            </w:r>
          </w:p>
        </w:tc>
        <w:tc>
          <w:tcPr>
            <w:tcW w:w="508" w:type="pct"/>
            <w:shd w:val="clear" w:color="auto" w:fill="FFFFFF"/>
            <w:vAlign w:val="center"/>
          </w:tcPr>
          <w:p w14:paraId="469411A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NTU</w:t>
            </w:r>
          </w:p>
        </w:tc>
        <w:tc>
          <w:tcPr>
            <w:tcW w:w="456" w:type="pct"/>
            <w:shd w:val="clear" w:color="auto" w:fill="FFFFFF"/>
            <w:vAlign w:val="center"/>
          </w:tcPr>
          <w:p w14:paraId="3737409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vMerge w:val="continue"/>
            <w:shd w:val="clear" w:color="auto" w:fill="FFFFFF"/>
            <w:vAlign w:val="center"/>
          </w:tcPr>
          <w:p w14:paraId="0B1B627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090D49B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1.34</w:t>
            </w:r>
          </w:p>
        </w:tc>
        <w:tc>
          <w:tcPr>
            <w:tcW w:w="413" w:type="pct"/>
            <w:shd w:val="clear" w:color="auto" w:fill="FFFFFF"/>
            <w:vAlign w:val="center"/>
          </w:tcPr>
          <w:p w14:paraId="17639B8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1.37</w:t>
            </w:r>
          </w:p>
        </w:tc>
        <w:tc>
          <w:tcPr>
            <w:tcW w:w="413" w:type="pct"/>
            <w:shd w:val="clear" w:color="auto" w:fill="FFFFFF"/>
            <w:vAlign w:val="center"/>
          </w:tcPr>
          <w:p w14:paraId="2B48456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1.31</w:t>
            </w:r>
          </w:p>
        </w:tc>
        <w:tc>
          <w:tcPr>
            <w:tcW w:w="413" w:type="pct"/>
            <w:shd w:val="clear" w:color="auto" w:fill="FFFFFF"/>
            <w:vAlign w:val="center"/>
          </w:tcPr>
          <w:p w14:paraId="4681623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1.29</w:t>
            </w:r>
          </w:p>
        </w:tc>
        <w:tc>
          <w:tcPr>
            <w:tcW w:w="458" w:type="pct"/>
            <w:shd w:val="clear" w:color="auto" w:fill="FFFFFF"/>
            <w:vAlign w:val="center"/>
          </w:tcPr>
          <w:p w14:paraId="06CF764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1.33</w:t>
            </w:r>
          </w:p>
        </w:tc>
        <w:tc>
          <w:tcPr>
            <w:tcW w:w="566" w:type="pct"/>
            <w:shd w:val="clear" w:color="auto" w:fill="FFFFFF"/>
            <w:vAlign w:val="center"/>
          </w:tcPr>
          <w:p w14:paraId="5E56C38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3641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2DF7248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2596756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悬浮物</w:t>
            </w:r>
          </w:p>
        </w:tc>
        <w:tc>
          <w:tcPr>
            <w:tcW w:w="508" w:type="pct"/>
            <w:shd w:val="clear" w:color="auto" w:fill="FFFFFF"/>
            <w:vAlign w:val="center"/>
          </w:tcPr>
          <w:p w14:paraId="6FE016E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1F5A422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30</w:t>
            </w:r>
          </w:p>
        </w:tc>
        <w:tc>
          <w:tcPr>
            <w:tcW w:w="413" w:type="pct"/>
            <w:vMerge w:val="continue"/>
            <w:shd w:val="clear" w:color="auto" w:fill="FFFFFF"/>
            <w:vAlign w:val="center"/>
          </w:tcPr>
          <w:p w14:paraId="2DD77D6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0D26970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shd w:val="clear" w:color="auto" w:fill="FFFFFF"/>
            <w:vAlign w:val="center"/>
          </w:tcPr>
          <w:p w14:paraId="5362EAD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11</w:t>
            </w:r>
          </w:p>
        </w:tc>
        <w:tc>
          <w:tcPr>
            <w:tcW w:w="413" w:type="pct"/>
            <w:shd w:val="clear" w:color="auto" w:fill="FFFFFF"/>
            <w:vAlign w:val="center"/>
          </w:tcPr>
          <w:p w14:paraId="5F285DB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9</w:t>
            </w:r>
          </w:p>
        </w:tc>
        <w:tc>
          <w:tcPr>
            <w:tcW w:w="413" w:type="pct"/>
            <w:shd w:val="clear" w:color="auto" w:fill="FFFFFF"/>
            <w:vAlign w:val="center"/>
          </w:tcPr>
          <w:p w14:paraId="0E556A9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58" w:type="pct"/>
            <w:shd w:val="clear" w:color="auto" w:fill="FFFFFF"/>
            <w:vAlign w:val="center"/>
          </w:tcPr>
          <w:p w14:paraId="5A97C6E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566" w:type="pct"/>
            <w:shd w:val="clear" w:color="auto" w:fill="FFFFFF"/>
            <w:vAlign w:val="center"/>
          </w:tcPr>
          <w:p w14:paraId="2750FD7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77C6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4B65630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442E0B9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化学需氧量</w:t>
            </w:r>
          </w:p>
        </w:tc>
        <w:tc>
          <w:tcPr>
            <w:tcW w:w="508" w:type="pct"/>
            <w:shd w:val="clear" w:color="auto" w:fill="FFFFFF"/>
            <w:vAlign w:val="center"/>
          </w:tcPr>
          <w:p w14:paraId="207C70A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4A1A0F0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50</w:t>
            </w:r>
          </w:p>
        </w:tc>
        <w:tc>
          <w:tcPr>
            <w:tcW w:w="413" w:type="pct"/>
            <w:vMerge w:val="continue"/>
            <w:shd w:val="clear" w:color="auto" w:fill="FFFFFF"/>
            <w:vAlign w:val="center"/>
          </w:tcPr>
          <w:p w14:paraId="7BE8B92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52E89E0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8</w:t>
            </w:r>
          </w:p>
        </w:tc>
        <w:tc>
          <w:tcPr>
            <w:tcW w:w="413" w:type="pct"/>
            <w:shd w:val="clear" w:color="auto" w:fill="FFFFFF"/>
            <w:vAlign w:val="center"/>
          </w:tcPr>
          <w:p w14:paraId="36B6223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8</w:t>
            </w:r>
          </w:p>
        </w:tc>
        <w:tc>
          <w:tcPr>
            <w:tcW w:w="413" w:type="pct"/>
            <w:shd w:val="clear" w:color="auto" w:fill="FFFFFF"/>
            <w:vAlign w:val="center"/>
          </w:tcPr>
          <w:p w14:paraId="4EF3967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8</w:t>
            </w:r>
          </w:p>
        </w:tc>
        <w:tc>
          <w:tcPr>
            <w:tcW w:w="413" w:type="pct"/>
            <w:shd w:val="clear" w:color="auto" w:fill="FFFFFF"/>
            <w:vAlign w:val="center"/>
          </w:tcPr>
          <w:p w14:paraId="0D456DE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w:t>
            </w:r>
          </w:p>
        </w:tc>
        <w:tc>
          <w:tcPr>
            <w:tcW w:w="458" w:type="pct"/>
            <w:shd w:val="clear" w:color="auto" w:fill="FFFFFF"/>
            <w:vAlign w:val="center"/>
          </w:tcPr>
          <w:p w14:paraId="01B3A3C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8</w:t>
            </w:r>
          </w:p>
        </w:tc>
        <w:tc>
          <w:tcPr>
            <w:tcW w:w="566" w:type="pct"/>
            <w:shd w:val="clear" w:color="auto" w:fill="FFFFFF"/>
            <w:vAlign w:val="center"/>
          </w:tcPr>
          <w:p w14:paraId="681F02E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6915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20FC890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365EA20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氨氮</w:t>
            </w:r>
          </w:p>
        </w:tc>
        <w:tc>
          <w:tcPr>
            <w:tcW w:w="508" w:type="pct"/>
            <w:shd w:val="clear" w:color="auto" w:fill="FFFFFF"/>
            <w:vAlign w:val="center"/>
          </w:tcPr>
          <w:p w14:paraId="6BB5917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5E516C0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w:t>
            </w:r>
          </w:p>
        </w:tc>
        <w:tc>
          <w:tcPr>
            <w:tcW w:w="413" w:type="pct"/>
            <w:vMerge w:val="continue"/>
            <w:shd w:val="clear" w:color="auto" w:fill="FFFFFF"/>
            <w:vAlign w:val="center"/>
          </w:tcPr>
          <w:p w14:paraId="3700BFD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1B03650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335973B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5882604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1E78D32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315878B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5E2EFD6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0AB9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6C518E2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2420264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总磷</w:t>
            </w:r>
          </w:p>
        </w:tc>
        <w:tc>
          <w:tcPr>
            <w:tcW w:w="508" w:type="pct"/>
            <w:shd w:val="clear" w:color="auto" w:fill="FFFFFF"/>
            <w:vAlign w:val="center"/>
          </w:tcPr>
          <w:p w14:paraId="2D07AB8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300E30C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0.5</w:t>
            </w:r>
          </w:p>
        </w:tc>
        <w:tc>
          <w:tcPr>
            <w:tcW w:w="413" w:type="pct"/>
            <w:vMerge w:val="continue"/>
            <w:shd w:val="clear" w:color="auto" w:fill="FFFFFF"/>
            <w:vAlign w:val="center"/>
          </w:tcPr>
          <w:p w14:paraId="1E96D3B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517D5CF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shd w:val="clear" w:color="auto" w:fill="FFFFFF"/>
            <w:vAlign w:val="center"/>
          </w:tcPr>
          <w:p w14:paraId="4F23898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shd w:val="clear" w:color="auto" w:fill="FFFFFF"/>
            <w:vAlign w:val="center"/>
          </w:tcPr>
          <w:p w14:paraId="775885D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0.04</w:t>
            </w:r>
          </w:p>
        </w:tc>
        <w:tc>
          <w:tcPr>
            <w:tcW w:w="413" w:type="pct"/>
            <w:shd w:val="clear" w:color="auto" w:fill="FFFFFF"/>
            <w:vAlign w:val="center"/>
          </w:tcPr>
          <w:p w14:paraId="6431DD3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0.02</w:t>
            </w:r>
          </w:p>
        </w:tc>
        <w:tc>
          <w:tcPr>
            <w:tcW w:w="458" w:type="pct"/>
            <w:shd w:val="clear" w:color="auto" w:fill="FFFFFF"/>
            <w:vAlign w:val="center"/>
          </w:tcPr>
          <w:p w14:paraId="75D8779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566" w:type="pct"/>
            <w:shd w:val="clear" w:color="auto" w:fill="FFFFFF"/>
            <w:vAlign w:val="center"/>
          </w:tcPr>
          <w:p w14:paraId="0207D27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249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052CB77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62A01C3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总氮</w:t>
            </w:r>
          </w:p>
        </w:tc>
        <w:tc>
          <w:tcPr>
            <w:tcW w:w="508" w:type="pct"/>
            <w:shd w:val="clear" w:color="auto" w:fill="FFFFFF"/>
            <w:vAlign w:val="center"/>
          </w:tcPr>
          <w:p w14:paraId="1863130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5B624F3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15</w:t>
            </w:r>
          </w:p>
        </w:tc>
        <w:tc>
          <w:tcPr>
            <w:tcW w:w="413" w:type="pct"/>
            <w:vMerge w:val="continue"/>
            <w:shd w:val="clear" w:color="auto" w:fill="FFFFFF"/>
            <w:vAlign w:val="center"/>
          </w:tcPr>
          <w:p w14:paraId="218B7FE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207D0FA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0.24</w:t>
            </w:r>
          </w:p>
        </w:tc>
        <w:tc>
          <w:tcPr>
            <w:tcW w:w="413" w:type="pct"/>
            <w:shd w:val="clear" w:color="auto" w:fill="FFFFFF"/>
            <w:vAlign w:val="center"/>
          </w:tcPr>
          <w:p w14:paraId="197DA8E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0.26</w:t>
            </w:r>
          </w:p>
        </w:tc>
        <w:tc>
          <w:tcPr>
            <w:tcW w:w="413" w:type="pct"/>
            <w:shd w:val="clear" w:color="auto" w:fill="FFFFFF"/>
            <w:vAlign w:val="center"/>
          </w:tcPr>
          <w:p w14:paraId="38C779D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0.22</w:t>
            </w:r>
          </w:p>
        </w:tc>
        <w:tc>
          <w:tcPr>
            <w:tcW w:w="413" w:type="pct"/>
            <w:shd w:val="clear" w:color="auto" w:fill="FFFFFF"/>
            <w:vAlign w:val="center"/>
          </w:tcPr>
          <w:p w14:paraId="6F00A6B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0.29</w:t>
            </w:r>
          </w:p>
        </w:tc>
        <w:tc>
          <w:tcPr>
            <w:tcW w:w="458" w:type="pct"/>
            <w:shd w:val="clear" w:color="auto" w:fill="FFFFFF"/>
            <w:vAlign w:val="center"/>
          </w:tcPr>
          <w:p w14:paraId="7A51E88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0.25</w:t>
            </w:r>
          </w:p>
        </w:tc>
        <w:tc>
          <w:tcPr>
            <w:tcW w:w="566" w:type="pct"/>
            <w:shd w:val="clear" w:color="auto" w:fill="FFFFFF"/>
            <w:vAlign w:val="center"/>
          </w:tcPr>
          <w:p w14:paraId="0CE830D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F36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5FB791D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4B1F3E1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电导率</w:t>
            </w:r>
          </w:p>
        </w:tc>
        <w:tc>
          <w:tcPr>
            <w:tcW w:w="508" w:type="pct"/>
            <w:shd w:val="clear" w:color="auto" w:fill="FFFFFF"/>
            <w:vAlign w:val="center"/>
          </w:tcPr>
          <w:p w14:paraId="26EEBCF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μS/cm</w:t>
            </w:r>
          </w:p>
        </w:tc>
        <w:tc>
          <w:tcPr>
            <w:tcW w:w="456" w:type="pct"/>
            <w:shd w:val="clear" w:color="auto" w:fill="FFFFFF"/>
            <w:vAlign w:val="center"/>
          </w:tcPr>
          <w:p w14:paraId="5E265FF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200</w:t>
            </w:r>
          </w:p>
        </w:tc>
        <w:tc>
          <w:tcPr>
            <w:tcW w:w="413" w:type="pct"/>
            <w:vMerge w:val="continue"/>
            <w:shd w:val="clear" w:color="auto" w:fill="FFFFFF"/>
            <w:vAlign w:val="center"/>
          </w:tcPr>
          <w:p w14:paraId="078B5EF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396DB92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1.78</w:t>
            </w:r>
          </w:p>
        </w:tc>
        <w:tc>
          <w:tcPr>
            <w:tcW w:w="413" w:type="pct"/>
            <w:shd w:val="clear" w:color="auto" w:fill="FFFFFF"/>
            <w:vAlign w:val="center"/>
          </w:tcPr>
          <w:p w14:paraId="70F2068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1.77</w:t>
            </w:r>
          </w:p>
        </w:tc>
        <w:tc>
          <w:tcPr>
            <w:tcW w:w="413" w:type="pct"/>
            <w:shd w:val="clear" w:color="auto" w:fill="FFFFFF"/>
            <w:vAlign w:val="center"/>
          </w:tcPr>
          <w:p w14:paraId="62A17EE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1.79</w:t>
            </w:r>
          </w:p>
        </w:tc>
        <w:tc>
          <w:tcPr>
            <w:tcW w:w="413" w:type="pct"/>
            <w:shd w:val="clear" w:color="auto" w:fill="FFFFFF"/>
            <w:vAlign w:val="center"/>
          </w:tcPr>
          <w:p w14:paraId="2C06A0A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1.76</w:t>
            </w:r>
          </w:p>
        </w:tc>
        <w:tc>
          <w:tcPr>
            <w:tcW w:w="458" w:type="pct"/>
            <w:shd w:val="clear" w:color="auto" w:fill="FFFFFF"/>
            <w:vAlign w:val="center"/>
          </w:tcPr>
          <w:p w14:paraId="213E497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1.78</w:t>
            </w:r>
          </w:p>
        </w:tc>
        <w:tc>
          <w:tcPr>
            <w:tcW w:w="566" w:type="pct"/>
            <w:shd w:val="clear" w:color="auto" w:fill="FFFFFF"/>
            <w:vAlign w:val="center"/>
          </w:tcPr>
          <w:p w14:paraId="7B2C644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6E0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26F1BBD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4A3D6FB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石油类</w:t>
            </w:r>
          </w:p>
        </w:tc>
        <w:tc>
          <w:tcPr>
            <w:tcW w:w="508" w:type="pct"/>
            <w:shd w:val="clear" w:color="auto" w:fill="FFFFFF"/>
            <w:vAlign w:val="center"/>
          </w:tcPr>
          <w:p w14:paraId="5B1BA9A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020ADE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w:t>
            </w:r>
          </w:p>
        </w:tc>
        <w:tc>
          <w:tcPr>
            <w:tcW w:w="413" w:type="pct"/>
            <w:vMerge w:val="continue"/>
            <w:shd w:val="clear" w:color="auto" w:fill="FFFFFF"/>
            <w:vAlign w:val="center"/>
          </w:tcPr>
          <w:p w14:paraId="73CC6A7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7972F73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0.30</w:t>
            </w:r>
          </w:p>
        </w:tc>
        <w:tc>
          <w:tcPr>
            <w:tcW w:w="413" w:type="pct"/>
            <w:shd w:val="clear" w:color="auto" w:fill="FFFFFF"/>
            <w:vAlign w:val="center"/>
          </w:tcPr>
          <w:p w14:paraId="5D2DD18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0.29</w:t>
            </w:r>
          </w:p>
        </w:tc>
        <w:tc>
          <w:tcPr>
            <w:tcW w:w="413" w:type="pct"/>
            <w:shd w:val="clear" w:color="auto" w:fill="FFFFFF"/>
            <w:vAlign w:val="center"/>
          </w:tcPr>
          <w:p w14:paraId="19AF840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0.28</w:t>
            </w:r>
          </w:p>
        </w:tc>
        <w:tc>
          <w:tcPr>
            <w:tcW w:w="413" w:type="pct"/>
            <w:shd w:val="clear" w:color="auto" w:fill="FFFFFF"/>
            <w:vAlign w:val="center"/>
          </w:tcPr>
          <w:p w14:paraId="2312E2A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0.30</w:t>
            </w:r>
          </w:p>
        </w:tc>
        <w:tc>
          <w:tcPr>
            <w:tcW w:w="458" w:type="pct"/>
            <w:shd w:val="clear" w:color="auto" w:fill="FFFFFF"/>
            <w:vAlign w:val="center"/>
          </w:tcPr>
          <w:p w14:paraId="720729A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0.29</w:t>
            </w:r>
          </w:p>
        </w:tc>
        <w:tc>
          <w:tcPr>
            <w:tcW w:w="566" w:type="pct"/>
            <w:shd w:val="clear" w:color="auto" w:fill="FFFFFF"/>
            <w:vAlign w:val="center"/>
          </w:tcPr>
          <w:p w14:paraId="7D01C96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04A7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685CAD6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34395AF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铜</w:t>
            </w:r>
          </w:p>
        </w:tc>
        <w:tc>
          <w:tcPr>
            <w:tcW w:w="508" w:type="pct"/>
            <w:shd w:val="clear" w:color="auto" w:fill="FFFFFF"/>
            <w:vAlign w:val="center"/>
          </w:tcPr>
          <w:p w14:paraId="52579BC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23DE667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0.03</w:t>
            </w:r>
          </w:p>
        </w:tc>
        <w:tc>
          <w:tcPr>
            <w:tcW w:w="413" w:type="pct"/>
            <w:vMerge w:val="continue"/>
            <w:shd w:val="clear" w:color="auto" w:fill="FFFFFF"/>
            <w:vAlign w:val="center"/>
          </w:tcPr>
          <w:p w14:paraId="253FC54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27CFC76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6DD6866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5AC5D08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48252B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7933161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5053CD6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4239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3EE3433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02AFC78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镍</w:t>
            </w:r>
          </w:p>
        </w:tc>
        <w:tc>
          <w:tcPr>
            <w:tcW w:w="508" w:type="pct"/>
            <w:shd w:val="clear" w:color="auto" w:fill="FFFFFF"/>
            <w:vAlign w:val="center"/>
          </w:tcPr>
          <w:p w14:paraId="280C89A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5FD4465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0.01</w:t>
            </w:r>
          </w:p>
        </w:tc>
        <w:tc>
          <w:tcPr>
            <w:tcW w:w="413" w:type="pct"/>
            <w:vMerge w:val="continue"/>
            <w:shd w:val="clear" w:color="auto" w:fill="FFFFFF"/>
            <w:vAlign w:val="center"/>
          </w:tcPr>
          <w:p w14:paraId="401E97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06EAE06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46FBBB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23E740A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0BA0D75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29B26D1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3AF19E8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66C9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4" w:type="pct"/>
            <w:vMerge w:val="continue"/>
            <w:shd w:val="clear" w:color="auto" w:fill="FFFFFF"/>
            <w:vAlign w:val="center"/>
          </w:tcPr>
          <w:p w14:paraId="7C672DC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9" w:type="pct"/>
            <w:shd w:val="clear" w:color="auto" w:fill="FFFFFF"/>
            <w:vAlign w:val="center"/>
          </w:tcPr>
          <w:p w14:paraId="235841C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铬</w:t>
            </w:r>
          </w:p>
        </w:tc>
        <w:tc>
          <w:tcPr>
            <w:tcW w:w="508" w:type="pct"/>
            <w:shd w:val="clear" w:color="auto" w:fill="FFFFFF"/>
            <w:vAlign w:val="center"/>
          </w:tcPr>
          <w:p w14:paraId="62B8C7A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456" w:type="pct"/>
            <w:shd w:val="clear" w:color="auto" w:fill="FFFFFF"/>
            <w:vAlign w:val="center"/>
          </w:tcPr>
          <w:p w14:paraId="498C3F4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0.05</w:t>
            </w:r>
          </w:p>
        </w:tc>
        <w:tc>
          <w:tcPr>
            <w:tcW w:w="413" w:type="pct"/>
            <w:vMerge w:val="continue"/>
            <w:shd w:val="clear" w:color="auto" w:fill="FFFFFF"/>
            <w:vAlign w:val="center"/>
          </w:tcPr>
          <w:p w14:paraId="42791BC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413" w:type="pct"/>
            <w:shd w:val="clear" w:color="auto" w:fill="FFFFFF"/>
            <w:vAlign w:val="center"/>
          </w:tcPr>
          <w:p w14:paraId="3B042E9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3D62816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71C86CD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13" w:type="pct"/>
            <w:shd w:val="clear" w:color="auto" w:fill="FFFFFF"/>
            <w:vAlign w:val="center"/>
          </w:tcPr>
          <w:p w14:paraId="6D8DB2C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458" w:type="pct"/>
            <w:shd w:val="clear" w:color="auto" w:fill="FFFFFF"/>
            <w:vAlign w:val="center"/>
          </w:tcPr>
          <w:p w14:paraId="07496BF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ND</w:t>
            </w:r>
          </w:p>
        </w:tc>
        <w:tc>
          <w:tcPr>
            <w:tcW w:w="566" w:type="pct"/>
            <w:shd w:val="clear" w:color="auto" w:fill="FFFFFF"/>
            <w:vAlign w:val="center"/>
          </w:tcPr>
          <w:p w14:paraId="28005F6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bookmarkEnd w:id="129"/>
    </w:tbl>
    <w:p w14:paraId="39E16E8E">
      <w:pPr>
        <w:ind w:firstLineChars="0"/>
        <w:rPr>
          <w:color w:val="auto"/>
        </w:rPr>
      </w:pPr>
      <w:r>
        <w:rPr>
          <w:rFonts w:hint="eastAsia"/>
          <w:color w:val="auto"/>
          <w:lang w:val="en-US" w:eastAsia="zh-CN"/>
        </w:rPr>
        <w:t>（2）生活废水出口监测情况</w:t>
      </w:r>
    </w:p>
    <w:p w14:paraId="2ACA1556">
      <w:pPr>
        <w:ind w:firstLineChars="0"/>
        <w:rPr>
          <w:rFonts w:hint="eastAsia"/>
          <w:color w:val="auto"/>
          <w:lang w:val="en-US" w:eastAsia="zh-CN"/>
        </w:rPr>
      </w:pPr>
      <w:r>
        <w:rPr>
          <w:rFonts w:hint="eastAsia"/>
          <w:color w:val="auto"/>
        </w:rPr>
        <w:t>2025年7月16-17日，委托江苏鹿华检测科技有限公司对项目</w:t>
      </w:r>
      <w:r>
        <w:rPr>
          <w:rFonts w:hint="eastAsia"/>
          <w:color w:val="auto"/>
          <w:lang w:val="en-US" w:eastAsia="zh-CN"/>
        </w:rPr>
        <w:t>生活废水排口</w:t>
      </w:r>
      <w:r>
        <w:rPr>
          <w:rFonts w:hint="eastAsia"/>
          <w:color w:val="auto"/>
        </w:rPr>
        <w:t>进行了监测。监测期间企业生产工况稳定，生活污水中的pH值、悬浮物、化学需氧量、氨氮、总磷、总氮的排放浓度值均能满足昆山建邦环境投资有限公司花桥污水处理厂接管标准</w:t>
      </w:r>
      <w:r>
        <w:rPr>
          <w:rFonts w:hint="eastAsia"/>
          <w:color w:val="auto"/>
          <w:lang w:eastAsia="zh-CN"/>
        </w:rPr>
        <w:t>。</w:t>
      </w:r>
      <w:r>
        <w:rPr>
          <w:rFonts w:hint="eastAsia"/>
          <w:color w:val="auto"/>
        </w:rPr>
        <w:t>监测结果详见下表</w:t>
      </w:r>
      <w:r>
        <w:rPr>
          <w:rFonts w:hint="eastAsia"/>
          <w:color w:val="auto"/>
          <w:lang w:eastAsia="zh-CN"/>
        </w:rPr>
        <w:t>。</w:t>
      </w:r>
    </w:p>
    <w:p w14:paraId="1E66E048">
      <w:pPr>
        <w:pStyle w:val="25"/>
        <w:bidi w:val="0"/>
        <w:rPr>
          <w:rFonts w:hint="eastAsia" w:eastAsia="仿宋_GB2312"/>
          <w:color w:val="auto"/>
          <w:lang w:val="en-US" w:eastAsia="zh-CN"/>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6</w:t>
      </w:r>
      <w:r>
        <w:rPr>
          <w:color w:val="auto"/>
        </w:rPr>
        <w:fldChar w:fldCharType="end"/>
      </w:r>
      <w:r>
        <w:rPr>
          <w:rFonts w:hint="eastAsia"/>
          <w:color w:val="auto"/>
          <w:lang w:val="en-US" w:eastAsia="zh-CN"/>
        </w:rPr>
        <w:t>生活废水出口</w:t>
      </w:r>
      <w:r>
        <w:rPr>
          <w:color w:val="auto"/>
        </w:rPr>
        <w:t>监测</w:t>
      </w:r>
      <w:r>
        <w:rPr>
          <w:rFonts w:hint="eastAsia"/>
          <w:color w:val="auto"/>
          <w:lang w:val="en-US" w:eastAsia="zh-CN"/>
        </w:rPr>
        <w:t>数据</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108" w:type="dxa"/>
          <w:bottom w:w="0" w:type="dxa"/>
          <w:right w:w="108" w:type="dxa"/>
        </w:tblCellMar>
      </w:tblPr>
      <w:tblGrid>
        <w:gridCol w:w="1161"/>
        <w:gridCol w:w="774"/>
        <w:gridCol w:w="1743"/>
        <w:gridCol w:w="969"/>
        <w:gridCol w:w="1161"/>
        <w:gridCol w:w="1161"/>
        <w:gridCol w:w="1550"/>
      </w:tblGrid>
      <w:tr w14:paraId="46733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72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2A624">
            <w:pPr>
              <w:pStyle w:val="36"/>
              <w:bidi w:val="0"/>
              <w:rPr>
                <w:lang w:val="en-US" w:eastAsia="zh-CN"/>
              </w:rPr>
            </w:pPr>
            <w:r>
              <w:rPr>
                <w:rFonts w:hint="eastAsia"/>
                <w:lang w:val="en-US" w:eastAsia="zh-CN"/>
              </w:rPr>
              <w:t>检测项目</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B9858">
            <w:pPr>
              <w:pStyle w:val="36"/>
              <w:bidi w:val="0"/>
              <w:rPr>
                <w:rFonts w:hint="eastAsia"/>
                <w:lang w:val="en-US" w:eastAsia="zh-CN"/>
              </w:rPr>
            </w:pPr>
            <w:r>
              <w:rPr>
                <w:rFonts w:hint="eastAsia"/>
                <w:lang w:val="en-US" w:eastAsia="zh-CN"/>
              </w:rPr>
              <w:t>单位</w:t>
            </w:r>
          </w:p>
        </w:tc>
        <w:tc>
          <w:tcPr>
            <w:tcW w:w="10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A1B47">
            <w:pPr>
              <w:pStyle w:val="36"/>
              <w:bidi w:val="0"/>
              <w:rPr>
                <w:rFonts w:hint="eastAsia"/>
                <w:lang w:val="en-US" w:eastAsia="zh-CN"/>
              </w:rPr>
            </w:pPr>
            <w:r>
              <w:rPr>
                <w:rFonts w:hint="eastAsia"/>
                <w:lang w:val="en-US" w:eastAsia="zh-CN"/>
              </w:rPr>
              <w:t>采样点位</w:t>
            </w: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2FEE4">
            <w:pPr>
              <w:pStyle w:val="36"/>
              <w:bidi w:val="0"/>
              <w:rPr>
                <w:rFonts w:hint="eastAsia"/>
                <w:lang w:val="en-US" w:eastAsia="zh-CN"/>
              </w:rPr>
            </w:pPr>
            <w:r>
              <w:rPr>
                <w:rFonts w:hint="eastAsia"/>
                <w:lang w:val="en-US" w:eastAsia="zh-CN"/>
              </w:rPr>
              <w:t>标准限值</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28435">
            <w:pPr>
              <w:pStyle w:val="36"/>
              <w:bidi w:val="0"/>
              <w:rPr>
                <w:rFonts w:hint="eastAsia"/>
                <w:lang w:val="en-US" w:eastAsia="zh-CN"/>
              </w:rPr>
            </w:pPr>
            <w:r>
              <w:rPr>
                <w:rFonts w:hint="eastAsia"/>
                <w:lang w:val="en-US" w:eastAsia="zh-CN"/>
              </w:rPr>
              <w:t>7月16日均值</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65926">
            <w:pPr>
              <w:pStyle w:val="36"/>
              <w:bidi w:val="0"/>
              <w:rPr>
                <w:rFonts w:hint="eastAsia"/>
                <w:lang w:val="en-US" w:eastAsia="zh-CN"/>
              </w:rPr>
            </w:pPr>
            <w:r>
              <w:rPr>
                <w:rFonts w:hint="eastAsia"/>
                <w:lang w:val="en-US" w:eastAsia="zh-CN"/>
              </w:rPr>
              <w:t>7月17日均值</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7DC7A">
            <w:pPr>
              <w:pStyle w:val="36"/>
              <w:bidi w:val="0"/>
              <w:rPr>
                <w:rFonts w:hint="eastAsia"/>
                <w:lang w:val="en-US" w:eastAsia="zh-CN"/>
              </w:rPr>
            </w:pPr>
            <w:r>
              <w:rPr>
                <w:rFonts w:hint="eastAsia"/>
                <w:lang w:val="en-US" w:eastAsia="zh-CN"/>
              </w:rPr>
              <w:t>是否达标</w:t>
            </w:r>
          </w:p>
        </w:tc>
      </w:tr>
      <w:tr w14:paraId="4FB4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AE41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pH值</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7517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无量纲</w:t>
            </w:r>
          </w:p>
        </w:tc>
        <w:tc>
          <w:tcPr>
            <w:tcW w:w="1022" w:type="pct"/>
            <w:vMerge w:val="restart"/>
            <w:tcBorders>
              <w:top w:val="single" w:color="000000" w:sz="4" w:space="0"/>
              <w:left w:val="single" w:color="000000" w:sz="4" w:space="0"/>
              <w:right w:val="single" w:color="000000" w:sz="4" w:space="0"/>
            </w:tcBorders>
            <w:shd w:val="clear" w:color="auto" w:fill="FFFFFF"/>
            <w:vAlign w:val="center"/>
          </w:tcPr>
          <w:p w14:paraId="69EBC19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市政接管点（FS2）</w:t>
            </w: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84CF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6.5~9.5</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91CD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7.5~7.6</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7AF5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7.6~7.7</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379E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6845D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C273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悬浮物</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A224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1022" w:type="pct"/>
            <w:vMerge w:val="continue"/>
            <w:tcBorders>
              <w:left w:val="single" w:color="000000" w:sz="4" w:space="0"/>
              <w:right w:val="single" w:color="000000" w:sz="4" w:space="0"/>
            </w:tcBorders>
            <w:shd w:val="clear" w:color="auto" w:fill="FFFFFF"/>
            <w:vAlign w:val="center"/>
          </w:tcPr>
          <w:p w14:paraId="2FDB50F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B3BD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100</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1A98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24</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AFEF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9</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EF8E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2C1C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D167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化学需氧量</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C724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1022" w:type="pct"/>
            <w:vMerge w:val="continue"/>
            <w:tcBorders>
              <w:left w:val="single" w:color="000000" w:sz="4" w:space="0"/>
              <w:right w:val="single" w:color="000000" w:sz="4" w:space="0"/>
            </w:tcBorders>
            <w:shd w:val="clear" w:color="auto" w:fill="FFFFFF"/>
            <w:vAlign w:val="center"/>
          </w:tcPr>
          <w:p w14:paraId="101BD02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7C5A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350</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49B6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276</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C6AC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226</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AF15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08F5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706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氨氮</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B980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1022" w:type="pct"/>
            <w:vMerge w:val="continue"/>
            <w:tcBorders>
              <w:left w:val="single" w:color="000000" w:sz="4" w:space="0"/>
              <w:right w:val="single" w:color="000000" w:sz="4" w:space="0"/>
            </w:tcBorders>
            <w:shd w:val="clear" w:color="auto" w:fill="FFFFFF"/>
            <w:vAlign w:val="center"/>
          </w:tcPr>
          <w:p w14:paraId="4CA1603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E117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45</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E59D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44.2</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0213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27.7</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0EFA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7FAC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35F0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总磷</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576E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1022" w:type="pct"/>
            <w:vMerge w:val="continue"/>
            <w:tcBorders>
              <w:left w:val="single" w:color="000000" w:sz="4" w:space="0"/>
              <w:right w:val="single" w:color="000000" w:sz="4" w:space="0"/>
            </w:tcBorders>
            <w:shd w:val="clear" w:color="auto" w:fill="FFFFFF"/>
            <w:vAlign w:val="center"/>
          </w:tcPr>
          <w:p w14:paraId="44869B3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D5A6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6</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AE87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5.40</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C81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2.60</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F32F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r w14:paraId="75D4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trHeight w:val="280" w:hRule="atLeast"/>
        </w:trPr>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72E9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总氮</w:t>
            </w:r>
          </w:p>
        </w:tc>
        <w:tc>
          <w:tcPr>
            <w:tcW w:w="4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69CA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mg/L</w:t>
            </w:r>
          </w:p>
        </w:tc>
        <w:tc>
          <w:tcPr>
            <w:tcW w:w="1022" w:type="pct"/>
            <w:vMerge w:val="continue"/>
            <w:tcBorders>
              <w:left w:val="single" w:color="000000" w:sz="4" w:space="0"/>
              <w:bottom w:val="single" w:color="000000" w:sz="4" w:space="0"/>
              <w:right w:val="single" w:color="000000" w:sz="4" w:space="0"/>
            </w:tcBorders>
            <w:shd w:val="clear" w:color="auto" w:fill="FFFFFF"/>
            <w:vAlign w:val="center"/>
          </w:tcPr>
          <w:p w14:paraId="28E5804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52B3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50</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1C25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39.0</w:t>
            </w:r>
          </w:p>
        </w:tc>
        <w:tc>
          <w:tcPr>
            <w:tcW w:w="6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AFE0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37.4</w:t>
            </w:r>
          </w:p>
        </w:tc>
        <w:tc>
          <w:tcPr>
            <w:tcW w:w="9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FCA3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达标</w:t>
            </w:r>
          </w:p>
        </w:tc>
      </w:tr>
    </w:tbl>
    <w:p w14:paraId="656A1521">
      <w:pPr>
        <w:bidi w:val="0"/>
        <w:rPr>
          <w:color w:val="FF0000"/>
        </w:rPr>
      </w:pPr>
    </w:p>
    <w:p w14:paraId="03CC125B">
      <w:pPr>
        <w:pStyle w:val="4"/>
        <w:rPr>
          <w:color w:val="auto"/>
        </w:rPr>
      </w:pPr>
      <w:bookmarkStart w:id="130" w:name="_Toc22407"/>
      <w:bookmarkStart w:id="131" w:name="_Toc13183"/>
      <w:r>
        <w:rPr>
          <w:rFonts w:hint="eastAsia"/>
          <w:color w:val="auto"/>
          <w:lang w:val="en-US" w:eastAsia="zh-CN"/>
        </w:rPr>
        <w:t>固体废物产生排放情况</w:t>
      </w:r>
      <w:bookmarkEnd w:id="130"/>
      <w:bookmarkEnd w:id="131"/>
    </w:p>
    <w:p w14:paraId="5E0542A8">
      <w:pPr>
        <w:rPr>
          <w:rFonts w:hint="eastAsia" w:eastAsia="仿宋_GB2312"/>
          <w:color w:val="auto"/>
          <w:lang w:eastAsia="zh-CN"/>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r>
        <w:rPr>
          <w:rFonts w:hint="eastAsia"/>
          <w:color w:val="auto"/>
        </w:rPr>
        <w:t>现有项目产生的危废分类暂存于危废库，委托有资质单位进行处置。现有项目固废产生情况具体见下表</w:t>
      </w:r>
      <w:r>
        <w:rPr>
          <w:rFonts w:hint="eastAsia" w:eastAsia="仿宋_GB2312"/>
          <w:color w:val="auto"/>
          <w:lang w:eastAsia="zh-CN"/>
        </w:rPr>
        <w:t>。</w:t>
      </w:r>
    </w:p>
    <w:p w14:paraId="55C98C62">
      <w:pPr>
        <w:pStyle w:val="25"/>
        <w:bidi w:val="0"/>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7</w:t>
      </w:r>
      <w:r>
        <w:rPr>
          <w:color w:val="auto"/>
        </w:rPr>
        <w:fldChar w:fldCharType="end"/>
      </w:r>
      <w:r>
        <w:rPr>
          <w:color w:val="auto"/>
        </w:rPr>
        <w:t>现有项目固废产生及排放情况一览表</w:t>
      </w:r>
    </w:p>
    <w:tbl>
      <w:tblPr>
        <w:tblStyle w:val="50"/>
        <w:tblW w:w="468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9"/>
        <w:gridCol w:w="1454"/>
        <w:gridCol w:w="582"/>
        <w:gridCol w:w="1721"/>
        <w:gridCol w:w="870"/>
        <w:gridCol w:w="1606"/>
        <w:gridCol w:w="660"/>
        <w:gridCol w:w="626"/>
        <w:gridCol w:w="994"/>
        <w:gridCol w:w="1278"/>
        <w:gridCol w:w="953"/>
        <w:gridCol w:w="1875"/>
      </w:tblGrid>
      <w:tr w14:paraId="282C5D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71" w:type="pct"/>
            <w:vAlign w:val="center"/>
          </w:tcPr>
          <w:p w14:paraId="78BD68C9">
            <w:pPr>
              <w:pStyle w:val="36"/>
              <w:bidi w:val="0"/>
              <w:rPr>
                <w:rFonts w:hint="eastAsia"/>
                <w:lang w:val="en-US" w:eastAsia="zh-CN"/>
              </w:rPr>
            </w:pPr>
            <w:r>
              <w:rPr>
                <w:rFonts w:hint="eastAsia"/>
                <w:lang w:val="en-US" w:eastAsia="zh-CN"/>
              </w:rPr>
              <w:t>序号</w:t>
            </w:r>
          </w:p>
        </w:tc>
        <w:tc>
          <w:tcPr>
            <w:tcW w:w="556" w:type="pct"/>
            <w:vAlign w:val="center"/>
          </w:tcPr>
          <w:p w14:paraId="6F24804A">
            <w:pPr>
              <w:pStyle w:val="36"/>
              <w:bidi w:val="0"/>
              <w:rPr>
                <w:rFonts w:hint="eastAsia"/>
                <w:lang w:val="en-US" w:eastAsia="zh-CN"/>
              </w:rPr>
            </w:pPr>
            <w:r>
              <w:rPr>
                <w:rFonts w:hint="eastAsia"/>
                <w:lang w:val="en-US" w:eastAsia="zh-CN"/>
              </w:rPr>
              <w:t>固废名称</w:t>
            </w:r>
          </w:p>
        </w:tc>
        <w:tc>
          <w:tcPr>
            <w:tcW w:w="222" w:type="pct"/>
            <w:vAlign w:val="center"/>
          </w:tcPr>
          <w:p w14:paraId="78B27787">
            <w:pPr>
              <w:pStyle w:val="36"/>
              <w:bidi w:val="0"/>
              <w:rPr>
                <w:rFonts w:hint="eastAsia"/>
                <w:lang w:val="en-US" w:eastAsia="zh-CN"/>
              </w:rPr>
            </w:pPr>
            <w:r>
              <w:rPr>
                <w:rFonts w:hint="eastAsia"/>
                <w:lang w:val="en-US" w:eastAsia="zh-CN"/>
              </w:rPr>
              <w:t>属性</w:t>
            </w:r>
          </w:p>
        </w:tc>
        <w:tc>
          <w:tcPr>
            <w:tcW w:w="658" w:type="pct"/>
            <w:vAlign w:val="center"/>
          </w:tcPr>
          <w:p w14:paraId="25B55D69">
            <w:pPr>
              <w:pStyle w:val="36"/>
              <w:bidi w:val="0"/>
              <w:rPr>
                <w:rFonts w:hint="eastAsia"/>
                <w:lang w:val="en-US" w:eastAsia="zh-CN"/>
              </w:rPr>
            </w:pPr>
            <w:r>
              <w:rPr>
                <w:rFonts w:hint="eastAsia"/>
                <w:lang w:val="en-US" w:eastAsia="zh-CN"/>
              </w:rPr>
              <w:t>产生工序</w:t>
            </w:r>
          </w:p>
        </w:tc>
        <w:tc>
          <w:tcPr>
            <w:tcW w:w="332" w:type="pct"/>
            <w:vAlign w:val="center"/>
          </w:tcPr>
          <w:p w14:paraId="7ACD3CD7">
            <w:pPr>
              <w:pStyle w:val="36"/>
              <w:bidi w:val="0"/>
              <w:rPr>
                <w:rFonts w:hint="eastAsia"/>
                <w:lang w:val="en-US" w:eastAsia="zh-CN"/>
              </w:rPr>
            </w:pPr>
            <w:r>
              <w:rPr>
                <w:rFonts w:hint="eastAsia"/>
                <w:lang w:val="en-US" w:eastAsia="zh-CN"/>
              </w:rPr>
              <w:t>形态</w:t>
            </w:r>
          </w:p>
        </w:tc>
        <w:tc>
          <w:tcPr>
            <w:tcW w:w="614" w:type="pct"/>
            <w:vAlign w:val="center"/>
          </w:tcPr>
          <w:p w14:paraId="20646C69">
            <w:pPr>
              <w:pStyle w:val="36"/>
              <w:bidi w:val="0"/>
              <w:rPr>
                <w:rFonts w:hint="eastAsia"/>
                <w:lang w:val="en-US" w:eastAsia="zh-CN"/>
              </w:rPr>
            </w:pPr>
            <w:r>
              <w:rPr>
                <w:rFonts w:hint="eastAsia"/>
                <w:lang w:val="en-US" w:eastAsia="zh-CN"/>
              </w:rPr>
              <w:t>主要成分</w:t>
            </w:r>
          </w:p>
        </w:tc>
        <w:tc>
          <w:tcPr>
            <w:tcW w:w="252" w:type="pct"/>
            <w:vAlign w:val="center"/>
          </w:tcPr>
          <w:p w14:paraId="12B9F843">
            <w:pPr>
              <w:pStyle w:val="36"/>
              <w:bidi w:val="0"/>
              <w:rPr>
                <w:rFonts w:hint="eastAsia"/>
                <w:lang w:val="en-US" w:eastAsia="zh-CN"/>
              </w:rPr>
            </w:pPr>
            <w:r>
              <w:rPr>
                <w:rFonts w:hint="eastAsia"/>
                <w:lang w:val="en-US" w:eastAsia="zh-CN"/>
              </w:rPr>
              <w:t>危险特性鉴别方法</w:t>
            </w:r>
          </w:p>
        </w:tc>
        <w:tc>
          <w:tcPr>
            <w:tcW w:w="239" w:type="pct"/>
            <w:vAlign w:val="center"/>
          </w:tcPr>
          <w:p w14:paraId="60A2F8C5">
            <w:pPr>
              <w:pStyle w:val="36"/>
              <w:bidi w:val="0"/>
              <w:rPr>
                <w:rFonts w:hint="eastAsia"/>
                <w:lang w:val="en-US" w:eastAsia="zh-CN"/>
              </w:rPr>
            </w:pPr>
            <w:r>
              <w:rPr>
                <w:rFonts w:hint="eastAsia"/>
                <w:lang w:val="en-US" w:eastAsia="zh-CN"/>
              </w:rPr>
              <w:t>危险特性</w:t>
            </w:r>
          </w:p>
        </w:tc>
        <w:tc>
          <w:tcPr>
            <w:tcW w:w="380" w:type="pct"/>
            <w:vAlign w:val="center"/>
          </w:tcPr>
          <w:p w14:paraId="28360244">
            <w:pPr>
              <w:pStyle w:val="36"/>
              <w:bidi w:val="0"/>
              <w:rPr>
                <w:rFonts w:hint="eastAsia"/>
                <w:lang w:val="en-US" w:eastAsia="zh-CN"/>
              </w:rPr>
            </w:pPr>
            <w:r>
              <w:rPr>
                <w:rFonts w:hint="eastAsia"/>
                <w:lang w:val="en-US" w:eastAsia="zh-CN"/>
              </w:rPr>
              <w:t>废物类别</w:t>
            </w:r>
          </w:p>
        </w:tc>
        <w:tc>
          <w:tcPr>
            <w:tcW w:w="489" w:type="pct"/>
            <w:vAlign w:val="center"/>
          </w:tcPr>
          <w:p w14:paraId="46CA2707">
            <w:pPr>
              <w:pStyle w:val="36"/>
              <w:bidi w:val="0"/>
              <w:rPr>
                <w:rFonts w:hint="eastAsia"/>
                <w:lang w:val="en-US" w:eastAsia="zh-CN"/>
              </w:rPr>
            </w:pPr>
            <w:r>
              <w:rPr>
                <w:rFonts w:hint="eastAsia"/>
                <w:lang w:val="en-US" w:eastAsia="zh-CN"/>
              </w:rPr>
              <w:t>废物代码</w:t>
            </w:r>
          </w:p>
        </w:tc>
        <w:tc>
          <w:tcPr>
            <w:tcW w:w="364" w:type="pct"/>
            <w:vAlign w:val="center"/>
          </w:tcPr>
          <w:p w14:paraId="05AFDDE2">
            <w:pPr>
              <w:pStyle w:val="36"/>
              <w:bidi w:val="0"/>
              <w:rPr>
                <w:rFonts w:hint="eastAsia"/>
                <w:lang w:val="en-US" w:eastAsia="zh-CN"/>
              </w:rPr>
            </w:pPr>
            <w:r>
              <w:rPr>
                <w:rFonts w:hint="eastAsia"/>
                <w:lang w:val="en-US" w:eastAsia="zh-CN"/>
              </w:rPr>
              <w:t>环评估算产生量</w:t>
            </w:r>
          </w:p>
          <w:p w14:paraId="58B8CEFC">
            <w:pPr>
              <w:pStyle w:val="36"/>
              <w:bidi w:val="0"/>
              <w:rPr>
                <w:rFonts w:hint="eastAsia"/>
                <w:lang w:val="en-US" w:eastAsia="zh-CN"/>
              </w:rPr>
            </w:pPr>
            <w:r>
              <w:rPr>
                <w:rFonts w:hint="eastAsia"/>
                <w:lang w:val="en-US" w:eastAsia="zh-CN"/>
              </w:rPr>
              <w:t>（t/a）</w:t>
            </w:r>
          </w:p>
        </w:tc>
        <w:tc>
          <w:tcPr>
            <w:tcW w:w="717" w:type="pct"/>
            <w:vAlign w:val="center"/>
          </w:tcPr>
          <w:p w14:paraId="18E9AEBB">
            <w:pPr>
              <w:pStyle w:val="36"/>
              <w:bidi w:val="0"/>
              <w:rPr>
                <w:rFonts w:hint="eastAsia"/>
                <w:lang w:val="en-US" w:eastAsia="zh-CN"/>
              </w:rPr>
            </w:pPr>
            <w:r>
              <w:rPr>
                <w:rFonts w:hint="eastAsia"/>
                <w:lang w:val="en-US" w:eastAsia="zh-CN"/>
              </w:rPr>
              <w:t>利用处置单位</w:t>
            </w:r>
          </w:p>
        </w:tc>
      </w:tr>
      <w:tr w14:paraId="17C0F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71" w:type="pct"/>
            <w:vAlign w:val="center"/>
          </w:tcPr>
          <w:p w14:paraId="6C9DB201">
            <w:pPr>
              <w:pStyle w:val="26"/>
              <w:bidi w:val="0"/>
              <w:rPr>
                <w:rFonts w:hint="eastAsia"/>
                <w:lang w:val="en-US" w:eastAsia="zh-CN"/>
              </w:rPr>
            </w:pPr>
            <w:r>
              <w:rPr>
                <w:rFonts w:hint="eastAsia"/>
                <w:lang w:val="en-US" w:eastAsia="zh-CN"/>
              </w:rPr>
              <w:t>1.</w:t>
            </w:r>
          </w:p>
        </w:tc>
        <w:tc>
          <w:tcPr>
            <w:tcW w:w="556" w:type="pct"/>
            <w:vAlign w:val="center"/>
          </w:tcPr>
          <w:p w14:paraId="76D67383">
            <w:pPr>
              <w:pStyle w:val="26"/>
              <w:bidi w:val="0"/>
              <w:rPr>
                <w:rFonts w:hint="eastAsia"/>
                <w:lang w:val="en-US" w:eastAsia="zh-CN"/>
              </w:rPr>
            </w:pPr>
            <w:r>
              <w:rPr>
                <w:rFonts w:hint="eastAsia"/>
                <w:lang w:val="en-US" w:eastAsia="zh-CN"/>
              </w:rPr>
              <w:t>含油金属屑</w:t>
            </w:r>
          </w:p>
        </w:tc>
        <w:tc>
          <w:tcPr>
            <w:tcW w:w="222" w:type="pct"/>
            <w:vMerge w:val="restart"/>
            <w:vAlign w:val="center"/>
          </w:tcPr>
          <w:p w14:paraId="4618FAB5">
            <w:pPr>
              <w:pStyle w:val="26"/>
              <w:bidi w:val="0"/>
              <w:rPr>
                <w:rFonts w:hint="eastAsia"/>
                <w:lang w:val="en-US" w:eastAsia="zh-CN"/>
              </w:rPr>
            </w:pPr>
            <w:r>
              <w:rPr>
                <w:rFonts w:hint="eastAsia"/>
                <w:lang w:val="en-US" w:eastAsia="zh-CN"/>
              </w:rPr>
              <w:t>危险废物</w:t>
            </w:r>
          </w:p>
        </w:tc>
        <w:tc>
          <w:tcPr>
            <w:tcW w:w="658" w:type="pct"/>
            <w:vAlign w:val="center"/>
          </w:tcPr>
          <w:p w14:paraId="779930FE">
            <w:pPr>
              <w:pStyle w:val="26"/>
              <w:bidi w:val="0"/>
              <w:rPr>
                <w:rFonts w:hint="eastAsia"/>
                <w:lang w:val="en-US" w:eastAsia="zh-CN"/>
              </w:rPr>
            </w:pPr>
            <w:r>
              <w:rPr>
                <w:rFonts w:hint="eastAsia"/>
                <w:lang w:val="en-US" w:eastAsia="zh-CN"/>
              </w:rPr>
              <w:t>车加工、磨加工、激光雕刻、湿式打磨、双头镗、粗精一体、铜辊研磨</w:t>
            </w:r>
          </w:p>
        </w:tc>
        <w:tc>
          <w:tcPr>
            <w:tcW w:w="332" w:type="pct"/>
            <w:vAlign w:val="center"/>
          </w:tcPr>
          <w:p w14:paraId="0A4ECFCC">
            <w:pPr>
              <w:pStyle w:val="26"/>
              <w:bidi w:val="0"/>
              <w:rPr>
                <w:rFonts w:hint="eastAsia"/>
                <w:lang w:val="en-US" w:eastAsia="zh-CN"/>
              </w:rPr>
            </w:pPr>
            <w:r>
              <w:rPr>
                <w:rFonts w:hint="eastAsia"/>
                <w:lang w:val="en-US" w:eastAsia="zh-CN"/>
              </w:rPr>
              <w:t>固体</w:t>
            </w:r>
          </w:p>
        </w:tc>
        <w:tc>
          <w:tcPr>
            <w:tcW w:w="614" w:type="pct"/>
            <w:vAlign w:val="center"/>
          </w:tcPr>
          <w:p w14:paraId="22C3364F">
            <w:pPr>
              <w:pStyle w:val="26"/>
              <w:bidi w:val="0"/>
              <w:rPr>
                <w:rFonts w:hint="eastAsia"/>
                <w:lang w:val="en-US" w:eastAsia="zh-CN"/>
              </w:rPr>
            </w:pPr>
            <w:r>
              <w:rPr>
                <w:rFonts w:hint="eastAsia"/>
                <w:lang w:val="en-US" w:eastAsia="zh-CN"/>
              </w:rPr>
              <w:t>不锈钢、乳化液</w:t>
            </w:r>
          </w:p>
        </w:tc>
        <w:tc>
          <w:tcPr>
            <w:tcW w:w="252" w:type="pct"/>
            <w:vMerge w:val="restart"/>
            <w:vAlign w:val="center"/>
          </w:tcPr>
          <w:p w14:paraId="4A58B008">
            <w:pPr>
              <w:pStyle w:val="26"/>
              <w:bidi w:val="0"/>
              <w:rPr>
                <w:rFonts w:hint="eastAsia"/>
                <w:lang w:val="en-US" w:eastAsia="zh-CN"/>
              </w:rPr>
            </w:pPr>
            <w:r>
              <w:rPr>
                <w:rFonts w:hint="eastAsia"/>
                <w:lang w:val="en-US" w:eastAsia="zh-CN"/>
              </w:rPr>
              <w:t>《国家危险废物名录》（2025 年）</w:t>
            </w:r>
          </w:p>
        </w:tc>
        <w:tc>
          <w:tcPr>
            <w:tcW w:w="239" w:type="pct"/>
            <w:vAlign w:val="center"/>
          </w:tcPr>
          <w:p w14:paraId="24BC4470">
            <w:pPr>
              <w:pStyle w:val="26"/>
              <w:bidi w:val="0"/>
              <w:rPr>
                <w:rFonts w:hint="eastAsia"/>
                <w:lang w:val="en-US" w:eastAsia="zh-CN"/>
              </w:rPr>
            </w:pPr>
            <w:r>
              <w:rPr>
                <w:rFonts w:hint="eastAsia"/>
                <w:lang w:val="en-US" w:eastAsia="zh-CN"/>
              </w:rPr>
              <w:t>T，I</w:t>
            </w:r>
          </w:p>
        </w:tc>
        <w:tc>
          <w:tcPr>
            <w:tcW w:w="380" w:type="pct"/>
            <w:vAlign w:val="center"/>
          </w:tcPr>
          <w:p w14:paraId="7A39E543">
            <w:pPr>
              <w:pStyle w:val="26"/>
              <w:bidi w:val="0"/>
              <w:rPr>
                <w:rFonts w:hint="eastAsia"/>
                <w:lang w:val="en-US" w:eastAsia="zh-CN"/>
              </w:rPr>
            </w:pPr>
            <w:r>
              <w:rPr>
                <w:rFonts w:hint="eastAsia"/>
                <w:lang w:val="en-US" w:eastAsia="zh-CN"/>
              </w:rPr>
              <w:t>HW08</w:t>
            </w:r>
          </w:p>
        </w:tc>
        <w:tc>
          <w:tcPr>
            <w:tcW w:w="489" w:type="pct"/>
            <w:vAlign w:val="center"/>
          </w:tcPr>
          <w:p w14:paraId="2E679C75">
            <w:pPr>
              <w:pStyle w:val="26"/>
              <w:bidi w:val="0"/>
              <w:rPr>
                <w:rFonts w:hint="eastAsia"/>
                <w:lang w:val="en-US" w:eastAsia="zh-CN"/>
              </w:rPr>
            </w:pPr>
            <w:r>
              <w:rPr>
                <w:rFonts w:hint="eastAsia"/>
                <w:lang w:val="en-US" w:eastAsia="zh-CN"/>
              </w:rPr>
              <w:t>900-200-08</w:t>
            </w:r>
          </w:p>
        </w:tc>
        <w:tc>
          <w:tcPr>
            <w:tcW w:w="364" w:type="pct"/>
            <w:vAlign w:val="center"/>
          </w:tcPr>
          <w:p w14:paraId="15A0A878">
            <w:pPr>
              <w:pStyle w:val="26"/>
              <w:bidi w:val="0"/>
              <w:rPr>
                <w:rFonts w:hint="eastAsia"/>
                <w:lang w:val="en-US" w:eastAsia="zh-CN"/>
              </w:rPr>
            </w:pPr>
            <w:r>
              <w:rPr>
                <w:rFonts w:hint="eastAsia"/>
                <w:lang w:val="en-US" w:eastAsia="zh-CN"/>
              </w:rPr>
              <w:t>15</w:t>
            </w:r>
          </w:p>
        </w:tc>
        <w:tc>
          <w:tcPr>
            <w:tcW w:w="717" w:type="pct"/>
            <w:vMerge w:val="restart"/>
            <w:vAlign w:val="center"/>
          </w:tcPr>
          <w:p w14:paraId="18107DAE">
            <w:pPr>
              <w:pStyle w:val="26"/>
              <w:bidi w:val="0"/>
              <w:rPr>
                <w:rFonts w:hint="eastAsia"/>
                <w:lang w:val="en-US" w:eastAsia="zh-CN"/>
              </w:rPr>
            </w:pPr>
            <w:r>
              <w:rPr>
                <w:rFonts w:hint="eastAsia"/>
                <w:lang w:val="en-US" w:eastAsia="zh-CN"/>
              </w:rPr>
              <w:t>吴江市绿恰固废回收处置有限公司</w:t>
            </w:r>
          </w:p>
        </w:tc>
      </w:tr>
      <w:tr w14:paraId="500A9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1" w:type="pct"/>
            <w:vAlign w:val="center"/>
          </w:tcPr>
          <w:p w14:paraId="1C3AFAD2">
            <w:pPr>
              <w:pStyle w:val="26"/>
              <w:bidi w:val="0"/>
              <w:rPr>
                <w:rFonts w:hint="eastAsia"/>
                <w:lang w:val="en-US" w:eastAsia="zh-CN"/>
              </w:rPr>
            </w:pPr>
            <w:r>
              <w:rPr>
                <w:rFonts w:hint="eastAsia"/>
                <w:lang w:val="en-US" w:eastAsia="zh-CN"/>
              </w:rPr>
              <w:t>2.</w:t>
            </w:r>
          </w:p>
        </w:tc>
        <w:tc>
          <w:tcPr>
            <w:tcW w:w="556" w:type="pct"/>
            <w:vAlign w:val="center"/>
          </w:tcPr>
          <w:p w14:paraId="4079BDEA">
            <w:pPr>
              <w:pStyle w:val="26"/>
              <w:bidi w:val="0"/>
              <w:rPr>
                <w:rFonts w:hint="eastAsia"/>
                <w:lang w:val="en-US" w:eastAsia="zh-CN"/>
              </w:rPr>
            </w:pPr>
            <w:r>
              <w:rPr>
                <w:rFonts w:hint="eastAsia"/>
                <w:lang w:val="en-US" w:eastAsia="zh-CN"/>
              </w:rPr>
              <w:t>废乳化液</w:t>
            </w:r>
          </w:p>
        </w:tc>
        <w:tc>
          <w:tcPr>
            <w:tcW w:w="222" w:type="pct"/>
            <w:vMerge w:val="continue"/>
            <w:vAlign w:val="center"/>
          </w:tcPr>
          <w:p w14:paraId="72355124">
            <w:pPr>
              <w:pStyle w:val="26"/>
              <w:bidi w:val="0"/>
              <w:rPr>
                <w:rFonts w:hint="eastAsia"/>
                <w:lang w:val="en-US" w:eastAsia="zh-CN"/>
              </w:rPr>
            </w:pPr>
          </w:p>
        </w:tc>
        <w:tc>
          <w:tcPr>
            <w:tcW w:w="658" w:type="pct"/>
            <w:vAlign w:val="center"/>
          </w:tcPr>
          <w:p w14:paraId="7C88BF87">
            <w:pPr>
              <w:pStyle w:val="26"/>
              <w:bidi w:val="0"/>
              <w:rPr>
                <w:rFonts w:hint="eastAsia"/>
                <w:lang w:val="en-US" w:eastAsia="zh-CN"/>
              </w:rPr>
            </w:pPr>
            <w:r>
              <w:rPr>
                <w:rFonts w:hint="eastAsia"/>
                <w:lang w:val="en-US" w:eastAsia="zh-CN"/>
              </w:rPr>
              <w:t>车加工、粗精一体、磨加工</w:t>
            </w:r>
          </w:p>
        </w:tc>
        <w:tc>
          <w:tcPr>
            <w:tcW w:w="332" w:type="pct"/>
            <w:vAlign w:val="center"/>
          </w:tcPr>
          <w:p w14:paraId="18BBC86D">
            <w:pPr>
              <w:pStyle w:val="26"/>
              <w:bidi w:val="0"/>
              <w:rPr>
                <w:rFonts w:hint="eastAsia"/>
                <w:lang w:val="en-US" w:eastAsia="zh-CN"/>
              </w:rPr>
            </w:pPr>
            <w:r>
              <w:rPr>
                <w:rFonts w:hint="eastAsia"/>
                <w:lang w:val="en-US" w:eastAsia="zh-CN"/>
              </w:rPr>
              <w:t>液体</w:t>
            </w:r>
          </w:p>
        </w:tc>
        <w:tc>
          <w:tcPr>
            <w:tcW w:w="614" w:type="pct"/>
            <w:vAlign w:val="center"/>
          </w:tcPr>
          <w:p w14:paraId="2E6AE5D3">
            <w:pPr>
              <w:pStyle w:val="26"/>
              <w:bidi w:val="0"/>
              <w:rPr>
                <w:rFonts w:hint="eastAsia"/>
                <w:lang w:val="en-US" w:eastAsia="zh-CN"/>
              </w:rPr>
            </w:pPr>
            <w:r>
              <w:rPr>
                <w:rFonts w:hint="eastAsia"/>
                <w:lang w:val="en-US" w:eastAsia="zh-CN"/>
              </w:rPr>
              <w:t>乳化液、水</w:t>
            </w:r>
          </w:p>
        </w:tc>
        <w:tc>
          <w:tcPr>
            <w:tcW w:w="252" w:type="pct"/>
            <w:vMerge w:val="continue"/>
            <w:vAlign w:val="center"/>
          </w:tcPr>
          <w:p w14:paraId="6D4635E1">
            <w:pPr>
              <w:pStyle w:val="26"/>
              <w:bidi w:val="0"/>
              <w:rPr>
                <w:rFonts w:hint="eastAsia"/>
                <w:lang w:val="en-US" w:eastAsia="zh-CN"/>
              </w:rPr>
            </w:pPr>
          </w:p>
        </w:tc>
        <w:tc>
          <w:tcPr>
            <w:tcW w:w="239" w:type="pct"/>
            <w:vAlign w:val="center"/>
          </w:tcPr>
          <w:p w14:paraId="31358A1F">
            <w:pPr>
              <w:pStyle w:val="26"/>
              <w:bidi w:val="0"/>
              <w:rPr>
                <w:rFonts w:hint="eastAsia"/>
                <w:lang w:val="en-US" w:eastAsia="zh-CN"/>
              </w:rPr>
            </w:pPr>
            <w:r>
              <w:rPr>
                <w:rFonts w:hint="eastAsia"/>
                <w:lang w:val="en-US" w:eastAsia="zh-CN"/>
              </w:rPr>
              <w:t>T</w:t>
            </w:r>
          </w:p>
        </w:tc>
        <w:tc>
          <w:tcPr>
            <w:tcW w:w="380" w:type="pct"/>
            <w:vAlign w:val="center"/>
          </w:tcPr>
          <w:p w14:paraId="5CFE4625">
            <w:pPr>
              <w:pStyle w:val="26"/>
              <w:bidi w:val="0"/>
              <w:rPr>
                <w:rFonts w:hint="eastAsia"/>
                <w:lang w:val="en-US" w:eastAsia="zh-CN"/>
              </w:rPr>
            </w:pPr>
            <w:r>
              <w:rPr>
                <w:rFonts w:hint="eastAsia"/>
                <w:lang w:val="en-US" w:eastAsia="zh-CN"/>
              </w:rPr>
              <w:t>HW09</w:t>
            </w:r>
          </w:p>
        </w:tc>
        <w:tc>
          <w:tcPr>
            <w:tcW w:w="489" w:type="pct"/>
            <w:vAlign w:val="center"/>
          </w:tcPr>
          <w:p w14:paraId="3B40A40E">
            <w:pPr>
              <w:pStyle w:val="26"/>
              <w:bidi w:val="0"/>
              <w:rPr>
                <w:rFonts w:hint="eastAsia"/>
                <w:lang w:val="en-US" w:eastAsia="zh-CN"/>
              </w:rPr>
            </w:pPr>
            <w:r>
              <w:rPr>
                <w:rFonts w:hint="eastAsia"/>
                <w:lang w:val="en-US" w:eastAsia="zh-CN"/>
              </w:rPr>
              <w:t>900-006-09</w:t>
            </w:r>
          </w:p>
        </w:tc>
        <w:tc>
          <w:tcPr>
            <w:tcW w:w="364" w:type="pct"/>
            <w:vAlign w:val="center"/>
          </w:tcPr>
          <w:p w14:paraId="70A451EF">
            <w:pPr>
              <w:pStyle w:val="26"/>
              <w:bidi w:val="0"/>
              <w:rPr>
                <w:rFonts w:hint="eastAsia"/>
                <w:lang w:val="en-US" w:eastAsia="zh-CN"/>
              </w:rPr>
            </w:pPr>
            <w:r>
              <w:rPr>
                <w:rFonts w:hint="eastAsia"/>
                <w:lang w:val="en-US" w:eastAsia="zh-CN"/>
              </w:rPr>
              <w:t>36</w:t>
            </w:r>
          </w:p>
        </w:tc>
        <w:tc>
          <w:tcPr>
            <w:tcW w:w="717" w:type="pct"/>
            <w:vMerge w:val="continue"/>
            <w:vAlign w:val="center"/>
          </w:tcPr>
          <w:p w14:paraId="57F62453">
            <w:pPr>
              <w:pStyle w:val="26"/>
              <w:bidi w:val="0"/>
              <w:rPr>
                <w:rFonts w:hint="eastAsia"/>
                <w:lang w:val="en-US" w:eastAsia="zh-CN"/>
              </w:rPr>
            </w:pPr>
          </w:p>
        </w:tc>
      </w:tr>
      <w:tr w14:paraId="1EF3E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1B6D4F2B">
            <w:pPr>
              <w:pStyle w:val="26"/>
              <w:bidi w:val="0"/>
              <w:rPr>
                <w:rFonts w:hint="eastAsia"/>
                <w:lang w:val="en-US" w:eastAsia="zh-CN"/>
              </w:rPr>
            </w:pPr>
            <w:r>
              <w:rPr>
                <w:rFonts w:hint="eastAsia"/>
                <w:lang w:val="en-US" w:eastAsia="zh-CN"/>
              </w:rPr>
              <w:t>3.</w:t>
            </w:r>
          </w:p>
        </w:tc>
        <w:tc>
          <w:tcPr>
            <w:tcW w:w="556" w:type="pct"/>
            <w:vAlign w:val="center"/>
          </w:tcPr>
          <w:p w14:paraId="6D9E5E3E">
            <w:pPr>
              <w:pStyle w:val="26"/>
              <w:bidi w:val="0"/>
              <w:rPr>
                <w:rFonts w:hint="eastAsia"/>
                <w:lang w:val="en-US" w:eastAsia="zh-CN"/>
              </w:rPr>
            </w:pPr>
            <w:r>
              <w:rPr>
                <w:rFonts w:hint="eastAsia"/>
                <w:lang w:val="en-US" w:eastAsia="zh-CN"/>
              </w:rPr>
              <w:t>废擦拭物</w:t>
            </w:r>
          </w:p>
        </w:tc>
        <w:tc>
          <w:tcPr>
            <w:tcW w:w="222" w:type="pct"/>
            <w:vMerge w:val="continue"/>
            <w:vAlign w:val="center"/>
          </w:tcPr>
          <w:p w14:paraId="3AEEFA35">
            <w:pPr>
              <w:pStyle w:val="26"/>
              <w:bidi w:val="0"/>
              <w:rPr>
                <w:rFonts w:hint="eastAsia"/>
                <w:lang w:val="en-US" w:eastAsia="zh-CN"/>
              </w:rPr>
            </w:pPr>
          </w:p>
        </w:tc>
        <w:tc>
          <w:tcPr>
            <w:tcW w:w="658" w:type="pct"/>
            <w:vAlign w:val="center"/>
          </w:tcPr>
          <w:p w14:paraId="48E74182">
            <w:pPr>
              <w:pStyle w:val="26"/>
              <w:bidi w:val="0"/>
              <w:rPr>
                <w:rFonts w:hint="eastAsia"/>
                <w:lang w:val="en-US" w:eastAsia="zh-CN"/>
              </w:rPr>
            </w:pPr>
            <w:r>
              <w:rPr>
                <w:rFonts w:hint="eastAsia"/>
                <w:lang w:val="en-US" w:eastAsia="zh-CN"/>
              </w:rPr>
              <w:t>擦拭</w:t>
            </w:r>
          </w:p>
        </w:tc>
        <w:tc>
          <w:tcPr>
            <w:tcW w:w="332" w:type="pct"/>
            <w:vAlign w:val="center"/>
          </w:tcPr>
          <w:p w14:paraId="0393DBD2">
            <w:pPr>
              <w:pStyle w:val="26"/>
              <w:bidi w:val="0"/>
              <w:rPr>
                <w:rFonts w:hint="eastAsia"/>
                <w:lang w:val="en-US" w:eastAsia="zh-CN"/>
              </w:rPr>
            </w:pPr>
            <w:r>
              <w:rPr>
                <w:rFonts w:hint="eastAsia"/>
                <w:lang w:val="en-US" w:eastAsia="zh-CN"/>
              </w:rPr>
              <w:t>固体</w:t>
            </w:r>
          </w:p>
        </w:tc>
        <w:tc>
          <w:tcPr>
            <w:tcW w:w="614" w:type="pct"/>
            <w:vAlign w:val="center"/>
          </w:tcPr>
          <w:p w14:paraId="49305E8F">
            <w:pPr>
              <w:pStyle w:val="26"/>
              <w:bidi w:val="0"/>
              <w:rPr>
                <w:rFonts w:hint="eastAsia"/>
                <w:lang w:val="en-US" w:eastAsia="zh-CN"/>
              </w:rPr>
            </w:pPr>
            <w:r>
              <w:rPr>
                <w:rFonts w:hint="eastAsia"/>
                <w:lang w:val="en-US" w:eastAsia="zh-CN"/>
              </w:rPr>
              <w:t>有机物、擦拭介质</w:t>
            </w:r>
          </w:p>
        </w:tc>
        <w:tc>
          <w:tcPr>
            <w:tcW w:w="252" w:type="pct"/>
            <w:vMerge w:val="continue"/>
            <w:vAlign w:val="center"/>
          </w:tcPr>
          <w:p w14:paraId="57AE12BE">
            <w:pPr>
              <w:pStyle w:val="26"/>
              <w:bidi w:val="0"/>
              <w:rPr>
                <w:rFonts w:hint="eastAsia"/>
                <w:lang w:val="en-US" w:eastAsia="zh-CN"/>
              </w:rPr>
            </w:pPr>
          </w:p>
        </w:tc>
        <w:tc>
          <w:tcPr>
            <w:tcW w:w="239" w:type="pct"/>
            <w:vAlign w:val="center"/>
          </w:tcPr>
          <w:p w14:paraId="6CCA480F">
            <w:pPr>
              <w:pStyle w:val="26"/>
              <w:bidi w:val="0"/>
              <w:rPr>
                <w:rFonts w:hint="eastAsia"/>
                <w:lang w:val="en-US" w:eastAsia="zh-CN"/>
              </w:rPr>
            </w:pPr>
            <w:r>
              <w:rPr>
                <w:rFonts w:hint="eastAsia"/>
                <w:lang w:val="en-US" w:eastAsia="zh-CN"/>
              </w:rPr>
              <w:t>T/In</w:t>
            </w:r>
          </w:p>
        </w:tc>
        <w:tc>
          <w:tcPr>
            <w:tcW w:w="380" w:type="pct"/>
            <w:vAlign w:val="center"/>
          </w:tcPr>
          <w:p w14:paraId="4CA33259">
            <w:pPr>
              <w:pStyle w:val="26"/>
              <w:bidi w:val="0"/>
              <w:rPr>
                <w:rFonts w:hint="eastAsia"/>
                <w:lang w:val="en-US" w:eastAsia="zh-CN"/>
              </w:rPr>
            </w:pPr>
            <w:r>
              <w:rPr>
                <w:rFonts w:hint="eastAsia"/>
                <w:lang w:val="en-US" w:eastAsia="zh-CN"/>
              </w:rPr>
              <w:t>HW49</w:t>
            </w:r>
          </w:p>
        </w:tc>
        <w:tc>
          <w:tcPr>
            <w:tcW w:w="489" w:type="pct"/>
            <w:vAlign w:val="center"/>
          </w:tcPr>
          <w:p w14:paraId="3713A478">
            <w:pPr>
              <w:pStyle w:val="26"/>
              <w:bidi w:val="0"/>
              <w:rPr>
                <w:rFonts w:hint="eastAsia"/>
                <w:lang w:val="en-US" w:eastAsia="zh-CN"/>
              </w:rPr>
            </w:pPr>
            <w:r>
              <w:rPr>
                <w:rFonts w:hint="eastAsia"/>
                <w:lang w:val="en-US" w:eastAsia="zh-CN"/>
              </w:rPr>
              <w:t>900-041-49</w:t>
            </w:r>
          </w:p>
        </w:tc>
        <w:tc>
          <w:tcPr>
            <w:tcW w:w="364" w:type="pct"/>
            <w:vAlign w:val="center"/>
          </w:tcPr>
          <w:p w14:paraId="37F68405">
            <w:pPr>
              <w:pStyle w:val="26"/>
              <w:bidi w:val="0"/>
              <w:rPr>
                <w:rFonts w:hint="eastAsia"/>
                <w:lang w:val="en-US" w:eastAsia="zh-CN"/>
              </w:rPr>
            </w:pPr>
            <w:r>
              <w:rPr>
                <w:rFonts w:hint="eastAsia"/>
                <w:lang w:val="en-US" w:eastAsia="zh-CN"/>
              </w:rPr>
              <w:t>2</w:t>
            </w:r>
          </w:p>
        </w:tc>
        <w:tc>
          <w:tcPr>
            <w:tcW w:w="717" w:type="pct"/>
            <w:vMerge w:val="continue"/>
            <w:vAlign w:val="center"/>
          </w:tcPr>
          <w:p w14:paraId="379A1FD9">
            <w:pPr>
              <w:pStyle w:val="26"/>
              <w:bidi w:val="0"/>
              <w:rPr>
                <w:rFonts w:hint="eastAsia"/>
                <w:lang w:val="en-US" w:eastAsia="zh-CN"/>
              </w:rPr>
            </w:pPr>
          </w:p>
        </w:tc>
      </w:tr>
      <w:tr w14:paraId="484CE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7B5CADF">
            <w:pPr>
              <w:pStyle w:val="26"/>
              <w:bidi w:val="0"/>
              <w:rPr>
                <w:rFonts w:hint="eastAsia"/>
                <w:lang w:val="en-US" w:eastAsia="zh-CN"/>
              </w:rPr>
            </w:pPr>
            <w:r>
              <w:rPr>
                <w:rFonts w:hint="eastAsia"/>
                <w:lang w:val="en-US" w:eastAsia="zh-CN"/>
              </w:rPr>
              <w:t>4.</w:t>
            </w:r>
          </w:p>
        </w:tc>
        <w:tc>
          <w:tcPr>
            <w:tcW w:w="556" w:type="pct"/>
            <w:vAlign w:val="center"/>
          </w:tcPr>
          <w:p w14:paraId="4A9DE5E6">
            <w:pPr>
              <w:pStyle w:val="26"/>
              <w:bidi w:val="0"/>
              <w:rPr>
                <w:rFonts w:hint="eastAsia"/>
                <w:lang w:val="en-US" w:eastAsia="zh-CN"/>
              </w:rPr>
            </w:pPr>
            <w:r>
              <w:rPr>
                <w:rFonts w:hint="eastAsia"/>
                <w:lang w:val="en-US" w:eastAsia="zh-CN"/>
              </w:rPr>
              <w:t>腐蚀槽渣</w:t>
            </w:r>
          </w:p>
        </w:tc>
        <w:tc>
          <w:tcPr>
            <w:tcW w:w="222" w:type="pct"/>
            <w:vMerge w:val="continue"/>
            <w:vAlign w:val="center"/>
          </w:tcPr>
          <w:p w14:paraId="7F76AA76">
            <w:pPr>
              <w:pStyle w:val="26"/>
              <w:bidi w:val="0"/>
              <w:rPr>
                <w:rFonts w:hint="eastAsia"/>
                <w:lang w:val="en-US" w:eastAsia="zh-CN"/>
              </w:rPr>
            </w:pPr>
          </w:p>
        </w:tc>
        <w:tc>
          <w:tcPr>
            <w:tcW w:w="658" w:type="pct"/>
            <w:vAlign w:val="center"/>
          </w:tcPr>
          <w:p w14:paraId="7B7641DB">
            <w:pPr>
              <w:pStyle w:val="26"/>
              <w:bidi w:val="0"/>
              <w:rPr>
                <w:rFonts w:hint="eastAsia"/>
                <w:lang w:val="en-US" w:eastAsia="zh-CN"/>
              </w:rPr>
            </w:pPr>
            <w:r>
              <w:rPr>
                <w:rFonts w:hint="eastAsia"/>
                <w:lang w:val="en-US" w:eastAsia="zh-CN"/>
              </w:rPr>
              <w:t>腐蚀</w:t>
            </w:r>
          </w:p>
        </w:tc>
        <w:tc>
          <w:tcPr>
            <w:tcW w:w="332" w:type="pct"/>
            <w:vAlign w:val="center"/>
          </w:tcPr>
          <w:p w14:paraId="58C2DF39">
            <w:pPr>
              <w:pStyle w:val="26"/>
              <w:bidi w:val="0"/>
              <w:rPr>
                <w:rFonts w:hint="eastAsia"/>
                <w:lang w:val="en-US" w:eastAsia="zh-CN"/>
              </w:rPr>
            </w:pPr>
            <w:r>
              <w:rPr>
                <w:rFonts w:hint="eastAsia"/>
                <w:lang w:val="en-US" w:eastAsia="zh-CN"/>
              </w:rPr>
              <w:t>固体</w:t>
            </w:r>
          </w:p>
        </w:tc>
        <w:tc>
          <w:tcPr>
            <w:tcW w:w="614" w:type="pct"/>
            <w:vAlign w:val="center"/>
          </w:tcPr>
          <w:p w14:paraId="553437B8">
            <w:pPr>
              <w:pStyle w:val="26"/>
              <w:bidi w:val="0"/>
              <w:rPr>
                <w:rFonts w:hint="eastAsia"/>
                <w:lang w:val="en-US" w:eastAsia="zh-CN"/>
              </w:rPr>
            </w:pPr>
            <w:r>
              <w:rPr>
                <w:rFonts w:hint="eastAsia"/>
                <w:lang w:val="en-US" w:eastAsia="zh-CN"/>
              </w:rPr>
              <w:t>铜</w:t>
            </w:r>
          </w:p>
        </w:tc>
        <w:tc>
          <w:tcPr>
            <w:tcW w:w="252" w:type="pct"/>
            <w:vMerge w:val="continue"/>
            <w:vAlign w:val="center"/>
          </w:tcPr>
          <w:p w14:paraId="347668DA">
            <w:pPr>
              <w:pStyle w:val="26"/>
              <w:bidi w:val="0"/>
              <w:rPr>
                <w:rFonts w:hint="eastAsia"/>
                <w:lang w:val="en-US" w:eastAsia="zh-CN"/>
              </w:rPr>
            </w:pPr>
          </w:p>
        </w:tc>
        <w:tc>
          <w:tcPr>
            <w:tcW w:w="239" w:type="pct"/>
            <w:vAlign w:val="center"/>
          </w:tcPr>
          <w:p w14:paraId="37C7F566">
            <w:pPr>
              <w:pStyle w:val="26"/>
              <w:bidi w:val="0"/>
              <w:rPr>
                <w:rFonts w:hint="eastAsia"/>
                <w:lang w:val="en-US" w:eastAsia="zh-CN"/>
              </w:rPr>
            </w:pPr>
            <w:r>
              <w:rPr>
                <w:rFonts w:hint="eastAsia"/>
                <w:lang w:val="en-US" w:eastAsia="zh-CN"/>
              </w:rPr>
              <w:t>T/C</w:t>
            </w:r>
          </w:p>
        </w:tc>
        <w:tc>
          <w:tcPr>
            <w:tcW w:w="380" w:type="pct"/>
            <w:vAlign w:val="center"/>
          </w:tcPr>
          <w:p w14:paraId="2C45261A">
            <w:pPr>
              <w:pStyle w:val="26"/>
              <w:bidi w:val="0"/>
              <w:rPr>
                <w:rFonts w:hint="eastAsia"/>
                <w:lang w:val="en-US" w:eastAsia="zh-CN"/>
              </w:rPr>
            </w:pPr>
            <w:r>
              <w:rPr>
                <w:rFonts w:hint="eastAsia"/>
                <w:lang w:val="en-US" w:eastAsia="zh-CN"/>
              </w:rPr>
              <w:t>HW17</w:t>
            </w:r>
          </w:p>
        </w:tc>
        <w:tc>
          <w:tcPr>
            <w:tcW w:w="489" w:type="pct"/>
            <w:vAlign w:val="center"/>
          </w:tcPr>
          <w:p w14:paraId="7BDB4F3E">
            <w:pPr>
              <w:pStyle w:val="26"/>
              <w:bidi w:val="0"/>
              <w:rPr>
                <w:rFonts w:hint="eastAsia"/>
                <w:lang w:val="en-US" w:eastAsia="zh-CN"/>
              </w:rPr>
            </w:pPr>
            <w:r>
              <w:rPr>
                <w:rFonts w:hint="eastAsia"/>
                <w:lang w:val="en-US" w:eastAsia="zh-CN"/>
              </w:rPr>
              <w:t>336-064- 17</w:t>
            </w:r>
          </w:p>
        </w:tc>
        <w:tc>
          <w:tcPr>
            <w:tcW w:w="364" w:type="pct"/>
            <w:vAlign w:val="center"/>
          </w:tcPr>
          <w:p w14:paraId="36B97AD2">
            <w:pPr>
              <w:pStyle w:val="26"/>
              <w:bidi w:val="0"/>
              <w:rPr>
                <w:rFonts w:hint="eastAsia"/>
                <w:lang w:val="en-US" w:eastAsia="zh-CN"/>
              </w:rPr>
            </w:pPr>
            <w:r>
              <w:rPr>
                <w:rFonts w:hint="eastAsia"/>
                <w:lang w:val="en-US" w:eastAsia="zh-CN"/>
              </w:rPr>
              <w:t>1</w:t>
            </w:r>
          </w:p>
        </w:tc>
        <w:tc>
          <w:tcPr>
            <w:tcW w:w="717" w:type="pct"/>
            <w:vMerge w:val="continue"/>
            <w:vAlign w:val="center"/>
          </w:tcPr>
          <w:p w14:paraId="60FB3AD3">
            <w:pPr>
              <w:pStyle w:val="26"/>
              <w:bidi w:val="0"/>
              <w:rPr>
                <w:rFonts w:hint="eastAsia"/>
                <w:lang w:val="en-US" w:eastAsia="zh-CN"/>
              </w:rPr>
            </w:pPr>
          </w:p>
        </w:tc>
      </w:tr>
      <w:tr w14:paraId="12E8D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3865468B">
            <w:pPr>
              <w:pStyle w:val="26"/>
              <w:bidi w:val="0"/>
              <w:rPr>
                <w:rFonts w:hint="eastAsia"/>
                <w:lang w:val="en-US" w:eastAsia="zh-CN"/>
              </w:rPr>
            </w:pPr>
            <w:r>
              <w:rPr>
                <w:rFonts w:hint="eastAsia"/>
                <w:lang w:val="en-US" w:eastAsia="zh-CN"/>
              </w:rPr>
              <w:t>5.</w:t>
            </w:r>
          </w:p>
        </w:tc>
        <w:tc>
          <w:tcPr>
            <w:tcW w:w="556" w:type="pct"/>
            <w:vAlign w:val="center"/>
          </w:tcPr>
          <w:p w14:paraId="01BAD842">
            <w:pPr>
              <w:pStyle w:val="26"/>
              <w:bidi w:val="0"/>
              <w:rPr>
                <w:rFonts w:hint="eastAsia"/>
                <w:lang w:val="en-US" w:eastAsia="zh-CN"/>
              </w:rPr>
            </w:pPr>
            <w:r>
              <w:rPr>
                <w:rFonts w:hint="eastAsia"/>
                <w:lang w:val="en-US" w:eastAsia="zh-CN"/>
              </w:rPr>
              <w:t>废胶渣</w:t>
            </w:r>
          </w:p>
        </w:tc>
        <w:tc>
          <w:tcPr>
            <w:tcW w:w="222" w:type="pct"/>
            <w:vMerge w:val="continue"/>
            <w:vAlign w:val="center"/>
          </w:tcPr>
          <w:p w14:paraId="7C766ECC">
            <w:pPr>
              <w:pStyle w:val="26"/>
              <w:bidi w:val="0"/>
              <w:rPr>
                <w:rFonts w:hint="eastAsia"/>
                <w:lang w:val="en-US" w:eastAsia="zh-CN"/>
              </w:rPr>
            </w:pPr>
          </w:p>
        </w:tc>
        <w:tc>
          <w:tcPr>
            <w:tcW w:w="658" w:type="pct"/>
            <w:vAlign w:val="center"/>
          </w:tcPr>
          <w:p w14:paraId="5DA99104">
            <w:pPr>
              <w:pStyle w:val="26"/>
              <w:bidi w:val="0"/>
              <w:rPr>
                <w:rFonts w:hint="eastAsia"/>
                <w:lang w:val="en-US" w:eastAsia="zh-CN"/>
              </w:rPr>
            </w:pPr>
            <w:r>
              <w:rPr>
                <w:rFonts w:hint="eastAsia"/>
                <w:lang w:val="en-US" w:eastAsia="zh-CN"/>
              </w:rPr>
              <w:t>剥胶</w:t>
            </w:r>
          </w:p>
        </w:tc>
        <w:tc>
          <w:tcPr>
            <w:tcW w:w="332" w:type="pct"/>
            <w:vAlign w:val="center"/>
          </w:tcPr>
          <w:p w14:paraId="76529285">
            <w:pPr>
              <w:pStyle w:val="26"/>
              <w:bidi w:val="0"/>
              <w:rPr>
                <w:rFonts w:hint="eastAsia"/>
                <w:lang w:val="en-US" w:eastAsia="zh-CN"/>
              </w:rPr>
            </w:pPr>
            <w:r>
              <w:rPr>
                <w:rFonts w:hint="eastAsia"/>
                <w:lang w:val="en-US" w:eastAsia="zh-CN"/>
              </w:rPr>
              <w:t>固体</w:t>
            </w:r>
          </w:p>
        </w:tc>
        <w:tc>
          <w:tcPr>
            <w:tcW w:w="614" w:type="pct"/>
            <w:vAlign w:val="center"/>
          </w:tcPr>
          <w:p w14:paraId="3B35D031">
            <w:pPr>
              <w:pStyle w:val="26"/>
              <w:bidi w:val="0"/>
              <w:rPr>
                <w:rFonts w:hint="eastAsia"/>
                <w:lang w:val="en-US" w:eastAsia="zh-CN"/>
              </w:rPr>
            </w:pPr>
            <w:r>
              <w:rPr>
                <w:rFonts w:hint="eastAsia"/>
                <w:lang w:val="en-US" w:eastAsia="zh-CN"/>
              </w:rPr>
              <w:t>胶渣、铜</w:t>
            </w:r>
          </w:p>
        </w:tc>
        <w:tc>
          <w:tcPr>
            <w:tcW w:w="252" w:type="pct"/>
            <w:vMerge w:val="continue"/>
            <w:vAlign w:val="center"/>
          </w:tcPr>
          <w:p w14:paraId="709540DC">
            <w:pPr>
              <w:pStyle w:val="26"/>
              <w:bidi w:val="0"/>
              <w:rPr>
                <w:rFonts w:hint="eastAsia"/>
                <w:lang w:val="en-US" w:eastAsia="zh-CN"/>
              </w:rPr>
            </w:pPr>
          </w:p>
        </w:tc>
        <w:tc>
          <w:tcPr>
            <w:tcW w:w="239" w:type="pct"/>
            <w:vAlign w:val="center"/>
          </w:tcPr>
          <w:p w14:paraId="4E76401E">
            <w:pPr>
              <w:pStyle w:val="26"/>
              <w:bidi w:val="0"/>
              <w:rPr>
                <w:rFonts w:hint="eastAsia"/>
                <w:lang w:val="en-US" w:eastAsia="zh-CN"/>
              </w:rPr>
            </w:pPr>
            <w:r>
              <w:rPr>
                <w:rFonts w:hint="eastAsia"/>
                <w:lang w:val="en-US" w:eastAsia="zh-CN"/>
              </w:rPr>
              <w:t>T</w:t>
            </w:r>
          </w:p>
        </w:tc>
        <w:tc>
          <w:tcPr>
            <w:tcW w:w="380" w:type="pct"/>
            <w:vAlign w:val="center"/>
          </w:tcPr>
          <w:p w14:paraId="3EDEA747">
            <w:pPr>
              <w:pStyle w:val="26"/>
              <w:bidi w:val="0"/>
              <w:rPr>
                <w:rFonts w:hint="eastAsia"/>
                <w:lang w:val="en-US" w:eastAsia="zh-CN"/>
              </w:rPr>
            </w:pPr>
            <w:r>
              <w:rPr>
                <w:rFonts w:hint="eastAsia"/>
                <w:lang w:val="en-US" w:eastAsia="zh-CN"/>
              </w:rPr>
              <w:t>HW13</w:t>
            </w:r>
          </w:p>
        </w:tc>
        <w:tc>
          <w:tcPr>
            <w:tcW w:w="489" w:type="pct"/>
            <w:vAlign w:val="center"/>
          </w:tcPr>
          <w:p w14:paraId="4D2B6370">
            <w:pPr>
              <w:pStyle w:val="26"/>
              <w:bidi w:val="0"/>
              <w:rPr>
                <w:rFonts w:hint="eastAsia"/>
                <w:lang w:val="en-US" w:eastAsia="zh-CN"/>
              </w:rPr>
            </w:pPr>
            <w:r>
              <w:rPr>
                <w:rFonts w:hint="eastAsia"/>
                <w:lang w:val="en-US" w:eastAsia="zh-CN"/>
              </w:rPr>
              <w:t>900-016- 13</w:t>
            </w:r>
          </w:p>
        </w:tc>
        <w:tc>
          <w:tcPr>
            <w:tcW w:w="364" w:type="pct"/>
            <w:vAlign w:val="center"/>
          </w:tcPr>
          <w:p w14:paraId="3E1C773B">
            <w:pPr>
              <w:pStyle w:val="26"/>
              <w:bidi w:val="0"/>
              <w:rPr>
                <w:rFonts w:hint="eastAsia"/>
                <w:lang w:val="en-US" w:eastAsia="zh-CN"/>
              </w:rPr>
            </w:pPr>
            <w:r>
              <w:rPr>
                <w:rFonts w:hint="eastAsia"/>
                <w:lang w:val="en-US" w:eastAsia="zh-CN"/>
              </w:rPr>
              <w:t>0.5172</w:t>
            </w:r>
          </w:p>
        </w:tc>
        <w:tc>
          <w:tcPr>
            <w:tcW w:w="717" w:type="pct"/>
            <w:vMerge w:val="continue"/>
            <w:vAlign w:val="center"/>
          </w:tcPr>
          <w:p w14:paraId="11447BD5">
            <w:pPr>
              <w:pStyle w:val="26"/>
              <w:bidi w:val="0"/>
              <w:rPr>
                <w:rFonts w:hint="eastAsia"/>
                <w:lang w:val="en-US" w:eastAsia="zh-CN"/>
              </w:rPr>
            </w:pPr>
          </w:p>
        </w:tc>
      </w:tr>
      <w:tr w14:paraId="4B83E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3080A17">
            <w:pPr>
              <w:pStyle w:val="26"/>
              <w:bidi w:val="0"/>
              <w:rPr>
                <w:rFonts w:hint="eastAsia"/>
                <w:lang w:val="en-US" w:eastAsia="zh-CN"/>
              </w:rPr>
            </w:pPr>
            <w:r>
              <w:rPr>
                <w:rFonts w:hint="eastAsia"/>
                <w:lang w:val="en-US" w:eastAsia="zh-CN"/>
              </w:rPr>
              <w:t>6.</w:t>
            </w:r>
          </w:p>
        </w:tc>
        <w:tc>
          <w:tcPr>
            <w:tcW w:w="556" w:type="pct"/>
            <w:vAlign w:val="center"/>
          </w:tcPr>
          <w:p w14:paraId="2645BA8C">
            <w:pPr>
              <w:pStyle w:val="26"/>
              <w:bidi w:val="0"/>
              <w:rPr>
                <w:rFonts w:hint="eastAsia"/>
                <w:lang w:val="en-US" w:eastAsia="zh-CN"/>
              </w:rPr>
            </w:pPr>
            <w:r>
              <w:rPr>
                <w:rFonts w:hint="eastAsia"/>
                <w:lang w:val="en-US" w:eastAsia="zh-CN"/>
              </w:rPr>
              <w:t>废药剂瓶</w:t>
            </w:r>
          </w:p>
        </w:tc>
        <w:tc>
          <w:tcPr>
            <w:tcW w:w="222" w:type="pct"/>
            <w:vMerge w:val="continue"/>
            <w:vAlign w:val="center"/>
          </w:tcPr>
          <w:p w14:paraId="4BB2264D">
            <w:pPr>
              <w:pStyle w:val="26"/>
              <w:bidi w:val="0"/>
              <w:rPr>
                <w:rFonts w:hint="eastAsia"/>
                <w:lang w:val="en-US" w:eastAsia="zh-CN"/>
              </w:rPr>
            </w:pPr>
          </w:p>
        </w:tc>
        <w:tc>
          <w:tcPr>
            <w:tcW w:w="658" w:type="pct"/>
            <w:vAlign w:val="center"/>
          </w:tcPr>
          <w:p w14:paraId="71FC331E">
            <w:pPr>
              <w:pStyle w:val="26"/>
              <w:bidi w:val="0"/>
              <w:rPr>
                <w:rFonts w:hint="eastAsia"/>
                <w:lang w:val="en-US" w:eastAsia="zh-CN"/>
              </w:rPr>
            </w:pPr>
            <w:r>
              <w:rPr>
                <w:rFonts w:hint="eastAsia"/>
                <w:lang w:val="en-US" w:eastAsia="zh-CN"/>
              </w:rPr>
              <w:t>原辅料</w:t>
            </w:r>
          </w:p>
        </w:tc>
        <w:tc>
          <w:tcPr>
            <w:tcW w:w="332" w:type="pct"/>
            <w:vAlign w:val="center"/>
          </w:tcPr>
          <w:p w14:paraId="2E825E8E">
            <w:pPr>
              <w:pStyle w:val="26"/>
              <w:bidi w:val="0"/>
              <w:rPr>
                <w:rFonts w:hint="eastAsia"/>
                <w:lang w:val="en-US" w:eastAsia="zh-CN"/>
              </w:rPr>
            </w:pPr>
            <w:r>
              <w:rPr>
                <w:rFonts w:hint="eastAsia"/>
                <w:lang w:val="en-US" w:eastAsia="zh-CN"/>
              </w:rPr>
              <w:t>固体</w:t>
            </w:r>
          </w:p>
        </w:tc>
        <w:tc>
          <w:tcPr>
            <w:tcW w:w="614" w:type="pct"/>
            <w:vAlign w:val="center"/>
          </w:tcPr>
          <w:p w14:paraId="505F6A3D">
            <w:pPr>
              <w:pStyle w:val="26"/>
              <w:bidi w:val="0"/>
              <w:rPr>
                <w:rFonts w:hint="eastAsia"/>
                <w:lang w:val="en-US" w:eastAsia="zh-CN"/>
              </w:rPr>
            </w:pPr>
            <w:r>
              <w:rPr>
                <w:rFonts w:hint="eastAsia"/>
                <w:lang w:val="en-US" w:eastAsia="zh-CN"/>
              </w:rPr>
              <w:t>玻璃、塑料</w:t>
            </w:r>
          </w:p>
        </w:tc>
        <w:tc>
          <w:tcPr>
            <w:tcW w:w="252" w:type="pct"/>
            <w:vMerge w:val="continue"/>
            <w:vAlign w:val="center"/>
          </w:tcPr>
          <w:p w14:paraId="7D4CF831">
            <w:pPr>
              <w:pStyle w:val="26"/>
              <w:bidi w:val="0"/>
              <w:rPr>
                <w:rFonts w:hint="eastAsia"/>
                <w:lang w:val="en-US" w:eastAsia="zh-CN"/>
              </w:rPr>
            </w:pPr>
          </w:p>
        </w:tc>
        <w:tc>
          <w:tcPr>
            <w:tcW w:w="239" w:type="pct"/>
            <w:vAlign w:val="center"/>
          </w:tcPr>
          <w:p w14:paraId="03C9A3CB">
            <w:pPr>
              <w:pStyle w:val="26"/>
              <w:bidi w:val="0"/>
              <w:rPr>
                <w:rFonts w:hint="eastAsia"/>
                <w:lang w:val="en-US" w:eastAsia="zh-CN"/>
              </w:rPr>
            </w:pPr>
            <w:r>
              <w:rPr>
                <w:rFonts w:hint="eastAsia"/>
                <w:lang w:val="en-US" w:eastAsia="zh-CN"/>
              </w:rPr>
              <w:t>T/In</w:t>
            </w:r>
          </w:p>
        </w:tc>
        <w:tc>
          <w:tcPr>
            <w:tcW w:w="380" w:type="pct"/>
            <w:vAlign w:val="center"/>
          </w:tcPr>
          <w:p w14:paraId="7664EE3A">
            <w:pPr>
              <w:pStyle w:val="26"/>
              <w:bidi w:val="0"/>
              <w:rPr>
                <w:rFonts w:hint="eastAsia"/>
                <w:lang w:val="en-US" w:eastAsia="zh-CN"/>
              </w:rPr>
            </w:pPr>
            <w:r>
              <w:rPr>
                <w:rFonts w:hint="eastAsia"/>
                <w:lang w:val="en-US" w:eastAsia="zh-CN"/>
              </w:rPr>
              <w:t>HW49</w:t>
            </w:r>
          </w:p>
        </w:tc>
        <w:tc>
          <w:tcPr>
            <w:tcW w:w="489" w:type="pct"/>
            <w:vAlign w:val="center"/>
          </w:tcPr>
          <w:p w14:paraId="19BA2440">
            <w:pPr>
              <w:pStyle w:val="26"/>
              <w:bidi w:val="0"/>
              <w:rPr>
                <w:rFonts w:hint="eastAsia"/>
                <w:lang w:val="en-US" w:eastAsia="zh-CN"/>
              </w:rPr>
            </w:pPr>
            <w:r>
              <w:rPr>
                <w:rFonts w:hint="eastAsia"/>
                <w:lang w:val="en-US" w:eastAsia="zh-CN"/>
              </w:rPr>
              <w:t>900-041-49</w:t>
            </w:r>
          </w:p>
        </w:tc>
        <w:tc>
          <w:tcPr>
            <w:tcW w:w="364" w:type="pct"/>
            <w:vAlign w:val="center"/>
          </w:tcPr>
          <w:p w14:paraId="1010F214">
            <w:pPr>
              <w:pStyle w:val="26"/>
              <w:bidi w:val="0"/>
              <w:rPr>
                <w:rFonts w:hint="eastAsia"/>
                <w:lang w:val="en-US" w:eastAsia="zh-CN"/>
              </w:rPr>
            </w:pPr>
            <w:r>
              <w:rPr>
                <w:rFonts w:hint="eastAsia"/>
                <w:lang w:val="en-US" w:eastAsia="zh-CN"/>
              </w:rPr>
              <w:t>2</w:t>
            </w:r>
          </w:p>
        </w:tc>
        <w:tc>
          <w:tcPr>
            <w:tcW w:w="717" w:type="pct"/>
            <w:vMerge w:val="continue"/>
            <w:vAlign w:val="center"/>
          </w:tcPr>
          <w:p w14:paraId="76593070">
            <w:pPr>
              <w:pStyle w:val="26"/>
              <w:bidi w:val="0"/>
              <w:rPr>
                <w:rFonts w:hint="eastAsia"/>
                <w:lang w:val="en-US" w:eastAsia="zh-CN"/>
              </w:rPr>
            </w:pPr>
          </w:p>
        </w:tc>
      </w:tr>
      <w:tr w14:paraId="65153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27E7B8E2">
            <w:pPr>
              <w:pStyle w:val="26"/>
              <w:bidi w:val="0"/>
              <w:rPr>
                <w:rFonts w:hint="eastAsia"/>
                <w:lang w:val="en-US" w:eastAsia="zh-CN"/>
              </w:rPr>
            </w:pPr>
            <w:r>
              <w:rPr>
                <w:rFonts w:hint="eastAsia"/>
                <w:lang w:val="en-US" w:eastAsia="zh-CN"/>
              </w:rPr>
              <w:t>7.</w:t>
            </w:r>
          </w:p>
        </w:tc>
        <w:tc>
          <w:tcPr>
            <w:tcW w:w="556" w:type="pct"/>
            <w:vAlign w:val="center"/>
          </w:tcPr>
          <w:p w14:paraId="65507A50">
            <w:pPr>
              <w:pStyle w:val="26"/>
              <w:bidi w:val="0"/>
              <w:rPr>
                <w:rFonts w:hint="eastAsia"/>
                <w:lang w:val="en-US" w:eastAsia="zh-CN"/>
              </w:rPr>
            </w:pPr>
            <w:r>
              <w:rPr>
                <w:rFonts w:hint="eastAsia"/>
                <w:lang w:val="en-US" w:eastAsia="zh-CN"/>
              </w:rPr>
              <w:t>废滤芯、滤膜</w:t>
            </w:r>
          </w:p>
        </w:tc>
        <w:tc>
          <w:tcPr>
            <w:tcW w:w="222" w:type="pct"/>
            <w:vMerge w:val="continue"/>
            <w:vAlign w:val="center"/>
          </w:tcPr>
          <w:p w14:paraId="0CDD8CD6">
            <w:pPr>
              <w:pStyle w:val="26"/>
              <w:bidi w:val="0"/>
              <w:rPr>
                <w:rFonts w:hint="eastAsia"/>
                <w:lang w:val="en-US" w:eastAsia="zh-CN"/>
              </w:rPr>
            </w:pPr>
          </w:p>
        </w:tc>
        <w:tc>
          <w:tcPr>
            <w:tcW w:w="658" w:type="pct"/>
            <w:vAlign w:val="center"/>
          </w:tcPr>
          <w:p w14:paraId="6F632C91">
            <w:pPr>
              <w:pStyle w:val="26"/>
              <w:bidi w:val="0"/>
              <w:rPr>
                <w:rFonts w:hint="eastAsia"/>
                <w:lang w:val="en-US" w:eastAsia="zh-CN"/>
              </w:rPr>
            </w:pPr>
            <w:r>
              <w:rPr>
                <w:rFonts w:hint="eastAsia"/>
                <w:lang w:val="en-US" w:eastAsia="zh-CN"/>
              </w:rPr>
              <w:t>废水处理</w:t>
            </w:r>
          </w:p>
        </w:tc>
        <w:tc>
          <w:tcPr>
            <w:tcW w:w="332" w:type="pct"/>
            <w:vAlign w:val="center"/>
          </w:tcPr>
          <w:p w14:paraId="59ADCD2D">
            <w:pPr>
              <w:pStyle w:val="26"/>
              <w:bidi w:val="0"/>
              <w:rPr>
                <w:rFonts w:hint="eastAsia"/>
                <w:lang w:val="en-US" w:eastAsia="zh-CN"/>
              </w:rPr>
            </w:pPr>
            <w:r>
              <w:rPr>
                <w:rFonts w:hint="eastAsia"/>
                <w:lang w:val="en-US" w:eastAsia="zh-CN"/>
              </w:rPr>
              <w:t>固体</w:t>
            </w:r>
          </w:p>
        </w:tc>
        <w:tc>
          <w:tcPr>
            <w:tcW w:w="614" w:type="pct"/>
            <w:vAlign w:val="center"/>
          </w:tcPr>
          <w:p w14:paraId="44300370">
            <w:pPr>
              <w:pStyle w:val="26"/>
              <w:bidi w:val="0"/>
              <w:rPr>
                <w:rFonts w:hint="eastAsia"/>
                <w:lang w:val="en-US" w:eastAsia="zh-CN"/>
              </w:rPr>
            </w:pPr>
            <w:r>
              <w:rPr>
                <w:rFonts w:hint="eastAsia"/>
                <w:lang w:val="en-US" w:eastAsia="zh-CN"/>
              </w:rPr>
              <w:t>无纺布、PP 等</w:t>
            </w:r>
          </w:p>
        </w:tc>
        <w:tc>
          <w:tcPr>
            <w:tcW w:w="252" w:type="pct"/>
            <w:vMerge w:val="continue"/>
            <w:vAlign w:val="center"/>
          </w:tcPr>
          <w:p w14:paraId="3A0341E9">
            <w:pPr>
              <w:pStyle w:val="26"/>
              <w:bidi w:val="0"/>
              <w:rPr>
                <w:rFonts w:hint="eastAsia"/>
                <w:lang w:val="en-US" w:eastAsia="zh-CN"/>
              </w:rPr>
            </w:pPr>
          </w:p>
        </w:tc>
        <w:tc>
          <w:tcPr>
            <w:tcW w:w="239" w:type="pct"/>
            <w:vAlign w:val="center"/>
          </w:tcPr>
          <w:p w14:paraId="1257DDCD">
            <w:pPr>
              <w:pStyle w:val="26"/>
              <w:bidi w:val="0"/>
              <w:rPr>
                <w:rFonts w:hint="eastAsia"/>
                <w:lang w:val="en-US" w:eastAsia="zh-CN"/>
              </w:rPr>
            </w:pPr>
            <w:r>
              <w:rPr>
                <w:rFonts w:hint="eastAsia"/>
                <w:lang w:val="en-US" w:eastAsia="zh-CN"/>
              </w:rPr>
              <w:t>T</w:t>
            </w:r>
          </w:p>
        </w:tc>
        <w:tc>
          <w:tcPr>
            <w:tcW w:w="380" w:type="pct"/>
            <w:vAlign w:val="center"/>
          </w:tcPr>
          <w:p w14:paraId="0B5165FC">
            <w:pPr>
              <w:pStyle w:val="26"/>
              <w:bidi w:val="0"/>
              <w:rPr>
                <w:rFonts w:hint="eastAsia"/>
                <w:lang w:val="en-US" w:eastAsia="zh-CN"/>
              </w:rPr>
            </w:pPr>
            <w:r>
              <w:rPr>
                <w:rFonts w:hint="eastAsia"/>
                <w:lang w:val="en-US" w:eastAsia="zh-CN"/>
              </w:rPr>
              <w:t>HW13</w:t>
            </w:r>
          </w:p>
        </w:tc>
        <w:tc>
          <w:tcPr>
            <w:tcW w:w="489" w:type="pct"/>
            <w:vAlign w:val="center"/>
          </w:tcPr>
          <w:p w14:paraId="4DF97886">
            <w:pPr>
              <w:pStyle w:val="26"/>
              <w:bidi w:val="0"/>
              <w:rPr>
                <w:rFonts w:hint="eastAsia"/>
                <w:lang w:val="en-US" w:eastAsia="zh-CN"/>
              </w:rPr>
            </w:pPr>
            <w:r>
              <w:rPr>
                <w:rFonts w:hint="eastAsia"/>
                <w:lang w:val="en-US" w:eastAsia="zh-CN"/>
              </w:rPr>
              <w:t>900-015- 13</w:t>
            </w:r>
          </w:p>
        </w:tc>
        <w:tc>
          <w:tcPr>
            <w:tcW w:w="364" w:type="pct"/>
            <w:vAlign w:val="center"/>
          </w:tcPr>
          <w:p w14:paraId="181B2285">
            <w:pPr>
              <w:pStyle w:val="26"/>
              <w:bidi w:val="0"/>
              <w:rPr>
                <w:rFonts w:hint="eastAsia"/>
                <w:lang w:val="en-US" w:eastAsia="zh-CN"/>
              </w:rPr>
            </w:pPr>
            <w:r>
              <w:rPr>
                <w:rFonts w:hint="eastAsia"/>
                <w:lang w:val="en-US" w:eastAsia="zh-CN"/>
              </w:rPr>
              <w:t>8</w:t>
            </w:r>
          </w:p>
        </w:tc>
        <w:tc>
          <w:tcPr>
            <w:tcW w:w="717" w:type="pct"/>
            <w:vMerge w:val="continue"/>
            <w:vAlign w:val="center"/>
          </w:tcPr>
          <w:p w14:paraId="60BF424C">
            <w:pPr>
              <w:pStyle w:val="26"/>
              <w:bidi w:val="0"/>
              <w:rPr>
                <w:rFonts w:hint="eastAsia"/>
                <w:lang w:val="en-US" w:eastAsia="zh-CN"/>
              </w:rPr>
            </w:pPr>
          </w:p>
        </w:tc>
      </w:tr>
      <w:tr w14:paraId="3CF0A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8FF579D">
            <w:pPr>
              <w:pStyle w:val="26"/>
              <w:bidi w:val="0"/>
              <w:rPr>
                <w:rFonts w:hint="eastAsia"/>
                <w:lang w:val="en-US" w:eastAsia="zh-CN"/>
              </w:rPr>
            </w:pPr>
            <w:r>
              <w:rPr>
                <w:rFonts w:hint="eastAsia"/>
                <w:lang w:val="en-US" w:eastAsia="zh-CN"/>
              </w:rPr>
              <w:t>8.</w:t>
            </w:r>
          </w:p>
        </w:tc>
        <w:tc>
          <w:tcPr>
            <w:tcW w:w="556" w:type="pct"/>
            <w:vAlign w:val="center"/>
          </w:tcPr>
          <w:p w14:paraId="1E4EFAEF">
            <w:pPr>
              <w:pStyle w:val="26"/>
              <w:bidi w:val="0"/>
              <w:rPr>
                <w:rFonts w:hint="eastAsia"/>
                <w:lang w:val="en-US" w:eastAsia="zh-CN"/>
              </w:rPr>
            </w:pPr>
            <w:r>
              <w:rPr>
                <w:rFonts w:hint="eastAsia"/>
                <w:lang w:val="en-US" w:eastAsia="zh-CN"/>
              </w:rPr>
              <w:t>蒸发残渣</w:t>
            </w:r>
          </w:p>
        </w:tc>
        <w:tc>
          <w:tcPr>
            <w:tcW w:w="222" w:type="pct"/>
            <w:vMerge w:val="continue"/>
            <w:vAlign w:val="center"/>
          </w:tcPr>
          <w:p w14:paraId="15DCB586">
            <w:pPr>
              <w:pStyle w:val="26"/>
              <w:bidi w:val="0"/>
              <w:rPr>
                <w:rFonts w:hint="eastAsia"/>
                <w:lang w:val="en-US" w:eastAsia="zh-CN"/>
              </w:rPr>
            </w:pPr>
          </w:p>
        </w:tc>
        <w:tc>
          <w:tcPr>
            <w:tcW w:w="658" w:type="pct"/>
            <w:vAlign w:val="center"/>
          </w:tcPr>
          <w:p w14:paraId="2C431DDB">
            <w:pPr>
              <w:pStyle w:val="26"/>
              <w:bidi w:val="0"/>
              <w:rPr>
                <w:rFonts w:hint="eastAsia"/>
                <w:lang w:val="en-US" w:eastAsia="zh-CN"/>
              </w:rPr>
            </w:pPr>
            <w:r>
              <w:rPr>
                <w:rFonts w:hint="eastAsia"/>
                <w:lang w:val="en-US" w:eastAsia="zh-CN"/>
              </w:rPr>
              <w:t>MVR 蒸发浓缩</w:t>
            </w:r>
          </w:p>
        </w:tc>
        <w:tc>
          <w:tcPr>
            <w:tcW w:w="332" w:type="pct"/>
            <w:vAlign w:val="center"/>
          </w:tcPr>
          <w:p w14:paraId="229022ED">
            <w:pPr>
              <w:pStyle w:val="26"/>
              <w:bidi w:val="0"/>
              <w:rPr>
                <w:rFonts w:hint="eastAsia"/>
                <w:lang w:val="en-US" w:eastAsia="zh-CN"/>
              </w:rPr>
            </w:pPr>
            <w:r>
              <w:rPr>
                <w:rFonts w:hint="eastAsia"/>
                <w:lang w:val="en-US" w:eastAsia="zh-CN"/>
              </w:rPr>
              <w:t>固体</w:t>
            </w:r>
          </w:p>
        </w:tc>
        <w:tc>
          <w:tcPr>
            <w:tcW w:w="614" w:type="pct"/>
            <w:vAlign w:val="center"/>
          </w:tcPr>
          <w:p w14:paraId="6F359D4F">
            <w:pPr>
              <w:pStyle w:val="26"/>
              <w:bidi w:val="0"/>
              <w:rPr>
                <w:rFonts w:hint="eastAsia"/>
                <w:lang w:val="en-US" w:eastAsia="zh-CN"/>
              </w:rPr>
            </w:pPr>
            <w:r>
              <w:rPr>
                <w:rFonts w:hint="eastAsia"/>
                <w:lang w:val="en-US" w:eastAsia="zh-CN"/>
              </w:rPr>
              <w:t>浓缩结晶</w:t>
            </w:r>
          </w:p>
        </w:tc>
        <w:tc>
          <w:tcPr>
            <w:tcW w:w="252" w:type="pct"/>
            <w:vMerge w:val="continue"/>
            <w:vAlign w:val="center"/>
          </w:tcPr>
          <w:p w14:paraId="00498232">
            <w:pPr>
              <w:pStyle w:val="26"/>
              <w:bidi w:val="0"/>
              <w:rPr>
                <w:rFonts w:hint="eastAsia"/>
                <w:lang w:val="en-US" w:eastAsia="zh-CN"/>
              </w:rPr>
            </w:pPr>
          </w:p>
        </w:tc>
        <w:tc>
          <w:tcPr>
            <w:tcW w:w="239" w:type="pct"/>
            <w:vAlign w:val="center"/>
          </w:tcPr>
          <w:p w14:paraId="747ACF82">
            <w:pPr>
              <w:pStyle w:val="26"/>
              <w:bidi w:val="0"/>
              <w:rPr>
                <w:rFonts w:hint="eastAsia"/>
                <w:lang w:val="en-US" w:eastAsia="zh-CN"/>
              </w:rPr>
            </w:pPr>
            <w:r>
              <w:rPr>
                <w:rFonts w:hint="eastAsia"/>
                <w:lang w:val="en-US" w:eastAsia="zh-CN"/>
              </w:rPr>
              <w:t>T/C</w:t>
            </w:r>
          </w:p>
        </w:tc>
        <w:tc>
          <w:tcPr>
            <w:tcW w:w="380" w:type="pct"/>
            <w:vAlign w:val="center"/>
          </w:tcPr>
          <w:p w14:paraId="008F3EAE">
            <w:pPr>
              <w:pStyle w:val="26"/>
              <w:bidi w:val="0"/>
              <w:rPr>
                <w:rFonts w:hint="eastAsia"/>
                <w:lang w:val="en-US" w:eastAsia="zh-CN"/>
              </w:rPr>
            </w:pPr>
            <w:r>
              <w:rPr>
                <w:rFonts w:hint="eastAsia"/>
                <w:lang w:val="en-US" w:eastAsia="zh-CN"/>
              </w:rPr>
              <w:t>HW17</w:t>
            </w:r>
          </w:p>
        </w:tc>
        <w:tc>
          <w:tcPr>
            <w:tcW w:w="489" w:type="pct"/>
            <w:vAlign w:val="center"/>
          </w:tcPr>
          <w:p w14:paraId="1A12DE64">
            <w:pPr>
              <w:pStyle w:val="26"/>
              <w:bidi w:val="0"/>
              <w:rPr>
                <w:rFonts w:hint="eastAsia"/>
                <w:lang w:val="en-US" w:eastAsia="zh-CN"/>
              </w:rPr>
            </w:pPr>
            <w:r>
              <w:rPr>
                <w:rFonts w:hint="eastAsia"/>
                <w:lang w:val="en-US" w:eastAsia="zh-CN"/>
              </w:rPr>
              <w:t>336-063- 17</w:t>
            </w:r>
          </w:p>
        </w:tc>
        <w:tc>
          <w:tcPr>
            <w:tcW w:w="364" w:type="pct"/>
            <w:vAlign w:val="center"/>
          </w:tcPr>
          <w:p w14:paraId="2F91B81F">
            <w:pPr>
              <w:pStyle w:val="26"/>
              <w:bidi w:val="0"/>
              <w:rPr>
                <w:rFonts w:hint="eastAsia"/>
                <w:lang w:val="en-US" w:eastAsia="zh-CN"/>
              </w:rPr>
            </w:pPr>
            <w:r>
              <w:rPr>
                <w:rFonts w:hint="eastAsia"/>
                <w:lang w:val="en-US" w:eastAsia="zh-CN"/>
              </w:rPr>
              <w:t>30</w:t>
            </w:r>
          </w:p>
        </w:tc>
        <w:tc>
          <w:tcPr>
            <w:tcW w:w="717" w:type="pct"/>
            <w:vAlign w:val="center"/>
          </w:tcPr>
          <w:p w14:paraId="746B9452">
            <w:pPr>
              <w:pStyle w:val="26"/>
              <w:bidi w:val="0"/>
              <w:rPr>
                <w:rFonts w:hint="eastAsia"/>
                <w:lang w:val="en-US" w:eastAsia="zh-CN"/>
              </w:rPr>
            </w:pPr>
            <w:r>
              <w:rPr>
                <w:rFonts w:hint="eastAsia"/>
                <w:lang w:val="en-US" w:eastAsia="zh-CN"/>
              </w:rPr>
              <w:t>无锡市锡苏环保科技有限公司</w:t>
            </w:r>
          </w:p>
        </w:tc>
      </w:tr>
      <w:tr w14:paraId="6236A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4CD9FC11">
            <w:pPr>
              <w:pStyle w:val="26"/>
              <w:bidi w:val="0"/>
              <w:rPr>
                <w:rFonts w:hint="eastAsia"/>
                <w:lang w:val="en-US" w:eastAsia="zh-CN"/>
              </w:rPr>
            </w:pPr>
            <w:r>
              <w:rPr>
                <w:rFonts w:hint="eastAsia"/>
                <w:lang w:val="en-US" w:eastAsia="zh-CN"/>
              </w:rPr>
              <w:t>9.</w:t>
            </w:r>
          </w:p>
        </w:tc>
        <w:tc>
          <w:tcPr>
            <w:tcW w:w="556" w:type="pct"/>
            <w:vAlign w:val="center"/>
          </w:tcPr>
          <w:p w14:paraId="6DE6ADE1">
            <w:pPr>
              <w:pStyle w:val="26"/>
              <w:bidi w:val="0"/>
              <w:rPr>
                <w:rFonts w:hint="eastAsia"/>
                <w:lang w:val="en-US" w:eastAsia="zh-CN"/>
              </w:rPr>
            </w:pPr>
            <w:r>
              <w:rPr>
                <w:rFonts w:hint="eastAsia"/>
                <w:lang w:val="en-US" w:eastAsia="zh-CN"/>
              </w:rPr>
              <w:t>废活性炭</w:t>
            </w:r>
          </w:p>
          <w:p w14:paraId="67F9A78C">
            <w:pPr>
              <w:pStyle w:val="26"/>
              <w:bidi w:val="0"/>
              <w:rPr>
                <w:rFonts w:hint="eastAsia"/>
                <w:lang w:val="en-US" w:eastAsia="zh-CN"/>
              </w:rPr>
            </w:pPr>
            <w:r>
              <w:rPr>
                <w:rFonts w:hint="eastAsia"/>
                <w:lang w:val="en-US" w:eastAsia="zh-CN"/>
              </w:rPr>
              <w:t>（废气）</w:t>
            </w:r>
          </w:p>
        </w:tc>
        <w:tc>
          <w:tcPr>
            <w:tcW w:w="222" w:type="pct"/>
            <w:vMerge w:val="continue"/>
            <w:vAlign w:val="center"/>
          </w:tcPr>
          <w:p w14:paraId="4B4B856F">
            <w:pPr>
              <w:pStyle w:val="26"/>
              <w:bidi w:val="0"/>
              <w:rPr>
                <w:rFonts w:hint="eastAsia"/>
                <w:lang w:val="en-US" w:eastAsia="zh-CN"/>
              </w:rPr>
            </w:pPr>
          </w:p>
        </w:tc>
        <w:tc>
          <w:tcPr>
            <w:tcW w:w="658" w:type="pct"/>
            <w:vAlign w:val="center"/>
          </w:tcPr>
          <w:p w14:paraId="4A574D1D">
            <w:pPr>
              <w:pStyle w:val="26"/>
              <w:bidi w:val="0"/>
              <w:rPr>
                <w:rFonts w:hint="eastAsia"/>
                <w:lang w:val="en-US" w:eastAsia="zh-CN"/>
              </w:rPr>
            </w:pPr>
            <w:r>
              <w:rPr>
                <w:rFonts w:hint="eastAsia"/>
                <w:lang w:val="en-US" w:eastAsia="zh-CN"/>
              </w:rPr>
              <w:t>废气处理</w:t>
            </w:r>
          </w:p>
        </w:tc>
        <w:tc>
          <w:tcPr>
            <w:tcW w:w="332" w:type="pct"/>
            <w:vAlign w:val="center"/>
          </w:tcPr>
          <w:p w14:paraId="770FA4FF">
            <w:pPr>
              <w:pStyle w:val="26"/>
              <w:bidi w:val="0"/>
              <w:rPr>
                <w:rFonts w:hint="eastAsia"/>
                <w:lang w:val="en-US" w:eastAsia="zh-CN"/>
              </w:rPr>
            </w:pPr>
            <w:r>
              <w:rPr>
                <w:rFonts w:hint="eastAsia"/>
                <w:lang w:val="en-US" w:eastAsia="zh-CN"/>
              </w:rPr>
              <w:t>固体</w:t>
            </w:r>
          </w:p>
        </w:tc>
        <w:tc>
          <w:tcPr>
            <w:tcW w:w="614" w:type="pct"/>
            <w:vAlign w:val="center"/>
          </w:tcPr>
          <w:p w14:paraId="77C63082">
            <w:pPr>
              <w:pStyle w:val="26"/>
              <w:bidi w:val="0"/>
              <w:rPr>
                <w:rFonts w:hint="eastAsia"/>
                <w:lang w:val="en-US" w:eastAsia="zh-CN"/>
              </w:rPr>
            </w:pPr>
            <w:r>
              <w:rPr>
                <w:rFonts w:hint="eastAsia"/>
                <w:lang w:val="en-US" w:eastAsia="zh-CN"/>
              </w:rPr>
              <w:t>活性炭</w:t>
            </w:r>
          </w:p>
        </w:tc>
        <w:tc>
          <w:tcPr>
            <w:tcW w:w="252" w:type="pct"/>
            <w:vMerge w:val="continue"/>
            <w:vAlign w:val="center"/>
          </w:tcPr>
          <w:p w14:paraId="571969BD">
            <w:pPr>
              <w:pStyle w:val="26"/>
              <w:bidi w:val="0"/>
              <w:rPr>
                <w:rFonts w:hint="eastAsia"/>
                <w:lang w:val="en-US" w:eastAsia="zh-CN"/>
              </w:rPr>
            </w:pPr>
          </w:p>
        </w:tc>
        <w:tc>
          <w:tcPr>
            <w:tcW w:w="239" w:type="pct"/>
            <w:vAlign w:val="center"/>
          </w:tcPr>
          <w:p w14:paraId="739A5043">
            <w:pPr>
              <w:pStyle w:val="26"/>
              <w:bidi w:val="0"/>
              <w:rPr>
                <w:rFonts w:hint="eastAsia"/>
                <w:lang w:val="en-US" w:eastAsia="zh-CN"/>
              </w:rPr>
            </w:pPr>
            <w:r>
              <w:rPr>
                <w:rFonts w:hint="eastAsia"/>
                <w:lang w:val="en-US" w:eastAsia="zh-CN"/>
              </w:rPr>
              <w:t>T</w:t>
            </w:r>
          </w:p>
        </w:tc>
        <w:tc>
          <w:tcPr>
            <w:tcW w:w="380" w:type="pct"/>
            <w:vAlign w:val="center"/>
          </w:tcPr>
          <w:p w14:paraId="2B0A56DC">
            <w:pPr>
              <w:pStyle w:val="26"/>
              <w:bidi w:val="0"/>
              <w:rPr>
                <w:rFonts w:hint="eastAsia"/>
                <w:lang w:val="en-US" w:eastAsia="zh-CN"/>
              </w:rPr>
            </w:pPr>
            <w:r>
              <w:rPr>
                <w:rFonts w:hint="eastAsia"/>
                <w:lang w:val="en-US" w:eastAsia="zh-CN"/>
              </w:rPr>
              <w:t>HW49</w:t>
            </w:r>
          </w:p>
        </w:tc>
        <w:tc>
          <w:tcPr>
            <w:tcW w:w="489" w:type="pct"/>
            <w:vAlign w:val="center"/>
          </w:tcPr>
          <w:p w14:paraId="76B8C6F3">
            <w:pPr>
              <w:pStyle w:val="26"/>
              <w:bidi w:val="0"/>
              <w:rPr>
                <w:rFonts w:hint="eastAsia"/>
                <w:lang w:val="en-US" w:eastAsia="zh-CN"/>
              </w:rPr>
            </w:pPr>
            <w:r>
              <w:rPr>
                <w:rFonts w:hint="eastAsia"/>
                <w:lang w:val="en-US" w:eastAsia="zh-CN"/>
              </w:rPr>
              <w:t>900-039-49</w:t>
            </w:r>
          </w:p>
        </w:tc>
        <w:tc>
          <w:tcPr>
            <w:tcW w:w="364" w:type="pct"/>
            <w:vAlign w:val="center"/>
          </w:tcPr>
          <w:p w14:paraId="174B96D9">
            <w:pPr>
              <w:pStyle w:val="26"/>
              <w:bidi w:val="0"/>
              <w:rPr>
                <w:rFonts w:hint="eastAsia"/>
                <w:lang w:val="en-US" w:eastAsia="zh-CN"/>
              </w:rPr>
            </w:pPr>
            <w:r>
              <w:rPr>
                <w:rFonts w:hint="eastAsia"/>
                <w:lang w:val="en-US" w:eastAsia="zh-CN"/>
              </w:rPr>
              <w:t>87.6</w:t>
            </w:r>
          </w:p>
        </w:tc>
        <w:tc>
          <w:tcPr>
            <w:tcW w:w="717" w:type="pct"/>
            <w:vMerge w:val="restart"/>
            <w:vAlign w:val="center"/>
          </w:tcPr>
          <w:p w14:paraId="7950618B">
            <w:pPr>
              <w:pStyle w:val="26"/>
              <w:bidi w:val="0"/>
              <w:rPr>
                <w:rFonts w:hint="eastAsia"/>
                <w:lang w:val="en-US" w:eastAsia="zh-CN"/>
              </w:rPr>
            </w:pPr>
            <w:r>
              <w:rPr>
                <w:rFonts w:hint="eastAsia"/>
                <w:lang w:val="en-US" w:eastAsia="zh-CN"/>
              </w:rPr>
              <w:t>吴江市绿恰固废回收处置有限公司</w:t>
            </w:r>
          </w:p>
        </w:tc>
      </w:tr>
      <w:tr w14:paraId="5915B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71" w:type="pct"/>
            <w:vAlign w:val="center"/>
          </w:tcPr>
          <w:p w14:paraId="55EDA597">
            <w:pPr>
              <w:pStyle w:val="26"/>
              <w:bidi w:val="0"/>
              <w:rPr>
                <w:rFonts w:hint="eastAsia"/>
                <w:lang w:val="en-US" w:eastAsia="zh-CN"/>
              </w:rPr>
            </w:pPr>
            <w:r>
              <w:rPr>
                <w:rFonts w:hint="eastAsia"/>
                <w:lang w:val="en-US" w:eastAsia="zh-CN"/>
              </w:rPr>
              <w:t>10.</w:t>
            </w:r>
          </w:p>
        </w:tc>
        <w:tc>
          <w:tcPr>
            <w:tcW w:w="556" w:type="pct"/>
            <w:vAlign w:val="center"/>
          </w:tcPr>
          <w:p w14:paraId="39462806">
            <w:pPr>
              <w:pStyle w:val="26"/>
              <w:bidi w:val="0"/>
              <w:rPr>
                <w:rFonts w:hint="eastAsia"/>
                <w:lang w:val="en-US" w:eastAsia="zh-CN"/>
              </w:rPr>
            </w:pPr>
            <w:r>
              <w:rPr>
                <w:rFonts w:hint="eastAsia"/>
                <w:lang w:val="en-US" w:eastAsia="zh-CN"/>
              </w:rPr>
              <w:t>废活性炭</w:t>
            </w:r>
          </w:p>
          <w:p w14:paraId="56E744EA">
            <w:pPr>
              <w:pStyle w:val="26"/>
              <w:bidi w:val="0"/>
              <w:rPr>
                <w:rFonts w:hint="eastAsia"/>
                <w:lang w:val="en-US" w:eastAsia="zh-CN"/>
              </w:rPr>
            </w:pPr>
            <w:r>
              <w:rPr>
                <w:rFonts w:hint="eastAsia"/>
                <w:lang w:val="en-US" w:eastAsia="zh-CN"/>
              </w:rPr>
              <w:t>（废水）</w:t>
            </w:r>
          </w:p>
        </w:tc>
        <w:tc>
          <w:tcPr>
            <w:tcW w:w="222" w:type="pct"/>
            <w:vMerge w:val="continue"/>
            <w:vAlign w:val="center"/>
          </w:tcPr>
          <w:p w14:paraId="19997DFB">
            <w:pPr>
              <w:pStyle w:val="26"/>
              <w:bidi w:val="0"/>
              <w:rPr>
                <w:rFonts w:hint="eastAsia"/>
                <w:lang w:val="en-US" w:eastAsia="zh-CN"/>
              </w:rPr>
            </w:pPr>
          </w:p>
        </w:tc>
        <w:tc>
          <w:tcPr>
            <w:tcW w:w="658" w:type="pct"/>
            <w:vAlign w:val="center"/>
          </w:tcPr>
          <w:p w14:paraId="6ED93EBF">
            <w:pPr>
              <w:pStyle w:val="26"/>
              <w:bidi w:val="0"/>
              <w:rPr>
                <w:rFonts w:hint="eastAsia"/>
                <w:lang w:val="en-US" w:eastAsia="zh-CN"/>
              </w:rPr>
            </w:pPr>
            <w:r>
              <w:rPr>
                <w:rFonts w:hint="eastAsia"/>
                <w:lang w:val="en-US" w:eastAsia="zh-CN"/>
              </w:rPr>
              <w:t>废水处理</w:t>
            </w:r>
          </w:p>
        </w:tc>
        <w:tc>
          <w:tcPr>
            <w:tcW w:w="332" w:type="pct"/>
            <w:vAlign w:val="center"/>
          </w:tcPr>
          <w:p w14:paraId="628107E3">
            <w:pPr>
              <w:pStyle w:val="26"/>
              <w:bidi w:val="0"/>
              <w:rPr>
                <w:rFonts w:hint="eastAsia"/>
                <w:lang w:val="en-US" w:eastAsia="zh-CN"/>
              </w:rPr>
            </w:pPr>
            <w:r>
              <w:rPr>
                <w:rFonts w:hint="eastAsia"/>
                <w:lang w:val="en-US" w:eastAsia="zh-CN"/>
              </w:rPr>
              <w:t>固体</w:t>
            </w:r>
          </w:p>
        </w:tc>
        <w:tc>
          <w:tcPr>
            <w:tcW w:w="614" w:type="pct"/>
            <w:vAlign w:val="center"/>
          </w:tcPr>
          <w:p w14:paraId="53BD3C62">
            <w:pPr>
              <w:pStyle w:val="26"/>
              <w:bidi w:val="0"/>
              <w:rPr>
                <w:rFonts w:hint="eastAsia"/>
                <w:lang w:val="en-US" w:eastAsia="zh-CN"/>
              </w:rPr>
            </w:pPr>
            <w:r>
              <w:rPr>
                <w:rFonts w:hint="eastAsia"/>
                <w:lang w:val="en-US" w:eastAsia="zh-CN"/>
              </w:rPr>
              <w:t>活性炭</w:t>
            </w:r>
          </w:p>
        </w:tc>
        <w:tc>
          <w:tcPr>
            <w:tcW w:w="252" w:type="pct"/>
            <w:vMerge w:val="continue"/>
            <w:vAlign w:val="center"/>
          </w:tcPr>
          <w:p w14:paraId="569128AC">
            <w:pPr>
              <w:pStyle w:val="26"/>
              <w:bidi w:val="0"/>
              <w:rPr>
                <w:rFonts w:hint="eastAsia"/>
                <w:lang w:val="en-US" w:eastAsia="zh-CN"/>
              </w:rPr>
            </w:pPr>
          </w:p>
        </w:tc>
        <w:tc>
          <w:tcPr>
            <w:tcW w:w="239" w:type="pct"/>
            <w:vAlign w:val="center"/>
          </w:tcPr>
          <w:p w14:paraId="268DCF04">
            <w:pPr>
              <w:pStyle w:val="26"/>
              <w:bidi w:val="0"/>
              <w:rPr>
                <w:rFonts w:hint="eastAsia"/>
                <w:lang w:val="en-US" w:eastAsia="zh-CN"/>
              </w:rPr>
            </w:pPr>
            <w:r>
              <w:rPr>
                <w:rFonts w:hint="eastAsia"/>
                <w:lang w:val="en-US" w:eastAsia="zh-CN"/>
              </w:rPr>
              <w:t>T</w:t>
            </w:r>
          </w:p>
        </w:tc>
        <w:tc>
          <w:tcPr>
            <w:tcW w:w="380" w:type="pct"/>
            <w:vAlign w:val="center"/>
          </w:tcPr>
          <w:p w14:paraId="137CFCA6">
            <w:pPr>
              <w:pStyle w:val="26"/>
              <w:bidi w:val="0"/>
              <w:rPr>
                <w:rFonts w:hint="eastAsia"/>
                <w:lang w:val="en-US" w:eastAsia="zh-CN"/>
              </w:rPr>
            </w:pPr>
            <w:r>
              <w:rPr>
                <w:rFonts w:hint="eastAsia"/>
                <w:lang w:val="en-US" w:eastAsia="zh-CN"/>
              </w:rPr>
              <w:t>HW49</w:t>
            </w:r>
          </w:p>
        </w:tc>
        <w:tc>
          <w:tcPr>
            <w:tcW w:w="489" w:type="pct"/>
            <w:vAlign w:val="center"/>
          </w:tcPr>
          <w:p w14:paraId="22181FB9">
            <w:pPr>
              <w:pStyle w:val="26"/>
              <w:bidi w:val="0"/>
              <w:rPr>
                <w:rFonts w:hint="eastAsia"/>
                <w:lang w:val="en-US" w:eastAsia="zh-CN"/>
              </w:rPr>
            </w:pPr>
            <w:r>
              <w:rPr>
                <w:rFonts w:hint="eastAsia"/>
                <w:lang w:val="en-US" w:eastAsia="zh-CN"/>
              </w:rPr>
              <w:t>900-041-49</w:t>
            </w:r>
          </w:p>
        </w:tc>
        <w:tc>
          <w:tcPr>
            <w:tcW w:w="364" w:type="pct"/>
            <w:vAlign w:val="center"/>
          </w:tcPr>
          <w:p w14:paraId="43FD7211">
            <w:pPr>
              <w:pStyle w:val="26"/>
              <w:bidi w:val="0"/>
              <w:rPr>
                <w:rFonts w:hint="eastAsia"/>
                <w:lang w:val="en-US" w:eastAsia="zh-CN"/>
              </w:rPr>
            </w:pPr>
            <w:r>
              <w:rPr>
                <w:rFonts w:hint="eastAsia"/>
                <w:lang w:val="en-US" w:eastAsia="zh-CN"/>
              </w:rPr>
              <w:t>0.5</w:t>
            </w:r>
          </w:p>
        </w:tc>
        <w:tc>
          <w:tcPr>
            <w:tcW w:w="717" w:type="pct"/>
            <w:vMerge w:val="continue"/>
            <w:vAlign w:val="center"/>
          </w:tcPr>
          <w:p w14:paraId="592CD1BB">
            <w:pPr>
              <w:pStyle w:val="26"/>
              <w:bidi w:val="0"/>
              <w:rPr>
                <w:rFonts w:hint="eastAsia"/>
                <w:lang w:val="en-US" w:eastAsia="zh-CN"/>
              </w:rPr>
            </w:pPr>
          </w:p>
        </w:tc>
      </w:tr>
      <w:tr w14:paraId="2C03E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71" w:type="pct"/>
            <w:vAlign w:val="center"/>
          </w:tcPr>
          <w:p w14:paraId="7CC2820C">
            <w:pPr>
              <w:pStyle w:val="26"/>
              <w:bidi w:val="0"/>
              <w:rPr>
                <w:rFonts w:hint="eastAsia"/>
                <w:lang w:val="en-US" w:eastAsia="zh-CN"/>
              </w:rPr>
            </w:pPr>
            <w:r>
              <w:rPr>
                <w:rFonts w:hint="eastAsia"/>
                <w:lang w:val="en-US" w:eastAsia="zh-CN"/>
              </w:rPr>
              <w:t>11.</w:t>
            </w:r>
          </w:p>
        </w:tc>
        <w:tc>
          <w:tcPr>
            <w:tcW w:w="556" w:type="pct"/>
            <w:vAlign w:val="center"/>
          </w:tcPr>
          <w:p w14:paraId="241358EF">
            <w:pPr>
              <w:pStyle w:val="26"/>
              <w:bidi w:val="0"/>
              <w:rPr>
                <w:rFonts w:hint="eastAsia"/>
                <w:lang w:val="en-US" w:eastAsia="zh-CN"/>
              </w:rPr>
            </w:pPr>
            <w:r>
              <w:rPr>
                <w:rFonts w:hint="eastAsia"/>
                <w:lang w:val="en-US" w:eastAsia="zh-CN"/>
              </w:rPr>
              <w:t>废 RO 膜</w:t>
            </w:r>
          </w:p>
        </w:tc>
        <w:tc>
          <w:tcPr>
            <w:tcW w:w="222" w:type="pct"/>
            <w:vMerge w:val="continue"/>
            <w:vAlign w:val="center"/>
          </w:tcPr>
          <w:p w14:paraId="44C6C4AB">
            <w:pPr>
              <w:pStyle w:val="26"/>
              <w:bidi w:val="0"/>
              <w:rPr>
                <w:rFonts w:hint="eastAsia"/>
                <w:lang w:val="en-US" w:eastAsia="zh-CN"/>
              </w:rPr>
            </w:pPr>
          </w:p>
        </w:tc>
        <w:tc>
          <w:tcPr>
            <w:tcW w:w="658" w:type="pct"/>
            <w:vAlign w:val="center"/>
          </w:tcPr>
          <w:p w14:paraId="46CA0CE5">
            <w:pPr>
              <w:pStyle w:val="26"/>
              <w:bidi w:val="0"/>
              <w:rPr>
                <w:rFonts w:hint="eastAsia"/>
                <w:lang w:val="en-US" w:eastAsia="zh-CN"/>
              </w:rPr>
            </w:pPr>
            <w:r>
              <w:rPr>
                <w:rFonts w:hint="eastAsia"/>
                <w:lang w:val="en-US" w:eastAsia="zh-CN"/>
              </w:rPr>
              <w:t>废水处理</w:t>
            </w:r>
          </w:p>
        </w:tc>
        <w:tc>
          <w:tcPr>
            <w:tcW w:w="332" w:type="pct"/>
            <w:vAlign w:val="center"/>
          </w:tcPr>
          <w:p w14:paraId="6ADE4C23">
            <w:pPr>
              <w:pStyle w:val="26"/>
              <w:bidi w:val="0"/>
              <w:rPr>
                <w:rFonts w:hint="eastAsia"/>
                <w:lang w:val="en-US" w:eastAsia="zh-CN"/>
              </w:rPr>
            </w:pPr>
            <w:r>
              <w:rPr>
                <w:rFonts w:hint="eastAsia"/>
                <w:lang w:val="en-US" w:eastAsia="zh-CN"/>
              </w:rPr>
              <w:t>固体</w:t>
            </w:r>
          </w:p>
        </w:tc>
        <w:tc>
          <w:tcPr>
            <w:tcW w:w="614" w:type="pct"/>
            <w:vAlign w:val="center"/>
          </w:tcPr>
          <w:p w14:paraId="64B90487">
            <w:pPr>
              <w:pStyle w:val="26"/>
              <w:bidi w:val="0"/>
              <w:rPr>
                <w:rFonts w:hint="eastAsia"/>
                <w:lang w:val="en-US" w:eastAsia="zh-CN"/>
              </w:rPr>
            </w:pPr>
            <w:r>
              <w:rPr>
                <w:rFonts w:hint="eastAsia"/>
                <w:lang w:val="en-US" w:eastAsia="zh-CN"/>
              </w:rPr>
              <w:t>废 RO 膜</w:t>
            </w:r>
          </w:p>
        </w:tc>
        <w:tc>
          <w:tcPr>
            <w:tcW w:w="252" w:type="pct"/>
            <w:vMerge w:val="continue"/>
            <w:vAlign w:val="center"/>
          </w:tcPr>
          <w:p w14:paraId="06B5C367">
            <w:pPr>
              <w:pStyle w:val="26"/>
              <w:bidi w:val="0"/>
              <w:rPr>
                <w:rFonts w:hint="eastAsia"/>
                <w:lang w:val="en-US" w:eastAsia="zh-CN"/>
              </w:rPr>
            </w:pPr>
          </w:p>
        </w:tc>
        <w:tc>
          <w:tcPr>
            <w:tcW w:w="239" w:type="pct"/>
            <w:vAlign w:val="center"/>
          </w:tcPr>
          <w:p w14:paraId="350A73F8">
            <w:pPr>
              <w:pStyle w:val="26"/>
              <w:bidi w:val="0"/>
              <w:rPr>
                <w:rFonts w:hint="eastAsia"/>
                <w:lang w:val="en-US" w:eastAsia="zh-CN"/>
              </w:rPr>
            </w:pPr>
            <w:r>
              <w:rPr>
                <w:rFonts w:hint="eastAsia"/>
                <w:lang w:val="en-US" w:eastAsia="zh-CN"/>
              </w:rPr>
              <w:t>T</w:t>
            </w:r>
          </w:p>
        </w:tc>
        <w:tc>
          <w:tcPr>
            <w:tcW w:w="380" w:type="pct"/>
            <w:vAlign w:val="center"/>
          </w:tcPr>
          <w:p w14:paraId="465F5E7A">
            <w:pPr>
              <w:pStyle w:val="26"/>
              <w:bidi w:val="0"/>
              <w:rPr>
                <w:rFonts w:hint="eastAsia"/>
                <w:lang w:val="en-US" w:eastAsia="zh-CN"/>
              </w:rPr>
            </w:pPr>
            <w:r>
              <w:rPr>
                <w:rFonts w:hint="eastAsia"/>
                <w:lang w:val="en-US" w:eastAsia="zh-CN"/>
              </w:rPr>
              <w:t>HW49</w:t>
            </w:r>
          </w:p>
        </w:tc>
        <w:tc>
          <w:tcPr>
            <w:tcW w:w="489" w:type="pct"/>
            <w:vAlign w:val="center"/>
          </w:tcPr>
          <w:p w14:paraId="4043F61F">
            <w:pPr>
              <w:pStyle w:val="26"/>
              <w:bidi w:val="0"/>
              <w:rPr>
                <w:rFonts w:hint="eastAsia"/>
                <w:lang w:val="en-US" w:eastAsia="zh-CN"/>
              </w:rPr>
            </w:pPr>
            <w:r>
              <w:rPr>
                <w:rFonts w:hint="eastAsia"/>
                <w:lang w:val="en-US" w:eastAsia="zh-CN"/>
              </w:rPr>
              <w:t>900-041-49</w:t>
            </w:r>
          </w:p>
        </w:tc>
        <w:tc>
          <w:tcPr>
            <w:tcW w:w="364" w:type="pct"/>
            <w:vAlign w:val="center"/>
          </w:tcPr>
          <w:p w14:paraId="0FA7AD61">
            <w:pPr>
              <w:pStyle w:val="26"/>
              <w:bidi w:val="0"/>
              <w:rPr>
                <w:rFonts w:hint="eastAsia"/>
                <w:lang w:val="en-US" w:eastAsia="zh-CN"/>
              </w:rPr>
            </w:pPr>
            <w:r>
              <w:rPr>
                <w:rFonts w:hint="eastAsia"/>
                <w:lang w:val="en-US" w:eastAsia="zh-CN"/>
              </w:rPr>
              <w:t>0.3</w:t>
            </w:r>
          </w:p>
        </w:tc>
        <w:tc>
          <w:tcPr>
            <w:tcW w:w="717" w:type="pct"/>
            <w:vMerge w:val="continue"/>
            <w:vAlign w:val="center"/>
          </w:tcPr>
          <w:p w14:paraId="63A90A14">
            <w:pPr>
              <w:pStyle w:val="26"/>
              <w:bidi w:val="0"/>
              <w:rPr>
                <w:rFonts w:hint="eastAsia"/>
                <w:lang w:val="en-US" w:eastAsia="zh-CN"/>
              </w:rPr>
            </w:pPr>
          </w:p>
        </w:tc>
      </w:tr>
      <w:tr w14:paraId="5E57F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71" w:type="pct"/>
            <w:vAlign w:val="center"/>
          </w:tcPr>
          <w:p w14:paraId="37C24F7C">
            <w:pPr>
              <w:pStyle w:val="26"/>
              <w:bidi w:val="0"/>
              <w:rPr>
                <w:rFonts w:hint="eastAsia"/>
                <w:lang w:val="en-US" w:eastAsia="zh-CN"/>
              </w:rPr>
            </w:pPr>
            <w:r>
              <w:rPr>
                <w:rFonts w:hint="eastAsia"/>
                <w:lang w:val="en-US" w:eastAsia="zh-CN"/>
              </w:rPr>
              <w:t>12.</w:t>
            </w:r>
          </w:p>
        </w:tc>
        <w:tc>
          <w:tcPr>
            <w:tcW w:w="556" w:type="pct"/>
            <w:vAlign w:val="center"/>
          </w:tcPr>
          <w:p w14:paraId="124A2AFC">
            <w:pPr>
              <w:pStyle w:val="26"/>
              <w:bidi w:val="0"/>
              <w:rPr>
                <w:rFonts w:hint="eastAsia"/>
                <w:lang w:val="en-US" w:eastAsia="zh-CN"/>
              </w:rPr>
            </w:pPr>
            <w:r>
              <w:rPr>
                <w:rFonts w:hint="eastAsia"/>
                <w:lang w:val="en-US" w:eastAsia="zh-CN"/>
              </w:rPr>
              <w:t>废石英砂</w:t>
            </w:r>
          </w:p>
        </w:tc>
        <w:tc>
          <w:tcPr>
            <w:tcW w:w="222" w:type="pct"/>
            <w:vMerge w:val="continue"/>
            <w:vAlign w:val="center"/>
          </w:tcPr>
          <w:p w14:paraId="0D9F6584">
            <w:pPr>
              <w:pStyle w:val="26"/>
              <w:bidi w:val="0"/>
              <w:rPr>
                <w:rFonts w:hint="eastAsia"/>
                <w:lang w:val="en-US" w:eastAsia="zh-CN"/>
              </w:rPr>
            </w:pPr>
          </w:p>
        </w:tc>
        <w:tc>
          <w:tcPr>
            <w:tcW w:w="658" w:type="pct"/>
            <w:vAlign w:val="center"/>
          </w:tcPr>
          <w:p w14:paraId="1284EB0E">
            <w:pPr>
              <w:pStyle w:val="26"/>
              <w:bidi w:val="0"/>
              <w:rPr>
                <w:rFonts w:hint="eastAsia"/>
                <w:lang w:val="en-US" w:eastAsia="zh-CN"/>
              </w:rPr>
            </w:pPr>
            <w:r>
              <w:rPr>
                <w:rFonts w:hint="eastAsia"/>
                <w:lang w:val="en-US" w:eastAsia="zh-CN"/>
              </w:rPr>
              <w:t>废水处理</w:t>
            </w:r>
          </w:p>
        </w:tc>
        <w:tc>
          <w:tcPr>
            <w:tcW w:w="332" w:type="pct"/>
            <w:vAlign w:val="center"/>
          </w:tcPr>
          <w:p w14:paraId="1F41466C">
            <w:pPr>
              <w:pStyle w:val="26"/>
              <w:bidi w:val="0"/>
              <w:rPr>
                <w:rFonts w:hint="eastAsia"/>
                <w:lang w:val="en-US" w:eastAsia="zh-CN"/>
              </w:rPr>
            </w:pPr>
            <w:r>
              <w:rPr>
                <w:rFonts w:hint="eastAsia"/>
                <w:lang w:val="en-US" w:eastAsia="zh-CN"/>
              </w:rPr>
              <w:t>固体</w:t>
            </w:r>
          </w:p>
        </w:tc>
        <w:tc>
          <w:tcPr>
            <w:tcW w:w="614" w:type="pct"/>
            <w:vAlign w:val="center"/>
          </w:tcPr>
          <w:p w14:paraId="29E5CF56">
            <w:pPr>
              <w:pStyle w:val="26"/>
              <w:bidi w:val="0"/>
              <w:rPr>
                <w:rFonts w:hint="eastAsia"/>
                <w:lang w:val="en-US" w:eastAsia="zh-CN"/>
              </w:rPr>
            </w:pPr>
            <w:r>
              <w:rPr>
                <w:rFonts w:hint="eastAsia"/>
                <w:lang w:val="en-US" w:eastAsia="zh-CN"/>
              </w:rPr>
              <w:t>废石英砂</w:t>
            </w:r>
          </w:p>
        </w:tc>
        <w:tc>
          <w:tcPr>
            <w:tcW w:w="252" w:type="pct"/>
            <w:vMerge w:val="continue"/>
            <w:vAlign w:val="center"/>
          </w:tcPr>
          <w:p w14:paraId="04AF9BD5">
            <w:pPr>
              <w:pStyle w:val="26"/>
              <w:bidi w:val="0"/>
              <w:rPr>
                <w:rFonts w:hint="eastAsia"/>
                <w:lang w:val="en-US" w:eastAsia="zh-CN"/>
              </w:rPr>
            </w:pPr>
          </w:p>
        </w:tc>
        <w:tc>
          <w:tcPr>
            <w:tcW w:w="239" w:type="pct"/>
            <w:vAlign w:val="center"/>
          </w:tcPr>
          <w:p w14:paraId="612CAFAF">
            <w:pPr>
              <w:pStyle w:val="26"/>
              <w:bidi w:val="0"/>
              <w:rPr>
                <w:rFonts w:hint="eastAsia"/>
                <w:lang w:val="en-US" w:eastAsia="zh-CN"/>
              </w:rPr>
            </w:pPr>
            <w:r>
              <w:rPr>
                <w:rFonts w:hint="eastAsia"/>
                <w:lang w:val="en-US" w:eastAsia="zh-CN"/>
              </w:rPr>
              <w:t>T</w:t>
            </w:r>
          </w:p>
        </w:tc>
        <w:tc>
          <w:tcPr>
            <w:tcW w:w="380" w:type="pct"/>
            <w:vAlign w:val="center"/>
          </w:tcPr>
          <w:p w14:paraId="55AD3DB3">
            <w:pPr>
              <w:pStyle w:val="26"/>
              <w:bidi w:val="0"/>
              <w:rPr>
                <w:rFonts w:hint="eastAsia"/>
                <w:lang w:val="en-US" w:eastAsia="zh-CN"/>
              </w:rPr>
            </w:pPr>
            <w:r>
              <w:rPr>
                <w:rFonts w:hint="eastAsia"/>
                <w:lang w:val="en-US" w:eastAsia="zh-CN"/>
              </w:rPr>
              <w:t>HW49</w:t>
            </w:r>
          </w:p>
        </w:tc>
        <w:tc>
          <w:tcPr>
            <w:tcW w:w="489" w:type="pct"/>
            <w:vAlign w:val="center"/>
          </w:tcPr>
          <w:p w14:paraId="4735E837">
            <w:pPr>
              <w:pStyle w:val="26"/>
              <w:bidi w:val="0"/>
              <w:rPr>
                <w:rFonts w:hint="eastAsia"/>
                <w:lang w:val="en-US" w:eastAsia="zh-CN"/>
              </w:rPr>
            </w:pPr>
            <w:r>
              <w:rPr>
                <w:rFonts w:hint="eastAsia"/>
                <w:lang w:val="en-US" w:eastAsia="zh-CN"/>
              </w:rPr>
              <w:t>900-041-49</w:t>
            </w:r>
          </w:p>
        </w:tc>
        <w:tc>
          <w:tcPr>
            <w:tcW w:w="364" w:type="pct"/>
            <w:vAlign w:val="center"/>
          </w:tcPr>
          <w:p w14:paraId="2FE2A563">
            <w:pPr>
              <w:pStyle w:val="26"/>
              <w:bidi w:val="0"/>
              <w:rPr>
                <w:rFonts w:hint="eastAsia"/>
                <w:lang w:val="en-US" w:eastAsia="zh-CN"/>
              </w:rPr>
            </w:pPr>
            <w:r>
              <w:rPr>
                <w:rFonts w:hint="eastAsia"/>
                <w:lang w:val="en-US" w:eastAsia="zh-CN"/>
              </w:rPr>
              <w:t>0.3</w:t>
            </w:r>
          </w:p>
        </w:tc>
        <w:tc>
          <w:tcPr>
            <w:tcW w:w="717" w:type="pct"/>
            <w:vMerge w:val="continue"/>
            <w:vAlign w:val="center"/>
          </w:tcPr>
          <w:p w14:paraId="7005CDB5">
            <w:pPr>
              <w:pStyle w:val="26"/>
              <w:bidi w:val="0"/>
              <w:rPr>
                <w:rFonts w:hint="eastAsia"/>
                <w:lang w:val="en-US" w:eastAsia="zh-CN"/>
              </w:rPr>
            </w:pPr>
          </w:p>
        </w:tc>
      </w:tr>
      <w:tr w14:paraId="43052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1AC95227">
            <w:pPr>
              <w:pStyle w:val="26"/>
              <w:bidi w:val="0"/>
              <w:rPr>
                <w:rFonts w:hint="eastAsia"/>
                <w:lang w:val="en-US" w:eastAsia="zh-CN"/>
              </w:rPr>
            </w:pPr>
            <w:r>
              <w:rPr>
                <w:rFonts w:hint="eastAsia"/>
                <w:lang w:val="en-US" w:eastAsia="zh-CN"/>
              </w:rPr>
              <w:t>13.</w:t>
            </w:r>
          </w:p>
        </w:tc>
        <w:tc>
          <w:tcPr>
            <w:tcW w:w="556" w:type="pct"/>
            <w:vAlign w:val="center"/>
          </w:tcPr>
          <w:p w14:paraId="49E9F4C6">
            <w:pPr>
              <w:pStyle w:val="26"/>
              <w:bidi w:val="0"/>
              <w:rPr>
                <w:rFonts w:hint="eastAsia"/>
                <w:lang w:val="en-US" w:eastAsia="zh-CN"/>
              </w:rPr>
            </w:pPr>
            <w:r>
              <w:rPr>
                <w:rFonts w:hint="eastAsia"/>
                <w:lang w:val="en-US" w:eastAsia="zh-CN"/>
              </w:rPr>
              <w:t>废手套、抹布</w:t>
            </w:r>
          </w:p>
        </w:tc>
        <w:tc>
          <w:tcPr>
            <w:tcW w:w="222" w:type="pct"/>
            <w:vMerge w:val="continue"/>
            <w:vAlign w:val="center"/>
          </w:tcPr>
          <w:p w14:paraId="1F2FE682">
            <w:pPr>
              <w:pStyle w:val="26"/>
              <w:bidi w:val="0"/>
              <w:rPr>
                <w:rFonts w:hint="eastAsia"/>
                <w:lang w:val="en-US" w:eastAsia="zh-CN"/>
              </w:rPr>
            </w:pPr>
          </w:p>
        </w:tc>
        <w:tc>
          <w:tcPr>
            <w:tcW w:w="658" w:type="pct"/>
            <w:vAlign w:val="center"/>
          </w:tcPr>
          <w:p w14:paraId="49E0003D">
            <w:pPr>
              <w:pStyle w:val="26"/>
              <w:bidi w:val="0"/>
              <w:rPr>
                <w:rFonts w:hint="eastAsia"/>
                <w:lang w:val="en-US" w:eastAsia="zh-CN"/>
              </w:rPr>
            </w:pPr>
            <w:r>
              <w:rPr>
                <w:rFonts w:hint="eastAsia"/>
                <w:lang w:val="en-US" w:eastAsia="zh-CN"/>
              </w:rPr>
              <w:t>员工保护</w:t>
            </w:r>
          </w:p>
        </w:tc>
        <w:tc>
          <w:tcPr>
            <w:tcW w:w="332" w:type="pct"/>
            <w:vAlign w:val="center"/>
          </w:tcPr>
          <w:p w14:paraId="19E4414C">
            <w:pPr>
              <w:pStyle w:val="26"/>
              <w:bidi w:val="0"/>
              <w:rPr>
                <w:rFonts w:hint="eastAsia"/>
                <w:lang w:val="en-US" w:eastAsia="zh-CN"/>
              </w:rPr>
            </w:pPr>
            <w:r>
              <w:rPr>
                <w:rFonts w:hint="eastAsia"/>
                <w:lang w:val="en-US" w:eastAsia="zh-CN"/>
              </w:rPr>
              <w:t>固体</w:t>
            </w:r>
          </w:p>
        </w:tc>
        <w:tc>
          <w:tcPr>
            <w:tcW w:w="614" w:type="pct"/>
            <w:vAlign w:val="center"/>
          </w:tcPr>
          <w:p w14:paraId="1177452D">
            <w:pPr>
              <w:pStyle w:val="26"/>
              <w:bidi w:val="0"/>
              <w:rPr>
                <w:rFonts w:hint="eastAsia"/>
                <w:lang w:val="en-US" w:eastAsia="zh-CN"/>
              </w:rPr>
            </w:pPr>
            <w:r>
              <w:rPr>
                <w:rFonts w:hint="eastAsia"/>
                <w:lang w:val="en-US" w:eastAsia="zh-CN"/>
              </w:rPr>
              <w:t>手套、抹布</w:t>
            </w:r>
          </w:p>
        </w:tc>
        <w:tc>
          <w:tcPr>
            <w:tcW w:w="252" w:type="pct"/>
            <w:vMerge w:val="continue"/>
            <w:vAlign w:val="center"/>
          </w:tcPr>
          <w:p w14:paraId="118EBC3F">
            <w:pPr>
              <w:pStyle w:val="26"/>
              <w:bidi w:val="0"/>
              <w:rPr>
                <w:rFonts w:hint="eastAsia"/>
                <w:lang w:val="en-US" w:eastAsia="zh-CN"/>
              </w:rPr>
            </w:pPr>
          </w:p>
        </w:tc>
        <w:tc>
          <w:tcPr>
            <w:tcW w:w="239" w:type="pct"/>
            <w:vAlign w:val="center"/>
          </w:tcPr>
          <w:p w14:paraId="0C2FFAC4">
            <w:pPr>
              <w:pStyle w:val="26"/>
              <w:bidi w:val="0"/>
              <w:rPr>
                <w:rFonts w:hint="eastAsia"/>
                <w:lang w:val="en-US" w:eastAsia="zh-CN"/>
              </w:rPr>
            </w:pPr>
            <w:r>
              <w:rPr>
                <w:rFonts w:hint="eastAsia"/>
                <w:lang w:val="en-US" w:eastAsia="zh-CN"/>
              </w:rPr>
              <w:t>T/In</w:t>
            </w:r>
          </w:p>
        </w:tc>
        <w:tc>
          <w:tcPr>
            <w:tcW w:w="380" w:type="pct"/>
            <w:vAlign w:val="center"/>
          </w:tcPr>
          <w:p w14:paraId="1723B552">
            <w:pPr>
              <w:pStyle w:val="26"/>
              <w:bidi w:val="0"/>
              <w:rPr>
                <w:rFonts w:hint="eastAsia"/>
                <w:lang w:val="en-US" w:eastAsia="zh-CN"/>
              </w:rPr>
            </w:pPr>
            <w:r>
              <w:rPr>
                <w:rFonts w:hint="eastAsia"/>
                <w:lang w:val="en-US" w:eastAsia="zh-CN"/>
              </w:rPr>
              <w:t>HW49</w:t>
            </w:r>
          </w:p>
        </w:tc>
        <w:tc>
          <w:tcPr>
            <w:tcW w:w="489" w:type="pct"/>
            <w:vAlign w:val="center"/>
          </w:tcPr>
          <w:p w14:paraId="5CFDC9AB">
            <w:pPr>
              <w:pStyle w:val="26"/>
              <w:bidi w:val="0"/>
              <w:rPr>
                <w:rFonts w:hint="eastAsia"/>
                <w:lang w:val="en-US" w:eastAsia="zh-CN"/>
              </w:rPr>
            </w:pPr>
            <w:r>
              <w:rPr>
                <w:rFonts w:hint="eastAsia"/>
                <w:lang w:val="en-US" w:eastAsia="zh-CN"/>
              </w:rPr>
              <w:t>900-041-49</w:t>
            </w:r>
          </w:p>
        </w:tc>
        <w:tc>
          <w:tcPr>
            <w:tcW w:w="364" w:type="pct"/>
            <w:vAlign w:val="center"/>
          </w:tcPr>
          <w:p w14:paraId="5F245D5A">
            <w:pPr>
              <w:pStyle w:val="26"/>
              <w:bidi w:val="0"/>
              <w:rPr>
                <w:rFonts w:hint="eastAsia"/>
                <w:lang w:val="en-US" w:eastAsia="zh-CN"/>
              </w:rPr>
            </w:pPr>
            <w:r>
              <w:rPr>
                <w:rFonts w:hint="eastAsia"/>
                <w:lang w:val="en-US" w:eastAsia="zh-CN"/>
              </w:rPr>
              <w:t>1</w:t>
            </w:r>
          </w:p>
        </w:tc>
        <w:tc>
          <w:tcPr>
            <w:tcW w:w="717" w:type="pct"/>
            <w:vMerge w:val="continue"/>
            <w:vAlign w:val="center"/>
          </w:tcPr>
          <w:p w14:paraId="3C8DE0ED">
            <w:pPr>
              <w:pStyle w:val="26"/>
              <w:bidi w:val="0"/>
              <w:rPr>
                <w:rFonts w:hint="eastAsia"/>
                <w:lang w:val="en-US" w:eastAsia="zh-CN"/>
              </w:rPr>
            </w:pPr>
          </w:p>
        </w:tc>
      </w:tr>
      <w:tr w14:paraId="76FE2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5E18572D">
            <w:pPr>
              <w:pStyle w:val="26"/>
              <w:bidi w:val="0"/>
              <w:rPr>
                <w:rFonts w:hint="eastAsia"/>
                <w:lang w:val="en-US" w:eastAsia="zh-CN"/>
              </w:rPr>
            </w:pPr>
            <w:r>
              <w:rPr>
                <w:rFonts w:hint="eastAsia"/>
                <w:lang w:val="en-US" w:eastAsia="zh-CN"/>
              </w:rPr>
              <w:t>14.</w:t>
            </w:r>
          </w:p>
        </w:tc>
        <w:tc>
          <w:tcPr>
            <w:tcW w:w="556" w:type="pct"/>
            <w:vAlign w:val="center"/>
          </w:tcPr>
          <w:p w14:paraId="6F87E309">
            <w:pPr>
              <w:pStyle w:val="26"/>
              <w:bidi w:val="0"/>
              <w:rPr>
                <w:rFonts w:hint="eastAsia"/>
                <w:lang w:val="en-US" w:eastAsia="zh-CN"/>
              </w:rPr>
            </w:pPr>
            <w:r>
              <w:rPr>
                <w:rFonts w:hint="eastAsia"/>
                <w:lang w:val="en-US" w:eastAsia="zh-CN"/>
              </w:rPr>
              <w:t>碱铜废液</w:t>
            </w:r>
          </w:p>
        </w:tc>
        <w:tc>
          <w:tcPr>
            <w:tcW w:w="222" w:type="pct"/>
            <w:vMerge w:val="continue"/>
            <w:vAlign w:val="center"/>
          </w:tcPr>
          <w:p w14:paraId="027BE9DC">
            <w:pPr>
              <w:pStyle w:val="26"/>
              <w:bidi w:val="0"/>
              <w:rPr>
                <w:rFonts w:hint="eastAsia"/>
                <w:lang w:val="en-US" w:eastAsia="zh-CN"/>
              </w:rPr>
            </w:pPr>
          </w:p>
        </w:tc>
        <w:tc>
          <w:tcPr>
            <w:tcW w:w="658" w:type="pct"/>
            <w:vAlign w:val="center"/>
          </w:tcPr>
          <w:p w14:paraId="71A1B216">
            <w:pPr>
              <w:pStyle w:val="26"/>
              <w:bidi w:val="0"/>
              <w:rPr>
                <w:rFonts w:hint="eastAsia"/>
                <w:lang w:val="en-US" w:eastAsia="zh-CN"/>
              </w:rPr>
            </w:pPr>
            <w:r>
              <w:rPr>
                <w:rFonts w:hint="eastAsia"/>
                <w:lang w:val="en-US" w:eastAsia="zh-CN"/>
              </w:rPr>
              <w:t>碱铜</w:t>
            </w:r>
          </w:p>
        </w:tc>
        <w:tc>
          <w:tcPr>
            <w:tcW w:w="332" w:type="pct"/>
            <w:vAlign w:val="center"/>
          </w:tcPr>
          <w:p w14:paraId="6738753D">
            <w:pPr>
              <w:pStyle w:val="26"/>
              <w:bidi w:val="0"/>
              <w:rPr>
                <w:rFonts w:hint="eastAsia"/>
                <w:lang w:val="en-US" w:eastAsia="zh-CN"/>
              </w:rPr>
            </w:pPr>
            <w:r>
              <w:rPr>
                <w:rFonts w:hint="eastAsia"/>
                <w:lang w:val="en-US" w:eastAsia="zh-CN"/>
              </w:rPr>
              <w:t>液体</w:t>
            </w:r>
          </w:p>
        </w:tc>
        <w:tc>
          <w:tcPr>
            <w:tcW w:w="614" w:type="pct"/>
            <w:vAlign w:val="center"/>
          </w:tcPr>
          <w:p w14:paraId="049C7A1A">
            <w:pPr>
              <w:pStyle w:val="26"/>
              <w:bidi w:val="0"/>
              <w:rPr>
                <w:rFonts w:hint="eastAsia"/>
                <w:lang w:val="en-US" w:eastAsia="zh-CN"/>
              </w:rPr>
            </w:pPr>
            <w:r>
              <w:rPr>
                <w:rFonts w:hint="eastAsia"/>
                <w:lang w:val="en-US" w:eastAsia="zh-CN"/>
              </w:rPr>
              <w:t>碳酸钾、氢氧化钾等</w:t>
            </w:r>
          </w:p>
        </w:tc>
        <w:tc>
          <w:tcPr>
            <w:tcW w:w="252" w:type="pct"/>
            <w:vMerge w:val="continue"/>
            <w:vAlign w:val="center"/>
          </w:tcPr>
          <w:p w14:paraId="1C72B6B0">
            <w:pPr>
              <w:pStyle w:val="26"/>
              <w:bidi w:val="0"/>
              <w:rPr>
                <w:rFonts w:hint="eastAsia"/>
                <w:lang w:val="en-US" w:eastAsia="zh-CN"/>
              </w:rPr>
            </w:pPr>
          </w:p>
        </w:tc>
        <w:tc>
          <w:tcPr>
            <w:tcW w:w="239" w:type="pct"/>
            <w:vAlign w:val="center"/>
          </w:tcPr>
          <w:p w14:paraId="040BDADA">
            <w:pPr>
              <w:pStyle w:val="26"/>
              <w:bidi w:val="0"/>
              <w:rPr>
                <w:rFonts w:hint="eastAsia"/>
                <w:lang w:val="en-US" w:eastAsia="zh-CN"/>
              </w:rPr>
            </w:pPr>
            <w:r>
              <w:rPr>
                <w:rFonts w:hint="eastAsia"/>
                <w:lang w:val="en-US" w:eastAsia="zh-CN"/>
              </w:rPr>
              <w:t>T</w:t>
            </w:r>
          </w:p>
        </w:tc>
        <w:tc>
          <w:tcPr>
            <w:tcW w:w="380" w:type="pct"/>
            <w:vAlign w:val="center"/>
          </w:tcPr>
          <w:p w14:paraId="2221BD32">
            <w:pPr>
              <w:pStyle w:val="26"/>
              <w:bidi w:val="0"/>
              <w:rPr>
                <w:rFonts w:hint="eastAsia"/>
                <w:lang w:val="en-US" w:eastAsia="zh-CN"/>
              </w:rPr>
            </w:pPr>
            <w:r>
              <w:rPr>
                <w:rFonts w:hint="eastAsia"/>
                <w:lang w:val="en-US" w:eastAsia="zh-CN"/>
              </w:rPr>
              <w:t>HW17</w:t>
            </w:r>
          </w:p>
        </w:tc>
        <w:tc>
          <w:tcPr>
            <w:tcW w:w="489" w:type="pct"/>
            <w:vAlign w:val="center"/>
          </w:tcPr>
          <w:p w14:paraId="7C8DA1AF">
            <w:pPr>
              <w:pStyle w:val="26"/>
              <w:bidi w:val="0"/>
              <w:rPr>
                <w:rFonts w:hint="eastAsia"/>
                <w:lang w:val="en-US" w:eastAsia="zh-CN"/>
              </w:rPr>
            </w:pPr>
            <w:r>
              <w:rPr>
                <w:rFonts w:hint="eastAsia"/>
                <w:lang w:val="en-US" w:eastAsia="zh-CN"/>
              </w:rPr>
              <w:t>336-062- 17</w:t>
            </w:r>
          </w:p>
        </w:tc>
        <w:tc>
          <w:tcPr>
            <w:tcW w:w="364" w:type="pct"/>
            <w:vAlign w:val="center"/>
          </w:tcPr>
          <w:p w14:paraId="671EA246">
            <w:pPr>
              <w:pStyle w:val="26"/>
              <w:bidi w:val="0"/>
              <w:rPr>
                <w:rFonts w:hint="eastAsia"/>
                <w:lang w:val="en-US" w:eastAsia="zh-CN"/>
              </w:rPr>
            </w:pPr>
            <w:r>
              <w:rPr>
                <w:rFonts w:hint="eastAsia"/>
                <w:lang w:val="en-US" w:eastAsia="zh-CN"/>
              </w:rPr>
              <w:t>0.01t/2a</w:t>
            </w:r>
          </w:p>
        </w:tc>
        <w:tc>
          <w:tcPr>
            <w:tcW w:w="717" w:type="pct"/>
            <w:vMerge w:val="restart"/>
            <w:vAlign w:val="center"/>
          </w:tcPr>
          <w:p w14:paraId="62558311">
            <w:pPr>
              <w:pStyle w:val="26"/>
              <w:bidi w:val="0"/>
              <w:rPr>
                <w:rFonts w:hint="eastAsia"/>
                <w:lang w:val="en-US" w:eastAsia="zh-CN"/>
              </w:rPr>
            </w:pPr>
            <w:r>
              <w:rPr>
                <w:rFonts w:hint="eastAsia"/>
                <w:lang w:val="en-US" w:eastAsia="zh-CN"/>
              </w:rPr>
              <w:t>无锡市锡苏环保科技有限公司</w:t>
            </w:r>
          </w:p>
        </w:tc>
      </w:tr>
      <w:tr w14:paraId="61BB0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50D9E6A">
            <w:pPr>
              <w:pStyle w:val="26"/>
              <w:bidi w:val="0"/>
              <w:rPr>
                <w:rFonts w:hint="eastAsia"/>
                <w:lang w:val="en-US" w:eastAsia="zh-CN"/>
              </w:rPr>
            </w:pPr>
            <w:r>
              <w:rPr>
                <w:rFonts w:hint="eastAsia"/>
                <w:lang w:val="en-US" w:eastAsia="zh-CN"/>
              </w:rPr>
              <w:t>15.</w:t>
            </w:r>
          </w:p>
        </w:tc>
        <w:tc>
          <w:tcPr>
            <w:tcW w:w="556" w:type="pct"/>
            <w:vAlign w:val="center"/>
          </w:tcPr>
          <w:p w14:paraId="719E6BB8">
            <w:pPr>
              <w:pStyle w:val="26"/>
              <w:bidi w:val="0"/>
              <w:rPr>
                <w:rFonts w:hint="eastAsia"/>
                <w:lang w:val="en-US" w:eastAsia="zh-CN"/>
              </w:rPr>
            </w:pPr>
            <w:r>
              <w:rPr>
                <w:rFonts w:hint="eastAsia"/>
                <w:lang w:val="en-US" w:eastAsia="zh-CN"/>
              </w:rPr>
              <w:t>镀铜废液</w:t>
            </w:r>
          </w:p>
        </w:tc>
        <w:tc>
          <w:tcPr>
            <w:tcW w:w="222" w:type="pct"/>
            <w:vMerge w:val="continue"/>
            <w:vAlign w:val="center"/>
          </w:tcPr>
          <w:p w14:paraId="71079E7E">
            <w:pPr>
              <w:pStyle w:val="26"/>
              <w:bidi w:val="0"/>
              <w:rPr>
                <w:rFonts w:hint="eastAsia"/>
                <w:lang w:val="en-US" w:eastAsia="zh-CN"/>
              </w:rPr>
            </w:pPr>
          </w:p>
        </w:tc>
        <w:tc>
          <w:tcPr>
            <w:tcW w:w="658" w:type="pct"/>
            <w:vAlign w:val="center"/>
          </w:tcPr>
          <w:p w14:paraId="42FC79A7">
            <w:pPr>
              <w:pStyle w:val="26"/>
              <w:bidi w:val="0"/>
              <w:rPr>
                <w:rFonts w:hint="eastAsia"/>
                <w:lang w:val="en-US" w:eastAsia="zh-CN"/>
              </w:rPr>
            </w:pPr>
            <w:r>
              <w:rPr>
                <w:rFonts w:hint="eastAsia"/>
                <w:lang w:val="en-US" w:eastAsia="zh-CN"/>
              </w:rPr>
              <w:t>镀铜</w:t>
            </w:r>
          </w:p>
        </w:tc>
        <w:tc>
          <w:tcPr>
            <w:tcW w:w="332" w:type="pct"/>
            <w:vAlign w:val="center"/>
          </w:tcPr>
          <w:p w14:paraId="7B8AC933">
            <w:pPr>
              <w:pStyle w:val="26"/>
              <w:bidi w:val="0"/>
              <w:rPr>
                <w:rFonts w:hint="eastAsia"/>
                <w:lang w:val="en-US" w:eastAsia="zh-CN"/>
              </w:rPr>
            </w:pPr>
            <w:r>
              <w:rPr>
                <w:rFonts w:hint="eastAsia"/>
                <w:lang w:val="en-US" w:eastAsia="zh-CN"/>
              </w:rPr>
              <w:t>液体</w:t>
            </w:r>
          </w:p>
        </w:tc>
        <w:tc>
          <w:tcPr>
            <w:tcW w:w="614" w:type="pct"/>
            <w:vAlign w:val="center"/>
          </w:tcPr>
          <w:p w14:paraId="35D22874">
            <w:pPr>
              <w:pStyle w:val="26"/>
              <w:bidi w:val="0"/>
              <w:rPr>
                <w:rFonts w:hint="eastAsia"/>
                <w:lang w:val="en-US" w:eastAsia="zh-CN"/>
              </w:rPr>
            </w:pPr>
            <w:r>
              <w:rPr>
                <w:rFonts w:hint="eastAsia"/>
                <w:lang w:val="en-US" w:eastAsia="zh-CN"/>
              </w:rPr>
              <w:t>硫酸等</w:t>
            </w:r>
          </w:p>
        </w:tc>
        <w:tc>
          <w:tcPr>
            <w:tcW w:w="252" w:type="pct"/>
            <w:vMerge w:val="continue"/>
            <w:vAlign w:val="center"/>
          </w:tcPr>
          <w:p w14:paraId="0F756473">
            <w:pPr>
              <w:pStyle w:val="26"/>
              <w:bidi w:val="0"/>
              <w:rPr>
                <w:rFonts w:hint="eastAsia"/>
                <w:lang w:val="en-US" w:eastAsia="zh-CN"/>
              </w:rPr>
            </w:pPr>
          </w:p>
        </w:tc>
        <w:tc>
          <w:tcPr>
            <w:tcW w:w="239" w:type="pct"/>
            <w:vAlign w:val="center"/>
          </w:tcPr>
          <w:p w14:paraId="6C535ADD">
            <w:pPr>
              <w:pStyle w:val="26"/>
              <w:bidi w:val="0"/>
              <w:rPr>
                <w:rFonts w:hint="eastAsia"/>
                <w:lang w:val="en-US" w:eastAsia="zh-CN"/>
              </w:rPr>
            </w:pPr>
            <w:r>
              <w:rPr>
                <w:rFonts w:hint="eastAsia"/>
                <w:lang w:val="en-US" w:eastAsia="zh-CN"/>
              </w:rPr>
              <w:t>T</w:t>
            </w:r>
          </w:p>
        </w:tc>
        <w:tc>
          <w:tcPr>
            <w:tcW w:w="380" w:type="pct"/>
            <w:vAlign w:val="center"/>
          </w:tcPr>
          <w:p w14:paraId="20E92E27">
            <w:pPr>
              <w:pStyle w:val="26"/>
              <w:bidi w:val="0"/>
              <w:rPr>
                <w:rFonts w:hint="eastAsia"/>
                <w:lang w:val="en-US" w:eastAsia="zh-CN"/>
              </w:rPr>
            </w:pPr>
            <w:r>
              <w:rPr>
                <w:rFonts w:hint="eastAsia"/>
                <w:lang w:val="en-US" w:eastAsia="zh-CN"/>
              </w:rPr>
              <w:t>HW17</w:t>
            </w:r>
          </w:p>
        </w:tc>
        <w:tc>
          <w:tcPr>
            <w:tcW w:w="489" w:type="pct"/>
            <w:vAlign w:val="center"/>
          </w:tcPr>
          <w:p w14:paraId="0A12754E">
            <w:pPr>
              <w:pStyle w:val="26"/>
              <w:bidi w:val="0"/>
              <w:rPr>
                <w:rFonts w:hint="eastAsia"/>
                <w:lang w:val="en-US" w:eastAsia="zh-CN"/>
              </w:rPr>
            </w:pPr>
            <w:r>
              <w:rPr>
                <w:rFonts w:hint="eastAsia"/>
                <w:lang w:val="en-US" w:eastAsia="zh-CN"/>
              </w:rPr>
              <w:t>336-062- 17</w:t>
            </w:r>
          </w:p>
        </w:tc>
        <w:tc>
          <w:tcPr>
            <w:tcW w:w="364" w:type="pct"/>
            <w:vAlign w:val="center"/>
          </w:tcPr>
          <w:p w14:paraId="4D3931F6">
            <w:pPr>
              <w:pStyle w:val="26"/>
              <w:bidi w:val="0"/>
              <w:rPr>
                <w:rFonts w:hint="eastAsia"/>
                <w:lang w:val="en-US" w:eastAsia="zh-CN"/>
              </w:rPr>
            </w:pPr>
            <w:r>
              <w:rPr>
                <w:rFonts w:hint="eastAsia"/>
                <w:lang w:val="en-US" w:eastAsia="zh-CN"/>
              </w:rPr>
              <w:t>0.01t/2a</w:t>
            </w:r>
          </w:p>
        </w:tc>
        <w:tc>
          <w:tcPr>
            <w:tcW w:w="717" w:type="pct"/>
            <w:vMerge w:val="continue"/>
            <w:vAlign w:val="center"/>
          </w:tcPr>
          <w:p w14:paraId="12061D1C">
            <w:pPr>
              <w:pStyle w:val="26"/>
              <w:bidi w:val="0"/>
              <w:rPr>
                <w:rFonts w:hint="eastAsia"/>
                <w:lang w:val="en-US" w:eastAsia="zh-CN"/>
              </w:rPr>
            </w:pPr>
          </w:p>
        </w:tc>
      </w:tr>
      <w:tr w14:paraId="3267C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0FF07724">
            <w:pPr>
              <w:pStyle w:val="26"/>
              <w:bidi w:val="0"/>
              <w:rPr>
                <w:rFonts w:hint="eastAsia"/>
                <w:lang w:val="en-US" w:eastAsia="zh-CN"/>
              </w:rPr>
            </w:pPr>
            <w:r>
              <w:rPr>
                <w:rFonts w:hint="eastAsia"/>
                <w:lang w:val="en-US" w:eastAsia="zh-CN"/>
              </w:rPr>
              <w:t>16.</w:t>
            </w:r>
          </w:p>
        </w:tc>
        <w:tc>
          <w:tcPr>
            <w:tcW w:w="556" w:type="pct"/>
            <w:vAlign w:val="center"/>
          </w:tcPr>
          <w:p w14:paraId="35F4059F">
            <w:pPr>
              <w:pStyle w:val="26"/>
              <w:bidi w:val="0"/>
              <w:rPr>
                <w:rFonts w:hint="eastAsia"/>
                <w:lang w:val="en-US" w:eastAsia="zh-CN"/>
              </w:rPr>
            </w:pPr>
            <w:r>
              <w:rPr>
                <w:rFonts w:hint="eastAsia"/>
                <w:lang w:val="en-US" w:eastAsia="zh-CN"/>
              </w:rPr>
              <w:t>硝酸废液</w:t>
            </w:r>
          </w:p>
        </w:tc>
        <w:tc>
          <w:tcPr>
            <w:tcW w:w="222" w:type="pct"/>
            <w:vMerge w:val="continue"/>
            <w:vAlign w:val="center"/>
          </w:tcPr>
          <w:p w14:paraId="13730627">
            <w:pPr>
              <w:pStyle w:val="26"/>
              <w:bidi w:val="0"/>
              <w:rPr>
                <w:rFonts w:hint="eastAsia"/>
                <w:lang w:val="en-US" w:eastAsia="zh-CN"/>
              </w:rPr>
            </w:pPr>
          </w:p>
        </w:tc>
        <w:tc>
          <w:tcPr>
            <w:tcW w:w="658" w:type="pct"/>
            <w:vAlign w:val="center"/>
          </w:tcPr>
          <w:p w14:paraId="0936650D">
            <w:pPr>
              <w:pStyle w:val="26"/>
              <w:bidi w:val="0"/>
              <w:rPr>
                <w:rFonts w:hint="eastAsia"/>
                <w:lang w:val="en-US" w:eastAsia="zh-CN"/>
              </w:rPr>
            </w:pPr>
            <w:r>
              <w:rPr>
                <w:rFonts w:hint="eastAsia"/>
                <w:lang w:val="en-US" w:eastAsia="zh-CN"/>
              </w:rPr>
              <w:t>挤压</w:t>
            </w:r>
          </w:p>
        </w:tc>
        <w:tc>
          <w:tcPr>
            <w:tcW w:w="332" w:type="pct"/>
            <w:vAlign w:val="center"/>
          </w:tcPr>
          <w:p w14:paraId="04F8FACD">
            <w:pPr>
              <w:pStyle w:val="26"/>
              <w:bidi w:val="0"/>
              <w:rPr>
                <w:rFonts w:hint="eastAsia"/>
                <w:lang w:val="en-US" w:eastAsia="zh-CN"/>
              </w:rPr>
            </w:pPr>
            <w:r>
              <w:rPr>
                <w:rFonts w:hint="eastAsia"/>
                <w:lang w:val="en-US" w:eastAsia="zh-CN"/>
              </w:rPr>
              <w:t>液体</w:t>
            </w:r>
          </w:p>
        </w:tc>
        <w:tc>
          <w:tcPr>
            <w:tcW w:w="614" w:type="pct"/>
            <w:vAlign w:val="center"/>
          </w:tcPr>
          <w:p w14:paraId="4607204F">
            <w:pPr>
              <w:pStyle w:val="26"/>
              <w:bidi w:val="0"/>
              <w:rPr>
                <w:rFonts w:hint="eastAsia"/>
                <w:lang w:val="en-US" w:eastAsia="zh-CN"/>
              </w:rPr>
            </w:pPr>
            <w:r>
              <w:rPr>
                <w:rFonts w:hint="eastAsia"/>
                <w:lang w:val="en-US" w:eastAsia="zh-CN"/>
              </w:rPr>
              <w:t>硝酸等</w:t>
            </w:r>
          </w:p>
        </w:tc>
        <w:tc>
          <w:tcPr>
            <w:tcW w:w="252" w:type="pct"/>
            <w:vMerge w:val="continue"/>
            <w:vAlign w:val="center"/>
          </w:tcPr>
          <w:p w14:paraId="618978D3">
            <w:pPr>
              <w:pStyle w:val="26"/>
              <w:bidi w:val="0"/>
              <w:rPr>
                <w:rFonts w:hint="eastAsia"/>
                <w:lang w:val="en-US" w:eastAsia="zh-CN"/>
              </w:rPr>
            </w:pPr>
          </w:p>
        </w:tc>
        <w:tc>
          <w:tcPr>
            <w:tcW w:w="239" w:type="pct"/>
            <w:vAlign w:val="center"/>
          </w:tcPr>
          <w:p w14:paraId="14328461">
            <w:pPr>
              <w:pStyle w:val="26"/>
              <w:bidi w:val="0"/>
              <w:rPr>
                <w:rFonts w:hint="eastAsia"/>
                <w:lang w:val="en-US" w:eastAsia="zh-CN"/>
              </w:rPr>
            </w:pPr>
            <w:r>
              <w:rPr>
                <w:rFonts w:hint="eastAsia"/>
                <w:lang w:val="en-US" w:eastAsia="zh-CN"/>
              </w:rPr>
              <w:t>T/C</w:t>
            </w:r>
          </w:p>
        </w:tc>
        <w:tc>
          <w:tcPr>
            <w:tcW w:w="380" w:type="pct"/>
            <w:vAlign w:val="center"/>
          </w:tcPr>
          <w:p w14:paraId="4D1E6C30">
            <w:pPr>
              <w:pStyle w:val="26"/>
              <w:bidi w:val="0"/>
              <w:rPr>
                <w:rFonts w:hint="eastAsia"/>
                <w:lang w:val="en-US" w:eastAsia="zh-CN"/>
              </w:rPr>
            </w:pPr>
            <w:r>
              <w:rPr>
                <w:rFonts w:hint="eastAsia"/>
                <w:lang w:val="en-US" w:eastAsia="zh-CN"/>
              </w:rPr>
              <w:t>HW17</w:t>
            </w:r>
          </w:p>
        </w:tc>
        <w:tc>
          <w:tcPr>
            <w:tcW w:w="489" w:type="pct"/>
            <w:vAlign w:val="center"/>
          </w:tcPr>
          <w:p w14:paraId="263E4861">
            <w:pPr>
              <w:pStyle w:val="26"/>
              <w:bidi w:val="0"/>
              <w:rPr>
                <w:rFonts w:hint="eastAsia"/>
                <w:lang w:val="en-US" w:eastAsia="zh-CN"/>
              </w:rPr>
            </w:pPr>
            <w:r>
              <w:rPr>
                <w:rFonts w:hint="eastAsia"/>
                <w:lang w:val="en-US" w:eastAsia="zh-CN"/>
              </w:rPr>
              <w:t>336-064- 17</w:t>
            </w:r>
          </w:p>
        </w:tc>
        <w:tc>
          <w:tcPr>
            <w:tcW w:w="364" w:type="pct"/>
            <w:vAlign w:val="center"/>
          </w:tcPr>
          <w:p w14:paraId="0CFCF6DD">
            <w:pPr>
              <w:pStyle w:val="26"/>
              <w:bidi w:val="0"/>
              <w:rPr>
                <w:rFonts w:hint="eastAsia"/>
                <w:lang w:val="en-US" w:eastAsia="zh-CN"/>
              </w:rPr>
            </w:pPr>
            <w:r>
              <w:rPr>
                <w:rFonts w:hint="eastAsia"/>
                <w:lang w:val="en-US" w:eastAsia="zh-CN"/>
              </w:rPr>
              <w:t>0.01</w:t>
            </w:r>
          </w:p>
        </w:tc>
        <w:tc>
          <w:tcPr>
            <w:tcW w:w="717" w:type="pct"/>
            <w:vMerge w:val="continue"/>
            <w:vAlign w:val="center"/>
          </w:tcPr>
          <w:p w14:paraId="0544A4F2">
            <w:pPr>
              <w:pStyle w:val="26"/>
              <w:bidi w:val="0"/>
              <w:rPr>
                <w:rFonts w:hint="eastAsia"/>
                <w:lang w:val="en-US" w:eastAsia="zh-CN"/>
              </w:rPr>
            </w:pPr>
          </w:p>
        </w:tc>
      </w:tr>
      <w:tr w14:paraId="7E524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66DDF776">
            <w:pPr>
              <w:pStyle w:val="26"/>
              <w:bidi w:val="0"/>
              <w:rPr>
                <w:rFonts w:hint="eastAsia"/>
                <w:lang w:val="en-US" w:eastAsia="zh-CN"/>
              </w:rPr>
            </w:pPr>
            <w:r>
              <w:rPr>
                <w:rFonts w:hint="eastAsia"/>
                <w:lang w:val="en-US" w:eastAsia="zh-CN"/>
              </w:rPr>
              <w:t>17.</w:t>
            </w:r>
          </w:p>
        </w:tc>
        <w:tc>
          <w:tcPr>
            <w:tcW w:w="556" w:type="pct"/>
            <w:vAlign w:val="center"/>
          </w:tcPr>
          <w:p w14:paraId="6E30054F">
            <w:pPr>
              <w:pStyle w:val="26"/>
              <w:bidi w:val="0"/>
              <w:rPr>
                <w:rFonts w:hint="eastAsia"/>
                <w:lang w:val="en-US" w:eastAsia="zh-CN"/>
              </w:rPr>
            </w:pPr>
            <w:r>
              <w:rPr>
                <w:rFonts w:hint="eastAsia"/>
                <w:lang w:val="en-US" w:eastAsia="zh-CN"/>
              </w:rPr>
              <w:t>镀铬废液</w:t>
            </w:r>
          </w:p>
        </w:tc>
        <w:tc>
          <w:tcPr>
            <w:tcW w:w="222" w:type="pct"/>
            <w:vMerge w:val="continue"/>
            <w:vAlign w:val="center"/>
          </w:tcPr>
          <w:p w14:paraId="536CF7AE">
            <w:pPr>
              <w:pStyle w:val="26"/>
              <w:bidi w:val="0"/>
              <w:rPr>
                <w:rFonts w:hint="eastAsia"/>
                <w:lang w:val="en-US" w:eastAsia="zh-CN"/>
              </w:rPr>
            </w:pPr>
          </w:p>
        </w:tc>
        <w:tc>
          <w:tcPr>
            <w:tcW w:w="658" w:type="pct"/>
            <w:vAlign w:val="center"/>
          </w:tcPr>
          <w:p w14:paraId="579E83E2">
            <w:pPr>
              <w:pStyle w:val="26"/>
              <w:bidi w:val="0"/>
              <w:rPr>
                <w:rFonts w:hint="eastAsia"/>
                <w:lang w:val="en-US" w:eastAsia="zh-CN"/>
              </w:rPr>
            </w:pPr>
            <w:r>
              <w:rPr>
                <w:rFonts w:hint="eastAsia"/>
                <w:lang w:val="en-US" w:eastAsia="zh-CN"/>
              </w:rPr>
              <w:t>镀铬</w:t>
            </w:r>
          </w:p>
        </w:tc>
        <w:tc>
          <w:tcPr>
            <w:tcW w:w="332" w:type="pct"/>
            <w:vAlign w:val="center"/>
          </w:tcPr>
          <w:p w14:paraId="1FB7BDA5">
            <w:pPr>
              <w:pStyle w:val="26"/>
              <w:bidi w:val="0"/>
              <w:rPr>
                <w:rFonts w:hint="eastAsia"/>
                <w:lang w:val="en-US" w:eastAsia="zh-CN"/>
              </w:rPr>
            </w:pPr>
            <w:r>
              <w:rPr>
                <w:rFonts w:hint="eastAsia"/>
                <w:lang w:val="en-US" w:eastAsia="zh-CN"/>
              </w:rPr>
              <w:t>液体</w:t>
            </w:r>
          </w:p>
        </w:tc>
        <w:tc>
          <w:tcPr>
            <w:tcW w:w="614" w:type="pct"/>
            <w:vAlign w:val="center"/>
          </w:tcPr>
          <w:p w14:paraId="0E8F9A1D">
            <w:pPr>
              <w:pStyle w:val="26"/>
              <w:bidi w:val="0"/>
              <w:rPr>
                <w:rFonts w:hint="eastAsia"/>
                <w:lang w:val="en-US" w:eastAsia="zh-CN"/>
              </w:rPr>
            </w:pPr>
            <w:r>
              <w:rPr>
                <w:rFonts w:hint="eastAsia"/>
                <w:lang w:val="en-US" w:eastAsia="zh-CN"/>
              </w:rPr>
              <w:t>铬酐等</w:t>
            </w:r>
          </w:p>
        </w:tc>
        <w:tc>
          <w:tcPr>
            <w:tcW w:w="252" w:type="pct"/>
            <w:vMerge w:val="continue"/>
            <w:vAlign w:val="center"/>
          </w:tcPr>
          <w:p w14:paraId="61584459">
            <w:pPr>
              <w:pStyle w:val="26"/>
              <w:bidi w:val="0"/>
              <w:rPr>
                <w:rFonts w:hint="eastAsia"/>
                <w:lang w:val="en-US" w:eastAsia="zh-CN"/>
              </w:rPr>
            </w:pPr>
          </w:p>
        </w:tc>
        <w:tc>
          <w:tcPr>
            <w:tcW w:w="239" w:type="pct"/>
            <w:vAlign w:val="center"/>
          </w:tcPr>
          <w:p w14:paraId="31D49446">
            <w:pPr>
              <w:pStyle w:val="26"/>
              <w:bidi w:val="0"/>
              <w:rPr>
                <w:rFonts w:hint="eastAsia"/>
                <w:lang w:val="en-US" w:eastAsia="zh-CN"/>
              </w:rPr>
            </w:pPr>
            <w:r>
              <w:rPr>
                <w:rFonts w:hint="eastAsia"/>
                <w:lang w:val="en-US" w:eastAsia="zh-CN"/>
              </w:rPr>
              <w:t>T</w:t>
            </w:r>
          </w:p>
        </w:tc>
        <w:tc>
          <w:tcPr>
            <w:tcW w:w="380" w:type="pct"/>
            <w:vAlign w:val="center"/>
          </w:tcPr>
          <w:p w14:paraId="08C94D1D">
            <w:pPr>
              <w:pStyle w:val="26"/>
              <w:bidi w:val="0"/>
              <w:rPr>
                <w:rFonts w:hint="eastAsia"/>
                <w:lang w:val="en-US" w:eastAsia="zh-CN"/>
              </w:rPr>
            </w:pPr>
            <w:r>
              <w:rPr>
                <w:rFonts w:hint="eastAsia"/>
                <w:lang w:val="en-US" w:eastAsia="zh-CN"/>
              </w:rPr>
              <w:t>HW17</w:t>
            </w:r>
          </w:p>
        </w:tc>
        <w:tc>
          <w:tcPr>
            <w:tcW w:w="489" w:type="pct"/>
            <w:vAlign w:val="center"/>
          </w:tcPr>
          <w:p w14:paraId="135E1357">
            <w:pPr>
              <w:pStyle w:val="26"/>
              <w:bidi w:val="0"/>
              <w:rPr>
                <w:rFonts w:hint="eastAsia"/>
                <w:lang w:val="en-US" w:eastAsia="zh-CN"/>
              </w:rPr>
            </w:pPr>
            <w:r>
              <w:rPr>
                <w:rFonts w:hint="eastAsia"/>
                <w:lang w:val="en-US" w:eastAsia="zh-CN"/>
              </w:rPr>
              <w:t>336-069- 17</w:t>
            </w:r>
          </w:p>
        </w:tc>
        <w:tc>
          <w:tcPr>
            <w:tcW w:w="364" w:type="pct"/>
            <w:vAlign w:val="center"/>
          </w:tcPr>
          <w:p w14:paraId="2872A44B">
            <w:pPr>
              <w:pStyle w:val="26"/>
              <w:bidi w:val="0"/>
              <w:rPr>
                <w:rFonts w:hint="eastAsia"/>
                <w:lang w:val="en-US" w:eastAsia="zh-CN"/>
              </w:rPr>
            </w:pPr>
            <w:r>
              <w:rPr>
                <w:rFonts w:hint="eastAsia"/>
                <w:lang w:val="en-US" w:eastAsia="zh-CN"/>
              </w:rPr>
              <w:t>0.01t/2a</w:t>
            </w:r>
          </w:p>
        </w:tc>
        <w:tc>
          <w:tcPr>
            <w:tcW w:w="717" w:type="pct"/>
            <w:vMerge w:val="continue"/>
            <w:vAlign w:val="center"/>
          </w:tcPr>
          <w:p w14:paraId="028FCF2D">
            <w:pPr>
              <w:pStyle w:val="26"/>
              <w:bidi w:val="0"/>
              <w:rPr>
                <w:rFonts w:hint="eastAsia"/>
                <w:lang w:val="en-US" w:eastAsia="zh-CN"/>
              </w:rPr>
            </w:pPr>
          </w:p>
        </w:tc>
      </w:tr>
      <w:tr w14:paraId="7F6C9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DE8F8E5">
            <w:pPr>
              <w:pStyle w:val="26"/>
              <w:bidi w:val="0"/>
              <w:rPr>
                <w:rFonts w:hint="eastAsia"/>
                <w:lang w:val="en-US" w:eastAsia="zh-CN"/>
              </w:rPr>
            </w:pPr>
            <w:r>
              <w:rPr>
                <w:rFonts w:hint="eastAsia"/>
                <w:lang w:val="en-US" w:eastAsia="zh-CN"/>
              </w:rPr>
              <w:t>18.</w:t>
            </w:r>
          </w:p>
        </w:tc>
        <w:tc>
          <w:tcPr>
            <w:tcW w:w="556" w:type="pct"/>
            <w:vAlign w:val="center"/>
          </w:tcPr>
          <w:p w14:paraId="25C00F9E">
            <w:pPr>
              <w:pStyle w:val="26"/>
              <w:bidi w:val="0"/>
              <w:rPr>
                <w:rFonts w:hint="eastAsia"/>
                <w:lang w:val="en-US" w:eastAsia="zh-CN"/>
              </w:rPr>
            </w:pPr>
            <w:r>
              <w:rPr>
                <w:rFonts w:hint="eastAsia"/>
                <w:lang w:val="en-US" w:eastAsia="zh-CN"/>
              </w:rPr>
              <w:t>脱脂废液</w:t>
            </w:r>
          </w:p>
        </w:tc>
        <w:tc>
          <w:tcPr>
            <w:tcW w:w="222" w:type="pct"/>
            <w:vMerge w:val="continue"/>
            <w:vAlign w:val="center"/>
          </w:tcPr>
          <w:p w14:paraId="1FD025C8">
            <w:pPr>
              <w:pStyle w:val="26"/>
              <w:bidi w:val="0"/>
              <w:rPr>
                <w:rFonts w:hint="eastAsia"/>
                <w:lang w:val="en-US" w:eastAsia="zh-CN"/>
              </w:rPr>
            </w:pPr>
          </w:p>
        </w:tc>
        <w:tc>
          <w:tcPr>
            <w:tcW w:w="658" w:type="pct"/>
            <w:vAlign w:val="center"/>
          </w:tcPr>
          <w:p w14:paraId="4C30441E">
            <w:pPr>
              <w:pStyle w:val="26"/>
              <w:bidi w:val="0"/>
              <w:rPr>
                <w:rFonts w:hint="eastAsia"/>
                <w:lang w:val="en-US" w:eastAsia="zh-CN"/>
              </w:rPr>
            </w:pPr>
            <w:r>
              <w:rPr>
                <w:rFonts w:hint="eastAsia"/>
                <w:lang w:val="en-US" w:eastAsia="zh-CN"/>
              </w:rPr>
              <w:t>脱脂</w:t>
            </w:r>
          </w:p>
        </w:tc>
        <w:tc>
          <w:tcPr>
            <w:tcW w:w="332" w:type="pct"/>
            <w:vAlign w:val="center"/>
          </w:tcPr>
          <w:p w14:paraId="2C4E0EE7">
            <w:pPr>
              <w:pStyle w:val="26"/>
              <w:bidi w:val="0"/>
              <w:rPr>
                <w:rFonts w:hint="eastAsia"/>
                <w:lang w:val="en-US" w:eastAsia="zh-CN"/>
              </w:rPr>
            </w:pPr>
            <w:r>
              <w:rPr>
                <w:rFonts w:hint="eastAsia"/>
                <w:lang w:val="en-US" w:eastAsia="zh-CN"/>
              </w:rPr>
              <w:t>液体</w:t>
            </w:r>
          </w:p>
        </w:tc>
        <w:tc>
          <w:tcPr>
            <w:tcW w:w="614" w:type="pct"/>
            <w:vAlign w:val="center"/>
          </w:tcPr>
          <w:p w14:paraId="3287315F">
            <w:pPr>
              <w:pStyle w:val="26"/>
              <w:bidi w:val="0"/>
              <w:rPr>
                <w:rFonts w:hint="eastAsia"/>
                <w:lang w:val="en-US" w:eastAsia="zh-CN"/>
              </w:rPr>
            </w:pPr>
            <w:r>
              <w:rPr>
                <w:rFonts w:hint="eastAsia"/>
                <w:lang w:val="en-US" w:eastAsia="zh-CN"/>
              </w:rPr>
              <w:t>脱脂剂等</w:t>
            </w:r>
          </w:p>
        </w:tc>
        <w:tc>
          <w:tcPr>
            <w:tcW w:w="252" w:type="pct"/>
            <w:vMerge w:val="continue"/>
            <w:vAlign w:val="center"/>
          </w:tcPr>
          <w:p w14:paraId="08FD3405">
            <w:pPr>
              <w:pStyle w:val="26"/>
              <w:bidi w:val="0"/>
              <w:rPr>
                <w:rFonts w:hint="eastAsia"/>
                <w:lang w:val="en-US" w:eastAsia="zh-CN"/>
              </w:rPr>
            </w:pPr>
          </w:p>
        </w:tc>
        <w:tc>
          <w:tcPr>
            <w:tcW w:w="239" w:type="pct"/>
            <w:vAlign w:val="center"/>
          </w:tcPr>
          <w:p w14:paraId="0C816F21">
            <w:pPr>
              <w:pStyle w:val="26"/>
              <w:bidi w:val="0"/>
              <w:rPr>
                <w:rFonts w:hint="eastAsia"/>
                <w:lang w:val="en-US" w:eastAsia="zh-CN"/>
              </w:rPr>
            </w:pPr>
            <w:r>
              <w:rPr>
                <w:rFonts w:hint="eastAsia"/>
                <w:lang w:val="en-US" w:eastAsia="zh-CN"/>
              </w:rPr>
              <w:t>T/C</w:t>
            </w:r>
          </w:p>
        </w:tc>
        <w:tc>
          <w:tcPr>
            <w:tcW w:w="380" w:type="pct"/>
            <w:vAlign w:val="center"/>
          </w:tcPr>
          <w:p w14:paraId="77005A04">
            <w:pPr>
              <w:pStyle w:val="26"/>
              <w:bidi w:val="0"/>
              <w:rPr>
                <w:rFonts w:hint="eastAsia"/>
                <w:lang w:val="en-US" w:eastAsia="zh-CN"/>
              </w:rPr>
            </w:pPr>
            <w:r>
              <w:rPr>
                <w:rFonts w:hint="eastAsia"/>
                <w:lang w:val="en-US" w:eastAsia="zh-CN"/>
              </w:rPr>
              <w:t>HW17</w:t>
            </w:r>
          </w:p>
        </w:tc>
        <w:tc>
          <w:tcPr>
            <w:tcW w:w="489" w:type="pct"/>
            <w:vAlign w:val="center"/>
          </w:tcPr>
          <w:p w14:paraId="063F17F7">
            <w:pPr>
              <w:pStyle w:val="26"/>
              <w:bidi w:val="0"/>
              <w:rPr>
                <w:rFonts w:hint="eastAsia"/>
                <w:lang w:val="en-US" w:eastAsia="zh-CN"/>
              </w:rPr>
            </w:pPr>
            <w:r>
              <w:rPr>
                <w:rFonts w:hint="eastAsia"/>
                <w:lang w:val="en-US" w:eastAsia="zh-CN"/>
              </w:rPr>
              <w:t>336-064- 17</w:t>
            </w:r>
          </w:p>
        </w:tc>
        <w:tc>
          <w:tcPr>
            <w:tcW w:w="364" w:type="pct"/>
            <w:vAlign w:val="center"/>
          </w:tcPr>
          <w:p w14:paraId="3A61D2AF">
            <w:pPr>
              <w:pStyle w:val="26"/>
              <w:bidi w:val="0"/>
              <w:rPr>
                <w:rFonts w:hint="eastAsia"/>
                <w:lang w:val="en-US" w:eastAsia="zh-CN"/>
              </w:rPr>
            </w:pPr>
            <w:r>
              <w:rPr>
                <w:rFonts w:hint="eastAsia"/>
                <w:lang w:val="en-US" w:eastAsia="zh-CN"/>
              </w:rPr>
              <w:t>0.01t/2a</w:t>
            </w:r>
          </w:p>
        </w:tc>
        <w:tc>
          <w:tcPr>
            <w:tcW w:w="717" w:type="pct"/>
            <w:vMerge w:val="continue"/>
            <w:vAlign w:val="center"/>
          </w:tcPr>
          <w:p w14:paraId="32EB73C5">
            <w:pPr>
              <w:pStyle w:val="26"/>
              <w:bidi w:val="0"/>
              <w:rPr>
                <w:rFonts w:hint="eastAsia"/>
                <w:lang w:val="en-US" w:eastAsia="zh-CN"/>
              </w:rPr>
            </w:pPr>
          </w:p>
        </w:tc>
      </w:tr>
      <w:tr w14:paraId="14859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4F65CDE6">
            <w:pPr>
              <w:pStyle w:val="26"/>
              <w:bidi w:val="0"/>
              <w:rPr>
                <w:rFonts w:hint="eastAsia"/>
                <w:lang w:val="en-US" w:eastAsia="zh-CN"/>
              </w:rPr>
            </w:pPr>
            <w:r>
              <w:rPr>
                <w:rFonts w:hint="eastAsia"/>
                <w:lang w:val="en-US" w:eastAsia="zh-CN"/>
              </w:rPr>
              <w:t>19.</w:t>
            </w:r>
          </w:p>
        </w:tc>
        <w:tc>
          <w:tcPr>
            <w:tcW w:w="556" w:type="pct"/>
            <w:vAlign w:val="center"/>
          </w:tcPr>
          <w:p w14:paraId="2A54994F">
            <w:pPr>
              <w:pStyle w:val="26"/>
              <w:bidi w:val="0"/>
              <w:rPr>
                <w:rFonts w:hint="eastAsia"/>
                <w:lang w:val="en-US" w:eastAsia="zh-CN"/>
              </w:rPr>
            </w:pPr>
            <w:r>
              <w:rPr>
                <w:rFonts w:hint="eastAsia"/>
                <w:lang w:val="en-US" w:eastAsia="zh-CN"/>
              </w:rPr>
              <w:t>废电解液</w:t>
            </w:r>
          </w:p>
        </w:tc>
        <w:tc>
          <w:tcPr>
            <w:tcW w:w="222" w:type="pct"/>
            <w:vMerge w:val="continue"/>
            <w:vAlign w:val="center"/>
          </w:tcPr>
          <w:p w14:paraId="26697AC5">
            <w:pPr>
              <w:pStyle w:val="26"/>
              <w:bidi w:val="0"/>
              <w:rPr>
                <w:rFonts w:hint="eastAsia"/>
                <w:lang w:val="en-US" w:eastAsia="zh-CN"/>
              </w:rPr>
            </w:pPr>
          </w:p>
        </w:tc>
        <w:tc>
          <w:tcPr>
            <w:tcW w:w="658" w:type="pct"/>
            <w:vAlign w:val="center"/>
          </w:tcPr>
          <w:p w14:paraId="3152D99B">
            <w:pPr>
              <w:pStyle w:val="26"/>
              <w:bidi w:val="0"/>
              <w:rPr>
                <w:rFonts w:hint="eastAsia"/>
                <w:lang w:val="en-US" w:eastAsia="zh-CN"/>
              </w:rPr>
            </w:pPr>
            <w:r>
              <w:rPr>
                <w:rFonts w:hint="eastAsia"/>
                <w:lang w:val="en-US" w:eastAsia="zh-CN"/>
              </w:rPr>
              <w:t>电解</w:t>
            </w:r>
          </w:p>
        </w:tc>
        <w:tc>
          <w:tcPr>
            <w:tcW w:w="332" w:type="pct"/>
            <w:vAlign w:val="center"/>
          </w:tcPr>
          <w:p w14:paraId="0772093D">
            <w:pPr>
              <w:pStyle w:val="26"/>
              <w:bidi w:val="0"/>
              <w:rPr>
                <w:rFonts w:hint="eastAsia"/>
                <w:lang w:val="en-US" w:eastAsia="zh-CN"/>
              </w:rPr>
            </w:pPr>
            <w:r>
              <w:rPr>
                <w:rFonts w:hint="eastAsia"/>
                <w:lang w:val="en-US" w:eastAsia="zh-CN"/>
              </w:rPr>
              <w:t>液体</w:t>
            </w:r>
          </w:p>
        </w:tc>
        <w:tc>
          <w:tcPr>
            <w:tcW w:w="614" w:type="pct"/>
            <w:vAlign w:val="center"/>
          </w:tcPr>
          <w:p w14:paraId="2E9B0D6D">
            <w:pPr>
              <w:pStyle w:val="26"/>
              <w:bidi w:val="0"/>
              <w:rPr>
                <w:rFonts w:hint="eastAsia"/>
                <w:lang w:val="en-US" w:eastAsia="zh-CN"/>
              </w:rPr>
            </w:pPr>
            <w:r>
              <w:rPr>
                <w:rFonts w:hint="eastAsia"/>
                <w:lang w:val="en-US" w:eastAsia="zh-CN"/>
              </w:rPr>
              <w:t>磷酸、电解添加剂等</w:t>
            </w:r>
          </w:p>
        </w:tc>
        <w:tc>
          <w:tcPr>
            <w:tcW w:w="252" w:type="pct"/>
            <w:vMerge w:val="continue"/>
            <w:vAlign w:val="center"/>
          </w:tcPr>
          <w:p w14:paraId="6F87EB49">
            <w:pPr>
              <w:pStyle w:val="26"/>
              <w:bidi w:val="0"/>
              <w:rPr>
                <w:rFonts w:hint="eastAsia"/>
                <w:lang w:val="en-US" w:eastAsia="zh-CN"/>
              </w:rPr>
            </w:pPr>
          </w:p>
        </w:tc>
        <w:tc>
          <w:tcPr>
            <w:tcW w:w="239" w:type="pct"/>
            <w:vAlign w:val="center"/>
          </w:tcPr>
          <w:p w14:paraId="7B3DF0EC">
            <w:pPr>
              <w:pStyle w:val="26"/>
              <w:bidi w:val="0"/>
              <w:rPr>
                <w:rFonts w:hint="eastAsia"/>
                <w:lang w:val="en-US" w:eastAsia="zh-CN"/>
              </w:rPr>
            </w:pPr>
            <w:r>
              <w:rPr>
                <w:rFonts w:hint="eastAsia"/>
                <w:lang w:val="en-US" w:eastAsia="zh-CN"/>
              </w:rPr>
              <w:t>T/C</w:t>
            </w:r>
          </w:p>
        </w:tc>
        <w:tc>
          <w:tcPr>
            <w:tcW w:w="380" w:type="pct"/>
            <w:vAlign w:val="center"/>
          </w:tcPr>
          <w:p w14:paraId="68262E06">
            <w:pPr>
              <w:pStyle w:val="26"/>
              <w:bidi w:val="0"/>
              <w:rPr>
                <w:rFonts w:hint="eastAsia"/>
                <w:lang w:val="en-US" w:eastAsia="zh-CN"/>
              </w:rPr>
            </w:pPr>
            <w:r>
              <w:rPr>
                <w:rFonts w:hint="eastAsia"/>
                <w:lang w:val="en-US" w:eastAsia="zh-CN"/>
              </w:rPr>
              <w:t>HW17</w:t>
            </w:r>
          </w:p>
        </w:tc>
        <w:tc>
          <w:tcPr>
            <w:tcW w:w="489" w:type="pct"/>
            <w:vAlign w:val="center"/>
          </w:tcPr>
          <w:p w14:paraId="3595C832">
            <w:pPr>
              <w:pStyle w:val="26"/>
              <w:bidi w:val="0"/>
              <w:rPr>
                <w:rFonts w:hint="eastAsia"/>
                <w:lang w:val="en-US" w:eastAsia="zh-CN"/>
              </w:rPr>
            </w:pPr>
            <w:r>
              <w:rPr>
                <w:rFonts w:hint="eastAsia"/>
                <w:lang w:val="en-US" w:eastAsia="zh-CN"/>
              </w:rPr>
              <w:t>336-064- 17</w:t>
            </w:r>
          </w:p>
        </w:tc>
        <w:tc>
          <w:tcPr>
            <w:tcW w:w="364" w:type="pct"/>
            <w:vAlign w:val="center"/>
          </w:tcPr>
          <w:p w14:paraId="5A82C044">
            <w:pPr>
              <w:pStyle w:val="26"/>
              <w:bidi w:val="0"/>
              <w:rPr>
                <w:rFonts w:hint="eastAsia"/>
                <w:lang w:val="en-US" w:eastAsia="zh-CN"/>
              </w:rPr>
            </w:pPr>
            <w:r>
              <w:rPr>
                <w:rFonts w:hint="eastAsia"/>
                <w:lang w:val="en-US" w:eastAsia="zh-CN"/>
              </w:rPr>
              <w:t>0.01t/2a</w:t>
            </w:r>
          </w:p>
        </w:tc>
        <w:tc>
          <w:tcPr>
            <w:tcW w:w="717" w:type="pct"/>
            <w:vMerge w:val="continue"/>
            <w:vAlign w:val="center"/>
          </w:tcPr>
          <w:p w14:paraId="1510CDA2">
            <w:pPr>
              <w:pStyle w:val="26"/>
              <w:bidi w:val="0"/>
              <w:rPr>
                <w:rFonts w:hint="eastAsia"/>
                <w:lang w:val="en-US" w:eastAsia="zh-CN"/>
              </w:rPr>
            </w:pPr>
          </w:p>
        </w:tc>
      </w:tr>
      <w:tr w14:paraId="6D862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71" w:type="pct"/>
            <w:vAlign w:val="center"/>
          </w:tcPr>
          <w:p w14:paraId="6BA22966">
            <w:pPr>
              <w:pStyle w:val="26"/>
              <w:bidi w:val="0"/>
              <w:rPr>
                <w:rFonts w:hint="eastAsia"/>
                <w:lang w:val="en-US" w:eastAsia="zh-CN"/>
              </w:rPr>
            </w:pPr>
            <w:r>
              <w:rPr>
                <w:rFonts w:hint="eastAsia"/>
                <w:lang w:val="en-US" w:eastAsia="zh-CN"/>
              </w:rPr>
              <w:t>20.</w:t>
            </w:r>
          </w:p>
        </w:tc>
        <w:tc>
          <w:tcPr>
            <w:tcW w:w="556" w:type="pct"/>
            <w:vAlign w:val="center"/>
          </w:tcPr>
          <w:p w14:paraId="7BA6AD04">
            <w:pPr>
              <w:pStyle w:val="26"/>
              <w:bidi w:val="0"/>
              <w:rPr>
                <w:rFonts w:hint="eastAsia"/>
                <w:lang w:val="en-US" w:eastAsia="zh-CN"/>
              </w:rPr>
            </w:pPr>
            <w:r>
              <w:rPr>
                <w:rFonts w:hint="eastAsia"/>
                <w:lang w:val="en-US" w:eastAsia="zh-CN"/>
              </w:rPr>
              <w:t>浸蚀废液</w:t>
            </w:r>
          </w:p>
        </w:tc>
        <w:tc>
          <w:tcPr>
            <w:tcW w:w="222" w:type="pct"/>
            <w:vMerge w:val="continue"/>
            <w:vAlign w:val="center"/>
          </w:tcPr>
          <w:p w14:paraId="49D6173B">
            <w:pPr>
              <w:pStyle w:val="26"/>
              <w:bidi w:val="0"/>
              <w:rPr>
                <w:rFonts w:hint="eastAsia"/>
                <w:lang w:val="en-US" w:eastAsia="zh-CN"/>
              </w:rPr>
            </w:pPr>
          </w:p>
        </w:tc>
        <w:tc>
          <w:tcPr>
            <w:tcW w:w="658" w:type="pct"/>
            <w:vAlign w:val="center"/>
          </w:tcPr>
          <w:p w14:paraId="49AA9C27">
            <w:pPr>
              <w:pStyle w:val="26"/>
              <w:bidi w:val="0"/>
              <w:rPr>
                <w:rFonts w:hint="eastAsia"/>
                <w:lang w:val="en-US" w:eastAsia="zh-CN"/>
              </w:rPr>
            </w:pPr>
            <w:r>
              <w:rPr>
                <w:rFonts w:hint="eastAsia"/>
                <w:lang w:val="en-US" w:eastAsia="zh-CN"/>
              </w:rPr>
              <w:t>浸蚀</w:t>
            </w:r>
          </w:p>
        </w:tc>
        <w:tc>
          <w:tcPr>
            <w:tcW w:w="332" w:type="pct"/>
            <w:vAlign w:val="center"/>
          </w:tcPr>
          <w:p w14:paraId="23A5F80A">
            <w:pPr>
              <w:pStyle w:val="26"/>
              <w:bidi w:val="0"/>
              <w:rPr>
                <w:rFonts w:hint="eastAsia"/>
                <w:lang w:val="en-US" w:eastAsia="zh-CN"/>
              </w:rPr>
            </w:pPr>
            <w:r>
              <w:rPr>
                <w:rFonts w:hint="eastAsia"/>
                <w:lang w:val="en-US" w:eastAsia="zh-CN"/>
              </w:rPr>
              <w:t>液体</w:t>
            </w:r>
          </w:p>
        </w:tc>
        <w:tc>
          <w:tcPr>
            <w:tcW w:w="614" w:type="pct"/>
            <w:vAlign w:val="center"/>
          </w:tcPr>
          <w:p w14:paraId="28FBBA07">
            <w:pPr>
              <w:pStyle w:val="26"/>
              <w:bidi w:val="0"/>
              <w:rPr>
                <w:rFonts w:hint="eastAsia"/>
                <w:lang w:val="en-US" w:eastAsia="zh-CN"/>
              </w:rPr>
            </w:pPr>
            <w:r>
              <w:rPr>
                <w:rFonts w:hint="eastAsia"/>
                <w:lang w:val="en-US" w:eastAsia="zh-CN"/>
              </w:rPr>
              <w:t>双氧水、硫酸等</w:t>
            </w:r>
          </w:p>
        </w:tc>
        <w:tc>
          <w:tcPr>
            <w:tcW w:w="252" w:type="pct"/>
            <w:vMerge w:val="continue"/>
            <w:vAlign w:val="center"/>
          </w:tcPr>
          <w:p w14:paraId="1119212B">
            <w:pPr>
              <w:pStyle w:val="26"/>
              <w:bidi w:val="0"/>
              <w:rPr>
                <w:rFonts w:hint="eastAsia"/>
                <w:lang w:val="en-US" w:eastAsia="zh-CN"/>
              </w:rPr>
            </w:pPr>
          </w:p>
        </w:tc>
        <w:tc>
          <w:tcPr>
            <w:tcW w:w="239" w:type="pct"/>
            <w:vAlign w:val="center"/>
          </w:tcPr>
          <w:p w14:paraId="469C3FD7">
            <w:pPr>
              <w:pStyle w:val="26"/>
              <w:bidi w:val="0"/>
              <w:rPr>
                <w:rFonts w:hint="eastAsia"/>
                <w:lang w:val="en-US" w:eastAsia="zh-CN"/>
              </w:rPr>
            </w:pPr>
            <w:r>
              <w:rPr>
                <w:rFonts w:hint="eastAsia"/>
                <w:lang w:val="en-US" w:eastAsia="zh-CN"/>
              </w:rPr>
              <w:t>T/C</w:t>
            </w:r>
          </w:p>
        </w:tc>
        <w:tc>
          <w:tcPr>
            <w:tcW w:w="380" w:type="pct"/>
            <w:vAlign w:val="center"/>
          </w:tcPr>
          <w:p w14:paraId="1F5F7720">
            <w:pPr>
              <w:pStyle w:val="26"/>
              <w:bidi w:val="0"/>
              <w:rPr>
                <w:rFonts w:hint="eastAsia"/>
                <w:lang w:val="en-US" w:eastAsia="zh-CN"/>
              </w:rPr>
            </w:pPr>
            <w:r>
              <w:rPr>
                <w:rFonts w:hint="eastAsia"/>
                <w:lang w:val="en-US" w:eastAsia="zh-CN"/>
              </w:rPr>
              <w:t>HW17</w:t>
            </w:r>
          </w:p>
        </w:tc>
        <w:tc>
          <w:tcPr>
            <w:tcW w:w="489" w:type="pct"/>
            <w:vAlign w:val="center"/>
          </w:tcPr>
          <w:p w14:paraId="7A6824DD">
            <w:pPr>
              <w:pStyle w:val="26"/>
              <w:bidi w:val="0"/>
              <w:rPr>
                <w:rFonts w:hint="eastAsia"/>
                <w:lang w:val="en-US" w:eastAsia="zh-CN"/>
              </w:rPr>
            </w:pPr>
            <w:r>
              <w:rPr>
                <w:rFonts w:hint="eastAsia"/>
                <w:lang w:val="en-US" w:eastAsia="zh-CN"/>
              </w:rPr>
              <w:t>336-064- 17</w:t>
            </w:r>
          </w:p>
        </w:tc>
        <w:tc>
          <w:tcPr>
            <w:tcW w:w="364" w:type="pct"/>
            <w:vAlign w:val="center"/>
          </w:tcPr>
          <w:p w14:paraId="72376CF6">
            <w:pPr>
              <w:pStyle w:val="26"/>
              <w:bidi w:val="0"/>
              <w:rPr>
                <w:rFonts w:hint="eastAsia"/>
                <w:lang w:val="en-US" w:eastAsia="zh-CN"/>
              </w:rPr>
            </w:pPr>
            <w:r>
              <w:rPr>
                <w:rFonts w:hint="eastAsia"/>
                <w:lang w:val="en-US" w:eastAsia="zh-CN"/>
              </w:rPr>
              <w:t>0.01t/2a</w:t>
            </w:r>
          </w:p>
        </w:tc>
        <w:tc>
          <w:tcPr>
            <w:tcW w:w="717" w:type="pct"/>
            <w:vMerge w:val="continue"/>
            <w:vAlign w:val="center"/>
          </w:tcPr>
          <w:p w14:paraId="02A5EE11">
            <w:pPr>
              <w:pStyle w:val="26"/>
              <w:bidi w:val="0"/>
              <w:rPr>
                <w:rFonts w:hint="eastAsia"/>
                <w:lang w:val="en-US" w:eastAsia="zh-CN"/>
              </w:rPr>
            </w:pPr>
          </w:p>
        </w:tc>
      </w:tr>
      <w:tr w14:paraId="205AB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 w:type="pct"/>
            <w:vAlign w:val="center"/>
          </w:tcPr>
          <w:p w14:paraId="6854E3D5">
            <w:pPr>
              <w:pStyle w:val="26"/>
              <w:bidi w:val="0"/>
              <w:rPr>
                <w:rFonts w:hint="eastAsia"/>
                <w:lang w:val="en-US" w:eastAsia="zh-CN"/>
              </w:rPr>
            </w:pPr>
            <w:r>
              <w:rPr>
                <w:rFonts w:hint="eastAsia"/>
                <w:lang w:val="en-US" w:eastAsia="zh-CN"/>
              </w:rPr>
              <w:t>21.</w:t>
            </w:r>
          </w:p>
        </w:tc>
        <w:tc>
          <w:tcPr>
            <w:tcW w:w="556" w:type="pct"/>
            <w:vAlign w:val="center"/>
          </w:tcPr>
          <w:p w14:paraId="18F12FAB">
            <w:pPr>
              <w:pStyle w:val="26"/>
              <w:bidi w:val="0"/>
              <w:rPr>
                <w:rFonts w:hint="eastAsia"/>
                <w:lang w:val="en-US" w:eastAsia="zh-CN"/>
              </w:rPr>
            </w:pPr>
            <w:r>
              <w:rPr>
                <w:rFonts w:hint="eastAsia"/>
                <w:lang w:val="en-US" w:eastAsia="zh-CN"/>
              </w:rPr>
              <w:t>废腐蚀液</w:t>
            </w:r>
          </w:p>
        </w:tc>
        <w:tc>
          <w:tcPr>
            <w:tcW w:w="222" w:type="pct"/>
            <w:vMerge w:val="continue"/>
            <w:vAlign w:val="center"/>
          </w:tcPr>
          <w:p w14:paraId="46571BCC">
            <w:pPr>
              <w:pStyle w:val="26"/>
              <w:bidi w:val="0"/>
              <w:rPr>
                <w:rFonts w:hint="eastAsia"/>
                <w:lang w:val="en-US" w:eastAsia="zh-CN"/>
              </w:rPr>
            </w:pPr>
          </w:p>
        </w:tc>
        <w:tc>
          <w:tcPr>
            <w:tcW w:w="658" w:type="pct"/>
            <w:vAlign w:val="center"/>
          </w:tcPr>
          <w:p w14:paraId="0D5AFBB1">
            <w:pPr>
              <w:pStyle w:val="26"/>
              <w:bidi w:val="0"/>
              <w:rPr>
                <w:rFonts w:hint="eastAsia"/>
                <w:lang w:val="en-US" w:eastAsia="zh-CN"/>
              </w:rPr>
            </w:pPr>
            <w:r>
              <w:rPr>
                <w:rFonts w:hint="eastAsia"/>
                <w:lang w:val="en-US" w:eastAsia="zh-CN"/>
              </w:rPr>
              <w:t>腐蚀</w:t>
            </w:r>
          </w:p>
        </w:tc>
        <w:tc>
          <w:tcPr>
            <w:tcW w:w="332" w:type="pct"/>
            <w:vAlign w:val="center"/>
          </w:tcPr>
          <w:p w14:paraId="4808163C">
            <w:pPr>
              <w:pStyle w:val="26"/>
              <w:bidi w:val="0"/>
              <w:rPr>
                <w:rFonts w:hint="eastAsia"/>
                <w:lang w:val="en-US" w:eastAsia="zh-CN"/>
              </w:rPr>
            </w:pPr>
            <w:r>
              <w:rPr>
                <w:rFonts w:hint="eastAsia"/>
                <w:lang w:val="en-US" w:eastAsia="zh-CN"/>
              </w:rPr>
              <w:t>液体</w:t>
            </w:r>
          </w:p>
        </w:tc>
        <w:tc>
          <w:tcPr>
            <w:tcW w:w="614" w:type="pct"/>
            <w:vAlign w:val="center"/>
          </w:tcPr>
          <w:p w14:paraId="5E1376CD">
            <w:pPr>
              <w:pStyle w:val="26"/>
              <w:bidi w:val="0"/>
              <w:rPr>
                <w:rFonts w:hint="eastAsia"/>
                <w:lang w:val="en-US" w:eastAsia="zh-CN"/>
              </w:rPr>
            </w:pPr>
            <w:r>
              <w:rPr>
                <w:rFonts w:hint="eastAsia"/>
                <w:lang w:val="en-US" w:eastAsia="zh-CN"/>
              </w:rPr>
              <w:t>盐酸等</w:t>
            </w:r>
          </w:p>
        </w:tc>
        <w:tc>
          <w:tcPr>
            <w:tcW w:w="252" w:type="pct"/>
            <w:vMerge w:val="continue"/>
            <w:vAlign w:val="center"/>
          </w:tcPr>
          <w:p w14:paraId="5688CCEB">
            <w:pPr>
              <w:pStyle w:val="26"/>
              <w:bidi w:val="0"/>
              <w:rPr>
                <w:rFonts w:hint="eastAsia"/>
                <w:lang w:val="en-US" w:eastAsia="zh-CN"/>
              </w:rPr>
            </w:pPr>
          </w:p>
        </w:tc>
        <w:tc>
          <w:tcPr>
            <w:tcW w:w="239" w:type="pct"/>
            <w:vAlign w:val="center"/>
          </w:tcPr>
          <w:p w14:paraId="18A47770">
            <w:pPr>
              <w:pStyle w:val="26"/>
              <w:bidi w:val="0"/>
              <w:rPr>
                <w:rFonts w:hint="eastAsia"/>
                <w:lang w:val="en-US" w:eastAsia="zh-CN"/>
              </w:rPr>
            </w:pPr>
            <w:r>
              <w:rPr>
                <w:rFonts w:hint="eastAsia"/>
                <w:lang w:val="en-US" w:eastAsia="zh-CN"/>
              </w:rPr>
              <w:t>T/C</w:t>
            </w:r>
          </w:p>
        </w:tc>
        <w:tc>
          <w:tcPr>
            <w:tcW w:w="380" w:type="pct"/>
            <w:vAlign w:val="center"/>
          </w:tcPr>
          <w:p w14:paraId="58F81A72">
            <w:pPr>
              <w:pStyle w:val="26"/>
              <w:bidi w:val="0"/>
              <w:rPr>
                <w:rFonts w:hint="eastAsia"/>
                <w:lang w:val="en-US" w:eastAsia="zh-CN"/>
              </w:rPr>
            </w:pPr>
            <w:r>
              <w:rPr>
                <w:rFonts w:hint="eastAsia"/>
                <w:lang w:val="en-US" w:eastAsia="zh-CN"/>
              </w:rPr>
              <w:t>HW17</w:t>
            </w:r>
          </w:p>
        </w:tc>
        <w:tc>
          <w:tcPr>
            <w:tcW w:w="489" w:type="pct"/>
            <w:vAlign w:val="center"/>
          </w:tcPr>
          <w:p w14:paraId="3B6FFAD2">
            <w:pPr>
              <w:pStyle w:val="26"/>
              <w:bidi w:val="0"/>
              <w:rPr>
                <w:rFonts w:hint="eastAsia"/>
                <w:lang w:val="en-US" w:eastAsia="zh-CN"/>
              </w:rPr>
            </w:pPr>
            <w:r>
              <w:rPr>
                <w:rFonts w:hint="eastAsia"/>
                <w:lang w:val="en-US" w:eastAsia="zh-CN"/>
              </w:rPr>
              <w:t>336-064- 17</w:t>
            </w:r>
          </w:p>
        </w:tc>
        <w:tc>
          <w:tcPr>
            <w:tcW w:w="364" w:type="pct"/>
            <w:vAlign w:val="center"/>
          </w:tcPr>
          <w:p w14:paraId="5D5012BA">
            <w:pPr>
              <w:pStyle w:val="26"/>
              <w:bidi w:val="0"/>
              <w:rPr>
                <w:rFonts w:hint="eastAsia"/>
                <w:lang w:val="en-US" w:eastAsia="zh-CN"/>
              </w:rPr>
            </w:pPr>
            <w:r>
              <w:rPr>
                <w:rFonts w:hint="eastAsia"/>
                <w:lang w:val="en-US" w:eastAsia="zh-CN"/>
              </w:rPr>
              <w:t>45</w:t>
            </w:r>
          </w:p>
        </w:tc>
        <w:tc>
          <w:tcPr>
            <w:tcW w:w="717" w:type="pct"/>
            <w:vMerge w:val="continue"/>
            <w:vAlign w:val="center"/>
          </w:tcPr>
          <w:p w14:paraId="11751126">
            <w:pPr>
              <w:pStyle w:val="26"/>
              <w:bidi w:val="0"/>
              <w:rPr>
                <w:rFonts w:hint="eastAsia"/>
                <w:lang w:val="en-US" w:eastAsia="zh-CN"/>
              </w:rPr>
            </w:pPr>
          </w:p>
        </w:tc>
      </w:tr>
      <w:tr w14:paraId="30E71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361F96F9">
            <w:pPr>
              <w:pStyle w:val="26"/>
              <w:bidi w:val="0"/>
              <w:rPr>
                <w:rFonts w:hint="eastAsia"/>
                <w:lang w:val="en-US" w:eastAsia="zh-CN"/>
              </w:rPr>
            </w:pPr>
            <w:r>
              <w:rPr>
                <w:rFonts w:hint="eastAsia"/>
                <w:lang w:val="en-US" w:eastAsia="zh-CN"/>
              </w:rPr>
              <w:t>22.</w:t>
            </w:r>
          </w:p>
        </w:tc>
        <w:tc>
          <w:tcPr>
            <w:tcW w:w="556" w:type="pct"/>
            <w:vAlign w:val="center"/>
          </w:tcPr>
          <w:p w14:paraId="69E2F89F">
            <w:pPr>
              <w:pStyle w:val="26"/>
              <w:bidi w:val="0"/>
              <w:rPr>
                <w:rFonts w:hint="eastAsia"/>
                <w:lang w:val="en-US" w:eastAsia="zh-CN"/>
              </w:rPr>
            </w:pPr>
            <w:r>
              <w:rPr>
                <w:rFonts w:hint="eastAsia"/>
                <w:lang w:val="en-US" w:eastAsia="zh-CN"/>
              </w:rPr>
              <w:t>显影废液</w:t>
            </w:r>
          </w:p>
        </w:tc>
        <w:tc>
          <w:tcPr>
            <w:tcW w:w="222" w:type="pct"/>
            <w:vMerge w:val="continue"/>
            <w:vAlign w:val="center"/>
          </w:tcPr>
          <w:p w14:paraId="38A9B2F8">
            <w:pPr>
              <w:pStyle w:val="26"/>
              <w:bidi w:val="0"/>
              <w:rPr>
                <w:rFonts w:hint="eastAsia"/>
                <w:lang w:val="en-US" w:eastAsia="zh-CN"/>
              </w:rPr>
            </w:pPr>
          </w:p>
        </w:tc>
        <w:tc>
          <w:tcPr>
            <w:tcW w:w="658" w:type="pct"/>
            <w:vAlign w:val="center"/>
          </w:tcPr>
          <w:p w14:paraId="6213A403">
            <w:pPr>
              <w:pStyle w:val="26"/>
              <w:bidi w:val="0"/>
              <w:rPr>
                <w:rFonts w:hint="eastAsia"/>
                <w:lang w:val="en-US" w:eastAsia="zh-CN"/>
              </w:rPr>
            </w:pPr>
            <w:r>
              <w:rPr>
                <w:rFonts w:hint="eastAsia"/>
                <w:lang w:val="en-US" w:eastAsia="zh-CN"/>
              </w:rPr>
              <w:t>感光显影</w:t>
            </w:r>
          </w:p>
        </w:tc>
        <w:tc>
          <w:tcPr>
            <w:tcW w:w="332" w:type="pct"/>
            <w:vAlign w:val="center"/>
          </w:tcPr>
          <w:p w14:paraId="6619523C">
            <w:pPr>
              <w:pStyle w:val="26"/>
              <w:bidi w:val="0"/>
              <w:rPr>
                <w:rFonts w:hint="eastAsia"/>
                <w:lang w:val="en-US" w:eastAsia="zh-CN"/>
              </w:rPr>
            </w:pPr>
            <w:r>
              <w:rPr>
                <w:rFonts w:hint="eastAsia"/>
                <w:lang w:val="en-US" w:eastAsia="zh-CN"/>
              </w:rPr>
              <w:t>液体</w:t>
            </w:r>
          </w:p>
        </w:tc>
        <w:tc>
          <w:tcPr>
            <w:tcW w:w="614" w:type="pct"/>
            <w:vAlign w:val="center"/>
          </w:tcPr>
          <w:p w14:paraId="50BC3906">
            <w:pPr>
              <w:pStyle w:val="26"/>
              <w:bidi w:val="0"/>
              <w:rPr>
                <w:rFonts w:hint="eastAsia"/>
                <w:lang w:val="en-US" w:eastAsia="zh-CN"/>
              </w:rPr>
            </w:pPr>
            <w:r>
              <w:rPr>
                <w:rFonts w:hint="eastAsia"/>
                <w:lang w:val="en-US" w:eastAsia="zh-CN"/>
              </w:rPr>
              <w:t>显影液等</w:t>
            </w:r>
          </w:p>
        </w:tc>
        <w:tc>
          <w:tcPr>
            <w:tcW w:w="252" w:type="pct"/>
            <w:vMerge w:val="continue"/>
            <w:vAlign w:val="center"/>
          </w:tcPr>
          <w:p w14:paraId="0D006EBC">
            <w:pPr>
              <w:pStyle w:val="26"/>
              <w:bidi w:val="0"/>
              <w:rPr>
                <w:rFonts w:hint="eastAsia"/>
                <w:lang w:val="en-US" w:eastAsia="zh-CN"/>
              </w:rPr>
            </w:pPr>
          </w:p>
        </w:tc>
        <w:tc>
          <w:tcPr>
            <w:tcW w:w="239" w:type="pct"/>
            <w:vAlign w:val="center"/>
          </w:tcPr>
          <w:p w14:paraId="575738CF">
            <w:pPr>
              <w:pStyle w:val="26"/>
              <w:bidi w:val="0"/>
              <w:rPr>
                <w:rFonts w:hint="eastAsia"/>
                <w:lang w:val="en-US" w:eastAsia="zh-CN"/>
              </w:rPr>
            </w:pPr>
            <w:r>
              <w:rPr>
                <w:rFonts w:hint="eastAsia"/>
                <w:lang w:val="en-US" w:eastAsia="zh-CN"/>
              </w:rPr>
              <w:t>T</w:t>
            </w:r>
          </w:p>
        </w:tc>
        <w:tc>
          <w:tcPr>
            <w:tcW w:w="380" w:type="pct"/>
            <w:vAlign w:val="center"/>
          </w:tcPr>
          <w:p w14:paraId="61CC0FDC">
            <w:pPr>
              <w:pStyle w:val="26"/>
              <w:bidi w:val="0"/>
              <w:rPr>
                <w:rFonts w:hint="eastAsia"/>
                <w:lang w:val="en-US" w:eastAsia="zh-CN"/>
              </w:rPr>
            </w:pPr>
            <w:r>
              <w:rPr>
                <w:rFonts w:hint="eastAsia"/>
                <w:lang w:val="en-US" w:eastAsia="zh-CN"/>
              </w:rPr>
              <w:t>HW16</w:t>
            </w:r>
          </w:p>
        </w:tc>
        <w:tc>
          <w:tcPr>
            <w:tcW w:w="489" w:type="pct"/>
            <w:vAlign w:val="center"/>
          </w:tcPr>
          <w:p w14:paraId="4914E537">
            <w:pPr>
              <w:pStyle w:val="26"/>
              <w:bidi w:val="0"/>
              <w:rPr>
                <w:rFonts w:hint="eastAsia"/>
                <w:lang w:val="en-US" w:eastAsia="zh-CN"/>
              </w:rPr>
            </w:pPr>
            <w:r>
              <w:rPr>
                <w:rFonts w:hint="eastAsia"/>
                <w:lang w:val="en-US" w:eastAsia="zh-CN"/>
              </w:rPr>
              <w:t>900-019- 16</w:t>
            </w:r>
          </w:p>
        </w:tc>
        <w:tc>
          <w:tcPr>
            <w:tcW w:w="364" w:type="pct"/>
            <w:vAlign w:val="center"/>
          </w:tcPr>
          <w:p w14:paraId="4E19C038">
            <w:pPr>
              <w:pStyle w:val="26"/>
              <w:bidi w:val="0"/>
              <w:rPr>
                <w:rFonts w:hint="eastAsia"/>
                <w:lang w:val="en-US" w:eastAsia="zh-CN"/>
              </w:rPr>
            </w:pPr>
            <w:r>
              <w:rPr>
                <w:rFonts w:hint="eastAsia"/>
                <w:lang w:val="en-US" w:eastAsia="zh-CN"/>
              </w:rPr>
              <w:t>0.01t/2a</w:t>
            </w:r>
          </w:p>
        </w:tc>
        <w:tc>
          <w:tcPr>
            <w:tcW w:w="717" w:type="pct"/>
            <w:vAlign w:val="center"/>
          </w:tcPr>
          <w:p w14:paraId="2A8A0C6E">
            <w:pPr>
              <w:pStyle w:val="26"/>
              <w:bidi w:val="0"/>
              <w:rPr>
                <w:rFonts w:hint="eastAsia"/>
                <w:lang w:val="en-US" w:eastAsia="zh-CN"/>
              </w:rPr>
            </w:pPr>
            <w:r>
              <w:rPr>
                <w:rFonts w:hint="eastAsia"/>
                <w:lang w:val="en-US" w:eastAsia="zh-CN"/>
              </w:rPr>
              <w:t>吴江市绿恰固废回收处置有限公司</w:t>
            </w:r>
          </w:p>
        </w:tc>
      </w:tr>
      <w:tr w14:paraId="71D37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1" w:type="pct"/>
            <w:vAlign w:val="center"/>
          </w:tcPr>
          <w:p w14:paraId="76B822E1">
            <w:pPr>
              <w:pStyle w:val="26"/>
              <w:bidi w:val="0"/>
              <w:rPr>
                <w:rFonts w:hint="eastAsia"/>
                <w:lang w:val="en-US" w:eastAsia="zh-CN"/>
              </w:rPr>
            </w:pPr>
            <w:r>
              <w:rPr>
                <w:rFonts w:hint="eastAsia"/>
                <w:lang w:val="en-US" w:eastAsia="zh-CN"/>
              </w:rPr>
              <w:t>23.</w:t>
            </w:r>
          </w:p>
        </w:tc>
        <w:tc>
          <w:tcPr>
            <w:tcW w:w="556" w:type="pct"/>
            <w:vAlign w:val="center"/>
          </w:tcPr>
          <w:p w14:paraId="38725D2D">
            <w:pPr>
              <w:pStyle w:val="26"/>
              <w:bidi w:val="0"/>
              <w:rPr>
                <w:rFonts w:hint="eastAsia"/>
                <w:lang w:val="en-US" w:eastAsia="zh-CN"/>
              </w:rPr>
            </w:pPr>
            <w:r>
              <w:rPr>
                <w:rFonts w:hint="eastAsia"/>
                <w:lang w:val="en-US" w:eastAsia="zh-CN"/>
              </w:rPr>
              <w:t>含铬污泥</w:t>
            </w:r>
          </w:p>
        </w:tc>
        <w:tc>
          <w:tcPr>
            <w:tcW w:w="222" w:type="pct"/>
            <w:vMerge w:val="continue"/>
            <w:vAlign w:val="center"/>
          </w:tcPr>
          <w:p w14:paraId="5CD19F4A">
            <w:pPr>
              <w:pStyle w:val="26"/>
              <w:bidi w:val="0"/>
              <w:rPr>
                <w:rFonts w:hint="eastAsia"/>
                <w:lang w:val="en-US" w:eastAsia="zh-CN"/>
              </w:rPr>
            </w:pPr>
          </w:p>
        </w:tc>
        <w:tc>
          <w:tcPr>
            <w:tcW w:w="658" w:type="pct"/>
            <w:vAlign w:val="center"/>
          </w:tcPr>
          <w:p w14:paraId="1C9FBC27">
            <w:pPr>
              <w:pStyle w:val="26"/>
              <w:bidi w:val="0"/>
              <w:rPr>
                <w:rFonts w:hint="eastAsia"/>
                <w:lang w:val="en-US" w:eastAsia="zh-CN"/>
              </w:rPr>
            </w:pPr>
            <w:r>
              <w:rPr>
                <w:rFonts w:hint="eastAsia"/>
                <w:lang w:val="en-US" w:eastAsia="zh-CN"/>
              </w:rPr>
              <w:t>含铬废水处理</w:t>
            </w:r>
          </w:p>
        </w:tc>
        <w:tc>
          <w:tcPr>
            <w:tcW w:w="332" w:type="pct"/>
            <w:vAlign w:val="center"/>
          </w:tcPr>
          <w:p w14:paraId="5AA75E45">
            <w:pPr>
              <w:pStyle w:val="26"/>
              <w:bidi w:val="0"/>
              <w:rPr>
                <w:rFonts w:hint="eastAsia"/>
                <w:lang w:val="en-US" w:eastAsia="zh-CN"/>
              </w:rPr>
            </w:pPr>
            <w:r>
              <w:rPr>
                <w:rFonts w:hint="eastAsia"/>
                <w:lang w:val="en-US" w:eastAsia="zh-CN"/>
              </w:rPr>
              <w:t>固+液</w:t>
            </w:r>
          </w:p>
        </w:tc>
        <w:tc>
          <w:tcPr>
            <w:tcW w:w="614" w:type="pct"/>
            <w:vAlign w:val="center"/>
          </w:tcPr>
          <w:p w14:paraId="6B4D2E19">
            <w:pPr>
              <w:pStyle w:val="26"/>
              <w:bidi w:val="0"/>
              <w:rPr>
                <w:rFonts w:hint="eastAsia"/>
                <w:lang w:val="en-US" w:eastAsia="zh-CN"/>
              </w:rPr>
            </w:pPr>
            <w:r>
              <w:rPr>
                <w:rFonts w:hint="eastAsia"/>
                <w:lang w:val="en-US" w:eastAsia="zh-CN"/>
              </w:rPr>
              <w:t>铬</w:t>
            </w:r>
          </w:p>
        </w:tc>
        <w:tc>
          <w:tcPr>
            <w:tcW w:w="252" w:type="pct"/>
            <w:vMerge w:val="continue"/>
            <w:vAlign w:val="center"/>
          </w:tcPr>
          <w:p w14:paraId="562921C4">
            <w:pPr>
              <w:pStyle w:val="26"/>
              <w:bidi w:val="0"/>
              <w:rPr>
                <w:rFonts w:hint="eastAsia"/>
                <w:lang w:val="en-US" w:eastAsia="zh-CN"/>
              </w:rPr>
            </w:pPr>
          </w:p>
        </w:tc>
        <w:tc>
          <w:tcPr>
            <w:tcW w:w="239" w:type="pct"/>
            <w:vAlign w:val="center"/>
          </w:tcPr>
          <w:p w14:paraId="6B588109">
            <w:pPr>
              <w:pStyle w:val="26"/>
              <w:bidi w:val="0"/>
              <w:rPr>
                <w:rFonts w:hint="eastAsia"/>
                <w:lang w:val="en-US" w:eastAsia="zh-CN"/>
              </w:rPr>
            </w:pPr>
            <w:r>
              <w:rPr>
                <w:rFonts w:hint="eastAsia"/>
                <w:lang w:val="en-US" w:eastAsia="zh-CN"/>
              </w:rPr>
              <w:t>T</w:t>
            </w:r>
          </w:p>
        </w:tc>
        <w:tc>
          <w:tcPr>
            <w:tcW w:w="380" w:type="pct"/>
            <w:vAlign w:val="center"/>
          </w:tcPr>
          <w:p w14:paraId="39B614C6">
            <w:pPr>
              <w:pStyle w:val="26"/>
              <w:bidi w:val="0"/>
              <w:rPr>
                <w:rFonts w:hint="eastAsia"/>
                <w:lang w:val="en-US" w:eastAsia="zh-CN"/>
              </w:rPr>
            </w:pPr>
            <w:r>
              <w:rPr>
                <w:rFonts w:hint="eastAsia"/>
                <w:lang w:val="en-US" w:eastAsia="zh-CN"/>
              </w:rPr>
              <w:t>HW17</w:t>
            </w:r>
          </w:p>
        </w:tc>
        <w:tc>
          <w:tcPr>
            <w:tcW w:w="489" w:type="pct"/>
            <w:vAlign w:val="center"/>
          </w:tcPr>
          <w:p w14:paraId="46157543">
            <w:pPr>
              <w:pStyle w:val="26"/>
              <w:bidi w:val="0"/>
              <w:rPr>
                <w:rFonts w:hint="eastAsia"/>
                <w:lang w:val="en-US" w:eastAsia="zh-CN"/>
              </w:rPr>
            </w:pPr>
            <w:r>
              <w:rPr>
                <w:rFonts w:hint="eastAsia"/>
                <w:lang w:val="en-US" w:eastAsia="zh-CN"/>
              </w:rPr>
              <w:t>336-069- 17</w:t>
            </w:r>
          </w:p>
        </w:tc>
        <w:tc>
          <w:tcPr>
            <w:tcW w:w="364" w:type="pct"/>
            <w:vAlign w:val="center"/>
          </w:tcPr>
          <w:p w14:paraId="04F18594">
            <w:pPr>
              <w:pStyle w:val="26"/>
              <w:bidi w:val="0"/>
              <w:rPr>
                <w:rFonts w:hint="eastAsia"/>
                <w:lang w:val="en-US" w:eastAsia="zh-CN"/>
              </w:rPr>
            </w:pPr>
            <w:r>
              <w:rPr>
                <w:rFonts w:hint="eastAsia"/>
                <w:lang w:val="en-US" w:eastAsia="zh-CN"/>
              </w:rPr>
              <w:t>24</w:t>
            </w:r>
          </w:p>
        </w:tc>
        <w:tc>
          <w:tcPr>
            <w:tcW w:w="717" w:type="pct"/>
            <w:vMerge w:val="restart"/>
            <w:vAlign w:val="center"/>
          </w:tcPr>
          <w:p w14:paraId="6ED25C22">
            <w:pPr>
              <w:pStyle w:val="26"/>
              <w:bidi w:val="0"/>
              <w:rPr>
                <w:rFonts w:hint="eastAsia"/>
                <w:lang w:val="en-US" w:eastAsia="zh-CN"/>
              </w:rPr>
            </w:pPr>
            <w:r>
              <w:rPr>
                <w:rFonts w:hint="eastAsia"/>
                <w:lang w:val="en-US" w:eastAsia="zh-CN"/>
              </w:rPr>
              <w:t>高邮市环创资源再生科技有限公司</w:t>
            </w:r>
          </w:p>
        </w:tc>
      </w:tr>
      <w:tr w14:paraId="6C402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1" w:type="pct"/>
            <w:vAlign w:val="center"/>
          </w:tcPr>
          <w:p w14:paraId="3565CD36">
            <w:pPr>
              <w:pStyle w:val="26"/>
              <w:bidi w:val="0"/>
              <w:rPr>
                <w:rFonts w:hint="eastAsia"/>
                <w:lang w:val="en-US" w:eastAsia="zh-CN"/>
              </w:rPr>
            </w:pPr>
            <w:r>
              <w:rPr>
                <w:rFonts w:hint="eastAsia"/>
                <w:lang w:val="en-US" w:eastAsia="zh-CN"/>
              </w:rPr>
              <w:t>24.</w:t>
            </w:r>
          </w:p>
        </w:tc>
        <w:tc>
          <w:tcPr>
            <w:tcW w:w="556" w:type="pct"/>
            <w:vAlign w:val="center"/>
          </w:tcPr>
          <w:p w14:paraId="1EEBB986">
            <w:pPr>
              <w:pStyle w:val="26"/>
              <w:bidi w:val="0"/>
              <w:rPr>
                <w:rFonts w:hint="eastAsia"/>
                <w:lang w:val="en-US" w:eastAsia="zh-CN"/>
              </w:rPr>
            </w:pPr>
            <w:r>
              <w:rPr>
                <w:rFonts w:hint="eastAsia"/>
                <w:lang w:val="en-US" w:eastAsia="zh-CN"/>
              </w:rPr>
              <w:t>含铜污泥</w:t>
            </w:r>
          </w:p>
        </w:tc>
        <w:tc>
          <w:tcPr>
            <w:tcW w:w="222" w:type="pct"/>
            <w:vMerge w:val="continue"/>
            <w:vAlign w:val="center"/>
          </w:tcPr>
          <w:p w14:paraId="169AF78E">
            <w:pPr>
              <w:pStyle w:val="26"/>
              <w:bidi w:val="0"/>
              <w:rPr>
                <w:rFonts w:hint="eastAsia"/>
                <w:lang w:val="en-US" w:eastAsia="zh-CN"/>
              </w:rPr>
            </w:pPr>
          </w:p>
        </w:tc>
        <w:tc>
          <w:tcPr>
            <w:tcW w:w="658" w:type="pct"/>
            <w:vAlign w:val="center"/>
          </w:tcPr>
          <w:p w14:paraId="4268AF12">
            <w:pPr>
              <w:pStyle w:val="26"/>
              <w:bidi w:val="0"/>
              <w:rPr>
                <w:rFonts w:hint="eastAsia"/>
                <w:lang w:val="en-US" w:eastAsia="zh-CN"/>
              </w:rPr>
            </w:pPr>
            <w:r>
              <w:rPr>
                <w:rFonts w:hint="eastAsia"/>
                <w:lang w:val="en-US" w:eastAsia="zh-CN"/>
              </w:rPr>
              <w:t>含铜废水处理</w:t>
            </w:r>
          </w:p>
        </w:tc>
        <w:tc>
          <w:tcPr>
            <w:tcW w:w="332" w:type="pct"/>
            <w:vAlign w:val="center"/>
          </w:tcPr>
          <w:p w14:paraId="1C7B3EEB">
            <w:pPr>
              <w:pStyle w:val="26"/>
              <w:bidi w:val="0"/>
              <w:rPr>
                <w:rFonts w:hint="eastAsia"/>
                <w:lang w:val="en-US" w:eastAsia="zh-CN"/>
              </w:rPr>
            </w:pPr>
            <w:r>
              <w:rPr>
                <w:rFonts w:hint="eastAsia"/>
                <w:lang w:val="en-US" w:eastAsia="zh-CN"/>
              </w:rPr>
              <w:t>固+液</w:t>
            </w:r>
          </w:p>
        </w:tc>
        <w:tc>
          <w:tcPr>
            <w:tcW w:w="614" w:type="pct"/>
            <w:vAlign w:val="center"/>
          </w:tcPr>
          <w:p w14:paraId="5E6629CF">
            <w:pPr>
              <w:pStyle w:val="26"/>
              <w:bidi w:val="0"/>
              <w:rPr>
                <w:rFonts w:hint="eastAsia"/>
                <w:lang w:val="en-US" w:eastAsia="zh-CN"/>
              </w:rPr>
            </w:pPr>
            <w:r>
              <w:rPr>
                <w:rFonts w:hint="eastAsia"/>
                <w:lang w:val="en-US" w:eastAsia="zh-CN"/>
              </w:rPr>
              <w:t>铜</w:t>
            </w:r>
          </w:p>
        </w:tc>
        <w:tc>
          <w:tcPr>
            <w:tcW w:w="252" w:type="pct"/>
            <w:vMerge w:val="continue"/>
            <w:vAlign w:val="center"/>
          </w:tcPr>
          <w:p w14:paraId="3BF741B6">
            <w:pPr>
              <w:pStyle w:val="26"/>
              <w:bidi w:val="0"/>
              <w:rPr>
                <w:rFonts w:hint="eastAsia"/>
                <w:lang w:val="en-US" w:eastAsia="zh-CN"/>
              </w:rPr>
            </w:pPr>
          </w:p>
        </w:tc>
        <w:tc>
          <w:tcPr>
            <w:tcW w:w="239" w:type="pct"/>
            <w:vAlign w:val="center"/>
          </w:tcPr>
          <w:p w14:paraId="66C46614">
            <w:pPr>
              <w:pStyle w:val="26"/>
              <w:bidi w:val="0"/>
              <w:rPr>
                <w:rFonts w:hint="eastAsia"/>
                <w:lang w:val="en-US" w:eastAsia="zh-CN"/>
              </w:rPr>
            </w:pPr>
            <w:r>
              <w:rPr>
                <w:rFonts w:hint="eastAsia"/>
                <w:lang w:val="en-US" w:eastAsia="zh-CN"/>
              </w:rPr>
              <w:t>T</w:t>
            </w:r>
          </w:p>
        </w:tc>
        <w:tc>
          <w:tcPr>
            <w:tcW w:w="380" w:type="pct"/>
            <w:vAlign w:val="center"/>
          </w:tcPr>
          <w:p w14:paraId="3BE1D5EB">
            <w:pPr>
              <w:pStyle w:val="26"/>
              <w:bidi w:val="0"/>
              <w:rPr>
                <w:rFonts w:hint="eastAsia"/>
                <w:lang w:val="en-US" w:eastAsia="zh-CN"/>
              </w:rPr>
            </w:pPr>
            <w:r>
              <w:rPr>
                <w:rFonts w:hint="eastAsia"/>
                <w:lang w:val="en-US" w:eastAsia="zh-CN"/>
              </w:rPr>
              <w:t>HW17</w:t>
            </w:r>
          </w:p>
        </w:tc>
        <w:tc>
          <w:tcPr>
            <w:tcW w:w="489" w:type="pct"/>
            <w:vAlign w:val="center"/>
          </w:tcPr>
          <w:p w14:paraId="772E2590">
            <w:pPr>
              <w:pStyle w:val="26"/>
              <w:bidi w:val="0"/>
              <w:rPr>
                <w:rFonts w:hint="eastAsia"/>
                <w:lang w:val="en-US" w:eastAsia="zh-CN"/>
              </w:rPr>
            </w:pPr>
            <w:r>
              <w:rPr>
                <w:rFonts w:hint="eastAsia"/>
                <w:lang w:val="en-US" w:eastAsia="zh-CN"/>
              </w:rPr>
              <w:t>336-062- 17</w:t>
            </w:r>
          </w:p>
        </w:tc>
        <w:tc>
          <w:tcPr>
            <w:tcW w:w="364" w:type="pct"/>
            <w:vAlign w:val="center"/>
          </w:tcPr>
          <w:p w14:paraId="2A285F97">
            <w:pPr>
              <w:pStyle w:val="26"/>
              <w:bidi w:val="0"/>
              <w:rPr>
                <w:rFonts w:hint="eastAsia"/>
                <w:lang w:val="en-US" w:eastAsia="zh-CN"/>
              </w:rPr>
            </w:pPr>
            <w:r>
              <w:rPr>
                <w:rFonts w:hint="eastAsia"/>
                <w:lang w:val="en-US" w:eastAsia="zh-CN"/>
              </w:rPr>
              <w:t>14</w:t>
            </w:r>
          </w:p>
        </w:tc>
        <w:tc>
          <w:tcPr>
            <w:tcW w:w="717" w:type="pct"/>
            <w:vMerge w:val="continue"/>
            <w:vAlign w:val="center"/>
          </w:tcPr>
          <w:p w14:paraId="6FDC605F">
            <w:pPr>
              <w:pStyle w:val="26"/>
              <w:bidi w:val="0"/>
              <w:rPr>
                <w:rFonts w:hint="eastAsia"/>
                <w:lang w:val="en-US" w:eastAsia="zh-CN"/>
              </w:rPr>
            </w:pPr>
          </w:p>
        </w:tc>
      </w:tr>
      <w:tr w14:paraId="5DA57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2058FDC6">
            <w:pPr>
              <w:pStyle w:val="26"/>
              <w:bidi w:val="0"/>
              <w:rPr>
                <w:rFonts w:hint="eastAsia"/>
                <w:lang w:val="en-US" w:eastAsia="zh-CN"/>
              </w:rPr>
            </w:pPr>
            <w:r>
              <w:rPr>
                <w:rFonts w:hint="eastAsia"/>
                <w:lang w:val="en-US" w:eastAsia="zh-CN"/>
              </w:rPr>
              <w:t>25.</w:t>
            </w:r>
          </w:p>
        </w:tc>
        <w:tc>
          <w:tcPr>
            <w:tcW w:w="556" w:type="pct"/>
            <w:vAlign w:val="center"/>
          </w:tcPr>
          <w:p w14:paraId="5A2DD0EA">
            <w:pPr>
              <w:pStyle w:val="26"/>
              <w:bidi w:val="0"/>
              <w:rPr>
                <w:rFonts w:hint="eastAsia"/>
                <w:lang w:val="en-US" w:eastAsia="zh-CN"/>
              </w:rPr>
            </w:pPr>
            <w:r>
              <w:rPr>
                <w:rFonts w:hint="eastAsia"/>
                <w:lang w:val="en-US" w:eastAsia="zh-CN"/>
              </w:rPr>
              <w:t>分析废液</w:t>
            </w:r>
          </w:p>
        </w:tc>
        <w:tc>
          <w:tcPr>
            <w:tcW w:w="222" w:type="pct"/>
            <w:vMerge w:val="continue"/>
            <w:vAlign w:val="center"/>
          </w:tcPr>
          <w:p w14:paraId="3DBDA9AD">
            <w:pPr>
              <w:pStyle w:val="26"/>
              <w:bidi w:val="0"/>
              <w:rPr>
                <w:rFonts w:hint="eastAsia"/>
                <w:lang w:val="en-US" w:eastAsia="zh-CN"/>
              </w:rPr>
            </w:pPr>
          </w:p>
        </w:tc>
        <w:tc>
          <w:tcPr>
            <w:tcW w:w="658" w:type="pct"/>
            <w:vAlign w:val="center"/>
          </w:tcPr>
          <w:p w14:paraId="28430AB1">
            <w:pPr>
              <w:pStyle w:val="26"/>
              <w:bidi w:val="0"/>
              <w:rPr>
                <w:rFonts w:hint="eastAsia"/>
                <w:lang w:val="en-US" w:eastAsia="zh-CN"/>
              </w:rPr>
            </w:pPr>
            <w:r>
              <w:rPr>
                <w:rFonts w:hint="eastAsia"/>
                <w:lang w:val="en-US" w:eastAsia="zh-CN"/>
              </w:rPr>
              <w:t>分析试验</w:t>
            </w:r>
          </w:p>
        </w:tc>
        <w:tc>
          <w:tcPr>
            <w:tcW w:w="332" w:type="pct"/>
            <w:vAlign w:val="center"/>
          </w:tcPr>
          <w:p w14:paraId="6B241958">
            <w:pPr>
              <w:pStyle w:val="26"/>
              <w:bidi w:val="0"/>
              <w:rPr>
                <w:rFonts w:hint="eastAsia"/>
                <w:lang w:val="en-US" w:eastAsia="zh-CN"/>
              </w:rPr>
            </w:pPr>
            <w:r>
              <w:rPr>
                <w:rFonts w:hint="eastAsia"/>
                <w:lang w:val="en-US" w:eastAsia="zh-CN"/>
              </w:rPr>
              <w:t>液</w:t>
            </w:r>
          </w:p>
        </w:tc>
        <w:tc>
          <w:tcPr>
            <w:tcW w:w="614" w:type="pct"/>
            <w:vAlign w:val="center"/>
          </w:tcPr>
          <w:p w14:paraId="0BFBF18A">
            <w:pPr>
              <w:pStyle w:val="26"/>
              <w:bidi w:val="0"/>
              <w:rPr>
                <w:rFonts w:hint="eastAsia"/>
                <w:lang w:val="en-US" w:eastAsia="zh-CN"/>
              </w:rPr>
            </w:pPr>
            <w:r>
              <w:rPr>
                <w:rFonts w:hint="eastAsia"/>
                <w:lang w:val="en-US" w:eastAsia="zh-CN"/>
              </w:rPr>
              <w:t>酸碱等</w:t>
            </w:r>
          </w:p>
        </w:tc>
        <w:tc>
          <w:tcPr>
            <w:tcW w:w="252" w:type="pct"/>
            <w:vMerge w:val="continue"/>
            <w:vAlign w:val="center"/>
          </w:tcPr>
          <w:p w14:paraId="30859B59">
            <w:pPr>
              <w:pStyle w:val="26"/>
              <w:bidi w:val="0"/>
              <w:rPr>
                <w:rFonts w:hint="eastAsia"/>
                <w:lang w:val="en-US" w:eastAsia="zh-CN"/>
              </w:rPr>
            </w:pPr>
          </w:p>
        </w:tc>
        <w:tc>
          <w:tcPr>
            <w:tcW w:w="239" w:type="pct"/>
            <w:vAlign w:val="center"/>
          </w:tcPr>
          <w:p w14:paraId="04DA0778">
            <w:pPr>
              <w:pStyle w:val="26"/>
              <w:bidi w:val="0"/>
              <w:rPr>
                <w:rFonts w:hint="eastAsia"/>
                <w:lang w:val="en-US" w:eastAsia="zh-CN"/>
              </w:rPr>
            </w:pPr>
            <w:r>
              <w:rPr>
                <w:rFonts w:hint="eastAsia"/>
                <w:lang w:val="en-US" w:eastAsia="zh-CN"/>
              </w:rPr>
              <w:t>T/C/I/R</w:t>
            </w:r>
          </w:p>
        </w:tc>
        <w:tc>
          <w:tcPr>
            <w:tcW w:w="380" w:type="pct"/>
            <w:vAlign w:val="center"/>
          </w:tcPr>
          <w:p w14:paraId="0F1A0EE2">
            <w:pPr>
              <w:pStyle w:val="26"/>
              <w:bidi w:val="0"/>
              <w:rPr>
                <w:rFonts w:hint="eastAsia"/>
                <w:lang w:val="en-US" w:eastAsia="zh-CN"/>
              </w:rPr>
            </w:pPr>
            <w:r>
              <w:rPr>
                <w:rFonts w:hint="eastAsia"/>
                <w:lang w:val="en-US" w:eastAsia="zh-CN"/>
              </w:rPr>
              <w:t>HW49</w:t>
            </w:r>
          </w:p>
        </w:tc>
        <w:tc>
          <w:tcPr>
            <w:tcW w:w="489" w:type="pct"/>
            <w:vAlign w:val="center"/>
          </w:tcPr>
          <w:p w14:paraId="3A057A3E">
            <w:pPr>
              <w:pStyle w:val="26"/>
              <w:bidi w:val="0"/>
              <w:rPr>
                <w:rFonts w:hint="eastAsia"/>
                <w:lang w:val="en-US" w:eastAsia="zh-CN"/>
              </w:rPr>
            </w:pPr>
            <w:r>
              <w:rPr>
                <w:rFonts w:hint="eastAsia"/>
                <w:lang w:val="en-US" w:eastAsia="zh-CN"/>
              </w:rPr>
              <w:t>900-047-49</w:t>
            </w:r>
          </w:p>
        </w:tc>
        <w:tc>
          <w:tcPr>
            <w:tcW w:w="364" w:type="pct"/>
            <w:vAlign w:val="center"/>
          </w:tcPr>
          <w:p w14:paraId="0903CA26">
            <w:pPr>
              <w:pStyle w:val="26"/>
              <w:bidi w:val="0"/>
              <w:rPr>
                <w:rFonts w:hint="eastAsia"/>
                <w:lang w:val="en-US" w:eastAsia="zh-CN"/>
              </w:rPr>
            </w:pPr>
            <w:r>
              <w:rPr>
                <w:rFonts w:hint="eastAsia"/>
                <w:lang w:val="en-US" w:eastAsia="zh-CN"/>
              </w:rPr>
              <w:t>0.15</w:t>
            </w:r>
          </w:p>
        </w:tc>
        <w:tc>
          <w:tcPr>
            <w:tcW w:w="717" w:type="pct"/>
            <w:vAlign w:val="center"/>
          </w:tcPr>
          <w:p w14:paraId="513B318B">
            <w:pPr>
              <w:pStyle w:val="26"/>
              <w:bidi w:val="0"/>
              <w:rPr>
                <w:rFonts w:hint="default"/>
                <w:lang w:val="en-US" w:eastAsia="zh-CN"/>
              </w:rPr>
            </w:pPr>
            <w:r>
              <w:rPr>
                <w:rFonts w:hint="eastAsia"/>
                <w:lang w:val="en-US" w:eastAsia="zh-CN"/>
              </w:rPr>
              <w:t>暂未产生</w:t>
            </w:r>
          </w:p>
        </w:tc>
      </w:tr>
      <w:tr w14:paraId="52C5F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1" w:type="pct"/>
            <w:vAlign w:val="center"/>
          </w:tcPr>
          <w:p w14:paraId="4C962E94">
            <w:pPr>
              <w:pStyle w:val="26"/>
              <w:bidi w:val="0"/>
              <w:rPr>
                <w:rFonts w:hint="eastAsia"/>
                <w:lang w:val="en-US" w:eastAsia="zh-CN"/>
              </w:rPr>
            </w:pPr>
            <w:r>
              <w:rPr>
                <w:rFonts w:hint="eastAsia"/>
                <w:lang w:val="en-US" w:eastAsia="zh-CN"/>
              </w:rPr>
              <w:t>26.</w:t>
            </w:r>
          </w:p>
        </w:tc>
        <w:tc>
          <w:tcPr>
            <w:tcW w:w="556" w:type="pct"/>
            <w:vAlign w:val="center"/>
          </w:tcPr>
          <w:p w14:paraId="36021EEB">
            <w:pPr>
              <w:pStyle w:val="26"/>
              <w:bidi w:val="0"/>
              <w:rPr>
                <w:rFonts w:hint="eastAsia"/>
                <w:lang w:val="en-US" w:eastAsia="zh-CN"/>
              </w:rPr>
            </w:pPr>
            <w:r>
              <w:rPr>
                <w:rFonts w:hint="eastAsia"/>
                <w:lang w:val="en-US" w:eastAsia="zh-CN"/>
              </w:rPr>
              <w:t>金属边角料</w:t>
            </w:r>
          </w:p>
        </w:tc>
        <w:tc>
          <w:tcPr>
            <w:tcW w:w="222" w:type="pct"/>
            <w:vMerge w:val="restart"/>
            <w:tcBorders>
              <w:bottom w:val="nil"/>
            </w:tcBorders>
            <w:vAlign w:val="center"/>
          </w:tcPr>
          <w:p w14:paraId="2A3B784A">
            <w:pPr>
              <w:pStyle w:val="26"/>
              <w:bidi w:val="0"/>
              <w:rPr>
                <w:rFonts w:hint="eastAsia"/>
                <w:lang w:val="en-US" w:eastAsia="zh-CN"/>
              </w:rPr>
            </w:pPr>
            <w:r>
              <w:rPr>
                <w:rFonts w:hint="eastAsia"/>
                <w:lang w:val="en-US" w:eastAsia="zh-CN"/>
              </w:rPr>
              <w:t>一般工业固废</w:t>
            </w:r>
          </w:p>
        </w:tc>
        <w:tc>
          <w:tcPr>
            <w:tcW w:w="658" w:type="pct"/>
            <w:vAlign w:val="center"/>
          </w:tcPr>
          <w:p w14:paraId="33B0FAD8">
            <w:pPr>
              <w:pStyle w:val="26"/>
              <w:bidi w:val="0"/>
              <w:rPr>
                <w:rFonts w:hint="eastAsia"/>
                <w:lang w:val="en-US" w:eastAsia="zh-CN"/>
              </w:rPr>
            </w:pPr>
            <w:r>
              <w:rPr>
                <w:rFonts w:hint="eastAsia"/>
                <w:lang w:val="en-US" w:eastAsia="zh-CN"/>
              </w:rPr>
              <w:t>锯料、车堵、铬抛</w:t>
            </w:r>
          </w:p>
        </w:tc>
        <w:tc>
          <w:tcPr>
            <w:tcW w:w="332" w:type="pct"/>
            <w:vAlign w:val="center"/>
          </w:tcPr>
          <w:p w14:paraId="2F22F1F6">
            <w:pPr>
              <w:pStyle w:val="26"/>
              <w:bidi w:val="0"/>
              <w:rPr>
                <w:rFonts w:hint="eastAsia"/>
                <w:lang w:val="en-US" w:eastAsia="zh-CN"/>
              </w:rPr>
            </w:pPr>
            <w:r>
              <w:rPr>
                <w:rFonts w:hint="eastAsia"/>
                <w:lang w:val="en-US" w:eastAsia="zh-CN"/>
              </w:rPr>
              <w:t>固体</w:t>
            </w:r>
          </w:p>
        </w:tc>
        <w:tc>
          <w:tcPr>
            <w:tcW w:w="614" w:type="pct"/>
            <w:vAlign w:val="center"/>
          </w:tcPr>
          <w:p w14:paraId="5926CF0A">
            <w:pPr>
              <w:pStyle w:val="26"/>
              <w:bidi w:val="0"/>
              <w:rPr>
                <w:rFonts w:hint="eastAsia"/>
                <w:lang w:val="en-US" w:eastAsia="zh-CN"/>
              </w:rPr>
            </w:pPr>
            <w:r>
              <w:rPr>
                <w:rFonts w:hint="eastAsia"/>
                <w:lang w:val="en-US" w:eastAsia="zh-CN"/>
              </w:rPr>
              <w:t>不锈钢</w:t>
            </w:r>
          </w:p>
        </w:tc>
        <w:tc>
          <w:tcPr>
            <w:tcW w:w="252" w:type="pct"/>
            <w:vMerge w:val="restart"/>
            <w:tcBorders>
              <w:bottom w:val="nil"/>
            </w:tcBorders>
            <w:vAlign w:val="center"/>
          </w:tcPr>
          <w:p w14:paraId="357A622D">
            <w:pPr>
              <w:pStyle w:val="26"/>
              <w:bidi w:val="0"/>
              <w:rPr>
                <w:rFonts w:hint="eastAsia"/>
                <w:lang w:val="en-US" w:eastAsia="zh-CN"/>
              </w:rPr>
            </w:pPr>
            <w:r>
              <w:rPr>
                <w:rFonts w:hint="eastAsia"/>
                <w:lang w:val="en-US" w:eastAsia="zh-CN"/>
              </w:rPr>
              <w:t>《固体废物鉴</w:t>
            </w:r>
          </w:p>
          <w:p w14:paraId="505F4623">
            <w:pPr>
              <w:pStyle w:val="26"/>
              <w:bidi w:val="0"/>
              <w:rPr>
                <w:rFonts w:hint="eastAsia"/>
                <w:lang w:val="en-US" w:eastAsia="zh-CN"/>
              </w:rPr>
            </w:pPr>
            <w:r>
              <w:rPr>
                <w:rFonts w:hint="eastAsia"/>
                <w:lang w:val="en-US" w:eastAsia="zh-CN"/>
              </w:rPr>
              <w:t>别导则（试</w:t>
            </w:r>
          </w:p>
          <w:p w14:paraId="0CAF4ECC">
            <w:pPr>
              <w:pStyle w:val="26"/>
              <w:bidi w:val="0"/>
              <w:rPr>
                <w:rFonts w:hint="eastAsia"/>
                <w:lang w:val="en-US" w:eastAsia="zh-CN"/>
              </w:rPr>
            </w:pPr>
            <w:r>
              <w:rPr>
                <w:rFonts w:hint="eastAsia"/>
                <w:lang w:val="en-US" w:eastAsia="zh-CN"/>
              </w:rPr>
              <w:t>行）》</w:t>
            </w:r>
          </w:p>
        </w:tc>
        <w:tc>
          <w:tcPr>
            <w:tcW w:w="239" w:type="pct"/>
            <w:vAlign w:val="center"/>
          </w:tcPr>
          <w:p w14:paraId="63E849E6">
            <w:pPr>
              <w:pStyle w:val="26"/>
              <w:bidi w:val="0"/>
              <w:rPr>
                <w:rFonts w:hint="eastAsia"/>
                <w:lang w:val="en-US" w:eastAsia="zh-CN"/>
              </w:rPr>
            </w:pPr>
            <w:r>
              <w:rPr>
                <w:rFonts w:hint="eastAsia"/>
                <w:lang w:val="en-US" w:eastAsia="zh-CN"/>
              </w:rPr>
              <w:t>/</w:t>
            </w:r>
          </w:p>
        </w:tc>
        <w:tc>
          <w:tcPr>
            <w:tcW w:w="380" w:type="pct"/>
            <w:vAlign w:val="center"/>
          </w:tcPr>
          <w:p w14:paraId="1E122F55">
            <w:pPr>
              <w:pStyle w:val="26"/>
              <w:bidi w:val="0"/>
              <w:rPr>
                <w:rFonts w:hint="eastAsia"/>
                <w:lang w:val="en-US" w:eastAsia="zh-CN"/>
              </w:rPr>
            </w:pPr>
            <w:r>
              <w:rPr>
                <w:rFonts w:hint="eastAsia"/>
                <w:lang w:val="en-US" w:eastAsia="zh-CN"/>
              </w:rPr>
              <w:t>SW17</w:t>
            </w:r>
          </w:p>
        </w:tc>
        <w:tc>
          <w:tcPr>
            <w:tcW w:w="489" w:type="pct"/>
            <w:vAlign w:val="center"/>
          </w:tcPr>
          <w:p w14:paraId="2815F4ED">
            <w:pPr>
              <w:pStyle w:val="26"/>
              <w:bidi w:val="0"/>
              <w:rPr>
                <w:rFonts w:hint="eastAsia"/>
                <w:lang w:val="en-US" w:eastAsia="zh-CN"/>
              </w:rPr>
            </w:pPr>
            <w:r>
              <w:rPr>
                <w:rFonts w:hint="eastAsia"/>
                <w:lang w:val="en-US" w:eastAsia="zh-CN"/>
              </w:rPr>
              <w:t>900-001-S17</w:t>
            </w:r>
          </w:p>
        </w:tc>
        <w:tc>
          <w:tcPr>
            <w:tcW w:w="364" w:type="pct"/>
            <w:vAlign w:val="center"/>
          </w:tcPr>
          <w:p w14:paraId="2EEB8815">
            <w:pPr>
              <w:pStyle w:val="26"/>
              <w:bidi w:val="0"/>
              <w:rPr>
                <w:rFonts w:hint="eastAsia"/>
                <w:lang w:val="en-US" w:eastAsia="zh-CN"/>
              </w:rPr>
            </w:pPr>
            <w:r>
              <w:rPr>
                <w:rFonts w:hint="eastAsia"/>
                <w:lang w:val="en-US" w:eastAsia="zh-CN"/>
              </w:rPr>
              <w:t>30</w:t>
            </w:r>
          </w:p>
        </w:tc>
        <w:tc>
          <w:tcPr>
            <w:tcW w:w="717" w:type="pct"/>
            <w:vAlign w:val="center"/>
          </w:tcPr>
          <w:p w14:paraId="6BFB91FD">
            <w:pPr>
              <w:pStyle w:val="26"/>
              <w:bidi w:val="0"/>
              <w:rPr>
                <w:rFonts w:hint="eastAsia"/>
                <w:lang w:val="en-US" w:eastAsia="zh-CN"/>
              </w:rPr>
            </w:pPr>
            <w:r>
              <w:rPr>
                <w:rFonts w:hint="eastAsia"/>
                <w:lang w:val="en-US" w:eastAsia="zh-CN"/>
              </w:rPr>
              <w:t>昆山市银通废品回收有限公司</w:t>
            </w:r>
          </w:p>
        </w:tc>
      </w:tr>
      <w:tr w14:paraId="72FF8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D7985FC">
            <w:pPr>
              <w:pStyle w:val="26"/>
              <w:bidi w:val="0"/>
              <w:rPr>
                <w:rFonts w:hint="eastAsia"/>
                <w:lang w:val="en-US" w:eastAsia="zh-CN"/>
              </w:rPr>
            </w:pPr>
            <w:r>
              <w:rPr>
                <w:rFonts w:hint="eastAsia"/>
                <w:lang w:val="en-US" w:eastAsia="zh-CN"/>
              </w:rPr>
              <w:t>27.</w:t>
            </w:r>
          </w:p>
        </w:tc>
        <w:tc>
          <w:tcPr>
            <w:tcW w:w="556" w:type="pct"/>
            <w:vAlign w:val="center"/>
          </w:tcPr>
          <w:p w14:paraId="33EA9768">
            <w:pPr>
              <w:pStyle w:val="26"/>
              <w:bidi w:val="0"/>
              <w:rPr>
                <w:rFonts w:hint="eastAsia"/>
                <w:lang w:val="en-US" w:eastAsia="zh-CN"/>
              </w:rPr>
            </w:pPr>
            <w:r>
              <w:rPr>
                <w:rFonts w:hint="eastAsia"/>
                <w:lang w:val="en-US" w:eastAsia="zh-CN"/>
              </w:rPr>
              <w:t>焊渣</w:t>
            </w:r>
          </w:p>
        </w:tc>
        <w:tc>
          <w:tcPr>
            <w:tcW w:w="222" w:type="pct"/>
            <w:vMerge w:val="continue"/>
            <w:tcBorders>
              <w:top w:val="nil"/>
              <w:bottom w:val="nil"/>
            </w:tcBorders>
            <w:vAlign w:val="center"/>
          </w:tcPr>
          <w:p w14:paraId="451D12E8">
            <w:pPr>
              <w:pStyle w:val="26"/>
              <w:bidi w:val="0"/>
              <w:rPr>
                <w:rFonts w:hint="eastAsia"/>
                <w:lang w:val="en-US" w:eastAsia="zh-CN"/>
              </w:rPr>
            </w:pPr>
          </w:p>
        </w:tc>
        <w:tc>
          <w:tcPr>
            <w:tcW w:w="658" w:type="pct"/>
            <w:vAlign w:val="center"/>
          </w:tcPr>
          <w:p w14:paraId="5D8ACF1C">
            <w:pPr>
              <w:pStyle w:val="26"/>
              <w:bidi w:val="0"/>
              <w:rPr>
                <w:rFonts w:hint="eastAsia"/>
                <w:lang w:val="en-US" w:eastAsia="zh-CN"/>
              </w:rPr>
            </w:pPr>
            <w:r>
              <w:rPr>
                <w:rFonts w:hint="eastAsia"/>
                <w:lang w:val="en-US" w:eastAsia="zh-CN"/>
              </w:rPr>
              <w:t>除尘器收尘</w:t>
            </w:r>
          </w:p>
        </w:tc>
        <w:tc>
          <w:tcPr>
            <w:tcW w:w="332" w:type="pct"/>
            <w:vAlign w:val="center"/>
          </w:tcPr>
          <w:p w14:paraId="7198601D">
            <w:pPr>
              <w:pStyle w:val="26"/>
              <w:bidi w:val="0"/>
              <w:rPr>
                <w:rFonts w:hint="eastAsia"/>
                <w:lang w:val="en-US" w:eastAsia="zh-CN"/>
              </w:rPr>
            </w:pPr>
            <w:r>
              <w:rPr>
                <w:rFonts w:hint="eastAsia"/>
                <w:lang w:val="en-US" w:eastAsia="zh-CN"/>
              </w:rPr>
              <w:t>固体</w:t>
            </w:r>
          </w:p>
        </w:tc>
        <w:tc>
          <w:tcPr>
            <w:tcW w:w="614" w:type="pct"/>
            <w:vAlign w:val="center"/>
          </w:tcPr>
          <w:p w14:paraId="5E2CED4D">
            <w:pPr>
              <w:pStyle w:val="26"/>
              <w:bidi w:val="0"/>
              <w:rPr>
                <w:rFonts w:hint="eastAsia"/>
                <w:lang w:val="en-US" w:eastAsia="zh-CN"/>
              </w:rPr>
            </w:pPr>
            <w:r>
              <w:rPr>
                <w:rFonts w:hint="eastAsia"/>
                <w:lang w:val="en-US" w:eastAsia="zh-CN"/>
              </w:rPr>
              <w:t>铁</w:t>
            </w:r>
          </w:p>
        </w:tc>
        <w:tc>
          <w:tcPr>
            <w:tcW w:w="252" w:type="pct"/>
            <w:vMerge w:val="continue"/>
            <w:tcBorders>
              <w:top w:val="nil"/>
              <w:bottom w:val="nil"/>
            </w:tcBorders>
            <w:vAlign w:val="center"/>
          </w:tcPr>
          <w:p w14:paraId="129BE098">
            <w:pPr>
              <w:pStyle w:val="26"/>
              <w:bidi w:val="0"/>
              <w:rPr>
                <w:rFonts w:hint="eastAsia"/>
                <w:lang w:val="en-US" w:eastAsia="zh-CN"/>
              </w:rPr>
            </w:pPr>
          </w:p>
        </w:tc>
        <w:tc>
          <w:tcPr>
            <w:tcW w:w="239" w:type="pct"/>
            <w:vAlign w:val="center"/>
          </w:tcPr>
          <w:p w14:paraId="484CE7FC">
            <w:pPr>
              <w:pStyle w:val="26"/>
              <w:bidi w:val="0"/>
              <w:rPr>
                <w:rFonts w:hint="eastAsia"/>
                <w:lang w:val="en-US" w:eastAsia="zh-CN"/>
              </w:rPr>
            </w:pPr>
            <w:r>
              <w:rPr>
                <w:rFonts w:hint="eastAsia"/>
                <w:lang w:val="en-US" w:eastAsia="zh-CN"/>
              </w:rPr>
              <w:t>/</w:t>
            </w:r>
          </w:p>
        </w:tc>
        <w:tc>
          <w:tcPr>
            <w:tcW w:w="380" w:type="pct"/>
            <w:vAlign w:val="center"/>
          </w:tcPr>
          <w:p w14:paraId="1889E86F">
            <w:pPr>
              <w:pStyle w:val="26"/>
              <w:bidi w:val="0"/>
              <w:rPr>
                <w:rFonts w:hint="eastAsia"/>
                <w:lang w:val="en-US" w:eastAsia="zh-CN"/>
              </w:rPr>
            </w:pPr>
            <w:r>
              <w:rPr>
                <w:rFonts w:hint="eastAsia"/>
                <w:lang w:val="en-US" w:eastAsia="zh-CN"/>
              </w:rPr>
              <w:t>SW59</w:t>
            </w:r>
          </w:p>
        </w:tc>
        <w:tc>
          <w:tcPr>
            <w:tcW w:w="489" w:type="pct"/>
            <w:vAlign w:val="center"/>
          </w:tcPr>
          <w:p w14:paraId="36871347">
            <w:pPr>
              <w:pStyle w:val="26"/>
              <w:bidi w:val="0"/>
              <w:rPr>
                <w:rFonts w:hint="eastAsia"/>
                <w:lang w:val="en-US" w:eastAsia="zh-CN"/>
              </w:rPr>
            </w:pPr>
            <w:r>
              <w:rPr>
                <w:rFonts w:hint="eastAsia"/>
                <w:lang w:val="en-US" w:eastAsia="zh-CN"/>
              </w:rPr>
              <w:t>900-099-S59</w:t>
            </w:r>
          </w:p>
        </w:tc>
        <w:tc>
          <w:tcPr>
            <w:tcW w:w="364" w:type="pct"/>
            <w:vAlign w:val="center"/>
          </w:tcPr>
          <w:p w14:paraId="66B9458F">
            <w:pPr>
              <w:pStyle w:val="26"/>
              <w:bidi w:val="0"/>
              <w:rPr>
                <w:rFonts w:hint="eastAsia"/>
                <w:lang w:val="en-US" w:eastAsia="zh-CN"/>
              </w:rPr>
            </w:pPr>
            <w:r>
              <w:rPr>
                <w:rFonts w:hint="eastAsia"/>
                <w:lang w:val="en-US" w:eastAsia="zh-CN"/>
              </w:rPr>
              <w:t>2.85</w:t>
            </w:r>
          </w:p>
        </w:tc>
        <w:tc>
          <w:tcPr>
            <w:tcW w:w="717" w:type="pct"/>
            <w:vAlign w:val="center"/>
          </w:tcPr>
          <w:p w14:paraId="0E01583C">
            <w:pPr>
              <w:pStyle w:val="26"/>
              <w:bidi w:val="0"/>
              <w:rPr>
                <w:rFonts w:hint="eastAsia"/>
                <w:lang w:val="en-US" w:eastAsia="zh-CN"/>
              </w:rPr>
            </w:pPr>
            <w:r>
              <w:rPr>
                <w:rFonts w:hint="eastAsia"/>
                <w:lang w:val="en-US" w:eastAsia="zh-CN"/>
              </w:rPr>
              <w:t>昆山皓晟环保科技有限公司</w:t>
            </w:r>
          </w:p>
        </w:tc>
      </w:tr>
      <w:tr w14:paraId="5D6F7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DA23BA9">
            <w:pPr>
              <w:pStyle w:val="26"/>
              <w:bidi w:val="0"/>
              <w:rPr>
                <w:rFonts w:hint="eastAsia"/>
                <w:lang w:val="en-US" w:eastAsia="zh-CN"/>
              </w:rPr>
            </w:pPr>
            <w:r>
              <w:rPr>
                <w:rFonts w:hint="eastAsia"/>
                <w:lang w:val="en-US" w:eastAsia="zh-CN"/>
              </w:rPr>
              <w:t>28.</w:t>
            </w:r>
          </w:p>
        </w:tc>
        <w:tc>
          <w:tcPr>
            <w:tcW w:w="556" w:type="pct"/>
            <w:vAlign w:val="center"/>
          </w:tcPr>
          <w:p w14:paraId="6A65E2E6">
            <w:pPr>
              <w:pStyle w:val="26"/>
              <w:bidi w:val="0"/>
              <w:rPr>
                <w:rFonts w:hint="eastAsia"/>
                <w:lang w:val="en-US" w:eastAsia="zh-CN"/>
              </w:rPr>
            </w:pPr>
            <w:r>
              <w:rPr>
                <w:rFonts w:hint="eastAsia"/>
                <w:lang w:val="en-US" w:eastAsia="zh-CN"/>
              </w:rPr>
              <w:t>废砂纸</w:t>
            </w:r>
          </w:p>
        </w:tc>
        <w:tc>
          <w:tcPr>
            <w:tcW w:w="222" w:type="pct"/>
            <w:vMerge w:val="continue"/>
            <w:tcBorders>
              <w:top w:val="nil"/>
              <w:bottom w:val="nil"/>
            </w:tcBorders>
            <w:vAlign w:val="center"/>
          </w:tcPr>
          <w:p w14:paraId="5C950417">
            <w:pPr>
              <w:pStyle w:val="26"/>
              <w:bidi w:val="0"/>
              <w:rPr>
                <w:rFonts w:hint="eastAsia"/>
                <w:lang w:val="en-US" w:eastAsia="zh-CN"/>
              </w:rPr>
            </w:pPr>
          </w:p>
        </w:tc>
        <w:tc>
          <w:tcPr>
            <w:tcW w:w="658" w:type="pct"/>
            <w:vAlign w:val="center"/>
          </w:tcPr>
          <w:p w14:paraId="46AB37D5">
            <w:pPr>
              <w:pStyle w:val="26"/>
              <w:bidi w:val="0"/>
              <w:rPr>
                <w:rFonts w:hint="eastAsia"/>
                <w:lang w:val="en-US" w:eastAsia="zh-CN"/>
              </w:rPr>
            </w:pPr>
            <w:r>
              <w:rPr>
                <w:rFonts w:hint="eastAsia"/>
                <w:lang w:val="en-US" w:eastAsia="zh-CN"/>
              </w:rPr>
              <w:t>砂纸</w:t>
            </w:r>
          </w:p>
        </w:tc>
        <w:tc>
          <w:tcPr>
            <w:tcW w:w="332" w:type="pct"/>
            <w:vAlign w:val="center"/>
          </w:tcPr>
          <w:p w14:paraId="420A95C1">
            <w:pPr>
              <w:pStyle w:val="26"/>
              <w:bidi w:val="0"/>
              <w:rPr>
                <w:rFonts w:hint="eastAsia"/>
                <w:lang w:val="en-US" w:eastAsia="zh-CN"/>
              </w:rPr>
            </w:pPr>
            <w:r>
              <w:rPr>
                <w:rFonts w:hint="eastAsia"/>
                <w:lang w:val="en-US" w:eastAsia="zh-CN"/>
              </w:rPr>
              <w:t>固体</w:t>
            </w:r>
          </w:p>
        </w:tc>
        <w:tc>
          <w:tcPr>
            <w:tcW w:w="614" w:type="pct"/>
            <w:vAlign w:val="center"/>
          </w:tcPr>
          <w:p w14:paraId="22765E10">
            <w:pPr>
              <w:pStyle w:val="26"/>
              <w:bidi w:val="0"/>
              <w:rPr>
                <w:rFonts w:hint="eastAsia"/>
                <w:lang w:val="en-US" w:eastAsia="zh-CN"/>
              </w:rPr>
            </w:pPr>
            <w:r>
              <w:rPr>
                <w:rFonts w:hint="eastAsia"/>
                <w:lang w:val="en-US" w:eastAsia="zh-CN"/>
              </w:rPr>
              <w:t>纸</w:t>
            </w:r>
          </w:p>
        </w:tc>
        <w:tc>
          <w:tcPr>
            <w:tcW w:w="252" w:type="pct"/>
            <w:vMerge w:val="continue"/>
            <w:tcBorders>
              <w:top w:val="nil"/>
              <w:bottom w:val="nil"/>
            </w:tcBorders>
            <w:vAlign w:val="center"/>
          </w:tcPr>
          <w:p w14:paraId="48D70182">
            <w:pPr>
              <w:pStyle w:val="26"/>
              <w:bidi w:val="0"/>
              <w:rPr>
                <w:rFonts w:hint="eastAsia"/>
                <w:lang w:val="en-US" w:eastAsia="zh-CN"/>
              </w:rPr>
            </w:pPr>
          </w:p>
        </w:tc>
        <w:tc>
          <w:tcPr>
            <w:tcW w:w="239" w:type="pct"/>
            <w:vAlign w:val="center"/>
          </w:tcPr>
          <w:p w14:paraId="28969881">
            <w:pPr>
              <w:pStyle w:val="26"/>
              <w:bidi w:val="0"/>
              <w:rPr>
                <w:rFonts w:hint="eastAsia"/>
                <w:lang w:val="en-US" w:eastAsia="zh-CN"/>
              </w:rPr>
            </w:pPr>
            <w:r>
              <w:rPr>
                <w:rFonts w:hint="eastAsia"/>
                <w:lang w:val="en-US" w:eastAsia="zh-CN"/>
              </w:rPr>
              <w:t>/</w:t>
            </w:r>
          </w:p>
        </w:tc>
        <w:tc>
          <w:tcPr>
            <w:tcW w:w="380" w:type="pct"/>
            <w:vAlign w:val="center"/>
          </w:tcPr>
          <w:p w14:paraId="27312C5A">
            <w:pPr>
              <w:pStyle w:val="26"/>
              <w:bidi w:val="0"/>
              <w:rPr>
                <w:rFonts w:hint="eastAsia"/>
                <w:lang w:val="en-US" w:eastAsia="zh-CN"/>
              </w:rPr>
            </w:pPr>
            <w:r>
              <w:rPr>
                <w:rFonts w:hint="eastAsia"/>
                <w:lang w:val="en-US" w:eastAsia="zh-CN"/>
              </w:rPr>
              <w:t>SW17</w:t>
            </w:r>
          </w:p>
        </w:tc>
        <w:tc>
          <w:tcPr>
            <w:tcW w:w="489" w:type="pct"/>
            <w:vAlign w:val="center"/>
          </w:tcPr>
          <w:p w14:paraId="328E1B09">
            <w:pPr>
              <w:pStyle w:val="26"/>
              <w:bidi w:val="0"/>
              <w:rPr>
                <w:rFonts w:hint="eastAsia"/>
                <w:lang w:val="en-US" w:eastAsia="zh-CN"/>
              </w:rPr>
            </w:pPr>
            <w:r>
              <w:rPr>
                <w:rFonts w:hint="eastAsia"/>
                <w:lang w:val="en-US" w:eastAsia="zh-CN"/>
              </w:rPr>
              <w:t>900-005-S17</w:t>
            </w:r>
          </w:p>
        </w:tc>
        <w:tc>
          <w:tcPr>
            <w:tcW w:w="364" w:type="pct"/>
            <w:vAlign w:val="center"/>
          </w:tcPr>
          <w:p w14:paraId="539F56D5">
            <w:pPr>
              <w:pStyle w:val="26"/>
              <w:bidi w:val="0"/>
              <w:rPr>
                <w:rFonts w:hint="eastAsia"/>
                <w:lang w:val="en-US" w:eastAsia="zh-CN"/>
              </w:rPr>
            </w:pPr>
            <w:r>
              <w:rPr>
                <w:rFonts w:hint="eastAsia"/>
                <w:lang w:val="en-US" w:eastAsia="zh-CN"/>
              </w:rPr>
              <w:t>1</w:t>
            </w:r>
          </w:p>
        </w:tc>
        <w:tc>
          <w:tcPr>
            <w:tcW w:w="717" w:type="pct"/>
            <w:vAlign w:val="center"/>
          </w:tcPr>
          <w:p w14:paraId="3C4CFBCE">
            <w:pPr>
              <w:pStyle w:val="26"/>
              <w:bidi w:val="0"/>
              <w:rPr>
                <w:rFonts w:hint="eastAsia"/>
                <w:lang w:val="en-US" w:eastAsia="zh-CN"/>
              </w:rPr>
            </w:pPr>
            <w:r>
              <w:rPr>
                <w:rFonts w:hint="eastAsia"/>
                <w:lang w:val="en-US" w:eastAsia="zh-CN"/>
              </w:rPr>
              <w:t>昆山市石浦金刚砂厂</w:t>
            </w:r>
          </w:p>
        </w:tc>
      </w:tr>
      <w:tr w14:paraId="472BD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1" w:type="pct"/>
            <w:vAlign w:val="center"/>
          </w:tcPr>
          <w:p w14:paraId="5A235259">
            <w:pPr>
              <w:pStyle w:val="26"/>
              <w:bidi w:val="0"/>
              <w:rPr>
                <w:rFonts w:hint="eastAsia"/>
                <w:lang w:val="en-US" w:eastAsia="zh-CN"/>
              </w:rPr>
            </w:pPr>
            <w:r>
              <w:rPr>
                <w:rFonts w:hint="eastAsia"/>
                <w:lang w:val="en-US" w:eastAsia="zh-CN"/>
              </w:rPr>
              <w:t>29.</w:t>
            </w:r>
          </w:p>
        </w:tc>
        <w:tc>
          <w:tcPr>
            <w:tcW w:w="556" w:type="pct"/>
            <w:vAlign w:val="center"/>
          </w:tcPr>
          <w:p w14:paraId="0700C8E2">
            <w:pPr>
              <w:pStyle w:val="26"/>
              <w:bidi w:val="0"/>
              <w:rPr>
                <w:rFonts w:hint="eastAsia"/>
                <w:lang w:val="en-US" w:eastAsia="zh-CN"/>
              </w:rPr>
            </w:pPr>
            <w:r>
              <w:rPr>
                <w:rFonts w:hint="eastAsia"/>
                <w:lang w:val="en-US" w:eastAsia="zh-CN"/>
              </w:rPr>
              <w:t>废白刚玉、玻璃珠</w:t>
            </w:r>
          </w:p>
        </w:tc>
        <w:tc>
          <w:tcPr>
            <w:tcW w:w="222" w:type="pct"/>
            <w:vMerge w:val="continue"/>
            <w:tcBorders>
              <w:top w:val="nil"/>
              <w:bottom w:val="nil"/>
            </w:tcBorders>
            <w:vAlign w:val="center"/>
          </w:tcPr>
          <w:p w14:paraId="0053FB1B">
            <w:pPr>
              <w:pStyle w:val="26"/>
              <w:bidi w:val="0"/>
              <w:rPr>
                <w:rFonts w:hint="eastAsia"/>
                <w:lang w:val="en-US" w:eastAsia="zh-CN"/>
              </w:rPr>
            </w:pPr>
          </w:p>
        </w:tc>
        <w:tc>
          <w:tcPr>
            <w:tcW w:w="658" w:type="pct"/>
            <w:vAlign w:val="center"/>
          </w:tcPr>
          <w:p w14:paraId="08579DDB">
            <w:pPr>
              <w:pStyle w:val="26"/>
              <w:bidi w:val="0"/>
              <w:rPr>
                <w:rFonts w:hint="eastAsia"/>
                <w:lang w:val="en-US" w:eastAsia="zh-CN"/>
              </w:rPr>
            </w:pPr>
            <w:r>
              <w:rPr>
                <w:rFonts w:hint="eastAsia"/>
                <w:lang w:val="en-US" w:eastAsia="zh-CN"/>
              </w:rPr>
              <w:t>喷砂</w:t>
            </w:r>
          </w:p>
        </w:tc>
        <w:tc>
          <w:tcPr>
            <w:tcW w:w="332" w:type="pct"/>
            <w:vAlign w:val="center"/>
          </w:tcPr>
          <w:p w14:paraId="626A3140">
            <w:pPr>
              <w:pStyle w:val="26"/>
              <w:bidi w:val="0"/>
              <w:rPr>
                <w:rFonts w:hint="eastAsia"/>
                <w:lang w:val="en-US" w:eastAsia="zh-CN"/>
              </w:rPr>
            </w:pPr>
            <w:r>
              <w:rPr>
                <w:rFonts w:hint="eastAsia"/>
                <w:lang w:val="en-US" w:eastAsia="zh-CN"/>
              </w:rPr>
              <w:t>固体</w:t>
            </w:r>
          </w:p>
        </w:tc>
        <w:tc>
          <w:tcPr>
            <w:tcW w:w="614" w:type="pct"/>
            <w:vAlign w:val="center"/>
          </w:tcPr>
          <w:p w14:paraId="5FB0642C">
            <w:pPr>
              <w:pStyle w:val="26"/>
              <w:bidi w:val="0"/>
              <w:rPr>
                <w:rFonts w:hint="eastAsia"/>
                <w:lang w:val="en-US" w:eastAsia="zh-CN"/>
              </w:rPr>
            </w:pPr>
            <w:r>
              <w:rPr>
                <w:rFonts w:hint="eastAsia"/>
                <w:lang w:val="en-US" w:eastAsia="zh-CN"/>
              </w:rPr>
              <w:t>玻璃砂</w:t>
            </w:r>
          </w:p>
        </w:tc>
        <w:tc>
          <w:tcPr>
            <w:tcW w:w="252" w:type="pct"/>
            <w:vMerge w:val="continue"/>
            <w:tcBorders>
              <w:top w:val="nil"/>
              <w:bottom w:val="nil"/>
            </w:tcBorders>
            <w:vAlign w:val="center"/>
          </w:tcPr>
          <w:p w14:paraId="183B63F2">
            <w:pPr>
              <w:pStyle w:val="26"/>
              <w:bidi w:val="0"/>
              <w:rPr>
                <w:rFonts w:hint="eastAsia"/>
                <w:lang w:val="en-US" w:eastAsia="zh-CN"/>
              </w:rPr>
            </w:pPr>
          </w:p>
        </w:tc>
        <w:tc>
          <w:tcPr>
            <w:tcW w:w="239" w:type="pct"/>
            <w:vAlign w:val="center"/>
          </w:tcPr>
          <w:p w14:paraId="055A10F6">
            <w:pPr>
              <w:pStyle w:val="26"/>
              <w:bidi w:val="0"/>
              <w:rPr>
                <w:rFonts w:hint="eastAsia"/>
                <w:lang w:val="en-US" w:eastAsia="zh-CN"/>
              </w:rPr>
            </w:pPr>
            <w:r>
              <w:rPr>
                <w:rFonts w:hint="eastAsia"/>
                <w:lang w:val="en-US" w:eastAsia="zh-CN"/>
              </w:rPr>
              <w:t>/</w:t>
            </w:r>
          </w:p>
        </w:tc>
        <w:tc>
          <w:tcPr>
            <w:tcW w:w="380" w:type="pct"/>
            <w:vAlign w:val="center"/>
          </w:tcPr>
          <w:p w14:paraId="5A00EF57">
            <w:pPr>
              <w:pStyle w:val="26"/>
              <w:bidi w:val="0"/>
              <w:rPr>
                <w:rFonts w:hint="eastAsia"/>
                <w:lang w:val="en-US" w:eastAsia="zh-CN"/>
              </w:rPr>
            </w:pPr>
            <w:r>
              <w:rPr>
                <w:rFonts w:hint="eastAsia"/>
                <w:lang w:val="en-US" w:eastAsia="zh-CN"/>
              </w:rPr>
              <w:t>SW17</w:t>
            </w:r>
          </w:p>
        </w:tc>
        <w:tc>
          <w:tcPr>
            <w:tcW w:w="489" w:type="pct"/>
            <w:vAlign w:val="center"/>
          </w:tcPr>
          <w:p w14:paraId="10305F50">
            <w:pPr>
              <w:pStyle w:val="26"/>
              <w:bidi w:val="0"/>
              <w:rPr>
                <w:rFonts w:hint="eastAsia"/>
                <w:lang w:val="en-US" w:eastAsia="zh-CN"/>
              </w:rPr>
            </w:pPr>
            <w:r>
              <w:rPr>
                <w:rFonts w:hint="eastAsia"/>
                <w:lang w:val="en-US" w:eastAsia="zh-CN"/>
              </w:rPr>
              <w:t>900-004-S17</w:t>
            </w:r>
          </w:p>
        </w:tc>
        <w:tc>
          <w:tcPr>
            <w:tcW w:w="364" w:type="pct"/>
            <w:vAlign w:val="center"/>
          </w:tcPr>
          <w:p w14:paraId="2BB3C5EC">
            <w:pPr>
              <w:pStyle w:val="26"/>
              <w:bidi w:val="0"/>
              <w:rPr>
                <w:rFonts w:hint="eastAsia"/>
                <w:lang w:val="en-US" w:eastAsia="zh-CN"/>
              </w:rPr>
            </w:pPr>
            <w:r>
              <w:rPr>
                <w:rFonts w:hint="eastAsia"/>
                <w:lang w:val="en-US" w:eastAsia="zh-CN"/>
              </w:rPr>
              <w:t>40</w:t>
            </w:r>
          </w:p>
        </w:tc>
        <w:tc>
          <w:tcPr>
            <w:tcW w:w="717" w:type="pct"/>
            <w:vMerge w:val="restart"/>
            <w:vAlign w:val="center"/>
          </w:tcPr>
          <w:p w14:paraId="5AA90490">
            <w:pPr>
              <w:pStyle w:val="26"/>
              <w:bidi w:val="0"/>
              <w:rPr>
                <w:rFonts w:hint="eastAsia"/>
                <w:lang w:val="en-US" w:eastAsia="zh-CN"/>
              </w:rPr>
            </w:pPr>
            <w:r>
              <w:rPr>
                <w:rFonts w:hint="eastAsia"/>
                <w:lang w:val="en-US" w:eastAsia="zh-CN"/>
              </w:rPr>
              <w:t>昆山皓晟环保科技有限公司</w:t>
            </w:r>
          </w:p>
        </w:tc>
      </w:tr>
      <w:tr w14:paraId="1844F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57E3E99F">
            <w:pPr>
              <w:pStyle w:val="26"/>
              <w:bidi w:val="0"/>
              <w:rPr>
                <w:rFonts w:hint="eastAsia"/>
                <w:lang w:val="en-US" w:eastAsia="zh-CN"/>
              </w:rPr>
            </w:pPr>
            <w:r>
              <w:rPr>
                <w:rFonts w:hint="eastAsia"/>
                <w:lang w:val="en-US" w:eastAsia="zh-CN"/>
              </w:rPr>
              <w:t>30.</w:t>
            </w:r>
          </w:p>
        </w:tc>
        <w:tc>
          <w:tcPr>
            <w:tcW w:w="556" w:type="pct"/>
            <w:vAlign w:val="center"/>
          </w:tcPr>
          <w:p w14:paraId="2A199336">
            <w:pPr>
              <w:pStyle w:val="26"/>
              <w:bidi w:val="0"/>
              <w:rPr>
                <w:rFonts w:hint="eastAsia"/>
                <w:lang w:val="en-US" w:eastAsia="zh-CN"/>
              </w:rPr>
            </w:pPr>
            <w:r>
              <w:rPr>
                <w:rFonts w:hint="eastAsia"/>
                <w:lang w:val="en-US" w:eastAsia="zh-CN"/>
              </w:rPr>
              <w:t>废包装、纸箱</w:t>
            </w:r>
          </w:p>
        </w:tc>
        <w:tc>
          <w:tcPr>
            <w:tcW w:w="222" w:type="pct"/>
            <w:vMerge w:val="continue"/>
            <w:tcBorders>
              <w:top w:val="nil"/>
              <w:bottom w:val="nil"/>
            </w:tcBorders>
            <w:vAlign w:val="center"/>
          </w:tcPr>
          <w:p w14:paraId="236F79FC">
            <w:pPr>
              <w:pStyle w:val="26"/>
              <w:bidi w:val="0"/>
              <w:rPr>
                <w:rFonts w:hint="eastAsia"/>
                <w:lang w:val="en-US" w:eastAsia="zh-CN"/>
              </w:rPr>
            </w:pPr>
          </w:p>
        </w:tc>
        <w:tc>
          <w:tcPr>
            <w:tcW w:w="658" w:type="pct"/>
            <w:vAlign w:val="center"/>
          </w:tcPr>
          <w:p w14:paraId="72F0C6DE">
            <w:pPr>
              <w:pStyle w:val="26"/>
              <w:bidi w:val="0"/>
              <w:rPr>
                <w:rFonts w:hint="eastAsia"/>
                <w:lang w:val="en-US" w:eastAsia="zh-CN"/>
              </w:rPr>
            </w:pPr>
            <w:r>
              <w:rPr>
                <w:rFonts w:hint="eastAsia"/>
                <w:lang w:val="en-US" w:eastAsia="zh-CN"/>
              </w:rPr>
              <w:t>包装</w:t>
            </w:r>
          </w:p>
        </w:tc>
        <w:tc>
          <w:tcPr>
            <w:tcW w:w="332" w:type="pct"/>
            <w:vAlign w:val="center"/>
          </w:tcPr>
          <w:p w14:paraId="4BE92D3B">
            <w:pPr>
              <w:pStyle w:val="26"/>
              <w:bidi w:val="0"/>
              <w:rPr>
                <w:rFonts w:hint="eastAsia"/>
                <w:lang w:val="en-US" w:eastAsia="zh-CN"/>
              </w:rPr>
            </w:pPr>
            <w:r>
              <w:rPr>
                <w:rFonts w:hint="eastAsia"/>
                <w:lang w:val="en-US" w:eastAsia="zh-CN"/>
              </w:rPr>
              <w:t>固体</w:t>
            </w:r>
          </w:p>
        </w:tc>
        <w:tc>
          <w:tcPr>
            <w:tcW w:w="614" w:type="pct"/>
            <w:vAlign w:val="center"/>
          </w:tcPr>
          <w:p w14:paraId="48B46E41">
            <w:pPr>
              <w:pStyle w:val="26"/>
              <w:bidi w:val="0"/>
              <w:rPr>
                <w:rFonts w:hint="eastAsia"/>
                <w:lang w:val="en-US" w:eastAsia="zh-CN"/>
              </w:rPr>
            </w:pPr>
            <w:r>
              <w:rPr>
                <w:rFonts w:hint="eastAsia"/>
                <w:lang w:val="en-US" w:eastAsia="zh-CN"/>
              </w:rPr>
              <w:t>纸</w:t>
            </w:r>
          </w:p>
        </w:tc>
        <w:tc>
          <w:tcPr>
            <w:tcW w:w="252" w:type="pct"/>
            <w:vMerge w:val="continue"/>
            <w:tcBorders>
              <w:top w:val="nil"/>
              <w:bottom w:val="nil"/>
            </w:tcBorders>
            <w:vAlign w:val="center"/>
          </w:tcPr>
          <w:p w14:paraId="0335ACD4">
            <w:pPr>
              <w:pStyle w:val="26"/>
              <w:bidi w:val="0"/>
              <w:rPr>
                <w:rFonts w:hint="eastAsia"/>
                <w:lang w:val="en-US" w:eastAsia="zh-CN"/>
              </w:rPr>
            </w:pPr>
          </w:p>
        </w:tc>
        <w:tc>
          <w:tcPr>
            <w:tcW w:w="239" w:type="pct"/>
            <w:vAlign w:val="center"/>
          </w:tcPr>
          <w:p w14:paraId="01CE72FB">
            <w:pPr>
              <w:pStyle w:val="26"/>
              <w:bidi w:val="0"/>
              <w:rPr>
                <w:rFonts w:hint="eastAsia"/>
                <w:lang w:val="en-US" w:eastAsia="zh-CN"/>
              </w:rPr>
            </w:pPr>
            <w:r>
              <w:rPr>
                <w:rFonts w:hint="eastAsia"/>
                <w:lang w:val="en-US" w:eastAsia="zh-CN"/>
              </w:rPr>
              <w:t>/</w:t>
            </w:r>
          </w:p>
        </w:tc>
        <w:tc>
          <w:tcPr>
            <w:tcW w:w="380" w:type="pct"/>
            <w:vAlign w:val="center"/>
          </w:tcPr>
          <w:p w14:paraId="20AAA09B">
            <w:pPr>
              <w:pStyle w:val="26"/>
              <w:bidi w:val="0"/>
              <w:rPr>
                <w:rFonts w:hint="eastAsia"/>
                <w:lang w:val="en-US" w:eastAsia="zh-CN"/>
              </w:rPr>
            </w:pPr>
            <w:r>
              <w:rPr>
                <w:rFonts w:hint="eastAsia"/>
                <w:lang w:val="en-US" w:eastAsia="zh-CN"/>
              </w:rPr>
              <w:t>SW17</w:t>
            </w:r>
          </w:p>
        </w:tc>
        <w:tc>
          <w:tcPr>
            <w:tcW w:w="489" w:type="pct"/>
            <w:vAlign w:val="center"/>
          </w:tcPr>
          <w:p w14:paraId="33981E3D">
            <w:pPr>
              <w:pStyle w:val="26"/>
              <w:bidi w:val="0"/>
              <w:rPr>
                <w:rFonts w:hint="eastAsia"/>
                <w:lang w:val="en-US" w:eastAsia="zh-CN"/>
              </w:rPr>
            </w:pPr>
            <w:r>
              <w:rPr>
                <w:rFonts w:hint="eastAsia"/>
                <w:lang w:val="en-US" w:eastAsia="zh-CN"/>
              </w:rPr>
              <w:t>900-005-S17</w:t>
            </w:r>
          </w:p>
        </w:tc>
        <w:tc>
          <w:tcPr>
            <w:tcW w:w="364" w:type="pct"/>
            <w:vAlign w:val="center"/>
          </w:tcPr>
          <w:p w14:paraId="0231A44F">
            <w:pPr>
              <w:pStyle w:val="26"/>
              <w:bidi w:val="0"/>
              <w:rPr>
                <w:rFonts w:hint="eastAsia"/>
                <w:lang w:val="en-US" w:eastAsia="zh-CN"/>
              </w:rPr>
            </w:pPr>
            <w:r>
              <w:rPr>
                <w:rFonts w:hint="eastAsia"/>
                <w:lang w:val="en-US" w:eastAsia="zh-CN"/>
              </w:rPr>
              <w:t>2</w:t>
            </w:r>
          </w:p>
        </w:tc>
        <w:tc>
          <w:tcPr>
            <w:tcW w:w="717" w:type="pct"/>
            <w:vMerge w:val="continue"/>
            <w:vAlign w:val="center"/>
          </w:tcPr>
          <w:p w14:paraId="3841233C">
            <w:pPr>
              <w:pStyle w:val="26"/>
              <w:bidi w:val="0"/>
              <w:rPr>
                <w:rFonts w:hint="eastAsia"/>
                <w:lang w:val="en-US" w:eastAsia="zh-CN"/>
              </w:rPr>
            </w:pPr>
          </w:p>
        </w:tc>
      </w:tr>
      <w:tr w14:paraId="3CC7C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61F141EF">
            <w:pPr>
              <w:pStyle w:val="26"/>
              <w:bidi w:val="0"/>
              <w:rPr>
                <w:rFonts w:hint="eastAsia"/>
                <w:lang w:val="en-US" w:eastAsia="zh-CN"/>
              </w:rPr>
            </w:pPr>
            <w:r>
              <w:rPr>
                <w:rFonts w:hint="eastAsia"/>
                <w:lang w:val="en-US" w:eastAsia="zh-CN"/>
              </w:rPr>
              <w:t>31.</w:t>
            </w:r>
          </w:p>
        </w:tc>
        <w:tc>
          <w:tcPr>
            <w:tcW w:w="556" w:type="pct"/>
            <w:vAlign w:val="center"/>
          </w:tcPr>
          <w:p w14:paraId="32CD4158">
            <w:pPr>
              <w:pStyle w:val="26"/>
              <w:bidi w:val="0"/>
              <w:rPr>
                <w:rFonts w:hint="eastAsia"/>
                <w:lang w:val="en-US" w:eastAsia="zh-CN"/>
              </w:rPr>
            </w:pPr>
            <w:r>
              <w:rPr>
                <w:rFonts w:hint="eastAsia"/>
                <w:lang w:val="en-US" w:eastAsia="zh-CN"/>
              </w:rPr>
              <w:t>废滤芯</w:t>
            </w:r>
          </w:p>
        </w:tc>
        <w:tc>
          <w:tcPr>
            <w:tcW w:w="222" w:type="pct"/>
            <w:vMerge w:val="continue"/>
            <w:tcBorders>
              <w:top w:val="nil"/>
              <w:bottom w:val="nil"/>
            </w:tcBorders>
            <w:vAlign w:val="center"/>
          </w:tcPr>
          <w:p w14:paraId="176C46A8">
            <w:pPr>
              <w:pStyle w:val="26"/>
              <w:bidi w:val="0"/>
              <w:rPr>
                <w:rFonts w:hint="eastAsia"/>
                <w:lang w:val="en-US" w:eastAsia="zh-CN"/>
              </w:rPr>
            </w:pPr>
          </w:p>
        </w:tc>
        <w:tc>
          <w:tcPr>
            <w:tcW w:w="658" w:type="pct"/>
            <w:vAlign w:val="center"/>
          </w:tcPr>
          <w:p w14:paraId="0520D7D6">
            <w:pPr>
              <w:pStyle w:val="26"/>
              <w:bidi w:val="0"/>
              <w:rPr>
                <w:rFonts w:hint="eastAsia"/>
                <w:lang w:val="en-US" w:eastAsia="zh-CN"/>
              </w:rPr>
            </w:pPr>
            <w:r>
              <w:rPr>
                <w:rFonts w:hint="eastAsia"/>
                <w:lang w:val="en-US" w:eastAsia="zh-CN"/>
              </w:rPr>
              <w:t>除尘</w:t>
            </w:r>
          </w:p>
        </w:tc>
        <w:tc>
          <w:tcPr>
            <w:tcW w:w="332" w:type="pct"/>
            <w:vAlign w:val="center"/>
          </w:tcPr>
          <w:p w14:paraId="1E75DBD2">
            <w:pPr>
              <w:pStyle w:val="26"/>
              <w:bidi w:val="0"/>
              <w:rPr>
                <w:rFonts w:hint="eastAsia"/>
                <w:lang w:val="en-US" w:eastAsia="zh-CN"/>
              </w:rPr>
            </w:pPr>
            <w:r>
              <w:rPr>
                <w:rFonts w:hint="eastAsia"/>
                <w:lang w:val="en-US" w:eastAsia="zh-CN"/>
              </w:rPr>
              <w:t>固体</w:t>
            </w:r>
          </w:p>
        </w:tc>
        <w:tc>
          <w:tcPr>
            <w:tcW w:w="614" w:type="pct"/>
            <w:vAlign w:val="center"/>
          </w:tcPr>
          <w:p w14:paraId="31DB8C44">
            <w:pPr>
              <w:pStyle w:val="26"/>
              <w:bidi w:val="0"/>
              <w:rPr>
                <w:rFonts w:hint="eastAsia"/>
                <w:lang w:val="en-US" w:eastAsia="zh-CN"/>
              </w:rPr>
            </w:pPr>
            <w:r>
              <w:rPr>
                <w:rFonts w:hint="eastAsia"/>
                <w:lang w:val="en-US" w:eastAsia="zh-CN"/>
              </w:rPr>
              <w:t>无纺布</w:t>
            </w:r>
          </w:p>
        </w:tc>
        <w:tc>
          <w:tcPr>
            <w:tcW w:w="252" w:type="pct"/>
            <w:vMerge w:val="continue"/>
            <w:tcBorders>
              <w:top w:val="nil"/>
              <w:bottom w:val="nil"/>
            </w:tcBorders>
            <w:vAlign w:val="center"/>
          </w:tcPr>
          <w:p w14:paraId="0DCCCD79">
            <w:pPr>
              <w:pStyle w:val="26"/>
              <w:bidi w:val="0"/>
              <w:rPr>
                <w:rFonts w:hint="eastAsia"/>
                <w:lang w:val="en-US" w:eastAsia="zh-CN"/>
              </w:rPr>
            </w:pPr>
          </w:p>
        </w:tc>
        <w:tc>
          <w:tcPr>
            <w:tcW w:w="239" w:type="pct"/>
            <w:vAlign w:val="center"/>
          </w:tcPr>
          <w:p w14:paraId="08CDB25C">
            <w:pPr>
              <w:pStyle w:val="26"/>
              <w:bidi w:val="0"/>
              <w:rPr>
                <w:rFonts w:hint="eastAsia"/>
                <w:lang w:val="en-US" w:eastAsia="zh-CN"/>
              </w:rPr>
            </w:pPr>
            <w:r>
              <w:rPr>
                <w:rFonts w:hint="eastAsia"/>
                <w:lang w:val="en-US" w:eastAsia="zh-CN"/>
              </w:rPr>
              <w:t>/</w:t>
            </w:r>
          </w:p>
        </w:tc>
        <w:tc>
          <w:tcPr>
            <w:tcW w:w="380" w:type="pct"/>
            <w:vAlign w:val="center"/>
          </w:tcPr>
          <w:p w14:paraId="42A3D613">
            <w:pPr>
              <w:pStyle w:val="26"/>
              <w:bidi w:val="0"/>
              <w:rPr>
                <w:rFonts w:hint="eastAsia"/>
                <w:lang w:val="en-US" w:eastAsia="zh-CN"/>
              </w:rPr>
            </w:pPr>
            <w:r>
              <w:rPr>
                <w:rFonts w:hint="eastAsia"/>
                <w:lang w:val="en-US" w:eastAsia="zh-CN"/>
              </w:rPr>
              <w:t>SW59</w:t>
            </w:r>
          </w:p>
        </w:tc>
        <w:tc>
          <w:tcPr>
            <w:tcW w:w="489" w:type="pct"/>
            <w:vAlign w:val="center"/>
          </w:tcPr>
          <w:p w14:paraId="4FA5494F">
            <w:pPr>
              <w:pStyle w:val="26"/>
              <w:bidi w:val="0"/>
              <w:rPr>
                <w:rFonts w:hint="eastAsia"/>
                <w:lang w:val="en-US" w:eastAsia="zh-CN"/>
              </w:rPr>
            </w:pPr>
            <w:r>
              <w:rPr>
                <w:rFonts w:hint="eastAsia"/>
                <w:lang w:val="en-US" w:eastAsia="zh-CN"/>
              </w:rPr>
              <w:t>900-009-S59</w:t>
            </w:r>
          </w:p>
        </w:tc>
        <w:tc>
          <w:tcPr>
            <w:tcW w:w="364" w:type="pct"/>
            <w:vAlign w:val="center"/>
          </w:tcPr>
          <w:p w14:paraId="0B7672E7">
            <w:pPr>
              <w:pStyle w:val="26"/>
              <w:bidi w:val="0"/>
              <w:rPr>
                <w:rFonts w:hint="eastAsia"/>
                <w:lang w:val="en-US" w:eastAsia="zh-CN"/>
              </w:rPr>
            </w:pPr>
            <w:r>
              <w:rPr>
                <w:rFonts w:hint="eastAsia"/>
                <w:lang w:val="en-US" w:eastAsia="zh-CN"/>
              </w:rPr>
              <w:t>1</w:t>
            </w:r>
          </w:p>
        </w:tc>
        <w:tc>
          <w:tcPr>
            <w:tcW w:w="717" w:type="pct"/>
            <w:vMerge w:val="continue"/>
            <w:vAlign w:val="center"/>
          </w:tcPr>
          <w:p w14:paraId="198D45E6">
            <w:pPr>
              <w:pStyle w:val="26"/>
              <w:bidi w:val="0"/>
              <w:rPr>
                <w:rFonts w:hint="eastAsia"/>
                <w:lang w:val="en-US" w:eastAsia="zh-CN"/>
              </w:rPr>
            </w:pPr>
          </w:p>
        </w:tc>
      </w:tr>
      <w:tr w14:paraId="39CEB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1" w:type="pct"/>
            <w:vAlign w:val="center"/>
          </w:tcPr>
          <w:p w14:paraId="7BC30E6C">
            <w:pPr>
              <w:pStyle w:val="26"/>
              <w:bidi w:val="0"/>
              <w:rPr>
                <w:rFonts w:hint="eastAsia"/>
                <w:lang w:val="en-US" w:eastAsia="zh-CN"/>
              </w:rPr>
            </w:pPr>
            <w:r>
              <w:rPr>
                <w:rFonts w:hint="eastAsia"/>
                <w:lang w:val="en-US" w:eastAsia="zh-CN"/>
              </w:rPr>
              <w:t>32.</w:t>
            </w:r>
          </w:p>
        </w:tc>
        <w:tc>
          <w:tcPr>
            <w:tcW w:w="556" w:type="pct"/>
            <w:vAlign w:val="center"/>
          </w:tcPr>
          <w:p w14:paraId="40970665">
            <w:pPr>
              <w:pStyle w:val="26"/>
              <w:bidi w:val="0"/>
              <w:rPr>
                <w:rFonts w:hint="eastAsia"/>
                <w:lang w:val="en-US" w:eastAsia="zh-CN"/>
              </w:rPr>
            </w:pPr>
            <w:r>
              <w:rPr>
                <w:rFonts w:hint="eastAsia"/>
                <w:lang w:val="en-US" w:eastAsia="zh-CN"/>
              </w:rPr>
              <w:t>研磨沉渣</w:t>
            </w:r>
          </w:p>
        </w:tc>
        <w:tc>
          <w:tcPr>
            <w:tcW w:w="222" w:type="pct"/>
            <w:vMerge w:val="continue"/>
            <w:tcBorders>
              <w:top w:val="nil"/>
            </w:tcBorders>
            <w:vAlign w:val="center"/>
          </w:tcPr>
          <w:p w14:paraId="662373D7">
            <w:pPr>
              <w:pStyle w:val="26"/>
              <w:bidi w:val="0"/>
              <w:rPr>
                <w:rFonts w:hint="eastAsia"/>
                <w:lang w:val="en-US" w:eastAsia="zh-CN"/>
              </w:rPr>
            </w:pPr>
          </w:p>
        </w:tc>
        <w:tc>
          <w:tcPr>
            <w:tcW w:w="658" w:type="pct"/>
            <w:vAlign w:val="center"/>
          </w:tcPr>
          <w:p w14:paraId="5EA113DD">
            <w:pPr>
              <w:pStyle w:val="26"/>
              <w:bidi w:val="0"/>
              <w:rPr>
                <w:rFonts w:hint="eastAsia"/>
                <w:lang w:val="en-US" w:eastAsia="zh-CN"/>
              </w:rPr>
            </w:pPr>
            <w:r>
              <w:rPr>
                <w:rFonts w:hint="eastAsia"/>
                <w:lang w:val="en-US" w:eastAsia="zh-CN"/>
              </w:rPr>
              <w:t>研磨废水处理</w:t>
            </w:r>
          </w:p>
        </w:tc>
        <w:tc>
          <w:tcPr>
            <w:tcW w:w="332" w:type="pct"/>
            <w:vAlign w:val="center"/>
          </w:tcPr>
          <w:p w14:paraId="0E8392DB">
            <w:pPr>
              <w:pStyle w:val="26"/>
              <w:bidi w:val="0"/>
              <w:rPr>
                <w:rFonts w:hint="eastAsia"/>
                <w:lang w:val="en-US" w:eastAsia="zh-CN"/>
              </w:rPr>
            </w:pPr>
            <w:r>
              <w:rPr>
                <w:rFonts w:hint="eastAsia"/>
                <w:lang w:val="en-US" w:eastAsia="zh-CN"/>
              </w:rPr>
              <w:t>固+液</w:t>
            </w:r>
          </w:p>
        </w:tc>
        <w:tc>
          <w:tcPr>
            <w:tcW w:w="614" w:type="pct"/>
            <w:vAlign w:val="center"/>
          </w:tcPr>
          <w:p w14:paraId="7E6B4222">
            <w:pPr>
              <w:pStyle w:val="26"/>
              <w:bidi w:val="0"/>
              <w:rPr>
                <w:rFonts w:hint="eastAsia"/>
                <w:lang w:val="en-US" w:eastAsia="zh-CN"/>
              </w:rPr>
            </w:pPr>
            <w:r>
              <w:rPr>
                <w:rFonts w:hint="eastAsia"/>
                <w:lang w:val="en-US" w:eastAsia="zh-CN"/>
              </w:rPr>
              <w:t>不锈钢、铜等</w:t>
            </w:r>
          </w:p>
        </w:tc>
        <w:tc>
          <w:tcPr>
            <w:tcW w:w="252" w:type="pct"/>
            <w:vMerge w:val="continue"/>
            <w:tcBorders>
              <w:top w:val="nil"/>
            </w:tcBorders>
            <w:vAlign w:val="center"/>
          </w:tcPr>
          <w:p w14:paraId="54173B8E">
            <w:pPr>
              <w:pStyle w:val="26"/>
              <w:bidi w:val="0"/>
              <w:rPr>
                <w:rFonts w:hint="eastAsia"/>
                <w:lang w:val="en-US" w:eastAsia="zh-CN"/>
              </w:rPr>
            </w:pPr>
          </w:p>
        </w:tc>
        <w:tc>
          <w:tcPr>
            <w:tcW w:w="239" w:type="pct"/>
            <w:vAlign w:val="center"/>
          </w:tcPr>
          <w:p w14:paraId="1159FE1C">
            <w:pPr>
              <w:pStyle w:val="26"/>
              <w:bidi w:val="0"/>
              <w:rPr>
                <w:rFonts w:hint="eastAsia"/>
                <w:lang w:val="en-US" w:eastAsia="zh-CN"/>
              </w:rPr>
            </w:pPr>
            <w:r>
              <w:rPr>
                <w:rFonts w:hint="eastAsia"/>
                <w:lang w:val="en-US" w:eastAsia="zh-CN"/>
              </w:rPr>
              <w:t>/</w:t>
            </w:r>
          </w:p>
        </w:tc>
        <w:tc>
          <w:tcPr>
            <w:tcW w:w="380" w:type="pct"/>
            <w:vAlign w:val="center"/>
          </w:tcPr>
          <w:p w14:paraId="1F4BEAA9">
            <w:pPr>
              <w:pStyle w:val="26"/>
              <w:bidi w:val="0"/>
              <w:rPr>
                <w:rFonts w:hint="eastAsia"/>
                <w:lang w:val="en-US" w:eastAsia="zh-CN"/>
              </w:rPr>
            </w:pPr>
            <w:r>
              <w:rPr>
                <w:rFonts w:hint="eastAsia"/>
                <w:lang w:val="en-US" w:eastAsia="zh-CN"/>
              </w:rPr>
              <w:t>SW59</w:t>
            </w:r>
          </w:p>
        </w:tc>
        <w:tc>
          <w:tcPr>
            <w:tcW w:w="489" w:type="pct"/>
            <w:vAlign w:val="center"/>
          </w:tcPr>
          <w:p w14:paraId="01330FFB">
            <w:pPr>
              <w:pStyle w:val="26"/>
              <w:bidi w:val="0"/>
              <w:rPr>
                <w:rFonts w:hint="eastAsia"/>
                <w:lang w:val="en-US" w:eastAsia="zh-CN"/>
              </w:rPr>
            </w:pPr>
            <w:r>
              <w:rPr>
                <w:rFonts w:hint="eastAsia"/>
                <w:lang w:val="en-US" w:eastAsia="zh-CN"/>
              </w:rPr>
              <w:t>900-099-S59</w:t>
            </w:r>
          </w:p>
        </w:tc>
        <w:tc>
          <w:tcPr>
            <w:tcW w:w="364" w:type="pct"/>
            <w:vAlign w:val="center"/>
          </w:tcPr>
          <w:p w14:paraId="5FDEA972">
            <w:pPr>
              <w:pStyle w:val="26"/>
              <w:bidi w:val="0"/>
              <w:rPr>
                <w:rFonts w:hint="eastAsia"/>
                <w:lang w:val="en-US" w:eastAsia="zh-CN"/>
              </w:rPr>
            </w:pPr>
            <w:r>
              <w:rPr>
                <w:rFonts w:hint="eastAsia"/>
                <w:lang w:val="en-US" w:eastAsia="zh-CN"/>
              </w:rPr>
              <w:t>2</w:t>
            </w:r>
          </w:p>
        </w:tc>
        <w:tc>
          <w:tcPr>
            <w:tcW w:w="717" w:type="pct"/>
            <w:vMerge w:val="continue"/>
            <w:vAlign w:val="center"/>
          </w:tcPr>
          <w:p w14:paraId="4F494E30">
            <w:pPr>
              <w:pStyle w:val="26"/>
              <w:bidi w:val="0"/>
              <w:rPr>
                <w:rFonts w:hint="eastAsia"/>
                <w:lang w:val="en-US" w:eastAsia="zh-CN"/>
              </w:rPr>
            </w:pPr>
          </w:p>
        </w:tc>
      </w:tr>
      <w:tr w14:paraId="0B0EB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 w:type="pct"/>
            <w:vAlign w:val="center"/>
          </w:tcPr>
          <w:p w14:paraId="6097A336">
            <w:pPr>
              <w:pStyle w:val="26"/>
              <w:bidi w:val="0"/>
              <w:rPr>
                <w:rFonts w:hint="eastAsia"/>
                <w:lang w:val="en-US" w:eastAsia="zh-CN"/>
              </w:rPr>
            </w:pPr>
            <w:r>
              <w:rPr>
                <w:rFonts w:hint="eastAsia"/>
                <w:lang w:val="en-US" w:eastAsia="zh-CN"/>
              </w:rPr>
              <w:t>33.</w:t>
            </w:r>
          </w:p>
        </w:tc>
        <w:tc>
          <w:tcPr>
            <w:tcW w:w="556" w:type="pct"/>
            <w:vAlign w:val="center"/>
          </w:tcPr>
          <w:p w14:paraId="65B73B59">
            <w:pPr>
              <w:pStyle w:val="26"/>
              <w:bidi w:val="0"/>
              <w:rPr>
                <w:rFonts w:hint="eastAsia"/>
                <w:lang w:val="en-US" w:eastAsia="zh-CN"/>
              </w:rPr>
            </w:pPr>
            <w:r>
              <w:rPr>
                <w:rFonts w:hint="eastAsia"/>
                <w:lang w:val="en-US" w:eastAsia="zh-CN"/>
              </w:rPr>
              <w:t>生活垃圾</w:t>
            </w:r>
          </w:p>
        </w:tc>
        <w:tc>
          <w:tcPr>
            <w:tcW w:w="222" w:type="pct"/>
            <w:vAlign w:val="center"/>
          </w:tcPr>
          <w:p w14:paraId="411BECFB">
            <w:pPr>
              <w:pStyle w:val="26"/>
              <w:bidi w:val="0"/>
              <w:rPr>
                <w:rFonts w:hint="eastAsia"/>
                <w:lang w:val="en-US" w:eastAsia="zh-CN"/>
              </w:rPr>
            </w:pPr>
            <w:r>
              <w:rPr>
                <w:rFonts w:hint="eastAsia"/>
                <w:lang w:val="en-US" w:eastAsia="zh-CN"/>
              </w:rPr>
              <w:t>/</w:t>
            </w:r>
          </w:p>
        </w:tc>
        <w:tc>
          <w:tcPr>
            <w:tcW w:w="658" w:type="pct"/>
            <w:vAlign w:val="center"/>
          </w:tcPr>
          <w:p w14:paraId="6F9CB47E">
            <w:pPr>
              <w:pStyle w:val="26"/>
              <w:bidi w:val="0"/>
              <w:rPr>
                <w:rFonts w:hint="eastAsia"/>
                <w:lang w:val="en-US" w:eastAsia="zh-CN"/>
              </w:rPr>
            </w:pPr>
            <w:r>
              <w:rPr>
                <w:rFonts w:hint="eastAsia"/>
                <w:lang w:val="en-US" w:eastAsia="zh-CN"/>
              </w:rPr>
              <w:t>职工生活</w:t>
            </w:r>
          </w:p>
        </w:tc>
        <w:tc>
          <w:tcPr>
            <w:tcW w:w="332" w:type="pct"/>
            <w:vAlign w:val="center"/>
          </w:tcPr>
          <w:p w14:paraId="6AD395C4">
            <w:pPr>
              <w:pStyle w:val="26"/>
              <w:bidi w:val="0"/>
              <w:rPr>
                <w:rFonts w:hint="eastAsia"/>
                <w:lang w:val="en-US" w:eastAsia="zh-CN"/>
              </w:rPr>
            </w:pPr>
            <w:r>
              <w:rPr>
                <w:rFonts w:hint="eastAsia"/>
                <w:lang w:val="en-US" w:eastAsia="zh-CN"/>
              </w:rPr>
              <w:t>固体</w:t>
            </w:r>
          </w:p>
        </w:tc>
        <w:tc>
          <w:tcPr>
            <w:tcW w:w="614" w:type="pct"/>
            <w:vAlign w:val="center"/>
          </w:tcPr>
          <w:p w14:paraId="380A2AB9">
            <w:pPr>
              <w:pStyle w:val="26"/>
              <w:bidi w:val="0"/>
              <w:rPr>
                <w:rFonts w:hint="eastAsia"/>
                <w:lang w:val="en-US" w:eastAsia="zh-CN"/>
              </w:rPr>
            </w:pPr>
            <w:r>
              <w:rPr>
                <w:rFonts w:hint="eastAsia"/>
                <w:lang w:val="en-US" w:eastAsia="zh-CN"/>
              </w:rPr>
              <w:t>/</w:t>
            </w:r>
          </w:p>
        </w:tc>
        <w:tc>
          <w:tcPr>
            <w:tcW w:w="252" w:type="pct"/>
            <w:vAlign w:val="center"/>
          </w:tcPr>
          <w:p w14:paraId="40795987">
            <w:pPr>
              <w:pStyle w:val="26"/>
              <w:bidi w:val="0"/>
              <w:rPr>
                <w:rFonts w:hint="eastAsia"/>
                <w:lang w:val="en-US" w:eastAsia="zh-CN"/>
              </w:rPr>
            </w:pPr>
            <w:r>
              <w:rPr>
                <w:rFonts w:hint="eastAsia"/>
                <w:lang w:val="en-US" w:eastAsia="zh-CN"/>
              </w:rPr>
              <w:t>/</w:t>
            </w:r>
          </w:p>
        </w:tc>
        <w:tc>
          <w:tcPr>
            <w:tcW w:w="239" w:type="pct"/>
            <w:vAlign w:val="center"/>
          </w:tcPr>
          <w:p w14:paraId="61C9B64F">
            <w:pPr>
              <w:pStyle w:val="26"/>
              <w:bidi w:val="0"/>
              <w:rPr>
                <w:rFonts w:hint="eastAsia"/>
                <w:lang w:val="en-US" w:eastAsia="zh-CN"/>
              </w:rPr>
            </w:pPr>
            <w:r>
              <w:rPr>
                <w:rFonts w:hint="eastAsia"/>
                <w:lang w:val="en-US" w:eastAsia="zh-CN"/>
              </w:rPr>
              <w:t>/</w:t>
            </w:r>
          </w:p>
        </w:tc>
        <w:tc>
          <w:tcPr>
            <w:tcW w:w="380" w:type="pct"/>
            <w:vAlign w:val="center"/>
          </w:tcPr>
          <w:p w14:paraId="2F63F2A6">
            <w:pPr>
              <w:pStyle w:val="26"/>
              <w:bidi w:val="0"/>
              <w:rPr>
                <w:rFonts w:hint="eastAsia"/>
                <w:lang w:val="en-US" w:eastAsia="zh-CN"/>
              </w:rPr>
            </w:pPr>
            <w:r>
              <w:rPr>
                <w:rFonts w:hint="eastAsia"/>
                <w:lang w:val="en-US" w:eastAsia="zh-CN"/>
              </w:rPr>
              <w:t>SW62</w:t>
            </w:r>
          </w:p>
        </w:tc>
        <w:tc>
          <w:tcPr>
            <w:tcW w:w="489" w:type="pct"/>
            <w:vAlign w:val="center"/>
          </w:tcPr>
          <w:p w14:paraId="4500F2F4">
            <w:pPr>
              <w:pStyle w:val="26"/>
              <w:bidi w:val="0"/>
              <w:rPr>
                <w:rFonts w:hint="eastAsia"/>
                <w:lang w:val="en-US" w:eastAsia="zh-CN"/>
              </w:rPr>
            </w:pPr>
            <w:r>
              <w:rPr>
                <w:rFonts w:hint="eastAsia"/>
                <w:lang w:val="en-US" w:eastAsia="zh-CN"/>
              </w:rPr>
              <w:t>900-001-S62</w:t>
            </w:r>
          </w:p>
        </w:tc>
        <w:tc>
          <w:tcPr>
            <w:tcW w:w="364" w:type="pct"/>
            <w:vAlign w:val="center"/>
          </w:tcPr>
          <w:p w14:paraId="4D831547">
            <w:pPr>
              <w:pStyle w:val="26"/>
              <w:bidi w:val="0"/>
              <w:rPr>
                <w:rFonts w:hint="eastAsia"/>
                <w:lang w:val="en-US" w:eastAsia="zh-CN"/>
              </w:rPr>
            </w:pPr>
            <w:r>
              <w:rPr>
                <w:rFonts w:hint="eastAsia"/>
                <w:lang w:val="en-US" w:eastAsia="zh-CN"/>
              </w:rPr>
              <w:t>4.5</w:t>
            </w:r>
          </w:p>
        </w:tc>
        <w:tc>
          <w:tcPr>
            <w:tcW w:w="717" w:type="pct"/>
            <w:vAlign w:val="center"/>
          </w:tcPr>
          <w:p w14:paraId="7315AB5F">
            <w:pPr>
              <w:pStyle w:val="26"/>
              <w:bidi w:val="0"/>
              <w:rPr>
                <w:rFonts w:hint="eastAsia"/>
                <w:lang w:val="en-US" w:eastAsia="zh-CN"/>
              </w:rPr>
            </w:pPr>
            <w:r>
              <w:rPr>
                <w:rFonts w:hint="eastAsia"/>
                <w:lang w:val="en-US" w:eastAsia="zh-CN"/>
              </w:rPr>
              <w:t>昆山市花桥镇环卫所</w:t>
            </w:r>
          </w:p>
        </w:tc>
      </w:tr>
    </w:tbl>
    <w:p w14:paraId="04F7E7E7">
      <w:pPr>
        <w:pStyle w:val="28"/>
        <w:rPr>
          <w:rFonts w:hint="eastAsia"/>
          <w:color w:val="auto"/>
          <w:lang w:eastAsia="zh-CN"/>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6551195E">
      <w:pPr>
        <w:rPr>
          <w:color w:val="auto"/>
        </w:rPr>
      </w:pPr>
      <w:r>
        <w:rPr>
          <w:rFonts w:hint="eastAsia"/>
          <w:color w:val="auto"/>
        </w:rPr>
        <w:t>建设单位现有项目的各种危险废物均委托有资质单位处理。现有项目建有一般固废暂存场所20m</w:t>
      </w:r>
      <w:r>
        <w:rPr>
          <w:rFonts w:hint="eastAsia"/>
          <w:color w:val="auto"/>
          <w:vertAlign w:val="superscript"/>
        </w:rPr>
        <w:t>2</w:t>
      </w:r>
      <w:r>
        <w:rPr>
          <w:rFonts w:hint="eastAsia"/>
          <w:color w:val="auto"/>
        </w:rPr>
        <w:t>（位于厂区东侧），危险废物暂存间 60m</w:t>
      </w:r>
      <w:r>
        <w:rPr>
          <w:rFonts w:hint="eastAsia"/>
          <w:color w:val="auto"/>
          <w:vertAlign w:val="superscript"/>
        </w:rPr>
        <w:t>2</w:t>
      </w:r>
      <w:r>
        <w:rPr>
          <w:rFonts w:hint="eastAsia"/>
          <w:color w:val="auto"/>
        </w:rPr>
        <w:t>（位于3#车间东侧）。现有项目固体废物能够得到妥善处置，不外排。</w:t>
      </w:r>
      <w:r>
        <w:rPr>
          <w:color w:val="auto"/>
        </w:rPr>
        <w:t>现有危废仓库与《</w:t>
      </w:r>
      <w:r>
        <w:rPr>
          <w:rFonts w:hint="eastAsia"/>
          <w:color w:val="auto"/>
        </w:rPr>
        <w:t>省生态环境厅关于印发&lt;江苏省固体废物全过程环境监管工作意见&gt;的通知</w:t>
      </w:r>
      <w:r>
        <w:rPr>
          <w:color w:val="auto"/>
        </w:rPr>
        <w:t>》（苏环办〔20</w:t>
      </w:r>
      <w:r>
        <w:rPr>
          <w:rFonts w:hint="eastAsia"/>
          <w:color w:val="auto"/>
        </w:rPr>
        <w:t>24</w:t>
      </w:r>
      <w:r>
        <w:rPr>
          <w:color w:val="auto"/>
        </w:rPr>
        <w:t>〕</w:t>
      </w:r>
      <w:r>
        <w:rPr>
          <w:rFonts w:hint="eastAsia"/>
          <w:color w:val="auto"/>
        </w:rPr>
        <w:t>16</w:t>
      </w:r>
      <w:r>
        <w:rPr>
          <w:color w:val="auto"/>
        </w:rPr>
        <w:t>号）相符性分析见下表。</w:t>
      </w:r>
    </w:p>
    <w:p w14:paraId="46A2553C">
      <w:pPr>
        <w:pStyle w:val="25"/>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8</w:t>
      </w:r>
      <w:r>
        <w:rPr>
          <w:color w:val="auto"/>
        </w:rPr>
        <w:fldChar w:fldCharType="end"/>
      </w:r>
      <w:r>
        <w:rPr>
          <w:color w:val="auto"/>
        </w:rPr>
        <w:t>现有项目危废库与苏环办〔</w:t>
      </w:r>
      <w:r>
        <w:rPr>
          <w:rFonts w:hint="eastAsia"/>
          <w:color w:val="auto"/>
        </w:rPr>
        <w:t>2024</w:t>
      </w:r>
      <w:r>
        <w:rPr>
          <w:color w:val="auto"/>
        </w:rPr>
        <w:t>〕</w:t>
      </w:r>
      <w:r>
        <w:rPr>
          <w:rFonts w:hint="eastAsia"/>
          <w:color w:val="auto"/>
        </w:rPr>
        <w:t>16</w:t>
      </w:r>
      <w:r>
        <w:rPr>
          <w:color w:val="auto"/>
        </w:rPr>
        <w:t>号相符性</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57"/>
        <w:gridCol w:w="5103"/>
        <w:gridCol w:w="2791"/>
      </w:tblGrid>
      <w:tr w14:paraId="4ABA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tcMar>
              <w:left w:w="0" w:type="dxa"/>
              <w:right w:w="0" w:type="dxa"/>
            </w:tcMar>
            <w:vAlign w:val="center"/>
          </w:tcPr>
          <w:p w14:paraId="5C961541">
            <w:pPr>
              <w:pStyle w:val="36"/>
              <w:bidi w:val="0"/>
              <w:rPr>
                <w:color w:val="auto"/>
              </w:rPr>
            </w:pPr>
            <w:r>
              <w:rPr>
                <w:rFonts w:hint="eastAsia"/>
                <w:color w:val="auto"/>
              </w:rPr>
              <w:t>文件</w:t>
            </w:r>
          </w:p>
        </w:tc>
        <w:tc>
          <w:tcPr>
            <w:tcW w:w="5103" w:type="dxa"/>
            <w:tcMar>
              <w:left w:w="0" w:type="dxa"/>
              <w:right w:w="0" w:type="dxa"/>
            </w:tcMar>
            <w:vAlign w:val="center"/>
          </w:tcPr>
          <w:p w14:paraId="337E82E6">
            <w:pPr>
              <w:pStyle w:val="36"/>
              <w:bidi w:val="0"/>
              <w:rPr>
                <w:color w:val="auto"/>
              </w:rPr>
            </w:pPr>
            <w:r>
              <w:rPr>
                <w:rFonts w:hint="eastAsia"/>
                <w:color w:val="auto"/>
              </w:rPr>
              <w:t>条款内容</w:t>
            </w:r>
          </w:p>
        </w:tc>
        <w:tc>
          <w:tcPr>
            <w:tcW w:w="2791" w:type="dxa"/>
            <w:tcMar>
              <w:left w:w="0" w:type="dxa"/>
              <w:right w:w="0" w:type="dxa"/>
            </w:tcMar>
            <w:vAlign w:val="center"/>
          </w:tcPr>
          <w:p w14:paraId="1AF87929">
            <w:pPr>
              <w:pStyle w:val="36"/>
              <w:bidi w:val="0"/>
              <w:rPr>
                <w:color w:val="auto"/>
              </w:rPr>
            </w:pPr>
            <w:r>
              <w:rPr>
                <w:rFonts w:hint="eastAsia"/>
                <w:color w:val="auto"/>
              </w:rPr>
              <w:t>相符性分析</w:t>
            </w:r>
          </w:p>
        </w:tc>
      </w:tr>
      <w:tr w14:paraId="47B9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vMerge w:val="restart"/>
            <w:tcMar>
              <w:left w:w="0" w:type="dxa"/>
              <w:right w:w="0" w:type="dxa"/>
            </w:tcMar>
            <w:vAlign w:val="center"/>
          </w:tcPr>
          <w:p w14:paraId="741050E3">
            <w:pPr>
              <w:pStyle w:val="26"/>
              <w:bidi w:val="0"/>
              <w:rPr>
                <w:color w:val="auto"/>
              </w:rPr>
            </w:pPr>
            <w:r>
              <w:rPr>
                <w:rFonts w:hint="eastAsia"/>
                <w:color w:val="auto"/>
              </w:rPr>
              <w:t>苏环办〔2024〕16号</w:t>
            </w:r>
          </w:p>
        </w:tc>
        <w:tc>
          <w:tcPr>
            <w:tcW w:w="5103" w:type="dxa"/>
            <w:tcMar>
              <w:left w:w="0" w:type="dxa"/>
              <w:right w:w="0" w:type="dxa"/>
            </w:tcMar>
            <w:vAlign w:val="center"/>
          </w:tcPr>
          <w:p w14:paraId="13C3AFAC">
            <w:pPr>
              <w:pStyle w:val="26"/>
              <w:bidi w:val="0"/>
              <w:rPr>
                <w:color w:val="auto"/>
              </w:rPr>
            </w:pPr>
            <w:r>
              <w:rPr>
                <w:rFonts w:hint="eastAsia"/>
                <w:color w:val="auto"/>
              </w:rPr>
              <w:t>2.规范项目环评审批。建设项目环评要评价产生的固体废物种类、数量、来源和属性，论述贮存、转移和利用处置方式合规性、合理性，提出切实可行的污染防治对策措施。所有产物要按照以下五类属性给予明确并规范表述：目标产物（产品、副产品）、鉴别属于产品（符合国家、地方或行业标准）、可定向用于特定用途按产品管理（如符合团体标准）、一般固体废物和危险废物。不得将不符合GB34330、HJ1091等标准的产物认定为“再生产品”，不得出现“中间产物”“再生产物”等不规范表述，严禁以“副产品”名义逃避监管。不能排除危险特性的固体废物，须在环评文件中明确具体鉴别方案，鉴别前按危险废物管理，鉴别后根据结论按一般固废或危险废物管理。危险废物经营单位项目环评审批要点要与危险废物经营许可审查要求衔接一致。</w:t>
            </w:r>
          </w:p>
        </w:tc>
        <w:tc>
          <w:tcPr>
            <w:tcW w:w="2791" w:type="dxa"/>
            <w:tcMar>
              <w:left w:w="0" w:type="dxa"/>
              <w:right w:w="0" w:type="dxa"/>
            </w:tcMar>
            <w:vAlign w:val="center"/>
          </w:tcPr>
          <w:p w14:paraId="49648E44">
            <w:pPr>
              <w:pStyle w:val="26"/>
              <w:bidi w:val="0"/>
              <w:rPr>
                <w:color w:val="auto"/>
              </w:rPr>
            </w:pPr>
            <w:r>
              <w:rPr>
                <w:rFonts w:hint="eastAsia"/>
                <w:color w:val="auto"/>
              </w:rPr>
              <w:t>现有项目产物按“目标产物（产品、副产品）、鉴别属于产品（符合国家、地方或行业标准）、可定向用于特定用途按产品管理（如符合团体标准）、一般固体废物和危险废物”进行了明确，未出现“中间产物”、“再生产物”等内容。</w:t>
            </w:r>
          </w:p>
        </w:tc>
      </w:tr>
      <w:tr w14:paraId="08B6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vMerge w:val="continue"/>
            <w:tcMar>
              <w:left w:w="0" w:type="dxa"/>
              <w:right w:w="0" w:type="dxa"/>
            </w:tcMar>
            <w:vAlign w:val="center"/>
          </w:tcPr>
          <w:p w14:paraId="6998F248">
            <w:pPr>
              <w:pStyle w:val="26"/>
              <w:bidi w:val="0"/>
              <w:rPr>
                <w:color w:val="auto"/>
              </w:rPr>
            </w:pPr>
          </w:p>
        </w:tc>
        <w:tc>
          <w:tcPr>
            <w:tcW w:w="5103" w:type="dxa"/>
            <w:tcMar>
              <w:left w:w="0" w:type="dxa"/>
              <w:right w:w="0" w:type="dxa"/>
            </w:tcMar>
            <w:vAlign w:val="center"/>
          </w:tcPr>
          <w:p w14:paraId="5CA8EBF9">
            <w:pPr>
              <w:pStyle w:val="26"/>
              <w:bidi w:val="0"/>
              <w:rPr>
                <w:color w:val="auto"/>
              </w:rPr>
            </w:pPr>
            <w:r>
              <w:rPr>
                <w:rFonts w:hint="eastAsia"/>
                <w:color w:val="auto"/>
              </w:rPr>
              <w:t>3.落实排污许可制度。企业要在排污许可管理系统中全面、准确申报工业固体废物产生种类，以及贮存设施和利用处置等相关情况，并对其真实性负责。实际产生、转移、贮存和利用处置情况对照项目环评发生变动的，要根据变动情况及时采取重新报批环评、纳入环境保护竣工验收等手续，并及时变更排污许可。</w:t>
            </w:r>
          </w:p>
        </w:tc>
        <w:tc>
          <w:tcPr>
            <w:tcW w:w="2791" w:type="dxa"/>
            <w:tcMar>
              <w:left w:w="0" w:type="dxa"/>
              <w:right w:w="0" w:type="dxa"/>
            </w:tcMar>
            <w:vAlign w:val="center"/>
          </w:tcPr>
          <w:p w14:paraId="04572FD4">
            <w:pPr>
              <w:pStyle w:val="26"/>
              <w:bidi w:val="0"/>
              <w:rPr>
                <w:color w:val="auto"/>
              </w:rPr>
            </w:pPr>
            <w:r>
              <w:rPr>
                <w:rFonts w:hint="eastAsia"/>
                <w:color w:val="auto"/>
              </w:rPr>
              <w:t>现有项目已落实排污许可制度，在排污许可管理系统中全面、准确申报工业固体废物产生种类，以及贮存设施和利用处置等相关情况。</w:t>
            </w:r>
          </w:p>
        </w:tc>
      </w:tr>
      <w:tr w14:paraId="5957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vMerge w:val="continue"/>
            <w:tcMar>
              <w:left w:w="0" w:type="dxa"/>
              <w:right w:w="0" w:type="dxa"/>
            </w:tcMar>
            <w:vAlign w:val="center"/>
          </w:tcPr>
          <w:p w14:paraId="4BD269E4">
            <w:pPr>
              <w:pStyle w:val="26"/>
              <w:bidi w:val="0"/>
              <w:rPr>
                <w:color w:val="auto"/>
              </w:rPr>
            </w:pPr>
          </w:p>
        </w:tc>
        <w:tc>
          <w:tcPr>
            <w:tcW w:w="5103" w:type="dxa"/>
            <w:tcMar>
              <w:left w:w="0" w:type="dxa"/>
              <w:right w:w="0" w:type="dxa"/>
            </w:tcMar>
            <w:vAlign w:val="center"/>
          </w:tcPr>
          <w:p w14:paraId="5BC51A00">
            <w:pPr>
              <w:pStyle w:val="26"/>
              <w:bidi w:val="0"/>
              <w:rPr>
                <w:color w:val="auto"/>
              </w:rPr>
            </w:pPr>
            <w:r>
              <w:rPr>
                <w:rFonts w:hint="eastAsia"/>
                <w:color w:val="auto"/>
              </w:rPr>
              <w:t>6.规范贮存管理要求。根据《危险废物贮存污染控制标准》（GB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号）中关于贮存周期和贮存量的要求，I级、II级、III级危险废物贮存时间分别不得超过30天、60天、90天，最大贮存量不得超过1吨。</w:t>
            </w:r>
          </w:p>
        </w:tc>
        <w:tc>
          <w:tcPr>
            <w:tcW w:w="2791" w:type="dxa"/>
            <w:tcMar>
              <w:left w:w="0" w:type="dxa"/>
              <w:right w:w="0" w:type="dxa"/>
            </w:tcMar>
            <w:vAlign w:val="center"/>
          </w:tcPr>
          <w:p w14:paraId="4858EC0E">
            <w:pPr>
              <w:pStyle w:val="26"/>
              <w:bidi w:val="0"/>
              <w:rPr>
                <w:color w:val="auto"/>
              </w:rPr>
            </w:pPr>
            <w:r>
              <w:rPr>
                <w:rFonts w:hint="eastAsia"/>
                <w:color w:val="auto"/>
              </w:rPr>
              <w:t>现有危废暂存库已按照《危险废物贮存污染控制标准》（GB18597-2023）进行了规范化建设，符合相应的污染控制标准。</w:t>
            </w:r>
          </w:p>
        </w:tc>
      </w:tr>
      <w:tr w14:paraId="4DB5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vMerge w:val="continue"/>
            <w:tcMar>
              <w:left w:w="0" w:type="dxa"/>
              <w:right w:w="0" w:type="dxa"/>
            </w:tcMar>
            <w:vAlign w:val="center"/>
          </w:tcPr>
          <w:p w14:paraId="0406C571">
            <w:pPr>
              <w:pStyle w:val="26"/>
              <w:bidi w:val="0"/>
              <w:rPr>
                <w:color w:val="auto"/>
              </w:rPr>
            </w:pPr>
          </w:p>
        </w:tc>
        <w:tc>
          <w:tcPr>
            <w:tcW w:w="5103" w:type="dxa"/>
            <w:tcMar>
              <w:left w:w="0" w:type="dxa"/>
              <w:right w:w="0" w:type="dxa"/>
            </w:tcMar>
            <w:vAlign w:val="center"/>
          </w:tcPr>
          <w:p w14:paraId="1F7E3547">
            <w:pPr>
              <w:pStyle w:val="26"/>
              <w:bidi w:val="0"/>
              <w:rPr>
                <w:color w:val="auto"/>
              </w:rPr>
            </w:pPr>
            <w:r>
              <w:rPr>
                <w:rFonts w:hint="eastAsia"/>
                <w:color w:val="auto"/>
              </w:rPr>
              <w:t>8.强化转移过程管理。全面落实危险废物转移电子联单制度，实行省内全域扫描“二维码”转移。加强与危险货物道路运输电子运单数据共享，实现运输轨迹可溯可查。危险废物产生单位须依法核实经营单位主体资格和技术能力，直接签订委托合同，并向经营单位提供相关危险废物产生工艺、具体成分，以及是否易燃易爆等信息，违法委托的，应当与造成环境污染和生态破坏的受托方承担连带责任；经营单位须按合同及包装物扫码签收危险废物，签收人、车辆信息等须拍照上传至系统，严禁“空转”二维码。积极推行一般工业固体废物转移电子联单制度，优先选择环境风险较大的污泥、矿渣等固体废物试行。</w:t>
            </w:r>
          </w:p>
        </w:tc>
        <w:tc>
          <w:tcPr>
            <w:tcW w:w="2791" w:type="dxa"/>
            <w:tcMar>
              <w:left w:w="0" w:type="dxa"/>
              <w:right w:w="0" w:type="dxa"/>
            </w:tcMar>
            <w:vAlign w:val="center"/>
          </w:tcPr>
          <w:p w14:paraId="1788D1BA">
            <w:pPr>
              <w:pStyle w:val="26"/>
              <w:bidi w:val="0"/>
              <w:rPr>
                <w:color w:val="auto"/>
              </w:rPr>
            </w:pPr>
            <w:r>
              <w:rPr>
                <w:rFonts w:hint="eastAsia"/>
                <w:color w:val="auto"/>
              </w:rPr>
              <w:t>现有项目严格落实危险废物转移电子联单制度，依法核实经营单位主体资格和技术能力，直接签订委托合同，并向经营单位提供相关危险废物信息。</w:t>
            </w:r>
          </w:p>
        </w:tc>
      </w:tr>
      <w:tr w14:paraId="1093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57" w:type="dxa"/>
            <w:vMerge w:val="continue"/>
            <w:tcMar>
              <w:left w:w="0" w:type="dxa"/>
              <w:right w:w="0" w:type="dxa"/>
            </w:tcMar>
            <w:vAlign w:val="center"/>
          </w:tcPr>
          <w:p w14:paraId="68971039">
            <w:pPr>
              <w:pStyle w:val="26"/>
              <w:bidi w:val="0"/>
              <w:rPr>
                <w:color w:val="auto"/>
              </w:rPr>
            </w:pPr>
          </w:p>
        </w:tc>
        <w:tc>
          <w:tcPr>
            <w:tcW w:w="5103" w:type="dxa"/>
            <w:tcMar>
              <w:left w:w="0" w:type="dxa"/>
              <w:right w:w="0" w:type="dxa"/>
            </w:tcMar>
            <w:vAlign w:val="center"/>
          </w:tcPr>
          <w:p w14:paraId="6B35BEE4">
            <w:pPr>
              <w:pStyle w:val="26"/>
              <w:bidi w:val="0"/>
              <w:rPr>
                <w:color w:val="auto"/>
              </w:rPr>
            </w:pPr>
            <w:r>
              <w:rPr>
                <w:rFonts w:hint="eastAsia"/>
                <w:color w:val="auto"/>
              </w:rPr>
              <w:t>15.规范一般工业固废管理。企业需按照《一般工业固体废物管理台账制定指南（试行）》（生态环境部2021年第82号公告）要求，建立一般工业固废台账，污泥、矿渣等同时还需在固废管理信息系统申报，电子台账已有内容，不再另外制作纸质台账。各地要对辖区内一般工业固废利用处置需求和能力进行摸排，建立收运处体系。一般工业固废用于矿山采坑回填和生态恢复的，参照《一般工业固体废物用于矿山采坑回填和生态恢复技术规范》（DB15/T2763—2022）执行。</w:t>
            </w:r>
          </w:p>
        </w:tc>
        <w:tc>
          <w:tcPr>
            <w:tcW w:w="2791" w:type="dxa"/>
            <w:tcMar>
              <w:left w:w="0" w:type="dxa"/>
              <w:right w:w="0" w:type="dxa"/>
            </w:tcMar>
            <w:vAlign w:val="center"/>
          </w:tcPr>
          <w:p w14:paraId="6E6988D6">
            <w:pPr>
              <w:pStyle w:val="26"/>
              <w:bidi w:val="0"/>
              <w:rPr>
                <w:color w:val="auto"/>
              </w:rPr>
            </w:pPr>
            <w:r>
              <w:rPr>
                <w:rFonts w:hint="eastAsia"/>
                <w:color w:val="auto"/>
              </w:rPr>
              <w:t>现有项目一般工业固废管理符合《一般工业固体废物管理台账制定指南（试行）》（生态环境部2021年第82号公告）要求，建立一般工业固废台账。</w:t>
            </w:r>
          </w:p>
        </w:tc>
      </w:tr>
    </w:tbl>
    <w:p w14:paraId="2E7DD32B">
      <w:pPr>
        <w:bidi w:val="0"/>
        <w:rPr>
          <w:color w:val="auto"/>
        </w:rPr>
      </w:pPr>
      <w:r>
        <w:rPr>
          <w:color w:val="auto"/>
        </w:rPr>
        <w:t>根据上述分析，</w:t>
      </w:r>
      <w:r>
        <w:rPr>
          <w:rFonts w:hint="eastAsia"/>
          <w:color w:val="auto"/>
        </w:rPr>
        <w:t>现有</w:t>
      </w:r>
      <w:r>
        <w:rPr>
          <w:color w:val="auto"/>
        </w:rPr>
        <w:t>项目</w:t>
      </w:r>
      <w:r>
        <w:rPr>
          <w:rFonts w:hint="eastAsia"/>
          <w:color w:val="auto"/>
        </w:rPr>
        <w:t>危废库建设</w:t>
      </w:r>
      <w:r>
        <w:rPr>
          <w:color w:val="auto"/>
        </w:rPr>
        <w:t>与苏环办〔2024〕16号文要求相符。</w:t>
      </w:r>
    </w:p>
    <w:p w14:paraId="2F08E66E">
      <w:pPr>
        <w:bidi w:val="0"/>
        <w:rPr>
          <w:color w:val="auto"/>
        </w:rPr>
      </w:pPr>
    </w:p>
    <w:p w14:paraId="3436A500">
      <w:pPr>
        <w:pStyle w:val="4"/>
        <w:rPr>
          <w:rFonts w:hint="eastAsia" w:eastAsia="仿宋_GB2312"/>
          <w:color w:val="auto"/>
          <w:lang w:val="en-US" w:eastAsia="zh-CN"/>
        </w:rPr>
      </w:pPr>
      <w:bookmarkStart w:id="132" w:name="_Toc17470"/>
      <w:bookmarkStart w:id="133" w:name="_Toc14713"/>
      <w:r>
        <w:rPr>
          <w:rFonts w:hint="eastAsia"/>
          <w:color w:val="auto"/>
          <w:lang w:val="en-US" w:eastAsia="zh-CN"/>
        </w:rPr>
        <w:t>噪声产生排放情况</w:t>
      </w:r>
      <w:bookmarkEnd w:id="132"/>
      <w:bookmarkEnd w:id="133"/>
    </w:p>
    <w:p w14:paraId="1C3EF4D2">
      <w:pPr>
        <w:pStyle w:val="5"/>
        <w:ind w:firstLine="301"/>
        <w:rPr>
          <w:color w:val="auto"/>
        </w:rPr>
      </w:pPr>
      <w:r>
        <w:rPr>
          <w:rFonts w:hint="default"/>
          <w:color w:val="auto"/>
          <w:lang w:val="en-US" w:eastAsia="zh-CN"/>
        </w:rPr>
        <w:t>噪声</w:t>
      </w:r>
      <w:r>
        <w:rPr>
          <w:color w:val="auto"/>
        </w:rPr>
        <w:t>产生排放现状及治理措施</w:t>
      </w:r>
    </w:p>
    <w:p w14:paraId="36EDBB79">
      <w:pPr>
        <w:rPr>
          <w:color w:val="auto"/>
        </w:rPr>
      </w:pPr>
      <w:r>
        <w:rPr>
          <w:color w:val="auto"/>
        </w:rPr>
        <w:t>现有项目噪声主要来源于</w:t>
      </w:r>
      <w:r>
        <w:rPr>
          <w:rFonts w:hint="default"/>
          <w:color w:val="auto"/>
        </w:rPr>
        <w:t>空压机、车床、铣床、锯床、冲床、弯管机、抛光机等</w:t>
      </w:r>
      <w:r>
        <w:rPr>
          <w:rFonts w:hint="eastAsia" w:ascii="Times New Roman" w:eastAsia="仿宋_GB2312"/>
          <w:color w:val="auto"/>
          <w:lang w:val="en-US" w:eastAsia="zh-CN"/>
        </w:rPr>
        <w:t>生产设备</w:t>
      </w:r>
      <w:r>
        <w:rPr>
          <w:color w:val="auto"/>
        </w:rPr>
        <w:t>，现有项目通过控制设备噪声、合理布局（将噪声源较集中的主厂房布置在厂区的中央，尽量远离厂界）、噪声防治措施（主要噪声设备还采取了隔声、消声、减震等降噪措施。风机采取隔振和消声措施，</w:t>
      </w:r>
      <w:r>
        <w:rPr>
          <w:rFonts w:hint="default"/>
          <w:color w:val="auto"/>
        </w:rPr>
        <w:t>生产设备采取基础减振、厂房及隔声罩隔声、距离衰减、绿化等降噪措施</w:t>
      </w:r>
      <w:r>
        <w:rPr>
          <w:color w:val="auto"/>
        </w:rPr>
        <w:t>，大大降低噪声污染源。</w:t>
      </w:r>
    </w:p>
    <w:p w14:paraId="346DF948">
      <w:pPr>
        <w:pStyle w:val="5"/>
        <w:ind w:firstLine="301"/>
        <w:rPr>
          <w:rFonts w:hint="default"/>
          <w:color w:val="auto"/>
          <w:lang w:val="en-US" w:eastAsia="zh-CN"/>
        </w:rPr>
      </w:pPr>
      <w:r>
        <w:rPr>
          <w:rFonts w:hint="default"/>
          <w:color w:val="auto"/>
          <w:lang w:val="en-US" w:eastAsia="zh-CN"/>
        </w:rPr>
        <w:t>达标情况分析</w:t>
      </w:r>
    </w:p>
    <w:p w14:paraId="7CBA2DBB">
      <w:pPr>
        <w:rPr>
          <w:color w:val="auto"/>
        </w:rPr>
      </w:pPr>
      <w:r>
        <w:rPr>
          <w:rFonts w:hint="eastAsia"/>
          <w:color w:val="auto"/>
          <w:lang w:val="en-US" w:eastAsia="zh-CN"/>
        </w:rPr>
        <w:t>根据</w:t>
      </w:r>
      <w:r>
        <w:rPr>
          <w:rFonts w:hint="eastAsia"/>
          <w:color w:val="auto"/>
        </w:rPr>
        <w:t>《昆山运城压纹制版有限公司激光雕刻绿色智能化生产线项目第一阶段竣工环境保护验收监测报告表》</w:t>
      </w:r>
      <w:r>
        <w:rPr>
          <w:color w:val="auto"/>
        </w:rPr>
        <w:t>，20</w:t>
      </w:r>
      <w:r>
        <w:rPr>
          <w:rFonts w:hint="eastAsia" w:ascii="Times New Roman" w:eastAsia="仿宋_GB2312"/>
          <w:color w:val="auto"/>
          <w:lang w:val="en-US" w:eastAsia="zh-CN"/>
        </w:rPr>
        <w:t>25</w:t>
      </w:r>
      <w:r>
        <w:rPr>
          <w:color w:val="auto"/>
        </w:rPr>
        <w:t>年</w:t>
      </w:r>
      <w:r>
        <w:rPr>
          <w:rFonts w:hint="eastAsia"/>
          <w:color w:val="auto"/>
          <w:lang w:val="en-US" w:eastAsia="zh-CN"/>
        </w:rPr>
        <w:t>7</w:t>
      </w:r>
      <w:r>
        <w:rPr>
          <w:color w:val="auto"/>
        </w:rPr>
        <w:t>月</w:t>
      </w:r>
      <w:r>
        <w:rPr>
          <w:rFonts w:hint="eastAsia"/>
          <w:color w:val="auto"/>
          <w:lang w:val="en-US" w:eastAsia="zh-CN"/>
        </w:rPr>
        <w:t>17</w:t>
      </w:r>
      <w:r>
        <w:rPr>
          <w:rFonts w:hint="default"/>
          <w:color w:val="auto"/>
        </w:rPr>
        <w:t>日</w:t>
      </w:r>
      <w:r>
        <w:rPr>
          <w:color w:val="auto"/>
        </w:rPr>
        <w:t>~202</w:t>
      </w:r>
      <w:r>
        <w:rPr>
          <w:rFonts w:hint="eastAsia" w:ascii="Times New Roman" w:eastAsia="仿宋_GB2312"/>
          <w:color w:val="auto"/>
          <w:lang w:val="en-US" w:eastAsia="zh-CN"/>
        </w:rPr>
        <w:t>5</w:t>
      </w:r>
      <w:r>
        <w:rPr>
          <w:color w:val="auto"/>
        </w:rPr>
        <w:t>年</w:t>
      </w:r>
      <w:r>
        <w:rPr>
          <w:rFonts w:hint="eastAsia"/>
          <w:color w:val="auto"/>
          <w:lang w:val="en-US" w:eastAsia="zh-CN"/>
        </w:rPr>
        <w:t>7</w:t>
      </w:r>
      <w:r>
        <w:rPr>
          <w:color w:val="auto"/>
        </w:rPr>
        <w:t>月</w:t>
      </w:r>
      <w:r>
        <w:rPr>
          <w:rFonts w:hint="eastAsia"/>
          <w:color w:val="auto"/>
          <w:lang w:val="en-US" w:eastAsia="zh-CN"/>
        </w:rPr>
        <w:t>18</w:t>
      </w:r>
      <w:r>
        <w:rPr>
          <w:rFonts w:hint="default"/>
          <w:color w:val="auto"/>
        </w:rPr>
        <w:t>日</w:t>
      </w:r>
      <w:r>
        <w:rPr>
          <w:rFonts w:hint="eastAsia"/>
          <w:color w:val="auto"/>
          <w:lang w:eastAsia="zh-CN"/>
        </w:rPr>
        <w:t>苏州昆运制版有限公司</w:t>
      </w:r>
      <w:r>
        <w:rPr>
          <w:color w:val="auto"/>
        </w:rPr>
        <w:t>厂界各测点昼间噪声均满足《工业企业厂界环境噪声排放标准》（GB12348-2008）中3类区标准要求。</w:t>
      </w:r>
    </w:p>
    <w:p w14:paraId="7B7FC734">
      <w:pPr>
        <w:pStyle w:val="25"/>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9</w:t>
      </w:r>
      <w:r>
        <w:rPr>
          <w:color w:val="auto"/>
        </w:rPr>
        <w:fldChar w:fldCharType="end"/>
      </w:r>
      <w:r>
        <w:rPr>
          <w:color w:val="auto"/>
        </w:rPr>
        <w:t>厂界噪声例行监测数据统计表单位：dB（A）</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99"/>
        <w:gridCol w:w="1300"/>
        <w:gridCol w:w="1313"/>
        <w:gridCol w:w="1300"/>
        <w:gridCol w:w="1342"/>
        <w:gridCol w:w="1307"/>
        <w:gridCol w:w="1314"/>
      </w:tblGrid>
      <w:tr w14:paraId="179A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708" w:type="pct"/>
            <w:vMerge w:val="restart"/>
            <w:shd w:val="clear" w:color="auto" w:fill="auto"/>
            <w:vAlign w:val="center"/>
          </w:tcPr>
          <w:p w14:paraId="44A72EE3">
            <w:pPr>
              <w:pStyle w:val="36"/>
              <w:bidi w:val="0"/>
              <w:rPr>
                <w:color w:val="auto"/>
              </w:rPr>
            </w:pPr>
            <w:r>
              <w:rPr>
                <w:rFonts w:hint="eastAsia"/>
                <w:color w:val="auto"/>
                <w:lang w:val="en-US" w:eastAsia="zh-CN"/>
              </w:rPr>
              <w:t>监测点位</w:t>
            </w:r>
          </w:p>
        </w:tc>
        <w:tc>
          <w:tcPr>
            <w:tcW w:w="2862" w:type="pct"/>
            <w:gridSpan w:val="4"/>
            <w:shd w:val="clear" w:color="auto" w:fill="auto"/>
            <w:vAlign w:val="center"/>
          </w:tcPr>
          <w:p w14:paraId="790281FE">
            <w:pPr>
              <w:pStyle w:val="36"/>
              <w:bidi w:val="0"/>
              <w:rPr>
                <w:rFonts w:hint="eastAsia"/>
                <w:color w:val="auto"/>
              </w:rPr>
            </w:pPr>
            <w:r>
              <w:rPr>
                <w:rFonts w:hint="eastAsia"/>
                <w:color w:val="auto"/>
                <w:lang w:val="en-US" w:eastAsia="zh-CN"/>
              </w:rPr>
              <w:t>检测结果</w:t>
            </w:r>
          </w:p>
        </w:tc>
        <w:tc>
          <w:tcPr>
            <w:tcW w:w="1428" w:type="pct"/>
            <w:gridSpan w:val="2"/>
            <w:vMerge w:val="restart"/>
            <w:shd w:val="clear" w:color="auto" w:fill="auto"/>
            <w:vAlign w:val="center"/>
          </w:tcPr>
          <w:p w14:paraId="2FEF77B8">
            <w:pPr>
              <w:pStyle w:val="36"/>
              <w:bidi w:val="0"/>
              <w:rPr>
                <w:rFonts w:hint="eastAsia"/>
                <w:color w:val="auto"/>
              </w:rPr>
            </w:pPr>
            <w:r>
              <w:rPr>
                <w:rFonts w:hint="eastAsia"/>
                <w:color w:val="auto"/>
                <w:lang w:val="en-US" w:eastAsia="zh-CN"/>
              </w:rPr>
              <w:t>排放标准</w:t>
            </w:r>
          </w:p>
        </w:tc>
      </w:tr>
      <w:tr w14:paraId="7E6B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708" w:type="pct"/>
            <w:vMerge w:val="continue"/>
            <w:shd w:val="clear" w:color="auto" w:fill="auto"/>
            <w:vAlign w:val="center"/>
          </w:tcPr>
          <w:p w14:paraId="541EDBC3">
            <w:pPr>
              <w:pStyle w:val="36"/>
              <w:bidi w:val="0"/>
              <w:rPr>
                <w:rFonts w:hint="eastAsia"/>
                <w:color w:val="auto"/>
              </w:rPr>
            </w:pPr>
          </w:p>
        </w:tc>
        <w:tc>
          <w:tcPr>
            <w:tcW w:w="1423" w:type="pct"/>
            <w:gridSpan w:val="2"/>
            <w:shd w:val="clear" w:color="auto" w:fill="auto"/>
            <w:vAlign w:val="center"/>
          </w:tcPr>
          <w:p w14:paraId="3709C800">
            <w:pPr>
              <w:pStyle w:val="36"/>
              <w:bidi w:val="0"/>
              <w:rPr>
                <w:rFonts w:hint="default"/>
                <w:color w:val="auto"/>
                <w:lang w:val="en-US"/>
              </w:rPr>
            </w:pPr>
            <w:r>
              <w:rPr>
                <w:rFonts w:hint="default"/>
                <w:color w:val="auto"/>
                <w:lang w:val="en-US" w:eastAsia="zh-CN"/>
              </w:rPr>
              <w:t>2025.</w:t>
            </w:r>
            <w:r>
              <w:rPr>
                <w:rFonts w:hint="eastAsia"/>
                <w:color w:val="auto"/>
                <w:lang w:val="en-US" w:eastAsia="zh-CN"/>
              </w:rPr>
              <w:t>7.17</w:t>
            </w:r>
          </w:p>
        </w:tc>
        <w:tc>
          <w:tcPr>
            <w:tcW w:w="1438" w:type="pct"/>
            <w:gridSpan w:val="2"/>
            <w:shd w:val="clear" w:color="auto" w:fill="auto"/>
            <w:vAlign w:val="center"/>
          </w:tcPr>
          <w:p w14:paraId="3700F21F">
            <w:pPr>
              <w:pStyle w:val="36"/>
              <w:bidi w:val="0"/>
              <w:rPr>
                <w:rFonts w:hint="default"/>
                <w:color w:val="auto"/>
                <w:lang w:val="en-US"/>
              </w:rPr>
            </w:pPr>
            <w:r>
              <w:rPr>
                <w:rFonts w:hint="default"/>
                <w:color w:val="auto"/>
                <w:lang w:val="en-US" w:eastAsia="zh-CN"/>
              </w:rPr>
              <w:t>2025.</w:t>
            </w:r>
            <w:r>
              <w:rPr>
                <w:rFonts w:hint="eastAsia"/>
                <w:color w:val="auto"/>
                <w:lang w:val="en-US" w:eastAsia="zh-CN"/>
              </w:rPr>
              <w:t>7.18</w:t>
            </w:r>
          </w:p>
        </w:tc>
        <w:tc>
          <w:tcPr>
            <w:tcW w:w="1428" w:type="pct"/>
            <w:gridSpan w:val="2"/>
            <w:vMerge w:val="continue"/>
            <w:shd w:val="clear" w:color="auto" w:fill="auto"/>
            <w:vAlign w:val="center"/>
          </w:tcPr>
          <w:p w14:paraId="36B50AED">
            <w:pPr>
              <w:pStyle w:val="36"/>
              <w:bidi w:val="0"/>
              <w:rPr>
                <w:rFonts w:hint="eastAsia"/>
                <w:color w:val="auto"/>
              </w:rPr>
            </w:pPr>
          </w:p>
        </w:tc>
      </w:tr>
      <w:tr w14:paraId="6B0D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08" w:type="pct"/>
            <w:vMerge w:val="continue"/>
            <w:shd w:val="clear" w:color="auto" w:fill="auto"/>
            <w:vAlign w:val="center"/>
          </w:tcPr>
          <w:p w14:paraId="3CFA23E9">
            <w:pPr>
              <w:pStyle w:val="36"/>
              <w:bidi w:val="0"/>
              <w:rPr>
                <w:rFonts w:hint="eastAsia"/>
                <w:color w:val="auto"/>
              </w:rPr>
            </w:pPr>
          </w:p>
        </w:tc>
        <w:tc>
          <w:tcPr>
            <w:tcW w:w="708" w:type="pct"/>
            <w:shd w:val="clear" w:color="auto" w:fill="auto"/>
            <w:vAlign w:val="center"/>
          </w:tcPr>
          <w:p w14:paraId="0BD27A06">
            <w:pPr>
              <w:pStyle w:val="36"/>
              <w:bidi w:val="0"/>
              <w:rPr>
                <w:rFonts w:hint="eastAsia"/>
                <w:color w:val="auto"/>
              </w:rPr>
            </w:pPr>
            <w:r>
              <w:rPr>
                <w:rFonts w:hint="eastAsia"/>
                <w:color w:val="auto"/>
                <w:lang w:val="en-US" w:eastAsia="zh-CN"/>
              </w:rPr>
              <w:t>昼</w:t>
            </w:r>
          </w:p>
        </w:tc>
        <w:tc>
          <w:tcPr>
            <w:tcW w:w="714" w:type="pct"/>
            <w:shd w:val="clear" w:color="auto" w:fill="auto"/>
            <w:vAlign w:val="center"/>
          </w:tcPr>
          <w:p w14:paraId="20443582">
            <w:pPr>
              <w:pStyle w:val="36"/>
              <w:bidi w:val="0"/>
              <w:rPr>
                <w:rFonts w:hint="eastAsia"/>
                <w:color w:val="auto"/>
              </w:rPr>
            </w:pPr>
            <w:r>
              <w:rPr>
                <w:rFonts w:hint="eastAsia"/>
                <w:color w:val="auto"/>
                <w:lang w:val="en-US" w:eastAsia="zh-CN"/>
              </w:rPr>
              <w:t>夜</w:t>
            </w:r>
          </w:p>
        </w:tc>
        <w:tc>
          <w:tcPr>
            <w:tcW w:w="708" w:type="pct"/>
            <w:shd w:val="clear" w:color="auto" w:fill="auto"/>
            <w:vAlign w:val="center"/>
          </w:tcPr>
          <w:p w14:paraId="474127BA">
            <w:pPr>
              <w:pStyle w:val="36"/>
              <w:bidi w:val="0"/>
              <w:rPr>
                <w:rFonts w:hint="eastAsia"/>
                <w:color w:val="auto"/>
              </w:rPr>
            </w:pPr>
            <w:r>
              <w:rPr>
                <w:rFonts w:hint="eastAsia"/>
                <w:color w:val="auto"/>
                <w:lang w:val="en-US" w:eastAsia="zh-CN"/>
              </w:rPr>
              <w:t>昼</w:t>
            </w:r>
          </w:p>
        </w:tc>
        <w:tc>
          <w:tcPr>
            <w:tcW w:w="729" w:type="pct"/>
            <w:shd w:val="clear" w:color="auto" w:fill="auto"/>
            <w:vAlign w:val="center"/>
          </w:tcPr>
          <w:p w14:paraId="12D1F0F8">
            <w:pPr>
              <w:pStyle w:val="36"/>
              <w:bidi w:val="0"/>
              <w:rPr>
                <w:rFonts w:hint="eastAsia"/>
                <w:color w:val="auto"/>
              </w:rPr>
            </w:pPr>
            <w:r>
              <w:rPr>
                <w:rFonts w:hint="eastAsia"/>
                <w:color w:val="auto"/>
                <w:lang w:val="en-US" w:eastAsia="zh-CN"/>
              </w:rPr>
              <w:t>夜</w:t>
            </w:r>
          </w:p>
        </w:tc>
        <w:tc>
          <w:tcPr>
            <w:tcW w:w="712" w:type="pct"/>
            <w:shd w:val="clear" w:color="auto" w:fill="auto"/>
            <w:vAlign w:val="center"/>
          </w:tcPr>
          <w:p w14:paraId="62F72C79">
            <w:pPr>
              <w:pStyle w:val="36"/>
              <w:bidi w:val="0"/>
              <w:rPr>
                <w:rFonts w:hint="eastAsia"/>
                <w:color w:val="auto"/>
              </w:rPr>
            </w:pPr>
            <w:r>
              <w:rPr>
                <w:rFonts w:hint="eastAsia"/>
                <w:color w:val="auto"/>
                <w:lang w:val="en-US" w:eastAsia="zh-CN"/>
              </w:rPr>
              <w:t>昼</w:t>
            </w:r>
          </w:p>
        </w:tc>
        <w:tc>
          <w:tcPr>
            <w:tcW w:w="716" w:type="pct"/>
            <w:shd w:val="clear" w:color="auto" w:fill="auto"/>
            <w:vAlign w:val="center"/>
          </w:tcPr>
          <w:p w14:paraId="7C3B7E9B">
            <w:pPr>
              <w:pStyle w:val="36"/>
              <w:bidi w:val="0"/>
              <w:rPr>
                <w:rFonts w:hint="eastAsia"/>
                <w:color w:val="auto"/>
              </w:rPr>
            </w:pPr>
            <w:r>
              <w:rPr>
                <w:rFonts w:hint="eastAsia"/>
                <w:color w:val="auto"/>
                <w:lang w:val="en-US" w:eastAsia="zh-CN"/>
              </w:rPr>
              <w:t>夜</w:t>
            </w:r>
          </w:p>
        </w:tc>
      </w:tr>
      <w:tr w14:paraId="6E2E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708" w:type="pct"/>
            <w:shd w:val="clear" w:color="auto" w:fill="auto"/>
            <w:vAlign w:val="center"/>
          </w:tcPr>
          <w:p w14:paraId="313EC18F">
            <w:pPr>
              <w:pStyle w:val="26"/>
              <w:bidi w:val="0"/>
              <w:rPr>
                <w:rFonts w:hint="eastAsia"/>
                <w:color w:val="auto"/>
              </w:rPr>
            </w:pPr>
            <w:r>
              <w:rPr>
                <w:rFonts w:hint="eastAsia"/>
                <w:color w:val="auto"/>
                <w:lang w:val="en-US" w:eastAsia="zh-CN"/>
              </w:rPr>
              <w:t>东侧厂界</w:t>
            </w:r>
          </w:p>
        </w:tc>
        <w:tc>
          <w:tcPr>
            <w:tcW w:w="708" w:type="pct"/>
            <w:shd w:val="clear" w:color="auto" w:fill="auto"/>
            <w:vAlign w:val="center"/>
          </w:tcPr>
          <w:p w14:paraId="712C87AC">
            <w:pPr>
              <w:pStyle w:val="26"/>
              <w:bidi w:val="0"/>
              <w:rPr>
                <w:rFonts w:hint="default" w:eastAsia="仿宋_GB2312"/>
                <w:color w:val="auto"/>
                <w:lang w:val="en-US" w:eastAsia="zh-CN"/>
              </w:rPr>
            </w:pPr>
            <w:r>
              <w:rPr>
                <w:rFonts w:hint="eastAsia"/>
                <w:color w:val="auto"/>
                <w:lang w:val="en-US" w:eastAsia="zh-CN"/>
              </w:rPr>
              <w:t>61.6</w:t>
            </w:r>
          </w:p>
        </w:tc>
        <w:tc>
          <w:tcPr>
            <w:tcW w:w="714" w:type="pct"/>
            <w:shd w:val="clear" w:color="auto" w:fill="auto"/>
            <w:vAlign w:val="center"/>
          </w:tcPr>
          <w:p w14:paraId="028F50F2">
            <w:pPr>
              <w:pStyle w:val="26"/>
              <w:bidi w:val="0"/>
              <w:rPr>
                <w:rFonts w:hint="default" w:eastAsia="仿宋_GB2312"/>
                <w:color w:val="auto"/>
                <w:lang w:val="en-US" w:eastAsia="zh-CN"/>
              </w:rPr>
            </w:pPr>
            <w:r>
              <w:rPr>
                <w:rFonts w:hint="eastAsia"/>
                <w:color w:val="auto"/>
                <w:lang w:val="en-US" w:eastAsia="zh-CN"/>
              </w:rPr>
              <w:t>48.1</w:t>
            </w:r>
          </w:p>
        </w:tc>
        <w:tc>
          <w:tcPr>
            <w:tcW w:w="708" w:type="pct"/>
            <w:shd w:val="clear" w:color="auto" w:fill="auto"/>
            <w:vAlign w:val="center"/>
          </w:tcPr>
          <w:p w14:paraId="22E983A8">
            <w:pPr>
              <w:pStyle w:val="26"/>
              <w:bidi w:val="0"/>
              <w:rPr>
                <w:rFonts w:hint="default" w:eastAsia="仿宋_GB2312"/>
                <w:color w:val="auto"/>
                <w:lang w:val="en-US" w:eastAsia="zh-CN"/>
              </w:rPr>
            </w:pPr>
            <w:r>
              <w:rPr>
                <w:rFonts w:hint="eastAsia"/>
                <w:color w:val="auto"/>
                <w:lang w:val="en-US" w:eastAsia="zh-CN"/>
              </w:rPr>
              <w:t>61.0</w:t>
            </w:r>
          </w:p>
        </w:tc>
        <w:tc>
          <w:tcPr>
            <w:tcW w:w="729" w:type="pct"/>
            <w:shd w:val="clear" w:color="auto" w:fill="auto"/>
            <w:vAlign w:val="center"/>
          </w:tcPr>
          <w:p w14:paraId="388CD666">
            <w:pPr>
              <w:pStyle w:val="26"/>
              <w:bidi w:val="0"/>
              <w:rPr>
                <w:rFonts w:hint="default" w:eastAsia="仿宋_GB2312"/>
                <w:color w:val="auto"/>
                <w:lang w:val="en-US" w:eastAsia="zh-CN"/>
              </w:rPr>
            </w:pPr>
            <w:r>
              <w:rPr>
                <w:rFonts w:hint="eastAsia"/>
                <w:color w:val="auto"/>
                <w:lang w:val="en-US" w:eastAsia="zh-CN"/>
              </w:rPr>
              <w:t>48.0</w:t>
            </w:r>
          </w:p>
        </w:tc>
        <w:tc>
          <w:tcPr>
            <w:tcW w:w="712" w:type="pct"/>
            <w:vMerge w:val="restart"/>
            <w:shd w:val="clear" w:color="auto" w:fill="auto"/>
            <w:vAlign w:val="center"/>
          </w:tcPr>
          <w:p w14:paraId="3E9CAB20">
            <w:pPr>
              <w:pStyle w:val="26"/>
              <w:bidi w:val="0"/>
              <w:rPr>
                <w:rFonts w:hint="default"/>
                <w:color w:val="auto"/>
              </w:rPr>
            </w:pPr>
            <w:r>
              <w:rPr>
                <w:rFonts w:hint="default"/>
                <w:color w:val="auto"/>
                <w:lang w:val="en-US" w:eastAsia="zh-CN"/>
              </w:rPr>
              <w:t>65</w:t>
            </w:r>
          </w:p>
        </w:tc>
        <w:tc>
          <w:tcPr>
            <w:tcW w:w="716" w:type="pct"/>
            <w:vMerge w:val="restart"/>
            <w:shd w:val="clear" w:color="auto" w:fill="auto"/>
            <w:vAlign w:val="center"/>
          </w:tcPr>
          <w:p w14:paraId="6F568C6D">
            <w:pPr>
              <w:pStyle w:val="26"/>
              <w:bidi w:val="0"/>
              <w:rPr>
                <w:rFonts w:hint="default"/>
                <w:color w:val="auto"/>
              </w:rPr>
            </w:pPr>
            <w:r>
              <w:rPr>
                <w:rFonts w:hint="default"/>
                <w:color w:val="auto"/>
                <w:lang w:val="en-US" w:eastAsia="zh-CN"/>
              </w:rPr>
              <w:t>55</w:t>
            </w:r>
          </w:p>
        </w:tc>
      </w:tr>
      <w:tr w14:paraId="50F3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08" w:type="pct"/>
            <w:shd w:val="clear" w:color="auto" w:fill="auto"/>
            <w:vAlign w:val="center"/>
          </w:tcPr>
          <w:p w14:paraId="7B81A89C">
            <w:pPr>
              <w:pStyle w:val="26"/>
              <w:bidi w:val="0"/>
              <w:rPr>
                <w:rFonts w:hint="eastAsia"/>
                <w:color w:val="auto"/>
              </w:rPr>
            </w:pPr>
            <w:r>
              <w:rPr>
                <w:rFonts w:hint="eastAsia"/>
                <w:color w:val="auto"/>
                <w:lang w:val="en-US" w:eastAsia="zh-CN"/>
              </w:rPr>
              <w:t>南侧厂界</w:t>
            </w:r>
          </w:p>
        </w:tc>
        <w:tc>
          <w:tcPr>
            <w:tcW w:w="708" w:type="pct"/>
            <w:shd w:val="clear" w:color="auto" w:fill="auto"/>
            <w:vAlign w:val="center"/>
          </w:tcPr>
          <w:p w14:paraId="1F6AAC43">
            <w:pPr>
              <w:pStyle w:val="26"/>
              <w:bidi w:val="0"/>
              <w:rPr>
                <w:rFonts w:hint="default" w:eastAsia="仿宋_GB2312"/>
                <w:color w:val="auto"/>
                <w:lang w:val="en-US" w:eastAsia="zh-CN"/>
              </w:rPr>
            </w:pPr>
            <w:r>
              <w:rPr>
                <w:rFonts w:hint="eastAsia"/>
                <w:color w:val="auto"/>
                <w:lang w:val="en-US" w:eastAsia="zh-CN"/>
              </w:rPr>
              <w:t>57.8</w:t>
            </w:r>
          </w:p>
        </w:tc>
        <w:tc>
          <w:tcPr>
            <w:tcW w:w="714" w:type="pct"/>
            <w:shd w:val="clear" w:color="auto" w:fill="auto"/>
            <w:vAlign w:val="center"/>
          </w:tcPr>
          <w:p w14:paraId="391D9384">
            <w:pPr>
              <w:pStyle w:val="26"/>
              <w:bidi w:val="0"/>
              <w:rPr>
                <w:rFonts w:hint="default" w:eastAsia="仿宋_GB2312"/>
                <w:color w:val="auto"/>
                <w:lang w:val="en-US" w:eastAsia="zh-CN"/>
              </w:rPr>
            </w:pPr>
            <w:r>
              <w:rPr>
                <w:rFonts w:hint="eastAsia"/>
                <w:color w:val="auto"/>
                <w:lang w:val="en-US" w:eastAsia="zh-CN"/>
              </w:rPr>
              <w:t>47.2</w:t>
            </w:r>
          </w:p>
        </w:tc>
        <w:tc>
          <w:tcPr>
            <w:tcW w:w="708" w:type="pct"/>
            <w:shd w:val="clear" w:color="auto" w:fill="auto"/>
            <w:vAlign w:val="center"/>
          </w:tcPr>
          <w:p w14:paraId="73B6EBE6">
            <w:pPr>
              <w:pStyle w:val="26"/>
              <w:bidi w:val="0"/>
              <w:rPr>
                <w:rFonts w:hint="default" w:eastAsia="仿宋_GB2312"/>
                <w:color w:val="auto"/>
                <w:lang w:val="en-US" w:eastAsia="zh-CN"/>
              </w:rPr>
            </w:pPr>
            <w:r>
              <w:rPr>
                <w:rFonts w:hint="eastAsia"/>
                <w:color w:val="auto"/>
                <w:lang w:val="en-US" w:eastAsia="zh-CN"/>
              </w:rPr>
              <w:t>62.8</w:t>
            </w:r>
          </w:p>
        </w:tc>
        <w:tc>
          <w:tcPr>
            <w:tcW w:w="729" w:type="pct"/>
            <w:shd w:val="clear" w:color="auto" w:fill="auto"/>
            <w:vAlign w:val="center"/>
          </w:tcPr>
          <w:p w14:paraId="0836D012">
            <w:pPr>
              <w:pStyle w:val="26"/>
              <w:bidi w:val="0"/>
              <w:rPr>
                <w:rFonts w:hint="default" w:eastAsia="仿宋_GB2312"/>
                <w:color w:val="auto"/>
                <w:lang w:val="en-US" w:eastAsia="zh-CN"/>
              </w:rPr>
            </w:pPr>
            <w:r>
              <w:rPr>
                <w:rFonts w:hint="eastAsia"/>
                <w:color w:val="auto"/>
                <w:lang w:val="en-US" w:eastAsia="zh-CN"/>
              </w:rPr>
              <w:t>52.0</w:t>
            </w:r>
          </w:p>
        </w:tc>
        <w:tc>
          <w:tcPr>
            <w:tcW w:w="712" w:type="pct"/>
            <w:vMerge w:val="continue"/>
            <w:shd w:val="clear" w:color="auto" w:fill="auto"/>
            <w:vAlign w:val="center"/>
          </w:tcPr>
          <w:p w14:paraId="1594D159">
            <w:pPr>
              <w:bidi w:val="0"/>
              <w:rPr>
                <w:rFonts w:hint="default"/>
                <w:color w:val="auto"/>
              </w:rPr>
            </w:pPr>
          </w:p>
        </w:tc>
        <w:tc>
          <w:tcPr>
            <w:tcW w:w="716" w:type="pct"/>
            <w:vMerge w:val="continue"/>
            <w:shd w:val="clear" w:color="auto" w:fill="auto"/>
            <w:vAlign w:val="center"/>
          </w:tcPr>
          <w:p w14:paraId="40455EDB">
            <w:pPr>
              <w:bidi w:val="0"/>
              <w:rPr>
                <w:rFonts w:hint="default"/>
                <w:color w:val="auto"/>
              </w:rPr>
            </w:pPr>
          </w:p>
        </w:tc>
      </w:tr>
      <w:tr w14:paraId="5C50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708" w:type="pct"/>
            <w:shd w:val="clear" w:color="auto" w:fill="auto"/>
            <w:vAlign w:val="center"/>
          </w:tcPr>
          <w:p w14:paraId="4C76A103">
            <w:pPr>
              <w:pStyle w:val="26"/>
              <w:bidi w:val="0"/>
              <w:rPr>
                <w:rFonts w:hint="eastAsia"/>
                <w:color w:val="auto"/>
              </w:rPr>
            </w:pPr>
            <w:r>
              <w:rPr>
                <w:rFonts w:hint="eastAsia"/>
                <w:color w:val="auto"/>
                <w:lang w:val="en-US" w:eastAsia="zh-CN"/>
              </w:rPr>
              <w:t>西侧厂界</w:t>
            </w:r>
          </w:p>
        </w:tc>
        <w:tc>
          <w:tcPr>
            <w:tcW w:w="708" w:type="pct"/>
            <w:shd w:val="clear" w:color="auto" w:fill="auto"/>
            <w:vAlign w:val="center"/>
          </w:tcPr>
          <w:p w14:paraId="4A45205B">
            <w:pPr>
              <w:pStyle w:val="26"/>
              <w:bidi w:val="0"/>
              <w:rPr>
                <w:rFonts w:hint="default" w:eastAsia="仿宋_GB2312"/>
                <w:color w:val="auto"/>
                <w:lang w:val="en-US" w:eastAsia="zh-CN"/>
              </w:rPr>
            </w:pPr>
            <w:r>
              <w:rPr>
                <w:rFonts w:hint="eastAsia"/>
                <w:color w:val="auto"/>
                <w:lang w:val="en-US" w:eastAsia="zh-CN"/>
              </w:rPr>
              <w:t>56.9</w:t>
            </w:r>
          </w:p>
        </w:tc>
        <w:tc>
          <w:tcPr>
            <w:tcW w:w="714" w:type="pct"/>
            <w:shd w:val="clear" w:color="auto" w:fill="auto"/>
            <w:vAlign w:val="center"/>
          </w:tcPr>
          <w:p w14:paraId="6E3B0CF7">
            <w:pPr>
              <w:pStyle w:val="26"/>
              <w:bidi w:val="0"/>
              <w:rPr>
                <w:rFonts w:hint="default" w:eastAsia="仿宋_GB2312"/>
                <w:color w:val="auto"/>
                <w:lang w:val="en-US" w:eastAsia="zh-CN"/>
              </w:rPr>
            </w:pPr>
            <w:r>
              <w:rPr>
                <w:rFonts w:hint="eastAsia"/>
                <w:color w:val="auto"/>
                <w:lang w:val="en-US" w:eastAsia="zh-CN"/>
              </w:rPr>
              <w:t>47.1</w:t>
            </w:r>
          </w:p>
        </w:tc>
        <w:tc>
          <w:tcPr>
            <w:tcW w:w="708" w:type="pct"/>
            <w:shd w:val="clear" w:color="auto" w:fill="auto"/>
            <w:vAlign w:val="center"/>
          </w:tcPr>
          <w:p w14:paraId="0807BF5A">
            <w:pPr>
              <w:pStyle w:val="26"/>
              <w:bidi w:val="0"/>
              <w:rPr>
                <w:rFonts w:hint="default" w:eastAsia="仿宋_GB2312"/>
                <w:color w:val="auto"/>
                <w:lang w:val="en-US" w:eastAsia="zh-CN"/>
              </w:rPr>
            </w:pPr>
            <w:r>
              <w:rPr>
                <w:rFonts w:hint="eastAsia"/>
                <w:color w:val="auto"/>
                <w:lang w:val="en-US" w:eastAsia="zh-CN"/>
              </w:rPr>
              <w:t>56.2</w:t>
            </w:r>
          </w:p>
        </w:tc>
        <w:tc>
          <w:tcPr>
            <w:tcW w:w="729" w:type="pct"/>
            <w:shd w:val="clear" w:color="auto" w:fill="auto"/>
            <w:vAlign w:val="center"/>
          </w:tcPr>
          <w:p w14:paraId="201EF9B7">
            <w:pPr>
              <w:pStyle w:val="26"/>
              <w:bidi w:val="0"/>
              <w:rPr>
                <w:rFonts w:hint="default" w:eastAsia="仿宋_GB2312"/>
                <w:color w:val="auto"/>
                <w:lang w:val="en-US" w:eastAsia="zh-CN"/>
              </w:rPr>
            </w:pPr>
            <w:r>
              <w:rPr>
                <w:rFonts w:hint="eastAsia"/>
                <w:color w:val="auto"/>
                <w:lang w:val="en-US" w:eastAsia="zh-CN"/>
              </w:rPr>
              <w:t>51.0</w:t>
            </w:r>
          </w:p>
        </w:tc>
        <w:tc>
          <w:tcPr>
            <w:tcW w:w="712" w:type="pct"/>
            <w:vMerge w:val="continue"/>
            <w:shd w:val="clear" w:color="auto" w:fill="auto"/>
            <w:vAlign w:val="center"/>
          </w:tcPr>
          <w:p w14:paraId="4DEDD1B5">
            <w:pPr>
              <w:bidi w:val="0"/>
              <w:rPr>
                <w:rFonts w:hint="default"/>
                <w:color w:val="auto"/>
              </w:rPr>
            </w:pPr>
          </w:p>
        </w:tc>
        <w:tc>
          <w:tcPr>
            <w:tcW w:w="716" w:type="pct"/>
            <w:vMerge w:val="continue"/>
            <w:shd w:val="clear" w:color="auto" w:fill="auto"/>
            <w:vAlign w:val="center"/>
          </w:tcPr>
          <w:p w14:paraId="5F885888">
            <w:pPr>
              <w:bidi w:val="0"/>
              <w:rPr>
                <w:rFonts w:hint="default"/>
                <w:color w:val="auto"/>
              </w:rPr>
            </w:pPr>
          </w:p>
        </w:tc>
      </w:tr>
      <w:tr w14:paraId="7464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08" w:type="pct"/>
            <w:shd w:val="clear" w:color="auto" w:fill="auto"/>
            <w:vAlign w:val="center"/>
          </w:tcPr>
          <w:p w14:paraId="686AB4B8">
            <w:pPr>
              <w:pStyle w:val="26"/>
              <w:bidi w:val="0"/>
              <w:rPr>
                <w:rFonts w:hint="eastAsia"/>
                <w:color w:val="auto"/>
              </w:rPr>
            </w:pPr>
            <w:r>
              <w:rPr>
                <w:rFonts w:hint="eastAsia"/>
                <w:color w:val="auto"/>
                <w:lang w:val="en-US" w:eastAsia="zh-CN"/>
              </w:rPr>
              <w:t>北侧厂界</w:t>
            </w:r>
          </w:p>
        </w:tc>
        <w:tc>
          <w:tcPr>
            <w:tcW w:w="708" w:type="pct"/>
            <w:shd w:val="clear" w:color="auto" w:fill="auto"/>
            <w:vAlign w:val="center"/>
          </w:tcPr>
          <w:p w14:paraId="2B5C97CB">
            <w:pPr>
              <w:pStyle w:val="26"/>
              <w:bidi w:val="0"/>
              <w:rPr>
                <w:rFonts w:hint="default" w:eastAsia="仿宋_GB2312"/>
                <w:color w:val="auto"/>
                <w:lang w:val="en-US" w:eastAsia="zh-CN"/>
              </w:rPr>
            </w:pPr>
            <w:r>
              <w:rPr>
                <w:rFonts w:hint="eastAsia"/>
                <w:color w:val="auto"/>
                <w:lang w:val="en-US" w:eastAsia="zh-CN"/>
              </w:rPr>
              <w:t>54.6</w:t>
            </w:r>
          </w:p>
        </w:tc>
        <w:tc>
          <w:tcPr>
            <w:tcW w:w="714" w:type="pct"/>
            <w:shd w:val="clear" w:color="auto" w:fill="auto"/>
            <w:vAlign w:val="center"/>
          </w:tcPr>
          <w:p w14:paraId="67578F71">
            <w:pPr>
              <w:pStyle w:val="26"/>
              <w:bidi w:val="0"/>
              <w:rPr>
                <w:rFonts w:hint="default" w:eastAsia="仿宋_GB2312"/>
                <w:color w:val="auto"/>
                <w:lang w:val="en-US" w:eastAsia="zh-CN"/>
              </w:rPr>
            </w:pPr>
            <w:r>
              <w:rPr>
                <w:rFonts w:hint="eastAsia"/>
                <w:color w:val="auto"/>
                <w:lang w:val="en-US" w:eastAsia="zh-CN"/>
              </w:rPr>
              <w:t>48.2</w:t>
            </w:r>
          </w:p>
        </w:tc>
        <w:tc>
          <w:tcPr>
            <w:tcW w:w="708" w:type="pct"/>
            <w:shd w:val="clear" w:color="auto" w:fill="auto"/>
            <w:vAlign w:val="center"/>
          </w:tcPr>
          <w:p w14:paraId="04E17704">
            <w:pPr>
              <w:pStyle w:val="26"/>
              <w:bidi w:val="0"/>
              <w:rPr>
                <w:rFonts w:hint="default" w:eastAsia="仿宋_GB2312"/>
                <w:color w:val="auto"/>
                <w:lang w:val="en-US" w:eastAsia="zh-CN"/>
              </w:rPr>
            </w:pPr>
            <w:r>
              <w:rPr>
                <w:rFonts w:hint="eastAsia"/>
                <w:color w:val="auto"/>
                <w:lang w:val="en-US" w:eastAsia="zh-CN"/>
              </w:rPr>
              <w:t>55.2</w:t>
            </w:r>
          </w:p>
        </w:tc>
        <w:tc>
          <w:tcPr>
            <w:tcW w:w="729" w:type="pct"/>
            <w:shd w:val="clear" w:color="auto" w:fill="auto"/>
            <w:vAlign w:val="center"/>
          </w:tcPr>
          <w:p w14:paraId="73B97C34">
            <w:pPr>
              <w:pStyle w:val="26"/>
              <w:bidi w:val="0"/>
              <w:rPr>
                <w:rFonts w:hint="default" w:eastAsia="仿宋_GB2312"/>
                <w:color w:val="auto"/>
                <w:lang w:val="en-US" w:eastAsia="zh-CN"/>
              </w:rPr>
            </w:pPr>
            <w:r>
              <w:rPr>
                <w:rFonts w:hint="eastAsia"/>
                <w:color w:val="auto"/>
                <w:lang w:val="en-US" w:eastAsia="zh-CN"/>
              </w:rPr>
              <w:t>48.8</w:t>
            </w:r>
          </w:p>
        </w:tc>
        <w:tc>
          <w:tcPr>
            <w:tcW w:w="712" w:type="pct"/>
            <w:vMerge w:val="continue"/>
            <w:shd w:val="clear" w:color="auto" w:fill="auto"/>
            <w:vAlign w:val="center"/>
          </w:tcPr>
          <w:p w14:paraId="027FB16D">
            <w:pPr>
              <w:bidi w:val="0"/>
              <w:rPr>
                <w:rFonts w:hint="default"/>
                <w:color w:val="auto"/>
              </w:rPr>
            </w:pPr>
          </w:p>
        </w:tc>
        <w:tc>
          <w:tcPr>
            <w:tcW w:w="716" w:type="pct"/>
            <w:vMerge w:val="continue"/>
            <w:shd w:val="clear" w:color="auto" w:fill="auto"/>
            <w:vAlign w:val="center"/>
          </w:tcPr>
          <w:p w14:paraId="6A1DD879">
            <w:pPr>
              <w:bidi w:val="0"/>
              <w:rPr>
                <w:rFonts w:hint="default"/>
                <w:color w:val="auto"/>
              </w:rPr>
            </w:pPr>
          </w:p>
        </w:tc>
      </w:tr>
    </w:tbl>
    <w:p w14:paraId="76982D92">
      <w:pPr>
        <w:rPr>
          <w:color w:val="auto"/>
        </w:rPr>
      </w:pPr>
    </w:p>
    <w:p w14:paraId="18857608">
      <w:pPr>
        <w:pStyle w:val="4"/>
        <w:rPr>
          <w:rFonts w:hint="eastAsia" w:eastAsia="仿宋_GB2312"/>
          <w:color w:val="auto"/>
          <w:lang w:val="en-US" w:eastAsia="zh-CN"/>
        </w:rPr>
      </w:pPr>
      <w:bookmarkStart w:id="134" w:name="_Toc28772"/>
      <w:bookmarkStart w:id="135" w:name="_Toc30788"/>
      <w:r>
        <w:rPr>
          <w:rFonts w:hint="eastAsia"/>
          <w:color w:val="auto"/>
          <w:lang w:val="en-US" w:eastAsia="zh-CN"/>
        </w:rPr>
        <w:t>地下水及土壤污染防治现状</w:t>
      </w:r>
      <w:bookmarkEnd w:id="134"/>
      <w:bookmarkEnd w:id="135"/>
    </w:p>
    <w:p w14:paraId="0614B4C4">
      <w:pPr>
        <w:pStyle w:val="5"/>
        <w:ind w:firstLine="301"/>
        <w:rPr>
          <w:color w:val="auto"/>
        </w:rPr>
      </w:pPr>
      <w:r>
        <w:rPr>
          <w:rFonts w:hint="default"/>
          <w:color w:val="auto"/>
          <w:lang w:val="en-US" w:eastAsia="zh-CN"/>
        </w:rPr>
        <w:t>地下水</w:t>
      </w:r>
      <w:r>
        <w:rPr>
          <w:color w:val="auto"/>
        </w:rPr>
        <w:t>及土壤污染防治措施</w:t>
      </w:r>
    </w:p>
    <w:p w14:paraId="5BF56581">
      <w:pPr>
        <w:rPr>
          <w:color w:val="auto"/>
        </w:rPr>
      </w:pPr>
      <w:r>
        <w:rPr>
          <w:color w:val="auto"/>
        </w:rPr>
        <w:t>根据《</w:t>
      </w:r>
      <w:r>
        <w:rPr>
          <w:rFonts w:hint="default"/>
          <w:color w:val="auto"/>
        </w:rPr>
        <w:t>关于印发苏州市2026年环境监管重点单位名录的通知</w:t>
      </w:r>
      <w:r>
        <w:rPr>
          <w:color w:val="auto"/>
        </w:rPr>
        <w:t>》，</w:t>
      </w:r>
      <w:r>
        <w:rPr>
          <w:rFonts w:hint="eastAsia"/>
          <w:color w:val="auto"/>
          <w:lang w:eastAsia="zh-CN"/>
        </w:rPr>
        <w:t>昆运制版</w:t>
      </w:r>
      <w:r>
        <w:rPr>
          <w:color w:val="auto"/>
        </w:rPr>
        <w:t>属于</w:t>
      </w:r>
      <w:r>
        <w:rPr>
          <w:rFonts w:hint="default"/>
          <w:color w:val="auto"/>
        </w:rPr>
        <w:t>苏州市</w:t>
      </w:r>
      <w:r>
        <w:rPr>
          <w:color w:val="auto"/>
        </w:rPr>
        <w:t>土壤污染重点监管单位，目前企业已开展土壤隐患排查和自行监测。</w:t>
      </w:r>
    </w:p>
    <w:p w14:paraId="3BB4BAAC">
      <w:pPr>
        <w:rPr>
          <w:color w:val="auto"/>
        </w:rPr>
      </w:pPr>
      <w:r>
        <w:rPr>
          <w:color w:val="auto"/>
        </w:rPr>
        <w:t>厂区主要采取的防渗措施如下：</w:t>
      </w:r>
    </w:p>
    <w:p w14:paraId="5FC74C85">
      <w:pPr>
        <w:spacing w:line="500" w:lineRule="exact"/>
        <w:rPr>
          <w:color w:val="auto"/>
        </w:rPr>
      </w:pPr>
      <w:r>
        <w:rPr>
          <w:color w:val="auto"/>
        </w:rPr>
        <w:t>（1）</w:t>
      </w:r>
      <w:r>
        <w:rPr>
          <w:rFonts w:hint="default"/>
          <w:color w:val="auto"/>
        </w:rPr>
        <w:t>现有项目制定严格的管理措施，设专人定时对厂区内管道进行巡检，要求巡检人员对发现的跑冒滴漏现象要及时上报，对出现的问题要求及时妥善处置。同时也要加强对管道、阀门采购的质量管理，如发现问题，应及时更换。</w:t>
      </w:r>
    </w:p>
    <w:p w14:paraId="5DC0A34A">
      <w:pPr>
        <w:spacing w:line="500" w:lineRule="exact"/>
        <w:rPr>
          <w:color w:val="auto"/>
        </w:rPr>
      </w:pPr>
      <w:r>
        <w:rPr>
          <w:rFonts w:hint="default"/>
          <w:color w:val="auto"/>
        </w:rPr>
        <w:t>（2）</w:t>
      </w:r>
      <w:r>
        <w:rPr>
          <w:color w:val="auto"/>
        </w:rPr>
        <w:t>现有项目采取分区防渗措施，</w:t>
      </w:r>
      <w:r>
        <w:rPr>
          <w:rFonts w:hint="default"/>
          <w:color w:val="auto"/>
        </w:rPr>
        <w:t>按照《危险废物贮存污染控制标准》（GB 18597-2023）对危废暂存仓库，调节池、设备间、污水管道四周的混凝土基础做防渗处理，保证渗透系数≤10</w:t>
      </w:r>
      <w:r>
        <w:rPr>
          <w:rFonts w:hint="default"/>
          <w:color w:val="auto"/>
          <w:vertAlign w:val="superscript"/>
        </w:rPr>
        <w:t>-7</w:t>
      </w:r>
      <w:r>
        <w:rPr>
          <w:rFonts w:hint="default"/>
          <w:color w:val="auto"/>
        </w:rPr>
        <w:t>cm/s，各个车间地面均进行硬化防渗处理，危废的贮存场所设置明显标志，贮存场所内禁止混放不相 容危险废物，危废的转移执行国家环保总局第 5 号令《危险废物转移联单管理办法》，送有处理资质的单位进行处理。</w:t>
      </w:r>
    </w:p>
    <w:p w14:paraId="7185E766">
      <w:pPr>
        <w:spacing w:line="500" w:lineRule="exact"/>
        <w:rPr>
          <w:color w:val="auto"/>
        </w:rPr>
        <w:sectPr>
          <w:pgSz w:w="11910" w:h="16840"/>
          <w:pgMar w:top="1418" w:right="1361" w:bottom="1304" w:left="1588" w:header="567" w:footer="1009" w:gutter="0"/>
          <w:pgBorders>
            <w:top w:val="none" w:sz="0" w:space="0"/>
            <w:left w:val="none" w:sz="0" w:space="0"/>
            <w:bottom w:val="none" w:sz="0" w:space="0"/>
            <w:right w:val="none" w:sz="0" w:space="0"/>
          </w:pgBorders>
          <w:pgNumType w:fmt="decimal"/>
          <w:cols w:space="720" w:num="1"/>
          <w:docGrid w:linePitch="381" w:charSpace="0"/>
        </w:sectPr>
      </w:pPr>
      <w:r>
        <w:rPr>
          <w:color w:val="auto"/>
        </w:rPr>
        <w:t>（3）</w:t>
      </w:r>
      <w:r>
        <w:rPr>
          <w:rFonts w:hint="eastAsia"/>
          <w:color w:val="auto"/>
        </w:rPr>
        <w:t>同时加强厂内监控预警，防止项目运行对土壤和地下水造成影响</w:t>
      </w:r>
      <w:r>
        <w:rPr>
          <w:color w:val="auto"/>
        </w:rPr>
        <w:t>。</w:t>
      </w:r>
    </w:p>
    <w:p w14:paraId="2372A181">
      <w:pPr>
        <w:pStyle w:val="5"/>
        <w:ind w:firstLine="301"/>
        <w:rPr>
          <w:rFonts w:hint="default" w:eastAsia="仿宋_GB2312"/>
          <w:color w:val="auto"/>
          <w:lang w:val="en-US" w:eastAsia="zh-CN"/>
        </w:rPr>
      </w:pPr>
      <w:r>
        <w:rPr>
          <w:rFonts w:hint="default"/>
          <w:color w:val="auto"/>
          <w:lang w:val="en-US" w:eastAsia="zh-CN"/>
        </w:rPr>
        <w:t>地下水</w:t>
      </w:r>
      <w:r>
        <w:rPr>
          <w:color w:val="auto"/>
        </w:rPr>
        <w:t>及土壤</w:t>
      </w:r>
      <w:r>
        <w:rPr>
          <w:rFonts w:hint="default"/>
          <w:color w:val="auto"/>
          <w:lang w:val="en-US" w:eastAsia="zh-CN"/>
        </w:rPr>
        <w:t>监测结果</w:t>
      </w:r>
    </w:p>
    <w:p w14:paraId="033B41C8">
      <w:pPr>
        <w:rPr>
          <w:color w:val="auto"/>
        </w:rPr>
      </w:pPr>
      <w:r>
        <w:rPr>
          <w:color w:val="auto"/>
        </w:rPr>
        <w:t>企业于202</w:t>
      </w:r>
      <w:r>
        <w:rPr>
          <w:rFonts w:hint="eastAsia" w:ascii="Times New Roman" w:eastAsia="仿宋_GB2312"/>
          <w:color w:val="auto"/>
          <w:lang w:val="en-US" w:eastAsia="zh-CN"/>
        </w:rPr>
        <w:t>5</w:t>
      </w:r>
      <w:r>
        <w:rPr>
          <w:color w:val="auto"/>
        </w:rPr>
        <w:t>年</w:t>
      </w:r>
      <w:r>
        <w:rPr>
          <w:rFonts w:hint="eastAsia"/>
          <w:color w:val="auto"/>
          <w:lang w:val="en-US" w:eastAsia="zh-CN"/>
        </w:rPr>
        <w:t>9</w:t>
      </w:r>
      <w:r>
        <w:rPr>
          <w:color w:val="auto"/>
        </w:rPr>
        <w:t>月</w:t>
      </w:r>
      <w:r>
        <w:rPr>
          <w:rFonts w:hint="eastAsia"/>
          <w:color w:val="auto"/>
          <w:lang w:val="en-US" w:eastAsia="zh-CN"/>
        </w:rPr>
        <w:t>28</w:t>
      </w:r>
      <w:r>
        <w:rPr>
          <w:color w:val="auto"/>
        </w:rPr>
        <w:t>日委托</w:t>
      </w:r>
      <w:r>
        <w:rPr>
          <w:rFonts w:hint="eastAsia"/>
          <w:color w:val="auto"/>
        </w:rPr>
        <w:t>苏州优康检测技术服务有限公司</w:t>
      </w:r>
      <w:r>
        <w:rPr>
          <w:color w:val="auto"/>
        </w:rPr>
        <w:t>对厂区及周边土壤、地下水进行监测，检测报告编号：</w:t>
      </w:r>
      <w:r>
        <w:rPr>
          <w:rFonts w:hint="eastAsia"/>
          <w:color w:val="auto"/>
        </w:rPr>
        <w:t>YEAT25090067E</w:t>
      </w:r>
      <w:r>
        <w:rPr>
          <w:rFonts w:hint="eastAsia"/>
          <w:color w:val="auto"/>
          <w:lang w:eastAsia="zh-CN"/>
        </w:rPr>
        <w:t>。根据202</w:t>
      </w:r>
      <w:r>
        <w:rPr>
          <w:rFonts w:hint="eastAsia"/>
          <w:color w:val="auto"/>
          <w:lang w:val="en-US" w:eastAsia="zh-CN"/>
        </w:rPr>
        <w:t>5</w:t>
      </w:r>
      <w:r>
        <w:rPr>
          <w:rFonts w:hint="eastAsia"/>
          <w:color w:val="auto"/>
          <w:lang w:eastAsia="zh-CN"/>
        </w:rPr>
        <w:t>年度土壤和地下水自行监测报告，昆运制版厂区内地下水监测所测污染物浓度均符合《地下水质量标准》（GB/T14848-2017）；土壤监测点位所测污染物浓度均符合《土壤环境质量建设用地土壤污染风险管控标准（试行）》（GB36600-2018）表1筛选值第二类用地要求。</w:t>
      </w:r>
      <w:r>
        <w:rPr>
          <w:color w:val="auto"/>
        </w:rPr>
        <w:t>具体监测数据如下：</w:t>
      </w:r>
    </w:p>
    <w:p w14:paraId="0A10A603">
      <w:pPr>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41498F31">
      <w:pPr>
        <w:pStyle w:val="25"/>
        <w:bidi w:val="0"/>
        <w:rPr>
          <w:rFonts w:hint="default"/>
          <w:color w:val="auto"/>
          <w:highlight w:val="none"/>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10</w:t>
      </w:r>
      <w:r>
        <w:rPr>
          <w:color w:val="auto"/>
          <w:highlight w:val="none"/>
        </w:rPr>
        <w:fldChar w:fldCharType="end"/>
      </w:r>
      <w:r>
        <w:rPr>
          <w:rFonts w:hint="eastAsia"/>
          <w:color w:val="auto"/>
          <w:highlight w:val="none"/>
        </w:rPr>
        <w:t>地下水污染物检出情况汇总</w:t>
      </w:r>
      <w:r>
        <w:rPr>
          <w:rFonts w:hint="eastAsia"/>
          <w:color w:val="auto"/>
          <w:highlight w:val="none"/>
          <w:lang w:eastAsia="zh-CN"/>
        </w:rPr>
        <w:t>（</w:t>
      </w:r>
      <w:r>
        <w:rPr>
          <w:rFonts w:hint="eastAsia"/>
          <w:color w:val="auto"/>
          <w:highlight w:val="none"/>
          <w:lang w:val="en-US" w:eastAsia="zh-CN"/>
        </w:rPr>
        <w:t>单位：mg/L，pH无量纲）</w:t>
      </w:r>
    </w:p>
    <w:tbl>
      <w:tblPr>
        <w:tblStyle w:val="50"/>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26"/>
        <w:gridCol w:w="986"/>
        <w:gridCol w:w="991"/>
        <w:gridCol w:w="2251"/>
        <w:gridCol w:w="2251"/>
        <w:gridCol w:w="2374"/>
        <w:gridCol w:w="2382"/>
      </w:tblGrid>
      <w:tr w14:paraId="179A7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976" w:type="pct"/>
            <w:vMerge w:val="restart"/>
            <w:tcBorders>
              <w:bottom w:val="nil"/>
            </w:tcBorders>
            <w:vAlign w:val="center"/>
          </w:tcPr>
          <w:p w14:paraId="003E3027">
            <w:pPr>
              <w:pStyle w:val="36"/>
              <w:bidi w:val="0"/>
              <w:rPr>
                <w:color w:val="auto"/>
                <w:highlight w:val="none"/>
              </w:rPr>
            </w:pPr>
            <w:r>
              <w:rPr>
                <w:color w:val="auto"/>
                <w:highlight w:val="none"/>
              </w:rPr>
              <w:t>样品类别：地下水</w:t>
            </w:r>
          </w:p>
        </w:tc>
        <w:tc>
          <w:tcPr>
            <w:tcW w:w="707" w:type="pct"/>
            <w:gridSpan w:val="2"/>
            <w:vAlign w:val="center"/>
          </w:tcPr>
          <w:p w14:paraId="69B57674">
            <w:pPr>
              <w:pStyle w:val="36"/>
              <w:bidi w:val="0"/>
              <w:rPr>
                <w:color w:val="auto"/>
                <w:highlight w:val="none"/>
              </w:rPr>
            </w:pPr>
            <w:r>
              <w:rPr>
                <w:color w:val="auto"/>
                <w:highlight w:val="none"/>
              </w:rPr>
              <w:t>采样日期</w:t>
            </w:r>
          </w:p>
        </w:tc>
        <w:tc>
          <w:tcPr>
            <w:tcW w:w="3315" w:type="pct"/>
            <w:gridSpan w:val="4"/>
            <w:vAlign w:val="center"/>
          </w:tcPr>
          <w:p w14:paraId="1812AAFC">
            <w:pPr>
              <w:pStyle w:val="36"/>
              <w:bidi w:val="0"/>
              <w:rPr>
                <w:color w:val="auto"/>
                <w:highlight w:val="none"/>
              </w:rPr>
            </w:pPr>
            <w:r>
              <w:rPr>
                <w:color w:val="auto"/>
                <w:highlight w:val="none"/>
              </w:rPr>
              <w:t>2025-09-28</w:t>
            </w:r>
          </w:p>
        </w:tc>
      </w:tr>
      <w:tr w14:paraId="1EC35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976" w:type="pct"/>
            <w:vMerge w:val="continue"/>
            <w:tcBorders>
              <w:top w:val="nil"/>
            </w:tcBorders>
            <w:vAlign w:val="center"/>
          </w:tcPr>
          <w:p w14:paraId="0A2CB4E1">
            <w:pPr>
              <w:pStyle w:val="36"/>
              <w:bidi w:val="0"/>
              <w:rPr>
                <w:color w:val="auto"/>
                <w:highlight w:val="none"/>
              </w:rPr>
            </w:pPr>
          </w:p>
        </w:tc>
        <w:tc>
          <w:tcPr>
            <w:tcW w:w="707" w:type="pct"/>
            <w:gridSpan w:val="2"/>
            <w:vAlign w:val="center"/>
          </w:tcPr>
          <w:p w14:paraId="30FB8428">
            <w:pPr>
              <w:pStyle w:val="36"/>
              <w:bidi w:val="0"/>
              <w:rPr>
                <w:color w:val="auto"/>
                <w:highlight w:val="none"/>
              </w:rPr>
            </w:pPr>
            <w:r>
              <w:rPr>
                <w:color w:val="auto"/>
                <w:highlight w:val="none"/>
              </w:rPr>
              <w:t>点位名称</w:t>
            </w:r>
          </w:p>
        </w:tc>
        <w:tc>
          <w:tcPr>
            <w:tcW w:w="806" w:type="pct"/>
            <w:vAlign w:val="center"/>
          </w:tcPr>
          <w:p w14:paraId="662AA1CD">
            <w:pPr>
              <w:pStyle w:val="36"/>
              <w:bidi w:val="0"/>
              <w:rPr>
                <w:color w:val="auto"/>
                <w:highlight w:val="none"/>
              </w:rPr>
            </w:pPr>
            <w:r>
              <w:rPr>
                <w:color w:val="auto"/>
                <w:highlight w:val="none"/>
              </w:rPr>
              <w:t>W0</w:t>
            </w:r>
          </w:p>
        </w:tc>
        <w:tc>
          <w:tcPr>
            <w:tcW w:w="806" w:type="pct"/>
            <w:vAlign w:val="center"/>
          </w:tcPr>
          <w:p w14:paraId="53C9525D">
            <w:pPr>
              <w:pStyle w:val="36"/>
              <w:bidi w:val="0"/>
              <w:rPr>
                <w:color w:val="auto"/>
                <w:highlight w:val="none"/>
              </w:rPr>
            </w:pPr>
            <w:r>
              <w:rPr>
                <w:color w:val="auto"/>
                <w:highlight w:val="none"/>
              </w:rPr>
              <w:t>W1</w:t>
            </w:r>
          </w:p>
        </w:tc>
        <w:tc>
          <w:tcPr>
            <w:tcW w:w="850" w:type="pct"/>
            <w:vAlign w:val="center"/>
          </w:tcPr>
          <w:p w14:paraId="17A8A35B">
            <w:pPr>
              <w:pStyle w:val="36"/>
              <w:bidi w:val="0"/>
              <w:rPr>
                <w:color w:val="auto"/>
                <w:highlight w:val="none"/>
              </w:rPr>
            </w:pPr>
            <w:r>
              <w:rPr>
                <w:color w:val="auto"/>
                <w:highlight w:val="none"/>
              </w:rPr>
              <w:t>W2</w:t>
            </w:r>
          </w:p>
        </w:tc>
        <w:tc>
          <w:tcPr>
            <w:tcW w:w="853" w:type="pct"/>
            <w:vAlign w:val="center"/>
          </w:tcPr>
          <w:p w14:paraId="07B93A29">
            <w:pPr>
              <w:pStyle w:val="36"/>
              <w:bidi w:val="0"/>
              <w:rPr>
                <w:color w:val="auto"/>
                <w:highlight w:val="none"/>
              </w:rPr>
            </w:pPr>
            <w:r>
              <w:rPr>
                <w:color w:val="auto"/>
                <w:highlight w:val="none"/>
              </w:rPr>
              <w:t>W3</w:t>
            </w:r>
          </w:p>
        </w:tc>
      </w:tr>
      <w:tr w14:paraId="2BF97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84" w:type="pct"/>
            <w:gridSpan w:val="3"/>
            <w:vAlign w:val="center"/>
          </w:tcPr>
          <w:p w14:paraId="27112E54">
            <w:pPr>
              <w:pStyle w:val="26"/>
              <w:bidi w:val="0"/>
              <w:jc w:val="center"/>
              <w:rPr>
                <w:color w:val="auto"/>
                <w:highlight w:val="none"/>
              </w:rPr>
            </w:pPr>
            <w:r>
              <w:rPr>
                <w:color w:val="auto"/>
                <w:highlight w:val="none"/>
              </w:rPr>
              <w:t>样品编号</w:t>
            </w:r>
          </w:p>
        </w:tc>
        <w:tc>
          <w:tcPr>
            <w:tcW w:w="806" w:type="pct"/>
            <w:vMerge w:val="restart"/>
            <w:tcBorders>
              <w:bottom w:val="nil"/>
            </w:tcBorders>
            <w:vAlign w:val="center"/>
          </w:tcPr>
          <w:p w14:paraId="30B159D5">
            <w:pPr>
              <w:pStyle w:val="26"/>
              <w:bidi w:val="0"/>
              <w:jc w:val="center"/>
              <w:rPr>
                <w:color w:val="auto"/>
                <w:highlight w:val="none"/>
              </w:rPr>
            </w:pPr>
            <w:r>
              <w:rPr>
                <w:color w:val="auto"/>
                <w:highlight w:val="none"/>
              </w:rPr>
              <w:t>YEAT25090067E-</w:t>
            </w:r>
          </w:p>
          <w:p w14:paraId="4E27891C">
            <w:pPr>
              <w:pStyle w:val="26"/>
              <w:bidi w:val="0"/>
              <w:jc w:val="center"/>
              <w:rPr>
                <w:color w:val="auto"/>
                <w:highlight w:val="none"/>
              </w:rPr>
            </w:pPr>
            <w:r>
              <w:rPr>
                <w:color w:val="auto"/>
                <w:highlight w:val="none"/>
              </w:rPr>
              <w:t>8</w:t>
            </w:r>
          </w:p>
        </w:tc>
        <w:tc>
          <w:tcPr>
            <w:tcW w:w="806" w:type="pct"/>
            <w:vMerge w:val="restart"/>
            <w:tcBorders>
              <w:bottom w:val="nil"/>
            </w:tcBorders>
            <w:vAlign w:val="center"/>
          </w:tcPr>
          <w:p w14:paraId="0D471D4F">
            <w:pPr>
              <w:pStyle w:val="26"/>
              <w:bidi w:val="0"/>
              <w:jc w:val="center"/>
              <w:rPr>
                <w:color w:val="auto"/>
                <w:highlight w:val="none"/>
              </w:rPr>
            </w:pPr>
            <w:r>
              <w:rPr>
                <w:color w:val="auto"/>
                <w:highlight w:val="none"/>
              </w:rPr>
              <w:t>YEAT25090067E-</w:t>
            </w:r>
          </w:p>
          <w:p w14:paraId="7ED82236">
            <w:pPr>
              <w:pStyle w:val="26"/>
              <w:bidi w:val="0"/>
              <w:jc w:val="center"/>
              <w:rPr>
                <w:color w:val="auto"/>
                <w:highlight w:val="none"/>
              </w:rPr>
            </w:pPr>
            <w:r>
              <w:rPr>
                <w:color w:val="auto"/>
                <w:highlight w:val="none"/>
              </w:rPr>
              <w:t>9</w:t>
            </w:r>
          </w:p>
        </w:tc>
        <w:tc>
          <w:tcPr>
            <w:tcW w:w="850" w:type="pct"/>
            <w:vMerge w:val="restart"/>
            <w:tcBorders>
              <w:bottom w:val="nil"/>
            </w:tcBorders>
            <w:vAlign w:val="center"/>
          </w:tcPr>
          <w:p w14:paraId="632F0F13">
            <w:pPr>
              <w:pStyle w:val="26"/>
              <w:bidi w:val="0"/>
              <w:jc w:val="center"/>
              <w:rPr>
                <w:color w:val="auto"/>
                <w:highlight w:val="none"/>
              </w:rPr>
            </w:pPr>
            <w:r>
              <w:rPr>
                <w:color w:val="auto"/>
                <w:highlight w:val="none"/>
              </w:rPr>
              <w:t>YEAT25090067E- 1</w:t>
            </w:r>
          </w:p>
          <w:p w14:paraId="097E2ADE">
            <w:pPr>
              <w:pStyle w:val="26"/>
              <w:bidi w:val="0"/>
              <w:jc w:val="center"/>
              <w:rPr>
                <w:color w:val="auto"/>
                <w:highlight w:val="none"/>
              </w:rPr>
            </w:pPr>
            <w:r>
              <w:rPr>
                <w:color w:val="auto"/>
                <w:highlight w:val="none"/>
              </w:rPr>
              <w:t>0</w:t>
            </w:r>
          </w:p>
        </w:tc>
        <w:tc>
          <w:tcPr>
            <w:tcW w:w="853" w:type="pct"/>
            <w:vMerge w:val="restart"/>
            <w:tcBorders>
              <w:bottom w:val="nil"/>
            </w:tcBorders>
            <w:vAlign w:val="center"/>
          </w:tcPr>
          <w:p w14:paraId="4FB00C3B">
            <w:pPr>
              <w:pStyle w:val="26"/>
              <w:bidi w:val="0"/>
              <w:jc w:val="center"/>
              <w:rPr>
                <w:color w:val="auto"/>
                <w:highlight w:val="none"/>
              </w:rPr>
            </w:pPr>
            <w:r>
              <w:rPr>
                <w:color w:val="auto"/>
                <w:highlight w:val="none"/>
              </w:rPr>
              <w:t>YEAT25090067E- 1</w:t>
            </w:r>
          </w:p>
          <w:p w14:paraId="298B06C5">
            <w:pPr>
              <w:pStyle w:val="26"/>
              <w:bidi w:val="0"/>
              <w:jc w:val="center"/>
              <w:rPr>
                <w:color w:val="auto"/>
                <w:highlight w:val="none"/>
              </w:rPr>
            </w:pPr>
            <w:r>
              <w:rPr>
                <w:color w:val="auto"/>
                <w:highlight w:val="none"/>
              </w:rPr>
              <w:t>1</w:t>
            </w:r>
          </w:p>
        </w:tc>
      </w:tr>
      <w:tr w14:paraId="68727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976" w:type="pct"/>
            <w:vAlign w:val="center"/>
          </w:tcPr>
          <w:p w14:paraId="4E078C24">
            <w:pPr>
              <w:pStyle w:val="26"/>
              <w:bidi w:val="0"/>
              <w:jc w:val="center"/>
              <w:rPr>
                <w:color w:val="auto"/>
                <w:highlight w:val="none"/>
              </w:rPr>
            </w:pPr>
            <w:r>
              <w:rPr>
                <w:color w:val="auto"/>
                <w:highlight w:val="none"/>
              </w:rPr>
              <w:t>检测项目</w:t>
            </w:r>
          </w:p>
        </w:tc>
        <w:tc>
          <w:tcPr>
            <w:tcW w:w="353" w:type="pct"/>
            <w:vAlign w:val="center"/>
          </w:tcPr>
          <w:p w14:paraId="67145F94">
            <w:pPr>
              <w:pStyle w:val="26"/>
              <w:bidi w:val="0"/>
              <w:jc w:val="center"/>
              <w:rPr>
                <w:color w:val="auto"/>
                <w:highlight w:val="none"/>
              </w:rPr>
            </w:pPr>
            <w:r>
              <w:rPr>
                <w:color w:val="auto"/>
                <w:highlight w:val="none"/>
              </w:rPr>
              <w:t>单位</w:t>
            </w:r>
          </w:p>
        </w:tc>
        <w:tc>
          <w:tcPr>
            <w:tcW w:w="354" w:type="pct"/>
            <w:vAlign w:val="center"/>
          </w:tcPr>
          <w:p w14:paraId="1D4D5F6C">
            <w:pPr>
              <w:pStyle w:val="26"/>
              <w:bidi w:val="0"/>
              <w:jc w:val="center"/>
              <w:rPr>
                <w:color w:val="auto"/>
                <w:highlight w:val="none"/>
              </w:rPr>
            </w:pPr>
            <w:r>
              <w:rPr>
                <w:color w:val="auto"/>
                <w:highlight w:val="none"/>
              </w:rPr>
              <w:t>检出限</w:t>
            </w:r>
          </w:p>
        </w:tc>
        <w:tc>
          <w:tcPr>
            <w:tcW w:w="806" w:type="pct"/>
            <w:vMerge w:val="continue"/>
            <w:tcBorders>
              <w:top w:val="nil"/>
            </w:tcBorders>
            <w:vAlign w:val="center"/>
          </w:tcPr>
          <w:p w14:paraId="71B10885">
            <w:pPr>
              <w:pStyle w:val="26"/>
              <w:bidi w:val="0"/>
              <w:jc w:val="center"/>
              <w:rPr>
                <w:color w:val="auto"/>
                <w:highlight w:val="none"/>
              </w:rPr>
            </w:pPr>
          </w:p>
        </w:tc>
        <w:tc>
          <w:tcPr>
            <w:tcW w:w="806" w:type="pct"/>
            <w:vMerge w:val="continue"/>
            <w:tcBorders>
              <w:top w:val="nil"/>
            </w:tcBorders>
            <w:vAlign w:val="center"/>
          </w:tcPr>
          <w:p w14:paraId="01E07575">
            <w:pPr>
              <w:pStyle w:val="26"/>
              <w:bidi w:val="0"/>
              <w:jc w:val="center"/>
              <w:rPr>
                <w:color w:val="auto"/>
                <w:highlight w:val="none"/>
              </w:rPr>
            </w:pPr>
          </w:p>
        </w:tc>
        <w:tc>
          <w:tcPr>
            <w:tcW w:w="850" w:type="pct"/>
            <w:vMerge w:val="continue"/>
            <w:tcBorders>
              <w:top w:val="nil"/>
            </w:tcBorders>
            <w:vAlign w:val="center"/>
          </w:tcPr>
          <w:p w14:paraId="4091FB3D">
            <w:pPr>
              <w:pStyle w:val="26"/>
              <w:bidi w:val="0"/>
              <w:jc w:val="center"/>
              <w:rPr>
                <w:color w:val="auto"/>
                <w:highlight w:val="none"/>
              </w:rPr>
            </w:pPr>
          </w:p>
        </w:tc>
        <w:tc>
          <w:tcPr>
            <w:tcW w:w="853" w:type="pct"/>
            <w:vMerge w:val="continue"/>
            <w:tcBorders>
              <w:top w:val="nil"/>
            </w:tcBorders>
            <w:vAlign w:val="center"/>
          </w:tcPr>
          <w:p w14:paraId="0608F12F">
            <w:pPr>
              <w:pStyle w:val="26"/>
              <w:bidi w:val="0"/>
              <w:jc w:val="center"/>
              <w:rPr>
                <w:color w:val="auto"/>
                <w:highlight w:val="none"/>
              </w:rPr>
            </w:pPr>
          </w:p>
        </w:tc>
      </w:tr>
      <w:tr w14:paraId="6196E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976" w:type="pct"/>
            <w:vAlign w:val="center"/>
          </w:tcPr>
          <w:p w14:paraId="69B55CC3">
            <w:pPr>
              <w:pStyle w:val="26"/>
              <w:bidi w:val="0"/>
              <w:jc w:val="center"/>
              <w:rPr>
                <w:color w:val="auto"/>
                <w:highlight w:val="none"/>
              </w:rPr>
            </w:pPr>
            <w:r>
              <w:rPr>
                <w:color w:val="auto"/>
                <w:highlight w:val="none"/>
              </w:rPr>
              <w:t>浊度</w:t>
            </w:r>
          </w:p>
        </w:tc>
        <w:tc>
          <w:tcPr>
            <w:tcW w:w="353" w:type="pct"/>
            <w:vAlign w:val="center"/>
          </w:tcPr>
          <w:p w14:paraId="1138D9B2">
            <w:pPr>
              <w:pStyle w:val="26"/>
              <w:bidi w:val="0"/>
              <w:jc w:val="center"/>
              <w:rPr>
                <w:color w:val="auto"/>
                <w:highlight w:val="none"/>
              </w:rPr>
            </w:pPr>
            <w:r>
              <w:rPr>
                <w:color w:val="auto"/>
                <w:highlight w:val="none"/>
              </w:rPr>
              <w:t>NTU</w:t>
            </w:r>
          </w:p>
        </w:tc>
        <w:tc>
          <w:tcPr>
            <w:tcW w:w="354" w:type="pct"/>
            <w:vAlign w:val="center"/>
          </w:tcPr>
          <w:p w14:paraId="0447514D">
            <w:pPr>
              <w:pStyle w:val="26"/>
              <w:bidi w:val="0"/>
              <w:jc w:val="center"/>
              <w:rPr>
                <w:color w:val="auto"/>
                <w:highlight w:val="none"/>
              </w:rPr>
            </w:pPr>
            <w:r>
              <w:rPr>
                <w:color w:val="auto"/>
                <w:highlight w:val="none"/>
              </w:rPr>
              <w:t>0.3</w:t>
            </w:r>
          </w:p>
        </w:tc>
        <w:tc>
          <w:tcPr>
            <w:tcW w:w="806" w:type="pct"/>
            <w:vAlign w:val="center"/>
          </w:tcPr>
          <w:p w14:paraId="05FD2E8F">
            <w:pPr>
              <w:pStyle w:val="26"/>
              <w:bidi w:val="0"/>
              <w:jc w:val="center"/>
              <w:rPr>
                <w:color w:val="auto"/>
                <w:highlight w:val="none"/>
              </w:rPr>
            </w:pPr>
            <w:r>
              <w:rPr>
                <w:color w:val="auto"/>
                <w:highlight w:val="none"/>
              </w:rPr>
              <w:t>9.9</w:t>
            </w:r>
          </w:p>
        </w:tc>
        <w:tc>
          <w:tcPr>
            <w:tcW w:w="806" w:type="pct"/>
            <w:vAlign w:val="center"/>
          </w:tcPr>
          <w:p w14:paraId="448300C1">
            <w:pPr>
              <w:pStyle w:val="26"/>
              <w:bidi w:val="0"/>
              <w:jc w:val="center"/>
              <w:rPr>
                <w:color w:val="auto"/>
                <w:highlight w:val="none"/>
              </w:rPr>
            </w:pPr>
            <w:r>
              <w:rPr>
                <w:color w:val="auto"/>
                <w:highlight w:val="none"/>
              </w:rPr>
              <w:t>9.8</w:t>
            </w:r>
          </w:p>
        </w:tc>
        <w:tc>
          <w:tcPr>
            <w:tcW w:w="850" w:type="pct"/>
            <w:vAlign w:val="center"/>
          </w:tcPr>
          <w:p w14:paraId="755A3F88">
            <w:pPr>
              <w:pStyle w:val="26"/>
              <w:bidi w:val="0"/>
              <w:jc w:val="center"/>
              <w:rPr>
                <w:color w:val="auto"/>
                <w:highlight w:val="none"/>
              </w:rPr>
            </w:pPr>
            <w:r>
              <w:rPr>
                <w:color w:val="auto"/>
                <w:highlight w:val="none"/>
              </w:rPr>
              <w:t>24</w:t>
            </w:r>
          </w:p>
        </w:tc>
        <w:tc>
          <w:tcPr>
            <w:tcW w:w="853" w:type="pct"/>
            <w:vAlign w:val="center"/>
          </w:tcPr>
          <w:p w14:paraId="7E130C11">
            <w:pPr>
              <w:pStyle w:val="26"/>
              <w:bidi w:val="0"/>
              <w:jc w:val="center"/>
              <w:rPr>
                <w:color w:val="auto"/>
                <w:highlight w:val="none"/>
              </w:rPr>
            </w:pPr>
            <w:r>
              <w:rPr>
                <w:color w:val="auto"/>
                <w:highlight w:val="none"/>
              </w:rPr>
              <w:t>9.9</w:t>
            </w:r>
          </w:p>
        </w:tc>
      </w:tr>
      <w:tr w14:paraId="473B3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72743770">
            <w:pPr>
              <w:pStyle w:val="26"/>
              <w:bidi w:val="0"/>
              <w:jc w:val="center"/>
              <w:rPr>
                <w:color w:val="auto"/>
                <w:highlight w:val="none"/>
              </w:rPr>
            </w:pPr>
            <w:r>
              <w:rPr>
                <w:color w:val="auto"/>
                <w:highlight w:val="none"/>
              </w:rPr>
              <w:t>pH 值</w:t>
            </w:r>
          </w:p>
        </w:tc>
        <w:tc>
          <w:tcPr>
            <w:tcW w:w="353" w:type="pct"/>
            <w:vAlign w:val="center"/>
          </w:tcPr>
          <w:p w14:paraId="313E957C">
            <w:pPr>
              <w:pStyle w:val="26"/>
              <w:bidi w:val="0"/>
              <w:jc w:val="center"/>
              <w:rPr>
                <w:color w:val="auto"/>
                <w:highlight w:val="none"/>
              </w:rPr>
            </w:pPr>
            <w:r>
              <w:rPr>
                <w:color w:val="auto"/>
                <w:highlight w:val="none"/>
              </w:rPr>
              <w:t>无量纲</w:t>
            </w:r>
          </w:p>
        </w:tc>
        <w:tc>
          <w:tcPr>
            <w:tcW w:w="354" w:type="pct"/>
            <w:vAlign w:val="center"/>
          </w:tcPr>
          <w:p w14:paraId="1D49CE75">
            <w:pPr>
              <w:pStyle w:val="26"/>
              <w:bidi w:val="0"/>
              <w:jc w:val="center"/>
              <w:rPr>
                <w:color w:val="auto"/>
                <w:highlight w:val="none"/>
              </w:rPr>
            </w:pPr>
            <w:r>
              <w:rPr>
                <w:color w:val="auto"/>
                <w:highlight w:val="none"/>
              </w:rPr>
              <w:t>/</w:t>
            </w:r>
          </w:p>
        </w:tc>
        <w:tc>
          <w:tcPr>
            <w:tcW w:w="806" w:type="pct"/>
            <w:vAlign w:val="center"/>
          </w:tcPr>
          <w:p w14:paraId="5899469A">
            <w:pPr>
              <w:pStyle w:val="26"/>
              <w:bidi w:val="0"/>
              <w:jc w:val="center"/>
              <w:rPr>
                <w:color w:val="auto"/>
                <w:highlight w:val="none"/>
              </w:rPr>
            </w:pPr>
            <w:r>
              <w:rPr>
                <w:color w:val="auto"/>
                <w:highlight w:val="none"/>
              </w:rPr>
              <w:t>7.4</w:t>
            </w:r>
          </w:p>
        </w:tc>
        <w:tc>
          <w:tcPr>
            <w:tcW w:w="806" w:type="pct"/>
            <w:vAlign w:val="center"/>
          </w:tcPr>
          <w:p w14:paraId="614C598C">
            <w:pPr>
              <w:pStyle w:val="26"/>
              <w:bidi w:val="0"/>
              <w:jc w:val="center"/>
              <w:rPr>
                <w:color w:val="auto"/>
                <w:highlight w:val="none"/>
              </w:rPr>
            </w:pPr>
            <w:r>
              <w:rPr>
                <w:color w:val="auto"/>
                <w:highlight w:val="none"/>
              </w:rPr>
              <w:t>7.5</w:t>
            </w:r>
          </w:p>
        </w:tc>
        <w:tc>
          <w:tcPr>
            <w:tcW w:w="850" w:type="pct"/>
            <w:vAlign w:val="center"/>
          </w:tcPr>
          <w:p w14:paraId="5917C586">
            <w:pPr>
              <w:pStyle w:val="26"/>
              <w:bidi w:val="0"/>
              <w:jc w:val="center"/>
              <w:rPr>
                <w:color w:val="auto"/>
                <w:highlight w:val="none"/>
              </w:rPr>
            </w:pPr>
            <w:r>
              <w:rPr>
                <w:color w:val="auto"/>
                <w:highlight w:val="none"/>
              </w:rPr>
              <w:t>7.7</w:t>
            </w:r>
          </w:p>
        </w:tc>
        <w:tc>
          <w:tcPr>
            <w:tcW w:w="853" w:type="pct"/>
            <w:vAlign w:val="center"/>
          </w:tcPr>
          <w:p w14:paraId="2B94029F">
            <w:pPr>
              <w:pStyle w:val="26"/>
              <w:bidi w:val="0"/>
              <w:jc w:val="center"/>
              <w:rPr>
                <w:color w:val="auto"/>
                <w:highlight w:val="none"/>
              </w:rPr>
            </w:pPr>
            <w:r>
              <w:rPr>
                <w:color w:val="auto"/>
                <w:highlight w:val="none"/>
              </w:rPr>
              <w:t>7.6</w:t>
            </w:r>
          </w:p>
        </w:tc>
      </w:tr>
      <w:tr w14:paraId="0E19F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1362AE7B">
            <w:pPr>
              <w:pStyle w:val="26"/>
              <w:bidi w:val="0"/>
              <w:jc w:val="center"/>
              <w:rPr>
                <w:color w:val="auto"/>
                <w:highlight w:val="none"/>
              </w:rPr>
            </w:pPr>
            <w:r>
              <w:rPr>
                <w:color w:val="auto"/>
                <w:highlight w:val="none"/>
              </w:rPr>
              <w:t>臭和味</w:t>
            </w:r>
          </w:p>
        </w:tc>
        <w:tc>
          <w:tcPr>
            <w:tcW w:w="353" w:type="pct"/>
            <w:vAlign w:val="center"/>
          </w:tcPr>
          <w:p w14:paraId="5D1AE34D">
            <w:pPr>
              <w:pStyle w:val="26"/>
              <w:bidi w:val="0"/>
              <w:jc w:val="center"/>
              <w:rPr>
                <w:color w:val="auto"/>
                <w:highlight w:val="none"/>
              </w:rPr>
            </w:pPr>
            <w:r>
              <w:rPr>
                <w:color w:val="auto"/>
                <w:highlight w:val="none"/>
              </w:rPr>
              <w:t>/</w:t>
            </w:r>
          </w:p>
        </w:tc>
        <w:tc>
          <w:tcPr>
            <w:tcW w:w="354" w:type="pct"/>
            <w:vAlign w:val="center"/>
          </w:tcPr>
          <w:p w14:paraId="49DC0EA7">
            <w:pPr>
              <w:pStyle w:val="26"/>
              <w:bidi w:val="0"/>
              <w:jc w:val="center"/>
              <w:rPr>
                <w:color w:val="auto"/>
                <w:highlight w:val="none"/>
              </w:rPr>
            </w:pPr>
            <w:r>
              <w:rPr>
                <w:color w:val="auto"/>
                <w:highlight w:val="none"/>
              </w:rPr>
              <w:t>/</w:t>
            </w:r>
          </w:p>
        </w:tc>
        <w:tc>
          <w:tcPr>
            <w:tcW w:w="806" w:type="pct"/>
            <w:vAlign w:val="center"/>
          </w:tcPr>
          <w:p w14:paraId="1972AB5B">
            <w:pPr>
              <w:pStyle w:val="26"/>
              <w:bidi w:val="0"/>
              <w:jc w:val="center"/>
              <w:rPr>
                <w:color w:val="auto"/>
                <w:highlight w:val="none"/>
              </w:rPr>
            </w:pPr>
            <w:r>
              <w:rPr>
                <w:color w:val="auto"/>
                <w:highlight w:val="none"/>
              </w:rPr>
              <w:t>无</w:t>
            </w:r>
          </w:p>
        </w:tc>
        <w:tc>
          <w:tcPr>
            <w:tcW w:w="806" w:type="pct"/>
            <w:vAlign w:val="center"/>
          </w:tcPr>
          <w:p w14:paraId="64F50B54">
            <w:pPr>
              <w:pStyle w:val="26"/>
              <w:bidi w:val="0"/>
              <w:jc w:val="center"/>
              <w:rPr>
                <w:color w:val="auto"/>
                <w:highlight w:val="none"/>
              </w:rPr>
            </w:pPr>
            <w:r>
              <w:rPr>
                <w:color w:val="auto"/>
                <w:highlight w:val="none"/>
              </w:rPr>
              <w:t>无</w:t>
            </w:r>
          </w:p>
        </w:tc>
        <w:tc>
          <w:tcPr>
            <w:tcW w:w="850" w:type="pct"/>
            <w:vAlign w:val="center"/>
          </w:tcPr>
          <w:p w14:paraId="158F5D68">
            <w:pPr>
              <w:pStyle w:val="26"/>
              <w:bidi w:val="0"/>
              <w:jc w:val="center"/>
              <w:rPr>
                <w:color w:val="auto"/>
                <w:highlight w:val="none"/>
              </w:rPr>
            </w:pPr>
            <w:r>
              <w:rPr>
                <w:color w:val="auto"/>
                <w:highlight w:val="none"/>
              </w:rPr>
              <w:t>无</w:t>
            </w:r>
          </w:p>
        </w:tc>
        <w:tc>
          <w:tcPr>
            <w:tcW w:w="853" w:type="pct"/>
            <w:vAlign w:val="center"/>
          </w:tcPr>
          <w:p w14:paraId="5BAC63A7">
            <w:pPr>
              <w:pStyle w:val="26"/>
              <w:bidi w:val="0"/>
              <w:jc w:val="center"/>
              <w:rPr>
                <w:color w:val="auto"/>
                <w:highlight w:val="none"/>
              </w:rPr>
            </w:pPr>
            <w:r>
              <w:rPr>
                <w:color w:val="auto"/>
                <w:highlight w:val="none"/>
              </w:rPr>
              <w:t>无</w:t>
            </w:r>
          </w:p>
        </w:tc>
      </w:tr>
      <w:tr w14:paraId="3E59F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1AF027F8">
            <w:pPr>
              <w:pStyle w:val="26"/>
              <w:bidi w:val="0"/>
              <w:jc w:val="center"/>
              <w:rPr>
                <w:color w:val="auto"/>
                <w:highlight w:val="none"/>
              </w:rPr>
            </w:pPr>
            <w:r>
              <w:rPr>
                <w:color w:val="auto"/>
                <w:highlight w:val="none"/>
              </w:rPr>
              <w:t>肉眼可见物</w:t>
            </w:r>
          </w:p>
        </w:tc>
        <w:tc>
          <w:tcPr>
            <w:tcW w:w="353" w:type="pct"/>
            <w:vAlign w:val="center"/>
          </w:tcPr>
          <w:p w14:paraId="79E02A6C">
            <w:pPr>
              <w:pStyle w:val="26"/>
              <w:bidi w:val="0"/>
              <w:jc w:val="center"/>
              <w:rPr>
                <w:color w:val="auto"/>
                <w:highlight w:val="none"/>
              </w:rPr>
            </w:pPr>
            <w:r>
              <w:rPr>
                <w:color w:val="auto"/>
                <w:highlight w:val="none"/>
              </w:rPr>
              <w:t>/</w:t>
            </w:r>
          </w:p>
        </w:tc>
        <w:tc>
          <w:tcPr>
            <w:tcW w:w="354" w:type="pct"/>
            <w:vAlign w:val="center"/>
          </w:tcPr>
          <w:p w14:paraId="359920CD">
            <w:pPr>
              <w:pStyle w:val="26"/>
              <w:bidi w:val="0"/>
              <w:jc w:val="center"/>
              <w:rPr>
                <w:color w:val="auto"/>
                <w:highlight w:val="none"/>
              </w:rPr>
            </w:pPr>
            <w:r>
              <w:rPr>
                <w:color w:val="auto"/>
                <w:highlight w:val="none"/>
              </w:rPr>
              <w:t>/</w:t>
            </w:r>
          </w:p>
        </w:tc>
        <w:tc>
          <w:tcPr>
            <w:tcW w:w="806" w:type="pct"/>
            <w:vAlign w:val="center"/>
          </w:tcPr>
          <w:p w14:paraId="314EB709">
            <w:pPr>
              <w:pStyle w:val="26"/>
              <w:bidi w:val="0"/>
              <w:jc w:val="center"/>
              <w:rPr>
                <w:color w:val="auto"/>
                <w:highlight w:val="none"/>
              </w:rPr>
            </w:pPr>
            <w:r>
              <w:rPr>
                <w:color w:val="auto"/>
                <w:highlight w:val="none"/>
              </w:rPr>
              <w:t>摇匀可见悬浮物</w:t>
            </w:r>
          </w:p>
        </w:tc>
        <w:tc>
          <w:tcPr>
            <w:tcW w:w="806" w:type="pct"/>
            <w:vAlign w:val="center"/>
          </w:tcPr>
          <w:p w14:paraId="550F046C">
            <w:pPr>
              <w:pStyle w:val="26"/>
              <w:bidi w:val="0"/>
              <w:jc w:val="center"/>
              <w:rPr>
                <w:color w:val="auto"/>
                <w:highlight w:val="none"/>
              </w:rPr>
            </w:pPr>
            <w:r>
              <w:rPr>
                <w:color w:val="auto"/>
                <w:highlight w:val="none"/>
              </w:rPr>
              <w:t>摇匀可见悬浮物</w:t>
            </w:r>
          </w:p>
        </w:tc>
        <w:tc>
          <w:tcPr>
            <w:tcW w:w="850" w:type="pct"/>
            <w:vAlign w:val="center"/>
          </w:tcPr>
          <w:p w14:paraId="10442001">
            <w:pPr>
              <w:pStyle w:val="26"/>
              <w:bidi w:val="0"/>
              <w:jc w:val="center"/>
              <w:rPr>
                <w:color w:val="auto"/>
                <w:highlight w:val="none"/>
              </w:rPr>
            </w:pPr>
            <w:r>
              <w:rPr>
                <w:color w:val="auto"/>
                <w:highlight w:val="none"/>
              </w:rPr>
              <w:t>摇匀可见悬浮物</w:t>
            </w:r>
          </w:p>
        </w:tc>
        <w:tc>
          <w:tcPr>
            <w:tcW w:w="853" w:type="pct"/>
            <w:vAlign w:val="center"/>
          </w:tcPr>
          <w:p w14:paraId="3323F42C">
            <w:pPr>
              <w:pStyle w:val="26"/>
              <w:bidi w:val="0"/>
              <w:jc w:val="center"/>
              <w:rPr>
                <w:color w:val="auto"/>
                <w:highlight w:val="none"/>
              </w:rPr>
            </w:pPr>
            <w:r>
              <w:rPr>
                <w:color w:val="auto"/>
                <w:highlight w:val="none"/>
              </w:rPr>
              <w:t>摇匀可见悬浮物</w:t>
            </w:r>
          </w:p>
        </w:tc>
      </w:tr>
      <w:tr w14:paraId="4243C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230539FA">
            <w:pPr>
              <w:pStyle w:val="26"/>
              <w:bidi w:val="0"/>
              <w:jc w:val="center"/>
              <w:rPr>
                <w:color w:val="auto"/>
                <w:highlight w:val="none"/>
              </w:rPr>
            </w:pPr>
            <w:r>
              <w:rPr>
                <w:color w:val="auto"/>
                <w:highlight w:val="none"/>
              </w:rPr>
              <w:t>色度</w:t>
            </w:r>
          </w:p>
        </w:tc>
        <w:tc>
          <w:tcPr>
            <w:tcW w:w="353" w:type="pct"/>
            <w:vAlign w:val="center"/>
          </w:tcPr>
          <w:p w14:paraId="28B7BC94">
            <w:pPr>
              <w:pStyle w:val="26"/>
              <w:bidi w:val="0"/>
              <w:jc w:val="center"/>
              <w:rPr>
                <w:color w:val="auto"/>
                <w:highlight w:val="none"/>
              </w:rPr>
            </w:pPr>
            <w:r>
              <w:rPr>
                <w:color w:val="auto"/>
                <w:highlight w:val="none"/>
              </w:rPr>
              <w:t>度</w:t>
            </w:r>
          </w:p>
        </w:tc>
        <w:tc>
          <w:tcPr>
            <w:tcW w:w="354" w:type="pct"/>
            <w:vAlign w:val="center"/>
          </w:tcPr>
          <w:p w14:paraId="20B4B85D">
            <w:pPr>
              <w:pStyle w:val="26"/>
              <w:bidi w:val="0"/>
              <w:jc w:val="center"/>
              <w:rPr>
                <w:color w:val="auto"/>
                <w:highlight w:val="none"/>
              </w:rPr>
            </w:pPr>
            <w:r>
              <w:rPr>
                <w:color w:val="auto"/>
                <w:highlight w:val="none"/>
              </w:rPr>
              <w:t>5</w:t>
            </w:r>
          </w:p>
        </w:tc>
        <w:tc>
          <w:tcPr>
            <w:tcW w:w="806" w:type="pct"/>
            <w:vAlign w:val="center"/>
          </w:tcPr>
          <w:p w14:paraId="5810ECB7">
            <w:pPr>
              <w:pStyle w:val="26"/>
              <w:bidi w:val="0"/>
              <w:jc w:val="center"/>
              <w:rPr>
                <w:color w:val="auto"/>
                <w:highlight w:val="none"/>
              </w:rPr>
            </w:pPr>
            <w:r>
              <w:rPr>
                <w:color w:val="auto"/>
                <w:highlight w:val="none"/>
              </w:rPr>
              <w:t>10</w:t>
            </w:r>
          </w:p>
        </w:tc>
        <w:tc>
          <w:tcPr>
            <w:tcW w:w="806" w:type="pct"/>
            <w:vAlign w:val="center"/>
          </w:tcPr>
          <w:p w14:paraId="68AD9B2D">
            <w:pPr>
              <w:pStyle w:val="26"/>
              <w:bidi w:val="0"/>
              <w:jc w:val="center"/>
              <w:rPr>
                <w:color w:val="auto"/>
                <w:highlight w:val="none"/>
              </w:rPr>
            </w:pPr>
            <w:r>
              <w:rPr>
                <w:color w:val="auto"/>
                <w:highlight w:val="none"/>
              </w:rPr>
              <w:t>15</w:t>
            </w:r>
          </w:p>
        </w:tc>
        <w:tc>
          <w:tcPr>
            <w:tcW w:w="850" w:type="pct"/>
            <w:vAlign w:val="center"/>
          </w:tcPr>
          <w:p w14:paraId="537D9D3D">
            <w:pPr>
              <w:pStyle w:val="26"/>
              <w:bidi w:val="0"/>
              <w:jc w:val="center"/>
              <w:rPr>
                <w:color w:val="auto"/>
                <w:highlight w:val="none"/>
              </w:rPr>
            </w:pPr>
            <w:r>
              <w:rPr>
                <w:color w:val="auto"/>
                <w:highlight w:val="none"/>
              </w:rPr>
              <w:t>5L</w:t>
            </w:r>
          </w:p>
        </w:tc>
        <w:tc>
          <w:tcPr>
            <w:tcW w:w="853" w:type="pct"/>
            <w:vAlign w:val="center"/>
          </w:tcPr>
          <w:p w14:paraId="2616DFA3">
            <w:pPr>
              <w:pStyle w:val="26"/>
              <w:bidi w:val="0"/>
              <w:jc w:val="center"/>
              <w:rPr>
                <w:color w:val="auto"/>
                <w:highlight w:val="none"/>
              </w:rPr>
            </w:pPr>
            <w:r>
              <w:rPr>
                <w:color w:val="auto"/>
                <w:highlight w:val="none"/>
              </w:rPr>
              <w:t>5L</w:t>
            </w:r>
          </w:p>
        </w:tc>
      </w:tr>
      <w:tr w14:paraId="1E25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07A55538">
            <w:pPr>
              <w:pStyle w:val="26"/>
              <w:bidi w:val="0"/>
              <w:jc w:val="center"/>
              <w:rPr>
                <w:color w:val="auto"/>
                <w:highlight w:val="none"/>
              </w:rPr>
            </w:pPr>
            <w:r>
              <w:rPr>
                <w:color w:val="auto"/>
                <w:highlight w:val="none"/>
              </w:rPr>
              <w:t>溶解性固体总量</w:t>
            </w:r>
          </w:p>
        </w:tc>
        <w:tc>
          <w:tcPr>
            <w:tcW w:w="353" w:type="pct"/>
            <w:vAlign w:val="center"/>
          </w:tcPr>
          <w:p w14:paraId="07B21645">
            <w:pPr>
              <w:pStyle w:val="26"/>
              <w:bidi w:val="0"/>
              <w:jc w:val="center"/>
              <w:rPr>
                <w:color w:val="auto"/>
                <w:highlight w:val="none"/>
              </w:rPr>
            </w:pPr>
            <w:r>
              <w:rPr>
                <w:color w:val="auto"/>
                <w:highlight w:val="none"/>
              </w:rPr>
              <w:t>mg/L</w:t>
            </w:r>
          </w:p>
        </w:tc>
        <w:tc>
          <w:tcPr>
            <w:tcW w:w="354" w:type="pct"/>
            <w:vAlign w:val="center"/>
          </w:tcPr>
          <w:p w14:paraId="778FB9E8">
            <w:pPr>
              <w:pStyle w:val="26"/>
              <w:bidi w:val="0"/>
              <w:jc w:val="center"/>
              <w:rPr>
                <w:color w:val="auto"/>
                <w:highlight w:val="none"/>
              </w:rPr>
            </w:pPr>
            <w:r>
              <w:rPr>
                <w:color w:val="auto"/>
                <w:highlight w:val="none"/>
              </w:rPr>
              <w:t>/</w:t>
            </w:r>
          </w:p>
        </w:tc>
        <w:tc>
          <w:tcPr>
            <w:tcW w:w="806" w:type="pct"/>
            <w:vAlign w:val="center"/>
          </w:tcPr>
          <w:p w14:paraId="16005D15">
            <w:pPr>
              <w:pStyle w:val="26"/>
              <w:bidi w:val="0"/>
              <w:jc w:val="center"/>
              <w:rPr>
                <w:color w:val="auto"/>
                <w:highlight w:val="none"/>
              </w:rPr>
            </w:pPr>
            <w:r>
              <w:rPr>
                <w:color w:val="auto"/>
                <w:highlight w:val="none"/>
              </w:rPr>
              <w:t>545</w:t>
            </w:r>
          </w:p>
        </w:tc>
        <w:tc>
          <w:tcPr>
            <w:tcW w:w="806" w:type="pct"/>
            <w:vAlign w:val="center"/>
          </w:tcPr>
          <w:p w14:paraId="04B2E0B6">
            <w:pPr>
              <w:pStyle w:val="26"/>
              <w:bidi w:val="0"/>
              <w:jc w:val="center"/>
              <w:rPr>
                <w:color w:val="auto"/>
                <w:highlight w:val="none"/>
              </w:rPr>
            </w:pPr>
            <w:r>
              <w:rPr>
                <w:color w:val="auto"/>
                <w:highlight w:val="none"/>
              </w:rPr>
              <w:t>1000</w:t>
            </w:r>
          </w:p>
        </w:tc>
        <w:tc>
          <w:tcPr>
            <w:tcW w:w="850" w:type="pct"/>
            <w:vAlign w:val="center"/>
          </w:tcPr>
          <w:p w14:paraId="52A4C98C">
            <w:pPr>
              <w:pStyle w:val="26"/>
              <w:bidi w:val="0"/>
              <w:jc w:val="center"/>
              <w:rPr>
                <w:color w:val="auto"/>
                <w:highlight w:val="none"/>
              </w:rPr>
            </w:pPr>
            <w:r>
              <w:rPr>
                <w:color w:val="auto"/>
                <w:highlight w:val="none"/>
              </w:rPr>
              <w:t>429</w:t>
            </w:r>
          </w:p>
        </w:tc>
        <w:tc>
          <w:tcPr>
            <w:tcW w:w="853" w:type="pct"/>
            <w:vAlign w:val="center"/>
          </w:tcPr>
          <w:p w14:paraId="41C08ECF">
            <w:pPr>
              <w:pStyle w:val="26"/>
              <w:bidi w:val="0"/>
              <w:jc w:val="center"/>
              <w:rPr>
                <w:color w:val="auto"/>
                <w:highlight w:val="none"/>
              </w:rPr>
            </w:pPr>
            <w:r>
              <w:rPr>
                <w:color w:val="auto"/>
                <w:highlight w:val="none"/>
              </w:rPr>
              <w:t>612</w:t>
            </w:r>
          </w:p>
        </w:tc>
      </w:tr>
      <w:tr w14:paraId="7413B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2A80F4C7">
            <w:pPr>
              <w:pStyle w:val="26"/>
              <w:bidi w:val="0"/>
              <w:jc w:val="center"/>
              <w:rPr>
                <w:color w:val="auto"/>
                <w:highlight w:val="none"/>
              </w:rPr>
            </w:pPr>
            <w:r>
              <w:rPr>
                <w:color w:val="auto"/>
                <w:highlight w:val="none"/>
              </w:rPr>
              <w:t>总硬度</w:t>
            </w:r>
          </w:p>
        </w:tc>
        <w:tc>
          <w:tcPr>
            <w:tcW w:w="353" w:type="pct"/>
            <w:vAlign w:val="center"/>
          </w:tcPr>
          <w:p w14:paraId="4324BEA2">
            <w:pPr>
              <w:pStyle w:val="26"/>
              <w:bidi w:val="0"/>
              <w:jc w:val="center"/>
              <w:rPr>
                <w:color w:val="auto"/>
                <w:highlight w:val="none"/>
              </w:rPr>
            </w:pPr>
            <w:r>
              <w:rPr>
                <w:color w:val="auto"/>
                <w:highlight w:val="none"/>
              </w:rPr>
              <w:t>mg/L</w:t>
            </w:r>
          </w:p>
        </w:tc>
        <w:tc>
          <w:tcPr>
            <w:tcW w:w="354" w:type="pct"/>
            <w:vAlign w:val="center"/>
          </w:tcPr>
          <w:p w14:paraId="58FD17E2">
            <w:pPr>
              <w:pStyle w:val="26"/>
              <w:bidi w:val="0"/>
              <w:jc w:val="center"/>
              <w:rPr>
                <w:color w:val="auto"/>
                <w:highlight w:val="none"/>
              </w:rPr>
            </w:pPr>
            <w:r>
              <w:rPr>
                <w:color w:val="auto"/>
                <w:highlight w:val="none"/>
              </w:rPr>
              <w:t>5.0</w:t>
            </w:r>
          </w:p>
        </w:tc>
        <w:tc>
          <w:tcPr>
            <w:tcW w:w="806" w:type="pct"/>
            <w:vAlign w:val="center"/>
          </w:tcPr>
          <w:p w14:paraId="27A5B36B">
            <w:pPr>
              <w:pStyle w:val="26"/>
              <w:bidi w:val="0"/>
              <w:jc w:val="center"/>
              <w:rPr>
                <w:color w:val="auto"/>
                <w:highlight w:val="none"/>
              </w:rPr>
            </w:pPr>
            <w:r>
              <w:rPr>
                <w:color w:val="auto"/>
                <w:highlight w:val="none"/>
              </w:rPr>
              <w:t>422</w:t>
            </w:r>
          </w:p>
        </w:tc>
        <w:tc>
          <w:tcPr>
            <w:tcW w:w="806" w:type="pct"/>
            <w:vAlign w:val="center"/>
          </w:tcPr>
          <w:p w14:paraId="0A9F0DC0">
            <w:pPr>
              <w:pStyle w:val="26"/>
              <w:bidi w:val="0"/>
              <w:jc w:val="center"/>
              <w:rPr>
                <w:color w:val="auto"/>
                <w:highlight w:val="none"/>
              </w:rPr>
            </w:pPr>
            <w:r>
              <w:rPr>
                <w:color w:val="auto"/>
                <w:highlight w:val="none"/>
              </w:rPr>
              <w:t>463</w:t>
            </w:r>
          </w:p>
        </w:tc>
        <w:tc>
          <w:tcPr>
            <w:tcW w:w="850" w:type="pct"/>
            <w:vAlign w:val="center"/>
          </w:tcPr>
          <w:p w14:paraId="2C15DE2E">
            <w:pPr>
              <w:pStyle w:val="26"/>
              <w:bidi w:val="0"/>
              <w:jc w:val="center"/>
              <w:rPr>
                <w:color w:val="auto"/>
                <w:highlight w:val="none"/>
              </w:rPr>
            </w:pPr>
            <w:r>
              <w:rPr>
                <w:color w:val="auto"/>
                <w:highlight w:val="none"/>
              </w:rPr>
              <w:t>245</w:t>
            </w:r>
          </w:p>
        </w:tc>
        <w:tc>
          <w:tcPr>
            <w:tcW w:w="853" w:type="pct"/>
            <w:vAlign w:val="center"/>
          </w:tcPr>
          <w:p w14:paraId="377D0A15">
            <w:pPr>
              <w:pStyle w:val="26"/>
              <w:bidi w:val="0"/>
              <w:jc w:val="center"/>
              <w:rPr>
                <w:color w:val="auto"/>
                <w:highlight w:val="none"/>
              </w:rPr>
            </w:pPr>
            <w:r>
              <w:rPr>
                <w:color w:val="auto"/>
                <w:highlight w:val="none"/>
              </w:rPr>
              <w:t>385</w:t>
            </w:r>
          </w:p>
        </w:tc>
      </w:tr>
      <w:tr w14:paraId="25788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0476D717">
            <w:pPr>
              <w:pStyle w:val="26"/>
              <w:bidi w:val="0"/>
              <w:jc w:val="center"/>
              <w:rPr>
                <w:color w:val="auto"/>
                <w:highlight w:val="none"/>
              </w:rPr>
            </w:pPr>
            <w:r>
              <w:rPr>
                <w:color w:val="auto"/>
                <w:highlight w:val="none"/>
              </w:rPr>
              <w:t>耗氧量</w:t>
            </w:r>
          </w:p>
        </w:tc>
        <w:tc>
          <w:tcPr>
            <w:tcW w:w="353" w:type="pct"/>
            <w:vAlign w:val="center"/>
          </w:tcPr>
          <w:p w14:paraId="6642497B">
            <w:pPr>
              <w:pStyle w:val="26"/>
              <w:bidi w:val="0"/>
              <w:jc w:val="center"/>
              <w:rPr>
                <w:color w:val="auto"/>
                <w:highlight w:val="none"/>
              </w:rPr>
            </w:pPr>
            <w:r>
              <w:rPr>
                <w:color w:val="auto"/>
                <w:highlight w:val="none"/>
              </w:rPr>
              <w:t>mg/L</w:t>
            </w:r>
          </w:p>
        </w:tc>
        <w:tc>
          <w:tcPr>
            <w:tcW w:w="354" w:type="pct"/>
            <w:vAlign w:val="center"/>
          </w:tcPr>
          <w:p w14:paraId="410220C4">
            <w:pPr>
              <w:pStyle w:val="26"/>
              <w:bidi w:val="0"/>
              <w:jc w:val="center"/>
              <w:rPr>
                <w:color w:val="auto"/>
                <w:highlight w:val="none"/>
              </w:rPr>
            </w:pPr>
            <w:r>
              <w:rPr>
                <w:color w:val="auto"/>
                <w:highlight w:val="none"/>
              </w:rPr>
              <w:t>0.4</w:t>
            </w:r>
          </w:p>
        </w:tc>
        <w:tc>
          <w:tcPr>
            <w:tcW w:w="806" w:type="pct"/>
            <w:vAlign w:val="center"/>
          </w:tcPr>
          <w:p w14:paraId="03269AD3">
            <w:pPr>
              <w:pStyle w:val="26"/>
              <w:bidi w:val="0"/>
              <w:jc w:val="center"/>
              <w:rPr>
                <w:color w:val="auto"/>
                <w:highlight w:val="none"/>
              </w:rPr>
            </w:pPr>
            <w:r>
              <w:rPr>
                <w:color w:val="auto"/>
                <w:highlight w:val="none"/>
              </w:rPr>
              <w:t>1.8</w:t>
            </w:r>
          </w:p>
        </w:tc>
        <w:tc>
          <w:tcPr>
            <w:tcW w:w="806" w:type="pct"/>
            <w:vAlign w:val="center"/>
          </w:tcPr>
          <w:p w14:paraId="23B00118">
            <w:pPr>
              <w:pStyle w:val="26"/>
              <w:bidi w:val="0"/>
              <w:jc w:val="center"/>
              <w:rPr>
                <w:color w:val="auto"/>
                <w:highlight w:val="none"/>
              </w:rPr>
            </w:pPr>
            <w:r>
              <w:rPr>
                <w:color w:val="auto"/>
                <w:highlight w:val="none"/>
              </w:rPr>
              <w:t>3.3</w:t>
            </w:r>
          </w:p>
        </w:tc>
        <w:tc>
          <w:tcPr>
            <w:tcW w:w="850" w:type="pct"/>
            <w:vAlign w:val="center"/>
          </w:tcPr>
          <w:p w14:paraId="5DFA92EC">
            <w:pPr>
              <w:pStyle w:val="26"/>
              <w:bidi w:val="0"/>
              <w:jc w:val="center"/>
              <w:rPr>
                <w:color w:val="auto"/>
                <w:highlight w:val="none"/>
              </w:rPr>
            </w:pPr>
            <w:r>
              <w:rPr>
                <w:color w:val="auto"/>
                <w:highlight w:val="none"/>
              </w:rPr>
              <w:t>2.4</w:t>
            </w:r>
          </w:p>
        </w:tc>
        <w:tc>
          <w:tcPr>
            <w:tcW w:w="853" w:type="pct"/>
            <w:vAlign w:val="center"/>
          </w:tcPr>
          <w:p w14:paraId="1F9A5956">
            <w:pPr>
              <w:pStyle w:val="26"/>
              <w:bidi w:val="0"/>
              <w:jc w:val="center"/>
              <w:rPr>
                <w:color w:val="auto"/>
                <w:highlight w:val="none"/>
              </w:rPr>
            </w:pPr>
            <w:r>
              <w:rPr>
                <w:color w:val="auto"/>
                <w:highlight w:val="none"/>
              </w:rPr>
              <w:t>1.6</w:t>
            </w:r>
          </w:p>
        </w:tc>
      </w:tr>
      <w:tr w14:paraId="52B60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46FB2379">
            <w:pPr>
              <w:pStyle w:val="26"/>
              <w:bidi w:val="0"/>
              <w:jc w:val="center"/>
              <w:rPr>
                <w:color w:val="auto"/>
                <w:highlight w:val="none"/>
              </w:rPr>
            </w:pPr>
            <w:r>
              <w:rPr>
                <w:color w:val="auto"/>
                <w:highlight w:val="none"/>
              </w:rPr>
              <w:t>氨氮</w:t>
            </w:r>
          </w:p>
        </w:tc>
        <w:tc>
          <w:tcPr>
            <w:tcW w:w="353" w:type="pct"/>
            <w:vAlign w:val="center"/>
          </w:tcPr>
          <w:p w14:paraId="4B674752">
            <w:pPr>
              <w:pStyle w:val="26"/>
              <w:bidi w:val="0"/>
              <w:jc w:val="center"/>
              <w:rPr>
                <w:color w:val="auto"/>
                <w:highlight w:val="none"/>
              </w:rPr>
            </w:pPr>
            <w:r>
              <w:rPr>
                <w:color w:val="auto"/>
                <w:highlight w:val="none"/>
              </w:rPr>
              <w:t>mg/L</w:t>
            </w:r>
          </w:p>
        </w:tc>
        <w:tc>
          <w:tcPr>
            <w:tcW w:w="354" w:type="pct"/>
            <w:vAlign w:val="center"/>
          </w:tcPr>
          <w:p w14:paraId="5A08264F">
            <w:pPr>
              <w:pStyle w:val="26"/>
              <w:bidi w:val="0"/>
              <w:jc w:val="center"/>
              <w:rPr>
                <w:color w:val="auto"/>
                <w:highlight w:val="none"/>
              </w:rPr>
            </w:pPr>
            <w:r>
              <w:rPr>
                <w:color w:val="auto"/>
                <w:highlight w:val="none"/>
              </w:rPr>
              <w:t>0.025</w:t>
            </w:r>
          </w:p>
        </w:tc>
        <w:tc>
          <w:tcPr>
            <w:tcW w:w="806" w:type="pct"/>
            <w:vAlign w:val="center"/>
          </w:tcPr>
          <w:p w14:paraId="3DC03972">
            <w:pPr>
              <w:pStyle w:val="26"/>
              <w:bidi w:val="0"/>
              <w:jc w:val="center"/>
              <w:rPr>
                <w:color w:val="auto"/>
                <w:highlight w:val="none"/>
              </w:rPr>
            </w:pPr>
            <w:r>
              <w:rPr>
                <w:color w:val="auto"/>
                <w:highlight w:val="none"/>
              </w:rPr>
              <w:t>0.423</w:t>
            </w:r>
          </w:p>
        </w:tc>
        <w:tc>
          <w:tcPr>
            <w:tcW w:w="806" w:type="pct"/>
            <w:vAlign w:val="center"/>
          </w:tcPr>
          <w:p w14:paraId="6257E932">
            <w:pPr>
              <w:pStyle w:val="26"/>
              <w:bidi w:val="0"/>
              <w:jc w:val="center"/>
              <w:rPr>
                <w:color w:val="auto"/>
                <w:highlight w:val="none"/>
              </w:rPr>
            </w:pPr>
            <w:r>
              <w:rPr>
                <w:color w:val="auto"/>
                <w:highlight w:val="none"/>
              </w:rPr>
              <w:t>0.680</w:t>
            </w:r>
          </w:p>
        </w:tc>
        <w:tc>
          <w:tcPr>
            <w:tcW w:w="850" w:type="pct"/>
            <w:vAlign w:val="center"/>
          </w:tcPr>
          <w:p w14:paraId="7FA3263A">
            <w:pPr>
              <w:pStyle w:val="26"/>
              <w:bidi w:val="0"/>
              <w:jc w:val="center"/>
              <w:rPr>
                <w:color w:val="auto"/>
                <w:highlight w:val="none"/>
              </w:rPr>
            </w:pPr>
            <w:r>
              <w:rPr>
                <w:color w:val="auto"/>
                <w:highlight w:val="none"/>
              </w:rPr>
              <w:t>0.344</w:t>
            </w:r>
          </w:p>
        </w:tc>
        <w:tc>
          <w:tcPr>
            <w:tcW w:w="853" w:type="pct"/>
            <w:vAlign w:val="center"/>
          </w:tcPr>
          <w:p w14:paraId="2841B958">
            <w:pPr>
              <w:pStyle w:val="26"/>
              <w:bidi w:val="0"/>
              <w:jc w:val="center"/>
              <w:rPr>
                <w:color w:val="auto"/>
                <w:highlight w:val="none"/>
              </w:rPr>
            </w:pPr>
            <w:r>
              <w:rPr>
                <w:color w:val="auto"/>
                <w:highlight w:val="none"/>
              </w:rPr>
              <w:t>0.462</w:t>
            </w:r>
          </w:p>
        </w:tc>
      </w:tr>
      <w:tr w14:paraId="406EA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4ED2030C">
            <w:pPr>
              <w:pStyle w:val="26"/>
              <w:bidi w:val="0"/>
              <w:jc w:val="center"/>
              <w:rPr>
                <w:color w:val="auto"/>
                <w:highlight w:val="none"/>
              </w:rPr>
            </w:pPr>
            <w:r>
              <w:rPr>
                <w:color w:val="auto"/>
                <w:highlight w:val="none"/>
              </w:rPr>
              <w:t>亚硝酸盐氮</w:t>
            </w:r>
          </w:p>
        </w:tc>
        <w:tc>
          <w:tcPr>
            <w:tcW w:w="353" w:type="pct"/>
            <w:vAlign w:val="center"/>
          </w:tcPr>
          <w:p w14:paraId="634381D9">
            <w:pPr>
              <w:pStyle w:val="26"/>
              <w:bidi w:val="0"/>
              <w:jc w:val="center"/>
              <w:rPr>
                <w:color w:val="auto"/>
                <w:highlight w:val="none"/>
              </w:rPr>
            </w:pPr>
            <w:r>
              <w:rPr>
                <w:color w:val="auto"/>
                <w:highlight w:val="none"/>
              </w:rPr>
              <w:t>mg/L</w:t>
            </w:r>
          </w:p>
        </w:tc>
        <w:tc>
          <w:tcPr>
            <w:tcW w:w="354" w:type="pct"/>
            <w:vAlign w:val="center"/>
          </w:tcPr>
          <w:p w14:paraId="00B70588">
            <w:pPr>
              <w:pStyle w:val="26"/>
              <w:bidi w:val="0"/>
              <w:jc w:val="center"/>
              <w:rPr>
                <w:color w:val="auto"/>
                <w:highlight w:val="none"/>
              </w:rPr>
            </w:pPr>
            <w:r>
              <w:rPr>
                <w:color w:val="auto"/>
                <w:highlight w:val="none"/>
              </w:rPr>
              <w:t>0.003</w:t>
            </w:r>
          </w:p>
        </w:tc>
        <w:tc>
          <w:tcPr>
            <w:tcW w:w="806" w:type="pct"/>
            <w:vAlign w:val="center"/>
          </w:tcPr>
          <w:p w14:paraId="1A214462">
            <w:pPr>
              <w:pStyle w:val="26"/>
              <w:bidi w:val="0"/>
              <w:jc w:val="center"/>
              <w:rPr>
                <w:color w:val="auto"/>
                <w:highlight w:val="none"/>
              </w:rPr>
            </w:pPr>
            <w:r>
              <w:rPr>
                <w:color w:val="auto"/>
                <w:highlight w:val="none"/>
              </w:rPr>
              <w:t>0.024</w:t>
            </w:r>
          </w:p>
        </w:tc>
        <w:tc>
          <w:tcPr>
            <w:tcW w:w="806" w:type="pct"/>
            <w:vAlign w:val="center"/>
          </w:tcPr>
          <w:p w14:paraId="1E4D4E37">
            <w:pPr>
              <w:pStyle w:val="26"/>
              <w:bidi w:val="0"/>
              <w:jc w:val="center"/>
              <w:rPr>
                <w:color w:val="auto"/>
                <w:highlight w:val="none"/>
              </w:rPr>
            </w:pPr>
            <w:r>
              <w:rPr>
                <w:color w:val="auto"/>
                <w:highlight w:val="none"/>
              </w:rPr>
              <w:t>0.030</w:t>
            </w:r>
          </w:p>
        </w:tc>
        <w:tc>
          <w:tcPr>
            <w:tcW w:w="850" w:type="pct"/>
            <w:vAlign w:val="center"/>
          </w:tcPr>
          <w:p w14:paraId="61631823">
            <w:pPr>
              <w:pStyle w:val="26"/>
              <w:bidi w:val="0"/>
              <w:jc w:val="center"/>
              <w:rPr>
                <w:color w:val="auto"/>
                <w:highlight w:val="none"/>
              </w:rPr>
            </w:pPr>
            <w:r>
              <w:rPr>
                <w:color w:val="auto"/>
                <w:highlight w:val="none"/>
              </w:rPr>
              <w:t>0.015</w:t>
            </w:r>
          </w:p>
        </w:tc>
        <w:tc>
          <w:tcPr>
            <w:tcW w:w="853" w:type="pct"/>
            <w:vAlign w:val="center"/>
          </w:tcPr>
          <w:p w14:paraId="1BD9FED5">
            <w:pPr>
              <w:pStyle w:val="26"/>
              <w:bidi w:val="0"/>
              <w:jc w:val="center"/>
              <w:rPr>
                <w:color w:val="auto"/>
                <w:highlight w:val="none"/>
              </w:rPr>
            </w:pPr>
            <w:r>
              <w:rPr>
                <w:color w:val="auto"/>
                <w:highlight w:val="none"/>
              </w:rPr>
              <w:t>0.016</w:t>
            </w:r>
          </w:p>
        </w:tc>
      </w:tr>
      <w:tr w14:paraId="50DB6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76" w:type="pct"/>
            <w:vAlign w:val="center"/>
          </w:tcPr>
          <w:p w14:paraId="49620FF2">
            <w:pPr>
              <w:pStyle w:val="26"/>
              <w:bidi w:val="0"/>
              <w:jc w:val="center"/>
              <w:rPr>
                <w:color w:val="auto"/>
                <w:highlight w:val="none"/>
              </w:rPr>
            </w:pPr>
            <w:r>
              <w:rPr>
                <w:color w:val="auto"/>
                <w:highlight w:val="none"/>
              </w:rPr>
              <w:t>阴离子合成洗涤剂</w:t>
            </w:r>
          </w:p>
        </w:tc>
        <w:tc>
          <w:tcPr>
            <w:tcW w:w="353" w:type="pct"/>
            <w:vAlign w:val="center"/>
          </w:tcPr>
          <w:p w14:paraId="226B3247">
            <w:pPr>
              <w:pStyle w:val="26"/>
              <w:bidi w:val="0"/>
              <w:jc w:val="center"/>
              <w:rPr>
                <w:color w:val="auto"/>
                <w:highlight w:val="none"/>
              </w:rPr>
            </w:pPr>
            <w:r>
              <w:rPr>
                <w:color w:val="auto"/>
                <w:highlight w:val="none"/>
              </w:rPr>
              <w:t>mg/L</w:t>
            </w:r>
          </w:p>
        </w:tc>
        <w:tc>
          <w:tcPr>
            <w:tcW w:w="354" w:type="pct"/>
            <w:vAlign w:val="center"/>
          </w:tcPr>
          <w:p w14:paraId="674E28A8">
            <w:pPr>
              <w:pStyle w:val="26"/>
              <w:bidi w:val="0"/>
              <w:jc w:val="center"/>
              <w:rPr>
                <w:color w:val="auto"/>
                <w:highlight w:val="none"/>
              </w:rPr>
            </w:pPr>
            <w:r>
              <w:rPr>
                <w:color w:val="auto"/>
                <w:highlight w:val="none"/>
              </w:rPr>
              <w:t>0.050</w:t>
            </w:r>
          </w:p>
        </w:tc>
        <w:tc>
          <w:tcPr>
            <w:tcW w:w="806" w:type="pct"/>
            <w:vAlign w:val="center"/>
          </w:tcPr>
          <w:p w14:paraId="54C7FE37">
            <w:pPr>
              <w:pStyle w:val="26"/>
              <w:bidi w:val="0"/>
              <w:jc w:val="center"/>
              <w:rPr>
                <w:color w:val="auto"/>
                <w:highlight w:val="none"/>
              </w:rPr>
            </w:pPr>
            <w:r>
              <w:rPr>
                <w:color w:val="auto"/>
                <w:highlight w:val="none"/>
              </w:rPr>
              <w:t>0.198</w:t>
            </w:r>
          </w:p>
        </w:tc>
        <w:tc>
          <w:tcPr>
            <w:tcW w:w="806" w:type="pct"/>
            <w:vAlign w:val="center"/>
          </w:tcPr>
          <w:p w14:paraId="0B04B143">
            <w:pPr>
              <w:pStyle w:val="26"/>
              <w:bidi w:val="0"/>
              <w:jc w:val="center"/>
              <w:rPr>
                <w:color w:val="auto"/>
                <w:highlight w:val="none"/>
              </w:rPr>
            </w:pPr>
            <w:r>
              <w:rPr>
                <w:color w:val="auto"/>
                <w:highlight w:val="none"/>
              </w:rPr>
              <w:t>0.185</w:t>
            </w:r>
          </w:p>
        </w:tc>
        <w:tc>
          <w:tcPr>
            <w:tcW w:w="850" w:type="pct"/>
            <w:vAlign w:val="center"/>
          </w:tcPr>
          <w:p w14:paraId="7346A083">
            <w:pPr>
              <w:pStyle w:val="26"/>
              <w:bidi w:val="0"/>
              <w:jc w:val="center"/>
              <w:rPr>
                <w:color w:val="auto"/>
                <w:highlight w:val="none"/>
              </w:rPr>
            </w:pPr>
            <w:r>
              <w:rPr>
                <w:color w:val="auto"/>
                <w:highlight w:val="none"/>
              </w:rPr>
              <w:t>0.141</w:t>
            </w:r>
          </w:p>
        </w:tc>
        <w:tc>
          <w:tcPr>
            <w:tcW w:w="853" w:type="pct"/>
            <w:vAlign w:val="center"/>
          </w:tcPr>
          <w:p w14:paraId="17B9B18E">
            <w:pPr>
              <w:pStyle w:val="26"/>
              <w:bidi w:val="0"/>
              <w:jc w:val="center"/>
              <w:rPr>
                <w:color w:val="auto"/>
                <w:highlight w:val="none"/>
              </w:rPr>
            </w:pPr>
            <w:r>
              <w:rPr>
                <w:color w:val="auto"/>
                <w:highlight w:val="none"/>
              </w:rPr>
              <w:t>0.140</w:t>
            </w:r>
          </w:p>
        </w:tc>
      </w:tr>
      <w:tr w14:paraId="27A57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976" w:type="pct"/>
            <w:vAlign w:val="center"/>
          </w:tcPr>
          <w:p w14:paraId="03323E36">
            <w:pPr>
              <w:pStyle w:val="26"/>
              <w:bidi w:val="0"/>
              <w:jc w:val="center"/>
              <w:rPr>
                <w:color w:val="auto"/>
                <w:highlight w:val="none"/>
              </w:rPr>
            </w:pPr>
            <w:r>
              <w:rPr>
                <w:color w:val="auto"/>
                <w:highlight w:val="none"/>
              </w:rPr>
              <w:t>碘化物</w:t>
            </w:r>
          </w:p>
        </w:tc>
        <w:tc>
          <w:tcPr>
            <w:tcW w:w="353" w:type="pct"/>
            <w:vAlign w:val="center"/>
          </w:tcPr>
          <w:p w14:paraId="191A4B2E">
            <w:pPr>
              <w:pStyle w:val="26"/>
              <w:bidi w:val="0"/>
              <w:jc w:val="center"/>
              <w:rPr>
                <w:color w:val="auto"/>
                <w:highlight w:val="none"/>
              </w:rPr>
            </w:pPr>
            <w:r>
              <w:rPr>
                <w:color w:val="auto"/>
                <w:highlight w:val="none"/>
              </w:rPr>
              <w:t>mg/L</w:t>
            </w:r>
          </w:p>
        </w:tc>
        <w:tc>
          <w:tcPr>
            <w:tcW w:w="354" w:type="pct"/>
            <w:vAlign w:val="center"/>
          </w:tcPr>
          <w:p w14:paraId="6796772C">
            <w:pPr>
              <w:pStyle w:val="26"/>
              <w:bidi w:val="0"/>
              <w:jc w:val="center"/>
              <w:rPr>
                <w:color w:val="auto"/>
                <w:highlight w:val="none"/>
              </w:rPr>
            </w:pPr>
            <w:r>
              <w:rPr>
                <w:color w:val="auto"/>
                <w:highlight w:val="none"/>
              </w:rPr>
              <w:t>0.025</w:t>
            </w:r>
          </w:p>
        </w:tc>
        <w:tc>
          <w:tcPr>
            <w:tcW w:w="806" w:type="pct"/>
            <w:vAlign w:val="center"/>
          </w:tcPr>
          <w:p w14:paraId="12A5AFEF">
            <w:pPr>
              <w:pStyle w:val="26"/>
              <w:bidi w:val="0"/>
              <w:jc w:val="center"/>
              <w:rPr>
                <w:color w:val="auto"/>
                <w:highlight w:val="none"/>
              </w:rPr>
            </w:pPr>
            <w:r>
              <w:rPr>
                <w:color w:val="auto"/>
                <w:highlight w:val="none"/>
              </w:rPr>
              <w:t>0.079</w:t>
            </w:r>
          </w:p>
        </w:tc>
        <w:tc>
          <w:tcPr>
            <w:tcW w:w="806" w:type="pct"/>
            <w:vAlign w:val="center"/>
          </w:tcPr>
          <w:p w14:paraId="0F65EBAF">
            <w:pPr>
              <w:pStyle w:val="26"/>
              <w:bidi w:val="0"/>
              <w:jc w:val="center"/>
              <w:rPr>
                <w:color w:val="auto"/>
                <w:highlight w:val="none"/>
              </w:rPr>
            </w:pPr>
            <w:r>
              <w:rPr>
                <w:color w:val="auto"/>
                <w:highlight w:val="none"/>
              </w:rPr>
              <w:t>0.117</w:t>
            </w:r>
          </w:p>
        </w:tc>
        <w:tc>
          <w:tcPr>
            <w:tcW w:w="850" w:type="pct"/>
            <w:vAlign w:val="center"/>
          </w:tcPr>
          <w:p w14:paraId="3A12E5E3">
            <w:pPr>
              <w:pStyle w:val="26"/>
              <w:bidi w:val="0"/>
              <w:jc w:val="center"/>
              <w:rPr>
                <w:color w:val="auto"/>
                <w:highlight w:val="none"/>
              </w:rPr>
            </w:pPr>
            <w:r>
              <w:rPr>
                <w:color w:val="auto"/>
                <w:highlight w:val="none"/>
              </w:rPr>
              <w:t>0.025L</w:t>
            </w:r>
          </w:p>
        </w:tc>
        <w:tc>
          <w:tcPr>
            <w:tcW w:w="853" w:type="pct"/>
            <w:vAlign w:val="center"/>
          </w:tcPr>
          <w:p w14:paraId="1E8A8488">
            <w:pPr>
              <w:pStyle w:val="26"/>
              <w:bidi w:val="0"/>
              <w:jc w:val="center"/>
              <w:rPr>
                <w:color w:val="auto"/>
                <w:highlight w:val="none"/>
              </w:rPr>
            </w:pPr>
            <w:r>
              <w:rPr>
                <w:color w:val="auto"/>
                <w:highlight w:val="none"/>
              </w:rPr>
              <w:t>0.025L</w:t>
            </w:r>
          </w:p>
        </w:tc>
      </w:tr>
    </w:tbl>
    <w:p w14:paraId="6FAB7C2D">
      <w:pPr>
        <w:pStyle w:val="36"/>
        <w:bidi w:val="0"/>
        <w:jc w:val="left"/>
        <w:rPr>
          <w:color w:val="auto"/>
          <w:highlight w:val="none"/>
        </w:rPr>
      </w:pPr>
      <w:r>
        <w:rPr>
          <w:rFonts w:hint="eastAsia"/>
          <w:color w:val="auto"/>
          <w:highlight w:val="none"/>
          <w:lang w:val="en-US" w:eastAsia="zh-CN"/>
        </w:rPr>
        <w:t>备注：</w:t>
      </w:r>
      <w:r>
        <w:rPr>
          <w:rFonts w:hint="eastAsia"/>
          <w:color w:val="auto"/>
          <w:highlight w:val="none"/>
        </w:rPr>
        <w:t>表格中仅展示有检出项目；</w:t>
      </w:r>
    </w:p>
    <w:p w14:paraId="0A9DD60C">
      <w:pPr>
        <w:bidi w:val="0"/>
        <w:rPr>
          <w:color w:val="auto"/>
          <w:highlight w:val="none"/>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5EE09831">
      <w:pPr>
        <w:pStyle w:val="25"/>
        <w:bidi w:val="0"/>
        <w:rPr>
          <w:rFonts w:hint="default" w:eastAsia="仿宋_GB2312"/>
          <w:color w:val="auto"/>
          <w:highlight w:val="none"/>
          <w:lang w:val="en-US" w:eastAsia="zh-CN"/>
        </w:rPr>
      </w:pPr>
      <w:r>
        <w:rPr>
          <w:color w:val="auto"/>
          <w:highlight w:val="none"/>
        </w:rPr>
        <w:t>表</w:t>
      </w:r>
      <w:r>
        <w:rPr>
          <w:color w:val="auto"/>
          <w:highlight w:val="none"/>
        </w:rPr>
        <w:fldChar w:fldCharType="begin"/>
      </w:r>
      <w:r>
        <w:rPr>
          <w:color w:val="auto"/>
          <w:highlight w:val="none"/>
        </w:rPr>
        <w:instrText xml:space="preserve"> STYLEREF 2 \s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noBreakHyphen/>
      </w:r>
      <w:r>
        <w:rPr>
          <w:color w:val="auto"/>
          <w:highlight w:val="none"/>
        </w:rPr>
        <w:fldChar w:fldCharType="begin"/>
      </w:r>
      <w:r>
        <w:rPr>
          <w:color w:val="auto"/>
          <w:highlight w:val="none"/>
        </w:rPr>
        <w:instrText xml:space="preserve"> SEQ 表 \* ARABIC \s 2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t>厂区土壤检测结果</w:t>
      </w:r>
      <w:r>
        <w:rPr>
          <w:rFonts w:hint="eastAsia"/>
          <w:color w:val="auto"/>
          <w:highlight w:val="none"/>
          <w:lang w:eastAsia="zh-CN"/>
        </w:rPr>
        <w:t>（</w:t>
      </w:r>
      <w:r>
        <w:rPr>
          <w:rFonts w:hint="eastAsia"/>
          <w:color w:val="auto"/>
          <w:highlight w:val="none"/>
          <w:lang w:val="en-US" w:eastAsia="zh-CN"/>
        </w:rPr>
        <w:t>单位：mg/kg）</w:t>
      </w:r>
    </w:p>
    <w:tbl>
      <w:tblPr>
        <w:tblStyle w:val="50"/>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39"/>
        <w:gridCol w:w="1463"/>
        <w:gridCol w:w="1511"/>
        <w:gridCol w:w="1279"/>
        <w:gridCol w:w="1290"/>
        <w:gridCol w:w="1232"/>
        <w:gridCol w:w="1254"/>
        <w:gridCol w:w="1313"/>
        <w:gridCol w:w="1220"/>
        <w:gridCol w:w="1260"/>
      </w:tblGrid>
      <w:tr w14:paraId="7043F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66" w:type="pct"/>
            <w:vMerge w:val="restart"/>
            <w:tcBorders>
              <w:bottom w:val="nil"/>
            </w:tcBorders>
            <w:vAlign w:val="center"/>
          </w:tcPr>
          <w:p w14:paraId="735A076E">
            <w:pPr>
              <w:pStyle w:val="36"/>
              <w:bidi w:val="0"/>
            </w:pPr>
            <w:r>
              <w:t>样品类别：土壤</w:t>
            </w:r>
          </w:p>
        </w:tc>
        <w:tc>
          <w:tcPr>
            <w:tcW w:w="1064" w:type="pct"/>
            <w:gridSpan w:val="2"/>
            <w:vAlign w:val="center"/>
          </w:tcPr>
          <w:p w14:paraId="3AFD6D4A">
            <w:pPr>
              <w:pStyle w:val="36"/>
              <w:bidi w:val="0"/>
            </w:pPr>
            <w:r>
              <w:t>采样日期</w:t>
            </w:r>
          </w:p>
        </w:tc>
        <w:tc>
          <w:tcPr>
            <w:tcW w:w="3168" w:type="pct"/>
            <w:gridSpan w:val="7"/>
            <w:vAlign w:val="center"/>
          </w:tcPr>
          <w:p w14:paraId="54BF15D0">
            <w:pPr>
              <w:pStyle w:val="36"/>
              <w:bidi w:val="0"/>
            </w:pPr>
            <w:r>
              <w:t>2025-09-28</w:t>
            </w:r>
          </w:p>
        </w:tc>
      </w:tr>
      <w:tr w14:paraId="48675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66" w:type="pct"/>
            <w:vMerge w:val="continue"/>
            <w:tcBorders>
              <w:top w:val="nil"/>
            </w:tcBorders>
            <w:vAlign w:val="center"/>
          </w:tcPr>
          <w:p w14:paraId="5D177690">
            <w:pPr>
              <w:pStyle w:val="36"/>
              <w:bidi w:val="0"/>
            </w:pPr>
          </w:p>
        </w:tc>
        <w:tc>
          <w:tcPr>
            <w:tcW w:w="1064" w:type="pct"/>
            <w:gridSpan w:val="2"/>
            <w:vAlign w:val="center"/>
          </w:tcPr>
          <w:p w14:paraId="78944D88">
            <w:pPr>
              <w:pStyle w:val="36"/>
              <w:bidi w:val="0"/>
            </w:pPr>
            <w:r>
              <w:t>点位名称</w:t>
            </w:r>
          </w:p>
        </w:tc>
        <w:tc>
          <w:tcPr>
            <w:tcW w:w="458" w:type="pct"/>
            <w:vAlign w:val="center"/>
          </w:tcPr>
          <w:p w14:paraId="4E43F011">
            <w:pPr>
              <w:pStyle w:val="36"/>
              <w:bidi w:val="0"/>
            </w:pPr>
            <w:r>
              <w:t>S1</w:t>
            </w:r>
          </w:p>
          <w:p w14:paraId="2D6E7A20">
            <w:pPr>
              <w:pStyle w:val="36"/>
              <w:bidi w:val="0"/>
            </w:pPr>
            <w:r>
              <w:t>（0-0.5m）</w:t>
            </w:r>
          </w:p>
        </w:tc>
        <w:tc>
          <w:tcPr>
            <w:tcW w:w="462" w:type="pct"/>
            <w:vAlign w:val="center"/>
          </w:tcPr>
          <w:p w14:paraId="55E9C17D">
            <w:pPr>
              <w:pStyle w:val="36"/>
              <w:bidi w:val="0"/>
            </w:pPr>
            <w:r>
              <w:t>S2</w:t>
            </w:r>
          </w:p>
          <w:p w14:paraId="6238811A">
            <w:pPr>
              <w:pStyle w:val="36"/>
              <w:bidi w:val="0"/>
            </w:pPr>
            <w:r>
              <w:t>（0-0.5m）</w:t>
            </w:r>
          </w:p>
        </w:tc>
        <w:tc>
          <w:tcPr>
            <w:tcW w:w="441" w:type="pct"/>
            <w:vAlign w:val="center"/>
          </w:tcPr>
          <w:p w14:paraId="38D0E84C">
            <w:pPr>
              <w:pStyle w:val="36"/>
              <w:bidi w:val="0"/>
            </w:pPr>
            <w:r>
              <w:t>S3</w:t>
            </w:r>
          </w:p>
          <w:p w14:paraId="3891012F">
            <w:pPr>
              <w:pStyle w:val="36"/>
              <w:bidi w:val="0"/>
            </w:pPr>
            <w:r>
              <w:t>（0-0.5m）</w:t>
            </w:r>
          </w:p>
        </w:tc>
        <w:tc>
          <w:tcPr>
            <w:tcW w:w="449" w:type="pct"/>
            <w:vAlign w:val="center"/>
          </w:tcPr>
          <w:p w14:paraId="7C33BD4C">
            <w:pPr>
              <w:pStyle w:val="36"/>
              <w:bidi w:val="0"/>
            </w:pPr>
            <w:r>
              <w:t>S4</w:t>
            </w:r>
          </w:p>
          <w:p w14:paraId="1767C82B">
            <w:pPr>
              <w:pStyle w:val="36"/>
              <w:bidi w:val="0"/>
            </w:pPr>
            <w:r>
              <w:t>（0-0.5m）</w:t>
            </w:r>
          </w:p>
        </w:tc>
        <w:tc>
          <w:tcPr>
            <w:tcW w:w="470" w:type="pct"/>
            <w:vAlign w:val="center"/>
          </w:tcPr>
          <w:p w14:paraId="7E7DB784">
            <w:pPr>
              <w:pStyle w:val="36"/>
              <w:bidi w:val="0"/>
            </w:pPr>
            <w:r>
              <w:t>S5</w:t>
            </w:r>
          </w:p>
          <w:p w14:paraId="7E08AE6E">
            <w:pPr>
              <w:pStyle w:val="36"/>
              <w:bidi w:val="0"/>
            </w:pPr>
            <w:r>
              <w:t>（0-0.5m）</w:t>
            </w:r>
          </w:p>
        </w:tc>
        <w:tc>
          <w:tcPr>
            <w:tcW w:w="437" w:type="pct"/>
            <w:vAlign w:val="center"/>
          </w:tcPr>
          <w:p w14:paraId="6AAF6D07">
            <w:pPr>
              <w:pStyle w:val="36"/>
              <w:bidi w:val="0"/>
            </w:pPr>
            <w:r>
              <w:t>S6</w:t>
            </w:r>
          </w:p>
          <w:p w14:paraId="6CD5BC1F">
            <w:pPr>
              <w:pStyle w:val="36"/>
              <w:bidi w:val="0"/>
            </w:pPr>
            <w:r>
              <w:t>（0-0.5m）</w:t>
            </w:r>
          </w:p>
        </w:tc>
        <w:tc>
          <w:tcPr>
            <w:tcW w:w="448" w:type="pct"/>
            <w:vAlign w:val="center"/>
          </w:tcPr>
          <w:p w14:paraId="1FAF1899">
            <w:pPr>
              <w:pStyle w:val="36"/>
              <w:bidi w:val="0"/>
            </w:pPr>
            <w:r>
              <w:t>S0</w:t>
            </w:r>
          </w:p>
          <w:p w14:paraId="0EA2559F">
            <w:pPr>
              <w:pStyle w:val="36"/>
              <w:bidi w:val="0"/>
            </w:pPr>
            <w:r>
              <w:t>（0-0.5m）</w:t>
            </w:r>
          </w:p>
        </w:tc>
      </w:tr>
      <w:tr w14:paraId="71142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831" w:type="pct"/>
            <w:gridSpan w:val="3"/>
            <w:vAlign w:val="center"/>
          </w:tcPr>
          <w:p w14:paraId="312E849D">
            <w:pPr>
              <w:pStyle w:val="26"/>
              <w:bidi w:val="0"/>
              <w:jc w:val="center"/>
            </w:pPr>
            <w:r>
              <w:t>样品编号</w:t>
            </w:r>
          </w:p>
        </w:tc>
        <w:tc>
          <w:tcPr>
            <w:tcW w:w="458" w:type="pct"/>
            <w:vMerge w:val="restart"/>
            <w:tcBorders>
              <w:bottom w:val="nil"/>
            </w:tcBorders>
            <w:vAlign w:val="center"/>
          </w:tcPr>
          <w:p w14:paraId="5B04CE62">
            <w:pPr>
              <w:pStyle w:val="26"/>
              <w:bidi w:val="0"/>
              <w:jc w:val="center"/>
            </w:pPr>
            <w:r>
              <w:t>YEAT250</w:t>
            </w:r>
          </w:p>
          <w:p w14:paraId="5FF67DEE">
            <w:pPr>
              <w:pStyle w:val="26"/>
              <w:bidi w:val="0"/>
              <w:jc w:val="center"/>
            </w:pPr>
            <w:r>
              <w:t>90067E- 1</w:t>
            </w:r>
          </w:p>
        </w:tc>
        <w:tc>
          <w:tcPr>
            <w:tcW w:w="462" w:type="pct"/>
            <w:vMerge w:val="restart"/>
            <w:tcBorders>
              <w:bottom w:val="nil"/>
            </w:tcBorders>
            <w:vAlign w:val="center"/>
          </w:tcPr>
          <w:p w14:paraId="5595AAB4">
            <w:pPr>
              <w:pStyle w:val="26"/>
              <w:bidi w:val="0"/>
              <w:jc w:val="center"/>
            </w:pPr>
            <w:r>
              <w:t>YEAT2509</w:t>
            </w:r>
          </w:p>
          <w:p w14:paraId="1746B44A">
            <w:pPr>
              <w:pStyle w:val="26"/>
              <w:bidi w:val="0"/>
              <w:jc w:val="center"/>
            </w:pPr>
            <w:r>
              <w:t>0067E-2</w:t>
            </w:r>
          </w:p>
        </w:tc>
        <w:tc>
          <w:tcPr>
            <w:tcW w:w="441" w:type="pct"/>
            <w:vMerge w:val="restart"/>
            <w:tcBorders>
              <w:bottom w:val="nil"/>
            </w:tcBorders>
            <w:vAlign w:val="center"/>
          </w:tcPr>
          <w:p w14:paraId="24B2101B">
            <w:pPr>
              <w:pStyle w:val="26"/>
              <w:bidi w:val="0"/>
              <w:jc w:val="center"/>
            </w:pPr>
            <w:r>
              <w:t>YEAT250</w:t>
            </w:r>
          </w:p>
          <w:p w14:paraId="6F06D3D8">
            <w:pPr>
              <w:pStyle w:val="26"/>
              <w:bidi w:val="0"/>
              <w:jc w:val="center"/>
            </w:pPr>
            <w:r>
              <w:t>90067E-3</w:t>
            </w:r>
          </w:p>
        </w:tc>
        <w:tc>
          <w:tcPr>
            <w:tcW w:w="449" w:type="pct"/>
            <w:vMerge w:val="restart"/>
            <w:tcBorders>
              <w:bottom w:val="nil"/>
            </w:tcBorders>
            <w:vAlign w:val="center"/>
          </w:tcPr>
          <w:p w14:paraId="68D0F18A">
            <w:pPr>
              <w:pStyle w:val="26"/>
              <w:bidi w:val="0"/>
              <w:jc w:val="center"/>
            </w:pPr>
            <w:r>
              <w:t>YEAT250</w:t>
            </w:r>
          </w:p>
          <w:p w14:paraId="6904E8B4">
            <w:pPr>
              <w:pStyle w:val="26"/>
              <w:bidi w:val="0"/>
              <w:jc w:val="center"/>
            </w:pPr>
            <w:r>
              <w:t>90067E-4</w:t>
            </w:r>
          </w:p>
        </w:tc>
        <w:tc>
          <w:tcPr>
            <w:tcW w:w="470" w:type="pct"/>
            <w:vMerge w:val="restart"/>
            <w:tcBorders>
              <w:bottom w:val="nil"/>
            </w:tcBorders>
            <w:vAlign w:val="center"/>
          </w:tcPr>
          <w:p w14:paraId="49481FCF">
            <w:pPr>
              <w:pStyle w:val="26"/>
              <w:bidi w:val="0"/>
              <w:jc w:val="center"/>
            </w:pPr>
            <w:r>
              <w:t>YEAT2509</w:t>
            </w:r>
          </w:p>
          <w:p w14:paraId="7C0161B2">
            <w:pPr>
              <w:pStyle w:val="26"/>
              <w:bidi w:val="0"/>
              <w:jc w:val="center"/>
            </w:pPr>
            <w:r>
              <w:t>0067E-5</w:t>
            </w:r>
          </w:p>
        </w:tc>
        <w:tc>
          <w:tcPr>
            <w:tcW w:w="437" w:type="pct"/>
            <w:vMerge w:val="restart"/>
            <w:tcBorders>
              <w:bottom w:val="nil"/>
            </w:tcBorders>
            <w:vAlign w:val="center"/>
          </w:tcPr>
          <w:p w14:paraId="1B7B21B5">
            <w:pPr>
              <w:pStyle w:val="26"/>
              <w:bidi w:val="0"/>
              <w:jc w:val="center"/>
            </w:pPr>
            <w:r>
              <w:t>YEAT250</w:t>
            </w:r>
          </w:p>
          <w:p w14:paraId="27B4F58A">
            <w:pPr>
              <w:pStyle w:val="26"/>
              <w:bidi w:val="0"/>
              <w:jc w:val="center"/>
            </w:pPr>
            <w:r>
              <w:t>90067E-6</w:t>
            </w:r>
          </w:p>
        </w:tc>
        <w:tc>
          <w:tcPr>
            <w:tcW w:w="448" w:type="pct"/>
            <w:vMerge w:val="restart"/>
            <w:tcBorders>
              <w:bottom w:val="nil"/>
            </w:tcBorders>
            <w:vAlign w:val="center"/>
          </w:tcPr>
          <w:p w14:paraId="193EA9F8">
            <w:pPr>
              <w:pStyle w:val="26"/>
              <w:bidi w:val="0"/>
              <w:jc w:val="center"/>
            </w:pPr>
            <w:r>
              <w:t>YEAT250</w:t>
            </w:r>
          </w:p>
          <w:p w14:paraId="24175AC4">
            <w:pPr>
              <w:pStyle w:val="26"/>
              <w:bidi w:val="0"/>
              <w:jc w:val="center"/>
            </w:pPr>
            <w:r>
              <w:t>90067E-7</w:t>
            </w:r>
          </w:p>
        </w:tc>
      </w:tr>
      <w:tr w14:paraId="3BD80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66" w:type="pct"/>
            <w:vAlign w:val="center"/>
          </w:tcPr>
          <w:p w14:paraId="4367AB25">
            <w:pPr>
              <w:pStyle w:val="26"/>
              <w:bidi w:val="0"/>
              <w:jc w:val="center"/>
            </w:pPr>
            <w:r>
              <w:t>检测项目</w:t>
            </w:r>
          </w:p>
        </w:tc>
        <w:tc>
          <w:tcPr>
            <w:tcW w:w="524" w:type="pct"/>
            <w:vAlign w:val="center"/>
          </w:tcPr>
          <w:p w14:paraId="08E2B970">
            <w:pPr>
              <w:pStyle w:val="26"/>
              <w:bidi w:val="0"/>
              <w:jc w:val="center"/>
            </w:pPr>
            <w:r>
              <w:t>单位</w:t>
            </w:r>
          </w:p>
        </w:tc>
        <w:tc>
          <w:tcPr>
            <w:tcW w:w="540" w:type="pct"/>
            <w:vAlign w:val="center"/>
          </w:tcPr>
          <w:p w14:paraId="148C4840">
            <w:pPr>
              <w:pStyle w:val="26"/>
              <w:bidi w:val="0"/>
              <w:jc w:val="center"/>
            </w:pPr>
            <w:r>
              <w:t>检出限</w:t>
            </w:r>
          </w:p>
        </w:tc>
        <w:tc>
          <w:tcPr>
            <w:tcW w:w="458" w:type="pct"/>
            <w:vMerge w:val="continue"/>
            <w:tcBorders>
              <w:top w:val="nil"/>
            </w:tcBorders>
            <w:vAlign w:val="center"/>
          </w:tcPr>
          <w:p w14:paraId="1F4BF31D">
            <w:pPr>
              <w:pStyle w:val="26"/>
              <w:bidi w:val="0"/>
              <w:jc w:val="center"/>
            </w:pPr>
          </w:p>
        </w:tc>
        <w:tc>
          <w:tcPr>
            <w:tcW w:w="462" w:type="pct"/>
            <w:vMerge w:val="continue"/>
            <w:tcBorders>
              <w:top w:val="nil"/>
            </w:tcBorders>
            <w:vAlign w:val="center"/>
          </w:tcPr>
          <w:p w14:paraId="74A5E2E6">
            <w:pPr>
              <w:pStyle w:val="26"/>
              <w:bidi w:val="0"/>
              <w:jc w:val="center"/>
            </w:pPr>
          </w:p>
        </w:tc>
        <w:tc>
          <w:tcPr>
            <w:tcW w:w="441" w:type="pct"/>
            <w:vMerge w:val="continue"/>
            <w:tcBorders>
              <w:top w:val="nil"/>
            </w:tcBorders>
            <w:vAlign w:val="center"/>
          </w:tcPr>
          <w:p w14:paraId="297B9960">
            <w:pPr>
              <w:pStyle w:val="26"/>
              <w:bidi w:val="0"/>
              <w:jc w:val="center"/>
            </w:pPr>
          </w:p>
        </w:tc>
        <w:tc>
          <w:tcPr>
            <w:tcW w:w="449" w:type="pct"/>
            <w:vMerge w:val="continue"/>
            <w:tcBorders>
              <w:top w:val="nil"/>
            </w:tcBorders>
            <w:vAlign w:val="center"/>
          </w:tcPr>
          <w:p w14:paraId="22A67EE4">
            <w:pPr>
              <w:pStyle w:val="26"/>
              <w:bidi w:val="0"/>
              <w:jc w:val="center"/>
            </w:pPr>
          </w:p>
        </w:tc>
        <w:tc>
          <w:tcPr>
            <w:tcW w:w="470" w:type="pct"/>
            <w:vMerge w:val="continue"/>
            <w:tcBorders>
              <w:top w:val="nil"/>
            </w:tcBorders>
            <w:vAlign w:val="center"/>
          </w:tcPr>
          <w:p w14:paraId="2AB6D089">
            <w:pPr>
              <w:pStyle w:val="26"/>
              <w:bidi w:val="0"/>
              <w:jc w:val="center"/>
            </w:pPr>
          </w:p>
        </w:tc>
        <w:tc>
          <w:tcPr>
            <w:tcW w:w="437" w:type="pct"/>
            <w:vMerge w:val="continue"/>
            <w:tcBorders>
              <w:top w:val="nil"/>
            </w:tcBorders>
            <w:vAlign w:val="center"/>
          </w:tcPr>
          <w:p w14:paraId="2E162527">
            <w:pPr>
              <w:pStyle w:val="26"/>
              <w:bidi w:val="0"/>
              <w:jc w:val="center"/>
            </w:pPr>
          </w:p>
        </w:tc>
        <w:tc>
          <w:tcPr>
            <w:tcW w:w="448" w:type="pct"/>
            <w:vMerge w:val="continue"/>
            <w:tcBorders>
              <w:top w:val="nil"/>
            </w:tcBorders>
            <w:vAlign w:val="center"/>
          </w:tcPr>
          <w:p w14:paraId="406FDDBA">
            <w:pPr>
              <w:pStyle w:val="26"/>
              <w:bidi w:val="0"/>
              <w:jc w:val="center"/>
            </w:pPr>
          </w:p>
        </w:tc>
      </w:tr>
      <w:tr w14:paraId="1792E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66" w:type="pct"/>
            <w:vAlign w:val="center"/>
          </w:tcPr>
          <w:p w14:paraId="371F4D6E">
            <w:pPr>
              <w:pStyle w:val="26"/>
              <w:bidi w:val="0"/>
              <w:jc w:val="center"/>
            </w:pPr>
            <w:r>
              <w:t>pH 值</w:t>
            </w:r>
          </w:p>
        </w:tc>
        <w:tc>
          <w:tcPr>
            <w:tcW w:w="524" w:type="pct"/>
            <w:vAlign w:val="center"/>
          </w:tcPr>
          <w:p w14:paraId="3E2DAC44">
            <w:pPr>
              <w:pStyle w:val="26"/>
              <w:bidi w:val="0"/>
              <w:jc w:val="center"/>
            </w:pPr>
            <w:r>
              <w:t>无量纲</w:t>
            </w:r>
          </w:p>
        </w:tc>
        <w:tc>
          <w:tcPr>
            <w:tcW w:w="540" w:type="pct"/>
            <w:vAlign w:val="center"/>
          </w:tcPr>
          <w:p w14:paraId="1BA39AAB">
            <w:pPr>
              <w:pStyle w:val="26"/>
              <w:bidi w:val="0"/>
              <w:jc w:val="center"/>
            </w:pPr>
            <w:r>
              <w:t>/</w:t>
            </w:r>
          </w:p>
        </w:tc>
        <w:tc>
          <w:tcPr>
            <w:tcW w:w="458" w:type="pct"/>
            <w:vAlign w:val="center"/>
          </w:tcPr>
          <w:p w14:paraId="34C337A6">
            <w:pPr>
              <w:pStyle w:val="26"/>
              <w:bidi w:val="0"/>
              <w:jc w:val="center"/>
            </w:pPr>
            <w:r>
              <w:t>7.54</w:t>
            </w:r>
          </w:p>
        </w:tc>
        <w:tc>
          <w:tcPr>
            <w:tcW w:w="462" w:type="pct"/>
            <w:vAlign w:val="center"/>
          </w:tcPr>
          <w:p w14:paraId="064096A0">
            <w:pPr>
              <w:pStyle w:val="26"/>
              <w:bidi w:val="0"/>
              <w:jc w:val="center"/>
            </w:pPr>
            <w:r>
              <w:t>7.52</w:t>
            </w:r>
          </w:p>
        </w:tc>
        <w:tc>
          <w:tcPr>
            <w:tcW w:w="441" w:type="pct"/>
            <w:vAlign w:val="center"/>
          </w:tcPr>
          <w:p w14:paraId="7BAB143D">
            <w:pPr>
              <w:pStyle w:val="26"/>
              <w:bidi w:val="0"/>
              <w:jc w:val="center"/>
            </w:pPr>
            <w:r>
              <w:t>7.50</w:t>
            </w:r>
          </w:p>
        </w:tc>
        <w:tc>
          <w:tcPr>
            <w:tcW w:w="449" w:type="pct"/>
            <w:vAlign w:val="center"/>
          </w:tcPr>
          <w:p w14:paraId="42E24810">
            <w:pPr>
              <w:pStyle w:val="26"/>
              <w:bidi w:val="0"/>
              <w:jc w:val="center"/>
            </w:pPr>
            <w:r>
              <w:t>7.46</w:t>
            </w:r>
          </w:p>
        </w:tc>
        <w:tc>
          <w:tcPr>
            <w:tcW w:w="470" w:type="pct"/>
            <w:vAlign w:val="center"/>
          </w:tcPr>
          <w:p w14:paraId="55EFF6C0">
            <w:pPr>
              <w:pStyle w:val="26"/>
              <w:bidi w:val="0"/>
              <w:jc w:val="center"/>
            </w:pPr>
            <w:r>
              <w:t>7.48</w:t>
            </w:r>
          </w:p>
        </w:tc>
        <w:tc>
          <w:tcPr>
            <w:tcW w:w="437" w:type="pct"/>
            <w:vAlign w:val="center"/>
          </w:tcPr>
          <w:p w14:paraId="6100A8AB">
            <w:pPr>
              <w:pStyle w:val="26"/>
              <w:bidi w:val="0"/>
              <w:jc w:val="center"/>
            </w:pPr>
            <w:r>
              <w:t>7.42</w:t>
            </w:r>
          </w:p>
        </w:tc>
        <w:tc>
          <w:tcPr>
            <w:tcW w:w="448" w:type="pct"/>
            <w:vAlign w:val="center"/>
          </w:tcPr>
          <w:p w14:paraId="6EEAA69C">
            <w:pPr>
              <w:pStyle w:val="26"/>
              <w:bidi w:val="0"/>
              <w:jc w:val="center"/>
            </w:pPr>
            <w:r>
              <w:t>7.44</w:t>
            </w:r>
          </w:p>
        </w:tc>
      </w:tr>
      <w:tr w14:paraId="24CD9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370C1AC4">
            <w:pPr>
              <w:pStyle w:val="26"/>
              <w:bidi w:val="0"/>
              <w:jc w:val="center"/>
            </w:pPr>
            <w:r>
              <w:t>总砷</w:t>
            </w:r>
          </w:p>
        </w:tc>
        <w:tc>
          <w:tcPr>
            <w:tcW w:w="524" w:type="pct"/>
            <w:vAlign w:val="center"/>
          </w:tcPr>
          <w:p w14:paraId="305FCFA0">
            <w:pPr>
              <w:pStyle w:val="26"/>
              <w:bidi w:val="0"/>
              <w:jc w:val="center"/>
            </w:pPr>
            <w:r>
              <w:t>mg/kg</w:t>
            </w:r>
          </w:p>
        </w:tc>
        <w:tc>
          <w:tcPr>
            <w:tcW w:w="540" w:type="pct"/>
            <w:vAlign w:val="center"/>
          </w:tcPr>
          <w:p w14:paraId="39E41A9C">
            <w:pPr>
              <w:pStyle w:val="26"/>
              <w:bidi w:val="0"/>
              <w:jc w:val="center"/>
            </w:pPr>
            <w:r>
              <w:t>0.01</w:t>
            </w:r>
          </w:p>
        </w:tc>
        <w:tc>
          <w:tcPr>
            <w:tcW w:w="458" w:type="pct"/>
            <w:vAlign w:val="center"/>
          </w:tcPr>
          <w:p w14:paraId="5581F9E9">
            <w:pPr>
              <w:pStyle w:val="26"/>
              <w:bidi w:val="0"/>
              <w:jc w:val="center"/>
            </w:pPr>
            <w:r>
              <w:t>7.61</w:t>
            </w:r>
          </w:p>
        </w:tc>
        <w:tc>
          <w:tcPr>
            <w:tcW w:w="462" w:type="pct"/>
            <w:vAlign w:val="center"/>
          </w:tcPr>
          <w:p w14:paraId="269329D3">
            <w:pPr>
              <w:pStyle w:val="26"/>
              <w:bidi w:val="0"/>
              <w:jc w:val="center"/>
            </w:pPr>
            <w:r>
              <w:t>8.59</w:t>
            </w:r>
          </w:p>
        </w:tc>
        <w:tc>
          <w:tcPr>
            <w:tcW w:w="441" w:type="pct"/>
            <w:vAlign w:val="center"/>
          </w:tcPr>
          <w:p w14:paraId="234701C1">
            <w:pPr>
              <w:pStyle w:val="26"/>
              <w:bidi w:val="0"/>
              <w:jc w:val="center"/>
            </w:pPr>
            <w:r>
              <w:t>8.18</w:t>
            </w:r>
          </w:p>
        </w:tc>
        <w:tc>
          <w:tcPr>
            <w:tcW w:w="449" w:type="pct"/>
            <w:vAlign w:val="center"/>
          </w:tcPr>
          <w:p w14:paraId="491E065F">
            <w:pPr>
              <w:pStyle w:val="26"/>
              <w:bidi w:val="0"/>
              <w:jc w:val="center"/>
            </w:pPr>
            <w:r>
              <w:t>7.43</w:t>
            </w:r>
          </w:p>
        </w:tc>
        <w:tc>
          <w:tcPr>
            <w:tcW w:w="470" w:type="pct"/>
            <w:vAlign w:val="center"/>
          </w:tcPr>
          <w:p w14:paraId="638DE4E1">
            <w:pPr>
              <w:pStyle w:val="26"/>
              <w:bidi w:val="0"/>
              <w:jc w:val="center"/>
            </w:pPr>
            <w:r>
              <w:t>7.94</w:t>
            </w:r>
          </w:p>
        </w:tc>
        <w:tc>
          <w:tcPr>
            <w:tcW w:w="437" w:type="pct"/>
            <w:vAlign w:val="center"/>
          </w:tcPr>
          <w:p w14:paraId="382305AA">
            <w:pPr>
              <w:pStyle w:val="26"/>
              <w:bidi w:val="0"/>
              <w:jc w:val="center"/>
            </w:pPr>
            <w:r>
              <w:t>7.17</w:t>
            </w:r>
          </w:p>
        </w:tc>
        <w:tc>
          <w:tcPr>
            <w:tcW w:w="448" w:type="pct"/>
            <w:vAlign w:val="center"/>
          </w:tcPr>
          <w:p w14:paraId="1931EB8C">
            <w:pPr>
              <w:pStyle w:val="26"/>
              <w:bidi w:val="0"/>
              <w:jc w:val="center"/>
            </w:pPr>
            <w:r>
              <w:t>8.59</w:t>
            </w:r>
          </w:p>
        </w:tc>
      </w:tr>
      <w:tr w14:paraId="12A16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3DE504ED">
            <w:pPr>
              <w:pStyle w:val="26"/>
              <w:bidi w:val="0"/>
              <w:jc w:val="center"/>
            </w:pPr>
            <w:r>
              <w:t>总汞</w:t>
            </w:r>
          </w:p>
        </w:tc>
        <w:tc>
          <w:tcPr>
            <w:tcW w:w="524" w:type="pct"/>
            <w:vAlign w:val="center"/>
          </w:tcPr>
          <w:p w14:paraId="28638903">
            <w:pPr>
              <w:pStyle w:val="26"/>
              <w:bidi w:val="0"/>
              <w:jc w:val="center"/>
            </w:pPr>
            <w:r>
              <w:t>mg/kg</w:t>
            </w:r>
          </w:p>
        </w:tc>
        <w:tc>
          <w:tcPr>
            <w:tcW w:w="540" w:type="pct"/>
            <w:vAlign w:val="center"/>
          </w:tcPr>
          <w:p w14:paraId="5E50212B">
            <w:pPr>
              <w:pStyle w:val="26"/>
              <w:bidi w:val="0"/>
              <w:jc w:val="center"/>
            </w:pPr>
            <w:r>
              <w:t>0.002</w:t>
            </w:r>
          </w:p>
        </w:tc>
        <w:tc>
          <w:tcPr>
            <w:tcW w:w="458" w:type="pct"/>
            <w:vAlign w:val="center"/>
          </w:tcPr>
          <w:p w14:paraId="218D8058">
            <w:pPr>
              <w:pStyle w:val="26"/>
              <w:bidi w:val="0"/>
              <w:jc w:val="center"/>
            </w:pPr>
            <w:r>
              <w:t>0.104</w:t>
            </w:r>
          </w:p>
        </w:tc>
        <w:tc>
          <w:tcPr>
            <w:tcW w:w="462" w:type="pct"/>
            <w:vAlign w:val="center"/>
          </w:tcPr>
          <w:p w14:paraId="66BCEE8A">
            <w:pPr>
              <w:pStyle w:val="26"/>
              <w:bidi w:val="0"/>
              <w:jc w:val="center"/>
            </w:pPr>
            <w:r>
              <w:t>0.166</w:t>
            </w:r>
          </w:p>
        </w:tc>
        <w:tc>
          <w:tcPr>
            <w:tcW w:w="441" w:type="pct"/>
            <w:vAlign w:val="center"/>
          </w:tcPr>
          <w:p w14:paraId="2AA5539F">
            <w:pPr>
              <w:pStyle w:val="26"/>
              <w:bidi w:val="0"/>
              <w:jc w:val="center"/>
            </w:pPr>
            <w:r>
              <w:t>0.182</w:t>
            </w:r>
          </w:p>
        </w:tc>
        <w:tc>
          <w:tcPr>
            <w:tcW w:w="449" w:type="pct"/>
            <w:vAlign w:val="center"/>
          </w:tcPr>
          <w:p w14:paraId="6E4244D0">
            <w:pPr>
              <w:pStyle w:val="26"/>
              <w:bidi w:val="0"/>
              <w:jc w:val="center"/>
            </w:pPr>
            <w:r>
              <w:t>0.109</w:t>
            </w:r>
          </w:p>
        </w:tc>
        <w:tc>
          <w:tcPr>
            <w:tcW w:w="470" w:type="pct"/>
            <w:vAlign w:val="center"/>
          </w:tcPr>
          <w:p w14:paraId="2FC63ED3">
            <w:pPr>
              <w:pStyle w:val="26"/>
              <w:bidi w:val="0"/>
              <w:jc w:val="center"/>
            </w:pPr>
            <w:r>
              <w:t>0.136</w:t>
            </w:r>
          </w:p>
        </w:tc>
        <w:tc>
          <w:tcPr>
            <w:tcW w:w="437" w:type="pct"/>
            <w:vAlign w:val="center"/>
          </w:tcPr>
          <w:p w14:paraId="09527AE6">
            <w:pPr>
              <w:pStyle w:val="26"/>
              <w:bidi w:val="0"/>
              <w:jc w:val="center"/>
            </w:pPr>
            <w:r>
              <w:t>0.135</w:t>
            </w:r>
          </w:p>
        </w:tc>
        <w:tc>
          <w:tcPr>
            <w:tcW w:w="448" w:type="pct"/>
            <w:vAlign w:val="center"/>
          </w:tcPr>
          <w:p w14:paraId="2C928B5F">
            <w:pPr>
              <w:pStyle w:val="26"/>
              <w:bidi w:val="0"/>
              <w:jc w:val="center"/>
            </w:pPr>
            <w:r>
              <w:t>0.183</w:t>
            </w:r>
          </w:p>
        </w:tc>
      </w:tr>
      <w:tr w14:paraId="482EC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7A0921EA">
            <w:pPr>
              <w:pStyle w:val="26"/>
              <w:bidi w:val="0"/>
              <w:jc w:val="center"/>
            </w:pPr>
            <w:r>
              <w:t>镉</w:t>
            </w:r>
          </w:p>
        </w:tc>
        <w:tc>
          <w:tcPr>
            <w:tcW w:w="524" w:type="pct"/>
            <w:vAlign w:val="center"/>
          </w:tcPr>
          <w:p w14:paraId="50CE6A24">
            <w:pPr>
              <w:pStyle w:val="26"/>
              <w:bidi w:val="0"/>
              <w:jc w:val="center"/>
            </w:pPr>
            <w:r>
              <w:t>mg/kg</w:t>
            </w:r>
          </w:p>
        </w:tc>
        <w:tc>
          <w:tcPr>
            <w:tcW w:w="540" w:type="pct"/>
            <w:vAlign w:val="center"/>
          </w:tcPr>
          <w:p w14:paraId="7D69C6AE">
            <w:pPr>
              <w:pStyle w:val="26"/>
              <w:bidi w:val="0"/>
              <w:jc w:val="center"/>
            </w:pPr>
            <w:r>
              <w:t>0.01</w:t>
            </w:r>
          </w:p>
        </w:tc>
        <w:tc>
          <w:tcPr>
            <w:tcW w:w="458" w:type="pct"/>
            <w:vAlign w:val="center"/>
          </w:tcPr>
          <w:p w14:paraId="3E760C3F">
            <w:pPr>
              <w:pStyle w:val="26"/>
              <w:bidi w:val="0"/>
              <w:jc w:val="center"/>
            </w:pPr>
            <w:r>
              <w:t>0.06</w:t>
            </w:r>
          </w:p>
        </w:tc>
        <w:tc>
          <w:tcPr>
            <w:tcW w:w="462" w:type="pct"/>
            <w:vAlign w:val="center"/>
          </w:tcPr>
          <w:p w14:paraId="6714D1F2">
            <w:pPr>
              <w:pStyle w:val="26"/>
              <w:bidi w:val="0"/>
              <w:jc w:val="center"/>
            </w:pPr>
            <w:r>
              <w:t>0.20</w:t>
            </w:r>
          </w:p>
        </w:tc>
        <w:tc>
          <w:tcPr>
            <w:tcW w:w="441" w:type="pct"/>
            <w:vAlign w:val="center"/>
          </w:tcPr>
          <w:p w14:paraId="42518F88">
            <w:pPr>
              <w:pStyle w:val="26"/>
              <w:bidi w:val="0"/>
              <w:jc w:val="center"/>
            </w:pPr>
            <w:r>
              <w:t>0.17</w:t>
            </w:r>
          </w:p>
        </w:tc>
        <w:tc>
          <w:tcPr>
            <w:tcW w:w="449" w:type="pct"/>
            <w:vAlign w:val="center"/>
          </w:tcPr>
          <w:p w14:paraId="223807C0">
            <w:pPr>
              <w:pStyle w:val="26"/>
              <w:bidi w:val="0"/>
              <w:jc w:val="center"/>
            </w:pPr>
            <w:r>
              <w:t>0.12</w:t>
            </w:r>
          </w:p>
        </w:tc>
        <w:tc>
          <w:tcPr>
            <w:tcW w:w="470" w:type="pct"/>
            <w:vAlign w:val="center"/>
          </w:tcPr>
          <w:p w14:paraId="132B522E">
            <w:pPr>
              <w:pStyle w:val="26"/>
              <w:bidi w:val="0"/>
              <w:jc w:val="center"/>
            </w:pPr>
            <w:r>
              <w:t>0.03</w:t>
            </w:r>
          </w:p>
        </w:tc>
        <w:tc>
          <w:tcPr>
            <w:tcW w:w="437" w:type="pct"/>
            <w:vAlign w:val="center"/>
          </w:tcPr>
          <w:p w14:paraId="01540DD1">
            <w:pPr>
              <w:pStyle w:val="26"/>
              <w:bidi w:val="0"/>
              <w:jc w:val="center"/>
            </w:pPr>
            <w:r>
              <w:t>0.22</w:t>
            </w:r>
          </w:p>
        </w:tc>
        <w:tc>
          <w:tcPr>
            <w:tcW w:w="448" w:type="pct"/>
            <w:vAlign w:val="center"/>
          </w:tcPr>
          <w:p w14:paraId="305B57BE">
            <w:pPr>
              <w:pStyle w:val="26"/>
              <w:bidi w:val="0"/>
              <w:jc w:val="center"/>
            </w:pPr>
            <w:r>
              <w:t>0.22</w:t>
            </w:r>
          </w:p>
        </w:tc>
      </w:tr>
      <w:tr w14:paraId="2FA28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40721610">
            <w:pPr>
              <w:pStyle w:val="26"/>
              <w:bidi w:val="0"/>
              <w:jc w:val="center"/>
            </w:pPr>
            <w:r>
              <w:t>铜</w:t>
            </w:r>
          </w:p>
        </w:tc>
        <w:tc>
          <w:tcPr>
            <w:tcW w:w="524" w:type="pct"/>
            <w:vAlign w:val="center"/>
          </w:tcPr>
          <w:p w14:paraId="4110A12A">
            <w:pPr>
              <w:pStyle w:val="26"/>
              <w:bidi w:val="0"/>
              <w:jc w:val="center"/>
            </w:pPr>
            <w:r>
              <w:t>mg/kg</w:t>
            </w:r>
          </w:p>
        </w:tc>
        <w:tc>
          <w:tcPr>
            <w:tcW w:w="540" w:type="pct"/>
            <w:vAlign w:val="center"/>
          </w:tcPr>
          <w:p w14:paraId="24612DC4">
            <w:pPr>
              <w:pStyle w:val="26"/>
              <w:bidi w:val="0"/>
              <w:jc w:val="center"/>
            </w:pPr>
            <w:r>
              <w:t>1</w:t>
            </w:r>
          </w:p>
        </w:tc>
        <w:tc>
          <w:tcPr>
            <w:tcW w:w="458" w:type="pct"/>
            <w:vAlign w:val="center"/>
          </w:tcPr>
          <w:p w14:paraId="71BDC76E">
            <w:pPr>
              <w:pStyle w:val="26"/>
              <w:bidi w:val="0"/>
              <w:jc w:val="center"/>
            </w:pPr>
            <w:r>
              <w:t>40</w:t>
            </w:r>
          </w:p>
        </w:tc>
        <w:tc>
          <w:tcPr>
            <w:tcW w:w="462" w:type="pct"/>
            <w:vAlign w:val="center"/>
          </w:tcPr>
          <w:p w14:paraId="60811185">
            <w:pPr>
              <w:pStyle w:val="26"/>
              <w:bidi w:val="0"/>
              <w:jc w:val="center"/>
            </w:pPr>
            <w:r>
              <w:t>42</w:t>
            </w:r>
          </w:p>
        </w:tc>
        <w:tc>
          <w:tcPr>
            <w:tcW w:w="441" w:type="pct"/>
            <w:vAlign w:val="center"/>
          </w:tcPr>
          <w:p w14:paraId="1F7EB1C7">
            <w:pPr>
              <w:pStyle w:val="26"/>
              <w:bidi w:val="0"/>
              <w:jc w:val="center"/>
            </w:pPr>
            <w:r>
              <w:t>44</w:t>
            </w:r>
          </w:p>
        </w:tc>
        <w:tc>
          <w:tcPr>
            <w:tcW w:w="449" w:type="pct"/>
            <w:vAlign w:val="center"/>
          </w:tcPr>
          <w:p w14:paraId="64FD7918">
            <w:pPr>
              <w:pStyle w:val="26"/>
              <w:bidi w:val="0"/>
              <w:jc w:val="center"/>
            </w:pPr>
            <w:r>
              <w:t>36</w:t>
            </w:r>
          </w:p>
        </w:tc>
        <w:tc>
          <w:tcPr>
            <w:tcW w:w="470" w:type="pct"/>
            <w:vAlign w:val="center"/>
          </w:tcPr>
          <w:p w14:paraId="1CFD7184">
            <w:pPr>
              <w:pStyle w:val="26"/>
              <w:bidi w:val="0"/>
              <w:jc w:val="center"/>
            </w:pPr>
            <w:r>
              <w:t>43</w:t>
            </w:r>
          </w:p>
        </w:tc>
        <w:tc>
          <w:tcPr>
            <w:tcW w:w="437" w:type="pct"/>
            <w:vAlign w:val="center"/>
          </w:tcPr>
          <w:p w14:paraId="27C57EC8">
            <w:pPr>
              <w:pStyle w:val="26"/>
              <w:bidi w:val="0"/>
              <w:jc w:val="center"/>
            </w:pPr>
            <w:r>
              <w:t>36</w:t>
            </w:r>
          </w:p>
        </w:tc>
        <w:tc>
          <w:tcPr>
            <w:tcW w:w="448" w:type="pct"/>
            <w:vAlign w:val="center"/>
          </w:tcPr>
          <w:p w14:paraId="6CD2B0B8">
            <w:pPr>
              <w:pStyle w:val="26"/>
              <w:bidi w:val="0"/>
              <w:jc w:val="center"/>
            </w:pPr>
            <w:r>
              <w:t>40</w:t>
            </w:r>
          </w:p>
        </w:tc>
      </w:tr>
      <w:tr w14:paraId="14F87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65D65D7B">
            <w:pPr>
              <w:pStyle w:val="26"/>
              <w:bidi w:val="0"/>
              <w:jc w:val="center"/>
            </w:pPr>
            <w:r>
              <w:t>铅</w:t>
            </w:r>
          </w:p>
        </w:tc>
        <w:tc>
          <w:tcPr>
            <w:tcW w:w="524" w:type="pct"/>
            <w:vAlign w:val="center"/>
          </w:tcPr>
          <w:p w14:paraId="2A1E28C7">
            <w:pPr>
              <w:pStyle w:val="26"/>
              <w:bidi w:val="0"/>
              <w:jc w:val="center"/>
            </w:pPr>
            <w:r>
              <w:t>mg/kg</w:t>
            </w:r>
          </w:p>
        </w:tc>
        <w:tc>
          <w:tcPr>
            <w:tcW w:w="540" w:type="pct"/>
            <w:vAlign w:val="center"/>
          </w:tcPr>
          <w:p w14:paraId="5DACD265">
            <w:pPr>
              <w:pStyle w:val="26"/>
              <w:bidi w:val="0"/>
              <w:jc w:val="center"/>
            </w:pPr>
            <w:r>
              <w:t>10</w:t>
            </w:r>
          </w:p>
        </w:tc>
        <w:tc>
          <w:tcPr>
            <w:tcW w:w="458" w:type="pct"/>
            <w:vAlign w:val="center"/>
          </w:tcPr>
          <w:p w14:paraId="73964C2A">
            <w:pPr>
              <w:pStyle w:val="26"/>
              <w:bidi w:val="0"/>
              <w:jc w:val="center"/>
            </w:pPr>
            <w:r>
              <w:t>40</w:t>
            </w:r>
          </w:p>
        </w:tc>
        <w:tc>
          <w:tcPr>
            <w:tcW w:w="462" w:type="pct"/>
            <w:vAlign w:val="center"/>
          </w:tcPr>
          <w:p w14:paraId="6FE18702">
            <w:pPr>
              <w:pStyle w:val="26"/>
              <w:bidi w:val="0"/>
              <w:jc w:val="center"/>
            </w:pPr>
            <w:r>
              <w:t>43</w:t>
            </w:r>
          </w:p>
        </w:tc>
        <w:tc>
          <w:tcPr>
            <w:tcW w:w="441" w:type="pct"/>
            <w:vAlign w:val="center"/>
          </w:tcPr>
          <w:p w14:paraId="24F956CC">
            <w:pPr>
              <w:pStyle w:val="26"/>
              <w:bidi w:val="0"/>
              <w:jc w:val="center"/>
            </w:pPr>
            <w:r>
              <w:t>46</w:t>
            </w:r>
          </w:p>
        </w:tc>
        <w:tc>
          <w:tcPr>
            <w:tcW w:w="449" w:type="pct"/>
            <w:vAlign w:val="center"/>
          </w:tcPr>
          <w:p w14:paraId="05DFC55E">
            <w:pPr>
              <w:pStyle w:val="26"/>
              <w:bidi w:val="0"/>
              <w:jc w:val="center"/>
            </w:pPr>
            <w:r>
              <w:t>38</w:t>
            </w:r>
          </w:p>
        </w:tc>
        <w:tc>
          <w:tcPr>
            <w:tcW w:w="470" w:type="pct"/>
            <w:vAlign w:val="center"/>
          </w:tcPr>
          <w:p w14:paraId="7D28F79C">
            <w:pPr>
              <w:pStyle w:val="26"/>
              <w:bidi w:val="0"/>
              <w:jc w:val="center"/>
            </w:pPr>
            <w:r>
              <w:t>46</w:t>
            </w:r>
          </w:p>
        </w:tc>
        <w:tc>
          <w:tcPr>
            <w:tcW w:w="437" w:type="pct"/>
            <w:vAlign w:val="center"/>
          </w:tcPr>
          <w:p w14:paraId="0340DF63">
            <w:pPr>
              <w:pStyle w:val="26"/>
              <w:bidi w:val="0"/>
              <w:jc w:val="center"/>
            </w:pPr>
            <w:r>
              <w:t>40</w:t>
            </w:r>
          </w:p>
        </w:tc>
        <w:tc>
          <w:tcPr>
            <w:tcW w:w="448" w:type="pct"/>
            <w:vAlign w:val="center"/>
          </w:tcPr>
          <w:p w14:paraId="7EBA1068">
            <w:pPr>
              <w:pStyle w:val="26"/>
              <w:bidi w:val="0"/>
              <w:jc w:val="center"/>
            </w:pPr>
            <w:r>
              <w:t>40</w:t>
            </w:r>
          </w:p>
        </w:tc>
      </w:tr>
      <w:tr w14:paraId="60E6C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18F072AC">
            <w:pPr>
              <w:pStyle w:val="26"/>
              <w:bidi w:val="0"/>
              <w:jc w:val="center"/>
            </w:pPr>
            <w:r>
              <w:t>镍</w:t>
            </w:r>
          </w:p>
        </w:tc>
        <w:tc>
          <w:tcPr>
            <w:tcW w:w="524" w:type="pct"/>
            <w:vAlign w:val="center"/>
          </w:tcPr>
          <w:p w14:paraId="397270CB">
            <w:pPr>
              <w:pStyle w:val="26"/>
              <w:bidi w:val="0"/>
              <w:jc w:val="center"/>
            </w:pPr>
            <w:r>
              <w:t>mg/kg</w:t>
            </w:r>
          </w:p>
        </w:tc>
        <w:tc>
          <w:tcPr>
            <w:tcW w:w="540" w:type="pct"/>
            <w:vAlign w:val="center"/>
          </w:tcPr>
          <w:p w14:paraId="183305F7">
            <w:pPr>
              <w:pStyle w:val="26"/>
              <w:bidi w:val="0"/>
              <w:jc w:val="center"/>
            </w:pPr>
            <w:r>
              <w:t>3</w:t>
            </w:r>
          </w:p>
        </w:tc>
        <w:tc>
          <w:tcPr>
            <w:tcW w:w="458" w:type="pct"/>
            <w:vAlign w:val="center"/>
          </w:tcPr>
          <w:p w14:paraId="2FCBE85D">
            <w:pPr>
              <w:pStyle w:val="26"/>
              <w:bidi w:val="0"/>
              <w:jc w:val="center"/>
            </w:pPr>
            <w:r>
              <w:t>40</w:t>
            </w:r>
          </w:p>
        </w:tc>
        <w:tc>
          <w:tcPr>
            <w:tcW w:w="462" w:type="pct"/>
            <w:vAlign w:val="center"/>
          </w:tcPr>
          <w:p w14:paraId="4C8F9B68">
            <w:pPr>
              <w:pStyle w:val="26"/>
              <w:bidi w:val="0"/>
              <w:jc w:val="center"/>
            </w:pPr>
            <w:r>
              <w:t>46</w:t>
            </w:r>
          </w:p>
        </w:tc>
        <w:tc>
          <w:tcPr>
            <w:tcW w:w="441" w:type="pct"/>
            <w:vAlign w:val="center"/>
          </w:tcPr>
          <w:p w14:paraId="49F6F753">
            <w:pPr>
              <w:pStyle w:val="26"/>
              <w:bidi w:val="0"/>
              <w:jc w:val="center"/>
            </w:pPr>
            <w:r>
              <w:t>51</w:t>
            </w:r>
          </w:p>
        </w:tc>
        <w:tc>
          <w:tcPr>
            <w:tcW w:w="449" w:type="pct"/>
            <w:vAlign w:val="center"/>
          </w:tcPr>
          <w:p w14:paraId="4CD1EBB3">
            <w:pPr>
              <w:pStyle w:val="26"/>
              <w:bidi w:val="0"/>
              <w:jc w:val="center"/>
            </w:pPr>
            <w:r>
              <w:t>42</w:t>
            </w:r>
          </w:p>
        </w:tc>
        <w:tc>
          <w:tcPr>
            <w:tcW w:w="470" w:type="pct"/>
            <w:vAlign w:val="center"/>
          </w:tcPr>
          <w:p w14:paraId="7CF9036F">
            <w:pPr>
              <w:pStyle w:val="26"/>
              <w:bidi w:val="0"/>
              <w:jc w:val="center"/>
            </w:pPr>
            <w:r>
              <w:t>53</w:t>
            </w:r>
          </w:p>
        </w:tc>
        <w:tc>
          <w:tcPr>
            <w:tcW w:w="437" w:type="pct"/>
            <w:vAlign w:val="center"/>
          </w:tcPr>
          <w:p w14:paraId="17FEB8FA">
            <w:pPr>
              <w:pStyle w:val="26"/>
              <w:bidi w:val="0"/>
              <w:jc w:val="center"/>
            </w:pPr>
            <w:r>
              <w:t>41</w:t>
            </w:r>
          </w:p>
        </w:tc>
        <w:tc>
          <w:tcPr>
            <w:tcW w:w="448" w:type="pct"/>
            <w:vAlign w:val="center"/>
          </w:tcPr>
          <w:p w14:paraId="3DF0880B">
            <w:pPr>
              <w:pStyle w:val="26"/>
              <w:bidi w:val="0"/>
              <w:jc w:val="center"/>
            </w:pPr>
            <w:r>
              <w:t>46</w:t>
            </w:r>
          </w:p>
        </w:tc>
      </w:tr>
      <w:tr w14:paraId="0F3EA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26E48197">
            <w:pPr>
              <w:pStyle w:val="26"/>
              <w:bidi w:val="0"/>
              <w:jc w:val="center"/>
            </w:pPr>
            <w:r>
              <w:t>锌</w:t>
            </w:r>
          </w:p>
        </w:tc>
        <w:tc>
          <w:tcPr>
            <w:tcW w:w="524" w:type="pct"/>
            <w:vAlign w:val="center"/>
          </w:tcPr>
          <w:p w14:paraId="738212F0">
            <w:pPr>
              <w:pStyle w:val="26"/>
              <w:bidi w:val="0"/>
              <w:jc w:val="center"/>
            </w:pPr>
            <w:r>
              <w:t>mg/kg</w:t>
            </w:r>
          </w:p>
        </w:tc>
        <w:tc>
          <w:tcPr>
            <w:tcW w:w="540" w:type="pct"/>
            <w:vAlign w:val="center"/>
          </w:tcPr>
          <w:p w14:paraId="5F31B782">
            <w:pPr>
              <w:pStyle w:val="26"/>
              <w:bidi w:val="0"/>
              <w:jc w:val="center"/>
            </w:pPr>
            <w:r>
              <w:t>1</w:t>
            </w:r>
          </w:p>
        </w:tc>
        <w:tc>
          <w:tcPr>
            <w:tcW w:w="458" w:type="pct"/>
            <w:vAlign w:val="center"/>
          </w:tcPr>
          <w:p w14:paraId="19AC168A">
            <w:pPr>
              <w:pStyle w:val="26"/>
              <w:bidi w:val="0"/>
              <w:jc w:val="center"/>
            </w:pPr>
            <w:r>
              <w:t>98</w:t>
            </w:r>
          </w:p>
        </w:tc>
        <w:tc>
          <w:tcPr>
            <w:tcW w:w="462" w:type="pct"/>
            <w:vAlign w:val="center"/>
          </w:tcPr>
          <w:p w14:paraId="70CD55DC">
            <w:pPr>
              <w:pStyle w:val="26"/>
              <w:bidi w:val="0"/>
              <w:jc w:val="center"/>
            </w:pPr>
            <w:r>
              <w:t>100</w:t>
            </w:r>
          </w:p>
        </w:tc>
        <w:tc>
          <w:tcPr>
            <w:tcW w:w="441" w:type="pct"/>
            <w:vAlign w:val="center"/>
          </w:tcPr>
          <w:p w14:paraId="0D83F2E4">
            <w:pPr>
              <w:pStyle w:val="26"/>
              <w:bidi w:val="0"/>
              <w:jc w:val="center"/>
            </w:pPr>
            <w:r>
              <w:t>105</w:t>
            </w:r>
          </w:p>
        </w:tc>
        <w:tc>
          <w:tcPr>
            <w:tcW w:w="449" w:type="pct"/>
            <w:vAlign w:val="center"/>
          </w:tcPr>
          <w:p w14:paraId="327F6D0F">
            <w:pPr>
              <w:pStyle w:val="26"/>
              <w:bidi w:val="0"/>
              <w:jc w:val="center"/>
            </w:pPr>
            <w:r>
              <w:t>93</w:t>
            </w:r>
          </w:p>
        </w:tc>
        <w:tc>
          <w:tcPr>
            <w:tcW w:w="470" w:type="pct"/>
            <w:vAlign w:val="center"/>
          </w:tcPr>
          <w:p w14:paraId="65E65DA0">
            <w:pPr>
              <w:pStyle w:val="26"/>
              <w:bidi w:val="0"/>
              <w:jc w:val="center"/>
            </w:pPr>
            <w:r>
              <w:t>106</w:t>
            </w:r>
          </w:p>
        </w:tc>
        <w:tc>
          <w:tcPr>
            <w:tcW w:w="437" w:type="pct"/>
            <w:vAlign w:val="center"/>
          </w:tcPr>
          <w:p w14:paraId="17922C19">
            <w:pPr>
              <w:pStyle w:val="26"/>
              <w:bidi w:val="0"/>
              <w:jc w:val="center"/>
            </w:pPr>
            <w:r>
              <w:t>99</w:t>
            </w:r>
          </w:p>
        </w:tc>
        <w:tc>
          <w:tcPr>
            <w:tcW w:w="448" w:type="pct"/>
            <w:vAlign w:val="center"/>
          </w:tcPr>
          <w:p w14:paraId="2A136B64">
            <w:pPr>
              <w:pStyle w:val="26"/>
              <w:bidi w:val="0"/>
              <w:jc w:val="center"/>
            </w:pPr>
            <w:r>
              <w:t>108</w:t>
            </w:r>
          </w:p>
        </w:tc>
      </w:tr>
      <w:tr w14:paraId="314E7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66" w:type="pct"/>
            <w:vAlign w:val="center"/>
          </w:tcPr>
          <w:p w14:paraId="75864E48">
            <w:pPr>
              <w:pStyle w:val="26"/>
              <w:bidi w:val="0"/>
              <w:jc w:val="center"/>
            </w:pPr>
            <w:r>
              <w:t>铬</w:t>
            </w:r>
          </w:p>
        </w:tc>
        <w:tc>
          <w:tcPr>
            <w:tcW w:w="524" w:type="pct"/>
            <w:vAlign w:val="center"/>
          </w:tcPr>
          <w:p w14:paraId="33D4B5A7">
            <w:pPr>
              <w:pStyle w:val="26"/>
              <w:bidi w:val="0"/>
              <w:jc w:val="center"/>
            </w:pPr>
            <w:r>
              <w:t>mg/kg</w:t>
            </w:r>
          </w:p>
        </w:tc>
        <w:tc>
          <w:tcPr>
            <w:tcW w:w="540" w:type="pct"/>
            <w:vAlign w:val="center"/>
          </w:tcPr>
          <w:p w14:paraId="1E902326">
            <w:pPr>
              <w:pStyle w:val="26"/>
              <w:bidi w:val="0"/>
              <w:jc w:val="center"/>
            </w:pPr>
            <w:r>
              <w:t>4</w:t>
            </w:r>
          </w:p>
        </w:tc>
        <w:tc>
          <w:tcPr>
            <w:tcW w:w="458" w:type="pct"/>
            <w:vAlign w:val="center"/>
          </w:tcPr>
          <w:p w14:paraId="60523984">
            <w:pPr>
              <w:pStyle w:val="26"/>
              <w:bidi w:val="0"/>
              <w:jc w:val="center"/>
            </w:pPr>
            <w:r>
              <w:t>50</w:t>
            </w:r>
          </w:p>
        </w:tc>
        <w:tc>
          <w:tcPr>
            <w:tcW w:w="462" w:type="pct"/>
            <w:vAlign w:val="center"/>
          </w:tcPr>
          <w:p w14:paraId="59B10483">
            <w:pPr>
              <w:pStyle w:val="26"/>
              <w:bidi w:val="0"/>
              <w:jc w:val="center"/>
            </w:pPr>
            <w:r>
              <w:t>51</w:t>
            </w:r>
          </w:p>
        </w:tc>
        <w:tc>
          <w:tcPr>
            <w:tcW w:w="441" w:type="pct"/>
            <w:vAlign w:val="center"/>
          </w:tcPr>
          <w:p w14:paraId="6E429CBF">
            <w:pPr>
              <w:pStyle w:val="26"/>
              <w:bidi w:val="0"/>
              <w:jc w:val="center"/>
            </w:pPr>
            <w:r>
              <w:t>48</w:t>
            </w:r>
          </w:p>
        </w:tc>
        <w:tc>
          <w:tcPr>
            <w:tcW w:w="449" w:type="pct"/>
            <w:vAlign w:val="center"/>
          </w:tcPr>
          <w:p w14:paraId="575DD974">
            <w:pPr>
              <w:pStyle w:val="26"/>
              <w:bidi w:val="0"/>
              <w:jc w:val="center"/>
            </w:pPr>
            <w:r>
              <w:t>49</w:t>
            </w:r>
          </w:p>
        </w:tc>
        <w:tc>
          <w:tcPr>
            <w:tcW w:w="470" w:type="pct"/>
            <w:vAlign w:val="center"/>
          </w:tcPr>
          <w:p w14:paraId="734384DD">
            <w:pPr>
              <w:pStyle w:val="26"/>
              <w:bidi w:val="0"/>
              <w:jc w:val="center"/>
            </w:pPr>
            <w:r>
              <w:t>61</w:t>
            </w:r>
          </w:p>
        </w:tc>
        <w:tc>
          <w:tcPr>
            <w:tcW w:w="437" w:type="pct"/>
            <w:vAlign w:val="center"/>
          </w:tcPr>
          <w:p w14:paraId="6E632D22">
            <w:pPr>
              <w:pStyle w:val="26"/>
              <w:bidi w:val="0"/>
              <w:jc w:val="center"/>
            </w:pPr>
            <w:r>
              <w:t>62</w:t>
            </w:r>
          </w:p>
        </w:tc>
        <w:tc>
          <w:tcPr>
            <w:tcW w:w="448" w:type="pct"/>
            <w:vAlign w:val="center"/>
          </w:tcPr>
          <w:p w14:paraId="1B510BEF">
            <w:pPr>
              <w:pStyle w:val="26"/>
              <w:bidi w:val="0"/>
              <w:jc w:val="center"/>
            </w:pPr>
            <w:r>
              <w:t>57</w:t>
            </w:r>
          </w:p>
        </w:tc>
      </w:tr>
      <w:tr w14:paraId="6565A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66" w:type="pct"/>
            <w:vAlign w:val="center"/>
          </w:tcPr>
          <w:p w14:paraId="500105D0">
            <w:pPr>
              <w:pStyle w:val="26"/>
              <w:bidi w:val="0"/>
              <w:jc w:val="center"/>
            </w:pPr>
            <w:r>
              <w:t>石油烃（C10-C40）</w:t>
            </w:r>
          </w:p>
        </w:tc>
        <w:tc>
          <w:tcPr>
            <w:tcW w:w="524" w:type="pct"/>
            <w:vAlign w:val="center"/>
          </w:tcPr>
          <w:p w14:paraId="153EC53F">
            <w:pPr>
              <w:pStyle w:val="26"/>
              <w:bidi w:val="0"/>
              <w:jc w:val="center"/>
            </w:pPr>
            <w:r>
              <w:t>mg/kg</w:t>
            </w:r>
          </w:p>
        </w:tc>
        <w:tc>
          <w:tcPr>
            <w:tcW w:w="540" w:type="pct"/>
            <w:vAlign w:val="center"/>
          </w:tcPr>
          <w:p w14:paraId="1E323C86">
            <w:pPr>
              <w:pStyle w:val="26"/>
              <w:bidi w:val="0"/>
              <w:jc w:val="center"/>
            </w:pPr>
            <w:r>
              <w:t>6</w:t>
            </w:r>
          </w:p>
        </w:tc>
        <w:tc>
          <w:tcPr>
            <w:tcW w:w="458" w:type="pct"/>
            <w:vAlign w:val="center"/>
          </w:tcPr>
          <w:p w14:paraId="75289489">
            <w:pPr>
              <w:pStyle w:val="26"/>
              <w:bidi w:val="0"/>
              <w:jc w:val="center"/>
            </w:pPr>
            <w:r>
              <w:t>16</w:t>
            </w:r>
          </w:p>
        </w:tc>
        <w:tc>
          <w:tcPr>
            <w:tcW w:w="462" w:type="pct"/>
            <w:vAlign w:val="center"/>
          </w:tcPr>
          <w:p w14:paraId="2AAE2B2E">
            <w:pPr>
              <w:pStyle w:val="26"/>
              <w:bidi w:val="0"/>
              <w:jc w:val="center"/>
            </w:pPr>
            <w:r>
              <w:t>20</w:t>
            </w:r>
          </w:p>
        </w:tc>
        <w:tc>
          <w:tcPr>
            <w:tcW w:w="441" w:type="pct"/>
            <w:vAlign w:val="center"/>
          </w:tcPr>
          <w:p w14:paraId="1DD32749">
            <w:pPr>
              <w:pStyle w:val="26"/>
              <w:bidi w:val="0"/>
              <w:jc w:val="center"/>
            </w:pPr>
            <w:r>
              <w:t>8</w:t>
            </w:r>
          </w:p>
        </w:tc>
        <w:tc>
          <w:tcPr>
            <w:tcW w:w="449" w:type="pct"/>
            <w:vAlign w:val="center"/>
          </w:tcPr>
          <w:p w14:paraId="614921A0">
            <w:pPr>
              <w:pStyle w:val="26"/>
              <w:bidi w:val="0"/>
              <w:jc w:val="center"/>
            </w:pPr>
            <w:r>
              <w:t>8</w:t>
            </w:r>
          </w:p>
        </w:tc>
        <w:tc>
          <w:tcPr>
            <w:tcW w:w="470" w:type="pct"/>
            <w:vAlign w:val="center"/>
          </w:tcPr>
          <w:p w14:paraId="57A5C0ED">
            <w:pPr>
              <w:pStyle w:val="26"/>
              <w:bidi w:val="0"/>
              <w:jc w:val="center"/>
            </w:pPr>
            <w:r>
              <w:t>8</w:t>
            </w:r>
          </w:p>
        </w:tc>
        <w:tc>
          <w:tcPr>
            <w:tcW w:w="437" w:type="pct"/>
            <w:vAlign w:val="center"/>
          </w:tcPr>
          <w:p w14:paraId="79A100BD">
            <w:pPr>
              <w:pStyle w:val="26"/>
              <w:bidi w:val="0"/>
              <w:jc w:val="center"/>
            </w:pPr>
            <w:r>
              <w:t>10</w:t>
            </w:r>
          </w:p>
        </w:tc>
        <w:tc>
          <w:tcPr>
            <w:tcW w:w="448" w:type="pct"/>
            <w:vAlign w:val="center"/>
          </w:tcPr>
          <w:p w14:paraId="79EB153D">
            <w:pPr>
              <w:pStyle w:val="26"/>
              <w:bidi w:val="0"/>
              <w:jc w:val="center"/>
            </w:pPr>
            <w:r>
              <w:t>17</w:t>
            </w:r>
          </w:p>
        </w:tc>
      </w:tr>
    </w:tbl>
    <w:p w14:paraId="5A2F868A">
      <w:pPr>
        <w:pStyle w:val="36"/>
        <w:bidi w:val="0"/>
        <w:jc w:val="left"/>
      </w:pPr>
      <w:r>
        <w:rPr>
          <w:rFonts w:hint="eastAsia"/>
          <w:lang w:val="en-US" w:eastAsia="zh-CN"/>
        </w:rPr>
        <w:t>备注：</w:t>
      </w:r>
      <w:r>
        <w:rPr>
          <w:rFonts w:hint="eastAsia"/>
        </w:rPr>
        <w:t>表格中仅展示有检出项目；</w:t>
      </w:r>
    </w:p>
    <w:p w14:paraId="5A32DDC6">
      <w:pPr>
        <w:rPr>
          <w:rFonts w:hint="eastAsia" w:eastAsia="仿宋_GB2312"/>
          <w:color w:val="auto"/>
          <w:lang w:eastAsia="zh-CN"/>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0508D167">
      <w:pPr>
        <w:pStyle w:val="3"/>
        <w:bidi w:val="0"/>
        <w:rPr>
          <w:color w:val="auto"/>
          <w:lang w:val="en-US" w:eastAsia="zh-CN"/>
        </w:rPr>
      </w:pPr>
      <w:bookmarkStart w:id="136" w:name="_Toc17666"/>
      <w:bookmarkStart w:id="137" w:name="_Toc28076"/>
      <w:r>
        <w:rPr>
          <w:rFonts w:hint="eastAsia"/>
          <w:color w:val="auto"/>
          <w:lang w:val="en-US" w:eastAsia="zh-CN"/>
        </w:rPr>
        <w:t>现有项目排污许可证及自行监测执行情况</w:t>
      </w:r>
      <w:bookmarkEnd w:id="136"/>
      <w:bookmarkEnd w:id="137"/>
    </w:p>
    <w:p w14:paraId="16A93ECB">
      <w:pPr>
        <w:rPr>
          <w:color w:val="auto"/>
        </w:rPr>
      </w:pPr>
      <w:r>
        <w:rPr>
          <w:rFonts w:hint="default"/>
          <w:color w:val="auto"/>
        </w:rPr>
        <w:t>企业已于202</w:t>
      </w:r>
      <w:r>
        <w:rPr>
          <w:rFonts w:hint="eastAsia" w:ascii="Times New Roman" w:eastAsia="仿宋_GB2312"/>
          <w:color w:val="auto"/>
          <w:lang w:val="en-US" w:eastAsia="zh-CN"/>
        </w:rPr>
        <w:t>5</w:t>
      </w:r>
      <w:r>
        <w:rPr>
          <w:rFonts w:hint="default"/>
          <w:color w:val="auto"/>
        </w:rPr>
        <w:t>年</w:t>
      </w:r>
      <w:r>
        <w:rPr>
          <w:rFonts w:hint="eastAsia"/>
          <w:color w:val="auto"/>
          <w:lang w:val="en-US" w:eastAsia="zh-CN"/>
        </w:rPr>
        <w:t>2</w:t>
      </w:r>
      <w:r>
        <w:rPr>
          <w:rFonts w:hint="default"/>
          <w:color w:val="auto"/>
        </w:rPr>
        <w:t>月</w:t>
      </w:r>
      <w:r>
        <w:rPr>
          <w:rFonts w:hint="eastAsia"/>
          <w:color w:val="auto"/>
          <w:lang w:val="en-US" w:eastAsia="zh-CN"/>
        </w:rPr>
        <w:t>17日</w:t>
      </w:r>
      <w:r>
        <w:rPr>
          <w:rFonts w:hint="eastAsia" w:ascii="Times New Roman" w:eastAsia="仿宋_GB2312"/>
          <w:color w:val="auto"/>
          <w:lang w:val="en-US" w:eastAsia="zh-CN"/>
        </w:rPr>
        <w:t>更新</w:t>
      </w:r>
      <w:r>
        <w:rPr>
          <w:rFonts w:hint="default"/>
          <w:color w:val="auto"/>
        </w:rPr>
        <w:t>排污许可证，许可证编号：913205837532061936001X，</w:t>
      </w:r>
      <w:r>
        <w:rPr>
          <w:color w:val="auto"/>
        </w:rPr>
        <w:t>属于重点管理企业，根据排污许可证相关要求，企业建立有监测制度</w:t>
      </w:r>
      <w:r>
        <w:rPr>
          <w:rFonts w:hint="eastAsia"/>
          <w:color w:val="auto"/>
          <w:lang w:eastAsia="zh-CN"/>
        </w:rPr>
        <w:t>，</w:t>
      </w:r>
      <w:r>
        <w:rPr>
          <w:color w:val="auto"/>
        </w:rPr>
        <w:t>同时企业定期委托有资质单位进行废气、噪声、废水例行监测。</w:t>
      </w:r>
    </w:p>
    <w:p w14:paraId="6229D4B1">
      <w:pPr>
        <w:rPr>
          <w:color w:val="auto"/>
        </w:rPr>
      </w:pPr>
      <w:r>
        <w:rPr>
          <w:color w:val="auto"/>
        </w:rPr>
        <w:t>企业建立有生产运行、污染治理设施运行等环境管理台账制度，设有专职人员开展台账记录、整理、维护等管理工作，企业需定期编制排污许可季报、年报，企业目前均按要求编制上述排污许可证执行报告，并上报管理部门。</w:t>
      </w:r>
    </w:p>
    <w:p w14:paraId="4AE05B55">
      <w:pPr>
        <w:pStyle w:val="3"/>
        <w:bidi w:val="0"/>
        <w:rPr>
          <w:rFonts w:hint="eastAsia"/>
          <w:lang w:val="en-US" w:eastAsia="zh-CN"/>
        </w:rPr>
      </w:pPr>
      <w:bookmarkStart w:id="138" w:name="_Toc10112"/>
      <w:bookmarkStart w:id="139" w:name="_Toc19533"/>
      <w:r>
        <w:rPr>
          <w:rFonts w:hint="eastAsia"/>
          <w:lang w:val="en-US" w:eastAsia="zh-CN"/>
        </w:rPr>
        <w:t>应急预案备案情况</w:t>
      </w:r>
      <w:bookmarkEnd w:id="138"/>
      <w:bookmarkEnd w:id="139"/>
    </w:p>
    <w:p w14:paraId="713357E9">
      <w:pPr>
        <w:spacing w:line="480" w:lineRule="exact"/>
        <w:rPr>
          <w:color w:val="auto"/>
          <w:highlight w:val="none"/>
        </w:rPr>
      </w:pPr>
      <w:r>
        <w:rPr>
          <w:color w:val="auto"/>
          <w:highlight w:val="none"/>
        </w:rPr>
        <w:t>企业已按照要求制定了《突发环境事件应急预案》，</w:t>
      </w:r>
      <w:r>
        <w:rPr>
          <w:color w:val="auto"/>
          <w:kern w:val="0"/>
          <w:szCs w:val="28"/>
          <w:highlight w:val="none"/>
        </w:rPr>
        <w:t>并于202</w:t>
      </w:r>
      <w:r>
        <w:rPr>
          <w:rFonts w:hint="eastAsia"/>
          <w:color w:val="auto"/>
          <w:kern w:val="0"/>
          <w:szCs w:val="28"/>
          <w:highlight w:val="none"/>
          <w:lang w:val="en-US" w:eastAsia="zh-CN"/>
        </w:rPr>
        <w:t>4</w:t>
      </w:r>
      <w:r>
        <w:rPr>
          <w:color w:val="auto"/>
          <w:kern w:val="0"/>
          <w:szCs w:val="28"/>
          <w:highlight w:val="none"/>
        </w:rPr>
        <w:t>年</w:t>
      </w:r>
      <w:r>
        <w:rPr>
          <w:rFonts w:hint="eastAsia"/>
          <w:color w:val="auto"/>
          <w:kern w:val="0"/>
          <w:szCs w:val="28"/>
          <w:highlight w:val="none"/>
          <w:lang w:val="en-US" w:eastAsia="zh-CN"/>
        </w:rPr>
        <w:t>12</w:t>
      </w:r>
      <w:r>
        <w:rPr>
          <w:rFonts w:hint="eastAsia"/>
          <w:color w:val="auto"/>
          <w:kern w:val="0"/>
          <w:szCs w:val="28"/>
          <w:highlight w:val="none"/>
        </w:rPr>
        <w:t>月</w:t>
      </w:r>
      <w:r>
        <w:rPr>
          <w:rFonts w:hint="eastAsia"/>
          <w:color w:val="auto"/>
          <w:kern w:val="0"/>
          <w:szCs w:val="28"/>
          <w:highlight w:val="none"/>
          <w:lang w:val="en-US" w:eastAsia="zh-CN"/>
        </w:rPr>
        <w:t>26</w:t>
      </w:r>
      <w:r>
        <w:rPr>
          <w:color w:val="auto"/>
          <w:kern w:val="0"/>
          <w:szCs w:val="28"/>
          <w:highlight w:val="none"/>
        </w:rPr>
        <w:t>日在</w:t>
      </w:r>
      <w:r>
        <w:rPr>
          <w:rFonts w:hint="eastAsia" w:ascii="Times New Roman" w:eastAsia="仿宋_GB2312"/>
          <w:color w:val="auto"/>
          <w:kern w:val="0"/>
          <w:szCs w:val="28"/>
          <w:highlight w:val="none"/>
          <w:lang w:val="en-US" w:eastAsia="zh-CN"/>
        </w:rPr>
        <w:t>苏州市昆山生态环境局</w:t>
      </w:r>
      <w:r>
        <w:rPr>
          <w:color w:val="auto"/>
          <w:kern w:val="0"/>
          <w:szCs w:val="28"/>
          <w:highlight w:val="none"/>
        </w:rPr>
        <w:t>进行备案（备案号：</w:t>
      </w:r>
      <w:r>
        <w:rPr>
          <w:rFonts w:hint="eastAsia" w:ascii="Times New Roman" w:eastAsia="仿宋_GB2312"/>
          <w:color w:val="auto"/>
          <w:kern w:val="0"/>
          <w:szCs w:val="28"/>
          <w:highlight w:val="none"/>
          <w:lang w:val="en-US" w:eastAsia="zh-CN"/>
        </w:rPr>
        <w:t>320583-202</w:t>
      </w:r>
      <w:r>
        <w:rPr>
          <w:rFonts w:hint="eastAsia"/>
          <w:color w:val="auto"/>
          <w:kern w:val="0"/>
          <w:szCs w:val="28"/>
          <w:highlight w:val="none"/>
          <w:lang w:val="en-US" w:eastAsia="zh-CN"/>
        </w:rPr>
        <w:t>4</w:t>
      </w:r>
      <w:r>
        <w:rPr>
          <w:rFonts w:hint="eastAsia" w:ascii="Times New Roman" w:eastAsia="仿宋_GB2312"/>
          <w:color w:val="auto"/>
          <w:kern w:val="0"/>
          <w:szCs w:val="28"/>
          <w:highlight w:val="none"/>
          <w:lang w:val="en-US" w:eastAsia="zh-CN"/>
        </w:rPr>
        <w:t>-2</w:t>
      </w:r>
      <w:r>
        <w:rPr>
          <w:rFonts w:hint="eastAsia"/>
          <w:color w:val="auto"/>
          <w:kern w:val="0"/>
          <w:szCs w:val="28"/>
          <w:highlight w:val="none"/>
          <w:lang w:val="en-US" w:eastAsia="zh-CN"/>
        </w:rPr>
        <w:t>900</w:t>
      </w:r>
      <w:r>
        <w:rPr>
          <w:rFonts w:hint="eastAsia" w:ascii="Times New Roman" w:eastAsia="仿宋_GB2312"/>
          <w:color w:val="auto"/>
          <w:kern w:val="0"/>
          <w:szCs w:val="28"/>
          <w:highlight w:val="none"/>
          <w:lang w:val="en-US" w:eastAsia="zh-CN"/>
        </w:rPr>
        <w:t>-</w:t>
      </w:r>
      <w:r>
        <w:rPr>
          <w:rFonts w:hint="eastAsia"/>
          <w:color w:val="auto"/>
          <w:kern w:val="0"/>
          <w:szCs w:val="28"/>
          <w:highlight w:val="none"/>
          <w:lang w:val="en-US" w:eastAsia="zh-CN"/>
        </w:rPr>
        <w:t>M</w:t>
      </w:r>
      <w:r>
        <w:rPr>
          <w:color w:val="auto"/>
          <w:kern w:val="0"/>
          <w:szCs w:val="28"/>
          <w:highlight w:val="none"/>
        </w:rPr>
        <w:t>），</w:t>
      </w:r>
      <w:r>
        <w:rPr>
          <w:color w:val="auto"/>
          <w:highlight w:val="none"/>
        </w:rPr>
        <w:t>风险等级为</w:t>
      </w:r>
      <w:r>
        <w:rPr>
          <w:rFonts w:hint="eastAsia"/>
          <w:color w:val="auto"/>
          <w:highlight w:val="none"/>
          <w:lang w:val="en-US" w:eastAsia="zh-CN"/>
        </w:rPr>
        <w:t>较大</w:t>
      </w:r>
      <w:r>
        <w:rPr>
          <w:rFonts w:hint="eastAsia"/>
          <w:color w:val="auto"/>
          <w:highlight w:val="none"/>
        </w:rPr>
        <w:t>环境风险</w:t>
      </w:r>
      <w:r>
        <w:rPr>
          <w:rFonts w:hint="eastAsia"/>
          <w:color w:val="auto"/>
          <w:highlight w:val="none"/>
          <w:lang w:eastAsia="zh-CN"/>
        </w:rPr>
        <w:t>【</w:t>
      </w:r>
      <w:r>
        <w:rPr>
          <w:rFonts w:hint="eastAsia"/>
          <w:color w:val="auto"/>
          <w:highlight w:val="none"/>
          <w:lang w:val="en-US" w:eastAsia="zh-CN"/>
        </w:rPr>
        <w:t>较大-气（Q1-M1-E1）+较大-水（Q2-M1-E2）</w:t>
      </w:r>
      <w:r>
        <w:rPr>
          <w:rFonts w:hint="eastAsia"/>
          <w:color w:val="auto"/>
          <w:highlight w:val="none"/>
          <w:lang w:eastAsia="zh-CN"/>
        </w:rPr>
        <w:t>】</w:t>
      </w:r>
      <w:r>
        <w:rPr>
          <w:color w:val="auto"/>
          <w:highlight w:val="none"/>
        </w:rPr>
        <w:t>。</w:t>
      </w:r>
    </w:p>
    <w:p w14:paraId="7DC07ABC">
      <w:pPr>
        <w:pStyle w:val="25"/>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3.7</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color w:val="auto"/>
        </w:rPr>
        <w:t>现有项目环境风险回顾</w:t>
      </w:r>
    </w:p>
    <w:tbl>
      <w:tblPr>
        <w:tblStyle w:val="21"/>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3"/>
        <w:gridCol w:w="1454"/>
        <w:gridCol w:w="3158"/>
        <w:gridCol w:w="3059"/>
      </w:tblGrid>
      <w:tr w14:paraId="29C2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392" w:type="pct"/>
            <w:tcMar>
              <w:left w:w="0" w:type="dxa"/>
              <w:right w:w="0" w:type="dxa"/>
            </w:tcMar>
            <w:vAlign w:val="center"/>
          </w:tcPr>
          <w:p w14:paraId="2CCDAF41">
            <w:pPr>
              <w:pStyle w:val="36"/>
              <w:bidi w:val="0"/>
              <w:rPr>
                <w:color w:val="auto"/>
              </w:rPr>
            </w:pPr>
            <w:r>
              <w:rPr>
                <w:color w:val="auto"/>
              </w:rPr>
              <w:t>序号</w:t>
            </w:r>
          </w:p>
        </w:tc>
        <w:tc>
          <w:tcPr>
            <w:tcW w:w="873" w:type="pct"/>
            <w:tcMar>
              <w:left w:w="0" w:type="dxa"/>
              <w:right w:w="0" w:type="dxa"/>
            </w:tcMar>
            <w:vAlign w:val="center"/>
          </w:tcPr>
          <w:p w14:paraId="5AEC19B8">
            <w:pPr>
              <w:pStyle w:val="36"/>
              <w:bidi w:val="0"/>
              <w:rPr>
                <w:color w:val="auto"/>
              </w:rPr>
            </w:pPr>
            <w:r>
              <w:rPr>
                <w:color w:val="auto"/>
              </w:rPr>
              <w:t>相关内容</w:t>
            </w:r>
          </w:p>
        </w:tc>
        <w:tc>
          <w:tcPr>
            <w:tcW w:w="1896" w:type="pct"/>
            <w:tcMar>
              <w:left w:w="0" w:type="dxa"/>
              <w:right w:w="0" w:type="dxa"/>
            </w:tcMar>
            <w:vAlign w:val="center"/>
          </w:tcPr>
          <w:p w14:paraId="14CE9890">
            <w:pPr>
              <w:pStyle w:val="36"/>
              <w:bidi w:val="0"/>
              <w:rPr>
                <w:color w:val="auto"/>
              </w:rPr>
            </w:pPr>
            <w:r>
              <w:rPr>
                <w:color w:val="auto"/>
              </w:rPr>
              <w:t>防范要求</w:t>
            </w:r>
          </w:p>
        </w:tc>
        <w:tc>
          <w:tcPr>
            <w:tcW w:w="1837" w:type="pct"/>
            <w:tcMar>
              <w:left w:w="0" w:type="dxa"/>
              <w:right w:w="0" w:type="dxa"/>
            </w:tcMar>
            <w:vAlign w:val="center"/>
          </w:tcPr>
          <w:p w14:paraId="005F27CB">
            <w:pPr>
              <w:pStyle w:val="36"/>
              <w:bidi w:val="0"/>
              <w:rPr>
                <w:color w:val="auto"/>
              </w:rPr>
            </w:pPr>
            <w:r>
              <w:rPr>
                <w:color w:val="auto"/>
              </w:rPr>
              <w:t>企业落实情况及完善建议</w:t>
            </w:r>
          </w:p>
        </w:tc>
      </w:tr>
      <w:tr w14:paraId="0105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392" w:type="pct"/>
            <w:vMerge w:val="restart"/>
            <w:tcMar>
              <w:left w:w="0" w:type="dxa"/>
              <w:right w:w="0" w:type="dxa"/>
            </w:tcMar>
            <w:vAlign w:val="center"/>
          </w:tcPr>
          <w:p w14:paraId="7C95051F">
            <w:pPr>
              <w:pStyle w:val="26"/>
              <w:bidi w:val="0"/>
              <w:rPr>
                <w:color w:val="auto"/>
              </w:rPr>
            </w:pPr>
            <w:r>
              <w:rPr>
                <w:color w:val="auto"/>
              </w:rPr>
              <w:t>1</w:t>
            </w:r>
          </w:p>
        </w:tc>
        <w:tc>
          <w:tcPr>
            <w:tcW w:w="873" w:type="pct"/>
            <w:vMerge w:val="restart"/>
            <w:tcMar>
              <w:left w:w="0" w:type="dxa"/>
              <w:right w:w="0" w:type="dxa"/>
            </w:tcMar>
            <w:vAlign w:val="center"/>
          </w:tcPr>
          <w:p w14:paraId="22FF7DE4">
            <w:pPr>
              <w:pStyle w:val="26"/>
              <w:bidi w:val="0"/>
              <w:rPr>
                <w:color w:val="auto"/>
              </w:rPr>
            </w:pPr>
            <w:r>
              <w:rPr>
                <w:color w:val="auto"/>
              </w:rPr>
              <w:t>环境风险防范措施</w:t>
            </w:r>
          </w:p>
        </w:tc>
        <w:tc>
          <w:tcPr>
            <w:tcW w:w="1896" w:type="pct"/>
            <w:tcMar>
              <w:left w:w="0" w:type="dxa"/>
              <w:right w:w="0" w:type="dxa"/>
            </w:tcMar>
            <w:vAlign w:val="center"/>
          </w:tcPr>
          <w:p w14:paraId="577887DA">
            <w:pPr>
              <w:pStyle w:val="26"/>
              <w:bidi w:val="0"/>
              <w:rPr>
                <w:color w:val="auto"/>
              </w:rPr>
            </w:pPr>
            <w:r>
              <w:rPr>
                <w:color w:val="auto"/>
              </w:rPr>
              <w:t>涉气环境风险防范措施建设情况，包括有毒有害气体预警体系建设等</w:t>
            </w:r>
          </w:p>
        </w:tc>
        <w:tc>
          <w:tcPr>
            <w:tcW w:w="1837" w:type="pct"/>
            <w:tcMar>
              <w:left w:w="0" w:type="dxa"/>
              <w:right w:w="0" w:type="dxa"/>
            </w:tcMar>
            <w:vAlign w:val="center"/>
          </w:tcPr>
          <w:p w14:paraId="36CD120F">
            <w:pPr>
              <w:pStyle w:val="26"/>
              <w:bidi w:val="0"/>
              <w:rPr>
                <w:color w:val="auto"/>
              </w:rPr>
            </w:pPr>
            <w:r>
              <w:rPr>
                <w:color w:val="auto"/>
              </w:rPr>
              <w:t>应急预案中已针对环境风险源监控提出具体措施，企业已对照执行</w:t>
            </w:r>
          </w:p>
        </w:tc>
      </w:tr>
      <w:tr w14:paraId="0FC8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392" w:type="pct"/>
            <w:vMerge w:val="continue"/>
            <w:tcMar>
              <w:left w:w="0" w:type="dxa"/>
              <w:right w:w="0" w:type="dxa"/>
            </w:tcMar>
            <w:vAlign w:val="center"/>
          </w:tcPr>
          <w:p w14:paraId="7D9C33EF">
            <w:pPr>
              <w:pStyle w:val="26"/>
              <w:bidi w:val="0"/>
              <w:rPr>
                <w:color w:val="auto"/>
              </w:rPr>
            </w:pPr>
          </w:p>
        </w:tc>
        <w:tc>
          <w:tcPr>
            <w:tcW w:w="873" w:type="pct"/>
            <w:vMerge w:val="continue"/>
            <w:tcMar>
              <w:left w:w="0" w:type="dxa"/>
              <w:right w:w="0" w:type="dxa"/>
            </w:tcMar>
            <w:vAlign w:val="center"/>
          </w:tcPr>
          <w:p w14:paraId="4A7B1C05">
            <w:pPr>
              <w:pStyle w:val="26"/>
              <w:bidi w:val="0"/>
              <w:rPr>
                <w:color w:val="auto"/>
              </w:rPr>
            </w:pPr>
          </w:p>
        </w:tc>
        <w:tc>
          <w:tcPr>
            <w:tcW w:w="1896" w:type="pct"/>
            <w:tcMar>
              <w:left w:w="0" w:type="dxa"/>
              <w:right w:w="0" w:type="dxa"/>
            </w:tcMar>
            <w:vAlign w:val="center"/>
          </w:tcPr>
          <w:p w14:paraId="6A473C21">
            <w:pPr>
              <w:pStyle w:val="26"/>
              <w:bidi w:val="0"/>
              <w:rPr>
                <w:color w:val="auto"/>
              </w:rPr>
            </w:pPr>
            <w:r>
              <w:rPr>
                <w:color w:val="auto"/>
              </w:rPr>
              <w:t>涉水环境风险防范措施建设情况，包括围堰、应急池、雨排闸阀及其导流设施建设等</w:t>
            </w:r>
          </w:p>
        </w:tc>
        <w:tc>
          <w:tcPr>
            <w:tcW w:w="1837" w:type="pct"/>
            <w:tcMar>
              <w:left w:w="0" w:type="dxa"/>
              <w:right w:w="0" w:type="dxa"/>
            </w:tcMar>
            <w:vAlign w:val="center"/>
          </w:tcPr>
          <w:p w14:paraId="510B499C">
            <w:pPr>
              <w:pStyle w:val="26"/>
              <w:bidi w:val="0"/>
              <w:rPr>
                <w:color w:val="auto"/>
              </w:rPr>
            </w:pPr>
            <w:r>
              <w:rPr>
                <w:color w:val="auto"/>
              </w:rPr>
              <w:t>公司设有应急池、</w:t>
            </w:r>
            <w:r>
              <w:rPr>
                <w:rFonts w:hint="eastAsia"/>
                <w:color w:val="auto"/>
              </w:rPr>
              <w:t>初期雨水池、</w:t>
            </w:r>
            <w:r>
              <w:rPr>
                <w:color w:val="auto"/>
              </w:rPr>
              <w:t>雨排闸阀、事故水管道等</w:t>
            </w:r>
          </w:p>
        </w:tc>
      </w:tr>
      <w:tr w14:paraId="0677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392" w:type="pct"/>
            <w:tcMar>
              <w:left w:w="0" w:type="dxa"/>
              <w:right w:w="0" w:type="dxa"/>
            </w:tcMar>
            <w:vAlign w:val="center"/>
          </w:tcPr>
          <w:p w14:paraId="1D81E442">
            <w:pPr>
              <w:pStyle w:val="26"/>
              <w:bidi w:val="0"/>
              <w:rPr>
                <w:color w:val="auto"/>
              </w:rPr>
            </w:pPr>
            <w:r>
              <w:rPr>
                <w:color w:val="auto"/>
              </w:rPr>
              <w:t>2</w:t>
            </w:r>
          </w:p>
        </w:tc>
        <w:tc>
          <w:tcPr>
            <w:tcW w:w="873" w:type="pct"/>
            <w:tcMar>
              <w:left w:w="0" w:type="dxa"/>
              <w:right w:w="0" w:type="dxa"/>
            </w:tcMar>
            <w:vAlign w:val="center"/>
          </w:tcPr>
          <w:p w14:paraId="221BAE4D">
            <w:pPr>
              <w:pStyle w:val="26"/>
              <w:bidi w:val="0"/>
              <w:rPr>
                <w:color w:val="auto"/>
              </w:rPr>
            </w:pPr>
            <w:r>
              <w:rPr>
                <w:color w:val="auto"/>
              </w:rPr>
              <w:t>环境风险防控体系的衔接</w:t>
            </w:r>
          </w:p>
        </w:tc>
        <w:tc>
          <w:tcPr>
            <w:tcW w:w="1896" w:type="pct"/>
            <w:tcMar>
              <w:left w:w="0" w:type="dxa"/>
              <w:right w:w="0" w:type="dxa"/>
            </w:tcMar>
            <w:vAlign w:val="center"/>
          </w:tcPr>
          <w:p w14:paraId="0CF12984">
            <w:pPr>
              <w:pStyle w:val="26"/>
              <w:bidi w:val="0"/>
              <w:rPr>
                <w:color w:val="auto"/>
              </w:rPr>
            </w:pPr>
            <w:r>
              <w:rPr>
                <w:color w:val="auto"/>
              </w:rPr>
              <w:t>位于园区的建设项目，应分析本项目风险防控设施与所在园区环境风险防控设施的衔接情况</w:t>
            </w:r>
          </w:p>
        </w:tc>
        <w:tc>
          <w:tcPr>
            <w:tcW w:w="1837" w:type="pct"/>
            <w:tcMar>
              <w:left w:w="0" w:type="dxa"/>
              <w:right w:w="0" w:type="dxa"/>
            </w:tcMar>
            <w:vAlign w:val="center"/>
          </w:tcPr>
          <w:p w14:paraId="0BDF833F">
            <w:pPr>
              <w:pStyle w:val="26"/>
              <w:bidi w:val="0"/>
              <w:rPr>
                <w:color w:val="auto"/>
              </w:rPr>
            </w:pPr>
            <w:r>
              <w:rPr>
                <w:color w:val="auto"/>
              </w:rPr>
              <w:t>现有应急预案已具体阐述企业现有风险防控设施与所在园区环境风险防控设施的衔接情况，企业已对照执行</w:t>
            </w:r>
          </w:p>
        </w:tc>
      </w:tr>
      <w:tr w14:paraId="6215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392" w:type="pct"/>
            <w:tcMar>
              <w:left w:w="0" w:type="dxa"/>
              <w:right w:w="0" w:type="dxa"/>
            </w:tcMar>
            <w:vAlign w:val="center"/>
          </w:tcPr>
          <w:p w14:paraId="79C9FB22">
            <w:pPr>
              <w:pStyle w:val="26"/>
              <w:bidi w:val="0"/>
              <w:rPr>
                <w:color w:val="auto"/>
              </w:rPr>
            </w:pPr>
            <w:r>
              <w:rPr>
                <w:color w:val="auto"/>
              </w:rPr>
              <w:t>3</w:t>
            </w:r>
          </w:p>
        </w:tc>
        <w:tc>
          <w:tcPr>
            <w:tcW w:w="873" w:type="pct"/>
            <w:tcMar>
              <w:left w:w="0" w:type="dxa"/>
              <w:right w:w="0" w:type="dxa"/>
            </w:tcMar>
            <w:vAlign w:val="center"/>
          </w:tcPr>
          <w:p w14:paraId="38079FE9">
            <w:pPr>
              <w:pStyle w:val="26"/>
              <w:bidi w:val="0"/>
              <w:rPr>
                <w:color w:val="auto"/>
              </w:rPr>
            </w:pPr>
            <w:r>
              <w:rPr>
                <w:color w:val="auto"/>
              </w:rPr>
              <w:t>突发环境事件应急预案</w:t>
            </w:r>
          </w:p>
        </w:tc>
        <w:tc>
          <w:tcPr>
            <w:tcW w:w="1896" w:type="pct"/>
            <w:tcMar>
              <w:left w:w="0" w:type="dxa"/>
              <w:right w:w="0" w:type="dxa"/>
            </w:tcMar>
            <w:vAlign w:val="center"/>
          </w:tcPr>
          <w:p w14:paraId="756D816D">
            <w:pPr>
              <w:pStyle w:val="26"/>
              <w:bidi w:val="0"/>
              <w:rPr>
                <w:color w:val="auto"/>
              </w:rPr>
            </w:pPr>
            <w:r>
              <w:rPr>
                <w:color w:val="auto"/>
              </w:rPr>
              <w:t>应急预案编制和修订情况，培训、应急演练的落实情况，环境应急物资装备、应急队伍的配备情况</w:t>
            </w:r>
          </w:p>
        </w:tc>
        <w:tc>
          <w:tcPr>
            <w:tcW w:w="1837" w:type="pct"/>
            <w:tcMar>
              <w:left w:w="0" w:type="dxa"/>
              <w:right w:w="0" w:type="dxa"/>
            </w:tcMar>
            <w:vAlign w:val="center"/>
          </w:tcPr>
          <w:p w14:paraId="067EE64F">
            <w:pPr>
              <w:pStyle w:val="26"/>
              <w:bidi w:val="0"/>
              <w:rPr>
                <w:color w:val="auto"/>
              </w:rPr>
            </w:pPr>
            <w:r>
              <w:rPr>
                <w:color w:val="auto"/>
              </w:rPr>
              <w:t>现有应急预案于202</w:t>
            </w:r>
            <w:r>
              <w:rPr>
                <w:rFonts w:hint="eastAsia"/>
                <w:color w:val="auto"/>
                <w:lang w:val="en-US" w:eastAsia="zh-CN"/>
              </w:rPr>
              <w:t>4</w:t>
            </w:r>
            <w:r>
              <w:rPr>
                <w:color w:val="auto"/>
                <w:highlight w:val="none"/>
              </w:rPr>
              <w:t>年</w:t>
            </w:r>
            <w:r>
              <w:rPr>
                <w:rFonts w:hint="eastAsia"/>
                <w:color w:val="auto"/>
                <w:highlight w:val="none"/>
                <w:lang w:val="en-US" w:eastAsia="zh-CN"/>
              </w:rPr>
              <w:t>12</w:t>
            </w:r>
            <w:r>
              <w:rPr>
                <w:rFonts w:hint="eastAsia"/>
                <w:color w:val="auto"/>
                <w:highlight w:val="none"/>
              </w:rPr>
              <w:t>月</w:t>
            </w:r>
            <w:r>
              <w:rPr>
                <w:rFonts w:hint="eastAsia"/>
                <w:color w:val="auto"/>
                <w:highlight w:val="none"/>
                <w:lang w:val="en-US" w:eastAsia="zh-CN"/>
              </w:rPr>
              <w:t>26</w:t>
            </w:r>
            <w:r>
              <w:rPr>
                <w:color w:val="auto"/>
                <w:highlight w:val="none"/>
              </w:rPr>
              <w:t>日</w:t>
            </w:r>
            <w:r>
              <w:rPr>
                <w:color w:val="auto"/>
              </w:rPr>
              <w:t>取得备案，企业应按照相关导则要求修编应急预案</w:t>
            </w:r>
          </w:p>
        </w:tc>
      </w:tr>
      <w:tr w14:paraId="1F93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392" w:type="pct"/>
            <w:tcMar>
              <w:left w:w="0" w:type="dxa"/>
              <w:right w:w="0" w:type="dxa"/>
            </w:tcMar>
            <w:vAlign w:val="center"/>
          </w:tcPr>
          <w:p w14:paraId="475F2738">
            <w:pPr>
              <w:pStyle w:val="26"/>
              <w:bidi w:val="0"/>
              <w:rPr>
                <w:color w:val="auto"/>
              </w:rPr>
            </w:pPr>
            <w:r>
              <w:rPr>
                <w:color w:val="auto"/>
              </w:rPr>
              <w:t>4</w:t>
            </w:r>
          </w:p>
        </w:tc>
        <w:tc>
          <w:tcPr>
            <w:tcW w:w="873" w:type="pct"/>
            <w:tcMar>
              <w:left w:w="0" w:type="dxa"/>
              <w:right w:w="0" w:type="dxa"/>
            </w:tcMar>
            <w:vAlign w:val="center"/>
          </w:tcPr>
          <w:p w14:paraId="4C95EF51">
            <w:pPr>
              <w:pStyle w:val="26"/>
              <w:bidi w:val="0"/>
              <w:rPr>
                <w:color w:val="auto"/>
              </w:rPr>
            </w:pPr>
            <w:r>
              <w:rPr>
                <w:color w:val="auto"/>
              </w:rPr>
              <w:t>突发环境事件隐患排查</w:t>
            </w:r>
          </w:p>
        </w:tc>
        <w:tc>
          <w:tcPr>
            <w:tcW w:w="1896" w:type="pct"/>
            <w:tcMar>
              <w:left w:w="0" w:type="dxa"/>
              <w:right w:w="0" w:type="dxa"/>
            </w:tcMar>
            <w:vAlign w:val="center"/>
          </w:tcPr>
          <w:p w14:paraId="63A073F2">
            <w:pPr>
              <w:pStyle w:val="26"/>
              <w:bidi w:val="0"/>
              <w:rPr>
                <w:color w:val="auto"/>
              </w:rPr>
            </w:pPr>
            <w:r>
              <w:rPr>
                <w:color w:val="auto"/>
              </w:rPr>
              <w:t>隐患排查制度建立和工作开展情况，重大隐患是否已整改到位</w:t>
            </w:r>
          </w:p>
        </w:tc>
        <w:tc>
          <w:tcPr>
            <w:tcW w:w="1837" w:type="pct"/>
            <w:tcMar>
              <w:left w:w="0" w:type="dxa"/>
              <w:right w:w="0" w:type="dxa"/>
            </w:tcMar>
            <w:vAlign w:val="center"/>
          </w:tcPr>
          <w:p w14:paraId="1E6FCFA5">
            <w:pPr>
              <w:pStyle w:val="26"/>
              <w:bidi w:val="0"/>
              <w:rPr>
                <w:color w:val="auto"/>
              </w:rPr>
            </w:pPr>
            <w:r>
              <w:rPr>
                <w:color w:val="auto"/>
              </w:rPr>
              <w:t>企业安环部门专门负责进行隐患排查制度建立及工作开展，企业现有安评、应急预案已备案</w:t>
            </w:r>
          </w:p>
        </w:tc>
      </w:tr>
      <w:tr w14:paraId="1A27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392" w:type="pct"/>
            <w:tcMar>
              <w:left w:w="0" w:type="dxa"/>
              <w:right w:w="0" w:type="dxa"/>
            </w:tcMar>
            <w:vAlign w:val="center"/>
          </w:tcPr>
          <w:p w14:paraId="5D6288CE">
            <w:pPr>
              <w:pStyle w:val="26"/>
              <w:bidi w:val="0"/>
              <w:rPr>
                <w:color w:val="auto"/>
              </w:rPr>
            </w:pPr>
            <w:r>
              <w:rPr>
                <w:color w:val="auto"/>
              </w:rPr>
              <w:t>5</w:t>
            </w:r>
          </w:p>
        </w:tc>
        <w:tc>
          <w:tcPr>
            <w:tcW w:w="873" w:type="pct"/>
            <w:tcMar>
              <w:left w:w="0" w:type="dxa"/>
              <w:right w:w="0" w:type="dxa"/>
            </w:tcMar>
            <w:vAlign w:val="center"/>
          </w:tcPr>
          <w:p w14:paraId="0B16273D">
            <w:pPr>
              <w:pStyle w:val="26"/>
              <w:bidi w:val="0"/>
              <w:rPr>
                <w:color w:val="auto"/>
              </w:rPr>
            </w:pPr>
            <w:r>
              <w:rPr>
                <w:color w:val="auto"/>
              </w:rPr>
              <w:t>污染防治设施的安全风险辨识</w:t>
            </w:r>
          </w:p>
        </w:tc>
        <w:tc>
          <w:tcPr>
            <w:tcW w:w="1896" w:type="pct"/>
            <w:tcMar>
              <w:left w:w="0" w:type="dxa"/>
              <w:right w:w="0" w:type="dxa"/>
            </w:tcMar>
            <w:vAlign w:val="center"/>
          </w:tcPr>
          <w:p w14:paraId="2DCD2AC4">
            <w:pPr>
              <w:pStyle w:val="26"/>
              <w:bidi w:val="0"/>
              <w:rPr>
                <w:color w:val="auto"/>
              </w:rPr>
            </w:pPr>
            <w:r>
              <w:rPr>
                <w:color w:val="auto"/>
              </w:rPr>
              <w:t>污染防治设施安全风险辨识开展情况</w:t>
            </w:r>
          </w:p>
        </w:tc>
        <w:tc>
          <w:tcPr>
            <w:tcW w:w="1837" w:type="pct"/>
            <w:tcMar>
              <w:left w:w="0" w:type="dxa"/>
              <w:right w:w="0" w:type="dxa"/>
            </w:tcMar>
            <w:vAlign w:val="center"/>
          </w:tcPr>
          <w:p w14:paraId="41BB1D79">
            <w:pPr>
              <w:pStyle w:val="26"/>
              <w:bidi w:val="0"/>
              <w:rPr>
                <w:color w:val="auto"/>
              </w:rPr>
            </w:pPr>
            <w:r>
              <w:rPr>
                <w:color w:val="auto"/>
              </w:rPr>
              <w:t>已按照要求开展污水处理站安全风险辨识</w:t>
            </w:r>
          </w:p>
        </w:tc>
      </w:tr>
    </w:tbl>
    <w:p w14:paraId="1EFB70A0">
      <w:pPr>
        <w:pStyle w:val="3"/>
        <w:bidi w:val="0"/>
      </w:pPr>
      <w:bookmarkStart w:id="140" w:name="_Toc14156"/>
      <w:bookmarkStart w:id="141" w:name="_Toc27292"/>
      <w:r>
        <w:rPr>
          <w:rFonts w:hint="eastAsia"/>
          <w:lang w:val="en-US" w:eastAsia="zh-CN"/>
        </w:rPr>
        <w:t>现有厂区环保投诉与环境污染事件情况</w:t>
      </w:r>
      <w:bookmarkEnd w:id="140"/>
    </w:p>
    <w:p w14:paraId="5F086104">
      <w:pPr>
        <w:rPr>
          <w:rFonts w:hint="eastAsia"/>
          <w:color w:val="auto"/>
          <w:lang w:eastAsia="zh-CN"/>
        </w:rPr>
      </w:pPr>
      <w:r>
        <w:rPr>
          <w:rFonts w:hint="eastAsia"/>
          <w:color w:val="auto"/>
        </w:rPr>
        <w:t>根据</w:t>
      </w:r>
      <w:r>
        <w:rPr>
          <w:rFonts w:hint="eastAsia"/>
          <w:color w:val="auto"/>
          <w:lang w:val="en-US" w:eastAsia="zh-CN"/>
        </w:rPr>
        <w:t>企业</w:t>
      </w:r>
      <w:r>
        <w:rPr>
          <w:rFonts w:hint="eastAsia"/>
          <w:color w:val="auto"/>
        </w:rPr>
        <w:t>出具的说明材料，企业</w:t>
      </w:r>
      <w:r>
        <w:rPr>
          <w:rFonts w:hint="eastAsia"/>
          <w:color w:val="auto"/>
          <w:lang w:val="en-US" w:eastAsia="zh-CN"/>
        </w:rPr>
        <w:t>近</w:t>
      </w:r>
      <w:r>
        <w:rPr>
          <w:rFonts w:hint="eastAsia"/>
          <w:color w:val="auto"/>
        </w:rPr>
        <w:t>三年来未收到任何环保相关信访投诉，周边群众对企业环境管理工作满意度较高。企业严格遵守《中华人民共和国环境保护法》《中华人民共和国大气污染防治法》等一系列生态环境保护法律法规，坚决落实环境影响评价制度、“三同时”制度及排污许可制度要求。近三年来，未因环保违法违规行为受到任何行政处罚。</w:t>
      </w:r>
    </w:p>
    <w:p w14:paraId="1F112E7E">
      <w:pPr>
        <w:pStyle w:val="3"/>
        <w:bidi w:val="0"/>
        <w:rPr>
          <w:color w:val="auto"/>
          <w:lang w:val="en-US" w:eastAsia="zh-CN"/>
        </w:rPr>
      </w:pPr>
      <w:bookmarkStart w:id="142" w:name="_Toc22363"/>
      <w:r>
        <w:rPr>
          <w:rFonts w:hint="eastAsia"/>
          <w:color w:val="auto"/>
          <w:lang w:val="en-US" w:eastAsia="zh-CN"/>
        </w:rPr>
        <w:t>现有项目环评批复污染物排放量汇总</w:t>
      </w:r>
      <w:bookmarkEnd w:id="141"/>
      <w:bookmarkEnd w:id="142"/>
    </w:p>
    <w:p w14:paraId="0670A1FA">
      <w:pPr>
        <w:spacing w:line="480" w:lineRule="exact"/>
        <w:jc w:val="left"/>
        <w:rPr>
          <w:color w:val="auto"/>
        </w:rPr>
      </w:pPr>
      <w:r>
        <w:rPr>
          <w:color w:val="auto"/>
        </w:rPr>
        <w:t>根据现有已批复环评报告中总量情况</w:t>
      </w:r>
      <w:r>
        <w:rPr>
          <w:rFonts w:hint="eastAsia"/>
          <w:color w:val="auto"/>
        </w:rPr>
        <w:t>、排污许可证许可排放量、以及企业实际</w:t>
      </w:r>
      <w:r>
        <w:rPr>
          <w:color w:val="auto"/>
        </w:rPr>
        <w:t>排放情况见下表。</w:t>
      </w:r>
    </w:p>
    <w:p w14:paraId="691259BF">
      <w:pPr>
        <w:pStyle w:val="25"/>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3.9</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rFonts w:hint="eastAsia"/>
          <w:color w:val="auto"/>
          <w:lang w:eastAsia="zh-CN"/>
        </w:rPr>
        <w:t>昆运制版</w:t>
      </w:r>
      <w:r>
        <w:rPr>
          <w:color w:val="auto"/>
        </w:rPr>
        <w:t>现有项目污染物产生及排放一览表（t/a）</w:t>
      </w:r>
    </w:p>
    <w:tbl>
      <w:tblPr>
        <w:tblStyle w:val="50"/>
        <w:tblW w:w="827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57"/>
        <w:gridCol w:w="1246"/>
        <w:gridCol w:w="839"/>
        <w:gridCol w:w="840"/>
        <w:gridCol w:w="1504"/>
        <w:gridCol w:w="1396"/>
        <w:gridCol w:w="1396"/>
      </w:tblGrid>
      <w:tr w14:paraId="7717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Align w:val="center"/>
          </w:tcPr>
          <w:p w14:paraId="306FE0B3">
            <w:pPr>
              <w:pStyle w:val="36"/>
              <w:bidi w:val="0"/>
              <w:rPr>
                <w:lang w:val="en-US" w:eastAsia="en-US"/>
              </w:rPr>
            </w:pPr>
            <w:r>
              <w:rPr>
                <w:lang w:val="en-US" w:eastAsia="en-US"/>
              </w:rPr>
              <w:t>类别</w:t>
            </w:r>
          </w:p>
        </w:tc>
        <w:tc>
          <w:tcPr>
            <w:tcW w:w="1679" w:type="dxa"/>
            <w:gridSpan w:val="2"/>
            <w:vAlign w:val="center"/>
          </w:tcPr>
          <w:p w14:paraId="04493955">
            <w:pPr>
              <w:pStyle w:val="36"/>
              <w:bidi w:val="0"/>
              <w:rPr>
                <w:lang w:val="en-US" w:eastAsia="en-US"/>
              </w:rPr>
            </w:pPr>
            <w:r>
              <w:rPr>
                <w:lang w:val="en-US" w:eastAsia="en-US"/>
              </w:rPr>
              <w:t>污染物名称</w:t>
            </w:r>
          </w:p>
        </w:tc>
        <w:tc>
          <w:tcPr>
            <w:tcW w:w="1504" w:type="dxa"/>
            <w:vAlign w:val="center"/>
          </w:tcPr>
          <w:p w14:paraId="153A4423">
            <w:pPr>
              <w:pStyle w:val="36"/>
              <w:bidi w:val="0"/>
              <w:rPr>
                <w:lang w:val="en-US" w:eastAsia="en-US"/>
              </w:rPr>
            </w:pPr>
            <w:r>
              <w:rPr>
                <w:rFonts w:hint="eastAsia"/>
                <w:lang w:val="en-US" w:eastAsia="zh-CN"/>
              </w:rPr>
              <w:t>环评批复</w:t>
            </w:r>
            <w:r>
              <w:rPr>
                <w:lang w:val="en-US" w:eastAsia="en-US"/>
              </w:rPr>
              <w:t>量</w:t>
            </w:r>
          </w:p>
        </w:tc>
        <w:tc>
          <w:tcPr>
            <w:tcW w:w="1396" w:type="dxa"/>
            <w:vAlign w:val="center"/>
          </w:tcPr>
          <w:p w14:paraId="00F2C6C6">
            <w:pPr>
              <w:pStyle w:val="36"/>
              <w:bidi w:val="0"/>
              <w:rPr>
                <w:rFonts w:hint="default"/>
                <w:lang w:val="en-US" w:eastAsia="zh-CN"/>
              </w:rPr>
            </w:pPr>
            <w:r>
              <w:rPr>
                <w:rFonts w:hint="eastAsia"/>
                <w:lang w:val="en-US" w:eastAsia="zh-CN"/>
              </w:rPr>
              <w:t>排污许可许可量</w:t>
            </w:r>
          </w:p>
        </w:tc>
        <w:tc>
          <w:tcPr>
            <w:tcW w:w="1396" w:type="dxa"/>
            <w:vAlign w:val="center"/>
          </w:tcPr>
          <w:p w14:paraId="079D0997">
            <w:pPr>
              <w:pStyle w:val="36"/>
              <w:bidi w:val="0"/>
              <w:rPr>
                <w:rFonts w:hint="default"/>
                <w:lang w:val="en-US" w:eastAsia="zh-CN"/>
              </w:rPr>
            </w:pPr>
            <w:r>
              <w:rPr>
                <w:rFonts w:hint="eastAsia"/>
                <w:lang w:val="en-US" w:eastAsia="zh-CN"/>
              </w:rPr>
              <w:t>实际排放量</w:t>
            </w:r>
            <w:r>
              <w:rPr>
                <w:rFonts w:hint="eastAsia" w:ascii="仿宋_GB2312" w:hAnsi="仿宋_GB2312" w:eastAsia="仿宋_GB2312" w:cs="仿宋_GB2312"/>
                <w:lang w:val="en-US" w:eastAsia="zh-CN"/>
              </w:rPr>
              <w:t>①</w:t>
            </w:r>
          </w:p>
        </w:tc>
      </w:tr>
      <w:tr w14:paraId="00F1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restart"/>
            <w:vAlign w:val="center"/>
          </w:tcPr>
          <w:p w14:paraId="3E0C74D8">
            <w:pPr>
              <w:pStyle w:val="26"/>
              <w:bidi w:val="0"/>
              <w:rPr>
                <w:lang w:val="en-US" w:eastAsia="en-US"/>
              </w:rPr>
            </w:pPr>
            <w:r>
              <w:rPr>
                <w:lang w:val="en-US" w:eastAsia="en-US"/>
              </w:rPr>
              <w:t>废气</w:t>
            </w:r>
          </w:p>
        </w:tc>
        <w:tc>
          <w:tcPr>
            <w:tcW w:w="1246" w:type="dxa"/>
            <w:vMerge w:val="restart"/>
            <w:vAlign w:val="center"/>
          </w:tcPr>
          <w:p w14:paraId="0334454B">
            <w:pPr>
              <w:pStyle w:val="26"/>
              <w:bidi w:val="0"/>
              <w:rPr>
                <w:lang w:val="en-US" w:eastAsia="en-US"/>
              </w:rPr>
            </w:pPr>
            <w:r>
              <w:rPr>
                <w:lang w:val="en-US" w:eastAsia="en-US"/>
              </w:rPr>
              <w:t>有组织废气</w:t>
            </w:r>
          </w:p>
        </w:tc>
        <w:tc>
          <w:tcPr>
            <w:tcW w:w="1679" w:type="dxa"/>
            <w:gridSpan w:val="2"/>
            <w:vAlign w:val="center"/>
          </w:tcPr>
          <w:p w14:paraId="3A8D9BF4">
            <w:pPr>
              <w:pStyle w:val="26"/>
              <w:bidi w:val="0"/>
              <w:rPr>
                <w:lang w:val="en-US" w:eastAsia="en-US"/>
              </w:rPr>
            </w:pPr>
            <w:r>
              <w:rPr>
                <w:lang w:val="en-US" w:eastAsia="en-US"/>
              </w:rPr>
              <w:t>硫酸雾</w:t>
            </w:r>
          </w:p>
        </w:tc>
        <w:tc>
          <w:tcPr>
            <w:tcW w:w="1504" w:type="dxa"/>
            <w:vAlign w:val="center"/>
          </w:tcPr>
          <w:p w14:paraId="11A1AFD1">
            <w:pPr>
              <w:pStyle w:val="26"/>
              <w:bidi w:val="0"/>
              <w:rPr>
                <w:lang w:val="en-US" w:eastAsia="en-US"/>
              </w:rPr>
            </w:pPr>
            <w:r>
              <w:rPr>
                <w:lang w:val="en-US" w:eastAsia="en-US"/>
              </w:rPr>
              <w:t>0.6041</w:t>
            </w:r>
          </w:p>
        </w:tc>
        <w:tc>
          <w:tcPr>
            <w:tcW w:w="1396" w:type="dxa"/>
            <w:vAlign w:val="center"/>
          </w:tcPr>
          <w:p w14:paraId="11E7175E">
            <w:pPr>
              <w:pStyle w:val="26"/>
              <w:bidi w:val="0"/>
              <w:rPr>
                <w:rFonts w:hint="eastAsia" w:eastAsia="仿宋_GB2312"/>
                <w:lang w:val="en-US" w:eastAsia="zh-CN"/>
              </w:rPr>
            </w:pPr>
            <w:r>
              <w:rPr>
                <w:rFonts w:hint="eastAsia"/>
                <w:lang w:val="en-US" w:eastAsia="zh-CN"/>
              </w:rPr>
              <w:t>/</w:t>
            </w:r>
          </w:p>
        </w:tc>
        <w:tc>
          <w:tcPr>
            <w:tcW w:w="1396" w:type="dxa"/>
            <w:vAlign w:val="center"/>
          </w:tcPr>
          <w:p w14:paraId="4892FE55">
            <w:pPr>
              <w:pStyle w:val="26"/>
              <w:bidi w:val="0"/>
              <w:rPr>
                <w:lang w:val="en-US" w:eastAsia="en-US"/>
              </w:rPr>
            </w:pPr>
            <w:r>
              <w:rPr>
                <w:rFonts w:hint="default"/>
                <w:lang w:val="en-US" w:eastAsia="zh-CN"/>
              </w:rPr>
              <w:t>0.00846</w:t>
            </w:r>
          </w:p>
        </w:tc>
      </w:tr>
      <w:tr w14:paraId="2206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6825848D">
            <w:pPr>
              <w:pStyle w:val="26"/>
              <w:bidi w:val="0"/>
              <w:rPr>
                <w:lang w:val="en-US" w:eastAsia="en-US"/>
              </w:rPr>
            </w:pPr>
          </w:p>
        </w:tc>
        <w:tc>
          <w:tcPr>
            <w:tcW w:w="1246" w:type="dxa"/>
            <w:vMerge w:val="continue"/>
            <w:vAlign w:val="center"/>
          </w:tcPr>
          <w:p w14:paraId="1FD1965E">
            <w:pPr>
              <w:pStyle w:val="26"/>
              <w:bidi w:val="0"/>
              <w:rPr>
                <w:lang w:val="en-US" w:eastAsia="en-US"/>
              </w:rPr>
            </w:pPr>
          </w:p>
        </w:tc>
        <w:tc>
          <w:tcPr>
            <w:tcW w:w="1679" w:type="dxa"/>
            <w:gridSpan w:val="2"/>
            <w:vAlign w:val="center"/>
          </w:tcPr>
          <w:p w14:paraId="38DFA791">
            <w:pPr>
              <w:pStyle w:val="26"/>
              <w:bidi w:val="0"/>
              <w:rPr>
                <w:lang w:val="en-US" w:eastAsia="en-US"/>
              </w:rPr>
            </w:pPr>
            <w:r>
              <w:rPr>
                <w:lang w:val="en-US" w:eastAsia="en-US"/>
              </w:rPr>
              <w:t>氯化氢</w:t>
            </w:r>
          </w:p>
        </w:tc>
        <w:tc>
          <w:tcPr>
            <w:tcW w:w="1504" w:type="dxa"/>
            <w:vAlign w:val="center"/>
          </w:tcPr>
          <w:p w14:paraId="0D21DCB4">
            <w:pPr>
              <w:pStyle w:val="26"/>
              <w:bidi w:val="0"/>
              <w:rPr>
                <w:lang w:val="en-US" w:eastAsia="en-US"/>
              </w:rPr>
            </w:pPr>
            <w:r>
              <w:rPr>
                <w:lang w:val="en-US" w:eastAsia="en-US"/>
              </w:rPr>
              <w:t>1.12938</w:t>
            </w:r>
          </w:p>
        </w:tc>
        <w:tc>
          <w:tcPr>
            <w:tcW w:w="1396" w:type="dxa"/>
            <w:vAlign w:val="center"/>
          </w:tcPr>
          <w:p w14:paraId="44FA17CF">
            <w:pPr>
              <w:pStyle w:val="26"/>
              <w:bidi w:val="0"/>
              <w:rPr>
                <w:rFonts w:hint="eastAsia" w:eastAsia="仿宋_GB2312"/>
                <w:lang w:val="en-US" w:eastAsia="zh-CN"/>
              </w:rPr>
            </w:pPr>
            <w:r>
              <w:rPr>
                <w:rFonts w:hint="eastAsia"/>
                <w:lang w:val="en-US" w:eastAsia="zh-CN"/>
              </w:rPr>
              <w:t>/</w:t>
            </w:r>
          </w:p>
        </w:tc>
        <w:tc>
          <w:tcPr>
            <w:tcW w:w="1396" w:type="dxa"/>
            <w:vAlign w:val="center"/>
          </w:tcPr>
          <w:p w14:paraId="7A149804">
            <w:pPr>
              <w:pStyle w:val="26"/>
              <w:bidi w:val="0"/>
              <w:rPr>
                <w:lang w:val="en-US" w:eastAsia="en-US"/>
              </w:rPr>
            </w:pPr>
            <w:r>
              <w:rPr>
                <w:rFonts w:hint="default"/>
                <w:lang w:val="en-US" w:eastAsia="zh-CN"/>
              </w:rPr>
              <w:t xml:space="preserve">0.01144 </w:t>
            </w:r>
          </w:p>
        </w:tc>
      </w:tr>
      <w:tr w14:paraId="264F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601D062B">
            <w:pPr>
              <w:pStyle w:val="26"/>
              <w:bidi w:val="0"/>
              <w:rPr>
                <w:lang w:val="en-US" w:eastAsia="en-US"/>
              </w:rPr>
            </w:pPr>
          </w:p>
        </w:tc>
        <w:tc>
          <w:tcPr>
            <w:tcW w:w="1246" w:type="dxa"/>
            <w:vMerge w:val="continue"/>
            <w:vAlign w:val="center"/>
          </w:tcPr>
          <w:p w14:paraId="21227E4F">
            <w:pPr>
              <w:pStyle w:val="26"/>
              <w:bidi w:val="0"/>
              <w:rPr>
                <w:lang w:val="en-US" w:eastAsia="en-US"/>
              </w:rPr>
            </w:pPr>
          </w:p>
        </w:tc>
        <w:tc>
          <w:tcPr>
            <w:tcW w:w="1679" w:type="dxa"/>
            <w:gridSpan w:val="2"/>
            <w:vAlign w:val="center"/>
          </w:tcPr>
          <w:p w14:paraId="4C05239F">
            <w:pPr>
              <w:pStyle w:val="26"/>
              <w:bidi w:val="0"/>
              <w:rPr>
                <w:lang w:val="en-US" w:eastAsia="en-US"/>
              </w:rPr>
            </w:pPr>
            <w:r>
              <w:rPr>
                <w:lang w:val="en-US" w:eastAsia="en-US"/>
              </w:rPr>
              <w:t>铬酸雾</w:t>
            </w:r>
          </w:p>
        </w:tc>
        <w:tc>
          <w:tcPr>
            <w:tcW w:w="1504" w:type="dxa"/>
            <w:vAlign w:val="center"/>
          </w:tcPr>
          <w:p w14:paraId="1F9243BE">
            <w:pPr>
              <w:pStyle w:val="26"/>
              <w:bidi w:val="0"/>
              <w:rPr>
                <w:lang w:val="en-US" w:eastAsia="en-US"/>
              </w:rPr>
            </w:pPr>
            <w:r>
              <w:rPr>
                <w:lang w:val="en-US" w:eastAsia="en-US"/>
              </w:rPr>
              <w:t>0.0054</w:t>
            </w:r>
          </w:p>
        </w:tc>
        <w:tc>
          <w:tcPr>
            <w:tcW w:w="1396" w:type="dxa"/>
            <w:vAlign w:val="center"/>
          </w:tcPr>
          <w:p w14:paraId="2A50DB87">
            <w:pPr>
              <w:pStyle w:val="26"/>
              <w:bidi w:val="0"/>
              <w:rPr>
                <w:rFonts w:hint="eastAsia" w:eastAsia="仿宋_GB2312"/>
                <w:lang w:val="en-US" w:eastAsia="zh-CN"/>
              </w:rPr>
            </w:pPr>
            <w:r>
              <w:rPr>
                <w:rFonts w:hint="eastAsia"/>
                <w:lang w:val="en-US" w:eastAsia="zh-CN"/>
              </w:rPr>
              <w:t>/</w:t>
            </w:r>
          </w:p>
        </w:tc>
        <w:tc>
          <w:tcPr>
            <w:tcW w:w="1396" w:type="dxa"/>
            <w:vAlign w:val="center"/>
          </w:tcPr>
          <w:p w14:paraId="0B8C381D">
            <w:pPr>
              <w:pStyle w:val="26"/>
              <w:bidi w:val="0"/>
              <w:rPr>
                <w:lang w:val="en-US" w:eastAsia="en-US"/>
              </w:rPr>
            </w:pPr>
            <w:r>
              <w:rPr>
                <w:rFonts w:hint="default"/>
                <w:lang w:val="en-US" w:eastAsia="zh-CN"/>
              </w:rPr>
              <w:t xml:space="preserve">0.000058 </w:t>
            </w:r>
          </w:p>
        </w:tc>
      </w:tr>
      <w:tr w14:paraId="4704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6FBEB8E0">
            <w:pPr>
              <w:pStyle w:val="26"/>
              <w:bidi w:val="0"/>
              <w:rPr>
                <w:lang w:val="en-US" w:eastAsia="en-US"/>
              </w:rPr>
            </w:pPr>
          </w:p>
        </w:tc>
        <w:tc>
          <w:tcPr>
            <w:tcW w:w="1246" w:type="dxa"/>
            <w:vMerge w:val="continue"/>
            <w:vAlign w:val="center"/>
          </w:tcPr>
          <w:p w14:paraId="1FA2AD20">
            <w:pPr>
              <w:pStyle w:val="26"/>
              <w:bidi w:val="0"/>
              <w:rPr>
                <w:lang w:val="en-US" w:eastAsia="en-US"/>
              </w:rPr>
            </w:pPr>
          </w:p>
        </w:tc>
        <w:tc>
          <w:tcPr>
            <w:tcW w:w="1679" w:type="dxa"/>
            <w:gridSpan w:val="2"/>
            <w:vAlign w:val="center"/>
          </w:tcPr>
          <w:p w14:paraId="7A1D2FD7">
            <w:pPr>
              <w:pStyle w:val="26"/>
              <w:bidi w:val="0"/>
              <w:rPr>
                <w:lang w:val="en-US" w:eastAsia="en-US"/>
              </w:rPr>
            </w:pPr>
            <w:r>
              <w:rPr>
                <w:lang w:val="en-US" w:eastAsia="en-US"/>
              </w:rPr>
              <w:t>非甲烷总烃</w:t>
            </w:r>
          </w:p>
        </w:tc>
        <w:tc>
          <w:tcPr>
            <w:tcW w:w="1504" w:type="dxa"/>
            <w:vAlign w:val="center"/>
          </w:tcPr>
          <w:p w14:paraId="58B87C44">
            <w:pPr>
              <w:pStyle w:val="26"/>
              <w:bidi w:val="0"/>
              <w:rPr>
                <w:lang w:val="en-US" w:eastAsia="en-US"/>
              </w:rPr>
            </w:pPr>
            <w:r>
              <w:rPr>
                <w:lang w:val="en-US" w:eastAsia="en-US"/>
              </w:rPr>
              <w:t>0.8417</w:t>
            </w:r>
          </w:p>
        </w:tc>
        <w:tc>
          <w:tcPr>
            <w:tcW w:w="1396" w:type="dxa"/>
            <w:vAlign w:val="center"/>
          </w:tcPr>
          <w:p w14:paraId="48B1D7CF">
            <w:pPr>
              <w:pStyle w:val="26"/>
              <w:bidi w:val="0"/>
              <w:rPr>
                <w:lang w:val="en-US" w:eastAsia="en-US"/>
              </w:rPr>
            </w:pPr>
            <w:r>
              <w:rPr>
                <w:rFonts w:hint="eastAsia"/>
                <w:lang w:val="en-US" w:eastAsia="zh-CN"/>
              </w:rPr>
              <w:t>/</w:t>
            </w:r>
          </w:p>
        </w:tc>
        <w:tc>
          <w:tcPr>
            <w:tcW w:w="1396" w:type="dxa"/>
            <w:vAlign w:val="center"/>
          </w:tcPr>
          <w:p w14:paraId="049CEAD2">
            <w:pPr>
              <w:pStyle w:val="26"/>
              <w:bidi w:val="0"/>
              <w:rPr>
                <w:lang w:val="en-US" w:eastAsia="en-US"/>
              </w:rPr>
            </w:pPr>
            <w:r>
              <w:rPr>
                <w:rFonts w:hint="default"/>
                <w:lang w:val="en-US" w:eastAsia="zh-CN"/>
              </w:rPr>
              <w:t>0.08604</w:t>
            </w:r>
          </w:p>
        </w:tc>
      </w:tr>
      <w:tr w14:paraId="2752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 w:hRule="atLeast"/>
        </w:trPr>
        <w:tc>
          <w:tcPr>
            <w:tcW w:w="1057" w:type="dxa"/>
            <w:vMerge w:val="continue"/>
            <w:vAlign w:val="center"/>
          </w:tcPr>
          <w:p w14:paraId="0C1C9AF5">
            <w:pPr>
              <w:pStyle w:val="26"/>
              <w:bidi w:val="0"/>
              <w:rPr>
                <w:lang w:val="en-US" w:eastAsia="en-US"/>
              </w:rPr>
            </w:pPr>
          </w:p>
        </w:tc>
        <w:tc>
          <w:tcPr>
            <w:tcW w:w="1246" w:type="dxa"/>
            <w:vMerge w:val="continue"/>
            <w:vAlign w:val="center"/>
          </w:tcPr>
          <w:p w14:paraId="54B34A8E">
            <w:pPr>
              <w:pStyle w:val="26"/>
              <w:bidi w:val="0"/>
              <w:rPr>
                <w:lang w:val="en-US" w:eastAsia="en-US"/>
              </w:rPr>
            </w:pPr>
          </w:p>
        </w:tc>
        <w:tc>
          <w:tcPr>
            <w:tcW w:w="839" w:type="dxa"/>
            <w:vMerge w:val="restart"/>
            <w:vAlign w:val="center"/>
          </w:tcPr>
          <w:p w14:paraId="7B3E7194">
            <w:pPr>
              <w:pStyle w:val="26"/>
              <w:bidi w:val="0"/>
              <w:rPr>
                <w:lang w:val="en-US" w:eastAsia="en-US"/>
              </w:rPr>
            </w:pPr>
            <w:r>
              <w:rPr>
                <w:lang w:val="en-US" w:eastAsia="en-US"/>
              </w:rPr>
              <w:t>其中</w:t>
            </w:r>
          </w:p>
        </w:tc>
        <w:tc>
          <w:tcPr>
            <w:tcW w:w="840" w:type="dxa"/>
            <w:vAlign w:val="center"/>
          </w:tcPr>
          <w:p w14:paraId="2111D1E6">
            <w:pPr>
              <w:pStyle w:val="26"/>
              <w:bidi w:val="0"/>
              <w:rPr>
                <w:lang w:val="en-US" w:eastAsia="en-US"/>
              </w:rPr>
            </w:pPr>
            <w:r>
              <w:rPr>
                <w:lang w:val="en-US" w:eastAsia="en-US"/>
              </w:rPr>
              <w:t>二甲苯</w:t>
            </w:r>
          </w:p>
        </w:tc>
        <w:tc>
          <w:tcPr>
            <w:tcW w:w="1504" w:type="dxa"/>
            <w:vAlign w:val="center"/>
          </w:tcPr>
          <w:p w14:paraId="2CCE1821">
            <w:pPr>
              <w:pStyle w:val="26"/>
              <w:bidi w:val="0"/>
              <w:rPr>
                <w:lang w:val="en-US" w:eastAsia="en-US"/>
              </w:rPr>
            </w:pPr>
            <w:r>
              <w:rPr>
                <w:lang w:val="en-US" w:eastAsia="en-US"/>
              </w:rPr>
              <w:t>0.162</w:t>
            </w:r>
          </w:p>
        </w:tc>
        <w:tc>
          <w:tcPr>
            <w:tcW w:w="1396" w:type="dxa"/>
            <w:vAlign w:val="center"/>
          </w:tcPr>
          <w:p w14:paraId="2BA85894">
            <w:pPr>
              <w:pStyle w:val="26"/>
              <w:bidi w:val="0"/>
              <w:rPr>
                <w:lang w:val="en-US" w:eastAsia="en-US"/>
              </w:rPr>
            </w:pPr>
            <w:r>
              <w:rPr>
                <w:rFonts w:hint="eastAsia"/>
                <w:lang w:val="en-US" w:eastAsia="zh-CN"/>
              </w:rPr>
              <w:t>/</w:t>
            </w:r>
          </w:p>
        </w:tc>
        <w:tc>
          <w:tcPr>
            <w:tcW w:w="1396" w:type="dxa"/>
            <w:vAlign w:val="center"/>
          </w:tcPr>
          <w:p w14:paraId="1948967F">
            <w:pPr>
              <w:pStyle w:val="26"/>
              <w:bidi w:val="0"/>
              <w:rPr>
                <w:lang w:val="en-US" w:eastAsia="en-US"/>
              </w:rPr>
            </w:pPr>
            <w:r>
              <w:rPr>
                <w:rFonts w:hint="default"/>
                <w:lang w:val="en-US" w:eastAsia="zh-CN"/>
              </w:rPr>
              <w:t xml:space="preserve">0.008574 </w:t>
            </w:r>
          </w:p>
        </w:tc>
      </w:tr>
      <w:tr w14:paraId="2A00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5F96AA88">
            <w:pPr>
              <w:pStyle w:val="26"/>
              <w:bidi w:val="0"/>
              <w:rPr>
                <w:lang w:val="en-US" w:eastAsia="en-US"/>
              </w:rPr>
            </w:pPr>
          </w:p>
        </w:tc>
        <w:tc>
          <w:tcPr>
            <w:tcW w:w="1246" w:type="dxa"/>
            <w:vMerge w:val="continue"/>
            <w:vAlign w:val="center"/>
          </w:tcPr>
          <w:p w14:paraId="3ECD2E66">
            <w:pPr>
              <w:pStyle w:val="26"/>
              <w:bidi w:val="0"/>
              <w:rPr>
                <w:lang w:val="en-US" w:eastAsia="en-US"/>
              </w:rPr>
            </w:pPr>
          </w:p>
        </w:tc>
        <w:tc>
          <w:tcPr>
            <w:tcW w:w="839" w:type="dxa"/>
            <w:vMerge w:val="continue"/>
            <w:vAlign w:val="center"/>
          </w:tcPr>
          <w:p w14:paraId="27F42A15">
            <w:pPr>
              <w:pStyle w:val="26"/>
              <w:bidi w:val="0"/>
              <w:rPr>
                <w:lang w:val="en-US" w:eastAsia="en-US"/>
              </w:rPr>
            </w:pPr>
          </w:p>
        </w:tc>
        <w:tc>
          <w:tcPr>
            <w:tcW w:w="840" w:type="dxa"/>
            <w:vAlign w:val="center"/>
          </w:tcPr>
          <w:p w14:paraId="4C2F65CC">
            <w:pPr>
              <w:pStyle w:val="26"/>
              <w:bidi w:val="0"/>
              <w:rPr>
                <w:lang w:val="en-US" w:eastAsia="en-US"/>
              </w:rPr>
            </w:pPr>
            <w:r>
              <w:rPr>
                <w:lang w:val="en-US" w:eastAsia="en-US"/>
              </w:rPr>
              <w:t>酚类</w:t>
            </w:r>
          </w:p>
        </w:tc>
        <w:tc>
          <w:tcPr>
            <w:tcW w:w="1504" w:type="dxa"/>
            <w:vAlign w:val="center"/>
          </w:tcPr>
          <w:p w14:paraId="5A1FFB53">
            <w:pPr>
              <w:pStyle w:val="26"/>
              <w:bidi w:val="0"/>
              <w:rPr>
                <w:lang w:val="en-US" w:eastAsia="en-US"/>
              </w:rPr>
            </w:pPr>
            <w:r>
              <w:rPr>
                <w:lang w:val="en-US" w:eastAsia="en-US"/>
              </w:rPr>
              <w:t>0.19</w:t>
            </w:r>
          </w:p>
        </w:tc>
        <w:tc>
          <w:tcPr>
            <w:tcW w:w="1396" w:type="dxa"/>
            <w:vAlign w:val="center"/>
          </w:tcPr>
          <w:p w14:paraId="6FD293A2">
            <w:pPr>
              <w:pStyle w:val="26"/>
              <w:bidi w:val="0"/>
              <w:rPr>
                <w:lang w:val="en-US" w:eastAsia="en-US"/>
              </w:rPr>
            </w:pPr>
            <w:r>
              <w:rPr>
                <w:rFonts w:hint="eastAsia"/>
                <w:lang w:val="en-US" w:eastAsia="zh-CN"/>
              </w:rPr>
              <w:t>/</w:t>
            </w:r>
          </w:p>
        </w:tc>
        <w:tc>
          <w:tcPr>
            <w:tcW w:w="1396" w:type="dxa"/>
            <w:vAlign w:val="center"/>
          </w:tcPr>
          <w:p w14:paraId="14881451">
            <w:pPr>
              <w:pStyle w:val="26"/>
              <w:bidi w:val="0"/>
              <w:rPr>
                <w:lang w:val="en-US" w:eastAsia="en-US"/>
              </w:rPr>
            </w:pPr>
            <w:r>
              <w:rPr>
                <w:rFonts w:hint="default"/>
                <w:lang w:val="en-US" w:eastAsia="zh-CN"/>
              </w:rPr>
              <w:t>0.007128</w:t>
            </w:r>
          </w:p>
        </w:tc>
      </w:tr>
      <w:tr w14:paraId="0C00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3B6ECFBB">
            <w:pPr>
              <w:pStyle w:val="26"/>
              <w:bidi w:val="0"/>
              <w:rPr>
                <w:lang w:val="en-US" w:eastAsia="en-US"/>
              </w:rPr>
            </w:pPr>
          </w:p>
        </w:tc>
        <w:tc>
          <w:tcPr>
            <w:tcW w:w="1246" w:type="dxa"/>
            <w:vMerge w:val="continue"/>
            <w:vAlign w:val="center"/>
          </w:tcPr>
          <w:p w14:paraId="38F82765">
            <w:pPr>
              <w:pStyle w:val="26"/>
              <w:bidi w:val="0"/>
              <w:rPr>
                <w:lang w:val="en-US" w:eastAsia="en-US"/>
              </w:rPr>
            </w:pPr>
          </w:p>
        </w:tc>
        <w:tc>
          <w:tcPr>
            <w:tcW w:w="1679" w:type="dxa"/>
            <w:gridSpan w:val="2"/>
            <w:vAlign w:val="center"/>
          </w:tcPr>
          <w:p w14:paraId="67040F5A">
            <w:pPr>
              <w:pStyle w:val="26"/>
              <w:bidi w:val="0"/>
              <w:rPr>
                <w:lang w:val="en-US" w:eastAsia="en-US"/>
              </w:rPr>
            </w:pPr>
            <w:r>
              <w:rPr>
                <w:lang w:val="en-US" w:eastAsia="en-US"/>
              </w:rPr>
              <w:t>颗粒物</w:t>
            </w:r>
          </w:p>
        </w:tc>
        <w:tc>
          <w:tcPr>
            <w:tcW w:w="1504" w:type="dxa"/>
            <w:vAlign w:val="center"/>
          </w:tcPr>
          <w:p w14:paraId="52C1B1D0">
            <w:pPr>
              <w:pStyle w:val="26"/>
              <w:bidi w:val="0"/>
              <w:rPr>
                <w:lang w:val="en-US" w:eastAsia="en-US"/>
              </w:rPr>
            </w:pPr>
            <w:r>
              <w:rPr>
                <w:lang w:val="en-US" w:eastAsia="en-US"/>
              </w:rPr>
              <w:t>0.0633</w:t>
            </w:r>
          </w:p>
        </w:tc>
        <w:tc>
          <w:tcPr>
            <w:tcW w:w="1396" w:type="dxa"/>
            <w:vAlign w:val="center"/>
          </w:tcPr>
          <w:p w14:paraId="5D9974D5">
            <w:pPr>
              <w:pStyle w:val="26"/>
              <w:bidi w:val="0"/>
              <w:rPr>
                <w:lang w:val="en-US" w:eastAsia="en-US"/>
              </w:rPr>
            </w:pPr>
            <w:r>
              <w:rPr>
                <w:rFonts w:hint="eastAsia"/>
                <w:lang w:val="en-US" w:eastAsia="zh-CN"/>
              </w:rPr>
              <w:t>/</w:t>
            </w:r>
          </w:p>
        </w:tc>
        <w:tc>
          <w:tcPr>
            <w:tcW w:w="1396" w:type="dxa"/>
            <w:vAlign w:val="center"/>
          </w:tcPr>
          <w:p w14:paraId="0B6D8282">
            <w:pPr>
              <w:pStyle w:val="26"/>
              <w:bidi w:val="0"/>
              <w:rPr>
                <w:lang w:val="en-US" w:eastAsia="en-US"/>
              </w:rPr>
            </w:pPr>
            <w:r>
              <w:rPr>
                <w:rFonts w:hint="default"/>
                <w:lang w:val="en-US" w:eastAsia="zh-CN"/>
              </w:rPr>
              <w:t>0.035316</w:t>
            </w:r>
          </w:p>
        </w:tc>
      </w:tr>
      <w:tr w14:paraId="251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3BB69542">
            <w:pPr>
              <w:pStyle w:val="26"/>
              <w:bidi w:val="0"/>
              <w:rPr>
                <w:lang w:val="en-US" w:eastAsia="en-US"/>
              </w:rPr>
            </w:pPr>
          </w:p>
        </w:tc>
        <w:tc>
          <w:tcPr>
            <w:tcW w:w="1246" w:type="dxa"/>
            <w:vMerge w:val="restart"/>
            <w:vAlign w:val="center"/>
          </w:tcPr>
          <w:p w14:paraId="3FB7468D">
            <w:pPr>
              <w:pStyle w:val="26"/>
              <w:bidi w:val="0"/>
              <w:rPr>
                <w:lang w:val="en-US" w:eastAsia="en-US"/>
              </w:rPr>
            </w:pPr>
            <w:r>
              <w:rPr>
                <w:lang w:val="en-US" w:eastAsia="en-US"/>
              </w:rPr>
              <w:t>无组织废气</w:t>
            </w:r>
          </w:p>
        </w:tc>
        <w:tc>
          <w:tcPr>
            <w:tcW w:w="1679" w:type="dxa"/>
            <w:gridSpan w:val="2"/>
            <w:vAlign w:val="center"/>
          </w:tcPr>
          <w:p w14:paraId="7770074F">
            <w:pPr>
              <w:pStyle w:val="26"/>
              <w:bidi w:val="0"/>
              <w:rPr>
                <w:lang w:val="en-US" w:eastAsia="en-US"/>
              </w:rPr>
            </w:pPr>
            <w:r>
              <w:rPr>
                <w:lang w:val="en-US" w:eastAsia="en-US"/>
              </w:rPr>
              <w:t>硫酸雾</w:t>
            </w:r>
          </w:p>
        </w:tc>
        <w:tc>
          <w:tcPr>
            <w:tcW w:w="1504" w:type="dxa"/>
            <w:vAlign w:val="center"/>
          </w:tcPr>
          <w:p w14:paraId="0E6F67D8">
            <w:pPr>
              <w:pStyle w:val="26"/>
              <w:bidi w:val="0"/>
              <w:rPr>
                <w:lang w:val="en-US" w:eastAsia="en-US"/>
              </w:rPr>
            </w:pPr>
            <w:r>
              <w:rPr>
                <w:lang w:val="en-US" w:eastAsia="en-US"/>
              </w:rPr>
              <w:t>0.122</w:t>
            </w:r>
          </w:p>
        </w:tc>
        <w:tc>
          <w:tcPr>
            <w:tcW w:w="1396" w:type="dxa"/>
            <w:vAlign w:val="center"/>
          </w:tcPr>
          <w:p w14:paraId="3B3A772C">
            <w:pPr>
              <w:pStyle w:val="26"/>
              <w:bidi w:val="0"/>
              <w:rPr>
                <w:lang w:val="en-US" w:eastAsia="en-US"/>
              </w:rPr>
            </w:pPr>
            <w:r>
              <w:rPr>
                <w:rFonts w:hint="eastAsia"/>
                <w:lang w:val="en-US" w:eastAsia="zh-CN"/>
              </w:rPr>
              <w:t>/</w:t>
            </w:r>
          </w:p>
        </w:tc>
        <w:tc>
          <w:tcPr>
            <w:tcW w:w="1396" w:type="dxa"/>
            <w:vAlign w:val="center"/>
          </w:tcPr>
          <w:p w14:paraId="1BF996FF">
            <w:pPr>
              <w:pStyle w:val="26"/>
              <w:bidi w:val="0"/>
              <w:rPr>
                <w:lang w:val="en-US" w:eastAsia="en-US"/>
              </w:rPr>
            </w:pPr>
            <w:r>
              <w:rPr>
                <w:rFonts w:hint="default"/>
                <w:lang w:val="en-US" w:eastAsia="zh-CN"/>
              </w:rPr>
              <w:t>/</w:t>
            </w:r>
          </w:p>
        </w:tc>
      </w:tr>
      <w:tr w14:paraId="3568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7CA1235C">
            <w:pPr>
              <w:pStyle w:val="26"/>
              <w:bidi w:val="0"/>
              <w:rPr>
                <w:lang w:val="en-US" w:eastAsia="en-US"/>
              </w:rPr>
            </w:pPr>
          </w:p>
        </w:tc>
        <w:tc>
          <w:tcPr>
            <w:tcW w:w="1246" w:type="dxa"/>
            <w:vMerge w:val="continue"/>
            <w:vAlign w:val="center"/>
          </w:tcPr>
          <w:p w14:paraId="7DEF2FCB">
            <w:pPr>
              <w:pStyle w:val="26"/>
              <w:bidi w:val="0"/>
              <w:rPr>
                <w:lang w:val="en-US" w:eastAsia="en-US"/>
              </w:rPr>
            </w:pPr>
          </w:p>
        </w:tc>
        <w:tc>
          <w:tcPr>
            <w:tcW w:w="1679" w:type="dxa"/>
            <w:gridSpan w:val="2"/>
            <w:vAlign w:val="center"/>
          </w:tcPr>
          <w:p w14:paraId="4E1CCB77">
            <w:pPr>
              <w:pStyle w:val="26"/>
              <w:bidi w:val="0"/>
              <w:rPr>
                <w:lang w:val="en-US" w:eastAsia="en-US"/>
              </w:rPr>
            </w:pPr>
            <w:r>
              <w:rPr>
                <w:lang w:val="en-US" w:eastAsia="en-US"/>
              </w:rPr>
              <w:t>氯化氢</w:t>
            </w:r>
          </w:p>
        </w:tc>
        <w:tc>
          <w:tcPr>
            <w:tcW w:w="1504" w:type="dxa"/>
            <w:vAlign w:val="center"/>
          </w:tcPr>
          <w:p w14:paraId="1BD1E47B">
            <w:pPr>
              <w:pStyle w:val="26"/>
              <w:bidi w:val="0"/>
              <w:rPr>
                <w:lang w:val="en-US" w:eastAsia="en-US"/>
              </w:rPr>
            </w:pPr>
            <w:r>
              <w:rPr>
                <w:lang w:val="en-US" w:eastAsia="en-US"/>
              </w:rPr>
              <w:t>0.2294</w:t>
            </w:r>
          </w:p>
        </w:tc>
        <w:tc>
          <w:tcPr>
            <w:tcW w:w="1396" w:type="dxa"/>
            <w:vAlign w:val="center"/>
          </w:tcPr>
          <w:p w14:paraId="4B9AFBB7">
            <w:pPr>
              <w:pStyle w:val="26"/>
              <w:bidi w:val="0"/>
              <w:rPr>
                <w:lang w:val="en-US" w:eastAsia="en-US"/>
              </w:rPr>
            </w:pPr>
            <w:r>
              <w:rPr>
                <w:rFonts w:hint="eastAsia"/>
                <w:lang w:val="en-US" w:eastAsia="zh-CN"/>
              </w:rPr>
              <w:t>/</w:t>
            </w:r>
          </w:p>
        </w:tc>
        <w:tc>
          <w:tcPr>
            <w:tcW w:w="1396" w:type="dxa"/>
            <w:vAlign w:val="center"/>
          </w:tcPr>
          <w:p w14:paraId="33B59DB1">
            <w:pPr>
              <w:pStyle w:val="26"/>
              <w:bidi w:val="0"/>
              <w:rPr>
                <w:lang w:val="en-US" w:eastAsia="en-US"/>
              </w:rPr>
            </w:pPr>
            <w:r>
              <w:rPr>
                <w:rFonts w:hint="default"/>
                <w:lang w:val="en-US" w:eastAsia="zh-CN"/>
              </w:rPr>
              <w:t>/</w:t>
            </w:r>
          </w:p>
        </w:tc>
      </w:tr>
      <w:tr w14:paraId="2E03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3EA04539">
            <w:pPr>
              <w:pStyle w:val="26"/>
              <w:bidi w:val="0"/>
              <w:rPr>
                <w:lang w:val="en-US" w:eastAsia="en-US"/>
              </w:rPr>
            </w:pPr>
          </w:p>
        </w:tc>
        <w:tc>
          <w:tcPr>
            <w:tcW w:w="1246" w:type="dxa"/>
            <w:vMerge w:val="continue"/>
            <w:vAlign w:val="center"/>
          </w:tcPr>
          <w:p w14:paraId="625B8C58">
            <w:pPr>
              <w:pStyle w:val="26"/>
              <w:bidi w:val="0"/>
              <w:rPr>
                <w:lang w:val="en-US" w:eastAsia="en-US"/>
              </w:rPr>
            </w:pPr>
          </w:p>
        </w:tc>
        <w:tc>
          <w:tcPr>
            <w:tcW w:w="1679" w:type="dxa"/>
            <w:gridSpan w:val="2"/>
            <w:vAlign w:val="center"/>
          </w:tcPr>
          <w:p w14:paraId="6BE7FA0E">
            <w:pPr>
              <w:pStyle w:val="26"/>
              <w:bidi w:val="0"/>
              <w:rPr>
                <w:lang w:val="en-US" w:eastAsia="en-US"/>
              </w:rPr>
            </w:pPr>
            <w:r>
              <w:rPr>
                <w:lang w:val="en-US" w:eastAsia="en-US"/>
              </w:rPr>
              <w:t>铬酸雾</w:t>
            </w:r>
          </w:p>
        </w:tc>
        <w:tc>
          <w:tcPr>
            <w:tcW w:w="1504" w:type="dxa"/>
            <w:vAlign w:val="center"/>
          </w:tcPr>
          <w:p w14:paraId="7BDB5AAB">
            <w:pPr>
              <w:pStyle w:val="26"/>
              <w:bidi w:val="0"/>
              <w:rPr>
                <w:lang w:val="en-US" w:eastAsia="en-US"/>
              </w:rPr>
            </w:pPr>
            <w:r>
              <w:rPr>
                <w:lang w:val="en-US" w:eastAsia="en-US"/>
              </w:rPr>
              <w:t>0.0011</w:t>
            </w:r>
          </w:p>
        </w:tc>
        <w:tc>
          <w:tcPr>
            <w:tcW w:w="1396" w:type="dxa"/>
            <w:vAlign w:val="center"/>
          </w:tcPr>
          <w:p w14:paraId="2ED83E3C">
            <w:pPr>
              <w:pStyle w:val="26"/>
              <w:bidi w:val="0"/>
              <w:rPr>
                <w:lang w:val="en-US" w:eastAsia="en-US"/>
              </w:rPr>
            </w:pPr>
            <w:r>
              <w:rPr>
                <w:rFonts w:hint="eastAsia"/>
                <w:lang w:val="en-US" w:eastAsia="zh-CN"/>
              </w:rPr>
              <w:t>/</w:t>
            </w:r>
          </w:p>
        </w:tc>
        <w:tc>
          <w:tcPr>
            <w:tcW w:w="1396" w:type="dxa"/>
            <w:vAlign w:val="center"/>
          </w:tcPr>
          <w:p w14:paraId="599DC60B">
            <w:pPr>
              <w:pStyle w:val="26"/>
              <w:bidi w:val="0"/>
              <w:rPr>
                <w:lang w:val="en-US" w:eastAsia="en-US"/>
              </w:rPr>
            </w:pPr>
            <w:r>
              <w:rPr>
                <w:rFonts w:hint="default"/>
                <w:lang w:val="en-US" w:eastAsia="zh-CN"/>
              </w:rPr>
              <w:t>/</w:t>
            </w:r>
          </w:p>
        </w:tc>
      </w:tr>
      <w:tr w14:paraId="017A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2F4E17E5">
            <w:pPr>
              <w:pStyle w:val="26"/>
              <w:bidi w:val="0"/>
              <w:rPr>
                <w:lang w:val="en-US" w:eastAsia="en-US"/>
              </w:rPr>
            </w:pPr>
          </w:p>
        </w:tc>
        <w:tc>
          <w:tcPr>
            <w:tcW w:w="1246" w:type="dxa"/>
            <w:vMerge w:val="continue"/>
            <w:vAlign w:val="center"/>
          </w:tcPr>
          <w:p w14:paraId="0376C7B1">
            <w:pPr>
              <w:pStyle w:val="26"/>
              <w:bidi w:val="0"/>
              <w:rPr>
                <w:lang w:val="en-US" w:eastAsia="en-US"/>
              </w:rPr>
            </w:pPr>
          </w:p>
        </w:tc>
        <w:tc>
          <w:tcPr>
            <w:tcW w:w="1679" w:type="dxa"/>
            <w:gridSpan w:val="2"/>
            <w:vAlign w:val="center"/>
          </w:tcPr>
          <w:p w14:paraId="080ED9D2">
            <w:pPr>
              <w:pStyle w:val="26"/>
              <w:bidi w:val="0"/>
              <w:rPr>
                <w:lang w:val="en-US" w:eastAsia="en-US"/>
              </w:rPr>
            </w:pPr>
            <w:r>
              <w:rPr>
                <w:lang w:val="en-US" w:eastAsia="en-US"/>
              </w:rPr>
              <w:t>非甲烷总烃</w:t>
            </w:r>
          </w:p>
        </w:tc>
        <w:tc>
          <w:tcPr>
            <w:tcW w:w="1504" w:type="dxa"/>
            <w:vAlign w:val="center"/>
          </w:tcPr>
          <w:p w14:paraId="75981174">
            <w:pPr>
              <w:pStyle w:val="26"/>
              <w:bidi w:val="0"/>
              <w:rPr>
                <w:lang w:val="en-US" w:eastAsia="en-US"/>
              </w:rPr>
            </w:pPr>
            <w:r>
              <w:rPr>
                <w:lang w:val="en-US" w:eastAsia="en-US"/>
              </w:rPr>
              <w:t>0.64159</w:t>
            </w:r>
          </w:p>
        </w:tc>
        <w:tc>
          <w:tcPr>
            <w:tcW w:w="1396" w:type="dxa"/>
            <w:vAlign w:val="center"/>
          </w:tcPr>
          <w:p w14:paraId="2FFFBB2D">
            <w:pPr>
              <w:pStyle w:val="26"/>
              <w:bidi w:val="0"/>
              <w:rPr>
                <w:lang w:val="en-US" w:eastAsia="en-US"/>
              </w:rPr>
            </w:pPr>
            <w:r>
              <w:rPr>
                <w:rFonts w:hint="eastAsia"/>
                <w:lang w:val="en-US" w:eastAsia="zh-CN"/>
              </w:rPr>
              <w:t>/</w:t>
            </w:r>
          </w:p>
        </w:tc>
        <w:tc>
          <w:tcPr>
            <w:tcW w:w="1396" w:type="dxa"/>
            <w:vAlign w:val="center"/>
          </w:tcPr>
          <w:p w14:paraId="6BEA2A81">
            <w:pPr>
              <w:pStyle w:val="26"/>
              <w:bidi w:val="0"/>
              <w:rPr>
                <w:lang w:val="en-US" w:eastAsia="en-US"/>
              </w:rPr>
            </w:pPr>
            <w:r>
              <w:rPr>
                <w:rFonts w:hint="default"/>
                <w:lang w:val="en-US" w:eastAsia="zh-CN"/>
              </w:rPr>
              <w:t>/</w:t>
            </w:r>
          </w:p>
        </w:tc>
      </w:tr>
      <w:tr w14:paraId="7980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 w:hRule="atLeast"/>
        </w:trPr>
        <w:tc>
          <w:tcPr>
            <w:tcW w:w="1057" w:type="dxa"/>
            <w:vMerge w:val="continue"/>
            <w:vAlign w:val="center"/>
          </w:tcPr>
          <w:p w14:paraId="754D76EB">
            <w:pPr>
              <w:pStyle w:val="26"/>
              <w:bidi w:val="0"/>
              <w:rPr>
                <w:lang w:val="en-US" w:eastAsia="en-US"/>
              </w:rPr>
            </w:pPr>
          </w:p>
        </w:tc>
        <w:tc>
          <w:tcPr>
            <w:tcW w:w="1246" w:type="dxa"/>
            <w:vMerge w:val="continue"/>
            <w:vAlign w:val="center"/>
          </w:tcPr>
          <w:p w14:paraId="7A09D6D0">
            <w:pPr>
              <w:pStyle w:val="26"/>
              <w:bidi w:val="0"/>
              <w:rPr>
                <w:lang w:val="en-US" w:eastAsia="en-US"/>
              </w:rPr>
            </w:pPr>
          </w:p>
        </w:tc>
        <w:tc>
          <w:tcPr>
            <w:tcW w:w="839" w:type="dxa"/>
            <w:vMerge w:val="restart"/>
            <w:vAlign w:val="center"/>
          </w:tcPr>
          <w:p w14:paraId="7DC26684">
            <w:pPr>
              <w:pStyle w:val="26"/>
              <w:bidi w:val="0"/>
              <w:rPr>
                <w:lang w:val="en-US" w:eastAsia="en-US"/>
              </w:rPr>
            </w:pPr>
            <w:r>
              <w:rPr>
                <w:lang w:val="en-US" w:eastAsia="en-US"/>
              </w:rPr>
              <w:t>其中</w:t>
            </w:r>
          </w:p>
        </w:tc>
        <w:tc>
          <w:tcPr>
            <w:tcW w:w="840" w:type="dxa"/>
            <w:vAlign w:val="center"/>
          </w:tcPr>
          <w:p w14:paraId="242974A3">
            <w:pPr>
              <w:pStyle w:val="26"/>
              <w:bidi w:val="0"/>
              <w:rPr>
                <w:lang w:val="en-US" w:eastAsia="en-US"/>
              </w:rPr>
            </w:pPr>
            <w:r>
              <w:rPr>
                <w:lang w:val="en-US" w:eastAsia="en-US"/>
              </w:rPr>
              <w:t>二甲苯</w:t>
            </w:r>
          </w:p>
        </w:tc>
        <w:tc>
          <w:tcPr>
            <w:tcW w:w="1504" w:type="dxa"/>
            <w:vAlign w:val="center"/>
          </w:tcPr>
          <w:p w14:paraId="6EE37951">
            <w:pPr>
              <w:pStyle w:val="26"/>
              <w:bidi w:val="0"/>
              <w:rPr>
                <w:lang w:val="en-US" w:eastAsia="en-US"/>
              </w:rPr>
            </w:pPr>
            <w:r>
              <w:rPr>
                <w:lang w:val="en-US" w:eastAsia="en-US"/>
              </w:rPr>
              <w:t>0.0853</w:t>
            </w:r>
          </w:p>
        </w:tc>
        <w:tc>
          <w:tcPr>
            <w:tcW w:w="1396" w:type="dxa"/>
            <w:vAlign w:val="center"/>
          </w:tcPr>
          <w:p w14:paraId="2DEB96BF">
            <w:pPr>
              <w:pStyle w:val="26"/>
              <w:bidi w:val="0"/>
              <w:rPr>
                <w:lang w:val="en-US" w:eastAsia="en-US"/>
              </w:rPr>
            </w:pPr>
            <w:r>
              <w:rPr>
                <w:rFonts w:hint="eastAsia"/>
                <w:lang w:val="en-US" w:eastAsia="zh-CN"/>
              </w:rPr>
              <w:t>/</w:t>
            </w:r>
          </w:p>
        </w:tc>
        <w:tc>
          <w:tcPr>
            <w:tcW w:w="1396" w:type="dxa"/>
            <w:vAlign w:val="center"/>
          </w:tcPr>
          <w:p w14:paraId="163152A0">
            <w:pPr>
              <w:pStyle w:val="26"/>
              <w:bidi w:val="0"/>
              <w:rPr>
                <w:lang w:val="en-US" w:eastAsia="en-US"/>
              </w:rPr>
            </w:pPr>
            <w:r>
              <w:rPr>
                <w:rFonts w:hint="default"/>
                <w:lang w:val="en-US" w:eastAsia="zh-CN"/>
              </w:rPr>
              <w:t>/</w:t>
            </w:r>
          </w:p>
        </w:tc>
      </w:tr>
      <w:tr w14:paraId="0DC2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1E504B16">
            <w:pPr>
              <w:pStyle w:val="26"/>
              <w:bidi w:val="0"/>
              <w:rPr>
                <w:lang w:val="en-US" w:eastAsia="en-US"/>
              </w:rPr>
            </w:pPr>
          </w:p>
        </w:tc>
        <w:tc>
          <w:tcPr>
            <w:tcW w:w="1246" w:type="dxa"/>
            <w:vMerge w:val="continue"/>
            <w:vAlign w:val="center"/>
          </w:tcPr>
          <w:p w14:paraId="652373BA">
            <w:pPr>
              <w:pStyle w:val="26"/>
              <w:bidi w:val="0"/>
              <w:rPr>
                <w:lang w:val="en-US" w:eastAsia="en-US"/>
              </w:rPr>
            </w:pPr>
          </w:p>
        </w:tc>
        <w:tc>
          <w:tcPr>
            <w:tcW w:w="839" w:type="dxa"/>
            <w:vMerge w:val="continue"/>
            <w:vAlign w:val="center"/>
          </w:tcPr>
          <w:p w14:paraId="6E532D07">
            <w:pPr>
              <w:pStyle w:val="26"/>
              <w:bidi w:val="0"/>
              <w:rPr>
                <w:lang w:val="en-US" w:eastAsia="en-US"/>
              </w:rPr>
            </w:pPr>
          </w:p>
        </w:tc>
        <w:tc>
          <w:tcPr>
            <w:tcW w:w="840" w:type="dxa"/>
            <w:vAlign w:val="center"/>
          </w:tcPr>
          <w:p w14:paraId="76365444">
            <w:pPr>
              <w:pStyle w:val="26"/>
              <w:bidi w:val="0"/>
              <w:rPr>
                <w:lang w:val="en-US" w:eastAsia="en-US"/>
              </w:rPr>
            </w:pPr>
            <w:r>
              <w:rPr>
                <w:lang w:val="en-US" w:eastAsia="en-US"/>
              </w:rPr>
              <w:t>酚类</w:t>
            </w:r>
          </w:p>
        </w:tc>
        <w:tc>
          <w:tcPr>
            <w:tcW w:w="1504" w:type="dxa"/>
            <w:vAlign w:val="center"/>
          </w:tcPr>
          <w:p w14:paraId="05C1B3DA">
            <w:pPr>
              <w:pStyle w:val="26"/>
              <w:bidi w:val="0"/>
              <w:rPr>
                <w:lang w:val="en-US" w:eastAsia="en-US"/>
              </w:rPr>
            </w:pPr>
            <w:r>
              <w:rPr>
                <w:lang w:val="en-US" w:eastAsia="en-US"/>
              </w:rPr>
              <w:t>0.1</w:t>
            </w:r>
          </w:p>
        </w:tc>
        <w:tc>
          <w:tcPr>
            <w:tcW w:w="1396" w:type="dxa"/>
            <w:vAlign w:val="center"/>
          </w:tcPr>
          <w:p w14:paraId="3729FACC">
            <w:pPr>
              <w:pStyle w:val="26"/>
              <w:bidi w:val="0"/>
              <w:rPr>
                <w:lang w:val="en-US" w:eastAsia="en-US"/>
              </w:rPr>
            </w:pPr>
            <w:r>
              <w:rPr>
                <w:rFonts w:hint="eastAsia"/>
                <w:lang w:val="en-US" w:eastAsia="zh-CN"/>
              </w:rPr>
              <w:t>/</w:t>
            </w:r>
          </w:p>
        </w:tc>
        <w:tc>
          <w:tcPr>
            <w:tcW w:w="1396" w:type="dxa"/>
            <w:vAlign w:val="center"/>
          </w:tcPr>
          <w:p w14:paraId="4B150D6E">
            <w:pPr>
              <w:pStyle w:val="26"/>
              <w:bidi w:val="0"/>
              <w:rPr>
                <w:lang w:val="en-US" w:eastAsia="en-US"/>
              </w:rPr>
            </w:pPr>
            <w:r>
              <w:rPr>
                <w:rFonts w:hint="default"/>
                <w:lang w:val="en-US" w:eastAsia="zh-CN"/>
              </w:rPr>
              <w:t>/</w:t>
            </w:r>
          </w:p>
        </w:tc>
      </w:tr>
      <w:tr w14:paraId="4D51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1D5EEE84">
            <w:pPr>
              <w:pStyle w:val="26"/>
              <w:bidi w:val="0"/>
              <w:rPr>
                <w:lang w:val="en-US" w:eastAsia="en-US"/>
              </w:rPr>
            </w:pPr>
          </w:p>
        </w:tc>
        <w:tc>
          <w:tcPr>
            <w:tcW w:w="1246" w:type="dxa"/>
            <w:vMerge w:val="continue"/>
            <w:vAlign w:val="center"/>
          </w:tcPr>
          <w:p w14:paraId="09B2A29C">
            <w:pPr>
              <w:pStyle w:val="26"/>
              <w:bidi w:val="0"/>
              <w:rPr>
                <w:lang w:val="en-US" w:eastAsia="en-US"/>
              </w:rPr>
            </w:pPr>
          </w:p>
        </w:tc>
        <w:tc>
          <w:tcPr>
            <w:tcW w:w="1679" w:type="dxa"/>
            <w:gridSpan w:val="2"/>
            <w:vAlign w:val="center"/>
          </w:tcPr>
          <w:p w14:paraId="22D70467">
            <w:pPr>
              <w:pStyle w:val="26"/>
              <w:bidi w:val="0"/>
              <w:rPr>
                <w:lang w:val="en-US" w:eastAsia="en-US"/>
              </w:rPr>
            </w:pPr>
            <w:r>
              <w:rPr>
                <w:lang w:val="en-US" w:eastAsia="en-US"/>
              </w:rPr>
              <w:t>颗粒物</w:t>
            </w:r>
          </w:p>
        </w:tc>
        <w:tc>
          <w:tcPr>
            <w:tcW w:w="1504" w:type="dxa"/>
            <w:vAlign w:val="center"/>
          </w:tcPr>
          <w:p w14:paraId="799EB2B2">
            <w:pPr>
              <w:pStyle w:val="26"/>
              <w:bidi w:val="0"/>
              <w:rPr>
                <w:lang w:val="en-US" w:eastAsia="en-US"/>
              </w:rPr>
            </w:pPr>
            <w:r>
              <w:rPr>
                <w:lang w:val="en-US" w:eastAsia="en-US"/>
              </w:rPr>
              <w:t>0.14984</w:t>
            </w:r>
          </w:p>
        </w:tc>
        <w:tc>
          <w:tcPr>
            <w:tcW w:w="1396" w:type="dxa"/>
            <w:vAlign w:val="center"/>
          </w:tcPr>
          <w:p w14:paraId="5282AF46">
            <w:pPr>
              <w:pStyle w:val="26"/>
              <w:bidi w:val="0"/>
              <w:rPr>
                <w:lang w:val="en-US" w:eastAsia="en-US"/>
              </w:rPr>
            </w:pPr>
            <w:r>
              <w:rPr>
                <w:rFonts w:hint="eastAsia"/>
                <w:lang w:val="en-US" w:eastAsia="zh-CN"/>
              </w:rPr>
              <w:t>/</w:t>
            </w:r>
          </w:p>
        </w:tc>
        <w:tc>
          <w:tcPr>
            <w:tcW w:w="1396" w:type="dxa"/>
            <w:vAlign w:val="center"/>
          </w:tcPr>
          <w:p w14:paraId="48EE0697">
            <w:pPr>
              <w:pStyle w:val="26"/>
              <w:bidi w:val="0"/>
              <w:rPr>
                <w:lang w:val="en-US" w:eastAsia="en-US"/>
              </w:rPr>
            </w:pPr>
            <w:r>
              <w:rPr>
                <w:rFonts w:hint="default"/>
                <w:lang w:val="en-US" w:eastAsia="zh-CN"/>
              </w:rPr>
              <w:t>/</w:t>
            </w:r>
          </w:p>
        </w:tc>
      </w:tr>
      <w:tr w14:paraId="50CD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5B31A4B6">
            <w:pPr>
              <w:pStyle w:val="26"/>
              <w:bidi w:val="0"/>
              <w:rPr>
                <w:lang w:val="en-US" w:eastAsia="en-US"/>
              </w:rPr>
            </w:pPr>
          </w:p>
        </w:tc>
        <w:tc>
          <w:tcPr>
            <w:tcW w:w="1246" w:type="dxa"/>
            <w:vMerge w:val="restart"/>
            <w:vAlign w:val="center"/>
          </w:tcPr>
          <w:p w14:paraId="676C897B">
            <w:pPr>
              <w:pStyle w:val="26"/>
              <w:bidi w:val="0"/>
              <w:rPr>
                <w:lang w:val="en-US" w:eastAsia="en-US"/>
              </w:rPr>
            </w:pPr>
            <w:r>
              <w:rPr>
                <w:lang w:val="en-US" w:eastAsia="en-US"/>
              </w:rPr>
              <w:t>合计</w:t>
            </w:r>
          </w:p>
        </w:tc>
        <w:tc>
          <w:tcPr>
            <w:tcW w:w="1679" w:type="dxa"/>
            <w:gridSpan w:val="2"/>
            <w:vAlign w:val="center"/>
          </w:tcPr>
          <w:p w14:paraId="4D0B8D39">
            <w:pPr>
              <w:pStyle w:val="26"/>
              <w:bidi w:val="0"/>
              <w:rPr>
                <w:lang w:val="en-US" w:eastAsia="en-US"/>
              </w:rPr>
            </w:pPr>
            <w:r>
              <w:rPr>
                <w:lang w:val="en-US" w:eastAsia="en-US"/>
              </w:rPr>
              <w:t>硫酸雾</w:t>
            </w:r>
          </w:p>
        </w:tc>
        <w:tc>
          <w:tcPr>
            <w:tcW w:w="1504" w:type="dxa"/>
            <w:vAlign w:val="center"/>
          </w:tcPr>
          <w:p w14:paraId="7302EB62">
            <w:pPr>
              <w:pStyle w:val="26"/>
              <w:bidi w:val="0"/>
              <w:rPr>
                <w:lang w:val="en-US" w:eastAsia="en-US"/>
              </w:rPr>
            </w:pPr>
            <w:r>
              <w:rPr>
                <w:lang w:val="en-US" w:eastAsia="en-US"/>
              </w:rPr>
              <w:t>0.7261</w:t>
            </w:r>
          </w:p>
        </w:tc>
        <w:tc>
          <w:tcPr>
            <w:tcW w:w="1396" w:type="dxa"/>
            <w:vAlign w:val="center"/>
          </w:tcPr>
          <w:p w14:paraId="60821A35">
            <w:pPr>
              <w:pStyle w:val="26"/>
              <w:bidi w:val="0"/>
              <w:rPr>
                <w:lang w:val="en-US" w:eastAsia="en-US"/>
              </w:rPr>
            </w:pPr>
            <w:r>
              <w:rPr>
                <w:rFonts w:hint="eastAsia"/>
                <w:lang w:val="en-US" w:eastAsia="zh-CN"/>
              </w:rPr>
              <w:t>/</w:t>
            </w:r>
          </w:p>
        </w:tc>
        <w:tc>
          <w:tcPr>
            <w:tcW w:w="1396" w:type="dxa"/>
            <w:vAlign w:val="center"/>
          </w:tcPr>
          <w:p w14:paraId="4B365144">
            <w:pPr>
              <w:pStyle w:val="26"/>
              <w:bidi w:val="0"/>
              <w:rPr>
                <w:lang w:val="en-US" w:eastAsia="en-US"/>
              </w:rPr>
            </w:pPr>
            <w:r>
              <w:rPr>
                <w:rFonts w:hint="default"/>
                <w:lang w:val="en-US" w:eastAsia="zh-CN"/>
              </w:rPr>
              <w:t>/</w:t>
            </w:r>
          </w:p>
        </w:tc>
      </w:tr>
      <w:tr w14:paraId="63BB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65B02051">
            <w:pPr>
              <w:pStyle w:val="26"/>
              <w:bidi w:val="0"/>
              <w:rPr>
                <w:lang w:val="en-US" w:eastAsia="en-US"/>
              </w:rPr>
            </w:pPr>
          </w:p>
        </w:tc>
        <w:tc>
          <w:tcPr>
            <w:tcW w:w="1246" w:type="dxa"/>
            <w:vMerge w:val="continue"/>
            <w:vAlign w:val="center"/>
          </w:tcPr>
          <w:p w14:paraId="35C9322B">
            <w:pPr>
              <w:pStyle w:val="26"/>
              <w:bidi w:val="0"/>
              <w:rPr>
                <w:lang w:val="en-US" w:eastAsia="en-US"/>
              </w:rPr>
            </w:pPr>
          </w:p>
        </w:tc>
        <w:tc>
          <w:tcPr>
            <w:tcW w:w="1679" w:type="dxa"/>
            <w:gridSpan w:val="2"/>
            <w:vAlign w:val="center"/>
          </w:tcPr>
          <w:p w14:paraId="0BC657C1">
            <w:pPr>
              <w:pStyle w:val="26"/>
              <w:bidi w:val="0"/>
              <w:rPr>
                <w:lang w:val="en-US" w:eastAsia="en-US"/>
              </w:rPr>
            </w:pPr>
            <w:r>
              <w:rPr>
                <w:lang w:val="en-US" w:eastAsia="en-US"/>
              </w:rPr>
              <w:t>氯化氢</w:t>
            </w:r>
          </w:p>
        </w:tc>
        <w:tc>
          <w:tcPr>
            <w:tcW w:w="1504" w:type="dxa"/>
            <w:vAlign w:val="center"/>
          </w:tcPr>
          <w:p w14:paraId="4FB033FD">
            <w:pPr>
              <w:pStyle w:val="26"/>
              <w:bidi w:val="0"/>
              <w:rPr>
                <w:lang w:val="en-US" w:eastAsia="en-US"/>
              </w:rPr>
            </w:pPr>
            <w:r>
              <w:rPr>
                <w:lang w:val="en-US" w:eastAsia="en-US"/>
              </w:rPr>
              <w:t>1.35878</w:t>
            </w:r>
          </w:p>
        </w:tc>
        <w:tc>
          <w:tcPr>
            <w:tcW w:w="1396" w:type="dxa"/>
            <w:vAlign w:val="center"/>
          </w:tcPr>
          <w:p w14:paraId="5AD891F0">
            <w:pPr>
              <w:pStyle w:val="26"/>
              <w:bidi w:val="0"/>
              <w:rPr>
                <w:lang w:val="en-US" w:eastAsia="en-US"/>
              </w:rPr>
            </w:pPr>
            <w:r>
              <w:rPr>
                <w:rFonts w:hint="eastAsia"/>
                <w:lang w:val="en-US" w:eastAsia="zh-CN"/>
              </w:rPr>
              <w:t>/</w:t>
            </w:r>
          </w:p>
        </w:tc>
        <w:tc>
          <w:tcPr>
            <w:tcW w:w="1396" w:type="dxa"/>
            <w:vAlign w:val="center"/>
          </w:tcPr>
          <w:p w14:paraId="15294368">
            <w:pPr>
              <w:pStyle w:val="26"/>
              <w:bidi w:val="0"/>
              <w:rPr>
                <w:lang w:val="en-US" w:eastAsia="en-US"/>
              </w:rPr>
            </w:pPr>
            <w:r>
              <w:rPr>
                <w:rFonts w:hint="default"/>
                <w:lang w:val="en-US" w:eastAsia="zh-CN"/>
              </w:rPr>
              <w:t>/</w:t>
            </w:r>
          </w:p>
        </w:tc>
      </w:tr>
      <w:tr w14:paraId="3D10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0AE2E564">
            <w:pPr>
              <w:pStyle w:val="26"/>
              <w:bidi w:val="0"/>
              <w:rPr>
                <w:lang w:val="en-US" w:eastAsia="en-US"/>
              </w:rPr>
            </w:pPr>
          </w:p>
        </w:tc>
        <w:tc>
          <w:tcPr>
            <w:tcW w:w="1246" w:type="dxa"/>
            <w:vMerge w:val="continue"/>
            <w:vAlign w:val="center"/>
          </w:tcPr>
          <w:p w14:paraId="106C0C5E">
            <w:pPr>
              <w:pStyle w:val="26"/>
              <w:bidi w:val="0"/>
              <w:rPr>
                <w:lang w:val="en-US" w:eastAsia="en-US"/>
              </w:rPr>
            </w:pPr>
          </w:p>
        </w:tc>
        <w:tc>
          <w:tcPr>
            <w:tcW w:w="1679" w:type="dxa"/>
            <w:gridSpan w:val="2"/>
            <w:vAlign w:val="center"/>
          </w:tcPr>
          <w:p w14:paraId="25A27723">
            <w:pPr>
              <w:pStyle w:val="26"/>
              <w:bidi w:val="0"/>
              <w:rPr>
                <w:lang w:val="en-US" w:eastAsia="en-US"/>
              </w:rPr>
            </w:pPr>
            <w:r>
              <w:rPr>
                <w:lang w:val="en-US" w:eastAsia="en-US"/>
              </w:rPr>
              <w:t>铬酸雾</w:t>
            </w:r>
          </w:p>
        </w:tc>
        <w:tc>
          <w:tcPr>
            <w:tcW w:w="1504" w:type="dxa"/>
            <w:vAlign w:val="center"/>
          </w:tcPr>
          <w:p w14:paraId="598A400C">
            <w:pPr>
              <w:pStyle w:val="26"/>
              <w:bidi w:val="0"/>
              <w:rPr>
                <w:lang w:val="en-US" w:eastAsia="en-US"/>
              </w:rPr>
            </w:pPr>
            <w:r>
              <w:rPr>
                <w:lang w:val="en-US" w:eastAsia="en-US"/>
              </w:rPr>
              <w:t>0.0065</w:t>
            </w:r>
          </w:p>
        </w:tc>
        <w:tc>
          <w:tcPr>
            <w:tcW w:w="1396" w:type="dxa"/>
            <w:vAlign w:val="center"/>
          </w:tcPr>
          <w:p w14:paraId="20A6A7DA">
            <w:pPr>
              <w:pStyle w:val="26"/>
              <w:bidi w:val="0"/>
              <w:rPr>
                <w:lang w:val="en-US" w:eastAsia="en-US"/>
              </w:rPr>
            </w:pPr>
            <w:r>
              <w:rPr>
                <w:rFonts w:hint="eastAsia"/>
                <w:lang w:val="en-US" w:eastAsia="zh-CN"/>
              </w:rPr>
              <w:t>/</w:t>
            </w:r>
          </w:p>
        </w:tc>
        <w:tc>
          <w:tcPr>
            <w:tcW w:w="1396" w:type="dxa"/>
            <w:vAlign w:val="center"/>
          </w:tcPr>
          <w:p w14:paraId="44DDEAD5">
            <w:pPr>
              <w:pStyle w:val="26"/>
              <w:bidi w:val="0"/>
              <w:rPr>
                <w:lang w:val="en-US" w:eastAsia="en-US"/>
              </w:rPr>
            </w:pPr>
            <w:r>
              <w:rPr>
                <w:rFonts w:hint="default"/>
                <w:lang w:val="en-US" w:eastAsia="zh-CN"/>
              </w:rPr>
              <w:t>/</w:t>
            </w:r>
          </w:p>
        </w:tc>
      </w:tr>
      <w:tr w14:paraId="0F3F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3EB90693">
            <w:pPr>
              <w:pStyle w:val="26"/>
              <w:bidi w:val="0"/>
              <w:rPr>
                <w:rFonts w:hint="eastAsia"/>
                <w:lang w:val="en-US" w:eastAsia="zh-CN"/>
              </w:rPr>
            </w:pPr>
          </w:p>
        </w:tc>
        <w:tc>
          <w:tcPr>
            <w:tcW w:w="1246" w:type="dxa"/>
            <w:vMerge w:val="continue"/>
            <w:vAlign w:val="center"/>
          </w:tcPr>
          <w:p w14:paraId="37EB939B">
            <w:pPr>
              <w:pStyle w:val="26"/>
              <w:bidi w:val="0"/>
              <w:rPr>
                <w:rFonts w:hint="eastAsia"/>
                <w:lang w:val="en-US" w:eastAsia="zh-CN"/>
              </w:rPr>
            </w:pPr>
          </w:p>
        </w:tc>
        <w:tc>
          <w:tcPr>
            <w:tcW w:w="1679" w:type="dxa"/>
            <w:gridSpan w:val="2"/>
            <w:vAlign w:val="center"/>
          </w:tcPr>
          <w:p w14:paraId="58A5FC08">
            <w:pPr>
              <w:pStyle w:val="26"/>
              <w:bidi w:val="0"/>
              <w:rPr>
                <w:rFonts w:hint="eastAsia"/>
                <w:lang w:val="en-US" w:eastAsia="zh-CN"/>
              </w:rPr>
            </w:pPr>
            <w:r>
              <w:rPr>
                <w:rFonts w:hint="eastAsia"/>
                <w:lang w:val="en-US" w:eastAsia="zh-CN"/>
              </w:rPr>
              <w:t>非甲烷总烃</w:t>
            </w:r>
          </w:p>
        </w:tc>
        <w:tc>
          <w:tcPr>
            <w:tcW w:w="1504" w:type="dxa"/>
            <w:vAlign w:val="center"/>
          </w:tcPr>
          <w:p w14:paraId="493B0D05">
            <w:pPr>
              <w:pStyle w:val="26"/>
              <w:bidi w:val="0"/>
              <w:rPr>
                <w:rFonts w:hint="eastAsia"/>
                <w:lang w:val="en-US" w:eastAsia="zh-CN"/>
              </w:rPr>
            </w:pPr>
            <w:r>
              <w:rPr>
                <w:rFonts w:hint="eastAsia"/>
                <w:lang w:val="en-US" w:eastAsia="zh-CN"/>
              </w:rPr>
              <w:t>1.48329</w:t>
            </w:r>
          </w:p>
        </w:tc>
        <w:tc>
          <w:tcPr>
            <w:tcW w:w="1396" w:type="dxa"/>
            <w:vAlign w:val="center"/>
          </w:tcPr>
          <w:p w14:paraId="2472B588">
            <w:pPr>
              <w:pStyle w:val="26"/>
              <w:bidi w:val="0"/>
              <w:rPr>
                <w:rFonts w:hint="eastAsia"/>
                <w:lang w:val="en-US" w:eastAsia="zh-CN"/>
              </w:rPr>
            </w:pPr>
            <w:r>
              <w:rPr>
                <w:rFonts w:hint="eastAsia"/>
                <w:lang w:val="en-US" w:eastAsia="zh-CN"/>
              </w:rPr>
              <w:t>/</w:t>
            </w:r>
          </w:p>
        </w:tc>
        <w:tc>
          <w:tcPr>
            <w:tcW w:w="1396" w:type="dxa"/>
            <w:vAlign w:val="center"/>
          </w:tcPr>
          <w:p w14:paraId="38D14666">
            <w:pPr>
              <w:pStyle w:val="26"/>
              <w:bidi w:val="0"/>
              <w:rPr>
                <w:rFonts w:hint="eastAsia"/>
                <w:lang w:val="en-US" w:eastAsia="zh-CN"/>
              </w:rPr>
            </w:pPr>
            <w:r>
              <w:rPr>
                <w:rFonts w:hint="default"/>
                <w:lang w:val="en-US" w:eastAsia="zh-CN"/>
              </w:rPr>
              <w:t>/</w:t>
            </w:r>
          </w:p>
        </w:tc>
      </w:tr>
      <w:tr w14:paraId="3B64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 w:hRule="atLeast"/>
        </w:trPr>
        <w:tc>
          <w:tcPr>
            <w:tcW w:w="1057" w:type="dxa"/>
            <w:vMerge w:val="continue"/>
            <w:vAlign w:val="center"/>
          </w:tcPr>
          <w:p w14:paraId="1DCBDF84">
            <w:pPr>
              <w:pStyle w:val="26"/>
              <w:bidi w:val="0"/>
              <w:rPr>
                <w:rFonts w:hint="eastAsia"/>
                <w:lang w:val="en-US" w:eastAsia="zh-CN"/>
              </w:rPr>
            </w:pPr>
          </w:p>
        </w:tc>
        <w:tc>
          <w:tcPr>
            <w:tcW w:w="1246" w:type="dxa"/>
            <w:vMerge w:val="continue"/>
            <w:vAlign w:val="center"/>
          </w:tcPr>
          <w:p w14:paraId="7C8C6A02">
            <w:pPr>
              <w:pStyle w:val="26"/>
              <w:bidi w:val="0"/>
              <w:rPr>
                <w:rFonts w:hint="eastAsia"/>
                <w:lang w:val="en-US" w:eastAsia="zh-CN"/>
              </w:rPr>
            </w:pPr>
          </w:p>
        </w:tc>
        <w:tc>
          <w:tcPr>
            <w:tcW w:w="839" w:type="dxa"/>
            <w:vMerge w:val="restart"/>
            <w:vAlign w:val="center"/>
          </w:tcPr>
          <w:p w14:paraId="4597DB2A">
            <w:pPr>
              <w:pStyle w:val="26"/>
              <w:bidi w:val="0"/>
              <w:rPr>
                <w:rFonts w:hint="eastAsia"/>
                <w:lang w:val="en-US" w:eastAsia="zh-CN"/>
              </w:rPr>
            </w:pPr>
            <w:r>
              <w:rPr>
                <w:rFonts w:hint="eastAsia"/>
                <w:lang w:val="en-US" w:eastAsia="zh-CN"/>
              </w:rPr>
              <w:t>其中</w:t>
            </w:r>
          </w:p>
        </w:tc>
        <w:tc>
          <w:tcPr>
            <w:tcW w:w="840" w:type="dxa"/>
            <w:vAlign w:val="center"/>
          </w:tcPr>
          <w:p w14:paraId="2041FBB4">
            <w:pPr>
              <w:pStyle w:val="26"/>
              <w:bidi w:val="0"/>
              <w:rPr>
                <w:rFonts w:hint="eastAsia"/>
                <w:lang w:val="en-US" w:eastAsia="zh-CN"/>
              </w:rPr>
            </w:pPr>
            <w:r>
              <w:rPr>
                <w:rFonts w:hint="eastAsia"/>
                <w:lang w:val="en-US" w:eastAsia="zh-CN"/>
              </w:rPr>
              <w:t>二甲苯</w:t>
            </w:r>
          </w:p>
        </w:tc>
        <w:tc>
          <w:tcPr>
            <w:tcW w:w="1504" w:type="dxa"/>
            <w:vAlign w:val="center"/>
          </w:tcPr>
          <w:p w14:paraId="4123F084">
            <w:pPr>
              <w:pStyle w:val="26"/>
              <w:bidi w:val="0"/>
              <w:rPr>
                <w:rFonts w:hint="eastAsia"/>
                <w:lang w:val="en-US" w:eastAsia="zh-CN"/>
              </w:rPr>
            </w:pPr>
            <w:r>
              <w:rPr>
                <w:rFonts w:hint="eastAsia"/>
                <w:lang w:val="en-US" w:eastAsia="zh-CN"/>
              </w:rPr>
              <w:t>0.2473</w:t>
            </w:r>
          </w:p>
        </w:tc>
        <w:tc>
          <w:tcPr>
            <w:tcW w:w="1396" w:type="dxa"/>
            <w:vAlign w:val="center"/>
          </w:tcPr>
          <w:p w14:paraId="19E1CED3">
            <w:pPr>
              <w:pStyle w:val="26"/>
              <w:bidi w:val="0"/>
              <w:rPr>
                <w:rFonts w:hint="eastAsia"/>
                <w:lang w:val="en-US" w:eastAsia="zh-CN"/>
              </w:rPr>
            </w:pPr>
            <w:r>
              <w:rPr>
                <w:rFonts w:hint="eastAsia"/>
                <w:lang w:val="en-US" w:eastAsia="zh-CN"/>
              </w:rPr>
              <w:t>/</w:t>
            </w:r>
          </w:p>
        </w:tc>
        <w:tc>
          <w:tcPr>
            <w:tcW w:w="1396" w:type="dxa"/>
            <w:vAlign w:val="center"/>
          </w:tcPr>
          <w:p w14:paraId="10E3CD29">
            <w:pPr>
              <w:pStyle w:val="26"/>
              <w:bidi w:val="0"/>
              <w:rPr>
                <w:rFonts w:hint="eastAsia"/>
                <w:lang w:val="en-US" w:eastAsia="zh-CN"/>
              </w:rPr>
            </w:pPr>
            <w:r>
              <w:rPr>
                <w:rFonts w:hint="default"/>
                <w:lang w:val="en-US" w:eastAsia="zh-CN"/>
              </w:rPr>
              <w:t>/</w:t>
            </w:r>
          </w:p>
        </w:tc>
      </w:tr>
      <w:tr w14:paraId="4D75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57074633">
            <w:pPr>
              <w:pStyle w:val="26"/>
              <w:bidi w:val="0"/>
              <w:rPr>
                <w:rFonts w:hint="eastAsia"/>
                <w:lang w:val="en-US" w:eastAsia="zh-CN"/>
              </w:rPr>
            </w:pPr>
          </w:p>
        </w:tc>
        <w:tc>
          <w:tcPr>
            <w:tcW w:w="1246" w:type="dxa"/>
            <w:vMerge w:val="continue"/>
            <w:vAlign w:val="center"/>
          </w:tcPr>
          <w:p w14:paraId="1CC3DB46">
            <w:pPr>
              <w:pStyle w:val="26"/>
              <w:bidi w:val="0"/>
              <w:rPr>
                <w:rFonts w:hint="eastAsia"/>
                <w:lang w:val="en-US" w:eastAsia="zh-CN"/>
              </w:rPr>
            </w:pPr>
          </w:p>
        </w:tc>
        <w:tc>
          <w:tcPr>
            <w:tcW w:w="839" w:type="dxa"/>
            <w:vMerge w:val="continue"/>
            <w:vAlign w:val="center"/>
          </w:tcPr>
          <w:p w14:paraId="43348E66">
            <w:pPr>
              <w:pStyle w:val="26"/>
              <w:bidi w:val="0"/>
              <w:rPr>
                <w:rFonts w:hint="eastAsia"/>
                <w:lang w:val="en-US" w:eastAsia="zh-CN"/>
              </w:rPr>
            </w:pPr>
          </w:p>
        </w:tc>
        <w:tc>
          <w:tcPr>
            <w:tcW w:w="840" w:type="dxa"/>
            <w:vAlign w:val="center"/>
          </w:tcPr>
          <w:p w14:paraId="218CF89C">
            <w:pPr>
              <w:pStyle w:val="26"/>
              <w:bidi w:val="0"/>
              <w:rPr>
                <w:rFonts w:hint="eastAsia"/>
                <w:lang w:val="en-US" w:eastAsia="zh-CN"/>
              </w:rPr>
            </w:pPr>
            <w:r>
              <w:rPr>
                <w:rFonts w:hint="eastAsia"/>
                <w:lang w:val="en-US" w:eastAsia="zh-CN"/>
              </w:rPr>
              <w:t>酚类</w:t>
            </w:r>
          </w:p>
        </w:tc>
        <w:tc>
          <w:tcPr>
            <w:tcW w:w="1504" w:type="dxa"/>
            <w:vAlign w:val="center"/>
          </w:tcPr>
          <w:p w14:paraId="5A905D0C">
            <w:pPr>
              <w:pStyle w:val="26"/>
              <w:bidi w:val="0"/>
              <w:rPr>
                <w:rFonts w:hint="eastAsia"/>
                <w:lang w:val="en-US" w:eastAsia="zh-CN"/>
              </w:rPr>
            </w:pPr>
            <w:r>
              <w:rPr>
                <w:rFonts w:hint="eastAsia"/>
                <w:lang w:val="en-US" w:eastAsia="zh-CN"/>
              </w:rPr>
              <w:t>0.29</w:t>
            </w:r>
          </w:p>
        </w:tc>
        <w:tc>
          <w:tcPr>
            <w:tcW w:w="1396" w:type="dxa"/>
            <w:vAlign w:val="center"/>
          </w:tcPr>
          <w:p w14:paraId="1CE9489C">
            <w:pPr>
              <w:pStyle w:val="26"/>
              <w:bidi w:val="0"/>
              <w:rPr>
                <w:rFonts w:hint="eastAsia"/>
                <w:lang w:val="en-US" w:eastAsia="zh-CN"/>
              </w:rPr>
            </w:pPr>
            <w:r>
              <w:rPr>
                <w:rFonts w:hint="eastAsia"/>
                <w:lang w:val="en-US" w:eastAsia="zh-CN"/>
              </w:rPr>
              <w:t>/</w:t>
            </w:r>
          </w:p>
        </w:tc>
        <w:tc>
          <w:tcPr>
            <w:tcW w:w="1396" w:type="dxa"/>
            <w:vAlign w:val="center"/>
          </w:tcPr>
          <w:p w14:paraId="65792F45">
            <w:pPr>
              <w:pStyle w:val="26"/>
              <w:bidi w:val="0"/>
              <w:rPr>
                <w:rFonts w:hint="eastAsia"/>
                <w:lang w:val="en-US" w:eastAsia="zh-CN"/>
              </w:rPr>
            </w:pPr>
            <w:r>
              <w:rPr>
                <w:rFonts w:hint="default"/>
                <w:lang w:val="en-US" w:eastAsia="zh-CN"/>
              </w:rPr>
              <w:t>/</w:t>
            </w:r>
          </w:p>
        </w:tc>
      </w:tr>
      <w:tr w14:paraId="2B89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7" w:type="dxa"/>
            <w:vMerge w:val="continue"/>
            <w:vAlign w:val="center"/>
          </w:tcPr>
          <w:p w14:paraId="284186A9">
            <w:pPr>
              <w:pStyle w:val="26"/>
              <w:bidi w:val="0"/>
              <w:rPr>
                <w:rFonts w:hint="eastAsia"/>
                <w:lang w:val="en-US" w:eastAsia="zh-CN"/>
              </w:rPr>
            </w:pPr>
          </w:p>
        </w:tc>
        <w:tc>
          <w:tcPr>
            <w:tcW w:w="1246" w:type="dxa"/>
            <w:vMerge w:val="continue"/>
            <w:vAlign w:val="center"/>
          </w:tcPr>
          <w:p w14:paraId="6F47C805">
            <w:pPr>
              <w:pStyle w:val="26"/>
              <w:bidi w:val="0"/>
              <w:rPr>
                <w:rFonts w:hint="eastAsia"/>
                <w:lang w:val="en-US" w:eastAsia="zh-CN"/>
              </w:rPr>
            </w:pPr>
          </w:p>
        </w:tc>
        <w:tc>
          <w:tcPr>
            <w:tcW w:w="1679" w:type="dxa"/>
            <w:gridSpan w:val="2"/>
            <w:vAlign w:val="center"/>
          </w:tcPr>
          <w:p w14:paraId="4EF71458">
            <w:pPr>
              <w:pStyle w:val="26"/>
              <w:bidi w:val="0"/>
              <w:rPr>
                <w:rFonts w:hint="eastAsia"/>
                <w:lang w:val="en-US" w:eastAsia="zh-CN"/>
              </w:rPr>
            </w:pPr>
            <w:r>
              <w:rPr>
                <w:rFonts w:hint="eastAsia"/>
                <w:lang w:val="en-US" w:eastAsia="zh-CN"/>
              </w:rPr>
              <w:t>颗粒物</w:t>
            </w:r>
          </w:p>
        </w:tc>
        <w:tc>
          <w:tcPr>
            <w:tcW w:w="1504" w:type="dxa"/>
            <w:vAlign w:val="center"/>
          </w:tcPr>
          <w:p w14:paraId="4A97B063">
            <w:pPr>
              <w:pStyle w:val="26"/>
              <w:bidi w:val="0"/>
              <w:rPr>
                <w:rFonts w:hint="eastAsia"/>
                <w:lang w:val="en-US" w:eastAsia="zh-CN"/>
              </w:rPr>
            </w:pPr>
            <w:r>
              <w:rPr>
                <w:rFonts w:hint="eastAsia"/>
                <w:lang w:val="en-US" w:eastAsia="zh-CN"/>
              </w:rPr>
              <w:t>0.21314</w:t>
            </w:r>
          </w:p>
        </w:tc>
        <w:tc>
          <w:tcPr>
            <w:tcW w:w="1396" w:type="dxa"/>
            <w:vAlign w:val="center"/>
          </w:tcPr>
          <w:p w14:paraId="625FB7EA">
            <w:pPr>
              <w:pStyle w:val="26"/>
              <w:bidi w:val="0"/>
              <w:rPr>
                <w:rFonts w:hint="eastAsia"/>
                <w:lang w:val="en-US" w:eastAsia="zh-CN"/>
              </w:rPr>
            </w:pPr>
            <w:r>
              <w:rPr>
                <w:rFonts w:hint="eastAsia"/>
                <w:lang w:val="en-US" w:eastAsia="zh-CN"/>
              </w:rPr>
              <w:t>/</w:t>
            </w:r>
          </w:p>
        </w:tc>
        <w:tc>
          <w:tcPr>
            <w:tcW w:w="1396" w:type="dxa"/>
            <w:vAlign w:val="center"/>
          </w:tcPr>
          <w:p w14:paraId="7362970B">
            <w:pPr>
              <w:pStyle w:val="26"/>
              <w:bidi w:val="0"/>
              <w:rPr>
                <w:rFonts w:hint="eastAsia"/>
                <w:lang w:val="en-US" w:eastAsia="zh-CN"/>
              </w:rPr>
            </w:pPr>
            <w:r>
              <w:rPr>
                <w:rFonts w:hint="default"/>
                <w:lang w:val="en-US" w:eastAsia="zh-CN"/>
              </w:rPr>
              <w:t>/</w:t>
            </w:r>
          </w:p>
        </w:tc>
      </w:tr>
      <w:tr w14:paraId="5D90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restart"/>
            <w:vAlign w:val="center"/>
          </w:tcPr>
          <w:p w14:paraId="017D706E">
            <w:pPr>
              <w:pStyle w:val="26"/>
              <w:bidi w:val="0"/>
              <w:rPr>
                <w:rFonts w:hint="eastAsia"/>
                <w:lang w:val="en-US" w:eastAsia="zh-CN"/>
              </w:rPr>
            </w:pPr>
            <w:r>
              <w:rPr>
                <w:rFonts w:hint="eastAsia"/>
                <w:lang w:val="en-US" w:eastAsia="zh-CN"/>
              </w:rPr>
              <w:t>生活污水</w:t>
            </w:r>
            <w:r>
              <w:rPr>
                <w:rFonts w:hint="eastAsia" w:ascii="仿宋_GB2312" w:hAnsi="仿宋_GB2312" w:eastAsia="仿宋_GB2312" w:cs="仿宋_GB2312"/>
                <w:lang w:val="en-US" w:eastAsia="zh-CN"/>
              </w:rPr>
              <w:t>②</w:t>
            </w:r>
          </w:p>
        </w:tc>
        <w:tc>
          <w:tcPr>
            <w:tcW w:w="1679" w:type="dxa"/>
            <w:gridSpan w:val="2"/>
            <w:vAlign w:val="center"/>
          </w:tcPr>
          <w:p w14:paraId="3F3716C9">
            <w:pPr>
              <w:pStyle w:val="26"/>
              <w:bidi w:val="0"/>
              <w:rPr>
                <w:rFonts w:hint="eastAsia"/>
                <w:lang w:val="en-US" w:eastAsia="zh-CN"/>
              </w:rPr>
            </w:pPr>
            <w:r>
              <w:rPr>
                <w:rFonts w:hint="eastAsia"/>
                <w:lang w:val="en-US" w:eastAsia="zh-CN"/>
              </w:rPr>
              <w:t>废水量</w:t>
            </w:r>
          </w:p>
        </w:tc>
        <w:tc>
          <w:tcPr>
            <w:tcW w:w="1504" w:type="dxa"/>
            <w:vAlign w:val="center"/>
          </w:tcPr>
          <w:p w14:paraId="57B463A3">
            <w:pPr>
              <w:pStyle w:val="26"/>
              <w:bidi w:val="0"/>
              <w:rPr>
                <w:rFonts w:hint="eastAsia"/>
                <w:lang w:val="en-US" w:eastAsia="zh-CN"/>
              </w:rPr>
            </w:pPr>
            <w:r>
              <w:rPr>
                <w:rFonts w:hint="eastAsia"/>
                <w:lang w:val="en-US" w:eastAsia="zh-CN"/>
              </w:rPr>
              <w:t>3420</w:t>
            </w:r>
          </w:p>
        </w:tc>
        <w:tc>
          <w:tcPr>
            <w:tcW w:w="1396" w:type="dxa"/>
            <w:vAlign w:val="center"/>
          </w:tcPr>
          <w:p w14:paraId="1A18A307">
            <w:pPr>
              <w:pStyle w:val="26"/>
              <w:bidi w:val="0"/>
              <w:rPr>
                <w:rFonts w:hint="eastAsia"/>
                <w:lang w:val="en-US" w:eastAsia="zh-CN"/>
              </w:rPr>
            </w:pPr>
            <w:r>
              <w:rPr>
                <w:rFonts w:hint="eastAsia"/>
                <w:lang w:val="en-US" w:eastAsia="zh-CN"/>
              </w:rPr>
              <w:t>/</w:t>
            </w:r>
          </w:p>
        </w:tc>
        <w:tc>
          <w:tcPr>
            <w:tcW w:w="1396" w:type="dxa"/>
            <w:vAlign w:val="center"/>
          </w:tcPr>
          <w:p w14:paraId="578959E6">
            <w:pPr>
              <w:pStyle w:val="26"/>
              <w:bidi w:val="0"/>
              <w:rPr>
                <w:rFonts w:hint="eastAsia"/>
                <w:lang w:val="en-US" w:eastAsia="zh-CN"/>
              </w:rPr>
            </w:pPr>
            <w:r>
              <w:rPr>
                <w:rFonts w:hint="default"/>
                <w:lang w:val="en-US" w:eastAsia="zh-CN"/>
              </w:rPr>
              <w:t>3420</w:t>
            </w:r>
          </w:p>
        </w:tc>
      </w:tr>
      <w:tr w14:paraId="0B5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continue"/>
            <w:vAlign w:val="center"/>
          </w:tcPr>
          <w:p w14:paraId="0F209491">
            <w:pPr>
              <w:pStyle w:val="26"/>
              <w:bidi w:val="0"/>
              <w:rPr>
                <w:rFonts w:hint="eastAsia"/>
                <w:lang w:val="en-US" w:eastAsia="zh-CN"/>
              </w:rPr>
            </w:pPr>
          </w:p>
        </w:tc>
        <w:tc>
          <w:tcPr>
            <w:tcW w:w="1679" w:type="dxa"/>
            <w:gridSpan w:val="2"/>
            <w:vAlign w:val="center"/>
          </w:tcPr>
          <w:p w14:paraId="1774B283">
            <w:pPr>
              <w:pStyle w:val="26"/>
              <w:bidi w:val="0"/>
              <w:rPr>
                <w:rFonts w:hint="eastAsia"/>
                <w:lang w:val="en-US" w:eastAsia="zh-CN"/>
              </w:rPr>
            </w:pPr>
            <w:r>
              <w:rPr>
                <w:rFonts w:hint="eastAsia"/>
                <w:lang w:val="en-US" w:eastAsia="zh-CN"/>
              </w:rPr>
              <w:t>COD</w:t>
            </w:r>
          </w:p>
        </w:tc>
        <w:tc>
          <w:tcPr>
            <w:tcW w:w="1504" w:type="dxa"/>
            <w:vAlign w:val="center"/>
          </w:tcPr>
          <w:p w14:paraId="3DF04F46">
            <w:pPr>
              <w:pStyle w:val="26"/>
              <w:bidi w:val="0"/>
              <w:rPr>
                <w:rFonts w:hint="eastAsia"/>
                <w:lang w:val="en-US" w:eastAsia="zh-CN"/>
              </w:rPr>
            </w:pPr>
            <w:r>
              <w:rPr>
                <w:rFonts w:hint="eastAsia"/>
                <w:lang w:val="en-US" w:eastAsia="zh-CN"/>
              </w:rPr>
              <w:t>1.197</w:t>
            </w:r>
          </w:p>
        </w:tc>
        <w:tc>
          <w:tcPr>
            <w:tcW w:w="1396" w:type="dxa"/>
            <w:vAlign w:val="center"/>
          </w:tcPr>
          <w:p w14:paraId="2380A30D">
            <w:pPr>
              <w:pStyle w:val="26"/>
              <w:bidi w:val="0"/>
              <w:rPr>
                <w:rFonts w:hint="eastAsia"/>
                <w:lang w:val="en-US" w:eastAsia="zh-CN"/>
              </w:rPr>
            </w:pPr>
            <w:r>
              <w:rPr>
                <w:rFonts w:hint="eastAsia"/>
                <w:lang w:val="en-US" w:eastAsia="zh-CN"/>
              </w:rPr>
              <w:t>/</w:t>
            </w:r>
          </w:p>
        </w:tc>
        <w:tc>
          <w:tcPr>
            <w:tcW w:w="1396" w:type="dxa"/>
            <w:vAlign w:val="center"/>
          </w:tcPr>
          <w:p w14:paraId="3F04BE79">
            <w:pPr>
              <w:pStyle w:val="26"/>
              <w:bidi w:val="0"/>
              <w:rPr>
                <w:rFonts w:hint="eastAsia"/>
                <w:lang w:val="en-US" w:eastAsia="zh-CN"/>
              </w:rPr>
            </w:pPr>
            <w:r>
              <w:rPr>
                <w:rFonts w:hint="default"/>
                <w:lang w:val="en-US" w:eastAsia="zh-CN"/>
              </w:rPr>
              <w:t xml:space="preserve">0.8584 </w:t>
            </w:r>
          </w:p>
        </w:tc>
      </w:tr>
      <w:tr w14:paraId="1A36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continue"/>
            <w:vAlign w:val="center"/>
          </w:tcPr>
          <w:p w14:paraId="289D45B9">
            <w:pPr>
              <w:pStyle w:val="26"/>
              <w:bidi w:val="0"/>
              <w:rPr>
                <w:rFonts w:hint="eastAsia"/>
                <w:lang w:val="en-US" w:eastAsia="zh-CN"/>
              </w:rPr>
            </w:pPr>
          </w:p>
        </w:tc>
        <w:tc>
          <w:tcPr>
            <w:tcW w:w="1679" w:type="dxa"/>
            <w:gridSpan w:val="2"/>
            <w:vAlign w:val="center"/>
          </w:tcPr>
          <w:p w14:paraId="109F45B6">
            <w:pPr>
              <w:pStyle w:val="26"/>
              <w:bidi w:val="0"/>
              <w:rPr>
                <w:rFonts w:hint="eastAsia"/>
                <w:lang w:val="en-US" w:eastAsia="zh-CN"/>
              </w:rPr>
            </w:pPr>
            <w:r>
              <w:rPr>
                <w:rFonts w:hint="eastAsia"/>
                <w:lang w:val="en-US" w:eastAsia="zh-CN"/>
              </w:rPr>
              <w:t>SS</w:t>
            </w:r>
          </w:p>
        </w:tc>
        <w:tc>
          <w:tcPr>
            <w:tcW w:w="1504" w:type="dxa"/>
            <w:vAlign w:val="center"/>
          </w:tcPr>
          <w:p w14:paraId="3E0A88B6">
            <w:pPr>
              <w:pStyle w:val="26"/>
              <w:bidi w:val="0"/>
              <w:rPr>
                <w:rFonts w:hint="eastAsia"/>
                <w:lang w:val="en-US" w:eastAsia="zh-CN"/>
              </w:rPr>
            </w:pPr>
            <w:r>
              <w:rPr>
                <w:rFonts w:hint="eastAsia"/>
                <w:lang w:val="en-US" w:eastAsia="zh-CN"/>
              </w:rPr>
              <w:t>0.342</w:t>
            </w:r>
          </w:p>
        </w:tc>
        <w:tc>
          <w:tcPr>
            <w:tcW w:w="1396" w:type="dxa"/>
            <w:vAlign w:val="center"/>
          </w:tcPr>
          <w:p w14:paraId="0201ADBC">
            <w:pPr>
              <w:pStyle w:val="26"/>
              <w:bidi w:val="0"/>
              <w:rPr>
                <w:rFonts w:hint="eastAsia"/>
                <w:lang w:val="en-US" w:eastAsia="zh-CN"/>
              </w:rPr>
            </w:pPr>
            <w:r>
              <w:rPr>
                <w:rFonts w:hint="eastAsia"/>
                <w:lang w:val="en-US" w:eastAsia="zh-CN"/>
              </w:rPr>
              <w:t>/</w:t>
            </w:r>
          </w:p>
        </w:tc>
        <w:tc>
          <w:tcPr>
            <w:tcW w:w="1396" w:type="dxa"/>
            <w:vAlign w:val="center"/>
          </w:tcPr>
          <w:p w14:paraId="3253570C">
            <w:pPr>
              <w:pStyle w:val="26"/>
              <w:bidi w:val="0"/>
              <w:rPr>
                <w:rFonts w:hint="eastAsia"/>
                <w:lang w:val="en-US" w:eastAsia="zh-CN"/>
              </w:rPr>
            </w:pPr>
            <w:r>
              <w:rPr>
                <w:rFonts w:hint="default"/>
                <w:lang w:val="en-US" w:eastAsia="zh-CN"/>
              </w:rPr>
              <w:t xml:space="preserve">0.0564 </w:t>
            </w:r>
          </w:p>
        </w:tc>
      </w:tr>
      <w:tr w14:paraId="7343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continue"/>
            <w:vAlign w:val="center"/>
          </w:tcPr>
          <w:p w14:paraId="0364EFD4">
            <w:pPr>
              <w:pStyle w:val="26"/>
              <w:bidi w:val="0"/>
              <w:rPr>
                <w:rFonts w:hint="eastAsia"/>
                <w:lang w:val="en-US" w:eastAsia="zh-CN"/>
              </w:rPr>
            </w:pPr>
          </w:p>
        </w:tc>
        <w:tc>
          <w:tcPr>
            <w:tcW w:w="1679" w:type="dxa"/>
            <w:gridSpan w:val="2"/>
            <w:vAlign w:val="center"/>
          </w:tcPr>
          <w:p w14:paraId="74CCAB04">
            <w:pPr>
              <w:pStyle w:val="26"/>
              <w:bidi w:val="0"/>
              <w:rPr>
                <w:rFonts w:hint="eastAsia"/>
                <w:lang w:val="en-US" w:eastAsia="zh-CN"/>
              </w:rPr>
            </w:pPr>
            <w:r>
              <w:rPr>
                <w:rFonts w:hint="eastAsia"/>
                <w:lang w:val="en-US" w:eastAsia="zh-CN"/>
              </w:rPr>
              <w:t>NH3-N</w:t>
            </w:r>
          </w:p>
        </w:tc>
        <w:tc>
          <w:tcPr>
            <w:tcW w:w="1504" w:type="dxa"/>
            <w:vAlign w:val="center"/>
          </w:tcPr>
          <w:p w14:paraId="4B95DD20">
            <w:pPr>
              <w:pStyle w:val="26"/>
              <w:bidi w:val="0"/>
              <w:rPr>
                <w:rFonts w:hint="eastAsia"/>
                <w:lang w:val="en-US" w:eastAsia="zh-CN"/>
              </w:rPr>
            </w:pPr>
            <w:r>
              <w:rPr>
                <w:rFonts w:hint="eastAsia"/>
                <w:lang w:val="en-US" w:eastAsia="zh-CN"/>
              </w:rPr>
              <w:t>0.1539</w:t>
            </w:r>
          </w:p>
        </w:tc>
        <w:tc>
          <w:tcPr>
            <w:tcW w:w="1396" w:type="dxa"/>
            <w:vAlign w:val="center"/>
          </w:tcPr>
          <w:p w14:paraId="69582DCF">
            <w:pPr>
              <w:pStyle w:val="26"/>
              <w:bidi w:val="0"/>
              <w:rPr>
                <w:rFonts w:hint="eastAsia"/>
                <w:lang w:val="en-US" w:eastAsia="zh-CN"/>
              </w:rPr>
            </w:pPr>
            <w:r>
              <w:rPr>
                <w:rFonts w:hint="eastAsia"/>
                <w:lang w:val="en-US" w:eastAsia="zh-CN"/>
              </w:rPr>
              <w:t>/</w:t>
            </w:r>
          </w:p>
        </w:tc>
        <w:tc>
          <w:tcPr>
            <w:tcW w:w="1396" w:type="dxa"/>
            <w:vAlign w:val="center"/>
          </w:tcPr>
          <w:p w14:paraId="707FDE9D">
            <w:pPr>
              <w:pStyle w:val="26"/>
              <w:bidi w:val="0"/>
              <w:rPr>
                <w:rFonts w:hint="eastAsia"/>
                <w:lang w:val="en-US" w:eastAsia="zh-CN"/>
              </w:rPr>
            </w:pPr>
            <w:r>
              <w:rPr>
                <w:rFonts w:hint="default"/>
                <w:lang w:val="en-US" w:eastAsia="zh-CN"/>
              </w:rPr>
              <w:t xml:space="preserve">0.1229 </w:t>
            </w:r>
          </w:p>
        </w:tc>
      </w:tr>
      <w:tr w14:paraId="1A9D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continue"/>
            <w:vAlign w:val="center"/>
          </w:tcPr>
          <w:p w14:paraId="2FD52603">
            <w:pPr>
              <w:pStyle w:val="26"/>
              <w:bidi w:val="0"/>
              <w:rPr>
                <w:rFonts w:hint="eastAsia"/>
                <w:lang w:val="en-US" w:eastAsia="zh-CN"/>
              </w:rPr>
            </w:pPr>
          </w:p>
        </w:tc>
        <w:tc>
          <w:tcPr>
            <w:tcW w:w="1679" w:type="dxa"/>
            <w:gridSpan w:val="2"/>
            <w:vAlign w:val="center"/>
          </w:tcPr>
          <w:p w14:paraId="28917AC5">
            <w:pPr>
              <w:pStyle w:val="26"/>
              <w:bidi w:val="0"/>
              <w:rPr>
                <w:rFonts w:hint="eastAsia"/>
                <w:lang w:val="en-US" w:eastAsia="zh-CN"/>
              </w:rPr>
            </w:pPr>
            <w:r>
              <w:rPr>
                <w:rFonts w:hint="eastAsia"/>
                <w:lang w:val="en-US" w:eastAsia="zh-CN"/>
              </w:rPr>
              <w:t>TP</w:t>
            </w:r>
          </w:p>
        </w:tc>
        <w:tc>
          <w:tcPr>
            <w:tcW w:w="1504" w:type="dxa"/>
            <w:vAlign w:val="center"/>
          </w:tcPr>
          <w:p w14:paraId="4272AC83">
            <w:pPr>
              <w:pStyle w:val="26"/>
              <w:bidi w:val="0"/>
              <w:rPr>
                <w:rFonts w:hint="eastAsia"/>
                <w:lang w:val="en-US" w:eastAsia="zh-CN"/>
              </w:rPr>
            </w:pPr>
            <w:r>
              <w:rPr>
                <w:rFonts w:hint="eastAsia"/>
                <w:lang w:val="en-US" w:eastAsia="zh-CN"/>
              </w:rPr>
              <w:t>0.02052</w:t>
            </w:r>
          </w:p>
        </w:tc>
        <w:tc>
          <w:tcPr>
            <w:tcW w:w="1396" w:type="dxa"/>
            <w:vAlign w:val="center"/>
          </w:tcPr>
          <w:p w14:paraId="69A0E705">
            <w:pPr>
              <w:pStyle w:val="26"/>
              <w:bidi w:val="0"/>
              <w:rPr>
                <w:rFonts w:hint="eastAsia"/>
                <w:lang w:val="en-US" w:eastAsia="zh-CN"/>
              </w:rPr>
            </w:pPr>
            <w:r>
              <w:rPr>
                <w:rFonts w:hint="eastAsia"/>
                <w:lang w:val="en-US" w:eastAsia="zh-CN"/>
              </w:rPr>
              <w:t>/</w:t>
            </w:r>
          </w:p>
        </w:tc>
        <w:tc>
          <w:tcPr>
            <w:tcW w:w="1396" w:type="dxa"/>
            <w:vAlign w:val="center"/>
          </w:tcPr>
          <w:p w14:paraId="0E9C9585">
            <w:pPr>
              <w:pStyle w:val="26"/>
              <w:bidi w:val="0"/>
              <w:rPr>
                <w:rFonts w:hint="eastAsia"/>
                <w:lang w:val="en-US" w:eastAsia="zh-CN"/>
              </w:rPr>
            </w:pPr>
            <w:r>
              <w:rPr>
                <w:rFonts w:hint="default"/>
                <w:lang w:val="en-US" w:eastAsia="zh-CN"/>
              </w:rPr>
              <w:t xml:space="preserve">0.0137 </w:t>
            </w:r>
          </w:p>
        </w:tc>
      </w:tr>
      <w:tr w14:paraId="5B19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303" w:type="dxa"/>
            <w:gridSpan w:val="2"/>
            <w:vMerge w:val="continue"/>
            <w:vAlign w:val="center"/>
          </w:tcPr>
          <w:p w14:paraId="71175B9F">
            <w:pPr>
              <w:pStyle w:val="26"/>
              <w:bidi w:val="0"/>
              <w:rPr>
                <w:rFonts w:hint="eastAsia"/>
                <w:lang w:val="en-US" w:eastAsia="zh-CN"/>
              </w:rPr>
            </w:pPr>
          </w:p>
        </w:tc>
        <w:tc>
          <w:tcPr>
            <w:tcW w:w="1679" w:type="dxa"/>
            <w:gridSpan w:val="2"/>
            <w:vAlign w:val="center"/>
          </w:tcPr>
          <w:p w14:paraId="789365FE">
            <w:pPr>
              <w:pStyle w:val="26"/>
              <w:bidi w:val="0"/>
              <w:rPr>
                <w:rFonts w:hint="eastAsia"/>
                <w:lang w:val="en-US" w:eastAsia="zh-CN"/>
              </w:rPr>
            </w:pPr>
            <w:r>
              <w:rPr>
                <w:rFonts w:hint="eastAsia"/>
                <w:lang w:val="en-US" w:eastAsia="zh-CN"/>
              </w:rPr>
              <w:t>TN</w:t>
            </w:r>
          </w:p>
        </w:tc>
        <w:tc>
          <w:tcPr>
            <w:tcW w:w="1504" w:type="dxa"/>
            <w:vAlign w:val="center"/>
          </w:tcPr>
          <w:p w14:paraId="2A796B28">
            <w:pPr>
              <w:pStyle w:val="26"/>
              <w:bidi w:val="0"/>
              <w:rPr>
                <w:rFonts w:hint="eastAsia"/>
                <w:lang w:val="en-US" w:eastAsia="zh-CN"/>
              </w:rPr>
            </w:pPr>
            <w:r>
              <w:rPr>
                <w:rFonts w:hint="eastAsia"/>
                <w:lang w:val="en-US" w:eastAsia="zh-CN"/>
              </w:rPr>
              <w:t>0.171</w:t>
            </w:r>
          </w:p>
        </w:tc>
        <w:tc>
          <w:tcPr>
            <w:tcW w:w="1396" w:type="dxa"/>
            <w:vAlign w:val="center"/>
          </w:tcPr>
          <w:p w14:paraId="6764320E">
            <w:pPr>
              <w:pStyle w:val="26"/>
              <w:bidi w:val="0"/>
              <w:rPr>
                <w:rFonts w:hint="eastAsia"/>
                <w:lang w:val="en-US" w:eastAsia="zh-CN"/>
              </w:rPr>
            </w:pPr>
            <w:r>
              <w:rPr>
                <w:rFonts w:hint="eastAsia"/>
                <w:lang w:val="en-US" w:eastAsia="zh-CN"/>
              </w:rPr>
              <w:t>/</w:t>
            </w:r>
          </w:p>
        </w:tc>
        <w:tc>
          <w:tcPr>
            <w:tcW w:w="1396" w:type="dxa"/>
            <w:vAlign w:val="center"/>
          </w:tcPr>
          <w:p w14:paraId="6B795980">
            <w:pPr>
              <w:pStyle w:val="26"/>
              <w:bidi w:val="0"/>
              <w:rPr>
                <w:rFonts w:hint="eastAsia"/>
                <w:lang w:val="en-US" w:eastAsia="zh-CN"/>
              </w:rPr>
            </w:pPr>
            <w:r>
              <w:rPr>
                <w:rFonts w:hint="default"/>
                <w:lang w:val="en-US" w:eastAsia="zh-CN"/>
              </w:rPr>
              <w:t xml:space="preserve">0.1306 </w:t>
            </w:r>
          </w:p>
        </w:tc>
      </w:tr>
    </w:tbl>
    <w:p w14:paraId="36AE58DF">
      <w:pPr>
        <w:pStyle w:val="28"/>
        <w:bidi w:val="0"/>
        <w:rPr>
          <w:rFonts w:hint="default" w:eastAsia="仿宋_GB2312"/>
          <w:color w:val="auto"/>
          <w:lang w:val="en-US" w:eastAsia="zh-CN"/>
        </w:rPr>
      </w:pPr>
      <w:r>
        <w:rPr>
          <w:rFonts w:hint="eastAsia"/>
          <w:color w:val="auto"/>
          <w:lang w:val="en-US" w:eastAsia="zh-CN"/>
        </w:rPr>
        <w:t>备注：</w:t>
      </w:r>
      <w:r>
        <w:rPr>
          <w:rFonts w:hint="eastAsia" w:ascii="仿宋_GB2312" w:hAnsi="仿宋_GB2312" w:eastAsia="仿宋_GB2312" w:cs="仿宋_GB2312"/>
          <w:color w:val="auto"/>
          <w:lang w:val="en-US" w:eastAsia="zh-CN"/>
        </w:rPr>
        <w:t>①</w:t>
      </w:r>
      <w:r>
        <w:rPr>
          <w:rFonts w:hint="eastAsia"/>
          <w:color w:val="auto"/>
          <w:lang w:val="en-US" w:eastAsia="zh-CN"/>
        </w:rPr>
        <w:t>有组织废气按监测数据核算；</w:t>
      </w:r>
      <w:r>
        <w:rPr>
          <w:rFonts w:hint="eastAsia" w:ascii="仿宋_GB2312" w:hAnsi="仿宋_GB2312" w:eastAsia="仿宋_GB2312" w:cs="仿宋_GB2312"/>
          <w:color w:val="auto"/>
          <w:lang w:val="en-US" w:eastAsia="zh-CN"/>
        </w:rPr>
        <w:t>②</w:t>
      </w:r>
      <w:r>
        <w:rPr>
          <w:rFonts w:hint="eastAsia" w:ascii="仿宋_GB2312" w:hAnsi="仿宋_GB2312" w:cs="仿宋_GB2312"/>
          <w:color w:val="auto"/>
          <w:lang w:val="en-US" w:eastAsia="zh-CN"/>
        </w:rPr>
        <w:t>现有项目生活污水按外排环境量核算总量，本报告以接管量重新核算，并与监测数据核算接管量对比。</w:t>
      </w:r>
    </w:p>
    <w:p w14:paraId="6AB48DA5">
      <w:pPr>
        <w:pStyle w:val="3"/>
        <w:bidi w:val="0"/>
        <w:rPr>
          <w:color w:val="auto"/>
          <w:lang w:val="en-US" w:eastAsia="zh-CN"/>
        </w:rPr>
      </w:pPr>
      <w:bookmarkStart w:id="143" w:name="_Toc8436"/>
      <w:bookmarkStart w:id="144" w:name="_Toc13051"/>
      <w:r>
        <w:rPr>
          <w:rFonts w:hint="eastAsia"/>
          <w:color w:val="auto"/>
          <w:lang w:val="en-US" w:eastAsia="zh-CN"/>
        </w:rPr>
        <w:t>存在问题及“以新带老”措施</w:t>
      </w:r>
      <w:bookmarkEnd w:id="143"/>
      <w:bookmarkEnd w:id="144"/>
    </w:p>
    <w:p w14:paraId="729CAC90">
      <w:pPr>
        <w:rPr>
          <w:color w:val="auto"/>
          <w:szCs w:val="28"/>
        </w:rPr>
      </w:pPr>
      <w:r>
        <w:rPr>
          <w:color w:val="auto"/>
          <w:szCs w:val="28"/>
        </w:rPr>
        <w:t>企业现有项目均已取得相关环保手续，已完成环保竣工验收。</w:t>
      </w:r>
    </w:p>
    <w:p w14:paraId="7EA39948">
      <w:pPr>
        <w:rPr>
          <w:color w:val="auto"/>
          <w:szCs w:val="28"/>
        </w:rPr>
      </w:pPr>
      <w:r>
        <w:rPr>
          <w:color w:val="auto"/>
        </w:rPr>
        <w:t>厂区现有项目主体建设内容与生产规模等与环保手续一致，企业目前已取得排污许可证，按照排污许可相关要求落实了管理台账、例行监测、执行报告等相关要求；已编制应急预案并报管理部门备案，制定较为完备的环境管理制度并定期进行风险应急演练，防止因安全事故引起环境污染问题。</w:t>
      </w:r>
    </w:p>
    <w:p w14:paraId="5679BE5D">
      <w:pPr>
        <w:rPr>
          <w:rFonts w:hint="eastAsia" w:ascii="Times New Roman" w:eastAsia="仿宋_GB2312"/>
          <w:color w:val="auto"/>
          <w:lang w:val="en-US" w:eastAsia="zh-CN"/>
        </w:rPr>
        <w:sectPr>
          <w:head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E8C58AB">
      <w:pPr>
        <w:pStyle w:val="2"/>
        <w:rPr>
          <w:color w:val="auto"/>
        </w:rPr>
      </w:pPr>
      <w:bookmarkStart w:id="145" w:name="_Toc6071"/>
      <w:bookmarkStart w:id="146" w:name="_Toc4062"/>
      <w:r>
        <w:rPr>
          <w:rFonts w:hint="eastAsia"/>
          <w:color w:val="auto"/>
        </w:rPr>
        <w:t>建设项目概况与工程分析</w:t>
      </w:r>
      <w:bookmarkEnd w:id="145"/>
      <w:bookmarkEnd w:id="146"/>
    </w:p>
    <w:p w14:paraId="79328570">
      <w:pPr>
        <w:pStyle w:val="3"/>
        <w:rPr>
          <w:color w:val="auto"/>
        </w:rPr>
      </w:pPr>
      <w:bookmarkStart w:id="147" w:name="_Toc11065"/>
      <w:bookmarkStart w:id="148" w:name="_Toc93"/>
      <w:r>
        <w:rPr>
          <w:rFonts w:hint="eastAsia"/>
          <w:color w:val="auto"/>
        </w:rPr>
        <w:t>项目概况</w:t>
      </w:r>
      <w:bookmarkEnd w:id="147"/>
      <w:bookmarkEnd w:id="148"/>
    </w:p>
    <w:p w14:paraId="2FF30469">
      <w:pPr>
        <w:pStyle w:val="4"/>
        <w:bidi w:val="0"/>
        <w:rPr>
          <w:rFonts w:hint="eastAsia"/>
          <w:color w:val="auto"/>
        </w:rPr>
      </w:pPr>
      <w:bookmarkStart w:id="149" w:name="_Toc21173"/>
      <w:bookmarkStart w:id="150" w:name="_Toc22043"/>
      <w:r>
        <w:rPr>
          <w:rFonts w:hint="eastAsia"/>
          <w:color w:val="auto"/>
        </w:rPr>
        <w:t>基本情况</w:t>
      </w:r>
      <w:bookmarkEnd w:id="149"/>
      <w:bookmarkEnd w:id="150"/>
    </w:p>
    <w:p w14:paraId="1CF288CA">
      <w:pPr>
        <w:rPr>
          <w:rFonts w:hint="eastAsia"/>
          <w:color w:val="auto"/>
        </w:rPr>
      </w:pPr>
      <w:r>
        <w:rPr>
          <w:rFonts w:hint="eastAsia"/>
          <w:color w:val="auto"/>
        </w:rPr>
        <w:t>建设单位：</w:t>
      </w:r>
      <w:r>
        <w:rPr>
          <w:rFonts w:hint="eastAsia"/>
          <w:color w:val="auto"/>
          <w:lang w:eastAsia="zh-CN"/>
        </w:rPr>
        <w:t>苏州昆运制版有限公司</w:t>
      </w:r>
      <w:r>
        <w:rPr>
          <w:rFonts w:hint="eastAsia"/>
          <w:color w:val="auto"/>
        </w:rPr>
        <w:t>；</w:t>
      </w:r>
    </w:p>
    <w:p w14:paraId="06C40586">
      <w:pPr>
        <w:rPr>
          <w:rFonts w:hint="eastAsia"/>
          <w:color w:val="auto"/>
        </w:rPr>
      </w:pPr>
      <w:r>
        <w:rPr>
          <w:rFonts w:hint="eastAsia"/>
          <w:color w:val="auto"/>
        </w:rPr>
        <w:t>项目名称：</w:t>
      </w:r>
      <w:r>
        <w:rPr>
          <w:rFonts w:hint="eastAsia"/>
          <w:color w:val="auto"/>
          <w:lang w:eastAsia="zh-CN"/>
        </w:rPr>
        <w:t>苏州昆运制版有限公司绿色智能化制版项目</w:t>
      </w:r>
      <w:r>
        <w:rPr>
          <w:rFonts w:hint="eastAsia"/>
          <w:color w:val="auto"/>
        </w:rPr>
        <w:t>；</w:t>
      </w:r>
    </w:p>
    <w:p w14:paraId="33CCB179">
      <w:pPr>
        <w:rPr>
          <w:rFonts w:hint="eastAsia"/>
          <w:color w:val="auto"/>
        </w:rPr>
      </w:pPr>
      <w:r>
        <w:rPr>
          <w:rFonts w:hint="eastAsia"/>
          <w:color w:val="auto"/>
        </w:rPr>
        <w:t>项目性质：扩建；</w:t>
      </w:r>
    </w:p>
    <w:p w14:paraId="1D4D884F">
      <w:pPr>
        <w:rPr>
          <w:rFonts w:hint="eastAsia"/>
          <w:color w:val="auto"/>
        </w:rPr>
      </w:pPr>
      <w:r>
        <w:rPr>
          <w:rFonts w:hint="eastAsia"/>
          <w:color w:val="auto"/>
        </w:rPr>
        <w:t>行业类别：</w:t>
      </w:r>
      <w:r>
        <w:rPr>
          <w:rFonts w:hint="eastAsia"/>
          <w:color w:val="auto"/>
          <w:lang w:eastAsia="zh-CN"/>
        </w:rPr>
        <w:t>C3525 模具制造</w:t>
      </w:r>
      <w:r>
        <w:rPr>
          <w:rFonts w:hint="eastAsia"/>
          <w:color w:val="auto"/>
        </w:rPr>
        <w:t>；</w:t>
      </w:r>
    </w:p>
    <w:p w14:paraId="012AE786">
      <w:pPr>
        <w:rPr>
          <w:rFonts w:hint="eastAsia"/>
          <w:color w:val="auto"/>
        </w:rPr>
      </w:pPr>
      <w:r>
        <w:rPr>
          <w:rFonts w:hint="eastAsia"/>
          <w:color w:val="auto"/>
        </w:rPr>
        <w:t>建设地点：</w:t>
      </w:r>
      <w:r>
        <w:rPr>
          <w:rFonts w:hint="eastAsia"/>
          <w:color w:val="auto"/>
          <w:lang w:val="en-US" w:eastAsia="zh-CN"/>
        </w:rPr>
        <w:t>昆山市花桥镇逢善路358号</w:t>
      </w:r>
      <w:r>
        <w:rPr>
          <w:rFonts w:hint="eastAsia"/>
          <w:color w:val="auto"/>
        </w:rPr>
        <w:t>；</w:t>
      </w:r>
    </w:p>
    <w:p w14:paraId="3212010F">
      <w:pPr>
        <w:rPr>
          <w:rFonts w:hint="eastAsia"/>
          <w:color w:val="auto"/>
        </w:rPr>
      </w:pPr>
      <w:r>
        <w:rPr>
          <w:rFonts w:hint="eastAsia"/>
          <w:color w:val="auto"/>
        </w:rPr>
        <w:t>投资总额：项目总投资为</w:t>
      </w:r>
      <w:r>
        <w:rPr>
          <w:rFonts w:hint="eastAsia"/>
          <w:color w:val="auto"/>
          <w:lang w:val="en-US" w:eastAsia="zh-CN"/>
        </w:rPr>
        <w:t>140</w:t>
      </w:r>
      <w:r>
        <w:rPr>
          <w:rFonts w:hint="eastAsia"/>
          <w:color w:val="auto"/>
        </w:rPr>
        <w:t>00万元；</w:t>
      </w:r>
    </w:p>
    <w:p w14:paraId="6BC71FB7">
      <w:pPr>
        <w:rPr>
          <w:rFonts w:hint="eastAsia"/>
          <w:color w:val="auto"/>
        </w:rPr>
      </w:pPr>
      <w:r>
        <w:rPr>
          <w:rFonts w:hint="eastAsia"/>
          <w:color w:val="auto"/>
        </w:rPr>
        <w:t>占地面积：现有厂区</w:t>
      </w:r>
      <w:r>
        <w:rPr>
          <w:rFonts w:hint="eastAsia"/>
          <w:color w:val="auto"/>
          <w:lang w:val="en-US" w:eastAsia="zh-CN"/>
        </w:rPr>
        <w:t>内改建厂房</w:t>
      </w:r>
      <w:r>
        <w:rPr>
          <w:rFonts w:hint="eastAsia"/>
          <w:color w:val="auto"/>
        </w:rPr>
        <w:t>，建设拆除1#、2#厂房，改扩建为4#厂房，占地面积5100平方米；</w:t>
      </w:r>
    </w:p>
    <w:p w14:paraId="0FA324A7">
      <w:pPr>
        <w:rPr>
          <w:rFonts w:hint="eastAsia"/>
          <w:color w:val="auto"/>
        </w:rPr>
      </w:pPr>
      <w:r>
        <w:rPr>
          <w:rFonts w:hint="eastAsia"/>
          <w:color w:val="auto"/>
        </w:rPr>
        <w:t>劳动定员：</w:t>
      </w:r>
      <w:r>
        <w:rPr>
          <w:rFonts w:hint="eastAsia"/>
          <w:color w:val="auto"/>
          <w:lang w:val="en-US" w:eastAsia="zh-CN"/>
        </w:rPr>
        <w:t>现有职工150人，本项目新增职工110人</w:t>
      </w:r>
      <w:r>
        <w:rPr>
          <w:rFonts w:hint="eastAsia"/>
          <w:color w:val="auto"/>
        </w:rPr>
        <w:t>；</w:t>
      </w:r>
    </w:p>
    <w:p w14:paraId="2A72300B">
      <w:pPr>
        <w:rPr>
          <w:rFonts w:hint="eastAsia"/>
          <w:color w:val="auto"/>
        </w:rPr>
      </w:pPr>
      <w:r>
        <w:rPr>
          <w:rFonts w:hint="eastAsia"/>
          <w:color w:val="auto"/>
        </w:rPr>
        <w:t>工作制度：</w:t>
      </w:r>
      <w:r>
        <w:rPr>
          <w:rFonts w:hint="eastAsia"/>
          <w:color w:val="auto"/>
          <w:lang w:val="en-US" w:eastAsia="zh-CN"/>
        </w:rPr>
        <w:t>年</w:t>
      </w:r>
      <w:r>
        <w:rPr>
          <w:rFonts w:hint="eastAsia"/>
          <w:color w:val="auto"/>
        </w:rPr>
        <w:t>生产</w:t>
      </w:r>
      <w:r>
        <w:rPr>
          <w:rFonts w:hint="eastAsia"/>
          <w:color w:val="auto"/>
          <w:lang w:val="en-US" w:eastAsia="zh-CN"/>
        </w:rPr>
        <w:t>7200</w:t>
      </w:r>
      <w:r>
        <w:rPr>
          <w:rFonts w:hint="eastAsia"/>
          <w:color w:val="auto"/>
        </w:rPr>
        <w:t>小时、3</w:t>
      </w:r>
      <w:r>
        <w:rPr>
          <w:rFonts w:hint="eastAsia"/>
          <w:color w:val="auto"/>
          <w:lang w:val="en-US" w:eastAsia="zh-CN"/>
        </w:rPr>
        <w:t>0</w:t>
      </w:r>
      <w:r>
        <w:rPr>
          <w:rFonts w:hint="eastAsia"/>
          <w:color w:val="auto"/>
        </w:rPr>
        <w:t>0天，8小时/班，实行三班制。</w:t>
      </w:r>
    </w:p>
    <w:p w14:paraId="64FBAFCF">
      <w:pPr>
        <w:pStyle w:val="4"/>
        <w:bidi w:val="0"/>
        <w:rPr>
          <w:rFonts w:hint="eastAsia"/>
          <w:color w:val="auto"/>
        </w:rPr>
      </w:pPr>
      <w:bookmarkStart w:id="151" w:name="_Toc11944"/>
      <w:bookmarkStart w:id="152" w:name="_Toc26916"/>
      <w:r>
        <w:rPr>
          <w:rFonts w:hint="eastAsia"/>
          <w:color w:val="auto"/>
          <w:lang w:val="en-US" w:eastAsia="zh-CN"/>
        </w:rPr>
        <w:t>建设内容</w:t>
      </w:r>
      <w:bookmarkEnd w:id="151"/>
      <w:bookmarkEnd w:id="152"/>
    </w:p>
    <w:p w14:paraId="26D1F459">
      <w:pPr>
        <w:rPr>
          <w:rFonts w:hint="default"/>
          <w:color w:val="auto"/>
          <w:lang w:val="en-US" w:eastAsia="zh-CN"/>
        </w:rPr>
      </w:pPr>
      <w:r>
        <w:rPr>
          <w:rFonts w:hint="eastAsia"/>
          <w:color w:val="auto"/>
          <w:lang w:val="en-US" w:eastAsia="zh-CN"/>
        </w:rPr>
        <w:t>本项目依托</w:t>
      </w:r>
      <w:r>
        <w:rPr>
          <w:rFonts w:hint="eastAsia"/>
          <w:color w:val="auto"/>
          <w:lang w:eastAsia="zh-CN"/>
        </w:rPr>
        <w:t>昆山市花桥镇逢善路358号</w:t>
      </w:r>
      <w:r>
        <w:rPr>
          <w:rFonts w:hint="eastAsia"/>
          <w:color w:val="auto"/>
        </w:rPr>
        <w:t>现有厂区，</w:t>
      </w:r>
      <w:r>
        <w:rPr>
          <w:rFonts w:hint="eastAsia"/>
          <w:color w:val="auto"/>
          <w:lang w:val="en-US" w:eastAsia="zh-CN"/>
        </w:rPr>
        <w:t>拟拆除1#、2#厂房，改扩建为4#厂房，占地面积5100平方米，建筑面积共20400平方米。原拆除车间内生产线淘汰更新部分设备迁入新建4#厂房内；本项目新增8条智能化制版生产线。</w:t>
      </w:r>
    </w:p>
    <w:p w14:paraId="18640E41">
      <w:pPr>
        <w:pStyle w:val="4"/>
        <w:bidi w:val="0"/>
        <w:rPr>
          <w:rFonts w:hint="eastAsia"/>
          <w:color w:val="auto"/>
          <w:lang w:val="en-US" w:eastAsia="zh-CN"/>
        </w:rPr>
      </w:pPr>
      <w:bookmarkStart w:id="153" w:name="_Toc31309"/>
      <w:bookmarkStart w:id="154" w:name="_Toc5487"/>
      <w:r>
        <w:rPr>
          <w:rFonts w:hint="eastAsia"/>
          <w:color w:val="auto"/>
          <w:lang w:val="en-US" w:eastAsia="zh-CN"/>
        </w:rPr>
        <w:t>产品方案</w:t>
      </w:r>
      <w:bookmarkEnd w:id="153"/>
      <w:bookmarkEnd w:id="154"/>
    </w:p>
    <w:p w14:paraId="1BF7769E">
      <w:pPr>
        <w:rPr>
          <w:rFonts w:hint="eastAsia"/>
          <w:color w:val="auto"/>
        </w:rPr>
      </w:pPr>
      <w:r>
        <w:rPr>
          <w:rFonts w:hint="eastAsia"/>
          <w:color w:val="auto"/>
          <w:lang w:val="en-US" w:eastAsia="zh-CN"/>
        </w:rPr>
        <w:t>本项目新增凹印版284400支/a、磁性模切刀版12000张/a、热压模板6000张/a。</w:t>
      </w:r>
      <w:r>
        <w:rPr>
          <w:rFonts w:hint="eastAsia"/>
          <w:color w:val="auto"/>
        </w:rPr>
        <w:t>本次具体产品方案见</w:t>
      </w:r>
      <w:r>
        <w:rPr>
          <w:color w:val="auto"/>
        </w:rPr>
        <w:fldChar w:fldCharType="begin"/>
      </w:r>
      <w:r>
        <w:rPr>
          <w:color w:val="auto"/>
        </w:rPr>
        <w:instrText xml:space="preserve"> </w:instrText>
      </w:r>
      <w:r>
        <w:rPr>
          <w:rFonts w:hint="eastAsia"/>
          <w:color w:val="auto"/>
        </w:rPr>
        <w:instrText xml:space="preserve">REF _Ref159332707 \h</w:instrText>
      </w:r>
      <w:r>
        <w:rPr>
          <w:color w:val="auto"/>
        </w:rPr>
        <w:instrText xml:space="preserve"> </w:instrText>
      </w:r>
      <w:r>
        <w:rPr>
          <w:color w:val="auto"/>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4.1</w:t>
      </w:r>
      <w:r>
        <w:rPr>
          <w:color w:val="auto"/>
        </w:rPr>
        <w:fldChar w:fldCharType="end"/>
      </w:r>
      <w:r>
        <w:rPr>
          <w:color w:val="auto"/>
        </w:rPr>
        <w:noBreakHyphen/>
      </w:r>
      <w:r>
        <w:rPr>
          <w:color w:val="auto"/>
        </w:rPr>
        <w:t>1</w:t>
      </w:r>
      <w:r>
        <w:rPr>
          <w:color w:val="auto"/>
        </w:rPr>
        <w:fldChar w:fldCharType="end"/>
      </w:r>
      <w:r>
        <w:rPr>
          <w:rFonts w:hint="eastAsia"/>
          <w:color w:val="auto"/>
        </w:rPr>
        <w:t>。</w:t>
      </w:r>
    </w:p>
    <w:p w14:paraId="288DCE96">
      <w:pPr>
        <w:pStyle w:val="25"/>
        <w:rPr>
          <w:rFonts w:hint="eastAsia"/>
          <w:color w:val="auto"/>
        </w:rPr>
      </w:pPr>
      <w:bookmarkStart w:id="155" w:name="_Ref159332707"/>
      <w:r>
        <w:rPr>
          <w:color w:val="auto"/>
        </w:rPr>
        <w:t>表</w:t>
      </w:r>
      <w:r>
        <w:rPr>
          <w:color w:val="auto"/>
        </w:rPr>
        <w:fldChar w:fldCharType="begin"/>
      </w:r>
      <w:r>
        <w:rPr>
          <w:color w:val="auto"/>
        </w:rPr>
        <w:instrText xml:space="preserve"> STYLEREF 2 \s </w:instrText>
      </w:r>
      <w:r>
        <w:rPr>
          <w:color w:val="auto"/>
        </w:rPr>
        <w:fldChar w:fldCharType="separate"/>
      </w:r>
      <w:r>
        <w:rPr>
          <w:color w:val="auto"/>
        </w:rPr>
        <w:t>4.1</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bookmarkEnd w:id="155"/>
      <w:r>
        <w:rPr>
          <w:rFonts w:hint="eastAsia"/>
          <w:color w:val="auto"/>
        </w:rPr>
        <w:t>本次</w:t>
      </w:r>
      <w:r>
        <w:rPr>
          <w:rFonts w:hint="eastAsia"/>
          <w:color w:val="auto"/>
          <w:lang w:val="en-US" w:eastAsia="zh-CN"/>
        </w:rPr>
        <w:t>扩建</w:t>
      </w:r>
      <w:r>
        <w:rPr>
          <w:rFonts w:hint="eastAsia"/>
          <w:color w:val="auto"/>
        </w:rPr>
        <w:t>产品生产方案</w:t>
      </w:r>
    </w:p>
    <w:tbl>
      <w:tblPr>
        <w:tblStyle w:val="50"/>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71"/>
        <w:gridCol w:w="2766"/>
        <w:gridCol w:w="2777"/>
      </w:tblGrid>
      <w:tr w14:paraId="1D0D6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66" w:type="pct"/>
            <w:vAlign w:val="center"/>
          </w:tcPr>
          <w:p w14:paraId="7F78DBC4">
            <w:pPr>
              <w:pStyle w:val="36"/>
              <w:bidi w:val="0"/>
              <w:rPr>
                <w:rFonts w:hint="eastAsia"/>
                <w:lang w:val="en-US" w:eastAsia="zh-CN"/>
              </w:rPr>
            </w:pPr>
            <w:r>
              <w:rPr>
                <w:rFonts w:hint="eastAsia"/>
                <w:lang w:val="en-US" w:eastAsia="zh-CN"/>
              </w:rPr>
              <w:t>产品</w:t>
            </w:r>
          </w:p>
        </w:tc>
        <w:tc>
          <w:tcPr>
            <w:tcW w:w="1663" w:type="pct"/>
            <w:vAlign w:val="center"/>
          </w:tcPr>
          <w:p w14:paraId="6A9B0DD0">
            <w:pPr>
              <w:pStyle w:val="36"/>
              <w:bidi w:val="0"/>
              <w:rPr>
                <w:rFonts w:hint="eastAsia"/>
                <w:lang w:val="en-US" w:eastAsia="zh-CN"/>
              </w:rPr>
            </w:pPr>
            <w:r>
              <w:rPr>
                <w:rFonts w:hint="eastAsia"/>
                <w:lang w:val="en-US" w:eastAsia="zh-CN"/>
              </w:rPr>
              <w:t>设计产量（支/a）</w:t>
            </w:r>
          </w:p>
        </w:tc>
        <w:tc>
          <w:tcPr>
            <w:tcW w:w="1669" w:type="pct"/>
            <w:vAlign w:val="center"/>
          </w:tcPr>
          <w:p w14:paraId="1561A852">
            <w:pPr>
              <w:pStyle w:val="36"/>
              <w:bidi w:val="0"/>
              <w:rPr>
                <w:rFonts w:hint="eastAsia"/>
                <w:lang w:val="en-US" w:eastAsia="zh-CN"/>
              </w:rPr>
            </w:pPr>
            <w:r>
              <w:rPr>
                <w:rFonts w:hint="eastAsia"/>
                <w:lang w:val="en-US" w:eastAsia="zh-CN"/>
              </w:rPr>
              <w:t>运行时数</w:t>
            </w:r>
          </w:p>
        </w:tc>
      </w:tr>
      <w:tr w14:paraId="209E8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1666" w:type="pct"/>
            <w:vAlign w:val="center"/>
          </w:tcPr>
          <w:p w14:paraId="53A8C73E">
            <w:pPr>
              <w:pStyle w:val="26"/>
              <w:bidi w:val="0"/>
              <w:jc w:val="center"/>
              <w:rPr>
                <w:rFonts w:hint="eastAsia"/>
                <w:lang w:val="en-US" w:eastAsia="zh-CN"/>
              </w:rPr>
            </w:pPr>
            <w:r>
              <w:rPr>
                <w:rFonts w:hint="eastAsia"/>
                <w:lang w:val="en-US" w:eastAsia="zh-CN"/>
              </w:rPr>
              <w:t>凹印版</w:t>
            </w:r>
          </w:p>
        </w:tc>
        <w:tc>
          <w:tcPr>
            <w:tcW w:w="1663" w:type="pct"/>
            <w:vAlign w:val="center"/>
          </w:tcPr>
          <w:p w14:paraId="1A652305">
            <w:pPr>
              <w:pStyle w:val="26"/>
              <w:bidi w:val="0"/>
              <w:jc w:val="center"/>
              <w:rPr>
                <w:rFonts w:hint="eastAsia"/>
                <w:lang w:val="en-US" w:eastAsia="zh-CN"/>
              </w:rPr>
            </w:pPr>
            <w:r>
              <w:rPr>
                <w:rFonts w:hint="eastAsia"/>
                <w:lang w:val="en-US" w:eastAsia="zh-CN"/>
              </w:rPr>
              <w:t>284400</w:t>
            </w:r>
          </w:p>
        </w:tc>
        <w:tc>
          <w:tcPr>
            <w:tcW w:w="1669" w:type="pct"/>
            <w:vMerge w:val="restart"/>
            <w:vAlign w:val="center"/>
          </w:tcPr>
          <w:p w14:paraId="2D2DC2C0">
            <w:pPr>
              <w:pStyle w:val="26"/>
              <w:bidi w:val="0"/>
              <w:jc w:val="center"/>
              <w:rPr>
                <w:rFonts w:hint="eastAsia"/>
                <w:lang w:val="en-US" w:eastAsia="zh-CN"/>
              </w:rPr>
            </w:pPr>
            <w:r>
              <w:rPr>
                <w:rFonts w:hint="eastAsia"/>
                <w:lang w:val="en-US" w:eastAsia="zh-CN"/>
              </w:rPr>
              <w:t>7200h</w:t>
            </w:r>
          </w:p>
        </w:tc>
      </w:tr>
      <w:tr w14:paraId="0C74E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66" w:type="pct"/>
            <w:vAlign w:val="center"/>
          </w:tcPr>
          <w:p w14:paraId="7198D48C">
            <w:pPr>
              <w:pStyle w:val="26"/>
              <w:bidi w:val="0"/>
              <w:jc w:val="center"/>
              <w:rPr>
                <w:rFonts w:hint="eastAsia"/>
                <w:lang w:val="en-US" w:eastAsia="zh-CN"/>
              </w:rPr>
            </w:pPr>
            <w:r>
              <w:rPr>
                <w:rFonts w:hint="eastAsia"/>
                <w:lang w:val="en-US" w:eastAsia="zh-CN"/>
              </w:rPr>
              <w:t>磁性模切刀版</w:t>
            </w:r>
          </w:p>
        </w:tc>
        <w:tc>
          <w:tcPr>
            <w:tcW w:w="1663" w:type="pct"/>
            <w:vAlign w:val="center"/>
          </w:tcPr>
          <w:p w14:paraId="1233F112">
            <w:pPr>
              <w:pStyle w:val="26"/>
              <w:bidi w:val="0"/>
              <w:jc w:val="center"/>
              <w:rPr>
                <w:rFonts w:hint="eastAsia"/>
                <w:lang w:val="en-US" w:eastAsia="zh-CN"/>
              </w:rPr>
            </w:pPr>
            <w:r>
              <w:rPr>
                <w:rFonts w:hint="eastAsia"/>
                <w:lang w:val="en-US" w:eastAsia="zh-CN"/>
              </w:rPr>
              <w:t>12000</w:t>
            </w:r>
          </w:p>
        </w:tc>
        <w:tc>
          <w:tcPr>
            <w:tcW w:w="1669" w:type="pct"/>
            <w:vMerge w:val="continue"/>
            <w:vAlign w:val="center"/>
          </w:tcPr>
          <w:p w14:paraId="337F623F">
            <w:pPr>
              <w:pStyle w:val="26"/>
              <w:bidi w:val="0"/>
              <w:jc w:val="center"/>
              <w:rPr>
                <w:rFonts w:hint="eastAsia"/>
                <w:lang w:val="en-US" w:eastAsia="zh-CN"/>
              </w:rPr>
            </w:pPr>
          </w:p>
        </w:tc>
      </w:tr>
      <w:tr w14:paraId="7AB18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66" w:type="pct"/>
            <w:vAlign w:val="center"/>
          </w:tcPr>
          <w:p w14:paraId="04FCA47B">
            <w:pPr>
              <w:pStyle w:val="26"/>
              <w:bidi w:val="0"/>
              <w:jc w:val="center"/>
              <w:rPr>
                <w:rFonts w:hint="eastAsia"/>
                <w:lang w:val="en-US" w:eastAsia="zh-CN"/>
              </w:rPr>
            </w:pPr>
            <w:r>
              <w:rPr>
                <w:rFonts w:hint="eastAsia"/>
                <w:lang w:val="en-US" w:eastAsia="zh-CN"/>
              </w:rPr>
              <w:t>热压模板</w:t>
            </w:r>
          </w:p>
        </w:tc>
        <w:tc>
          <w:tcPr>
            <w:tcW w:w="1663" w:type="pct"/>
            <w:vAlign w:val="center"/>
          </w:tcPr>
          <w:p w14:paraId="6AA975B5">
            <w:pPr>
              <w:pStyle w:val="26"/>
              <w:bidi w:val="0"/>
              <w:jc w:val="center"/>
              <w:rPr>
                <w:rFonts w:hint="eastAsia"/>
                <w:lang w:val="en-US" w:eastAsia="zh-CN"/>
              </w:rPr>
            </w:pPr>
            <w:r>
              <w:rPr>
                <w:rFonts w:hint="eastAsia"/>
                <w:lang w:val="en-US" w:eastAsia="zh-CN"/>
              </w:rPr>
              <w:t>6000</w:t>
            </w:r>
          </w:p>
        </w:tc>
        <w:tc>
          <w:tcPr>
            <w:tcW w:w="1669" w:type="pct"/>
            <w:vMerge w:val="continue"/>
            <w:vAlign w:val="center"/>
          </w:tcPr>
          <w:p w14:paraId="7552A12F">
            <w:pPr>
              <w:pStyle w:val="26"/>
              <w:bidi w:val="0"/>
              <w:jc w:val="center"/>
              <w:rPr>
                <w:rFonts w:hint="eastAsia"/>
                <w:lang w:val="en-US" w:eastAsia="zh-CN"/>
              </w:rPr>
            </w:pPr>
          </w:p>
        </w:tc>
      </w:tr>
    </w:tbl>
    <w:p w14:paraId="0A573871">
      <w:pPr>
        <w:bidi w:val="0"/>
        <w:rPr>
          <w:rFonts w:hint="eastAsia"/>
          <w:color w:val="auto"/>
        </w:rPr>
      </w:pPr>
      <w:r>
        <w:rPr>
          <w:rFonts w:hint="eastAsia"/>
          <w:color w:val="auto"/>
        </w:rPr>
        <w:t>待本项目建成后，全厂产品方案如下：</w:t>
      </w:r>
    </w:p>
    <w:p w14:paraId="4ECA9AD6">
      <w:pPr>
        <w:pStyle w:val="25"/>
        <w:bidi w:val="0"/>
        <w:rPr>
          <w:rFonts w:hint="eastAsia"/>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4.1</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2</w:t>
      </w:r>
      <w:r>
        <w:rPr>
          <w:color w:val="auto"/>
        </w:rPr>
        <w:fldChar w:fldCharType="end"/>
      </w:r>
      <w:r>
        <w:rPr>
          <w:rFonts w:hint="eastAsia"/>
          <w:color w:val="auto"/>
        </w:rPr>
        <w:t>本次扩建完成后全厂产品方案一览表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5"/>
        <w:gridCol w:w="1943"/>
        <w:gridCol w:w="1941"/>
        <w:gridCol w:w="1966"/>
        <w:gridCol w:w="1804"/>
      </w:tblGrid>
      <w:tr w14:paraId="767A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3C95319">
            <w:pPr>
              <w:pStyle w:val="36"/>
              <w:bidi w:val="0"/>
              <w:rPr>
                <w:rFonts w:hint="eastAsia"/>
              </w:rPr>
            </w:pPr>
            <w:r>
              <w:rPr>
                <w:rFonts w:hint="eastAsia"/>
                <w:lang w:val="en-US" w:eastAsia="zh-CN"/>
              </w:rPr>
              <w:t>序号</w:t>
            </w:r>
          </w:p>
        </w:tc>
        <w:tc>
          <w:tcPr>
            <w:tcW w:w="114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198A88A">
            <w:pPr>
              <w:pStyle w:val="36"/>
              <w:bidi w:val="0"/>
              <w:rPr>
                <w:rFonts w:hint="eastAsia"/>
              </w:rPr>
            </w:pPr>
            <w:r>
              <w:rPr>
                <w:rFonts w:hint="eastAsia"/>
                <w:lang w:val="en-US" w:eastAsia="zh-CN"/>
              </w:rPr>
              <w:t>产品名称</w:t>
            </w:r>
          </w:p>
        </w:tc>
        <w:tc>
          <w:tcPr>
            <w:tcW w:w="3351" w:type="pct"/>
            <w:gridSpan w:val="3"/>
            <w:tcBorders>
              <w:top w:val="single" w:color="auto" w:sz="4" w:space="0"/>
              <w:left w:val="nil"/>
              <w:bottom w:val="single" w:color="auto" w:sz="4" w:space="0"/>
              <w:right w:val="single" w:color="auto" w:sz="4" w:space="0"/>
            </w:tcBorders>
            <w:shd w:val="clear" w:color="auto" w:fill="auto"/>
            <w:noWrap/>
            <w:vAlign w:val="center"/>
          </w:tcPr>
          <w:p w14:paraId="07AE0B5E">
            <w:pPr>
              <w:pStyle w:val="36"/>
              <w:bidi w:val="0"/>
              <w:rPr>
                <w:rFonts w:hint="eastAsia"/>
              </w:rPr>
            </w:pPr>
            <w:r>
              <w:rPr>
                <w:rFonts w:hint="eastAsia"/>
                <w:lang w:val="en-US" w:eastAsia="zh-CN"/>
              </w:rPr>
              <w:t>年设计能力（支/a)</w:t>
            </w:r>
          </w:p>
        </w:tc>
      </w:tr>
      <w:tr w14:paraId="35042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5C4A3E2">
            <w:pPr>
              <w:pStyle w:val="36"/>
              <w:bidi w:val="0"/>
              <w:rPr>
                <w:rFonts w:hint="eastAsia"/>
              </w:rPr>
            </w:pPr>
          </w:p>
        </w:tc>
        <w:tc>
          <w:tcPr>
            <w:tcW w:w="1140"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016C79E">
            <w:pPr>
              <w:pStyle w:val="36"/>
              <w:bidi w:val="0"/>
              <w:rPr>
                <w:rFonts w:hint="eastAsia"/>
              </w:rPr>
            </w:pPr>
          </w:p>
        </w:tc>
        <w:tc>
          <w:tcPr>
            <w:tcW w:w="1139" w:type="pct"/>
            <w:tcBorders>
              <w:top w:val="nil"/>
              <w:left w:val="nil"/>
              <w:bottom w:val="single" w:color="auto" w:sz="4" w:space="0"/>
              <w:right w:val="single" w:color="auto" w:sz="4" w:space="0"/>
            </w:tcBorders>
            <w:shd w:val="clear" w:color="auto" w:fill="auto"/>
            <w:noWrap/>
            <w:vAlign w:val="center"/>
          </w:tcPr>
          <w:p w14:paraId="4C294AC9">
            <w:pPr>
              <w:pStyle w:val="36"/>
              <w:bidi w:val="0"/>
              <w:rPr>
                <w:rFonts w:hint="eastAsia"/>
              </w:rPr>
            </w:pPr>
            <w:r>
              <w:rPr>
                <w:rFonts w:hint="eastAsia"/>
                <w:lang w:val="en-US" w:eastAsia="zh-CN"/>
              </w:rPr>
              <w:t>改扩建前</w:t>
            </w:r>
          </w:p>
        </w:tc>
        <w:tc>
          <w:tcPr>
            <w:tcW w:w="1153" w:type="pct"/>
            <w:tcBorders>
              <w:top w:val="nil"/>
              <w:left w:val="nil"/>
              <w:bottom w:val="single" w:color="auto" w:sz="4" w:space="0"/>
              <w:right w:val="single" w:color="auto" w:sz="4" w:space="0"/>
            </w:tcBorders>
            <w:shd w:val="clear" w:color="auto" w:fill="auto"/>
            <w:noWrap/>
            <w:vAlign w:val="center"/>
          </w:tcPr>
          <w:p w14:paraId="25590F8B">
            <w:pPr>
              <w:pStyle w:val="36"/>
              <w:bidi w:val="0"/>
              <w:rPr>
                <w:rFonts w:hint="eastAsia"/>
              </w:rPr>
            </w:pPr>
            <w:r>
              <w:rPr>
                <w:rFonts w:hint="eastAsia"/>
                <w:lang w:val="en-US" w:eastAsia="zh-CN"/>
              </w:rPr>
              <w:t>改扩建后</w:t>
            </w:r>
          </w:p>
        </w:tc>
        <w:tc>
          <w:tcPr>
            <w:tcW w:w="1058" w:type="pct"/>
            <w:tcBorders>
              <w:top w:val="nil"/>
              <w:left w:val="nil"/>
              <w:bottom w:val="single" w:color="auto" w:sz="4" w:space="0"/>
              <w:right w:val="single" w:color="auto" w:sz="4" w:space="0"/>
            </w:tcBorders>
            <w:shd w:val="clear" w:color="auto" w:fill="auto"/>
            <w:noWrap/>
            <w:vAlign w:val="center"/>
          </w:tcPr>
          <w:p w14:paraId="59C2A00E">
            <w:pPr>
              <w:pStyle w:val="36"/>
              <w:bidi w:val="0"/>
              <w:rPr>
                <w:rFonts w:hint="eastAsia"/>
              </w:rPr>
            </w:pPr>
            <w:r>
              <w:rPr>
                <w:rFonts w:hint="eastAsia"/>
                <w:lang w:val="en-US" w:eastAsia="zh-CN"/>
              </w:rPr>
              <w:t>变化量</w:t>
            </w:r>
          </w:p>
        </w:tc>
      </w:tr>
      <w:tr w14:paraId="2112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628F80D">
            <w:pPr>
              <w:pStyle w:val="26"/>
              <w:bidi w:val="0"/>
              <w:rPr>
                <w:rFonts w:hint="eastAsia"/>
                <w:color w:val="auto"/>
              </w:rPr>
            </w:pPr>
            <w:r>
              <w:rPr>
                <w:rFonts w:hint="eastAsia"/>
                <w:color w:val="auto"/>
                <w:lang w:val="en-US" w:eastAsia="zh-CN"/>
              </w:rPr>
              <w:t>1</w:t>
            </w:r>
          </w:p>
        </w:tc>
        <w:tc>
          <w:tcPr>
            <w:tcW w:w="1140" w:type="pct"/>
            <w:tcBorders>
              <w:top w:val="nil"/>
              <w:left w:val="single" w:color="auto" w:sz="4" w:space="0"/>
              <w:bottom w:val="single" w:color="auto" w:sz="4" w:space="0"/>
              <w:right w:val="single" w:color="auto" w:sz="4" w:space="0"/>
            </w:tcBorders>
            <w:shd w:val="clear" w:color="auto" w:fill="auto"/>
            <w:noWrap/>
            <w:vAlign w:val="center"/>
          </w:tcPr>
          <w:p w14:paraId="5CD4FEDC">
            <w:pPr>
              <w:pStyle w:val="26"/>
              <w:bidi w:val="0"/>
              <w:rPr>
                <w:rFonts w:hint="eastAsia"/>
                <w:color w:val="auto"/>
              </w:rPr>
            </w:pPr>
            <w:r>
              <w:rPr>
                <w:rFonts w:hint="eastAsia"/>
                <w:color w:val="auto"/>
                <w:lang w:val="en-US" w:eastAsia="zh-CN"/>
              </w:rPr>
              <w:t>压纹版辊</w:t>
            </w:r>
          </w:p>
        </w:tc>
        <w:tc>
          <w:tcPr>
            <w:tcW w:w="1139" w:type="pct"/>
            <w:tcBorders>
              <w:top w:val="nil"/>
              <w:left w:val="nil"/>
              <w:bottom w:val="single" w:color="auto" w:sz="4" w:space="0"/>
              <w:right w:val="single" w:color="auto" w:sz="4" w:space="0"/>
            </w:tcBorders>
            <w:shd w:val="clear" w:color="auto" w:fill="auto"/>
            <w:noWrap/>
            <w:vAlign w:val="center"/>
          </w:tcPr>
          <w:p w14:paraId="6573C997">
            <w:pPr>
              <w:pStyle w:val="26"/>
              <w:bidi w:val="0"/>
              <w:rPr>
                <w:rFonts w:hint="eastAsia"/>
                <w:color w:val="auto"/>
              </w:rPr>
            </w:pPr>
            <w:r>
              <w:rPr>
                <w:rFonts w:hint="eastAsia"/>
                <w:color w:val="auto"/>
                <w:lang w:val="en-US" w:eastAsia="zh-CN"/>
              </w:rPr>
              <w:t>3250</w:t>
            </w:r>
          </w:p>
        </w:tc>
        <w:tc>
          <w:tcPr>
            <w:tcW w:w="1153" w:type="pct"/>
            <w:tcBorders>
              <w:top w:val="nil"/>
              <w:left w:val="nil"/>
              <w:bottom w:val="single" w:color="auto" w:sz="4" w:space="0"/>
              <w:right w:val="single" w:color="auto" w:sz="4" w:space="0"/>
            </w:tcBorders>
            <w:shd w:val="clear" w:color="auto" w:fill="auto"/>
            <w:noWrap/>
            <w:vAlign w:val="center"/>
          </w:tcPr>
          <w:p w14:paraId="6869F956">
            <w:pPr>
              <w:pStyle w:val="26"/>
              <w:bidi w:val="0"/>
              <w:rPr>
                <w:rFonts w:hint="eastAsia"/>
                <w:color w:val="auto"/>
              </w:rPr>
            </w:pPr>
            <w:r>
              <w:rPr>
                <w:rFonts w:hint="eastAsia"/>
                <w:color w:val="auto"/>
                <w:lang w:val="en-US" w:eastAsia="zh-CN"/>
              </w:rPr>
              <w:t>3250</w:t>
            </w:r>
          </w:p>
        </w:tc>
        <w:tc>
          <w:tcPr>
            <w:tcW w:w="1058" w:type="pct"/>
            <w:tcBorders>
              <w:top w:val="nil"/>
              <w:left w:val="nil"/>
              <w:bottom w:val="single" w:color="auto" w:sz="4" w:space="0"/>
              <w:right w:val="single" w:color="auto" w:sz="4" w:space="0"/>
            </w:tcBorders>
            <w:shd w:val="clear" w:color="auto" w:fill="auto"/>
            <w:noWrap/>
            <w:vAlign w:val="center"/>
          </w:tcPr>
          <w:p w14:paraId="471F2B96">
            <w:pPr>
              <w:pStyle w:val="26"/>
              <w:bidi w:val="0"/>
              <w:rPr>
                <w:rFonts w:hint="eastAsia"/>
                <w:color w:val="auto"/>
              </w:rPr>
            </w:pPr>
            <w:r>
              <w:rPr>
                <w:rFonts w:hint="eastAsia"/>
                <w:color w:val="auto"/>
                <w:lang w:val="en-US" w:eastAsia="zh-CN"/>
              </w:rPr>
              <w:t>0</w:t>
            </w:r>
          </w:p>
        </w:tc>
      </w:tr>
      <w:tr w14:paraId="6A09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13216CD">
            <w:pPr>
              <w:pStyle w:val="26"/>
              <w:bidi w:val="0"/>
              <w:rPr>
                <w:rFonts w:hint="eastAsia"/>
                <w:color w:val="auto"/>
              </w:rPr>
            </w:pPr>
            <w:r>
              <w:rPr>
                <w:rFonts w:hint="eastAsia"/>
                <w:color w:val="auto"/>
                <w:lang w:val="en-US" w:eastAsia="zh-CN"/>
              </w:rPr>
              <w:t>2</w:t>
            </w:r>
          </w:p>
        </w:tc>
        <w:tc>
          <w:tcPr>
            <w:tcW w:w="1140" w:type="pct"/>
            <w:tcBorders>
              <w:top w:val="nil"/>
              <w:left w:val="nil"/>
              <w:bottom w:val="single" w:color="auto" w:sz="4" w:space="0"/>
              <w:right w:val="single" w:color="auto" w:sz="4" w:space="0"/>
            </w:tcBorders>
            <w:shd w:val="clear" w:color="auto" w:fill="auto"/>
            <w:noWrap/>
            <w:vAlign w:val="center"/>
          </w:tcPr>
          <w:p w14:paraId="2F5E1D02">
            <w:pPr>
              <w:pStyle w:val="26"/>
              <w:bidi w:val="0"/>
              <w:rPr>
                <w:rFonts w:hint="eastAsia"/>
                <w:color w:val="auto"/>
              </w:rPr>
            </w:pPr>
            <w:r>
              <w:rPr>
                <w:rFonts w:hint="eastAsia"/>
                <w:color w:val="auto"/>
                <w:lang w:val="en-US" w:eastAsia="zh-CN"/>
              </w:rPr>
              <w:t>微精版</w:t>
            </w:r>
          </w:p>
        </w:tc>
        <w:tc>
          <w:tcPr>
            <w:tcW w:w="1139" w:type="pct"/>
            <w:tcBorders>
              <w:top w:val="nil"/>
              <w:left w:val="nil"/>
              <w:bottom w:val="single" w:color="auto" w:sz="4" w:space="0"/>
              <w:right w:val="single" w:color="auto" w:sz="4" w:space="0"/>
            </w:tcBorders>
            <w:shd w:val="clear" w:color="auto" w:fill="auto"/>
            <w:noWrap/>
            <w:vAlign w:val="center"/>
          </w:tcPr>
          <w:p w14:paraId="00BC66B9">
            <w:pPr>
              <w:pStyle w:val="26"/>
              <w:bidi w:val="0"/>
              <w:rPr>
                <w:rFonts w:hint="eastAsia"/>
                <w:color w:val="auto"/>
              </w:rPr>
            </w:pPr>
            <w:r>
              <w:rPr>
                <w:rFonts w:hint="eastAsia"/>
                <w:color w:val="auto"/>
                <w:lang w:val="en-US" w:eastAsia="zh-CN"/>
              </w:rPr>
              <w:t>8500</w:t>
            </w:r>
          </w:p>
        </w:tc>
        <w:tc>
          <w:tcPr>
            <w:tcW w:w="1153" w:type="pct"/>
            <w:tcBorders>
              <w:top w:val="nil"/>
              <w:left w:val="nil"/>
              <w:bottom w:val="single" w:color="auto" w:sz="4" w:space="0"/>
              <w:right w:val="single" w:color="auto" w:sz="4" w:space="0"/>
            </w:tcBorders>
            <w:shd w:val="clear" w:color="auto" w:fill="auto"/>
            <w:noWrap/>
            <w:vAlign w:val="center"/>
          </w:tcPr>
          <w:p w14:paraId="3246AC64">
            <w:pPr>
              <w:pStyle w:val="26"/>
              <w:bidi w:val="0"/>
              <w:rPr>
                <w:rFonts w:hint="eastAsia"/>
                <w:color w:val="auto"/>
              </w:rPr>
            </w:pPr>
            <w:r>
              <w:rPr>
                <w:rFonts w:hint="eastAsia"/>
                <w:color w:val="auto"/>
                <w:lang w:val="en-US" w:eastAsia="zh-CN"/>
              </w:rPr>
              <w:t>8500</w:t>
            </w:r>
          </w:p>
        </w:tc>
        <w:tc>
          <w:tcPr>
            <w:tcW w:w="1058" w:type="pct"/>
            <w:tcBorders>
              <w:top w:val="nil"/>
              <w:left w:val="nil"/>
              <w:bottom w:val="single" w:color="auto" w:sz="4" w:space="0"/>
              <w:right w:val="single" w:color="auto" w:sz="4" w:space="0"/>
            </w:tcBorders>
            <w:shd w:val="clear" w:color="auto" w:fill="auto"/>
            <w:noWrap/>
            <w:vAlign w:val="center"/>
          </w:tcPr>
          <w:p w14:paraId="50FE8F40">
            <w:pPr>
              <w:pStyle w:val="26"/>
              <w:bidi w:val="0"/>
              <w:rPr>
                <w:rFonts w:hint="eastAsia"/>
                <w:color w:val="auto"/>
              </w:rPr>
            </w:pPr>
            <w:r>
              <w:rPr>
                <w:rFonts w:hint="eastAsia"/>
                <w:color w:val="auto"/>
                <w:lang w:val="en-US" w:eastAsia="zh-CN"/>
              </w:rPr>
              <w:t>0</w:t>
            </w:r>
          </w:p>
        </w:tc>
      </w:tr>
      <w:tr w14:paraId="1124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93703D0">
            <w:pPr>
              <w:pStyle w:val="26"/>
              <w:bidi w:val="0"/>
              <w:rPr>
                <w:rFonts w:hint="eastAsia"/>
                <w:color w:val="auto"/>
              </w:rPr>
            </w:pPr>
            <w:r>
              <w:rPr>
                <w:rFonts w:hint="eastAsia"/>
                <w:color w:val="auto"/>
                <w:lang w:val="en-US" w:eastAsia="zh-CN"/>
              </w:rPr>
              <w:t>3</w:t>
            </w:r>
          </w:p>
        </w:tc>
        <w:tc>
          <w:tcPr>
            <w:tcW w:w="1140" w:type="pct"/>
            <w:tcBorders>
              <w:top w:val="nil"/>
              <w:left w:val="nil"/>
              <w:bottom w:val="single" w:color="auto" w:sz="4" w:space="0"/>
              <w:right w:val="single" w:color="auto" w:sz="4" w:space="0"/>
            </w:tcBorders>
            <w:shd w:val="clear" w:color="auto" w:fill="auto"/>
            <w:noWrap/>
            <w:vAlign w:val="center"/>
          </w:tcPr>
          <w:p w14:paraId="25151E24">
            <w:pPr>
              <w:pStyle w:val="26"/>
              <w:bidi w:val="0"/>
              <w:rPr>
                <w:rFonts w:hint="eastAsia"/>
                <w:color w:val="auto"/>
              </w:rPr>
            </w:pPr>
            <w:r>
              <w:rPr>
                <w:rFonts w:hint="eastAsia"/>
                <w:color w:val="auto"/>
                <w:lang w:val="en-US" w:eastAsia="zh-CN"/>
              </w:rPr>
              <w:t>凹印版</w:t>
            </w:r>
          </w:p>
        </w:tc>
        <w:tc>
          <w:tcPr>
            <w:tcW w:w="1139" w:type="pct"/>
            <w:tcBorders>
              <w:top w:val="nil"/>
              <w:left w:val="nil"/>
              <w:bottom w:val="single" w:color="auto" w:sz="4" w:space="0"/>
              <w:right w:val="single" w:color="auto" w:sz="4" w:space="0"/>
            </w:tcBorders>
            <w:shd w:val="clear" w:color="auto" w:fill="auto"/>
            <w:noWrap/>
            <w:vAlign w:val="center"/>
          </w:tcPr>
          <w:p w14:paraId="2859411A">
            <w:pPr>
              <w:pStyle w:val="26"/>
              <w:bidi w:val="0"/>
              <w:rPr>
                <w:rFonts w:hint="eastAsia"/>
                <w:color w:val="auto"/>
              </w:rPr>
            </w:pPr>
            <w:r>
              <w:rPr>
                <w:rFonts w:hint="eastAsia"/>
                <w:color w:val="auto"/>
                <w:lang w:val="en-US" w:eastAsia="zh-CN"/>
              </w:rPr>
              <w:t>0</w:t>
            </w:r>
          </w:p>
        </w:tc>
        <w:tc>
          <w:tcPr>
            <w:tcW w:w="1153" w:type="pct"/>
            <w:tcBorders>
              <w:top w:val="nil"/>
              <w:left w:val="nil"/>
              <w:bottom w:val="single" w:color="auto" w:sz="4" w:space="0"/>
              <w:right w:val="single" w:color="auto" w:sz="4" w:space="0"/>
            </w:tcBorders>
            <w:shd w:val="clear" w:color="auto" w:fill="auto"/>
            <w:noWrap/>
            <w:vAlign w:val="center"/>
          </w:tcPr>
          <w:p w14:paraId="61992348">
            <w:pPr>
              <w:pStyle w:val="26"/>
              <w:bidi w:val="0"/>
              <w:rPr>
                <w:rFonts w:hint="eastAsia"/>
                <w:color w:val="auto"/>
                <w:lang w:val="en-US"/>
              </w:rPr>
            </w:pPr>
            <w:r>
              <w:rPr>
                <w:rFonts w:hint="eastAsia"/>
                <w:color w:val="auto"/>
                <w:lang w:val="en-US" w:eastAsia="zh-CN"/>
              </w:rPr>
              <w:t>284400</w:t>
            </w:r>
          </w:p>
        </w:tc>
        <w:tc>
          <w:tcPr>
            <w:tcW w:w="1058" w:type="pct"/>
            <w:tcBorders>
              <w:top w:val="nil"/>
              <w:left w:val="nil"/>
              <w:bottom w:val="single" w:color="auto" w:sz="4" w:space="0"/>
              <w:right w:val="single" w:color="auto" w:sz="4" w:space="0"/>
            </w:tcBorders>
            <w:shd w:val="clear" w:color="auto" w:fill="auto"/>
            <w:noWrap/>
            <w:vAlign w:val="center"/>
          </w:tcPr>
          <w:p w14:paraId="6C99FDC5">
            <w:pPr>
              <w:pStyle w:val="26"/>
              <w:bidi w:val="0"/>
              <w:rPr>
                <w:rFonts w:hint="eastAsia"/>
                <w:color w:val="auto"/>
                <w:lang w:val="en-US" w:eastAsia="zh-CN"/>
              </w:rPr>
            </w:pPr>
            <w:r>
              <w:rPr>
                <w:rFonts w:hint="eastAsia"/>
                <w:color w:val="auto"/>
                <w:lang w:val="en-US" w:eastAsia="zh-CN"/>
              </w:rPr>
              <w:t>+284400</w:t>
            </w:r>
          </w:p>
        </w:tc>
      </w:tr>
      <w:tr w14:paraId="51980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B8E1EB">
            <w:pPr>
              <w:pStyle w:val="26"/>
              <w:bidi w:val="0"/>
              <w:rPr>
                <w:rFonts w:hint="eastAsia"/>
                <w:color w:val="auto"/>
              </w:rPr>
            </w:pPr>
            <w:r>
              <w:rPr>
                <w:rFonts w:hint="eastAsia"/>
                <w:color w:val="auto"/>
                <w:lang w:val="en-US" w:eastAsia="zh-CN"/>
              </w:rPr>
              <w:t>4</w:t>
            </w:r>
          </w:p>
        </w:tc>
        <w:tc>
          <w:tcPr>
            <w:tcW w:w="11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C47AC9">
            <w:pPr>
              <w:pStyle w:val="26"/>
              <w:bidi w:val="0"/>
              <w:rPr>
                <w:rFonts w:hint="eastAsia"/>
                <w:color w:val="auto"/>
              </w:rPr>
            </w:pPr>
            <w:r>
              <w:rPr>
                <w:rFonts w:hint="eastAsia"/>
                <w:color w:val="auto"/>
              </w:rPr>
              <w:t>磁性模切</w:t>
            </w:r>
          </w:p>
          <w:p w14:paraId="2AD4E758">
            <w:pPr>
              <w:pStyle w:val="26"/>
              <w:bidi w:val="0"/>
              <w:rPr>
                <w:rFonts w:hint="eastAsia"/>
                <w:color w:val="auto"/>
              </w:rPr>
            </w:pPr>
            <w:r>
              <w:rPr>
                <w:rFonts w:hint="eastAsia"/>
                <w:color w:val="auto"/>
              </w:rPr>
              <w:t>刀版</w:t>
            </w:r>
          </w:p>
        </w:tc>
        <w:tc>
          <w:tcPr>
            <w:tcW w:w="11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583C81">
            <w:pPr>
              <w:pStyle w:val="26"/>
              <w:bidi w:val="0"/>
              <w:rPr>
                <w:rFonts w:hint="eastAsia"/>
                <w:color w:val="auto"/>
              </w:rPr>
            </w:pPr>
            <w:r>
              <w:rPr>
                <w:rFonts w:hint="eastAsia"/>
                <w:color w:val="auto"/>
                <w:lang w:val="en-US" w:eastAsia="zh-CN"/>
              </w:rPr>
              <w:t>0</w:t>
            </w:r>
          </w:p>
        </w:tc>
        <w:tc>
          <w:tcPr>
            <w:tcW w:w="11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B0D3F">
            <w:pPr>
              <w:pStyle w:val="26"/>
              <w:bidi w:val="0"/>
              <w:rPr>
                <w:rFonts w:hint="eastAsia"/>
                <w:color w:val="auto"/>
                <w:lang w:val="en-US" w:eastAsia="zh-CN"/>
              </w:rPr>
            </w:pPr>
            <w:r>
              <w:rPr>
                <w:rFonts w:hint="eastAsia"/>
                <w:color w:val="auto"/>
                <w:lang w:val="en-US" w:eastAsia="zh-CN"/>
              </w:rPr>
              <w:t>12000</w:t>
            </w:r>
          </w:p>
        </w:tc>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E29F78">
            <w:pPr>
              <w:pStyle w:val="26"/>
              <w:bidi w:val="0"/>
              <w:rPr>
                <w:rFonts w:hint="eastAsia"/>
                <w:color w:val="auto"/>
                <w:lang w:val="en-US" w:eastAsia="zh-CN"/>
              </w:rPr>
            </w:pPr>
            <w:r>
              <w:rPr>
                <w:rFonts w:hint="eastAsia"/>
                <w:color w:val="auto"/>
                <w:lang w:val="en-US" w:eastAsia="zh-CN"/>
              </w:rPr>
              <w:t>+12000</w:t>
            </w:r>
          </w:p>
        </w:tc>
      </w:tr>
      <w:tr w14:paraId="663DF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A8312">
            <w:pPr>
              <w:pStyle w:val="26"/>
              <w:bidi w:val="0"/>
              <w:rPr>
                <w:rFonts w:hint="eastAsia"/>
                <w:color w:val="auto"/>
                <w:lang w:val="en-US" w:eastAsia="zh-CN"/>
              </w:rPr>
            </w:pPr>
            <w:r>
              <w:rPr>
                <w:rFonts w:hint="eastAsia"/>
                <w:color w:val="auto"/>
                <w:lang w:val="en-US" w:eastAsia="zh-CN"/>
              </w:rPr>
              <w:t>5</w:t>
            </w:r>
          </w:p>
        </w:tc>
        <w:tc>
          <w:tcPr>
            <w:tcW w:w="11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662F15">
            <w:pPr>
              <w:pStyle w:val="26"/>
              <w:bidi w:val="0"/>
              <w:rPr>
                <w:rFonts w:hint="eastAsia"/>
                <w:color w:val="auto"/>
                <w:lang w:val="en-US" w:eastAsia="zh-CN"/>
              </w:rPr>
            </w:pPr>
            <w:r>
              <w:rPr>
                <w:rFonts w:hint="eastAsia"/>
                <w:color w:val="auto"/>
                <w:lang w:val="en-US" w:eastAsia="zh-CN"/>
              </w:rPr>
              <w:t>热压模板</w:t>
            </w:r>
          </w:p>
        </w:tc>
        <w:tc>
          <w:tcPr>
            <w:tcW w:w="11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383FC7">
            <w:pPr>
              <w:pStyle w:val="26"/>
              <w:bidi w:val="0"/>
              <w:rPr>
                <w:rFonts w:hint="eastAsia"/>
                <w:color w:val="auto"/>
                <w:lang w:val="en-US" w:eastAsia="zh-CN"/>
              </w:rPr>
            </w:pPr>
            <w:r>
              <w:rPr>
                <w:rFonts w:hint="eastAsia"/>
                <w:color w:val="auto"/>
                <w:lang w:val="en-US" w:eastAsia="zh-CN"/>
              </w:rPr>
              <w:t>0</w:t>
            </w:r>
          </w:p>
        </w:tc>
        <w:tc>
          <w:tcPr>
            <w:tcW w:w="11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00C17B">
            <w:pPr>
              <w:pStyle w:val="26"/>
              <w:bidi w:val="0"/>
              <w:rPr>
                <w:rFonts w:hint="eastAsia"/>
                <w:color w:val="auto"/>
                <w:lang w:val="en-US" w:eastAsia="zh-CN"/>
              </w:rPr>
            </w:pPr>
            <w:r>
              <w:rPr>
                <w:rFonts w:hint="eastAsia"/>
                <w:color w:val="auto"/>
                <w:lang w:val="en-US" w:eastAsia="zh-CN"/>
              </w:rPr>
              <w:t>6000</w:t>
            </w:r>
          </w:p>
        </w:tc>
        <w:tc>
          <w:tcPr>
            <w:tcW w:w="10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CC024E">
            <w:pPr>
              <w:pStyle w:val="26"/>
              <w:bidi w:val="0"/>
              <w:rPr>
                <w:rFonts w:hint="eastAsia"/>
                <w:color w:val="auto"/>
                <w:lang w:val="en-US" w:eastAsia="zh-CN"/>
              </w:rPr>
            </w:pPr>
            <w:r>
              <w:rPr>
                <w:rFonts w:hint="eastAsia"/>
                <w:color w:val="auto"/>
                <w:lang w:val="en-US" w:eastAsia="zh-CN"/>
              </w:rPr>
              <w:t>+6000</w:t>
            </w:r>
          </w:p>
        </w:tc>
      </w:tr>
    </w:tbl>
    <w:p w14:paraId="21A27D4C">
      <w:pPr>
        <w:bidi w:val="0"/>
        <w:rPr>
          <w:rFonts w:hint="eastAsia"/>
          <w:color w:val="auto"/>
          <w:lang w:val="en-US" w:eastAsia="zh-CN"/>
        </w:rPr>
      </w:pPr>
      <w:r>
        <w:rPr>
          <w:rFonts w:hint="eastAsia"/>
          <w:color w:val="auto"/>
          <w:lang w:val="en-US" w:eastAsia="zh-CN"/>
        </w:rPr>
        <w:t>主要产品规格见下表：</w:t>
      </w:r>
    </w:p>
    <w:p w14:paraId="15C74836">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4.1</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3</w:t>
      </w:r>
      <w:r>
        <w:rPr>
          <w:rFonts w:hint="eastAsia"/>
          <w:color w:val="auto"/>
          <w:lang w:val="en-US" w:eastAsia="zh-CN"/>
        </w:rPr>
        <w:fldChar w:fldCharType="end"/>
      </w:r>
      <w:r>
        <w:rPr>
          <w:rFonts w:hint="eastAsia"/>
          <w:color w:val="auto"/>
          <w:lang w:val="en-US" w:eastAsia="zh-CN"/>
        </w:rPr>
        <w:t>本次扩建产品生产批次情况</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1323"/>
        <w:gridCol w:w="793"/>
        <w:gridCol w:w="954"/>
        <w:gridCol w:w="1200"/>
        <w:gridCol w:w="3397"/>
      </w:tblGrid>
      <w:tr w14:paraId="1009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1EB1D">
            <w:pPr>
              <w:pStyle w:val="36"/>
              <w:bidi w:val="0"/>
              <w:rPr>
                <w:rFonts w:hint="eastAsia"/>
                <w:lang w:val="en-US" w:eastAsia="zh-CN"/>
              </w:rPr>
            </w:pPr>
            <w:r>
              <w:rPr>
                <w:rFonts w:hint="eastAsia"/>
                <w:lang w:val="en-US" w:eastAsia="zh-CN"/>
              </w:rPr>
              <w:t>产品名称</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5E6E">
            <w:pPr>
              <w:pStyle w:val="36"/>
              <w:bidi w:val="0"/>
              <w:rPr>
                <w:rFonts w:hint="eastAsia"/>
                <w:lang w:val="en-US" w:eastAsia="zh-CN"/>
              </w:rPr>
            </w:pPr>
            <w:r>
              <w:rPr>
                <w:rFonts w:hint="eastAsia"/>
                <w:lang w:val="en-US" w:eastAsia="zh-CN"/>
              </w:rPr>
              <w:t>规格范围</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D1BD">
            <w:pPr>
              <w:pStyle w:val="36"/>
              <w:bidi w:val="0"/>
              <w:rPr>
                <w:rFonts w:hint="eastAsia"/>
                <w:lang w:val="en-US" w:eastAsia="zh-CN"/>
              </w:rPr>
            </w:pPr>
            <w:r>
              <w:rPr>
                <w:rFonts w:hint="eastAsia"/>
                <w:lang w:val="en-US" w:eastAsia="zh-CN"/>
              </w:rPr>
              <w:t>电镀种类</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C9FB">
            <w:pPr>
              <w:pStyle w:val="36"/>
              <w:bidi w:val="0"/>
              <w:rPr>
                <w:rFonts w:hint="eastAsia"/>
                <w:lang w:val="en-US" w:eastAsia="zh-CN"/>
              </w:rPr>
            </w:pPr>
            <w:r>
              <w:rPr>
                <w:rFonts w:hint="eastAsia"/>
                <w:lang w:val="en-US" w:eastAsia="zh-CN"/>
              </w:rPr>
              <w:t>电镀厚度(μm)</w:t>
            </w: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530E">
            <w:pPr>
              <w:pStyle w:val="36"/>
              <w:bidi w:val="0"/>
              <w:rPr>
                <w:rFonts w:hint="eastAsia"/>
                <w:lang w:val="en-US" w:eastAsia="zh-CN"/>
              </w:rPr>
            </w:pPr>
            <w:r>
              <w:rPr>
                <w:rFonts w:hint="eastAsia"/>
                <w:lang w:val="en-US" w:eastAsia="zh-CN"/>
              </w:rPr>
              <w:t>镀层类别</w:t>
            </w:r>
          </w:p>
        </w:tc>
        <w:tc>
          <w:tcPr>
            <w:tcW w:w="1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5B68">
            <w:pPr>
              <w:pStyle w:val="36"/>
              <w:bidi w:val="0"/>
              <w:rPr>
                <w:rFonts w:hint="default"/>
                <w:lang w:val="en-US" w:eastAsia="zh-CN"/>
              </w:rPr>
            </w:pPr>
            <w:r>
              <w:rPr>
                <w:rFonts w:hint="eastAsia"/>
                <w:lang w:val="en-US" w:eastAsia="zh-CN"/>
              </w:rPr>
              <w:t>产品图示*</w:t>
            </w:r>
          </w:p>
        </w:tc>
      </w:tr>
      <w:tr w14:paraId="5AE9F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64867">
            <w:pPr>
              <w:pStyle w:val="26"/>
              <w:bidi w:val="0"/>
              <w:rPr>
                <w:rFonts w:hint="eastAsia"/>
                <w:lang w:val="en-US" w:eastAsia="zh-CN"/>
              </w:rPr>
            </w:pPr>
            <w:r>
              <w:rPr>
                <w:rFonts w:hint="eastAsia"/>
                <w:lang w:val="en-US" w:eastAsia="zh-CN"/>
              </w:rPr>
              <w:t>凹印版</w:t>
            </w:r>
          </w:p>
        </w:tc>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DEF0A">
            <w:pPr>
              <w:pStyle w:val="26"/>
              <w:bidi w:val="0"/>
              <w:rPr>
                <w:rFonts w:hint="eastAsia"/>
                <w:lang w:val="en-US" w:eastAsia="zh-CN"/>
              </w:rPr>
            </w:pPr>
            <w:r>
              <w:rPr>
                <w:rFonts w:hint="eastAsia"/>
                <w:lang w:val="en-US" w:eastAsia="zh-CN"/>
              </w:rPr>
              <w:t>半径：(68-150)mm</w:t>
            </w:r>
            <w:r>
              <w:rPr>
                <w:rFonts w:hint="eastAsia"/>
                <w:lang w:val="en-US" w:eastAsia="zh-CN"/>
              </w:rPr>
              <w:br w:type="textWrapping"/>
            </w:r>
            <w:r>
              <w:rPr>
                <w:rFonts w:hint="eastAsia"/>
                <w:lang w:val="en-US" w:eastAsia="zh-CN"/>
              </w:rPr>
              <w:t>辊长：(500-1400)mm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FBC3">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碱铜</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E090">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6</w:t>
            </w:r>
          </w:p>
        </w:tc>
        <w:tc>
          <w:tcPr>
            <w:tcW w:w="704" w:type="pct"/>
            <w:vMerge w:val="restart"/>
            <w:tcBorders>
              <w:top w:val="single" w:color="000000" w:sz="4" w:space="0"/>
              <w:left w:val="single" w:color="000000" w:sz="4" w:space="0"/>
              <w:right w:val="single" w:color="000000" w:sz="4" w:space="0"/>
            </w:tcBorders>
            <w:shd w:val="clear" w:color="auto" w:fill="auto"/>
            <w:vAlign w:val="center"/>
          </w:tcPr>
          <w:p w14:paraId="22A6987E">
            <w:pPr>
              <w:pStyle w:val="26"/>
              <w:bidi w:val="0"/>
              <w:rPr>
                <w:rFonts w:hint="eastAsia"/>
                <w:lang w:val="en-US" w:eastAsia="zh-CN"/>
              </w:rPr>
            </w:pPr>
            <w:r>
              <w:rPr>
                <w:rFonts w:hint="eastAsia"/>
                <w:lang w:val="en-US" w:eastAsia="zh-CN"/>
              </w:rPr>
              <w:t>多层镀，均需进行碱铜、镀铜及镀铬</w:t>
            </w:r>
          </w:p>
        </w:tc>
        <w:tc>
          <w:tcPr>
            <w:tcW w:w="1993" w:type="pct"/>
            <w:vMerge w:val="restart"/>
            <w:tcBorders>
              <w:top w:val="single" w:color="000000" w:sz="4" w:space="0"/>
              <w:left w:val="single" w:color="000000" w:sz="4" w:space="0"/>
              <w:right w:val="single" w:color="000000" w:sz="4" w:space="0"/>
            </w:tcBorders>
            <w:shd w:val="clear" w:color="auto" w:fill="auto"/>
            <w:noWrap/>
            <w:vAlign w:val="center"/>
          </w:tcPr>
          <w:p w14:paraId="78316333">
            <w:pPr>
              <w:pStyle w:val="26"/>
              <w:bidi w:val="0"/>
              <w:rPr>
                <w:rFonts w:hint="eastAsia"/>
                <w:lang w:val="en-US" w:eastAsia="zh-CN"/>
              </w:rPr>
            </w:pPr>
            <w:r>
              <w:rPr>
                <w:rFonts w:hint="eastAsia"/>
                <w:lang w:val="en-US" w:eastAsia="zh-CN"/>
              </w:rPr>
              <w:drawing>
                <wp:inline distT="0" distB="0" distL="114300" distR="114300">
                  <wp:extent cx="1964055" cy="1365250"/>
                  <wp:effectExtent l="0" t="0" r="4445" b="635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6"/>
                          <a:stretch>
                            <a:fillRect/>
                          </a:stretch>
                        </pic:blipFill>
                        <pic:spPr>
                          <a:xfrm>
                            <a:off x="0" y="0"/>
                            <a:ext cx="1964055" cy="1365250"/>
                          </a:xfrm>
                          <a:prstGeom prst="rect">
                            <a:avLst/>
                          </a:prstGeom>
                          <a:noFill/>
                          <a:ln>
                            <a:noFill/>
                          </a:ln>
                        </pic:spPr>
                      </pic:pic>
                    </a:graphicData>
                  </a:graphic>
                </wp:inline>
              </w:drawing>
            </w:r>
          </w:p>
        </w:tc>
      </w:tr>
      <w:tr w14:paraId="04F5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CC9A9">
            <w:pPr>
              <w:pStyle w:val="26"/>
              <w:bidi w:val="0"/>
              <w:rPr>
                <w:rFonts w:hint="eastAsia"/>
                <w:lang w:val="en-US" w:eastAsia="zh-CN"/>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05C9B">
            <w:pPr>
              <w:pStyle w:val="26"/>
              <w:bidi w:val="0"/>
              <w:rPr>
                <w:rFonts w:hint="eastAsia"/>
                <w:lang w:val="en-US" w:eastAsia="zh-CN"/>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11D5">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镀铜</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1B77">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71</w:t>
            </w:r>
          </w:p>
        </w:tc>
        <w:tc>
          <w:tcPr>
            <w:tcW w:w="704" w:type="pct"/>
            <w:vMerge w:val="continue"/>
            <w:tcBorders>
              <w:left w:val="single" w:color="000000" w:sz="4" w:space="0"/>
              <w:right w:val="single" w:color="000000" w:sz="4" w:space="0"/>
            </w:tcBorders>
            <w:shd w:val="clear" w:color="auto" w:fill="auto"/>
            <w:vAlign w:val="center"/>
          </w:tcPr>
          <w:p w14:paraId="325BB663">
            <w:pPr>
              <w:pStyle w:val="26"/>
              <w:bidi w:val="0"/>
              <w:rPr>
                <w:rFonts w:hint="eastAsia"/>
                <w:lang w:val="en-US" w:eastAsia="zh-CN"/>
              </w:rPr>
            </w:pPr>
          </w:p>
        </w:tc>
        <w:tc>
          <w:tcPr>
            <w:tcW w:w="1993" w:type="pct"/>
            <w:vMerge w:val="continue"/>
            <w:tcBorders>
              <w:left w:val="single" w:color="000000" w:sz="4" w:space="0"/>
              <w:right w:val="single" w:color="000000" w:sz="4" w:space="0"/>
            </w:tcBorders>
            <w:shd w:val="clear" w:color="auto" w:fill="auto"/>
            <w:noWrap/>
            <w:vAlign w:val="center"/>
          </w:tcPr>
          <w:p w14:paraId="2AC3C6C5">
            <w:pPr>
              <w:pStyle w:val="26"/>
              <w:bidi w:val="0"/>
              <w:rPr>
                <w:rFonts w:hint="eastAsia"/>
                <w:lang w:val="en-US" w:eastAsia="zh-CN"/>
              </w:rPr>
            </w:pPr>
          </w:p>
        </w:tc>
      </w:tr>
      <w:tr w14:paraId="1461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F4F2">
            <w:pPr>
              <w:pStyle w:val="26"/>
              <w:bidi w:val="0"/>
              <w:rPr>
                <w:rFonts w:hint="eastAsia"/>
                <w:lang w:val="en-US" w:eastAsia="zh-CN"/>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4921C">
            <w:pPr>
              <w:pStyle w:val="26"/>
              <w:bidi w:val="0"/>
              <w:rPr>
                <w:rFonts w:hint="eastAsia"/>
                <w:lang w:val="en-US" w:eastAsia="zh-CN"/>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00D9">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镀铬</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7B36C">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10</w:t>
            </w:r>
          </w:p>
        </w:tc>
        <w:tc>
          <w:tcPr>
            <w:tcW w:w="704" w:type="pct"/>
            <w:vMerge w:val="continue"/>
            <w:tcBorders>
              <w:left w:val="single" w:color="000000" w:sz="4" w:space="0"/>
              <w:right w:val="single" w:color="000000" w:sz="4" w:space="0"/>
            </w:tcBorders>
            <w:shd w:val="clear" w:color="auto" w:fill="auto"/>
            <w:vAlign w:val="center"/>
          </w:tcPr>
          <w:p w14:paraId="5E27C6EE">
            <w:pPr>
              <w:pStyle w:val="26"/>
              <w:bidi w:val="0"/>
              <w:rPr>
                <w:rFonts w:hint="eastAsia"/>
                <w:lang w:val="en-US" w:eastAsia="zh-CN"/>
              </w:rPr>
            </w:pPr>
          </w:p>
        </w:tc>
        <w:tc>
          <w:tcPr>
            <w:tcW w:w="1993" w:type="pct"/>
            <w:vMerge w:val="continue"/>
            <w:tcBorders>
              <w:left w:val="single" w:color="000000" w:sz="4" w:space="0"/>
              <w:right w:val="single" w:color="000000" w:sz="4" w:space="0"/>
            </w:tcBorders>
            <w:shd w:val="clear" w:color="auto" w:fill="auto"/>
            <w:noWrap/>
            <w:vAlign w:val="center"/>
          </w:tcPr>
          <w:p w14:paraId="5064EE96">
            <w:pPr>
              <w:pStyle w:val="26"/>
              <w:bidi w:val="0"/>
              <w:rPr>
                <w:rFonts w:hint="eastAsia"/>
                <w:lang w:val="en-US" w:eastAsia="zh-CN"/>
              </w:rPr>
            </w:pPr>
          </w:p>
        </w:tc>
      </w:tr>
      <w:tr w14:paraId="6497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D127B">
            <w:pPr>
              <w:pStyle w:val="26"/>
              <w:bidi w:val="0"/>
              <w:rPr>
                <w:rFonts w:hint="eastAsia"/>
                <w:lang w:val="en-US" w:eastAsia="zh-CN"/>
              </w:rPr>
            </w:pPr>
            <w:r>
              <w:rPr>
                <w:rFonts w:hint="eastAsia"/>
                <w:lang w:val="en-US" w:eastAsia="zh-CN"/>
              </w:rPr>
              <w:t>磁性模切刀版</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8FF0">
            <w:pPr>
              <w:pStyle w:val="26"/>
              <w:bidi w:val="0"/>
              <w:rPr>
                <w:rFonts w:hint="eastAsia"/>
                <w:lang w:val="en-US" w:eastAsia="zh-CN"/>
              </w:rPr>
            </w:pPr>
            <w:r>
              <w:rPr>
                <w:rFonts w:hint="eastAsia"/>
                <w:lang w:val="en-US" w:eastAsia="zh-CN"/>
              </w:rPr>
              <w:t>长：（200-1100）mm</w:t>
            </w:r>
          </w:p>
          <w:p w14:paraId="3A7D4B56">
            <w:pPr>
              <w:pStyle w:val="26"/>
              <w:bidi w:val="0"/>
              <w:rPr>
                <w:rFonts w:hint="eastAsia"/>
                <w:lang w:val="en-US" w:eastAsia="zh-CN"/>
              </w:rPr>
            </w:pPr>
            <w:r>
              <w:rPr>
                <w:rFonts w:hint="eastAsia"/>
                <w:lang w:val="en-US" w:eastAsia="zh-CN"/>
              </w:rPr>
              <w:t>宽：（200-900）mm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F331">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镀铬</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A5AA6">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highlight w:val="none"/>
                <w:lang w:val="en-US" w:eastAsia="zh-CN"/>
              </w:rPr>
              <w:t>5-8</w:t>
            </w:r>
          </w:p>
        </w:tc>
        <w:tc>
          <w:tcPr>
            <w:tcW w:w="704" w:type="pct"/>
            <w:tcBorders>
              <w:top w:val="single" w:color="000000" w:sz="4" w:space="0"/>
              <w:left w:val="single" w:color="000000" w:sz="4" w:space="0"/>
              <w:right w:val="single" w:color="000000" w:sz="4" w:space="0"/>
            </w:tcBorders>
            <w:shd w:val="clear" w:color="auto" w:fill="auto"/>
            <w:vAlign w:val="center"/>
          </w:tcPr>
          <w:p w14:paraId="18DAE4C9">
            <w:pPr>
              <w:pStyle w:val="26"/>
              <w:bidi w:val="0"/>
              <w:rPr>
                <w:rFonts w:hint="default"/>
                <w:lang w:val="en-US" w:eastAsia="zh-CN"/>
              </w:rPr>
            </w:pPr>
            <w:r>
              <w:rPr>
                <w:rFonts w:hint="eastAsia"/>
                <w:lang w:val="en-US" w:eastAsia="zh-CN"/>
              </w:rPr>
              <w:t>镀铬</w:t>
            </w:r>
          </w:p>
        </w:tc>
        <w:tc>
          <w:tcPr>
            <w:tcW w:w="1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FDFC">
            <w:pPr>
              <w:pStyle w:val="26"/>
              <w:bidi w:val="0"/>
              <w:rPr>
                <w:rFonts w:hint="eastAsia"/>
                <w:lang w:val="en-US" w:eastAsia="zh-CN"/>
              </w:rPr>
            </w:pPr>
            <w:r>
              <w:rPr>
                <w:rFonts w:hint="eastAsia"/>
                <w:lang w:val="en-US" w:eastAsia="zh-CN"/>
              </w:rPr>
              <w:drawing>
                <wp:inline distT="0" distB="0" distL="114300" distR="114300">
                  <wp:extent cx="1949450" cy="1561465"/>
                  <wp:effectExtent l="0" t="0" r="6350" b="6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7"/>
                          <a:stretch>
                            <a:fillRect/>
                          </a:stretch>
                        </pic:blipFill>
                        <pic:spPr>
                          <a:xfrm>
                            <a:off x="0" y="0"/>
                            <a:ext cx="1949450" cy="1561465"/>
                          </a:xfrm>
                          <a:prstGeom prst="rect">
                            <a:avLst/>
                          </a:prstGeom>
                          <a:noFill/>
                          <a:ln>
                            <a:noFill/>
                          </a:ln>
                        </pic:spPr>
                      </pic:pic>
                    </a:graphicData>
                  </a:graphic>
                </wp:inline>
              </w:drawing>
            </w:r>
          </w:p>
        </w:tc>
      </w:tr>
      <w:tr w14:paraId="5B38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3" w:hRule="atLeast"/>
        </w:trPr>
        <w:tc>
          <w:tcPr>
            <w:tcW w:w="5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C37C00">
            <w:pPr>
              <w:pStyle w:val="26"/>
              <w:bidi w:val="0"/>
              <w:rPr>
                <w:rFonts w:hint="eastAsia"/>
                <w:color w:val="auto"/>
                <w:highlight w:val="none"/>
                <w:lang w:val="en-US" w:eastAsia="zh-CN"/>
              </w:rPr>
            </w:pPr>
            <w:r>
              <w:rPr>
                <w:rFonts w:hint="eastAsia"/>
                <w:color w:val="auto"/>
                <w:highlight w:val="none"/>
                <w:lang w:val="en-US" w:eastAsia="zh-CN"/>
              </w:rPr>
              <w:t>热压模板</w:t>
            </w:r>
          </w:p>
        </w:tc>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7A0B96">
            <w:pPr>
              <w:pStyle w:val="26"/>
              <w:bidi w:val="0"/>
              <w:rPr>
                <w:rFonts w:hint="eastAsia"/>
                <w:color w:val="auto"/>
                <w:highlight w:val="none"/>
                <w:lang w:val="en-US" w:eastAsia="zh-CN"/>
              </w:rPr>
            </w:pPr>
            <w:r>
              <w:rPr>
                <w:rFonts w:hint="eastAsia"/>
                <w:color w:val="auto"/>
                <w:highlight w:val="none"/>
                <w:lang w:val="en-US" w:eastAsia="zh-CN"/>
              </w:rPr>
              <w:t>48尺=1220×2440（小板）</w:t>
            </w:r>
          </w:p>
          <w:p w14:paraId="028DC901">
            <w:pPr>
              <w:pStyle w:val="26"/>
              <w:bidi w:val="0"/>
              <w:rPr>
                <w:rFonts w:hint="default"/>
                <w:color w:val="auto"/>
                <w:highlight w:val="none"/>
                <w:lang w:val="en-US" w:eastAsia="zh-CN"/>
              </w:rPr>
            </w:pPr>
            <w:r>
              <w:rPr>
                <w:rFonts w:hint="eastAsia"/>
                <w:color w:val="auto"/>
                <w:highlight w:val="none"/>
                <w:lang w:val="en-US" w:eastAsia="zh-CN"/>
              </w:rPr>
              <w:t>79尺=2150×2750（大板）</w:t>
            </w:r>
          </w:p>
        </w:tc>
        <w:tc>
          <w:tcPr>
            <w:tcW w:w="4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9E3D0F">
            <w:pPr>
              <w:pStyle w:val="26"/>
              <w:bidi w:val="0"/>
              <w:rPr>
                <w:rFonts w:hint="default"/>
                <w:color w:val="auto"/>
                <w:highlight w:val="none"/>
                <w:lang w:val="en-US" w:eastAsia="zh-CN"/>
              </w:rPr>
            </w:pPr>
            <w:r>
              <w:rPr>
                <w:rFonts w:hint="eastAsia"/>
                <w:color w:val="auto"/>
                <w:highlight w:val="none"/>
                <w:lang w:val="en-US" w:eastAsia="zh-CN"/>
              </w:rPr>
              <w:t>镀铬</w:t>
            </w:r>
          </w:p>
        </w:tc>
        <w:tc>
          <w:tcPr>
            <w:tcW w:w="5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9107BA">
            <w:pPr>
              <w:pStyle w:val="26"/>
              <w:bidi w:val="0"/>
              <w:rPr>
                <w:rFonts w:hint="default"/>
                <w:color w:val="auto"/>
                <w:highlight w:val="none"/>
                <w:lang w:val="en-US" w:eastAsia="zh-CN"/>
              </w:rPr>
            </w:pPr>
            <w:r>
              <w:rPr>
                <w:rFonts w:hint="eastAsia"/>
                <w:color w:val="auto"/>
                <w:highlight w:val="none"/>
                <w:lang w:val="en-US" w:eastAsia="zh-CN"/>
              </w:rPr>
              <w:t>5</w:t>
            </w:r>
          </w:p>
        </w:tc>
        <w:tc>
          <w:tcPr>
            <w:tcW w:w="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B1079E">
            <w:pPr>
              <w:pStyle w:val="26"/>
              <w:bidi w:val="0"/>
              <w:rPr>
                <w:rFonts w:hint="default"/>
                <w:color w:val="auto"/>
                <w:highlight w:val="none"/>
                <w:lang w:val="en-US" w:eastAsia="zh-CN"/>
              </w:rPr>
            </w:pPr>
            <w:r>
              <w:rPr>
                <w:rFonts w:hint="eastAsia"/>
                <w:color w:val="auto"/>
                <w:highlight w:val="none"/>
                <w:lang w:val="en-US" w:eastAsia="zh-CN"/>
              </w:rPr>
              <w:t>镀铬</w:t>
            </w:r>
          </w:p>
        </w:tc>
        <w:tc>
          <w:tcPr>
            <w:tcW w:w="19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8853A9">
            <w:pPr>
              <w:pStyle w:val="26"/>
              <w:bidi w:val="0"/>
              <w:rPr>
                <w:rFonts w:hint="default"/>
                <w:color w:val="FF0000"/>
                <w:highlight w:val="yellow"/>
                <w:lang w:val="en-US" w:eastAsia="zh-CN"/>
              </w:rPr>
            </w:pPr>
            <w:r>
              <w:rPr>
                <w:rFonts w:hint="eastAsia"/>
                <w:color w:val="FF0000"/>
                <w:highlight w:val="yellow"/>
                <w:lang w:val="en-US" w:eastAsia="zh-CN"/>
              </w:rPr>
              <w:drawing>
                <wp:inline distT="0" distB="0" distL="114300" distR="114300">
                  <wp:extent cx="2017395" cy="1377950"/>
                  <wp:effectExtent l="0" t="0" r="1905" b="6350"/>
                  <wp:docPr id="26" name="图片 26" descr="7d3bb002f52bfe3223d3c67bf7b89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7d3bb002f52bfe3223d3c67bf7b8904b"/>
                          <pic:cNvPicPr>
                            <a:picLocks noChangeAspect="1"/>
                          </pic:cNvPicPr>
                        </pic:nvPicPr>
                        <pic:blipFill>
                          <a:blip r:embed="rId28"/>
                          <a:stretch>
                            <a:fillRect/>
                          </a:stretch>
                        </pic:blipFill>
                        <pic:spPr>
                          <a:xfrm>
                            <a:off x="0" y="0"/>
                            <a:ext cx="2017395" cy="1377950"/>
                          </a:xfrm>
                          <a:prstGeom prst="rect">
                            <a:avLst/>
                          </a:prstGeom>
                        </pic:spPr>
                      </pic:pic>
                    </a:graphicData>
                  </a:graphic>
                </wp:inline>
              </w:drawing>
            </w:r>
          </w:p>
        </w:tc>
      </w:tr>
    </w:tbl>
    <w:p w14:paraId="6078C281">
      <w:pPr>
        <w:pStyle w:val="28"/>
        <w:bidi w:val="0"/>
        <w:rPr>
          <w:rFonts w:hint="default"/>
          <w:color w:val="auto"/>
          <w:lang w:val="en-US" w:eastAsia="zh-CN"/>
        </w:rPr>
      </w:pPr>
      <w:r>
        <w:rPr>
          <w:rFonts w:hint="eastAsia"/>
          <w:color w:val="auto"/>
          <w:lang w:val="en-US" w:eastAsia="zh-CN"/>
        </w:rPr>
        <w:t>注：</w:t>
      </w:r>
      <w:r>
        <w:rPr>
          <w:rFonts w:hint="eastAsia"/>
          <w:lang w:val="en-US" w:eastAsia="zh-CN"/>
        </w:rPr>
        <w:t>*仅展示具代表性常见产品。</w:t>
      </w:r>
    </w:p>
    <w:p w14:paraId="6F86047A">
      <w:pPr>
        <w:bidi w:val="0"/>
        <w:spacing w:before="50" w:beforeLines="50" w:line="360" w:lineRule="auto"/>
        <w:jc w:val="center"/>
        <w:outlineLvl w:val="4"/>
        <w:rPr>
          <w:rFonts w:hint="eastAsia" w:ascii="Times New Roman" w:hAnsi="Times New Roman" w:eastAsia="仿宋_GB2312" w:cstheme="minorBidi"/>
          <w:b/>
          <w:color w:val="auto"/>
          <w:kern w:val="2"/>
          <w:sz w:val="24"/>
          <w:szCs w:val="22"/>
          <w:lang w:val="en-US" w:eastAsia="zh-CN" w:bidi="ar-SA"/>
        </w:rPr>
      </w:pPr>
      <w:r>
        <w:rPr>
          <w:rFonts w:hint="eastAsia" w:ascii="Times New Roman" w:hAnsi="Times New Roman" w:eastAsia="仿宋_GB2312" w:cstheme="minorBidi"/>
          <w:b/>
          <w:color w:val="auto"/>
          <w:kern w:val="2"/>
          <w:sz w:val="24"/>
          <w:szCs w:val="22"/>
          <w:lang w:val="en-US" w:eastAsia="zh-CN" w:bidi="ar-SA"/>
        </w:rPr>
        <w:t>表</w:t>
      </w:r>
      <w:r>
        <w:rPr>
          <w:rFonts w:hint="eastAsia" w:ascii="Times New Roman" w:hAnsi="Times New Roman" w:eastAsia="仿宋_GB2312" w:cstheme="minorBidi"/>
          <w:b/>
          <w:color w:val="auto"/>
          <w:kern w:val="2"/>
          <w:sz w:val="24"/>
          <w:szCs w:val="22"/>
          <w:lang w:val="en-US" w:eastAsia="zh-CN" w:bidi="ar-SA"/>
        </w:rPr>
        <w:fldChar w:fldCharType="begin"/>
      </w:r>
      <w:r>
        <w:rPr>
          <w:rFonts w:hint="eastAsia" w:ascii="Times New Roman" w:hAnsi="Times New Roman" w:eastAsia="仿宋_GB2312" w:cstheme="minorBidi"/>
          <w:b/>
          <w:color w:val="auto"/>
          <w:kern w:val="2"/>
          <w:sz w:val="24"/>
          <w:szCs w:val="22"/>
          <w:lang w:val="en-US" w:eastAsia="zh-CN" w:bidi="ar-SA"/>
        </w:rPr>
        <w:instrText xml:space="preserve"> STYLEREF 2 \s </w:instrText>
      </w:r>
      <w:r>
        <w:rPr>
          <w:rFonts w:hint="eastAsia" w:ascii="Times New Roman" w:hAnsi="Times New Roman" w:eastAsia="仿宋_GB2312" w:cstheme="minorBidi"/>
          <w:b/>
          <w:color w:val="auto"/>
          <w:kern w:val="2"/>
          <w:sz w:val="24"/>
          <w:szCs w:val="22"/>
          <w:lang w:val="en-US" w:eastAsia="zh-CN" w:bidi="ar-SA"/>
        </w:rPr>
        <w:fldChar w:fldCharType="separate"/>
      </w:r>
      <w:r>
        <w:rPr>
          <w:rFonts w:hint="eastAsia" w:ascii="Times New Roman" w:hAnsi="Times New Roman" w:eastAsia="仿宋_GB2312" w:cstheme="minorBidi"/>
          <w:b/>
          <w:color w:val="auto"/>
          <w:kern w:val="2"/>
          <w:sz w:val="24"/>
          <w:szCs w:val="22"/>
          <w:lang w:val="en-US" w:eastAsia="zh-CN" w:bidi="ar-SA"/>
        </w:rPr>
        <w:t>4.1</w:t>
      </w:r>
      <w:r>
        <w:rPr>
          <w:rFonts w:hint="eastAsia"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noBreakHyphen/>
      </w:r>
      <w:r>
        <w:rPr>
          <w:rFonts w:hint="eastAsia" w:ascii="Times New Roman" w:hAnsi="Times New Roman" w:eastAsia="仿宋_GB2312" w:cstheme="minorBidi"/>
          <w:b/>
          <w:color w:val="auto"/>
          <w:kern w:val="2"/>
          <w:sz w:val="24"/>
          <w:szCs w:val="22"/>
          <w:lang w:val="en-US" w:eastAsia="zh-CN" w:bidi="ar-SA"/>
        </w:rPr>
        <w:fldChar w:fldCharType="begin"/>
      </w:r>
      <w:r>
        <w:rPr>
          <w:rFonts w:hint="eastAsia" w:ascii="Times New Roman" w:hAnsi="Times New Roman" w:eastAsia="仿宋_GB2312" w:cstheme="minorBidi"/>
          <w:b/>
          <w:color w:val="auto"/>
          <w:kern w:val="2"/>
          <w:sz w:val="24"/>
          <w:szCs w:val="22"/>
          <w:lang w:val="en-US" w:eastAsia="zh-CN" w:bidi="ar-SA"/>
        </w:rPr>
        <w:instrText xml:space="preserve"> SEQ 表 \* ARABIC \s 2 </w:instrText>
      </w:r>
      <w:r>
        <w:rPr>
          <w:rFonts w:hint="eastAsia" w:ascii="Times New Roman" w:hAnsi="Times New Roman" w:eastAsia="仿宋_GB2312" w:cstheme="minorBidi"/>
          <w:b/>
          <w:color w:val="auto"/>
          <w:kern w:val="2"/>
          <w:sz w:val="24"/>
          <w:szCs w:val="22"/>
          <w:lang w:val="en-US" w:eastAsia="zh-CN" w:bidi="ar-SA"/>
        </w:rPr>
        <w:fldChar w:fldCharType="separate"/>
      </w:r>
      <w:r>
        <w:rPr>
          <w:rFonts w:hint="eastAsia" w:ascii="Times New Roman" w:hAnsi="Times New Roman" w:eastAsia="仿宋_GB2312" w:cstheme="minorBidi"/>
          <w:b/>
          <w:color w:val="auto"/>
          <w:kern w:val="2"/>
          <w:sz w:val="24"/>
          <w:szCs w:val="22"/>
          <w:lang w:val="en-US" w:eastAsia="zh-CN" w:bidi="ar-SA"/>
        </w:rPr>
        <w:t>4</w:t>
      </w:r>
      <w:r>
        <w:rPr>
          <w:rFonts w:hint="eastAsia"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本项目版辊镀层面积及常用规格一览表</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5"/>
        <w:gridCol w:w="663"/>
        <w:gridCol w:w="664"/>
        <w:gridCol w:w="1118"/>
        <w:gridCol w:w="1303"/>
        <w:gridCol w:w="961"/>
        <w:gridCol w:w="864"/>
        <w:gridCol w:w="1063"/>
        <w:gridCol w:w="956"/>
      </w:tblGrid>
      <w:tr w14:paraId="385C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 w:hRule="atLeast"/>
        </w:trPr>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5E1D">
            <w:pPr>
              <w:pStyle w:val="36"/>
              <w:bidi w:val="0"/>
              <w:rPr>
                <w:rFonts w:hint="eastAsia"/>
                <w:lang w:val="en-US" w:eastAsia="zh-CN"/>
              </w:rPr>
            </w:pPr>
            <w:r>
              <w:rPr>
                <w:rFonts w:hint="eastAsia"/>
                <w:lang w:val="en-US" w:eastAsia="zh-CN"/>
              </w:rPr>
              <w:t>产品名称</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2054">
            <w:pPr>
              <w:pStyle w:val="36"/>
              <w:bidi w:val="0"/>
              <w:rPr>
                <w:rFonts w:hint="eastAsia"/>
                <w:lang w:val="en-US" w:eastAsia="zh-CN"/>
              </w:rPr>
            </w:pPr>
            <w:r>
              <w:rPr>
                <w:rFonts w:hint="eastAsia"/>
                <w:lang w:val="en-US" w:eastAsia="zh-CN"/>
              </w:rPr>
              <w:t>镀件类别</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E0F2">
            <w:pPr>
              <w:pStyle w:val="36"/>
              <w:bidi w:val="0"/>
              <w:rPr>
                <w:rFonts w:hint="eastAsia"/>
                <w:lang w:val="en-US" w:eastAsia="zh-CN"/>
              </w:rPr>
            </w:pPr>
            <w:r>
              <w:rPr>
                <w:rFonts w:hint="eastAsia"/>
                <w:lang w:val="en-US" w:eastAsia="zh-CN"/>
              </w:rPr>
              <w:t>处理次数</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A486">
            <w:pPr>
              <w:pStyle w:val="36"/>
              <w:bidi w:val="0"/>
              <w:rPr>
                <w:rFonts w:hint="eastAsia"/>
                <w:lang w:val="en-US" w:eastAsia="zh-CN"/>
              </w:rPr>
            </w:pPr>
            <w:r>
              <w:rPr>
                <w:rFonts w:hint="eastAsia"/>
                <w:lang w:val="en-US" w:eastAsia="zh-CN"/>
              </w:rPr>
              <w:t>代表性镀层厚度（μm）</w:t>
            </w:r>
          </w:p>
        </w:tc>
        <w:tc>
          <w:tcPr>
            <w:tcW w:w="7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0524">
            <w:pPr>
              <w:pStyle w:val="36"/>
              <w:bidi w:val="0"/>
              <w:rPr>
                <w:rFonts w:hint="eastAsia"/>
                <w:lang w:val="en-US" w:eastAsia="zh-CN"/>
              </w:rPr>
            </w:pPr>
            <w:r>
              <w:rPr>
                <w:rFonts w:hint="eastAsia"/>
                <w:lang w:val="en-US" w:eastAsia="zh-CN"/>
              </w:rPr>
              <w:t>表面处理方法对应产品占比</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16A6">
            <w:pPr>
              <w:pStyle w:val="36"/>
              <w:bidi w:val="0"/>
              <w:rPr>
                <w:rFonts w:hint="eastAsia"/>
                <w:lang w:val="en-US" w:eastAsia="zh-CN"/>
              </w:rPr>
            </w:pPr>
            <w:r>
              <w:rPr>
                <w:rFonts w:hint="eastAsia"/>
                <w:lang w:val="en-US" w:eastAsia="zh-CN"/>
              </w:rPr>
              <w:t>版辊数量（支/a）</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E3C5">
            <w:pPr>
              <w:pStyle w:val="36"/>
              <w:bidi w:val="0"/>
              <w:rPr>
                <w:rFonts w:hint="eastAsia"/>
                <w:lang w:val="en-US" w:eastAsia="zh-CN"/>
              </w:rPr>
            </w:pPr>
            <w:r>
              <w:rPr>
                <w:rFonts w:hint="eastAsia"/>
                <w:lang w:val="en-US" w:eastAsia="zh-CN"/>
              </w:rPr>
              <w:t>返修数量（支/a）</w:t>
            </w:r>
            <w:r>
              <w:rPr>
                <w:rFonts w:hint="eastAsia" w:ascii="仿宋_GB2312" w:hAnsi="仿宋_GB2312" w:eastAsia="仿宋_GB2312" w:cs="仿宋_GB2312"/>
                <w:vertAlign w:val="superscript"/>
                <w:lang w:val="en-US" w:eastAsia="zh-CN"/>
              </w:rPr>
              <w:t>①</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2ECF">
            <w:pPr>
              <w:pStyle w:val="36"/>
              <w:bidi w:val="0"/>
              <w:rPr>
                <w:rFonts w:hint="eastAsia"/>
                <w:lang w:val="en-US" w:eastAsia="zh-CN"/>
              </w:rPr>
            </w:pPr>
            <w:r>
              <w:rPr>
                <w:rFonts w:hint="eastAsia"/>
                <w:lang w:val="en-US" w:eastAsia="zh-CN"/>
              </w:rPr>
              <w:t>单支版辊面积（m</w:t>
            </w:r>
            <w:r>
              <w:rPr>
                <w:rFonts w:hint="eastAsia"/>
                <w:vertAlign w:val="superscript"/>
                <w:lang w:val="en-US" w:eastAsia="zh-CN"/>
              </w:rPr>
              <w:t>2</w:t>
            </w:r>
            <w:r>
              <w:rPr>
                <w:rFonts w:hint="eastAsia"/>
                <w:lang w:val="en-US" w:eastAsia="zh-CN"/>
              </w:rPr>
              <w:t>）</w:t>
            </w:r>
            <w:r>
              <w:rPr>
                <w:rFonts w:hint="eastAsia" w:ascii="仿宋_GB2312" w:hAnsi="仿宋_GB2312" w:eastAsia="仿宋_GB2312" w:cs="仿宋_GB2312"/>
                <w:vertAlign w:val="superscript"/>
                <w:lang w:val="en-US" w:eastAsia="zh-CN"/>
              </w:rPr>
              <w:t>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2F62">
            <w:pPr>
              <w:pStyle w:val="36"/>
              <w:bidi w:val="0"/>
              <w:rPr>
                <w:rFonts w:hint="eastAsia"/>
                <w:lang w:val="en-US" w:eastAsia="zh-CN"/>
              </w:rPr>
            </w:pPr>
            <w:r>
              <w:rPr>
                <w:rFonts w:hint="eastAsia"/>
                <w:lang w:val="en-US" w:eastAsia="zh-CN"/>
              </w:rPr>
              <w:t>金属镀层面积（m</w:t>
            </w:r>
            <w:r>
              <w:rPr>
                <w:rFonts w:hint="eastAsia"/>
                <w:vertAlign w:val="superscript"/>
                <w:lang w:val="en-US" w:eastAsia="zh-CN"/>
              </w:rPr>
              <w:t>2</w:t>
            </w:r>
            <w:r>
              <w:rPr>
                <w:rFonts w:hint="eastAsia"/>
                <w:lang w:val="en-US" w:eastAsia="zh-CN"/>
              </w:rPr>
              <w:t>）</w:t>
            </w:r>
          </w:p>
        </w:tc>
      </w:tr>
      <w:tr w14:paraId="0DA0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02CE">
            <w:pPr>
              <w:pStyle w:val="26"/>
              <w:bidi w:val="0"/>
              <w:rPr>
                <w:rFonts w:hint="eastAsia"/>
                <w:lang w:val="en-US" w:eastAsia="zh-CN"/>
              </w:rPr>
            </w:pPr>
            <w:r>
              <w:rPr>
                <w:rFonts w:hint="eastAsia"/>
                <w:lang w:val="en-US" w:eastAsia="zh-CN"/>
              </w:rPr>
              <w:t>凹印版</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9811">
            <w:pPr>
              <w:pStyle w:val="26"/>
              <w:bidi w:val="0"/>
              <w:rPr>
                <w:rFonts w:hint="eastAsia"/>
                <w:lang w:val="en-US" w:eastAsia="zh-CN"/>
              </w:rPr>
            </w:pPr>
            <w:r>
              <w:rPr>
                <w:rFonts w:hint="eastAsia"/>
                <w:lang w:val="en-US" w:eastAsia="zh-CN"/>
              </w:rPr>
              <w:t>碱铜</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4169">
            <w:pPr>
              <w:pStyle w:val="26"/>
              <w:bidi w:val="0"/>
              <w:rPr>
                <w:rFonts w:hint="eastAsia"/>
                <w:lang w:val="en-US" w:eastAsia="zh-CN"/>
              </w:rPr>
            </w:pPr>
            <w:r>
              <w:rPr>
                <w:rFonts w:hint="eastAsia"/>
                <w:lang w:val="en-US" w:eastAsia="zh-CN"/>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998B">
            <w:pPr>
              <w:pStyle w:val="26"/>
              <w:bidi w:val="0"/>
              <w:rPr>
                <w:rFonts w:hint="eastAsia"/>
                <w:lang w:val="en-US" w:eastAsia="zh-CN"/>
              </w:rPr>
            </w:pPr>
            <w:r>
              <w:rPr>
                <w:rFonts w:hint="eastAsia"/>
                <w:lang w:val="en-US" w:eastAsia="zh-CN"/>
              </w:rPr>
              <w:t>6</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ED22">
            <w:pPr>
              <w:pStyle w:val="26"/>
              <w:bidi w:val="0"/>
              <w:rPr>
                <w:rFonts w:hint="eastAsia"/>
                <w:lang w:val="en-US" w:eastAsia="zh-CN"/>
              </w:rPr>
            </w:pPr>
            <w:r>
              <w:rPr>
                <w:rFonts w:hint="eastAsia"/>
                <w:lang w:val="en-US" w:eastAsia="zh-CN"/>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93B1">
            <w:pPr>
              <w:pStyle w:val="26"/>
              <w:bidi w:val="0"/>
              <w:rPr>
                <w:rFonts w:hint="eastAsia"/>
                <w:lang w:val="en-US" w:eastAsia="zh-CN"/>
              </w:rPr>
            </w:pPr>
            <w:r>
              <w:rPr>
                <w:rFonts w:hint="eastAsia"/>
                <w:lang w:val="en-US" w:eastAsia="zh-CN"/>
              </w:rPr>
              <w:t>284400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0DE9">
            <w:pPr>
              <w:pStyle w:val="26"/>
              <w:bidi w:val="0"/>
              <w:rPr>
                <w:rFonts w:hint="eastAsia"/>
                <w:lang w:val="en-US" w:eastAsia="zh-CN"/>
              </w:rPr>
            </w:pPr>
            <w:r>
              <w:rPr>
                <w:rFonts w:hint="eastAsia"/>
                <w:lang w:val="en-US" w:eastAsia="zh-CN"/>
              </w:rPr>
              <w:t>14000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3359">
            <w:pPr>
              <w:pStyle w:val="26"/>
              <w:bidi w:val="0"/>
              <w:rPr>
                <w:rFonts w:hint="eastAsia"/>
                <w:lang w:val="en-US" w:eastAsia="zh-CN"/>
              </w:rPr>
            </w:pPr>
            <w:r>
              <w:rPr>
                <w:rFonts w:hint="eastAsia"/>
                <w:lang w:val="en-US" w:eastAsia="zh-CN"/>
              </w:rPr>
              <w:t>0.5485</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C320A">
            <w:pPr>
              <w:pStyle w:val="26"/>
              <w:bidi w:val="0"/>
              <w:rPr>
                <w:rFonts w:hint="eastAsia"/>
                <w:lang w:val="en-US" w:eastAsia="zh-CN"/>
              </w:rPr>
            </w:pPr>
            <w:r>
              <w:rPr>
                <w:rFonts w:hint="eastAsia"/>
                <w:lang w:val="en-US" w:eastAsia="zh-CN"/>
              </w:rPr>
              <w:t>163672</w:t>
            </w:r>
          </w:p>
        </w:tc>
      </w:tr>
      <w:tr w14:paraId="22832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68EA">
            <w:pPr>
              <w:pStyle w:val="26"/>
              <w:bidi w:val="0"/>
              <w:rPr>
                <w:rFonts w:hint="eastAsia"/>
                <w:lang w:val="en-US" w:eastAsia="zh-CN"/>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085E">
            <w:pPr>
              <w:pStyle w:val="26"/>
              <w:bidi w:val="0"/>
              <w:rPr>
                <w:rFonts w:hint="eastAsia"/>
                <w:lang w:val="en-US" w:eastAsia="zh-CN"/>
              </w:rPr>
            </w:pPr>
            <w:r>
              <w:rPr>
                <w:rFonts w:hint="eastAsia"/>
                <w:lang w:val="en-US" w:eastAsia="zh-CN"/>
              </w:rPr>
              <w:t>镀铜</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3D05">
            <w:pPr>
              <w:pStyle w:val="26"/>
              <w:bidi w:val="0"/>
              <w:rPr>
                <w:rFonts w:hint="eastAsia"/>
                <w:lang w:val="en-US" w:eastAsia="zh-CN"/>
              </w:rPr>
            </w:pPr>
            <w:r>
              <w:rPr>
                <w:rFonts w:hint="eastAsia"/>
                <w:lang w:val="en-US" w:eastAsia="zh-CN"/>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082A">
            <w:pPr>
              <w:pStyle w:val="26"/>
              <w:bidi w:val="0"/>
              <w:rPr>
                <w:rFonts w:hint="eastAsia"/>
                <w:lang w:val="en-US" w:eastAsia="zh-CN"/>
              </w:rPr>
            </w:pPr>
            <w:r>
              <w:rPr>
                <w:rFonts w:hint="eastAsia"/>
                <w:lang w:val="en-US" w:eastAsia="zh-CN"/>
              </w:rPr>
              <w:t>71</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299C">
            <w:pPr>
              <w:pStyle w:val="26"/>
              <w:bidi w:val="0"/>
              <w:rPr>
                <w:rFonts w:hint="eastAsia"/>
                <w:lang w:val="en-US" w:eastAsia="zh-CN"/>
              </w:rPr>
            </w:pPr>
            <w:r>
              <w:rPr>
                <w:rFonts w:hint="eastAsia"/>
                <w:lang w:val="en-US" w:eastAsia="zh-CN"/>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1FF3">
            <w:pPr>
              <w:pStyle w:val="26"/>
              <w:bidi w:val="0"/>
              <w:rPr>
                <w:rFonts w:hint="eastAsia"/>
                <w:lang w:val="en-US" w:eastAsia="zh-CN"/>
              </w:rPr>
            </w:pPr>
            <w:r>
              <w:rPr>
                <w:rFonts w:hint="eastAsia"/>
                <w:lang w:val="en-US" w:eastAsia="zh-CN"/>
              </w:rPr>
              <w:t>284400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9D20">
            <w:pPr>
              <w:pStyle w:val="26"/>
              <w:bidi w:val="0"/>
              <w:rPr>
                <w:rFonts w:hint="eastAsia"/>
                <w:lang w:val="en-US" w:eastAsia="zh-CN"/>
              </w:rPr>
            </w:pPr>
            <w:r>
              <w:rPr>
                <w:rFonts w:hint="eastAsia"/>
                <w:lang w:val="en-US" w:eastAsia="zh-CN"/>
              </w:rPr>
              <w:t>14000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9F4D">
            <w:pPr>
              <w:pStyle w:val="26"/>
              <w:bidi w:val="0"/>
              <w:rPr>
                <w:rFonts w:hint="eastAsia"/>
                <w:lang w:val="en-US" w:eastAsia="zh-CN"/>
              </w:rPr>
            </w:pPr>
            <w:r>
              <w:rPr>
                <w:rFonts w:hint="eastAsia"/>
                <w:lang w:val="en-US" w:eastAsia="zh-CN"/>
              </w:rPr>
              <w:t>0.5485</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5BF1">
            <w:pPr>
              <w:pStyle w:val="26"/>
              <w:bidi w:val="0"/>
              <w:rPr>
                <w:rFonts w:hint="eastAsia"/>
                <w:lang w:val="en-US" w:eastAsia="zh-CN"/>
              </w:rPr>
            </w:pPr>
            <w:r>
              <w:rPr>
                <w:rFonts w:hint="eastAsia"/>
                <w:lang w:val="en-US" w:eastAsia="zh-CN"/>
              </w:rPr>
              <w:t>163672</w:t>
            </w:r>
          </w:p>
        </w:tc>
      </w:tr>
      <w:tr w14:paraId="41BD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973B">
            <w:pPr>
              <w:pStyle w:val="26"/>
              <w:bidi w:val="0"/>
              <w:rPr>
                <w:rFonts w:hint="eastAsia"/>
                <w:lang w:val="en-US" w:eastAsia="zh-CN"/>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F765">
            <w:pPr>
              <w:pStyle w:val="26"/>
              <w:bidi w:val="0"/>
              <w:rPr>
                <w:rFonts w:hint="eastAsia"/>
                <w:lang w:val="en-US" w:eastAsia="zh-CN"/>
              </w:rPr>
            </w:pPr>
            <w:r>
              <w:rPr>
                <w:rFonts w:hint="eastAsia"/>
                <w:lang w:val="en-US" w:eastAsia="zh-CN"/>
              </w:rPr>
              <w:t>镀铬</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F673">
            <w:pPr>
              <w:pStyle w:val="26"/>
              <w:bidi w:val="0"/>
              <w:rPr>
                <w:rFonts w:hint="eastAsia"/>
                <w:lang w:val="en-US" w:eastAsia="zh-CN"/>
              </w:rPr>
            </w:pPr>
            <w:r>
              <w:rPr>
                <w:rFonts w:hint="eastAsia"/>
                <w:lang w:val="en-US" w:eastAsia="zh-CN"/>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CBA3">
            <w:pPr>
              <w:pStyle w:val="26"/>
              <w:bidi w:val="0"/>
              <w:rPr>
                <w:rFonts w:hint="eastAsia"/>
                <w:color w:val="auto"/>
                <w:highlight w:val="none"/>
                <w:lang w:val="en-US" w:eastAsia="zh-CN"/>
              </w:rPr>
            </w:pPr>
            <w:r>
              <w:rPr>
                <w:rFonts w:hint="eastAsia"/>
                <w:color w:val="auto"/>
                <w:highlight w:val="none"/>
                <w:lang w:val="en-US" w:eastAsia="zh-CN"/>
              </w:rPr>
              <w:t>10</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16F1">
            <w:pPr>
              <w:pStyle w:val="26"/>
              <w:bidi w:val="0"/>
              <w:rPr>
                <w:rFonts w:hint="eastAsia"/>
                <w:lang w:val="en-US" w:eastAsia="zh-CN"/>
              </w:rPr>
            </w:pPr>
            <w:r>
              <w:rPr>
                <w:rFonts w:hint="eastAsia"/>
                <w:lang w:val="en-US" w:eastAsia="zh-CN"/>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551E">
            <w:pPr>
              <w:pStyle w:val="26"/>
              <w:bidi w:val="0"/>
              <w:rPr>
                <w:rFonts w:hint="eastAsia"/>
                <w:lang w:val="en-US" w:eastAsia="zh-CN"/>
              </w:rPr>
            </w:pPr>
            <w:r>
              <w:rPr>
                <w:rFonts w:hint="eastAsia"/>
                <w:lang w:val="en-US" w:eastAsia="zh-CN"/>
              </w:rPr>
              <w:t>284400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1AF5">
            <w:pPr>
              <w:pStyle w:val="26"/>
              <w:bidi w:val="0"/>
              <w:rPr>
                <w:rFonts w:hint="eastAsia"/>
                <w:lang w:val="en-US" w:eastAsia="zh-CN"/>
              </w:rPr>
            </w:pPr>
            <w:r>
              <w:rPr>
                <w:rFonts w:hint="eastAsia"/>
                <w:lang w:val="en-US" w:eastAsia="zh-CN"/>
              </w:rPr>
              <w:t>14000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717B">
            <w:pPr>
              <w:pStyle w:val="26"/>
              <w:bidi w:val="0"/>
              <w:rPr>
                <w:rFonts w:hint="eastAsia"/>
                <w:lang w:val="en-US" w:eastAsia="zh-CN"/>
              </w:rPr>
            </w:pPr>
            <w:r>
              <w:rPr>
                <w:rFonts w:hint="eastAsia"/>
                <w:lang w:val="en-US" w:eastAsia="zh-CN"/>
              </w:rPr>
              <w:t>0.5485</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8A0F">
            <w:pPr>
              <w:pStyle w:val="26"/>
              <w:bidi w:val="0"/>
              <w:rPr>
                <w:rFonts w:hint="eastAsia"/>
                <w:lang w:val="en-US" w:eastAsia="zh-CN"/>
              </w:rPr>
            </w:pPr>
            <w:r>
              <w:rPr>
                <w:rFonts w:hint="eastAsia"/>
                <w:lang w:val="en-US" w:eastAsia="zh-CN"/>
              </w:rPr>
              <w:t>163672</w:t>
            </w:r>
          </w:p>
        </w:tc>
      </w:tr>
      <w:tr w14:paraId="5B224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11DFA">
            <w:pPr>
              <w:pStyle w:val="26"/>
              <w:bidi w:val="0"/>
              <w:rPr>
                <w:rFonts w:hint="eastAsia"/>
                <w:lang w:val="en-US" w:eastAsia="zh-CN"/>
              </w:rPr>
            </w:pPr>
            <w:r>
              <w:rPr>
                <w:rFonts w:hint="eastAsia"/>
                <w:lang w:val="en-US" w:eastAsia="zh-CN"/>
              </w:rPr>
              <w:t>磁性模切刀版</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0DA5">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镀铬</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6B50">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E48B">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8</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BDA4">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7AF1">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12000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809F">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790C">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1.98</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061F0">
            <w:pPr>
              <w:pStyle w:val="26"/>
              <w:bidi w:val="0"/>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lang w:val="en-US" w:eastAsia="zh-CN"/>
              </w:rPr>
              <w:t>23760</w:t>
            </w:r>
          </w:p>
        </w:tc>
      </w:tr>
      <w:tr w14:paraId="7CD93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9BEC">
            <w:pPr>
              <w:pStyle w:val="26"/>
              <w:bidi w:val="0"/>
              <w:rPr>
                <w:rFonts w:hint="eastAsia"/>
                <w:lang w:val="en-US" w:eastAsia="zh-CN"/>
              </w:rPr>
            </w:pPr>
            <w:r>
              <w:rPr>
                <w:rFonts w:hint="eastAsia"/>
                <w:lang w:val="en-US" w:eastAsia="zh-CN"/>
              </w:rPr>
              <w:t>热压模板</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3CE2">
            <w:pPr>
              <w:pStyle w:val="26"/>
              <w:bidi w:val="0"/>
              <w:rPr>
                <w:rFonts w:hint="default"/>
                <w:lang w:val="en-US" w:eastAsia="zh-CN"/>
              </w:rPr>
            </w:pPr>
            <w:r>
              <w:rPr>
                <w:rFonts w:hint="eastAsia"/>
                <w:lang w:val="en-US" w:eastAsia="zh-CN"/>
              </w:rPr>
              <w:t>镀铬</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DB7F">
            <w:pPr>
              <w:pStyle w:val="26"/>
              <w:bidi w:val="0"/>
              <w:rPr>
                <w:rFonts w:hint="default"/>
                <w:lang w:val="en-US" w:eastAsia="zh-CN"/>
              </w:rPr>
            </w:pPr>
            <w:r>
              <w:rPr>
                <w:rFonts w:hint="eastAsia"/>
                <w:lang w:val="en-US" w:eastAsia="zh-CN"/>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3586">
            <w:pPr>
              <w:pStyle w:val="26"/>
              <w:bidi w:val="0"/>
              <w:rPr>
                <w:rFonts w:hint="default"/>
                <w:color w:val="auto"/>
                <w:highlight w:val="none"/>
                <w:lang w:val="en-US" w:eastAsia="zh-CN"/>
              </w:rPr>
            </w:pPr>
            <w:r>
              <w:rPr>
                <w:rFonts w:hint="eastAsia"/>
                <w:color w:val="auto"/>
                <w:highlight w:val="none"/>
                <w:lang w:val="en-US" w:eastAsia="zh-CN"/>
              </w:rPr>
              <w:t>5</w:t>
            </w:r>
          </w:p>
        </w:tc>
        <w:tc>
          <w:tcPr>
            <w:tcW w:w="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7CE8">
            <w:pPr>
              <w:pStyle w:val="26"/>
              <w:bidi w:val="0"/>
              <w:rPr>
                <w:rFonts w:hint="default"/>
                <w:lang w:val="en-US" w:eastAsia="zh-CN"/>
              </w:rPr>
            </w:pPr>
            <w:r>
              <w:rPr>
                <w:rFonts w:hint="eastAsia"/>
                <w:lang w:val="en-US" w:eastAsia="zh-CN"/>
              </w:rPr>
              <w:t>100%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10E3">
            <w:pPr>
              <w:pStyle w:val="26"/>
              <w:bidi w:val="0"/>
              <w:rPr>
                <w:rFonts w:hint="default"/>
                <w:lang w:val="en-US" w:eastAsia="zh-CN"/>
              </w:rPr>
            </w:pPr>
            <w:r>
              <w:rPr>
                <w:rFonts w:hint="eastAsia"/>
                <w:lang w:val="en-US" w:eastAsia="zh-CN"/>
              </w:rPr>
              <w:t>6000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8389">
            <w:pPr>
              <w:pStyle w:val="26"/>
              <w:bidi w:val="0"/>
              <w:rPr>
                <w:rFonts w:hint="default"/>
                <w:lang w:val="en-US" w:eastAsia="zh-CN"/>
              </w:rPr>
            </w:pPr>
            <w:r>
              <w:rPr>
                <w:rFonts w:hint="eastAsia"/>
                <w:lang w:val="en-US" w:eastAsia="zh-CN"/>
              </w:rPr>
              <w:t>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9CF8">
            <w:pPr>
              <w:pStyle w:val="26"/>
              <w:bidi w:val="0"/>
              <w:rPr>
                <w:rFonts w:hint="default"/>
                <w:lang w:val="en-US" w:eastAsia="zh-CN"/>
              </w:rPr>
            </w:pPr>
            <w:r>
              <w:rPr>
                <w:rFonts w:hint="eastAsia"/>
                <w:lang w:val="en-US" w:eastAsia="zh-CN"/>
              </w:rPr>
              <w:t>6</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D649">
            <w:pPr>
              <w:pStyle w:val="26"/>
              <w:bidi w:val="0"/>
              <w:rPr>
                <w:rFonts w:hint="default"/>
                <w:lang w:val="en-US" w:eastAsia="zh-CN"/>
              </w:rPr>
            </w:pPr>
            <w:r>
              <w:rPr>
                <w:rFonts w:hint="eastAsia"/>
                <w:lang w:val="en-US" w:eastAsia="zh-CN"/>
              </w:rPr>
              <w:t>36000</w:t>
            </w:r>
          </w:p>
        </w:tc>
      </w:tr>
    </w:tbl>
    <w:p w14:paraId="1CA81734">
      <w:pPr>
        <w:pStyle w:val="26"/>
        <w:bidi w:val="0"/>
        <w:jc w:val="both"/>
        <w:rPr>
          <w:rFonts w:hint="default"/>
          <w:lang w:val="en-US" w:eastAsia="zh-CN"/>
        </w:rPr>
      </w:pPr>
      <w:r>
        <w:rPr>
          <w:rFonts w:hint="eastAsia"/>
          <w:lang w:val="en-US" w:eastAsia="zh-CN"/>
        </w:rPr>
        <w:t>备注：①凹印版按产品总量的5％计算，磁性模切刀版不涉及返修。</w:t>
      </w:r>
      <w:r>
        <w:rPr>
          <w:rFonts w:hint="eastAsia" w:ascii="仿宋_GB2312" w:hAnsi="仿宋_GB2312" w:eastAsia="仿宋_GB2312" w:cs="仿宋_GB2312"/>
          <w:lang w:val="en-US" w:eastAsia="zh-CN"/>
        </w:rPr>
        <w:t>②</w:t>
      </w:r>
      <w:r>
        <w:rPr>
          <w:rFonts w:hint="eastAsia"/>
          <w:lang w:val="en-US" w:eastAsia="zh-CN"/>
        </w:rPr>
        <w:t>按企业预计最大产品面积计算。</w:t>
      </w:r>
    </w:p>
    <w:p w14:paraId="1A788503">
      <w:pPr>
        <w:bidi w:val="0"/>
        <w:spacing w:before="50" w:beforeLines="50" w:line="360" w:lineRule="auto"/>
        <w:jc w:val="center"/>
        <w:outlineLvl w:val="4"/>
        <w:rPr>
          <w:rFonts w:hint="eastAsia" w:ascii="Times New Roman" w:hAnsi="Times New Roman" w:eastAsia="仿宋_GB2312" w:cstheme="minorBidi"/>
          <w:b/>
          <w:color w:val="auto"/>
          <w:kern w:val="2"/>
          <w:sz w:val="24"/>
          <w:szCs w:val="22"/>
          <w:lang w:val="en-US" w:eastAsia="zh-CN" w:bidi="ar-SA"/>
        </w:rPr>
      </w:pPr>
      <w:r>
        <w:rPr>
          <w:rFonts w:hint="eastAsia" w:ascii="Times New Roman" w:hAnsi="Times New Roman" w:eastAsia="仿宋_GB2312" w:cstheme="minorBidi"/>
          <w:b/>
          <w:color w:val="auto"/>
          <w:kern w:val="2"/>
          <w:sz w:val="24"/>
          <w:szCs w:val="22"/>
          <w:lang w:val="en-US" w:eastAsia="zh-CN" w:bidi="ar-SA"/>
        </w:rPr>
        <w:t>表</w:t>
      </w:r>
      <w:r>
        <w:rPr>
          <w:rFonts w:hint="eastAsia" w:ascii="Times New Roman" w:hAnsi="Times New Roman" w:eastAsia="仿宋_GB2312" w:cstheme="minorBidi"/>
          <w:b/>
          <w:color w:val="auto"/>
          <w:kern w:val="2"/>
          <w:sz w:val="24"/>
          <w:szCs w:val="22"/>
          <w:lang w:val="en-US" w:eastAsia="zh-CN" w:bidi="ar-SA"/>
        </w:rPr>
        <w:fldChar w:fldCharType="begin"/>
      </w:r>
      <w:r>
        <w:rPr>
          <w:rFonts w:hint="eastAsia" w:ascii="Times New Roman" w:hAnsi="Times New Roman" w:eastAsia="仿宋_GB2312" w:cstheme="minorBidi"/>
          <w:b/>
          <w:color w:val="auto"/>
          <w:kern w:val="2"/>
          <w:sz w:val="24"/>
          <w:szCs w:val="22"/>
          <w:lang w:val="en-US" w:eastAsia="zh-CN" w:bidi="ar-SA"/>
        </w:rPr>
        <w:instrText xml:space="preserve"> STYLEREF 2 \s </w:instrText>
      </w:r>
      <w:r>
        <w:rPr>
          <w:rFonts w:hint="eastAsia" w:ascii="Times New Roman" w:hAnsi="Times New Roman" w:eastAsia="仿宋_GB2312" w:cstheme="minorBidi"/>
          <w:b/>
          <w:color w:val="auto"/>
          <w:kern w:val="2"/>
          <w:sz w:val="24"/>
          <w:szCs w:val="22"/>
          <w:lang w:val="en-US" w:eastAsia="zh-CN" w:bidi="ar-SA"/>
        </w:rPr>
        <w:fldChar w:fldCharType="separate"/>
      </w:r>
      <w:r>
        <w:rPr>
          <w:rFonts w:hint="eastAsia" w:ascii="Times New Roman" w:hAnsi="Times New Roman" w:eastAsia="仿宋_GB2312" w:cstheme="minorBidi"/>
          <w:b/>
          <w:color w:val="auto"/>
          <w:kern w:val="2"/>
          <w:sz w:val="24"/>
          <w:szCs w:val="22"/>
          <w:lang w:val="en-US" w:eastAsia="zh-CN" w:bidi="ar-SA"/>
        </w:rPr>
        <w:t>4.1</w:t>
      </w:r>
      <w:r>
        <w:rPr>
          <w:rFonts w:hint="eastAsia"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noBreakHyphen/>
      </w:r>
      <w:r>
        <w:rPr>
          <w:rFonts w:hint="eastAsia" w:ascii="Times New Roman" w:hAnsi="Times New Roman" w:eastAsia="仿宋_GB2312" w:cstheme="minorBidi"/>
          <w:b/>
          <w:color w:val="auto"/>
          <w:kern w:val="2"/>
          <w:sz w:val="24"/>
          <w:szCs w:val="22"/>
          <w:lang w:val="en-US" w:eastAsia="zh-CN" w:bidi="ar-SA"/>
        </w:rPr>
        <w:fldChar w:fldCharType="begin"/>
      </w:r>
      <w:r>
        <w:rPr>
          <w:rFonts w:hint="eastAsia" w:ascii="Times New Roman" w:hAnsi="Times New Roman" w:eastAsia="仿宋_GB2312" w:cstheme="minorBidi"/>
          <w:b/>
          <w:color w:val="auto"/>
          <w:kern w:val="2"/>
          <w:sz w:val="24"/>
          <w:szCs w:val="22"/>
          <w:lang w:val="en-US" w:eastAsia="zh-CN" w:bidi="ar-SA"/>
        </w:rPr>
        <w:instrText xml:space="preserve"> SEQ 表 \* ARABIC \s 2 </w:instrText>
      </w:r>
      <w:r>
        <w:rPr>
          <w:rFonts w:hint="eastAsia" w:ascii="Times New Roman" w:hAnsi="Times New Roman" w:eastAsia="仿宋_GB2312" w:cstheme="minorBidi"/>
          <w:b/>
          <w:color w:val="auto"/>
          <w:kern w:val="2"/>
          <w:sz w:val="24"/>
          <w:szCs w:val="22"/>
          <w:lang w:val="en-US" w:eastAsia="zh-CN" w:bidi="ar-SA"/>
        </w:rPr>
        <w:fldChar w:fldCharType="separate"/>
      </w:r>
      <w:r>
        <w:rPr>
          <w:rFonts w:hint="eastAsia" w:ascii="Times New Roman" w:hAnsi="Times New Roman" w:eastAsia="仿宋_GB2312" w:cstheme="minorBidi"/>
          <w:b/>
          <w:color w:val="auto"/>
          <w:kern w:val="2"/>
          <w:sz w:val="24"/>
          <w:szCs w:val="22"/>
          <w:lang w:val="en-US" w:eastAsia="zh-CN" w:bidi="ar-SA"/>
        </w:rPr>
        <w:t>5</w:t>
      </w:r>
      <w:r>
        <w:rPr>
          <w:rFonts w:hint="eastAsia"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产品电镀面积与电镀线产能匹配性分析</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709"/>
        <w:gridCol w:w="858"/>
        <w:gridCol w:w="815"/>
        <w:gridCol w:w="738"/>
        <w:gridCol w:w="1122"/>
        <w:gridCol w:w="894"/>
        <w:gridCol w:w="846"/>
        <w:gridCol w:w="1102"/>
        <w:gridCol w:w="735"/>
      </w:tblGrid>
      <w:tr w14:paraId="0585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F803">
            <w:pPr>
              <w:pStyle w:val="26"/>
              <w:bidi w:val="0"/>
              <w:rPr>
                <w:rFonts w:hint="eastAsia"/>
                <w:color w:val="auto"/>
                <w:highlight w:val="none"/>
                <w:lang w:val="en-US" w:eastAsia="zh-CN"/>
              </w:rPr>
            </w:pPr>
            <w:r>
              <w:rPr>
                <w:rFonts w:hint="eastAsia"/>
                <w:color w:val="auto"/>
                <w:highlight w:val="none"/>
                <w:lang w:val="en-US" w:eastAsia="zh-CN"/>
              </w:rPr>
              <w:t>线体名称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C6CF">
            <w:pPr>
              <w:pStyle w:val="26"/>
              <w:bidi w:val="0"/>
              <w:rPr>
                <w:rFonts w:hint="eastAsia"/>
                <w:color w:val="auto"/>
                <w:highlight w:val="none"/>
                <w:lang w:val="en-US" w:eastAsia="zh-CN"/>
              </w:rPr>
            </w:pPr>
            <w:r>
              <w:rPr>
                <w:rFonts w:hint="eastAsia"/>
                <w:color w:val="auto"/>
                <w:highlight w:val="none"/>
                <w:lang w:val="en-US" w:eastAsia="zh-CN"/>
              </w:rPr>
              <w:t>镀种</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8D3CC">
            <w:pPr>
              <w:pStyle w:val="26"/>
              <w:bidi w:val="0"/>
              <w:rPr>
                <w:rFonts w:hint="eastAsia"/>
                <w:color w:val="auto"/>
                <w:highlight w:val="none"/>
                <w:lang w:val="en-US" w:eastAsia="zh-CN"/>
              </w:rPr>
            </w:pPr>
            <w:r>
              <w:rPr>
                <w:rFonts w:hint="eastAsia"/>
                <w:color w:val="auto"/>
                <w:highlight w:val="none"/>
                <w:lang w:val="en-US" w:eastAsia="zh-CN"/>
              </w:rPr>
              <w:t>数量（支/a）</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EF91">
            <w:pPr>
              <w:pStyle w:val="26"/>
              <w:bidi w:val="0"/>
              <w:rPr>
                <w:rFonts w:hint="eastAsia"/>
                <w:color w:val="auto"/>
                <w:highlight w:val="none"/>
                <w:lang w:val="en-US" w:eastAsia="zh-CN"/>
              </w:rPr>
            </w:pPr>
            <w:r>
              <w:rPr>
                <w:rFonts w:hint="eastAsia"/>
                <w:color w:val="auto"/>
                <w:highlight w:val="none"/>
                <w:lang w:val="en-US" w:eastAsia="zh-CN"/>
              </w:rPr>
              <w:t>每批次产能（支/d）</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B5DA">
            <w:pPr>
              <w:pStyle w:val="26"/>
              <w:bidi w:val="0"/>
              <w:rPr>
                <w:rFonts w:hint="eastAsia"/>
                <w:color w:val="auto"/>
                <w:highlight w:val="none"/>
                <w:lang w:val="en-US" w:eastAsia="zh-CN"/>
              </w:rPr>
            </w:pPr>
            <w:r>
              <w:rPr>
                <w:rFonts w:hint="eastAsia"/>
                <w:color w:val="auto"/>
                <w:highlight w:val="none"/>
                <w:lang w:val="en-US" w:eastAsia="zh-CN"/>
              </w:rPr>
              <w:t>生产批次（批/d）</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7E60">
            <w:pPr>
              <w:pStyle w:val="26"/>
              <w:bidi w:val="0"/>
              <w:rPr>
                <w:rFonts w:hint="eastAsia"/>
                <w:color w:val="auto"/>
                <w:highlight w:val="none"/>
                <w:lang w:val="en-US" w:eastAsia="zh-CN"/>
              </w:rPr>
            </w:pPr>
            <w:r>
              <w:rPr>
                <w:rFonts w:hint="eastAsia"/>
                <w:color w:val="auto"/>
                <w:highlight w:val="none"/>
                <w:lang w:val="en-US" w:eastAsia="zh-CN"/>
              </w:rPr>
              <w:t>批次处理时间（min/批）</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08F0A">
            <w:pPr>
              <w:pStyle w:val="26"/>
              <w:bidi w:val="0"/>
              <w:rPr>
                <w:rFonts w:hint="eastAsia"/>
                <w:color w:val="auto"/>
                <w:highlight w:val="none"/>
                <w:lang w:val="en-US" w:eastAsia="zh-CN"/>
              </w:rPr>
            </w:pPr>
            <w:r>
              <w:rPr>
                <w:rFonts w:hint="eastAsia"/>
                <w:color w:val="auto"/>
                <w:highlight w:val="none"/>
                <w:lang w:val="en-US" w:eastAsia="zh-CN"/>
              </w:rPr>
              <w:t>生产天数（d）</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E1980">
            <w:pPr>
              <w:pStyle w:val="26"/>
              <w:bidi w:val="0"/>
              <w:rPr>
                <w:rFonts w:hint="eastAsia"/>
                <w:color w:val="auto"/>
                <w:highlight w:val="none"/>
                <w:lang w:val="en-US" w:eastAsia="zh-CN"/>
              </w:rPr>
            </w:pPr>
            <w:r>
              <w:rPr>
                <w:rFonts w:hint="eastAsia"/>
                <w:color w:val="auto"/>
                <w:highlight w:val="none"/>
                <w:lang w:val="en-US" w:eastAsia="zh-CN"/>
              </w:rPr>
              <w:t>年处理量（支/a）</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62856">
            <w:pPr>
              <w:pStyle w:val="26"/>
              <w:bidi w:val="0"/>
              <w:rPr>
                <w:rFonts w:hint="eastAsia"/>
                <w:color w:val="auto"/>
                <w:highlight w:val="none"/>
                <w:lang w:val="en-US" w:eastAsia="zh-CN"/>
              </w:rPr>
            </w:pPr>
            <w:r>
              <w:rPr>
                <w:rFonts w:hint="eastAsia"/>
                <w:color w:val="auto"/>
                <w:highlight w:val="none"/>
                <w:lang w:val="en-US" w:eastAsia="zh-CN"/>
              </w:rPr>
              <w:t>本项目产能（支/a）</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4BFA">
            <w:pPr>
              <w:pStyle w:val="26"/>
              <w:bidi w:val="0"/>
              <w:rPr>
                <w:rFonts w:hint="eastAsia"/>
                <w:color w:val="auto"/>
                <w:highlight w:val="none"/>
                <w:lang w:val="en-US" w:eastAsia="zh-CN"/>
              </w:rPr>
            </w:pPr>
            <w:r>
              <w:rPr>
                <w:rFonts w:hint="eastAsia"/>
                <w:color w:val="auto"/>
                <w:highlight w:val="none"/>
                <w:lang w:val="en-US" w:eastAsia="zh-CN"/>
              </w:rPr>
              <w:t>是否匹配</w:t>
            </w:r>
          </w:p>
        </w:tc>
      </w:tr>
      <w:tr w14:paraId="64DE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07B05">
            <w:pPr>
              <w:pStyle w:val="26"/>
              <w:bidi w:val="0"/>
              <w:rPr>
                <w:rFonts w:hint="eastAsia"/>
                <w:color w:val="auto"/>
                <w:highlight w:val="none"/>
                <w:lang w:val="en-US" w:eastAsia="zh-CN"/>
              </w:rPr>
            </w:pPr>
            <w:r>
              <w:rPr>
                <w:rFonts w:hint="eastAsia"/>
                <w:color w:val="auto"/>
                <w:highlight w:val="none"/>
                <w:lang w:val="en-US" w:eastAsia="zh-CN"/>
              </w:rPr>
              <w:t>凹印版生产线</w:t>
            </w:r>
            <w:r>
              <w:rPr>
                <w:rFonts w:hint="eastAsia" w:ascii="仿宋_GB2312" w:hAnsi="仿宋_GB2312" w:eastAsia="仿宋_GB2312" w:cs="仿宋_GB2312"/>
                <w:color w:val="auto"/>
                <w:highlight w:val="none"/>
                <w:lang w:val="en-US" w:eastAsia="zh-CN"/>
              </w:rPr>
              <w:t>①</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B867">
            <w:pPr>
              <w:pStyle w:val="26"/>
              <w:bidi w:val="0"/>
              <w:rPr>
                <w:rFonts w:hint="eastAsia"/>
                <w:color w:val="auto"/>
                <w:highlight w:val="none"/>
                <w:lang w:val="en-US" w:eastAsia="zh-CN"/>
              </w:rPr>
            </w:pPr>
            <w:r>
              <w:rPr>
                <w:rFonts w:hint="eastAsia"/>
                <w:color w:val="auto"/>
                <w:highlight w:val="none"/>
                <w:lang w:val="en-US" w:eastAsia="zh-CN"/>
              </w:rPr>
              <w:t>碱铜</w:t>
            </w:r>
          </w:p>
        </w:tc>
        <w:tc>
          <w:tcPr>
            <w:tcW w:w="503" w:type="pct"/>
            <w:vMerge w:val="restart"/>
            <w:tcBorders>
              <w:top w:val="single" w:color="000000" w:sz="4" w:space="0"/>
              <w:left w:val="single" w:color="000000" w:sz="4" w:space="0"/>
              <w:right w:val="single" w:color="000000" w:sz="4" w:space="0"/>
            </w:tcBorders>
            <w:shd w:val="clear" w:color="auto" w:fill="auto"/>
            <w:noWrap/>
            <w:vAlign w:val="center"/>
          </w:tcPr>
          <w:p w14:paraId="43B25277">
            <w:pPr>
              <w:pStyle w:val="26"/>
              <w:bidi w:val="0"/>
              <w:rPr>
                <w:rFonts w:hint="eastAsia"/>
                <w:color w:val="auto"/>
                <w:highlight w:val="none"/>
                <w:lang w:val="en-US" w:eastAsia="zh-CN"/>
              </w:rPr>
            </w:pPr>
            <w:r>
              <w:rPr>
                <w:rFonts w:hint="eastAsia"/>
                <w:color w:val="auto"/>
                <w:highlight w:val="none"/>
                <w:lang w:val="en-US" w:eastAsia="zh-CN"/>
              </w:rPr>
              <w:t>284400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593F">
            <w:pPr>
              <w:pStyle w:val="26"/>
              <w:bidi w:val="0"/>
              <w:rPr>
                <w:rFonts w:hint="eastAsia"/>
                <w:color w:val="auto"/>
                <w:highlight w:val="none"/>
                <w:lang w:val="en-US" w:eastAsia="zh-CN"/>
              </w:rPr>
            </w:pPr>
            <w:r>
              <w:rPr>
                <w:rFonts w:hint="eastAsia"/>
                <w:color w:val="auto"/>
                <w:highlight w:val="none"/>
                <w:lang w:val="en-US" w:eastAsia="zh-CN"/>
              </w:rPr>
              <w:t>6</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B737">
            <w:pPr>
              <w:pStyle w:val="26"/>
              <w:bidi w:val="0"/>
              <w:rPr>
                <w:rFonts w:hint="eastAsia"/>
                <w:color w:val="auto"/>
                <w:highlight w:val="none"/>
                <w:lang w:val="en-US" w:eastAsia="zh-CN"/>
              </w:rPr>
            </w:pPr>
            <w:r>
              <w:rPr>
                <w:rFonts w:hint="eastAsia"/>
                <w:color w:val="auto"/>
                <w:highlight w:val="none"/>
                <w:lang w:val="en-US" w:eastAsia="zh-CN"/>
              </w:rPr>
              <w:t>158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66376">
            <w:pPr>
              <w:pStyle w:val="26"/>
              <w:bidi w:val="0"/>
              <w:rPr>
                <w:rFonts w:hint="default"/>
                <w:color w:val="auto"/>
                <w:highlight w:val="none"/>
                <w:lang w:val="en-US" w:eastAsia="zh-CN"/>
              </w:rPr>
            </w:pPr>
            <w:r>
              <w:rPr>
                <w:rFonts w:hint="eastAsia"/>
                <w:color w:val="auto"/>
                <w:highlight w:val="none"/>
                <w:lang w:val="en-US" w:eastAsia="zh-CN"/>
              </w:rPr>
              <w:t>6-7</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E3E46">
            <w:pPr>
              <w:pStyle w:val="26"/>
              <w:bidi w:val="0"/>
              <w:rPr>
                <w:rFonts w:hint="eastAsia"/>
                <w:color w:val="auto"/>
                <w:highlight w:val="none"/>
                <w:lang w:val="en-US" w:eastAsia="zh-CN"/>
              </w:rPr>
            </w:pPr>
            <w:r>
              <w:rPr>
                <w:rFonts w:hint="eastAsia"/>
                <w:color w:val="auto"/>
                <w:highlight w:val="none"/>
                <w:lang w:val="en-US" w:eastAsia="zh-CN"/>
              </w:rPr>
              <w:t>300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A497B">
            <w:pPr>
              <w:pStyle w:val="26"/>
              <w:bidi w:val="0"/>
              <w:rPr>
                <w:rFonts w:hint="eastAsia"/>
                <w:color w:val="auto"/>
                <w:highlight w:val="none"/>
                <w:lang w:val="en-US" w:eastAsia="zh-CN"/>
              </w:rPr>
            </w:pPr>
            <w:r>
              <w:rPr>
                <w:rFonts w:hint="eastAsia"/>
                <w:color w:val="auto"/>
                <w:highlight w:val="none"/>
                <w:lang w:val="en-US" w:eastAsia="zh-CN"/>
              </w:rPr>
              <w:t>284400</w:t>
            </w:r>
          </w:p>
        </w:tc>
        <w:tc>
          <w:tcPr>
            <w:tcW w:w="646" w:type="pct"/>
            <w:vMerge w:val="restart"/>
            <w:tcBorders>
              <w:top w:val="single" w:color="000000" w:sz="4" w:space="0"/>
              <w:left w:val="single" w:color="000000" w:sz="4" w:space="0"/>
              <w:right w:val="single" w:color="000000" w:sz="4" w:space="0"/>
            </w:tcBorders>
            <w:shd w:val="clear" w:color="auto" w:fill="auto"/>
            <w:noWrap/>
            <w:vAlign w:val="center"/>
          </w:tcPr>
          <w:p w14:paraId="6CF290CB">
            <w:pPr>
              <w:pStyle w:val="26"/>
              <w:bidi w:val="0"/>
              <w:rPr>
                <w:rFonts w:hint="eastAsia"/>
                <w:color w:val="auto"/>
                <w:highlight w:val="none"/>
                <w:lang w:val="en-US" w:eastAsia="zh-CN"/>
              </w:rPr>
            </w:pPr>
            <w:r>
              <w:rPr>
                <w:rFonts w:hint="eastAsia"/>
                <w:color w:val="auto"/>
                <w:highlight w:val="none"/>
                <w:lang w:val="en-US" w:eastAsia="zh-CN"/>
              </w:rPr>
              <w:t>284400</w:t>
            </w:r>
          </w:p>
        </w:tc>
        <w:tc>
          <w:tcPr>
            <w:tcW w:w="431" w:type="pct"/>
            <w:vMerge w:val="restart"/>
            <w:tcBorders>
              <w:top w:val="single" w:color="000000" w:sz="4" w:space="0"/>
              <w:left w:val="single" w:color="000000" w:sz="4" w:space="0"/>
              <w:right w:val="single" w:color="000000" w:sz="4" w:space="0"/>
            </w:tcBorders>
            <w:shd w:val="clear" w:color="auto" w:fill="auto"/>
            <w:vAlign w:val="center"/>
          </w:tcPr>
          <w:p w14:paraId="515D8E0E">
            <w:pPr>
              <w:pStyle w:val="26"/>
              <w:bidi w:val="0"/>
              <w:rPr>
                <w:rFonts w:hint="eastAsia"/>
                <w:color w:val="auto"/>
                <w:highlight w:val="none"/>
                <w:lang w:val="en-US" w:eastAsia="zh-CN"/>
              </w:rPr>
            </w:pPr>
            <w:r>
              <w:rPr>
                <w:rFonts w:hint="eastAsia"/>
                <w:color w:val="auto"/>
                <w:highlight w:val="none"/>
                <w:lang w:val="en-US" w:eastAsia="zh-CN"/>
              </w:rPr>
              <w:t>是</w:t>
            </w:r>
          </w:p>
        </w:tc>
      </w:tr>
      <w:tr w14:paraId="4890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7F82">
            <w:pPr>
              <w:pStyle w:val="26"/>
              <w:bidi w:val="0"/>
              <w:rPr>
                <w:rFonts w:hint="eastAsia"/>
                <w:color w:val="auto"/>
                <w:highlight w:val="none"/>
                <w:lang w:val="en-US" w:eastAsia="zh-CN"/>
              </w:rPr>
            </w:pP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F0C3">
            <w:pPr>
              <w:pStyle w:val="26"/>
              <w:bidi w:val="0"/>
              <w:rPr>
                <w:rFonts w:hint="eastAsia"/>
                <w:color w:val="auto"/>
                <w:highlight w:val="none"/>
                <w:lang w:val="en-US" w:eastAsia="zh-CN"/>
              </w:rPr>
            </w:pPr>
            <w:r>
              <w:rPr>
                <w:rFonts w:hint="eastAsia"/>
                <w:color w:val="auto"/>
                <w:highlight w:val="none"/>
                <w:lang w:val="en-US" w:eastAsia="zh-CN"/>
              </w:rPr>
              <w:t>镀铜</w:t>
            </w:r>
          </w:p>
        </w:tc>
        <w:tc>
          <w:tcPr>
            <w:tcW w:w="503" w:type="pct"/>
            <w:vMerge w:val="continue"/>
            <w:tcBorders>
              <w:left w:val="single" w:color="000000" w:sz="4" w:space="0"/>
              <w:right w:val="single" w:color="000000" w:sz="4" w:space="0"/>
            </w:tcBorders>
            <w:shd w:val="clear" w:color="auto" w:fill="auto"/>
            <w:noWrap/>
            <w:vAlign w:val="center"/>
          </w:tcPr>
          <w:p w14:paraId="0E106BB2">
            <w:pPr>
              <w:pStyle w:val="26"/>
              <w:bidi w:val="0"/>
              <w:rPr>
                <w:rFonts w:hint="eastAsia"/>
                <w:color w:val="auto"/>
                <w:highlight w:val="none"/>
                <w:lang w:val="en-US" w:eastAsia="zh-CN"/>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DECB">
            <w:pPr>
              <w:pStyle w:val="26"/>
              <w:bidi w:val="0"/>
              <w:rPr>
                <w:rFonts w:hint="eastAsia"/>
                <w:color w:val="auto"/>
                <w:highlight w:val="none"/>
                <w:lang w:val="en-US" w:eastAsia="zh-CN"/>
              </w:rPr>
            </w:pPr>
            <w:r>
              <w:rPr>
                <w:rFonts w:hint="eastAsia"/>
                <w:color w:val="auto"/>
                <w:highlight w:val="none"/>
                <w:lang w:val="en-US" w:eastAsia="zh-CN"/>
              </w:rPr>
              <w:t>12</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AC35">
            <w:pPr>
              <w:pStyle w:val="26"/>
              <w:bidi w:val="0"/>
              <w:rPr>
                <w:rFonts w:hint="eastAsia"/>
                <w:color w:val="auto"/>
                <w:highlight w:val="none"/>
                <w:lang w:val="en-US" w:eastAsia="zh-CN"/>
              </w:rPr>
            </w:pPr>
            <w:r>
              <w:rPr>
                <w:rFonts w:hint="eastAsia"/>
                <w:color w:val="auto"/>
                <w:highlight w:val="none"/>
                <w:lang w:val="en-US" w:eastAsia="zh-CN"/>
              </w:rPr>
              <w:t>158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E006">
            <w:pPr>
              <w:pStyle w:val="26"/>
              <w:bidi w:val="0"/>
              <w:rPr>
                <w:rFonts w:hint="default"/>
                <w:color w:val="auto"/>
                <w:highlight w:val="none"/>
                <w:lang w:val="en-US" w:eastAsia="zh-CN"/>
              </w:rPr>
            </w:pPr>
            <w:r>
              <w:rPr>
                <w:rFonts w:hint="eastAsia"/>
                <w:color w:val="auto"/>
                <w:highlight w:val="none"/>
                <w:lang w:val="en-US" w:eastAsia="zh-CN"/>
              </w:rPr>
              <w:t>15-20</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70ADF">
            <w:pPr>
              <w:pStyle w:val="26"/>
              <w:bidi w:val="0"/>
              <w:rPr>
                <w:rFonts w:hint="eastAsia"/>
                <w:color w:val="auto"/>
                <w:highlight w:val="none"/>
                <w:lang w:val="en-US" w:eastAsia="zh-CN"/>
              </w:rPr>
            </w:pPr>
            <w:r>
              <w:rPr>
                <w:rFonts w:hint="eastAsia"/>
                <w:color w:val="auto"/>
                <w:highlight w:val="none"/>
                <w:lang w:val="en-US" w:eastAsia="zh-CN"/>
              </w:rPr>
              <w:t>300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62D4">
            <w:pPr>
              <w:pStyle w:val="26"/>
              <w:bidi w:val="0"/>
              <w:rPr>
                <w:rFonts w:hint="eastAsia"/>
                <w:color w:val="auto"/>
                <w:highlight w:val="none"/>
                <w:lang w:val="en-US" w:eastAsia="zh-CN"/>
              </w:rPr>
            </w:pPr>
            <w:r>
              <w:rPr>
                <w:rFonts w:hint="eastAsia"/>
                <w:color w:val="auto"/>
                <w:highlight w:val="none"/>
                <w:lang w:val="en-US" w:eastAsia="zh-CN"/>
              </w:rPr>
              <w:t>568800</w:t>
            </w:r>
          </w:p>
        </w:tc>
        <w:tc>
          <w:tcPr>
            <w:tcW w:w="646" w:type="pct"/>
            <w:vMerge w:val="continue"/>
            <w:tcBorders>
              <w:left w:val="single" w:color="000000" w:sz="4" w:space="0"/>
              <w:right w:val="single" w:color="000000" w:sz="4" w:space="0"/>
            </w:tcBorders>
            <w:shd w:val="clear" w:color="auto" w:fill="auto"/>
            <w:noWrap/>
            <w:vAlign w:val="center"/>
          </w:tcPr>
          <w:p w14:paraId="79AE3A68">
            <w:pPr>
              <w:pStyle w:val="26"/>
              <w:bidi w:val="0"/>
              <w:rPr>
                <w:rFonts w:hint="eastAsia"/>
                <w:color w:val="auto"/>
                <w:highlight w:val="none"/>
                <w:lang w:val="en-US" w:eastAsia="zh-CN"/>
              </w:rPr>
            </w:pPr>
          </w:p>
        </w:tc>
        <w:tc>
          <w:tcPr>
            <w:tcW w:w="431" w:type="pct"/>
            <w:vMerge w:val="continue"/>
            <w:tcBorders>
              <w:left w:val="single" w:color="000000" w:sz="4" w:space="0"/>
              <w:right w:val="single" w:color="000000" w:sz="4" w:space="0"/>
            </w:tcBorders>
            <w:shd w:val="clear" w:color="auto" w:fill="auto"/>
            <w:vAlign w:val="center"/>
          </w:tcPr>
          <w:p w14:paraId="3B7E2BB7">
            <w:pPr>
              <w:pStyle w:val="26"/>
              <w:bidi w:val="0"/>
              <w:rPr>
                <w:rFonts w:hint="eastAsia"/>
                <w:color w:val="auto"/>
                <w:highlight w:val="none"/>
                <w:lang w:val="en-US" w:eastAsia="zh-CN"/>
              </w:rPr>
            </w:pPr>
          </w:p>
        </w:tc>
      </w:tr>
      <w:tr w14:paraId="0C96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F2F8">
            <w:pPr>
              <w:pStyle w:val="26"/>
              <w:bidi w:val="0"/>
              <w:rPr>
                <w:rFonts w:hint="eastAsia"/>
                <w:color w:val="auto"/>
                <w:highlight w:val="none"/>
                <w:lang w:val="en-US" w:eastAsia="zh-CN"/>
              </w:rPr>
            </w:pP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3F7B">
            <w:pPr>
              <w:pStyle w:val="26"/>
              <w:bidi w:val="0"/>
              <w:rPr>
                <w:rFonts w:hint="eastAsia"/>
                <w:color w:val="auto"/>
                <w:highlight w:val="none"/>
                <w:lang w:val="en-US" w:eastAsia="zh-CN"/>
              </w:rPr>
            </w:pPr>
            <w:r>
              <w:rPr>
                <w:rFonts w:hint="eastAsia"/>
                <w:color w:val="auto"/>
                <w:highlight w:val="none"/>
                <w:lang w:val="en-US" w:eastAsia="zh-CN"/>
              </w:rPr>
              <w:t>镀铬</w:t>
            </w:r>
          </w:p>
        </w:tc>
        <w:tc>
          <w:tcPr>
            <w:tcW w:w="503" w:type="pct"/>
            <w:vMerge w:val="continue"/>
            <w:tcBorders>
              <w:left w:val="single" w:color="000000" w:sz="4" w:space="0"/>
              <w:bottom w:val="single" w:color="000000" w:sz="4" w:space="0"/>
              <w:right w:val="single" w:color="000000" w:sz="4" w:space="0"/>
            </w:tcBorders>
            <w:shd w:val="clear" w:color="auto" w:fill="auto"/>
            <w:noWrap/>
            <w:vAlign w:val="center"/>
          </w:tcPr>
          <w:p w14:paraId="1E13D8F1">
            <w:pPr>
              <w:pStyle w:val="26"/>
              <w:bidi w:val="0"/>
              <w:rPr>
                <w:rFonts w:hint="eastAsia"/>
                <w:color w:val="auto"/>
                <w:highlight w:val="none"/>
                <w:lang w:val="en-US" w:eastAsia="zh-CN"/>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7400">
            <w:pPr>
              <w:pStyle w:val="26"/>
              <w:bidi w:val="0"/>
              <w:rPr>
                <w:rFonts w:hint="eastAsia"/>
                <w:color w:val="auto"/>
                <w:highlight w:val="none"/>
                <w:lang w:val="en-US" w:eastAsia="zh-CN"/>
              </w:rPr>
            </w:pPr>
            <w:r>
              <w:rPr>
                <w:rFonts w:hint="eastAsia"/>
                <w:color w:val="auto"/>
                <w:highlight w:val="none"/>
                <w:lang w:val="en-US" w:eastAsia="zh-CN"/>
              </w:rPr>
              <w:t>12</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FDF0">
            <w:pPr>
              <w:pStyle w:val="26"/>
              <w:bidi w:val="0"/>
              <w:rPr>
                <w:rFonts w:hint="eastAsia"/>
                <w:color w:val="auto"/>
                <w:highlight w:val="none"/>
                <w:lang w:val="en-US" w:eastAsia="zh-CN"/>
              </w:rPr>
            </w:pPr>
            <w:r>
              <w:rPr>
                <w:rFonts w:hint="eastAsia"/>
                <w:color w:val="auto"/>
                <w:highlight w:val="none"/>
                <w:lang w:val="en-US" w:eastAsia="zh-CN"/>
              </w:rPr>
              <w:t>158</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263D">
            <w:pPr>
              <w:pStyle w:val="26"/>
              <w:bidi w:val="0"/>
              <w:rPr>
                <w:rFonts w:hint="default"/>
                <w:color w:val="auto"/>
                <w:highlight w:val="none"/>
                <w:lang w:val="en-US" w:eastAsia="zh-CN"/>
              </w:rPr>
            </w:pPr>
            <w:r>
              <w:rPr>
                <w:rFonts w:hint="eastAsia"/>
                <w:color w:val="auto"/>
                <w:highlight w:val="none"/>
                <w:lang w:val="en-US" w:eastAsia="zh-CN"/>
              </w:rPr>
              <w:t>6-7</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6CDE">
            <w:pPr>
              <w:pStyle w:val="26"/>
              <w:bidi w:val="0"/>
              <w:rPr>
                <w:rFonts w:hint="eastAsia"/>
                <w:color w:val="auto"/>
                <w:highlight w:val="none"/>
                <w:lang w:val="en-US" w:eastAsia="zh-CN"/>
              </w:rPr>
            </w:pPr>
            <w:r>
              <w:rPr>
                <w:rFonts w:hint="eastAsia"/>
                <w:color w:val="auto"/>
                <w:highlight w:val="none"/>
                <w:lang w:val="en-US" w:eastAsia="zh-CN"/>
              </w:rPr>
              <w:t>300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3F12">
            <w:pPr>
              <w:pStyle w:val="26"/>
              <w:bidi w:val="0"/>
              <w:rPr>
                <w:rFonts w:hint="eastAsia"/>
                <w:color w:val="auto"/>
                <w:highlight w:val="none"/>
                <w:lang w:val="en-US" w:eastAsia="zh-CN"/>
              </w:rPr>
            </w:pPr>
            <w:r>
              <w:rPr>
                <w:rFonts w:hint="eastAsia"/>
                <w:color w:val="auto"/>
                <w:highlight w:val="none"/>
                <w:lang w:val="en-US" w:eastAsia="zh-CN"/>
              </w:rPr>
              <w:t>568800</w:t>
            </w:r>
          </w:p>
        </w:tc>
        <w:tc>
          <w:tcPr>
            <w:tcW w:w="646" w:type="pct"/>
            <w:vMerge w:val="continue"/>
            <w:tcBorders>
              <w:left w:val="single" w:color="000000" w:sz="4" w:space="0"/>
              <w:bottom w:val="single" w:color="000000" w:sz="4" w:space="0"/>
              <w:right w:val="single" w:color="000000" w:sz="4" w:space="0"/>
            </w:tcBorders>
            <w:shd w:val="clear" w:color="auto" w:fill="auto"/>
            <w:noWrap/>
            <w:vAlign w:val="center"/>
          </w:tcPr>
          <w:p w14:paraId="1C2E1B96">
            <w:pPr>
              <w:pStyle w:val="26"/>
              <w:bidi w:val="0"/>
              <w:rPr>
                <w:rFonts w:hint="eastAsia"/>
                <w:color w:val="auto"/>
                <w:highlight w:val="none"/>
                <w:lang w:val="en-US" w:eastAsia="zh-CN"/>
              </w:rPr>
            </w:pPr>
          </w:p>
        </w:tc>
        <w:tc>
          <w:tcPr>
            <w:tcW w:w="431" w:type="pct"/>
            <w:vMerge w:val="continue"/>
            <w:tcBorders>
              <w:left w:val="single" w:color="000000" w:sz="4" w:space="0"/>
              <w:bottom w:val="single" w:color="000000" w:sz="4" w:space="0"/>
              <w:right w:val="single" w:color="000000" w:sz="4" w:space="0"/>
            </w:tcBorders>
            <w:shd w:val="clear" w:color="auto" w:fill="auto"/>
            <w:vAlign w:val="center"/>
          </w:tcPr>
          <w:p w14:paraId="37CAEDF9">
            <w:pPr>
              <w:pStyle w:val="26"/>
              <w:bidi w:val="0"/>
              <w:rPr>
                <w:rFonts w:hint="eastAsia"/>
                <w:color w:val="auto"/>
                <w:highlight w:val="none"/>
                <w:lang w:val="en-US" w:eastAsia="zh-CN"/>
              </w:rPr>
            </w:pPr>
          </w:p>
        </w:tc>
      </w:tr>
      <w:tr w14:paraId="197F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3B1BD">
            <w:pPr>
              <w:pStyle w:val="26"/>
              <w:bidi w:val="0"/>
              <w:rPr>
                <w:rFonts w:hint="eastAsia"/>
                <w:color w:val="auto"/>
                <w:highlight w:val="none"/>
                <w:lang w:val="en-US" w:eastAsia="zh-CN"/>
              </w:rPr>
            </w:pPr>
            <w:r>
              <w:rPr>
                <w:rFonts w:hint="eastAsia"/>
                <w:color w:val="auto"/>
                <w:highlight w:val="none"/>
                <w:lang w:val="en-US" w:eastAsia="zh-CN"/>
              </w:rPr>
              <w:t>磁性模切刀版生产线</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57CF8">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镀铬</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2B199">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12000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5197">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4</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FFB4">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10</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4FB8">
            <w:pPr>
              <w:pStyle w:val="26"/>
              <w:bidi w:val="0"/>
              <w:rPr>
                <w:rFonts w:hint="default"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10</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AEA2">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300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3233">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12000</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948B">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12000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188BF">
            <w:pPr>
              <w:pStyle w:val="26"/>
              <w:bidi w:val="0"/>
              <w:rPr>
                <w:rFonts w:hint="eastAsia" w:ascii="Times New Roman" w:hAnsi="Times New Roman" w:eastAsia="仿宋_GB2312" w:cs="Times New Roman"/>
                <w:color w:val="auto"/>
                <w:kern w:val="2"/>
                <w:sz w:val="21"/>
                <w:szCs w:val="22"/>
                <w:highlight w:val="none"/>
                <w:lang w:val="en-US" w:eastAsia="zh-CN" w:bidi="ar-SA"/>
              </w:rPr>
            </w:pPr>
            <w:r>
              <w:rPr>
                <w:rFonts w:hint="eastAsia"/>
                <w:color w:val="auto"/>
                <w:highlight w:val="none"/>
                <w:lang w:val="en-US" w:eastAsia="zh-CN"/>
              </w:rPr>
              <w:t>是</w:t>
            </w:r>
          </w:p>
        </w:tc>
      </w:tr>
      <w:tr w14:paraId="1946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FB7D">
            <w:pPr>
              <w:pStyle w:val="26"/>
              <w:bidi w:val="0"/>
              <w:rPr>
                <w:rFonts w:hint="default"/>
                <w:color w:val="auto"/>
                <w:highlight w:val="none"/>
                <w:lang w:val="en-US" w:eastAsia="zh-CN"/>
              </w:rPr>
            </w:pPr>
            <w:bookmarkStart w:id="156" w:name="_Toc13522"/>
            <w:r>
              <w:rPr>
                <w:rFonts w:hint="eastAsia"/>
                <w:color w:val="auto"/>
                <w:highlight w:val="none"/>
                <w:lang w:val="en-US" w:eastAsia="zh-CN"/>
              </w:rPr>
              <w:t>热压模板生产线</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6D41">
            <w:pPr>
              <w:pStyle w:val="26"/>
              <w:bidi w:val="0"/>
              <w:rPr>
                <w:rFonts w:hint="default"/>
                <w:color w:val="auto"/>
                <w:highlight w:val="none"/>
                <w:lang w:val="en-US" w:eastAsia="zh-CN"/>
              </w:rPr>
            </w:pPr>
            <w:r>
              <w:rPr>
                <w:rFonts w:hint="eastAsia"/>
                <w:color w:val="auto"/>
                <w:highlight w:val="none"/>
                <w:lang w:val="en-US" w:eastAsia="zh-CN"/>
              </w:rPr>
              <w:t>镀铬</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FD2D">
            <w:pPr>
              <w:pStyle w:val="26"/>
              <w:bidi w:val="0"/>
              <w:rPr>
                <w:rFonts w:hint="default"/>
                <w:color w:val="auto"/>
                <w:highlight w:val="none"/>
                <w:lang w:val="en-US" w:eastAsia="zh-CN"/>
              </w:rPr>
            </w:pPr>
            <w:r>
              <w:rPr>
                <w:rFonts w:hint="eastAsia"/>
                <w:color w:val="auto"/>
                <w:highlight w:val="none"/>
                <w:lang w:val="en-US" w:eastAsia="zh-CN"/>
              </w:rPr>
              <w:t>6000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F030">
            <w:pPr>
              <w:pStyle w:val="26"/>
              <w:bidi w:val="0"/>
              <w:rPr>
                <w:rFonts w:hint="default"/>
                <w:color w:val="auto"/>
                <w:highlight w:val="none"/>
                <w:lang w:val="en-US" w:eastAsia="zh-CN"/>
              </w:rPr>
            </w:pPr>
            <w:r>
              <w:rPr>
                <w:rFonts w:hint="eastAsia"/>
                <w:color w:val="auto"/>
                <w:highlight w:val="none"/>
                <w:lang w:val="en-US" w:eastAsia="zh-CN"/>
              </w:rPr>
              <w:t>4</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1CE5">
            <w:pPr>
              <w:pStyle w:val="26"/>
              <w:bidi w:val="0"/>
              <w:rPr>
                <w:rFonts w:hint="default"/>
                <w:color w:val="auto"/>
                <w:highlight w:val="none"/>
                <w:lang w:val="en-US" w:eastAsia="zh-CN"/>
              </w:rPr>
            </w:pPr>
            <w:r>
              <w:rPr>
                <w:rFonts w:hint="eastAsia"/>
                <w:color w:val="auto"/>
                <w:highlight w:val="none"/>
                <w:lang w:val="en-US" w:eastAsia="zh-CN"/>
              </w:rPr>
              <w:t>5</w:t>
            </w: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B4223">
            <w:pPr>
              <w:pStyle w:val="26"/>
              <w:bidi w:val="0"/>
              <w:rPr>
                <w:rFonts w:hint="default"/>
                <w:color w:val="auto"/>
                <w:highlight w:val="none"/>
                <w:lang w:val="en-US" w:eastAsia="zh-CN"/>
              </w:rPr>
            </w:pPr>
            <w:r>
              <w:rPr>
                <w:rFonts w:hint="eastAsia"/>
                <w:color w:val="auto"/>
                <w:highlight w:val="none"/>
                <w:lang w:val="en-US" w:eastAsia="zh-CN"/>
              </w:rPr>
              <w:t>10</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2FD6">
            <w:pPr>
              <w:pStyle w:val="26"/>
              <w:bidi w:val="0"/>
              <w:rPr>
                <w:rFonts w:hint="default"/>
                <w:color w:val="auto"/>
                <w:highlight w:val="none"/>
                <w:lang w:val="en-US" w:eastAsia="zh-CN"/>
              </w:rPr>
            </w:pPr>
            <w:r>
              <w:rPr>
                <w:rFonts w:hint="eastAsia"/>
                <w:color w:val="auto"/>
                <w:highlight w:val="none"/>
                <w:lang w:val="en-US" w:eastAsia="zh-CN"/>
              </w:rPr>
              <w:t>300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2669">
            <w:pPr>
              <w:pStyle w:val="26"/>
              <w:bidi w:val="0"/>
              <w:rPr>
                <w:rFonts w:hint="default"/>
                <w:color w:val="auto"/>
                <w:highlight w:val="none"/>
                <w:lang w:val="en-US" w:eastAsia="zh-CN"/>
              </w:rPr>
            </w:pPr>
            <w:r>
              <w:rPr>
                <w:rFonts w:hint="eastAsia"/>
                <w:color w:val="auto"/>
                <w:highlight w:val="none"/>
                <w:lang w:val="en-US" w:eastAsia="zh-CN"/>
              </w:rPr>
              <w:t>6000</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9FB6">
            <w:pPr>
              <w:pStyle w:val="26"/>
              <w:bidi w:val="0"/>
              <w:rPr>
                <w:rFonts w:hint="default"/>
                <w:color w:val="auto"/>
                <w:highlight w:val="none"/>
                <w:lang w:val="en-US" w:eastAsia="zh-CN"/>
              </w:rPr>
            </w:pPr>
            <w:r>
              <w:rPr>
                <w:rFonts w:hint="eastAsia"/>
                <w:color w:val="auto"/>
                <w:highlight w:val="none"/>
                <w:lang w:val="en-US" w:eastAsia="zh-CN"/>
              </w:rPr>
              <w:t>6000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DE36">
            <w:pPr>
              <w:pStyle w:val="26"/>
              <w:bidi w:val="0"/>
              <w:rPr>
                <w:rFonts w:hint="default"/>
                <w:color w:val="auto"/>
                <w:highlight w:val="none"/>
                <w:lang w:val="en-US" w:eastAsia="zh-CN"/>
              </w:rPr>
            </w:pPr>
            <w:r>
              <w:rPr>
                <w:rFonts w:hint="eastAsia"/>
                <w:color w:val="auto"/>
                <w:highlight w:val="none"/>
                <w:lang w:val="en-US" w:eastAsia="zh-CN"/>
              </w:rPr>
              <w:t>是</w:t>
            </w:r>
          </w:p>
        </w:tc>
      </w:tr>
    </w:tbl>
    <w:p w14:paraId="78DFD64E">
      <w:pPr>
        <w:pStyle w:val="26"/>
        <w:bidi w:val="0"/>
        <w:jc w:val="both"/>
        <w:rPr>
          <w:rFonts w:hint="eastAsia" w:ascii="Times New Roman" w:hAnsi="Times New Roman" w:cs="Times New Roman"/>
          <w:lang w:val="en-US" w:eastAsia="zh-CN"/>
        </w:rPr>
      </w:pPr>
      <w:r>
        <w:rPr>
          <w:rFonts w:hint="eastAsia" w:ascii="Times New Roman" w:hAnsi="Times New Roman" w:cs="Times New Roman"/>
          <w:lang w:val="en-US" w:eastAsia="zh-CN"/>
        </w:rPr>
        <w:t>备注：①凹印版产能受碱铜限制，故最终产能为碱铜最大产能。</w:t>
      </w:r>
    </w:p>
    <w:p w14:paraId="22361A6B">
      <w:pPr>
        <w:pStyle w:val="4"/>
        <w:rPr>
          <w:color w:val="auto"/>
        </w:rPr>
      </w:pPr>
      <w:bookmarkStart w:id="157" w:name="_Toc14792"/>
      <w:r>
        <w:rPr>
          <w:rFonts w:hint="eastAsia"/>
          <w:color w:val="auto"/>
        </w:rPr>
        <w:t>项目建设必要性</w:t>
      </w:r>
      <w:bookmarkEnd w:id="156"/>
      <w:bookmarkEnd w:id="157"/>
    </w:p>
    <w:p w14:paraId="13F7237D">
      <w:pPr>
        <w:pStyle w:val="46"/>
        <w:bidi w:val="0"/>
        <w:rPr>
          <w:rFonts w:hint="default" w:eastAsia="仿宋_GB2312"/>
          <w:color w:val="auto"/>
          <w:lang w:val="en-US" w:eastAsia="zh-CN"/>
        </w:rPr>
      </w:pPr>
      <w:r>
        <w:rPr>
          <w:rFonts w:hint="eastAsia"/>
          <w:color w:val="auto"/>
          <w:lang w:val="en-US" w:eastAsia="zh-CN"/>
        </w:rPr>
        <w:t>1、增长的市场需求</w:t>
      </w:r>
    </w:p>
    <w:p w14:paraId="0DA68530">
      <w:pPr>
        <w:rPr>
          <w:rFonts w:hint="eastAsia" w:eastAsia="仿宋_GB2312"/>
          <w:color w:val="auto"/>
          <w:lang w:eastAsia="zh-CN"/>
        </w:rPr>
      </w:pPr>
      <w:r>
        <w:rPr>
          <w:rFonts w:hint="eastAsia"/>
          <w:color w:val="auto"/>
        </w:rPr>
        <w:t>随着全球经济的发展，消费者对产品包装的要求越来越高，不仅追求包装的实用性，更注重其美观性和个性化。凹印版辊凭借卓越的印刷质量，能够满足品牌商对高端包装的需求，因此在化妆品、奢侈品、食品饮料等行业得到广泛应用。磁性模切刀版适合模切各类卷筒纸不干胶标签，自粘标签，等印刷包装领域</w:t>
      </w:r>
      <w:r>
        <w:rPr>
          <w:rFonts w:hint="eastAsia"/>
          <w:color w:val="auto"/>
          <w:lang w:eastAsia="zh-CN"/>
        </w:rPr>
        <w:t>。</w:t>
      </w:r>
      <w:r>
        <w:rPr>
          <w:rFonts w:hint="eastAsia"/>
          <w:color w:val="auto"/>
          <w:lang w:val="en-US" w:eastAsia="zh-CN"/>
        </w:rPr>
        <w:t>热压模板主要用于</w:t>
      </w:r>
      <w:r>
        <w:rPr>
          <w:rFonts w:hint="eastAsia"/>
          <w:color w:val="auto"/>
          <w:lang w:eastAsia="zh-CN"/>
        </w:rPr>
        <w:t>人造板与家具装饰，模板表面刻有木纹、石纹、麻面甚至同步对花纹理，一次性完成贴面与压纹，赋予板材耐磨、美观的表面，</w:t>
      </w:r>
      <w:r>
        <w:rPr>
          <w:rFonts w:hint="eastAsia"/>
          <w:color w:val="auto"/>
          <w:lang w:val="en-US" w:eastAsia="zh-CN"/>
        </w:rPr>
        <w:t>市场应用前景广阔</w:t>
      </w:r>
      <w:r>
        <w:rPr>
          <w:rFonts w:hint="eastAsia"/>
          <w:color w:val="auto"/>
          <w:lang w:eastAsia="zh-CN"/>
        </w:rPr>
        <w:t>。</w:t>
      </w:r>
    </w:p>
    <w:p w14:paraId="5D53584A">
      <w:pPr>
        <w:pStyle w:val="46"/>
        <w:bidi w:val="0"/>
        <w:rPr>
          <w:rFonts w:hint="default" w:eastAsia="仿宋_GB2312"/>
          <w:color w:val="auto"/>
          <w:lang w:val="en-US" w:eastAsia="zh-CN"/>
        </w:rPr>
      </w:pPr>
      <w:r>
        <w:rPr>
          <w:rFonts w:hint="eastAsia"/>
          <w:color w:val="auto"/>
          <w:lang w:val="en-US" w:eastAsia="zh-CN"/>
        </w:rPr>
        <w:t>2</w:t>
      </w:r>
      <w:r>
        <w:rPr>
          <w:rFonts w:hint="eastAsia"/>
          <w:color w:val="auto"/>
        </w:rPr>
        <w:t>、产品的先进性</w:t>
      </w:r>
    </w:p>
    <w:p w14:paraId="222914C0">
      <w:pPr>
        <w:rPr>
          <w:rFonts w:hint="eastAsia"/>
          <w:color w:val="auto"/>
        </w:rPr>
      </w:pPr>
      <w:r>
        <w:rPr>
          <w:rFonts w:hint="eastAsia"/>
          <w:color w:val="auto"/>
          <w:lang w:val="en-US" w:eastAsia="zh-CN"/>
        </w:rPr>
        <w:t>本项目引入智能化</w:t>
      </w:r>
      <w:r>
        <w:rPr>
          <w:rFonts w:hint="eastAsia"/>
          <w:color w:val="auto"/>
          <w:lang w:val="en-US" w:eastAsia="zh"/>
        </w:rPr>
        <w:t>生产线</w:t>
      </w:r>
      <w:r>
        <w:rPr>
          <w:rFonts w:hint="eastAsia"/>
          <w:color w:val="auto"/>
          <w:lang w:val="en-US" w:eastAsia="zh-CN"/>
        </w:rPr>
        <w:t>，</w:t>
      </w:r>
      <w:r>
        <w:rPr>
          <w:rFonts w:hint="eastAsia"/>
          <w:color w:val="auto"/>
          <w:lang w:val="en-US" w:eastAsia="zh"/>
        </w:rPr>
        <w:t>配套先进机械加工设备及MES智能生产管理系统，着力推进生产过程智能化，实现工业化与信息化深度融合，优化产品工艺，降低项目能耗，提升产品品质。其利用当今世界上最先进的激光机为工作母机，配套环保清洁型生产自动线，整个生产过程在封闭、无尘的环境中由机械手独立完成，是最新一代PLC全自动管理、可预设远程服务的无人化制版生产线</w:t>
      </w:r>
      <w:r>
        <w:rPr>
          <w:rFonts w:hint="eastAsia"/>
          <w:color w:val="auto"/>
        </w:rPr>
        <w:t>。</w:t>
      </w:r>
    </w:p>
    <w:p w14:paraId="5A66DA12">
      <w:pPr>
        <w:pStyle w:val="4"/>
        <w:rPr>
          <w:color w:val="auto"/>
        </w:rPr>
      </w:pPr>
      <w:bookmarkStart w:id="158" w:name="_Toc16457"/>
      <w:bookmarkStart w:id="159" w:name="_Toc1218"/>
      <w:r>
        <w:rPr>
          <w:rFonts w:hint="eastAsia"/>
          <w:color w:val="auto"/>
          <w:lang w:val="en-US" w:eastAsia="zh-CN"/>
        </w:rPr>
        <w:t>工程</w:t>
      </w:r>
      <w:bookmarkEnd w:id="158"/>
      <w:r>
        <w:rPr>
          <w:rFonts w:hint="eastAsia"/>
          <w:color w:val="auto"/>
          <w:lang w:val="en-US" w:eastAsia="zh-CN"/>
        </w:rPr>
        <w:t>组成</w:t>
      </w:r>
      <w:bookmarkEnd w:id="159"/>
    </w:p>
    <w:p w14:paraId="1FE49789">
      <w:pPr>
        <w:rPr>
          <w:rFonts w:hint="eastAsia"/>
          <w:color w:val="auto"/>
        </w:rPr>
      </w:pPr>
      <w:r>
        <w:rPr>
          <w:rFonts w:hint="eastAsia"/>
          <w:color w:val="auto"/>
        </w:rPr>
        <w:t>本项目主体工程部分：</w:t>
      </w:r>
    </w:p>
    <w:p w14:paraId="26B7084D">
      <w:pPr>
        <w:rPr>
          <w:rFonts w:hint="eastAsia"/>
          <w:color w:val="auto"/>
        </w:rPr>
      </w:pPr>
      <w:r>
        <w:rPr>
          <w:rFonts w:hint="eastAsia"/>
          <w:color w:val="auto"/>
        </w:rPr>
        <w:t>1#、2#车间拆除后，利用拆除原址和北侧料场新建4#厂房。原拆除车间内生产线淘汰更新激光机、车床、研磨机、喷砂机、喷胶机、打样机等设备后迁入新建4#厂房内，现有项目生产线仅进行设备淘汰更新，产能、工艺流程、原辅料均不变。</w:t>
      </w:r>
    </w:p>
    <w:p w14:paraId="4A49D2E9">
      <w:pPr>
        <w:rPr>
          <w:rFonts w:hint="eastAsia"/>
          <w:color w:val="auto"/>
        </w:rPr>
      </w:pPr>
      <w:r>
        <w:rPr>
          <w:rFonts w:hint="eastAsia"/>
          <w:color w:val="auto"/>
        </w:rPr>
        <w:t>1#</w:t>
      </w:r>
      <w:r>
        <w:rPr>
          <w:rFonts w:hint="eastAsia"/>
          <w:color w:val="auto"/>
          <w:lang w:eastAsia="zh-CN"/>
        </w:rPr>
        <w:t>、</w:t>
      </w:r>
      <w:r>
        <w:rPr>
          <w:rFonts w:hint="eastAsia"/>
          <w:color w:val="auto"/>
        </w:rPr>
        <w:t>2#</w:t>
      </w:r>
      <w:r>
        <w:rPr>
          <w:rFonts w:hint="eastAsia"/>
          <w:color w:val="auto"/>
          <w:lang w:val="en-US" w:eastAsia="zh-CN"/>
        </w:rPr>
        <w:t>综合楼保持不变</w:t>
      </w:r>
      <w:r>
        <w:rPr>
          <w:rFonts w:hint="eastAsia"/>
          <w:color w:val="auto"/>
          <w:lang w:eastAsia="zh-CN"/>
        </w:rPr>
        <w:t>；</w:t>
      </w:r>
      <w:r>
        <w:rPr>
          <w:rFonts w:hint="eastAsia"/>
          <w:color w:val="auto"/>
        </w:rPr>
        <w:t>3#车间</w:t>
      </w:r>
      <w:r>
        <w:rPr>
          <w:rFonts w:hint="eastAsia"/>
          <w:color w:val="auto"/>
          <w:lang w:val="en-US" w:eastAsia="zh-CN"/>
        </w:rPr>
        <w:t>原</w:t>
      </w:r>
      <w:r>
        <w:rPr>
          <w:rFonts w:hint="eastAsia"/>
          <w:color w:val="auto"/>
        </w:rPr>
        <w:t>激光雕刻绿色智能化生产线</w:t>
      </w:r>
      <w:r>
        <w:rPr>
          <w:rFonts w:hint="eastAsia"/>
          <w:color w:val="auto"/>
          <w:lang w:val="en-US" w:eastAsia="zh-CN"/>
        </w:rPr>
        <w:t>保持不变</w:t>
      </w:r>
      <w:r>
        <w:rPr>
          <w:rFonts w:hint="eastAsia"/>
          <w:color w:val="auto"/>
          <w:lang w:eastAsia="zh-CN"/>
        </w:rPr>
        <w:t>，</w:t>
      </w:r>
      <w:r>
        <w:rPr>
          <w:rFonts w:hint="eastAsia"/>
          <w:color w:val="auto"/>
          <w:highlight w:val="none"/>
          <w:lang w:val="en-US" w:eastAsia="zh-CN"/>
        </w:rPr>
        <w:t>本次3#车间仅</w:t>
      </w:r>
      <w:r>
        <w:rPr>
          <w:rFonts w:hint="eastAsia"/>
          <w:color w:val="auto"/>
          <w:highlight w:val="none"/>
        </w:rPr>
        <w:t>调整一般固废暂存库位置</w:t>
      </w:r>
      <w:r>
        <w:rPr>
          <w:rFonts w:hint="eastAsia"/>
          <w:color w:val="auto"/>
          <w:highlight w:val="none"/>
          <w:lang w:eastAsia="zh-CN"/>
        </w:rPr>
        <w:t>，</w:t>
      </w:r>
      <w:r>
        <w:rPr>
          <w:rFonts w:hint="eastAsia"/>
          <w:color w:val="auto"/>
          <w:highlight w:val="none"/>
          <w:lang w:val="en-US" w:eastAsia="zh-CN"/>
        </w:rPr>
        <w:t>新增化学品暂存库，废水处理车间内同步新增废水处理设备</w:t>
      </w:r>
      <w:r>
        <w:rPr>
          <w:rFonts w:hint="eastAsia"/>
          <w:color w:val="auto"/>
          <w:highlight w:val="none"/>
        </w:rPr>
        <w:t>。</w:t>
      </w:r>
    </w:p>
    <w:p w14:paraId="4908B8E4">
      <w:pPr>
        <w:rPr>
          <w:rFonts w:hint="eastAsia"/>
          <w:color w:val="auto"/>
        </w:rPr>
      </w:pPr>
    </w:p>
    <w:p w14:paraId="077D07A2">
      <w:pPr>
        <w:pStyle w:val="25"/>
        <w:bidi w:val="0"/>
        <w:rPr>
          <w:rFonts w:ascii="Times New Roman" w:hAnsi="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496D662">
      <w:pPr>
        <w:pStyle w:val="25"/>
        <w:bidi w:val="0"/>
        <w:rPr>
          <w:rFonts w:hint="eastAsia" w:ascii="Times New Roman" w:hAnsi="Times New Roman"/>
          <w:color w:val="auto"/>
          <w:lang w:val="en-US" w:eastAsia="zh-CN"/>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4.1</w:t>
      </w:r>
      <w:r>
        <w:rPr>
          <w:rFonts w:ascii="Times New Roman" w:hAnsi="Times New Roman"/>
          <w:color w:val="auto"/>
        </w:rPr>
        <w:fldChar w:fldCharType="end"/>
      </w:r>
      <w:r>
        <w:rPr>
          <w:rFonts w:hint="eastAsia" w:ascii="Times New Roman" w:hAnsi="Times New Roman"/>
          <w:color w:val="auto"/>
          <w:lang w:eastAsia="zh-CN"/>
        </w:rPr>
        <w:t>-</w:t>
      </w:r>
      <w:r>
        <w:rPr>
          <w:rFonts w:ascii="Times New Roman" w:hAnsi="Times New Roman"/>
          <w:color w:val="auto"/>
        </w:rPr>
        <w:fldChar w:fldCharType="begin"/>
      </w:r>
      <w:r>
        <w:rPr>
          <w:rFonts w:ascii="Times New Roman" w:hAnsi="Times New Roman"/>
          <w:color w:val="auto"/>
        </w:rPr>
        <w:instrText xml:space="preserve"> SEQ 表 \* ARABIC \s 2 </w:instrText>
      </w:r>
      <w:r>
        <w:rPr>
          <w:rFonts w:ascii="Times New Roman" w:hAnsi="Times New Roman"/>
          <w:color w:val="auto"/>
        </w:rPr>
        <w:fldChar w:fldCharType="separate"/>
      </w:r>
      <w:r>
        <w:rPr>
          <w:rFonts w:ascii="Times New Roman" w:hAnsi="Times New Roman"/>
          <w:color w:val="auto"/>
        </w:rPr>
        <w:t>6</w:t>
      </w:r>
      <w:r>
        <w:rPr>
          <w:rFonts w:ascii="Times New Roman" w:hAnsi="Times New Roman"/>
          <w:color w:val="auto"/>
        </w:rPr>
        <w:fldChar w:fldCharType="end"/>
      </w:r>
      <w:r>
        <w:rPr>
          <w:rFonts w:hint="eastAsia" w:ascii="Times New Roman" w:hAnsi="Times New Roman"/>
          <w:color w:val="auto"/>
          <w:lang w:val="en-US" w:eastAsia="zh-CN"/>
        </w:rPr>
        <w:t>本项目建设内容一览表</w:t>
      </w:r>
    </w:p>
    <w:tbl>
      <w:tblPr>
        <w:tblStyle w:val="1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64"/>
        <w:gridCol w:w="1071"/>
        <w:gridCol w:w="1085"/>
        <w:gridCol w:w="1635"/>
        <w:gridCol w:w="227"/>
        <w:gridCol w:w="1863"/>
        <w:gridCol w:w="3122"/>
        <w:gridCol w:w="2060"/>
        <w:gridCol w:w="1936"/>
      </w:tblGrid>
      <w:tr w14:paraId="6506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410" w:type="pct"/>
            <w:vMerge w:val="restart"/>
            <w:shd w:val="clear" w:color="auto" w:fill="auto"/>
            <w:vAlign w:val="center"/>
          </w:tcPr>
          <w:p w14:paraId="202ECBDA">
            <w:pPr>
              <w:pStyle w:val="36"/>
              <w:bidi w:val="0"/>
              <w:rPr>
                <w:lang w:val="en-US" w:eastAsia="zh-CN"/>
              </w:rPr>
            </w:pPr>
            <w:r>
              <w:rPr>
                <w:rFonts w:hint="eastAsia"/>
                <w:lang w:val="en-US" w:eastAsia="zh-CN"/>
              </w:rPr>
              <w:t>类别</w:t>
            </w:r>
          </w:p>
        </w:tc>
        <w:tc>
          <w:tcPr>
            <w:tcW w:w="761" w:type="pct"/>
            <w:gridSpan w:val="2"/>
            <w:vMerge w:val="restart"/>
            <w:shd w:val="clear" w:color="auto" w:fill="auto"/>
            <w:vAlign w:val="center"/>
          </w:tcPr>
          <w:p w14:paraId="6CD6F193">
            <w:pPr>
              <w:pStyle w:val="36"/>
              <w:bidi w:val="0"/>
              <w:rPr>
                <w:rFonts w:hint="eastAsia"/>
                <w:lang w:val="en-US" w:eastAsia="zh-CN"/>
              </w:rPr>
            </w:pPr>
            <w:r>
              <w:rPr>
                <w:rFonts w:hint="eastAsia"/>
                <w:lang w:val="en-US" w:eastAsia="zh-CN"/>
              </w:rPr>
              <w:t>建设名称</w:t>
            </w:r>
          </w:p>
        </w:tc>
        <w:tc>
          <w:tcPr>
            <w:tcW w:w="3144" w:type="pct"/>
            <w:gridSpan w:val="5"/>
            <w:shd w:val="clear" w:color="auto" w:fill="auto"/>
            <w:vAlign w:val="center"/>
          </w:tcPr>
          <w:p w14:paraId="0A78511A">
            <w:pPr>
              <w:pStyle w:val="36"/>
              <w:bidi w:val="0"/>
              <w:rPr>
                <w:rFonts w:hint="eastAsia"/>
                <w:lang w:val="en-US" w:eastAsia="zh-CN"/>
              </w:rPr>
            </w:pPr>
            <w:r>
              <w:rPr>
                <w:rFonts w:hint="eastAsia"/>
                <w:lang w:val="en-US" w:eastAsia="zh-CN"/>
              </w:rPr>
              <w:t>建设内容</w:t>
            </w:r>
          </w:p>
        </w:tc>
        <w:tc>
          <w:tcPr>
            <w:tcW w:w="683" w:type="pct"/>
            <w:vMerge w:val="restart"/>
            <w:shd w:val="clear" w:color="auto" w:fill="auto"/>
            <w:vAlign w:val="center"/>
          </w:tcPr>
          <w:p w14:paraId="491A9F5C">
            <w:pPr>
              <w:pStyle w:val="36"/>
              <w:bidi w:val="0"/>
              <w:rPr>
                <w:rFonts w:hint="default"/>
                <w:lang w:val="en-US" w:eastAsia="zh-CN"/>
              </w:rPr>
            </w:pPr>
            <w:r>
              <w:rPr>
                <w:rFonts w:hint="eastAsia"/>
                <w:lang w:val="en-US" w:eastAsia="zh-CN"/>
              </w:rPr>
              <w:t>备注</w:t>
            </w:r>
          </w:p>
        </w:tc>
      </w:tr>
      <w:tr w14:paraId="2333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410" w:type="pct"/>
            <w:vMerge w:val="continue"/>
            <w:shd w:val="clear" w:color="auto" w:fill="auto"/>
            <w:vAlign w:val="center"/>
          </w:tcPr>
          <w:p w14:paraId="69E33764">
            <w:pPr>
              <w:pStyle w:val="36"/>
              <w:bidi w:val="0"/>
              <w:rPr>
                <w:rFonts w:hint="eastAsia"/>
                <w:lang w:val="en-US" w:eastAsia="zh-CN"/>
              </w:rPr>
            </w:pPr>
          </w:p>
        </w:tc>
        <w:tc>
          <w:tcPr>
            <w:tcW w:w="761" w:type="pct"/>
            <w:gridSpan w:val="2"/>
            <w:vMerge w:val="continue"/>
            <w:shd w:val="clear" w:color="auto" w:fill="auto"/>
            <w:vAlign w:val="center"/>
          </w:tcPr>
          <w:p w14:paraId="73394B29">
            <w:pPr>
              <w:pStyle w:val="36"/>
              <w:bidi w:val="0"/>
              <w:rPr>
                <w:rFonts w:hint="eastAsia"/>
                <w:lang w:val="en-US" w:eastAsia="zh-CN"/>
              </w:rPr>
            </w:pPr>
          </w:p>
        </w:tc>
        <w:tc>
          <w:tcPr>
            <w:tcW w:w="1315" w:type="pct"/>
            <w:gridSpan w:val="3"/>
            <w:shd w:val="clear" w:color="auto" w:fill="auto"/>
            <w:vAlign w:val="center"/>
          </w:tcPr>
          <w:p w14:paraId="1EC9FF83">
            <w:pPr>
              <w:pStyle w:val="36"/>
              <w:bidi w:val="0"/>
              <w:rPr>
                <w:rFonts w:hint="default"/>
                <w:lang w:val="en-US" w:eastAsia="zh-CN"/>
              </w:rPr>
            </w:pPr>
            <w:r>
              <w:rPr>
                <w:rFonts w:hint="eastAsia"/>
                <w:lang w:val="en-US" w:eastAsia="zh-CN"/>
              </w:rPr>
              <w:t>现有项目</w:t>
            </w:r>
          </w:p>
        </w:tc>
        <w:tc>
          <w:tcPr>
            <w:tcW w:w="1102" w:type="pct"/>
            <w:shd w:val="clear" w:color="auto" w:fill="auto"/>
            <w:vAlign w:val="center"/>
          </w:tcPr>
          <w:p w14:paraId="466D5068">
            <w:pPr>
              <w:pStyle w:val="36"/>
              <w:bidi w:val="0"/>
              <w:rPr>
                <w:rFonts w:hint="default"/>
                <w:lang w:val="en-US" w:eastAsia="zh-CN"/>
              </w:rPr>
            </w:pPr>
            <w:r>
              <w:rPr>
                <w:rFonts w:hint="eastAsia"/>
                <w:lang w:val="en-US" w:eastAsia="zh-CN"/>
              </w:rPr>
              <w:t>本项目建设后全厂</w:t>
            </w:r>
          </w:p>
        </w:tc>
        <w:tc>
          <w:tcPr>
            <w:tcW w:w="727" w:type="pct"/>
            <w:shd w:val="clear" w:color="auto" w:fill="auto"/>
            <w:vAlign w:val="center"/>
          </w:tcPr>
          <w:p w14:paraId="5D76929D">
            <w:pPr>
              <w:pStyle w:val="36"/>
              <w:bidi w:val="0"/>
              <w:rPr>
                <w:rFonts w:hint="default"/>
                <w:lang w:val="en-US" w:eastAsia="zh-CN"/>
              </w:rPr>
            </w:pPr>
            <w:r>
              <w:rPr>
                <w:rFonts w:hint="eastAsia"/>
                <w:lang w:val="en-US" w:eastAsia="zh-CN"/>
              </w:rPr>
              <w:t>变化情况</w:t>
            </w:r>
          </w:p>
        </w:tc>
        <w:tc>
          <w:tcPr>
            <w:tcW w:w="683" w:type="pct"/>
            <w:vMerge w:val="continue"/>
            <w:shd w:val="clear" w:color="auto" w:fill="auto"/>
            <w:vAlign w:val="center"/>
          </w:tcPr>
          <w:p w14:paraId="7299D8D7">
            <w:pPr>
              <w:pStyle w:val="36"/>
              <w:bidi w:val="0"/>
              <w:rPr>
                <w:rFonts w:hint="eastAsia"/>
                <w:lang w:val="en-US" w:eastAsia="zh-CN"/>
              </w:rPr>
            </w:pPr>
          </w:p>
        </w:tc>
      </w:tr>
      <w:tr w14:paraId="0A58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410" w:type="pct"/>
            <w:vMerge w:val="restart"/>
            <w:shd w:val="clear" w:color="auto" w:fill="auto"/>
            <w:vAlign w:val="center"/>
          </w:tcPr>
          <w:p w14:paraId="68949601">
            <w:pPr>
              <w:pStyle w:val="26"/>
              <w:bidi w:val="0"/>
              <w:rPr>
                <w:rFonts w:hint="eastAsia"/>
                <w:lang w:val="en-US" w:eastAsia="zh-CN"/>
              </w:rPr>
            </w:pPr>
            <w:r>
              <w:rPr>
                <w:rFonts w:hint="eastAsia"/>
                <w:lang w:val="en-US" w:eastAsia="zh-CN"/>
              </w:rPr>
              <w:t>主体工程</w:t>
            </w:r>
          </w:p>
        </w:tc>
        <w:tc>
          <w:tcPr>
            <w:tcW w:w="761" w:type="pct"/>
            <w:gridSpan w:val="2"/>
            <w:vMerge w:val="restart"/>
            <w:shd w:val="clear" w:color="auto" w:fill="auto"/>
            <w:vAlign w:val="center"/>
          </w:tcPr>
          <w:p w14:paraId="6E6EE48D">
            <w:pPr>
              <w:pStyle w:val="26"/>
              <w:bidi w:val="0"/>
              <w:rPr>
                <w:rFonts w:hint="default"/>
                <w:lang w:val="en-US" w:eastAsia="zh-CN"/>
              </w:rPr>
            </w:pPr>
            <w:r>
              <w:rPr>
                <w:rFonts w:hint="eastAsia"/>
                <w:lang w:val="en-US" w:eastAsia="zh-CN"/>
              </w:rPr>
              <w:t>4#车间</w:t>
            </w:r>
          </w:p>
        </w:tc>
        <w:tc>
          <w:tcPr>
            <w:tcW w:w="657" w:type="pct"/>
            <w:gridSpan w:val="2"/>
            <w:shd w:val="clear" w:color="auto" w:fill="auto"/>
            <w:vAlign w:val="center"/>
          </w:tcPr>
          <w:p w14:paraId="58DE5613">
            <w:pPr>
              <w:pStyle w:val="26"/>
              <w:bidi w:val="0"/>
              <w:rPr>
                <w:rFonts w:hint="eastAsia"/>
                <w:lang w:val="en-US" w:eastAsia="zh-CN"/>
              </w:rPr>
            </w:pPr>
            <w:r>
              <w:rPr>
                <w:rFonts w:hint="default"/>
                <w:lang w:val="en-US" w:eastAsia="zh-CN"/>
              </w:rPr>
              <w:t>1#</w:t>
            </w:r>
            <w:r>
              <w:rPr>
                <w:rFonts w:hint="eastAsia"/>
                <w:lang w:val="en-US" w:eastAsia="zh-CN"/>
              </w:rPr>
              <w:t>车间（2786.34m2）</w:t>
            </w:r>
          </w:p>
        </w:tc>
        <w:tc>
          <w:tcPr>
            <w:tcW w:w="657" w:type="pct"/>
            <w:shd w:val="clear" w:color="auto" w:fill="auto"/>
            <w:vAlign w:val="center"/>
          </w:tcPr>
          <w:p w14:paraId="6622C67B">
            <w:pPr>
              <w:pStyle w:val="26"/>
              <w:bidi w:val="0"/>
              <w:rPr>
                <w:rFonts w:hint="eastAsia"/>
                <w:lang w:val="en-US" w:eastAsia="zh-CN"/>
              </w:rPr>
            </w:pPr>
            <w:r>
              <w:rPr>
                <w:rFonts w:hint="eastAsia"/>
                <w:lang w:val="en-US" w:eastAsia="zh-CN"/>
              </w:rPr>
              <w:t>1 条自动电镀生产线，年处理加工 3250 支压纹版辊，总电镀面积约 72259m2/a</w:t>
            </w:r>
          </w:p>
        </w:tc>
        <w:tc>
          <w:tcPr>
            <w:tcW w:w="1102" w:type="pct"/>
            <w:vMerge w:val="restart"/>
            <w:shd w:val="clear" w:color="auto" w:fill="auto"/>
            <w:vAlign w:val="center"/>
          </w:tcPr>
          <w:p w14:paraId="00BB1F10">
            <w:pPr>
              <w:pStyle w:val="26"/>
              <w:bidi w:val="0"/>
              <w:rPr>
                <w:rFonts w:hint="default"/>
                <w:lang w:val="en-US" w:eastAsia="zh-CN"/>
              </w:rPr>
            </w:pPr>
            <w:r>
              <w:rPr>
                <w:rFonts w:hint="eastAsia"/>
                <w:lang w:val="en-US" w:eastAsia="zh-CN"/>
              </w:rPr>
              <w:t>共4层（20400m2）：一层布置机加工设备；磁性模切刀版雕刻机平面磨等设备；</w:t>
            </w:r>
          </w:p>
          <w:p w14:paraId="2FCEBD0C">
            <w:pPr>
              <w:pStyle w:val="26"/>
              <w:bidi w:val="0"/>
              <w:rPr>
                <w:rFonts w:hint="default"/>
                <w:lang w:val="en-US" w:eastAsia="zh-CN"/>
              </w:rPr>
            </w:pPr>
            <w:r>
              <w:rPr>
                <w:rFonts w:hint="eastAsia"/>
                <w:lang w:val="en-US" w:eastAsia="zh-CN"/>
              </w:rPr>
              <w:t>二层布置1条压纹版辊自动电镀线；1条热压模版生产线和1条磁性模切刀生产线</w:t>
            </w:r>
          </w:p>
          <w:p w14:paraId="1D0126BC">
            <w:pPr>
              <w:pStyle w:val="26"/>
              <w:bidi w:val="0"/>
              <w:rPr>
                <w:rFonts w:hint="default"/>
                <w:lang w:val="en-US" w:eastAsia="zh-CN"/>
              </w:rPr>
            </w:pPr>
            <w:r>
              <w:rPr>
                <w:rFonts w:hint="eastAsia"/>
                <w:lang w:val="en-US" w:eastAsia="zh-CN"/>
              </w:rPr>
              <w:t>三层和四层分别布置3条凹印版生产线，共6条；</w:t>
            </w:r>
          </w:p>
        </w:tc>
        <w:tc>
          <w:tcPr>
            <w:tcW w:w="727" w:type="pct"/>
            <w:vMerge w:val="restart"/>
            <w:shd w:val="clear" w:color="auto" w:fill="auto"/>
            <w:vAlign w:val="center"/>
          </w:tcPr>
          <w:p w14:paraId="7F9F58E9">
            <w:pPr>
              <w:pStyle w:val="26"/>
              <w:bidi w:val="0"/>
              <w:rPr>
                <w:rFonts w:hint="default"/>
                <w:lang w:val="en-US" w:eastAsia="zh-CN"/>
              </w:rPr>
            </w:pPr>
            <w:r>
              <w:rPr>
                <w:rFonts w:hint="eastAsia"/>
                <w:lang w:val="en-US" w:eastAsia="zh-CN"/>
              </w:rPr>
              <w:t>1#、2#车间拆除后，利用拆除原址和北侧料场新建4#厂房。</w:t>
            </w:r>
          </w:p>
        </w:tc>
        <w:tc>
          <w:tcPr>
            <w:tcW w:w="683" w:type="pct"/>
            <w:vMerge w:val="restart"/>
            <w:shd w:val="clear" w:color="auto" w:fill="auto"/>
            <w:vAlign w:val="center"/>
          </w:tcPr>
          <w:p w14:paraId="3146B896">
            <w:pPr>
              <w:pStyle w:val="26"/>
              <w:bidi w:val="0"/>
              <w:rPr>
                <w:rFonts w:hint="default"/>
                <w:lang w:val="en-US" w:eastAsia="zh-CN"/>
              </w:rPr>
            </w:pPr>
            <w:r>
              <w:rPr>
                <w:rFonts w:hint="eastAsia"/>
                <w:lang w:val="en-US" w:eastAsia="zh-CN"/>
              </w:rPr>
              <w:t>原拆除车间内生产线淘汰更新部分设备迁入新建4#厂房内；本项目新增8条智能化制版生产线。</w:t>
            </w:r>
          </w:p>
        </w:tc>
      </w:tr>
      <w:tr w14:paraId="5348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10" w:type="pct"/>
            <w:vMerge w:val="continue"/>
            <w:shd w:val="clear" w:color="auto" w:fill="auto"/>
            <w:vAlign w:val="center"/>
          </w:tcPr>
          <w:p w14:paraId="708CCE34">
            <w:pPr>
              <w:pStyle w:val="26"/>
              <w:bidi w:val="0"/>
              <w:rPr>
                <w:rFonts w:hint="eastAsia"/>
                <w:lang w:val="en-US" w:eastAsia="zh-CN"/>
              </w:rPr>
            </w:pPr>
          </w:p>
        </w:tc>
        <w:tc>
          <w:tcPr>
            <w:tcW w:w="761" w:type="pct"/>
            <w:gridSpan w:val="2"/>
            <w:vMerge w:val="continue"/>
            <w:shd w:val="clear" w:color="auto" w:fill="auto"/>
            <w:vAlign w:val="center"/>
          </w:tcPr>
          <w:p w14:paraId="30FCD4ED">
            <w:pPr>
              <w:pStyle w:val="26"/>
              <w:bidi w:val="0"/>
              <w:rPr>
                <w:rFonts w:hint="default"/>
                <w:lang w:val="en-US" w:eastAsia="zh-CN"/>
              </w:rPr>
            </w:pPr>
          </w:p>
        </w:tc>
        <w:tc>
          <w:tcPr>
            <w:tcW w:w="657" w:type="pct"/>
            <w:gridSpan w:val="2"/>
            <w:shd w:val="clear" w:color="auto" w:fill="auto"/>
            <w:vAlign w:val="center"/>
          </w:tcPr>
          <w:p w14:paraId="12B60354">
            <w:pPr>
              <w:pStyle w:val="26"/>
              <w:bidi w:val="0"/>
              <w:rPr>
                <w:rFonts w:hint="default"/>
                <w:lang w:val="en-US" w:eastAsia="zh-CN"/>
              </w:rPr>
            </w:pPr>
            <w:r>
              <w:rPr>
                <w:rFonts w:hint="default"/>
                <w:lang w:val="en-US" w:eastAsia="zh-CN"/>
              </w:rPr>
              <w:t>2#</w:t>
            </w:r>
            <w:r>
              <w:rPr>
                <w:rFonts w:hint="eastAsia"/>
                <w:lang w:val="en-US" w:eastAsia="zh-CN"/>
              </w:rPr>
              <w:t>车间（844.62m2）</w:t>
            </w:r>
          </w:p>
        </w:tc>
        <w:tc>
          <w:tcPr>
            <w:tcW w:w="657" w:type="pct"/>
            <w:shd w:val="clear" w:color="auto" w:fill="auto"/>
            <w:vAlign w:val="center"/>
          </w:tcPr>
          <w:p w14:paraId="181CA8B5">
            <w:pPr>
              <w:pStyle w:val="26"/>
              <w:bidi w:val="0"/>
              <w:rPr>
                <w:rFonts w:hint="eastAsia"/>
                <w:lang w:val="en-US" w:eastAsia="zh-CN"/>
              </w:rPr>
            </w:pPr>
            <w:r>
              <w:rPr>
                <w:rFonts w:hint="eastAsia"/>
                <w:lang w:val="en-US" w:eastAsia="zh-CN"/>
              </w:rPr>
              <w:t>机加工车间</w:t>
            </w:r>
          </w:p>
        </w:tc>
        <w:tc>
          <w:tcPr>
            <w:tcW w:w="1102" w:type="pct"/>
            <w:vMerge w:val="continue"/>
            <w:shd w:val="clear" w:color="auto" w:fill="auto"/>
            <w:vAlign w:val="center"/>
          </w:tcPr>
          <w:p w14:paraId="3B7C7E76">
            <w:pPr>
              <w:pStyle w:val="26"/>
              <w:bidi w:val="0"/>
              <w:rPr>
                <w:rFonts w:hint="eastAsia"/>
                <w:lang w:val="en-US" w:eastAsia="zh-CN"/>
              </w:rPr>
            </w:pPr>
          </w:p>
        </w:tc>
        <w:tc>
          <w:tcPr>
            <w:tcW w:w="727" w:type="pct"/>
            <w:vMerge w:val="continue"/>
            <w:shd w:val="clear" w:color="auto" w:fill="auto"/>
            <w:vAlign w:val="center"/>
          </w:tcPr>
          <w:p w14:paraId="53CA1E4D">
            <w:pPr>
              <w:pStyle w:val="26"/>
              <w:bidi w:val="0"/>
              <w:rPr>
                <w:rFonts w:hint="eastAsia"/>
                <w:lang w:val="en-US" w:eastAsia="zh-CN"/>
              </w:rPr>
            </w:pPr>
          </w:p>
        </w:tc>
        <w:tc>
          <w:tcPr>
            <w:tcW w:w="683" w:type="pct"/>
            <w:vMerge w:val="continue"/>
            <w:shd w:val="clear" w:color="auto" w:fill="auto"/>
            <w:vAlign w:val="center"/>
          </w:tcPr>
          <w:p w14:paraId="173D664D">
            <w:pPr>
              <w:pStyle w:val="26"/>
              <w:bidi w:val="0"/>
              <w:rPr>
                <w:rFonts w:hint="eastAsia"/>
                <w:lang w:val="en-US" w:eastAsia="zh-CN"/>
              </w:rPr>
            </w:pPr>
          </w:p>
        </w:tc>
      </w:tr>
      <w:tr w14:paraId="0C62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10" w:type="pct"/>
            <w:vMerge w:val="continue"/>
            <w:shd w:val="clear" w:color="auto" w:fill="auto"/>
            <w:vAlign w:val="center"/>
          </w:tcPr>
          <w:p w14:paraId="5DBCE6ED">
            <w:pPr>
              <w:pStyle w:val="26"/>
              <w:bidi w:val="0"/>
              <w:rPr>
                <w:rFonts w:hint="eastAsia"/>
                <w:lang w:val="en-US" w:eastAsia="zh-CN"/>
              </w:rPr>
            </w:pPr>
          </w:p>
        </w:tc>
        <w:tc>
          <w:tcPr>
            <w:tcW w:w="761" w:type="pct"/>
            <w:gridSpan w:val="2"/>
            <w:shd w:val="clear" w:color="auto" w:fill="auto"/>
            <w:vAlign w:val="center"/>
          </w:tcPr>
          <w:p w14:paraId="6A1D781C">
            <w:pPr>
              <w:pStyle w:val="26"/>
              <w:bidi w:val="0"/>
              <w:rPr>
                <w:rFonts w:hint="default"/>
                <w:lang w:val="en-US" w:eastAsia="zh-CN"/>
              </w:rPr>
            </w:pPr>
            <w:r>
              <w:rPr>
                <w:rFonts w:hint="default"/>
                <w:lang w:val="en-US" w:eastAsia="zh-CN"/>
              </w:rPr>
              <w:t>3#</w:t>
            </w:r>
            <w:r>
              <w:rPr>
                <w:rFonts w:hint="eastAsia"/>
                <w:lang w:val="en-US" w:eastAsia="zh-CN"/>
              </w:rPr>
              <w:t>车间</w:t>
            </w:r>
          </w:p>
        </w:tc>
        <w:tc>
          <w:tcPr>
            <w:tcW w:w="1315" w:type="pct"/>
            <w:gridSpan w:val="3"/>
            <w:shd w:val="clear" w:color="auto" w:fill="auto"/>
            <w:vAlign w:val="center"/>
          </w:tcPr>
          <w:p w14:paraId="2D062EDE">
            <w:pPr>
              <w:pStyle w:val="26"/>
              <w:bidi w:val="0"/>
              <w:rPr>
                <w:rFonts w:hint="eastAsia"/>
                <w:lang w:val="en-US" w:eastAsia="zh-CN"/>
              </w:rPr>
            </w:pPr>
            <w:r>
              <w:rPr>
                <w:rFonts w:hint="eastAsia"/>
                <w:lang w:val="en-US" w:eastAsia="zh-CN"/>
              </w:rPr>
              <w:t>设置机加工车间、污水处理站、危废暂存仓库；1条激光雕刻绿色智能化生产线及电镀线，年处理加工约 8500支微精版，总电镀面积约 98367m2/a</w:t>
            </w:r>
          </w:p>
        </w:tc>
        <w:tc>
          <w:tcPr>
            <w:tcW w:w="1102" w:type="pct"/>
            <w:shd w:val="clear" w:color="auto" w:fill="auto"/>
            <w:vAlign w:val="center"/>
          </w:tcPr>
          <w:p w14:paraId="5B38CFD2">
            <w:pPr>
              <w:pStyle w:val="26"/>
              <w:bidi w:val="0"/>
              <w:rPr>
                <w:rFonts w:hint="eastAsia"/>
                <w:lang w:val="en-US" w:eastAsia="zh-CN"/>
              </w:rPr>
            </w:pPr>
            <w:r>
              <w:rPr>
                <w:rFonts w:hint="eastAsia"/>
                <w:lang w:val="en-US" w:eastAsia="zh-CN"/>
              </w:rPr>
              <w:t>设置机加工车间、污水处理站、危废暂存仓库；1条激光雕刻绿色智能化生产线及电镀线，年处理加工约 8500支微精版，总电镀面积约 98367m2/a</w:t>
            </w:r>
          </w:p>
        </w:tc>
        <w:tc>
          <w:tcPr>
            <w:tcW w:w="727" w:type="pct"/>
            <w:shd w:val="clear" w:color="auto" w:fill="auto"/>
            <w:vAlign w:val="center"/>
          </w:tcPr>
          <w:p w14:paraId="604E6E0C">
            <w:pPr>
              <w:pStyle w:val="26"/>
              <w:bidi w:val="0"/>
              <w:rPr>
                <w:rFonts w:hint="default"/>
                <w:lang w:val="en-US" w:eastAsia="zh-CN"/>
              </w:rPr>
            </w:pPr>
            <w:r>
              <w:rPr>
                <w:rFonts w:hint="eastAsia"/>
                <w:lang w:val="en-US" w:eastAsia="zh-CN"/>
              </w:rPr>
              <w:t>污水站扩建</w:t>
            </w:r>
          </w:p>
        </w:tc>
        <w:tc>
          <w:tcPr>
            <w:tcW w:w="683" w:type="pct"/>
            <w:shd w:val="clear" w:color="auto" w:fill="auto"/>
            <w:vAlign w:val="center"/>
          </w:tcPr>
          <w:p w14:paraId="694A2C82">
            <w:pPr>
              <w:pStyle w:val="26"/>
              <w:bidi w:val="0"/>
              <w:rPr>
                <w:rFonts w:hint="default"/>
                <w:lang w:val="en-US" w:eastAsia="zh-CN"/>
              </w:rPr>
            </w:pPr>
            <w:r>
              <w:rPr>
                <w:rFonts w:hint="eastAsia"/>
                <w:lang w:val="en-US" w:eastAsia="zh-CN"/>
              </w:rPr>
              <w:t>现有微精版生产线不变</w:t>
            </w:r>
          </w:p>
        </w:tc>
      </w:tr>
      <w:tr w14:paraId="7A03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10" w:type="pct"/>
            <w:vMerge w:val="restart"/>
            <w:shd w:val="clear" w:color="auto" w:fill="auto"/>
            <w:vAlign w:val="center"/>
          </w:tcPr>
          <w:p w14:paraId="0F191230">
            <w:pPr>
              <w:pStyle w:val="26"/>
              <w:bidi w:val="0"/>
              <w:rPr>
                <w:rFonts w:hint="eastAsia"/>
                <w:lang w:val="en-US" w:eastAsia="zh-CN"/>
              </w:rPr>
            </w:pPr>
            <w:r>
              <w:rPr>
                <w:rFonts w:hint="eastAsia"/>
                <w:lang w:val="en-US" w:eastAsia="zh-CN"/>
              </w:rPr>
              <w:t>贮运工程</w:t>
            </w:r>
          </w:p>
        </w:tc>
        <w:tc>
          <w:tcPr>
            <w:tcW w:w="761" w:type="pct"/>
            <w:gridSpan w:val="2"/>
            <w:shd w:val="clear" w:color="auto" w:fill="auto"/>
            <w:vAlign w:val="center"/>
          </w:tcPr>
          <w:p w14:paraId="37AC8138">
            <w:pPr>
              <w:pStyle w:val="26"/>
              <w:bidi w:val="0"/>
              <w:rPr>
                <w:rFonts w:hint="eastAsia"/>
                <w:lang w:val="en-US" w:eastAsia="zh-CN"/>
              </w:rPr>
            </w:pPr>
            <w:r>
              <w:rPr>
                <w:rFonts w:hint="eastAsia"/>
                <w:lang w:val="en-US" w:eastAsia="zh-CN"/>
              </w:rPr>
              <w:t>化学品暂存库</w:t>
            </w:r>
          </w:p>
        </w:tc>
        <w:tc>
          <w:tcPr>
            <w:tcW w:w="1315" w:type="pct"/>
            <w:gridSpan w:val="3"/>
            <w:shd w:val="clear" w:color="auto" w:fill="auto"/>
            <w:vAlign w:val="center"/>
          </w:tcPr>
          <w:p w14:paraId="7B8FB0CB">
            <w:pPr>
              <w:pStyle w:val="26"/>
              <w:bidi w:val="0"/>
              <w:rPr>
                <w:rFonts w:hint="eastAsia"/>
                <w:lang w:val="en-US" w:eastAsia="zh-CN"/>
              </w:rPr>
            </w:pPr>
            <w:r>
              <w:rPr>
                <w:rFonts w:hint="eastAsia"/>
                <w:lang w:val="en-US" w:eastAsia="zh-CN"/>
              </w:rPr>
              <w:t>建筑面积60</w:t>
            </w:r>
            <w:r>
              <w:rPr>
                <w:rFonts w:hint="default"/>
                <w:lang w:val="en-US" w:eastAsia="zh-CN"/>
              </w:rPr>
              <w:t>m</w:t>
            </w:r>
            <w:r>
              <w:rPr>
                <w:lang w:val="en-US" w:eastAsia="zh-CN"/>
              </w:rPr>
              <w:t>2</w:t>
            </w:r>
          </w:p>
        </w:tc>
        <w:tc>
          <w:tcPr>
            <w:tcW w:w="1102" w:type="pct"/>
            <w:shd w:val="clear" w:color="auto" w:fill="auto"/>
            <w:vAlign w:val="center"/>
          </w:tcPr>
          <w:p w14:paraId="510294FC">
            <w:pPr>
              <w:pStyle w:val="26"/>
              <w:bidi w:val="0"/>
              <w:rPr>
                <w:rFonts w:hint="eastAsia"/>
                <w:lang w:val="en-US" w:eastAsia="zh-CN"/>
              </w:rPr>
            </w:pPr>
            <w:r>
              <w:rPr>
                <w:rFonts w:hint="eastAsia"/>
                <w:lang w:val="en-US" w:eastAsia="zh-CN"/>
              </w:rPr>
              <w:t>建筑面积94m2</w:t>
            </w:r>
          </w:p>
        </w:tc>
        <w:tc>
          <w:tcPr>
            <w:tcW w:w="727" w:type="pct"/>
            <w:shd w:val="clear" w:color="auto" w:fill="auto"/>
            <w:vAlign w:val="center"/>
          </w:tcPr>
          <w:p w14:paraId="74E5DDD0">
            <w:pPr>
              <w:pStyle w:val="26"/>
              <w:bidi w:val="0"/>
              <w:rPr>
                <w:rFonts w:hint="default"/>
                <w:lang w:val="en-US" w:eastAsia="zh-CN"/>
              </w:rPr>
            </w:pPr>
            <w:r>
              <w:rPr>
                <w:rFonts w:hint="eastAsia"/>
                <w:lang w:val="en-US" w:eastAsia="zh-CN"/>
              </w:rPr>
              <w:t>+34m2</w:t>
            </w:r>
          </w:p>
        </w:tc>
        <w:tc>
          <w:tcPr>
            <w:tcW w:w="683" w:type="pct"/>
            <w:shd w:val="clear" w:color="auto" w:fill="auto"/>
            <w:vAlign w:val="center"/>
          </w:tcPr>
          <w:p w14:paraId="31C9BF70">
            <w:pPr>
              <w:pStyle w:val="26"/>
              <w:bidi w:val="0"/>
              <w:rPr>
                <w:rFonts w:hint="default"/>
                <w:lang w:val="en-US" w:eastAsia="zh-CN"/>
              </w:rPr>
            </w:pPr>
            <w:r>
              <w:rPr>
                <w:rFonts w:hint="eastAsia"/>
                <w:lang w:val="en-US" w:eastAsia="zh-CN"/>
              </w:rPr>
              <w:t>拆除现有，在3#车间内新建</w:t>
            </w:r>
          </w:p>
        </w:tc>
      </w:tr>
      <w:tr w14:paraId="3813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410" w:type="pct"/>
            <w:vMerge w:val="continue"/>
            <w:shd w:val="clear" w:color="auto" w:fill="auto"/>
            <w:vAlign w:val="center"/>
          </w:tcPr>
          <w:p w14:paraId="422EABAD">
            <w:pPr>
              <w:pStyle w:val="26"/>
              <w:bidi w:val="0"/>
              <w:rPr>
                <w:rFonts w:hint="eastAsia"/>
                <w:lang w:val="en-US" w:eastAsia="zh-CN"/>
              </w:rPr>
            </w:pPr>
          </w:p>
        </w:tc>
        <w:tc>
          <w:tcPr>
            <w:tcW w:w="761" w:type="pct"/>
            <w:gridSpan w:val="2"/>
            <w:shd w:val="clear" w:color="auto" w:fill="auto"/>
            <w:vAlign w:val="center"/>
          </w:tcPr>
          <w:p w14:paraId="570481CD">
            <w:pPr>
              <w:pStyle w:val="26"/>
              <w:bidi w:val="0"/>
              <w:rPr>
                <w:rFonts w:hint="eastAsia"/>
                <w:lang w:val="en-US" w:eastAsia="zh-CN"/>
              </w:rPr>
            </w:pPr>
            <w:r>
              <w:rPr>
                <w:rFonts w:hint="eastAsia"/>
                <w:lang w:val="en-US" w:eastAsia="zh-CN"/>
              </w:rPr>
              <w:t>一般原料仓库</w:t>
            </w:r>
          </w:p>
        </w:tc>
        <w:tc>
          <w:tcPr>
            <w:tcW w:w="1315" w:type="pct"/>
            <w:gridSpan w:val="3"/>
            <w:shd w:val="clear" w:color="auto" w:fill="auto"/>
            <w:vAlign w:val="center"/>
          </w:tcPr>
          <w:p w14:paraId="6F6A4A75">
            <w:pPr>
              <w:pStyle w:val="26"/>
              <w:bidi w:val="0"/>
              <w:rPr>
                <w:rFonts w:hint="default"/>
                <w:lang w:val="en-US" w:eastAsia="zh-CN"/>
              </w:rPr>
            </w:pPr>
            <w:r>
              <w:rPr>
                <w:rFonts w:hint="eastAsia"/>
                <w:lang w:val="en-US" w:eastAsia="zh-CN"/>
              </w:rPr>
              <w:t>建筑面积270</w:t>
            </w:r>
            <w:r>
              <w:rPr>
                <w:rFonts w:hint="default"/>
                <w:lang w:val="en-US" w:eastAsia="zh-CN"/>
              </w:rPr>
              <w:t>m</w:t>
            </w:r>
            <w:r>
              <w:rPr>
                <w:lang w:val="en-US" w:eastAsia="zh-CN"/>
              </w:rPr>
              <w:t>2</w:t>
            </w:r>
          </w:p>
        </w:tc>
        <w:tc>
          <w:tcPr>
            <w:tcW w:w="1102" w:type="pct"/>
            <w:shd w:val="clear" w:color="auto" w:fill="auto"/>
            <w:vAlign w:val="center"/>
          </w:tcPr>
          <w:p w14:paraId="1A1769F7">
            <w:pPr>
              <w:pStyle w:val="26"/>
              <w:bidi w:val="0"/>
              <w:rPr>
                <w:rFonts w:hint="eastAsia"/>
                <w:lang w:val="en-US" w:eastAsia="zh-CN"/>
              </w:rPr>
            </w:pPr>
            <w:r>
              <w:rPr>
                <w:rFonts w:hint="eastAsia"/>
                <w:lang w:val="en-US" w:eastAsia="zh-CN"/>
              </w:rPr>
              <w:t>钢材料库630m2；</w:t>
            </w:r>
          </w:p>
          <w:p w14:paraId="53F0C1B8">
            <w:pPr>
              <w:pStyle w:val="26"/>
              <w:bidi w:val="0"/>
              <w:rPr>
                <w:rFonts w:hint="default"/>
                <w:lang w:val="en-US" w:eastAsia="zh-CN"/>
              </w:rPr>
            </w:pPr>
            <w:r>
              <w:rPr>
                <w:rFonts w:hint="eastAsia"/>
                <w:lang w:val="en-US" w:eastAsia="zh-CN"/>
              </w:rPr>
              <w:t>其他原料库62m2；</w:t>
            </w:r>
          </w:p>
        </w:tc>
        <w:tc>
          <w:tcPr>
            <w:tcW w:w="727" w:type="pct"/>
            <w:shd w:val="clear" w:color="auto" w:fill="auto"/>
            <w:vAlign w:val="center"/>
          </w:tcPr>
          <w:p w14:paraId="1EDD2764">
            <w:pPr>
              <w:pStyle w:val="26"/>
              <w:bidi w:val="0"/>
              <w:rPr>
                <w:rFonts w:hint="default"/>
                <w:lang w:val="en-US" w:eastAsia="zh-CN"/>
              </w:rPr>
            </w:pPr>
            <w:r>
              <w:rPr>
                <w:rFonts w:hint="eastAsia"/>
                <w:lang w:val="en-US" w:eastAsia="zh-CN"/>
              </w:rPr>
              <w:t>+422m2</w:t>
            </w:r>
          </w:p>
        </w:tc>
        <w:tc>
          <w:tcPr>
            <w:tcW w:w="683" w:type="pct"/>
            <w:shd w:val="clear" w:color="auto" w:fill="auto"/>
            <w:vAlign w:val="center"/>
          </w:tcPr>
          <w:p w14:paraId="57177E29">
            <w:pPr>
              <w:pStyle w:val="26"/>
              <w:bidi w:val="0"/>
              <w:rPr>
                <w:rFonts w:hint="default"/>
                <w:lang w:val="en-US" w:eastAsia="zh-CN"/>
              </w:rPr>
            </w:pPr>
            <w:r>
              <w:rPr>
                <w:rFonts w:hint="eastAsia"/>
                <w:lang w:val="en-US" w:eastAsia="zh-CN"/>
              </w:rPr>
              <w:t>拆除现有，在4#车间1层新建</w:t>
            </w:r>
          </w:p>
        </w:tc>
      </w:tr>
      <w:tr w14:paraId="5914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10" w:type="pct"/>
            <w:vMerge w:val="continue"/>
            <w:shd w:val="clear" w:color="auto" w:fill="auto"/>
            <w:vAlign w:val="center"/>
          </w:tcPr>
          <w:p w14:paraId="31D7847B">
            <w:pPr>
              <w:pStyle w:val="26"/>
              <w:bidi w:val="0"/>
              <w:rPr>
                <w:rFonts w:hint="eastAsia"/>
                <w:lang w:val="en-US" w:eastAsia="zh-CN"/>
              </w:rPr>
            </w:pPr>
          </w:p>
        </w:tc>
        <w:tc>
          <w:tcPr>
            <w:tcW w:w="761" w:type="pct"/>
            <w:gridSpan w:val="2"/>
            <w:shd w:val="clear" w:color="auto" w:fill="auto"/>
            <w:vAlign w:val="center"/>
          </w:tcPr>
          <w:p w14:paraId="48F722AA">
            <w:pPr>
              <w:pStyle w:val="26"/>
              <w:bidi w:val="0"/>
              <w:rPr>
                <w:rFonts w:hint="eastAsia"/>
                <w:lang w:val="en-US" w:eastAsia="zh-CN"/>
              </w:rPr>
            </w:pPr>
            <w:r>
              <w:rPr>
                <w:rFonts w:hint="eastAsia"/>
                <w:lang w:val="en-US" w:eastAsia="zh-CN"/>
              </w:rPr>
              <w:t>成品仓库</w:t>
            </w:r>
          </w:p>
        </w:tc>
        <w:tc>
          <w:tcPr>
            <w:tcW w:w="1315" w:type="pct"/>
            <w:gridSpan w:val="3"/>
            <w:shd w:val="clear" w:color="auto" w:fill="auto"/>
            <w:vAlign w:val="center"/>
          </w:tcPr>
          <w:p w14:paraId="017D8338">
            <w:pPr>
              <w:pStyle w:val="26"/>
              <w:bidi w:val="0"/>
              <w:rPr>
                <w:rFonts w:hint="eastAsia"/>
                <w:lang w:val="en-US" w:eastAsia="zh-CN"/>
              </w:rPr>
            </w:pPr>
            <w:r>
              <w:rPr>
                <w:rFonts w:hint="eastAsia"/>
                <w:lang w:val="en-US" w:eastAsia="zh-CN"/>
              </w:rPr>
              <w:t>建筑面积28</w:t>
            </w:r>
            <w:r>
              <w:rPr>
                <w:rFonts w:hint="default"/>
                <w:lang w:val="en-US" w:eastAsia="zh-CN"/>
              </w:rPr>
              <w:t>0m</w:t>
            </w:r>
            <w:r>
              <w:rPr>
                <w:lang w:val="en-US" w:eastAsia="zh-CN"/>
              </w:rPr>
              <w:t>2</w:t>
            </w:r>
          </w:p>
        </w:tc>
        <w:tc>
          <w:tcPr>
            <w:tcW w:w="1102" w:type="pct"/>
            <w:shd w:val="clear" w:color="auto" w:fill="auto"/>
            <w:vAlign w:val="center"/>
          </w:tcPr>
          <w:p w14:paraId="3340028D">
            <w:pPr>
              <w:pStyle w:val="26"/>
              <w:bidi w:val="0"/>
              <w:rPr>
                <w:rFonts w:hint="default"/>
                <w:lang w:val="en-US" w:eastAsia="zh-CN"/>
              </w:rPr>
            </w:pPr>
            <w:r>
              <w:rPr>
                <w:rFonts w:hint="eastAsia"/>
                <w:lang w:val="en-US" w:eastAsia="zh-CN"/>
              </w:rPr>
              <w:t>成品区，40m2</w:t>
            </w:r>
          </w:p>
        </w:tc>
        <w:tc>
          <w:tcPr>
            <w:tcW w:w="727" w:type="pct"/>
            <w:shd w:val="clear" w:color="auto" w:fill="auto"/>
            <w:vAlign w:val="center"/>
          </w:tcPr>
          <w:p w14:paraId="4DA54525">
            <w:pPr>
              <w:pStyle w:val="26"/>
              <w:bidi w:val="0"/>
              <w:rPr>
                <w:rFonts w:hint="default"/>
                <w:lang w:val="en-US" w:eastAsia="zh-CN"/>
              </w:rPr>
            </w:pPr>
            <w:r>
              <w:rPr>
                <w:rFonts w:hint="eastAsia"/>
                <w:lang w:val="en-US" w:eastAsia="zh-CN"/>
              </w:rPr>
              <w:t>-240m2</w:t>
            </w:r>
          </w:p>
        </w:tc>
        <w:tc>
          <w:tcPr>
            <w:tcW w:w="683" w:type="pct"/>
            <w:shd w:val="clear" w:color="auto" w:fill="auto"/>
            <w:vAlign w:val="center"/>
          </w:tcPr>
          <w:p w14:paraId="4E931836">
            <w:pPr>
              <w:pStyle w:val="26"/>
              <w:bidi w:val="0"/>
              <w:rPr>
                <w:rFonts w:hint="default"/>
                <w:lang w:val="en-US" w:eastAsia="zh-CN"/>
              </w:rPr>
            </w:pPr>
            <w:r>
              <w:rPr>
                <w:rFonts w:hint="default"/>
                <w:lang w:val="en-US" w:eastAsia="zh-CN"/>
              </w:rPr>
              <w:t>拆除现有，在4#车间1层</w:t>
            </w:r>
            <w:r>
              <w:rPr>
                <w:rFonts w:hint="eastAsia"/>
                <w:lang w:val="en-US" w:eastAsia="zh-CN"/>
              </w:rPr>
              <w:t>划区</w:t>
            </w:r>
          </w:p>
        </w:tc>
      </w:tr>
      <w:tr w14:paraId="0809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410" w:type="pct"/>
            <w:vMerge w:val="restart"/>
            <w:shd w:val="clear" w:color="auto" w:fill="auto"/>
            <w:vAlign w:val="center"/>
          </w:tcPr>
          <w:p w14:paraId="111F1243">
            <w:pPr>
              <w:pStyle w:val="26"/>
              <w:bidi w:val="0"/>
              <w:rPr>
                <w:rFonts w:hint="eastAsia"/>
                <w:lang w:val="en-US" w:eastAsia="zh-CN"/>
              </w:rPr>
            </w:pPr>
            <w:r>
              <w:rPr>
                <w:rFonts w:hint="eastAsia"/>
                <w:lang w:val="en-US" w:eastAsia="zh-CN"/>
              </w:rPr>
              <w:t>公用工程</w:t>
            </w:r>
          </w:p>
        </w:tc>
        <w:tc>
          <w:tcPr>
            <w:tcW w:w="378" w:type="pct"/>
            <w:vMerge w:val="restart"/>
            <w:shd w:val="clear" w:color="auto" w:fill="auto"/>
            <w:vAlign w:val="center"/>
          </w:tcPr>
          <w:p w14:paraId="1CA39B3F">
            <w:pPr>
              <w:pStyle w:val="26"/>
              <w:bidi w:val="0"/>
              <w:rPr>
                <w:rFonts w:hint="eastAsia"/>
                <w:lang w:val="en-US" w:eastAsia="zh-CN"/>
              </w:rPr>
            </w:pPr>
            <w:r>
              <w:rPr>
                <w:rFonts w:hint="eastAsia"/>
                <w:lang w:val="en-US" w:eastAsia="zh-CN"/>
              </w:rPr>
              <w:t>给水</w:t>
            </w:r>
          </w:p>
        </w:tc>
        <w:tc>
          <w:tcPr>
            <w:tcW w:w="383" w:type="pct"/>
            <w:shd w:val="clear" w:color="auto" w:fill="auto"/>
            <w:vAlign w:val="center"/>
          </w:tcPr>
          <w:p w14:paraId="3591C445">
            <w:pPr>
              <w:pStyle w:val="26"/>
              <w:bidi w:val="0"/>
              <w:rPr>
                <w:rFonts w:hint="eastAsia"/>
                <w:highlight w:val="none"/>
                <w:lang w:val="en-US" w:eastAsia="zh-CN"/>
              </w:rPr>
            </w:pPr>
            <w:r>
              <w:rPr>
                <w:rFonts w:hint="eastAsia"/>
                <w:highlight w:val="none"/>
                <w:lang w:val="en-US" w:eastAsia="zh-CN"/>
              </w:rPr>
              <w:t>自来水</w:t>
            </w:r>
          </w:p>
        </w:tc>
        <w:tc>
          <w:tcPr>
            <w:tcW w:w="1315" w:type="pct"/>
            <w:gridSpan w:val="3"/>
            <w:shd w:val="clear" w:color="auto" w:fill="auto"/>
            <w:vAlign w:val="center"/>
          </w:tcPr>
          <w:p w14:paraId="6176C3A4">
            <w:pPr>
              <w:pStyle w:val="26"/>
              <w:bidi w:val="0"/>
              <w:rPr>
                <w:rFonts w:hint="default"/>
                <w:highlight w:val="none"/>
                <w:lang w:val="en-US" w:eastAsia="zh-CN"/>
              </w:rPr>
            </w:pPr>
            <w:r>
              <w:rPr>
                <w:rFonts w:hint="default"/>
                <w:highlight w:val="none"/>
                <w:lang w:val="en-US" w:eastAsia="zh-CN"/>
              </w:rPr>
              <w:t>8188.534m</w:t>
            </w:r>
            <w:r>
              <w:rPr>
                <w:highlight w:val="none"/>
                <w:lang w:val="en-US" w:eastAsia="zh-CN"/>
              </w:rPr>
              <w:t>3</w:t>
            </w:r>
            <w:r>
              <w:rPr>
                <w:rFonts w:hint="default"/>
                <w:highlight w:val="none"/>
                <w:lang w:val="en-US" w:eastAsia="zh-CN"/>
              </w:rPr>
              <w:t>/a</w:t>
            </w:r>
          </w:p>
        </w:tc>
        <w:tc>
          <w:tcPr>
            <w:tcW w:w="1102" w:type="pct"/>
            <w:shd w:val="clear" w:color="auto" w:fill="auto"/>
            <w:vAlign w:val="center"/>
          </w:tcPr>
          <w:p w14:paraId="79C6861C">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lang w:val="en-US" w:eastAsia="zh-CN"/>
              </w:rPr>
              <w:t>6060</w:t>
            </w:r>
            <w:r>
              <w:rPr>
                <w:rFonts w:hint="default"/>
                <w:highlight w:val="black"/>
                <w:lang w:val="en-US" w:eastAsia="zh-CN"/>
              </w:rPr>
              <w:t>m3/a</w:t>
            </w:r>
          </w:p>
        </w:tc>
        <w:tc>
          <w:tcPr>
            <w:tcW w:w="727" w:type="pct"/>
            <w:shd w:val="clear" w:color="auto" w:fill="auto"/>
            <w:vAlign w:val="center"/>
          </w:tcPr>
          <w:p w14:paraId="36C8F3BC">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lang w:val="en-US" w:eastAsia="zh-CN"/>
              </w:rPr>
              <w:t>+2640m3/a</w:t>
            </w:r>
          </w:p>
        </w:tc>
        <w:tc>
          <w:tcPr>
            <w:tcW w:w="683" w:type="pct"/>
            <w:shd w:val="clear" w:color="auto" w:fill="auto"/>
            <w:vAlign w:val="center"/>
          </w:tcPr>
          <w:p w14:paraId="67F201BF">
            <w:pPr>
              <w:pStyle w:val="26"/>
              <w:bidi w:val="0"/>
              <w:rPr>
                <w:rFonts w:hint="default"/>
                <w:highlight w:val="yellow"/>
                <w:lang w:val="en-US" w:eastAsia="zh-CN"/>
              </w:rPr>
            </w:pPr>
            <w:r>
              <w:rPr>
                <w:rFonts w:hint="eastAsia"/>
                <w:highlight w:val="none"/>
                <w:lang w:val="en-US" w:eastAsia="zh-CN"/>
              </w:rPr>
              <w:t>市政自来水管网直接供给</w:t>
            </w:r>
          </w:p>
        </w:tc>
      </w:tr>
      <w:tr w14:paraId="1997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6E1E77B4">
            <w:pPr>
              <w:pStyle w:val="26"/>
              <w:bidi w:val="0"/>
              <w:rPr>
                <w:rFonts w:hint="eastAsia"/>
                <w:lang w:val="en-US" w:eastAsia="zh-CN"/>
              </w:rPr>
            </w:pPr>
          </w:p>
        </w:tc>
        <w:tc>
          <w:tcPr>
            <w:tcW w:w="378" w:type="pct"/>
            <w:vMerge w:val="continue"/>
            <w:shd w:val="clear" w:color="auto" w:fill="auto"/>
            <w:vAlign w:val="center"/>
          </w:tcPr>
          <w:p w14:paraId="1C884C59">
            <w:pPr>
              <w:pStyle w:val="26"/>
              <w:bidi w:val="0"/>
              <w:rPr>
                <w:rFonts w:hint="eastAsia"/>
                <w:lang w:val="en-US" w:eastAsia="zh-CN"/>
              </w:rPr>
            </w:pPr>
          </w:p>
        </w:tc>
        <w:tc>
          <w:tcPr>
            <w:tcW w:w="383" w:type="pct"/>
            <w:shd w:val="clear" w:color="auto" w:fill="auto"/>
            <w:vAlign w:val="center"/>
          </w:tcPr>
          <w:p w14:paraId="324A1623">
            <w:pPr>
              <w:pStyle w:val="26"/>
              <w:bidi w:val="0"/>
              <w:rPr>
                <w:rFonts w:hint="eastAsia"/>
                <w:lang w:val="en-US" w:eastAsia="zh-CN"/>
              </w:rPr>
            </w:pPr>
            <w:r>
              <w:rPr>
                <w:rFonts w:hint="eastAsia"/>
                <w:lang w:val="en-US" w:eastAsia="zh-CN"/>
              </w:rPr>
              <w:t>纯水</w:t>
            </w:r>
          </w:p>
        </w:tc>
        <w:tc>
          <w:tcPr>
            <w:tcW w:w="1315" w:type="pct"/>
            <w:gridSpan w:val="3"/>
            <w:shd w:val="clear" w:color="auto" w:fill="auto"/>
            <w:vAlign w:val="center"/>
          </w:tcPr>
          <w:p w14:paraId="317980BC">
            <w:pPr>
              <w:pStyle w:val="26"/>
              <w:bidi w:val="0"/>
              <w:rPr>
                <w:rFonts w:hint="eastAsia"/>
                <w:lang w:val="en-US" w:eastAsia="zh-CN"/>
              </w:rPr>
            </w:pPr>
            <w:r>
              <w:rPr>
                <w:rFonts w:hint="eastAsia"/>
                <w:lang w:val="en-US" w:eastAsia="zh-CN"/>
              </w:rPr>
              <w:t>一套2t/h制纯水系统</w:t>
            </w:r>
          </w:p>
        </w:tc>
        <w:tc>
          <w:tcPr>
            <w:tcW w:w="1102" w:type="pct"/>
            <w:shd w:val="clear" w:color="auto" w:fill="auto"/>
            <w:vAlign w:val="center"/>
          </w:tcPr>
          <w:p w14:paraId="476378F9">
            <w:pPr>
              <w:pStyle w:val="26"/>
              <w:bidi w:val="0"/>
              <w:rPr>
                <w:rFonts w:hint="eastAsia"/>
                <w:lang w:val="en-US" w:eastAsia="zh-CN"/>
              </w:rPr>
            </w:pPr>
            <w:r>
              <w:rPr>
                <w:rFonts w:hint="eastAsia"/>
                <w:lang w:val="en-US" w:eastAsia="zh-CN"/>
              </w:rPr>
              <w:t>一套2t/h制纯水系统；</w:t>
            </w:r>
          </w:p>
          <w:p w14:paraId="7A806198">
            <w:pPr>
              <w:pStyle w:val="26"/>
              <w:bidi w:val="0"/>
              <w:rPr>
                <w:rFonts w:hint="default"/>
                <w:lang w:val="en-US" w:eastAsia="zh-CN"/>
              </w:rPr>
            </w:pPr>
            <w:r>
              <w:rPr>
                <w:rFonts w:hint="eastAsia"/>
                <w:lang w:val="en-US" w:eastAsia="zh-CN"/>
              </w:rPr>
              <w:t>一套4t/h制纯水系统</w:t>
            </w:r>
          </w:p>
        </w:tc>
        <w:tc>
          <w:tcPr>
            <w:tcW w:w="727" w:type="pct"/>
            <w:shd w:val="clear" w:color="auto" w:fill="auto"/>
            <w:vAlign w:val="center"/>
          </w:tcPr>
          <w:p w14:paraId="25FA4B8C">
            <w:pPr>
              <w:pStyle w:val="26"/>
              <w:bidi w:val="0"/>
              <w:rPr>
                <w:rFonts w:hint="eastAsia"/>
                <w:lang w:val="en-US" w:eastAsia="zh-CN"/>
              </w:rPr>
            </w:pPr>
            <w:r>
              <w:rPr>
                <w:rFonts w:hint="eastAsia"/>
                <w:lang w:val="en-US" w:eastAsia="zh-CN"/>
              </w:rPr>
              <w:t>新增一套4t/h制纯水系统</w:t>
            </w:r>
          </w:p>
        </w:tc>
        <w:tc>
          <w:tcPr>
            <w:tcW w:w="683" w:type="pct"/>
            <w:shd w:val="clear" w:color="auto" w:fill="auto"/>
            <w:vAlign w:val="center"/>
          </w:tcPr>
          <w:p w14:paraId="4F2145F0">
            <w:pPr>
              <w:pStyle w:val="26"/>
              <w:bidi w:val="0"/>
              <w:rPr>
                <w:rFonts w:hint="default"/>
                <w:lang w:val="en-US" w:eastAsia="zh-CN"/>
              </w:rPr>
            </w:pPr>
            <w:r>
              <w:rPr>
                <w:rFonts w:hint="eastAsia"/>
                <w:lang w:val="en-US" w:eastAsia="zh-CN"/>
              </w:rPr>
              <w:t>/</w:t>
            </w:r>
          </w:p>
        </w:tc>
      </w:tr>
      <w:tr w14:paraId="612C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410" w:type="pct"/>
            <w:vMerge w:val="continue"/>
            <w:shd w:val="clear" w:color="auto" w:fill="auto"/>
            <w:vAlign w:val="center"/>
          </w:tcPr>
          <w:p w14:paraId="315416A8">
            <w:pPr>
              <w:pStyle w:val="26"/>
              <w:bidi w:val="0"/>
              <w:rPr>
                <w:rFonts w:hint="eastAsia"/>
                <w:lang w:val="en-US" w:eastAsia="zh-CN"/>
              </w:rPr>
            </w:pPr>
          </w:p>
        </w:tc>
        <w:tc>
          <w:tcPr>
            <w:tcW w:w="378" w:type="pct"/>
            <w:vMerge w:val="restart"/>
            <w:shd w:val="clear" w:color="auto" w:fill="auto"/>
            <w:vAlign w:val="center"/>
          </w:tcPr>
          <w:p w14:paraId="1223824F">
            <w:pPr>
              <w:pStyle w:val="26"/>
              <w:bidi w:val="0"/>
              <w:rPr>
                <w:rFonts w:hint="eastAsia"/>
                <w:lang w:val="en-US" w:eastAsia="zh-CN"/>
              </w:rPr>
            </w:pPr>
            <w:r>
              <w:rPr>
                <w:rFonts w:hint="eastAsia"/>
                <w:lang w:val="en-US" w:eastAsia="zh-CN"/>
              </w:rPr>
              <w:t>排水</w:t>
            </w:r>
          </w:p>
        </w:tc>
        <w:tc>
          <w:tcPr>
            <w:tcW w:w="383" w:type="pct"/>
            <w:shd w:val="clear" w:color="auto" w:fill="auto"/>
            <w:vAlign w:val="center"/>
          </w:tcPr>
          <w:p w14:paraId="6D7D8291">
            <w:pPr>
              <w:pStyle w:val="26"/>
              <w:bidi w:val="0"/>
              <w:rPr>
                <w:rFonts w:hint="eastAsia"/>
                <w:lang w:val="en-US" w:eastAsia="zh-CN"/>
              </w:rPr>
            </w:pPr>
            <w:r>
              <w:rPr>
                <w:rFonts w:hint="eastAsia"/>
                <w:lang w:val="en-US" w:eastAsia="zh-CN"/>
              </w:rPr>
              <w:t>生活污水</w:t>
            </w:r>
          </w:p>
        </w:tc>
        <w:tc>
          <w:tcPr>
            <w:tcW w:w="1315" w:type="pct"/>
            <w:gridSpan w:val="3"/>
            <w:shd w:val="clear" w:color="auto" w:fill="auto"/>
            <w:vAlign w:val="center"/>
          </w:tcPr>
          <w:p w14:paraId="107BC00C">
            <w:pPr>
              <w:pStyle w:val="26"/>
              <w:bidi w:val="0"/>
              <w:rPr>
                <w:rFonts w:hint="default"/>
                <w:lang w:val="en-US" w:eastAsia="zh-CN"/>
              </w:rPr>
            </w:pPr>
            <w:r>
              <w:rPr>
                <w:rFonts w:hint="eastAsia"/>
                <w:lang w:val="en-US" w:eastAsia="zh-CN"/>
              </w:rPr>
              <w:t>342</w:t>
            </w:r>
            <w:r>
              <w:rPr>
                <w:rFonts w:hint="default"/>
                <w:lang w:val="en-US" w:eastAsia="zh-CN"/>
              </w:rPr>
              <w:t>0m3/a</w:t>
            </w:r>
          </w:p>
        </w:tc>
        <w:tc>
          <w:tcPr>
            <w:tcW w:w="1102" w:type="pct"/>
            <w:shd w:val="clear" w:color="auto" w:fill="auto"/>
            <w:vAlign w:val="center"/>
          </w:tcPr>
          <w:p w14:paraId="4D1A0C6E">
            <w:pPr>
              <w:pStyle w:val="26"/>
              <w:bidi w:val="0"/>
              <w:rPr>
                <w:rFonts w:hint="default"/>
                <w:lang w:val="en-US" w:eastAsia="zh-CN"/>
              </w:rPr>
            </w:pPr>
            <w:r>
              <w:rPr>
                <w:rFonts w:hint="eastAsia"/>
                <w:lang w:val="en-US" w:eastAsia="zh-CN"/>
              </w:rPr>
              <w:t>6060</w:t>
            </w:r>
            <w:r>
              <w:rPr>
                <w:rFonts w:hint="default"/>
                <w:lang w:val="en-US" w:eastAsia="zh-CN"/>
              </w:rPr>
              <w:t>m3/a</w:t>
            </w:r>
          </w:p>
        </w:tc>
        <w:tc>
          <w:tcPr>
            <w:tcW w:w="727" w:type="pct"/>
            <w:shd w:val="clear" w:color="auto" w:fill="auto"/>
            <w:vAlign w:val="center"/>
          </w:tcPr>
          <w:p w14:paraId="687AB165">
            <w:pPr>
              <w:pStyle w:val="26"/>
              <w:bidi w:val="0"/>
              <w:rPr>
                <w:rFonts w:hint="eastAsia"/>
                <w:lang w:val="en-US" w:eastAsia="zh-CN"/>
              </w:rPr>
            </w:pPr>
            <w:r>
              <w:rPr>
                <w:rFonts w:hint="eastAsia"/>
                <w:lang w:val="en-US" w:eastAsia="zh-CN"/>
              </w:rPr>
              <w:t>+2640m3/a</w:t>
            </w:r>
          </w:p>
        </w:tc>
        <w:tc>
          <w:tcPr>
            <w:tcW w:w="683" w:type="pct"/>
            <w:shd w:val="clear" w:color="auto" w:fill="auto"/>
            <w:vAlign w:val="center"/>
          </w:tcPr>
          <w:p w14:paraId="2A42A0D8">
            <w:pPr>
              <w:pStyle w:val="26"/>
              <w:bidi w:val="0"/>
              <w:rPr>
                <w:rFonts w:hint="default"/>
                <w:lang w:val="en-US" w:eastAsia="zh-CN"/>
              </w:rPr>
            </w:pPr>
            <w:r>
              <w:rPr>
                <w:rFonts w:hint="eastAsia"/>
                <w:lang w:val="en-US" w:eastAsia="zh-CN"/>
              </w:rPr>
              <w:t>纳入昆山建邦环境投资有限公司花桥污水处理厂</w:t>
            </w:r>
          </w:p>
        </w:tc>
      </w:tr>
      <w:tr w14:paraId="3F7B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10" w:type="pct"/>
            <w:vMerge w:val="continue"/>
            <w:shd w:val="clear" w:color="auto" w:fill="auto"/>
            <w:vAlign w:val="center"/>
          </w:tcPr>
          <w:p w14:paraId="4E3C3DA9">
            <w:pPr>
              <w:pStyle w:val="26"/>
              <w:bidi w:val="0"/>
              <w:rPr>
                <w:rFonts w:hint="eastAsia"/>
                <w:lang w:val="en-US" w:eastAsia="zh-CN"/>
              </w:rPr>
            </w:pPr>
          </w:p>
        </w:tc>
        <w:tc>
          <w:tcPr>
            <w:tcW w:w="378" w:type="pct"/>
            <w:vMerge w:val="continue"/>
            <w:shd w:val="clear" w:color="auto" w:fill="auto"/>
            <w:vAlign w:val="center"/>
          </w:tcPr>
          <w:p w14:paraId="2B663AD0">
            <w:pPr>
              <w:pStyle w:val="26"/>
              <w:bidi w:val="0"/>
              <w:rPr>
                <w:rFonts w:hint="eastAsia"/>
                <w:lang w:val="en-US" w:eastAsia="zh-CN"/>
              </w:rPr>
            </w:pPr>
          </w:p>
        </w:tc>
        <w:tc>
          <w:tcPr>
            <w:tcW w:w="383" w:type="pct"/>
            <w:shd w:val="clear" w:color="auto" w:fill="auto"/>
            <w:vAlign w:val="center"/>
          </w:tcPr>
          <w:p w14:paraId="1E631AB0">
            <w:pPr>
              <w:pStyle w:val="26"/>
              <w:bidi w:val="0"/>
              <w:rPr>
                <w:rFonts w:hint="eastAsia"/>
                <w:lang w:val="en-US" w:eastAsia="zh-CN"/>
              </w:rPr>
            </w:pPr>
            <w:r>
              <w:rPr>
                <w:rFonts w:hint="eastAsia"/>
                <w:lang w:val="en-US" w:eastAsia="zh-CN"/>
              </w:rPr>
              <w:t>生产废水</w:t>
            </w:r>
          </w:p>
        </w:tc>
        <w:tc>
          <w:tcPr>
            <w:tcW w:w="1315" w:type="pct"/>
            <w:gridSpan w:val="3"/>
            <w:shd w:val="clear" w:color="auto" w:fill="auto"/>
            <w:vAlign w:val="center"/>
          </w:tcPr>
          <w:p w14:paraId="415AA455">
            <w:pPr>
              <w:pStyle w:val="26"/>
              <w:bidi w:val="0"/>
              <w:rPr>
                <w:rFonts w:hint="eastAsia"/>
                <w:lang w:val="en-US" w:eastAsia="zh-CN"/>
              </w:rPr>
            </w:pPr>
            <w:r>
              <w:rPr>
                <w:rFonts w:hint="eastAsia"/>
                <w:lang w:val="en-US" w:eastAsia="zh-CN"/>
              </w:rPr>
              <w:t>0m3/a</w:t>
            </w:r>
          </w:p>
        </w:tc>
        <w:tc>
          <w:tcPr>
            <w:tcW w:w="1102" w:type="pct"/>
            <w:shd w:val="clear" w:color="auto" w:fill="auto"/>
            <w:vAlign w:val="center"/>
          </w:tcPr>
          <w:p w14:paraId="3686900F">
            <w:pPr>
              <w:pStyle w:val="26"/>
              <w:bidi w:val="0"/>
              <w:rPr>
                <w:rFonts w:hint="eastAsia"/>
                <w:lang w:val="en-US" w:eastAsia="zh-CN"/>
              </w:rPr>
            </w:pPr>
            <w:r>
              <w:rPr>
                <w:rFonts w:hint="eastAsia"/>
                <w:lang w:val="en-US" w:eastAsia="zh-CN"/>
              </w:rPr>
              <w:t>0m3/a</w:t>
            </w:r>
          </w:p>
        </w:tc>
        <w:tc>
          <w:tcPr>
            <w:tcW w:w="727" w:type="pct"/>
            <w:shd w:val="clear" w:color="auto" w:fill="auto"/>
            <w:vAlign w:val="center"/>
          </w:tcPr>
          <w:p w14:paraId="4C9C5E84">
            <w:pPr>
              <w:pStyle w:val="26"/>
              <w:bidi w:val="0"/>
              <w:rPr>
                <w:rFonts w:hint="eastAsia"/>
                <w:lang w:val="en-US" w:eastAsia="zh-CN"/>
              </w:rPr>
            </w:pPr>
            <w:r>
              <w:rPr>
                <w:rFonts w:hint="eastAsia"/>
                <w:lang w:val="en-US" w:eastAsia="zh-CN"/>
              </w:rPr>
              <w:t>0m3/a</w:t>
            </w:r>
          </w:p>
        </w:tc>
        <w:tc>
          <w:tcPr>
            <w:tcW w:w="683" w:type="pct"/>
            <w:shd w:val="clear" w:color="auto" w:fill="auto"/>
            <w:vAlign w:val="center"/>
          </w:tcPr>
          <w:p w14:paraId="0677975D">
            <w:pPr>
              <w:pStyle w:val="26"/>
              <w:bidi w:val="0"/>
              <w:rPr>
                <w:rFonts w:hint="default"/>
                <w:lang w:val="en-US" w:eastAsia="zh-CN"/>
              </w:rPr>
            </w:pPr>
            <w:r>
              <w:rPr>
                <w:rFonts w:hint="eastAsia"/>
                <w:lang w:val="en-US" w:eastAsia="zh-CN"/>
              </w:rPr>
              <w:t>经厂区自建的污水处理系统处理后全部回用，不外排</w:t>
            </w:r>
          </w:p>
        </w:tc>
      </w:tr>
      <w:tr w14:paraId="54B3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410" w:type="pct"/>
            <w:vMerge w:val="continue"/>
            <w:shd w:val="clear" w:color="auto" w:fill="auto"/>
            <w:vAlign w:val="center"/>
          </w:tcPr>
          <w:p w14:paraId="7E028A53">
            <w:pPr>
              <w:pStyle w:val="26"/>
              <w:bidi w:val="0"/>
              <w:rPr>
                <w:rFonts w:hint="eastAsia"/>
                <w:lang w:val="en-US" w:eastAsia="zh-CN"/>
              </w:rPr>
            </w:pPr>
          </w:p>
        </w:tc>
        <w:tc>
          <w:tcPr>
            <w:tcW w:w="378" w:type="pct"/>
            <w:vMerge w:val="continue"/>
            <w:shd w:val="clear" w:color="auto" w:fill="auto"/>
            <w:vAlign w:val="center"/>
          </w:tcPr>
          <w:p w14:paraId="6FA97A34">
            <w:pPr>
              <w:pStyle w:val="26"/>
              <w:bidi w:val="0"/>
              <w:rPr>
                <w:rFonts w:hint="eastAsia"/>
                <w:lang w:val="en-US" w:eastAsia="zh-CN"/>
              </w:rPr>
            </w:pPr>
          </w:p>
        </w:tc>
        <w:tc>
          <w:tcPr>
            <w:tcW w:w="383" w:type="pct"/>
            <w:shd w:val="clear" w:color="auto" w:fill="auto"/>
            <w:vAlign w:val="center"/>
          </w:tcPr>
          <w:p w14:paraId="16C367F2">
            <w:pPr>
              <w:pStyle w:val="26"/>
              <w:bidi w:val="0"/>
              <w:rPr>
                <w:rFonts w:hint="eastAsia"/>
                <w:lang w:val="en-US" w:eastAsia="zh-CN"/>
              </w:rPr>
            </w:pPr>
            <w:r>
              <w:rPr>
                <w:rFonts w:hint="eastAsia"/>
                <w:lang w:val="en-US" w:eastAsia="zh-CN"/>
              </w:rPr>
              <w:t>雨水</w:t>
            </w:r>
          </w:p>
        </w:tc>
        <w:tc>
          <w:tcPr>
            <w:tcW w:w="1315" w:type="pct"/>
            <w:gridSpan w:val="3"/>
            <w:shd w:val="clear" w:color="auto" w:fill="auto"/>
            <w:vAlign w:val="center"/>
          </w:tcPr>
          <w:p w14:paraId="6E46B0B7">
            <w:pPr>
              <w:pStyle w:val="26"/>
              <w:bidi w:val="0"/>
              <w:rPr>
                <w:rFonts w:hint="eastAsia"/>
                <w:lang w:val="en-US" w:eastAsia="zh-CN"/>
              </w:rPr>
            </w:pPr>
            <w:r>
              <w:rPr>
                <w:rFonts w:hint="eastAsia"/>
                <w:lang w:val="en-US" w:eastAsia="zh-CN"/>
              </w:rPr>
              <w:t>雨水管网，雨污分流，</w:t>
            </w:r>
            <w:r>
              <w:rPr>
                <w:rFonts w:hint="default"/>
                <w:lang w:val="en-US" w:eastAsia="zh-CN"/>
              </w:rPr>
              <w:t>1</w:t>
            </w:r>
            <w:r>
              <w:rPr>
                <w:rFonts w:hint="eastAsia"/>
                <w:lang w:val="en-US" w:eastAsia="zh-CN"/>
              </w:rPr>
              <w:t>个雨水排口，设置截止阀</w:t>
            </w:r>
          </w:p>
        </w:tc>
        <w:tc>
          <w:tcPr>
            <w:tcW w:w="1102" w:type="pct"/>
            <w:shd w:val="clear" w:color="auto" w:fill="auto"/>
            <w:vAlign w:val="center"/>
          </w:tcPr>
          <w:p w14:paraId="1AA51A74">
            <w:pPr>
              <w:pStyle w:val="26"/>
              <w:bidi w:val="0"/>
              <w:rPr>
                <w:rFonts w:hint="eastAsia"/>
                <w:lang w:val="en-US" w:eastAsia="zh-CN"/>
              </w:rPr>
            </w:pPr>
            <w:r>
              <w:rPr>
                <w:rFonts w:hint="eastAsia"/>
                <w:lang w:val="en-US" w:eastAsia="zh-CN"/>
              </w:rPr>
              <w:t>雨水管网，雨污分流，1个雨水排口，设置截止阀</w:t>
            </w:r>
          </w:p>
        </w:tc>
        <w:tc>
          <w:tcPr>
            <w:tcW w:w="727" w:type="pct"/>
            <w:shd w:val="clear" w:color="auto" w:fill="auto"/>
            <w:vAlign w:val="center"/>
          </w:tcPr>
          <w:p w14:paraId="5D5B1266">
            <w:pPr>
              <w:pStyle w:val="26"/>
              <w:bidi w:val="0"/>
              <w:rPr>
                <w:rFonts w:hint="default"/>
                <w:lang w:val="en-US" w:eastAsia="zh-CN"/>
              </w:rPr>
            </w:pPr>
            <w:r>
              <w:rPr>
                <w:rFonts w:hint="eastAsia"/>
                <w:lang w:val="en-US" w:eastAsia="zh-CN"/>
              </w:rPr>
              <w:t>不变</w:t>
            </w:r>
          </w:p>
        </w:tc>
        <w:tc>
          <w:tcPr>
            <w:tcW w:w="683" w:type="pct"/>
            <w:shd w:val="clear" w:color="auto" w:fill="auto"/>
            <w:vAlign w:val="center"/>
          </w:tcPr>
          <w:p w14:paraId="793BB690">
            <w:pPr>
              <w:pStyle w:val="26"/>
              <w:bidi w:val="0"/>
              <w:rPr>
                <w:rFonts w:hint="default"/>
                <w:lang w:val="en-US" w:eastAsia="zh-CN"/>
              </w:rPr>
            </w:pPr>
            <w:r>
              <w:rPr>
                <w:rFonts w:hint="eastAsia"/>
                <w:lang w:val="en-US" w:eastAsia="zh-CN"/>
              </w:rPr>
              <w:t>/</w:t>
            </w:r>
          </w:p>
        </w:tc>
      </w:tr>
      <w:tr w14:paraId="5038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1D5B0636">
            <w:pPr>
              <w:pStyle w:val="26"/>
              <w:bidi w:val="0"/>
              <w:rPr>
                <w:rFonts w:hint="eastAsia"/>
                <w:lang w:val="en-US" w:eastAsia="zh-CN"/>
              </w:rPr>
            </w:pPr>
          </w:p>
        </w:tc>
        <w:tc>
          <w:tcPr>
            <w:tcW w:w="761" w:type="pct"/>
            <w:gridSpan w:val="2"/>
            <w:shd w:val="clear" w:color="auto" w:fill="auto"/>
            <w:vAlign w:val="center"/>
          </w:tcPr>
          <w:p w14:paraId="7D0B8166">
            <w:pPr>
              <w:pStyle w:val="26"/>
              <w:bidi w:val="0"/>
              <w:rPr>
                <w:rFonts w:hint="eastAsia"/>
                <w:highlight w:val="none"/>
                <w:lang w:val="en-US" w:eastAsia="zh-CN"/>
              </w:rPr>
            </w:pPr>
            <w:r>
              <w:rPr>
                <w:rFonts w:hint="eastAsia"/>
                <w:highlight w:val="none"/>
                <w:lang w:val="en-US" w:eastAsia="zh-CN"/>
              </w:rPr>
              <w:t>供电</w:t>
            </w:r>
          </w:p>
        </w:tc>
        <w:tc>
          <w:tcPr>
            <w:tcW w:w="1315" w:type="pct"/>
            <w:gridSpan w:val="3"/>
            <w:shd w:val="clear" w:color="auto" w:fill="auto"/>
            <w:vAlign w:val="center"/>
          </w:tcPr>
          <w:p w14:paraId="03FEF7B3">
            <w:pPr>
              <w:pStyle w:val="26"/>
              <w:bidi w:val="0"/>
              <w:rPr>
                <w:rFonts w:hint="eastAsia"/>
                <w:highlight w:val="none"/>
                <w:lang w:val="en-US" w:eastAsia="zh-CN"/>
              </w:rPr>
            </w:pPr>
            <w:r>
              <w:rPr>
                <w:rFonts w:hint="eastAsia"/>
                <w:highlight w:val="none"/>
                <w:lang w:val="en-US" w:eastAsia="zh-CN"/>
              </w:rPr>
              <w:t>388万</w:t>
            </w:r>
            <w:r>
              <w:rPr>
                <w:highlight w:val="none"/>
                <w:lang w:val="en-US" w:eastAsia="zh-CN"/>
              </w:rPr>
              <w:t>kwh/a</w:t>
            </w:r>
          </w:p>
        </w:tc>
        <w:tc>
          <w:tcPr>
            <w:tcW w:w="1102" w:type="pct"/>
            <w:shd w:val="clear" w:color="auto" w:fill="auto"/>
            <w:vAlign w:val="center"/>
          </w:tcPr>
          <w:p w14:paraId="353A0BD6">
            <w:pPr>
              <w:pStyle w:val="26"/>
              <w:bidi w:val="0"/>
              <w:rPr>
                <w:rFonts w:hint="default"/>
                <w:highlight w:val="none"/>
                <w:lang w:val="en-US" w:eastAsia="zh-CN"/>
              </w:rPr>
            </w:pPr>
            <w:r>
              <w:rPr>
                <w:rFonts w:hint="eastAsia"/>
                <w:highlight w:val="none"/>
                <w:lang w:val="en-US" w:eastAsia="zh-CN"/>
              </w:rPr>
              <w:t>400kwh/a</w:t>
            </w:r>
          </w:p>
        </w:tc>
        <w:tc>
          <w:tcPr>
            <w:tcW w:w="727" w:type="pct"/>
            <w:shd w:val="clear" w:color="auto" w:fill="auto"/>
            <w:vAlign w:val="center"/>
          </w:tcPr>
          <w:p w14:paraId="400577E0">
            <w:pPr>
              <w:pStyle w:val="26"/>
              <w:bidi w:val="0"/>
              <w:rPr>
                <w:rFonts w:hint="default"/>
                <w:highlight w:val="none"/>
                <w:lang w:val="en-US" w:eastAsia="zh-CN"/>
              </w:rPr>
            </w:pPr>
            <w:r>
              <w:rPr>
                <w:rFonts w:hint="eastAsia"/>
                <w:highlight w:val="none"/>
                <w:lang w:val="en-US" w:eastAsia="zh-CN"/>
              </w:rPr>
              <w:t>+400kwh/a</w:t>
            </w:r>
          </w:p>
        </w:tc>
        <w:tc>
          <w:tcPr>
            <w:tcW w:w="683" w:type="pct"/>
            <w:shd w:val="clear" w:color="auto" w:fill="auto"/>
            <w:vAlign w:val="center"/>
          </w:tcPr>
          <w:p w14:paraId="5A3A4F37">
            <w:pPr>
              <w:pStyle w:val="26"/>
              <w:bidi w:val="0"/>
              <w:rPr>
                <w:rFonts w:hint="eastAsia"/>
                <w:highlight w:val="yellow"/>
                <w:lang w:val="en-US" w:eastAsia="zh-CN"/>
              </w:rPr>
            </w:pPr>
            <w:r>
              <w:rPr>
                <w:rFonts w:hint="eastAsia"/>
                <w:highlight w:val="none"/>
                <w:lang w:val="en-US" w:eastAsia="zh-CN"/>
              </w:rPr>
              <w:t>/</w:t>
            </w:r>
          </w:p>
        </w:tc>
      </w:tr>
      <w:tr w14:paraId="7A3E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027F9FE3">
            <w:pPr>
              <w:pStyle w:val="26"/>
              <w:bidi w:val="0"/>
              <w:rPr>
                <w:rFonts w:hint="eastAsia"/>
                <w:lang w:val="en-US" w:eastAsia="zh-CN"/>
              </w:rPr>
            </w:pPr>
          </w:p>
        </w:tc>
        <w:tc>
          <w:tcPr>
            <w:tcW w:w="761" w:type="pct"/>
            <w:gridSpan w:val="2"/>
            <w:shd w:val="clear" w:color="auto" w:fill="auto"/>
            <w:vAlign w:val="center"/>
          </w:tcPr>
          <w:p w14:paraId="6E8230BC">
            <w:pPr>
              <w:pStyle w:val="26"/>
              <w:bidi w:val="0"/>
              <w:rPr>
                <w:rFonts w:hint="default"/>
                <w:lang w:val="en-US" w:eastAsia="zh-CN"/>
              </w:rPr>
            </w:pPr>
            <w:r>
              <w:rPr>
                <w:rFonts w:hint="eastAsia"/>
                <w:lang w:val="en-US" w:eastAsia="zh-CN"/>
              </w:rPr>
              <w:t>压缩空气</w:t>
            </w:r>
          </w:p>
        </w:tc>
        <w:tc>
          <w:tcPr>
            <w:tcW w:w="1315" w:type="pct"/>
            <w:gridSpan w:val="3"/>
            <w:shd w:val="clear" w:color="auto" w:fill="auto"/>
            <w:vAlign w:val="center"/>
          </w:tcPr>
          <w:p w14:paraId="6F80E13C">
            <w:pPr>
              <w:pStyle w:val="26"/>
              <w:bidi w:val="0"/>
              <w:rPr>
                <w:rFonts w:hint="default"/>
                <w:lang w:val="en-US" w:eastAsia="zh-CN"/>
              </w:rPr>
            </w:pPr>
            <w:r>
              <w:rPr>
                <w:rFonts w:hint="default"/>
                <w:lang w:val="en-US" w:eastAsia="zh-CN"/>
              </w:rPr>
              <w:t>四套 1800Nm3/h 无油螺杆式空气压缩机组</w:t>
            </w:r>
          </w:p>
        </w:tc>
        <w:tc>
          <w:tcPr>
            <w:tcW w:w="1102" w:type="pct"/>
            <w:shd w:val="clear" w:color="auto" w:fill="auto"/>
            <w:vAlign w:val="center"/>
          </w:tcPr>
          <w:p w14:paraId="25DDD6AF">
            <w:pPr>
              <w:pStyle w:val="26"/>
              <w:bidi w:val="0"/>
              <w:rPr>
                <w:rFonts w:hint="default"/>
                <w:lang w:val="en-US" w:eastAsia="zh-CN"/>
              </w:rPr>
            </w:pPr>
            <w:r>
              <w:rPr>
                <w:rFonts w:hint="eastAsia"/>
                <w:lang w:val="en-US" w:eastAsia="zh-CN"/>
              </w:rPr>
              <w:t>4</w:t>
            </w:r>
            <w:r>
              <w:rPr>
                <w:rFonts w:hint="default"/>
                <w:lang w:val="en-US" w:eastAsia="zh-CN"/>
              </w:rPr>
              <w:t>套 1800Nm3/h 无油螺杆式空气压缩机组</w:t>
            </w:r>
            <w:r>
              <w:rPr>
                <w:rFonts w:hint="eastAsia"/>
                <w:lang w:val="en-US" w:eastAsia="zh-CN"/>
              </w:rPr>
              <w:t>；</w:t>
            </w:r>
          </w:p>
          <w:p w14:paraId="25AEA494">
            <w:pPr>
              <w:pStyle w:val="26"/>
              <w:bidi w:val="0"/>
              <w:rPr>
                <w:rFonts w:hint="default"/>
                <w:lang w:val="en-US" w:eastAsia="zh-CN"/>
              </w:rPr>
            </w:pPr>
            <w:r>
              <w:rPr>
                <w:rFonts w:hint="eastAsia"/>
                <w:lang w:val="en-US" w:eastAsia="zh-CN"/>
              </w:rPr>
              <w:t>3套 2700Nm3/h 无油螺杆式空气压缩机组</w:t>
            </w:r>
          </w:p>
        </w:tc>
        <w:tc>
          <w:tcPr>
            <w:tcW w:w="727" w:type="pct"/>
            <w:shd w:val="clear" w:color="auto" w:fill="auto"/>
            <w:vAlign w:val="center"/>
          </w:tcPr>
          <w:p w14:paraId="6CAC24E5">
            <w:pPr>
              <w:pStyle w:val="26"/>
              <w:bidi w:val="0"/>
              <w:rPr>
                <w:rFonts w:hint="default"/>
                <w:lang w:val="en-US" w:eastAsia="zh-CN"/>
              </w:rPr>
            </w:pPr>
            <w:r>
              <w:rPr>
                <w:rFonts w:hint="eastAsia"/>
                <w:lang w:val="en-US" w:eastAsia="zh-CN"/>
              </w:rPr>
              <w:t>增加3台空压机，2700Nm3/h</w:t>
            </w:r>
          </w:p>
        </w:tc>
        <w:tc>
          <w:tcPr>
            <w:tcW w:w="683" w:type="pct"/>
            <w:shd w:val="clear" w:color="auto" w:fill="auto"/>
            <w:vAlign w:val="center"/>
          </w:tcPr>
          <w:p w14:paraId="70CC1177">
            <w:pPr>
              <w:pStyle w:val="26"/>
              <w:bidi w:val="0"/>
              <w:rPr>
                <w:rFonts w:hint="default"/>
                <w:lang w:val="en-US" w:eastAsia="zh-CN"/>
              </w:rPr>
            </w:pPr>
            <w:r>
              <w:rPr>
                <w:rFonts w:hint="eastAsia"/>
                <w:lang w:val="en-US" w:eastAsia="zh-CN"/>
              </w:rPr>
              <w:t>/</w:t>
            </w:r>
          </w:p>
        </w:tc>
      </w:tr>
      <w:tr w14:paraId="776A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767F5502">
            <w:pPr>
              <w:pStyle w:val="26"/>
              <w:bidi w:val="0"/>
              <w:rPr>
                <w:rFonts w:hint="eastAsia"/>
                <w:lang w:val="en-US" w:eastAsia="zh-CN"/>
              </w:rPr>
            </w:pPr>
          </w:p>
        </w:tc>
        <w:tc>
          <w:tcPr>
            <w:tcW w:w="761" w:type="pct"/>
            <w:gridSpan w:val="2"/>
            <w:shd w:val="clear" w:color="auto" w:fill="auto"/>
            <w:vAlign w:val="center"/>
          </w:tcPr>
          <w:p w14:paraId="76008BEA">
            <w:pPr>
              <w:pStyle w:val="26"/>
              <w:bidi w:val="0"/>
              <w:rPr>
                <w:rFonts w:hint="default"/>
                <w:lang w:val="en-US" w:eastAsia="zh-CN"/>
              </w:rPr>
            </w:pPr>
            <w:r>
              <w:rPr>
                <w:rFonts w:hint="eastAsia"/>
                <w:lang w:val="en-US" w:eastAsia="zh-CN"/>
              </w:rPr>
              <w:t>冷却塔</w:t>
            </w:r>
          </w:p>
        </w:tc>
        <w:tc>
          <w:tcPr>
            <w:tcW w:w="1315" w:type="pct"/>
            <w:gridSpan w:val="3"/>
            <w:shd w:val="clear" w:color="auto" w:fill="auto"/>
            <w:vAlign w:val="center"/>
          </w:tcPr>
          <w:p w14:paraId="639CDD61">
            <w:pPr>
              <w:pStyle w:val="26"/>
              <w:bidi w:val="0"/>
              <w:rPr>
                <w:rFonts w:hint="default"/>
                <w:lang w:val="en-US" w:eastAsia="zh-CN"/>
              </w:rPr>
            </w:pPr>
            <w:r>
              <w:rPr>
                <w:rFonts w:hint="eastAsia"/>
                <w:lang w:val="en-US" w:eastAsia="zh-CN"/>
              </w:rPr>
              <w:t>冷却塔2台，单台循环量33t/h</w:t>
            </w:r>
          </w:p>
        </w:tc>
        <w:tc>
          <w:tcPr>
            <w:tcW w:w="1102" w:type="pct"/>
            <w:shd w:val="clear" w:color="auto" w:fill="auto"/>
            <w:vAlign w:val="center"/>
          </w:tcPr>
          <w:p w14:paraId="0DB90461">
            <w:pPr>
              <w:pStyle w:val="26"/>
              <w:bidi w:val="0"/>
              <w:rPr>
                <w:rFonts w:hint="default"/>
                <w:lang w:val="en-US" w:eastAsia="zh-CN"/>
              </w:rPr>
            </w:pPr>
            <w:r>
              <w:rPr>
                <w:rFonts w:hint="eastAsia"/>
                <w:lang w:val="en-US" w:eastAsia="zh-CN"/>
              </w:rPr>
              <w:t>冷却塔5台，单台循环量33t/h</w:t>
            </w:r>
          </w:p>
        </w:tc>
        <w:tc>
          <w:tcPr>
            <w:tcW w:w="727" w:type="pct"/>
            <w:shd w:val="clear" w:color="auto" w:fill="auto"/>
            <w:vAlign w:val="center"/>
          </w:tcPr>
          <w:p w14:paraId="48161342">
            <w:pPr>
              <w:pStyle w:val="26"/>
              <w:bidi w:val="0"/>
              <w:rPr>
                <w:rFonts w:hint="default"/>
                <w:lang w:val="en-US" w:eastAsia="zh-CN"/>
              </w:rPr>
            </w:pPr>
            <w:r>
              <w:rPr>
                <w:rFonts w:hint="eastAsia"/>
                <w:lang w:val="en-US" w:eastAsia="zh-CN"/>
              </w:rPr>
              <w:t>新增冷却塔3台，单台循环量33t/h</w:t>
            </w:r>
          </w:p>
        </w:tc>
        <w:tc>
          <w:tcPr>
            <w:tcW w:w="683" w:type="pct"/>
            <w:shd w:val="clear" w:color="auto" w:fill="auto"/>
            <w:vAlign w:val="center"/>
          </w:tcPr>
          <w:p w14:paraId="378D5B78">
            <w:pPr>
              <w:pStyle w:val="26"/>
              <w:bidi w:val="0"/>
              <w:rPr>
                <w:rFonts w:hint="default"/>
                <w:lang w:val="en-US" w:eastAsia="zh-CN"/>
              </w:rPr>
            </w:pPr>
            <w:r>
              <w:rPr>
                <w:rFonts w:hint="eastAsia"/>
                <w:lang w:val="en-US" w:eastAsia="zh-CN"/>
              </w:rPr>
              <w:t>新增</w:t>
            </w:r>
          </w:p>
        </w:tc>
      </w:tr>
      <w:tr w14:paraId="0C75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07DA97AF">
            <w:pPr>
              <w:pStyle w:val="26"/>
              <w:bidi w:val="0"/>
              <w:rPr>
                <w:rFonts w:hint="eastAsia"/>
                <w:lang w:val="en-US" w:eastAsia="zh-CN"/>
              </w:rPr>
            </w:pPr>
          </w:p>
        </w:tc>
        <w:tc>
          <w:tcPr>
            <w:tcW w:w="761" w:type="pct"/>
            <w:gridSpan w:val="2"/>
            <w:shd w:val="clear" w:color="auto" w:fill="auto"/>
            <w:vAlign w:val="center"/>
          </w:tcPr>
          <w:p w14:paraId="30F1A117">
            <w:pPr>
              <w:pStyle w:val="26"/>
              <w:bidi w:val="0"/>
              <w:rPr>
                <w:rFonts w:hint="eastAsia"/>
                <w:lang w:val="en-US" w:eastAsia="zh-CN"/>
              </w:rPr>
            </w:pPr>
            <w:r>
              <w:rPr>
                <w:rFonts w:hint="eastAsia"/>
                <w:lang w:val="en-US" w:eastAsia="zh-CN"/>
              </w:rPr>
              <w:t>综合楼</w:t>
            </w:r>
          </w:p>
        </w:tc>
        <w:tc>
          <w:tcPr>
            <w:tcW w:w="1315" w:type="pct"/>
            <w:gridSpan w:val="3"/>
            <w:shd w:val="clear" w:color="auto" w:fill="auto"/>
            <w:vAlign w:val="center"/>
          </w:tcPr>
          <w:p w14:paraId="192BC1A8">
            <w:pPr>
              <w:pStyle w:val="26"/>
              <w:bidi w:val="0"/>
              <w:rPr>
                <w:rFonts w:hint="default"/>
                <w:lang w:val="en-US" w:eastAsia="zh-CN"/>
              </w:rPr>
            </w:pPr>
            <w:r>
              <w:rPr>
                <w:rFonts w:hint="eastAsia"/>
                <w:lang w:val="en-US" w:eastAsia="zh-CN"/>
              </w:rPr>
              <w:t>2栋，倒班宿舍</w:t>
            </w:r>
          </w:p>
        </w:tc>
        <w:tc>
          <w:tcPr>
            <w:tcW w:w="1102" w:type="pct"/>
            <w:shd w:val="clear" w:color="auto" w:fill="auto"/>
            <w:vAlign w:val="center"/>
          </w:tcPr>
          <w:p w14:paraId="318349F2">
            <w:pPr>
              <w:pStyle w:val="26"/>
              <w:bidi w:val="0"/>
              <w:rPr>
                <w:rFonts w:hint="eastAsia"/>
                <w:lang w:val="en-US" w:eastAsia="zh-CN"/>
              </w:rPr>
            </w:pPr>
            <w:r>
              <w:rPr>
                <w:rFonts w:hint="eastAsia"/>
                <w:lang w:val="en-US" w:eastAsia="zh-CN"/>
              </w:rPr>
              <w:t>2栋，倒班宿舍</w:t>
            </w:r>
          </w:p>
        </w:tc>
        <w:tc>
          <w:tcPr>
            <w:tcW w:w="727" w:type="pct"/>
            <w:shd w:val="clear" w:color="auto" w:fill="auto"/>
            <w:vAlign w:val="center"/>
          </w:tcPr>
          <w:p w14:paraId="140EBFA9">
            <w:pPr>
              <w:pStyle w:val="26"/>
              <w:bidi w:val="0"/>
              <w:rPr>
                <w:rFonts w:hint="default"/>
                <w:lang w:val="en-US" w:eastAsia="zh-CN"/>
              </w:rPr>
            </w:pPr>
            <w:r>
              <w:rPr>
                <w:rFonts w:hint="eastAsia"/>
                <w:lang w:val="en-US" w:eastAsia="zh-CN"/>
              </w:rPr>
              <w:t>不变</w:t>
            </w:r>
          </w:p>
        </w:tc>
        <w:tc>
          <w:tcPr>
            <w:tcW w:w="683" w:type="pct"/>
            <w:shd w:val="clear" w:color="auto" w:fill="auto"/>
            <w:vAlign w:val="center"/>
          </w:tcPr>
          <w:p w14:paraId="658B5B8A">
            <w:pPr>
              <w:pStyle w:val="26"/>
              <w:bidi w:val="0"/>
              <w:rPr>
                <w:rFonts w:hint="default"/>
                <w:lang w:val="en-US" w:eastAsia="zh-CN"/>
              </w:rPr>
            </w:pPr>
            <w:r>
              <w:rPr>
                <w:rFonts w:hint="eastAsia"/>
                <w:lang w:val="en-US" w:eastAsia="zh-CN"/>
              </w:rPr>
              <w:t>/</w:t>
            </w:r>
          </w:p>
        </w:tc>
      </w:tr>
      <w:tr w14:paraId="29A6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 w:type="pct"/>
            <w:vMerge w:val="restart"/>
            <w:shd w:val="clear" w:color="auto" w:fill="auto"/>
            <w:vAlign w:val="center"/>
          </w:tcPr>
          <w:p w14:paraId="65F329BC">
            <w:pPr>
              <w:pStyle w:val="26"/>
              <w:bidi w:val="0"/>
              <w:rPr>
                <w:rFonts w:hint="eastAsia"/>
                <w:lang w:val="en-US" w:eastAsia="zh-CN"/>
              </w:rPr>
            </w:pPr>
            <w:r>
              <w:rPr>
                <w:rFonts w:hint="eastAsia"/>
                <w:lang w:val="en-US" w:eastAsia="zh-CN"/>
              </w:rPr>
              <w:t>环保工程</w:t>
            </w:r>
          </w:p>
        </w:tc>
        <w:tc>
          <w:tcPr>
            <w:tcW w:w="378" w:type="pct"/>
            <w:vMerge w:val="restart"/>
            <w:shd w:val="clear" w:color="auto" w:fill="auto"/>
            <w:vAlign w:val="center"/>
          </w:tcPr>
          <w:p w14:paraId="64C48D89">
            <w:pPr>
              <w:pStyle w:val="26"/>
              <w:bidi w:val="0"/>
              <w:rPr>
                <w:rFonts w:hint="eastAsia"/>
                <w:lang w:val="en-US" w:eastAsia="zh-CN"/>
              </w:rPr>
            </w:pPr>
            <w:r>
              <w:rPr>
                <w:rFonts w:hint="eastAsia"/>
                <w:lang w:val="en-US" w:eastAsia="zh-CN"/>
              </w:rPr>
              <w:t>废气处理</w:t>
            </w:r>
          </w:p>
        </w:tc>
        <w:tc>
          <w:tcPr>
            <w:tcW w:w="383" w:type="pct"/>
            <w:vMerge w:val="restart"/>
            <w:shd w:val="clear" w:color="auto" w:fill="auto"/>
            <w:vAlign w:val="center"/>
          </w:tcPr>
          <w:p w14:paraId="7D4458A3">
            <w:pPr>
              <w:pStyle w:val="26"/>
              <w:bidi w:val="0"/>
              <w:rPr>
                <w:rFonts w:hint="default"/>
                <w:lang w:val="en-US" w:eastAsia="zh-CN"/>
              </w:rPr>
            </w:pPr>
            <w:r>
              <w:rPr>
                <w:rFonts w:hint="eastAsia"/>
                <w:lang w:val="en-US" w:eastAsia="zh-CN"/>
              </w:rPr>
              <w:t>压纹版辊</w:t>
            </w:r>
          </w:p>
        </w:tc>
        <w:tc>
          <w:tcPr>
            <w:tcW w:w="577" w:type="pct"/>
            <w:shd w:val="clear" w:color="auto" w:fill="auto"/>
            <w:vAlign w:val="center"/>
          </w:tcPr>
          <w:p w14:paraId="0689D64D">
            <w:pPr>
              <w:pStyle w:val="26"/>
              <w:bidi w:val="0"/>
              <w:rPr>
                <w:rFonts w:hint="eastAsia"/>
                <w:lang w:val="en-US" w:eastAsia="zh-CN"/>
              </w:rPr>
            </w:pPr>
            <w:r>
              <w:rPr>
                <w:rFonts w:hint="eastAsia"/>
                <w:lang w:val="en-US" w:eastAsia="zh-CN"/>
              </w:rPr>
              <w:t>镀铬（铬酸雾）</w:t>
            </w:r>
          </w:p>
        </w:tc>
        <w:tc>
          <w:tcPr>
            <w:tcW w:w="737" w:type="pct"/>
            <w:gridSpan w:val="2"/>
            <w:shd w:val="clear" w:color="auto" w:fill="auto"/>
            <w:vAlign w:val="center"/>
          </w:tcPr>
          <w:p w14:paraId="0AF8EF54">
            <w:pPr>
              <w:pStyle w:val="26"/>
              <w:bidi w:val="0"/>
              <w:rPr>
                <w:rFonts w:hint="eastAsia"/>
                <w:lang w:val="en-US" w:eastAsia="zh-CN"/>
              </w:rPr>
            </w:pPr>
            <w:r>
              <w:rPr>
                <w:rFonts w:hint="eastAsia"/>
                <w:lang w:val="en-US" w:eastAsia="zh-CN"/>
              </w:rPr>
              <w:t>密闭管路收集+“凝聚回收+二级碱喷淋塔 ”+15 米高的排气筒（DA004）</w:t>
            </w:r>
          </w:p>
        </w:tc>
        <w:tc>
          <w:tcPr>
            <w:tcW w:w="1102" w:type="pct"/>
            <w:shd w:val="clear" w:color="auto" w:fill="auto"/>
            <w:vAlign w:val="center"/>
          </w:tcPr>
          <w:p w14:paraId="53E25538">
            <w:pPr>
              <w:pStyle w:val="26"/>
              <w:bidi w:val="0"/>
              <w:rPr>
                <w:rFonts w:hint="default"/>
                <w:lang w:val="en-US" w:eastAsia="zh-CN"/>
              </w:rPr>
            </w:pPr>
            <w:r>
              <w:rPr>
                <w:rFonts w:hint="eastAsia"/>
                <w:lang w:val="en-US" w:eastAsia="zh-CN"/>
              </w:rPr>
              <w:t>密闭管路收集与三层凹印版镀铬废气合并，经“凝聚回收+二级碱喷淋塔 ”+45 米高的排气筒（DA004）</w:t>
            </w:r>
          </w:p>
        </w:tc>
        <w:tc>
          <w:tcPr>
            <w:tcW w:w="727" w:type="pct"/>
            <w:shd w:val="clear" w:color="auto" w:fill="auto"/>
            <w:vAlign w:val="center"/>
          </w:tcPr>
          <w:p w14:paraId="070E40FC">
            <w:pPr>
              <w:pStyle w:val="26"/>
              <w:bidi w:val="0"/>
              <w:rPr>
                <w:rFonts w:hint="eastAsia"/>
                <w:lang w:val="en-US" w:eastAsia="zh-CN"/>
              </w:rPr>
            </w:pPr>
          </w:p>
        </w:tc>
        <w:tc>
          <w:tcPr>
            <w:tcW w:w="683" w:type="pct"/>
            <w:shd w:val="clear" w:color="auto" w:fill="auto"/>
            <w:vAlign w:val="center"/>
          </w:tcPr>
          <w:p w14:paraId="3869FEA4">
            <w:pPr>
              <w:pStyle w:val="26"/>
              <w:bidi w:val="0"/>
              <w:rPr>
                <w:rFonts w:hint="eastAsia"/>
                <w:lang w:val="en-US" w:eastAsia="zh-CN"/>
              </w:rPr>
            </w:pPr>
            <w:r>
              <w:rPr>
                <w:rFonts w:hint="eastAsia"/>
                <w:lang w:val="en-US" w:eastAsia="zh-CN"/>
              </w:rPr>
              <w:t>/</w:t>
            </w:r>
          </w:p>
        </w:tc>
      </w:tr>
      <w:tr w14:paraId="3AA2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4" w:hRule="atLeast"/>
        </w:trPr>
        <w:tc>
          <w:tcPr>
            <w:tcW w:w="410" w:type="pct"/>
            <w:vMerge w:val="continue"/>
            <w:shd w:val="clear" w:color="auto" w:fill="auto"/>
            <w:vAlign w:val="center"/>
          </w:tcPr>
          <w:p w14:paraId="0CF04F30">
            <w:pPr>
              <w:pStyle w:val="26"/>
              <w:bidi w:val="0"/>
              <w:rPr>
                <w:rFonts w:hint="eastAsia"/>
                <w:lang w:val="en-US" w:eastAsia="zh-CN"/>
              </w:rPr>
            </w:pPr>
          </w:p>
        </w:tc>
        <w:tc>
          <w:tcPr>
            <w:tcW w:w="378" w:type="pct"/>
            <w:vMerge w:val="continue"/>
            <w:shd w:val="clear" w:color="auto" w:fill="auto"/>
            <w:vAlign w:val="center"/>
          </w:tcPr>
          <w:p w14:paraId="0830F63B">
            <w:pPr>
              <w:pStyle w:val="26"/>
              <w:bidi w:val="0"/>
              <w:rPr>
                <w:rFonts w:hint="eastAsia"/>
                <w:lang w:val="en-US" w:eastAsia="zh-CN"/>
              </w:rPr>
            </w:pPr>
          </w:p>
        </w:tc>
        <w:tc>
          <w:tcPr>
            <w:tcW w:w="383" w:type="pct"/>
            <w:vMerge w:val="continue"/>
            <w:shd w:val="clear" w:color="auto" w:fill="auto"/>
            <w:vAlign w:val="center"/>
          </w:tcPr>
          <w:p w14:paraId="527E9291">
            <w:pPr>
              <w:pStyle w:val="26"/>
              <w:bidi w:val="0"/>
              <w:rPr>
                <w:rFonts w:hint="eastAsia"/>
                <w:lang w:val="en-US" w:eastAsia="zh-CN"/>
              </w:rPr>
            </w:pPr>
          </w:p>
        </w:tc>
        <w:tc>
          <w:tcPr>
            <w:tcW w:w="577" w:type="pct"/>
            <w:shd w:val="clear" w:color="auto" w:fill="auto"/>
            <w:vAlign w:val="center"/>
          </w:tcPr>
          <w:p w14:paraId="78545A5B">
            <w:pPr>
              <w:pStyle w:val="26"/>
              <w:bidi w:val="0"/>
              <w:rPr>
                <w:rFonts w:hint="eastAsia"/>
                <w:lang w:val="en-US" w:eastAsia="zh-CN"/>
              </w:rPr>
            </w:pPr>
            <w:r>
              <w:rPr>
                <w:rFonts w:hint="eastAsia"/>
                <w:lang w:val="en-US" w:eastAsia="zh-CN"/>
              </w:rPr>
              <w:t>浸蚀、喷酸、镀铜及清洗（硫酸雾）</w:t>
            </w:r>
          </w:p>
        </w:tc>
        <w:tc>
          <w:tcPr>
            <w:tcW w:w="737" w:type="pct"/>
            <w:gridSpan w:val="2"/>
            <w:shd w:val="clear" w:color="auto" w:fill="auto"/>
            <w:vAlign w:val="center"/>
          </w:tcPr>
          <w:p w14:paraId="194D95AE">
            <w:pPr>
              <w:pStyle w:val="26"/>
              <w:bidi w:val="0"/>
              <w:rPr>
                <w:rFonts w:hint="eastAsia"/>
                <w:lang w:val="en-US" w:eastAsia="zh-CN"/>
              </w:rPr>
            </w:pPr>
            <w:r>
              <w:rPr>
                <w:rFonts w:hint="eastAsia"/>
                <w:lang w:val="en-US" w:eastAsia="zh-CN"/>
              </w:rPr>
              <w:t>密闭管路收集+“二级碱喷淋塔 ”+15米高的排气筒（DA001）</w:t>
            </w:r>
          </w:p>
        </w:tc>
        <w:tc>
          <w:tcPr>
            <w:tcW w:w="1102" w:type="pct"/>
            <w:shd w:val="clear" w:color="auto" w:fill="auto"/>
            <w:vAlign w:val="center"/>
          </w:tcPr>
          <w:p w14:paraId="7BC2309C">
            <w:pPr>
              <w:pStyle w:val="26"/>
              <w:bidi w:val="0"/>
              <w:rPr>
                <w:rFonts w:hint="default"/>
                <w:lang w:val="en-US" w:eastAsia="zh-CN"/>
              </w:rPr>
            </w:pPr>
            <w:r>
              <w:rPr>
                <w:rFonts w:hint="default"/>
                <w:lang w:val="en-US" w:eastAsia="zh-CN"/>
              </w:rPr>
              <w:t>密闭管路收集</w:t>
            </w:r>
            <w:r>
              <w:rPr>
                <w:rFonts w:hint="eastAsia"/>
                <w:lang w:val="en-US" w:eastAsia="zh-CN"/>
              </w:rPr>
              <w:t>与二层热压模板废气合并，经</w:t>
            </w:r>
            <w:r>
              <w:rPr>
                <w:rFonts w:hint="default"/>
                <w:lang w:val="en-US" w:eastAsia="zh-CN"/>
              </w:rPr>
              <w:t>“二级碱喷淋塔 ”+</w:t>
            </w:r>
            <w:r>
              <w:rPr>
                <w:rFonts w:hint="eastAsia"/>
                <w:lang w:val="en-US" w:eastAsia="zh-CN"/>
              </w:rPr>
              <w:t>4</w:t>
            </w:r>
            <w:r>
              <w:rPr>
                <w:rFonts w:hint="default"/>
                <w:lang w:val="en-US" w:eastAsia="zh-CN"/>
              </w:rPr>
              <w:t>5米高的排气筒（DA001）</w:t>
            </w:r>
          </w:p>
        </w:tc>
        <w:tc>
          <w:tcPr>
            <w:tcW w:w="727" w:type="pct"/>
            <w:shd w:val="clear" w:color="auto" w:fill="auto"/>
            <w:vAlign w:val="center"/>
          </w:tcPr>
          <w:p w14:paraId="73B9B3F6">
            <w:pPr>
              <w:pStyle w:val="26"/>
              <w:bidi w:val="0"/>
              <w:rPr>
                <w:rFonts w:hint="eastAsia"/>
                <w:lang w:val="en-US" w:eastAsia="zh-CN"/>
              </w:rPr>
            </w:pPr>
          </w:p>
        </w:tc>
        <w:tc>
          <w:tcPr>
            <w:tcW w:w="683" w:type="pct"/>
            <w:shd w:val="clear" w:color="auto" w:fill="auto"/>
            <w:vAlign w:val="center"/>
          </w:tcPr>
          <w:p w14:paraId="564883B6">
            <w:pPr>
              <w:pStyle w:val="26"/>
              <w:bidi w:val="0"/>
              <w:rPr>
                <w:rFonts w:hint="eastAsia"/>
                <w:lang w:val="en-US" w:eastAsia="zh-CN"/>
              </w:rPr>
            </w:pPr>
            <w:r>
              <w:rPr>
                <w:rFonts w:hint="eastAsia"/>
                <w:lang w:val="en-US" w:eastAsia="zh-CN"/>
              </w:rPr>
              <w:t>/</w:t>
            </w:r>
          </w:p>
        </w:tc>
      </w:tr>
      <w:tr w14:paraId="7C95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410" w:type="pct"/>
            <w:vMerge w:val="continue"/>
            <w:shd w:val="clear" w:color="auto" w:fill="auto"/>
            <w:vAlign w:val="center"/>
          </w:tcPr>
          <w:p w14:paraId="6206E1BA">
            <w:pPr>
              <w:pStyle w:val="26"/>
              <w:bidi w:val="0"/>
              <w:rPr>
                <w:rFonts w:hint="eastAsia"/>
                <w:lang w:val="en-US" w:eastAsia="zh-CN"/>
              </w:rPr>
            </w:pPr>
          </w:p>
        </w:tc>
        <w:tc>
          <w:tcPr>
            <w:tcW w:w="378" w:type="pct"/>
            <w:vMerge w:val="continue"/>
            <w:shd w:val="clear" w:color="auto" w:fill="auto"/>
            <w:vAlign w:val="center"/>
          </w:tcPr>
          <w:p w14:paraId="6192768F">
            <w:pPr>
              <w:pStyle w:val="26"/>
              <w:bidi w:val="0"/>
              <w:rPr>
                <w:rFonts w:hint="eastAsia"/>
                <w:lang w:val="en-US" w:eastAsia="zh-CN"/>
              </w:rPr>
            </w:pPr>
          </w:p>
        </w:tc>
        <w:tc>
          <w:tcPr>
            <w:tcW w:w="383" w:type="pct"/>
            <w:vMerge w:val="continue"/>
            <w:shd w:val="clear" w:color="auto" w:fill="auto"/>
            <w:vAlign w:val="center"/>
          </w:tcPr>
          <w:p w14:paraId="04E887B9">
            <w:pPr>
              <w:pStyle w:val="26"/>
              <w:bidi w:val="0"/>
              <w:rPr>
                <w:rFonts w:hint="eastAsia"/>
                <w:lang w:val="en-US" w:eastAsia="zh-CN"/>
              </w:rPr>
            </w:pPr>
          </w:p>
        </w:tc>
        <w:tc>
          <w:tcPr>
            <w:tcW w:w="577" w:type="pct"/>
            <w:shd w:val="clear" w:color="auto" w:fill="auto"/>
            <w:vAlign w:val="center"/>
          </w:tcPr>
          <w:p w14:paraId="5D31BB5C">
            <w:pPr>
              <w:pStyle w:val="26"/>
              <w:bidi w:val="0"/>
              <w:rPr>
                <w:rFonts w:hint="eastAsia"/>
                <w:lang w:val="en-US" w:eastAsia="zh-CN"/>
              </w:rPr>
            </w:pPr>
            <w:r>
              <w:rPr>
                <w:rFonts w:hint="eastAsia"/>
                <w:lang w:val="en-US" w:eastAsia="zh-CN"/>
              </w:rPr>
              <w:t>喷砂（颗粒物）</w:t>
            </w:r>
          </w:p>
        </w:tc>
        <w:tc>
          <w:tcPr>
            <w:tcW w:w="737" w:type="pct"/>
            <w:gridSpan w:val="2"/>
            <w:shd w:val="clear" w:color="auto" w:fill="auto"/>
            <w:vAlign w:val="center"/>
          </w:tcPr>
          <w:p w14:paraId="181AAA59">
            <w:pPr>
              <w:pStyle w:val="26"/>
              <w:bidi w:val="0"/>
              <w:rPr>
                <w:rFonts w:hint="eastAsia"/>
                <w:lang w:val="en-US" w:eastAsia="zh-CN"/>
              </w:rPr>
            </w:pPr>
            <w:r>
              <w:rPr>
                <w:rFonts w:hint="eastAsia"/>
                <w:lang w:val="en-US" w:eastAsia="zh-CN"/>
              </w:rPr>
              <w:t>集气罩/密闭管路收</w:t>
            </w:r>
          </w:p>
          <w:p w14:paraId="190D942F">
            <w:pPr>
              <w:pStyle w:val="26"/>
              <w:bidi w:val="0"/>
              <w:rPr>
                <w:rFonts w:hint="eastAsia"/>
                <w:lang w:val="en-US" w:eastAsia="zh-CN"/>
              </w:rPr>
            </w:pPr>
            <w:r>
              <w:rPr>
                <w:rFonts w:hint="eastAsia"/>
                <w:lang w:val="en-US" w:eastAsia="zh-CN"/>
              </w:rPr>
              <w:t>集+“袋式除尘 ”+15 米高的排气筒（DA005）</w:t>
            </w:r>
          </w:p>
        </w:tc>
        <w:tc>
          <w:tcPr>
            <w:tcW w:w="1102" w:type="pct"/>
            <w:shd w:val="clear" w:color="auto" w:fill="auto"/>
            <w:vAlign w:val="center"/>
          </w:tcPr>
          <w:p w14:paraId="0E64E245">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45F9CEBB">
            <w:pPr>
              <w:pStyle w:val="26"/>
              <w:bidi w:val="0"/>
              <w:rPr>
                <w:rFonts w:hint="eastAsia"/>
                <w:highlight w:val="black"/>
                <w:lang w:val="en-US" w:eastAsia="zh-CN"/>
              </w:rPr>
            </w:pPr>
            <w:r>
              <w:rPr>
                <w:rFonts w:hint="eastAsia"/>
                <w:highlight w:val="black"/>
                <w:lang w:val="en-US" w:eastAsia="zh-CN"/>
              </w:rPr>
              <w:t>不变</w:t>
            </w:r>
          </w:p>
        </w:tc>
        <w:tc>
          <w:tcPr>
            <w:tcW w:w="683" w:type="pct"/>
            <w:vMerge w:val="restart"/>
            <w:shd w:val="clear" w:color="auto" w:fill="auto"/>
            <w:vAlign w:val="center"/>
          </w:tcPr>
          <w:p w14:paraId="572C380B">
            <w:pPr>
              <w:pStyle w:val="26"/>
              <w:bidi w:val="0"/>
              <w:rPr>
                <w:rFonts w:hint="default"/>
                <w:lang w:val="en-US" w:eastAsia="zh-CN"/>
              </w:rPr>
            </w:pPr>
            <w:r>
              <w:rPr>
                <w:rFonts w:hint="eastAsia"/>
                <w:lang w:val="en-US" w:eastAsia="zh-CN"/>
              </w:rPr>
              <w:t>合并排放</w:t>
            </w:r>
          </w:p>
        </w:tc>
      </w:tr>
      <w:tr w14:paraId="21F6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410" w:type="pct"/>
            <w:vMerge w:val="continue"/>
            <w:shd w:val="clear" w:color="auto" w:fill="auto"/>
            <w:vAlign w:val="center"/>
          </w:tcPr>
          <w:p w14:paraId="1C584B8F">
            <w:pPr>
              <w:pStyle w:val="26"/>
              <w:bidi w:val="0"/>
              <w:rPr>
                <w:rFonts w:hint="eastAsia"/>
                <w:lang w:val="en-US" w:eastAsia="zh-CN"/>
              </w:rPr>
            </w:pPr>
          </w:p>
        </w:tc>
        <w:tc>
          <w:tcPr>
            <w:tcW w:w="378" w:type="pct"/>
            <w:vMerge w:val="continue"/>
            <w:shd w:val="clear" w:color="auto" w:fill="auto"/>
            <w:vAlign w:val="center"/>
          </w:tcPr>
          <w:p w14:paraId="4D249F4A">
            <w:pPr>
              <w:pStyle w:val="26"/>
              <w:bidi w:val="0"/>
              <w:rPr>
                <w:rFonts w:hint="eastAsia"/>
                <w:lang w:val="en-US" w:eastAsia="zh-CN"/>
              </w:rPr>
            </w:pPr>
          </w:p>
        </w:tc>
        <w:tc>
          <w:tcPr>
            <w:tcW w:w="383" w:type="pct"/>
            <w:vMerge w:val="continue"/>
            <w:shd w:val="clear" w:color="auto" w:fill="auto"/>
            <w:vAlign w:val="center"/>
          </w:tcPr>
          <w:p w14:paraId="2EBADD62">
            <w:pPr>
              <w:pStyle w:val="26"/>
              <w:bidi w:val="0"/>
              <w:rPr>
                <w:rFonts w:hint="eastAsia"/>
                <w:lang w:val="en-US" w:eastAsia="zh-CN"/>
              </w:rPr>
            </w:pPr>
          </w:p>
        </w:tc>
        <w:tc>
          <w:tcPr>
            <w:tcW w:w="577" w:type="pct"/>
            <w:shd w:val="clear" w:color="auto" w:fill="auto"/>
            <w:vAlign w:val="center"/>
          </w:tcPr>
          <w:p w14:paraId="7E92F194">
            <w:pPr>
              <w:pStyle w:val="26"/>
              <w:bidi w:val="0"/>
              <w:rPr>
                <w:rFonts w:hint="eastAsia"/>
                <w:lang w:val="en-US" w:eastAsia="zh-CN"/>
              </w:rPr>
            </w:pPr>
            <w:r>
              <w:rPr>
                <w:rFonts w:hint="eastAsia"/>
                <w:lang w:val="en-US" w:eastAsia="zh-CN"/>
              </w:rPr>
              <w:t>喷胶、调胶、清洁（非甲烷总烃、二甲苯）</w:t>
            </w:r>
          </w:p>
        </w:tc>
        <w:tc>
          <w:tcPr>
            <w:tcW w:w="737" w:type="pct"/>
            <w:gridSpan w:val="2"/>
            <w:shd w:val="clear" w:color="auto" w:fill="auto"/>
            <w:vAlign w:val="center"/>
          </w:tcPr>
          <w:p w14:paraId="5F479E60">
            <w:pPr>
              <w:pStyle w:val="26"/>
              <w:bidi w:val="0"/>
              <w:rPr>
                <w:rFonts w:hint="eastAsia"/>
                <w:lang w:val="en-US" w:eastAsia="zh-CN"/>
              </w:rPr>
            </w:pPr>
            <w:r>
              <w:rPr>
                <w:rFonts w:hint="eastAsia"/>
                <w:lang w:val="en-US" w:eastAsia="zh-CN"/>
              </w:rPr>
              <w:t>集气罩/密闭管路收集+“水喷淋+二级活性炭 ”+15米高的排气筒（DA005）</w:t>
            </w:r>
          </w:p>
        </w:tc>
        <w:tc>
          <w:tcPr>
            <w:tcW w:w="1102" w:type="pct"/>
            <w:shd w:val="clear" w:color="auto" w:fill="auto"/>
            <w:vAlign w:val="center"/>
          </w:tcPr>
          <w:p w14:paraId="1F783C9B">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05016EEA">
            <w:pPr>
              <w:pStyle w:val="26"/>
              <w:bidi w:val="0"/>
              <w:rPr>
                <w:rFonts w:hint="eastAsia"/>
                <w:highlight w:val="black"/>
                <w:lang w:val="en-US" w:eastAsia="zh-CN"/>
              </w:rPr>
            </w:pPr>
            <w:r>
              <w:rPr>
                <w:rFonts w:hint="eastAsia"/>
                <w:highlight w:val="black"/>
                <w:lang w:val="en-US" w:eastAsia="zh-CN"/>
              </w:rPr>
              <w:t>不变</w:t>
            </w:r>
          </w:p>
        </w:tc>
        <w:tc>
          <w:tcPr>
            <w:tcW w:w="683" w:type="pct"/>
            <w:vMerge w:val="continue"/>
            <w:shd w:val="clear" w:color="auto" w:fill="auto"/>
            <w:vAlign w:val="center"/>
          </w:tcPr>
          <w:p w14:paraId="502F7B1C">
            <w:pPr>
              <w:pStyle w:val="26"/>
              <w:bidi w:val="0"/>
              <w:rPr>
                <w:rFonts w:hint="eastAsia"/>
                <w:lang w:val="en-US" w:eastAsia="zh-CN"/>
              </w:rPr>
            </w:pPr>
          </w:p>
        </w:tc>
      </w:tr>
      <w:tr w14:paraId="2D39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7" w:hRule="atLeast"/>
        </w:trPr>
        <w:tc>
          <w:tcPr>
            <w:tcW w:w="410" w:type="pct"/>
            <w:vMerge w:val="continue"/>
            <w:shd w:val="clear" w:color="auto" w:fill="auto"/>
            <w:vAlign w:val="center"/>
          </w:tcPr>
          <w:p w14:paraId="12EE5336">
            <w:pPr>
              <w:pStyle w:val="26"/>
              <w:bidi w:val="0"/>
              <w:rPr>
                <w:rFonts w:hint="eastAsia"/>
                <w:lang w:val="en-US" w:eastAsia="zh-CN"/>
              </w:rPr>
            </w:pPr>
          </w:p>
        </w:tc>
        <w:tc>
          <w:tcPr>
            <w:tcW w:w="378" w:type="pct"/>
            <w:vMerge w:val="continue"/>
            <w:shd w:val="clear" w:color="auto" w:fill="auto"/>
            <w:vAlign w:val="center"/>
          </w:tcPr>
          <w:p w14:paraId="38336F9F">
            <w:pPr>
              <w:pStyle w:val="26"/>
              <w:bidi w:val="0"/>
              <w:rPr>
                <w:rFonts w:hint="eastAsia"/>
                <w:lang w:val="en-US" w:eastAsia="zh-CN"/>
              </w:rPr>
            </w:pPr>
          </w:p>
        </w:tc>
        <w:tc>
          <w:tcPr>
            <w:tcW w:w="383" w:type="pct"/>
            <w:vMerge w:val="continue"/>
            <w:shd w:val="clear" w:color="auto" w:fill="auto"/>
            <w:vAlign w:val="center"/>
          </w:tcPr>
          <w:p w14:paraId="75498A53">
            <w:pPr>
              <w:pStyle w:val="26"/>
              <w:bidi w:val="0"/>
              <w:rPr>
                <w:rFonts w:hint="eastAsia"/>
                <w:lang w:val="en-US" w:eastAsia="zh-CN"/>
              </w:rPr>
            </w:pPr>
          </w:p>
        </w:tc>
        <w:tc>
          <w:tcPr>
            <w:tcW w:w="577" w:type="pct"/>
            <w:shd w:val="clear" w:color="auto" w:fill="auto"/>
            <w:vAlign w:val="center"/>
          </w:tcPr>
          <w:p w14:paraId="5351A4E2">
            <w:pPr>
              <w:pStyle w:val="26"/>
              <w:bidi w:val="0"/>
              <w:rPr>
                <w:rFonts w:hint="eastAsia"/>
                <w:lang w:val="en-US" w:eastAsia="zh-CN"/>
              </w:rPr>
            </w:pPr>
            <w:r>
              <w:rPr>
                <w:rFonts w:hint="eastAsia"/>
                <w:lang w:val="en-US" w:eastAsia="zh-CN"/>
              </w:rPr>
              <w:t>激光直刻（颗粒物）</w:t>
            </w:r>
          </w:p>
        </w:tc>
        <w:tc>
          <w:tcPr>
            <w:tcW w:w="737" w:type="pct"/>
            <w:gridSpan w:val="2"/>
            <w:shd w:val="clear" w:color="auto" w:fill="auto"/>
            <w:vAlign w:val="center"/>
          </w:tcPr>
          <w:p w14:paraId="07884F1E">
            <w:pPr>
              <w:pStyle w:val="26"/>
              <w:bidi w:val="0"/>
              <w:rPr>
                <w:rFonts w:hint="eastAsia"/>
                <w:lang w:val="en-US" w:eastAsia="zh-CN"/>
              </w:rPr>
            </w:pPr>
            <w:r>
              <w:rPr>
                <w:rFonts w:hint="eastAsia"/>
                <w:lang w:val="en-US" w:eastAsia="zh-CN"/>
              </w:rPr>
              <w:t>集气罩/密闭管路收</w:t>
            </w:r>
          </w:p>
          <w:p w14:paraId="0FDB2CC6">
            <w:pPr>
              <w:pStyle w:val="26"/>
              <w:bidi w:val="0"/>
              <w:rPr>
                <w:rFonts w:hint="eastAsia"/>
                <w:lang w:val="en-US" w:eastAsia="zh-CN"/>
              </w:rPr>
            </w:pPr>
            <w:r>
              <w:rPr>
                <w:rFonts w:hint="eastAsia"/>
                <w:lang w:val="en-US" w:eastAsia="zh-CN"/>
              </w:rPr>
              <w:t>集+“袋式除尘 ”+15 米高的排气筒（DA003）</w:t>
            </w:r>
          </w:p>
        </w:tc>
        <w:tc>
          <w:tcPr>
            <w:tcW w:w="1102" w:type="pct"/>
            <w:shd w:val="clear" w:color="auto" w:fill="auto"/>
            <w:vAlign w:val="center"/>
          </w:tcPr>
          <w:p w14:paraId="71DC2988">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09616B19">
            <w:pPr>
              <w:pStyle w:val="26"/>
              <w:bidi w:val="0"/>
              <w:rPr>
                <w:rFonts w:hint="eastAsia"/>
                <w:highlight w:val="black"/>
                <w:lang w:val="en-US" w:eastAsia="zh-CN"/>
              </w:rPr>
            </w:pPr>
            <w:r>
              <w:rPr>
                <w:rFonts w:hint="eastAsia"/>
                <w:highlight w:val="black"/>
                <w:lang w:val="en-US" w:eastAsia="zh-CN"/>
              </w:rPr>
              <w:t>不变</w:t>
            </w:r>
          </w:p>
        </w:tc>
        <w:tc>
          <w:tcPr>
            <w:tcW w:w="683" w:type="pct"/>
            <w:vMerge w:val="restart"/>
            <w:shd w:val="clear" w:color="auto" w:fill="auto"/>
            <w:vAlign w:val="center"/>
          </w:tcPr>
          <w:p w14:paraId="3E1E2A87">
            <w:pPr>
              <w:pStyle w:val="26"/>
              <w:bidi w:val="0"/>
              <w:rPr>
                <w:rFonts w:hint="default"/>
                <w:lang w:val="en-US" w:eastAsia="zh-CN"/>
              </w:rPr>
            </w:pPr>
            <w:r>
              <w:rPr>
                <w:rFonts w:hint="eastAsia"/>
                <w:lang w:val="en-US" w:eastAsia="zh-CN"/>
              </w:rPr>
              <w:t>合并排放</w:t>
            </w:r>
          </w:p>
        </w:tc>
      </w:tr>
      <w:tr w14:paraId="79A3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410" w:type="pct"/>
            <w:vMerge w:val="continue"/>
            <w:shd w:val="clear" w:color="auto" w:fill="auto"/>
            <w:vAlign w:val="center"/>
          </w:tcPr>
          <w:p w14:paraId="3AF1D0EB">
            <w:pPr>
              <w:pStyle w:val="26"/>
              <w:bidi w:val="0"/>
              <w:rPr>
                <w:rFonts w:hint="eastAsia"/>
                <w:lang w:val="en-US" w:eastAsia="zh-CN"/>
              </w:rPr>
            </w:pPr>
          </w:p>
        </w:tc>
        <w:tc>
          <w:tcPr>
            <w:tcW w:w="378" w:type="pct"/>
            <w:vMerge w:val="continue"/>
            <w:shd w:val="clear" w:color="auto" w:fill="auto"/>
            <w:vAlign w:val="center"/>
          </w:tcPr>
          <w:p w14:paraId="357F8187">
            <w:pPr>
              <w:pStyle w:val="26"/>
              <w:bidi w:val="0"/>
              <w:rPr>
                <w:rFonts w:hint="eastAsia"/>
                <w:lang w:val="en-US" w:eastAsia="zh-CN"/>
              </w:rPr>
            </w:pPr>
          </w:p>
        </w:tc>
        <w:tc>
          <w:tcPr>
            <w:tcW w:w="383" w:type="pct"/>
            <w:vMerge w:val="continue"/>
            <w:shd w:val="clear" w:color="auto" w:fill="auto"/>
            <w:vAlign w:val="center"/>
          </w:tcPr>
          <w:p w14:paraId="0624850E">
            <w:pPr>
              <w:pStyle w:val="26"/>
              <w:bidi w:val="0"/>
              <w:rPr>
                <w:rFonts w:hint="eastAsia"/>
                <w:lang w:val="en-US" w:eastAsia="zh-CN"/>
              </w:rPr>
            </w:pPr>
          </w:p>
        </w:tc>
        <w:tc>
          <w:tcPr>
            <w:tcW w:w="577" w:type="pct"/>
            <w:shd w:val="clear" w:color="auto" w:fill="auto"/>
            <w:vAlign w:val="center"/>
          </w:tcPr>
          <w:p w14:paraId="3B20FE14">
            <w:pPr>
              <w:pStyle w:val="26"/>
              <w:bidi w:val="0"/>
              <w:rPr>
                <w:rFonts w:hint="eastAsia"/>
                <w:lang w:val="en-US" w:eastAsia="zh-CN"/>
              </w:rPr>
            </w:pPr>
            <w:r>
              <w:rPr>
                <w:rFonts w:hint="eastAsia"/>
                <w:lang w:val="en-US" w:eastAsia="zh-CN"/>
              </w:rPr>
              <w:t>激光雕刻工艺产生的有机废气（非甲烷总烃、二甲苯、颗粒物）</w:t>
            </w:r>
          </w:p>
        </w:tc>
        <w:tc>
          <w:tcPr>
            <w:tcW w:w="737" w:type="pct"/>
            <w:gridSpan w:val="2"/>
            <w:shd w:val="clear" w:color="auto" w:fill="auto"/>
            <w:vAlign w:val="center"/>
          </w:tcPr>
          <w:p w14:paraId="33405C49">
            <w:pPr>
              <w:pStyle w:val="26"/>
              <w:bidi w:val="0"/>
              <w:rPr>
                <w:rFonts w:hint="eastAsia"/>
                <w:lang w:val="en-US" w:eastAsia="zh-CN"/>
              </w:rPr>
            </w:pPr>
            <w:r>
              <w:rPr>
                <w:rFonts w:hint="eastAsia"/>
                <w:lang w:val="en-US" w:eastAsia="zh-CN"/>
              </w:rPr>
              <w:t>密闭管路收集+“袋式除尘+水喷淋+二级活性炭 ”+15 米高的排气筒（DA003）</w:t>
            </w:r>
          </w:p>
        </w:tc>
        <w:tc>
          <w:tcPr>
            <w:tcW w:w="1102" w:type="pct"/>
            <w:shd w:val="clear" w:color="auto" w:fill="auto"/>
            <w:vAlign w:val="center"/>
          </w:tcPr>
          <w:p w14:paraId="4ECB7922">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02D1046E">
            <w:pPr>
              <w:pStyle w:val="26"/>
              <w:bidi w:val="0"/>
              <w:rPr>
                <w:rFonts w:hint="eastAsia"/>
                <w:highlight w:val="black"/>
                <w:lang w:val="en-US" w:eastAsia="zh-CN"/>
              </w:rPr>
            </w:pPr>
            <w:r>
              <w:rPr>
                <w:rFonts w:hint="eastAsia"/>
                <w:highlight w:val="black"/>
                <w:lang w:val="en-US" w:eastAsia="zh-CN"/>
              </w:rPr>
              <w:t>不变</w:t>
            </w:r>
          </w:p>
        </w:tc>
        <w:tc>
          <w:tcPr>
            <w:tcW w:w="683" w:type="pct"/>
            <w:vMerge w:val="continue"/>
            <w:shd w:val="clear" w:color="auto" w:fill="auto"/>
            <w:vAlign w:val="center"/>
          </w:tcPr>
          <w:p w14:paraId="2E7E9651">
            <w:pPr>
              <w:pStyle w:val="26"/>
              <w:bidi w:val="0"/>
              <w:rPr>
                <w:rFonts w:hint="eastAsia"/>
                <w:lang w:val="en-US" w:eastAsia="zh-CN"/>
              </w:rPr>
            </w:pPr>
          </w:p>
        </w:tc>
      </w:tr>
      <w:tr w14:paraId="47DA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5EAF6A7F">
            <w:pPr>
              <w:pStyle w:val="26"/>
              <w:bidi w:val="0"/>
              <w:rPr>
                <w:rFonts w:hint="eastAsia"/>
                <w:lang w:val="en-US" w:eastAsia="zh-CN"/>
              </w:rPr>
            </w:pPr>
          </w:p>
        </w:tc>
        <w:tc>
          <w:tcPr>
            <w:tcW w:w="378" w:type="pct"/>
            <w:vMerge w:val="continue"/>
            <w:shd w:val="clear" w:color="auto" w:fill="auto"/>
            <w:vAlign w:val="center"/>
          </w:tcPr>
          <w:p w14:paraId="7CB70275">
            <w:pPr>
              <w:pStyle w:val="26"/>
              <w:bidi w:val="0"/>
              <w:rPr>
                <w:rFonts w:hint="eastAsia"/>
                <w:lang w:val="en-US" w:eastAsia="zh-CN"/>
              </w:rPr>
            </w:pPr>
          </w:p>
        </w:tc>
        <w:tc>
          <w:tcPr>
            <w:tcW w:w="383" w:type="pct"/>
            <w:vMerge w:val="continue"/>
            <w:shd w:val="clear" w:color="auto" w:fill="auto"/>
            <w:vAlign w:val="center"/>
          </w:tcPr>
          <w:p w14:paraId="17189A01">
            <w:pPr>
              <w:pStyle w:val="26"/>
              <w:bidi w:val="0"/>
              <w:rPr>
                <w:rFonts w:hint="eastAsia"/>
                <w:lang w:val="en-US" w:eastAsia="zh-CN"/>
              </w:rPr>
            </w:pPr>
          </w:p>
        </w:tc>
        <w:tc>
          <w:tcPr>
            <w:tcW w:w="577" w:type="pct"/>
            <w:shd w:val="clear" w:color="auto" w:fill="auto"/>
            <w:vAlign w:val="center"/>
          </w:tcPr>
          <w:p w14:paraId="7212D871">
            <w:pPr>
              <w:pStyle w:val="26"/>
              <w:bidi w:val="0"/>
              <w:rPr>
                <w:rFonts w:hint="eastAsia"/>
                <w:lang w:val="en-US" w:eastAsia="zh-CN"/>
              </w:rPr>
            </w:pPr>
            <w:r>
              <w:rPr>
                <w:rFonts w:hint="eastAsia"/>
                <w:lang w:val="en-US" w:eastAsia="zh-CN"/>
              </w:rPr>
              <w:t>腐蚀车间清洗槽产生的氯化氢</w:t>
            </w:r>
          </w:p>
        </w:tc>
        <w:tc>
          <w:tcPr>
            <w:tcW w:w="737" w:type="pct"/>
            <w:gridSpan w:val="2"/>
            <w:shd w:val="clear" w:color="auto" w:fill="auto"/>
            <w:vAlign w:val="center"/>
          </w:tcPr>
          <w:p w14:paraId="5E4FA1E7">
            <w:pPr>
              <w:pStyle w:val="26"/>
              <w:bidi w:val="0"/>
              <w:rPr>
                <w:rFonts w:hint="eastAsia"/>
                <w:lang w:val="en-US" w:eastAsia="zh-CN"/>
              </w:rPr>
            </w:pPr>
            <w:r>
              <w:rPr>
                <w:rFonts w:hint="eastAsia"/>
                <w:lang w:val="en-US" w:eastAsia="zh-CN"/>
              </w:rPr>
              <w:t>密闭管路收集+“二级碱喷淋塔”+15米高的排气筒（DA002）</w:t>
            </w:r>
          </w:p>
        </w:tc>
        <w:tc>
          <w:tcPr>
            <w:tcW w:w="1102" w:type="pct"/>
            <w:shd w:val="clear" w:color="auto" w:fill="auto"/>
            <w:vAlign w:val="center"/>
          </w:tcPr>
          <w:p w14:paraId="43A2A97F">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2F7E428D">
            <w:pPr>
              <w:pStyle w:val="26"/>
              <w:bidi w:val="0"/>
              <w:rPr>
                <w:rFonts w:hint="eastAsia"/>
                <w:highlight w:val="black"/>
                <w:lang w:val="en-US" w:eastAsia="zh-CN"/>
              </w:rPr>
            </w:pPr>
            <w:r>
              <w:rPr>
                <w:rFonts w:hint="eastAsia"/>
                <w:highlight w:val="black"/>
                <w:lang w:val="en-US" w:eastAsia="zh-CN"/>
              </w:rPr>
              <w:t>不变</w:t>
            </w:r>
          </w:p>
        </w:tc>
        <w:tc>
          <w:tcPr>
            <w:tcW w:w="683" w:type="pct"/>
            <w:shd w:val="clear" w:color="auto" w:fill="auto"/>
            <w:vAlign w:val="center"/>
          </w:tcPr>
          <w:p w14:paraId="66961601">
            <w:pPr>
              <w:pStyle w:val="26"/>
              <w:bidi w:val="0"/>
              <w:rPr>
                <w:rFonts w:hint="eastAsia"/>
                <w:lang w:val="en-US" w:eastAsia="zh-CN"/>
              </w:rPr>
            </w:pPr>
            <w:r>
              <w:rPr>
                <w:rFonts w:hint="eastAsia"/>
                <w:lang w:val="en-US" w:eastAsia="zh-CN"/>
              </w:rPr>
              <w:t>/</w:t>
            </w:r>
          </w:p>
        </w:tc>
      </w:tr>
      <w:tr w14:paraId="26C6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1E0DDEA5">
            <w:pPr>
              <w:pStyle w:val="26"/>
              <w:bidi w:val="0"/>
              <w:rPr>
                <w:rFonts w:hint="eastAsia"/>
                <w:lang w:val="en-US" w:eastAsia="zh-CN"/>
              </w:rPr>
            </w:pPr>
          </w:p>
        </w:tc>
        <w:tc>
          <w:tcPr>
            <w:tcW w:w="378" w:type="pct"/>
            <w:vMerge w:val="continue"/>
            <w:shd w:val="clear" w:color="auto" w:fill="auto"/>
            <w:vAlign w:val="center"/>
          </w:tcPr>
          <w:p w14:paraId="75EE8736">
            <w:pPr>
              <w:pStyle w:val="26"/>
              <w:bidi w:val="0"/>
              <w:rPr>
                <w:rFonts w:hint="eastAsia"/>
                <w:lang w:val="en-US" w:eastAsia="zh-CN"/>
              </w:rPr>
            </w:pPr>
          </w:p>
        </w:tc>
        <w:tc>
          <w:tcPr>
            <w:tcW w:w="383" w:type="pct"/>
            <w:vMerge w:val="continue"/>
            <w:shd w:val="clear" w:color="auto" w:fill="auto"/>
            <w:vAlign w:val="center"/>
          </w:tcPr>
          <w:p w14:paraId="45ED50FF">
            <w:pPr>
              <w:pStyle w:val="26"/>
              <w:bidi w:val="0"/>
              <w:rPr>
                <w:rFonts w:hint="eastAsia"/>
                <w:lang w:val="en-US" w:eastAsia="zh-CN"/>
              </w:rPr>
            </w:pPr>
          </w:p>
        </w:tc>
        <w:tc>
          <w:tcPr>
            <w:tcW w:w="577" w:type="pct"/>
            <w:shd w:val="clear" w:color="auto" w:fill="auto"/>
            <w:vAlign w:val="center"/>
          </w:tcPr>
          <w:p w14:paraId="4113627E">
            <w:pPr>
              <w:pStyle w:val="26"/>
              <w:bidi w:val="0"/>
              <w:rPr>
                <w:rFonts w:hint="eastAsia"/>
                <w:lang w:val="en-US" w:eastAsia="zh-CN"/>
              </w:rPr>
            </w:pPr>
            <w:r>
              <w:rPr>
                <w:rFonts w:hint="eastAsia"/>
                <w:lang w:val="en-US" w:eastAsia="zh-CN"/>
              </w:rPr>
              <w:t>焊接产生的颗粒物（无组织）</w:t>
            </w:r>
          </w:p>
        </w:tc>
        <w:tc>
          <w:tcPr>
            <w:tcW w:w="737" w:type="pct"/>
            <w:gridSpan w:val="2"/>
            <w:shd w:val="clear" w:color="auto" w:fill="auto"/>
            <w:vAlign w:val="center"/>
          </w:tcPr>
          <w:p w14:paraId="643A1B8D">
            <w:pPr>
              <w:pStyle w:val="26"/>
              <w:bidi w:val="0"/>
              <w:rPr>
                <w:rFonts w:hint="eastAsia"/>
                <w:lang w:val="en-US" w:eastAsia="zh-CN"/>
              </w:rPr>
            </w:pPr>
            <w:r>
              <w:rPr>
                <w:rFonts w:hint="eastAsia"/>
                <w:lang w:val="en-US" w:eastAsia="zh-CN"/>
              </w:rPr>
              <w:t>移动式焊烟净化器收集处理后，加强车间通风</w:t>
            </w:r>
          </w:p>
        </w:tc>
        <w:tc>
          <w:tcPr>
            <w:tcW w:w="1102" w:type="pct"/>
            <w:shd w:val="clear" w:color="auto" w:fill="auto"/>
            <w:vAlign w:val="center"/>
          </w:tcPr>
          <w:p w14:paraId="4D0B6A76">
            <w:pPr>
              <w:pStyle w:val="26"/>
              <w:bidi w:val="0"/>
              <w:rPr>
                <w:rFonts w:hint="eastAsia"/>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64ED69EB">
            <w:pPr>
              <w:pStyle w:val="26"/>
              <w:bidi w:val="0"/>
              <w:rPr>
                <w:rFonts w:hint="default"/>
                <w:highlight w:val="black"/>
                <w:lang w:val="en-US" w:eastAsia="zh-CN"/>
              </w:rPr>
            </w:pPr>
            <w:r>
              <w:rPr>
                <w:rFonts w:hint="eastAsia"/>
                <w:highlight w:val="black"/>
                <w:lang w:val="en-US" w:eastAsia="zh-CN"/>
              </w:rPr>
              <w:t>不变</w:t>
            </w:r>
          </w:p>
        </w:tc>
        <w:tc>
          <w:tcPr>
            <w:tcW w:w="683" w:type="pct"/>
            <w:shd w:val="clear" w:color="auto" w:fill="auto"/>
            <w:vAlign w:val="center"/>
          </w:tcPr>
          <w:p w14:paraId="77AF0C8F">
            <w:pPr>
              <w:pStyle w:val="26"/>
              <w:bidi w:val="0"/>
              <w:rPr>
                <w:rFonts w:hint="eastAsia"/>
                <w:lang w:val="en-US" w:eastAsia="zh-CN"/>
              </w:rPr>
            </w:pPr>
            <w:r>
              <w:rPr>
                <w:rFonts w:hint="eastAsia"/>
                <w:lang w:val="en-US" w:eastAsia="zh-CN"/>
              </w:rPr>
              <w:t>/</w:t>
            </w:r>
          </w:p>
        </w:tc>
      </w:tr>
      <w:tr w14:paraId="6DCA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1989B2DD">
            <w:pPr>
              <w:pStyle w:val="26"/>
              <w:bidi w:val="0"/>
              <w:rPr>
                <w:rFonts w:hint="eastAsia"/>
                <w:lang w:val="en-US" w:eastAsia="zh-CN"/>
              </w:rPr>
            </w:pPr>
          </w:p>
        </w:tc>
        <w:tc>
          <w:tcPr>
            <w:tcW w:w="378" w:type="pct"/>
            <w:vMerge w:val="continue"/>
            <w:shd w:val="clear" w:color="auto" w:fill="auto"/>
            <w:vAlign w:val="center"/>
          </w:tcPr>
          <w:p w14:paraId="7D005378">
            <w:pPr>
              <w:pStyle w:val="26"/>
              <w:bidi w:val="0"/>
              <w:rPr>
                <w:rFonts w:hint="eastAsia"/>
                <w:lang w:val="en-US" w:eastAsia="zh-CN"/>
              </w:rPr>
            </w:pPr>
          </w:p>
        </w:tc>
        <w:tc>
          <w:tcPr>
            <w:tcW w:w="383" w:type="pct"/>
            <w:vMerge w:val="restart"/>
            <w:shd w:val="clear" w:color="auto" w:fill="auto"/>
            <w:vAlign w:val="center"/>
          </w:tcPr>
          <w:p w14:paraId="203C0759">
            <w:pPr>
              <w:pStyle w:val="26"/>
              <w:bidi w:val="0"/>
              <w:rPr>
                <w:rFonts w:hint="default"/>
                <w:color w:val="auto"/>
                <w:highlight w:val="none"/>
                <w:lang w:val="en-US" w:eastAsia="zh-CN"/>
              </w:rPr>
            </w:pPr>
            <w:r>
              <w:rPr>
                <w:rFonts w:hint="eastAsia"/>
                <w:color w:val="auto"/>
                <w:highlight w:val="none"/>
                <w:lang w:val="en-US" w:eastAsia="zh-CN"/>
              </w:rPr>
              <w:t>凹印版</w:t>
            </w:r>
          </w:p>
        </w:tc>
        <w:tc>
          <w:tcPr>
            <w:tcW w:w="577" w:type="pct"/>
            <w:shd w:val="clear" w:color="auto" w:fill="auto"/>
            <w:vAlign w:val="center"/>
          </w:tcPr>
          <w:p w14:paraId="63DD6C6E">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14F0B68C">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030D9F59">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3B1FED91">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602CBB81">
            <w:pPr>
              <w:pStyle w:val="26"/>
              <w:bidi w:val="0"/>
              <w:rPr>
                <w:rFonts w:hint="default"/>
                <w:color w:val="auto"/>
                <w:highlight w:val="none"/>
                <w:lang w:val="en-US" w:eastAsia="zh-CN"/>
              </w:rPr>
            </w:pPr>
            <w:r>
              <w:rPr>
                <w:rFonts w:hint="eastAsia"/>
                <w:color w:val="auto"/>
                <w:highlight w:val="none"/>
                <w:lang w:val="en-US" w:eastAsia="zh-CN"/>
              </w:rPr>
              <w:t>本次新增</w:t>
            </w:r>
          </w:p>
        </w:tc>
      </w:tr>
      <w:tr w14:paraId="6CC4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204C0384">
            <w:pPr>
              <w:pStyle w:val="26"/>
              <w:bidi w:val="0"/>
              <w:rPr>
                <w:rFonts w:hint="eastAsia"/>
                <w:lang w:val="en-US" w:eastAsia="zh-CN"/>
              </w:rPr>
            </w:pPr>
          </w:p>
        </w:tc>
        <w:tc>
          <w:tcPr>
            <w:tcW w:w="378" w:type="pct"/>
            <w:vMerge w:val="continue"/>
            <w:shd w:val="clear" w:color="auto" w:fill="auto"/>
            <w:vAlign w:val="center"/>
          </w:tcPr>
          <w:p w14:paraId="7B4E4173">
            <w:pPr>
              <w:pStyle w:val="26"/>
              <w:bidi w:val="0"/>
              <w:rPr>
                <w:rFonts w:hint="eastAsia"/>
                <w:lang w:val="en-US" w:eastAsia="zh-CN"/>
              </w:rPr>
            </w:pPr>
          </w:p>
        </w:tc>
        <w:tc>
          <w:tcPr>
            <w:tcW w:w="383" w:type="pct"/>
            <w:vMerge w:val="continue"/>
            <w:shd w:val="clear" w:color="auto" w:fill="auto"/>
            <w:vAlign w:val="center"/>
          </w:tcPr>
          <w:p w14:paraId="29CF4881">
            <w:pPr>
              <w:pStyle w:val="26"/>
              <w:bidi w:val="0"/>
              <w:rPr>
                <w:rFonts w:hint="eastAsia"/>
                <w:color w:val="auto"/>
                <w:highlight w:val="none"/>
                <w:lang w:val="en-US" w:eastAsia="zh-CN"/>
              </w:rPr>
            </w:pPr>
          </w:p>
        </w:tc>
        <w:tc>
          <w:tcPr>
            <w:tcW w:w="577" w:type="pct"/>
            <w:shd w:val="clear" w:color="auto" w:fill="auto"/>
            <w:vAlign w:val="center"/>
          </w:tcPr>
          <w:p w14:paraId="7CB5BD8D">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10C9D43F">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64FC038E">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2F2A1848">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2C35CC27">
            <w:pPr>
              <w:pStyle w:val="26"/>
              <w:bidi w:val="0"/>
              <w:rPr>
                <w:rFonts w:hint="eastAsia"/>
                <w:color w:val="auto"/>
                <w:highlight w:val="none"/>
                <w:lang w:val="en-US" w:eastAsia="zh-CN"/>
              </w:rPr>
            </w:pPr>
            <w:r>
              <w:rPr>
                <w:rFonts w:hint="eastAsia"/>
                <w:color w:val="auto"/>
                <w:highlight w:val="none"/>
                <w:lang w:val="en-US" w:eastAsia="zh-CN"/>
              </w:rPr>
              <w:t>本次新增</w:t>
            </w:r>
          </w:p>
        </w:tc>
      </w:tr>
      <w:tr w14:paraId="1216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2A2A6CD6">
            <w:pPr>
              <w:pStyle w:val="26"/>
              <w:bidi w:val="0"/>
              <w:rPr>
                <w:rFonts w:hint="eastAsia"/>
                <w:lang w:val="en-US" w:eastAsia="zh-CN"/>
              </w:rPr>
            </w:pPr>
          </w:p>
        </w:tc>
        <w:tc>
          <w:tcPr>
            <w:tcW w:w="378" w:type="pct"/>
            <w:vMerge w:val="continue"/>
            <w:shd w:val="clear" w:color="auto" w:fill="auto"/>
            <w:vAlign w:val="center"/>
          </w:tcPr>
          <w:p w14:paraId="4F7F48E1">
            <w:pPr>
              <w:pStyle w:val="26"/>
              <w:bidi w:val="0"/>
              <w:rPr>
                <w:rFonts w:hint="eastAsia"/>
                <w:lang w:val="en-US" w:eastAsia="zh-CN"/>
              </w:rPr>
            </w:pPr>
          </w:p>
        </w:tc>
        <w:tc>
          <w:tcPr>
            <w:tcW w:w="383" w:type="pct"/>
            <w:vMerge w:val="continue"/>
            <w:shd w:val="clear" w:color="auto" w:fill="auto"/>
            <w:vAlign w:val="center"/>
          </w:tcPr>
          <w:p w14:paraId="589D5918">
            <w:pPr>
              <w:pStyle w:val="26"/>
              <w:bidi w:val="0"/>
              <w:rPr>
                <w:rFonts w:hint="eastAsia"/>
                <w:color w:val="auto"/>
                <w:highlight w:val="none"/>
                <w:lang w:val="en-US" w:eastAsia="zh-CN"/>
              </w:rPr>
            </w:pPr>
          </w:p>
        </w:tc>
        <w:tc>
          <w:tcPr>
            <w:tcW w:w="577" w:type="pct"/>
            <w:shd w:val="clear" w:color="auto" w:fill="auto"/>
            <w:vAlign w:val="center"/>
          </w:tcPr>
          <w:p w14:paraId="2B9E769F">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0457A5E0">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0F3CB4A9">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441680F2">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7057C16F">
            <w:pPr>
              <w:pStyle w:val="26"/>
              <w:bidi w:val="0"/>
              <w:rPr>
                <w:rFonts w:hint="eastAsia"/>
                <w:color w:val="auto"/>
                <w:highlight w:val="none"/>
                <w:lang w:val="en-US" w:eastAsia="zh-CN"/>
              </w:rPr>
            </w:pPr>
            <w:r>
              <w:rPr>
                <w:rFonts w:hint="eastAsia"/>
                <w:color w:val="auto"/>
                <w:highlight w:val="none"/>
                <w:lang w:val="en-US" w:eastAsia="zh-CN"/>
              </w:rPr>
              <w:t>本次新增</w:t>
            </w:r>
          </w:p>
        </w:tc>
      </w:tr>
      <w:tr w14:paraId="130F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1D953D70">
            <w:pPr>
              <w:pStyle w:val="26"/>
              <w:bidi w:val="0"/>
              <w:rPr>
                <w:rFonts w:hint="eastAsia"/>
                <w:lang w:val="en-US" w:eastAsia="zh-CN"/>
              </w:rPr>
            </w:pPr>
          </w:p>
        </w:tc>
        <w:tc>
          <w:tcPr>
            <w:tcW w:w="378" w:type="pct"/>
            <w:vMerge w:val="continue"/>
            <w:shd w:val="clear" w:color="auto" w:fill="auto"/>
            <w:vAlign w:val="center"/>
          </w:tcPr>
          <w:p w14:paraId="56C2597F">
            <w:pPr>
              <w:pStyle w:val="26"/>
              <w:bidi w:val="0"/>
              <w:rPr>
                <w:rFonts w:hint="eastAsia"/>
                <w:lang w:val="en-US" w:eastAsia="zh-CN"/>
              </w:rPr>
            </w:pPr>
          </w:p>
        </w:tc>
        <w:tc>
          <w:tcPr>
            <w:tcW w:w="383" w:type="pct"/>
            <w:vMerge w:val="restart"/>
            <w:shd w:val="clear" w:color="auto" w:fill="auto"/>
            <w:vAlign w:val="center"/>
          </w:tcPr>
          <w:p w14:paraId="4A5A2B27">
            <w:pPr>
              <w:pStyle w:val="26"/>
              <w:bidi w:val="0"/>
              <w:rPr>
                <w:rFonts w:hint="eastAsia"/>
                <w:color w:val="auto"/>
                <w:highlight w:val="none"/>
              </w:rPr>
            </w:pPr>
            <w:r>
              <w:rPr>
                <w:rFonts w:hint="eastAsia"/>
                <w:color w:val="auto"/>
                <w:highlight w:val="none"/>
              </w:rPr>
              <w:t>磁性模切</w:t>
            </w:r>
          </w:p>
          <w:p w14:paraId="38B5784B">
            <w:pPr>
              <w:pStyle w:val="26"/>
              <w:bidi w:val="0"/>
              <w:rPr>
                <w:rFonts w:hint="eastAsia"/>
                <w:color w:val="auto"/>
                <w:highlight w:val="none"/>
                <w:lang w:val="en-US" w:eastAsia="zh-CN"/>
              </w:rPr>
            </w:pPr>
            <w:r>
              <w:rPr>
                <w:rFonts w:hint="eastAsia"/>
                <w:color w:val="auto"/>
                <w:highlight w:val="none"/>
              </w:rPr>
              <w:t>刀版</w:t>
            </w:r>
          </w:p>
        </w:tc>
        <w:tc>
          <w:tcPr>
            <w:tcW w:w="577" w:type="pct"/>
            <w:shd w:val="clear" w:color="auto" w:fill="auto"/>
            <w:vAlign w:val="center"/>
          </w:tcPr>
          <w:p w14:paraId="02CB7A64">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1B5AD7B5">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0CD959B5">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45F7D5BD">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4C3DAF71">
            <w:pPr>
              <w:pStyle w:val="26"/>
              <w:bidi w:val="0"/>
              <w:rPr>
                <w:rFonts w:hint="eastAsia"/>
                <w:color w:val="auto"/>
                <w:highlight w:val="none"/>
                <w:lang w:val="en-US" w:eastAsia="zh-CN"/>
              </w:rPr>
            </w:pPr>
            <w:r>
              <w:rPr>
                <w:rFonts w:hint="eastAsia"/>
                <w:color w:val="auto"/>
                <w:highlight w:val="none"/>
                <w:lang w:val="en-US" w:eastAsia="zh-CN"/>
              </w:rPr>
              <w:t>本次新增</w:t>
            </w:r>
          </w:p>
        </w:tc>
      </w:tr>
      <w:tr w14:paraId="14BD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220FF77F">
            <w:pPr>
              <w:pStyle w:val="26"/>
              <w:bidi w:val="0"/>
              <w:rPr>
                <w:rFonts w:hint="eastAsia"/>
                <w:lang w:val="en-US" w:eastAsia="zh-CN"/>
              </w:rPr>
            </w:pPr>
          </w:p>
        </w:tc>
        <w:tc>
          <w:tcPr>
            <w:tcW w:w="378" w:type="pct"/>
            <w:vMerge w:val="continue"/>
            <w:shd w:val="clear" w:color="auto" w:fill="auto"/>
            <w:vAlign w:val="center"/>
          </w:tcPr>
          <w:p w14:paraId="0C0289F2">
            <w:pPr>
              <w:pStyle w:val="26"/>
              <w:bidi w:val="0"/>
              <w:rPr>
                <w:rFonts w:hint="eastAsia"/>
                <w:lang w:val="en-US" w:eastAsia="zh-CN"/>
              </w:rPr>
            </w:pPr>
          </w:p>
        </w:tc>
        <w:tc>
          <w:tcPr>
            <w:tcW w:w="383" w:type="pct"/>
            <w:vMerge w:val="continue"/>
            <w:shd w:val="clear" w:color="auto" w:fill="auto"/>
            <w:vAlign w:val="center"/>
          </w:tcPr>
          <w:p w14:paraId="37D8384E">
            <w:pPr>
              <w:pStyle w:val="26"/>
              <w:bidi w:val="0"/>
              <w:rPr>
                <w:rFonts w:hint="eastAsia"/>
                <w:color w:val="auto"/>
                <w:highlight w:val="none"/>
                <w:lang w:val="en-US" w:eastAsia="zh-CN"/>
              </w:rPr>
            </w:pPr>
          </w:p>
        </w:tc>
        <w:tc>
          <w:tcPr>
            <w:tcW w:w="577" w:type="pct"/>
            <w:shd w:val="clear" w:color="auto" w:fill="auto"/>
            <w:vAlign w:val="center"/>
          </w:tcPr>
          <w:p w14:paraId="1B06B408">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4C2C9309">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482418C1">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4D969CF3">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219BC290">
            <w:pPr>
              <w:pStyle w:val="26"/>
              <w:bidi w:val="0"/>
              <w:rPr>
                <w:rFonts w:hint="eastAsia"/>
                <w:color w:val="auto"/>
                <w:highlight w:val="none"/>
                <w:lang w:val="en-US" w:eastAsia="zh-CN"/>
              </w:rPr>
            </w:pPr>
            <w:r>
              <w:rPr>
                <w:rFonts w:hint="eastAsia"/>
                <w:color w:val="auto"/>
                <w:highlight w:val="none"/>
                <w:lang w:val="en-US" w:eastAsia="zh-CN"/>
              </w:rPr>
              <w:t>本次新增</w:t>
            </w:r>
          </w:p>
        </w:tc>
      </w:tr>
      <w:tr w14:paraId="70C9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04A92FB8">
            <w:pPr>
              <w:pStyle w:val="26"/>
              <w:bidi w:val="0"/>
              <w:rPr>
                <w:rFonts w:hint="eastAsia"/>
                <w:lang w:val="en-US" w:eastAsia="zh-CN"/>
              </w:rPr>
            </w:pPr>
          </w:p>
        </w:tc>
        <w:tc>
          <w:tcPr>
            <w:tcW w:w="378" w:type="pct"/>
            <w:vMerge w:val="continue"/>
            <w:shd w:val="clear" w:color="auto" w:fill="auto"/>
            <w:vAlign w:val="center"/>
          </w:tcPr>
          <w:p w14:paraId="456301CB">
            <w:pPr>
              <w:pStyle w:val="26"/>
              <w:bidi w:val="0"/>
              <w:rPr>
                <w:rFonts w:hint="eastAsia"/>
                <w:lang w:val="en-US" w:eastAsia="zh-CN"/>
              </w:rPr>
            </w:pPr>
          </w:p>
        </w:tc>
        <w:tc>
          <w:tcPr>
            <w:tcW w:w="383" w:type="pct"/>
            <w:vMerge w:val="restart"/>
            <w:shd w:val="clear" w:color="auto" w:fill="auto"/>
            <w:vAlign w:val="center"/>
          </w:tcPr>
          <w:p w14:paraId="68D9307E">
            <w:pPr>
              <w:pStyle w:val="26"/>
              <w:bidi w:val="0"/>
              <w:rPr>
                <w:rFonts w:hint="eastAsia"/>
                <w:color w:val="auto"/>
                <w:highlight w:val="none"/>
                <w:lang w:val="en-US" w:eastAsia="zh-CN"/>
              </w:rPr>
            </w:pPr>
            <w:r>
              <w:rPr>
                <w:rFonts w:hint="eastAsia"/>
                <w:color w:val="auto"/>
                <w:highlight w:val="none"/>
                <w:lang w:val="en-US" w:eastAsia="zh-CN"/>
              </w:rPr>
              <w:t>热压模板</w:t>
            </w:r>
          </w:p>
        </w:tc>
        <w:tc>
          <w:tcPr>
            <w:tcW w:w="577" w:type="pct"/>
            <w:shd w:val="clear" w:color="auto" w:fill="auto"/>
            <w:vAlign w:val="center"/>
          </w:tcPr>
          <w:p w14:paraId="4A2C79AA">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038F350B">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5A03A31F">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247BF5D7">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70B68A43">
            <w:pPr>
              <w:pStyle w:val="26"/>
              <w:bidi w:val="0"/>
              <w:rPr>
                <w:rFonts w:hint="eastAsia"/>
                <w:color w:val="auto"/>
                <w:highlight w:val="none"/>
                <w:lang w:val="en-US" w:eastAsia="zh-CN"/>
              </w:rPr>
            </w:pPr>
            <w:r>
              <w:rPr>
                <w:rFonts w:hint="eastAsia"/>
                <w:color w:val="auto"/>
                <w:highlight w:val="none"/>
                <w:lang w:val="en-US" w:eastAsia="zh-CN"/>
              </w:rPr>
              <w:t>本次新增</w:t>
            </w:r>
          </w:p>
        </w:tc>
      </w:tr>
      <w:tr w14:paraId="7E58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70DF3F14">
            <w:pPr>
              <w:pStyle w:val="26"/>
              <w:bidi w:val="0"/>
              <w:rPr>
                <w:rFonts w:hint="eastAsia"/>
                <w:lang w:val="en-US" w:eastAsia="zh-CN"/>
              </w:rPr>
            </w:pPr>
          </w:p>
        </w:tc>
        <w:tc>
          <w:tcPr>
            <w:tcW w:w="378" w:type="pct"/>
            <w:vMerge w:val="continue"/>
            <w:shd w:val="clear" w:color="auto" w:fill="auto"/>
            <w:vAlign w:val="center"/>
          </w:tcPr>
          <w:p w14:paraId="03921DF3">
            <w:pPr>
              <w:pStyle w:val="26"/>
              <w:bidi w:val="0"/>
              <w:rPr>
                <w:rFonts w:hint="eastAsia"/>
                <w:lang w:val="en-US" w:eastAsia="zh-CN"/>
              </w:rPr>
            </w:pPr>
          </w:p>
        </w:tc>
        <w:tc>
          <w:tcPr>
            <w:tcW w:w="383" w:type="pct"/>
            <w:vMerge w:val="continue"/>
            <w:shd w:val="clear" w:color="auto" w:fill="auto"/>
            <w:vAlign w:val="center"/>
          </w:tcPr>
          <w:p w14:paraId="7588206C">
            <w:pPr>
              <w:pStyle w:val="26"/>
              <w:bidi w:val="0"/>
              <w:rPr>
                <w:rFonts w:hint="eastAsia"/>
                <w:color w:val="auto"/>
                <w:highlight w:val="none"/>
                <w:lang w:val="en-US" w:eastAsia="zh-CN"/>
              </w:rPr>
            </w:pPr>
          </w:p>
        </w:tc>
        <w:tc>
          <w:tcPr>
            <w:tcW w:w="577" w:type="pct"/>
            <w:shd w:val="clear" w:color="auto" w:fill="auto"/>
            <w:vAlign w:val="center"/>
          </w:tcPr>
          <w:p w14:paraId="642D7882">
            <w:pPr>
              <w:pStyle w:val="26"/>
              <w:bidi w:val="0"/>
              <w:rPr>
                <w:rFonts w:hint="eastAsia"/>
                <w:color w:val="auto"/>
                <w:highlight w:val="none"/>
                <w:lang w:val="en-US" w:eastAsia="zh-CN"/>
              </w:rPr>
            </w:pPr>
            <w:r>
              <w:rPr>
                <w:rFonts w:hint="eastAsia"/>
                <w:color w:val="auto"/>
                <w:highlight w:val="none"/>
                <w:lang w:val="en-US" w:eastAsia="zh-CN"/>
              </w:rPr>
              <w:t>/</w:t>
            </w:r>
          </w:p>
        </w:tc>
        <w:tc>
          <w:tcPr>
            <w:tcW w:w="737" w:type="pct"/>
            <w:gridSpan w:val="2"/>
            <w:shd w:val="clear" w:color="auto" w:fill="auto"/>
            <w:vAlign w:val="center"/>
          </w:tcPr>
          <w:p w14:paraId="3767041D">
            <w:pPr>
              <w:pStyle w:val="26"/>
              <w:bidi w:val="0"/>
              <w:rPr>
                <w:rFonts w:hint="eastAsia"/>
                <w:color w:val="auto"/>
                <w:highlight w:val="none"/>
                <w:lang w:val="en-US" w:eastAsia="zh-CN"/>
              </w:rPr>
            </w:pPr>
            <w:r>
              <w:rPr>
                <w:rFonts w:hint="eastAsia"/>
                <w:color w:val="auto"/>
                <w:highlight w:val="none"/>
                <w:lang w:val="en-US" w:eastAsia="zh-CN"/>
              </w:rPr>
              <w:t>/</w:t>
            </w:r>
          </w:p>
        </w:tc>
        <w:tc>
          <w:tcPr>
            <w:tcW w:w="1102" w:type="pct"/>
            <w:shd w:val="clear" w:color="auto" w:fill="auto"/>
            <w:vAlign w:val="center"/>
          </w:tcPr>
          <w:p w14:paraId="1C9F483C">
            <w:pPr>
              <w:pStyle w:val="26"/>
              <w:bidi w:val="0"/>
              <w:rPr>
                <w:rFonts w:hint="eastAsia"/>
                <w:color w:val="FF0000"/>
                <w:highlight w:val="black"/>
                <w:lang w:val="en-US" w:eastAsia="zh-CN"/>
              </w:rPr>
            </w:pPr>
            <w:r>
              <w:rPr>
                <w:rFonts w:hint="eastAsia"/>
                <w:highlight w:val="black"/>
                <w:lang w:val="en-US" w:eastAsia="zh-CN"/>
              </w:rPr>
              <w:t>移动式焊烟净化器收集处理后，加强车间通风</w:t>
            </w:r>
          </w:p>
        </w:tc>
        <w:tc>
          <w:tcPr>
            <w:tcW w:w="727" w:type="pct"/>
            <w:shd w:val="clear" w:color="auto" w:fill="auto"/>
            <w:vAlign w:val="center"/>
          </w:tcPr>
          <w:p w14:paraId="1A76D284">
            <w:pPr>
              <w:pStyle w:val="26"/>
              <w:bidi w:val="0"/>
              <w:rPr>
                <w:rFonts w:hint="eastAsia"/>
                <w:color w:val="FF0000"/>
                <w:highlight w:val="black"/>
                <w:lang w:val="en-US" w:eastAsia="zh-CN"/>
              </w:rPr>
            </w:pPr>
            <w:r>
              <w:rPr>
                <w:rFonts w:hint="eastAsia"/>
                <w:highlight w:val="black"/>
                <w:lang w:val="en-US" w:eastAsia="zh-CN"/>
              </w:rPr>
              <w:t>不变</w:t>
            </w:r>
          </w:p>
        </w:tc>
        <w:tc>
          <w:tcPr>
            <w:tcW w:w="683" w:type="pct"/>
            <w:shd w:val="clear" w:color="auto" w:fill="auto"/>
            <w:vAlign w:val="center"/>
          </w:tcPr>
          <w:p w14:paraId="32D5626A">
            <w:pPr>
              <w:pStyle w:val="26"/>
              <w:bidi w:val="0"/>
              <w:rPr>
                <w:rFonts w:hint="eastAsia"/>
                <w:color w:val="auto"/>
                <w:highlight w:val="none"/>
                <w:lang w:val="en-US" w:eastAsia="zh-CN"/>
              </w:rPr>
            </w:pPr>
            <w:r>
              <w:rPr>
                <w:rFonts w:hint="eastAsia"/>
                <w:color w:val="auto"/>
                <w:highlight w:val="none"/>
                <w:lang w:val="en-US" w:eastAsia="zh-CN"/>
              </w:rPr>
              <w:t>本次新增</w:t>
            </w:r>
          </w:p>
        </w:tc>
      </w:tr>
      <w:tr w14:paraId="02A7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3FF641A9">
            <w:pPr>
              <w:pStyle w:val="26"/>
              <w:bidi w:val="0"/>
              <w:rPr>
                <w:rFonts w:hint="eastAsia"/>
                <w:lang w:val="en-US" w:eastAsia="zh-CN"/>
              </w:rPr>
            </w:pPr>
          </w:p>
        </w:tc>
        <w:tc>
          <w:tcPr>
            <w:tcW w:w="378" w:type="pct"/>
            <w:vMerge w:val="continue"/>
            <w:shd w:val="clear" w:color="auto" w:fill="auto"/>
            <w:vAlign w:val="center"/>
          </w:tcPr>
          <w:p w14:paraId="753C8448">
            <w:pPr>
              <w:pStyle w:val="26"/>
              <w:bidi w:val="0"/>
              <w:rPr>
                <w:rFonts w:hint="eastAsia"/>
                <w:lang w:val="en-US" w:eastAsia="zh-CN"/>
              </w:rPr>
            </w:pPr>
          </w:p>
        </w:tc>
        <w:tc>
          <w:tcPr>
            <w:tcW w:w="383" w:type="pct"/>
            <w:vMerge w:val="restart"/>
            <w:shd w:val="clear" w:color="auto" w:fill="auto"/>
            <w:vAlign w:val="center"/>
          </w:tcPr>
          <w:p w14:paraId="5D7C8614">
            <w:pPr>
              <w:pStyle w:val="26"/>
              <w:bidi w:val="0"/>
              <w:rPr>
                <w:rFonts w:hint="eastAsia"/>
                <w:color w:val="auto"/>
                <w:lang w:val="en-US" w:eastAsia="zh-CN"/>
              </w:rPr>
            </w:pPr>
            <w:r>
              <w:rPr>
                <w:rFonts w:hint="eastAsia"/>
                <w:color w:val="auto"/>
                <w:lang w:val="en-US" w:eastAsia="zh-CN"/>
              </w:rPr>
              <w:t>微精版</w:t>
            </w:r>
          </w:p>
        </w:tc>
        <w:tc>
          <w:tcPr>
            <w:tcW w:w="577" w:type="pct"/>
            <w:shd w:val="clear" w:color="auto" w:fill="auto"/>
            <w:vAlign w:val="center"/>
          </w:tcPr>
          <w:p w14:paraId="0C8C3BCC">
            <w:pPr>
              <w:pStyle w:val="26"/>
              <w:bidi w:val="0"/>
              <w:rPr>
                <w:rFonts w:hint="eastAsia"/>
                <w:color w:val="auto"/>
                <w:lang w:val="en-US" w:eastAsia="zh-CN"/>
              </w:rPr>
            </w:pPr>
            <w:r>
              <w:rPr>
                <w:rFonts w:hint="eastAsia"/>
                <w:color w:val="auto"/>
                <w:lang w:val="en-US" w:eastAsia="zh-CN"/>
              </w:rPr>
              <w:t>镀铜产生的氯化氢、硫酸雾</w:t>
            </w:r>
          </w:p>
        </w:tc>
        <w:tc>
          <w:tcPr>
            <w:tcW w:w="737" w:type="pct"/>
            <w:gridSpan w:val="2"/>
            <w:shd w:val="clear" w:color="auto" w:fill="auto"/>
            <w:vAlign w:val="center"/>
          </w:tcPr>
          <w:p w14:paraId="7A96F07D">
            <w:pPr>
              <w:pStyle w:val="26"/>
              <w:bidi w:val="0"/>
              <w:rPr>
                <w:rFonts w:hint="eastAsia"/>
                <w:color w:val="auto"/>
                <w:lang w:val="en-US" w:eastAsia="zh-CN"/>
              </w:rPr>
            </w:pPr>
            <w:r>
              <w:rPr>
                <w:rFonts w:hint="eastAsia"/>
                <w:color w:val="auto"/>
                <w:lang w:val="en-US" w:eastAsia="zh-CN"/>
              </w:rPr>
              <w:t>密闭管路收集+“二级碱喷淋塔”+15米高的排气筒</w:t>
            </w:r>
          </w:p>
          <w:p w14:paraId="4403F5F4">
            <w:pPr>
              <w:pStyle w:val="26"/>
              <w:bidi w:val="0"/>
              <w:rPr>
                <w:rFonts w:hint="eastAsia"/>
                <w:color w:val="auto"/>
                <w:lang w:val="en-US" w:eastAsia="zh-CN"/>
              </w:rPr>
            </w:pPr>
            <w:r>
              <w:rPr>
                <w:rFonts w:hint="eastAsia"/>
                <w:color w:val="auto"/>
                <w:lang w:val="en-US" w:eastAsia="zh-CN"/>
              </w:rPr>
              <w:t>（DA006）</w:t>
            </w:r>
          </w:p>
        </w:tc>
        <w:tc>
          <w:tcPr>
            <w:tcW w:w="1102" w:type="pct"/>
            <w:shd w:val="clear" w:color="auto" w:fill="auto"/>
            <w:vAlign w:val="center"/>
          </w:tcPr>
          <w:p w14:paraId="6CB5D0F1">
            <w:pPr>
              <w:pStyle w:val="26"/>
              <w:bidi w:val="0"/>
              <w:rPr>
                <w:rFonts w:hint="eastAsia"/>
                <w:lang w:val="en-US" w:eastAsia="zh-CN"/>
              </w:rPr>
            </w:pPr>
            <w:r>
              <w:rPr>
                <w:rFonts w:hint="eastAsia"/>
                <w:lang w:val="en-US" w:eastAsia="zh-CN"/>
              </w:rPr>
              <w:t>密闭管路收集+“二级碱喷淋塔”+15米高的排气筒</w:t>
            </w:r>
          </w:p>
          <w:p w14:paraId="42FB100E">
            <w:pPr>
              <w:pStyle w:val="26"/>
              <w:bidi w:val="0"/>
              <w:rPr>
                <w:rFonts w:hint="eastAsia"/>
                <w:lang w:val="en-US" w:eastAsia="zh-CN"/>
              </w:rPr>
            </w:pPr>
            <w:r>
              <w:rPr>
                <w:rFonts w:hint="eastAsia"/>
                <w:lang w:val="en-US" w:eastAsia="zh-CN"/>
              </w:rPr>
              <w:t>（DA006）</w:t>
            </w:r>
          </w:p>
        </w:tc>
        <w:tc>
          <w:tcPr>
            <w:tcW w:w="727" w:type="pct"/>
            <w:shd w:val="clear" w:color="auto" w:fill="auto"/>
            <w:vAlign w:val="center"/>
          </w:tcPr>
          <w:p w14:paraId="2ABCD7F2">
            <w:pPr>
              <w:pStyle w:val="26"/>
              <w:bidi w:val="0"/>
              <w:rPr>
                <w:rFonts w:hint="default"/>
                <w:lang w:val="en-US" w:eastAsia="zh-CN"/>
              </w:rPr>
            </w:pPr>
            <w:r>
              <w:rPr>
                <w:rFonts w:hint="eastAsia"/>
                <w:lang w:val="en-US" w:eastAsia="zh-CN"/>
              </w:rPr>
              <w:t>不变</w:t>
            </w:r>
          </w:p>
        </w:tc>
        <w:tc>
          <w:tcPr>
            <w:tcW w:w="683" w:type="pct"/>
            <w:shd w:val="clear" w:color="auto" w:fill="auto"/>
            <w:vAlign w:val="center"/>
          </w:tcPr>
          <w:p w14:paraId="206692BB">
            <w:pPr>
              <w:pStyle w:val="26"/>
              <w:bidi w:val="0"/>
              <w:rPr>
                <w:rFonts w:hint="eastAsia"/>
                <w:lang w:val="en-US" w:eastAsia="zh-CN"/>
              </w:rPr>
            </w:pPr>
            <w:r>
              <w:rPr>
                <w:rFonts w:hint="eastAsia"/>
                <w:lang w:val="en-US" w:eastAsia="zh-CN"/>
              </w:rPr>
              <w:t>/</w:t>
            </w:r>
          </w:p>
        </w:tc>
      </w:tr>
      <w:tr w14:paraId="112E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0A32AA78">
            <w:pPr>
              <w:pStyle w:val="26"/>
              <w:bidi w:val="0"/>
              <w:rPr>
                <w:rFonts w:hint="eastAsia"/>
                <w:lang w:val="en-US" w:eastAsia="zh-CN"/>
              </w:rPr>
            </w:pPr>
          </w:p>
        </w:tc>
        <w:tc>
          <w:tcPr>
            <w:tcW w:w="378" w:type="pct"/>
            <w:vMerge w:val="continue"/>
            <w:shd w:val="clear" w:color="auto" w:fill="auto"/>
            <w:vAlign w:val="center"/>
          </w:tcPr>
          <w:p w14:paraId="55D3E000">
            <w:pPr>
              <w:pStyle w:val="26"/>
              <w:bidi w:val="0"/>
              <w:rPr>
                <w:rFonts w:hint="eastAsia"/>
                <w:lang w:val="en-US" w:eastAsia="zh-CN"/>
              </w:rPr>
            </w:pPr>
          </w:p>
        </w:tc>
        <w:tc>
          <w:tcPr>
            <w:tcW w:w="383" w:type="pct"/>
            <w:vMerge w:val="continue"/>
            <w:shd w:val="clear" w:color="auto" w:fill="auto"/>
            <w:vAlign w:val="center"/>
          </w:tcPr>
          <w:p w14:paraId="2158E569">
            <w:pPr>
              <w:pStyle w:val="26"/>
              <w:bidi w:val="0"/>
              <w:rPr>
                <w:rFonts w:hint="eastAsia"/>
                <w:color w:val="auto"/>
                <w:lang w:val="en-US" w:eastAsia="zh-CN"/>
              </w:rPr>
            </w:pPr>
          </w:p>
        </w:tc>
        <w:tc>
          <w:tcPr>
            <w:tcW w:w="577" w:type="pct"/>
            <w:shd w:val="clear" w:color="auto" w:fill="auto"/>
            <w:vAlign w:val="center"/>
          </w:tcPr>
          <w:p w14:paraId="535A2877">
            <w:pPr>
              <w:pStyle w:val="26"/>
              <w:bidi w:val="0"/>
              <w:rPr>
                <w:rFonts w:hint="eastAsia"/>
                <w:color w:val="auto"/>
                <w:lang w:val="en-US" w:eastAsia="zh-CN"/>
              </w:rPr>
            </w:pPr>
            <w:r>
              <w:rPr>
                <w:rFonts w:hint="eastAsia"/>
                <w:color w:val="auto"/>
                <w:lang w:val="en-US" w:eastAsia="zh-CN"/>
              </w:rPr>
              <w:t>镀铬产生的硫酸雾、铬酸雾</w:t>
            </w:r>
          </w:p>
        </w:tc>
        <w:tc>
          <w:tcPr>
            <w:tcW w:w="737" w:type="pct"/>
            <w:gridSpan w:val="2"/>
            <w:shd w:val="clear" w:color="auto" w:fill="auto"/>
            <w:vAlign w:val="center"/>
          </w:tcPr>
          <w:p w14:paraId="0141C7D9">
            <w:pPr>
              <w:pStyle w:val="26"/>
              <w:bidi w:val="0"/>
              <w:rPr>
                <w:rFonts w:hint="eastAsia"/>
                <w:color w:val="auto"/>
                <w:lang w:val="en-US" w:eastAsia="zh-CN"/>
              </w:rPr>
            </w:pPr>
            <w:r>
              <w:rPr>
                <w:rFonts w:hint="eastAsia"/>
                <w:color w:val="auto"/>
                <w:lang w:val="en-US" w:eastAsia="zh-CN"/>
              </w:rPr>
              <w:t>密闭管路收集+“凝聚回收+二级碱喷淋塔”+15米高的排气筒（DA007）</w:t>
            </w:r>
          </w:p>
        </w:tc>
        <w:tc>
          <w:tcPr>
            <w:tcW w:w="1102" w:type="pct"/>
            <w:shd w:val="clear" w:color="auto" w:fill="auto"/>
            <w:vAlign w:val="center"/>
          </w:tcPr>
          <w:p w14:paraId="313A5500">
            <w:pPr>
              <w:pStyle w:val="26"/>
              <w:bidi w:val="0"/>
              <w:rPr>
                <w:rFonts w:hint="eastAsia"/>
                <w:lang w:val="en-US" w:eastAsia="zh-CN"/>
              </w:rPr>
            </w:pPr>
            <w:r>
              <w:rPr>
                <w:rFonts w:hint="eastAsia"/>
                <w:lang w:val="en-US" w:eastAsia="zh-CN"/>
              </w:rPr>
              <w:t>密闭管路收集+“凝聚回收+二级碱喷淋塔”+15米高的排气筒（DA007）</w:t>
            </w:r>
          </w:p>
        </w:tc>
        <w:tc>
          <w:tcPr>
            <w:tcW w:w="727" w:type="pct"/>
            <w:shd w:val="clear" w:color="auto" w:fill="auto"/>
            <w:vAlign w:val="center"/>
          </w:tcPr>
          <w:p w14:paraId="7CE588EB">
            <w:pPr>
              <w:pStyle w:val="26"/>
              <w:bidi w:val="0"/>
              <w:rPr>
                <w:rFonts w:hint="default"/>
                <w:lang w:val="en-US" w:eastAsia="zh-CN"/>
              </w:rPr>
            </w:pPr>
            <w:r>
              <w:rPr>
                <w:rFonts w:hint="eastAsia"/>
                <w:lang w:val="en-US" w:eastAsia="zh-CN"/>
              </w:rPr>
              <w:t>不变</w:t>
            </w:r>
          </w:p>
        </w:tc>
        <w:tc>
          <w:tcPr>
            <w:tcW w:w="683" w:type="pct"/>
            <w:shd w:val="clear" w:color="auto" w:fill="auto"/>
            <w:vAlign w:val="center"/>
          </w:tcPr>
          <w:p w14:paraId="0914F586">
            <w:pPr>
              <w:pStyle w:val="26"/>
              <w:bidi w:val="0"/>
              <w:rPr>
                <w:rFonts w:hint="eastAsia"/>
                <w:lang w:val="en-US" w:eastAsia="zh-CN"/>
              </w:rPr>
            </w:pPr>
            <w:r>
              <w:rPr>
                <w:rFonts w:hint="eastAsia"/>
                <w:lang w:val="en-US" w:eastAsia="zh-CN"/>
              </w:rPr>
              <w:t>/</w:t>
            </w:r>
          </w:p>
        </w:tc>
      </w:tr>
      <w:tr w14:paraId="2094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10" w:type="pct"/>
            <w:vMerge w:val="continue"/>
            <w:shd w:val="clear" w:color="auto" w:fill="auto"/>
            <w:vAlign w:val="center"/>
          </w:tcPr>
          <w:p w14:paraId="16E33952">
            <w:pPr>
              <w:pStyle w:val="26"/>
              <w:bidi w:val="0"/>
              <w:rPr>
                <w:rFonts w:hint="eastAsia"/>
                <w:lang w:val="en-US" w:eastAsia="zh-CN"/>
              </w:rPr>
            </w:pPr>
          </w:p>
        </w:tc>
        <w:tc>
          <w:tcPr>
            <w:tcW w:w="378" w:type="pct"/>
            <w:vMerge w:val="continue"/>
            <w:shd w:val="clear" w:color="auto" w:fill="auto"/>
            <w:vAlign w:val="center"/>
          </w:tcPr>
          <w:p w14:paraId="584812C4">
            <w:pPr>
              <w:pStyle w:val="26"/>
              <w:bidi w:val="0"/>
              <w:rPr>
                <w:rFonts w:hint="eastAsia"/>
                <w:lang w:val="en-US" w:eastAsia="zh-CN"/>
              </w:rPr>
            </w:pPr>
          </w:p>
        </w:tc>
        <w:tc>
          <w:tcPr>
            <w:tcW w:w="383" w:type="pct"/>
            <w:vMerge w:val="continue"/>
            <w:shd w:val="clear" w:color="auto" w:fill="auto"/>
            <w:vAlign w:val="center"/>
          </w:tcPr>
          <w:p w14:paraId="28AFB3CB">
            <w:pPr>
              <w:pStyle w:val="26"/>
              <w:bidi w:val="0"/>
              <w:rPr>
                <w:rFonts w:hint="eastAsia"/>
                <w:color w:val="auto"/>
                <w:lang w:val="en-US" w:eastAsia="zh-CN"/>
              </w:rPr>
            </w:pPr>
          </w:p>
        </w:tc>
        <w:tc>
          <w:tcPr>
            <w:tcW w:w="577" w:type="pct"/>
            <w:shd w:val="clear" w:color="auto" w:fill="auto"/>
            <w:vAlign w:val="center"/>
          </w:tcPr>
          <w:p w14:paraId="15F57406">
            <w:pPr>
              <w:pStyle w:val="26"/>
              <w:bidi w:val="0"/>
              <w:rPr>
                <w:rFonts w:hint="eastAsia"/>
                <w:color w:val="auto"/>
                <w:lang w:val="en-US" w:eastAsia="zh-CN"/>
              </w:rPr>
            </w:pPr>
            <w:r>
              <w:rPr>
                <w:rFonts w:hint="eastAsia"/>
                <w:color w:val="auto"/>
                <w:lang w:val="en-US" w:eastAsia="zh-CN"/>
              </w:rPr>
              <w:t>激光雕刻、擦拭、喷胶、清洁、打样产生的有机废气（非甲烷总烃）</w:t>
            </w:r>
          </w:p>
        </w:tc>
        <w:tc>
          <w:tcPr>
            <w:tcW w:w="737" w:type="pct"/>
            <w:gridSpan w:val="2"/>
            <w:shd w:val="clear" w:color="auto" w:fill="auto"/>
            <w:vAlign w:val="center"/>
          </w:tcPr>
          <w:p w14:paraId="6D7E58C8">
            <w:pPr>
              <w:pStyle w:val="26"/>
              <w:bidi w:val="0"/>
              <w:rPr>
                <w:rFonts w:hint="eastAsia"/>
                <w:color w:val="auto"/>
                <w:lang w:val="en-US" w:eastAsia="zh-CN"/>
              </w:rPr>
            </w:pPr>
            <w:r>
              <w:rPr>
                <w:rFonts w:hint="eastAsia"/>
                <w:color w:val="auto"/>
                <w:lang w:val="en-US" w:eastAsia="zh-CN"/>
              </w:rPr>
              <w:t>集气罩/密闭管路收</w:t>
            </w:r>
          </w:p>
          <w:p w14:paraId="37B8FD91">
            <w:pPr>
              <w:pStyle w:val="26"/>
              <w:bidi w:val="0"/>
              <w:rPr>
                <w:rFonts w:hint="eastAsia"/>
                <w:color w:val="auto"/>
                <w:lang w:val="en-US" w:eastAsia="zh-CN"/>
              </w:rPr>
            </w:pPr>
            <w:r>
              <w:rPr>
                <w:rFonts w:hint="eastAsia"/>
                <w:color w:val="auto"/>
                <w:lang w:val="en-US" w:eastAsia="zh-CN"/>
              </w:rPr>
              <w:t>集+“二级活性炭”+15米高的排气筒</w:t>
            </w:r>
          </w:p>
          <w:p w14:paraId="21B9FF4D">
            <w:pPr>
              <w:pStyle w:val="26"/>
              <w:bidi w:val="0"/>
              <w:rPr>
                <w:rFonts w:hint="eastAsia"/>
                <w:color w:val="auto"/>
                <w:lang w:val="en-US" w:eastAsia="zh-CN"/>
              </w:rPr>
            </w:pPr>
            <w:r>
              <w:rPr>
                <w:rFonts w:hint="eastAsia"/>
                <w:color w:val="auto"/>
                <w:lang w:val="en-US" w:eastAsia="zh-CN"/>
              </w:rPr>
              <w:t>（DA008）</w:t>
            </w:r>
          </w:p>
        </w:tc>
        <w:tc>
          <w:tcPr>
            <w:tcW w:w="1102" w:type="pct"/>
            <w:shd w:val="clear" w:color="auto" w:fill="auto"/>
            <w:vAlign w:val="center"/>
          </w:tcPr>
          <w:p w14:paraId="03A687D2">
            <w:pPr>
              <w:pStyle w:val="26"/>
              <w:bidi w:val="0"/>
              <w:rPr>
                <w:rFonts w:hint="eastAsia"/>
                <w:lang w:val="en-US" w:eastAsia="zh-CN"/>
              </w:rPr>
            </w:pPr>
            <w:r>
              <w:rPr>
                <w:rFonts w:hint="eastAsia"/>
                <w:lang w:val="en-US" w:eastAsia="zh-CN"/>
              </w:rPr>
              <w:t>集气罩/密闭管路收</w:t>
            </w:r>
          </w:p>
          <w:p w14:paraId="04D72AF8">
            <w:pPr>
              <w:pStyle w:val="26"/>
              <w:bidi w:val="0"/>
              <w:rPr>
                <w:rFonts w:hint="eastAsia"/>
                <w:lang w:val="en-US" w:eastAsia="zh-CN"/>
              </w:rPr>
            </w:pPr>
            <w:r>
              <w:rPr>
                <w:rFonts w:hint="eastAsia"/>
                <w:lang w:val="en-US" w:eastAsia="zh-CN"/>
              </w:rPr>
              <w:t>集+“二级活性炭”+15米高的排气筒</w:t>
            </w:r>
          </w:p>
          <w:p w14:paraId="2BBBE23E">
            <w:pPr>
              <w:pStyle w:val="26"/>
              <w:bidi w:val="0"/>
              <w:rPr>
                <w:rFonts w:hint="eastAsia"/>
                <w:lang w:val="en-US" w:eastAsia="zh-CN"/>
              </w:rPr>
            </w:pPr>
            <w:r>
              <w:rPr>
                <w:rFonts w:hint="eastAsia"/>
                <w:lang w:val="en-US" w:eastAsia="zh-CN"/>
              </w:rPr>
              <w:t>（DA008）</w:t>
            </w:r>
          </w:p>
        </w:tc>
        <w:tc>
          <w:tcPr>
            <w:tcW w:w="727" w:type="pct"/>
            <w:shd w:val="clear" w:color="auto" w:fill="auto"/>
            <w:vAlign w:val="center"/>
          </w:tcPr>
          <w:p w14:paraId="3A9094AD">
            <w:pPr>
              <w:pStyle w:val="26"/>
              <w:bidi w:val="0"/>
              <w:rPr>
                <w:rFonts w:hint="eastAsia"/>
                <w:lang w:val="en-US" w:eastAsia="zh-CN"/>
              </w:rPr>
            </w:pPr>
            <w:r>
              <w:rPr>
                <w:rFonts w:hint="eastAsia"/>
                <w:lang w:val="en-US" w:eastAsia="zh-CN"/>
              </w:rPr>
              <w:t>不变</w:t>
            </w:r>
          </w:p>
        </w:tc>
        <w:tc>
          <w:tcPr>
            <w:tcW w:w="683" w:type="pct"/>
            <w:shd w:val="clear" w:color="auto" w:fill="auto"/>
            <w:vAlign w:val="center"/>
          </w:tcPr>
          <w:p w14:paraId="20304542">
            <w:pPr>
              <w:pStyle w:val="26"/>
              <w:bidi w:val="0"/>
              <w:rPr>
                <w:rFonts w:hint="eastAsia"/>
                <w:lang w:val="en-US" w:eastAsia="zh-CN"/>
              </w:rPr>
            </w:pPr>
            <w:r>
              <w:rPr>
                <w:rFonts w:hint="eastAsia"/>
                <w:lang w:val="en-US" w:eastAsia="zh-CN"/>
              </w:rPr>
              <w:t>/</w:t>
            </w:r>
          </w:p>
        </w:tc>
      </w:tr>
      <w:tr w14:paraId="4FF5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10" w:type="pct"/>
            <w:vMerge w:val="continue"/>
            <w:shd w:val="clear" w:color="auto" w:fill="auto"/>
            <w:vAlign w:val="center"/>
          </w:tcPr>
          <w:p w14:paraId="7FA27D59">
            <w:pPr>
              <w:pStyle w:val="26"/>
              <w:bidi w:val="0"/>
              <w:rPr>
                <w:rFonts w:hint="eastAsia"/>
                <w:lang w:val="en-US" w:eastAsia="zh-CN"/>
              </w:rPr>
            </w:pPr>
          </w:p>
        </w:tc>
        <w:tc>
          <w:tcPr>
            <w:tcW w:w="378" w:type="pct"/>
            <w:vMerge w:val="continue"/>
            <w:shd w:val="clear" w:color="auto" w:fill="auto"/>
            <w:vAlign w:val="center"/>
          </w:tcPr>
          <w:p w14:paraId="7E2BD3FC">
            <w:pPr>
              <w:pStyle w:val="26"/>
              <w:bidi w:val="0"/>
              <w:rPr>
                <w:rFonts w:hint="eastAsia"/>
                <w:lang w:val="en-US" w:eastAsia="zh-CN"/>
              </w:rPr>
            </w:pPr>
          </w:p>
        </w:tc>
        <w:tc>
          <w:tcPr>
            <w:tcW w:w="383" w:type="pct"/>
            <w:shd w:val="clear" w:color="auto" w:fill="auto"/>
            <w:vAlign w:val="center"/>
          </w:tcPr>
          <w:p w14:paraId="6254B4B0">
            <w:pPr>
              <w:pStyle w:val="26"/>
              <w:bidi w:val="0"/>
              <w:rPr>
                <w:rFonts w:hint="eastAsia"/>
                <w:color w:val="auto"/>
                <w:lang w:val="en-US" w:eastAsia="zh-CN"/>
              </w:rPr>
            </w:pPr>
            <w:r>
              <w:rPr>
                <w:rFonts w:hint="eastAsia"/>
                <w:color w:val="auto"/>
                <w:lang w:val="en-US" w:eastAsia="zh-CN"/>
              </w:rPr>
              <w:t>危废暂存仓库、废水处理站</w:t>
            </w:r>
          </w:p>
        </w:tc>
        <w:tc>
          <w:tcPr>
            <w:tcW w:w="577" w:type="pct"/>
            <w:shd w:val="clear" w:color="auto" w:fill="auto"/>
            <w:vAlign w:val="center"/>
          </w:tcPr>
          <w:p w14:paraId="10B849F4">
            <w:pPr>
              <w:pStyle w:val="26"/>
              <w:bidi w:val="0"/>
              <w:rPr>
                <w:rFonts w:hint="eastAsia"/>
                <w:color w:val="auto"/>
                <w:lang w:val="en-US" w:eastAsia="zh-CN"/>
              </w:rPr>
            </w:pPr>
            <w:r>
              <w:rPr>
                <w:color w:val="auto"/>
                <w:lang w:val="en-US" w:eastAsia="zh-CN"/>
              </w:rPr>
              <w:t>氯化氢</w:t>
            </w:r>
          </w:p>
        </w:tc>
        <w:tc>
          <w:tcPr>
            <w:tcW w:w="737" w:type="pct"/>
            <w:gridSpan w:val="2"/>
            <w:shd w:val="clear" w:color="auto" w:fill="auto"/>
            <w:vAlign w:val="center"/>
          </w:tcPr>
          <w:p w14:paraId="06833C8B">
            <w:pPr>
              <w:pStyle w:val="26"/>
              <w:bidi w:val="0"/>
              <w:rPr>
                <w:rFonts w:hint="eastAsia"/>
                <w:color w:val="auto"/>
                <w:lang w:val="en-US" w:eastAsia="zh-CN"/>
              </w:rPr>
            </w:pPr>
            <w:r>
              <w:rPr>
                <w:rFonts w:hint="eastAsia"/>
                <w:color w:val="auto"/>
                <w:lang w:val="en-US" w:eastAsia="zh-CN"/>
              </w:rPr>
              <w:t>整体抽风收集+“碱喷淋”+15米高的排气筒（DA09）</w:t>
            </w:r>
          </w:p>
        </w:tc>
        <w:tc>
          <w:tcPr>
            <w:tcW w:w="1102" w:type="pct"/>
            <w:shd w:val="clear" w:color="auto" w:fill="auto"/>
            <w:vAlign w:val="center"/>
          </w:tcPr>
          <w:p w14:paraId="329D721F">
            <w:pPr>
              <w:pStyle w:val="26"/>
              <w:bidi w:val="0"/>
              <w:rPr>
                <w:rFonts w:hint="eastAsia"/>
                <w:lang w:val="en-US" w:eastAsia="zh-CN"/>
              </w:rPr>
            </w:pPr>
            <w:r>
              <w:rPr>
                <w:rFonts w:hint="eastAsia"/>
                <w:lang w:val="en-US" w:eastAsia="zh-CN"/>
              </w:rPr>
              <w:t>整体抽风收集+“碱喷淋”+15米高的排气筒（DA09）</w:t>
            </w:r>
          </w:p>
        </w:tc>
        <w:tc>
          <w:tcPr>
            <w:tcW w:w="727" w:type="pct"/>
            <w:shd w:val="clear" w:color="auto" w:fill="auto"/>
            <w:vAlign w:val="center"/>
          </w:tcPr>
          <w:p w14:paraId="0CAEBD5B">
            <w:pPr>
              <w:pStyle w:val="26"/>
              <w:bidi w:val="0"/>
              <w:rPr>
                <w:rFonts w:hint="default"/>
                <w:lang w:val="en-US" w:eastAsia="zh-CN"/>
              </w:rPr>
            </w:pPr>
            <w:r>
              <w:rPr>
                <w:rFonts w:hint="eastAsia"/>
                <w:lang w:val="en-US" w:eastAsia="zh-CN"/>
              </w:rPr>
              <w:t>不变</w:t>
            </w:r>
          </w:p>
        </w:tc>
        <w:tc>
          <w:tcPr>
            <w:tcW w:w="683" w:type="pct"/>
            <w:shd w:val="clear" w:color="auto" w:fill="auto"/>
            <w:vAlign w:val="center"/>
          </w:tcPr>
          <w:p w14:paraId="3F4AC041">
            <w:pPr>
              <w:pStyle w:val="26"/>
              <w:bidi w:val="0"/>
              <w:rPr>
                <w:rFonts w:hint="default"/>
                <w:lang w:val="en-US" w:eastAsia="zh-CN"/>
              </w:rPr>
            </w:pPr>
            <w:r>
              <w:rPr>
                <w:rFonts w:hint="eastAsia"/>
                <w:lang w:val="en-US" w:eastAsia="zh-CN"/>
              </w:rPr>
              <w:t>/</w:t>
            </w:r>
          </w:p>
        </w:tc>
      </w:tr>
      <w:tr w14:paraId="50FC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410" w:type="pct"/>
            <w:vMerge w:val="continue"/>
            <w:shd w:val="clear" w:color="auto" w:fill="auto"/>
            <w:vAlign w:val="center"/>
          </w:tcPr>
          <w:p w14:paraId="15131F5C">
            <w:pPr>
              <w:pStyle w:val="26"/>
              <w:bidi w:val="0"/>
              <w:rPr>
                <w:rFonts w:hint="eastAsia"/>
                <w:lang w:val="en-US" w:eastAsia="zh-CN"/>
              </w:rPr>
            </w:pPr>
          </w:p>
        </w:tc>
        <w:tc>
          <w:tcPr>
            <w:tcW w:w="378" w:type="pct"/>
            <w:vMerge w:val="restart"/>
            <w:shd w:val="clear" w:color="auto" w:fill="auto"/>
            <w:vAlign w:val="center"/>
          </w:tcPr>
          <w:p w14:paraId="192EAC4A">
            <w:pPr>
              <w:pStyle w:val="26"/>
              <w:bidi w:val="0"/>
              <w:rPr>
                <w:rFonts w:hint="eastAsia"/>
                <w:lang w:val="en-US" w:eastAsia="zh-CN"/>
              </w:rPr>
            </w:pPr>
            <w:r>
              <w:rPr>
                <w:rFonts w:hint="eastAsia"/>
                <w:lang w:val="en-US" w:eastAsia="zh-CN"/>
              </w:rPr>
              <w:t>废水处理</w:t>
            </w:r>
          </w:p>
        </w:tc>
        <w:tc>
          <w:tcPr>
            <w:tcW w:w="383" w:type="pct"/>
            <w:shd w:val="clear" w:color="auto" w:fill="auto"/>
            <w:vAlign w:val="center"/>
          </w:tcPr>
          <w:p w14:paraId="21A44258">
            <w:pPr>
              <w:pStyle w:val="26"/>
              <w:bidi w:val="0"/>
              <w:rPr>
                <w:rFonts w:hint="eastAsia"/>
                <w:color w:val="auto"/>
                <w:highlight w:val="none"/>
                <w:lang w:val="en-US" w:eastAsia="zh-CN"/>
              </w:rPr>
            </w:pPr>
            <w:r>
              <w:rPr>
                <w:rFonts w:hint="eastAsia"/>
                <w:color w:val="auto"/>
                <w:highlight w:val="none"/>
                <w:lang w:val="en-US" w:eastAsia="zh-CN"/>
              </w:rPr>
              <w:t>生产废水</w:t>
            </w:r>
          </w:p>
        </w:tc>
        <w:tc>
          <w:tcPr>
            <w:tcW w:w="1315" w:type="pct"/>
            <w:gridSpan w:val="3"/>
            <w:shd w:val="clear" w:color="auto" w:fill="auto"/>
            <w:vAlign w:val="center"/>
          </w:tcPr>
          <w:p w14:paraId="4AF008CB">
            <w:pPr>
              <w:pStyle w:val="26"/>
              <w:bidi w:val="0"/>
              <w:rPr>
                <w:rFonts w:hint="default"/>
                <w:color w:val="auto"/>
                <w:highlight w:val="none"/>
                <w:lang w:val="en-US" w:eastAsia="zh-CN"/>
              </w:rPr>
            </w:pPr>
            <w:r>
              <w:rPr>
                <w:rFonts w:hint="default"/>
                <w:color w:val="auto"/>
                <w:highlight w:val="none"/>
                <w:lang w:val="en-US" w:eastAsia="zh-CN"/>
              </w:rPr>
              <w:t xml:space="preserve">4972.996t/a </w:t>
            </w:r>
            <w:r>
              <w:rPr>
                <w:rFonts w:hint="eastAsia"/>
                <w:color w:val="auto"/>
                <w:highlight w:val="none"/>
                <w:lang w:val="en-US" w:eastAsia="zh-CN"/>
              </w:rPr>
              <w:t>工艺生产废水+486t/a初期雨水+1330.332t/a清下水；</w:t>
            </w:r>
            <w:r>
              <w:rPr>
                <w:rFonts w:hint="default"/>
                <w:color w:val="auto"/>
                <w:highlight w:val="none"/>
                <w:lang w:val="en-US" w:eastAsia="zh-CN"/>
              </w:rPr>
              <w:t>经厂区自建的污水处理系统</w:t>
            </w:r>
            <w:r>
              <w:rPr>
                <w:rFonts w:hint="eastAsia"/>
                <w:color w:val="auto"/>
                <w:highlight w:val="none"/>
                <w:lang w:val="en-US" w:eastAsia="zh-CN"/>
              </w:rPr>
              <w:t>（处理能力为18m3/d）</w:t>
            </w:r>
            <w:r>
              <w:rPr>
                <w:rFonts w:hint="default"/>
                <w:color w:val="auto"/>
                <w:highlight w:val="none"/>
                <w:lang w:val="en-US" w:eastAsia="zh-CN"/>
              </w:rPr>
              <w:t>处理后全部回用，不外排</w:t>
            </w:r>
          </w:p>
        </w:tc>
        <w:tc>
          <w:tcPr>
            <w:tcW w:w="1102" w:type="pct"/>
            <w:shd w:val="clear" w:color="auto" w:fill="auto"/>
            <w:vAlign w:val="center"/>
          </w:tcPr>
          <w:p w14:paraId="5E7B1D35">
            <w:pPr>
              <w:pStyle w:val="26"/>
              <w:bidi w:val="0"/>
              <w:rPr>
                <w:rFonts w:hint="eastAsia"/>
                <w:lang w:val="en-US" w:eastAsia="zh-CN"/>
              </w:rPr>
            </w:pPr>
          </w:p>
        </w:tc>
        <w:tc>
          <w:tcPr>
            <w:tcW w:w="727" w:type="pct"/>
            <w:shd w:val="clear" w:color="auto" w:fill="auto"/>
            <w:vAlign w:val="center"/>
          </w:tcPr>
          <w:p w14:paraId="150A6F13">
            <w:pPr>
              <w:pStyle w:val="26"/>
              <w:bidi w:val="0"/>
              <w:rPr>
                <w:rFonts w:hint="eastAsia"/>
                <w:lang w:val="en-US" w:eastAsia="zh-CN"/>
              </w:rPr>
            </w:pPr>
          </w:p>
        </w:tc>
        <w:tc>
          <w:tcPr>
            <w:tcW w:w="683" w:type="pct"/>
            <w:shd w:val="clear" w:color="auto" w:fill="auto"/>
            <w:vAlign w:val="center"/>
          </w:tcPr>
          <w:p w14:paraId="1CA9E752">
            <w:pPr>
              <w:pStyle w:val="26"/>
              <w:bidi w:val="0"/>
              <w:rPr>
                <w:rFonts w:hint="default"/>
                <w:lang w:val="en-US" w:eastAsia="zh-CN"/>
              </w:rPr>
            </w:pPr>
            <w:r>
              <w:rPr>
                <w:rFonts w:hint="eastAsia"/>
                <w:lang w:val="en-US" w:eastAsia="zh-CN"/>
              </w:rPr>
              <w:t>/</w:t>
            </w:r>
          </w:p>
        </w:tc>
      </w:tr>
      <w:tr w14:paraId="51CC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10" w:type="pct"/>
            <w:vMerge w:val="continue"/>
            <w:shd w:val="clear" w:color="auto" w:fill="auto"/>
            <w:vAlign w:val="center"/>
          </w:tcPr>
          <w:p w14:paraId="1ACD5DAA">
            <w:pPr>
              <w:pStyle w:val="26"/>
              <w:bidi w:val="0"/>
              <w:rPr>
                <w:rFonts w:hint="eastAsia"/>
                <w:lang w:val="en-US" w:eastAsia="zh-CN"/>
              </w:rPr>
            </w:pPr>
          </w:p>
        </w:tc>
        <w:tc>
          <w:tcPr>
            <w:tcW w:w="378" w:type="pct"/>
            <w:vMerge w:val="continue"/>
            <w:shd w:val="clear" w:color="auto" w:fill="auto"/>
            <w:vAlign w:val="center"/>
          </w:tcPr>
          <w:p w14:paraId="34984DB6">
            <w:pPr>
              <w:pStyle w:val="26"/>
              <w:bidi w:val="0"/>
              <w:rPr>
                <w:rFonts w:hint="eastAsia"/>
                <w:lang w:val="en-US" w:eastAsia="zh-CN"/>
              </w:rPr>
            </w:pPr>
          </w:p>
        </w:tc>
        <w:tc>
          <w:tcPr>
            <w:tcW w:w="383" w:type="pct"/>
            <w:shd w:val="clear" w:color="auto" w:fill="auto"/>
            <w:vAlign w:val="center"/>
          </w:tcPr>
          <w:p w14:paraId="6ADCE04C">
            <w:pPr>
              <w:pStyle w:val="26"/>
              <w:bidi w:val="0"/>
              <w:rPr>
                <w:rFonts w:hint="eastAsia"/>
                <w:lang w:val="en-US" w:eastAsia="zh-CN"/>
              </w:rPr>
            </w:pPr>
            <w:r>
              <w:rPr>
                <w:rFonts w:hint="eastAsia"/>
                <w:lang w:val="en-US" w:eastAsia="zh-CN"/>
              </w:rPr>
              <w:t>生活污水</w:t>
            </w:r>
          </w:p>
        </w:tc>
        <w:tc>
          <w:tcPr>
            <w:tcW w:w="1315" w:type="pct"/>
            <w:gridSpan w:val="3"/>
            <w:shd w:val="clear" w:color="auto" w:fill="auto"/>
            <w:vAlign w:val="center"/>
          </w:tcPr>
          <w:p w14:paraId="707A39D0">
            <w:pPr>
              <w:pStyle w:val="26"/>
              <w:bidi w:val="0"/>
              <w:rPr>
                <w:rFonts w:hint="eastAsia"/>
                <w:lang w:val="en-US" w:eastAsia="zh-CN"/>
              </w:rPr>
            </w:pPr>
            <w:r>
              <w:rPr>
                <w:rFonts w:hint="eastAsia"/>
                <w:lang w:val="en-US" w:eastAsia="zh-CN"/>
              </w:rPr>
              <w:t>直接接入市政污水管网至昆山市淀山湖琨澄水质净化有限公司集中处理</w:t>
            </w:r>
          </w:p>
        </w:tc>
        <w:tc>
          <w:tcPr>
            <w:tcW w:w="1102" w:type="pct"/>
            <w:shd w:val="clear" w:color="auto" w:fill="auto"/>
            <w:vAlign w:val="center"/>
          </w:tcPr>
          <w:p w14:paraId="281BB480">
            <w:pPr>
              <w:pStyle w:val="26"/>
              <w:bidi w:val="0"/>
              <w:rPr>
                <w:rFonts w:hint="eastAsia"/>
                <w:lang w:val="en-US" w:eastAsia="zh-CN"/>
              </w:rPr>
            </w:pPr>
            <w:r>
              <w:rPr>
                <w:rFonts w:hint="eastAsia"/>
                <w:lang w:val="en-US" w:eastAsia="zh-CN"/>
              </w:rPr>
              <w:t>直接接入市政污水管网至昆山市淀山湖琨澄水质净化有限公司集中处理</w:t>
            </w:r>
          </w:p>
        </w:tc>
        <w:tc>
          <w:tcPr>
            <w:tcW w:w="727" w:type="pct"/>
            <w:shd w:val="clear" w:color="auto" w:fill="auto"/>
            <w:vAlign w:val="center"/>
          </w:tcPr>
          <w:p w14:paraId="351355CD">
            <w:pPr>
              <w:pStyle w:val="26"/>
              <w:bidi w:val="0"/>
              <w:rPr>
                <w:rFonts w:hint="eastAsia"/>
                <w:lang w:val="en-US" w:eastAsia="zh-CN"/>
              </w:rPr>
            </w:pPr>
            <w:r>
              <w:rPr>
                <w:rFonts w:hint="eastAsia"/>
                <w:lang w:val="en-US" w:eastAsia="zh-CN"/>
              </w:rPr>
              <w:t>生活污水增加2640m3/a</w:t>
            </w:r>
          </w:p>
        </w:tc>
        <w:tc>
          <w:tcPr>
            <w:tcW w:w="683" w:type="pct"/>
            <w:shd w:val="clear" w:color="auto" w:fill="auto"/>
            <w:vAlign w:val="center"/>
          </w:tcPr>
          <w:p w14:paraId="331FB760">
            <w:pPr>
              <w:pStyle w:val="26"/>
              <w:bidi w:val="0"/>
              <w:rPr>
                <w:rFonts w:hint="default"/>
                <w:lang w:val="en-US" w:eastAsia="zh-CN"/>
              </w:rPr>
            </w:pPr>
            <w:r>
              <w:rPr>
                <w:rFonts w:hint="eastAsia"/>
                <w:lang w:val="en-US" w:eastAsia="zh-CN"/>
              </w:rPr>
              <w:t>/</w:t>
            </w:r>
          </w:p>
        </w:tc>
      </w:tr>
      <w:tr w14:paraId="1E9C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035F63AA">
            <w:pPr>
              <w:pStyle w:val="26"/>
              <w:bidi w:val="0"/>
              <w:rPr>
                <w:rFonts w:hint="eastAsia"/>
                <w:lang w:val="en-US" w:eastAsia="zh-CN"/>
              </w:rPr>
            </w:pPr>
          </w:p>
        </w:tc>
        <w:tc>
          <w:tcPr>
            <w:tcW w:w="761" w:type="pct"/>
            <w:gridSpan w:val="2"/>
            <w:shd w:val="clear" w:color="auto" w:fill="auto"/>
            <w:vAlign w:val="center"/>
          </w:tcPr>
          <w:p w14:paraId="4AF1F069">
            <w:pPr>
              <w:pStyle w:val="26"/>
              <w:bidi w:val="0"/>
              <w:rPr>
                <w:rFonts w:hint="eastAsia"/>
                <w:lang w:val="en-US" w:eastAsia="zh-CN"/>
              </w:rPr>
            </w:pPr>
            <w:r>
              <w:rPr>
                <w:rFonts w:hint="eastAsia"/>
                <w:lang w:val="en-US" w:eastAsia="zh-CN"/>
              </w:rPr>
              <w:t>噪声处理</w:t>
            </w:r>
          </w:p>
        </w:tc>
        <w:tc>
          <w:tcPr>
            <w:tcW w:w="1315" w:type="pct"/>
            <w:gridSpan w:val="3"/>
            <w:shd w:val="clear" w:color="auto" w:fill="auto"/>
            <w:vAlign w:val="center"/>
          </w:tcPr>
          <w:p w14:paraId="1D2C9A67">
            <w:pPr>
              <w:pStyle w:val="26"/>
              <w:bidi w:val="0"/>
              <w:rPr>
                <w:rFonts w:hint="eastAsia"/>
                <w:lang w:val="en-US" w:eastAsia="zh-CN"/>
              </w:rPr>
            </w:pPr>
            <w:r>
              <w:rPr>
                <w:rFonts w:hint="eastAsia"/>
                <w:lang w:val="en-US" w:eastAsia="zh-CN"/>
              </w:rPr>
              <w:t>隔声、减振、消声</w:t>
            </w:r>
          </w:p>
        </w:tc>
        <w:tc>
          <w:tcPr>
            <w:tcW w:w="1102" w:type="pct"/>
            <w:shd w:val="clear" w:color="auto" w:fill="auto"/>
            <w:vAlign w:val="center"/>
          </w:tcPr>
          <w:p w14:paraId="4D666FB8">
            <w:pPr>
              <w:pStyle w:val="26"/>
              <w:bidi w:val="0"/>
              <w:rPr>
                <w:rFonts w:hint="eastAsia"/>
                <w:lang w:val="en-US" w:eastAsia="zh-CN"/>
              </w:rPr>
            </w:pPr>
            <w:r>
              <w:rPr>
                <w:rFonts w:hint="eastAsia"/>
                <w:lang w:val="en-US" w:eastAsia="zh-CN"/>
              </w:rPr>
              <w:t>隔声、减振、消声</w:t>
            </w:r>
          </w:p>
        </w:tc>
        <w:tc>
          <w:tcPr>
            <w:tcW w:w="727" w:type="pct"/>
            <w:shd w:val="clear" w:color="auto" w:fill="auto"/>
            <w:vAlign w:val="center"/>
          </w:tcPr>
          <w:p w14:paraId="692D5550">
            <w:pPr>
              <w:pStyle w:val="26"/>
              <w:bidi w:val="0"/>
              <w:rPr>
                <w:rFonts w:hint="eastAsia"/>
                <w:lang w:val="en-US" w:eastAsia="zh-CN"/>
              </w:rPr>
            </w:pPr>
            <w:r>
              <w:rPr>
                <w:rFonts w:hint="eastAsia"/>
                <w:lang w:val="en-US" w:eastAsia="zh-CN"/>
              </w:rPr>
              <w:t>不变</w:t>
            </w:r>
          </w:p>
        </w:tc>
        <w:tc>
          <w:tcPr>
            <w:tcW w:w="683" w:type="pct"/>
            <w:shd w:val="clear" w:color="auto" w:fill="auto"/>
            <w:vAlign w:val="center"/>
          </w:tcPr>
          <w:p w14:paraId="5D9A7ACC">
            <w:pPr>
              <w:pStyle w:val="26"/>
              <w:bidi w:val="0"/>
              <w:rPr>
                <w:rFonts w:hint="default"/>
                <w:lang w:val="en-US" w:eastAsia="zh-CN"/>
              </w:rPr>
            </w:pPr>
            <w:r>
              <w:rPr>
                <w:rFonts w:hint="eastAsia"/>
                <w:lang w:val="en-US" w:eastAsia="zh-CN"/>
              </w:rPr>
              <w:t>/</w:t>
            </w:r>
          </w:p>
        </w:tc>
      </w:tr>
      <w:tr w14:paraId="3626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10" w:type="pct"/>
            <w:vMerge w:val="continue"/>
            <w:shd w:val="clear" w:color="auto" w:fill="auto"/>
            <w:vAlign w:val="center"/>
          </w:tcPr>
          <w:p w14:paraId="366FA2DE">
            <w:pPr>
              <w:pStyle w:val="26"/>
              <w:bidi w:val="0"/>
              <w:rPr>
                <w:rFonts w:hint="eastAsia"/>
                <w:lang w:val="en-US" w:eastAsia="zh-CN"/>
              </w:rPr>
            </w:pPr>
          </w:p>
        </w:tc>
        <w:tc>
          <w:tcPr>
            <w:tcW w:w="378" w:type="pct"/>
            <w:vMerge w:val="restart"/>
            <w:shd w:val="clear" w:color="auto" w:fill="auto"/>
            <w:vAlign w:val="center"/>
          </w:tcPr>
          <w:p w14:paraId="6673F211">
            <w:pPr>
              <w:pStyle w:val="26"/>
              <w:bidi w:val="0"/>
              <w:rPr>
                <w:rFonts w:hint="eastAsia"/>
                <w:lang w:val="en-US" w:eastAsia="zh-CN"/>
              </w:rPr>
            </w:pPr>
            <w:r>
              <w:rPr>
                <w:rFonts w:hint="eastAsia"/>
                <w:lang w:val="en-US" w:eastAsia="zh-CN"/>
              </w:rPr>
              <w:t>固废贮存</w:t>
            </w:r>
          </w:p>
        </w:tc>
        <w:tc>
          <w:tcPr>
            <w:tcW w:w="383" w:type="pct"/>
            <w:shd w:val="clear" w:color="auto" w:fill="auto"/>
            <w:vAlign w:val="center"/>
          </w:tcPr>
          <w:p w14:paraId="50E7563D">
            <w:pPr>
              <w:pStyle w:val="26"/>
              <w:bidi w:val="0"/>
              <w:rPr>
                <w:rFonts w:hint="eastAsia"/>
                <w:lang w:val="en-US" w:eastAsia="zh-CN"/>
              </w:rPr>
            </w:pPr>
            <w:r>
              <w:rPr>
                <w:rFonts w:hint="eastAsia"/>
                <w:lang w:val="en-US" w:eastAsia="zh-CN"/>
              </w:rPr>
              <w:t>危废仓库</w:t>
            </w:r>
          </w:p>
        </w:tc>
        <w:tc>
          <w:tcPr>
            <w:tcW w:w="1315" w:type="pct"/>
            <w:gridSpan w:val="3"/>
            <w:shd w:val="clear" w:color="auto" w:fill="auto"/>
            <w:vAlign w:val="center"/>
          </w:tcPr>
          <w:p w14:paraId="50F2D1DD">
            <w:pPr>
              <w:pStyle w:val="26"/>
              <w:bidi w:val="0"/>
              <w:rPr>
                <w:rFonts w:hint="default"/>
                <w:lang w:val="en-US" w:eastAsia="zh-CN"/>
              </w:rPr>
            </w:pPr>
            <w:r>
              <w:rPr>
                <w:rFonts w:hint="eastAsia"/>
                <w:lang w:val="en-US" w:eastAsia="zh-CN"/>
              </w:rPr>
              <w:t>188.3</w:t>
            </w:r>
            <w:r>
              <w:rPr>
                <w:rFonts w:hint="default"/>
                <w:lang w:val="en-US" w:eastAsia="zh-CN"/>
              </w:rPr>
              <w:t>m</w:t>
            </w:r>
            <w:r>
              <w:rPr>
                <w:lang w:val="en-US" w:eastAsia="zh-CN"/>
              </w:rPr>
              <w:t>2</w:t>
            </w:r>
          </w:p>
        </w:tc>
        <w:tc>
          <w:tcPr>
            <w:tcW w:w="1102" w:type="pct"/>
            <w:shd w:val="clear" w:color="auto" w:fill="auto"/>
            <w:vAlign w:val="center"/>
          </w:tcPr>
          <w:p w14:paraId="3E39EEE6">
            <w:pPr>
              <w:pStyle w:val="26"/>
              <w:bidi w:val="0"/>
              <w:rPr>
                <w:rFonts w:hint="eastAsia"/>
                <w:lang w:val="en-US" w:eastAsia="zh-CN"/>
              </w:rPr>
            </w:pPr>
            <w:r>
              <w:rPr>
                <w:rFonts w:hint="eastAsia"/>
                <w:lang w:val="en-US" w:eastAsia="zh-CN"/>
              </w:rPr>
              <w:t>188.3</w:t>
            </w:r>
            <w:r>
              <w:rPr>
                <w:rFonts w:hint="default"/>
                <w:lang w:val="en-US" w:eastAsia="zh-CN"/>
              </w:rPr>
              <w:t>m</w:t>
            </w:r>
            <w:r>
              <w:rPr>
                <w:lang w:val="en-US" w:eastAsia="zh-CN"/>
              </w:rPr>
              <w:t>2</w:t>
            </w:r>
          </w:p>
        </w:tc>
        <w:tc>
          <w:tcPr>
            <w:tcW w:w="727" w:type="pct"/>
            <w:shd w:val="clear" w:color="auto" w:fill="auto"/>
            <w:vAlign w:val="center"/>
          </w:tcPr>
          <w:p w14:paraId="5AD8628A">
            <w:pPr>
              <w:pStyle w:val="26"/>
              <w:bidi w:val="0"/>
              <w:rPr>
                <w:rFonts w:hint="eastAsia"/>
                <w:lang w:val="en-US" w:eastAsia="zh-CN"/>
              </w:rPr>
            </w:pPr>
            <w:r>
              <w:rPr>
                <w:rFonts w:hint="eastAsia"/>
                <w:lang w:val="en-US" w:eastAsia="zh-CN"/>
              </w:rPr>
              <w:t>不变</w:t>
            </w:r>
          </w:p>
        </w:tc>
        <w:tc>
          <w:tcPr>
            <w:tcW w:w="683" w:type="pct"/>
            <w:shd w:val="clear" w:color="auto" w:fill="auto"/>
            <w:vAlign w:val="center"/>
          </w:tcPr>
          <w:p w14:paraId="4120A1C2">
            <w:pPr>
              <w:pStyle w:val="26"/>
              <w:bidi w:val="0"/>
              <w:rPr>
                <w:rFonts w:hint="default"/>
                <w:lang w:val="en-US" w:eastAsia="zh-CN"/>
              </w:rPr>
            </w:pPr>
            <w:r>
              <w:rPr>
                <w:rFonts w:hint="eastAsia"/>
                <w:lang w:val="en-US" w:eastAsia="zh-CN"/>
              </w:rPr>
              <w:t>位于3#车间</w:t>
            </w:r>
          </w:p>
        </w:tc>
      </w:tr>
      <w:tr w14:paraId="5665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 w:hRule="atLeast"/>
        </w:trPr>
        <w:tc>
          <w:tcPr>
            <w:tcW w:w="410" w:type="pct"/>
            <w:vMerge w:val="continue"/>
            <w:shd w:val="clear" w:color="auto" w:fill="auto"/>
            <w:vAlign w:val="center"/>
          </w:tcPr>
          <w:p w14:paraId="335DF82D">
            <w:pPr>
              <w:pStyle w:val="26"/>
              <w:bidi w:val="0"/>
              <w:rPr>
                <w:rFonts w:hint="eastAsia"/>
                <w:lang w:val="en-US" w:eastAsia="zh-CN"/>
              </w:rPr>
            </w:pPr>
          </w:p>
        </w:tc>
        <w:tc>
          <w:tcPr>
            <w:tcW w:w="378" w:type="pct"/>
            <w:vMerge w:val="continue"/>
            <w:shd w:val="clear" w:color="auto" w:fill="auto"/>
            <w:vAlign w:val="center"/>
          </w:tcPr>
          <w:p w14:paraId="38F5D7EB">
            <w:pPr>
              <w:pStyle w:val="26"/>
              <w:bidi w:val="0"/>
              <w:rPr>
                <w:rFonts w:hint="eastAsia"/>
                <w:lang w:val="en-US" w:eastAsia="zh-CN"/>
              </w:rPr>
            </w:pPr>
          </w:p>
        </w:tc>
        <w:tc>
          <w:tcPr>
            <w:tcW w:w="383" w:type="pct"/>
            <w:shd w:val="clear" w:color="auto" w:fill="auto"/>
            <w:vAlign w:val="center"/>
          </w:tcPr>
          <w:p w14:paraId="08CB12E0">
            <w:pPr>
              <w:pStyle w:val="26"/>
              <w:bidi w:val="0"/>
              <w:rPr>
                <w:rFonts w:hint="eastAsia"/>
                <w:lang w:val="en-US" w:eastAsia="zh-CN"/>
              </w:rPr>
            </w:pPr>
            <w:r>
              <w:rPr>
                <w:rFonts w:hint="eastAsia"/>
                <w:lang w:val="en-US" w:eastAsia="zh-CN"/>
              </w:rPr>
              <w:t>一般固废库</w:t>
            </w:r>
          </w:p>
        </w:tc>
        <w:tc>
          <w:tcPr>
            <w:tcW w:w="1315" w:type="pct"/>
            <w:gridSpan w:val="3"/>
            <w:shd w:val="clear" w:color="auto" w:fill="auto"/>
            <w:vAlign w:val="center"/>
          </w:tcPr>
          <w:p w14:paraId="0C58B56D">
            <w:pPr>
              <w:pStyle w:val="26"/>
              <w:bidi w:val="0"/>
              <w:rPr>
                <w:rFonts w:hint="default"/>
                <w:lang w:val="en-US" w:eastAsia="zh-CN"/>
              </w:rPr>
            </w:pPr>
            <w:r>
              <w:rPr>
                <w:rFonts w:hint="eastAsia"/>
                <w:lang w:val="en-US" w:eastAsia="zh-CN"/>
              </w:rPr>
              <w:t>94</w:t>
            </w:r>
            <w:r>
              <w:rPr>
                <w:rFonts w:hint="default"/>
                <w:lang w:val="en-US" w:eastAsia="zh-CN"/>
              </w:rPr>
              <w:t>m2</w:t>
            </w:r>
          </w:p>
        </w:tc>
        <w:tc>
          <w:tcPr>
            <w:tcW w:w="1102" w:type="pct"/>
            <w:shd w:val="clear" w:color="auto" w:fill="auto"/>
            <w:vAlign w:val="center"/>
          </w:tcPr>
          <w:p w14:paraId="371BBB2C">
            <w:pPr>
              <w:pStyle w:val="26"/>
              <w:bidi w:val="0"/>
              <w:rPr>
                <w:lang w:val="en-US" w:eastAsia="zh-CN"/>
              </w:rPr>
            </w:pPr>
            <w:r>
              <w:rPr>
                <w:rFonts w:hint="eastAsia"/>
                <w:lang w:val="en-US" w:eastAsia="zh-CN"/>
              </w:rPr>
              <w:t>94</w:t>
            </w:r>
            <w:r>
              <w:rPr>
                <w:rFonts w:hint="default"/>
                <w:lang w:val="en-US" w:eastAsia="zh-CN"/>
              </w:rPr>
              <w:t>m2</w:t>
            </w:r>
          </w:p>
        </w:tc>
        <w:tc>
          <w:tcPr>
            <w:tcW w:w="727" w:type="pct"/>
            <w:shd w:val="clear" w:color="auto" w:fill="auto"/>
            <w:vAlign w:val="center"/>
          </w:tcPr>
          <w:p w14:paraId="1E7F4276">
            <w:pPr>
              <w:pStyle w:val="26"/>
              <w:bidi w:val="0"/>
              <w:rPr>
                <w:lang w:val="en-US" w:eastAsia="zh-CN"/>
              </w:rPr>
            </w:pPr>
            <w:r>
              <w:rPr>
                <w:rFonts w:hint="eastAsia"/>
                <w:lang w:val="en-US" w:eastAsia="zh-CN"/>
              </w:rPr>
              <w:t>不变</w:t>
            </w:r>
          </w:p>
        </w:tc>
        <w:tc>
          <w:tcPr>
            <w:tcW w:w="683" w:type="pct"/>
            <w:shd w:val="clear" w:color="auto" w:fill="auto"/>
            <w:vAlign w:val="center"/>
          </w:tcPr>
          <w:p w14:paraId="40E9F24D">
            <w:pPr>
              <w:pStyle w:val="26"/>
              <w:bidi w:val="0"/>
              <w:rPr>
                <w:rFonts w:hint="default"/>
                <w:lang w:val="en-US" w:eastAsia="zh-CN"/>
              </w:rPr>
            </w:pPr>
            <w:r>
              <w:rPr>
                <w:lang w:val="en-US" w:eastAsia="zh-CN"/>
              </w:rPr>
              <w:t>位于3#车间</w:t>
            </w:r>
          </w:p>
        </w:tc>
      </w:tr>
      <w:tr w14:paraId="6E94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10" w:type="pct"/>
            <w:vMerge w:val="continue"/>
            <w:shd w:val="clear" w:color="auto" w:fill="auto"/>
            <w:vAlign w:val="center"/>
          </w:tcPr>
          <w:p w14:paraId="0D46D65E">
            <w:pPr>
              <w:pStyle w:val="26"/>
              <w:bidi w:val="0"/>
              <w:rPr>
                <w:rFonts w:hint="eastAsia"/>
                <w:lang w:val="en-US" w:eastAsia="zh-CN"/>
              </w:rPr>
            </w:pPr>
          </w:p>
        </w:tc>
        <w:tc>
          <w:tcPr>
            <w:tcW w:w="761" w:type="pct"/>
            <w:gridSpan w:val="2"/>
            <w:shd w:val="clear" w:color="auto" w:fill="auto"/>
            <w:vAlign w:val="center"/>
          </w:tcPr>
          <w:p w14:paraId="436D7A60">
            <w:pPr>
              <w:pStyle w:val="26"/>
              <w:bidi w:val="0"/>
              <w:rPr>
                <w:rFonts w:hint="default"/>
                <w:lang w:val="en-US" w:eastAsia="zh-CN"/>
              </w:rPr>
            </w:pPr>
            <w:r>
              <w:rPr>
                <w:rFonts w:hint="eastAsia"/>
                <w:lang w:val="en-US" w:eastAsia="zh-CN"/>
              </w:rPr>
              <w:t>初期雨水池</w:t>
            </w:r>
          </w:p>
        </w:tc>
        <w:tc>
          <w:tcPr>
            <w:tcW w:w="1315" w:type="pct"/>
            <w:gridSpan w:val="3"/>
            <w:shd w:val="clear" w:color="auto" w:fill="auto"/>
            <w:vAlign w:val="center"/>
          </w:tcPr>
          <w:p w14:paraId="5DAE2757">
            <w:pPr>
              <w:pStyle w:val="26"/>
              <w:bidi w:val="0"/>
              <w:rPr>
                <w:rFonts w:hint="default"/>
                <w:lang w:val="en-US" w:eastAsia="zh-CN"/>
              </w:rPr>
            </w:pPr>
            <w:r>
              <w:rPr>
                <w:rFonts w:hint="eastAsia"/>
                <w:lang w:val="en-US" w:eastAsia="zh-CN"/>
              </w:rPr>
              <w:t>80</w:t>
            </w:r>
            <w:r>
              <w:rPr>
                <w:rFonts w:hint="default"/>
                <w:lang w:val="en-US" w:eastAsia="zh-CN"/>
              </w:rPr>
              <w:t>m3</w:t>
            </w:r>
          </w:p>
        </w:tc>
        <w:tc>
          <w:tcPr>
            <w:tcW w:w="1102" w:type="pct"/>
            <w:shd w:val="clear" w:color="auto" w:fill="auto"/>
            <w:vAlign w:val="center"/>
          </w:tcPr>
          <w:p w14:paraId="4C9ECE44">
            <w:pPr>
              <w:pStyle w:val="26"/>
              <w:bidi w:val="0"/>
              <w:rPr>
                <w:rFonts w:hint="eastAsia"/>
                <w:lang w:val="en-US" w:eastAsia="zh-CN"/>
              </w:rPr>
            </w:pPr>
            <w:r>
              <w:rPr>
                <w:rFonts w:hint="eastAsia"/>
                <w:lang w:val="en-US" w:eastAsia="zh-CN"/>
              </w:rPr>
              <w:t>168m3</w:t>
            </w:r>
          </w:p>
        </w:tc>
        <w:tc>
          <w:tcPr>
            <w:tcW w:w="727" w:type="pct"/>
            <w:shd w:val="clear" w:color="auto" w:fill="auto"/>
            <w:vAlign w:val="center"/>
          </w:tcPr>
          <w:p w14:paraId="61040133">
            <w:pPr>
              <w:pStyle w:val="26"/>
              <w:bidi w:val="0"/>
              <w:rPr>
                <w:rFonts w:hint="default"/>
                <w:lang w:val="en-US" w:eastAsia="zh-CN"/>
              </w:rPr>
            </w:pPr>
            <w:r>
              <w:rPr>
                <w:rFonts w:hint="eastAsia"/>
                <w:lang w:val="en-US" w:eastAsia="zh-CN"/>
              </w:rPr>
              <w:t>+88m</w:t>
            </w:r>
            <w:r>
              <w:rPr>
                <w:rFonts w:hint="eastAsia"/>
                <w:vertAlign w:val="superscript"/>
                <w:lang w:val="en-US" w:eastAsia="zh-CN"/>
              </w:rPr>
              <w:t>3</w:t>
            </w:r>
          </w:p>
        </w:tc>
        <w:tc>
          <w:tcPr>
            <w:tcW w:w="683" w:type="pct"/>
            <w:shd w:val="clear" w:color="auto" w:fill="auto"/>
            <w:vAlign w:val="center"/>
          </w:tcPr>
          <w:p w14:paraId="7086693D">
            <w:pPr>
              <w:pStyle w:val="26"/>
              <w:bidi w:val="0"/>
              <w:rPr>
                <w:rFonts w:hint="default"/>
                <w:lang w:val="en-US" w:eastAsia="zh-CN"/>
              </w:rPr>
            </w:pPr>
            <w:r>
              <w:rPr>
                <w:rFonts w:hint="eastAsia"/>
                <w:lang w:val="en-US" w:eastAsia="zh-CN"/>
              </w:rPr>
              <w:t>拆除现有，新建168立方初期雨水池</w:t>
            </w:r>
          </w:p>
        </w:tc>
      </w:tr>
      <w:tr w14:paraId="6DCC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10" w:type="pct"/>
            <w:vMerge w:val="continue"/>
            <w:shd w:val="clear" w:color="auto" w:fill="auto"/>
            <w:vAlign w:val="center"/>
          </w:tcPr>
          <w:p w14:paraId="47C69D57">
            <w:pPr>
              <w:pStyle w:val="26"/>
              <w:bidi w:val="0"/>
              <w:rPr>
                <w:rFonts w:hint="eastAsia"/>
                <w:lang w:val="en-US" w:eastAsia="zh-CN"/>
              </w:rPr>
            </w:pPr>
          </w:p>
        </w:tc>
        <w:tc>
          <w:tcPr>
            <w:tcW w:w="761" w:type="pct"/>
            <w:gridSpan w:val="2"/>
            <w:shd w:val="clear" w:color="auto" w:fill="auto"/>
            <w:vAlign w:val="center"/>
          </w:tcPr>
          <w:p w14:paraId="53923537">
            <w:pPr>
              <w:pStyle w:val="26"/>
              <w:bidi w:val="0"/>
              <w:rPr>
                <w:rFonts w:hint="eastAsia"/>
                <w:lang w:val="en-US" w:eastAsia="zh-CN"/>
              </w:rPr>
            </w:pPr>
            <w:r>
              <w:rPr>
                <w:rFonts w:hint="eastAsia"/>
                <w:lang w:val="en-US" w:eastAsia="zh-CN"/>
              </w:rPr>
              <w:t>应急池</w:t>
            </w:r>
          </w:p>
        </w:tc>
        <w:tc>
          <w:tcPr>
            <w:tcW w:w="1315" w:type="pct"/>
            <w:gridSpan w:val="3"/>
            <w:shd w:val="clear" w:color="auto" w:fill="auto"/>
            <w:vAlign w:val="center"/>
          </w:tcPr>
          <w:p w14:paraId="2A56098E">
            <w:pPr>
              <w:pStyle w:val="26"/>
              <w:bidi w:val="0"/>
              <w:rPr>
                <w:rFonts w:hint="eastAsia"/>
                <w:lang w:val="en-US" w:eastAsia="zh-CN"/>
              </w:rPr>
            </w:pPr>
            <w:r>
              <w:rPr>
                <w:rFonts w:hint="eastAsia"/>
                <w:lang w:val="en-US" w:eastAsia="zh-CN"/>
              </w:rPr>
              <w:t>厂区事故应急池6</w:t>
            </w:r>
            <w:r>
              <w:rPr>
                <w:rFonts w:hint="default"/>
                <w:lang w:val="en-US" w:eastAsia="zh-CN"/>
              </w:rPr>
              <w:t>0m</w:t>
            </w:r>
            <w:r>
              <w:rPr>
                <w:lang w:val="en-US" w:eastAsia="zh-CN"/>
              </w:rPr>
              <w:t>3</w:t>
            </w:r>
          </w:p>
        </w:tc>
        <w:tc>
          <w:tcPr>
            <w:tcW w:w="1102" w:type="pct"/>
            <w:shd w:val="clear" w:color="auto" w:fill="auto"/>
            <w:vAlign w:val="center"/>
          </w:tcPr>
          <w:p w14:paraId="06217D14">
            <w:pPr>
              <w:pStyle w:val="26"/>
              <w:bidi w:val="0"/>
              <w:rPr>
                <w:rFonts w:hint="default"/>
                <w:lang w:val="en-US" w:eastAsia="zh-CN"/>
              </w:rPr>
            </w:pPr>
            <w:r>
              <w:rPr>
                <w:rFonts w:hint="eastAsia"/>
                <w:lang w:val="en-US" w:eastAsia="zh-CN"/>
              </w:rPr>
              <w:t>441m3</w:t>
            </w:r>
          </w:p>
        </w:tc>
        <w:tc>
          <w:tcPr>
            <w:tcW w:w="727" w:type="pct"/>
            <w:shd w:val="clear" w:color="auto" w:fill="auto"/>
            <w:vAlign w:val="center"/>
          </w:tcPr>
          <w:p w14:paraId="2982B38B">
            <w:pPr>
              <w:pStyle w:val="26"/>
              <w:bidi w:val="0"/>
              <w:rPr>
                <w:rFonts w:hint="default"/>
                <w:lang w:val="en-US" w:eastAsia="zh-CN"/>
              </w:rPr>
            </w:pPr>
            <w:r>
              <w:rPr>
                <w:rFonts w:hint="eastAsia"/>
                <w:lang w:val="en-US" w:eastAsia="zh-CN"/>
              </w:rPr>
              <w:t>+381m</w:t>
            </w:r>
            <w:r>
              <w:rPr>
                <w:rFonts w:hint="eastAsia"/>
                <w:vertAlign w:val="superscript"/>
                <w:lang w:val="en-US" w:eastAsia="zh-CN"/>
              </w:rPr>
              <w:t>3</w:t>
            </w:r>
          </w:p>
        </w:tc>
        <w:tc>
          <w:tcPr>
            <w:tcW w:w="683" w:type="pct"/>
            <w:shd w:val="clear" w:color="auto" w:fill="auto"/>
            <w:vAlign w:val="center"/>
          </w:tcPr>
          <w:p w14:paraId="275B532E">
            <w:pPr>
              <w:pStyle w:val="26"/>
              <w:bidi w:val="0"/>
              <w:rPr>
                <w:rFonts w:hint="default"/>
                <w:lang w:val="en-US" w:eastAsia="zh-CN"/>
              </w:rPr>
            </w:pPr>
            <w:r>
              <w:rPr>
                <w:rFonts w:hint="eastAsia"/>
                <w:lang w:val="en-US" w:eastAsia="zh-CN"/>
              </w:rPr>
              <w:t>拆除现有，新建441立方事故池</w:t>
            </w:r>
          </w:p>
        </w:tc>
      </w:tr>
    </w:tbl>
    <w:p w14:paraId="5475C78E">
      <w:pPr>
        <w:pStyle w:val="26"/>
        <w:bidi w:val="0"/>
        <w:rPr>
          <w:rFonts w:hint="eastAsia"/>
          <w:lang w:val="en-US" w:eastAsia="zh-CN"/>
        </w:rPr>
      </w:pPr>
    </w:p>
    <w:p w14:paraId="3C10EFE2">
      <w:pPr>
        <w:pStyle w:val="26"/>
        <w:bidi w:val="0"/>
        <w:rPr>
          <w:rFonts w:hint="eastAsia"/>
          <w:lang w:val="en-US" w:eastAsia="zh-CN"/>
        </w:rPr>
      </w:pPr>
    </w:p>
    <w:p w14:paraId="45F9E379">
      <w:pPr>
        <w:pStyle w:val="26"/>
        <w:bidi w:val="0"/>
        <w:rPr>
          <w:rFonts w:hint="default"/>
          <w:lang w:val="en-US" w:eastAsia="zh-CN"/>
        </w:rPr>
      </w:pPr>
    </w:p>
    <w:p w14:paraId="751ECF26">
      <w:pPr>
        <w:pStyle w:val="26"/>
        <w:bidi w:val="0"/>
        <w:rPr>
          <w:color w:val="auto"/>
        </w:rPr>
      </w:pPr>
    </w:p>
    <w:p w14:paraId="6B9FCD82">
      <w:pPr>
        <w:pStyle w:val="4"/>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B1E94A4">
      <w:pPr>
        <w:pStyle w:val="4"/>
        <w:bidi w:val="0"/>
        <w:rPr>
          <w:rFonts w:hint="eastAsia"/>
          <w:color w:val="auto"/>
        </w:rPr>
      </w:pPr>
      <w:bookmarkStart w:id="160" w:name="_Toc11773"/>
      <w:bookmarkStart w:id="161" w:name="_Toc10080"/>
      <w:r>
        <w:rPr>
          <w:rFonts w:hint="eastAsia"/>
          <w:color w:val="auto"/>
        </w:rPr>
        <w:t>项目平面布置及周边环境概况</w:t>
      </w:r>
      <w:bookmarkEnd w:id="160"/>
      <w:bookmarkEnd w:id="161"/>
    </w:p>
    <w:p w14:paraId="653651F1">
      <w:pPr>
        <w:rPr>
          <w:rFonts w:hint="eastAsia"/>
          <w:color w:val="auto"/>
        </w:rPr>
      </w:pPr>
      <w:r>
        <w:rPr>
          <w:rFonts w:hint="eastAsia"/>
          <w:color w:val="auto"/>
        </w:rPr>
        <w:t>（1）厂房总平面布置</w:t>
      </w:r>
    </w:p>
    <w:p w14:paraId="3622F818">
      <w:pPr>
        <w:rPr>
          <w:rFonts w:hint="eastAsia"/>
          <w:color w:val="auto"/>
          <w:lang w:val="en-US" w:eastAsia="zh-CN"/>
        </w:rPr>
      </w:pPr>
      <w:r>
        <w:rPr>
          <w:rFonts w:hint="eastAsia"/>
          <w:color w:val="auto"/>
          <w:lang w:eastAsia="zh-CN"/>
        </w:rPr>
        <w:t>昆运制版</w:t>
      </w:r>
      <w:r>
        <w:rPr>
          <w:rFonts w:hint="eastAsia"/>
          <w:color w:val="auto"/>
        </w:rPr>
        <w:t>厂区出入口位于</w:t>
      </w:r>
      <w:r>
        <w:rPr>
          <w:rFonts w:hint="eastAsia"/>
          <w:color w:val="auto"/>
          <w:lang w:val="en-US" w:eastAsia="zh-CN"/>
        </w:rPr>
        <w:t>北侧逢善路</w:t>
      </w:r>
      <w:r>
        <w:rPr>
          <w:rFonts w:hint="eastAsia"/>
          <w:color w:val="auto"/>
        </w:rPr>
        <w:t>，入口门卫室</w:t>
      </w:r>
      <w:r>
        <w:rPr>
          <w:rFonts w:hint="eastAsia"/>
          <w:color w:val="auto"/>
          <w:lang w:val="en-US" w:eastAsia="zh-CN"/>
        </w:rPr>
        <w:t>更新后含消控室和地下泵房及消防水池</w:t>
      </w:r>
      <w:r>
        <w:rPr>
          <w:rFonts w:hint="eastAsia"/>
          <w:color w:val="auto"/>
        </w:rPr>
        <w:t>。</w:t>
      </w:r>
      <w:r>
        <w:rPr>
          <w:rFonts w:hint="eastAsia"/>
          <w:color w:val="auto"/>
          <w:lang w:val="en-US" w:eastAsia="zh-CN"/>
        </w:rPr>
        <w:t>事故池和初期雨水池布置在</w:t>
      </w:r>
      <w:r>
        <w:rPr>
          <w:rFonts w:hint="eastAsia"/>
          <w:color w:val="auto"/>
        </w:rPr>
        <w:t>厂区</w:t>
      </w:r>
      <w:r>
        <w:rPr>
          <w:rFonts w:hint="eastAsia"/>
          <w:color w:val="auto"/>
          <w:lang w:val="en-US" w:eastAsia="zh-CN"/>
        </w:rPr>
        <w:t>东南角。</w:t>
      </w:r>
    </w:p>
    <w:p w14:paraId="053BB3E7">
      <w:pPr>
        <w:rPr>
          <w:rFonts w:hint="default"/>
          <w:color w:val="auto"/>
          <w:lang w:val="en-US"/>
        </w:rPr>
      </w:pPr>
      <w:r>
        <w:rPr>
          <w:rFonts w:hint="eastAsia"/>
          <w:color w:val="auto"/>
          <w:lang w:val="en-US" w:eastAsia="zh-CN"/>
        </w:rPr>
        <w:t>项目主体，</w:t>
      </w:r>
      <w:r>
        <w:rPr>
          <w:rFonts w:hint="eastAsia"/>
          <w:color w:val="auto"/>
        </w:rPr>
        <w:t>本次</w:t>
      </w:r>
      <w:r>
        <w:rPr>
          <w:rFonts w:hint="eastAsia"/>
          <w:color w:val="auto"/>
          <w:lang w:val="en-US" w:eastAsia="zh-CN"/>
        </w:rPr>
        <w:t>扩建</w:t>
      </w:r>
      <w:r>
        <w:rPr>
          <w:rFonts w:hint="eastAsia"/>
          <w:color w:val="auto"/>
        </w:rPr>
        <w:t>主要</w:t>
      </w:r>
      <w:r>
        <w:rPr>
          <w:rFonts w:hint="eastAsia"/>
          <w:color w:val="auto"/>
          <w:lang w:val="en-US" w:eastAsia="zh-CN"/>
        </w:rPr>
        <w:t>拆除南侧1#、2#车间，利用拆除原址和北侧料场新建4#厂房。北侧3#厂房和现有1#、2#综合楼保持不变。项目建成后，由北向南依次为4#厂房、3#厂房和1#、2#综合楼。</w:t>
      </w:r>
    </w:p>
    <w:p w14:paraId="6B62AEE1">
      <w:pPr>
        <w:rPr>
          <w:rFonts w:hint="eastAsia"/>
          <w:color w:val="auto"/>
        </w:rPr>
      </w:pPr>
      <w:r>
        <w:rPr>
          <w:rFonts w:hint="eastAsia"/>
          <w:color w:val="auto"/>
        </w:rPr>
        <w:t>厂区建筑内容见下表。厂区平面布置图见</w:t>
      </w:r>
      <w:r>
        <w:rPr>
          <w:rFonts w:hint="eastAsia"/>
          <w:color w:val="auto"/>
          <w:lang w:val="en-US" w:eastAsia="zh-CN"/>
        </w:rPr>
        <w:t>附图8，本次建设4#车间平面布置见附图11</w:t>
      </w:r>
      <w:r>
        <w:rPr>
          <w:rFonts w:hint="eastAsia"/>
          <w:color w:val="auto"/>
        </w:rPr>
        <w:t>。</w:t>
      </w:r>
    </w:p>
    <w:p w14:paraId="53FB8639">
      <w:pPr>
        <w:rPr>
          <w:rFonts w:hint="eastAsia"/>
          <w:color w:val="auto"/>
        </w:rPr>
      </w:pPr>
      <w:r>
        <w:rPr>
          <w:rFonts w:hint="eastAsia"/>
          <w:color w:val="auto"/>
        </w:rPr>
        <w:t>建设单位在平面布置上，厂区各车间功能明确，生产区与办公生活区域分开，满足生产工艺要求，平面布置上充分利用空间，因地制宜，符合规范要求。</w:t>
      </w:r>
    </w:p>
    <w:p w14:paraId="4C55BAA4">
      <w:pPr>
        <w:bidi w:val="0"/>
        <w:spacing w:before="50" w:beforeLines="50" w:line="360" w:lineRule="auto"/>
        <w:jc w:val="center"/>
        <w:outlineLvl w:val="4"/>
        <w:rPr>
          <w:rFonts w:hint="eastAsia"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4.1</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7</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建（构）筑物一览表</w:t>
      </w:r>
    </w:p>
    <w:tbl>
      <w:tblPr>
        <w:tblStyle w:val="50"/>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33"/>
        <w:gridCol w:w="1208"/>
        <w:gridCol w:w="1474"/>
        <w:gridCol w:w="1476"/>
        <w:gridCol w:w="1140"/>
        <w:gridCol w:w="1062"/>
        <w:gridCol w:w="606"/>
        <w:gridCol w:w="815"/>
      </w:tblGrid>
      <w:tr w14:paraId="61080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321" w:type="pct"/>
            <w:vAlign w:val="center"/>
          </w:tcPr>
          <w:p w14:paraId="421DFC8C">
            <w:pPr>
              <w:pStyle w:val="26"/>
              <w:bidi w:val="0"/>
              <w:jc w:val="center"/>
              <w:rPr>
                <w:rFonts w:hint="eastAsia"/>
              </w:rPr>
            </w:pPr>
            <w:r>
              <w:rPr>
                <w:rFonts w:hint="eastAsia"/>
              </w:rPr>
              <w:t>序号</w:t>
            </w:r>
          </w:p>
        </w:tc>
        <w:tc>
          <w:tcPr>
            <w:tcW w:w="726" w:type="pct"/>
            <w:vAlign w:val="center"/>
          </w:tcPr>
          <w:p w14:paraId="590CBC7D">
            <w:pPr>
              <w:pStyle w:val="26"/>
              <w:bidi w:val="0"/>
              <w:jc w:val="center"/>
              <w:rPr>
                <w:rFonts w:hint="eastAsia"/>
              </w:rPr>
            </w:pPr>
            <w:r>
              <w:rPr>
                <w:rFonts w:hint="eastAsia"/>
              </w:rPr>
              <w:t>建筑名称</w:t>
            </w:r>
          </w:p>
        </w:tc>
        <w:tc>
          <w:tcPr>
            <w:tcW w:w="886" w:type="pct"/>
            <w:vAlign w:val="center"/>
          </w:tcPr>
          <w:p w14:paraId="4A43704B">
            <w:pPr>
              <w:pStyle w:val="26"/>
              <w:bidi w:val="0"/>
              <w:jc w:val="center"/>
              <w:rPr>
                <w:rFonts w:hint="eastAsia"/>
              </w:rPr>
            </w:pPr>
            <w:r>
              <w:rPr>
                <w:rFonts w:hint="eastAsia"/>
              </w:rPr>
              <w:t>建筑面积</w:t>
            </w:r>
          </w:p>
          <w:p w14:paraId="3D2E4BBF">
            <w:pPr>
              <w:pStyle w:val="26"/>
              <w:bidi w:val="0"/>
              <w:jc w:val="center"/>
              <w:rPr>
                <w:rFonts w:hint="eastAsia"/>
              </w:rPr>
            </w:pPr>
            <w:r>
              <w:rPr>
                <w:rFonts w:hint="eastAsia"/>
              </w:rPr>
              <w:t>（m</w:t>
            </w:r>
            <w:r>
              <w:rPr>
                <w:rFonts w:hint="eastAsia"/>
                <w:vertAlign w:val="superscript"/>
              </w:rPr>
              <w:t>2</w:t>
            </w:r>
            <w:r>
              <w:rPr>
                <w:rFonts w:hint="eastAsia"/>
              </w:rPr>
              <w:t>）</w:t>
            </w:r>
          </w:p>
        </w:tc>
        <w:tc>
          <w:tcPr>
            <w:tcW w:w="887" w:type="pct"/>
            <w:vAlign w:val="center"/>
          </w:tcPr>
          <w:p w14:paraId="3823C678">
            <w:pPr>
              <w:pStyle w:val="26"/>
              <w:bidi w:val="0"/>
              <w:jc w:val="center"/>
              <w:rPr>
                <w:rFonts w:hint="eastAsia"/>
              </w:rPr>
            </w:pPr>
            <w:r>
              <w:rPr>
                <w:rFonts w:hint="eastAsia"/>
              </w:rPr>
              <w:t>火灾危险类别</w:t>
            </w:r>
          </w:p>
        </w:tc>
        <w:tc>
          <w:tcPr>
            <w:tcW w:w="685" w:type="pct"/>
            <w:vAlign w:val="center"/>
          </w:tcPr>
          <w:p w14:paraId="7A31988D">
            <w:pPr>
              <w:pStyle w:val="26"/>
              <w:bidi w:val="0"/>
              <w:jc w:val="center"/>
              <w:rPr>
                <w:rFonts w:hint="eastAsia"/>
              </w:rPr>
            </w:pPr>
            <w:r>
              <w:rPr>
                <w:rFonts w:hint="eastAsia"/>
              </w:rPr>
              <w:t>建筑结构</w:t>
            </w:r>
          </w:p>
        </w:tc>
        <w:tc>
          <w:tcPr>
            <w:tcW w:w="638" w:type="pct"/>
            <w:vAlign w:val="center"/>
          </w:tcPr>
          <w:p w14:paraId="7968030B">
            <w:pPr>
              <w:pStyle w:val="26"/>
              <w:bidi w:val="0"/>
              <w:jc w:val="center"/>
              <w:rPr>
                <w:rFonts w:hint="eastAsia"/>
              </w:rPr>
            </w:pPr>
            <w:r>
              <w:rPr>
                <w:rFonts w:hint="eastAsia"/>
              </w:rPr>
              <w:t>耐火等级</w:t>
            </w:r>
          </w:p>
        </w:tc>
        <w:tc>
          <w:tcPr>
            <w:tcW w:w="364" w:type="pct"/>
            <w:vAlign w:val="center"/>
          </w:tcPr>
          <w:p w14:paraId="6AD2516B">
            <w:pPr>
              <w:pStyle w:val="26"/>
              <w:bidi w:val="0"/>
              <w:jc w:val="center"/>
              <w:rPr>
                <w:rFonts w:hint="eastAsia"/>
              </w:rPr>
            </w:pPr>
            <w:r>
              <w:rPr>
                <w:rFonts w:hint="eastAsia"/>
              </w:rPr>
              <w:t>层数</w:t>
            </w:r>
          </w:p>
        </w:tc>
        <w:tc>
          <w:tcPr>
            <w:tcW w:w="490" w:type="pct"/>
            <w:vAlign w:val="center"/>
          </w:tcPr>
          <w:p w14:paraId="5D9BF818">
            <w:pPr>
              <w:pStyle w:val="26"/>
              <w:bidi w:val="0"/>
              <w:jc w:val="center"/>
              <w:rPr>
                <w:rFonts w:hint="eastAsia"/>
              </w:rPr>
            </w:pPr>
            <w:r>
              <w:rPr>
                <w:rFonts w:hint="eastAsia"/>
              </w:rPr>
              <w:t>高度（m）</w:t>
            </w:r>
          </w:p>
        </w:tc>
      </w:tr>
      <w:tr w14:paraId="681BA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321" w:type="pct"/>
            <w:vAlign w:val="center"/>
          </w:tcPr>
          <w:p w14:paraId="750E35A9">
            <w:pPr>
              <w:pStyle w:val="26"/>
              <w:bidi w:val="0"/>
              <w:jc w:val="center"/>
              <w:rPr>
                <w:rFonts w:hint="eastAsia" w:eastAsia="仿宋_GB2312"/>
                <w:lang w:val="en-US" w:eastAsia="zh-CN"/>
              </w:rPr>
            </w:pPr>
            <w:r>
              <w:rPr>
                <w:rFonts w:hint="eastAsia"/>
                <w:lang w:val="en-US" w:eastAsia="zh-CN"/>
              </w:rPr>
              <w:t>1</w:t>
            </w:r>
          </w:p>
        </w:tc>
        <w:tc>
          <w:tcPr>
            <w:tcW w:w="726" w:type="pct"/>
            <w:shd w:val="clear" w:color="auto" w:fill="auto"/>
            <w:vAlign w:val="center"/>
          </w:tcPr>
          <w:p w14:paraId="60FE3D53">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1#综合楼</w:t>
            </w:r>
          </w:p>
        </w:tc>
        <w:tc>
          <w:tcPr>
            <w:tcW w:w="886" w:type="pct"/>
            <w:shd w:val="clear" w:color="auto" w:fill="auto"/>
            <w:vAlign w:val="center"/>
          </w:tcPr>
          <w:p w14:paraId="22CFF9A5">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817.36</w:t>
            </w:r>
          </w:p>
        </w:tc>
        <w:tc>
          <w:tcPr>
            <w:tcW w:w="887" w:type="pct"/>
            <w:shd w:val="clear" w:color="auto" w:fill="auto"/>
            <w:vAlign w:val="center"/>
          </w:tcPr>
          <w:p w14:paraId="6DCDB412">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丁类</w:t>
            </w:r>
          </w:p>
        </w:tc>
        <w:tc>
          <w:tcPr>
            <w:tcW w:w="685" w:type="pct"/>
            <w:shd w:val="clear" w:color="auto" w:fill="auto"/>
            <w:vAlign w:val="center"/>
          </w:tcPr>
          <w:p w14:paraId="6D8F778E">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钢混</w:t>
            </w:r>
          </w:p>
        </w:tc>
        <w:tc>
          <w:tcPr>
            <w:tcW w:w="638" w:type="pct"/>
            <w:shd w:val="clear" w:color="auto" w:fill="auto"/>
            <w:vAlign w:val="center"/>
          </w:tcPr>
          <w:p w14:paraId="71C5D8BE">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二级</w:t>
            </w:r>
          </w:p>
        </w:tc>
        <w:tc>
          <w:tcPr>
            <w:tcW w:w="364" w:type="pct"/>
            <w:shd w:val="clear" w:color="auto" w:fill="auto"/>
            <w:vAlign w:val="center"/>
          </w:tcPr>
          <w:p w14:paraId="640495E2">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2</w:t>
            </w:r>
          </w:p>
        </w:tc>
        <w:tc>
          <w:tcPr>
            <w:tcW w:w="490" w:type="pct"/>
            <w:shd w:val="clear" w:color="auto" w:fill="auto"/>
            <w:vAlign w:val="center"/>
          </w:tcPr>
          <w:p w14:paraId="618A57B5">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9.2</w:t>
            </w:r>
          </w:p>
        </w:tc>
      </w:tr>
      <w:tr w14:paraId="5DBF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21" w:type="pct"/>
            <w:vAlign w:val="center"/>
          </w:tcPr>
          <w:p w14:paraId="79C18B98">
            <w:pPr>
              <w:pStyle w:val="26"/>
              <w:bidi w:val="0"/>
              <w:jc w:val="center"/>
              <w:rPr>
                <w:rFonts w:hint="eastAsia" w:eastAsia="仿宋_GB2312"/>
                <w:lang w:val="en-US" w:eastAsia="zh-CN"/>
              </w:rPr>
            </w:pPr>
            <w:r>
              <w:rPr>
                <w:rFonts w:hint="eastAsia"/>
                <w:lang w:val="en-US" w:eastAsia="zh-CN"/>
              </w:rPr>
              <w:t>2</w:t>
            </w:r>
          </w:p>
        </w:tc>
        <w:tc>
          <w:tcPr>
            <w:tcW w:w="726" w:type="pct"/>
            <w:shd w:val="clear" w:color="auto" w:fill="auto"/>
            <w:vAlign w:val="center"/>
          </w:tcPr>
          <w:p w14:paraId="01AED102">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2#综合楼</w:t>
            </w:r>
          </w:p>
        </w:tc>
        <w:tc>
          <w:tcPr>
            <w:tcW w:w="886" w:type="pct"/>
            <w:shd w:val="clear" w:color="auto" w:fill="auto"/>
            <w:vAlign w:val="center"/>
          </w:tcPr>
          <w:p w14:paraId="5ADD71CF">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2955.49</w:t>
            </w:r>
          </w:p>
        </w:tc>
        <w:tc>
          <w:tcPr>
            <w:tcW w:w="887" w:type="pct"/>
            <w:shd w:val="clear" w:color="auto" w:fill="auto"/>
            <w:vAlign w:val="center"/>
          </w:tcPr>
          <w:p w14:paraId="71FEC2B8">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丁类</w:t>
            </w:r>
          </w:p>
        </w:tc>
        <w:tc>
          <w:tcPr>
            <w:tcW w:w="685" w:type="pct"/>
            <w:shd w:val="clear" w:color="auto" w:fill="auto"/>
            <w:vAlign w:val="center"/>
          </w:tcPr>
          <w:p w14:paraId="18DD6148">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钢混</w:t>
            </w:r>
          </w:p>
        </w:tc>
        <w:tc>
          <w:tcPr>
            <w:tcW w:w="638" w:type="pct"/>
            <w:shd w:val="clear" w:color="auto" w:fill="auto"/>
            <w:vAlign w:val="center"/>
          </w:tcPr>
          <w:p w14:paraId="6BE5DB31">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二级</w:t>
            </w:r>
          </w:p>
        </w:tc>
        <w:tc>
          <w:tcPr>
            <w:tcW w:w="364" w:type="pct"/>
            <w:shd w:val="clear" w:color="auto" w:fill="auto"/>
            <w:vAlign w:val="center"/>
          </w:tcPr>
          <w:p w14:paraId="0A0EF683">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6</w:t>
            </w:r>
          </w:p>
        </w:tc>
        <w:tc>
          <w:tcPr>
            <w:tcW w:w="490" w:type="pct"/>
            <w:shd w:val="clear" w:color="auto" w:fill="auto"/>
            <w:vAlign w:val="center"/>
          </w:tcPr>
          <w:p w14:paraId="69C338A1">
            <w:pPr>
              <w:pStyle w:val="26"/>
              <w:bidi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rPr>
              <w:t>17.4</w:t>
            </w:r>
          </w:p>
        </w:tc>
      </w:tr>
      <w:tr w14:paraId="47448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321" w:type="pct"/>
            <w:vAlign w:val="center"/>
          </w:tcPr>
          <w:p w14:paraId="210DAA7E">
            <w:pPr>
              <w:pStyle w:val="26"/>
              <w:bidi w:val="0"/>
              <w:jc w:val="center"/>
              <w:rPr>
                <w:rFonts w:hint="eastAsia"/>
              </w:rPr>
            </w:pPr>
            <w:r>
              <w:rPr>
                <w:rFonts w:hint="eastAsia"/>
              </w:rPr>
              <w:t>3</w:t>
            </w:r>
          </w:p>
        </w:tc>
        <w:tc>
          <w:tcPr>
            <w:tcW w:w="726" w:type="pct"/>
            <w:vAlign w:val="center"/>
          </w:tcPr>
          <w:p w14:paraId="4BD61C3D">
            <w:pPr>
              <w:pStyle w:val="26"/>
              <w:bidi w:val="0"/>
              <w:jc w:val="center"/>
              <w:rPr>
                <w:rFonts w:hint="eastAsia"/>
              </w:rPr>
            </w:pPr>
            <w:r>
              <w:rPr>
                <w:rFonts w:hint="eastAsia"/>
              </w:rPr>
              <w:t>3#厂房</w:t>
            </w:r>
          </w:p>
        </w:tc>
        <w:tc>
          <w:tcPr>
            <w:tcW w:w="886" w:type="pct"/>
            <w:vAlign w:val="center"/>
          </w:tcPr>
          <w:p w14:paraId="4B3F7133">
            <w:pPr>
              <w:pStyle w:val="26"/>
              <w:bidi w:val="0"/>
              <w:jc w:val="center"/>
              <w:rPr>
                <w:rFonts w:hint="eastAsia"/>
              </w:rPr>
            </w:pPr>
            <w:r>
              <w:rPr>
                <w:rFonts w:hint="eastAsia"/>
              </w:rPr>
              <w:t>3305.05</w:t>
            </w:r>
          </w:p>
        </w:tc>
        <w:tc>
          <w:tcPr>
            <w:tcW w:w="887" w:type="pct"/>
            <w:vAlign w:val="center"/>
          </w:tcPr>
          <w:p w14:paraId="19BB17BC">
            <w:pPr>
              <w:pStyle w:val="26"/>
              <w:bidi w:val="0"/>
              <w:jc w:val="center"/>
              <w:rPr>
                <w:rFonts w:hint="eastAsia"/>
              </w:rPr>
            </w:pPr>
            <w:r>
              <w:rPr>
                <w:rFonts w:hint="eastAsia"/>
              </w:rPr>
              <w:t>丁类</w:t>
            </w:r>
          </w:p>
        </w:tc>
        <w:tc>
          <w:tcPr>
            <w:tcW w:w="685" w:type="pct"/>
            <w:vAlign w:val="center"/>
          </w:tcPr>
          <w:p w14:paraId="7336BA9F">
            <w:pPr>
              <w:pStyle w:val="26"/>
              <w:bidi w:val="0"/>
              <w:jc w:val="center"/>
              <w:rPr>
                <w:rFonts w:hint="eastAsia"/>
              </w:rPr>
            </w:pPr>
            <w:r>
              <w:rPr>
                <w:rFonts w:hint="eastAsia"/>
              </w:rPr>
              <w:t>钢和钢混</w:t>
            </w:r>
          </w:p>
        </w:tc>
        <w:tc>
          <w:tcPr>
            <w:tcW w:w="638" w:type="pct"/>
            <w:vAlign w:val="center"/>
          </w:tcPr>
          <w:p w14:paraId="7C1B2F0A">
            <w:pPr>
              <w:pStyle w:val="26"/>
              <w:bidi w:val="0"/>
              <w:jc w:val="center"/>
              <w:rPr>
                <w:rFonts w:hint="eastAsia"/>
              </w:rPr>
            </w:pPr>
            <w:r>
              <w:rPr>
                <w:rFonts w:hint="eastAsia"/>
              </w:rPr>
              <w:t>二级</w:t>
            </w:r>
          </w:p>
        </w:tc>
        <w:tc>
          <w:tcPr>
            <w:tcW w:w="364" w:type="pct"/>
            <w:vAlign w:val="center"/>
          </w:tcPr>
          <w:p w14:paraId="63F85E8A">
            <w:pPr>
              <w:pStyle w:val="26"/>
              <w:bidi w:val="0"/>
              <w:jc w:val="center"/>
              <w:rPr>
                <w:rFonts w:hint="eastAsia"/>
              </w:rPr>
            </w:pPr>
            <w:r>
              <w:rPr>
                <w:rFonts w:hint="eastAsia"/>
              </w:rPr>
              <w:t>1</w:t>
            </w:r>
          </w:p>
        </w:tc>
        <w:tc>
          <w:tcPr>
            <w:tcW w:w="490" w:type="pct"/>
            <w:vAlign w:val="center"/>
          </w:tcPr>
          <w:p w14:paraId="189D515F">
            <w:pPr>
              <w:pStyle w:val="26"/>
              <w:bidi w:val="0"/>
              <w:jc w:val="center"/>
              <w:rPr>
                <w:rFonts w:hint="eastAsia"/>
              </w:rPr>
            </w:pPr>
            <w:r>
              <w:rPr>
                <w:rFonts w:hint="eastAsia"/>
              </w:rPr>
              <w:t>8.65</w:t>
            </w:r>
          </w:p>
        </w:tc>
      </w:tr>
      <w:tr w14:paraId="2ED82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321" w:type="pct"/>
            <w:vAlign w:val="center"/>
          </w:tcPr>
          <w:p w14:paraId="7141DF57">
            <w:pPr>
              <w:pStyle w:val="26"/>
              <w:bidi w:val="0"/>
              <w:jc w:val="center"/>
              <w:rPr>
                <w:rFonts w:hint="eastAsia"/>
              </w:rPr>
            </w:pPr>
            <w:r>
              <w:rPr>
                <w:rFonts w:hint="eastAsia"/>
              </w:rPr>
              <w:t>4</w:t>
            </w:r>
          </w:p>
        </w:tc>
        <w:tc>
          <w:tcPr>
            <w:tcW w:w="726" w:type="pct"/>
            <w:vAlign w:val="center"/>
          </w:tcPr>
          <w:p w14:paraId="743B965C">
            <w:pPr>
              <w:pStyle w:val="26"/>
              <w:bidi w:val="0"/>
              <w:jc w:val="center"/>
              <w:rPr>
                <w:rFonts w:hint="default" w:eastAsia="仿宋_GB2312"/>
                <w:color w:val="auto"/>
                <w:highlight w:val="none"/>
                <w:lang w:val="en-US" w:eastAsia="zh-CN"/>
              </w:rPr>
            </w:pPr>
            <w:r>
              <w:rPr>
                <w:rFonts w:hint="eastAsia"/>
                <w:color w:val="auto"/>
                <w:highlight w:val="none"/>
                <w:lang w:val="en-US" w:eastAsia="zh-CN"/>
              </w:rPr>
              <w:t>4#厂房</w:t>
            </w:r>
          </w:p>
        </w:tc>
        <w:tc>
          <w:tcPr>
            <w:tcW w:w="886" w:type="pct"/>
            <w:vAlign w:val="center"/>
          </w:tcPr>
          <w:p w14:paraId="1F1386FD">
            <w:pPr>
              <w:pStyle w:val="26"/>
              <w:bidi w:val="0"/>
              <w:jc w:val="center"/>
              <w:rPr>
                <w:rFonts w:hint="eastAsia"/>
              </w:rPr>
            </w:pPr>
            <w:r>
              <w:rPr>
                <w:rFonts w:hint="eastAsia"/>
                <w:lang w:val="en-US" w:eastAsia="zh-CN"/>
              </w:rPr>
              <w:t>20400</w:t>
            </w:r>
          </w:p>
        </w:tc>
        <w:tc>
          <w:tcPr>
            <w:tcW w:w="887" w:type="pct"/>
            <w:vAlign w:val="center"/>
          </w:tcPr>
          <w:p w14:paraId="668046A0">
            <w:pPr>
              <w:pStyle w:val="26"/>
              <w:bidi w:val="0"/>
              <w:jc w:val="center"/>
              <w:rPr>
                <w:rFonts w:hint="eastAsia" w:eastAsia="仿宋_GB2312"/>
                <w:lang w:val="en-US" w:eastAsia="zh-CN"/>
              </w:rPr>
            </w:pPr>
            <w:r>
              <w:rPr>
                <w:rFonts w:hint="eastAsia"/>
                <w:lang w:val="en-US" w:eastAsia="zh-CN"/>
              </w:rPr>
              <w:t>丙类</w:t>
            </w:r>
          </w:p>
        </w:tc>
        <w:tc>
          <w:tcPr>
            <w:tcW w:w="685" w:type="pct"/>
            <w:vAlign w:val="center"/>
          </w:tcPr>
          <w:p w14:paraId="672EC21D">
            <w:pPr>
              <w:pStyle w:val="26"/>
              <w:bidi w:val="0"/>
              <w:jc w:val="center"/>
              <w:rPr>
                <w:rFonts w:hint="eastAsia" w:eastAsia="仿宋_GB2312"/>
                <w:lang w:val="en-US" w:eastAsia="zh-CN"/>
              </w:rPr>
            </w:pPr>
            <w:r>
              <w:rPr>
                <w:rFonts w:hint="eastAsia"/>
                <w:lang w:val="en-US" w:eastAsia="zh-CN"/>
              </w:rPr>
              <w:t>钢混</w:t>
            </w:r>
          </w:p>
        </w:tc>
        <w:tc>
          <w:tcPr>
            <w:tcW w:w="638" w:type="pct"/>
            <w:vAlign w:val="center"/>
          </w:tcPr>
          <w:p w14:paraId="3E841644">
            <w:pPr>
              <w:pStyle w:val="26"/>
              <w:bidi w:val="0"/>
              <w:jc w:val="center"/>
              <w:rPr>
                <w:rFonts w:hint="eastAsia" w:eastAsia="仿宋_GB2312"/>
                <w:lang w:val="en-US" w:eastAsia="zh-CN"/>
              </w:rPr>
            </w:pPr>
            <w:r>
              <w:rPr>
                <w:rFonts w:hint="eastAsia"/>
                <w:lang w:val="en-US" w:eastAsia="zh-CN"/>
              </w:rPr>
              <w:t>二级</w:t>
            </w:r>
          </w:p>
        </w:tc>
        <w:tc>
          <w:tcPr>
            <w:tcW w:w="364" w:type="pct"/>
            <w:vAlign w:val="center"/>
          </w:tcPr>
          <w:p w14:paraId="7C6770F9">
            <w:pPr>
              <w:pStyle w:val="26"/>
              <w:bidi w:val="0"/>
              <w:jc w:val="center"/>
              <w:rPr>
                <w:rFonts w:hint="eastAsia" w:eastAsia="仿宋_GB2312"/>
                <w:lang w:val="en-US" w:eastAsia="zh-CN"/>
              </w:rPr>
            </w:pPr>
            <w:r>
              <w:rPr>
                <w:rFonts w:hint="eastAsia"/>
                <w:lang w:val="en-US" w:eastAsia="zh-CN"/>
              </w:rPr>
              <w:t>4</w:t>
            </w:r>
          </w:p>
        </w:tc>
        <w:tc>
          <w:tcPr>
            <w:tcW w:w="490" w:type="pct"/>
            <w:vAlign w:val="center"/>
          </w:tcPr>
          <w:p w14:paraId="2A4E0E83">
            <w:pPr>
              <w:pStyle w:val="26"/>
              <w:bidi w:val="0"/>
              <w:jc w:val="center"/>
              <w:rPr>
                <w:rFonts w:hint="default" w:eastAsia="仿宋_GB2312"/>
                <w:lang w:val="en-US" w:eastAsia="zh-CN"/>
              </w:rPr>
            </w:pPr>
            <w:r>
              <w:rPr>
                <w:rFonts w:hint="eastAsia"/>
                <w:lang w:val="en-US" w:eastAsia="zh-CN"/>
              </w:rPr>
              <w:t>39.1</w:t>
            </w:r>
          </w:p>
        </w:tc>
      </w:tr>
      <w:tr w14:paraId="75838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321" w:type="pct"/>
            <w:vAlign w:val="center"/>
          </w:tcPr>
          <w:p w14:paraId="7DFACBB4">
            <w:pPr>
              <w:pStyle w:val="26"/>
              <w:bidi w:val="0"/>
              <w:jc w:val="center"/>
              <w:rPr>
                <w:rFonts w:hint="eastAsia"/>
              </w:rPr>
            </w:pPr>
            <w:r>
              <w:rPr>
                <w:rFonts w:hint="eastAsia"/>
              </w:rPr>
              <w:t>5</w:t>
            </w:r>
          </w:p>
        </w:tc>
        <w:tc>
          <w:tcPr>
            <w:tcW w:w="726" w:type="pct"/>
            <w:vAlign w:val="center"/>
          </w:tcPr>
          <w:p w14:paraId="7800DBD3">
            <w:pPr>
              <w:pStyle w:val="26"/>
              <w:bidi w:val="0"/>
              <w:jc w:val="center"/>
              <w:rPr>
                <w:rFonts w:hint="eastAsia" w:eastAsia="仿宋_GB2312"/>
                <w:color w:val="auto"/>
                <w:highlight w:val="none"/>
                <w:lang w:val="en-US" w:eastAsia="zh-CN"/>
              </w:rPr>
            </w:pPr>
            <w:r>
              <w:rPr>
                <w:rFonts w:hint="eastAsia"/>
                <w:color w:val="auto"/>
                <w:highlight w:val="none"/>
                <w:lang w:val="en-US" w:eastAsia="zh-CN"/>
              </w:rPr>
              <w:t>门卫室</w:t>
            </w:r>
          </w:p>
        </w:tc>
        <w:tc>
          <w:tcPr>
            <w:tcW w:w="886" w:type="pct"/>
            <w:vAlign w:val="center"/>
          </w:tcPr>
          <w:p w14:paraId="1AC30096">
            <w:pPr>
              <w:pStyle w:val="26"/>
              <w:bidi w:val="0"/>
              <w:jc w:val="center"/>
              <w:rPr>
                <w:rFonts w:hint="default" w:eastAsia="仿宋_GB2312"/>
                <w:lang w:val="en-US" w:eastAsia="zh-CN"/>
              </w:rPr>
            </w:pPr>
            <w:r>
              <w:rPr>
                <w:rFonts w:hint="eastAsia"/>
                <w:lang w:val="en-US" w:eastAsia="zh-CN"/>
              </w:rPr>
              <w:t>78.82</w:t>
            </w:r>
          </w:p>
        </w:tc>
        <w:tc>
          <w:tcPr>
            <w:tcW w:w="887" w:type="pct"/>
            <w:vAlign w:val="center"/>
          </w:tcPr>
          <w:p w14:paraId="023495C8">
            <w:pPr>
              <w:pStyle w:val="26"/>
              <w:bidi w:val="0"/>
              <w:jc w:val="center"/>
              <w:rPr>
                <w:rFonts w:hint="default" w:eastAsia="仿宋_GB2312"/>
                <w:lang w:val="en-US" w:eastAsia="zh-CN"/>
              </w:rPr>
            </w:pPr>
            <w:r>
              <w:rPr>
                <w:rFonts w:hint="eastAsia"/>
                <w:lang w:val="en-US" w:eastAsia="zh-CN"/>
              </w:rPr>
              <w:t>丁类</w:t>
            </w:r>
          </w:p>
        </w:tc>
        <w:tc>
          <w:tcPr>
            <w:tcW w:w="685" w:type="pct"/>
            <w:vAlign w:val="center"/>
          </w:tcPr>
          <w:p w14:paraId="7CFF5AED">
            <w:pPr>
              <w:pStyle w:val="26"/>
              <w:bidi w:val="0"/>
              <w:jc w:val="center"/>
              <w:rPr>
                <w:rFonts w:hint="default" w:eastAsia="仿宋_GB2312"/>
                <w:lang w:val="en-US" w:eastAsia="zh-CN"/>
              </w:rPr>
            </w:pPr>
            <w:r>
              <w:rPr>
                <w:rFonts w:hint="eastAsia"/>
                <w:lang w:val="en-US" w:eastAsia="zh-CN"/>
              </w:rPr>
              <w:t>框架结构</w:t>
            </w:r>
          </w:p>
        </w:tc>
        <w:tc>
          <w:tcPr>
            <w:tcW w:w="638" w:type="pct"/>
            <w:vAlign w:val="center"/>
          </w:tcPr>
          <w:p w14:paraId="7D7B6CFE">
            <w:pPr>
              <w:pStyle w:val="26"/>
              <w:bidi w:val="0"/>
              <w:jc w:val="center"/>
              <w:rPr>
                <w:rFonts w:hint="eastAsia" w:eastAsia="仿宋_GB2312"/>
                <w:lang w:val="en-US" w:eastAsia="zh-CN"/>
              </w:rPr>
            </w:pPr>
            <w:r>
              <w:rPr>
                <w:rFonts w:hint="eastAsia"/>
                <w:lang w:val="en-US" w:eastAsia="zh-CN"/>
              </w:rPr>
              <w:t>二级</w:t>
            </w:r>
          </w:p>
        </w:tc>
        <w:tc>
          <w:tcPr>
            <w:tcW w:w="364" w:type="pct"/>
            <w:vAlign w:val="center"/>
          </w:tcPr>
          <w:p w14:paraId="2AA83372">
            <w:pPr>
              <w:pStyle w:val="26"/>
              <w:bidi w:val="0"/>
              <w:jc w:val="center"/>
              <w:rPr>
                <w:rFonts w:hint="eastAsia" w:eastAsia="仿宋_GB2312"/>
                <w:lang w:val="en-US" w:eastAsia="zh-CN"/>
              </w:rPr>
            </w:pPr>
            <w:r>
              <w:rPr>
                <w:rFonts w:hint="eastAsia"/>
                <w:lang w:val="en-US" w:eastAsia="zh-CN"/>
              </w:rPr>
              <w:t>1</w:t>
            </w:r>
          </w:p>
        </w:tc>
        <w:tc>
          <w:tcPr>
            <w:tcW w:w="490" w:type="pct"/>
            <w:vAlign w:val="center"/>
          </w:tcPr>
          <w:p w14:paraId="607D6DE6">
            <w:pPr>
              <w:pStyle w:val="26"/>
              <w:bidi w:val="0"/>
              <w:jc w:val="center"/>
              <w:rPr>
                <w:rFonts w:hint="default" w:eastAsia="仿宋_GB2312"/>
                <w:lang w:val="en-US" w:eastAsia="zh-CN"/>
              </w:rPr>
            </w:pPr>
            <w:r>
              <w:rPr>
                <w:rFonts w:hint="eastAsia"/>
                <w:lang w:val="en-US" w:eastAsia="zh-CN"/>
              </w:rPr>
              <w:t>4.2</w:t>
            </w:r>
          </w:p>
        </w:tc>
      </w:tr>
      <w:tr w14:paraId="08E5E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321" w:type="pct"/>
            <w:vAlign w:val="center"/>
          </w:tcPr>
          <w:p w14:paraId="65C82C21">
            <w:pPr>
              <w:pStyle w:val="26"/>
              <w:bidi w:val="0"/>
              <w:jc w:val="center"/>
              <w:rPr>
                <w:rFonts w:hint="eastAsia"/>
              </w:rPr>
            </w:pPr>
            <w:r>
              <w:rPr>
                <w:rFonts w:hint="eastAsia"/>
              </w:rPr>
              <w:t>6</w:t>
            </w:r>
          </w:p>
        </w:tc>
        <w:tc>
          <w:tcPr>
            <w:tcW w:w="726" w:type="pct"/>
            <w:vAlign w:val="center"/>
          </w:tcPr>
          <w:p w14:paraId="2F04DFCA">
            <w:pPr>
              <w:pStyle w:val="26"/>
              <w:bidi w:val="0"/>
              <w:jc w:val="center"/>
              <w:rPr>
                <w:rFonts w:hint="eastAsia"/>
              </w:rPr>
            </w:pPr>
            <w:r>
              <w:rPr>
                <w:rFonts w:hint="eastAsia"/>
              </w:rPr>
              <w:t>配电</w:t>
            </w:r>
          </w:p>
        </w:tc>
        <w:tc>
          <w:tcPr>
            <w:tcW w:w="886" w:type="pct"/>
            <w:vAlign w:val="center"/>
          </w:tcPr>
          <w:p w14:paraId="1A138B98">
            <w:pPr>
              <w:pStyle w:val="26"/>
              <w:bidi w:val="0"/>
              <w:jc w:val="center"/>
              <w:rPr>
                <w:rFonts w:hint="eastAsia"/>
              </w:rPr>
            </w:pPr>
            <w:r>
              <w:rPr>
                <w:rFonts w:hint="eastAsia"/>
              </w:rPr>
              <w:t>64.84</w:t>
            </w:r>
          </w:p>
        </w:tc>
        <w:tc>
          <w:tcPr>
            <w:tcW w:w="887" w:type="pct"/>
            <w:vAlign w:val="center"/>
          </w:tcPr>
          <w:p w14:paraId="152936C6">
            <w:pPr>
              <w:pStyle w:val="26"/>
              <w:bidi w:val="0"/>
              <w:jc w:val="center"/>
              <w:rPr>
                <w:rFonts w:hint="eastAsia"/>
              </w:rPr>
            </w:pPr>
            <w:r>
              <w:rPr>
                <w:rFonts w:hint="eastAsia"/>
              </w:rPr>
              <w:t>丁类</w:t>
            </w:r>
          </w:p>
        </w:tc>
        <w:tc>
          <w:tcPr>
            <w:tcW w:w="685" w:type="pct"/>
            <w:vAlign w:val="center"/>
          </w:tcPr>
          <w:p w14:paraId="05B7EC9C">
            <w:pPr>
              <w:pStyle w:val="26"/>
              <w:bidi w:val="0"/>
              <w:jc w:val="center"/>
              <w:rPr>
                <w:rFonts w:hint="eastAsia"/>
              </w:rPr>
            </w:pPr>
            <w:r>
              <w:rPr>
                <w:rFonts w:hint="eastAsia"/>
              </w:rPr>
              <w:t>钢混</w:t>
            </w:r>
          </w:p>
        </w:tc>
        <w:tc>
          <w:tcPr>
            <w:tcW w:w="638" w:type="pct"/>
            <w:vAlign w:val="center"/>
          </w:tcPr>
          <w:p w14:paraId="71E0A657">
            <w:pPr>
              <w:pStyle w:val="26"/>
              <w:bidi w:val="0"/>
              <w:jc w:val="center"/>
              <w:rPr>
                <w:rFonts w:hint="eastAsia"/>
              </w:rPr>
            </w:pPr>
            <w:r>
              <w:rPr>
                <w:rFonts w:hint="eastAsia"/>
              </w:rPr>
              <w:t>二级</w:t>
            </w:r>
          </w:p>
        </w:tc>
        <w:tc>
          <w:tcPr>
            <w:tcW w:w="364" w:type="pct"/>
            <w:vAlign w:val="center"/>
          </w:tcPr>
          <w:p w14:paraId="02B569F5">
            <w:pPr>
              <w:pStyle w:val="26"/>
              <w:bidi w:val="0"/>
              <w:jc w:val="center"/>
              <w:rPr>
                <w:rFonts w:hint="eastAsia"/>
              </w:rPr>
            </w:pPr>
            <w:r>
              <w:rPr>
                <w:rFonts w:hint="eastAsia"/>
              </w:rPr>
              <w:t>1</w:t>
            </w:r>
          </w:p>
        </w:tc>
        <w:tc>
          <w:tcPr>
            <w:tcW w:w="490" w:type="pct"/>
            <w:vAlign w:val="center"/>
          </w:tcPr>
          <w:p w14:paraId="62053195">
            <w:pPr>
              <w:pStyle w:val="26"/>
              <w:bidi w:val="0"/>
              <w:jc w:val="center"/>
              <w:rPr>
                <w:rFonts w:hint="eastAsia"/>
              </w:rPr>
            </w:pPr>
            <w:r>
              <w:rPr>
                <w:rFonts w:hint="eastAsia"/>
              </w:rPr>
              <w:t>3</w:t>
            </w:r>
          </w:p>
        </w:tc>
      </w:tr>
    </w:tbl>
    <w:p w14:paraId="41252D7F">
      <w:pPr>
        <w:rPr>
          <w:rFonts w:hint="eastAsia"/>
          <w:color w:val="auto"/>
        </w:rPr>
      </w:pPr>
      <w:r>
        <w:rPr>
          <w:rFonts w:hint="eastAsia"/>
          <w:color w:val="auto"/>
        </w:rPr>
        <w:t>（2）周围环境概况</w:t>
      </w:r>
    </w:p>
    <w:p w14:paraId="0FF09F50">
      <w:pPr>
        <w:rPr>
          <w:rFonts w:hint="eastAsia"/>
          <w:color w:val="auto"/>
          <w:highlight w:val="yellow"/>
        </w:rPr>
      </w:pPr>
      <w:r>
        <w:rPr>
          <w:rFonts w:hint="eastAsia"/>
          <w:color w:val="auto"/>
        </w:rPr>
        <w:t>建设项目位于</w:t>
      </w:r>
      <w:r>
        <w:rPr>
          <w:rFonts w:hint="eastAsia"/>
          <w:color w:val="auto"/>
          <w:lang w:eastAsia="zh-CN"/>
        </w:rPr>
        <w:t>昆山市花桥镇逢善路358号</w:t>
      </w:r>
      <w:r>
        <w:rPr>
          <w:rFonts w:hint="eastAsia"/>
          <w:color w:val="auto"/>
        </w:rPr>
        <w:t>，项目北侧为</w:t>
      </w:r>
      <w:r>
        <w:rPr>
          <w:rFonts w:hint="eastAsia"/>
          <w:color w:val="auto"/>
          <w:lang w:val="en-US" w:eastAsia="zh-CN"/>
        </w:rPr>
        <w:t>昆山航箭机械制造有限公司</w:t>
      </w:r>
      <w:r>
        <w:rPr>
          <w:rFonts w:hint="eastAsia"/>
          <w:color w:val="auto"/>
        </w:rPr>
        <w:t>；南侧</w:t>
      </w:r>
      <w:r>
        <w:rPr>
          <w:rFonts w:hint="eastAsia"/>
          <w:color w:val="auto"/>
          <w:lang w:val="en-US" w:eastAsia="zh-CN"/>
        </w:rPr>
        <w:t>隔逢善路</w:t>
      </w:r>
      <w:r>
        <w:rPr>
          <w:rFonts w:hint="eastAsia"/>
          <w:color w:val="auto"/>
        </w:rPr>
        <w:t>为</w:t>
      </w:r>
      <w:r>
        <w:rPr>
          <w:rFonts w:hint="eastAsia"/>
          <w:color w:val="auto"/>
          <w:lang w:val="en-US" w:eastAsia="zh-CN"/>
        </w:rPr>
        <w:t>百通赫思曼工业（苏州）有限公司</w:t>
      </w:r>
      <w:r>
        <w:rPr>
          <w:rFonts w:hint="eastAsia"/>
          <w:color w:val="auto"/>
        </w:rPr>
        <w:t>；西侧为</w:t>
      </w:r>
      <w:r>
        <w:rPr>
          <w:rFonts w:hint="eastAsia"/>
          <w:color w:val="auto"/>
          <w:lang w:val="en-US" w:eastAsia="zh-CN"/>
        </w:rPr>
        <w:t>富莱德昆山物流园</w:t>
      </w:r>
      <w:r>
        <w:rPr>
          <w:rFonts w:hint="eastAsia"/>
          <w:color w:val="auto"/>
        </w:rPr>
        <w:t>；项目东侧为易宏塑胶五金制品</w:t>
      </w:r>
      <w:r>
        <w:rPr>
          <w:rFonts w:hint="eastAsia"/>
          <w:color w:val="auto"/>
          <w:lang w:eastAsia="zh-CN"/>
        </w:rPr>
        <w:t>（昆山有限公司）</w:t>
      </w:r>
      <w:r>
        <w:rPr>
          <w:rFonts w:hint="eastAsia"/>
          <w:color w:val="auto"/>
        </w:rPr>
        <w:t>。项目周边为工业企业，与周边环境相容。项目周围500m范围概况见</w:t>
      </w:r>
      <w:r>
        <w:rPr>
          <w:rFonts w:hint="eastAsia"/>
          <w:color w:val="auto"/>
          <w:lang w:val="en-US" w:eastAsia="zh-CN"/>
        </w:rPr>
        <w:t>附图</w:t>
      </w:r>
      <w:r>
        <w:rPr>
          <w:rFonts w:hint="eastAsia"/>
          <w:color w:val="auto"/>
          <w:highlight w:val="none"/>
          <w:lang w:val="en-US" w:eastAsia="zh-CN"/>
        </w:rPr>
        <w:t>9</w:t>
      </w:r>
      <w:r>
        <w:rPr>
          <w:rFonts w:hint="eastAsia"/>
          <w:color w:val="auto"/>
          <w:highlight w:val="none"/>
        </w:rPr>
        <w:t>。</w:t>
      </w:r>
    </w:p>
    <w:p w14:paraId="75D2943E">
      <w:pPr>
        <w:pStyle w:val="4"/>
        <w:bidi w:val="0"/>
        <w:rPr>
          <w:rFonts w:hint="eastAsia"/>
          <w:color w:val="auto"/>
        </w:rPr>
      </w:pPr>
      <w:bookmarkStart w:id="162" w:name="_Toc29790"/>
      <w:bookmarkStart w:id="163" w:name="_Toc20538"/>
      <w:r>
        <w:rPr>
          <w:rFonts w:hint="eastAsia"/>
          <w:color w:val="auto"/>
        </w:rPr>
        <w:t>主要生产设备</w:t>
      </w:r>
      <w:bookmarkEnd w:id="162"/>
      <w:bookmarkEnd w:id="163"/>
    </w:p>
    <w:p w14:paraId="1E8BD0DE">
      <w:pPr>
        <w:rPr>
          <w:rFonts w:hint="eastAsia"/>
          <w:color w:val="auto"/>
        </w:rPr>
      </w:pPr>
      <w:r>
        <w:rPr>
          <w:rFonts w:hint="eastAsia"/>
          <w:color w:val="auto"/>
          <w:lang w:val="en-US" w:eastAsia="zh-CN"/>
        </w:rPr>
        <w:t>本次扩建无溶剂型聚氨酯树脂均为单釜生产，本项目</w:t>
      </w:r>
      <w:r>
        <w:rPr>
          <w:rFonts w:hint="eastAsia"/>
          <w:color w:val="auto"/>
        </w:rPr>
        <w:t>生产线</w:t>
      </w:r>
      <w:r>
        <w:rPr>
          <w:rFonts w:hint="eastAsia"/>
          <w:color w:val="auto"/>
          <w:lang w:val="en-US" w:eastAsia="zh-CN"/>
        </w:rPr>
        <w:t>均</w:t>
      </w:r>
      <w:r>
        <w:rPr>
          <w:rFonts w:hint="eastAsia"/>
          <w:color w:val="auto"/>
        </w:rPr>
        <w:t>为新建，设备全部为本次新增，主要生产设备清单见下表。</w:t>
      </w:r>
    </w:p>
    <w:p w14:paraId="72484AB3">
      <w:pPr>
        <w:rPr>
          <w:rFonts w:hint="eastAsia"/>
          <w:color w:val="auto"/>
        </w:rPr>
      </w:pPr>
    </w:p>
    <w:p w14:paraId="260F2881">
      <w:pPr>
        <w:pStyle w:val="25"/>
        <w:bidi w:val="0"/>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52EB743">
      <w:pPr>
        <w:bidi w:val="0"/>
        <w:spacing w:before="50" w:beforeLines="50" w:line="360" w:lineRule="auto"/>
        <w:jc w:val="center"/>
        <w:outlineLvl w:val="4"/>
        <w:rPr>
          <w:rFonts w:hint="eastAsia"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4.1</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8</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主要生产设备一览表</w:t>
      </w:r>
    </w:p>
    <w:tbl>
      <w:tblPr>
        <w:tblStyle w:val="50"/>
        <w:tblW w:w="1238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9"/>
        <w:gridCol w:w="931"/>
        <w:gridCol w:w="602"/>
        <w:gridCol w:w="2168"/>
        <w:gridCol w:w="2534"/>
        <w:gridCol w:w="699"/>
        <w:gridCol w:w="699"/>
        <w:gridCol w:w="703"/>
        <w:gridCol w:w="1678"/>
        <w:gridCol w:w="1685"/>
      </w:tblGrid>
      <w:tr w14:paraId="2BB2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35F15D3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类型</w:t>
            </w:r>
          </w:p>
        </w:tc>
        <w:tc>
          <w:tcPr>
            <w:tcW w:w="931" w:type="dxa"/>
            <w:vMerge w:val="restart"/>
            <w:vAlign w:val="center"/>
          </w:tcPr>
          <w:p w14:paraId="404FB4C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涉及工段</w:t>
            </w:r>
          </w:p>
        </w:tc>
        <w:tc>
          <w:tcPr>
            <w:tcW w:w="602" w:type="dxa"/>
            <w:vMerge w:val="restart"/>
            <w:vAlign w:val="center"/>
          </w:tcPr>
          <w:p w14:paraId="4EC08B8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序号</w:t>
            </w:r>
          </w:p>
        </w:tc>
        <w:tc>
          <w:tcPr>
            <w:tcW w:w="2168" w:type="dxa"/>
            <w:vMerge w:val="restart"/>
            <w:vAlign w:val="center"/>
          </w:tcPr>
          <w:p w14:paraId="10F686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名称</w:t>
            </w:r>
          </w:p>
        </w:tc>
        <w:tc>
          <w:tcPr>
            <w:tcW w:w="2534" w:type="dxa"/>
            <w:vMerge w:val="restart"/>
            <w:vAlign w:val="center"/>
          </w:tcPr>
          <w:p w14:paraId="367562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型号、规格</w:t>
            </w:r>
          </w:p>
        </w:tc>
        <w:tc>
          <w:tcPr>
            <w:tcW w:w="2101" w:type="dxa"/>
            <w:gridSpan w:val="3"/>
            <w:vAlign w:val="center"/>
          </w:tcPr>
          <w:p w14:paraId="3C2B4E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数量（台/套）</w:t>
            </w:r>
          </w:p>
        </w:tc>
        <w:tc>
          <w:tcPr>
            <w:tcW w:w="1678" w:type="dxa"/>
            <w:vMerge w:val="restart"/>
            <w:vAlign w:val="center"/>
          </w:tcPr>
          <w:p w14:paraId="6A68AE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对应工段</w:t>
            </w:r>
          </w:p>
        </w:tc>
        <w:tc>
          <w:tcPr>
            <w:tcW w:w="1685" w:type="dxa"/>
            <w:vMerge w:val="restart"/>
            <w:vAlign w:val="center"/>
          </w:tcPr>
          <w:p w14:paraId="0AC3170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备注</w:t>
            </w:r>
          </w:p>
        </w:tc>
      </w:tr>
      <w:tr w14:paraId="67FE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93872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D84E5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vMerge w:val="continue"/>
            <w:textDirection w:val="tbRlV"/>
            <w:vAlign w:val="center"/>
          </w:tcPr>
          <w:p w14:paraId="5DE9ED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2168" w:type="dxa"/>
            <w:vMerge w:val="continue"/>
            <w:vAlign w:val="center"/>
          </w:tcPr>
          <w:p w14:paraId="794BC9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2534" w:type="dxa"/>
            <w:vMerge w:val="continue"/>
            <w:vAlign w:val="center"/>
          </w:tcPr>
          <w:p w14:paraId="1EBEB19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99" w:type="dxa"/>
            <w:vAlign w:val="center"/>
          </w:tcPr>
          <w:p w14:paraId="7464F2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现有</w:t>
            </w:r>
          </w:p>
        </w:tc>
        <w:tc>
          <w:tcPr>
            <w:tcW w:w="699" w:type="dxa"/>
            <w:vAlign w:val="center"/>
          </w:tcPr>
          <w:p w14:paraId="0F1CAD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技改后</w:t>
            </w:r>
          </w:p>
        </w:tc>
        <w:tc>
          <w:tcPr>
            <w:tcW w:w="703" w:type="dxa"/>
            <w:vAlign w:val="center"/>
          </w:tcPr>
          <w:p w14:paraId="476312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增减量</w:t>
            </w:r>
          </w:p>
        </w:tc>
        <w:tc>
          <w:tcPr>
            <w:tcW w:w="1678" w:type="dxa"/>
            <w:vMerge w:val="continue"/>
            <w:vAlign w:val="center"/>
          </w:tcPr>
          <w:p w14:paraId="7EA081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1685" w:type="dxa"/>
            <w:vMerge w:val="continue"/>
            <w:vAlign w:val="center"/>
          </w:tcPr>
          <w:p w14:paraId="262632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A97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4713B85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压纹版辊</w:t>
            </w:r>
          </w:p>
        </w:tc>
        <w:tc>
          <w:tcPr>
            <w:tcW w:w="931" w:type="dxa"/>
            <w:vMerge w:val="restart"/>
            <w:vAlign w:val="center"/>
          </w:tcPr>
          <w:p w14:paraId="41EB83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机加工</w:t>
            </w:r>
          </w:p>
        </w:tc>
        <w:tc>
          <w:tcPr>
            <w:tcW w:w="602" w:type="dxa"/>
            <w:vAlign w:val="center"/>
          </w:tcPr>
          <w:p w14:paraId="3CB1C45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1</w:t>
            </w:r>
          </w:p>
        </w:tc>
        <w:tc>
          <w:tcPr>
            <w:tcW w:w="2168" w:type="dxa"/>
            <w:vAlign w:val="center"/>
          </w:tcPr>
          <w:p w14:paraId="17D8C5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车床</w:t>
            </w:r>
          </w:p>
        </w:tc>
        <w:tc>
          <w:tcPr>
            <w:tcW w:w="2534" w:type="dxa"/>
            <w:vAlign w:val="center"/>
          </w:tcPr>
          <w:p w14:paraId="04B4DB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CW6180</w:t>
            </w:r>
          </w:p>
        </w:tc>
        <w:tc>
          <w:tcPr>
            <w:tcW w:w="699" w:type="dxa"/>
            <w:shd w:val="clear" w:color="auto" w:fill="auto"/>
            <w:vAlign w:val="center"/>
          </w:tcPr>
          <w:p w14:paraId="7E9BEB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20</w:t>
            </w:r>
          </w:p>
        </w:tc>
        <w:tc>
          <w:tcPr>
            <w:tcW w:w="699" w:type="dxa"/>
            <w:shd w:val="clear" w:color="auto" w:fill="auto"/>
            <w:vAlign w:val="center"/>
          </w:tcPr>
          <w:p w14:paraId="5D58115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20</w:t>
            </w:r>
          </w:p>
        </w:tc>
        <w:tc>
          <w:tcPr>
            <w:tcW w:w="703" w:type="dxa"/>
            <w:vAlign w:val="center"/>
          </w:tcPr>
          <w:p w14:paraId="207474F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3FB4D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车加工</w:t>
            </w:r>
          </w:p>
        </w:tc>
        <w:tc>
          <w:tcPr>
            <w:tcW w:w="1685" w:type="dxa"/>
            <w:vAlign w:val="center"/>
          </w:tcPr>
          <w:p w14:paraId="01847AC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59F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3DA65D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1AD33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vAlign w:val="center"/>
          </w:tcPr>
          <w:p w14:paraId="4AF3A76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2</w:t>
            </w:r>
          </w:p>
        </w:tc>
        <w:tc>
          <w:tcPr>
            <w:tcW w:w="2168" w:type="dxa"/>
            <w:vAlign w:val="center"/>
          </w:tcPr>
          <w:p w14:paraId="663B805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数控车床</w:t>
            </w:r>
          </w:p>
        </w:tc>
        <w:tc>
          <w:tcPr>
            <w:tcW w:w="2534" w:type="dxa"/>
            <w:vAlign w:val="center"/>
          </w:tcPr>
          <w:p w14:paraId="6CB6376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CKBP6180</w:t>
            </w:r>
          </w:p>
        </w:tc>
        <w:tc>
          <w:tcPr>
            <w:tcW w:w="699" w:type="dxa"/>
            <w:shd w:val="clear" w:color="auto" w:fill="auto"/>
            <w:vAlign w:val="center"/>
          </w:tcPr>
          <w:p w14:paraId="2FB1A0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8</w:t>
            </w:r>
          </w:p>
        </w:tc>
        <w:tc>
          <w:tcPr>
            <w:tcW w:w="699" w:type="dxa"/>
            <w:shd w:val="clear" w:color="auto" w:fill="auto"/>
            <w:vAlign w:val="center"/>
          </w:tcPr>
          <w:p w14:paraId="29C4524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8</w:t>
            </w:r>
          </w:p>
        </w:tc>
        <w:tc>
          <w:tcPr>
            <w:tcW w:w="703" w:type="dxa"/>
            <w:vAlign w:val="center"/>
          </w:tcPr>
          <w:p w14:paraId="37CE45D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4D3E2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车加工</w:t>
            </w:r>
          </w:p>
        </w:tc>
        <w:tc>
          <w:tcPr>
            <w:tcW w:w="1685" w:type="dxa"/>
            <w:vAlign w:val="center"/>
          </w:tcPr>
          <w:p w14:paraId="24C900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12D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BAC7F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DC69F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C1220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w:t>
            </w:r>
          </w:p>
        </w:tc>
        <w:tc>
          <w:tcPr>
            <w:tcW w:w="2168" w:type="dxa"/>
            <w:vAlign w:val="center"/>
          </w:tcPr>
          <w:p w14:paraId="2400771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锯床</w:t>
            </w:r>
          </w:p>
        </w:tc>
        <w:tc>
          <w:tcPr>
            <w:tcW w:w="2534" w:type="dxa"/>
            <w:vAlign w:val="center"/>
          </w:tcPr>
          <w:p w14:paraId="533B7B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G24245</w:t>
            </w:r>
          </w:p>
        </w:tc>
        <w:tc>
          <w:tcPr>
            <w:tcW w:w="699" w:type="dxa"/>
            <w:shd w:val="clear" w:color="auto" w:fill="auto"/>
            <w:vAlign w:val="center"/>
          </w:tcPr>
          <w:p w14:paraId="728FC7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7DAB95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5E3B9D9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CEB39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锯料</w:t>
            </w:r>
          </w:p>
        </w:tc>
        <w:tc>
          <w:tcPr>
            <w:tcW w:w="1685" w:type="dxa"/>
            <w:vAlign w:val="center"/>
          </w:tcPr>
          <w:p w14:paraId="2B947B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A82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9EBC0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573F7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7C2104D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w:t>
            </w:r>
          </w:p>
        </w:tc>
        <w:tc>
          <w:tcPr>
            <w:tcW w:w="2168" w:type="dxa"/>
            <w:vAlign w:val="center"/>
          </w:tcPr>
          <w:p w14:paraId="448B28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铣床</w:t>
            </w:r>
          </w:p>
        </w:tc>
        <w:tc>
          <w:tcPr>
            <w:tcW w:w="2534" w:type="dxa"/>
            <w:vAlign w:val="center"/>
          </w:tcPr>
          <w:p w14:paraId="1DA5DB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X6140</w:t>
            </w:r>
          </w:p>
        </w:tc>
        <w:tc>
          <w:tcPr>
            <w:tcW w:w="699" w:type="dxa"/>
            <w:shd w:val="clear" w:color="auto" w:fill="auto"/>
            <w:vAlign w:val="center"/>
          </w:tcPr>
          <w:p w14:paraId="4061A5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29F9676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79DCD6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62C5D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车加工</w:t>
            </w:r>
          </w:p>
        </w:tc>
        <w:tc>
          <w:tcPr>
            <w:tcW w:w="1685" w:type="dxa"/>
            <w:vAlign w:val="center"/>
          </w:tcPr>
          <w:p w14:paraId="6D079B5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1CE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D922FF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BBB787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683A4A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w:t>
            </w:r>
          </w:p>
        </w:tc>
        <w:tc>
          <w:tcPr>
            <w:tcW w:w="2168" w:type="dxa"/>
            <w:vAlign w:val="center"/>
          </w:tcPr>
          <w:p w14:paraId="39BFEF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磨床</w:t>
            </w:r>
          </w:p>
        </w:tc>
        <w:tc>
          <w:tcPr>
            <w:tcW w:w="2534" w:type="dxa"/>
            <w:vAlign w:val="center"/>
          </w:tcPr>
          <w:p w14:paraId="251AF6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MQ1350B</w:t>
            </w:r>
          </w:p>
        </w:tc>
        <w:tc>
          <w:tcPr>
            <w:tcW w:w="699" w:type="dxa"/>
            <w:shd w:val="clear" w:color="auto" w:fill="auto"/>
            <w:vAlign w:val="center"/>
          </w:tcPr>
          <w:p w14:paraId="7D0D91A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699" w:type="dxa"/>
            <w:shd w:val="clear" w:color="auto" w:fill="auto"/>
            <w:vAlign w:val="center"/>
          </w:tcPr>
          <w:p w14:paraId="08CE85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703" w:type="dxa"/>
            <w:vAlign w:val="center"/>
          </w:tcPr>
          <w:p w14:paraId="04BF3E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D781BD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磨加工</w:t>
            </w:r>
          </w:p>
        </w:tc>
        <w:tc>
          <w:tcPr>
            <w:tcW w:w="1685" w:type="dxa"/>
            <w:vAlign w:val="center"/>
          </w:tcPr>
          <w:p w14:paraId="6AE3C8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A96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7A409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6438E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247DB9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w:t>
            </w:r>
          </w:p>
        </w:tc>
        <w:tc>
          <w:tcPr>
            <w:tcW w:w="2168" w:type="dxa"/>
            <w:vAlign w:val="center"/>
          </w:tcPr>
          <w:p w14:paraId="059869D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平衡机</w:t>
            </w:r>
          </w:p>
        </w:tc>
        <w:tc>
          <w:tcPr>
            <w:tcW w:w="2534" w:type="dxa"/>
            <w:vAlign w:val="center"/>
          </w:tcPr>
          <w:p w14:paraId="12F397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SD- 10</w:t>
            </w:r>
          </w:p>
        </w:tc>
        <w:tc>
          <w:tcPr>
            <w:tcW w:w="699" w:type="dxa"/>
            <w:shd w:val="clear" w:color="auto" w:fill="auto"/>
            <w:vAlign w:val="center"/>
          </w:tcPr>
          <w:p w14:paraId="1DA6F5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4A3E86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201E762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F047D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动平衡检测</w:t>
            </w:r>
          </w:p>
        </w:tc>
        <w:tc>
          <w:tcPr>
            <w:tcW w:w="1685" w:type="dxa"/>
            <w:vAlign w:val="center"/>
          </w:tcPr>
          <w:p w14:paraId="630293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94D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9CB4C0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493B2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75A8F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w:t>
            </w:r>
          </w:p>
        </w:tc>
        <w:tc>
          <w:tcPr>
            <w:tcW w:w="2168" w:type="dxa"/>
            <w:vAlign w:val="center"/>
          </w:tcPr>
          <w:p w14:paraId="7C242F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高频加热机（电加热）</w:t>
            </w:r>
          </w:p>
        </w:tc>
        <w:tc>
          <w:tcPr>
            <w:tcW w:w="2534" w:type="dxa"/>
            <w:vAlign w:val="center"/>
          </w:tcPr>
          <w:p w14:paraId="33DA50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XJH-60KW-B</w:t>
            </w:r>
          </w:p>
        </w:tc>
        <w:tc>
          <w:tcPr>
            <w:tcW w:w="699" w:type="dxa"/>
            <w:shd w:val="clear" w:color="auto" w:fill="auto"/>
            <w:vAlign w:val="center"/>
          </w:tcPr>
          <w:p w14:paraId="4C4C5D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12FAEE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49DAA7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C759F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装轴</w:t>
            </w:r>
          </w:p>
        </w:tc>
        <w:tc>
          <w:tcPr>
            <w:tcW w:w="1685" w:type="dxa"/>
            <w:vAlign w:val="center"/>
          </w:tcPr>
          <w:p w14:paraId="613492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1B5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F8AF1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07FE6F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728399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w:t>
            </w:r>
          </w:p>
        </w:tc>
        <w:tc>
          <w:tcPr>
            <w:tcW w:w="2168" w:type="dxa"/>
            <w:vAlign w:val="center"/>
          </w:tcPr>
          <w:p w14:paraId="2005312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焊机</w:t>
            </w:r>
          </w:p>
        </w:tc>
        <w:tc>
          <w:tcPr>
            <w:tcW w:w="2534" w:type="dxa"/>
            <w:vAlign w:val="center"/>
          </w:tcPr>
          <w:p w14:paraId="1344F5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BX1-500F</w:t>
            </w:r>
          </w:p>
        </w:tc>
        <w:tc>
          <w:tcPr>
            <w:tcW w:w="699" w:type="dxa"/>
            <w:shd w:val="clear" w:color="auto" w:fill="auto"/>
            <w:vAlign w:val="center"/>
          </w:tcPr>
          <w:p w14:paraId="0D1C4C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4</w:t>
            </w:r>
          </w:p>
        </w:tc>
        <w:tc>
          <w:tcPr>
            <w:tcW w:w="699" w:type="dxa"/>
            <w:shd w:val="clear" w:color="auto" w:fill="auto"/>
            <w:vAlign w:val="center"/>
          </w:tcPr>
          <w:p w14:paraId="22D30A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4</w:t>
            </w:r>
          </w:p>
        </w:tc>
        <w:tc>
          <w:tcPr>
            <w:tcW w:w="703" w:type="dxa"/>
            <w:vAlign w:val="center"/>
          </w:tcPr>
          <w:p w14:paraId="533035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B9D1AE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焊接</w:t>
            </w:r>
          </w:p>
        </w:tc>
        <w:tc>
          <w:tcPr>
            <w:tcW w:w="1685" w:type="dxa"/>
            <w:vAlign w:val="center"/>
          </w:tcPr>
          <w:p w14:paraId="49B37D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E07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16A91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8692A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D5F56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9</w:t>
            </w:r>
          </w:p>
        </w:tc>
        <w:tc>
          <w:tcPr>
            <w:tcW w:w="2168" w:type="dxa"/>
            <w:vAlign w:val="center"/>
          </w:tcPr>
          <w:p w14:paraId="57A6F2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研磨机</w:t>
            </w:r>
          </w:p>
        </w:tc>
        <w:tc>
          <w:tcPr>
            <w:tcW w:w="2534" w:type="dxa"/>
            <w:vAlign w:val="center"/>
          </w:tcPr>
          <w:p w14:paraId="15BFC7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DYYM3300</w:t>
            </w:r>
          </w:p>
        </w:tc>
        <w:tc>
          <w:tcPr>
            <w:tcW w:w="699" w:type="dxa"/>
            <w:shd w:val="clear" w:color="auto" w:fill="auto"/>
            <w:vAlign w:val="center"/>
          </w:tcPr>
          <w:p w14:paraId="21170B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11BD8F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475CDB6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E58F0F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磨加工</w:t>
            </w:r>
          </w:p>
        </w:tc>
        <w:tc>
          <w:tcPr>
            <w:tcW w:w="1685" w:type="dxa"/>
            <w:vAlign w:val="center"/>
          </w:tcPr>
          <w:p w14:paraId="2F21880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C2B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0EDEE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2C31E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A77438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10</w:t>
            </w:r>
          </w:p>
        </w:tc>
        <w:tc>
          <w:tcPr>
            <w:tcW w:w="2168" w:type="dxa"/>
            <w:vAlign w:val="center"/>
          </w:tcPr>
          <w:p w14:paraId="3D905E8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精雕机</w:t>
            </w:r>
          </w:p>
        </w:tc>
        <w:tc>
          <w:tcPr>
            <w:tcW w:w="2534" w:type="dxa"/>
            <w:vAlign w:val="center"/>
          </w:tcPr>
          <w:p w14:paraId="659E64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JQD-360</w:t>
            </w:r>
          </w:p>
        </w:tc>
        <w:tc>
          <w:tcPr>
            <w:tcW w:w="699" w:type="dxa"/>
            <w:shd w:val="clear" w:color="auto" w:fill="auto"/>
            <w:vAlign w:val="center"/>
          </w:tcPr>
          <w:p w14:paraId="26C385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w:t>
            </w:r>
          </w:p>
        </w:tc>
        <w:tc>
          <w:tcPr>
            <w:tcW w:w="699" w:type="dxa"/>
            <w:shd w:val="clear" w:color="auto" w:fill="auto"/>
            <w:vAlign w:val="center"/>
          </w:tcPr>
          <w:p w14:paraId="0B5429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w:t>
            </w:r>
          </w:p>
        </w:tc>
        <w:tc>
          <w:tcPr>
            <w:tcW w:w="703" w:type="dxa"/>
            <w:vAlign w:val="center"/>
          </w:tcPr>
          <w:p w14:paraId="7C1F179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385ADF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车加工</w:t>
            </w:r>
          </w:p>
        </w:tc>
        <w:tc>
          <w:tcPr>
            <w:tcW w:w="1685" w:type="dxa"/>
            <w:vAlign w:val="center"/>
          </w:tcPr>
          <w:p w14:paraId="1191CB8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030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6620CF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36DB3B2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清洗</w:t>
            </w:r>
          </w:p>
        </w:tc>
        <w:tc>
          <w:tcPr>
            <w:tcW w:w="602" w:type="dxa"/>
            <w:shd w:val="clear" w:color="auto" w:fill="auto"/>
            <w:vAlign w:val="center"/>
          </w:tcPr>
          <w:p w14:paraId="06A912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11</w:t>
            </w:r>
          </w:p>
        </w:tc>
        <w:tc>
          <w:tcPr>
            <w:tcW w:w="2168" w:type="dxa"/>
            <w:vAlign w:val="center"/>
          </w:tcPr>
          <w:p w14:paraId="680BEA9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清洗机</w:t>
            </w:r>
          </w:p>
        </w:tc>
        <w:tc>
          <w:tcPr>
            <w:tcW w:w="2534" w:type="dxa"/>
            <w:vAlign w:val="center"/>
          </w:tcPr>
          <w:p w14:paraId="6DDC6CF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4300* 1100* 1430</w:t>
            </w:r>
          </w:p>
        </w:tc>
        <w:tc>
          <w:tcPr>
            <w:tcW w:w="699" w:type="dxa"/>
            <w:shd w:val="clear" w:color="auto" w:fill="auto"/>
            <w:vAlign w:val="center"/>
          </w:tcPr>
          <w:p w14:paraId="1ABC25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536A04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5D2E36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03C3E7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清洁</w:t>
            </w:r>
          </w:p>
        </w:tc>
        <w:tc>
          <w:tcPr>
            <w:tcW w:w="1685" w:type="dxa"/>
            <w:vAlign w:val="center"/>
          </w:tcPr>
          <w:p w14:paraId="32CF7B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2CE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826B1A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74652E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喷胶</w:t>
            </w:r>
          </w:p>
        </w:tc>
        <w:tc>
          <w:tcPr>
            <w:tcW w:w="602" w:type="dxa"/>
            <w:shd w:val="clear" w:color="auto" w:fill="auto"/>
            <w:vAlign w:val="center"/>
          </w:tcPr>
          <w:p w14:paraId="37E16F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12</w:t>
            </w:r>
          </w:p>
        </w:tc>
        <w:tc>
          <w:tcPr>
            <w:tcW w:w="2168" w:type="dxa"/>
            <w:vAlign w:val="center"/>
          </w:tcPr>
          <w:p w14:paraId="047FB97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喷胶设备</w:t>
            </w:r>
          </w:p>
        </w:tc>
        <w:tc>
          <w:tcPr>
            <w:tcW w:w="2534" w:type="dxa"/>
            <w:vAlign w:val="center"/>
          </w:tcPr>
          <w:p w14:paraId="196C4B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5200* 1970* 1500</w:t>
            </w:r>
          </w:p>
        </w:tc>
        <w:tc>
          <w:tcPr>
            <w:tcW w:w="699" w:type="dxa"/>
            <w:shd w:val="clear" w:color="auto" w:fill="auto"/>
            <w:vAlign w:val="center"/>
          </w:tcPr>
          <w:p w14:paraId="1999A6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699" w:type="dxa"/>
            <w:shd w:val="clear" w:color="auto" w:fill="auto"/>
            <w:vAlign w:val="center"/>
          </w:tcPr>
          <w:p w14:paraId="775D11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703" w:type="dxa"/>
            <w:vAlign w:val="center"/>
          </w:tcPr>
          <w:p w14:paraId="4D2DF75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F5490A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喷胶</w:t>
            </w:r>
          </w:p>
        </w:tc>
        <w:tc>
          <w:tcPr>
            <w:tcW w:w="1685" w:type="dxa"/>
            <w:vAlign w:val="center"/>
          </w:tcPr>
          <w:p w14:paraId="47EB4F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E27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4EC1F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43D80F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激光雕刻</w:t>
            </w:r>
          </w:p>
        </w:tc>
        <w:tc>
          <w:tcPr>
            <w:tcW w:w="602" w:type="dxa"/>
            <w:shd w:val="clear" w:color="auto" w:fill="auto"/>
            <w:vAlign w:val="center"/>
          </w:tcPr>
          <w:p w14:paraId="3A4D2E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13</w:t>
            </w:r>
          </w:p>
        </w:tc>
        <w:tc>
          <w:tcPr>
            <w:tcW w:w="2168" w:type="dxa"/>
            <w:vAlign w:val="center"/>
          </w:tcPr>
          <w:p w14:paraId="4833CE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激光雕刻机</w:t>
            </w:r>
          </w:p>
        </w:tc>
        <w:tc>
          <w:tcPr>
            <w:tcW w:w="2534" w:type="dxa"/>
            <w:vAlign w:val="center"/>
          </w:tcPr>
          <w:p w14:paraId="5D3D45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DIGILAS3500</w:t>
            </w:r>
          </w:p>
        </w:tc>
        <w:tc>
          <w:tcPr>
            <w:tcW w:w="699" w:type="dxa"/>
            <w:shd w:val="clear" w:color="auto" w:fill="auto"/>
            <w:vAlign w:val="center"/>
          </w:tcPr>
          <w:p w14:paraId="1C1D78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15</w:t>
            </w:r>
          </w:p>
        </w:tc>
        <w:tc>
          <w:tcPr>
            <w:tcW w:w="699" w:type="dxa"/>
            <w:shd w:val="clear" w:color="auto" w:fill="auto"/>
            <w:vAlign w:val="center"/>
          </w:tcPr>
          <w:p w14:paraId="6A3E60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15</w:t>
            </w:r>
          </w:p>
        </w:tc>
        <w:tc>
          <w:tcPr>
            <w:tcW w:w="703" w:type="dxa"/>
            <w:vAlign w:val="center"/>
          </w:tcPr>
          <w:p w14:paraId="4D4B5EE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4B183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激光雕刻</w:t>
            </w:r>
          </w:p>
        </w:tc>
        <w:tc>
          <w:tcPr>
            <w:tcW w:w="1685" w:type="dxa"/>
            <w:vAlign w:val="center"/>
          </w:tcPr>
          <w:p w14:paraId="5FF0D72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E3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D89DB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252905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腐蚀</w:t>
            </w:r>
          </w:p>
        </w:tc>
        <w:tc>
          <w:tcPr>
            <w:tcW w:w="602" w:type="dxa"/>
            <w:shd w:val="clear" w:color="auto" w:fill="auto"/>
            <w:vAlign w:val="center"/>
          </w:tcPr>
          <w:p w14:paraId="2FC978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14</w:t>
            </w:r>
          </w:p>
        </w:tc>
        <w:tc>
          <w:tcPr>
            <w:tcW w:w="2168" w:type="dxa"/>
            <w:vAlign w:val="center"/>
          </w:tcPr>
          <w:p w14:paraId="6A4768F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腐蚀机</w:t>
            </w:r>
          </w:p>
        </w:tc>
        <w:tc>
          <w:tcPr>
            <w:tcW w:w="2534" w:type="dxa"/>
            <w:vAlign w:val="center"/>
          </w:tcPr>
          <w:p w14:paraId="372567E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ACIGRAF2500</w:t>
            </w:r>
          </w:p>
        </w:tc>
        <w:tc>
          <w:tcPr>
            <w:tcW w:w="699" w:type="dxa"/>
            <w:shd w:val="clear" w:color="auto" w:fill="auto"/>
            <w:vAlign w:val="center"/>
          </w:tcPr>
          <w:p w14:paraId="37FC50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699" w:type="dxa"/>
            <w:shd w:val="clear" w:color="auto" w:fill="auto"/>
            <w:vAlign w:val="center"/>
          </w:tcPr>
          <w:p w14:paraId="047C45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703" w:type="dxa"/>
            <w:vAlign w:val="center"/>
          </w:tcPr>
          <w:p w14:paraId="7314DD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A9E66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腐蚀</w:t>
            </w:r>
          </w:p>
        </w:tc>
        <w:tc>
          <w:tcPr>
            <w:tcW w:w="1685" w:type="dxa"/>
            <w:vAlign w:val="center"/>
          </w:tcPr>
          <w:p w14:paraId="4946D0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171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0899E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2FF2AD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打磨</w:t>
            </w:r>
          </w:p>
        </w:tc>
        <w:tc>
          <w:tcPr>
            <w:tcW w:w="602" w:type="dxa"/>
            <w:shd w:val="clear" w:color="auto" w:fill="auto"/>
            <w:vAlign w:val="center"/>
          </w:tcPr>
          <w:p w14:paraId="3A7423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15</w:t>
            </w:r>
          </w:p>
        </w:tc>
        <w:tc>
          <w:tcPr>
            <w:tcW w:w="2168" w:type="dxa"/>
            <w:vAlign w:val="center"/>
          </w:tcPr>
          <w:p w14:paraId="2AE992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打磨机</w:t>
            </w:r>
          </w:p>
        </w:tc>
        <w:tc>
          <w:tcPr>
            <w:tcW w:w="2534" w:type="dxa"/>
            <w:vAlign w:val="center"/>
          </w:tcPr>
          <w:p w14:paraId="21112B0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6570* 1500* 1700</w:t>
            </w:r>
          </w:p>
        </w:tc>
        <w:tc>
          <w:tcPr>
            <w:tcW w:w="699" w:type="dxa"/>
            <w:shd w:val="clear" w:color="auto" w:fill="auto"/>
            <w:vAlign w:val="center"/>
          </w:tcPr>
          <w:p w14:paraId="34E923D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4BDA96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338084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1225B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图案处理</w:t>
            </w:r>
          </w:p>
        </w:tc>
        <w:tc>
          <w:tcPr>
            <w:tcW w:w="1685" w:type="dxa"/>
            <w:vAlign w:val="center"/>
          </w:tcPr>
          <w:p w14:paraId="4358C4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B76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3F8FB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4E8B8C2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喷砂</w:t>
            </w:r>
          </w:p>
        </w:tc>
        <w:tc>
          <w:tcPr>
            <w:tcW w:w="602" w:type="dxa"/>
            <w:shd w:val="clear" w:color="auto" w:fill="auto"/>
            <w:vAlign w:val="center"/>
          </w:tcPr>
          <w:p w14:paraId="6BEC2B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16</w:t>
            </w:r>
          </w:p>
        </w:tc>
        <w:tc>
          <w:tcPr>
            <w:tcW w:w="2168" w:type="dxa"/>
            <w:vAlign w:val="center"/>
          </w:tcPr>
          <w:p w14:paraId="6D0D57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喷砂机</w:t>
            </w:r>
          </w:p>
        </w:tc>
        <w:tc>
          <w:tcPr>
            <w:tcW w:w="2534" w:type="dxa"/>
            <w:vAlign w:val="center"/>
          </w:tcPr>
          <w:p w14:paraId="1F204E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5850* 1900* 1280</w:t>
            </w:r>
          </w:p>
        </w:tc>
        <w:tc>
          <w:tcPr>
            <w:tcW w:w="699" w:type="dxa"/>
            <w:shd w:val="clear" w:color="auto" w:fill="auto"/>
            <w:vAlign w:val="center"/>
          </w:tcPr>
          <w:p w14:paraId="7078B3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699" w:type="dxa"/>
            <w:shd w:val="clear" w:color="auto" w:fill="auto"/>
            <w:vAlign w:val="center"/>
          </w:tcPr>
          <w:p w14:paraId="686CD2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703" w:type="dxa"/>
            <w:vAlign w:val="center"/>
          </w:tcPr>
          <w:p w14:paraId="098BF4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E147E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喷砂</w:t>
            </w:r>
          </w:p>
        </w:tc>
        <w:tc>
          <w:tcPr>
            <w:tcW w:w="1685" w:type="dxa"/>
            <w:vAlign w:val="center"/>
          </w:tcPr>
          <w:p w14:paraId="49411B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819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1F4BE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5E6785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打样</w:t>
            </w:r>
          </w:p>
        </w:tc>
        <w:tc>
          <w:tcPr>
            <w:tcW w:w="602" w:type="dxa"/>
            <w:shd w:val="clear" w:color="auto" w:fill="auto"/>
            <w:vAlign w:val="center"/>
          </w:tcPr>
          <w:p w14:paraId="55D698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17</w:t>
            </w:r>
          </w:p>
        </w:tc>
        <w:tc>
          <w:tcPr>
            <w:tcW w:w="2168" w:type="dxa"/>
            <w:vAlign w:val="center"/>
          </w:tcPr>
          <w:p w14:paraId="46335C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打样机</w:t>
            </w:r>
          </w:p>
        </w:tc>
        <w:tc>
          <w:tcPr>
            <w:tcW w:w="2534" w:type="dxa"/>
            <w:vAlign w:val="center"/>
          </w:tcPr>
          <w:p w14:paraId="7D42877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4200*2800* 1000</w:t>
            </w:r>
          </w:p>
        </w:tc>
        <w:tc>
          <w:tcPr>
            <w:tcW w:w="699" w:type="dxa"/>
            <w:shd w:val="clear" w:color="auto" w:fill="auto"/>
            <w:vAlign w:val="center"/>
          </w:tcPr>
          <w:p w14:paraId="14605A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57734D5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3E7F0F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92433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打样</w:t>
            </w:r>
          </w:p>
        </w:tc>
        <w:tc>
          <w:tcPr>
            <w:tcW w:w="1685" w:type="dxa"/>
            <w:vAlign w:val="center"/>
          </w:tcPr>
          <w:p w14:paraId="673310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1BB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006DF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Align w:val="center"/>
          </w:tcPr>
          <w:p w14:paraId="1C8FCF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挤压</w:t>
            </w:r>
          </w:p>
        </w:tc>
        <w:tc>
          <w:tcPr>
            <w:tcW w:w="602" w:type="dxa"/>
            <w:shd w:val="clear" w:color="auto" w:fill="auto"/>
            <w:vAlign w:val="center"/>
          </w:tcPr>
          <w:p w14:paraId="34F7D9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18</w:t>
            </w:r>
          </w:p>
        </w:tc>
        <w:tc>
          <w:tcPr>
            <w:tcW w:w="2168" w:type="dxa"/>
            <w:vAlign w:val="center"/>
          </w:tcPr>
          <w:p w14:paraId="2D14A73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挤压机</w:t>
            </w:r>
          </w:p>
        </w:tc>
        <w:tc>
          <w:tcPr>
            <w:tcW w:w="2534" w:type="dxa"/>
            <w:vAlign w:val="center"/>
          </w:tcPr>
          <w:p w14:paraId="6B8406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定制</w:t>
            </w:r>
          </w:p>
        </w:tc>
        <w:tc>
          <w:tcPr>
            <w:tcW w:w="699" w:type="dxa"/>
            <w:shd w:val="clear" w:color="auto" w:fill="auto"/>
            <w:vAlign w:val="center"/>
          </w:tcPr>
          <w:p w14:paraId="305A5B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2D4D21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0EBFF7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FCD267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挤压</w:t>
            </w:r>
          </w:p>
        </w:tc>
        <w:tc>
          <w:tcPr>
            <w:tcW w:w="1685" w:type="dxa"/>
            <w:vAlign w:val="center"/>
          </w:tcPr>
          <w:p w14:paraId="4CD7A6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631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D7F549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restart"/>
            <w:vAlign w:val="center"/>
          </w:tcPr>
          <w:p w14:paraId="3C231E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电镀</w:t>
            </w:r>
          </w:p>
        </w:tc>
        <w:tc>
          <w:tcPr>
            <w:tcW w:w="602" w:type="dxa"/>
            <w:shd w:val="clear" w:color="auto" w:fill="auto"/>
            <w:vAlign w:val="center"/>
          </w:tcPr>
          <w:p w14:paraId="590470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19</w:t>
            </w:r>
          </w:p>
        </w:tc>
        <w:tc>
          <w:tcPr>
            <w:tcW w:w="2168" w:type="dxa"/>
            <w:vAlign w:val="center"/>
          </w:tcPr>
          <w:p w14:paraId="10C718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装版台</w:t>
            </w:r>
          </w:p>
        </w:tc>
        <w:tc>
          <w:tcPr>
            <w:tcW w:w="2534" w:type="dxa"/>
            <w:vAlign w:val="center"/>
          </w:tcPr>
          <w:p w14:paraId="570E01C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36FEE7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27FC06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29A30E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307BBA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w:t>
            </w:r>
          </w:p>
        </w:tc>
        <w:tc>
          <w:tcPr>
            <w:tcW w:w="1685" w:type="dxa"/>
            <w:vMerge w:val="restart"/>
            <w:vAlign w:val="center"/>
          </w:tcPr>
          <w:p w14:paraId="6A17C3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BA0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E9915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B74D6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CEE7F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20</w:t>
            </w:r>
          </w:p>
        </w:tc>
        <w:tc>
          <w:tcPr>
            <w:tcW w:w="2168" w:type="dxa"/>
            <w:vAlign w:val="center"/>
          </w:tcPr>
          <w:p w14:paraId="4467DBA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停放架</w:t>
            </w:r>
          </w:p>
        </w:tc>
        <w:tc>
          <w:tcPr>
            <w:tcW w:w="2534" w:type="dxa"/>
            <w:vAlign w:val="center"/>
          </w:tcPr>
          <w:p w14:paraId="78B4D72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5400*2000* 1400</w:t>
            </w:r>
          </w:p>
        </w:tc>
        <w:tc>
          <w:tcPr>
            <w:tcW w:w="699" w:type="dxa"/>
            <w:shd w:val="clear" w:color="auto" w:fill="auto"/>
            <w:vAlign w:val="center"/>
          </w:tcPr>
          <w:p w14:paraId="3CCD9A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03EE37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0EEA36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F3138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w:t>
            </w:r>
          </w:p>
        </w:tc>
        <w:tc>
          <w:tcPr>
            <w:tcW w:w="1685" w:type="dxa"/>
            <w:vMerge w:val="continue"/>
            <w:vAlign w:val="center"/>
          </w:tcPr>
          <w:p w14:paraId="40FFC2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AD8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68943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F10A1C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09B70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21</w:t>
            </w:r>
          </w:p>
        </w:tc>
        <w:tc>
          <w:tcPr>
            <w:tcW w:w="2168" w:type="dxa"/>
            <w:vAlign w:val="center"/>
          </w:tcPr>
          <w:p w14:paraId="166340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碱铜槽</w:t>
            </w:r>
          </w:p>
        </w:tc>
        <w:tc>
          <w:tcPr>
            <w:tcW w:w="2534" w:type="dxa"/>
            <w:vAlign w:val="center"/>
          </w:tcPr>
          <w:p w14:paraId="3D33EB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294887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6D8777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5F9A8C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186F3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碱铜</w:t>
            </w:r>
          </w:p>
        </w:tc>
        <w:tc>
          <w:tcPr>
            <w:tcW w:w="1685" w:type="dxa"/>
            <w:vMerge w:val="continue"/>
            <w:vAlign w:val="center"/>
          </w:tcPr>
          <w:p w14:paraId="51B1F3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2EB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3023A3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EF8B81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9268E2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22</w:t>
            </w:r>
          </w:p>
        </w:tc>
        <w:tc>
          <w:tcPr>
            <w:tcW w:w="2168" w:type="dxa"/>
            <w:vAlign w:val="center"/>
          </w:tcPr>
          <w:p w14:paraId="334EEB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镀铜槽</w:t>
            </w:r>
          </w:p>
        </w:tc>
        <w:tc>
          <w:tcPr>
            <w:tcW w:w="2534" w:type="dxa"/>
            <w:vAlign w:val="center"/>
          </w:tcPr>
          <w:p w14:paraId="5B69AC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4A8236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3B8266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686487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1363C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镀铜</w:t>
            </w:r>
          </w:p>
        </w:tc>
        <w:tc>
          <w:tcPr>
            <w:tcW w:w="1685" w:type="dxa"/>
            <w:vMerge w:val="continue"/>
            <w:vAlign w:val="center"/>
          </w:tcPr>
          <w:p w14:paraId="187BCC9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601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711AC8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6371C9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2F7CF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23</w:t>
            </w:r>
          </w:p>
        </w:tc>
        <w:tc>
          <w:tcPr>
            <w:tcW w:w="2168" w:type="dxa"/>
            <w:vAlign w:val="center"/>
          </w:tcPr>
          <w:p w14:paraId="620806F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天车</w:t>
            </w:r>
          </w:p>
        </w:tc>
        <w:tc>
          <w:tcPr>
            <w:tcW w:w="2534" w:type="dxa"/>
            <w:vAlign w:val="center"/>
          </w:tcPr>
          <w:p w14:paraId="72AB81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6000*2000*2000</w:t>
            </w:r>
          </w:p>
        </w:tc>
        <w:tc>
          <w:tcPr>
            <w:tcW w:w="699" w:type="dxa"/>
            <w:shd w:val="clear" w:color="auto" w:fill="auto"/>
            <w:vAlign w:val="center"/>
          </w:tcPr>
          <w:p w14:paraId="7A04B1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30C4B74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0DEB450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260A8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w:t>
            </w:r>
          </w:p>
        </w:tc>
        <w:tc>
          <w:tcPr>
            <w:tcW w:w="1685" w:type="dxa"/>
            <w:vMerge w:val="continue"/>
            <w:vAlign w:val="center"/>
          </w:tcPr>
          <w:p w14:paraId="680263D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60B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0094E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16964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9C5B21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24</w:t>
            </w:r>
          </w:p>
        </w:tc>
        <w:tc>
          <w:tcPr>
            <w:tcW w:w="2168" w:type="dxa"/>
            <w:vAlign w:val="center"/>
          </w:tcPr>
          <w:p w14:paraId="3EEEC4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退镀槽</w:t>
            </w:r>
          </w:p>
        </w:tc>
        <w:tc>
          <w:tcPr>
            <w:tcW w:w="2534" w:type="dxa"/>
            <w:vAlign w:val="center"/>
          </w:tcPr>
          <w:p w14:paraId="578317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068CA16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0FC8CF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528BAF9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E53CC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退镀</w:t>
            </w:r>
          </w:p>
        </w:tc>
        <w:tc>
          <w:tcPr>
            <w:tcW w:w="1685" w:type="dxa"/>
            <w:vMerge w:val="continue"/>
            <w:vAlign w:val="center"/>
          </w:tcPr>
          <w:p w14:paraId="4E58BBD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105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6DFE7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513094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59FC8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25</w:t>
            </w:r>
          </w:p>
        </w:tc>
        <w:tc>
          <w:tcPr>
            <w:tcW w:w="2168" w:type="dxa"/>
            <w:vAlign w:val="center"/>
          </w:tcPr>
          <w:p w14:paraId="3328DB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镀铬槽</w:t>
            </w:r>
          </w:p>
        </w:tc>
        <w:tc>
          <w:tcPr>
            <w:tcW w:w="2534" w:type="dxa"/>
            <w:vAlign w:val="center"/>
          </w:tcPr>
          <w:p w14:paraId="0532D34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466E73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699" w:type="dxa"/>
            <w:shd w:val="clear" w:color="auto" w:fill="auto"/>
            <w:vAlign w:val="center"/>
          </w:tcPr>
          <w:p w14:paraId="2CE17BA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703" w:type="dxa"/>
            <w:vAlign w:val="center"/>
          </w:tcPr>
          <w:p w14:paraId="6DF3F8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6FC37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镀铬</w:t>
            </w:r>
          </w:p>
        </w:tc>
        <w:tc>
          <w:tcPr>
            <w:tcW w:w="1685" w:type="dxa"/>
            <w:vMerge w:val="continue"/>
            <w:vAlign w:val="center"/>
          </w:tcPr>
          <w:p w14:paraId="13E942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7F4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072BB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50BBB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7369CB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26</w:t>
            </w:r>
          </w:p>
        </w:tc>
        <w:tc>
          <w:tcPr>
            <w:tcW w:w="2168" w:type="dxa"/>
            <w:vAlign w:val="center"/>
          </w:tcPr>
          <w:p w14:paraId="5AE695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电解槽</w:t>
            </w:r>
          </w:p>
        </w:tc>
        <w:tc>
          <w:tcPr>
            <w:tcW w:w="2534" w:type="dxa"/>
            <w:vAlign w:val="center"/>
          </w:tcPr>
          <w:p w14:paraId="76BD3B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426C35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72A7CA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01DE06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5D0D9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电解</w:t>
            </w:r>
          </w:p>
        </w:tc>
        <w:tc>
          <w:tcPr>
            <w:tcW w:w="1685" w:type="dxa"/>
            <w:vMerge w:val="continue"/>
            <w:vAlign w:val="center"/>
          </w:tcPr>
          <w:p w14:paraId="52B8FF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DEF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E8F99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8F602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6CA2BA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27</w:t>
            </w:r>
          </w:p>
        </w:tc>
        <w:tc>
          <w:tcPr>
            <w:tcW w:w="2168" w:type="dxa"/>
            <w:vAlign w:val="center"/>
          </w:tcPr>
          <w:p w14:paraId="364326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浸蚀槽</w:t>
            </w:r>
          </w:p>
        </w:tc>
        <w:tc>
          <w:tcPr>
            <w:tcW w:w="2534" w:type="dxa"/>
            <w:vAlign w:val="center"/>
          </w:tcPr>
          <w:p w14:paraId="63DD08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1650* 1340</w:t>
            </w:r>
          </w:p>
        </w:tc>
        <w:tc>
          <w:tcPr>
            <w:tcW w:w="699" w:type="dxa"/>
            <w:shd w:val="clear" w:color="auto" w:fill="auto"/>
            <w:vAlign w:val="center"/>
          </w:tcPr>
          <w:p w14:paraId="41E124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18E0CD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53725C2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83852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浸蚀</w:t>
            </w:r>
          </w:p>
        </w:tc>
        <w:tc>
          <w:tcPr>
            <w:tcW w:w="1685" w:type="dxa"/>
            <w:vMerge w:val="continue"/>
            <w:vAlign w:val="center"/>
          </w:tcPr>
          <w:p w14:paraId="09C324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61B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B9164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1813F6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4D48ADE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28</w:t>
            </w:r>
          </w:p>
        </w:tc>
        <w:tc>
          <w:tcPr>
            <w:tcW w:w="2168" w:type="dxa"/>
            <w:vAlign w:val="center"/>
          </w:tcPr>
          <w:p w14:paraId="6180AB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铬清洗槽</w:t>
            </w:r>
          </w:p>
        </w:tc>
        <w:tc>
          <w:tcPr>
            <w:tcW w:w="2534" w:type="dxa"/>
            <w:vAlign w:val="center"/>
          </w:tcPr>
          <w:p w14:paraId="02D3B1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6160* 1850* 1340</w:t>
            </w:r>
          </w:p>
        </w:tc>
        <w:tc>
          <w:tcPr>
            <w:tcW w:w="699" w:type="dxa"/>
            <w:shd w:val="clear" w:color="auto" w:fill="auto"/>
            <w:vAlign w:val="center"/>
          </w:tcPr>
          <w:p w14:paraId="33B9F5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4AE24C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6719BD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87DB4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清洗</w:t>
            </w:r>
          </w:p>
        </w:tc>
        <w:tc>
          <w:tcPr>
            <w:tcW w:w="1685" w:type="dxa"/>
            <w:vMerge w:val="continue"/>
            <w:vAlign w:val="center"/>
          </w:tcPr>
          <w:p w14:paraId="46EF751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1F7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56F0CB4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凹印版</w:t>
            </w:r>
          </w:p>
        </w:tc>
        <w:tc>
          <w:tcPr>
            <w:tcW w:w="931" w:type="dxa"/>
            <w:vMerge w:val="restart"/>
            <w:vAlign w:val="center"/>
          </w:tcPr>
          <w:p w14:paraId="2EB52D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eastAsia" w:ascii="Times New Roman" w:hAnsi="Times New Roman" w:eastAsia="仿宋_GB2312" w:cs="Times New Roman"/>
                <w:color w:val="000000"/>
                <w:spacing w:val="-11"/>
                <w:kern w:val="0"/>
                <w:sz w:val="21"/>
                <w:szCs w:val="21"/>
                <w:lang w:val="en-US" w:eastAsia="en-US" w:bidi="ar-SA"/>
              </w:rPr>
              <w:t>机械加工</w:t>
            </w:r>
          </w:p>
        </w:tc>
        <w:tc>
          <w:tcPr>
            <w:tcW w:w="602" w:type="dxa"/>
            <w:shd w:val="clear" w:color="auto" w:fill="auto"/>
            <w:vAlign w:val="center"/>
          </w:tcPr>
          <w:p w14:paraId="33F41E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29</w:t>
            </w:r>
          </w:p>
        </w:tc>
        <w:tc>
          <w:tcPr>
            <w:tcW w:w="2168" w:type="dxa"/>
            <w:shd w:val="clear" w:color="auto" w:fill="auto"/>
            <w:vAlign w:val="center"/>
          </w:tcPr>
          <w:p w14:paraId="2DD5BC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锯床</w:t>
            </w:r>
          </w:p>
        </w:tc>
        <w:tc>
          <w:tcPr>
            <w:tcW w:w="2534" w:type="dxa"/>
            <w:shd w:val="clear" w:color="auto" w:fill="auto"/>
            <w:vAlign w:val="center"/>
          </w:tcPr>
          <w:p w14:paraId="737548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4kW</w:t>
            </w:r>
          </w:p>
        </w:tc>
        <w:tc>
          <w:tcPr>
            <w:tcW w:w="699" w:type="dxa"/>
            <w:shd w:val="clear" w:color="auto" w:fill="auto"/>
            <w:vAlign w:val="center"/>
          </w:tcPr>
          <w:p w14:paraId="632E262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E5D2A7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73B4DC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678" w:type="dxa"/>
            <w:vAlign w:val="center"/>
          </w:tcPr>
          <w:p w14:paraId="0CA08ED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剪板</w:t>
            </w:r>
          </w:p>
        </w:tc>
        <w:tc>
          <w:tcPr>
            <w:tcW w:w="1685" w:type="dxa"/>
            <w:vAlign w:val="center"/>
          </w:tcPr>
          <w:p w14:paraId="620730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F1D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2C420F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F583A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BC503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30</w:t>
            </w:r>
          </w:p>
        </w:tc>
        <w:tc>
          <w:tcPr>
            <w:tcW w:w="2168" w:type="dxa"/>
            <w:shd w:val="clear" w:color="auto" w:fill="auto"/>
            <w:vAlign w:val="center"/>
          </w:tcPr>
          <w:p w14:paraId="747F7F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校园机</w:t>
            </w:r>
          </w:p>
        </w:tc>
        <w:tc>
          <w:tcPr>
            <w:tcW w:w="2534" w:type="dxa"/>
            <w:shd w:val="clear" w:color="auto" w:fill="auto"/>
            <w:vAlign w:val="center"/>
          </w:tcPr>
          <w:p w14:paraId="7CDBCF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17kW</w:t>
            </w:r>
          </w:p>
        </w:tc>
        <w:tc>
          <w:tcPr>
            <w:tcW w:w="699" w:type="dxa"/>
            <w:shd w:val="clear" w:color="auto" w:fill="auto"/>
            <w:vAlign w:val="center"/>
          </w:tcPr>
          <w:p w14:paraId="772F483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4404A6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703" w:type="dxa"/>
            <w:vAlign w:val="center"/>
          </w:tcPr>
          <w:p w14:paraId="3CB4A90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1678" w:type="dxa"/>
            <w:vAlign w:val="center"/>
          </w:tcPr>
          <w:p w14:paraId="4D73BD9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校圆</w:t>
            </w:r>
          </w:p>
        </w:tc>
        <w:tc>
          <w:tcPr>
            <w:tcW w:w="1685" w:type="dxa"/>
            <w:vAlign w:val="center"/>
          </w:tcPr>
          <w:p w14:paraId="52A7F6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43F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16722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06AA0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C8E87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31</w:t>
            </w:r>
          </w:p>
        </w:tc>
        <w:tc>
          <w:tcPr>
            <w:tcW w:w="2168" w:type="dxa"/>
            <w:shd w:val="clear" w:color="auto" w:fill="auto"/>
            <w:vAlign w:val="center"/>
          </w:tcPr>
          <w:p w14:paraId="2D3328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双头焊</w:t>
            </w:r>
          </w:p>
        </w:tc>
        <w:tc>
          <w:tcPr>
            <w:tcW w:w="2534" w:type="dxa"/>
            <w:shd w:val="clear" w:color="auto" w:fill="auto"/>
            <w:vAlign w:val="center"/>
          </w:tcPr>
          <w:p w14:paraId="07295D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54kW</w:t>
            </w:r>
          </w:p>
        </w:tc>
        <w:tc>
          <w:tcPr>
            <w:tcW w:w="699" w:type="dxa"/>
            <w:shd w:val="clear" w:color="auto" w:fill="auto"/>
            <w:vAlign w:val="center"/>
          </w:tcPr>
          <w:p w14:paraId="13696FB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33BA05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3ACCF7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Align w:val="center"/>
          </w:tcPr>
          <w:p w14:paraId="5D337BE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焊接</w:t>
            </w:r>
          </w:p>
        </w:tc>
        <w:tc>
          <w:tcPr>
            <w:tcW w:w="1685" w:type="dxa"/>
            <w:vAlign w:val="center"/>
          </w:tcPr>
          <w:p w14:paraId="3A2D21F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416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trPr>
        <w:tc>
          <w:tcPr>
            <w:tcW w:w="689" w:type="dxa"/>
            <w:vMerge w:val="continue"/>
            <w:vAlign w:val="center"/>
          </w:tcPr>
          <w:p w14:paraId="2A79D25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3043A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2C2F8C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32</w:t>
            </w:r>
          </w:p>
        </w:tc>
        <w:tc>
          <w:tcPr>
            <w:tcW w:w="2168" w:type="dxa"/>
            <w:shd w:val="clear" w:color="auto" w:fill="auto"/>
            <w:vAlign w:val="center"/>
          </w:tcPr>
          <w:p w14:paraId="5FB3AF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拉床</w:t>
            </w:r>
          </w:p>
        </w:tc>
        <w:tc>
          <w:tcPr>
            <w:tcW w:w="2534" w:type="dxa"/>
            <w:shd w:val="clear" w:color="auto" w:fill="auto"/>
            <w:vAlign w:val="center"/>
          </w:tcPr>
          <w:p w14:paraId="4DCFB8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7.5kW</w:t>
            </w:r>
          </w:p>
        </w:tc>
        <w:tc>
          <w:tcPr>
            <w:tcW w:w="699" w:type="dxa"/>
            <w:shd w:val="clear" w:color="auto" w:fill="auto"/>
            <w:vAlign w:val="center"/>
          </w:tcPr>
          <w:p w14:paraId="12D2251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849450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28D86FA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Merge w:val="restart"/>
            <w:vAlign w:val="center"/>
          </w:tcPr>
          <w:p w14:paraId="3845232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机加工</w:t>
            </w:r>
          </w:p>
        </w:tc>
        <w:tc>
          <w:tcPr>
            <w:tcW w:w="1685" w:type="dxa"/>
            <w:vAlign w:val="center"/>
          </w:tcPr>
          <w:p w14:paraId="3A8B1F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F96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2A53B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AF80A4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8578FC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33</w:t>
            </w:r>
          </w:p>
        </w:tc>
        <w:tc>
          <w:tcPr>
            <w:tcW w:w="2168" w:type="dxa"/>
            <w:shd w:val="clear" w:color="auto" w:fill="auto"/>
            <w:vAlign w:val="center"/>
          </w:tcPr>
          <w:p w14:paraId="0214DD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镗床</w:t>
            </w:r>
          </w:p>
        </w:tc>
        <w:tc>
          <w:tcPr>
            <w:tcW w:w="2534" w:type="dxa"/>
            <w:shd w:val="clear" w:color="auto" w:fill="auto"/>
            <w:vAlign w:val="center"/>
          </w:tcPr>
          <w:p w14:paraId="3F1E7BC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30kW</w:t>
            </w:r>
          </w:p>
        </w:tc>
        <w:tc>
          <w:tcPr>
            <w:tcW w:w="699" w:type="dxa"/>
            <w:shd w:val="clear" w:color="auto" w:fill="auto"/>
            <w:vAlign w:val="center"/>
          </w:tcPr>
          <w:p w14:paraId="2787390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EA875F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703" w:type="dxa"/>
            <w:vAlign w:val="center"/>
          </w:tcPr>
          <w:p w14:paraId="0238563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1678" w:type="dxa"/>
            <w:vMerge w:val="continue"/>
            <w:vAlign w:val="center"/>
          </w:tcPr>
          <w:p w14:paraId="38E791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p>
        </w:tc>
        <w:tc>
          <w:tcPr>
            <w:tcW w:w="1685" w:type="dxa"/>
            <w:vAlign w:val="center"/>
          </w:tcPr>
          <w:p w14:paraId="66F0E5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D19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0790CC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62ADF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EF8E7A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34</w:t>
            </w:r>
          </w:p>
        </w:tc>
        <w:tc>
          <w:tcPr>
            <w:tcW w:w="2168" w:type="dxa"/>
            <w:shd w:val="clear" w:color="auto" w:fill="auto"/>
            <w:vAlign w:val="center"/>
          </w:tcPr>
          <w:p w14:paraId="294DED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车堵机</w:t>
            </w:r>
          </w:p>
        </w:tc>
        <w:tc>
          <w:tcPr>
            <w:tcW w:w="2534" w:type="dxa"/>
            <w:shd w:val="clear" w:color="auto" w:fill="auto"/>
            <w:vAlign w:val="center"/>
          </w:tcPr>
          <w:p w14:paraId="2D4507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20kW</w:t>
            </w:r>
          </w:p>
        </w:tc>
        <w:tc>
          <w:tcPr>
            <w:tcW w:w="699" w:type="dxa"/>
            <w:shd w:val="clear" w:color="auto" w:fill="auto"/>
            <w:vAlign w:val="center"/>
          </w:tcPr>
          <w:p w14:paraId="62E9342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169979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24726CF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Merge w:val="continue"/>
            <w:vAlign w:val="center"/>
          </w:tcPr>
          <w:p w14:paraId="1695CB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p>
        </w:tc>
        <w:tc>
          <w:tcPr>
            <w:tcW w:w="1685" w:type="dxa"/>
            <w:vAlign w:val="center"/>
          </w:tcPr>
          <w:p w14:paraId="10A2A7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236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AA407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19C6C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514DC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35</w:t>
            </w:r>
          </w:p>
        </w:tc>
        <w:tc>
          <w:tcPr>
            <w:tcW w:w="2168" w:type="dxa"/>
            <w:shd w:val="clear" w:color="auto" w:fill="auto"/>
            <w:vAlign w:val="center"/>
          </w:tcPr>
          <w:p w14:paraId="7B165B2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斜床</w:t>
            </w:r>
          </w:p>
        </w:tc>
        <w:tc>
          <w:tcPr>
            <w:tcW w:w="2534" w:type="dxa"/>
            <w:shd w:val="clear" w:color="auto" w:fill="auto"/>
            <w:vAlign w:val="center"/>
          </w:tcPr>
          <w:p w14:paraId="79253F7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35kW</w:t>
            </w:r>
          </w:p>
        </w:tc>
        <w:tc>
          <w:tcPr>
            <w:tcW w:w="699" w:type="dxa"/>
            <w:shd w:val="clear" w:color="auto" w:fill="auto"/>
            <w:vAlign w:val="center"/>
          </w:tcPr>
          <w:p w14:paraId="3A2E85D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9434C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5A21D0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Merge w:val="continue"/>
            <w:vAlign w:val="center"/>
          </w:tcPr>
          <w:p w14:paraId="072BB1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p>
        </w:tc>
        <w:tc>
          <w:tcPr>
            <w:tcW w:w="1685" w:type="dxa"/>
            <w:vAlign w:val="center"/>
          </w:tcPr>
          <w:p w14:paraId="4D19D5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346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A675F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C8176D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2C3301A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36</w:t>
            </w:r>
          </w:p>
        </w:tc>
        <w:tc>
          <w:tcPr>
            <w:tcW w:w="2168" w:type="dxa"/>
            <w:shd w:val="clear" w:color="auto" w:fill="auto"/>
            <w:vAlign w:val="center"/>
          </w:tcPr>
          <w:p w14:paraId="6D57D3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打号机</w:t>
            </w:r>
          </w:p>
        </w:tc>
        <w:tc>
          <w:tcPr>
            <w:tcW w:w="2534" w:type="dxa"/>
            <w:shd w:val="clear" w:color="auto" w:fill="auto"/>
            <w:vAlign w:val="center"/>
          </w:tcPr>
          <w:p w14:paraId="38AC0CA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3kW</w:t>
            </w:r>
          </w:p>
        </w:tc>
        <w:tc>
          <w:tcPr>
            <w:tcW w:w="699" w:type="dxa"/>
            <w:shd w:val="clear" w:color="auto" w:fill="auto"/>
            <w:vAlign w:val="center"/>
          </w:tcPr>
          <w:p w14:paraId="53CC74D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BDCFD5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6</w:t>
            </w:r>
          </w:p>
        </w:tc>
        <w:tc>
          <w:tcPr>
            <w:tcW w:w="703" w:type="dxa"/>
            <w:vAlign w:val="center"/>
          </w:tcPr>
          <w:p w14:paraId="744D9D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+6</w:t>
            </w:r>
          </w:p>
        </w:tc>
        <w:tc>
          <w:tcPr>
            <w:tcW w:w="1678" w:type="dxa"/>
            <w:vAlign w:val="center"/>
          </w:tcPr>
          <w:p w14:paraId="1776628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打号</w:t>
            </w:r>
          </w:p>
        </w:tc>
        <w:tc>
          <w:tcPr>
            <w:tcW w:w="1685" w:type="dxa"/>
            <w:vAlign w:val="center"/>
          </w:tcPr>
          <w:p w14:paraId="2544E9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978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96A4E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59CAF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3B8C9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37</w:t>
            </w:r>
          </w:p>
        </w:tc>
        <w:tc>
          <w:tcPr>
            <w:tcW w:w="2168" w:type="dxa"/>
            <w:shd w:val="clear" w:color="auto" w:fill="auto"/>
            <w:vAlign w:val="center"/>
          </w:tcPr>
          <w:p w14:paraId="3219C9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动平衡</w:t>
            </w:r>
          </w:p>
        </w:tc>
        <w:tc>
          <w:tcPr>
            <w:tcW w:w="2534" w:type="dxa"/>
            <w:shd w:val="clear" w:color="auto" w:fill="auto"/>
            <w:vAlign w:val="center"/>
          </w:tcPr>
          <w:p w14:paraId="6DD620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4kW</w:t>
            </w:r>
          </w:p>
        </w:tc>
        <w:tc>
          <w:tcPr>
            <w:tcW w:w="699" w:type="dxa"/>
            <w:shd w:val="clear" w:color="auto" w:fill="auto"/>
            <w:vAlign w:val="center"/>
          </w:tcPr>
          <w:p w14:paraId="3F7B003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4912EC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49E3E6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Align w:val="center"/>
          </w:tcPr>
          <w:p w14:paraId="1912605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动平衡</w:t>
            </w:r>
          </w:p>
        </w:tc>
        <w:tc>
          <w:tcPr>
            <w:tcW w:w="1685" w:type="dxa"/>
            <w:vAlign w:val="center"/>
          </w:tcPr>
          <w:p w14:paraId="503432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BA1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CCD921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848499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407D088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38</w:t>
            </w:r>
          </w:p>
        </w:tc>
        <w:tc>
          <w:tcPr>
            <w:tcW w:w="2168" w:type="dxa"/>
            <w:shd w:val="clear" w:color="auto" w:fill="auto"/>
            <w:vAlign w:val="center"/>
          </w:tcPr>
          <w:p w14:paraId="613D79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研磨机（</w:t>
            </w:r>
            <w:r>
              <w:rPr>
                <w:rFonts w:ascii="Times New Roman" w:hAnsi="Times New Roman" w:eastAsia="仿宋_GB2312" w:cs="Times New Roman"/>
                <w:color w:val="000000"/>
                <w:spacing w:val="-11"/>
                <w:kern w:val="0"/>
                <w:sz w:val="21"/>
                <w:szCs w:val="21"/>
                <w:highlight w:val="black"/>
                <w:lang w:val="en-US" w:eastAsia="zh-CN" w:bidi="ar-SA"/>
              </w:rPr>
              <w:t>钢研</w:t>
            </w:r>
            <w:r>
              <w:rPr>
                <w:rFonts w:hint="eastAsia" w:ascii="Times New Roman" w:hAnsi="Times New Roman" w:eastAsia="仿宋_GB2312" w:cs="Times New Roman"/>
                <w:color w:val="000000"/>
                <w:spacing w:val="-11"/>
                <w:kern w:val="0"/>
                <w:sz w:val="21"/>
                <w:szCs w:val="21"/>
                <w:highlight w:val="black"/>
                <w:lang w:val="en-US" w:eastAsia="zh-CN" w:bidi="ar-SA"/>
              </w:rPr>
              <w:t>）</w:t>
            </w:r>
          </w:p>
        </w:tc>
        <w:tc>
          <w:tcPr>
            <w:tcW w:w="2534" w:type="dxa"/>
            <w:shd w:val="clear" w:color="auto" w:fill="auto"/>
            <w:vAlign w:val="center"/>
          </w:tcPr>
          <w:p w14:paraId="3CF11F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15kW</w:t>
            </w:r>
          </w:p>
        </w:tc>
        <w:tc>
          <w:tcPr>
            <w:tcW w:w="699" w:type="dxa"/>
            <w:shd w:val="clear" w:color="auto" w:fill="auto"/>
            <w:vAlign w:val="center"/>
          </w:tcPr>
          <w:p w14:paraId="2A3C151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975D60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8</w:t>
            </w:r>
          </w:p>
        </w:tc>
        <w:tc>
          <w:tcPr>
            <w:tcW w:w="703" w:type="dxa"/>
            <w:vAlign w:val="center"/>
          </w:tcPr>
          <w:p w14:paraId="2378B2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+8</w:t>
            </w:r>
          </w:p>
        </w:tc>
        <w:tc>
          <w:tcPr>
            <w:tcW w:w="1678" w:type="dxa"/>
            <w:vAlign w:val="center"/>
          </w:tcPr>
          <w:p w14:paraId="50A10C9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研磨</w:t>
            </w:r>
          </w:p>
        </w:tc>
        <w:tc>
          <w:tcPr>
            <w:tcW w:w="1685" w:type="dxa"/>
            <w:vAlign w:val="center"/>
          </w:tcPr>
          <w:p w14:paraId="67B0F8C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099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B8848B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6B8FA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D955A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39</w:t>
            </w:r>
          </w:p>
        </w:tc>
        <w:tc>
          <w:tcPr>
            <w:tcW w:w="2168" w:type="dxa"/>
            <w:shd w:val="clear" w:color="auto" w:fill="auto"/>
            <w:vAlign w:val="center"/>
          </w:tcPr>
          <w:p w14:paraId="182AEC8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激光切割机</w:t>
            </w:r>
          </w:p>
        </w:tc>
        <w:tc>
          <w:tcPr>
            <w:tcW w:w="2534" w:type="dxa"/>
            <w:shd w:val="clear" w:color="auto" w:fill="auto"/>
            <w:vAlign w:val="center"/>
          </w:tcPr>
          <w:p w14:paraId="1686DB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13kW</w:t>
            </w:r>
          </w:p>
        </w:tc>
        <w:tc>
          <w:tcPr>
            <w:tcW w:w="699" w:type="dxa"/>
            <w:shd w:val="clear" w:color="auto" w:fill="auto"/>
            <w:vAlign w:val="center"/>
          </w:tcPr>
          <w:p w14:paraId="3464903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085A6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271E6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vAlign w:val="center"/>
          </w:tcPr>
          <w:p w14:paraId="5A4C7F4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切割</w:t>
            </w:r>
          </w:p>
        </w:tc>
        <w:tc>
          <w:tcPr>
            <w:tcW w:w="1685" w:type="dxa"/>
            <w:vAlign w:val="center"/>
          </w:tcPr>
          <w:p w14:paraId="6F0F37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00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F2156C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AA868C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6EF48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40</w:t>
            </w:r>
          </w:p>
        </w:tc>
        <w:tc>
          <w:tcPr>
            <w:tcW w:w="2168" w:type="dxa"/>
            <w:shd w:val="clear" w:color="auto" w:fill="auto"/>
            <w:vAlign w:val="center"/>
          </w:tcPr>
          <w:p w14:paraId="65575B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卷板机</w:t>
            </w:r>
          </w:p>
        </w:tc>
        <w:tc>
          <w:tcPr>
            <w:tcW w:w="2534" w:type="dxa"/>
            <w:shd w:val="clear" w:color="auto" w:fill="auto"/>
            <w:vAlign w:val="center"/>
          </w:tcPr>
          <w:p w14:paraId="0A8B32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18.5kW</w:t>
            </w:r>
          </w:p>
        </w:tc>
        <w:tc>
          <w:tcPr>
            <w:tcW w:w="699" w:type="dxa"/>
            <w:shd w:val="clear" w:color="auto" w:fill="auto"/>
            <w:vAlign w:val="center"/>
          </w:tcPr>
          <w:p w14:paraId="3EE8B74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675C8A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703" w:type="dxa"/>
            <w:vAlign w:val="center"/>
          </w:tcPr>
          <w:p w14:paraId="51CD45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678" w:type="dxa"/>
            <w:vAlign w:val="center"/>
          </w:tcPr>
          <w:p w14:paraId="00B0EA0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卷板</w:t>
            </w:r>
          </w:p>
        </w:tc>
        <w:tc>
          <w:tcPr>
            <w:tcW w:w="1685" w:type="dxa"/>
            <w:vAlign w:val="center"/>
          </w:tcPr>
          <w:p w14:paraId="5B8B72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869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4DF56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3D5D1F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B62B67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41</w:t>
            </w:r>
          </w:p>
        </w:tc>
        <w:tc>
          <w:tcPr>
            <w:tcW w:w="2168" w:type="dxa"/>
            <w:shd w:val="clear" w:color="auto" w:fill="auto"/>
            <w:vAlign w:val="center"/>
          </w:tcPr>
          <w:p w14:paraId="1EB143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激光焊机</w:t>
            </w:r>
          </w:p>
        </w:tc>
        <w:tc>
          <w:tcPr>
            <w:tcW w:w="2534" w:type="dxa"/>
            <w:shd w:val="clear" w:color="auto" w:fill="auto"/>
            <w:vAlign w:val="center"/>
          </w:tcPr>
          <w:p w14:paraId="6D377F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6kW</w:t>
            </w:r>
          </w:p>
        </w:tc>
        <w:tc>
          <w:tcPr>
            <w:tcW w:w="699" w:type="dxa"/>
            <w:shd w:val="clear" w:color="auto" w:fill="auto"/>
            <w:vAlign w:val="center"/>
          </w:tcPr>
          <w:p w14:paraId="7E98572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7C52D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1894B3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678" w:type="dxa"/>
            <w:vAlign w:val="center"/>
          </w:tcPr>
          <w:p w14:paraId="2BC23AB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焊接</w:t>
            </w:r>
          </w:p>
        </w:tc>
        <w:tc>
          <w:tcPr>
            <w:tcW w:w="1685" w:type="dxa"/>
            <w:vAlign w:val="center"/>
          </w:tcPr>
          <w:p w14:paraId="328F3E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1A1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27FE7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CD7125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46FFEF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42</w:t>
            </w:r>
          </w:p>
        </w:tc>
        <w:tc>
          <w:tcPr>
            <w:tcW w:w="2168" w:type="dxa"/>
            <w:shd w:val="clear" w:color="auto" w:fill="auto"/>
            <w:vAlign w:val="center"/>
          </w:tcPr>
          <w:p w14:paraId="2B20348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zh-CN" w:bidi="ar-SA"/>
              </w:rPr>
              <w:t>埋弧焊机</w:t>
            </w:r>
          </w:p>
        </w:tc>
        <w:tc>
          <w:tcPr>
            <w:tcW w:w="2534" w:type="dxa"/>
            <w:shd w:val="clear" w:color="auto" w:fill="auto"/>
            <w:vAlign w:val="center"/>
          </w:tcPr>
          <w:p w14:paraId="72FF77A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13kW</w:t>
            </w:r>
          </w:p>
        </w:tc>
        <w:tc>
          <w:tcPr>
            <w:tcW w:w="699" w:type="dxa"/>
            <w:shd w:val="clear" w:color="auto" w:fill="auto"/>
            <w:vAlign w:val="center"/>
          </w:tcPr>
          <w:p w14:paraId="2FFC64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CFA8D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264279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vAlign w:val="center"/>
          </w:tcPr>
          <w:p w14:paraId="3B5AB56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焊接</w:t>
            </w:r>
          </w:p>
        </w:tc>
        <w:tc>
          <w:tcPr>
            <w:tcW w:w="1685" w:type="dxa"/>
            <w:vAlign w:val="center"/>
          </w:tcPr>
          <w:p w14:paraId="0CE1DF6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D4D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943D46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restart"/>
            <w:vAlign w:val="center"/>
          </w:tcPr>
          <w:p w14:paraId="5DA2DC1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电子雕刻线（6条）</w:t>
            </w:r>
          </w:p>
        </w:tc>
        <w:tc>
          <w:tcPr>
            <w:tcW w:w="602" w:type="dxa"/>
            <w:shd w:val="clear" w:color="auto" w:fill="auto"/>
            <w:vAlign w:val="center"/>
          </w:tcPr>
          <w:p w14:paraId="1FA2B8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43</w:t>
            </w:r>
          </w:p>
        </w:tc>
        <w:tc>
          <w:tcPr>
            <w:tcW w:w="2168" w:type="dxa"/>
            <w:shd w:val="clear" w:color="auto" w:fill="auto"/>
            <w:vAlign w:val="center"/>
          </w:tcPr>
          <w:p w14:paraId="4895F49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脱脂槽</w:t>
            </w:r>
          </w:p>
        </w:tc>
        <w:tc>
          <w:tcPr>
            <w:tcW w:w="2534" w:type="dxa"/>
            <w:shd w:val="clear" w:color="auto" w:fill="auto"/>
            <w:vAlign w:val="center"/>
          </w:tcPr>
          <w:p w14:paraId="50EF155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详见表9</w:t>
            </w:r>
          </w:p>
        </w:tc>
        <w:tc>
          <w:tcPr>
            <w:tcW w:w="699" w:type="dxa"/>
            <w:shd w:val="clear" w:color="auto" w:fill="auto"/>
            <w:vAlign w:val="center"/>
          </w:tcPr>
          <w:p w14:paraId="2FD136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3B3C17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703" w:type="dxa"/>
            <w:vAlign w:val="center"/>
          </w:tcPr>
          <w:p w14:paraId="1D6DC8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1678" w:type="dxa"/>
            <w:vAlign w:val="center"/>
          </w:tcPr>
          <w:p w14:paraId="2814A1D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清洗、脱脂</w:t>
            </w:r>
          </w:p>
        </w:tc>
        <w:tc>
          <w:tcPr>
            <w:tcW w:w="1685" w:type="dxa"/>
            <w:vAlign w:val="center"/>
          </w:tcPr>
          <w:p w14:paraId="0C07943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5E5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DABAB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4DD52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3701DD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44</w:t>
            </w:r>
          </w:p>
        </w:tc>
        <w:tc>
          <w:tcPr>
            <w:tcW w:w="2168" w:type="dxa"/>
            <w:shd w:val="clear" w:color="auto" w:fill="auto"/>
            <w:vAlign w:val="center"/>
          </w:tcPr>
          <w:p w14:paraId="042A11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碱铜槽</w:t>
            </w:r>
          </w:p>
        </w:tc>
        <w:tc>
          <w:tcPr>
            <w:tcW w:w="2534" w:type="dxa"/>
            <w:shd w:val="clear" w:color="auto" w:fill="auto"/>
            <w:vAlign w:val="center"/>
          </w:tcPr>
          <w:p w14:paraId="2F932BE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详见表9</w:t>
            </w:r>
          </w:p>
        </w:tc>
        <w:tc>
          <w:tcPr>
            <w:tcW w:w="699" w:type="dxa"/>
            <w:shd w:val="clear" w:color="auto" w:fill="auto"/>
            <w:vAlign w:val="center"/>
          </w:tcPr>
          <w:p w14:paraId="166A058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9C0980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2*6</w:t>
            </w:r>
          </w:p>
        </w:tc>
        <w:tc>
          <w:tcPr>
            <w:tcW w:w="703" w:type="dxa"/>
            <w:vAlign w:val="center"/>
          </w:tcPr>
          <w:p w14:paraId="53B887E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+2*6</w:t>
            </w:r>
          </w:p>
        </w:tc>
        <w:tc>
          <w:tcPr>
            <w:tcW w:w="1678" w:type="dxa"/>
            <w:vAlign w:val="center"/>
          </w:tcPr>
          <w:p w14:paraId="0A9B9CD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度碱铜、清洗</w:t>
            </w:r>
          </w:p>
        </w:tc>
        <w:tc>
          <w:tcPr>
            <w:tcW w:w="1685" w:type="dxa"/>
            <w:vAlign w:val="center"/>
          </w:tcPr>
          <w:p w14:paraId="0143A04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CE0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807AF3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1F1DC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FCCCA7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45</w:t>
            </w:r>
          </w:p>
        </w:tc>
        <w:tc>
          <w:tcPr>
            <w:tcW w:w="2168" w:type="dxa"/>
            <w:shd w:val="clear" w:color="auto" w:fill="auto"/>
            <w:vAlign w:val="center"/>
          </w:tcPr>
          <w:p w14:paraId="505DFA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铜槽</w:t>
            </w:r>
          </w:p>
        </w:tc>
        <w:tc>
          <w:tcPr>
            <w:tcW w:w="2534" w:type="dxa"/>
            <w:shd w:val="clear" w:color="auto" w:fill="auto"/>
            <w:vAlign w:val="center"/>
          </w:tcPr>
          <w:p w14:paraId="7C173ED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详见表9</w:t>
            </w:r>
          </w:p>
        </w:tc>
        <w:tc>
          <w:tcPr>
            <w:tcW w:w="699" w:type="dxa"/>
            <w:shd w:val="clear" w:color="auto" w:fill="auto"/>
            <w:vAlign w:val="center"/>
          </w:tcPr>
          <w:p w14:paraId="177EC0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DBDBD1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703" w:type="dxa"/>
            <w:vAlign w:val="center"/>
          </w:tcPr>
          <w:p w14:paraId="349C2EF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1678" w:type="dxa"/>
            <w:vAlign w:val="center"/>
          </w:tcPr>
          <w:p w14:paraId="4A5D6E2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镀铜</w:t>
            </w:r>
          </w:p>
        </w:tc>
        <w:tc>
          <w:tcPr>
            <w:tcW w:w="1685" w:type="dxa"/>
            <w:vAlign w:val="center"/>
          </w:tcPr>
          <w:p w14:paraId="37B567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690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71A235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62AC39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E117CC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46</w:t>
            </w:r>
          </w:p>
        </w:tc>
        <w:tc>
          <w:tcPr>
            <w:tcW w:w="2168" w:type="dxa"/>
            <w:shd w:val="clear" w:color="auto" w:fill="auto"/>
            <w:vAlign w:val="center"/>
          </w:tcPr>
          <w:p w14:paraId="6253450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研磨机（铜研）</w:t>
            </w:r>
          </w:p>
        </w:tc>
        <w:tc>
          <w:tcPr>
            <w:tcW w:w="2534" w:type="dxa"/>
            <w:shd w:val="clear" w:color="auto" w:fill="auto"/>
            <w:vAlign w:val="center"/>
          </w:tcPr>
          <w:p w14:paraId="1B510F9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20kW</w:t>
            </w:r>
          </w:p>
        </w:tc>
        <w:tc>
          <w:tcPr>
            <w:tcW w:w="699" w:type="dxa"/>
            <w:shd w:val="clear" w:color="auto" w:fill="auto"/>
            <w:vAlign w:val="center"/>
          </w:tcPr>
          <w:p w14:paraId="3A0480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14222B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703" w:type="dxa"/>
            <w:vAlign w:val="center"/>
          </w:tcPr>
          <w:p w14:paraId="0874D2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+4*6</w:t>
            </w:r>
          </w:p>
        </w:tc>
        <w:tc>
          <w:tcPr>
            <w:tcW w:w="1678" w:type="dxa"/>
            <w:vAlign w:val="center"/>
          </w:tcPr>
          <w:p w14:paraId="5D0E74D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研磨</w:t>
            </w:r>
          </w:p>
        </w:tc>
        <w:tc>
          <w:tcPr>
            <w:tcW w:w="1685" w:type="dxa"/>
            <w:vAlign w:val="center"/>
          </w:tcPr>
          <w:p w14:paraId="3449A0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BBD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5A646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83A5B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84D1A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47</w:t>
            </w:r>
          </w:p>
        </w:tc>
        <w:tc>
          <w:tcPr>
            <w:tcW w:w="2168" w:type="dxa"/>
            <w:shd w:val="clear" w:color="auto" w:fill="auto"/>
            <w:vAlign w:val="center"/>
          </w:tcPr>
          <w:p w14:paraId="78844E6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验点机</w:t>
            </w:r>
          </w:p>
        </w:tc>
        <w:tc>
          <w:tcPr>
            <w:tcW w:w="2534" w:type="dxa"/>
            <w:shd w:val="clear" w:color="auto" w:fill="auto"/>
            <w:vAlign w:val="center"/>
          </w:tcPr>
          <w:p w14:paraId="74EA81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3kW</w:t>
            </w:r>
          </w:p>
        </w:tc>
        <w:tc>
          <w:tcPr>
            <w:tcW w:w="699" w:type="dxa"/>
            <w:shd w:val="clear" w:color="auto" w:fill="auto"/>
            <w:vAlign w:val="center"/>
          </w:tcPr>
          <w:p w14:paraId="20EEBA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F7BAFE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1*6</w:t>
            </w:r>
          </w:p>
        </w:tc>
        <w:tc>
          <w:tcPr>
            <w:tcW w:w="703" w:type="dxa"/>
            <w:vAlign w:val="center"/>
          </w:tcPr>
          <w:p w14:paraId="246D4E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+1*6</w:t>
            </w:r>
          </w:p>
        </w:tc>
        <w:tc>
          <w:tcPr>
            <w:tcW w:w="1678" w:type="dxa"/>
            <w:vAlign w:val="center"/>
          </w:tcPr>
          <w:p w14:paraId="5467BF9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检验</w:t>
            </w:r>
          </w:p>
        </w:tc>
        <w:tc>
          <w:tcPr>
            <w:tcW w:w="1685" w:type="dxa"/>
            <w:vAlign w:val="center"/>
          </w:tcPr>
          <w:p w14:paraId="1D4F9E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EC6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3F1E3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81D21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23FC1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48</w:t>
            </w:r>
          </w:p>
        </w:tc>
        <w:tc>
          <w:tcPr>
            <w:tcW w:w="2168" w:type="dxa"/>
            <w:shd w:val="clear" w:color="auto" w:fill="auto"/>
            <w:vAlign w:val="center"/>
          </w:tcPr>
          <w:p w14:paraId="35E046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电子雕刻机</w:t>
            </w:r>
          </w:p>
        </w:tc>
        <w:tc>
          <w:tcPr>
            <w:tcW w:w="2534" w:type="dxa"/>
            <w:shd w:val="clear" w:color="auto" w:fill="auto"/>
            <w:vAlign w:val="center"/>
          </w:tcPr>
          <w:p w14:paraId="33BF666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4.2kW</w:t>
            </w:r>
          </w:p>
        </w:tc>
        <w:tc>
          <w:tcPr>
            <w:tcW w:w="699" w:type="dxa"/>
            <w:shd w:val="clear" w:color="auto" w:fill="auto"/>
            <w:vAlign w:val="center"/>
          </w:tcPr>
          <w:p w14:paraId="7D77E3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DCC9F2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8*6</w:t>
            </w:r>
          </w:p>
        </w:tc>
        <w:tc>
          <w:tcPr>
            <w:tcW w:w="703" w:type="dxa"/>
            <w:vAlign w:val="center"/>
          </w:tcPr>
          <w:p w14:paraId="7BF4276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+8*6</w:t>
            </w:r>
          </w:p>
        </w:tc>
        <w:tc>
          <w:tcPr>
            <w:tcW w:w="1678" w:type="dxa"/>
            <w:vAlign w:val="center"/>
          </w:tcPr>
          <w:p w14:paraId="085306B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电子雕刻</w:t>
            </w:r>
          </w:p>
        </w:tc>
        <w:tc>
          <w:tcPr>
            <w:tcW w:w="1685" w:type="dxa"/>
            <w:vAlign w:val="center"/>
          </w:tcPr>
          <w:p w14:paraId="42F84EC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9D2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1F576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69DED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82F7C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49</w:t>
            </w:r>
          </w:p>
        </w:tc>
        <w:tc>
          <w:tcPr>
            <w:tcW w:w="2168" w:type="dxa"/>
            <w:shd w:val="clear" w:color="auto" w:fill="auto"/>
            <w:vAlign w:val="center"/>
          </w:tcPr>
          <w:p w14:paraId="6BDED8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铬槽</w:t>
            </w:r>
          </w:p>
        </w:tc>
        <w:tc>
          <w:tcPr>
            <w:tcW w:w="2534" w:type="dxa"/>
            <w:shd w:val="clear" w:color="auto" w:fill="auto"/>
            <w:vAlign w:val="center"/>
          </w:tcPr>
          <w:p w14:paraId="252624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详见表9</w:t>
            </w:r>
          </w:p>
        </w:tc>
        <w:tc>
          <w:tcPr>
            <w:tcW w:w="699" w:type="dxa"/>
            <w:shd w:val="clear" w:color="auto" w:fill="auto"/>
            <w:vAlign w:val="center"/>
          </w:tcPr>
          <w:p w14:paraId="4034BDA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068E9D7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3*6</w:t>
            </w:r>
          </w:p>
        </w:tc>
        <w:tc>
          <w:tcPr>
            <w:tcW w:w="703" w:type="dxa"/>
            <w:vAlign w:val="center"/>
          </w:tcPr>
          <w:p w14:paraId="3E70613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+3*6</w:t>
            </w:r>
          </w:p>
        </w:tc>
        <w:tc>
          <w:tcPr>
            <w:tcW w:w="1678" w:type="dxa"/>
            <w:vAlign w:val="center"/>
          </w:tcPr>
          <w:p w14:paraId="1EC8374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w:t>
            </w:r>
          </w:p>
        </w:tc>
        <w:tc>
          <w:tcPr>
            <w:tcW w:w="1685" w:type="dxa"/>
            <w:vAlign w:val="center"/>
          </w:tcPr>
          <w:p w14:paraId="1D57850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3C3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EF7512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27991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EC429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50</w:t>
            </w:r>
          </w:p>
        </w:tc>
        <w:tc>
          <w:tcPr>
            <w:tcW w:w="2168" w:type="dxa"/>
            <w:shd w:val="clear" w:color="auto" w:fill="auto"/>
            <w:vAlign w:val="center"/>
          </w:tcPr>
          <w:p w14:paraId="31DDF8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铬抛光机</w:t>
            </w:r>
          </w:p>
        </w:tc>
        <w:tc>
          <w:tcPr>
            <w:tcW w:w="2534" w:type="dxa"/>
            <w:shd w:val="clear" w:color="auto" w:fill="auto"/>
            <w:vAlign w:val="center"/>
          </w:tcPr>
          <w:p w14:paraId="05A7608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详见表9</w:t>
            </w:r>
          </w:p>
        </w:tc>
        <w:tc>
          <w:tcPr>
            <w:tcW w:w="699" w:type="dxa"/>
            <w:shd w:val="clear" w:color="auto" w:fill="auto"/>
            <w:vAlign w:val="center"/>
          </w:tcPr>
          <w:p w14:paraId="39676FF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2BF0D7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2*6</w:t>
            </w:r>
          </w:p>
        </w:tc>
        <w:tc>
          <w:tcPr>
            <w:tcW w:w="703" w:type="dxa"/>
            <w:vAlign w:val="center"/>
          </w:tcPr>
          <w:p w14:paraId="09A42A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+2*6</w:t>
            </w:r>
          </w:p>
        </w:tc>
        <w:tc>
          <w:tcPr>
            <w:tcW w:w="1678" w:type="dxa"/>
            <w:vAlign w:val="center"/>
          </w:tcPr>
          <w:p w14:paraId="05A2D6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抛光</w:t>
            </w:r>
          </w:p>
        </w:tc>
        <w:tc>
          <w:tcPr>
            <w:tcW w:w="1685" w:type="dxa"/>
            <w:vAlign w:val="center"/>
          </w:tcPr>
          <w:p w14:paraId="31400A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DE2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5CBA5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EC30A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FB16E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51</w:t>
            </w:r>
          </w:p>
        </w:tc>
        <w:tc>
          <w:tcPr>
            <w:tcW w:w="2168" w:type="dxa"/>
            <w:shd w:val="clear" w:color="auto" w:fill="auto"/>
            <w:vAlign w:val="center"/>
          </w:tcPr>
          <w:p w14:paraId="084FDF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测径仪</w:t>
            </w:r>
          </w:p>
        </w:tc>
        <w:tc>
          <w:tcPr>
            <w:tcW w:w="2534" w:type="dxa"/>
            <w:shd w:val="clear" w:color="auto" w:fill="auto"/>
            <w:vAlign w:val="center"/>
          </w:tcPr>
          <w:p w14:paraId="6EDA516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1.6kW</w:t>
            </w:r>
          </w:p>
        </w:tc>
        <w:tc>
          <w:tcPr>
            <w:tcW w:w="699" w:type="dxa"/>
            <w:shd w:val="clear" w:color="auto" w:fill="auto"/>
            <w:vAlign w:val="center"/>
          </w:tcPr>
          <w:p w14:paraId="3D12C0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39BD26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1*6</w:t>
            </w:r>
          </w:p>
        </w:tc>
        <w:tc>
          <w:tcPr>
            <w:tcW w:w="703" w:type="dxa"/>
            <w:vAlign w:val="center"/>
          </w:tcPr>
          <w:p w14:paraId="71F1430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+1*6</w:t>
            </w:r>
          </w:p>
        </w:tc>
        <w:tc>
          <w:tcPr>
            <w:tcW w:w="1678" w:type="dxa"/>
            <w:vAlign w:val="center"/>
          </w:tcPr>
          <w:p w14:paraId="307E2EF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检验</w:t>
            </w:r>
          </w:p>
        </w:tc>
        <w:tc>
          <w:tcPr>
            <w:tcW w:w="1685" w:type="dxa"/>
            <w:vAlign w:val="center"/>
          </w:tcPr>
          <w:p w14:paraId="3D64C9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40B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780C60D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磁性横刀版</w:t>
            </w:r>
          </w:p>
        </w:tc>
        <w:tc>
          <w:tcPr>
            <w:tcW w:w="931" w:type="dxa"/>
            <w:vMerge w:val="restart"/>
            <w:vAlign w:val="center"/>
          </w:tcPr>
          <w:p w14:paraId="3F362C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eastAsia" w:cs="Times New Roman"/>
                <w:color w:val="000000"/>
                <w:spacing w:val="-11"/>
                <w:kern w:val="0"/>
                <w:sz w:val="21"/>
                <w:szCs w:val="21"/>
                <w:lang w:val="en-US" w:eastAsia="zh-CN" w:bidi="ar-SA"/>
              </w:rPr>
              <w:t>机加工</w:t>
            </w:r>
          </w:p>
        </w:tc>
        <w:tc>
          <w:tcPr>
            <w:tcW w:w="602" w:type="dxa"/>
            <w:shd w:val="clear" w:color="auto" w:fill="auto"/>
            <w:vAlign w:val="center"/>
          </w:tcPr>
          <w:p w14:paraId="4E26496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52</w:t>
            </w:r>
          </w:p>
        </w:tc>
        <w:tc>
          <w:tcPr>
            <w:tcW w:w="2168" w:type="dxa"/>
            <w:shd w:val="clear" w:color="auto" w:fill="auto"/>
            <w:vAlign w:val="center"/>
          </w:tcPr>
          <w:p w14:paraId="58E3B0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CNC机床</w:t>
            </w:r>
          </w:p>
        </w:tc>
        <w:tc>
          <w:tcPr>
            <w:tcW w:w="2534" w:type="dxa"/>
            <w:shd w:val="clear" w:color="auto" w:fill="auto"/>
            <w:vAlign w:val="center"/>
          </w:tcPr>
          <w:p w14:paraId="26A33D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GVM</w:t>
            </w:r>
          </w:p>
        </w:tc>
        <w:tc>
          <w:tcPr>
            <w:tcW w:w="699" w:type="dxa"/>
            <w:shd w:val="clear" w:color="auto" w:fill="auto"/>
            <w:vAlign w:val="center"/>
          </w:tcPr>
          <w:p w14:paraId="6CDC9FA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582FB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1ABC8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BC0C9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1B2D7B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DA5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BC260E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1F8B3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F77BD1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53</w:t>
            </w:r>
          </w:p>
        </w:tc>
        <w:tc>
          <w:tcPr>
            <w:tcW w:w="2168" w:type="dxa"/>
            <w:shd w:val="clear" w:color="auto" w:fill="auto"/>
            <w:vAlign w:val="center"/>
          </w:tcPr>
          <w:p w14:paraId="693398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CNC机床</w:t>
            </w:r>
          </w:p>
        </w:tc>
        <w:tc>
          <w:tcPr>
            <w:tcW w:w="2534" w:type="dxa"/>
            <w:shd w:val="clear" w:color="auto" w:fill="auto"/>
            <w:vAlign w:val="center"/>
          </w:tcPr>
          <w:p w14:paraId="10E75E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QJM-C11</w:t>
            </w:r>
          </w:p>
        </w:tc>
        <w:tc>
          <w:tcPr>
            <w:tcW w:w="699" w:type="dxa"/>
            <w:shd w:val="clear" w:color="auto" w:fill="auto"/>
            <w:vAlign w:val="center"/>
          </w:tcPr>
          <w:p w14:paraId="3D463D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0189B3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B1A8F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18F6C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6EEA36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78F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06318D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DD2D5B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84BB94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54</w:t>
            </w:r>
          </w:p>
        </w:tc>
        <w:tc>
          <w:tcPr>
            <w:tcW w:w="2168" w:type="dxa"/>
            <w:shd w:val="clear" w:color="auto" w:fill="auto"/>
            <w:vAlign w:val="center"/>
          </w:tcPr>
          <w:p w14:paraId="3D0D2C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激光加硬</w:t>
            </w:r>
          </w:p>
        </w:tc>
        <w:tc>
          <w:tcPr>
            <w:tcW w:w="2534" w:type="dxa"/>
            <w:shd w:val="clear" w:color="auto" w:fill="auto"/>
            <w:vAlign w:val="center"/>
          </w:tcPr>
          <w:p w14:paraId="1EFF655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STIEFELMAYER</w:t>
            </w:r>
          </w:p>
        </w:tc>
        <w:tc>
          <w:tcPr>
            <w:tcW w:w="699" w:type="dxa"/>
            <w:shd w:val="clear" w:color="auto" w:fill="auto"/>
            <w:vAlign w:val="center"/>
          </w:tcPr>
          <w:p w14:paraId="26ECD0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4469E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F2D9F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FE929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294B74D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C6B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9A2C8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44332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CC57A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55</w:t>
            </w:r>
          </w:p>
        </w:tc>
        <w:tc>
          <w:tcPr>
            <w:tcW w:w="2168" w:type="dxa"/>
            <w:shd w:val="clear" w:color="auto" w:fill="auto"/>
            <w:vAlign w:val="center"/>
          </w:tcPr>
          <w:p w14:paraId="49B732C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普通车床</w:t>
            </w:r>
          </w:p>
        </w:tc>
        <w:tc>
          <w:tcPr>
            <w:tcW w:w="2534" w:type="dxa"/>
            <w:shd w:val="clear" w:color="auto" w:fill="auto"/>
            <w:vAlign w:val="center"/>
          </w:tcPr>
          <w:p w14:paraId="32B67C0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6150/1500</w:t>
            </w:r>
          </w:p>
        </w:tc>
        <w:tc>
          <w:tcPr>
            <w:tcW w:w="699" w:type="dxa"/>
            <w:shd w:val="clear" w:color="auto" w:fill="auto"/>
            <w:vAlign w:val="center"/>
          </w:tcPr>
          <w:p w14:paraId="57C85B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02D3E5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6CDE76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703F38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359745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E49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42DBE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65980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947D7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56</w:t>
            </w:r>
          </w:p>
        </w:tc>
        <w:tc>
          <w:tcPr>
            <w:tcW w:w="2168" w:type="dxa"/>
            <w:shd w:val="clear" w:color="auto" w:fill="auto"/>
            <w:vAlign w:val="center"/>
          </w:tcPr>
          <w:p w14:paraId="5CD646F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数控车床</w:t>
            </w:r>
          </w:p>
        </w:tc>
        <w:tc>
          <w:tcPr>
            <w:tcW w:w="2534" w:type="dxa"/>
            <w:shd w:val="clear" w:color="auto" w:fill="auto"/>
            <w:vAlign w:val="center"/>
          </w:tcPr>
          <w:p w14:paraId="2ECEFA7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6150/1500</w:t>
            </w:r>
          </w:p>
        </w:tc>
        <w:tc>
          <w:tcPr>
            <w:tcW w:w="699" w:type="dxa"/>
            <w:shd w:val="clear" w:color="auto" w:fill="auto"/>
            <w:vAlign w:val="center"/>
          </w:tcPr>
          <w:p w14:paraId="576D61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721A8B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3E0959A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A1E9B3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6E24D0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84F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701BDC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45BBA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277BC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57</w:t>
            </w:r>
          </w:p>
        </w:tc>
        <w:tc>
          <w:tcPr>
            <w:tcW w:w="2168" w:type="dxa"/>
            <w:shd w:val="clear" w:color="auto" w:fill="auto"/>
            <w:vAlign w:val="center"/>
          </w:tcPr>
          <w:p w14:paraId="0270518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CNC</w:t>
            </w:r>
          </w:p>
        </w:tc>
        <w:tc>
          <w:tcPr>
            <w:tcW w:w="2534" w:type="dxa"/>
            <w:shd w:val="clear" w:color="auto" w:fill="auto"/>
            <w:vAlign w:val="center"/>
          </w:tcPr>
          <w:p w14:paraId="2F168C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1060</w:t>
            </w:r>
          </w:p>
        </w:tc>
        <w:tc>
          <w:tcPr>
            <w:tcW w:w="699" w:type="dxa"/>
            <w:shd w:val="clear" w:color="auto" w:fill="auto"/>
            <w:vAlign w:val="center"/>
          </w:tcPr>
          <w:p w14:paraId="2D685F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2F716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590233C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63DEC43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713321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2A9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6FF24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A55CCE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1FC19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58</w:t>
            </w:r>
          </w:p>
        </w:tc>
        <w:tc>
          <w:tcPr>
            <w:tcW w:w="2168" w:type="dxa"/>
            <w:shd w:val="clear" w:color="auto" w:fill="auto"/>
            <w:vAlign w:val="center"/>
          </w:tcPr>
          <w:p w14:paraId="0B90450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外圆磨床</w:t>
            </w:r>
          </w:p>
        </w:tc>
        <w:tc>
          <w:tcPr>
            <w:tcW w:w="2534" w:type="dxa"/>
            <w:shd w:val="clear" w:color="auto" w:fill="auto"/>
            <w:vAlign w:val="center"/>
          </w:tcPr>
          <w:p w14:paraId="5EFBEC8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M1332B</w:t>
            </w:r>
          </w:p>
        </w:tc>
        <w:tc>
          <w:tcPr>
            <w:tcW w:w="699" w:type="dxa"/>
            <w:shd w:val="clear" w:color="auto" w:fill="auto"/>
            <w:vAlign w:val="center"/>
          </w:tcPr>
          <w:p w14:paraId="164E62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7CC34F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05BD185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0DFE75E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5ECA0C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5A4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09F4BD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5FE77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7843F2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59</w:t>
            </w:r>
          </w:p>
        </w:tc>
        <w:tc>
          <w:tcPr>
            <w:tcW w:w="2168" w:type="dxa"/>
            <w:shd w:val="clear" w:color="auto" w:fill="auto"/>
            <w:vAlign w:val="center"/>
          </w:tcPr>
          <w:p w14:paraId="7828943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外圆磨床</w:t>
            </w:r>
          </w:p>
        </w:tc>
        <w:tc>
          <w:tcPr>
            <w:tcW w:w="2534" w:type="dxa"/>
            <w:shd w:val="clear" w:color="auto" w:fill="auto"/>
            <w:vAlign w:val="center"/>
          </w:tcPr>
          <w:p w14:paraId="4B5A9D5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MM1332B</w:t>
            </w:r>
          </w:p>
        </w:tc>
        <w:tc>
          <w:tcPr>
            <w:tcW w:w="699" w:type="dxa"/>
            <w:shd w:val="clear" w:color="auto" w:fill="auto"/>
            <w:vAlign w:val="center"/>
          </w:tcPr>
          <w:p w14:paraId="200E21B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DEA21E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43B2DE6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0B3699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3B912A6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A70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21F851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EF337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47FCF6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60</w:t>
            </w:r>
          </w:p>
        </w:tc>
        <w:tc>
          <w:tcPr>
            <w:tcW w:w="2168" w:type="dxa"/>
            <w:shd w:val="clear" w:color="auto" w:fill="auto"/>
            <w:vAlign w:val="center"/>
          </w:tcPr>
          <w:p w14:paraId="6EADE0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铣床</w:t>
            </w:r>
          </w:p>
        </w:tc>
        <w:tc>
          <w:tcPr>
            <w:tcW w:w="2534" w:type="dxa"/>
            <w:shd w:val="clear" w:color="auto" w:fill="auto"/>
            <w:vAlign w:val="center"/>
          </w:tcPr>
          <w:p w14:paraId="0C9E6E4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5号</w:t>
            </w:r>
          </w:p>
        </w:tc>
        <w:tc>
          <w:tcPr>
            <w:tcW w:w="699" w:type="dxa"/>
            <w:shd w:val="clear" w:color="auto" w:fill="auto"/>
            <w:vAlign w:val="center"/>
          </w:tcPr>
          <w:p w14:paraId="39C56D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BBEAE6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7EE6D2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2A28808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01A75B0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924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3E5C6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34F72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752511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61</w:t>
            </w:r>
          </w:p>
        </w:tc>
        <w:tc>
          <w:tcPr>
            <w:tcW w:w="2168" w:type="dxa"/>
            <w:shd w:val="clear" w:color="auto" w:fill="auto"/>
            <w:vAlign w:val="center"/>
          </w:tcPr>
          <w:p w14:paraId="0275EC0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烤箱</w:t>
            </w:r>
          </w:p>
        </w:tc>
        <w:tc>
          <w:tcPr>
            <w:tcW w:w="2534" w:type="dxa"/>
            <w:shd w:val="clear" w:color="auto" w:fill="auto"/>
            <w:vAlign w:val="center"/>
          </w:tcPr>
          <w:p w14:paraId="5D791AE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1300X1000X1000</w:t>
            </w:r>
          </w:p>
        </w:tc>
        <w:tc>
          <w:tcPr>
            <w:tcW w:w="699" w:type="dxa"/>
            <w:shd w:val="clear" w:color="auto" w:fill="auto"/>
            <w:vAlign w:val="center"/>
          </w:tcPr>
          <w:p w14:paraId="0A2D96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D419F3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588CE8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7DF326E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05CBCB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787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3374F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8F782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2EAA6A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62</w:t>
            </w:r>
          </w:p>
        </w:tc>
        <w:tc>
          <w:tcPr>
            <w:tcW w:w="2168" w:type="dxa"/>
            <w:shd w:val="clear" w:color="auto" w:fill="auto"/>
            <w:vAlign w:val="center"/>
          </w:tcPr>
          <w:p w14:paraId="370D00B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高频机</w:t>
            </w:r>
          </w:p>
        </w:tc>
        <w:tc>
          <w:tcPr>
            <w:tcW w:w="2534" w:type="dxa"/>
            <w:shd w:val="clear" w:color="auto" w:fill="auto"/>
            <w:vAlign w:val="top"/>
          </w:tcPr>
          <w:p w14:paraId="0899305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6AB956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D48DAF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5EF07DD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05F7F9F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3596999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3B0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ABC02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75B48C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4728B23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63</w:t>
            </w:r>
          </w:p>
        </w:tc>
        <w:tc>
          <w:tcPr>
            <w:tcW w:w="2168" w:type="dxa"/>
            <w:shd w:val="clear" w:color="auto" w:fill="auto"/>
            <w:vAlign w:val="center"/>
          </w:tcPr>
          <w:p w14:paraId="00E1F7A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热装机</w:t>
            </w:r>
          </w:p>
        </w:tc>
        <w:tc>
          <w:tcPr>
            <w:tcW w:w="2534" w:type="dxa"/>
            <w:shd w:val="clear" w:color="auto" w:fill="auto"/>
            <w:vAlign w:val="top"/>
          </w:tcPr>
          <w:p w14:paraId="7B890FF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63C50F5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1F05CB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shd w:val="clear" w:color="auto" w:fill="auto"/>
            <w:vAlign w:val="center"/>
          </w:tcPr>
          <w:p w14:paraId="6C000C7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631058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机加</w:t>
            </w:r>
          </w:p>
        </w:tc>
        <w:tc>
          <w:tcPr>
            <w:tcW w:w="1685" w:type="dxa"/>
            <w:vAlign w:val="center"/>
          </w:tcPr>
          <w:p w14:paraId="48F69B8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725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261DF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9BFFBA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2062753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64</w:t>
            </w:r>
          </w:p>
        </w:tc>
        <w:tc>
          <w:tcPr>
            <w:tcW w:w="2168" w:type="dxa"/>
            <w:shd w:val="clear" w:color="auto" w:fill="auto"/>
            <w:vAlign w:val="center"/>
          </w:tcPr>
          <w:p w14:paraId="7282ADD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平面磨</w:t>
            </w:r>
          </w:p>
        </w:tc>
        <w:tc>
          <w:tcPr>
            <w:tcW w:w="2534" w:type="dxa"/>
            <w:shd w:val="clear" w:color="auto" w:fill="auto"/>
            <w:vAlign w:val="top"/>
          </w:tcPr>
          <w:p w14:paraId="64A5427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冈本PSG106CAIQ</w:t>
            </w:r>
          </w:p>
        </w:tc>
        <w:tc>
          <w:tcPr>
            <w:tcW w:w="699" w:type="dxa"/>
            <w:shd w:val="clear" w:color="auto" w:fill="auto"/>
            <w:vAlign w:val="center"/>
          </w:tcPr>
          <w:p w14:paraId="6E857FC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A32DB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D9782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0A82A5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平磨</w:t>
            </w:r>
          </w:p>
        </w:tc>
        <w:tc>
          <w:tcPr>
            <w:tcW w:w="1685" w:type="dxa"/>
            <w:vAlign w:val="center"/>
          </w:tcPr>
          <w:p w14:paraId="302083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98D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5FB1E6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restart"/>
            <w:vAlign w:val="center"/>
          </w:tcPr>
          <w:p w14:paraId="12DADCC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制版</w:t>
            </w:r>
          </w:p>
        </w:tc>
        <w:tc>
          <w:tcPr>
            <w:tcW w:w="602" w:type="dxa"/>
            <w:shd w:val="clear" w:color="auto" w:fill="auto"/>
            <w:vAlign w:val="center"/>
          </w:tcPr>
          <w:p w14:paraId="2E21B1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65</w:t>
            </w:r>
          </w:p>
        </w:tc>
        <w:tc>
          <w:tcPr>
            <w:tcW w:w="2168" w:type="dxa"/>
            <w:shd w:val="clear" w:color="auto" w:fill="auto"/>
            <w:vAlign w:val="center"/>
          </w:tcPr>
          <w:p w14:paraId="71DEF1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腐蚀机</w:t>
            </w:r>
          </w:p>
        </w:tc>
        <w:tc>
          <w:tcPr>
            <w:tcW w:w="2534" w:type="dxa"/>
            <w:shd w:val="clear" w:color="auto" w:fill="auto"/>
            <w:vAlign w:val="top"/>
          </w:tcPr>
          <w:p w14:paraId="4CF1D7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1200型转盘蚀刻机</w:t>
            </w:r>
          </w:p>
        </w:tc>
        <w:tc>
          <w:tcPr>
            <w:tcW w:w="699" w:type="dxa"/>
            <w:shd w:val="clear" w:color="auto" w:fill="auto"/>
            <w:vAlign w:val="center"/>
          </w:tcPr>
          <w:p w14:paraId="7C28F6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C05DBC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A0259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391EA7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腐蚀</w:t>
            </w:r>
          </w:p>
        </w:tc>
        <w:tc>
          <w:tcPr>
            <w:tcW w:w="1685" w:type="dxa"/>
            <w:vAlign w:val="center"/>
          </w:tcPr>
          <w:p w14:paraId="7580D4A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E0A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9BA3C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AE3842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7836B62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66</w:t>
            </w:r>
          </w:p>
        </w:tc>
        <w:tc>
          <w:tcPr>
            <w:tcW w:w="2168" w:type="dxa"/>
            <w:shd w:val="clear" w:color="auto" w:fill="auto"/>
            <w:vAlign w:val="center"/>
          </w:tcPr>
          <w:p w14:paraId="4978853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电镀线</w:t>
            </w:r>
          </w:p>
        </w:tc>
        <w:tc>
          <w:tcPr>
            <w:tcW w:w="2534" w:type="dxa"/>
            <w:shd w:val="clear" w:color="auto" w:fill="auto"/>
            <w:vAlign w:val="top"/>
          </w:tcPr>
          <w:p w14:paraId="25149A3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1000型手动镀铬机</w:t>
            </w:r>
          </w:p>
        </w:tc>
        <w:tc>
          <w:tcPr>
            <w:tcW w:w="699" w:type="dxa"/>
            <w:shd w:val="clear" w:color="auto" w:fill="auto"/>
            <w:vAlign w:val="center"/>
          </w:tcPr>
          <w:p w14:paraId="1F7D79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7DC1B2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F2204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8D71E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电镀</w:t>
            </w:r>
          </w:p>
        </w:tc>
        <w:tc>
          <w:tcPr>
            <w:tcW w:w="1685" w:type="dxa"/>
            <w:vAlign w:val="center"/>
          </w:tcPr>
          <w:p w14:paraId="1468EF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381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D84FD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44259A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42F6D4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67</w:t>
            </w:r>
          </w:p>
        </w:tc>
        <w:tc>
          <w:tcPr>
            <w:tcW w:w="2168" w:type="dxa"/>
            <w:shd w:val="clear" w:color="auto" w:fill="auto"/>
            <w:vAlign w:val="center"/>
          </w:tcPr>
          <w:p w14:paraId="62D322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UV打印机</w:t>
            </w:r>
          </w:p>
        </w:tc>
        <w:tc>
          <w:tcPr>
            <w:tcW w:w="2534" w:type="dxa"/>
            <w:shd w:val="clear" w:color="auto" w:fill="auto"/>
            <w:vAlign w:val="top"/>
          </w:tcPr>
          <w:p w14:paraId="4F36E3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FB-1612S</w:t>
            </w:r>
          </w:p>
        </w:tc>
        <w:tc>
          <w:tcPr>
            <w:tcW w:w="699" w:type="dxa"/>
            <w:shd w:val="clear" w:color="auto" w:fill="auto"/>
            <w:vAlign w:val="center"/>
          </w:tcPr>
          <w:p w14:paraId="76686B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8E4DC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67095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23F8297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4F3A4F9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3D7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2CAC7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484C8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BB2AB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68</w:t>
            </w:r>
          </w:p>
        </w:tc>
        <w:tc>
          <w:tcPr>
            <w:tcW w:w="2168" w:type="dxa"/>
            <w:shd w:val="clear" w:color="auto" w:fill="auto"/>
            <w:vAlign w:val="center"/>
          </w:tcPr>
          <w:p w14:paraId="3F23472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全自动磨刀机</w:t>
            </w:r>
          </w:p>
        </w:tc>
        <w:tc>
          <w:tcPr>
            <w:tcW w:w="2534" w:type="dxa"/>
            <w:shd w:val="clear" w:color="auto" w:fill="auto"/>
            <w:vAlign w:val="top"/>
          </w:tcPr>
          <w:p w14:paraId="23A8E9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日本赛帕埃惜4-AXIS</w:t>
            </w:r>
          </w:p>
        </w:tc>
        <w:tc>
          <w:tcPr>
            <w:tcW w:w="699" w:type="dxa"/>
            <w:shd w:val="clear" w:color="auto" w:fill="auto"/>
            <w:vAlign w:val="center"/>
          </w:tcPr>
          <w:p w14:paraId="7FAF8C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0AC857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E1E1BA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FC5E2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3DA903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00E0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4785E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6AF85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2EE3A8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69</w:t>
            </w:r>
          </w:p>
        </w:tc>
        <w:tc>
          <w:tcPr>
            <w:tcW w:w="2168" w:type="dxa"/>
            <w:shd w:val="clear" w:color="auto" w:fill="auto"/>
            <w:vAlign w:val="center"/>
          </w:tcPr>
          <w:p w14:paraId="7DCCCA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精磨磨刀机</w:t>
            </w:r>
          </w:p>
        </w:tc>
        <w:tc>
          <w:tcPr>
            <w:tcW w:w="2534" w:type="dxa"/>
            <w:shd w:val="clear" w:color="auto" w:fill="auto"/>
            <w:vAlign w:val="top"/>
          </w:tcPr>
          <w:p w14:paraId="570C2F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台湾顺华ZDX-20</w:t>
            </w:r>
          </w:p>
        </w:tc>
        <w:tc>
          <w:tcPr>
            <w:tcW w:w="699" w:type="dxa"/>
            <w:shd w:val="clear" w:color="auto" w:fill="auto"/>
            <w:vAlign w:val="center"/>
          </w:tcPr>
          <w:p w14:paraId="364CD5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04889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D16BA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2D628C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44C008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013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7FF3C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A313D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93AAC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70</w:t>
            </w:r>
          </w:p>
        </w:tc>
        <w:tc>
          <w:tcPr>
            <w:tcW w:w="2168" w:type="dxa"/>
            <w:shd w:val="clear" w:color="auto" w:fill="auto"/>
            <w:vAlign w:val="center"/>
          </w:tcPr>
          <w:p w14:paraId="4610E9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粗磨磨刀机</w:t>
            </w:r>
          </w:p>
        </w:tc>
        <w:tc>
          <w:tcPr>
            <w:tcW w:w="2534" w:type="dxa"/>
            <w:shd w:val="clear" w:color="auto" w:fill="auto"/>
            <w:vAlign w:val="top"/>
          </w:tcPr>
          <w:p w14:paraId="1C7FFA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雄鹰牌万能磨刀机</w:t>
            </w:r>
          </w:p>
        </w:tc>
        <w:tc>
          <w:tcPr>
            <w:tcW w:w="699" w:type="dxa"/>
            <w:shd w:val="clear" w:color="auto" w:fill="auto"/>
            <w:vAlign w:val="center"/>
          </w:tcPr>
          <w:p w14:paraId="7EA156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10DF19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96735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3AA1D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3CC0FC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E14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43D94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C7799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1BBEC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71</w:t>
            </w:r>
          </w:p>
        </w:tc>
        <w:tc>
          <w:tcPr>
            <w:tcW w:w="2168" w:type="dxa"/>
            <w:shd w:val="clear" w:color="auto" w:fill="auto"/>
            <w:vAlign w:val="center"/>
          </w:tcPr>
          <w:p w14:paraId="110E404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空压机</w:t>
            </w:r>
          </w:p>
        </w:tc>
        <w:tc>
          <w:tcPr>
            <w:tcW w:w="2534" w:type="dxa"/>
            <w:shd w:val="clear" w:color="auto" w:fill="auto"/>
            <w:vAlign w:val="top"/>
          </w:tcPr>
          <w:p w14:paraId="5FFA4F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捷豹</w:t>
            </w:r>
          </w:p>
        </w:tc>
        <w:tc>
          <w:tcPr>
            <w:tcW w:w="699" w:type="dxa"/>
            <w:shd w:val="clear" w:color="auto" w:fill="auto"/>
            <w:vAlign w:val="center"/>
          </w:tcPr>
          <w:p w14:paraId="6C73FF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0BA0D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57A1C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2D9819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142C86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35E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5FF06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0F1DAD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17C413E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72</w:t>
            </w:r>
          </w:p>
        </w:tc>
        <w:tc>
          <w:tcPr>
            <w:tcW w:w="2168" w:type="dxa"/>
            <w:shd w:val="clear" w:color="auto" w:fill="auto"/>
            <w:vAlign w:val="center"/>
          </w:tcPr>
          <w:p w14:paraId="3CB6B0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覆膜机</w:t>
            </w:r>
          </w:p>
        </w:tc>
        <w:tc>
          <w:tcPr>
            <w:tcW w:w="2534" w:type="dxa"/>
            <w:shd w:val="clear" w:color="auto" w:fill="auto"/>
            <w:vAlign w:val="top"/>
          </w:tcPr>
          <w:p w14:paraId="3E796A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08AE9F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FA133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294D6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791367F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腐蚀</w:t>
            </w:r>
          </w:p>
        </w:tc>
        <w:tc>
          <w:tcPr>
            <w:tcW w:w="1685" w:type="dxa"/>
            <w:vAlign w:val="center"/>
          </w:tcPr>
          <w:p w14:paraId="7C2EDC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4D2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C41917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35D65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8DB0E4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73</w:t>
            </w:r>
          </w:p>
        </w:tc>
        <w:tc>
          <w:tcPr>
            <w:tcW w:w="2168" w:type="dxa"/>
            <w:shd w:val="clear" w:color="auto" w:fill="auto"/>
            <w:vAlign w:val="center"/>
          </w:tcPr>
          <w:p w14:paraId="288567C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超声波清洗机</w:t>
            </w:r>
          </w:p>
        </w:tc>
        <w:tc>
          <w:tcPr>
            <w:tcW w:w="2534" w:type="dxa"/>
            <w:shd w:val="clear" w:color="auto" w:fill="auto"/>
            <w:vAlign w:val="top"/>
          </w:tcPr>
          <w:p w14:paraId="1EB4B7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1E3832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1F084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41FC25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526506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下料</w:t>
            </w:r>
          </w:p>
        </w:tc>
        <w:tc>
          <w:tcPr>
            <w:tcW w:w="1685" w:type="dxa"/>
            <w:vAlign w:val="center"/>
          </w:tcPr>
          <w:p w14:paraId="6841CD4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CDF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EE8EB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F7E72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53B50D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74</w:t>
            </w:r>
          </w:p>
        </w:tc>
        <w:tc>
          <w:tcPr>
            <w:tcW w:w="2168" w:type="dxa"/>
            <w:shd w:val="clear" w:color="auto" w:fill="auto"/>
            <w:vAlign w:val="center"/>
          </w:tcPr>
          <w:p w14:paraId="60BA8A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曝光机</w:t>
            </w:r>
          </w:p>
        </w:tc>
        <w:tc>
          <w:tcPr>
            <w:tcW w:w="2534" w:type="dxa"/>
            <w:shd w:val="clear" w:color="auto" w:fill="auto"/>
            <w:vAlign w:val="top"/>
          </w:tcPr>
          <w:p w14:paraId="4033CB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665900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D730B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351968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58FD25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1A57CD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DFC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17319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96A41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139E02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75</w:t>
            </w:r>
          </w:p>
        </w:tc>
        <w:tc>
          <w:tcPr>
            <w:tcW w:w="2168" w:type="dxa"/>
            <w:shd w:val="clear" w:color="auto" w:fill="auto"/>
            <w:vAlign w:val="center"/>
          </w:tcPr>
          <w:p w14:paraId="758437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烤箱</w:t>
            </w:r>
          </w:p>
        </w:tc>
        <w:tc>
          <w:tcPr>
            <w:tcW w:w="2534" w:type="dxa"/>
            <w:shd w:val="clear" w:color="auto" w:fill="auto"/>
            <w:vAlign w:val="top"/>
          </w:tcPr>
          <w:p w14:paraId="54CF6EA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441316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4565F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5D5233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vAlign w:val="center"/>
          </w:tcPr>
          <w:p w14:paraId="22AEB5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腐蚀</w:t>
            </w:r>
          </w:p>
        </w:tc>
        <w:tc>
          <w:tcPr>
            <w:tcW w:w="1685" w:type="dxa"/>
            <w:vAlign w:val="center"/>
          </w:tcPr>
          <w:p w14:paraId="13D9AB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E36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9D595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01125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172BE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76</w:t>
            </w:r>
          </w:p>
        </w:tc>
        <w:tc>
          <w:tcPr>
            <w:tcW w:w="2168" w:type="dxa"/>
            <w:shd w:val="clear" w:color="auto" w:fill="auto"/>
            <w:vAlign w:val="center"/>
          </w:tcPr>
          <w:p w14:paraId="6650A84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电动裁板机</w:t>
            </w:r>
          </w:p>
        </w:tc>
        <w:tc>
          <w:tcPr>
            <w:tcW w:w="2534" w:type="dxa"/>
            <w:shd w:val="clear" w:color="auto" w:fill="auto"/>
            <w:vAlign w:val="top"/>
          </w:tcPr>
          <w:p w14:paraId="16385C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252BBC2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87838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6F6E1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35C6F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下料</w:t>
            </w:r>
          </w:p>
        </w:tc>
        <w:tc>
          <w:tcPr>
            <w:tcW w:w="1685" w:type="dxa"/>
            <w:vAlign w:val="center"/>
          </w:tcPr>
          <w:p w14:paraId="5AECA4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238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B18D8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EE3A5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8027C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77</w:t>
            </w:r>
          </w:p>
        </w:tc>
        <w:tc>
          <w:tcPr>
            <w:tcW w:w="2168" w:type="dxa"/>
            <w:shd w:val="clear" w:color="auto" w:fill="auto"/>
            <w:vAlign w:val="center"/>
          </w:tcPr>
          <w:p w14:paraId="6F6AFE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手动裁板机</w:t>
            </w:r>
          </w:p>
        </w:tc>
        <w:tc>
          <w:tcPr>
            <w:tcW w:w="2534" w:type="dxa"/>
            <w:shd w:val="clear" w:color="auto" w:fill="auto"/>
            <w:vAlign w:val="top"/>
          </w:tcPr>
          <w:p w14:paraId="374EFF7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699" w:type="dxa"/>
            <w:shd w:val="clear" w:color="auto" w:fill="auto"/>
            <w:vAlign w:val="center"/>
          </w:tcPr>
          <w:p w14:paraId="61A647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4E69456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3D000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340184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564957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B3C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F9BE7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6334B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061B7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78</w:t>
            </w:r>
          </w:p>
        </w:tc>
        <w:tc>
          <w:tcPr>
            <w:tcW w:w="2168" w:type="dxa"/>
            <w:shd w:val="clear" w:color="auto" w:fill="auto"/>
            <w:vAlign w:val="center"/>
          </w:tcPr>
          <w:p w14:paraId="66DF44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显微镜</w:t>
            </w:r>
          </w:p>
        </w:tc>
        <w:tc>
          <w:tcPr>
            <w:tcW w:w="2534" w:type="dxa"/>
            <w:shd w:val="clear" w:color="auto" w:fill="auto"/>
            <w:vAlign w:val="top"/>
          </w:tcPr>
          <w:p w14:paraId="100ACAA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534DFE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73770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5EDF00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57D1EE1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6CF3B33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F98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47A16D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362DD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D47D0E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79</w:t>
            </w:r>
          </w:p>
        </w:tc>
        <w:tc>
          <w:tcPr>
            <w:tcW w:w="2168" w:type="dxa"/>
            <w:shd w:val="clear" w:color="auto" w:fill="auto"/>
            <w:vAlign w:val="center"/>
          </w:tcPr>
          <w:p w14:paraId="582F81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手持显微镜</w:t>
            </w:r>
          </w:p>
        </w:tc>
        <w:tc>
          <w:tcPr>
            <w:tcW w:w="2534" w:type="dxa"/>
            <w:shd w:val="clear" w:color="auto" w:fill="auto"/>
            <w:vAlign w:val="top"/>
          </w:tcPr>
          <w:p w14:paraId="1C046A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7A8389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26D5C5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4245E9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678" w:type="dxa"/>
            <w:shd w:val="clear" w:color="auto" w:fill="auto"/>
            <w:vAlign w:val="top"/>
          </w:tcPr>
          <w:p w14:paraId="4B3A399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6A0DC1C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BB8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6A1BA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4DC1C9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5FC71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80</w:t>
            </w:r>
          </w:p>
        </w:tc>
        <w:tc>
          <w:tcPr>
            <w:tcW w:w="2168" w:type="dxa"/>
            <w:shd w:val="clear" w:color="auto" w:fill="auto"/>
            <w:vAlign w:val="center"/>
          </w:tcPr>
          <w:p w14:paraId="7056FE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测高仪</w:t>
            </w:r>
          </w:p>
        </w:tc>
        <w:tc>
          <w:tcPr>
            <w:tcW w:w="2534" w:type="dxa"/>
            <w:shd w:val="clear" w:color="auto" w:fill="auto"/>
            <w:vAlign w:val="top"/>
          </w:tcPr>
          <w:p w14:paraId="05EB88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2DE9768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1BAB878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E32EB3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770174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2D625E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5B60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C413E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restart"/>
            <w:vAlign w:val="center"/>
          </w:tcPr>
          <w:p w14:paraId="1AF0595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检测</w:t>
            </w:r>
          </w:p>
        </w:tc>
        <w:tc>
          <w:tcPr>
            <w:tcW w:w="602" w:type="dxa"/>
            <w:shd w:val="clear" w:color="auto" w:fill="auto"/>
            <w:vAlign w:val="center"/>
          </w:tcPr>
          <w:p w14:paraId="18B201B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81</w:t>
            </w:r>
          </w:p>
        </w:tc>
        <w:tc>
          <w:tcPr>
            <w:tcW w:w="2168" w:type="dxa"/>
            <w:shd w:val="clear" w:color="auto" w:fill="auto"/>
            <w:vAlign w:val="center"/>
          </w:tcPr>
          <w:p w14:paraId="21C9AA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折弯机</w:t>
            </w:r>
          </w:p>
        </w:tc>
        <w:tc>
          <w:tcPr>
            <w:tcW w:w="2534" w:type="dxa"/>
            <w:shd w:val="clear" w:color="auto" w:fill="auto"/>
            <w:vAlign w:val="top"/>
          </w:tcPr>
          <w:p w14:paraId="0F6700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59B2C83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0083C4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C139EA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1AF081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64D128C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A75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E69EE2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A6F35C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FAAC3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82</w:t>
            </w:r>
          </w:p>
        </w:tc>
        <w:tc>
          <w:tcPr>
            <w:tcW w:w="2168" w:type="dxa"/>
            <w:shd w:val="clear" w:color="auto" w:fill="auto"/>
            <w:vAlign w:val="center"/>
          </w:tcPr>
          <w:p w14:paraId="2F118A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试切架</w:t>
            </w:r>
          </w:p>
        </w:tc>
        <w:tc>
          <w:tcPr>
            <w:tcW w:w="2534" w:type="dxa"/>
            <w:shd w:val="clear" w:color="auto" w:fill="auto"/>
            <w:vAlign w:val="top"/>
          </w:tcPr>
          <w:p w14:paraId="44C600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2FC92A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D75965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6CF108E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678" w:type="dxa"/>
            <w:shd w:val="clear" w:color="auto" w:fill="auto"/>
            <w:vAlign w:val="top"/>
          </w:tcPr>
          <w:p w14:paraId="6422BD3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723A59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686C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3356F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5E9654C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B7FABA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83</w:t>
            </w:r>
          </w:p>
        </w:tc>
        <w:tc>
          <w:tcPr>
            <w:tcW w:w="2168" w:type="dxa"/>
            <w:shd w:val="clear" w:color="auto" w:fill="auto"/>
            <w:vAlign w:val="center"/>
          </w:tcPr>
          <w:p w14:paraId="39AF5E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数显千分尺</w:t>
            </w:r>
          </w:p>
        </w:tc>
        <w:tc>
          <w:tcPr>
            <w:tcW w:w="2534" w:type="dxa"/>
            <w:shd w:val="clear" w:color="auto" w:fill="auto"/>
            <w:vAlign w:val="center"/>
          </w:tcPr>
          <w:p w14:paraId="73E491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0-25</w:t>
            </w:r>
          </w:p>
        </w:tc>
        <w:tc>
          <w:tcPr>
            <w:tcW w:w="699" w:type="dxa"/>
            <w:shd w:val="clear" w:color="auto" w:fill="auto"/>
            <w:vAlign w:val="center"/>
          </w:tcPr>
          <w:p w14:paraId="6154F5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76C20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C9A3CB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5D8266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697576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0C5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182D6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051750B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132B77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84</w:t>
            </w:r>
          </w:p>
        </w:tc>
        <w:tc>
          <w:tcPr>
            <w:tcW w:w="2168" w:type="dxa"/>
            <w:shd w:val="clear" w:color="auto" w:fill="auto"/>
            <w:vAlign w:val="center"/>
          </w:tcPr>
          <w:p w14:paraId="22A23D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千分尺</w:t>
            </w:r>
          </w:p>
        </w:tc>
        <w:tc>
          <w:tcPr>
            <w:tcW w:w="2534" w:type="dxa"/>
            <w:shd w:val="clear" w:color="auto" w:fill="auto"/>
            <w:vAlign w:val="center"/>
          </w:tcPr>
          <w:p w14:paraId="53E7C5B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0-25</w:t>
            </w:r>
          </w:p>
        </w:tc>
        <w:tc>
          <w:tcPr>
            <w:tcW w:w="699" w:type="dxa"/>
            <w:shd w:val="clear" w:color="auto" w:fill="auto"/>
            <w:vAlign w:val="center"/>
          </w:tcPr>
          <w:p w14:paraId="13050A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981022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2BFEFF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359DD3E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7093FE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4BE5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FE94AC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2F748C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6E1063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85</w:t>
            </w:r>
          </w:p>
        </w:tc>
        <w:tc>
          <w:tcPr>
            <w:tcW w:w="2168" w:type="dxa"/>
            <w:shd w:val="clear" w:color="auto" w:fill="auto"/>
            <w:vAlign w:val="center"/>
          </w:tcPr>
          <w:p w14:paraId="135480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千分表</w:t>
            </w:r>
          </w:p>
        </w:tc>
        <w:tc>
          <w:tcPr>
            <w:tcW w:w="2534" w:type="dxa"/>
            <w:shd w:val="clear" w:color="auto" w:fill="auto"/>
            <w:vAlign w:val="center"/>
          </w:tcPr>
          <w:p w14:paraId="0FA805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0-5</w:t>
            </w:r>
          </w:p>
        </w:tc>
        <w:tc>
          <w:tcPr>
            <w:tcW w:w="699" w:type="dxa"/>
            <w:shd w:val="clear" w:color="auto" w:fill="auto"/>
            <w:vAlign w:val="center"/>
          </w:tcPr>
          <w:p w14:paraId="6D5BFB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544E0A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63895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E5ACE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723AC8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A4B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01558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6277EA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5322C2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86</w:t>
            </w:r>
          </w:p>
        </w:tc>
        <w:tc>
          <w:tcPr>
            <w:tcW w:w="2168" w:type="dxa"/>
            <w:shd w:val="clear" w:color="auto" w:fill="auto"/>
            <w:vAlign w:val="center"/>
          </w:tcPr>
          <w:p w14:paraId="229F34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封口机</w:t>
            </w:r>
          </w:p>
        </w:tc>
        <w:tc>
          <w:tcPr>
            <w:tcW w:w="2534" w:type="dxa"/>
            <w:shd w:val="clear" w:color="auto" w:fill="auto"/>
            <w:vAlign w:val="center"/>
          </w:tcPr>
          <w:p w14:paraId="6B0C6D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无</w:t>
            </w:r>
          </w:p>
        </w:tc>
        <w:tc>
          <w:tcPr>
            <w:tcW w:w="699" w:type="dxa"/>
            <w:shd w:val="clear" w:color="auto" w:fill="auto"/>
            <w:vAlign w:val="center"/>
          </w:tcPr>
          <w:p w14:paraId="0FE4EF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35ADDC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233AE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top"/>
          </w:tcPr>
          <w:p w14:paraId="47A407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检验</w:t>
            </w:r>
          </w:p>
        </w:tc>
        <w:tc>
          <w:tcPr>
            <w:tcW w:w="1685" w:type="dxa"/>
            <w:vAlign w:val="center"/>
          </w:tcPr>
          <w:p w14:paraId="4AE7387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25E1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633FCE0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热压模板</w:t>
            </w:r>
          </w:p>
        </w:tc>
        <w:tc>
          <w:tcPr>
            <w:tcW w:w="931" w:type="dxa"/>
            <w:vMerge w:val="restart"/>
            <w:vAlign w:val="center"/>
          </w:tcPr>
          <w:p w14:paraId="3DBB4C1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制版</w:t>
            </w:r>
          </w:p>
        </w:tc>
        <w:tc>
          <w:tcPr>
            <w:tcW w:w="602" w:type="dxa"/>
            <w:shd w:val="clear" w:color="auto" w:fill="auto"/>
            <w:vAlign w:val="center"/>
          </w:tcPr>
          <w:p w14:paraId="08084CA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87</w:t>
            </w:r>
          </w:p>
        </w:tc>
        <w:tc>
          <w:tcPr>
            <w:tcW w:w="2168" w:type="dxa"/>
            <w:shd w:val="clear" w:color="auto" w:fill="auto"/>
            <w:vAlign w:val="center"/>
          </w:tcPr>
          <w:p w14:paraId="647E29D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蚀刻退膜成品清洗线</w:t>
            </w:r>
          </w:p>
        </w:tc>
        <w:tc>
          <w:tcPr>
            <w:tcW w:w="2534" w:type="dxa"/>
            <w:shd w:val="clear" w:color="auto" w:fill="auto"/>
            <w:vAlign w:val="center"/>
          </w:tcPr>
          <w:p w14:paraId="0302F1F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ZC-ES2600</w:t>
            </w:r>
          </w:p>
        </w:tc>
        <w:tc>
          <w:tcPr>
            <w:tcW w:w="699" w:type="dxa"/>
            <w:shd w:val="clear" w:color="auto" w:fill="auto"/>
            <w:vAlign w:val="center"/>
          </w:tcPr>
          <w:p w14:paraId="4A8976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6AA183D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20902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center"/>
          </w:tcPr>
          <w:p w14:paraId="0DECD8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图形蚀刻+油墨去除</w:t>
            </w:r>
          </w:p>
        </w:tc>
        <w:tc>
          <w:tcPr>
            <w:tcW w:w="1685" w:type="dxa"/>
            <w:vAlign w:val="center"/>
          </w:tcPr>
          <w:p w14:paraId="3F7B3AF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760C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097634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19FAE2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378EB3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88</w:t>
            </w:r>
          </w:p>
        </w:tc>
        <w:tc>
          <w:tcPr>
            <w:tcW w:w="2168" w:type="dxa"/>
            <w:shd w:val="clear" w:color="auto" w:fill="auto"/>
            <w:vAlign w:val="center"/>
          </w:tcPr>
          <w:p w14:paraId="792C49F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显影清洗线</w:t>
            </w:r>
          </w:p>
        </w:tc>
        <w:tc>
          <w:tcPr>
            <w:tcW w:w="2534" w:type="dxa"/>
            <w:shd w:val="clear" w:color="auto" w:fill="auto"/>
            <w:vAlign w:val="center"/>
          </w:tcPr>
          <w:p w14:paraId="3766822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ZC-D2600</w:t>
            </w:r>
          </w:p>
        </w:tc>
        <w:tc>
          <w:tcPr>
            <w:tcW w:w="699" w:type="dxa"/>
            <w:shd w:val="clear" w:color="auto" w:fill="auto"/>
            <w:vAlign w:val="center"/>
          </w:tcPr>
          <w:p w14:paraId="7EBE3A5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53BE6AF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3217C6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center"/>
          </w:tcPr>
          <w:p w14:paraId="256E7B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图形显像</w:t>
            </w:r>
          </w:p>
        </w:tc>
        <w:tc>
          <w:tcPr>
            <w:tcW w:w="1685" w:type="dxa"/>
            <w:vAlign w:val="center"/>
          </w:tcPr>
          <w:p w14:paraId="63DF62C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1832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5C826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931" w:type="dxa"/>
            <w:vMerge w:val="continue"/>
            <w:vAlign w:val="center"/>
          </w:tcPr>
          <w:p w14:paraId="32CDC9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c>
          <w:tcPr>
            <w:tcW w:w="602" w:type="dxa"/>
            <w:shd w:val="clear" w:color="auto" w:fill="auto"/>
            <w:vAlign w:val="center"/>
          </w:tcPr>
          <w:p w14:paraId="095D78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89</w:t>
            </w:r>
          </w:p>
        </w:tc>
        <w:tc>
          <w:tcPr>
            <w:tcW w:w="2168" w:type="dxa"/>
            <w:shd w:val="clear" w:color="auto" w:fill="auto"/>
            <w:vAlign w:val="center"/>
          </w:tcPr>
          <w:p w14:paraId="09062E7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UV光固热固线</w:t>
            </w:r>
          </w:p>
        </w:tc>
        <w:tc>
          <w:tcPr>
            <w:tcW w:w="2534" w:type="dxa"/>
            <w:shd w:val="clear" w:color="auto" w:fill="auto"/>
            <w:vAlign w:val="center"/>
          </w:tcPr>
          <w:p w14:paraId="35B6181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ZC-UV2600</w:t>
            </w:r>
          </w:p>
        </w:tc>
        <w:tc>
          <w:tcPr>
            <w:tcW w:w="699" w:type="dxa"/>
            <w:shd w:val="clear" w:color="auto" w:fill="auto"/>
            <w:vAlign w:val="center"/>
          </w:tcPr>
          <w:p w14:paraId="7B7B19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699" w:type="dxa"/>
            <w:shd w:val="clear" w:color="auto" w:fill="auto"/>
            <w:vAlign w:val="center"/>
          </w:tcPr>
          <w:p w14:paraId="758C9ED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B6C93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678" w:type="dxa"/>
            <w:shd w:val="clear" w:color="auto" w:fill="auto"/>
            <w:vAlign w:val="center"/>
          </w:tcPr>
          <w:p w14:paraId="612EF88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hint="eastAsia" w:ascii="Times New Roman" w:hAnsi="Times New Roman" w:eastAsia="仿宋_GB2312" w:cs="Times New Roman"/>
                <w:color w:val="000000"/>
                <w:spacing w:val="-11"/>
                <w:kern w:val="0"/>
                <w:sz w:val="21"/>
                <w:szCs w:val="21"/>
                <w:highlight w:val="black"/>
                <w:lang w:val="en-US" w:eastAsia="zh-CN" w:bidi="ar-SA"/>
              </w:rPr>
              <w:t>图形加固</w:t>
            </w:r>
          </w:p>
        </w:tc>
        <w:tc>
          <w:tcPr>
            <w:tcW w:w="1685" w:type="dxa"/>
            <w:vAlign w:val="center"/>
          </w:tcPr>
          <w:p w14:paraId="2015F8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p>
        </w:tc>
      </w:tr>
      <w:tr w14:paraId="3E9E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restart"/>
            <w:vAlign w:val="center"/>
          </w:tcPr>
          <w:p w14:paraId="03AE19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微精</w:t>
            </w:r>
          </w:p>
          <w:p w14:paraId="68438B7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版</w:t>
            </w:r>
          </w:p>
        </w:tc>
        <w:tc>
          <w:tcPr>
            <w:tcW w:w="931" w:type="dxa"/>
            <w:vMerge w:val="restart"/>
            <w:vAlign w:val="center"/>
          </w:tcPr>
          <w:p w14:paraId="29E49E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en-US" w:bidi="ar-SA"/>
              </w:rPr>
              <w:t>机加</w:t>
            </w:r>
            <w:r>
              <w:rPr>
                <w:rFonts w:ascii="Times New Roman" w:hAnsi="Times New Roman" w:eastAsia="仿宋_GB2312" w:cs="Times New Roman"/>
                <w:color w:val="000000"/>
                <w:spacing w:val="-11"/>
                <w:kern w:val="0"/>
                <w:sz w:val="21"/>
                <w:szCs w:val="21"/>
                <w:lang w:val="en-US" w:eastAsia="zh-CN" w:bidi="ar-SA"/>
              </w:rPr>
              <w:t>工</w:t>
            </w:r>
          </w:p>
        </w:tc>
        <w:tc>
          <w:tcPr>
            <w:tcW w:w="602" w:type="dxa"/>
            <w:shd w:val="clear" w:color="auto" w:fill="auto"/>
            <w:vAlign w:val="center"/>
          </w:tcPr>
          <w:p w14:paraId="7FCE448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hint="default" w:ascii="Times New Roman" w:hAnsi="Times New Roman" w:eastAsia="仿宋_GB2312" w:cs="Times New Roman"/>
                <w:color w:val="000000"/>
                <w:spacing w:val="-11"/>
                <w:kern w:val="0"/>
                <w:sz w:val="21"/>
                <w:szCs w:val="21"/>
                <w:lang w:val="en-US" w:eastAsia="zh-CN" w:bidi="ar-SA"/>
              </w:rPr>
              <w:t>90</w:t>
            </w:r>
          </w:p>
        </w:tc>
        <w:tc>
          <w:tcPr>
            <w:tcW w:w="2168" w:type="dxa"/>
            <w:vAlign w:val="center"/>
          </w:tcPr>
          <w:p w14:paraId="0A9431B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卷管上料架</w:t>
            </w:r>
          </w:p>
        </w:tc>
        <w:tc>
          <w:tcPr>
            <w:tcW w:w="2534" w:type="dxa"/>
            <w:vAlign w:val="center"/>
          </w:tcPr>
          <w:p w14:paraId="103B4D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w:t>
            </w:r>
          </w:p>
        </w:tc>
        <w:tc>
          <w:tcPr>
            <w:tcW w:w="699" w:type="dxa"/>
            <w:shd w:val="clear" w:color="auto" w:fill="auto"/>
            <w:vAlign w:val="center"/>
          </w:tcPr>
          <w:p w14:paraId="78C8C0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699" w:type="dxa"/>
            <w:shd w:val="clear" w:color="auto" w:fill="auto"/>
            <w:vAlign w:val="center"/>
          </w:tcPr>
          <w:p w14:paraId="4A287B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1</w:t>
            </w:r>
          </w:p>
        </w:tc>
        <w:tc>
          <w:tcPr>
            <w:tcW w:w="703" w:type="dxa"/>
            <w:vAlign w:val="center"/>
          </w:tcPr>
          <w:p w14:paraId="693ABAB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9875A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en-US" w:bidi="ar-SA"/>
              </w:rPr>
            </w:pPr>
            <w:r>
              <w:rPr>
                <w:rFonts w:ascii="Times New Roman" w:hAnsi="Times New Roman" w:eastAsia="仿宋_GB2312" w:cs="Times New Roman"/>
                <w:color w:val="000000"/>
                <w:spacing w:val="-11"/>
                <w:kern w:val="0"/>
                <w:sz w:val="21"/>
                <w:szCs w:val="21"/>
                <w:highlight w:val="black"/>
                <w:lang w:val="en-US" w:eastAsia="en-US" w:bidi="ar-SA"/>
              </w:rPr>
              <w:t>/</w:t>
            </w:r>
          </w:p>
        </w:tc>
        <w:tc>
          <w:tcPr>
            <w:tcW w:w="1685" w:type="dxa"/>
            <w:vAlign w:val="center"/>
          </w:tcPr>
          <w:p w14:paraId="47EF1D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en-US" w:bidi="ar-SA"/>
              </w:rPr>
            </w:pPr>
            <w:r>
              <w:rPr>
                <w:rFonts w:ascii="Times New Roman" w:hAnsi="Times New Roman" w:eastAsia="仿宋_GB2312" w:cs="Times New Roman"/>
                <w:color w:val="000000"/>
                <w:spacing w:val="-11"/>
                <w:kern w:val="0"/>
                <w:sz w:val="21"/>
                <w:szCs w:val="21"/>
                <w:lang w:val="en-US" w:eastAsia="en-US" w:bidi="ar-SA"/>
              </w:rPr>
              <w:t>辅助</w:t>
            </w:r>
          </w:p>
        </w:tc>
      </w:tr>
      <w:tr w14:paraId="276F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594E3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351F24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02306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91</w:t>
            </w:r>
          </w:p>
        </w:tc>
        <w:tc>
          <w:tcPr>
            <w:tcW w:w="2168" w:type="dxa"/>
            <w:vAlign w:val="center"/>
          </w:tcPr>
          <w:p w14:paraId="0D8BBD2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卷管机</w:t>
            </w:r>
          </w:p>
        </w:tc>
        <w:tc>
          <w:tcPr>
            <w:tcW w:w="2534" w:type="dxa"/>
            <w:vAlign w:val="center"/>
          </w:tcPr>
          <w:p w14:paraId="7A80A9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3B38AA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A92F6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3ECD92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D0B9A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卷管</w:t>
            </w:r>
          </w:p>
        </w:tc>
        <w:tc>
          <w:tcPr>
            <w:tcW w:w="1685" w:type="dxa"/>
            <w:vAlign w:val="center"/>
          </w:tcPr>
          <w:p w14:paraId="3223FDC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0730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7506D3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7A7D2E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43D730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92</w:t>
            </w:r>
          </w:p>
        </w:tc>
        <w:tc>
          <w:tcPr>
            <w:tcW w:w="2168" w:type="dxa"/>
            <w:vAlign w:val="center"/>
          </w:tcPr>
          <w:p w14:paraId="196F7CD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校圆机</w:t>
            </w:r>
          </w:p>
        </w:tc>
        <w:tc>
          <w:tcPr>
            <w:tcW w:w="2534" w:type="dxa"/>
            <w:vAlign w:val="center"/>
          </w:tcPr>
          <w:p w14:paraId="76363D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00F5612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1AE93FA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BB0AB9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813239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校圆</w:t>
            </w:r>
          </w:p>
        </w:tc>
        <w:tc>
          <w:tcPr>
            <w:tcW w:w="1685" w:type="dxa"/>
            <w:vAlign w:val="center"/>
          </w:tcPr>
          <w:p w14:paraId="5B56CC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466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04CD51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6679301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91F05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93</w:t>
            </w:r>
          </w:p>
        </w:tc>
        <w:tc>
          <w:tcPr>
            <w:tcW w:w="2168" w:type="dxa"/>
            <w:vAlign w:val="center"/>
          </w:tcPr>
          <w:p w14:paraId="416849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工位架</w:t>
            </w:r>
          </w:p>
        </w:tc>
        <w:tc>
          <w:tcPr>
            <w:tcW w:w="2534" w:type="dxa"/>
            <w:vAlign w:val="center"/>
          </w:tcPr>
          <w:p w14:paraId="37ED4B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3FABF9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6</w:t>
            </w:r>
          </w:p>
        </w:tc>
        <w:tc>
          <w:tcPr>
            <w:tcW w:w="699" w:type="dxa"/>
            <w:shd w:val="clear" w:color="auto" w:fill="auto"/>
            <w:vAlign w:val="center"/>
          </w:tcPr>
          <w:p w14:paraId="69B0C31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6</w:t>
            </w:r>
          </w:p>
        </w:tc>
        <w:tc>
          <w:tcPr>
            <w:tcW w:w="703" w:type="dxa"/>
            <w:vAlign w:val="center"/>
          </w:tcPr>
          <w:p w14:paraId="68640A1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B07971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161505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199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A4633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F6FA6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4208C8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94</w:t>
            </w:r>
          </w:p>
        </w:tc>
        <w:tc>
          <w:tcPr>
            <w:tcW w:w="2168" w:type="dxa"/>
            <w:vAlign w:val="center"/>
          </w:tcPr>
          <w:p w14:paraId="3A1F53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焊接机</w:t>
            </w:r>
          </w:p>
        </w:tc>
        <w:tc>
          <w:tcPr>
            <w:tcW w:w="2534" w:type="dxa"/>
            <w:vAlign w:val="center"/>
          </w:tcPr>
          <w:p w14:paraId="268817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4EAF9AC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47025BF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D8001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CBEC3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焊接</w:t>
            </w:r>
          </w:p>
        </w:tc>
        <w:tc>
          <w:tcPr>
            <w:tcW w:w="1685" w:type="dxa"/>
            <w:vAlign w:val="center"/>
          </w:tcPr>
          <w:p w14:paraId="394602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5D1A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E771B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645ACC0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F2BB0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95</w:t>
            </w:r>
          </w:p>
        </w:tc>
        <w:tc>
          <w:tcPr>
            <w:tcW w:w="2168" w:type="dxa"/>
            <w:vAlign w:val="center"/>
          </w:tcPr>
          <w:p w14:paraId="57CD19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堵头料仓</w:t>
            </w:r>
          </w:p>
        </w:tc>
        <w:tc>
          <w:tcPr>
            <w:tcW w:w="2534" w:type="dxa"/>
            <w:vAlign w:val="center"/>
          </w:tcPr>
          <w:p w14:paraId="48D5776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0D2E64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29C56F0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CE060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1230B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59E4BFD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527D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5FA7F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6904F8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5B793E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96</w:t>
            </w:r>
          </w:p>
        </w:tc>
        <w:tc>
          <w:tcPr>
            <w:tcW w:w="2168" w:type="dxa"/>
            <w:vAlign w:val="center"/>
          </w:tcPr>
          <w:p w14:paraId="03E4A9F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车堵机</w:t>
            </w:r>
          </w:p>
        </w:tc>
        <w:tc>
          <w:tcPr>
            <w:tcW w:w="2534" w:type="dxa"/>
            <w:vAlign w:val="center"/>
          </w:tcPr>
          <w:p w14:paraId="19C386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745E460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6B7D82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6437A0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58894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车堵</w:t>
            </w:r>
          </w:p>
        </w:tc>
        <w:tc>
          <w:tcPr>
            <w:tcW w:w="1685" w:type="dxa"/>
            <w:vAlign w:val="center"/>
          </w:tcPr>
          <w:p w14:paraId="294AC5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63E9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2932A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53908B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8C554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97</w:t>
            </w:r>
          </w:p>
        </w:tc>
        <w:tc>
          <w:tcPr>
            <w:tcW w:w="2168" w:type="dxa"/>
            <w:vAlign w:val="center"/>
          </w:tcPr>
          <w:p w14:paraId="775C8A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拉键机</w:t>
            </w:r>
          </w:p>
        </w:tc>
        <w:tc>
          <w:tcPr>
            <w:tcW w:w="2534" w:type="dxa"/>
            <w:vAlign w:val="center"/>
          </w:tcPr>
          <w:p w14:paraId="2F6ED3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F8181B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0797FAE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13FA59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62079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拉键</w:t>
            </w:r>
          </w:p>
        </w:tc>
        <w:tc>
          <w:tcPr>
            <w:tcW w:w="1685" w:type="dxa"/>
            <w:vAlign w:val="center"/>
          </w:tcPr>
          <w:p w14:paraId="1F3463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BC6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5ED239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D77BA2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74161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98</w:t>
            </w:r>
          </w:p>
        </w:tc>
        <w:tc>
          <w:tcPr>
            <w:tcW w:w="2168" w:type="dxa"/>
            <w:vAlign w:val="center"/>
          </w:tcPr>
          <w:p w14:paraId="12C60AA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双头焊机</w:t>
            </w:r>
          </w:p>
        </w:tc>
        <w:tc>
          <w:tcPr>
            <w:tcW w:w="2534" w:type="dxa"/>
            <w:vAlign w:val="center"/>
          </w:tcPr>
          <w:p w14:paraId="3ABAFE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52D9CA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4344BD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313CE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7453F9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焊接</w:t>
            </w:r>
          </w:p>
        </w:tc>
        <w:tc>
          <w:tcPr>
            <w:tcW w:w="1685" w:type="dxa"/>
            <w:vAlign w:val="center"/>
          </w:tcPr>
          <w:p w14:paraId="649E4D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8EC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48F75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53BC5A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EA4552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99</w:t>
            </w:r>
          </w:p>
        </w:tc>
        <w:tc>
          <w:tcPr>
            <w:tcW w:w="2168" w:type="dxa"/>
            <w:vAlign w:val="center"/>
          </w:tcPr>
          <w:p w14:paraId="7BA6052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上料货叉（双头焊用）</w:t>
            </w:r>
          </w:p>
        </w:tc>
        <w:tc>
          <w:tcPr>
            <w:tcW w:w="2534" w:type="dxa"/>
            <w:vAlign w:val="center"/>
          </w:tcPr>
          <w:p w14:paraId="4AFE6D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73F929C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6354D68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8CE432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FEBFF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上料</w:t>
            </w:r>
          </w:p>
        </w:tc>
        <w:tc>
          <w:tcPr>
            <w:tcW w:w="1685" w:type="dxa"/>
            <w:vAlign w:val="center"/>
          </w:tcPr>
          <w:p w14:paraId="70F2011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DD8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F536D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6949E11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84375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100</w:t>
            </w:r>
          </w:p>
        </w:tc>
        <w:tc>
          <w:tcPr>
            <w:tcW w:w="2168" w:type="dxa"/>
            <w:vAlign w:val="center"/>
          </w:tcPr>
          <w:p w14:paraId="010295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钢管进料 AGV+放版架</w:t>
            </w:r>
          </w:p>
        </w:tc>
        <w:tc>
          <w:tcPr>
            <w:tcW w:w="2534" w:type="dxa"/>
            <w:vAlign w:val="center"/>
          </w:tcPr>
          <w:p w14:paraId="6951A3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2D2309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EC003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19DF8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C3C7C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进料</w:t>
            </w:r>
          </w:p>
        </w:tc>
        <w:tc>
          <w:tcPr>
            <w:tcW w:w="1685" w:type="dxa"/>
            <w:vAlign w:val="center"/>
          </w:tcPr>
          <w:p w14:paraId="38494A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5DE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4DEF8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21CEADF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479D2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101</w:t>
            </w:r>
          </w:p>
        </w:tc>
        <w:tc>
          <w:tcPr>
            <w:tcW w:w="2168" w:type="dxa"/>
            <w:vAlign w:val="center"/>
          </w:tcPr>
          <w:p w14:paraId="3429BAF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3 位等待工位</w:t>
            </w:r>
          </w:p>
        </w:tc>
        <w:tc>
          <w:tcPr>
            <w:tcW w:w="2534" w:type="dxa"/>
            <w:vAlign w:val="center"/>
          </w:tcPr>
          <w:p w14:paraId="60E2C33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707157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61C62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BD7D9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01F73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737801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2949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09B91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3B7CA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FF8494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102</w:t>
            </w:r>
          </w:p>
        </w:tc>
        <w:tc>
          <w:tcPr>
            <w:tcW w:w="2168" w:type="dxa"/>
            <w:vAlign w:val="center"/>
          </w:tcPr>
          <w:p w14:paraId="75C69DE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周转 AGV+放版架</w:t>
            </w:r>
          </w:p>
        </w:tc>
        <w:tc>
          <w:tcPr>
            <w:tcW w:w="2534" w:type="dxa"/>
            <w:vAlign w:val="center"/>
          </w:tcPr>
          <w:p w14:paraId="73581B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CBE4BE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385E8D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61FD7C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B40D7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2592E1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008C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64B2B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14221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6AE434C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103</w:t>
            </w:r>
          </w:p>
        </w:tc>
        <w:tc>
          <w:tcPr>
            <w:tcW w:w="2168" w:type="dxa"/>
            <w:vAlign w:val="center"/>
          </w:tcPr>
          <w:p w14:paraId="35B7D9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双头镗孔机</w:t>
            </w:r>
          </w:p>
        </w:tc>
        <w:tc>
          <w:tcPr>
            <w:tcW w:w="2534" w:type="dxa"/>
            <w:vAlign w:val="center"/>
          </w:tcPr>
          <w:p w14:paraId="36D80BA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0004B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D6387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EE90E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7E761F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镗孔</w:t>
            </w:r>
          </w:p>
        </w:tc>
        <w:tc>
          <w:tcPr>
            <w:tcW w:w="1685" w:type="dxa"/>
            <w:vAlign w:val="center"/>
          </w:tcPr>
          <w:p w14:paraId="2C6860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558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0B828C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6A50B97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39BEAF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104</w:t>
            </w:r>
          </w:p>
        </w:tc>
        <w:tc>
          <w:tcPr>
            <w:tcW w:w="2168" w:type="dxa"/>
            <w:vAlign w:val="center"/>
          </w:tcPr>
          <w:p w14:paraId="664B95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上料货叉+上下料工位</w:t>
            </w:r>
          </w:p>
        </w:tc>
        <w:tc>
          <w:tcPr>
            <w:tcW w:w="2534" w:type="dxa"/>
            <w:vAlign w:val="center"/>
          </w:tcPr>
          <w:p w14:paraId="619A00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4CDDC9F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4815019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B45B8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353AB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2DDE469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1806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DC1CB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985F8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498EF6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105</w:t>
            </w:r>
          </w:p>
        </w:tc>
        <w:tc>
          <w:tcPr>
            <w:tcW w:w="2168" w:type="dxa"/>
            <w:vAlign w:val="center"/>
          </w:tcPr>
          <w:p w14:paraId="2D5E9D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沈阳斜车</w:t>
            </w:r>
          </w:p>
        </w:tc>
        <w:tc>
          <w:tcPr>
            <w:tcW w:w="2534" w:type="dxa"/>
            <w:vAlign w:val="center"/>
          </w:tcPr>
          <w:p w14:paraId="0C8138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51A24B4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7E4B9BA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25531F8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8305D1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223B67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616E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EEDBAE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7D0F1D2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BA31C6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106</w:t>
            </w:r>
          </w:p>
        </w:tc>
        <w:tc>
          <w:tcPr>
            <w:tcW w:w="2168" w:type="dxa"/>
            <w:vAlign w:val="center"/>
          </w:tcPr>
          <w:p w14:paraId="016453B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动平衡机</w:t>
            </w:r>
          </w:p>
        </w:tc>
        <w:tc>
          <w:tcPr>
            <w:tcW w:w="2534" w:type="dxa"/>
            <w:vAlign w:val="center"/>
          </w:tcPr>
          <w:p w14:paraId="08F94F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C353E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162668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3CEA0A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F32FA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动平衡检测</w:t>
            </w:r>
          </w:p>
        </w:tc>
        <w:tc>
          <w:tcPr>
            <w:tcW w:w="1685" w:type="dxa"/>
            <w:vAlign w:val="center"/>
          </w:tcPr>
          <w:p w14:paraId="2EAD1FD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607C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A6F8F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1D80C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56337F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107</w:t>
            </w:r>
          </w:p>
        </w:tc>
        <w:tc>
          <w:tcPr>
            <w:tcW w:w="2168" w:type="dxa"/>
            <w:vAlign w:val="center"/>
          </w:tcPr>
          <w:p w14:paraId="734E1B9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动平衡上下料工位</w:t>
            </w:r>
          </w:p>
        </w:tc>
        <w:tc>
          <w:tcPr>
            <w:tcW w:w="2534" w:type="dxa"/>
            <w:vAlign w:val="center"/>
          </w:tcPr>
          <w:p w14:paraId="3E3C21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0299143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188F38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5B7F4C1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8BF39D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动平衡检测</w:t>
            </w:r>
          </w:p>
        </w:tc>
        <w:tc>
          <w:tcPr>
            <w:tcW w:w="1685" w:type="dxa"/>
            <w:vAlign w:val="center"/>
          </w:tcPr>
          <w:p w14:paraId="676062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126A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086929C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36E85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A2219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108</w:t>
            </w:r>
          </w:p>
        </w:tc>
        <w:tc>
          <w:tcPr>
            <w:tcW w:w="2168" w:type="dxa"/>
            <w:vAlign w:val="center"/>
          </w:tcPr>
          <w:p w14:paraId="1383CA6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激光打码机</w:t>
            </w:r>
          </w:p>
        </w:tc>
        <w:tc>
          <w:tcPr>
            <w:tcW w:w="2534" w:type="dxa"/>
            <w:vAlign w:val="center"/>
          </w:tcPr>
          <w:p w14:paraId="60F496B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318265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49E1B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21007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4BFD6F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打码</w:t>
            </w:r>
          </w:p>
        </w:tc>
        <w:tc>
          <w:tcPr>
            <w:tcW w:w="1685" w:type="dxa"/>
            <w:vAlign w:val="center"/>
          </w:tcPr>
          <w:p w14:paraId="7D9B70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658A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0E3BF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245402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658B89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109</w:t>
            </w:r>
          </w:p>
        </w:tc>
        <w:tc>
          <w:tcPr>
            <w:tcW w:w="2168" w:type="dxa"/>
            <w:vAlign w:val="center"/>
          </w:tcPr>
          <w:p w14:paraId="5905B9B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高速钢管研磨机</w:t>
            </w:r>
          </w:p>
        </w:tc>
        <w:tc>
          <w:tcPr>
            <w:tcW w:w="2534" w:type="dxa"/>
            <w:vAlign w:val="center"/>
          </w:tcPr>
          <w:p w14:paraId="311923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09A4AD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36F73F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5F50531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A65BA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研磨</w:t>
            </w:r>
          </w:p>
        </w:tc>
        <w:tc>
          <w:tcPr>
            <w:tcW w:w="1685" w:type="dxa"/>
            <w:vAlign w:val="center"/>
          </w:tcPr>
          <w:p w14:paraId="49DA50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197F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7C926B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3D6669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8140B2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110</w:t>
            </w:r>
          </w:p>
        </w:tc>
        <w:tc>
          <w:tcPr>
            <w:tcW w:w="2168" w:type="dxa"/>
            <w:vAlign w:val="center"/>
          </w:tcPr>
          <w:p w14:paraId="48AEE7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 位修版工位</w:t>
            </w:r>
          </w:p>
        </w:tc>
        <w:tc>
          <w:tcPr>
            <w:tcW w:w="2534" w:type="dxa"/>
            <w:vAlign w:val="center"/>
          </w:tcPr>
          <w:p w14:paraId="1FD3C3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380E77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087342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4F0CCB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5DF7A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3B907D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762A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B7F5A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A58E4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A263D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111</w:t>
            </w:r>
          </w:p>
        </w:tc>
        <w:tc>
          <w:tcPr>
            <w:tcW w:w="2168" w:type="dxa"/>
            <w:vAlign w:val="center"/>
          </w:tcPr>
          <w:p w14:paraId="78E8443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自动测径机</w:t>
            </w:r>
          </w:p>
        </w:tc>
        <w:tc>
          <w:tcPr>
            <w:tcW w:w="2534" w:type="dxa"/>
            <w:vAlign w:val="center"/>
          </w:tcPr>
          <w:p w14:paraId="432EB9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374264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CC0A41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D41435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ED202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789227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0441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7BB469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restart"/>
            <w:vAlign w:val="center"/>
          </w:tcPr>
          <w:p w14:paraId="1FF45C6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激光雕刻绿色智能化生产线</w:t>
            </w:r>
          </w:p>
        </w:tc>
        <w:tc>
          <w:tcPr>
            <w:tcW w:w="602" w:type="dxa"/>
            <w:shd w:val="clear" w:color="auto" w:fill="auto"/>
            <w:vAlign w:val="center"/>
          </w:tcPr>
          <w:p w14:paraId="132408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112</w:t>
            </w:r>
          </w:p>
        </w:tc>
        <w:tc>
          <w:tcPr>
            <w:tcW w:w="2168" w:type="dxa"/>
            <w:vAlign w:val="center"/>
          </w:tcPr>
          <w:p w14:paraId="4E0193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钢辊清洗机</w:t>
            </w:r>
          </w:p>
        </w:tc>
        <w:tc>
          <w:tcPr>
            <w:tcW w:w="2534" w:type="dxa"/>
            <w:vAlign w:val="center"/>
          </w:tcPr>
          <w:p w14:paraId="2C8A4DA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5100* 1600* 1800</w:t>
            </w:r>
          </w:p>
        </w:tc>
        <w:tc>
          <w:tcPr>
            <w:tcW w:w="699" w:type="dxa"/>
            <w:shd w:val="clear" w:color="auto" w:fill="auto"/>
            <w:vAlign w:val="center"/>
          </w:tcPr>
          <w:p w14:paraId="2380F4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7325507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FF861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4A3F9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清洗</w:t>
            </w:r>
          </w:p>
        </w:tc>
        <w:tc>
          <w:tcPr>
            <w:tcW w:w="1685" w:type="dxa"/>
            <w:vAlign w:val="center"/>
          </w:tcPr>
          <w:p w14:paraId="7A4709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BA7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AA40E9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723B5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4D2957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113</w:t>
            </w:r>
          </w:p>
        </w:tc>
        <w:tc>
          <w:tcPr>
            <w:tcW w:w="2168" w:type="dxa"/>
            <w:vAlign w:val="center"/>
          </w:tcPr>
          <w:p w14:paraId="7C4748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钢辊脱脂机</w:t>
            </w:r>
          </w:p>
        </w:tc>
        <w:tc>
          <w:tcPr>
            <w:tcW w:w="2534" w:type="dxa"/>
            <w:vAlign w:val="center"/>
          </w:tcPr>
          <w:p w14:paraId="2E6C48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5100* 1600* 1800</w:t>
            </w:r>
          </w:p>
        </w:tc>
        <w:tc>
          <w:tcPr>
            <w:tcW w:w="699" w:type="dxa"/>
            <w:shd w:val="clear" w:color="auto" w:fill="auto"/>
            <w:vAlign w:val="center"/>
          </w:tcPr>
          <w:p w14:paraId="76DFABD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E8252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3F7DC5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BFD74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脱脂</w:t>
            </w:r>
          </w:p>
        </w:tc>
        <w:tc>
          <w:tcPr>
            <w:tcW w:w="1685" w:type="dxa"/>
            <w:vAlign w:val="center"/>
          </w:tcPr>
          <w:p w14:paraId="59ED968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70A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D33E3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E0E1C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6C9DE4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114</w:t>
            </w:r>
          </w:p>
        </w:tc>
        <w:tc>
          <w:tcPr>
            <w:tcW w:w="2168" w:type="dxa"/>
            <w:vAlign w:val="center"/>
          </w:tcPr>
          <w:p w14:paraId="403163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碱铜机</w:t>
            </w:r>
          </w:p>
        </w:tc>
        <w:tc>
          <w:tcPr>
            <w:tcW w:w="2534" w:type="dxa"/>
            <w:vAlign w:val="center"/>
          </w:tcPr>
          <w:p w14:paraId="5228DB9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5100* 1600* 1800</w:t>
            </w:r>
          </w:p>
        </w:tc>
        <w:tc>
          <w:tcPr>
            <w:tcW w:w="699" w:type="dxa"/>
            <w:shd w:val="clear" w:color="auto" w:fill="auto"/>
            <w:vAlign w:val="center"/>
          </w:tcPr>
          <w:p w14:paraId="4A35DD3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27CAA02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EED9D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34305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碱铜</w:t>
            </w:r>
          </w:p>
        </w:tc>
        <w:tc>
          <w:tcPr>
            <w:tcW w:w="1685" w:type="dxa"/>
            <w:vAlign w:val="center"/>
          </w:tcPr>
          <w:p w14:paraId="7C687D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204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77F30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D124CC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6963A4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115</w:t>
            </w:r>
          </w:p>
        </w:tc>
        <w:tc>
          <w:tcPr>
            <w:tcW w:w="2168" w:type="dxa"/>
            <w:vAlign w:val="center"/>
          </w:tcPr>
          <w:p w14:paraId="3A2D0C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镀铜机</w:t>
            </w:r>
          </w:p>
        </w:tc>
        <w:tc>
          <w:tcPr>
            <w:tcW w:w="2534" w:type="dxa"/>
            <w:vAlign w:val="center"/>
          </w:tcPr>
          <w:p w14:paraId="2705BF8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5100* 1600* 1800</w:t>
            </w:r>
          </w:p>
        </w:tc>
        <w:tc>
          <w:tcPr>
            <w:tcW w:w="699" w:type="dxa"/>
            <w:shd w:val="clear" w:color="auto" w:fill="auto"/>
            <w:vAlign w:val="center"/>
          </w:tcPr>
          <w:p w14:paraId="47C686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790854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61D372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63D370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镀铜</w:t>
            </w:r>
          </w:p>
        </w:tc>
        <w:tc>
          <w:tcPr>
            <w:tcW w:w="1685" w:type="dxa"/>
            <w:vAlign w:val="center"/>
          </w:tcPr>
          <w:p w14:paraId="1E788B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1DAA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9F46C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3A592E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B08E16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116</w:t>
            </w:r>
          </w:p>
        </w:tc>
        <w:tc>
          <w:tcPr>
            <w:tcW w:w="2168" w:type="dxa"/>
            <w:vAlign w:val="center"/>
          </w:tcPr>
          <w:p w14:paraId="7211F6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退铬槽</w:t>
            </w:r>
          </w:p>
        </w:tc>
        <w:tc>
          <w:tcPr>
            <w:tcW w:w="2534" w:type="dxa"/>
            <w:vAlign w:val="center"/>
          </w:tcPr>
          <w:p w14:paraId="5A6BD5F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5100* 1600* 1800</w:t>
            </w:r>
          </w:p>
        </w:tc>
        <w:tc>
          <w:tcPr>
            <w:tcW w:w="699" w:type="dxa"/>
            <w:shd w:val="clear" w:color="auto" w:fill="auto"/>
            <w:vAlign w:val="center"/>
          </w:tcPr>
          <w:p w14:paraId="302C75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63213F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77DF2E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95286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退铬</w:t>
            </w:r>
          </w:p>
        </w:tc>
        <w:tc>
          <w:tcPr>
            <w:tcW w:w="1685" w:type="dxa"/>
            <w:vAlign w:val="center"/>
          </w:tcPr>
          <w:p w14:paraId="46BCFF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D5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D8DAAB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52FABBC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5804B5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117</w:t>
            </w:r>
          </w:p>
        </w:tc>
        <w:tc>
          <w:tcPr>
            <w:tcW w:w="2168" w:type="dxa"/>
            <w:vAlign w:val="center"/>
          </w:tcPr>
          <w:p w14:paraId="3AC403A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研磨抛光机</w:t>
            </w:r>
          </w:p>
        </w:tc>
        <w:tc>
          <w:tcPr>
            <w:tcW w:w="2534" w:type="dxa"/>
            <w:vAlign w:val="center"/>
          </w:tcPr>
          <w:p w14:paraId="04D84B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4600*2000* 1600</w:t>
            </w:r>
          </w:p>
        </w:tc>
        <w:tc>
          <w:tcPr>
            <w:tcW w:w="699" w:type="dxa"/>
            <w:shd w:val="clear" w:color="auto" w:fill="auto"/>
            <w:vAlign w:val="center"/>
          </w:tcPr>
          <w:p w14:paraId="36A64AC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242FF7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1BF3A0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660BA6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研磨</w:t>
            </w:r>
          </w:p>
        </w:tc>
        <w:tc>
          <w:tcPr>
            <w:tcW w:w="1685" w:type="dxa"/>
            <w:vAlign w:val="center"/>
          </w:tcPr>
          <w:p w14:paraId="36AC05B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C48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5E209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FB263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B7918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118</w:t>
            </w:r>
          </w:p>
        </w:tc>
        <w:tc>
          <w:tcPr>
            <w:tcW w:w="2168" w:type="dxa"/>
            <w:vAlign w:val="center"/>
          </w:tcPr>
          <w:p w14:paraId="0E7011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车磨抛</w:t>
            </w:r>
          </w:p>
        </w:tc>
        <w:tc>
          <w:tcPr>
            <w:tcW w:w="2534" w:type="dxa"/>
            <w:vAlign w:val="center"/>
          </w:tcPr>
          <w:p w14:paraId="1C9D16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49330F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05A233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BED4D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DD53C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研磨</w:t>
            </w:r>
          </w:p>
        </w:tc>
        <w:tc>
          <w:tcPr>
            <w:tcW w:w="1685" w:type="dxa"/>
            <w:vAlign w:val="center"/>
          </w:tcPr>
          <w:p w14:paraId="76FBBAA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3202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6C0E07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1DD54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7A7961E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119</w:t>
            </w:r>
          </w:p>
        </w:tc>
        <w:tc>
          <w:tcPr>
            <w:tcW w:w="2168" w:type="dxa"/>
            <w:vAlign w:val="center"/>
          </w:tcPr>
          <w:p w14:paraId="3CE381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自动验点机</w:t>
            </w:r>
          </w:p>
        </w:tc>
        <w:tc>
          <w:tcPr>
            <w:tcW w:w="2534" w:type="dxa"/>
            <w:vAlign w:val="center"/>
          </w:tcPr>
          <w:p w14:paraId="5376B6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1F1AD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21DE8B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393434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1DAF1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验点</w:t>
            </w:r>
          </w:p>
        </w:tc>
        <w:tc>
          <w:tcPr>
            <w:tcW w:w="1685" w:type="dxa"/>
            <w:vAlign w:val="center"/>
          </w:tcPr>
          <w:p w14:paraId="02C196A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1923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D5C31B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84B6D6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F0E211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120</w:t>
            </w:r>
          </w:p>
        </w:tc>
        <w:tc>
          <w:tcPr>
            <w:tcW w:w="2168" w:type="dxa"/>
            <w:vAlign w:val="center"/>
          </w:tcPr>
          <w:p w14:paraId="1A5A670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修版工位（2位）</w:t>
            </w:r>
          </w:p>
        </w:tc>
        <w:tc>
          <w:tcPr>
            <w:tcW w:w="2534" w:type="dxa"/>
            <w:vAlign w:val="center"/>
          </w:tcPr>
          <w:p w14:paraId="4AE30B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4EBA8F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A7E02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2AD7F1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EDB240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2C6577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148D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5BB06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5F2A0F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8EC2A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121</w:t>
            </w:r>
          </w:p>
        </w:tc>
        <w:tc>
          <w:tcPr>
            <w:tcW w:w="2168" w:type="dxa"/>
            <w:vAlign w:val="center"/>
          </w:tcPr>
          <w:p w14:paraId="5473C1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进料小车工位</w:t>
            </w:r>
          </w:p>
        </w:tc>
        <w:tc>
          <w:tcPr>
            <w:tcW w:w="2534" w:type="dxa"/>
            <w:vAlign w:val="center"/>
          </w:tcPr>
          <w:p w14:paraId="2CD513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50CE28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16A002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498AA9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000E6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5F67C6F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7E63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A236C0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F8A16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83AA0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122</w:t>
            </w:r>
          </w:p>
        </w:tc>
        <w:tc>
          <w:tcPr>
            <w:tcW w:w="2168" w:type="dxa"/>
            <w:vAlign w:val="center"/>
          </w:tcPr>
          <w:p w14:paraId="6806C2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出料 agv+2 工位</w:t>
            </w:r>
          </w:p>
        </w:tc>
        <w:tc>
          <w:tcPr>
            <w:tcW w:w="2534" w:type="dxa"/>
            <w:vAlign w:val="center"/>
          </w:tcPr>
          <w:p w14:paraId="35035B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B4F27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1301D6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17C62A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42544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613E36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6CE3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782DD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451EC0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D0F50D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123</w:t>
            </w:r>
          </w:p>
        </w:tc>
        <w:tc>
          <w:tcPr>
            <w:tcW w:w="2168" w:type="dxa"/>
            <w:vAlign w:val="center"/>
          </w:tcPr>
          <w:p w14:paraId="7561F7C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桁架机器人（行车）</w:t>
            </w:r>
          </w:p>
        </w:tc>
        <w:tc>
          <w:tcPr>
            <w:tcW w:w="2534" w:type="dxa"/>
            <w:vAlign w:val="center"/>
          </w:tcPr>
          <w:p w14:paraId="7069A09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5AB229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699" w:type="dxa"/>
            <w:shd w:val="clear" w:color="auto" w:fill="auto"/>
            <w:vAlign w:val="center"/>
          </w:tcPr>
          <w:p w14:paraId="2B2FCA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2</w:t>
            </w:r>
          </w:p>
        </w:tc>
        <w:tc>
          <w:tcPr>
            <w:tcW w:w="703" w:type="dxa"/>
            <w:vAlign w:val="center"/>
          </w:tcPr>
          <w:p w14:paraId="706B332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A0FE6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20E642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57BF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15E8D24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C1CF75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D7290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124</w:t>
            </w:r>
          </w:p>
        </w:tc>
        <w:tc>
          <w:tcPr>
            <w:tcW w:w="2168" w:type="dxa"/>
            <w:vAlign w:val="center"/>
          </w:tcPr>
          <w:p w14:paraId="7DD1E5F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铜线龙门导轨</w:t>
            </w:r>
          </w:p>
        </w:tc>
        <w:tc>
          <w:tcPr>
            <w:tcW w:w="2534" w:type="dxa"/>
            <w:vAlign w:val="center"/>
          </w:tcPr>
          <w:p w14:paraId="0E6BAF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934E6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66CC24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7333C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85D8E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4F818B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辅助</w:t>
            </w:r>
          </w:p>
        </w:tc>
      </w:tr>
      <w:tr w14:paraId="4DE7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6E15C0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113941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C7399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125</w:t>
            </w:r>
          </w:p>
        </w:tc>
        <w:tc>
          <w:tcPr>
            <w:tcW w:w="2168" w:type="dxa"/>
            <w:vAlign w:val="center"/>
          </w:tcPr>
          <w:p w14:paraId="3292AF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剥胶机</w:t>
            </w:r>
          </w:p>
        </w:tc>
        <w:tc>
          <w:tcPr>
            <w:tcW w:w="2534" w:type="dxa"/>
            <w:vAlign w:val="center"/>
          </w:tcPr>
          <w:p w14:paraId="563587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5300* 1900* 1800</w:t>
            </w:r>
          </w:p>
        </w:tc>
        <w:tc>
          <w:tcPr>
            <w:tcW w:w="699" w:type="dxa"/>
            <w:shd w:val="clear" w:color="auto" w:fill="auto"/>
            <w:vAlign w:val="center"/>
          </w:tcPr>
          <w:p w14:paraId="1C05B8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0DA481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01E97E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4E66C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剥胶</w:t>
            </w:r>
          </w:p>
        </w:tc>
        <w:tc>
          <w:tcPr>
            <w:tcW w:w="1685" w:type="dxa"/>
            <w:vAlign w:val="center"/>
          </w:tcPr>
          <w:p w14:paraId="55C0979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27C9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18548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ABCDB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5B42AEE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126</w:t>
            </w:r>
          </w:p>
        </w:tc>
        <w:tc>
          <w:tcPr>
            <w:tcW w:w="2168" w:type="dxa"/>
            <w:vAlign w:val="center"/>
          </w:tcPr>
          <w:p w14:paraId="345BD2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腐蚀机</w:t>
            </w:r>
          </w:p>
        </w:tc>
        <w:tc>
          <w:tcPr>
            <w:tcW w:w="2534" w:type="dxa"/>
            <w:vAlign w:val="center"/>
          </w:tcPr>
          <w:p w14:paraId="44D487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5800*2100* 1800</w:t>
            </w:r>
          </w:p>
        </w:tc>
        <w:tc>
          <w:tcPr>
            <w:tcW w:w="699" w:type="dxa"/>
            <w:shd w:val="clear" w:color="auto" w:fill="auto"/>
            <w:vAlign w:val="center"/>
          </w:tcPr>
          <w:p w14:paraId="7535FE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777B0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6F0B9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40E7F32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腐蚀</w:t>
            </w:r>
          </w:p>
        </w:tc>
        <w:tc>
          <w:tcPr>
            <w:tcW w:w="1685" w:type="dxa"/>
            <w:vAlign w:val="center"/>
          </w:tcPr>
          <w:p w14:paraId="3FD315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74C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00D4A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793BBD0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39209D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127</w:t>
            </w:r>
          </w:p>
        </w:tc>
        <w:tc>
          <w:tcPr>
            <w:tcW w:w="2168" w:type="dxa"/>
            <w:vAlign w:val="center"/>
          </w:tcPr>
          <w:p w14:paraId="34D935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显影机</w:t>
            </w:r>
          </w:p>
        </w:tc>
        <w:tc>
          <w:tcPr>
            <w:tcW w:w="2534" w:type="dxa"/>
            <w:vAlign w:val="center"/>
          </w:tcPr>
          <w:p w14:paraId="0240196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4600* 1800* 1800</w:t>
            </w:r>
          </w:p>
        </w:tc>
        <w:tc>
          <w:tcPr>
            <w:tcW w:w="699" w:type="dxa"/>
            <w:shd w:val="clear" w:color="auto" w:fill="auto"/>
            <w:vAlign w:val="center"/>
          </w:tcPr>
          <w:p w14:paraId="683DD3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64B5F5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4C7F4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77C9DF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显影</w:t>
            </w:r>
          </w:p>
        </w:tc>
        <w:tc>
          <w:tcPr>
            <w:tcW w:w="1685" w:type="dxa"/>
            <w:vAlign w:val="center"/>
          </w:tcPr>
          <w:p w14:paraId="2753E7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76E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A6A13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BF61CD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2BD7A94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128</w:t>
            </w:r>
          </w:p>
        </w:tc>
        <w:tc>
          <w:tcPr>
            <w:tcW w:w="2168" w:type="dxa"/>
            <w:vAlign w:val="center"/>
          </w:tcPr>
          <w:p w14:paraId="37F6862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雕刻机</w:t>
            </w:r>
          </w:p>
        </w:tc>
        <w:tc>
          <w:tcPr>
            <w:tcW w:w="2534" w:type="dxa"/>
            <w:vAlign w:val="center"/>
          </w:tcPr>
          <w:p w14:paraId="254716C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4600*2000* 1800</w:t>
            </w:r>
          </w:p>
        </w:tc>
        <w:tc>
          <w:tcPr>
            <w:tcW w:w="699" w:type="dxa"/>
            <w:shd w:val="clear" w:color="auto" w:fill="auto"/>
            <w:vAlign w:val="center"/>
          </w:tcPr>
          <w:p w14:paraId="6F326E8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343708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D4B36E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75948E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雕刻</w:t>
            </w:r>
          </w:p>
        </w:tc>
        <w:tc>
          <w:tcPr>
            <w:tcW w:w="1685" w:type="dxa"/>
            <w:vAlign w:val="center"/>
          </w:tcPr>
          <w:p w14:paraId="3F63CC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188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38981D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04214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AC96B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129</w:t>
            </w:r>
          </w:p>
        </w:tc>
        <w:tc>
          <w:tcPr>
            <w:tcW w:w="2168" w:type="dxa"/>
            <w:vAlign w:val="center"/>
          </w:tcPr>
          <w:p w14:paraId="448A2EB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干燥架</w:t>
            </w:r>
          </w:p>
        </w:tc>
        <w:tc>
          <w:tcPr>
            <w:tcW w:w="2534" w:type="dxa"/>
            <w:vAlign w:val="center"/>
          </w:tcPr>
          <w:p w14:paraId="02018F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029CD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73FA0F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72A07A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3EA3F3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干燥</w:t>
            </w:r>
          </w:p>
        </w:tc>
        <w:tc>
          <w:tcPr>
            <w:tcW w:w="1685" w:type="dxa"/>
            <w:vAlign w:val="center"/>
          </w:tcPr>
          <w:p w14:paraId="00101B5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5685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9E61B2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4A0B43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6C9B87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130</w:t>
            </w:r>
          </w:p>
        </w:tc>
        <w:tc>
          <w:tcPr>
            <w:tcW w:w="2168" w:type="dxa"/>
            <w:vAlign w:val="center"/>
          </w:tcPr>
          <w:p w14:paraId="73FE40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挂胶机</w:t>
            </w:r>
          </w:p>
        </w:tc>
        <w:tc>
          <w:tcPr>
            <w:tcW w:w="2534" w:type="dxa"/>
            <w:vAlign w:val="center"/>
          </w:tcPr>
          <w:p w14:paraId="55D5483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4600* 1800*3300</w:t>
            </w:r>
          </w:p>
        </w:tc>
        <w:tc>
          <w:tcPr>
            <w:tcW w:w="699" w:type="dxa"/>
            <w:shd w:val="clear" w:color="auto" w:fill="auto"/>
            <w:vAlign w:val="center"/>
          </w:tcPr>
          <w:p w14:paraId="1B07613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6E189E4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1DA07D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5C79F6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挂胶</w:t>
            </w:r>
          </w:p>
        </w:tc>
        <w:tc>
          <w:tcPr>
            <w:tcW w:w="1685" w:type="dxa"/>
            <w:vAlign w:val="center"/>
          </w:tcPr>
          <w:p w14:paraId="30BA99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E4E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797F15F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22E9367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379C2D8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131</w:t>
            </w:r>
          </w:p>
        </w:tc>
        <w:tc>
          <w:tcPr>
            <w:tcW w:w="2168" w:type="dxa"/>
            <w:vAlign w:val="center"/>
          </w:tcPr>
          <w:p w14:paraId="183AA4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超声波清洗机</w:t>
            </w:r>
          </w:p>
        </w:tc>
        <w:tc>
          <w:tcPr>
            <w:tcW w:w="2534" w:type="dxa"/>
            <w:vAlign w:val="center"/>
          </w:tcPr>
          <w:p w14:paraId="550924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3800* 1600* 1500</w:t>
            </w:r>
          </w:p>
        </w:tc>
        <w:tc>
          <w:tcPr>
            <w:tcW w:w="699" w:type="dxa"/>
            <w:shd w:val="clear" w:color="auto" w:fill="auto"/>
            <w:vAlign w:val="center"/>
          </w:tcPr>
          <w:p w14:paraId="04A1CA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22F02E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2C5FF3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0C890A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超声波清洗</w:t>
            </w:r>
          </w:p>
        </w:tc>
        <w:tc>
          <w:tcPr>
            <w:tcW w:w="1685" w:type="dxa"/>
            <w:vAlign w:val="center"/>
          </w:tcPr>
          <w:p w14:paraId="68947B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63E4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2B8EFA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04BFE65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151476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132</w:t>
            </w:r>
          </w:p>
        </w:tc>
        <w:tc>
          <w:tcPr>
            <w:tcW w:w="2168" w:type="dxa"/>
            <w:vAlign w:val="center"/>
          </w:tcPr>
          <w:p w14:paraId="5A021C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镀铬槽</w:t>
            </w:r>
          </w:p>
        </w:tc>
        <w:tc>
          <w:tcPr>
            <w:tcW w:w="2534" w:type="dxa"/>
            <w:vAlign w:val="center"/>
          </w:tcPr>
          <w:p w14:paraId="15C4FD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6000*3000*3300</w:t>
            </w:r>
          </w:p>
        </w:tc>
        <w:tc>
          <w:tcPr>
            <w:tcW w:w="699" w:type="dxa"/>
            <w:shd w:val="clear" w:color="auto" w:fill="auto"/>
            <w:vAlign w:val="center"/>
          </w:tcPr>
          <w:p w14:paraId="58CBA93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264888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6F5380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1666573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镀铬</w:t>
            </w:r>
          </w:p>
        </w:tc>
        <w:tc>
          <w:tcPr>
            <w:tcW w:w="1685" w:type="dxa"/>
            <w:vAlign w:val="center"/>
          </w:tcPr>
          <w:p w14:paraId="6D34D5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727F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420E1A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2DA02C4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07F5A14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133</w:t>
            </w:r>
          </w:p>
        </w:tc>
        <w:tc>
          <w:tcPr>
            <w:tcW w:w="2168" w:type="dxa"/>
            <w:vAlign w:val="center"/>
          </w:tcPr>
          <w:p w14:paraId="416888C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铬抛机</w:t>
            </w:r>
          </w:p>
        </w:tc>
        <w:tc>
          <w:tcPr>
            <w:tcW w:w="2534" w:type="dxa"/>
            <w:vAlign w:val="center"/>
          </w:tcPr>
          <w:p w14:paraId="173292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245C3CE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4B9A283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57CCED6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BCC1F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铬抛</w:t>
            </w:r>
          </w:p>
        </w:tc>
        <w:tc>
          <w:tcPr>
            <w:tcW w:w="1685" w:type="dxa"/>
            <w:vAlign w:val="center"/>
          </w:tcPr>
          <w:p w14:paraId="47DE2C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521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89" w:type="dxa"/>
            <w:vMerge w:val="continue"/>
            <w:vAlign w:val="center"/>
          </w:tcPr>
          <w:p w14:paraId="5DDC6A3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931" w:type="dxa"/>
            <w:vMerge w:val="continue"/>
            <w:vAlign w:val="center"/>
          </w:tcPr>
          <w:p w14:paraId="3CCDCF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2" w:type="dxa"/>
            <w:shd w:val="clear" w:color="auto" w:fill="auto"/>
            <w:vAlign w:val="center"/>
          </w:tcPr>
          <w:p w14:paraId="53B8B36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134</w:t>
            </w:r>
          </w:p>
        </w:tc>
        <w:tc>
          <w:tcPr>
            <w:tcW w:w="2168" w:type="dxa"/>
            <w:vAlign w:val="center"/>
          </w:tcPr>
          <w:p w14:paraId="2897EC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卸版工位</w:t>
            </w:r>
          </w:p>
        </w:tc>
        <w:tc>
          <w:tcPr>
            <w:tcW w:w="2534" w:type="dxa"/>
            <w:vAlign w:val="center"/>
          </w:tcPr>
          <w:p w14:paraId="1FEB07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699" w:type="dxa"/>
            <w:shd w:val="clear" w:color="auto" w:fill="auto"/>
            <w:vAlign w:val="center"/>
          </w:tcPr>
          <w:p w14:paraId="1AE345D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699" w:type="dxa"/>
            <w:shd w:val="clear" w:color="auto" w:fill="auto"/>
            <w:vAlign w:val="center"/>
          </w:tcPr>
          <w:p w14:paraId="52664B4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1</w:t>
            </w:r>
          </w:p>
        </w:tc>
        <w:tc>
          <w:tcPr>
            <w:tcW w:w="703" w:type="dxa"/>
            <w:vAlign w:val="center"/>
          </w:tcPr>
          <w:p w14:paraId="285A7D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0</w:t>
            </w:r>
          </w:p>
        </w:tc>
        <w:tc>
          <w:tcPr>
            <w:tcW w:w="1678" w:type="dxa"/>
            <w:vAlign w:val="center"/>
          </w:tcPr>
          <w:p w14:paraId="21F8EBB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w:t>
            </w:r>
          </w:p>
        </w:tc>
        <w:tc>
          <w:tcPr>
            <w:tcW w:w="1685" w:type="dxa"/>
            <w:vAlign w:val="center"/>
          </w:tcPr>
          <w:p w14:paraId="55C95C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bl>
    <w:p w14:paraId="6F9B6AD1">
      <w:pPr>
        <w:pStyle w:val="26"/>
        <w:bidi w:val="0"/>
        <w:rPr>
          <w:rFonts w:hint="eastAsia"/>
          <w:color w:val="auto"/>
        </w:rPr>
      </w:pPr>
    </w:p>
    <w:p w14:paraId="64DE7242">
      <w:pPr>
        <w:pStyle w:val="26"/>
        <w:bidi w:val="0"/>
        <w:rPr>
          <w:rFonts w:hint="eastAsia"/>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0108422">
      <w:pPr>
        <w:pStyle w:val="4"/>
        <w:bidi w:val="0"/>
        <w:rPr>
          <w:rFonts w:hint="eastAsia"/>
          <w:color w:val="auto"/>
        </w:rPr>
      </w:pPr>
      <w:bookmarkStart w:id="164" w:name="_Toc10491"/>
      <w:bookmarkStart w:id="165" w:name="_Toc31191"/>
      <w:r>
        <w:rPr>
          <w:rFonts w:hint="eastAsia"/>
          <w:color w:val="auto"/>
        </w:rPr>
        <w:t>项目主要原辅材料及理化性质</w:t>
      </w:r>
      <w:bookmarkEnd w:id="164"/>
      <w:bookmarkEnd w:id="165"/>
    </w:p>
    <w:p w14:paraId="66B614D3">
      <w:pPr>
        <w:pStyle w:val="5"/>
        <w:bidi w:val="0"/>
        <w:rPr>
          <w:rFonts w:hint="eastAsia"/>
          <w:color w:val="auto"/>
        </w:rPr>
      </w:pPr>
      <w:r>
        <w:rPr>
          <w:rFonts w:hint="eastAsia"/>
          <w:color w:val="auto"/>
        </w:rPr>
        <w:t>项目原辅材料</w:t>
      </w:r>
    </w:p>
    <w:p w14:paraId="40DD346D">
      <w:pPr>
        <w:rPr>
          <w:rFonts w:hint="eastAsia"/>
          <w:color w:val="auto"/>
        </w:rPr>
      </w:pPr>
      <w:r>
        <w:rPr>
          <w:rFonts w:hint="eastAsia"/>
          <w:color w:val="auto"/>
        </w:rPr>
        <w:t>本项目主要原辅材料用量见</w:t>
      </w:r>
      <w:r>
        <w:rPr>
          <w:rFonts w:hint="eastAsia"/>
          <w:color w:val="auto"/>
        </w:rPr>
        <w:fldChar w:fldCharType="begin"/>
      </w:r>
      <w:r>
        <w:rPr>
          <w:rFonts w:hint="eastAsia"/>
          <w:color w:val="auto"/>
        </w:rPr>
        <w:instrText xml:space="preserve"> REF _Ref25836 \h </w:instrText>
      </w:r>
      <w:r>
        <w:rPr>
          <w:rFonts w:hint="eastAsia"/>
          <w:color w:val="auto"/>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4.1</w:t>
      </w:r>
      <w:r>
        <w:rPr>
          <w:color w:val="auto"/>
        </w:rPr>
        <w:fldChar w:fldCharType="end"/>
      </w:r>
      <w:r>
        <w:rPr>
          <w:color w:val="auto"/>
        </w:rPr>
        <w:noBreakHyphen/>
      </w:r>
      <w:r>
        <w:rPr>
          <w:color w:val="auto"/>
        </w:rPr>
        <w:t>9</w:t>
      </w:r>
      <w:r>
        <w:rPr>
          <w:rFonts w:hint="eastAsia"/>
          <w:color w:val="auto"/>
        </w:rPr>
        <w:fldChar w:fldCharType="end"/>
      </w:r>
      <w:r>
        <w:rPr>
          <w:rFonts w:hint="eastAsia"/>
          <w:color w:val="auto"/>
        </w:rPr>
        <w:t>。</w:t>
      </w:r>
    </w:p>
    <w:p w14:paraId="5E832ED8">
      <w:pPr>
        <w:pStyle w:val="25"/>
        <w:bidi w:val="0"/>
        <w:rPr>
          <w:rFonts w:hint="eastAsia"/>
          <w:color w:val="auto"/>
        </w:rPr>
      </w:pPr>
      <w:bookmarkStart w:id="166" w:name="_Ref25836"/>
      <w:r>
        <w:rPr>
          <w:color w:val="auto"/>
        </w:rPr>
        <w:t>表</w:t>
      </w:r>
      <w:r>
        <w:rPr>
          <w:color w:val="auto"/>
        </w:rPr>
        <w:fldChar w:fldCharType="begin"/>
      </w:r>
      <w:r>
        <w:rPr>
          <w:color w:val="auto"/>
        </w:rPr>
        <w:instrText xml:space="preserve"> STYLEREF 2 \s </w:instrText>
      </w:r>
      <w:r>
        <w:rPr>
          <w:color w:val="auto"/>
        </w:rPr>
        <w:fldChar w:fldCharType="separate"/>
      </w:r>
      <w:r>
        <w:rPr>
          <w:color w:val="auto"/>
        </w:rPr>
        <w:t>4.1</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9</w:t>
      </w:r>
      <w:r>
        <w:rPr>
          <w:color w:val="auto"/>
        </w:rPr>
        <w:fldChar w:fldCharType="end"/>
      </w:r>
      <w:r>
        <w:rPr>
          <w:rFonts w:hint="eastAsia"/>
          <w:color w:val="auto"/>
          <w:lang w:val="en-US" w:eastAsia="zh-CN"/>
        </w:rPr>
        <w:t>本项目</w:t>
      </w:r>
      <w:r>
        <w:rPr>
          <w:rFonts w:hint="eastAsia"/>
          <w:color w:val="auto"/>
        </w:rPr>
        <w:t>生产主要原辅材料消耗</w:t>
      </w:r>
    </w:p>
    <w:tbl>
      <w:tblPr>
        <w:tblStyle w:val="19"/>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5"/>
        <w:gridCol w:w="1467"/>
        <w:gridCol w:w="1467"/>
        <w:gridCol w:w="2472"/>
        <w:gridCol w:w="1083"/>
        <w:gridCol w:w="1467"/>
        <w:gridCol w:w="1634"/>
        <w:gridCol w:w="1368"/>
        <w:gridCol w:w="1143"/>
        <w:gridCol w:w="1028"/>
      </w:tblGrid>
      <w:tr w14:paraId="295D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2" w:type="pct"/>
            <w:vAlign w:val="center"/>
          </w:tcPr>
          <w:p w14:paraId="1BF46FEC">
            <w:pPr>
              <w:pStyle w:val="36"/>
              <w:bidi w:val="0"/>
              <w:rPr>
                <w:rFonts w:hint="eastAsia"/>
                <w:lang w:eastAsia="zh-CN"/>
              </w:rPr>
            </w:pPr>
            <w:r>
              <w:rPr>
                <w:rFonts w:hint="eastAsia"/>
                <w:lang w:val="en-US" w:eastAsia="zh-CN"/>
              </w:rPr>
              <w:t>序号</w:t>
            </w:r>
          </w:p>
        </w:tc>
        <w:tc>
          <w:tcPr>
            <w:tcW w:w="520" w:type="pct"/>
            <w:vAlign w:val="center"/>
          </w:tcPr>
          <w:p w14:paraId="73E236FE">
            <w:pPr>
              <w:pStyle w:val="36"/>
              <w:bidi w:val="0"/>
              <w:rPr>
                <w:rFonts w:hint="default" w:eastAsia="仿宋_GB2312"/>
                <w:lang w:val="en-US" w:eastAsia="zh-CN"/>
              </w:rPr>
            </w:pPr>
            <w:r>
              <w:rPr>
                <w:rFonts w:hint="eastAsia"/>
                <w:lang w:val="en-US" w:eastAsia="zh-CN"/>
              </w:rPr>
              <w:t>使用产品线</w:t>
            </w:r>
          </w:p>
        </w:tc>
        <w:tc>
          <w:tcPr>
            <w:tcW w:w="520" w:type="pct"/>
            <w:vAlign w:val="center"/>
          </w:tcPr>
          <w:p w14:paraId="3DAA31FC">
            <w:pPr>
              <w:pStyle w:val="36"/>
              <w:bidi w:val="0"/>
              <w:rPr>
                <w:rFonts w:hint="eastAsia"/>
              </w:rPr>
            </w:pPr>
            <w:r>
              <w:rPr>
                <w:rFonts w:hint="eastAsia"/>
              </w:rPr>
              <w:t>名称</w:t>
            </w:r>
          </w:p>
        </w:tc>
        <w:tc>
          <w:tcPr>
            <w:tcW w:w="876" w:type="pct"/>
            <w:vAlign w:val="center"/>
          </w:tcPr>
          <w:p w14:paraId="7ECF2176">
            <w:pPr>
              <w:pStyle w:val="36"/>
              <w:bidi w:val="0"/>
              <w:rPr>
                <w:rFonts w:hint="eastAsia"/>
              </w:rPr>
            </w:pPr>
            <w:r>
              <w:rPr>
                <w:rFonts w:hint="eastAsia"/>
              </w:rPr>
              <w:t>重要组分、规格</w:t>
            </w:r>
          </w:p>
        </w:tc>
        <w:tc>
          <w:tcPr>
            <w:tcW w:w="384" w:type="pct"/>
            <w:vAlign w:val="center"/>
          </w:tcPr>
          <w:p w14:paraId="2E428B23">
            <w:pPr>
              <w:pStyle w:val="36"/>
              <w:bidi w:val="0"/>
              <w:rPr>
                <w:rFonts w:hint="eastAsia"/>
                <w:lang w:val="en-US" w:eastAsia="zh-CN"/>
              </w:rPr>
            </w:pPr>
            <w:r>
              <w:rPr>
                <w:rFonts w:hint="eastAsia"/>
                <w:lang w:val="en-US" w:eastAsia="zh-CN"/>
              </w:rPr>
              <w:t>性质</w:t>
            </w:r>
          </w:p>
        </w:tc>
        <w:tc>
          <w:tcPr>
            <w:tcW w:w="520" w:type="pct"/>
            <w:vAlign w:val="center"/>
          </w:tcPr>
          <w:p w14:paraId="6ADCBA05">
            <w:pPr>
              <w:pStyle w:val="36"/>
              <w:bidi w:val="0"/>
              <w:rPr>
                <w:rFonts w:hint="eastAsia"/>
                <w:lang w:eastAsia="zh-CN"/>
              </w:rPr>
            </w:pPr>
            <w:r>
              <w:rPr>
                <w:rFonts w:hint="eastAsia"/>
              </w:rPr>
              <w:t>年耗量</w:t>
            </w:r>
            <w:r>
              <w:rPr>
                <w:rFonts w:hint="eastAsia"/>
                <w:lang w:eastAsia="zh-CN"/>
              </w:rPr>
              <w:t>（</w:t>
            </w:r>
            <w:r>
              <w:rPr>
                <w:rFonts w:hint="eastAsia"/>
                <w:lang w:val="en-US" w:eastAsia="zh-CN"/>
              </w:rPr>
              <w:t>t/a</w:t>
            </w:r>
            <w:r>
              <w:rPr>
                <w:rFonts w:hint="eastAsia"/>
                <w:lang w:eastAsia="zh-CN"/>
              </w:rPr>
              <w:t>）</w:t>
            </w:r>
          </w:p>
        </w:tc>
        <w:tc>
          <w:tcPr>
            <w:tcW w:w="579" w:type="pct"/>
            <w:vAlign w:val="center"/>
          </w:tcPr>
          <w:p w14:paraId="24F613B8">
            <w:pPr>
              <w:pStyle w:val="36"/>
              <w:bidi w:val="0"/>
              <w:rPr>
                <w:rFonts w:hint="eastAsia"/>
              </w:rPr>
            </w:pPr>
            <w:r>
              <w:rPr>
                <w:rFonts w:hint="eastAsia"/>
              </w:rPr>
              <w:t>储存方式</w:t>
            </w:r>
          </w:p>
        </w:tc>
        <w:tc>
          <w:tcPr>
            <w:tcW w:w="485" w:type="pct"/>
            <w:vAlign w:val="center"/>
          </w:tcPr>
          <w:p w14:paraId="0B7DF094">
            <w:pPr>
              <w:pStyle w:val="36"/>
              <w:bidi w:val="0"/>
              <w:rPr>
                <w:rFonts w:hint="eastAsia"/>
                <w:lang w:eastAsia="zh-CN"/>
              </w:rPr>
            </w:pPr>
            <w:r>
              <w:rPr>
                <w:rFonts w:hint="eastAsia"/>
              </w:rPr>
              <w:t>最大贮存量</w:t>
            </w:r>
            <w:r>
              <w:rPr>
                <w:rFonts w:hint="eastAsia"/>
                <w:lang w:val="en-US" w:eastAsia="zh-CN"/>
              </w:rPr>
              <w:t>t</w:t>
            </w:r>
          </w:p>
        </w:tc>
        <w:tc>
          <w:tcPr>
            <w:tcW w:w="405" w:type="pct"/>
            <w:vAlign w:val="center"/>
          </w:tcPr>
          <w:p w14:paraId="4E75B9D6">
            <w:pPr>
              <w:pStyle w:val="36"/>
              <w:bidi w:val="0"/>
              <w:rPr>
                <w:rFonts w:hint="eastAsia"/>
                <w:lang w:val="en-US" w:eastAsia="zh-CN"/>
              </w:rPr>
            </w:pPr>
            <w:r>
              <w:rPr>
                <w:rFonts w:hint="eastAsia"/>
                <w:lang w:val="en-US" w:eastAsia="zh-CN"/>
              </w:rPr>
              <w:t>贮存位置</w:t>
            </w:r>
          </w:p>
        </w:tc>
        <w:tc>
          <w:tcPr>
            <w:tcW w:w="364" w:type="pct"/>
            <w:vAlign w:val="center"/>
          </w:tcPr>
          <w:p w14:paraId="323C8D3B">
            <w:pPr>
              <w:pStyle w:val="36"/>
              <w:bidi w:val="0"/>
              <w:rPr>
                <w:rFonts w:hint="eastAsia"/>
              </w:rPr>
            </w:pPr>
            <w:r>
              <w:rPr>
                <w:rFonts w:hint="eastAsia"/>
                <w:lang w:val="en-US" w:eastAsia="zh-CN"/>
              </w:rPr>
              <w:t>工序</w:t>
            </w:r>
            <w:r>
              <w:rPr>
                <w:rFonts w:hint="eastAsia"/>
              </w:rPr>
              <w:t>用途</w:t>
            </w:r>
          </w:p>
        </w:tc>
      </w:tr>
      <w:tr w14:paraId="7D51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3EED4179">
            <w:pPr>
              <w:widowControl w:val="0"/>
              <w:bidi w:val="0"/>
              <w:adjustRightInd w:val="0"/>
              <w:snapToGrid w:val="0"/>
              <w:spacing w:line="240" w:lineRule="auto"/>
              <w:ind w:firstLine="0" w:firstLineChars="0"/>
              <w:jc w:val="center"/>
              <w:rPr>
                <w:rFonts w:hint="eastAsia"/>
              </w:rPr>
            </w:pPr>
            <w:r>
              <w:rPr>
                <w:rFonts w:hint="eastAsia" w:cs="Times New Roman"/>
                <w:color w:val="000000"/>
                <w:spacing w:val="-11"/>
                <w:kern w:val="0"/>
                <w:sz w:val="21"/>
                <w:szCs w:val="21"/>
                <w:lang w:val="en-US" w:eastAsia="zh-CN" w:bidi="ar-SA"/>
              </w:rPr>
              <w:t>1</w:t>
            </w:r>
          </w:p>
        </w:tc>
        <w:tc>
          <w:tcPr>
            <w:tcW w:w="520" w:type="pct"/>
            <w:vMerge w:val="restart"/>
            <w:shd w:val="clear" w:color="auto" w:fill="auto"/>
            <w:vAlign w:val="center"/>
          </w:tcPr>
          <w:p w14:paraId="2027F1AE">
            <w:pPr>
              <w:pStyle w:val="26"/>
              <w:bidi w:val="0"/>
              <w:rPr>
                <w:rFonts w:hint="eastAsia" w:eastAsia="仿宋_GB2312"/>
                <w:lang w:val="en-US" w:eastAsia="zh-CN"/>
              </w:rPr>
            </w:pPr>
            <w:r>
              <w:rPr>
                <w:rFonts w:hint="eastAsia"/>
                <w:lang w:val="en-US" w:eastAsia="zh-CN"/>
              </w:rPr>
              <w:t>凹印版</w:t>
            </w:r>
          </w:p>
        </w:tc>
        <w:tc>
          <w:tcPr>
            <w:tcW w:w="520" w:type="pct"/>
            <w:shd w:val="clear" w:color="auto" w:fill="FFFFFF" w:themeFill="background1"/>
            <w:vAlign w:val="center"/>
          </w:tcPr>
          <w:p w14:paraId="22AB2147">
            <w:pPr>
              <w:pStyle w:val="26"/>
              <w:bidi w:val="0"/>
              <w:rPr>
                <w:rFonts w:hint="eastAsia"/>
                <w:highlight w:val="black"/>
                <w:lang w:val="en-US" w:eastAsia="zh-CN"/>
              </w:rPr>
            </w:pPr>
            <w:r>
              <w:rPr>
                <w:rFonts w:hint="eastAsia"/>
                <w:highlight w:val="black"/>
              </w:rPr>
              <w:t>钢板</w:t>
            </w:r>
          </w:p>
        </w:tc>
        <w:tc>
          <w:tcPr>
            <w:tcW w:w="876" w:type="pct"/>
            <w:shd w:val="clear" w:color="auto" w:fill="FFFFFF" w:themeFill="background1"/>
            <w:vAlign w:val="center"/>
          </w:tcPr>
          <w:p w14:paraId="3ABAC78C">
            <w:pPr>
              <w:pStyle w:val="26"/>
              <w:bidi w:val="0"/>
              <w:rPr>
                <w:rFonts w:hint="eastAsia"/>
                <w:highlight w:val="black"/>
                <w:lang w:val="en-US" w:eastAsia="zh-CN"/>
              </w:rPr>
            </w:pPr>
            <w:r>
              <w:rPr>
                <w:rFonts w:hint="eastAsia"/>
                <w:highlight w:val="black"/>
                <w:lang w:val="en-US" w:eastAsia="zh-CN"/>
              </w:rPr>
              <w:t>钢</w:t>
            </w:r>
          </w:p>
        </w:tc>
        <w:tc>
          <w:tcPr>
            <w:tcW w:w="384" w:type="pct"/>
            <w:shd w:val="clear" w:color="auto" w:fill="FFFFFF" w:themeFill="background1"/>
            <w:vAlign w:val="center"/>
          </w:tcPr>
          <w:p w14:paraId="7C5481FC">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1D3CA738">
            <w:pPr>
              <w:pStyle w:val="26"/>
              <w:bidi w:val="0"/>
              <w:rPr>
                <w:rFonts w:hint="eastAsia"/>
                <w:highlight w:val="black"/>
                <w:lang w:val="en-US" w:eastAsia="zh-CN"/>
              </w:rPr>
            </w:pPr>
            <w:r>
              <w:rPr>
                <w:rFonts w:hint="eastAsia"/>
                <w:highlight w:val="black"/>
                <w:lang w:val="en-US" w:eastAsia="zh-CN"/>
              </w:rPr>
              <w:t>1900</w:t>
            </w:r>
          </w:p>
        </w:tc>
        <w:tc>
          <w:tcPr>
            <w:tcW w:w="579" w:type="pct"/>
            <w:shd w:val="clear" w:color="auto" w:fill="FFFFFF" w:themeFill="background1"/>
            <w:vAlign w:val="center"/>
          </w:tcPr>
          <w:p w14:paraId="6DE26BBB">
            <w:pPr>
              <w:pStyle w:val="26"/>
              <w:bidi w:val="0"/>
              <w:rPr>
                <w:rFonts w:hint="eastAsia"/>
                <w:highlight w:val="black"/>
                <w:lang w:val="en-US" w:eastAsia="zh-CN"/>
              </w:rPr>
            </w:pPr>
            <w:r>
              <w:rPr>
                <w:rFonts w:hint="eastAsia"/>
                <w:highlight w:val="black"/>
                <w:lang w:val="en-US" w:eastAsia="zh-CN"/>
              </w:rPr>
              <w:t>5吨/卷</w:t>
            </w:r>
          </w:p>
        </w:tc>
        <w:tc>
          <w:tcPr>
            <w:tcW w:w="485" w:type="pct"/>
            <w:shd w:val="clear" w:color="auto" w:fill="FFFFFF" w:themeFill="background1"/>
            <w:vAlign w:val="center"/>
          </w:tcPr>
          <w:p w14:paraId="3C04F090">
            <w:pPr>
              <w:pStyle w:val="26"/>
              <w:bidi w:val="0"/>
              <w:rPr>
                <w:rFonts w:hint="eastAsia"/>
                <w:highlight w:val="black"/>
                <w:lang w:val="en-US" w:eastAsia="zh-CN"/>
              </w:rPr>
            </w:pPr>
            <w:r>
              <w:rPr>
                <w:rFonts w:hint="eastAsia"/>
                <w:highlight w:val="black"/>
              </w:rPr>
              <w:t>60</w:t>
            </w:r>
          </w:p>
        </w:tc>
        <w:tc>
          <w:tcPr>
            <w:tcW w:w="405" w:type="pct"/>
            <w:vMerge w:val="restart"/>
            <w:shd w:val="clear" w:color="auto" w:fill="FFFFFF" w:themeFill="background1"/>
            <w:vAlign w:val="center"/>
          </w:tcPr>
          <w:p w14:paraId="23757BF8">
            <w:pPr>
              <w:pStyle w:val="26"/>
              <w:bidi w:val="0"/>
              <w:rPr>
                <w:rFonts w:hint="eastAsia"/>
                <w:highlight w:val="black"/>
                <w:lang w:val="en-US" w:eastAsia="zh-CN"/>
              </w:rPr>
            </w:pPr>
            <w:r>
              <w:rPr>
                <w:rFonts w:hint="eastAsia"/>
                <w:highlight w:val="black"/>
                <w:lang w:val="en-US" w:eastAsia="zh-CN"/>
              </w:rPr>
              <w:t>钢材料库</w:t>
            </w:r>
          </w:p>
        </w:tc>
        <w:tc>
          <w:tcPr>
            <w:tcW w:w="364" w:type="pct"/>
            <w:shd w:val="clear" w:color="auto" w:fill="FFFFFF" w:themeFill="background1"/>
            <w:vAlign w:val="center"/>
          </w:tcPr>
          <w:p w14:paraId="191444F5">
            <w:pPr>
              <w:pStyle w:val="26"/>
              <w:bidi w:val="0"/>
              <w:rPr>
                <w:rFonts w:hint="eastAsia"/>
                <w:highlight w:val="black"/>
                <w:lang w:val="en-US" w:eastAsia="zh-CN"/>
              </w:rPr>
            </w:pPr>
            <w:r>
              <w:rPr>
                <w:rFonts w:hint="eastAsia"/>
                <w:highlight w:val="black"/>
              </w:rPr>
              <w:t>机加工</w:t>
            </w:r>
          </w:p>
        </w:tc>
      </w:tr>
      <w:tr w14:paraId="7FDD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4743E2EB">
            <w:pPr>
              <w:widowControl w:val="0"/>
              <w:bidi w:val="0"/>
              <w:adjustRightInd w:val="0"/>
              <w:snapToGrid w:val="0"/>
              <w:spacing w:line="240" w:lineRule="auto"/>
              <w:ind w:firstLine="0" w:firstLineChars="0"/>
              <w:jc w:val="center"/>
              <w:rPr>
                <w:rFonts w:hint="eastAsia"/>
              </w:rPr>
            </w:pPr>
            <w:r>
              <w:rPr>
                <w:rFonts w:hint="eastAsia" w:cs="Times New Roman"/>
                <w:color w:val="000000"/>
                <w:spacing w:val="-11"/>
                <w:kern w:val="0"/>
                <w:sz w:val="21"/>
                <w:szCs w:val="21"/>
                <w:lang w:val="en-US" w:eastAsia="zh-CN" w:bidi="ar-SA"/>
              </w:rPr>
              <w:t>2</w:t>
            </w:r>
          </w:p>
        </w:tc>
        <w:tc>
          <w:tcPr>
            <w:tcW w:w="520" w:type="pct"/>
            <w:vMerge w:val="continue"/>
            <w:shd w:val="clear" w:color="auto" w:fill="auto"/>
            <w:vAlign w:val="center"/>
          </w:tcPr>
          <w:p w14:paraId="6564C1AB">
            <w:pPr>
              <w:pStyle w:val="26"/>
              <w:bidi w:val="0"/>
              <w:rPr>
                <w:rFonts w:hint="eastAsia"/>
              </w:rPr>
            </w:pPr>
          </w:p>
        </w:tc>
        <w:tc>
          <w:tcPr>
            <w:tcW w:w="520" w:type="pct"/>
            <w:shd w:val="clear" w:color="auto" w:fill="FFFFFF" w:themeFill="background1"/>
            <w:vAlign w:val="center"/>
          </w:tcPr>
          <w:p w14:paraId="10CC7372">
            <w:pPr>
              <w:pStyle w:val="26"/>
              <w:bidi w:val="0"/>
              <w:rPr>
                <w:rFonts w:hint="eastAsia"/>
                <w:highlight w:val="black"/>
                <w:lang w:val="en-US" w:eastAsia="zh-CN"/>
              </w:rPr>
            </w:pPr>
            <w:r>
              <w:rPr>
                <w:rFonts w:hint="eastAsia"/>
                <w:highlight w:val="black"/>
              </w:rPr>
              <w:t>钢管</w:t>
            </w:r>
          </w:p>
        </w:tc>
        <w:tc>
          <w:tcPr>
            <w:tcW w:w="876" w:type="pct"/>
            <w:shd w:val="clear" w:color="auto" w:fill="FFFFFF" w:themeFill="background1"/>
            <w:vAlign w:val="center"/>
          </w:tcPr>
          <w:p w14:paraId="64E8FE4B">
            <w:pPr>
              <w:pStyle w:val="26"/>
              <w:bidi w:val="0"/>
              <w:rPr>
                <w:rFonts w:hint="eastAsia"/>
                <w:highlight w:val="black"/>
                <w:lang w:val="en-US" w:eastAsia="zh-CN"/>
              </w:rPr>
            </w:pPr>
            <w:r>
              <w:rPr>
                <w:rFonts w:hint="eastAsia"/>
                <w:highlight w:val="black"/>
                <w:lang w:val="en-US" w:eastAsia="zh-CN"/>
              </w:rPr>
              <w:t>钢</w:t>
            </w:r>
          </w:p>
        </w:tc>
        <w:tc>
          <w:tcPr>
            <w:tcW w:w="384" w:type="pct"/>
            <w:shd w:val="clear" w:color="auto" w:fill="FFFFFF" w:themeFill="background1"/>
            <w:vAlign w:val="center"/>
          </w:tcPr>
          <w:p w14:paraId="737573CD">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1B814197">
            <w:pPr>
              <w:pStyle w:val="26"/>
              <w:bidi w:val="0"/>
              <w:rPr>
                <w:rFonts w:hint="eastAsia"/>
                <w:highlight w:val="black"/>
                <w:lang w:val="en-US" w:eastAsia="zh-CN"/>
              </w:rPr>
            </w:pPr>
            <w:r>
              <w:rPr>
                <w:rFonts w:hint="eastAsia"/>
                <w:highlight w:val="black"/>
                <w:lang w:val="en-US" w:eastAsia="zh-CN"/>
              </w:rPr>
              <w:t>2000</w:t>
            </w:r>
          </w:p>
        </w:tc>
        <w:tc>
          <w:tcPr>
            <w:tcW w:w="579" w:type="pct"/>
            <w:shd w:val="clear" w:color="auto" w:fill="FFFFFF" w:themeFill="background1"/>
            <w:vAlign w:val="center"/>
          </w:tcPr>
          <w:p w14:paraId="53377625">
            <w:pPr>
              <w:pStyle w:val="26"/>
              <w:bidi w:val="0"/>
              <w:rPr>
                <w:rFonts w:hint="eastAsia"/>
                <w:highlight w:val="black"/>
                <w:lang w:val="en-US" w:eastAsia="zh-CN"/>
              </w:rPr>
            </w:pPr>
            <w:r>
              <w:rPr>
                <w:rFonts w:hint="eastAsia"/>
                <w:highlight w:val="black"/>
              </w:rPr>
              <w:t>1t/包</w:t>
            </w:r>
          </w:p>
        </w:tc>
        <w:tc>
          <w:tcPr>
            <w:tcW w:w="485" w:type="pct"/>
            <w:shd w:val="clear" w:color="auto" w:fill="FFFFFF" w:themeFill="background1"/>
            <w:vAlign w:val="center"/>
          </w:tcPr>
          <w:p w14:paraId="1D0AFE93">
            <w:pPr>
              <w:pStyle w:val="26"/>
              <w:bidi w:val="0"/>
              <w:rPr>
                <w:rFonts w:hint="eastAsia"/>
                <w:highlight w:val="black"/>
                <w:lang w:val="en-US" w:eastAsia="zh-CN"/>
              </w:rPr>
            </w:pPr>
            <w:r>
              <w:rPr>
                <w:rFonts w:hint="eastAsia"/>
                <w:highlight w:val="black"/>
              </w:rPr>
              <w:t>60</w:t>
            </w:r>
          </w:p>
        </w:tc>
        <w:tc>
          <w:tcPr>
            <w:tcW w:w="405" w:type="pct"/>
            <w:vMerge w:val="continue"/>
            <w:shd w:val="clear" w:color="auto" w:fill="FFFFFF" w:themeFill="background1"/>
            <w:vAlign w:val="center"/>
          </w:tcPr>
          <w:p w14:paraId="0B2FF0BF">
            <w:pPr>
              <w:pStyle w:val="26"/>
              <w:bidi w:val="0"/>
              <w:rPr>
                <w:rFonts w:hint="eastAsia"/>
                <w:highlight w:val="black"/>
              </w:rPr>
            </w:pPr>
          </w:p>
        </w:tc>
        <w:tc>
          <w:tcPr>
            <w:tcW w:w="364" w:type="pct"/>
            <w:shd w:val="clear" w:color="auto" w:fill="FFFFFF" w:themeFill="background1"/>
            <w:vAlign w:val="center"/>
          </w:tcPr>
          <w:p w14:paraId="6409D6AE">
            <w:pPr>
              <w:pStyle w:val="26"/>
              <w:bidi w:val="0"/>
              <w:rPr>
                <w:rFonts w:hint="eastAsia"/>
                <w:highlight w:val="black"/>
                <w:lang w:val="en-US" w:eastAsia="zh-CN"/>
              </w:rPr>
            </w:pPr>
            <w:r>
              <w:rPr>
                <w:rFonts w:hint="eastAsia"/>
                <w:highlight w:val="black"/>
              </w:rPr>
              <w:t>机加工</w:t>
            </w:r>
          </w:p>
        </w:tc>
      </w:tr>
      <w:tr w14:paraId="31F4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31E2C832">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w:t>
            </w:r>
          </w:p>
        </w:tc>
        <w:tc>
          <w:tcPr>
            <w:tcW w:w="520" w:type="pct"/>
            <w:vMerge w:val="continue"/>
            <w:shd w:val="clear" w:color="auto" w:fill="auto"/>
            <w:vAlign w:val="center"/>
          </w:tcPr>
          <w:p w14:paraId="4982BDAD">
            <w:pPr>
              <w:pStyle w:val="26"/>
              <w:bidi w:val="0"/>
              <w:rPr>
                <w:rFonts w:hint="eastAsia"/>
              </w:rPr>
            </w:pPr>
          </w:p>
        </w:tc>
        <w:tc>
          <w:tcPr>
            <w:tcW w:w="520" w:type="pct"/>
            <w:shd w:val="clear" w:color="auto" w:fill="FFFFFF" w:themeFill="background1"/>
            <w:vAlign w:val="center"/>
          </w:tcPr>
          <w:p w14:paraId="0A438D71">
            <w:pPr>
              <w:pStyle w:val="26"/>
              <w:bidi w:val="0"/>
              <w:rPr>
                <w:rFonts w:hint="eastAsia"/>
                <w:highlight w:val="black"/>
                <w:lang w:val="en-US" w:eastAsia="zh-CN"/>
              </w:rPr>
            </w:pPr>
            <w:r>
              <w:rPr>
                <w:rFonts w:hint="eastAsia"/>
                <w:highlight w:val="black"/>
              </w:rPr>
              <w:t>堵头</w:t>
            </w:r>
          </w:p>
        </w:tc>
        <w:tc>
          <w:tcPr>
            <w:tcW w:w="876" w:type="pct"/>
            <w:shd w:val="clear" w:color="auto" w:fill="FFFFFF" w:themeFill="background1"/>
            <w:vAlign w:val="center"/>
          </w:tcPr>
          <w:p w14:paraId="51CC40B2">
            <w:pPr>
              <w:pStyle w:val="26"/>
              <w:bidi w:val="0"/>
              <w:rPr>
                <w:rFonts w:hint="eastAsia"/>
                <w:highlight w:val="black"/>
                <w:lang w:val="en-US" w:eastAsia="zh-CN"/>
              </w:rPr>
            </w:pPr>
            <w:r>
              <w:rPr>
                <w:rFonts w:hint="eastAsia"/>
                <w:highlight w:val="black"/>
                <w:lang w:val="en-US" w:eastAsia="zh-CN"/>
              </w:rPr>
              <w:t>金属件</w:t>
            </w:r>
          </w:p>
        </w:tc>
        <w:tc>
          <w:tcPr>
            <w:tcW w:w="384" w:type="pct"/>
            <w:shd w:val="clear" w:color="auto" w:fill="FFFFFF" w:themeFill="background1"/>
            <w:vAlign w:val="center"/>
          </w:tcPr>
          <w:p w14:paraId="7B5250EE">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5071509E">
            <w:pPr>
              <w:pStyle w:val="26"/>
              <w:bidi w:val="0"/>
              <w:rPr>
                <w:rFonts w:hint="eastAsia"/>
                <w:highlight w:val="black"/>
                <w:lang w:val="en-US" w:eastAsia="zh-CN"/>
              </w:rPr>
            </w:pPr>
            <w:r>
              <w:rPr>
                <w:rFonts w:hint="eastAsia"/>
                <w:highlight w:val="black"/>
                <w:lang w:val="en-US" w:eastAsia="zh-CN"/>
              </w:rPr>
              <w:t>1100</w:t>
            </w:r>
          </w:p>
        </w:tc>
        <w:tc>
          <w:tcPr>
            <w:tcW w:w="579" w:type="pct"/>
            <w:shd w:val="clear" w:color="auto" w:fill="FFFFFF" w:themeFill="background1"/>
            <w:vAlign w:val="center"/>
          </w:tcPr>
          <w:p w14:paraId="3A427EA5">
            <w:pPr>
              <w:pStyle w:val="26"/>
              <w:bidi w:val="0"/>
              <w:rPr>
                <w:rFonts w:hint="eastAsia"/>
                <w:highlight w:val="black"/>
                <w:lang w:val="en-US" w:eastAsia="zh-CN"/>
              </w:rPr>
            </w:pPr>
            <w:r>
              <w:rPr>
                <w:rFonts w:hint="eastAsia"/>
                <w:highlight w:val="black"/>
              </w:rPr>
              <w:t>5kg/片</w:t>
            </w:r>
          </w:p>
        </w:tc>
        <w:tc>
          <w:tcPr>
            <w:tcW w:w="485" w:type="pct"/>
            <w:shd w:val="clear" w:color="auto" w:fill="FFFFFF" w:themeFill="background1"/>
            <w:vAlign w:val="center"/>
          </w:tcPr>
          <w:p w14:paraId="3B61D618">
            <w:pPr>
              <w:pStyle w:val="26"/>
              <w:bidi w:val="0"/>
              <w:rPr>
                <w:rFonts w:hint="eastAsia"/>
                <w:highlight w:val="black"/>
                <w:lang w:val="en-US" w:eastAsia="zh-CN"/>
              </w:rPr>
            </w:pPr>
            <w:r>
              <w:rPr>
                <w:rFonts w:hint="eastAsia"/>
                <w:highlight w:val="black"/>
              </w:rPr>
              <w:t>40</w:t>
            </w:r>
          </w:p>
        </w:tc>
        <w:tc>
          <w:tcPr>
            <w:tcW w:w="405" w:type="pct"/>
            <w:vMerge w:val="continue"/>
            <w:shd w:val="clear" w:color="auto" w:fill="FFFFFF" w:themeFill="background1"/>
            <w:vAlign w:val="center"/>
          </w:tcPr>
          <w:p w14:paraId="625DCF6D">
            <w:pPr>
              <w:pStyle w:val="26"/>
              <w:bidi w:val="0"/>
              <w:rPr>
                <w:rFonts w:hint="eastAsia"/>
                <w:highlight w:val="black"/>
              </w:rPr>
            </w:pPr>
          </w:p>
        </w:tc>
        <w:tc>
          <w:tcPr>
            <w:tcW w:w="364" w:type="pct"/>
            <w:shd w:val="clear" w:color="auto" w:fill="FFFFFF" w:themeFill="background1"/>
            <w:vAlign w:val="center"/>
          </w:tcPr>
          <w:p w14:paraId="1B7542AA">
            <w:pPr>
              <w:pStyle w:val="26"/>
              <w:bidi w:val="0"/>
              <w:rPr>
                <w:rFonts w:hint="eastAsia"/>
                <w:highlight w:val="black"/>
                <w:lang w:val="en-US" w:eastAsia="zh-CN"/>
              </w:rPr>
            </w:pPr>
            <w:r>
              <w:rPr>
                <w:rFonts w:hint="eastAsia"/>
                <w:highlight w:val="black"/>
              </w:rPr>
              <w:t>机加工</w:t>
            </w:r>
          </w:p>
        </w:tc>
      </w:tr>
      <w:tr w14:paraId="077D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7888F7EC">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w:t>
            </w:r>
          </w:p>
        </w:tc>
        <w:tc>
          <w:tcPr>
            <w:tcW w:w="520" w:type="pct"/>
            <w:vMerge w:val="continue"/>
            <w:shd w:val="clear" w:color="auto" w:fill="auto"/>
            <w:vAlign w:val="center"/>
          </w:tcPr>
          <w:p w14:paraId="5A6072F3">
            <w:pPr>
              <w:pStyle w:val="26"/>
              <w:bidi w:val="0"/>
              <w:rPr>
                <w:rFonts w:hint="eastAsia"/>
              </w:rPr>
            </w:pPr>
          </w:p>
        </w:tc>
        <w:tc>
          <w:tcPr>
            <w:tcW w:w="520" w:type="pct"/>
            <w:shd w:val="clear" w:color="auto" w:fill="FFFFFF" w:themeFill="background1"/>
            <w:vAlign w:val="center"/>
          </w:tcPr>
          <w:p w14:paraId="0570667B">
            <w:pPr>
              <w:pStyle w:val="26"/>
              <w:bidi w:val="0"/>
              <w:rPr>
                <w:rFonts w:hint="eastAsia"/>
                <w:highlight w:val="black"/>
                <w:lang w:val="en-US" w:eastAsia="zh-CN"/>
              </w:rPr>
            </w:pPr>
            <w:r>
              <w:rPr>
                <w:rFonts w:hint="eastAsia"/>
                <w:highlight w:val="black"/>
              </w:rPr>
              <w:t>乳化液</w:t>
            </w:r>
          </w:p>
        </w:tc>
        <w:tc>
          <w:tcPr>
            <w:tcW w:w="876" w:type="pct"/>
            <w:shd w:val="clear" w:color="auto" w:fill="FFFFFF" w:themeFill="background1"/>
            <w:vAlign w:val="center"/>
          </w:tcPr>
          <w:p w14:paraId="5CE6095E">
            <w:pPr>
              <w:pStyle w:val="26"/>
              <w:bidi w:val="0"/>
              <w:rPr>
                <w:rFonts w:hint="eastAsia"/>
                <w:highlight w:val="black"/>
                <w:lang w:val="en-US" w:eastAsia="zh-CN"/>
              </w:rPr>
            </w:pPr>
            <w:r>
              <w:rPr>
                <w:rFonts w:hint="eastAsia"/>
                <w:highlight w:val="black"/>
              </w:rPr>
              <w:t>基础油、表面活性剂、防锈添加剂等</w:t>
            </w:r>
          </w:p>
        </w:tc>
        <w:tc>
          <w:tcPr>
            <w:tcW w:w="384" w:type="pct"/>
            <w:shd w:val="clear" w:color="auto" w:fill="FFFFFF" w:themeFill="background1"/>
            <w:vAlign w:val="center"/>
          </w:tcPr>
          <w:p w14:paraId="18D1F1D5">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14AD2BA9">
            <w:pPr>
              <w:pStyle w:val="26"/>
              <w:bidi w:val="0"/>
              <w:rPr>
                <w:rFonts w:hint="eastAsia"/>
                <w:highlight w:val="black"/>
                <w:lang w:val="en-US" w:eastAsia="zh-CN"/>
              </w:rPr>
            </w:pPr>
            <w:r>
              <w:rPr>
                <w:rFonts w:hint="eastAsia"/>
                <w:highlight w:val="black"/>
                <w:lang w:val="en-US" w:eastAsia="zh-CN"/>
              </w:rPr>
              <w:t>16.5</w:t>
            </w:r>
          </w:p>
        </w:tc>
        <w:tc>
          <w:tcPr>
            <w:tcW w:w="579" w:type="pct"/>
            <w:shd w:val="clear" w:color="auto" w:fill="FFFFFF" w:themeFill="background1"/>
            <w:vAlign w:val="center"/>
          </w:tcPr>
          <w:p w14:paraId="36C8B9AC">
            <w:pPr>
              <w:pStyle w:val="26"/>
              <w:bidi w:val="0"/>
              <w:rPr>
                <w:rFonts w:hint="eastAsia"/>
                <w:highlight w:val="black"/>
                <w:lang w:val="en-US" w:eastAsia="zh-CN"/>
              </w:rPr>
            </w:pPr>
            <w:r>
              <w:rPr>
                <w:rFonts w:hint="eastAsia"/>
                <w:highlight w:val="black"/>
                <w:lang w:val="en-US" w:eastAsia="zh-CN"/>
              </w:rPr>
              <w:t>170kg桶</w:t>
            </w:r>
          </w:p>
        </w:tc>
        <w:tc>
          <w:tcPr>
            <w:tcW w:w="485" w:type="pct"/>
            <w:shd w:val="clear" w:color="auto" w:fill="FFFFFF" w:themeFill="background1"/>
            <w:vAlign w:val="center"/>
          </w:tcPr>
          <w:p w14:paraId="7ACDEC5F">
            <w:pPr>
              <w:pStyle w:val="26"/>
              <w:bidi w:val="0"/>
              <w:rPr>
                <w:rFonts w:hint="eastAsia"/>
                <w:highlight w:val="black"/>
                <w:lang w:val="en-US" w:eastAsia="zh-CN"/>
              </w:rPr>
            </w:pPr>
            <w:r>
              <w:rPr>
                <w:rFonts w:hint="eastAsia"/>
                <w:highlight w:val="black"/>
              </w:rPr>
              <w:t>0.34</w:t>
            </w:r>
          </w:p>
        </w:tc>
        <w:tc>
          <w:tcPr>
            <w:tcW w:w="405" w:type="pct"/>
            <w:shd w:val="clear" w:color="auto" w:fill="FFFFFF" w:themeFill="background1"/>
            <w:vAlign w:val="center"/>
          </w:tcPr>
          <w:p w14:paraId="6BD81C67">
            <w:pPr>
              <w:pStyle w:val="26"/>
              <w:bidi w:val="0"/>
              <w:rPr>
                <w:rFonts w:hint="eastAsia"/>
                <w:highlight w:val="black"/>
              </w:rPr>
            </w:pPr>
          </w:p>
        </w:tc>
        <w:tc>
          <w:tcPr>
            <w:tcW w:w="364" w:type="pct"/>
            <w:shd w:val="clear" w:color="auto" w:fill="FFFFFF" w:themeFill="background1"/>
            <w:vAlign w:val="center"/>
          </w:tcPr>
          <w:p w14:paraId="3189F62B">
            <w:pPr>
              <w:pStyle w:val="26"/>
              <w:bidi w:val="0"/>
              <w:rPr>
                <w:rFonts w:hint="eastAsia"/>
                <w:highlight w:val="black"/>
                <w:lang w:val="en-US" w:eastAsia="zh-CN"/>
              </w:rPr>
            </w:pPr>
            <w:r>
              <w:rPr>
                <w:rFonts w:hint="eastAsia"/>
                <w:highlight w:val="black"/>
              </w:rPr>
              <w:t>机加工</w:t>
            </w:r>
          </w:p>
        </w:tc>
      </w:tr>
      <w:tr w14:paraId="73B8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14FF7B89">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5</w:t>
            </w:r>
          </w:p>
        </w:tc>
        <w:tc>
          <w:tcPr>
            <w:tcW w:w="520" w:type="pct"/>
            <w:vMerge w:val="continue"/>
            <w:shd w:val="clear" w:color="auto" w:fill="auto"/>
            <w:vAlign w:val="center"/>
          </w:tcPr>
          <w:p w14:paraId="4AFA3CE9">
            <w:pPr>
              <w:pStyle w:val="26"/>
              <w:bidi w:val="0"/>
              <w:rPr>
                <w:rFonts w:hint="eastAsia"/>
              </w:rPr>
            </w:pPr>
          </w:p>
        </w:tc>
        <w:tc>
          <w:tcPr>
            <w:tcW w:w="520" w:type="pct"/>
            <w:shd w:val="clear" w:color="auto" w:fill="FFFFFF" w:themeFill="background1"/>
            <w:vAlign w:val="center"/>
          </w:tcPr>
          <w:p w14:paraId="1CAE8229">
            <w:pPr>
              <w:pStyle w:val="26"/>
              <w:bidi w:val="0"/>
              <w:rPr>
                <w:rFonts w:hint="eastAsia"/>
                <w:highlight w:val="black"/>
                <w:lang w:val="en-US" w:eastAsia="zh-CN"/>
              </w:rPr>
            </w:pPr>
            <w:r>
              <w:rPr>
                <w:rFonts w:hint="eastAsia"/>
                <w:highlight w:val="black"/>
              </w:rPr>
              <w:t>无铅焊丝</w:t>
            </w:r>
          </w:p>
        </w:tc>
        <w:tc>
          <w:tcPr>
            <w:tcW w:w="876" w:type="pct"/>
            <w:shd w:val="clear" w:color="auto" w:fill="FFFFFF" w:themeFill="background1"/>
            <w:vAlign w:val="center"/>
          </w:tcPr>
          <w:p w14:paraId="5A0AD94B">
            <w:pPr>
              <w:pStyle w:val="26"/>
              <w:bidi w:val="0"/>
              <w:rPr>
                <w:rFonts w:hint="eastAsia"/>
                <w:highlight w:val="black"/>
                <w:lang w:val="en-US" w:eastAsia="zh-CN"/>
              </w:rPr>
            </w:pPr>
            <w:r>
              <w:rPr>
                <w:rFonts w:hint="eastAsia"/>
                <w:highlight w:val="black"/>
                <w:lang w:val="en-US" w:eastAsia="zh-CN"/>
              </w:rPr>
              <w:t>JQ.MG70S-6</w:t>
            </w:r>
          </w:p>
        </w:tc>
        <w:tc>
          <w:tcPr>
            <w:tcW w:w="384" w:type="pct"/>
            <w:shd w:val="clear" w:color="auto" w:fill="FFFFFF" w:themeFill="background1"/>
            <w:vAlign w:val="center"/>
          </w:tcPr>
          <w:p w14:paraId="0D1D7587">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220354D1">
            <w:pPr>
              <w:pStyle w:val="26"/>
              <w:bidi w:val="0"/>
              <w:rPr>
                <w:rFonts w:hint="eastAsia"/>
                <w:highlight w:val="black"/>
                <w:lang w:val="en-US" w:eastAsia="zh-CN"/>
              </w:rPr>
            </w:pPr>
            <w:r>
              <w:rPr>
                <w:rFonts w:hint="eastAsia"/>
                <w:highlight w:val="black"/>
                <w:lang w:val="en-US" w:eastAsia="zh-CN"/>
              </w:rPr>
              <w:t>45</w:t>
            </w:r>
          </w:p>
        </w:tc>
        <w:tc>
          <w:tcPr>
            <w:tcW w:w="579" w:type="pct"/>
            <w:shd w:val="clear" w:color="auto" w:fill="FFFFFF" w:themeFill="background1"/>
            <w:vAlign w:val="center"/>
          </w:tcPr>
          <w:p w14:paraId="46F28E07">
            <w:pPr>
              <w:pStyle w:val="26"/>
              <w:bidi w:val="0"/>
              <w:rPr>
                <w:rFonts w:hint="eastAsia"/>
                <w:highlight w:val="black"/>
                <w:lang w:val="en-US" w:eastAsia="zh-CN"/>
              </w:rPr>
            </w:pPr>
            <w:r>
              <w:rPr>
                <w:rFonts w:hint="eastAsia"/>
                <w:highlight w:val="black"/>
              </w:rPr>
              <w:t>300kg/桶</w:t>
            </w:r>
          </w:p>
        </w:tc>
        <w:tc>
          <w:tcPr>
            <w:tcW w:w="485" w:type="pct"/>
            <w:shd w:val="clear" w:color="auto" w:fill="FFFFFF" w:themeFill="background1"/>
            <w:vAlign w:val="center"/>
          </w:tcPr>
          <w:p w14:paraId="6E48A76C">
            <w:pPr>
              <w:pStyle w:val="26"/>
              <w:bidi w:val="0"/>
              <w:rPr>
                <w:rFonts w:hint="eastAsia"/>
                <w:highlight w:val="black"/>
                <w:lang w:val="en-US" w:eastAsia="zh-CN"/>
              </w:rPr>
            </w:pPr>
            <w:r>
              <w:rPr>
                <w:rFonts w:hint="eastAsia"/>
                <w:highlight w:val="black"/>
              </w:rPr>
              <w:t>1.5</w:t>
            </w:r>
          </w:p>
        </w:tc>
        <w:tc>
          <w:tcPr>
            <w:tcW w:w="405" w:type="pct"/>
            <w:vMerge w:val="restart"/>
            <w:shd w:val="clear" w:color="auto" w:fill="FFFFFF" w:themeFill="background1"/>
            <w:vAlign w:val="center"/>
          </w:tcPr>
          <w:p w14:paraId="5651067B">
            <w:pPr>
              <w:pStyle w:val="26"/>
              <w:bidi w:val="0"/>
              <w:rPr>
                <w:rFonts w:hint="default" w:eastAsia="仿宋_GB2312"/>
                <w:highlight w:val="black"/>
                <w:lang w:val="en-US" w:eastAsia="zh-CN"/>
              </w:rPr>
            </w:pPr>
            <w:r>
              <w:rPr>
                <w:rFonts w:hint="eastAsia"/>
                <w:highlight w:val="black"/>
                <w:lang w:val="en-US" w:eastAsia="zh-CN"/>
              </w:rPr>
              <w:t>1层仓库</w:t>
            </w:r>
          </w:p>
        </w:tc>
        <w:tc>
          <w:tcPr>
            <w:tcW w:w="364" w:type="pct"/>
            <w:shd w:val="clear" w:color="auto" w:fill="FFFFFF" w:themeFill="background1"/>
            <w:vAlign w:val="center"/>
          </w:tcPr>
          <w:p w14:paraId="21447CD2">
            <w:pPr>
              <w:pStyle w:val="26"/>
              <w:bidi w:val="0"/>
              <w:rPr>
                <w:rFonts w:hint="eastAsia"/>
                <w:highlight w:val="black"/>
                <w:lang w:val="en-US" w:eastAsia="zh-CN"/>
              </w:rPr>
            </w:pPr>
            <w:r>
              <w:rPr>
                <w:rFonts w:hint="eastAsia"/>
                <w:highlight w:val="black"/>
              </w:rPr>
              <w:t>机加工</w:t>
            </w:r>
          </w:p>
        </w:tc>
      </w:tr>
      <w:tr w14:paraId="0FB8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65D1F6D6">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6</w:t>
            </w:r>
          </w:p>
        </w:tc>
        <w:tc>
          <w:tcPr>
            <w:tcW w:w="520" w:type="pct"/>
            <w:vMerge w:val="continue"/>
            <w:shd w:val="clear" w:color="auto" w:fill="auto"/>
            <w:vAlign w:val="center"/>
          </w:tcPr>
          <w:p w14:paraId="003EC914">
            <w:pPr>
              <w:pStyle w:val="26"/>
              <w:bidi w:val="0"/>
              <w:rPr>
                <w:rFonts w:hint="eastAsia"/>
              </w:rPr>
            </w:pPr>
          </w:p>
        </w:tc>
        <w:tc>
          <w:tcPr>
            <w:tcW w:w="520" w:type="pct"/>
            <w:shd w:val="clear" w:color="auto" w:fill="FFFFFF" w:themeFill="background1"/>
            <w:vAlign w:val="center"/>
          </w:tcPr>
          <w:p w14:paraId="7CF77769">
            <w:pPr>
              <w:pStyle w:val="26"/>
              <w:bidi w:val="0"/>
              <w:rPr>
                <w:rFonts w:hint="eastAsia"/>
                <w:highlight w:val="black"/>
                <w:lang w:val="en-US" w:eastAsia="zh-CN"/>
              </w:rPr>
            </w:pPr>
            <w:r>
              <w:rPr>
                <w:rFonts w:hint="eastAsia"/>
                <w:highlight w:val="black"/>
              </w:rPr>
              <w:t>动平衡块</w:t>
            </w:r>
          </w:p>
        </w:tc>
        <w:tc>
          <w:tcPr>
            <w:tcW w:w="876" w:type="pct"/>
            <w:shd w:val="clear" w:color="auto" w:fill="FFFFFF" w:themeFill="background1"/>
            <w:vAlign w:val="center"/>
          </w:tcPr>
          <w:p w14:paraId="23AF7EF5">
            <w:pPr>
              <w:pStyle w:val="26"/>
              <w:bidi w:val="0"/>
              <w:rPr>
                <w:rFonts w:hint="eastAsia"/>
                <w:highlight w:val="black"/>
                <w:lang w:val="en-US" w:eastAsia="zh-CN"/>
              </w:rPr>
            </w:pPr>
            <w:r>
              <w:rPr>
                <w:rFonts w:hint="eastAsia"/>
                <w:highlight w:val="black"/>
                <w:lang w:val="en-US" w:eastAsia="zh-CN"/>
              </w:rPr>
              <w:t>金属件</w:t>
            </w:r>
          </w:p>
        </w:tc>
        <w:tc>
          <w:tcPr>
            <w:tcW w:w="384" w:type="pct"/>
            <w:shd w:val="clear" w:color="auto" w:fill="FFFFFF" w:themeFill="background1"/>
            <w:vAlign w:val="center"/>
          </w:tcPr>
          <w:p w14:paraId="5A2D80CD">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28EFE3DB">
            <w:pPr>
              <w:pStyle w:val="26"/>
              <w:bidi w:val="0"/>
              <w:rPr>
                <w:rFonts w:hint="eastAsia"/>
                <w:highlight w:val="black"/>
                <w:lang w:val="en-US" w:eastAsia="zh-CN"/>
              </w:rPr>
            </w:pPr>
            <w:r>
              <w:rPr>
                <w:rFonts w:hint="eastAsia"/>
                <w:highlight w:val="black"/>
                <w:lang w:val="en-US" w:eastAsia="zh-CN"/>
              </w:rPr>
              <w:t>87</w:t>
            </w:r>
          </w:p>
        </w:tc>
        <w:tc>
          <w:tcPr>
            <w:tcW w:w="579" w:type="pct"/>
            <w:shd w:val="clear" w:color="auto" w:fill="FFFFFF" w:themeFill="background1"/>
            <w:vAlign w:val="center"/>
          </w:tcPr>
          <w:p w14:paraId="6DD7CF90">
            <w:pPr>
              <w:pStyle w:val="26"/>
              <w:bidi w:val="0"/>
              <w:rPr>
                <w:rFonts w:hint="eastAsia"/>
                <w:highlight w:val="black"/>
                <w:lang w:val="en-US" w:eastAsia="zh-CN"/>
              </w:rPr>
            </w:pPr>
            <w:r>
              <w:rPr>
                <w:rFonts w:hint="eastAsia"/>
                <w:highlight w:val="black"/>
              </w:rPr>
              <w:t>100kg/桶</w:t>
            </w:r>
          </w:p>
        </w:tc>
        <w:tc>
          <w:tcPr>
            <w:tcW w:w="485" w:type="pct"/>
            <w:shd w:val="clear" w:color="auto" w:fill="FFFFFF" w:themeFill="background1"/>
            <w:vAlign w:val="center"/>
          </w:tcPr>
          <w:p w14:paraId="2632C1F9">
            <w:pPr>
              <w:pStyle w:val="26"/>
              <w:bidi w:val="0"/>
              <w:rPr>
                <w:rFonts w:hint="eastAsia"/>
                <w:highlight w:val="black"/>
                <w:lang w:val="en-US" w:eastAsia="zh-CN"/>
              </w:rPr>
            </w:pPr>
            <w:r>
              <w:rPr>
                <w:rFonts w:hint="eastAsia"/>
                <w:highlight w:val="black"/>
              </w:rPr>
              <w:t>1.0</w:t>
            </w:r>
          </w:p>
        </w:tc>
        <w:tc>
          <w:tcPr>
            <w:tcW w:w="405" w:type="pct"/>
            <w:vMerge w:val="continue"/>
            <w:shd w:val="clear" w:color="auto" w:fill="FFFFFF" w:themeFill="background1"/>
            <w:vAlign w:val="center"/>
          </w:tcPr>
          <w:p w14:paraId="687B2C35">
            <w:pPr>
              <w:pStyle w:val="26"/>
              <w:bidi w:val="0"/>
              <w:rPr>
                <w:rFonts w:hint="eastAsia"/>
                <w:highlight w:val="black"/>
              </w:rPr>
            </w:pPr>
          </w:p>
        </w:tc>
        <w:tc>
          <w:tcPr>
            <w:tcW w:w="364" w:type="pct"/>
            <w:shd w:val="clear" w:color="auto" w:fill="FFFFFF" w:themeFill="background1"/>
            <w:vAlign w:val="center"/>
          </w:tcPr>
          <w:p w14:paraId="6A1BE6A1">
            <w:pPr>
              <w:pStyle w:val="26"/>
              <w:bidi w:val="0"/>
              <w:rPr>
                <w:rFonts w:hint="eastAsia"/>
                <w:highlight w:val="black"/>
                <w:lang w:val="en-US" w:eastAsia="zh-CN"/>
              </w:rPr>
            </w:pPr>
            <w:r>
              <w:rPr>
                <w:rFonts w:hint="eastAsia"/>
                <w:highlight w:val="black"/>
              </w:rPr>
              <w:t>机加工</w:t>
            </w:r>
          </w:p>
        </w:tc>
      </w:tr>
      <w:tr w14:paraId="1B36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4F4408CD">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7</w:t>
            </w:r>
          </w:p>
        </w:tc>
        <w:tc>
          <w:tcPr>
            <w:tcW w:w="520" w:type="pct"/>
            <w:vMerge w:val="continue"/>
            <w:shd w:val="clear" w:color="auto" w:fill="auto"/>
            <w:vAlign w:val="center"/>
          </w:tcPr>
          <w:p w14:paraId="14DF2C36">
            <w:pPr>
              <w:pStyle w:val="26"/>
              <w:bidi w:val="0"/>
              <w:rPr>
                <w:rFonts w:hint="eastAsia"/>
              </w:rPr>
            </w:pPr>
          </w:p>
        </w:tc>
        <w:tc>
          <w:tcPr>
            <w:tcW w:w="520" w:type="pct"/>
            <w:shd w:val="clear" w:color="auto" w:fill="FFFFFF" w:themeFill="background1"/>
            <w:vAlign w:val="center"/>
          </w:tcPr>
          <w:p w14:paraId="4CB01173">
            <w:pPr>
              <w:pStyle w:val="26"/>
              <w:bidi w:val="0"/>
              <w:rPr>
                <w:rFonts w:hint="eastAsia"/>
                <w:highlight w:val="black"/>
                <w:lang w:val="en-US" w:eastAsia="zh-CN"/>
              </w:rPr>
            </w:pPr>
            <w:r>
              <w:rPr>
                <w:rFonts w:hint="eastAsia"/>
                <w:highlight w:val="black"/>
              </w:rPr>
              <w:t>碱铜排</w:t>
            </w:r>
          </w:p>
        </w:tc>
        <w:tc>
          <w:tcPr>
            <w:tcW w:w="876" w:type="pct"/>
            <w:shd w:val="clear" w:color="auto" w:fill="FFFFFF" w:themeFill="background1"/>
            <w:vAlign w:val="center"/>
          </w:tcPr>
          <w:p w14:paraId="1D09C097">
            <w:pPr>
              <w:pStyle w:val="26"/>
              <w:bidi w:val="0"/>
              <w:rPr>
                <w:rFonts w:hint="eastAsia"/>
                <w:highlight w:val="black"/>
                <w:lang w:val="en-US" w:eastAsia="zh-CN"/>
              </w:rPr>
            </w:pPr>
            <w:r>
              <w:rPr>
                <w:rFonts w:hint="eastAsia"/>
                <w:highlight w:val="black"/>
                <w:lang w:val="en-US" w:eastAsia="zh-CN"/>
              </w:rPr>
              <w:t>铜含量99%，磷含量0.05%</w:t>
            </w:r>
          </w:p>
        </w:tc>
        <w:tc>
          <w:tcPr>
            <w:tcW w:w="384" w:type="pct"/>
            <w:shd w:val="clear" w:color="auto" w:fill="FFFFFF" w:themeFill="background1"/>
            <w:vAlign w:val="center"/>
          </w:tcPr>
          <w:p w14:paraId="78EF2124">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54A7369E">
            <w:pPr>
              <w:pStyle w:val="26"/>
              <w:bidi w:val="0"/>
              <w:rPr>
                <w:rFonts w:hint="eastAsia"/>
                <w:highlight w:val="black"/>
                <w:lang w:val="en-US" w:eastAsia="zh-CN"/>
              </w:rPr>
            </w:pPr>
            <w:r>
              <w:rPr>
                <w:rFonts w:hint="eastAsia"/>
                <w:highlight w:val="black"/>
                <w:lang w:val="en-US" w:eastAsia="zh-CN"/>
              </w:rPr>
              <w:t>12.5</w:t>
            </w:r>
          </w:p>
        </w:tc>
        <w:tc>
          <w:tcPr>
            <w:tcW w:w="579" w:type="pct"/>
            <w:shd w:val="clear" w:color="auto" w:fill="FFFFFF" w:themeFill="background1"/>
            <w:vAlign w:val="center"/>
          </w:tcPr>
          <w:p w14:paraId="0D5A8788">
            <w:pPr>
              <w:pStyle w:val="26"/>
              <w:bidi w:val="0"/>
              <w:rPr>
                <w:rFonts w:hint="eastAsia"/>
                <w:highlight w:val="black"/>
                <w:lang w:val="en-US" w:eastAsia="zh-CN"/>
              </w:rPr>
            </w:pPr>
            <w:r>
              <w:rPr>
                <w:rFonts w:hint="eastAsia"/>
                <w:highlight w:val="black"/>
              </w:rPr>
              <w:t>5kg/片</w:t>
            </w:r>
          </w:p>
        </w:tc>
        <w:tc>
          <w:tcPr>
            <w:tcW w:w="485" w:type="pct"/>
            <w:shd w:val="clear" w:color="auto" w:fill="FFFFFF" w:themeFill="background1"/>
            <w:vAlign w:val="center"/>
          </w:tcPr>
          <w:p w14:paraId="2F636D79">
            <w:pPr>
              <w:pStyle w:val="26"/>
              <w:bidi w:val="0"/>
              <w:rPr>
                <w:rFonts w:hint="eastAsia"/>
                <w:highlight w:val="black"/>
                <w:lang w:val="en-US" w:eastAsia="zh-CN"/>
              </w:rPr>
            </w:pPr>
            <w:r>
              <w:rPr>
                <w:rFonts w:hint="eastAsia"/>
                <w:highlight w:val="black"/>
              </w:rPr>
              <w:t>0.03</w:t>
            </w:r>
          </w:p>
        </w:tc>
        <w:tc>
          <w:tcPr>
            <w:tcW w:w="405" w:type="pct"/>
            <w:vMerge w:val="continue"/>
            <w:shd w:val="clear" w:color="auto" w:fill="FFFFFF" w:themeFill="background1"/>
            <w:vAlign w:val="center"/>
          </w:tcPr>
          <w:p w14:paraId="42A1DA15">
            <w:pPr>
              <w:pStyle w:val="26"/>
              <w:bidi w:val="0"/>
              <w:rPr>
                <w:rFonts w:hint="eastAsia"/>
                <w:highlight w:val="black"/>
              </w:rPr>
            </w:pPr>
          </w:p>
        </w:tc>
        <w:tc>
          <w:tcPr>
            <w:tcW w:w="364" w:type="pct"/>
            <w:shd w:val="clear" w:color="auto" w:fill="FFFFFF" w:themeFill="background1"/>
            <w:vAlign w:val="center"/>
          </w:tcPr>
          <w:p w14:paraId="2DAC65BA">
            <w:pPr>
              <w:pStyle w:val="26"/>
              <w:bidi w:val="0"/>
              <w:rPr>
                <w:rFonts w:hint="eastAsia"/>
                <w:highlight w:val="black"/>
                <w:lang w:val="en-US" w:eastAsia="zh-CN"/>
              </w:rPr>
            </w:pPr>
            <w:r>
              <w:rPr>
                <w:rFonts w:hint="eastAsia"/>
                <w:highlight w:val="black"/>
              </w:rPr>
              <w:t>镀碱铜</w:t>
            </w:r>
          </w:p>
        </w:tc>
      </w:tr>
      <w:tr w14:paraId="2A6D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19C7AB75">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8</w:t>
            </w:r>
          </w:p>
        </w:tc>
        <w:tc>
          <w:tcPr>
            <w:tcW w:w="520" w:type="pct"/>
            <w:vMerge w:val="continue"/>
            <w:shd w:val="clear" w:color="auto" w:fill="auto"/>
            <w:vAlign w:val="center"/>
          </w:tcPr>
          <w:p w14:paraId="2E2D9F6D">
            <w:pPr>
              <w:pStyle w:val="26"/>
              <w:bidi w:val="0"/>
              <w:rPr>
                <w:rFonts w:hint="eastAsia"/>
              </w:rPr>
            </w:pPr>
          </w:p>
        </w:tc>
        <w:tc>
          <w:tcPr>
            <w:tcW w:w="520" w:type="pct"/>
            <w:shd w:val="clear" w:color="auto" w:fill="FFFFFF" w:themeFill="background1"/>
            <w:vAlign w:val="center"/>
          </w:tcPr>
          <w:p w14:paraId="4422F80B">
            <w:pPr>
              <w:pStyle w:val="26"/>
              <w:bidi w:val="0"/>
              <w:rPr>
                <w:rFonts w:hint="eastAsia"/>
                <w:highlight w:val="black"/>
                <w:lang w:val="en-US" w:eastAsia="zh-CN"/>
              </w:rPr>
            </w:pPr>
            <w:r>
              <w:rPr>
                <w:rFonts w:hint="eastAsia"/>
                <w:highlight w:val="black"/>
              </w:rPr>
              <w:t>铬抛光纸</w:t>
            </w:r>
          </w:p>
        </w:tc>
        <w:tc>
          <w:tcPr>
            <w:tcW w:w="876" w:type="pct"/>
            <w:shd w:val="clear" w:color="auto" w:fill="FFFFFF" w:themeFill="background1"/>
            <w:vAlign w:val="center"/>
          </w:tcPr>
          <w:p w14:paraId="3E77D163">
            <w:pPr>
              <w:pStyle w:val="26"/>
              <w:bidi w:val="0"/>
              <w:rPr>
                <w:rFonts w:hint="eastAsia"/>
                <w:highlight w:val="black"/>
                <w:lang w:val="en-US" w:eastAsia="zh-CN"/>
              </w:rPr>
            </w:pPr>
            <w:r>
              <w:rPr>
                <w:rFonts w:hint="eastAsia"/>
                <w:highlight w:val="black"/>
                <w:lang w:val="en-US" w:eastAsia="zh-CN"/>
              </w:rPr>
              <w:t>/</w:t>
            </w:r>
          </w:p>
        </w:tc>
        <w:tc>
          <w:tcPr>
            <w:tcW w:w="384" w:type="pct"/>
            <w:shd w:val="clear" w:color="auto" w:fill="FFFFFF" w:themeFill="background1"/>
            <w:vAlign w:val="center"/>
          </w:tcPr>
          <w:p w14:paraId="19047C1B">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6D216F0F">
            <w:pPr>
              <w:pStyle w:val="26"/>
              <w:bidi w:val="0"/>
              <w:rPr>
                <w:rFonts w:hint="eastAsia"/>
                <w:highlight w:val="black"/>
                <w:lang w:val="en-US" w:eastAsia="zh-CN"/>
              </w:rPr>
            </w:pPr>
            <w:r>
              <w:rPr>
                <w:rFonts w:hint="eastAsia"/>
                <w:highlight w:val="black"/>
                <w:lang w:val="en-US" w:eastAsia="zh-CN"/>
              </w:rPr>
              <w:t>5.5</w:t>
            </w:r>
          </w:p>
        </w:tc>
        <w:tc>
          <w:tcPr>
            <w:tcW w:w="579" w:type="pct"/>
            <w:shd w:val="clear" w:color="auto" w:fill="FFFFFF" w:themeFill="background1"/>
            <w:vAlign w:val="center"/>
          </w:tcPr>
          <w:p w14:paraId="5E050F84">
            <w:pPr>
              <w:pStyle w:val="26"/>
              <w:bidi w:val="0"/>
              <w:rPr>
                <w:rFonts w:hint="eastAsia"/>
                <w:highlight w:val="black"/>
                <w:lang w:val="en-US" w:eastAsia="zh-CN"/>
              </w:rPr>
            </w:pPr>
            <w:r>
              <w:rPr>
                <w:rFonts w:hint="eastAsia"/>
                <w:highlight w:val="black"/>
              </w:rPr>
              <w:t>30m/卷</w:t>
            </w:r>
          </w:p>
        </w:tc>
        <w:tc>
          <w:tcPr>
            <w:tcW w:w="485" w:type="pct"/>
            <w:shd w:val="clear" w:color="auto" w:fill="FFFFFF" w:themeFill="background1"/>
            <w:vAlign w:val="center"/>
          </w:tcPr>
          <w:p w14:paraId="6BB4A87C">
            <w:pPr>
              <w:pStyle w:val="26"/>
              <w:bidi w:val="0"/>
              <w:rPr>
                <w:rFonts w:hint="eastAsia"/>
                <w:highlight w:val="black"/>
                <w:lang w:val="en-US" w:eastAsia="zh-CN"/>
              </w:rPr>
            </w:pPr>
            <w:r>
              <w:rPr>
                <w:rFonts w:hint="eastAsia"/>
                <w:highlight w:val="black"/>
              </w:rPr>
              <w:t>0.8</w:t>
            </w:r>
          </w:p>
        </w:tc>
        <w:tc>
          <w:tcPr>
            <w:tcW w:w="405" w:type="pct"/>
            <w:vMerge w:val="continue"/>
            <w:shd w:val="clear" w:color="auto" w:fill="FFFFFF" w:themeFill="background1"/>
            <w:vAlign w:val="center"/>
          </w:tcPr>
          <w:p w14:paraId="53EE479D">
            <w:pPr>
              <w:pStyle w:val="26"/>
              <w:bidi w:val="0"/>
              <w:rPr>
                <w:rFonts w:hint="eastAsia"/>
                <w:highlight w:val="black"/>
              </w:rPr>
            </w:pPr>
          </w:p>
        </w:tc>
        <w:tc>
          <w:tcPr>
            <w:tcW w:w="364" w:type="pct"/>
            <w:shd w:val="clear" w:color="auto" w:fill="FFFFFF" w:themeFill="background1"/>
            <w:vAlign w:val="center"/>
          </w:tcPr>
          <w:p w14:paraId="1D84DCDA">
            <w:pPr>
              <w:pStyle w:val="26"/>
              <w:bidi w:val="0"/>
              <w:rPr>
                <w:rFonts w:hint="eastAsia"/>
                <w:highlight w:val="black"/>
                <w:lang w:val="en-US" w:eastAsia="zh-CN"/>
              </w:rPr>
            </w:pPr>
            <w:r>
              <w:rPr>
                <w:rFonts w:hint="eastAsia"/>
                <w:highlight w:val="black"/>
              </w:rPr>
              <w:t>铬抛光</w:t>
            </w:r>
          </w:p>
        </w:tc>
      </w:tr>
      <w:tr w14:paraId="4753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19D1A038">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9</w:t>
            </w:r>
          </w:p>
        </w:tc>
        <w:tc>
          <w:tcPr>
            <w:tcW w:w="520" w:type="pct"/>
            <w:vMerge w:val="continue"/>
            <w:shd w:val="clear" w:color="auto" w:fill="auto"/>
            <w:vAlign w:val="center"/>
          </w:tcPr>
          <w:p w14:paraId="1C84A005">
            <w:pPr>
              <w:pStyle w:val="26"/>
              <w:bidi w:val="0"/>
              <w:rPr>
                <w:rFonts w:hint="eastAsia"/>
                <w:highlight w:val="yellow"/>
              </w:rPr>
            </w:pPr>
          </w:p>
        </w:tc>
        <w:tc>
          <w:tcPr>
            <w:tcW w:w="520" w:type="pct"/>
            <w:shd w:val="clear" w:color="auto" w:fill="FFFFFF" w:themeFill="background1"/>
            <w:vAlign w:val="center"/>
          </w:tcPr>
          <w:p w14:paraId="2ABE2F44">
            <w:pPr>
              <w:pStyle w:val="26"/>
              <w:bidi w:val="0"/>
              <w:rPr>
                <w:rFonts w:hint="eastAsia"/>
                <w:highlight w:val="black"/>
                <w:lang w:val="en-US" w:eastAsia="zh-CN"/>
              </w:rPr>
            </w:pPr>
            <w:r>
              <w:rPr>
                <w:rFonts w:hint="eastAsia"/>
                <w:highlight w:val="black"/>
              </w:rPr>
              <w:t>碱铜添加剂</w:t>
            </w:r>
          </w:p>
        </w:tc>
        <w:tc>
          <w:tcPr>
            <w:tcW w:w="876" w:type="pct"/>
            <w:shd w:val="clear" w:color="auto" w:fill="FFFFFF" w:themeFill="background1"/>
            <w:vAlign w:val="center"/>
          </w:tcPr>
          <w:p w14:paraId="78BDEEFC">
            <w:pPr>
              <w:pStyle w:val="26"/>
              <w:bidi w:val="0"/>
              <w:rPr>
                <w:rFonts w:hint="eastAsia"/>
                <w:highlight w:val="black"/>
                <w:lang w:val="en-US" w:eastAsia="zh-CN"/>
              </w:rPr>
            </w:pPr>
            <w:r>
              <w:rPr>
                <w:rFonts w:hint="eastAsia"/>
                <w:highlight w:val="black"/>
              </w:rPr>
              <w:t>氢氧化钾</w:t>
            </w:r>
            <w:r>
              <w:rPr>
                <w:rFonts w:hint="eastAsia"/>
                <w:highlight w:val="black"/>
                <w:lang w:eastAsia="zh-CN"/>
              </w:rPr>
              <w:t>、</w:t>
            </w:r>
            <w:r>
              <w:rPr>
                <w:rFonts w:hint="eastAsia"/>
                <w:highlight w:val="black"/>
              </w:rPr>
              <w:t>羟基乙叉二膦酸</w:t>
            </w:r>
            <w:r>
              <w:rPr>
                <w:rFonts w:hint="eastAsia"/>
                <w:highlight w:val="black"/>
                <w:lang w:eastAsia="zh-CN"/>
              </w:rPr>
              <w:t>、</w:t>
            </w:r>
            <w:r>
              <w:rPr>
                <w:rFonts w:hint="eastAsia"/>
                <w:highlight w:val="black"/>
              </w:rPr>
              <w:t>其余水</w:t>
            </w:r>
          </w:p>
        </w:tc>
        <w:tc>
          <w:tcPr>
            <w:tcW w:w="384" w:type="pct"/>
            <w:shd w:val="clear" w:color="auto" w:fill="FFFFFF" w:themeFill="background1"/>
            <w:vAlign w:val="center"/>
          </w:tcPr>
          <w:p w14:paraId="1C21F2E0">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40C49819">
            <w:pPr>
              <w:pStyle w:val="26"/>
              <w:bidi w:val="0"/>
              <w:rPr>
                <w:rFonts w:hint="eastAsia"/>
                <w:highlight w:val="black"/>
                <w:lang w:val="en-US" w:eastAsia="zh-CN"/>
              </w:rPr>
            </w:pPr>
            <w:r>
              <w:rPr>
                <w:rFonts w:hint="eastAsia"/>
                <w:highlight w:val="black"/>
                <w:lang w:val="en-US" w:eastAsia="zh-CN"/>
              </w:rPr>
              <w:t>8.2</w:t>
            </w:r>
          </w:p>
        </w:tc>
        <w:tc>
          <w:tcPr>
            <w:tcW w:w="579" w:type="pct"/>
            <w:shd w:val="clear" w:color="auto" w:fill="FFFFFF" w:themeFill="background1"/>
            <w:vAlign w:val="center"/>
          </w:tcPr>
          <w:p w14:paraId="39ED764F">
            <w:pPr>
              <w:pStyle w:val="26"/>
              <w:bidi w:val="0"/>
              <w:rPr>
                <w:rFonts w:hint="eastAsia"/>
                <w:highlight w:val="black"/>
                <w:lang w:val="en-US" w:eastAsia="zh-CN"/>
              </w:rPr>
            </w:pPr>
          </w:p>
        </w:tc>
        <w:tc>
          <w:tcPr>
            <w:tcW w:w="485" w:type="pct"/>
            <w:shd w:val="clear" w:color="auto" w:fill="FFFFFF" w:themeFill="background1"/>
            <w:vAlign w:val="center"/>
          </w:tcPr>
          <w:p w14:paraId="24C78FB3">
            <w:pPr>
              <w:pStyle w:val="26"/>
              <w:bidi w:val="0"/>
              <w:rPr>
                <w:rFonts w:hint="eastAsia"/>
                <w:highlight w:val="black"/>
                <w:lang w:val="en-US" w:eastAsia="zh-CN"/>
              </w:rPr>
            </w:pPr>
            <w:r>
              <w:rPr>
                <w:rFonts w:hint="eastAsia"/>
                <w:highlight w:val="black"/>
              </w:rPr>
              <w:t>0.6</w:t>
            </w:r>
          </w:p>
        </w:tc>
        <w:tc>
          <w:tcPr>
            <w:tcW w:w="405" w:type="pct"/>
            <w:vMerge w:val="restart"/>
            <w:shd w:val="clear" w:color="auto" w:fill="FFFFFF" w:themeFill="background1"/>
            <w:vAlign w:val="center"/>
          </w:tcPr>
          <w:p w14:paraId="5C46F9F9">
            <w:pPr>
              <w:pStyle w:val="26"/>
              <w:bidi w:val="0"/>
              <w:rPr>
                <w:rFonts w:hint="eastAsia"/>
                <w:highlight w:val="black"/>
                <w:lang w:eastAsia="zh-CN"/>
              </w:rPr>
            </w:pPr>
            <w:r>
              <w:rPr>
                <w:rFonts w:hint="eastAsia"/>
                <w:highlight w:val="black"/>
              </w:rPr>
              <w:t>化学品仓库</w:t>
            </w:r>
          </w:p>
        </w:tc>
        <w:tc>
          <w:tcPr>
            <w:tcW w:w="364" w:type="pct"/>
            <w:shd w:val="clear" w:color="auto" w:fill="FFFFFF" w:themeFill="background1"/>
            <w:vAlign w:val="center"/>
          </w:tcPr>
          <w:p w14:paraId="4BF5E078">
            <w:pPr>
              <w:pStyle w:val="26"/>
              <w:bidi w:val="0"/>
              <w:rPr>
                <w:rFonts w:hint="eastAsia"/>
                <w:highlight w:val="black"/>
                <w:lang w:val="en-US" w:eastAsia="zh-CN"/>
              </w:rPr>
            </w:pPr>
            <w:r>
              <w:rPr>
                <w:rFonts w:hint="eastAsia"/>
                <w:highlight w:val="black"/>
              </w:rPr>
              <w:t>镀碱铜</w:t>
            </w:r>
          </w:p>
        </w:tc>
      </w:tr>
      <w:tr w14:paraId="669A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4464F6EE">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10</w:t>
            </w:r>
          </w:p>
        </w:tc>
        <w:tc>
          <w:tcPr>
            <w:tcW w:w="520" w:type="pct"/>
            <w:vMerge w:val="continue"/>
            <w:shd w:val="clear" w:color="auto" w:fill="auto"/>
            <w:vAlign w:val="center"/>
          </w:tcPr>
          <w:p w14:paraId="2949BF26">
            <w:pPr>
              <w:pStyle w:val="26"/>
              <w:bidi w:val="0"/>
              <w:rPr>
                <w:rFonts w:hint="eastAsia"/>
                <w:highlight w:val="yellow"/>
              </w:rPr>
            </w:pPr>
          </w:p>
        </w:tc>
        <w:tc>
          <w:tcPr>
            <w:tcW w:w="520" w:type="pct"/>
            <w:shd w:val="clear" w:color="auto" w:fill="FFFFFF" w:themeFill="background1"/>
            <w:vAlign w:val="center"/>
          </w:tcPr>
          <w:p w14:paraId="42F896AF">
            <w:pPr>
              <w:pStyle w:val="26"/>
              <w:bidi w:val="0"/>
              <w:rPr>
                <w:rFonts w:hint="eastAsia"/>
                <w:highlight w:val="black"/>
                <w:lang w:val="en-US" w:eastAsia="zh-CN"/>
              </w:rPr>
            </w:pPr>
            <w:r>
              <w:rPr>
                <w:rFonts w:hint="eastAsia"/>
                <w:highlight w:val="black"/>
              </w:rPr>
              <w:t>31%盐酸</w:t>
            </w:r>
          </w:p>
        </w:tc>
        <w:tc>
          <w:tcPr>
            <w:tcW w:w="876" w:type="pct"/>
            <w:shd w:val="clear" w:color="auto" w:fill="FFFFFF" w:themeFill="background1"/>
            <w:vAlign w:val="center"/>
          </w:tcPr>
          <w:p w14:paraId="633FA75A">
            <w:pPr>
              <w:pStyle w:val="26"/>
              <w:bidi w:val="0"/>
              <w:rPr>
                <w:rFonts w:hint="eastAsia"/>
                <w:highlight w:val="black"/>
                <w:lang w:val="en-US" w:eastAsia="zh-CN"/>
              </w:rPr>
            </w:pPr>
            <w:r>
              <w:rPr>
                <w:rFonts w:hint="eastAsia"/>
                <w:highlight w:val="black"/>
              </w:rPr>
              <w:t>盐酸</w:t>
            </w:r>
          </w:p>
        </w:tc>
        <w:tc>
          <w:tcPr>
            <w:tcW w:w="384" w:type="pct"/>
            <w:shd w:val="clear" w:color="auto" w:fill="FFFFFF" w:themeFill="background1"/>
            <w:vAlign w:val="center"/>
          </w:tcPr>
          <w:p w14:paraId="6F846D2D">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70C66959">
            <w:pPr>
              <w:pStyle w:val="26"/>
              <w:bidi w:val="0"/>
              <w:rPr>
                <w:rFonts w:hint="eastAsia"/>
                <w:highlight w:val="black"/>
                <w:lang w:val="en-US" w:eastAsia="zh-CN"/>
              </w:rPr>
            </w:pPr>
            <w:r>
              <w:rPr>
                <w:rFonts w:hint="eastAsia"/>
                <w:highlight w:val="black"/>
                <w:lang w:val="en-US" w:eastAsia="zh-CN"/>
              </w:rPr>
              <w:t>3.3</w:t>
            </w:r>
          </w:p>
        </w:tc>
        <w:tc>
          <w:tcPr>
            <w:tcW w:w="579" w:type="pct"/>
            <w:shd w:val="clear" w:color="auto" w:fill="FFFFFF" w:themeFill="background1"/>
            <w:vAlign w:val="center"/>
          </w:tcPr>
          <w:p w14:paraId="54CA3261">
            <w:pPr>
              <w:pStyle w:val="26"/>
              <w:bidi w:val="0"/>
              <w:rPr>
                <w:rFonts w:hint="eastAsia"/>
                <w:highlight w:val="black"/>
                <w:lang w:val="en-US" w:eastAsia="zh-CN"/>
              </w:rPr>
            </w:pPr>
          </w:p>
        </w:tc>
        <w:tc>
          <w:tcPr>
            <w:tcW w:w="485" w:type="pct"/>
            <w:shd w:val="clear" w:color="auto" w:fill="FFFFFF" w:themeFill="background1"/>
            <w:vAlign w:val="center"/>
          </w:tcPr>
          <w:p w14:paraId="7743EA94">
            <w:pPr>
              <w:pStyle w:val="26"/>
              <w:bidi w:val="0"/>
              <w:rPr>
                <w:rFonts w:hint="eastAsia"/>
                <w:highlight w:val="black"/>
                <w:lang w:val="en-US" w:eastAsia="zh-CN"/>
              </w:rPr>
            </w:pPr>
            <w:r>
              <w:rPr>
                <w:rFonts w:hint="eastAsia"/>
                <w:highlight w:val="black"/>
              </w:rPr>
              <w:t>0.2</w:t>
            </w:r>
          </w:p>
        </w:tc>
        <w:tc>
          <w:tcPr>
            <w:tcW w:w="405" w:type="pct"/>
            <w:vMerge w:val="continue"/>
            <w:shd w:val="clear" w:color="auto" w:fill="FFFFFF" w:themeFill="background1"/>
            <w:vAlign w:val="center"/>
          </w:tcPr>
          <w:p w14:paraId="772612F5">
            <w:pPr>
              <w:pStyle w:val="26"/>
              <w:bidi w:val="0"/>
              <w:rPr>
                <w:rFonts w:hint="eastAsia"/>
                <w:highlight w:val="black"/>
              </w:rPr>
            </w:pPr>
          </w:p>
        </w:tc>
        <w:tc>
          <w:tcPr>
            <w:tcW w:w="364" w:type="pct"/>
            <w:shd w:val="clear" w:color="auto" w:fill="FFFFFF" w:themeFill="background1"/>
            <w:vAlign w:val="center"/>
          </w:tcPr>
          <w:p w14:paraId="6EBFDC3D">
            <w:pPr>
              <w:pStyle w:val="26"/>
              <w:bidi w:val="0"/>
              <w:rPr>
                <w:rFonts w:hint="eastAsia"/>
                <w:highlight w:val="black"/>
                <w:lang w:val="en-US" w:eastAsia="zh-CN"/>
              </w:rPr>
            </w:pPr>
            <w:r>
              <w:rPr>
                <w:rFonts w:hint="eastAsia"/>
                <w:highlight w:val="black"/>
              </w:rPr>
              <w:t>镀铜</w:t>
            </w:r>
          </w:p>
        </w:tc>
      </w:tr>
      <w:tr w14:paraId="778E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52ED8E51">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11</w:t>
            </w:r>
          </w:p>
        </w:tc>
        <w:tc>
          <w:tcPr>
            <w:tcW w:w="520" w:type="pct"/>
            <w:vMerge w:val="continue"/>
            <w:shd w:val="clear" w:color="auto" w:fill="auto"/>
            <w:vAlign w:val="center"/>
          </w:tcPr>
          <w:p w14:paraId="373D1727">
            <w:pPr>
              <w:pStyle w:val="26"/>
              <w:bidi w:val="0"/>
              <w:rPr>
                <w:rFonts w:hint="eastAsia"/>
                <w:highlight w:val="yellow"/>
              </w:rPr>
            </w:pPr>
          </w:p>
        </w:tc>
        <w:tc>
          <w:tcPr>
            <w:tcW w:w="520" w:type="pct"/>
            <w:shd w:val="clear" w:color="auto" w:fill="FFFFFF" w:themeFill="background1"/>
            <w:vAlign w:val="center"/>
          </w:tcPr>
          <w:p w14:paraId="7550DA2C">
            <w:pPr>
              <w:pStyle w:val="26"/>
              <w:bidi w:val="0"/>
              <w:rPr>
                <w:rFonts w:hint="eastAsia"/>
                <w:highlight w:val="black"/>
                <w:lang w:val="en-US" w:eastAsia="zh-CN"/>
              </w:rPr>
            </w:pPr>
            <w:r>
              <w:rPr>
                <w:rFonts w:hint="eastAsia"/>
                <w:highlight w:val="black"/>
              </w:rPr>
              <w:t>双氧水</w:t>
            </w:r>
          </w:p>
        </w:tc>
        <w:tc>
          <w:tcPr>
            <w:tcW w:w="876" w:type="pct"/>
            <w:shd w:val="clear" w:color="auto" w:fill="FFFFFF" w:themeFill="background1"/>
            <w:vAlign w:val="center"/>
          </w:tcPr>
          <w:p w14:paraId="6A8BEBF3">
            <w:pPr>
              <w:pStyle w:val="26"/>
              <w:bidi w:val="0"/>
              <w:rPr>
                <w:rFonts w:hint="eastAsia"/>
                <w:highlight w:val="black"/>
                <w:lang w:val="en-US" w:eastAsia="zh-CN"/>
              </w:rPr>
            </w:pPr>
            <w:r>
              <w:rPr>
                <w:rFonts w:hint="eastAsia"/>
                <w:highlight w:val="black"/>
              </w:rPr>
              <w:t>过氧化氢</w:t>
            </w:r>
          </w:p>
        </w:tc>
        <w:tc>
          <w:tcPr>
            <w:tcW w:w="384" w:type="pct"/>
            <w:shd w:val="clear" w:color="auto" w:fill="FFFFFF" w:themeFill="background1"/>
            <w:vAlign w:val="center"/>
          </w:tcPr>
          <w:p w14:paraId="54DA6D92">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54BB496E">
            <w:pPr>
              <w:pStyle w:val="26"/>
              <w:bidi w:val="0"/>
              <w:rPr>
                <w:rFonts w:hint="eastAsia"/>
                <w:highlight w:val="black"/>
                <w:lang w:val="en-US" w:eastAsia="zh-CN"/>
              </w:rPr>
            </w:pPr>
            <w:r>
              <w:rPr>
                <w:rFonts w:hint="eastAsia"/>
                <w:highlight w:val="black"/>
                <w:lang w:val="en-US" w:eastAsia="zh-CN"/>
              </w:rPr>
              <w:t>2.6</w:t>
            </w:r>
          </w:p>
        </w:tc>
        <w:tc>
          <w:tcPr>
            <w:tcW w:w="579" w:type="pct"/>
            <w:shd w:val="clear" w:color="auto" w:fill="FFFFFF" w:themeFill="background1"/>
            <w:vAlign w:val="center"/>
          </w:tcPr>
          <w:p w14:paraId="542A7FC3">
            <w:pPr>
              <w:pStyle w:val="26"/>
              <w:bidi w:val="0"/>
              <w:rPr>
                <w:rFonts w:hint="eastAsia"/>
                <w:highlight w:val="black"/>
                <w:lang w:val="en-US" w:eastAsia="zh-CN"/>
              </w:rPr>
            </w:pPr>
          </w:p>
        </w:tc>
        <w:tc>
          <w:tcPr>
            <w:tcW w:w="485" w:type="pct"/>
            <w:shd w:val="clear" w:color="auto" w:fill="FFFFFF" w:themeFill="background1"/>
            <w:vAlign w:val="center"/>
          </w:tcPr>
          <w:p w14:paraId="10E9E881">
            <w:pPr>
              <w:pStyle w:val="26"/>
              <w:bidi w:val="0"/>
              <w:rPr>
                <w:rFonts w:hint="eastAsia"/>
                <w:highlight w:val="black"/>
                <w:lang w:val="en-US" w:eastAsia="zh-CN"/>
              </w:rPr>
            </w:pPr>
            <w:r>
              <w:rPr>
                <w:rFonts w:hint="eastAsia"/>
                <w:highlight w:val="black"/>
              </w:rPr>
              <w:t>0.1</w:t>
            </w:r>
          </w:p>
        </w:tc>
        <w:tc>
          <w:tcPr>
            <w:tcW w:w="405" w:type="pct"/>
            <w:vMerge w:val="continue"/>
            <w:shd w:val="clear" w:color="auto" w:fill="FFFFFF" w:themeFill="background1"/>
            <w:vAlign w:val="center"/>
          </w:tcPr>
          <w:p w14:paraId="39D547A7">
            <w:pPr>
              <w:pStyle w:val="26"/>
              <w:bidi w:val="0"/>
              <w:rPr>
                <w:rFonts w:hint="eastAsia"/>
                <w:highlight w:val="black"/>
              </w:rPr>
            </w:pPr>
          </w:p>
        </w:tc>
        <w:tc>
          <w:tcPr>
            <w:tcW w:w="364" w:type="pct"/>
            <w:shd w:val="clear" w:color="auto" w:fill="FFFFFF" w:themeFill="background1"/>
            <w:vAlign w:val="center"/>
          </w:tcPr>
          <w:p w14:paraId="7F406180">
            <w:pPr>
              <w:pStyle w:val="26"/>
              <w:bidi w:val="0"/>
              <w:rPr>
                <w:rFonts w:hint="eastAsia"/>
                <w:highlight w:val="black"/>
                <w:lang w:val="en-US" w:eastAsia="zh-CN"/>
              </w:rPr>
            </w:pPr>
            <w:r>
              <w:rPr>
                <w:rFonts w:hint="eastAsia"/>
                <w:highlight w:val="black"/>
              </w:rPr>
              <w:t>镀铜</w:t>
            </w:r>
          </w:p>
        </w:tc>
      </w:tr>
      <w:tr w14:paraId="291D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0884A93A">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12</w:t>
            </w:r>
          </w:p>
        </w:tc>
        <w:tc>
          <w:tcPr>
            <w:tcW w:w="520" w:type="pct"/>
            <w:vMerge w:val="continue"/>
            <w:shd w:val="clear" w:color="auto" w:fill="auto"/>
            <w:vAlign w:val="center"/>
          </w:tcPr>
          <w:p w14:paraId="41ED2508">
            <w:pPr>
              <w:pStyle w:val="26"/>
              <w:bidi w:val="0"/>
              <w:rPr>
                <w:rFonts w:hint="eastAsia"/>
              </w:rPr>
            </w:pPr>
          </w:p>
        </w:tc>
        <w:tc>
          <w:tcPr>
            <w:tcW w:w="520" w:type="pct"/>
            <w:shd w:val="clear" w:color="auto" w:fill="FFFFFF" w:themeFill="background1"/>
            <w:vAlign w:val="center"/>
          </w:tcPr>
          <w:p w14:paraId="39AB309F">
            <w:pPr>
              <w:pStyle w:val="26"/>
              <w:bidi w:val="0"/>
              <w:rPr>
                <w:rFonts w:hint="eastAsia"/>
                <w:highlight w:val="black"/>
                <w:lang w:val="en-US" w:eastAsia="zh-CN"/>
              </w:rPr>
            </w:pPr>
            <w:r>
              <w:rPr>
                <w:rFonts w:hint="eastAsia"/>
                <w:highlight w:val="black"/>
              </w:rPr>
              <w:t>铜球</w:t>
            </w:r>
          </w:p>
        </w:tc>
        <w:tc>
          <w:tcPr>
            <w:tcW w:w="876" w:type="pct"/>
            <w:shd w:val="clear" w:color="auto" w:fill="FFFFFF" w:themeFill="background1"/>
            <w:vAlign w:val="center"/>
          </w:tcPr>
          <w:p w14:paraId="45128DC4">
            <w:pPr>
              <w:pStyle w:val="26"/>
              <w:bidi w:val="0"/>
              <w:rPr>
                <w:rFonts w:hint="eastAsia"/>
                <w:highlight w:val="black"/>
                <w:lang w:val="en-US" w:eastAsia="zh-CN"/>
              </w:rPr>
            </w:pPr>
            <w:r>
              <w:rPr>
                <w:rFonts w:hint="eastAsia"/>
                <w:highlight w:val="black"/>
                <w:lang w:val="en-US" w:eastAsia="zh-CN"/>
              </w:rPr>
              <w:t>铜含量99.9%，磷含量0.05%</w:t>
            </w:r>
          </w:p>
        </w:tc>
        <w:tc>
          <w:tcPr>
            <w:tcW w:w="384" w:type="pct"/>
            <w:shd w:val="clear" w:color="auto" w:fill="FFFFFF" w:themeFill="background1"/>
            <w:vAlign w:val="center"/>
          </w:tcPr>
          <w:p w14:paraId="38EE6319">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49D2C068">
            <w:pPr>
              <w:pStyle w:val="26"/>
              <w:bidi w:val="0"/>
              <w:rPr>
                <w:rFonts w:hint="eastAsia"/>
                <w:highlight w:val="black"/>
                <w:lang w:val="en-US" w:eastAsia="zh-CN"/>
              </w:rPr>
            </w:pPr>
            <w:r>
              <w:rPr>
                <w:rFonts w:hint="eastAsia"/>
                <w:highlight w:val="black"/>
                <w:lang w:val="en-US" w:eastAsia="zh-CN"/>
              </w:rPr>
              <w:t>124</w:t>
            </w:r>
          </w:p>
        </w:tc>
        <w:tc>
          <w:tcPr>
            <w:tcW w:w="579" w:type="pct"/>
            <w:shd w:val="clear" w:color="auto" w:fill="FFFFFF" w:themeFill="background1"/>
            <w:vAlign w:val="center"/>
          </w:tcPr>
          <w:p w14:paraId="4C701402">
            <w:pPr>
              <w:pStyle w:val="26"/>
              <w:bidi w:val="0"/>
              <w:rPr>
                <w:rFonts w:hint="eastAsia"/>
                <w:highlight w:val="black"/>
                <w:lang w:val="en-US" w:eastAsia="zh-CN"/>
              </w:rPr>
            </w:pPr>
            <w:r>
              <w:rPr>
                <w:rFonts w:hint="eastAsia"/>
                <w:highlight w:val="black"/>
              </w:rPr>
              <w:t>25kg/桶</w:t>
            </w:r>
          </w:p>
        </w:tc>
        <w:tc>
          <w:tcPr>
            <w:tcW w:w="485" w:type="pct"/>
            <w:shd w:val="clear" w:color="auto" w:fill="FFFFFF" w:themeFill="background1"/>
            <w:vAlign w:val="center"/>
          </w:tcPr>
          <w:p w14:paraId="74D2D8DE">
            <w:pPr>
              <w:pStyle w:val="26"/>
              <w:bidi w:val="0"/>
              <w:rPr>
                <w:rFonts w:hint="eastAsia"/>
                <w:highlight w:val="black"/>
                <w:lang w:val="en-US" w:eastAsia="zh-CN"/>
              </w:rPr>
            </w:pPr>
            <w:r>
              <w:rPr>
                <w:rFonts w:hint="eastAsia"/>
                <w:highlight w:val="black"/>
              </w:rPr>
              <w:t>2.0</w:t>
            </w:r>
          </w:p>
        </w:tc>
        <w:tc>
          <w:tcPr>
            <w:tcW w:w="405" w:type="pct"/>
            <w:shd w:val="clear" w:color="auto" w:fill="FFFFFF" w:themeFill="background1"/>
            <w:vAlign w:val="center"/>
          </w:tcPr>
          <w:p w14:paraId="2DEA29AD">
            <w:pPr>
              <w:pStyle w:val="26"/>
              <w:bidi w:val="0"/>
              <w:rPr>
                <w:rFonts w:hint="default" w:eastAsia="仿宋_GB2312"/>
                <w:highlight w:val="black"/>
                <w:lang w:val="en-US" w:eastAsia="zh-CN"/>
              </w:rPr>
            </w:pPr>
            <w:r>
              <w:rPr>
                <w:rFonts w:hint="eastAsia"/>
                <w:highlight w:val="black"/>
                <w:lang w:val="en-US" w:eastAsia="zh-CN"/>
              </w:rPr>
              <w:t>1层仓库</w:t>
            </w:r>
          </w:p>
        </w:tc>
        <w:tc>
          <w:tcPr>
            <w:tcW w:w="364" w:type="pct"/>
            <w:shd w:val="clear" w:color="auto" w:fill="FFFFFF" w:themeFill="background1"/>
            <w:vAlign w:val="center"/>
          </w:tcPr>
          <w:p w14:paraId="22A1BA12">
            <w:pPr>
              <w:pStyle w:val="26"/>
              <w:bidi w:val="0"/>
              <w:rPr>
                <w:rFonts w:hint="eastAsia"/>
                <w:highlight w:val="black"/>
                <w:lang w:val="en-US" w:eastAsia="zh-CN"/>
              </w:rPr>
            </w:pPr>
            <w:r>
              <w:rPr>
                <w:rFonts w:hint="eastAsia"/>
                <w:highlight w:val="black"/>
              </w:rPr>
              <w:t>镀铜</w:t>
            </w:r>
          </w:p>
        </w:tc>
      </w:tr>
      <w:tr w14:paraId="585C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043B4380">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13</w:t>
            </w:r>
          </w:p>
        </w:tc>
        <w:tc>
          <w:tcPr>
            <w:tcW w:w="520" w:type="pct"/>
            <w:vMerge w:val="continue"/>
            <w:shd w:val="clear" w:color="auto" w:fill="auto"/>
            <w:vAlign w:val="center"/>
          </w:tcPr>
          <w:p w14:paraId="3A19FCE9">
            <w:pPr>
              <w:pStyle w:val="26"/>
              <w:bidi w:val="0"/>
              <w:rPr>
                <w:rFonts w:hint="eastAsia"/>
                <w:highlight w:val="yellow"/>
              </w:rPr>
            </w:pPr>
          </w:p>
        </w:tc>
        <w:tc>
          <w:tcPr>
            <w:tcW w:w="520" w:type="pct"/>
            <w:shd w:val="clear" w:color="auto" w:fill="FFFFFF" w:themeFill="background1"/>
            <w:vAlign w:val="center"/>
          </w:tcPr>
          <w:p w14:paraId="12C64DB2">
            <w:pPr>
              <w:pStyle w:val="26"/>
              <w:bidi w:val="0"/>
              <w:rPr>
                <w:rFonts w:hint="eastAsia"/>
                <w:highlight w:val="black"/>
                <w:lang w:val="en-US" w:eastAsia="zh-CN"/>
              </w:rPr>
            </w:pPr>
            <w:r>
              <w:rPr>
                <w:rFonts w:hint="eastAsia"/>
                <w:highlight w:val="black"/>
              </w:rPr>
              <w:t>镀铜添加剂</w:t>
            </w:r>
          </w:p>
        </w:tc>
        <w:tc>
          <w:tcPr>
            <w:tcW w:w="876" w:type="pct"/>
            <w:shd w:val="clear" w:color="auto" w:fill="FFFFFF" w:themeFill="background1"/>
            <w:vAlign w:val="center"/>
          </w:tcPr>
          <w:p w14:paraId="02464B27">
            <w:pPr>
              <w:pStyle w:val="26"/>
              <w:bidi w:val="0"/>
              <w:rPr>
                <w:rFonts w:hint="eastAsia"/>
                <w:highlight w:val="black"/>
                <w:lang w:val="en-US" w:eastAsia="zh-CN"/>
              </w:rPr>
            </w:pPr>
            <w:r>
              <w:rPr>
                <w:rFonts w:hint="eastAsia"/>
                <w:highlight w:val="black"/>
                <w:lang w:val="en-US" w:eastAsia="zh-CN"/>
              </w:rPr>
              <w:t>表面活性剂、有机酸盐、无机酸、金属盐、水</w:t>
            </w:r>
          </w:p>
        </w:tc>
        <w:tc>
          <w:tcPr>
            <w:tcW w:w="384" w:type="pct"/>
            <w:shd w:val="clear" w:color="auto" w:fill="FFFFFF" w:themeFill="background1"/>
            <w:vAlign w:val="center"/>
          </w:tcPr>
          <w:p w14:paraId="03A65050">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3A2B312B">
            <w:pPr>
              <w:pStyle w:val="26"/>
              <w:bidi w:val="0"/>
              <w:rPr>
                <w:rFonts w:hint="eastAsia"/>
                <w:highlight w:val="black"/>
                <w:lang w:val="en-US" w:eastAsia="zh-CN"/>
              </w:rPr>
            </w:pPr>
            <w:r>
              <w:rPr>
                <w:rFonts w:hint="eastAsia"/>
                <w:highlight w:val="black"/>
                <w:lang w:val="en-US" w:eastAsia="zh-CN"/>
              </w:rPr>
              <w:t>13.5</w:t>
            </w:r>
          </w:p>
        </w:tc>
        <w:tc>
          <w:tcPr>
            <w:tcW w:w="579" w:type="pct"/>
            <w:shd w:val="clear" w:color="auto" w:fill="FFFFFF" w:themeFill="background1"/>
            <w:vAlign w:val="center"/>
          </w:tcPr>
          <w:p w14:paraId="22BF4100">
            <w:pPr>
              <w:pStyle w:val="26"/>
              <w:bidi w:val="0"/>
              <w:rPr>
                <w:rFonts w:hint="eastAsia"/>
                <w:highlight w:val="black"/>
                <w:lang w:val="en-US" w:eastAsia="zh-CN"/>
              </w:rPr>
            </w:pPr>
          </w:p>
        </w:tc>
        <w:tc>
          <w:tcPr>
            <w:tcW w:w="485" w:type="pct"/>
            <w:shd w:val="clear" w:color="auto" w:fill="FFFFFF" w:themeFill="background1"/>
            <w:vAlign w:val="center"/>
          </w:tcPr>
          <w:p w14:paraId="79EED8D3">
            <w:pPr>
              <w:pStyle w:val="26"/>
              <w:bidi w:val="0"/>
              <w:rPr>
                <w:rFonts w:hint="eastAsia"/>
                <w:highlight w:val="black"/>
                <w:lang w:val="en-US" w:eastAsia="zh-CN"/>
              </w:rPr>
            </w:pPr>
            <w:r>
              <w:rPr>
                <w:rFonts w:hint="eastAsia"/>
                <w:highlight w:val="black"/>
              </w:rPr>
              <w:t>0.6</w:t>
            </w:r>
          </w:p>
        </w:tc>
        <w:tc>
          <w:tcPr>
            <w:tcW w:w="405" w:type="pct"/>
            <w:vMerge w:val="restart"/>
            <w:shd w:val="clear" w:color="auto" w:fill="FFFFFF" w:themeFill="background1"/>
            <w:vAlign w:val="center"/>
          </w:tcPr>
          <w:p w14:paraId="3FCF6FD7">
            <w:pPr>
              <w:pStyle w:val="26"/>
              <w:bidi w:val="0"/>
              <w:rPr>
                <w:rFonts w:hint="default" w:eastAsia="仿宋_GB2312"/>
                <w:highlight w:val="black"/>
                <w:lang w:val="en-US" w:eastAsia="zh-CN"/>
              </w:rPr>
            </w:pPr>
            <w:r>
              <w:rPr>
                <w:rFonts w:hint="eastAsia"/>
                <w:highlight w:val="black"/>
                <w:lang w:val="en-US" w:eastAsia="zh-CN"/>
              </w:rPr>
              <w:t>化学品库</w:t>
            </w:r>
          </w:p>
        </w:tc>
        <w:tc>
          <w:tcPr>
            <w:tcW w:w="364" w:type="pct"/>
            <w:shd w:val="clear" w:color="auto" w:fill="FFFFFF" w:themeFill="background1"/>
            <w:vAlign w:val="center"/>
          </w:tcPr>
          <w:p w14:paraId="60D19326">
            <w:pPr>
              <w:pStyle w:val="26"/>
              <w:bidi w:val="0"/>
              <w:rPr>
                <w:rFonts w:hint="eastAsia"/>
                <w:highlight w:val="black"/>
                <w:lang w:val="en-US" w:eastAsia="zh-CN"/>
              </w:rPr>
            </w:pPr>
            <w:r>
              <w:rPr>
                <w:rFonts w:hint="eastAsia"/>
                <w:highlight w:val="black"/>
              </w:rPr>
              <w:t>镀铜</w:t>
            </w:r>
          </w:p>
        </w:tc>
      </w:tr>
      <w:tr w14:paraId="52DB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5A5C326A">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14</w:t>
            </w:r>
          </w:p>
        </w:tc>
        <w:tc>
          <w:tcPr>
            <w:tcW w:w="520" w:type="pct"/>
            <w:vMerge w:val="continue"/>
            <w:shd w:val="clear" w:color="auto" w:fill="auto"/>
            <w:vAlign w:val="center"/>
          </w:tcPr>
          <w:p w14:paraId="0953C25B">
            <w:pPr>
              <w:pStyle w:val="26"/>
              <w:bidi w:val="0"/>
              <w:rPr>
                <w:rFonts w:hint="eastAsia"/>
                <w:highlight w:val="yellow"/>
              </w:rPr>
            </w:pPr>
          </w:p>
        </w:tc>
        <w:tc>
          <w:tcPr>
            <w:tcW w:w="520" w:type="pct"/>
            <w:shd w:val="clear" w:color="auto" w:fill="FFFFFF" w:themeFill="background1"/>
            <w:vAlign w:val="center"/>
          </w:tcPr>
          <w:p w14:paraId="0D02DEDC">
            <w:pPr>
              <w:pStyle w:val="26"/>
              <w:bidi w:val="0"/>
              <w:rPr>
                <w:rFonts w:hint="eastAsia"/>
                <w:highlight w:val="black"/>
                <w:lang w:val="en-US" w:eastAsia="zh-CN"/>
              </w:rPr>
            </w:pPr>
            <w:r>
              <w:rPr>
                <w:rFonts w:hint="eastAsia"/>
                <w:highlight w:val="black"/>
              </w:rPr>
              <w:t>硫酸</w:t>
            </w:r>
          </w:p>
        </w:tc>
        <w:tc>
          <w:tcPr>
            <w:tcW w:w="876" w:type="pct"/>
            <w:shd w:val="clear" w:color="auto" w:fill="FFFFFF" w:themeFill="background1"/>
            <w:vAlign w:val="center"/>
          </w:tcPr>
          <w:p w14:paraId="620444E8">
            <w:pPr>
              <w:pStyle w:val="26"/>
              <w:bidi w:val="0"/>
              <w:rPr>
                <w:rFonts w:hint="eastAsia"/>
                <w:highlight w:val="black"/>
                <w:lang w:val="en-US" w:eastAsia="zh-CN"/>
              </w:rPr>
            </w:pPr>
            <w:r>
              <w:rPr>
                <w:rFonts w:hint="eastAsia"/>
                <w:highlight w:val="black"/>
                <w:lang w:val="en-US" w:eastAsia="zh-CN"/>
              </w:rPr>
              <w:t>98%硫酸</w:t>
            </w:r>
          </w:p>
        </w:tc>
        <w:tc>
          <w:tcPr>
            <w:tcW w:w="384" w:type="pct"/>
            <w:shd w:val="clear" w:color="auto" w:fill="FFFFFF" w:themeFill="background1"/>
            <w:vAlign w:val="center"/>
          </w:tcPr>
          <w:p w14:paraId="41377161">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6D4B0214">
            <w:pPr>
              <w:pStyle w:val="26"/>
              <w:bidi w:val="0"/>
              <w:rPr>
                <w:rFonts w:hint="eastAsia"/>
                <w:highlight w:val="black"/>
                <w:lang w:val="en-US" w:eastAsia="zh-CN"/>
              </w:rPr>
            </w:pPr>
            <w:r>
              <w:rPr>
                <w:rFonts w:hint="eastAsia"/>
                <w:highlight w:val="black"/>
                <w:lang w:val="en-US" w:eastAsia="zh-CN"/>
              </w:rPr>
              <w:t>22.7</w:t>
            </w:r>
          </w:p>
        </w:tc>
        <w:tc>
          <w:tcPr>
            <w:tcW w:w="579" w:type="pct"/>
            <w:shd w:val="clear" w:color="auto" w:fill="FFFFFF" w:themeFill="background1"/>
            <w:vAlign w:val="center"/>
          </w:tcPr>
          <w:p w14:paraId="7B7A8E69">
            <w:pPr>
              <w:pStyle w:val="26"/>
              <w:bidi w:val="0"/>
              <w:rPr>
                <w:rFonts w:hint="eastAsia"/>
                <w:highlight w:val="black"/>
                <w:lang w:val="en-US" w:eastAsia="zh-CN"/>
              </w:rPr>
            </w:pPr>
          </w:p>
        </w:tc>
        <w:tc>
          <w:tcPr>
            <w:tcW w:w="485" w:type="pct"/>
            <w:shd w:val="clear" w:color="auto" w:fill="FFFFFF" w:themeFill="background1"/>
            <w:vAlign w:val="center"/>
          </w:tcPr>
          <w:p w14:paraId="61AE0FEF">
            <w:pPr>
              <w:pStyle w:val="26"/>
              <w:bidi w:val="0"/>
              <w:rPr>
                <w:rFonts w:hint="eastAsia"/>
                <w:highlight w:val="black"/>
                <w:lang w:val="en-US" w:eastAsia="zh-CN"/>
              </w:rPr>
            </w:pPr>
            <w:r>
              <w:rPr>
                <w:rFonts w:hint="eastAsia"/>
                <w:highlight w:val="black"/>
              </w:rPr>
              <w:t>0.8</w:t>
            </w:r>
          </w:p>
        </w:tc>
        <w:tc>
          <w:tcPr>
            <w:tcW w:w="405" w:type="pct"/>
            <w:vMerge w:val="continue"/>
            <w:shd w:val="clear" w:color="auto" w:fill="FFFFFF" w:themeFill="background1"/>
            <w:vAlign w:val="center"/>
          </w:tcPr>
          <w:p w14:paraId="4EEFEDD9">
            <w:pPr>
              <w:pStyle w:val="26"/>
              <w:bidi w:val="0"/>
              <w:rPr>
                <w:rFonts w:hint="eastAsia"/>
                <w:highlight w:val="black"/>
              </w:rPr>
            </w:pPr>
          </w:p>
        </w:tc>
        <w:tc>
          <w:tcPr>
            <w:tcW w:w="364" w:type="pct"/>
            <w:shd w:val="clear" w:color="auto" w:fill="FFFFFF" w:themeFill="background1"/>
            <w:vAlign w:val="center"/>
          </w:tcPr>
          <w:p w14:paraId="6E7BE109">
            <w:pPr>
              <w:pStyle w:val="26"/>
              <w:bidi w:val="0"/>
              <w:rPr>
                <w:rFonts w:hint="eastAsia"/>
                <w:highlight w:val="black"/>
                <w:lang w:val="en-US" w:eastAsia="zh-CN"/>
              </w:rPr>
            </w:pPr>
            <w:r>
              <w:rPr>
                <w:rFonts w:hint="eastAsia"/>
                <w:highlight w:val="black"/>
              </w:rPr>
              <w:t>镀铜</w:t>
            </w:r>
          </w:p>
        </w:tc>
      </w:tr>
      <w:tr w14:paraId="5EAA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15C526CF">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15</w:t>
            </w:r>
          </w:p>
        </w:tc>
        <w:tc>
          <w:tcPr>
            <w:tcW w:w="520" w:type="pct"/>
            <w:vMerge w:val="continue"/>
            <w:shd w:val="clear" w:color="auto" w:fill="auto"/>
            <w:vAlign w:val="center"/>
          </w:tcPr>
          <w:p w14:paraId="0DAA657B">
            <w:pPr>
              <w:pStyle w:val="26"/>
              <w:bidi w:val="0"/>
              <w:rPr>
                <w:rFonts w:hint="eastAsia"/>
                <w:highlight w:val="yellow"/>
              </w:rPr>
            </w:pPr>
          </w:p>
        </w:tc>
        <w:tc>
          <w:tcPr>
            <w:tcW w:w="520" w:type="pct"/>
            <w:shd w:val="clear" w:color="auto" w:fill="FFFFFF" w:themeFill="background1"/>
            <w:vAlign w:val="center"/>
          </w:tcPr>
          <w:p w14:paraId="2BB4364C">
            <w:pPr>
              <w:pStyle w:val="26"/>
              <w:bidi w:val="0"/>
              <w:rPr>
                <w:rFonts w:hint="eastAsia"/>
                <w:highlight w:val="black"/>
                <w:lang w:val="en-US" w:eastAsia="zh-CN"/>
              </w:rPr>
            </w:pPr>
            <w:r>
              <w:rPr>
                <w:rFonts w:hint="eastAsia"/>
                <w:highlight w:val="black"/>
              </w:rPr>
              <w:t>铬酐</w:t>
            </w:r>
          </w:p>
        </w:tc>
        <w:tc>
          <w:tcPr>
            <w:tcW w:w="876" w:type="pct"/>
            <w:shd w:val="clear" w:color="auto" w:fill="FFFFFF" w:themeFill="background1"/>
            <w:vAlign w:val="center"/>
          </w:tcPr>
          <w:p w14:paraId="3283C6DA">
            <w:pPr>
              <w:pStyle w:val="26"/>
              <w:bidi w:val="0"/>
              <w:rPr>
                <w:rFonts w:hint="eastAsia"/>
                <w:highlight w:val="black"/>
                <w:lang w:val="en-US" w:eastAsia="zh-CN"/>
              </w:rPr>
            </w:pPr>
            <w:r>
              <w:rPr>
                <w:rFonts w:hint="eastAsia"/>
                <w:highlight w:val="black"/>
                <w:lang w:val="en-US" w:eastAsia="zh-CN"/>
              </w:rPr>
              <w:t>99.5%三氧化铬</w:t>
            </w:r>
          </w:p>
        </w:tc>
        <w:tc>
          <w:tcPr>
            <w:tcW w:w="384" w:type="pct"/>
            <w:shd w:val="clear" w:color="auto" w:fill="FFFFFF" w:themeFill="background1"/>
            <w:vAlign w:val="center"/>
          </w:tcPr>
          <w:p w14:paraId="4698C650">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55D5C4D2">
            <w:pPr>
              <w:pStyle w:val="26"/>
              <w:bidi w:val="0"/>
              <w:rPr>
                <w:rFonts w:hint="eastAsia"/>
                <w:highlight w:val="black"/>
                <w:lang w:val="en-US" w:eastAsia="zh-CN"/>
              </w:rPr>
            </w:pPr>
            <w:r>
              <w:rPr>
                <w:rFonts w:hint="eastAsia"/>
                <w:highlight w:val="black"/>
                <w:lang w:val="en-US" w:eastAsia="zh-CN"/>
              </w:rPr>
              <w:t>26.5</w:t>
            </w:r>
          </w:p>
        </w:tc>
        <w:tc>
          <w:tcPr>
            <w:tcW w:w="579" w:type="pct"/>
            <w:shd w:val="clear" w:color="auto" w:fill="FFFFFF" w:themeFill="background1"/>
            <w:vAlign w:val="center"/>
          </w:tcPr>
          <w:p w14:paraId="0C3F21AF">
            <w:pPr>
              <w:pStyle w:val="26"/>
              <w:bidi w:val="0"/>
              <w:rPr>
                <w:rFonts w:hint="eastAsia"/>
                <w:highlight w:val="black"/>
                <w:lang w:val="en-US" w:eastAsia="zh-CN"/>
              </w:rPr>
            </w:pPr>
          </w:p>
        </w:tc>
        <w:tc>
          <w:tcPr>
            <w:tcW w:w="485" w:type="pct"/>
            <w:shd w:val="clear" w:color="auto" w:fill="FFFFFF" w:themeFill="background1"/>
            <w:vAlign w:val="center"/>
          </w:tcPr>
          <w:p w14:paraId="3CEBB8A8">
            <w:pPr>
              <w:pStyle w:val="26"/>
              <w:bidi w:val="0"/>
              <w:rPr>
                <w:rFonts w:hint="eastAsia"/>
                <w:highlight w:val="black"/>
                <w:lang w:val="en-US" w:eastAsia="zh-CN"/>
              </w:rPr>
            </w:pPr>
            <w:r>
              <w:rPr>
                <w:rFonts w:hint="eastAsia"/>
                <w:highlight w:val="black"/>
              </w:rPr>
              <w:t>1.8</w:t>
            </w:r>
          </w:p>
        </w:tc>
        <w:tc>
          <w:tcPr>
            <w:tcW w:w="405" w:type="pct"/>
            <w:vMerge w:val="continue"/>
            <w:shd w:val="clear" w:color="auto" w:fill="FFFFFF" w:themeFill="background1"/>
            <w:vAlign w:val="center"/>
          </w:tcPr>
          <w:p w14:paraId="06E23DBE">
            <w:pPr>
              <w:pStyle w:val="26"/>
              <w:bidi w:val="0"/>
              <w:rPr>
                <w:rFonts w:hint="eastAsia"/>
                <w:highlight w:val="black"/>
              </w:rPr>
            </w:pPr>
          </w:p>
        </w:tc>
        <w:tc>
          <w:tcPr>
            <w:tcW w:w="364" w:type="pct"/>
            <w:shd w:val="clear" w:color="auto" w:fill="FFFFFF" w:themeFill="background1"/>
            <w:vAlign w:val="center"/>
          </w:tcPr>
          <w:p w14:paraId="4A3309B8">
            <w:pPr>
              <w:pStyle w:val="26"/>
              <w:bidi w:val="0"/>
              <w:rPr>
                <w:rFonts w:hint="eastAsia"/>
                <w:highlight w:val="black"/>
                <w:lang w:val="en-US" w:eastAsia="zh-CN"/>
              </w:rPr>
            </w:pPr>
            <w:r>
              <w:rPr>
                <w:rFonts w:hint="eastAsia"/>
                <w:highlight w:val="black"/>
              </w:rPr>
              <w:t>镀铬</w:t>
            </w:r>
          </w:p>
        </w:tc>
      </w:tr>
      <w:tr w14:paraId="7F4B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2" w:type="pct"/>
            <w:vAlign w:val="center"/>
          </w:tcPr>
          <w:p w14:paraId="6EEDC4B5">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16</w:t>
            </w:r>
          </w:p>
        </w:tc>
        <w:tc>
          <w:tcPr>
            <w:tcW w:w="520" w:type="pct"/>
            <w:vMerge w:val="continue"/>
            <w:shd w:val="clear" w:color="auto" w:fill="auto"/>
            <w:vAlign w:val="center"/>
          </w:tcPr>
          <w:p w14:paraId="3133F574">
            <w:pPr>
              <w:pStyle w:val="26"/>
              <w:bidi w:val="0"/>
              <w:rPr>
                <w:rFonts w:hint="eastAsia"/>
                <w:highlight w:val="yellow"/>
              </w:rPr>
            </w:pPr>
          </w:p>
        </w:tc>
        <w:tc>
          <w:tcPr>
            <w:tcW w:w="520" w:type="pct"/>
            <w:shd w:val="clear" w:color="auto" w:fill="FFFFFF" w:themeFill="background1"/>
            <w:vAlign w:val="center"/>
          </w:tcPr>
          <w:p w14:paraId="62D55920">
            <w:pPr>
              <w:pStyle w:val="26"/>
              <w:bidi w:val="0"/>
              <w:rPr>
                <w:rFonts w:hint="eastAsia"/>
                <w:highlight w:val="black"/>
                <w:lang w:val="en-US" w:eastAsia="zh-CN"/>
              </w:rPr>
            </w:pPr>
            <w:r>
              <w:rPr>
                <w:rFonts w:hint="eastAsia"/>
                <w:highlight w:val="black"/>
              </w:rPr>
              <w:t>铬添加剂</w:t>
            </w:r>
          </w:p>
        </w:tc>
        <w:tc>
          <w:tcPr>
            <w:tcW w:w="876" w:type="pct"/>
            <w:shd w:val="clear" w:color="auto" w:fill="FFFFFF" w:themeFill="background1"/>
            <w:vAlign w:val="center"/>
          </w:tcPr>
          <w:p w14:paraId="72D8D1D3">
            <w:pPr>
              <w:pStyle w:val="26"/>
              <w:bidi w:val="0"/>
              <w:rPr>
                <w:rFonts w:hint="eastAsia"/>
                <w:highlight w:val="black"/>
                <w:lang w:val="en-US" w:eastAsia="zh-CN"/>
              </w:rPr>
            </w:pPr>
            <w:r>
              <w:rPr>
                <w:rFonts w:hint="eastAsia"/>
                <w:highlight w:val="black"/>
              </w:rPr>
              <w:t>甲基磺酸钠</w:t>
            </w:r>
            <w:r>
              <w:rPr>
                <w:rFonts w:hint="eastAsia"/>
                <w:highlight w:val="black"/>
                <w:lang w:eastAsia="zh-CN"/>
              </w:rPr>
              <w:t>、</w:t>
            </w:r>
            <w:r>
              <w:rPr>
                <w:rFonts w:hint="eastAsia"/>
                <w:highlight w:val="black"/>
                <w:lang w:val="en-US" w:eastAsia="zh-CN"/>
              </w:rPr>
              <w:t>水</w:t>
            </w:r>
          </w:p>
        </w:tc>
        <w:tc>
          <w:tcPr>
            <w:tcW w:w="384" w:type="pct"/>
            <w:shd w:val="clear" w:color="auto" w:fill="FFFFFF" w:themeFill="background1"/>
            <w:vAlign w:val="center"/>
          </w:tcPr>
          <w:p w14:paraId="066E7384">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3172AB1D">
            <w:pPr>
              <w:pStyle w:val="26"/>
              <w:bidi w:val="0"/>
              <w:rPr>
                <w:rFonts w:hint="eastAsia"/>
                <w:highlight w:val="black"/>
                <w:lang w:val="en-US" w:eastAsia="zh-CN"/>
              </w:rPr>
            </w:pPr>
            <w:r>
              <w:rPr>
                <w:rFonts w:hint="eastAsia"/>
                <w:highlight w:val="black"/>
                <w:lang w:val="en-US" w:eastAsia="zh-CN"/>
              </w:rPr>
              <w:t>1.25</w:t>
            </w:r>
          </w:p>
        </w:tc>
        <w:tc>
          <w:tcPr>
            <w:tcW w:w="579" w:type="pct"/>
            <w:shd w:val="clear" w:color="auto" w:fill="FFFFFF" w:themeFill="background1"/>
            <w:vAlign w:val="center"/>
          </w:tcPr>
          <w:p w14:paraId="0543EEAC">
            <w:pPr>
              <w:pStyle w:val="26"/>
              <w:bidi w:val="0"/>
              <w:rPr>
                <w:rFonts w:hint="eastAsia"/>
                <w:highlight w:val="black"/>
                <w:lang w:val="en-US" w:eastAsia="zh-CN"/>
              </w:rPr>
            </w:pPr>
          </w:p>
        </w:tc>
        <w:tc>
          <w:tcPr>
            <w:tcW w:w="485" w:type="pct"/>
            <w:shd w:val="clear" w:color="auto" w:fill="FFFFFF" w:themeFill="background1"/>
            <w:vAlign w:val="center"/>
          </w:tcPr>
          <w:p w14:paraId="42E1CAE4">
            <w:pPr>
              <w:pStyle w:val="26"/>
              <w:bidi w:val="0"/>
              <w:rPr>
                <w:rFonts w:hint="eastAsia"/>
                <w:highlight w:val="black"/>
                <w:lang w:val="en-US" w:eastAsia="zh-CN"/>
              </w:rPr>
            </w:pPr>
            <w:r>
              <w:rPr>
                <w:rFonts w:hint="eastAsia"/>
                <w:highlight w:val="black"/>
              </w:rPr>
              <w:t>0.36</w:t>
            </w:r>
          </w:p>
        </w:tc>
        <w:tc>
          <w:tcPr>
            <w:tcW w:w="405" w:type="pct"/>
            <w:vMerge w:val="continue"/>
            <w:shd w:val="clear" w:color="auto" w:fill="FFFFFF" w:themeFill="background1"/>
            <w:vAlign w:val="center"/>
          </w:tcPr>
          <w:p w14:paraId="2C54D3AB">
            <w:pPr>
              <w:pStyle w:val="26"/>
              <w:bidi w:val="0"/>
              <w:rPr>
                <w:rFonts w:hint="eastAsia"/>
                <w:highlight w:val="black"/>
              </w:rPr>
            </w:pPr>
          </w:p>
        </w:tc>
        <w:tc>
          <w:tcPr>
            <w:tcW w:w="364" w:type="pct"/>
            <w:shd w:val="clear" w:color="auto" w:fill="FFFFFF" w:themeFill="background1"/>
            <w:vAlign w:val="center"/>
          </w:tcPr>
          <w:p w14:paraId="058CFEB6">
            <w:pPr>
              <w:pStyle w:val="26"/>
              <w:bidi w:val="0"/>
              <w:rPr>
                <w:rFonts w:hint="eastAsia"/>
                <w:highlight w:val="black"/>
                <w:lang w:val="en-US" w:eastAsia="zh-CN"/>
              </w:rPr>
            </w:pPr>
            <w:r>
              <w:rPr>
                <w:rFonts w:hint="eastAsia"/>
                <w:highlight w:val="black"/>
              </w:rPr>
              <w:t>镀铬</w:t>
            </w:r>
          </w:p>
        </w:tc>
      </w:tr>
      <w:tr w14:paraId="204E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64C39633">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17</w:t>
            </w:r>
          </w:p>
        </w:tc>
        <w:tc>
          <w:tcPr>
            <w:tcW w:w="520" w:type="pct"/>
            <w:vMerge w:val="continue"/>
            <w:shd w:val="clear" w:color="auto" w:fill="auto"/>
            <w:vAlign w:val="center"/>
          </w:tcPr>
          <w:p w14:paraId="7D5FA748">
            <w:pPr>
              <w:pStyle w:val="26"/>
              <w:bidi w:val="0"/>
              <w:rPr>
                <w:rFonts w:hint="eastAsia"/>
                <w:highlight w:val="yellow"/>
              </w:rPr>
            </w:pPr>
          </w:p>
        </w:tc>
        <w:tc>
          <w:tcPr>
            <w:tcW w:w="520" w:type="pct"/>
            <w:shd w:val="clear" w:color="auto" w:fill="FFFFFF" w:themeFill="background1"/>
            <w:vAlign w:val="center"/>
          </w:tcPr>
          <w:p w14:paraId="410DA27C">
            <w:pPr>
              <w:pStyle w:val="26"/>
              <w:bidi w:val="0"/>
              <w:rPr>
                <w:rFonts w:hint="eastAsia"/>
                <w:highlight w:val="black"/>
                <w:lang w:val="en-US" w:eastAsia="zh-CN"/>
              </w:rPr>
            </w:pPr>
            <w:r>
              <w:rPr>
                <w:rFonts w:hint="eastAsia"/>
                <w:highlight w:val="black"/>
              </w:rPr>
              <w:t>铬雾抑制剂</w:t>
            </w:r>
          </w:p>
        </w:tc>
        <w:tc>
          <w:tcPr>
            <w:tcW w:w="876" w:type="pct"/>
            <w:shd w:val="clear" w:color="auto" w:fill="FFFFFF" w:themeFill="background1"/>
            <w:vAlign w:val="center"/>
          </w:tcPr>
          <w:p w14:paraId="212F1550">
            <w:pPr>
              <w:pStyle w:val="26"/>
              <w:bidi w:val="0"/>
              <w:rPr>
                <w:rFonts w:hint="eastAsia"/>
                <w:highlight w:val="black"/>
                <w:lang w:val="en-US" w:eastAsia="zh-CN"/>
              </w:rPr>
            </w:pPr>
            <w:r>
              <w:rPr>
                <w:rFonts w:hint="eastAsia"/>
                <w:highlight w:val="black"/>
              </w:rPr>
              <w:t>十三氟辛磺酸</w:t>
            </w:r>
            <w:r>
              <w:rPr>
                <w:rFonts w:hint="eastAsia"/>
                <w:highlight w:val="black"/>
                <w:lang w:eastAsia="zh-CN"/>
              </w:rPr>
              <w:t>、</w:t>
            </w:r>
            <w:r>
              <w:rPr>
                <w:rFonts w:hint="eastAsia"/>
                <w:highlight w:val="black"/>
                <w:lang w:val="en-US" w:eastAsia="zh-CN"/>
              </w:rPr>
              <w:t>水</w:t>
            </w:r>
          </w:p>
        </w:tc>
        <w:tc>
          <w:tcPr>
            <w:tcW w:w="384" w:type="pct"/>
            <w:shd w:val="clear" w:color="auto" w:fill="FFFFFF" w:themeFill="background1"/>
            <w:vAlign w:val="center"/>
          </w:tcPr>
          <w:p w14:paraId="7F415C34">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1198A183">
            <w:pPr>
              <w:pStyle w:val="26"/>
              <w:bidi w:val="0"/>
              <w:rPr>
                <w:rFonts w:hint="eastAsia"/>
                <w:highlight w:val="black"/>
                <w:lang w:val="en-US" w:eastAsia="zh-CN"/>
              </w:rPr>
            </w:pPr>
            <w:r>
              <w:rPr>
                <w:rFonts w:hint="eastAsia"/>
                <w:highlight w:val="black"/>
                <w:lang w:val="en-US" w:eastAsia="zh-CN"/>
              </w:rPr>
              <w:t>0.68</w:t>
            </w:r>
          </w:p>
        </w:tc>
        <w:tc>
          <w:tcPr>
            <w:tcW w:w="579" w:type="pct"/>
            <w:shd w:val="clear" w:color="auto" w:fill="FFFFFF" w:themeFill="background1"/>
            <w:vAlign w:val="center"/>
          </w:tcPr>
          <w:p w14:paraId="504D5368">
            <w:pPr>
              <w:pStyle w:val="26"/>
              <w:bidi w:val="0"/>
              <w:rPr>
                <w:rFonts w:hint="eastAsia"/>
                <w:highlight w:val="black"/>
                <w:lang w:val="en-US" w:eastAsia="zh-CN"/>
              </w:rPr>
            </w:pPr>
          </w:p>
        </w:tc>
        <w:tc>
          <w:tcPr>
            <w:tcW w:w="485" w:type="pct"/>
            <w:shd w:val="clear" w:color="auto" w:fill="FFFFFF" w:themeFill="background1"/>
            <w:vAlign w:val="center"/>
          </w:tcPr>
          <w:p w14:paraId="44861D5A">
            <w:pPr>
              <w:pStyle w:val="26"/>
              <w:bidi w:val="0"/>
              <w:rPr>
                <w:rFonts w:hint="eastAsia"/>
                <w:highlight w:val="black"/>
                <w:lang w:val="en-US" w:eastAsia="zh-CN"/>
              </w:rPr>
            </w:pPr>
            <w:r>
              <w:rPr>
                <w:rFonts w:hint="eastAsia"/>
                <w:highlight w:val="black"/>
              </w:rPr>
              <w:t>0.3</w:t>
            </w:r>
          </w:p>
        </w:tc>
        <w:tc>
          <w:tcPr>
            <w:tcW w:w="405" w:type="pct"/>
            <w:vMerge w:val="continue"/>
            <w:shd w:val="clear" w:color="auto" w:fill="FFFFFF" w:themeFill="background1"/>
            <w:vAlign w:val="center"/>
          </w:tcPr>
          <w:p w14:paraId="4035F9A7">
            <w:pPr>
              <w:pStyle w:val="26"/>
              <w:bidi w:val="0"/>
              <w:rPr>
                <w:rFonts w:hint="eastAsia"/>
                <w:highlight w:val="black"/>
              </w:rPr>
            </w:pPr>
          </w:p>
        </w:tc>
        <w:tc>
          <w:tcPr>
            <w:tcW w:w="364" w:type="pct"/>
            <w:shd w:val="clear" w:color="auto" w:fill="FFFFFF" w:themeFill="background1"/>
            <w:vAlign w:val="center"/>
          </w:tcPr>
          <w:p w14:paraId="105B1426">
            <w:pPr>
              <w:pStyle w:val="26"/>
              <w:bidi w:val="0"/>
              <w:rPr>
                <w:rFonts w:hint="eastAsia"/>
                <w:highlight w:val="black"/>
                <w:lang w:val="en-US" w:eastAsia="zh-CN"/>
              </w:rPr>
            </w:pPr>
            <w:r>
              <w:rPr>
                <w:rFonts w:hint="eastAsia"/>
                <w:highlight w:val="black"/>
              </w:rPr>
              <w:t>镀铬</w:t>
            </w:r>
          </w:p>
        </w:tc>
      </w:tr>
      <w:tr w14:paraId="7265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70B28040">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18</w:t>
            </w:r>
          </w:p>
        </w:tc>
        <w:tc>
          <w:tcPr>
            <w:tcW w:w="520" w:type="pct"/>
            <w:vMerge w:val="continue"/>
            <w:shd w:val="clear" w:color="auto" w:fill="auto"/>
            <w:vAlign w:val="center"/>
          </w:tcPr>
          <w:p w14:paraId="6830CDC6">
            <w:pPr>
              <w:pStyle w:val="26"/>
              <w:bidi w:val="0"/>
              <w:rPr>
                <w:rFonts w:hint="eastAsia"/>
                <w:highlight w:val="yellow"/>
              </w:rPr>
            </w:pPr>
          </w:p>
        </w:tc>
        <w:tc>
          <w:tcPr>
            <w:tcW w:w="520" w:type="pct"/>
            <w:shd w:val="clear" w:color="auto" w:fill="FFFFFF" w:themeFill="background1"/>
            <w:vAlign w:val="center"/>
          </w:tcPr>
          <w:p w14:paraId="7DCCCC27">
            <w:pPr>
              <w:pStyle w:val="26"/>
              <w:bidi w:val="0"/>
              <w:rPr>
                <w:rFonts w:hint="eastAsia"/>
                <w:highlight w:val="black"/>
                <w:lang w:val="en-US" w:eastAsia="zh-CN"/>
              </w:rPr>
            </w:pPr>
            <w:r>
              <w:rPr>
                <w:rFonts w:hint="eastAsia"/>
                <w:highlight w:val="black"/>
              </w:rPr>
              <w:t>金属净洗剂</w:t>
            </w:r>
          </w:p>
        </w:tc>
        <w:tc>
          <w:tcPr>
            <w:tcW w:w="876" w:type="pct"/>
            <w:shd w:val="clear" w:color="auto" w:fill="FFFFFF" w:themeFill="background1"/>
            <w:vAlign w:val="center"/>
          </w:tcPr>
          <w:p w14:paraId="2171B4EB">
            <w:pPr>
              <w:pStyle w:val="26"/>
              <w:bidi w:val="0"/>
              <w:rPr>
                <w:rFonts w:hint="eastAsia"/>
                <w:highlight w:val="black"/>
                <w:lang w:val="en-US" w:eastAsia="zh-CN"/>
              </w:rPr>
            </w:pPr>
            <w:r>
              <w:rPr>
                <w:rFonts w:hint="eastAsia"/>
                <w:highlight w:val="black"/>
              </w:rPr>
              <w:t>脂肪醇醚</w:t>
            </w:r>
            <w:r>
              <w:rPr>
                <w:rFonts w:hint="eastAsia"/>
                <w:highlight w:val="black"/>
                <w:lang w:eastAsia="zh-CN"/>
              </w:rPr>
              <w:t>、</w:t>
            </w:r>
            <w:r>
              <w:rPr>
                <w:rFonts w:hint="eastAsia"/>
                <w:highlight w:val="black"/>
              </w:rPr>
              <w:t>烷基磺酸盐</w:t>
            </w:r>
            <w:r>
              <w:rPr>
                <w:rFonts w:hint="eastAsia"/>
                <w:highlight w:val="black"/>
                <w:lang w:eastAsia="zh-CN"/>
              </w:rPr>
              <w:t>、</w:t>
            </w:r>
            <w:r>
              <w:rPr>
                <w:rFonts w:hint="eastAsia"/>
                <w:highlight w:val="black"/>
              </w:rPr>
              <w:t>壬基酚醚</w:t>
            </w:r>
            <w:r>
              <w:rPr>
                <w:rFonts w:hint="eastAsia"/>
                <w:highlight w:val="black"/>
                <w:lang w:eastAsia="zh-CN"/>
              </w:rPr>
              <w:t>、</w:t>
            </w:r>
            <w:r>
              <w:rPr>
                <w:rFonts w:hint="eastAsia"/>
                <w:highlight w:val="black"/>
              </w:rPr>
              <w:t>硅酸盐</w:t>
            </w:r>
            <w:r>
              <w:rPr>
                <w:rFonts w:hint="eastAsia"/>
                <w:highlight w:val="black"/>
                <w:lang w:eastAsia="zh-CN"/>
              </w:rPr>
              <w:t>、</w:t>
            </w:r>
            <w:r>
              <w:rPr>
                <w:rFonts w:hint="eastAsia"/>
                <w:highlight w:val="black"/>
              </w:rPr>
              <w:t>硫酸钠</w:t>
            </w:r>
            <w:r>
              <w:rPr>
                <w:rFonts w:hint="eastAsia"/>
                <w:highlight w:val="black"/>
                <w:lang w:eastAsia="zh-CN"/>
              </w:rPr>
              <w:t>、</w:t>
            </w:r>
            <w:r>
              <w:rPr>
                <w:rFonts w:hint="eastAsia"/>
                <w:highlight w:val="black"/>
              </w:rPr>
              <w:t>磷酸盐混合物</w:t>
            </w:r>
            <w:r>
              <w:rPr>
                <w:rFonts w:hint="eastAsia"/>
                <w:highlight w:val="black"/>
                <w:lang w:eastAsia="zh-CN"/>
              </w:rPr>
              <w:t>、</w:t>
            </w:r>
            <w:r>
              <w:rPr>
                <w:rFonts w:hint="eastAsia"/>
                <w:highlight w:val="black"/>
              </w:rPr>
              <w:t>碳酸盐</w:t>
            </w:r>
          </w:p>
        </w:tc>
        <w:tc>
          <w:tcPr>
            <w:tcW w:w="384" w:type="pct"/>
            <w:shd w:val="clear" w:color="auto" w:fill="FFFFFF" w:themeFill="background1"/>
            <w:vAlign w:val="center"/>
          </w:tcPr>
          <w:p w14:paraId="132B9A52">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2FF56899">
            <w:pPr>
              <w:pStyle w:val="26"/>
              <w:bidi w:val="0"/>
              <w:rPr>
                <w:rFonts w:hint="eastAsia"/>
                <w:highlight w:val="black"/>
                <w:lang w:val="en-US" w:eastAsia="zh-CN"/>
              </w:rPr>
            </w:pPr>
            <w:r>
              <w:rPr>
                <w:rFonts w:hint="eastAsia"/>
                <w:highlight w:val="black"/>
                <w:lang w:val="en-US" w:eastAsia="zh-CN"/>
              </w:rPr>
              <w:t>6.8</w:t>
            </w:r>
          </w:p>
        </w:tc>
        <w:tc>
          <w:tcPr>
            <w:tcW w:w="579" w:type="pct"/>
            <w:shd w:val="clear" w:color="auto" w:fill="FFFFFF" w:themeFill="background1"/>
            <w:vAlign w:val="center"/>
          </w:tcPr>
          <w:p w14:paraId="4775F896">
            <w:pPr>
              <w:pStyle w:val="26"/>
              <w:bidi w:val="0"/>
              <w:rPr>
                <w:rFonts w:hint="eastAsia"/>
                <w:highlight w:val="black"/>
                <w:lang w:val="en-US" w:eastAsia="zh-CN"/>
              </w:rPr>
            </w:pPr>
          </w:p>
        </w:tc>
        <w:tc>
          <w:tcPr>
            <w:tcW w:w="485" w:type="pct"/>
            <w:shd w:val="clear" w:color="auto" w:fill="FFFFFF" w:themeFill="background1"/>
            <w:vAlign w:val="center"/>
          </w:tcPr>
          <w:p w14:paraId="053E3B61">
            <w:pPr>
              <w:pStyle w:val="26"/>
              <w:bidi w:val="0"/>
              <w:rPr>
                <w:rFonts w:hint="eastAsia"/>
                <w:highlight w:val="black"/>
                <w:lang w:val="en-US" w:eastAsia="zh-CN"/>
              </w:rPr>
            </w:pPr>
            <w:r>
              <w:rPr>
                <w:rFonts w:hint="eastAsia"/>
                <w:highlight w:val="black"/>
              </w:rPr>
              <w:t>2.0</w:t>
            </w:r>
          </w:p>
        </w:tc>
        <w:tc>
          <w:tcPr>
            <w:tcW w:w="405" w:type="pct"/>
            <w:vMerge w:val="continue"/>
            <w:shd w:val="clear" w:color="auto" w:fill="FFFFFF" w:themeFill="background1"/>
            <w:vAlign w:val="center"/>
          </w:tcPr>
          <w:p w14:paraId="48B52320">
            <w:pPr>
              <w:pStyle w:val="26"/>
              <w:bidi w:val="0"/>
              <w:rPr>
                <w:rFonts w:hint="eastAsia"/>
                <w:highlight w:val="black"/>
              </w:rPr>
            </w:pPr>
          </w:p>
        </w:tc>
        <w:tc>
          <w:tcPr>
            <w:tcW w:w="364" w:type="pct"/>
            <w:shd w:val="clear" w:color="auto" w:fill="FFFFFF" w:themeFill="background1"/>
            <w:vAlign w:val="center"/>
          </w:tcPr>
          <w:p w14:paraId="04B4CCF0">
            <w:pPr>
              <w:pStyle w:val="26"/>
              <w:bidi w:val="0"/>
              <w:rPr>
                <w:rFonts w:hint="eastAsia"/>
                <w:highlight w:val="black"/>
                <w:lang w:val="en-US" w:eastAsia="zh-CN"/>
              </w:rPr>
            </w:pPr>
            <w:r>
              <w:rPr>
                <w:rFonts w:hint="eastAsia"/>
                <w:highlight w:val="black"/>
              </w:rPr>
              <w:t>清洗</w:t>
            </w:r>
          </w:p>
        </w:tc>
      </w:tr>
      <w:tr w14:paraId="41FF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62A771EC">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19</w:t>
            </w:r>
          </w:p>
        </w:tc>
        <w:tc>
          <w:tcPr>
            <w:tcW w:w="520" w:type="pct"/>
            <w:vMerge w:val="continue"/>
            <w:shd w:val="clear" w:color="auto" w:fill="auto"/>
            <w:vAlign w:val="center"/>
          </w:tcPr>
          <w:p w14:paraId="5EA173DE">
            <w:pPr>
              <w:pStyle w:val="26"/>
              <w:bidi w:val="0"/>
              <w:rPr>
                <w:rFonts w:hint="eastAsia"/>
                <w:highlight w:val="yellow"/>
              </w:rPr>
            </w:pPr>
          </w:p>
        </w:tc>
        <w:tc>
          <w:tcPr>
            <w:tcW w:w="520" w:type="pct"/>
            <w:shd w:val="clear" w:color="auto" w:fill="FFFFFF" w:themeFill="background1"/>
            <w:vAlign w:val="center"/>
          </w:tcPr>
          <w:p w14:paraId="7908D38A">
            <w:pPr>
              <w:pStyle w:val="26"/>
              <w:bidi w:val="0"/>
              <w:rPr>
                <w:rFonts w:hint="eastAsia"/>
                <w:highlight w:val="black"/>
                <w:lang w:val="en-US" w:eastAsia="zh-CN"/>
              </w:rPr>
            </w:pPr>
            <w:r>
              <w:rPr>
                <w:rFonts w:hint="eastAsia"/>
                <w:highlight w:val="black"/>
              </w:rPr>
              <w:t>退镀添加剂</w:t>
            </w:r>
          </w:p>
        </w:tc>
        <w:tc>
          <w:tcPr>
            <w:tcW w:w="876" w:type="pct"/>
            <w:shd w:val="clear" w:color="auto" w:fill="FFFFFF" w:themeFill="background1"/>
            <w:vAlign w:val="center"/>
          </w:tcPr>
          <w:p w14:paraId="41FDCFF6">
            <w:pPr>
              <w:pStyle w:val="26"/>
              <w:bidi w:val="0"/>
              <w:rPr>
                <w:rFonts w:hint="eastAsia"/>
                <w:highlight w:val="black"/>
                <w:lang w:val="en-US" w:eastAsia="zh-CN"/>
              </w:rPr>
            </w:pPr>
            <w:r>
              <w:rPr>
                <w:rFonts w:hint="eastAsia"/>
                <w:highlight w:val="black"/>
              </w:rPr>
              <w:t>亚磷酸钠</w:t>
            </w:r>
            <w:r>
              <w:rPr>
                <w:rFonts w:hint="eastAsia"/>
                <w:highlight w:val="black"/>
                <w:lang w:eastAsia="zh-CN"/>
              </w:rPr>
              <w:t>、</w:t>
            </w:r>
            <w:r>
              <w:rPr>
                <w:rFonts w:hint="eastAsia"/>
                <w:highlight w:val="black"/>
              </w:rPr>
              <w:t>甲基苯骈三氮唑</w:t>
            </w:r>
            <w:r>
              <w:rPr>
                <w:rFonts w:hint="eastAsia"/>
                <w:highlight w:val="black"/>
                <w:lang w:eastAsia="zh-CN"/>
              </w:rPr>
              <w:t>、</w:t>
            </w:r>
            <w:r>
              <w:rPr>
                <w:rFonts w:hint="eastAsia"/>
                <w:highlight w:val="black"/>
              </w:rPr>
              <w:t>水</w:t>
            </w:r>
          </w:p>
        </w:tc>
        <w:tc>
          <w:tcPr>
            <w:tcW w:w="384" w:type="pct"/>
            <w:shd w:val="clear" w:color="auto" w:fill="FFFFFF" w:themeFill="background1"/>
            <w:vAlign w:val="center"/>
          </w:tcPr>
          <w:p w14:paraId="37158AEC">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184A1357">
            <w:pPr>
              <w:pStyle w:val="26"/>
              <w:bidi w:val="0"/>
              <w:rPr>
                <w:rFonts w:hint="eastAsia"/>
                <w:highlight w:val="black"/>
                <w:lang w:val="en-US" w:eastAsia="zh-CN"/>
              </w:rPr>
            </w:pPr>
            <w:r>
              <w:rPr>
                <w:rFonts w:hint="eastAsia"/>
                <w:highlight w:val="black"/>
                <w:lang w:val="en-US" w:eastAsia="zh-CN"/>
              </w:rPr>
              <w:t>0.13</w:t>
            </w:r>
          </w:p>
        </w:tc>
        <w:tc>
          <w:tcPr>
            <w:tcW w:w="579" w:type="pct"/>
            <w:shd w:val="clear" w:color="auto" w:fill="FFFFFF" w:themeFill="background1"/>
            <w:vAlign w:val="center"/>
          </w:tcPr>
          <w:p w14:paraId="4AD213B1">
            <w:pPr>
              <w:pStyle w:val="26"/>
              <w:bidi w:val="0"/>
              <w:rPr>
                <w:rFonts w:hint="eastAsia"/>
                <w:highlight w:val="black"/>
                <w:lang w:val="en-US" w:eastAsia="zh-CN"/>
              </w:rPr>
            </w:pPr>
          </w:p>
        </w:tc>
        <w:tc>
          <w:tcPr>
            <w:tcW w:w="485" w:type="pct"/>
            <w:shd w:val="clear" w:color="auto" w:fill="FFFFFF" w:themeFill="background1"/>
            <w:vAlign w:val="center"/>
          </w:tcPr>
          <w:p w14:paraId="607421E1">
            <w:pPr>
              <w:pStyle w:val="26"/>
              <w:bidi w:val="0"/>
              <w:rPr>
                <w:rFonts w:hint="eastAsia"/>
                <w:highlight w:val="black"/>
                <w:lang w:val="en-US" w:eastAsia="zh-CN"/>
              </w:rPr>
            </w:pPr>
            <w:r>
              <w:rPr>
                <w:rFonts w:hint="eastAsia"/>
                <w:highlight w:val="black"/>
              </w:rPr>
              <w:t>0.03</w:t>
            </w:r>
          </w:p>
        </w:tc>
        <w:tc>
          <w:tcPr>
            <w:tcW w:w="405" w:type="pct"/>
            <w:vMerge w:val="continue"/>
            <w:shd w:val="clear" w:color="auto" w:fill="FFFFFF" w:themeFill="background1"/>
            <w:vAlign w:val="center"/>
          </w:tcPr>
          <w:p w14:paraId="16D4C443">
            <w:pPr>
              <w:pStyle w:val="26"/>
              <w:bidi w:val="0"/>
              <w:rPr>
                <w:rFonts w:hint="eastAsia"/>
                <w:highlight w:val="black"/>
              </w:rPr>
            </w:pPr>
          </w:p>
        </w:tc>
        <w:tc>
          <w:tcPr>
            <w:tcW w:w="364" w:type="pct"/>
            <w:shd w:val="clear" w:color="auto" w:fill="FFFFFF" w:themeFill="background1"/>
            <w:vAlign w:val="center"/>
          </w:tcPr>
          <w:p w14:paraId="4BDE6C0E">
            <w:pPr>
              <w:pStyle w:val="26"/>
              <w:bidi w:val="0"/>
              <w:rPr>
                <w:rFonts w:hint="eastAsia"/>
                <w:highlight w:val="black"/>
                <w:lang w:val="en-US" w:eastAsia="zh-CN"/>
              </w:rPr>
            </w:pPr>
            <w:r>
              <w:rPr>
                <w:rFonts w:hint="eastAsia"/>
                <w:highlight w:val="black"/>
              </w:rPr>
              <w:t>退镀</w:t>
            </w:r>
          </w:p>
        </w:tc>
      </w:tr>
      <w:tr w14:paraId="67F9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vAlign w:val="center"/>
          </w:tcPr>
          <w:p w14:paraId="40B9EE53">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20</w:t>
            </w:r>
          </w:p>
        </w:tc>
        <w:tc>
          <w:tcPr>
            <w:tcW w:w="520" w:type="pct"/>
            <w:vMerge w:val="continue"/>
            <w:shd w:val="clear" w:color="auto" w:fill="auto"/>
            <w:vAlign w:val="center"/>
          </w:tcPr>
          <w:p w14:paraId="4B6E06F7">
            <w:pPr>
              <w:pStyle w:val="26"/>
              <w:bidi w:val="0"/>
              <w:rPr>
                <w:rFonts w:hint="eastAsia"/>
                <w:highlight w:val="yellow"/>
              </w:rPr>
            </w:pPr>
          </w:p>
        </w:tc>
        <w:tc>
          <w:tcPr>
            <w:tcW w:w="520" w:type="pct"/>
            <w:shd w:val="clear" w:color="auto" w:fill="FFFFFF" w:themeFill="background1"/>
            <w:vAlign w:val="center"/>
          </w:tcPr>
          <w:p w14:paraId="68F7BA5B">
            <w:pPr>
              <w:pStyle w:val="26"/>
              <w:bidi w:val="0"/>
              <w:rPr>
                <w:rFonts w:hint="eastAsia"/>
                <w:highlight w:val="black"/>
                <w:lang w:val="en-US" w:eastAsia="zh-CN"/>
              </w:rPr>
            </w:pPr>
            <w:r>
              <w:rPr>
                <w:rFonts w:hint="eastAsia"/>
                <w:highlight w:val="black"/>
              </w:rPr>
              <w:t>凹版油墨</w:t>
            </w:r>
          </w:p>
        </w:tc>
        <w:tc>
          <w:tcPr>
            <w:tcW w:w="876" w:type="pct"/>
            <w:shd w:val="clear" w:color="auto" w:fill="FFFFFF" w:themeFill="background1"/>
            <w:vAlign w:val="center"/>
          </w:tcPr>
          <w:p w14:paraId="0417BE79">
            <w:pPr>
              <w:pStyle w:val="26"/>
              <w:bidi w:val="0"/>
              <w:rPr>
                <w:rFonts w:hint="eastAsia"/>
                <w:highlight w:val="black"/>
                <w:lang w:val="en-US" w:eastAsia="zh-CN"/>
              </w:rPr>
            </w:pPr>
            <w:r>
              <w:rPr>
                <w:rFonts w:hint="eastAsia"/>
                <w:highlight w:val="black"/>
              </w:rPr>
              <w:t>乙酸乙酯</w:t>
            </w:r>
            <w:r>
              <w:rPr>
                <w:rFonts w:hint="eastAsia"/>
                <w:highlight w:val="black"/>
                <w:lang w:val="en-US" w:eastAsia="zh-CN"/>
              </w:rPr>
              <w:t>30%</w:t>
            </w:r>
            <w:r>
              <w:rPr>
                <w:rFonts w:hint="eastAsia"/>
                <w:highlight w:val="black"/>
                <w:lang w:eastAsia="zh-CN"/>
              </w:rPr>
              <w:t>、</w:t>
            </w:r>
            <w:r>
              <w:rPr>
                <w:rFonts w:hint="eastAsia"/>
                <w:highlight w:val="black"/>
              </w:rPr>
              <w:t>乙酸正丙酯</w:t>
            </w:r>
            <w:r>
              <w:rPr>
                <w:rFonts w:hint="eastAsia"/>
                <w:highlight w:val="black"/>
                <w:lang w:val="en-US" w:eastAsia="zh-CN"/>
              </w:rPr>
              <w:t>7.5%</w:t>
            </w:r>
            <w:r>
              <w:rPr>
                <w:rFonts w:hint="eastAsia"/>
                <w:highlight w:val="black"/>
                <w:lang w:eastAsia="zh-CN"/>
              </w:rPr>
              <w:t>、</w:t>
            </w:r>
            <w:r>
              <w:rPr>
                <w:rFonts w:hint="eastAsia"/>
                <w:highlight w:val="black"/>
              </w:rPr>
              <w:t>异丙醇</w:t>
            </w:r>
            <w:r>
              <w:rPr>
                <w:rFonts w:hint="eastAsia"/>
                <w:highlight w:val="black"/>
                <w:lang w:val="en-US" w:eastAsia="zh-CN"/>
              </w:rPr>
              <w:t>2.5%</w:t>
            </w:r>
            <w:r>
              <w:rPr>
                <w:rFonts w:hint="eastAsia"/>
                <w:highlight w:val="black"/>
                <w:lang w:eastAsia="zh-CN"/>
              </w:rPr>
              <w:t>、</w:t>
            </w:r>
            <w:r>
              <w:rPr>
                <w:rFonts w:hint="eastAsia"/>
                <w:highlight w:val="black"/>
              </w:rPr>
              <w:t>丙二醇甲醚醋酸酯</w:t>
            </w:r>
            <w:r>
              <w:rPr>
                <w:rFonts w:hint="eastAsia"/>
                <w:highlight w:val="black"/>
                <w:lang w:val="en-US" w:eastAsia="zh-CN"/>
              </w:rPr>
              <w:t>5%</w:t>
            </w:r>
            <w:r>
              <w:rPr>
                <w:rFonts w:hint="eastAsia"/>
                <w:highlight w:val="black"/>
                <w:lang w:eastAsia="zh-CN"/>
              </w:rPr>
              <w:t>、</w:t>
            </w:r>
            <w:r>
              <w:rPr>
                <w:rFonts w:hint="eastAsia"/>
                <w:highlight w:val="black"/>
                <w:lang w:val="en-US" w:eastAsia="zh-CN"/>
              </w:rPr>
              <w:t>其他为</w:t>
            </w:r>
            <w:r>
              <w:rPr>
                <w:rFonts w:hint="eastAsia"/>
                <w:highlight w:val="black"/>
              </w:rPr>
              <w:t>颜料</w:t>
            </w:r>
            <w:r>
              <w:rPr>
                <w:rFonts w:hint="eastAsia"/>
                <w:highlight w:val="black"/>
                <w:lang w:val="en-US" w:eastAsia="zh-CN"/>
              </w:rPr>
              <w:t>等</w:t>
            </w:r>
          </w:p>
        </w:tc>
        <w:tc>
          <w:tcPr>
            <w:tcW w:w="384" w:type="pct"/>
            <w:shd w:val="clear" w:color="auto" w:fill="FFFFFF" w:themeFill="background1"/>
            <w:vAlign w:val="center"/>
          </w:tcPr>
          <w:p w14:paraId="4FDC5D6F">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77A27843">
            <w:pPr>
              <w:pStyle w:val="26"/>
              <w:bidi w:val="0"/>
              <w:rPr>
                <w:rFonts w:hint="eastAsia"/>
                <w:highlight w:val="black"/>
                <w:lang w:val="en-US" w:eastAsia="zh-CN"/>
              </w:rPr>
            </w:pPr>
            <w:r>
              <w:rPr>
                <w:rFonts w:hint="eastAsia"/>
                <w:highlight w:val="black"/>
                <w:lang w:val="en-US" w:eastAsia="zh-CN"/>
              </w:rPr>
              <w:t>14.9</w:t>
            </w:r>
          </w:p>
        </w:tc>
        <w:tc>
          <w:tcPr>
            <w:tcW w:w="579" w:type="pct"/>
            <w:shd w:val="clear" w:color="auto" w:fill="FFFFFF" w:themeFill="background1"/>
            <w:vAlign w:val="center"/>
          </w:tcPr>
          <w:p w14:paraId="625CAADC">
            <w:pPr>
              <w:pStyle w:val="26"/>
              <w:bidi w:val="0"/>
              <w:rPr>
                <w:rFonts w:hint="eastAsia"/>
                <w:highlight w:val="black"/>
                <w:lang w:val="en-US" w:eastAsia="zh-CN"/>
              </w:rPr>
            </w:pPr>
          </w:p>
        </w:tc>
        <w:tc>
          <w:tcPr>
            <w:tcW w:w="485" w:type="pct"/>
            <w:shd w:val="clear" w:color="auto" w:fill="FFFFFF" w:themeFill="background1"/>
            <w:vAlign w:val="center"/>
          </w:tcPr>
          <w:p w14:paraId="72AD4244">
            <w:pPr>
              <w:pStyle w:val="26"/>
              <w:bidi w:val="0"/>
              <w:rPr>
                <w:rFonts w:hint="eastAsia"/>
                <w:highlight w:val="black"/>
                <w:lang w:val="en-US" w:eastAsia="zh-CN"/>
              </w:rPr>
            </w:pPr>
            <w:r>
              <w:rPr>
                <w:rFonts w:hint="eastAsia"/>
                <w:highlight w:val="black"/>
              </w:rPr>
              <w:t>0.54</w:t>
            </w:r>
          </w:p>
        </w:tc>
        <w:tc>
          <w:tcPr>
            <w:tcW w:w="405" w:type="pct"/>
            <w:vMerge w:val="continue"/>
            <w:shd w:val="clear" w:color="auto" w:fill="FFFFFF" w:themeFill="background1"/>
            <w:vAlign w:val="center"/>
          </w:tcPr>
          <w:p w14:paraId="1903DB5E">
            <w:pPr>
              <w:pStyle w:val="26"/>
              <w:bidi w:val="0"/>
              <w:rPr>
                <w:rFonts w:hint="eastAsia"/>
                <w:highlight w:val="black"/>
              </w:rPr>
            </w:pPr>
          </w:p>
        </w:tc>
        <w:tc>
          <w:tcPr>
            <w:tcW w:w="364" w:type="pct"/>
            <w:shd w:val="clear" w:color="auto" w:fill="FFFFFF" w:themeFill="background1"/>
            <w:vAlign w:val="center"/>
          </w:tcPr>
          <w:p w14:paraId="06803D41">
            <w:pPr>
              <w:pStyle w:val="26"/>
              <w:bidi w:val="0"/>
              <w:rPr>
                <w:rFonts w:hint="eastAsia"/>
                <w:highlight w:val="black"/>
                <w:lang w:val="en-US" w:eastAsia="zh-CN"/>
              </w:rPr>
            </w:pPr>
            <w:r>
              <w:rPr>
                <w:rFonts w:hint="eastAsia"/>
                <w:highlight w:val="black"/>
              </w:rPr>
              <w:t>打样</w:t>
            </w:r>
          </w:p>
        </w:tc>
      </w:tr>
      <w:tr w14:paraId="5243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1DFC9A7">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21</w:t>
            </w:r>
          </w:p>
        </w:tc>
        <w:tc>
          <w:tcPr>
            <w:tcW w:w="520" w:type="pct"/>
            <w:vMerge w:val="continue"/>
            <w:shd w:val="clear" w:color="auto" w:fill="auto"/>
            <w:vAlign w:val="center"/>
          </w:tcPr>
          <w:p w14:paraId="140C6382">
            <w:pPr>
              <w:pStyle w:val="26"/>
              <w:bidi w:val="0"/>
              <w:rPr>
                <w:rFonts w:hint="eastAsia"/>
              </w:rPr>
            </w:pPr>
          </w:p>
        </w:tc>
        <w:tc>
          <w:tcPr>
            <w:tcW w:w="520" w:type="pct"/>
            <w:shd w:val="clear" w:color="auto" w:fill="FFFFFF" w:themeFill="background1"/>
            <w:vAlign w:val="center"/>
          </w:tcPr>
          <w:p w14:paraId="2BE32077">
            <w:pPr>
              <w:pStyle w:val="26"/>
              <w:bidi w:val="0"/>
              <w:rPr>
                <w:rFonts w:hint="eastAsia"/>
                <w:highlight w:val="black"/>
                <w:lang w:val="en-US" w:eastAsia="zh-CN"/>
              </w:rPr>
            </w:pPr>
            <w:r>
              <w:rPr>
                <w:rFonts w:hint="eastAsia"/>
                <w:highlight w:val="black"/>
              </w:rPr>
              <w:t>塑料包装膜</w:t>
            </w:r>
          </w:p>
        </w:tc>
        <w:tc>
          <w:tcPr>
            <w:tcW w:w="876" w:type="pct"/>
            <w:shd w:val="clear" w:color="auto" w:fill="FFFFFF" w:themeFill="background1"/>
            <w:vAlign w:val="center"/>
          </w:tcPr>
          <w:p w14:paraId="3A32F2ED">
            <w:pPr>
              <w:pStyle w:val="26"/>
              <w:bidi w:val="0"/>
              <w:rPr>
                <w:rFonts w:hint="eastAsia"/>
                <w:highlight w:val="black"/>
                <w:lang w:val="en-US" w:eastAsia="zh-CN"/>
              </w:rPr>
            </w:pPr>
            <w:r>
              <w:rPr>
                <w:rFonts w:hint="eastAsia"/>
                <w:highlight w:val="black"/>
                <w:lang w:val="en-US" w:eastAsia="zh-CN"/>
              </w:rPr>
              <w:t>/</w:t>
            </w:r>
          </w:p>
        </w:tc>
        <w:tc>
          <w:tcPr>
            <w:tcW w:w="384" w:type="pct"/>
            <w:shd w:val="clear" w:color="auto" w:fill="FFFFFF" w:themeFill="background1"/>
            <w:vAlign w:val="center"/>
          </w:tcPr>
          <w:p w14:paraId="33215B60">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444EEDE3">
            <w:pPr>
              <w:pStyle w:val="26"/>
              <w:bidi w:val="0"/>
              <w:rPr>
                <w:rFonts w:hint="eastAsia"/>
                <w:highlight w:val="black"/>
                <w:lang w:val="en-US" w:eastAsia="zh-CN"/>
              </w:rPr>
            </w:pPr>
            <w:r>
              <w:rPr>
                <w:rFonts w:hint="eastAsia"/>
                <w:highlight w:val="black"/>
                <w:lang w:val="en-US" w:eastAsia="zh-CN"/>
              </w:rPr>
              <w:t>17</w:t>
            </w:r>
          </w:p>
        </w:tc>
        <w:tc>
          <w:tcPr>
            <w:tcW w:w="579" w:type="pct"/>
            <w:shd w:val="clear" w:color="auto" w:fill="FFFFFF" w:themeFill="background1"/>
            <w:vAlign w:val="center"/>
          </w:tcPr>
          <w:p w14:paraId="04C5C8E9">
            <w:pPr>
              <w:pStyle w:val="26"/>
              <w:bidi w:val="0"/>
              <w:rPr>
                <w:rFonts w:hint="eastAsia"/>
                <w:highlight w:val="black"/>
                <w:lang w:val="en-US" w:eastAsia="zh-CN"/>
              </w:rPr>
            </w:pPr>
            <w:r>
              <w:rPr>
                <w:rFonts w:hint="eastAsia"/>
                <w:highlight w:val="black"/>
              </w:rPr>
              <w:t>10kg/卷</w:t>
            </w:r>
          </w:p>
        </w:tc>
        <w:tc>
          <w:tcPr>
            <w:tcW w:w="485" w:type="pct"/>
            <w:shd w:val="clear" w:color="auto" w:fill="FFFFFF" w:themeFill="background1"/>
            <w:vAlign w:val="center"/>
          </w:tcPr>
          <w:p w14:paraId="3C5C90D6">
            <w:pPr>
              <w:pStyle w:val="26"/>
              <w:bidi w:val="0"/>
              <w:rPr>
                <w:rFonts w:hint="eastAsia"/>
                <w:highlight w:val="black"/>
                <w:lang w:val="en-US" w:eastAsia="zh-CN"/>
              </w:rPr>
            </w:pPr>
            <w:r>
              <w:rPr>
                <w:rFonts w:hint="eastAsia"/>
                <w:highlight w:val="black"/>
              </w:rPr>
              <w:t>2</w:t>
            </w:r>
          </w:p>
        </w:tc>
        <w:tc>
          <w:tcPr>
            <w:tcW w:w="405" w:type="pct"/>
            <w:vMerge w:val="continue"/>
            <w:shd w:val="clear" w:color="auto" w:fill="FFFFFF" w:themeFill="background1"/>
            <w:vAlign w:val="center"/>
          </w:tcPr>
          <w:p w14:paraId="1B4F0FA4">
            <w:pPr>
              <w:pStyle w:val="26"/>
              <w:bidi w:val="0"/>
              <w:rPr>
                <w:rFonts w:hint="eastAsia"/>
                <w:highlight w:val="black"/>
                <w:lang w:val="en-US" w:eastAsia="zh-CN"/>
              </w:rPr>
            </w:pPr>
          </w:p>
        </w:tc>
        <w:tc>
          <w:tcPr>
            <w:tcW w:w="364" w:type="pct"/>
            <w:shd w:val="clear" w:color="auto" w:fill="FFFFFF" w:themeFill="background1"/>
            <w:vAlign w:val="center"/>
          </w:tcPr>
          <w:p w14:paraId="41733A9B">
            <w:pPr>
              <w:pStyle w:val="26"/>
              <w:bidi w:val="0"/>
              <w:rPr>
                <w:rFonts w:hint="eastAsia"/>
                <w:highlight w:val="black"/>
                <w:lang w:val="en-US" w:eastAsia="zh-CN"/>
              </w:rPr>
            </w:pPr>
            <w:r>
              <w:rPr>
                <w:rFonts w:hint="eastAsia"/>
                <w:highlight w:val="black"/>
              </w:rPr>
              <w:t>凹印打样</w:t>
            </w:r>
          </w:p>
        </w:tc>
      </w:tr>
      <w:tr w14:paraId="6246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2FC832A">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22</w:t>
            </w:r>
          </w:p>
        </w:tc>
        <w:tc>
          <w:tcPr>
            <w:tcW w:w="520" w:type="pct"/>
            <w:vMerge w:val="continue"/>
            <w:shd w:val="clear" w:color="auto" w:fill="auto"/>
            <w:vAlign w:val="center"/>
          </w:tcPr>
          <w:p w14:paraId="69887F78">
            <w:pPr>
              <w:pStyle w:val="26"/>
              <w:bidi w:val="0"/>
              <w:rPr>
                <w:rFonts w:hint="eastAsia"/>
              </w:rPr>
            </w:pPr>
          </w:p>
        </w:tc>
        <w:tc>
          <w:tcPr>
            <w:tcW w:w="520" w:type="pct"/>
            <w:shd w:val="clear" w:color="auto" w:fill="FFFFFF" w:themeFill="background1"/>
            <w:vAlign w:val="center"/>
          </w:tcPr>
          <w:p w14:paraId="44305E34">
            <w:pPr>
              <w:pStyle w:val="26"/>
              <w:bidi w:val="0"/>
              <w:rPr>
                <w:rFonts w:hint="eastAsia"/>
                <w:highlight w:val="black"/>
                <w:lang w:val="en-US" w:eastAsia="zh-CN"/>
              </w:rPr>
            </w:pPr>
            <w:r>
              <w:rPr>
                <w:rFonts w:hint="eastAsia"/>
                <w:highlight w:val="black"/>
              </w:rPr>
              <w:t>乙酸丁酯</w:t>
            </w:r>
          </w:p>
        </w:tc>
        <w:tc>
          <w:tcPr>
            <w:tcW w:w="876" w:type="pct"/>
            <w:shd w:val="clear" w:color="auto" w:fill="FFFFFF" w:themeFill="background1"/>
            <w:vAlign w:val="center"/>
          </w:tcPr>
          <w:p w14:paraId="515D1029">
            <w:pPr>
              <w:pStyle w:val="26"/>
              <w:bidi w:val="0"/>
              <w:rPr>
                <w:rFonts w:hint="eastAsia"/>
                <w:highlight w:val="black"/>
                <w:lang w:val="en-US" w:eastAsia="zh-CN"/>
              </w:rPr>
            </w:pPr>
            <w:r>
              <w:rPr>
                <w:rFonts w:hint="eastAsia"/>
                <w:highlight w:val="black"/>
              </w:rPr>
              <w:t>99.</w:t>
            </w:r>
            <w:r>
              <w:rPr>
                <w:rFonts w:hint="eastAsia"/>
                <w:highlight w:val="black"/>
                <w:lang w:val="en-US" w:eastAsia="zh-CN"/>
              </w:rPr>
              <w:t>5</w:t>
            </w:r>
            <w:r>
              <w:rPr>
                <w:rFonts w:hint="eastAsia"/>
                <w:highlight w:val="black"/>
              </w:rPr>
              <w:t>%乙酸丁酯</w:t>
            </w:r>
          </w:p>
        </w:tc>
        <w:tc>
          <w:tcPr>
            <w:tcW w:w="384" w:type="pct"/>
            <w:shd w:val="clear" w:color="auto" w:fill="FFFFFF" w:themeFill="background1"/>
            <w:vAlign w:val="center"/>
          </w:tcPr>
          <w:p w14:paraId="65C04FD0">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51B04644">
            <w:pPr>
              <w:pStyle w:val="26"/>
              <w:bidi w:val="0"/>
              <w:rPr>
                <w:rFonts w:hint="eastAsia"/>
                <w:highlight w:val="black"/>
                <w:lang w:val="en-US" w:eastAsia="zh-CN"/>
              </w:rPr>
            </w:pPr>
            <w:r>
              <w:rPr>
                <w:rFonts w:hint="eastAsia"/>
                <w:highlight w:val="black"/>
                <w:lang w:val="en-US" w:eastAsia="zh-CN"/>
              </w:rPr>
              <w:t>1.45</w:t>
            </w:r>
          </w:p>
        </w:tc>
        <w:tc>
          <w:tcPr>
            <w:tcW w:w="579" w:type="pct"/>
            <w:shd w:val="clear" w:color="auto" w:fill="FFFFFF" w:themeFill="background1"/>
            <w:vAlign w:val="center"/>
          </w:tcPr>
          <w:p w14:paraId="4993491D">
            <w:pPr>
              <w:pStyle w:val="26"/>
              <w:bidi w:val="0"/>
              <w:rPr>
                <w:rFonts w:hint="eastAsia"/>
                <w:highlight w:val="black"/>
                <w:lang w:val="en-US" w:eastAsia="zh-CN"/>
              </w:rPr>
            </w:pPr>
            <w:r>
              <w:rPr>
                <w:rFonts w:hint="eastAsia"/>
                <w:highlight w:val="black"/>
                <w:lang w:val="en-US" w:eastAsia="zh-CN"/>
              </w:rPr>
              <w:t>20kg/桶</w:t>
            </w:r>
          </w:p>
        </w:tc>
        <w:tc>
          <w:tcPr>
            <w:tcW w:w="485" w:type="pct"/>
            <w:shd w:val="clear" w:color="auto" w:fill="FFFFFF" w:themeFill="background1"/>
            <w:vAlign w:val="center"/>
          </w:tcPr>
          <w:p w14:paraId="7049D6F0">
            <w:pPr>
              <w:pStyle w:val="26"/>
              <w:bidi w:val="0"/>
              <w:rPr>
                <w:rFonts w:hint="eastAsia"/>
                <w:highlight w:val="black"/>
                <w:lang w:val="en-US" w:eastAsia="zh-CN"/>
              </w:rPr>
            </w:pPr>
            <w:r>
              <w:rPr>
                <w:rFonts w:hint="eastAsia"/>
                <w:highlight w:val="black"/>
              </w:rPr>
              <w:t>0.1</w:t>
            </w:r>
          </w:p>
        </w:tc>
        <w:tc>
          <w:tcPr>
            <w:tcW w:w="405" w:type="pct"/>
            <w:vMerge w:val="continue"/>
            <w:shd w:val="clear" w:color="auto" w:fill="FFFFFF" w:themeFill="background1"/>
            <w:vAlign w:val="center"/>
          </w:tcPr>
          <w:p w14:paraId="51B1A8AF">
            <w:pPr>
              <w:pStyle w:val="26"/>
              <w:bidi w:val="0"/>
              <w:rPr>
                <w:rFonts w:hint="eastAsia"/>
                <w:highlight w:val="black"/>
              </w:rPr>
            </w:pPr>
          </w:p>
        </w:tc>
        <w:tc>
          <w:tcPr>
            <w:tcW w:w="364" w:type="pct"/>
            <w:shd w:val="clear" w:color="auto" w:fill="FFFFFF" w:themeFill="background1"/>
            <w:vAlign w:val="center"/>
          </w:tcPr>
          <w:p w14:paraId="76B18C75">
            <w:pPr>
              <w:pStyle w:val="26"/>
              <w:bidi w:val="0"/>
              <w:rPr>
                <w:rFonts w:hint="eastAsia"/>
                <w:highlight w:val="black"/>
                <w:lang w:val="en-US" w:eastAsia="zh-CN"/>
              </w:rPr>
            </w:pPr>
            <w:r>
              <w:rPr>
                <w:rFonts w:hint="eastAsia"/>
                <w:highlight w:val="black"/>
              </w:rPr>
              <w:t>油墨稀释</w:t>
            </w:r>
          </w:p>
        </w:tc>
      </w:tr>
      <w:tr w14:paraId="5BF3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342" w:type="pct"/>
            <w:shd w:val="clear" w:color="auto" w:fill="auto"/>
            <w:vAlign w:val="center"/>
          </w:tcPr>
          <w:p w14:paraId="73B59B35">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23</w:t>
            </w:r>
          </w:p>
        </w:tc>
        <w:tc>
          <w:tcPr>
            <w:tcW w:w="520" w:type="pct"/>
            <w:vMerge w:val="continue"/>
            <w:shd w:val="clear" w:color="auto" w:fill="auto"/>
            <w:vAlign w:val="center"/>
          </w:tcPr>
          <w:p w14:paraId="2B880970">
            <w:pPr>
              <w:pStyle w:val="26"/>
              <w:bidi w:val="0"/>
              <w:rPr>
                <w:rFonts w:hint="eastAsia"/>
              </w:rPr>
            </w:pPr>
          </w:p>
        </w:tc>
        <w:tc>
          <w:tcPr>
            <w:tcW w:w="520" w:type="pct"/>
            <w:shd w:val="clear" w:color="auto" w:fill="FFFFFF" w:themeFill="background1"/>
            <w:vAlign w:val="center"/>
          </w:tcPr>
          <w:p w14:paraId="1FE2E691">
            <w:pPr>
              <w:pStyle w:val="26"/>
              <w:bidi w:val="0"/>
              <w:rPr>
                <w:rFonts w:hint="eastAsia"/>
                <w:highlight w:val="black"/>
                <w:lang w:val="en-US" w:eastAsia="zh-CN"/>
              </w:rPr>
            </w:pPr>
            <w:r>
              <w:rPr>
                <w:rFonts w:hint="eastAsia"/>
                <w:highlight w:val="black"/>
              </w:rPr>
              <w:t>乙酸乙酯</w:t>
            </w:r>
          </w:p>
        </w:tc>
        <w:tc>
          <w:tcPr>
            <w:tcW w:w="876" w:type="pct"/>
            <w:shd w:val="clear" w:color="auto" w:fill="FFFFFF" w:themeFill="background1"/>
            <w:vAlign w:val="center"/>
          </w:tcPr>
          <w:p w14:paraId="1446002F">
            <w:pPr>
              <w:pStyle w:val="26"/>
              <w:bidi w:val="0"/>
              <w:rPr>
                <w:rFonts w:hint="eastAsia"/>
                <w:highlight w:val="black"/>
                <w:lang w:val="en-US" w:eastAsia="zh-CN"/>
              </w:rPr>
            </w:pPr>
            <w:r>
              <w:rPr>
                <w:rFonts w:hint="eastAsia"/>
                <w:highlight w:val="black"/>
              </w:rPr>
              <w:t>99.</w:t>
            </w:r>
            <w:r>
              <w:rPr>
                <w:rFonts w:hint="eastAsia"/>
                <w:highlight w:val="black"/>
                <w:lang w:val="en-US" w:eastAsia="zh-CN"/>
              </w:rPr>
              <w:t>5</w:t>
            </w:r>
            <w:r>
              <w:rPr>
                <w:rFonts w:hint="eastAsia"/>
                <w:highlight w:val="black"/>
              </w:rPr>
              <w:t>%乙酸乙酯</w:t>
            </w:r>
          </w:p>
        </w:tc>
        <w:tc>
          <w:tcPr>
            <w:tcW w:w="384" w:type="pct"/>
            <w:shd w:val="clear" w:color="auto" w:fill="FFFFFF" w:themeFill="background1"/>
            <w:vAlign w:val="center"/>
          </w:tcPr>
          <w:p w14:paraId="26311C24">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3CD86C25">
            <w:pPr>
              <w:pStyle w:val="26"/>
              <w:bidi w:val="0"/>
              <w:rPr>
                <w:rFonts w:hint="eastAsia"/>
                <w:highlight w:val="black"/>
                <w:lang w:val="en-US" w:eastAsia="zh-CN"/>
              </w:rPr>
            </w:pPr>
            <w:r>
              <w:rPr>
                <w:rFonts w:hint="eastAsia"/>
                <w:highlight w:val="black"/>
                <w:lang w:val="en-US" w:eastAsia="zh-CN"/>
              </w:rPr>
              <w:t>22</w:t>
            </w:r>
          </w:p>
        </w:tc>
        <w:tc>
          <w:tcPr>
            <w:tcW w:w="579" w:type="pct"/>
            <w:shd w:val="clear" w:color="auto" w:fill="FFFFFF" w:themeFill="background1"/>
            <w:vAlign w:val="center"/>
          </w:tcPr>
          <w:p w14:paraId="7399F757">
            <w:pPr>
              <w:pStyle w:val="26"/>
              <w:bidi w:val="0"/>
              <w:rPr>
                <w:rFonts w:hint="eastAsia"/>
                <w:highlight w:val="black"/>
                <w:lang w:val="en-US" w:eastAsia="zh-CN"/>
              </w:rPr>
            </w:pPr>
            <w:r>
              <w:rPr>
                <w:rFonts w:hint="eastAsia"/>
                <w:highlight w:val="black"/>
                <w:lang w:val="en-US" w:eastAsia="zh-CN"/>
              </w:rPr>
              <w:t>20kg/桶</w:t>
            </w:r>
          </w:p>
        </w:tc>
        <w:tc>
          <w:tcPr>
            <w:tcW w:w="485" w:type="pct"/>
            <w:shd w:val="clear" w:color="auto" w:fill="FFFFFF" w:themeFill="background1"/>
            <w:vAlign w:val="center"/>
          </w:tcPr>
          <w:p w14:paraId="369A8E64">
            <w:pPr>
              <w:pStyle w:val="26"/>
              <w:bidi w:val="0"/>
              <w:rPr>
                <w:rFonts w:hint="eastAsia"/>
                <w:highlight w:val="black"/>
                <w:lang w:val="en-US" w:eastAsia="zh-CN"/>
              </w:rPr>
            </w:pPr>
            <w:r>
              <w:rPr>
                <w:rFonts w:hint="eastAsia"/>
                <w:highlight w:val="black"/>
              </w:rPr>
              <w:t>0.3</w:t>
            </w:r>
          </w:p>
        </w:tc>
        <w:tc>
          <w:tcPr>
            <w:tcW w:w="405" w:type="pct"/>
            <w:vMerge w:val="continue"/>
            <w:shd w:val="clear" w:color="auto" w:fill="FFFFFF" w:themeFill="background1"/>
            <w:vAlign w:val="center"/>
          </w:tcPr>
          <w:p w14:paraId="55B49B0D">
            <w:pPr>
              <w:pStyle w:val="26"/>
              <w:bidi w:val="0"/>
              <w:rPr>
                <w:rFonts w:hint="eastAsia"/>
                <w:highlight w:val="black"/>
              </w:rPr>
            </w:pPr>
          </w:p>
        </w:tc>
        <w:tc>
          <w:tcPr>
            <w:tcW w:w="364" w:type="pct"/>
            <w:shd w:val="clear" w:color="auto" w:fill="FFFFFF" w:themeFill="background1"/>
            <w:vAlign w:val="center"/>
          </w:tcPr>
          <w:p w14:paraId="4B18D5EB">
            <w:pPr>
              <w:pStyle w:val="26"/>
              <w:bidi w:val="0"/>
              <w:rPr>
                <w:rFonts w:hint="eastAsia"/>
                <w:highlight w:val="black"/>
                <w:lang w:val="en-US" w:eastAsia="zh-CN"/>
              </w:rPr>
            </w:pPr>
            <w:r>
              <w:rPr>
                <w:rFonts w:hint="eastAsia"/>
                <w:highlight w:val="black"/>
              </w:rPr>
              <w:t>油墨稀释</w:t>
            </w:r>
          </w:p>
        </w:tc>
      </w:tr>
      <w:tr w14:paraId="1A6F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6EBAC3AB">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24</w:t>
            </w:r>
          </w:p>
        </w:tc>
        <w:tc>
          <w:tcPr>
            <w:tcW w:w="520" w:type="pct"/>
            <w:vMerge w:val="continue"/>
            <w:shd w:val="clear" w:color="auto" w:fill="auto"/>
            <w:vAlign w:val="center"/>
          </w:tcPr>
          <w:p w14:paraId="413931D2">
            <w:pPr>
              <w:pStyle w:val="26"/>
              <w:bidi w:val="0"/>
              <w:rPr>
                <w:rFonts w:hint="eastAsia"/>
              </w:rPr>
            </w:pPr>
          </w:p>
        </w:tc>
        <w:tc>
          <w:tcPr>
            <w:tcW w:w="520" w:type="pct"/>
            <w:shd w:val="clear" w:color="auto" w:fill="FFFFFF" w:themeFill="background1"/>
            <w:vAlign w:val="center"/>
          </w:tcPr>
          <w:p w14:paraId="7C0476B7">
            <w:pPr>
              <w:pStyle w:val="26"/>
              <w:bidi w:val="0"/>
              <w:rPr>
                <w:rFonts w:hint="eastAsia"/>
                <w:highlight w:val="black"/>
                <w:lang w:val="en-US" w:eastAsia="zh-CN"/>
              </w:rPr>
            </w:pPr>
            <w:r>
              <w:rPr>
                <w:rFonts w:hint="eastAsia"/>
                <w:highlight w:val="black"/>
              </w:rPr>
              <w:t>乙醇</w:t>
            </w:r>
          </w:p>
        </w:tc>
        <w:tc>
          <w:tcPr>
            <w:tcW w:w="876" w:type="pct"/>
            <w:shd w:val="clear" w:color="auto" w:fill="FFFFFF" w:themeFill="background1"/>
            <w:vAlign w:val="center"/>
          </w:tcPr>
          <w:p w14:paraId="301A301F">
            <w:pPr>
              <w:pStyle w:val="26"/>
              <w:bidi w:val="0"/>
              <w:rPr>
                <w:rFonts w:hint="eastAsia"/>
                <w:highlight w:val="black"/>
                <w:lang w:val="en-US" w:eastAsia="zh-CN"/>
              </w:rPr>
            </w:pPr>
            <w:r>
              <w:rPr>
                <w:rFonts w:hint="eastAsia"/>
                <w:highlight w:val="black"/>
              </w:rPr>
              <w:t>99.8%乙醇</w:t>
            </w:r>
          </w:p>
        </w:tc>
        <w:tc>
          <w:tcPr>
            <w:tcW w:w="384" w:type="pct"/>
            <w:shd w:val="clear" w:color="auto" w:fill="FFFFFF" w:themeFill="background1"/>
            <w:vAlign w:val="center"/>
          </w:tcPr>
          <w:p w14:paraId="12EE1F64">
            <w:pPr>
              <w:pStyle w:val="26"/>
              <w:bidi w:val="0"/>
              <w:rPr>
                <w:rFonts w:hint="eastAsia"/>
                <w:highlight w:val="black"/>
                <w:lang w:val="en-US" w:eastAsia="zh-CN"/>
              </w:rPr>
            </w:pPr>
            <w:r>
              <w:rPr>
                <w:rFonts w:hint="eastAsia"/>
                <w:highlight w:val="black"/>
              </w:rPr>
              <w:t>液</w:t>
            </w:r>
          </w:p>
        </w:tc>
        <w:tc>
          <w:tcPr>
            <w:tcW w:w="520" w:type="pct"/>
            <w:shd w:val="clear" w:color="auto" w:fill="FFFFFF" w:themeFill="background1"/>
            <w:vAlign w:val="center"/>
          </w:tcPr>
          <w:p w14:paraId="735B4223">
            <w:pPr>
              <w:pStyle w:val="26"/>
              <w:bidi w:val="0"/>
              <w:rPr>
                <w:rFonts w:hint="eastAsia"/>
                <w:highlight w:val="black"/>
                <w:lang w:val="en-US" w:eastAsia="zh-CN"/>
              </w:rPr>
            </w:pPr>
            <w:r>
              <w:rPr>
                <w:rFonts w:hint="eastAsia"/>
                <w:highlight w:val="black"/>
                <w:lang w:val="en-US" w:eastAsia="zh-CN"/>
              </w:rPr>
              <w:t>3.12</w:t>
            </w:r>
          </w:p>
        </w:tc>
        <w:tc>
          <w:tcPr>
            <w:tcW w:w="579" w:type="pct"/>
            <w:shd w:val="clear" w:color="auto" w:fill="FFFFFF" w:themeFill="background1"/>
            <w:vAlign w:val="center"/>
          </w:tcPr>
          <w:p w14:paraId="5F4E3975">
            <w:pPr>
              <w:pStyle w:val="26"/>
              <w:bidi w:val="0"/>
              <w:rPr>
                <w:rFonts w:hint="eastAsia"/>
                <w:highlight w:val="black"/>
                <w:lang w:val="en-US" w:eastAsia="zh-CN"/>
              </w:rPr>
            </w:pPr>
            <w:r>
              <w:rPr>
                <w:rFonts w:hint="eastAsia"/>
                <w:highlight w:val="black"/>
                <w:lang w:val="en-US" w:eastAsia="zh-CN"/>
              </w:rPr>
              <w:t>25kg/桶</w:t>
            </w:r>
          </w:p>
        </w:tc>
        <w:tc>
          <w:tcPr>
            <w:tcW w:w="485" w:type="pct"/>
            <w:shd w:val="clear" w:color="auto" w:fill="FFFFFF" w:themeFill="background1"/>
            <w:vAlign w:val="center"/>
          </w:tcPr>
          <w:p w14:paraId="42B873D6">
            <w:pPr>
              <w:pStyle w:val="26"/>
              <w:bidi w:val="0"/>
              <w:rPr>
                <w:rFonts w:hint="eastAsia"/>
                <w:highlight w:val="black"/>
                <w:lang w:val="en-US" w:eastAsia="zh-CN"/>
              </w:rPr>
            </w:pPr>
            <w:r>
              <w:rPr>
                <w:rFonts w:hint="eastAsia"/>
                <w:highlight w:val="black"/>
              </w:rPr>
              <w:t>0.39</w:t>
            </w:r>
          </w:p>
        </w:tc>
        <w:tc>
          <w:tcPr>
            <w:tcW w:w="405" w:type="pct"/>
            <w:vMerge w:val="continue"/>
            <w:shd w:val="clear" w:color="auto" w:fill="FFFFFF" w:themeFill="background1"/>
            <w:vAlign w:val="center"/>
          </w:tcPr>
          <w:p w14:paraId="32EC7F10">
            <w:pPr>
              <w:pStyle w:val="26"/>
              <w:bidi w:val="0"/>
              <w:rPr>
                <w:rFonts w:hint="eastAsia"/>
                <w:highlight w:val="black"/>
              </w:rPr>
            </w:pPr>
          </w:p>
        </w:tc>
        <w:tc>
          <w:tcPr>
            <w:tcW w:w="364" w:type="pct"/>
            <w:shd w:val="clear" w:color="auto" w:fill="FFFFFF" w:themeFill="background1"/>
            <w:vAlign w:val="center"/>
          </w:tcPr>
          <w:p w14:paraId="1988CAB2">
            <w:pPr>
              <w:pStyle w:val="26"/>
              <w:bidi w:val="0"/>
              <w:rPr>
                <w:rFonts w:hint="eastAsia"/>
                <w:highlight w:val="black"/>
                <w:lang w:val="en-US" w:eastAsia="zh-CN"/>
              </w:rPr>
            </w:pPr>
            <w:r>
              <w:rPr>
                <w:rFonts w:hint="eastAsia"/>
                <w:highlight w:val="black"/>
              </w:rPr>
              <w:t>油墨擦拭</w:t>
            </w:r>
          </w:p>
        </w:tc>
      </w:tr>
      <w:tr w14:paraId="685E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3E510A90">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25</w:t>
            </w:r>
          </w:p>
        </w:tc>
        <w:tc>
          <w:tcPr>
            <w:tcW w:w="520" w:type="pct"/>
            <w:vMerge w:val="continue"/>
            <w:shd w:val="clear" w:color="auto" w:fill="auto"/>
            <w:vAlign w:val="center"/>
          </w:tcPr>
          <w:p w14:paraId="6908A33A">
            <w:pPr>
              <w:pStyle w:val="26"/>
              <w:bidi w:val="0"/>
              <w:rPr>
                <w:rFonts w:hint="eastAsia"/>
              </w:rPr>
            </w:pPr>
          </w:p>
        </w:tc>
        <w:tc>
          <w:tcPr>
            <w:tcW w:w="520" w:type="pct"/>
            <w:shd w:val="clear" w:color="auto" w:fill="FFFFFF" w:themeFill="background1"/>
            <w:vAlign w:val="center"/>
          </w:tcPr>
          <w:p w14:paraId="0FC24EF5">
            <w:pPr>
              <w:pStyle w:val="26"/>
              <w:bidi w:val="0"/>
              <w:rPr>
                <w:rFonts w:hint="eastAsia"/>
                <w:highlight w:val="black"/>
                <w:lang w:val="en-US" w:eastAsia="zh-CN"/>
              </w:rPr>
            </w:pPr>
            <w:r>
              <w:rPr>
                <w:rFonts w:hint="eastAsia"/>
                <w:highlight w:val="black"/>
              </w:rPr>
              <w:t>聚丙烯酰胺</w:t>
            </w:r>
          </w:p>
        </w:tc>
        <w:tc>
          <w:tcPr>
            <w:tcW w:w="876" w:type="pct"/>
            <w:shd w:val="clear" w:color="auto" w:fill="FFFFFF" w:themeFill="background1"/>
            <w:vAlign w:val="center"/>
          </w:tcPr>
          <w:p w14:paraId="5B7F2D71">
            <w:pPr>
              <w:pStyle w:val="26"/>
              <w:bidi w:val="0"/>
              <w:rPr>
                <w:rFonts w:hint="eastAsia"/>
                <w:highlight w:val="black"/>
                <w:lang w:val="en-US" w:eastAsia="zh-CN"/>
              </w:rPr>
            </w:pPr>
            <w:r>
              <w:rPr>
                <w:rFonts w:hint="eastAsia"/>
                <w:highlight w:val="black"/>
              </w:rPr>
              <w:t>聚丙烯酰胺</w:t>
            </w:r>
          </w:p>
        </w:tc>
        <w:tc>
          <w:tcPr>
            <w:tcW w:w="384" w:type="pct"/>
            <w:shd w:val="clear" w:color="auto" w:fill="FFFFFF" w:themeFill="background1"/>
            <w:vAlign w:val="center"/>
          </w:tcPr>
          <w:p w14:paraId="20C9C209">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5329A1E3">
            <w:pPr>
              <w:pStyle w:val="26"/>
              <w:bidi w:val="0"/>
              <w:rPr>
                <w:rFonts w:hint="eastAsia"/>
                <w:highlight w:val="black"/>
                <w:lang w:val="en-US" w:eastAsia="zh-CN"/>
              </w:rPr>
            </w:pPr>
            <w:r>
              <w:rPr>
                <w:rFonts w:hint="eastAsia"/>
                <w:highlight w:val="black"/>
                <w:lang w:val="en-US" w:eastAsia="zh-CN"/>
              </w:rPr>
              <w:t>0.36</w:t>
            </w:r>
          </w:p>
        </w:tc>
        <w:tc>
          <w:tcPr>
            <w:tcW w:w="579" w:type="pct"/>
            <w:shd w:val="clear" w:color="auto" w:fill="FFFFFF" w:themeFill="background1"/>
            <w:vAlign w:val="center"/>
          </w:tcPr>
          <w:p w14:paraId="7354D166">
            <w:pPr>
              <w:pStyle w:val="26"/>
              <w:bidi w:val="0"/>
              <w:rPr>
                <w:rFonts w:hint="eastAsia"/>
                <w:highlight w:val="black"/>
                <w:lang w:val="en-US" w:eastAsia="zh-CN"/>
              </w:rPr>
            </w:pPr>
            <w:r>
              <w:rPr>
                <w:rFonts w:hint="eastAsia"/>
                <w:highlight w:val="black"/>
                <w:lang w:val="en-US" w:eastAsia="zh-CN"/>
              </w:rPr>
              <w:t>25kg/袋</w:t>
            </w:r>
          </w:p>
        </w:tc>
        <w:tc>
          <w:tcPr>
            <w:tcW w:w="485" w:type="pct"/>
            <w:shd w:val="clear" w:color="auto" w:fill="FFFFFF" w:themeFill="background1"/>
            <w:vAlign w:val="center"/>
          </w:tcPr>
          <w:p w14:paraId="7B0FB3B2">
            <w:pPr>
              <w:pStyle w:val="26"/>
              <w:bidi w:val="0"/>
              <w:rPr>
                <w:rFonts w:hint="eastAsia"/>
                <w:highlight w:val="black"/>
                <w:lang w:val="en-US" w:eastAsia="zh-CN"/>
              </w:rPr>
            </w:pPr>
            <w:r>
              <w:rPr>
                <w:rFonts w:hint="eastAsia"/>
                <w:highlight w:val="black"/>
              </w:rPr>
              <w:t>0.05</w:t>
            </w:r>
          </w:p>
        </w:tc>
        <w:tc>
          <w:tcPr>
            <w:tcW w:w="405" w:type="pct"/>
            <w:vMerge w:val="continue"/>
            <w:shd w:val="clear" w:color="auto" w:fill="FFFFFF" w:themeFill="background1"/>
            <w:vAlign w:val="center"/>
          </w:tcPr>
          <w:p w14:paraId="4B357393">
            <w:pPr>
              <w:pStyle w:val="26"/>
              <w:bidi w:val="0"/>
              <w:rPr>
                <w:rFonts w:hint="eastAsia"/>
                <w:highlight w:val="black"/>
              </w:rPr>
            </w:pPr>
          </w:p>
        </w:tc>
        <w:tc>
          <w:tcPr>
            <w:tcW w:w="364" w:type="pct"/>
            <w:shd w:val="clear" w:color="auto" w:fill="FFFFFF" w:themeFill="background1"/>
            <w:vAlign w:val="center"/>
          </w:tcPr>
          <w:p w14:paraId="140E2D31">
            <w:pPr>
              <w:pStyle w:val="26"/>
              <w:bidi w:val="0"/>
              <w:rPr>
                <w:rFonts w:hint="eastAsia"/>
                <w:highlight w:val="black"/>
                <w:lang w:val="en-US" w:eastAsia="zh-CN"/>
              </w:rPr>
            </w:pPr>
            <w:r>
              <w:rPr>
                <w:rFonts w:hint="eastAsia"/>
                <w:highlight w:val="black"/>
              </w:rPr>
              <w:t>废水处理</w:t>
            </w:r>
          </w:p>
        </w:tc>
      </w:tr>
      <w:tr w14:paraId="18DA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66E3084D">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26</w:t>
            </w:r>
          </w:p>
        </w:tc>
        <w:tc>
          <w:tcPr>
            <w:tcW w:w="520" w:type="pct"/>
            <w:vMerge w:val="continue"/>
            <w:shd w:val="clear" w:color="auto" w:fill="auto"/>
            <w:vAlign w:val="center"/>
          </w:tcPr>
          <w:p w14:paraId="7292C97D">
            <w:pPr>
              <w:pStyle w:val="26"/>
              <w:bidi w:val="0"/>
              <w:rPr>
                <w:rFonts w:hint="eastAsia"/>
              </w:rPr>
            </w:pPr>
          </w:p>
        </w:tc>
        <w:tc>
          <w:tcPr>
            <w:tcW w:w="520" w:type="pct"/>
            <w:shd w:val="clear" w:color="auto" w:fill="FFFFFF" w:themeFill="background1"/>
            <w:vAlign w:val="center"/>
          </w:tcPr>
          <w:p w14:paraId="375B71E9">
            <w:pPr>
              <w:pStyle w:val="26"/>
              <w:bidi w:val="0"/>
              <w:rPr>
                <w:rFonts w:hint="eastAsia"/>
                <w:highlight w:val="black"/>
                <w:lang w:val="en-US" w:eastAsia="zh-CN"/>
              </w:rPr>
            </w:pPr>
            <w:r>
              <w:rPr>
                <w:rFonts w:hint="eastAsia"/>
                <w:highlight w:val="black"/>
              </w:rPr>
              <w:t>聚合氯化铝</w:t>
            </w:r>
          </w:p>
        </w:tc>
        <w:tc>
          <w:tcPr>
            <w:tcW w:w="876" w:type="pct"/>
            <w:shd w:val="clear" w:color="auto" w:fill="FFFFFF" w:themeFill="background1"/>
            <w:vAlign w:val="center"/>
          </w:tcPr>
          <w:p w14:paraId="55F56F2E">
            <w:pPr>
              <w:pStyle w:val="26"/>
              <w:bidi w:val="0"/>
              <w:rPr>
                <w:rFonts w:hint="eastAsia"/>
                <w:highlight w:val="black"/>
                <w:lang w:val="en-US" w:eastAsia="zh-CN"/>
              </w:rPr>
            </w:pPr>
            <w:r>
              <w:rPr>
                <w:rFonts w:hint="eastAsia"/>
                <w:highlight w:val="black"/>
              </w:rPr>
              <w:t>聚合氯化铝</w:t>
            </w:r>
          </w:p>
        </w:tc>
        <w:tc>
          <w:tcPr>
            <w:tcW w:w="384" w:type="pct"/>
            <w:shd w:val="clear" w:color="auto" w:fill="FFFFFF" w:themeFill="background1"/>
            <w:vAlign w:val="center"/>
          </w:tcPr>
          <w:p w14:paraId="750C71D6">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5B047446">
            <w:pPr>
              <w:pStyle w:val="26"/>
              <w:bidi w:val="0"/>
              <w:rPr>
                <w:rFonts w:hint="eastAsia"/>
                <w:highlight w:val="black"/>
                <w:lang w:val="en-US" w:eastAsia="zh-CN"/>
              </w:rPr>
            </w:pPr>
            <w:r>
              <w:rPr>
                <w:rFonts w:hint="eastAsia"/>
                <w:highlight w:val="black"/>
                <w:lang w:val="en-US" w:eastAsia="zh-CN"/>
              </w:rPr>
              <w:t>15.18</w:t>
            </w:r>
          </w:p>
        </w:tc>
        <w:tc>
          <w:tcPr>
            <w:tcW w:w="579" w:type="pct"/>
            <w:shd w:val="clear" w:color="auto" w:fill="FFFFFF" w:themeFill="background1"/>
            <w:vAlign w:val="center"/>
          </w:tcPr>
          <w:p w14:paraId="10A8602B">
            <w:pPr>
              <w:pStyle w:val="26"/>
              <w:bidi w:val="0"/>
              <w:rPr>
                <w:rFonts w:hint="eastAsia"/>
                <w:highlight w:val="black"/>
                <w:lang w:val="en-US" w:eastAsia="zh-CN"/>
              </w:rPr>
            </w:pPr>
            <w:r>
              <w:rPr>
                <w:rFonts w:hint="eastAsia"/>
                <w:highlight w:val="black"/>
                <w:lang w:val="en-US" w:eastAsia="zh-CN"/>
              </w:rPr>
              <w:t>25kg/袋</w:t>
            </w:r>
          </w:p>
        </w:tc>
        <w:tc>
          <w:tcPr>
            <w:tcW w:w="485" w:type="pct"/>
            <w:shd w:val="clear" w:color="auto" w:fill="FFFFFF" w:themeFill="background1"/>
            <w:vAlign w:val="center"/>
          </w:tcPr>
          <w:p w14:paraId="22DEBA59">
            <w:pPr>
              <w:pStyle w:val="26"/>
              <w:bidi w:val="0"/>
              <w:rPr>
                <w:rFonts w:hint="eastAsia"/>
                <w:highlight w:val="black"/>
                <w:lang w:val="en-US" w:eastAsia="zh-CN"/>
              </w:rPr>
            </w:pPr>
            <w:r>
              <w:rPr>
                <w:rFonts w:hint="eastAsia"/>
                <w:highlight w:val="black"/>
              </w:rPr>
              <w:t>0.7</w:t>
            </w:r>
          </w:p>
        </w:tc>
        <w:tc>
          <w:tcPr>
            <w:tcW w:w="405" w:type="pct"/>
            <w:vMerge w:val="continue"/>
            <w:shd w:val="clear" w:color="auto" w:fill="FFFFFF" w:themeFill="background1"/>
            <w:vAlign w:val="center"/>
          </w:tcPr>
          <w:p w14:paraId="59CE00D0">
            <w:pPr>
              <w:pStyle w:val="26"/>
              <w:bidi w:val="0"/>
              <w:rPr>
                <w:rFonts w:hint="eastAsia"/>
                <w:highlight w:val="black"/>
              </w:rPr>
            </w:pPr>
          </w:p>
        </w:tc>
        <w:tc>
          <w:tcPr>
            <w:tcW w:w="364" w:type="pct"/>
            <w:shd w:val="clear" w:color="auto" w:fill="FFFFFF" w:themeFill="background1"/>
            <w:vAlign w:val="center"/>
          </w:tcPr>
          <w:p w14:paraId="23F52122">
            <w:pPr>
              <w:pStyle w:val="26"/>
              <w:bidi w:val="0"/>
              <w:rPr>
                <w:rFonts w:hint="eastAsia"/>
                <w:highlight w:val="black"/>
                <w:lang w:val="en-US" w:eastAsia="zh-CN"/>
              </w:rPr>
            </w:pPr>
            <w:r>
              <w:rPr>
                <w:rFonts w:hint="eastAsia"/>
                <w:highlight w:val="black"/>
              </w:rPr>
              <w:t>废水处理</w:t>
            </w:r>
          </w:p>
        </w:tc>
      </w:tr>
      <w:tr w14:paraId="1359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145C03CB">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27</w:t>
            </w:r>
          </w:p>
        </w:tc>
        <w:tc>
          <w:tcPr>
            <w:tcW w:w="520" w:type="pct"/>
            <w:vMerge w:val="continue"/>
            <w:shd w:val="clear" w:color="auto" w:fill="auto"/>
            <w:vAlign w:val="center"/>
          </w:tcPr>
          <w:p w14:paraId="428EB172">
            <w:pPr>
              <w:pStyle w:val="26"/>
              <w:bidi w:val="0"/>
              <w:rPr>
                <w:rFonts w:hint="eastAsia"/>
              </w:rPr>
            </w:pPr>
          </w:p>
        </w:tc>
        <w:tc>
          <w:tcPr>
            <w:tcW w:w="520" w:type="pct"/>
            <w:shd w:val="clear" w:color="auto" w:fill="FFFFFF" w:themeFill="background1"/>
            <w:vAlign w:val="center"/>
          </w:tcPr>
          <w:p w14:paraId="364FE0BC">
            <w:pPr>
              <w:pStyle w:val="26"/>
              <w:bidi w:val="0"/>
              <w:rPr>
                <w:rFonts w:hint="eastAsia"/>
                <w:highlight w:val="black"/>
                <w:lang w:val="en-US" w:eastAsia="zh-CN"/>
              </w:rPr>
            </w:pPr>
            <w:r>
              <w:rPr>
                <w:rFonts w:hint="eastAsia"/>
                <w:highlight w:val="black"/>
              </w:rPr>
              <w:t>焦亚硫酸钠</w:t>
            </w:r>
          </w:p>
        </w:tc>
        <w:tc>
          <w:tcPr>
            <w:tcW w:w="876" w:type="pct"/>
            <w:shd w:val="clear" w:color="auto" w:fill="FFFFFF" w:themeFill="background1"/>
            <w:vAlign w:val="center"/>
          </w:tcPr>
          <w:p w14:paraId="4B8320F7">
            <w:pPr>
              <w:pStyle w:val="26"/>
              <w:bidi w:val="0"/>
              <w:rPr>
                <w:rFonts w:hint="eastAsia"/>
                <w:highlight w:val="black"/>
                <w:lang w:val="en-US" w:eastAsia="zh-CN"/>
              </w:rPr>
            </w:pPr>
            <w:r>
              <w:rPr>
                <w:rFonts w:hint="eastAsia"/>
                <w:highlight w:val="black"/>
              </w:rPr>
              <w:t>焦亚硫酸钠</w:t>
            </w:r>
          </w:p>
        </w:tc>
        <w:tc>
          <w:tcPr>
            <w:tcW w:w="384" w:type="pct"/>
            <w:shd w:val="clear" w:color="auto" w:fill="FFFFFF" w:themeFill="background1"/>
            <w:vAlign w:val="center"/>
          </w:tcPr>
          <w:p w14:paraId="250B10BD">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253001EC">
            <w:pPr>
              <w:pStyle w:val="26"/>
              <w:bidi w:val="0"/>
              <w:rPr>
                <w:rFonts w:hint="eastAsia"/>
                <w:highlight w:val="black"/>
                <w:lang w:val="en-US" w:eastAsia="zh-CN"/>
              </w:rPr>
            </w:pPr>
            <w:r>
              <w:rPr>
                <w:rFonts w:hint="eastAsia"/>
                <w:highlight w:val="black"/>
                <w:lang w:val="en-US" w:eastAsia="zh-CN"/>
              </w:rPr>
              <w:t>25.21</w:t>
            </w:r>
          </w:p>
        </w:tc>
        <w:tc>
          <w:tcPr>
            <w:tcW w:w="579" w:type="pct"/>
            <w:shd w:val="clear" w:color="auto" w:fill="FFFFFF" w:themeFill="background1"/>
            <w:vAlign w:val="center"/>
          </w:tcPr>
          <w:p w14:paraId="07A810E8">
            <w:pPr>
              <w:pStyle w:val="26"/>
              <w:bidi w:val="0"/>
              <w:rPr>
                <w:rFonts w:hint="eastAsia"/>
                <w:highlight w:val="black"/>
                <w:lang w:val="en-US" w:eastAsia="zh-CN"/>
              </w:rPr>
            </w:pPr>
            <w:r>
              <w:rPr>
                <w:rFonts w:hint="eastAsia"/>
                <w:highlight w:val="black"/>
                <w:lang w:val="en-US" w:eastAsia="zh-CN"/>
              </w:rPr>
              <w:t>25kg/袋</w:t>
            </w:r>
          </w:p>
        </w:tc>
        <w:tc>
          <w:tcPr>
            <w:tcW w:w="485" w:type="pct"/>
            <w:shd w:val="clear" w:color="auto" w:fill="FFFFFF" w:themeFill="background1"/>
            <w:vAlign w:val="center"/>
          </w:tcPr>
          <w:p w14:paraId="2489EC3A">
            <w:pPr>
              <w:pStyle w:val="26"/>
              <w:bidi w:val="0"/>
              <w:rPr>
                <w:rFonts w:hint="eastAsia"/>
                <w:highlight w:val="black"/>
                <w:lang w:val="en-US" w:eastAsia="zh-CN"/>
              </w:rPr>
            </w:pPr>
            <w:r>
              <w:rPr>
                <w:rFonts w:hint="eastAsia"/>
                <w:highlight w:val="black"/>
              </w:rPr>
              <w:t>0.6</w:t>
            </w:r>
          </w:p>
        </w:tc>
        <w:tc>
          <w:tcPr>
            <w:tcW w:w="405" w:type="pct"/>
            <w:vMerge w:val="continue"/>
            <w:shd w:val="clear" w:color="auto" w:fill="FFFFFF" w:themeFill="background1"/>
            <w:vAlign w:val="center"/>
          </w:tcPr>
          <w:p w14:paraId="44CA70F6">
            <w:pPr>
              <w:pStyle w:val="26"/>
              <w:bidi w:val="0"/>
              <w:rPr>
                <w:rFonts w:hint="eastAsia"/>
                <w:highlight w:val="black"/>
              </w:rPr>
            </w:pPr>
          </w:p>
        </w:tc>
        <w:tc>
          <w:tcPr>
            <w:tcW w:w="364" w:type="pct"/>
            <w:shd w:val="clear" w:color="auto" w:fill="FFFFFF" w:themeFill="background1"/>
            <w:vAlign w:val="center"/>
          </w:tcPr>
          <w:p w14:paraId="139C8062">
            <w:pPr>
              <w:pStyle w:val="26"/>
              <w:bidi w:val="0"/>
              <w:rPr>
                <w:rFonts w:hint="eastAsia"/>
                <w:highlight w:val="black"/>
                <w:lang w:val="en-US" w:eastAsia="zh-CN"/>
              </w:rPr>
            </w:pPr>
            <w:r>
              <w:rPr>
                <w:rFonts w:hint="eastAsia"/>
                <w:highlight w:val="black"/>
              </w:rPr>
              <w:t>废水处理</w:t>
            </w:r>
          </w:p>
        </w:tc>
      </w:tr>
      <w:tr w14:paraId="4F80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1D4B5B5">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28</w:t>
            </w:r>
          </w:p>
        </w:tc>
        <w:tc>
          <w:tcPr>
            <w:tcW w:w="520" w:type="pct"/>
            <w:vMerge w:val="continue"/>
            <w:shd w:val="clear" w:color="auto" w:fill="auto"/>
            <w:vAlign w:val="center"/>
          </w:tcPr>
          <w:p w14:paraId="1EF3E777">
            <w:pPr>
              <w:pStyle w:val="26"/>
              <w:bidi w:val="0"/>
              <w:rPr>
                <w:rFonts w:hint="eastAsia"/>
              </w:rPr>
            </w:pPr>
          </w:p>
        </w:tc>
        <w:tc>
          <w:tcPr>
            <w:tcW w:w="520" w:type="pct"/>
            <w:shd w:val="clear" w:color="auto" w:fill="FFFFFF" w:themeFill="background1"/>
            <w:vAlign w:val="center"/>
          </w:tcPr>
          <w:p w14:paraId="04D712CC">
            <w:pPr>
              <w:pStyle w:val="26"/>
              <w:bidi w:val="0"/>
              <w:rPr>
                <w:rFonts w:hint="eastAsia"/>
                <w:highlight w:val="black"/>
                <w:lang w:val="en-US" w:eastAsia="zh-CN"/>
              </w:rPr>
            </w:pPr>
            <w:r>
              <w:rPr>
                <w:rFonts w:hint="eastAsia"/>
                <w:highlight w:val="black"/>
              </w:rPr>
              <w:t>二氧化氯消毒剂</w:t>
            </w:r>
          </w:p>
        </w:tc>
        <w:tc>
          <w:tcPr>
            <w:tcW w:w="876" w:type="pct"/>
            <w:shd w:val="clear" w:color="auto" w:fill="FFFFFF" w:themeFill="background1"/>
            <w:vAlign w:val="center"/>
          </w:tcPr>
          <w:p w14:paraId="6DA72DB5">
            <w:pPr>
              <w:pStyle w:val="26"/>
              <w:bidi w:val="0"/>
              <w:rPr>
                <w:rFonts w:hint="eastAsia"/>
                <w:highlight w:val="black"/>
                <w:lang w:val="en-US" w:eastAsia="zh-CN"/>
              </w:rPr>
            </w:pPr>
            <w:r>
              <w:rPr>
                <w:rFonts w:hint="eastAsia"/>
                <w:highlight w:val="black"/>
              </w:rPr>
              <w:t>亚氯酸钠</w:t>
            </w:r>
            <w:r>
              <w:rPr>
                <w:rFonts w:hint="eastAsia"/>
                <w:highlight w:val="black"/>
                <w:lang w:eastAsia="zh-CN"/>
              </w:rPr>
              <w:t>、</w:t>
            </w:r>
            <w:r>
              <w:rPr>
                <w:rFonts w:hint="eastAsia"/>
                <w:highlight w:val="black"/>
              </w:rPr>
              <w:t>柠檬酸</w:t>
            </w:r>
          </w:p>
        </w:tc>
        <w:tc>
          <w:tcPr>
            <w:tcW w:w="384" w:type="pct"/>
            <w:shd w:val="clear" w:color="auto" w:fill="FFFFFF" w:themeFill="background1"/>
            <w:vAlign w:val="center"/>
          </w:tcPr>
          <w:p w14:paraId="06C08800">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7D0F958E">
            <w:pPr>
              <w:pStyle w:val="26"/>
              <w:bidi w:val="0"/>
              <w:rPr>
                <w:rFonts w:hint="eastAsia"/>
                <w:highlight w:val="black"/>
                <w:lang w:val="en-US" w:eastAsia="zh-CN"/>
              </w:rPr>
            </w:pPr>
            <w:r>
              <w:rPr>
                <w:rFonts w:hint="eastAsia"/>
                <w:highlight w:val="black"/>
                <w:lang w:val="en-US" w:eastAsia="zh-CN"/>
              </w:rPr>
              <w:t>0.45</w:t>
            </w:r>
          </w:p>
        </w:tc>
        <w:tc>
          <w:tcPr>
            <w:tcW w:w="579" w:type="pct"/>
            <w:shd w:val="clear" w:color="auto" w:fill="FFFFFF" w:themeFill="background1"/>
            <w:vAlign w:val="center"/>
          </w:tcPr>
          <w:p w14:paraId="05D5613F">
            <w:pPr>
              <w:pStyle w:val="26"/>
              <w:bidi w:val="0"/>
              <w:rPr>
                <w:rFonts w:hint="eastAsia"/>
                <w:highlight w:val="black"/>
                <w:lang w:val="en-US" w:eastAsia="zh-CN"/>
              </w:rPr>
            </w:pPr>
            <w:r>
              <w:rPr>
                <w:rFonts w:hint="eastAsia"/>
                <w:highlight w:val="black"/>
                <w:lang w:val="en-US" w:eastAsia="zh-CN"/>
              </w:rPr>
              <w:t>25kg/袋</w:t>
            </w:r>
          </w:p>
        </w:tc>
        <w:tc>
          <w:tcPr>
            <w:tcW w:w="485" w:type="pct"/>
            <w:shd w:val="clear" w:color="auto" w:fill="FFFFFF" w:themeFill="background1"/>
            <w:vAlign w:val="center"/>
          </w:tcPr>
          <w:p w14:paraId="1808EE6F">
            <w:pPr>
              <w:pStyle w:val="26"/>
              <w:bidi w:val="0"/>
              <w:rPr>
                <w:rFonts w:hint="eastAsia"/>
                <w:highlight w:val="black"/>
                <w:lang w:val="en-US" w:eastAsia="zh-CN"/>
              </w:rPr>
            </w:pPr>
            <w:r>
              <w:rPr>
                <w:rFonts w:hint="eastAsia"/>
                <w:highlight w:val="black"/>
              </w:rPr>
              <w:t>0.1</w:t>
            </w:r>
          </w:p>
        </w:tc>
        <w:tc>
          <w:tcPr>
            <w:tcW w:w="405" w:type="pct"/>
            <w:vMerge w:val="continue"/>
            <w:shd w:val="clear" w:color="auto" w:fill="FFFFFF" w:themeFill="background1"/>
            <w:vAlign w:val="center"/>
          </w:tcPr>
          <w:p w14:paraId="410CC965">
            <w:pPr>
              <w:pStyle w:val="26"/>
              <w:bidi w:val="0"/>
              <w:rPr>
                <w:rFonts w:hint="eastAsia"/>
                <w:highlight w:val="black"/>
              </w:rPr>
            </w:pPr>
          </w:p>
        </w:tc>
        <w:tc>
          <w:tcPr>
            <w:tcW w:w="364" w:type="pct"/>
            <w:shd w:val="clear" w:color="auto" w:fill="FFFFFF" w:themeFill="background1"/>
            <w:vAlign w:val="center"/>
          </w:tcPr>
          <w:p w14:paraId="75C0EF53">
            <w:pPr>
              <w:pStyle w:val="26"/>
              <w:bidi w:val="0"/>
              <w:rPr>
                <w:rFonts w:hint="eastAsia"/>
                <w:highlight w:val="black"/>
                <w:lang w:val="en-US" w:eastAsia="zh-CN"/>
              </w:rPr>
            </w:pPr>
            <w:r>
              <w:rPr>
                <w:rFonts w:hint="eastAsia"/>
                <w:highlight w:val="black"/>
              </w:rPr>
              <w:t>废水处理</w:t>
            </w:r>
          </w:p>
        </w:tc>
      </w:tr>
      <w:tr w14:paraId="0C26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2CC0AED5">
            <w:pPr>
              <w:widowControl w:val="0"/>
              <w:bidi w:val="0"/>
              <w:adjustRightInd w:val="0"/>
              <w:snapToGrid w:val="0"/>
              <w:spacing w:line="240" w:lineRule="auto"/>
              <w:ind w:firstLine="0" w:firstLineChars="0"/>
              <w:jc w:val="center"/>
              <w:rPr>
                <w:rFonts w:hint="eastAsia"/>
                <w:lang w:val="en-US" w:eastAsia="zh-CN"/>
              </w:rPr>
            </w:pPr>
            <w:r>
              <w:rPr>
                <w:rFonts w:hint="default" w:ascii="Times New Roman" w:hAnsi="Times New Roman" w:eastAsia="仿宋_GB2312" w:cs="Times New Roman"/>
                <w:color w:val="000000"/>
                <w:spacing w:val="-11"/>
                <w:kern w:val="0"/>
                <w:sz w:val="21"/>
                <w:szCs w:val="21"/>
                <w:lang w:val="en-US" w:eastAsia="zh-CN" w:bidi="ar-SA"/>
              </w:rPr>
              <w:t>29</w:t>
            </w:r>
          </w:p>
        </w:tc>
        <w:tc>
          <w:tcPr>
            <w:tcW w:w="520" w:type="pct"/>
            <w:vMerge w:val="continue"/>
            <w:shd w:val="clear" w:color="auto" w:fill="auto"/>
            <w:vAlign w:val="center"/>
          </w:tcPr>
          <w:p w14:paraId="7C1BA3BA">
            <w:pPr>
              <w:pStyle w:val="26"/>
              <w:bidi w:val="0"/>
              <w:rPr>
                <w:rFonts w:hint="eastAsia"/>
              </w:rPr>
            </w:pPr>
          </w:p>
        </w:tc>
        <w:tc>
          <w:tcPr>
            <w:tcW w:w="520" w:type="pct"/>
            <w:shd w:val="clear" w:color="auto" w:fill="FFFFFF" w:themeFill="background1"/>
            <w:vAlign w:val="center"/>
          </w:tcPr>
          <w:p w14:paraId="207A93BF">
            <w:pPr>
              <w:pStyle w:val="26"/>
              <w:bidi w:val="0"/>
              <w:rPr>
                <w:rFonts w:hint="eastAsia"/>
                <w:highlight w:val="black"/>
                <w:lang w:val="en-US" w:eastAsia="zh-CN"/>
              </w:rPr>
            </w:pPr>
            <w:r>
              <w:rPr>
                <w:rFonts w:hint="eastAsia"/>
                <w:highlight w:val="black"/>
              </w:rPr>
              <w:t>氢氧化钠</w:t>
            </w:r>
          </w:p>
        </w:tc>
        <w:tc>
          <w:tcPr>
            <w:tcW w:w="876" w:type="pct"/>
            <w:shd w:val="clear" w:color="auto" w:fill="FFFFFF" w:themeFill="background1"/>
            <w:vAlign w:val="center"/>
          </w:tcPr>
          <w:p w14:paraId="3BCD59E2">
            <w:pPr>
              <w:pStyle w:val="26"/>
              <w:bidi w:val="0"/>
              <w:rPr>
                <w:rFonts w:hint="eastAsia"/>
                <w:highlight w:val="black"/>
                <w:lang w:val="en-US" w:eastAsia="zh-CN"/>
              </w:rPr>
            </w:pPr>
            <w:r>
              <w:rPr>
                <w:rFonts w:hint="eastAsia"/>
                <w:highlight w:val="black"/>
              </w:rPr>
              <w:t>氢氧化钠</w:t>
            </w:r>
          </w:p>
        </w:tc>
        <w:tc>
          <w:tcPr>
            <w:tcW w:w="384" w:type="pct"/>
            <w:shd w:val="clear" w:color="auto" w:fill="FFFFFF" w:themeFill="background1"/>
            <w:vAlign w:val="center"/>
          </w:tcPr>
          <w:p w14:paraId="66DCB2E4">
            <w:pPr>
              <w:pStyle w:val="26"/>
              <w:bidi w:val="0"/>
              <w:rPr>
                <w:rFonts w:hint="eastAsia"/>
                <w:highlight w:val="black"/>
                <w:lang w:val="en-US" w:eastAsia="zh-CN"/>
              </w:rPr>
            </w:pPr>
            <w:r>
              <w:rPr>
                <w:rFonts w:hint="eastAsia"/>
                <w:highlight w:val="black"/>
              </w:rPr>
              <w:t>固</w:t>
            </w:r>
          </w:p>
        </w:tc>
        <w:tc>
          <w:tcPr>
            <w:tcW w:w="520" w:type="pct"/>
            <w:shd w:val="clear" w:color="auto" w:fill="FFFFFF" w:themeFill="background1"/>
            <w:vAlign w:val="center"/>
          </w:tcPr>
          <w:p w14:paraId="61253363">
            <w:pPr>
              <w:pStyle w:val="26"/>
              <w:bidi w:val="0"/>
              <w:rPr>
                <w:rFonts w:hint="eastAsia"/>
                <w:highlight w:val="black"/>
                <w:lang w:val="en-US" w:eastAsia="zh-CN"/>
              </w:rPr>
            </w:pPr>
            <w:r>
              <w:rPr>
                <w:rFonts w:hint="eastAsia"/>
                <w:highlight w:val="black"/>
                <w:lang w:val="en-US" w:eastAsia="zh-CN"/>
              </w:rPr>
              <w:t>34.1</w:t>
            </w:r>
          </w:p>
        </w:tc>
        <w:tc>
          <w:tcPr>
            <w:tcW w:w="579" w:type="pct"/>
            <w:shd w:val="clear" w:color="auto" w:fill="FFFFFF" w:themeFill="background1"/>
            <w:vAlign w:val="center"/>
          </w:tcPr>
          <w:p w14:paraId="77A583C6">
            <w:pPr>
              <w:pStyle w:val="26"/>
              <w:bidi w:val="0"/>
              <w:rPr>
                <w:rFonts w:hint="eastAsia"/>
                <w:highlight w:val="black"/>
                <w:lang w:val="en-US" w:eastAsia="zh-CN"/>
              </w:rPr>
            </w:pPr>
            <w:r>
              <w:rPr>
                <w:rFonts w:hint="eastAsia"/>
                <w:highlight w:val="black"/>
                <w:lang w:val="en-US" w:eastAsia="zh-CN"/>
              </w:rPr>
              <w:t>25kg/袋</w:t>
            </w:r>
          </w:p>
        </w:tc>
        <w:tc>
          <w:tcPr>
            <w:tcW w:w="485" w:type="pct"/>
            <w:shd w:val="clear" w:color="auto" w:fill="FFFFFF" w:themeFill="background1"/>
            <w:vAlign w:val="center"/>
          </w:tcPr>
          <w:p w14:paraId="4A4A76AF">
            <w:pPr>
              <w:pStyle w:val="26"/>
              <w:bidi w:val="0"/>
              <w:rPr>
                <w:rFonts w:hint="eastAsia"/>
                <w:highlight w:val="black"/>
                <w:lang w:val="en-US" w:eastAsia="zh-CN"/>
              </w:rPr>
            </w:pPr>
            <w:r>
              <w:rPr>
                <w:rFonts w:hint="eastAsia"/>
                <w:highlight w:val="black"/>
              </w:rPr>
              <w:t>1.5</w:t>
            </w:r>
          </w:p>
        </w:tc>
        <w:tc>
          <w:tcPr>
            <w:tcW w:w="405" w:type="pct"/>
            <w:vMerge w:val="continue"/>
            <w:shd w:val="clear" w:color="auto" w:fill="FFFFFF" w:themeFill="background1"/>
            <w:vAlign w:val="center"/>
          </w:tcPr>
          <w:p w14:paraId="0A22A86E">
            <w:pPr>
              <w:pStyle w:val="26"/>
              <w:bidi w:val="0"/>
              <w:rPr>
                <w:rFonts w:hint="eastAsia"/>
                <w:highlight w:val="black"/>
                <w:lang w:val="en-US" w:eastAsia="zh-CN"/>
              </w:rPr>
            </w:pPr>
          </w:p>
        </w:tc>
        <w:tc>
          <w:tcPr>
            <w:tcW w:w="364" w:type="pct"/>
            <w:shd w:val="clear" w:color="auto" w:fill="FFFFFF" w:themeFill="background1"/>
            <w:vAlign w:val="center"/>
          </w:tcPr>
          <w:p w14:paraId="77CEB46C">
            <w:pPr>
              <w:pStyle w:val="26"/>
              <w:bidi w:val="0"/>
              <w:rPr>
                <w:rFonts w:hint="eastAsia"/>
                <w:highlight w:val="black"/>
                <w:lang w:val="en-US" w:eastAsia="zh-CN"/>
              </w:rPr>
            </w:pPr>
            <w:r>
              <w:rPr>
                <w:rFonts w:hint="eastAsia"/>
                <w:highlight w:val="black"/>
              </w:rPr>
              <w:t>脱脂/废气</w:t>
            </w:r>
          </w:p>
        </w:tc>
      </w:tr>
      <w:tr w14:paraId="577D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43244234">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30</w:t>
            </w:r>
          </w:p>
        </w:tc>
        <w:tc>
          <w:tcPr>
            <w:tcW w:w="520" w:type="pct"/>
            <w:vMerge w:val="restart"/>
            <w:shd w:val="clear" w:color="auto" w:fill="auto"/>
            <w:vAlign w:val="center"/>
          </w:tcPr>
          <w:p w14:paraId="4FB8E6EF">
            <w:pPr>
              <w:pStyle w:val="26"/>
              <w:bidi w:val="0"/>
              <w:rPr>
                <w:rFonts w:hint="default" w:eastAsia="仿宋_GB2312"/>
                <w:lang w:val="en-US" w:eastAsia="zh-CN"/>
              </w:rPr>
            </w:pPr>
            <w:r>
              <w:rPr>
                <w:rFonts w:hint="eastAsia"/>
                <w:lang w:val="en-US" w:eastAsia="zh-CN"/>
              </w:rPr>
              <w:t>磁性横切刀版</w:t>
            </w:r>
          </w:p>
        </w:tc>
        <w:tc>
          <w:tcPr>
            <w:tcW w:w="520" w:type="pct"/>
            <w:shd w:val="clear" w:color="auto" w:fill="FFFFFF" w:themeFill="background1"/>
            <w:vAlign w:val="top"/>
          </w:tcPr>
          <w:p w14:paraId="0403ACAA">
            <w:pPr>
              <w:pStyle w:val="26"/>
              <w:bidi w:val="0"/>
              <w:rPr>
                <w:rFonts w:hint="eastAsia"/>
                <w:highlight w:val="black"/>
                <w:lang w:val="en-US" w:eastAsia="zh-CN"/>
              </w:rPr>
            </w:pPr>
            <w:r>
              <w:rPr>
                <w:rFonts w:hint="eastAsia"/>
                <w:highlight w:val="black"/>
              </w:rPr>
              <w:t>碳钢</w:t>
            </w:r>
          </w:p>
        </w:tc>
        <w:tc>
          <w:tcPr>
            <w:tcW w:w="876" w:type="pct"/>
            <w:shd w:val="clear" w:color="auto" w:fill="FFFFFF" w:themeFill="background1"/>
            <w:vAlign w:val="center"/>
          </w:tcPr>
          <w:p w14:paraId="2E27A5B7">
            <w:pPr>
              <w:pStyle w:val="26"/>
              <w:bidi w:val="0"/>
              <w:rPr>
                <w:rFonts w:hint="eastAsia"/>
                <w:highlight w:val="black"/>
              </w:rPr>
            </w:pPr>
            <w:r>
              <w:rPr>
                <w:rFonts w:hint="eastAsia"/>
                <w:highlight w:val="black"/>
                <w:lang w:val="en-US" w:eastAsia="zh-CN"/>
              </w:rPr>
              <w:t>钢</w:t>
            </w:r>
          </w:p>
        </w:tc>
        <w:tc>
          <w:tcPr>
            <w:tcW w:w="384" w:type="pct"/>
            <w:shd w:val="clear" w:color="auto" w:fill="FFFFFF" w:themeFill="background1"/>
            <w:vAlign w:val="center"/>
          </w:tcPr>
          <w:p w14:paraId="76565646">
            <w:pPr>
              <w:pStyle w:val="26"/>
              <w:bidi w:val="0"/>
              <w:rPr>
                <w:rFonts w:hint="eastAsia"/>
                <w:highlight w:val="black"/>
              </w:rPr>
            </w:pPr>
            <w:r>
              <w:rPr>
                <w:rFonts w:hint="eastAsia"/>
                <w:highlight w:val="black"/>
              </w:rPr>
              <w:t>固</w:t>
            </w:r>
          </w:p>
        </w:tc>
        <w:tc>
          <w:tcPr>
            <w:tcW w:w="520" w:type="pct"/>
            <w:shd w:val="clear" w:color="auto" w:fill="FFFFFF" w:themeFill="background1"/>
            <w:vAlign w:val="center"/>
          </w:tcPr>
          <w:p w14:paraId="45F95B94">
            <w:pPr>
              <w:pStyle w:val="26"/>
              <w:bidi w:val="0"/>
              <w:rPr>
                <w:rFonts w:hint="default"/>
                <w:highlight w:val="black"/>
                <w:lang w:val="en-US" w:eastAsia="zh-CN"/>
              </w:rPr>
            </w:pPr>
            <w:r>
              <w:rPr>
                <w:rFonts w:hint="eastAsia"/>
                <w:highlight w:val="black"/>
                <w:lang w:val="en-US" w:eastAsia="zh-CN"/>
              </w:rPr>
              <w:t>1200</w:t>
            </w:r>
          </w:p>
        </w:tc>
        <w:tc>
          <w:tcPr>
            <w:tcW w:w="579" w:type="pct"/>
            <w:shd w:val="clear" w:color="auto" w:fill="FFFFFF" w:themeFill="background1"/>
            <w:vAlign w:val="center"/>
          </w:tcPr>
          <w:p w14:paraId="565033BD">
            <w:pPr>
              <w:pStyle w:val="26"/>
              <w:bidi w:val="0"/>
              <w:rPr>
                <w:rFonts w:hint="eastAsia"/>
                <w:highlight w:val="black"/>
                <w:lang w:val="en-US" w:eastAsia="zh-CN"/>
              </w:rPr>
            </w:pPr>
          </w:p>
        </w:tc>
        <w:tc>
          <w:tcPr>
            <w:tcW w:w="485" w:type="pct"/>
            <w:shd w:val="clear" w:color="auto" w:fill="FFFFFF" w:themeFill="background1"/>
            <w:vAlign w:val="center"/>
          </w:tcPr>
          <w:p w14:paraId="50215203">
            <w:pPr>
              <w:pStyle w:val="26"/>
              <w:bidi w:val="0"/>
              <w:rPr>
                <w:rFonts w:hint="eastAsia"/>
                <w:highlight w:val="black"/>
              </w:rPr>
            </w:pPr>
          </w:p>
        </w:tc>
        <w:tc>
          <w:tcPr>
            <w:tcW w:w="405" w:type="pct"/>
            <w:shd w:val="clear" w:color="auto" w:fill="FFFFFF" w:themeFill="background1"/>
            <w:vAlign w:val="center"/>
          </w:tcPr>
          <w:p w14:paraId="6C184C6D">
            <w:pPr>
              <w:pStyle w:val="26"/>
              <w:bidi w:val="0"/>
              <w:rPr>
                <w:rFonts w:hint="default"/>
                <w:highlight w:val="black"/>
                <w:lang w:val="en-US" w:eastAsia="zh-CN"/>
              </w:rPr>
            </w:pPr>
            <w:r>
              <w:rPr>
                <w:rFonts w:hint="eastAsia"/>
                <w:highlight w:val="black"/>
                <w:lang w:val="en-US" w:eastAsia="zh-CN"/>
              </w:rPr>
              <w:t>钢材料库</w:t>
            </w:r>
          </w:p>
        </w:tc>
        <w:tc>
          <w:tcPr>
            <w:tcW w:w="364" w:type="pct"/>
            <w:shd w:val="clear" w:color="auto" w:fill="FFFFFF" w:themeFill="background1"/>
            <w:vAlign w:val="center"/>
          </w:tcPr>
          <w:p w14:paraId="0ED31E7A">
            <w:pPr>
              <w:pStyle w:val="26"/>
              <w:bidi w:val="0"/>
              <w:rPr>
                <w:rFonts w:hint="eastAsia"/>
                <w:highlight w:val="black"/>
              </w:rPr>
            </w:pPr>
          </w:p>
        </w:tc>
      </w:tr>
      <w:tr w14:paraId="63DA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4B8F5400">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31</w:t>
            </w:r>
          </w:p>
        </w:tc>
        <w:tc>
          <w:tcPr>
            <w:tcW w:w="520" w:type="pct"/>
            <w:vMerge w:val="continue"/>
            <w:shd w:val="clear" w:color="auto" w:fill="auto"/>
            <w:vAlign w:val="center"/>
          </w:tcPr>
          <w:p w14:paraId="48DE9602">
            <w:pPr>
              <w:pStyle w:val="26"/>
              <w:bidi w:val="0"/>
              <w:rPr>
                <w:rFonts w:hint="eastAsia"/>
              </w:rPr>
            </w:pPr>
          </w:p>
        </w:tc>
        <w:tc>
          <w:tcPr>
            <w:tcW w:w="520" w:type="pct"/>
            <w:shd w:val="clear" w:color="auto" w:fill="FFFFFF" w:themeFill="background1"/>
            <w:vAlign w:val="top"/>
          </w:tcPr>
          <w:p w14:paraId="6E7BCCB0">
            <w:pPr>
              <w:pStyle w:val="26"/>
              <w:bidi w:val="0"/>
              <w:rPr>
                <w:rFonts w:hint="eastAsia"/>
                <w:highlight w:val="black"/>
                <w:lang w:val="en-US" w:eastAsia="zh-CN"/>
              </w:rPr>
            </w:pPr>
            <w:r>
              <w:rPr>
                <w:rFonts w:hint="eastAsia"/>
                <w:highlight w:val="black"/>
              </w:rPr>
              <w:t>氢氧化钠</w:t>
            </w:r>
          </w:p>
        </w:tc>
        <w:tc>
          <w:tcPr>
            <w:tcW w:w="876" w:type="pct"/>
            <w:shd w:val="clear" w:color="auto" w:fill="FFFFFF" w:themeFill="background1"/>
            <w:vAlign w:val="center"/>
          </w:tcPr>
          <w:p w14:paraId="2A2D712C">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rPr>
              <w:t>氢氧化钠</w:t>
            </w:r>
          </w:p>
        </w:tc>
        <w:tc>
          <w:tcPr>
            <w:tcW w:w="384" w:type="pct"/>
            <w:shd w:val="clear" w:color="auto" w:fill="FFFFFF" w:themeFill="background1"/>
            <w:vAlign w:val="center"/>
          </w:tcPr>
          <w:p w14:paraId="0D30EAA2">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rPr>
              <w:t>固</w:t>
            </w:r>
          </w:p>
        </w:tc>
        <w:tc>
          <w:tcPr>
            <w:tcW w:w="520" w:type="pct"/>
            <w:shd w:val="clear" w:color="auto" w:fill="FFFFFF" w:themeFill="background1"/>
            <w:vAlign w:val="center"/>
          </w:tcPr>
          <w:p w14:paraId="15E83EB8">
            <w:pPr>
              <w:pStyle w:val="26"/>
              <w:bidi w:val="0"/>
              <w:rPr>
                <w:rFonts w:hint="default"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lang w:val="en-US" w:eastAsia="zh-CN"/>
              </w:rPr>
              <w:t>0.025</w:t>
            </w:r>
          </w:p>
        </w:tc>
        <w:tc>
          <w:tcPr>
            <w:tcW w:w="579" w:type="pct"/>
            <w:shd w:val="clear" w:color="auto" w:fill="FFFFFF" w:themeFill="background1"/>
            <w:vAlign w:val="center"/>
          </w:tcPr>
          <w:p w14:paraId="419AEA37">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lang w:val="en-US" w:eastAsia="zh-CN"/>
              </w:rPr>
              <w:t>25kg/袋</w:t>
            </w:r>
          </w:p>
        </w:tc>
        <w:tc>
          <w:tcPr>
            <w:tcW w:w="485" w:type="pct"/>
            <w:shd w:val="clear" w:color="auto" w:fill="FFFFFF" w:themeFill="background1"/>
            <w:vAlign w:val="center"/>
          </w:tcPr>
          <w:p w14:paraId="4B968C2C">
            <w:pPr>
              <w:pStyle w:val="26"/>
              <w:bidi w:val="0"/>
              <w:rPr>
                <w:rFonts w:hint="eastAsia"/>
                <w:highlight w:val="black"/>
              </w:rPr>
            </w:pPr>
          </w:p>
        </w:tc>
        <w:tc>
          <w:tcPr>
            <w:tcW w:w="405" w:type="pct"/>
            <w:vMerge w:val="restart"/>
            <w:shd w:val="clear" w:color="auto" w:fill="FFFFFF" w:themeFill="background1"/>
            <w:vAlign w:val="center"/>
          </w:tcPr>
          <w:p w14:paraId="216CD7AF">
            <w:pPr>
              <w:pStyle w:val="26"/>
              <w:bidi w:val="0"/>
              <w:rPr>
                <w:rFonts w:hint="default"/>
                <w:highlight w:val="black"/>
                <w:lang w:val="en-US" w:eastAsia="zh-CN"/>
              </w:rPr>
            </w:pPr>
            <w:r>
              <w:rPr>
                <w:rFonts w:hint="eastAsia"/>
                <w:highlight w:val="black"/>
                <w:lang w:val="en-US" w:eastAsia="zh-CN"/>
              </w:rPr>
              <w:t>化学品库</w:t>
            </w:r>
          </w:p>
        </w:tc>
        <w:tc>
          <w:tcPr>
            <w:tcW w:w="364" w:type="pct"/>
            <w:shd w:val="clear" w:color="auto" w:fill="FFFFFF" w:themeFill="background1"/>
            <w:vAlign w:val="center"/>
          </w:tcPr>
          <w:p w14:paraId="0C673B37">
            <w:pPr>
              <w:pStyle w:val="26"/>
              <w:bidi w:val="0"/>
              <w:rPr>
                <w:rFonts w:hint="eastAsia"/>
                <w:highlight w:val="black"/>
              </w:rPr>
            </w:pPr>
          </w:p>
        </w:tc>
      </w:tr>
      <w:tr w14:paraId="7084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00ABD4F5">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32</w:t>
            </w:r>
          </w:p>
        </w:tc>
        <w:tc>
          <w:tcPr>
            <w:tcW w:w="520" w:type="pct"/>
            <w:vMerge w:val="continue"/>
            <w:shd w:val="clear" w:color="auto" w:fill="auto"/>
            <w:vAlign w:val="center"/>
          </w:tcPr>
          <w:p w14:paraId="12D6A99E">
            <w:pPr>
              <w:pStyle w:val="26"/>
              <w:bidi w:val="0"/>
              <w:rPr>
                <w:rFonts w:hint="eastAsia"/>
              </w:rPr>
            </w:pPr>
          </w:p>
        </w:tc>
        <w:tc>
          <w:tcPr>
            <w:tcW w:w="520" w:type="pct"/>
            <w:shd w:val="clear" w:color="auto" w:fill="FFFFFF" w:themeFill="background1"/>
            <w:vAlign w:val="top"/>
          </w:tcPr>
          <w:p w14:paraId="20FB62F7">
            <w:pPr>
              <w:pStyle w:val="26"/>
              <w:bidi w:val="0"/>
              <w:rPr>
                <w:rFonts w:hint="eastAsia"/>
                <w:highlight w:val="black"/>
                <w:lang w:val="en-US" w:eastAsia="zh-CN"/>
              </w:rPr>
            </w:pPr>
            <w:r>
              <w:rPr>
                <w:rFonts w:hint="eastAsia"/>
                <w:highlight w:val="black"/>
              </w:rPr>
              <w:t>三氯化铁</w:t>
            </w:r>
          </w:p>
        </w:tc>
        <w:tc>
          <w:tcPr>
            <w:tcW w:w="876" w:type="pct"/>
            <w:shd w:val="clear" w:color="auto" w:fill="FFFFFF" w:themeFill="background1"/>
            <w:vAlign w:val="center"/>
          </w:tcPr>
          <w:p w14:paraId="5F57B197">
            <w:pPr>
              <w:pStyle w:val="26"/>
              <w:bidi w:val="0"/>
              <w:rPr>
                <w:rFonts w:hint="eastAsia"/>
                <w:highlight w:val="black"/>
              </w:rPr>
            </w:pPr>
          </w:p>
        </w:tc>
        <w:tc>
          <w:tcPr>
            <w:tcW w:w="384" w:type="pct"/>
            <w:shd w:val="clear" w:color="auto" w:fill="FFFFFF" w:themeFill="background1"/>
            <w:vAlign w:val="center"/>
          </w:tcPr>
          <w:p w14:paraId="16389325">
            <w:pPr>
              <w:pStyle w:val="26"/>
              <w:bidi w:val="0"/>
              <w:rPr>
                <w:rFonts w:hint="eastAsia"/>
                <w:highlight w:val="black"/>
              </w:rPr>
            </w:pPr>
          </w:p>
        </w:tc>
        <w:tc>
          <w:tcPr>
            <w:tcW w:w="520" w:type="pct"/>
            <w:shd w:val="clear" w:color="auto" w:fill="FFFFFF" w:themeFill="background1"/>
            <w:vAlign w:val="center"/>
          </w:tcPr>
          <w:p w14:paraId="1B2457AE">
            <w:pPr>
              <w:pStyle w:val="26"/>
              <w:bidi w:val="0"/>
              <w:rPr>
                <w:rFonts w:hint="default"/>
                <w:highlight w:val="black"/>
                <w:lang w:val="en-US" w:eastAsia="zh-CN"/>
              </w:rPr>
            </w:pPr>
            <w:r>
              <w:rPr>
                <w:rFonts w:hint="eastAsia"/>
                <w:highlight w:val="black"/>
                <w:lang w:val="en-US" w:eastAsia="zh-CN"/>
              </w:rPr>
              <w:t>120</w:t>
            </w:r>
          </w:p>
        </w:tc>
        <w:tc>
          <w:tcPr>
            <w:tcW w:w="579" w:type="pct"/>
            <w:shd w:val="clear" w:color="auto" w:fill="FFFFFF" w:themeFill="background1"/>
            <w:vAlign w:val="center"/>
          </w:tcPr>
          <w:p w14:paraId="04924EB0">
            <w:pPr>
              <w:pStyle w:val="26"/>
              <w:bidi w:val="0"/>
              <w:rPr>
                <w:rFonts w:hint="eastAsia"/>
                <w:highlight w:val="black"/>
                <w:lang w:val="en-US" w:eastAsia="zh-CN"/>
              </w:rPr>
            </w:pPr>
          </w:p>
        </w:tc>
        <w:tc>
          <w:tcPr>
            <w:tcW w:w="485" w:type="pct"/>
            <w:shd w:val="clear" w:color="auto" w:fill="FFFFFF" w:themeFill="background1"/>
            <w:vAlign w:val="center"/>
          </w:tcPr>
          <w:p w14:paraId="63308266">
            <w:pPr>
              <w:pStyle w:val="26"/>
              <w:bidi w:val="0"/>
              <w:rPr>
                <w:rFonts w:hint="eastAsia"/>
                <w:highlight w:val="black"/>
              </w:rPr>
            </w:pPr>
          </w:p>
        </w:tc>
        <w:tc>
          <w:tcPr>
            <w:tcW w:w="405" w:type="pct"/>
            <w:vMerge w:val="continue"/>
            <w:shd w:val="clear" w:color="auto" w:fill="FFFFFF" w:themeFill="background1"/>
            <w:vAlign w:val="center"/>
          </w:tcPr>
          <w:p w14:paraId="4A728865">
            <w:pPr>
              <w:pStyle w:val="26"/>
              <w:bidi w:val="0"/>
              <w:rPr>
                <w:rFonts w:hint="eastAsia"/>
                <w:highlight w:val="black"/>
                <w:lang w:val="en-US" w:eastAsia="zh-CN"/>
              </w:rPr>
            </w:pPr>
          </w:p>
        </w:tc>
        <w:tc>
          <w:tcPr>
            <w:tcW w:w="364" w:type="pct"/>
            <w:shd w:val="clear" w:color="auto" w:fill="FFFFFF" w:themeFill="background1"/>
            <w:vAlign w:val="center"/>
          </w:tcPr>
          <w:p w14:paraId="3A1693A2">
            <w:pPr>
              <w:pStyle w:val="26"/>
              <w:bidi w:val="0"/>
              <w:rPr>
                <w:rFonts w:hint="eastAsia"/>
                <w:highlight w:val="black"/>
              </w:rPr>
            </w:pPr>
          </w:p>
        </w:tc>
      </w:tr>
      <w:tr w14:paraId="0282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37E73C85">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33</w:t>
            </w:r>
          </w:p>
        </w:tc>
        <w:tc>
          <w:tcPr>
            <w:tcW w:w="520" w:type="pct"/>
            <w:vMerge w:val="continue"/>
            <w:shd w:val="clear" w:color="auto" w:fill="auto"/>
            <w:vAlign w:val="center"/>
          </w:tcPr>
          <w:p w14:paraId="6C737C03">
            <w:pPr>
              <w:pStyle w:val="26"/>
              <w:bidi w:val="0"/>
              <w:rPr>
                <w:rFonts w:hint="eastAsia"/>
              </w:rPr>
            </w:pPr>
          </w:p>
        </w:tc>
        <w:tc>
          <w:tcPr>
            <w:tcW w:w="520" w:type="pct"/>
            <w:shd w:val="clear" w:color="auto" w:fill="FFFFFF" w:themeFill="background1"/>
            <w:vAlign w:val="top"/>
          </w:tcPr>
          <w:p w14:paraId="6534586F">
            <w:pPr>
              <w:pStyle w:val="26"/>
              <w:bidi w:val="0"/>
              <w:rPr>
                <w:rFonts w:hint="eastAsia"/>
                <w:highlight w:val="black"/>
                <w:lang w:val="en-US" w:eastAsia="zh-CN"/>
              </w:rPr>
            </w:pPr>
            <w:r>
              <w:rPr>
                <w:rFonts w:hint="eastAsia"/>
                <w:highlight w:val="black"/>
              </w:rPr>
              <w:t>铬酸酐</w:t>
            </w:r>
          </w:p>
        </w:tc>
        <w:tc>
          <w:tcPr>
            <w:tcW w:w="876" w:type="pct"/>
            <w:shd w:val="clear" w:color="auto" w:fill="FFFFFF" w:themeFill="background1"/>
            <w:vAlign w:val="center"/>
          </w:tcPr>
          <w:p w14:paraId="69E9126D">
            <w:pPr>
              <w:pStyle w:val="26"/>
              <w:bidi w:val="0"/>
              <w:rPr>
                <w:rFonts w:hint="eastAsia"/>
                <w:highlight w:val="black"/>
              </w:rPr>
            </w:pPr>
          </w:p>
        </w:tc>
        <w:tc>
          <w:tcPr>
            <w:tcW w:w="384" w:type="pct"/>
            <w:shd w:val="clear" w:color="auto" w:fill="FFFFFF" w:themeFill="background1"/>
            <w:vAlign w:val="center"/>
          </w:tcPr>
          <w:p w14:paraId="72A0A595">
            <w:pPr>
              <w:pStyle w:val="26"/>
              <w:bidi w:val="0"/>
              <w:rPr>
                <w:rFonts w:hint="eastAsia"/>
                <w:highlight w:val="black"/>
              </w:rPr>
            </w:pPr>
          </w:p>
        </w:tc>
        <w:tc>
          <w:tcPr>
            <w:tcW w:w="520" w:type="pct"/>
            <w:shd w:val="clear" w:color="auto" w:fill="FFFFFF" w:themeFill="background1"/>
            <w:vAlign w:val="center"/>
          </w:tcPr>
          <w:p w14:paraId="1EEF46B0">
            <w:pPr>
              <w:pStyle w:val="26"/>
              <w:bidi w:val="0"/>
              <w:rPr>
                <w:rFonts w:hint="default"/>
                <w:highlight w:val="black"/>
                <w:lang w:val="en-US" w:eastAsia="zh-CN"/>
              </w:rPr>
            </w:pPr>
            <w:r>
              <w:rPr>
                <w:rFonts w:hint="eastAsia"/>
                <w:highlight w:val="black"/>
                <w:lang w:val="en-US" w:eastAsia="zh-CN"/>
              </w:rPr>
              <w:t>1.2</w:t>
            </w:r>
          </w:p>
        </w:tc>
        <w:tc>
          <w:tcPr>
            <w:tcW w:w="579" w:type="pct"/>
            <w:shd w:val="clear" w:color="auto" w:fill="FFFFFF" w:themeFill="background1"/>
            <w:vAlign w:val="center"/>
          </w:tcPr>
          <w:p w14:paraId="7DF4BFB9">
            <w:pPr>
              <w:pStyle w:val="26"/>
              <w:bidi w:val="0"/>
              <w:rPr>
                <w:rFonts w:hint="eastAsia"/>
                <w:highlight w:val="black"/>
                <w:lang w:val="en-US" w:eastAsia="zh-CN"/>
              </w:rPr>
            </w:pPr>
          </w:p>
        </w:tc>
        <w:tc>
          <w:tcPr>
            <w:tcW w:w="485" w:type="pct"/>
            <w:shd w:val="clear" w:color="auto" w:fill="FFFFFF" w:themeFill="background1"/>
            <w:vAlign w:val="center"/>
          </w:tcPr>
          <w:p w14:paraId="18C6ACA9">
            <w:pPr>
              <w:pStyle w:val="26"/>
              <w:bidi w:val="0"/>
              <w:rPr>
                <w:rFonts w:hint="eastAsia"/>
                <w:highlight w:val="black"/>
              </w:rPr>
            </w:pPr>
          </w:p>
        </w:tc>
        <w:tc>
          <w:tcPr>
            <w:tcW w:w="405" w:type="pct"/>
            <w:vMerge w:val="continue"/>
            <w:shd w:val="clear" w:color="auto" w:fill="FFFFFF" w:themeFill="background1"/>
            <w:vAlign w:val="center"/>
          </w:tcPr>
          <w:p w14:paraId="76A10419">
            <w:pPr>
              <w:pStyle w:val="26"/>
              <w:bidi w:val="0"/>
              <w:rPr>
                <w:rFonts w:hint="eastAsia"/>
                <w:highlight w:val="black"/>
                <w:lang w:val="en-US" w:eastAsia="zh-CN"/>
              </w:rPr>
            </w:pPr>
          </w:p>
        </w:tc>
        <w:tc>
          <w:tcPr>
            <w:tcW w:w="364" w:type="pct"/>
            <w:shd w:val="clear" w:color="auto" w:fill="FFFFFF" w:themeFill="background1"/>
            <w:vAlign w:val="center"/>
          </w:tcPr>
          <w:p w14:paraId="7281F824">
            <w:pPr>
              <w:pStyle w:val="26"/>
              <w:bidi w:val="0"/>
              <w:rPr>
                <w:rFonts w:hint="eastAsia"/>
                <w:highlight w:val="black"/>
              </w:rPr>
            </w:pPr>
          </w:p>
        </w:tc>
      </w:tr>
      <w:tr w14:paraId="6911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6122F656">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34</w:t>
            </w:r>
          </w:p>
        </w:tc>
        <w:tc>
          <w:tcPr>
            <w:tcW w:w="520" w:type="pct"/>
            <w:vMerge w:val="continue"/>
            <w:shd w:val="clear" w:color="auto" w:fill="auto"/>
            <w:vAlign w:val="center"/>
          </w:tcPr>
          <w:p w14:paraId="6DF2258B">
            <w:pPr>
              <w:pStyle w:val="26"/>
              <w:bidi w:val="0"/>
              <w:rPr>
                <w:rFonts w:hint="eastAsia"/>
              </w:rPr>
            </w:pPr>
          </w:p>
        </w:tc>
        <w:tc>
          <w:tcPr>
            <w:tcW w:w="520" w:type="pct"/>
            <w:shd w:val="clear" w:color="auto" w:fill="FFFFFF" w:themeFill="background1"/>
            <w:vAlign w:val="top"/>
          </w:tcPr>
          <w:p w14:paraId="316B6CCD">
            <w:pPr>
              <w:pStyle w:val="26"/>
              <w:bidi w:val="0"/>
              <w:rPr>
                <w:rFonts w:hint="eastAsia"/>
                <w:highlight w:val="black"/>
                <w:lang w:val="en-US" w:eastAsia="zh-CN"/>
              </w:rPr>
            </w:pPr>
            <w:r>
              <w:rPr>
                <w:rFonts w:hint="eastAsia"/>
                <w:highlight w:val="black"/>
              </w:rPr>
              <w:t>硫酸</w:t>
            </w:r>
          </w:p>
        </w:tc>
        <w:tc>
          <w:tcPr>
            <w:tcW w:w="876" w:type="pct"/>
            <w:shd w:val="clear" w:color="auto" w:fill="FFFFFF" w:themeFill="background1"/>
            <w:vAlign w:val="center"/>
          </w:tcPr>
          <w:p w14:paraId="4495F587">
            <w:pPr>
              <w:pStyle w:val="26"/>
              <w:bidi w:val="0"/>
              <w:rPr>
                <w:rFonts w:hint="eastAsia"/>
                <w:highlight w:val="black"/>
              </w:rPr>
            </w:pPr>
          </w:p>
        </w:tc>
        <w:tc>
          <w:tcPr>
            <w:tcW w:w="384" w:type="pct"/>
            <w:shd w:val="clear" w:color="auto" w:fill="FFFFFF" w:themeFill="background1"/>
            <w:vAlign w:val="center"/>
          </w:tcPr>
          <w:p w14:paraId="5A3A433C">
            <w:pPr>
              <w:pStyle w:val="26"/>
              <w:bidi w:val="0"/>
              <w:rPr>
                <w:rFonts w:hint="eastAsia"/>
                <w:highlight w:val="black"/>
              </w:rPr>
            </w:pPr>
          </w:p>
        </w:tc>
        <w:tc>
          <w:tcPr>
            <w:tcW w:w="520" w:type="pct"/>
            <w:shd w:val="clear" w:color="auto" w:fill="FFFFFF" w:themeFill="background1"/>
            <w:vAlign w:val="center"/>
          </w:tcPr>
          <w:p w14:paraId="38248E65">
            <w:pPr>
              <w:pStyle w:val="26"/>
              <w:bidi w:val="0"/>
              <w:rPr>
                <w:rFonts w:hint="default"/>
                <w:highlight w:val="black"/>
                <w:lang w:val="en-US" w:eastAsia="zh-CN"/>
              </w:rPr>
            </w:pPr>
            <w:r>
              <w:rPr>
                <w:rFonts w:hint="eastAsia"/>
                <w:highlight w:val="black"/>
                <w:lang w:val="en-US" w:eastAsia="zh-CN"/>
              </w:rPr>
              <w:t>0.12</w:t>
            </w:r>
          </w:p>
        </w:tc>
        <w:tc>
          <w:tcPr>
            <w:tcW w:w="579" w:type="pct"/>
            <w:shd w:val="clear" w:color="auto" w:fill="FFFFFF" w:themeFill="background1"/>
            <w:vAlign w:val="center"/>
          </w:tcPr>
          <w:p w14:paraId="4175E688">
            <w:pPr>
              <w:pStyle w:val="26"/>
              <w:bidi w:val="0"/>
              <w:rPr>
                <w:rFonts w:hint="eastAsia"/>
                <w:highlight w:val="black"/>
                <w:lang w:val="en-US" w:eastAsia="zh-CN"/>
              </w:rPr>
            </w:pPr>
          </w:p>
        </w:tc>
        <w:tc>
          <w:tcPr>
            <w:tcW w:w="485" w:type="pct"/>
            <w:shd w:val="clear" w:color="auto" w:fill="FFFFFF" w:themeFill="background1"/>
            <w:vAlign w:val="center"/>
          </w:tcPr>
          <w:p w14:paraId="5EF29372">
            <w:pPr>
              <w:pStyle w:val="26"/>
              <w:bidi w:val="0"/>
              <w:rPr>
                <w:rFonts w:hint="eastAsia"/>
                <w:highlight w:val="black"/>
              </w:rPr>
            </w:pPr>
          </w:p>
        </w:tc>
        <w:tc>
          <w:tcPr>
            <w:tcW w:w="405" w:type="pct"/>
            <w:vMerge w:val="continue"/>
            <w:shd w:val="clear" w:color="auto" w:fill="FFFFFF" w:themeFill="background1"/>
            <w:vAlign w:val="center"/>
          </w:tcPr>
          <w:p w14:paraId="584172B7">
            <w:pPr>
              <w:pStyle w:val="26"/>
              <w:bidi w:val="0"/>
              <w:rPr>
                <w:rFonts w:hint="eastAsia"/>
                <w:highlight w:val="black"/>
                <w:lang w:val="en-US" w:eastAsia="zh-CN"/>
              </w:rPr>
            </w:pPr>
          </w:p>
        </w:tc>
        <w:tc>
          <w:tcPr>
            <w:tcW w:w="364" w:type="pct"/>
            <w:shd w:val="clear" w:color="auto" w:fill="FFFFFF" w:themeFill="background1"/>
            <w:vAlign w:val="center"/>
          </w:tcPr>
          <w:p w14:paraId="25C9846E">
            <w:pPr>
              <w:pStyle w:val="26"/>
              <w:bidi w:val="0"/>
              <w:rPr>
                <w:rFonts w:hint="eastAsia"/>
                <w:highlight w:val="black"/>
              </w:rPr>
            </w:pPr>
          </w:p>
        </w:tc>
      </w:tr>
      <w:tr w14:paraId="397E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BEADE7D">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35</w:t>
            </w:r>
          </w:p>
        </w:tc>
        <w:tc>
          <w:tcPr>
            <w:tcW w:w="520" w:type="pct"/>
            <w:vMerge w:val="continue"/>
            <w:shd w:val="clear" w:color="auto" w:fill="auto"/>
            <w:vAlign w:val="center"/>
          </w:tcPr>
          <w:p w14:paraId="43956D06">
            <w:pPr>
              <w:pStyle w:val="26"/>
              <w:bidi w:val="0"/>
              <w:rPr>
                <w:rFonts w:hint="eastAsia"/>
              </w:rPr>
            </w:pPr>
          </w:p>
        </w:tc>
        <w:tc>
          <w:tcPr>
            <w:tcW w:w="520" w:type="pct"/>
            <w:shd w:val="clear" w:color="auto" w:fill="FFFFFF" w:themeFill="background1"/>
            <w:vAlign w:val="top"/>
          </w:tcPr>
          <w:p w14:paraId="20E79454">
            <w:pPr>
              <w:pStyle w:val="26"/>
              <w:bidi w:val="0"/>
              <w:rPr>
                <w:rFonts w:hint="eastAsia"/>
                <w:highlight w:val="black"/>
                <w:lang w:val="en-US" w:eastAsia="zh-CN"/>
              </w:rPr>
            </w:pPr>
            <w:r>
              <w:rPr>
                <w:rFonts w:hint="eastAsia"/>
                <w:highlight w:val="black"/>
              </w:rPr>
              <w:t>感光膜</w:t>
            </w:r>
          </w:p>
        </w:tc>
        <w:tc>
          <w:tcPr>
            <w:tcW w:w="876" w:type="pct"/>
            <w:shd w:val="clear" w:color="auto" w:fill="FFFFFF" w:themeFill="background1"/>
            <w:vAlign w:val="center"/>
          </w:tcPr>
          <w:p w14:paraId="24F0DB8D">
            <w:pPr>
              <w:pStyle w:val="26"/>
              <w:bidi w:val="0"/>
              <w:rPr>
                <w:rFonts w:hint="eastAsia"/>
                <w:highlight w:val="black"/>
              </w:rPr>
            </w:pPr>
          </w:p>
        </w:tc>
        <w:tc>
          <w:tcPr>
            <w:tcW w:w="384" w:type="pct"/>
            <w:shd w:val="clear" w:color="auto" w:fill="FFFFFF" w:themeFill="background1"/>
            <w:vAlign w:val="center"/>
          </w:tcPr>
          <w:p w14:paraId="3B0F7C49">
            <w:pPr>
              <w:pStyle w:val="26"/>
              <w:bidi w:val="0"/>
              <w:rPr>
                <w:rFonts w:hint="eastAsia"/>
                <w:highlight w:val="black"/>
              </w:rPr>
            </w:pPr>
          </w:p>
        </w:tc>
        <w:tc>
          <w:tcPr>
            <w:tcW w:w="520" w:type="pct"/>
            <w:shd w:val="clear" w:color="auto" w:fill="FFFFFF" w:themeFill="background1"/>
            <w:vAlign w:val="center"/>
          </w:tcPr>
          <w:p w14:paraId="3257887D">
            <w:pPr>
              <w:pStyle w:val="26"/>
              <w:bidi w:val="0"/>
              <w:rPr>
                <w:rFonts w:hint="default"/>
                <w:highlight w:val="black"/>
                <w:lang w:val="en-US" w:eastAsia="zh-CN"/>
              </w:rPr>
            </w:pPr>
            <w:r>
              <w:rPr>
                <w:rFonts w:hint="eastAsia"/>
                <w:highlight w:val="black"/>
                <w:lang w:val="en-US" w:eastAsia="zh-CN"/>
              </w:rPr>
              <w:t>0.18</w:t>
            </w:r>
          </w:p>
        </w:tc>
        <w:tc>
          <w:tcPr>
            <w:tcW w:w="579" w:type="pct"/>
            <w:shd w:val="clear" w:color="auto" w:fill="FFFFFF" w:themeFill="background1"/>
            <w:vAlign w:val="center"/>
          </w:tcPr>
          <w:p w14:paraId="600BC62A">
            <w:pPr>
              <w:pStyle w:val="26"/>
              <w:bidi w:val="0"/>
              <w:rPr>
                <w:rFonts w:hint="eastAsia"/>
                <w:highlight w:val="black"/>
                <w:lang w:val="en-US" w:eastAsia="zh-CN"/>
              </w:rPr>
            </w:pPr>
          </w:p>
        </w:tc>
        <w:tc>
          <w:tcPr>
            <w:tcW w:w="485" w:type="pct"/>
            <w:shd w:val="clear" w:color="auto" w:fill="FFFFFF" w:themeFill="background1"/>
            <w:vAlign w:val="center"/>
          </w:tcPr>
          <w:p w14:paraId="67BF2868">
            <w:pPr>
              <w:pStyle w:val="26"/>
              <w:bidi w:val="0"/>
              <w:rPr>
                <w:rFonts w:hint="eastAsia"/>
                <w:highlight w:val="black"/>
              </w:rPr>
            </w:pPr>
          </w:p>
        </w:tc>
        <w:tc>
          <w:tcPr>
            <w:tcW w:w="405" w:type="pct"/>
            <w:vMerge w:val="continue"/>
            <w:shd w:val="clear" w:color="auto" w:fill="FFFFFF" w:themeFill="background1"/>
            <w:vAlign w:val="center"/>
          </w:tcPr>
          <w:p w14:paraId="49C8F7DE">
            <w:pPr>
              <w:pStyle w:val="26"/>
              <w:bidi w:val="0"/>
              <w:rPr>
                <w:rFonts w:hint="eastAsia"/>
                <w:highlight w:val="black"/>
                <w:lang w:val="en-US" w:eastAsia="zh-CN"/>
              </w:rPr>
            </w:pPr>
          </w:p>
        </w:tc>
        <w:tc>
          <w:tcPr>
            <w:tcW w:w="364" w:type="pct"/>
            <w:shd w:val="clear" w:color="auto" w:fill="FFFFFF" w:themeFill="background1"/>
            <w:vAlign w:val="center"/>
          </w:tcPr>
          <w:p w14:paraId="50A3B8C1">
            <w:pPr>
              <w:pStyle w:val="26"/>
              <w:bidi w:val="0"/>
              <w:rPr>
                <w:rFonts w:hint="eastAsia"/>
                <w:highlight w:val="black"/>
              </w:rPr>
            </w:pPr>
          </w:p>
        </w:tc>
      </w:tr>
      <w:tr w14:paraId="3ED0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7A264E29">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36</w:t>
            </w:r>
          </w:p>
        </w:tc>
        <w:tc>
          <w:tcPr>
            <w:tcW w:w="520" w:type="pct"/>
            <w:vMerge w:val="continue"/>
            <w:shd w:val="clear" w:color="auto" w:fill="auto"/>
            <w:vAlign w:val="center"/>
          </w:tcPr>
          <w:p w14:paraId="5B638BBF">
            <w:pPr>
              <w:pStyle w:val="26"/>
              <w:bidi w:val="0"/>
              <w:rPr>
                <w:rFonts w:hint="eastAsia"/>
              </w:rPr>
            </w:pPr>
          </w:p>
        </w:tc>
        <w:tc>
          <w:tcPr>
            <w:tcW w:w="520" w:type="pct"/>
            <w:shd w:val="clear" w:color="auto" w:fill="FFFFFF" w:themeFill="background1"/>
            <w:vAlign w:val="top"/>
          </w:tcPr>
          <w:p w14:paraId="19D52FF1">
            <w:pPr>
              <w:pStyle w:val="26"/>
              <w:bidi w:val="0"/>
              <w:rPr>
                <w:rFonts w:hint="eastAsia"/>
                <w:highlight w:val="black"/>
                <w:lang w:val="en-US" w:eastAsia="zh-CN"/>
              </w:rPr>
            </w:pPr>
            <w:r>
              <w:rPr>
                <w:rFonts w:hint="eastAsia"/>
                <w:highlight w:val="black"/>
              </w:rPr>
              <w:t>UV墨水</w:t>
            </w:r>
          </w:p>
        </w:tc>
        <w:tc>
          <w:tcPr>
            <w:tcW w:w="876" w:type="pct"/>
            <w:shd w:val="clear" w:color="auto" w:fill="FFFFFF" w:themeFill="background1"/>
            <w:vAlign w:val="center"/>
          </w:tcPr>
          <w:p w14:paraId="5280F009">
            <w:pPr>
              <w:pStyle w:val="26"/>
              <w:bidi w:val="0"/>
              <w:rPr>
                <w:rFonts w:hint="eastAsia"/>
                <w:highlight w:val="black"/>
              </w:rPr>
            </w:pPr>
          </w:p>
        </w:tc>
        <w:tc>
          <w:tcPr>
            <w:tcW w:w="384" w:type="pct"/>
            <w:shd w:val="clear" w:color="auto" w:fill="FFFFFF" w:themeFill="background1"/>
            <w:vAlign w:val="center"/>
          </w:tcPr>
          <w:p w14:paraId="42092B12">
            <w:pPr>
              <w:pStyle w:val="26"/>
              <w:bidi w:val="0"/>
              <w:rPr>
                <w:rFonts w:hint="eastAsia"/>
                <w:highlight w:val="black"/>
              </w:rPr>
            </w:pPr>
          </w:p>
        </w:tc>
        <w:tc>
          <w:tcPr>
            <w:tcW w:w="520" w:type="pct"/>
            <w:shd w:val="clear" w:color="auto" w:fill="FFFFFF" w:themeFill="background1"/>
            <w:vAlign w:val="center"/>
          </w:tcPr>
          <w:p w14:paraId="79EB50AC">
            <w:pPr>
              <w:pStyle w:val="26"/>
              <w:bidi w:val="0"/>
              <w:rPr>
                <w:rFonts w:hint="default"/>
                <w:highlight w:val="black"/>
                <w:lang w:val="en-US" w:eastAsia="zh-CN"/>
              </w:rPr>
            </w:pPr>
            <w:r>
              <w:rPr>
                <w:rFonts w:hint="eastAsia"/>
                <w:highlight w:val="black"/>
                <w:lang w:val="en-US" w:eastAsia="zh-CN"/>
              </w:rPr>
              <w:t>0.024</w:t>
            </w:r>
          </w:p>
        </w:tc>
        <w:tc>
          <w:tcPr>
            <w:tcW w:w="579" w:type="pct"/>
            <w:shd w:val="clear" w:color="auto" w:fill="FFFFFF" w:themeFill="background1"/>
            <w:vAlign w:val="center"/>
          </w:tcPr>
          <w:p w14:paraId="2B70B20B">
            <w:pPr>
              <w:pStyle w:val="26"/>
              <w:bidi w:val="0"/>
              <w:rPr>
                <w:rFonts w:hint="eastAsia"/>
                <w:highlight w:val="black"/>
                <w:lang w:val="en-US" w:eastAsia="zh-CN"/>
              </w:rPr>
            </w:pPr>
          </w:p>
        </w:tc>
        <w:tc>
          <w:tcPr>
            <w:tcW w:w="485" w:type="pct"/>
            <w:shd w:val="clear" w:color="auto" w:fill="FFFFFF" w:themeFill="background1"/>
            <w:vAlign w:val="center"/>
          </w:tcPr>
          <w:p w14:paraId="3F713725">
            <w:pPr>
              <w:pStyle w:val="26"/>
              <w:bidi w:val="0"/>
              <w:rPr>
                <w:rFonts w:hint="eastAsia"/>
                <w:highlight w:val="black"/>
              </w:rPr>
            </w:pPr>
          </w:p>
        </w:tc>
        <w:tc>
          <w:tcPr>
            <w:tcW w:w="405" w:type="pct"/>
            <w:vMerge w:val="continue"/>
            <w:shd w:val="clear" w:color="auto" w:fill="FFFFFF" w:themeFill="background1"/>
            <w:vAlign w:val="center"/>
          </w:tcPr>
          <w:p w14:paraId="44E27398">
            <w:pPr>
              <w:pStyle w:val="26"/>
              <w:bidi w:val="0"/>
              <w:rPr>
                <w:rFonts w:hint="eastAsia"/>
                <w:highlight w:val="black"/>
                <w:lang w:val="en-US" w:eastAsia="zh-CN"/>
              </w:rPr>
            </w:pPr>
          </w:p>
        </w:tc>
        <w:tc>
          <w:tcPr>
            <w:tcW w:w="364" w:type="pct"/>
            <w:shd w:val="clear" w:color="auto" w:fill="FFFFFF" w:themeFill="background1"/>
            <w:vAlign w:val="center"/>
          </w:tcPr>
          <w:p w14:paraId="0322608A">
            <w:pPr>
              <w:pStyle w:val="26"/>
              <w:bidi w:val="0"/>
              <w:rPr>
                <w:rFonts w:hint="eastAsia"/>
                <w:highlight w:val="black"/>
              </w:rPr>
            </w:pPr>
          </w:p>
        </w:tc>
      </w:tr>
      <w:tr w14:paraId="05EB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45F6E812">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37</w:t>
            </w:r>
          </w:p>
        </w:tc>
        <w:tc>
          <w:tcPr>
            <w:tcW w:w="520" w:type="pct"/>
            <w:vMerge w:val="continue"/>
            <w:shd w:val="clear" w:color="auto" w:fill="auto"/>
            <w:vAlign w:val="center"/>
          </w:tcPr>
          <w:p w14:paraId="5221E349">
            <w:pPr>
              <w:pStyle w:val="26"/>
              <w:bidi w:val="0"/>
              <w:rPr>
                <w:rFonts w:hint="eastAsia"/>
              </w:rPr>
            </w:pPr>
          </w:p>
        </w:tc>
        <w:tc>
          <w:tcPr>
            <w:tcW w:w="520" w:type="pct"/>
            <w:shd w:val="clear" w:color="auto" w:fill="FFFFFF" w:themeFill="background1"/>
            <w:vAlign w:val="top"/>
          </w:tcPr>
          <w:p w14:paraId="60DB06AB">
            <w:pPr>
              <w:pStyle w:val="26"/>
              <w:bidi w:val="0"/>
              <w:rPr>
                <w:rFonts w:hint="eastAsia"/>
                <w:highlight w:val="black"/>
                <w:lang w:val="en-US" w:eastAsia="zh-CN"/>
              </w:rPr>
            </w:pPr>
            <w:r>
              <w:rPr>
                <w:rFonts w:hint="eastAsia"/>
                <w:highlight w:val="black"/>
              </w:rPr>
              <w:t>砂轮</w:t>
            </w:r>
          </w:p>
        </w:tc>
        <w:tc>
          <w:tcPr>
            <w:tcW w:w="876" w:type="pct"/>
            <w:shd w:val="clear" w:color="auto" w:fill="FFFFFF" w:themeFill="background1"/>
            <w:vAlign w:val="center"/>
          </w:tcPr>
          <w:p w14:paraId="29BF99BA">
            <w:pPr>
              <w:pStyle w:val="26"/>
              <w:bidi w:val="0"/>
              <w:rPr>
                <w:rFonts w:hint="eastAsia"/>
                <w:highlight w:val="black"/>
              </w:rPr>
            </w:pPr>
          </w:p>
        </w:tc>
        <w:tc>
          <w:tcPr>
            <w:tcW w:w="384" w:type="pct"/>
            <w:shd w:val="clear" w:color="auto" w:fill="FFFFFF" w:themeFill="background1"/>
            <w:vAlign w:val="center"/>
          </w:tcPr>
          <w:p w14:paraId="63D87EB7">
            <w:pPr>
              <w:pStyle w:val="26"/>
              <w:bidi w:val="0"/>
              <w:rPr>
                <w:rFonts w:hint="eastAsia"/>
                <w:highlight w:val="black"/>
              </w:rPr>
            </w:pPr>
          </w:p>
        </w:tc>
        <w:tc>
          <w:tcPr>
            <w:tcW w:w="520" w:type="pct"/>
            <w:shd w:val="clear" w:color="auto" w:fill="FFFFFF" w:themeFill="background1"/>
            <w:vAlign w:val="center"/>
          </w:tcPr>
          <w:p w14:paraId="7E61FFE3">
            <w:pPr>
              <w:pStyle w:val="26"/>
              <w:bidi w:val="0"/>
              <w:rPr>
                <w:rFonts w:hint="default"/>
                <w:highlight w:val="black"/>
                <w:lang w:val="en-US" w:eastAsia="zh-CN"/>
              </w:rPr>
            </w:pPr>
            <w:r>
              <w:rPr>
                <w:rFonts w:hint="eastAsia"/>
                <w:highlight w:val="black"/>
                <w:lang w:val="en-US" w:eastAsia="zh-CN"/>
              </w:rPr>
              <w:t>0.004</w:t>
            </w:r>
          </w:p>
        </w:tc>
        <w:tc>
          <w:tcPr>
            <w:tcW w:w="579" w:type="pct"/>
            <w:shd w:val="clear" w:color="auto" w:fill="FFFFFF" w:themeFill="background1"/>
            <w:vAlign w:val="center"/>
          </w:tcPr>
          <w:p w14:paraId="55243E6A">
            <w:pPr>
              <w:pStyle w:val="26"/>
              <w:bidi w:val="0"/>
              <w:rPr>
                <w:rFonts w:hint="eastAsia"/>
                <w:highlight w:val="black"/>
                <w:lang w:val="en-US" w:eastAsia="zh-CN"/>
              </w:rPr>
            </w:pPr>
          </w:p>
        </w:tc>
        <w:tc>
          <w:tcPr>
            <w:tcW w:w="485" w:type="pct"/>
            <w:shd w:val="clear" w:color="auto" w:fill="FFFFFF" w:themeFill="background1"/>
            <w:vAlign w:val="center"/>
          </w:tcPr>
          <w:p w14:paraId="5F7B1203">
            <w:pPr>
              <w:pStyle w:val="26"/>
              <w:bidi w:val="0"/>
              <w:rPr>
                <w:rFonts w:hint="eastAsia"/>
                <w:highlight w:val="black"/>
              </w:rPr>
            </w:pPr>
          </w:p>
        </w:tc>
        <w:tc>
          <w:tcPr>
            <w:tcW w:w="405" w:type="pct"/>
            <w:vMerge w:val="continue"/>
            <w:shd w:val="clear" w:color="auto" w:fill="FFFFFF" w:themeFill="background1"/>
            <w:vAlign w:val="center"/>
          </w:tcPr>
          <w:p w14:paraId="0C90B699">
            <w:pPr>
              <w:pStyle w:val="26"/>
              <w:bidi w:val="0"/>
              <w:rPr>
                <w:rFonts w:hint="eastAsia"/>
                <w:highlight w:val="black"/>
                <w:lang w:val="en-US" w:eastAsia="zh-CN"/>
              </w:rPr>
            </w:pPr>
          </w:p>
        </w:tc>
        <w:tc>
          <w:tcPr>
            <w:tcW w:w="364" w:type="pct"/>
            <w:shd w:val="clear" w:color="auto" w:fill="FFFFFF" w:themeFill="background1"/>
            <w:vAlign w:val="center"/>
          </w:tcPr>
          <w:p w14:paraId="2396423B">
            <w:pPr>
              <w:pStyle w:val="26"/>
              <w:bidi w:val="0"/>
              <w:rPr>
                <w:rFonts w:hint="eastAsia"/>
                <w:highlight w:val="black"/>
              </w:rPr>
            </w:pPr>
          </w:p>
        </w:tc>
      </w:tr>
      <w:tr w14:paraId="1DB8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741600C7">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38</w:t>
            </w:r>
          </w:p>
        </w:tc>
        <w:tc>
          <w:tcPr>
            <w:tcW w:w="520" w:type="pct"/>
            <w:vMerge w:val="continue"/>
            <w:shd w:val="clear" w:color="auto" w:fill="auto"/>
            <w:vAlign w:val="center"/>
          </w:tcPr>
          <w:p w14:paraId="3780F05E">
            <w:pPr>
              <w:pStyle w:val="26"/>
              <w:bidi w:val="0"/>
              <w:rPr>
                <w:rFonts w:hint="eastAsia"/>
              </w:rPr>
            </w:pPr>
          </w:p>
        </w:tc>
        <w:tc>
          <w:tcPr>
            <w:tcW w:w="520" w:type="pct"/>
            <w:shd w:val="clear" w:color="auto" w:fill="FFFFFF" w:themeFill="background1"/>
            <w:vAlign w:val="top"/>
          </w:tcPr>
          <w:p w14:paraId="0D0CF81A">
            <w:pPr>
              <w:pStyle w:val="26"/>
              <w:bidi w:val="0"/>
              <w:rPr>
                <w:rFonts w:hint="eastAsia"/>
                <w:highlight w:val="black"/>
                <w:lang w:val="en-US" w:eastAsia="zh-CN"/>
              </w:rPr>
            </w:pPr>
            <w:r>
              <w:rPr>
                <w:rFonts w:hint="eastAsia"/>
                <w:highlight w:val="black"/>
              </w:rPr>
              <w:t>切削液</w:t>
            </w:r>
          </w:p>
        </w:tc>
        <w:tc>
          <w:tcPr>
            <w:tcW w:w="876" w:type="pct"/>
            <w:shd w:val="clear" w:color="auto" w:fill="FFFFFF" w:themeFill="background1"/>
            <w:vAlign w:val="center"/>
          </w:tcPr>
          <w:p w14:paraId="68D46C87">
            <w:pPr>
              <w:pStyle w:val="26"/>
              <w:bidi w:val="0"/>
              <w:rPr>
                <w:rFonts w:hint="eastAsia"/>
                <w:highlight w:val="black"/>
              </w:rPr>
            </w:pPr>
          </w:p>
        </w:tc>
        <w:tc>
          <w:tcPr>
            <w:tcW w:w="384" w:type="pct"/>
            <w:shd w:val="clear" w:color="auto" w:fill="FFFFFF" w:themeFill="background1"/>
            <w:vAlign w:val="center"/>
          </w:tcPr>
          <w:p w14:paraId="47E9938F">
            <w:pPr>
              <w:pStyle w:val="26"/>
              <w:bidi w:val="0"/>
              <w:rPr>
                <w:rFonts w:hint="eastAsia"/>
                <w:highlight w:val="black"/>
              </w:rPr>
            </w:pPr>
          </w:p>
        </w:tc>
        <w:tc>
          <w:tcPr>
            <w:tcW w:w="520" w:type="pct"/>
            <w:shd w:val="clear" w:color="auto" w:fill="FFFFFF" w:themeFill="background1"/>
            <w:vAlign w:val="center"/>
          </w:tcPr>
          <w:p w14:paraId="43E07482">
            <w:pPr>
              <w:pStyle w:val="26"/>
              <w:bidi w:val="0"/>
              <w:rPr>
                <w:rFonts w:hint="default"/>
                <w:highlight w:val="black"/>
                <w:lang w:val="en-US" w:eastAsia="zh-CN"/>
              </w:rPr>
            </w:pPr>
            <w:r>
              <w:rPr>
                <w:rFonts w:hint="eastAsia"/>
                <w:highlight w:val="black"/>
                <w:lang w:val="en-US" w:eastAsia="zh-CN"/>
              </w:rPr>
              <w:t>0.2</w:t>
            </w:r>
          </w:p>
        </w:tc>
        <w:tc>
          <w:tcPr>
            <w:tcW w:w="579" w:type="pct"/>
            <w:shd w:val="clear" w:color="auto" w:fill="FFFFFF" w:themeFill="background1"/>
            <w:vAlign w:val="center"/>
          </w:tcPr>
          <w:p w14:paraId="2F4F8798">
            <w:pPr>
              <w:pStyle w:val="26"/>
              <w:bidi w:val="0"/>
              <w:rPr>
                <w:rFonts w:hint="eastAsia"/>
                <w:highlight w:val="black"/>
                <w:lang w:val="en-US" w:eastAsia="zh-CN"/>
              </w:rPr>
            </w:pPr>
          </w:p>
        </w:tc>
        <w:tc>
          <w:tcPr>
            <w:tcW w:w="485" w:type="pct"/>
            <w:shd w:val="clear" w:color="auto" w:fill="FFFFFF" w:themeFill="background1"/>
            <w:vAlign w:val="center"/>
          </w:tcPr>
          <w:p w14:paraId="2010C1E3">
            <w:pPr>
              <w:pStyle w:val="26"/>
              <w:bidi w:val="0"/>
              <w:rPr>
                <w:rFonts w:hint="eastAsia"/>
                <w:highlight w:val="black"/>
              </w:rPr>
            </w:pPr>
          </w:p>
        </w:tc>
        <w:tc>
          <w:tcPr>
            <w:tcW w:w="405" w:type="pct"/>
            <w:vMerge w:val="continue"/>
            <w:shd w:val="clear" w:color="auto" w:fill="FFFFFF" w:themeFill="background1"/>
            <w:vAlign w:val="center"/>
          </w:tcPr>
          <w:p w14:paraId="1880C312">
            <w:pPr>
              <w:pStyle w:val="26"/>
              <w:bidi w:val="0"/>
              <w:rPr>
                <w:rFonts w:hint="eastAsia"/>
                <w:highlight w:val="black"/>
                <w:lang w:val="en-US" w:eastAsia="zh-CN"/>
              </w:rPr>
            </w:pPr>
          </w:p>
        </w:tc>
        <w:tc>
          <w:tcPr>
            <w:tcW w:w="364" w:type="pct"/>
            <w:shd w:val="clear" w:color="auto" w:fill="FFFFFF" w:themeFill="background1"/>
            <w:vAlign w:val="center"/>
          </w:tcPr>
          <w:p w14:paraId="4F1CDC78">
            <w:pPr>
              <w:pStyle w:val="26"/>
              <w:bidi w:val="0"/>
              <w:rPr>
                <w:rFonts w:hint="eastAsia"/>
                <w:highlight w:val="black"/>
              </w:rPr>
            </w:pPr>
          </w:p>
        </w:tc>
      </w:tr>
      <w:tr w14:paraId="39EB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47ECAF11">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39</w:t>
            </w:r>
          </w:p>
        </w:tc>
        <w:tc>
          <w:tcPr>
            <w:tcW w:w="520" w:type="pct"/>
            <w:vMerge w:val="continue"/>
            <w:shd w:val="clear" w:color="auto" w:fill="auto"/>
            <w:vAlign w:val="center"/>
          </w:tcPr>
          <w:p w14:paraId="7D26A870">
            <w:pPr>
              <w:pStyle w:val="26"/>
              <w:bidi w:val="0"/>
              <w:rPr>
                <w:rFonts w:hint="eastAsia"/>
              </w:rPr>
            </w:pPr>
          </w:p>
        </w:tc>
        <w:tc>
          <w:tcPr>
            <w:tcW w:w="520" w:type="pct"/>
            <w:shd w:val="clear" w:color="auto" w:fill="FFFFFF" w:themeFill="background1"/>
            <w:vAlign w:val="center"/>
          </w:tcPr>
          <w:p w14:paraId="738FB657">
            <w:pPr>
              <w:pStyle w:val="26"/>
              <w:bidi w:val="0"/>
              <w:jc w:val="center"/>
              <w:rPr>
                <w:rFonts w:hint="eastAsia"/>
                <w:highlight w:val="black"/>
                <w:lang w:val="en-US" w:eastAsia="zh-CN"/>
              </w:rPr>
            </w:pPr>
            <w:r>
              <w:rPr>
                <w:rFonts w:hint="eastAsia"/>
                <w:highlight w:val="black"/>
              </w:rPr>
              <w:t>切削油</w:t>
            </w:r>
          </w:p>
        </w:tc>
        <w:tc>
          <w:tcPr>
            <w:tcW w:w="876" w:type="pct"/>
            <w:shd w:val="clear" w:color="auto" w:fill="FFFFFF" w:themeFill="background1"/>
            <w:vAlign w:val="center"/>
          </w:tcPr>
          <w:p w14:paraId="6F629C86">
            <w:pPr>
              <w:pStyle w:val="26"/>
              <w:bidi w:val="0"/>
              <w:jc w:val="center"/>
              <w:rPr>
                <w:rFonts w:hint="eastAsia"/>
                <w:highlight w:val="black"/>
              </w:rPr>
            </w:pPr>
          </w:p>
        </w:tc>
        <w:tc>
          <w:tcPr>
            <w:tcW w:w="384" w:type="pct"/>
            <w:shd w:val="clear" w:color="auto" w:fill="FFFFFF" w:themeFill="background1"/>
            <w:vAlign w:val="center"/>
          </w:tcPr>
          <w:p w14:paraId="05082060">
            <w:pPr>
              <w:pStyle w:val="26"/>
              <w:bidi w:val="0"/>
              <w:rPr>
                <w:rFonts w:hint="eastAsia"/>
                <w:highlight w:val="black"/>
              </w:rPr>
            </w:pPr>
          </w:p>
        </w:tc>
        <w:tc>
          <w:tcPr>
            <w:tcW w:w="520" w:type="pct"/>
            <w:shd w:val="clear" w:color="auto" w:fill="FFFFFF" w:themeFill="background1"/>
            <w:vAlign w:val="center"/>
          </w:tcPr>
          <w:p w14:paraId="77849EAE">
            <w:pPr>
              <w:pStyle w:val="26"/>
              <w:bidi w:val="0"/>
              <w:rPr>
                <w:rFonts w:hint="default"/>
                <w:highlight w:val="black"/>
                <w:lang w:val="en-US" w:eastAsia="zh-CN"/>
              </w:rPr>
            </w:pPr>
            <w:r>
              <w:rPr>
                <w:rFonts w:hint="eastAsia"/>
                <w:highlight w:val="black"/>
                <w:lang w:val="en-US" w:eastAsia="zh-CN"/>
              </w:rPr>
              <w:t>0.2</w:t>
            </w:r>
          </w:p>
        </w:tc>
        <w:tc>
          <w:tcPr>
            <w:tcW w:w="579" w:type="pct"/>
            <w:shd w:val="clear" w:color="auto" w:fill="FFFFFF" w:themeFill="background1"/>
            <w:vAlign w:val="center"/>
          </w:tcPr>
          <w:p w14:paraId="39983BA2">
            <w:pPr>
              <w:pStyle w:val="26"/>
              <w:bidi w:val="0"/>
              <w:rPr>
                <w:rFonts w:hint="eastAsia"/>
                <w:highlight w:val="black"/>
                <w:lang w:val="en-US" w:eastAsia="zh-CN"/>
              </w:rPr>
            </w:pPr>
          </w:p>
        </w:tc>
        <w:tc>
          <w:tcPr>
            <w:tcW w:w="485" w:type="pct"/>
            <w:shd w:val="clear" w:color="auto" w:fill="FFFFFF" w:themeFill="background1"/>
            <w:vAlign w:val="center"/>
          </w:tcPr>
          <w:p w14:paraId="563B7EAD">
            <w:pPr>
              <w:pStyle w:val="26"/>
              <w:bidi w:val="0"/>
              <w:rPr>
                <w:rFonts w:hint="eastAsia"/>
                <w:highlight w:val="black"/>
              </w:rPr>
            </w:pPr>
          </w:p>
        </w:tc>
        <w:tc>
          <w:tcPr>
            <w:tcW w:w="405" w:type="pct"/>
            <w:vMerge w:val="continue"/>
            <w:shd w:val="clear" w:color="auto" w:fill="FFFFFF" w:themeFill="background1"/>
            <w:vAlign w:val="center"/>
          </w:tcPr>
          <w:p w14:paraId="0571C231">
            <w:pPr>
              <w:pStyle w:val="26"/>
              <w:bidi w:val="0"/>
              <w:rPr>
                <w:rFonts w:hint="eastAsia"/>
                <w:highlight w:val="black"/>
                <w:lang w:val="en-US" w:eastAsia="zh-CN"/>
              </w:rPr>
            </w:pPr>
          </w:p>
        </w:tc>
        <w:tc>
          <w:tcPr>
            <w:tcW w:w="364" w:type="pct"/>
            <w:shd w:val="clear" w:color="auto" w:fill="FFFFFF" w:themeFill="background1"/>
            <w:vAlign w:val="center"/>
          </w:tcPr>
          <w:p w14:paraId="5F1EE72F">
            <w:pPr>
              <w:pStyle w:val="26"/>
              <w:bidi w:val="0"/>
              <w:rPr>
                <w:rFonts w:hint="eastAsia"/>
                <w:highlight w:val="black"/>
              </w:rPr>
            </w:pPr>
          </w:p>
        </w:tc>
      </w:tr>
      <w:tr w14:paraId="2662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363EB408">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40</w:t>
            </w:r>
          </w:p>
        </w:tc>
        <w:tc>
          <w:tcPr>
            <w:tcW w:w="520" w:type="pct"/>
            <w:vMerge w:val="continue"/>
            <w:shd w:val="clear" w:color="auto" w:fill="auto"/>
            <w:vAlign w:val="center"/>
          </w:tcPr>
          <w:p w14:paraId="12C12CAC">
            <w:pPr>
              <w:pStyle w:val="26"/>
              <w:bidi w:val="0"/>
              <w:rPr>
                <w:rFonts w:hint="eastAsia"/>
              </w:rPr>
            </w:pPr>
          </w:p>
        </w:tc>
        <w:tc>
          <w:tcPr>
            <w:tcW w:w="520" w:type="pct"/>
            <w:shd w:val="clear" w:color="auto" w:fill="FFFFFF" w:themeFill="background1"/>
            <w:vAlign w:val="center"/>
          </w:tcPr>
          <w:p w14:paraId="0217292A">
            <w:pPr>
              <w:pStyle w:val="26"/>
              <w:bidi w:val="0"/>
              <w:jc w:val="center"/>
              <w:rPr>
                <w:rFonts w:hint="eastAsia"/>
                <w:highlight w:val="black"/>
                <w:lang w:val="en-US" w:eastAsia="zh-CN"/>
              </w:rPr>
            </w:pPr>
            <w:r>
              <w:rPr>
                <w:rFonts w:hint="eastAsia"/>
                <w:highlight w:val="black"/>
              </w:rPr>
              <w:t>清洗剂</w:t>
            </w:r>
          </w:p>
        </w:tc>
        <w:tc>
          <w:tcPr>
            <w:tcW w:w="876" w:type="pct"/>
            <w:shd w:val="clear" w:color="auto" w:fill="FFFFFF" w:themeFill="background1"/>
            <w:vAlign w:val="center"/>
          </w:tcPr>
          <w:p w14:paraId="01F70D54">
            <w:pPr>
              <w:pStyle w:val="26"/>
              <w:bidi w:val="0"/>
              <w:jc w:val="center"/>
              <w:rPr>
                <w:rFonts w:hint="default" w:eastAsia="仿宋_GB2312"/>
                <w:highlight w:val="black"/>
                <w:lang w:val="en-US" w:eastAsia="zh-CN"/>
              </w:rPr>
            </w:pPr>
            <w:r>
              <w:rPr>
                <w:rFonts w:hint="eastAsia"/>
                <w:highlight w:val="black"/>
                <w:lang w:val="en-US" w:eastAsia="zh-CN"/>
              </w:rPr>
              <w:t>柠檬酸钠30-40%、碳酸钠30-40%、磷酸钠5-10%、碳酸钠5-10%、活性剂2-5%</w:t>
            </w:r>
          </w:p>
        </w:tc>
        <w:tc>
          <w:tcPr>
            <w:tcW w:w="384" w:type="pct"/>
            <w:shd w:val="clear" w:color="auto" w:fill="FFFFFF" w:themeFill="background1"/>
            <w:vAlign w:val="center"/>
          </w:tcPr>
          <w:p w14:paraId="4036D1D9">
            <w:pPr>
              <w:pStyle w:val="26"/>
              <w:bidi w:val="0"/>
              <w:rPr>
                <w:rFonts w:hint="eastAsia" w:eastAsia="仿宋_GB2312"/>
                <w:highlight w:val="black"/>
                <w:lang w:val="en-US" w:eastAsia="zh-CN"/>
              </w:rPr>
            </w:pPr>
            <w:r>
              <w:rPr>
                <w:rFonts w:hint="eastAsia"/>
                <w:highlight w:val="black"/>
                <w:lang w:val="en-US" w:eastAsia="zh-CN"/>
              </w:rPr>
              <w:t>固</w:t>
            </w:r>
          </w:p>
        </w:tc>
        <w:tc>
          <w:tcPr>
            <w:tcW w:w="520" w:type="pct"/>
            <w:shd w:val="clear" w:color="auto" w:fill="FFFFFF" w:themeFill="background1"/>
            <w:vAlign w:val="center"/>
          </w:tcPr>
          <w:p w14:paraId="51A7DE5E">
            <w:pPr>
              <w:pStyle w:val="26"/>
              <w:bidi w:val="0"/>
              <w:rPr>
                <w:rFonts w:hint="default"/>
                <w:highlight w:val="black"/>
                <w:lang w:val="en-US" w:eastAsia="zh-CN"/>
              </w:rPr>
            </w:pPr>
            <w:r>
              <w:rPr>
                <w:rFonts w:hint="eastAsia"/>
                <w:highlight w:val="black"/>
                <w:lang w:val="en-US" w:eastAsia="zh-CN"/>
              </w:rPr>
              <w:t>0.025</w:t>
            </w:r>
          </w:p>
        </w:tc>
        <w:tc>
          <w:tcPr>
            <w:tcW w:w="579" w:type="pct"/>
            <w:shd w:val="clear" w:color="auto" w:fill="FFFFFF" w:themeFill="background1"/>
            <w:vAlign w:val="center"/>
          </w:tcPr>
          <w:p w14:paraId="3D5960C3">
            <w:pPr>
              <w:pStyle w:val="26"/>
              <w:bidi w:val="0"/>
              <w:rPr>
                <w:rFonts w:hint="eastAsia"/>
                <w:highlight w:val="black"/>
                <w:lang w:val="en-US" w:eastAsia="zh-CN"/>
              </w:rPr>
            </w:pPr>
          </w:p>
        </w:tc>
        <w:tc>
          <w:tcPr>
            <w:tcW w:w="485" w:type="pct"/>
            <w:shd w:val="clear" w:color="auto" w:fill="FFFFFF" w:themeFill="background1"/>
            <w:vAlign w:val="center"/>
          </w:tcPr>
          <w:p w14:paraId="4AB18E32">
            <w:pPr>
              <w:pStyle w:val="26"/>
              <w:bidi w:val="0"/>
              <w:rPr>
                <w:rFonts w:hint="eastAsia"/>
                <w:highlight w:val="black"/>
              </w:rPr>
            </w:pPr>
          </w:p>
        </w:tc>
        <w:tc>
          <w:tcPr>
            <w:tcW w:w="405" w:type="pct"/>
            <w:vMerge w:val="continue"/>
            <w:shd w:val="clear" w:color="auto" w:fill="FFFFFF" w:themeFill="background1"/>
            <w:vAlign w:val="center"/>
          </w:tcPr>
          <w:p w14:paraId="55B16FB2">
            <w:pPr>
              <w:pStyle w:val="26"/>
              <w:bidi w:val="0"/>
              <w:rPr>
                <w:rFonts w:hint="eastAsia"/>
                <w:highlight w:val="black"/>
                <w:lang w:val="en-US" w:eastAsia="zh-CN"/>
              </w:rPr>
            </w:pPr>
          </w:p>
        </w:tc>
        <w:tc>
          <w:tcPr>
            <w:tcW w:w="364" w:type="pct"/>
            <w:shd w:val="clear" w:color="auto" w:fill="FFFFFF" w:themeFill="background1"/>
            <w:vAlign w:val="center"/>
          </w:tcPr>
          <w:p w14:paraId="78816CF1">
            <w:pPr>
              <w:pStyle w:val="26"/>
              <w:bidi w:val="0"/>
              <w:rPr>
                <w:rFonts w:hint="eastAsia"/>
                <w:highlight w:val="black"/>
              </w:rPr>
            </w:pPr>
          </w:p>
        </w:tc>
      </w:tr>
      <w:tr w14:paraId="0A5F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5268F3F">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41</w:t>
            </w:r>
          </w:p>
        </w:tc>
        <w:tc>
          <w:tcPr>
            <w:tcW w:w="520" w:type="pct"/>
            <w:vMerge w:val="continue"/>
            <w:shd w:val="clear" w:color="auto" w:fill="auto"/>
            <w:vAlign w:val="center"/>
          </w:tcPr>
          <w:p w14:paraId="5DC23DF4">
            <w:pPr>
              <w:pStyle w:val="26"/>
              <w:bidi w:val="0"/>
              <w:rPr>
                <w:rFonts w:hint="eastAsia"/>
              </w:rPr>
            </w:pPr>
          </w:p>
        </w:tc>
        <w:tc>
          <w:tcPr>
            <w:tcW w:w="520" w:type="pct"/>
            <w:shd w:val="clear" w:color="auto" w:fill="FFFFFF" w:themeFill="background1"/>
            <w:vAlign w:val="top"/>
          </w:tcPr>
          <w:p w14:paraId="7B20060B">
            <w:pPr>
              <w:pStyle w:val="26"/>
              <w:bidi w:val="0"/>
              <w:rPr>
                <w:rFonts w:hint="eastAsia"/>
                <w:highlight w:val="black"/>
                <w:lang w:val="en-US" w:eastAsia="zh-CN"/>
              </w:rPr>
            </w:pPr>
            <w:r>
              <w:rPr>
                <w:rFonts w:hint="eastAsia"/>
                <w:highlight w:val="black"/>
              </w:rPr>
              <w:t>盐酸</w:t>
            </w:r>
          </w:p>
        </w:tc>
        <w:tc>
          <w:tcPr>
            <w:tcW w:w="876" w:type="pct"/>
            <w:shd w:val="clear" w:color="auto" w:fill="FFFFFF" w:themeFill="background1"/>
            <w:vAlign w:val="center"/>
          </w:tcPr>
          <w:p w14:paraId="671BDCD7">
            <w:pPr>
              <w:pStyle w:val="26"/>
              <w:bidi w:val="0"/>
              <w:rPr>
                <w:rFonts w:hint="eastAsia"/>
                <w:highlight w:val="black"/>
              </w:rPr>
            </w:pPr>
          </w:p>
        </w:tc>
        <w:tc>
          <w:tcPr>
            <w:tcW w:w="384" w:type="pct"/>
            <w:shd w:val="clear" w:color="auto" w:fill="FFFFFF" w:themeFill="background1"/>
            <w:vAlign w:val="center"/>
          </w:tcPr>
          <w:p w14:paraId="2E665ED1">
            <w:pPr>
              <w:pStyle w:val="26"/>
              <w:bidi w:val="0"/>
              <w:rPr>
                <w:rFonts w:hint="eastAsia"/>
                <w:highlight w:val="black"/>
              </w:rPr>
            </w:pPr>
          </w:p>
        </w:tc>
        <w:tc>
          <w:tcPr>
            <w:tcW w:w="520" w:type="pct"/>
            <w:shd w:val="clear" w:color="auto" w:fill="FFFFFF" w:themeFill="background1"/>
            <w:vAlign w:val="center"/>
          </w:tcPr>
          <w:p w14:paraId="16A086C8">
            <w:pPr>
              <w:pStyle w:val="26"/>
              <w:bidi w:val="0"/>
              <w:rPr>
                <w:rFonts w:hint="default"/>
                <w:highlight w:val="black"/>
                <w:lang w:val="en-US" w:eastAsia="zh-CN"/>
              </w:rPr>
            </w:pPr>
            <w:r>
              <w:rPr>
                <w:rFonts w:hint="eastAsia"/>
                <w:highlight w:val="black"/>
                <w:lang w:val="en-US" w:eastAsia="zh-CN"/>
              </w:rPr>
              <w:t>8</w:t>
            </w:r>
          </w:p>
        </w:tc>
        <w:tc>
          <w:tcPr>
            <w:tcW w:w="579" w:type="pct"/>
            <w:shd w:val="clear" w:color="auto" w:fill="FFFFFF" w:themeFill="background1"/>
            <w:vAlign w:val="center"/>
          </w:tcPr>
          <w:p w14:paraId="1DDC7E02">
            <w:pPr>
              <w:pStyle w:val="26"/>
              <w:bidi w:val="0"/>
              <w:rPr>
                <w:rFonts w:hint="eastAsia"/>
                <w:highlight w:val="black"/>
                <w:lang w:val="en-US" w:eastAsia="zh-CN"/>
              </w:rPr>
            </w:pPr>
          </w:p>
        </w:tc>
        <w:tc>
          <w:tcPr>
            <w:tcW w:w="485" w:type="pct"/>
            <w:shd w:val="clear" w:color="auto" w:fill="FFFFFF" w:themeFill="background1"/>
            <w:vAlign w:val="center"/>
          </w:tcPr>
          <w:p w14:paraId="45701E94">
            <w:pPr>
              <w:pStyle w:val="26"/>
              <w:bidi w:val="0"/>
              <w:rPr>
                <w:rFonts w:hint="eastAsia"/>
                <w:highlight w:val="black"/>
              </w:rPr>
            </w:pPr>
          </w:p>
        </w:tc>
        <w:tc>
          <w:tcPr>
            <w:tcW w:w="405" w:type="pct"/>
            <w:vMerge w:val="continue"/>
            <w:shd w:val="clear" w:color="auto" w:fill="FFFFFF" w:themeFill="background1"/>
            <w:vAlign w:val="center"/>
          </w:tcPr>
          <w:p w14:paraId="4131845C">
            <w:pPr>
              <w:pStyle w:val="26"/>
              <w:bidi w:val="0"/>
              <w:rPr>
                <w:rFonts w:hint="eastAsia"/>
                <w:highlight w:val="black"/>
                <w:lang w:val="en-US" w:eastAsia="zh-CN"/>
              </w:rPr>
            </w:pPr>
          </w:p>
        </w:tc>
        <w:tc>
          <w:tcPr>
            <w:tcW w:w="364" w:type="pct"/>
            <w:shd w:val="clear" w:color="auto" w:fill="FFFFFF" w:themeFill="background1"/>
            <w:vAlign w:val="center"/>
          </w:tcPr>
          <w:p w14:paraId="05182052">
            <w:pPr>
              <w:pStyle w:val="26"/>
              <w:bidi w:val="0"/>
              <w:rPr>
                <w:rFonts w:hint="eastAsia"/>
                <w:highlight w:val="black"/>
              </w:rPr>
            </w:pPr>
          </w:p>
        </w:tc>
      </w:tr>
      <w:tr w14:paraId="2508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66530F6E">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42</w:t>
            </w:r>
          </w:p>
        </w:tc>
        <w:tc>
          <w:tcPr>
            <w:tcW w:w="520" w:type="pct"/>
            <w:vMerge w:val="continue"/>
            <w:shd w:val="clear" w:color="auto" w:fill="auto"/>
            <w:vAlign w:val="center"/>
          </w:tcPr>
          <w:p w14:paraId="1321C108">
            <w:pPr>
              <w:pStyle w:val="26"/>
              <w:bidi w:val="0"/>
              <w:rPr>
                <w:rFonts w:hint="eastAsia"/>
              </w:rPr>
            </w:pPr>
          </w:p>
        </w:tc>
        <w:tc>
          <w:tcPr>
            <w:tcW w:w="520" w:type="pct"/>
            <w:shd w:val="clear" w:color="auto" w:fill="FFFFFF" w:themeFill="background1"/>
            <w:vAlign w:val="top"/>
          </w:tcPr>
          <w:p w14:paraId="18136154">
            <w:pPr>
              <w:pStyle w:val="26"/>
              <w:bidi w:val="0"/>
              <w:rPr>
                <w:rFonts w:hint="eastAsia"/>
                <w:highlight w:val="black"/>
                <w:lang w:val="en-US" w:eastAsia="zh-CN"/>
              </w:rPr>
            </w:pPr>
            <w:r>
              <w:rPr>
                <w:rFonts w:hint="eastAsia"/>
                <w:highlight w:val="black"/>
              </w:rPr>
              <w:t>双氧水</w:t>
            </w:r>
          </w:p>
        </w:tc>
        <w:tc>
          <w:tcPr>
            <w:tcW w:w="876" w:type="pct"/>
            <w:shd w:val="clear" w:color="auto" w:fill="FFFFFF" w:themeFill="background1"/>
            <w:vAlign w:val="center"/>
          </w:tcPr>
          <w:p w14:paraId="0B3970E0">
            <w:pPr>
              <w:pStyle w:val="26"/>
              <w:bidi w:val="0"/>
              <w:rPr>
                <w:rFonts w:hint="eastAsia"/>
                <w:highlight w:val="black"/>
              </w:rPr>
            </w:pPr>
          </w:p>
        </w:tc>
        <w:tc>
          <w:tcPr>
            <w:tcW w:w="384" w:type="pct"/>
            <w:shd w:val="clear" w:color="auto" w:fill="FFFFFF" w:themeFill="background1"/>
            <w:vAlign w:val="center"/>
          </w:tcPr>
          <w:p w14:paraId="19CC7D3A">
            <w:pPr>
              <w:pStyle w:val="26"/>
              <w:bidi w:val="0"/>
              <w:rPr>
                <w:rFonts w:hint="eastAsia"/>
                <w:highlight w:val="black"/>
              </w:rPr>
            </w:pPr>
          </w:p>
        </w:tc>
        <w:tc>
          <w:tcPr>
            <w:tcW w:w="520" w:type="pct"/>
            <w:shd w:val="clear" w:color="auto" w:fill="FFFFFF" w:themeFill="background1"/>
            <w:vAlign w:val="center"/>
          </w:tcPr>
          <w:p w14:paraId="39123002">
            <w:pPr>
              <w:pStyle w:val="26"/>
              <w:bidi w:val="0"/>
              <w:rPr>
                <w:rFonts w:hint="default"/>
                <w:highlight w:val="black"/>
                <w:lang w:val="en-US" w:eastAsia="zh-CN"/>
              </w:rPr>
            </w:pPr>
            <w:r>
              <w:rPr>
                <w:rFonts w:hint="eastAsia"/>
                <w:highlight w:val="black"/>
                <w:lang w:val="en-US" w:eastAsia="zh-CN"/>
              </w:rPr>
              <w:t>5</w:t>
            </w:r>
          </w:p>
        </w:tc>
        <w:tc>
          <w:tcPr>
            <w:tcW w:w="579" w:type="pct"/>
            <w:shd w:val="clear" w:color="auto" w:fill="FFFFFF" w:themeFill="background1"/>
            <w:vAlign w:val="center"/>
          </w:tcPr>
          <w:p w14:paraId="7634AE9E">
            <w:pPr>
              <w:pStyle w:val="26"/>
              <w:bidi w:val="0"/>
              <w:rPr>
                <w:rFonts w:hint="eastAsia"/>
                <w:highlight w:val="black"/>
                <w:lang w:val="en-US" w:eastAsia="zh-CN"/>
              </w:rPr>
            </w:pPr>
          </w:p>
        </w:tc>
        <w:tc>
          <w:tcPr>
            <w:tcW w:w="485" w:type="pct"/>
            <w:shd w:val="clear" w:color="auto" w:fill="FFFFFF" w:themeFill="background1"/>
            <w:vAlign w:val="center"/>
          </w:tcPr>
          <w:p w14:paraId="0D6D8D81">
            <w:pPr>
              <w:pStyle w:val="26"/>
              <w:bidi w:val="0"/>
              <w:rPr>
                <w:rFonts w:hint="eastAsia"/>
                <w:highlight w:val="black"/>
              </w:rPr>
            </w:pPr>
          </w:p>
        </w:tc>
        <w:tc>
          <w:tcPr>
            <w:tcW w:w="405" w:type="pct"/>
            <w:vMerge w:val="continue"/>
            <w:shd w:val="clear" w:color="auto" w:fill="FFFFFF" w:themeFill="background1"/>
            <w:vAlign w:val="center"/>
          </w:tcPr>
          <w:p w14:paraId="3663072E">
            <w:pPr>
              <w:pStyle w:val="26"/>
              <w:bidi w:val="0"/>
              <w:rPr>
                <w:rFonts w:hint="eastAsia"/>
                <w:highlight w:val="black"/>
                <w:lang w:val="en-US" w:eastAsia="zh-CN"/>
              </w:rPr>
            </w:pPr>
          </w:p>
        </w:tc>
        <w:tc>
          <w:tcPr>
            <w:tcW w:w="364" w:type="pct"/>
            <w:shd w:val="clear" w:color="auto" w:fill="FFFFFF" w:themeFill="background1"/>
            <w:vAlign w:val="center"/>
          </w:tcPr>
          <w:p w14:paraId="4C18232C">
            <w:pPr>
              <w:pStyle w:val="26"/>
              <w:bidi w:val="0"/>
              <w:rPr>
                <w:rFonts w:hint="eastAsia"/>
                <w:highlight w:val="black"/>
              </w:rPr>
            </w:pPr>
          </w:p>
        </w:tc>
      </w:tr>
      <w:tr w14:paraId="04C2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183BC386">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43</w:t>
            </w:r>
          </w:p>
        </w:tc>
        <w:tc>
          <w:tcPr>
            <w:tcW w:w="520" w:type="pct"/>
            <w:vMerge w:val="continue"/>
            <w:shd w:val="clear" w:color="auto" w:fill="auto"/>
            <w:vAlign w:val="center"/>
          </w:tcPr>
          <w:p w14:paraId="7ADFBFFD">
            <w:pPr>
              <w:pStyle w:val="26"/>
              <w:bidi w:val="0"/>
              <w:rPr>
                <w:rFonts w:hint="eastAsia"/>
              </w:rPr>
            </w:pPr>
          </w:p>
        </w:tc>
        <w:tc>
          <w:tcPr>
            <w:tcW w:w="520" w:type="pct"/>
            <w:shd w:val="clear" w:color="auto" w:fill="FFFFFF" w:themeFill="background1"/>
            <w:vAlign w:val="top"/>
          </w:tcPr>
          <w:p w14:paraId="7EAAF189">
            <w:pPr>
              <w:pStyle w:val="26"/>
              <w:bidi w:val="0"/>
              <w:rPr>
                <w:rFonts w:hint="eastAsia"/>
                <w:highlight w:val="black"/>
                <w:lang w:val="en-US" w:eastAsia="zh-CN"/>
              </w:rPr>
            </w:pPr>
            <w:r>
              <w:rPr>
                <w:rFonts w:hint="eastAsia"/>
                <w:highlight w:val="black"/>
              </w:rPr>
              <w:t>氯酸钠</w:t>
            </w:r>
          </w:p>
        </w:tc>
        <w:tc>
          <w:tcPr>
            <w:tcW w:w="876" w:type="pct"/>
            <w:shd w:val="clear" w:color="auto" w:fill="FFFFFF" w:themeFill="background1"/>
            <w:vAlign w:val="center"/>
          </w:tcPr>
          <w:p w14:paraId="7A11BC42">
            <w:pPr>
              <w:pStyle w:val="26"/>
              <w:bidi w:val="0"/>
              <w:rPr>
                <w:rFonts w:hint="eastAsia"/>
                <w:highlight w:val="black"/>
              </w:rPr>
            </w:pPr>
          </w:p>
        </w:tc>
        <w:tc>
          <w:tcPr>
            <w:tcW w:w="384" w:type="pct"/>
            <w:shd w:val="clear" w:color="auto" w:fill="FFFFFF" w:themeFill="background1"/>
            <w:vAlign w:val="center"/>
          </w:tcPr>
          <w:p w14:paraId="76A0036F">
            <w:pPr>
              <w:pStyle w:val="26"/>
              <w:bidi w:val="0"/>
              <w:rPr>
                <w:rFonts w:hint="eastAsia"/>
                <w:highlight w:val="black"/>
              </w:rPr>
            </w:pPr>
          </w:p>
        </w:tc>
        <w:tc>
          <w:tcPr>
            <w:tcW w:w="520" w:type="pct"/>
            <w:shd w:val="clear" w:color="auto" w:fill="FFFFFF" w:themeFill="background1"/>
            <w:vAlign w:val="center"/>
          </w:tcPr>
          <w:p w14:paraId="14AEC886">
            <w:pPr>
              <w:pStyle w:val="26"/>
              <w:bidi w:val="0"/>
              <w:rPr>
                <w:rFonts w:hint="default"/>
                <w:highlight w:val="black"/>
                <w:lang w:val="en-US" w:eastAsia="zh-CN"/>
              </w:rPr>
            </w:pPr>
            <w:r>
              <w:rPr>
                <w:rFonts w:hint="eastAsia"/>
                <w:highlight w:val="black"/>
                <w:lang w:val="en-US" w:eastAsia="zh-CN"/>
              </w:rPr>
              <w:t>6</w:t>
            </w:r>
          </w:p>
        </w:tc>
        <w:tc>
          <w:tcPr>
            <w:tcW w:w="579" w:type="pct"/>
            <w:shd w:val="clear" w:color="auto" w:fill="FFFFFF" w:themeFill="background1"/>
            <w:vAlign w:val="center"/>
          </w:tcPr>
          <w:p w14:paraId="0722B4D7">
            <w:pPr>
              <w:pStyle w:val="26"/>
              <w:bidi w:val="0"/>
              <w:rPr>
                <w:rFonts w:hint="eastAsia"/>
                <w:highlight w:val="black"/>
                <w:lang w:val="en-US" w:eastAsia="zh-CN"/>
              </w:rPr>
            </w:pPr>
          </w:p>
        </w:tc>
        <w:tc>
          <w:tcPr>
            <w:tcW w:w="485" w:type="pct"/>
            <w:shd w:val="clear" w:color="auto" w:fill="FFFFFF" w:themeFill="background1"/>
            <w:vAlign w:val="center"/>
          </w:tcPr>
          <w:p w14:paraId="50E689C9">
            <w:pPr>
              <w:pStyle w:val="26"/>
              <w:bidi w:val="0"/>
              <w:rPr>
                <w:rFonts w:hint="eastAsia"/>
                <w:highlight w:val="black"/>
              </w:rPr>
            </w:pPr>
          </w:p>
        </w:tc>
        <w:tc>
          <w:tcPr>
            <w:tcW w:w="405" w:type="pct"/>
            <w:vMerge w:val="continue"/>
            <w:shd w:val="clear" w:color="auto" w:fill="FFFFFF" w:themeFill="background1"/>
            <w:vAlign w:val="center"/>
          </w:tcPr>
          <w:p w14:paraId="26C55B00">
            <w:pPr>
              <w:pStyle w:val="26"/>
              <w:bidi w:val="0"/>
              <w:rPr>
                <w:rFonts w:hint="eastAsia"/>
                <w:highlight w:val="black"/>
                <w:lang w:val="en-US" w:eastAsia="zh-CN"/>
              </w:rPr>
            </w:pPr>
          </w:p>
        </w:tc>
        <w:tc>
          <w:tcPr>
            <w:tcW w:w="364" w:type="pct"/>
            <w:shd w:val="clear" w:color="auto" w:fill="FFFFFF" w:themeFill="background1"/>
            <w:vAlign w:val="center"/>
          </w:tcPr>
          <w:p w14:paraId="47691295">
            <w:pPr>
              <w:pStyle w:val="26"/>
              <w:bidi w:val="0"/>
              <w:rPr>
                <w:rFonts w:hint="eastAsia"/>
                <w:highlight w:val="black"/>
              </w:rPr>
            </w:pPr>
          </w:p>
        </w:tc>
      </w:tr>
      <w:tr w14:paraId="35CC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564C3C4D">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44</w:t>
            </w:r>
          </w:p>
        </w:tc>
        <w:tc>
          <w:tcPr>
            <w:tcW w:w="520" w:type="pct"/>
            <w:vMerge w:val="restart"/>
            <w:shd w:val="clear" w:color="auto" w:fill="auto"/>
            <w:vAlign w:val="center"/>
          </w:tcPr>
          <w:p w14:paraId="57D5C7D9">
            <w:pPr>
              <w:pStyle w:val="26"/>
              <w:bidi w:val="0"/>
              <w:rPr>
                <w:rFonts w:hint="default" w:eastAsia="仿宋_GB2312"/>
                <w:lang w:val="en-US" w:eastAsia="zh-CN"/>
              </w:rPr>
            </w:pPr>
            <w:r>
              <w:rPr>
                <w:rFonts w:hint="eastAsia"/>
                <w:lang w:val="en-US" w:eastAsia="zh-CN"/>
              </w:rPr>
              <w:t>热压模板</w:t>
            </w:r>
          </w:p>
        </w:tc>
        <w:tc>
          <w:tcPr>
            <w:tcW w:w="520" w:type="pct"/>
            <w:shd w:val="clear" w:color="auto" w:fill="FFFFFF" w:themeFill="background1"/>
            <w:vAlign w:val="top"/>
          </w:tcPr>
          <w:p w14:paraId="2F782AA9">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rPr>
              <w:t>氢氧化钠</w:t>
            </w:r>
          </w:p>
        </w:tc>
        <w:tc>
          <w:tcPr>
            <w:tcW w:w="876" w:type="pct"/>
            <w:shd w:val="clear" w:color="auto" w:fill="FFFFFF" w:themeFill="background1"/>
            <w:vAlign w:val="center"/>
          </w:tcPr>
          <w:p w14:paraId="732FA140">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rPr>
              <w:t>氢氧化钠</w:t>
            </w:r>
          </w:p>
        </w:tc>
        <w:tc>
          <w:tcPr>
            <w:tcW w:w="384" w:type="pct"/>
            <w:shd w:val="clear" w:color="auto" w:fill="FFFFFF" w:themeFill="background1"/>
            <w:vAlign w:val="center"/>
          </w:tcPr>
          <w:p w14:paraId="12422A80">
            <w:pPr>
              <w:pStyle w:val="26"/>
              <w:bidi w:val="0"/>
              <w:rPr>
                <w:rFonts w:hint="eastAsia" w:ascii="Times New Roman" w:hAnsi="Times New Roman" w:eastAsia="仿宋_GB2312" w:cs="Times New Roman"/>
                <w:color w:val="000000" w:themeColor="text1"/>
                <w:kern w:val="2"/>
                <w:sz w:val="21"/>
                <w:szCs w:val="22"/>
                <w:highlight w:val="black"/>
                <w:lang w:val="en-US" w:eastAsia="zh-CN" w:bidi="ar-SA"/>
                <w14:textFill>
                  <w14:solidFill>
                    <w14:schemeClr w14:val="tx1"/>
                  </w14:solidFill>
                </w14:textFill>
              </w:rPr>
            </w:pPr>
            <w:r>
              <w:rPr>
                <w:rFonts w:hint="eastAsia"/>
                <w:highlight w:val="black"/>
              </w:rPr>
              <w:t>固</w:t>
            </w:r>
          </w:p>
        </w:tc>
        <w:tc>
          <w:tcPr>
            <w:tcW w:w="520" w:type="pct"/>
            <w:shd w:val="clear" w:color="auto" w:fill="FFFFFF" w:themeFill="background1"/>
            <w:vAlign w:val="center"/>
          </w:tcPr>
          <w:p w14:paraId="7C37879F">
            <w:pPr>
              <w:pStyle w:val="26"/>
              <w:bidi w:val="0"/>
              <w:rPr>
                <w:rFonts w:hint="default"/>
                <w:highlight w:val="black"/>
                <w:lang w:val="en-US" w:eastAsia="zh-CN"/>
              </w:rPr>
            </w:pPr>
            <w:r>
              <w:rPr>
                <w:rFonts w:hint="eastAsia"/>
                <w:highlight w:val="black"/>
                <w:lang w:val="en-US" w:eastAsia="zh-CN"/>
              </w:rPr>
              <w:t>4</w:t>
            </w:r>
          </w:p>
        </w:tc>
        <w:tc>
          <w:tcPr>
            <w:tcW w:w="579" w:type="pct"/>
            <w:shd w:val="clear" w:color="auto" w:fill="FFFFFF" w:themeFill="background1"/>
            <w:vAlign w:val="center"/>
          </w:tcPr>
          <w:p w14:paraId="1E27C888">
            <w:pPr>
              <w:pStyle w:val="26"/>
              <w:bidi w:val="0"/>
              <w:rPr>
                <w:rFonts w:hint="eastAsia"/>
                <w:highlight w:val="black"/>
                <w:lang w:val="en-US" w:eastAsia="zh-CN"/>
              </w:rPr>
            </w:pPr>
            <w:r>
              <w:rPr>
                <w:rFonts w:hint="eastAsia"/>
                <w:highlight w:val="black"/>
                <w:lang w:val="en-US" w:eastAsia="zh-CN"/>
              </w:rPr>
              <w:t>25kg/包</w:t>
            </w:r>
          </w:p>
        </w:tc>
        <w:tc>
          <w:tcPr>
            <w:tcW w:w="485" w:type="pct"/>
            <w:shd w:val="clear" w:color="auto" w:fill="FFFFFF" w:themeFill="background1"/>
            <w:vAlign w:val="center"/>
          </w:tcPr>
          <w:p w14:paraId="170F2212">
            <w:pPr>
              <w:pStyle w:val="26"/>
              <w:bidi w:val="0"/>
              <w:rPr>
                <w:rFonts w:hint="eastAsia"/>
                <w:highlight w:val="black"/>
                <w:lang w:val="en-US" w:eastAsia="zh-CN"/>
              </w:rPr>
            </w:pPr>
            <w:r>
              <w:rPr>
                <w:rFonts w:hint="eastAsia"/>
                <w:highlight w:val="black"/>
                <w:lang w:val="en-US" w:eastAsia="zh-CN"/>
              </w:rPr>
              <w:t>200kg</w:t>
            </w:r>
          </w:p>
        </w:tc>
        <w:tc>
          <w:tcPr>
            <w:tcW w:w="405" w:type="pct"/>
            <w:vMerge w:val="continue"/>
            <w:shd w:val="clear" w:color="auto" w:fill="FFFFFF" w:themeFill="background1"/>
            <w:vAlign w:val="center"/>
          </w:tcPr>
          <w:p w14:paraId="61614702">
            <w:pPr>
              <w:pStyle w:val="26"/>
              <w:bidi w:val="0"/>
              <w:rPr>
                <w:rFonts w:hint="eastAsia"/>
                <w:highlight w:val="black"/>
                <w:lang w:val="en-US" w:eastAsia="zh-CN"/>
              </w:rPr>
            </w:pPr>
          </w:p>
        </w:tc>
        <w:tc>
          <w:tcPr>
            <w:tcW w:w="364" w:type="pct"/>
            <w:shd w:val="clear" w:color="auto" w:fill="FFFFFF" w:themeFill="background1"/>
            <w:vAlign w:val="center"/>
          </w:tcPr>
          <w:p w14:paraId="178EA744">
            <w:pPr>
              <w:pStyle w:val="26"/>
              <w:bidi w:val="0"/>
              <w:rPr>
                <w:rFonts w:hint="eastAsia"/>
                <w:highlight w:val="black"/>
              </w:rPr>
            </w:pPr>
          </w:p>
        </w:tc>
      </w:tr>
      <w:tr w14:paraId="7AD0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14AC761E">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45</w:t>
            </w:r>
          </w:p>
        </w:tc>
        <w:tc>
          <w:tcPr>
            <w:tcW w:w="520" w:type="pct"/>
            <w:vMerge w:val="continue"/>
            <w:shd w:val="clear" w:color="auto" w:fill="auto"/>
            <w:vAlign w:val="center"/>
          </w:tcPr>
          <w:p w14:paraId="32E007B0">
            <w:pPr>
              <w:pStyle w:val="26"/>
              <w:bidi w:val="0"/>
              <w:rPr>
                <w:rFonts w:hint="eastAsia"/>
              </w:rPr>
            </w:pPr>
          </w:p>
        </w:tc>
        <w:tc>
          <w:tcPr>
            <w:tcW w:w="520" w:type="pct"/>
            <w:shd w:val="clear" w:color="auto" w:fill="FFFFFF" w:themeFill="background1"/>
            <w:vAlign w:val="center"/>
          </w:tcPr>
          <w:p w14:paraId="3515682D">
            <w:pPr>
              <w:pStyle w:val="26"/>
              <w:bidi w:val="0"/>
              <w:rPr>
                <w:rFonts w:hint="default" w:eastAsia="仿宋_GB2312"/>
                <w:highlight w:val="black"/>
                <w:lang w:val="en-US" w:eastAsia="zh-CN"/>
              </w:rPr>
            </w:pPr>
            <w:r>
              <w:rPr>
                <w:rFonts w:hint="eastAsia"/>
                <w:highlight w:val="black"/>
                <w:lang w:val="en-US" w:eastAsia="zh-CN"/>
              </w:rPr>
              <w:t>感光蓝胶</w:t>
            </w:r>
          </w:p>
        </w:tc>
        <w:tc>
          <w:tcPr>
            <w:tcW w:w="876" w:type="pct"/>
            <w:shd w:val="clear" w:color="auto" w:fill="FFFFFF" w:themeFill="background1"/>
            <w:vAlign w:val="center"/>
          </w:tcPr>
          <w:p w14:paraId="3DD9DF6E">
            <w:pPr>
              <w:pStyle w:val="26"/>
              <w:bidi w:val="0"/>
              <w:rPr>
                <w:rFonts w:hint="eastAsia"/>
                <w:highlight w:val="black"/>
              </w:rPr>
            </w:pPr>
          </w:p>
        </w:tc>
        <w:tc>
          <w:tcPr>
            <w:tcW w:w="384" w:type="pct"/>
            <w:shd w:val="clear" w:color="auto" w:fill="FFFFFF" w:themeFill="background1"/>
            <w:vAlign w:val="center"/>
          </w:tcPr>
          <w:p w14:paraId="4D60CAA9">
            <w:pPr>
              <w:pStyle w:val="26"/>
              <w:bidi w:val="0"/>
              <w:rPr>
                <w:rFonts w:hint="eastAsia" w:eastAsia="仿宋_GB2312"/>
                <w:highlight w:val="black"/>
                <w:lang w:val="en-US" w:eastAsia="zh-CN"/>
              </w:rPr>
            </w:pPr>
            <w:r>
              <w:rPr>
                <w:rFonts w:hint="eastAsia"/>
                <w:highlight w:val="black"/>
                <w:lang w:val="en-US" w:eastAsia="zh-CN"/>
              </w:rPr>
              <w:t>液</w:t>
            </w:r>
          </w:p>
        </w:tc>
        <w:tc>
          <w:tcPr>
            <w:tcW w:w="520" w:type="pct"/>
            <w:shd w:val="clear" w:color="auto" w:fill="FFFFFF" w:themeFill="background1"/>
            <w:vAlign w:val="center"/>
          </w:tcPr>
          <w:p w14:paraId="63187966">
            <w:pPr>
              <w:pStyle w:val="26"/>
              <w:bidi w:val="0"/>
              <w:rPr>
                <w:rFonts w:hint="default"/>
                <w:highlight w:val="black"/>
                <w:lang w:val="en-US" w:eastAsia="zh-CN"/>
              </w:rPr>
            </w:pPr>
            <w:r>
              <w:rPr>
                <w:rFonts w:hint="eastAsia"/>
                <w:highlight w:val="black"/>
                <w:lang w:val="en-US" w:eastAsia="zh-CN"/>
              </w:rPr>
              <w:t>2</w:t>
            </w:r>
          </w:p>
        </w:tc>
        <w:tc>
          <w:tcPr>
            <w:tcW w:w="579" w:type="pct"/>
            <w:shd w:val="clear" w:color="auto" w:fill="FFFFFF" w:themeFill="background1"/>
            <w:vAlign w:val="center"/>
          </w:tcPr>
          <w:p w14:paraId="01D0C23E">
            <w:pPr>
              <w:pStyle w:val="26"/>
              <w:bidi w:val="0"/>
              <w:rPr>
                <w:rFonts w:hint="eastAsia"/>
                <w:highlight w:val="black"/>
                <w:lang w:val="en-US" w:eastAsia="zh-CN"/>
              </w:rPr>
            </w:pPr>
          </w:p>
        </w:tc>
        <w:tc>
          <w:tcPr>
            <w:tcW w:w="485" w:type="pct"/>
            <w:shd w:val="clear" w:color="auto" w:fill="FFFFFF" w:themeFill="background1"/>
            <w:vAlign w:val="center"/>
          </w:tcPr>
          <w:p w14:paraId="1B962C11">
            <w:pPr>
              <w:pStyle w:val="26"/>
              <w:bidi w:val="0"/>
              <w:rPr>
                <w:rFonts w:hint="eastAsia"/>
                <w:highlight w:val="black"/>
                <w:lang w:val="en-US" w:eastAsia="zh-CN"/>
              </w:rPr>
            </w:pPr>
          </w:p>
        </w:tc>
        <w:tc>
          <w:tcPr>
            <w:tcW w:w="405" w:type="pct"/>
            <w:vMerge w:val="continue"/>
            <w:shd w:val="clear" w:color="auto" w:fill="FFFFFF" w:themeFill="background1"/>
            <w:vAlign w:val="center"/>
          </w:tcPr>
          <w:p w14:paraId="3A6BB55F">
            <w:pPr>
              <w:pStyle w:val="26"/>
              <w:bidi w:val="0"/>
              <w:rPr>
                <w:rFonts w:hint="eastAsia"/>
                <w:highlight w:val="black"/>
                <w:lang w:val="en-US" w:eastAsia="zh-CN"/>
              </w:rPr>
            </w:pPr>
          </w:p>
        </w:tc>
        <w:tc>
          <w:tcPr>
            <w:tcW w:w="364" w:type="pct"/>
            <w:shd w:val="clear" w:color="auto" w:fill="FFFFFF" w:themeFill="background1"/>
            <w:vAlign w:val="center"/>
          </w:tcPr>
          <w:p w14:paraId="465F320B">
            <w:pPr>
              <w:pStyle w:val="26"/>
              <w:bidi w:val="0"/>
              <w:rPr>
                <w:rFonts w:hint="eastAsia"/>
                <w:highlight w:val="black"/>
              </w:rPr>
            </w:pPr>
          </w:p>
        </w:tc>
      </w:tr>
      <w:tr w14:paraId="20DE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1FA636C9">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46</w:t>
            </w:r>
          </w:p>
        </w:tc>
        <w:tc>
          <w:tcPr>
            <w:tcW w:w="520" w:type="pct"/>
            <w:vMerge w:val="continue"/>
            <w:shd w:val="clear" w:color="auto" w:fill="auto"/>
            <w:vAlign w:val="center"/>
          </w:tcPr>
          <w:p w14:paraId="10B60E26">
            <w:pPr>
              <w:pStyle w:val="26"/>
              <w:bidi w:val="0"/>
              <w:rPr>
                <w:rFonts w:hint="eastAsia"/>
              </w:rPr>
            </w:pPr>
          </w:p>
        </w:tc>
        <w:tc>
          <w:tcPr>
            <w:tcW w:w="520" w:type="pct"/>
            <w:shd w:val="clear" w:color="auto" w:fill="FFFFFF" w:themeFill="background1"/>
            <w:vAlign w:val="center"/>
          </w:tcPr>
          <w:p w14:paraId="03054B50">
            <w:pPr>
              <w:pStyle w:val="26"/>
              <w:bidi w:val="0"/>
              <w:rPr>
                <w:rFonts w:hint="eastAsia"/>
                <w:highlight w:val="black"/>
                <w:lang w:val="en-US" w:eastAsia="zh-CN"/>
              </w:rPr>
            </w:pPr>
            <w:r>
              <w:rPr>
                <w:rFonts w:hint="eastAsia"/>
                <w:highlight w:val="black"/>
                <w:lang w:val="en-US" w:eastAsia="zh-CN"/>
              </w:rPr>
              <w:t>三氯化铁</w:t>
            </w:r>
          </w:p>
        </w:tc>
        <w:tc>
          <w:tcPr>
            <w:tcW w:w="876" w:type="pct"/>
            <w:shd w:val="clear" w:color="auto" w:fill="FFFFFF" w:themeFill="background1"/>
            <w:vAlign w:val="center"/>
          </w:tcPr>
          <w:p w14:paraId="72FB8A6A">
            <w:pPr>
              <w:pStyle w:val="26"/>
              <w:bidi w:val="0"/>
              <w:rPr>
                <w:rFonts w:hint="eastAsia"/>
                <w:highlight w:val="black"/>
              </w:rPr>
            </w:pPr>
          </w:p>
        </w:tc>
        <w:tc>
          <w:tcPr>
            <w:tcW w:w="384" w:type="pct"/>
            <w:shd w:val="clear" w:color="auto" w:fill="FFFFFF" w:themeFill="background1"/>
            <w:vAlign w:val="center"/>
          </w:tcPr>
          <w:p w14:paraId="5D0F4DFA">
            <w:pPr>
              <w:pStyle w:val="26"/>
              <w:bidi w:val="0"/>
              <w:rPr>
                <w:rFonts w:hint="eastAsia" w:eastAsia="仿宋_GB2312"/>
                <w:highlight w:val="black"/>
                <w:lang w:val="en-US" w:eastAsia="zh-CN"/>
              </w:rPr>
            </w:pPr>
            <w:r>
              <w:rPr>
                <w:rFonts w:hint="eastAsia"/>
                <w:highlight w:val="black"/>
                <w:lang w:val="en-US" w:eastAsia="zh-CN"/>
              </w:rPr>
              <w:t>液</w:t>
            </w:r>
          </w:p>
        </w:tc>
        <w:tc>
          <w:tcPr>
            <w:tcW w:w="520" w:type="pct"/>
            <w:shd w:val="clear" w:color="auto" w:fill="FFFFFF" w:themeFill="background1"/>
            <w:vAlign w:val="center"/>
          </w:tcPr>
          <w:p w14:paraId="48657369">
            <w:pPr>
              <w:pStyle w:val="26"/>
              <w:bidi w:val="0"/>
              <w:rPr>
                <w:rFonts w:hint="default"/>
                <w:highlight w:val="black"/>
                <w:lang w:val="en-US" w:eastAsia="zh-CN"/>
              </w:rPr>
            </w:pPr>
            <w:r>
              <w:rPr>
                <w:rFonts w:hint="eastAsia"/>
                <w:highlight w:val="black"/>
                <w:lang w:val="en-US" w:eastAsia="zh-CN"/>
              </w:rPr>
              <w:t>150</w:t>
            </w:r>
          </w:p>
        </w:tc>
        <w:tc>
          <w:tcPr>
            <w:tcW w:w="579" w:type="pct"/>
            <w:shd w:val="clear" w:color="auto" w:fill="FFFFFF" w:themeFill="background1"/>
            <w:vAlign w:val="center"/>
          </w:tcPr>
          <w:p w14:paraId="2CD37551">
            <w:pPr>
              <w:pStyle w:val="26"/>
              <w:bidi w:val="0"/>
              <w:rPr>
                <w:rFonts w:hint="eastAsia"/>
                <w:highlight w:val="black"/>
                <w:lang w:val="en-US" w:eastAsia="zh-CN"/>
              </w:rPr>
            </w:pPr>
            <w:r>
              <w:rPr>
                <w:rFonts w:hint="eastAsia"/>
                <w:highlight w:val="black"/>
                <w:lang w:val="en-US" w:eastAsia="zh-CN"/>
              </w:rPr>
              <w:t>1T/桶</w:t>
            </w:r>
          </w:p>
        </w:tc>
        <w:tc>
          <w:tcPr>
            <w:tcW w:w="485" w:type="pct"/>
            <w:shd w:val="clear" w:color="auto" w:fill="FFFFFF" w:themeFill="background1"/>
            <w:vAlign w:val="center"/>
          </w:tcPr>
          <w:p w14:paraId="1E0B20DD">
            <w:pPr>
              <w:pStyle w:val="26"/>
              <w:bidi w:val="0"/>
              <w:rPr>
                <w:rFonts w:hint="eastAsia"/>
                <w:highlight w:val="black"/>
                <w:lang w:val="en-US" w:eastAsia="zh-CN"/>
              </w:rPr>
            </w:pPr>
            <w:r>
              <w:rPr>
                <w:rFonts w:hint="eastAsia"/>
                <w:highlight w:val="black"/>
                <w:lang w:val="en-US" w:eastAsia="zh-CN"/>
              </w:rPr>
              <w:t>5T</w:t>
            </w:r>
          </w:p>
        </w:tc>
        <w:tc>
          <w:tcPr>
            <w:tcW w:w="405" w:type="pct"/>
            <w:vMerge w:val="continue"/>
            <w:shd w:val="clear" w:color="auto" w:fill="FFFFFF" w:themeFill="background1"/>
            <w:vAlign w:val="center"/>
          </w:tcPr>
          <w:p w14:paraId="1BF6B068">
            <w:pPr>
              <w:pStyle w:val="26"/>
              <w:bidi w:val="0"/>
              <w:rPr>
                <w:rFonts w:hint="eastAsia"/>
                <w:highlight w:val="black"/>
                <w:lang w:val="en-US" w:eastAsia="zh-CN"/>
              </w:rPr>
            </w:pPr>
          </w:p>
        </w:tc>
        <w:tc>
          <w:tcPr>
            <w:tcW w:w="364" w:type="pct"/>
            <w:shd w:val="clear" w:color="auto" w:fill="FFFFFF" w:themeFill="background1"/>
            <w:vAlign w:val="center"/>
          </w:tcPr>
          <w:p w14:paraId="48C533DB">
            <w:pPr>
              <w:pStyle w:val="26"/>
              <w:bidi w:val="0"/>
              <w:rPr>
                <w:rFonts w:hint="eastAsia"/>
                <w:highlight w:val="black"/>
              </w:rPr>
            </w:pPr>
          </w:p>
        </w:tc>
      </w:tr>
      <w:tr w14:paraId="2868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0F6F4ED7">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47</w:t>
            </w:r>
          </w:p>
        </w:tc>
        <w:tc>
          <w:tcPr>
            <w:tcW w:w="520" w:type="pct"/>
            <w:vMerge w:val="continue"/>
            <w:shd w:val="clear" w:color="auto" w:fill="auto"/>
            <w:vAlign w:val="center"/>
          </w:tcPr>
          <w:p w14:paraId="1FC53A90">
            <w:pPr>
              <w:pStyle w:val="26"/>
              <w:bidi w:val="0"/>
              <w:rPr>
                <w:rFonts w:hint="eastAsia"/>
              </w:rPr>
            </w:pPr>
          </w:p>
        </w:tc>
        <w:tc>
          <w:tcPr>
            <w:tcW w:w="520" w:type="pct"/>
            <w:shd w:val="clear" w:color="auto" w:fill="FFFFFF" w:themeFill="background1"/>
            <w:vAlign w:val="center"/>
          </w:tcPr>
          <w:p w14:paraId="02086258">
            <w:pPr>
              <w:pStyle w:val="26"/>
              <w:bidi w:val="0"/>
              <w:rPr>
                <w:rFonts w:hint="eastAsia"/>
                <w:highlight w:val="black"/>
                <w:lang w:val="en-US" w:eastAsia="zh-CN"/>
              </w:rPr>
            </w:pPr>
            <w:r>
              <w:rPr>
                <w:rFonts w:hint="eastAsia"/>
                <w:highlight w:val="black"/>
                <w:lang w:val="en-US" w:eastAsia="zh-CN"/>
              </w:rPr>
              <w:t>盐酸</w:t>
            </w:r>
          </w:p>
        </w:tc>
        <w:tc>
          <w:tcPr>
            <w:tcW w:w="876" w:type="pct"/>
            <w:shd w:val="clear" w:color="auto" w:fill="FFFFFF" w:themeFill="background1"/>
            <w:vAlign w:val="center"/>
          </w:tcPr>
          <w:p w14:paraId="37AC4FC0">
            <w:pPr>
              <w:pStyle w:val="26"/>
              <w:bidi w:val="0"/>
              <w:rPr>
                <w:rFonts w:hint="default" w:eastAsia="仿宋_GB2312"/>
                <w:highlight w:val="black"/>
                <w:lang w:val="en-US" w:eastAsia="zh-CN"/>
              </w:rPr>
            </w:pPr>
            <w:r>
              <w:rPr>
                <w:rFonts w:hint="eastAsia"/>
                <w:highlight w:val="black"/>
                <w:lang w:val="en-US" w:eastAsia="zh-CN"/>
              </w:rPr>
              <w:t>33%盐酸</w:t>
            </w:r>
          </w:p>
        </w:tc>
        <w:tc>
          <w:tcPr>
            <w:tcW w:w="384" w:type="pct"/>
            <w:shd w:val="clear" w:color="auto" w:fill="FFFFFF" w:themeFill="background1"/>
            <w:vAlign w:val="center"/>
          </w:tcPr>
          <w:p w14:paraId="6D7E2BCA">
            <w:pPr>
              <w:pStyle w:val="26"/>
              <w:bidi w:val="0"/>
              <w:rPr>
                <w:rFonts w:hint="eastAsia" w:eastAsia="仿宋_GB2312"/>
                <w:highlight w:val="black"/>
                <w:lang w:val="en-US" w:eastAsia="zh-CN"/>
              </w:rPr>
            </w:pPr>
            <w:r>
              <w:rPr>
                <w:rFonts w:hint="eastAsia"/>
                <w:highlight w:val="black"/>
                <w:lang w:val="en-US" w:eastAsia="zh-CN"/>
              </w:rPr>
              <w:t>液</w:t>
            </w:r>
          </w:p>
        </w:tc>
        <w:tc>
          <w:tcPr>
            <w:tcW w:w="520" w:type="pct"/>
            <w:shd w:val="clear" w:color="auto" w:fill="FFFFFF" w:themeFill="background1"/>
            <w:vAlign w:val="center"/>
          </w:tcPr>
          <w:p w14:paraId="76E363B6">
            <w:pPr>
              <w:pStyle w:val="26"/>
              <w:bidi w:val="0"/>
              <w:rPr>
                <w:rFonts w:hint="default"/>
                <w:highlight w:val="black"/>
                <w:lang w:val="en-US" w:eastAsia="zh-CN"/>
              </w:rPr>
            </w:pPr>
            <w:r>
              <w:rPr>
                <w:rFonts w:hint="eastAsia"/>
                <w:highlight w:val="black"/>
                <w:lang w:val="en-US" w:eastAsia="zh-CN"/>
              </w:rPr>
              <w:t>15</w:t>
            </w:r>
          </w:p>
        </w:tc>
        <w:tc>
          <w:tcPr>
            <w:tcW w:w="579" w:type="pct"/>
            <w:shd w:val="clear" w:color="auto" w:fill="FFFFFF" w:themeFill="background1"/>
            <w:vAlign w:val="center"/>
          </w:tcPr>
          <w:p w14:paraId="4FC4EC13">
            <w:pPr>
              <w:pStyle w:val="26"/>
              <w:bidi w:val="0"/>
              <w:rPr>
                <w:rFonts w:hint="eastAsia"/>
                <w:highlight w:val="black"/>
                <w:lang w:val="en-US" w:eastAsia="zh-CN"/>
              </w:rPr>
            </w:pPr>
            <w:r>
              <w:rPr>
                <w:rFonts w:hint="eastAsia"/>
                <w:highlight w:val="black"/>
                <w:lang w:val="en-US" w:eastAsia="zh-CN"/>
              </w:rPr>
              <w:t>25kg/桶</w:t>
            </w:r>
          </w:p>
        </w:tc>
        <w:tc>
          <w:tcPr>
            <w:tcW w:w="485" w:type="pct"/>
            <w:shd w:val="clear" w:color="auto" w:fill="FFFFFF" w:themeFill="background1"/>
            <w:vAlign w:val="center"/>
          </w:tcPr>
          <w:p w14:paraId="3BA8FBBF">
            <w:pPr>
              <w:pStyle w:val="26"/>
              <w:bidi w:val="0"/>
              <w:rPr>
                <w:rFonts w:hint="eastAsia"/>
                <w:highlight w:val="black"/>
                <w:lang w:val="en-US" w:eastAsia="zh-CN"/>
              </w:rPr>
            </w:pPr>
            <w:r>
              <w:rPr>
                <w:rFonts w:hint="eastAsia"/>
                <w:highlight w:val="black"/>
                <w:lang w:val="en-US" w:eastAsia="zh-CN"/>
              </w:rPr>
              <w:t>0.5T</w:t>
            </w:r>
          </w:p>
        </w:tc>
        <w:tc>
          <w:tcPr>
            <w:tcW w:w="405" w:type="pct"/>
            <w:vMerge w:val="continue"/>
            <w:shd w:val="clear" w:color="auto" w:fill="FFFFFF" w:themeFill="background1"/>
            <w:vAlign w:val="center"/>
          </w:tcPr>
          <w:p w14:paraId="489D183D">
            <w:pPr>
              <w:pStyle w:val="26"/>
              <w:bidi w:val="0"/>
              <w:rPr>
                <w:rFonts w:hint="eastAsia"/>
                <w:highlight w:val="black"/>
                <w:lang w:val="en-US" w:eastAsia="zh-CN"/>
              </w:rPr>
            </w:pPr>
          </w:p>
        </w:tc>
        <w:tc>
          <w:tcPr>
            <w:tcW w:w="364" w:type="pct"/>
            <w:shd w:val="clear" w:color="auto" w:fill="FFFFFF" w:themeFill="background1"/>
            <w:vAlign w:val="center"/>
          </w:tcPr>
          <w:p w14:paraId="2E7361B2">
            <w:pPr>
              <w:pStyle w:val="26"/>
              <w:bidi w:val="0"/>
              <w:rPr>
                <w:rFonts w:hint="eastAsia"/>
                <w:highlight w:val="black"/>
              </w:rPr>
            </w:pPr>
          </w:p>
        </w:tc>
      </w:tr>
      <w:tr w14:paraId="34C3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1F9C4532">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48</w:t>
            </w:r>
          </w:p>
        </w:tc>
        <w:tc>
          <w:tcPr>
            <w:tcW w:w="520" w:type="pct"/>
            <w:vMerge w:val="continue"/>
            <w:shd w:val="clear" w:color="auto" w:fill="auto"/>
            <w:vAlign w:val="center"/>
          </w:tcPr>
          <w:p w14:paraId="3408471A">
            <w:pPr>
              <w:pStyle w:val="26"/>
              <w:bidi w:val="0"/>
              <w:rPr>
                <w:rFonts w:hint="eastAsia"/>
              </w:rPr>
            </w:pPr>
          </w:p>
        </w:tc>
        <w:tc>
          <w:tcPr>
            <w:tcW w:w="520" w:type="pct"/>
            <w:shd w:val="clear" w:color="auto" w:fill="FFFFFF" w:themeFill="background1"/>
            <w:vAlign w:val="center"/>
          </w:tcPr>
          <w:p w14:paraId="6C2E7438">
            <w:pPr>
              <w:pStyle w:val="26"/>
              <w:bidi w:val="0"/>
              <w:rPr>
                <w:rFonts w:hint="eastAsia"/>
                <w:highlight w:val="black"/>
                <w:lang w:val="en-US" w:eastAsia="zh-CN"/>
              </w:rPr>
            </w:pPr>
            <w:r>
              <w:rPr>
                <w:rFonts w:hint="eastAsia"/>
                <w:highlight w:val="black"/>
                <w:lang w:val="en-US" w:eastAsia="zh-CN"/>
              </w:rPr>
              <w:t>碳酸钠</w:t>
            </w:r>
          </w:p>
        </w:tc>
        <w:tc>
          <w:tcPr>
            <w:tcW w:w="876" w:type="pct"/>
            <w:shd w:val="clear" w:color="auto" w:fill="FFFFFF" w:themeFill="background1"/>
            <w:vAlign w:val="center"/>
          </w:tcPr>
          <w:p w14:paraId="032957A7">
            <w:pPr>
              <w:pStyle w:val="26"/>
              <w:bidi w:val="0"/>
              <w:rPr>
                <w:rFonts w:hint="eastAsia"/>
                <w:highlight w:val="black"/>
              </w:rPr>
            </w:pPr>
          </w:p>
        </w:tc>
        <w:tc>
          <w:tcPr>
            <w:tcW w:w="384" w:type="pct"/>
            <w:shd w:val="clear" w:color="auto" w:fill="FFFFFF" w:themeFill="background1"/>
            <w:vAlign w:val="center"/>
          </w:tcPr>
          <w:p w14:paraId="2F47B48F">
            <w:pPr>
              <w:pStyle w:val="26"/>
              <w:bidi w:val="0"/>
              <w:rPr>
                <w:rFonts w:hint="eastAsia" w:eastAsia="仿宋_GB2312"/>
                <w:highlight w:val="black"/>
                <w:lang w:val="en-US" w:eastAsia="zh-CN"/>
              </w:rPr>
            </w:pPr>
            <w:r>
              <w:rPr>
                <w:rFonts w:hint="eastAsia"/>
                <w:highlight w:val="black"/>
                <w:lang w:val="en-US" w:eastAsia="zh-CN"/>
              </w:rPr>
              <w:t>固</w:t>
            </w:r>
          </w:p>
        </w:tc>
        <w:tc>
          <w:tcPr>
            <w:tcW w:w="520" w:type="pct"/>
            <w:shd w:val="clear" w:color="auto" w:fill="FFFFFF" w:themeFill="background1"/>
            <w:vAlign w:val="center"/>
          </w:tcPr>
          <w:p w14:paraId="3F046A87">
            <w:pPr>
              <w:pStyle w:val="26"/>
              <w:bidi w:val="0"/>
              <w:rPr>
                <w:rFonts w:hint="default"/>
                <w:highlight w:val="black"/>
                <w:lang w:val="en-US" w:eastAsia="zh-CN"/>
              </w:rPr>
            </w:pPr>
            <w:r>
              <w:rPr>
                <w:rFonts w:hint="eastAsia"/>
                <w:highlight w:val="black"/>
                <w:lang w:val="en-US" w:eastAsia="zh-CN"/>
              </w:rPr>
              <w:t>1</w:t>
            </w:r>
          </w:p>
        </w:tc>
        <w:tc>
          <w:tcPr>
            <w:tcW w:w="579" w:type="pct"/>
            <w:shd w:val="clear" w:color="auto" w:fill="FFFFFF" w:themeFill="background1"/>
            <w:vAlign w:val="center"/>
          </w:tcPr>
          <w:p w14:paraId="19A17ED8">
            <w:pPr>
              <w:pStyle w:val="26"/>
              <w:bidi w:val="0"/>
              <w:rPr>
                <w:rFonts w:hint="eastAsia"/>
                <w:highlight w:val="black"/>
                <w:lang w:val="en-US" w:eastAsia="zh-CN"/>
              </w:rPr>
            </w:pPr>
            <w:r>
              <w:rPr>
                <w:rFonts w:hint="eastAsia"/>
                <w:highlight w:val="black"/>
                <w:lang w:val="en-US" w:eastAsia="zh-CN"/>
              </w:rPr>
              <w:t>25kg/包</w:t>
            </w:r>
          </w:p>
        </w:tc>
        <w:tc>
          <w:tcPr>
            <w:tcW w:w="485" w:type="pct"/>
            <w:shd w:val="clear" w:color="auto" w:fill="FFFFFF" w:themeFill="background1"/>
            <w:vAlign w:val="center"/>
          </w:tcPr>
          <w:p w14:paraId="5C1AEB32">
            <w:pPr>
              <w:pStyle w:val="26"/>
              <w:bidi w:val="0"/>
              <w:rPr>
                <w:rFonts w:hint="eastAsia"/>
                <w:highlight w:val="black"/>
                <w:lang w:val="en-US" w:eastAsia="zh-CN"/>
              </w:rPr>
            </w:pPr>
            <w:r>
              <w:rPr>
                <w:rFonts w:hint="eastAsia"/>
                <w:highlight w:val="black"/>
                <w:lang w:val="en-US" w:eastAsia="zh-CN"/>
              </w:rPr>
              <w:t>50kg</w:t>
            </w:r>
          </w:p>
        </w:tc>
        <w:tc>
          <w:tcPr>
            <w:tcW w:w="405" w:type="pct"/>
            <w:vMerge w:val="continue"/>
            <w:shd w:val="clear" w:color="auto" w:fill="FFFFFF" w:themeFill="background1"/>
            <w:vAlign w:val="center"/>
          </w:tcPr>
          <w:p w14:paraId="482A575E">
            <w:pPr>
              <w:pStyle w:val="26"/>
              <w:bidi w:val="0"/>
              <w:rPr>
                <w:rFonts w:hint="eastAsia"/>
                <w:highlight w:val="black"/>
                <w:lang w:val="en-US" w:eastAsia="zh-CN"/>
              </w:rPr>
            </w:pPr>
          </w:p>
        </w:tc>
        <w:tc>
          <w:tcPr>
            <w:tcW w:w="364" w:type="pct"/>
            <w:shd w:val="clear" w:color="auto" w:fill="FFFFFF" w:themeFill="background1"/>
            <w:vAlign w:val="center"/>
          </w:tcPr>
          <w:p w14:paraId="7CE0641F">
            <w:pPr>
              <w:pStyle w:val="26"/>
              <w:bidi w:val="0"/>
              <w:rPr>
                <w:rFonts w:hint="eastAsia"/>
                <w:highlight w:val="black"/>
              </w:rPr>
            </w:pPr>
          </w:p>
        </w:tc>
      </w:tr>
      <w:tr w14:paraId="7710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2" w:type="pct"/>
            <w:shd w:val="clear" w:color="auto" w:fill="auto"/>
            <w:vAlign w:val="center"/>
          </w:tcPr>
          <w:p w14:paraId="2F9876BE">
            <w:pPr>
              <w:widowControl w:val="0"/>
              <w:bidi w:val="0"/>
              <w:adjustRightInd w:val="0"/>
              <w:snapToGrid w:val="0"/>
              <w:spacing w:line="240" w:lineRule="auto"/>
              <w:ind w:firstLine="0" w:firstLineChars="0"/>
              <w:jc w:val="center"/>
              <w:rPr>
                <w:rFonts w:hint="eastAsia"/>
              </w:rPr>
            </w:pPr>
            <w:r>
              <w:rPr>
                <w:rFonts w:hint="default" w:ascii="Times New Roman" w:hAnsi="Times New Roman" w:eastAsia="仿宋_GB2312" w:cs="Times New Roman"/>
                <w:color w:val="000000"/>
                <w:spacing w:val="-11"/>
                <w:kern w:val="0"/>
                <w:sz w:val="21"/>
                <w:szCs w:val="21"/>
                <w:lang w:val="en-US" w:eastAsia="zh-CN" w:bidi="ar-SA"/>
              </w:rPr>
              <w:t>49</w:t>
            </w:r>
          </w:p>
        </w:tc>
        <w:tc>
          <w:tcPr>
            <w:tcW w:w="520" w:type="pct"/>
            <w:vMerge w:val="continue"/>
            <w:shd w:val="clear" w:color="auto" w:fill="auto"/>
            <w:vAlign w:val="center"/>
          </w:tcPr>
          <w:p w14:paraId="7197DE4E">
            <w:pPr>
              <w:pStyle w:val="26"/>
              <w:bidi w:val="0"/>
              <w:rPr>
                <w:rFonts w:hint="eastAsia"/>
              </w:rPr>
            </w:pPr>
          </w:p>
        </w:tc>
        <w:tc>
          <w:tcPr>
            <w:tcW w:w="520" w:type="pct"/>
            <w:shd w:val="clear" w:color="auto" w:fill="FFFFFF" w:themeFill="background1"/>
            <w:vAlign w:val="center"/>
          </w:tcPr>
          <w:p w14:paraId="75607905">
            <w:pPr>
              <w:pStyle w:val="26"/>
              <w:bidi w:val="0"/>
              <w:rPr>
                <w:rFonts w:hint="eastAsia"/>
                <w:highlight w:val="black"/>
                <w:lang w:val="en-US" w:eastAsia="zh-CN"/>
              </w:rPr>
            </w:pPr>
            <w:r>
              <w:rPr>
                <w:rFonts w:hint="eastAsia"/>
                <w:highlight w:val="black"/>
                <w:lang w:val="en-US" w:eastAsia="zh-CN"/>
              </w:rPr>
              <w:t>硫酸</w:t>
            </w:r>
          </w:p>
        </w:tc>
        <w:tc>
          <w:tcPr>
            <w:tcW w:w="876" w:type="pct"/>
            <w:shd w:val="clear" w:color="auto" w:fill="FFFFFF" w:themeFill="background1"/>
            <w:vAlign w:val="center"/>
          </w:tcPr>
          <w:p w14:paraId="41A8924A">
            <w:pPr>
              <w:pStyle w:val="26"/>
              <w:bidi w:val="0"/>
              <w:rPr>
                <w:rFonts w:hint="eastAsia"/>
                <w:highlight w:val="black"/>
              </w:rPr>
            </w:pPr>
            <w:r>
              <w:rPr>
                <w:rFonts w:hint="eastAsia"/>
                <w:highlight w:val="black"/>
                <w:lang w:val="en-US" w:eastAsia="zh-CN"/>
              </w:rPr>
              <w:t>20%水溶液</w:t>
            </w:r>
          </w:p>
        </w:tc>
        <w:tc>
          <w:tcPr>
            <w:tcW w:w="384" w:type="pct"/>
            <w:shd w:val="clear" w:color="auto" w:fill="FFFFFF" w:themeFill="background1"/>
            <w:vAlign w:val="center"/>
          </w:tcPr>
          <w:p w14:paraId="28DCE34B">
            <w:pPr>
              <w:pStyle w:val="26"/>
              <w:bidi w:val="0"/>
              <w:rPr>
                <w:rFonts w:hint="eastAsia" w:eastAsia="仿宋_GB2312"/>
                <w:highlight w:val="black"/>
                <w:lang w:val="en-US" w:eastAsia="zh-CN"/>
              </w:rPr>
            </w:pPr>
            <w:r>
              <w:rPr>
                <w:rFonts w:hint="eastAsia"/>
                <w:highlight w:val="black"/>
                <w:lang w:val="en-US" w:eastAsia="zh-CN"/>
              </w:rPr>
              <w:t>液</w:t>
            </w:r>
          </w:p>
        </w:tc>
        <w:tc>
          <w:tcPr>
            <w:tcW w:w="520" w:type="pct"/>
            <w:shd w:val="clear" w:color="auto" w:fill="FFFFFF" w:themeFill="background1"/>
            <w:vAlign w:val="center"/>
          </w:tcPr>
          <w:p w14:paraId="07CB620B">
            <w:pPr>
              <w:pStyle w:val="26"/>
              <w:bidi w:val="0"/>
              <w:rPr>
                <w:rFonts w:hint="default"/>
                <w:highlight w:val="black"/>
                <w:lang w:val="en-US" w:eastAsia="zh-CN"/>
              </w:rPr>
            </w:pPr>
            <w:r>
              <w:rPr>
                <w:rFonts w:hint="eastAsia"/>
                <w:highlight w:val="black"/>
                <w:lang w:val="en-US" w:eastAsia="zh-CN"/>
              </w:rPr>
              <w:t>2</w:t>
            </w:r>
          </w:p>
        </w:tc>
        <w:tc>
          <w:tcPr>
            <w:tcW w:w="579" w:type="pct"/>
            <w:shd w:val="clear" w:color="auto" w:fill="FFFFFF" w:themeFill="background1"/>
            <w:vAlign w:val="center"/>
          </w:tcPr>
          <w:p w14:paraId="6722C909">
            <w:pPr>
              <w:pStyle w:val="26"/>
              <w:bidi w:val="0"/>
              <w:rPr>
                <w:rFonts w:hint="eastAsia"/>
                <w:highlight w:val="black"/>
                <w:lang w:val="en-US" w:eastAsia="zh-CN"/>
              </w:rPr>
            </w:pPr>
            <w:r>
              <w:rPr>
                <w:rFonts w:hint="eastAsia"/>
                <w:highlight w:val="black"/>
                <w:lang w:val="en-US" w:eastAsia="zh-CN"/>
              </w:rPr>
              <w:t>25kg/桶</w:t>
            </w:r>
          </w:p>
        </w:tc>
        <w:tc>
          <w:tcPr>
            <w:tcW w:w="485" w:type="pct"/>
            <w:shd w:val="clear" w:color="auto" w:fill="FFFFFF" w:themeFill="background1"/>
            <w:vAlign w:val="center"/>
          </w:tcPr>
          <w:p w14:paraId="17AAF34A">
            <w:pPr>
              <w:pStyle w:val="26"/>
              <w:bidi w:val="0"/>
              <w:rPr>
                <w:rFonts w:hint="eastAsia"/>
                <w:highlight w:val="black"/>
                <w:lang w:val="en-US" w:eastAsia="zh-CN"/>
              </w:rPr>
            </w:pPr>
            <w:r>
              <w:rPr>
                <w:rFonts w:hint="eastAsia"/>
                <w:highlight w:val="black"/>
                <w:lang w:val="en-US" w:eastAsia="zh-CN"/>
              </w:rPr>
              <w:t>10桶</w:t>
            </w:r>
          </w:p>
        </w:tc>
        <w:tc>
          <w:tcPr>
            <w:tcW w:w="405" w:type="pct"/>
            <w:vMerge w:val="continue"/>
            <w:shd w:val="clear" w:color="auto" w:fill="FFFFFF" w:themeFill="background1"/>
            <w:vAlign w:val="center"/>
          </w:tcPr>
          <w:p w14:paraId="4BCD5F45">
            <w:pPr>
              <w:pStyle w:val="26"/>
              <w:bidi w:val="0"/>
              <w:rPr>
                <w:rFonts w:hint="eastAsia"/>
                <w:highlight w:val="black"/>
                <w:lang w:val="en-US" w:eastAsia="zh-CN"/>
              </w:rPr>
            </w:pPr>
          </w:p>
        </w:tc>
        <w:tc>
          <w:tcPr>
            <w:tcW w:w="364" w:type="pct"/>
            <w:shd w:val="clear" w:color="auto" w:fill="FFFFFF" w:themeFill="background1"/>
            <w:vAlign w:val="center"/>
          </w:tcPr>
          <w:p w14:paraId="704B7B6E">
            <w:pPr>
              <w:pStyle w:val="26"/>
              <w:bidi w:val="0"/>
              <w:rPr>
                <w:rFonts w:hint="eastAsia"/>
                <w:highlight w:val="black"/>
              </w:rPr>
            </w:pPr>
          </w:p>
        </w:tc>
      </w:tr>
    </w:tbl>
    <w:p w14:paraId="58233E49">
      <w:pPr>
        <w:ind w:left="0" w:leftChars="0" w:firstLine="0" w:firstLineChars="0"/>
        <w:rPr>
          <w:rFonts w:hint="eastAsia"/>
          <w:color w:val="auto"/>
        </w:rPr>
      </w:pPr>
    </w:p>
    <w:bookmarkEnd w:id="166"/>
    <w:p w14:paraId="647DD007">
      <w:pPr>
        <w:pStyle w:val="26"/>
        <w:bidi w:val="0"/>
        <w:rPr>
          <w:rFonts w:hint="eastAsia"/>
          <w:color w:val="auto"/>
        </w:rPr>
      </w:pPr>
    </w:p>
    <w:p w14:paraId="57C7ECAB">
      <w:pPr>
        <w:pStyle w:val="28"/>
        <w:bidi w:val="0"/>
        <w:rPr>
          <w:rFonts w:hint="eastAsia"/>
          <w:color w:val="auto"/>
        </w:rPr>
      </w:pPr>
    </w:p>
    <w:p w14:paraId="1ED1B2BA">
      <w:pPr>
        <w:rPr>
          <w:rFonts w:hint="eastAsia"/>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570F7FA">
      <w:pPr>
        <w:pStyle w:val="3"/>
        <w:rPr>
          <w:color w:val="auto"/>
        </w:rPr>
      </w:pPr>
      <w:bookmarkStart w:id="167" w:name="_Toc5590"/>
      <w:bookmarkStart w:id="168" w:name="_Toc16496"/>
      <w:r>
        <w:rPr>
          <w:rFonts w:hint="eastAsia"/>
          <w:color w:val="auto"/>
        </w:rPr>
        <w:t>工艺流程及产污环节分析</w:t>
      </w:r>
      <w:bookmarkEnd w:id="167"/>
      <w:bookmarkEnd w:id="168"/>
    </w:p>
    <w:p w14:paraId="0CA9FF70">
      <w:pPr>
        <w:pStyle w:val="4"/>
        <w:bidi w:val="0"/>
        <w:rPr>
          <w:rFonts w:hint="eastAsia"/>
          <w:color w:val="auto"/>
        </w:rPr>
      </w:pPr>
      <w:bookmarkStart w:id="169" w:name="_Toc2402"/>
      <w:bookmarkStart w:id="170" w:name="_Toc21131"/>
      <w:r>
        <w:rPr>
          <w:rFonts w:hint="eastAsia"/>
          <w:color w:val="auto"/>
        </w:rPr>
        <w:t>工程</w:t>
      </w:r>
      <w:bookmarkEnd w:id="169"/>
      <w:r>
        <w:rPr>
          <w:rFonts w:hint="eastAsia"/>
          <w:color w:val="auto"/>
          <w:lang w:val="en-US" w:eastAsia="zh-CN"/>
        </w:rPr>
        <w:t>流程</w:t>
      </w:r>
      <w:bookmarkEnd w:id="170"/>
    </w:p>
    <w:p w14:paraId="00461438">
      <w:pPr>
        <w:pStyle w:val="5"/>
        <w:bidi w:val="0"/>
        <w:rPr>
          <w:rFonts w:hint="eastAsia"/>
          <w:color w:val="auto"/>
        </w:rPr>
      </w:pPr>
      <w:r>
        <w:rPr>
          <w:rFonts w:hint="eastAsia"/>
          <w:color w:val="auto"/>
          <w:lang w:val="en-US" w:eastAsia="zh-CN"/>
        </w:rPr>
        <w:t>凹印版</w:t>
      </w:r>
      <w:r>
        <w:rPr>
          <w:rFonts w:hint="eastAsia"/>
          <w:color w:val="auto"/>
        </w:rPr>
        <w:t>工艺流程</w:t>
      </w:r>
    </w:p>
    <w:p w14:paraId="51D40064">
      <w:pPr>
        <w:rPr>
          <w:color w:val="auto"/>
        </w:rPr>
      </w:pPr>
      <w:r>
        <w:rPr>
          <w:rFonts w:hint="eastAsia"/>
          <w:color w:val="auto"/>
          <w:lang w:val="en-US" w:eastAsia="zh-CN"/>
        </w:rPr>
        <w:t>凹印版生产工艺主要包括辊芯制作和电镀工序，</w:t>
      </w:r>
      <w:r>
        <w:rPr>
          <w:rFonts w:hint="eastAsia"/>
          <w:color w:val="auto"/>
        </w:rPr>
        <w:t>生产工艺流程及产污环节见下图。</w:t>
      </w:r>
    </w:p>
    <w:p w14:paraId="4BD5A66C">
      <w:pPr>
        <w:pStyle w:val="26"/>
        <w:bidi w:val="0"/>
        <w:rPr>
          <w:rFonts w:ascii="Times New Roman" w:hAnsi="Times New Roman" w:eastAsia="仿宋_GB2312" w:cs="Times New Roman"/>
          <w:b/>
          <w:color w:val="auto"/>
          <w:kern w:val="2"/>
          <w:sz w:val="24"/>
          <w:szCs w:val="22"/>
          <w:highlight w:val="none"/>
          <w:lang w:val="en-US" w:eastAsia="zh-CN" w:bidi="ar-SA"/>
        </w:rPr>
      </w:pPr>
      <w:r>
        <w:rPr>
          <w:rFonts w:hint="eastAsia" w:cs="Times New Roman"/>
          <w:b/>
          <w:color w:val="auto"/>
          <w:kern w:val="2"/>
          <w:sz w:val="24"/>
          <w:szCs w:val="22"/>
          <w:highlight w:val="none"/>
          <w:lang w:val="en-US" w:eastAsia="zh-CN" w:bidi="ar-SA"/>
        </w:rPr>
        <w:t>（涉密）</w:t>
      </w:r>
    </w:p>
    <w:p w14:paraId="3D05D2F9">
      <w:pPr>
        <w:pStyle w:val="25"/>
        <w:bidi w:val="0"/>
        <w:rPr>
          <w:color w:val="auto"/>
          <w:lang w:val="en-US" w:eastAsia="zh-CN"/>
        </w:rPr>
      </w:pPr>
      <w:r>
        <w:rPr>
          <w:color w:val="auto"/>
        </w:rPr>
        <w:t>图</w:t>
      </w:r>
      <w:r>
        <w:rPr>
          <w:color w:val="auto"/>
        </w:rPr>
        <w:fldChar w:fldCharType="begin"/>
      </w:r>
      <w:r>
        <w:rPr>
          <w:color w:val="auto"/>
        </w:rPr>
        <w:instrText xml:space="preserve"> STYLEREF 2 \s </w:instrText>
      </w:r>
      <w:r>
        <w:rPr>
          <w:color w:val="auto"/>
        </w:rPr>
        <w:fldChar w:fldCharType="separate"/>
      </w:r>
      <w:r>
        <w:rPr>
          <w:color w:val="auto"/>
        </w:rPr>
        <w:t>4.2</w:t>
      </w:r>
      <w:r>
        <w:rPr>
          <w:color w:val="auto"/>
        </w:rPr>
        <w:fldChar w:fldCharType="end"/>
      </w:r>
      <w:r>
        <w:rPr>
          <w:color w:val="auto"/>
        </w:rPr>
        <w:noBreakHyphen/>
      </w:r>
      <w:r>
        <w:rPr>
          <w:color w:val="auto"/>
        </w:rPr>
        <w:fldChar w:fldCharType="begin"/>
      </w:r>
      <w:r>
        <w:rPr>
          <w:color w:val="auto"/>
        </w:rPr>
        <w:instrText xml:space="preserve"> SEQ 图 \* ARABIC \s 2 </w:instrText>
      </w:r>
      <w:r>
        <w:rPr>
          <w:color w:val="auto"/>
        </w:rPr>
        <w:fldChar w:fldCharType="separate"/>
      </w:r>
      <w:r>
        <w:rPr>
          <w:color w:val="auto"/>
        </w:rPr>
        <w:t>1</w:t>
      </w:r>
      <w:r>
        <w:rPr>
          <w:color w:val="auto"/>
        </w:rPr>
        <w:fldChar w:fldCharType="end"/>
      </w:r>
      <w:r>
        <w:rPr>
          <w:rFonts w:hint="eastAsia"/>
          <w:color w:val="auto"/>
          <w:lang w:val="en-US" w:eastAsia="zh-CN"/>
        </w:rPr>
        <w:t>凹印版机辊芯制作生产</w:t>
      </w:r>
      <w:r>
        <w:rPr>
          <w:color w:val="auto"/>
          <w:lang w:val="en-US" w:eastAsia="zh-CN"/>
        </w:rPr>
        <w:t>工艺流程及产污环节图</w:t>
      </w:r>
    </w:p>
    <w:p w14:paraId="6EED65CC">
      <w:pPr>
        <w:pStyle w:val="26"/>
        <w:bidi w:val="0"/>
        <w:rPr>
          <w:lang w:val="en-US" w:eastAsia="zh-CN"/>
        </w:rPr>
      </w:pPr>
      <w:r>
        <w:rPr>
          <w:rFonts w:hint="eastAsia"/>
          <w:lang w:val="en-US" w:eastAsia="zh-CN"/>
        </w:rPr>
        <w:t>（涉密）</w:t>
      </w:r>
    </w:p>
    <w:p w14:paraId="1388D756">
      <w:pPr>
        <w:bidi w:val="0"/>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图</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4.2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图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2</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凹印版电镀生产</w:t>
      </w:r>
      <w:r>
        <w:rPr>
          <w:rFonts w:ascii="Times New Roman" w:hAnsi="Times New Roman" w:eastAsia="仿宋_GB2312" w:cstheme="minorBidi"/>
          <w:b/>
          <w:color w:val="auto"/>
          <w:kern w:val="2"/>
          <w:sz w:val="24"/>
          <w:szCs w:val="22"/>
          <w:lang w:val="en-US" w:eastAsia="zh-CN" w:bidi="ar-SA"/>
        </w:rPr>
        <w:t>工艺流程及产污环节图</w:t>
      </w:r>
    </w:p>
    <w:p w14:paraId="316298CC">
      <w:pPr>
        <w:ind w:left="0" w:leftChars="0" w:firstLine="0" w:firstLineChars="0"/>
        <w:rPr>
          <w:rFonts w:hint="eastAsia"/>
          <w:b/>
          <w:bCs/>
          <w:color w:val="auto"/>
        </w:rPr>
      </w:pPr>
      <w:r>
        <w:rPr>
          <w:rFonts w:hint="eastAsia"/>
          <w:b/>
          <w:bCs/>
          <w:color w:val="auto"/>
        </w:rPr>
        <w:t>工艺描述：</w:t>
      </w:r>
    </w:p>
    <w:p w14:paraId="5E1E296D">
      <w:pPr>
        <w:bidi w:val="0"/>
        <w:rPr>
          <w:rFonts w:hint="eastAsia"/>
          <w:highlight w:val="black"/>
          <w:lang w:eastAsia="zh-CN"/>
        </w:rPr>
      </w:pPr>
      <w:r>
        <w:rPr>
          <w:rFonts w:hint="eastAsia"/>
          <w:highlight w:val="black"/>
          <w:lang w:eastAsia="zh-CN"/>
        </w:rPr>
        <w:t>（1）剪板：若使用钢板作为原料，根据基体辊筒规格要求，将钢板用剪板机剪切成所需尺寸的版材，剪板过程产生S</w:t>
      </w:r>
      <w:r>
        <w:rPr>
          <w:rFonts w:hint="eastAsia"/>
          <w:highlight w:val="black"/>
          <w:lang w:val="en-US" w:eastAsia="zh-CN"/>
        </w:rPr>
        <w:t>1-</w:t>
      </w:r>
      <w:r>
        <w:rPr>
          <w:rFonts w:hint="eastAsia"/>
          <w:highlight w:val="black"/>
          <w:lang w:eastAsia="zh-CN"/>
        </w:rPr>
        <w:t>1钢边角料。</w:t>
      </w:r>
    </w:p>
    <w:p w14:paraId="202FDD58">
      <w:pPr>
        <w:bidi w:val="0"/>
        <w:rPr>
          <w:rFonts w:hint="eastAsia"/>
          <w:highlight w:val="black"/>
          <w:lang w:eastAsia="zh-CN"/>
        </w:rPr>
      </w:pPr>
      <w:r>
        <w:rPr>
          <w:rFonts w:hint="eastAsia"/>
          <w:highlight w:val="black"/>
          <w:lang w:eastAsia="zh-CN"/>
        </w:rPr>
        <w:t>（2）卷板：将钢板用卷板机卷成辊芯所需要的圆柱形形状。</w:t>
      </w:r>
    </w:p>
    <w:p w14:paraId="167679D5">
      <w:pPr>
        <w:bidi w:val="0"/>
        <w:rPr>
          <w:rFonts w:hint="eastAsia"/>
          <w:highlight w:val="black"/>
          <w:lang w:eastAsia="zh-CN"/>
        </w:rPr>
      </w:pPr>
      <w:r>
        <w:rPr>
          <w:rFonts w:hint="eastAsia"/>
          <w:highlight w:val="black"/>
          <w:lang w:eastAsia="zh-CN"/>
        </w:rPr>
        <w:t>（3）无缝焊接：卷板之后，用埋弧焊机对接口进行无缝焊接，制成辊芯，焊接过程产生G</w:t>
      </w:r>
      <w:r>
        <w:rPr>
          <w:rFonts w:hint="eastAsia"/>
          <w:highlight w:val="black"/>
          <w:lang w:val="en-US" w:eastAsia="zh-CN"/>
        </w:rPr>
        <w:t>1-</w:t>
      </w:r>
      <w:r>
        <w:rPr>
          <w:rFonts w:hint="eastAsia"/>
          <w:highlight w:val="black"/>
          <w:lang w:eastAsia="zh-CN"/>
        </w:rPr>
        <w:t xml:space="preserve">1焊接烟尘。 </w:t>
      </w:r>
    </w:p>
    <w:p w14:paraId="2AECC0F1">
      <w:pPr>
        <w:bidi w:val="0"/>
        <w:rPr>
          <w:rFonts w:hint="eastAsia"/>
          <w:highlight w:val="black"/>
          <w:lang w:eastAsia="zh-CN"/>
        </w:rPr>
      </w:pPr>
      <w:r>
        <w:rPr>
          <w:rFonts w:hint="eastAsia"/>
          <w:highlight w:val="black"/>
          <w:lang w:eastAsia="zh-CN"/>
        </w:rPr>
        <w:t>若原料为钢管，则工艺中无卷板、焊接工序，直接将圆柱形钢管用锯床锯断或用激光切割机切割成合适长度，产生S</w:t>
      </w:r>
      <w:r>
        <w:rPr>
          <w:rFonts w:hint="eastAsia"/>
          <w:highlight w:val="black"/>
          <w:lang w:val="en-US" w:eastAsia="zh-CN"/>
        </w:rPr>
        <w:t>1-</w:t>
      </w:r>
      <w:r>
        <w:rPr>
          <w:rFonts w:hint="eastAsia"/>
          <w:highlight w:val="black"/>
          <w:lang w:eastAsia="zh-CN"/>
        </w:rPr>
        <w:t>1钢边角料和G</w:t>
      </w:r>
      <w:r>
        <w:rPr>
          <w:rFonts w:hint="eastAsia"/>
          <w:highlight w:val="black"/>
          <w:lang w:val="en-US" w:eastAsia="zh-CN"/>
        </w:rPr>
        <w:t>1-</w:t>
      </w:r>
      <w:r>
        <w:rPr>
          <w:rFonts w:hint="eastAsia"/>
          <w:highlight w:val="black"/>
          <w:lang w:eastAsia="zh-CN"/>
        </w:rPr>
        <w:t>2</w:t>
      </w:r>
      <w:r>
        <w:rPr>
          <w:rFonts w:hint="eastAsia"/>
          <w:highlight w:val="black"/>
          <w:lang w:val="en-US" w:eastAsia="zh-CN"/>
        </w:rPr>
        <w:t>切割</w:t>
      </w:r>
      <w:r>
        <w:rPr>
          <w:rFonts w:hint="eastAsia"/>
          <w:highlight w:val="black"/>
          <w:lang w:eastAsia="zh-CN"/>
        </w:rPr>
        <w:t>粉尘。</w:t>
      </w:r>
    </w:p>
    <w:p w14:paraId="42EBD78B">
      <w:pPr>
        <w:bidi w:val="0"/>
        <w:rPr>
          <w:rFonts w:hint="eastAsia"/>
          <w:highlight w:val="black"/>
          <w:lang w:eastAsia="zh-CN"/>
        </w:rPr>
      </w:pPr>
      <w:r>
        <w:rPr>
          <w:rFonts w:hint="eastAsia"/>
          <w:highlight w:val="black"/>
          <w:lang w:eastAsia="zh-CN"/>
        </w:rPr>
        <w:t>（4）校圆：人工将截断后的钢管送入自动矫直机，对钢管矫直、校圆。</w:t>
      </w:r>
    </w:p>
    <w:p w14:paraId="06991918">
      <w:pPr>
        <w:bidi w:val="0"/>
        <w:rPr>
          <w:rFonts w:hint="eastAsia"/>
          <w:highlight w:val="black"/>
          <w:lang w:eastAsia="zh-CN"/>
        </w:rPr>
      </w:pPr>
      <w:r>
        <w:rPr>
          <w:rFonts w:hint="eastAsia"/>
          <w:highlight w:val="black"/>
          <w:lang w:eastAsia="zh-CN"/>
        </w:rPr>
        <w:t>（5）堵头车、铣、拉：利用车堵机和拉床对堵头进行车、铣、拉加工，此过程产生S</w:t>
      </w:r>
      <w:r>
        <w:rPr>
          <w:rFonts w:hint="eastAsia"/>
          <w:highlight w:val="black"/>
          <w:lang w:val="en-US" w:eastAsia="zh-CN"/>
        </w:rPr>
        <w:t>1-</w:t>
      </w:r>
      <w:r>
        <w:rPr>
          <w:rFonts w:hint="eastAsia"/>
          <w:highlight w:val="black"/>
          <w:lang w:eastAsia="zh-CN"/>
        </w:rPr>
        <w:t>1钢边角料、S</w:t>
      </w:r>
      <w:r>
        <w:rPr>
          <w:rFonts w:hint="eastAsia"/>
          <w:highlight w:val="black"/>
          <w:lang w:val="en-US" w:eastAsia="zh-CN"/>
        </w:rPr>
        <w:t>1-</w:t>
      </w:r>
      <w:r>
        <w:rPr>
          <w:rFonts w:hint="eastAsia"/>
          <w:highlight w:val="black"/>
          <w:lang w:eastAsia="zh-CN"/>
        </w:rPr>
        <w:t>2废乳化液。</w:t>
      </w:r>
    </w:p>
    <w:p w14:paraId="173D639F">
      <w:pPr>
        <w:bidi w:val="0"/>
        <w:rPr>
          <w:rFonts w:hint="eastAsia"/>
          <w:highlight w:val="black"/>
          <w:lang w:eastAsia="zh-CN"/>
        </w:rPr>
      </w:pPr>
      <w:r>
        <w:rPr>
          <w:rFonts w:hint="eastAsia"/>
          <w:highlight w:val="black"/>
          <w:lang w:eastAsia="zh-CN"/>
        </w:rPr>
        <w:t>（6）端面焊接：使用双头焊机将辊筒上下两个端面焊接上堵头后便制成辊芯。此过程产生G</w:t>
      </w:r>
      <w:r>
        <w:rPr>
          <w:rFonts w:hint="eastAsia"/>
          <w:highlight w:val="black"/>
          <w:lang w:val="en-US" w:eastAsia="zh-CN"/>
        </w:rPr>
        <w:t>1-</w:t>
      </w:r>
      <w:r>
        <w:rPr>
          <w:rFonts w:hint="eastAsia"/>
          <w:highlight w:val="black"/>
          <w:lang w:eastAsia="zh-CN"/>
        </w:rPr>
        <w:t>1焊接废气。</w:t>
      </w:r>
    </w:p>
    <w:p w14:paraId="0B64DF7F">
      <w:pPr>
        <w:bidi w:val="0"/>
        <w:rPr>
          <w:rFonts w:hint="eastAsia"/>
          <w:highlight w:val="black"/>
          <w:lang w:eastAsia="zh-CN"/>
        </w:rPr>
      </w:pPr>
      <w:r>
        <w:rPr>
          <w:rFonts w:hint="eastAsia"/>
          <w:highlight w:val="black"/>
          <w:lang w:eastAsia="zh-CN"/>
        </w:rPr>
        <w:t>（7）粗加工：利用镗床设备对辊筒表面进行粗加工。此过程产生S</w:t>
      </w:r>
      <w:r>
        <w:rPr>
          <w:rFonts w:hint="eastAsia"/>
          <w:highlight w:val="black"/>
          <w:lang w:val="en-US" w:eastAsia="zh-CN"/>
        </w:rPr>
        <w:t>1-</w:t>
      </w:r>
      <w:r>
        <w:rPr>
          <w:rFonts w:hint="eastAsia"/>
          <w:highlight w:val="black"/>
          <w:lang w:eastAsia="zh-CN"/>
        </w:rPr>
        <w:t>1钢边角料（沥干沾染的乳化液后）、S</w:t>
      </w:r>
      <w:r>
        <w:rPr>
          <w:rFonts w:hint="eastAsia"/>
          <w:highlight w:val="black"/>
          <w:lang w:val="en-US" w:eastAsia="zh-CN"/>
        </w:rPr>
        <w:t>1-</w:t>
      </w:r>
      <w:r>
        <w:rPr>
          <w:rFonts w:hint="eastAsia"/>
          <w:highlight w:val="black"/>
          <w:lang w:eastAsia="zh-CN"/>
        </w:rPr>
        <w:t>2废乳化液。</w:t>
      </w:r>
    </w:p>
    <w:p w14:paraId="03010789">
      <w:pPr>
        <w:bidi w:val="0"/>
        <w:rPr>
          <w:rFonts w:hint="eastAsia"/>
          <w:highlight w:val="black"/>
          <w:lang w:eastAsia="zh-CN"/>
        </w:rPr>
      </w:pPr>
      <w:r>
        <w:rPr>
          <w:rFonts w:hint="eastAsia"/>
          <w:highlight w:val="black"/>
          <w:lang w:eastAsia="zh-CN"/>
        </w:rPr>
        <w:t>（8）精加工：利用斜床设备对辊筒表面进行精细加工，使辊筒尺寸精度更加精确。此过程产生S</w:t>
      </w:r>
      <w:r>
        <w:rPr>
          <w:rFonts w:hint="eastAsia"/>
          <w:highlight w:val="black"/>
          <w:lang w:val="en-US" w:eastAsia="zh-CN"/>
        </w:rPr>
        <w:t>1-</w:t>
      </w:r>
      <w:r>
        <w:rPr>
          <w:rFonts w:hint="eastAsia"/>
          <w:highlight w:val="black"/>
          <w:lang w:eastAsia="zh-CN"/>
        </w:rPr>
        <w:t>1钢边角料（沥干沾染的乳化液后）、S</w:t>
      </w:r>
      <w:r>
        <w:rPr>
          <w:rFonts w:hint="eastAsia"/>
          <w:highlight w:val="black"/>
          <w:lang w:val="en-US" w:eastAsia="zh-CN"/>
        </w:rPr>
        <w:t>1-</w:t>
      </w:r>
      <w:r>
        <w:rPr>
          <w:rFonts w:hint="eastAsia"/>
          <w:highlight w:val="black"/>
          <w:lang w:eastAsia="zh-CN"/>
        </w:rPr>
        <w:t>2废乳化液、少量油雾</w:t>
      </w:r>
      <w:r>
        <w:rPr>
          <w:rFonts w:hint="eastAsia"/>
          <w:highlight w:val="black"/>
          <w:lang w:val="en-US" w:eastAsia="zh-CN"/>
        </w:rPr>
        <w:t>G1-3</w:t>
      </w:r>
      <w:r>
        <w:rPr>
          <w:rFonts w:hint="eastAsia"/>
          <w:highlight w:val="black"/>
          <w:lang w:eastAsia="zh-CN"/>
        </w:rPr>
        <w:t>。</w:t>
      </w:r>
    </w:p>
    <w:p w14:paraId="5F63313F">
      <w:pPr>
        <w:bidi w:val="0"/>
        <w:rPr>
          <w:rFonts w:hint="eastAsia"/>
          <w:highlight w:val="black"/>
          <w:lang w:eastAsia="zh-CN"/>
        </w:rPr>
      </w:pPr>
      <w:r>
        <w:rPr>
          <w:rFonts w:hint="eastAsia"/>
          <w:highlight w:val="black"/>
          <w:lang w:eastAsia="zh-CN"/>
        </w:rPr>
        <w:t>本项目精加工过程水性乳化液产生的少量油雾会经设备内部自带油雾净化器净化后于车间内无组织排放。精加工设备带有外罩，运行时保持全密闭，开启时油雾通过设备内部自循环收集至底部自带的静电式油雾净化装置处理。由于设备外壳为全封闭式，自带的油雾净化装置处于设备内部，无法通过管道连接至外部排气筒，因此不得不无组织排放。</w:t>
      </w:r>
    </w:p>
    <w:p w14:paraId="14D31A24">
      <w:pPr>
        <w:bidi w:val="0"/>
        <w:rPr>
          <w:rFonts w:hint="eastAsia"/>
          <w:highlight w:val="black"/>
          <w:lang w:eastAsia="zh-CN"/>
        </w:rPr>
      </w:pPr>
      <w:r>
        <w:rPr>
          <w:rFonts w:hint="eastAsia"/>
          <w:highlight w:val="black"/>
          <w:lang w:eastAsia="zh-CN"/>
        </w:rPr>
        <w:t>当设备启动时，吸雾口会产生强大负压将弥漫在设备加工腔内的油雾定向吸入内部净化装置，油雾首先进入电离区，该区域由一系列通高压直流电的电极（不锈钢丝）组成，形成一个强电场。油雾微粒经过时被电离，带上正电荷或负电荷。带电的油雾粒子随气流进入收集区，收集区由多组平行的金属收集板（极板）构成，并施加与电离区极性相同但电压较低的直流电场，带电粒子在电场力的作用下，向极性相反的收集板运动，最终吸附在金属板上。吸附在收集板上的油雾颗粒积聚、凝聚，在自身重力作用下滴落至收集槽，收集后的废乳化液作为危废处置。静电式油雾净化装置在于其极高的净化精度，可处理直径小至0.01微米的超细微粒，净化效率可达95%以上，因此少量未净化的油雾在设备开启间隙通过车间内排放对环境影响不大。</w:t>
      </w:r>
    </w:p>
    <w:p w14:paraId="52EA48F7">
      <w:pPr>
        <w:bidi w:val="0"/>
        <w:rPr>
          <w:rFonts w:hint="eastAsia"/>
          <w:highlight w:val="black"/>
          <w:lang w:eastAsia="zh-CN"/>
        </w:rPr>
      </w:pPr>
      <w:r>
        <w:rPr>
          <w:rFonts w:hint="eastAsia"/>
          <w:highlight w:val="black"/>
          <w:lang w:eastAsia="zh-CN"/>
        </w:rPr>
        <w:t>油雾不涉及环境质量标准和无组织排放标准，因此本次评价不对油雾进行达标分析和影响预测分析。</w:t>
      </w:r>
    </w:p>
    <w:p w14:paraId="4B393734">
      <w:pPr>
        <w:bidi w:val="0"/>
        <w:rPr>
          <w:rFonts w:hint="eastAsia"/>
          <w:highlight w:val="black"/>
          <w:lang w:eastAsia="zh-CN"/>
        </w:rPr>
      </w:pPr>
      <w:r>
        <w:rPr>
          <w:rFonts w:hint="eastAsia"/>
          <w:highlight w:val="black"/>
          <w:lang w:eastAsia="zh-CN"/>
        </w:rPr>
        <w:t>（9）打号：使用打号机在辊芯边缘打印上编号，打号采用激光打标，产生G</w:t>
      </w:r>
      <w:r>
        <w:rPr>
          <w:rFonts w:hint="eastAsia"/>
          <w:highlight w:val="black"/>
          <w:lang w:val="en-US" w:eastAsia="zh-CN"/>
        </w:rPr>
        <w:t>1-4</w:t>
      </w:r>
      <w:r>
        <w:rPr>
          <w:rFonts w:hint="eastAsia"/>
          <w:highlight w:val="black"/>
          <w:lang w:eastAsia="zh-CN"/>
        </w:rPr>
        <w:t>打标粉尘。</w:t>
      </w:r>
    </w:p>
    <w:p w14:paraId="67A8350A">
      <w:pPr>
        <w:bidi w:val="0"/>
        <w:rPr>
          <w:rFonts w:hint="eastAsia"/>
          <w:highlight w:val="black"/>
          <w:lang w:eastAsia="zh-CN"/>
        </w:rPr>
      </w:pPr>
      <w:r>
        <w:rPr>
          <w:rFonts w:hint="eastAsia"/>
          <w:highlight w:val="black"/>
          <w:lang w:eastAsia="zh-CN"/>
        </w:rPr>
        <w:t>（10）动平衡校验：将加工后的辊芯放到动平衡机上进行人工操作平衡测试，如无法平衡，则将动平衡块使用激光焊机焊入辊芯内，此过程产生G1焊接烟尘。</w:t>
      </w:r>
    </w:p>
    <w:p w14:paraId="2F108171">
      <w:pPr>
        <w:bidi w:val="0"/>
        <w:rPr>
          <w:rFonts w:hint="eastAsia"/>
          <w:highlight w:val="black"/>
          <w:lang w:eastAsia="zh-CN"/>
        </w:rPr>
      </w:pPr>
      <w:r>
        <w:rPr>
          <w:rFonts w:hint="eastAsia"/>
          <w:highlight w:val="black"/>
          <w:lang w:eastAsia="zh-CN"/>
        </w:rPr>
        <w:t>项目焊接均设固定焊接工位，工位上方设吸风罩，工位三侧设围挡，罩口与围挡相连接，仅操作位留有人员进出的口。</w:t>
      </w:r>
    </w:p>
    <w:p w14:paraId="445DA778">
      <w:pPr>
        <w:bidi w:val="0"/>
        <w:rPr>
          <w:rFonts w:hint="eastAsia"/>
          <w:highlight w:val="black"/>
          <w:lang w:eastAsia="zh-CN"/>
        </w:rPr>
      </w:pPr>
      <w:r>
        <w:rPr>
          <w:rFonts w:hint="eastAsia"/>
          <w:highlight w:val="black"/>
          <w:lang w:eastAsia="zh-CN"/>
        </w:rPr>
        <w:t>（11）研磨抛光：使用钢磨机对辊芯表面进行打磨，使表面光滑无毛刺。此过程研磨抛光使用自来水水磨，含金属颗粒物的水经机加工研磨水处理装置（工艺：一级沉淀、絮凝沉淀、压滤）过滤后，清水回用于研磨过程，压滤产生S</w:t>
      </w:r>
      <w:r>
        <w:rPr>
          <w:rFonts w:hint="eastAsia"/>
          <w:highlight w:val="black"/>
          <w:lang w:val="en-US" w:eastAsia="zh-CN"/>
        </w:rPr>
        <w:t>1-</w:t>
      </w:r>
      <w:r>
        <w:rPr>
          <w:rFonts w:hint="eastAsia"/>
          <w:highlight w:val="black"/>
          <w:lang w:eastAsia="zh-CN"/>
        </w:rPr>
        <w:t>3铁泥。研磨水循环使用，定期向研磨抛光槽中补充自来水。</w:t>
      </w:r>
    </w:p>
    <w:p w14:paraId="2C04517F">
      <w:pPr>
        <w:bidi w:val="0"/>
        <w:rPr>
          <w:rFonts w:hint="eastAsia"/>
          <w:highlight w:val="black"/>
          <w:lang w:eastAsia="zh-CN"/>
        </w:rPr>
      </w:pPr>
      <w:r>
        <w:rPr>
          <w:rFonts w:hint="eastAsia"/>
          <w:highlight w:val="black"/>
          <w:lang w:eastAsia="zh-CN"/>
        </w:rPr>
        <w:t>（12）物理检验：人工检验辊芯的光泽度，完成基底辊筒的制作。</w:t>
      </w:r>
    </w:p>
    <w:p w14:paraId="79540342">
      <w:pPr>
        <w:bidi w:val="0"/>
        <w:rPr>
          <w:rFonts w:hint="eastAsia"/>
          <w:highlight w:val="black"/>
          <w:lang w:eastAsia="zh-CN"/>
        </w:rPr>
      </w:pPr>
      <w:r>
        <w:rPr>
          <w:rFonts w:hint="eastAsia"/>
          <w:highlight w:val="black"/>
          <w:lang w:eastAsia="zh-CN"/>
        </w:rPr>
        <w:t>（13）清洗：在清洗槽中自动使用浓水（由纯水制备后产生）对辊芯进行清洗，清洗操作时间约3min，此过程产生W</w:t>
      </w:r>
      <w:r>
        <w:rPr>
          <w:rFonts w:hint="eastAsia"/>
          <w:highlight w:val="black"/>
          <w:lang w:val="en-US" w:eastAsia="zh-CN"/>
        </w:rPr>
        <w:t>1-</w:t>
      </w:r>
      <w:r>
        <w:rPr>
          <w:rFonts w:hint="eastAsia"/>
          <w:highlight w:val="black"/>
          <w:lang w:eastAsia="zh-CN"/>
        </w:rPr>
        <w:t>1清洗废水。</w:t>
      </w:r>
    </w:p>
    <w:p w14:paraId="226A3E37">
      <w:pPr>
        <w:bidi w:val="0"/>
        <w:rPr>
          <w:rFonts w:hint="eastAsia"/>
          <w:highlight w:val="black"/>
          <w:lang w:eastAsia="zh-CN"/>
        </w:rPr>
      </w:pPr>
      <w:r>
        <w:rPr>
          <w:rFonts w:hint="eastAsia"/>
          <w:highlight w:val="black"/>
          <w:lang w:eastAsia="zh-CN"/>
        </w:rPr>
        <w:t>（14）脱脂1：使用碱性脱脂液（采用氢氧化钠和纯水混合后的溶液）和金属清洗剂对辊芯进行电解脱脂，去除表面粘附的油脂，脱脂是利用氢氧化钠和油脂反应生产溶于水的肥皂（皂化反应）从而去除油脂，脱脂时间约20min，脱脂温度50~60℃。脱脂过程槽液中氢氧化钠会随着水蒸气跑出，产生G</w:t>
      </w:r>
      <w:r>
        <w:rPr>
          <w:rFonts w:hint="eastAsia"/>
          <w:highlight w:val="black"/>
          <w:lang w:val="en-US" w:eastAsia="zh-CN"/>
        </w:rPr>
        <w:t>1-5</w:t>
      </w:r>
      <w:r>
        <w:rPr>
          <w:rFonts w:hint="eastAsia"/>
          <w:highlight w:val="black"/>
          <w:lang w:eastAsia="zh-CN"/>
        </w:rPr>
        <w:t>脱脂废气；同时碱性脱脂槽液定期更换产生W</w:t>
      </w:r>
      <w:r>
        <w:rPr>
          <w:rFonts w:hint="eastAsia"/>
          <w:highlight w:val="black"/>
          <w:lang w:val="en-US" w:eastAsia="zh-CN"/>
        </w:rPr>
        <w:t>1-</w:t>
      </w:r>
      <w:r>
        <w:rPr>
          <w:rFonts w:hint="eastAsia"/>
          <w:highlight w:val="black"/>
          <w:lang w:eastAsia="zh-CN"/>
        </w:rPr>
        <w:t>2碱性废水。</w:t>
      </w:r>
    </w:p>
    <w:p w14:paraId="126AC5A2">
      <w:pPr>
        <w:bidi w:val="0"/>
        <w:rPr>
          <w:rFonts w:hint="eastAsia"/>
          <w:highlight w:val="black"/>
          <w:lang w:eastAsia="zh-CN"/>
        </w:rPr>
      </w:pPr>
      <w:r>
        <w:rPr>
          <w:rFonts w:hint="eastAsia"/>
          <w:highlight w:val="black"/>
          <w:lang w:eastAsia="zh-CN"/>
        </w:rPr>
        <w:t>（15）槽内清洗1：脱脂槽为上下槽，脱脂结束后，脱脂液进入下槽，然后在上槽使用纯水对辊芯进行冲洗，去除表面粘附的油脂、杂质和脱脂液等。此过程产生W</w:t>
      </w:r>
      <w:r>
        <w:rPr>
          <w:rFonts w:hint="eastAsia"/>
          <w:highlight w:val="black"/>
          <w:lang w:val="en-US" w:eastAsia="zh-CN"/>
        </w:rPr>
        <w:t>1-</w:t>
      </w:r>
      <w:r>
        <w:rPr>
          <w:rFonts w:hint="eastAsia"/>
          <w:highlight w:val="black"/>
          <w:lang w:eastAsia="zh-CN"/>
        </w:rPr>
        <w:t>1清洗废水。</w:t>
      </w:r>
    </w:p>
    <w:p w14:paraId="47CCC693">
      <w:pPr>
        <w:bidi w:val="0"/>
        <w:rPr>
          <w:rFonts w:hint="eastAsia"/>
          <w:highlight w:val="black"/>
          <w:lang w:eastAsia="zh-CN"/>
        </w:rPr>
      </w:pPr>
      <w:r>
        <w:rPr>
          <w:rFonts w:hint="eastAsia"/>
          <w:highlight w:val="black"/>
          <w:lang w:eastAsia="zh-CN"/>
        </w:rPr>
        <w:t>（16）镀碱铜</w:t>
      </w:r>
    </w:p>
    <w:p w14:paraId="064B29CA">
      <w:pPr>
        <w:bidi w:val="0"/>
        <w:rPr>
          <w:rFonts w:hint="eastAsia"/>
          <w:highlight w:val="black"/>
          <w:lang w:eastAsia="zh-CN"/>
        </w:rPr>
      </w:pPr>
      <w:r>
        <w:rPr>
          <w:rFonts w:hint="eastAsia"/>
          <w:highlight w:val="black"/>
          <w:lang w:eastAsia="zh-CN"/>
        </w:rPr>
        <w:t>为了满足版辊印刷要求，凹印版辊芯外围需要镀上碱铜层，镀碱铜的目的主要是防止铁置换铜，使铜层能够与辊芯结合牢固。项目采用无氰碱铜工艺，使用碱铜</w:t>
      </w:r>
      <w:r>
        <w:rPr>
          <w:rFonts w:hint="eastAsia"/>
          <w:highlight w:val="black"/>
          <w:lang w:val="en-US" w:eastAsia="zh-CN"/>
        </w:rPr>
        <w:t>排</w:t>
      </w:r>
      <w:r>
        <w:rPr>
          <w:rFonts w:hint="eastAsia"/>
          <w:highlight w:val="black"/>
          <w:lang w:eastAsia="zh-CN"/>
        </w:rPr>
        <w:t>、碱铜添加剂（主要成分为KOH），碱铜主要用于提供镀液中必须的金属离子，碱铜添加剂主要用于调节pH。</w:t>
      </w:r>
    </w:p>
    <w:p w14:paraId="66E6A487">
      <w:pPr>
        <w:bidi w:val="0"/>
        <w:rPr>
          <w:rFonts w:hint="eastAsia"/>
          <w:highlight w:val="black"/>
          <w:lang w:eastAsia="zh-CN"/>
        </w:rPr>
      </w:pPr>
      <w:r>
        <w:rPr>
          <w:rFonts w:hint="eastAsia"/>
          <w:highlight w:val="black"/>
          <w:lang w:eastAsia="zh-CN"/>
        </w:rPr>
        <w:t>碱铜槽温49±1℃，镀液中铜离子含量6-8g/L、钾离子含量15-20g/ L，OH-离子含量15-20g/ L，镀碱铜时间约6~7min，镀层厚度6μm。</w:t>
      </w:r>
    </w:p>
    <w:p w14:paraId="77219717">
      <w:pPr>
        <w:bidi w:val="0"/>
        <w:rPr>
          <w:rFonts w:hint="eastAsia"/>
          <w:highlight w:val="black"/>
          <w:lang w:eastAsia="zh-CN"/>
        </w:rPr>
      </w:pPr>
      <w:r>
        <w:rPr>
          <w:rFonts w:hint="eastAsia"/>
          <w:highlight w:val="black"/>
          <w:lang w:eastAsia="zh-CN"/>
        </w:rPr>
        <w:t>（17）槽内清洗2：碱铜槽为上下槽，镀碱铜之后，电镀液进入下槽，在上槽用纯水对版辊进行彻底冲洗以达到下一步工序要求的版辊洁净度，冲洗完之后版辊被取出镀槽，进入下一道镀铜。镀碱铜槽内清洗后</w:t>
      </w:r>
      <w:r>
        <w:rPr>
          <w:rFonts w:hint="eastAsia"/>
          <w:highlight w:val="black"/>
          <w:lang w:val="en-US" w:eastAsia="zh-CN"/>
        </w:rPr>
        <w:t>部分补充镀液，其余</w:t>
      </w:r>
      <w:r>
        <w:rPr>
          <w:rFonts w:hint="eastAsia"/>
          <w:highlight w:val="black"/>
          <w:lang w:eastAsia="zh-CN"/>
        </w:rPr>
        <w:t>产生W</w:t>
      </w:r>
      <w:r>
        <w:rPr>
          <w:rFonts w:hint="eastAsia"/>
          <w:highlight w:val="black"/>
          <w:lang w:val="en-US" w:eastAsia="zh-CN"/>
        </w:rPr>
        <w:t>1-</w:t>
      </w:r>
      <w:r>
        <w:rPr>
          <w:rFonts w:hint="eastAsia"/>
          <w:highlight w:val="black"/>
          <w:lang w:eastAsia="zh-CN"/>
        </w:rPr>
        <w:t>3含铜废水。</w:t>
      </w:r>
    </w:p>
    <w:p w14:paraId="3F1D1D2F">
      <w:pPr>
        <w:bidi w:val="0"/>
        <w:rPr>
          <w:rFonts w:hint="eastAsia"/>
          <w:highlight w:val="black"/>
          <w:lang w:eastAsia="zh-CN"/>
        </w:rPr>
      </w:pPr>
      <w:r>
        <w:rPr>
          <w:rFonts w:hint="eastAsia"/>
          <w:highlight w:val="black"/>
          <w:lang w:eastAsia="zh-CN"/>
        </w:rPr>
        <w:t>镀槽内的电镀液长期使用后会积累较多杂质，这些杂质会影响电镀的质量，因此平均每隔一个月左右，槽内电镀液将会被抽出经设备自带过滤器过滤净化后再回到电镀槽内。过滤器饱和后的S</w:t>
      </w:r>
      <w:r>
        <w:rPr>
          <w:rFonts w:hint="eastAsia"/>
          <w:highlight w:val="black"/>
          <w:lang w:val="en-US" w:eastAsia="zh-CN"/>
        </w:rPr>
        <w:t>1-</w:t>
      </w:r>
      <w:r>
        <w:rPr>
          <w:rFonts w:hint="eastAsia"/>
          <w:highlight w:val="black"/>
          <w:lang w:eastAsia="zh-CN"/>
        </w:rPr>
        <w:t>5废过滤芯将作为危废处置。在长时间使用后，因为累积杂质浓度过高，即使进行过滤镀液仍可能会残留有较多杂质，这时将会对电镀液进行部分更换。槽底沉积物较多的部分会被抽出，形成S</w:t>
      </w:r>
      <w:r>
        <w:rPr>
          <w:rFonts w:hint="eastAsia"/>
          <w:highlight w:val="black"/>
          <w:lang w:val="en-US" w:eastAsia="zh-CN"/>
        </w:rPr>
        <w:t>1-</w:t>
      </w:r>
      <w:r>
        <w:rPr>
          <w:rFonts w:hint="eastAsia"/>
          <w:highlight w:val="black"/>
          <w:lang w:eastAsia="zh-CN"/>
        </w:rPr>
        <w:t>4镀铜槽渣作危废处置。</w:t>
      </w:r>
    </w:p>
    <w:p w14:paraId="309845A1">
      <w:pPr>
        <w:bidi w:val="0"/>
        <w:rPr>
          <w:rFonts w:hint="eastAsia"/>
          <w:highlight w:val="black"/>
          <w:lang w:eastAsia="zh-CN"/>
        </w:rPr>
      </w:pPr>
      <w:r>
        <w:rPr>
          <w:rFonts w:hint="eastAsia"/>
          <w:highlight w:val="black"/>
          <w:lang w:eastAsia="zh-CN"/>
        </w:rPr>
        <w:t>（18）镀铜：辊芯进入镀铜槽镀酸铜。镀铜温度为40±2℃，镀铜时间约为15~20min，镀层厚度48-71μm；镀铜使用原料为铜球、硫酸、盐酸和镀铜添加剂（主要成分为表面活性剂、有机酸盐、无机酸盐、水等），硫酸铜200-250g/L、硫酸55-65g/L，盐酸含量为80-120mg/L；以磷铜球作为阳极，并提供镀液中金属离子，硫酸主要防治铜盐水解，提高溶液导电能力，提高阴极极化的作用；盐酸中的氯离子可降低光亮剂夹杂在镀铜层中引起的内应力，有利于提高铜层的延展性能，在酸性镀铜中扮演着不可或缺的角色；镀铜添加剂主要作用为镀层整平、增加光亮、增加硬度等。</w:t>
      </w:r>
    </w:p>
    <w:p w14:paraId="47B58224">
      <w:pPr>
        <w:bidi w:val="0"/>
        <w:rPr>
          <w:rFonts w:hint="eastAsia"/>
          <w:highlight w:val="black"/>
          <w:lang w:eastAsia="zh-CN"/>
        </w:rPr>
      </w:pPr>
      <w:r>
        <w:rPr>
          <w:rFonts w:hint="eastAsia"/>
          <w:highlight w:val="black"/>
          <w:lang w:eastAsia="zh-CN"/>
        </w:rPr>
        <w:t>镀铜方式同样采用浸入式，版辊上镀铜液的冲洗回收、镀铜液的净化方式同镀碱铜溶液。该工序产生G</w:t>
      </w:r>
      <w:r>
        <w:rPr>
          <w:rFonts w:hint="eastAsia"/>
          <w:highlight w:val="black"/>
          <w:lang w:val="en-US" w:eastAsia="zh-CN"/>
        </w:rPr>
        <w:t>1-</w:t>
      </w:r>
      <w:r>
        <w:rPr>
          <w:rFonts w:hint="eastAsia"/>
          <w:highlight w:val="black"/>
          <w:lang w:eastAsia="zh-CN"/>
        </w:rPr>
        <w:t>6镀铜废气。</w:t>
      </w:r>
    </w:p>
    <w:p w14:paraId="052D89C6">
      <w:pPr>
        <w:bidi w:val="0"/>
        <w:rPr>
          <w:highlight w:val="black"/>
        </w:rPr>
      </w:pPr>
      <w:r>
        <w:rPr>
          <w:rFonts w:hint="eastAsia"/>
          <w:highlight w:val="black"/>
          <w:lang w:eastAsia="zh-CN"/>
        </w:rPr>
        <w:t>镀铜过程产生一价铜，会影响镀层质量，镀液中添加的氯离子可与镀液中的一价铜生成不溶于水的氯化铜而消除一价铜的影响，同时，还会在镀液中添加少量双氧水，可以将一价铜氧化为二价铜，降低一价铜含量。</w:t>
      </w:r>
    </w:p>
    <w:p w14:paraId="356CBEF5">
      <w:pPr>
        <w:bidi w:val="0"/>
        <w:rPr>
          <w:rFonts w:hint="eastAsia"/>
          <w:highlight w:val="black"/>
          <w:lang w:eastAsia="zh-CN"/>
        </w:rPr>
      </w:pPr>
      <w:r>
        <w:rPr>
          <w:rFonts w:hint="eastAsia"/>
          <w:highlight w:val="black"/>
          <w:lang w:eastAsia="zh-CN"/>
        </w:rPr>
        <w:t>（</w:t>
      </w:r>
      <w:r>
        <w:rPr>
          <w:rFonts w:hint="eastAsia"/>
          <w:highlight w:val="black"/>
          <w:lang w:val="en-US" w:eastAsia="zh-CN"/>
        </w:rPr>
        <w:t>19</w:t>
      </w:r>
      <w:r>
        <w:rPr>
          <w:rFonts w:hint="eastAsia"/>
          <w:highlight w:val="black"/>
          <w:lang w:eastAsia="zh-CN"/>
        </w:rPr>
        <w:t>）</w:t>
      </w:r>
      <w:r>
        <w:rPr>
          <w:rFonts w:hint="eastAsia" w:eastAsia="仿宋_GB2312"/>
          <w:highlight w:val="black"/>
          <w:lang w:eastAsia="zh-CN"/>
        </w:rPr>
        <w:t>槽内清洗</w:t>
      </w:r>
      <w:r>
        <w:rPr>
          <w:rFonts w:hint="eastAsia"/>
          <w:highlight w:val="black"/>
          <w:lang w:val="en-US" w:eastAsia="zh-CN"/>
        </w:rPr>
        <w:t>3</w:t>
      </w:r>
      <w:r>
        <w:rPr>
          <w:rFonts w:hint="eastAsia" w:eastAsia="仿宋_GB2312"/>
          <w:highlight w:val="black"/>
          <w:lang w:eastAsia="zh-CN"/>
        </w:rPr>
        <w:t>：铜槽为上下槽，镀铜之后，电镀液进入下槽，在上槽用纯水对版辊进行彻底冲洗以达到下一步工序要求的版辊洁净度，冲洗完之后版辊被取出镀槽，进入下一道。镀铜槽内清洗后</w:t>
      </w:r>
      <w:r>
        <w:rPr>
          <w:rFonts w:hint="eastAsia" w:eastAsia="仿宋_GB2312"/>
          <w:highlight w:val="black"/>
          <w:lang w:val="en-US" w:eastAsia="zh-CN"/>
        </w:rPr>
        <w:t>部分补充镀液，其余</w:t>
      </w:r>
      <w:r>
        <w:rPr>
          <w:rFonts w:hint="eastAsia" w:eastAsia="仿宋_GB2312"/>
          <w:highlight w:val="black"/>
          <w:lang w:eastAsia="zh-CN"/>
        </w:rPr>
        <w:t>产生W</w:t>
      </w:r>
      <w:r>
        <w:rPr>
          <w:rFonts w:hint="eastAsia" w:ascii="Times New Roman" w:eastAsia="仿宋_GB2312"/>
          <w:highlight w:val="black"/>
          <w:lang w:val="en-US" w:eastAsia="zh-CN"/>
        </w:rPr>
        <w:t>1-</w:t>
      </w:r>
      <w:r>
        <w:rPr>
          <w:rFonts w:hint="eastAsia" w:eastAsia="仿宋_GB2312"/>
          <w:highlight w:val="black"/>
          <w:lang w:eastAsia="zh-CN"/>
        </w:rPr>
        <w:t>3含铜废水。</w:t>
      </w:r>
    </w:p>
    <w:p w14:paraId="4835BF58">
      <w:pPr>
        <w:bidi w:val="0"/>
        <w:rPr>
          <w:rFonts w:hint="eastAsia" w:eastAsia="仿宋_GB2312"/>
          <w:highlight w:val="black"/>
          <w:lang w:eastAsia="zh-CN"/>
        </w:rPr>
      </w:pPr>
      <w:r>
        <w:rPr>
          <w:rFonts w:hint="eastAsia" w:eastAsia="仿宋_GB2312"/>
          <w:highlight w:val="black"/>
          <w:lang w:eastAsia="zh-CN"/>
        </w:rPr>
        <w:t>镀槽内的电镀液长期使用后会积累较多杂质，这些杂质会影响电镀的质量，因此平均每隔一个月左右，槽内电镀液将会被抽出经设备自带过滤器过滤净化后再回到电镀槽内。过滤器饱和后的S</w:t>
      </w:r>
      <w:r>
        <w:rPr>
          <w:rFonts w:hint="eastAsia" w:ascii="Times New Roman" w:eastAsia="仿宋_GB2312"/>
          <w:highlight w:val="black"/>
          <w:lang w:val="en-US" w:eastAsia="zh-CN"/>
        </w:rPr>
        <w:t>1-</w:t>
      </w:r>
      <w:r>
        <w:rPr>
          <w:rFonts w:hint="eastAsia" w:eastAsia="仿宋_GB2312"/>
          <w:highlight w:val="black"/>
          <w:lang w:eastAsia="zh-CN"/>
        </w:rPr>
        <w:t>5废过滤芯将作为危废处置。在长时间使用后，因为累积杂质浓度过高，即使进行过滤镀液仍可能会残留有较多杂质，这时将会对电镀液进行部分更换。槽底沉积物较多的部分会被抽出，形成S</w:t>
      </w:r>
      <w:r>
        <w:rPr>
          <w:rFonts w:hint="eastAsia" w:ascii="Times New Roman" w:eastAsia="仿宋_GB2312"/>
          <w:highlight w:val="black"/>
          <w:lang w:val="en-US" w:eastAsia="zh-CN"/>
        </w:rPr>
        <w:t>1-</w:t>
      </w:r>
      <w:r>
        <w:rPr>
          <w:rFonts w:hint="eastAsia" w:eastAsia="仿宋_GB2312"/>
          <w:highlight w:val="black"/>
          <w:lang w:eastAsia="zh-CN"/>
        </w:rPr>
        <w:t>4镀铜槽渣作危废处置。</w:t>
      </w:r>
    </w:p>
    <w:p w14:paraId="6F3E5814">
      <w:pPr>
        <w:bidi w:val="0"/>
        <w:rPr>
          <w:rFonts w:hint="eastAsia"/>
          <w:highlight w:val="black"/>
          <w:lang w:eastAsia="zh-CN"/>
        </w:rPr>
      </w:pPr>
      <w:r>
        <w:rPr>
          <w:rFonts w:hint="eastAsia"/>
          <w:highlight w:val="black"/>
          <w:lang w:eastAsia="zh-CN"/>
        </w:rPr>
        <w:t>（</w:t>
      </w:r>
      <w:r>
        <w:rPr>
          <w:rFonts w:hint="eastAsia"/>
          <w:highlight w:val="black"/>
          <w:lang w:val="en-US" w:eastAsia="zh-CN"/>
        </w:rPr>
        <w:t>20</w:t>
      </w:r>
      <w:r>
        <w:rPr>
          <w:rFonts w:hint="eastAsia"/>
          <w:highlight w:val="black"/>
          <w:lang w:eastAsia="zh-CN"/>
        </w:rPr>
        <w:t>）铜辊研磨：将完成镀铜的辊件吊入铜研磨机中，对辊件进行湿式研磨磨掉多余的铜层，使之达到尺寸要求并使铜层表面更加平整光滑，保证钢辊表层光滑度适于电子雕刻工艺顺利进行，研磨时间约20min。项目研磨过程采用喷水法，使用自来水，不使用其他化学用品。研磨水经一套“含铜研磨抛光水过滤装置”过滤处理后，清水回用于铜研磨，压滤机压滤后产生S</w:t>
      </w:r>
      <w:r>
        <w:rPr>
          <w:rFonts w:hint="eastAsia"/>
          <w:highlight w:val="black"/>
          <w:lang w:val="en-US" w:eastAsia="zh-CN"/>
        </w:rPr>
        <w:t>1-</w:t>
      </w:r>
      <w:r>
        <w:rPr>
          <w:rFonts w:hint="eastAsia"/>
          <w:highlight w:val="black"/>
          <w:lang w:eastAsia="zh-CN"/>
        </w:rPr>
        <w:t>6铜泥。该研磨清洗水含少量铜离子，残存的铜离子对版辊电子雕刻不产生影响，因此该部分水经过滤后可以回用于铜研磨，随着回用次数的增加，该部分水中铜离子含量增加，满负荷工况下每日更换一次，产生W</w:t>
      </w:r>
      <w:r>
        <w:rPr>
          <w:rFonts w:hint="eastAsia"/>
          <w:highlight w:val="black"/>
          <w:lang w:val="en-US" w:eastAsia="zh-CN"/>
        </w:rPr>
        <w:t>1-</w:t>
      </w:r>
      <w:r>
        <w:rPr>
          <w:rFonts w:hint="eastAsia"/>
          <w:highlight w:val="black"/>
          <w:lang w:eastAsia="zh-CN"/>
        </w:rPr>
        <w:t>3含铜废水。</w:t>
      </w:r>
    </w:p>
    <w:p w14:paraId="6F937897">
      <w:pPr>
        <w:bidi w:val="0"/>
        <w:rPr>
          <w:rFonts w:hint="eastAsia"/>
          <w:highlight w:val="black"/>
          <w:lang w:eastAsia="zh-CN"/>
        </w:rPr>
      </w:pPr>
      <w:r>
        <w:rPr>
          <w:rFonts w:hint="eastAsia"/>
          <w:highlight w:val="black"/>
          <w:lang w:eastAsia="zh-CN"/>
        </w:rPr>
        <w:t>（2</w:t>
      </w:r>
      <w:r>
        <w:rPr>
          <w:rFonts w:hint="eastAsia"/>
          <w:highlight w:val="black"/>
          <w:lang w:val="en-US" w:eastAsia="zh-CN"/>
        </w:rPr>
        <w:t>1</w:t>
      </w:r>
      <w:r>
        <w:rPr>
          <w:rFonts w:hint="eastAsia"/>
          <w:highlight w:val="black"/>
          <w:lang w:eastAsia="zh-CN"/>
        </w:rPr>
        <w:t>）镜面检验：使用验点机检验辊筒表面的光泽度。</w:t>
      </w:r>
    </w:p>
    <w:p w14:paraId="5AE2458C">
      <w:pPr>
        <w:bidi w:val="0"/>
        <w:rPr>
          <w:rFonts w:hint="eastAsia"/>
          <w:highlight w:val="black"/>
          <w:lang w:eastAsia="zh-CN"/>
        </w:rPr>
      </w:pPr>
      <w:r>
        <w:rPr>
          <w:rFonts w:hint="eastAsia"/>
          <w:highlight w:val="black"/>
          <w:lang w:eastAsia="zh-CN"/>
        </w:rPr>
        <w:t>（2</w:t>
      </w:r>
      <w:r>
        <w:rPr>
          <w:rFonts w:hint="eastAsia"/>
          <w:highlight w:val="black"/>
          <w:lang w:val="en-US" w:eastAsia="zh-CN"/>
        </w:rPr>
        <w:t>2</w:t>
      </w:r>
      <w:r>
        <w:rPr>
          <w:rFonts w:hint="eastAsia"/>
          <w:highlight w:val="black"/>
          <w:lang w:eastAsia="zh-CN"/>
        </w:rPr>
        <w:t>）纯水擦拭：采用人工方式用纯水对版辊表面进行擦拭，去除表面的污渍，产生S</w:t>
      </w:r>
      <w:r>
        <w:rPr>
          <w:rFonts w:hint="eastAsia"/>
          <w:highlight w:val="black"/>
          <w:lang w:val="en-US" w:eastAsia="zh-CN"/>
        </w:rPr>
        <w:t>1-</w:t>
      </w:r>
      <w:r>
        <w:rPr>
          <w:rFonts w:hint="eastAsia"/>
          <w:highlight w:val="black"/>
          <w:lang w:eastAsia="zh-CN"/>
        </w:rPr>
        <w:t>7擦拭废纸。</w:t>
      </w:r>
    </w:p>
    <w:p w14:paraId="38A8850A">
      <w:pPr>
        <w:bidi w:val="0"/>
        <w:rPr>
          <w:rFonts w:hint="eastAsia"/>
          <w:highlight w:val="black"/>
          <w:lang w:eastAsia="zh-CN"/>
        </w:rPr>
      </w:pPr>
      <w:r>
        <w:rPr>
          <w:rFonts w:hint="eastAsia"/>
          <w:highlight w:val="black"/>
          <w:lang w:eastAsia="zh-CN"/>
        </w:rPr>
        <w:t>（2</w:t>
      </w:r>
      <w:r>
        <w:rPr>
          <w:rFonts w:hint="eastAsia"/>
          <w:highlight w:val="black"/>
          <w:lang w:val="en-US" w:eastAsia="zh-CN"/>
        </w:rPr>
        <w:t>3</w:t>
      </w:r>
      <w:r>
        <w:rPr>
          <w:rFonts w:hint="eastAsia"/>
          <w:highlight w:val="black"/>
          <w:lang w:eastAsia="zh-CN"/>
        </w:rPr>
        <w:t>）电子雕刻：电子雕刻按客户的要求在版辊上利用电子回路的雕刻机在辊筒镀铜层表面直接雕刻出网点，制成凹版。按照原稿的深浅层次，电子雕刻机的扫描头把它转换成大小不同的电信号，通过钻石刻针振动的强弱不同，在辊筒表面雕刻出深浅不同的网点。电子雕刻过程中会产生少量的S</w:t>
      </w:r>
      <w:r>
        <w:rPr>
          <w:rFonts w:hint="eastAsia"/>
          <w:highlight w:val="black"/>
          <w:lang w:val="en-US" w:eastAsia="zh-CN"/>
        </w:rPr>
        <w:t>1-</w:t>
      </w:r>
      <w:r>
        <w:rPr>
          <w:rFonts w:hint="eastAsia"/>
          <w:highlight w:val="black"/>
          <w:lang w:eastAsia="zh-CN"/>
        </w:rPr>
        <w:t>8废金属屑，电子雕刻在全封闭的雕刻仪器内进行，收集的废金属屑作为一般工业固体废物处置。</w:t>
      </w:r>
    </w:p>
    <w:p w14:paraId="5A03CC1F">
      <w:pPr>
        <w:bidi w:val="0"/>
        <w:rPr>
          <w:rFonts w:hint="eastAsia"/>
          <w:highlight w:val="black"/>
          <w:lang w:eastAsia="zh-CN"/>
        </w:rPr>
      </w:pPr>
      <w:r>
        <w:rPr>
          <w:rFonts w:hint="eastAsia"/>
          <w:highlight w:val="black"/>
          <w:lang w:eastAsia="zh-CN"/>
        </w:rPr>
        <w:t>（2</w:t>
      </w:r>
      <w:r>
        <w:rPr>
          <w:rFonts w:hint="eastAsia"/>
          <w:highlight w:val="black"/>
          <w:lang w:val="en-US" w:eastAsia="zh-CN"/>
        </w:rPr>
        <w:t>4</w:t>
      </w:r>
      <w:r>
        <w:rPr>
          <w:rFonts w:hint="eastAsia"/>
          <w:highlight w:val="black"/>
          <w:lang w:eastAsia="zh-CN"/>
        </w:rPr>
        <w:t>）脱脂2：镀铬前先使用碱性脱脂液（主要成分为NaOH和纯水）对辊芯进行电解脱脂，脱脂温度50~60℃，脱脂时间约200s。脱脂液循环使用，定期更换产生W1</w:t>
      </w:r>
      <w:r>
        <w:rPr>
          <w:rFonts w:hint="eastAsia"/>
          <w:highlight w:val="black"/>
          <w:lang w:val="en-US" w:eastAsia="zh-CN"/>
        </w:rPr>
        <w:t>-1</w:t>
      </w:r>
      <w:r>
        <w:rPr>
          <w:rFonts w:hint="eastAsia"/>
          <w:highlight w:val="black"/>
          <w:lang w:eastAsia="zh-CN"/>
        </w:rPr>
        <w:t>脱脂废水。</w:t>
      </w:r>
    </w:p>
    <w:p w14:paraId="13945525">
      <w:pPr>
        <w:bidi w:val="0"/>
        <w:rPr>
          <w:rFonts w:hint="eastAsia"/>
          <w:highlight w:val="black"/>
          <w:lang w:eastAsia="zh-CN"/>
        </w:rPr>
      </w:pPr>
      <w:r>
        <w:rPr>
          <w:rFonts w:hint="eastAsia"/>
          <w:highlight w:val="black"/>
          <w:lang w:eastAsia="zh-CN"/>
        </w:rPr>
        <w:t>（2</w:t>
      </w:r>
      <w:r>
        <w:rPr>
          <w:rFonts w:hint="eastAsia"/>
          <w:highlight w:val="black"/>
          <w:lang w:val="en-US" w:eastAsia="zh-CN"/>
        </w:rPr>
        <w:t>5</w:t>
      </w:r>
      <w:r>
        <w:rPr>
          <w:rFonts w:hint="eastAsia"/>
          <w:highlight w:val="black"/>
          <w:lang w:eastAsia="zh-CN"/>
        </w:rPr>
        <w:t>）槽内清洗</w:t>
      </w:r>
      <w:r>
        <w:rPr>
          <w:rFonts w:hint="eastAsia"/>
          <w:highlight w:val="black"/>
          <w:lang w:val="en-US" w:eastAsia="zh-CN"/>
        </w:rPr>
        <w:t>4</w:t>
      </w:r>
      <w:r>
        <w:rPr>
          <w:rFonts w:hint="eastAsia"/>
          <w:highlight w:val="black"/>
          <w:lang w:eastAsia="zh-CN"/>
        </w:rPr>
        <w:t>：脱脂槽为上下槽，脱脂结束后，脱脂液进入下槽，然后在上槽使用纯水对辊芯进行冲洗，去除表面粘附的油脂、杂质和脱脂液等。此过程产生W1</w:t>
      </w:r>
      <w:r>
        <w:rPr>
          <w:rFonts w:hint="eastAsia"/>
          <w:highlight w:val="black"/>
          <w:lang w:val="en-US" w:eastAsia="zh-CN"/>
        </w:rPr>
        <w:t>-1</w:t>
      </w:r>
      <w:r>
        <w:rPr>
          <w:rFonts w:hint="eastAsia"/>
          <w:highlight w:val="black"/>
          <w:lang w:eastAsia="zh-CN"/>
        </w:rPr>
        <w:t>清洗废水。</w:t>
      </w:r>
    </w:p>
    <w:p w14:paraId="6946BE2A">
      <w:pPr>
        <w:bidi w:val="0"/>
        <w:rPr>
          <w:rFonts w:hint="eastAsia"/>
          <w:highlight w:val="black"/>
          <w:lang w:eastAsia="zh-CN"/>
        </w:rPr>
      </w:pPr>
      <w:r>
        <w:rPr>
          <w:rFonts w:hint="eastAsia"/>
          <w:highlight w:val="black"/>
          <w:lang w:eastAsia="zh-CN"/>
        </w:rPr>
        <w:t>（2</w:t>
      </w:r>
      <w:r>
        <w:rPr>
          <w:rFonts w:hint="eastAsia"/>
          <w:highlight w:val="black"/>
          <w:lang w:val="en-US" w:eastAsia="zh-CN"/>
        </w:rPr>
        <w:t>6</w:t>
      </w:r>
      <w:r>
        <w:rPr>
          <w:rFonts w:hint="eastAsia"/>
          <w:highlight w:val="black"/>
          <w:lang w:eastAsia="zh-CN"/>
        </w:rPr>
        <w:t>）镀铬：项目采用镀硬铬工艺，铬层具有高硬度和低摩擦性，可以保护镀铜层和提高版辊的耐印率。镀铬以铬酐、硫酸、镀铬添加剂（主要成分为甲基磺酸钠、水）、铬雾抑制剂（主要成分为十三氟辛磺酸）为原料在镀铬槽中镀铬。镀铬温度为</w:t>
      </w:r>
      <w:r>
        <w:rPr>
          <w:rFonts w:hint="eastAsia"/>
          <w:highlight w:val="black"/>
          <w:lang w:val="en-US" w:eastAsia="zh-CN"/>
        </w:rPr>
        <w:t>58-60</w:t>
      </w:r>
      <w:r>
        <w:rPr>
          <w:rFonts w:hint="eastAsia"/>
          <w:highlight w:val="black"/>
          <w:lang w:eastAsia="zh-CN"/>
        </w:rPr>
        <w:t>℃，镀铬时间约为6~7min；铬酐200-280g/L、硫酸2.8-3g/L；镀层厚度10μm。铬酐用于增加镀液中铬离子，硫酸是铬沉积和溶膜的关键因素，镀铬添加剂提高铬层光亮度、硬度。</w:t>
      </w:r>
    </w:p>
    <w:p w14:paraId="15124CD2">
      <w:pPr>
        <w:bidi w:val="0"/>
        <w:rPr>
          <w:rFonts w:hint="eastAsia"/>
          <w:highlight w:val="black"/>
          <w:lang w:eastAsia="zh-CN"/>
        </w:rPr>
      </w:pPr>
      <w:r>
        <w:rPr>
          <w:rFonts w:hint="eastAsia"/>
          <w:highlight w:val="black"/>
          <w:lang w:eastAsia="zh-CN"/>
        </w:rPr>
        <w:t>铬雾抑制剂用于抑制铬酸雾挥发，主要机理为：镀铬过程，在阴阳极上持续不断地产生大量氢氧气泡，这些气泡向液面逸出时起到了强烈的搅拌作用，抑制剂具有发泡作用，在搅拌作用下产生了许多细小泡沫，其厚度随着电流、电解时间增加而增大和增密，当氢气、氧气逸出时，粘附在氢氧气泡上的铬雾微粒受到镀液表面泡沫层的阻挡，碰撞下集合形成大雾滴，随着雾滴的增大，在重力作用下，又回到镀液中。而氢氧气泡由于尺寸极微小，所以能顺利通过泡沫。当镀铬结束断电后，不再产生其他，搅拌停止，泡沫随之消除。</w:t>
      </w:r>
    </w:p>
    <w:p w14:paraId="573C4FC9">
      <w:pPr>
        <w:bidi w:val="0"/>
        <w:rPr>
          <w:highlight w:val="black"/>
        </w:rPr>
      </w:pPr>
      <w:r>
        <w:rPr>
          <w:rFonts w:hint="eastAsia"/>
          <w:highlight w:val="black"/>
          <w:lang w:eastAsia="zh-CN"/>
        </w:rPr>
        <w:t>镀铬、版辊上镀铬液的冲洗回收、槽液的净化同镀碱铜工序，该工序中产生G</w:t>
      </w:r>
      <w:r>
        <w:rPr>
          <w:rFonts w:hint="eastAsia"/>
          <w:highlight w:val="black"/>
          <w:lang w:val="en-US" w:eastAsia="zh-CN"/>
        </w:rPr>
        <w:t>1-</w:t>
      </w:r>
      <w:r>
        <w:rPr>
          <w:rFonts w:hint="eastAsia"/>
          <w:highlight w:val="black"/>
          <w:lang w:eastAsia="zh-CN"/>
        </w:rPr>
        <w:t>7镀铬废气。</w:t>
      </w:r>
    </w:p>
    <w:p w14:paraId="057FAB97">
      <w:pPr>
        <w:bidi w:val="0"/>
        <w:rPr>
          <w:rFonts w:hint="eastAsia"/>
          <w:highlight w:val="black"/>
          <w:lang w:eastAsia="zh-CN"/>
        </w:rPr>
      </w:pPr>
      <w:r>
        <w:rPr>
          <w:rFonts w:hint="eastAsia"/>
          <w:highlight w:val="black"/>
          <w:lang w:eastAsia="zh-CN"/>
        </w:rPr>
        <w:t>（</w:t>
      </w:r>
      <w:r>
        <w:rPr>
          <w:rFonts w:hint="eastAsia"/>
          <w:highlight w:val="black"/>
          <w:lang w:val="en-US" w:eastAsia="zh-CN"/>
        </w:rPr>
        <w:t>27</w:t>
      </w:r>
      <w:r>
        <w:rPr>
          <w:rFonts w:hint="eastAsia"/>
          <w:highlight w:val="black"/>
          <w:lang w:eastAsia="zh-CN"/>
        </w:rPr>
        <w:t>）</w:t>
      </w:r>
      <w:r>
        <w:rPr>
          <w:rFonts w:hint="eastAsia" w:eastAsia="仿宋_GB2312"/>
          <w:highlight w:val="black"/>
          <w:lang w:eastAsia="zh-CN"/>
        </w:rPr>
        <w:t>槽内清洗</w:t>
      </w:r>
      <w:r>
        <w:rPr>
          <w:rFonts w:hint="eastAsia"/>
          <w:highlight w:val="black"/>
          <w:lang w:val="en-US" w:eastAsia="zh-CN"/>
        </w:rPr>
        <w:t>5</w:t>
      </w:r>
      <w:r>
        <w:rPr>
          <w:rFonts w:hint="eastAsia" w:eastAsia="仿宋_GB2312"/>
          <w:highlight w:val="black"/>
          <w:lang w:eastAsia="zh-CN"/>
        </w:rPr>
        <w:t>：</w:t>
      </w:r>
      <w:r>
        <w:rPr>
          <w:rFonts w:hint="eastAsia"/>
          <w:highlight w:val="black"/>
          <w:lang w:val="en-US" w:eastAsia="zh-CN"/>
        </w:rPr>
        <w:t>铬</w:t>
      </w:r>
      <w:r>
        <w:rPr>
          <w:rFonts w:hint="eastAsia" w:eastAsia="仿宋_GB2312"/>
          <w:highlight w:val="black"/>
          <w:lang w:eastAsia="zh-CN"/>
        </w:rPr>
        <w:t>槽为上下槽，镀</w:t>
      </w:r>
      <w:r>
        <w:rPr>
          <w:rFonts w:hint="eastAsia"/>
          <w:highlight w:val="black"/>
          <w:lang w:val="en-US" w:eastAsia="zh-CN"/>
        </w:rPr>
        <w:t>铬</w:t>
      </w:r>
      <w:r>
        <w:rPr>
          <w:rFonts w:hint="eastAsia" w:eastAsia="仿宋_GB2312"/>
          <w:highlight w:val="black"/>
          <w:lang w:eastAsia="zh-CN"/>
        </w:rPr>
        <w:t>之后，电镀液进入下槽，在上槽用纯水对版辊进行彻底冲洗以达到下一步工序要求的版辊洁净度，冲洗完之后版辊被取出镀槽，进入下一道。镀</w:t>
      </w:r>
      <w:r>
        <w:rPr>
          <w:rFonts w:hint="eastAsia"/>
          <w:highlight w:val="black"/>
          <w:lang w:val="en-US" w:eastAsia="zh-CN"/>
        </w:rPr>
        <w:t>铬</w:t>
      </w:r>
      <w:r>
        <w:rPr>
          <w:rFonts w:hint="eastAsia" w:eastAsia="仿宋_GB2312"/>
          <w:highlight w:val="black"/>
          <w:lang w:eastAsia="zh-CN"/>
        </w:rPr>
        <w:t>槽内清洗后</w:t>
      </w:r>
      <w:r>
        <w:rPr>
          <w:rFonts w:hint="eastAsia" w:eastAsia="仿宋_GB2312"/>
          <w:highlight w:val="black"/>
          <w:lang w:val="en-US" w:eastAsia="zh-CN"/>
        </w:rPr>
        <w:t>部分补充镀液，其余</w:t>
      </w:r>
      <w:r>
        <w:rPr>
          <w:rFonts w:hint="eastAsia" w:eastAsia="仿宋_GB2312"/>
          <w:highlight w:val="black"/>
          <w:lang w:eastAsia="zh-CN"/>
        </w:rPr>
        <w:t>产生W</w:t>
      </w:r>
      <w:r>
        <w:rPr>
          <w:rFonts w:hint="eastAsia" w:ascii="Times New Roman" w:eastAsia="仿宋_GB2312"/>
          <w:highlight w:val="black"/>
          <w:lang w:val="en-US" w:eastAsia="zh-CN"/>
        </w:rPr>
        <w:t>1-</w:t>
      </w:r>
      <w:r>
        <w:rPr>
          <w:rFonts w:hint="eastAsia"/>
          <w:highlight w:val="black"/>
          <w:lang w:val="en-US" w:eastAsia="zh-CN"/>
        </w:rPr>
        <w:t>4</w:t>
      </w:r>
      <w:r>
        <w:rPr>
          <w:rFonts w:hint="eastAsia" w:eastAsia="仿宋_GB2312"/>
          <w:highlight w:val="black"/>
          <w:lang w:eastAsia="zh-CN"/>
        </w:rPr>
        <w:t>含</w:t>
      </w:r>
      <w:r>
        <w:rPr>
          <w:rFonts w:hint="eastAsia"/>
          <w:highlight w:val="black"/>
          <w:lang w:val="en-US" w:eastAsia="zh-CN"/>
        </w:rPr>
        <w:t>铬</w:t>
      </w:r>
      <w:r>
        <w:rPr>
          <w:rFonts w:hint="eastAsia" w:eastAsia="仿宋_GB2312"/>
          <w:highlight w:val="black"/>
          <w:lang w:eastAsia="zh-CN"/>
        </w:rPr>
        <w:t>废水。</w:t>
      </w:r>
    </w:p>
    <w:p w14:paraId="70B2A143">
      <w:pPr>
        <w:bidi w:val="0"/>
        <w:rPr>
          <w:rFonts w:hint="eastAsia" w:eastAsia="仿宋_GB2312"/>
          <w:highlight w:val="black"/>
          <w:lang w:eastAsia="zh-CN"/>
        </w:rPr>
      </w:pPr>
      <w:r>
        <w:rPr>
          <w:rFonts w:hint="eastAsia" w:eastAsia="仿宋_GB2312"/>
          <w:highlight w:val="black"/>
          <w:lang w:eastAsia="zh-CN"/>
        </w:rPr>
        <w:t>镀槽内的电镀液长期使用后会积累较多杂质，这些杂质会影响电镀的质量，因此平均每隔一个月左右，槽内电镀液将会被抽出经设备自带过滤器过滤净化后再回到电镀槽内。过滤器饱和后的S</w:t>
      </w:r>
      <w:r>
        <w:rPr>
          <w:rFonts w:hint="eastAsia" w:ascii="Times New Roman" w:eastAsia="仿宋_GB2312"/>
          <w:highlight w:val="black"/>
          <w:lang w:val="en-US" w:eastAsia="zh-CN"/>
        </w:rPr>
        <w:t>1-</w:t>
      </w:r>
      <w:r>
        <w:rPr>
          <w:rFonts w:hint="eastAsia" w:eastAsia="仿宋_GB2312"/>
          <w:highlight w:val="black"/>
          <w:lang w:eastAsia="zh-CN"/>
        </w:rPr>
        <w:t>5废过滤芯将作为危废处置。在长时间使用后，因为累积杂质浓度过高，即使进行过滤镀液仍可能会残留有较多杂质，这时将会对电镀液进行部分更换。槽底沉积物较多的部分会被抽出，形成S</w:t>
      </w:r>
      <w:r>
        <w:rPr>
          <w:rFonts w:hint="eastAsia" w:eastAsia="仿宋_GB2312"/>
          <w:highlight w:val="black"/>
          <w:lang w:val="en-US" w:eastAsia="zh-CN"/>
        </w:rPr>
        <w:t>1-</w:t>
      </w:r>
      <w:r>
        <w:rPr>
          <w:rFonts w:hint="eastAsia" w:eastAsia="仿宋_GB2312"/>
          <w:highlight w:val="black"/>
          <w:lang w:eastAsia="zh-CN"/>
        </w:rPr>
        <w:t>9镀铬槽渣作危废处置。</w:t>
      </w:r>
    </w:p>
    <w:p w14:paraId="0B68D196">
      <w:pPr>
        <w:bidi w:val="0"/>
        <w:rPr>
          <w:rFonts w:hint="eastAsia"/>
          <w:highlight w:val="black"/>
          <w:lang w:eastAsia="zh-CN"/>
        </w:rPr>
      </w:pPr>
      <w:r>
        <w:rPr>
          <w:rFonts w:hint="eastAsia"/>
          <w:highlight w:val="black"/>
          <w:lang w:eastAsia="zh-CN"/>
        </w:rPr>
        <w:t>（2</w:t>
      </w:r>
      <w:r>
        <w:rPr>
          <w:rFonts w:hint="eastAsia"/>
          <w:highlight w:val="black"/>
          <w:lang w:val="en-US" w:eastAsia="zh-CN"/>
        </w:rPr>
        <w:t>8</w:t>
      </w:r>
      <w:r>
        <w:rPr>
          <w:rFonts w:hint="eastAsia"/>
          <w:highlight w:val="black"/>
          <w:lang w:eastAsia="zh-CN"/>
        </w:rPr>
        <w:t>）铬纸研磨抛光：使用铬纸对版辊进行抛光，以保证辊件表层光滑度能符合产品要求，研磨时间约8min。抛光过程不断使用纯水冲洗，以达到可以印刷的版辊洁净度。该过程产生W</w:t>
      </w:r>
      <w:r>
        <w:rPr>
          <w:rFonts w:hint="eastAsia"/>
          <w:highlight w:val="black"/>
          <w:lang w:val="en-US" w:eastAsia="zh-CN"/>
        </w:rPr>
        <w:t>1-</w:t>
      </w:r>
      <w:r>
        <w:rPr>
          <w:rFonts w:hint="eastAsia"/>
          <w:highlight w:val="black"/>
          <w:lang w:eastAsia="zh-CN"/>
        </w:rPr>
        <w:t>4含铬废水。</w:t>
      </w:r>
    </w:p>
    <w:p w14:paraId="2FD30906">
      <w:pPr>
        <w:bidi w:val="0"/>
        <w:rPr>
          <w:rFonts w:hint="eastAsia"/>
          <w:highlight w:val="black"/>
          <w:lang w:eastAsia="zh-CN"/>
        </w:rPr>
      </w:pPr>
      <w:r>
        <w:rPr>
          <w:rFonts w:hint="eastAsia"/>
          <w:highlight w:val="black"/>
          <w:lang w:eastAsia="zh-CN"/>
        </w:rPr>
        <w:t>（2</w:t>
      </w:r>
      <w:r>
        <w:rPr>
          <w:rFonts w:hint="eastAsia"/>
          <w:highlight w:val="black"/>
          <w:lang w:val="en-US" w:eastAsia="zh-CN"/>
        </w:rPr>
        <w:t>9</w:t>
      </w:r>
      <w:r>
        <w:rPr>
          <w:rFonts w:hint="eastAsia"/>
          <w:highlight w:val="black"/>
          <w:lang w:eastAsia="zh-CN"/>
        </w:rPr>
        <w:t>）检验：使用人工方式检验版辊的外观光泽和花纹是否有划伤等情况，检验合格的版辊即制作完成，不合格的则进行退镀返工。</w:t>
      </w:r>
    </w:p>
    <w:p w14:paraId="28DEF2B2">
      <w:pPr>
        <w:bidi w:val="0"/>
        <w:rPr>
          <w:rFonts w:hint="eastAsia"/>
          <w:highlight w:val="black"/>
          <w:lang w:eastAsia="zh-CN"/>
        </w:rPr>
      </w:pPr>
      <w:r>
        <w:rPr>
          <w:rFonts w:hint="eastAsia"/>
          <w:highlight w:val="black"/>
          <w:lang w:eastAsia="zh-CN"/>
        </w:rPr>
        <w:t>（</w:t>
      </w:r>
      <w:r>
        <w:rPr>
          <w:rFonts w:hint="eastAsia"/>
          <w:highlight w:val="black"/>
          <w:lang w:val="en-US" w:eastAsia="zh-CN"/>
        </w:rPr>
        <w:t>30</w:t>
      </w:r>
      <w:r>
        <w:rPr>
          <w:rFonts w:hint="eastAsia"/>
          <w:highlight w:val="black"/>
          <w:lang w:eastAsia="zh-CN"/>
        </w:rPr>
        <w:t>）打样：为检验辊件产品雕刻深浅、颜色层次等是否符合客户要求，将进行凹印打样测试。凹印采用人工操作，试样结束后版辊需用乙醇或乙酸乙酯进行人工擦拭，乙醇、乙酸乙酯以及油墨中挥发性成分挥发会产生G</w:t>
      </w:r>
      <w:r>
        <w:rPr>
          <w:rFonts w:hint="eastAsia"/>
          <w:highlight w:val="black"/>
          <w:lang w:val="en-US" w:eastAsia="zh-CN"/>
        </w:rPr>
        <w:t>1-</w:t>
      </w:r>
      <w:r>
        <w:rPr>
          <w:rFonts w:hint="eastAsia"/>
          <w:highlight w:val="black"/>
          <w:lang w:eastAsia="zh-CN"/>
        </w:rPr>
        <w:t>8打样废气、使用油墨产生S</w:t>
      </w:r>
      <w:r>
        <w:rPr>
          <w:rFonts w:hint="eastAsia"/>
          <w:highlight w:val="black"/>
          <w:lang w:val="en-US" w:eastAsia="zh-CN"/>
        </w:rPr>
        <w:t>1-</w:t>
      </w:r>
      <w:r>
        <w:rPr>
          <w:rFonts w:hint="eastAsia"/>
          <w:highlight w:val="black"/>
          <w:lang w:eastAsia="zh-CN"/>
        </w:rPr>
        <w:t>10废油墨、S</w:t>
      </w:r>
      <w:r>
        <w:rPr>
          <w:rFonts w:hint="eastAsia"/>
          <w:highlight w:val="black"/>
          <w:lang w:val="en-US" w:eastAsia="zh-CN"/>
        </w:rPr>
        <w:t>1-</w:t>
      </w:r>
      <w:r>
        <w:rPr>
          <w:rFonts w:hint="eastAsia"/>
          <w:highlight w:val="black"/>
          <w:lang w:eastAsia="zh-CN"/>
        </w:rPr>
        <w:t>11含油墨废抹布。</w:t>
      </w:r>
    </w:p>
    <w:p w14:paraId="6A6EFE67">
      <w:pPr>
        <w:bidi w:val="0"/>
        <w:rPr>
          <w:rFonts w:hint="eastAsia"/>
          <w:b/>
          <w:bCs/>
          <w:highlight w:val="black"/>
          <w:lang w:eastAsia="zh-CN"/>
        </w:rPr>
      </w:pPr>
      <w:r>
        <w:rPr>
          <w:rFonts w:hint="eastAsia"/>
          <w:b/>
          <w:bCs/>
          <w:highlight w:val="black"/>
          <w:lang w:eastAsia="zh-CN"/>
        </w:rPr>
        <w:t>退镀工艺：版辊镀层分为镀铜及镀铬，镀铜不合格的产品直接回至机加工段，物理剥除后重新镀铜；铬层则使用退镀添加剂进行电化学退镀，不存在同时退铜及退铬过程，退铬具体工艺如下：</w:t>
      </w:r>
    </w:p>
    <w:p w14:paraId="2ADB8681">
      <w:pPr>
        <w:pStyle w:val="26"/>
        <w:bidi w:val="0"/>
        <w:rPr>
          <w:rFonts w:hint="eastAsia"/>
          <w:highlight w:val="none"/>
          <w:lang w:eastAsia="zh-CN"/>
        </w:rPr>
      </w:pPr>
      <w:r>
        <w:rPr>
          <w:rFonts w:hint="eastAsia"/>
          <w:highlight w:val="none"/>
          <w:lang w:eastAsia="zh-CN"/>
        </w:rPr>
        <w:t>（</w:t>
      </w:r>
      <w:r>
        <w:rPr>
          <w:rFonts w:hint="eastAsia"/>
          <w:highlight w:val="none"/>
          <w:lang w:val="en-US" w:eastAsia="zh-CN"/>
        </w:rPr>
        <w:t>涉密</w:t>
      </w:r>
      <w:r>
        <w:rPr>
          <w:rFonts w:hint="eastAsia"/>
          <w:highlight w:val="none"/>
          <w:lang w:eastAsia="zh-CN"/>
        </w:rPr>
        <w:t>）</w:t>
      </w:r>
    </w:p>
    <w:p w14:paraId="32432693">
      <w:pPr>
        <w:bidi w:val="0"/>
        <w:spacing w:before="50" w:beforeLines="50" w:line="360" w:lineRule="auto"/>
        <w:jc w:val="center"/>
        <w:outlineLvl w:val="4"/>
        <w:rPr>
          <w:rFonts w:ascii="Times New Roman" w:hAnsi="Times New Roman" w:eastAsia="仿宋_GB2312" w:cstheme="minorBidi"/>
          <w:b/>
          <w:color w:val="auto"/>
          <w:kern w:val="2"/>
          <w:sz w:val="24"/>
          <w:szCs w:val="22"/>
          <w:highlight w:val="none"/>
          <w:lang w:val="en-US" w:eastAsia="zh-CN" w:bidi="ar-SA"/>
        </w:rPr>
      </w:pPr>
      <w:r>
        <w:rPr>
          <w:rFonts w:ascii="Times New Roman" w:hAnsi="Times New Roman" w:eastAsia="仿宋_GB2312" w:cstheme="minorBidi"/>
          <w:b/>
          <w:color w:val="auto"/>
          <w:kern w:val="2"/>
          <w:sz w:val="24"/>
          <w:szCs w:val="22"/>
          <w:highlight w:val="none"/>
          <w:lang w:val="en-US" w:eastAsia="zh-CN" w:bidi="ar-SA"/>
        </w:rPr>
        <w:t>图</w:t>
      </w:r>
      <w:r>
        <w:rPr>
          <w:rFonts w:ascii="Times New Roman" w:hAnsi="Times New Roman" w:eastAsia="仿宋_GB2312" w:cstheme="minorBidi"/>
          <w:b/>
          <w:color w:val="auto"/>
          <w:kern w:val="2"/>
          <w:sz w:val="24"/>
          <w:szCs w:val="22"/>
          <w:highlight w:val="none"/>
          <w:lang w:val="en-US" w:eastAsia="zh-CN" w:bidi="ar-SA"/>
        </w:rPr>
        <w:fldChar w:fldCharType="begin"/>
      </w:r>
      <w:r>
        <w:rPr>
          <w:rFonts w:ascii="Times New Roman" w:hAnsi="Times New Roman" w:eastAsia="仿宋_GB2312" w:cstheme="minorBidi"/>
          <w:b/>
          <w:color w:val="auto"/>
          <w:kern w:val="2"/>
          <w:sz w:val="24"/>
          <w:szCs w:val="22"/>
          <w:highlight w:val="none"/>
          <w:lang w:val="en-US" w:eastAsia="zh-CN" w:bidi="ar-SA"/>
        </w:rPr>
        <w:instrText xml:space="preserve"> STYLEREF 2 \s </w:instrText>
      </w:r>
      <w:r>
        <w:rPr>
          <w:rFonts w:ascii="Times New Roman" w:hAnsi="Times New Roman" w:eastAsia="仿宋_GB2312" w:cstheme="minorBidi"/>
          <w:b/>
          <w:color w:val="auto"/>
          <w:kern w:val="2"/>
          <w:sz w:val="24"/>
          <w:szCs w:val="22"/>
          <w:highlight w:val="none"/>
          <w:lang w:val="en-US" w:eastAsia="zh-CN" w:bidi="ar-SA"/>
        </w:rPr>
        <w:fldChar w:fldCharType="separate"/>
      </w:r>
      <w:r>
        <w:rPr>
          <w:rFonts w:ascii="Times New Roman" w:hAnsi="Times New Roman" w:eastAsia="仿宋_GB2312" w:cstheme="minorBidi"/>
          <w:b/>
          <w:color w:val="auto"/>
          <w:kern w:val="2"/>
          <w:sz w:val="24"/>
          <w:szCs w:val="22"/>
          <w:highlight w:val="none"/>
          <w:lang w:val="en-US" w:eastAsia="zh-CN" w:bidi="ar-SA"/>
        </w:rPr>
        <w:t>4.2</w:t>
      </w:r>
      <w:r>
        <w:rPr>
          <w:rFonts w:ascii="Times New Roman" w:hAnsi="Times New Roman" w:eastAsia="仿宋_GB2312" w:cstheme="minorBidi"/>
          <w:b/>
          <w:color w:val="auto"/>
          <w:kern w:val="2"/>
          <w:sz w:val="24"/>
          <w:szCs w:val="22"/>
          <w:highlight w:val="none"/>
          <w:lang w:val="en-US" w:eastAsia="zh-CN" w:bidi="ar-SA"/>
        </w:rPr>
        <w:fldChar w:fldCharType="end"/>
      </w:r>
      <w:r>
        <w:rPr>
          <w:rFonts w:ascii="Times New Roman" w:hAnsi="Times New Roman" w:eastAsia="仿宋_GB2312" w:cstheme="minorBidi"/>
          <w:b/>
          <w:color w:val="auto"/>
          <w:kern w:val="2"/>
          <w:sz w:val="24"/>
          <w:szCs w:val="22"/>
          <w:highlight w:val="none"/>
          <w:lang w:val="en-US" w:eastAsia="zh-CN" w:bidi="ar-SA"/>
        </w:rPr>
        <w:noBreakHyphen/>
      </w:r>
      <w:r>
        <w:rPr>
          <w:rFonts w:ascii="Times New Roman" w:hAnsi="Times New Roman" w:eastAsia="仿宋_GB2312" w:cstheme="minorBidi"/>
          <w:b/>
          <w:color w:val="auto"/>
          <w:kern w:val="2"/>
          <w:sz w:val="24"/>
          <w:szCs w:val="22"/>
          <w:highlight w:val="none"/>
          <w:lang w:val="en-US" w:eastAsia="zh-CN" w:bidi="ar-SA"/>
        </w:rPr>
        <w:fldChar w:fldCharType="begin"/>
      </w:r>
      <w:r>
        <w:rPr>
          <w:rFonts w:ascii="Times New Roman" w:hAnsi="Times New Roman" w:eastAsia="仿宋_GB2312" w:cstheme="minorBidi"/>
          <w:b/>
          <w:color w:val="auto"/>
          <w:kern w:val="2"/>
          <w:sz w:val="24"/>
          <w:szCs w:val="22"/>
          <w:highlight w:val="none"/>
          <w:lang w:val="en-US" w:eastAsia="zh-CN" w:bidi="ar-SA"/>
        </w:rPr>
        <w:instrText xml:space="preserve"> SEQ 图 \* ARABIC \s 2 </w:instrText>
      </w:r>
      <w:r>
        <w:rPr>
          <w:rFonts w:ascii="Times New Roman" w:hAnsi="Times New Roman" w:eastAsia="仿宋_GB2312" w:cstheme="minorBidi"/>
          <w:b/>
          <w:color w:val="auto"/>
          <w:kern w:val="2"/>
          <w:sz w:val="24"/>
          <w:szCs w:val="22"/>
          <w:highlight w:val="none"/>
          <w:lang w:val="en-US" w:eastAsia="zh-CN" w:bidi="ar-SA"/>
        </w:rPr>
        <w:fldChar w:fldCharType="separate"/>
      </w:r>
      <w:r>
        <w:rPr>
          <w:rFonts w:ascii="Times New Roman" w:hAnsi="Times New Roman" w:eastAsia="仿宋_GB2312" w:cstheme="minorBidi"/>
          <w:b/>
          <w:color w:val="auto"/>
          <w:kern w:val="2"/>
          <w:sz w:val="24"/>
          <w:szCs w:val="22"/>
          <w:highlight w:val="none"/>
          <w:lang w:val="en-US" w:eastAsia="zh-CN" w:bidi="ar-SA"/>
        </w:rPr>
        <w:t>3</w:t>
      </w:r>
      <w:r>
        <w:rPr>
          <w:rFonts w:ascii="Times New Roman" w:hAnsi="Times New Roman" w:eastAsia="仿宋_GB2312" w:cstheme="minorBidi"/>
          <w:b/>
          <w:color w:val="auto"/>
          <w:kern w:val="2"/>
          <w:sz w:val="24"/>
          <w:szCs w:val="22"/>
          <w:highlight w:val="none"/>
          <w:lang w:val="en-US" w:eastAsia="zh-CN" w:bidi="ar-SA"/>
        </w:rPr>
        <w:fldChar w:fldCharType="end"/>
      </w:r>
      <w:r>
        <w:rPr>
          <w:rFonts w:hint="eastAsia" w:ascii="Times New Roman" w:hAnsi="Times New Roman" w:cstheme="minorBidi"/>
          <w:b/>
          <w:color w:val="auto"/>
          <w:kern w:val="2"/>
          <w:sz w:val="24"/>
          <w:szCs w:val="22"/>
          <w:highlight w:val="none"/>
          <w:lang w:val="en-US" w:eastAsia="zh-CN" w:bidi="ar-SA"/>
        </w:rPr>
        <w:t>退铬</w:t>
      </w:r>
      <w:r>
        <w:rPr>
          <w:rFonts w:ascii="Times New Roman" w:hAnsi="Times New Roman" w:eastAsia="仿宋_GB2312" w:cstheme="minorBidi"/>
          <w:b/>
          <w:color w:val="auto"/>
          <w:kern w:val="2"/>
          <w:sz w:val="24"/>
          <w:szCs w:val="22"/>
          <w:highlight w:val="none"/>
          <w:lang w:val="en-US" w:eastAsia="zh-CN" w:bidi="ar-SA"/>
        </w:rPr>
        <w:t>工艺流程及产污环节图</w:t>
      </w:r>
    </w:p>
    <w:p w14:paraId="673D0B03">
      <w:pPr>
        <w:bidi w:val="0"/>
        <w:rPr>
          <w:rFonts w:hint="eastAsia"/>
          <w:highlight w:val="black"/>
          <w:lang w:eastAsia="zh-CN"/>
        </w:rPr>
      </w:pPr>
      <w:r>
        <w:rPr>
          <w:rFonts w:hint="eastAsia"/>
          <w:highlight w:val="black"/>
          <w:lang w:eastAsia="zh-CN"/>
        </w:rPr>
        <w:t>项目退镀采用电化学退镀，即以退镀工件为阳极，用不溶性的铁板作为阴极，在直流电作用下，阳极上发生的反应是金属镀层从基体上逐渐溶解，并以离子形式进入溶液，从而达到剥离镀层的目的，退镀时间约15~20min。全年退镀工作时长约300h。</w:t>
      </w:r>
    </w:p>
    <w:p w14:paraId="31BB8D59">
      <w:pPr>
        <w:bidi w:val="0"/>
        <w:rPr>
          <w:rFonts w:hint="eastAsia"/>
          <w:highlight w:val="black"/>
          <w:lang w:eastAsia="zh-CN"/>
        </w:rPr>
      </w:pPr>
      <w:r>
        <w:rPr>
          <w:rFonts w:hint="eastAsia"/>
          <w:highlight w:val="black"/>
          <w:lang w:eastAsia="zh-CN"/>
        </w:rPr>
        <w:t>退镀液主要为硫酸（300~400g/L），并添加退铬添加剂（主要成分为亚磷酸钠、甲基苯骈三氮唑和水），退镀过程产生G</w:t>
      </w:r>
      <w:r>
        <w:rPr>
          <w:rFonts w:hint="eastAsia"/>
          <w:highlight w:val="black"/>
          <w:lang w:val="en-US" w:eastAsia="zh-CN"/>
        </w:rPr>
        <w:t>1-7</w:t>
      </w:r>
      <w:r>
        <w:rPr>
          <w:rFonts w:hint="eastAsia"/>
          <w:highlight w:val="black"/>
          <w:lang w:eastAsia="zh-CN"/>
        </w:rPr>
        <w:t>退镀废气；退铬完成后，打开槽体内喷头，进行退铬后清洗，产生W1</w:t>
      </w:r>
      <w:r>
        <w:rPr>
          <w:rFonts w:hint="eastAsia"/>
          <w:highlight w:val="black"/>
          <w:lang w:val="en-US" w:eastAsia="zh-CN"/>
        </w:rPr>
        <w:t>-4含铬</w:t>
      </w:r>
      <w:r>
        <w:rPr>
          <w:rFonts w:hint="eastAsia"/>
          <w:highlight w:val="black"/>
          <w:lang w:eastAsia="zh-CN"/>
        </w:rPr>
        <w:t>废水；退镀液循环使用，当铬离子饱和后更换（约每3个月更换一次），产生S</w:t>
      </w:r>
      <w:r>
        <w:rPr>
          <w:rFonts w:hint="eastAsia"/>
          <w:highlight w:val="black"/>
          <w:lang w:val="en-US" w:eastAsia="zh-CN"/>
        </w:rPr>
        <w:t>1-</w:t>
      </w:r>
      <w:r>
        <w:rPr>
          <w:rFonts w:hint="eastAsia"/>
          <w:highlight w:val="black"/>
          <w:lang w:eastAsia="zh-CN"/>
        </w:rPr>
        <w:t>9</w:t>
      </w:r>
      <w:r>
        <w:rPr>
          <w:rFonts w:hint="eastAsia"/>
          <w:highlight w:val="black"/>
          <w:lang w:val="en-US" w:eastAsia="zh-CN"/>
        </w:rPr>
        <w:t>含</w:t>
      </w:r>
      <w:r>
        <w:rPr>
          <w:rFonts w:hint="eastAsia"/>
          <w:highlight w:val="black"/>
          <w:lang w:eastAsia="zh-CN"/>
        </w:rPr>
        <w:t>铬槽渣。</w:t>
      </w:r>
    </w:p>
    <w:p w14:paraId="3FAC6640">
      <w:pPr>
        <w:bidi w:val="0"/>
        <w:rPr>
          <w:rFonts w:hint="eastAsia"/>
          <w:color w:val="auto"/>
          <w:highlight w:val="black"/>
          <w:lang w:val="en-US" w:eastAsia="zh-CN"/>
        </w:rPr>
      </w:pPr>
      <w:r>
        <w:rPr>
          <w:rFonts w:hint="eastAsia"/>
          <w:highlight w:val="black"/>
          <w:lang w:eastAsia="zh-CN"/>
        </w:rPr>
        <w:t>退铬后的版辊重新进行镀铬处理。</w:t>
      </w:r>
    </w:p>
    <w:p w14:paraId="2D027593">
      <w:pPr>
        <w:pStyle w:val="5"/>
        <w:bidi w:val="0"/>
        <w:rPr>
          <w:rFonts w:hint="eastAsia"/>
        </w:rPr>
      </w:pPr>
      <w:r>
        <w:rPr>
          <w:rFonts w:hint="eastAsia"/>
          <w:lang w:val="en-US" w:eastAsia="zh-CN"/>
        </w:rPr>
        <w:t>磁性模切刀版工艺流程</w:t>
      </w:r>
    </w:p>
    <w:p w14:paraId="12BA606A">
      <w:pPr>
        <w:pStyle w:val="26"/>
        <w:bidi w:val="0"/>
        <w:rPr>
          <w:rFonts w:hint="eastAsia" w:eastAsia="仿宋_GB2312"/>
          <w:lang w:eastAsia="zh-CN"/>
        </w:rPr>
      </w:pPr>
      <w:r>
        <w:rPr>
          <w:rFonts w:hint="eastAsia"/>
          <w:lang w:eastAsia="zh-CN"/>
        </w:rPr>
        <w:t>（</w:t>
      </w:r>
      <w:r>
        <w:rPr>
          <w:rFonts w:hint="eastAsia"/>
          <w:lang w:val="en-US" w:eastAsia="zh-CN"/>
        </w:rPr>
        <w:t>涉密</w:t>
      </w:r>
      <w:r>
        <w:rPr>
          <w:rFonts w:hint="eastAsia"/>
          <w:lang w:eastAsia="zh-CN"/>
        </w:rPr>
        <w:t>）</w:t>
      </w:r>
    </w:p>
    <w:p w14:paraId="651425A5">
      <w:pPr>
        <w:pStyle w:val="25"/>
        <w:bidi w:val="0"/>
        <w:rPr>
          <w:color w:val="auto"/>
        </w:rPr>
      </w:pPr>
      <w:r>
        <w:rPr>
          <w:color w:val="auto"/>
        </w:rPr>
        <w:t>图</w:t>
      </w:r>
      <w:r>
        <w:rPr>
          <w:color w:val="auto"/>
        </w:rPr>
        <w:fldChar w:fldCharType="begin"/>
      </w:r>
      <w:r>
        <w:rPr>
          <w:color w:val="auto"/>
        </w:rPr>
        <w:instrText xml:space="preserve"> STYLEREF 2 \s </w:instrText>
      </w:r>
      <w:r>
        <w:rPr>
          <w:color w:val="auto"/>
        </w:rPr>
        <w:fldChar w:fldCharType="separate"/>
      </w:r>
      <w:r>
        <w:rPr>
          <w:color w:val="auto"/>
        </w:rPr>
        <w:t>4.2</w:t>
      </w:r>
      <w:r>
        <w:rPr>
          <w:color w:val="auto"/>
        </w:rPr>
        <w:fldChar w:fldCharType="end"/>
      </w:r>
      <w:r>
        <w:rPr>
          <w:color w:val="auto"/>
        </w:rPr>
        <w:noBreakHyphen/>
      </w:r>
      <w:r>
        <w:rPr>
          <w:color w:val="auto"/>
        </w:rPr>
        <w:fldChar w:fldCharType="begin"/>
      </w:r>
      <w:r>
        <w:rPr>
          <w:color w:val="auto"/>
        </w:rPr>
        <w:instrText xml:space="preserve"> SEQ 图 \* ARABIC \s 2 </w:instrText>
      </w:r>
      <w:r>
        <w:rPr>
          <w:color w:val="auto"/>
        </w:rPr>
        <w:fldChar w:fldCharType="separate"/>
      </w:r>
      <w:r>
        <w:rPr>
          <w:color w:val="auto"/>
        </w:rPr>
        <w:t>4</w:t>
      </w:r>
      <w:r>
        <w:rPr>
          <w:color w:val="auto"/>
        </w:rPr>
        <w:fldChar w:fldCharType="end"/>
      </w:r>
      <w:r>
        <w:rPr>
          <w:rFonts w:hint="eastAsia"/>
          <w:color w:val="auto"/>
        </w:rPr>
        <w:t>磁性模切刀版</w:t>
      </w:r>
      <w:r>
        <w:rPr>
          <w:color w:val="auto"/>
        </w:rPr>
        <w:t>工艺流程及产污环节图</w:t>
      </w:r>
    </w:p>
    <w:p w14:paraId="00002E3E">
      <w:pPr>
        <w:pStyle w:val="46"/>
        <w:bidi w:val="0"/>
        <w:rPr>
          <w:color w:val="auto"/>
        </w:rPr>
      </w:pPr>
      <w:r>
        <w:rPr>
          <w:rFonts w:hint="eastAsia"/>
          <w:color w:val="auto"/>
        </w:rPr>
        <w:t>工艺</w:t>
      </w:r>
      <w:r>
        <w:rPr>
          <w:rFonts w:hint="eastAsia"/>
          <w:color w:val="auto"/>
          <w:lang w:val="en-US" w:eastAsia="zh-CN"/>
        </w:rPr>
        <w:t>描述</w:t>
      </w:r>
      <w:r>
        <w:rPr>
          <w:rFonts w:hint="eastAsia"/>
          <w:color w:val="auto"/>
        </w:rPr>
        <w:t>：</w:t>
      </w:r>
    </w:p>
    <w:p w14:paraId="5CCE4611">
      <w:pPr>
        <w:spacing w:line="500" w:lineRule="exact"/>
        <w:ind w:firstLine="560" w:firstLineChars="0"/>
        <w:rPr>
          <w:rFonts w:hint="default" w:ascii="Calibri" w:hAnsi="Calibri" w:eastAsia="仿宋_GB2312" w:cs="Times New Roman"/>
          <w:kern w:val="0"/>
          <w:sz w:val="21"/>
          <w:highlight w:val="black"/>
          <w:lang w:val="en-US" w:eastAsia="zh-CN"/>
        </w:rPr>
      </w:pPr>
      <w:r>
        <w:rPr>
          <w:rFonts w:ascii="仿宋_GB2312" w:hAnsi="仿宋_GB2312" w:eastAsia="仿宋_GB2312" w:cs="仿宋_GB2312"/>
          <w:b w:val="0"/>
          <w:bCs w:val="0"/>
          <w:kern w:val="0"/>
          <w:sz w:val="28"/>
          <w:szCs w:val="28"/>
          <w:highlight w:val="black"/>
        </w:rPr>
        <w:t>（1）原材料剪裁：使用电动裁板机对整张钢板原材料按工艺要求进行裁切，裁成适合加工的板料尺寸，确保尺寸精度满足后续工序要求。</w:t>
      </w:r>
      <w:r>
        <w:rPr>
          <w:rFonts w:hint="eastAsia" w:ascii="仿宋_GB2312" w:hAnsi="仿宋_GB2312" w:eastAsia="仿宋_GB2312" w:cs="仿宋_GB2312"/>
          <w:b w:val="0"/>
          <w:bCs w:val="0"/>
          <w:kern w:val="0"/>
          <w:sz w:val="28"/>
          <w:szCs w:val="28"/>
          <w:highlight w:val="black"/>
          <w:lang w:val="en-US" w:eastAsia="zh-CN"/>
        </w:rPr>
        <w:t>此过程有边角料S2-1产生。</w:t>
      </w:r>
    </w:p>
    <w:p w14:paraId="45EC6165">
      <w:pPr>
        <w:spacing w:line="500" w:lineRule="exact"/>
        <w:ind w:firstLine="560" w:firstLineChars="0"/>
        <w:rPr>
          <w:rFonts w:hint="default" w:ascii="Calibri" w:hAnsi="Calibri" w:eastAsia="仿宋_GB2312" w:cs="Times New Roman"/>
          <w:kern w:val="0"/>
          <w:sz w:val="21"/>
          <w:highlight w:val="black"/>
          <w:lang w:val="en-US" w:eastAsia="zh-CN"/>
        </w:rPr>
      </w:pPr>
      <w:r>
        <w:rPr>
          <w:rFonts w:ascii="仿宋_GB2312" w:hAnsi="仿宋_GB2312" w:eastAsia="仿宋_GB2312" w:cs="仿宋_GB2312"/>
          <w:b w:val="0"/>
          <w:bCs w:val="0"/>
          <w:kern w:val="0"/>
          <w:sz w:val="28"/>
          <w:szCs w:val="28"/>
          <w:highlight w:val="black"/>
        </w:rPr>
        <w:t>（2）钢板清洗：将裁切好的钢板放入超声波清洗机中，去除钢板表面的油污、氧化物及杂质，为后续贴膜工序提供洁净的钢板表面，清洗后需烘干处理。</w:t>
      </w:r>
      <w:r>
        <w:rPr>
          <w:rFonts w:hint="eastAsia" w:ascii="仿宋_GB2312" w:hAnsi="仿宋_GB2312" w:eastAsia="仿宋_GB2312" w:cs="仿宋_GB2312"/>
          <w:b w:val="0"/>
          <w:bCs w:val="0"/>
          <w:kern w:val="0"/>
          <w:sz w:val="28"/>
          <w:szCs w:val="28"/>
          <w:highlight w:val="black"/>
          <w:lang w:val="en-US" w:eastAsia="zh-CN"/>
        </w:rPr>
        <w:t>此过程有清洗废水W2-1</w:t>
      </w:r>
      <w:r>
        <w:rPr>
          <w:rFonts w:hint="eastAsia" w:ascii="仿宋_GB2312" w:hAnsi="仿宋_GB2312" w:cs="仿宋_GB2312"/>
          <w:b w:val="0"/>
          <w:bCs w:val="0"/>
          <w:kern w:val="0"/>
          <w:sz w:val="28"/>
          <w:szCs w:val="28"/>
          <w:highlight w:val="black"/>
          <w:lang w:val="en-US" w:eastAsia="zh-CN"/>
        </w:rPr>
        <w:t>和污泥S2-2</w:t>
      </w:r>
      <w:r>
        <w:rPr>
          <w:rFonts w:hint="eastAsia" w:ascii="仿宋_GB2312" w:hAnsi="仿宋_GB2312" w:eastAsia="仿宋_GB2312" w:cs="仿宋_GB2312"/>
          <w:b w:val="0"/>
          <w:bCs w:val="0"/>
          <w:kern w:val="0"/>
          <w:sz w:val="28"/>
          <w:szCs w:val="28"/>
          <w:highlight w:val="black"/>
          <w:lang w:val="en-US" w:eastAsia="zh-CN"/>
        </w:rPr>
        <w:t>产生。</w:t>
      </w:r>
    </w:p>
    <w:p w14:paraId="736B3D1D">
      <w:pPr>
        <w:spacing w:line="500" w:lineRule="exact"/>
        <w:ind w:firstLine="560" w:firstLineChars="0"/>
        <w:rPr>
          <w:rFonts w:hint="default" w:ascii="Calibri" w:hAnsi="Calibri" w:eastAsia="仿宋_GB2312" w:cs="Times New Roman"/>
          <w:kern w:val="0"/>
          <w:sz w:val="21"/>
          <w:highlight w:val="black"/>
          <w:lang w:val="en-US" w:eastAsia="zh-CN"/>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3</w:t>
      </w: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UV打印</w:t>
      </w:r>
      <w:r>
        <w:rPr>
          <w:rFonts w:ascii="仿宋_GB2312" w:hAnsi="仿宋_GB2312" w:eastAsia="仿宋_GB2312" w:cs="仿宋_GB2312"/>
          <w:b w:val="0"/>
          <w:bCs w:val="0"/>
          <w:kern w:val="0"/>
          <w:sz w:val="28"/>
          <w:szCs w:val="28"/>
          <w:highlight w:val="black"/>
        </w:rPr>
        <w:t>：根据客户提供的刀版设计图样，利用计算机</w:t>
      </w:r>
      <w:r>
        <w:rPr>
          <w:rFonts w:hint="eastAsia" w:ascii="仿宋_GB2312" w:hAnsi="仿宋_GB2312" w:eastAsia="仿宋_GB2312" w:cs="仿宋_GB2312"/>
          <w:b w:val="0"/>
          <w:bCs w:val="0"/>
          <w:kern w:val="0"/>
          <w:sz w:val="28"/>
          <w:szCs w:val="28"/>
          <w:highlight w:val="black"/>
        </w:rPr>
        <w:t>进行图案制作和排版</w:t>
      </w: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采用UV打印机将图形数据打印在钢板</w:t>
      </w: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此过程有打印废气G2-1产生。</w:t>
      </w:r>
    </w:p>
    <w:p w14:paraId="2C8D83ED">
      <w:pPr>
        <w:spacing w:line="500" w:lineRule="exact"/>
        <w:ind w:firstLine="560" w:firstLineChars="0"/>
        <w:rPr>
          <w:rFonts w:ascii="Calibri" w:hAnsi="Calibri" w:eastAsia="宋体" w:cs="Times New Roman"/>
          <w:kern w:val="0"/>
          <w:sz w:val="21"/>
          <w:highlight w:val="black"/>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4</w:t>
      </w:r>
      <w:r>
        <w:rPr>
          <w:rFonts w:ascii="仿宋_GB2312" w:hAnsi="仿宋_GB2312" w:eastAsia="仿宋_GB2312" w:cs="仿宋_GB2312"/>
          <w:b w:val="0"/>
          <w:bCs w:val="0"/>
          <w:kern w:val="0"/>
          <w:sz w:val="28"/>
          <w:szCs w:val="28"/>
          <w:highlight w:val="black"/>
        </w:rPr>
        <w:t>）钢板烘烤预处理：将清洗干燥后的钢板放入烤箱，在适当温度下烘烤，去除钢板内残余水分，防止贴膜后出现气泡，提高干膜附着力。</w:t>
      </w:r>
    </w:p>
    <w:p w14:paraId="5627D2B7">
      <w:pPr>
        <w:spacing w:line="500" w:lineRule="exact"/>
        <w:ind w:firstLine="560" w:firstLineChars="0"/>
        <w:rPr>
          <w:rFonts w:ascii="Calibri" w:hAnsi="Calibri" w:eastAsia="宋体" w:cs="Times New Roman"/>
          <w:kern w:val="0"/>
          <w:sz w:val="21"/>
          <w:highlight w:val="black"/>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5</w:t>
      </w:r>
      <w:r>
        <w:rPr>
          <w:rFonts w:ascii="仿宋_GB2312" w:hAnsi="仿宋_GB2312" w:eastAsia="仿宋_GB2312" w:cs="仿宋_GB2312"/>
          <w:b w:val="0"/>
          <w:bCs w:val="0"/>
          <w:kern w:val="0"/>
          <w:sz w:val="28"/>
          <w:szCs w:val="28"/>
          <w:highlight w:val="black"/>
        </w:rPr>
        <w:t>）背面覆膜保护：使用覆膜机在钢板背面贴覆保护膜，防止钢板背面在腐蚀工序中被腐蚀液侵蚀，确保钢板背面光洁度。</w:t>
      </w:r>
    </w:p>
    <w:p w14:paraId="4F617BF6">
      <w:pPr>
        <w:spacing w:line="500" w:lineRule="exact"/>
        <w:ind w:firstLine="560" w:firstLineChars="0"/>
        <w:rPr>
          <w:rFonts w:ascii="Calibri" w:hAnsi="Calibri" w:eastAsia="宋体" w:cs="Times New Roman"/>
          <w:kern w:val="0"/>
          <w:sz w:val="21"/>
          <w:highlight w:val="black"/>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6</w:t>
      </w:r>
      <w:r>
        <w:rPr>
          <w:rFonts w:ascii="仿宋_GB2312" w:hAnsi="仿宋_GB2312" w:eastAsia="仿宋_GB2312" w:cs="仿宋_GB2312"/>
          <w:b w:val="0"/>
          <w:bCs w:val="0"/>
          <w:kern w:val="0"/>
          <w:sz w:val="28"/>
          <w:szCs w:val="28"/>
          <w:highlight w:val="black"/>
        </w:rPr>
        <w:t>）曝光（干膜固化）：将贴有干膜的钢板放入曝光机，利用紫外线照射使干膜中的光敏树脂固化，形成与设计图案一致的抗蚀图形，曝光时间需根据干膜类型及光源强度精确控制</w:t>
      </w:r>
      <w:r>
        <w:rPr>
          <w:rFonts w:hint="eastAsia" w:ascii="仿宋_GB2312" w:hAnsi="仿宋_GB2312" w:cs="仿宋_GB2312"/>
          <w:b w:val="0"/>
          <w:bCs w:val="0"/>
          <w:kern w:val="0"/>
          <w:sz w:val="28"/>
          <w:szCs w:val="28"/>
          <w:highlight w:val="black"/>
          <w:lang w:eastAsia="zh-CN"/>
        </w:rPr>
        <w:t>，</w:t>
      </w:r>
      <w:r>
        <w:rPr>
          <w:rFonts w:hint="eastAsia" w:ascii="仿宋_GB2312" w:hAnsi="仿宋_GB2312" w:cs="仿宋_GB2312"/>
          <w:b w:val="0"/>
          <w:bCs w:val="0"/>
          <w:kern w:val="0"/>
          <w:sz w:val="28"/>
          <w:szCs w:val="28"/>
          <w:highlight w:val="black"/>
          <w:lang w:val="en-US" w:eastAsia="zh-CN"/>
        </w:rPr>
        <w:t>此过程有曝光有机废气G2-2产生</w:t>
      </w:r>
      <w:r>
        <w:rPr>
          <w:rFonts w:ascii="仿宋_GB2312" w:hAnsi="仿宋_GB2312" w:eastAsia="仿宋_GB2312" w:cs="仿宋_GB2312"/>
          <w:b w:val="0"/>
          <w:bCs w:val="0"/>
          <w:kern w:val="0"/>
          <w:sz w:val="28"/>
          <w:szCs w:val="28"/>
          <w:highlight w:val="black"/>
        </w:rPr>
        <w:t>。</w:t>
      </w:r>
    </w:p>
    <w:p w14:paraId="14A7173B">
      <w:pPr>
        <w:spacing w:line="500" w:lineRule="exact"/>
        <w:ind w:firstLine="560" w:firstLineChars="0"/>
        <w:rPr>
          <w:rFonts w:hint="default" w:ascii="Calibri" w:hAnsi="Calibri" w:eastAsia="仿宋_GB2312" w:cs="Times New Roman"/>
          <w:kern w:val="0"/>
          <w:sz w:val="21"/>
          <w:highlight w:val="black"/>
          <w:lang w:val="en-US" w:eastAsia="zh-CN"/>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7</w:t>
      </w:r>
      <w:r>
        <w:rPr>
          <w:rFonts w:ascii="仿宋_GB2312" w:hAnsi="仿宋_GB2312" w:eastAsia="仿宋_GB2312" w:cs="仿宋_GB2312"/>
          <w:b w:val="0"/>
          <w:bCs w:val="0"/>
          <w:kern w:val="0"/>
          <w:sz w:val="28"/>
          <w:szCs w:val="28"/>
          <w:highlight w:val="black"/>
        </w:rPr>
        <w:t>）腐蚀加工：将准备好的钢板放入腐蚀机（1200型转盘蚀刻机）进行化学腐蚀处理，通过腐蚀液溶解未被干膜保护的金属区域，形成所需的刀线槽型结构，去除多余废料。腐蚀时间与腐蚀深度需严格控制，定时检测腐蚀底面厚度。腐蚀完成后将钢板彻底清洗，去除残留腐蚀液及干膜，防止腐蚀液继续侵蚀。清洗后使用千分尺测量腐蚀底面厚度，确保符合图纸要求的腐蚀深度。</w:t>
      </w:r>
      <w:r>
        <w:rPr>
          <w:rFonts w:hint="eastAsia" w:ascii="仿宋_GB2312" w:hAnsi="仿宋_GB2312" w:eastAsia="仿宋_GB2312" w:cs="仿宋_GB2312"/>
          <w:b w:val="0"/>
          <w:bCs w:val="0"/>
          <w:kern w:val="0"/>
          <w:sz w:val="28"/>
          <w:szCs w:val="28"/>
          <w:highlight w:val="black"/>
          <w:lang w:val="en-US" w:eastAsia="zh-CN"/>
        </w:rPr>
        <w:t>此过程有腐蚀废液S2-</w:t>
      </w:r>
      <w:r>
        <w:rPr>
          <w:rFonts w:hint="eastAsia" w:ascii="仿宋_GB2312" w:hAnsi="仿宋_GB2312" w:cs="仿宋_GB2312"/>
          <w:b w:val="0"/>
          <w:bCs w:val="0"/>
          <w:kern w:val="0"/>
          <w:sz w:val="28"/>
          <w:szCs w:val="28"/>
          <w:highlight w:val="black"/>
          <w:lang w:val="en-US" w:eastAsia="zh-CN"/>
        </w:rPr>
        <w:t>3、腐蚀废水W2-2和</w:t>
      </w:r>
      <w:r>
        <w:rPr>
          <w:rFonts w:hint="eastAsia" w:ascii="仿宋_GB2312" w:hAnsi="仿宋_GB2312" w:eastAsia="仿宋_GB2312" w:cs="仿宋_GB2312"/>
          <w:b w:val="0"/>
          <w:bCs w:val="0"/>
          <w:kern w:val="0"/>
          <w:sz w:val="28"/>
          <w:szCs w:val="28"/>
          <w:highlight w:val="black"/>
          <w:lang w:val="en-US" w:eastAsia="zh-CN"/>
        </w:rPr>
        <w:t>腐蚀废气G2-</w:t>
      </w:r>
      <w:r>
        <w:rPr>
          <w:rFonts w:hint="eastAsia" w:ascii="仿宋_GB2312" w:hAnsi="仿宋_GB2312" w:cs="仿宋_GB2312"/>
          <w:b w:val="0"/>
          <w:bCs w:val="0"/>
          <w:kern w:val="0"/>
          <w:sz w:val="28"/>
          <w:szCs w:val="28"/>
          <w:highlight w:val="black"/>
          <w:lang w:val="en-US" w:eastAsia="zh-CN"/>
        </w:rPr>
        <w:t>3</w:t>
      </w:r>
      <w:r>
        <w:rPr>
          <w:rFonts w:hint="eastAsia" w:ascii="仿宋_GB2312" w:hAnsi="仿宋_GB2312" w:eastAsia="仿宋_GB2312" w:cs="仿宋_GB2312"/>
          <w:b w:val="0"/>
          <w:bCs w:val="0"/>
          <w:kern w:val="0"/>
          <w:sz w:val="28"/>
          <w:szCs w:val="28"/>
          <w:highlight w:val="black"/>
          <w:lang w:val="en-US" w:eastAsia="zh-CN"/>
        </w:rPr>
        <w:t xml:space="preserve">产生。 </w:t>
      </w:r>
    </w:p>
    <w:p w14:paraId="0492B1F9">
      <w:pPr>
        <w:spacing w:line="500" w:lineRule="exact"/>
        <w:ind w:firstLine="560" w:firstLineChars="0"/>
        <w:rPr>
          <w:rFonts w:ascii="Calibri" w:hAnsi="Calibri" w:eastAsia="宋体" w:cs="Times New Roman"/>
          <w:kern w:val="0"/>
          <w:sz w:val="21"/>
          <w:highlight w:val="black"/>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8</w:t>
      </w:r>
      <w:r>
        <w:rPr>
          <w:rFonts w:ascii="仿宋_GB2312" w:hAnsi="仿宋_GB2312" w:eastAsia="仿宋_GB2312" w:cs="仿宋_GB2312"/>
          <w:b w:val="0"/>
          <w:bCs w:val="0"/>
          <w:kern w:val="0"/>
          <w:sz w:val="28"/>
          <w:szCs w:val="28"/>
          <w:highlight w:val="black"/>
        </w:rPr>
        <w:t>）去膜与后处理：使用</w:t>
      </w:r>
      <w:r>
        <w:rPr>
          <w:rFonts w:hint="eastAsia" w:ascii="仿宋_GB2312" w:hAnsi="仿宋_GB2312" w:cs="仿宋_GB2312"/>
          <w:b w:val="0"/>
          <w:bCs w:val="0"/>
          <w:kern w:val="0"/>
          <w:sz w:val="28"/>
          <w:szCs w:val="28"/>
          <w:highlight w:val="black"/>
          <w:lang w:val="en-US" w:eastAsia="zh-CN"/>
        </w:rPr>
        <w:t>低浓度氢氧化钠溶液</w:t>
      </w:r>
      <w:r>
        <w:rPr>
          <w:rFonts w:ascii="仿宋_GB2312" w:hAnsi="仿宋_GB2312" w:eastAsia="仿宋_GB2312" w:cs="仿宋_GB2312"/>
          <w:b w:val="0"/>
          <w:bCs w:val="0"/>
          <w:kern w:val="0"/>
          <w:sz w:val="28"/>
          <w:szCs w:val="28"/>
          <w:highlight w:val="black"/>
        </w:rPr>
        <w:t>将钢板表面残余干膜彻底去除，再次清洗干净，烘干后准备进行后续检验工序</w:t>
      </w:r>
      <w:r>
        <w:rPr>
          <w:rFonts w:hint="eastAsia" w:ascii="仿宋_GB2312" w:hAnsi="仿宋_GB2312" w:cs="仿宋_GB2312"/>
          <w:b w:val="0"/>
          <w:bCs w:val="0"/>
          <w:kern w:val="0"/>
          <w:sz w:val="28"/>
          <w:szCs w:val="28"/>
          <w:highlight w:val="black"/>
          <w:lang w:eastAsia="zh-CN"/>
        </w:rPr>
        <w:t>，</w:t>
      </w:r>
      <w:r>
        <w:rPr>
          <w:rFonts w:hint="eastAsia" w:ascii="仿宋_GB2312" w:hAnsi="仿宋_GB2312" w:cs="仿宋_GB2312"/>
          <w:b w:val="0"/>
          <w:bCs w:val="0"/>
          <w:kern w:val="0"/>
          <w:sz w:val="28"/>
          <w:szCs w:val="28"/>
          <w:highlight w:val="black"/>
          <w:lang w:val="en-US" w:eastAsia="zh-CN"/>
        </w:rPr>
        <w:t>此过程有W2-3退膜废水产生</w:t>
      </w:r>
      <w:r>
        <w:rPr>
          <w:rFonts w:ascii="仿宋_GB2312" w:hAnsi="仿宋_GB2312" w:eastAsia="仿宋_GB2312" w:cs="仿宋_GB2312"/>
          <w:b w:val="0"/>
          <w:bCs w:val="0"/>
          <w:kern w:val="0"/>
          <w:sz w:val="28"/>
          <w:szCs w:val="28"/>
          <w:highlight w:val="black"/>
        </w:rPr>
        <w:t>。</w:t>
      </w:r>
    </w:p>
    <w:p w14:paraId="12E75914">
      <w:pPr>
        <w:spacing w:line="500" w:lineRule="exact"/>
        <w:ind w:firstLine="560" w:firstLineChars="0"/>
        <w:rPr>
          <w:rFonts w:hint="default" w:ascii="Calibri" w:hAnsi="Calibri" w:eastAsia="仿宋_GB2312" w:cs="Times New Roman"/>
          <w:kern w:val="0"/>
          <w:sz w:val="21"/>
          <w:highlight w:val="black"/>
          <w:lang w:val="en-US" w:eastAsia="zh-CN"/>
        </w:rPr>
      </w:pPr>
      <w:r>
        <w:rPr>
          <w:rFonts w:ascii="仿宋_GB2312" w:hAnsi="仿宋_GB2312" w:eastAsia="仿宋_GB2312" w:cs="仿宋_GB2312"/>
          <w:b w:val="0"/>
          <w:bCs w:val="0"/>
          <w:kern w:val="0"/>
          <w:sz w:val="28"/>
          <w:szCs w:val="28"/>
          <w:highlight w:val="black"/>
        </w:rPr>
        <w:t>（</w:t>
      </w:r>
      <w:r>
        <w:rPr>
          <w:rFonts w:hint="eastAsia" w:ascii="仿宋_GB2312" w:hAnsi="仿宋_GB2312" w:eastAsia="仿宋_GB2312" w:cs="仿宋_GB2312"/>
          <w:b w:val="0"/>
          <w:bCs w:val="0"/>
          <w:kern w:val="0"/>
          <w:sz w:val="28"/>
          <w:szCs w:val="28"/>
          <w:highlight w:val="black"/>
          <w:lang w:val="en-US" w:eastAsia="zh-CN"/>
        </w:rPr>
        <w:t>9</w:t>
      </w:r>
      <w:r>
        <w:rPr>
          <w:rFonts w:ascii="仿宋_GB2312" w:hAnsi="仿宋_GB2312" w:eastAsia="仿宋_GB2312" w:cs="仿宋_GB2312"/>
          <w:b w:val="0"/>
          <w:bCs w:val="0"/>
          <w:kern w:val="0"/>
          <w:sz w:val="28"/>
          <w:szCs w:val="28"/>
          <w:highlight w:val="black"/>
        </w:rPr>
        <w:t>）CNC雕刻加工：</w:t>
      </w:r>
      <w:r>
        <w:rPr>
          <w:rFonts w:hint="eastAsia" w:ascii="仿宋_GB2312" w:hAnsi="仿宋_GB2312" w:cs="仿宋_GB2312"/>
          <w:b w:val="0"/>
          <w:bCs w:val="0"/>
          <w:kern w:val="0"/>
          <w:sz w:val="28"/>
          <w:szCs w:val="28"/>
          <w:highlight w:val="black"/>
          <w:lang w:val="en-US" w:eastAsia="zh-CN"/>
        </w:rPr>
        <w:t>机加工前后使用异丙醇或酒精进行擦拭，此过程有擦拭废气G2-4产生；</w:t>
      </w:r>
      <w:r>
        <w:rPr>
          <w:rFonts w:ascii="仿宋_GB2312" w:hAnsi="仿宋_GB2312" w:eastAsia="仿宋_GB2312" w:cs="仿宋_GB2312"/>
          <w:b w:val="0"/>
          <w:bCs w:val="0"/>
          <w:kern w:val="0"/>
          <w:sz w:val="28"/>
          <w:szCs w:val="28"/>
          <w:highlight w:val="black"/>
        </w:rPr>
        <w:t>将完成前处理的钢板</w:t>
      </w:r>
      <w:r>
        <w:rPr>
          <w:rFonts w:hint="eastAsia" w:ascii="仿宋_GB2312" w:hAnsi="仿宋_GB2312" w:eastAsia="仿宋_GB2312" w:cs="仿宋_GB2312"/>
          <w:b w:val="0"/>
          <w:bCs w:val="0"/>
          <w:kern w:val="0"/>
          <w:sz w:val="28"/>
          <w:szCs w:val="28"/>
          <w:highlight w:val="black"/>
          <w:lang w:val="en-US" w:eastAsia="zh-CN"/>
        </w:rPr>
        <w:t>根据产品需求进一步开展</w:t>
      </w:r>
      <w:r>
        <w:rPr>
          <w:rFonts w:ascii="仿宋_GB2312" w:hAnsi="仿宋_GB2312" w:eastAsia="仿宋_GB2312" w:cs="仿宋_GB2312"/>
          <w:b w:val="0"/>
          <w:bCs w:val="0"/>
          <w:kern w:val="0"/>
          <w:sz w:val="28"/>
          <w:szCs w:val="28"/>
          <w:highlight w:val="black"/>
        </w:rPr>
        <w:t>CNC</w:t>
      </w:r>
      <w:r>
        <w:rPr>
          <w:rFonts w:hint="eastAsia" w:ascii="仿宋_GB2312" w:hAnsi="仿宋_GB2312" w:eastAsia="仿宋_GB2312" w:cs="仿宋_GB2312"/>
          <w:b w:val="0"/>
          <w:bCs w:val="0"/>
          <w:kern w:val="0"/>
          <w:sz w:val="28"/>
          <w:szCs w:val="28"/>
          <w:highlight w:val="black"/>
          <w:lang w:val="en-US" w:eastAsia="zh-CN"/>
        </w:rPr>
        <w:t>雕刻加工</w:t>
      </w:r>
      <w:r>
        <w:rPr>
          <w:rFonts w:hint="eastAsia" w:ascii="仿宋_GB2312" w:hAnsi="仿宋_GB2312" w:eastAsia="仿宋_GB2312" w:cs="仿宋_GB2312"/>
          <w:b w:val="0"/>
          <w:bCs w:val="0"/>
          <w:kern w:val="0"/>
          <w:sz w:val="28"/>
          <w:szCs w:val="28"/>
          <w:highlight w:val="black"/>
          <w:lang w:eastAsia="zh-CN"/>
        </w:rPr>
        <w:t>、</w:t>
      </w:r>
      <w:r>
        <w:rPr>
          <w:rFonts w:ascii="仿宋_GB2312" w:hAnsi="仿宋_GB2312" w:eastAsia="仿宋_GB2312" w:cs="仿宋_GB2312"/>
          <w:b w:val="0"/>
          <w:bCs w:val="0"/>
          <w:kern w:val="0"/>
          <w:sz w:val="28"/>
          <w:szCs w:val="28"/>
          <w:highlight w:val="black"/>
        </w:rPr>
        <w:t>平面磨削</w:t>
      </w:r>
      <w:r>
        <w:rPr>
          <w:rFonts w:hint="eastAsia" w:ascii="仿宋_GB2312" w:hAnsi="仿宋_GB2312" w:eastAsia="仿宋_GB2312" w:cs="仿宋_GB2312"/>
          <w:b w:val="0"/>
          <w:bCs w:val="0"/>
          <w:kern w:val="0"/>
          <w:sz w:val="28"/>
          <w:szCs w:val="28"/>
          <w:highlight w:val="black"/>
          <w:lang w:eastAsia="zh-CN"/>
        </w:rPr>
        <w:t>、</w:t>
      </w:r>
      <w:r>
        <w:rPr>
          <w:rFonts w:ascii="仿宋_GB2312" w:hAnsi="仿宋_GB2312" w:eastAsia="仿宋_GB2312" w:cs="仿宋_GB2312"/>
          <w:b w:val="0"/>
          <w:bCs w:val="0"/>
          <w:kern w:val="0"/>
          <w:sz w:val="28"/>
          <w:szCs w:val="28"/>
          <w:highlight w:val="black"/>
        </w:rPr>
        <w:t>刃口</w:t>
      </w:r>
      <w:r>
        <w:rPr>
          <w:rFonts w:hint="eastAsia" w:ascii="仿宋_GB2312" w:hAnsi="仿宋_GB2312" w:eastAsia="仿宋_GB2312" w:cs="仿宋_GB2312"/>
          <w:b w:val="0"/>
          <w:bCs w:val="0"/>
          <w:kern w:val="0"/>
          <w:sz w:val="28"/>
          <w:szCs w:val="28"/>
          <w:highlight w:val="black"/>
          <w:lang w:val="en-US" w:eastAsia="zh-CN"/>
        </w:rPr>
        <w:t>磨加工</w:t>
      </w:r>
      <w:r>
        <w:rPr>
          <w:rFonts w:hint="eastAsia" w:ascii="仿宋_GB2312" w:hAnsi="仿宋_GB2312" w:eastAsia="仿宋_GB2312" w:cs="仿宋_GB2312"/>
          <w:b w:val="0"/>
          <w:bCs w:val="0"/>
          <w:kern w:val="0"/>
          <w:sz w:val="28"/>
          <w:szCs w:val="28"/>
          <w:highlight w:val="black"/>
          <w:lang w:eastAsia="zh-CN"/>
        </w:rPr>
        <w:t>、</w:t>
      </w:r>
      <w:r>
        <w:rPr>
          <w:rFonts w:ascii="仿宋_GB2312" w:hAnsi="仿宋_GB2312" w:eastAsia="仿宋_GB2312" w:cs="仿宋_GB2312"/>
          <w:b w:val="0"/>
          <w:bCs w:val="0"/>
          <w:kern w:val="0"/>
          <w:sz w:val="28"/>
          <w:szCs w:val="28"/>
          <w:highlight w:val="black"/>
        </w:rPr>
        <w:t>激光加硬处理</w:t>
      </w:r>
      <w:r>
        <w:rPr>
          <w:rFonts w:hint="eastAsia" w:ascii="仿宋_GB2312" w:hAnsi="仿宋_GB2312" w:eastAsia="仿宋_GB2312" w:cs="仿宋_GB2312"/>
          <w:b w:val="0"/>
          <w:bCs w:val="0"/>
          <w:kern w:val="0"/>
          <w:sz w:val="28"/>
          <w:szCs w:val="28"/>
          <w:highlight w:val="black"/>
          <w:lang w:val="en-US" w:eastAsia="zh-CN"/>
        </w:rPr>
        <w:t>等机加工。此过程产生</w:t>
      </w:r>
      <w:r>
        <w:rPr>
          <w:rFonts w:hint="eastAsia" w:ascii="仿宋_GB2312" w:hAnsi="仿宋_GB2312" w:cs="仿宋_GB2312"/>
          <w:b w:val="0"/>
          <w:bCs w:val="0"/>
          <w:kern w:val="0"/>
          <w:sz w:val="28"/>
          <w:szCs w:val="28"/>
          <w:highlight w:val="black"/>
          <w:lang w:val="en-US" w:eastAsia="zh-CN"/>
        </w:rPr>
        <w:t>颗粒物G2-5、有机废气</w:t>
      </w:r>
      <w:r>
        <w:rPr>
          <w:rFonts w:hint="eastAsia" w:ascii="仿宋_GB2312" w:hAnsi="仿宋_GB2312" w:eastAsia="仿宋_GB2312" w:cs="仿宋_GB2312"/>
          <w:b w:val="0"/>
          <w:bCs w:val="0"/>
          <w:kern w:val="0"/>
          <w:sz w:val="28"/>
          <w:szCs w:val="28"/>
          <w:highlight w:val="black"/>
          <w:lang w:val="en-US" w:eastAsia="zh-CN"/>
        </w:rPr>
        <w:t>G2-</w:t>
      </w:r>
      <w:r>
        <w:rPr>
          <w:rFonts w:hint="eastAsia" w:ascii="仿宋_GB2312" w:hAnsi="仿宋_GB2312" w:cs="仿宋_GB2312"/>
          <w:b w:val="0"/>
          <w:bCs w:val="0"/>
          <w:kern w:val="0"/>
          <w:sz w:val="28"/>
          <w:szCs w:val="28"/>
          <w:highlight w:val="black"/>
          <w:lang w:val="en-US" w:eastAsia="zh-CN"/>
        </w:rPr>
        <w:t>6</w:t>
      </w:r>
      <w:r>
        <w:rPr>
          <w:rFonts w:hint="eastAsia" w:ascii="仿宋_GB2312" w:hAnsi="仿宋_GB2312" w:eastAsia="仿宋_GB2312" w:cs="仿宋_GB2312"/>
          <w:b w:val="0"/>
          <w:bCs w:val="0"/>
          <w:kern w:val="0"/>
          <w:sz w:val="28"/>
          <w:szCs w:val="28"/>
          <w:highlight w:val="black"/>
          <w:lang w:val="en-US" w:eastAsia="zh-CN"/>
        </w:rPr>
        <w:t>、金属碎屑S2-</w:t>
      </w:r>
      <w:r>
        <w:rPr>
          <w:rFonts w:hint="eastAsia" w:ascii="仿宋_GB2312" w:hAnsi="仿宋_GB2312" w:cs="仿宋_GB2312"/>
          <w:b w:val="0"/>
          <w:bCs w:val="0"/>
          <w:kern w:val="0"/>
          <w:sz w:val="28"/>
          <w:szCs w:val="28"/>
          <w:highlight w:val="black"/>
          <w:lang w:val="en-US" w:eastAsia="zh-CN"/>
        </w:rPr>
        <w:t>4</w:t>
      </w:r>
      <w:r>
        <w:rPr>
          <w:rFonts w:hint="eastAsia" w:ascii="仿宋_GB2312" w:hAnsi="仿宋_GB2312" w:eastAsia="仿宋_GB2312" w:cs="仿宋_GB2312"/>
          <w:b w:val="0"/>
          <w:bCs w:val="0"/>
          <w:kern w:val="0"/>
          <w:sz w:val="28"/>
          <w:szCs w:val="28"/>
          <w:highlight w:val="black"/>
          <w:lang w:val="en-US" w:eastAsia="zh-CN"/>
        </w:rPr>
        <w:t>、废矿物油S2-</w:t>
      </w:r>
      <w:r>
        <w:rPr>
          <w:rFonts w:hint="eastAsia" w:ascii="仿宋_GB2312" w:hAnsi="仿宋_GB2312" w:cs="仿宋_GB2312"/>
          <w:b w:val="0"/>
          <w:bCs w:val="0"/>
          <w:kern w:val="0"/>
          <w:sz w:val="28"/>
          <w:szCs w:val="28"/>
          <w:highlight w:val="black"/>
          <w:lang w:val="en-US" w:eastAsia="zh-CN"/>
        </w:rPr>
        <w:t>5</w:t>
      </w:r>
      <w:r>
        <w:rPr>
          <w:rFonts w:hint="eastAsia" w:ascii="仿宋_GB2312" w:hAnsi="仿宋_GB2312" w:eastAsia="仿宋_GB2312" w:cs="仿宋_GB2312"/>
          <w:b w:val="0"/>
          <w:bCs w:val="0"/>
          <w:kern w:val="0"/>
          <w:sz w:val="28"/>
          <w:szCs w:val="28"/>
          <w:highlight w:val="black"/>
          <w:lang w:val="en-US" w:eastAsia="zh-CN"/>
        </w:rPr>
        <w:t>等。</w:t>
      </w:r>
    </w:p>
    <w:p w14:paraId="6C35318A">
      <w:pPr>
        <w:bidi w:val="0"/>
        <w:rPr>
          <w:rFonts w:hint="eastAsia"/>
          <w:highlight w:val="black"/>
        </w:rPr>
      </w:pPr>
      <w:r>
        <w:rPr>
          <w:highlight w:val="black"/>
        </w:rPr>
        <w:t>（</w:t>
      </w:r>
      <w:r>
        <w:rPr>
          <w:rFonts w:hint="eastAsia"/>
          <w:highlight w:val="black"/>
          <w:lang w:val="en-US" w:eastAsia="zh-CN"/>
        </w:rPr>
        <w:t>10</w:t>
      </w:r>
      <w:r>
        <w:rPr>
          <w:highlight w:val="black"/>
        </w:rPr>
        <w:t>）</w:t>
      </w:r>
      <w:r>
        <w:rPr>
          <w:rFonts w:hint="eastAsia"/>
          <w:highlight w:val="black"/>
          <w:lang w:val="en-US" w:eastAsia="zh-CN"/>
        </w:rPr>
        <w:t>镀铬</w:t>
      </w:r>
      <w:r>
        <w:rPr>
          <w:highlight w:val="black"/>
        </w:rPr>
        <w:t>：</w:t>
      </w:r>
      <w:r>
        <w:rPr>
          <w:rFonts w:hint="eastAsia"/>
          <w:highlight w:val="black"/>
          <w:lang w:val="en-US" w:eastAsia="zh-CN"/>
        </w:rPr>
        <w:t>与凹印版一样，</w:t>
      </w:r>
      <w:r>
        <w:rPr>
          <w:rFonts w:hint="eastAsia"/>
          <w:highlight w:val="black"/>
        </w:rPr>
        <w:t>采用镀硬铬工艺，铬层具有高硬度和低摩擦性，可以保护镀铜层和提高版辊的耐印率。镀铬以铬酐、硫酸、镀铬添加剂（主要成分为甲基磺酸钠、水）、铬雾抑制剂（主要成分为十三氟辛磺酸）为原料在镀铬槽中镀铬。镀铬温度为</w:t>
      </w:r>
      <w:r>
        <w:rPr>
          <w:rFonts w:hint="eastAsia"/>
          <w:highlight w:val="black"/>
          <w:lang w:val="en-US" w:eastAsia="zh-CN"/>
        </w:rPr>
        <w:t>58-60</w:t>
      </w:r>
      <w:r>
        <w:rPr>
          <w:rFonts w:hint="eastAsia"/>
          <w:highlight w:val="black"/>
        </w:rPr>
        <w:t>℃，镀铬时间约为</w:t>
      </w:r>
      <w:r>
        <w:rPr>
          <w:rFonts w:hint="eastAsia"/>
          <w:highlight w:val="black"/>
          <w:lang w:val="en-US" w:eastAsia="zh-CN"/>
        </w:rPr>
        <w:t>10</w:t>
      </w:r>
      <w:r>
        <w:rPr>
          <w:rFonts w:hint="eastAsia"/>
          <w:highlight w:val="black"/>
        </w:rPr>
        <w:t>min；铬酐200-280g/L、硫酸2.8-3g/L；镀层厚度</w:t>
      </w:r>
      <w:r>
        <w:rPr>
          <w:rFonts w:hint="eastAsia"/>
          <w:highlight w:val="black"/>
          <w:lang w:val="en-US" w:eastAsia="zh-CN"/>
        </w:rPr>
        <w:t>5-8</w:t>
      </w:r>
      <w:r>
        <w:rPr>
          <w:rFonts w:hint="eastAsia"/>
          <w:highlight w:val="black"/>
        </w:rPr>
        <w:t>μm。铬酐用于增加镀液中铬离子，硫酸是铬沉积和溶膜的关键因素，镀铬添加剂提高铬层光亮度、硬度。</w:t>
      </w:r>
    </w:p>
    <w:p w14:paraId="64A02AFE">
      <w:pPr>
        <w:bidi w:val="0"/>
        <w:rPr>
          <w:rFonts w:hint="eastAsia"/>
          <w:highlight w:val="black"/>
        </w:rPr>
      </w:pPr>
      <w:r>
        <w:rPr>
          <w:rFonts w:hint="eastAsia"/>
          <w:highlight w:val="black"/>
        </w:rPr>
        <w:t>镀铬后，使用纯水，在铬槽中对镀铬后的版辊进行喷淋清洗</w:t>
      </w:r>
      <w:r>
        <w:rPr>
          <w:rFonts w:hint="eastAsia"/>
          <w:highlight w:val="black"/>
          <w:lang w:eastAsia="zh-CN"/>
        </w:rPr>
        <w:t>。</w:t>
      </w:r>
      <w:r>
        <w:rPr>
          <w:rFonts w:hint="eastAsia"/>
          <w:highlight w:val="black"/>
          <w:lang w:val="en-US" w:eastAsia="zh-CN"/>
        </w:rPr>
        <w:t>铬</w:t>
      </w:r>
      <w:r>
        <w:rPr>
          <w:rFonts w:hint="eastAsia"/>
          <w:highlight w:val="black"/>
          <w:lang w:eastAsia="zh-CN"/>
        </w:rPr>
        <w:t>槽为上下槽，镀</w:t>
      </w:r>
      <w:r>
        <w:rPr>
          <w:rFonts w:hint="eastAsia"/>
          <w:highlight w:val="black"/>
          <w:lang w:val="en-US" w:eastAsia="zh-CN"/>
        </w:rPr>
        <w:t>铬</w:t>
      </w:r>
      <w:r>
        <w:rPr>
          <w:rFonts w:hint="eastAsia"/>
          <w:highlight w:val="black"/>
          <w:lang w:eastAsia="zh-CN"/>
        </w:rPr>
        <w:t>之后，电镀液进入下槽，在上槽用纯水对版辊进行彻底冲洗以达到下一步工序要求的版辊洁净度，冲洗完之后版辊被取出镀槽，进入下一道。</w:t>
      </w:r>
    </w:p>
    <w:p w14:paraId="3974337B">
      <w:pPr>
        <w:bidi w:val="0"/>
        <w:rPr>
          <w:rFonts w:hint="eastAsia"/>
          <w:highlight w:val="black"/>
        </w:rPr>
      </w:pPr>
      <w:r>
        <w:rPr>
          <w:rFonts w:hint="eastAsia" w:ascii="仿宋_GB2312" w:hAnsi="仿宋_GB2312" w:eastAsia="仿宋_GB2312" w:cs="仿宋_GB2312"/>
          <w:b w:val="0"/>
          <w:bCs w:val="0"/>
          <w:kern w:val="0"/>
          <w:szCs w:val="28"/>
          <w:highlight w:val="black"/>
        </w:rPr>
        <w:t>为保持槽体浓度，日常定期对槽体取样分析槽液浓度，根据分</w:t>
      </w:r>
      <w:r>
        <w:rPr>
          <w:rFonts w:hint="eastAsia"/>
          <w:highlight w:val="black"/>
        </w:rPr>
        <w:t>析结果，对槽液定期添加药剂或者加入纯水稀释，槽体内槽液日常循环使用</w:t>
      </w:r>
      <w:r>
        <w:rPr>
          <w:rFonts w:hint="eastAsia"/>
          <w:highlight w:val="black"/>
          <w:lang w:eastAsia="zh-CN"/>
        </w:rPr>
        <w:t>，平均每隔一个月左右，槽内电镀液将会被抽出经设备自带过滤器过滤净化后再回到电镀槽内。</w:t>
      </w:r>
      <w:r>
        <w:rPr>
          <w:rFonts w:hint="eastAsia"/>
          <w:highlight w:val="black"/>
        </w:rPr>
        <w:t>为防止长期使用槽液可能影响电镀效果，企业约每两年更换一次新槽液。此工段产生</w:t>
      </w:r>
      <w:r>
        <w:rPr>
          <w:rFonts w:hint="eastAsia"/>
          <w:highlight w:val="black"/>
          <w:lang w:val="en-US" w:eastAsia="zh-CN"/>
        </w:rPr>
        <w:t>S2-6</w:t>
      </w:r>
      <w:r>
        <w:rPr>
          <w:rFonts w:hint="eastAsia"/>
          <w:highlight w:val="black"/>
        </w:rPr>
        <w:t>含铬废液、</w:t>
      </w:r>
      <w:r>
        <w:rPr>
          <w:rFonts w:hint="eastAsia"/>
          <w:highlight w:val="black"/>
          <w:lang w:eastAsia="zh-CN"/>
        </w:rPr>
        <w:t>S</w:t>
      </w:r>
      <w:r>
        <w:rPr>
          <w:rFonts w:hint="eastAsia"/>
          <w:highlight w:val="black"/>
          <w:lang w:val="en-US" w:eastAsia="zh-CN"/>
        </w:rPr>
        <w:t>2-7</w:t>
      </w:r>
      <w:r>
        <w:rPr>
          <w:rFonts w:hint="eastAsia"/>
          <w:highlight w:val="black"/>
          <w:lang w:eastAsia="zh-CN"/>
        </w:rPr>
        <w:t>废过滤芯、</w:t>
      </w:r>
      <w:r>
        <w:rPr>
          <w:rFonts w:hint="eastAsia"/>
          <w:highlight w:val="black"/>
          <w:lang w:val="en-US" w:eastAsia="zh-CN"/>
        </w:rPr>
        <w:t>酸性废气G2-7和含铬废水W2-4</w:t>
      </w:r>
      <w:r>
        <w:rPr>
          <w:rFonts w:hint="eastAsia"/>
          <w:highlight w:val="black"/>
        </w:rPr>
        <w:t>。</w:t>
      </w:r>
    </w:p>
    <w:p w14:paraId="7C60A660">
      <w:pPr>
        <w:bidi w:val="0"/>
        <w:rPr>
          <w:highlight w:val="black"/>
        </w:rPr>
      </w:pPr>
      <w:r>
        <w:rPr>
          <w:highlight w:val="black"/>
        </w:rPr>
        <w:t>（</w:t>
      </w:r>
      <w:r>
        <w:rPr>
          <w:rFonts w:hint="eastAsia"/>
          <w:highlight w:val="black"/>
          <w:lang w:val="en-US" w:eastAsia="zh-CN"/>
        </w:rPr>
        <w:t>11</w:t>
      </w:r>
      <w:r>
        <w:rPr>
          <w:highlight w:val="black"/>
        </w:rPr>
        <w:t>）</w:t>
      </w:r>
      <w:r>
        <w:rPr>
          <w:rFonts w:hint="eastAsia"/>
          <w:highlight w:val="black"/>
          <w:lang w:val="en-US" w:eastAsia="zh-CN"/>
        </w:rPr>
        <w:t>抛光处理</w:t>
      </w:r>
      <w:r>
        <w:rPr>
          <w:highlight w:val="black"/>
        </w:rPr>
        <w:t>：使用</w:t>
      </w:r>
      <w:r>
        <w:rPr>
          <w:rFonts w:hint="eastAsia"/>
          <w:highlight w:val="black"/>
          <w:lang w:val="en-US" w:eastAsia="zh-CN"/>
        </w:rPr>
        <w:t>砂轮打磨，抛光过程不断使用纯水冲洗，以达到可以印刷的版辊洁净度。该过程产生W2-4含铬废水和废砂轮S2-8</w:t>
      </w:r>
      <w:r>
        <w:rPr>
          <w:highlight w:val="black"/>
        </w:rPr>
        <w:t>。</w:t>
      </w:r>
    </w:p>
    <w:p w14:paraId="70E362E7">
      <w:pPr>
        <w:bidi w:val="0"/>
        <w:rPr>
          <w:rFonts w:hint="eastAsia"/>
          <w:lang w:val="en-US" w:eastAsia="zh-CN"/>
        </w:rPr>
      </w:pPr>
      <w:r>
        <w:rPr>
          <w:highlight w:val="black"/>
        </w:rPr>
        <w:t>（</w:t>
      </w:r>
      <w:r>
        <w:rPr>
          <w:rFonts w:hint="eastAsia"/>
          <w:highlight w:val="black"/>
          <w:lang w:val="en-US" w:eastAsia="zh-CN"/>
        </w:rPr>
        <w:t>12</w:t>
      </w:r>
      <w:r>
        <w:rPr>
          <w:highlight w:val="black"/>
        </w:rPr>
        <w:t>）检验</w:t>
      </w:r>
      <w:r>
        <w:rPr>
          <w:rFonts w:hint="eastAsia"/>
          <w:highlight w:val="black"/>
          <w:lang w:val="en-US" w:eastAsia="zh-CN"/>
        </w:rPr>
        <w:t>发货</w:t>
      </w:r>
      <w:r>
        <w:rPr>
          <w:highlight w:val="black"/>
        </w:rPr>
        <w:t>：确认</w:t>
      </w:r>
      <w:r>
        <w:rPr>
          <w:rFonts w:hint="eastAsia"/>
          <w:highlight w:val="black"/>
        </w:rPr>
        <w:t>模切角度、刀高和底板厚度</w:t>
      </w:r>
      <w:r>
        <w:rPr>
          <w:highlight w:val="black"/>
        </w:rPr>
        <w:t>符合客户规格要求</w:t>
      </w:r>
      <w:r>
        <w:rPr>
          <w:rFonts w:hint="eastAsia"/>
          <w:highlight w:val="black"/>
          <w:lang w:val="en-US" w:eastAsia="zh-CN"/>
        </w:rPr>
        <w:t>后包装发货，此过程有不合格品S2-9产生</w:t>
      </w:r>
      <w:r>
        <w:rPr>
          <w:rFonts w:hint="eastAsia"/>
          <w:highlight w:val="black"/>
          <w:lang w:eastAsia="zh-CN"/>
        </w:rPr>
        <w:t>。</w:t>
      </w:r>
    </w:p>
    <w:p w14:paraId="46B21BEA">
      <w:pPr>
        <w:pStyle w:val="5"/>
        <w:bidi w:val="0"/>
        <w:rPr>
          <w:rFonts w:hint="eastAsia"/>
        </w:rPr>
      </w:pPr>
      <w:bookmarkStart w:id="171" w:name="_Toc23268"/>
      <w:r>
        <w:rPr>
          <w:rFonts w:hint="eastAsia"/>
          <w:lang w:val="en-US" w:eastAsia="zh-CN"/>
        </w:rPr>
        <w:t>热压模板</w:t>
      </w:r>
      <w:bookmarkEnd w:id="171"/>
      <w:r>
        <w:rPr>
          <w:rFonts w:hint="eastAsia"/>
          <w:lang w:val="en-US" w:eastAsia="zh-CN"/>
        </w:rPr>
        <w:t>工艺流程</w:t>
      </w:r>
    </w:p>
    <w:p w14:paraId="6E08BBF6">
      <w:pPr>
        <w:pStyle w:val="26"/>
        <w:bidi w:val="0"/>
        <w:rPr>
          <w:rFonts w:hint="default"/>
          <w:lang w:val="en-US" w:eastAsia="zh-CN"/>
        </w:rPr>
      </w:pPr>
      <w:r>
        <w:rPr>
          <w:rFonts w:hint="eastAsia"/>
          <w:lang w:val="en-US" w:eastAsia="zh-CN"/>
        </w:rPr>
        <w:t>涉密</w:t>
      </w:r>
    </w:p>
    <w:p w14:paraId="601FC47A">
      <w:pPr>
        <w:pStyle w:val="25"/>
        <w:bidi w:val="0"/>
        <w:rPr>
          <w:rFonts w:hint="default"/>
          <w:color w:val="auto"/>
          <w:lang w:val="en-US"/>
        </w:rPr>
      </w:pPr>
      <w:r>
        <w:rPr>
          <w:color w:val="auto"/>
        </w:rPr>
        <w:t>图</w:t>
      </w:r>
      <w:r>
        <w:rPr>
          <w:color w:val="auto"/>
        </w:rPr>
        <w:fldChar w:fldCharType="begin"/>
      </w:r>
      <w:r>
        <w:rPr>
          <w:color w:val="auto"/>
        </w:rPr>
        <w:instrText xml:space="preserve"> STYLEREF 2 \s </w:instrText>
      </w:r>
      <w:r>
        <w:rPr>
          <w:color w:val="auto"/>
        </w:rPr>
        <w:fldChar w:fldCharType="separate"/>
      </w:r>
      <w:r>
        <w:rPr>
          <w:color w:val="auto"/>
        </w:rPr>
        <w:t>4.2</w:t>
      </w:r>
      <w:r>
        <w:rPr>
          <w:color w:val="auto"/>
        </w:rPr>
        <w:fldChar w:fldCharType="end"/>
      </w:r>
      <w:r>
        <w:rPr>
          <w:color w:val="auto"/>
        </w:rPr>
        <w:noBreakHyphen/>
      </w:r>
      <w:r>
        <w:rPr>
          <w:color w:val="auto"/>
        </w:rPr>
        <w:fldChar w:fldCharType="begin"/>
      </w:r>
      <w:r>
        <w:rPr>
          <w:color w:val="auto"/>
        </w:rPr>
        <w:instrText xml:space="preserve"> SEQ 图 \* ARABIC \s 2 </w:instrText>
      </w:r>
      <w:r>
        <w:rPr>
          <w:color w:val="auto"/>
        </w:rPr>
        <w:fldChar w:fldCharType="separate"/>
      </w:r>
      <w:r>
        <w:rPr>
          <w:color w:val="auto"/>
        </w:rPr>
        <w:t>5</w:t>
      </w:r>
      <w:r>
        <w:rPr>
          <w:color w:val="auto"/>
        </w:rPr>
        <w:fldChar w:fldCharType="end"/>
      </w:r>
      <w:r>
        <w:rPr>
          <w:rFonts w:hint="eastAsia"/>
          <w:color w:val="auto"/>
          <w:lang w:val="en-US" w:eastAsia="zh-CN"/>
        </w:rPr>
        <w:t>热压模板</w:t>
      </w:r>
      <w:r>
        <w:rPr>
          <w:color w:val="auto"/>
          <w:lang w:val="en-US" w:eastAsia="zh-CN"/>
        </w:rPr>
        <w:t>工艺流程及产污环节</w:t>
      </w:r>
      <w:r>
        <w:rPr>
          <w:rFonts w:hint="eastAsia"/>
          <w:color w:val="auto"/>
          <w:lang w:val="en-US" w:eastAsia="zh-CN"/>
        </w:rPr>
        <w:t>图</w:t>
      </w:r>
    </w:p>
    <w:p w14:paraId="7CA99F62">
      <w:pPr>
        <w:adjustRightInd/>
        <w:snapToGrid/>
        <w:ind w:firstLine="0" w:firstLineChars="0"/>
        <w:rPr>
          <w:b/>
          <w:bCs/>
          <w:color w:val="auto"/>
        </w:rPr>
      </w:pPr>
      <w:r>
        <w:rPr>
          <w:rFonts w:hint="eastAsia"/>
          <w:b/>
          <w:bCs/>
          <w:color w:val="auto"/>
        </w:rPr>
        <w:t>工艺</w:t>
      </w:r>
      <w:r>
        <w:rPr>
          <w:rFonts w:hint="eastAsia"/>
          <w:b/>
          <w:bCs/>
          <w:color w:val="auto"/>
          <w:lang w:val="en-US" w:eastAsia="zh-CN"/>
        </w:rPr>
        <w:t>描述</w:t>
      </w:r>
      <w:r>
        <w:rPr>
          <w:rFonts w:hint="eastAsia"/>
          <w:b/>
          <w:bCs/>
          <w:color w:val="auto"/>
        </w:rPr>
        <w:t>：</w:t>
      </w:r>
    </w:p>
    <w:p w14:paraId="42BA870D">
      <w:pPr>
        <w:rPr>
          <w:rFonts w:hint="eastAsia"/>
          <w:color w:val="auto"/>
          <w:highlight w:val="black"/>
          <w:lang w:val="en-US" w:eastAsia="zh-CN"/>
        </w:rPr>
      </w:pPr>
      <w:r>
        <w:rPr>
          <w:rFonts w:hint="eastAsia"/>
          <w:color w:val="auto"/>
          <w:highlight w:val="black"/>
          <w:lang w:val="en-US" w:eastAsia="zh-CN"/>
        </w:rPr>
        <w:t>（1）除油清洗：使用除油机对金属片表面进行去除油脂和清洗，其机器主要有以下三个工段：a．中温热碱除油；b．水洗；c．干燥，该工序主要产生W3-1除油清洗废水、G3-1碱雾、S3-1脱脂废液。</w:t>
      </w:r>
    </w:p>
    <w:p w14:paraId="791C98A2">
      <w:pPr>
        <w:rPr>
          <w:rFonts w:hint="eastAsia"/>
          <w:color w:val="auto"/>
          <w:highlight w:val="black"/>
          <w:lang w:val="en-US" w:eastAsia="zh-CN"/>
        </w:rPr>
      </w:pPr>
      <w:r>
        <w:rPr>
          <w:rFonts w:hint="eastAsia"/>
          <w:color w:val="auto"/>
          <w:highlight w:val="black"/>
          <w:lang w:val="en-US" w:eastAsia="zh-CN"/>
        </w:rPr>
        <w:t>（2）喷胶：在版面均匀地滚涂一层 4um 厚度的感光液，挂胶过程全封闭，喷胶后自然干燥 10min 即可，无需进行加热烘烤。此过程中会挥发出G3-2有机废气。</w:t>
      </w:r>
    </w:p>
    <w:p w14:paraId="4DFAB76B">
      <w:pPr>
        <w:rPr>
          <w:rFonts w:hint="eastAsia"/>
          <w:color w:val="auto"/>
          <w:highlight w:val="black"/>
          <w:lang w:val="en-US" w:eastAsia="zh-CN"/>
        </w:rPr>
      </w:pPr>
      <w:r>
        <w:rPr>
          <w:rFonts w:hint="eastAsia"/>
          <w:color w:val="auto"/>
          <w:highlight w:val="black"/>
          <w:lang w:val="en-US" w:eastAsia="zh-CN"/>
        </w:rPr>
        <w:t>（3）曝光：在曝光机内，采用激光变频照射在干膜发生光聚合反应，使其产生抗腐蚀作用，该过程会产生G3-3有机废气。</w:t>
      </w:r>
    </w:p>
    <w:p w14:paraId="15460F06">
      <w:pPr>
        <w:rPr>
          <w:rFonts w:hint="eastAsia"/>
          <w:color w:val="auto"/>
          <w:highlight w:val="black"/>
          <w:lang w:val="en-US" w:eastAsia="zh-CN"/>
        </w:rPr>
      </w:pPr>
      <w:r>
        <w:rPr>
          <w:rFonts w:hint="eastAsia"/>
          <w:color w:val="auto"/>
          <w:highlight w:val="black"/>
          <w:lang w:val="en-US" w:eastAsia="zh-CN"/>
        </w:rPr>
        <w:t>（4）显影：在显影机中进行显影，显影目的是将未发生光聚合反应部分的干膜去除，具体为在第一个雾化室中用温度为30-35℃3%的碳酸钠将未曝光的干膜去除，接着再先后用干净的碱和水清洗，最后在60℃左右的环境中干燥。该工序会产生G3-</w:t>
      </w:r>
      <w:r>
        <w:rPr>
          <w:rFonts w:hint="default"/>
          <w:color w:val="auto"/>
          <w:highlight w:val="black"/>
          <w:lang w:val="en-US" w:eastAsia="zh-CN"/>
        </w:rPr>
        <w:t>1</w:t>
      </w:r>
      <w:r>
        <w:rPr>
          <w:rFonts w:hint="eastAsia"/>
          <w:color w:val="auto"/>
          <w:highlight w:val="black"/>
          <w:lang w:val="en-US" w:eastAsia="zh-CN"/>
        </w:rPr>
        <w:t>碱雾、W3-2显影废水、S3-2显影废液。</w:t>
      </w:r>
    </w:p>
    <w:p w14:paraId="1D52D12E">
      <w:pPr>
        <w:rPr>
          <w:rFonts w:hint="default"/>
          <w:color w:val="auto"/>
          <w:highlight w:val="black"/>
          <w:lang w:val="en-US" w:eastAsia="zh-CN"/>
        </w:rPr>
      </w:pPr>
      <w:r>
        <w:rPr>
          <w:rFonts w:hint="eastAsia"/>
          <w:color w:val="auto"/>
          <w:highlight w:val="black"/>
          <w:lang w:val="en-US" w:eastAsia="zh-CN"/>
        </w:rPr>
        <w:t>（5）固化：显影后会经过UV光热进行固定，可以更好的吸附版面，防止蚀刻过程中掉胶。此过程中会挥发出G3-4有机废气。</w:t>
      </w:r>
    </w:p>
    <w:p w14:paraId="7E9AD60B">
      <w:pPr>
        <w:rPr>
          <w:rFonts w:hint="eastAsia"/>
          <w:color w:val="auto"/>
          <w:highlight w:val="black"/>
          <w:lang w:val="en-US" w:eastAsia="zh-CN"/>
        </w:rPr>
      </w:pPr>
      <w:r>
        <w:rPr>
          <w:rFonts w:hint="eastAsia"/>
          <w:color w:val="auto"/>
          <w:highlight w:val="black"/>
          <w:lang w:val="en-US" w:eastAsia="zh-CN"/>
        </w:rPr>
        <w:t>（6）蚀刻：该步骤在蚀刻机中的上下两个酸性氯化铁酸雾室中完成的，将酸性氯化铁喷到金属块表面“铣除”显影出来的金属表面。该蚀刻工序会产生的G3-5酸雾、W3-3蚀刻废水、S3-3蚀刻废液。</w:t>
      </w:r>
    </w:p>
    <w:p w14:paraId="7B76AEFC">
      <w:pPr>
        <w:rPr>
          <w:rFonts w:hint="eastAsia"/>
          <w:color w:val="auto"/>
          <w:highlight w:val="black"/>
          <w:lang w:val="en-US" w:eastAsia="zh-CN"/>
        </w:rPr>
      </w:pPr>
      <w:r>
        <w:rPr>
          <w:rFonts w:hint="eastAsia"/>
          <w:color w:val="auto"/>
          <w:highlight w:val="black"/>
          <w:lang w:val="en-US" w:eastAsia="zh-CN"/>
        </w:rPr>
        <w:t>（7）退膜：在退膜机中将发生光聚合反应的“抗蚀”干膜去除，采用10%氢氧化钠在50℃喷到构件表面将聚合的感光胶清洗干净，然后再用水清洗，再在60℃环境中干燥。该过程会产生G3-1碱雾、W3-4退膜废水和S3-4退膜废液。</w:t>
      </w:r>
    </w:p>
    <w:p w14:paraId="7285715D">
      <w:pPr>
        <w:rPr>
          <w:rFonts w:hint="eastAsia"/>
          <w:color w:val="auto"/>
          <w:highlight w:val="black"/>
          <w:lang w:val="en-US" w:eastAsia="zh-CN"/>
        </w:rPr>
      </w:pPr>
      <w:r>
        <w:rPr>
          <w:rFonts w:hint="eastAsia"/>
          <w:color w:val="auto"/>
          <w:highlight w:val="black"/>
          <w:lang w:val="en-US" w:eastAsia="zh-CN"/>
        </w:rPr>
        <w:t>（8）镀铬：与磁性横切刀版一样，采用镀硬铬工艺，铬层具有高硬度和低摩擦性，可以保护镀铜层和提高版辊的耐印率。镀铬以铬酐、硫酸、镀铬添加剂（主要成分为甲基磺酸钠、水）、铬雾抑制剂（主要成分为十三氟辛磺酸）为原料在镀铬槽中镀铬。镀铬温度为48-52℃，镀铬时间约为6~7min；铬酐200-280g/L、硫酸2.8-3g/L；镀层厚度5μm。铬酐用于增加镀液中铬离子，硫酸是铬沉积和溶膜的关键因素，镀铬添加剂提高铬层光亮度、硬度。</w:t>
      </w:r>
    </w:p>
    <w:p w14:paraId="34921068">
      <w:pPr>
        <w:rPr>
          <w:rFonts w:hint="eastAsia"/>
          <w:color w:val="auto"/>
          <w:highlight w:val="black"/>
          <w:lang w:val="en-US" w:eastAsia="zh-CN"/>
        </w:rPr>
      </w:pPr>
      <w:r>
        <w:rPr>
          <w:rFonts w:hint="eastAsia"/>
          <w:color w:val="auto"/>
          <w:highlight w:val="black"/>
          <w:lang w:val="en-US" w:eastAsia="zh-CN"/>
        </w:rPr>
        <w:t>镀铬后，使用纯水，在铬槽中对镀铬后的版辊进行喷淋清洗。铬槽为上下槽，镀铬之后，电镀液进入下槽，在上槽用纯水对版辊进行彻底冲洗以达到下一步工序要求的版辊洁净度，冲洗完之后版辊被取出镀槽，进入下一道。</w:t>
      </w:r>
    </w:p>
    <w:p w14:paraId="652781A3">
      <w:pPr>
        <w:rPr>
          <w:rFonts w:hint="eastAsia"/>
          <w:color w:val="auto"/>
          <w:highlight w:val="black"/>
          <w:lang w:val="en-US" w:eastAsia="zh-CN"/>
        </w:rPr>
      </w:pPr>
      <w:r>
        <w:rPr>
          <w:rFonts w:hint="eastAsia"/>
          <w:color w:val="auto"/>
          <w:highlight w:val="black"/>
          <w:lang w:val="en-US" w:eastAsia="zh-CN"/>
        </w:rPr>
        <w:t>为保持槽体浓度，日常定期对槽体取样分析槽液浓度，根据分析结果，对槽液定期添加药剂或者加入纯水稀释，槽体内槽液日常循环使用，平均每隔一个月左右，槽内电镀液将会被抽出经设备自带过滤器过滤净化后再回到电镀槽内。为防止长期使用槽液可能影响电镀效果，企业约每两年更换一次新槽液。此工段产生S3-5含铬废液、S3-6废过滤芯、酸性废气G3-6和含铬废水W3-5。</w:t>
      </w:r>
    </w:p>
    <w:p w14:paraId="581F62E9">
      <w:pPr>
        <w:rPr>
          <w:rFonts w:hint="eastAsia"/>
          <w:color w:val="auto"/>
          <w:highlight w:val="black"/>
          <w:lang w:val="en-US" w:eastAsia="zh-CN"/>
        </w:rPr>
      </w:pPr>
      <w:r>
        <w:rPr>
          <w:rFonts w:hint="eastAsia"/>
          <w:color w:val="auto"/>
          <w:highlight w:val="black"/>
          <w:lang w:val="en-US" w:eastAsia="zh-CN"/>
        </w:rPr>
        <w:t>（9）裁剪发货：按客户规格要求后裁剪后包装发货。此过程产生废边角料S3-7产生。</w:t>
      </w:r>
    </w:p>
    <w:p w14:paraId="2B9404EA">
      <w:pPr>
        <w:pStyle w:val="4"/>
        <w:bidi w:val="0"/>
        <w:rPr>
          <w:rFonts w:hint="default"/>
          <w:lang w:val="en-US" w:eastAsia="zh-CN"/>
        </w:rPr>
      </w:pPr>
      <w:bookmarkStart w:id="172" w:name="_Toc6650"/>
      <w:r>
        <w:rPr>
          <w:rFonts w:hint="eastAsia"/>
          <w:lang w:val="en-US" w:eastAsia="zh-CN"/>
        </w:rPr>
        <w:t>产污环节汇总</w:t>
      </w:r>
      <w:bookmarkEnd w:id="172"/>
    </w:p>
    <w:p w14:paraId="70E0617F">
      <w:pPr>
        <w:bidi w:val="0"/>
        <w:rPr>
          <w:rFonts w:hint="eastAsia"/>
          <w:lang w:val="en-US" w:eastAsia="zh-CN"/>
        </w:rPr>
      </w:pPr>
      <w:r>
        <w:rPr>
          <w:rFonts w:hint="eastAsia"/>
          <w:lang w:val="en-US" w:eastAsia="zh-CN"/>
        </w:rPr>
        <w:t>产品生产各工序产污环节汇总情况如下：</w:t>
      </w:r>
    </w:p>
    <w:p w14:paraId="72A31456">
      <w:pPr>
        <w:spacing w:before="50" w:beforeLines="50" w:line="360" w:lineRule="auto"/>
        <w:jc w:val="center"/>
        <w:outlineLvl w:val="4"/>
        <w:rPr>
          <w:rFonts w:hint="eastAsia"/>
          <w:color w:val="auto"/>
          <w:lang w:val="en-US" w:eastAsia="zh-CN"/>
        </w:rPr>
      </w:pPr>
      <w:r>
        <w:rPr>
          <w:rFonts w:hint="eastAsia" w:ascii="Times New Roman" w:hAnsi="Times New Roman" w:eastAsia="仿宋_GB2312" w:cstheme="minorBidi"/>
          <w:b/>
          <w:kern w:val="2"/>
          <w:sz w:val="24"/>
          <w:szCs w:val="22"/>
          <w:lang w:val="en-US" w:eastAsia="zh-CN" w:bidi="ar-SA"/>
        </w:rPr>
        <w:t>表</w:t>
      </w:r>
      <w:r>
        <w:rPr>
          <w:rFonts w:hint="eastAsia" w:ascii="Times New Roman" w:hAnsi="Times New Roman" w:eastAsia="仿宋_GB2312" w:cstheme="minorBidi"/>
          <w:b/>
          <w:kern w:val="2"/>
          <w:sz w:val="24"/>
          <w:szCs w:val="22"/>
          <w:lang w:val="en-US" w:eastAsia="zh-CN" w:bidi="ar-SA"/>
        </w:rPr>
        <w:fldChar w:fldCharType="begin"/>
      </w:r>
      <w:r>
        <w:rPr>
          <w:rFonts w:hint="eastAsia" w:ascii="Times New Roman" w:hAnsi="Times New Roman" w:eastAsia="仿宋_GB2312" w:cstheme="minorBidi"/>
          <w:b/>
          <w:kern w:val="2"/>
          <w:sz w:val="24"/>
          <w:szCs w:val="22"/>
          <w:lang w:val="en-US" w:eastAsia="zh-CN" w:bidi="ar-SA"/>
        </w:rPr>
        <w:instrText xml:space="preserve"> STYLEREF 2 \s </w:instrText>
      </w:r>
      <w:r>
        <w:rPr>
          <w:rFonts w:hint="eastAsia" w:ascii="Times New Roman" w:hAnsi="Times New Roman" w:eastAsia="仿宋_GB2312" w:cstheme="minorBidi"/>
          <w:b/>
          <w:kern w:val="2"/>
          <w:sz w:val="24"/>
          <w:szCs w:val="22"/>
          <w:lang w:val="en-US" w:eastAsia="zh-CN" w:bidi="ar-SA"/>
        </w:rPr>
        <w:fldChar w:fldCharType="separate"/>
      </w:r>
      <w:r>
        <w:rPr>
          <w:rFonts w:hint="eastAsia" w:ascii="Times New Roman" w:hAnsi="Times New Roman" w:eastAsia="仿宋_GB2312" w:cstheme="minorBidi"/>
          <w:b/>
          <w:kern w:val="2"/>
          <w:sz w:val="24"/>
          <w:szCs w:val="22"/>
          <w:lang w:val="en-US" w:eastAsia="zh-CN" w:bidi="ar-SA"/>
        </w:rPr>
        <w:t>4.3</w:t>
      </w:r>
      <w:r>
        <w:rPr>
          <w:rFonts w:hint="eastAsia" w:ascii="Times New Roman" w:hAnsi="Times New Roman" w:eastAsia="仿宋_GB2312" w:cstheme="minorBidi"/>
          <w:b/>
          <w:kern w:val="2"/>
          <w:sz w:val="24"/>
          <w:szCs w:val="22"/>
          <w:lang w:val="en-US" w:eastAsia="zh-CN" w:bidi="ar-SA"/>
        </w:rPr>
        <w:fldChar w:fldCharType="end"/>
      </w:r>
      <w:r>
        <w:rPr>
          <w:rFonts w:hint="eastAsia" w:ascii="Times New Roman" w:hAnsi="Times New Roman" w:eastAsia="仿宋_GB2312" w:cstheme="minorBidi"/>
          <w:b/>
          <w:kern w:val="2"/>
          <w:sz w:val="24"/>
          <w:szCs w:val="22"/>
          <w:lang w:val="en-US" w:eastAsia="zh-CN" w:bidi="ar-SA"/>
        </w:rPr>
        <w:noBreakHyphen/>
      </w:r>
      <w:r>
        <w:rPr>
          <w:rFonts w:hint="eastAsia" w:ascii="Times New Roman" w:hAnsi="Times New Roman" w:eastAsia="仿宋_GB2312" w:cstheme="minorBidi"/>
          <w:b/>
          <w:kern w:val="2"/>
          <w:sz w:val="24"/>
          <w:szCs w:val="22"/>
          <w:lang w:val="en-US" w:eastAsia="zh-CN" w:bidi="ar-SA"/>
        </w:rPr>
        <w:fldChar w:fldCharType="begin"/>
      </w:r>
      <w:r>
        <w:rPr>
          <w:rFonts w:hint="eastAsia" w:ascii="Times New Roman" w:hAnsi="Times New Roman" w:eastAsia="仿宋_GB2312" w:cstheme="minorBidi"/>
          <w:b/>
          <w:kern w:val="2"/>
          <w:sz w:val="24"/>
          <w:szCs w:val="22"/>
          <w:lang w:val="en-US" w:eastAsia="zh-CN" w:bidi="ar-SA"/>
        </w:rPr>
        <w:instrText xml:space="preserve"> SEQ 表 \* ARABIC \s 2 </w:instrText>
      </w:r>
      <w:r>
        <w:rPr>
          <w:rFonts w:hint="eastAsia" w:ascii="Times New Roman" w:hAnsi="Times New Roman" w:eastAsia="仿宋_GB2312" w:cstheme="minorBidi"/>
          <w:b/>
          <w:kern w:val="2"/>
          <w:sz w:val="24"/>
          <w:szCs w:val="22"/>
          <w:lang w:val="en-US" w:eastAsia="zh-CN" w:bidi="ar-SA"/>
        </w:rPr>
        <w:fldChar w:fldCharType="separate"/>
      </w:r>
      <w:r>
        <w:rPr>
          <w:rFonts w:hint="eastAsia" w:ascii="Times New Roman" w:hAnsi="Times New Roman" w:eastAsia="仿宋_GB2312" w:cstheme="minorBidi"/>
          <w:b/>
          <w:kern w:val="2"/>
          <w:sz w:val="24"/>
          <w:szCs w:val="22"/>
          <w:lang w:val="en-US" w:eastAsia="zh-CN" w:bidi="ar-SA"/>
        </w:rPr>
        <w:t>1</w:t>
      </w:r>
      <w:r>
        <w:rPr>
          <w:rFonts w:hint="eastAsia" w:ascii="Times New Roman" w:hAnsi="Times New Roman" w:eastAsia="仿宋_GB2312" w:cstheme="minorBidi"/>
          <w:b/>
          <w:kern w:val="2"/>
          <w:sz w:val="24"/>
          <w:szCs w:val="22"/>
          <w:lang w:val="en-US" w:eastAsia="zh-CN" w:bidi="ar-SA"/>
        </w:rPr>
        <w:fldChar w:fldCharType="end"/>
      </w:r>
      <w:r>
        <w:rPr>
          <w:rFonts w:hint="eastAsia" w:ascii="Times New Roman" w:hAnsi="Times New Roman" w:eastAsia="仿宋_GB2312" w:cstheme="minorBidi"/>
          <w:b/>
          <w:kern w:val="2"/>
          <w:sz w:val="24"/>
          <w:szCs w:val="22"/>
          <w:lang w:val="en-US" w:eastAsia="zh-CN" w:bidi="ar-SA"/>
        </w:rPr>
        <w:t>本项目产污环节一览表</w:t>
      </w:r>
    </w:p>
    <w:tbl>
      <w:tblPr>
        <w:tblStyle w:val="50"/>
        <w:tblW w:w="52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52"/>
        <w:gridCol w:w="1059"/>
        <w:gridCol w:w="1027"/>
        <w:gridCol w:w="1535"/>
        <w:gridCol w:w="1447"/>
        <w:gridCol w:w="1084"/>
        <w:gridCol w:w="2304"/>
      </w:tblGrid>
      <w:tr w14:paraId="5ED7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1384" w:type="pct"/>
            <w:gridSpan w:val="3"/>
            <w:tcBorders>
              <w:tl2br w:val="nil"/>
              <w:tr2bl w:val="nil"/>
            </w:tcBorders>
            <w:vAlign w:val="center"/>
          </w:tcPr>
          <w:p w14:paraId="66231FA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污染物类别</w:t>
            </w:r>
          </w:p>
        </w:tc>
        <w:tc>
          <w:tcPr>
            <w:tcW w:w="871" w:type="pct"/>
            <w:vMerge w:val="restart"/>
            <w:tcBorders>
              <w:tl2br w:val="nil"/>
              <w:tr2bl w:val="nil"/>
            </w:tcBorders>
            <w:vAlign w:val="center"/>
          </w:tcPr>
          <w:p w14:paraId="4AE67D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污染因子/评价因子</w:t>
            </w:r>
          </w:p>
        </w:tc>
        <w:tc>
          <w:tcPr>
            <w:tcW w:w="821" w:type="pct"/>
            <w:vMerge w:val="restart"/>
            <w:tcBorders>
              <w:tl2br w:val="nil"/>
              <w:tr2bl w:val="nil"/>
            </w:tcBorders>
            <w:vAlign w:val="center"/>
          </w:tcPr>
          <w:p w14:paraId="7DBA7A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污染物名称</w:t>
            </w:r>
          </w:p>
        </w:tc>
        <w:tc>
          <w:tcPr>
            <w:tcW w:w="615" w:type="pct"/>
            <w:vMerge w:val="restart"/>
            <w:tcBorders>
              <w:tl2br w:val="nil"/>
              <w:tr2bl w:val="nil"/>
            </w:tcBorders>
            <w:vAlign w:val="center"/>
          </w:tcPr>
          <w:p w14:paraId="3272E5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污染工段</w:t>
            </w:r>
          </w:p>
        </w:tc>
        <w:tc>
          <w:tcPr>
            <w:tcW w:w="1307" w:type="pct"/>
            <w:vMerge w:val="restart"/>
            <w:tcBorders>
              <w:tl2br w:val="nil"/>
              <w:tr2bl w:val="nil"/>
            </w:tcBorders>
            <w:vAlign w:val="center"/>
          </w:tcPr>
          <w:p w14:paraId="7D5E29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处置方式及排放去向</w:t>
            </w:r>
          </w:p>
        </w:tc>
      </w:tr>
      <w:tr w14:paraId="3E631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801" w:type="pct"/>
            <w:gridSpan w:val="2"/>
            <w:tcBorders>
              <w:tl2br w:val="nil"/>
              <w:tr2bl w:val="nil"/>
            </w:tcBorders>
            <w:vAlign w:val="center"/>
          </w:tcPr>
          <w:p w14:paraId="5C5E955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车间名称</w:t>
            </w:r>
          </w:p>
        </w:tc>
        <w:tc>
          <w:tcPr>
            <w:tcW w:w="582" w:type="pct"/>
            <w:tcBorders>
              <w:tl2br w:val="nil"/>
              <w:tr2bl w:val="nil"/>
            </w:tcBorders>
            <w:vAlign w:val="center"/>
          </w:tcPr>
          <w:p w14:paraId="6B8FCB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编号</w:t>
            </w:r>
          </w:p>
        </w:tc>
        <w:tc>
          <w:tcPr>
            <w:tcW w:w="871" w:type="pct"/>
            <w:vMerge w:val="continue"/>
            <w:tcBorders>
              <w:tl2br w:val="nil"/>
              <w:tr2bl w:val="nil"/>
            </w:tcBorders>
            <w:vAlign w:val="center"/>
          </w:tcPr>
          <w:p w14:paraId="0F508E7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821" w:type="pct"/>
            <w:vMerge w:val="continue"/>
            <w:tcBorders>
              <w:tl2br w:val="nil"/>
              <w:tr2bl w:val="nil"/>
            </w:tcBorders>
            <w:vAlign w:val="center"/>
          </w:tcPr>
          <w:p w14:paraId="35A176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15" w:type="pct"/>
            <w:vMerge w:val="continue"/>
            <w:tcBorders>
              <w:tl2br w:val="nil"/>
              <w:tr2bl w:val="nil"/>
            </w:tcBorders>
            <w:vAlign w:val="center"/>
          </w:tcPr>
          <w:p w14:paraId="7F668D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1307" w:type="pct"/>
            <w:vMerge w:val="continue"/>
            <w:tcBorders>
              <w:tl2br w:val="nil"/>
              <w:tr2bl w:val="nil"/>
            </w:tcBorders>
            <w:vAlign w:val="center"/>
          </w:tcPr>
          <w:p w14:paraId="43D8B60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r>
      <w:tr w14:paraId="4300D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200" w:type="pct"/>
            <w:vMerge w:val="restart"/>
            <w:tcBorders>
              <w:tl2br w:val="nil"/>
              <w:tr2bl w:val="nil"/>
            </w:tcBorders>
            <w:vAlign w:val="center"/>
          </w:tcPr>
          <w:p w14:paraId="019B75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废气</w:t>
            </w:r>
          </w:p>
        </w:tc>
        <w:tc>
          <w:tcPr>
            <w:tcW w:w="601" w:type="pct"/>
            <w:vMerge w:val="restart"/>
            <w:tcBorders>
              <w:tl2br w:val="nil"/>
              <w:tr2bl w:val="nil"/>
            </w:tcBorders>
            <w:vAlign w:val="center"/>
          </w:tcPr>
          <w:p w14:paraId="35418D1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凹印版</w:t>
            </w:r>
          </w:p>
        </w:tc>
        <w:tc>
          <w:tcPr>
            <w:tcW w:w="582" w:type="pct"/>
            <w:tcBorders>
              <w:tl2br w:val="nil"/>
              <w:tr2bl w:val="nil"/>
            </w:tcBorders>
            <w:vAlign w:val="center"/>
          </w:tcPr>
          <w:p w14:paraId="4D9624F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G1</w:t>
            </w:r>
            <w:r>
              <w:rPr>
                <w:rFonts w:hint="eastAsia" w:cs="Times New Roman"/>
                <w:color w:val="000000"/>
                <w:spacing w:val="-11"/>
                <w:kern w:val="0"/>
                <w:sz w:val="21"/>
                <w:szCs w:val="21"/>
                <w:lang w:val="en-US" w:eastAsia="zh-CN" w:bidi="ar-SA"/>
              </w:rPr>
              <w:t>-1</w:t>
            </w:r>
          </w:p>
        </w:tc>
        <w:tc>
          <w:tcPr>
            <w:tcW w:w="871" w:type="pct"/>
            <w:tcBorders>
              <w:tl2br w:val="nil"/>
              <w:tr2bl w:val="nil"/>
            </w:tcBorders>
            <w:shd w:val="clear" w:color="auto" w:fill="auto"/>
            <w:vAlign w:val="center"/>
          </w:tcPr>
          <w:p w14:paraId="19A9E1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颗粒物</w:t>
            </w:r>
          </w:p>
        </w:tc>
        <w:tc>
          <w:tcPr>
            <w:tcW w:w="821" w:type="pct"/>
            <w:tcBorders>
              <w:tl2br w:val="nil"/>
              <w:tr2bl w:val="nil"/>
            </w:tcBorders>
            <w:shd w:val="clear" w:color="auto" w:fill="auto"/>
            <w:vAlign w:val="center"/>
          </w:tcPr>
          <w:p w14:paraId="5F2EF81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焊接废气</w:t>
            </w:r>
          </w:p>
        </w:tc>
        <w:tc>
          <w:tcPr>
            <w:tcW w:w="615" w:type="pct"/>
            <w:tcBorders>
              <w:tl2br w:val="nil"/>
              <w:tr2bl w:val="nil"/>
            </w:tcBorders>
            <w:shd w:val="clear" w:color="auto" w:fill="auto"/>
            <w:vAlign w:val="center"/>
          </w:tcPr>
          <w:p w14:paraId="678317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焊接</w:t>
            </w:r>
          </w:p>
        </w:tc>
        <w:tc>
          <w:tcPr>
            <w:tcW w:w="1307" w:type="pct"/>
            <w:tcBorders>
              <w:tl2br w:val="nil"/>
              <w:tr2bl w:val="nil"/>
            </w:tcBorders>
            <w:shd w:val="clear" w:color="auto" w:fill="auto"/>
            <w:vAlign w:val="center"/>
          </w:tcPr>
          <w:p w14:paraId="3F36155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移动式焊烟净化器</w:t>
            </w:r>
          </w:p>
        </w:tc>
      </w:tr>
      <w:tr w14:paraId="13FE7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200" w:type="pct"/>
            <w:vMerge w:val="continue"/>
            <w:tcBorders>
              <w:tl2br w:val="nil"/>
              <w:tr2bl w:val="nil"/>
            </w:tcBorders>
            <w:vAlign w:val="center"/>
          </w:tcPr>
          <w:p w14:paraId="7B751B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46C19C8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17D5614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G1-2</w:t>
            </w:r>
          </w:p>
        </w:tc>
        <w:tc>
          <w:tcPr>
            <w:tcW w:w="871" w:type="pct"/>
            <w:tcBorders>
              <w:tl2br w:val="nil"/>
              <w:tr2bl w:val="nil"/>
            </w:tcBorders>
            <w:vAlign w:val="center"/>
          </w:tcPr>
          <w:p w14:paraId="4F9A86D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颗粒物</w:t>
            </w:r>
          </w:p>
        </w:tc>
        <w:tc>
          <w:tcPr>
            <w:tcW w:w="821" w:type="pct"/>
            <w:tcBorders>
              <w:tl2br w:val="nil"/>
              <w:tr2bl w:val="nil"/>
            </w:tcBorders>
            <w:vAlign w:val="center"/>
          </w:tcPr>
          <w:p w14:paraId="10D01A4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切割粉尘</w:t>
            </w:r>
          </w:p>
        </w:tc>
        <w:tc>
          <w:tcPr>
            <w:tcW w:w="615" w:type="pct"/>
            <w:tcBorders>
              <w:tl2br w:val="nil"/>
              <w:tr2bl w:val="nil"/>
            </w:tcBorders>
            <w:vAlign w:val="center"/>
          </w:tcPr>
          <w:p w14:paraId="13CA129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切割</w:t>
            </w:r>
          </w:p>
        </w:tc>
        <w:tc>
          <w:tcPr>
            <w:tcW w:w="1307" w:type="pct"/>
            <w:tcBorders>
              <w:tl2br w:val="nil"/>
              <w:tr2bl w:val="nil"/>
            </w:tcBorders>
            <w:vAlign w:val="center"/>
          </w:tcPr>
          <w:p w14:paraId="74056F0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移动式</w:t>
            </w:r>
            <w:r>
              <w:rPr>
                <w:rFonts w:hint="eastAsia" w:cs="Times New Roman"/>
                <w:color w:val="000000"/>
                <w:spacing w:val="-11"/>
                <w:kern w:val="0"/>
                <w:sz w:val="21"/>
                <w:szCs w:val="21"/>
                <w:highlight w:val="black"/>
                <w:lang w:val="en-US" w:eastAsia="zh-CN" w:bidi="ar-SA"/>
              </w:rPr>
              <w:t>烟尘</w:t>
            </w:r>
            <w:r>
              <w:rPr>
                <w:rFonts w:ascii="Times New Roman" w:hAnsi="Times New Roman" w:eastAsia="仿宋_GB2312" w:cs="Times New Roman"/>
                <w:color w:val="000000"/>
                <w:spacing w:val="-11"/>
                <w:kern w:val="0"/>
                <w:sz w:val="21"/>
                <w:szCs w:val="21"/>
                <w:highlight w:val="black"/>
                <w:lang w:val="en-US" w:eastAsia="zh-CN" w:bidi="ar-SA"/>
              </w:rPr>
              <w:t>净化器</w:t>
            </w:r>
          </w:p>
        </w:tc>
      </w:tr>
      <w:tr w14:paraId="26B84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200" w:type="pct"/>
            <w:vMerge w:val="continue"/>
            <w:tcBorders>
              <w:tl2br w:val="nil"/>
              <w:tr2bl w:val="nil"/>
            </w:tcBorders>
            <w:vAlign w:val="center"/>
          </w:tcPr>
          <w:p w14:paraId="3FC7CCA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CDCDD0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1D5522D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FF0000"/>
                <w:spacing w:val="-11"/>
                <w:kern w:val="0"/>
                <w:sz w:val="21"/>
                <w:szCs w:val="21"/>
                <w:lang w:val="en-US" w:eastAsia="zh-CN" w:bidi="ar-SA"/>
              </w:rPr>
              <w:t>G1-3</w:t>
            </w:r>
          </w:p>
        </w:tc>
        <w:tc>
          <w:tcPr>
            <w:tcW w:w="871" w:type="pct"/>
            <w:tcBorders>
              <w:tl2br w:val="nil"/>
              <w:tr2bl w:val="nil"/>
            </w:tcBorders>
            <w:shd w:val="clear" w:color="auto" w:fill="auto"/>
            <w:vAlign w:val="center"/>
          </w:tcPr>
          <w:p w14:paraId="730F8A6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821" w:type="pct"/>
            <w:tcBorders>
              <w:tl2br w:val="nil"/>
              <w:tr2bl w:val="nil"/>
            </w:tcBorders>
            <w:shd w:val="clear" w:color="auto" w:fill="auto"/>
            <w:vAlign w:val="center"/>
          </w:tcPr>
          <w:p w14:paraId="447A139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cs="Times New Roman"/>
                <w:color w:val="000000"/>
                <w:spacing w:val="-11"/>
                <w:kern w:val="0"/>
                <w:sz w:val="21"/>
                <w:szCs w:val="21"/>
                <w:highlight w:val="black"/>
                <w:lang w:val="en-US" w:eastAsia="zh-CN" w:bidi="ar-SA"/>
              </w:rPr>
              <w:t>有机</w:t>
            </w:r>
            <w:r>
              <w:rPr>
                <w:rFonts w:ascii="Times New Roman" w:hAnsi="Times New Roman" w:eastAsia="仿宋_GB2312" w:cs="Times New Roman"/>
                <w:color w:val="000000"/>
                <w:spacing w:val="-11"/>
                <w:kern w:val="0"/>
                <w:sz w:val="21"/>
                <w:szCs w:val="21"/>
                <w:highlight w:val="black"/>
                <w:lang w:val="en-US" w:eastAsia="zh-CN" w:bidi="ar-SA"/>
              </w:rPr>
              <w:t>废气</w:t>
            </w:r>
          </w:p>
        </w:tc>
        <w:tc>
          <w:tcPr>
            <w:tcW w:w="615" w:type="pct"/>
            <w:tcBorders>
              <w:tl2br w:val="nil"/>
              <w:tr2bl w:val="nil"/>
            </w:tcBorders>
            <w:shd w:val="clear" w:color="auto" w:fill="auto"/>
            <w:vAlign w:val="center"/>
          </w:tcPr>
          <w:p w14:paraId="091B04F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cs="Times New Roman"/>
                <w:color w:val="000000"/>
                <w:spacing w:val="-11"/>
                <w:kern w:val="0"/>
                <w:sz w:val="21"/>
                <w:szCs w:val="21"/>
                <w:highlight w:val="black"/>
                <w:lang w:val="en-US" w:eastAsia="zh-CN" w:bidi="ar-SA"/>
              </w:rPr>
              <w:t>机</w:t>
            </w:r>
            <w:r>
              <w:rPr>
                <w:rFonts w:ascii="Times New Roman" w:hAnsi="Times New Roman" w:eastAsia="仿宋_GB2312" w:cs="Times New Roman"/>
                <w:color w:val="000000"/>
                <w:spacing w:val="-11"/>
                <w:kern w:val="0"/>
                <w:sz w:val="21"/>
                <w:szCs w:val="21"/>
                <w:highlight w:val="black"/>
                <w:lang w:val="en-US" w:eastAsia="zh-CN" w:bidi="ar-SA"/>
              </w:rPr>
              <w:t>加工</w:t>
            </w:r>
          </w:p>
        </w:tc>
        <w:tc>
          <w:tcPr>
            <w:tcW w:w="1307" w:type="pct"/>
            <w:tcBorders>
              <w:tl2br w:val="nil"/>
              <w:tr2bl w:val="nil"/>
            </w:tcBorders>
            <w:shd w:val="clear" w:color="auto" w:fill="auto"/>
            <w:vAlign w:val="center"/>
          </w:tcPr>
          <w:p w14:paraId="712556C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经油雾净化装置处理后，无组织排放</w:t>
            </w:r>
          </w:p>
        </w:tc>
      </w:tr>
      <w:tr w14:paraId="387EC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00" w:type="pct"/>
            <w:vMerge w:val="continue"/>
            <w:tcBorders>
              <w:tl2br w:val="nil"/>
              <w:tr2bl w:val="nil"/>
            </w:tcBorders>
            <w:vAlign w:val="center"/>
          </w:tcPr>
          <w:p w14:paraId="23FFE2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3BF8F05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7BBBBE8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G</w:t>
            </w:r>
            <w:r>
              <w:rPr>
                <w:rFonts w:hint="eastAsia" w:cs="Times New Roman"/>
                <w:color w:val="000000"/>
                <w:spacing w:val="-11"/>
                <w:kern w:val="0"/>
                <w:sz w:val="21"/>
                <w:szCs w:val="21"/>
                <w:lang w:val="en-US" w:eastAsia="zh-CN" w:bidi="ar-SA"/>
              </w:rPr>
              <w:t>1-4</w:t>
            </w:r>
          </w:p>
        </w:tc>
        <w:tc>
          <w:tcPr>
            <w:tcW w:w="871" w:type="pct"/>
            <w:tcBorders>
              <w:tl2br w:val="nil"/>
              <w:tr2bl w:val="nil"/>
            </w:tcBorders>
            <w:shd w:val="clear" w:color="auto" w:fill="auto"/>
            <w:vAlign w:val="center"/>
          </w:tcPr>
          <w:p w14:paraId="5DCBD92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颗粒物</w:t>
            </w:r>
          </w:p>
        </w:tc>
        <w:tc>
          <w:tcPr>
            <w:tcW w:w="821" w:type="pct"/>
            <w:tcBorders>
              <w:tl2br w:val="nil"/>
              <w:tr2bl w:val="nil"/>
            </w:tcBorders>
            <w:shd w:val="clear" w:color="auto" w:fill="auto"/>
            <w:vAlign w:val="center"/>
          </w:tcPr>
          <w:p w14:paraId="5DE3014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打号粉尘</w:t>
            </w:r>
          </w:p>
        </w:tc>
        <w:tc>
          <w:tcPr>
            <w:tcW w:w="615" w:type="pct"/>
            <w:tcBorders>
              <w:tl2br w:val="nil"/>
              <w:tr2bl w:val="nil"/>
            </w:tcBorders>
            <w:shd w:val="clear" w:color="auto" w:fill="auto"/>
            <w:vAlign w:val="center"/>
          </w:tcPr>
          <w:p w14:paraId="77EF68D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打号</w:t>
            </w:r>
          </w:p>
        </w:tc>
        <w:tc>
          <w:tcPr>
            <w:tcW w:w="1307" w:type="pct"/>
            <w:tcBorders>
              <w:tl2br w:val="nil"/>
              <w:tr2bl w:val="nil"/>
            </w:tcBorders>
            <w:shd w:val="clear" w:color="auto" w:fill="auto"/>
            <w:vAlign w:val="center"/>
          </w:tcPr>
          <w:p w14:paraId="387317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D959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 w:hRule="atLeast"/>
          <w:jc w:val="center"/>
        </w:trPr>
        <w:tc>
          <w:tcPr>
            <w:tcW w:w="200" w:type="pct"/>
            <w:vMerge w:val="continue"/>
            <w:tcBorders>
              <w:tl2br w:val="nil"/>
              <w:tr2bl w:val="nil"/>
            </w:tcBorders>
            <w:vAlign w:val="center"/>
          </w:tcPr>
          <w:p w14:paraId="53013F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0A3B2E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0A35E9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G1-5</w:t>
            </w:r>
          </w:p>
        </w:tc>
        <w:tc>
          <w:tcPr>
            <w:tcW w:w="871" w:type="pct"/>
            <w:tcBorders>
              <w:tl2br w:val="nil"/>
              <w:tr2bl w:val="nil"/>
            </w:tcBorders>
            <w:vAlign w:val="center"/>
          </w:tcPr>
          <w:p w14:paraId="0BD29DD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碱雾</w:t>
            </w:r>
          </w:p>
        </w:tc>
        <w:tc>
          <w:tcPr>
            <w:tcW w:w="821" w:type="pct"/>
            <w:tcBorders>
              <w:tl2br w:val="nil"/>
              <w:tr2bl w:val="nil"/>
            </w:tcBorders>
            <w:vAlign w:val="center"/>
          </w:tcPr>
          <w:p w14:paraId="2CBA286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脱脂废气</w:t>
            </w:r>
          </w:p>
        </w:tc>
        <w:tc>
          <w:tcPr>
            <w:tcW w:w="615" w:type="pct"/>
            <w:tcBorders>
              <w:tl2br w:val="nil"/>
              <w:tr2bl w:val="nil"/>
            </w:tcBorders>
            <w:vAlign w:val="center"/>
          </w:tcPr>
          <w:p w14:paraId="6C15D72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w:t>
            </w:r>
          </w:p>
        </w:tc>
        <w:tc>
          <w:tcPr>
            <w:tcW w:w="1307" w:type="pct"/>
            <w:tcBorders>
              <w:tl2br w:val="nil"/>
              <w:tr2bl w:val="nil"/>
            </w:tcBorders>
            <w:vAlign w:val="center"/>
          </w:tcPr>
          <w:p w14:paraId="182097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65B6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36E331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31F9B9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1179378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G1-6</w:t>
            </w:r>
          </w:p>
        </w:tc>
        <w:tc>
          <w:tcPr>
            <w:tcW w:w="871" w:type="pct"/>
            <w:tcBorders>
              <w:tl2br w:val="nil"/>
              <w:tr2bl w:val="nil"/>
            </w:tcBorders>
            <w:vAlign w:val="center"/>
          </w:tcPr>
          <w:p w14:paraId="6B394FC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硫酸雾、氯化氢</w:t>
            </w:r>
          </w:p>
        </w:tc>
        <w:tc>
          <w:tcPr>
            <w:tcW w:w="821" w:type="pct"/>
            <w:tcBorders>
              <w:tl2br w:val="nil"/>
              <w:tr2bl w:val="nil"/>
            </w:tcBorders>
            <w:vAlign w:val="center"/>
          </w:tcPr>
          <w:p w14:paraId="3126431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镀铜废气</w:t>
            </w:r>
          </w:p>
        </w:tc>
        <w:tc>
          <w:tcPr>
            <w:tcW w:w="615" w:type="pct"/>
            <w:tcBorders>
              <w:tl2br w:val="nil"/>
              <w:tr2bl w:val="nil"/>
            </w:tcBorders>
            <w:vAlign w:val="center"/>
          </w:tcPr>
          <w:p w14:paraId="68AFDDB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镀铜</w:t>
            </w:r>
          </w:p>
        </w:tc>
        <w:tc>
          <w:tcPr>
            <w:tcW w:w="1307" w:type="pct"/>
            <w:tcBorders>
              <w:tl2br w:val="nil"/>
              <w:tr2bl w:val="nil"/>
            </w:tcBorders>
            <w:vAlign w:val="center"/>
          </w:tcPr>
          <w:p w14:paraId="025BE7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9C79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00" w:type="pct"/>
            <w:vMerge w:val="continue"/>
            <w:tcBorders>
              <w:tl2br w:val="nil"/>
              <w:tr2bl w:val="nil"/>
            </w:tcBorders>
            <w:textDirection w:val="tbRlV"/>
            <w:vAlign w:val="center"/>
          </w:tcPr>
          <w:p w14:paraId="13C229F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D3C57F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0788B6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G1-7</w:t>
            </w:r>
          </w:p>
        </w:tc>
        <w:tc>
          <w:tcPr>
            <w:tcW w:w="871" w:type="pct"/>
            <w:tcBorders>
              <w:tl2br w:val="nil"/>
              <w:tr2bl w:val="nil"/>
            </w:tcBorders>
            <w:vAlign w:val="center"/>
          </w:tcPr>
          <w:p w14:paraId="662D070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铬酸雾、硫酸雾</w:t>
            </w:r>
          </w:p>
        </w:tc>
        <w:tc>
          <w:tcPr>
            <w:tcW w:w="821" w:type="pct"/>
            <w:tcBorders>
              <w:tl2br w:val="nil"/>
              <w:tr2bl w:val="nil"/>
            </w:tcBorders>
            <w:vAlign w:val="center"/>
          </w:tcPr>
          <w:p w14:paraId="40AE1C1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酸性废气</w:t>
            </w:r>
          </w:p>
        </w:tc>
        <w:tc>
          <w:tcPr>
            <w:tcW w:w="615" w:type="pct"/>
            <w:tcBorders>
              <w:tl2br w:val="nil"/>
              <w:tr2bl w:val="nil"/>
            </w:tcBorders>
            <w:vAlign w:val="center"/>
          </w:tcPr>
          <w:p w14:paraId="7626756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镀铬、退铬</w:t>
            </w:r>
          </w:p>
        </w:tc>
        <w:tc>
          <w:tcPr>
            <w:tcW w:w="1307" w:type="pct"/>
            <w:tcBorders>
              <w:tl2br w:val="nil"/>
              <w:tr2bl w:val="nil"/>
            </w:tcBorders>
            <w:vAlign w:val="center"/>
          </w:tcPr>
          <w:p w14:paraId="5B2141F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D71E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4F6F9E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A3CB5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5B84634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G1-8</w:t>
            </w:r>
          </w:p>
        </w:tc>
        <w:tc>
          <w:tcPr>
            <w:tcW w:w="871" w:type="pct"/>
            <w:tcBorders>
              <w:tl2br w:val="nil"/>
              <w:tr2bl w:val="nil"/>
            </w:tcBorders>
            <w:shd w:val="clear" w:color="auto" w:fill="auto"/>
            <w:vAlign w:val="center"/>
          </w:tcPr>
          <w:p w14:paraId="68463A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821" w:type="pct"/>
            <w:tcBorders>
              <w:tl2br w:val="nil"/>
              <w:tr2bl w:val="nil"/>
            </w:tcBorders>
            <w:shd w:val="clear" w:color="auto" w:fill="auto"/>
            <w:vAlign w:val="center"/>
          </w:tcPr>
          <w:p w14:paraId="5693BF6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打样废气</w:t>
            </w:r>
          </w:p>
        </w:tc>
        <w:tc>
          <w:tcPr>
            <w:tcW w:w="615" w:type="pct"/>
            <w:tcBorders>
              <w:tl2br w:val="nil"/>
              <w:tr2bl w:val="nil"/>
            </w:tcBorders>
            <w:shd w:val="clear" w:color="auto" w:fill="auto"/>
            <w:vAlign w:val="center"/>
          </w:tcPr>
          <w:p w14:paraId="03CAC9C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打样</w:t>
            </w:r>
          </w:p>
        </w:tc>
        <w:tc>
          <w:tcPr>
            <w:tcW w:w="1307" w:type="pct"/>
            <w:tcBorders>
              <w:tl2br w:val="nil"/>
              <w:tr2bl w:val="nil"/>
            </w:tcBorders>
            <w:vAlign w:val="center"/>
          </w:tcPr>
          <w:p w14:paraId="3DCCE72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BEC4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0D991B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5BBC168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磁性模切刀版</w:t>
            </w:r>
          </w:p>
        </w:tc>
        <w:tc>
          <w:tcPr>
            <w:tcW w:w="582" w:type="pct"/>
            <w:tcBorders>
              <w:tl2br w:val="nil"/>
              <w:tr2bl w:val="nil"/>
            </w:tcBorders>
            <w:vAlign w:val="center"/>
          </w:tcPr>
          <w:p w14:paraId="6371EA2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G2-1</w:t>
            </w:r>
          </w:p>
        </w:tc>
        <w:tc>
          <w:tcPr>
            <w:tcW w:w="871" w:type="pct"/>
            <w:tcBorders>
              <w:tl2br w:val="nil"/>
              <w:tr2bl w:val="nil"/>
            </w:tcBorders>
            <w:shd w:val="clear" w:color="auto" w:fill="auto"/>
            <w:vAlign w:val="center"/>
          </w:tcPr>
          <w:p w14:paraId="04B9377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821" w:type="pct"/>
            <w:tcBorders>
              <w:tl2br w:val="nil"/>
              <w:tr2bl w:val="nil"/>
            </w:tcBorders>
            <w:shd w:val="clear" w:color="auto" w:fill="auto"/>
            <w:vAlign w:val="center"/>
          </w:tcPr>
          <w:p w14:paraId="627A2A4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UV打印废气</w:t>
            </w:r>
          </w:p>
        </w:tc>
        <w:tc>
          <w:tcPr>
            <w:tcW w:w="615" w:type="pct"/>
            <w:tcBorders>
              <w:tl2br w:val="nil"/>
              <w:tr2bl w:val="nil"/>
            </w:tcBorders>
            <w:shd w:val="clear" w:color="auto" w:fill="auto"/>
            <w:vAlign w:val="center"/>
          </w:tcPr>
          <w:p w14:paraId="4A64E0B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UV打印</w:t>
            </w:r>
          </w:p>
        </w:tc>
        <w:tc>
          <w:tcPr>
            <w:tcW w:w="1307" w:type="pct"/>
            <w:tcBorders>
              <w:tl2br w:val="nil"/>
              <w:tr2bl w:val="nil"/>
            </w:tcBorders>
            <w:vAlign w:val="center"/>
          </w:tcPr>
          <w:p w14:paraId="1E3BA95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38E2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75EA0D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C22DF9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1392310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G2-2</w:t>
            </w:r>
          </w:p>
        </w:tc>
        <w:tc>
          <w:tcPr>
            <w:tcW w:w="871" w:type="pct"/>
            <w:tcBorders>
              <w:tl2br w:val="nil"/>
              <w:tr2bl w:val="nil"/>
            </w:tcBorders>
            <w:shd w:val="clear" w:color="auto" w:fill="auto"/>
            <w:vAlign w:val="center"/>
          </w:tcPr>
          <w:p w14:paraId="5205A32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821" w:type="pct"/>
            <w:tcBorders>
              <w:tl2br w:val="nil"/>
              <w:tr2bl w:val="nil"/>
            </w:tcBorders>
            <w:shd w:val="clear" w:color="auto" w:fill="auto"/>
            <w:vAlign w:val="center"/>
          </w:tcPr>
          <w:p w14:paraId="7B8FAA4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曝光废气</w:t>
            </w:r>
          </w:p>
        </w:tc>
        <w:tc>
          <w:tcPr>
            <w:tcW w:w="615" w:type="pct"/>
            <w:tcBorders>
              <w:tl2br w:val="nil"/>
              <w:tr2bl w:val="nil"/>
            </w:tcBorders>
            <w:shd w:val="clear" w:color="auto" w:fill="auto"/>
            <w:vAlign w:val="center"/>
          </w:tcPr>
          <w:p w14:paraId="0BA7108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曝光</w:t>
            </w:r>
          </w:p>
        </w:tc>
        <w:tc>
          <w:tcPr>
            <w:tcW w:w="1307" w:type="pct"/>
            <w:tcBorders>
              <w:tl2br w:val="nil"/>
              <w:tr2bl w:val="nil"/>
            </w:tcBorders>
            <w:vAlign w:val="center"/>
          </w:tcPr>
          <w:p w14:paraId="6C12E9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D589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4BDFDB9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5D5788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07EEBFA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G2-3</w:t>
            </w:r>
          </w:p>
        </w:tc>
        <w:tc>
          <w:tcPr>
            <w:tcW w:w="871" w:type="pct"/>
            <w:tcBorders>
              <w:tl2br w:val="nil"/>
              <w:tr2bl w:val="nil"/>
            </w:tcBorders>
            <w:vAlign w:val="center"/>
          </w:tcPr>
          <w:p w14:paraId="480565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氯化氢</w:t>
            </w:r>
          </w:p>
        </w:tc>
        <w:tc>
          <w:tcPr>
            <w:tcW w:w="821" w:type="pct"/>
            <w:tcBorders>
              <w:tl2br w:val="nil"/>
              <w:tr2bl w:val="nil"/>
            </w:tcBorders>
            <w:vAlign w:val="center"/>
          </w:tcPr>
          <w:p w14:paraId="492EDD3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腐蚀废气</w:t>
            </w:r>
          </w:p>
        </w:tc>
        <w:tc>
          <w:tcPr>
            <w:tcW w:w="615" w:type="pct"/>
            <w:tcBorders>
              <w:tl2br w:val="nil"/>
              <w:tr2bl w:val="nil"/>
            </w:tcBorders>
            <w:vAlign w:val="center"/>
          </w:tcPr>
          <w:p w14:paraId="2819535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w:t>
            </w:r>
          </w:p>
        </w:tc>
        <w:tc>
          <w:tcPr>
            <w:tcW w:w="1307" w:type="pct"/>
            <w:tcBorders>
              <w:tl2br w:val="nil"/>
              <w:tr2bl w:val="nil"/>
            </w:tcBorders>
            <w:vAlign w:val="center"/>
          </w:tcPr>
          <w:p w14:paraId="59B000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834C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6DD36A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13FDD7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5782925C">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G2-4</w:t>
            </w:r>
          </w:p>
        </w:tc>
        <w:tc>
          <w:tcPr>
            <w:tcW w:w="871" w:type="pct"/>
            <w:tcBorders>
              <w:tl2br w:val="nil"/>
              <w:tr2bl w:val="nil"/>
            </w:tcBorders>
            <w:vAlign w:val="center"/>
          </w:tcPr>
          <w:p w14:paraId="7CEFD80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有机废气（异丙醇、酒精）</w:t>
            </w:r>
          </w:p>
        </w:tc>
        <w:tc>
          <w:tcPr>
            <w:tcW w:w="821" w:type="pct"/>
            <w:tcBorders>
              <w:tl2br w:val="nil"/>
              <w:tr2bl w:val="nil"/>
            </w:tcBorders>
            <w:vAlign w:val="center"/>
          </w:tcPr>
          <w:p w14:paraId="55550269">
            <w:pPr>
              <w:widowControl w:val="0"/>
              <w:bidi w:val="0"/>
              <w:adjustRightInd w:val="0"/>
              <w:snapToGrid w:val="0"/>
              <w:spacing w:line="240" w:lineRule="auto"/>
              <w:ind w:firstLine="0" w:firstLineChars="0"/>
              <w:jc w:val="center"/>
              <w:rPr>
                <w:rFonts w:hint="default"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擦拭废气</w:t>
            </w:r>
          </w:p>
        </w:tc>
        <w:tc>
          <w:tcPr>
            <w:tcW w:w="615" w:type="pct"/>
            <w:tcBorders>
              <w:tl2br w:val="nil"/>
              <w:tr2bl w:val="nil"/>
            </w:tcBorders>
            <w:vAlign w:val="center"/>
          </w:tcPr>
          <w:p w14:paraId="76AB002F">
            <w:pPr>
              <w:widowControl w:val="0"/>
              <w:bidi w:val="0"/>
              <w:adjustRightInd w:val="0"/>
              <w:snapToGrid w:val="0"/>
              <w:spacing w:line="240" w:lineRule="auto"/>
              <w:ind w:firstLine="0" w:firstLineChars="0"/>
              <w:jc w:val="center"/>
              <w:rPr>
                <w:rFonts w:hint="default"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清洁</w:t>
            </w:r>
          </w:p>
        </w:tc>
        <w:tc>
          <w:tcPr>
            <w:tcW w:w="1307" w:type="pct"/>
            <w:tcBorders>
              <w:tl2br w:val="nil"/>
              <w:tr2bl w:val="nil"/>
            </w:tcBorders>
            <w:vAlign w:val="center"/>
          </w:tcPr>
          <w:p w14:paraId="47FE620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B066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3923DB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29811A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A4FD5B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G2-5</w:t>
            </w:r>
          </w:p>
        </w:tc>
        <w:tc>
          <w:tcPr>
            <w:tcW w:w="871" w:type="pct"/>
            <w:tcBorders>
              <w:tl2br w:val="nil"/>
              <w:tr2bl w:val="nil"/>
            </w:tcBorders>
            <w:shd w:val="clear" w:color="auto" w:fill="auto"/>
            <w:vAlign w:val="center"/>
          </w:tcPr>
          <w:p w14:paraId="4E95357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颗粒物</w:t>
            </w:r>
          </w:p>
        </w:tc>
        <w:tc>
          <w:tcPr>
            <w:tcW w:w="821" w:type="pct"/>
            <w:tcBorders>
              <w:tl2br w:val="nil"/>
              <w:tr2bl w:val="nil"/>
            </w:tcBorders>
            <w:shd w:val="clear" w:color="auto" w:fill="auto"/>
            <w:vAlign w:val="center"/>
          </w:tcPr>
          <w:p w14:paraId="3CB8362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机加工粉尘</w:t>
            </w:r>
          </w:p>
        </w:tc>
        <w:tc>
          <w:tcPr>
            <w:tcW w:w="615" w:type="pct"/>
            <w:tcBorders>
              <w:tl2br w:val="nil"/>
              <w:tr2bl w:val="nil"/>
            </w:tcBorders>
            <w:shd w:val="clear" w:color="auto" w:fill="auto"/>
            <w:vAlign w:val="center"/>
          </w:tcPr>
          <w:p w14:paraId="16E7E49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CNC、抛光</w:t>
            </w:r>
          </w:p>
        </w:tc>
        <w:tc>
          <w:tcPr>
            <w:tcW w:w="1307" w:type="pct"/>
            <w:tcBorders>
              <w:tl2br w:val="nil"/>
              <w:tr2bl w:val="nil"/>
            </w:tcBorders>
            <w:vAlign w:val="center"/>
          </w:tcPr>
          <w:p w14:paraId="14CE80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505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50C2449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21FE2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5D42960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G2-6</w:t>
            </w:r>
          </w:p>
        </w:tc>
        <w:tc>
          <w:tcPr>
            <w:tcW w:w="1535" w:type="dxa"/>
            <w:tcBorders>
              <w:tl2br w:val="nil"/>
              <w:tr2bl w:val="nil"/>
            </w:tcBorders>
            <w:shd w:val="clear" w:color="auto" w:fill="auto"/>
            <w:vAlign w:val="center"/>
          </w:tcPr>
          <w:p w14:paraId="4C17190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1447" w:type="dxa"/>
            <w:tcBorders>
              <w:tl2br w:val="nil"/>
              <w:tr2bl w:val="nil"/>
            </w:tcBorders>
            <w:shd w:val="clear" w:color="auto" w:fill="auto"/>
            <w:vAlign w:val="center"/>
          </w:tcPr>
          <w:p w14:paraId="424C86B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cs="Times New Roman"/>
                <w:color w:val="000000"/>
                <w:spacing w:val="-11"/>
                <w:kern w:val="0"/>
                <w:sz w:val="21"/>
                <w:szCs w:val="21"/>
                <w:highlight w:val="black"/>
                <w:lang w:val="en-US" w:eastAsia="zh-CN" w:bidi="ar-SA"/>
              </w:rPr>
              <w:t>有机</w:t>
            </w:r>
            <w:r>
              <w:rPr>
                <w:rFonts w:ascii="Times New Roman" w:hAnsi="Times New Roman" w:eastAsia="仿宋_GB2312" w:cs="Times New Roman"/>
                <w:color w:val="000000"/>
                <w:spacing w:val="-11"/>
                <w:kern w:val="0"/>
                <w:sz w:val="21"/>
                <w:szCs w:val="21"/>
                <w:highlight w:val="black"/>
                <w:lang w:val="en-US" w:eastAsia="zh-CN" w:bidi="ar-SA"/>
              </w:rPr>
              <w:t>废气</w:t>
            </w:r>
          </w:p>
        </w:tc>
        <w:tc>
          <w:tcPr>
            <w:tcW w:w="1084" w:type="dxa"/>
            <w:tcBorders>
              <w:tl2br w:val="nil"/>
              <w:tr2bl w:val="nil"/>
            </w:tcBorders>
            <w:shd w:val="clear" w:color="auto" w:fill="auto"/>
            <w:vAlign w:val="center"/>
          </w:tcPr>
          <w:p w14:paraId="00B5351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cs="Times New Roman"/>
                <w:color w:val="000000"/>
                <w:spacing w:val="-11"/>
                <w:kern w:val="0"/>
                <w:sz w:val="21"/>
                <w:szCs w:val="21"/>
                <w:highlight w:val="black"/>
                <w:lang w:val="en-US" w:eastAsia="zh-CN" w:bidi="ar-SA"/>
              </w:rPr>
              <w:t>CNC</w:t>
            </w:r>
          </w:p>
        </w:tc>
        <w:tc>
          <w:tcPr>
            <w:tcW w:w="1307" w:type="pct"/>
            <w:tcBorders>
              <w:tl2br w:val="nil"/>
              <w:tr2bl w:val="nil"/>
            </w:tcBorders>
            <w:vAlign w:val="center"/>
          </w:tcPr>
          <w:p w14:paraId="59B4243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D9CF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200" w:type="pct"/>
            <w:vMerge w:val="continue"/>
            <w:tcBorders>
              <w:tl2br w:val="nil"/>
              <w:tr2bl w:val="nil"/>
            </w:tcBorders>
            <w:textDirection w:val="tbRlV"/>
            <w:vAlign w:val="center"/>
          </w:tcPr>
          <w:p w14:paraId="0F6867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4EFAF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6440322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G2-7</w:t>
            </w:r>
          </w:p>
        </w:tc>
        <w:tc>
          <w:tcPr>
            <w:tcW w:w="871" w:type="pct"/>
            <w:tcBorders>
              <w:tl2br w:val="nil"/>
              <w:tr2bl w:val="nil"/>
            </w:tcBorders>
            <w:shd w:val="clear" w:color="auto" w:fill="auto"/>
            <w:vAlign w:val="center"/>
          </w:tcPr>
          <w:p w14:paraId="1CDD8C4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铬酸雾、硫酸雾</w:t>
            </w:r>
          </w:p>
        </w:tc>
        <w:tc>
          <w:tcPr>
            <w:tcW w:w="821" w:type="pct"/>
            <w:tcBorders>
              <w:tl2br w:val="nil"/>
              <w:tr2bl w:val="nil"/>
            </w:tcBorders>
            <w:shd w:val="clear" w:color="auto" w:fill="auto"/>
            <w:vAlign w:val="center"/>
          </w:tcPr>
          <w:p w14:paraId="27259ED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酸性废气</w:t>
            </w:r>
          </w:p>
        </w:tc>
        <w:tc>
          <w:tcPr>
            <w:tcW w:w="615" w:type="pct"/>
            <w:tcBorders>
              <w:tl2br w:val="nil"/>
              <w:tr2bl w:val="nil"/>
            </w:tcBorders>
            <w:shd w:val="clear" w:color="auto" w:fill="auto"/>
            <w:vAlign w:val="center"/>
          </w:tcPr>
          <w:p w14:paraId="125BE6B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w:t>
            </w:r>
          </w:p>
        </w:tc>
        <w:tc>
          <w:tcPr>
            <w:tcW w:w="1307" w:type="pct"/>
            <w:tcBorders>
              <w:tl2br w:val="nil"/>
              <w:tr2bl w:val="nil"/>
            </w:tcBorders>
            <w:vAlign w:val="center"/>
          </w:tcPr>
          <w:p w14:paraId="5003DA1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4C0E9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200" w:type="pct"/>
            <w:vMerge w:val="continue"/>
            <w:tcBorders>
              <w:tl2br w:val="nil"/>
              <w:tr2bl w:val="nil"/>
            </w:tcBorders>
            <w:textDirection w:val="tbRlV"/>
            <w:vAlign w:val="center"/>
          </w:tcPr>
          <w:p w14:paraId="5460E48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5CECCA1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热压模板</w:t>
            </w:r>
          </w:p>
        </w:tc>
        <w:tc>
          <w:tcPr>
            <w:tcW w:w="582" w:type="pct"/>
            <w:tcBorders>
              <w:tl2br w:val="nil"/>
              <w:tr2bl w:val="nil"/>
            </w:tcBorders>
            <w:vAlign w:val="center"/>
          </w:tcPr>
          <w:p w14:paraId="20B9BE7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G3-1</w:t>
            </w:r>
          </w:p>
        </w:tc>
        <w:tc>
          <w:tcPr>
            <w:tcW w:w="871" w:type="pct"/>
            <w:tcBorders>
              <w:tl2br w:val="nil"/>
              <w:tr2bl w:val="nil"/>
            </w:tcBorders>
            <w:shd w:val="clear" w:color="auto" w:fill="auto"/>
            <w:vAlign w:val="center"/>
          </w:tcPr>
          <w:p w14:paraId="750601F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碱雾</w:t>
            </w:r>
          </w:p>
        </w:tc>
        <w:tc>
          <w:tcPr>
            <w:tcW w:w="821" w:type="pct"/>
            <w:tcBorders>
              <w:tl2br w:val="nil"/>
              <w:tr2bl w:val="nil"/>
            </w:tcBorders>
            <w:shd w:val="clear" w:color="auto" w:fill="auto"/>
            <w:vAlign w:val="center"/>
          </w:tcPr>
          <w:p w14:paraId="2AB9301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碱性废气</w:t>
            </w:r>
          </w:p>
        </w:tc>
        <w:tc>
          <w:tcPr>
            <w:tcW w:w="615" w:type="pct"/>
            <w:tcBorders>
              <w:tl2br w:val="nil"/>
              <w:tr2bl w:val="nil"/>
            </w:tcBorders>
            <w:shd w:val="clear" w:color="auto" w:fill="auto"/>
            <w:vAlign w:val="center"/>
          </w:tcPr>
          <w:p w14:paraId="42E522F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脱脂、、退膜</w:t>
            </w:r>
          </w:p>
        </w:tc>
        <w:tc>
          <w:tcPr>
            <w:tcW w:w="1307" w:type="pct"/>
            <w:tcBorders>
              <w:tl2br w:val="nil"/>
              <w:tr2bl w:val="nil"/>
            </w:tcBorders>
            <w:vAlign w:val="center"/>
          </w:tcPr>
          <w:p w14:paraId="19ED797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3A60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00" w:type="pct"/>
            <w:vMerge w:val="continue"/>
            <w:tcBorders>
              <w:tl2br w:val="nil"/>
              <w:tr2bl w:val="nil"/>
            </w:tcBorders>
            <w:textDirection w:val="tbRlV"/>
            <w:vAlign w:val="center"/>
          </w:tcPr>
          <w:p w14:paraId="78E970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30AEC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0436D87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G3-2</w:t>
            </w:r>
          </w:p>
        </w:tc>
        <w:tc>
          <w:tcPr>
            <w:tcW w:w="871" w:type="pct"/>
            <w:tcBorders>
              <w:tl2br w:val="nil"/>
              <w:tr2bl w:val="nil"/>
            </w:tcBorders>
            <w:shd w:val="clear" w:color="auto" w:fill="auto"/>
            <w:vAlign w:val="center"/>
          </w:tcPr>
          <w:p w14:paraId="467D424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821" w:type="pct"/>
            <w:tcBorders>
              <w:tl2br w:val="nil"/>
              <w:tr2bl w:val="nil"/>
            </w:tcBorders>
            <w:shd w:val="clear" w:color="auto" w:fill="auto"/>
            <w:vAlign w:val="center"/>
          </w:tcPr>
          <w:p w14:paraId="7E22BAF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有机废气</w:t>
            </w:r>
          </w:p>
        </w:tc>
        <w:tc>
          <w:tcPr>
            <w:tcW w:w="615" w:type="pct"/>
            <w:tcBorders>
              <w:tl2br w:val="nil"/>
              <w:tr2bl w:val="nil"/>
            </w:tcBorders>
            <w:shd w:val="clear" w:color="auto" w:fill="auto"/>
            <w:vAlign w:val="center"/>
          </w:tcPr>
          <w:p w14:paraId="0C6F821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喷胶</w:t>
            </w:r>
          </w:p>
        </w:tc>
        <w:tc>
          <w:tcPr>
            <w:tcW w:w="1307" w:type="pct"/>
            <w:tcBorders>
              <w:tl2br w:val="nil"/>
              <w:tr2bl w:val="nil"/>
            </w:tcBorders>
            <w:vAlign w:val="center"/>
          </w:tcPr>
          <w:p w14:paraId="3A3A4D4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EEF4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00" w:type="pct"/>
            <w:vMerge w:val="continue"/>
            <w:tcBorders>
              <w:tl2br w:val="nil"/>
              <w:tr2bl w:val="nil"/>
            </w:tcBorders>
            <w:textDirection w:val="tbRlV"/>
            <w:vAlign w:val="center"/>
          </w:tcPr>
          <w:p w14:paraId="65E74C3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03A75A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1027" w:type="dxa"/>
            <w:tcBorders>
              <w:tl2br w:val="nil"/>
              <w:tr2bl w:val="nil"/>
            </w:tcBorders>
            <w:vAlign w:val="center"/>
          </w:tcPr>
          <w:p w14:paraId="221F354E">
            <w:pPr>
              <w:widowControl w:val="0"/>
              <w:bidi w:val="0"/>
              <w:adjustRightInd w:val="0"/>
              <w:snapToGrid w:val="0"/>
              <w:spacing w:line="240" w:lineRule="auto"/>
              <w:ind w:firstLine="0" w:firstLineChars="0"/>
              <w:jc w:val="center"/>
              <w:rPr>
                <w:rFonts w:hint="eastAsia"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G3-3</w:t>
            </w:r>
          </w:p>
        </w:tc>
        <w:tc>
          <w:tcPr>
            <w:tcW w:w="1535" w:type="dxa"/>
            <w:tcBorders>
              <w:tl2br w:val="nil"/>
              <w:tr2bl w:val="nil"/>
            </w:tcBorders>
            <w:shd w:val="clear" w:color="auto" w:fill="auto"/>
            <w:vAlign w:val="center"/>
          </w:tcPr>
          <w:p w14:paraId="1178F57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1447" w:type="dxa"/>
            <w:tcBorders>
              <w:tl2br w:val="nil"/>
              <w:tr2bl w:val="nil"/>
            </w:tcBorders>
            <w:shd w:val="clear" w:color="auto" w:fill="auto"/>
            <w:vAlign w:val="center"/>
          </w:tcPr>
          <w:p w14:paraId="10CB29E3">
            <w:pPr>
              <w:widowControl w:val="0"/>
              <w:bidi w:val="0"/>
              <w:adjustRightInd w:val="0"/>
              <w:snapToGrid w:val="0"/>
              <w:spacing w:line="240" w:lineRule="auto"/>
              <w:ind w:firstLine="0" w:firstLineChars="0"/>
              <w:jc w:val="center"/>
              <w:rPr>
                <w:rFonts w:hint="eastAsia"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有机废气</w:t>
            </w:r>
          </w:p>
        </w:tc>
        <w:tc>
          <w:tcPr>
            <w:tcW w:w="1084" w:type="dxa"/>
            <w:tcBorders>
              <w:tl2br w:val="nil"/>
              <w:tr2bl w:val="nil"/>
            </w:tcBorders>
            <w:shd w:val="clear" w:color="auto" w:fill="auto"/>
            <w:vAlign w:val="center"/>
          </w:tcPr>
          <w:p w14:paraId="19487A55">
            <w:pPr>
              <w:widowControl w:val="0"/>
              <w:bidi w:val="0"/>
              <w:adjustRightInd w:val="0"/>
              <w:snapToGrid w:val="0"/>
              <w:spacing w:line="240" w:lineRule="auto"/>
              <w:ind w:firstLine="0" w:firstLineChars="0"/>
              <w:jc w:val="center"/>
              <w:rPr>
                <w:rFonts w:hint="eastAsia"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显影</w:t>
            </w:r>
          </w:p>
        </w:tc>
        <w:tc>
          <w:tcPr>
            <w:tcW w:w="1307" w:type="pct"/>
            <w:tcBorders>
              <w:tl2br w:val="nil"/>
              <w:tr2bl w:val="nil"/>
            </w:tcBorders>
            <w:vAlign w:val="center"/>
          </w:tcPr>
          <w:p w14:paraId="0AF751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91DF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00" w:type="pct"/>
            <w:vMerge w:val="continue"/>
            <w:tcBorders>
              <w:tl2br w:val="nil"/>
              <w:tr2bl w:val="nil"/>
            </w:tcBorders>
            <w:textDirection w:val="tbRlV"/>
            <w:vAlign w:val="center"/>
          </w:tcPr>
          <w:p w14:paraId="5086BD9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FFAB0A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1027" w:type="dxa"/>
            <w:tcBorders>
              <w:tl2br w:val="nil"/>
              <w:tr2bl w:val="nil"/>
            </w:tcBorders>
            <w:vAlign w:val="center"/>
          </w:tcPr>
          <w:p w14:paraId="454655B9">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G3-4</w:t>
            </w:r>
          </w:p>
        </w:tc>
        <w:tc>
          <w:tcPr>
            <w:tcW w:w="1535" w:type="dxa"/>
            <w:tcBorders>
              <w:tl2br w:val="nil"/>
              <w:tr2bl w:val="nil"/>
            </w:tcBorders>
            <w:shd w:val="clear" w:color="auto" w:fill="auto"/>
            <w:vAlign w:val="center"/>
          </w:tcPr>
          <w:p w14:paraId="1D13AF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有机废气（以非甲烷总烃计）</w:t>
            </w:r>
          </w:p>
        </w:tc>
        <w:tc>
          <w:tcPr>
            <w:tcW w:w="1447" w:type="dxa"/>
            <w:tcBorders>
              <w:tl2br w:val="nil"/>
              <w:tr2bl w:val="nil"/>
            </w:tcBorders>
            <w:shd w:val="clear" w:color="auto" w:fill="auto"/>
            <w:vAlign w:val="center"/>
          </w:tcPr>
          <w:p w14:paraId="18AB9147">
            <w:pPr>
              <w:widowControl w:val="0"/>
              <w:bidi w:val="0"/>
              <w:adjustRightInd w:val="0"/>
              <w:snapToGrid w:val="0"/>
              <w:spacing w:line="240" w:lineRule="auto"/>
              <w:ind w:firstLine="0" w:firstLineChars="0"/>
              <w:jc w:val="center"/>
              <w:rPr>
                <w:rFonts w:hint="eastAsia"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有机废气</w:t>
            </w:r>
          </w:p>
        </w:tc>
        <w:tc>
          <w:tcPr>
            <w:tcW w:w="1084" w:type="dxa"/>
            <w:tcBorders>
              <w:tl2br w:val="nil"/>
              <w:tr2bl w:val="nil"/>
            </w:tcBorders>
            <w:shd w:val="clear" w:color="auto" w:fill="auto"/>
            <w:vAlign w:val="center"/>
          </w:tcPr>
          <w:p w14:paraId="6F5A6356">
            <w:pPr>
              <w:widowControl w:val="0"/>
              <w:bidi w:val="0"/>
              <w:adjustRightInd w:val="0"/>
              <w:snapToGrid w:val="0"/>
              <w:spacing w:line="240" w:lineRule="auto"/>
              <w:ind w:firstLine="0" w:firstLineChars="0"/>
              <w:jc w:val="center"/>
              <w:rPr>
                <w:rFonts w:hint="eastAsia" w:cs="Times New Roman"/>
                <w:color w:val="000000"/>
                <w:spacing w:val="-11"/>
                <w:kern w:val="0"/>
                <w:sz w:val="21"/>
                <w:szCs w:val="21"/>
                <w:highlight w:val="black"/>
                <w:lang w:val="en-US" w:eastAsia="zh-CN" w:bidi="ar-SA"/>
              </w:rPr>
            </w:pPr>
            <w:r>
              <w:rPr>
                <w:rFonts w:hint="eastAsia" w:cs="Times New Roman"/>
                <w:color w:val="auto"/>
                <w:spacing w:val="-11"/>
                <w:kern w:val="0"/>
                <w:sz w:val="21"/>
                <w:szCs w:val="21"/>
                <w:highlight w:val="black"/>
                <w:lang w:val="en-US" w:eastAsia="zh-CN" w:bidi="ar-SA"/>
              </w:rPr>
              <w:t>光热固</w:t>
            </w:r>
          </w:p>
        </w:tc>
        <w:tc>
          <w:tcPr>
            <w:tcW w:w="1307" w:type="pct"/>
            <w:tcBorders>
              <w:tl2br w:val="nil"/>
              <w:tr2bl w:val="nil"/>
            </w:tcBorders>
            <w:vAlign w:val="center"/>
          </w:tcPr>
          <w:p w14:paraId="0016C33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EB55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00" w:type="pct"/>
            <w:vMerge w:val="continue"/>
            <w:tcBorders>
              <w:tl2br w:val="nil"/>
              <w:tr2bl w:val="nil"/>
            </w:tcBorders>
            <w:textDirection w:val="tbRlV"/>
            <w:vAlign w:val="center"/>
          </w:tcPr>
          <w:p w14:paraId="0816A7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3585A47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0BB3CD7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G3-5</w:t>
            </w:r>
          </w:p>
        </w:tc>
        <w:tc>
          <w:tcPr>
            <w:tcW w:w="871" w:type="pct"/>
            <w:tcBorders>
              <w:tl2br w:val="nil"/>
              <w:tr2bl w:val="nil"/>
            </w:tcBorders>
            <w:shd w:val="clear" w:color="auto" w:fill="auto"/>
            <w:vAlign w:val="center"/>
          </w:tcPr>
          <w:p w14:paraId="0CBEA8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氯化氢</w:t>
            </w:r>
          </w:p>
        </w:tc>
        <w:tc>
          <w:tcPr>
            <w:tcW w:w="821" w:type="pct"/>
            <w:tcBorders>
              <w:tl2br w:val="nil"/>
              <w:tr2bl w:val="nil"/>
            </w:tcBorders>
            <w:shd w:val="clear" w:color="auto" w:fill="auto"/>
            <w:vAlign w:val="center"/>
          </w:tcPr>
          <w:p w14:paraId="7A97A86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蚀刻废气</w:t>
            </w:r>
          </w:p>
        </w:tc>
        <w:tc>
          <w:tcPr>
            <w:tcW w:w="615" w:type="pct"/>
            <w:tcBorders>
              <w:tl2br w:val="nil"/>
              <w:tr2bl w:val="nil"/>
            </w:tcBorders>
            <w:shd w:val="clear" w:color="auto" w:fill="auto"/>
            <w:vAlign w:val="center"/>
          </w:tcPr>
          <w:p w14:paraId="617EF9B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w:t>
            </w:r>
          </w:p>
        </w:tc>
        <w:tc>
          <w:tcPr>
            <w:tcW w:w="1307" w:type="pct"/>
            <w:tcBorders>
              <w:tl2br w:val="nil"/>
              <w:tr2bl w:val="nil"/>
            </w:tcBorders>
            <w:vAlign w:val="center"/>
          </w:tcPr>
          <w:p w14:paraId="2FA23E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3BF31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200" w:type="pct"/>
            <w:vMerge w:val="continue"/>
            <w:tcBorders>
              <w:tl2br w:val="nil"/>
              <w:tr2bl w:val="nil"/>
            </w:tcBorders>
            <w:textDirection w:val="tbRlV"/>
            <w:vAlign w:val="center"/>
          </w:tcPr>
          <w:p w14:paraId="16CA4C6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EEB171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191B18C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G3-6</w:t>
            </w:r>
          </w:p>
        </w:tc>
        <w:tc>
          <w:tcPr>
            <w:tcW w:w="871" w:type="pct"/>
            <w:tcBorders>
              <w:tl2br w:val="nil"/>
              <w:tr2bl w:val="nil"/>
            </w:tcBorders>
            <w:shd w:val="clear" w:color="auto" w:fill="auto"/>
            <w:vAlign w:val="center"/>
          </w:tcPr>
          <w:p w14:paraId="7DB9396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铬酸雾、硫酸雾</w:t>
            </w:r>
          </w:p>
        </w:tc>
        <w:tc>
          <w:tcPr>
            <w:tcW w:w="821" w:type="pct"/>
            <w:tcBorders>
              <w:tl2br w:val="nil"/>
              <w:tr2bl w:val="nil"/>
            </w:tcBorders>
            <w:shd w:val="clear" w:color="auto" w:fill="auto"/>
            <w:vAlign w:val="center"/>
          </w:tcPr>
          <w:p w14:paraId="0E62D98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酸性废气</w:t>
            </w:r>
          </w:p>
        </w:tc>
        <w:tc>
          <w:tcPr>
            <w:tcW w:w="615" w:type="pct"/>
            <w:tcBorders>
              <w:tl2br w:val="nil"/>
              <w:tr2bl w:val="nil"/>
            </w:tcBorders>
            <w:shd w:val="clear" w:color="auto" w:fill="auto"/>
            <w:vAlign w:val="center"/>
          </w:tcPr>
          <w:p w14:paraId="28CB998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w:t>
            </w:r>
          </w:p>
        </w:tc>
        <w:tc>
          <w:tcPr>
            <w:tcW w:w="1307" w:type="pct"/>
            <w:tcBorders>
              <w:tl2br w:val="nil"/>
              <w:tr2bl w:val="nil"/>
            </w:tcBorders>
            <w:vAlign w:val="center"/>
          </w:tcPr>
          <w:p w14:paraId="6C6997C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3E806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200" w:type="pct"/>
            <w:vMerge w:val="restart"/>
            <w:tcBorders>
              <w:tl2br w:val="nil"/>
              <w:tr2bl w:val="nil"/>
            </w:tcBorders>
            <w:vAlign w:val="center"/>
          </w:tcPr>
          <w:p w14:paraId="3B219C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废水</w:t>
            </w:r>
          </w:p>
        </w:tc>
        <w:tc>
          <w:tcPr>
            <w:tcW w:w="601" w:type="pct"/>
            <w:vMerge w:val="restart"/>
            <w:tcBorders>
              <w:tl2br w:val="nil"/>
              <w:tr2bl w:val="nil"/>
            </w:tcBorders>
            <w:vAlign w:val="center"/>
          </w:tcPr>
          <w:p w14:paraId="0277666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凹印版</w:t>
            </w:r>
          </w:p>
        </w:tc>
        <w:tc>
          <w:tcPr>
            <w:tcW w:w="582" w:type="pct"/>
            <w:tcBorders>
              <w:tl2br w:val="nil"/>
              <w:tr2bl w:val="nil"/>
            </w:tcBorders>
            <w:vAlign w:val="center"/>
          </w:tcPr>
          <w:p w14:paraId="1AE6DF6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W1</w:t>
            </w:r>
            <w:r>
              <w:rPr>
                <w:rFonts w:hint="eastAsia" w:cs="Times New Roman"/>
                <w:color w:val="000000"/>
                <w:spacing w:val="-11"/>
                <w:kern w:val="0"/>
                <w:sz w:val="21"/>
                <w:szCs w:val="21"/>
                <w:lang w:val="en-US" w:eastAsia="zh-CN" w:bidi="ar-SA"/>
              </w:rPr>
              <w:t>-1</w:t>
            </w:r>
          </w:p>
        </w:tc>
        <w:tc>
          <w:tcPr>
            <w:tcW w:w="871" w:type="pct"/>
            <w:tcBorders>
              <w:tl2br w:val="nil"/>
              <w:tr2bl w:val="nil"/>
            </w:tcBorders>
            <w:vAlign w:val="center"/>
          </w:tcPr>
          <w:p w14:paraId="0467679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、石油类</w:t>
            </w:r>
          </w:p>
        </w:tc>
        <w:tc>
          <w:tcPr>
            <w:tcW w:w="821" w:type="pct"/>
            <w:tcBorders>
              <w:tl2br w:val="nil"/>
              <w:tr2bl w:val="nil"/>
            </w:tcBorders>
            <w:vAlign w:val="center"/>
          </w:tcPr>
          <w:p w14:paraId="312AFC3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清洗废水</w:t>
            </w:r>
          </w:p>
        </w:tc>
        <w:tc>
          <w:tcPr>
            <w:tcW w:w="615" w:type="pct"/>
            <w:tcBorders>
              <w:tl2br w:val="nil"/>
              <w:tr2bl w:val="nil"/>
            </w:tcBorders>
            <w:vAlign w:val="center"/>
          </w:tcPr>
          <w:p w14:paraId="1FBF579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清洗</w:t>
            </w:r>
            <w:r>
              <w:rPr>
                <w:rFonts w:hint="eastAsia" w:cs="Times New Roman"/>
                <w:color w:val="000000"/>
                <w:spacing w:val="-11"/>
                <w:kern w:val="0"/>
                <w:sz w:val="21"/>
                <w:szCs w:val="21"/>
                <w:highlight w:val="black"/>
                <w:lang w:val="en-US" w:eastAsia="zh-CN" w:bidi="ar-SA"/>
              </w:rPr>
              <w:t>、槽内清洗1/4</w:t>
            </w:r>
          </w:p>
        </w:tc>
        <w:tc>
          <w:tcPr>
            <w:tcW w:w="1307" w:type="pct"/>
            <w:tcBorders>
              <w:tl2br w:val="nil"/>
              <w:tr2bl w:val="nil"/>
            </w:tcBorders>
            <w:vAlign w:val="center"/>
          </w:tcPr>
          <w:p w14:paraId="1E1578F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0E0C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200" w:type="pct"/>
            <w:vMerge w:val="continue"/>
            <w:tcBorders>
              <w:tl2br w:val="nil"/>
              <w:tr2bl w:val="nil"/>
            </w:tcBorders>
            <w:textDirection w:val="tbRlV"/>
            <w:vAlign w:val="center"/>
          </w:tcPr>
          <w:p w14:paraId="7E0DD1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4B5A02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5F7F1C1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1-</w:t>
            </w:r>
            <w:r>
              <w:rPr>
                <w:rFonts w:ascii="Times New Roman" w:hAnsi="Times New Roman" w:eastAsia="仿宋_GB2312" w:cs="Times New Roman"/>
                <w:color w:val="000000"/>
                <w:spacing w:val="-11"/>
                <w:kern w:val="0"/>
                <w:sz w:val="21"/>
                <w:szCs w:val="21"/>
                <w:lang w:val="en-US" w:eastAsia="zh-CN" w:bidi="ar-SA"/>
              </w:rPr>
              <w:t>2</w:t>
            </w:r>
          </w:p>
        </w:tc>
        <w:tc>
          <w:tcPr>
            <w:tcW w:w="871" w:type="pct"/>
            <w:tcBorders>
              <w:tl2br w:val="nil"/>
              <w:tr2bl w:val="nil"/>
            </w:tcBorders>
            <w:vAlign w:val="center"/>
          </w:tcPr>
          <w:p w14:paraId="201EB8C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 SS 、石油类</w:t>
            </w:r>
          </w:p>
        </w:tc>
        <w:tc>
          <w:tcPr>
            <w:tcW w:w="821" w:type="pct"/>
            <w:tcBorders>
              <w:tl2br w:val="nil"/>
              <w:tr2bl w:val="nil"/>
            </w:tcBorders>
            <w:vAlign w:val="center"/>
          </w:tcPr>
          <w:p w14:paraId="7AA615F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脱脂废水</w:t>
            </w:r>
          </w:p>
        </w:tc>
        <w:tc>
          <w:tcPr>
            <w:tcW w:w="615" w:type="pct"/>
            <w:tcBorders>
              <w:tl2br w:val="nil"/>
              <w:tr2bl w:val="nil"/>
            </w:tcBorders>
            <w:vAlign w:val="center"/>
          </w:tcPr>
          <w:p w14:paraId="2F16498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脱脂1/2</w:t>
            </w:r>
          </w:p>
        </w:tc>
        <w:tc>
          <w:tcPr>
            <w:tcW w:w="1307" w:type="pct"/>
            <w:tcBorders>
              <w:tl2br w:val="nil"/>
              <w:tr2bl w:val="nil"/>
            </w:tcBorders>
            <w:vAlign w:val="center"/>
          </w:tcPr>
          <w:p w14:paraId="6FF478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3537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7F1567F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DE5D2D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32BF132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1-</w:t>
            </w:r>
            <w:r>
              <w:rPr>
                <w:rFonts w:ascii="Times New Roman" w:hAnsi="Times New Roman" w:eastAsia="仿宋_GB2312" w:cs="Times New Roman"/>
                <w:color w:val="000000"/>
                <w:spacing w:val="-11"/>
                <w:kern w:val="0"/>
                <w:sz w:val="21"/>
                <w:szCs w:val="21"/>
                <w:lang w:val="en-US" w:eastAsia="zh-CN" w:bidi="ar-SA"/>
              </w:rPr>
              <w:t>3</w:t>
            </w:r>
          </w:p>
        </w:tc>
        <w:tc>
          <w:tcPr>
            <w:tcW w:w="871" w:type="pct"/>
            <w:tcBorders>
              <w:tl2br w:val="nil"/>
              <w:tr2bl w:val="nil"/>
            </w:tcBorders>
            <w:vAlign w:val="center"/>
          </w:tcPr>
          <w:p w14:paraId="40D8B4E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pH、COD、SS、TP、总铜</w:t>
            </w:r>
          </w:p>
        </w:tc>
        <w:tc>
          <w:tcPr>
            <w:tcW w:w="821" w:type="pct"/>
            <w:tcBorders>
              <w:tl2br w:val="nil"/>
              <w:tr2bl w:val="nil"/>
            </w:tcBorders>
            <w:vAlign w:val="center"/>
          </w:tcPr>
          <w:p w14:paraId="6F164E7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含铜</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vAlign w:val="center"/>
          </w:tcPr>
          <w:p w14:paraId="63757E9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槽内</w:t>
            </w:r>
            <w:r>
              <w:rPr>
                <w:rFonts w:ascii="Times New Roman" w:hAnsi="Times New Roman" w:eastAsia="仿宋_GB2312" w:cs="Times New Roman"/>
                <w:color w:val="000000"/>
                <w:spacing w:val="-11"/>
                <w:kern w:val="0"/>
                <w:sz w:val="21"/>
                <w:szCs w:val="21"/>
                <w:highlight w:val="black"/>
                <w:lang w:val="en-US" w:eastAsia="zh-CN" w:bidi="ar-SA"/>
              </w:rPr>
              <w:t>清洗</w:t>
            </w:r>
            <w:r>
              <w:rPr>
                <w:rFonts w:hint="eastAsia" w:cs="Times New Roman"/>
                <w:color w:val="000000"/>
                <w:spacing w:val="-11"/>
                <w:kern w:val="0"/>
                <w:sz w:val="21"/>
                <w:szCs w:val="21"/>
                <w:highlight w:val="black"/>
                <w:lang w:val="en-US" w:eastAsia="zh-CN" w:bidi="ar-SA"/>
              </w:rPr>
              <w:t>2/3、研磨</w:t>
            </w:r>
          </w:p>
        </w:tc>
        <w:tc>
          <w:tcPr>
            <w:tcW w:w="1307" w:type="pct"/>
            <w:tcBorders>
              <w:tl2br w:val="nil"/>
              <w:tr2bl w:val="nil"/>
            </w:tcBorders>
            <w:vAlign w:val="center"/>
          </w:tcPr>
          <w:p w14:paraId="19F4ACB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FDF5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7791936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89309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3DDA0E9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1-</w:t>
            </w:r>
            <w:r>
              <w:rPr>
                <w:rFonts w:ascii="Times New Roman" w:hAnsi="Times New Roman" w:eastAsia="仿宋_GB2312" w:cs="Times New Roman"/>
                <w:color w:val="000000"/>
                <w:spacing w:val="-11"/>
                <w:kern w:val="0"/>
                <w:sz w:val="21"/>
                <w:szCs w:val="21"/>
                <w:lang w:val="en-US" w:eastAsia="zh-CN" w:bidi="ar-SA"/>
              </w:rPr>
              <w:t>4</w:t>
            </w:r>
          </w:p>
        </w:tc>
        <w:tc>
          <w:tcPr>
            <w:tcW w:w="871" w:type="pct"/>
            <w:tcBorders>
              <w:tl2br w:val="nil"/>
              <w:tr2bl w:val="nil"/>
            </w:tcBorders>
            <w:vAlign w:val="center"/>
          </w:tcPr>
          <w:p w14:paraId="672599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、总铬、六价铬</w:t>
            </w:r>
          </w:p>
        </w:tc>
        <w:tc>
          <w:tcPr>
            <w:tcW w:w="821" w:type="pct"/>
            <w:tcBorders>
              <w:tl2br w:val="nil"/>
              <w:tr2bl w:val="nil"/>
            </w:tcBorders>
            <w:vAlign w:val="center"/>
          </w:tcPr>
          <w:p w14:paraId="5FB07C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含铬</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vAlign w:val="center"/>
          </w:tcPr>
          <w:p w14:paraId="766EFC5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槽内</w:t>
            </w:r>
            <w:r>
              <w:rPr>
                <w:rFonts w:ascii="Times New Roman" w:hAnsi="Times New Roman" w:eastAsia="仿宋_GB2312" w:cs="Times New Roman"/>
                <w:color w:val="000000"/>
                <w:spacing w:val="-11"/>
                <w:kern w:val="0"/>
                <w:sz w:val="21"/>
                <w:szCs w:val="21"/>
                <w:highlight w:val="black"/>
                <w:lang w:val="en-US" w:eastAsia="zh-CN" w:bidi="ar-SA"/>
              </w:rPr>
              <w:t>清洗</w:t>
            </w:r>
            <w:r>
              <w:rPr>
                <w:rFonts w:hint="eastAsia" w:cs="Times New Roman"/>
                <w:color w:val="000000"/>
                <w:spacing w:val="-11"/>
                <w:kern w:val="0"/>
                <w:sz w:val="21"/>
                <w:szCs w:val="21"/>
                <w:highlight w:val="black"/>
                <w:lang w:val="en-US" w:eastAsia="zh-CN" w:bidi="ar-SA"/>
              </w:rPr>
              <w:t>5、抛光、退铬清洗</w:t>
            </w:r>
          </w:p>
        </w:tc>
        <w:tc>
          <w:tcPr>
            <w:tcW w:w="1307" w:type="pct"/>
            <w:tcBorders>
              <w:tl2br w:val="nil"/>
              <w:tr2bl w:val="nil"/>
            </w:tcBorders>
            <w:vAlign w:val="center"/>
          </w:tcPr>
          <w:p w14:paraId="5AB887F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9816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200" w:type="pct"/>
            <w:vMerge w:val="continue"/>
            <w:tcBorders>
              <w:tl2br w:val="nil"/>
              <w:tr2bl w:val="nil"/>
            </w:tcBorders>
            <w:textDirection w:val="tbRlV"/>
            <w:vAlign w:val="center"/>
          </w:tcPr>
          <w:p w14:paraId="065C1C7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1D4475D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磁性模切刀版</w:t>
            </w:r>
          </w:p>
        </w:tc>
        <w:tc>
          <w:tcPr>
            <w:tcW w:w="582" w:type="pct"/>
            <w:tcBorders>
              <w:tl2br w:val="nil"/>
              <w:tr2bl w:val="nil"/>
            </w:tcBorders>
            <w:vAlign w:val="center"/>
          </w:tcPr>
          <w:p w14:paraId="264EF6F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2-1</w:t>
            </w:r>
          </w:p>
        </w:tc>
        <w:tc>
          <w:tcPr>
            <w:tcW w:w="871" w:type="pct"/>
            <w:tcBorders>
              <w:tl2br w:val="nil"/>
              <w:tr2bl w:val="nil"/>
            </w:tcBorders>
            <w:vAlign w:val="center"/>
          </w:tcPr>
          <w:p w14:paraId="77DBA4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 SS 、石油类</w:t>
            </w:r>
          </w:p>
        </w:tc>
        <w:tc>
          <w:tcPr>
            <w:tcW w:w="821" w:type="pct"/>
            <w:tcBorders>
              <w:tl2br w:val="nil"/>
              <w:tr2bl w:val="nil"/>
            </w:tcBorders>
            <w:vAlign w:val="center"/>
          </w:tcPr>
          <w:p w14:paraId="2AB9641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vAlign w:val="center"/>
          </w:tcPr>
          <w:p w14:paraId="54E2F68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w:t>
            </w:r>
          </w:p>
        </w:tc>
        <w:tc>
          <w:tcPr>
            <w:tcW w:w="1307" w:type="pct"/>
            <w:tcBorders>
              <w:tl2br w:val="nil"/>
              <w:tr2bl w:val="nil"/>
            </w:tcBorders>
            <w:vAlign w:val="center"/>
          </w:tcPr>
          <w:p w14:paraId="08B551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942A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200" w:type="pct"/>
            <w:vMerge w:val="continue"/>
            <w:tcBorders>
              <w:tl2br w:val="nil"/>
              <w:tr2bl w:val="nil"/>
            </w:tcBorders>
            <w:textDirection w:val="tbRlV"/>
            <w:vAlign w:val="center"/>
          </w:tcPr>
          <w:p w14:paraId="14B9AC0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1F95A8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36B7860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W2-2</w:t>
            </w:r>
          </w:p>
        </w:tc>
        <w:tc>
          <w:tcPr>
            <w:tcW w:w="871" w:type="pct"/>
            <w:tcBorders>
              <w:tl2br w:val="nil"/>
              <w:tr2bl w:val="nil"/>
            </w:tcBorders>
            <w:shd w:val="clear" w:color="auto" w:fill="auto"/>
            <w:vAlign w:val="center"/>
          </w:tcPr>
          <w:p w14:paraId="2F62642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 SS</w:t>
            </w:r>
            <w:r>
              <w:rPr>
                <w:rFonts w:hint="eastAsia" w:cs="Times New Roman"/>
                <w:color w:val="000000"/>
                <w:spacing w:val="-11"/>
                <w:kern w:val="0"/>
                <w:sz w:val="21"/>
                <w:szCs w:val="21"/>
                <w:lang w:val="en-US" w:eastAsia="zh-CN" w:bidi="ar-SA"/>
              </w:rPr>
              <w:t>、TDS</w:t>
            </w:r>
          </w:p>
        </w:tc>
        <w:tc>
          <w:tcPr>
            <w:tcW w:w="821" w:type="pct"/>
            <w:tcBorders>
              <w:tl2br w:val="nil"/>
              <w:tr2bl w:val="nil"/>
            </w:tcBorders>
            <w:shd w:val="clear" w:color="auto" w:fill="auto"/>
            <w:vAlign w:val="center"/>
          </w:tcPr>
          <w:p w14:paraId="7EA416A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腐蚀废水</w:t>
            </w:r>
          </w:p>
        </w:tc>
        <w:tc>
          <w:tcPr>
            <w:tcW w:w="615" w:type="pct"/>
            <w:tcBorders>
              <w:tl2br w:val="nil"/>
              <w:tr2bl w:val="nil"/>
            </w:tcBorders>
            <w:shd w:val="clear" w:color="auto" w:fill="auto"/>
            <w:vAlign w:val="center"/>
          </w:tcPr>
          <w:p w14:paraId="0B0409F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w:t>
            </w:r>
          </w:p>
        </w:tc>
        <w:tc>
          <w:tcPr>
            <w:tcW w:w="1307" w:type="pct"/>
            <w:tcBorders>
              <w:tl2br w:val="nil"/>
              <w:tr2bl w:val="nil"/>
            </w:tcBorders>
            <w:vAlign w:val="center"/>
          </w:tcPr>
          <w:p w14:paraId="0141BCD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1313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24F5DEF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4E76C7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2E18289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2-3</w:t>
            </w:r>
          </w:p>
        </w:tc>
        <w:tc>
          <w:tcPr>
            <w:tcW w:w="871" w:type="pct"/>
            <w:tcBorders>
              <w:tl2br w:val="nil"/>
              <w:tr2bl w:val="nil"/>
            </w:tcBorders>
            <w:vAlign w:val="center"/>
          </w:tcPr>
          <w:p w14:paraId="3EA8E4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w:t>
            </w:r>
            <w:r>
              <w:rPr>
                <w:rFonts w:hint="eastAsia" w:cs="Times New Roman"/>
                <w:color w:val="000000"/>
                <w:spacing w:val="-11"/>
                <w:kern w:val="0"/>
                <w:sz w:val="21"/>
                <w:szCs w:val="21"/>
                <w:lang w:val="en-US" w:eastAsia="zh-CN" w:bidi="ar-SA"/>
              </w:rPr>
              <w:t>表面活性剂</w:t>
            </w:r>
          </w:p>
        </w:tc>
        <w:tc>
          <w:tcPr>
            <w:tcW w:w="821" w:type="pct"/>
            <w:tcBorders>
              <w:tl2br w:val="nil"/>
              <w:tr2bl w:val="nil"/>
            </w:tcBorders>
            <w:vAlign w:val="center"/>
          </w:tcPr>
          <w:p w14:paraId="517846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vAlign w:val="center"/>
          </w:tcPr>
          <w:p w14:paraId="0C7A65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w:t>
            </w:r>
          </w:p>
        </w:tc>
        <w:tc>
          <w:tcPr>
            <w:tcW w:w="1307" w:type="pct"/>
            <w:tcBorders>
              <w:tl2br w:val="nil"/>
              <w:tr2bl w:val="nil"/>
            </w:tcBorders>
            <w:vAlign w:val="center"/>
          </w:tcPr>
          <w:p w14:paraId="16ECDD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32482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4E21110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7C1FD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48D2E3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2-4</w:t>
            </w:r>
          </w:p>
        </w:tc>
        <w:tc>
          <w:tcPr>
            <w:tcW w:w="871" w:type="pct"/>
            <w:tcBorders>
              <w:tl2br w:val="nil"/>
              <w:tr2bl w:val="nil"/>
            </w:tcBorders>
            <w:shd w:val="clear" w:color="auto" w:fill="auto"/>
            <w:vAlign w:val="center"/>
          </w:tcPr>
          <w:p w14:paraId="2045CF4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、总铬、六价铬</w:t>
            </w:r>
          </w:p>
        </w:tc>
        <w:tc>
          <w:tcPr>
            <w:tcW w:w="821" w:type="pct"/>
            <w:tcBorders>
              <w:tl2br w:val="nil"/>
              <w:tr2bl w:val="nil"/>
            </w:tcBorders>
            <w:shd w:val="clear" w:color="auto" w:fill="auto"/>
            <w:vAlign w:val="center"/>
          </w:tcPr>
          <w:p w14:paraId="77749E5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含铬</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shd w:val="clear" w:color="auto" w:fill="auto"/>
            <w:vAlign w:val="center"/>
          </w:tcPr>
          <w:p w14:paraId="7C11E03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镀后</w:t>
            </w:r>
            <w:r>
              <w:rPr>
                <w:rFonts w:ascii="Times New Roman" w:hAnsi="Times New Roman" w:eastAsia="仿宋_GB2312" w:cs="Times New Roman"/>
                <w:color w:val="000000"/>
                <w:spacing w:val="-11"/>
                <w:kern w:val="0"/>
                <w:sz w:val="21"/>
                <w:szCs w:val="21"/>
                <w:highlight w:val="black"/>
                <w:lang w:val="en-US" w:eastAsia="zh-CN" w:bidi="ar-SA"/>
              </w:rPr>
              <w:t>清洗</w:t>
            </w:r>
            <w:r>
              <w:rPr>
                <w:rFonts w:hint="eastAsia" w:cs="Times New Roman"/>
                <w:color w:val="000000"/>
                <w:spacing w:val="-11"/>
                <w:kern w:val="0"/>
                <w:sz w:val="21"/>
                <w:szCs w:val="21"/>
                <w:highlight w:val="black"/>
                <w:lang w:val="en-US" w:eastAsia="zh-CN" w:bidi="ar-SA"/>
              </w:rPr>
              <w:t>、抛光</w:t>
            </w:r>
          </w:p>
        </w:tc>
        <w:tc>
          <w:tcPr>
            <w:tcW w:w="1307" w:type="pct"/>
            <w:tcBorders>
              <w:tl2br w:val="nil"/>
              <w:tr2bl w:val="nil"/>
            </w:tcBorders>
            <w:vAlign w:val="center"/>
          </w:tcPr>
          <w:p w14:paraId="2B68E6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CE70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30252F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32054D2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热压模板</w:t>
            </w:r>
          </w:p>
        </w:tc>
        <w:tc>
          <w:tcPr>
            <w:tcW w:w="582" w:type="pct"/>
            <w:tcBorders>
              <w:tl2br w:val="nil"/>
              <w:tr2bl w:val="nil"/>
            </w:tcBorders>
            <w:vAlign w:val="center"/>
          </w:tcPr>
          <w:p w14:paraId="0A01577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3-1</w:t>
            </w:r>
          </w:p>
        </w:tc>
        <w:tc>
          <w:tcPr>
            <w:tcW w:w="871" w:type="pct"/>
            <w:tcBorders>
              <w:tl2br w:val="nil"/>
              <w:tr2bl w:val="nil"/>
            </w:tcBorders>
            <w:shd w:val="clear" w:color="auto" w:fill="auto"/>
            <w:vAlign w:val="center"/>
          </w:tcPr>
          <w:p w14:paraId="0F5767F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 SS 、石油类</w:t>
            </w:r>
          </w:p>
        </w:tc>
        <w:tc>
          <w:tcPr>
            <w:tcW w:w="821" w:type="pct"/>
            <w:tcBorders>
              <w:tl2br w:val="nil"/>
              <w:tr2bl w:val="nil"/>
            </w:tcBorders>
            <w:shd w:val="clear" w:color="auto" w:fill="auto"/>
            <w:vAlign w:val="center"/>
          </w:tcPr>
          <w:p w14:paraId="3D496DD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shd w:val="clear" w:color="auto" w:fill="auto"/>
            <w:vAlign w:val="center"/>
          </w:tcPr>
          <w:p w14:paraId="2A7C70A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w:t>
            </w:r>
          </w:p>
        </w:tc>
        <w:tc>
          <w:tcPr>
            <w:tcW w:w="1307" w:type="pct"/>
            <w:tcBorders>
              <w:tl2br w:val="nil"/>
              <w:tr2bl w:val="nil"/>
            </w:tcBorders>
            <w:vAlign w:val="center"/>
          </w:tcPr>
          <w:p w14:paraId="5B148D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0A6D6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3D5188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33BB9C3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25A882F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W3-2</w:t>
            </w:r>
          </w:p>
        </w:tc>
        <w:tc>
          <w:tcPr>
            <w:tcW w:w="871" w:type="pct"/>
            <w:tcBorders>
              <w:tl2br w:val="nil"/>
              <w:tr2bl w:val="nil"/>
            </w:tcBorders>
            <w:vAlign w:val="center"/>
          </w:tcPr>
          <w:p w14:paraId="5A24127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 xml:space="preserve">pH 、COD、 SS </w:t>
            </w:r>
          </w:p>
        </w:tc>
        <w:tc>
          <w:tcPr>
            <w:tcW w:w="821" w:type="pct"/>
            <w:tcBorders>
              <w:tl2br w:val="nil"/>
              <w:tr2bl w:val="nil"/>
            </w:tcBorders>
            <w:vAlign w:val="center"/>
          </w:tcPr>
          <w:p w14:paraId="7AA4BC9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显影废水</w:t>
            </w:r>
          </w:p>
        </w:tc>
        <w:tc>
          <w:tcPr>
            <w:tcW w:w="615" w:type="pct"/>
            <w:tcBorders>
              <w:tl2br w:val="nil"/>
              <w:tr2bl w:val="nil"/>
            </w:tcBorders>
            <w:vAlign w:val="center"/>
          </w:tcPr>
          <w:p w14:paraId="008BA64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显影</w:t>
            </w:r>
          </w:p>
        </w:tc>
        <w:tc>
          <w:tcPr>
            <w:tcW w:w="1307" w:type="pct"/>
            <w:tcBorders>
              <w:tl2br w:val="nil"/>
              <w:tr2bl w:val="nil"/>
            </w:tcBorders>
            <w:vAlign w:val="center"/>
          </w:tcPr>
          <w:p w14:paraId="798681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B19A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200" w:type="pct"/>
            <w:vMerge w:val="continue"/>
            <w:tcBorders>
              <w:tl2br w:val="nil"/>
              <w:tr2bl w:val="nil"/>
            </w:tcBorders>
            <w:textDirection w:val="tbRlV"/>
            <w:vAlign w:val="center"/>
          </w:tcPr>
          <w:p w14:paraId="76D8609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E46491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5415036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W3-3</w:t>
            </w:r>
          </w:p>
        </w:tc>
        <w:tc>
          <w:tcPr>
            <w:tcW w:w="871" w:type="pct"/>
            <w:tcBorders>
              <w:tl2br w:val="nil"/>
              <w:tr2bl w:val="nil"/>
            </w:tcBorders>
            <w:vAlign w:val="center"/>
          </w:tcPr>
          <w:p w14:paraId="60036C3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 SS</w:t>
            </w:r>
            <w:r>
              <w:rPr>
                <w:rFonts w:hint="eastAsia" w:cs="Times New Roman"/>
                <w:color w:val="000000"/>
                <w:spacing w:val="-11"/>
                <w:kern w:val="0"/>
                <w:sz w:val="21"/>
                <w:szCs w:val="21"/>
                <w:lang w:val="en-US" w:eastAsia="zh-CN" w:bidi="ar-SA"/>
              </w:rPr>
              <w:t>、TDS</w:t>
            </w:r>
          </w:p>
        </w:tc>
        <w:tc>
          <w:tcPr>
            <w:tcW w:w="821" w:type="pct"/>
            <w:tcBorders>
              <w:tl2br w:val="nil"/>
              <w:tr2bl w:val="nil"/>
            </w:tcBorders>
            <w:vAlign w:val="center"/>
          </w:tcPr>
          <w:p w14:paraId="7BB4BEF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蚀刻废水</w:t>
            </w:r>
          </w:p>
        </w:tc>
        <w:tc>
          <w:tcPr>
            <w:tcW w:w="615" w:type="pct"/>
            <w:tcBorders>
              <w:tl2br w:val="nil"/>
              <w:tr2bl w:val="nil"/>
            </w:tcBorders>
            <w:vAlign w:val="center"/>
          </w:tcPr>
          <w:p w14:paraId="1ED7CCA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w:t>
            </w:r>
          </w:p>
        </w:tc>
        <w:tc>
          <w:tcPr>
            <w:tcW w:w="1307" w:type="pct"/>
            <w:tcBorders>
              <w:tl2br w:val="nil"/>
              <w:tr2bl w:val="nil"/>
            </w:tcBorders>
            <w:vAlign w:val="center"/>
          </w:tcPr>
          <w:p w14:paraId="5CFE7A6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02D74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textDirection w:val="tbRlV"/>
            <w:vAlign w:val="center"/>
          </w:tcPr>
          <w:p w14:paraId="4CD652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50E697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508C941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W</w:t>
            </w:r>
            <w:r>
              <w:rPr>
                <w:rFonts w:hint="eastAsia" w:cs="Times New Roman"/>
                <w:color w:val="000000"/>
                <w:spacing w:val="-11"/>
                <w:kern w:val="0"/>
                <w:sz w:val="21"/>
                <w:szCs w:val="21"/>
                <w:lang w:val="en-US" w:eastAsia="zh-CN" w:bidi="ar-SA"/>
              </w:rPr>
              <w:t>3-4</w:t>
            </w:r>
          </w:p>
        </w:tc>
        <w:tc>
          <w:tcPr>
            <w:tcW w:w="871" w:type="pct"/>
            <w:tcBorders>
              <w:tl2br w:val="nil"/>
              <w:tr2bl w:val="nil"/>
            </w:tcBorders>
            <w:shd w:val="clear" w:color="auto" w:fill="auto"/>
            <w:vAlign w:val="center"/>
          </w:tcPr>
          <w:p w14:paraId="253460D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w:t>
            </w:r>
            <w:r>
              <w:rPr>
                <w:rFonts w:hint="eastAsia" w:cs="Times New Roman"/>
                <w:color w:val="000000"/>
                <w:spacing w:val="-11"/>
                <w:kern w:val="0"/>
                <w:sz w:val="21"/>
                <w:szCs w:val="21"/>
                <w:lang w:val="en-US" w:eastAsia="zh-CN" w:bidi="ar-SA"/>
              </w:rPr>
              <w:t>表面活性剂</w:t>
            </w:r>
          </w:p>
        </w:tc>
        <w:tc>
          <w:tcPr>
            <w:tcW w:w="821" w:type="pct"/>
            <w:tcBorders>
              <w:tl2br w:val="nil"/>
              <w:tr2bl w:val="nil"/>
            </w:tcBorders>
            <w:shd w:val="clear" w:color="auto" w:fill="auto"/>
            <w:vAlign w:val="center"/>
          </w:tcPr>
          <w:p w14:paraId="65D2958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shd w:val="clear" w:color="auto" w:fill="auto"/>
            <w:vAlign w:val="center"/>
          </w:tcPr>
          <w:p w14:paraId="002E942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w:t>
            </w:r>
          </w:p>
        </w:tc>
        <w:tc>
          <w:tcPr>
            <w:tcW w:w="1307" w:type="pct"/>
            <w:tcBorders>
              <w:tl2br w:val="nil"/>
              <w:tr2bl w:val="nil"/>
            </w:tcBorders>
            <w:vAlign w:val="center"/>
          </w:tcPr>
          <w:p w14:paraId="3CF4A7A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0814F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textDirection w:val="tbRlV"/>
            <w:vAlign w:val="center"/>
          </w:tcPr>
          <w:p w14:paraId="3562422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48FEA9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3FA4DD7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W3-5</w:t>
            </w:r>
          </w:p>
        </w:tc>
        <w:tc>
          <w:tcPr>
            <w:tcW w:w="871" w:type="pct"/>
            <w:tcBorders>
              <w:tl2br w:val="nil"/>
              <w:tr2bl w:val="nil"/>
            </w:tcBorders>
            <w:shd w:val="clear" w:color="auto" w:fill="auto"/>
            <w:vAlign w:val="center"/>
          </w:tcPr>
          <w:p w14:paraId="252DCF9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ascii="Times New Roman" w:hAnsi="Times New Roman" w:eastAsia="仿宋_GB2312" w:cs="Times New Roman"/>
                <w:color w:val="000000"/>
                <w:spacing w:val="-11"/>
                <w:kern w:val="0"/>
                <w:sz w:val="21"/>
                <w:szCs w:val="21"/>
                <w:lang w:val="en-US" w:eastAsia="zh-CN" w:bidi="ar-SA"/>
              </w:rPr>
              <w:t>pH 、COD、SS 、总铬、六价铬</w:t>
            </w:r>
          </w:p>
        </w:tc>
        <w:tc>
          <w:tcPr>
            <w:tcW w:w="821" w:type="pct"/>
            <w:tcBorders>
              <w:tl2br w:val="nil"/>
              <w:tr2bl w:val="nil"/>
            </w:tcBorders>
            <w:shd w:val="clear" w:color="auto" w:fill="auto"/>
            <w:vAlign w:val="center"/>
          </w:tcPr>
          <w:p w14:paraId="268BF64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含铬</w:t>
            </w:r>
            <w:r>
              <w:rPr>
                <w:rFonts w:ascii="Times New Roman" w:hAnsi="Times New Roman" w:eastAsia="仿宋_GB2312" w:cs="Times New Roman"/>
                <w:color w:val="000000"/>
                <w:spacing w:val="-11"/>
                <w:kern w:val="0"/>
                <w:sz w:val="21"/>
                <w:szCs w:val="21"/>
                <w:highlight w:val="black"/>
                <w:lang w:val="en-US" w:eastAsia="zh-CN" w:bidi="ar-SA"/>
              </w:rPr>
              <w:t>废水</w:t>
            </w:r>
          </w:p>
        </w:tc>
        <w:tc>
          <w:tcPr>
            <w:tcW w:w="615" w:type="pct"/>
            <w:tcBorders>
              <w:tl2br w:val="nil"/>
              <w:tr2bl w:val="nil"/>
            </w:tcBorders>
            <w:shd w:val="clear" w:color="auto" w:fill="auto"/>
            <w:vAlign w:val="center"/>
          </w:tcPr>
          <w:p w14:paraId="556558E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镀后</w:t>
            </w:r>
            <w:r>
              <w:rPr>
                <w:rFonts w:ascii="Times New Roman" w:hAnsi="Times New Roman" w:eastAsia="仿宋_GB2312" w:cs="Times New Roman"/>
                <w:color w:val="000000"/>
                <w:spacing w:val="-11"/>
                <w:kern w:val="0"/>
                <w:sz w:val="21"/>
                <w:szCs w:val="21"/>
                <w:highlight w:val="black"/>
                <w:lang w:val="en-US" w:eastAsia="zh-CN" w:bidi="ar-SA"/>
              </w:rPr>
              <w:t>清洗</w:t>
            </w:r>
          </w:p>
        </w:tc>
        <w:tc>
          <w:tcPr>
            <w:tcW w:w="1307" w:type="pct"/>
            <w:tcBorders>
              <w:tl2br w:val="nil"/>
              <w:tr2bl w:val="nil"/>
            </w:tcBorders>
            <w:vAlign w:val="center"/>
          </w:tcPr>
          <w:p w14:paraId="533E071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3823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restart"/>
            <w:tcBorders>
              <w:tl2br w:val="nil"/>
              <w:tr2bl w:val="nil"/>
            </w:tcBorders>
            <w:vAlign w:val="center"/>
          </w:tcPr>
          <w:p w14:paraId="6B36742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固废</w:t>
            </w:r>
          </w:p>
        </w:tc>
        <w:tc>
          <w:tcPr>
            <w:tcW w:w="601" w:type="pct"/>
            <w:vMerge w:val="restart"/>
            <w:tcBorders>
              <w:tl2br w:val="nil"/>
              <w:tr2bl w:val="nil"/>
            </w:tcBorders>
            <w:vAlign w:val="center"/>
          </w:tcPr>
          <w:p w14:paraId="263FBC9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凹印版</w:t>
            </w:r>
          </w:p>
        </w:tc>
        <w:tc>
          <w:tcPr>
            <w:tcW w:w="582" w:type="pct"/>
            <w:tcBorders>
              <w:tl2br w:val="nil"/>
              <w:tr2bl w:val="nil"/>
            </w:tcBorders>
            <w:vAlign w:val="center"/>
          </w:tcPr>
          <w:p w14:paraId="3E25BC1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S1-1</w:t>
            </w:r>
          </w:p>
        </w:tc>
        <w:tc>
          <w:tcPr>
            <w:tcW w:w="871" w:type="pct"/>
            <w:tcBorders>
              <w:tl2br w:val="nil"/>
              <w:tr2bl w:val="nil"/>
            </w:tcBorders>
            <w:vAlign w:val="center"/>
          </w:tcPr>
          <w:p w14:paraId="147781C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废钢</w:t>
            </w:r>
          </w:p>
        </w:tc>
        <w:tc>
          <w:tcPr>
            <w:tcW w:w="821" w:type="pct"/>
            <w:tcBorders>
              <w:tl2br w:val="nil"/>
              <w:tr2bl w:val="nil"/>
            </w:tcBorders>
            <w:vAlign w:val="center"/>
          </w:tcPr>
          <w:p w14:paraId="7E7271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钢边角料</w:t>
            </w:r>
          </w:p>
        </w:tc>
        <w:tc>
          <w:tcPr>
            <w:tcW w:w="615" w:type="pct"/>
            <w:tcBorders>
              <w:tl2br w:val="nil"/>
              <w:tr2bl w:val="nil"/>
            </w:tcBorders>
            <w:vAlign w:val="center"/>
          </w:tcPr>
          <w:p w14:paraId="48A76C6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剪板、切割</w:t>
            </w:r>
          </w:p>
        </w:tc>
        <w:tc>
          <w:tcPr>
            <w:tcW w:w="1307" w:type="pct"/>
            <w:tcBorders>
              <w:tl2br w:val="nil"/>
              <w:tr2bl w:val="nil"/>
            </w:tcBorders>
            <w:vAlign w:val="center"/>
          </w:tcPr>
          <w:p w14:paraId="73837FB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5BEA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C764AC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55F36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32A5D0C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S1-2</w:t>
            </w:r>
          </w:p>
        </w:tc>
        <w:tc>
          <w:tcPr>
            <w:tcW w:w="871" w:type="pct"/>
            <w:tcBorders>
              <w:tl2br w:val="nil"/>
              <w:tr2bl w:val="nil"/>
            </w:tcBorders>
            <w:vAlign w:val="center"/>
          </w:tcPr>
          <w:p w14:paraId="7280D2B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矿物油</w:t>
            </w:r>
          </w:p>
        </w:tc>
        <w:tc>
          <w:tcPr>
            <w:tcW w:w="821" w:type="pct"/>
            <w:tcBorders>
              <w:tl2br w:val="nil"/>
              <w:tr2bl w:val="nil"/>
            </w:tcBorders>
            <w:vAlign w:val="center"/>
          </w:tcPr>
          <w:p w14:paraId="4B9957C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废乳化液</w:t>
            </w:r>
          </w:p>
        </w:tc>
        <w:tc>
          <w:tcPr>
            <w:tcW w:w="615" w:type="pct"/>
            <w:tcBorders>
              <w:tl2br w:val="nil"/>
              <w:tr2bl w:val="nil"/>
            </w:tcBorders>
            <w:vAlign w:val="center"/>
          </w:tcPr>
          <w:p w14:paraId="34A34C0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机加工</w:t>
            </w:r>
          </w:p>
        </w:tc>
        <w:tc>
          <w:tcPr>
            <w:tcW w:w="1307" w:type="pct"/>
            <w:tcBorders>
              <w:tl2br w:val="nil"/>
              <w:tr2bl w:val="nil"/>
            </w:tcBorders>
            <w:vAlign w:val="center"/>
          </w:tcPr>
          <w:p w14:paraId="5D6D8D7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9441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2D4677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5502FB7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48FA6EC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S1-3</w:t>
            </w:r>
          </w:p>
        </w:tc>
        <w:tc>
          <w:tcPr>
            <w:tcW w:w="871" w:type="pct"/>
            <w:tcBorders>
              <w:tl2br w:val="nil"/>
              <w:tr2bl w:val="nil"/>
            </w:tcBorders>
            <w:vAlign w:val="center"/>
          </w:tcPr>
          <w:p w14:paraId="193F461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铁</w:t>
            </w:r>
          </w:p>
        </w:tc>
        <w:tc>
          <w:tcPr>
            <w:tcW w:w="821" w:type="pct"/>
            <w:tcBorders>
              <w:tl2br w:val="nil"/>
              <w:tr2bl w:val="nil"/>
            </w:tcBorders>
            <w:vAlign w:val="center"/>
          </w:tcPr>
          <w:p w14:paraId="3E0FB62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铁泥</w:t>
            </w:r>
          </w:p>
        </w:tc>
        <w:tc>
          <w:tcPr>
            <w:tcW w:w="615" w:type="pct"/>
            <w:tcBorders>
              <w:tl2br w:val="nil"/>
              <w:tr2bl w:val="nil"/>
            </w:tcBorders>
            <w:vAlign w:val="center"/>
          </w:tcPr>
          <w:p w14:paraId="02E7C76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过滤</w:t>
            </w:r>
          </w:p>
        </w:tc>
        <w:tc>
          <w:tcPr>
            <w:tcW w:w="1307" w:type="pct"/>
            <w:tcBorders>
              <w:tl2br w:val="nil"/>
              <w:tr2bl w:val="nil"/>
            </w:tcBorders>
            <w:vAlign w:val="center"/>
          </w:tcPr>
          <w:p w14:paraId="00DB3F4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4BBE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669AD98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F876B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5F8D37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S1-4</w:t>
            </w:r>
          </w:p>
        </w:tc>
        <w:tc>
          <w:tcPr>
            <w:tcW w:w="871" w:type="pct"/>
            <w:tcBorders>
              <w:tl2br w:val="nil"/>
              <w:tr2bl w:val="nil"/>
            </w:tcBorders>
            <w:vAlign w:val="center"/>
          </w:tcPr>
          <w:p w14:paraId="029B9CC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铜</w:t>
            </w:r>
          </w:p>
        </w:tc>
        <w:tc>
          <w:tcPr>
            <w:tcW w:w="821" w:type="pct"/>
            <w:tcBorders>
              <w:tl2br w:val="nil"/>
              <w:tr2bl w:val="nil"/>
            </w:tcBorders>
            <w:vAlign w:val="center"/>
          </w:tcPr>
          <w:p w14:paraId="01282CE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镀铜槽渣</w:t>
            </w:r>
          </w:p>
        </w:tc>
        <w:tc>
          <w:tcPr>
            <w:tcW w:w="615" w:type="pct"/>
            <w:tcBorders>
              <w:tl2br w:val="nil"/>
              <w:tr2bl w:val="nil"/>
            </w:tcBorders>
            <w:vAlign w:val="center"/>
          </w:tcPr>
          <w:p w14:paraId="6F6369B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镀碱铜、镀铜</w:t>
            </w:r>
          </w:p>
        </w:tc>
        <w:tc>
          <w:tcPr>
            <w:tcW w:w="1307" w:type="pct"/>
            <w:tcBorders>
              <w:tl2br w:val="nil"/>
              <w:tr2bl w:val="nil"/>
            </w:tcBorders>
            <w:vAlign w:val="center"/>
          </w:tcPr>
          <w:p w14:paraId="747A5A2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2BC5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511AD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480829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7C9280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S1-5</w:t>
            </w:r>
          </w:p>
        </w:tc>
        <w:tc>
          <w:tcPr>
            <w:tcW w:w="871" w:type="pct"/>
            <w:tcBorders>
              <w:tl2br w:val="nil"/>
              <w:tr2bl w:val="nil"/>
            </w:tcBorders>
            <w:vAlign w:val="center"/>
          </w:tcPr>
          <w:p w14:paraId="1B46775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铜、铬</w:t>
            </w:r>
          </w:p>
        </w:tc>
        <w:tc>
          <w:tcPr>
            <w:tcW w:w="821" w:type="pct"/>
            <w:tcBorders>
              <w:tl2br w:val="nil"/>
              <w:tr2bl w:val="nil"/>
            </w:tcBorders>
            <w:vAlign w:val="center"/>
          </w:tcPr>
          <w:p w14:paraId="7296EF5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废滤芯</w:t>
            </w:r>
          </w:p>
        </w:tc>
        <w:tc>
          <w:tcPr>
            <w:tcW w:w="615" w:type="pct"/>
            <w:tcBorders>
              <w:tl2br w:val="nil"/>
              <w:tr2bl w:val="nil"/>
            </w:tcBorders>
            <w:vAlign w:val="center"/>
          </w:tcPr>
          <w:p w14:paraId="2F8537B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过滤</w:t>
            </w:r>
          </w:p>
        </w:tc>
        <w:tc>
          <w:tcPr>
            <w:tcW w:w="1307" w:type="pct"/>
            <w:tcBorders>
              <w:tl2br w:val="nil"/>
              <w:tr2bl w:val="nil"/>
            </w:tcBorders>
            <w:vAlign w:val="center"/>
          </w:tcPr>
          <w:p w14:paraId="2363355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7D5A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41DECA8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4BF149D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5BF60CE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S1-6</w:t>
            </w:r>
          </w:p>
        </w:tc>
        <w:tc>
          <w:tcPr>
            <w:tcW w:w="871" w:type="pct"/>
            <w:tcBorders>
              <w:tl2br w:val="nil"/>
              <w:tr2bl w:val="nil"/>
            </w:tcBorders>
            <w:vAlign w:val="center"/>
          </w:tcPr>
          <w:p w14:paraId="0811480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铜</w:t>
            </w:r>
          </w:p>
        </w:tc>
        <w:tc>
          <w:tcPr>
            <w:tcW w:w="821" w:type="pct"/>
            <w:tcBorders>
              <w:tl2br w:val="nil"/>
              <w:tr2bl w:val="nil"/>
            </w:tcBorders>
            <w:vAlign w:val="center"/>
          </w:tcPr>
          <w:p w14:paraId="329BE88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铜泥</w:t>
            </w:r>
          </w:p>
        </w:tc>
        <w:tc>
          <w:tcPr>
            <w:tcW w:w="615" w:type="pct"/>
            <w:tcBorders>
              <w:tl2br w:val="nil"/>
              <w:tr2bl w:val="nil"/>
            </w:tcBorders>
            <w:vAlign w:val="center"/>
          </w:tcPr>
          <w:p w14:paraId="6B42663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研磨</w:t>
            </w:r>
          </w:p>
        </w:tc>
        <w:tc>
          <w:tcPr>
            <w:tcW w:w="1307" w:type="pct"/>
            <w:tcBorders>
              <w:tl2br w:val="nil"/>
              <w:tr2bl w:val="nil"/>
            </w:tcBorders>
            <w:vAlign w:val="center"/>
          </w:tcPr>
          <w:p w14:paraId="27E89F5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3064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9667C3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51DD577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03EC694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S1-7</w:t>
            </w:r>
          </w:p>
        </w:tc>
        <w:tc>
          <w:tcPr>
            <w:tcW w:w="871" w:type="pct"/>
            <w:tcBorders>
              <w:tl2br w:val="nil"/>
              <w:tr2bl w:val="nil"/>
            </w:tcBorders>
            <w:vAlign w:val="center"/>
          </w:tcPr>
          <w:p w14:paraId="65B2EC0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油污</w:t>
            </w:r>
          </w:p>
        </w:tc>
        <w:tc>
          <w:tcPr>
            <w:tcW w:w="821" w:type="pct"/>
            <w:tcBorders>
              <w:tl2br w:val="nil"/>
              <w:tr2bl w:val="nil"/>
            </w:tcBorders>
            <w:vAlign w:val="center"/>
          </w:tcPr>
          <w:p w14:paraId="02E5F69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擦拭废纸</w:t>
            </w:r>
          </w:p>
        </w:tc>
        <w:tc>
          <w:tcPr>
            <w:tcW w:w="615" w:type="pct"/>
            <w:tcBorders>
              <w:tl2br w:val="nil"/>
              <w:tr2bl w:val="nil"/>
            </w:tcBorders>
            <w:vAlign w:val="center"/>
          </w:tcPr>
          <w:p w14:paraId="1EB4839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擦拭</w:t>
            </w:r>
          </w:p>
        </w:tc>
        <w:tc>
          <w:tcPr>
            <w:tcW w:w="1307" w:type="pct"/>
            <w:tcBorders>
              <w:tl2br w:val="nil"/>
              <w:tr2bl w:val="nil"/>
            </w:tcBorders>
            <w:vAlign w:val="center"/>
          </w:tcPr>
          <w:p w14:paraId="6835CA4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37445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15D02E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2ADE8D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BBCDC4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S1-8</w:t>
            </w:r>
          </w:p>
        </w:tc>
        <w:tc>
          <w:tcPr>
            <w:tcW w:w="871" w:type="pct"/>
            <w:tcBorders>
              <w:tl2br w:val="nil"/>
              <w:tr2bl w:val="nil"/>
            </w:tcBorders>
            <w:vAlign w:val="center"/>
          </w:tcPr>
          <w:p w14:paraId="3D2853E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金属</w:t>
            </w:r>
          </w:p>
        </w:tc>
        <w:tc>
          <w:tcPr>
            <w:tcW w:w="821" w:type="pct"/>
            <w:tcBorders>
              <w:tl2br w:val="nil"/>
              <w:tr2bl w:val="nil"/>
            </w:tcBorders>
            <w:vAlign w:val="center"/>
          </w:tcPr>
          <w:p w14:paraId="118A248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废金属屑</w:t>
            </w:r>
          </w:p>
        </w:tc>
        <w:tc>
          <w:tcPr>
            <w:tcW w:w="615" w:type="pct"/>
            <w:tcBorders>
              <w:tl2br w:val="nil"/>
              <w:tr2bl w:val="nil"/>
            </w:tcBorders>
            <w:vAlign w:val="center"/>
          </w:tcPr>
          <w:p w14:paraId="4DE29ED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雕刻</w:t>
            </w:r>
          </w:p>
        </w:tc>
        <w:tc>
          <w:tcPr>
            <w:tcW w:w="1307" w:type="pct"/>
            <w:tcBorders>
              <w:tl2br w:val="nil"/>
              <w:tr2bl w:val="nil"/>
            </w:tcBorders>
            <w:vAlign w:val="center"/>
          </w:tcPr>
          <w:p w14:paraId="3F4BAED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265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0481558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3E71E44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6B51516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S1-9</w:t>
            </w:r>
          </w:p>
        </w:tc>
        <w:tc>
          <w:tcPr>
            <w:tcW w:w="871" w:type="pct"/>
            <w:tcBorders>
              <w:tl2br w:val="nil"/>
              <w:tr2bl w:val="nil"/>
            </w:tcBorders>
            <w:shd w:val="clear" w:color="auto" w:fill="auto"/>
            <w:vAlign w:val="center"/>
          </w:tcPr>
          <w:p w14:paraId="313F0CF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w:t>
            </w:r>
          </w:p>
        </w:tc>
        <w:tc>
          <w:tcPr>
            <w:tcW w:w="821" w:type="pct"/>
            <w:tcBorders>
              <w:tl2br w:val="nil"/>
              <w:tr2bl w:val="nil"/>
            </w:tcBorders>
            <w:shd w:val="clear" w:color="auto" w:fill="auto"/>
            <w:vAlign w:val="center"/>
          </w:tcPr>
          <w:p w14:paraId="76DB656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含铬</w:t>
            </w:r>
            <w:r>
              <w:rPr>
                <w:rFonts w:hint="eastAsia" w:ascii="Times New Roman" w:hAnsi="Times New Roman" w:eastAsia="仿宋_GB2312" w:cs="Times New Roman"/>
                <w:color w:val="000000"/>
                <w:spacing w:val="-11"/>
                <w:kern w:val="0"/>
                <w:sz w:val="21"/>
                <w:szCs w:val="21"/>
                <w:highlight w:val="black"/>
                <w:lang w:val="en-US" w:eastAsia="zh-CN" w:bidi="ar-SA"/>
              </w:rPr>
              <w:t>槽渣</w:t>
            </w:r>
          </w:p>
        </w:tc>
        <w:tc>
          <w:tcPr>
            <w:tcW w:w="615" w:type="pct"/>
            <w:tcBorders>
              <w:tl2br w:val="nil"/>
              <w:tr2bl w:val="nil"/>
            </w:tcBorders>
            <w:shd w:val="clear" w:color="auto" w:fill="auto"/>
            <w:vAlign w:val="center"/>
          </w:tcPr>
          <w:p w14:paraId="7A5362A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镀铬、退铬</w:t>
            </w:r>
          </w:p>
        </w:tc>
        <w:tc>
          <w:tcPr>
            <w:tcW w:w="1307" w:type="pct"/>
            <w:tcBorders>
              <w:tl2br w:val="nil"/>
              <w:tr2bl w:val="nil"/>
            </w:tcBorders>
            <w:vAlign w:val="center"/>
          </w:tcPr>
          <w:p w14:paraId="0D8B0AD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DD1E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363EDB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A39F6B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F5D9B78">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S1-10</w:t>
            </w:r>
          </w:p>
        </w:tc>
        <w:tc>
          <w:tcPr>
            <w:tcW w:w="871" w:type="pct"/>
            <w:tcBorders>
              <w:tl2br w:val="nil"/>
              <w:tr2bl w:val="nil"/>
            </w:tcBorders>
            <w:vAlign w:val="center"/>
          </w:tcPr>
          <w:p w14:paraId="5BCF2941">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油墨</w:t>
            </w:r>
          </w:p>
        </w:tc>
        <w:tc>
          <w:tcPr>
            <w:tcW w:w="821" w:type="pct"/>
            <w:tcBorders>
              <w:tl2br w:val="nil"/>
              <w:tr2bl w:val="nil"/>
            </w:tcBorders>
            <w:vAlign w:val="center"/>
          </w:tcPr>
          <w:p w14:paraId="09BA137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废油墨</w:t>
            </w:r>
          </w:p>
        </w:tc>
        <w:tc>
          <w:tcPr>
            <w:tcW w:w="615" w:type="pct"/>
            <w:tcBorders>
              <w:tl2br w:val="nil"/>
              <w:tr2bl w:val="nil"/>
            </w:tcBorders>
            <w:vAlign w:val="center"/>
          </w:tcPr>
          <w:p w14:paraId="5A380B19">
            <w:pPr>
              <w:widowControl w:val="0"/>
              <w:bidi w:val="0"/>
              <w:adjustRightInd w:val="0"/>
              <w:snapToGrid w:val="0"/>
              <w:spacing w:line="240" w:lineRule="auto"/>
              <w:ind w:firstLine="0" w:firstLineChars="0"/>
              <w:jc w:val="center"/>
              <w:rPr>
                <w:rFonts w:hint="default"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打样</w:t>
            </w:r>
          </w:p>
        </w:tc>
        <w:tc>
          <w:tcPr>
            <w:tcW w:w="1307" w:type="pct"/>
            <w:tcBorders>
              <w:tl2br w:val="nil"/>
              <w:tr2bl w:val="nil"/>
            </w:tcBorders>
            <w:vAlign w:val="center"/>
          </w:tcPr>
          <w:p w14:paraId="5332D6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0AB3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868C8B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AA98F4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1070815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S1-11</w:t>
            </w:r>
          </w:p>
        </w:tc>
        <w:tc>
          <w:tcPr>
            <w:tcW w:w="871" w:type="pct"/>
            <w:tcBorders>
              <w:tl2br w:val="nil"/>
              <w:tr2bl w:val="nil"/>
            </w:tcBorders>
            <w:vAlign w:val="center"/>
          </w:tcPr>
          <w:p w14:paraId="3CE85A3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油墨</w:t>
            </w:r>
          </w:p>
        </w:tc>
        <w:tc>
          <w:tcPr>
            <w:tcW w:w="821" w:type="pct"/>
            <w:tcBorders>
              <w:tl2br w:val="nil"/>
              <w:tr2bl w:val="nil"/>
            </w:tcBorders>
            <w:vAlign w:val="center"/>
          </w:tcPr>
          <w:p w14:paraId="3CFBD57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含油墨废布</w:t>
            </w:r>
          </w:p>
        </w:tc>
        <w:tc>
          <w:tcPr>
            <w:tcW w:w="615" w:type="pct"/>
            <w:tcBorders>
              <w:tl2br w:val="nil"/>
              <w:tr2bl w:val="nil"/>
            </w:tcBorders>
            <w:vAlign w:val="center"/>
          </w:tcPr>
          <w:p w14:paraId="5B24844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打样</w:t>
            </w:r>
          </w:p>
        </w:tc>
        <w:tc>
          <w:tcPr>
            <w:tcW w:w="1307" w:type="pct"/>
            <w:tcBorders>
              <w:tl2br w:val="nil"/>
              <w:tr2bl w:val="nil"/>
            </w:tcBorders>
            <w:vAlign w:val="center"/>
          </w:tcPr>
          <w:p w14:paraId="32E8A0D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2475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08E2233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2399557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磁性模切刀版</w:t>
            </w:r>
          </w:p>
        </w:tc>
        <w:tc>
          <w:tcPr>
            <w:tcW w:w="582" w:type="pct"/>
            <w:tcBorders>
              <w:tl2br w:val="nil"/>
              <w:tr2bl w:val="nil"/>
            </w:tcBorders>
            <w:shd w:val="clear" w:color="auto" w:fill="auto"/>
            <w:vAlign w:val="center"/>
          </w:tcPr>
          <w:p w14:paraId="0FE231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S</w:t>
            </w:r>
            <w:r>
              <w:rPr>
                <w:rFonts w:hint="eastAsia" w:cs="Times New Roman"/>
                <w:color w:val="000000"/>
                <w:spacing w:val="-11"/>
                <w:kern w:val="0"/>
                <w:sz w:val="21"/>
                <w:szCs w:val="21"/>
                <w:lang w:val="en-US" w:eastAsia="zh-CN" w:bidi="ar-SA"/>
              </w:rPr>
              <w:t>2</w:t>
            </w:r>
            <w:r>
              <w:rPr>
                <w:rFonts w:hint="eastAsia" w:ascii="Times New Roman" w:hAnsi="Times New Roman" w:eastAsia="仿宋_GB2312" w:cs="Times New Roman"/>
                <w:color w:val="000000"/>
                <w:spacing w:val="-11"/>
                <w:kern w:val="0"/>
                <w:sz w:val="21"/>
                <w:szCs w:val="21"/>
                <w:lang w:val="en-US" w:eastAsia="zh-CN" w:bidi="ar-SA"/>
              </w:rPr>
              <w:t>-1</w:t>
            </w:r>
          </w:p>
        </w:tc>
        <w:tc>
          <w:tcPr>
            <w:tcW w:w="871" w:type="pct"/>
            <w:tcBorders>
              <w:tl2br w:val="nil"/>
              <w:tr2bl w:val="nil"/>
            </w:tcBorders>
            <w:shd w:val="clear" w:color="auto" w:fill="auto"/>
            <w:vAlign w:val="center"/>
          </w:tcPr>
          <w:p w14:paraId="141EA2D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废钢</w:t>
            </w:r>
          </w:p>
        </w:tc>
        <w:tc>
          <w:tcPr>
            <w:tcW w:w="821" w:type="pct"/>
            <w:tcBorders>
              <w:tl2br w:val="nil"/>
              <w:tr2bl w:val="nil"/>
            </w:tcBorders>
            <w:shd w:val="clear" w:color="auto" w:fill="auto"/>
            <w:vAlign w:val="center"/>
          </w:tcPr>
          <w:p w14:paraId="65648D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钢边角料</w:t>
            </w:r>
          </w:p>
        </w:tc>
        <w:tc>
          <w:tcPr>
            <w:tcW w:w="615" w:type="pct"/>
            <w:tcBorders>
              <w:tl2br w:val="nil"/>
              <w:tr2bl w:val="nil"/>
            </w:tcBorders>
            <w:shd w:val="clear" w:color="auto" w:fill="auto"/>
            <w:vAlign w:val="center"/>
          </w:tcPr>
          <w:p w14:paraId="09D7F79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剪板、切割</w:t>
            </w:r>
          </w:p>
        </w:tc>
        <w:tc>
          <w:tcPr>
            <w:tcW w:w="1307" w:type="pct"/>
            <w:tcBorders>
              <w:tl2br w:val="nil"/>
              <w:tr2bl w:val="nil"/>
            </w:tcBorders>
            <w:vAlign w:val="center"/>
          </w:tcPr>
          <w:p w14:paraId="5912A9C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A5AB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309117F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D0F69C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8EC487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S2-2</w:t>
            </w:r>
          </w:p>
        </w:tc>
        <w:tc>
          <w:tcPr>
            <w:tcW w:w="871" w:type="pct"/>
            <w:tcBorders>
              <w:tl2br w:val="nil"/>
              <w:tr2bl w:val="nil"/>
            </w:tcBorders>
            <w:vAlign w:val="center"/>
          </w:tcPr>
          <w:p w14:paraId="27067DD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污泥</w:t>
            </w:r>
          </w:p>
        </w:tc>
        <w:tc>
          <w:tcPr>
            <w:tcW w:w="821" w:type="pct"/>
            <w:tcBorders>
              <w:tl2br w:val="nil"/>
              <w:tr2bl w:val="nil"/>
            </w:tcBorders>
            <w:vAlign w:val="center"/>
          </w:tcPr>
          <w:p w14:paraId="52222BB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清洗污泥</w:t>
            </w:r>
          </w:p>
        </w:tc>
        <w:tc>
          <w:tcPr>
            <w:tcW w:w="615" w:type="pct"/>
            <w:tcBorders>
              <w:tl2br w:val="nil"/>
              <w:tr2bl w:val="nil"/>
            </w:tcBorders>
            <w:vAlign w:val="center"/>
          </w:tcPr>
          <w:p w14:paraId="7FFB401E">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清洗</w:t>
            </w:r>
          </w:p>
        </w:tc>
        <w:tc>
          <w:tcPr>
            <w:tcW w:w="1307" w:type="pct"/>
            <w:tcBorders>
              <w:tl2br w:val="nil"/>
              <w:tr2bl w:val="nil"/>
            </w:tcBorders>
            <w:vAlign w:val="center"/>
          </w:tcPr>
          <w:p w14:paraId="5C2A7EA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EE79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9713B5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56DF418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272DBA5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S2-3</w:t>
            </w:r>
          </w:p>
        </w:tc>
        <w:tc>
          <w:tcPr>
            <w:tcW w:w="871" w:type="pct"/>
            <w:tcBorders>
              <w:tl2br w:val="nil"/>
              <w:tr2bl w:val="nil"/>
            </w:tcBorders>
            <w:vAlign w:val="center"/>
          </w:tcPr>
          <w:p w14:paraId="59B8C82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盐酸、铁</w:t>
            </w:r>
          </w:p>
        </w:tc>
        <w:tc>
          <w:tcPr>
            <w:tcW w:w="821" w:type="pct"/>
            <w:tcBorders>
              <w:tl2br w:val="nil"/>
              <w:tr2bl w:val="nil"/>
            </w:tcBorders>
            <w:vAlign w:val="center"/>
          </w:tcPr>
          <w:p w14:paraId="5B1CD75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腐蚀废液</w:t>
            </w:r>
          </w:p>
        </w:tc>
        <w:tc>
          <w:tcPr>
            <w:tcW w:w="615" w:type="pct"/>
            <w:tcBorders>
              <w:tl2br w:val="nil"/>
              <w:tr2bl w:val="nil"/>
            </w:tcBorders>
            <w:vAlign w:val="center"/>
          </w:tcPr>
          <w:p w14:paraId="65F110D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腐蚀</w:t>
            </w:r>
          </w:p>
        </w:tc>
        <w:tc>
          <w:tcPr>
            <w:tcW w:w="1307" w:type="pct"/>
            <w:tcBorders>
              <w:tl2br w:val="nil"/>
              <w:tr2bl w:val="nil"/>
            </w:tcBorders>
            <w:vAlign w:val="center"/>
          </w:tcPr>
          <w:p w14:paraId="07087C4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CD5E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47AC8C6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4A52A2A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23CC76E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S2-4</w:t>
            </w:r>
          </w:p>
        </w:tc>
        <w:tc>
          <w:tcPr>
            <w:tcW w:w="871" w:type="pct"/>
            <w:tcBorders>
              <w:tl2br w:val="nil"/>
              <w:tr2bl w:val="nil"/>
            </w:tcBorders>
            <w:vAlign w:val="center"/>
          </w:tcPr>
          <w:p w14:paraId="70DF552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金属</w:t>
            </w:r>
          </w:p>
        </w:tc>
        <w:tc>
          <w:tcPr>
            <w:tcW w:w="821" w:type="pct"/>
            <w:tcBorders>
              <w:tl2br w:val="nil"/>
              <w:tr2bl w:val="nil"/>
            </w:tcBorders>
            <w:vAlign w:val="center"/>
          </w:tcPr>
          <w:p w14:paraId="246E9DE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废金属屑</w:t>
            </w:r>
          </w:p>
        </w:tc>
        <w:tc>
          <w:tcPr>
            <w:tcW w:w="615" w:type="pct"/>
            <w:tcBorders>
              <w:tl2br w:val="nil"/>
              <w:tr2bl w:val="nil"/>
            </w:tcBorders>
            <w:vAlign w:val="center"/>
          </w:tcPr>
          <w:p w14:paraId="5A9347D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雕刻</w:t>
            </w:r>
          </w:p>
        </w:tc>
        <w:tc>
          <w:tcPr>
            <w:tcW w:w="1307" w:type="pct"/>
            <w:tcBorders>
              <w:tl2br w:val="nil"/>
              <w:tr2bl w:val="nil"/>
            </w:tcBorders>
            <w:vAlign w:val="center"/>
          </w:tcPr>
          <w:p w14:paraId="6114454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B44D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FAF0BB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DBC826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5676F9A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S2-5</w:t>
            </w:r>
          </w:p>
        </w:tc>
        <w:tc>
          <w:tcPr>
            <w:tcW w:w="871" w:type="pct"/>
            <w:tcBorders>
              <w:tl2br w:val="nil"/>
              <w:tr2bl w:val="nil"/>
            </w:tcBorders>
            <w:vAlign w:val="center"/>
          </w:tcPr>
          <w:p w14:paraId="55308CC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矿物油</w:t>
            </w:r>
          </w:p>
        </w:tc>
        <w:tc>
          <w:tcPr>
            <w:tcW w:w="821" w:type="pct"/>
            <w:tcBorders>
              <w:tl2br w:val="nil"/>
              <w:tr2bl w:val="nil"/>
            </w:tcBorders>
            <w:shd w:val="clear" w:color="auto" w:fill="auto"/>
            <w:vAlign w:val="center"/>
          </w:tcPr>
          <w:p w14:paraId="60AD6A1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废切削油</w:t>
            </w:r>
          </w:p>
        </w:tc>
        <w:tc>
          <w:tcPr>
            <w:tcW w:w="615" w:type="pct"/>
            <w:tcBorders>
              <w:tl2br w:val="nil"/>
              <w:tr2bl w:val="nil"/>
            </w:tcBorders>
            <w:shd w:val="clear" w:color="auto" w:fill="auto"/>
            <w:vAlign w:val="center"/>
          </w:tcPr>
          <w:p w14:paraId="22CF16C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机加工</w:t>
            </w:r>
          </w:p>
        </w:tc>
        <w:tc>
          <w:tcPr>
            <w:tcW w:w="1307" w:type="pct"/>
            <w:tcBorders>
              <w:tl2br w:val="nil"/>
              <w:tr2bl w:val="nil"/>
            </w:tcBorders>
            <w:vAlign w:val="center"/>
          </w:tcPr>
          <w:p w14:paraId="369F2F6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4DBC6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295318C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92F655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1A3F2F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S2-6</w:t>
            </w:r>
          </w:p>
        </w:tc>
        <w:tc>
          <w:tcPr>
            <w:tcW w:w="871" w:type="pct"/>
            <w:tcBorders>
              <w:tl2br w:val="nil"/>
              <w:tr2bl w:val="nil"/>
            </w:tcBorders>
            <w:shd w:val="clear" w:color="auto" w:fill="auto"/>
            <w:vAlign w:val="center"/>
          </w:tcPr>
          <w:p w14:paraId="0A50F99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w:t>
            </w:r>
          </w:p>
        </w:tc>
        <w:tc>
          <w:tcPr>
            <w:tcW w:w="821" w:type="pct"/>
            <w:tcBorders>
              <w:tl2br w:val="nil"/>
              <w:tr2bl w:val="nil"/>
            </w:tcBorders>
            <w:shd w:val="clear" w:color="auto" w:fill="auto"/>
            <w:vAlign w:val="center"/>
          </w:tcPr>
          <w:p w14:paraId="6811827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镀铬槽渣</w:t>
            </w:r>
          </w:p>
        </w:tc>
        <w:tc>
          <w:tcPr>
            <w:tcW w:w="615" w:type="pct"/>
            <w:tcBorders>
              <w:tl2br w:val="nil"/>
              <w:tr2bl w:val="nil"/>
            </w:tcBorders>
            <w:shd w:val="clear" w:color="auto" w:fill="auto"/>
            <w:vAlign w:val="center"/>
          </w:tcPr>
          <w:p w14:paraId="1796BB33">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w:t>
            </w:r>
          </w:p>
        </w:tc>
        <w:tc>
          <w:tcPr>
            <w:tcW w:w="1307" w:type="pct"/>
            <w:tcBorders>
              <w:tl2br w:val="nil"/>
              <w:tr2bl w:val="nil"/>
            </w:tcBorders>
            <w:vAlign w:val="center"/>
          </w:tcPr>
          <w:p w14:paraId="5678161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40DFB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0BA4CC7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9EE7B4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17C01CA7">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S2-7</w:t>
            </w:r>
          </w:p>
        </w:tc>
        <w:tc>
          <w:tcPr>
            <w:tcW w:w="871" w:type="pct"/>
            <w:tcBorders>
              <w:tl2br w:val="nil"/>
              <w:tr2bl w:val="nil"/>
            </w:tcBorders>
            <w:vAlign w:val="center"/>
          </w:tcPr>
          <w:p w14:paraId="4CB9A9BF">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w:t>
            </w:r>
          </w:p>
        </w:tc>
        <w:tc>
          <w:tcPr>
            <w:tcW w:w="821" w:type="pct"/>
            <w:tcBorders>
              <w:tl2br w:val="nil"/>
              <w:tr2bl w:val="nil"/>
            </w:tcBorders>
            <w:shd w:val="clear" w:color="auto" w:fill="auto"/>
            <w:vAlign w:val="center"/>
          </w:tcPr>
          <w:p w14:paraId="5A37199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废滤芯</w:t>
            </w:r>
          </w:p>
        </w:tc>
        <w:tc>
          <w:tcPr>
            <w:tcW w:w="615" w:type="pct"/>
            <w:tcBorders>
              <w:tl2br w:val="nil"/>
              <w:tr2bl w:val="nil"/>
            </w:tcBorders>
            <w:shd w:val="clear" w:color="auto" w:fill="auto"/>
            <w:vAlign w:val="center"/>
          </w:tcPr>
          <w:p w14:paraId="499E5F8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过滤</w:t>
            </w:r>
          </w:p>
        </w:tc>
        <w:tc>
          <w:tcPr>
            <w:tcW w:w="1307" w:type="pct"/>
            <w:tcBorders>
              <w:tl2br w:val="nil"/>
              <w:tr2bl w:val="nil"/>
            </w:tcBorders>
            <w:vAlign w:val="center"/>
          </w:tcPr>
          <w:p w14:paraId="35467B5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04709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45DDCC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B7D52E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A7CD80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S2-8</w:t>
            </w:r>
          </w:p>
        </w:tc>
        <w:tc>
          <w:tcPr>
            <w:tcW w:w="871" w:type="pct"/>
            <w:tcBorders>
              <w:tl2br w:val="nil"/>
              <w:tr2bl w:val="nil"/>
            </w:tcBorders>
            <w:vAlign w:val="center"/>
          </w:tcPr>
          <w:p w14:paraId="7832EB2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砂轮</w:t>
            </w:r>
          </w:p>
        </w:tc>
        <w:tc>
          <w:tcPr>
            <w:tcW w:w="821" w:type="pct"/>
            <w:tcBorders>
              <w:tl2br w:val="nil"/>
              <w:tr2bl w:val="nil"/>
            </w:tcBorders>
            <w:vAlign w:val="center"/>
          </w:tcPr>
          <w:p w14:paraId="5EB8E4D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废砂轮</w:t>
            </w:r>
          </w:p>
        </w:tc>
        <w:tc>
          <w:tcPr>
            <w:tcW w:w="615" w:type="pct"/>
            <w:tcBorders>
              <w:tl2br w:val="nil"/>
              <w:tr2bl w:val="nil"/>
            </w:tcBorders>
            <w:vAlign w:val="center"/>
          </w:tcPr>
          <w:p w14:paraId="36A909E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抛光</w:t>
            </w:r>
          </w:p>
        </w:tc>
        <w:tc>
          <w:tcPr>
            <w:tcW w:w="1307" w:type="pct"/>
            <w:tcBorders>
              <w:tl2br w:val="nil"/>
              <w:tr2bl w:val="nil"/>
            </w:tcBorders>
            <w:vAlign w:val="center"/>
          </w:tcPr>
          <w:p w14:paraId="27668F3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59FA6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064620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78027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2DE8B54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S2-9</w:t>
            </w:r>
          </w:p>
        </w:tc>
        <w:tc>
          <w:tcPr>
            <w:tcW w:w="871" w:type="pct"/>
            <w:tcBorders>
              <w:tl2br w:val="nil"/>
              <w:tr2bl w:val="nil"/>
            </w:tcBorders>
            <w:vAlign w:val="center"/>
          </w:tcPr>
          <w:p w14:paraId="7658BB09">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金属</w:t>
            </w:r>
          </w:p>
        </w:tc>
        <w:tc>
          <w:tcPr>
            <w:tcW w:w="821" w:type="pct"/>
            <w:tcBorders>
              <w:tl2br w:val="nil"/>
              <w:tr2bl w:val="nil"/>
            </w:tcBorders>
            <w:vAlign w:val="center"/>
          </w:tcPr>
          <w:p w14:paraId="14F1758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不合格品</w:t>
            </w:r>
          </w:p>
        </w:tc>
        <w:tc>
          <w:tcPr>
            <w:tcW w:w="615" w:type="pct"/>
            <w:tcBorders>
              <w:tl2br w:val="nil"/>
              <w:tr2bl w:val="nil"/>
            </w:tcBorders>
            <w:vAlign w:val="center"/>
          </w:tcPr>
          <w:p w14:paraId="652C9BD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检验</w:t>
            </w:r>
          </w:p>
        </w:tc>
        <w:tc>
          <w:tcPr>
            <w:tcW w:w="1307" w:type="pct"/>
            <w:tcBorders>
              <w:tl2br w:val="nil"/>
              <w:tr2bl w:val="nil"/>
            </w:tcBorders>
            <w:vAlign w:val="center"/>
          </w:tcPr>
          <w:p w14:paraId="1AEA8DB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4DBC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3E8A7EB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restart"/>
            <w:tcBorders>
              <w:tl2br w:val="nil"/>
              <w:tr2bl w:val="nil"/>
            </w:tcBorders>
            <w:vAlign w:val="center"/>
          </w:tcPr>
          <w:p w14:paraId="651F090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eastAsia" w:ascii="Times New Roman" w:hAnsi="Times New Roman" w:eastAsia="仿宋_GB2312" w:cs="Times New Roman"/>
                <w:color w:val="000000"/>
                <w:spacing w:val="-11"/>
                <w:kern w:val="0"/>
                <w:sz w:val="21"/>
                <w:szCs w:val="21"/>
                <w:lang w:val="en-US" w:eastAsia="zh-CN" w:bidi="ar-SA"/>
              </w:rPr>
              <w:t>热压模板</w:t>
            </w:r>
          </w:p>
        </w:tc>
        <w:tc>
          <w:tcPr>
            <w:tcW w:w="582" w:type="pct"/>
            <w:tcBorders>
              <w:tl2br w:val="nil"/>
              <w:tr2bl w:val="nil"/>
            </w:tcBorders>
            <w:vAlign w:val="center"/>
          </w:tcPr>
          <w:p w14:paraId="6FC3F65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auto"/>
                <w:spacing w:val="-11"/>
                <w:kern w:val="0"/>
                <w:sz w:val="21"/>
                <w:szCs w:val="21"/>
                <w:lang w:val="en-US" w:eastAsia="zh-CN" w:bidi="ar-SA"/>
              </w:rPr>
            </w:pPr>
            <w:r>
              <w:rPr>
                <w:rFonts w:hint="eastAsia" w:cs="Times New Roman"/>
                <w:color w:val="auto"/>
                <w:spacing w:val="-11"/>
                <w:kern w:val="0"/>
                <w:sz w:val="21"/>
                <w:szCs w:val="21"/>
                <w:lang w:val="en-US" w:eastAsia="zh-CN" w:bidi="ar-SA"/>
              </w:rPr>
              <w:t>S3-1</w:t>
            </w:r>
          </w:p>
        </w:tc>
        <w:tc>
          <w:tcPr>
            <w:tcW w:w="871" w:type="pct"/>
            <w:tcBorders>
              <w:tl2br w:val="nil"/>
              <w:tr2bl w:val="nil"/>
            </w:tcBorders>
            <w:shd w:val="clear" w:color="auto" w:fill="auto"/>
            <w:vAlign w:val="center"/>
          </w:tcPr>
          <w:p w14:paraId="4BB02A2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矿物油</w:t>
            </w:r>
          </w:p>
        </w:tc>
        <w:tc>
          <w:tcPr>
            <w:tcW w:w="821" w:type="pct"/>
            <w:tcBorders>
              <w:tl2br w:val="nil"/>
              <w:tr2bl w:val="nil"/>
            </w:tcBorders>
            <w:shd w:val="clear" w:color="auto" w:fill="auto"/>
            <w:vAlign w:val="center"/>
          </w:tcPr>
          <w:p w14:paraId="0CBD030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脱脂废液</w:t>
            </w:r>
          </w:p>
        </w:tc>
        <w:tc>
          <w:tcPr>
            <w:tcW w:w="615" w:type="pct"/>
            <w:tcBorders>
              <w:tl2br w:val="nil"/>
              <w:tr2bl w:val="nil"/>
            </w:tcBorders>
            <w:shd w:val="clear" w:color="auto" w:fill="auto"/>
            <w:vAlign w:val="center"/>
          </w:tcPr>
          <w:p w14:paraId="5F7B175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除油</w:t>
            </w:r>
          </w:p>
        </w:tc>
        <w:tc>
          <w:tcPr>
            <w:tcW w:w="1307" w:type="pct"/>
            <w:tcBorders>
              <w:tl2br w:val="nil"/>
              <w:tr2bl w:val="nil"/>
            </w:tcBorders>
            <w:vAlign w:val="center"/>
          </w:tcPr>
          <w:p w14:paraId="5C7586A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64087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2E8A709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2E59B63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788C70C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auto"/>
                <w:spacing w:val="-11"/>
                <w:kern w:val="0"/>
                <w:sz w:val="21"/>
                <w:szCs w:val="21"/>
                <w:lang w:val="en-US" w:eastAsia="zh-CN" w:bidi="ar-SA"/>
              </w:rPr>
            </w:pPr>
            <w:r>
              <w:rPr>
                <w:rFonts w:hint="eastAsia" w:cs="Times New Roman"/>
                <w:color w:val="auto"/>
                <w:spacing w:val="-11"/>
                <w:kern w:val="0"/>
                <w:sz w:val="21"/>
                <w:szCs w:val="21"/>
                <w:lang w:val="en-US" w:eastAsia="zh-CN" w:bidi="ar-SA"/>
              </w:rPr>
              <w:t>S3-2</w:t>
            </w:r>
          </w:p>
        </w:tc>
        <w:tc>
          <w:tcPr>
            <w:tcW w:w="871" w:type="pct"/>
            <w:tcBorders>
              <w:tl2br w:val="nil"/>
              <w:tr2bl w:val="nil"/>
            </w:tcBorders>
            <w:shd w:val="clear" w:color="auto" w:fill="auto"/>
            <w:vAlign w:val="center"/>
          </w:tcPr>
          <w:p w14:paraId="3E0EA9B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有机物</w:t>
            </w:r>
          </w:p>
        </w:tc>
        <w:tc>
          <w:tcPr>
            <w:tcW w:w="821" w:type="pct"/>
            <w:tcBorders>
              <w:tl2br w:val="nil"/>
              <w:tr2bl w:val="nil"/>
            </w:tcBorders>
            <w:shd w:val="clear" w:color="auto" w:fill="auto"/>
            <w:vAlign w:val="center"/>
          </w:tcPr>
          <w:p w14:paraId="65846CA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显影废液</w:t>
            </w:r>
          </w:p>
        </w:tc>
        <w:tc>
          <w:tcPr>
            <w:tcW w:w="615" w:type="pct"/>
            <w:tcBorders>
              <w:tl2br w:val="nil"/>
              <w:tr2bl w:val="nil"/>
            </w:tcBorders>
            <w:shd w:val="clear" w:color="auto" w:fill="auto"/>
            <w:vAlign w:val="center"/>
          </w:tcPr>
          <w:p w14:paraId="302BDD2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显影</w:t>
            </w:r>
          </w:p>
        </w:tc>
        <w:tc>
          <w:tcPr>
            <w:tcW w:w="1307" w:type="pct"/>
            <w:tcBorders>
              <w:tl2br w:val="nil"/>
              <w:tr2bl w:val="nil"/>
            </w:tcBorders>
            <w:vAlign w:val="center"/>
          </w:tcPr>
          <w:p w14:paraId="36838E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2B950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E49BB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10E32F3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6566C36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S3-3</w:t>
            </w:r>
          </w:p>
        </w:tc>
        <w:tc>
          <w:tcPr>
            <w:tcW w:w="871" w:type="pct"/>
            <w:tcBorders>
              <w:tl2br w:val="nil"/>
              <w:tr2bl w:val="nil"/>
            </w:tcBorders>
            <w:shd w:val="clear" w:color="auto" w:fill="auto"/>
            <w:vAlign w:val="center"/>
          </w:tcPr>
          <w:p w14:paraId="56C42D0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盐酸、铁</w:t>
            </w:r>
          </w:p>
        </w:tc>
        <w:tc>
          <w:tcPr>
            <w:tcW w:w="821" w:type="pct"/>
            <w:tcBorders>
              <w:tl2br w:val="nil"/>
              <w:tr2bl w:val="nil"/>
            </w:tcBorders>
            <w:shd w:val="clear" w:color="auto" w:fill="auto"/>
            <w:vAlign w:val="center"/>
          </w:tcPr>
          <w:p w14:paraId="063B101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蚀刻废液</w:t>
            </w:r>
          </w:p>
        </w:tc>
        <w:tc>
          <w:tcPr>
            <w:tcW w:w="615" w:type="pct"/>
            <w:tcBorders>
              <w:tl2br w:val="nil"/>
              <w:tr2bl w:val="nil"/>
            </w:tcBorders>
            <w:shd w:val="clear" w:color="auto" w:fill="auto"/>
            <w:vAlign w:val="center"/>
          </w:tcPr>
          <w:p w14:paraId="10E567F4">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蚀刻</w:t>
            </w:r>
          </w:p>
        </w:tc>
        <w:tc>
          <w:tcPr>
            <w:tcW w:w="1307" w:type="pct"/>
            <w:tcBorders>
              <w:tl2br w:val="nil"/>
              <w:tr2bl w:val="nil"/>
            </w:tcBorders>
            <w:vAlign w:val="center"/>
          </w:tcPr>
          <w:p w14:paraId="659C7BE6">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44082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AF9F70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6301614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0E0298CF">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S3-4</w:t>
            </w:r>
          </w:p>
        </w:tc>
        <w:tc>
          <w:tcPr>
            <w:tcW w:w="871" w:type="pct"/>
            <w:tcBorders>
              <w:tl2br w:val="nil"/>
              <w:tr2bl w:val="nil"/>
            </w:tcBorders>
            <w:shd w:val="clear" w:color="auto" w:fill="auto"/>
            <w:vAlign w:val="center"/>
          </w:tcPr>
          <w:p w14:paraId="13588966">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有机物</w:t>
            </w:r>
          </w:p>
        </w:tc>
        <w:tc>
          <w:tcPr>
            <w:tcW w:w="821" w:type="pct"/>
            <w:tcBorders>
              <w:tl2br w:val="nil"/>
              <w:tr2bl w:val="nil"/>
            </w:tcBorders>
            <w:shd w:val="clear" w:color="auto" w:fill="auto"/>
            <w:vAlign w:val="center"/>
          </w:tcPr>
          <w:p w14:paraId="5A883D5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退膜废液</w:t>
            </w:r>
          </w:p>
        </w:tc>
        <w:tc>
          <w:tcPr>
            <w:tcW w:w="615" w:type="pct"/>
            <w:tcBorders>
              <w:tl2br w:val="nil"/>
              <w:tr2bl w:val="nil"/>
            </w:tcBorders>
            <w:shd w:val="clear" w:color="auto" w:fill="auto"/>
            <w:vAlign w:val="center"/>
          </w:tcPr>
          <w:p w14:paraId="461D02F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退膜</w:t>
            </w:r>
          </w:p>
        </w:tc>
        <w:tc>
          <w:tcPr>
            <w:tcW w:w="1307" w:type="pct"/>
            <w:tcBorders>
              <w:tl2br w:val="nil"/>
              <w:tr2bl w:val="nil"/>
            </w:tcBorders>
            <w:vAlign w:val="center"/>
          </w:tcPr>
          <w:p w14:paraId="65D63F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1364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7619345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0A9D457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68E3DD1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S3-5</w:t>
            </w:r>
          </w:p>
        </w:tc>
        <w:tc>
          <w:tcPr>
            <w:tcW w:w="871" w:type="pct"/>
            <w:tcBorders>
              <w:tl2br w:val="nil"/>
              <w:tr2bl w:val="nil"/>
            </w:tcBorders>
            <w:shd w:val="clear" w:color="auto" w:fill="auto"/>
            <w:vAlign w:val="center"/>
          </w:tcPr>
          <w:p w14:paraId="0BEE7EA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w:t>
            </w:r>
          </w:p>
        </w:tc>
        <w:tc>
          <w:tcPr>
            <w:tcW w:w="821" w:type="pct"/>
            <w:tcBorders>
              <w:tl2br w:val="nil"/>
              <w:tr2bl w:val="nil"/>
            </w:tcBorders>
            <w:shd w:val="clear" w:color="auto" w:fill="auto"/>
            <w:vAlign w:val="center"/>
          </w:tcPr>
          <w:p w14:paraId="4FC77CA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镀铬槽渣</w:t>
            </w:r>
          </w:p>
        </w:tc>
        <w:tc>
          <w:tcPr>
            <w:tcW w:w="615" w:type="pct"/>
            <w:tcBorders>
              <w:tl2br w:val="nil"/>
              <w:tr2bl w:val="nil"/>
            </w:tcBorders>
            <w:shd w:val="clear" w:color="auto" w:fill="auto"/>
            <w:vAlign w:val="center"/>
          </w:tcPr>
          <w:p w14:paraId="5C641BE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镀铬</w:t>
            </w:r>
          </w:p>
        </w:tc>
        <w:tc>
          <w:tcPr>
            <w:tcW w:w="1307" w:type="pct"/>
            <w:tcBorders>
              <w:tl2br w:val="nil"/>
              <w:tr2bl w:val="nil"/>
            </w:tcBorders>
            <w:vAlign w:val="center"/>
          </w:tcPr>
          <w:p w14:paraId="7477BF8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72C7C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01DD0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5B0280F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shd w:val="clear" w:color="auto" w:fill="auto"/>
            <w:vAlign w:val="center"/>
          </w:tcPr>
          <w:p w14:paraId="27B4B15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S3-6</w:t>
            </w:r>
          </w:p>
        </w:tc>
        <w:tc>
          <w:tcPr>
            <w:tcW w:w="871" w:type="pct"/>
            <w:tcBorders>
              <w:tl2br w:val="nil"/>
              <w:tr2bl w:val="nil"/>
            </w:tcBorders>
            <w:shd w:val="clear" w:color="auto" w:fill="auto"/>
            <w:vAlign w:val="center"/>
          </w:tcPr>
          <w:p w14:paraId="060FF94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铬</w:t>
            </w:r>
          </w:p>
        </w:tc>
        <w:tc>
          <w:tcPr>
            <w:tcW w:w="821" w:type="pct"/>
            <w:tcBorders>
              <w:tl2br w:val="nil"/>
              <w:tr2bl w:val="nil"/>
            </w:tcBorders>
            <w:shd w:val="clear" w:color="auto" w:fill="auto"/>
            <w:vAlign w:val="center"/>
          </w:tcPr>
          <w:p w14:paraId="3434938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废滤芯</w:t>
            </w:r>
          </w:p>
        </w:tc>
        <w:tc>
          <w:tcPr>
            <w:tcW w:w="615" w:type="pct"/>
            <w:tcBorders>
              <w:tl2br w:val="nil"/>
              <w:tr2bl w:val="nil"/>
            </w:tcBorders>
            <w:shd w:val="clear" w:color="auto" w:fill="auto"/>
            <w:vAlign w:val="center"/>
          </w:tcPr>
          <w:p w14:paraId="6D5B03C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过滤</w:t>
            </w:r>
          </w:p>
        </w:tc>
        <w:tc>
          <w:tcPr>
            <w:tcW w:w="1307" w:type="pct"/>
            <w:tcBorders>
              <w:tl2br w:val="nil"/>
              <w:tr2bl w:val="nil"/>
            </w:tcBorders>
            <w:vAlign w:val="center"/>
          </w:tcPr>
          <w:p w14:paraId="2313A3A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r w14:paraId="1CA33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200" w:type="pct"/>
            <w:vMerge w:val="continue"/>
            <w:tcBorders>
              <w:tl2br w:val="nil"/>
              <w:tr2bl w:val="nil"/>
            </w:tcBorders>
            <w:vAlign w:val="center"/>
          </w:tcPr>
          <w:p w14:paraId="5614AFD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p>
        </w:tc>
        <w:tc>
          <w:tcPr>
            <w:tcW w:w="601" w:type="pct"/>
            <w:vMerge w:val="continue"/>
            <w:tcBorders>
              <w:tl2br w:val="nil"/>
              <w:tr2bl w:val="nil"/>
            </w:tcBorders>
            <w:vAlign w:val="center"/>
          </w:tcPr>
          <w:p w14:paraId="7849A36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p>
        </w:tc>
        <w:tc>
          <w:tcPr>
            <w:tcW w:w="582" w:type="pct"/>
            <w:tcBorders>
              <w:tl2br w:val="nil"/>
              <w:tr2bl w:val="nil"/>
            </w:tcBorders>
            <w:vAlign w:val="center"/>
          </w:tcPr>
          <w:p w14:paraId="34B5A023">
            <w:pPr>
              <w:widowControl w:val="0"/>
              <w:bidi w:val="0"/>
              <w:adjustRightInd w:val="0"/>
              <w:snapToGrid w:val="0"/>
              <w:spacing w:line="240" w:lineRule="auto"/>
              <w:ind w:firstLine="0" w:firstLineChars="0"/>
              <w:jc w:val="center"/>
              <w:rPr>
                <w:rFonts w:hint="default"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S3-7</w:t>
            </w:r>
          </w:p>
        </w:tc>
        <w:tc>
          <w:tcPr>
            <w:tcW w:w="871" w:type="pct"/>
            <w:tcBorders>
              <w:tl2br w:val="nil"/>
              <w:tr2bl w:val="nil"/>
            </w:tcBorders>
            <w:shd w:val="clear" w:color="auto" w:fill="auto"/>
            <w:vAlign w:val="center"/>
          </w:tcPr>
          <w:p w14:paraId="454F329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废钢</w:t>
            </w:r>
          </w:p>
        </w:tc>
        <w:tc>
          <w:tcPr>
            <w:tcW w:w="821" w:type="pct"/>
            <w:tcBorders>
              <w:tl2br w:val="nil"/>
              <w:tr2bl w:val="nil"/>
            </w:tcBorders>
            <w:shd w:val="clear" w:color="auto" w:fill="auto"/>
            <w:vAlign w:val="center"/>
          </w:tcPr>
          <w:p w14:paraId="4792D3E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废边角料</w:t>
            </w:r>
          </w:p>
        </w:tc>
        <w:tc>
          <w:tcPr>
            <w:tcW w:w="615" w:type="pct"/>
            <w:tcBorders>
              <w:tl2br w:val="nil"/>
              <w:tr2bl w:val="nil"/>
            </w:tcBorders>
            <w:shd w:val="clear" w:color="auto" w:fill="auto"/>
            <w:vAlign w:val="center"/>
          </w:tcPr>
          <w:p w14:paraId="12DFC1E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裁剪</w:t>
            </w:r>
          </w:p>
        </w:tc>
        <w:tc>
          <w:tcPr>
            <w:tcW w:w="1307" w:type="pct"/>
            <w:tcBorders>
              <w:tl2br w:val="nil"/>
              <w:tr2bl w:val="nil"/>
            </w:tcBorders>
            <w:vAlign w:val="center"/>
          </w:tcPr>
          <w:p w14:paraId="64016A2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highlight w:val="black"/>
                <w:lang w:val="en-US" w:eastAsia="zh-CN" w:bidi="ar-SA"/>
              </w:rPr>
            </w:pPr>
          </w:p>
        </w:tc>
      </w:tr>
    </w:tbl>
    <w:p w14:paraId="1145765A">
      <w:pPr>
        <w:pStyle w:val="3"/>
        <w:bidi w:val="0"/>
        <w:rPr>
          <w:rFonts w:hint="default"/>
          <w:lang w:val="en-US" w:eastAsia="zh-CN"/>
        </w:rPr>
      </w:pPr>
      <w:bookmarkStart w:id="173" w:name="_Toc31771"/>
      <w:r>
        <w:rPr>
          <w:rFonts w:hint="eastAsia"/>
          <w:lang w:val="en-US" w:eastAsia="zh-CN"/>
        </w:rPr>
        <w:t>水平衡</w:t>
      </w:r>
      <w:bookmarkEnd w:id="173"/>
    </w:p>
    <w:p w14:paraId="28AF71B1">
      <w:pPr>
        <w:adjustRightInd w:val="0"/>
        <w:snapToGrid w:val="0"/>
        <w:spacing w:line="360" w:lineRule="auto"/>
        <w:ind w:firstLine="480"/>
        <w:rPr>
          <w:rFonts w:ascii="Times New Roman" w:hAnsi="Times New Roman" w:cs="Times New Roman"/>
          <w:color w:val="auto"/>
          <w:sz w:val="28"/>
          <w:szCs w:val="28"/>
        </w:rPr>
      </w:pPr>
      <w:bookmarkStart w:id="174" w:name="_Hlk215411917"/>
      <w:r>
        <w:rPr>
          <w:rFonts w:ascii="Times New Roman" w:hAnsi="Times New Roman" w:cs="Times New Roman"/>
          <w:color w:val="auto"/>
          <w:sz w:val="28"/>
          <w:szCs w:val="28"/>
        </w:rPr>
        <w:t>本项目用水来自市政供水管网，厂区供水采用独立供水管网系统，项目用水主要包括生活用水和生产用水（自来水、纯水及回用水），本项目用排水环节如下：</w:t>
      </w:r>
    </w:p>
    <w:p w14:paraId="74432E29">
      <w:pPr>
        <w:widowControl w:val="0"/>
        <w:adjustRightInd w:val="0"/>
        <w:snapToGrid w:val="0"/>
        <w:spacing w:line="360" w:lineRule="auto"/>
        <w:ind w:firstLine="562" w:firstLineChars="200"/>
        <w:jc w:val="both"/>
        <w:rPr>
          <w:rFonts w:ascii="Times New Roman" w:hAnsi="Times New Roman" w:eastAsia="仿宋_GB2312" w:cs="Times New Roman"/>
          <w:b/>
          <w:color w:val="auto"/>
          <w:kern w:val="2"/>
          <w:sz w:val="28"/>
          <w:szCs w:val="28"/>
          <w:lang w:val="en-US" w:eastAsia="zh-CN" w:bidi="ar-SA"/>
        </w:rPr>
      </w:pPr>
      <w:r>
        <w:rPr>
          <w:rFonts w:ascii="Times New Roman" w:hAnsi="Times New Roman" w:eastAsia="仿宋_GB2312" w:cs="Times New Roman"/>
          <w:b/>
          <w:color w:val="auto"/>
          <w:kern w:val="2"/>
          <w:sz w:val="28"/>
          <w:szCs w:val="28"/>
          <w:lang w:val="en-US" w:eastAsia="zh-CN" w:bidi="ar-SA"/>
        </w:rPr>
        <w:t>（1）表面处理工艺废水</w:t>
      </w:r>
    </w:p>
    <w:p w14:paraId="504EDAB9">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根据表</w:t>
      </w:r>
      <w:r>
        <w:rPr>
          <w:rFonts w:hint="eastAsia" w:cs="Times New Roman"/>
          <w:color w:val="auto"/>
          <w:sz w:val="28"/>
          <w:szCs w:val="28"/>
          <w:lang w:val="en-US" w:eastAsia="zh-CN"/>
        </w:rPr>
        <w:t>4</w:t>
      </w:r>
      <w:r>
        <w:rPr>
          <w:rFonts w:ascii="Times New Roman" w:hAnsi="Times New Roman" w:cs="Times New Roman"/>
          <w:color w:val="auto"/>
          <w:sz w:val="28"/>
          <w:szCs w:val="28"/>
        </w:rPr>
        <w:t>.3-1~</w:t>
      </w:r>
      <w:r>
        <w:rPr>
          <w:rFonts w:hint="eastAsia" w:cs="Times New Roman"/>
          <w:color w:val="auto"/>
          <w:sz w:val="28"/>
          <w:szCs w:val="28"/>
          <w:lang w:val="en-US" w:eastAsia="zh-CN"/>
        </w:rPr>
        <w:t>4</w:t>
      </w:r>
      <w:r>
        <w:rPr>
          <w:rFonts w:ascii="Times New Roman" w:hAnsi="Times New Roman" w:cs="Times New Roman"/>
          <w:color w:val="auto"/>
          <w:sz w:val="28"/>
          <w:szCs w:val="28"/>
        </w:rPr>
        <w:t>数据，工艺用</w:t>
      </w:r>
      <w:r>
        <w:rPr>
          <w:rFonts w:hint="eastAsia" w:cs="Times New Roman"/>
          <w:color w:val="auto"/>
          <w:sz w:val="28"/>
          <w:szCs w:val="28"/>
          <w:lang w:val="en-US" w:eastAsia="zh-CN"/>
        </w:rPr>
        <w:t>排</w:t>
      </w:r>
      <w:r>
        <w:rPr>
          <w:rFonts w:ascii="Times New Roman" w:hAnsi="Times New Roman" w:cs="Times New Roman"/>
          <w:color w:val="auto"/>
          <w:sz w:val="28"/>
          <w:szCs w:val="28"/>
        </w:rPr>
        <w:t>水分类统计如下：</w:t>
      </w:r>
    </w:p>
    <w:p w14:paraId="1DF74BB5">
      <w:pPr>
        <w:adjustRightInd w:val="0"/>
        <w:snapToGrid w:val="0"/>
        <w:spacing w:line="360" w:lineRule="auto"/>
        <w:ind w:firstLine="480"/>
        <w:rPr>
          <w:rFonts w:hint="default" w:ascii="Times New Roman" w:hAnsi="Times New Roman" w:eastAsia="仿宋_GB2312" w:cs="Times New Roman"/>
          <w:color w:val="auto"/>
          <w:sz w:val="28"/>
          <w:szCs w:val="28"/>
          <w:lang w:val="en-US" w:eastAsia="zh-CN"/>
        </w:rPr>
      </w:pPr>
      <w:r>
        <w:rPr>
          <w:rFonts w:hint="eastAsia" w:ascii="仿宋_GB2312" w:hAnsi="仿宋_GB2312" w:eastAsia="仿宋_GB2312" w:cs="仿宋_GB2312"/>
          <w:color w:val="auto"/>
          <w:sz w:val="28"/>
          <w:szCs w:val="28"/>
        </w:rPr>
        <w:t>①</w:t>
      </w:r>
      <w:r>
        <w:rPr>
          <w:rFonts w:hint="eastAsia" w:cs="Times New Roman"/>
          <w:color w:val="auto"/>
          <w:sz w:val="28"/>
          <w:szCs w:val="28"/>
          <w:lang w:val="en-US" w:eastAsia="zh-CN"/>
        </w:rPr>
        <w:t>含铜废水（W1-3）</w:t>
      </w:r>
    </w:p>
    <w:p w14:paraId="7B262A33">
      <w:pPr>
        <w:adjustRightInd w:val="0"/>
        <w:snapToGrid w:val="0"/>
        <w:spacing w:line="360" w:lineRule="auto"/>
        <w:ind w:firstLine="48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含铜废水主要来自</w:t>
      </w:r>
      <w:r>
        <w:rPr>
          <w:rFonts w:hint="eastAsia" w:cs="Times New Roman"/>
          <w:color w:val="auto"/>
          <w:sz w:val="28"/>
          <w:szCs w:val="28"/>
          <w:lang w:val="en-US" w:eastAsia="zh-CN"/>
        </w:rPr>
        <w:t>镀铜后清洗和研磨</w:t>
      </w:r>
      <w:r>
        <w:rPr>
          <w:rFonts w:hint="eastAsia" w:ascii="Times New Roman" w:hAnsi="Times New Roman" w:cs="Times New Roman"/>
          <w:color w:val="auto"/>
          <w:sz w:val="28"/>
          <w:szCs w:val="28"/>
        </w:rPr>
        <w:t>W1</w:t>
      </w:r>
      <w:r>
        <w:rPr>
          <w:rFonts w:hint="eastAsia" w:cs="Times New Roman"/>
          <w:color w:val="auto"/>
          <w:sz w:val="28"/>
          <w:szCs w:val="28"/>
          <w:lang w:val="en-US" w:eastAsia="zh-CN"/>
        </w:rPr>
        <w:t>-3</w:t>
      </w:r>
      <w:r>
        <w:rPr>
          <w:rFonts w:hint="eastAsia" w:ascii="Times New Roman" w:hAnsi="Times New Roman" w:cs="Times New Roman"/>
          <w:color w:val="auto"/>
          <w:sz w:val="28"/>
          <w:szCs w:val="28"/>
        </w:rPr>
        <w:t xml:space="preserve">，结合建设单位提供产生工序槽体容积以及更换次数计算可知，项目含铜废水产生量为 </w:t>
      </w:r>
      <w:r>
        <w:rPr>
          <w:rFonts w:hint="eastAsia" w:cs="Times New Roman"/>
          <w:color w:val="auto"/>
          <w:sz w:val="28"/>
          <w:szCs w:val="28"/>
          <w:lang w:val="en-US" w:eastAsia="zh-CN"/>
        </w:rPr>
        <w:t>11858.4</w:t>
      </w:r>
      <w:r>
        <w:rPr>
          <w:rFonts w:hint="eastAsia" w:ascii="Times New Roman" w:hAnsi="Times New Roman" w:cs="Times New Roman"/>
          <w:color w:val="auto"/>
          <w:sz w:val="28"/>
          <w:szCs w:val="28"/>
        </w:rPr>
        <w:t>m</w:t>
      </w:r>
      <w:r>
        <w:rPr>
          <w:rFonts w:hint="eastAsia" w:ascii="Times New Roman" w:hAnsi="Times New Roman" w:cs="Times New Roman"/>
          <w:color w:val="auto"/>
          <w:sz w:val="28"/>
          <w:szCs w:val="28"/>
          <w:vertAlign w:val="superscript"/>
        </w:rPr>
        <w:t>3</w:t>
      </w:r>
      <w:r>
        <w:rPr>
          <w:rFonts w:hint="eastAsia" w:ascii="Times New Roman" w:hAnsi="Times New Roman" w:cs="Times New Roman"/>
          <w:color w:val="auto"/>
          <w:sz w:val="28"/>
          <w:szCs w:val="28"/>
        </w:rPr>
        <w:t>/a 。废水主要污染物为pH、COD、SS、TP、总铜。</w:t>
      </w:r>
    </w:p>
    <w:p w14:paraId="4CEF9DB5">
      <w:pPr>
        <w:adjustRightInd w:val="0"/>
        <w:snapToGrid w:val="0"/>
        <w:spacing w:line="360" w:lineRule="auto"/>
        <w:ind w:firstLine="480"/>
        <w:rPr>
          <w:rFonts w:ascii="Times New Roman" w:hAnsi="Times New Roman" w:cs="Times New Roman"/>
          <w:color w:val="auto"/>
          <w:sz w:val="28"/>
          <w:szCs w:val="28"/>
        </w:rPr>
      </w:pPr>
      <w:r>
        <w:rPr>
          <w:rFonts w:hint="eastAsia" w:ascii="Times New Roman" w:hAnsi="Times New Roman" w:cs="Times New Roman"/>
          <w:color w:val="auto"/>
          <w:sz w:val="28"/>
          <w:szCs w:val="28"/>
        </w:rPr>
        <w:t>进入含铜废水处理系统预处理后，蒸发冷凝水进入纯水制备系统，制备的纯水全部回用于生产，浓水继续进入含铜废水预处理系统。</w:t>
      </w:r>
    </w:p>
    <w:p w14:paraId="182A1DE9">
      <w:pPr>
        <w:adjustRightInd w:val="0"/>
        <w:snapToGrid w:val="0"/>
        <w:spacing w:line="360" w:lineRule="auto"/>
        <w:ind w:firstLine="480"/>
        <w:rPr>
          <w:rFonts w:hint="default" w:ascii="Times New Roman" w:hAnsi="Times New Roman" w:eastAsia="仿宋_GB2312" w:cs="Times New Roman"/>
          <w:color w:val="auto"/>
          <w:sz w:val="28"/>
          <w:szCs w:val="28"/>
          <w:lang w:val="en-US" w:eastAsia="zh-CN"/>
        </w:rPr>
      </w:pPr>
      <w:r>
        <w:rPr>
          <w:rFonts w:hint="eastAsia" w:ascii="仿宋_GB2312" w:hAnsi="仿宋_GB2312" w:eastAsia="仿宋_GB2312" w:cs="仿宋_GB2312"/>
          <w:color w:val="auto"/>
          <w:sz w:val="28"/>
          <w:szCs w:val="28"/>
        </w:rPr>
        <w:t>②</w:t>
      </w:r>
      <w:r>
        <w:rPr>
          <w:rFonts w:hint="eastAsia" w:cs="Times New Roman"/>
          <w:color w:val="auto"/>
          <w:sz w:val="28"/>
          <w:szCs w:val="28"/>
          <w:lang w:val="en-US" w:eastAsia="zh-CN"/>
        </w:rPr>
        <w:t>含铬废水（W1-4、W2-4、W3-5）</w:t>
      </w:r>
    </w:p>
    <w:p w14:paraId="1EB87EB3">
      <w:pPr>
        <w:adjustRightInd w:val="0"/>
        <w:snapToGrid w:val="0"/>
        <w:spacing w:line="360" w:lineRule="auto"/>
        <w:ind w:firstLine="48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含铬废水主要来自镀铬后清洗及退铬槽液，废水编号为W1-4、W2-4、W3-5，结合建设单位提供产生工序槽体容积以及更换次数计算可知，项目含铬废水产生量为</w:t>
      </w:r>
      <w:r>
        <w:rPr>
          <w:rFonts w:hint="eastAsia" w:cs="Times New Roman"/>
          <w:color w:val="auto"/>
          <w:sz w:val="28"/>
          <w:szCs w:val="28"/>
          <w:lang w:val="en-US" w:eastAsia="zh-CN"/>
        </w:rPr>
        <w:t>9247.2</w:t>
      </w:r>
      <w:r>
        <w:rPr>
          <w:rFonts w:hint="eastAsia" w:ascii="Times New Roman" w:hAnsi="Times New Roman" w:cs="Times New Roman"/>
          <w:color w:val="auto"/>
          <w:sz w:val="28"/>
          <w:szCs w:val="28"/>
        </w:rPr>
        <w:t>m</w:t>
      </w:r>
      <w:r>
        <w:rPr>
          <w:rFonts w:hint="eastAsia" w:ascii="Times New Roman" w:hAnsi="Times New Roman" w:cs="Times New Roman"/>
          <w:color w:val="auto"/>
          <w:sz w:val="28"/>
          <w:szCs w:val="28"/>
          <w:vertAlign w:val="superscript"/>
        </w:rPr>
        <w:t>3</w:t>
      </w:r>
      <w:r>
        <w:rPr>
          <w:rFonts w:hint="eastAsia" w:ascii="Times New Roman" w:hAnsi="Times New Roman" w:cs="Times New Roman"/>
          <w:color w:val="auto"/>
          <w:sz w:val="28"/>
          <w:szCs w:val="28"/>
        </w:rPr>
        <w:t>/a。废水主要污染物为pH、COD、SS、总铬。</w:t>
      </w:r>
    </w:p>
    <w:p w14:paraId="592EB873">
      <w:pPr>
        <w:adjustRightInd w:val="0"/>
        <w:snapToGrid w:val="0"/>
        <w:spacing w:line="360" w:lineRule="auto"/>
        <w:ind w:firstLine="480"/>
        <w:rPr>
          <w:rFonts w:ascii="Times New Roman" w:hAnsi="Times New Roman" w:cs="Times New Roman"/>
          <w:color w:val="auto"/>
          <w:sz w:val="28"/>
          <w:szCs w:val="28"/>
        </w:rPr>
      </w:pPr>
      <w:r>
        <w:rPr>
          <w:rFonts w:hint="eastAsia" w:ascii="Times New Roman" w:hAnsi="Times New Roman" w:cs="Times New Roman"/>
          <w:color w:val="auto"/>
          <w:sz w:val="28"/>
          <w:szCs w:val="28"/>
        </w:rPr>
        <w:t>进入含铬废水处理系统处理，蒸发冷凝水进入纯水制备系统，制备的纯水全部回用于生产，浓水继续进入含铬废水预处理系统，不外排。</w:t>
      </w:r>
    </w:p>
    <w:p w14:paraId="7A534F07">
      <w:pPr>
        <w:adjustRightInd w:val="0"/>
        <w:snapToGrid w:val="0"/>
        <w:spacing w:line="360" w:lineRule="auto"/>
        <w:ind w:firstLine="480"/>
        <w:rPr>
          <w:rFonts w:hint="default" w:ascii="Times New Roman" w:hAnsi="Times New Roman" w:eastAsia="仿宋_GB2312" w:cs="Times New Roman"/>
          <w:color w:val="auto"/>
          <w:sz w:val="28"/>
          <w:szCs w:val="28"/>
          <w:lang w:val="en-US" w:eastAsia="zh-CN"/>
        </w:rPr>
      </w:pPr>
      <w:r>
        <w:rPr>
          <w:rFonts w:hint="eastAsia" w:ascii="仿宋_GB2312" w:hAnsi="仿宋_GB2312" w:eastAsia="仿宋_GB2312" w:cs="仿宋_GB2312"/>
          <w:color w:val="auto"/>
          <w:sz w:val="28"/>
          <w:szCs w:val="28"/>
        </w:rPr>
        <w:t>③</w:t>
      </w:r>
      <w:r>
        <w:rPr>
          <w:rFonts w:hint="eastAsia" w:cs="Times New Roman"/>
          <w:color w:val="auto"/>
          <w:sz w:val="28"/>
          <w:szCs w:val="28"/>
          <w:lang w:val="en-US" w:eastAsia="zh-CN"/>
        </w:rPr>
        <w:t>综合废水（W1-1、W1-2、W2-1~W2-3、W3-1~W3-4）</w:t>
      </w:r>
    </w:p>
    <w:p w14:paraId="706704EB">
      <w:pPr>
        <w:adjustRightInd w:val="0"/>
        <w:snapToGrid w:val="0"/>
        <w:spacing w:line="360" w:lineRule="auto"/>
        <w:ind w:firstLine="480"/>
        <w:rPr>
          <w:rFonts w:ascii="Times New Roman" w:hAnsi="Times New Roman" w:cs="Times New Roman"/>
          <w:color w:val="auto"/>
          <w:sz w:val="28"/>
          <w:szCs w:val="28"/>
        </w:rPr>
      </w:pPr>
      <w:r>
        <w:rPr>
          <w:rFonts w:hint="eastAsia" w:cs="Times New Roman"/>
          <w:color w:val="auto"/>
          <w:sz w:val="28"/>
          <w:szCs w:val="28"/>
          <w:lang w:val="en-US" w:eastAsia="zh-CN"/>
        </w:rPr>
        <w:t>其余脱脂清洗、腐蚀及显影废水纳入综合废水处理，结合建设单位提供资料计算可知</w:t>
      </w:r>
      <w:r>
        <w:rPr>
          <w:rFonts w:ascii="Times New Roman" w:hAnsi="Times New Roman" w:cs="Times New Roman"/>
          <w:color w:val="auto"/>
          <w:sz w:val="28"/>
          <w:szCs w:val="28"/>
        </w:rPr>
        <w:t>，产生</w:t>
      </w:r>
      <w:r>
        <w:rPr>
          <w:rFonts w:hint="eastAsia" w:cs="Times New Roman"/>
          <w:color w:val="auto"/>
          <w:sz w:val="28"/>
          <w:szCs w:val="28"/>
          <w:lang w:val="en-US" w:eastAsia="zh-CN"/>
        </w:rPr>
        <w:t>综合废水42349.9</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cs="Times New Roman"/>
          <w:color w:val="auto"/>
          <w:sz w:val="28"/>
          <w:szCs w:val="28"/>
          <w:lang w:val="en-US" w:eastAsia="zh-CN"/>
        </w:rPr>
        <w:t>进入</w:t>
      </w:r>
      <w:r>
        <w:rPr>
          <w:rFonts w:ascii="Times New Roman" w:hAnsi="Times New Roman" w:cs="Times New Roman"/>
          <w:color w:val="auto"/>
          <w:sz w:val="28"/>
          <w:szCs w:val="28"/>
        </w:rPr>
        <w:t>综合废水处理系统</w:t>
      </w:r>
      <w:r>
        <w:rPr>
          <w:rFonts w:hint="eastAsia" w:ascii="Times New Roman" w:hAnsi="Times New Roman" w:cs="Times New Roman"/>
          <w:color w:val="auto"/>
          <w:sz w:val="28"/>
          <w:szCs w:val="28"/>
        </w:rPr>
        <w:t>处理，蒸发冷凝水进入纯水制备系统，制备的纯水全部回用于生产，浓水继续进入含铬废水预处理系统，不外排</w:t>
      </w:r>
      <w:r>
        <w:rPr>
          <w:rFonts w:ascii="Times New Roman" w:hAnsi="Times New Roman" w:cs="Times New Roman"/>
          <w:color w:val="auto"/>
          <w:sz w:val="28"/>
          <w:szCs w:val="28"/>
        </w:rPr>
        <w:t>。</w:t>
      </w:r>
    </w:p>
    <w:p w14:paraId="61CFB1E1">
      <w:pPr>
        <w:adjustRightInd w:val="0"/>
        <w:snapToGrid w:val="0"/>
        <w:spacing w:line="360" w:lineRule="auto"/>
        <w:ind w:firstLine="480"/>
        <w:rPr>
          <w:rFonts w:ascii="Times New Roman" w:hAnsi="Times New Roman" w:cs="Times New Roman"/>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ascii="Times New Roman" w:hAnsi="Times New Roman" w:cs="Times New Roman"/>
          <w:color w:val="auto"/>
          <w:sz w:val="28"/>
          <w:szCs w:val="28"/>
        </w:rPr>
        <w:t>具体见表</w:t>
      </w:r>
      <w:r>
        <w:rPr>
          <w:rFonts w:hint="eastAsia" w:cs="Times New Roman"/>
          <w:color w:val="auto"/>
          <w:sz w:val="28"/>
          <w:szCs w:val="28"/>
          <w:lang w:val="en-US" w:eastAsia="zh-CN"/>
        </w:rPr>
        <w:t>4</w:t>
      </w:r>
      <w:r>
        <w:rPr>
          <w:rFonts w:ascii="Times New Roman" w:hAnsi="Times New Roman" w:cs="Times New Roman"/>
          <w:color w:val="auto"/>
          <w:sz w:val="28"/>
          <w:szCs w:val="28"/>
        </w:rPr>
        <w:t>.3-1~</w:t>
      </w:r>
      <w:r>
        <w:rPr>
          <w:rFonts w:hint="eastAsia" w:cs="Times New Roman"/>
          <w:color w:val="auto"/>
          <w:sz w:val="28"/>
          <w:szCs w:val="28"/>
          <w:lang w:val="en-US" w:eastAsia="zh-CN"/>
        </w:rPr>
        <w:t>4</w:t>
      </w:r>
      <w:r>
        <w:rPr>
          <w:rFonts w:ascii="Times New Roman" w:hAnsi="Times New Roman" w:cs="Times New Roman"/>
          <w:color w:val="auto"/>
          <w:sz w:val="28"/>
          <w:szCs w:val="28"/>
        </w:rPr>
        <w:t>。</w:t>
      </w:r>
    </w:p>
    <w:p w14:paraId="7BC2DDF3">
      <w:pPr>
        <w:widowControl w:val="0"/>
        <w:adjustRightInd w:val="0"/>
        <w:snapToGrid w:val="0"/>
        <w:spacing w:line="360" w:lineRule="auto"/>
        <w:ind w:firstLine="562" w:firstLineChars="200"/>
        <w:jc w:val="both"/>
        <w:rPr>
          <w:rFonts w:ascii="Times New Roman" w:hAnsi="Times New Roman" w:eastAsia="仿宋_GB2312" w:cs="Times New Roman"/>
          <w:b/>
          <w:color w:val="auto"/>
          <w:kern w:val="2"/>
          <w:sz w:val="28"/>
          <w:szCs w:val="28"/>
          <w:lang w:val="en-US" w:eastAsia="zh-CN" w:bidi="ar-SA"/>
        </w:rPr>
      </w:pPr>
      <w:r>
        <w:rPr>
          <w:rFonts w:ascii="Times New Roman" w:hAnsi="Times New Roman" w:eastAsia="仿宋_GB2312" w:cs="Times New Roman"/>
          <w:b/>
          <w:color w:val="auto"/>
          <w:kern w:val="2"/>
          <w:sz w:val="28"/>
          <w:szCs w:val="28"/>
          <w:lang w:val="en-US" w:eastAsia="zh-CN" w:bidi="ar-SA"/>
        </w:rPr>
        <w:t>（2）车间清洁用水</w:t>
      </w:r>
    </w:p>
    <w:p w14:paraId="6FB797C0">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根据建设单位提供的设计资料，本项目对生产车间地面进行拖扫，工业厂房拖地时，每平方米的耗水量在0.2-0.5L左右，本次取值0.</w:t>
      </w:r>
      <w:r>
        <w:rPr>
          <w:rFonts w:hint="eastAsia" w:ascii="Times New Roman" w:hAnsi="Times New Roman" w:cs="Times New Roman"/>
          <w:color w:val="auto"/>
          <w:sz w:val="28"/>
          <w:szCs w:val="28"/>
          <w:lang w:val="en-US" w:eastAsia="zh-CN"/>
        </w:rPr>
        <w:t>2</w:t>
      </w:r>
      <w:r>
        <w:rPr>
          <w:rFonts w:ascii="Times New Roman" w:hAnsi="Times New Roman" w:cs="Times New Roman"/>
          <w:color w:val="auto"/>
          <w:sz w:val="28"/>
          <w:szCs w:val="28"/>
        </w:rPr>
        <w:t>L/m</w:t>
      </w:r>
      <w:r>
        <w:rPr>
          <w:rFonts w:ascii="Times New Roman" w:hAnsi="Times New Roman" w:cs="Times New Roman"/>
          <w:color w:val="auto"/>
          <w:sz w:val="28"/>
          <w:szCs w:val="28"/>
          <w:vertAlign w:val="superscript"/>
        </w:rPr>
        <w:t>2</w:t>
      </w:r>
      <w:r>
        <w:rPr>
          <w:rFonts w:ascii="Times New Roman" w:hAnsi="Times New Roman" w:cs="Times New Roman"/>
          <w:color w:val="auto"/>
          <w:sz w:val="28"/>
          <w:szCs w:val="28"/>
        </w:rPr>
        <w:t>。根据平面布置图计算，生产车间需要清洁的面积（</w:t>
      </w:r>
      <w:r>
        <w:rPr>
          <w:rFonts w:hint="eastAsia" w:ascii="Times New Roman" w:hAnsi="Times New Roman" w:cs="Times New Roman"/>
          <w:color w:val="auto"/>
          <w:sz w:val="28"/>
          <w:szCs w:val="28"/>
          <w:lang w:val="en-US" w:eastAsia="zh-CN"/>
        </w:rPr>
        <w:t>电镀</w:t>
      </w:r>
      <w:r>
        <w:rPr>
          <w:rFonts w:ascii="Times New Roman" w:hAnsi="Times New Roman" w:cs="Times New Roman"/>
          <w:color w:val="auto"/>
          <w:sz w:val="28"/>
          <w:szCs w:val="28"/>
        </w:rPr>
        <w:t>区域除外）约</w:t>
      </w:r>
      <w:r>
        <w:rPr>
          <w:rFonts w:hint="eastAsia" w:ascii="Times New Roman" w:hAnsi="Times New Roman" w:cs="Times New Roman"/>
          <w:color w:val="auto"/>
          <w:sz w:val="28"/>
          <w:szCs w:val="28"/>
          <w:lang w:val="en-US" w:eastAsia="zh-CN"/>
        </w:rPr>
        <w:t>10000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2</w:t>
      </w:r>
      <w:r>
        <w:rPr>
          <w:rFonts w:ascii="Times New Roman" w:hAnsi="Times New Roman" w:cs="Times New Roman"/>
          <w:color w:val="auto"/>
          <w:sz w:val="28"/>
          <w:szCs w:val="28"/>
        </w:rPr>
        <w:t>，预计用水量为</w:t>
      </w:r>
      <w:r>
        <w:rPr>
          <w:rFonts w:hint="eastAsia" w:ascii="Times New Roman" w:hAnsi="Times New Roman" w:cs="Times New Roman"/>
          <w:color w:val="auto"/>
          <w:sz w:val="28"/>
          <w:szCs w:val="28"/>
          <w:lang w:val="en-US" w:eastAsia="zh-CN"/>
        </w:rPr>
        <w:t>200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ascii="Times New Roman" w:hAnsi="Times New Roman" w:cs="Times New Roman"/>
          <w:color w:val="auto"/>
          <w:sz w:val="28"/>
          <w:szCs w:val="28"/>
          <w:lang w:val="en-US" w:eastAsia="zh-CN"/>
        </w:rPr>
        <w:t>2</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/次</w:t>
      </w:r>
      <w:r>
        <w:rPr>
          <w:rFonts w:hint="eastAsia" w:ascii="Times New Roman" w:hAnsi="Times New Roman" w:cs="Times New Roman"/>
          <w:color w:val="auto"/>
          <w:sz w:val="28"/>
          <w:szCs w:val="28"/>
          <w:lang w:eastAsia="zh-CN"/>
        </w:rPr>
        <w:t>，</w:t>
      </w:r>
      <w:r>
        <w:rPr>
          <w:rFonts w:ascii="Times New Roman" w:hAnsi="Times New Roman" w:cs="Times New Roman"/>
          <w:color w:val="auto"/>
          <w:sz w:val="28"/>
          <w:szCs w:val="28"/>
        </w:rPr>
        <w:t>每</w:t>
      </w:r>
      <w:r>
        <w:rPr>
          <w:rFonts w:hint="eastAsia" w:ascii="Times New Roman" w:hAnsi="Times New Roman" w:cs="Times New Roman"/>
          <w:color w:val="auto"/>
          <w:sz w:val="28"/>
          <w:szCs w:val="28"/>
          <w:lang w:val="en-US" w:eastAsia="zh-CN"/>
        </w:rPr>
        <w:t>3天</w:t>
      </w:r>
      <w:r>
        <w:rPr>
          <w:rFonts w:ascii="Times New Roman" w:hAnsi="Times New Roman" w:cs="Times New Roman"/>
          <w:color w:val="auto"/>
          <w:sz w:val="28"/>
          <w:szCs w:val="28"/>
        </w:rPr>
        <w:t>拖扫一次，</w:t>
      </w:r>
      <w:r>
        <w:rPr>
          <w:rFonts w:hint="eastAsia" w:ascii="Times New Roman" w:hAnsi="Times New Roman" w:cs="Times New Roman"/>
          <w:color w:val="auto"/>
          <w:sz w:val="28"/>
          <w:szCs w:val="28"/>
          <w:lang w:val="en-US" w:eastAsia="zh-CN"/>
        </w:rPr>
        <w:t>按100次计</w:t>
      </w:r>
      <w:r>
        <w:rPr>
          <w:rFonts w:ascii="Times New Roman" w:hAnsi="Times New Roman" w:cs="Times New Roman"/>
          <w:color w:val="auto"/>
          <w:sz w:val="28"/>
          <w:szCs w:val="28"/>
        </w:rPr>
        <w:t>），其中约</w:t>
      </w:r>
      <w:r>
        <w:rPr>
          <w:rFonts w:hint="eastAsia" w:ascii="Times New Roman" w:hAnsi="Times New Roman" w:cs="Times New Roman"/>
          <w:color w:val="auto"/>
          <w:sz w:val="28"/>
          <w:szCs w:val="28"/>
          <w:lang w:val="en-US" w:eastAsia="zh-CN"/>
        </w:rPr>
        <w:t>8</w:t>
      </w:r>
      <w:r>
        <w:rPr>
          <w:rFonts w:ascii="Times New Roman" w:hAnsi="Times New Roman" w:cs="Times New Roman"/>
          <w:color w:val="auto"/>
          <w:sz w:val="28"/>
          <w:szCs w:val="28"/>
        </w:rPr>
        <w:t>0%挥发，则车间清扫拖布池排水量约为</w:t>
      </w:r>
      <w:r>
        <w:rPr>
          <w:rFonts w:hint="eastAsia" w:ascii="Times New Roman" w:hAnsi="Times New Roman" w:cs="Times New Roman"/>
          <w:color w:val="auto"/>
          <w:sz w:val="28"/>
          <w:szCs w:val="28"/>
          <w:lang w:val="en-US" w:eastAsia="zh-CN"/>
        </w:rPr>
        <w:t>40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/a，清洁废水经收集后进入厂区综合废水处理系统处理。</w:t>
      </w:r>
    </w:p>
    <w:p w14:paraId="373FF89E">
      <w:pPr>
        <w:adjustRightInd w:val="0"/>
        <w:snapToGrid w:val="0"/>
        <w:spacing w:line="360" w:lineRule="auto"/>
        <w:ind w:firstLine="480"/>
        <w:rPr>
          <w:rFonts w:ascii="Times New Roman" w:hAnsi="Times New Roman" w:cs="Times New Roman"/>
          <w:color w:val="auto"/>
          <w:sz w:val="28"/>
          <w:szCs w:val="28"/>
        </w:rPr>
      </w:pPr>
      <w:r>
        <w:rPr>
          <w:rFonts w:hint="eastAsia" w:ascii="Times New Roman" w:hAnsi="Times New Roman" w:cs="Times New Roman"/>
          <w:color w:val="auto"/>
          <w:sz w:val="28"/>
          <w:szCs w:val="28"/>
          <w:lang w:val="en-US" w:eastAsia="zh-CN"/>
        </w:rPr>
        <w:t>电镀</w:t>
      </w:r>
      <w:r>
        <w:rPr>
          <w:rFonts w:ascii="Times New Roman" w:hAnsi="Times New Roman" w:cs="Times New Roman"/>
          <w:color w:val="auto"/>
          <w:sz w:val="28"/>
          <w:szCs w:val="28"/>
        </w:rPr>
        <w:t>区域清洁面积约</w:t>
      </w:r>
      <w:r>
        <w:rPr>
          <w:rFonts w:hint="eastAsia" w:ascii="Times New Roman" w:hAnsi="Times New Roman" w:cs="Times New Roman"/>
          <w:color w:val="auto"/>
          <w:sz w:val="28"/>
          <w:szCs w:val="28"/>
          <w:lang w:val="en-US" w:eastAsia="zh-CN"/>
        </w:rPr>
        <w:t>8000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2</w:t>
      </w:r>
      <w:r>
        <w:rPr>
          <w:rFonts w:ascii="Times New Roman" w:hAnsi="Times New Roman" w:cs="Times New Roman"/>
          <w:color w:val="auto"/>
          <w:sz w:val="28"/>
          <w:szCs w:val="28"/>
        </w:rPr>
        <w:t>，预计用水量为</w:t>
      </w:r>
      <w:r>
        <w:rPr>
          <w:rFonts w:hint="eastAsia" w:ascii="Times New Roman" w:hAnsi="Times New Roman" w:cs="Times New Roman"/>
          <w:color w:val="auto"/>
          <w:sz w:val="28"/>
          <w:szCs w:val="28"/>
          <w:lang w:val="en-US" w:eastAsia="zh-CN"/>
        </w:rPr>
        <w:t>160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ascii="Times New Roman" w:hAnsi="Times New Roman" w:cs="Times New Roman"/>
          <w:color w:val="auto"/>
          <w:sz w:val="28"/>
          <w:szCs w:val="28"/>
          <w:lang w:val="en-US" w:eastAsia="zh-CN"/>
        </w:rPr>
        <w:t>1.6</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/次），其中约</w:t>
      </w:r>
      <w:r>
        <w:rPr>
          <w:rFonts w:hint="eastAsia" w:ascii="Times New Roman" w:hAnsi="Times New Roman" w:cs="Times New Roman"/>
          <w:color w:val="auto"/>
          <w:sz w:val="28"/>
          <w:szCs w:val="28"/>
          <w:lang w:val="en-US" w:eastAsia="zh-CN"/>
        </w:rPr>
        <w:t>8</w:t>
      </w:r>
      <w:r>
        <w:rPr>
          <w:rFonts w:ascii="Times New Roman" w:hAnsi="Times New Roman" w:cs="Times New Roman"/>
          <w:color w:val="auto"/>
          <w:sz w:val="28"/>
          <w:szCs w:val="28"/>
        </w:rPr>
        <w:t>0%挥发，则车间清扫拖布池排水量约为</w:t>
      </w:r>
      <w:r>
        <w:rPr>
          <w:rFonts w:hint="eastAsia" w:ascii="Times New Roman" w:hAnsi="Times New Roman" w:cs="Times New Roman"/>
          <w:color w:val="auto"/>
          <w:sz w:val="28"/>
          <w:szCs w:val="28"/>
          <w:lang w:val="en-US" w:eastAsia="zh-CN"/>
        </w:rPr>
        <w:t>32</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ascii="Times New Roman" w:hAnsi="Times New Roman" w:cs="Times New Roman"/>
          <w:color w:val="auto"/>
          <w:sz w:val="28"/>
          <w:szCs w:val="28"/>
          <w:lang w:val="en-US" w:eastAsia="zh-CN"/>
        </w:rPr>
        <w:t>电镀</w:t>
      </w:r>
      <w:r>
        <w:rPr>
          <w:rFonts w:ascii="Times New Roman" w:hAnsi="Times New Roman" w:cs="Times New Roman"/>
          <w:color w:val="auto"/>
          <w:sz w:val="28"/>
          <w:szCs w:val="28"/>
        </w:rPr>
        <w:t>区域清洁废水经收集后进入</w:t>
      </w:r>
      <w:r>
        <w:rPr>
          <w:rFonts w:hint="eastAsia" w:ascii="Times New Roman" w:hAnsi="Times New Roman" w:cs="Times New Roman"/>
          <w:color w:val="auto"/>
          <w:sz w:val="28"/>
          <w:szCs w:val="28"/>
          <w:lang w:val="en-US" w:eastAsia="zh-CN"/>
        </w:rPr>
        <w:t>含铬</w:t>
      </w:r>
      <w:r>
        <w:rPr>
          <w:rFonts w:ascii="Times New Roman" w:hAnsi="Times New Roman" w:cs="Times New Roman"/>
          <w:color w:val="auto"/>
          <w:sz w:val="28"/>
          <w:szCs w:val="28"/>
        </w:rPr>
        <w:t>废水处理系统处理。</w:t>
      </w:r>
    </w:p>
    <w:p w14:paraId="3671AA32">
      <w:pPr>
        <w:widowControl w:val="0"/>
        <w:adjustRightInd w:val="0"/>
        <w:snapToGrid w:val="0"/>
        <w:spacing w:line="360" w:lineRule="auto"/>
        <w:ind w:firstLine="562" w:firstLineChars="200"/>
        <w:jc w:val="both"/>
        <w:rPr>
          <w:rFonts w:ascii="Times New Roman" w:hAnsi="Times New Roman" w:eastAsia="仿宋_GB2312" w:cs="Times New Roman"/>
          <w:b/>
          <w:color w:val="auto"/>
          <w:kern w:val="2"/>
          <w:sz w:val="28"/>
          <w:szCs w:val="28"/>
          <w:lang w:val="en-US" w:eastAsia="zh-CN" w:bidi="ar-SA"/>
        </w:rPr>
      </w:pPr>
      <w:r>
        <w:rPr>
          <w:rFonts w:ascii="Times New Roman" w:hAnsi="Times New Roman" w:eastAsia="仿宋_GB2312" w:cs="Times New Roman"/>
          <w:b/>
          <w:color w:val="auto"/>
          <w:kern w:val="2"/>
          <w:sz w:val="28"/>
          <w:szCs w:val="28"/>
          <w:lang w:val="en-US" w:eastAsia="zh-CN" w:bidi="ar-SA"/>
        </w:rPr>
        <w:t>（</w:t>
      </w:r>
      <w:r>
        <w:rPr>
          <w:rFonts w:hint="eastAsia" w:ascii="Times New Roman" w:hAnsi="Times New Roman" w:eastAsia="仿宋_GB2312" w:cs="Times New Roman"/>
          <w:b/>
          <w:color w:val="auto"/>
          <w:kern w:val="2"/>
          <w:sz w:val="28"/>
          <w:szCs w:val="28"/>
          <w:lang w:val="en-US" w:eastAsia="zh-CN" w:bidi="ar-SA"/>
        </w:rPr>
        <w:t>3</w:t>
      </w:r>
      <w:r>
        <w:rPr>
          <w:rFonts w:ascii="Times New Roman" w:hAnsi="Times New Roman" w:eastAsia="仿宋_GB2312" w:cs="Times New Roman"/>
          <w:b/>
          <w:color w:val="auto"/>
          <w:kern w:val="2"/>
          <w:sz w:val="28"/>
          <w:szCs w:val="28"/>
          <w:lang w:val="en-US" w:eastAsia="zh-CN" w:bidi="ar-SA"/>
        </w:rPr>
        <w:t>）洗涤塔用水</w:t>
      </w:r>
    </w:p>
    <w:p w14:paraId="419B0686">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本项目</w:t>
      </w:r>
      <w:r>
        <w:rPr>
          <w:rFonts w:hint="eastAsia" w:ascii="Times New Roman" w:hAnsi="Times New Roman" w:cs="Times New Roman"/>
          <w:color w:val="auto"/>
          <w:sz w:val="28"/>
          <w:szCs w:val="28"/>
          <w:lang w:val="en-US" w:eastAsia="zh-CN"/>
        </w:rPr>
        <w:t>新增</w:t>
      </w:r>
      <w:r>
        <w:rPr>
          <w:rFonts w:ascii="Times New Roman" w:hAnsi="Times New Roman" w:cs="Times New Roman"/>
          <w:color w:val="auto"/>
          <w:sz w:val="28"/>
          <w:szCs w:val="28"/>
        </w:rPr>
        <w:t>废气洗涤塔</w:t>
      </w:r>
      <w:r>
        <w:rPr>
          <w:rFonts w:hint="eastAsia" w:ascii="Times New Roman" w:hAnsi="Times New Roman" w:cs="Times New Roman"/>
          <w:color w:val="auto"/>
          <w:sz w:val="28"/>
          <w:szCs w:val="28"/>
          <w:lang w:val="en-US" w:eastAsia="zh-CN"/>
        </w:rPr>
        <w:t>5</w:t>
      </w:r>
      <w:r>
        <w:rPr>
          <w:rFonts w:ascii="Times New Roman" w:hAnsi="Times New Roman" w:cs="Times New Roman"/>
          <w:color w:val="auto"/>
          <w:sz w:val="28"/>
          <w:szCs w:val="28"/>
        </w:rPr>
        <w:t>套，补充水约为</w:t>
      </w:r>
      <w:r>
        <w:rPr>
          <w:rFonts w:hint="eastAsia" w:ascii="Times New Roman" w:hAnsi="Times New Roman" w:cs="Times New Roman"/>
          <w:color w:val="auto"/>
          <w:sz w:val="28"/>
          <w:szCs w:val="28"/>
          <w:lang w:val="en-US" w:eastAsia="zh-CN"/>
        </w:rPr>
        <w:t>15</w:t>
      </w:r>
      <w:r>
        <w:rPr>
          <w:rFonts w:ascii="Times New Roman" w:hAnsi="Times New Roman" w:cs="Times New Roman"/>
          <w:color w:val="auto"/>
          <w:sz w:val="28"/>
          <w:szCs w:val="28"/>
        </w:rPr>
        <w:t>00m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ascii="Times New Roman" w:hAnsi="Times New Roman" w:cs="Times New Roman"/>
          <w:color w:val="auto"/>
          <w:sz w:val="28"/>
          <w:szCs w:val="28"/>
          <w:lang w:eastAsia="zh-CN"/>
        </w:rPr>
        <w:t>，</w:t>
      </w:r>
      <w:r>
        <w:rPr>
          <w:rFonts w:ascii="Times New Roman" w:hAnsi="Times New Roman" w:cs="Times New Roman"/>
          <w:color w:val="auto"/>
          <w:sz w:val="28"/>
          <w:szCs w:val="28"/>
        </w:rPr>
        <w:t>循环过程损耗按85%计，剩余</w:t>
      </w:r>
      <w:r>
        <w:rPr>
          <w:rFonts w:hint="eastAsia" w:ascii="Times New Roman" w:hAnsi="Times New Roman" w:cs="Times New Roman"/>
          <w:color w:val="auto"/>
          <w:sz w:val="28"/>
          <w:szCs w:val="28"/>
          <w:lang w:val="en-US" w:eastAsia="zh-CN"/>
        </w:rPr>
        <w:t>225</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cs="Times New Roman"/>
          <w:color w:val="auto"/>
          <w:sz w:val="28"/>
          <w:szCs w:val="28"/>
          <w:lang w:val="en-US" w:eastAsia="zh-CN"/>
        </w:rPr>
        <w:t>中含铬废水90</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综合废水135</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/a定期</w:t>
      </w:r>
      <w:r>
        <w:rPr>
          <w:rFonts w:hint="eastAsia" w:cs="Times New Roman"/>
          <w:color w:val="auto"/>
          <w:sz w:val="28"/>
          <w:szCs w:val="28"/>
          <w:lang w:val="en-US" w:eastAsia="zh-CN"/>
        </w:rPr>
        <w:t>分别</w:t>
      </w:r>
      <w:r>
        <w:rPr>
          <w:rFonts w:ascii="Times New Roman" w:hAnsi="Times New Roman" w:cs="Times New Roman"/>
          <w:color w:val="auto"/>
          <w:sz w:val="28"/>
          <w:szCs w:val="28"/>
        </w:rPr>
        <w:t>排至</w:t>
      </w:r>
      <w:r>
        <w:rPr>
          <w:rFonts w:hint="eastAsia" w:cs="Times New Roman"/>
          <w:color w:val="auto"/>
          <w:sz w:val="28"/>
          <w:szCs w:val="28"/>
          <w:lang w:val="en-US" w:eastAsia="zh-CN"/>
        </w:rPr>
        <w:t>含铬废水处理系统和</w:t>
      </w:r>
      <w:r>
        <w:rPr>
          <w:rFonts w:ascii="Times New Roman" w:hAnsi="Times New Roman" w:cs="Times New Roman"/>
          <w:color w:val="auto"/>
          <w:sz w:val="28"/>
          <w:szCs w:val="28"/>
        </w:rPr>
        <w:t>综合废水处理系统。</w:t>
      </w:r>
    </w:p>
    <w:p w14:paraId="56149FB7">
      <w:pPr>
        <w:adjustRightInd w:val="0"/>
        <w:snapToGrid w:val="0"/>
        <w:spacing w:line="360" w:lineRule="auto"/>
        <w:ind w:firstLine="480"/>
        <w:rPr>
          <w:rFonts w:ascii="Times New Roman" w:hAnsi="Times New Roman" w:cs="Times New Roman"/>
          <w:b/>
          <w:bCs/>
          <w:color w:val="auto"/>
          <w:sz w:val="28"/>
          <w:szCs w:val="28"/>
        </w:rPr>
      </w:pPr>
      <w:r>
        <w:rPr>
          <w:rFonts w:ascii="Times New Roman" w:hAnsi="Times New Roman" w:cs="Times New Roman"/>
          <w:b/>
          <w:bCs/>
          <w:color w:val="auto"/>
          <w:sz w:val="28"/>
          <w:szCs w:val="28"/>
        </w:rPr>
        <w:t>洗涤塔优先使用</w:t>
      </w:r>
      <w:r>
        <w:rPr>
          <w:rFonts w:hint="eastAsia" w:ascii="Times New Roman" w:hAnsi="Times New Roman" w:cs="Times New Roman"/>
          <w:b/>
          <w:bCs/>
          <w:color w:val="auto"/>
          <w:sz w:val="28"/>
          <w:szCs w:val="28"/>
          <w:lang w:val="en-US" w:eastAsia="zh-CN"/>
        </w:rPr>
        <w:t>纯水制备浓水和污水站回用水</w:t>
      </w:r>
      <w:r>
        <w:rPr>
          <w:rFonts w:ascii="Times New Roman" w:hAnsi="Times New Roman" w:cs="Times New Roman"/>
          <w:b/>
          <w:bCs/>
          <w:color w:val="auto"/>
          <w:sz w:val="28"/>
          <w:szCs w:val="28"/>
        </w:rPr>
        <w:t>。</w:t>
      </w:r>
    </w:p>
    <w:p w14:paraId="1E909197">
      <w:pPr>
        <w:adjustRightInd w:val="0"/>
        <w:snapToGrid w:val="0"/>
        <w:spacing w:line="360" w:lineRule="auto"/>
        <w:ind w:firstLine="482"/>
        <w:rPr>
          <w:rFonts w:ascii="Times New Roman" w:hAnsi="Times New Roman" w:cs="Times New Roman"/>
          <w:b/>
          <w:bCs/>
          <w:color w:val="auto"/>
          <w:sz w:val="28"/>
          <w:szCs w:val="28"/>
        </w:rPr>
      </w:pPr>
      <w:r>
        <w:rPr>
          <w:rFonts w:ascii="Times New Roman" w:hAnsi="Times New Roman" w:cs="Times New Roman"/>
          <w:b/>
          <w:bCs/>
          <w:color w:val="auto"/>
          <w:sz w:val="28"/>
          <w:szCs w:val="28"/>
        </w:rPr>
        <w:t>（</w:t>
      </w:r>
      <w:r>
        <w:rPr>
          <w:rFonts w:hint="eastAsia" w:ascii="Times New Roman" w:hAnsi="Times New Roman" w:cs="Times New Roman"/>
          <w:b/>
          <w:bCs/>
          <w:color w:val="auto"/>
          <w:sz w:val="28"/>
          <w:szCs w:val="28"/>
          <w:lang w:val="en-US" w:eastAsia="zh-CN"/>
        </w:rPr>
        <w:t>4</w:t>
      </w:r>
      <w:r>
        <w:rPr>
          <w:rFonts w:ascii="Times New Roman" w:hAnsi="Times New Roman" w:cs="Times New Roman"/>
          <w:b/>
          <w:bCs/>
          <w:color w:val="auto"/>
          <w:sz w:val="28"/>
          <w:szCs w:val="28"/>
        </w:rPr>
        <w:t>）冷却塔补水</w:t>
      </w:r>
    </w:p>
    <w:p w14:paraId="0D022FEC">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本项目</w:t>
      </w:r>
      <w:r>
        <w:rPr>
          <w:rFonts w:hint="eastAsia" w:ascii="Times New Roman" w:hAnsi="Times New Roman" w:cs="Times New Roman"/>
          <w:color w:val="auto"/>
          <w:sz w:val="28"/>
          <w:szCs w:val="28"/>
        </w:rPr>
        <w:t>新增冷却塔3台，循环量33t/h</w:t>
      </w:r>
      <w:r>
        <w:rPr>
          <w:rFonts w:hint="eastAsia" w:ascii="Times New Roman" w:hAnsi="Times New Roman" w:cs="Times New Roman"/>
          <w:color w:val="auto"/>
          <w:sz w:val="28"/>
          <w:szCs w:val="28"/>
          <w:lang w:eastAsia="zh-CN"/>
        </w:rPr>
        <w:t>，</w:t>
      </w:r>
      <w:r>
        <w:rPr>
          <w:rFonts w:ascii="Times New Roman" w:hAnsi="Times New Roman" w:cs="Times New Roman"/>
          <w:color w:val="auto"/>
          <w:sz w:val="28"/>
          <w:szCs w:val="28"/>
        </w:rPr>
        <w:t>冷却塔补水含热量交换蒸发损失、高风速下带出损失</w:t>
      </w:r>
      <w:r>
        <w:rPr>
          <w:rFonts w:hint="eastAsia" w:cs="Times New Roman"/>
          <w:color w:val="auto"/>
          <w:sz w:val="28"/>
          <w:szCs w:val="28"/>
          <w:lang w:eastAsia="zh-CN"/>
        </w:rPr>
        <w:t>。</w:t>
      </w:r>
      <w:r>
        <w:rPr>
          <w:rFonts w:ascii="Times New Roman" w:hAnsi="Times New Roman" w:cs="Times New Roman"/>
          <w:color w:val="auto"/>
          <w:sz w:val="28"/>
          <w:szCs w:val="28"/>
        </w:rPr>
        <w:t>类比现有项目实际运行情况，冷却塔补水约占循环量的1.</w:t>
      </w:r>
      <w:r>
        <w:rPr>
          <w:rFonts w:hint="eastAsia" w:ascii="Times New Roman" w:hAnsi="Times New Roman" w:cs="Times New Roman"/>
          <w:color w:val="auto"/>
          <w:sz w:val="28"/>
          <w:szCs w:val="28"/>
          <w:lang w:val="en-US" w:eastAsia="zh-CN"/>
        </w:rPr>
        <w:t>0</w:t>
      </w:r>
      <w:r>
        <w:rPr>
          <w:rFonts w:ascii="Times New Roman" w:hAnsi="Times New Roman" w:cs="Times New Roman"/>
          <w:color w:val="auto"/>
          <w:sz w:val="28"/>
          <w:szCs w:val="28"/>
        </w:rPr>
        <w:t>%，由此计算，本项目冷却用水</w:t>
      </w:r>
      <w:r>
        <w:rPr>
          <w:rFonts w:hint="eastAsia" w:ascii="Times New Roman" w:hAnsi="Times New Roman" w:cs="Times New Roman"/>
          <w:color w:val="auto"/>
          <w:sz w:val="28"/>
          <w:szCs w:val="28"/>
          <w:lang w:val="en-US" w:eastAsia="zh-CN"/>
        </w:rPr>
        <w:t>7128</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cs="Times New Roman"/>
          <w:color w:val="auto"/>
          <w:sz w:val="28"/>
          <w:szCs w:val="28"/>
          <w:lang w:val="en-US" w:eastAsia="zh-CN"/>
        </w:rPr>
        <w:t>循环使用，不排放</w:t>
      </w:r>
      <w:r>
        <w:rPr>
          <w:rFonts w:ascii="Times New Roman" w:hAnsi="Times New Roman" w:cs="Times New Roman"/>
          <w:color w:val="auto"/>
          <w:sz w:val="28"/>
          <w:szCs w:val="28"/>
        </w:rPr>
        <w:t>。</w:t>
      </w:r>
    </w:p>
    <w:p w14:paraId="39CC2D25">
      <w:pPr>
        <w:adjustRightInd w:val="0"/>
        <w:snapToGrid w:val="0"/>
        <w:spacing w:line="360" w:lineRule="auto"/>
        <w:ind w:firstLine="480"/>
        <w:rPr>
          <w:rFonts w:ascii="Times New Roman" w:hAnsi="Times New Roman" w:cs="Times New Roman"/>
          <w:b/>
          <w:bCs/>
          <w:color w:val="auto"/>
          <w:sz w:val="28"/>
          <w:szCs w:val="28"/>
        </w:rPr>
      </w:pPr>
      <w:r>
        <w:rPr>
          <w:rFonts w:ascii="Times New Roman" w:hAnsi="Times New Roman" w:cs="Times New Roman"/>
          <w:b/>
          <w:bCs/>
          <w:color w:val="auto"/>
          <w:sz w:val="28"/>
          <w:szCs w:val="28"/>
        </w:rPr>
        <w:t>冷却塔补水优先使用污水站回用水，不足部分使用自来水。</w:t>
      </w:r>
    </w:p>
    <w:p w14:paraId="6BD710F9">
      <w:pPr>
        <w:adjustRightInd w:val="0"/>
        <w:snapToGrid w:val="0"/>
        <w:spacing w:line="360" w:lineRule="auto"/>
        <w:ind w:firstLine="482"/>
        <w:rPr>
          <w:rFonts w:ascii="Times New Roman" w:hAnsi="Times New Roman" w:cs="Times New Roman"/>
          <w:b/>
          <w:bCs/>
          <w:color w:val="auto"/>
          <w:sz w:val="28"/>
          <w:szCs w:val="28"/>
        </w:rPr>
      </w:pPr>
      <w:r>
        <w:rPr>
          <w:rFonts w:ascii="Times New Roman" w:hAnsi="Times New Roman" w:cs="Times New Roman"/>
          <w:b/>
          <w:bCs/>
          <w:color w:val="auto"/>
          <w:sz w:val="28"/>
          <w:szCs w:val="28"/>
        </w:rPr>
        <w:t>（5）纯水系统</w:t>
      </w:r>
    </w:p>
    <w:p w14:paraId="34B31472">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本项目工艺用水中</w:t>
      </w:r>
      <w:r>
        <w:rPr>
          <w:rFonts w:hint="eastAsia" w:cs="Times New Roman"/>
          <w:color w:val="auto"/>
          <w:sz w:val="28"/>
          <w:szCs w:val="28"/>
          <w:highlight w:val="none"/>
          <w:lang w:val="en-US" w:eastAsia="zh-CN"/>
        </w:rPr>
        <w:t>表面处理基本</w:t>
      </w:r>
      <w:r>
        <w:rPr>
          <w:rFonts w:ascii="Times New Roman" w:hAnsi="Times New Roman" w:cs="Times New Roman"/>
          <w:color w:val="auto"/>
          <w:sz w:val="28"/>
          <w:szCs w:val="28"/>
          <w:highlight w:val="none"/>
        </w:rPr>
        <w:t>采用</w:t>
      </w:r>
      <w:r>
        <w:rPr>
          <w:rFonts w:ascii="Times New Roman" w:hAnsi="Times New Roman" w:cs="Times New Roman"/>
          <w:color w:val="auto"/>
          <w:sz w:val="28"/>
          <w:szCs w:val="28"/>
        </w:rPr>
        <w:t>纯水，根据资料</w:t>
      </w:r>
      <w:r>
        <w:rPr>
          <w:rFonts w:hint="eastAsia" w:cs="Times New Roman"/>
          <w:color w:val="auto"/>
          <w:sz w:val="28"/>
          <w:szCs w:val="28"/>
          <w:lang w:val="en-US" w:eastAsia="zh-CN"/>
        </w:rPr>
        <w:t>统计</w:t>
      </w:r>
      <w:r>
        <w:rPr>
          <w:rFonts w:ascii="Times New Roman" w:hAnsi="Times New Roman" w:cs="Times New Roman"/>
          <w:color w:val="auto"/>
          <w:sz w:val="28"/>
          <w:szCs w:val="28"/>
        </w:rPr>
        <w:t>，需纯水量为</w:t>
      </w:r>
      <w:r>
        <w:rPr>
          <w:rFonts w:hint="eastAsia" w:cs="Times New Roman"/>
          <w:color w:val="auto"/>
          <w:sz w:val="28"/>
          <w:szCs w:val="28"/>
          <w:lang w:val="en-US" w:eastAsia="zh-CN"/>
        </w:rPr>
        <w:t>13108.7</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/a，纯水制备综合效率约75%，需新鲜自来水</w:t>
      </w:r>
      <w:r>
        <w:rPr>
          <w:rFonts w:hint="eastAsia" w:cs="Times New Roman"/>
          <w:color w:val="auto"/>
          <w:sz w:val="28"/>
          <w:szCs w:val="28"/>
          <w:lang w:val="en-US" w:eastAsia="zh-CN"/>
        </w:rPr>
        <w:t>18866.2</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/a，浓水</w:t>
      </w:r>
      <w:r>
        <w:rPr>
          <w:rFonts w:hint="eastAsia" w:cs="Times New Roman"/>
          <w:color w:val="auto"/>
          <w:sz w:val="28"/>
          <w:szCs w:val="28"/>
          <w:lang w:val="en-US" w:eastAsia="zh-CN"/>
        </w:rPr>
        <w:t>6288.5</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3</w:t>
      </w:r>
      <w:r>
        <w:rPr>
          <w:rFonts w:ascii="Times New Roman" w:hAnsi="Times New Roman" w:cs="Times New Roman"/>
          <w:color w:val="auto"/>
          <w:sz w:val="28"/>
          <w:szCs w:val="28"/>
        </w:rPr>
        <w:t>/a</w:t>
      </w:r>
      <w:r>
        <w:rPr>
          <w:rFonts w:hint="eastAsia" w:cs="Times New Roman"/>
          <w:color w:val="auto"/>
          <w:sz w:val="28"/>
          <w:szCs w:val="28"/>
          <w:lang w:val="en-US" w:eastAsia="zh-CN"/>
        </w:rPr>
        <w:t>优先回用于喷淋塔废水和凹印版表面处理第一道清洗</w:t>
      </w:r>
      <w:r>
        <w:rPr>
          <w:rFonts w:ascii="Times New Roman" w:hAnsi="Times New Roman" w:cs="Times New Roman"/>
          <w:color w:val="auto"/>
          <w:sz w:val="28"/>
          <w:szCs w:val="28"/>
        </w:rPr>
        <w:t>。</w:t>
      </w:r>
    </w:p>
    <w:p w14:paraId="0E3AE7CE">
      <w:pPr>
        <w:adjustRightInd w:val="0"/>
        <w:snapToGrid w:val="0"/>
        <w:spacing w:line="360" w:lineRule="auto"/>
        <w:ind w:firstLine="482"/>
        <w:rPr>
          <w:rFonts w:ascii="Times New Roman" w:hAnsi="Times New Roman" w:cs="Times New Roman"/>
          <w:b/>
          <w:bCs/>
          <w:color w:val="auto"/>
          <w:sz w:val="28"/>
          <w:szCs w:val="28"/>
        </w:rPr>
      </w:pPr>
      <w:r>
        <w:rPr>
          <w:rFonts w:ascii="Times New Roman" w:hAnsi="Times New Roman" w:cs="Times New Roman"/>
          <w:b/>
          <w:bCs/>
          <w:color w:val="auto"/>
          <w:sz w:val="28"/>
          <w:szCs w:val="28"/>
        </w:rPr>
        <w:t>（</w:t>
      </w:r>
      <w:r>
        <w:rPr>
          <w:rFonts w:hint="eastAsia" w:ascii="Times New Roman" w:hAnsi="Times New Roman" w:cs="Times New Roman"/>
          <w:b/>
          <w:bCs/>
          <w:color w:val="auto"/>
          <w:sz w:val="28"/>
          <w:szCs w:val="28"/>
          <w:lang w:val="en-US" w:eastAsia="zh-CN"/>
        </w:rPr>
        <w:t>6</w:t>
      </w:r>
      <w:r>
        <w:rPr>
          <w:rFonts w:ascii="Times New Roman" w:hAnsi="Times New Roman" w:cs="Times New Roman"/>
          <w:b/>
          <w:bCs/>
          <w:color w:val="auto"/>
          <w:sz w:val="28"/>
          <w:szCs w:val="28"/>
        </w:rPr>
        <w:t>）</w:t>
      </w:r>
      <w:r>
        <w:rPr>
          <w:rFonts w:hint="eastAsia" w:ascii="Times New Roman" w:hAnsi="Times New Roman" w:cs="Times New Roman"/>
          <w:b/>
          <w:bCs/>
          <w:color w:val="auto"/>
          <w:sz w:val="28"/>
          <w:szCs w:val="28"/>
        </w:rPr>
        <w:t>切削液、乳化液</w:t>
      </w:r>
      <w:r>
        <w:rPr>
          <w:rFonts w:ascii="Times New Roman" w:hAnsi="Times New Roman" w:cs="Times New Roman"/>
          <w:b/>
          <w:bCs/>
          <w:color w:val="auto"/>
          <w:sz w:val="28"/>
          <w:szCs w:val="28"/>
        </w:rPr>
        <w:t>调制用水</w:t>
      </w:r>
    </w:p>
    <w:p w14:paraId="3FC26F27">
      <w:pPr>
        <w:adjustRightInd w:val="0"/>
        <w:snapToGrid w:val="0"/>
        <w:spacing w:line="360" w:lineRule="auto"/>
        <w:ind w:firstLine="480"/>
        <w:rPr>
          <w:rFonts w:ascii="Times New Roman" w:hAnsi="Times New Roman" w:cs="Times New Roman"/>
          <w:color w:val="auto"/>
          <w:sz w:val="28"/>
          <w:szCs w:val="28"/>
        </w:rPr>
      </w:pPr>
      <w:r>
        <w:rPr>
          <w:rFonts w:ascii="Times New Roman" w:hAnsi="Times New Roman" w:cs="Times New Roman"/>
          <w:color w:val="auto"/>
          <w:sz w:val="28"/>
          <w:szCs w:val="28"/>
        </w:rPr>
        <w:t>切削液、</w:t>
      </w:r>
      <w:r>
        <w:rPr>
          <w:rFonts w:hint="eastAsia" w:cs="Times New Roman"/>
          <w:color w:val="auto"/>
          <w:sz w:val="28"/>
          <w:szCs w:val="28"/>
          <w:lang w:val="en-US" w:eastAsia="zh-CN"/>
        </w:rPr>
        <w:t>乳化</w:t>
      </w:r>
      <w:r>
        <w:rPr>
          <w:rFonts w:ascii="Times New Roman" w:hAnsi="Times New Roman" w:cs="Times New Roman"/>
          <w:color w:val="auto"/>
          <w:sz w:val="28"/>
          <w:szCs w:val="28"/>
        </w:rPr>
        <w:t>液</w:t>
      </w:r>
      <w:r>
        <w:rPr>
          <w:rFonts w:hint="eastAsia" w:cs="Times New Roman"/>
          <w:color w:val="auto"/>
          <w:sz w:val="28"/>
          <w:szCs w:val="28"/>
          <w:lang w:val="en-US" w:eastAsia="zh-CN"/>
        </w:rPr>
        <w:t>等</w:t>
      </w:r>
      <w:r>
        <w:rPr>
          <w:rFonts w:ascii="Times New Roman" w:hAnsi="Times New Roman" w:cs="Times New Roman"/>
          <w:color w:val="auto"/>
          <w:sz w:val="28"/>
          <w:szCs w:val="28"/>
        </w:rPr>
        <w:t>使用时由原液和水按比例（1:</w:t>
      </w:r>
      <w:r>
        <w:rPr>
          <w:rFonts w:hint="eastAsia" w:cs="Times New Roman"/>
          <w:color w:val="auto"/>
          <w:sz w:val="28"/>
          <w:szCs w:val="28"/>
          <w:lang w:val="en-US" w:eastAsia="zh-CN"/>
        </w:rPr>
        <w:t>1</w:t>
      </w:r>
      <w:r>
        <w:rPr>
          <w:rFonts w:ascii="Times New Roman" w:hAnsi="Times New Roman" w:cs="Times New Roman"/>
          <w:color w:val="auto"/>
          <w:sz w:val="28"/>
          <w:szCs w:val="28"/>
        </w:rPr>
        <w:t>0）配置而成，切削液、</w:t>
      </w:r>
      <w:r>
        <w:rPr>
          <w:rFonts w:hint="eastAsia" w:ascii="Times New Roman" w:hAnsi="Times New Roman" w:cs="Times New Roman"/>
          <w:color w:val="auto"/>
          <w:sz w:val="28"/>
          <w:szCs w:val="28"/>
          <w:lang w:val="en-US" w:eastAsia="zh-CN"/>
        </w:rPr>
        <w:t>乳化</w:t>
      </w:r>
      <w:r>
        <w:rPr>
          <w:rFonts w:ascii="Times New Roman" w:hAnsi="Times New Roman" w:cs="Times New Roman"/>
          <w:color w:val="auto"/>
          <w:sz w:val="28"/>
          <w:szCs w:val="28"/>
        </w:rPr>
        <w:t>液液用量为</w:t>
      </w:r>
      <w:r>
        <w:rPr>
          <w:rFonts w:hint="eastAsia" w:cs="Times New Roman"/>
          <w:color w:val="auto"/>
          <w:sz w:val="28"/>
          <w:szCs w:val="28"/>
          <w:lang w:val="en-US" w:eastAsia="zh-CN"/>
        </w:rPr>
        <w:t>16.9</w:t>
      </w:r>
      <w:r>
        <w:rPr>
          <w:rFonts w:ascii="Times New Roman" w:hAnsi="Times New Roman" w:cs="Times New Roman"/>
          <w:color w:val="auto"/>
          <w:sz w:val="28"/>
          <w:szCs w:val="28"/>
        </w:rPr>
        <w:t>t/a，用水量为</w:t>
      </w:r>
      <w:r>
        <w:rPr>
          <w:rFonts w:hint="eastAsia" w:cs="Times New Roman"/>
          <w:color w:val="auto"/>
          <w:sz w:val="28"/>
          <w:szCs w:val="28"/>
          <w:lang w:val="en-US" w:eastAsia="zh-CN"/>
        </w:rPr>
        <w:t>169</w:t>
      </w:r>
      <w:r>
        <w:rPr>
          <w:rFonts w:ascii="Times New Roman" w:hAnsi="Times New Roman" w:cs="Times New Roman"/>
          <w:color w:val="auto"/>
          <w:sz w:val="28"/>
          <w:szCs w:val="28"/>
        </w:rPr>
        <w:t>t/a，循环使用过程挥发损耗约</w:t>
      </w:r>
      <w:r>
        <w:rPr>
          <w:rFonts w:hint="eastAsia" w:cs="Times New Roman"/>
          <w:color w:val="auto"/>
          <w:sz w:val="28"/>
          <w:szCs w:val="28"/>
          <w:lang w:val="en-US" w:eastAsia="zh-CN"/>
        </w:rPr>
        <w:t>150</w:t>
      </w:r>
      <w:r>
        <w:rPr>
          <w:rFonts w:ascii="Times New Roman" w:hAnsi="Times New Roman" w:cs="Times New Roman"/>
          <w:color w:val="auto"/>
          <w:sz w:val="28"/>
          <w:szCs w:val="28"/>
        </w:rPr>
        <w:t>t/a，剩余</w:t>
      </w:r>
      <w:r>
        <w:rPr>
          <w:rFonts w:hint="eastAsia" w:cs="Times New Roman"/>
          <w:color w:val="auto"/>
          <w:sz w:val="28"/>
          <w:szCs w:val="28"/>
          <w:lang w:val="en-US" w:eastAsia="zh-CN"/>
        </w:rPr>
        <w:t>19</w:t>
      </w:r>
      <w:r>
        <w:rPr>
          <w:rFonts w:ascii="Times New Roman" w:hAnsi="Times New Roman" w:cs="Times New Roman"/>
          <w:color w:val="auto"/>
          <w:sz w:val="28"/>
          <w:szCs w:val="28"/>
        </w:rPr>
        <w:t>t/a随切削废液</w:t>
      </w:r>
      <w:r>
        <w:rPr>
          <w:rFonts w:hint="eastAsia" w:ascii="Times New Roman" w:hAnsi="Times New Roman" w:cs="Times New Roman"/>
          <w:color w:val="auto"/>
          <w:sz w:val="28"/>
          <w:szCs w:val="28"/>
        </w:rPr>
        <w:t>、乳化液</w:t>
      </w:r>
      <w:r>
        <w:rPr>
          <w:rFonts w:ascii="Times New Roman" w:hAnsi="Times New Roman" w:cs="Times New Roman"/>
          <w:color w:val="auto"/>
          <w:sz w:val="28"/>
          <w:szCs w:val="28"/>
        </w:rPr>
        <w:t>作为危废处理。</w:t>
      </w:r>
    </w:p>
    <w:p w14:paraId="4AE63D35">
      <w:pPr>
        <w:bidi w:val="0"/>
        <w:rPr>
          <w:rFonts w:ascii="Times New Roman" w:hAnsi="Times New Roman"/>
          <w:b/>
          <w:bCs/>
          <w:sz w:val="28"/>
          <w:szCs w:val="28"/>
        </w:rPr>
      </w:pPr>
      <w:r>
        <w:rPr>
          <w:rFonts w:ascii="Times New Roman" w:hAnsi="Times New Roman"/>
          <w:b/>
          <w:bCs/>
          <w:sz w:val="28"/>
          <w:szCs w:val="28"/>
        </w:rPr>
        <w:t>（</w:t>
      </w:r>
      <w:r>
        <w:rPr>
          <w:rFonts w:hint="eastAsia" w:ascii="Times New Roman" w:hAnsi="Times New Roman"/>
          <w:b/>
          <w:bCs/>
          <w:sz w:val="28"/>
          <w:szCs w:val="28"/>
          <w:lang w:val="en-US" w:eastAsia="zh-CN"/>
        </w:rPr>
        <w:t>7</w:t>
      </w:r>
      <w:r>
        <w:rPr>
          <w:rFonts w:ascii="Times New Roman" w:hAnsi="Times New Roman"/>
          <w:b/>
          <w:bCs/>
          <w:sz w:val="28"/>
          <w:szCs w:val="28"/>
        </w:rPr>
        <w:t>）生活用水</w:t>
      </w:r>
    </w:p>
    <w:p w14:paraId="1C73788B">
      <w:pPr>
        <w:bidi w:val="0"/>
        <w:rPr>
          <w:rFonts w:hint="default" w:ascii="Times New Roman" w:hAnsi="Times New Roman"/>
          <w:sz w:val="28"/>
          <w:szCs w:val="28"/>
          <w:lang w:val="en-US" w:eastAsia="zh-CN"/>
        </w:rPr>
      </w:pPr>
      <w:bookmarkStart w:id="175" w:name="OLE_LINK38"/>
      <w:r>
        <w:rPr>
          <w:rFonts w:ascii="Times New Roman" w:hAnsi="Times New Roman"/>
          <w:sz w:val="28"/>
          <w:szCs w:val="28"/>
        </w:rPr>
        <w:t>项目建成后预计新增员工</w:t>
      </w:r>
      <w:r>
        <w:rPr>
          <w:rFonts w:hint="eastAsia" w:ascii="Times New Roman" w:hAnsi="Times New Roman"/>
          <w:sz w:val="28"/>
          <w:szCs w:val="28"/>
          <w:lang w:val="en-US" w:eastAsia="zh-CN"/>
        </w:rPr>
        <w:t>110</w:t>
      </w:r>
      <w:r>
        <w:rPr>
          <w:rFonts w:ascii="Times New Roman" w:hAnsi="Times New Roman"/>
          <w:sz w:val="28"/>
          <w:szCs w:val="28"/>
        </w:rPr>
        <w:t>人，根据《江苏省工业、建筑业、服务业、生活和农业用水定额（2025年）》中党政机关办公楼通用值用水定额生活用水按38m</w:t>
      </w:r>
      <w:r>
        <w:rPr>
          <w:rFonts w:ascii="Times New Roman" w:hAnsi="Times New Roman"/>
          <w:sz w:val="28"/>
          <w:szCs w:val="28"/>
          <w:vertAlign w:val="superscript"/>
        </w:rPr>
        <w:t>3</w:t>
      </w:r>
      <w:r>
        <w:rPr>
          <w:rFonts w:ascii="Times New Roman" w:hAnsi="Times New Roman"/>
          <w:sz w:val="28"/>
          <w:szCs w:val="28"/>
        </w:rPr>
        <w:t>/（人•a）核算，则本项目员工生活用水为</w:t>
      </w:r>
      <w:r>
        <w:rPr>
          <w:rFonts w:hint="eastAsia"/>
          <w:sz w:val="28"/>
          <w:szCs w:val="28"/>
          <w:lang w:val="en-US" w:eastAsia="zh-CN"/>
        </w:rPr>
        <w:t>4180</w:t>
      </w:r>
      <w:r>
        <w:rPr>
          <w:rFonts w:ascii="Times New Roman" w:hAnsi="Times New Roman"/>
          <w:sz w:val="28"/>
          <w:szCs w:val="28"/>
        </w:rPr>
        <w:t>m</w:t>
      </w:r>
      <w:r>
        <w:rPr>
          <w:rFonts w:ascii="Times New Roman" w:hAnsi="Times New Roman"/>
          <w:sz w:val="28"/>
          <w:szCs w:val="28"/>
          <w:vertAlign w:val="superscript"/>
        </w:rPr>
        <w:t>3</w:t>
      </w:r>
      <w:r>
        <w:rPr>
          <w:rFonts w:ascii="Times New Roman" w:hAnsi="Times New Roman"/>
          <w:sz w:val="28"/>
          <w:szCs w:val="28"/>
        </w:rPr>
        <w:t>/a，产污系数按0.8计，则本项目生活污水产生量约为</w:t>
      </w:r>
      <w:r>
        <w:rPr>
          <w:rFonts w:hint="eastAsia"/>
          <w:sz w:val="28"/>
          <w:szCs w:val="28"/>
          <w:lang w:val="en-US" w:eastAsia="zh-CN"/>
        </w:rPr>
        <w:t>3344</w:t>
      </w:r>
      <w:r>
        <w:rPr>
          <w:rFonts w:ascii="Times New Roman" w:hAnsi="Times New Roman"/>
          <w:sz w:val="28"/>
          <w:szCs w:val="28"/>
        </w:rPr>
        <w:t>m</w:t>
      </w:r>
      <w:r>
        <w:rPr>
          <w:rFonts w:ascii="Times New Roman" w:hAnsi="Times New Roman"/>
          <w:sz w:val="28"/>
          <w:szCs w:val="28"/>
          <w:vertAlign w:val="superscript"/>
        </w:rPr>
        <w:t>3</w:t>
      </w:r>
      <w:r>
        <w:rPr>
          <w:rFonts w:ascii="Times New Roman" w:hAnsi="Times New Roman"/>
          <w:sz w:val="28"/>
          <w:szCs w:val="28"/>
        </w:rPr>
        <w:t>/a，</w:t>
      </w:r>
      <w:r>
        <w:rPr>
          <w:rFonts w:hint="eastAsia" w:ascii="Times New Roman" w:hAnsi="Times New Roman"/>
          <w:sz w:val="28"/>
          <w:szCs w:val="28"/>
        </w:rPr>
        <w:t>通过化粪池预处理后接入市政污水管网</w:t>
      </w:r>
      <w:r>
        <w:rPr>
          <w:rFonts w:ascii="Times New Roman" w:hAnsi="Times New Roman"/>
          <w:sz w:val="28"/>
          <w:szCs w:val="28"/>
        </w:rPr>
        <w:t>。</w:t>
      </w:r>
      <w:bookmarkEnd w:id="174"/>
      <w:bookmarkEnd w:id="175"/>
    </w:p>
    <w:p w14:paraId="37A467C5">
      <w:pPr>
        <w:rPr>
          <w:rFonts w:hint="default"/>
          <w:lang w:val="en-US" w:eastAsia="zh-CN"/>
        </w:rPr>
      </w:pPr>
    </w:p>
    <w:p w14:paraId="033F2A99">
      <w:pPr>
        <w:pStyle w:val="3"/>
        <w:rPr>
          <w:color w:val="auto"/>
        </w:rPr>
      </w:pPr>
      <w:bookmarkStart w:id="176" w:name="_Toc5996"/>
      <w:bookmarkStart w:id="177" w:name="_Toc22365"/>
      <w:r>
        <w:rPr>
          <w:rFonts w:hint="eastAsia"/>
          <w:color w:val="auto"/>
        </w:rPr>
        <w:t>公用工程及辅助设施</w:t>
      </w:r>
      <w:bookmarkEnd w:id="176"/>
      <w:bookmarkEnd w:id="177"/>
    </w:p>
    <w:p w14:paraId="12B5A222">
      <w:pPr>
        <w:pStyle w:val="4"/>
        <w:bidi w:val="0"/>
        <w:rPr>
          <w:rFonts w:hint="eastAsia"/>
          <w:color w:val="auto"/>
        </w:rPr>
      </w:pPr>
      <w:bookmarkStart w:id="178" w:name="_Toc32530"/>
      <w:bookmarkStart w:id="179" w:name="_Toc32724"/>
      <w:r>
        <w:rPr>
          <w:rFonts w:hint="eastAsia"/>
          <w:color w:val="auto"/>
        </w:rPr>
        <w:t>给水</w:t>
      </w:r>
      <w:bookmarkEnd w:id="178"/>
      <w:bookmarkEnd w:id="179"/>
    </w:p>
    <w:p w14:paraId="58C2E2D8">
      <w:pPr>
        <w:rPr>
          <w:rFonts w:hint="default"/>
          <w:color w:val="auto"/>
          <w:highlight w:val="none"/>
          <w:lang w:val="en-US" w:eastAsia="zh-CN"/>
        </w:rPr>
      </w:pPr>
      <w:r>
        <w:rPr>
          <w:rFonts w:hint="eastAsia"/>
          <w:color w:val="auto"/>
        </w:rPr>
        <w:t>本项目工业用水和生活用水来自市政自来水管网，主要包括循环冷却水系统用水</w:t>
      </w:r>
      <w:r>
        <w:rPr>
          <w:rFonts w:hint="eastAsia"/>
          <w:color w:val="auto"/>
          <w:lang w:eastAsia="zh-CN"/>
        </w:rPr>
        <w:t>、</w:t>
      </w:r>
      <w:r>
        <w:rPr>
          <w:rFonts w:hint="eastAsia"/>
          <w:color w:val="auto"/>
          <w:lang w:val="en-US" w:eastAsia="zh-CN"/>
        </w:rPr>
        <w:t>设备清洗用水、锅炉用水及生活用水</w:t>
      </w:r>
      <w:r>
        <w:rPr>
          <w:rFonts w:hint="eastAsia"/>
          <w:color w:val="auto"/>
        </w:rPr>
        <w:t>等，本项目新增总用</w:t>
      </w:r>
      <w:r>
        <w:rPr>
          <w:rFonts w:hint="eastAsia"/>
          <w:color w:val="auto"/>
          <w:lang w:val="en-US" w:eastAsia="zh-CN"/>
        </w:rPr>
        <w:t>水</w:t>
      </w:r>
      <w:r>
        <w:rPr>
          <w:rFonts w:hint="eastAsia"/>
          <w:color w:val="auto"/>
        </w:rPr>
        <w:t>量</w:t>
      </w:r>
      <w:r>
        <w:rPr>
          <w:rFonts w:hint="eastAsia"/>
          <w:color w:val="auto"/>
          <w:lang w:val="en-US" w:eastAsia="zh-CN"/>
        </w:rPr>
        <w:t>37415.4</w:t>
      </w:r>
      <w:r>
        <w:rPr>
          <w:rFonts w:hint="eastAsia"/>
          <w:color w:val="auto"/>
        </w:rPr>
        <w:t>t/a。自来水全部由自来水管网供给，目前供水系统运行稳定，可以满足供水要求。</w:t>
      </w:r>
    </w:p>
    <w:p w14:paraId="776A9E5B">
      <w:pPr>
        <w:pStyle w:val="4"/>
        <w:bidi w:val="0"/>
        <w:rPr>
          <w:rFonts w:hint="eastAsia"/>
          <w:color w:val="auto"/>
          <w:highlight w:val="none"/>
        </w:rPr>
      </w:pPr>
      <w:bookmarkStart w:id="180" w:name="_Toc31357"/>
      <w:bookmarkStart w:id="181" w:name="_Toc23078"/>
      <w:r>
        <w:rPr>
          <w:rFonts w:hint="eastAsia"/>
          <w:color w:val="auto"/>
          <w:highlight w:val="none"/>
        </w:rPr>
        <w:t>排水</w:t>
      </w:r>
      <w:bookmarkEnd w:id="180"/>
      <w:bookmarkEnd w:id="181"/>
    </w:p>
    <w:p w14:paraId="46AEC035">
      <w:pPr>
        <w:rPr>
          <w:rFonts w:hint="eastAsia"/>
          <w:color w:val="auto"/>
          <w:highlight w:val="none"/>
        </w:rPr>
      </w:pPr>
      <w:r>
        <w:rPr>
          <w:rFonts w:hint="eastAsia"/>
          <w:color w:val="auto"/>
          <w:highlight w:val="none"/>
        </w:rPr>
        <w:t>本项目生产过程中含铜废水、含铬废水</w:t>
      </w:r>
      <w:r>
        <w:rPr>
          <w:rFonts w:hint="eastAsia"/>
          <w:color w:val="auto"/>
          <w:highlight w:val="none"/>
          <w:lang w:eastAsia="zh-CN"/>
        </w:rPr>
        <w:t>、</w:t>
      </w:r>
      <w:r>
        <w:rPr>
          <w:rFonts w:hint="eastAsia"/>
          <w:color w:val="auto"/>
          <w:highlight w:val="none"/>
          <w:lang w:val="en-US" w:eastAsia="zh-CN"/>
        </w:rPr>
        <w:t>综合废水</w:t>
      </w:r>
      <w:r>
        <w:rPr>
          <w:rFonts w:hint="eastAsia"/>
          <w:color w:val="auto"/>
          <w:highlight w:val="none"/>
        </w:rPr>
        <w:t>经预处理后，进入MVR 装置蒸发处理，冷凝水经纯水制备系统处理后全部回用</w:t>
      </w:r>
      <w:r>
        <w:rPr>
          <w:rFonts w:hint="eastAsia"/>
          <w:color w:val="auto"/>
          <w:highlight w:val="none"/>
          <w:lang w:eastAsia="zh-CN"/>
        </w:rPr>
        <w:t>，</w:t>
      </w:r>
      <w:r>
        <w:rPr>
          <w:rFonts w:hint="eastAsia"/>
          <w:color w:val="auto"/>
          <w:highlight w:val="none"/>
        </w:rPr>
        <w:t>生产废水不外排。生活污水经市政污水管网进入昆山建邦环境投资有限公司花桥污水处理厂；厂区共设有 1 个雨水排放口，1 个生活污水排放口。</w:t>
      </w:r>
    </w:p>
    <w:p w14:paraId="6F31C2DB">
      <w:pPr>
        <w:pStyle w:val="4"/>
        <w:bidi w:val="0"/>
        <w:rPr>
          <w:rFonts w:hint="eastAsia"/>
          <w:color w:val="auto"/>
          <w:highlight w:val="none"/>
        </w:rPr>
      </w:pPr>
      <w:bookmarkStart w:id="182" w:name="_Toc30874"/>
      <w:bookmarkStart w:id="183" w:name="_Toc2237"/>
      <w:r>
        <w:rPr>
          <w:rFonts w:hint="eastAsia"/>
          <w:color w:val="auto"/>
          <w:highlight w:val="none"/>
        </w:rPr>
        <w:t>供电</w:t>
      </w:r>
      <w:bookmarkEnd w:id="182"/>
      <w:bookmarkEnd w:id="183"/>
    </w:p>
    <w:p w14:paraId="63E2DB98">
      <w:pPr>
        <w:rPr>
          <w:rFonts w:hint="eastAsia"/>
          <w:color w:val="auto"/>
          <w:highlight w:val="none"/>
        </w:rPr>
      </w:pPr>
      <w:r>
        <w:rPr>
          <w:rFonts w:hint="eastAsia"/>
          <w:color w:val="auto"/>
          <w:highlight w:val="none"/>
        </w:rPr>
        <w:t>厂区设有一台 S13- 1600KVA 变压器提供本项目所有用电设备使用。设备用电由配电房低压柜引来，通过电缆桥架接入车间配电柜，低压配电干线采用 YJV-0.6/10kV 型电力电缆穿管暗敷，用电电压为 380/220V 。本项目新增用电量约</w:t>
      </w:r>
      <w:r>
        <w:rPr>
          <w:rFonts w:hint="eastAsia"/>
          <w:color w:val="auto"/>
          <w:highlight w:val="none"/>
          <w:lang w:val="en-US" w:eastAsia="zh-CN"/>
        </w:rPr>
        <w:t>400</w:t>
      </w:r>
      <w:r>
        <w:rPr>
          <w:rFonts w:hint="eastAsia"/>
          <w:color w:val="auto"/>
          <w:highlight w:val="none"/>
        </w:rPr>
        <w:t>万度/a。</w:t>
      </w:r>
    </w:p>
    <w:p w14:paraId="22099C73">
      <w:pPr>
        <w:pStyle w:val="4"/>
        <w:bidi w:val="0"/>
        <w:rPr>
          <w:rFonts w:hint="eastAsia"/>
          <w:color w:val="auto"/>
        </w:rPr>
      </w:pPr>
      <w:bookmarkStart w:id="184" w:name="_Toc30034"/>
      <w:bookmarkStart w:id="185" w:name="_Toc23107"/>
      <w:r>
        <w:rPr>
          <w:rFonts w:hint="eastAsia"/>
          <w:color w:val="auto"/>
        </w:rPr>
        <w:t>贮运</w:t>
      </w:r>
      <w:bookmarkEnd w:id="184"/>
      <w:bookmarkEnd w:id="185"/>
    </w:p>
    <w:p w14:paraId="6AB200E6">
      <w:pPr>
        <w:rPr>
          <w:rFonts w:hint="eastAsia"/>
          <w:color w:val="auto"/>
        </w:rPr>
      </w:pPr>
      <w:r>
        <w:rPr>
          <w:rFonts w:hint="eastAsia"/>
          <w:color w:val="auto"/>
        </w:rPr>
        <w:t>本项目原料主要为</w:t>
      </w:r>
      <w:r>
        <w:rPr>
          <w:rFonts w:hint="eastAsia"/>
          <w:color w:val="auto"/>
          <w:lang w:val="en-US" w:eastAsia="zh-CN"/>
        </w:rPr>
        <w:t>储罐</w:t>
      </w:r>
      <w:r>
        <w:rPr>
          <w:rFonts w:hint="eastAsia"/>
          <w:color w:val="auto"/>
        </w:rPr>
        <w:t>或者桶装贮存，各类物品按规范要求存放，项目有毒有害、易燃易爆、易发生伴生/次生危害等物质均按有关规范分类储存。本项目主要采用汽车公路运输。原料运输外委社会运输单位。危废运出由危废单位自行运输，本公司不负责运输任务。</w:t>
      </w:r>
    </w:p>
    <w:p w14:paraId="0BEAEE90">
      <w:pPr>
        <w:pStyle w:val="4"/>
        <w:bidi w:val="0"/>
        <w:rPr>
          <w:rFonts w:hint="eastAsia"/>
          <w:color w:val="auto"/>
        </w:rPr>
      </w:pPr>
      <w:bookmarkStart w:id="186" w:name="_Toc25974"/>
      <w:bookmarkStart w:id="187" w:name="_Toc19457"/>
      <w:r>
        <w:rPr>
          <w:rFonts w:hint="eastAsia"/>
          <w:color w:val="auto"/>
        </w:rPr>
        <w:t>供气</w:t>
      </w:r>
      <w:bookmarkEnd w:id="186"/>
      <w:bookmarkEnd w:id="187"/>
    </w:p>
    <w:p w14:paraId="6B9F4339">
      <w:pPr>
        <w:rPr>
          <w:rFonts w:hint="eastAsia" w:ascii="Times New Roman" w:hAnsi="Times New Roman"/>
          <w:color w:val="auto"/>
        </w:rPr>
      </w:pPr>
      <w:r>
        <w:rPr>
          <w:rFonts w:hint="eastAsia" w:ascii="Times New Roman" w:hAnsi="Times New Roman"/>
          <w:color w:val="auto"/>
          <w:highlight w:val="none"/>
        </w:rPr>
        <w:t>新增</w:t>
      </w:r>
      <w:r>
        <w:rPr>
          <w:rFonts w:hint="eastAsia" w:ascii="Times New Roman" w:hAnsi="Times New Roman"/>
          <w:color w:val="auto"/>
          <w:highlight w:val="none"/>
          <w:lang w:val="en-US" w:eastAsia="zh-CN"/>
        </w:rPr>
        <w:t>3</w:t>
      </w:r>
      <w:r>
        <w:rPr>
          <w:rFonts w:hint="eastAsia" w:ascii="Times New Roman" w:hAnsi="Times New Roman"/>
          <w:color w:val="auto"/>
          <w:highlight w:val="none"/>
        </w:rPr>
        <w:t xml:space="preserve">套 </w:t>
      </w:r>
      <w:r>
        <w:rPr>
          <w:rFonts w:hint="eastAsia" w:ascii="Times New Roman" w:hAnsi="Times New Roman"/>
          <w:color w:val="auto"/>
          <w:highlight w:val="none"/>
          <w:lang w:val="en-US" w:eastAsia="zh-CN"/>
        </w:rPr>
        <w:t>27</w:t>
      </w:r>
      <w:r>
        <w:rPr>
          <w:rFonts w:hint="eastAsia" w:ascii="Times New Roman" w:hAnsi="Times New Roman"/>
          <w:color w:val="auto"/>
          <w:highlight w:val="none"/>
        </w:rPr>
        <w:t>00Nm</w:t>
      </w:r>
      <w:r>
        <w:rPr>
          <w:rFonts w:hint="eastAsia" w:ascii="Times New Roman" w:hAnsi="Times New Roman"/>
          <w:color w:val="auto"/>
          <w:highlight w:val="none"/>
          <w:vertAlign w:val="superscript"/>
        </w:rPr>
        <w:t>3</w:t>
      </w:r>
      <w:r>
        <w:rPr>
          <w:rFonts w:hint="eastAsia" w:ascii="Times New Roman" w:hAnsi="Times New Roman"/>
          <w:color w:val="auto"/>
          <w:highlight w:val="none"/>
        </w:rPr>
        <w:t>/h 无油螺杆式空气压缩机组</w:t>
      </w:r>
      <w:r>
        <w:rPr>
          <w:rFonts w:hint="eastAsia" w:ascii="Times New Roman" w:hAnsi="Times New Roman"/>
          <w:color w:val="auto"/>
        </w:rPr>
        <w:t>，通过管道输送至用气工段。</w:t>
      </w:r>
    </w:p>
    <w:p w14:paraId="22A038C3">
      <w:pPr>
        <w:pStyle w:val="26"/>
        <w:rPr>
          <w:rFonts w:hint="eastAsia"/>
        </w:rPr>
      </w:pPr>
    </w:p>
    <w:p w14:paraId="23D24B1B">
      <w:pPr>
        <w:pStyle w:val="4"/>
        <w:bidi w:val="0"/>
        <w:rPr>
          <w:rFonts w:hint="eastAsia"/>
          <w:color w:val="auto"/>
        </w:rPr>
      </w:pPr>
      <w:bookmarkStart w:id="188" w:name="_Toc3263"/>
      <w:bookmarkStart w:id="189" w:name="_Toc2368"/>
      <w:r>
        <w:rPr>
          <w:rFonts w:hint="eastAsia"/>
          <w:color w:val="auto"/>
        </w:rPr>
        <w:t>循环水系统</w:t>
      </w:r>
      <w:bookmarkEnd w:id="188"/>
      <w:bookmarkEnd w:id="189"/>
    </w:p>
    <w:p w14:paraId="45A7199A">
      <w:pPr>
        <w:rPr>
          <w:rFonts w:hint="eastAsia"/>
          <w:color w:val="auto"/>
        </w:rPr>
      </w:pPr>
      <w:r>
        <w:rPr>
          <w:rFonts w:hint="eastAsia"/>
          <w:color w:val="auto"/>
        </w:rPr>
        <w:t>本次</w:t>
      </w:r>
      <w:r>
        <w:rPr>
          <w:rFonts w:hint="eastAsia"/>
          <w:color w:val="auto"/>
          <w:lang w:val="en-US" w:eastAsia="zh-CN"/>
        </w:rPr>
        <w:t>本项目新增3座循环冷却塔，循环冷却能力33</w:t>
      </w:r>
      <w:r>
        <w:rPr>
          <w:rFonts w:hint="eastAsia"/>
          <w:color w:val="auto"/>
          <w:lang w:eastAsia="zh-CN"/>
        </w:rPr>
        <w:t>m</w:t>
      </w:r>
      <w:r>
        <w:rPr>
          <w:rFonts w:hint="eastAsia"/>
          <w:color w:val="auto"/>
          <w:vertAlign w:val="superscript"/>
          <w:lang w:eastAsia="zh-CN"/>
        </w:rPr>
        <w:t>3</w:t>
      </w:r>
      <w:r>
        <w:rPr>
          <w:rFonts w:hint="eastAsia"/>
          <w:color w:val="auto"/>
        </w:rPr>
        <w:t>/h；全厂循环冷却</w:t>
      </w:r>
      <w:r>
        <w:rPr>
          <w:rFonts w:hint="eastAsia"/>
          <w:color w:val="auto"/>
          <w:lang w:val="en-US" w:eastAsia="zh-CN"/>
        </w:rPr>
        <w:t>能力为99</w:t>
      </w:r>
      <w:r>
        <w:rPr>
          <w:rFonts w:hint="eastAsia" w:eastAsia="宋体"/>
          <w:color w:val="auto"/>
          <w:lang w:eastAsia="zh-CN"/>
        </w:rPr>
        <w:t>m</w:t>
      </w:r>
      <w:r>
        <w:rPr>
          <w:rFonts w:hint="eastAsia" w:eastAsia="宋体"/>
          <w:color w:val="auto"/>
          <w:vertAlign w:val="superscript"/>
          <w:lang w:eastAsia="zh-CN"/>
        </w:rPr>
        <w:t>3</w:t>
      </w:r>
      <w:r>
        <w:rPr>
          <w:rFonts w:hint="eastAsia"/>
          <w:color w:val="auto"/>
        </w:rPr>
        <w:t>/h。</w:t>
      </w:r>
    </w:p>
    <w:p w14:paraId="20F0EC0F">
      <w:pPr>
        <w:pStyle w:val="3"/>
        <w:bidi w:val="0"/>
        <w:rPr>
          <w:rFonts w:hint="eastAsia"/>
          <w:color w:val="auto"/>
        </w:rPr>
      </w:pPr>
      <w:bookmarkStart w:id="190" w:name="_Toc24694"/>
      <w:bookmarkStart w:id="191" w:name="_Toc2509"/>
      <w:r>
        <w:rPr>
          <w:rFonts w:hint="eastAsia"/>
          <w:color w:val="auto"/>
        </w:rPr>
        <w:t>本项目污染源分析</w:t>
      </w:r>
      <w:bookmarkEnd w:id="190"/>
      <w:bookmarkEnd w:id="191"/>
    </w:p>
    <w:p w14:paraId="75BAAC60">
      <w:pPr>
        <w:pStyle w:val="4"/>
        <w:rPr>
          <w:color w:val="auto"/>
        </w:rPr>
      </w:pPr>
      <w:bookmarkStart w:id="192" w:name="_Toc13962"/>
      <w:bookmarkStart w:id="193" w:name="_Toc20543"/>
      <w:r>
        <w:rPr>
          <w:rFonts w:hint="eastAsia"/>
          <w:color w:val="auto"/>
        </w:rPr>
        <w:t>废水污染源分析</w:t>
      </w:r>
      <w:bookmarkEnd w:id="192"/>
      <w:bookmarkEnd w:id="193"/>
    </w:p>
    <w:p w14:paraId="6D8812DB">
      <w:pPr>
        <w:rPr>
          <w:rFonts w:hint="eastAsia"/>
          <w:color w:val="auto"/>
          <w:lang w:eastAsia="zh-CN"/>
        </w:rPr>
      </w:pPr>
      <w:r>
        <w:rPr>
          <w:rFonts w:hint="eastAsia"/>
          <w:color w:val="auto"/>
        </w:rPr>
        <w:t>根据本项目给水及排水分析，本项目污水产生总量为</w:t>
      </w:r>
      <w:r>
        <w:rPr>
          <w:rFonts w:hint="eastAsia"/>
          <w:color w:val="auto"/>
          <w:lang w:val="en-US" w:eastAsia="zh-CN"/>
        </w:rPr>
        <w:t>63752.5</w:t>
      </w:r>
      <w:r>
        <w:rPr>
          <w:rFonts w:hint="eastAsia"/>
          <w:color w:val="auto"/>
        </w:rPr>
        <w:t>t/a</w:t>
      </w:r>
      <w:r>
        <w:rPr>
          <w:rFonts w:hint="eastAsia"/>
          <w:color w:val="auto"/>
          <w:lang w:eastAsia="zh-CN"/>
        </w:rPr>
        <w:t>。</w:t>
      </w:r>
      <w:r>
        <w:rPr>
          <w:rFonts w:hint="eastAsia"/>
          <w:color w:val="auto"/>
          <w:lang w:val="en-US" w:eastAsia="zh-CN"/>
        </w:rPr>
        <w:t>本项目生产过程中含铜废水、含铬废水、综合废水经预处理后，进入MVR 装置蒸发处理，冷凝水经纯水制备系统处理后全部回用。生产废水不外排。纯水制备产生的浓水进污水处理站经处理后回用于生产。生活污水经市政污水管网进入昆山建邦环境投资有限公司花桥污水处理厂</w:t>
      </w:r>
      <w:r>
        <w:rPr>
          <w:rFonts w:hint="eastAsia"/>
          <w:color w:val="auto"/>
        </w:rPr>
        <w:t>。</w:t>
      </w:r>
    </w:p>
    <w:p w14:paraId="6D5B18B2">
      <w:pPr>
        <w:rPr>
          <w:color w:val="auto"/>
        </w:rPr>
      </w:pPr>
      <w:r>
        <w:rPr>
          <w:rFonts w:hint="eastAsia"/>
          <w:color w:val="auto"/>
          <w:lang w:val="en-US" w:eastAsia="zh-CN"/>
        </w:rPr>
        <w:t>类比现有项目</w:t>
      </w:r>
      <w:r>
        <w:rPr>
          <w:rFonts w:hint="eastAsia"/>
          <w:color w:val="auto"/>
        </w:rPr>
        <w:t>的废水源强，</w:t>
      </w:r>
      <w:r>
        <w:rPr>
          <w:rFonts w:hint="eastAsia"/>
          <w:color w:val="auto"/>
          <w:lang w:val="en-US" w:eastAsia="zh-CN"/>
        </w:rPr>
        <w:t>本</w:t>
      </w:r>
      <w:r>
        <w:rPr>
          <w:rFonts w:hint="eastAsia"/>
          <w:color w:val="auto"/>
        </w:rPr>
        <w:t>项目废水产生及排放情况详见下表。</w:t>
      </w:r>
    </w:p>
    <w:p w14:paraId="0234D4C3">
      <w:pPr>
        <w:pStyle w:val="25"/>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4.5</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r>
        <w:rPr>
          <w:color w:val="auto"/>
          <w:lang w:val="en-US" w:eastAsia="zh-CN"/>
        </w:rPr>
        <w:t>本项目废水产生源强</w:t>
      </w:r>
    </w:p>
    <w:tbl>
      <w:tblPr>
        <w:tblStyle w:val="21"/>
        <w:tblW w:w="52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57"/>
        <w:gridCol w:w="1367"/>
        <w:gridCol w:w="1830"/>
        <w:gridCol w:w="1271"/>
        <w:gridCol w:w="1332"/>
        <w:gridCol w:w="1847"/>
      </w:tblGrid>
      <w:tr w14:paraId="4AE0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392" w:type="pct"/>
            <w:gridSpan w:val="2"/>
            <w:noWrap/>
            <w:tcMar>
              <w:left w:w="0" w:type="dxa"/>
              <w:right w:w="0" w:type="dxa"/>
            </w:tcMar>
            <w:vAlign w:val="center"/>
          </w:tcPr>
          <w:p w14:paraId="1310FDE3">
            <w:pPr>
              <w:pStyle w:val="36"/>
              <w:bidi w:val="0"/>
              <w:rPr>
                <w:color w:val="auto"/>
              </w:rPr>
            </w:pPr>
            <w:r>
              <w:rPr>
                <w:color w:val="auto"/>
              </w:rPr>
              <w:t>废水类型</w:t>
            </w:r>
          </w:p>
        </w:tc>
        <w:tc>
          <w:tcPr>
            <w:tcW w:w="1051" w:type="pct"/>
            <w:tcMar>
              <w:left w:w="0" w:type="dxa"/>
              <w:right w:w="0" w:type="dxa"/>
            </w:tcMar>
            <w:vAlign w:val="center"/>
          </w:tcPr>
          <w:p w14:paraId="0DE89B40">
            <w:pPr>
              <w:pStyle w:val="36"/>
              <w:bidi w:val="0"/>
              <w:rPr>
                <w:color w:val="auto"/>
              </w:rPr>
            </w:pPr>
            <w:r>
              <w:rPr>
                <w:color w:val="auto"/>
              </w:rPr>
              <w:t>污染物</w:t>
            </w:r>
          </w:p>
        </w:tc>
        <w:tc>
          <w:tcPr>
            <w:tcW w:w="730" w:type="pct"/>
            <w:tcMar>
              <w:left w:w="0" w:type="dxa"/>
              <w:right w:w="0" w:type="dxa"/>
            </w:tcMar>
            <w:vAlign w:val="center"/>
          </w:tcPr>
          <w:p w14:paraId="2F98990D">
            <w:pPr>
              <w:pStyle w:val="36"/>
              <w:bidi w:val="0"/>
              <w:rPr>
                <w:color w:val="auto"/>
              </w:rPr>
            </w:pPr>
            <w:r>
              <w:rPr>
                <w:color w:val="auto"/>
              </w:rPr>
              <w:t>产生浓度（mg/L）</w:t>
            </w:r>
          </w:p>
        </w:tc>
        <w:tc>
          <w:tcPr>
            <w:tcW w:w="765" w:type="pct"/>
            <w:tcMar>
              <w:left w:w="0" w:type="dxa"/>
              <w:right w:w="0" w:type="dxa"/>
            </w:tcMar>
            <w:vAlign w:val="center"/>
          </w:tcPr>
          <w:p w14:paraId="0C346769">
            <w:pPr>
              <w:pStyle w:val="36"/>
              <w:bidi w:val="0"/>
              <w:rPr>
                <w:color w:val="auto"/>
              </w:rPr>
            </w:pPr>
            <w:r>
              <w:rPr>
                <w:color w:val="auto"/>
              </w:rPr>
              <w:t>产生量（t/a）</w:t>
            </w:r>
          </w:p>
        </w:tc>
        <w:tc>
          <w:tcPr>
            <w:tcW w:w="1060" w:type="pct"/>
            <w:tcMar>
              <w:left w:w="0" w:type="dxa"/>
              <w:right w:w="0" w:type="dxa"/>
            </w:tcMar>
            <w:vAlign w:val="center"/>
          </w:tcPr>
          <w:p w14:paraId="516FD8E5">
            <w:pPr>
              <w:pStyle w:val="36"/>
              <w:bidi w:val="0"/>
              <w:rPr>
                <w:color w:val="auto"/>
              </w:rPr>
            </w:pPr>
            <w:r>
              <w:rPr>
                <w:color w:val="auto"/>
              </w:rPr>
              <w:t>预处理方式</w:t>
            </w:r>
          </w:p>
        </w:tc>
      </w:tr>
      <w:tr w14:paraId="17C7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jc w:val="center"/>
        </w:trPr>
        <w:tc>
          <w:tcPr>
            <w:tcW w:w="607" w:type="pct"/>
            <w:vMerge w:val="restart"/>
            <w:noWrap/>
            <w:tcMar>
              <w:left w:w="0" w:type="dxa"/>
              <w:right w:w="0" w:type="dxa"/>
            </w:tcMar>
            <w:vAlign w:val="center"/>
          </w:tcPr>
          <w:p w14:paraId="2A5C133B">
            <w:pPr>
              <w:pStyle w:val="26"/>
              <w:bidi w:val="0"/>
              <w:rPr>
                <w:color w:val="auto"/>
              </w:rPr>
            </w:pPr>
            <w:r>
              <w:rPr>
                <w:rFonts w:hint="eastAsia"/>
                <w:color w:val="auto"/>
                <w:lang w:val="en-US" w:eastAsia="zh-CN"/>
              </w:rPr>
              <w:t>生产</w:t>
            </w:r>
            <w:r>
              <w:rPr>
                <w:color w:val="auto"/>
              </w:rPr>
              <w:t>废水</w:t>
            </w:r>
          </w:p>
        </w:tc>
        <w:tc>
          <w:tcPr>
            <w:tcW w:w="785" w:type="pct"/>
            <w:vMerge w:val="restart"/>
            <w:tcMar>
              <w:left w:w="0" w:type="dxa"/>
              <w:right w:w="0" w:type="dxa"/>
            </w:tcMar>
            <w:vAlign w:val="center"/>
          </w:tcPr>
          <w:p w14:paraId="295A840B">
            <w:pPr>
              <w:pStyle w:val="26"/>
              <w:bidi w:val="0"/>
              <w:rPr>
                <w:rFonts w:hint="default"/>
                <w:color w:val="auto"/>
                <w:lang w:val="en-US" w:eastAsia="zh-CN"/>
              </w:rPr>
            </w:pPr>
            <w:r>
              <w:rPr>
                <w:rFonts w:hint="eastAsia"/>
                <w:color w:val="auto"/>
                <w:lang w:val="en-US" w:eastAsia="zh-CN"/>
              </w:rPr>
              <w:t>含铜废水</w:t>
            </w:r>
          </w:p>
        </w:tc>
        <w:tc>
          <w:tcPr>
            <w:tcW w:w="1051" w:type="pct"/>
            <w:noWrap/>
            <w:tcMar>
              <w:left w:w="0" w:type="dxa"/>
              <w:right w:w="0" w:type="dxa"/>
            </w:tcMar>
            <w:vAlign w:val="center"/>
          </w:tcPr>
          <w:p w14:paraId="10886A06">
            <w:pPr>
              <w:pStyle w:val="26"/>
              <w:bidi w:val="0"/>
              <w:rPr>
                <w:rFonts w:hint="default"/>
                <w:color w:val="auto"/>
                <w:lang w:val="en-US" w:eastAsia="zh-CN"/>
              </w:rPr>
            </w:pPr>
            <w:r>
              <w:rPr>
                <w:rFonts w:hint="eastAsia"/>
                <w:color w:val="auto"/>
                <w:lang w:val="en-US" w:eastAsia="zh-CN"/>
              </w:rPr>
              <w:t>废水量</w:t>
            </w:r>
          </w:p>
        </w:tc>
        <w:tc>
          <w:tcPr>
            <w:tcW w:w="730" w:type="pct"/>
            <w:noWrap/>
            <w:tcMar>
              <w:left w:w="0" w:type="dxa"/>
              <w:right w:w="0" w:type="dxa"/>
            </w:tcMar>
            <w:vAlign w:val="center"/>
          </w:tcPr>
          <w:p w14:paraId="5C581B5B">
            <w:pPr>
              <w:pStyle w:val="26"/>
              <w:bidi w:val="0"/>
              <w:rPr>
                <w:rFonts w:hint="default"/>
                <w:color w:val="auto"/>
                <w:lang w:val="en-US" w:eastAsia="zh-CN"/>
              </w:rPr>
            </w:pPr>
            <w:r>
              <w:rPr>
                <w:rFonts w:hint="default"/>
                <w:color w:val="auto"/>
                <w:lang w:val="en-US" w:eastAsia="zh-CN"/>
              </w:rPr>
              <w:t>/</w:t>
            </w:r>
          </w:p>
        </w:tc>
        <w:tc>
          <w:tcPr>
            <w:tcW w:w="1332" w:type="dxa"/>
            <w:noWrap/>
            <w:tcMar>
              <w:left w:w="0" w:type="dxa"/>
              <w:right w:w="0" w:type="dxa"/>
            </w:tcMar>
            <w:vAlign w:val="center"/>
          </w:tcPr>
          <w:p w14:paraId="3B1E4E39">
            <w:pPr>
              <w:pStyle w:val="26"/>
              <w:bidi w:val="0"/>
              <w:rPr>
                <w:rFonts w:hint="default"/>
                <w:lang w:val="en-US" w:eastAsia="zh-CN"/>
              </w:rPr>
            </w:pPr>
            <w:r>
              <w:rPr>
                <w:rFonts w:hint="default"/>
                <w:lang w:val="en-US" w:eastAsia="zh-CN"/>
              </w:rPr>
              <w:t>11858.4</w:t>
            </w:r>
          </w:p>
        </w:tc>
        <w:tc>
          <w:tcPr>
            <w:tcW w:w="1060" w:type="pct"/>
            <w:vMerge w:val="restart"/>
            <w:tcMar>
              <w:left w:w="0" w:type="dxa"/>
              <w:right w:w="0" w:type="dxa"/>
            </w:tcMar>
            <w:vAlign w:val="center"/>
          </w:tcPr>
          <w:p w14:paraId="13940913">
            <w:pPr>
              <w:pStyle w:val="26"/>
              <w:bidi w:val="0"/>
              <w:rPr>
                <w:color w:val="auto"/>
              </w:rPr>
            </w:pPr>
            <w:r>
              <w:rPr>
                <w:rFonts w:hint="eastAsia"/>
                <w:color w:val="auto"/>
                <w:lang w:val="en-US" w:eastAsia="zh-CN"/>
              </w:rPr>
              <w:t>进入含铜废水预处理设施处理后，进入MVR 装置蒸发处理，冷凝水经纯水制备系统处理后全部回用，不外排。</w:t>
            </w:r>
          </w:p>
        </w:tc>
      </w:tr>
      <w:tr w14:paraId="45F9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607" w:type="pct"/>
            <w:vMerge w:val="continue"/>
            <w:tcMar>
              <w:left w:w="0" w:type="dxa"/>
              <w:right w:w="0" w:type="dxa"/>
            </w:tcMar>
            <w:vAlign w:val="center"/>
          </w:tcPr>
          <w:p w14:paraId="65E01D60">
            <w:pPr>
              <w:pStyle w:val="26"/>
              <w:bidi w:val="0"/>
              <w:rPr>
                <w:color w:val="auto"/>
              </w:rPr>
            </w:pPr>
          </w:p>
        </w:tc>
        <w:tc>
          <w:tcPr>
            <w:tcW w:w="785" w:type="pct"/>
            <w:vMerge w:val="continue"/>
            <w:tcMar>
              <w:left w:w="0" w:type="dxa"/>
              <w:right w:w="0" w:type="dxa"/>
            </w:tcMar>
            <w:vAlign w:val="center"/>
          </w:tcPr>
          <w:p w14:paraId="61D3E3E9">
            <w:pPr>
              <w:pStyle w:val="26"/>
              <w:bidi w:val="0"/>
              <w:rPr>
                <w:color w:val="auto"/>
              </w:rPr>
            </w:pPr>
          </w:p>
        </w:tc>
        <w:tc>
          <w:tcPr>
            <w:tcW w:w="1051" w:type="pct"/>
            <w:noWrap/>
            <w:tcMar>
              <w:left w:w="0" w:type="dxa"/>
              <w:right w:w="0" w:type="dxa"/>
            </w:tcMar>
            <w:vAlign w:val="center"/>
          </w:tcPr>
          <w:p w14:paraId="18DB3B09">
            <w:pPr>
              <w:pStyle w:val="26"/>
              <w:bidi w:val="0"/>
              <w:rPr>
                <w:rFonts w:hint="default"/>
                <w:color w:val="auto"/>
                <w:lang w:val="en-US" w:eastAsia="zh-CN"/>
              </w:rPr>
            </w:pPr>
            <w:r>
              <w:rPr>
                <w:rFonts w:hint="default"/>
                <w:color w:val="auto"/>
                <w:lang w:val="en-US" w:eastAsia="zh-CN"/>
              </w:rPr>
              <w:t>pH</w:t>
            </w:r>
          </w:p>
        </w:tc>
        <w:tc>
          <w:tcPr>
            <w:tcW w:w="730" w:type="pct"/>
            <w:noWrap/>
            <w:tcMar>
              <w:left w:w="0" w:type="dxa"/>
              <w:right w:w="0" w:type="dxa"/>
            </w:tcMar>
            <w:vAlign w:val="center"/>
          </w:tcPr>
          <w:p w14:paraId="2D74967F">
            <w:pPr>
              <w:pStyle w:val="26"/>
              <w:bidi w:val="0"/>
              <w:rPr>
                <w:rFonts w:hint="default"/>
                <w:color w:val="auto"/>
                <w:lang w:val="en-US" w:eastAsia="zh-CN"/>
              </w:rPr>
            </w:pPr>
            <w:r>
              <w:rPr>
                <w:rFonts w:hint="eastAsia"/>
                <w:color w:val="auto"/>
                <w:lang w:val="en-US" w:eastAsia="zh-CN"/>
              </w:rPr>
              <w:t>2</w:t>
            </w:r>
            <w:r>
              <w:rPr>
                <w:rFonts w:hint="default"/>
                <w:color w:val="auto"/>
                <w:lang w:val="en-US" w:eastAsia="zh-CN"/>
              </w:rPr>
              <w:t>~</w:t>
            </w:r>
            <w:r>
              <w:rPr>
                <w:rFonts w:hint="eastAsia"/>
                <w:color w:val="auto"/>
                <w:lang w:val="en-US" w:eastAsia="zh-CN"/>
              </w:rPr>
              <w:t>5</w:t>
            </w:r>
          </w:p>
        </w:tc>
        <w:tc>
          <w:tcPr>
            <w:tcW w:w="1332" w:type="dxa"/>
            <w:noWrap/>
            <w:tcMar>
              <w:left w:w="0" w:type="dxa"/>
              <w:right w:w="0" w:type="dxa"/>
            </w:tcMar>
            <w:vAlign w:val="center"/>
          </w:tcPr>
          <w:p w14:paraId="6CBE51E3">
            <w:pPr>
              <w:pStyle w:val="26"/>
              <w:bidi w:val="0"/>
              <w:rPr>
                <w:rFonts w:hint="default"/>
                <w:lang w:val="en-US" w:eastAsia="zh-CN"/>
              </w:rPr>
            </w:pPr>
            <w:r>
              <w:rPr>
                <w:rFonts w:hint="default"/>
                <w:lang w:val="en-US" w:eastAsia="zh-CN"/>
              </w:rPr>
              <w:t>/</w:t>
            </w:r>
          </w:p>
        </w:tc>
        <w:tc>
          <w:tcPr>
            <w:tcW w:w="1060" w:type="pct"/>
            <w:vMerge w:val="continue"/>
            <w:tcMar>
              <w:left w:w="0" w:type="dxa"/>
              <w:right w:w="0" w:type="dxa"/>
            </w:tcMar>
            <w:vAlign w:val="center"/>
          </w:tcPr>
          <w:p w14:paraId="5C5863CE">
            <w:pPr>
              <w:pStyle w:val="26"/>
              <w:bidi w:val="0"/>
              <w:rPr>
                <w:color w:val="auto"/>
              </w:rPr>
            </w:pPr>
          </w:p>
        </w:tc>
      </w:tr>
      <w:tr w14:paraId="5602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17E9451B">
            <w:pPr>
              <w:pStyle w:val="26"/>
              <w:bidi w:val="0"/>
              <w:rPr>
                <w:color w:val="auto"/>
              </w:rPr>
            </w:pPr>
          </w:p>
        </w:tc>
        <w:tc>
          <w:tcPr>
            <w:tcW w:w="785" w:type="pct"/>
            <w:vMerge w:val="continue"/>
            <w:tcMar>
              <w:left w:w="0" w:type="dxa"/>
              <w:right w:w="0" w:type="dxa"/>
            </w:tcMar>
            <w:vAlign w:val="center"/>
          </w:tcPr>
          <w:p w14:paraId="6B0CEA35">
            <w:pPr>
              <w:pStyle w:val="26"/>
              <w:bidi w:val="0"/>
              <w:rPr>
                <w:color w:val="auto"/>
              </w:rPr>
            </w:pPr>
          </w:p>
        </w:tc>
        <w:tc>
          <w:tcPr>
            <w:tcW w:w="1051" w:type="pct"/>
            <w:noWrap/>
            <w:tcMar>
              <w:left w:w="0" w:type="dxa"/>
              <w:right w:w="0" w:type="dxa"/>
            </w:tcMar>
            <w:vAlign w:val="center"/>
          </w:tcPr>
          <w:p w14:paraId="6981E571">
            <w:pPr>
              <w:pStyle w:val="26"/>
              <w:bidi w:val="0"/>
              <w:rPr>
                <w:rFonts w:hint="default"/>
                <w:color w:val="auto"/>
                <w:lang w:val="en-US" w:eastAsia="zh-CN"/>
              </w:rPr>
            </w:pPr>
            <w:r>
              <w:rPr>
                <w:rFonts w:hint="default"/>
                <w:color w:val="auto"/>
                <w:lang w:val="en-US" w:eastAsia="zh-CN"/>
              </w:rPr>
              <w:t>COD</w:t>
            </w:r>
          </w:p>
        </w:tc>
        <w:tc>
          <w:tcPr>
            <w:tcW w:w="730" w:type="pct"/>
            <w:noWrap/>
            <w:tcMar>
              <w:left w:w="0" w:type="dxa"/>
              <w:right w:w="0" w:type="dxa"/>
            </w:tcMar>
            <w:vAlign w:val="center"/>
          </w:tcPr>
          <w:p w14:paraId="374C195C">
            <w:pPr>
              <w:pStyle w:val="26"/>
              <w:bidi w:val="0"/>
              <w:rPr>
                <w:rFonts w:hint="default"/>
                <w:color w:val="auto"/>
                <w:lang w:val="en-US" w:eastAsia="zh-CN"/>
              </w:rPr>
            </w:pPr>
            <w:r>
              <w:rPr>
                <w:rFonts w:hint="eastAsia"/>
                <w:color w:val="auto"/>
                <w:lang w:val="en-US" w:eastAsia="zh-CN"/>
              </w:rPr>
              <w:t>1300</w:t>
            </w:r>
          </w:p>
        </w:tc>
        <w:tc>
          <w:tcPr>
            <w:tcW w:w="1332" w:type="dxa"/>
            <w:noWrap/>
            <w:tcMar>
              <w:left w:w="0" w:type="dxa"/>
              <w:right w:w="0" w:type="dxa"/>
            </w:tcMar>
            <w:vAlign w:val="center"/>
          </w:tcPr>
          <w:p w14:paraId="7D75BB2E">
            <w:pPr>
              <w:pStyle w:val="26"/>
              <w:bidi w:val="0"/>
              <w:rPr>
                <w:rFonts w:hint="default"/>
                <w:lang w:val="en-US" w:eastAsia="zh-CN"/>
              </w:rPr>
            </w:pPr>
            <w:r>
              <w:rPr>
                <w:rFonts w:hint="default"/>
                <w:lang w:val="en-US" w:eastAsia="zh-CN"/>
              </w:rPr>
              <w:t xml:space="preserve">15.4159 </w:t>
            </w:r>
          </w:p>
        </w:tc>
        <w:tc>
          <w:tcPr>
            <w:tcW w:w="1060" w:type="pct"/>
            <w:vMerge w:val="continue"/>
            <w:tcMar>
              <w:left w:w="0" w:type="dxa"/>
              <w:right w:w="0" w:type="dxa"/>
            </w:tcMar>
            <w:vAlign w:val="center"/>
          </w:tcPr>
          <w:p w14:paraId="289ACEF8">
            <w:pPr>
              <w:pStyle w:val="26"/>
              <w:bidi w:val="0"/>
              <w:rPr>
                <w:color w:val="auto"/>
              </w:rPr>
            </w:pPr>
          </w:p>
        </w:tc>
      </w:tr>
      <w:tr w14:paraId="04B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0E3BF61A">
            <w:pPr>
              <w:pStyle w:val="26"/>
              <w:bidi w:val="0"/>
              <w:rPr>
                <w:color w:val="auto"/>
              </w:rPr>
            </w:pPr>
          </w:p>
        </w:tc>
        <w:tc>
          <w:tcPr>
            <w:tcW w:w="785" w:type="pct"/>
            <w:vMerge w:val="continue"/>
            <w:tcMar>
              <w:left w:w="0" w:type="dxa"/>
              <w:right w:w="0" w:type="dxa"/>
            </w:tcMar>
            <w:vAlign w:val="center"/>
          </w:tcPr>
          <w:p w14:paraId="54D35562">
            <w:pPr>
              <w:pStyle w:val="26"/>
              <w:bidi w:val="0"/>
              <w:rPr>
                <w:color w:val="auto"/>
              </w:rPr>
            </w:pPr>
          </w:p>
        </w:tc>
        <w:tc>
          <w:tcPr>
            <w:tcW w:w="1051" w:type="pct"/>
            <w:shd w:val="clear" w:color="auto" w:fill="auto"/>
            <w:noWrap/>
            <w:tcMar>
              <w:left w:w="0" w:type="dxa"/>
              <w:right w:w="0" w:type="dxa"/>
            </w:tcMar>
            <w:vAlign w:val="center"/>
          </w:tcPr>
          <w:p w14:paraId="20B6010E">
            <w:pPr>
              <w:pStyle w:val="26"/>
              <w:bidi w:val="0"/>
              <w:rPr>
                <w:rFonts w:hint="default" w:ascii="Times New Roman" w:hAnsi="Times New Roman" w:eastAsia="仿宋_GB2312" w:cs="Times New Roman"/>
                <w:color w:val="auto"/>
                <w:kern w:val="2"/>
                <w:sz w:val="21"/>
                <w:szCs w:val="22"/>
                <w:lang w:val="en-US" w:eastAsia="zh-CN" w:bidi="ar-SA"/>
              </w:rPr>
            </w:pPr>
            <w:r>
              <w:rPr>
                <w:rFonts w:hint="default"/>
                <w:color w:val="auto"/>
                <w:lang w:val="en-US" w:eastAsia="zh-CN"/>
              </w:rPr>
              <w:t>SS</w:t>
            </w:r>
          </w:p>
        </w:tc>
        <w:tc>
          <w:tcPr>
            <w:tcW w:w="730" w:type="pct"/>
            <w:shd w:val="clear" w:color="auto" w:fill="auto"/>
            <w:noWrap/>
            <w:tcMar>
              <w:left w:w="0" w:type="dxa"/>
              <w:right w:w="0" w:type="dxa"/>
            </w:tcMar>
            <w:vAlign w:val="center"/>
          </w:tcPr>
          <w:p w14:paraId="14847A0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150</w:t>
            </w:r>
          </w:p>
        </w:tc>
        <w:tc>
          <w:tcPr>
            <w:tcW w:w="1332" w:type="dxa"/>
            <w:shd w:val="clear" w:color="auto" w:fill="auto"/>
            <w:noWrap/>
            <w:tcMar>
              <w:left w:w="0" w:type="dxa"/>
              <w:right w:w="0" w:type="dxa"/>
            </w:tcMar>
            <w:vAlign w:val="center"/>
          </w:tcPr>
          <w:p w14:paraId="0ED9221D">
            <w:pPr>
              <w:pStyle w:val="26"/>
              <w:bidi w:val="0"/>
              <w:rPr>
                <w:rFonts w:hint="default"/>
                <w:lang w:val="en-US" w:eastAsia="zh-CN"/>
              </w:rPr>
            </w:pPr>
            <w:r>
              <w:rPr>
                <w:rFonts w:hint="default"/>
                <w:lang w:val="en-US" w:eastAsia="zh-CN"/>
              </w:rPr>
              <w:t xml:space="preserve">1.7788 </w:t>
            </w:r>
          </w:p>
        </w:tc>
        <w:tc>
          <w:tcPr>
            <w:tcW w:w="1060" w:type="pct"/>
            <w:vMerge w:val="continue"/>
            <w:tcMar>
              <w:left w:w="0" w:type="dxa"/>
              <w:right w:w="0" w:type="dxa"/>
            </w:tcMar>
            <w:vAlign w:val="center"/>
          </w:tcPr>
          <w:p w14:paraId="08A45B10">
            <w:pPr>
              <w:pStyle w:val="26"/>
              <w:bidi w:val="0"/>
              <w:rPr>
                <w:color w:val="auto"/>
              </w:rPr>
            </w:pPr>
          </w:p>
        </w:tc>
      </w:tr>
      <w:tr w14:paraId="29E8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4CB8B77A">
            <w:pPr>
              <w:pStyle w:val="26"/>
              <w:bidi w:val="0"/>
              <w:rPr>
                <w:color w:val="auto"/>
              </w:rPr>
            </w:pPr>
          </w:p>
        </w:tc>
        <w:tc>
          <w:tcPr>
            <w:tcW w:w="785" w:type="pct"/>
            <w:vMerge w:val="continue"/>
            <w:tcMar>
              <w:left w:w="0" w:type="dxa"/>
              <w:right w:w="0" w:type="dxa"/>
            </w:tcMar>
            <w:vAlign w:val="center"/>
          </w:tcPr>
          <w:p w14:paraId="10E97C77">
            <w:pPr>
              <w:pStyle w:val="26"/>
              <w:bidi w:val="0"/>
              <w:rPr>
                <w:color w:val="auto"/>
              </w:rPr>
            </w:pPr>
          </w:p>
        </w:tc>
        <w:tc>
          <w:tcPr>
            <w:tcW w:w="1051" w:type="pct"/>
            <w:noWrap/>
            <w:tcMar>
              <w:left w:w="0" w:type="dxa"/>
              <w:right w:w="0" w:type="dxa"/>
            </w:tcMar>
            <w:vAlign w:val="center"/>
          </w:tcPr>
          <w:p w14:paraId="61992772">
            <w:pPr>
              <w:pStyle w:val="26"/>
              <w:bidi w:val="0"/>
              <w:rPr>
                <w:rFonts w:hint="default"/>
                <w:color w:val="auto"/>
                <w:lang w:val="en-US" w:eastAsia="zh-CN"/>
              </w:rPr>
            </w:pPr>
            <w:r>
              <w:rPr>
                <w:rFonts w:hint="eastAsia"/>
                <w:color w:val="auto"/>
                <w:lang w:val="en-US" w:eastAsia="zh-CN"/>
              </w:rPr>
              <w:t>总铜</w:t>
            </w:r>
          </w:p>
        </w:tc>
        <w:tc>
          <w:tcPr>
            <w:tcW w:w="730" w:type="pct"/>
            <w:shd w:val="clear" w:color="auto" w:fill="auto"/>
            <w:noWrap/>
            <w:tcMar>
              <w:left w:w="0" w:type="dxa"/>
              <w:right w:w="0" w:type="dxa"/>
            </w:tcMar>
            <w:vAlign w:val="center"/>
          </w:tcPr>
          <w:p w14:paraId="2EE41B92">
            <w:pPr>
              <w:pStyle w:val="26"/>
              <w:bidi w:val="0"/>
              <w:rPr>
                <w:rFonts w:hint="default"/>
                <w:color w:val="000000" w:themeColor="text1"/>
                <w:lang w:val="en-US" w:eastAsia="zh-CN"/>
                <w14:textFill>
                  <w14:solidFill>
                    <w14:schemeClr w14:val="tx1"/>
                  </w14:solidFill>
                </w14:textFill>
              </w:rPr>
            </w:pPr>
            <w:r>
              <w:rPr>
                <w:rFonts w:hint="eastAsia"/>
                <w:lang w:val="en-US" w:eastAsia="zh-CN"/>
              </w:rPr>
              <w:t>700</w:t>
            </w:r>
          </w:p>
        </w:tc>
        <w:tc>
          <w:tcPr>
            <w:tcW w:w="1332" w:type="dxa"/>
            <w:shd w:val="clear" w:color="auto" w:fill="auto"/>
            <w:noWrap/>
            <w:tcMar>
              <w:left w:w="0" w:type="dxa"/>
              <w:right w:w="0" w:type="dxa"/>
            </w:tcMar>
            <w:vAlign w:val="center"/>
          </w:tcPr>
          <w:p w14:paraId="1C70D63C">
            <w:pPr>
              <w:pStyle w:val="26"/>
              <w:bidi w:val="0"/>
              <w:rPr>
                <w:rFonts w:hint="default"/>
                <w:lang w:val="en-US" w:eastAsia="zh-CN"/>
              </w:rPr>
            </w:pPr>
            <w:r>
              <w:rPr>
                <w:rFonts w:hint="default"/>
                <w:lang w:val="en-US" w:eastAsia="zh-CN"/>
              </w:rPr>
              <w:t xml:space="preserve">8.3009 </w:t>
            </w:r>
          </w:p>
        </w:tc>
        <w:tc>
          <w:tcPr>
            <w:tcW w:w="1060" w:type="pct"/>
            <w:vMerge w:val="continue"/>
            <w:tcMar>
              <w:left w:w="0" w:type="dxa"/>
              <w:right w:w="0" w:type="dxa"/>
            </w:tcMar>
            <w:vAlign w:val="center"/>
          </w:tcPr>
          <w:p w14:paraId="04F99FE0">
            <w:pPr>
              <w:pStyle w:val="26"/>
              <w:bidi w:val="0"/>
              <w:rPr>
                <w:color w:val="auto"/>
              </w:rPr>
            </w:pPr>
          </w:p>
        </w:tc>
      </w:tr>
      <w:tr w14:paraId="1FAD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5DE09067">
            <w:pPr>
              <w:pStyle w:val="26"/>
              <w:bidi w:val="0"/>
              <w:rPr>
                <w:color w:val="auto"/>
              </w:rPr>
            </w:pPr>
          </w:p>
        </w:tc>
        <w:tc>
          <w:tcPr>
            <w:tcW w:w="785" w:type="pct"/>
            <w:vMerge w:val="continue"/>
            <w:tcMar>
              <w:left w:w="0" w:type="dxa"/>
              <w:right w:w="0" w:type="dxa"/>
            </w:tcMar>
            <w:vAlign w:val="center"/>
          </w:tcPr>
          <w:p w14:paraId="4D39EBAE">
            <w:pPr>
              <w:pStyle w:val="26"/>
              <w:bidi w:val="0"/>
              <w:rPr>
                <w:color w:val="auto"/>
              </w:rPr>
            </w:pPr>
          </w:p>
        </w:tc>
        <w:tc>
          <w:tcPr>
            <w:tcW w:w="1051" w:type="pct"/>
            <w:noWrap/>
            <w:tcMar>
              <w:left w:w="0" w:type="dxa"/>
              <w:right w:w="0" w:type="dxa"/>
            </w:tcMar>
            <w:vAlign w:val="center"/>
          </w:tcPr>
          <w:p w14:paraId="42134096">
            <w:pPr>
              <w:pStyle w:val="26"/>
              <w:bidi w:val="0"/>
              <w:rPr>
                <w:rFonts w:hint="default"/>
                <w:color w:val="auto"/>
                <w:lang w:val="en-US" w:eastAsia="zh-CN"/>
              </w:rPr>
            </w:pPr>
            <w:r>
              <w:rPr>
                <w:rFonts w:hint="eastAsia"/>
                <w:color w:val="auto"/>
                <w:lang w:val="en-US" w:eastAsia="zh-CN"/>
              </w:rPr>
              <w:t>TP</w:t>
            </w:r>
          </w:p>
        </w:tc>
        <w:tc>
          <w:tcPr>
            <w:tcW w:w="730" w:type="pct"/>
            <w:shd w:val="clear" w:color="auto" w:fill="auto"/>
            <w:noWrap/>
            <w:tcMar>
              <w:left w:w="0" w:type="dxa"/>
              <w:right w:w="0" w:type="dxa"/>
            </w:tcMar>
            <w:vAlign w:val="center"/>
          </w:tcPr>
          <w:p w14:paraId="09A3A36A">
            <w:pPr>
              <w:pStyle w:val="26"/>
              <w:rPr>
                <w:rFonts w:hint="default" w:eastAsia="仿宋_GB2312"/>
                <w:lang w:val="en-US" w:eastAsia="zh-CN"/>
              </w:rPr>
            </w:pPr>
            <w:r>
              <w:rPr>
                <w:rFonts w:hint="eastAsia"/>
                <w:lang w:val="en-US" w:eastAsia="zh-CN"/>
              </w:rPr>
              <w:t>2</w:t>
            </w:r>
          </w:p>
        </w:tc>
        <w:tc>
          <w:tcPr>
            <w:tcW w:w="1332" w:type="dxa"/>
            <w:shd w:val="clear" w:color="auto" w:fill="auto"/>
            <w:noWrap/>
            <w:tcMar>
              <w:left w:w="0" w:type="dxa"/>
              <w:right w:w="0" w:type="dxa"/>
            </w:tcMar>
            <w:vAlign w:val="center"/>
          </w:tcPr>
          <w:p w14:paraId="0CBE92D0">
            <w:pPr>
              <w:pStyle w:val="26"/>
              <w:bidi w:val="0"/>
              <w:rPr>
                <w:rFonts w:hint="default"/>
                <w:lang w:val="en-US" w:eastAsia="zh-CN"/>
              </w:rPr>
            </w:pPr>
            <w:r>
              <w:rPr>
                <w:rFonts w:hint="default"/>
                <w:lang w:val="en-US" w:eastAsia="zh-CN"/>
              </w:rPr>
              <w:t xml:space="preserve">0.0237 </w:t>
            </w:r>
          </w:p>
        </w:tc>
        <w:tc>
          <w:tcPr>
            <w:tcW w:w="1060" w:type="pct"/>
            <w:vMerge w:val="continue"/>
            <w:tcMar>
              <w:left w:w="0" w:type="dxa"/>
              <w:right w:w="0" w:type="dxa"/>
            </w:tcMar>
            <w:vAlign w:val="center"/>
          </w:tcPr>
          <w:p w14:paraId="0612F0D6">
            <w:pPr>
              <w:pStyle w:val="26"/>
              <w:bidi w:val="0"/>
              <w:rPr>
                <w:color w:val="auto"/>
              </w:rPr>
            </w:pPr>
          </w:p>
        </w:tc>
      </w:tr>
      <w:tr w14:paraId="7513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3EC0654A">
            <w:pPr>
              <w:pStyle w:val="26"/>
              <w:bidi w:val="0"/>
              <w:rPr>
                <w:color w:val="auto"/>
              </w:rPr>
            </w:pPr>
          </w:p>
        </w:tc>
        <w:tc>
          <w:tcPr>
            <w:tcW w:w="785" w:type="pct"/>
            <w:vMerge w:val="restart"/>
            <w:tcMar>
              <w:left w:w="0" w:type="dxa"/>
              <w:right w:w="0" w:type="dxa"/>
            </w:tcMar>
            <w:vAlign w:val="center"/>
          </w:tcPr>
          <w:p w14:paraId="7A134B46">
            <w:pPr>
              <w:pStyle w:val="26"/>
              <w:bidi w:val="0"/>
              <w:rPr>
                <w:rFonts w:hint="default"/>
                <w:color w:val="auto"/>
                <w:lang w:val="en-US" w:eastAsia="zh-CN"/>
              </w:rPr>
            </w:pPr>
            <w:r>
              <w:rPr>
                <w:rFonts w:hint="eastAsia"/>
                <w:color w:val="auto"/>
                <w:lang w:val="en-US" w:eastAsia="zh-CN"/>
              </w:rPr>
              <w:t>含铬废水</w:t>
            </w:r>
          </w:p>
        </w:tc>
        <w:tc>
          <w:tcPr>
            <w:tcW w:w="1051" w:type="pct"/>
            <w:noWrap/>
            <w:tcMar>
              <w:left w:w="0" w:type="dxa"/>
              <w:right w:w="0" w:type="dxa"/>
            </w:tcMar>
            <w:vAlign w:val="center"/>
          </w:tcPr>
          <w:p w14:paraId="513BC51A">
            <w:pPr>
              <w:pStyle w:val="26"/>
              <w:bidi w:val="0"/>
              <w:rPr>
                <w:rFonts w:hint="default"/>
                <w:color w:val="auto"/>
                <w:lang w:val="en-US" w:eastAsia="zh-CN"/>
              </w:rPr>
            </w:pPr>
            <w:r>
              <w:rPr>
                <w:rFonts w:hint="eastAsia"/>
                <w:color w:val="auto"/>
                <w:lang w:val="en-US" w:eastAsia="zh-CN"/>
              </w:rPr>
              <w:t>废水量</w:t>
            </w:r>
          </w:p>
        </w:tc>
        <w:tc>
          <w:tcPr>
            <w:tcW w:w="730" w:type="pct"/>
            <w:noWrap/>
            <w:tcMar>
              <w:left w:w="0" w:type="dxa"/>
              <w:right w:w="0" w:type="dxa"/>
            </w:tcMar>
            <w:vAlign w:val="center"/>
          </w:tcPr>
          <w:p w14:paraId="7D054CFC">
            <w:pPr>
              <w:pStyle w:val="26"/>
              <w:bidi w:val="0"/>
              <w:rPr>
                <w:rFonts w:hint="default"/>
                <w:color w:val="auto"/>
                <w:lang w:val="en-US" w:eastAsia="zh-CN"/>
              </w:rPr>
            </w:pPr>
            <w:r>
              <w:rPr>
                <w:rFonts w:hint="default"/>
                <w:color w:val="auto"/>
                <w:lang w:val="en-US" w:eastAsia="zh-CN"/>
              </w:rPr>
              <w:t>/</w:t>
            </w:r>
          </w:p>
        </w:tc>
        <w:tc>
          <w:tcPr>
            <w:tcW w:w="1332" w:type="dxa"/>
            <w:noWrap/>
            <w:tcMar>
              <w:left w:w="0" w:type="dxa"/>
              <w:right w:w="0" w:type="dxa"/>
            </w:tcMar>
            <w:vAlign w:val="center"/>
          </w:tcPr>
          <w:p w14:paraId="4F6757E2">
            <w:pPr>
              <w:pStyle w:val="26"/>
              <w:bidi w:val="0"/>
              <w:rPr>
                <w:rFonts w:hint="default"/>
                <w:lang w:val="en-US" w:eastAsia="zh-CN"/>
              </w:rPr>
            </w:pPr>
            <w:r>
              <w:rPr>
                <w:rFonts w:hint="default"/>
                <w:lang w:val="en-US" w:eastAsia="zh-CN"/>
              </w:rPr>
              <w:t>9369.2</w:t>
            </w:r>
          </w:p>
        </w:tc>
        <w:tc>
          <w:tcPr>
            <w:tcW w:w="1060" w:type="pct"/>
            <w:vMerge w:val="restart"/>
            <w:tcMar>
              <w:left w:w="0" w:type="dxa"/>
              <w:right w:w="0" w:type="dxa"/>
            </w:tcMar>
            <w:vAlign w:val="center"/>
          </w:tcPr>
          <w:p w14:paraId="4AA34827">
            <w:pPr>
              <w:pStyle w:val="26"/>
              <w:bidi w:val="0"/>
              <w:rPr>
                <w:color w:val="auto"/>
              </w:rPr>
            </w:pPr>
            <w:r>
              <w:rPr>
                <w:rFonts w:hint="eastAsia"/>
                <w:color w:val="auto"/>
                <w:lang w:val="en-US" w:eastAsia="zh-CN"/>
              </w:rPr>
              <w:t>进入含铬废水预处理设施处理后，进入MVR 装置蒸发处理，冷凝水经纯水制备系统处理后全部回用，不外排。</w:t>
            </w:r>
          </w:p>
        </w:tc>
      </w:tr>
      <w:tr w14:paraId="58CD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493AFE80">
            <w:pPr>
              <w:pStyle w:val="26"/>
              <w:bidi w:val="0"/>
              <w:rPr>
                <w:color w:val="auto"/>
              </w:rPr>
            </w:pPr>
          </w:p>
        </w:tc>
        <w:tc>
          <w:tcPr>
            <w:tcW w:w="785" w:type="pct"/>
            <w:vMerge w:val="continue"/>
            <w:tcMar>
              <w:left w:w="0" w:type="dxa"/>
              <w:right w:w="0" w:type="dxa"/>
            </w:tcMar>
            <w:vAlign w:val="center"/>
          </w:tcPr>
          <w:p w14:paraId="5E46F852">
            <w:pPr>
              <w:pStyle w:val="26"/>
              <w:bidi w:val="0"/>
              <w:rPr>
                <w:rFonts w:hint="eastAsia"/>
                <w:color w:val="auto"/>
                <w:lang w:val="en-US" w:eastAsia="zh-CN"/>
              </w:rPr>
            </w:pPr>
          </w:p>
        </w:tc>
        <w:tc>
          <w:tcPr>
            <w:tcW w:w="1051" w:type="pct"/>
            <w:shd w:val="clear" w:color="auto" w:fill="auto"/>
            <w:noWrap/>
            <w:tcMar>
              <w:left w:w="0" w:type="dxa"/>
              <w:right w:w="0" w:type="dxa"/>
            </w:tcMar>
            <w:vAlign w:val="center"/>
          </w:tcPr>
          <w:p w14:paraId="403B3D95">
            <w:pPr>
              <w:pStyle w:val="26"/>
              <w:bidi w:val="0"/>
              <w:rPr>
                <w:rFonts w:hint="eastAsia" w:ascii="Times New Roman" w:hAnsi="Times New Roman" w:eastAsia="仿宋_GB2312" w:cs="Times New Roman"/>
                <w:color w:val="auto"/>
                <w:kern w:val="2"/>
                <w:sz w:val="21"/>
                <w:szCs w:val="22"/>
                <w:lang w:val="en-US" w:eastAsia="zh-CN" w:bidi="ar-SA"/>
              </w:rPr>
            </w:pPr>
            <w:r>
              <w:rPr>
                <w:rFonts w:hint="default"/>
                <w:color w:val="auto"/>
                <w:lang w:val="en-US" w:eastAsia="zh-CN"/>
              </w:rPr>
              <w:t>pH</w:t>
            </w:r>
          </w:p>
        </w:tc>
        <w:tc>
          <w:tcPr>
            <w:tcW w:w="730" w:type="pct"/>
            <w:noWrap/>
            <w:tcMar>
              <w:left w:w="0" w:type="dxa"/>
              <w:right w:w="0" w:type="dxa"/>
            </w:tcMar>
            <w:vAlign w:val="center"/>
          </w:tcPr>
          <w:p w14:paraId="17DC3D47">
            <w:pPr>
              <w:pStyle w:val="26"/>
              <w:bidi w:val="0"/>
              <w:rPr>
                <w:rFonts w:hint="default"/>
                <w:color w:val="auto"/>
                <w:lang w:val="en-US" w:eastAsia="zh-CN"/>
              </w:rPr>
            </w:pPr>
            <w:r>
              <w:rPr>
                <w:rFonts w:hint="eastAsia"/>
                <w:color w:val="auto"/>
                <w:lang w:val="en-US" w:eastAsia="zh-CN"/>
              </w:rPr>
              <w:t>1</w:t>
            </w:r>
            <w:r>
              <w:rPr>
                <w:rFonts w:hint="default"/>
                <w:color w:val="auto"/>
                <w:lang w:val="en-US" w:eastAsia="zh-CN"/>
              </w:rPr>
              <w:t>~5</w:t>
            </w:r>
          </w:p>
        </w:tc>
        <w:tc>
          <w:tcPr>
            <w:tcW w:w="1332" w:type="dxa"/>
            <w:noWrap/>
            <w:tcMar>
              <w:left w:w="0" w:type="dxa"/>
              <w:right w:w="0" w:type="dxa"/>
            </w:tcMar>
            <w:vAlign w:val="center"/>
          </w:tcPr>
          <w:p w14:paraId="6D9AE9E5">
            <w:pPr>
              <w:pStyle w:val="26"/>
              <w:bidi w:val="0"/>
              <w:rPr>
                <w:rFonts w:hint="default"/>
                <w:lang w:val="en-US" w:eastAsia="zh-CN"/>
              </w:rPr>
            </w:pPr>
            <w:r>
              <w:rPr>
                <w:rFonts w:hint="default"/>
                <w:lang w:val="en-US" w:eastAsia="zh-CN"/>
              </w:rPr>
              <w:t>/</w:t>
            </w:r>
          </w:p>
        </w:tc>
        <w:tc>
          <w:tcPr>
            <w:tcW w:w="1060" w:type="pct"/>
            <w:vMerge w:val="continue"/>
            <w:tcMar>
              <w:left w:w="0" w:type="dxa"/>
              <w:right w:w="0" w:type="dxa"/>
            </w:tcMar>
            <w:vAlign w:val="center"/>
          </w:tcPr>
          <w:p w14:paraId="7ACC30CE">
            <w:pPr>
              <w:pStyle w:val="26"/>
              <w:bidi w:val="0"/>
              <w:rPr>
                <w:color w:val="auto"/>
              </w:rPr>
            </w:pPr>
          </w:p>
        </w:tc>
      </w:tr>
      <w:tr w14:paraId="58F4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12F048A5">
            <w:pPr>
              <w:pStyle w:val="26"/>
              <w:bidi w:val="0"/>
              <w:rPr>
                <w:color w:val="auto"/>
              </w:rPr>
            </w:pPr>
          </w:p>
        </w:tc>
        <w:tc>
          <w:tcPr>
            <w:tcW w:w="785" w:type="pct"/>
            <w:vMerge w:val="continue"/>
            <w:tcMar>
              <w:left w:w="0" w:type="dxa"/>
              <w:right w:w="0" w:type="dxa"/>
            </w:tcMar>
            <w:vAlign w:val="center"/>
          </w:tcPr>
          <w:p w14:paraId="00E8B3C0">
            <w:pPr>
              <w:pStyle w:val="26"/>
              <w:bidi w:val="0"/>
              <w:rPr>
                <w:rFonts w:hint="eastAsia"/>
                <w:color w:val="auto"/>
                <w:lang w:val="en-US" w:eastAsia="zh-CN"/>
              </w:rPr>
            </w:pPr>
          </w:p>
        </w:tc>
        <w:tc>
          <w:tcPr>
            <w:tcW w:w="1051" w:type="pct"/>
            <w:shd w:val="clear" w:color="auto" w:fill="auto"/>
            <w:noWrap/>
            <w:tcMar>
              <w:left w:w="0" w:type="dxa"/>
              <w:right w:w="0" w:type="dxa"/>
            </w:tcMar>
            <w:vAlign w:val="center"/>
          </w:tcPr>
          <w:p w14:paraId="7FCBB096">
            <w:pPr>
              <w:pStyle w:val="26"/>
              <w:bidi w:val="0"/>
              <w:rPr>
                <w:rFonts w:hint="eastAsia" w:ascii="Times New Roman" w:hAnsi="Times New Roman" w:eastAsia="仿宋_GB2312" w:cs="Times New Roman"/>
                <w:color w:val="auto"/>
                <w:kern w:val="2"/>
                <w:sz w:val="21"/>
                <w:szCs w:val="22"/>
                <w:lang w:val="en-US" w:eastAsia="zh-CN" w:bidi="ar-SA"/>
              </w:rPr>
            </w:pPr>
            <w:r>
              <w:rPr>
                <w:rFonts w:hint="default"/>
                <w:color w:val="auto"/>
                <w:lang w:val="en-US" w:eastAsia="zh-CN"/>
              </w:rPr>
              <w:t>COD</w:t>
            </w:r>
          </w:p>
        </w:tc>
        <w:tc>
          <w:tcPr>
            <w:tcW w:w="730" w:type="pct"/>
            <w:noWrap/>
            <w:tcMar>
              <w:left w:w="0" w:type="dxa"/>
              <w:right w:w="0" w:type="dxa"/>
            </w:tcMar>
            <w:vAlign w:val="center"/>
          </w:tcPr>
          <w:p w14:paraId="27C0E763">
            <w:pPr>
              <w:pStyle w:val="26"/>
              <w:bidi w:val="0"/>
              <w:rPr>
                <w:rFonts w:hint="default"/>
                <w:color w:val="auto"/>
                <w:lang w:val="en-US" w:eastAsia="zh-CN"/>
              </w:rPr>
            </w:pPr>
            <w:r>
              <w:rPr>
                <w:rFonts w:hint="eastAsia"/>
                <w:color w:val="auto"/>
                <w:lang w:val="en-US" w:eastAsia="zh-CN"/>
              </w:rPr>
              <w:t>2000</w:t>
            </w:r>
          </w:p>
        </w:tc>
        <w:tc>
          <w:tcPr>
            <w:tcW w:w="1332" w:type="dxa"/>
            <w:noWrap/>
            <w:tcMar>
              <w:left w:w="0" w:type="dxa"/>
              <w:right w:w="0" w:type="dxa"/>
            </w:tcMar>
            <w:vAlign w:val="center"/>
          </w:tcPr>
          <w:p w14:paraId="34F8D81B">
            <w:pPr>
              <w:pStyle w:val="26"/>
              <w:bidi w:val="0"/>
              <w:rPr>
                <w:rFonts w:hint="default"/>
                <w:lang w:val="en-US" w:eastAsia="zh-CN"/>
              </w:rPr>
            </w:pPr>
            <w:r>
              <w:rPr>
                <w:rFonts w:hint="default"/>
                <w:lang w:val="en-US" w:eastAsia="zh-CN"/>
              </w:rPr>
              <w:t xml:space="preserve">18.7384 </w:t>
            </w:r>
          </w:p>
        </w:tc>
        <w:tc>
          <w:tcPr>
            <w:tcW w:w="1060" w:type="pct"/>
            <w:vMerge w:val="continue"/>
            <w:tcMar>
              <w:left w:w="0" w:type="dxa"/>
              <w:right w:w="0" w:type="dxa"/>
            </w:tcMar>
            <w:vAlign w:val="center"/>
          </w:tcPr>
          <w:p w14:paraId="4EB8E00F">
            <w:pPr>
              <w:pStyle w:val="26"/>
              <w:bidi w:val="0"/>
              <w:rPr>
                <w:color w:val="auto"/>
              </w:rPr>
            </w:pPr>
          </w:p>
        </w:tc>
      </w:tr>
      <w:tr w14:paraId="0631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607" w:type="pct"/>
            <w:vMerge w:val="continue"/>
            <w:tcMar>
              <w:left w:w="0" w:type="dxa"/>
              <w:right w:w="0" w:type="dxa"/>
            </w:tcMar>
            <w:vAlign w:val="center"/>
          </w:tcPr>
          <w:p w14:paraId="3F7EAA20">
            <w:pPr>
              <w:pStyle w:val="26"/>
              <w:bidi w:val="0"/>
              <w:rPr>
                <w:color w:val="auto"/>
              </w:rPr>
            </w:pPr>
          </w:p>
        </w:tc>
        <w:tc>
          <w:tcPr>
            <w:tcW w:w="785" w:type="pct"/>
            <w:vMerge w:val="continue"/>
            <w:tcMar>
              <w:left w:w="0" w:type="dxa"/>
              <w:right w:w="0" w:type="dxa"/>
            </w:tcMar>
            <w:vAlign w:val="center"/>
          </w:tcPr>
          <w:p w14:paraId="60FAB2F1">
            <w:pPr>
              <w:pStyle w:val="26"/>
              <w:bidi w:val="0"/>
              <w:rPr>
                <w:rFonts w:hint="eastAsia"/>
                <w:color w:val="auto"/>
                <w:lang w:val="en-US" w:eastAsia="zh-CN"/>
              </w:rPr>
            </w:pPr>
          </w:p>
        </w:tc>
        <w:tc>
          <w:tcPr>
            <w:tcW w:w="1051" w:type="pct"/>
            <w:shd w:val="clear" w:color="auto" w:fill="auto"/>
            <w:noWrap/>
            <w:tcMar>
              <w:left w:w="0" w:type="dxa"/>
              <w:right w:w="0" w:type="dxa"/>
            </w:tcMar>
            <w:vAlign w:val="center"/>
          </w:tcPr>
          <w:p w14:paraId="7A8F3BB8">
            <w:pPr>
              <w:pStyle w:val="26"/>
              <w:bidi w:val="0"/>
              <w:rPr>
                <w:rFonts w:hint="eastAsia" w:ascii="Times New Roman" w:hAnsi="Times New Roman" w:eastAsia="仿宋_GB2312" w:cs="Times New Roman"/>
                <w:color w:val="auto"/>
                <w:kern w:val="2"/>
                <w:sz w:val="21"/>
                <w:szCs w:val="22"/>
                <w:lang w:val="en-US" w:eastAsia="zh-CN" w:bidi="ar-SA"/>
              </w:rPr>
            </w:pPr>
            <w:r>
              <w:rPr>
                <w:rFonts w:hint="default"/>
                <w:color w:val="auto"/>
                <w:lang w:val="en-US" w:eastAsia="zh-CN"/>
              </w:rPr>
              <w:t>SS</w:t>
            </w:r>
          </w:p>
        </w:tc>
        <w:tc>
          <w:tcPr>
            <w:tcW w:w="730" w:type="pct"/>
            <w:noWrap/>
            <w:tcMar>
              <w:left w:w="0" w:type="dxa"/>
              <w:right w:w="0" w:type="dxa"/>
            </w:tcMar>
            <w:vAlign w:val="center"/>
          </w:tcPr>
          <w:p w14:paraId="056ABA94">
            <w:pPr>
              <w:pStyle w:val="26"/>
              <w:bidi w:val="0"/>
              <w:rPr>
                <w:rFonts w:hint="default"/>
                <w:color w:val="auto"/>
                <w:lang w:val="en-US" w:eastAsia="zh-CN"/>
              </w:rPr>
            </w:pPr>
            <w:r>
              <w:rPr>
                <w:rFonts w:hint="eastAsia"/>
                <w:color w:val="auto"/>
                <w:lang w:val="en-US" w:eastAsia="zh-CN"/>
              </w:rPr>
              <w:t>200</w:t>
            </w:r>
          </w:p>
        </w:tc>
        <w:tc>
          <w:tcPr>
            <w:tcW w:w="1332" w:type="dxa"/>
            <w:noWrap/>
            <w:tcMar>
              <w:left w:w="0" w:type="dxa"/>
              <w:right w:w="0" w:type="dxa"/>
            </w:tcMar>
            <w:vAlign w:val="center"/>
          </w:tcPr>
          <w:p w14:paraId="09F55728">
            <w:pPr>
              <w:pStyle w:val="26"/>
              <w:bidi w:val="0"/>
              <w:rPr>
                <w:rFonts w:hint="default"/>
                <w:lang w:val="en-US" w:eastAsia="zh-CN"/>
              </w:rPr>
            </w:pPr>
            <w:r>
              <w:rPr>
                <w:rFonts w:hint="default"/>
                <w:lang w:val="en-US" w:eastAsia="zh-CN"/>
              </w:rPr>
              <w:t xml:space="preserve">1.8738 </w:t>
            </w:r>
          </w:p>
        </w:tc>
        <w:tc>
          <w:tcPr>
            <w:tcW w:w="1060" w:type="pct"/>
            <w:vMerge w:val="continue"/>
            <w:tcMar>
              <w:left w:w="0" w:type="dxa"/>
              <w:right w:w="0" w:type="dxa"/>
            </w:tcMar>
            <w:vAlign w:val="center"/>
          </w:tcPr>
          <w:p w14:paraId="25AD853B">
            <w:pPr>
              <w:pStyle w:val="26"/>
              <w:bidi w:val="0"/>
              <w:rPr>
                <w:color w:val="auto"/>
              </w:rPr>
            </w:pPr>
          </w:p>
        </w:tc>
      </w:tr>
      <w:tr w14:paraId="4B5C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419FEF00">
            <w:pPr>
              <w:pStyle w:val="26"/>
              <w:bidi w:val="0"/>
              <w:rPr>
                <w:color w:val="auto"/>
              </w:rPr>
            </w:pPr>
          </w:p>
        </w:tc>
        <w:tc>
          <w:tcPr>
            <w:tcW w:w="785" w:type="pct"/>
            <w:vMerge w:val="continue"/>
            <w:tcMar>
              <w:left w:w="0" w:type="dxa"/>
              <w:right w:w="0" w:type="dxa"/>
            </w:tcMar>
            <w:vAlign w:val="center"/>
          </w:tcPr>
          <w:p w14:paraId="4C418617">
            <w:pPr>
              <w:pStyle w:val="26"/>
              <w:bidi w:val="0"/>
              <w:rPr>
                <w:color w:val="auto"/>
              </w:rPr>
            </w:pPr>
          </w:p>
        </w:tc>
        <w:tc>
          <w:tcPr>
            <w:tcW w:w="1051" w:type="pct"/>
            <w:shd w:val="clear" w:color="auto" w:fill="auto"/>
            <w:noWrap/>
            <w:tcMar>
              <w:left w:w="0" w:type="dxa"/>
              <w:right w:w="0" w:type="dxa"/>
            </w:tcMar>
            <w:vAlign w:val="center"/>
          </w:tcPr>
          <w:p w14:paraId="08C20E3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总铬</w:t>
            </w:r>
          </w:p>
        </w:tc>
        <w:tc>
          <w:tcPr>
            <w:tcW w:w="730" w:type="pct"/>
            <w:noWrap/>
            <w:tcMar>
              <w:left w:w="0" w:type="dxa"/>
              <w:right w:w="0" w:type="dxa"/>
            </w:tcMar>
            <w:vAlign w:val="center"/>
          </w:tcPr>
          <w:p w14:paraId="17A79F4F">
            <w:pPr>
              <w:pStyle w:val="26"/>
              <w:bidi w:val="0"/>
              <w:rPr>
                <w:rFonts w:hint="default"/>
                <w:color w:val="auto"/>
                <w:lang w:val="en-US" w:eastAsia="zh-CN"/>
              </w:rPr>
            </w:pPr>
            <w:r>
              <w:rPr>
                <w:rFonts w:hint="eastAsia"/>
                <w:color w:val="auto"/>
                <w:lang w:val="en-US" w:eastAsia="zh-CN"/>
              </w:rPr>
              <w:t>1100</w:t>
            </w:r>
          </w:p>
        </w:tc>
        <w:tc>
          <w:tcPr>
            <w:tcW w:w="1332" w:type="dxa"/>
            <w:noWrap/>
            <w:tcMar>
              <w:left w:w="0" w:type="dxa"/>
              <w:right w:w="0" w:type="dxa"/>
            </w:tcMar>
            <w:vAlign w:val="center"/>
          </w:tcPr>
          <w:p w14:paraId="149758F1">
            <w:pPr>
              <w:pStyle w:val="26"/>
              <w:bidi w:val="0"/>
              <w:rPr>
                <w:rFonts w:hint="default"/>
                <w:lang w:val="en-US" w:eastAsia="zh-CN"/>
              </w:rPr>
            </w:pPr>
            <w:r>
              <w:rPr>
                <w:rFonts w:hint="default"/>
                <w:lang w:val="en-US" w:eastAsia="zh-CN"/>
              </w:rPr>
              <w:t xml:space="preserve">10.3061 </w:t>
            </w:r>
          </w:p>
        </w:tc>
        <w:tc>
          <w:tcPr>
            <w:tcW w:w="1060" w:type="pct"/>
            <w:vMerge w:val="continue"/>
            <w:tcMar>
              <w:left w:w="0" w:type="dxa"/>
              <w:right w:w="0" w:type="dxa"/>
            </w:tcMar>
            <w:vAlign w:val="center"/>
          </w:tcPr>
          <w:p w14:paraId="0D3BD4B8">
            <w:pPr>
              <w:pStyle w:val="26"/>
              <w:bidi w:val="0"/>
              <w:rPr>
                <w:color w:val="auto"/>
              </w:rPr>
            </w:pPr>
          </w:p>
        </w:tc>
      </w:tr>
      <w:tr w14:paraId="2CED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1F0E26EB">
            <w:pPr>
              <w:pStyle w:val="26"/>
              <w:bidi w:val="0"/>
              <w:rPr>
                <w:color w:val="auto"/>
              </w:rPr>
            </w:pPr>
          </w:p>
        </w:tc>
        <w:tc>
          <w:tcPr>
            <w:tcW w:w="785" w:type="pct"/>
            <w:vMerge w:val="continue"/>
            <w:tcMar>
              <w:left w:w="0" w:type="dxa"/>
              <w:right w:w="0" w:type="dxa"/>
            </w:tcMar>
            <w:vAlign w:val="center"/>
          </w:tcPr>
          <w:p w14:paraId="19B2A60F">
            <w:pPr>
              <w:pStyle w:val="26"/>
              <w:bidi w:val="0"/>
              <w:rPr>
                <w:color w:val="auto"/>
              </w:rPr>
            </w:pPr>
          </w:p>
        </w:tc>
        <w:tc>
          <w:tcPr>
            <w:tcW w:w="1051" w:type="pct"/>
            <w:shd w:val="clear" w:color="auto" w:fill="auto"/>
            <w:noWrap/>
            <w:tcMar>
              <w:left w:w="0" w:type="dxa"/>
              <w:right w:w="0" w:type="dxa"/>
            </w:tcMar>
            <w:vAlign w:val="center"/>
          </w:tcPr>
          <w:p w14:paraId="198F6D3E">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六价铬</w:t>
            </w:r>
          </w:p>
        </w:tc>
        <w:tc>
          <w:tcPr>
            <w:tcW w:w="730" w:type="pct"/>
            <w:shd w:val="clear" w:color="auto" w:fill="auto"/>
            <w:noWrap/>
            <w:tcMar>
              <w:left w:w="0" w:type="dxa"/>
              <w:right w:w="0" w:type="dxa"/>
            </w:tcMar>
            <w:vAlign w:val="center"/>
          </w:tcPr>
          <w:p w14:paraId="772326B2">
            <w:pPr>
              <w:pStyle w:val="26"/>
              <w:bidi w:val="0"/>
              <w:rPr>
                <w:rFonts w:hint="default" w:ascii="Times New Roman" w:hAnsi="Times New Roman" w:eastAsia="仿宋_GB2312" w:cs="Times New Roman"/>
                <w:color w:val="auto"/>
                <w:kern w:val="2"/>
                <w:sz w:val="21"/>
                <w:szCs w:val="22"/>
                <w:lang w:val="en-US" w:eastAsia="zh-CN" w:bidi="ar-SA"/>
              </w:rPr>
            </w:pPr>
            <w:r>
              <w:rPr>
                <w:rFonts w:hint="eastAsia" w:cs="Times New Roman"/>
                <w:color w:val="auto"/>
                <w:kern w:val="2"/>
                <w:sz w:val="21"/>
                <w:szCs w:val="22"/>
                <w:lang w:val="en-US" w:eastAsia="zh-CN" w:bidi="ar-SA"/>
              </w:rPr>
              <w:t>440</w:t>
            </w:r>
          </w:p>
        </w:tc>
        <w:tc>
          <w:tcPr>
            <w:tcW w:w="1332" w:type="dxa"/>
            <w:shd w:val="clear" w:color="auto" w:fill="auto"/>
            <w:noWrap/>
            <w:tcMar>
              <w:left w:w="0" w:type="dxa"/>
              <w:right w:w="0" w:type="dxa"/>
            </w:tcMar>
            <w:vAlign w:val="center"/>
          </w:tcPr>
          <w:p w14:paraId="1D6DCF4B">
            <w:pPr>
              <w:pStyle w:val="26"/>
              <w:bidi w:val="0"/>
              <w:rPr>
                <w:rFonts w:hint="default"/>
                <w:lang w:val="en-US" w:eastAsia="zh-CN"/>
              </w:rPr>
            </w:pPr>
            <w:r>
              <w:rPr>
                <w:rFonts w:hint="default"/>
                <w:lang w:val="en-US" w:eastAsia="zh-CN"/>
              </w:rPr>
              <w:t xml:space="preserve">4.1224 </w:t>
            </w:r>
          </w:p>
        </w:tc>
        <w:tc>
          <w:tcPr>
            <w:tcW w:w="1060" w:type="pct"/>
            <w:vMerge w:val="continue"/>
            <w:tcMar>
              <w:left w:w="0" w:type="dxa"/>
              <w:right w:w="0" w:type="dxa"/>
            </w:tcMar>
            <w:vAlign w:val="center"/>
          </w:tcPr>
          <w:p w14:paraId="68C4327E">
            <w:pPr>
              <w:pStyle w:val="26"/>
              <w:bidi w:val="0"/>
              <w:rPr>
                <w:color w:val="auto"/>
              </w:rPr>
            </w:pPr>
          </w:p>
        </w:tc>
      </w:tr>
      <w:tr w14:paraId="5E88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00C259F4">
            <w:pPr>
              <w:pStyle w:val="26"/>
              <w:bidi w:val="0"/>
              <w:rPr>
                <w:color w:val="auto"/>
              </w:rPr>
            </w:pPr>
          </w:p>
        </w:tc>
        <w:tc>
          <w:tcPr>
            <w:tcW w:w="785" w:type="pct"/>
            <w:vMerge w:val="restart"/>
            <w:shd w:val="clear" w:color="auto" w:fill="auto"/>
            <w:tcMar>
              <w:left w:w="0" w:type="dxa"/>
              <w:right w:w="0" w:type="dxa"/>
            </w:tcMar>
            <w:vAlign w:val="center"/>
          </w:tcPr>
          <w:p w14:paraId="21F29AF1">
            <w:pPr>
              <w:pStyle w:val="26"/>
              <w:bidi w:val="0"/>
              <w:rPr>
                <w:rFonts w:hint="default"/>
                <w:color w:val="auto"/>
                <w:lang w:val="en-US"/>
              </w:rPr>
            </w:pPr>
            <w:r>
              <w:rPr>
                <w:rFonts w:hint="eastAsia"/>
                <w:color w:val="auto"/>
                <w:lang w:val="en-US" w:eastAsia="zh-CN"/>
              </w:rPr>
              <w:t>综合废水</w:t>
            </w:r>
          </w:p>
        </w:tc>
        <w:tc>
          <w:tcPr>
            <w:tcW w:w="1051" w:type="pct"/>
            <w:shd w:val="clear" w:color="auto" w:fill="auto"/>
            <w:noWrap/>
            <w:tcMar>
              <w:left w:w="0" w:type="dxa"/>
              <w:right w:w="0" w:type="dxa"/>
            </w:tcMar>
            <w:vAlign w:val="center"/>
          </w:tcPr>
          <w:p w14:paraId="1EEDA66A">
            <w:pPr>
              <w:pStyle w:val="26"/>
              <w:bidi w:val="0"/>
              <w:rPr>
                <w:rFonts w:hint="default"/>
                <w:color w:val="auto"/>
                <w:lang w:val="en-US" w:eastAsia="zh-CN"/>
              </w:rPr>
            </w:pPr>
            <w:r>
              <w:rPr>
                <w:rFonts w:hint="eastAsia"/>
                <w:color w:val="auto"/>
                <w:lang w:val="en-US" w:eastAsia="zh-CN"/>
              </w:rPr>
              <w:t>废水量</w:t>
            </w:r>
          </w:p>
        </w:tc>
        <w:tc>
          <w:tcPr>
            <w:tcW w:w="730" w:type="pct"/>
            <w:shd w:val="clear" w:color="auto" w:fill="auto"/>
            <w:noWrap/>
            <w:tcMar>
              <w:left w:w="0" w:type="dxa"/>
              <w:right w:w="0" w:type="dxa"/>
            </w:tcMar>
            <w:vAlign w:val="center"/>
          </w:tcPr>
          <w:p w14:paraId="0E9E2237">
            <w:pPr>
              <w:pStyle w:val="26"/>
              <w:bidi w:val="0"/>
              <w:rPr>
                <w:rFonts w:hint="default"/>
                <w:color w:val="auto"/>
                <w:lang w:val="en-US" w:eastAsia="zh-CN"/>
              </w:rPr>
            </w:pPr>
            <w:r>
              <w:rPr>
                <w:rFonts w:hint="default"/>
                <w:color w:val="auto"/>
                <w:lang w:val="en-US" w:eastAsia="zh-CN"/>
              </w:rPr>
              <w:t>/</w:t>
            </w:r>
          </w:p>
        </w:tc>
        <w:tc>
          <w:tcPr>
            <w:tcW w:w="1332" w:type="dxa"/>
            <w:shd w:val="clear" w:color="auto" w:fill="auto"/>
            <w:noWrap/>
            <w:tcMar>
              <w:left w:w="0" w:type="dxa"/>
              <w:right w:w="0" w:type="dxa"/>
            </w:tcMar>
            <w:vAlign w:val="center"/>
          </w:tcPr>
          <w:p w14:paraId="1BB3EB53">
            <w:pPr>
              <w:pStyle w:val="26"/>
              <w:bidi w:val="0"/>
              <w:rPr>
                <w:rFonts w:hint="default"/>
                <w:lang w:val="en-US" w:eastAsia="zh-CN"/>
              </w:rPr>
            </w:pPr>
            <w:r>
              <w:rPr>
                <w:rFonts w:hint="default"/>
                <w:lang w:val="en-US" w:eastAsia="zh-CN"/>
              </w:rPr>
              <w:t>42524.9</w:t>
            </w:r>
          </w:p>
        </w:tc>
        <w:tc>
          <w:tcPr>
            <w:tcW w:w="1060" w:type="pct"/>
            <w:vMerge w:val="restart"/>
            <w:tcMar>
              <w:left w:w="0" w:type="dxa"/>
              <w:right w:w="0" w:type="dxa"/>
            </w:tcMar>
            <w:vAlign w:val="center"/>
          </w:tcPr>
          <w:p w14:paraId="580403A3">
            <w:pPr>
              <w:pStyle w:val="26"/>
              <w:bidi w:val="0"/>
              <w:rPr>
                <w:rFonts w:hint="default"/>
                <w:color w:val="auto"/>
                <w:lang w:val="en-US" w:eastAsia="zh-CN"/>
              </w:rPr>
            </w:pPr>
            <w:r>
              <w:rPr>
                <w:rFonts w:hint="eastAsia"/>
                <w:color w:val="auto"/>
                <w:lang w:val="en-US" w:eastAsia="zh-CN"/>
              </w:rPr>
              <w:t>进入综合废水预处理设施处理后，进入MVR 装置蒸发处理，冷凝水经纯水制备系统处理后全部回用，不外排。</w:t>
            </w:r>
          </w:p>
        </w:tc>
      </w:tr>
      <w:tr w14:paraId="5126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49E48040">
            <w:pPr>
              <w:pStyle w:val="26"/>
              <w:bidi w:val="0"/>
              <w:rPr>
                <w:color w:val="auto"/>
              </w:rPr>
            </w:pPr>
          </w:p>
        </w:tc>
        <w:tc>
          <w:tcPr>
            <w:tcW w:w="785" w:type="pct"/>
            <w:vMerge w:val="continue"/>
            <w:tcMar>
              <w:left w:w="0" w:type="dxa"/>
              <w:right w:w="0" w:type="dxa"/>
            </w:tcMar>
            <w:vAlign w:val="center"/>
          </w:tcPr>
          <w:p w14:paraId="11495717">
            <w:pPr>
              <w:pStyle w:val="26"/>
              <w:bidi w:val="0"/>
              <w:rPr>
                <w:color w:val="auto"/>
              </w:rPr>
            </w:pPr>
          </w:p>
        </w:tc>
        <w:tc>
          <w:tcPr>
            <w:tcW w:w="1051" w:type="pct"/>
            <w:shd w:val="clear" w:color="auto" w:fill="auto"/>
            <w:noWrap/>
            <w:tcMar>
              <w:left w:w="0" w:type="dxa"/>
              <w:right w:w="0" w:type="dxa"/>
            </w:tcMar>
            <w:vAlign w:val="center"/>
          </w:tcPr>
          <w:p w14:paraId="163FA185">
            <w:pPr>
              <w:pStyle w:val="26"/>
              <w:bidi w:val="0"/>
              <w:rPr>
                <w:rFonts w:hint="default" w:ascii="Times New Roman" w:hAnsi="Times New Roman" w:eastAsia="仿宋_GB2312" w:cs="Times New Roman"/>
                <w:color w:val="auto"/>
                <w:kern w:val="2"/>
                <w:sz w:val="21"/>
                <w:szCs w:val="22"/>
                <w:lang w:val="en-US" w:eastAsia="zh-CN" w:bidi="ar-SA"/>
              </w:rPr>
            </w:pPr>
            <w:r>
              <w:rPr>
                <w:rFonts w:hint="default"/>
                <w:color w:val="auto"/>
                <w:lang w:val="en-US" w:eastAsia="zh-CN"/>
              </w:rPr>
              <w:t>pH</w:t>
            </w:r>
          </w:p>
        </w:tc>
        <w:tc>
          <w:tcPr>
            <w:tcW w:w="730" w:type="pct"/>
            <w:shd w:val="clear" w:color="auto" w:fill="auto"/>
            <w:noWrap/>
            <w:tcMar>
              <w:left w:w="0" w:type="dxa"/>
              <w:right w:w="0" w:type="dxa"/>
            </w:tcMar>
            <w:vAlign w:val="center"/>
          </w:tcPr>
          <w:p w14:paraId="3983D9D1">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5</w:t>
            </w:r>
            <w:r>
              <w:rPr>
                <w:rFonts w:hint="default"/>
                <w:color w:val="auto"/>
                <w:lang w:val="en-US" w:eastAsia="zh-CN"/>
              </w:rPr>
              <w:t>~</w:t>
            </w:r>
            <w:r>
              <w:rPr>
                <w:rFonts w:hint="eastAsia"/>
                <w:color w:val="auto"/>
                <w:lang w:val="en-US" w:eastAsia="zh-CN"/>
              </w:rPr>
              <w:t>8</w:t>
            </w:r>
          </w:p>
        </w:tc>
        <w:tc>
          <w:tcPr>
            <w:tcW w:w="1332" w:type="dxa"/>
            <w:shd w:val="clear" w:color="auto" w:fill="auto"/>
            <w:noWrap/>
            <w:tcMar>
              <w:left w:w="0" w:type="dxa"/>
              <w:right w:w="0" w:type="dxa"/>
            </w:tcMar>
            <w:vAlign w:val="center"/>
          </w:tcPr>
          <w:p w14:paraId="514C8BFE">
            <w:pPr>
              <w:pStyle w:val="26"/>
              <w:bidi w:val="0"/>
              <w:rPr>
                <w:rFonts w:hint="default"/>
                <w:lang w:val="en-US" w:eastAsia="zh-CN"/>
              </w:rPr>
            </w:pPr>
            <w:r>
              <w:rPr>
                <w:rFonts w:hint="default"/>
                <w:lang w:val="en-US" w:eastAsia="zh-CN"/>
              </w:rPr>
              <w:t>/</w:t>
            </w:r>
          </w:p>
        </w:tc>
        <w:tc>
          <w:tcPr>
            <w:tcW w:w="1060" w:type="pct"/>
            <w:vMerge w:val="continue"/>
            <w:tcMar>
              <w:left w:w="0" w:type="dxa"/>
              <w:right w:w="0" w:type="dxa"/>
            </w:tcMar>
            <w:vAlign w:val="center"/>
          </w:tcPr>
          <w:p w14:paraId="33DB6499">
            <w:pPr>
              <w:pStyle w:val="26"/>
              <w:bidi w:val="0"/>
              <w:rPr>
                <w:color w:val="auto"/>
              </w:rPr>
            </w:pPr>
          </w:p>
        </w:tc>
      </w:tr>
      <w:tr w14:paraId="2DE5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59774D05">
            <w:pPr>
              <w:pStyle w:val="26"/>
              <w:bidi w:val="0"/>
              <w:rPr>
                <w:color w:val="auto"/>
              </w:rPr>
            </w:pPr>
          </w:p>
        </w:tc>
        <w:tc>
          <w:tcPr>
            <w:tcW w:w="785" w:type="pct"/>
            <w:vMerge w:val="continue"/>
            <w:tcMar>
              <w:left w:w="0" w:type="dxa"/>
              <w:right w:w="0" w:type="dxa"/>
            </w:tcMar>
            <w:vAlign w:val="center"/>
          </w:tcPr>
          <w:p w14:paraId="390D33BB">
            <w:pPr>
              <w:pStyle w:val="26"/>
              <w:bidi w:val="0"/>
              <w:rPr>
                <w:color w:val="auto"/>
              </w:rPr>
            </w:pPr>
          </w:p>
        </w:tc>
        <w:tc>
          <w:tcPr>
            <w:tcW w:w="1051" w:type="pct"/>
            <w:shd w:val="clear" w:color="auto" w:fill="auto"/>
            <w:noWrap/>
            <w:tcMar>
              <w:left w:w="0" w:type="dxa"/>
              <w:right w:w="0" w:type="dxa"/>
            </w:tcMar>
            <w:vAlign w:val="center"/>
          </w:tcPr>
          <w:p w14:paraId="46128F9F">
            <w:pPr>
              <w:pStyle w:val="26"/>
              <w:bidi w:val="0"/>
              <w:rPr>
                <w:rFonts w:hint="default"/>
                <w:color w:val="auto"/>
                <w:lang w:val="en-US" w:eastAsia="zh-CN"/>
              </w:rPr>
            </w:pPr>
            <w:r>
              <w:rPr>
                <w:rFonts w:hint="default"/>
                <w:color w:val="auto"/>
                <w:lang w:val="en-US" w:eastAsia="zh-CN"/>
              </w:rPr>
              <w:t>COD</w:t>
            </w:r>
          </w:p>
        </w:tc>
        <w:tc>
          <w:tcPr>
            <w:tcW w:w="730" w:type="pct"/>
            <w:shd w:val="clear" w:color="auto" w:fill="auto"/>
            <w:noWrap/>
            <w:tcMar>
              <w:left w:w="0" w:type="dxa"/>
              <w:right w:w="0" w:type="dxa"/>
            </w:tcMar>
            <w:vAlign w:val="center"/>
          </w:tcPr>
          <w:p w14:paraId="2BAB2E90">
            <w:pPr>
              <w:pStyle w:val="26"/>
              <w:bidi w:val="0"/>
              <w:rPr>
                <w:rFonts w:hint="default"/>
                <w:color w:val="auto"/>
                <w:lang w:val="en-US" w:eastAsia="zh-CN"/>
              </w:rPr>
            </w:pPr>
            <w:r>
              <w:rPr>
                <w:rFonts w:hint="eastAsia"/>
                <w:color w:val="auto"/>
                <w:lang w:val="en-US" w:eastAsia="zh-CN"/>
              </w:rPr>
              <w:t>800</w:t>
            </w:r>
          </w:p>
        </w:tc>
        <w:tc>
          <w:tcPr>
            <w:tcW w:w="1332" w:type="dxa"/>
            <w:shd w:val="clear" w:color="auto" w:fill="auto"/>
            <w:noWrap/>
            <w:tcMar>
              <w:left w:w="0" w:type="dxa"/>
              <w:right w:w="0" w:type="dxa"/>
            </w:tcMar>
            <w:vAlign w:val="center"/>
          </w:tcPr>
          <w:p w14:paraId="32720B1A">
            <w:pPr>
              <w:pStyle w:val="26"/>
              <w:bidi w:val="0"/>
              <w:rPr>
                <w:rFonts w:hint="default"/>
                <w:lang w:val="en-US" w:eastAsia="zh-CN"/>
              </w:rPr>
            </w:pPr>
            <w:r>
              <w:rPr>
                <w:rFonts w:hint="default"/>
                <w:lang w:val="en-US" w:eastAsia="zh-CN"/>
              </w:rPr>
              <w:t xml:space="preserve">34.0199 </w:t>
            </w:r>
          </w:p>
        </w:tc>
        <w:tc>
          <w:tcPr>
            <w:tcW w:w="1060" w:type="pct"/>
            <w:vMerge w:val="continue"/>
            <w:tcMar>
              <w:left w:w="0" w:type="dxa"/>
              <w:right w:w="0" w:type="dxa"/>
            </w:tcMar>
            <w:vAlign w:val="center"/>
          </w:tcPr>
          <w:p w14:paraId="2BE4D2C7">
            <w:pPr>
              <w:pStyle w:val="26"/>
              <w:bidi w:val="0"/>
              <w:rPr>
                <w:color w:val="auto"/>
              </w:rPr>
            </w:pPr>
          </w:p>
        </w:tc>
      </w:tr>
      <w:tr w14:paraId="4A1C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49D4125E">
            <w:pPr>
              <w:pStyle w:val="26"/>
              <w:bidi w:val="0"/>
              <w:rPr>
                <w:color w:val="auto"/>
              </w:rPr>
            </w:pPr>
          </w:p>
        </w:tc>
        <w:tc>
          <w:tcPr>
            <w:tcW w:w="785" w:type="pct"/>
            <w:vMerge w:val="continue"/>
            <w:tcMar>
              <w:left w:w="0" w:type="dxa"/>
              <w:right w:w="0" w:type="dxa"/>
            </w:tcMar>
            <w:vAlign w:val="center"/>
          </w:tcPr>
          <w:p w14:paraId="4B7EE59F">
            <w:pPr>
              <w:pStyle w:val="26"/>
              <w:bidi w:val="0"/>
              <w:rPr>
                <w:color w:val="auto"/>
              </w:rPr>
            </w:pPr>
          </w:p>
        </w:tc>
        <w:tc>
          <w:tcPr>
            <w:tcW w:w="1051" w:type="pct"/>
            <w:shd w:val="clear" w:color="auto" w:fill="auto"/>
            <w:noWrap/>
            <w:tcMar>
              <w:left w:w="0" w:type="dxa"/>
              <w:right w:w="0" w:type="dxa"/>
            </w:tcMar>
            <w:vAlign w:val="center"/>
          </w:tcPr>
          <w:p w14:paraId="5843CAB8">
            <w:pPr>
              <w:pStyle w:val="26"/>
              <w:bidi w:val="0"/>
              <w:rPr>
                <w:rFonts w:hint="default"/>
                <w:color w:val="auto"/>
                <w:lang w:val="en-US" w:eastAsia="zh-CN"/>
              </w:rPr>
            </w:pPr>
            <w:r>
              <w:rPr>
                <w:rFonts w:hint="default"/>
                <w:color w:val="auto"/>
                <w:lang w:val="en-US" w:eastAsia="zh-CN"/>
              </w:rPr>
              <w:t>SS</w:t>
            </w:r>
          </w:p>
        </w:tc>
        <w:tc>
          <w:tcPr>
            <w:tcW w:w="730" w:type="pct"/>
            <w:shd w:val="clear" w:color="auto" w:fill="auto"/>
            <w:noWrap/>
            <w:tcMar>
              <w:left w:w="0" w:type="dxa"/>
              <w:right w:w="0" w:type="dxa"/>
            </w:tcMar>
            <w:vAlign w:val="center"/>
          </w:tcPr>
          <w:p w14:paraId="1D0B4876">
            <w:pPr>
              <w:pStyle w:val="26"/>
              <w:bidi w:val="0"/>
              <w:rPr>
                <w:rFonts w:hint="default"/>
                <w:color w:val="auto"/>
                <w:lang w:val="en-US" w:eastAsia="zh-CN"/>
              </w:rPr>
            </w:pPr>
            <w:r>
              <w:rPr>
                <w:rFonts w:hint="default"/>
                <w:color w:val="auto"/>
                <w:lang w:val="en-US" w:eastAsia="zh-CN"/>
              </w:rPr>
              <w:t>200</w:t>
            </w:r>
          </w:p>
        </w:tc>
        <w:tc>
          <w:tcPr>
            <w:tcW w:w="1332" w:type="dxa"/>
            <w:shd w:val="clear" w:color="auto" w:fill="auto"/>
            <w:noWrap/>
            <w:tcMar>
              <w:left w:w="0" w:type="dxa"/>
              <w:right w:w="0" w:type="dxa"/>
            </w:tcMar>
            <w:vAlign w:val="center"/>
          </w:tcPr>
          <w:p w14:paraId="2408A709">
            <w:pPr>
              <w:pStyle w:val="26"/>
              <w:bidi w:val="0"/>
              <w:rPr>
                <w:rFonts w:hint="default"/>
                <w:lang w:val="en-US" w:eastAsia="zh-CN"/>
              </w:rPr>
            </w:pPr>
            <w:r>
              <w:rPr>
                <w:rFonts w:hint="default"/>
                <w:lang w:val="en-US" w:eastAsia="zh-CN"/>
              </w:rPr>
              <w:t xml:space="preserve">8.5050 </w:t>
            </w:r>
          </w:p>
        </w:tc>
        <w:tc>
          <w:tcPr>
            <w:tcW w:w="1060" w:type="pct"/>
            <w:vMerge w:val="continue"/>
            <w:tcMar>
              <w:left w:w="0" w:type="dxa"/>
              <w:right w:w="0" w:type="dxa"/>
            </w:tcMar>
            <w:vAlign w:val="center"/>
          </w:tcPr>
          <w:p w14:paraId="257171B9">
            <w:pPr>
              <w:pStyle w:val="26"/>
              <w:bidi w:val="0"/>
              <w:rPr>
                <w:color w:val="auto"/>
              </w:rPr>
            </w:pPr>
          </w:p>
        </w:tc>
      </w:tr>
      <w:tr w14:paraId="4FCE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49FAA3A8">
            <w:pPr>
              <w:pStyle w:val="26"/>
              <w:bidi w:val="0"/>
              <w:rPr>
                <w:rFonts w:hint="eastAsia" w:eastAsia="仿宋_GB2312"/>
                <w:color w:val="auto"/>
                <w:lang w:val="en-US" w:eastAsia="zh-CN"/>
              </w:rPr>
            </w:pPr>
          </w:p>
        </w:tc>
        <w:tc>
          <w:tcPr>
            <w:tcW w:w="785" w:type="pct"/>
            <w:vMerge w:val="continue"/>
            <w:shd w:val="clear" w:color="auto" w:fill="auto"/>
            <w:tcMar>
              <w:left w:w="0" w:type="dxa"/>
              <w:right w:w="0" w:type="dxa"/>
            </w:tcMar>
            <w:vAlign w:val="center"/>
          </w:tcPr>
          <w:p w14:paraId="0D87F9BA">
            <w:pPr>
              <w:pStyle w:val="26"/>
              <w:bidi w:val="0"/>
              <w:rPr>
                <w:rFonts w:hint="default"/>
                <w:color w:val="auto"/>
                <w:lang w:val="en-US" w:eastAsia="zh-CN"/>
              </w:rPr>
            </w:pPr>
          </w:p>
        </w:tc>
        <w:tc>
          <w:tcPr>
            <w:tcW w:w="1051" w:type="pct"/>
            <w:shd w:val="clear" w:color="auto" w:fill="auto"/>
            <w:noWrap/>
            <w:tcMar>
              <w:left w:w="0" w:type="dxa"/>
              <w:right w:w="0" w:type="dxa"/>
            </w:tcMar>
            <w:vAlign w:val="center"/>
          </w:tcPr>
          <w:p w14:paraId="48E46342">
            <w:pPr>
              <w:pStyle w:val="26"/>
              <w:bidi w:val="0"/>
              <w:rPr>
                <w:rFonts w:hint="default" w:ascii="Times New Roman" w:hAnsi="Times New Roman" w:eastAsia="仿宋_GB2312" w:cs="Times New Roman"/>
                <w:color w:val="auto"/>
                <w:kern w:val="2"/>
                <w:sz w:val="21"/>
                <w:szCs w:val="22"/>
                <w:lang w:val="en-US" w:eastAsia="zh-CN" w:bidi="ar-SA"/>
              </w:rPr>
            </w:pPr>
            <w:r>
              <w:rPr>
                <w:rFonts w:hint="eastAsia" w:cs="Times New Roman"/>
                <w:color w:val="auto"/>
                <w:kern w:val="2"/>
                <w:sz w:val="21"/>
                <w:szCs w:val="22"/>
                <w:lang w:val="en-US" w:eastAsia="zh-CN" w:bidi="ar-SA"/>
              </w:rPr>
              <w:t>TP</w:t>
            </w:r>
          </w:p>
        </w:tc>
        <w:tc>
          <w:tcPr>
            <w:tcW w:w="730" w:type="pct"/>
            <w:shd w:val="clear" w:color="auto" w:fill="auto"/>
            <w:noWrap/>
            <w:tcMar>
              <w:left w:w="0" w:type="dxa"/>
              <w:right w:w="0" w:type="dxa"/>
            </w:tcMar>
            <w:vAlign w:val="center"/>
          </w:tcPr>
          <w:p w14:paraId="67CED269">
            <w:pPr>
              <w:pStyle w:val="26"/>
              <w:bidi w:val="0"/>
              <w:rPr>
                <w:rFonts w:hint="default"/>
                <w:color w:val="auto"/>
                <w:lang w:val="en-US" w:eastAsia="zh-CN"/>
              </w:rPr>
            </w:pPr>
            <w:r>
              <w:rPr>
                <w:rFonts w:hint="eastAsia"/>
                <w:color w:val="auto"/>
                <w:lang w:val="en-US" w:eastAsia="zh-CN"/>
              </w:rPr>
              <w:t>2</w:t>
            </w:r>
          </w:p>
        </w:tc>
        <w:tc>
          <w:tcPr>
            <w:tcW w:w="1332" w:type="dxa"/>
            <w:shd w:val="clear" w:color="auto" w:fill="auto"/>
            <w:noWrap/>
            <w:tcMar>
              <w:left w:w="0" w:type="dxa"/>
              <w:right w:w="0" w:type="dxa"/>
            </w:tcMar>
            <w:vAlign w:val="center"/>
          </w:tcPr>
          <w:p w14:paraId="2B191788">
            <w:pPr>
              <w:pStyle w:val="26"/>
              <w:bidi w:val="0"/>
              <w:rPr>
                <w:rFonts w:hint="default"/>
                <w:lang w:val="en-US" w:eastAsia="zh-CN"/>
              </w:rPr>
            </w:pPr>
            <w:r>
              <w:rPr>
                <w:rFonts w:hint="default"/>
                <w:lang w:val="en-US" w:eastAsia="zh-CN"/>
              </w:rPr>
              <w:t xml:space="preserve">0.0850 </w:t>
            </w:r>
          </w:p>
        </w:tc>
        <w:tc>
          <w:tcPr>
            <w:tcW w:w="1060" w:type="pct"/>
            <w:vMerge w:val="continue"/>
            <w:tcMar>
              <w:left w:w="0" w:type="dxa"/>
              <w:right w:w="0" w:type="dxa"/>
            </w:tcMar>
            <w:vAlign w:val="center"/>
          </w:tcPr>
          <w:p w14:paraId="1841EEA5">
            <w:pPr>
              <w:pStyle w:val="26"/>
              <w:bidi w:val="0"/>
              <w:rPr>
                <w:rFonts w:hint="default"/>
                <w:color w:val="auto"/>
                <w:lang w:val="en-US" w:eastAsia="zh-CN"/>
              </w:rPr>
            </w:pPr>
          </w:p>
        </w:tc>
      </w:tr>
      <w:tr w14:paraId="3BD9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607" w:type="pct"/>
            <w:vMerge w:val="continue"/>
            <w:tcMar>
              <w:left w:w="0" w:type="dxa"/>
              <w:right w:w="0" w:type="dxa"/>
            </w:tcMar>
            <w:vAlign w:val="center"/>
          </w:tcPr>
          <w:p w14:paraId="744672D7">
            <w:pPr>
              <w:pStyle w:val="26"/>
              <w:bidi w:val="0"/>
              <w:rPr>
                <w:color w:val="auto"/>
              </w:rPr>
            </w:pPr>
          </w:p>
        </w:tc>
        <w:tc>
          <w:tcPr>
            <w:tcW w:w="785" w:type="pct"/>
            <w:vMerge w:val="continue"/>
            <w:tcMar>
              <w:left w:w="0" w:type="dxa"/>
              <w:right w:w="0" w:type="dxa"/>
            </w:tcMar>
            <w:vAlign w:val="center"/>
          </w:tcPr>
          <w:p w14:paraId="75798CBF">
            <w:pPr>
              <w:pStyle w:val="26"/>
              <w:bidi w:val="0"/>
              <w:rPr>
                <w:color w:val="auto"/>
              </w:rPr>
            </w:pPr>
          </w:p>
        </w:tc>
        <w:tc>
          <w:tcPr>
            <w:tcW w:w="1051" w:type="pct"/>
            <w:shd w:val="clear" w:color="auto" w:fill="auto"/>
            <w:noWrap/>
            <w:tcMar>
              <w:left w:w="0" w:type="dxa"/>
              <w:right w:w="0" w:type="dxa"/>
            </w:tcMar>
            <w:vAlign w:val="center"/>
          </w:tcPr>
          <w:p w14:paraId="7B5A9C4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石油类</w:t>
            </w:r>
          </w:p>
        </w:tc>
        <w:tc>
          <w:tcPr>
            <w:tcW w:w="730" w:type="pct"/>
            <w:shd w:val="clear" w:color="auto" w:fill="auto"/>
            <w:noWrap/>
            <w:tcMar>
              <w:left w:w="0" w:type="dxa"/>
              <w:right w:w="0" w:type="dxa"/>
            </w:tcMar>
            <w:vAlign w:val="center"/>
          </w:tcPr>
          <w:p w14:paraId="75267949">
            <w:pPr>
              <w:pStyle w:val="26"/>
              <w:bidi w:val="0"/>
              <w:rPr>
                <w:rFonts w:hint="default"/>
                <w:color w:val="auto"/>
                <w:lang w:val="en-US" w:eastAsia="zh-CN"/>
              </w:rPr>
            </w:pPr>
            <w:r>
              <w:rPr>
                <w:rFonts w:hint="eastAsia"/>
                <w:color w:val="auto"/>
                <w:lang w:val="en-US" w:eastAsia="zh-CN"/>
              </w:rPr>
              <w:t>20</w:t>
            </w:r>
          </w:p>
        </w:tc>
        <w:tc>
          <w:tcPr>
            <w:tcW w:w="1332" w:type="dxa"/>
            <w:shd w:val="clear" w:color="auto" w:fill="auto"/>
            <w:noWrap/>
            <w:tcMar>
              <w:left w:w="0" w:type="dxa"/>
              <w:right w:w="0" w:type="dxa"/>
            </w:tcMar>
            <w:vAlign w:val="center"/>
          </w:tcPr>
          <w:p w14:paraId="32BEDF20">
            <w:pPr>
              <w:pStyle w:val="26"/>
              <w:bidi w:val="0"/>
              <w:rPr>
                <w:rFonts w:hint="default"/>
                <w:lang w:val="en-US" w:eastAsia="zh-CN"/>
              </w:rPr>
            </w:pPr>
            <w:r>
              <w:rPr>
                <w:rFonts w:hint="default"/>
                <w:lang w:val="en-US" w:eastAsia="zh-CN"/>
              </w:rPr>
              <w:t xml:space="preserve">0.8505 </w:t>
            </w:r>
          </w:p>
        </w:tc>
        <w:tc>
          <w:tcPr>
            <w:tcW w:w="1060" w:type="pct"/>
            <w:vMerge w:val="continue"/>
            <w:tcMar>
              <w:left w:w="0" w:type="dxa"/>
              <w:right w:w="0" w:type="dxa"/>
            </w:tcMar>
            <w:vAlign w:val="center"/>
          </w:tcPr>
          <w:p w14:paraId="67F91AEB">
            <w:pPr>
              <w:pStyle w:val="26"/>
              <w:bidi w:val="0"/>
              <w:rPr>
                <w:color w:val="auto"/>
              </w:rPr>
            </w:pPr>
          </w:p>
        </w:tc>
      </w:tr>
      <w:tr w14:paraId="115F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restart"/>
            <w:tcMar>
              <w:left w:w="0" w:type="dxa"/>
              <w:right w:w="0" w:type="dxa"/>
            </w:tcMar>
            <w:vAlign w:val="center"/>
          </w:tcPr>
          <w:p w14:paraId="65ACFCAC">
            <w:pPr>
              <w:pStyle w:val="26"/>
              <w:bidi w:val="0"/>
              <w:rPr>
                <w:color w:val="auto"/>
              </w:rPr>
            </w:pPr>
            <w:r>
              <w:rPr>
                <w:rFonts w:hint="eastAsia"/>
                <w:color w:val="auto"/>
                <w:lang w:val="en-US" w:eastAsia="zh-CN"/>
              </w:rPr>
              <w:t>生活污水</w:t>
            </w:r>
          </w:p>
        </w:tc>
        <w:tc>
          <w:tcPr>
            <w:tcW w:w="1051" w:type="pct"/>
            <w:noWrap/>
            <w:tcMar>
              <w:left w:w="0" w:type="dxa"/>
              <w:right w:w="0" w:type="dxa"/>
            </w:tcMar>
            <w:vAlign w:val="center"/>
          </w:tcPr>
          <w:p w14:paraId="3257BC52">
            <w:pPr>
              <w:pStyle w:val="26"/>
              <w:bidi w:val="0"/>
              <w:rPr>
                <w:rFonts w:hint="default"/>
                <w:color w:val="auto"/>
                <w:lang w:val="en-US" w:eastAsia="zh-CN"/>
              </w:rPr>
            </w:pPr>
            <w:r>
              <w:rPr>
                <w:rFonts w:hint="eastAsia"/>
                <w:color w:val="auto"/>
                <w:lang w:val="en-US" w:eastAsia="zh-CN"/>
              </w:rPr>
              <w:t>废水量</w:t>
            </w:r>
          </w:p>
        </w:tc>
        <w:tc>
          <w:tcPr>
            <w:tcW w:w="730" w:type="pct"/>
            <w:shd w:val="clear" w:color="auto" w:fill="auto"/>
            <w:noWrap/>
            <w:tcMar>
              <w:left w:w="0" w:type="dxa"/>
              <w:right w:w="0" w:type="dxa"/>
            </w:tcMar>
            <w:vAlign w:val="center"/>
          </w:tcPr>
          <w:p w14:paraId="206F6E42">
            <w:pPr>
              <w:pStyle w:val="26"/>
              <w:bidi w:val="0"/>
              <w:rPr>
                <w:rFonts w:hint="default"/>
                <w:color w:val="auto"/>
                <w:lang w:val="en-US" w:eastAsia="zh-CN"/>
              </w:rPr>
            </w:pPr>
            <w:r>
              <w:rPr>
                <w:rFonts w:hint="default"/>
                <w:color w:val="auto"/>
                <w:lang w:val="en-US" w:eastAsia="zh-CN"/>
              </w:rPr>
              <w:t>/</w:t>
            </w:r>
          </w:p>
        </w:tc>
        <w:tc>
          <w:tcPr>
            <w:tcW w:w="1332" w:type="dxa"/>
            <w:noWrap/>
            <w:tcMar>
              <w:left w:w="0" w:type="dxa"/>
              <w:right w:w="0" w:type="dxa"/>
            </w:tcMar>
            <w:vAlign w:val="center"/>
          </w:tcPr>
          <w:p w14:paraId="53432DA2">
            <w:pPr>
              <w:pStyle w:val="26"/>
              <w:bidi w:val="0"/>
              <w:rPr>
                <w:rFonts w:hint="default"/>
                <w:lang w:val="en-US" w:eastAsia="zh-CN"/>
              </w:rPr>
            </w:pPr>
            <w:r>
              <w:rPr>
                <w:rFonts w:hint="default"/>
                <w:lang w:val="en-US" w:eastAsia="zh-CN"/>
              </w:rPr>
              <w:t>3344</w:t>
            </w:r>
          </w:p>
        </w:tc>
        <w:tc>
          <w:tcPr>
            <w:tcW w:w="1060" w:type="pct"/>
            <w:vMerge w:val="restart"/>
            <w:tcMar>
              <w:left w:w="0" w:type="dxa"/>
              <w:right w:w="0" w:type="dxa"/>
            </w:tcMar>
            <w:vAlign w:val="center"/>
          </w:tcPr>
          <w:p w14:paraId="4BA30251">
            <w:pPr>
              <w:pStyle w:val="26"/>
              <w:bidi w:val="0"/>
              <w:rPr>
                <w:rFonts w:hint="eastAsia" w:eastAsia="仿宋_GB2312"/>
                <w:color w:val="auto"/>
                <w:lang w:val="en-US" w:eastAsia="zh-CN"/>
              </w:rPr>
            </w:pPr>
            <w:r>
              <w:rPr>
                <w:rFonts w:hint="eastAsia"/>
                <w:color w:val="auto"/>
                <w:lang w:val="en-US" w:eastAsia="zh-CN"/>
              </w:rPr>
              <w:t>化粪池处理</w:t>
            </w:r>
          </w:p>
        </w:tc>
      </w:tr>
      <w:tr w14:paraId="5715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continue"/>
            <w:tcMar>
              <w:left w:w="0" w:type="dxa"/>
              <w:right w:w="0" w:type="dxa"/>
            </w:tcMar>
            <w:vAlign w:val="center"/>
          </w:tcPr>
          <w:p w14:paraId="0E6A6561">
            <w:pPr>
              <w:pStyle w:val="26"/>
              <w:bidi w:val="0"/>
              <w:rPr>
                <w:color w:val="auto"/>
              </w:rPr>
            </w:pPr>
          </w:p>
        </w:tc>
        <w:tc>
          <w:tcPr>
            <w:tcW w:w="1051" w:type="pct"/>
            <w:noWrap/>
            <w:tcMar>
              <w:left w:w="0" w:type="dxa"/>
              <w:right w:w="0" w:type="dxa"/>
            </w:tcMar>
            <w:vAlign w:val="center"/>
          </w:tcPr>
          <w:p w14:paraId="4132932E">
            <w:pPr>
              <w:pStyle w:val="26"/>
              <w:bidi w:val="0"/>
              <w:rPr>
                <w:rFonts w:hint="default"/>
                <w:color w:val="auto"/>
                <w:lang w:val="en-US" w:eastAsia="zh-CN"/>
              </w:rPr>
            </w:pPr>
            <w:r>
              <w:rPr>
                <w:rFonts w:hint="default"/>
                <w:color w:val="auto"/>
                <w:lang w:val="en-US" w:eastAsia="zh-CN"/>
              </w:rPr>
              <w:t>COD</w:t>
            </w:r>
          </w:p>
        </w:tc>
        <w:tc>
          <w:tcPr>
            <w:tcW w:w="730" w:type="pct"/>
            <w:shd w:val="clear" w:color="auto" w:fill="auto"/>
            <w:noWrap/>
            <w:tcMar>
              <w:left w:w="0" w:type="dxa"/>
              <w:right w:w="0" w:type="dxa"/>
            </w:tcMar>
            <w:vAlign w:val="center"/>
          </w:tcPr>
          <w:p w14:paraId="26081C26">
            <w:pPr>
              <w:pStyle w:val="26"/>
              <w:bidi w:val="0"/>
              <w:rPr>
                <w:rFonts w:hint="default"/>
                <w:color w:val="auto"/>
                <w:lang w:val="en-US" w:eastAsia="zh-CN"/>
              </w:rPr>
            </w:pPr>
            <w:r>
              <w:rPr>
                <w:rFonts w:hint="eastAsia"/>
                <w:color w:val="auto"/>
                <w:lang w:val="en-US" w:eastAsia="zh-CN"/>
              </w:rPr>
              <w:t>350</w:t>
            </w:r>
          </w:p>
        </w:tc>
        <w:tc>
          <w:tcPr>
            <w:tcW w:w="1332" w:type="dxa"/>
            <w:noWrap/>
            <w:tcMar>
              <w:left w:w="0" w:type="dxa"/>
              <w:right w:w="0" w:type="dxa"/>
            </w:tcMar>
            <w:vAlign w:val="center"/>
          </w:tcPr>
          <w:p w14:paraId="5F6BA630">
            <w:pPr>
              <w:pStyle w:val="26"/>
              <w:bidi w:val="0"/>
              <w:rPr>
                <w:rFonts w:hint="default"/>
                <w:lang w:val="en-US" w:eastAsia="zh-CN"/>
              </w:rPr>
            </w:pPr>
            <w:r>
              <w:rPr>
                <w:rFonts w:hint="default"/>
                <w:lang w:val="en-US" w:eastAsia="zh-CN"/>
              </w:rPr>
              <w:t xml:space="preserve">1.1704 </w:t>
            </w:r>
          </w:p>
        </w:tc>
        <w:tc>
          <w:tcPr>
            <w:tcW w:w="1060" w:type="pct"/>
            <w:vMerge w:val="continue"/>
            <w:tcMar>
              <w:left w:w="0" w:type="dxa"/>
              <w:right w:w="0" w:type="dxa"/>
            </w:tcMar>
            <w:vAlign w:val="center"/>
          </w:tcPr>
          <w:p w14:paraId="0DF203CC">
            <w:pPr>
              <w:pStyle w:val="26"/>
              <w:bidi w:val="0"/>
              <w:rPr>
                <w:color w:val="auto"/>
              </w:rPr>
            </w:pPr>
          </w:p>
        </w:tc>
      </w:tr>
      <w:tr w14:paraId="5BDC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continue"/>
            <w:tcMar>
              <w:left w:w="0" w:type="dxa"/>
              <w:right w:w="0" w:type="dxa"/>
            </w:tcMar>
            <w:vAlign w:val="center"/>
          </w:tcPr>
          <w:p w14:paraId="47C6FADC">
            <w:pPr>
              <w:pStyle w:val="26"/>
              <w:bidi w:val="0"/>
              <w:rPr>
                <w:color w:val="auto"/>
              </w:rPr>
            </w:pPr>
          </w:p>
        </w:tc>
        <w:tc>
          <w:tcPr>
            <w:tcW w:w="1051" w:type="pct"/>
            <w:shd w:val="clear" w:color="auto" w:fill="auto"/>
            <w:noWrap/>
            <w:tcMar>
              <w:left w:w="0" w:type="dxa"/>
              <w:right w:w="0" w:type="dxa"/>
            </w:tcMar>
            <w:vAlign w:val="center"/>
          </w:tcPr>
          <w:p w14:paraId="6F8A1215">
            <w:pPr>
              <w:pStyle w:val="26"/>
              <w:bidi w:val="0"/>
              <w:rPr>
                <w:rFonts w:hint="eastAsia"/>
                <w:color w:val="auto"/>
                <w:lang w:val="en-US" w:eastAsia="zh-CN"/>
              </w:rPr>
            </w:pPr>
            <w:r>
              <w:rPr>
                <w:rFonts w:hint="default"/>
                <w:color w:val="auto"/>
                <w:lang w:val="en-US" w:eastAsia="zh-CN"/>
              </w:rPr>
              <w:t>SS</w:t>
            </w:r>
          </w:p>
        </w:tc>
        <w:tc>
          <w:tcPr>
            <w:tcW w:w="730" w:type="pct"/>
            <w:shd w:val="clear" w:color="auto" w:fill="auto"/>
            <w:noWrap/>
            <w:tcMar>
              <w:left w:w="0" w:type="dxa"/>
              <w:right w:w="0" w:type="dxa"/>
            </w:tcMar>
            <w:vAlign w:val="center"/>
          </w:tcPr>
          <w:p w14:paraId="5C59D795">
            <w:pPr>
              <w:pStyle w:val="26"/>
              <w:bidi w:val="0"/>
              <w:rPr>
                <w:rFonts w:hint="default"/>
                <w:color w:val="auto"/>
                <w:lang w:val="en-US" w:eastAsia="zh-CN"/>
              </w:rPr>
            </w:pPr>
            <w:r>
              <w:rPr>
                <w:rFonts w:hint="eastAsia"/>
                <w:color w:val="auto"/>
                <w:lang w:val="en-US" w:eastAsia="zh-CN"/>
              </w:rPr>
              <w:t>100</w:t>
            </w:r>
          </w:p>
        </w:tc>
        <w:tc>
          <w:tcPr>
            <w:tcW w:w="1332" w:type="dxa"/>
            <w:noWrap/>
            <w:tcMar>
              <w:left w:w="0" w:type="dxa"/>
              <w:right w:w="0" w:type="dxa"/>
            </w:tcMar>
            <w:vAlign w:val="center"/>
          </w:tcPr>
          <w:p w14:paraId="0BC6BB0C">
            <w:pPr>
              <w:pStyle w:val="26"/>
              <w:bidi w:val="0"/>
              <w:rPr>
                <w:rFonts w:hint="default"/>
                <w:lang w:val="en-US" w:eastAsia="zh-CN"/>
              </w:rPr>
            </w:pPr>
            <w:r>
              <w:rPr>
                <w:rFonts w:hint="default"/>
                <w:lang w:val="en-US" w:eastAsia="zh-CN"/>
              </w:rPr>
              <w:t xml:space="preserve">0.3344 </w:t>
            </w:r>
          </w:p>
        </w:tc>
        <w:tc>
          <w:tcPr>
            <w:tcW w:w="1060" w:type="pct"/>
            <w:vMerge w:val="continue"/>
            <w:tcMar>
              <w:left w:w="0" w:type="dxa"/>
              <w:right w:w="0" w:type="dxa"/>
            </w:tcMar>
            <w:vAlign w:val="center"/>
          </w:tcPr>
          <w:p w14:paraId="69A3D5D7">
            <w:pPr>
              <w:pStyle w:val="26"/>
              <w:bidi w:val="0"/>
              <w:rPr>
                <w:color w:val="auto"/>
              </w:rPr>
            </w:pPr>
          </w:p>
        </w:tc>
      </w:tr>
      <w:tr w14:paraId="45C1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continue"/>
            <w:tcMar>
              <w:left w:w="0" w:type="dxa"/>
              <w:right w:w="0" w:type="dxa"/>
            </w:tcMar>
            <w:vAlign w:val="center"/>
          </w:tcPr>
          <w:p w14:paraId="368D7485">
            <w:pPr>
              <w:pStyle w:val="26"/>
              <w:bidi w:val="0"/>
              <w:rPr>
                <w:color w:val="auto"/>
              </w:rPr>
            </w:pPr>
          </w:p>
        </w:tc>
        <w:tc>
          <w:tcPr>
            <w:tcW w:w="1051" w:type="pct"/>
            <w:shd w:val="clear" w:color="auto" w:fill="auto"/>
            <w:noWrap/>
            <w:tcMar>
              <w:left w:w="0" w:type="dxa"/>
              <w:right w:w="0" w:type="dxa"/>
            </w:tcMar>
            <w:vAlign w:val="center"/>
          </w:tcPr>
          <w:p w14:paraId="7A206F20">
            <w:pPr>
              <w:pStyle w:val="26"/>
              <w:bidi w:val="0"/>
              <w:rPr>
                <w:rFonts w:hint="eastAsia"/>
                <w:color w:val="auto"/>
              </w:rPr>
            </w:pPr>
            <w:r>
              <w:rPr>
                <w:color w:val="auto"/>
                <w:lang w:val="en-US" w:eastAsia="zh-CN"/>
              </w:rPr>
              <w:t>NH</w:t>
            </w:r>
            <w:r>
              <w:rPr>
                <w:rFonts w:hint="default"/>
                <w:color w:val="auto"/>
                <w:vertAlign w:val="subscript"/>
                <w:lang w:val="en-US" w:eastAsia="zh-CN"/>
              </w:rPr>
              <w:t>3</w:t>
            </w:r>
            <w:r>
              <w:rPr>
                <w:color w:val="auto"/>
                <w:lang w:val="en-US" w:eastAsia="zh-CN"/>
              </w:rPr>
              <w:t>-N</w:t>
            </w:r>
          </w:p>
        </w:tc>
        <w:tc>
          <w:tcPr>
            <w:tcW w:w="730" w:type="pct"/>
            <w:shd w:val="clear" w:color="auto" w:fill="auto"/>
            <w:noWrap/>
            <w:tcMar>
              <w:left w:w="0" w:type="dxa"/>
              <w:right w:w="0" w:type="dxa"/>
            </w:tcMar>
            <w:vAlign w:val="center"/>
          </w:tcPr>
          <w:p w14:paraId="51B72BC0">
            <w:pPr>
              <w:pStyle w:val="26"/>
              <w:bidi w:val="0"/>
              <w:rPr>
                <w:rFonts w:hint="default"/>
                <w:color w:val="auto"/>
                <w:lang w:val="en-US" w:eastAsia="zh-CN"/>
              </w:rPr>
            </w:pPr>
            <w:r>
              <w:rPr>
                <w:rFonts w:hint="default"/>
                <w:color w:val="auto"/>
                <w:lang w:val="en-US" w:eastAsia="zh-CN"/>
              </w:rPr>
              <w:t>4</w:t>
            </w:r>
            <w:r>
              <w:rPr>
                <w:rFonts w:hint="eastAsia"/>
                <w:color w:val="auto"/>
                <w:lang w:val="en-US" w:eastAsia="zh-CN"/>
              </w:rPr>
              <w:t>5</w:t>
            </w:r>
          </w:p>
        </w:tc>
        <w:tc>
          <w:tcPr>
            <w:tcW w:w="1332" w:type="dxa"/>
            <w:noWrap/>
            <w:tcMar>
              <w:left w:w="0" w:type="dxa"/>
              <w:right w:w="0" w:type="dxa"/>
            </w:tcMar>
            <w:vAlign w:val="center"/>
          </w:tcPr>
          <w:p w14:paraId="75731E4B">
            <w:pPr>
              <w:pStyle w:val="26"/>
              <w:bidi w:val="0"/>
              <w:rPr>
                <w:rFonts w:hint="default"/>
                <w:lang w:val="en-US" w:eastAsia="zh-CN"/>
              </w:rPr>
            </w:pPr>
            <w:r>
              <w:rPr>
                <w:rFonts w:hint="default"/>
                <w:lang w:val="en-US" w:eastAsia="zh-CN"/>
              </w:rPr>
              <w:t xml:space="preserve">0.1505 </w:t>
            </w:r>
          </w:p>
        </w:tc>
        <w:tc>
          <w:tcPr>
            <w:tcW w:w="1060" w:type="pct"/>
            <w:vMerge w:val="continue"/>
            <w:tcMar>
              <w:left w:w="0" w:type="dxa"/>
              <w:right w:w="0" w:type="dxa"/>
            </w:tcMar>
            <w:vAlign w:val="center"/>
          </w:tcPr>
          <w:p w14:paraId="15462D3C">
            <w:pPr>
              <w:pStyle w:val="26"/>
              <w:bidi w:val="0"/>
              <w:rPr>
                <w:color w:val="auto"/>
              </w:rPr>
            </w:pPr>
          </w:p>
        </w:tc>
      </w:tr>
      <w:tr w14:paraId="4B31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continue"/>
            <w:tcMar>
              <w:left w:w="0" w:type="dxa"/>
              <w:right w:w="0" w:type="dxa"/>
            </w:tcMar>
            <w:vAlign w:val="center"/>
          </w:tcPr>
          <w:p w14:paraId="4DC6A368">
            <w:pPr>
              <w:pStyle w:val="26"/>
              <w:bidi w:val="0"/>
              <w:rPr>
                <w:color w:val="auto"/>
              </w:rPr>
            </w:pPr>
          </w:p>
        </w:tc>
        <w:tc>
          <w:tcPr>
            <w:tcW w:w="1051" w:type="pct"/>
            <w:shd w:val="clear" w:color="auto" w:fill="auto"/>
            <w:noWrap/>
            <w:tcMar>
              <w:left w:w="0" w:type="dxa"/>
              <w:right w:w="0" w:type="dxa"/>
            </w:tcMar>
            <w:vAlign w:val="center"/>
          </w:tcPr>
          <w:p w14:paraId="78D0ABC2">
            <w:pPr>
              <w:pStyle w:val="26"/>
              <w:bidi w:val="0"/>
              <w:rPr>
                <w:rFonts w:hint="eastAsia"/>
                <w:color w:val="auto"/>
              </w:rPr>
            </w:pPr>
            <w:r>
              <w:rPr>
                <w:rFonts w:hint="default"/>
                <w:color w:val="auto"/>
                <w:lang w:val="en-US" w:eastAsia="zh-CN"/>
              </w:rPr>
              <w:t>TN</w:t>
            </w:r>
          </w:p>
        </w:tc>
        <w:tc>
          <w:tcPr>
            <w:tcW w:w="730" w:type="pct"/>
            <w:shd w:val="clear" w:color="auto" w:fill="auto"/>
            <w:noWrap/>
            <w:tcMar>
              <w:left w:w="0" w:type="dxa"/>
              <w:right w:w="0" w:type="dxa"/>
            </w:tcMar>
            <w:vAlign w:val="center"/>
          </w:tcPr>
          <w:p w14:paraId="794C4397">
            <w:pPr>
              <w:pStyle w:val="26"/>
              <w:bidi w:val="0"/>
              <w:rPr>
                <w:rFonts w:hint="default"/>
                <w:color w:val="auto"/>
                <w:lang w:val="en-US" w:eastAsia="zh-CN"/>
              </w:rPr>
            </w:pPr>
            <w:r>
              <w:rPr>
                <w:rFonts w:hint="eastAsia"/>
                <w:color w:val="auto"/>
                <w:lang w:val="en-US" w:eastAsia="zh-CN"/>
              </w:rPr>
              <w:t>50</w:t>
            </w:r>
          </w:p>
        </w:tc>
        <w:tc>
          <w:tcPr>
            <w:tcW w:w="1332" w:type="dxa"/>
            <w:noWrap/>
            <w:tcMar>
              <w:left w:w="0" w:type="dxa"/>
              <w:right w:w="0" w:type="dxa"/>
            </w:tcMar>
            <w:vAlign w:val="center"/>
          </w:tcPr>
          <w:p w14:paraId="0CCF23FC">
            <w:pPr>
              <w:pStyle w:val="26"/>
              <w:bidi w:val="0"/>
              <w:rPr>
                <w:rFonts w:hint="default"/>
                <w:lang w:val="en-US" w:eastAsia="zh-CN"/>
              </w:rPr>
            </w:pPr>
            <w:r>
              <w:rPr>
                <w:rFonts w:hint="default"/>
                <w:lang w:val="en-US" w:eastAsia="zh-CN"/>
              </w:rPr>
              <w:t xml:space="preserve">0.1672 </w:t>
            </w:r>
          </w:p>
        </w:tc>
        <w:tc>
          <w:tcPr>
            <w:tcW w:w="1060" w:type="pct"/>
            <w:vMerge w:val="continue"/>
            <w:tcMar>
              <w:left w:w="0" w:type="dxa"/>
              <w:right w:w="0" w:type="dxa"/>
            </w:tcMar>
            <w:vAlign w:val="center"/>
          </w:tcPr>
          <w:p w14:paraId="72B56E03">
            <w:pPr>
              <w:pStyle w:val="26"/>
              <w:bidi w:val="0"/>
              <w:rPr>
                <w:color w:val="auto"/>
              </w:rPr>
            </w:pPr>
          </w:p>
        </w:tc>
      </w:tr>
      <w:tr w14:paraId="3E20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392" w:type="pct"/>
            <w:gridSpan w:val="2"/>
            <w:vMerge w:val="continue"/>
            <w:tcMar>
              <w:left w:w="0" w:type="dxa"/>
              <w:right w:w="0" w:type="dxa"/>
            </w:tcMar>
            <w:vAlign w:val="center"/>
          </w:tcPr>
          <w:p w14:paraId="6D83FB66">
            <w:pPr>
              <w:pStyle w:val="26"/>
              <w:bidi w:val="0"/>
              <w:rPr>
                <w:color w:val="auto"/>
              </w:rPr>
            </w:pPr>
          </w:p>
        </w:tc>
        <w:tc>
          <w:tcPr>
            <w:tcW w:w="1051" w:type="pct"/>
            <w:shd w:val="clear" w:color="auto" w:fill="auto"/>
            <w:noWrap/>
            <w:tcMar>
              <w:left w:w="0" w:type="dxa"/>
              <w:right w:w="0" w:type="dxa"/>
            </w:tcMar>
            <w:vAlign w:val="center"/>
          </w:tcPr>
          <w:p w14:paraId="688BB5E8">
            <w:pPr>
              <w:pStyle w:val="26"/>
              <w:bidi w:val="0"/>
              <w:rPr>
                <w:rFonts w:hint="default"/>
                <w:color w:val="auto"/>
                <w:lang w:val="en-US" w:eastAsia="zh-CN"/>
              </w:rPr>
            </w:pPr>
            <w:r>
              <w:rPr>
                <w:rFonts w:hint="default"/>
                <w:color w:val="auto"/>
                <w:lang w:val="en-US" w:eastAsia="zh-CN"/>
              </w:rPr>
              <w:t>TP</w:t>
            </w:r>
          </w:p>
        </w:tc>
        <w:tc>
          <w:tcPr>
            <w:tcW w:w="730" w:type="pct"/>
            <w:shd w:val="clear" w:color="auto" w:fill="auto"/>
            <w:noWrap/>
            <w:tcMar>
              <w:left w:w="0" w:type="dxa"/>
              <w:right w:w="0" w:type="dxa"/>
            </w:tcMar>
            <w:vAlign w:val="center"/>
          </w:tcPr>
          <w:p w14:paraId="41FEF25D">
            <w:pPr>
              <w:pStyle w:val="26"/>
              <w:bidi w:val="0"/>
              <w:rPr>
                <w:rFonts w:hint="default"/>
                <w:color w:val="auto"/>
                <w:lang w:val="en-US" w:eastAsia="zh-CN"/>
              </w:rPr>
            </w:pPr>
            <w:r>
              <w:rPr>
                <w:rFonts w:hint="eastAsia"/>
                <w:color w:val="auto"/>
                <w:lang w:val="en-US" w:eastAsia="zh-CN"/>
              </w:rPr>
              <w:t>6</w:t>
            </w:r>
          </w:p>
        </w:tc>
        <w:tc>
          <w:tcPr>
            <w:tcW w:w="1332" w:type="dxa"/>
            <w:noWrap/>
            <w:tcMar>
              <w:left w:w="0" w:type="dxa"/>
              <w:right w:w="0" w:type="dxa"/>
            </w:tcMar>
            <w:vAlign w:val="center"/>
          </w:tcPr>
          <w:p w14:paraId="6ACCDCC6">
            <w:pPr>
              <w:pStyle w:val="26"/>
              <w:bidi w:val="0"/>
              <w:rPr>
                <w:rFonts w:hint="default"/>
                <w:lang w:val="en-US" w:eastAsia="zh-CN"/>
              </w:rPr>
            </w:pPr>
            <w:r>
              <w:rPr>
                <w:rFonts w:hint="default"/>
                <w:lang w:val="en-US" w:eastAsia="zh-CN"/>
              </w:rPr>
              <w:t xml:space="preserve">0.0201 </w:t>
            </w:r>
          </w:p>
        </w:tc>
        <w:tc>
          <w:tcPr>
            <w:tcW w:w="1060" w:type="pct"/>
            <w:vMerge w:val="continue"/>
            <w:tcMar>
              <w:left w:w="0" w:type="dxa"/>
              <w:right w:w="0" w:type="dxa"/>
            </w:tcMar>
            <w:vAlign w:val="center"/>
          </w:tcPr>
          <w:p w14:paraId="0947684D">
            <w:pPr>
              <w:pStyle w:val="26"/>
              <w:bidi w:val="0"/>
              <w:rPr>
                <w:color w:val="auto"/>
              </w:rPr>
            </w:pPr>
          </w:p>
        </w:tc>
      </w:tr>
    </w:tbl>
    <w:p w14:paraId="493945CF">
      <w:pPr>
        <w:pStyle w:val="26"/>
        <w:bidi w:val="0"/>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81B62D6">
      <w:pPr>
        <w:pStyle w:val="25"/>
        <w:bidi w:val="0"/>
        <w:rPr>
          <w:color w:val="auto"/>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4.5</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2</w:t>
      </w:r>
      <w:r>
        <w:rPr>
          <w:color w:val="auto"/>
          <w:lang w:val="en-US" w:eastAsia="zh-CN"/>
        </w:rPr>
        <w:fldChar w:fldCharType="end"/>
      </w:r>
      <w:r>
        <w:rPr>
          <w:color w:val="auto"/>
          <w:lang w:val="en-US" w:eastAsia="zh-CN"/>
        </w:rPr>
        <w:t>本项目废水产生、排放情况一览表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47"/>
        <w:gridCol w:w="707"/>
        <w:gridCol w:w="1458"/>
        <w:gridCol w:w="1285"/>
        <w:gridCol w:w="931"/>
        <w:gridCol w:w="1666"/>
        <w:gridCol w:w="1085"/>
        <w:gridCol w:w="970"/>
        <w:gridCol w:w="1004"/>
        <w:gridCol w:w="970"/>
        <w:gridCol w:w="970"/>
        <w:gridCol w:w="899"/>
        <w:gridCol w:w="1482"/>
      </w:tblGrid>
      <w:tr w14:paraId="5DEFB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5" w:hRule="atLeast"/>
        </w:trPr>
        <w:tc>
          <w:tcPr>
            <w:tcW w:w="747" w:type="dxa"/>
            <w:vMerge w:val="restart"/>
            <w:tcBorders>
              <w:tl2br w:val="nil"/>
              <w:tr2bl w:val="nil"/>
            </w:tcBorders>
            <w:shd w:val="clear" w:color="auto" w:fill="auto"/>
            <w:vAlign w:val="center"/>
          </w:tcPr>
          <w:p w14:paraId="69EEA667">
            <w:pPr>
              <w:pStyle w:val="36"/>
              <w:bidi w:val="0"/>
              <w:rPr>
                <w:rFonts w:hint="eastAsia"/>
                <w:color w:val="auto"/>
                <w:lang w:val="en-US" w:eastAsia="zh-CN"/>
              </w:rPr>
            </w:pPr>
            <w:r>
              <w:rPr>
                <w:rFonts w:hint="eastAsia"/>
                <w:color w:val="auto"/>
                <w:lang w:val="en-US" w:eastAsia="zh-CN"/>
              </w:rPr>
              <w:t>废水种类</w:t>
            </w:r>
          </w:p>
        </w:tc>
        <w:tc>
          <w:tcPr>
            <w:tcW w:w="707" w:type="dxa"/>
            <w:vMerge w:val="restart"/>
            <w:tcBorders>
              <w:tl2br w:val="nil"/>
              <w:tr2bl w:val="nil"/>
            </w:tcBorders>
            <w:shd w:val="clear" w:color="auto" w:fill="auto"/>
            <w:vAlign w:val="center"/>
          </w:tcPr>
          <w:p w14:paraId="04D85B35">
            <w:pPr>
              <w:pStyle w:val="36"/>
              <w:bidi w:val="0"/>
              <w:rPr>
                <w:rFonts w:hint="eastAsia"/>
                <w:color w:val="auto"/>
                <w:lang w:val="en-US" w:eastAsia="zh-CN"/>
              </w:rPr>
            </w:pPr>
            <w:r>
              <w:rPr>
                <w:rFonts w:hint="eastAsia"/>
                <w:color w:val="auto"/>
                <w:lang w:val="en-US" w:eastAsia="zh-CN"/>
              </w:rPr>
              <w:t>废水量（t/a）</w:t>
            </w:r>
          </w:p>
        </w:tc>
        <w:tc>
          <w:tcPr>
            <w:tcW w:w="1458" w:type="dxa"/>
            <w:vMerge w:val="restart"/>
            <w:tcBorders>
              <w:tl2br w:val="nil"/>
              <w:tr2bl w:val="nil"/>
            </w:tcBorders>
            <w:shd w:val="clear" w:color="auto" w:fill="auto"/>
            <w:vAlign w:val="center"/>
          </w:tcPr>
          <w:p w14:paraId="2EB22070">
            <w:pPr>
              <w:pStyle w:val="36"/>
              <w:bidi w:val="0"/>
              <w:rPr>
                <w:rFonts w:hint="eastAsia"/>
                <w:color w:val="auto"/>
                <w:lang w:val="en-US" w:eastAsia="zh-CN"/>
              </w:rPr>
            </w:pPr>
            <w:r>
              <w:rPr>
                <w:rFonts w:hint="eastAsia"/>
                <w:color w:val="auto"/>
                <w:lang w:val="en-US" w:eastAsia="zh-CN"/>
              </w:rPr>
              <w:t>污染物</w:t>
            </w:r>
          </w:p>
        </w:tc>
        <w:tc>
          <w:tcPr>
            <w:tcW w:w="2216" w:type="dxa"/>
            <w:gridSpan w:val="2"/>
            <w:tcBorders>
              <w:tl2br w:val="nil"/>
              <w:tr2bl w:val="nil"/>
            </w:tcBorders>
            <w:shd w:val="clear" w:color="auto" w:fill="auto"/>
            <w:vAlign w:val="center"/>
          </w:tcPr>
          <w:p w14:paraId="0A9A212A">
            <w:pPr>
              <w:pStyle w:val="36"/>
              <w:bidi w:val="0"/>
              <w:rPr>
                <w:rFonts w:hint="eastAsia"/>
                <w:color w:val="auto"/>
                <w:lang w:val="en-US" w:eastAsia="zh-CN"/>
              </w:rPr>
            </w:pPr>
            <w:r>
              <w:rPr>
                <w:rFonts w:hint="eastAsia"/>
                <w:color w:val="auto"/>
                <w:lang w:val="en-US" w:eastAsia="zh-CN"/>
              </w:rPr>
              <w:t>产生情况</w:t>
            </w:r>
          </w:p>
        </w:tc>
        <w:tc>
          <w:tcPr>
            <w:tcW w:w="1666" w:type="dxa"/>
            <w:vMerge w:val="restart"/>
            <w:tcBorders>
              <w:tl2br w:val="nil"/>
              <w:tr2bl w:val="nil"/>
            </w:tcBorders>
            <w:shd w:val="clear" w:color="auto" w:fill="auto"/>
            <w:vAlign w:val="center"/>
          </w:tcPr>
          <w:p w14:paraId="1E6EFF33">
            <w:pPr>
              <w:pStyle w:val="36"/>
              <w:bidi w:val="0"/>
              <w:rPr>
                <w:rFonts w:hint="eastAsia"/>
                <w:color w:val="auto"/>
                <w:lang w:val="en-US" w:eastAsia="zh-CN"/>
              </w:rPr>
            </w:pPr>
            <w:r>
              <w:rPr>
                <w:rFonts w:hint="eastAsia"/>
                <w:color w:val="auto"/>
                <w:lang w:val="en-US" w:eastAsia="zh-CN"/>
              </w:rPr>
              <w:t>治理措施</w:t>
            </w:r>
          </w:p>
        </w:tc>
        <w:tc>
          <w:tcPr>
            <w:tcW w:w="1085" w:type="dxa"/>
            <w:vMerge w:val="restart"/>
            <w:tcBorders>
              <w:tl2br w:val="nil"/>
              <w:tr2bl w:val="nil"/>
            </w:tcBorders>
            <w:shd w:val="clear" w:color="auto" w:fill="auto"/>
            <w:vAlign w:val="center"/>
          </w:tcPr>
          <w:p w14:paraId="722917D4">
            <w:pPr>
              <w:pStyle w:val="36"/>
              <w:bidi w:val="0"/>
              <w:rPr>
                <w:rFonts w:hint="eastAsia"/>
                <w:color w:val="auto"/>
                <w:lang w:val="en-US" w:eastAsia="zh-CN"/>
              </w:rPr>
            </w:pPr>
            <w:r>
              <w:rPr>
                <w:rFonts w:hint="eastAsia"/>
                <w:color w:val="auto"/>
                <w:lang w:val="en-US" w:eastAsia="zh-CN"/>
              </w:rPr>
              <w:t>废水量（t/a）</w:t>
            </w:r>
          </w:p>
        </w:tc>
        <w:tc>
          <w:tcPr>
            <w:tcW w:w="2944" w:type="dxa"/>
            <w:gridSpan w:val="3"/>
            <w:tcBorders>
              <w:tl2br w:val="nil"/>
              <w:tr2bl w:val="nil"/>
            </w:tcBorders>
            <w:shd w:val="clear" w:color="auto" w:fill="auto"/>
            <w:vAlign w:val="center"/>
          </w:tcPr>
          <w:p w14:paraId="54CBFE04">
            <w:pPr>
              <w:pStyle w:val="36"/>
              <w:bidi w:val="0"/>
              <w:rPr>
                <w:rFonts w:hint="eastAsia"/>
                <w:color w:val="auto"/>
                <w:lang w:val="en-US" w:eastAsia="zh-CN"/>
              </w:rPr>
            </w:pPr>
            <w:r>
              <w:rPr>
                <w:rFonts w:hint="eastAsia"/>
                <w:color w:val="auto"/>
                <w:lang w:val="en-US" w:eastAsia="zh-CN"/>
              </w:rPr>
              <w:t>接管情况</w:t>
            </w:r>
          </w:p>
        </w:tc>
        <w:tc>
          <w:tcPr>
            <w:tcW w:w="1869" w:type="dxa"/>
            <w:gridSpan w:val="2"/>
            <w:tcBorders>
              <w:tl2br w:val="nil"/>
              <w:tr2bl w:val="nil"/>
            </w:tcBorders>
            <w:shd w:val="clear" w:color="auto" w:fill="auto"/>
            <w:vAlign w:val="center"/>
          </w:tcPr>
          <w:p w14:paraId="78281D65">
            <w:pPr>
              <w:pStyle w:val="36"/>
              <w:bidi w:val="0"/>
              <w:rPr>
                <w:rFonts w:hint="eastAsia"/>
                <w:color w:val="auto"/>
                <w:lang w:val="en-US" w:eastAsia="zh-CN"/>
              </w:rPr>
            </w:pPr>
            <w:r>
              <w:rPr>
                <w:rFonts w:hint="eastAsia"/>
                <w:color w:val="auto"/>
                <w:lang w:val="en-US" w:eastAsia="zh-CN"/>
              </w:rPr>
              <w:t>外排情况</w:t>
            </w:r>
          </w:p>
        </w:tc>
        <w:tc>
          <w:tcPr>
            <w:tcW w:w="1482" w:type="dxa"/>
            <w:vMerge w:val="restart"/>
            <w:tcBorders>
              <w:tl2br w:val="nil"/>
              <w:tr2bl w:val="nil"/>
            </w:tcBorders>
            <w:shd w:val="clear" w:color="auto" w:fill="auto"/>
            <w:vAlign w:val="center"/>
          </w:tcPr>
          <w:p w14:paraId="554F2A4F">
            <w:pPr>
              <w:pStyle w:val="36"/>
              <w:bidi w:val="0"/>
              <w:rPr>
                <w:rFonts w:hint="eastAsia"/>
                <w:color w:val="auto"/>
                <w:lang w:val="en-US" w:eastAsia="zh-CN"/>
              </w:rPr>
            </w:pPr>
            <w:r>
              <w:rPr>
                <w:rFonts w:hint="eastAsia"/>
                <w:color w:val="auto"/>
                <w:lang w:val="en-US" w:eastAsia="zh-CN"/>
              </w:rPr>
              <w:t>外排方式及去向</w:t>
            </w:r>
          </w:p>
        </w:tc>
      </w:tr>
      <w:tr w14:paraId="26155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47" w:type="dxa"/>
            <w:vMerge w:val="continue"/>
            <w:tcBorders>
              <w:tl2br w:val="nil"/>
              <w:tr2bl w:val="nil"/>
            </w:tcBorders>
            <w:shd w:val="clear" w:color="auto" w:fill="auto"/>
            <w:vAlign w:val="center"/>
          </w:tcPr>
          <w:p w14:paraId="26E8BF29">
            <w:pPr>
              <w:pStyle w:val="36"/>
              <w:bidi w:val="0"/>
              <w:rPr>
                <w:rFonts w:hint="eastAsia"/>
                <w:color w:val="auto"/>
                <w:lang w:val="en-US" w:eastAsia="zh-CN"/>
              </w:rPr>
            </w:pPr>
          </w:p>
        </w:tc>
        <w:tc>
          <w:tcPr>
            <w:tcW w:w="707" w:type="dxa"/>
            <w:vMerge w:val="continue"/>
            <w:tcBorders>
              <w:tl2br w:val="nil"/>
              <w:tr2bl w:val="nil"/>
            </w:tcBorders>
            <w:shd w:val="clear" w:color="auto" w:fill="auto"/>
            <w:vAlign w:val="center"/>
          </w:tcPr>
          <w:p w14:paraId="381808B5">
            <w:pPr>
              <w:pStyle w:val="36"/>
              <w:bidi w:val="0"/>
              <w:rPr>
                <w:rFonts w:hint="eastAsia"/>
                <w:color w:val="auto"/>
                <w:lang w:val="en-US" w:eastAsia="zh-CN"/>
              </w:rPr>
            </w:pPr>
          </w:p>
        </w:tc>
        <w:tc>
          <w:tcPr>
            <w:tcW w:w="1458" w:type="dxa"/>
            <w:vMerge w:val="continue"/>
            <w:tcBorders>
              <w:tl2br w:val="nil"/>
              <w:tr2bl w:val="nil"/>
            </w:tcBorders>
            <w:shd w:val="clear" w:color="auto" w:fill="auto"/>
            <w:vAlign w:val="center"/>
          </w:tcPr>
          <w:p w14:paraId="0E446ADC">
            <w:pPr>
              <w:pStyle w:val="36"/>
              <w:bidi w:val="0"/>
              <w:rPr>
                <w:rFonts w:hint="eastAsia"/>
                <w:color w:val="auto"/>
                <w:lang w:val="en-US" w:eastAsia="zh-CN"/>
              </w:rPr>
            </w:pPr>
          </w:p>
        </w:tc>
        <w:tc>
          <w:tcPr>
            <w:tcW w:w="1285" w:type="dxa"/>
            <w:tcBorders>
              <w:tl2br w:val="nil"/>
              <w:tr2bl w:val="nil"/>
            </w:tcBorders>
            <w:shd w:val="clear" w:color="auto" w:fill="auto"/>
            <w:vAlign w:val="center"/>
          </w:tcPr>
          <w:p w14:paraId="3D435547">
            <w:pPr>
              <w:pStyle w:val="36"/>
              <w:bidi w:val="0"/>
              <w:rPr>
                <w:rFonts w:hint="eastAsia"/>
                <w:color w:val="auto"/>
                <w:lang w:val="en-US" w:eastAsia="zh-CN"/>
              </w:rPr>
            </w:pPr>
            <w:r>
              <w:rPr>
                <w:rFonts w:hint="eastAsia"/>
                <w:color w:val="auto"/>
                <w:lang w:val="en-US" w:eastAsia="zh-CN"/>
              </w:rPr>
              <w:t>产生浓度（mg/L）</w:t>
            </w:r>
          </w:p>
        </w:tc>
        <w:tc>
          <w:tcPr>
            <w:tcW w:w="931" w:type="dxa"/>
            <w:tcBorders>
              <w:tl2br w:val="nil"/>
              <w:tr2bl w:val="nil"/>
            </w:tcBorders>
            <w:shd w:val="clear" w:color="auto" w:fill="auto"/>
            <w:vAlign w:val="center"/>
          </w:tcPr>
          <w:p w14:paraId="4B50014B">
            <w:pPr>
              <w:pStyle w:val="36"/>
              <w:bidi w:val="0"/>
              <w:rPr>
                <w:rFonts w:hint="eastAsia"/>
                <w:color w:val="auto"/>
                <w:lang w:val="en-US" w:eastAsia="zh-CN"/>
              </w:rPr>
            </w:pPr>
            <w:r>
              <w:rPr>
                <w:rFonts w:hint="eastAsia"/>
                <w:color w:val="auto"/>
                <w:lang w:val="en-US" w:eastAsia="zh-CN"/>
              </w:rPr>
              <w:t>产生量（t/a）</w:t>
            </w:r>
          </w:p>
        </w:tc>
        <w:tc>
          <w:tcPr>
            <w:tcW w:w="1666" w:type="dxa"/>
            <w:vMerge w:val="continue"/>
            <w:tcBorders>
              <w:tl2br w:val="nil"/>
              <w:tr2bl w:val="nil"/>
            </w:tcBorders>
            <w:shd w:val="clear" w:color="auto" w:fill="auto"/>
            <w:vAlign w:val="center"/>
          </w:tcPr>
          <w:p w14:paraId="755B8A75">
            <w:pPr>
              <w:pStyle w:val="3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6A944ECE">
            <w:pPr>
              <w:pStyle w:val="36"/>
              <w:bidi w:val="0"/>
              <w:rPr>
                <w:rFonts w:hint="eastAsia"/>
                <w:color w:val="auto"/>
                <w:lang w:val="en-US" w:eastAsia="zh-CN"/>
              </w:rPr>
            </w:pPr>
          </w:p>
        </w:tc>
        <w:tc>
          <w:tcPr>
            <w:tcW w:w="970" w:type="dxa"/>
            <w:tcBorders>
              <w:tl2br w:val="nil"/>
              <w:tr2bl w:val="nil"/>
            </w:tcBorders>
            <w:shd w:val="clear" w:color="auto" w:fill="auto"/>
            <w:vAlign w:val="center"/>
          </w:tcPr>
          <w:p w14:paraId="1F30751C">
            <w:pPr>
              <w:pStyle w:val="36"/>
              <w:bidi w:val="0"/>
              <w:rPr>
                <w:rFonts w:hint="eastAsia"/>
                <w:color w:val="auto"/>
                <w:lang w:val="en-US" w:eastAsia="zh-CN"/>
              </w:rPr>
            </w:pPr>
            <w:r>
              <w:rPr>
                <w:rFonts w:hint="eastAsia"/>
                <w:color w:val="auto"/>
                <w:lang w:val="en-US" w:eastAsia="zh-CN"/>
              </w:rPr>
              <w:t>接管浓度mg/L</w:t>
            </w:r>
          </w:p>
        </w:tc>
        <w:tc>
          <w:tcPr>
            <w:tcW w:w="1004" w:type="dxa"/>
            <w:tcBorders>
              <w:tl2br w:val="nil"/>
              <w:tr2bl w:val="nil"/>
            </w:tcBorders>
            <w:shd w:val="clear" w:color="auto" w:fill="auto"/>
            <w:vAlign w:val="center"/>
          </w:tcPr>
          <w:p w14:paraId="2668004E">
            <w:pPr>
              <w:pStyle w:val="36"/>
              <w:bidi w:val="0"/>
              <w:rPr>
                <w:rFonts w:hint="eastAsia"/>
                <w:color w:val="auto"/>
                <w:lang w:val="en-US" w:eastAsia="zh-CN"/>
              </w:rPr>
            </w:pPr>
            <w:r>
              <w:rPr>
                <w:rFonts w:hint="eastAsia"/>
                <w:color w:val="auto"/>
                <w:lang w:val="en-US" w:eastAsia="zh-CN"/>
              </w:rPr>
              <w:t>接管量t/a</w:t>
            </w:r>
          </w:p>
        </w:tc>
        <w:tc>
          <w:tcPr>
            <w:tcW w:w="970" w:type="dxa"/>
            <w:tcBorders>
              <w:tl2br w:val="nil"/>
              <w:tr2bl w:val="nil"/>
            </w:tcBorders>
            <w:shd w:val="clear" w:color="auto" w:fill="auto"/>
            <w:vAlign w:val="center"/>
          </w:tcPr>
          <w:p w14:paraId="1EBED552">
            <w:pPr>
              <w:pStyle w:val="36"/>
              <w:bidi w:val="0"/>
              <w:rPr>
                <w:rFonts w:hint="eastAsia"/>
                <w:color w:val="auto"/>
                <w:lang w:val="en-US" w:eastAsia="zh-CN"/>
              </w:rPr>
            </w:pPr>
            <w:r>
              <w:rPr>
                <w:rFonts w:hint="eastAsia"/>
                <w:color w:val="auto"/>
                <w:lang w:val="en-US" w:eastAsia="zh-CN"/>
              </w:rPr>
              <w:t>标准限值mg/L</w:t>
            </w:r>
          </w:p>
        </w:tc>
        <w:tc>
          <w:tcPr>
            <w:tcW w:w="970" w:type="dxa"/>
            <w:tcBorders>
              <w:tl2br w:val="nil"/>
              <w:tr2bl w:val="nil"/>
            </w:tcBorders>
            <w:shd w:val="clear" w:color="auto" w:fill="auto"/>
            <w:vAlign w:val="center"/>
          </w:tcPr>
          <w:p w14:paraId="7C3682D2">
            <w:pPr>
              <w:pStyle w:val="36"/>
              <w:bidi w:val="0"/>
              <w:rPr>
                <w:rFonts w:hint="eastAsia"/>
                <w:color w:val="auto"/>
                <w:lang w:val="en-US" w:eastAsia="zh-CN"/>
              </w:rPr>
            </w:pPr>
            <w:r>
              <w:rPr>
                <w:rFonts w:hint="eastAsia"/>
                <w:color w:val="auto"/>
                <w:lang w:val="en-US" w:eastAsia="zh-CN"/>
              </w:rPr>
              <w:t>外排浓度mg/L</w:t>
            </w:r>
          </w:p>
        </w:tc>
        <w:tc>
          <w:tcPr>
            <w:tcW w:w="899" w:type="dxa"/>
            <w:tcBorders>
              <w:tl2br w:val="nil"/>
              <w:tr2bl w:val="nil"/>
            </w:tcBorders>
            <w:shd w:val="clear" w:color="auto" w:fill="auto"/>
            <w:vAlign w:val="center"/>
          </w:tcPr>
          <w:p w14:paraId="68492F17">
            <w:pPr>
              <w:pStyle w:val="36"/>
              <w:bidi w:val="0"/>
              <w:rPr>
                <w:rFonts w:hint="eastAsia"/>
                <w:color w:val="auto"/>
                <w:lang w:val="en-US" w:eastAsia="zh-CN"/>
              </w:rPr>
            </w:pPr>
            <w:r>
              <w:rPr>
                <w:rFonts w:hint="eastAsia"/>
                <w:color w:val="auto"/>
                <w:lang w:val="en-US" w:eastAsia="zh-CN"/>
              </w:rPr>
              <w:t>外排量t/a</w:t>
            </w:r>
          </w:p>
        </w:tc>
        <w:tc>
          <w:tcPr>
            <w:tcW w:w="1482" w:type="dxa"/>
            <w:vMerge w:val="continue"/>
            <w:tcBorders>
              <w:tl2br w:val="nil"/>
              <w:tr2bl w:val="nil"/>
            </w:tcBorders>
            <w:shd w:val="clear" w:color="auto" w:fill="auto"/>
            <w:vAlign w:val="center"/>
          </w:tcPr>
          <w:p w14:paraId="1A4F8575">
            <w:pPr>
              <w:pStyle w:val="36"/>
              <w:bidi w:val="0"/>
              <w:rPr>
                <w:rFonts w:hint="eastAsia"/>
                <w:color w:val="auto"/>
                <w:lang w:val="en-US" w:eastAsia="zh-CN"/>
              </w:rPr>
            </w:pPr>
          </w:p>
        </w:tc>
      </w:tr>
      <w:tr w14:paraId="1E0D9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47" w:type="dxa"/>
            <w:vMerge w:val="restart"/>
            <w:tcBorders>
              <w:tl2br w:val="nil"/>
              <w:tr2bl w:val="nil"/>
            </w:tcBorders>
            <w:shd w:val="clear" w:color="auto" w:fill="auto"/>
            <w:vAlign w:val="center"/>
          </w:tcPr>
          <w:p w14:paraId="4CED1CD5">
            <w:pPr>
              <w:pStyle w:val="26"/>
              <w:bidi w:val="0"/>
              <w:rPr>
                <w:rFonts w:hint="eastAsia"/>
                <w:color w:val="auto"/>
                <w:lang w:val="en-US" w:eastAsia="zh-CN"/>
              </w:rPr>
            </w:pPr>
            <w:r>
              <w:rPr>
                <w:rFonts w:hint="eastAsia"/>
                <w:color w:val="auto"/>
                <w:lang w:val="en-US" w:eastAsia="zh-CN"/>
              </w:rPr>
              <w:t>生产废水合计</w:t>
            </w:r>
          </w:p>
        </w:tc>
        <w:tc>
          <w:tcPr>
            <w:tcW w:w="707" w:type="dxa"/>
            <w:vMerge w:val="restart"/>
            <w:tcBorders>
              <w:tl2br w:val="nil"/>
              <w:tr2bl w:val="nil"/>
            </w:tcBorders>
            <w:shd w:val="clear" w:color="auto" w:fill="auto"/>
            <w:vAlign w:val="center"/>
          </w:tcPr>
          <w:p w14:paraId="114C96A2">
            <w:pPr>
              <w:pStyle w:val="26"/>
              <w:bidi w:val="0"/>
              <w:rPr>
                <w:rFonts w:hint="default"/>
                <w:color w:val="auto"/>
                <w:lang w:val="en-US" w:eastAsia="zh-CN"/>
              </w:rPr>
            </w:pPr>
            <w:r>
              <w:rPr>
                <w:rFonts w:hint="eastAsia"/>
                <w:lang w:val="en-US" w:eastAsia="zh-CN"/>
              </w:rPr>
              <w:t>63752.5</w:t>
            </w:r>
          </w:p>
        </w:tc>
        <w:tc>
          <w:tcPr>
            <w:tcW w:w="1458" w:type="dxa"/>
            <w:tcBorders>
              <w:tl2br w:val="nil"/>
              <w:tr2bl w:val="nil"/>
            </w:tcBorders>
            <w:shd w:val="clear" w:color="auto" w:fill="auto"/>
            <w:vAlign w:val="center"/>
          </w:tcPr>
          <w:p w14:paraId="24C972FA">
            <w:pPr>
              <w:pStyle w:val="26"/>
              <w:bidi w:val="0"/>
              <w:rPr>
                <w:rFonts w:hint="eastAsia"/>
                <w:color w:val="auto"/>
                <w:lang w:val="en-US" w:eastAsia="zh-CN"/>
              </w:rPr>
            </w:pPr>
            <w:r>
              <w:rPr>
                <w:rFonts w:hint="default"/>
                <w:lang w:val="en-US" w:eastAsia="zh-CN"/>
              </w:rPr>
              <w:t>pH</w:t>
            </w:r>
          </w:p>
        </w:tc>
        <w:tc>
          <w:tcPr>
            <w:tcW w:w="1285" w:type="dxa"/>
            <w:tcBorders>
              <w:tl2br w:val="nil"/>
              <w:tr2bl w:val="nil"/>
            </w:tcBorders>
            <w:shd w:val="clear" w:color="auto" w:fill="auto"/>
            <w:vAlign w:val="center"/>
          </w:tcPr>
          <w:p w14:paraId="574AEB80">
            <w:pPr>
              <w:pStyle w:val="26"/>
              <w:bidi w:val="0"/>
              <w:rPr>
                <w:rFonts w:hint="eastAsia"/>
                <w:color w:val="auto"/>
                <w:lang w:val="en-US" w:eastAsia="zh-CN"/>
              </w:rPr>
            </w:pPr>
            <w:r>
              <w:rPr>
                <w:rFonts w:hint="eastAsia"/>
                <w:lang w:val="en-US" w:eastAsia="zh-CN"/>
              </w:rPr>
              <w:t>3</w:t>
            </w:r>
            <w:r>
              <w:rPr>
                <w:lang w:val="en-US" w:eastAsia="zh-CN"/>
              </w:rPr>
              <w:t>~</w:t>
            </w:r>
            <w:r>
              <w:rPr>
                <w:rFonts w:hint="eastAsia"/>
                <w:lang w:val="en-US" w:eastAsia="zh-CN"/>
              </w:rPr>
              <w:t>6</w:t>
            </w:r>
          </w:p>
        </w:tc>
        <w:tc>
          <w:tcPr>
            <w:tcW w:w="931" w:type="dxa"/>
            <w:tcBorders>
              <w:tl2br w:val="nil"/>
              <w:tr2bl w:val="nil"/>
            </w:tcBorders>
            <w:shd w:val="clear" w:color="auto" w:fill="auto"/>
            <w:vAlign w:val="center"/>
          </w:tcPr>
          <w:p w14:paraId="26BCC74F">
            <w:pPr>
              <w:pStyle w:val="26"/>
              <w:bidi w:val="0"/>
              <w:rPr>
                <w:rFonts w:hint="eastAsia"/>
                <w:color w:val="auto"/>
                <w:lang w:val="en-US" w:eastAsia="zh-CN"/>
              </w:rPr>
            </w:pPr>
            <w:r>
              <w:rPr>
                <w:rFonts w:hint="default"/>
                <w:lang w:val="en-US" w:eastAsia="zh-CN"/>
              </w:rPr>
              <w:t>/</w:t>
            </w:r>
          </w:p>
        </w:tc>
        <w:tc>
          <w:tcPr>
            <w:tcW w:w="1666" w:type="dxa"/>
            <w:vMerge w:val="restart"/>
            <w:tcBorders>
              <w:tl2br w:val="nil"/>
              <w:tr2bl w:val="nil"/>
            </w:tcBorders>
            <w:shd w:val="clear" w:color="auto" w:fill="auto"/>
            <w:vAlign w:val="center"/>
          </w:tcPr>
          <w:p w14:paraId="7BB35CB5">
            <w:pPr>
              <w:pStyle w:val="26"/>
              <w:bidi w:val="0"/>
              <w:rPr>
                <w:rFonts w:hint="eastAsia"/>
                <w:color w:val="auto"/>
                <w:lang w:val="en-US" w:eastAsia="zh-CN"/>
              </w:rPr>
            </w:pPr>
            <w:r>
              <w:rPr>
                <w:rFonts w:hint="eastAsia"/>
                <w:lang w:val="en-US" w:eastAsia="zh-CN"/>
              </w:rPr>
              <w:t>进入厂区综合废水处理站处理后部分回用</w:t>
            </w:r>
          </w:p>
        </w:tc>
        <w:tc>
          <w:tcPr>
            <w:tcW w:w="1085" w:type="dxa"/>
            <w:vMerge w:val="restart"/>
            <w:tcBorders>
              <w:tl2br w:val="nil"/>
              <w:tr2bl w:val="nil"/>
            </w:tcBorders>
            <w:shd w:val="clear" w:color="auto" w:fill="auto"/>
            <w:vAlign w:val="center"/>
          </w:tcPr>
          <w:p w14:paraId="4CD497D3">
            <w:pPr>
              <w:pStyle w:val="26"/>
              <w:bidi w:val="0"/>
              <w:rPr>
                <w:rFonts w:hint="default"/>
                <w:color w:val="auto"/>
                <w:lang w:val="en-US" w:eastAsia="zh-CN"/>
              </w:rPr>
            </w:pPr>
            <w:r>
              <w:rPr>
                <w:rFonts w:hint="eastAsia"/>
                <w:color w:val="auto"/>
                <w:lang w:val="en-US" w:eastAsia="zh-CN"/>
              </w:rPr>
              <w:t>0</w:t>
            </w:r>
          </w:p>
        </w:tc>
        <w:tc>
          <w:tcPr>
            <w:tcW w:w="970" w:type="dxa"/>
            <w:tcBorders>
              <w:tl2br w:val="nil"/>
              <w:tr2bl w:val="nil"/>
            </w:tcBorders>
            <w:shd w:val="clear" w:color="auto" w:fill="auto"/>
            <w:vAlign w:val="center"/>
          </w:tcPr>
          <w:p w14:paraId="03A87990">
            <w:pPr>
              <w:pStyle w:val="26"/>
              <w:bidi w:val="0"/>
              <w:rPr>
                <w:rFonts w:hint="eastAsia"/>
                <w:color w:val="auto"/>
                <w:lang w:val="en-US" w:eastAsia="zh-CN"/>
              </w:rPr>
            </w:pPr>
            <w:r>
              <w:rPr>
                <w:rFonts w:hint="eastAsia"/>
                <w:lang w:val="en-US" w:eastAsia="zh-CN"/>
              </w:rPr>
              <w:t>/</w:t>
            </w:r>
          </w:p>
        </w:tc>
        <w:tc>
          <w:tcPr>
            <w:tcW w:w="1004" w:type="dxa"/>
            <w:tcBorders>
              <w:tl2br w:val="nil"/>
              <w:tr2bl w:val="nil"/>
            </w:tcBorders>
            <w:shd w:val="clear" w:color="auto" w:fill="auto"/>
            <w:vAlign w:val="center"/>
          </w:tcPr>
          <w:p w14:paraId="3B4FD274">
            <w:pPr>
              <w:pStyle w:val="26"/>
              <w:bidi w:val="0"/>
              <w:rPr>
                <w:rFonts w:hint="eastAsia"/>
                <w:color w:val="auto"/>
                <w:lang w:val="en-US" w:eastAsia="zh-CN"/>
              </w:rPr>
            </w:pPr>
            <w:r>
              <w:rPr>
                <w:rFonts w:hint="default"/>
                <w:lang w:val="en-US" w:eastAsia="zh-CN"/>
              </w:rPr>
              <w:t>/</w:t>
            </w:r>
          </w:p>
        </w:tc>
        <w:tc>
          <w:tcPr>
            <w:tcW w:w="970" w:type="dxa"/>
            <w:tcBorders>
              <w:tl2br w:val="nil"/>
              <w:tr2bl w:val="nil"/>
            </w:tcBorders>
            <w:shd w:val="clear" w:color="auto" w:fill="auto"/>
            <w:vAlign w:val="center"/>
          </w:tcPr>
          <w:p w14:paraId="2C276168">
            <w:pPr>
              <w:pStyle w:val="26"/>
              <w:bidi w:val="0"/>
              <w:rPr>
                <w:rFonts w:hint="eastAsia"/>
                <w:color w:val="auto"/>
                <w:lang w:val="en-US" w:eastAsia="zh-CN"/>
              </w:rPr>
            </w:pPr>
            <w:r>
              <w:rPr>
                <w:rFonts w:hint="eastAsia"/>
                <w:lang w:val="en-US" w:eastAsia="zh-CN"/>
              </w:rPr>
              <w:t>/</w:t>
            </w:r>
          </w:p>
        </w:tc>
        <w:tc>
          <w:tcPr>
            <w:tcW w:w="970" w:type="dxa"/>
            <w:tcBorders>
              <w:tl2br w:val="nil"/>
              <w:tr2bl w:val="nil"/>
            </w:tcBorders>
            <w:shd w:val="clear" w:color="auto" w:fill="auto"/>
            <w:vAlign w:val="center"/>
          </w:tcPr>
          <w:p w14:paraId="10458BAC">
            <w:pPr>
              <w:pStyle w:val="26"/>
              <w:bidi w:val="0"/>
              <w:rPr>
                <w:rFonts w:hint="default"/>
                <w:color w:val="auto"/>
                <w:lang w:val="en-US" w:eastAsia="zh-CN"/>
              </w:rPr>
            </w:pPr>
            <w:r>
              <w:rPr>
                <w:rFonts w:hint="eastAsia"/>
                <w:color w:val="auto"/>
                <w:lang w:val="en-US" w:eastAsia="zh-CN"/>
              </w:rPr>
              <w:t>/</w:t>
            </w:r>
          </w:p>
        </w:tc>
        <w:tc>
          <w:tcPr>
            <w:tcW w:w="899" w:type="dxa"/>
            <w:tcBorders>
              <w:tl2br w:val="nil"/>
              <w:tr2bl w:val="nil"/>
            </w:tcBorders>
            <w:shd w:val="clear" w:color="auto" w:fill="auto"/>
            <w:vAlign w:val="center"/>
          </w:tcPr>
          <w:p w14:paraId="0609DBF3">
            <w:pPr>
              <w:pStyle w:val="26"/>
              <w:bidi w:val="0"/>
              <w:rPr>
                <w:rFonts w:hint="eastAsia"/>
                <w:color w:val="auto"/>
                <w:lang w:val="en-US" w:eastAsia="zh-CN"/>
              </w:rPr>
            </w:pPr>
            <w:r>
              <w:rPr>
                <w:rFonts w:hint="default"/>
                <w:lang w:val="en-US" w:eastAsia="zh-CN"/>
              </w:rPr>
              <w:t>/</w:t>
            </w:r>
          </w:p>
        </w:tc>
        <w:tc>
          <w:tcPr>
            <w:tcW w:w="1482" w:type="dxa"/>
            <w:vMerge w:val="restart"/>
            <w:tcBorders>
              <w:tl2br w:val="nil"/>
              <w:tr2bl w:val="nil"/>
            </w:tcBorders>
            <w:shd w:val="clear" w:color="auto" w:fill="auto"/>
            <w:vAlign w:val="center"/>
          </w:tcPr>
          <w:p w14:paraId="4BB5810B">
            <w:pPr>
              <w:pStyle w:val="26"/>
              <w:bidi w:val="0"/>
              <w:rPr>
                <w:rFonts w:hint="eastAsia"/>
                <w:color w:val="auto"/>
                <w:lang w:val="en-US" w:eastAsia="zh-CN"/>
              </w:rPr>
            </w:pPr>
            <w:r>
              <w:rPr>
                <w:rFonts w:hint="eastAsia"/>
                <w:color w:val="auto"/>
                <w:lang w:val="en-US" w:eastAsia="zh-CN"/>
              </w:rPr>
              <w:t>全部回用，不外排</w:t>
            </w:r>
          </w:p>
        </w:tc>
      </w:tr>
      <w:tr w14:paraId="52C0A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66BF5EFA">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28522939">
            <w:pPr>
              <w:pStyle w:val="26"/>
              <w:bidi w:val="0"/>
              <w:rPr>
                <w:rFonts w:hint="eastAsia"/>
                <w:color w:val="auto"/>
                <w:lang w:val="en-US" w:eastAsia="zh-CN"/>
              </w:rPr>
            </w:pPr>
          </w:p>
        </w:tc>
        <w:tc>
          <w:tcPr>
            <w:tcW w:w="1458" w:type="dxa"/>
            <w:tcBorders>
              <w:tl2br w:val="nil"/>
              <w:tr2bl w:val="nil"/>
            </w:tcBorders>
            <w:shd w:val="clear" w:color="auto" w:fill="auto"/>
            <w:vAlign w:val="center"/>
          </w:tcPr>
          <w:p w14:paraId="6A7CDCCD">
            <w:pPr>
              <w:pStyle w:val="26"/>
              <w:bidi w:val="0"/>
              <w:rPr>
                <w:rFonts w:hint="eastAsia"/>
                <w:color w:val="auto"/>
                <w:lang w:val="en-US" w:eastAsia="zh-CN"/>
              </w:rPr>
            </w:pPr>
            <w:r>
              <w:rPr>
                <w:rFonts w:hint="default"/>
                <w:lang w:val="en-US" w:eastAsia="zh-CN"/>
              </w:rPr>
              <w:t>COD</w:t>
            </w:r>
          </w:p>
        </w:tc>
        <w:tc>
          <w:tcPr>
            <w:tcW w:w="1285" w:type="dxa"/>
            <w:tcBorders>
              <w:tl2br w:val="nil"/>
              <w:tr2bl w:val="nil"/>
            </w:tcBorders>
            <w:shd w:val="clear" w:color="auto" w:fill="auto"/>
            <w:vAlign w:val="center"/>
          </w:tcPr>
          <w:p w14:paraId="2C14DA03">
            <w:pPr>
              <w:pStyle w:val="26"/>
              <w:bidi w:val="0"/>
              <w:rPr>
                <w:rFonts w:hint="eastAsia"/>
                <w:lang w:val="en-US" w:eastAsia="zh-CN"/>
              </w:rPr>
            </w:pPr>
            <w:r>
              <w:rPr>
                <w:rFonts w:hint="eastAsia"/>
                <w:lang w:val="en-US" w:eastAsia="zh-CN"/>
              </w:rPr>
              <w:t xml:space="preserve">1069.36 </w:t>
            </w:r>
          </w:p>
        </w:tc>
        <w:tc>
          <w:tcPr>
            <w:tcW w:w="931" w:type="dxa"/>
            <w:tcBorders>
              <w:tl2br w:val="nil"/>
              <w:tr2bl w:val="nil"/>
            </w:tcBorders>
            <w:shd w:val="clear" w:color="auto" w:fill="auto"/>
            <w:vAlign w:val="center"/>
          </w:tcPr>
          <w:p w14:paraId="110F21E3">
            <w:pPr>
              <w:pStyle w:val="26"/>
              <w:bidi w:val="0"/>
              <w:rPr>
                <w:rFonts w:hint="eastAsia"/>
                <w:lang w:val="en-US" w:eastAsia="zh-CN"/>
              </w:rPr>
            </w:pPr>
            <w:r>
              <w:rPr>
                <w:rFonts w:hint="eastAsia"/>
                <w:lang w:val="en-US" w:eastAsia="zh-CN"/>
              </w:rPr>
              <w:t xml:space="preserve">68.1742 </w:t>
            </w:r>
          </w:p>
        </w:tc>
        <w:tc>
          <w:tcPr>
            <w:tcW w:w="1666" w:type="dxa"/>
            <w:vMerge w:val="continue"/>
            <w:tcBorders>
              <w:tl2br w:val="nil"/>
              <w:tr2bl w:val="nil"/>
            </w:tcBorders>
            <w:shd w:val="clear" w:color="auto" w:fill="auto"/>
            <w:vAlign w:val="center"/>
          </w:tcPr>
          <w:p w14:paraId="38805B6F">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36237FDD">
            <w:pPr>
              <w:pStyle w:val="26"/>
              <w:bidi w:val="0"/>
              <w:rPr>
                <w:rFonts w:hint="eastAsia"/>
                <w:color w:val="auto"/>
                <w:lang w:val="en-US" w:eastAsia="zh-CN"/>
              </w:rPr>
            </w:pPr>
          </w:p>
        </w:tc>
        <w:tc>
          <w:tcPr>
            <w:tcW w:w="970" w:type="dxa"/>
            <w:tcBorders>
              <w:tl2br w:val="nil"/>
              <w:tr2bl w:val="nil"/>
            </w:tcBorders>
            <w:shd w:val="clear" w:color="auto" w:fill="auto"/>
            <w:vAlign w:val="center"/>
          </w:tcPr>
          <w:p w14:paraId="5F61D8B9">
            <w:pPr>
              <w:pStyle w:val="26"/>
              <w:bidi w:val="0"/>
              <w:rPr>
                <w:rFonts w:hint="eastAsia"/>
                <w:color w:val="auto"/>
                <w:lang w:val="en-US" w:eastAsia="zh-CN"/>
              </w:rPr>
            </w:pPr>
            <w:r>
              <w:rPr>
                <w:rFonts w:hint="eastAsia"/>
                <w:lang w:val="en-US" w:eastAsia="zh-CN"/>
              </w:rPr>
              <w:t>/</w:t>
            </w:r>
          </w:p>
        </w:tc>
        <w:tc>
          <w:tcPr>
            <w:tcW w:w="1004" w:type="dxa"/>
            <w:tcBorders>
              <w:tl2br w:val="nil"/>
              <w:tr2bl w:val="nil"/>
            </w:tcBorders>
            <w:shd w:val="clear" w:color="auto" w:fill="auto"/>
            <w:vAlign w:val="center"/>
          </w:tcPr>
          <w:p w14:paraId="38CFD647">
            <w:pPr>
              <w:pStyle w:val="26"/>
              <w:bidi w:val="0"/>
              <w:rPr>
                <w:rFonts w:hint="eastAsia"/>
                <w:color w:val="auto"/>
                <w:lang w:val="en-US" w:eastAsia="zh-CN"/>
              </w:rPr>
            </w:pPr>
            <w:r>
              <w:rPr>
                <w:rFonts w:hint="default"/>
                <w:lang w:val="en-US" w:eastAsia="zh-CN"/>
              </w:rPr>
              <w:t>/</w:t>
            </w:r>
          </w:p>
        </w:tc>
        <w:tc>
          <w:tcPr>
            <w:tcW w:w="970" w:type="dxa"/>
            <w:tcBorders>
              <w:tl2br w:val="nil"/>
              <w:tr2bl w:val="nil"/>
            </w:tcBorders>
            <w:shd w:val="clear" w:color="auto" w:fill="auto"/>
            <w:vAlign w:val="center"/>
          </w:tcPr>
          <w:p w14:paraId="08070A8E">
            <w:pPr>
              <w:pStyle w:val="26"/>
              <w:bidi w:val="0"/>
              <w:rPr>
                <w:rFonts w:hint="eastAsia"/>
                <w:color w:val="auto"/>
                <w:lang w:val="en-US" w:eastAsia="zh-CN"/>
              </w:rPr>
            </w:pPr>
            <w:r>
              <w:rPr>
                <w:rFonts w:hint="eastAsia"/>
                <w:lang w:val="en-US" w:eastAsia="zh-CN"/>
              </w:rPr>
              <w:t>/</w:t>
            </w:r>
          </w:p>
        </w:tc>
        <w:tc>
          <w:tcPr>
            <w:tcW w:w="970" w:type="dxa"/>
            <w:tcBorders>
              <w:tl2br w:val="nil"/>
              <w:tr2bl w:val="nil"/>
            </w:tcBorders>
            <w:shd w:val="clear" w:color="auto" w:fill="auto"/>
            <w:vAlign w:val="center"/>
          </w:tcPr>
          <w:p w14:paraId="386D790C">
            <w:pPr>
              <w:pStyle w:val="26"/>
              <w:bidi w:val="0"/>
              <w:rPr>
                <w:rFonts w:hint="eastAsia"/>
                <w:lang w:val="en-US" w:eastAsia="zh-CN"/>
              </w:rPr>
            </w:pPr>
            <w:r>
              <w:rPr>
                <w:rFonts w:hint="eastAsia"/>
                <w:lang w:val="en-US" w:eastAsia="zh-CN"/>
              </w:rPr>
              <w:t>/</w:t>
            </w:r>
          </w:p>
        </w:tc>
        <w:tc>
          <w:tcPr>
            <w:tcW w:w="899" w:type="dxa"/>
            <w:tcBorders>
              <w:tl2br w:val="nil"/>
              <w:tr2bl w:val="nil"/>
            </w:tcBorders>
            <w:shd w:val="clear" w:color="auto" w:fill="auto"/>
            <w:vAlign w:val="center"/>
          </w:tcPr>
          <w:p w14:paraId="729D1688">
            <w:pPr>
              <w:pStyle w:val="26"/>
              <w:bidi w:val="0"/>
              <w:rPr>
                <w:rFonts w:hint="eastAsia"/>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671E029D">
            <w:pPr>
              <w:pStyle w:val="26"/>
              <w:bidi w:val="0"/>
              <w:rPr>
                <w:rFonts w:hint="eastAsia"/>
                <w:color w:val="auto"/>
                <w:lang w:val="en-US" w:eastAsia="zh-CN"/>
              </w:rPr>
            </w:pPr>
          </w:p>
        </w:tc>
      </w:tr>
      <w:tr w14:paraId="12443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53B6C11E">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528A3665">
            <w:pPr>
              <w:pStyle w:val="26"/>
              <w:bidi w:val="0"/>
              <w:rPr>
                <w:rFonts w:hint="eastAsia"/>
                <w:color w:val="auto"/>
                <w:lang w:val="en-US" w:eastAsia="zh-CN"/>
              </w:rPr>
            </w:pPr>
          </w:p>
        </w:tc>
        <w:tc>
          <w:tcPr>
            <w:tcW w:w="1458" w:type="dxa"/>
            <w:tcBorders>
              <w:tl2br w:val="nil"/>
              <w:tr2bl w:val="nil"/>
            </w:tcBorders>
            <w:shd w:val="clear" w:color="auto" w:fill="auto"/>
            <w:vAlign w:val="center"/>
          </w:tcPr>
          <w:p w14:paraId="4E49DD27">
            <w:pPr>
              <w:pStyle w:val="26"/>
              <w:bidi w:val="0"/>
              <w:rPr>
                <w:rFonts w:hint="default"/>
                <w:color w:val="auto"/>
                <w:vertAlign w:val="subscript"/>
                <w:lang w:val="en-US" w:eastAsia="zh-CN"/>
              </w:rPr>
            </w:pPr>
            <w:r>
              <w:rPr>
                <w:rFonts w:hint="default"/>
                <w:lang w:val="en-US" w:eastAsia="zh-CN"/>
              </w:rPr>
              <w:t>SS</w:t>
            </w:r>
          </w:p>
        </w:tc>
        <w:tc>
          <w:tcPr>
            <w:tcW w:w="1285" w:type="dxa"/>
            <w:tcBorders>
              <w:tl2br w:val="nil"/>
              <w:tr2bl w:val="nil"/>
            </w:tcBorders>
            <w:shd w:val="clear" w:color="auto" w:fill="auto"/>
            <w:vAlign w:val="center"/>
          </w:tcPr>
          <w:p w14:paraId="0058D106">
            <w:pPr>
              <w:pStyle w:val="26"/>
              <w:bidi w:val="0"/>
              <w:rPr>
                <w:rFonts w:hint="eastAsia"/>
                <w:lang w:val="en-US" w:eastAsia="zh-CN"/>
              </w:rPr>
            </w:pPr>
            <w:r>
              <w:rPr>
                <w:rFonts w:hint="eastAsia"/>
                <w:lang w:val="en-US" w:eastAsia="zh-CN"/>
              </w:rPr>
              <w:t xml:space="preserve">190.70 </w:t>
            </w:r>
          </w:p>
        </w:tc>
        <w:tc>
          <w:tcPr>
            <w:tcW w:w="931" w:type="dxa"/>
            <w:tcBorders>
              <w:tl2br w:val="nil"/>
              <w:tr2bl w:val="nil"/>
            </w:tcBorders>
            <w:shd w:val="clear" w:color="auto" w:fill="auto"/>
            <w:vAlign w:val="center"/>
          </w:tcPr>
          <w:p w14:paraId="63AB2B56">
            <w:pPr>
              <w:pStyle w:val="26"/>
              <w:bidi w:val="0"/>
              <w:rPr>
                <w:rFonts w:hint="eastAsia"/>
                <w:lang w:val="en-US" w:eastAsia="zh-CN"/>
              </w:rPr>
            </w:pPr>
            <w:r>
              <w:rPr>
                <w:rFonts w:hint="eastAsia"/>
                <w:lang w:val="en-US" w:eastAsia="zh-CN"/>
              </w:rPr>
              <w:t xml:space="preserve">12.1576 </w:t>
            </w:r>
          </w:p>
        </w:tc>
        <w:tc>
          <w:tcPr>
            <w:tcW w:w="1666" w:type="dxa"/>
            <w:vMerge w:val="continue"/>
            <w:tcBorders>
              <w:tl2br w:val="nil"/>
              <w:tr2bl w:val="nil"/>
            </w:tcBorders>
            <w:shd w:val="clear" w:color="auto" w:fill="auto"/>
            <w:vAlign w:val="center"/>
          </w:tcPr>
          <w:p w14:paraId="1BCCAE60">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247ED814">
            <w:pPr>
              <w:pStyle w:val="26"/>
              <w:bidi w:val="0"/>
              <w:rPr>
                <w:rFonts w:hint="eastAsia"/>
                <w:color w:val="auto"/>
                <w:lang w:val="en-US" w:eastAsia="zh-CN"/>
              </w:rPr>
            </w:pPr>
          </w:p>
        </w:tc>
        <w:tc>
          <w:tcPr>
            <w:tcW w:w="970" w:type="dxa"/>
            <w:tcBorders>
              <w:tl2br w:val="nil"/>
              <w:tr2bl w:val="nil"/>
            </w:tcBorders>
            <w:shd w:val="clear" w:color="auto" w:fill="auto"/>
            <w:vAlign w:val="center"/>
          </w:tcPr>
          <w:p w14:paraId="080884C6">
            <w:pPr>
              <w:pStyle w:val="26"/>
              <w:bidi w:val="0"/>
              <w:rPr>
                <w:rFonts w:hint="eastAsia"/>
                <w:lang w:val="en-US" w:eastAsia="zh-CN"/>
              </w:rPr>
            </w:pPr>
            <w:r>
              <w:rPr>
                <w:rFonts w:hint="eastAsia"/>
                <w:lang w:val="en-US" w:eastAsia="zh-CN"/>
              </w:rPr>
              <w:t>/</w:t>
            </w:r>
          </w:p>
        </w:tc>
        <w:tc>
          <w:tcPr>
            <w:tcW w:w="1004" w:type="dxa"/>
            <w:tcBorders>
              <w:tl2br w:val="nil"/>
              <w:tr2bl w:val="nil"/>
            </w:tcBorders>
            <w:shd w:val="clear" w:color="auto" w:fill="auto"/>
            <w:vAlign w:val="center"/>
          </w:tcPr>
          <w:p w14:paraId="605E3306">
            <w:pPr>
              <w:pStyle w:val="26"/>
              <w:bidi w:val="0"/>
              <w:rPr>
                <w:rFonts w:hint="eastAsia"/>
                <w:lang w:val="en-US" w:eastAsia="zh-CN"/>
              </w:rPr>
            </w:pPr>
            <w:r>
              <w:rPr>
                <w:rFonts w:hint="default"/>
                <w:lang w:val="en-US" w:eastAsia="zh-CN"/>
              </w:rPr>
              <w:t>/</w:t>
            </w:r>
          </w:p>
        </w:tc>
        <w:tc>
          <w:tcPr>
            <w:tcW w:w="970" w:type="dxa"/>
            <w:tcBorders>
              <w:tl2br w:val="nil"/>
              <w:tr2bl w:val="nil"/>
            </w:tcBorders>
            <w:shd w:val="clear" w:color="auto" w:fill="auto"/>
            <w:vAlign w:val="center"/>
          </w:tcPr>
          <w:p w14:paraId="271CF7D1">
            <w:pPr>
              <w:pStyle w:val="26"/>
              <w:bidi w:val="0"/>
              <w:rPr>
                <w:rFonts w:hint="eastAsia"/>
                <w:lang w:val="en-US" w:eastAsia="zh-CN"/>
              </w:rPr>
            </w:pPr>
            <w:r>
              <w:rPr>
                <w:rFonts w:hint="eastAsia"/>
                <w:lang w:val="en-US" w:eastAsia="zh-CN"/>
              </w:rPr>
              <w:t>/</w:t>
            </w:r>
          </w:p>
        </w:tc>
        <w:tc>
          <w:tcPr>
            <w:tcW w:w="970" w:type="dxa"/>
            <w:tcBorders>
              <w:tl2br w:val="nil"/>
              <w:tr2bl w:val="nil"/>
            </w:tcBorders>
            <w:shd w:val="clear" w:color="auto" w:fill="auto"/>
            <w:vAlign w:val="center"/>
          </w:tcPr>
          <w:p w14:paraId="54C345EC">
            <w:pPr>
              <w:pStyle w:val="26"/>
              <w:bidi w:val="0"/>
              <w:rPr>
                <w:rFonts w:hint="eastAsia"/>
                <w:lang w:val="en-US" w:eastAsia="zh-CN"/>
              </w:rPr>
            </w:pPr>
            <w:r>
              <w:rPr>
                <w:rFonts w:hint="eastAsia"/>
                <w:lang w:val="en-US" w:eastAsia="zh-CN"/>
              </w:rPr>
              <w:t>/</w:t>
            </w:r>
          </w:p>
        </w:tc>
        <w:tc>
          <w:tcPr>
            <w:tcW w:w="899" w:type="dxa"/>
            <w:tcBorders>
              <w:tl2br w:val="nil"/>
              <w:tr2bl w:val="nil"/>
            </w:tcBorders>
            <w:shd w:val="clear" w:color="auto" w:fill="auto"/>
            <w:vAlign w:val="center"/>
          </w:tcPr>
          <w:p w14:paraId="6542E6D7">
            <w:pPr>
              <w:pStyle w:val="26"/>
              <w:bidi w:val="0"/>
              <w:rPr>
                <w:rFonts w:hint="eastAsia"/>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14B71393">
            <w:pPr>
              <w:pStyle w:val="26"/>
              <w:bidi w:val="0"/>
              <w:rPr>
                <w:rFonts w:hint="eastAsia"/>
                <w:color w:val="auto"/>
                <w:lang w:val="en-US" w:eastAsia="zh-CN"/>
              </w:rPr>
            </w:pPr>
          </w:p>
        </w:tc>
      </w:tr>
      <w:tr w14:paraId="00E0F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534E08AD">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5421DF0A">
            <w:pPr>
              <w:pStyle w:val="26"/>
              <w:bidi w:val="0"/>
              <w:rPr>
                <w:rFonts w:hint="eastAsia"/>
                <w:color w:val="auto"/>
                <w:lang w:val="en-US" w:eastAsia="zh-CN"/>
              </w:rPr>
            </w:pPr>
          </w:p>
        </w:tc>
        <w:tc>
          <w:tcPr>
            <w:tcW w:w="1458" w:type="dxa"/>
            <w:tcBorders>
              <w:tl2br w:val="nil"/>
              <w:tr2bl w:val="nil"/>
            </w:tcBorders>
            <w:shd w:val="clear" w:color="auto" w:fill="auto"/>
            <w:vAlign w:val="center"/>
          </w:tcPr>
          <w:p w14:paraId="2963607E">
            <w:pPr>
              <w:pStyle w:val="26"/>
              <w:bidi w:val="0"/>
              <w:rPr>
                <w:rFonts w:hint="default" w:ascii="Times New Roman" w:hAnsi="Times New Roman" w:eastAsia="仿宋_GB2312" w:cs="Times New Roman"/>
                <w:color w:val="auto"/>
                <w:kern w:val="2"/>
                <w:sz w:val="21"/>
                <w:szCs w:val="22"/>
                <w:lang w:val="en-US" w:eastAsia="zh-CN" w:bidi="ar-SA"/>
              </w:rPr>
            </w:pPr>
            <w:r>
              <w:rPr>
                <w:rFonts w:hint="eastAsia" w:cs="Times New Roman"/>
                <w:color w:val="auto"/>
                <w:kern w:val="2"/>
                <w:sz w:val="21"/>
                <w:szCs w:val="22"/>
                <w:lang w:val="en-US" w:eastAsia="zh-CN" w:bidi="ar-SA"/>
              </w:rPr>
              <w:t>总铜</w:t>
            </w:r>
          </w:p>
        </w:tc>
        <w:tc>
          <w:tcPr>
            <w:tcW w:w="1285" w:type="dxa"/>
            <w:tcBorders>
              <w:tl2br w:val="nil"/>
              <w:tr2bl w:val="nil"/>
            </w:tcBorders>
            <w:shd w:val="clear" w:color="auto" w:fill="auto"/>
            <w:vAlign w:val="center"/>
          </w:tcPr>
          <w:p w14:paraId="6F2104E5">
            <w:pPr>
              <w:pStyle w:val="26"/>
              <w:bidi w:val="0"/>
              <w:rPr>
                <w:rFonts w:hint="eastAsia"/>
                <w:lang w:val="en-US" w:eastAsia="zh-CN"/>
              </w:rPr>
            </w:pPr>
            <w:r>
              <w:rPr>
                <w:rFonts w:hint="eastAsia"/>
                <w:lang w:val="en-US" w:eastAsia="zh-CN"/>
              </w:rPr>
              <w:t xml:space="preserve">130.20 </w:t>
            </w:r>
          </w:p>
        </w:tc>
        <w:tc>
          <w:tcPr>
            <w:tcW w:w="931" w:type="dxa"/>
            <w:tcBorders>
              <w:tl2br w:val="nil"/>
              <w:tr2bl w:val="nil"/>
            </w:tcBorders>
            <w:shd w:val="clear" w:color="auto" w:fill="auto"/>
            <w:vAlign w:val="center"/>
          </w:tcPr>
          <w:p w14:paraId="4C766DD8">
            <w:pPr>
              <w:pStyle w:val="26"/>
              <w:bidi w:val="0"/>
              <w:rPr>
                <w:rFonts w:hint="eastAsia"/>
                <w:lang w:val="en-US" w:eastAsia="zh-CN"/>
              </w:rPr>
            </w:pPr>
            <w:r>
              <w:rPr>
                <w:rFonts w:hint="eastAsia"/>
                <w:lang w:val="en-US" w:eastAsia="zh-CN"/>
              </w:rPr>
              <w:t xml:space="preserve">8.3009 </w:t>
            </w:r>
          </w:p>
        </w:tc>
        <w:tc>
          <w:tcPr>
            <w:tcW w:w="1666" w:type="dxa"/>
            <w:vMerge w:val="continue"/>
            <w:tcBorders>
              <w:tl2br w:val="nil"/>
              <w:tr2bl w:val="nil"/>
            </w:tcBorders>
            <w:shd w:val="clear" w:color="auto" w:fill="auto"/>
            <w:vAlign w:val="center"/>
          </w:tcPr>
          <w:p w14:paraId="1DFE4C7C">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35D26EA0">
            <w:pPr>
              <w:pStyle w:val="26"/>
              <w:bidi w:val="0"/>
              <w:rPr>
                <w:rFonts w:hint="eastAsia"/>
                <w:color w:val="auto"/>
                <w:lang w:val="en-US" w:eastAsia="zh-CN"/>
              </w:rPr>
            </w:pPr>
          </w:p>
        </w:tc>
        <w:tc>
          <w:tcPr>
            <w:tcW w:w="970" w:type="dxa"/>
            <w:tcBorders>
              <w:tl2br w:val="nil"/>
              <w:tr2bl w:val="nil"/>
            </w:tcBorders>
            <w:shd w:val="clear" w:color="auto" w:fill="auto"/>
            <w:vAlign w:val="center"/>
          </w:tcPr>
          <w:p w14:paraId="53981524">
            <w:pPr>
              <w:pStyle w:val="26"/>
              <w:bidi w:val="0"/>
              <w:rPr>
                <w:rFonts w:hint="eastAsia" w:ascii="Times New Roman" w:hAnsi="Times New Roman" w:eastAsia="仿宋_GB2312" w:cs="Times New Roman"/>
                <w:color w:val="auto"/>
                <w:kern w:val="2"/>
                <w:sz w:val="21"/>
                <w:szCs w:val="22"/>
                <w:lang w:val="en-US" w:eastAsia="zh-CN" w:bidi="ar-SA"/>
              </w:rPr>
            </w:pPr>
            <w:r>
              <w:rPr>
                <w:rFonts w:hint="eastAsia"/>
                <w:lang w:val="en-US" w:eastAsia="zh-CN"/>
              </w:rPr>
              <w:t>/</w:t>
            </w:r>
          </w:p>
        </w:tc>
        <w:tc>
          <w:tcPr>
            <w:tcW w:w="1004" w:type="dxa"/>
            <w:tcBorders>
              <w:tl2br w:val="nil"/>
              <w:tr2bl w:val="nil"/>
            </w:tcBorders>
            <w:shd w:val="clear" w:color="auto" w:fill="auto"/>
            <w:vAlign w:val="center"/>
          </w:tcPr>
          <w:p w14:paraId="676F9A90">
            <w:pPr>
              <w:pStyle w:val="26"/>
              <w:bidi w:val="0"/>
              <w:rPr>
                <w:rFonts w:hint="eastAsia" w:ascii="Times New Roman" w:hAnsi="Times New Roman" w:eastAsia="仿宋_GB2312" w:cs="Times New Roman"/>
                <w:color w:val="auto"/>
                <w:kern w:val="2"/>
                <w:sz w:val="21"/>
                <w:szCs w:val="22"/>
                <w:lang w:val="en-US" w:eastAsia="zh-CN" w:bidi="ar-SA"/>
              </w:rPr>
            </w:pPr>
            <w:r>
              <w:rPr>
                <w:rFonts w:hint="default"/>
                <w:lang w:val="en-US" w:eastAsia="zh-CN"/>
              </w:rPr>
              <w:t>/</w:t>
            </w:r>
          </w:p>
        </w:tc>
        <w:tc>
          <w:tcPr>
            <w:tcW w:w="970" w:type="dxa"/>
            <w:tcBorders>
              <w:tl2br w:val="nil"/>
              <w:tr2bl w:val="nil"/>
            </w:tcBorders>
            <w:shd w:val="clear" w:color="auto" w:fill="auto"/>
            <w:vAlign w:val="center"/>
          </w:tcPr>
          <w:p w14:paraId="1D9BD284">
            <w:pPr>
              <w:pStyle w:val="26"/>
              <w:bidi w:val="0"/>
              <w:rPr>
                <w:rFonts w:hint="eastAsia" w:ascii="Times New Roman" w:hAnsi="Times New Roman" w:eastAsia="仿宋_GB2312" w:cs="Times New Roman"/>
                <w:color w:val="auto"/>
                <w:kern w:val="2"/>
                <w:sz w:val="21"/>
                <w:szCs w:val="22"/>
                <w:lang w:val="en-US" w:eastAsia="zh-CN" w:bidi="ar-SA"/>
              </w:rPr>
            </w:pPr>
            <w:r>
              <w:rPr>
                <w:rFonts w:hint="eastAsia"/>
                <w:lang w:val="en-US" w:eastAsia="zh-CN"/>
              </w:rPr>
              <w:t>/</w:t>
            </w:r>
          </w:p>
        </w:tc>
        <w:tc>
          <w:tcPr>
            <w:tcW w:w="970" w:type="dxa"/>
            <w:tcBorders>
              <w:tl2br w:val="nil"/>
              <w:tr2bl w:val="nil"/>
            </w:tcBorders>
            <w:shd w:val="clear" w:color="auto" w:fill="auto"/>
            <w:vAlign w:val="center"/>
          </w:tcPr>
          <w:p w14:paraId="23A7C8B5">
            <w:pPr>
              <w:pStyle w:val="26"/>
              <w:bidi w:val="0"/>
              <w:rPr>
                <w:rFonts w:hint="eastAsia" w:ascii="Times New Roman" w:hAnsi="Times New Roman" w:eastAsia="仿宋_GB2312" w:cs="Times New Roman"/>
                <w:color w:val="auto"/>
                <w:kern w:val="2"/>
                <w:sz w:val="21"/>
                <w:szCs w:val="22"/>
                <w:lang w:val="en-US" w:eastAsia="zh-CN" w:bidi="ar-SA"/>
              </w:rPr>
            </w:pPr>
            <w:r>
              <w:rPr>
                <w:rFonts w:hint="eastAsia"/>
                <w:lang w:val="en-US" w:eastAsia="zh-CN"/>
              </w:rPr>
              <w:t>/</w:t>
            </w:r>
          </w:p>
        </w:tc>
        <w:tc>
          <w:tcPr>
            <w:tcW w:w="899" w:type="dxa"/>
            <w:tcBorders>
              <w:tl2br w:val="nil"/>
              <w:tr2bl w:val="nil"/>
            </w:tcBorders>
            <w:shd w:val="clear" w:color="auto" w:fill="auto"/>
            <w:vAlign w:val="center"/>
          </w:tcPr>
          <w:p w14:paraId="47375840">
            <w:pPr>
              <w:pStyle w:val="26"/>
              <w:bidi w:val="0"/>
              <w:rPr>
                <w:rFonts w:hint="eastAsia" w:ascii="Times New Roman" w:hAnsi="Times New Roman" w:eastAsia="仿宋_GB2312" w:cs="Times New Roman"/>
                <w:color w:val="auto"/>
                <w:kern w:val="2"/>
                <w:sz w:val="21"/>
                <w:szCs w:val="22"/>
                <w:lang w:val="en-US" w:eastAsia="zh-CN" w:bidi="ar-SA"/>
              </w:rPr>
            </w:pPr>
            <w:r>
              <w:rPr>
                <w:rFonts w:hint="default"/>
                <w:lang w:val="en-US" w:eastAsia="zh-CN"/>
              </w:rPr>
              <w:t>/</w:t>
            </w:r>
          </w:p>
        </w:tc>
        <w:tc>
          <w:tcPr>
            <w:tcW w:w="1482" w:type="dxa"/>
            <w:vMerge w:val="continue"/>
            <w:tcBorders>
              <w:tl2br w:val="nil"/>
              <w:tr2bl w:val="nil"/>
            </w:tcBorders>
            <w:shd w:val="clear" w:color="auto" w:fill="auto"/>
            <w:vAlign w:val="center"/>
          </w:tcPr>
          <w:p w14:paraId="654122CA">
            <w:pPr>
              <w:pStyle w:val="26"/>
              <w:bidi w:val="0"/>
              <w:rPr>
                <w:rFonts w:hint="eastAsia"/>
                <w:color w:val="auto"/>
                <w:lang w:val="en-US" w:eastAsia="zh-CN"/>
              </w:rPr>
            </w:pPr>
          </w:p>
        </w:tc>
      </w:tr>
      <w:tr w14:paraId="3E1E4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5E31A104">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5BFAB265">
            <w:pPr>
              <w:pStyle w:val="26"/>
              <w:bidi w:val="0"/>
              <w:rPr>
                <w:rFonts w:hint="eastAsia"/>
                <w:color w:val="auto"/>
                <w:lang w:val="en-US" w:eastAsia="zh-CN"/>
              </w:rPr>
            </w:pPr>
          </w:p>
        </w:tc>
        <w:tc>
          <w:tcPr>
            <w:tcW w:w="1458" w:type="dxa"/>
            <w:tcBorders>
              <w:tl2br w:val="nil"/>
              <w:tr2bl w:val="nil"/>
            </w:tcBorders>
            <w:shd w:val="clear" w:color="auto" w:fill="auto"/>
            <w:vAlign w:val="center"/>
          </w:tcPr>
          <w:p w14:paraId="19D3A02B">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总铬</w:t>
            </w:r>
          </w:p>
        </w:tc>
        <w:tc>
          <w:tcPr>
            <w:tcW w:w="1285" w:type="dxa"/>
            <w:tcBorders>
              <w:tl2br w:val="nil"/>
              <w:tr2bl w:val="nil"/>
            </w:tcBorders>
            <w:shd w:val="clear" w:color="auto" w:fill="auto"/>
            <w:vAlign w:val="center"/>
          </w:tcPr>
          <w:p w14:paraId="59767828">
            <w:pPr>
              <w:pStyle w:val="26"/>
              <w:bidi w:val="0"/>
              <w:rPr>
                <w:rFonts w:hint="default"/>
                <w:lang w:val="en-US" w:eastAsia="zh-CN"/>
              </w:rPr>
            </w:pPr>
            <w:r>
              <w:rPr>
                <w:rFonts w:hint="eastAsia"/>
                <w:lang w:val="en-US" w:eastAsia="zh-CN"/>
              </w:rPr>
              <w:t xml:space="preserve">161.66 </w:t>
            </w:r>
          </w:p>
        </w:tc>
        <w:tc>
          <w:tcPr>
            <w:tcW w:w="931" w:type="dxa"/>
            <w:tcBorders>
              <w:tl2br w:val="nil"/>
              <w:tr2bl w:val="nil"/>
            </w:tcBorders>
            <w:shd w:val="clear" w:color="auto" w:fill="auto"/>
            <w:vAlign w:val="center"/>
          </w:tcPr>
          <w:p w14:paraId="2B75EF51">
            <w:pPr>
              <w:pStyle w:val="26"/>
              <w:bidi w:val="0"/>
              <w:rPr>
                <w:rFonts w:hint="default"/>
                <w:lang w:val="en-US" w:eastAsia="zh-CN"/>
              </w:rPr>
            </w:pPr>
            <w:r>
              <w:rPr>
                <w:rFonts w:hint="default"/>
                <w:lang w:val="en-US" w:eastAsia="zh-CN"/>
              </w:rPr>
              <w:t xml:space="preserve">10.3061 </w:t>
            </w:r>
          </w:p>
        </w:tc>
        <w:tc>
          <w:tcPr>
            <w:tcW w:w="1666" w:type="dxa"/>
            <w:vMerge w:val="continue"/>
            <w:tcBorders>
              <w:tl2br w:val="nil"/>
              <w:tr2bl w:val="nil"/>
            </w:tcBorders>
            <w:shd w:val="clear" w:color="auto" w:fill="auto"/>
            <w:vAlign w:val="center"/>
          </w:tcPr>
          <w:p w14:paraId="0502DD9E">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1C02D5C0">
            <w:pPr>
              <w:pStyle w:val="26"/>
              <w:bidi w:val="0"/>
              <w:rPr>
                <w:rFonts w:hint="eastAsia"/>
                <w:color w:val="auto"/>
                <w:lang w:val="en-US" w:eastAsia="zh-CN"/>
              </w:rPr>
            </w:pPr>
          </w:p>
        </w:tc>
        <w:tc>
          <w:tcPr>
            <w:tcW w:w="970" w:type="dxa"/>
            <w:tcBorders>
              <w:tl2br w:val="nil"/>
              <w:tr2bl w:val="nil"/>
            </w:tcBorders>
            <w:shd w:val="clear" w:color="auto" w:fill="auto"/>
            <w:vAlign w:val="center"/>
          </w:tcPr>
          <w:p w14:paraId="2CD17407">
            <w:pPr>
              <w:pStyle w:val="26"/>
              <w:bidi w:val="0"/>
              <w:rPr>
                <w:rFonts w:hint="default"/>
                <w:lang w:val="en-US" w:eastAsia="zh-CN"/>
              </w:rPr>
            </w:pPr>
            <w:r>
              <w:rPr>
                <w:rFonts w:hint="eastAsia"/>
                <w:lang w:val="en-US" w:eastAsia="zh-CN"/>
              </w:rPr>
              <w:t>/</w:t>
            </w:r>
          </w:p>
        </w:tc>
        <w:tc>
          <w:tcPr>
            <w:tcW w:w="1004" w:type="dxa"/>
            <w:tcBorders>
              <w:tl2br w:val="nil"/>
              <w:tr2bl w:val="nil"/>
            </w:tcBorders>
            <w:shd w:val="clear" w:color="auto" w:fill="auto"/>
            <w:vAlign w:val="center"/>
          </w:tcPr>
          <w:p w14:paraId="2D731D3D">
            <w:pPr>
              <w:pStyle w:val="26"/>
              <w:bidi w:val="0"/>
              <w:rPr>
                <w:rFonts w:hint="default"/>
                <w:lang w:val="en-US" w:eastAsia="zh-CN"/>
              </w:rPr>
            </w:pPr>
            <w:r>
              <w:rPr>
                <w:rFonts w:hint="default"/>
                <w:lang w:val="en-US" w:eastAsia="zh-CN"/>
              </w:rPr>
              <w:t>/</w:t>
            </w:r>
          </w:p>
        </w:tc>
        <w:tc>
          <w:tcPr>
            <w:tcW w:w="970" w:type="dxa"/>
            <w:tcBorders>
              <w:tl2br w:val="nil"/>
              <w:tr2bl w:val="nil"/>
            </w:tcBorders>
            <w:shd w:val="clear" w:color="auto" w:fill="auto"/>
            <w:vAlign w:val="center"/>
          </w:tcPr>
          <w:p w14:paraId="3100CEDE">
            <w:pPr>
              <w:pStyle w:val="26"/>
              <w:bidi w:val="0"/>
              <w:rPr>
                <w:rFonts w:hint="default"/>
                <w:lang w:val="en-US" w:eastAsia="zh-CN"/>
              </w:rPr>
            </w:pPr>
            <w:r>
              <w:rPr>
                <w:rFonts w:hint="eastAsia"/>
                <w:lang w:val="en-US" w:eastAsia="zh-CN"/>
              </w:rPr>
              <w:t>/</w:t>
            </w:r>
          </w:p>
        </w:tc>
        <w:tc>
          <w:tcPr>
            <w:tcW w:w="970" w:type="dxa"/>
            <w:tcBorders>
              <w:tl2br w:val="nil"/>
              <w:tr2bl w:val="nil"/>
            </w:tcBorders>
            <w:shd w:val="clear" w:color="auto" w:fill="auto"/>
            <w:vAlign w:val="center"/>
          </w:tcPr>
          <w:p w14:paraId="25B7061A">
            <w:pPr>
              <w:pStyle w:val="26"/>
              <w:bidi w:val="0"/>
              <w:rPr>
                <w:rFonts w:hint="default"/>
                <w:lang w:val="en-US" w:eastAsia="zh-CN"/>
              </w:rPr>
            </w:pPr>
            <w:r>
              <w:rPr>
                <w:rFonts w:hint="eastAsia"/>
                <w:lang w:val="en-US" w:eastAsia="zh-CN"/>
              </w:rPr>
              <w:t>/</w:t>
            </w:r>
          </w:p>
        </w:tc>
        <w:tc>
          <w:tcPr>
            <w:tcW w:w="899" w:type="dxa"/>
            <w:tcBorders>
              <w:tl2br w:val="nil"/>
              <w:tr2bl w:val="nil"/>
            </w:tcBorders>
            <w:shd w:val="clear" w:color="auto" w:fill="auto"/>
            <w:vAlign w:val="center"/>
          </w:tcPr>
          <w:p w14:paraId="2B783129">
            <w:pPr>
              <w:pStyle w:val="26"/>
              <w:bidi w:val="0"/>
              <w:rPr>
                <w:rFonts w:hint="default"/>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32869869">
            <w:pPr>
              <w:pStyle w:val="26"/>
              <w:bidi w:val="0"/>
              <w:rPr>
                <w:rFonts w:hint="eastAsia"/>
                <w:color w:val="auto"/>
                <w:lang w:val="en-US" w:eastAsia="zh-CN"/>
              </w:rPr>
            </w:pPr>
          </w:p>
        </w:tc>
      </w:tr>
      <w:tr w14:paraId="28FFF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04585346">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70C14CEA">
            <w:pPr>
              <w:pStyle w:val="26"/>
              <w:bidi w:val="0"/>
              <w:rPr>
                <w:rFonts w:hint="eastAsia"/>
                <w:color w:val="auto"/>
                <w:lang w:val="en-US" w:eastAsia="zh-CN"/>
              </w:rPr>
            </w:pPr>
          </w:p>
        </w:tc>
        <w:tc>
          <w:tcPr>
            <w:tcW w:w="1458" w:type="dxa"/>
            <w:tcBorders>
              <w:tl2br w:val="nil"/>
              <w:tr2bl w:val="nil"/>
            </w:tcBorders>
            <w:shd w:val="clear" w:color="auto" w:fill="auto"/>
            <w:vAlign w:val="center"/>
          </w:tcPr>
          <w:p w14:paraId="571977E7">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六价铬</w:t>
            </w:r>
          </w:p>
        </w:tc>
        <w:tc>
          <w:tcPr>
            <w:tcW w:w="1285" w:type="dxa"/>
            <w:tcBorders>
              <w:tl2br w:val="nil"/>
              <w:tr2bl w:val="nil"/>
            </w:tcBorders>
            <w:shd w:val="clear" w:color="auto" w:fill="auto"/>
            <w:vAlign w:val="center"/>
          </w:tcPr>
          <w:p w14:paraId="39EC5CE7">
            <w:pPr>
              <w:pStyle w:val="26"/>
              <w:bidi w:val="0"/>
              <w:rPr>
                <w:rFonts w:hint="default"/>
                <w:lang w:val="en-US" w:eastAsia="zh-CN"/>
              </w:rPr>
            </w:pPr>
            <w:r>
              <w:rPr>
                <w:rFonts w:hint="eastAsia"/>
                <w:lang w:val="en-US" w:eastAsia="zh-CN"/>
              </w:rPr>
              <w:t xml:space="preserve">64.66 </w:t>
            </w:r>
          </w:p>
        </w:tc>
        <w:tc>
          <w:tcPr>
            <w:tcW w:w="931" w:type="dxa"/>
            <w:tcBorders>
              <w:tl2br w:val="nil"/>
              <w:tr2bl w:val="nil"/>
            </w:tcBorders>
            <w:shd w:val="clear" w:color="auto" w:fill="auto"/>
            <w:vAlign w:val="center"/>
          </w:tcPr>
          <w:p w14:paraId="7F437AAE">
            <w:pPr>
              <w:pStyle w:val="26"/>
              <w:bidi w:val="0"/>
              <w:rPr>
                <w:rFonts w:hint="default"/>
                <w:lang w:val="en-US" w:eastAsia="zh-CN"/>
              </w:rPr>
            </w:pPr>
            <w:r>
              <w:rPr>
                <w:rFonts w:hint="default"/>
                <w:lang w:val="en-US" w:eastAsia="zh-CN"/>
              </w:rPr>
              <w:t xml:space="preserve">4.1224 </w:t>
            </w:r>
          </w:p>
        </w:tc>
        <w:tc>
          <w:tcPr>
            <w:tcW w:w="1666" w:type="dxa"/>
            <w:vMerge w:val="continue"/>
            <w:tcBorders>
              <w:tl2br w:val="nil"/>
              <w:tr2bl w:val="nil"/>
            </w:tcBorders>
            <w:shd w:val="clear" w:color="auto" w:fill="auto"/>
            <w:vAlign w:val="center"/>
          </w:tcPr>
          <w:p w14:paraId="3014D401">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3F6BF371">
            <w:pPr>
              <w:pStyle w:val="26"/>
              <w:bidi w:val="0"/>
              <w:rPr>
                <w:rFonts w:hint="eastAsia"/>
                <w:color w:val="auto"/>
                <w:lang w:val="en-US" w:eastAsia="zh-CN"/>
              </w:rPr>
            </w:pPr>
          </w:p>
        </w:tc>
        <w:tc>
          <w:tcPr>
            <w:tcW w:w="970" w:type="dxa"/>
            <w:tcBorders>
              <w:tl2br w:val="nil"/>
              <w:tr2bl w:val="nil"/>
            </w:tcBorders>
            <w:shd w:val="clear" w:color="auto" w:fill="auto"/>
            <w:vAlign w:val="center"/>
          </w:tcPr>
          <w:p w14:paraId="19085AD8">
            <w:pPr>
              <w:pStyle w:val="26"/>
              <w:bidi w:val="0"/>
              <w:rPr>
                <w:rFonts w:hint="default"/>
                <w:lang w:val="en-US" w:eastAsia="zh-CN"/>
              </w:rPr>
            </w:pPr>
            <w:r>
              <w:rPr>
                <w:rFonts w:hint="eastAsia"/>
                <w:lang w:val="en-US" w:eastAsia="zh-CN"/>
              </w:rPr>
              <w:t>/</w:t>
            </w:r>
          </w:p>
        </w:tc>
        <w:tc>
          <w:tcPr>
            <w:tcW w:w="1004" w:type="dxa"/>
            <w:tcBorders>
              <w:tl2br w:val="nil"/>
              <w:tr2bl w:val="nil"/>
            </w:tcBorders>
            <w:shd w:val="clear" w:color="auto" w:fill="auto"/>
            <w:vAlign w:val="center"/>
          </w:tcPr>
          <w:p w14:paraId="59453E21">
            <w:pPr>
              <w:pStyle w:val="26"/>
              <w:bidi w:val="0"/>
              <w:rPr>
                <w:rFonts w:hint="default"/>
                <w:lang w:val="en-US" w:eastAsia="zh-CN"/>
              </w:rPr>
            </w:pPr>
            <w:r>
              <w:rPr>
                <w:rFonts w:hint="default"/>
                <w:lang w:val="en-US" w:eastAsia="zh-CN"/>
              </w:rPr>
              <w:t>/</w:t>
            </w:r>
          </w:p>
        </w:tc>
        <w:tc>
          <w:tcPr>
            <w:tcW w:w="970" w:type="dxa"/>
            <w:tcBorders>
              <w:tl2br w:val="nil"/>
              <w:tr2bl w:val="nil"/>
            </w:tcBorders>
            <w:shd w:val="clear" w:color="auto" w:fill="auto"/>
            <w:vAlign w:val="center"/>
          </w:tcPr>
          <w:p w14:paraId="5A4B4521">
            <w:pPr>
              <w:pStyle w:val="26"/>
              <w:bidi w:val="0"/>
              <w:rPr>
                <w:rFonts w:hint="default"/>
                <w:lang w:val="en-US" w:eastAsia="zh-CN"/>
              </w:rPr>
            </w:pPr>
            <w:r>
              <w:rPr>
                <w:rFonts w:hint="eastAsia"/>
                <w:lang w:val="en-US" w:eastAsia="zh-CN"/>
              </w:rPr>
              <w:t>/</w:t>
            </w:r>
          </w:p>
        </w:tc>
        <w:tc>
          <w:tcPr>
            <w:tcW w:w="970" w:type="dxa"/>
            <w:tcBorders>
              <w:tl2br w:val="nil"/>
              <w:tr2bl w:val="nil"/>
            </w:tcBorders>
            <w:shd w:val="clear" w:color="auto" w:fill="auto"/>
            <w:vAlign w:val="center"/>
          </w:tcPr>
          <w:p w14:paraId="08446DC4">
            <w:pPr>
              <w:pStyle w:val="26"/>
              <w:bidi w:val="0"/>
              <w:rPr>
                <w:rFonts w:hint="default"/>
                <w:lang w:val="en-US" w:eastAsia="zh-CN"/>
              </w:rPr>
            </w:pPr>
            <w:r>
              <w:rPr>
                <w:rFonts w:hint="eastAsia"/>
                <w:lang w:val="en-US" w:eastAsia="zh-CN"/>
              </w:rPr>
              <w:t>/</w:t>
            </w:r>
          </w:p>
        </w:tc>
        <w:tc>
          <w:tcPr>
            <w:tcW w:w="899" w:type="dxa"/>
            <w:tcBorders>
              <w:tl2br w:val="nil"/>
              <w:tr2bl w:val="nil"/>
            </w:tcBorders>
            <w:shd w:val="clear" w:color="auto" w:fill="auto"/>
            <w:vAlign w:val="center"/>
          </w:tcPr>
          <w:p w14:paraId="2136BF9C">
            <w:pPr>
              <w:pStyle w:val="26"/>
              <w:bidi w:val="0"/>
              <w:rPr>
                <w:rFonts w:hint="default"/>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1B3CAE18">
            <w:pPr>
              <w:pStyle w:val="26"/>
              <w:bidi w:val="0"/>
              <w:rPr>
                <w:rFonts w:hint="eastAsia"/>
                <w:color w:val="auto"/>
                <w:lang w:val="en-US" w:eastAsia="zh-CN"/>
              </w:rPr>
            </w:pPr>
          </w:p>
        </w:tc>
      </w:tr>
      <w:tr w14:paraId="318A7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2B8CAC95">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64145DAD">
            <w:pPr>
              <w:pStyle w:val="26"/>
              <w:bidi w:val="0"/>
              <w:rPr>
                <w:rFonts w:hint="eastAsia"/>
                <w:color w:val="auto"/>
                <w:lang w:val="en-US" w:eastAsia="zh-CN"/>
              </w:rPr>
            </w:pPr>
          </w:p>
        </w:tc>
        <w:tc>
          <w:tcPr>
            <w:tcW w:w="1458" w:type="dxa"/>
            <w:tcBorders>
              <w:tl2br w:val="nil"/>
              <w:tr2bl w:val="nil"/>
            </w:tcBorders>
            <w:shd w:val="clear" w:color="auto" w:fill="auto"/>
            <w:vAlign w:val="center"/>
          </w:tcPr>
          <w:p w14:paraId="433B46F5">
            <w:pPr>
              <w:pStyle w:val="26"/>
              <w:bidi w:val="0"/>
              <w:rPr>
                <w:rFonts w:hint="eastAsia" w:ascii="Times New Roman" w:hAnsi="Times New Roman" w:eastAsia="仿宋_GB2312" w:cs="Times New Roman"/>
                <w:color w:val="auto"/>
                <w:kern w:val="2"/>
                <w:sz w:val="21"/>
                <w:szCs w:val="22"/>
                <w:lang w:val="en-US" w:eastAsia="zh-CN" w:bidi="ar-SA"/>
              </w:rPr>
            </w:pPr>
            <w:r>
              <w:rPr>
                <w:rFonts w:hint="eastAsia" w:cs="Times New Roman"/>
                <w:color w:val="auto"/>
                <w:kern w:val="2"/>
                <w:sz w:val="21"/>
                <w:szCs w:val="22"/>
                <w:lang w:val="en-US" w:eastAsia="zh-CN" w:bidi="ar-SA"/>
              </w:rPr>
              <w:t>TP</w:t>
            </w:r>
          </w:p>
        </w:tc>
        <w:tc>
          <w:tcPr>
            <w:tcW w:w="1285" w:type="dxa"/>
            <w:tcBorders>
              <w:tl2br w:val="nil"/>
              <w:tr2bl w:val="nil"/>
            </w:tcBorders>
            <w:shd w:val="clear" w:color="auto" w:fill="auto"/>
            <w:vAlign w:val="center"/>
          </w:tcPr>
          <w:p w14:paraId="6FE1946C">
            <w:pPr>
              <w:pStyle w:val="26"/>
              <w:bidi w:val="0"/>
              <w:rPr>
                <w:rFonts w:hint="default"/>
                <w:lang w:val="en-US" w:eastAsia="zh-CN"/>
              </w:rPr>
            </w:pPr>
            <w:r>
              <w:rPr>
                <w:rFonts w:hint="eastAsia"/>
                <w:lang w:val="en-US" w:eastAsia="zh-CN"/>
              </w:rPr>
              <w:t xml:space="preserve">1.71 </w:t>
            </w:r>
          </w:p>
        </w:tc>
        <w:tc>
          <w:tcPr>
            <w:tcW w:w="931" w:type="dxa"/>
            <w:tcBorders>
              <w:tl2br w:val="nil"/>
              <w:tr2bl w:val="nil"/>
            </w:tcBorders>
            <w:shd w:val="clear" w:color="auto" w:fill="auto"/>
            <w:vAlign w:val="center"/>
          </w:tcPr>
          <w:p w14:paraId="0C84031C">
            <w:pPr>
              <w:pStyle w:val="26"/>
              <w:bidi w:val="0"/>
              <w:rPr>
                <w:rFonts w:hint="default"/>
                <w:lang w:val="en-US" w:eastAsia="zh-CN"/>
              </w:rPr>
            </w:pPr>
            <w:r>
              <w:rPr>
                <w:rFonts w:hint="default"/>
                <w:lang w:val="en-US" w:eastAsia="zh-CN"/>
              </w:rPr>
              <w:t xml:space="preserve">0.1088 </w:t>
            </w:r>
          </w:p>
        </w:tc>
        <w:tc>
          <w:tcPr>
            <w:tcW w:w="1666" w:type="dxa"/>
            <w:vMerge w:val="continue"/>
            <w:tcBorders>
              <w:tl2br w:val="nil"/>
              <w:tr2bl w:val="nil"/>
            </w:tcBorders>
            <w:shd w:val="clear" w:color="auto" w:fill="auto"/>
            <w:vAlign w:val="center"/>
          </w:tcPr>
          <w:p w14:paraId="6D2B3055">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4C345AA8">
            <w:pPr>
              <w:pStyle w:val="26"/>
              <w:bidi w:val="0"/>
              <w:rPr>
                <w:rFonts w:hint="eastAsia"/>
                <w:color w:val="auto"/>
                <w:lang w:val="en-US" w:eastAsia="zh-CN"/>
              </w:rPr>
            </w:pPr>
          </w:p>
        </w:tc>
        <w:tc>
          <w:tcPr>
            <w:tcW w:w="970" w:type="dxa"/>
            <w:tcBorders>
              <w:tl2br w:val="nil"/>
              <w:tr2bl w:val="nil"/>
            </w:tcBorders>
            <w:shd w:val="clear" w:color="auto" w:fill="auto"/>
            <w:vAlign w:val="center"/>
          </w:tcPr>
          <w:p w14:paraId="4A69B56D">
            <w:pPr>
              <w:pStyle w:val="26"/>
              <w:bidi w:val="0"/>
              <w:rPr>
                <w:rFonts w:hint="default"/>
                <w:lang w:val="en-US" w:eastAsia="zh-CN"/>
              </w:rPr>
            </w:pPr>
            <w:r>
              <w:rPr>
                <w:rFonts w:hint="eastAsia"/>
                <w:lang w:val="en-US" w:eastAsia="zh-CN"/>
              </w:rPr>
              <w:t>/</w:t>
            </w:r>
          </w:p>
        </w:tc>
        <w:tc>
          <w:tcPr>
            <w:tcW w:w="1004" w:type="dxa"/>
            <w:tcBorders>
              <w:tl2br w:val="nil"/>
              <w:tr2bl w:val="nil"/>
            </w:tcBorders>
            <w:shd w:val="clear" w:color="auto" w:fill="auto"/>
            <w:vAlign w:val="center"/>
          </w:tcPr>
          <w:p w14:paraId="1FA64BFF">
            <w:pPr>
              <w:pStyle w:val="26"/>
              <w:bidi w:val="0"/>
              <w:rPr>
                <w:rFonts w:hint="default"/>
                <w:lang w:val="en-US" w:eastAsia="zh-CN"/>
              </w:rPr>
            </w:pPr>
            <w:r>
              <w:rPr>
                <w:rFonts w:hint="default"/>
                <w:lang w:val="en-US" w:eastAsia="zh-CN"/>
              </w:rPr>
              <w:t>/</w:t>
            </w:r>
          </w:p>
        </w:tc>
        <w:tc>
          <w:tcPr>
            <w:tcW w:w="970" w:type="dxa"/>
            <w:tcBorders>
              <w:tl2br w:val="nil"/>
              <w:tr2bl w:val="nil"/>
            </w:tcBorders>
            <w:shd w:val="clear" w:color="auto" w:fill="auto"/>
            <w:vAlign w:val="center"/>
          </w:tcPr>
          <w:p w14:paraId="74C18F1D">
            <w:pPr>
              <w:pStyle w:val="26"/>
              <w:bidi w:val="0"/>
              <w:rPr>
                <w:rFonts w:hint="default"/>
                <w:lang w:val="en-US" w:eastAsia="zh-CN"/>
              </w:rPr>
            </w:pPr>
            <w:r>
              <w:rPr>
                <w:rFonts w:hint="eastAsia"/>
                <w:lang w:val="en-US" w:eastAsia="zh-CN"/>
              </w:rPr>
              <w:t>/</w:t>
            </w:r>
          </w:p>
        </w:tc>
        <w:tc>
          <w:tcPr>
            <w:tcW w:w="970" w:type="dxa"/>
            <w:tcBorders>
              <w:tl2br w:val="nil"/>
              <w:tr2bl w:val="nil"/>
            </w:tcBorders>
            <w:shd w:val="clear" w:color="auto" w:fill="auto"/>
            <w:vAlign w:val="center"/>
          </w:tcPr>
          <w:p w14:paraId="4F28142E">
            <w:pPr>
              <w:pStyle w:val="26"/>
              <w:bidi w:val="0"/>
              <w:rPr>
                <w:rFonts w:hint="default"/>
                <w:lang w:val="en-US" w:eastAsia="zh-CN"/>
              </w:rPr>
            </w:pPr>
            <w:r>
              <w:rPr>
                <w:rFonts w:hint="eastAsia"/>
                <w:lang w:val="en-US" w:eastAsia="zh-CN"/>
              </w:rPr>
              <w:t>/</w:t>
            </w:r>
          </w:p>
        </w:tc>
        <w:tc>
          <w:tcPr>
            <w:tcW w:w="899" w:type="dxa"/>
            <w:tcBorders>
              <w:tl2br w:val="nil"/>
              <w:tr2bl w:val="nil"/>
            </w:tcBorders>
            <w:shd w:val="clear" w:color="auto" w:fill="auto"/>
            <w:vAlign w:val="center"/>
          </w:tcPr>
          <w:p w14:paraId="5231F423">
            <w:pPr>
              <w:pStyle w:val="26"/>
              <w:bidi w:val="0"/>
              <w:rPr>
                <w:rFonts w:hint="default"/>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028FB6A6">
            <w:pPr>
              <w:pStyle w:val="26"/>
              <w:bidi w:val="0"/>
              <w:rPr>
                <w:rFonts w:hint="eastAsia"/>
                <w:color w:val="auto"/>
                <w:lang w:val="en-US" w:eastAsia="zh-CN"/>
              </w:rPr>
            </w:pPr>
          </w:p>
        </w:tc>
      </w:tr>
      <w:tr w14:paraId="3552A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09DF07CB">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0410FE59">
            <w:pPr>
              <w:pStyle w:val="26"/>
              <w:bidi w:val="0"/>
              <w:rPr>
                <w:rFonts w:hint="eastAsia"/>
                <w:color w:val="auto"/>
                <w:lang w:val="en-US" w:eastAsia="zh-CN"/>
              </w:rPr>
            </w:pPr>
          </w:p>
        </w:tc>
        <w:tc>
          <w:tcPr>
            <w:tcW w:w="1458" w:type="dxa"/>
            <w:tcBorders>
              <w:tl2br w:val="nil"/>
              <w:tr2bl w:val="nil"/>
            </w:tcBorders>
            <w:shd w:val="clear" w:color="auto" w:fill="auto"/>
            <w:vAlign w:val="center"/>
          </w:tcPr>
          <w:p w14:paraId="50C0DFA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石油类</w:t>
            </w:r>
          </w:p>
        </w:tc>
        <w:tc>
          <w:tcPr>
            <w:tcW w:w="1285" w:type="dxa"/>
            <w:tcBorders>
              <w:tl2br w:val="nil"/>
              <w:tr2bl w:val="nil"/>
            </w:tcBorders>
            <w:shd w:val="clear" w:color="auto" w:fill="auto"/>
            <w:vAlign w:val="center"/>
          </w:tcPr>
          <w:p w14:paraId="138CF35A">
            <w:pPr>
              <w:pStyle w:val="26"/>
              <w:bidi w:val="0"/>
              <w:rPr>
                <w:rFonts w:hint="default"/>
                <w:lang w:val="en-US" w:eastAsia="zh-CN"/>
              </w:rPr>
            </w:pPr>
            <w:r>
              <w:rPr>
                <w:rFonts w:hint="eastAsia"/>
                <w:lang w:val="en-US" w:eastAsia="zh-CN"/>
              </w:rPr>
              <w:t xml:space="preserve">13.34 </w:t>
            </w:r>
          </w:p>
        </w:tc>
        <w:tc>
          <w:tcPr>
            <w:tcW w:w="931" w:type="dxa"/>
            <w:tcBorders>
              <w:tl2br w:val="nil"/>
              <w:tr2bl w:val="nil"/>
            </w:tcBorders>
            <w:shd w:val="clear" w:color="auto" w:fill="auto"/>
            <w:vAlign w:val="center"/>
          </w:tcPr>
          <w:p w14:paraId="3580C55D">
            <w:pPr>
              <w:pStyle w:val="26"/>
              <w:bidi w:val="0"/>
              <w:rPr>
                <w:rFonts w:hint="default"/>
                <w:lang w:val="en-US" w:eastAsia="zh-CN"/>
              </w:rPr>
            </w:pPr>
            <w:r>
              <w:rPr>
                <w:rFonts w:hint="default"/>
                <w:lang w:val="en-US" w:eastAsia="zh-CN"/>
              </w:rPr>
              <w:t xml:space="preserve">0.8505 </w:t>
            </w:r>
          </w:p>
        </w:tc>
        <w:tc>
          <w:tcPr>
            <w:tcW w:w="1666" w:type="dxa"/>
            <w:vMerge w:val="continue"/>
            <w:tcBorders>
              <w:tl2br w:val="nil"/>
              <w:tr2bl w:val="nil"/>
            </w:tcBorders>
            <w:shd w:val="clear" w:color="auto" w:fill="auto"/>
            <w:vAlign w:val="center"/>
          </w:tcPr>
          <w:p w14:paraId="51901F0C">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5E8D9949">
            <w:pPr>
              <w:pStyle w:val="26"/>
              <w:bidi w:val="0"/>
              <w:rPr>
                <w:rFonts w:hint="eastAsia"/>
                <w:color w:val="auto"/>
                <w:lang w:val="en-US" w:eastAsia="zh-CN"/>
              </w:rPr>
            </w:pPr>
          </w:p>
        </w:tc>
        <w:tc>
          <w:tcPr>
            <w:tcW w:w="970" w:type="dxa"/>
            <w:tcBorders>
              <w:tl2br w:val="nil"/>
              <w:tr2bl w:val="nil"/>
            </w:tcBorders>
            <w:shd w:val="clear" w:color="auto" w:fill="auto"/>
            <w:vAlign w:val="center"/>
          </w:tcPr>
          <w:p w14:paraId="4747488E">
            <w:pPr>
              <w:pStyle w:val="26"/>
              <w:bidi w:val="0"/>
              <w:rPr>
                <w:rFonts w:hint="eastAsia"/>
                <w:lang w:val="en-US" w:eastAsia="zh-CN"/>
              </w:rPr>
            </w:pPr>
            <w:r>
              <w:rPr>
                <w:rFonts w:hint="eastAsia"/>
                <w:lang w:val="en-US" w:eastAsia="zh-CN"/>
              </w:rPr>
              <w:t>/</w:t>
            </w:r>
          </w:p>
        </w:tc>
        <w:tc>
          <w:tcPr>
            <w:tcW w:w="1004" w:type="dxa"/>
            <w:tcBorders>
              <w:tl2br w:val="nil"/>
              <w:tr2bl w:val="nil"/>
            </w:tcBorders>
            <w:shd w:val="clear" w:color="auto" w:fill="auto"/>
            <w:vAlign w:val="center"/>
          </w:tcPr>
          <w:p w14:paraId="50CC6715">
            <w:pPr>
              <w:pStyle w:val="26"/>
              <w:bidi w:val="0"/>
              <w:rPr>
                <w:rFonts w:hint="eastAsia"/>
                <w:lang w:val="en-US" w:eastAsia="zh-CN"/>
              </w:rPr>
            </w:pPr>
            <w:r>
              <w:rPr>
                <w:rFonts w:hint="default"/>
                <w:lang w:val="en-US" w:eastAsia="zh-CN"/>
              </w:rPr>
              <w:t>/</w:t>
            </w:r>
          </w:p>
        </w:tc>
        <w:tc>
          <w:tcPr>
            <w:tcW w:w="970" w:type="dxa"/>
            <w:tcBorders>
              <w:tl2br w:val="nil"/>
              <w:tr2bl w:val="nil"/>
            </w:tcBorders>
            <w:shd w:val="clear" w:color="auto" w:fill="auto"/>
            <w:vAlign w:val="center"/>
          </w:tcPr>
          <w:p w14:paraId="54EDAA68">
            <w:pPr>
              <w:pStyle w:val="26"/>
              <w:bidi w:val="0"/>
              <w:rPr>
                <w:rFonts w:hint="eastAsia"/>
                <w:lang w:val="en-US" w:eastAsia="zh-CN"/>
              </w:rPr>
            </w:pPr>
            <w:r>
              <w:rPr>
                <w:rFonts w:hint="eastAsia"/>
                <w:lang w:val="en-US" w:eastAsia="zh-CN"/>
              </w:rPr>
              <w:t>/</w:t>
            </w:r>
          </w:p>
        </w:tc>
        <w:tc>
          <w:tcPr>
            <w:tcW w:w="970" w:type="dxa"/>
            <w:tcBorders>
              <w:tl2br w:val="nil"/>
              <w:tr2bl w:val="nil"/>
            </w:tcBorders>
            <w:shd w:val="clear" w:color="auto" w:fill="auto"/>
            <w:vAlign w:val="center"/>
          </w:tcPr>
          <w:p w14:paraId="356F033D">
            <w:pPr>
              <w:pStyle w:val="26"/>
              <w:bidi w:val="0"/>
              <w:rPr>
                <w:rFonts w:hint="eastAsia"/>
                <w:lang w:val="en-US" w:eastAsia="zh-CN"/>
              </w:rPr>
            </w:pPr>
            <w:r>
              <w:rPr>
                <w:rFonts w:hint="eastAsia"/>
                <w:lang w:val="en-US" w:eastAsia="zh-CN"/>
              </w:rPr>
              <w:t>/</w:t>
            </w:r>
          </w:p>
        </w:tc>
        <w:tc>
          <w:tcPr>
            <w:tcW w:w="899" w:type="dxa"/>
            <w:tcBorders>
              <w:tl2br w:val="nil"/>
              <w:tr2bl w:val="nil"/>
            </w:tcBorders>
            <w:shd w:val="clear" w:color="auto" w:fill="auto"/>
            <w:vAlign w:val="center"/>
          </w:tcPr>
          <w:p w14:paraId="67AC3327">
            <w:pPr>
              <w:pStyle w:val="26"/>
              <w:bidi w:val="0"/>
              <w:rPr>
                <w:rFonts w:hint="default"/>
                <w:lang w:val="en-US" w:eastAsia="zh-CN"/>
              </w:rPr>
            </w:pPr>
            <w:r>
              <w:rPr>
                <w:rFonts w:hint="default"/>
                <w:lang w:val="en-US" w:eastAsia="zh-CN"/>
              </w:rPr>
              <w:t>/</w:t>
            </w:r>
          </w:p>
        </w:tc>
        <w:tc>
          <w:tcPr>
            <w:tcW w:w="1482" w:type="dxa"/>
            <w:vMerge w:val="continue"/>
            <w:tcBorders>
              <w:tl2br w:val="nil"/>
              <w:tr2bl w:val="nil"/>
            </w:tcBorders>
            <w:shd w:val="clear" w:color="auto" w:fill="auto"/>
            <w:vAlign w:val="center"/>
          </w:tcPr>
          <w:p w14:paraId="4E5E3C32">
            <w:pPr>
              <w:pStyle w:val="26"/>
              <w:bidi w:val="0"/>
              <w:rPr>
                <w:rFonts w:hint="eastAsia"/>
                <w:color w:val="auto"/>
                <w:lang w:val="en-US" w:eastAsia="zh-CN"/>
              </w:rPr>
            </w:pPr>
          </w:p>
        </w:tc>
      </w:tr>
      <w:tr w14:paraId="60C8B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5" w:hRule="atLeast"/>
        </w:trPr>
        <w:tc>
          <w:tcPr>
            <w:tcW w:w="747" w:type="dxa"/>
            <w:vMerge w:val="restart"/>
            <w:tcBorders>
              <w:tl2br w:val="nil"/>
              <w:tr2bl w:val="nil"/>
            </w:tcBorders>
            <w:shd w:val="clear" w:color="auto" w:fill="auto"/>
            <w:vAlign w:val="center"/>
          </w:tcPr>
          <w:p w14:paraId="6E45D090">
            <w:pPr>
              <w:pStyle w:val="26"/>
              <w:bidi w:val="0"/>
              <w:rPr>
                <w:rFonts w:hint="eastAsia"/>
                <w:color w:val="auto"/>
                <w:lang w:val="en-US" w:eastAsia="zh-CN"/>
              </w:rPr>
            </w:pPr>
            <w:r>
              <w:rPr>
                <w:rFonts w:hint="eastAsia"/>
                <w:color w:val="auto"/>
                <w:lang w:val="en-US" w:eastAsia="zh-CN"/>
              </w:rPr>
              <w:t>生活污水</w:t>
            </w:r>
          </w:p>
        </w:tc>
        <w:tc>
          <w:tcPr>
            <w:tcW w:w="707" w:type="dxa"/>
            <w:vMerge w:val="restart"/>
            <w:tcBorders>
              <w:tl2br w:val="nil"/>
              <w:tr2bl w:val="nil"/>
            </w:tcBorders>
            <w:shd w:val="clear" w:color="auto" w:fill="auto"/>
            <w:vAlign w:val="center"/>
          </w:tcPr>
          <w:p w14:paraId="4A5642FA">
            <w:pPr>
              <w:pStyle w:val="26"/>
              <w:bidi w:val="0"/>
              <w:rPr>
                <w:rFonts w:hint="default"/>
                <w:color w:val="auto"/>
                <w:lang w:val="en-US" w:eastAsia="zh-CN"/>
              </w:rPr>
            </w:pPr>
            <w:r>
              <w:rPr>
                <w:rFonts w:hint="default"/>
                <w:lang w:val="en-US" w:eastAsia="zh-CN"/>
              </w:rPr>
              <w:t>3</w:t>
            </w:r>
            <w:r>
              <w:rPr>
                <w:rFonts w:hint="eastAsia"/>
                <w:lang w:val="en-US" w:eastAsia="zh-CN"/>
              </w:rPr>
              <w:t>344</w:t>
            </w:r>
          </w:p>
        </w:tc>
        <w:tc>
          <w:tcPr>
            <w:tcW w:w="1458" w:type="dxa"/>
            <w:tcBorders>
              <w:tl2br w:val="nil"/>
              <w:tr2bl w:val="nil"/>
            </w:tcBorders>
            <w:shd w:val="clear" w:color="auto" w:fill="auto"/>
            <w:vAlign w:val="center"/>
          </w:tcPr>
          <w:p w14:paraId="6913EC76">
            <w:pPr>
              <w:pStyle w:val="26"/>
              <w:bidi w:val="0"/>
              <w:rPr>
                <w:rFonts w:hint="eastAsia"/>
                <w:color w:val="auto"/>
                <w:lang w:val="en-US" w:eastAsia="zh-CN"/>
              </w:rPr>
            </w:pPr>
            <w:r>
              <w:rPr>
                <w:rFonts w:hint="default"/>
                <w:lang w:val="en-US" w:eastAsia="zh-CN"/>
              </w:rPr>
              <w:t>COD</w:t>
            </w:r>
          </w:p>
        </w:tc>
        <w:tc>
          <w:tcPr>
            <w:tcW w:w="1285" w:type="dxa"/>
            <w:tcBorders>
              <w:tl2br w:val="nil"/>
              <w:tr2bl w:val="nil"/>
            </w:tcBorders>
            <w:shd w:val="clear" w:color="auto" w:fill="auto"/>
            <w:vAlign w:val="center"/>
          </w:tcPr>
          <w:p w14:paraId="69CB97DB">
            <w:pPr>
              <w:pStyle w:val="26"/>
              <w:bidi w:val="0"/>
              <w:rPr>
                <w:rFonts w:hint="eastAsia"/>
                <w:color w:val="auto"/>
                <w:lang w:val="en-US" w:eastAsia="zh-CN"/>
              </w:rPr>
            </w:pPr>
            <w:r>
              <w:rPr>
                <w:rFonts w:hint="eastAsia"/>
                <w:color w:val="auto"/>
                <w:lang w:val="en-US" w:eastAsia="zh-CN"/>
              </w:rPr>
              <w:t>350</w:t>
            </w:r>
          </w:p>
        </w:tc>
        <w:tc>
          <w:tcPr>
            <w:tcW w:w="931" w:type="dxa"/>
            <w:tcBorders>
              <w:tl2br w:val="nil"/>
              <w:tr2bl w:val="nil"/>
            </w:tcBorders>
            <w:shd w:val="clear" w:color="auto" w:fill="auto"/>
            <w:vAlign w:val="center"/>
          </w:tcPr>
          <w:p w14:paraId="24743270">
            <w:pPr>
              <w:pStyle w:val="26"/>
              <w:bidi w:val="0"/>
              <w:rPr>
                <w:rFonts w:hint="eastAsia"/>
                <w:color w:val="auto"/>
                <w:lang w:val="en-US" w:eastAsia="zh-CN"/>
              </w:rPr>
            </w:pPr>
            <w:r>
              <w:rPr>
                <w:rFonts w:hint="default"/>
                <w:lang w:val="en-US" w:eastAsia="zh-CN"/>
              </w:rPr>
              <w:t xml:space="preserve">1.1704 </w:t>
            </w:r>
          </w:p>
        </w:tc>
        <w:tc>
          <w:tcPr>
            <w:tcW w:w="1666" w:type="dxa"/>
            <w:vMerge w:val="restart"/>
            <w:tcBorders>
              <w:tl2br w:val="nil"/>
              <w:tr2bl w:val="nil"/>
            </w:tcBorders>
            <w:shd w:val="clear" w:color="auto" w:fill="auto"/>
            <w:vAlign w:val="center"/>
          </w:tcPr>
          <w:p w14:paraId="15B22102">
            <w:pPr>
              <w:pStyle w:val="26"/>
              <w:bidi w:val="0"/>
              <w:rPr>
                <w:rFonts w:hint="eastAsia"/>
                <w:color w:val="auto"/>
                <w:lang w:val="en-US" w:eastAsia="zh-CN"/>
              </w:rPr>
            </w:pPr>
            <w:r>
              <w:rPr>
                <w:lang w:val="en-US" w:eastAsia="zh-CN"/>
              </w:rPr>
              <w:t>化粪池处理</w:t>
            </w:r>
          </w:p>
        </w:tc>
        <w:tc>
          <w:tcPr>
            <w:tcW w:w="1085" w:type="dxa"/>
            <w:vMerge w:val="restart"/>
            <w:tcBorders>
              <w:tl2br w:val="nil"/>
              <w:tr2bl w:val="nil"/>
            </w:tcBorders>
            <w:shd w:val="clear" w:color="auto" w:fill="auto"/>
            <w:vAlign w:val="center"/>
          </w:tcPr>
          <w:p w14:paraId="528F3089">
            <w:pPr>
              <w:pStyle w:val="26"/>
              <w:bidi w:val="0"/>
              <w:rPr>
                <w:rFonts w:hint="default"/>
                <w:color w:val="auto"/>
                <w:lang w:val="en-US" w:eastAsia="zh-CN"/>
              </w:rPr>
            </w:pPr>
            <w:r>
              <w:rPr>
                <w:rFonts w:hint="eastAsia"/>
                <w:lang w:val="en-US" w:eastAsia="zh-CN"/>
              </w:rPr>
              <w:t>3344</w:t>
            </w:r>
          </w:p>
        </w:tc>
        <w:tc>
          <w:tcPr>
            <w:tcW w:w="970" w:type="dxa"/>
            <w:tcBorders>
              <w:tl2br w:val="nil"/>
              <w:tr2bl w:val="nil"/>
            </w:tcBorders>
            <w:shd w:val="clear" w:color="auto" w:fill="auto"/>
            <w:vAlign w:val="center"/>
          </w:tcPr>
          <w:p w14:paraId="41F242BC">
            <w:pPr>
              <w:pStyle w:val="26"/>
              <w:bidi w:val="0"/>
              <w:rPr>
                <w:rFonts w:hint="eastAsia"/>
                <w:color w:val="auto"/>
                <w:lang w:val="en-US" w:eastAsia="zh-CN"/>
              </w:rPr>
            </w:pPr>
            <w:r>
              <w:rPr>
                <w:rFonts w:hint="eastAsia"/>
                <w:color w:val="auto"/>
                <w:lang w:val="en-US" w:eastAsia="zh-CN"/>
              </w:rPr>
              <w:t>350</w:t>
            </w:r>
          </w:p>
        </w:tc>
        <w:tc>
          <w:tcPr>
            <w:tcW w:w="1004" w:type="dxa"/>
            <w:tcBorders>
              <w:tl2br w:val="nil"/>
              <w:tr2bl w:val="nil"/>
            </w:tcBorders>
            <w:shd w:val="clear" w:color="auto" w:fill="auto"/>
            <w:vAlign w:val="center"/>
          </w:tcPr>
          <w:p w14:paraId="2BA4530A">
            <w:pPr>
              <w:pStyle w:val="26"/>
              <w:bidi w:val="0"/>
              <w:rPr>
                <w:rFonts w:hint="eastAsia"/>
                <w:color w:val="auto"/>
                <w:lang w:val="en-US" w:eastAsia="zh-CN"/>
              </w:rPr>
            </w:pPr>
            <w:r>
              <w:rPr>
                <w:rFonts w:hint="default"/>
                <w:lang w:val="en-US" w:eastAsia="zh-CN"/>
              </w:rPr>
              <w:t xml:space="preserve">1.1704 </w:t>
            </w:r>
          </w:p>
        </w:tc>
        <w:tc>
          <w:tcPr>
            <w:tcW w:w="970" w:type="dxa"/>
            <w:tcBorders>
              <w:tl2br w:val="nil"/>
              <w:tr2bl w:val="nil"/>
            </w:tcBorders>
            <w:shd w:val="clear" w:color="auto" w:fill="auto"/>
            <w:vAlign w:val="center"/>
          </w:tcPr>
          <w:p w14:paraId="0AF15F88">
            <w:pPr>
              <w:pStyle w:val="26"/>
              <w:bidi w:val="0"/>
              <w:rPr>
                <w:rFonts w:hint="eastAsia"/>
                <w:color w:val="auto"/>
                <w:lang w:val="en-US" w:eastAsia="zh-CN"/>
              </w:rPr>
            </w:pPr>
            <w:r>
              <w:rPr>
                <w:rFonts w:hint="default"/>
                <w:lang w:val="en-US" w:eastAsia="zh-CN"/>
              </w:rPr>
              <w:t>500</w:t>
            </w:r>
          </w:p>
        </w:tc>
        <w:tc>
          <w:tcPr>
            <w:tcW w:w="970" w:type="dxa"/>
            <w:tcBorders>
              <w:tl2br w:val="nil"/>
              <w:tr2bl w:val="nil"/>
            </w:tcBorders>
            <w:shd w:val="clear" w:color="auto" w:fill="auto"/>
            <w:vAlign w:val="center"/>
          </w:tcPr>
          <w:p w14:paraId="1FD48B2C">
            <w:pPr>
              <w:pStyle w:val="26"/>
              <w:rPr>
                <w:rFonts w:hint="eastAsia"/>
                <w:lang w:val="en-US" w:eastAsia="zh-CN"/>
              </w:rPr>
            </w:pPr>
            <w:r>
              <w:rPr>
                <w:rFonts w:hint="default"/>
                <w:lang w:val="en-US" w:eastAsia="zh-CN"/>
              </w:rPr>
              <w:t>30</w:t>
            </w:r>
          </w:p>
        </w:tc>
        <w:tc>
          <w:tcPr>
            <w:tcW w:w="899" w:type="dxa"/>
            <w:tcBorders>
              <w:tl2br w:val="nil"/>
              <w:tr2bl w:val="nil"/>
            </w:tcBorders>
            <w:shd w:val="clear" w:color="auto" w:fill="auto"/>
            <w:vAlign w:val="center"/>
          </w:tcPr>
          <w:p w14:paraId="181FCE01">
            <w:pPr>
              <w:pStyle w:val="26"/>
              <w:rPr>
                <w:rFonts w:hint="eastAsia"/>
                <w:lang w:val="en-US" w:eastAsia="zh-CN"/>
              </w:rPr>
            </w:pPr>
            <w:r>
              <w:rPr>
                <w:rFonts w:hint="default"/>
                <w:lang w:val="en-US" w:eastAsia="zh-CN"/>
              </w:rPr>
              <w:t>0.1176</w:t>
            </w:r>
          </w:p>
        </w:tc>
        <w:tc>
          <w:tcPr>
            <w:tcW w:w="1482" w:type="dxa"/>
            <w:vMerge w:val="restart"/>
            <w:tcBorders>
              <w:tl2br w:val="nil"/>
              <w:tr2bl w:val="nil"/>
            </w:tcBorders>
            <w:shd w:val="clear" w:color="auto" w:fill="auto"/>
            <w:vAlign w:val="center"/>
          </w:tcPr>
          <w:p w14:paraId="05E429E0">
            <w:pPr>
              <w:pStyle w:val="26"/>
              <w:bidi w:val="0"/>
              <w:rPr>
                <w:rFonts w:hint="eastAsia"/>
                <w:color w:val="auto"/>
                <w:lang w:val="en-US" w:eastAsia="zh-CN"/>
              </w:rPr>
            </w:pPr>
            <w:r>
              <w:rPr>
                <w:rFonts w:hint="eastAsia"/>
                <w:color w:val="auto"/>
                <w:lang w:val="en-US" w:eastAsia="zh-CN"/>
              </w:rPr>
              <w:t>昆山建邦环境投资有限公司花桥污水处理厂</w:t>
            </w:r>
          </w:p>
        </w:tc>
      </w:tr>
      <w:tr w14:paraId="2B169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0B7BF083">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335D7241">
            <w:pPr>
              <w:pStyle w:val="26"/>
              <w:bidi w:val="0"/>
              <w:rPr>
                <w:rFonts w:hint="eastAsia"/>
                <w:color w:val="auto"/>
                <w:lang w:val="en-US" w:eastAsia="zh-CN"/>
              </w:rPr>
            </w:pPr>
          </w:p>
        </w:tc>
        <w:tc>
          <w:tcPr>
            <w:tcW w:w="1458" w:type="dxa"/>
            <w:tcBorders>
              <w:tl2br w:val="nil"/>
              <w:tr2bl w:val="nil"/>
            </w:tcBorders>
            <w:shd w:val="clear" w:color="auto" w:fill="auto"/>
            <w:vAlign w:val="center"/>
          </w:tcPr>
          <w:p w14:paraId="0DB38C8F">
            <w:pPr>
              <w:pStyle w:val="26"/>
              <w:bidi w:val="0"/>
              <w:rPr>
                <w:rFonts w:hint="eastAsia"/>
                <w:color w:val="auto"/>
                <w:lang w:val="en-US" w:eastAsia="zh-CN"/>
              </w:rPr>
            </w:pPr>
            <w:r>
              <w:rPr>
                <w:rFonts w:hint="default"/>
                <w:lang w:val="en-US" w:eastAsia="zh-CN"/>
              </w:rPr>
              <w:t>SS</w:t>
            </w:r>
          </w:p>
        </w:tc>
        <w:tc>
          <w:tcPr>
            <w:tcW w:w="1285" w:type="dxa"/>
            <w:tcBorders>
              <w:tl2br w:val="nil"/>
              <w:tr2bl w:val="nil"/>
            </w:tcBorders>
            <w:shd w:val="clear" w:color="auto" w:fill="auto"/>
            <w:vAlign w:val="center"/>
          </w:tcPr>
          <w:p w14:paraId="70720630">
            <w:pPr>
              <w:pStyle w:val="26"/>
              <w:bidi w:val="0"/>
              <w:rPr>
                <w:rFonts w:hint="eastAsia"/>
                <w:color w:val="auto"/>
                <w:lang w:val="en-US" w:eastAsia="zh-CN"/>
              </w:rPr>
            </w:pPr>
            <w:r>
              <w:rPr>
                <w:rFonts w:hint="eastAsia"/>
                <w:color w:val="auto"/>
                <w:lang w:val="en-US" w:eastAsia="zh-CN"/>
              </w:rPr>
              <w:t>100</w:t>
            </w:r>
          </w:p>
        </w:tc>
        <w:tc>
          <w:tcPr>
            <w:tcW w:w="931" w:type="dxa"/>
            <w:tcBorders>
              <w:tl2br w:val="nil"/>
              <w:tr2bl w:val="nil"/>
            </w:tcBorders>
            <w:shd w:val="clear" w:color="auto" w:fill="auto"/>
            <w:vAlign w:val="center"/>
          </w:tcPr>
          <w:p w14:paraId="5AB3ACCF">
            <w:pPr>
              <w:pStyle w:val="26"/>
              <w:bidi w:val="0"/>
              <w:rPr>
                <w:rFonts w:hint="eastAsia"/>
                <w:color w:val="auto"/>
                <w:lang w:val="en-US" w:eastAsia="zh-CN"/>
              </w:rPr>
            </w:pPr>
            <w:r>
              <w:rPr>
                <w:rFonts w:hint="default"/>
                <w:lang w:val="en-US" w:eastAsia="zh-CN"/>
              </w:rPr>
              <w:t xml:space="preserve">0.3344 </w:t>
            </w:r>
          </w:p>
        </w:tc>
        <w:tc>
          <w:tcPr>
            <w:tcW w:w="1666" w:type="dxa"/>
            <w:vMerge w:val="continue"/>
            <w:tcBorders>
              <w:tl2br w:val="nil"/>
              <w:tr2bl w:val="nil"/>
            </w:tcBorders>
            <w:shd w:val="clear" w:color="auto" w:fill="auto"/>
            <w:vAlign w:val="center"/>
          </w:tcPr>
          <w:p w14:paraId="6F06DB8D">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74E2B4BE">
            <w:pPr>
              <w:pStyle w:val="26"/>
              <w:bidi w:val="0"/>
              <w:rPr>
                <w:rFonts w:hint="eastAsia"/>
                <w:color w:val="auto"/>
                <w:lang w:val="en-US" w:eastAsia="zh-CN"/>
              </w:rPr>
            </w:pPr>
          </w:p>
        </w:tc>
        <w:tc>
          <w:tcPr>
            <w:tcW w:w="970" w:type="dxa"/>
            <w:tcBorders>
              <w:tl2br w:val="nil"/>
              <w:tr2bl w:val="nil"/>
            </w:tcBorders>
            <w:shd w:val="clear" w:color="auto" w:fill="auto"/>
            <w:vAlign w:val="center"/>
          </w:tcPr>
          <w:p w14:paraId="7BCB5C71">
            <w:pPr>
              <w:pStyle w:val="26"/>
              <w:bidi w:val="0"/>
              <w:rPr>
                <w:rFonts w:hint="eastAsia"/>
                <w:color w:val="auto"/>
                <w:lang w:val="en-US" w:eastAsia="zh-CN"/>
              </w:rPr>
            </w:pPr>
            <w:r>
              <w:rPr>
                <w:rFonts w:hint="eastAsia"/>
                <w:color w:val="auto"/>
                <w:lang w:val="en-US" w:eastAsia="zh-CN"/>
              </w:rPr>
              <w:t>100</w:t>
            </w:r>
          </w:p>
        </w:tc>
        <w:tc>
          <w:tcPr>
            <w:tcW w:w="1004" w:type="dxa"/>
            <w:tcBorders>
              <w:tl2br w:val="nil"/>
              <w:tr2bl w:val="nil"/>
            </w:tcBorders>
            <w:shd w:val="clear" w:color="auto" w:fill="auto"/>
            <w:vAlign w:val="center"/>
          </w:tcPr>
          <w:p w14:paraId="53AB1500">
            <w:pPr>
              <w:pStyle w:val="26"/>
              <w:bidi w:val="0"/>
              <w:rPr>
                <w:rFonts w:hint="eastAsia"/>
                <w:color w:val="auto"/>
                <w:lang w:val="en-US" w:eastAsia="zh-CN"/>
              </w:rPr>
            </w:pPr>
            <w:r>
              <w:rPr>
                <w:rFonts w:hint="default"/>
                <w:lang w:val="en-US" w:eastAsia="zh-CN"/>
              </w:rPr>
              <w:t xml:space="preserve">0.3344 </w:t>
            </w:r>
          </w:p>
        </w:tc>
        <w:tc>
          <w:tcPr>
            <w:tcW w:w="970" w:type="dxa"/>
            <w:tcBorders>
              <w:tl2br w:val="nil"/>
              <w:tr2bl w:val="nil"/>
            </w:tcBorders>
            <w:shd w:val="clear" w:color="auto" w:fill="auto"/>
            <w:vAlign w:val="center"/>
          </w:tcPr>
          <w:p w14:paraId="41F55754">
            <w:pPr>
              <w:pStyle w:val="26"/>
              <w:bidi w:val="0"/>
              <w:rPr>
                <w:rFonts w:hint="eastAsia"/>
                <w:color w:val="auto"/>
                <w:lang w:val="en-US" w:eastAsia="zh-CN"/>
              </w:rPr>
            </w:pPr>
            <w:r>
              <w:rPr>
                <w:rFonts w:hint="default"/>
                <w:lang w:val="en-US" w:eastAsia="zh-CN"/>
              </w:rPr>
              <w:t>400</w:t>
            </w:r>
          </w:p>
        </w:tc>
        <w:tc>
          <w:tcPr>
            <w:tcW w:w="970" w:type="dxa"/>
            <w:tcBorders>
              <w:tl2br w:val="nil"/>
              <w:tr2bl w:val="nil"/>
            </w:tcBorders>
            <w:shd w:val="clear" w:color="auto" w:fill="auto"/>
            <w:vAlign w:val="center"/>
          </w:tcPr>
          <w:p w14:paraId="058267CE">
            <w:pPr>
              <w:pStyle w:val="26"/>
              <w:rPr>
                <w:rFonts w:hint="eastAsia"/>
                <w:lang w:val="en-US" w:eastAsia="zh-CN"/>
              </w:rPr>
            </w:pPr>
            <w:r>
              <w:rPr>
                <w:rFonts w:hint="default"/>
                <w:lang w:val="en-US" w:eastAsia="zh-CN"/>
              </w:rPr>
              <w:t>10</w:t>
            </w:r>
          </w:p>
        </w:tc>
        <w:tc>
          <w:tcPr>
            <w:tcW w:w="899" w:type="dxa"/>
            <w:tcBorders>
              <w:tl2br w:val="nil"/>
              <w:tr2bl w:val="nil"/>
            </w:tcBorders>
            <w:shd w:val="clear" w:color="auto" w:fill="auto"/>
            <w:vAlign w:val="center"/>
          </w:tcPr>
          <w:p w14:paraId="2C440946">
            <w:pPr>
              <w:pStyle w:val="26"/>
              <w:rPr>
                <w:rFonts w:hint="eastAsia"/>
                <w:lang w:val="en-US" w:eastAsia="zh-CN"/>
              </w:rPr>
            </w:pPr>
            <w:r>
              <w:rPr>
                <w:rFonts w:hint="default"/>
                <w:lang w:val="en-US" w:eastAsia="zh-CN"/>
              </w:rPr>
              <w:t>0.0392</w:t>
            </w:r>
          </w:p>
        </w:tc>
        <w:tc>
          <w:tcPr>
            <w:tcW w:w="1482" w:type="dxa"/>
            <w:vMerge w:val="continue"/>
            <w:tcBorders>
              <w:tl2br w:val="nil"/>
              <w:tr2bl w:val="nil"/>
            </w:tcBorders>
            <w:shd w:val="clear" w:color="auto" w:fill="auto"/>
            <w:vAlign w:val="center"/>
          </w:tcPr>
          <w:p w14:paraId="6689305A">
            <w:pPr>
              <w:pStyle w:val="26"/>
              <w:bidi w:val="0"/>
              <w:rPr>
                <w:rFonts w:hint="eastAsia"/>
                <w:color w:val="auto"/>
                <w:lang w:val="en-US" w:eastAsia="zh-CN"/>
              </w:rPr>
            </w:pPr>
          </w:p>
        </w:tc>
      </w:tr>
      <w:tr w14:paraId="72698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747" w:type="dxa"/>
            <w:vMerge w:val="continue"/>
            <w:tcBorders>
              <w:tl2br w:val="nil"/>
              <w:tr2bl w:val="nil"/>
            </w:tcBorders>
            <w:shd w:val="clear" w:color="auto" w:fill="auto"/>
            <w:vAlign w:val="center"/>
          </w:tcPr>
          <w:p w14:paraId="0DD924B0">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3ED54F43">
            <w:pPr>
              <w:pStyle w:val="26"/>
              <w:bidi w:val="0"/>
              <w:rPr>
                <w:rFonts w:hint="eastAsia"/>
                <w:color w:val="auto"/>
                <w:lang w:val="en-US" w:eastAsia="zh-CN"/>
              </w:rPr>
            </w:pPr>
          </w:p>
        </w:tc>
        <w:tc>
          <w:tcPr>
            <w:tcW w:w="1458" w:type="dxa"/>
            <w:tcBorders>
              <w:tl2br w:val="nil"/>
              <w:tr2bl w:val="nil"/>
            </w:tcBorders>
            <w:shd w:val="clear" w:color="auto" w:fill="auto"/>
            <w:vAlign w:val="center"/>
          </w:tcPr>
          <w:p w14:paraId="07DB2C39">
            <w:pPr>
              <w:pStyle w:val="26"/>
              <w:bidi w:val="0"/>
              <w:rPr>
                <w:rFonts w:hint="eastAsia"/>
                <w:color w:val="auto"/>
                <w:lang w:val="en-US" w:eastAsia="zh-CN"/>
              </w:rPr>
            </w:pPr>
            <w:r>
              <w:rPr>
                <w:lang w:val="en-US" w:eastAsia="zh-CN"/>
              </w:rPr>
              <w:t>NH3-N</w:t>
            </w:r>
          </w:p>
        </w:tc>
        <w:tc>
          <w:tcPr>
            <w:tcW w:w="1285" w:type="dxa"/>
            <w:tcBorders>
              <w:tl2br w:val="nil"/>
              <w:tr2bl w:val="nil"/>
            </w:tcBorders>
            <w:shd w:val="clear" w:color="auto" w:fill="auto"/>
            <w:vAlign w:val="center"/>
          </w:tcPr>
          <w:p w14:paraId="24736B1F">
            <w:pPr>
              <w:pStyle w:val="26"/>
              <w:bidi w:val="0"/>
              <w:rPr>
                <w:rFonts w:hint="eastAsia"/>
                <w:color w:val="auto"/>
                <w:lang w:val="en-US" w:eastAsia="zh-CN"/>
              </w:rPr>
            </w:pPr>
            <w:r>
              <w:rPr>
                <w:rFonts w:hint="default"/>
                <w:color w:val="auto"/>
                <w:lang w:val="en-US" w:eastAsia="zh-CN"/>
              </w:rPr>
              <w:t>4</w:t>
            </w:r>
            <w:r>
              <w:rPr>
                <w:rFonts w:hint="eastAsia"/>
                <w:color w:val="auto"/>
                <w:lang w:val="en-US" w:eastAsia="zh-CN"/>
              </w:rPr>
              <w:t>5</w:t>
            </w:r>
          </w:p>
        </w:tc>
        <w:tc>
          <w:tcPr>
            <w:tcW w:w="931" w:type="dxa"/>
            <w:tcBorders>
              <w:tl2br w:val="nil"/>
              <w:tr2bl w:val="nil"/>
            </w:tcBorders>
            <w:shd w:val="clear" w:color="auto" w:fill="auto"/>
            <w:vAlign w:val="center"/>
          </w:tcPr>
          <w:p w14:paraId="31C3938D">
            <w:pPr>
              <w:pStyle w:val="26"/>
              <w:bidi w:val="0"/>
              <w:rPr>
                <w:rFonts w:hint="eastAsia"/>
                <w:color w:val="auto"/>
                <w:lang w:val="en-US" w:eastAsia="zh-CN"/>
              </w:rPr>
            </w:pPr>
            <w:r>
              <w:rPr>
                <w:rFonts w:hint="default"/>
                <w:lang w:val="en-US" w:eastAsia="zh-CN"/>
              </w:rPr>
              <w:t xml:space="preserve">0.1505 </w:t>
            </w:r>
          </w:p>
        </w:tc>
        <w:tc>
          <w:tcPr>
            <w:tcW w:w="1666" w:type="dxa"/>
            <w:vMerge w:val="continue"/>
            <w:tcBorders>
              <w:tl2br w:val="nil"/>
              <w:tr2bl w:val="nil"/>
            </w:tcBorders>
            <w:shd w:val="clear" w:color="auto" w:fill="auto"/>
            <w:vAlign w:val="center"/>
          </w:tcPr>
          <w:p w14:paraId="640D1758">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2C1B151B">
            <w:pPr>
              <w:pStyle w:val="26"/>
              <w:bidi w:val="0"/>
              <w:rPr>
                <w:rFonts w:hint="eastAsia"/>
                <w:color w:val="auto"/>
                <w:lang w:val="en-US" w:eastAsia="zh-CN"/>
              </w:rPr>
            </w:pPr>
          </w:p>
        </w:tc>
        <w:tc>
          <w:tcPr>
            <w:tcW w:w="970" w:type="dxa"/>
            <w:tcBorders>
              <w:tl2br w:val="nil"/>
              <w:tr2bl w:val="nil"/>
            </w:tcBorders>
            <w:shd w:val="clear" w:color="auto" w:fill="auto"/>
            <w:vAlign w:val="center"/>
          </w:tcPr>
          <w:p w14:paraId="5472190D">
            <w:pPr>
              <w:pStyle w:val="26"/>
              <w:bidi w:val="0"/>
              <w:rPr>
                <w:rFonts w:hint="eastAsia"/>
                <w:color w:val="auto"/>
                <w:lang w:val="en-US" w:eastAsia="zh-CN"/>
              </w:rPr>
            </w:pPr>
            <w:r>
              <w:rPr>
                <w:rFonts w:hint="default"/>
                <w:color w:val="auto"/>
                <w:lang w:val="en-US" w:eastAsia="zh-CN"/>
              </w:rPr>
              <w:t>4</w:t>
            </w:r>
            <w:r>
              <w:rPr>
                <w:rFonts w:hint="eastAsia"/>
                <w:color w:val="auto"/>
                <w:lang w:val="en-US" w:eastAsia="zh-CN"/>
              </w:rPr>
              <w:t>5</w:t>
            </w:r>
          </w:p>
        </w:tc>
        <w:tc>
          <w:tcPr>
            <w:tcW w:w="1004" w:type="dxa"/>
            <w:tcBorders>
              <w:tl2br w:val="nil"/>
              <w:tr2bl w:val="nil"/>
            </w:tcBorders>
            <w:shd w:val="clear" w:color="auto" w:fill="auto"/>
            <w:vAlign w:val="center"/>
          </w:tcPr>
          <w:p w14:paraId="2E2BF661">
            <w:pPr>
              <w:pStyle w:val="26"/>
              <w:bidi w:val="0"/>
              <w:rPr>
                <w:rFonts w:hint="eastAsia"/>
                <w:color w:val="auto"/>
                <w:lang w:val="en-US" w:eastAsia="zh-CN"/>
              </w:rPr>
            </w:pPr>
            <w:r>
              <w:rPr>
                <w:rFonts w:hint="default"/>
                <w:lang w:val="en-US" w:eastAsia="zh-CN"/>
              </w:rPr>
              <w:t xml:space="preserve">0.1505 </w:t>
            </w:r>
          </w:p>
        </w:tc>
        <w:tc>
          <w:tcPr>
            <w:tcW w:w="970" w:type="dxa"/>
            <w:tcBorders>
              <w:tl2br w:val="nil"/>
              <w:tr2bl w:val="nil"/>
            </w:tcBorders>
            <w:shd w:val="clear" w:color="auto" w:fill="auto"/>
            <w:vAlign w:val="center"/>
          </w:tcPr>
          <w:p w14:paraId="03198D35">
            <w:pPr>
              <w:pStyle w:val="26"/>
              <w:bidi w:val="0"/>
              <w:rPr>
                <w:rFonts w:hint="eastAsia"/>
                <w:color w:val="auto"/>
                <w:lang w:val="en-US" w:eastAsia="zh-CN"/>
              </w:rPr>
            </w:pPr>
            <w:r>
              <w:rPr>
                <w:rFonts w:hint="default"/>
                <w:lang w:val="en-US" w:eastAsia="zh-CN"/>
              </w:rPr>
              <w:t>45</w:t>
            </w:r>
          </w:p>
        </w:tc>
        <w:tc>
          <w:tcPr>
            <w:tcW w:w="970" w:type="dxa"/>
            <w:tcBorders>
              <w:tl2br w:val="nil"/>
              <w:tr2bl w:val="nil"/>
            </w:tcBorders>
            <w:shd w:val="clear" w:color="auto" w:fill="auto"/>
            <w:vAlign w:val="center"/>
          </w:tcPr>
          <w:p w14:paraId="605F72A2">
            <w:pPr>
              <w:pStyle w:val="26"/>
              <w:rPr>
                <w:rFonts w:hint="eastAsia"/>
                <w:lang w:val="en-US" w:eastAsia="zh-CN"/>
              </w:rPr>
            </w:pPr>
            <w:r>
              <w:rPr>
                <w:rFonts w:hint="default"/>
                <w:lang w:val="en-US" w:eastAsia="zh-CN"/>
              </w:rPr>
              <w:t>1.5</w:t>
            </w:r>
          </w:p>
        </w:tc>
        <w:tc>
          <w:tcPr>
            <w:tcW w:w="899" w:type="dxa"/>
            <w:tcBorders>
              <w:tl2br w:val="nil"/>
              <w:tr2bl w:val="nil"/>
            </w:tcBorders>
            <w:shd w:val="clear" w:color="auto" w:fill="auto"/>
            <w:vAlign w:val="center"/>
          </w:tcPr>
          <w:p w14:paraId="031A9CD8">
            <w:pPr>
              <w:pStyle w:val="26"/>
              <w:rPr>
                <w:rFonts w:hint="eastAsia"/>
                <w:lang w:val="en-US" w:eastAsia="zh-CN"/>
              </w:rPr>
            </w:pPr>
            <w:r>
              <w:rPr>
                <w:rFonts w:hint="default"/>
                <w:lang w:val="en-US" w:eastAsia="zh-CN"/>
              </w:rPr>
              <w:t>0.0059</w:t>
            </w:r>
          </w:p>
        </w:tc>
        <w:tc>
          <w:tcPr>
            <w:tcW w:w="1482" w:type="dxa"/>
            <w:vMerge w:val="continue"/>
            <w:tcBorders>
              <w:tl2br w:val="nil"/>
              <w:tr2bl w:val="nil"/>
            </w:tcBorders>
            <w:shd w:val="clear" w:color="auto" w:fill="auto"/>
            <w:vAlign w:val="center"/>
          </w:tcPr>
          <w:p w14:paraId="79646850">
            <w:pPr>
              <w:pStyle w:val="26"/>
              <w:bidi w:val="0"/>
              <w:rPr>
                <w:rFonts w:hint="eastAsia"/>
                <w:color w:val="auto"/>
                <w:lang w:val="en-US" w:eastAsia="zh-CN"/>
              </w:rPr>
            </w:pPr>
          </w:p>
        </w:tc>
      </w:tr>
      <w:tr w14:paraId="783FF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47" w:type="dxa"/>
            <w:vMerge w:val="continue"/>
            <w:tcBorders>
              <w:tl2br w:val="nil"/>
              <w:tr2bl w:val="nil"/>
            </w:tcBorders>
            <w:shd w:val="clear" w:color="auto" w:fill="auto"/>
            <w:vAlign w:val="center"/>
          </w:tcPr>
          <w:p w14:paraId="047192CB">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161DFF0D">
            <w:pPr>
              <w:pStyle w:val="26"/>
              <w:bidi w:val="0"/>
              <w:rPr>
                <w:rFonts w:hint="eastAsia"/>
                <w:color w:val="auto"/>
                <w:lang w:val="en-US" w:eastAsia="zh-CN"/>
              </w:rPr>
            </w:pPr>
          </w:p>
        </w:tc>
        <w:tc>
          <w:tcPr>
            <w:tcW w:w="1458" w:type="dxa"/>
            <w:tcBorders>
              <w:tl2br w:val="nil"/>
              <w:tr2bl w:val="nil"/>
            </w:tcBorders>
            <w:shd w:val="clear" w:color="auto" w:fill="auto"/>
            <w:vAlign w:val="center"/>
          </w:tcPr>
          <w:p w14:paraId="09B0F316">
            <w:pPr>
              <w:pStyle w:val="26"/>
              <w:bidi w:val="0"/>
              <w:rPr>
                <w:rFonts w:hint="eastAsia"/>
                <w:color w:val="auto"/>
                <w:lang w:val="en-US" w:eastAsia="zh-CN"/>
              </w:rPr>
            </w:pPr>
            <w:r>
              <w:rPr>
                <w:rFonts w:hint="default"/>
                <w:lang w:val="en-US" w:eastAsia="zh-CN"/>
              </w:rPr>
              <w:t>TN</w:t>
            </w:r>
          </w:p>
        </w:tc>
        <w:tc>
          <w:tcPr>
            <w:tcW w:w="1285" w:type="dxa"/>
            <w:tcBorders>
              <w:tl2br w:val="nil"/>
              <w:tr2bl w:val="nil"/>
            </w:tcBorders>
            <w:shd w:val="clear" w:color="auto" w:fill="auto"/>
            <w:vAlign w:val="center"/>
          </w:tcPr>
          <w:p w14:paraId="5D3BA1C8">
            <w:pPr>
              <w:pStyle w:val="26"/>
              <w:bidi w:val="0"/>
              <w:rPr>
                <w:rFonts w:hint="eastAsia"/>
                <w:color w:val="auto"/>
                <w:lang w:val="en-US" w:eastAsia="zh-CN"/>
              </w:rPr>
            </w:pPr>
            <w:r>
              <w:rPr>
                <w:rFonts w:hint="eastAsia"/>
                <w:color w:val="auto"/>
                <w:lang w:val="en-US" w:eastAsia="zh-CN"/>
              </w:rPr>
              <w:t>50</w:t>
            </w:r>
          </w:p>
        </w:tc>
        <w:tc>
          <w:tcPr>
            <w:tcW w:w="931" w:type="dxa"/>
            <w:tcBorders>
              <w:tl2br w:val="nil"/>
              <w:tr2bl w:val="nil"/>
            </w:tcBorders>
            <w:shd w:val="clear" w:color="auto" w:fill="auto"/>
            <w:vAlign w:val="center"/>
          </w:tcPr>
          <w:p w14:paraId="2CC9CCAD">
            <w:pPr>
              <w:pStyle w:val="26"/>
              <w:bidi w:val="0"/>
              <w:rPr>
                <w:rFonts w:hint="eastAsia"/>
                <w:color w:val="auto"/>
                <w:lang w:val="en-US" w:eastAsia="zh-CN"/>
              </w:rPr>
            </w:pPr>
            <w:r>
              <w:rPr>
                <w:rFonts w:hint="default"/>
                <w:lang w:val="en-US" w:eastAsia="zh-CN"/>
              </w:rPr>
              <w:t xml:space="preserve">0.1672 </w:t>
            </w:r>
          </w:p>
        </w:tc>
        <w:tc>
          <w:tcPr>
            <w:tcW w:w="1666" w:type="dxa"/>
            <w:vMerge w:val="continue"/>
            <w:tcBorders>
              <w:tl2br w:val="nil"/>
              <w:tr2bl w:val="nil"/>
            </w:tcBorders>
            <w:shd w:val="clear" w:color="auto" w:fill="auto"/>
            <w:vAlign w:val="center"/>
          </w:tcPr>
          <w:p w14:paraId="153E72C5">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495CA9AF">
            <w:pPr>
              <w:pStyle w:val="26"/>
              <w:bidi w:val="0"/>
              <w:rPr>
                <w:rFonts w:hint="eastAsia"/>
                <w:color w:val="auto"/>
                <w:lang w:val="en-US" w:eastAsia="zh-CN"/>
              </w:rPr>
            </w:pPr>
          </w:p>
        </w:tc>
        <w:tc>
          <w:tcPr>
            <w:tcW w:w="970" w:type="dxa"/>
            <w:tcBorders>
              <w:tl2br w:val="nil"/>
              <w:tr2bl w:val="nil"/>
            </w:tcBorders>
            <w:shd w:val="clear" w:color="auto" w:fill="auto"/>
            <w:vAlign w:val="center"/>
          </w:tcPr>
          <w:p w14:paraId="1CE7C145">
            <w:pPr>
              <w:pStyle w:val="26"/>
              <w:bidi w:val="0"/>
              <w:rPr>
                <w:rFonts w:hint="eastAsia"/>
                <w:color w:val="auto"/>
                <w:lang w:val="en-US" w:eastAsia="zh-CN"/>
              </w:rPr>
            </w:pPr>
            <w:r>
              <w:rPr>
                <w:rFonts w:hint="eastAsia"/>
                <w:color w:val="auto"/>
                <w:lang w:val="en-US" w:eastAsia="zh-CN"/>
              </w:rPr>
              <w:t>50</w:t>
            </w:r>
          </w:p>
        </w:tc>
        <w:tc>
          <w:tcPr>
            <w:tcW w:w="1004" w:type="dxa"/>
            <w:tcBorders>
              <w:tl2br w:val="nil"/>
              <w:tr2bl w:val="nil"/>
            </w:tcBorders>
            <w:shd w:val="clear" w:color="auto" w:fill="auto"/>
            <w:vAlign w:val="center"/>
          </w:tcPr>
          <w:p w14:paraId="344BF13F">
            <w:pPr>
              <w:pStyle w:val="26"/>
              <w:bidi w:val="0"/>
              <w:rPr>
                <w:rFonts w:hint="eastAsia"/>
                <w:color w:val="auto"/>
                <w:lang w:val="en-US" w:eastAsia="zh-CN"/>
              </w:rPr>
            </w:pPr>
            <w:r>
              <w:rPr>
                <w:rFonts w:hint="default"/>
                <w:lang w:val="en-US" w:eastAsia="zh-CN"/>
              </w:rPr>
              <w:t xml:space="preserve">0.1672 </w:t>
            </w:r>
          </w:p>
        </w:tc>
        <w:tc>
          <w:tcPr>
            <w:tcW w:w="970" w:type="dxa"/>
            <w:tcBorders>
              <w:tl2br w:val="nil"/>
              <w:tr2bl w:val="nil"/>
            </w:tcBorders>
            <w:shd w:val="clear" w:color="auto" w:fill="auto"/>
            <w:vAlign w:val="center"/>
          </w:tcPr>
          <w:p w14:paraId="02CA406A">
            <w:pPr>
              <w:pStyle w:val="26"/>
              <w:bidi w:val="0"/>
              <w:rPr>
                <w:rFonts w:hint="eastAsia"/>
                <w:color w:val="auto"/>
                <w:lang w:val="en-US" w:eastAsia="zh-CN"/>
              </w:rPr>
            </w:pPr>
            <w:r>
              <w:rPr>
                <w:rFonts w:hint="default"/>
                <w:lang w:val="en-US" w:eastAsia="zh-CN"/>
              </w:rPr>
              <w:t>70</w:t>
            </w:r>
          </w:p>
        </w:tc>
        <w:tc>
          <w:tcPr>
            <w:tcW w:w="970" w:type="dxa"/>
            <w:tcBorders>
              <w:tl2br w:val="nil"/>
              <w:tr2bl w:val="nil"/>
            </w:tcBorders>
            <w:shd w:val="clear" w:color="auto" w:fill="auto"/>
            <w:vAlign w:val="center"/>
          </w:tcPr>
          <w:p w14:paraId="7290A296">
            <w:pPr>
              <w:pStyle w:val="26"/>
              <w:rPr>
                <w:rFonts w:hint="eastAsia"/>
                <w:lang w:val="en-US" w:eastAsia="zh-CN"/>
              </w:rPr>
            </w:pPr>
            <w:r>
              <w:rPr>
                <w:rFonts w:hint="default"/>
                <w:lang w:val="en-US" w:eastAsia="zh-CN"/>
              </w:rPr>
              <w:t>10</w:t>
            </w:r>
          </w:p>
        </w:tc>
        <w:tc>
          <w:tcPr>
            <w:tcW w:w="899" w:type="dxa"/>
            <w:tcBorders>
              <w:tl2br w:val="nil"/>
              <w:tr2bl w:val="nil"/>
            </w:tcBorders>
            <w:shd w:val="clear" w:color="auto" w:fill="auto"/>
            <w:vAlign w:val="center"/>
          </w:tcPr>
          <w:p w14:paraId="618AE944">
            <w:pPr>
              <w:pStyle w:val="26"/>
              <w:rPr>
                <w:rFonts w:hint="eastAsia"/>
                <w:lang w:val="en-US" w:eastAsia="zh-CN"/>
              </w:rPr>
            </w:pPr>
            <w:r>
              <w:rPr>
                <w:rFonts w:hint="default"/>
                <w:lang w:val="en-US" w:eastAsia="zh-CN"/>
              </w:rPr>
              <w:t>0.0392</w:t>
            </w:r>
          </w:p>
        </w:tc>
        <w:tc>
          <w:tcPr>
            <w:tcW w:w="1482" w:type="dxa"/>
            <w:vMerge w:val="continue"/>
            <w:tcBorders>
              <w:tl2br w:val="nil"/>
              <w:tr2bl w:val="nil"/>
            </w:tcBorders>
            <w:shd w:val="clear" w:color="auto" w:fill="auto"/>
            <w:vAlign w:val="center"/>
          </w:tcPr>
          <w:p w14:paraId="51DC73D4">
            <w:pPr>
              <w:pStyle w:val="26"/>
              <w:bidi w:val="0"/>
              <w:rPr>
                <w:rFonts w:hint="eastAsia"/>
                <w:color w:val="auto"/>
                <w:lang w:val="en-US" w:eastAsia="zh-CN"/>
              </w:rPr>
            </w:pPr>
          </w:p>
        </w:tc>
      </w:tr>
      <w:tr w14:paraId="1B7F9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747" w:type="dxa"/>
            <w:vMerge w:val="continue"/>
            <w:tcBorders>
              <w:tl2br w:val="nil"/>
              <w:tr2bl w:val="nil"/>
            </w:tcBorders>
            <w:shd w:val="clear" w:color="auto" w:fill="auto"/>
            <w:vAlign w:val="center"/>
          </w:tcPr>
          <w:p w14:paraId="0FE361EA">
            <w:pPr>
              <w:pStyle w:val="26"/>
              <w:bidi w:val="0"/>
              <w:rPr>
                <w:rFonts w:hint="eastAsia"/>
                <w:color w:val="auto"/>
                <w:lang w:val="en-US" w:eastAsia="zh-CN"/>
              </w:rPr>
            </w:pPr>
          </w:p>
        </w:tc>
        <w:tc>
          <w:tcPr>
            <w:tcW w:w="707" w:type="dxa"/>
            <w:vMerge w:val="continue"/>
            <w:tcBorders>
              <w:tl2br w:val="nil"/>
              <w:tr2bl w:val="nil"/>
            </w:tcBorders>
            <w:shd w:val="clear" w:color="auto" w:fill="auto"/>
            <w:vAlign w:val="center"/>
          </w:tcPr>
          <w:p w14:paraId="75321381">
            <w:pPr>
              <w:pStyle w:val="26"/>
              <w:bidi w:val="0"/>
              <w:rPr>
                <w:rFonts w:hint="eastAsia"/>
                <w:color w:val="auto"/>
                <w:lang w:val="en-US" w:eastAsia="zh-CN"/>
              </w:rPr>
            </w:pPr>
          </w:p>
        </w:tc>
        <w:tc>
          <w:tcPr>
            <w:tcW w:w="1458" w:type="dxa"/>
            <w:tcBorders>
              <w:tl2br w:val="nil"/>
              <w:tr2bl w:val="nil"/>
            </w:tcBorders>
            <w:shd w:val="clear" w:color="auto" w:fill="auto"/>
            <w:vAlign w:val="center"/>
          </w:tcPr>
          <w:p w14:paraId="738B18FD">
            <w:pPr>
              <w:pStyle w:val="26"/>
              <w:bidi w:val="0"/>
              <w:rPr>
                <w:rFonts w:hint="eastAsia"/>
                <w:color w:val="auto"/>
                <w:lang w:val="en-US" w:eastAsia="zh-CN"/>
              </w:rPr>
            </w:pPr>
            <w:r>
              <w:rPr>
                <w:rFonts w:hint="default"/>
                <w:lang w:val="en-US" w:eastAsia="zh-CN"/>
              </w:rPr>
              <w:t>TP</w:t>
            </w:r>
          </w:p>
        </w:tc>
        <w:tc>
          <w:tcPr>
            <w:tcW w:w="1285" w:type="dxa"/>
            <w:tcBorders>
              <w:tl2br w:val="nil"/>
              <w:tr2bl w:val="nil"/>
            </w:tcBorders>
            <w:shd w:val="clear" w:color="auto" w:fill="auto"/>
            <w:vAlign w:val="center"/>
          </w:tcPr>
          <w:p w14:paraId="25682661">
            <w:pPr>
              <w:pStyle w:val="26"/>
              <w:bidi w:val="0"/>
              <w:rPr>
                <w:rFonts w:hint="eastAsia"/>
                <w:color w:val="auto"/>
                <w:lang w:val="en-US" w:eastAsia="zh-CN"/>
              </w:rPr>
            </w:pPr>
            <w:r>
              <w:rPr>
                <w:rFonts w:hint="eastAsia"/>
                <w:color w:val="auto"/>
                <w:lang w:val="en-US" w:eastAsia="zh-CN"/>
              </w:rPr>
              <w:t>6</w:t>
            </w:r>
          </w:p>
        </w:tc>
        <w:tc>
          <w:tcPr>
            <w:tcW w:w="931" w:type="dxa"/>
            <w:tcBorders>
              <w:tl2br w:val="nil"/>
              <w:tr2bl w:val="nil"/>
            </w:tcBorders>
            <w:shd w:val="clear" w:color="auto" w:fill="auto"/>
            <w:vAlign w:val="center"/>
          </w:tcPr>
          <w:p w14:paraId="4DF7E20F">
            <w:pPr>
              <w:pStyle w:val="26"/>
              <w:bidi w:val="0"/>
              <w:rPr>
                <w:rFonts w:hint="eastAsia"/>
                <w:color w:val="auto"/>
                <w:lang w:val="en-US" w:eastAsia="zh-CN"/>
              </w:rPr>
            </w:pPr>
            <w:r>
              <w:rPr>
                <w:rFonts w:hint="default"/>
                <w:lang w:val="en-US" w:eastAsia="zh-CN"/>
              </w:rPr>
              <w:t xml:space="preserve">0.0201 </w:t>
            </w:r>
          </w:p>
        </w:tc>
        <w:tc>
          <w:tcPr>
            <w:tcW w:w="1666" w:type="dxa"/>
            <w:vMerge w:val="continue"/>
            <w:tcBorders>
              <w:tl2br w:val="nil"/>
              <w:tr2bl w:val="nil"/>
            </w:tcBorders>
            <w:shd w:val="clear" w:color="auto" w:fill="auto"/>
            <w:vAlign w:val="center"/>
          </w:tcPr>
          <w:p w14:paraId="3BAA30B8">
            <w:pPr>
              <w:pStyle w:val="26"/>
              <w:bidi w:val="0"/>
              <w:rPr>
                <w:rFonts w:hint="eastAsia"/>
                <w:color w:val="auto"/>
                <w:lang w:val="en-US" w:eastAsia="zh-CN"/>
              </w:rPr>
            </w:pPr>
          </w:p>
        </w:tc>
        <w:tc>
          <w:tcPr>
            <w:tcW w:w="1085" w:type="dxa"/>
            <w:vMerge w:val="continue"/>
            <w:tcBorders>
              <w:tl2br w:val="nil"/>
              <w:tr2bl w:val="nil"/>
            </w:tcBorders>
            <w:shd w:val="clear" w:color="auto" w:fill="auto"/>
            <w:vAlign w:val="center"/>
          </w:tcPr>
          <w:p w14:paraId="2D10FB95">
            <w:pPr>
              <w:pStyle w:val="26"/>
              <w:bidi w:val="0"/>
              <w:rPr>
                <w:rFonts w:hint="eastAsia"/>
                <w:color w:val="auto"/>
                <w:lang w:val="en-US" w:eastAsia="zh-CN"/>
              </w:rPr>
            </w:pPr>
          </w:p>
        </w:tc>
        <w:tc>
          <w:tcPr>
            <w:tcW w:w="970" w:type="dxa"/>
            <w:tcBorders>
              <w:tl2br w:val="nil"/>
              <w:tr2bl w:val="nil"/>
            </w:tcBorders>
            <w:shd w:val="clear" w:color="auto" w:fill="auto"/>
            <w:vAlign w:val="center"/>
          </w:tcPr>
          <w:p w14:paraId="6F9D790E">
            <w:pPr>
              <w:pStyle w:val="26"/>
              <w:bidi w:val="0"/>
              <w:rPr>
                <w:rFonts w:hint="eastAsia"/>
                <w:color w:val="auto"/>
                <w:lang w:val="en-US" w:eastAsia="zh-CN"/>
              </w:rPr>
            </w:pPr>
            <w:r>
              <w:rPr>
                <w:rFonts w:hint="eastAsia"/>
                <w:color w:val="auto"/>
                <w:lang w:val="en-US" w:eastAsia="zh-CN"/>
              </w:rPr>
              <w:t>6</w:t>
            </w:r>
          </w:p>
        </w:tc>
        <w:tc>
          <w:tcPr>
            <w:tcW w:w="1004" w:type="dxa"/>
            <w:tcBorders>
              <w:tl2br w:val="nil"/>
              <w:tr2bl w:val="nil"/>
            </w:tcBorders>
            <w:shd w:val="clear" w:color="auto" w:fill="auto"/>
            <w:vAlign w:val="center"/>
          </w:tcPr>
          <w:p w14:paraId="59F7F7AC">
            <w:pPr>
              <w:pStyle w:val="26"/>
              <w:bidi w:val="0"/>
              <w:rPr>
                <w:rFonts w:hint="eastAsia"/>
                <w:color w:val="auto"/>
                <w:lang w:val="en-US" w:eastAsia="zh-CN"/>
              </w:rPr>
            </w:pPr>
            <w:r>
              <w:rPr>
                <w:rFonts w:hint="default"/>
                <w:lang w:val="en-US" w:eastAsia="zh-CN"/>
              </w:rPr>
              <w:t xml:space="preserve">0.0201 </w:t>
            </w:r>
          </w:p>
        </w:tc>
        <w:tc>
          <w:tcPr>
            <w:tcW w:w="970" w:type="dxa"/>
            <w:tcBorders>
              <w:tl2br w:val="nil"/>
              <w:tr2bl w:val="nil"/>
            </w:tcBorders>
            <w:shd w:val="clear" w:color="auto" w:fill="auto"/>
            <w:vAlign w:val="center"/>
          </w:tcPr>
          <w:p w14:paraId="122164D7">
            <w:pPr>
              <w:pStyle w:val="26"/>
              <w:bidi w:val="0"/>
              <w:rPr>
                <w:rFonts w:hint="eastAsia"/>
                <w:color w:val="auto"/>
                <w:lang w:val="en-US" w:eastAsia="zh-CN"/>
              </w:rPr>
            </w:pPr>
            <w:r>
              <w:rPr>
                <w:rFonts w:hint="default"/>
                <w:lang w:val="en-US" w:eastAsia="zh-CN"/>
              </w:rPr>
              <w:t>8</w:t>
            </w:r>
          </w:p>
        </w:tc>
        <w:tc>
          <w:tcPr>
            <w:tcW w:w="970" w:type="dxa"/>
            <w:tcBorders>
              <w:tl2br w:val="nil"/>
              <w:tr2bl w:val="nil"/>
            </w:tcBorders>
            <w:shd w:val="clear" w:color="auto" w:fill="auto"/>
            <w:vAlign w:val="center"/>
          </w:tcPr>
          <w:p w14:paraId="17DD43BE">
            <w:pPr>
              <w:pStyle w:val="26"/>
              <w:rPr>
                <w:rFonts w:hint="eastAsia"/>
                <w:lang w:val="en-US" w:eastAsia="zh-CN"/>
              </w:rPr>
            </w:pPr>
            <w:r>
              <w:rPr>
                <w:rFonts w:hint="default"/>
                <w:lang w:val="en-US" w:eastAsia="zh-CN"/>
              </w:rPr>
              <w:t>0.3</w:t>
            </w:r>
          </w:p>
        </w:tc>
        <w:tc>
          <w:tcPr>
            <w:tcW w:w="899" w:type="dxa"/>
            <w:tcBorders>
              <w:tl2br w:val="nil"/>
              <w:tr2bl w:val="nil"/>
            </w:tcBorders>
            <w:shd w:val="clear" w:color="auto" w:fill="auto"/>
            <w:vAlign w:val="center"/>
          </w:tcPr>
          <w:p w14:paraId="318B5E6C">
            <w:pPr>
              <w:pStyle w:val="26"/>
              <w:rPr>
                <w:rFonts w:hint="eastAsia"/>
                <w:lang w:val="en-US" w:eastAsia="zh-CN"/>
              </w:rPr>
            </w:pPr>
            <w:r>
              <w:rPr>
                <w:rFonts w:hint="default"/>
                <w:lang w:val="en-US" w:eastAsia="zh-CN"/>
              </w:rPr>
              <w:t>0.0012</w:t>
            </w:r>
          </w:p>
        </w:tc>
        <w:tc>
          <w:tcPr>
            <w:tcW w:w="1482" w:type="dxa"/>
            <w:vMerge w:val="continue"/>
            <w:tcBorders>
              <w:tl2br w:val="nil"/>
              <w:tr2bl w:val="nil"/>
            </w:tcBorders>
            <w:shd w:val="clear" w:color="auto" w:fill="auto"/>
            <w:vAlign w:val="center"/>
          </w:tcPr>
          <w:p w14:paraId="0E77536A">
            <w:pPr>
              <w:pStyle w:val="26"/>
              <w:bidi w:val="0"/>
              <w:rPr>
                <w:rFonts w:hint="eastAsia"/>
                <w:color w:val="auto"/>
                <w:lang w:val="en-US" w:eastAsia="zh-CN"/>
              </w:rPr>
            </w:pPr>
          </w:p>
        </w:tc>
      </w:tr>
    </w:tbl>
    <w:p w14:paraId="5325EEB9">
      <w:pPr>
        <w:pStyle w:val="28"/>
        <w:rPr>
          <w:rFonts w:hint="default" w:eastAsia="仿宋_GB2312"/>
          <w:lang w:val="en-US" w:eastAsia="zh-CN"/>
        </w:rPr>
      </w:pPr>
    </w:p>
    <w:p w14:paraId="2F1CC9D5">
      <w:pPr>
        <w:pStyle w:val="26"/>
        <w:jc w:val="both"/>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E77C738">
      <w:pPr>
        <w:pStyle w:val="4"/>
        <w:rPr>
          <w:color w:val="auto"/>
        </w:rPr>
      </w:pPr>
      <w:bookmarkStart w:id="194" w:name="_Toc30422"/>
      <w:bookmarkStart w:id="195" w:name="_Toc4557"/>
      <w:r>
        <w:rPr>
          <w:rFonts w:hint="eastAsia"/>
          <w:color w:val="auto"/>
        </w:rPr>
        <w:t>废气污染源分析</w:t>
      </w:r>
      <w:bookmarkEnd w:id="194"/>
      <w:bookmarkEnd w:id="195"/>
    </w:p>
    <w:p w14:paraId="54229D30">
      <w:pPr>
        <w:pStyle w:val="5"/>
        <w:ind w:firstLine="301"/>
        <w:rPr>
          <w:color w:val="auto"/>
        </w:rPr>
      </w:pPr>
      <w:r>
        <w:rPr>
          <w:rFonts w:hint="eastAsia"/>
          <w:color w:val="auto"/>
        </w:rPr>
        <w:t>有组织废气</w:t>
      </w:r>
    </w:p>
    <w:p w14:paraId="1030D604">
      <w:pPr>
        <w:rPr>
          <w:rFonts w:hint="eastAsia"/>
          <w:color w:val="auto"/>
        </w:rPr>
      </w:pPr>
      <w:r>
        <w:rPr>
          <w:rFonts w:hint="eastAsia"/>
          <w:color w:val="auto"/>
        </w:rPr>
        <w:t>本项目产生的有组织废气主要来源于生产工艺过程产生的工艺废气</w:t>
      </w:r>
      <w:r>
        <w:rPr>
          <w:rFonts w:hint="eastAsia"/>
          <w:color w:val="auto"/>
          <w:lang w:eastAsia="zh-CN"/>
        </w:rPr>
        <w:t>、</w:t>
      </w:r>
      <w:r>
        <w:rPr>
          <w:rFonts w:hint="eastAsia"/>
          <w:color w:val="auto"/>
          <w:lang w:val="en-US" w:eastAsia="zh-CN"/>
        </w:rPr>
        <w:t>污水处理设施废气、危废仓库废气</w:t>
      </w:r>
      <w:r>
        <w:rPr>
          <w:rFonts w:hint="eastAsia"/>
          <w:color w:val="auto"/>
        </w:rPr>
        <w:t>。</w:t>
      </w:r>
    </w:p>
    <w:p w14:paraId="65C38446">
      <w:pPr>
        <w:pStyle w:val="6"/>
        <w:bidi w:val="0"/>
        <w:rPr>
          <w:rFonts w:hint="eastAsia"/>
          <w:color w:val="auto"/>
          <w:lang w:val="en-US" w:eastAsia="zh-CN"/>
        </w:rPr>
      </w:pPr>
      <w:r>
        <w:rPr>
          <w:rFonts w:hint="eastAsia"/>
          <w:color w:val="auto"/>
          <w:lang w:val="en-US" w:eastAsia="zh-CN"/>
        </w:rPr>
        <w:t>生产工艺废气</w:t>
      </w:r>
    </w:p>
    <w:p w14:paraId="7654AD97">
      <w:pPr>
        <w:bidi w:val="0"/>
        <w:rPr>
          <w:rFonts w:hint="default" w:eastAsia="仿宋_GB2312"/>
          <w:b/>
          <w:bCs/>
          <w:color w:val="auto"/>
          <w:lang w:val="en-US" w:eastAsia="zh-CN"/>
        </w:rPr>
      </w:pPr>
      <w:r>
        <w:rPr>
          <w:rFonts w:hint="eastAsia"/>
          <w:b/>
          <w:bCs/>
          <w:color w:val="auto"/>
          <w:lang w:val="en-US" w:eastAsia="zh-CN"/>
        </w:rPr>
        <w:t>1、酸性废气（G1-6、G1-7、G2-3、G2-5、G3-5、G3-6）</w:t>
      </w:r>
    </w:p>
    <w:p w14:paraId="574FCC18">
      <w:pPr>
        <w:bidi w:val="0"/>
        <w:rPr>
          <w:rFonts w:hint="default" w:eastAsia="仿宋_GB2312"/>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产生情况</w:t>
      </w:r>
    </w:p>
    <w:p w14:paraId="2B841EF0">
      <w:pPr>
        <w:bidi w:val="0"/>
        <w:rPr>
          <w:rFonts w:hint="eastAsia"/>
          <w:color w:val="auto"/>
        </w:rPr>
      </w:pPr>
      <w:r>
        <w:rPr>
          <w:rFonts w:hint="eastAsia"/>
          <w:color w:val="auto"/>
        </w:rPr>
        <w:t>本项目生产过程会产生酸性废气，包</w:t>
      </w:r>
      <w:r>
        <w:rPr>
          <w:rFonts w:hint="eastAsia"/>
          <w:b w:val="0"/>
          <w:bCs w:val="0"/>
          <w:color w:val="auto"/>
        </w:rPr>
        <w:t>括铬酸雾（</w:t>
      </w:r>
      <w:r>
        <w:rPr>
          <w:rFonts w:hint="eastAsia" w:ascii="Times New Roman" w:eastAsia="宋体"/>
          <w:b w:val="0"/>
          <w:bCs w:val="0"/>
          <w:color w:val="auto"/>
          <w:lang w:val="en-US" w:eastAsia="zh-CN"/>
        </w:rPr>
        <w:t>G1-7</w:t>
      </w:r>
      <w:r>
        <w:rPr>
          <w:rFonts w:hint="eastAsia"/>
          <w:b w:val="0"/>
          <w:bCs w:val="0"/>
          <w:color w:val="auto"/>
        </w:rPr>
        <w:t>、G</w:t>
      </w:r>
      <w:r>
        <w:rPr>
          <w:rFonts w:hint="eastAsia"/>
          <w:b w:val="0"/>
          <w:bCs w:val="0"/>
          <w:color w:val="auto"/>
          <w:lang w:val="en-US" w:eastAsia="zh-CN"/>
        </w:rPr>
        <w:t>2-5、G3-6</w:t>
      </w:r>
      <w:r>
        <w:rPr>
          <w:rFonts w:hint="eastAsia"/>
          <w:b w:val="0"/>
          <w:bCs w:val="0"/>
          <w:color w:val="auto"/>
        </w:rPr>
        <w:t>），硫酸雾（</w:t>
      </w:r>
      <w:r>
        <w:rPr>
          <w:rFonts w:hint="eastAsia" w:ascii="Times New Roman" w:eastAsia="宋体"/>
          <w:b w:val="0"/>
          <w:bCs w:val="0"/>
          <w:color w:val="auto"/>
          <w:lang w:val="en-US" w:eastAsia="zh-CN"/>
        </w:rPr>
        <w:t>G1-6</w:t>
      </w:r>
      <w:r>
        <w:rPr>
          <w:rFonts w:hint="eastAsia"/>
          <w:b w:val="0"/>
          <w:bCs w:val="0"/>
          <w:color w:val="auto"/>
        </w:rPr>
        <w:t>）、氯化氢（</w:t>
      </w:r>
      <w:r>
        <w:rPr>
          <w:rFonts w:hint="eastAsia"/>
          <w:b w:val="0"/>
          <w:bCs w:val="0"/>
          <w:color w:val="auto"/>
          <w:lang w:val="en-US" w:eastAsia="zh-CN"/>
        </w:rPr>
        <w:t>G1-6、</w:t>
      </w:r>
      <w:r>
        <w:rPr>
          <w:rFonts w:hint="eastAsia"/>
          <w:b w:val="0"/>
          <w:bCs w:val="0"/>
          <w:color w:val="auto"/>
        </w:rPr>
        <w:t>G2-3、G</w:t>
      </w:r>
      <w:r>
        <w:rPr>
          <w:rFonts w:hint="eastAsia"/>
          <w:b w:val="0"/>
          <w:bCs w:val="0"/>
          <w:color w:val="auto"/>
          <w:lang w:val="en-US" w:eastAsia="zh-CN"/>
        </w:rPr>
        <w:t>3</w:t>
      </w:r>
      <w:r>
        <w:rPr>
          <w:rFonts w:hint="eastAsia"/>
          <w:b w:val="0"/>
          <w:bCs w:val="0"/>
          <w:color w:val="auto"/>
        </w:rPr>
        <w:t>-</w:t>
      </w:r>
      <w:r>
        <w:rPr>
          <w:rFonts w:hint="eastAsia"/>
          <w:b w:val="0"/>
          <w:bCs w:val="0"/>
          <w:color w:val="auto"/>
          <w:lang w:val="en-US" w:eastAsia="zh-CN"/>
        </w:rPr>
        <w:t>5</w:t>
      </w:r>
      <w:r>
        <w:rPr>
          <w:rFonts w:hint="eastAsia"/>
          <w:b w:val="0"/>
          <w:bCs w:val="0"/>
          <w:color w:val="auto"/>
        </w:rPr>
        <w:t>）。</w:t>
      </w:r>
    </w:p>
    <w:p w14:paraId="61F6015D">
      <w:pPr>
        <w:bidi w:val="0"/>
        <w:rPr>
          <w:rFonts w:hint="eastAsia" w:eastAsia="仿宋_GB2312"/>
          <w:color w:val="auto"/>
          <w:lang w:val="en-US" w:eastAsia="zh-CN"/>
        </w:rPr>
      </w:pPr>
      <w:r>
        <w:rPr>
          <w:rFonts w:hint="eastAsia"/>
          <w:color w:val="auto"/>
        </w:rPr>
        <w:t>为了有效收集这些废气，本项目镀铜、镀铬</w:t>
      </w:r>
      <w:r>
        <w:rPr>
          <w:rFonts w:hint="eastAsia"/>
          <w:color w:val="auto"/>
          <w:lang w:eastAsia="zh-CN"/>
        </w:rPr>
        <w:t>、</w:t>
      </w:r>
      <w:r>
        <w:rPr>
          <w:rFonts w:hint="eastAsia"/>
          <w:color w:val="auto"/>
          <w:lang w:val="en-US" w:eastAsia="zh-CN"/>
        </w:rPr>
        <w:t>腐蚀</w:t>
      </w:r>
      <w:r>
        <w:rPr>
          <w:rFonts w:hint="eastAsia"/>
          <w:color w:val="auto"/>
        </w:rPr>
        <w:t>等工序均采用了密封自动化生产线，通过集中控制系统，镀铜、镀铬</w:t>
      </w:r>
      <w:r>
        <w:rPr>
          <w:rFonts w:hint="eastAsia"/>
          <w:color w:val="auto"/>
          <w:lang w:eastAsia="zh-CN"/>
        </w:rPr>
        <w:t>、</w:t>
      </w:r>
      <w:r>
        <w:rPr>
          <w:rFonts w:hint="eastAsia"/>
          <w:color w:val="auto"/>
          <w:lang w:val="en-US" w:eastAsia="zh-CN"/>
        </w:rPr>
        <w:t>腐蚀</w:t>
      </w:r>
      <w:r>
        <w:rPr>
          <w:rFonts w:hint="eastAsia"/>
          <w:color w:val="auto"/>
        </w:rPr>
        <w:t>等工序均设置在设有加盖的密闭槽体内，在密闭槽体内设置管道收集，使密闭槽体内形成微负压，废气收集效率可达到99%以上（考虑开关槽体盖板时进出口少量挥发），经收集后的废气送至废气处理装置中进行处理。</w:t>
      </w:r>
    </w:p>
    <w:p w14:paraId="5AD8E98D">
      <w:pPr>
        <w:bidi w:val="0"/>
        <w:rPr>
          <w:rFonts w:hint="eastAsia"/>
          <w:color w:val="auto"/>
        </w:rPr>
      </w:pPr>
      <w:r>
        <w:rPr>
          <w:rFonts w:hint="eastAsia"/>
          <w:color w:val="auto"/>
        </w:rPr>
        <w:t>未被捕集的酸性废气呈无组织排放。</w:t>
      </w:r>
    </w:p>
    <w:p w14:paraId="71E1FAC0">
      <w:pPr>
        <w:bidi w:val="0"/>
        <w:rPr>
          <w:rFonts w:hint="eastAsia"/>
          <w:color w:val="auto"/>
        </w:rPr>
      </w:pPr>
      <w:r>
        <w:rPr>
          <w:rFonts w:hint="eastAsia"/>
          <w:color w:val="auto"/>
        </w:rPr>
        <w:t>2、酸性废气计算系数</w:t>
      </w:r>
    </w:p>
    <w:p w14:paraId="36EDF3E6">
      <w:pPr>
        <w:bidi w:val="0"/>
        <w:rPr>
          <w:rFonts w:hint="eastAsia"/>
          <w:color w:val="auto"/>
        </w:rPr>
      </w:pPr>
      <w:r>
        <w:rPr>
          <w:rFonts w:hint="eastAsia"/>
          <w:color w:val="auto"/>
        </w:rPr>
        <w:t>参考《污染源源强核算技术指南 电镀》（HJ 984-2018）中5.2产污系数法，具体公式如下：</w:t>
      </w:r>
    </w:p>
    <w:p w14:paraId="2C5E9CBE">
      <w:pPr>
        <w:bidi w:val="0"/>
        <w:rPr>
          <w:rFonts w:hint="eastAsia"/>
          <w:color w:val="auto"/>
        </w:rPr>
      </w:pPr>
      <w:r>
        <w:rPr>
          <w:rFonts w:hint="eastAsia"/>
          <w:color w:val="auto"/>
        </w:rPr>
        <w:t>D=GS ×A×t×10</w:t>
      </w:r>
      <w:r>
        <w:rPr>
          <w:rFonts w:hint="eastAsia"/>
          <w:color w:val="auto"/>
          <w:vertAlign w:val="superscript"/>
        </w:rPr>
        <w:t>-6</w:t>
      </w:r>
    </w:p>
    <w:p w14:paraId="4E5665E9">
      <w:pPr>
        <w:bidi w:val="0"/>
        <w:rPr>
          <w:rFonts w:hint="eastAsia"/>
          <w:color w:val="auto"/>
        </w:rPr>
      </w:pPr>
      <w:r>
        <w:rPr>
          <w:rFonts w:hint="eastAsia"/>
          <w:color w:val="auto"/>
        </w:rPr>
        <w:t>式中，D—核算时段内污染物产生量，t；</w:t>
      </w:r>
    </w:p>
    <w:p w14:paraId="763748CC">
      <w:pPr>
        <w:bidi w:val="0"/>
        <w:rPr>
          <w:rFonts w:hint="eastAsia"/>
          <w:color w:val="auto"/>
        </w:rPr>
      </w:pPr>
      <w:r>
        <w:rPr>
          <w:rFonts w:hint="eastAsia"/>
          <w:color w:val="auto"/>
        </w:rPr>
        <w:t>GS—单位镀槽槽液面面积单位时间废气污染物产生量，g/（m</w:t>
      </w:r>
      <w:r>
        <w:rPr>
          <w:rFonts w:hint="eastAsia"/>
          <w:color w:val="auto"/>
          <w:vertAlign w:val="superscript"/>
        </w:rPr>
        <w:t>2</w:t>
      </w:r>
      <w:r>
        <w:rPr>
          <w:rFonts w:hint="eastAsia"/>
          <w:color w:val="auto"/>
        </w:rPr>
        <w:t>·h）；</w:t>
      </w:r>
    </w:p>
    <w:p w14:paraId="26BDB34A">
      <w:pPr>
        <w:bidi w:val="0"/>
        <w:rPr>
          <w:rFonts w:hint="eastAsia"/>
          <w:color w:val="auto"/>
        </w:rPr>
      </w:pPr>
      <w:r>
        <w:rPr>
          <w:rFonts w:hint="eastAsia"/>
          <w:color w:val="auto"/>
        </w:rPr>
        <w:t>A——镀槽液面面积，m</w:t>
      </w:r>
      <w:r>
        <w:rPr>
          <w:rFonts w:hint="eastAsia"/>
          <w:color w:val="auto"/>
          <w:vertAlign w:val="superscript"/>
        </w:rPr>
        <w:t>2</w:t>
      </w:r>
      <w:r>
        <w:rPr>
          <w:rFonts w:hint="eastAsia"/>
          <w:color w:val="auto"/>
        </w:rPr>
        <w:t>；</w:t>
      </w:r>
    </w:p>
    <w:p w14:paraId="40F9966A">
      <w:pPr>
        <w:bidi w:val="0"/>
        <w:rPr>
          <w:rFonts w:hint="eastAsia"/>
          <w:color w:val="auto"/>
        </w:rPr>
      </w:pPr>
      <w:r>
        <w:rPr>
          <w:rFonts w:hint="eastAsia"/>
          <w:color w:val="auto"/>
        </w:rPr>
        <w:t>t——核算时段内污染物产生时间，h。</w:t>
      </w:r>
    </w:p>
    <w:p w14:paraId="778BAF1F">
      <w:pPr>
        <w:bidi w:val="0"/>
        <w:rPr>
          <w:rFonts w:hint="eastAsia"/>
          <w:color w:val="auto"/>
        </w:rPr>
      </w:pPr>
      <w:r>
        <w:rPr>
          <w:rFonts w:hint="eastAsia"/>
          <w:color w:val="auto"/>
        </w:rPr>
        <w:t>参照《污染源源强核算技术指南 电镀》（HJ 984-2018）附录 B 中电镀主要废气污染物产污系数表 B.1  单位镀槽液面面积单位时间废气污染物产污系数。</w:t>
      </w:r>
    </w:p>
    <w:p w14:paraId="7ED6C3AE">
      <w:pPr>
        <w:pStyle w:val="25"/>
        <w:bidi w:val="0"/>
        <w:rPr>
          <w:rFonts w:hint="eastAsia"/>
          <w:color w:val="auto"/>
        </w:rPr>
      </w:pPr>
      <w:r>
        <w:rPr>
          <w:rFonts w:ascii="Times New Roman" w:hAnsi="Times New Roman"/>
          <w:color w:val="auto"/>
        </w:rPr>
        <w:t>表</w:t>
      </w:r>
      <w:r>
        <w:rPr>
          <w:rFonts w:ascii="Times New Roman" w:hAnsi="Times New Roman"/>
          <w:color w:val="auto"/>
        </w:rPr>
        <w:fldChar w:fldCharType="begin"/>
      </w:r>
      <w:r>
        <w:rPr>
          <w:rFonts w:ascii="Times New Roman" w:hAnsi="Times New Roman"/>
          <w:color w:val="auto"/>
        </w:rPr>
        <w:instrText xml:space="preserve"> STYLEREF 2 \s </w:instrText>
      </w:r>
      <w:r>
        <w:rPr>
          <w:rFonts w:ascii="Times New Roman" w:hAnsi="Times New Roman"/>
          <w:color w:val="auto"/>
        </w:rPr>
        <w:fldChar w:fldCharType="separate"/>
      </w:r>
      <w:r>
        <w:rPr>
          <w:rFonts w:ascii="Times New Roman" w:hAnsi="Times New Roman"/>
          <w:color w:val="auto"/>
        </w:rPr>
        <w:t>4.5</w:t>
      </w:r>
      <w:r>
        <w:rPr>
          <w:rFonts w:ascii="Times New Roman" w:hAnsi="Times New Roman"/>
          <w:color w:val="auto"/>
        </w:rPr>
        <w:fldChar w:fldCharType="end"/>
      </w:r>
      <w:r>
        <w:rPr>
          <w:rFonts w:ascii="Times New Roman" w:hAnsi="Times New Roman"/>
          <w:color w:val="auto"/>
        </w:rPr>
        <w:noBreakHyphen/>
      </w:r>
      <w:r>
        <w:rPr>
          <w:rFonts w:ascii="Times New Roman" w:hAnsi="Times New Roman"/>
          <w:color w:val="auto"/>
        </w:rPr>
        <w:fldChar w:fldCharType="begin"/>
      </w:r>
      <w:r>
        <w:rPr>
          <w:rFonts w:ascii="Times New Roman" w:hAnsi="Times New Roman"/>
          <w:color w:val="auto"/>
        </w:rPr>
        <w:instrText xml:space="preserve"> SEQ 表 \* ARABIC \s 2 </w:instrText>
      </w:r>
      <w:r>
        <w:rPr>
          <w:rFonts w:ascii="Times New Roman" w:hAnsi="Times New Roman"/>
          <w:color w:val="auto"/>
        </w:rPr>
        <w:fldChar w:fldCharType="separate"/>
      </w:r>
      <w:r>
        <w:rPr>
          <w:rFonts w:ascii="Times New Roman" w:hAnsi="Times New Roman"/>
          <w:color w:val="auto"/>
        </w:rPr>
        <w:t>3</w:t>
      </w:r>
      <w:r>
        <w:rPr>
          <w:rFonts w:ascii="Times New Roman" w:hAnsi="Times New Roman"/>
          <w:color w:val="auto"/>
        </w:rPr>
        <w:fldChar w:fldCharType="end"/>
      </w:r>
      <w:r>
        <w:rPr>
          <w:rFonts w:hint="eastAsia"/>
          <w:color w:val="auto"/>
        </w:rPr>
        <w:t xml:space="preserve">  单位镀槽槽液面面积单位时间废气污染物产污系数</w:t>
      </w:r>
    </w:p>
    <w:tbl>
      <w:tblPr>
        <w:tblStyle w:val="50"/>
        <w:tblW w:w="498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42"/>
        <w:gridCol w:w="1162"/>
        <w:gridCol w:w="6280"/>
      </w:tblGrid>
      <w:tr w14:paraId="03512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08" w:type="pct"/>
            <w:vAlign w:val="center"/>
          </w:tcPr>
          <w:p w14:paraId="77424AE0">
            <w:pPr>
              <w:pStyle w:val="36"/>
              <w:bidi w:val="0"/>
              <w:rPr>
                <w:rFonts w:hint="eastAsia"/>
              </w:rPr>
            </w:pPr>
            <w:r>
              <w:rPr>
                <w:rFonts w:hint="eastAsia"/>
              </w:rPr>
              <w:t>污染物名称</w:t>
            </w:r>
          </w:p>
        </w:tc>
        <w:tc>
          <w:tcPr>
            <w:tcW w:w="701" w:type="pct"/>
            <w:vAlign w:val="center"/>
          </w:tcPr>
          <w:p w14:paraId="7119EA25">
            <w:pPr>
              <w:pStyle w:val="36"/>
              <w:bidi w:val="0"/>
              <w:rPr>
                <w:rFonts w:hint="eastAsia"/>
              </w:rPr>
            </w:pPr>
            <w:r>
              <w:rPr>
                <w:rFonts w:hint="eastAsia"/>
              </w:rPr>
              <w:t>产生量 g/</w:t>
            </w:r>
          </w:p>
          <w:p w14:paraId="373239E7">
            <w:pPr>
              <w:pStyle w:val="36"/>
              <w:bidi w:val="0"/>
              <w:rPr>
                <w:rFonts w:hint="eastAsia"/>
              </w:rPr>
            </w:pPr>
            <w:r>
              <w:rPr>
                <w:rFonts w:hint="eastAsia"/>
              </w:rPr>
              <w:t>（m</w:t>
            </w:r>
            <w:r>
              <w:rPr>
                <w:rFonts w:hint="eastAsia"/>
                <w:vertAlign w:val="superscript"/>
              </w:rPr>
              <w:t>2</w:t>
            </w:r>
            <w:r>
              <w:rPr>
                <w:rFonts w:hint="eastAsia"/>
              </w:rPr>
              <w:t>·h）</w:t>
            </w:r>
          </w:p>
        </w:tc>
        <w:tc>
          <w:tcPr>
            <w:tcW w:w="3789" w:type="pct"/>
            <w:vAlign w:val="center"/>
          </w:tcPr>
          <w:p w14:paraId="57E50552">
            <w:pPr>
              <w:pStyle w:val="36"/>
              <w:bidi w:val="0"/>
              <w:rPr>
                <w:rFonts w:hint="eastAsia"/>
              </w:rPr>
            </w:pPr>
            <w:r>
              <w:rPr>
                <w:rFonts w:hint="eastAsia"/>
              </w:rPr>
              <w:t>适用范围</w:t>
            </w:r>
          </w:p>
        </w:tc>
      </w:tr>
      <w:tr w14:paraId="374C6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trPr>
        <w:tc>
          <w:tcPr>
            <w:tcW w:w="508" w:type="pct"/>
            <w:vAlign w:val="center"/>
          </w:tcPr>
          <w:p w14:paraId="5E473F81">
            <w:pPr>
              <w:pStyle w:val="26"/>
              <w:bidi w:val="0"/>
              <w:jc w:val="center"/>
              <w:rPr>
                <w:rFonts w:hint="eastAsia"/>
              </w:rPr>
            </w:pPr>
            <w:r>
              <w:rPr>
                <w:rFonts w:hint="eastAsia"/>
              </w:rPr>
              <w:t>铬酸雾</w:t>
            </w:r>
          </w:p>
        </w:tc>
        <w:tc>
          <w:tcPr>
            <w:tcW w:w="701" w:type="pct"/>
            <w:vAlign w:val="center"/>
          </w:tcPr>
          <w:p w14:paraId="25DA234F">
            <w:pPr>
              <w:pStyle w:val="26"/>
              <w:bidi w:val="0"/>
              <w:jc w:val="center"/>
              <w:rPr>
                <w:rFonts w:hint="eastAsia"/>
              </w:rPr>
            </w:pPr>
            <w:r>
              <w:rPr>
                <w:rFonts w:hint="eastAsia"/>
              </w:rPr>
              <w:t>0.38</w:t>
            </w:r>
          </w:p>
        </w:tc>
        <w:tc>
          <w:tcPr>
            <w:tcW w:w="3789" w:type="pct"/>
            <w:vAlign w:val="center"/>
          </w:tcPr>
          <w:p w14:paraId="41AF2D3F">
            <w:pPr>
              <w:pStyle w:val="26"/>
              <w:bidi w:val="0"/>
              <w:jc w:val="center"/>
              <w:rPr>
                <w:rFonts w:hint="eastAsia"/>
              </w:rPr>
            </w:pPr>
            <w:r>
              <w:rPr>
                <w:rFonts w:hint="eastAsia"/>
              </w:rPr>
              <w:t>添加铬雾抑制剂的镀铬糟</w:t>
            </w:r>
          </w:p>
        </w:tc>
      </w:tr>
      <w:tr w14:paraId="25D98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4" w:hRule="atLeast"/>
        </w:trPr>
        <w:tc>
          <w:tcPr>
            <w:tcW w:w="508" w:type="pct"/>
            <w:vMerge w:val="restart"/>
            <w:tcBorders>
              <w:bottom w:val="nil"/>
            </w:tcBorders>
            <w:vAlign w:val="center"/>
          </w:tcPr>
          <w:p w14:paraId="4B9B1495">
            <w:pPr>
              <w:pStyle w:val="26"/>
              <w:bidi w:val="0"/>
              <w:jc w:val="center"/>
              <w:rPr>
                <w:rFonts w:hint="eastAsia"/>
              </w:rPr>
            </w:pPr>
            <w:r>
              <w:rPr>
                <w:rFonts w:hint="eastAsia"/>
              </w:rPr>
              <w:t>氯化氢</w:t>
            </w:r>
          </w:p>
        </w:tc>
        <w:tc>
          <w:tcPr>
            <w:tcW w:w="701" w:type="pct"/>
            <w:vAlign w:val="center"/>
          </w:tcPr>
          <w:p w14:paraId="2C8E8939">
            <w:pPr>
              <w:pStyle w:val="26"/>
              <w:bidi w:val="0"/>
              <w:jc w:val="center"/>
              <w:rPr>
                <w:rFonts w:hint="eastAsia"/>
              </w:rPr>
            </w:pPr>
            <w:r>
              <w:rPr>
                <w:rFonts w:hint="eastAsia"/>
              </w:rPr>
              <w:t>107.3~643.6</w:t>
            </w:r>
          </w:p>
        </w:tc>
        <w:tc>
          <w:tcPr>
            <w:tcW w:w="3789" w:type="pct"/>
            <w:vAlign w:val="center"/>
          </w:tcPr>
          <w:p w14:paraId="6388C6B5">
            <w:pPr>
              <w:pStyle w:val="26"/>
              <w:numPr>
                <w:ilvl w:val="0"/>
                <w:numId w:val="8"/>
              </w:numPr>
              <w:bidi w:val="0"/>
              <w:jc w:val="center"/>
              <w:rPr>
                <w:rFonts w:hint="eastAsia"/>
              </w:rPr>
            </w:pPr>
            <w:r>
              <w:rPr>
                <w:rFonts w:hint="eastAsia"/>
              </w:rPr>
              <w:t>在中等或浓盐酸中，不添加酸雾抑制剂、不加热：氯化氢质量百分浓度10%～15%，取107.3；16%～20%，取220.0；氯化氢质量百分浓度21%~25%，取370.7；氯化氢质量百分浓度26%～31% ，取643.6。</w:t>
            </w:r>
          </w:p>
          <w:p w14:paraId="4C50896A">
            <w:pPr>
              <w:pStyle w:val="26"/>
              <w:numPr>
                <w:ilvl w:val="0"/>
                <w:numId w:val="8"/>
              </w:numPr>
              <w:bidi w:val="0"/>
              <w:jc w:val="center"/>
              <w:rPr>
                <w:rFonts w:hint="eastAsia"/>
              </w:rPr>
            </w:pPr>
            <w:r>
              <w:rPr>
                <w:rFonts w:hint="eastAsia"/>
              </w:rPr>
              <w:t>在稀或中等盐酸溶液中（加热）酸洗，不添加酸雾抑制剂：氯化氢质量百分浓度5%～10%，取107.3；氯化氢质量百分浓度11%～15% ，取370.7；氯化氢质量百分浓度16%～20% ，取643.6</w:t>
            </w:r>
          </w:p>
        </w:tc>
      </w:tr>
      <w:tr w14:paraId="3C098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508" w:type="pct"/>
            <w:vMerge w:val="continue"/>
            <w:tcBorders>
              <w:top w:val="nil"/>
            </w:tcBorders>
            <w:vAlign w:val="center"/>
          </w:tcPr>
          <w:p w14:paraId="103494F7">
            <w:pPr>
              <w:pStyle w:val="26"/>
              <w:bidi w:val="0"/>
              <w:jc w:val="center"/>
              <w:rPr>
                <w:rFonts w:hint="eastAsia"/>
              </w:rPr>
            </w:pPr>
          </w:p>
        </w:tc>
        <w:tc>
          <w:tcPr>
            <w:tcW w:w="701" w:type="pct"/>
            <w:vAlign w:val="center"/>
          </w:tcPr>
          <w:p w14:paraId="4A457301">
            <w:pPr>
              <w:pStyle w:val="26"/>
              <w:bidi w:val="0"/>
              <w:jc w:val="center"/>
              <w:rPr>
                <w:rFonts w:hint="eastAsia"/>
              </w:rPr>
            </w:pPr>
            <w:r>
              <w:rPr>
                <w:rFonts w:hint="eastAsia"/>
              </w:rPr>
              <w:t>0.4~ 15.8</w:t>
            </w:r>
          </w:p>
        </w:tc>
        <w:tc>
          <w:tcPr>
            <w:tcW w:w="3789" w:type="pct"/>
            <w:vAlign w:val="center"/>
          </w:tcPr>
          <w:p w14:paraId="1ACB5549">
            <w:pPr>
              <w:pStyle w:val="26"/>
              <w:bidi w:val="0"/>
              <w:jc w:val="center"/>
              <w:rPr>
                <w:rFonts w:hint="eastAsia"/>
              </w:rPr>
            </w:pPr>
            <w:r>
              <w:rPr>
                <w:rFonts w:hint="eastAsia"/>
              </w:rPr>
              <w:t>弱酸洗（不加热，质量百分浓度5%—8%），室温高、含量高时取上限，不添加酸雾抑制剂</w:t>
            </w:r>
          </w:p>
        </w:tc>
      </w:tr>
      <w:tr w14:paraId="570F3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508" w:type="pct"/>
            <w:vMerge w:val="restart"/>
            <w:tcBorders>
              <w:bottom w:val="nil"/>
            </w:tcBorders>
            <w:vAlign w:val="center"/>
          </w:tcPr>
          <w:p w14:paraId="0DCF9593">
            <w:pPr>
              <w:pStyle w:val="26"/>
              <w:bidi w:val="0"/>
              <w:jc w:val="center"/>
              <w:rPr>
                <w:rFonts w:hint="eastAsia"/>
              </w:rPr>
            </w:pPr>
            <w:r>
              <w:rPr>
                <w:rFonts w:hint="eastAsia"/>
              </w:rPr>
              <w:t>硫酸雾</w:t>
            </w:r>
          </w:p>
        </w:tc>
        <w:tc>
          <w:tcPr>
            <w:tcW w:w="701" w:type="pct"/>
            <w:vAlign w:val="center"/>
          </w:tcPr>
          <w:p w14:paraId="44DFD22B">
            <w:pPr>
              <w:pStyle w:val="26"/>
              <w:bidi w:val="0"/>
              <w:jc w:val="center"/>
              <w:rPr>
                <w:rFonts w:hint="eastAsia"/>
              </w:rPr>
            </w:pPr>
            <w:r>
              <w:rPr>
                <w:rFonts w:hint="eastAsia"/>
              </w:rPr>
              <w:t>25.2</w:t>
            </w:r>
          </w:p>
        </w:tc>
        <w:tc>
          <w:tcPr>
            <w:tcW w:w="3789" w:type="pct"/>
            <w:vAlign w:val="center"/>
          </w:tcPr>
          <w:p w14:paraId="6A9C1B13">
            <w:pPr>
              <w:pStyle w:val="26"/>
              <w:bidi w:val="0"/>
              <w:jc w:val="center"/>
              <w:rPr>
                <w:rFonts w:hint="eastAsia"/>
              </w:rPr>
            </w:pPr>
            <w:r>
              <w:rPr>
                <w:rFonts w:hint="eastAsia"/>
              </w:rPr>
              <w:t>在质量浓度大于100g/L的硫酸中浸蚀、抛光，硫酸阳极氧化，在稀而热的硫酸中浸蚀、抛光，在浓硫酸中退镍、退铜、退银等</w:t>
            </w:r>
          </w:p>
        </w:tc>
      </w:tr>
      <w:tr w14:paraId="36069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08" w:type="pct"/>
            <w:vMerge w:val="continue"/>
            <w:tcBorders>
              <w:top w:val="nil"/>
            </w:tcBorders>
            <w:vAlign w:val="center"/>
          </w:tcPr>
          <w:p w14:paraId="09E1FE5D">
            <w:pPr>
              <w:pStyle w:val="26"/>
              <w:bidi w:val="0"/>
              <w:jc w:val="center"/>
              <w:rPr>
                <w:rFonts w:hint="eastAsia"/>
              </w:rPr>
            </w:pPr>
          </w:p>
        </w:tc>
        <w:tc>
          <w:tcPr>
            <w:tcW w:w="701" w:type="pct"/>
            <w:vAlign w:val="center"/>
          </w:tcPr>
          <w:p w14:paraId="4054CDAD">
            <w:pPr>
              <w:pStyle w:val="26"/>
              <w:bidi w:val="0"/>
              <w:jc w:val="center"/>
              <w:rPr>
                <w:rFonts w:hint="eastAsia"/>
              </w:rPr>
            </w:pPr>
            <w:r>
              <w:rPr>
                <w:rFonts w:hint="eastAsia"/>
              </w:rPr>
              <w:t>可忽略</w:t>
            </w:r>
          </w:p>
        </w:tc>
        <w:tc>
          <w:tcPr>
            <w:tcW w:w="3789" w:type="pct"/>
            <w:vAlign w:val="center"/>
          </w:tcPr>
          <w:p w14:paraId="259271B2">
            <w:pPr>
              <w:pStyle w:val="26"/>
              <w:bidi w:val="0"/>
              <w:jc w:val="center"/>
              <w:rPr>
                <w:rFonts w:hint="eastAsia"/>
              </w:rPr>
            </w:pPr>
            <w:r>
              <w:rPr>
                <w:rFonts w:hint="eastAsia"/>
              </w:rPr>
              <w:t>室温下含硫酸的溶液中镀铜、镀锡、镀锌、镀镉，弱硫酸酸洗</w:t>
            </w:r>
          </w:p>
        </w:tc>
      </w:tr>
    </w:tbl>
    <w:p w14:paraId="572589FC">
      <w:pPr>
        <w:rPr>
          <w:rFonts w:hint="default" w:eastAsia="仿宋_GB2312"/>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酸性废气源强</w:t>
      </w:r>
    </w:p>
    <w:p w14:paraId="490704C9">
      <w:pPr>
        <w:bidi w:val="0"/>
        <w:rPr>
          <w:rFonts w:hint="eastAsia"/>
          <w:lang w:eastAsia="zh-CN"/>
        </w:rPr>
      </w:pPr>
      <w:r>
        <w:rPr>
          <w:rFonts w:hint="eastAsia"/>
        </w:rPr>
        <w:t>根据前文所述计算原则和产污系数，经计算，本项目酸碱气体产生源强见</w:t>
      </w:r>
      <w:r>
        <w:rPr>
          <w:rFonts w:hint="eastAsia"/>
          <w:lang w:val="en-US" w:eastAsia="zh-CN"/>
        </w:rPr>
        <w:t>下</w:t>
      </w:r>
      <w:r>
        <w:rPr>
          <w:rFonts w:hint="eastAsia"/>
        </w:rPr>
        <w:t>表</w:t>
      </w:r>
      <w:r>
        <w:rPr>
          <w:rFonts w:hint="eastAsia"/>
          <w:lang w:eastAsia="zh-CN"/>
        </w:rPr>
        <w:t>。</w:t>
      </w:r>
    </w:p>
    <w:p w14:paraId="3B7CED88">
      <w:pPr>
        <w:bidi w:val="0"/>
        <w:rPr>
          <w:rFonts w:hint="eastAsia"/>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3A8BCC9">
      <w:pPr>
        <w:pStyle w:val="25"/>
        <w:bidi w:val="0"/>
        <w:rPr>
          <w:color w:val="auto"/>
        </w:rPr>
      </w:pPr>
      <w:bookmarkStart w:id="196" w:name="_Ref131888961"/>
      <w:r>
        <w:rPr>
          <w:color w:val="auto"/>
        </w:rPr>
        <w:t>表</w:t>
      </w:r>
      <w:r>
        <w:rPr>
          <w:color w:val="auto"/>
        </w:rPr>
        <w:fldChar w:fldCharType="begin"/>
      </w:r>
      <w:r>
        <w:rPr>
          <w:color w:val="auto"/>
        </w:rPr>
        <w:instrText xml:space="preserve"> STYLEREF 2 \s </w:instrText>
      </w:r>
      <w:r>
        <w:rPr>
          <w:color w:val="auto"/>
        </w:rPr>
        <w:fldChar w:fldCharType="separate"/>
      </w:r>
      <w:r>
        <w:rPr>
          <w:color w:val="auto"/>
        </w:rPr>
        <w:t>4.5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4</w:t>
      </w:r>
      <w:r>
        <w:rPr>
          <w:color w:val="auto"/>
        </w:rPr>
        <w:fldChar w:fldCharType="end"/>
      </w:r>
      <w:bookmarkEnd w:id="196"/>
      <w:r>
        <w:rPr>
          <w:color w:val="auto"/>
        </w:rPr>
        <w:t>有组织工艺废气产生及排放情况</w:t>
      </w:r>
    </w:p>
    <w:tbl>
      <w:tblPr>
        <w:tblStyle w:val="1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6"/>
        <w:gridCol w:w="686"/>
        <w:gridCol w:w="686"/>
        <w:gridCol w:w="1053"/>
        <w:gridCol w:w="848"/>
        <w:gridCol w:w="953"/>
        <w:gridCol w:w="1062"/>
        <w:gridCol w:w="1115"/>
        <w:gridCol w:w="1523"/>
        <w:gridCol w:w="708"/>
        <w:gridCol w:w="1646"/>
        <w:gridCol w:w="846"/>
        <w:gridCol w:w="862"/>
        <w:gridCol w:w="638"/>
        <w:gridCol w:w="851"/>
      </w:tblGrid>
      <w:tr w14:paraId="6984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4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ED89D">
            <w:pPr>
              <w:pStyle w:val="36"/>
              <w:bidi w:val="0"/>
              <w:rPr>
                <w:rFonts w:hint="eastAsia"/>
              </w:rPr>
            </w:pPr>
            <w:r>
              <w:rPr>
                <w:rFonts w:hint="eastAsia"/>
                <w:lang w:val="en-US" w:eastAsia="zh-CN"/>
              </w:rPr>
              <w:t>车间</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483C">
            <w:pPr>
              <w:pStyle w:val="36"/>
              <w:bidi w:val="0"/>
              <w:rPr>
                <w:rFonts w:hint="eastAsia"/>
              </w:rPr>
            </w:pPr>
            <w:r>
              <w:rPr>
                <w:rFonts w:hint="eastAsia"/>
                <w:lang w:val="en-US" w:eastAsia="zh-CN"/>
              </w:rPr>
              <w:t>废气产</w:t>
            </w:r>
            <w:r>
              <w:rPr>
                <w:lang w:val="en-US" w:eastAsia="zh-CN"/>
              </w:rPr>
              <w:t>生工段</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A47F1">
            <w:pPr>
              <w:pStyle w:val="36"/>
              <w:bidi w:val="0"/>
              <w:rPr>
                <w:rFonts w:hint="eastAsia"/>
              </w:rPr>
            </w:pPr>
            <w:r>
              <w:rPr>
                <w:rFonts w:hint="eastAsia"/>
                <w:lang w:val="en-US" w:eastAsia="zh-CN"/>
              </w:rPr>
              <w:t>废气编</w:t>
            </w:r>
            <w:r>
              <w:rPr>
                <w:lang w:val="en-US" w:eastAsia="zh-CN"/>
              </w:rPr>
              <w:t>号</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4F63">
            <w:pPr>
              <w:pStyle w:val="36"/>
              <w:bidi w:val="0"/>
              <w:rPr>
                <w:rFonts w:hint="eastAsia"/>
              </w:rPr>
            </w:pPr>
            <w:r>
              <w:rPr>
                <w:rFonts w:hint="eastAsia"/>
                <w:lang w:val="en-US" w:eastAsia="zh-CN"/>
              </w:rPr>
              <w:t>主要污染</w:t>
            </w:r>
            <w:r>
              <w:rPr>
                <w:lang w:val="en-US" w:eastAsia="zh-CN"/>
              </w:rPr>
              <w:t>物</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351D">
            <w:pPr>
              <w:pStyle w:val="36"/>
              <w:bidi w:val="0"/>
              <w:rPr>
                <w:rFonts w:hint="eastAsia"/>
              </w:rPr>
            </w:pPr>
            <w:r>
              <w:rPr>
                <w:rFonts w:hint="eastAsia"/>
                <w:lang w:val="en-US" w:eastAsia="zh-CN"/>
              </w:rPr>
              <w:t>质量浓度</w:t>
            </w:r>
            <w:r>
              <w:rPr>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C7DE">
            <w:pPr>
              <w:pStyle w:val="36"/>
              <w:bidi w:val="0"/>
              <w:rPr>
                <w:rFonts w:hint="eastAsia"/>
              </w:rPr>
            </w:pPr>
            <w:r>
              <w:rPr>
                <w:rFonts w:hint="eastAsia"/>
                <w:lang w:val="en-US" w:eastAsia="zh-CN"/>
              </w:rPr>
              <w:t>质量浓度</w:t>
            </w:r>
            <w:r>
              <w:rPr>
                <w:lang w:val="en-US" w:eastAsia="zh-CN"/>
              </w:rPr>
              <w:t>（g/L）</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BDBB">
            <w:pPr>
              <w:pStyle w:val="36"/>
              <w:bidi w:val="0"/>
              <w:rPr>
                <w:rFonts w:hint="eastAsia"/>
              </w:rPr>
            </w:pPr>
            <w:r>
              <w:rPr>
                <w:rFonts w:hint="eastAsia"/>
                <w:lang w:val="en-US" w:eastAsia="zh-CN"/>
              </w:rPr>
              <w:t>温度</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CB4B1">
            <w:pPr>
              <w:pStyle w:val="36"/>
              <w:bidi w:val="0"/>
              <w:rPr>
                <w:rFonts w:hint="eastAsia"/>
              </w:rPr>
            </w:pPr>
            <w:r>
              <w:rPr>
                <w:rFonts w:hint="eastAsia"/>
                <w:lang w:val="en-US" w:eastAsia="zh-CN"/>
              </w:rPr>
              <w:t>范围</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CDCDA">
            <w:pPr>
              <w:pStyle w:val="36"/>
              <w:bidi w:val="0"/>
              <w:rPr>
                <w:rFonts w:hint="eastAsia"/>
              </w:rPr>
            </w:pPr>
            <w:r>
              <w:rPr>
                <w:rFonts w:hint="eastAsia"/>
                <w:lang w:val="en-US" w:eastAsia="zh-CN"/>
              </w:rPr>
              <w:t>单位渡槽槽液面面积单</w:t>
            </w:r>
            <w:r>
              <w:rPr>
                <w:lang w:val="en-US" w:eastAsia="zh-CN"/>
              </w:rPr>
              <w:t>位时间废气污染物产生量 g/（m</w:t>
            </w:r>
            <w:r>
              <w:rPr>
                <w:vertAlign w:val="superscript"/>
                <w:lang w:val="en-US" w:eastAsia="zh-CN"/>
              </w:rPr>
              <w:t>2</w:t>
            </w:r>
            <w:r>
              <w:rPr>
                <w:lang w:val="en-US" w:eastAsia="zh-CN"/>
              </w:rPr>
              <w:t>·h）</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ED5C">
            <w:pPr>
              <w:pStyle w:val="36"/>
              <w:bidi w:val="0"/>
              <w:rPr>
                <w:rFonts w:hint="eastAsia"/>
              </w:rPr>
            </w:pPr>
            <w:r>
              <w:rPr>
                <w:rFonts w:hint="eastAsia"/>
                <w:lang w:val="en-US" w:eastAsia="zh-CN"/>
              </w:rPr>
              <w:t>槽子数</w:t>
            </w:r>
            <w:r>
              <w:rPr>
                <w:lang w:val="en-US" w:eastAsia="zh-CN"/>
              </w:rPr>
              <w:t>量/个</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8686C">
            <w:pPr>
              <w:pStyle w:val="36"/>
              <w:bidi w:val="0"/>
              <w:rPr>
                <w:rFonts w:hint="eastAsia"/>
              </w:rPr>
            </w:pPr>
            <w:r>
              <w:rPr>
                <w:rFonts w:hint="eastAsia"/>
                <w:lang w:val="en-US" w:eastAsia="zh-CN"/>
              </w:rPr>
              <w:t xml:space="preserve">单个槽子表面积 </w:t>
            </w:r>
            <w:r>
              <w:rPr>
                <w:lang w:val="en-US" w:eastAsia="zh-CN"/>
              </w:rPr>
              <w:t>m</w:t>
            </w:r>
            <w:r>
              <w:rPr>
                <w:vertAlign w:val="superscript"/>
                <w:lang w:val="en-US" w:eastAsia="zh-CN"/>
              </w:rPr>
              <w:t>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7D51">
            <w:pPr>
              <w:pStyle w:val="36"/>
              <w:bidi w:val="0"/>
              <w:rPr>
                <w:rFonts w:hint="eastAsia"/>
              </w:rPr>
            </w:pPr>
            <w:r>
              <w:rPr>
                <w:rFonts w:hint="eastAsia"/>
                <w:lang w:val="en-US" w:eastAsia="zh-CN"/>
              </w:rPr>
              <w:t>渡槽液面面积</w:t>
            </w:r>
            <w:r>
              <w:rPr>
                <w:lang w:val="en-US" w:eastAsia="zh-CN"/>
              </w:rPr>
              <w:t xml:space="preserve"> m</w:t>
            </w:r>
            <w:r>
              <w:rPr>
                <w:vertAlign w:val="superscript"/>
                <w:lang w:val="en-US" w:eastAsia="zh-CN"/>
              </w:rPr>
              <w:t>2</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EBCC">
            <w:pPr>
              <w:pStyle w:val="36"/>
              <w:bidi w:val="0"/>
              <w:rPr>
                <w:rFonts w:hint="eastAsia"/>
              </w:rPr>
            </w:pPr>
            <w:r>
              <w:rPr>
                <w:rFonts w:hint="eastAsia"/>
                <w:lang w:val="en-US" w:eastAsia="zh-CN"/>
              </w:rPr>
              <w:t>蒸发</w:t>
            </w:r>
            <w:r>
              <w:rPr>
                <w:lang w:val="en-US" w:eastAsia="zh-CN"/>
              </w:rPr>
              <w:t>量kg/h</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AF48">
            <w:pPr>
              <w:pStyle w:val="36"/>
              <w:bidi w:val="0"/>
              <w:rPr>
                <w:rFonts w:hint="eastAsia"/>
              </w:rPr>
            </w:pPr>
            <w:r>
              <w:rPr>
                <w:rFonts w:hint="eastAsia"/>
                <w:lang w:val="en-US" w:eastAsia="zh-CN"/>
              </w:rPr>
              <w:t>运行时</w:t>
            </w:r>
            <w:r>
              <w:rPr>
                <w:lang w:val="en-US" w:eastAsia="zh-CN"/>
              </w:rPr>
              <w:t>间h</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7AB4">
            <w:pPr>
              <w:pStyle w:val="36"/>
              <w:bidi w:val="0"/>
              <w:rPr>
                <w:rFonts w:hint="eastAsia"/>
              </w:rPr>
            </w:pPr>
            <w:r>
              <w:rPr>
                <w:rFonts w:hint="eastAsia"/>
                <w:lang w:val="en-US" w:eastAsia="zh-CN"/>
              </w:rPr>
              <w:t>挥发量</w:t>
            </w:r>
            <w:r>
              <w:rPr>
                <w:lang w:val="en-US" w:eastAsia="zh-CN"/>
              </w:rPr>
              <w:t>t/a</w:t>
            </w:r>
          </w:p>
        </w:tc>
      </w:tr>
      <w:tr w14:paraId="22237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A9909">
            <w:pPr>
              <w:pStyle w:val="26"/>
              <w:bidi w:val="0"/>
              <w:rPr>
                <w:rFonts w:hint="eastAsia"/>
              </w:rPr>
            </w:pPr>
            <w:r>
              <w:rPr>
                <w:rFonts w:hint="eastAsia"/>
                <w:lang w:val="en-US" w:eastAsia="zh-CN"/>
              </w:rPr>
              <w:t>凹印版</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5511">
            <w:pPr>
              <w:pStyle w:val="26"/>
              <w:bidi w:val="0"/>
              <w:rPr>
                <w:rFonts w:hint="eastAsia"/>
              </w:rPr>
            </w:pPr>
            <w:r>
              <w:rPr>
                <w:rFonts w:hint="eastAsia"/>
                <w:lang w:val="en-US" w:eastAsia="zh-CN"/>
              </w:rPr>
              <w:t>镀铜</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45724">
            <w:pPr>
              <w:pStyle w:val="26"/>
              <w:bidi w:val="0"/>
              <w:rPr>
                <w:rFonts w:hint="default"/>
              </w:rPr>
            </w:pPr>
            <w:r>
              <w:rPr>
                <w:rFonts w:hint="default"/>
                <w:lang w:val="en-US" w:eastAsia="zh-CN"/>
              </w:rPr>
              <w:t>G1-6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2F8E">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0A66">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EE70F">
            <w:pPr>
              <w:pStyle w:val="26"/>
              <w:bidi w:val="0"/>
              <w:rPr>
                <w:rFonts w:hint="default"/>
              </w:rPr>
            </w:pPr>
            <w:r>
              <w:rPr>
                <w:rFonts w:hint="default"/>
                <w:lang w:val="en-US" w:eastAsia="zh-CN"/>
              </w:rPr>
              <w:t>55-65</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DEA6">
            <w:pPr>
              <w:pStyle w:val="26"/>
              <w:bidi w:val="0"/>
              <w:rPr>
                <w:rFonts w:hint="default"/>
              </w:rPr>
            </w:pPr>
            <w:r>
              <w:rPr>
                <w:rFonts w:hint="default"/>
                <w:lang w:val="en-US" w:eastAsia="zh-CN"/>
              </w:rPr>
              <w:t>38-42℃</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199F">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D0E2">
            <w:pPr>
              <w:pStyle w:val="26"/>
              <w:bidi w:val="0"/>
              <w:rPr>
                <w:rFonts w:hint="default"/>
              </w:rPr>
            </w:pPr>
            <w:r>
              <w:rPr>
                <w:rFonts w:hint="default"/>
                <w:lang w:val="en-US" w:eastAsia="zh-CN"/>
              </w:rPr>
              <w:t>25.2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2597">
            <w:pPr>
              <w:pStyle w:val="26"/>
              <w:bidi w:val="0"/>
              <w:rPr>
                <w:rFonts w:hint="default"/>
              </w:rPr>
            </w:pPr>
            <w:r>
              <w:rPr>
                <w:rFonts w:hint="default"/>
                <w:lang w:val="en-US" w:eastAsia="zh-CN"/>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8F90">
            <w:pPr>
              <w:pStyle w:val="26"/>
              <w:bidi w:val="0"/>
              <w:rPr>
                <w:rFonts w:hint="default"/>
              </w:rPr>
            </w:pPr>
            <w:r>
              <w:rPr>
                <w:rFonts w:hint="default"/>
                <w:lang w:val="en-US" w:eastAsia="zh-CN"/>
              </w:rPr>
              <w:t>2.6×0.62=1.612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6F2B">
            <w:pPr>
              <w:pStyle w:val="26"/>
              <w:bidi w:val="0"/>
              <w:rPr>
                <w:rFonts w:hint="default"/>
              </w:rPr>
            </w:pPr>
            <w:r>
              <w:rPr>
                <w:rFonts w:hint="default"/>
                <w:lang w:val="en-US" w:eastAsia="zh-CN"/>
              </w:rPr>
              <w:t>6.448</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322B">
            <w:pPr>
              <w:pStyle w:val="26"/>
              <w:bidi w:val="0"/>
              <w:rPr>
                <w:rFonts w:hint="default"/>
              </w:rPr>
            </w:pPr>
            <w:r>
              <w:rPr>
                <w:rFonts w:hint="default"/>
                <w:lang w:val="en-US" w:eastAsia="zh-CN"/>
              </w:rPr>
              <w:t xml:space="preserve">0.1625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0484C">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56FAA">
            <w:pPr>
              <w:pStyle w:val="26"/>
              <w:bidi w:val="0"/>
              <w:rPr>
                <w:rFonts w:hint="default"/>
              </w:rPr>
            </w:pPr>
            <w:r>
              <w:rPr>
                <w:rFonts w:hint="default"/>
                <w:lang w:val="en-US" w:eastAsia="zh-CN"/>
              </w:rPr>
              <w:t xml:space="preserve">1.1699 </w:t>
            </w:r>
          </w:p>
        </w:tc>
      </w:tr>
      <w:tr w14:paraId="1DA4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7770E">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9EC6">
            <w:pPr>
              <w:pStyle w:val="26"/>
              <w:bidi w:val="0"/>
              <w:rPr>
                <w:rFonts w:hint="eastAsia"/>
              </w:rPr>
            </w:pPr>
            <w:r>
              <w:rPr>
                <w:rFonts w:hint="eastAsia"/>
                <w:lang w:val="en-US" w:eastAsia="zh-CN"/>
              </w:rPr>
              <w:t>镀铜</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B87D">
            <w:pPr>
              <w:pStyle w:val="26"/>
              <w:bidi w:val="0"/>
              <w:rPr>
                <w:rFonts w:hint="default"/>
              </w:rPr>
            </w:pPr>
            <w:r>
              <w:rPr>
                <w:rFonts w:hint="default"/>
                <w:lang w:val="en-US" w:eastAsia="zh-CN"/>
              </w:rPr>
              <w:t>G1-6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93C2">
            <w:pPr>
              <w:pStyle w:val="26"/>
              <w:bidi w:val="0"/>
              <w:rPr>
                <w:rFonts w:hint="eastAsia"/>
              </w:rPr>
            </w:pPr>
            <w:r>
              <w:rPr>
                <w:rFonts w:hint="eastAsia"/>
                <w:lang w:val="en-US" w:eastAsia="zh-CN"/>
              </w:rPr>
              <w:t>氯化氢</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7AD0">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D0E4">
            <w:pPr>
              <w:pStyle w:val="26"/>
              <w:bidi w:val="0"/>
              <w:rPr>
                <w:rFonts w:hint="default"/>
              </w:rPr>
            </w:pPr>
            <w:r>
              <w:rPr>
                <w:rFonts w:hint="default"/>
                <w:lang w:val="en-US" w:eastAsia="zh-CN"/>
              </w:rPr>
              <w:t>0.08-0.12</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112F">
            <w:pPr>
              <w:pStyle w:val="26"/>
              <w:bidi w:val="0"/>
              <w:rPr>
                <w:rFonts w:hint="default"/>
              </w:rPr>
            </w:pPr>
            <w:r>
              <w:rPr>
                <w:rFonts w:hint="default"/>
                <w:lang w:val="en-US" w:eastAsia="zh-CN"/>
              </w:rPr>
              <w:t>38-42℃</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CF1EE">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816D7">
            <w:pPr>
              <w:pStyle w:val="26"/>
              <w:bidi w:val="0"/>
              <w:rPr>
                <w:rFonts w:hint="default"/>
              </w:rPr>
            </w:pPr>
            <w:r>
              <w:rPr>
                <w:rFonts w:hint="default"/>
                <w:lang w:val="en-US" w:eastAsia="zh-CN"/>
              </w:rPr>
              <w:t>0.4</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FD71">
            <w:pPr>
              <w:pStyle w:val="26"/>
              <w:bidi w:val="0"/>
              <w:rPr>
                <w:rFonts w:hint="default"/>
              </w:rPr>
            </w:pPr>
            <w:r>
              <w:rPr>
                <w:rFonts w:hint="default"/>
                <w:lang w:val="en-US" w:eastAsia="zh-CN"/>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A6C0">
            <w:pPr>
              <w:pStyle w:val="26"/>
              <w:bidi w:val="0"/>
              <w:rPr>
                <w:rFonts w:hint="default"/>
              </w:rPr>
            </w:pPr>
            <w:r>
              <w:rPr>
                <w:rFonts w:hint="default"/>
                <w:lang w:val="en-US" w:eastAsia="zh-CN"/>
              </w:rPr>
              <w:t>2.6×0.62=1.612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5A3B4">
            <w:pPr>
              <w:pStyle w:val="26"/>
              <w:bidi w:val="0"/>
              <w:rPr>
                <w:rFonts w:hint="default"/>
              </w:rPr>
            </w:pPr>
            <w:r>
              <w:rPr>
                <w:rFonts w:hint="default"/>
                <w:lang w:val="en-US" w:eastAsia="zh-CN"/>
              </w:rPr>
              <w:t>6.448</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6FF2">
            <w:pPr>
              <w:pStyle w:val="26"/>
              <w:bidi w:val="0"/>
              <w:rPr>
                <w:rFonts w:hint="default"/>
              </w:rPr>
            </w:pPr>
            <w:r>
              <w:rPr>
                <w:rFonts w:hint="default"/>
                <w:lang w:val="en-US" w:eastAsia="zh-CN"/>
              </w:rPr>
              <w:t xml:space="preserve">0.0026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8313">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498F">
            <w:pPr>
              <w:pStyle w:val="26"/>
              <w:bidi w:val="0"/>
              <w:rPr>
                <w:rFonts w:hint="default"/>
              </w:rPr>
            </w:pPr>
            <w:r>
              <w:rPr>
                <w:rFonts w:hint="default"/>
                <w:lang w:val="en-US" w:eastAsia="zh-CN"/>
              </w:rPr>
              <w:t xml:space="preserve">0.0186 </w:t>
            </w:r>
          </w:p>
        </w:tc>
      </w:tr>
      <w:tr w14:paraId="357B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6F6DE">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38DE">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B9C53">
            <w:pPr>
              <w:pStyle w:val="26"/>
              <w:bidi w:val="0"/>
              <w:rPr>
                <w:rFonts w:hint="default"/>
              </w:rPr>
            </w:pPr>
            <w:r>
              <w:rPr>
                <w:rFonts w:hint="default"/>
                <w:lang w:val="en-US" w:eastAsia="zh-CN"/>
              </w:rPr>
              <w:t>G1-7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ED5B">
            <w:pPr>
              <w:pStyle w:val="26"/>
              <w:bidi w:val="0"/>
              <w:rPr>
                <w:rFonts w:hint="eastAsia"/>
              </w:rPr>
            </w:pPr>
            <w:r>
              <w:rPr>
                <w:rFonts w:hint="eastAsia"/>
                <w:lang w:val="en-US" w:eastAsia="zh-CN"/>
              </w:rPr>
              <w:t>铬酸雾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39BB">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2D7D1">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B604">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339E">
            <w:pPr>
              <w:pStyle w:val="26"/>
              <w:bidi w:val="0"/>
              <w:rPr>
                <w:rFonts w:hint="eastAsia"/>
              </w:rPr>
            </w:pPr>
            <w:r>
              <w:rPr>
                <w:rFonts w:hint="eastAsia"/>
                <w:lang w:val="en-US" w:eastAsia="zh-CN"/>
              </w:rPr>
              <w:t>添加铬酸雾</w:t>
            </w:r>
            <w:r>
              <w:rPr>
                <w:lang w:val="en-US" w:eastAsia="zh-CN"/>
              </w:rPr>
              <w:t>抑制剂</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99B1">
            <w:pPr>
              <w:pStyle w:val="26"/>
              <w:bidi w:val="0"/>
              <w:rPr>
                <w:rFonts w:hint="default"/>
              </w:rPr>
            </w:pPr>
            <w:r>
              <w:rPr>
                <w:rFonts w:hint="default"/>
                <w:lang w:val="en-US" w:eastAsia="zh-CN"/>
              </w:rPr>
              <w:t>0.38</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F105">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E18B">
            <w:pPr>
              <w:pStyle w:val="26"/>
              <w:bidi w:val="0"/>
              <w:rPr>
                <w:rFonts w:hint="default"/>
              </w:rPr>
            </w:pPr>
            <w:r>
              <w:rPr>
                <w:rFonts w:hint="default"/>
                <w:lang w:val="en-US" w:eastAsia="zh-CN"/>
              </w:rPr>
              <w:t>2.6×0.62=1.612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2D2BA">
            <w:pPr>
              <w:pStyle w:val="26"/>
              <w:bidi w:val="0"/>
              <w:rPr>
                <w:rFonts w:hint="default"/>
              </w:rPr>
            </w:pPr>
            <w:r>
              <w:rPr>
                <w:rFonts w:hint="default"/>
                <w:lang w:val="en-US" w:eastAsia="zh-CN"/>
              </w:rPr>
              <w:t>4.836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959F2">
            <w:pPr>
              <w:pStyle w:val="26"/>
              <w:bidi w:val="0"/>
              <w:rPr>
                <w:rFonts w:hint="default"/>
              </w:rPr>
            </w:pPr>
            <w:r>
              <w:rPr>
                <w:rFonts w:hint="default"/>
                <w:lang w:val="en-US" w:eastAsia="zh-CN"/>
              </w:rPr>
              <w:t xml:space="preserve">0.0018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70ACF">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87E7">
            <w:pPr>
              <w:pStyle w:val="26"/>
              <w:bidi w:val="0"/>
              <w:rPr>
                <w:rFonts w:hint="default"/>
              </w:rPr>
            </w:pPr>
            <w:r>
              <w:rPr>
                <w:rFonts w:hint="default"/>
                <w:lang w:val="en-US" w:eastAsia="zh-CN"/>
              </w:rPr>
              <w:t xml:space="preserve">0.0132 </w:t>
            </w:r>
          </w:p>
        </w:tc>
      </w:tr>
      <w:tr w14:paraId="6C4AF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8B9C0">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BBDC">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2B0B4">
            <w:pPr>
              <w:pStyle w:val="26"/>
              <w:bidi w:val="0"/>
              <w:rPr>
                <w:rFonts w:hint="default"/>
              </w:rPr>
            </w:pPr>
            <w:r>
              <w:rPr>
                <w:rFonts w:hint="default"/>
                <w:lang w:val="en-US" w:eastAsia="zh-CN"/>
              </w:rPr>
              <w:t>G1-7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DE659">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34DB">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9C0E">
            <w:pPr>
              <w:pStyle w:val="26"/>
              <w:bidi w:val="0"/>
              <w:rPr>
                <w:rFonts w:hint="default"/>
              </w:rPr>
            </w:pPr>
            <w:r>
              <w:rPr>
                <w:rFonts w:hint="default"/>
                <w:lang w:val="en-US" w:eastAsia="zh-CN"/>
              </w:rPr>
              <w:t>2.8</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4B4C">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76B3">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3209">
            <w:pPr>
              <w:pStyle w:val="26"/>
              <w:bidi w:val="0"/>
              <w:rPr>
                <w:rFonts w:hint="default"/>
              </w:rPr>
            </w:pPr>
            <w:r>
              <w:rPr>
                <w:rFonts w:hint="default"/>
                <w:lang w:val="en-US" w:eastAsia="zh-CN"/>
              </w:rPr>
              <w:t>25.2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D183">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A7A2">
            <w:pPr>
              <w:pStyle w:val="26"/>
              <w:bidi w:val="0"/>
              <w:rPr>
                <w:rFonts w:hint="default"/>
              </w:rPr>
            </w:pPr>
            <w:r>
              <w:rPr>
                <w:rFonts w:hint="default"/>
                <w:lang w:val="en-US" w:eastAsia="zh-CN"/>
              </w:rPr>
              <w:t>2.6×0.62=1.612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11F9">
            <w:pPr>
              <w:pStyle w:val="26"/>
              <w:bidi w:val="0"/>
              <w:rPr>
                <w:rFonts w:hint="default"/>
              </w:rPr>
            </w:pPr>
            <w:r>
              <w:rPr>
                <w:rFonts w:hint="default"/>
                <w:lang w:val="en-US" w:eastAsia="zh-CN"/>
              </w:rPr>
              <w:t>4.836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91B5">
            <w:pPr>
              <w:pStyle w:val="26"/>
              <w:bidi w:val="0"/>
              <w:rPr>
                <w:rFonts w:hint="default"/>
              </w:rPr>
            </w:pPr>
            <w:r>
              <w:rPr>
                <w:rFonts w:hint="default"/>
                <w:lang w:val="en-US" w:eastAsia="zh-CN"/>
              </w:rPr>
              <w:t xml:space="preserve">0.1219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9932">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A45B">
            <w:pPr>
              <w:pStyle w:val="26"/>
              <w:bidi w:val="0"/>
              <w:rPr>
                <w:rFonts w:hint="default"/>
              </w:rPr>
            </w:pPr>
            <w:r>
              <w:rPr>
                <w:rFonts w:hint="default"/>
                <w:lang w:val="en-US" w:eastAsia="zh-CN"/>
              </w:rPr>
              <w:t xml:space="preserve">0.8774 </w:t>
            </w:r>
          </w:p>
        </w:tc>
      </w:tr>
      <w:tr w14:paraId="5AC71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FAB64">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141F">
            <w:pPr>
              <w:pStyle w:val="26"/>
              <w:bidi w:val="0"/>
              <w:rPr>
                <w:rFonts w:hint="eastAsia"/>
              </w:rPr>
            </w:pPr>
            <w:r>
              <w:rPr>
                <w:rFonts w:hint="eastAsia"/>
                <w:lang w:val="en-US" w:eastAsia="zh-CN"/>
              </w:rPr>
              <w:t>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4C40">
            <w:pPr>
              <w:pStyle w:val="26"/>
              <w:bidi w:val="0"/>
              <w:rPr>
                <w:rFonts w:hint="default"/>
              </w:rPr>
            </w:pPr>
            <w:r>
              <w:rPr>
                <w:rFonts w:hint="default"/>
                <w:lang w:val="en-US" w:eastAsia="zh-CN"/>
              </w:rPr>
              <w:t>G1-7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D034">
            <w:pPr>
              <w:pStyle w:val="26"/>
              <w:bidi w:val="0"/>
              <w:rPr>
                <w:rFonts w:hint="eastAsia"/>
              </w:rPr>
            </w:pPr>
            <w:r>
              <w:rPr>
                <w:rFonts w:hint="eastAsia"/>
                <w:lang w:val="en-US" w:eastAsia="zh-CN"/>
              </w:rPr>
              <w:t>铬酸雾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6E2D">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85DE">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15C1">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6EB1E">
            <w:pPr>
              <w:pStyle w:val="26"/>
              <w:bidi w:val="0"/>
              <w:rPr>
                <w:rFonts w:hint="eastAsia"/>
              </w:rPr>
            </w:pPr>
            <w:r>
              <w:rPr>
                <w:rFonts w:hint="eastAsia"/>
                <w:lang w:val="en-US" w:eastAsia="zh-CN"/>
              </w:rPr>
              <w:t>添加铬酸雾</w:t>
            </w:r>
            <w:r>
              <w:rPr>
                <w:lang w:val="en-US" w:eastAsia="zh-CN"/>
              </w:rPr>
              <w:t>抑制剂</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E3B1">
            <w:pPr>
              <w:pStyle w:val="26"/>
              <w:bidi w:val="0"/>
              <w:rPr>
                <w:rFonts w:hint="default"/>
              </w:rPr>
            </w:pPr>
            <w:r>
              <w:rPr>
                <w:rFonts w:hint="default"/>
                <w:lang w:val="en-US" w:eastAsia="zh-CN"/>
              </w:rPr>
              <w:t>0.38</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522D">
            <w:pPr>
              <w:pStyle w:val="26"/>
              <w:bidi w:val="0"/>
              <w:rPr>
                <w:rFonts w:hint="default"/>
              </w:rPr>
            </w:pPr>
            <w:r>
              <w:rPr>
                <w:rFonts w:hint="default"/>
                <w:lang w:val="en-US" w:eastAsia="zh-CN"/>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BB432">
            <w:pPr>
              <w:pStyle w:val="26"/>
              <w:bidi w:val="0"/>
              <w:rPr>
                <w:rFonts w:hint="default"/>
              </w:rPr>
            </w:pPr>
            <w:r>
              <w:rPr>
                <w:rFonts w:hint="default"/>
                <w:lang w:val="en-US" w:eastAsia="zh-CN"/>
              </w:rPr>
              <w:t>3.2×1.6=5.12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6F49">
            <w:pPr>
              <w:pStyle w:val="26"/>
              <w:bidi w:val="0"/>
              <w:rPr>
                <w:rFonts w:hint="default"/>
              </w:rPr>
            </w:pPr>
            <w:r>
              <w:rPr>
                <w:rFonts w:hint="default"/>
                <w:lang w:val="en-US" w:eastAsia="zh-CN"/>
              </w:rPr>
              <w:t>10.24</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0532">
            <w:pPr>
              <w:pStyle w:val="26"/>
              <w:bidi w:val="0"/>
              <w:rPr>
                <w:rFonts w:hint="default"/>
              </w:rPr>
            </w:pPr>
            <w:r>
              <w:rPr>
                <w:rFonts w:hint="default"/>
                <w:lang w:val="en-US" w:eastAsia="zh-CN"/>
              </w:rPr>
              <w:t xml:space="preserve">0.0039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BACC">
            <w:pPr>
              <w:pStyle w:val="26"/>
              <w:bidi w:val="0"/>
              <w:rPr>
                <w:rFonts w:hint="default"/>
              </w:rPr>
            </w:pPr>
            <w:r>
              <w:rPr>
                <w:rFonts w:hint="default"/>
                <w:lang w:val="en-US" w:eastAsia="zh-CN"/>
              </w:rPr>
              <w:t>300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C20B">
            <w:pPr>
              <w:pStyle w:val="26"/>
              <w:bidi w:val="0"/>
              <w:rPr>
                <w:rFonts w:hint="default"/>
              </w:rPr>
            </w:pPr>
            <w:r>
              <w:rPr>
                <w:rFonts w:hint="default"/>
                <w:lang w:val="en-US" w:eastAsia="zh-CN"/>
              </w:rPr>
              <w:t xml:space="preserve">0.0012 </w:t>
            </w:r>
          </w:p>
        </w:tc>
      </w:tr>
      <w:tr w14:paraId="6C00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9B20D">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B8BB0">
            <w:pPr>
              <w:pStyle w:val="26"/>
              <w:bidi w:val="0"/>
              <w:rPr>
                <w:rFonts w:hint="eastAsia"/>
              </w:rPr>
            </w:pPr>
            <w:r>
              <w:rPr>
                <w:rFonts w:hint="eastAsia"/>
                <w:lang w:val="en-US" w:eastAsia="zh-CN"/>
              </w:rPr>
              <w:t>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053CA">
            <w:pPr>
              <w:pStyle w:val="26"/>
              <w:bidi w:val="0"/>
              <w:rPr>
                <w:rFonts w:hint="default"/>
              </w:rPr>
            </w:pPr>
            <w:r>
              <w:rPr>
                <w:rFonts w:hint="default"/>
                <w:lang w:val="en-US" w:eastAsia="zh-CN"/>
              </w:rPr>
              <w:t>G1-7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EA816">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D3C9F">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A530">
            <w:pPr>
              <w:pStyle w:val="26"/>
              <w:bidi w:val="0"/>
              <w:rPr>
                <w:rFonts w:hint="default"/>
              </w:rPr>
            </w:pPr>
            <w:r>
              <w:rPr>
                <w:rFonts w:hint="default"/>
                <w:lang w:val="en-US" w:eastAsia="zh-CN"/>
              </w:rPr>
              <w:t>300-400</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03F6">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2A2B0">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E5E5">
            <w:pPr>
              <w:pStyle w:val="26"/>
              <w:bidi w:val="0"/>
              <w:rPr>
                <w:rFonts w:hint="default"/>
              </w:rPr>
            </w:pPr>
            <w:r>
              <w:rPr>
                <w:rFonts w:hint="default"/>
                <w:lang w:val="en-US" w:eastAsia="zh-CN"/>
              </w:rPr>
              <w:t>25.2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43B7">
            <w:pPr>
              <w:pStyle w:val="26"/>
              <w:bidi w:val="0"/>
              <w:rPr>
                <w:rFonts w:hint="default"/>
              </w:rPr>
            </w:pPr>
            <w:r>
              <w:rPr>
                <w:rFonts w:hint="default"/>
                <w:lang w:val="en-US" w:eastAsia="zh-CN"/>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8776">
            <w:pPr>
              <w:pStyle w:val="26"/>
              <w:bidi w:val="0"/>
              <w:rPr>
                <w:rFonts w:hint="default"/>
              </w:rPr>
            </w:pPr>
            <w:r>
              <w:rPr>
                <w:rFonts w:hint="default"/>
                <w:lang w:val="en-US" w:eastAsia="zh-CN"/>
              </w:rPr>
              <w:t>3.2×1.6=5.12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FA2B">
            <w:pPr>
              <w:pStyle w:val="26"/>
              <w:bidi w:val="0"/>
              <w:rPr>
                <w:rFonts w:hint="default"/>
              </w:rPr>
            </w:pPr>
            <w:r>
              <w:rPr>
                <w:rFonts w:hint="default"/>
                <w:lang w:val="en-US" w:eastAsia="zh-CN"/>
              </w:rPr>
              <w:t>10.24</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35DB">
            <w:pPr>
              <w:pStyle w:val="26"/>
              <w:bidi w:val="0"/>
              <w:rPr>
                <w:rFonts w:hint="default"/>
              </w:rPr>
            </w:pPr>
            <w:r>
              <w:rPr>
                <w:rFonts w:hint="default"/>
                <w:lang w:val="en-US" w:eastAsia="zh-CN"/>
              </w:rPr>
              <w:t xml:space="preserve">0.2580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12AD">
            <w:pPr>
              <w:pStyle w:val="26"/>
              <w:bidi w:val="0"/>
              <w:rPr>
                <w:rFonts w:hint="default"/>
              </w:rPr>
            </w:pPr>
            <w:r>
              <w:rPr>
                <w:rFonts w:hint="default"/>
                <w:lang w:val="en-US" w:eastAsia="zh-CN"/>
              </w:rPr>
              <w:t>300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98A70">
            <w:pPr>
              <w:pStyle w:val="26"/>
              <w:bidi w:val="0"/>
              <w:rPr>
                <w:rFonts w:hint="default"/>
              </w:rPr>
            </w:pPr>
            <w:r>
              <w:rPr>
                <w:rFonts w:hint="default"/>
                <w:lang w:val="en-US" w:eastAsia="zh-CN"/>
              </w:rPr>
              <w:t xml:space="preserve">0.0774 </w:t>
            </w:r>
          </w:p>
        </w:tc>
      </w:tr>
      <w:tr w14:paraId="69509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C15CC">
            <w:pPr>
              <w:pStyle w:val="26"/>
              <w:bidi w:val="0"/>
              <w:rPr>
                <w:rFonts w:hint="eastAsia"/>
              </w:rPr>
            </w:pPr>
            <w:r>
              <w:rPr>
                <w:rFonts w:hint="eastAsia"/>
                <w:lang w:val="en-US" w:eastAsia="zh-CN"/>
              </w:rPr>
              <w:t>磁性横切刀版</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2E36">
            <w:pPr>
              <w:pStyle w:val="26"/>
              <w:bidi w:val="0"/>
              <w:rPr>
                <w:rFonts w:hint="eastAsia"/>
              </w:rPr>
            </w:pPr>
            <w:r>
              <w:rPr>
                <w:rFonts w:hint="eastAsia"/>
                <w:lang w:val="en-US" w:eastAsia="zh-CN"/>
              </w:rPr>
              <w:t>腐蚀</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2BD41">
            <w:pPr>
              <w:pStyle w:val="26"/>
              <w:bidi w:val="0"/>
              <w:rPr>
                <w:rFonts w:hint="default"/>
              </w:rPr>
            </w:pPr>
            <w:r>
              <w:rPr>
                <w:rFonts w:hint="default"/>
                <w:lang w:val="en-US" w:eastAsia="zh-CN"/>
              </w:rPr>
              <w:t>G2-3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BD76A">
            <w:pPr>
              <w:pStyle w:val="26"/>
              <w:bidi w:val="0"/>
              <w:rPr>
                <w:rFonts w:hint="eastAsia"/>
              </w:rPr>
            </w:pPr>
            <w:r>
              <w:rPr>
                <w:rFonts w:hint="eastAsia"/>
                <w:lang w:val="en-US" w:eastAsia="zh-CN"/>
              </w:rPr>
              <w:t>氯化氢</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5643">
            <w:pPr>
              <w:pStyle w:val="26"/>
              <w:bidi w:val="0"/>
              <w:rPr>
                <w:rFonts w:hint="default"/>
              </w:rPr>
            </w:pPr>
            <w:r>
              <w:rPr>
                <w:rFonts w:hint="default"/>
                <w:lang w:val="en-US" w:eastAsia="zh-CN"/>
              </w:rPr>
              <w:t>8--10</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6F83">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B5E7">
            <w:pPr>
              <w:pStyle w:val="26"/>
              <w:bidi w:val="0"/>
              <w:rPr>
                <w:rFonts w:hint="default"/>
              </w:rPr>
            </w:pPr>
            <w:r>
              <w:rPr>
                <w:rFonts w:hint="default"/>
                <w:lang w:val="en-US" w:eastAsia="zh-CN"/>
              </w:rPr>
              <w:t>38-40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38C1">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E6FF">
            <w:pPr>
              <w:pStyle w:val="26"/>
              <w:bidi w:val="0"/>
              <w:rPr>
                <w:rFonts w:hint="default"/>
              </w:rPr>
            </w:pPr>
            <w:r>
              <w:rPr>
                <w:rFonts w:hint="default"/>
                <w:lang w:val="en-US" w:eastAsia="zh-CN"/>
              </w:rPr>
              <w:t>107.3</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A7D81">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1421">
            <w:pPr>
              <w:pStyle w:val="26"/>
              <w:bidi w:val="0"/>
              <w:rPr>
                <w:rFonts w:hint="default"/>
              </w:rPr>
            </w:pPr>
            <w:r>
              <w:rPr>
                <w:rFonts w:hint="default"/>
                <w:lang w:val="en-US" w:eastAsia="zh-CN"/>
              </w:rPr>
              <w:t>0.55×0.44=0.242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FE09">
            <w:pPr>
              <w:pStyle w:val="26"/>
              <w:bidi w:val="0"/>
              <w:rPr>
                <w:rFonts w:hint="default"/>
              </w:rPr>
            </w:pPr>
            <w:r>
              <w:rPr>
                <w:rFonts w:hint="default"/>
                <w:lang w:val="en-US" w:eastAsia="zh-CN"/>
              </w:rPr>
              <w:t>0.726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BF7C">
            <w:pPr>
              <w:pStyle w:val="26"/>
              <w:bidi w:val="0"/>
              <w:rPr>
                <w:rFonts w:hint="default"/>
              </w:rPr>
            </w:pPr>
            <w:r>
              <w:rPr>
                <w:rFonts w:hint="default"/>
                <w:lang w:val="en-US" w:eastAsia="zh-CN"/>
              </w:rPr>
              <w:t xml:space="preserve">0.0779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D959">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1D3D">
            <w:pPr>
              <w:pStyle w:val="26"/>
              <w:bidi w:val="0"/>
              <w:rPr>
                <w:rFonts w:hint="default"/>
              </w:rPr>
            </w:pPr>
            <w:r>
              <w:rPr>
                <w:rFonts w:hint="default"/>
                <w:lang w:val="en-US" w:eastAsia="zh-CN"/>
              </w:rPr>
              <w:t xml:space="preserve">0.5609 </w:t>
            </w:r>
          </w:p>
        </w:tc>
      </w:tr>
      <w:tr w14:paraId="6D369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9D348">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8FC1">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B26F">
            <w:pPr>
              <w:pStyle w:val="26"/>
              <w:bidi w:val="0"/>
              <w:rPr>
                <w:rFonts w:hint="default"/>
              </w:rPr>
            </w:pPr>
            <w:r>
              <w:rPr>
                <w:rFonts w:hint="default"/>
                <w:lang w:val="en-US" w:eastAsia="zh-CN"/>
              </w:rPr>
              <w:t>G2-</w:t>
            </w:r>
            <w:r>
              <w:rPr>
                <w:rFonts w:hint="eastAsia"/>
                <w:lang w:val="en-US" w:eastAsia="zh-CN"/>
              </w:rPr>
              <w:t>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C1F2">
            <w:pPr>
              <w:pStyle w:val="26"/>
              <w:bidi w:val="0"/>
              <w:rPr>
                <w:rFonts w:hint="eastAsia"/>
              </w:rPr>
            </w:pPr>
            <w:r>
              <w:rPr>
                <w:rFonts w:hint="eastAsia"/>
                <w:lang w:val="en-US" w:eastAsia="zh-CN"/>
              </w:rPr>
              <w:t>铬酸雾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3132">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2B33D">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64D8">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663C">
            <w:pPr>
              <w:pStyle w:val="26"/>
              <w:bidi w:val="0"/>
              <w:rPr>
                <w:rFonts w:hint="eastAsia"/>
              </w:rPr>
            </w:pPr>
            <w:r>
              <w:rPr>
                <w:rFonts w:hint="eastAsia"/>
                <w:lang w:val="en-US" w:eastAsia="zh-CN"/>
              </w:rPr>
              <w:t>添加铬酸雾</w:t>
            </w:r>
            <w:r>
              <w:rPr>
                <w:lang w:val="en-US" w:eastAsia="zh-CN"/>
              </w:rPr>
              <w:t>抑制剂</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E19A">
            <w:pPr>
              <w:pStyle w:val="26"/>
              <w:bidi w:val="0"/>
              <w:rPr>
                <w:rFonts w:hint="default"/>
              </w:rPr>
            </w:pPr>
            <w:r>
              <w:rPr>
                <w:rFonts w:hint="default"/>
                <w:lang w:val="en-US" w:eastAsia="zh-CN"/>
              </w:rPr>
              <w:t>0.38</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787E">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146F">
            <w:pPr>
              <w:pStyle w:val="26"/>
              <w:bidi w:val="0"/>
              <w:rPr>
                <w:rFonts w:hint="default"/>
              </w:rPr>
            </w:pPr>
            <w:r>
              <w:rPr>
                <w:rFonts w:hint="default"/>
                <w:lang w:val="en-US" w:eastAsia="zh-CN"/>
              </w:rPr>
              <w:t>0.8×0.4= 0.32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6451">
            <w:pPr>
              <w:pStyle w:val="26"/>
              <w:bidi w:val="0"/>
              <w:rPr>
                <w:rFonts w:hint="default"/>
              </w:rPr>
            </w:pPr>
            <w:r>
              <w:rPr>
                <w:rFonts w:hint="default"/>
                <w:lang w:val="en-US" w:eastAsia="zh-CN"/>
              </w:rPr>
              <w:t>0.96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4E486">
            <w:pPr>
              <w:pStyle w:val="26"/>
              <w:bidi w:val="0"/>
              <w:rPr>
                <w:rFonts w:hint="default"/>
              </w:rPr>
            </w:pPr>
            <w:r>
              <w:rPr>
                <w:rFonts w:hint="default"/>
                <w:lang w:val="en-US" w:eastAsia="zh-CN"/>
              </w:rPr>
              <w:t xml:space="preserve">0.0004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A7E4">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2532">
            <w:pPr>
              <w:pStyle w:val="26"/>
              <w:bidi w:val="0"/>
              <w:rPr>
                <w:rFonts w:hint="default"/>
              </w:rPr>
            </w:pPr>
            <w:r>
              <w:rPr>
                <w:rFonts w:hint="default"/>
                <w:lang w:val="en-US" w:eastAsia="zh-CN"/>
              </w:rPr>
              <w:t xml:space="preserve">0.0026 </w:t>
            </w:r>
          </w:p>
        </w:tc>
      </w:tr>
      <w:tr w14:paraId="178A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96267">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BA22">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8D3C2">
            <w:pPr>
              <w:pStyle w:val="26"/>
              <w:bidi w:val="0"/>
              <w:rPr>
                <w:rFonts w:hint="default"/>
              </w:rPr>
            </w:pPr>
            <w:r>
              <w:rPr>
                <w:rFonts w:hint="default"/>
                <w:lang w:val="en-US" w:eastAsia="zh-CN"/>
              </w:rPr>
              <w:t>G2-</w:t>
            </w:r>
            <w:r>
              <w:rPr>
                <w:rFonts w:hint="eastAsia"/>
                <w:lang w:val="en-US" w:eastAsia="zh-CN"/>
              </w:rPr>
              <w:t>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B7DA">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AA86E">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841B">
            <w:pPr>
              <w:pStyle w:val="26"/>
              <w:bidi w:val="0"/>
              <w:rPr>
                <w:rFonts w:hint="default"/>
              </w:rPr>
            </w:pPr>
            <w:r>
              <w:rPr>
                <w:rFonts w:hint="default"/>
                <w:lang w:val="en-US" w:eastAsia="zh-CN"/>
              </w:rPr>
              <w:t>2.8</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40C1">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CB5B5">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CCF52">
            <w:pPr>
              <w:pStyle w:val="26"/>
              <w:bidi w:val="0"/>
              <w:rPr>
                <w:rFonts w:hint="default"/>
              </w:rPr>
            </w:pPr>
            <w:r>
              <w:rPr>
                <w:rFonts w:hint="default"/>
                <w:lang w:val="en-US" w:eastAsia="zh-CN"/>
              </w:rPr>
              <w:t>25.2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A567">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7E012">
            <w:pPr>
              <w:pStyle w:val="26"/>
              <w:bidi w:val="0"/>
              <w:rPr>
                <w:rFonts w:hint="default"/>
              </w:rPr>
            </w:pPr>
            <w:r>
              <w:rPr>
                <w:rFonts w:hint="default"/>
                <w:lang w:val="en-US" w:eastAsia="zh-CN"/>
              </w:rPr>
              <w:t>0.8×0.4=0.32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BB11">
            <w:pPr>
              <w:pStyle w:val="26"/>
              <w:bidi w:val="0"/>
              <w:rPr>
                <w:rFonts w:hint="default"/>
              </w:rPr>
            </w:pPr>
            <w:r>
              <w:rPr>
                <w:rFonts w:hint="default"/>
                <w:lang w:val="en-US" w:eastAsia="zh-CN"/>
              </w:rPr>
              <w:t>0.96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B8E8">
            <w:pPr>
              <w:pStyle w:val="26"/>
              <w:bidi w:val="0"/>
              <w:rPr>
                <w:rFonts w:hint="default"/>
              </w:rPr>
            </w:pPr>
            <w:r>
              <w:rPr>
                <w:rFonts w:hint="default"/>
                <w:lang w:val="en-US" w:eastAsia="zh-CN"/>
              </w:rPr>
              <w:t xml:space="preserve">0.0242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169A">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974F">
            <w:pPr>
              <w:pStyle w:val="26"/>
              <w:bidi w:val="0"/>
              <w:rPr>
                <w:rFonts w:hint="default"/>
              </w:rPr>
            </w:pPr>
            <w:r>
              <w:rPr>
                <w:rFonts w:hint="default"/>
                <w:lang w:val="en-US" w:eastAsia="zh-CN"/>
              </w:rPr>
              <w:t xml:space="preserve">0.1742 </w:t>
            </w:r>
          </w:p>
        </w:tc>
      </w:tr>
      <w:tr w14:paraId="1F9A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2E554">
            <w:pPr>
              <w:pStyle w:val="26"/>
              <w:bidi w:val="0"/>
              <w:rPr>
                <w:rFonts w:hint="eastAsia"/>
              </w:rPr>
            </w:pPr>
            <w:r>
              <w:rPr>
                <w:rFonts w:hint="eastAsia"/>
                <w:lang w:val="en-US" w:eastAsia="zh-CN"/>
              </w:rPr>
              <w:t>热压模板</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71AFD">
            <w:pPr>
              <w:pStyle w:val="26"/>
              <w:bidi w:val="0"/>
              <w:rPr>
                <w:rFonts w:hint="eastAsia"/>
              </w:rPr>
            </w:pPr>
            <w:r>
              <w:rPr>
                <w:rFonts w:hint="eastAsia"/>
                <w:lang w:val="en-US" w:eastAsia="zh-CN"/>
              </w:rPr>
              <w:t>蚀刻</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FD03">
            <w:pPr>
              <w:pStyle w:val="26"/>
              <w:bidi w:val="0"/>
              <w:rPr>
                <w:rFonts w:hint="default"/>
              </w:rPr>
            </w:pPr>
            <w:r>
              <w:rPr>
                <w:rFonts w:hint="default"/>
                <w:lang w:val="en-US" w:eastAsia="zh-CN"/>
              </w:rPr>
              <w:t>G3-</w:t>
            </w:r>
            <w:r>
              <w:rPr>
                <w:rFonts w:hint="eastAsia"/>
                <w:lang w:val="en-US" w:eastAsia="zh-CN"/>
              </w:rPr>
              <w:t>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28F88">
            <w:pPr>
              <w:pStyle w:val="26"/>
              <w:bidi w:val="0"/>
              <w:rPr>
                <w:rFonts w:hint="eastAsia"/>
              </w:rPr>
            </w:pPr>
            <w:r>
              <w:rPr>
                <w:rFonts w:hint="eastAsia"/>
                <w:lang w:val="en-US" w:eastAsia="zh-CN"/>
              </w:rPr>
              <w:t>氯化氢</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8547">
            <w:pPr>
              <w:pStyle w:val="26"/>
              <w:bidi w:val="0"/>
              <w:rPr>
                <w:rFonts w:hint="default"/>
              </w:rPr>
            </w:pPr>
            <w:r>
              <w:rPr>
                <w:rFonts w:hint="default"/>
                <w:lang w:val="en-US" w:eastAsia="zh-CN"/>
              </w:rPr>
              <w:t>8--10</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C32E">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AFF5">
            <w:pPr>
              <w:pStyle w:val="26"/>
              <w:bidi w:val="0"/>
              <w:rPr>
                <w:rFonts w:hint="default"/>
              </w:rPr>
            </w:pPr>
            <w:r>
              <w:rPr>
                <w:rFonts w:hint="default"/>
                <w:lang w:val="en-US" w:eastAsia="zh-CN"/>
              </w:rPr>
              <w:t>38-40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E236">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52885">
            <w:pPr>
              <w:pStyle w:val="26"/>
              <w:bidi w:val="0"/>
              <w:rPr>
                <w:rFonts w:hint="default"/>
              </w:rPr>
            </w:pPr>
            <w:r>
              <w:rPr>
                <w:rFonts w:hint="default"/>
                <w:lang w:val="en-US" w:eastAsia="zh-CN"/>
              </w:rPr>
              <w:t>107.3</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D41AD">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9DDC">
            <w:pPr>
              <w:pStyle w:val="26"/>
              <w:bidi w:val="0"/>
              <w:rPr>
                <w:rFonts w:hint="default"/>
              </w:rPr>
            </w:pPr>
            <w:r>
              <w:rPr>
                <w:rFonts w:hint="default"/>
                <w:lang w:val="en-US" w:eastAsia="zh-CN"/>
              </w:rPr>
              <w:t>2.46×1.41=3.4686</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74CB">
            <w:pPr>
              <w:pStyle w:val="26"/>
              <w:bidi w:val="0"/>
              <w:rPr>
                <w:rFonts w:hint="default"/>
              </w:rPr>
            </w:pPr>
            <w:r>
              <w:rPr>
                <w:rFonts w:hint="default"/>
                <w:lang w:val="en-US" w:eastAsia="zh-CN"/>
              </w:rPr>
              <w:t>10.4058</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1AF2">
            <w:pPr>
              <w:pStyle w:val="26"/>
              <w:bidi w:val="0"/>
              <w:rPr>
                <w:rFonts w:hint="default"/>
              </w:rPr>
            </w:pPr>
            <w:r>
              <w:rPr>
                <w:rFonts w:hint="default"/>
                <w:lang w:val="en-US" w:eastAsia="zh-CN"/>
              </w:rPr>
              <w:t xml:space="preserve">1.1165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C152">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EA78">
            <w:pPr>
              <w:pStyle w:val="26"/>
              <w:bidi w:val="0"/>
              <w:rPr>
                <w:rFonts w:hint="default"/>
              </w:rPr>
            </w:pPr>
            <w:r>
              <w:rPr>
                <w:rFonts w:hint="default"/>
                <w:lang w:val="en-US" w:eastAsia="zh-CN"/>
              </w:rPr>
              <w:t xml:space="preserve">8.0391 </w:t>
            </w:r>
          </w:p>
        </w:tc>
      </w:tr>
      <w:tr w14:paraId="4B437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CD3B">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C615">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0288">
            <w:pPr>
              <w:pStyle w:val="26"/>
              <w:bidi w:val="0"/>
              <w:rPr>
                <w:rFonts w:hint="default"/>
              </w:rPr>
            </w:pPr>
            <w:r>
              <w:rPr>
                <w:rFonts w:hint="default"/>
                <w:lang w:val="en-US" w:eastAsia="zh-CN"/>
              </w:rPr>
              <w:t>G3-</w:t>
            </w:r>
            <w:r>
              <w:rPr>
                <w:rFonts w:hint="eastAsia"/>
                <w:lang w:val="en-US" w:eastAsia="zh-CN"/>
              </w:rPr>
              <w:t>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1EBF">
            <w:pPr>
              <w:pStyle w:val="26"/>
              <w:bidi w:val="0"/>
              <w:rPr>
                <w:rFonts w:hint="eastAsia"/>
              </w:rPr>
            </w:pPr>
            <w:r>
              <w:rPr>
                <w:rFonts w:hint="eastAsia"/>
                <w:lang w:val="en-US" w:eastAsia="zh-CN"/>
              </w:rPr>
              <w:t>铬酸雾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BB88A">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5D9A">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52A49">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00F0">
            <w:pPr>
              <w:pStyle w:val="26"/>
              <w:bidi w:val="0"/>
              <w:rPr>
                <w:rFonts w:hint="eastAsia"/>
              </w:rPr>
            </w:pPr>
            <w:r>
              <w:rPr>
                <w:rFonts w:hint="eastAsia"/>
                <w:lang w:val="en-US" w:eastAsia="zh-CN"/>
              </w:rPr>
              <w:t>添加铬酸雾</w:t>
            </w:r>
            <w:r>
              <w:rPr>
                <w:lang w:val="en-US" w:eastAsia="zh-CN"/>
              </w:rPr>
              <w:t>抑制剂</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E395">
            <w:pPr>
              <w:pStyle w:val="26"/>
              <w:bidi w:val="0"/>
              <w:rPr>
                <w:rFonts w:hint="default"/>
              </w:rPr>
            </w:pPr>
            <w:r>
              <w:rPr>
                <w:rFonts w:hint="default"/>
                <w:lang w:val="en-US" w:eastAsia="zh-CN"/>
              </w:rPr>
              <w:t>0.38</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AEBA8">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46A24">
            <w:pPr>
              <w:pStyle w:val="26"/>
              <w:bidi w:val="0"/>
              <w:rPr>
                <w:rFonts w:hint="default"/>
              </w:rPr>
            </w:pPr>
            <w:r>
              <w:rPr>
                <w:rFonts w:hint="default"/>
                <w:lang w:val="en-US" w:eastAsia="zh-CN"/>
              </w:rPr>
              <w:t>0.8×0.4=0.32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D9C8D">
            <w:pPr>
              <w:pStyle w:val="26"/>
              <w:bidi w:val="0"/>
              <w:rPr>
                <w:rFonts w:hint="default"/>
              </w:rPr>
            </w:pPr>
            <w:r>
              <w:rPr>
                <w:rFonts w:hint="default"/>
                <w:lang w:val="en-US" w:eastAsia="zh-CN"/>
              </w:rPr>
              <w:t>0.96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C08F">
            <w:pPr>
              <w:pStyle w:val="26"/>
              <w:bidi w:val="0"/>
              <w:rPr>
                <w:rFonts w:hint="default"/>
              </w:rPr>
            </w:pPr>
            <w:r>
              <w:rPr>
                <w:rFonts w:hint="default"/>
                <w:lang w:val="en-US" w:eastAsia="zh-CN"/>
              </w:rPr>
              <w:t xml:space="preserve">0.0004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54125">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68395">
            <w:pPr>
              <w:pStyle w:val="26"/>
              <w:bidi w:val="0"/>
              <w:rPr>
                <w:rFonts w:hint="default"/>
              </w:rPr>
            </w:pPr>
            <w:r>
              <w:rPr>
                <w:rFonts w:hint="default"/>
                <w:lang w:val="en-US" w:eastAsia="zh-CN"/>
              </w:rPr>
              <w:t xml:space="preserve">0.0026 </w:t>
            </w:r>
          </w:p>
        </w:tc>
      </w:tr>
      <w:tr w14:paraId="79DE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1C7D8">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C5731">
            <w:pPr>
              <w:pStyle w:val="26"/>
              <w:bidi w:val="0"/>
              <w:rPr>
                <w:rFonts w:hint="eastAsia"/>
              </w:rPr>
            </w:pPr>
            <w:r>
              <w:rPr>
                <w:rFonts w:hint="eastAsia"/>
                <w:lang w:val="en-US" w:eastAsia="zh-CN"/>
              </w:rPr>
              <w:t>镀铬</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A6AC5">
            <w:pPr>
              <w:pStyle w:val="26"/>
              <w:bidi w:val="0"/>
              <w:rPr>
                <w:rFonts w:hint="default"/>
              </w:rPr>
            </w:pPr>
            <w:r>
              <w:rPr>
                <w:rFonts w:hint="default"/>
                <w:lang w:val="en-US" w:eastAsia="zh-CN"/>
              </w:rPr>
              <w:t>G3-</w:t>
            </w:r>
            <w:r>
              <w:rPr>
                <w:rFonts w:hint="eastAsia"/>
                <w:lang w:val="en-US" w:eastAsia="zh-CN"/>
              </w:rPr>
              <w:t>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0D9D">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0BE9">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F20E">
            <w:pPr>
              <w:pStyle w:val="26"/>
              <w:bidi w:val="0"/>
              <w:rPr>
                <w:rFonts w:hint="default"/>
              </w:rPr>
            </w:pPr>
            <w:r>
              <w:rPr>
                <w:rFonts w:hint="default"/>
                <w:lang w:val="en-US" w:eastAsia="zh-CN"/>
              </w:rPr>
              <w:t>2.8</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A015E">
            <w:pPr>
              <w:pStyle w:val="26"/>
              <w:bidi w:val="0"/>
              <w:rPr>
                <w:rFonts w:hint="default"/>
              </w:rPr>
            </w:pPr>
            <w:r>
              <w:rPr>
                <w:rFonts w:hint="default"/>
                <w:lang w:val="en-US" w:eastAsia="zh-CN"/>
              </w:rPr>
              <w:t>58-60</w:t>
            </w:r>
            <w:r>
              <w:rPr>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EA14">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8978">
            <w:pPr>
              <w:pStyle w:val="26"/>
              <w:bidi w:val="0"/>
              <w:rPr>
                <w:rFonts w:hint="default"/>
              </w:rPr>
            </w:pPr>
            <w:r>
              <w:rPr>
                <w:rFonts w:hint="default"/>
                <w:lang w:val="en-US" w:eastAsia="zh-CN"/>
              </w:rPr>
              <w:t>25.2</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F2D6">
            <w:pPr>
              <w:pStyle w:val="26"/>
              <w:bidi w:val="0"/>
              <w:rPr>
                <w:rFonts w:hint="default"/>
              </w:rPr>
            </w:pPr>
            <w:r>
              <w:rPr>
                <w:rFonts w:hint="default"/>
                <w:lang w:val="en-US" w:eastAsia="zh-CN"/>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6D88">
            <w:pPr>
              <w:pStyle w:val="26"/>
              <w:bidi w:val="0"/>
              <w:rPr>
                <w:rFonts w:hint="default"/>
              </w:rPr>
            </w:pPr>
            <w:r>
              <w:rPr>
                <w:rFonts w:hint="default"/>
                <w:lang w:val="en-US" w:eastAsia="zh-CN"/>
              </w:rPr>
              <w:t>0.8×0.4=0.32</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BF7D0">
            <w:pPr>
              <w:pStyle w:val="26"/>
              <w:bidi w:val="0"/>
              <w:rPr>
                <w:rFonts w:hint="default"/>
              </w:rPr>
            </w:pPr>
            <w:r>
              <w:rPr>
                <w:rFonts w:hint="default"/>
                <w:lang w:val="en-US" w:eastAsia="zh-CN"/>
              </w:rPr>
              <w:t>0.96</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2E9E">
            <w:pPr>
              <w:pStyle w:val="26"/>
              <w:bidi w:val="0"/>
              <w:rPr>
                <w:rFonts w:hint="default"/>
              </w:rPr>
            </w:pPr>
            <w:r>
              <w:rPr>
                <w:rFonts w:hint="default"/>
                <w:lang w:val="en-US" w:eastAsia="zh-CN"/>
              </w:rPr>
              <w:t xml:space="preserve">0.0242 </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52782">
            <w:pPr>
              <w:pStyle w:val="26"/>
              <w:bidi w:val="0"/>
              <w:rPr>
                <w:rFonts w:hint="default"/>
              </w:rPr>
            </w:pPr>
            <w:r>
              <w:rPr>
                <w:rFonts w:hint="default"/>
                <w:lang w:val="en-US" w:eastAsia="zh-CN"/>
              </w:rPr>
              <w:t>7200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91B36">
            <w:pPr>
              <w:pStyle w:val="26"/>
              <w:bidi w:val="0"/>
              <w:rPr>
                <w:rFonts w:hint="default"/>
              </w:rPr>
            </w:pPr>
            <w:r>
              <w:rPr>
                <w:rFonts w:hint="default"/>
                <w:lang w:val="en-US" w:eastAsia="zh-CN"/>
              </w:rPr>
              <w:t xml:space="preserve">0.1742 </w:t>
            </w:r>
          </w:p>
        </w:tc>
      </w:tr>
      <w:tr w14:paraId="64F90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969BB">
            <w:pPr>
              <w:pStyle w:val="26"/>
              <w:bidi w:val="0"/>
              <w:rPr>
                <w:rFonts w:hint="eastAsia"/>
              </w:rPr>
            </w:pPr>
            <w:r>
              <w:rPr>
                <w:rFonts w:hint="eastAsia"/>
                <w:lang w:val="en-US" w:eastAsia="zh-CN"/>
              </w:rPr>
              <w:t>合计</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92C7">
            <w:pPr>
              <w:pStyle w:val="26"/>
              <w:bidi w:val="0"/>
              <w:rPr>
                <w:rFonts w:hint="default"/>
              </w:rPr>
            </w:pPr>
            <w:r>
              <w:rPr>
                <w:rFonts w:hint="default"/>
                <w:lang w:val="en-US" w:eastAsia="zh-CN"/>
              </w:rPr>
              <w: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74CA">
            <w:pPr>
              <w:pStyle w:val="26"/>
              <w:bidi w:val="0"/>
              <w:rPr>
                <w:rFonts w:hint="default"/>
              </w:rPr>
            </w:pPr>
            <w:r>
              <w:rPr>
                <w:rFonts w:hint="default"/>
                <w:lang w:val="en-US" w:eastAsia="zh-CN"/>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28E7F">
            <w:pPr>
              <w:pStyle w:val="26"/>
              <w:bidi w:val="0"/>
              <w:rPr>
                <w:rFonts w:hint="eastAsia"/>
              </w:rPr>
            </w:pPr>
            <w:r>
              <w:rPr>
                <w:rFonts w:hint="eastAsia"/>
                <w:lang w:val="en-US" w:eastAsia="zh-CN"/>
              </w:rPr>
              <w:t>氯化氢</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2240">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0B4A">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0CAC">
            <w:pPr>
              <w:pStyle w:val="26"/>
              <w:bidi w:val="0"/>
              <w:rPr>
                <w:rFonts w:hint="default"/>
              </w:rPr>
            </w:pPr>
            <w:r>
              <w:rPr>
                <w:rFonts w:hint="default"/>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52543">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5B53">
            <w:pPr>
              <w:pStyle w:val="26"/>
              <w:bidi w:val="0"/>
              <w:rPr>
                <w:rFonts w:hint="default"/>
              </w:rPr>
            </w:pPr>
            <w:r>
              <w:rPr>
                <w:rFonts w:hint="default"/>
                <w:lang w:val="en-US" w:eastAsia="zh-CN"/>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FA798">
            <w:pPr>
              <w:pStyle w:val="26"/>
              <w:bidi w:val="0"/>
              <w:rPr>
                <w:rFonts w:hint="default"/>
              </w:rPr>
            </w:pPr>
            <w:r>
              <w:rPr>
                <w:rFonts w:hint="default"/>
                <w:lang w:val="en-US" w:eastAsia="zh-CN"/>
              </w:rPr>
              <w:t>--</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1BD4">
            <w:pPr>
              <w:pStyle w:val="26"/>
              <w:bidi w:val="0"/>
              <w:rPr>
                <w:rFonts w:hint="default"/>
              </w:rPr>
            </w:pPr>
            <w:r>
              <w:rPr>
                <w:rFonts w:hint="default"/>
                <w:lang w:val="en-US" w:eastAsia="zh-CN"/>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D656">
            <w:pPr>
              <w:pStyle w:val="26"/>
              <w:bidi w:val="0"/>
              <w:rPr>
                <w:rFonts w:hint="default"/>
              </w:rPr>
            </w:pPr>
            <w:r>
              <w:rPr>
                <w:rFonts w:hint="default"/>
                <w:lang w:val="en-US" w:eastAsia="zh-CN"/>
              </w:rPr>
              <w:t>--</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8F14">
            <w:pPr>
              <w:pStyle w:val="26"/>
              <w:bidi w:val="0"/>
              <w:rPr>
                <w:rFonts w:hint="default"/>
              </w:rPr>
            </w:pPr>
            <w:r>
              <w:rPr>
                <w:rFonts w:hint="default"/>
                <w:lang w:val="en-US" w:eastAsia="zh-CN"/>
              </w:rPr>
              <w:t>--</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1AFCF">
            <w:pPr>
              <w:pStyle w:val="26"/>
              <w:bidi w:val="0"/>
              <w:rPr>
                <w:rFonts w:hint="default"/>
              </w:rPr>
            </w:pPr>
            <w:r>
              <w:rPr>
                <w:rFonts w:hint="default"/>
                <w:lang w:val="en-US" w:eastAsia="zh-CN"/>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25271">
            <w:pPr>
              <w:pStyle w:val="26"/>
              <w:bidi w:val="0"/>
              <w:rPr>
                <w:rFonts w:hint="default"/>
              </w:rPr>
            </w:pPr>
            <w:r>
              <w:rPr>
                <w:rFonts w:hint="default"/>
                <w:lang w:val="en-US" w:eastAsia="zh-CN"/>
              </w:rPr>
              <w:t xml:space="preserve">8.6186 </w:t>
            </w:r>
          </w:p>
        </w:tc>
      </w:tr>
      <w:tr w14:paraId="167E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1724C">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A906A">
            <w:pPr>
              <w:pStyle w:val="26"/>
              <w:bidi w:val="0"/>
              <w:rPr>
                <w:rFonts w:hint="default"/>
              </w:rPr>
            </w:pPr>
            <w:r>
              <w:rPr>
                <w:rFonts w:hint="default"/>
                <w:lang w:val="en-US" w:eastAsia="zh-CN"/>
              </w:rPr>
              <w: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2312">
            <w:pPr>
              <w:pStyle w:val="26"/>
              <w:bidi w:val="0"/>
              <w:rPr>
                <w:rFonts w:hint="default"/>
              </w:rPr>
            </w:pPr>
            <w:r>
              <w:rPr>
                <w:rFonts w:hint="default"/>
                <w:lang w:val="en-US" w:eastAsia="zh-CN"/>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3471">
            <w:pPr>
              <w:pStyle w:val="26"/>
              <w:bidi w:val="0"/>
              <w:rPr>
                <w:rFonts w:hint="eastAsia"/>
              </w:rPr>
            </w:pPr>
            <w:r>
              <w:rPr>
                <w:rFonts w:hint="eastAsia"/>
                <w:lang w:val="en-US" w:eastAsia="zh-CN"/>
              </w:rPr>
              <w:t>硫酸雾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E65E3">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166A">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B267">
            <w:pPr>
              <w:pStyle w:val="26"/>
              <w:bidi w:val="0"/>
              <w:rPr>
                <w:rFonts w:hint="default"/>
              </w:rPr>
            </w:pPr>
            <w:r>
              <w:rPr>
                <w:rFonts w:hint="default"/>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CC2E">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FF9A">
            <w:pPr>
              <w:pStyle w:val="26"/>
              <w:bidi w:val="0"/>
              <w:rPr>
                <w:rFonts w:hint="default"/>
              </w:rPr>
            </w:pPr>
            <w:r>
              <w:rPr>
                <w:rFonts w:hint="default"/>
                <w:lang w:val="en-US" w:eastAsia="zh-CN"/>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FCEDB">
            <w:pPr>
              <w:pStyle w:val="26"/>
              <w:bidi w:val="0"/>
              <w:rPr>
                <w:rFonts w:hint="default"/>
              </w:rPr>
            </w:pPr>
            <w:r>
              <w:rPr>
                <w:rFonts w:hint="default"/>
                <w:lang w:val="en-US" w:eastAsia="zh-CN"/>
              </w:rPr>
              <w:t>--</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2BF2">
            <w:pPr>
              <w:pStyle w:val="26"/>
              <w:bidi w:val="0"/>
              <w:rPr>
                <w:rFonts w:hint="default"/>
              </w:rPr>
            </w:pPr>
            <w:r>
              <w:rPr>
                <w:rFonts w:hint="default"/>
                <w:lang w:val="en-US" w:eastAsia="zh-CN"/>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524D">
            <w:pPr>
              <w:pStyle w:val="26"/>
              <w:bidi w:val="0"/>
              <w:rPr>
                <w:rFonts w:hint="default"/>
              </w:rPr>
            </w:pPr>
            <w:r>
              <w:rPr>
                <w:rFonts w:hint="default"/>
                <w:lang w:val="en-US" w:eastAsia="zh-CN"/>
              </w:rPr>
              <w:t>--</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54FE">
            <w:pPr>
              <w:pStyle w:val="26"/>
              <w:bidi w:val="0"/>
              <w:rPr>
                <w:rFonts w:hint="default"/>
              </w:rPr>
            </w:pPr>
            <w:r>
              <w:rPr>
                <w:rFonts w:hint="default"/>
                <w:lang w:val="en-US" w:eastAsia="zh-CN"/>
              </w:rPr>
              <w:t>--</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5BF6">
            <w:pPr>
              <w:pStyle w:val="26"/>
              <w:bidi w:val="0"/>
              <w:rPr>
                <w:rFonts w:hint="default"/>
              </w:rPr>
            </w:pPr>
            <w:r>
              <w:rPr>
                <w:rFonts w:hint="default"/>
                <w:lang w:val="en-US" w:eastAsia="zh-CN"/>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8699">
            <w:pPr>
              <w:pStyle w:val="26"/>
              <w:bidi w:val="0"/>
              <w:rPr>
                <w:rFonts w:hint="default"/>
              </w:rPr>
            </w:pPr>
            <w:r>
              <w:rPr>
                <w:rFonts w:hint="default"/>
                <w:lang w:val="en-US" w:eastAsia="zh-CN"/>
              </w:rPr>
              <w:t xml:space="preserve">2.4731 </w:t>
            </w:r>
          </w:p>
        </w:tc>
      </w:tr>
      <w:tr w14:paraId="10D2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9190">
            <w:pPr>
              <w:pStyle w:val="26"/>
              <w:bidi w:val="0"/>
              <w:rPr>
                <w:rFonts w:hint="eastAsia"/>
              </w:rPr>
            </w:pP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7B83">
            <w:pPr>
              <w:pStyle w:val="26"/>
              <w:bidi w:val="0"/>
              <w:rPr>
                <w:rFonts w:hint="default"/>
              </w:rPr>
            </w:pPr>
            <w:r>
              <w:rPr>
                <w:rFonts w:hint="default"/>
                <w:lang w:val="en-US" w:eastAsia="zh-CN"/>
              </w:rPr>
              <w:t>--</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C4D7C">
            <w:pPr>
              <w:pStyle w:val="26"/>
              <w:bidi w:val="0"/>
              <w:rPr>
                <w:rFonts w:hint="default"/>
              </w:rPr>
            </w:pPr>
            <w:r>
              <w:rPr>
                <w:rFonts w:hint="default"/>
                <w:lang w:val="en-US" w:eastAsia="zh-CN"/>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065A2">
            <w:pPr>
              <w:pStyle w:val="26"/>
              <w:bidi w:val="0"/>
              <w:rPr>
                <w:rFonts w:hint="eastAsia"/>
              </w:rPr>
            </w:pPr>
            <w:r>
              <w:rPr>
                <w:rFonts w:hint="eastAsia"/>
                <w:lang w:val="en-US" w:eastAsia="zh-CN"/>
              </w:rPr>
              <w:t>铬酸雾</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7B9D">
            <w:pPr>
              <w:pStyle w:val="26"/>
              <w:bidi w:val="0"/>
              <w:rPr>
                <w:rFonts w:hint="default"/>
              </w:rPr>
            </w:pPr>
            <w:r>
              <w:rPr>
                <w:rFonts w:hint="default"/>
                <w:lang w:val="en-US" w:eastAsia="zh-CN"/>
              </w:rPr>
              <w:t>--</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E336">
            <w:pPr>
              <w:pStyle w:val="26"/>
              <w:bidi w:val="0"/>
              <w:rPr>
                <w:rFonts w:hint="default"/>
              </w:rPr>
            </w:pPr>
            <w:r>
              <w:rPr>
                <w:rFonts w:hint="default"/>
                <w:lang w:val="en-US" w:eastAsia="zh-CN"/>
              </w:rPr>
              <w:t>--</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6CD9">
            <w:pPr>
              <w:pStyle w:val="26"/>
              <w:bidi w:val="0"/>
              <w:rPr>
                <w:rFonts w:hint="default"/>
              </w:rPr>
            </w:pPr>
            <w:r>
              <w:rPr>
                <w:rFonts w:hint="default"/>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A7A81">
            <w:pPr>
              <w:pStyle w:val="26"/>
              <w:bidi w:val="0"/>
              <w:rPr>
                <w:rFonts w:hint="default"/>
              </w:rPr>
            </w:pPr>
            <w:r>
              <w:rPr>
                <w:rFonts w:hint="default"/>
                <w:lang w:val="en-US" w:eastAsia="zh-CN"/>
              </w:rPr>
              <w:t>--</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2F479">
            <w:pPr>
              <w:pStyle w:val="26"/>
              <w:bidi w:val="0"/>
              <w:rPr>
                <w:rFonts w:hint="default"/>
              </w:rPr>
            </w:pPr>
            <w:r>
              <w:rPr>
                <w:rFonts w:hint="default"/>
                <w:lang w:val="en-US" w:eastAsia="zh-CN"/>
              </w:rPr>
              <w:t>--</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C419">
            <w:pPr>
              <w:pStyle w:val="26"/>
              <w:bidi w:val="0"/>
              <w:rPr>
                <w:rFonts w:hint="default"/>
              </w:rPr>
            </w:pPr>
            <w:r>
              <w:rPr>
                <w:rFonts w:hint="default"/>
                <w:lang w:val="en-US" w:eastAsia="zh-CN"/>
              </w:rPr>
              <w:t>--</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956E">
            <w:pPr>
              <w:pStyle w:val="26"/>
              <w:bidi w:val="0"/>
              <w:rPr>
                <w:rFonts w:hint="default"/>
              </w:rPr>
            </w:pPr>
            <w:r>
              <w:rPr>
                <w:rFonts w:hint="default"/>
                <w:lang w:val="en-US" w:eastAsia="zh-CN"/>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95AF">
            <w:pPr>
              <w:pStyle w:val="26"/>
              <w:bidi w:val="0"/>
              <w:rPr>
                <w:rFonts w:hint="default"/>
              </w:rPr>
            </w:pPr>
            <w:r>
              <w:rPr>
                <w:rFonts w:hint="default"/>
                <w:lang w:val="en-US" w:eastAsia="zh-CN"/>
              </w:rPr>
              <w:t>--</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35FD">
            <w:pPr>
              <w:pStyle w:val="26"/>
              <w:bidi w:val="0"/>
              <w:rPr>
                <w:rFonts w:hint="default"/>
              </w:rPr>
            </w:pPr>
            <w:r>
              <w:rPr>
                <w:rFonts w:hint="default"/>
                <w:lang w:val="en-US" w:eastAsia="zh-CN"/>
              </w:rPr>
              <w:t>--</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7B04C">
            <w:pPr>
              <w:pStyle w:val="26"/>
              <w:bidi w:val="0"/>
              <w:rPr>
                <w:rFonts w:hint="default"/>
              </w:rPr>
            </w:pPr>
            <w:r>
              <w:rPr>
                <w:rFonts w:hint="default"/>
                <w:lang w:val="en-US" w:eastAsia="zh-CN"/>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E5C7">
            <w:pPr>
              <w:pStyle w:val="26"/>
              <w:bidi w:val="0"/>
              <w:rPr>
                <w:rFonts w:hint="default"/>
              </w:rPr>
            </w:pPr>
            <w:r>
              <w:rPr>
                <w:rFonts w:hint="default"/>
                <w:lang w:val="en-US" w:eastAsia="zh-CN"/>
              </w:rPr>
              <w:t xml:space="preserve">0.0197 </w:t>
            </w:r>
          </w:p>
        </w:tc>
      </w:tr>
    </w:tbl>
    <w:p w14:paraId="271F29C9">
      <w:pPr>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ADED639">
      <w:pPr>
        <w:rPr>
          <w:rFonts w:hint="default"/>
          <w:b/>
          <w:bCs/>
          <w:color w:val="auto"/>
          <w:lang w:val="en-US" w:eastAsia="zh-CN"/>
        </w:rPr>
      </w:pPr>
      <w:r>
        <w:rPr>
          <w:rFonts w:hint="eastAsia"/>
          <w:b/>
          <w:bCs/>
          <w:color w:val="auto"/>
          <w:lang w:val="en-US" w:eastAsia="zh-CN"/>
        </w:rPr>
        <w:t>2、机加工有机废气（G1-3、G2-6）</w:t>
      </w:r>
    </w:p>
    <w:p w14:paraId="0EA5509A">
      <w:pPr>
        <w:rPr>
          <w:rFonts w:hint="eastAsia"/>
          <w:color w:val="auto"/>
          <w:lang w:val="en-US" w:eastAsia="zh-CN"/>
        </w:rPr>
      </w:pPr>
      <w:r>
        <w:rPr>
          <w:rFonts w:hint="eastAsia"/>
          <w:color w:val="auto"/>
          <w:lang w:val="en-US" w:eastAsia="zh-CN"/>
        </w:rPr>
        <w:t>本项目机加工有机废气主要为切削液、乳化液使用过程产生的油雾，加工过程中油雾的形成主要可以归因于两种机理，雾化和蒸发：雾化是机械能转化为液滴表面能的过程，主要是由于液体对机床系统内的固定及旋转单元的激烈冲击，被其打碎，形成细小液滴漂浮空气中；蒸发的发生是由于切削区产生大量的热，</w:t>
      </w:r>
    </w:p>
    <w:p w14:paraId="6CC51EF7">
      <w:pPr>
        <w:rPr>
          <w:rFonts w:hint="eastAsia"/>
          <w:color w:val="auto"/>
          <w:lang w:val="en-US" w:eastAsia="zh-CN"/>
        </w:rPr>
      </w:pPr>
      <w:r>
        <w:rPr>
          <w:rFonts w:hint="eastAsia"/>
          <w:color w:val="auto"/>
          <w:lang w:val="en-US" w:eastAsia="zh-CN"/>
        </w:rPr>
        <w:t>这些热量传入乳化液使它的温度明显高于饱和温度，在固液接触面上就发生沸腾并产生蒸汽。这些蒸汽随后以周围空气中的小液滴或其他粒子为核心凝结，形成油雾（以非甲烷总烃计）。油雾引风收集后，收集效率约90％，经油雾净化装置处理（根据建设单位提供的油雾净化装置说明，净化原理是：当控制器接通电源时，吸雾口产生强的负压迫使油雾被定向吸入吸雾器内。油雾微粒在油雾净化器内风轮的作用下发生碰撞，微小的颗粒集合成能被控制的较大颗粒，在吸雾材料的阻挡下被拦截下来，通过回流口收集后回收再利用。可长年使用，无耗材。净化效率为90%～99%（本次环评按 90%计）），净化后车间内无组织排放。</w:t>
      </w:r>
    </w:p>
    <w:p w14:paraId="21A01F33">
      <w:pPr>
        <w:rPr>
          <w:rFonts w:hint="eastAsia"/>
          <w:color w:val="auto"/>
          <w:lang w:val="en-US" w:eastAsia="zh-CN"/>
        </w:rPr>
      </w:pPr>
      <w:r>
        <w:rPr>
          <w:rFonts w:hint="eastAsia"/>
          <w:color w:val="auto"/>
          <w:lang w:val="en-US" w:eastAsia="zh-CN"/>
        </w:rPr>
        <w:t>本项目切削液、乳化液用量为16.9t。根据《排放源统计调查产排污核算方法和系数手册》机械行业“湿法机加工” ，产排污系数</w:t>
      </w:r>
      <w:r>
        <w:rPr>
          <w:rFonts w:hint="eastAsia"/>
          <w:lang w:val="en-US" w:eastAsia="zh-CN"/>
        </w:rPr>
        <w:t>5.64kg/t 原料</w:t>
      </w:r>
      <w:r>
        <w:rPr>
          <w:rFonts w:hint="eastAsia"/>
          <w:color w:val="auto"/>
          <w:lang w:val="en-US" w:eastAsia="zh-CN"/>
        </w:rPr>
        <w:t>，则机加工段非甲烷总烃总产生量为0.0953t/a，收集后经油雾分离器处理后，收集效率按90％，处理效率90％，故非甲烷总烃无组织排放量为0.0181t/a。</w:t>
      </w:r>
    </w:p>
    <w:p w14:paraId="2CFA3C1D">
      <w:pPr>
        <w:rPr>
          <w:rFonts w:hint="default" w:ascii="Times New Roman" w:hAnsi="Times New Roman"/>
          <w:b/>
          <w:bCs/>
          <w:color w:val="auto"/>
          <w:lang w:val="en-US" w:eastAsia="zh-CN"/>
        </w:rPr>
      </w:pPr>
      <w:r>
        <w:rPr>
          <w:rFonts w:hint="eastAsia" w:ascii="Times New Roman" w:hAnsi="Times New Roman"/>
          <w:b/>
          <w:bCs/>
          <w:color w:val="auto"/>
          <w:lang w:val="en-US" w:eastAsia="zh-CN"/>
        </w:rPr>
        <w:t>3、机加工颗粒物（G1-1、G1-2、G1-4、G2-5）</w:t>
      </w:r>
    </w:p>
    <w:p w14:paraId="41C49351">
      <w:pPr>
        <w:bidi w:val="0"/>
        <w:rPr>
          <w:rFonts w:hint="eastAsia" w:eastAsia="仿宋_GB2312"/>
          <w:lang w:eastAsia="zh-CN"/>
        </w:rPr>
      </w:pPr>
      <w:r>
        <w:rPr>
          <w:rFonts w:hint="eastAsia"/>
          <w:lang w:eastAsia="zh-CN"/>
        </w:rPr>
        <w:t>（</w:t>
      </w:r>
      <w:r>
        <w:rPr>
          <w:rFonts w:hint="eastAsia"/>
          <w:lang w:val="en-US" w:eastAsia="zh-CN"/>
        </w:rPr>
        <w:t>1</w:t>
      </w:r>
      <w:r>
        <w:rPr>
          <w:rFonts w:hint="eastAsia"/>
          <w:lang w:eastAsia="zh-CN"/>
        </w:rPr>
        <w:t>）</w:t>
      </w:r>
      <w:r>
        <w:rPr>
          <w:rFonts w:hint="eastAsia"/>
        </w:rPr>
        <w:t>焊接废气</w:t>
      </w:r>
      <w:r>
        <w:rPr>
          <w:rFonts w:hint="eastAsia"/>
          <w:lang w:eastAsia="zh-CN"/>
        </w:rPr>
        <w:t>（</w:t>
      </w:r>
      <w:r>
        <w:rPr>
          <w:rFonts w:hint="eastAsia"/>
          <w:lang w:val="en-US" w:eastAsia="zh-CN"/>
        </w:rPr>
        <w:t>G1-1</w:t>
      </w:r>
      <w:r>
        <w:rPr>
          <w:rFonts w:hint="eastAsia"/>
          <w:lang w:eastAsia="zh-CN"/>
        </w:rPr>
        <w:t>）</w:t>
      </w:r>
    </w:p>
    <w:p w14:paraId="7544B387">
      <w:pPr>
        <w:bidi w:val="0"/>
        <w:rPr>
          <w:rFonts w:hint="eastAsia"/>
        </w:rPr>
      </w:pPr>
      <w:r>
        <w:rPr>
          <w:rFonts w:hint="eastAsia"/>
        </w:rPr>
        <w:t>焊接废气主要来自焊接工段，主要污染因子为颗粒物。</w:t>
      </w:r>
    </w:p>
    <w:p w14:paraId="1049109B">
      <w:pPr>
        <w:bidi w:val="0"/>
        <w:rPr>
          <w:rFonts w:hint="eastAsia"/>
        </w:rPr>
      </w:pPr>
      <w:r>
        <w:rPr>
          <w:rFonts w:hint="eastAsia"/>
        </w:rPr>
        <w:t>废气来源为焊丝在高温下形成的烟气，本项目使用实心焊丝，因此点焊废气主要成分颗粒物。本项目实心焊丝用量为</w:t>
      </w:r>
      <w:r>
        <w:rPr>
          <w:rFonts w:hint="eastAsia"/>
          <w:lang w:val="en-US" w:eastAsia="zh-CN"/>
        </w:rPr>
        <w:t>45</w:t>
      </w:r>
      <w:r>
        <w:rPr>
          <w:rFonts w:hint="eastAsia"/>
        </w:rPr>
        <w:t>t/a。</w:t>
      </w:r>
    </w:p>
    <w:p w14:paraId="6A2768EA">
      <w:pPr>
        <w:bidi w:val="0"/>
        <w:rPr>
          <w:rFonts w:hint="eastAsia"/>
        </w:rPr>
      </w:pPr>
      <w:r>
        <w:rPr>
          <w:rFonts w:hint="eastAsia"/>
        </w:rPr>
        <w:t>颗粒物产生量核算：参考《排放源统计调查产排污核算方法和系数手册》“机械行业系数手册 ”，焊接原料为实心焊丝，“焊接”对应的颗粒物产生系数为9.19kg/t，经计算颗粒物产生量为0.</w:t>
      </w:r>
      <w:r>
        <w:rPr>
          <w:rFonts w:hint="eastAsia"/>
          <w:lang w:val="en-US" w:eastAsia="zh-CN"/>
        </w:rPr>
        <w:t>4136</w:t>
      </w:r>
      <w:r>
        <w:rPr>
          <w:rFonts w:hint="eastAsia"/>
        </w:rPr>
        <w:t>t/a。</w:t>
      </w:r>
    </w:p>
    <w:p w14:paraId="29CD5414">
      <w:pPr>
        <w:bidi w:val="0"/>
        <w:rPr>
          <w:rFonts w:hint="eastAsia"/>
        </w:rPr>
      </w:pPr>
      <w:r>
        <w:rPr>
          <w:rFonts w:hint="eastAsia"/>
        </w:rPr>
        <w:t>焊接产生的颗粒物使用移动式焊烟净化设备处理，喷砂设备为管道密闭收集，收集效率按90％计，移动式焊烟净化设备处理效率按9</w:t>
      </w:r>
      <w:r>
        <w:rPr>
          <w:rFonts w:hint="eastAsia"/>
          <w:lang w:val="en-US" w:eastAsia="zh-CN"/>
        </w:rPr>
        <w:t>5</w:t>
      </w:r>
      <w:r>
        <w:rPr>
          <w:rFonts w:hint="eastAsia"/>
        </w:rPr>
        <w:t>％计。则本项目颗粒物无组织排放量为</w:t>
      </w:r>
      <w:r>
        <w:rPr>
          <w:rFonts w:hint="eastAsia"/>
          <w:lang w:val="en-US" w:eastAsia="zh-CN"/>
        </w:rPr>
        <w:t>0.056</w:t>
      </w:r>
      <w:r>
        <w:rPr>
          <w:rFonts w:hint="eastAsia"/>
        </w:rPr>
        <w:t>t/a。</w:t>
      </w:r>
    </w:p>
    <w:p w14:paraId="7E19F045">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机加工</w:t>
      </w:r>
      <w:r>
        <w:rPr>
          <w:rFonts w:hint="eastAsia"/>
          <w:color w:val="auto"/>
        </w:rPr>
        <w:t>废气（</w:t>
      </w:r>
      <w:r>
        <w:rPr>
          <w:rFonts w:hint="eastAsia"/>
          <w:color w:val="auto"/>
          <w:lang w:val="en-US" w:eastAsia="zh-CN"/>
        </w:rPr>
        <w:t>G1-2、G1-4、</w:t>
      </w:r>
      <w:r>
        <w:rPr>
          <w:rFonts w:hint="eastAsia"/>
          <w:color w:val="auto"/>
        </w:rPr>
        <w:t>G</w:t>
      </w:r>
      <w:r>
        <w:rPr>
          <w:rFonts w:hint="eastAsia"/>
          <w:color w:val="auto"/>
          <w:lang w:val="en-US" w:eastAsia="zh-CN"/>
        </w:rPr>
        <w:t>2-5</w:t>
      </w:r>
      <w:r>
        <w:rPr>
          <w:rFonts w:hint="eastAsia"/>
          <w:color w:val="auto"/>
        </w:rPr>
        <w:t>）</w:t>
      </w:r>
    </w:p>
    <w:p w14:paraId="6230CEE6">
      <w:pPr>
        <w:bidi w:val="0"/>
        <w:rPr>
          <w:rFonts w:hint="eastAsia"/>
          <w:color w:val="auto"/>
        </w:rPr>
      </w:pPr>
      <w:r>
        <w:rPr>
          <w:rFonts w:hint="eastAsia"/>
          <w:color w:val="auto"/>
        </w:rPr>
        <w:t>本项目</w:t>
      </w:r>
      <w:r>
        <w:rPr>
          <w:rFonts w:hint="eastAsia"/>
          <w:color w:val="auto"/>
          <w:lang w:val="en-US" w:eastAsia="zh-CN"/>
        </w:rPr>
        <w:t>下料切割、打号等机加工过程产生</w:t>
      </w:r>
      <w:r>
        <w:rPr>
          <w:rFonts w:hint="eastAsia"/>
          <w:color w:val="auto"/>
        </w:rPr>
        <w:t>颗粒物</w:t>
      </w:r>
      <w:r>
        <w:rPr>
          <w:rFonts w:hint="eastAsia"/>
          <w:color w:val="auto"/>
          <w:lang w:eastAsia="zh-CN"/>
        </w:rPr>
        <w:t>，</w:t>
      </w:r>
      <w:r>
        <w:rPr>
          <w:rFonts w:hint="eastAsia"/>
          <w:color w:val="auto"/>
        </w:rPr>
        <w:t>参考《排放源统计调查产排污核算方法和系数手册》“机械行业系数手册”，“</w:t>
      </w:r>
      <w:r>
        <w:rPr>
          <w:rFonts w:hint="eastAsia"/>
          <w:color w:val="auto"/>
          <w:lang w:val="en-US" w:eastAsia="zh-CN"/>
        </w:rPr>
        <w:t>干式预处理</w:t>
      </w:r>
      <w:r>
        <w:rPr>
          <w:rFonts w:hint="eastAsia"/>
          <w:color w:val="auto"/>
        </w:rPr>
        <w:t>”对应的颗粒物产生系数为2.19kg/t，本项目</w:t>
      </w:r>
      <w:r>
        <w:rPr>
          <w:rFonts w:hint="eastAsia"/>
          <w:color w:val="auto"/>
          <w:lang w:val="en-US" w:eastAsia="zh-CN"/>
        </w:rPr>
        <w:t>机加工处理钢材</w:t>
      </w:r>
      <w:r>
        <w:rPr>
          <w:rFonts w:hint="eastAsia"/>
          <w:color w:val="auto"/>
        </w:rPr>
        <w:t>量约为</w:t>
      </w:r>
      <w:r>
        <w:rPr>
          <w:rFonts w:hint="eastAsia"/>
          <w:color w:val="auto"/>
          <w:lang w:val="en-US" w:eastAsia="zh-CN"/>
        </w:rPr>
        <w:t>30</w:t>
      </w:r>
      <w:r>
        <w:rPr>
          <w:rFonts w:hint="eastAsia"/>
          <w:color w:val="auto"/>
        </w:rPr>
        <w:t>00t/a，经计算颗粒物产生量为</w:t>
      </w:r>
      <w:r>
        <w:rPr>
          <w:rFonts w:hint="eastAsia"/>
          <w:color w:val="auto"/>
          <w:lang w:val="en-US" w:eastAsia="zh-CN"/>
        </w:rPr>
        <w:t>6.57</w:t>
      </w:r>
      <w:r>
        <w:rPr>
          <w:rFonts w:hint="eastAsia"/>
          <w:color w:val="auto"/>
        </w:rPr>
        <w:t>t/a。</w:t>
      </w:r>
    </w:p>
    <w:p w14:paraId="0F14C34D">
      <w:pPr>
        <w:bidi w:val="0"/>
        <w:rPr>
          <w:rFonts w:hint="eastAsia"/>
          <w:color w:val="auto"/>
        </w:rPr>
      </w:pPr>
      <w:r>
        <w:rPr>
          <w:rFonts w:hint="eastAsia"/>
          <w:color w:val="auto"/>
        </w:rPr>
        <w:t>经集气罩收集后，经袋式除尘收集处理，收集效率按90％，处理效率按95％，则有组织</w:t>
      </w:r>
      <w:r>
        <w:rPr>
          <w:rFonts w:hint="eastAsia"/>
          <w:color w:val="auto"/>
          <w:lang w:val="en-US" w:eastAsia="zh-CN"/>
        </w:rPr>
        <w:t>排放</w:t>
      </w:r>
      <w:r>
        <w:rPr>
          <w:rFonts w:hint="eastAsia"/>
          <w:color w:val="auto"/>
        </w:rPr>
        <w:t>量为0.2</w:t>
      </w:r>
      <w:r>
        <w:rPr>
          <w:rFonts w:hint="eastAsia"/>
          <w:color w:val="auto"/>
          <w:lang w:val="en-US" w:eastAsia="zh-CN"/>
        </w:rPr>
        <w:t>957</w:t>
      </w:r>
      <w:r>
        <w:rPr>
          <w:rFonts w:hint="eastAsia"/>
          <w:color w:val="auto"/>
        </w:rPr>
        <w:t>t/a，未被收集的颗粒物排放量为0.</w:t>
      </w:r>
      <w:r>
        <w:rPr>
          <w:rFonts w:hint="eastAsia"/>
          <w:color w:val="auto"/>
          <w:lang w:val="en-US" w:eastAsia="zh-CN"/>
        </w:rPr>
        <w:t>657</w:t>
      </w:r>
      <w:r>
        <w:rPr>
          <w:rFonts w:hint="eastAsia"/>
          <w:color w:val="auto"/>
        </w:rPr>
        <w:t>t/a。</w:t>
      </w:r>
    </w:p>
    <w:p w14:paraId="37492F81">
      <w:pPr>
        <w:bidi w:val="0"/>
        <w:rPr>
          <w:rFonts w:hint="eastAsia" w:ascii="Times New Roman" w:hAnsi="Times New Roman"/>
          <w:b/>
          <w:bCs/>
        </w:rPr>
      </w:pPr>
      <w:r>
        <w:rPr>
          <w:rFonts w:hint="eastAsia" w:ascii="Times New Roman" w:hAnsi="Times New Roman"/>
          <w:b/>
          <w:bCs/>
          <w:lang w:val="en-US" w:eastAsia="zh-CN"/>
        </w:rPr>
        <w:t>4</w:t>
      </w:r>
      <w:r>
        <w:rPr>
          <w:rFonts w:hint="eastAsia" w:ascii="Times New Roman" w:hAnsi="Times New Roman"/>
          <w:b/>
          <w:bCs/>
        </w:rPr>
        <w:t>、</w:t>
      </w:r>
      <w:r>
        <w:rPr>
          <w:rFonts w:hint="eastAsia" w:ascii="Times New Roman" w:hAnsi="Times New Roman"/>
          <w:b/>
          <w:bCs/>
          <w:lang w:val="en-US" w:eastAsia="zh-CN"/>
        </w:rPr>
        <w:t>凹印版</w:t>
      </w:r>
      <w:r>
        <w:rPr>
          <w:rFonts w:hint="eastAsia" w:ascii="Times New Roman" w:hAnsi="Times New Roman"/>
          <w:b/>
          <w:bCs/>
        </w:rPr>
        <w:t>打样、擦拭废气（G</w:t>
      </w:r>
      <w:r>
        <w:rPr>
          <w:rFonts w:hint="eastAsia" w:ascii="Times New Roman" w:hAnsi="Times New Roman"/>
          <w:b/>
          <w:bCs/>
          <w:lang w:val="en-US" w:eastAsia="zh-CN"/>
        </w:rPr>
        <w:t>1-8</w:t>
      </w:r>
      <w:r>
        <w:rPr>
          <w:rFonts w:hint="eastAsia" w:ascii="Times New Roman" w:hAnsi="Times New Roman"/>
          <w:b/>
          <w:bCs/>
        </w:rPr>
        <w:t>）</w:t>
      </w:r>
    </w:p>
    <w:p w14:paraId="47B4AE81">
      <w:pPr>
        <w:bidi w:val="0"/>
        <w:rPr>
          <w:rFonts w:hint="eastAsia" w:ascii="Times New Roman" w:hAnsi="Times New Roman"/>
        </w:rPr>
      </w:pPr>
      <w:r>
        <w:rPr>
          <w:rFonts w:hint="eastAsia" w:ascii="Times New Roman" w:hAnsi="Times New Roman"/>
        </w:rPr>
        <w:t>本次使用水性油墨进行打样，根据建设单位提供的 MSDS  报告及挥发性成分检测报告，其挥发成分占1.4％，水性油墨用量为8</w:t>
      </w:r>
      <w:r>
        <w:rPr>
          <w:rFonts w:hint="eastAsia" w:ascii="Times New Roman" w:hAnsi="Times New Roman"/>
          <w:lang w:val="en-US" w:eastAsia="zh-CN"/>
        </w:rPr>
        <w:t>.</w:t>
      </w:r>
      <w:r>
        <w:rPr>
          <w:rFonts w:hint="eastAsia" w:ascii="Times New Roman" w:hAnsi="Times New Roman"/>
        </w:rPr>
        <w:t>5t/a，则非甲烷总烃产生量为0.119t/a。打样后的版辊残留的水性油墨使用乙酸乙酯</w:t>
      </w:r>
      <w:r>
        <w:rPr>
          <w:rFonts w:hint="eastAsia" w:ascii="Times New Roman" w:hAnsi="Times New Roman"/>
          <w:lang w:eastAsia="zh-CN"/>
        </w:rPr>
        <w:t>、</w:t>
      </w:r>
      <w:r>
        <w:rPr>
          <w:rFonts w:hint="eastAsia" w:ascii="Times New Roman" w:hAnsi="Times New Roman"/>
          <w:lang w:val="en-US" w:eastAsia="zh-CN"/>
        </w:rPr>
        <w:t>乙醇</w:t>
      </w:r>
      <w:r>
        <w:rPr>
          <w:rFonts w:hint="eastAsia" w:ascii="Times New Roman" w:hAnsi="Times New Roman"/>
        </w:rPr>
        <w:t>进行擦拭，乙酸乙酯用量</w:t>
      </w:r>
      <w:r>
        <w:rPr>
          <w:rFonts w:hint="eastAsia" w:ascii="Times New Roman" w:hAnsi="Times New Roman"/>
          <w:lang w:val="en-US" w:eastAsia="zh-CN"/>
        </w:rPr>
        <w:t>9</w:t>
      </w:r>
      <w:r>
        <w:rPr>
          <w:rFonts w:hint="eastAsia" w:ascii="Times New Roman" w:hAnsi="Times New Roman"/>
        </w:rPr>
        <w:t>t，</w:t>
      </w:r>
      <w:r>
        <w:rPr>
          <w:rFonts w:hint="eastAsia" w:ascii="Times New Roman" w:hAnsi="Times New Roman"/>
          <w:lang w:val="en-US" w:eastAsia="zh-CN"/>
        </w:rPr>
        <w:t>乙醇1t，按99%挥发量计算</w:t>
      </w:r>
      <w:r>
        <w:rPr>
          <w:rFonts w:hint="eastAsia" w:ascii="Times New Roman" w:hAnsi="Times New Roman"/>
        </w:rPr>
        <w:t>，则非甲烷总烃产生量为9</w:t>
      </w:r>
      <w:r>
        <w:rPr>
          <w:rFonts w:hint="eastAsia" w:ascii="Times New Roman" w:hAnsi="Times New Roman"/>
          <w:lang w:val="en-US" w:eastAsia="zh-CN"/>
        </w:rPr>
        <w:t>.</w:t>
      </w:r>
      <w:r>
        <w:rPr>
          <w:rFonts w:hint="eastAsia" w:ascii="Times New Roman" w:hAnsi="Times New Roman"/>
        </w:rPr>
        <w:t>9t/a。则打样擦拭有机废气总产生量为10</w:t>
      </w:r>
      <w:r>
        <w:rPr>
          <w:rFonts w:hint="eastAsia" w:ascii="Times New Roman" w:hAnsi="Times New Roman"/>
          <w:lang w:val="en-US" w:eastAsia="zh-CN"/>
        </w:rPr>
        <w:t>.</w:t>
      </w:r>
      <w:r>
        <w:rPr>
          <w:rFonts w:hint="eastAsia" w:ascii="Times New Roman" w:hAnsi="Times New Roman"/>
        </w:rPr>
        <w:t>019t/a。</w:t>
      </w:r>
    </w:p>
    <w:p w14:paraId="62F39DF4">
      <w:pPr>
        <w:bidi w:val="0"/>
        <w:rPr>
          <w:rFonts w:hint="eastAsia" w:ascii="Times New Roman" w:hAnsi="Times New Roman"/>
        </w:rPr>
      </w:pPr>
      <w:r>
        <w:rPr>
          <w:rFonts w:hint="eastAsia" w:ascii="Times New Roman" w:hAnsi="Times New Roman"/>
        </w:rPr>
        <w:t>打样过程中产生的非甲烷总烃，经密闭管道收集后，接入二级活性炭吸附装置，收集效率按90％，处理效率按90％，有组织产生量为9</w:t>
      </w:r>
      <w:r>
        <w:rPr>
          <w:rFonts w:hint="eastAsia" w:ascii="Times New Roman" w:hAnsi="Times New Roman"/>
          <w:lang w:val="en-US" w:eastAsia="zh-CN"/>
        </w:rPr>
        <w:t>.</w:t>
      </w:r>
      <w:r>
        <w:rPr>
          <w:rFonts w:hint="eastAsia" w:ascii="Times New Roman" w:hAnsi="Times New Roman"/>
        </w:rPr>
        <w:t>0171t/a ，经净化处理后，有机废气有组织排放量为0.9t/a，。无组织排放量为1</w:t>
      </w:r>
      <w:r>
        <w:rPr>
          <w:rFonts w:hint="eastAsia" w:ascii="Times New Roman" w:hAnsi="Times New Roman"/>
          <w:lang w:val="en-US" w:eastAsia="zh-CN"/>
        </w:rPr>
        <w:t>.</w:t>
      </w:r>
      <w:r>
        <w:rPr>
          <w:rFonts w:hint="eastAsia" w:ascii="Times New Roman" w:hAnsi="Times New Roman"/>
        </w:rPr>
        <w:t>0019t/a。</w:t>
      </w:r>
    </w:p>
    <w:p w14:paraId="4E973686">
      <w:pPr>
        <w:bidi w:val="0"/>
        <w:rPr>
          <w:rFonts w:hint="eastAsia" w:ascii="Times New Roman" w:hAnsi="Times New Roman"/>
          <w:b/>
          <w:bCs/>
        </w:rPr>
      </w:pPr>
      <w:r>
        <w:rPr>
          <w:rFonts w:hint="eastAsia" w:ascii="Times New Roman" w:hAnsi="Times New Roman"/>
          <w:b/>
          <w:bCs/>
          <w:lang w:val="en-US" w:eastAsia="zh-CN"/>
        </w:rPr>
        <w:t>5</w:t>
      </w:r>
      <w:r>
        <w:rPr>
          <w:rFonts w:hint="eastAsia" w:ascii="Times New Roman" w:hAnsi="Times New Roman"/>
          <w:b/>
          <w:bCs/>
        </w:rPr>
        <w:t>、</w:t>
      </w:r>
      <w:r>
        <w:rPr>
          <w:rFonts w:hint="eastAsia" w:ascii="Times New Roman" w:hAnsi="Times New Roman"/>
          <w:b/>
          <w:bCs/>
          <w:lang w:val="en-US" w:eastAsia="zh-CN"/>
        </w:rPr>
        <w:t>磁性横切刀版UV打印及曝光</w:t>
      </w:r>
      <w:r>
        <w:rPr>
          <w:rFonts w:hint="eastAsia" w:ascii="Times New Roman" w:hAnsi="Times New Roman"/>
          <w:b/>
          <w:bCs/>
        </w:rPr>
        <w:t>废气（G2</w:t>
      </w:r>
      <w:r>
        <w:rPr>
          <w:rFonts w:hint="eastAsia" w:ascii="Times New Roman" w:hAnsi="Times New Roman"/>
          <w:b/>
          <w:bCs/>
          <w:lang w:val="en-US" w:eastAsia="zh-CN"/>
        </w:rPr>
        <w:t>-1、G2-2</w:t>
      </w:r>
      <w:r>
        <w:rPr>
          <w:rFonts w:hint="eastAsia" w:ascii="Times New Roman" w:hAnsi="Times New Roman"/>
          <w:b/>
          <w:bCs/>
        </w:rPr>
        <w:t>）</w:t>
      </w:r>
    </w:p>
    <w:p w14:paraId="41D86116">
      <w:pPr>
        <w:bidi w:val="0"/>
        <w:rPr>
          <w:rFonts w:hint="eastAsia" w:ascii="Times New Roman" w:hAnsi="Times New Roman" w:eastAsia="仿宋_GB2312"/>
          <w:b w:val="0"/>
          <w:bCs w:val="0"/>
          <w:lang w:val="en-US" w:eastAsia="zh-CN"/>
        </w:rPr>
      </w:pPr>
      <w:r>
        <w:rPr>
          <w:rFonts w:hint="eastAsia" w:ascii="Times New Roman" w:hAnsi="Times New Roman"/>
          <w:b w:val="0"/>
          <w:bCs w:val="0"/>
          <w:lang w:val="en-US" w:eastAsia="zh-CN"/>
        </w:rPr>
        <w:t>UV打印采用</w:t>
      </w:r>
      <w:r>
        <w:rPr>
          <w:rFonts w:hint="eastAsia" w:ascii="Times New Roman" w:hAnsi="Times New Roman"/>
          <w:b w:val="0"/>
          <w:bCs w:val="0"/>
        </w:rPr>
        <w:t>使用异丙醇或酒精进行擦拭，异丙醇挥发按照企业提供的MSDS报告，挥发性成分</w:t>
      </w:r>
      <w:r>
        <w:rPr>
          <w:rFonts w:hint="eastAsia" w:ascii="Times New Roman" w:hAnsi="Times New Roman"/>
          <w:b w:val="0"/>
          <w:bCs w:val="0"/>
          <w:lang w:val="en-US" w:eastAsia="zh-CN"/>
        </w:rPr>
        <w:t>＜5%</w:t>
      </w:r>
      <w:r>
        <w:rPr>
          <w:rFonts w:hint="eastAsia" w:ascii="Times New Roman" w:hAnsi="Times New Roman"/>
          <w:b w:val="0"/>
          <w:bCs w:val="0"/>
        </w:rPr>
        <w:t>。本次项目用量为0.</w:t>
      </w:r>
      <w:r>
        <w:rPr>
          <w:rFonts w:hint="eastAsia" w:ascii="Times New Roman" w:hAnsi="Times New Roman"/>
          <w:b w:val="0"/>
          <w:bCs w:val="0"/>
          <w:lang w:val="en-US" w:eastAsia="zh-CN"/>
        </w:rPr>
        <w:t>024</w:t>
      </w:r>
      <w:r>
        <w:rPr>
          <w:rFonts w:hint="eastAsia" w:ascii="Times New Roman" w:hAnsi="Times New Roman"/>
          <w:b w:val="0"/>
          <w:bCs w:val="0"/>
        </w:rPr>
        <w:t>t/a，则非甲烷总烃产生量为</w:t>
      </w:r>
      <w:r>
        <w:rPr>
          <w:rFonts w:hint="eastAsia" w:ascii="Times New Roman" w:hAnsi="Times New Roman"/>
          <w:b w:val="0"/>
          <w:bCs w:val="0"/>
          <w:lang w:val="en-US" w:eastAsia="zh-CN"/>
        </w:rPr>
        <w:t>0.0012</w:t>
      </w:r>
      <w:r>
        <w:rPr>
          <w:rFonts w:hint="eastAsia" w:ascii="Times New Roman" w:hAnsi="Times New Roman"/>
          <w:b w:val="0"/>
          <w:bCs w:val="0"/>
        </w:rPr>
        <w:t>t/a</w:t>
      </w:r>
      <w:r>
        <w:rPr>
          <w:rFonts w:hint="eastAsia" w:ascii="Times New Roman" w:hAnsi="Times New Roman"/>
          <w:b w:val="0"/>
          <w:bCs w:val="0"/>
          <w:lang w:eastAsia="zh-CN"/>
        </w:rPr>
        <w:t>；</w:t>
      </w:r>
      <w:r>
        <w:rPr>
          <w:rFonts w:hint="eastAsia" w:ascii="Times New Roman" w:hAnsi="Times New Roman"/>
          <w:b w:val="0"/>
          <w:bCs w:val="0"/>
          <w:lang w:val="en-US" w:eastAsia="zh-CN"/>
        </w:rPr>
        <w:t>曝光时干膜固化有少量有机废气产生，按0.5%干膜用量计，</w:t>
      </w:r>
      <w:r>
        <w:rPr>
          <w:rFonts w:hint="eastAsia" w:ascii="Times New Roman" w:hAnsi="Times New Roman"/>
          <w:b w:val="0"/>
          <w:bCs w:val="0"/>
        </w:rPr>
        <w:t>非甲烷总烃产生量为</w:t>
      </w:r>
      <w:r>
        <w:rPr>
          <w:rFonts w:hint="eastAsia" w:ascii="Times New Roman" w:hAnsi="Times New Roman"/>
          <w:b w:val="0"/>
          <w:bCs w:val="0"/>
          <w:lang w:val="en-US" w:eastAsia="zh-CN"/>
        </w:rPr>
        <w:t>0.0009</w:t>
      </w:r>
      <w:r>
        <w:rPr>
          <w:rFonts w:hint="eastAsia" w:ascii="Times New Roman" w:hAnsi="Times New Roman"/>
          <w:b w:val="0"/>
          <w:bCs w:val="0"/>
        </w:rPr>
        <w:t>t/a</w:t>
      </w:r>
      <w:r>
        <w:rPr>
          <w:rFonts w:hint="eastAsia" w:ascii="Times New Roman" w:hAnsi="Times New Roman"/>
          <w:b w:val="0"/>
          <w:bCs w:val="0"/>
          <w:lang w:eastAsia="zh-CN"/>
        </w:rPr>
        <w:t>。</w:t>
      </w:r>
      <w:r>
        <w:rPr>
          <w:rFonts w:hint="eastAsia" w:ascii="Times New Roman" w:hAnsi="Times New Roman"/>
          <w:b w:val="0"/>
          <w:bCs w:val="0"/>
          <w:lang w:val="en-US" w:eastAsia="zh-CN"/>
        </w:rPr>
        <w:t>有机废气</w:t>
      </w:r>
      <w:r>
        <w:rPr>
          <w:rFonts w:hint="eastAsia"/>
          <w:b w:val="0"/>
          <w:bCs w:val="0"/>
        </w:rPr>
        <w:t>经集气罩收集后，接入二级活性炭吸附装置，收集效率按90％，处理效率按90％，有组织产生量为</w:t>
      </w:r>
      <w:r>
        <w:rPr>
          <w:rFonts w:hint="eastAsia"/>
          <w:b w:val="0"/>
          <w:bCs w:val="0"/>
          <w:lang w:val="en-US" w:eastAsia="zh-CN"/>
        </w:rPr>
        <w:t>0.0019</w:t>
      </w:r>
      <w:r>
        <w:rPr>
          <w:rFonts w:hint="eastAsia"/>
          <w:b w:val="0"/>
          <w:bCs w:val="0"/>
        </w:rPr>
        <w:t>t/a，经净化处理后，有机废气有组织排放量为0.</w:t>
      </w:r>
      <w:r>
        <w:rPr>
          <w:rFonts w:hint="eastAsia"/>
          <w:b w:val="0"/>
          <w:bCs w:val="0"/>
          <w:lang w:val="en-US" w:eastAsia="zh-CN"/>
        </w:rPr>
        <w:t>0002</w:t>
      </w:r>
      <w:r>
        <w:rPr>
          <w:rFonts w:hint="eastAsia"/>
          <w:b w:val="0"/>
          <w:bCs w:val="0"/>
        </w:rPr>
        <w:t>t/a</w:t>
      </w:r>
      <w:r>
        <w:rPr>
          <w:rFonts w:hint="eastAsia"/>
          <w:b w:val="0"/>
          <w:bCs w:val="0"/>
          <w:lang w:eastAsia="zh-CN"/>
        </w:rPr>
        <w:t>，</w:t>
      </w:r>
      <w:r>
        <w:rPr>
          <w:rFonts w:hint="eastAsia"/>
          <w:b w:val="0"/>
          <w:bCs w:val="0"/>
        </w:rPr>
        <w:t>无组织排放量为0.</w:t>
      </w:r>
      <w:r>
        <w:rPr>
          <w:rFonts w:hint="eastAsia"/>
          <w:b w:val="0"/>
          <w:bCs w:val="0"/>
          <w:lang w:val="en-US" w:eastAsia="zh-CN"/>
        </w:rPr>
        <w:t>0002</w:t>
      </w:r>
      <w:r>
        <w:rPr>
          <w:rFonts w:hint="eastAsia"/>
          <w:b w:val="0"/>
          <w:bCs w:val="0"/>
        </w:rPr>
        <w:t>t/a。</w:t>
      </w:r>
    </w:p>
    <w:p w14:paraId="2E77EA51">
      <w:pPr>
        <w:bidi w:val="0"/>
        <w:rPr>
          <w:rFonts w:hint="eastAsia"/>
          <w:b/>
          <w:bCs/>
        </w:rPr>
      </w:pPr>
      <w:r>
        <w:rPr>
          <w:rFonts w:hint="eastAsia"/>
          <w:b/>
          <w:bCs/>
          <w:lang w:val="en-US" w:eastAsia="zh-CN"/>
        </w:rPr>
        <w:t>6</w:t>
      </w:r>
      <w:r>
        <w:rPr>
          <w:rFonts w:hint="eastAsia"/>
          <w:b/>
          <w:bCs/>
        </w:rPr>
        <w:t>、</w:t>
      </w:r>
      <w:r>
        <w:rPr>
          <w:rFonts w:hint="eastAsia"/>
          <w:b/>
          <w:bCs/>
          <w:lang w:val="en-US" w:eastAsia="zh-CN"/>
        </w:rPr>
        <w:t>磁性横切刀版</w:t>
      </w:r>
      <w:r>
        <w:rPr>
          <w:rFonts w:hint="eastAsia"/>
          <w:b/>
          <w:bCs/>
        </w:rPr>
        <w:t>擦拭废气（G2</w:t>
      </w:r>
      <w:r>
        <w:rPr>
          <w:rFonts w:hint="eastAsia"/>
          <w:b/>
          <w:bCs/>
          <w:lang w:val="en-US" w:eastAsia="zh-CN"/>
        </w:rPr>
        <w:t>-4</w:t>
      </w:r>
      <w:r>
        <w:rPr>
          <w:rFonts w:hint="eastAsia"/>
          <w:b/>
          <w:bCs/>
        </w:rPr>
        <w:t>）</w:t>
      </w:r>
    </w:p>
    <w:p w14:paraId="6B28197B">
      <w:pPr>
        <w:bidi w:val="0"/>
        <w:rPr>
          <w:rFonts w:hint="eastAsia"/>
          <w:b w:val="0"/>
          <w:bCs w:val="0"/>
        </w:rPr>
      </w:pPr>
      <w:r>
        <w:rPr>
          <w:rFonts w:hint="eastAsia"/>
          <w:b w:val="0"/>
          <w:bCs w:val="0"/>
          <w:lang w:val="en-US" w:eastAsia="zh-CN"/>
        </w:rPr>
        <w:t>CNC加工前后，</w:t>
      </w:r>
      <w:r>
        <w:rPr>
          <w:rFonts w:hint="eastAsia"/>
          <w:b w:val="0"/>
          <w:bCs w:val="0"/>
        </w:rPr>
        <w:t>使用异丙醇或酒精进行擦拭，异丙醇挥发按照企业提供的MSDS报告和挥发性成分检测报告，挥发性成分为 779g/L。本次项目用量为0.5t/a，异丙醇密度按0.79g/cm</w:t>
      </w:r>
      <w:r>
        <w:rPr>
          <w:rFonts w:hint="eastAsia"/>
          <w:b w:val="0"/>
          <w:bCs w:val="0"/>
          <w:vertAlign w:val="superscript"/>
        </w:rPr>
        <w:t>3</w:t>
      </w:r>
      <w:r>
        <w:rPr>
          <w:rFonts w:hint="eastAsia"/>
          <w:b w:val="0"/>
          <w:bCs w:val="0"/>
        </w:rPr>
        <w:t>，则异丙醇用量为633L/a，则非甲烷总烃产生量为0.493t/a。酒精挥发按照企业提供的MSDS报告及VOCS检测报告，挥发性成分为779g/L。本次项目使用0.78t/a酒精，密度为0.79g/cm</w:t>
      </w:r>
      <w:r>
        <w:rPr>
          <w:rFonts w:hint="eastAsia"/>
          <w:b w:val="0"/>
          <w:bCs w:val="0"/>
          <w:vertAlign w:val="superscript"/>
        </w:rPr>
        <w:t>3</w:t>
      </w:r>
      <w:r>
        <w:rPr>
          <w:rFonts w:hint="eastAsia"/>
          <w:b w:val="0"/>
          <w:bCs w:val="0"/>
        </w:rPr>
        <w:t>，则酒精用量为987L/a，非甲烷总烃产生量为0.77t/a。故非甲烷总烃合计产生量为1.263t/a。</w:t>
      </w:r>
    </w:p>
    <w:p w14:paraId="23F034AA">
      <w:pPr>
        <w:bidi w:val="0"/>
        <w:rPr>
          <w:rFonts w:hint="eastAsia"/>
          <w:b w:val="0"/>
          <w:bCs w:val="0"/>
        </w:rPr>
      </w:pPr>
      <w:r>
        <w:rPr>
          <w:rFonts w:hint="eastAsia"/>
          <w:b w:val="0"/>
          <w:bCs w:val="0"/>
        </w:rPr>
        <w:t>擦拭过程中产生的非甲烷总烃，经集气罩收集后，接入二级活性炭吸附装置，收集效率按90％，处理效率按90％，有组织产生量为1.137t/a，经净化处理后，有机废气有组织排放量为0.1137t/a，通过15m高排气筒排放（DA009）。无组织排放量为0.126t/a。</w:t>
      </w:r>
    </w:p>
    <w:p w14:paraId="3E42DB07">
      <w:pPr>
        <w:bidi w:val="0"/>
        <w:rPr>
          <w:rFonts w:hint="eastAsia"/>
          <w:b/>
          <w:bCs/>
        </w:rPr>
      </w:pPr>
      <w:r>
        <w:rPr>
          <w:rFonts w:hint="eastAsia"/>
          <w:b/>
          <w:bCs/>
          <w:lang w:val="en-US" w:eastAsia="zh-CN"/>
        </w:rPr>
        <w:t>7</w:t>
      </w:r>
      <w:r>
        <w:rPr>
          <w:rFonts w:hint="eastAsia"/>
          <w:b/>
          <w:bCs/>
        </w:rPr>
        <w:t>、</w:t>
      </w:r>
      <w:r>
        <w:rPr>
          <w:rFonts w:hint="eastAsia"/>
          <w:b/>
          <w:bCs/>
          <w:lang w:val="en-US" w:eastAsia="zh-CN"/>
        </w:rPr>
        <w:t>热压模板</w:t>
      </w:r>
      <w:r>
        <w:rPr>
          <w:rFonts w:hint="eastAsia"/>
          <w:b/>
          <w:bCs/>
        </w:rPr>
        <w:t>喷胶</w:t>
      </w:r>
      <w:r>
        <w:rPr>
          <w:rFonts w:hint="eastAsia"/>
          <w:b/>
          <w:bCs/>
          <w:lang w:eastAsia="zh-CN"/>
        </w:rPr>
        <w:t>、</w:t>
      </w:r>
      <w:r>
        <w:rPr>
          <w:rFonts w:hint="eastAsia"/>
          <w:b/>
          <w:bCs/>
          <w:lang w:val="en-US" w:eastAsia="zh-CN"/>
        </w:rPr>
        <w:t>曝光及固化</w:t>
      </w:r>
      <w:r>
        <w:rPr>
          <w:rFonts w:hint="eastAsia" w:ascii="Times New Roman" w:hAnsi="Times New Roman"/>
          <w:b/>
          <w:bCs/>
        </w:rPr>
        <w:t>废气</w:t>
      </w:r>
      <w:r>
        <w:rPr>
          <w:rFonts w:hint="eastAsia"/>
          <w:b/>
          <w:bCs/>
        </w:rPr>
        <w:t>废气</w:t>
      </w:r>
      <w:r>
        <w:rPr>
          <w:rFonts w:hint="eastAsia" w:ascii="Times New Roman" w:hAnsi="Times New Roman"/>
          <w:b/>
          <w:bCs/>
        </w:rPr>
        <w:t>（</w:t>
      </w:r>
      <w:r>
        <w:rPr>
          <w:rFonts w:hint="eastAsia"/>
          <w:b/>
          <w:bCs/>
        </w:rPr>
        <w:t>G</w:t>
      </w:r>
      <w:r>
        <w:rPr>
          <w:rFonts w:hint="eastAsia"/>
          <w:b/>
          <w:bCs/>
          <w:lang w:val="en-US" w:eastAsia="zh-CN"/>
        </w:rPr>
        <w:t>3-2、</w:t>
      </w:r>
      <w:r>
        <w:rPr>
          <w:rFonts w:hint="eastAsia" w:ascii="Times New Roman" w:hAnsi="Times New Roman"/>
          <w:b/>
          <w:bCs/>
        </w:rPr>
        <w:t>G</w:t>
      </w:r>
      <w:r>
        <w:rPr>
          <w:rFonts w:hint="eastAsia"/>
          <w:b/>
          <w:bCs/>
          <w:lang w:val="en-US" w:eastAsia="zh-CN"/>
        </w:rPr>
        <w:t>3-3、G3-4</w:t>
      </w:r>
      <w:r>
        <w:rPr>
          <w:rFonts w:hint="eastAsia" w:ascii="Times New Roman" w:hAnsi="Times New Roman"/>
          <w:b/>
          <w:bCs/>
        </w:rPr>
        <w:t>）</w:t>
      </w:r>
    </w:p>
    <w:p w14:paraId="3977CE7C">
      <w:pPr>
        <w:bidi w:val="0"/>
        <w:rPr>
          <w:rFonts w:hint="eastAsia"/>
          <w:lang w:val="en-US" w:eastAsia="zh-CN"/>
        </w:rPr>
      </w:pPr>
      <w:r>
        <w:rPr>
          <w:rFonts w:hint="eastAsia"/>
        </w:rPr>
        <w:t>本项目使用</w:t>
      </w:r>
      <w:r>
        <w:rPr>
          <w:rFonts w:hint="eastAsia"/>
          <w:lang w:val="en-US" w:eastAsia="zh-CN"/>
        </w:rPr>
        <w:t>“感光液”，挥发按照企业提供的MSDS报告，感光液挥发主要为在喷胶及自然干燥过程中，同时，曝光、UV光热固过程有少量有机废气产生。本次按全部挥发考虑。本次项目使用1.5t/a感光液，则非甲烷总烃产生量为 1.5t/a。</w:t>
      </w:r>
    </w:p>
    <w:p w14:paraId="5386046A">
      <w:pPr>
        <w:bidi w:val="0"/>
        <w:rPr>
          <w:rFonts w:hint="eastAsia"/>
          <w:lang w:eastAsia="zh-CN"/>
        </w:rPr>
      </w:pPr>
      <w:r>
        <w:rPr>
          <w:rFonts w:hint="eastAsia"/>
          <w:lang w:val="en-US" w:eastAsia="zh-CN"/>
        </w:rPr>
        <w:t>喷胶过程中产生的非甲烷总烃，经密闭管道收集后，接入二级活性炭吸附装置，收集效率按95％，处理效率按90％，有组织产生量为1.425t/a，经净化处理后，有机废气有组织排放量为0.1425t/a，无组织排放量为0.075t/a</w:t>
      </w:r>
      <w:r>
        <w:rPr>
          <w:rFonts w:hint="eastAsia"/>
          <w:lang w:eastAsia="zh-CN"/>
        </w:rPr>
        <w:t>。</w:t>
      </w:r>
    </w:p>
    <w:p w14:paraId="39A8117F">
      <w:pPr>
        <w:bidi w:val="0"/>
        <w:rPr>
          <w:rFonts w:hint="eastAsia"/>
          <w:lang w:eastAsia="zh-CN"/>
        </w:rPr>
      </w:pPr>
    </w:p>
    <w:p w14:paraId="5BD0B47D">
      <w:pPr>
        <w:pStyle w:val="6"/>
        <w:bidi w:val="0"/>
        <w:rPr>
          <w:color w:val="auto"/>
        </w:rPr>
      </w:pPr>
      <w:r>
        <w:rPr>
          <w:rFonts w:hint="eastAsia"/>
          <w:color w:val="auto"/>
          <w:lang w:val="en-US" w:eastAsia="zh-CN"/>
        </w:rPr>
        <w:t>污水处理设施废气</w:t>
      </w:r>
    </w:p>
    <w:p w14:paraId="5D9CC31C">
      <w:pPr>
        <w:rPr>
          <w:color w:val="auto"/>
        </w:rPr>
      </w:pPr>
      <w:r>
        <w:rPr>
          <w:color w:val="auto"/>
        </w:rPr>
        <w:t>本项目</w:t>
      </w:r>
      <w:r>
        <w:rPr>
          <w:rFonts w:hint="eastAsia"/>
          <w:color w:val="auto"/>
          <w:lang w:val="en-US" w:eastAsia="zh-CN"/>
        </w:rPr>
        <w:t>新建一套</w:t>
      </w:r>
      <w:r>
        <w:rPr>
          <w:color w:val="auto"/>
        </w:rPr>
        <w:t>污水</w:t>
      </w:r>
      <w:r>
        <w:rPr>
          <w:rFonts w:hint="eastAsia"/>
          <w:color w:val="auto"/>
          <w:lang w:val="en-US" w:eastAsia="zh-CN"/>
        </w:rPr>
        <w:t>处理设施，</w:t>
      </w:r>
      <w:r>
        <w:rPr>
          <w:color w:val="auto"/>
        </w:rPr>
        <w:t>主要产生废气为废水处理过程溢散的挥发性有机废气（主要为VOCs）、废水生化处理废气（主要为H</w:t>
      </w:r>
      <w:r>
        <w:rPr>
          <w:color w:val="auto"/>
          <w:vertAlign w:val="subscript"/>
        </w:rPr>
        <w:t>2</w:t>
      </w:r>
      <w:r>
        <w:rPr>
          <w:color w:val="auto"/>
        </w:rPr>
        <w:t>S、NH</w:t>
      </w:r>
      <w:r>
        <w:rPr>
          <w:color w:val="auto"/>
          <w:vertAlign w:val="subscript"/>
        </w:rPr>
        <w:t>3</w:t>
      </w:r>
      <w:r>
        <w:rPr>
          <w:color w:val="auto"/>
        </w:rPr>
        <w:t>），通过密闭空间、负压换气方式捕集后经“</w:t>
      </w:r>
      <w:r>
        <w:rPr>
          <w:rFonts w:hint="eastAsia"/>
          <w:color w:val="auto"/>
          <w:lang w:val="en-US" w:eastAsia="zh-CN"/>
        </w:rPr>
        <w:t>水喷淋</w:t>
      </w:r>
      <w:r>
        <w:rPr>
          <w:color w:val="auto"/>
        </w:rPr>
        <w:t>+活性炭吸附”处理后通过15m高的排气筒</w:t>
      </w:r>
      <w:r>
        <w:rPr>
          <w:rFonts w:hint="eastAsia"/>
          <w:color w:val="auto"/>
          <w:lang w:val="en-US" w:eastAsia="zh-CN"/>
        </w:rPr>
        <w:t>DA009</w:t>
      </w:r>
      <w:r>
        <w:rPr>
          <w:color w:val="auto"/>
        </w:rPr>
        <w:t>（</w:t>
      </w:r>
      <w:r>
        <w:rPr>
          <w:rFonts w:hint="eastAsia"/>
          <w:color w:val="auto"/>
          <w:lang w:val="en-US" w:eastAsia="zh-CN"/>
        </w:rPr>
        <w:t>依托现有</w:t>
      </w:r>
      <w:r>
        <w:rPr>
          <w:color w:val="auto"/>
        </w:rPr>
        <w:t>）排放。</w:t>
      </w:r>
    </w:p>
    <w:p w14:paraId="4818E2B0">
      <w:pPr>
        <w:rPr>
          <w:rFonts w:hint="eastAsia" w:eastAsia="仿宋_GB2312"/>
          <w:color w:val="auto"/>
          <w:lang w:eastAsia="zh-CN"/>
        </w:rPr>
      </w:pPr>
      <w:r>
        <w:rPr>
          <w:color w:val="auto"/>
        </w:rPr>
        <w:t>负压换气收集效率为90%，“</w:t>
      </w:r>
      <w:r>
        <w:rPr>
          <w:rFonts w:hint="eastAsia"/>
          <w:color w:val="auto"/>
          <w:lang w:val="en-US" w:eastAsia="zh-CN"/>
        </w:rPr>
        <w:t>水喷淋</w:t>
      </w:r>
      <w:r>
        <w:rPr>
          <w:color w:val="auto"/>
        </w:rPr>
        <w:t>+活性炭吸附”对H</w:t>
      </w:r>
      <w:r>
        <w:rPr>
          <w:color w:val="auto"/>
          <w:vertAlign w:val="subscript"/>
        </w:rPr>
        <w:t>2</w:t>
      </w:r>
      <w:r>
        <w:rPr>
          <w:color w:val="auto"/>
        </w:rPr>
        <w:t>S、NH</w:t>
      </w:r>
      <w:r>
        <w:rPr>
          <w:color w:val="auto"/>
          <w:vertAlign w:val="subscript"/>
        </w:rPr>
        <w:t>3</w:t>
      </w:r>
      <w:r>
        <w:rPr>
          <w:color w:val="auto"/>
        </w:rPr>
        <w:t>、VOCs处理效率分别为50%、50%、90%</w:t>
      </w:r>
      <w:r>
        <w:rPr>
          <w:rFonts w:hint="eastAsia"/>
          <w:color w:val="auto"/>
          <w:lang w:eastAsia="zh-CN"/>
        </w:rPr>
        <w:t>。</w:t>
      </w:r>
    </w:p>
    <w:p w14:paraId="0D3788E8">
      <w:pPr>
        <w:pStyle w:val="46"/>
        <w:bidi w:val="0"/>
        <w:rPr>
          <w:color w:val="auto"/>
          <w:lang w:val="zh-CN"/>
        </w:rPr>
      </w:pPr>
      <w:r>
        <w:rPr>
          <w:color w:val="auto"/>
          <w:lang w:val="zh-CN"/>
        </w:rPr>
        <w:t>（1）废水处理过程溢散的VOCs</w:t>
      </w:r>
    </w:p>
    <w:p w14:paraId="43714D24">
      <w:pPr>
        <w:rPr>
          <w:rFonts w:hint="eastAsia"/>
          <w:color w:val="auto"/>
          <w:lang w:val="en-US" w:eastAsia="zh-CN"/>
        </w:rPr>
      </w:pPr>
      <w:r>
        <w:rPr>
          <w:rFonts w:hint="eastAsia"/>
          <w:color w:val="auto"/>
          <w:lang w:val="en-US" w:eastAsia="zh-CN"/>
        </w:rPr>
        <w:t>根据《关于印发江苏省重点行业挥发性有机物排放量计算暂行办法的通知》（苏环办[2016]154号）2.4废水集输、储存、处理处置过程逸散，计算公式如下：</w:t>
      </w:r>
    </w:p>
    <w:p w14:paraId="7E1D318C">
      <w:pPr>
        <w:pStyle w:val="26"/>
        <w:bidi w:val="0"/>
        <w:rPr>
          <w:color w:val="auto"/>
        </w:rPr>
      </w:pPr>
      <w:r>
        <w:rPr>
          <w:color w:val="auto"/>
        </w:rPr>
        <w:object>
          <v:shape id="_x0000_i1026" o:spt="75" type="#_x0000_t75" style="height:37.45pt;width:129pt;" o:ole="t" filled="f" o:preferrelative="t" stroked="f" coordsize="21600,21600">
            <v:path/>
            <v:fill on="f" focussize="0,0"/>
            <v:stroke on="f" joinstyle="miter"/>
            <v:imagedata r:id="rId30" o:title=""/>
            <o:lock v:ext="edit" aspectratio="t"/>
            <w10:wrap type="none"/>
            <w10:anchorlock/>
          </v:shape>
          <o:OLEObject Type="Embed" ProgID="Equation.3" ShapeID="_x0000_i1026" DrawAspect="Content" ObjectID="_1468075726" r:id="rId29">
            <o:LockedField>false</o:LockedField>
          </o:OLEObject>
        </w:object>
      </w:r>
    </w:p>
    <w:p w14:paraId="4102D074">
      <w:pPr>
        <w:rPr>
          <w:color w:val="auto"/>
        </w:rPr>
      </w:pPr>
      <w:r>
        <w:rPr>
          <w:color w:val="auto"/>
        </w:rPr>
        <w:t>式中：</w:t>
      </w:r>
    </w:p>
    <w:p w14:paraId="2403D114">
      <w:pPr>
        <w:rPr>
          <w:color w:val="auto"/>
        </w:rPr>
      </w:pPr>
      <w:r>
        <w:rPr>
          <w:color w:val="auto"/>
        </w:rPr>
        <w:t>E</w:t>
      </w:r>
      <w:r>
        <w:rPr>
          <w:color w:val="auto"/>
          <w:vertAlign w:val="subscript"/>
        </w:rPr>
        <w:t>0，废水</w:t>
      </w:r>
      <w:r>
        <w:rPr>
          <w:color w:val="auto"/>
        </w:rPr>
        <w:t>——统计期内废水的VOCs产生量，千克；</w:t>
      </w:r>
    </w:p>
    <w:p w14:paraId="4178A510">
      <w:pPr>
        <w:rPr>
          <w:color w:val="auto"/>
        </w:rPr>
      </w:pPr>
      <w:r>
        <w:rPr>
          <w:color w:val="auto"/>
        </w:rPr>
        <w:t>EFi——废水收集/处理设施i的产污系数，千克/立方米，生物处理设施取0.005;</w:t>
      </w:r>
    </w:p>
    <w:p w14:paraId="4C612483">
      <w:pPr>
        <w:rPr>
          <w:color w:val="auto"/>
        </w:rPr>
      </w:pPr>
      <w:r>
        <w:rPr>
          <w:color w:val="auto"/>
        </w:rPr>
        <w:t>Q</w:t>
      </w:r>
      <w:r>
        <w:rPr>
          <w:color w:val="auto"/>
          <w:vertAlign w:val="subscript"/>
        </w:rPr>
        <w:t>i</w:t>
      </w:r>
      <w:r>
        <w:rPr>
          <w:color w:val="auto"/>
        </w:rPr>
        <w:t>——废水收集/处理设施i的废水处理量，立方米/小时;</w:t>
      </w:r>
    </w:p>
    <w:p w14:paraId="45C29D4A">
      <w:pPr>
        <w:rPr>
          <w:color w:val="auto"/>
        </w:rPr>
      </w:pPr>
      <w:r>
        <w:rPr>
          <w:color w:val="auto"/>
        </w:rPr>
        <w:t>t</w:t>
      </w:r>
      <w:r>
        <w:rPr>
          <w:color w:val="auto"/>
          <w:vertAlign w:val="subscript"/>
        </w:rPr>
        <w:t>i</w:t>
      </w:r>
      <w:r>
        <w:rPr>
          <w:color w:val="auto"/>
        </w:rPr>
        <w:t>——废水处理设施i的年运行时间，小时/年。</w:t>
      </w:r>
    </w:p>
    <w:p w14:paraId="28C26EAD">
      <w:pPr>
        <w:pStyle w:val="36"/>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4.4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5</w:t>
      </w:r>
      <w:r>
        <w:rPr>
          <w:color w:val="auto"/>
        </w:rPr>
        <w:fldChar w:fldCharType="end"/>
      </w:r>
      <w:r>
        <w:rPr>
          <w:rFonts w:hint="eastAsia"/>
          <w:color w:val="auto"/>
        </w:rPr>
        <w:t>废水处理过程溢散的VOCs产生量计算表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2C13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1600EC47">
            <w:pPr>
              <w:pStyle w:val="36"/>
              <w:bidi w:val="0"/>
              <w:rPr>
                <w:color w:val="auto"/>
              </w:rPr>
            </w:pPr>
            <w:r>
              <w:rPr>
                <w:color w:val="auto"/>
              </w:rPr>
              <w:t>VOCs排放系数（kg/m</w:t>
            </w:r>
            <w:r>
              <w:rPr>
                <w:color w:val="auto"/>
                <w:vertAlign w:val="superscript"/>
              </w:rPr>
              <w:t>3</w:t>
            </w:r>
            <w:r>
              <w:rPr>
                <w:color w:val="auto"/>
              </w:rPr>
              <w:t>）</w:t>
            </w:r>
          </w:p>
        </w:tc>
        <w:tc>
          <w:tcPr>
            <w:tcW w:w="1704" w:type="dxa"/>
            <w:vAlign w:val="center"/>
          </w:tcPr>
          <w:p w14:paraId="44438BF8">
            <w:pPr>
              <w:pStyle w:val="36"/>
              <w:bidi w:val="0"/>
              <w:rPr>
                <w:color w:val="auto"/>
              </w:rPr>
            </w:pPr>
            <w:r>
              <w:rPr>
                <w:color w:val="auto"/>
              </w:rPr>
              <w:t>水量</w:t>
            </w:r>
            <w:r>
              <w:rPr>
                <w:rFonts w:hint="eastAsia"/>
                <w:color w:val="auto"/>
                <w:lang w:val="en-US" w:eastAsia="zh-CN"/>
              </w:rPr>
              <w:t>*</w:t>
            </w:r>
            <w:r>
              <w:rPr>
                <w:color w:val="auto"/>
              </w:rPr>
              <w:t>（m</w:t>
            </w:r>
            <w:r>
              <w:rPr>
                <w:color w:val="auto"/>
                <w:vertAlign w:val="superscript"/>
              </w:rPr>
              <w:t>3</w:t>
            </w:r>
            <w:r>
              <w:rPr>
                <w:color w:val="auto"/>
              </w:rPr>
              <w:t>/a）</w:t>
            </w:r>
          </w:p>
        </w:tc>
        <w:tc>
          <w:tcPr>
            <w:tcW w:w="1704" w:type="dxa"/>
            <w:vAlign w:val="center"/>
          </w:tcPr>
          <w:p w14:paraId="723B5759">
            <w:pPr>
              <w:pStyle w:val="36"/>
              <w:bidi w:val="0"/>
              <w:rPr>
                <w:color w:val="auto"/>
              </w:rPr>
            </w:pPr>
            <w:r>
              <w:rPr>
                <w:color w:val="auto"/>
              </w:rPr>
              <w:t>VOCs总产生量（t/a）</w:t>
            </w:r>
          </w:p>
        </w:tc>
        <w:tc>
          <w:tcPr>
            <w:tcW w:w="1705" w:type="dxa"/>
            <w:vAlign w:val="center"/>
          </w:tcPr>
          <w:p w14:paraId="55660693">
            <w:pPr>
              <w:pStyle w:val="36"/>
              <w:bidi w:val="0"/>
              <w:rPr>
                <w:color w:val="auto"/>
              </w:rPr>
            </w:pPr>
            <w:r>
              <w:rPr>
                <w:color w:val="auto"/>
              </w:rPr>
              <w:t>收集效率</w:t>
            </w:r>
          </w:p>
        </w:tc>
        <w:tc>
          <w:tcPr>
            <w:tcW w:w="1705" w:type="dxa"/>
            <w:vAlign w:val="center"/>
          </w:tcPr>
          <w:p w14:paraId="458965F3">
            <w:pPr>
              <w:pStyle w:val="36"/>
              <w:bidi w:val="0"/>
              <w:rPr>
                <w:color w:val="auto"/>
              </w:rPr>
            </w:pPr>
            <w:r>
              <w:rPr>
                <w:color w:val="auto"/>
              </w:rPr>
              <w:t>有组织VOCs产生量（t/a）</w:t>
            </w:r>
          </w:p>
        </w:tc>
      </w:tr>
      <w:tr w14:paraId="4188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4DA4933E">
            <w:pPr>
              <w:pStyle w:val="26"/>
              <w:bidi w:val="0"/>
              <w:rPr>
                <w:color w:val="auto"/>
              </w:rPr>
            </w:pPr>
            <w:r>
              <w:rPr>
                <w:color w:val="auto"/>
              </w:rPr>
              <w:t>0.005</w:t>
            </w:r>
          </w:p>
        </w:tc>
        <w:tc>
          <w:tcPr>
            <w:tcW w:w="1704" w:type="dxa"/>
            <w:shd w:val="clear" w:color="auto" w:fill="auto"/>
            <w:vAlign w:val="center"/>
          </w:tcPr>
          <w:p w14:paraId="61483AA9">
            <w:pPr>
              <w:pStyle w:val="26"/>
              <w:bidi w:val="0"/>
              <w:rPr>
                <w:rFonts w:hint="default"/>
                <w:color w:val="auto"/>
                <w:lang w:val="en-US" w:eastAsia="zh-CN"/>
              </w:rPr>
            </w:pPr>
            <w:r>
              <w:rPr>
                <w:rFonts w:hint="default"/>
                <w:color w:val="auto"/>
                <w:lang w:val="en-US" w:eastAsia="zh-CN"/>
              </w:rPr>
              <w:t>63752.5</w:t>
            </w:r>
          </w:p>
        </w:tc>
        <w:tc>
          <w:tcPr>
            <w:tcW w:w="1704" w:type="dxa"/>
            <w:shd w:val="clear" w:color="auto" w:fill="auto"/>
            <w:vAlign w:val="center"/>
          </w:tcPr>
          <w:p w14:paraId="48DCF34A">
            <w:pPr>
              <w:pStyle w:val="26"/>
              <w:bidi w:val="0"/>
              <w:rPr>
                <w:rFonts w:hint="default"/>
                <w:color w:val="auto"/>
                <w:lang w:val="en-US" w:eastAsia="zh-CN"/>
              </w:rPr>
            </w:pPr>
            <w:r>
              <w:rPr>
                <w:rFonts w:hint="default"/>
                <w:color w:val="auto"/>
                <w:lang w:val="en-US" w:eastAsia="zh-CN"/>
              </w:rPr>
              <w:t>0.</w:t>
            </w:r>
            <w:r>
              <w:rPr>
                <w:rFonts w:hint="eastAsia"/>
                <w:color w:val="auto"/>
                <w:lang w:val="en-US" w:eastAsia="zh-CN"/>
              </w:rPr>
              <w:t>3188</w:t>
            </w:r>
          </w:p>
        </w:tc>
        <w:tc>
          <w:tcPr>
            <w:tcW w:w="1705" w:type="dxa"/>
            <w:shd w:val="clear" w:color="auto" w:fill="auto"/>
            <w:vAlign w:val="center"/>
          </w:tcPr>
          <w:p w14:paraId="2FE3E933">
            <w:pPr>
              <w:pStyle w:val="26"/>
              <w:bidi w:val="0"/>
              <w:rPr>
                <w:rFonts w:hint="default"/>
                <w:color w:val="auto"/>
                <w:lang w:val="en-US" w:eastAsia="zh-CN"/>
              </w:rPr>
            </w:pPr>
            <w:r>
              <w:rPr>
                <w:rFonts w:hint="default"/>
                <w:color w:val="auto"/>
                <w:lang w:val="en-US" w:eastAsia="zh-CN"/>
              </w:rPr>
              <w:t>90%</w:t>
            </w:r>
          </w:p>
        </w:tc>
        <w:tc>
          <w:tcPr>
            <w:tcW w:w="1705" w:type="dxa"/>
            <w:shd w:val="clear" w:color="auto" w:fill="auto"/>
            <w:vAlign w:val="center"/>
          </w:tcPr>
          <w:p w14:paraId="6971FDFE">
            <w:pPr>
              <w:pStyle w:val="26"/>
              <w:bidi w:val="0"/>
              <w:rPr>
                <w:rFonts w:hint="default"/>
                <w:color w:val="auto"/>
                <w:lang w:val="en-US" w:eastAsia="zh-CN"/>
              </w:rPr>
            </w:pPr>
            <w:r>
              <w:rPr>
                <w:rFonts w:hint="eastAsia"/>
                <w:color w:val="auto"/>
                <w:lang w:val="en-US" w:eastAsia="zh-CN"/>
              </w:rPr>
              <w:t>0.2869</w:t>
            </w:r>
          </w:p>
        </w:tc>
      </w:tr>
    </w:tbl>
    <w:p w14:paraId="38EDA44B">
      <w:pPr>
        <w:pStyle w:val="28"/>
        <w:bidi w:val="0"/>
        <w:rPr>
          <w:rFonts w:hint="default" w:eastAsia="仿宋_GB2312"/>
          <w:color w:val="auto"/>
          <w:lang w:val="en-US" w:eastAsia="zh-CN"/>
        </w:rPr>
      </w:pPr>
      <w:r>
        <w:rPr>
          <w:rFonts w:hint="eastAsia"/>
          <w:color w:val="auto"/>
          <w:lang w:val="en-US" w:eastAsia="zh-CN"/>
        </w:rPr>
        <w:t>注*：水量为本项目进入废水处理设施处理的全部水量。</w:t>
      </w:r>
    </w:p>
    <w:p w14:paraId="0611F65B">
      <w:pPr>
        <w:pStyle w:val="46"/>
        <w:bidi w:val="0"/>
        <w:rPr>
          <w:rFonts w:hint="eastAsia"/>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生化处理废气</w:t>
      </w:r>
    </w:p>
    <w:p w14:paraId="416E8C77">
      <w:pPr>
        <w:rPr>
          <w:rFonts w:hint="default"/>
          <w:color w:val="auto"/>
          <w:lang w:val="en-US" w:eastAsia="zh-CN"/>
        </w:rPr>
      </w:pPr>
      <w:r>
        <w:rPr>
          <w:rFonts w:hint="default"/>
          <w:color w:val="auto"/>
          <w:lang w:val="en-US" w:eastAsia="zh-CN"/>
        </w:rPr>
        <w:t>类比同类型项目，每削减1kgCOD，H</w:t>
      </w:r>
      <w:r>
        <w:rPr>
          <w:rFonts w:hint="default"/>
          <w:color w:val="auto"/>
          <w:vertAlign w:val="subscript"/>
          <w:lang w:val="en-US" w:eastAsia="zh-CN"/>
        </w:rPr>
        <w:t>2</w:t>
      </w:r>
      <w:r>
        <w:rPr>
          <w:rFonts w:hint="default"/>
          <w:color w:val="auto"/>
          <w:lang w:val="en-US" w:eastAsia="zh-CN"/>
        </w:rPr>
        <w:t>S和NH</w:t>
      </w:r>
      <w:r>
        <w:rPr>
          <w:rFonts w:hint="default"/>
          <w:color w:val="auto"/>
          <w:vertAlign w:val="subscript"/>
          <w:lang w:val="en-US" w:eastAsia="zh-CN"/>
        </w:rPr>
        <w:t>3</w:t>
      </w:r>
      <w:r>
        <w:rPr>
          <w:rFonts w:hint="default"/>
          <w:color w:val="auto"/>
          <w:lang w:val="en-US" w:eastAsia="zh-CN"/>
        </w:rPr>
        <w:t>的产生量分别为100mg和1000mg。</w:t>
      </w:r>
    </w:p>
    <w:p w14:paraId="7DE42EBE">
      <w:pPr>
        <w:pStyle w:val="36"/>
        <w:bidi w:val="0"/>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4.4</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6</w:t>
      </w:r>
      <w:r>
        <w:rPr>
          <w:color w:val="auto"/>
        </w:rPr>
        <w:fldChar w:fldCharType="end"/>
      </w:r>
      <w:r>
        <w:rPr>
          <w:rFonts w:hint="eastAsia"/>
          <w:color w:val="auto"/>
        </w:rPr>
        <w:t>废水生化处理废气产生量计算表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8"/>
        <w:gridCol w:w="1622"/>
        <w:gridCol w:w="864"/>
        <w:gridCol w:w="899"/>
        <w:gridCol w:w="1596"/>
        <w:gridCol w:w="899"/>
        <w:gridCol w:w="1004"/>
      </w:tblGrid>
      <w:tr w14:paraId="44ED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701" w:type="dxa"/>
            <w:vMerge w:val="restart"/>
            <w:vAlign w:val="center"/>
          </w:tcPr>
          <w:p w14:paraId="1CD99F03">
            <w:pPr>
              <w:pStyle w:val="36"/>
              <w:bidi w:val="0"/>
              <w:rPr>
                <w:color w:val="auto"/>
              </w:rPr>
            </w:pPr>
            <w:r>
              <w:rPr>
                <w:rFonts w:hint="eastAsia"/>
                <w:color w:val="auto"/>
                <w:lang w:val="en-US" w:eastAsia="zh-CN"/>
              </w:rPr>
              <w:t>废水处理</w:t>
            </w:r>
            <w:r>
              <w:rPr>
                <w:color w:val="auto"/>
              </w:rPr>
              <w:t>量（m</w:t>
            </w:r>
            <w:r>
              <w:rPr>
                <w:color w:val="auto"/>
                <w:vertAlign w:val="superscript"/>
              </w:rPr>
              <w:t>3</w:t>
            </w:r>
            <w:r>
              <w:rPr>
                <w:color w:val="auto"/>
              </w:rPr>
              <w:t>/a）</w:t>
            </w:r>
          </w:p>
        </w:tc>
        <w:tc>
          <w:tcPr>
            <w:tcW w:w="1700" w:type="dxa"/>
            <w:vMerge w:val="restart"/>
            <w:vAlign w:val="center"/>
          </w:tcPr>
          <w:p w14:paraId="56BFA836">
            <w:pPr>
              <w:pStyle w:val="36"/>
              <w:bidi w:val="0"/>
              <w:rPr>
                <w:color w:val="auto"/>
              </w:rPr>
            </w:pPr>
            <w:r>
              <w:rPr>
                <w:color w:val="auto"/>
              </w:rPr>
              <w:t>COD削减量（t/a）</w:t>
            </w:r>
          </w:p>
        </w:tc>
        <w:tc>
          <w:tcPr>
            <w:tcW w:w="1720" w:type="dxa"/>
            <w:gridSpan w:val="2"/>
            <w:vAlign w:val="center"/>
          </w:tcPr>
          <w:p w14:paraId="3A529B54">
            <w:pPr>
              <w:pStyle w:val="36"/>
              <w:bidi w:val="0"/>
              <w:rPr>
                <w:color w:val="auto"/>
              </w:rPr>
            </w:pPr>
            <w:r>
              <w:rPr>
                <w:color w:val="auto"/>
              </w:rPr>
              <w:t>废气污染物总产生量（t/a）</w:t>
            </w:r>
          </w:p>
        </w:tc>
        <w:tc>
          <w:tcPr>
            <w:tcW w:w="1700" w:type="dxa"/>
            <w:vMerge w:val="restart"/>
            <w:vAlign w:val="center"/>
          </w:tcPr>
          <w:p w14:paraId="37DADFE0">
            <w:pPr>
              <w:pStyle w:val="36"/>
              <w:bidi w:val="0"/>
              <w:rPr>
                <w:color w:val="auto"/>
              </w:rPr>
            </w:pPr>
            <w:r>
              <w:rPr>
                <w:color w:val="auto"/>
              </w:rPr>
              <w:t>收集效率</w:t>
            </w:r>
          </w:p>
        </w:tc>
        <w:tc>
          <w:tcPr>
            <w:tcW w:w="1701" w:type="dxa"/>
            <w:gridSpan w:val="2"/>
            <w:vAlign w:val="center"/>
          </w:tcPr>
          <w:p w14:paraId="64985EBC">
            <w:pPr>
              <w:pStyle w:val="36"/>
              <w:bidi w:val="0"/>
              <w:rPr>
                <w:color w:val="auto"/>
              </w:rPr>
            </w:pPr>
            <w:r>
              <w:rPr>
                <w:color w:val="auto"/>
              </w:rPr>
              <w:t>有组织VOCs产生量（t/a）</w:t>
            </w:r>
          </w:p>
        </w:tc>
      </w:tr>
      <w:tr w14:paraId="777C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701" w:type="dxa"/>
            <w:vMerge w:val="continue"/>
            <w:vAlign w:val="center"/>
          </w:tcPr>
          <w:p w14:paraId="329983BC">
            <w:pPr>
              <w:pStyle w:val="36"/>
              <w:bidi w:val="0"/>
              <w:rPr>
                <w:color w:val="auto"/>
              </w:rPr>
            </w:pPr>
          </w:p>
        </w:tc>
        <w:tc>
          <w:tcPr>
            <w:tcW w:w="1700" w:type="dxa"/>
            <w:vMerge w:val="continue"/>
            <w:vAlign w:val="center"/>
          </w:tcPr>
          <w:p w14:paraId="3A6398AF">
            <w:pPr>
              <w:pStyle w:val="36"/>
              <w:bidi w:val="0"/>
              <w:rPr>
                <w:color w:val="auto"/>
              </w:rPr>
            </w:pPr>
          </w:p>
        </w:tc>
        <w:tc>
          <w:tcPr>
            <w:tcW w:w="871" w:type="dxa"/>
            <w:vAlign w:val="center"/>
          </w:tcPr>
          <w:p w14:paraId="2DC069A4">
            <w:pPr>
              <w:pStyle w:val="36"/>
              <w:bidi w:val="0"/>
              <w:rPr>
                <w:color w:val="auto"/>
              </w:rPr>
            </w:pPr>
            <w:r>
              <w:rPr>
                <w:rFonts w:hint="default"/>
                <w:color w:val="auto"/>
                <w:lang w:val="en-US" w:eastAsia="zh-CN"/>
              </w:rPr>
              <w:t>H</w:t>
            </w:r>
            <w:r>
              <w:rPr>
                <w:rFonts w:hint="default"/>
                <w:color w:val="auto"/>
                <w:vertAlign w:val="subscript"/>
                <w:lang w:val="en-US" w:eastAsia="zh-CN"/>
              </w:rPr>
              <w:t>2</w:t>
            </w:r>
            <w:r>
              <w:rPr>
                <w:rFonts w:hint="default"/>
                <w:color w:val="auto"/>
                <w:lang w:val="en-US" w:eastAsia="zh-CN"/>
              </w:rPr>
              <w:t>S</w:t>
            </w:r>
          </w:p>
        </w:tc>
        <w:tc>
          <w:tcPr>
            <w:tcW w:w="849" w:type="dxa"/>
            <w:vAlign w:val="center"/>
          </w:tcPr>
          <w:p w14:paraId="1AC2A379">
            <w:pPr>
              <w:pStyle w:val="36"/>
              <w:bidi w:val="0"/>
              <w:rPr>
                <w:color w:val="auto"/>
              </w:rPr>
            </w:pPr>
            <w:r>
              <w:rPr>
                <w:rFonts w:hint="default"/>
                <w:color w:val="auto"/>
                <w:lang w:val="en-US" w:eastAsia="zh-CN"/>
              </w:rPr>
              <w:t>NH</w:t>
            </w:r>
            <w:r>
              <w:rPr>
                <w:rFonts w:hint="default"/>
                <w:color w:val="auto"/>
                <w:vertAlign w:val="subscript"/>
                <w:lang w:val="en-US" w:eastAsia="zh-CN"/>
              </w:rPr>
              <w:t>3</w:t>
            </w:r>
          </w:p>
        </w:tc>
        <w:tc>
          <w:tcPr>
            <w:tcW w:w="1700" w:type="dxa"/>
            <w:vMerge w:val="continue"/>
            <w:vAlign w:val="center"/>
          </w:tcPr>
          <w:p w14:paraId="01355066">
            <w:pPr>
              <w:pStyle w:val="36"/>
              <w:bidi w:val="0"/>
              <w:rPr>
                <w:color w:val="auto"/>
              </w:rPr>
            </w:pPr>
          </w:p>
        </w:tc>
        <w:tc>
          <w:tcPr>
            <w:tcW w:w="850" w:type="dxa"/>
            <w:vAlign w:val="center"/>
          </w:tcPr>
          <w:p w14:paraId="4223D653">
            <w:pPr>
              <w:pStyle w:val="36"/>
              <w:bidi w:val="0"/>
              <w:rPr>
                <w:color w:val="auto"/>
              </w:rPr>
            </w:pPr>
            <w:r>
              <w:rPr>
                <w:rFonts w:hint="default"/>
                <w:color w:val="auto"/>
                <w:lang w:val="en-US" w:eastAsia="zh-CN"/>
              </w:rPr>
              <w:t>H</w:t>
            </w:r>
            <w:r>
              <w:rPr>
                <w:rFonts w:hint="default"/>
                <w:color w:val="auto"/>
                <w:vertAlign w:val="subscript"/>
                <w:lang w:val="en-US" w:eastAsia="zh-CN"/>
              </w:rPr>
              <w:t>2</w:t>
            </w:r>
            <w:r>
              <w:rPr>
                <w:rFonts w:hint="default"/>
                <w:color w:val="auto"/>
                <w:lang w:val="en-US" w:eastAsia="zh-CN"/>
              </w:rPr>
              <w:t>S</w:t>
            </w:r>
          </w:p>
        </w:tc>
        <w:tc>
          <w:tcPr>
            <w:tcW w:w="851" w:type="dxa"/>
            <w:vAlign w:val="center"/>
          </w:tcPr>
          <w:p w14:paraId="73073DBB">
            <w:pPr>
              <w:pStyle w:val="36"/>
              <w:bidi w:val="0"/>
              <w:rPr>
                <w:color w:val="auto"/>
              </w:rPr>
            </w:pPr>
            <w:r>
              <w:rPr>
                <w:rFonts w:hint="default"/>
                <w:color w:val="auto"/>
                <w:lang w:val="en-US" w:eastAsia="zh-CN"/>
              </w:rPr>
              <w:t>NH</w:t>
            </w:r>
            <w:r>
              <w:rPr>
                <w:rFonts w:hint="default"/>
                <w:color w:val="auto"/>
                <w:vertAlign w:val="subscript"/>
                <w:lang w:val="en-US" w:eastAsia="zh-CN"/>
              </w:rPr>
              <w:t>3</w:t>
            </w:r>
          </w:p>
        </w:tc>
      </w:tr>
      <w:tr w14:paraId="546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shd w:val="clear" w:color="auto" w:fill="auto"/>
            <w:vAlign w:val="top"/>
          </w:tcPr>
          <w:p w14:paraId="0D003FFD">
            <w:pPr>
              <w:pStyle w:val="26"/>
              <w:bidi w:val="0"/>
              <w:rPr>
                <w:rFonts w:hint="default"/>
                <w:color w:val="auto"/>
                <w:lang w:val="en-US" w:eastAsia="zh-CN"/>
              </w:rPr>
            </w:pPr>
            <w:r>
              <w:rPr>
                <w:rFonts w:hint="default"/>
                <w:color w:val="auto"/>
                <w:lang w:val="en-US" w:eastAsia="zh-CN"/>
              </w:rPr>
              <w:t>63752.5</w:t>
            </w:r>
          </w:p>
        </w:tc>
        <w:tc>
          <w:tcPr>
            <w:tcW w:w="1700" w:type="dxa"/>
            <w:shd w:val="clear" w:color="auto" w:fill="auto"/>
            <w:vAlign w:val="center"/>
          </w:tcPr>
          <w:p w14:paraId="39C818E7">
            <w:pPr>
              <w:pStyle w:val="26"/>
              <w:bidi w:val="0"/>
              <w:rPr>
                <w:rFonts w:hint="default"/>
                <w:lang w:val="en-US" w:eastAsia="zh-CN"/>
              </w:rPr>
            </w:pPr>
            <w:r>
              <w:rPr>
                <w:rFonts w:hint="default"/>
                <w:lang w:val="en-US" w:eastAsia="zh-CN"/>
              </w:rPr>
              <w:t>65</w:t>
            </w:r>
          </w:p>
        </w:tc>
        <w:tc>
          <w:tcPr>
            <w:tcW w:w="871" w:type="dxa"/>
            <w:shd w:val="clear" w:color="auto" w:fill="auto"/>
            <w:vAlign w:val="center"/>
          </w:tcPr>
          <w:p w14:paraId="791051C3">
            <w:pPr>
              <w:pStyle w:val="26"/>
              <w:bidi w:val="0"/>
              <w:rPr>
                <w:rFonts w:hint="default"/>
                <w:lang w:val="en-US" w:eastAsia="zh-CN"/>
              </w:rPr>
            </w:pPr>
            <w:r>
              <w:rPr>
                <w:rFonts w:hint="default"/>
                <w:lang w:val="en-US" w:eastAsia="zh-CN"/>
              </w:rPr>
              <w:t>0.0065</w:t>
            </w:r>
          </w:p>
        </w:tc>
        <w:tc>
          <w:tcPr>
            <w:tcW w:w="849" w:type="dxa"/>
            <w:shd w:val="clear" w:color="auto" w:fill="auto"/>
            <w:vAlign w:val="center"/>
          </w:tcPr>
          <w:p w14:paraId="2FBB333E">
            <w:pPr>
              <w:pStyle w:val="26"/>
              <w:bidi w:val="0"/>
              <w:rPr>
                <w:rFonts w:hint="default"/>
                <w:lang w:val="en-US" w:eastAsia="zh-CN"/>
              </w:rPr>
            </w:pPr>
            <w:r>
              <w:rPr>
                <w:rFonts w:hint="default"/>
                <w:lang w:val="en-US" w:eastAsia="zh-CN"/>
              </w:rPr>
              <w:t>0.00065</w:t>
            </w:r>
          </w:p>
        </w:tc>
        <w:tc>
          <w:tcPr>
            <w:tcW w:w="1700" w:type="dxa"/>
            <w:shd w:val="clear" w:color="auto" w:fill="auto"/>
            <w:vAlign w:val="center"/>
          </w:tcPr>
          <w:p w14:paraId="4447C0CC">
            <w:pPr>
              <w:pStyle w:val="26"/>
              <w:bidi w:val="0"/>
              <w:rPr>
                <w:rFonts w:hint="default"/>
                <w:lang w:val="en-US" w:eastAsia="zh-CN"/>
              </w:rPr>
            </w:pPr>
            <w:r>
              <w:rPr>
                <w:rFonts w:hint="default"/>
                <w:lang w:val="en-US" w:eastAsia="zh-CN"/>
              </w:rPr>
              <w:t>90%</w:t>
            </w:r>
          </w:p>
        </w:tc>
        <w:tc>
          <w:tcPr>
            <w:tcW w:w="850" w:type="dxa"/>
            <w:shd w:val="clear" w:color="auto" w:fill="auto"/>
            <w:vAlign w:val="center"/>
          </w:tcPr>
          <w:p w14:paraId="1B71655F">
            <w:pPr>
              <w:pStyle w:val="26"/>
              <w:bidi w:val="0"/>
              <w:rPr>
                <w:rFonts w:hint="default"/>
                <w:lang w:val="en-US" w:eastAsia="zh-CN"/>
              </w:rPr>
            </w:pPr>
            <w:r>
              <w:rPr>
                <w:rFonts w:hint="default"/>
                <w:lang w:val="en-US" w:eastAsia="zh-CN"/>
              </w:rPr>
              <w:t>0.00585</w:t>
            </w:r>
          </w:p>
        </w:tc>
        <w:tc>
          <w:tcPr>
            <w:tcW w:w="851" w:type="dxa"/>
            <w:shd w:val="clear" w:color="auto" w:fill="auto"/>
            <w:vAlign w:val="center"/>
          </w:tcPr>
          <w:p w14:paraId="1788F25A">
            <w:pPr>
              <w:pStyle w:val="26"/>
              <w:bidi w:val="0"/>
              <w:rPr>
                <w:rFonts w:hint="eastAsia"/>
                <w:lang w:val="en-US" w:eastAsia="zh-CN"/>
              </w:rPr>
            </w:pPr>
            <w:r>
              <w:rPr>
                <w:rFonts w:hint="default"/>
                <w:lang w:val="en-US" w:eastAsia="zh-CN"/>
              </w:rPr>
              <w:t>0.000585</w:t>
            </w:r>
          </w:p>
        </w:tc>
      </w:tr>
    </w:tbl>
    <w:p w14:paraId="0A7DFDD9">
      <w:pPr>
        <w:pStyle w:val="26"/>
        <w:bidi w:val="0"/>
        <w:rPr>
          <w:color w:val="auto"/>
        </w:rPr>
      </w:pPr>
    </w:p>
    <w:p w14:paraId="33830925">
      <w:pPr>
        <w:pStyle w:val="6"/>
        <w:bidi w:val="0"/>
        <w:rPr>
          <w:color w:val="auto"/>
        </w:rPr>
      </w:pPr>
      <w:r>
        <w:rPr>
          <w:rFonts w:hint="eastAsia"/>
          <w:color w:val="auto"/>
          <w:lang w:val="en-US" w:eastAsia="zh-CN"/>
        </w:rPr>
        <w:t>危废仓库废气</w:t>
      </w:r>
    </w:p>
    <w:p w14:paraId="047C48A9">
      <w:pPr>
        <w:rPr>
          <w:rFonts w:hint="eastAsia"/>
          <w:color w:val="auto"/>
        </w:rPr>
      </w:pPr>
      <w:r>
        <w:rPr>
          <w:rFonts w:hint="eastAsia"/>
          <w:color w:val="auto"/>
        </w:rPr>
        <w:t>危废库废气VOCs产生量约按危废产生量的千分之一估算。危废库废气通过车间换气方式收集后，经“</w:t>
      </w:r>
      <w:r>
        <w:rPr>
          <w:rFonts w:hint="eastAsia"/>
          <w:color w:val="auto"/>
          <w:lang w:val="en-US" w:eastAsia="zh-CN"/>
        </w:rPr>
        <w:t>二级</w:t>
      </w:r>
      <w:r>
        <w:rPr>
          <w:rFonts w:hint="eastAsia"/>
          <w:color w:val="auto"/>
        </w:rPr>
        <w:t>活性炭吸附”（依托现有）处理后通过15m高的排气筒</w:t>
      </w:r>
      <w:r>
        <w:rPr>
          <w:rFonts w:hint="eastAsia"/>
          <w:color w:val="auto"/>
          <w:lang w:val="en-US" w:eastAsia="zh-CN"/>
        </w:rPr>
        <w:t>DA006</w:t>
      </w:r>
      <w:r>
        <w:rPr>
          <w:rFonts w:hint="eastAsia"/>
          <w:color w:val="auto"/>
        </w:rPr>
        <w:t>（依托现有）排放</w:t>
      </w:r>
      <w:r>
        <w:rPr>
          <w:rFonts w:hint="eastAsia"/>
          <w:color w:val="auto"/>
          <w:lang w:eastAsia="zh-CN"/>
        </w:rPr>
        <w:t>，</w:t>
      </w:r>
      <w:r>
        <w:rPr>
          <w:rFonts w:hint="eastAsia"/>
          <w:color w:val="auto"/>
        </w:rPr>
        <w:t>废气收集效率为90%，去除率为90%。</w:t>
      </w:r>
    </w:p>
    <w:p w14:paraId="7DCB7EF2">
      <w:pPr>
        <w:rPr>
          <w:rFonts w:hint="eastAsia" w:ascii="Times New Roman" w:hAnsi="Times New Roman"/>
          <w:color w:val="auto"/>
          <w:lang w:eastAsia="zh-CN"/>
        </w:rPr>
      </w:pPr>
    </w:p>
    <w:p w14:paraId="4DE71E1C">
      <w:pPr>
        <w:rPr>
          <w:rFonts w:hint="eastAsia"/>
          <w:color w:val="auto"/>
        </w:rPr>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192CCD9">
      <w:pPr>
        <w:pStyle w:val="5"/>
        <w:ind w:firstLine="301"/>
        <w:rPr>
          <w:color w:val="auto"/>
        </w:rPr>
      </w:pPr>
      <w:r>
        <w:rPr>
          <w:rFonts w:hint="eastAsia"/>
          <w:color w:val="auto"/>
        </w:rPr>
        <w:t>无组织废气</w:t>
      </w:r>
    </w:p>
    <w:p w14:paraId="547D8247">
      <w:pPr>
        <w:rPr>
          <w:rFonts w:hint="eastAsia"/>
          <w:color w:val="auto"/>
          <w:lang w:val="en-US" w:eastAsia="zh-CN"/>
        </w:rPr>
      </w:pPr>
      <w:r>
        <w:rPr>
          <w:rFonts w:hint="eastAsia"/>
          <w:color w:val="auto"/>
        </w:rPr>
        <w:t>本项目无组织</w:t>
      </w:r>
      <w:r>
        <w:rPr>
          <w:rFonts w:hint="eastAsia"/>
          <w:color w:val="auto"/>
          <w:lang w:val="en-US" w:eastAsia="zh-CN"/>
        </w:rPr>
        <w:t>废气主要为生产车间、污水处理设施、危废仓库未捕集的废气。</w:t>
      </w:r>
    </w:p>
    <w:p w14:paraId="678BD238">
      <w:pPr>
        <w:rPr>
          <w:color w:val="auto"/>
        </w:rPr>
      </w:pPr>
      <w:r>
        <w:rPr>
          <w:rFonts w:hint="eastAsia"/>
          <w:color w:val="auto"/>
          <w:lang w:val="en-US" w:eastAsia="zh-CN"/>
        </w:rPr>
        <w:t>本项目无组织排放</w:t>
      </w:r>
      <w:r>
        <w:rPr>
          <w:rFonts w:hint="eastAsia"/>
          <w:color w:val="auto"/>
        </w:rPr>
        <w:t>情况见下表。</w:t>
      </w:r>
    </w:p>
    <w:p w14:paraId="7A0C9691">
      <w:pPr>
        <w:pStyle w:val="25"/>
        <w:rPr>
          <w:color w:val="auto"/>
        </w:rPr>
      </w:pPr>
      <w:bookmarkStart w:id="197" w:name="_Ref162427633"/>
      <w:bookmarkStart w:id="198" w:name="_Hlk160125784"/>
      <w:r>
        <w:rPr>
          <w:color w:val="auto"/>
        </w:rPr>
        <w:t>表</w:t>
      </w:r>
      <w:r>
        <w:rPr>
          <w:color w:val="auto"/>
        </w:rPr>
        <w:fldChar w:fldCharType="begin"/>
      </w:r>
      <w:r>
        <w:rPr>
          <w:color w:val="auto"/>
        </w:rPr>
        <w:instrText xml:space="preserve"> STYLEREF 2 \s </w:instrText>
      </w:r>
      <w:r>
        <w:rPr>
          <w:color w:val="auto"/>
        </w:rPr>
        <w:fldChar w:fldCharType="separate"/>
      </w:r>
      <w:r>
        <w:rPr>
          <w:color w:val="auto"/>
        </w:rPr>
        <w:t>4.5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7</w:t>
      </w:r>
      <w:r>
        <w:rPr>
          <w:color w:val="auto"/>
        </w:rPr>
        <w:fldChar w:fldCharType="end"/>
      </w:r>
      <w:bookmarkEnd w:id="197"/>
      <w:bookmarkEnd w:id="198"/>
      <w:r>
        <w:rPr>
          <w:rFonts w:hint="eastAsia"/>
          <w:color w:val="auto"/>
        </w:rPr>
        <w:t>本项目无组织废气产生及排放情况</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49"/>
        <w:gridCol w:w="1521"/>
        <w:gridCol w:w="1354"/>
        <w:gridCol w:w="1459"/>
        <w:gridCol w:w="813"/>
        <w:gridCol w:w="813"/>
        <w:gridCol w:w="813"/>
        <w:gridCol w:w="1000"/>
      </w:tblGrid>
      <w:tr w14:paraId="0665D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restart"/>
            <w:tcBorders>
              <w:tl2br w:val="nil"/>
              <w:tr2bl w:val="nil"/>
            </w:tcBorders>
            <w:shd w:val="clear" w:color="auto" w:fill="auto"/>
            <w:vAlign w:val="center"/>
          </w:tcPr>
          <w:p w14:paraId="5D34BBE5">
            <w:pPr>
              <w:pStyle w:val="36"/>
              <w:bidi w:val="0"/>
              <w:rPr>
                <w:rFonts w:hint="eastAsia"/>
                <w:color w:val="auto"/>
              </w:rPr>
            </w:pPr>
            <w:r>
              <w:rPr>
                <w:rFonts w:hint="eastAsia"/>
                <w:color w:val="auto"/>
                <w:lang w:val="en-US" w:eastAsia="zh-CN"/>
              </w:rPr>
              <w:t>污染源</w:t>
            </w:r>
          </w:p>
        </w:tc>
        <w:tc>
          <w:tcPr>
            <w:tcW w:w="1521" w:type="dxa"/>
            <w:vMerge w:val="restart"/>
            <w:tcBorders>
              <w:tl2br w:val="nil"/>
              <w:tr2bl w:val="nil"/>
            </w:tcBorders>
            <w:shd w:val="clear" w:color="auto" w:fill="auto"/>
            <w:vAlign w:val="center"/>
          </w:tcPr>
          <w:p w14:paraId="50BD3972">
            <w:pPr>
              <w:pStyle w:val="36"/>
              <w:bidi w:val="0"/>
              <w:rPr>
                <w:rFonts w:hint="eastAsia"/>
                <w:color w:val="auto"/>
              </w:rPr>
            </w:pPr>
            <w:r>
              <w:rPr>
                <w:rFonts w:hint="eastAsia"/>
                <w:color w:val="auto"/>
                <w:lang w:val="en-US" w:eastAsia="zh-CN"/>
              </w:rPr>
              <w:t>污染物名称</w:t>
            </w:r>
          </w:p>
        </w:tc>
        <w:tc>
          <w:tcPr>
            <w:tcW w:w="2813" w:type="dxa"/>
            <w:gridSpan w:val="2"/>
            <w:tcBorders>
              <w:tl2br w:val="nil"/>
              <w:tr2bl w:val="nil"/>
            </w:tcBorders>
            <w:shd w:val="clear" w:color="auto" w:fill="auto"/>
            <w:vAlign w:val="center"/>
          </w:tcPr>
          <w:p w14:paraId="4CBEDFCB">
            <w:pPr>
              <w:pStyle w:val="36"/>
              <w:bidi w:val="0"/>
              <w:rPr>
                <w:rFonts w:hint="eastAsia"/>
                <w:color w:val="auto"/>
              </w:rPr>
            </w:pPr>
            <w:r>
              <w:rPr>
                <w:rFonts w:hint="eastAsia"/>
                <w:color w:val="auto"/>
                <w:lang w:val="en-US" w:eastAsia="zh-CN"/>
              </w:rPr>
              <w:t>无组织排放量</w:t>
            </w:r>
          </w:p>
        </w:tc>
        <w:tc>
          <w:tcPr>
            <w:tcW w:w="0" w:type="auto"/>
            <w:gridSpan w:val="3"/>
            <w:tcBorders>
              <w:tl2br w:val="nil"/>
              <w:tr2bl w:val="nil"/>
            </w:tcBorders>
            <w:shd w:val="clear" w:color="auto" w:fill="auto"/>
            <w:vAlign w:val="center"/>
          </w:tcPr>
          <w:p w14:paraId="169F66C8">
            <w:pPr>
              <w:pStyle w:val="36"/>
              <w:bidi w:val="0"/>
              <w:rPr>
                <w:rFonts w:hint="eastAsia"/>
                <w:color w:val="auto"/>
              </w:rPr>
            </w:pPr>
            <w:r>
              <w:rPr>
                <w:rFonts w:hint="eastAsia"/>
                <w:color w:val="auto"/>
                <w:lang w:val="en-US" w:eastAsia="zh-CN"/>
              </w:rPr>
              <w:t>排放源参数</w:t>
            </w:r>
          </w:p>
        </w:tc>
        <w:tc>
          <w:tcPr>
            <w:tcW w:w="1000" w:type="dxa"/>
            <w:vMerge w:val="restart"/>
            <w:tcBorders>
              <w:tl2br w:val="nil"/>
              <w:tr2bl w:val="nil"/>
            </w:tcBorders>
            <w:shd w:val="clear" w:color="auto" w:fill="auto"/>
            <w:vAlign w:val="center"/>
          </w:tcPr>
          <w:p w14:paraId="6840D1B0">
            <w:pPr>
              <w:pStyle w:val="36"/>
              <w:bidi w:val="0"/>
              <w:rPr>
                <w:rFonts w:hint="eastAsia"/>
                <w:color w:val="auto"/>
              </w:rPr>
            </w:pPr>
            <w:r>
              <w:rPr>
                <w:rFonts w:hint="eastAsia"/>
                <w:color w:val="auto"/>
                <w:lang w:val="en-US" w:eastAsia="zh-CN"/>
              </w:rPr>
              <w:t>排放时长（h）</w:t>
            </w:r>
          </w:p>
        </w:tc>
      </w:tr>
      <w:tr w14:paraId="50F63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749" w:type="dxa"/>
            <w:vMerge w:val="continue"/>
            <w:tcBorders>
              <w:tl2br w:val="nil"/>
              <w:tr2bl w:val="nil"/>
            </w:tcBorders>
            <w:shd w:val="clear" w:color="auto" w:fill="auto"/>
            <w:vAlign w:val="center"/>
          </w:tcPr>
          <w:p w14:paraId="164D3EB5">
            <w:pPr>
              <w:pStyle w:val="36"/>
              <w:bidi w:val="0"/>
              <w:rPr>
                <w:rFonts w:hint="eastAsia"/>
                <w:color w:val="auto"/>
              </w:rPr>
            </w:pPr>
          </w:p>
        </w:tc>
        <w:tc>
          <w:tcPr>
            <w:tcW w:w="1521" w:type="dxa"/>
            <w:vMerge w:val="continue"/>
            <w:tcBorders>
              <w:tl2br w:val="nil"/>
              <w:tr2bl w:val="nil"/>
            </w:tcBorders>
            <w:shd w:val="clear" w:color="auto" w:fill="auto"/>
            <w:vAlign w:val="center"/>
          </w:tcPr>
          <w:p w14:paraId="3B2D5570">
            <w:pPr>
              <w:pStyle w:val="36"/>
              <w:bidi w:val="0"/>
              <w:rPr>
                <w:rFonts w:hint="eastAsia"/>
                <w:color w:val="auto"/>
              </w:rPr>
            </w:pPr>
          </w:p>
        </w:tc>
        <w:tc>
          <w:tcPr>
            <w:tcW w:w="1354" w:type="dxa"/>
            <w:tcBorders>
              <w:tl2br w:val="nil"/>
              <w:tr2bl w:val="nil"/>
            </w:tcBorders>
            <w:shd w:val="clear" w:color="auto" w:fill="auto"/>
            <w:vAlign w:val="center"/>
          </w:tcPr>
          <w:p w14:paraId="56E9D0BD">
            <w:pPr>
              <w:pStyle w:val="36"/>
              <w:bidi w:val="0"/>
              <w:rPr>
                <w:rFonts w:hint="eastAsia"/>
                <w:color w:val="auto"/>
              </w:rPr>
            </w:pPr>
            <w:r>
              <w:rPr>
                <w:rFonts w:hint="eastAsia"/>
                <w:color w:val="auto"/>
                <w:lang w:val="en-US" w:eastAsia="zh-CN"/>
              </w:rPr>
              <w:t>速率(kg/h)</w:t>
            </w:r>
          </w:p>
        </w:tc>
        <w:tc>
          <w:tcPr>
            <w:tcW w:w="1459" w:type="dxa"/>
            <w:tcBorders>
              <w:tl2br w:val="nil"/>
              <w:tr2bl w:val="nil"/>
            </w:tcBorders>
            <w:shd w:val="clear" w:color="auto" w:fill="auto"/>
            <w:vAlign w:val="center"/>
          </w:tcPr>
          <w:p w14:paraId="0F246EBE">
            <w:pPr>
              <w:pStyle w:val="36"/>
              <w:bidi w:val="0"/>
              <w:rPr>
                <w:rFonts w:hint="eastAsia"/>
                <w:color w:val="auto"/>
              </w:rPr>
            </w:pPr>
            <w:r>
              <w:rPr>
                <w:rFonts w:hint="eastAsia"/>
                <w:color w:val="auto"/>
                <w:lang w:val="en-US" w:eastAsia="zh-CN"/>
              </w:rPr>
              <w:t>年排放量（t/a）</w:t>
            </w:r>
          </w:p>
        </w:tc>
        <w:tc>
          <w:tcPr>
            <w:tcW w:w="0" w:type="auto"/>
            <w:tcBorders>
              <w:tl2br w:val="nil"/>
              <w:tr2bl w:val="nil"/>
            </w:tcBorders>
            <w:shd w:val="clear" w:color="auto" w:fill="auto"/>
            <w:vAlign w:val="center"/>
          </w:tcPr>
          <w:p w14:paraId="75486448">
            <w:pPr>
              <w:pStyle w:val="36"/>
              <w:bidi w:val="0"/>
              <w:rPr>
                <w:rFonts w:hint="eastAsia"/>
                <w:color w:val="auto"/>
              </w:rPr>
            </w:pPr>
            <w:r>
              <w:rPr>
                <w:rFonts w:hint="eastAsia"/>
                <w:color w:val="auto"/>
                <w:lang w:val="en-US" w:eastAsia="zh-CN"/>
              </w:rPr>
              <w:t>长（m）</w:t>
            </w:r>
          </w:p>
        </w:tc>
        <w:tc>
          <w:tcPr>
            <w:tcW w:w="0" w:type="auto"/>
            <w:tcBorders>
              <w:tl2br w:val="nil"/>
              <w:tr2bl w:val="nil"/>
            </w:tcBorders>
            <w:shd w:val="clear" w:color="auto" w:fill="auto"/>
            <w:vAlign w:val="center"/>
          </w:tcPr>
          <w:p w14:paraId="7E396A35">
            <w:pPr>
              <w:pStyle w:val="36"/>
              <w:bidi w:val="0"/>
              <w:rPr>
                <w:rFonts w:hint="eastAsia"/>
                <w:color w:val="auto"/>
              </w:rPr>
            </w:pPr>
            <w:r>
              <w:rPr>
                <w:rFonts w:hint="eastAsia"/>
                <w:color w:val="auto"/>
                <w:lang w:val="en-US" w:eastAsia="zh-CN"/>
              </w:rPr>
              <w:t>宽（m）</w:t>
            </w:r>
          </w:p>
        </w:tc>
        <w:tc>
          <w:tcPr>
            <w:tcW w:w="0" w:type="auto"/>
            <w:tcBorders>
              <w:tl2br w:val="nil"/>
              <w:tr2bl w:val="nil"/>
            </w:tcBorders>
            <w:shd w:val="clear" w:color="auto" w:fill="auto"/>
            <w:vAlign w:val="center"/>
          </w:tcPr>
          <w:p w14:paraId="6B245EC2">
            <w:pPr>
              <w:pStyle w:val="36"/>
              <w:bidi w:val="0"/>
              <w:rPr>
                <w:rFonts w:hint="eastAsia"/>
                <w:color w:val="auto"/>
              </w:rPr>
            </w:pPr>
            <w:r>
              <w:rPr>
                <w:rFonts w:hint="eastAsia"/>
                <w:color w:val="auto"/>
                <w:lang w:val="en-US" w:eastAsia="zh-CN"/>
              </w:rPr>
              <w:t>高（m）</w:t>
            </w:r>
          </w:p>
        </w:tc>
        <w:tc>
          <w:tcPr>
            <w:tcW w:w="1000" w:type="dxa"/>
            <w:vMerge w:val="continue"/>
            <w:tcBorders>
              <w:tl2br w:val="nil"/>
              <w:tr2bl w:val="nil"/>
            </w:tcBorders>
            <w:shd w:val="clear" w:color="auto" w:fill="auto"/>
            <w:vAlign w:val="center"/>
          </w:tcPr>
          <w:p w14:paraId="100EF69A">
            <w:pPr>
              <w:pStyle w:val="26"/>
              <w:bidi w:val="0"/>
              <w:rPr>
                <w:rFonts w:hint="eastAsia"/>
                <w:color w:val="auto"/>
              </w:rPr>
            </w:pPr>
          </w:p>
        </w:tc>
      </w:tr>
      <w:tr w14:paraId="5A713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restart"/>
            <w:tcBorders>
              <w:tl2br w:val="nil"/>
              <w:tr2bl w:val="nil"/>
            </w:tcBorders>
            <w:shd w:val="clear" w:color="auto" w:fill="auto"/>
            <w:vAlign w:val="center"/>
          </w:tcPr>
          <w:p w14:paraId="27E39F9C">
            <w:pPr>
              <w:pStyle w:val="26"/>
              <w:bidi w:val="0"/>
              <w:jc w:val="center"/>
              <w:rPr>
                <w:rFonts w:hint="default"/>
                <w:color w:val="auto"/>
                <w:lang w:val="en-US"/>
              </w:rPr>
            </w:pPr>
            <w:r>
              <w:rPr>
                <w:rFonts w:hint="eastAsia"/>
                <w:color w:val="auto"/>
                <w:lang w:val="en-US" w:eastAsia="zh-CN"/>
              </w:rPr>
              <w:t>4#车间</w:t>
            </w:r>
          </w:p>
        </w:tc>
        <w:tc>
          <w:tcPr>
            <w:tcW w:w="1521" w:type="dxa"/>
            <w:tcBorders>
              <w:tl2br w:val="nil"/>
              <w:tr2bl w:val="nil"/>
            </w:tcBorders>
            <w:shd w:val="clear" w:color="auto" w:fill="auto"/>
            <w:vAlign w:val="center"/>
          </w:tcPr>
          <w:p w14:paraId="1F4A51F8">
            <w:pPr>
              <w:pStyle w:val="26"/>
              <w:bidi w:val="0"/>
              <w:rPr>
                <w:rFonts w:hint="eastAsia" w:eastAsia="仿宋_GB2312"/>
                <w:color w:val="auto"/>
                <w:lang w:val="en-US" w:eastAsia="zh-CN"/>
              </w:rPr>
            </w:pPr>
            <w:r>
              <w:rPr>
                <w:rFonts w:hint="eastAsia"/>
                <w:color w:val="auto"/>
                <w:lang w:val="en-US" w:eastAsia="zh-CN"/>
              </w:rPr>
              <w:t>颗粒物</w:t>
            </w:r>
          </w:p>
        </w:tc>
        <w:tc>
          <w:tcPr>
            <w:tcW w:w="1354" w:type="dxa"/>
            <w:tcBorders>
              <w:tl2br w:val="nil"/>
              <w:tr2bl w:val="nil"/>
            </w:tcBorders>
            <w:shd w:val="clear" w:color="auto" w:fill="auto"/>
            <w:vAlign w:val="center"/>
          </w:tcPr>
          <w:p w14:paraId="2B267FEF">
            <w:pPr>
              <w:pStyle w:val="26"/>
              <w:bidi w:val="0"/>
              <w:rPr>
                <w:rFonts w:hint="eastAsia"/>
              </w:rPr>
            </w:pPr>
            <w:r>
              <w:rPr>
                <w:rFonts w:hint="default"/>
                <w:lang w:val="en-US" w:eastAsia="zh-CN"/>
              </w:rPr>
              <w:t xml:space="preserve">0.0990 </w:t>
            </w:r>
          </w:p>
        </w:tc>
        <w:tc>
          <w:tcPr>
            <w:tcW w:w="1459" w:type="dxa"/>
            <w:tcBorders>
              <w:tl2br w:val="nil"/>
              <w:tr2bl w:val="nil"/>
            </w:tcBorders>
            <w:shd w:val="clear" w:color="auto" w:fill="auto"/>
            <w:vAlign w:val="center"/>
          </w:tcPr>
          <w:p w14:paraId="3FE753FD">
            <w:pPr>
              <w:pStyle w:val="26"/>
              <w:bidi w:val="0"/>
              <w:rPr>
                <w:rFonts w:hint="eastAsia"/>
              </w:rPr>
            </w:pPr>
            <w:r>
              <w:rPr>
                <w:rFonts w:hint="default"/>
                <w:lang w:val="en-US" w:eastAsia="zh-CN"/>
              </w:rPr>
              <w:t>0.713</w:t>
            </w:r>
          </w:p>
        </w:tc>
        <w:tc>
          <w:tcPr>
            <w:tcW w:w="0" w:type="auto"/>
            <w:vMerge w:val="restart"/>
            <w:tcBorders>
              <w:tl2br w:val="nil"/>
              <w:tr2bl w:val="nil"/>
            </w:tcBorders>
            <w:shd w:val="clear" w:color="auto" w:fill="auto"/>
            <w:vAlign w:val="center"/>
          </w:tcPr>
          <w:p w14:paraId="54EE1B52">
            <w:pPr>
              <w:pStyle w:val="26"/>
              <w:bidi w:val="0"/>
              <w:jc w:val="center"/>
              <w:rPr>
                <w:rFonts w:hint="default" w:eastAsia="仿宋_GB2312"/>
                <w:color w:val="auto"/>
                <w:lang w:val="en-US" w:eastAsia="zh-CN"/>
              </w:rPr>
            </w:pPr>
            <w:r>
              <w:rPr>
                <w:rFonts w:hint="eastAsia"/>
                <w:color w:val="auto"/>
                <w:lang w:val="en-US" w:eastAsia="zh-CN"/>
              </w:rPr>
              <w:t>68</w:t>
            </w:r>
          </w:p>
        </w:tc>
        <w:tc>
          <w:tcPr>
            <w:tcW w:w="0" w:type="auto"/>
            <w:vMerge w:val="restart"/>
            <w:tcBorders>
              <w:tl2br w:val="nil"/>
              <w:tr2bl w:val="nil"/>
            </w:tcBorders>
            <w:shd w:val="clear" w:color="auto" w:fill="auto"/>
            <w:vAlign w:val="center"/>
          </w:tcPr>
          <w:p w14:paraId="39A8994E">
            <w:pPr>
              <w:pStyle w:val="26"/>
              <w:bidi w:val="0"/>
              <w:jc w:val="center"/>
              <w:rPr>
                <w:rFonts w:hint="default" w:eastAsia="仿宋_GB2312"/>
                <w:color w:val="auto"/>
                <w:lang w:val="en-US" w:eastAsia="zh-CN"/>
              </w:rPr>
            </w:pPr>
            <w:r>
              <w:rPr>
                <w:rFonts w:hint="eastAsia"/>
                <w:color w:val="auto"/>
                <w:lang w:val="en-US" w:eastAsia="zh-CN"/>
              </w:rPr>
              <w:t>75</w:t>
            </w:r>
          </w:p>
        </w:tc>
        <w:tc>
          <w:tcPr>
            <w:tcW w:w="0" w:type="auto"/>
            <w:vMerge w:val="restart"/>
            <w:tcBorders>
              <w:tl2br w:val="nil"/>
              <w:tr2bl w:val="nil"/>
            </w:tcBorders>
            <w:shd w:val="clear" w:color="auto" w:fill="auto"/>
            <w:vAlign w:val="center"/>
          </w:tcPr>
          <w:p w14:paraId="0FD1A23A">
            <w:pPr>
              <w:pStyle w:val="26"/>
              <w:bidi w:val="0"/>
              <w:jc w:val="center"/>
              <w:rPr>
                <w:rFonts w:hint="default" w:eastAsia="仿宋_GB2312"/>
                <w:color w:val="auto"/>
                <w:lang w:val="en-US" w:eastAsia="zh-CN"/>
              </w:rPr>
            </w:pPr>
            <w:r>
              <w:rPr>
                <w:rFonts w:hint="eastAsia"/>
                <w:color w:val="auto"/>
                <w:lang w:val="en-US" w:eastAsia="zh-CN"/>
              </w:rPr>
              <w:t>39.1</w:t>
            </w:r>
          </w:p>
        </w:tc>
        <w:tc>
          <w:tcPr>
            <w:tcW w:w="1000" w:type="dxa"/>
            <w:vMerge w:val="restart"/>
            <w:tcBorders>
              <w:tl2br w:val="nil"/>
              <w:tr2bl w:val="nil"/>
            </w:tcBorders>
            <w:shd w:val="clear" w:color="auto" w:fill="auto"/>
            <w:vAlign w:val="center"/>
          </w:tcPr>
          <w:p w14:paraId="08CDCD5C">
            <w:pPr>
              <w:pStyle w:val="26"/>
              <w:bidi w:val="0"/>
              <w:jc w:val="center"/>
              <w:rPr>
                <w:rFonts w:hint="default" w:eastAsia="仿宋_GB2312"/>
                <w:color w:val="auto"/>
                <w:lang w:val="en-US" w:eastAsia="zh-CN"/>
              </w:rPr>
            </w:pPr>
            <w:r>
              <w:rPr>
                <w:rFonts w:hint="eastAsia"/>
                <w:color w:val="auto"/>
                <w:lang w:val="en-US" w:eastAsia="zh-CN"/>
              </w:rPr>
              <w:t>7200</w:t>
            </w:r>
          </w:p>
        </w:tc>
      </w:tr>
      <w:tr w14:paraId="6224E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16D0E0D3">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0D052A4E">
            <w:pPr>
              <w:pStyle w:val="26"/>
              <w:bidi w:val="0"/>
              <w:rPr>
                <w:rFonts w:hint="eastAsia"/>
                <w:lang w:val="en-US" w:eastAsia="zh-CN"/>
              </w:rPr>
            </w:pPr>
            <w:r>
              <w:rPr>
                <w:rFonts w:hint="eastAsia"/>
                <w:lang w:val="en-US" w:eastAsia="zh-CN"/>
              </w:rPr>
              <w:t>氯化氢</w:t>
            </w:r>
          </w:p>
        </w:tc>
        <w:tc>
          <w:tcPr>
            <w:tcW w:w="1354" w:type="dxa"/>
            <w:tcBorders>
              <w:tl2br w:val="nil"/>
              <w:tr2bl w:val="nil"/>
            </w:tcBorders>
            <w:shd w:val="clear" w:color="auto" w:fill="auto"/>
            <w:vAlign w:val="center"/>
          </w:tcPr>
          <w:p w14:paraId="5D23E7DA">
            <w:pPr>
              <w:pStyle w:val="26"/>
              <w:bidi w:val="0"/>
              <w:rPr>
                <w:rFonts w:hint="eastAsia"/>
              </w:rPr>
            </w:pPr>
            <w:r>
              <w:rPr>
                <w:rFonts w:hint="default"/>
                <w:lang w:val="en-US" w:eastAsia="zh-CN"/>
              </w:rPr>
              <w:t xml:space="preserve">0.0120 </w:t>
            </w:r>
          </w:p>
        </w:tc>
        <w:tc>
          <w:tcPr>
            <w:tcW w:w="1459" w:type="dxa"/>
            <w:tcBorders>
              <w:tl2br w:val="nil"/>
              <w:tr2bl w:val="nil"/>
            </w:tcBorders>
            <w:shd w:val="clear" w:color="auto" w:fill="auto"/>
            <w:vAlign w:val="center"/>
          </w:tcPr>
          <w:p w14:paraId="25166BC5">
            <w:pPr>
              <w:pStyle w:val="26"/>
              <w:bidi w:val="0"/>
              <w:rPr>
                <w:rFonts w:hint="eastAsia"/>
              </w:rPr>
            </w:pPr>
            <w:r>
              <w:rPr>
                <w:rFonts w:hint="default"/>
                <w:lang w:val="en-US" w:eastAsia="zh-CN"/>
              </w:rPr>
              <w:t xml:space="preserve">0.08619 </w:t>
            </w:r>
          </w:p>
        </w:tc>
        <w:tc>
          <w:tcPr>
            <w:tcW w:w="0" w:type="auto"/>
            <w:vMerge w:val="continue"/>
            <w:tcBorders>
              <w:tl2br w:val="nil"/>
              <w:tr2bl w:val="nil"/>
            </w:tcBorders>
            <w:shd w:val="clear" w:color="auto" w:fill="auto"/>
            <w:vAlign w:val="center"/>
          </w:tcPr>
          <w:p w14:paraId="6090A109">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48CFF2E3">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539ED9C2">
            <w:pPr>
              <w:pStyle w:val="26"/>
              <w:bidi w:val="0"/>
              <w:jc w:val="center"/>
              <w:rPr>
                <w:rFonts w:hint="eastAsia"/>
                <w:color w:val="auto"/>
                <w:lang w:val="en-US" w:eastAsia="zh-CN"/>
              </w:rPr>
            </w:pPr>
          </w:p>
        </w:tc>
        <w:tc>
          <w:tcPr>
            <w:tcW w:w="1000" w:type="dxa"/>
            <w:vMerge w:val="continue"/>
            <w:tcBorders>
              <w:tl2br w:val="nil"/>
              <w:tr2bl w:val="nil"/>
            </w:tcBorders>
            <w:shd w:val="clear" w:color="auto" w:fill="auto"/>
            <w:vAlign w:val="center"/>
          </w:tcPr>
          <w:p w14:paraId="453523DF">
            <w:pPr>
              <w:pStyle w:val="26"/>
              <w:bidi w:val="0"/>
              <w:jc w:val="center"/>
              <w:rPr>
                <w:rFonts w:hint="eastAsia"/>
                <w:color w:val="auto"/>
                <w:lang w:val="en-US" w:eastAsia="zh-CN"/>
              </w:rPr>
            </w:pPr>
          </w:p>
        </w:tc>
      </w:tr>
      <w:tr w14:paraId="6C055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7DCAE9DD">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06666665">
            <w:pPr>
              <w:pStyle w:val="26"/>
              <w:bidi w:val="0"/>
              <w:rPr>
                <w:rFonts w:hint="eastAsia"/>
                <w:lang w:val="en-US" w:eastAsia="zh-CN"/>
              </w:rPr>
            </w:pPr>
            <w:r>
              <w:rPr>
                <w:rFonts w:hint="eastAsia"/>
                <w:lang w:val="en-US" w:eastAsia="zh-CN"/>
              </w:rPr>
              <w:t>硫酸雾</w:t>
            </w:r>
          </w:p>
        </w:tc>
        <w:tc>
          <w:tcPr>
            <w:tcW w:w="1354" w:type="dxa"/>
            <w:tcBorders>
              <w:tl2br w:val="nil"/>
              <w:tr2bl w:val="nil"/>
            </w:tcBorders>
            <w:shd w:val="clear" w:color="auto" w:fill="auto"/>
            <w:vAlign w:val="center"/>
          </w:tcPr>
          <w:p w14:paraId="21269CBE">
            <w:pPr>
              <w:pStyle w:val="26"/>
              <w:bidi w:val="0"/>
              <w:rPr>
                <w:rFonts w:hint="eastAsia"/>
              </w:rPr>
            </w:pPr>
            <w:r>
              <w:rPr>
                <w:rFonts w:hint="default"/>
                <w:lang w:val="en-US" w:eastAsia="zh-CN"/>
              </w:rPr>
              <w:t xml:space="preserve">0.0034 </w:t>
            </w:r>
          </w:p>
        </w:tc>
        <w:tc>
          <w:tcPr>
            <w:tcW w:w="1459" w:type="dxa"/>
            <w:tcBorders>
              <w:tl2br w:val="nil"/>
              <w:tr2bl w:val="nil"/>
            </w:tcBorders>
            <w:shd w:val="clear" w:color="auto" w:fill="auto"/>
            <w:vAlign w:val="center"/>
          </w:tcPr>
          <w:p w14:paraId="3D3E490A">
            <w:pPr>
              <w:pStyle w:val="26"/>
              <w:bidi w:val="0"/>
              <w:rPr>
                <w:rFonts w:hint="eastAsia"/>
              </w:rPr>
            </w:pPr>
            <w:r>
              <w:rPr>
                <w:rFonts w:hint="default"/>
                <w:lang w:val="en-US" w:eastAsia="zh-CN"/>
              </w:rPr>
              <w:t xml:space="preserve">0.02473 </w:t>
            </w:r>
          </w:p>
        </w:tc>
        <w:tc>
          <w:tcPr>
            <w:tcW w:w="0" w:type="auto"/>
            <w:vMerge w:val="continue"/>
            <w:tcBorders>
              <w:tl2br w:val="nil"/>
              <w:tr2bl w:val="nil"/>
            </w:tcBorders>
            <w:shd w:val="clear" w:color="auto" w:fill="auto"/>
            <w:vAlign w:val="center"/>
          </w:tcPr>
          <w:p w14:paraId="7993F2F9">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43D60C20">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30D816DB">
            <w:pPr>
              <w:pStyle w:val="26"/>
              <w:bidi w:val="0"/>
              <w:jc w:val="center"/>
              <w:rPr>
                <w:rFonts w:hint="eastAsia"/>
                <w:color w:val="auto"/>
                <w:lang w:val="en-US" w:eastAsia="zh-CN"/>
              </w:rPr>
            </w:pPr>
          </w:p>
        </w:tc>
        <w:tc>
          <w:tcPr>
            <w:tcW w:w="1000" w:type="dxa"/>
            <w:vMerge w:val="continue"/>
            <w:tcBorders>
              <w:tl2br w:val="nil"/>
              <w:tr2bl w:val="nil"/>
            </w:tcBorders>
            <w:shd w:val="clear" w:color="auto" w:fill="auto"/>
            <w:vAlign w:val="center"/>
          </w:tcPr>
          <w:p w14:paraId="01825F02">
            <w:pPr>
              <w:pStyle w:val="26"/>
              <w:bidi w:val="0"/>
              <w:jc w:val="center"/>
              <w:rPr>
                <w:rFonts w:hint="eastAsia"/>
                <w:color w:val="auto"/>
                <w:lang w:val="en-US" w:eastAsia="zh-CN"/>
              </w:rPr>
            </w:pPr>
          </w:p>
        </w:tc>
      </w:tr>
      <w:tr w14:paraId="09ABE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2A19C2D7">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45892120">
            <w:pPr>
              <w:pStyle w:val="26"/>
              <w:bidi w:val="0"/>
              <w:rPr>
                <w:rFonts w:hint="eastAsia"/>
                <w:lang w:val="en-US" w:eastAsia="zh-CN"/>
              </w:rPr>
            </w:pPr>
            <w:r>
              <w:rPr>
                <w:rFonts w:hint="eastAsia"/>
                <w:lang w:val="en-US" w:eastAsia="zh-CN"/>
              </w:rPr>
              <w:t>铬酸雾</w:t>
            </w:r>
          </w:p>
        </w:tc>
        <w:tc>
          <w:tcPr>
            <w:tcW w:w="1354" w:type="dxa"/>
            <w:tcBorders>
              <w:tl2br w:val="nil"/>
              <w:tr2bl w:val="nil"/>
            </w:tcBorders>
            <w:shd w:val="clear" w:color="auto" w:fill="auto"/>
            <w:vAlign w:val="center"/>
          </w:tcPr>
          <w:p w14:paraId="7C5DB6DE">
            <w:pPr>
              <w:pStyle w:val="26"/>
              <w:bidi w:val="0"/>
              <w:rPr>
                <w:rFonts w:hint="eastAsia"/>
              </w:rPr>
            </w:pPr>
            <w:r>
              <w:rPr>
                <w:rFonts w:hint="default"/>
                <w:lang w:val="en-US" w:eastAsia="zh-CN"/>
              </w:rPr>
              <w:t xml:space="preserve">0.00003 </w:t>
            </w:r>
          </w:p>
        </w:tc>
        <w:tc>
          <w:tcPr>
            <w:tcW w:w="1459" w:type="dxa"/>
            <w:tcBorders>
              <w:tl2br w:val="nil"/>
              <w:tr2bl w:val="nil"/>
            </w:tcBorders>
            <w:shd w:val="clear" w:color="auto" w:fill="auto"/>
            <w:vAlign w:val="center"/>
          </w:tcPr>
          <w:p w14:paraId="5A7EC0D6">
            <w:pPr>
              <w:pStyle w:val="26"/>
              <w:bidi w:val="0"/>
              <w:rPr>
                <w:rFonts w:hint="eastAsia"/>
              </w:rPr>
            </w:pPr>
            <w:r>
              <w:rPr>
                <w:rFonts w:hint="default"/>
                <w:lang w:val="en-US" w:eastAsia="zh-CN"/>
              </w:rPr>
              <w:t xml:space="preserve">0.00020 </w:t>
            </w:r>
          </w:p>
        </w:tc>
        <w:tc>
          <w:tcPr>
            <w:tcW w:w="0" w:type="auto"/>
            <w:vMerge w:val="continue"/>
            <w:tcBorders>
              <w:tl2br w:val="nil"/>
              <w:tr2bl w:val="nil"/>
            </w:tcBorders>
            <w:shd w:val="clear" w:color="auto" w:fill="auto"/>
            <w:vAlign w:val="center"/>
          </w:tcPr>
          <w:p w14:paraId="7F1651B4">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35C83C16">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6172EB48">
            <w:pPr>
              <w:pStyle w:val="26"/>
              <w:bidi w:val="0"/>
              <w:jc w:val="center"/>
              <w:rPr>
                <w:rFonts w:hint="eastAsia"/>
                <w:color w:val="auto"/>
                <w:lang w:val="en-US" w:eastAsia="zh-CN"/>
              </w:rPr>
            </w:pPr>
          </w:p>
        </w:tc>
        <w:tc>
          <w:tcPr>
            <w:tcW w:w="1000" w:type="dxa"/>
            <w:vMerge w:val="continue"/>
            <w:tcBorders>
              <w:tl2br w:val="nil"/>
              <w:tr2bl w:val="nil"/>
            </w:tcBorders>
            <w:shd w:val="clear" w:color="auto" w:fill="auto"/>
            <w:vAlign w:val="center"/>
          </w:tcPr>
          <w:p w14:paraId="7D67BF2C">
            <w:pPr>
              <w:pStyle w:val="26"/>
              <w:bidi w:val="0"/>
              <w:jc w:val="center"/>
              <w:rPr>
                <w:rFonts w:hint="eastAsia"/>
                <w:color w:val="auto"/>
                <w:lang w:val="en-US" w:eastAsia="zh-CN"/>
              </w:rPr>
            </w:pPr>
          </w:p>
        </w:tc>
      </w:tr>
      <w:tr w14:paraId="10B8B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15B6258D">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426043A9">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rPr>
              <w:t>VOCs</w:t>
            </w:r>
          </w:p>
        </w:tc>
        <w:tc>
          <w:tcPr>
            <w:tcW w:w="1354" w:type="dxa"/>
            <w:tcBorders>
              <w:tl2br w:val="nil"/>
              <w:tr2bl w:val="nil"/>
            </w:tcBorders>
            <w:shd w:val="clear" w:color="auto" w:fill="auto"/>
            <w:vAlign w:val="center"/>
          </w:tcPr>
          <w:p w14:paraId="027E0AC6">
            <w:pPr>
              <w:pStyle w:val="26"/>
              <w:bidi w:val="0"/>
              <w:rPr>
                <w:rFonts w:hint="eastAsia"/>
                <w:lang w:val="en-US" w:eastAsia="zh-CN"/>
              </w:rPr>
            </w:pPr>
            <w:r>
              <w:rPr>
                <w:rFonts w:hint="default"/>
                <w:lang w:val="en-US" w:eastAsia="zh-CN"/>
              </w:rPr>
              <w:t xml:space="preserve">0.0305 </w:t>
            </w:r>
          </w:p>
        </w:tc>
        <w:tc>
          <w:tcPr>
            <w:tcW w:w="1459" w:type="dxa"/>
            <w:tcBorders>
              <w:tl2br w:val="nil"/>
              <w:tr2bl w:val="nil"/>
            </w:tcBorders>
            <w:shd w:val="clear" w:color="auto" w:fill="auto"/>
            <w:vAlign w:val="center"/>
          </w:tcPr>
          <w:p w14:paraId="62D16398">
            <w:pPr>
              <w:pStyle w:val="26"/>
              <w:bidi w:val="0"/>
              <w:rPr>
                <w:rFonts w:hint="eastAsia"/>
                <w:lang w:val="en-US" w:eastAsia="zh-CN"/>
              </w:rPr>
            </w:pPr>
            <w:r>
              <w:rPr>
                <w:rFonts w:hint="default"/>
                <w:lang w:val="en-US" w:eastAsia="zh-CN"/>
              </w:rPr>
              <w:t>0.2193</w:t>
            </w:r>
          </w:p>
        </w:tc>
        <w:tc>
          <w:tcPr>
            <w:tcW w:w="0" w:type="auto"/>
            <w:vMerge w:val="continue"/>
            <w:tcBorders>
              <w:tl2br w:val="nil"/>
              <w:tr2bl w:val="nil"/>
            </w:tcBorders>
            <w:shd w:val="clear" w:color="auto" w:fill="auto"/>
            <w:vAlign w:val="center"/>
          </w:tcPr>
          <w:p w14:paraId="10ABAEF1">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093554AD">
            <w:pPr>
              <w:pStyle w:val="26"/>
              <w:bidi w:val="0"/>
              <w:jc w:val="center"/>
              <w:rPr>
                <w:rFonts w:hint="eastAsia"/>
                <w:color w:val="auto"/>
                <w:lang w:val="en-US" w:eastAsia="zh-CN"/>
              </w:rPr>
            </w:pPr>
          </w:p>
        </w:tc>
        <w:tc>
          <w:tcPr>
            <w:tcW w:w="0" w:type="auto"/>
            <w:vMerge w:val="continue"/>
            <w:tcBorders>
              <w:tl2br w:val="nil"/>
              <w:tr2bl w:val="nil"/>
            </w:tcBorders>
            <w:shd w:val="clear" w:color="auto" w:fill="auto"/>
            <w:vAlign w:val="center"/>
          </w:tcPr>
          <w:p w14:paraId="7F5ABA51">
            <w:pPr>
              <w:pStyle w:val="26"/>
              <w:bidi w:val="0"/>
              <w:jc w:val="center"/>
              <w:rPr>
                <w:rFonts w:hint="eastAsia"/>
                <w:color w:val="auto"/>
                <w:lang w:val="en-US" w:eastAsia="zh-CN"/>
              </w:rPr>
            </w:pPr>
          </w:p>
        </w:tc>
        <w:tc>
          <w:tcPr>
            <w:tcW w:w="1000" w:type="dxa"/>
            <w:vMerge w:val="continue"/>
            <w:tcBorders>
              <w:tl2br w:val="nil"/>
              <w:tr2bl w:val="nil"/>
            </w:tcBorders>
            <w:shd w:val="clear" w:color="auto" w:fill="auto"/>
            <w:vAlign w:val="center"/>
          </w:tcPr>
          <w:p w14:paraId="08DDCBA8">
            <w:pPr>
              <w:pStyle w:val="26"/>
              <w:bidi w:val="0"/>
              <w:jc w:val="center"/>
              <w:rPr>
                <w:rFonts w:hint="eastAsia"/>
                <w:color w:val="auto"/>
                <w:lang w:val="en-US" w:eastAsia="zh-CN"/>
              </w:rPr>
            </w:pPr>
          </w:p>
        </w:tc>
      </w:tr>
      <w:tr w14:paraId="3E5CF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rPr>
        <w:tc>
          <w:tcPr>
            <w:tcW w:w="749" w:type="dxa"/>
            <w:vMerge w:val="restart"/>
            <w:tcBorders>
              <w:tl2br w:val="nil"/>
              <w:tr2bl w:val="nil"/>
            </w:tcBorders>
            <w:shd w:val="clear" w:color="auto" w:fill="auto"/>
            <w:vAlign w:val="center"/>
          </w:tcPr>
          <w:p w14:paraId="79007110">
            <w:pPr>
              <w:pStyle w:val="26"/>
              <w:bidi w:val="0"/>
              <w:jc w:val="center"/>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污水处理设施*</w:t>
            </w:r>
          </w:p>
        </w:tc>
        <w:tc>
          <w:tcPr>
            <w:tcW w:w="1521" w:type="dxa"/>
            <w:tcBorders>
              <w:tl2br w:val="nil"/>
              <w:tr2bl w:val="nil"/>
            </w:tcBorders>
            <w:shd w:val="clear" w:color="auto" w:fill="auto"/>
            <w:vAlign w:val="center"/>
          </w:tcPr>
          <w:p w14:paraId="31ADEF04">
            <w:pPr>
              <w:pStyle w:val="26"/>
              <w:bidi w:val="0"/>
              <w:rPr>
                <w:rFonts w:hint="eastAsia"/>
                <w:color w:val="auto"/>
                <w:lang w:val="en-US" w:eastAsia="zh-CN"/>
              </w:rPr>
            </w:pPr>
            <w:r>
              <w:rPr>
                <w:rFonts w:hint="default"/>
                <w:color w:val="auto"/>
                <w:lang w:val="en-US" w:eastAsia="zh-CN"/>
              </w:rPr>
              <w:t>VOCs</w:t>
            </w:r>
          </w:p>
        </w:tc>
        <w:tc>
          <w:tcPr>
            <w:tcW w:w="1354" w:type="dxa"/>
            <w:tcBorders>
              <w:tl2br w:val="nil"/>
              <w:tr2bl w:val="nil"/>
            </w:tcBorders>
            <w:shd w:val="clear" w:color="auto" w:fill="auto"/>
            <w:vAlign w:val="center"/>
          </w:tcPr>
          <w:p w14:paraId="5F596CF0">
            <w:pPr>
              <w:pStyle w:val="26"/>
              <w:bidi w:val="0"/>
              <w:rPr>
                <w:rFonts w:hint="eastAsia"/>
                <w:lang w:val="en-US" w:eastAsia="zh-CN"/>
              </w:rPr>
            </w:pPr>
            <w:r>
              <w:rPr>
                <w:rFonts w:hint="default"/>
                <w:lang w:val="en-US" w:eastAsia="zh-CN"/>
              </w:rPr>
              <w:t xml:space="preserve">0.0044 </w:t>
            </w:r>
          </w:p>
        </w:tc>
        <w:tc>
          <w:tcPr>
            <w:tcW w:w="1459" w:type="dxa"/>
            <w:tcBorders>
              <w:tl2br w:val="nil"/>
              <w:tr2bl w:val="nil"/>
            </w:tcBorders>
            <w:shd w:val="clear" w:color="auto" w:fill="auto"/>
            <w:vAlign w:val="center"/>
          </w:tcPr>
          <w:p w14:paraId="5F8227CD">
            <w:pPr>
              <w:pStyle w:val="26"/>
              <w:bidi w:val="0"/>
              <w:rPr>
                <w:rFonts w:hint="eastAsia"/>
                <w:lang w:val="en-US" w:eastAsia="zh-CN"/>
              </w:rPr>
            </w:pPr>
            <w:r>
              <w:rPr>
                <w:rFonts w:hint="default"/>
                <w:lang w:val="en-US" w:eastAsia="zh-CN"/>
              </w:rPr>
              <w:t>0.031</w:t>
            </w:r>
            <w:r>
              <w:rPr>
                <w:rFonts w:hint="eastAsia"/>
                <w:lang w:val="en-US" w:eastAsia="zh-CN"/>
              </w:rPr>
              <w:t>9</w:t>
            </w:r>
          </w:p>
        </w:tc>
        <w:tc>
          <w:tcPr>
            <w:tcW w:w="813" w:type="dxa"/>
            <w:vMerge w:val="restart"/>
            <w:tcBorders>
              <w:tl2br w:val="nil"/>
              <w:tr2bl w:val="nil"/>
            </w:tcBorders>
            <w:shd w:val="clear" w:color="auto" w:fill="auto"/>
            <w:vAlign w:val="center"/>
          </w:tcPr>
          <w:p w14:paraId="3415B086">
            <w:pPr>
              <w:pStyle w:val="26"/>
              <w:bidi w:val="0"/>
              <w:rPr>
                <w:rFonts w:hint="default"/>
                <w:color w:val="auto"/>
                <w:lang w:val="en-US"/>
              </w:rPr>
            </w:pPr>
            <w:r>
              <w:rPr>
                <w:rFonts w:hint="eastAsia"/>
                <w:color w:val="auto"/>
                <w:lang w:val="en-US" w:eastAsia="zh-CN"/>
              </w:rPr>
              <w:t>27</w:t>
            </w:r>
          </w:p>
        </w:tc>
        <w:tc>
          <w:tcPr>
            <w:tcW w:w="813" w:type="dxa"/>
            <w:vMerge w:val="restart"/>
            <w:tcBorders>
              <w:tl2br w:val="nil"/>
              <w:tr2bl w:val="nil"/>
            </w:tcBorders>
            <w:shd w:val="clear" w:color="auto" w:fill="auto"/>
            <w:vAlign w:val="center"/>
          </w:tcPr>
          <w:p w14:paraId="76A20F3B">
            <w:pPr>
              <w:pStyle w:val="26"/>
              <w:bidi w:val="0"/>
              <w:rPr>
                <w:rFonts w:hint="default"/>
                <w:color w:val="auto"/>
                <w:lang w:val="en-US"/>
              </w:rPr>
            </w:pPr>
            <w:r>
              <w:rPr>
                <w:rFonts w:hint="eastAsia"/>
                <w:color w:val="auto"/>
                <w:lang w:val="en-US" w:eastAsia="zh-CN"/>
              </w:rPr>
              <w:t>10.9</w:t>
            </w:r>
          </w:p>
        </w:tc>
        <w:tc>
          <w:tcPr>
            <w:tcW w:w="813" w:type="dxa"/>
            <w:vMerge w:val="restart"/>
            <w:tcBorders>
              <w:tl2br w:val="nil"/>
              <w:tr2bl w:val="nil"/>
            </w:tcBorders>
            <w:shd w:val="clear" w:color="auto" w:fill="auto"/>
            <w:vAlign w:val="center"/>
          </w:tcPr>
          <w:p w14:paraId="08176C0A">
            <w:pPr>
              <w:pStyle w:val="26"/>
              <w:bidi w:val="0"/>
              <w:rPr>
                <w:rFonts w:hint="eastAsia"/>
                <w:color w:val="auto"/>
              </w:rPr>
            </w:pPr>
            <w:r>
              <w:rPr>
                <w:rFonts w:hint="eastAsia"/>
                <w:color w:val="auto"/>
                <w:lang w:val="en-US" w:eastAsia="zh-CN"/>
              </w:rPr>
              <w:t>8</w:t>
            </w:r>
          </w:p>
        </w:tc>
        <w:tc>
          <w:tcPr>
            <w:tcW w:w="1000" w:type="dxa"/>
            <w:vMerge w:val="restart"/>
            <w:tcBorders>
              <w:tl2br w:val="nil"/>
              <w:tr2bl w:val="nil"/>
            </w:tcBorders>
            <w:shd w:val="clear" w:color="auto" w:fill="auto"/>
            <w:vAlign w:val="center"/>
          </w:tcPr>
          <w:p w14:paraId="1F14686C">
            <w:pPr>
              <w:pStyle w:val="26"/>
              <w:bidi w:val="0"/>
              <w:jc w:val="center"/>
              <w:rPr>
                <w:rFonts w:hint="default" w:eastAsia="仿宋_GB2312"/>
                <w:color w:val="auto"/>
                <w:lang w:val="en-US" w:eastAsia="zh-CN"/>
              </w:rPr>
            </w:pPr>
            <w:r>
              <w:rPr>
                <w:rFonts w:hint="eastAsia"/>
                <w:color w:val="auto"/>
                <w:lang w:val="en-US" w:eastAsia="zh-CN"/>
              </w:rPr>
              <w:t>7200</w:t>
            </w:r>
          </w:p>
        </w:tc>
      </w:tr>
      <w:tr w14:paraId="6410A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797A3938">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6A482DE9">
            <w:pPr>
              <w:pStyle w:val="26"/>
              <w:bidi w:val="0"/>
              <w:rPr>
                <w:rFonts w:hint="eastAsia"/>
                <w:color w:val="auto"/>
                <w:lang w:val="en-US" w:eastAsia="zh-CN"/>
              </w:rPr>
            </w:pPr>
            <w:r>
              <w:rPr>
                <w:rFonts w:hint="eastAsia"/>
                <w:color w:val="auto"/>
                <w:lang w:val="en-US" w:eastAsia="zh-CN"/>
              </w:rPr>
              <w:t>硫化氢</w:t>
            </w:r>
          </w:p>
        </w:tc>
        <w:tc>
          <w:tcPr>
            <w:tcW w:w="1354" w:type="dxa"/>
            <w:tcBorders>
              <w:tl2br w:val="nil"/>
              <w:tr2bl w:val="nil"/>
            </w:tcBorders>
            <w:shd w:val="clear" w:color="auto" w:fill="auto"/>
            <w:vAlign w:val="center"/>
          </w:tcPr>
          <w:p w14:paraId="2E77C821">
            <w:pPr>
              <w:pStyle w:val="26"/>
              <w:bidi w:val="0"/>
              <w:rPr>
                <w:rFonts w:hint="eastAsia"/>
                <w:lang w:val="en-US" w:eastAsia="zh-CN"/>
              </w:rPr>
            </w:pPr>
            <w:r>
              <w:rPr>
                <w:rFonts w:hint="default"/>
                <w:lang w:val="en-US" w:eastAsia="zh-CN"/>
              </w:rPr>
              <w:t xml:space="preserve">0.000090 </w:t>
            </w:r>
          </w:p>
        </w:tc>
        <w:tc>
          <w:tcPr>
            <w:tcW w:w="1459" w:type="dxa"/>
            <w:tcBorders>
              <w:tl2br w:val="nil"/>
              <w:tr2bl w:val="nil"/>
            </w:tcBorders>
            <w:shd w:val="clear" w:color="auto" w:fill="auto"/>
            <w:vAlign w:val="center"/>
          </w:tcPr>
          <w:p w14:paraId="226656AF">
            <w:pPr>
              <w:pStyle w:val="26"/>
              <w:bidi w:val="0"/>
              <w:rPr>
                <w:rFonts w:hint="eastAsia"/>
                <w:lang w:val="en-US" w:eastAsia="zh-CN"/>
              </w:rPr>
            </w:pPr>
            <w:r>
              <w:rPr>
                <w:rFonts w:hint="default"/>
                <w:lang w:val="en-US" w:eastAsia="zh-CN"/>
              </w:rPr>
              <w:t>0.00065</w:t>
            </w:r>
          </w:p>
        </w:tc>
        <w:tc>
          <w:tcPr>
            <w:tcW w:w="813" w:type="dxa"/>
            <w:vMerge w:val="continue"/>
            <w:tcBorders>
              <w:tl2br w:val="nil"/>
              <w:tr2bl w:val="nil"/>
            </w:tcBorders>
            <w:shd w:val="clear" w:color="auto" w:fill="auto"/>
            <w:vAlign w:val="center"/>
          </w:tcPr>
          <w:p w14:paraId="25619BCF">
            <w:pPr>
              <w:pStyle w:val="26"/>
              <w:bidi w:val="0"/>
              <w:rPr>
                <w:rFonts w:hint="eastAsia"/>
                <w:color w:val="auto"/>
              </w:rPr>
            </w:pPr>
          </w:p>
        </w:tc>
        <w:tc>
          <w:tcPr>
            <w:tcW w:w="813" w:type="dxa"/>
            <w:vMerge w:val="continue"/>
            <w:tcBorders>
              <w:tl2br w:val="nil"/>
              <w:tr2bl w:val="nil"/>
            </w:tcBorders>
            <w:shd w:val="clear" w:color="auto" w:fill="auto"/>
            <w:vAlign w:val="center"/>
          </w:tcPr>
          <w:p w14:paraId="3D4831FB">
            <w:pPr>
              <w:pStyle w:val="26"/>
              <w:bidi w:val="0"/>
              <w:rPr>
                <w:rFonts w:hint="eastAsia"/>
                <w:color w:val="auto"/>
              </w:rPr>
            </w:pPr>
          </w:p>
        </w:tc>
        <w:tc>
          <w:tcPr>
            <w:tcW w:w="813" w:type="dxa"/>
            <w:vMerge w:val="continue"/>
            <w:tcBorders>
              <w:tl2br w:val="nil"/>
              <w:tr2bl w:val="nil"/>
            </w:tcBorders>
            <w:shd w:val="clear" w:color="auto" w:fill="auto"/>
            <w:vAlign w:val="center"/>
          </w:tcPr>
          <w:p w14:paraId="0DF446A6">
            <w:pPr>
              <w:pStyle w:val="26"/>
              <w:bidi w:val="0"/>
              <w:rPr>
                <w:rFonts w:hint="eastAsia"/>
                <w:color w:val="auto"/>
              </w:rPr>
            </w:pPr>
          </w:p>
        </w:tc>
        <w:tc>
          <w:tcPr>
            <w:tcW w:w="1000" w:type="dxa"/>
            <w:vMerge w:val="continue"/>
            <w:tcBorders>
              <w:tl2br w:val="nil"/>
              <w:tr2bl w:val="nil"/>
            </w:tcBorders>
            <w:shd w:val="clear" w:color="auto" w:fill="auto"/>
            <w:vAlign w:val="center"/>
          </w:tcPr>
          <w:p w14:paraId="26823310">
            <w:pPr>
              <w:pStyle w:val="26"/>
              <w:bidi w:val="0"/>
              <w:jc w:val="center"/>
              <w:rPr>
                <w:rFonts w:hint="default" w:eastAsia="仿宋_GB2312"/>
                <w:color w:val="auto"/>
                <w:lang w:val="en-US" w:eastAsia="zh-CN"/>
              </w:rPr>
            </w:pPr>
          </w:p>
        </w:tc>
      </w:tr>
      <w:tr w14:paraId="40FA0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vMerge w:val="continue"/>
            <w:tcBorders>
              <w:tl2br w:val="nil"/>
              <w:tr2bl w:val="nil"/>
            </w:tcBorders>
            <w:shd w:val="clear" w:color="auto" w:fill="auto"/>
            <w:vAlign w:val="center"/>
          </w:tcPr>
          <w:p w14:paraId="58C08411">
            <w:pPr>
              <w:pStyle w:val="26"/>
              <w:bidi w:val="0"/>
              <w:jc w:val="center"/>
              <w:rPr>
                <w:rFonts w:hint="eastAsia"/>
                <w:color w:val="auto"/>
                <w:lang w:val="en-US" w:eastAsia="zh-CN"/>
              </w:rPr>
            </w:pPr>
          </w:p>
        </w:tc>
        <w:tc>
          <w:tcPr>
            <w:tcW w:w="1521" w:type="dxa"/>
            <w:tcBorders>
              <w:tl2br w:val="nil"/>
              <w:tr2bl w:val="nil"/>
            </w:tcBorders>
            <w:shd w:val="clear" w:color="auto" w:fill="auto"/>
            <w:vAlign w:val="center"/>
          </w:tcPr>
          <w:p w14:paraId="09F32D3B">
            <w:pPr>
              <w:pStyle w:val="26"/>
              <w:bidi w:val="0"/>
              <w:rPr>
                <w:rFonts w:hint="eastAsia"/>
                <w:color w:val="auto"/>
                <w:lang w:val="en-US" w:eastAsia="zh-CN"/>
              </w:rPr>
            </w:pPr>
            <w:r>
              <w:rPr>
                <w:rFonts w:hint="eastAsia"/>
                <w:color w:val="auto"/>
                <w:lang w:val="en-US" w:eastAsia="zh-CN"/>
              </w:rPr>
              <w:t>氨</w:t>
            </w:r>
          </w:p>
        </w:tc>
        <w:tc>
          <w:tcPr>
            <w:tcW w:w="1354" w:type="dxa"/>
            <w:tcBorders>
              <w:tl2br w:val="nil"/>
              <w:tr2bl w:val="nil"/>
            </w:tcBorders>
            <w:shd w:val="clear" w:color="auto" w:fill="auto"/>
            <w:vAlign w:val="center"/>
          </w:tcPr>
          <w:p w14:paraId="29FB92CF">
            <w:pPr>
              <w:pStyle w:val="26"/>
              <w:bidi w:val="0"/>
              <w:rPr>
                <w:rFonts w:hint="eastAsia"/>
                <w:lang w:val="en-US" w:eastAsia="zh-CN"/>
              </w:rPr>
            </w:pPr>
            <w:r>
              <w:rPr>
                <w:rFonts w:hint="default"/>
                <w:lang w:val="en-US" w:eastAsia="zh-CN"/>
              </w:rPr>
              <w:t xml:space="preserve">0.000009 </w:t>
            </w:r>
          </w:p>
        </w:tc>
        <w:tc>
          <w:tcPr>
            <w:tcW w:w="1459" w:type="dxa"/>
            <w:tcBorders>
              <w:tl2br w:val="nil"/>
              <w:tr2bl w:val="nil"/>
            </w:tcBorders>
            <w:shd w:val="clear" w:color="auto" w:fill="auto"/>
            <w:vAlign w:val="center"/>
          </w:tcPr>
          <w:p w14:paraId="2CDBE9AD">
            <w:pPr>
              <w:pStyle w:val="26"/>
              <w:bidi w:val="0"/>
              <w:rPr>
                <w:rFonts w:hint="eastAsia"/>
                <w:lang w:val="en-US" w:eastAsia="zh-CN"/>
              </w:rPr>
            </w:pPr>
            <w:r>
              <w:rPr>
                <w:rFonts w:hint="default"/>
                <w:lang w:val="en-US" w:eastAsia="zh-CN"/>
              </w:rPr>
              <w:t>0.000065</w:t>
            </w:r>
          </w:p>
        </w:tc>
        <w:tc>
          <w:tcPr>
            <w:tcW w:w="813" w:type="dxa"/>
            <w:vMerge w:val="continue"/>
            <w:tcBorders>
              <w:tl2br w:val="nil"/>
              <w:tr2bl w:val="nil"/>
            </w:tcBorders>
            <w:shd w:val="clear" w:color="auto" w:fill="auto"/>
            <w:vAlign w:val="center"/>
          </w:tcPr>
          <w:p w14:paraId="65ACB9D0">
            <w:pPr>
              <w:pStyle w:val="26"/>
              <w:bidi w:val="0"/>
              <w:rPr>
                <w:rFonts w:hint="eastAsia"/>
                <w:color w:val="auto"/>
              </w:rPr>
            </w:pPr>
          </w:p>
        </w:tc>
        <w:tc>
          <w:tcPr>
            <w:tcW w:w="813" w:type="dxa"/>
            <w:vMerge w:val="continue"/>
            <w:tcBorders>
              <w:tl2br w:val="nil"/>
              <w:tr2bl w:val="nil"/>
            </w:tcBorders>
            <w:shd w:val="clear" w:color="auto" w:fill="auto"/>
            <w:vAlign w:val="center"/>
          </w:tcPr>
          <w:p w14:paraId="559891BB">
            <w:pPr>
              <w:pStyle w:val="26"/>
              <w:bidi w:val="0"/>
              <w:rPr>
                <w:rFonts w:hint="eastAsia"/>
                <w:color w:val="auto"/>
              </w:rPr>
            </w:pPr>
          </w:p>
        </w:tc>
        <w:tc>
          <w:tcPr>
            <w:tcW w:w="813" w:type="dxa"/>
            <w:vMerge w:val="continue"/>
            <w:tcBorders>
              <w:tl2br w:val="nil"/>
              <w:tr2bl w:val="nil"/>
            </w:tcBorders>
            <w:shd w:val="clear" w:color="auto" w:fill="auto"/>
            <w:vAlign w:val="center"/>
          </w:tcPr>
          <w:p w14:paraId="684A5434">
            <w:pPr>
              <w:pStyle w:val="26"/>
              <w:bidi w:val="0"/>
              <w:rPr>
                <w:rFonts w:hint="eastAsia"/>
                <w:color w:val="auto"/>
              </w:rPr>
            </w:pPr>
          </w:p>
        </w:tc>
        <w:tc>
          <w:tcPr>
            <w:tcW w:w="1000" w:type="dxa"/>
            <w:vMerge w:val="continue"/>
            <w:tcBorders>
              <w:tl2br w:val="nil"/>
              <w:tr2bl w:val="nil"/>
            </w:tcBorders>
            <w:shd w:val="clear" w:color="auto" w:fill="auto"/>
            <w:vAlign w:val="center"/>
          </w:tcPr>
          <w:p w14:paraId="75910F62">
            <w:pPr>
              <w:pStyle w:val="26"/>
              <w:bidi w:val="0"/>
              <w:jc w:val="center"/>
              <w:rPr>
                <w:rFonts w:hint="default" w:eastAsia="仿宋_GB2312"/>
                <w:color w:val="auto"/>
                <w:lang w:val="en-US" w:eastAsia="zh-CN"/>
              </w:rPr>
            </w:pPr>
          </w:p>
        </w:tc>
      </w:tr>
      <w:tr w14:paraId="2896F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749" w:type="dxa"/>
            <w:tcBorders>
              <w:tl2br w:val="nil"/>
              <w:tr2bl w:val="nil"/>
            </w:tcBorders>
            <w:shd w:val="clear" w:color="auto" w:fill="auto"/>
            <w:vAlign w:val="center"/>
          </w:tcPr>
          <w:p w14:paraId="139C35CC">
            <w:pPr>
              <w:pStyle w:val="26"/>
              <w:bidi w:val="0"/>
              <w:jc w:val="center"/>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危废仓库*</w:t>
            </w:r>
          </w:p>
        </w:tc>
        <w:tc>
          <w:tcPr>
            <w:tcW w:w="1521" w:type="dxa"/>
            <w:tcBorders>
              <w:tl2br w:val="nil"/>
              <w:tr2bl w:val="nil"/>
            </w:tcBorders>
            <w:shd w:val="clear" w:color="auto" w:fill="auto"/>
            <w:vAlign w:val="center"/>
          </w:tcPr>
          <w:p w14:paraId="71279292">
            <w:pPr>
              <w:pStyle w:val="26"/>
              <w:bidi w:val="0"/>
              <w:rPr>
                <w:rFonts w:hint="eastAsia"/>
                <w:color w:val="auto"/>
                <w:lang w:val="en-US" w:eastAsia="zh-CN"/>
              </w:rPr>
            </w:pPr>
            <w:r>
              <w:rPr>
                <w:rFonts w:hint="eastAsia"/>
                <w:color w:val="auto"/>
                <w:lang w:val="en-US" w:eastAsia="zh-CN"/>
              </w:rPr>
              <w:t>VOCs</w:t>
            </w:r>
          </w:p>
        </w:tc>
        <w:tc>
          <w:tcPr>
            <w:tcW w:w="1354" w:type="dxa"/>
            <w:tcBorders>
              <w:tl2br w:val="nil"/>
              <w:tr2bl w:val="nil"/>
            </w:tcBorders>
            <w:shd w:val="clear" w:color="auto" w:fill="auto"/>
            <w:vAlign w:val="center"/>
          </w:tcPr>
          <w:p w14:paraId="55A61987">
            <w:pPr>
              <w:pStyle w:val="26"/>
              <w:bidi w:val="0"/>
              <w:rPr>
                <w:rFonts w:hint="default"/>
                <w:lang w:val="en-US" w:eastAsia="zh-CN"/>
              </w:rPr>
            </w:pPr>
            <w:r>
              <w:rPr>
                <w:rFonts w:hint="default"/>
                <w:lang w:val="en-US" w:eastAsia="zh-CN"/>
              </w:rPr>
              <w:t>0.0042</w:t>
            </w:r>
          </w:p>
        </w:tc>
        <w:tc>
          <w:tcPr>
            <w:tcW w:w="1459" w:type="dxa"/>
            <w:tcBorders>
              <w:tl2br w:val="nil"/>
              <w:tr2bl w:val="nil"/>
            </w:tcBorders>
            <w:shd w:val="clear" w:color="auto" w:fill="auto"/>
            <w:vAlign w:val="center"/>
          </w:tcPr>
          <w:p w14:paraId="70DCF633">
            <w:pPr>
              <w:pStyle w:val="26"/>
              <w:bidi w:val="0"/>
              <w:rPr>
                <w:rFonts w:hint="eastAsia"/>
                <w:lang w:val="en-US" w:eastAsia="zh-CN"/>
              </w:rPr>
            </w:pPr>
            <w:r>
              <w:rPr>
                <w:rFonts w:hint="default"/>
                <w:lang w:val="en-US" w:eastAsia="zh-CN"/>
              </w:rPr>
              <w:t>0.037</w:t>
            </w:r>
          </w:p>
        </w:tc>
        <w:tc>
          <w:tcPr>
            <w:tcW w:w="0" w:type="auto"/>
            <w:tcBorders>
              <w:tl2br w:val="nil"/>
              <w:tr2bl w:val="nil"/>
            </w:tcBorders>
            <w:shd w:val="clear" w:color="auto" w:fill="auto"/>
            <w:vAlign w:val="center"/>
          </w:tcPr>
          <w:p w14:paraId="55EA58F2">
            <w:pPr>
              <w:pStyle w:val="26"/>
              <w:bidi w:val="0"/>
              <w:jc w:val="center"/>
              <w:rPr>
                <w:rFonts w:hint="default" w:eastAsia="仿宋_GB2312"/>
                <w:color w:val="auto"/>
                <w:lang w:val="en-US" w:eastAsia="zh-CN"/>
              </w:rPr>
            </w:pPr>
            <w:r>
              <w:rPr>
                <w:rFonts w:hint="eastAsia"/>
                <w:color w:val="auto"/>
                <w:lang w:val="en-US" w:eastAsia="zh-CN"/>
              </w:rPr>
              <w:t>15</w:t>
            </w:r>
          </w:p>
        </w:tc>
        <w:tc>
          <w:tcPr>
            <w:tcW w:w="0" w:type="auto"/>
            <w:tcBorders>
              <w:tl2br w:val="nil"/>
              <w:tr2bl w:val="nil"/>
            </w:tcBorders>
            <w:shd w:val="clear" w:color="auto" w:fill="auto"/>
            <w:vAlign w:val="center"/>
          </w:tcPr>
          <w:p w14:paraId="3C586FBD">
            <w:pPr>
              <w:pStyle w:val="26"/>
              <w:bidi w:val="0"/>
              <w:jc w:val="center"/>
              <w:rPr>
                <w:rFonts w:hint="default"/>
                <w:color w:val="auto"/>
                <w:lang w:val="en-US"/>
              </w:rPr>
            </w:pPr>
            <w:r>
              <w:rPr>
                <w:rFonts w:hint="eastAsia"/>
                <w:color w:val="auto"/>
                <w:lang w:val="en-US" w:eastAsia="zh-CN"/>
              </w:rPr>
              <w:t>12.5</w:t>
            </w:r>
          </w:p>
        </w:tc>
        <w:tc>
          <w:tcPr>
            <w:tcW w:w="0" w:type="auto"/>
            <w:tcBorders>
              <w:tl2br w:val="nil"/>
              <w:tr2bl w:val="nil"/>
            </w:tcBorders>
            <w:shd w:val="clear" w:color="auto" w:fill="auto"/>
            <w:vAlign w:val="center"/>
          </w:tcPr>
          <w:p w14:paraId="14EA6BC3">
            <w:pPr>
              <w:pStyle w:val="26"/>
              <w:bidi w:val="0"/>
              <w:jc w:val="center"/>
              <w:rPr>
                <w:rFonts w:hint="default" w:eastAsia="仿宋_GB2312"/>
                <w:color w:val="auto"/>
                <w:lang w:val="en-US" w:eastAsia="zh-CN"/>
              </w:rPr>
            </w:pPr>
            <w:r>
              <w:rPr>
                <w:rFonts w:hint="eastAsia"/>
                <w:color w:val="auto"/>
                <w:lang w:val="en-US" w:eastAsia="zh-CN"/>
              </w:rPr>
              <w:t>8</w:t>
            </w:r>
          </w:p>
        </w:tc>
        <w:tc>
          <w:tcPr>
            <w:tcW w:w="1000" w:type="dxa"/>
            <w:tcBorders>
              <w:tl2br w:val="nil"/>
              <w:tr2bl w:val="nil"/>
            </w:tcBorders>
            <w:shd w:val="clear" w:color="auto" w:fill="auto"/>
            <w:vAlign w:val="center"/>
          </w:tcPr>
          <w:p w14:paraId="483B1AD4">
            <w:pPr>
              <w:pStyle w:val="26"/>
              <w:bidi w:val="0"/>
              <w:jc w:val="center"/>
              <w:rPr>
                <w:rFonts w:hint="default" w:eastAsia="仿宋_GB2312"/>
                <w:color w:val="auto"/>
                <w:lang w:val="en-US" w:eastAsia="zh-CN"/>
              </w:rPr>
            </w:pPr>
            <w:r>
              <w:rPr>
                <w:rFonts w:hint="default" w:eastAsia="仿宋_GB2312"/>
                <w:color w:val="auto"/>
                <w:lang w:val="en-US" w:eastAsia="zh-CN"/>
              </w:rPr>
              <w:t>8760</w:t>
            </w:r>
          </w:p>
        </w:tc>
      </w:tr>
    </w:tbl>
    <w:p w14:paraId="16BEA5AC">
      <w:pPr>
        <w:pStyle w:val="28"/>
        <w:bidi w:val="0"/>
        <w:rPr>
          <w:rFonts w:hint="default" w:eastAsia="仿宋_GB2312"/>
          <w:color w:val="auto"/>
          <w:lang w:val="en-US" w:eastAsia="zh-CN"/>
        </w:rPr>
      </w:pPr>
      <w:r>
        <w:rPr>
          <w:rFonts w:hint="eastAsia"/>
          <w:color w:val="auto"/>
        </w:rPr>
        <w:t>注：</w:t>
      </w:r>
      <w:r>
        <w:rPr>
          <w:rFonts w:hint="eastAsia"/>
          <w:color w:val="auto"/>
          <w:lang w:val="en-US" w:eastAsia="zh-CN"/>
        </w:rPr>
        <w:t>污水处理设施、危废仓库仅为本项目源强。</w:t>
      </w:r>
    </w:p>
    <w:p w14:paraId="27BCCE2A">
      <w:pPr>
        <w:pStyle w:val="4"/>
        <w:rPr>
          <w:color w:val="auto"/>
        </w:rPr>
      </w:pPr>
      <w:bookmarkStart w:id="199" w:name="_Toc3018"/>
      <w:bookmarkStart w:id="200" w:name="_Toc1769"/>
      <w:r>
        <w:rPr>
          <w:rFonts w:hint="eastAsia"/>
          <w:color w:val="auto"/>
        </w:rPr>
        <w:t>噪声污染源分析</w:t>
      </w:r>
      <w:bookmarkEnd w:id="199"/>
      <w:bookmarkEnd w:id="200"/>
    </w:p>
    <w:p w14:paraId="35F10DCB">
      <w:pPr>
        <w:rPr>
          <w:color w:val="auto"/>
        </w:rPr>
      </w:pPr>
      <w:r>
        <w:rPr>
          <w:rFonts w:hint="eastAsia"/>
          <w:color w:val="auto"/>
        </w:rPr>
        <w:t>本项目新增噪声源主要是</w:t>
      </w:r>
      <w:r>
        <w:rPr>
          <w:rFonts w:hint="eastAsia"/>
          <w:color w:val="auto"/>
          <w:lang w:val="en-US" w:eastAsia="zh-CN"/>
        </w:rPr>
        <w:t>4</w:t>
      </w:r>
      <w:r>
        <w:rPr>
          <w:rFonts w:hint="eastAsia"/>
          <w:color w:val="auto"/>
        </w:rPr>
        <w:t>#车间本次新增的</w:t>
      </w:r>
      <w:r>
        <w:rPr>
          <w:rFonts w:hint="eastAsia"/>
          <w:color w:val="auto"/>
          <w:lang w:val="en-US" w:eastAsia="zh-CN"/>
        </w:rPr>
        <w:t>机加工设备</w:t>
      </w:r>
      <w:r>
        <w:rPr>
          <w:rFonts w:hint="eastAsia"/>
          <w:color w:val="auto"/>
          <w:lang w:eastAsia="zh-CN"/>
        </w:rPr>
        <w:t>、</w:t>
      </w:r>
      <w:r>
        <w:rPr>
          <w:rFonts w:hint="eastAsia"/>
          <w:color w:val="auto"/>
          <w:lang w:val="en-US" w:eastAsia="zh-CN"/>
        </w:rPr>
        <w:t>废气处理新增风机，冷却塔</w:t>
      </w:r>
      <w:r>
        <w:rPr>
          <w:rFonts w:hint="eastAsia"/>
          <w:color w:val="auto"/>
        </w:rPr>
        <w:t>等设备，各类主要设备的噪声源强见下表。</w:t>
      </w:r>
    </w:p>
    <w:p w14:paraId="7BAAEFE5">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7C22B83">
      <w:pPr>
        <w:pStyle w:val="25"/>
        <w:rPr>
          <w:color w:val="auto"/>
        </w:rPr>
      </w:pPr>
      <w:bookmarkStart w:id="201" w:name="_Ref161826553"/>
      <w:r>
        <w:rPr>
          <w:color w:val="auto"/>
        </w:rPr>
        <w:t>表</w:t>
      </w:r>
      <w:r>
        <w:rPr>
          <w:color w:val="auto"/>
        </w:rPr>
        <w:fldChar w:fldCharType="begin"/>
      </w:r>
      <w:r>
        <w:rPr>
          <w:color w:val="auto"/>
        </w:rPr>
        <w:instrText xml:space="preserve"> STYLEREF 2 \s </w:instrText>
      </w:r>
      <w:r>
        <w:rPr>
          <w:color w:val="auto"/>
        </w:rPr>
        <w:fldChar w:fldCharType="separate"/>
      </w:r>
      <w:r>
        <w:rPr>
          <w:color w:val="auto"/>
        </w:rPr>
        <w:t>4.5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8</w:t>
      </w:r>
      <w:r>
        <w:rPr>
          <w:color w:val="auto"/>
        </w:rPr>
        <w:fldChar w:fldCharType="end"/>
      </w:r>
      <w:bookmarkEnd w:id="201"/>
      <w:r>
        <w:rPr>
          <w:color w:val="auto"/>
        </w:rPr>
        <w:t>本项目噪声源强调查清单（室外声源）</w:t>
      </w:r>
    </w:p>
    <w:tbl>
      <w:tblPr>
        <w:tblStyle w:val="21"/>
        <w:tblW w:w="50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94"/>
        <w:gridCol w:w="564"/>
        <w:gridCol w:w="940"/>
        <w:gridCol w:w="373"/>
        <w:gridCol w:w="481"/>
        <w:gridCol w:w="402"/>
        <w:gridCol w:w="1211"/>
        <w:gridCol w:w="830"/>
        <w:gridCol w:w="1829"/>
        <w:gridCol w:w="1507"/>
      </w:tblGrid>
      <w:tr w14:paraId="2E00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175" w:type="pct"/>
            <w:vMerge w:val="restart"/>
            <w:tcMar>
              <w:left w:w="0" w:type="dxa"/>
              <w:right w:w="0" w:type="dxa"/>
            </w:tcMar>
            <w:vAlign w:val="center"/>
          </w:tcPr>
          <w:p w14:paraId="7C73FDA1">
            <w:pPr>
              <w:pStyle w:val="36"/>
              <w:bidi w:val="0"/>
              <w:rPr>
                <w:color w:val="auto"/>
              </w:rPr>
            </w:pPr>
            <w:r>
              <w:rPr>
                <w:color w:val="auto"/>
              </w:rPr>
              <w:t>序号</w:t>
            </w:r>
          </w:p>
        </w:tc>
        <w:tc>
          <w:tcPr>
            <w:tcW w:w="334" w:type="pct"/>
            <w:vMerge w:val="restart"/>
            <w:tcMar>
              <w:left w:w="0" w:type="dxa"/>
              <w:right w:w="0" w:type="dxa"/>
            </w:tcMar>
            <w:vAlign w:val="center"/>
          </w:tcPr>
          <w:p w14:paraId="453CFEB3">
            <w:pPr>
              <w:pStyle w:val="36"/>
              <w:bidi w:val="0"/>
              <w:rPr>
                <w:color w:val="auto"/>
              </w:rPr>
            </w:pPr>
            <w:r>
              <w:rPr>
                <w:color w:val="auto"/>
              </w:rPr>
              <w:t>声源名称</w:t>
            </w:r>
          </w:p>
        </w:tc>
        <w:tc>
          <w:tcPr>
            <w:tcW w:w="557" w:type="pct"/>
            <w:vMerge w:val="restart"/>
            <w:tcMar>
              <w:left w:w="0" w:type="dxa"/>
              <w:right w:w="0" w:type="dxa"/>
            </w:tcMar>
            <w:vAlign w:val="center"/>
          </w:tcPr>
          <w:p w14:paraId="1FFF24F8">
            <w:pPr>
              <w:pStyle w:val="36"/>
              <w:bidi w:val="0"/>
              <w:rPr>
                <w:color w:val="auto"/>
              </w:rPr>
            </w:pPr>
            <w:r>
              <w:rPr>
                <w:color w:val="auto"/>
              </w:rPr>
              <w:t>型号/数量</w:t>
            </w:r>
          </w:p>
        </w:tc>
        <w:tc>
          <w:tcPr>
            <w:tcW w:w="744" w:type="pct"/>
            <w:gridSpan w:val="3"/>
            <w:tcMar>
              <w:left w:w="0" w:type="dxa"/>
              <w:right w:w="0" w:type="dxa"/>
            </w:tcMar>
            <w:vAlign w:val="center"/>
          </w:tcPr>
          <w:p w14:paraId="53AE84B0">
            <w:pPr>
              <w:pStyle w:val="36"/>
              <w:bidi w:val="0"/>
              <w:rPr>
                <w:color w:val="auto"/>
              </w:rPr>
            </w:pPr>
            <w:r>
              <w:rPr>
                <w:color w:val="auto"/>
              </w:rPr>
              <w:t>空间相对位置m</w:t>
            </w:r>
          </w:p>
        </w:tc>
        <w:tc>
          <w:tcPr>
            <w:tcW w:w="1210" w:type="pct"/>
            <w:gridSpan w:val="2"/>
            <w:tcMar>
              <w:left w:w="0" w:type="dxa"/>
              <w:right w:w="0" w:type="dxa"/>
            </w:tcMar>
            <w:vAlign w:val="center"/>
          </w:tcPr>
          <w:p w14:paraId="12A49037">
            <w:pPr>
              <w:pStyle w:val="36"/>
              <w:bidi w:val="0"/>
              <w:rPr>
                <w:color w:val="auto"/>
              </w:rPr>
            </w:pPr>
            <w:r>
              <w:rPr>
                <w:color w:val="auto"/>
              </w:rPr>
              <w:t>声源源强(任选一种)</w:t>
            </w:r>
          </w:p>
        </w:tc>
        <w:tc>
          <w:tcPr>
            <w:tcW w:w="1084" w:type="pct"/>
            <w:vMerge w:val="restart"/>
            <w:tcMar>
              <w:left w:w="0" w:type="dxa"/>
              <w:right w:w="0" w:type="dxa"/>
            </w:tcMar>
            <w:vAlign w:val="center"/>
          </w:tcPr>
          <w:p w14:paraId="74485C9E">
            <w:pPr>
              <w:pStyle w:val="36"/>
              <w:bidi w:val="0"/>
              <w:rPr>
                <w:color w:val="auto"/>
              </w:rPr>
            </w:pPr>
            <w:r>
              <w:rPr>
                <w:color w:val="auto"/>
              </w:rPr>
              <w:t>声源控制措施</w:t>
            </w:r>
          </w:p>
        </w:tc>
        <w:tc>
          <w:tcPr>
            <w:tcW w:w="893" w:type="pct"/>
            <w:vMerge w:val="restart"/>
            <w:tcMar>
              <w:left w:w="0" w:type="dxa"/>
              <w:right w:w="0" w:type="dxa"/>
            </w:tcMar>
            <w:vAlign w:val="center"/>
          </w:tcPr>
          <w:p w14:paraId="3D9DFF19">
            <w:pPr>
              <w:pStyle w:val="36"/>
              <w:bidi w:val="0"/>
              <w:rPr>
                <w:color w:val="auto"/>
              </w:rPr>
            </w:pPr>
            <w:r>
              <w:rPr>
                <w:color w:val="auto"/>
              </w:rPr>
              <w:t>运行时段</w:t>
            </w:r>
          </w:p>
        </w:tc>
      </w:tr>
      <w:tr w14:paraId="03AD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left w:w="0" w:type="dxa"/>
              <w:right w:w="0" w:type="dxa"/>
            </w:tcMar>
            <w:vAlign w:val="center"/>
          </w:tcPr>
          <w:p w14:paraId="6F83EC36">
            <w:pPr>
              <w:pStyle w:val="26"/>
              <w:bidi w:val="0"/>
              <w:rPr>
                <w:color w:val="auto"/>
              </w:rPr>
            </w:pPr>
          </w:p>
        </w:tc>
        <w:tc>
          <w:tcPr>
            <w:tcW w:w="334" w:type="pct"/>
            <w:vMerge w:val="continue"/>
            <w:tcMar>
              <w:left w:w="0" w:type="dxa"/>
              <w:right w:w="0" w:type="dxa"/>
            </w:tcMar>
            <w:vAlign w:val="center"/>
          </w:tcPr>
          <w:p w14:paraId="631B8A05">
            <w:pPr>
              <w:pStyle w:val="26"/>
              <w:bidi w:val="0"/>
              <w:rPr>
                <w:color w:val="auto"/>
              </w:rPr>
            </w:pPr>
          </w:p>
        </w:tc>
        <w:tc>
          <w:tcPr>
            <w:tcW w:w="557" w:type="pct"/>
            <w:vMerge w:val="continue"/>
            <w:tcMar>
              <w:left w:w="0" w:type="dxa"/>
              <w:right w:w="0" w:type="dxa"/>
            </w:tcMar>
            <w:vAlign w:val="center"/>
          </w:tcPr>
          <w:p w14:paraId="7EE0A230">
            <w:pPr>
              <w:pStyle w:val="26"/>
              <w:bidi w:val="0"/>
              <w:rPr>
                <w:color w:val="auto"/>
              </w:rPr>
            </w:pPr>
          </w:p>
        </w:tc>
        <w:tc>
          <w:tcPr>
            <w:tcW w:w="221" w:type="pct"/>
            <w:tcMar>
              <w:left w:w="0" w:type="dxa"/>
              <w:right w:w="0" w:type="dxa"/>
            </w:tcMar>
            <w:vAlign w:val="center"/>
          </w:tcPr>
          <w:p w14:paraId="347E0A44">
            <w:pPr>
              <w:pStyle w:val="36"/>
              <w:bidi w:val="0"/>
              <w:rPr>
                <w:color w:val="auto"/>
              </w:rPr>
            </w:pPr>
            <w:r>
              <w:rPr>
                <w:color w:val="auto"/>
              </w:rPr>
              <w:t>X</w:t>
            </w:r>
          </w:p>
        </w:tc>
        <w:tc>
          <w:tcPr>
            <w:tcW w:w="285" w:type="pct"/>
            <w:tcMar>
              <w:left w:w="0" w:type="dxa"/>
              <w:right w:w="0" w:type="dxa"/>
            </w:tcMar>
            <w:vAlign w:val="center"/>
          </w:tcPr>
          <w:p w14:paraId="7B7AE212">
            <w:pPr>
              <w:pStyle w:val="36"/>
              <w:bidi w:val="0"/>
              <w:rPr>
                <w:color w:val="auto"/>
              </w:rPr>
            </w:pPr>
            <w:r>
              <w:rPr>
                <w:color w:val="auto"/>
              </w:rPr>
              <w:t>Y</w:t>
            </w:r>
          </w:p>
        </w:tc>
        <w:tc>
          <w:tcPr>
            <w:tcW w:w="238" w:type="pct"/>
            <w:tcMar>
              <w:left w:w="0" w:type="dxa"/>
              <w:right w:w="0" w:type="dxa"/>
            </w:tcMar>
            <w:vAlign w:val="center"/>
          </w:tcPr>
          <w:p w14:paraId="7482DCC2">
            <w:pPr>
              <w:pStyle w:val="36"/>
              <w:bidi w:val="0"/>
              <w:rPr>
                <w:color w:val="auto"/>
              </w:rPr>
            </w:pPr>
            <w:r>
              <w:rPr>
                <w:color w:val="auto"/>
              </w:rPr>
              <w:t>Z</w:t>
            </w:r>
          </w:p>
        </w:tc>
        <w:tc>
          <w:tcPr>
            <w:tcW w:w="718" w:type="pct"/>
            <w:tcMar>
              <w:left w:w="0" w:type="dxa"/>
              <w:right w:w="0" w:type="dxa"/>
            </w:tcMar>
            <w:vAlign w:val="center"/>
          </w:tcPr>
          <w:p w14:paraId="7BFCFEAC">
            <w:pPr>
              <w:pStyle w:val="36"/>
              <w:bidi w:val="0"/>
              <w:rPr>
                <w:color w:val="auto"/>
              </w:rPr>
            </w:pPr>
            <w:r>
              <w:rPr>
                <w:color w:val="auto"/>
              </w:rPr>
              <w:t>(声压级/距声源距离)/dB(A)/m)</w:t>
            </w:r>
          </w:p>
        </w:tc>
        <w:tc>
          <w:tcPr>
            <w:tcW w:w="491" w:type="pct"/>
            <w:tcMar>
              <w:left w:w="0" w:type="dxa"/>
              <w:right w:w="0" w:type="dxa"/>
            </w:tcMar>
            <w:vAlign w:val="center"/>
          </w:tcPr>
          <w:p w14:paraId="5E474D41">
            <w:pPr>
              <w:pStyle w:val="36"/>
              <w:bidi w:val="0"/>
              <w:rPr>
                <w:color w:val="auto"/>
              </w:rPr>
            </w:pPr>
            <w:r>
              <w:rPr>
                <w:color w:val="auto"/>
              </w:rPr>
              <w:t>声功率级/dB(A)</w:t>
            </w:r>
          </w:p>
        </w:tc>
        <w:tc>
          <w:tcPr>
            <w:tcW w:w="1084" w:type="pct"/>
            <w:vMerge w:val="continue"/>
            <w:tcMar>
              <w:left w:w="0" w:type="dxa"/>
              <w:right w:w="0" w:type="dxa"/>
            </w:tcMar>
            <w:vAlign w:val="center"/>
          </w:tcPr>
          <w:p w14:paraId="10B26738">
            <w:pPr>
              <w:pStyle w:val="26"/>
              <w:bidi w:val="0"/>
              <w:rPr>
                <w:color w:val="auto"/>
              </w:rPr>
            </w:pPr>
          </w:p>
        </w:tc>
        <w:tc>
          <w:tcPr>
            <w:tcW w:w="893" w:type="pct"/>
            <w:vMerge w:val="continue"/>
            <w:tcMar>
              <w:left w:w="0" w:type="dxa"/>
              <w:right w:w="0" w:type="dxa"/>
            </w:tcMar>
            <w:vAlign w:val="center"/>
          </w:tcPr>
          <w:p w14:paraId="013A8F95">
            <w:pPr>
              <w:pStyle w:val="26"/>
              <w:bidi w:val="0"/>
              <w:rPr>
                <w:color w:val="auto"/>
              </w:rPr>
            </w:pPr>
          </w:p>
        </w:tc>
      </w:tr>
      <w:tr w14:paraId="644B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5" w:type="pct"/>
            <w:tcMar>
              <w:left w:w="0" w:type="dxa"/>
              <w:right w:w="0" w:type="dxa"/>
            </w:tcMar>
            <w:vAlign w:val="center"/>
          </w:tcPr>
          <w:p w14:paraId="58F8B94E">
            <w:pPr>
              <w:pStyle w:val="26"/>
              <w:bidi w:val="0"/>
              <w:rPr>
                <w:color w:val="auto"/>
              </w:rPr>
            </w:pPr>
            <w:r>
              <w:rPr>
                <w:color w:val="auto"/>
              </w:rPr>
              <w:t>1</w:t>
            </w:r>
          </w:p>
        </w:tc>
        <w:tc>
          <w:tcPr>
            <w:tcW w:w="334" w:type="pct"/>
            <w:shd w:val="clear" w:color="auto" w:fill="auto"/>
            <w:tcMar>
              <w:left w:w="0" w:type="dxa"/>
              <w:right w:w="0" w:type="dxa"/>
            </w:tcMar>
            <w:vAlign w:val="center"/>
          </w:tcPr>
          <w:p w14:paraId="148FE7B1">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冷却塔</w:t>
            </w:r>
          </w:p>
        </w:tc>
        <w:tc>
          <w:tcPr>
            <w:tcW w:w="557" w:type="pct"/>
            <w:shd w:val="clear" w:color="auto" w:fill="auto"/>
            <w:tcMar>
              <w:left w:w="0" w:type="dxa"/>
              <w:right w:w="0" w:type="dxa"/>
            </w:tcMar>
            <w:vAlign w:val="center"/>
          </w:tcPr>
          <w:p w14:paraId="2B56A07E">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33m³/h，1台</w:t>
            </w:r>
          </w:p>
        </w:tc>
        <w:tc>
          <w:tcPr>
            <w:tcW w:w="221" w:type="pct"/>
            <w:shd w:val="clear" w:color="auto" w:fill="auto"/>
            <w:tcMar>
              <w:left w:w="0" w:type="dxa"/>
              <w:right w:w="0" w:type="dxa"/>
            </w:tcMar>
            <w:vAlign w:val="center"/>
          </w:tcPr>
          <w:p w14:paraId="3DE05FB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28</w:t>
            </w:r>
          </w:p>
        </w:tc>
        <w:tc>
          <w:tcPr>
            <w:tcW w:w="285" w:type="pct"/>
            <w:shd w:val="clear" w:color="auto" w:fill="auto"/>
            <w:tcMar>
              <w:left w:w="0" w:type="dxa"/>
              <w:right w:w="0" w:type="dxa"/>
            </w:tcMar>
            <w:vAlign w:val="center"/>
          </w:tcPr>
          <w:p w14:paraId="6AE9D69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50</w:t>
            </w:r>
          </w:p>
        </w:tc>
        <w:tc>
          <w:tcPr>
            <w:tcW w:w="238" w:type="pct"/>
            <w:shd w:val="clear" w:color="auto" w:fill="auto"/>
            <w:tcMar>
              <w:left w:w="0" w:type="dxa"/>
              <w:right w:w="0" w:type="dxa"/>
            </w:tcMar>
            <w:vAlign w:val="center"/>
          </w:tcPr>
          <w:p w14:paraId="766E50EB">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1</w:t>
            </w:r>
          </w:p>
        </w:tc>
        <w:tc>
          <w:tcPr>
            <w:tcW w:w="718" w:type="pct"/>
            <w:shd w:val="clear" w:color="auto" w:fill="auto"/>
            <w:tcMar>
              <w:left w:w="0" w:type="dxa"/>
              <w:right w:w="0" w:type="dxa"/>
            </w:tcMar>
            <w:vAlign w:val="center"/>
          </w:tcPr>
          <w:p w14:paraId="1D882E5A">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c>
          <w:tcPr>
            <w:tcW w:w="491" w:type="pct"/>
            <w:shd w:val="clear" w:color="auto" w:fill="auto"/>
            <w:tcMar>
              <w:left w:w="0" w:type="dxa"/>
              <w:right w:w="0" w:type="dxa"/>
            </w:tcMar>
            <w:vAlign w:val="center"/>
          </w:tcPr>
          <w:p w14:paraId="0F4CC565">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084" w:type="pct"/>
            <w:shd w:val="clear" w:color="auto" w:fill="auto"/>
            <w:tcMar>
              <w:left w:w="0" w:type="dxa"/>
              <w:right w:w="0" w:type="dxa"/>
            </w:tcMar>
            <w:vAlign w:val="center"/>
          </w:tcPr>
          <w:p w14:paraId="03CB1AC4">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低噪声设备，减振</w:t>
            </w:r>
          </w:p>
        </w:tc>
        <w:tc>
          <w:tcPr>
            <w:tcW w:w="893" w:type="pct"/>
            <w:shd w:val="clear" w:color="auto" w:fill="auto"/>
            <w:tcMar>
              <w:left w:w="0" w:type="dxa"/>
              <w:right w:w="0" w:type="dxa"/>
            </w:tcMar>
            <w:vAlign w:val="center"/>
          </w:tcPr>
          <w:p w14:paraId="540E5280">
            <w:pPr>
              <w:pStyle w:val="26"/>
              <w:bidi w:val="0"/>
              <w:rPr>
                <w:rFonts w:hint="default" w:ascii="Times New Roman" w:hAnsi="Times New Roman" w:eastAsia="仿宋_GB2312" w:cs="Times New Roman"/>
                <w:color w:val="auto"/>
                <w:kern w:val="2"/>
                <w:sz w:val="21"/>
                <w:szCs w:val="22"/>
                <w:lang w:val="en-US" w:eastAsia="zh-CN" w:bidi="ar-SA"/>
              </w:rPr>
            </w:pPr>
            <w:r>
              <w:rPr>
                <w:color w:val="auto"/>
              </w:rPr>
              <w:t>每年3</w:t>
            </w:r>
            <w:r>
              <w:rPr>
                <w:rFonts w:hint="eastAsia"/>
                <w:color w:val="auto"/>
                <w:lang w:val="en-US" w:eastAsia="zh-CN"/>
              </w:rPr>
              <w:t>65</w:t>
            </w:r>
            <w:r>
              <w:rPr>
                <w:color w:val="auto"/>
              </w:rPr>
              <w:t>天，00:00-24:00</w:t>
            </w:r>
          </w:p>
        </w:tc>
      </w:tr>
      <w:tr w14:paraId="21F0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5" w:type="pct"/>
            <w:tcMar>
              <w:left w:w="0" w:type="dxa"/>
              <w:right w:w="0" w:type="dxa"/>
            </w:tcMar>
            <w:vAlign w:val="center"/>
          </w:tcPr>
          <w:p w14:paraId="07F81433">
            <w:pPr>
              <w:pStyle w:val="26"/>
              <w:bidi w:val="0"/>
              <w:rPr>
                <w:rFonts w:hint="eastAsia" w:eastAsia="仿宋_GB2312"/>
                <w:color w:val="auto"/>
                <w:lang w:val="en-US" w:eastAsia="zh-CN"/>
              </w:rPr>
            </w:pPr>
            <w:r>
              <w:rPr>
                <w:rFonts w:hint="eastAsia"/>
                <w:color w:val="auto"/>
                <w:lang w:val="en-US" w:eastAsia="zh-CN"/>
              </w:rPr>
              <w:t>2</w:t>
            </w:r>
          </w:p>
        </w:tc>
        <w:tc>
          <w:tcPr>
            <w:tcW w:w="334" w:type="pct"/>
            <w:shd w:val="clear" w:color="auto" w:fill="auto"/>
            <w:tcMar>
              <w:left w:w="0" w:type="dxa"/>
              <w:right w:w="0" w:type="dxa"/>
            </w:tcMar>
            <w:vAlign w:val="center"/>
          </w:tcPr>
          <w:p w14:paraId="20B04B35">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冷却塔</w:t>
            </w:r>
          </w:p>
        </w:tc>
        <w:tc>
          <w:tcPr>
            <w:tcW w:w="557" w:type="pct"/>
            <w:shd w:val="clear" w:color="auto" w:fill="auto"/>
            <w:tcMar>
              <w:left w:w="0" w:type="dxa"/>
              <w:right w:w="0" w:type="dxa"/>
            </w:tcMar>
            <w:vAlign w:val="center"/>
          </w:tcPr>
          <w:p w14:paraId="33E0A37F">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33m³/h，1台</w:t>
            </w:r>
          </w:p>
        </w:tc>
        <w:tc>
          <w:tcPr>
            <w:tcW w:w="221" w:type="pct"/>
            <w:shd w:val="clear" w:color="auto" w:fill="auto"/>
            <w:tcMar>
              <w:left w:w="0" w:type="dxa"/>
              <w:right w:w="0" w:type="dxa"/>
            </w:tcMar>
            <w:vAlign w:val="center"/>
          </w:tcPr>
          <w:p w14:paraId="64C18BC3">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29</w:t>
            </w:r>
          </w:p>
        </w:tc>
        <w:tc>
          <w:tcPr>
            <w:tcW w:w="285" w:type="pct"/>
            <w:shd w:val="clear" w:color="auto" w:fill="auto"/>
            <w:tcMar>
              <w:left w:w="0" w:type="dxa"/>
              <w:right w:w="0" w:type="dxa"/>
            </w:tcMar>
            <w:vAlign w:val="center"/>
          </w:tcPr>
          <w:p w14:paraId="7CA2C50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53</w:t>
            </w:r>
          </w:p>
        </w:tc>
        <w:tc>
          <w:tcPr>
            <w:tcW w:w="238" w:type="pct"/>
            <w:shd w:val="clear" w:color="auto" w:fill="auto"/>
            <w:tcMar>
              <w:left w:w="0" w:type="dxa"/>
              <w:right w:w="0" w:type="dxa"/>
            </w:tcMar>
            <w:vAlign w:val="center"/>
          </w:tcPr>
          <w:p w14:paraId="42E203A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1</w:t>
            </w:r>
          </w:p>
        </w:tc>
        <w:tc>
          <w:tcPr>
            <w:tcW w:w="718" w:type="pct"/>
            <w:shd w:val="clear" w:color="auto" w:fill="auto"/>
            <w:tcMar>
              <w:left w:w="0" w:type="dxa"/>
              <w:right w:w="0" w:type="dxa"/>
            </w:tcMar>
            <w:vAlign w:val="center"/>
          </w:tcPr>
          <w:p w14:paraId="7332016A">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c>
          <w:tcPr>
            <w:tcW w:w="491" w:type="pct"/>
            <w:shd w:val="clear" w:color="auto" w:fill="auto"/>
            <w:tcMar>
              <w:left w:w="0" w:type="dxa"/>
              <w:right w:w="0" w:type="dxa"/>
            </w:tcMar>
            <w:vAlign w:val="center"/>
          </w:tcPr>
          <w:p w14:paraId="37C26E56">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084" w:type="pct"/>
            <w:shd w:val="clear" w:color="auto" w:fill="auto"/>
            <w:tcMar>
              <w:left w:w="0" w:type="dxa"/>
              <w:right w:w="0" w:type="dxa"/>
            </w:tcMar>
            <w:vAlign w:val="center"/>
          </w:tcPr>
          <w:p w14:paraId="553002E1">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低噪声设备，减振</w:t>
            </w:r>
          </w:p>
        </w:tc>
        <w:tc>
          <w:tcPr>
            <w:tcW w:w="893" w:type="pct"/>
            <w:shd w:val="clear" w:color="auto" w:fill="auto"/>
            <w:tcMar>
              <w:left w:w="0" w:type="dxa"/>
              <w:right w:w="0" w:type="dxa"/>
            </w:tcMar>
            <w:vAlign w:val="center"/>
          </w:tcPr>
          <w:p w14:paraId="783E636D">
            <w:pPr>
              <w:pStyle w:val="26"/>
              <w:bidi w:val="0"/>
              <w:rPr>
                <w:rFonts w:ascii="Times New Roman" w:hAnsi="Times New Roman" w:eastAsia="仿宋_GB2312" w:cs="Times New Roman"/>
                <w:color w:val="auto"/>
                <w:kern w:val="2"/>
                <w:sz w:val="21"/>
                <w:szCs w:val="22"/>
                <w:lang w:val="en-US" w:eastAsia="zh-CN" w:bidi="ar-SA"/>
              </w:rPr>
            </w:pPr>
            <w:r>
              <w:rPr>
                <w:color w:val="auto"/>
              </w:rPr>
              <w:t>每年3</w:t>
            </w:r>
            <w:r>
              <w:rPr>
                <w:rFonts w:hint="eastAsia"/>
                <w:color w:val="auto"/>
                <w:lang w:val="en-US" w:eastAsia="zh-CN"/>
              </w:rPr>
              <w:t>65</w:t>
            </w:r>
            <w:r>
              <w:rPr>
                <w:color w:val="auto"/>
              </w:rPr>
              <w:t>天，00:00-24:00</w:t>
            </w:r>
          </w:p>
        </w:tc>
      </w:tr>
      <w:tr w14:paraId="5293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5" w:type="pct"/>
            <w:tcMar>
              <w:left w:w="0" w:type="dxa"/>
              <w:right w:w="0" w:type="dxa"/>
            </w:tcMar>
            <w:vAlign w:val="center"/>
          </w:tcPr>
          <w:p w14:paraId="44E66ED0">
            <w:pPr>
              <w:pStyle w:val="26"/>
              <w:bidi w:val="0"/>
              <w:rPr>
                <w:rFonts w:hint="eastAsia" w:eastAsia="仿宋_GB2312"/>
                <w:color w:val="auto"/>
                <w:lang w:val="en-US" w:eastAsia="zh-CN"/>
              </w:rPr>
            </w:pPr>
            <w:r>
              <w:rPr>
                <w:rFonts w:hint="eastAsia"/>
                <w:color w:val="auto"/>
                <w:lang w:val="en-US" w:eastAsia="zh-CN"/>
              </w:rPr>
              <w:t>3</w:t>
            </w:r>
          </w:p>
        </w:tc>
        <w:tc>
          <w:tcPr>
            <w:tcW w:w="334" w:type="pct"/>
            <w:shd w:val="clear" w:color="auto" w:fill="auto"/>
            <w:tcMar>
              <w:left w:w="0" w:type="dxa"/>
              <w:right w:w="0" w:type="dxa"/>
            </w:tcMar>
            <w:vAlign w:val="center"/>
          </w:tcPr>
          <w:p w14:paraId="0962294B">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冷却塔</w:t>
            </w:r>
          </w:p>
        </w:tc>
        <w:tc>
          <w:tcPr>
            <w:tcW w:w="557" w:type="pct"/>
            <w:shd w:val="clear" w:color="auto" w:fill="auto"/>
            <w:tcMar>
              <w:left w:w="0" w:type="dxa"/>
              <w:right w:w="0" w:type="dxa"/>
            </w:tcMar>
            <w:vAlign w:val="center"/>
          </w:tcPr>
          <w:p w14:paraId="2EDA1978">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33m³/h，1台</w:t>
            </w:r>
          </w:p>
        </w:tc>
        <w:tc>
          <w:tcPr>
            <w:tcW w:w="221" w:type="pct"/>
            <w:shd w:val="clear" w:color="auto" w:fill="auto"/>
            <w:tcMar>
              <w:left w:w="0" w:type="dxa"/>
              <w:right w:w="0" w:type="dxa"/>
            </w:tcMar>
            <w:vAlign w:val="center"/>
          </w:tcPr>
          <w:p w14:paraId="3933292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30</w:t>
            </w:r>
          </w:p>
        </w:tc>
        <w:tc>
          <w:tcPr>
            <w:tcW w:w="285" w:type="pct"/>
            <w:shd w:val="clear" w:color="auto" w:fill="auto"/>
            <w:tcMar>
              <w:left w:w="0" w:type="dxa"/>
              <w:right w:w="0" w:type="dxa"/>
            </w:tcMar>
            <w:vAlign w:val="center"/>
          </w:tcPr>
          <w:p w14:paraId="55E85AB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56</w:t>
            </w:r>
          </w:p>
        </w:tc>
        <w:tc>
          <w:tcPr>
            <w:tcW w:w="238" w:type="pct"/>
            <w:shd w:val="clear" w:color="auto" w:fill="auto"/>
            <w:tcMar>
              <w:left w:w="0" w:type="dxa"/>
              <w:right w:w="0" w:type="dxa"/>
            </w:tcMar>
            <w:vAlign w:val="center"/>
          </w:tcPr>
          <w:p w14:paraId="3DB0904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1</w:t>
            </w:r>
          </w:p>
        </w:tc>
        <w:tc>
          <w:tcPr>
            <w:tcW w:w="718" w:type="pct"/>
            <w:shd w:val="clear" w:color="auto" w:fill="auto"/>
            <w:tcMar>
              <w:left w:w="0" w:type="dxa"/>
              <w:right w:w="0" w:type="dxa"/>
            </w:tcMar>
            <w:vAlign w:val="center"/>
          </w:tcPr>
          <w:p w14:paraId="001136F9">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w:t>
            </w:r>
          </w:p>
        </w:tc>
        <w:tc>
          <w:tcPr>
            <w:tcW w:w="491" w:type="pct"/>
            <w:shd w:val="clear" w:color="auto" w:fill="auto"/>
            <w:tcMar>
              <w:left w:w="0" w:type="dxa"/>
              <w:right w:w="0" w:type="dxa"/>
            </w:tcMar>
            <w:vAlign w:val="center"/>
          </w:tcPr>
          <w:p w14:paraId="1FD245A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084" w:type="pct"/>
            <w:shd w:val="clear" w:color="auto" w:fill="auto"/>
            <w:tcMar>
              <w:left w:w="0" w:type="dxa"/>
              <w:right w:w="0" w:type="dxa"/>
            </w:tcMar>
            <w:vAlign w:val="center"/>
          </w:tcPr>
          <w:p w14:paraId="515DA939">
            <w:pPr>
              <w:pStyle w:val="26"/>
              <w:bidi w:val="0"/>
              <w:rPr>
                <w:rFonts w:ascii="Times New Roman" w:hAnsi="Times New Roman" w:eastAsia="仿宋_GB2312" w:cs="Times New Roman"/>
                <w:color w:val="auto"/>
                <w:kern w:val="2"/>
                <w:sz w:val="21"/>
                <w:szCs w:val="22"/>
                <w:lang w:val="en-US" w:eastAsia="zh-CN" w:bidi="ar-SA"/>
              </w:rPr>
            </w:pPr>
            <w:r>
              <w:rPr>
                <w:color w:val="auto"/>
                <w:lang w:val="en-US" w:eastAsia="zh-CN"/>
              </w:rPr>
              <w:t>低噪声设备，减振</w:t>
            </w:r>
          </w:p>
        </w:tc>
        <w:tc>
          <w:tcPr>
            <w:tcW w:w="893" w:type="pct"/>
            <w:shd w:val="clear" w:color="auto" w:fill="auto"/>
            <w:tcMar>
              <w:left w:w="0" w:type="dxa"/>
              <w:right w:w="0" w:type="dxa"/>
            </w:tcMar>
            <w:vAlign w:val="center"/>
          </w:tcPr>
          <w:p w14:paraId="2E34A68B">
            <w:pPr>
              <w:pStyle w:val="26"/>
              <w:bidi w:val="0"/>
              <w:rPr>
                <w:rFonts w:ascii="Times New Roman" w:hAnsi="Times New Roman" w:eastAsia="仿宋_GB2312" w:cs="Times New Roman"/>
                <w:color w:val="auto"/>
                <w:kern w:val="2"/>
                <w:sz w:val="21"/>
                <w:szCs w:val="22"/>
                <w:lang w:val="en-US" w:eastAsia="zh-CN" w:bidi="ar-SA"/>
              </w:rPr>
            </w:pPr>
            <w:r>
              <w:rPr>
                <w:color w:val="auto"/>
              </w:rPr>
              <w:t>每年3</w:t>
            </w:r>
            <w:r>
              <w:rPr>
                <w:rFonts w:hint="eastAsia"/>
                <w:color w:val="auto"/>
                <w:lang w:val="en-US" w:eastAsia="zh-CN"/>
              </w:rPr>
              <w:t>65</w:t>
            </w:r>
            <w:r>
              <w:rPr>
                <w:color w:val="auto"/>
              </w:rPr>
              <w:t>天，00:00-24:00</w:t>
            </w:r>
          </w:p>
        </w:tc>
      </w:tr>
    </w:tbl>
    <w:p w14:paraId="5504858F">
      <w:pPr>
        <w:pStyle w:val="26"/>
        <w:jc w:val="both"/>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auto"/>
        </w:rPr>
        <w:t>*注：以本项目厂区</w:t>
      </w:r>
      <w:r>
        <w:rPr>
          <w:rFonts w:hint="eastAsia"/>
          <w:color w:val="auto"/>
          <w:lang w:val="en-US" w:eastAsia="zh-CN"/>
        </w:rPr>
        <w:t>西南角</w:t>
      </w:r>
      <w:r>
        <w:rPr>
          <w:color w:val="auto"/>
        </w:rPr>
        <w:t>为坐标原点。</w:t>
      </w:r>
    </w:p>
    <w:p w14:paraId="29849378">
      <w:pPr>
        <w:pStyle w:val="25"/>
        <w:rPr>
          <w:color w:val="auto"/>
        </w:rPr>
      </w:pPr>
      <w:bookmarkStart w:id="202" w:name="_Ref161826560"/>
      <w:r>
        <w:rPr>
          <w:color w:val="auto"/>
        </w:rPr>
        <w:t>表</w:t>
      </w:r>
      <w:r>
        <w:rPr>
          <w:color w:val="auto"/>
        </w:rPr>
        <w:fldChar w:fldCharType="begin"/>
      </w:r>
      <w:r>
        <w:rPr>
          <w:color w:val="auto"/>
        </w:rPr>
        <w:instrText xml:space="preserve"> STYLEREF 2 \s </w:instrText>
      </w:r>
      <w:r>
        <w:rPr>
          <w:color w:val="auto"/>
        </w:rPr>
        <w:fldChar w:fldCharType="separate"/>
      </w:r>
      <w:r>
        <w:rPr>
          <w:color w:val="auto"/>
        </w:rPr>
        <w:t>4.5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9</w:t>
      </w:r>
      <w:r>
        <w:rPr>
          <w:color w:val="auto"/>
        </w:rPr>
        <w:fldChar w:fldCharType="end"/>
      </w:r>
      <w:bookmarkEnd w:id="202"/>
      <w:r>
        <w:rPr>
          <w:color w:val="auto"/>
        </w:rPr>
        <w:t>本项目噪声源强调查清单（室内声源）</w:t>
      </w:r>
    </w:p>
    <w:tbl>
      <w:tblPr>
        <w:tblStyle w:val="19"/>
        <w:tblW w:w="14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749"/>
        <w:gridCol w:w="1387"/>
        <w:gridCol w:w="1260"/>
        <w:gridCol w:w="755"/>
        <w:gridCol w:w="1134"/>
        <w:gridCol w:w="1141"/>
        <w:gridCol w:w="777"/>
        <w:gridCol w:w="776"/>
        <w:gridCol w:w="778"/>
        <w:gridCol w:w="800"/>
        <w:gridCol w:w="829"/>
        <w:gridCol w:w="566"/>
        <w:gridCol w:w="988"/>
        <w:gridCol w:w="868"/>
        <w:gridCol w:w="869"/>
      </w:tblGrid>
      <w:tr w14:paraId="4314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vMerge w:val="restart"/>
            <w:tcMar>
              <w:top w:w="0" w:type="dxa"/>
              <w:left w:w="0" w:type="dxa"/>
              <w:bottom w:w="0" w:type="dxa"/>
              <w:right w:w="0" w:type="dxa"/>
            </w:tcMar>
            <w:vAlign w:val="center"/>
          </w:tcPr>
          <w:p w14:paraId="6A85316B">
            <w:pPr>
              <w:pStyle w:val="36"/>
              <w:bidi w:val="0"/>
              <w:rPr>
                <w:color w:val="auto"/>
                <w:lang w:val="en-US" w:eastAsia="zh-CN"/>
              </w:rPr>
            </w:pPr>
            <w:bookmarkStart w:id="203" w:name="PT_6"/>
            <w:r>
              <w:rPr>
                <w:color w:val="auto"/>
                <w:lang w:val="en-US" w:eastAsia="zh-CN"/>
              </w:rPr>
              <w:t>序号</w:t>
            </w:r>
            <w:bookmarkEnd w:id="203"/>
          </w:p>
        </w:tc>
        <w:tc>
          <w:tcPr>
            <w:tcW w:w="749" w:type="dxa"/>
            <w:vMerge w:val="restart"/>
            <w:tcMar>
              <w:top w:w="0" w:type="dxa"/>
              <w:left w:w="0" w:type="dxa"/>
              <w:bottom w:w="0" w:type="dxa"/>
              <w:right w:w="0" w:type="dxa"/>
            </w:tcMar>
            <w:vAlign w:val="center"/>
          </w:tcPr>
          <w:p w14:paraId="78BD6226">
            <w:pPr>
              <w:pStyle w:val="36"/>
              <w:bidi w:val="0"/>
              <w:rPr>
                <w:color w:val="auto"/>
                <w:lang w:val="en-US" w:eastAsia="zh-CN"/>
              </w:rPr>
            </w:pPr>
            <w:r>
              <w:rPr>
                <w:color w:val="auto"/>
                <w:lang w:val="en-US" w:eastAsia="zh-CN"/>
              </w:rPr>
              <w:t>建筑物名称</w:t>
            </w:r>
          </w:p>
        </w:tc>
        <w:tc>
          <w:tcPr>
            <w:tcW w:w="1387" w:type="dxa"/>
            <w:vMerge w:val="restart"/>
            <w:tcMar>
              <w:top w:w="0" w:type="dxa"/>
              <w:left w:w="0" w:type="dxa"/>
              <w:bottom w:w="0" w:type="dxa"/>
              <w:right w:w="0" w:type="dxa"/>
            </w:tcMar>
            <w:vAlign w:val="center"/>
          </w:tcPr>
          <w:p w14:paraId="472FE2AC">
            <w:pPr>
              <w:pStyle w:val="36"/>
              <w:bidi w:val="0"/>
              <w:rPr>
                <w:color w:val="auto"/>
                <w:lang w:val="en-US" w:eastAsia="zh-CN"/>
              </w:rPr>
            </w:pPr>
            <w:r>
              <w:rPr>
                <w:color w:val="auto"/>
                <w:lang w:val="en-US" w:eastAsia="zh-CN"/>
              </w:rPr>
              <w:t>声源名称</w:t>
            </w:r>
          </w:p>
        </w:tc>
        <w:tc>
          <w:tcPr>
            <w:tcW w:w="1260" w:type="dxa"/>
            <w:vMerge w:val="restart"/>
            <w:tcMar>
              <w:top w:w="0" w:type="dxa"/>
              <w:left w:w="0" w:type="dxa"/>
              <w:bottom w:w="0" w:type="dxa"/>
              <w:right w:w="0" w:type="dxa"/>
            </w:tcMar>
            <w:vAlign w:val="center"/>
          </w:tcPr>
          <w:p w14:paraId="1480AB6D">
            <w:pPr>
              <w:pStyle w:val="36"/>
              <w:bidi w:val="0"/>
              <w:rPr>
                <w:color w:val="auto"/>
                <w:lang w:val="en-US" w:eastAsia="zh-CN"/>
              </w:rPr>
            </w:pPr>
            <w:r>
              <w:rPr>
                <w:color w:val="auto"/>
                <w:lang w:val="en-US" w:eastAsia="zh-CN"/>
              </w:rPr>
              <w:t>型号</w:t>
            </w:r>
          </w:p>
        </w:tc>
        <w:tc>
          <w:tcPr>
            <w:tcW w:w="755" w:type="dxa"/>
            <w:vMerge w:val="restart"/>
            <w:tcMar>
              <w:top w:w="0" w:type="dxa"/>
              <w:left w:w="0" w:type="dxa"/>
              <w:bottom w:w="0" w:type="dxa"/>
              <w:right w:w="0" w:type="dxa"/>
            </w:tcMar>
            <w:vAlign w:val="center"/>
          </w:tcPr>
          <w:p w14:paraId="4265050A">
            <w:pPr>
              <w:pStyle w:val="36"/>
              <w:bidi w:val="0"/>
              <w:rPr>
                <w:color w:val="auto"/>
                <w:lang w:val="en-US" w:eastAsia="zh-CN"/>
              </w:rPr>
            </w:pPr>
            <w:r>
              <w:rPr>
                <w:color w:val="auto"/>
                <w:lang w:val="en-US" w:eastAsia="zh-CN"/>
              </w:rPr>
              <w:t>数量</w:t>
            </w:r>
          </w:p>
          <w:p w14:paraId="4C14D291">
            <w:pPr>
              <w:pStyle w:val="36"/>
              <w:bidi w:val="0"/>
              <w:rPr>
                <w:color w:val="auto"/>
                <w:lang w:val="en-US" w:eastAsia="zh-CN"/>
              </w:rPr>
            </w:pPr>
            <w:r>
              <w:rPr>
                <w:color w:val="auto"/>
                <w:lang w:val="en-US" w:eastAsia="zh-CN"/>
              </w:rPr>
              <w:t>（台/套）</w:t>
            </w:r>
          </w:p>
        </w:tc>
        <w:tc>
          <w:tcPr>
            <w:tcW w:w="1134" w:type="dxa"/>
            <w:tcMar>
              <w:top w:w="0" w:type="dxa"/>
              <w:left w:w="0" w:type="dxa"/>
              <w:bottom w:w="0" w:type="dxa"/>
              <w:right w:w="0" w:type="dxa"/>
            </w:tcMar>
            <w:vAlign w:val="center"/>
          </w:tcPr>
          <w:p w14:paraId="75195B66">
            <w:pPr>
              <w:pStyle w:val="36"/>
              <w:bidi w:val="0"/>
              <w:rPr>
                <w:color w:val="auto"/>
                <w:lang w:val="en-US" w:eastAsia="zh-CN"/>
              </w:rPr>
            </w:pPr>
            <w:r>
              <w:rPr>
                <w:color w:val="auto"/>
                <w:lang w:val="en-US" w:eastAsia="zh-CN"/>
              </w:rPr>
              <w:t>声源源强</w:t>
            </w:r>
          </w:p>
        </w:tc>
        <w:tc>
          <w:tcPr>
            <w:tcW w:w="1141" w:type="dxa"/>
            <w:vMerge w:val="restart"/>
            <w:tcMar>
              <w:top w:w="0" w:type="dxa"/>
              <w:left w:w="0" w:type="dxa"/>
              <w:bottom w:w="0" w:type="dxa"/>
              <w:right w:w="0" w:type="dxa"/>
            </w:tcMar>
            <w:vAlign w:val="center"/>
          </w:tcPr>
          <w:p w14:paraId="4927A68C">
            <w:pPr>
              <w:pStyle w:val="36"/>
              <w:bidi w:val="0"/>
              <w:rPr>
                <w:color w:val="auto"/>
                <w:lang w:val="en-US" w:eastAsia="zh-CN"/>
              </w:rPr>
            </w:pPr>
            <w:r>
              <w:rPr>
                <w:color w:val="auto"/>
                <w:lang w:val="en-US" w:eastAsia="zh-CN"/>
              </w:rPr>
              <w:t>声源控制措施</w:t>
            </w:r>
          </w:p>
        </w:tc>
        <w:tc>
          <w:tcPr>
            <w:tcW w:w="2331" w:type="dxa"/>
            <w:gridSpan w:val="3"/>
            <w:tcMar>
              <w:top w:w="0" w:type="dxa"/>
              <w:left w:w="0" w:type="dxa"/>
              <w:bottom w:w="0" w:type="dxa"/>
              <w:right w:w="0" w:type="dxa"/>
            </w:tcMar>
            <w:vAlign w:val="center"/>
          </w:tcPr>
          <w:p w14:paraId="3F519C5E">
            <w:pPr>
              <w:pStyle w:val="36"/>
              <w:bidi w:val="0"/>
              <w:rPr>
                <w:color w:val="auto"/>
                <w:lang w:val="en-US" w:eastAsia="zh-CN"/>
              </w:rPr>
            </w:pPr>
            <w:r>
              <w:rPr>
                <w:color w:val="auto"/>
                <w:lang w:val="en-US" w:eastAsia="zh-CN"/>
              </w:rPr>
              <w:t>空间相对位置*/m</w:t>
            </w:r>
          </w:p>
        </w:tc>
        <w:tc>
          <w:tcPr>
            <w:tcW w:w="800" w:type="dxa"/>
            <w:vMerge w:val="restart"/>
            <w:tcMar>
              <w:top w:w="0" w:type="dxa"/>
              <w:left w:w="0" w:type="dxa"/>
              <w:bottom w:w="0" w:type="dxa"/>
              <w:right w:w="0" w:type="dxa"/>
            </w:tcMar>
            <w:vAlign w:val="center"/>
          </w:tcPr>
          <w:p w14:paraId="01FF87A0">
            <w:pPr>
              <w:pStyle w:val="36"/>
              <w:bidi w:val="0"/>
              <w:rPr>
                <w:color w:val="auto"/>
                <w:lang w:val="en-US" w:eastAsia="zh-CN"/>
              </w:rPr>
            </w:pPr>
            <w:r>
              <w:rPr>
                <w:color w:val="auto"/>
                <w:lang w:val="en-US" w:eastAsia="zh-CN"/>
              </w:rPr>
              <w:t>距室内边界距离/m</w:t>
            </w:r>
          </w:p>
        </w:tc>
        <w:tc>
          <w:tcPr>
            <w:tcW w:w="829" w:type="dxa"/>
            <w:vMerge w:val="restart"/>
            <w:tcMar>
              <w:top w:w="0" w:type="dxa"/>
              <w:left w:w="0" w:type="dxa"/>
              <w:bottom w:w="0" w:type="dxa"/>
              <w:right w:w="0" w:type="dxa"/>
            </w:tcMar>
            <w:vAlign w:val="center"/>
          </w:tcPr>
          <w:p w14:paraId="08F03310">
            <w:pPr>
              <w:pStyle w:val="36"/>
              <w:bidi w:val="0"/>
              <w:rPr>
                <w:color w:val="auto"/>
                <w:lang w:val="en-US" w:eastAsia="zh-CN"/>
              </w:rPr>
            </w:pPr>
            <w:r>
              <w:rPr>
                <w:color w:val="auto"/>
                <w:lang w:val="en-US" w:eastAsia="zh-CN"/>
              </w:rPr>
              <w:t>室内边界声级/dB(A)</w:t>
            </w:r>
          </w:p>
        </w:tc>
        <w:tc>
          <w:tcPr>
            <w:tcW w:w="566" w:type="dxa"/>
            <w:vMerge w:val="restart"/>
            <w:tcMar>
              <w:top w:w="0" w:type="dxa"/>
              <w:left w:w="0" w:type="dxa"/>
              <w:bottom w:w="0" w:type="dxa"/>
              <w:right w:w="0" w:type="dxa"/>
            </w:tcMar>
            <w:vAlign w:val="center"/>
          </w:tcPr>
          <w:p w14:paraId="0A50115A">
            <w:pPr>
              <w:pStyle w:val="36"/>
              <w:bidi w:val="0"/>
              <w:rPr>
                <w:color w:val="auto"/>
                <w:lang w:val="en-US" w:eastAsia="zh-CN"/>
              </w:rPr>
            </w:pPr>
            <w:r>
              <w:rPr>
                <w:color w:val="auto"/>
                <w:lang w:val="en-US" w:eastAsia="zh-CN"/>
              </w:rPr>
              <w:t>运行时段</w:t>
            </w:r>
          </w:p>
        </w:tc>
        <w:tc>
          <w:tcPr>
            <w:tcW w:w="988" w:type="dxa"/>
            <w:vMerge w:val="restart"/>
            <w:tcMar>
              <w:top w:w="0" w:type="dxa"/>
              <w:left w:w="0" w:type="dxa"/>
              <w:bottom w:w="0" w:type="dxa"/>
              <w:right w:w="0" w:type="dxa"/>
            </w:tcMar>
            <w:vAlign w:val="center"/>
          </w:tcPr>
          <w:p w14:paraId="6707DCFC">
            <w:pPr>
              <w:pStyle w:val="36"/>
              <w:bidi w:val="0"/>
              <w:rPr>
                <w:color w:val="auto"/>
                <w:lang w:val="en-US" w:eastAsia="zh-CN"/>
              </w:rPr>
            </w:pPr>
            <w:r>
              <w:rPr>
                <w:color w:val="auto"/>
                <w:lang w:val="en-US" w:eastAsia="zh-CN"/>
              </w:rPr>
              <w:t>建筑物插入损失/dB(A)</w:t>
            </w:r>
          </w:p>
        </w:tc>
        <w:tc>
          <w:tcPr>
            <w:tcW w:w="1737" w:type="dxa"/>
            <w:gridSpan w:val="2"/>
            <w:tcMar>
              <w:top w:w="0" w:type="dxa"/>
              <w:left w:w="0" w:type="dxa"/>
              <w:bottom w:w="0" w:type="dxa"/>
              <w:right w:w="0" w:type="dxa"/>
            </w:tcMar>
            <w:vAlign w:val="center"/>
          </w:tcPr>
          <w:p w14:paraId="53EF2D30">
            <w:pPr>
              <w:pStyle w:val="36"/>
              <w:bidi w:val="0"/>
              <w:rPr>
                <w:color w:val="auto"/>
                <w:lang w:val="en-US" w:eastAsia="zh-CN"/>
              </w:rPr>
            </w:pPr>
            <w:r>
              <w:rPr>
                <w:color w:val="auto"/>
                <w:lang w:val="en-US" w:eastAsia="zh-CN"/>
              </w:rPr>
              <w:t>建筑物外噪声</w:t>
            </w:r>
          </w:p>
        </w:tc>
      </w:tr>
      <w:tr w14:paraId="2477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vMerge w:val="continue"/>
            <w:vAlign w:val="center"/>
          </w:tcPr>
          <w:p w14:paraId="3EFB42AF">
            <w:pPr>
              <w:pStyle w:val="26"/>
              <w:bidi w:val="0"/>
              <w:rPr>
                <w:color w:val="auto"/>
                <w:lang w:val="en-US" w:eastAsia="zh-CN"/>
              </w:rPr>
            </w:pPr>
          </w:p>
        </w:tc>
        <w:tc>
          <w:tcPr>
            <w:tcW w:w="749" w:type="dxa"/>
            <w:vMerge w:val="continue"/>
            <w:vAlign w:val="center"/>
          </w:tcPr>
          <w:p w14:paraId="3CD09CC0">
            <w:pPr>
              <w:pStyle w:val="26"/>
              <w:bidi w:val="0"/>
              <w:rPr>
                <w:color w:val="auto"/>
                <w:lang w:val="en-US" w:eastAsia="zh-CN"/>
              </w:rPr>
            </w:pPr>
          </w:p>
        </w:tc>
        <w:tc>
          <w:tcPr>
            <w:tcW w:w="1387" w:type="dxa"/>
            <w:vMerge w:val="continue"/>
            <w:vAlign w:val="center"/>
          </w:tcPr>
          <w:p w14:paraId="5B7B631F">
            <w:pPr>
              <w:pStyle w:val="26"/>
              <w:bidi w:val="0"/>
              <w:rPr>
                <w:color w:val="auto"/>
                <w:lang w:val="en-US" w:eastAsia="zh-CN"/>
              </w:rPr>
            </w:pPr>
          </w:p>
        </w:tc>
        <w:tc>
          <w:tcPr>
            <w:tcW w:w="1260" w:type="dxa"/>
            <w:vMerge w:val="continue"/>
            <w:vAlign w:val="center"/>
          </w:tcPr>
          <w:p w14:paraId="15B97DC3">
            <w:pPr>
              <w:pStyle w:val="26"/>
              <w:bidi w:val="0"/>
              <w:rPr>
                <w:color w:val="auto"/>
                <w:lang w:val="en-US" w:eastAsia="zh-CN"/>
              </w:rPr>
            </w:pPr>
          </w:p>
        </w:tc>
        <w:tc>
          <w:tcPr>
            <w:tcW w:w="755" w:type="dxa"/>
            <w:vMerge w:val="continue"/>
            <w:vAlign w:val="center"/>
          </w:tcPr>
          <w:p w14:paraId="1E03DD90">
            <w:pPr>
              <w:pStyle w:val="26"/>
              <w:bidi w:val="0"/>
              <w:rPr>
                <w:color w:val="auto"/>
                <w:lang w:val="en-US" w:eastAsia="zh-CN"/>
              </w:rPr>
            </w:pPr>
          </w:p>
        </w:tc>
        <w:tc>
          <w:tcPr>
            <w:tcW w:w="1134" w:type="dxa"/>
            <w:tcMar>
              <w:top w:w="0" w:type="dxa"/>
              <w:left w:w="0" w:type="dxa"/>
              <w:bottom w:w="0" w:type="dxa"/>
              <w:right w:w="0" w:type="dxa"/>
            </w:tcMar>
            <w:vAlign w:val="center"/>
          </w:tcPr>
          <w:p w14:paraId="033EBFD1">
            <w:pPr>
              <w:pStyle w:val="36"/>
              <w:bidi w:val="0"/>
              <w:rPr>
                <w:color w:val="auto"/>
                <w:lang w:val="en-US" w:eastAsia="zh-CN"/>
              </w:rPr>
            </w:pPr>
            <w:r>
              <w:rPr>
                <w:color w:val="auto"/>
                <w:lang w:val="en-US" w:eastAsia="zh-CN"/>
              </w:rPr>
              <w:t>声功率级/dB(A)</w:t>
            </w:r>
          </w:p>
        </w:tc>
        <w:tc>
          <w:tcPr>
            <w:tcW w:w="1141" w:type="dxa"/>
            <w:vMerge w:val="continue"/>
            <w:vAlign w:val="center"/>
          </w:tcPr>
          <w:p w14:paraId="45EE5BF9">
            <w:pPr>
              <w:pStyle w:val="36"/>
              <w:bidi w:val="0"/>
              <w:rPr>
                <w:color w:val="auto"/>
                <w:lang w:val="en-US" w:eastAsia="zh-CN"/>
              </w:rPr>
            </w:pPr>
          </w:p>
        </w:tc>
        <w:tc>
          <w:tcPr>
            <w:tcW w:w="777" w:type="dxa"/>
            <w:tcMar>
              <w:top w:w="0" w:type="dxa"/>
              <w:left w:w="0" w:type="dxa"/>
              <w:bottom w:w="0" w:type="dxa"/>
              <w:right w:w="0" w:type="dxa"/>
            </w:tcMar>
            <w:vAlign w:val="center"/>
          </w:tcPr>
          <w:p w14:paraId="4190A5CC">
            <w:pPr>
              <w:pStyle w:val="36"/>
              <w:bidi w:val="0"/>
              <w:rPr>
                <w:color w:val="auto"/>
                <w:lang w:val="en-US" w:eastAsia="zh-CN"/>
              </w:rPr>
            </w:pPr>
            <w:r>
              <w:rPr>
                <w:color w:val="auto"/>
                <w:lang w:val="en-US" w:eastAsia="zh-CN"/>
              </w:rPr>
              <w:t>X</w:t>
            </w:r>
          </w:p>
        </w:tc>
        <w:tc>
          <w:tcPr>
            <w:tcW w:w="776" w:type="dxa"/>
            <w:tcMar>
              <w:top w:w="0" w:type="dxa"/>
              <w:left w:w="0" w:type="dxa"/>
              <w:bottom w:w="0" w:type="dxa"/>
              <w:right w:w="0" w:type="dxa"/>
            </w:tcMar>
            <w:vAlign w:val="center"/>
          </w:tcPr>
          <w:p w14:paraId="56207F93">
            <w:pPr>
              <w:pStyle w:val="36"/>
              <w:bidi w:val="0"/>
              <w:rPr>
                <w:color w:val="auto"/>
                <w:lang w:val="en-US" w:eastAsia="zh-CN"/>
              </w:rPr>
            </w:pPr>
            <w:r>
              <w:rPr>
                <w:color w:val="auto"/>
                <w:lang w:val="en-US" w:eastAsia="zh-CN"/>
              </w:rPr>
              <w:t>Y</w:t>
            </w:r>
          </w:p>
        </w:tc>
        <w:tc>
          <w:tcPr>
            <w:tcW w:w="778" w:type="dxa"/>
            <w:tcMar>
              <w:top w:w="0" w:type="dxa"/>
              <w:left w:w="0" w:type="dxa"/>
              <w:bottom w:w="0" w:type="dxa"/>
              <w:right w:w="0" w:type="dxa"/>
            </w:tcMar>
            <w:vAlign w:val="center"/>
          </w:tcPr>
          <w:p w14:paraId="1C4F024B">
            <w:pPr>
              <w:pStyle w:val="36"/>
              <w:bidi w:val="0"/>
              <w:rPr>
                <w:color w:val="auto"/>
                <w:lang w:val="en-US" w:eastAsia="zh-CN"/>
              </w:rPr>
            </w:pPr>
            <w:r>
              <w:rPr>
                <w:color w:val="auto"/>
                <w:lang w:val="en-US" w:eastAsia="zh-CN"/>
              </w:rPr>
              <w:t>Z</w:t>
            </w:r>
          </w:p>
        </w:tc>
        <w:tc>
          <w:tcPr>
            <w:tcW w:w="800" w:type="dxa"/>
            <w:vMerge w:val="continue"/>
            <w:vAlign w:val="center"/>
          </w:tcPr>
          <w:p w14:paraId="4ECA6F01">
            <w:pPr>
              <w:pStyle w:val="26"/>
              <w:bidi w:val="0"/>
              <w:rPr>
                <w:color w:val="auto"/>
                <w:lang w:val="en-US" w:eastAsia="zh-CN"/>
              </w:rPr>
            </w:pPr>
          </w:p>
        </w:tc>
        <w:tc>
          <w:tcPr>
            <w:tcW w:w="829" w:type="dxa"/>
            <w:vMerge w:val="continue"/>
            <w:vAlign w:val="center"/>
          </w:tcPr>
          <w:p w14:paraId="64458FA0">
            <w:pPr>
              <w:pStyle w:val="26"/>
              <w:bidi w:val="0"/>
              <w:rPr>
                <w:color w:val="auto"/>
                <w:lang w:val="en-US" w:eastAsia="zh-CN"/>
              </w:rPr>
            </w:pPr>
          </w:p>
        </w:tc>
        <w:tc>
          <w:tcPr>
            <w:tcW w:w="566" w:type="dxa"/>
            <w:vMerge w:val="continue"/>
            <w:vAlign w:val="center"/>
          </w:tcPr>
          <w:p w14:paraId="45DB38A2">
            <w:pPr>
              <w:pStyle w:val="26"/>
              <w:bidi w:val="0"/>
              <w:rPr>
                <w:color w:val="auto"/>
                <w:lang w:val="en-US" w:eastAsia="zh-CN"/>
              </w:rPr>
            </w:pPr>
          </w:p>
        </w:tc>
        <w:tc>
          <w:tcPr>
            <w:tcW w:w="988" w:type="dxa"/>
            <w:vMerge w:val="continue"/>
            <w:vAlign w:val="center"/>
          </w:tcPr>
          <w:p w14:paraId="2A7C4A41">
            <w:pPr>
              <w:pStyle w:val="26"/>
              <w:bidi w:val="0"/>
              <w:rPr>
                <w:color w:val="auto"/>
                <w:lang w:val="en-US" w:eastAsia="zh-CN"/>
              </w:rPr>
            </w:pPr>
          </w:p>
        </w:tc>
        <w:tc>
          <w:tcPr>
            <w:tcW w:w="868" w:type="dxa"/>
            <w:tcMar>
              <w:top w:w="0" w:type="dxa"/>
              <w:left w:w="0" w:type="dxa"/>
              <w:bottom w:w="0" w:type="dxa"/>
              <w:right w:w="0" w:type="dxa"/>
            </w:tcMar>
            <w:vAlign w:val="center"/>
          </w:tcPr>
          <w:p w14:paraId="22C785B9">
            <w:pPr>
              <w:pStyle w:val="36"/>
              <w:bidi w:val="0"/>
              <w:rPr>
                <w:color w:val="auto"/>
                <w:lang w:val="en-US" w:eastAsia="zh-CN"/>
              </w:rPr>
            </w:pPr>
            <w:r>
              <w:rPr>
                <w:color w:val="auto"/>
                <w:lang w:val="en-US" w:eastAsia="zh-CN"/>
              </w:rPr>
              <w:t>声压级/dB(A)</w:t>
            </w:r>
          </w:p>
        </w:tc>
        <w:tc>
          <w:tcPr>
            <w:tcW w:w="869" w:type="dxa"/>
            <w:tcMar>
              <w:top w:w="0" w:type="dxa"/>
              <w:left w:w="0" w:type="dxa"/>
              <w:bottom w:w="0" w:type="dxa"/>
              <w:right w:w="0" w:type="dxa"/>
            </w:tcMar>
            <w:vAlign w:val="center"/>
          </w:tcPr>
          <w:p w14:paraId="761D677E">
            <w:pPr>
              <w:pStyle w:val="36"/>
              <w:bidi w:val="0"/>
              <w:rPr>
                <w:color w:val="auto"/>
                <w:lang w:val="en-US" w:eastAsia="zh-CN"/>
              </w:rPr>
            </w:pPr>
            <w:r>
              <w:rPr>
                <w:color w:val="auto"/>
                <w:lang w:val="en-US" w:eastAsia="zh-CN"/>
              </w:rPr>
              <w:t>建筑物外距离</w:t>
            </w:r>
          </w:p>
        </w:tc>
      </w:tr>
      <w:tr w14:paraId="336D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shd w:val="clear" w:color="auto" w:fill="auto"/>
            <w:tcMar>
              <w:top w:w="0" w:type="dxa"/>
              <w:left w:w="0" w:type="dxa"/>
              <w:bottom w:w="0" w:type="dxa"/>
              <w:right w:w="0" w:type="dxa"/>
            </w:tcMar>
            <w:vAlign w:val="center"/>
          </w:tcPr>
          <w:p w14:paraId="32D7C05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1</w:t>
            </w:r>
          </w:p>
        </w:tc>
        <w:tc>
          <w:tcPr>
            <w:tcW w:w="749" w:type="dxa"/>
            <w:vMerge w:val="restart"/>
            <w:tcMar>
              <w:top w:w="0" w:type="dxa"/>
              <w:left w:w="0" w:type="dxa"/>
              <w:bottom w:w="0" w:type="dxa"/>
              <w:right w:w="0" w:type="dxa"/>
            </w:tcMar>
            <w:vAlign w:val="center"/>
          </w:tcPr>
          <w:p w14:paraId="481ECEE2">
            <w:pPr>
              <w:pStyle w:val="26"/>
              <w:bidi w:val="0"/>
              <w:rPr>
                <w:rFonts w:hint="default"/>
                <w:color w:val="auto"/>
                <w:lang w:val="en-US" w:eastAsia="zh-CN"/>
              </w:rPr>
            </w:pPr>
            <w:r>
              <w:rPr>
                <w:rFonts w:hint="eastAsia"/>
                <w:color w:val="auto"/>
                <w:lang w:val="en-US" w:eastAsia="zh-CN"/>
              </w:rPr>
              <w:t>4#</w:t>
            </w:r>
          </w:p>
          <w:p w14:paraId="6A039CB8">
            <w:pPr>
              <w:pStyle w:val="26"/>
              <w:bidi w:val="0"/>
              <w:rPr>
                <w:rFonts w:hint="default"/>
                <w:color w:val="auto"/>
                <w:lang w:val="en-US" w:eastAsia="zh-CN"/>
              </w:rPr>
            </w:pPr>
            <w:r>
              <w:rPr>
                <w:color w:val="auto"/>
                <w:lang w:val="en-US" w:eastAsia="zh-CN"/>
              </w:rPr>
              <w:t>车间</w:t>
            </w:r>
          </w:p>
        </w:tc>
        <w:tc>
          <w:tcPr>
            <w:tcW w:w="1387" w:type="dxa"/>
            <w:shd w:val="clear" w:color="auto" w:fill="auto"/>
            <w:tcMar>
              <w:top w:w="0" w:type="dxa"/>
              <w:left w:w="0" w:type="dxa"/>
              <w:bottom w:w="0" w:type="dxa"/>
              <w:right w:w="0" w:type="dxa"/>
            </w:tcMar>
            <w:vAlign w:val="center"/>
          </w:tcPr>
          <w:p w14:paraId="54C525F5">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shd w:val="clear" w:color="auto" w:fill="auto"/>
            <w:tcMar>
              <w:top w:w="0" w:type="dxa"/>
              <w:left w:w="0" w:type="dxa"/>
              <w:bottom w:w="0" w:type="dxa"/>
              <w:right w:w="0" w:type="dxa"/>
            </w:tcMar>
            <w:vAlign w:val="center"/>
          </w:tcPr>
          <w:p w14:paraId="42A849FA">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2.25万立方/h</w:t>
            </w:r>
          </w:p>
        </w:tc>
        <w:tc>
          <w:tcPr>
            <w:tcW w:w="755" w:type="dxa"/>
            <w:tcMar>
              <w:top w:w="0" w:type="dxa"/>
              <w:left w:w="0" w:type="dxa"/>
              <w:bottom w:w="0" w:type="dxa"/>
              <w:right w:w="0" w:type="dxa"/>
            </w:tcMar>
            <w:vAlign w:val="center"/>
          </w:tcPr>
          <w:p w14:paraId="5956E145">
            <w:pPr>
              <w:pStyle w:val="26"/>
              <w:bidi w:val="0"/>
              <w:rPr>
                <w:rFonts w:hint="default"/>
                <w:color w:val="auto"/>
                <w:highlight w:val="black"/>
                <w:lang w:val="en-US" w:eastAsia="zh-CN"/>
              </w:rPr>
            </w:pPr>
            <w:r>
              <w:rPr>
                <w:rFonts w:hint="eastAsia"/>
                <w:color w:val="auto"/>
                <w:highlight w:val="black"/>
                <w:lang w:val="en-US" w:eastAsia="zh-CN"/>
              </w:rPr>
              <w:t>1</w:t>
            </w:r>
          </w:p>
        </w:tc>
        <w:tc>
          <w:tcPr>
            <w:tcW w:w="1134" w:type="dxa"/>
            <w:tcMar>
              <w:top w:w="0" w:type="dxa"/>
              <w:left w:w="0" w:type="dxa"/>
              <w:bottom w:w="0" w:type="dxa"/>
              <w:right w:w="0" w:type="dxa"/>
            </w:tcMar>
            <w:vAlign w:val="center"/>
          </w:tcPr>
          <w:p w14:paraId="0FCE66B2">
            <w:pPr>
              <w:pStyle w:val="26"/>
              <w:bidi w:val="0"/>
              <w:rPr>
                <w:rFonts w:hint="default"/>
                <w:color w:val="auto"/>
                <w:lang w:val="en-US" w:eastAsia="zh-CN"/>
              </w:rPr>
            </w:pPr>
            <w:r>
              <w:rPr>
                <w:rFonts w:hint="eastAsia"/>
                <w:color w:val="auto"/>
                <w:lang w:val="en-US" w:eastAsia="zh-CN"/>
              </w:rPr>
              <w:t>90</w:t>
            </w:r>
          </w:p>
        </w:tc>
        <w:tc>
          <w:tcPr>
            <w:tcW w:w="1141" w:type="dxa"/>
            <w:vMerge w:val="restart"/>
            <w:tcMar>
              <w:top w:w="0" w:type="dxa"/>
              <w:left w:w="0" w:type="dxa"/>
              <w:bottom w:w="0" w:type="dxa"/>
              <w:right w:w="0" w:type="dxa"/>
            </w:tcMar>
            <w:vAlign w:val="center"/>
          </w:tcPr>
          <w:p w14:paraId="701B9FD4">
            <w:pPr>
              <w:pStyle w:val="26"/>
              <w:bidi w:val="0"/>
              <w:rPr>
                <w:color w:val="auto"/>
                <w:lang w:val="en-US" w:eastAsia="zh-CN"/>
              </w:rPr>
            </w:pPr>
            <w:r>
              <w:rPr>
                <w:color w:val="auto"/>
                <w:lang w:val="en-US" w:eastAsia="zh-CN"/>
              </w:rPr>
              <w:t>选用低噪声设备，车间合理布局，置于室内，隔声减振、加强绿化</w:t>
            </w:r>
          </w:p>
        </w:tc>
        <w:tc>
          <w:tcPr>
            <w:tcW w:w="777" w:type="dxa"/>
            <w:shd w:val="clear" w:color="auto" w:fill="auto"/>
            <w:tcMar>
              <w:top w:w="0" w:type="dxa"/>
              <w:left w:w="0" w:type="dxa"/>
              <w:bottom w:w="0" w:type="dxa"/>
              <w:right w:w="0" w:type="dxa"/>
            </w:tcMar>
            <w:vAlign w:val="center"/>
          </w:tcPr>
          <w:p w14:paraId="1425D834">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48</w:t>
            </w:r>
          </w:p>
        </w:tc>
        <w:tc>
          <w:tcPr>
            <w:tcW w:w="776" w:type="dxa"/>
            <w:shd w:val="clear" w:color="auto" w:fill="auto"/>
            <w:tcMar>
              <w:top w:w="0" w:type="dxa"/>
              <w:left w:w="0" w:type="dxa"/>
              <w:bottom w:w="0" w:type="dxa"/>
              <w:right w:w="0" w:type="dxa"/>
            </w:tcMar>
            <w:vAlign w:val="center"/>
          </w:tcPr>
          <w:p w14:paraId="5717799B">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19</w:t>
            </w:r>
          </w:p>
        </w:tc>
        <w:tc>
          <w:tcPr>
            <w:tcW w:w="778" w:type="dxa"/>
            <w:shd w:val="clear" w:color="auto" w:fill="auto"/>
            <w:tcMar>
              <w:top w:w="0" w:type="dxa"/>
              <w:left w:w="0" w:type="dxa"/>
              <w:bottom w:w="0" w:type="dxa"/>
              <w:right w:w="0" w:type="dxa"/>
            </w:tcMar>
            <w:vAlign w:val="center"/>
          </w:tcPr>
          <w:p w14:paraId="4FC6D711">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20</w:t>
            </w:r>
          </w:p>
        </w:tc>
        <w:tc>
          <w:tcPr>
            <w:tcW w:w="800" w:type="dxa"/>
            <w:tcMar>
              <w:top w:w="0" w:type="dxa"/>
              <w:left w:w="0" w:type="dxa"/>
              <w:bottom w:w="0" w:type="dxa"/>
              <w:right w:w="0" w:type="dxa"/>
            </w:tcMar>
            <w:vAlign w:val="center"/>
          </w:tcPr>
          <w:p w14:paraId="17035A17">
            <w:pPr>
              <w:pStyle w:val="26"/>
              <w:bidi w:val="0"/>
              <w:rPr>
                <w:rFonts w:hint="default"/>
                <w:color w:val="auto"/>
                <w:lang w:val="en-US" w:eastAsia="zh-CN"/>
              </w:rPr>
            </w:pPr>
            <w:r>
              <w:rPr>
                <w:rFonts w:hint="eastAsia"/>
                <w:color w:val="auto"/>
                <w:lang w:val="en-US" w:eastAsia="zh-CN"/>
              </w:rPr>
              <w:t>10</w:t>
            </w:r>
          </w:p>
        </w:tc>
        <w:tc>
          <w:tcPr>
            <w:tcW w:w="829" w:type="dxa"/>
            <w:shd w:val="clear" w:color="auto" w:fill="auto"/>
            <w:tcMar>
              <w:top w:w="0" w:type="dxa"/>
              <w:left w:w="0" w:type="dxa"/>
              <w:bottom w:w="0" w:type="dxa"/>
              <w:right w:w="0" w:type="dxa"/>
            </w:tcMar>
            <w:vAlign w:val="bottom"/>
          </w:tcPr>
          <w:p w14:paraId="6D37CAD9">
            <w:pPr>
              <w:pStyle w:val="26"/>
              <w:bidi w:val="0"/>
              <w:rPr>
                <w:rFonts w:hint="eastAsia"/>
                <w:lang w:val="en-US" w:eastAsia="zh-CN"/>
              </w:rPr>
            </w:pPr>
            <w:r>
              <w:rPr>
                <w:rFonts w:hint="eastAsia"/>
                <w:lang w:val="en-US" w:eastAsia="zh-CN"/>
              </w:rPr>
              <w:t xml:space="preserve">69.8 </w:t>
            </w:r>
          </w:p>
        </w:tc>
        <w:tc>
          <w:tcPr>
            <w:tcW w:w="566" w:type="dxa"/>
            <w:vMerge w:val="restart"/>
            <w:tcMar>
              <w:top w:w="0" w:type="dxa"/>
              <w:left w:w="0" w:type="dxa"/>
              <w:bottom w:w="0" w:type="dxa"/>
              <w:right w:w="0" w:type="dxa"/>
            </w:tcMar>
            <w:vAlign w:val="center"/>
          </w:tcPr>
          <w:p w14:paraId="70C15F2A">
            <w:pPr>
              <w:pStyle w:val="26"/>
              <w:bidi w:val="0"/>
              <w:rPr>
                <w:color w:val="auto"/>
                <w:lang w:val="en-US" w:eastAsia="zh-CN"/>
              </w:rPr>
            </w:pPr>
            <w:r>
              <w:rPr>
                <w:color w:val="auto"/>
                <w:lang w:val="en-US" w:eastAsia="zh-CN"/>
              </w:rPr>
              <w:t>00:00-24:00</w:t>
            </w:r>
          </w:p>
        </w:tc>
        <w:tc>
          <w:tcPr>
            <w:tcW w:w="988" w:type="dxa"/>
            <w:vMerge w:val="restart"/>
            <w:tcMar>
              <w:top w:w="0" w:type="dxa"/>
              <w:left w:w="0" w:type="dxa"/>
              <w:bottom w:w="0" w:type="dxa"/>
              <w:right w:w="0" w:type="dxa"/>
            </w:tcMar>
            <w:vAlign w:val="center"/>
          </w:tcPr>
          <w:p w14:paraId="1A632669">
            <w:pPr>
              <w:pStyle w:val="26"/>
              <w:bidi w:val="0"/>
              <w:rPr>
                <w:color w:val="auto"/>
                <w:lang w:val="en-US" w:eastAsia="zh-CN"/>
              </w:rPr>
            </w:pPr>
            <w:r>
              <w:rPr>
                <w:rFonts w:hint="eastAsia"/>
                <w:color w:val="auto"/>
                <w:lang w:val="en-US" w:eastAsia="zh-CN"/>
              </w:rPr>
              <w:t>2</w:t>
            </w:r>
            <w:r>
              <w:rPr>
                <w:color w:val="auto"/>
                <w:lang w:val="en-US" w:eastAsia="zh-CN"/>
              </w:rPr>
              <w:t>5</w:t>
            </w:r>
          </w:p>
        </w:tc>
        <w:tc>
          <w:tcPr>
            <w:tcW w:w="868" w:type="dxa"/>
            <w:shd w:val="clear" w:color="auto" w:fill="auto"/>
            <w:tcMar>
              <w:top w:w="0" w:type="dxa"/>
              <w:left w:w="0" w:type="dxa"/>
              <w:bottom w:w="0" w:type="dxa"/>
              <w:right w:w="0" w:type="dxa"/>
            </w:tcMar>
            <w:vAlign w:val="bottom"/>
          </w:tcPr>
          <w:p w14:paraId="1C6870D4">
            <w:pPr>
              <w:pStyle w:val="26"/>
              <w:bidi w:val="0"/>
              <w:rPr>
                <w:rFonts w:hint="eastAsia"/>
                <w:lang w:val="en-US" w:eastAsia="zh-CN"/>
              </w:rPr>
            </w:pPr>
            <w:r>
              <w:rPr>
                <w:rFonts w:hint="eastAsia"/>
                <w:lang w:val="en-US" w:eastAsia="zh-CN"/>
              </w:rPr>
              <w:t xml:space="preserve">44.8 </w:t>
            </w:r>
          </w:p>
        </w:tc>
        <w:tc>
          <w:tcPr>
            <w:tcW w:w="869" w:type="dxa"/>
            <w:tcMar>
              <w:top w:w="0" w:type="dxa"/>
              <w:left w:w="0" w:type="dxa"/>
              <w:bottom w:w="0" w:type="dxa"/>
              <w:right w:w="0" w:type="dxa"/>
            </w:tcMar>
            <w:vAlign w:val="center"/>
          </w:tcPr>
          <w:p w14:paraId="61842257">
            <w:pPr>
              <w:pStyle w:val="26"/>
              <w:bidi w:val="0"/>
              <w:rPr>
                <w:color w:val="auto"/>
                <w:lang w:val="en-US" w:eastAsia="zh-CN"/>
              </w:rPr>
            </w:pPr>
            <w:r>
              <w:rPr>
                <w:color w:val="auto"/>
                <w:lang w:val="en-US" w:eastAsia="zh-CN"/>
              </w:rPr>
              <w:t>1</w:t>
            </w:r>
          </w:p>
        </w:tc>
      </w:tr>
      <w:tr w14:paraId="150F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7A4BCE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2</w:t>
            </w:r>
          </w:p>
        </w:tc>
        <w:tc>
          <w:tcPr>
            <w:tcW w:w="749" w:type="dxa"/>
            <w:vMerge w:val="continue"/>
            <w:vAlign w:val="center"/>
          </w:tcPr>
          <w:p w14:paraId="635A272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CB916AD">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33F6EDB">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1.5万立方/h</w:t>
            </w:r>
          </w:p>
        </w:tc>
        <w:tc>
          <w:tcPr>
            <w:tcW w:w="755" w:type="dxa"/>
            <w:tcMar>
              <w:top w:w="0" w:type="dxa"/>
              <w:left w:w="0" w:type="dxa"/>
              <w:bottom w:w="0" w:type="dxa"/>
              <w:right w:w="0" w:type="dxa"/>
            </w:tcMar>
            <w:vAlign w:val="center"/>
          </w:tcPr>
          <w:p w14:paraId="39AF448B">
            <w:pPr>
              <w:pStyle w:val="26"/>
              <w:bidi w:val="0"/>
              <w:rPr>
                <w:rFonts w:hint="default"/>
                <w:color w:val="auto"/>
                <w:highlight w:val="black"/>
                <w:lang w:val="en-US" w:eastAsia="zh-CN"/>
              </w:rPr>
            </w:pPr>
            <w:r>
              <w:rPr>
                <w:rFonts w:hint="eastAsia"/>
                <w:color w:val="auto"/>
                <w:highlight w:val="black"/>
                <w:lang w:val="en-US" w:eastAsia="zh-CN"/>
              </w:rPr>
              <w:t>2</w:t>
            </w:r>
          </w:p>
        </w:tc>
        <w:tc>
          <w:tcPr>
            <w:tcW w:w="1134" w:type="dxa"/>
            <w:tcMar>
              <w:top w:w="0" w:type="dxa"/>
              <w:left w:w="0" w:type="dxa"/>
              <w:bottom w:w="0" w:type="dxa"/>
              <w:right w:w="0" w:type="dxa"/>
            </w:tcMar>
            <w:vAlign w:val="center"/>
          </w:tcPr>
          <w:p w14:paraId="6201A369">
            <w:pPr>
              <w:pStyle w:val="26"/>
              <w:bidi w:val="0"/>
              <w:rPr>
                <w:rFonts w:hint="default"/>
                <w:color w:val="auto"/>
                <w:lang w:val="en-US" w:eastAsia="zh-CN"/>
              </w:rPr>
            </w:pPr>
            <w:r>
              <w:rPr>
                <w:rFonts w:hint="eastAsia"/>
                <w:color w:val="auto"/>
                <w:lang w:val="en-US" w:eastAsia="zh-CN"/>
              </w:rPr>
              <w:t>90</w:t>
            </w:r>
          </w:p>
        </w:tc>
        <w:tc>
          <w:tcPr>
            <w:tcW w:w="1141" w:type="dxa"/>
            <w:vMerge w:val="continue"/>
            <w:vAlign w:val="center"/>
          </w:tcPr>
          <w:p w14:paraId="0BBC2FB4">
            <w:pPr>
              <w:pStyle w:val="26"/>
              <w:bidi w:val="0"/>
              <w:rPr>
                <w:color w:val="auto"/>
                <w:lang w:val="en-US" w:eastAsia="zh-CN"/>
              </w:rPr>
            </w:pPr>
          </w:p>
        </w:tc>
        <w:tc>
          <w:tcPr>
            <w:tcW w:w="777" w:type="dxa"/>
            <w:shd w:val="clear" w:color="auto" w:fill="auto"/>
            <w:tcMar>
              <w:top w:w="0" w:type="dxa"/>
              <w:left w:w="0" w:type="dxa"/>
              <w:bottom w:w="0" w:type="dxa"/>
              <w:right w:w="0" w:type="dxa"/>
            </w:tcMar>
            <w:vAlign w:val="center"/>
          </w:tcPr>
          <w:p w14:paraId="76E66E30">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44</w:t>
            </w:r>
          </w:p>
        </w:tc>
        <w:tc>
          <w:tcPr>
            <w:tcW w:w="776" w:type="dxa"/>
            <w:shd w:val="clear" w:color="auto" w:fill="auto"/>
            <w:tcMar>
              <w:top w:w="0" w:type="dxa"/>
              <w:left w:w="0" w:type="dxa"/>
              <w:bottom w:w="0" w:type="dxa"/>
              <w:right w:w="0" w:type="dxa"/>
            </w:tcMar>
            <w:vAlign w:val="center"/>
          </w:tcPr>
          <w:p w14:paraId="0D32B3FE">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15</w:t>
            </w:r>
          </w:p>
        </w:tc>
        <w:tc>
          <w:tcPr>
            <w:tcW w:w="778" w:type="dxa"/>
            <w:shd w:val="clear" w:color="auto" w:fill="auto"/>
            <w:tcMar>
              <w:top w:w="0" w:type="dxa"/>
              <w:left w:w="0" w:type="dxa"/>
              <w:bottom w:w="0" w:type="dxa"/>
              <w:right w:w="0" w:type="dxa"/>
            </w:tcMar>
            <w:vAlign w:val="center"/>
          </w:tcPr>
          <w:p w14:paraId="6415F176">
            <w:pPr>
              <w:pStyle w:val="26"/>
              <w:bidi w:val="0"/>
              <w:rPr>
                <w:rFonts w:hint="default"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20</w:t>
            </w:r>
          </w:p>
        </w:tc>
        <w:tc>
          <w:tcPr>
            <w:tcW w:w="800" w:type="dxa"/>
            <w:tcMar>
              <w:top w:w="0" w:type="dxa"/>
              <w:left w:w="0" w:type="dxa"/>
              <w:bottom w:w="0" w:type="dxa"/>
              <w:right w:w="0" w:type="dxa"/>
            </w:tcMar>
            <w:vAlign w:val="center"/>
          </w:tcPr>
          <w:p w14:paraId="4FE3AA74">
            <w:pPr>
              <w:pStyle w:val="26"/>
              <w:bidi w:val="0"/>
              <w:rPr>
                <w:rFonts w:hint="default"/>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0F936386">
            <w:pPr>
              <w:pStyle w:val="26"/>
              <w:bidi w:val="0"/>
              <w:rPr>
                <w:rFonts w:hint="eastAsia"/>
                <w:lang w:val="en-US" w:eastAsia="zh-CN"/>
              </w:rPr>
            </w:pPr>
            <w:r>
              <w:rPr>
                <w:rFonts w:hint="eastAsia"/>
                <w:lang w:val="en-US" w:eastAsia="zh-CN"/>
              </w:rPr>
              <w:t xml:space="preserve">69.0 </w:t>
            </w:r>
          </w:p>
        </w:tc>
        <w:tc>
          <w:tcPr>
            <w:tcW w:w="566" w:type="dxa"/>
            <w:vMerge w:val="continue"/>
            <w:vAlign w:val="center"/>
          </w:tcPr>
          <w:p w14:paraId="2BE58D55">
            <w:pPr>
              <w:pStyle w:val="26"/>
              <w:bidi w:val="0"/>
              <w:rPr>
                <w:color w:val="auto"/>
                <w:lang w:val="en-US" w:eastAsia="zh-CN"/>
              </w:rPr>
            </w:pPr>
          </w:p>
        </w:tc>
        <w:tc>
          <w:tcPr>
            <w:tcW w:w="988" w:type="dxa"/>
            <w:vMerge w:val="continue"/>
            <w:vAlign w:val="center"/>
          </w:tcPr>
          <w:p w14:paraId="6BF7E268">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3B7FABA">
            <w:pPr>
              <w:pStyle w:val="26"/>
              <w:bidi w:val="0"/>
              <w:rPr>
                <w:rFonts w:hint="eastAsia"/>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5378A7F9">
            <w:pPr>
              <w:pStyle w:val="26"/>
              <w:bidi w:val="0"/>
              <w:rPr>
                <w:color w:val="auto"/>
                <w:lang w:val="en-US" w:eastAsia="zh-CN"/>
              </w:rPr>
            </w:pPr>
            <w:r>
              <w:rPr>
                <w:color w:val="auto"/>
                <w:lang w:val="en-US" w:eastAsia="zh-CN"/>
              </w:rPr>
              <w:t>1</w:t>
            </w:r>
          </w:p>
        </w:tc>
      </w:tr>
      <w:tr w14:paraId="50A8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D905B3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w:t>
            </w:r>
          </w:p>
        </w:tc>
        <w:tc>
          <w:tcPr>
            <w:tcW w:w="749" w:type="dxa"/>
            <w:vMerge w:val="continue"/>
            <w:vAlign w:val="center"/>
          </w:tcPr>
          <w:p w14:paraId="0B46ECB1">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C43B055">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627D96F">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2.4万立方/h</w:t>
            </w:r>
          </w:p>
        </w:tc>
        <w:tc>
          <w:tcPr>
            <w:tcW w:w="755" w:type="dxa"/>
            <w:tcMar>
              <w:top w:w="0" w:type="dxa"/>
              <w:left w:w="0" w:type="dxa"/>
              <w:bottom w:w="0" w:type="dxa"/>
              <w:right w:w="0" w:type="dxa"/>
            </w:tcMar>
            <w:vAlign w:val="center"/>
          </w:tcPr>
          <w:p w14:paraId="0906189E">
            <w:pPr>
              <w:pStyle w:val="26"/>
              <w:bidi w:val="0"/>
              <w:rPr>
                <w:rFonts w:hint="default"/>
                <w:color w:val="auto"/>
                <w:highlight w:val="black"/>
                <w:lang w:val="en-US" w:eastAsia="zh-CN"/>
              </w:rPr>
            </w:pPr>
            <w:r>
              <w:rPr>
                <w:rFonts w:hint="eastAsia"/>
                <w:color w:val="auto"/>
                <w:highlight w:val="black"/>
                <w:lang w:val="en-US" w:eastAsia="zh-CN"/>
              </w:rPr>
              <w:t>2</w:t>
            </w:r>
          </w:p>
        </w:tc>
        <w:tc>
          <w:tcPr>
            <w:tcW w:w="1134" w:type="dxa"/>
            <w:tcMar>
              <w:top w:w="0" w:type="dxa"/>
              <w:left w:w="0" w:type="dxa"/>
              <w:bottom w:w="0" w:type="dxa"/>
              <w:right w:w="0" w:type="dxa"/>
            </w:tcMar>
            <w:vAlign w:val="center"/>
          </w:tcPr>
          <w:p w14:paraId="69F78074">
            <w:pPr>
              <w:pStyle w:val="26"/>
              <w:bidi w:val="0"/>
              <w:rPr>
                <w:rFonts w:hint="default"/>
                <w:color w:val="auto"/>
                <w:lang w:val="en-US" w:eastAsia="zh-CN"/>
              </w:rPr>
            </w:pPr>
            <w:r>
              <w:rPr>
                <w:rFonts w:hint="eastAsia"/>
                <w:color w:val="auto"/>
                <w:lang w:val="en-US" w:eastAsia="zh-CN"/>
              </w:rPr>
              <w:t>90</w:t>
            </w:r>
          </w:p>
        </w:tc>
        <w:tc>
          <w:tcPr>
            <w:tcW w:w="1141" w:type="dxa"/>
            <w:vMerge w:val="continue"/>
            <w:vAlign w:val="center"/>
          </w:tcPr>
          <w:p w14:paraId="5B205E40">
            <w:pPr>
              <w:pStyle w:val="26"/>
              <w:bidi w:val="0"/>
              <w:rPr>
                <w:color w:val="auto"/>
                <w:lang w:val="en-US" w:eastAsia="zh-CN"/>
              </w:rPr>
            </w:pPr>
          </w:p>
        </w:tc>
        <w:tc>
          <w:tcPr>
            <w:tcW w:w="777" w:type="dxa"/>
            <w:shd w:val="clear" w:color="auto" w:fill="auto"/>
            <w:tcMar>
              <w:top w:w="0" w:type="dxa"/>
              <w:left w:w="0" w:type="dxa"/>
              <w:bottom w:w="0" w:type="dxa"/>
              <w:right w:w="0" w:type="dxa"/>
            </w:tcMar>
            <w:vAlign w:val="center"/>
          </w:tcPr>
          <w:p w14:paraId="12D3890F">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44</w:t>
            </w:r>
          </w:p>
        </w:tc>
        <w:tc>
          <w:tcPr>
            <w:tcW w:w="776" w:type="dxa"/>
            <w:shd w:val="clear" w:color="auto" w:fill="auto"/>
            <w:tcMar>
              <w:top w:w="0" w:type="dxa"/>
              <w:left w:w="0" w:type="dxa"/>
              <w:bottom w:w="0" w:type="dxa"/>
              <w:right w:w="0" w:type="dxa"/>
            </w:tcMar>
            <w:vAlign w:val="center"/>
          </w:tcPr>
          <w:p w14:paraId="4E3080C6">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15</w:t>
            </w:r>
          </w:p>
        </w:tc>
        <w:tc>
          <w:tcPr>
            <w:tcW w:w="778" w:type="dxa"/>
            <w:shd w:val="clear" w:color="auto" w:fill="auto"/>
            <w:tcMar>
              <w:top w:w="0" w:type="dxa"/>
              <w:left w:w="0" w:type="dxa"/>
              <w:bottom w:w="0" w:type="dxa"/>
              <w:right w:w="0" w:type="dxa"/>
            </w:tcMar>
            <w:vAlign w:val="center"/>
          </w:tcPr>
          <w:p w14:paraId="45007B25">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30</w:t>
            </w:r>
          </w:p>
        </w:tc>
        <w:tc>
          <w:tcPr>
            <w:tcW w:w="800" w:type="dxa"/>
            <w:tcMar>
              <w:top w:w="0" w:type="dxa"/>
              <w:left w:w="0" w:type="dxa"/>
              <w:bottom w:w="0" w:type="dxa"/>
              <w:right w:w="0" w:type="dxa"/>
            </w:tcMar>
            <w:vAlign w:val="center"/>
          </w:tcPr>
          <w:p w14:paraId="3D5D2B91">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0B038C2">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5C297713">
            <w:pPr>
              <w:pStyle w:val="26"/>
              <w:bidi w:val="0"/>
              <w:rPr>
                <w:color w:val="auto"/>
                <w:lang w:val="en-US" w:eastAsia="zh-CN"/>
              </w:rPr>
            </w:pPr>
          </w:p>
        </w:tc>
        <w:tc>
          <w:tcPr>
            <w:tcW w:w="988" w:type="dxa"/>
            <w:vMerge w:val="continue"/>
            <w:vAlign w:val="center"/>
          </w:tcPr>
          <w:p w14:paraId="3F2C4A70">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8385528">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076DFED3">
            <w:pPr>
              <w:pStyle w:val="26"/>
              <w:bidi w:val="0"/>
              <w:rPr>
                <w:color w:val="auto"/>
                <w:lang w:val="en-US" w:eastAsia="zh-CN"/>
              </w:rPr>
            </w:pPr>
            <w:r>
              <w:rPr>
                <w:color w:val="auto"/>
                <w:lang w:val="en-US" w:eastAsia="zh-CN"/>
              </w:rPr>
              <w:t>1</w:t>
            </w:r>
          </w:p>
        </w:tc>
      </w:tr>
      <w:tr w14:paraId="27CC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EC9799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w:t>
            </w:r>
          </w:p>
        </w:tc>
        <w:tc>
          <w:tcPr>
            <w:tcW w:w="749" w:type="dxa"/>
            <w:vMerge w:val="continue"/>
            <w:vAlign w:val="center"/>
          </w:tcPr>
          <w:p w14:paraId="1525527D">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0219C36">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ECD684B">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2.2万立方/h</w:t>
            </w:r>
          </w:p>
        </w:tc>
        <w:tc>
          <w:tcPr>
            <w:tcW w:w="755" w:type="dxa"/>
            <w:tcMar>
              <w:top w:w="0" w:type="dxa"/>
              <w:left w:w="0" w:type="dxa"/>
              <w:bottom w:w="0" w:type="dxa"/>
              <w:right w:w="0" w:type="dxa"/>
            </w:tcMar>
            <w:vAlign w:val="center"/>
          </w:tcPr>
          <w:p w14:paraId="4DCC4F56">
            <w:pPr>
              <w:pStyle w:val="26"/>
              <w:bidi w:val="0"/>
              <w:rPr>
                <w:rFonts w:hint="default"/>
                <w:color w:val="auto"/>
                <w:highlight w:val="black"/>
                <w:lang w:val="en-US" w:eastAsia="zh-CN"/>
              </w:rPr>
            </w:pPr>
            <w:r>
              <w:rPr>
                <w:rFonts w:hint="eastAsia"/>
                <w:color w:val="auto"/>
                <w:highlight w:val="black"/>
                <w:lang w:val="en-US" w:eastAsia="zh-CN"/>
              </w:rPr>
              <w:t>1</w:t>
            </w:r>
          </w:p>
        </w:tc>
        <w:tc>
          <w:tcPr>
            <w:tcW w:w="1134" w:type="dxa"/>
            <w:tcMar>
              <w:top w:w="0" w:type="dxa"/>
              <w:left w:w="0" w:type="dxa"/>
              <w:bottom w:w="0" w:type="dxa"/>
              <w:right w:w="0" w:type="dxa"/>
            </w:tcMar>
            <w:vAlign w:val="center"/>
          </w:tcPr>
          <w:p w14:paraId="046CA054">
            <w:pPr>
              <w:pStyle w:val="26"/>
              <w:bidi w:val="0"/>
              <w:rPr>
                <w:color w:val="auto"/>
                <w:lang w:val="en-US" w:eastAsia="zh-CN"/>
              </w:rPr>
            </w:pPr>
            <w:r>
              <w:rPr>
                <w:rFonts w:hint="eastAsia"/>
                <w:color w:val="auto"/>
                <w:lang w:val="en-US" w:eastAsia="zh-CN"/>
              </w:rPr>
              <w:t>90</w:t>
            </w:r>
          </w:p>
        </w:tc>
        <w:tc>
          <w:tcPr>
            <w:tcW w:w="1141" w:type="dxa"/>
            <w:vMerge w:val="continue"/>
            <w:vAlign w:val="center"/>
          </w:tcPr>
          <w:p w14:paraId="64EA6584">
            <w:pPr>
              <w:pStyle w:val="26"/>
              <w:bidi w:val="0"/>
              <w:rPr>
                <w:color w:val="auto"/>
                <w:lang w:val="en-US" w:eastAsia="zh-CN"/>
              </w:rPr>
            </w:pPr>
          </w:p>
        </w:tc>
        <w:tc>
          <w:tcPr>
            <w:tcW w:w="777" w:type="dxa"/>
            <w:shd w:val="clear" w:color="auto" w:fill="auto"/>
            <w:tcMar>
              <w:top w:w="0" w:type="dxa"/>
              <w:left w:w="0" w:type="dxa"/>
              <w:bottom w:w="0" w:type="dxa"/>
              <w:right w:w="0" w:type="dxa"/>
            </w:tcMar>
            <w:vAlign w:val="center"/>
          </w:tcPr>
          <w:p w14:paraId="75EB0904">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44</w:t>
            </w:r>
          </w:p>
        </w:tc>
        <w:tc>
          <w:tcPr>
            <w:tcW w:w="776" w:type="dxa"/>
            <w:shd w:val="clear" w:color="auto" w:fill="auto"/>
            <w:tcMar>
              <w:top w:w="0" w:type="dxa"/>
              <w:left w:w="0" w:type="dxa"/>
              <w:bottom w:w="0" w:type="dxa"/>
              <w:right w:w="0" w:type="dxa"/>
            </w:tcMar>
            <w:vAlign w:val="center"/>
          </w:tcPr>
          <w:p w14:paraId="1BAC063D">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19</w:t>
            </w:r>
          </w:p>
        </w:tc>
        <w:tc>
          <w:tcPr>
            <w:tcW w:w="778" w:type="dxa"/>
            <w:shd w:val="clear" w:color="auto" w:fill="auto"/>
            <w:tcMar>
              <w:top w:w="0" w:type="dxa"/>
              <w:left w:w="0" w:type="dxa"/>
              <w:bottom w:w="0" w:type="dxa"/>
              <w:right w:w="0" w:type="dxa"/>
            </w:tcMar>
            <w:vAlign w:val="center"/>
          </w:tcPr>
          <w:p w14:paraId="3156FD00">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20</w:t>
            </w:r>
          </w:p>
        </w:tc>
        <w:tc>
          <w:tcPr>
            <w:tcW w:w="800" w:type="dxa"/>
            <w:tcMar>
              <w:top w:w="0" w:type="dxa"/>
              <w:left w:w="0" w:type="dxa"/>
              <w:bottom w:w="0" w:type="dxa"/>
              <w:right w:w="0" w:type="dxa"/>
            </w:tcMar>
            <w:vAlign w:val="center"/>
          </w:tcPr>
          <w:p w14:paraId="78BE69B4">
            <w:pPr>
              <w:pStyle w:val="26"/>
              <w:bidi w:val="0"/>
              <w:rPr>
                <w:rFonts w:hint="default"/>
                <w:color w:val="auto"/>
                <w:lang w:val="en-US" w:eastAsia="zh-CN"/>
              </w:rPr>
            </w:pPr>
            <w:r>
              <w:rPr>
                <w:rFonts w:hint="eastAsia"/>
                <w:color w:val="auto"/>
                <w:lang w:val="en-US" w:eastAsia="zh-CN"/>
              </w:rPr>
              <w:t>10</w:t>
            </w:r>
          </w:p>
        </w:tc>
        <w:tc>
          <w:tcPr>
            <w:tcW w:w="829" w:type="dxa"/>
            <w:shd w:val="clear" w:color="auto" w:fill="auto"/>
            <w:tcMar>
              <w:top w:w="0" w:type="dxa"/>
              <w:left w:w="0" w:type="dxa"/>
              <w:bottom w:w="0" w:type="dxa"/>
              <w:right w:w="0" w:type="dxa"/>
            </w:tcMar>
            <w:vAlign w:val="bottom"/>
          </w:tcPr>
          <w:p w14:paraId="2BC0B453">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2298CF0D">
            <w:pPr>
              <w:pStyle w:val="26"/>
              <w:bidi w:val="0"/>
              <w:rPr>
                <w:color w:val="auto"/>
                <w:lang w:val="en-US" w:eastAsia="zh-CN"/>
              </w:rPr>
            </w:pPr>
          </w:p>
        </w:tc>
        <w:tc>
          <w:tcPr>
            <w:tcW w:w="988" w:type="dxa"/>
            <w:vMerge w:val="continue"/>
            <w:vAlign w:val="center"/>
          </w:tcPr>
          <w:p w14:paraId="3CCCFA54">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5A789ED">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194C50B9">
            <w:pPr>
              <w:pStyle w:val="26"/>
              <w:bidi w:val="0"/>
              <w:rPr>
                <w:color w:val="auto"/>
                <w:lang w:val="en-US" w:eastAsia="zh-CN"/>
              </w:rPr>
            </w:pPr>
            <w:r>
              <w:rPr>
                <w:color w:val="auto"/>
                <w:lang w:val="en-US" w:eastAsia="zh-CN"/>
              </w:rPr>
              <w:t>1</w:t>
            </w:r>
          </w:p>
        </w:tc>
      </w:tr>
      <w:tr w14:paraId="3EEB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E65FFE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5</w:t>
            </w:r>
          </w:p>
        </w:tc>
        <w:tc>
          <w:tcPr>
            <w:tcW w:w="749" w:type="dxa"/>
            <w:vMerge w:val="continue"/>
            <w:vAlign w:val="center"/>
          </w:tcPr>
          <w:p w14:paraId="65E5CEB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A5D4C06">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5017D72">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1.4万立方/h</w:t>
            </w:r>
          </w:p>
        </w:tc>
        <w:tc>
          <w:tcPr>
            <w:tcW w:w="755" w:type="dxa"/>
            <w:tcMar>
              <w:top w:w="0" w:type="dxa"/>
              <w:left w:w="0" w:type="dxa"/>
              <w:bottom w:w="0" w:type="dxa"/>
              <w:right w:w="0" w:type="dxa"/>
            </w:tcMar>
            <w:vAlign w:val="center"/>
          </w:tcPr>
          <w:p w14:paraId="4823C06A">
            <w:pPr>
              <w:pStyle w:val="26"/>
              <w:bidi w:val="0"/>
              <w:rPr>
                <w:rFonts w:hint="default"/>
                <w:color w:val="auto"/>
                <w:highlight w:val="black"/>
                <w:lang w:val="en-US" w:eastAsia="zh-CN"/>
              </w:rPr>
            </w:pPr>
            <w:r>
              <w:rPr>
                <w:rFonts w:hint="eastAsia"/>
                <w:color w:val="auto"/>
                <w:highlight w:val="black"/>
                <w:lang w:val="en-US" w:eastAsia="zh-CN"/>
              </w:rPr>
              <w:t>2</w:t>
            </w:r>
          </w:p>
        </w:tc>
        <w:tc>
          <w:tcPr>
            <w:tcW w:w="1134" w:type="dxa"/>
            <w:tcMar>
              <w:top w:w="0" w:type="dxa"/>
              <w:left w:w="0" w:type="dxa"/>
              <w:bottom w:w="0" w:type="dxa"/>
              <w:right w:w="0" w:type="dxa"/>
            </w:tcMar>
            <w:vAlign w:val="center"/>
          </w:tcPr>
          <w:p w14:paraId="1A474023">
            <w:pPr>
              <w:pStyle w:val="26"/>
              <w:bidi w:val="0"/>
              <w:rPr>
                <w:color w:val="auto"/>
                <w:lang w:val="en-US" w:eastAsia="zh-CN"/>
              </w:rPr>
            </w:pPr>
            <w:r>
              <w:rPr>
                <w:rFonts w:hint="eastAsia"/>
                <w:color w:val="auto"/>
                <w:lang w:val="en-US" w:eastAsia="zh-CN"/>
              </w:rPr>
              <w:t>90</w:t>
            </w:r>
          </w:p>
        </w:tc>
        <w:tc>
          <w:tcPr>
            <w:tcW w:w="1141" w:type="dxa"/>
            <w:vMerge w:val="continue"/>
            <w:vAlign w:val="center"/>
          </w:tcPr>
          <w:p w14:paraId="261839AE">
            <w:pPr>
              <w:pStyle w:val="26"/>
              <w:bidi w:val="0"/>
              <w:rPr>
                <w:color w:val="auto"/>
                <w:lang w:val="en-US" w:eastAsia="zh-CN"/>
              </w:rPr>
            </w:pPr>
          </w:p>
        </w:tc>
        <w:tc>
          <w:tcPr>
            <w:tcW w:w="777" w:type="dxa"/>
            <w:shd w:val="clear" w:color="auto" w:fill="auto"/>
            <w:tcMar>
              <w:top w:w="0" w:type="dxa"/>
              <w:left w:w="0" w:type="dxa"/>
              <w:bottom w:w="0" w:type="dxa"/>
              <w:right w:w="0" w:type="dxa"/>
            </w:tcMar>
            <w:vAlign w:val="center"/>
          </w:tcPr>
          <w:p w14:paraId="0CF3F729">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48</w:t>
            </w:r>
          </w:p>
        </w:tc>
        <w:tc>
          <w:tcPr>
            <w:tcW w:w="776" w:type="dxa"/>
            <w:shd w:val="clear" w:color="auto" w:fill="auto"/>
            <w:tcMar>
              <w:top w:w="0" w:type="dxa"/>
              <w:left w:w="0" w:type="dxa"/>
              <w:bottom w:w="0" w:type="dxa"/>
              <w:right w:w="0" w:type="dxa"/>
            </w:tcMar>
            <w:vAlign w:val="center"/>
          </w:tcPr>
          <w:p w14:paraId="704E9CB7">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19</w:t>
            </w:r>
          </w:p>
        </w:tc>
        <w:tc>
          <w:tcPr>
            <w:tcW w:w="778" w:type="dxa"/>
            <w:shd w:val="clear" w:color="auto" w:fill="auto"/>
            <w:tcMar>
              <w:top w:w="0" w:type="dxa"/>
              <w:left w:w="0" w:type="dxa"/>
              <w:bottom w:w="0" w:type="dxa"/>
              <w:right w:w="0" w:type="dxa"/>
            </w:tcMar>
            <w:vAlign w:val="center"/>
          </w:tcPr>
          <w:p w14:paraId="5984B4D1">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30</w:t>
            </w:r>
          </w:p>
        </w:tc>
        <w:tc>
          <w:tcPr>
            <w:tcW w:w="800" w:type="dxa"/>
            <w:tcMar>
              <w:top w:w="0" w:type="dxa"/>
              <w:left w:w="0" w:type="dxa"/>
              <w:bottom w:w="0" w:type="dxa"/>
              <w:right w:w="0" w:type="dxa"/>
            </w:tcMar>
            <w:vAlign w:val="center"/>
          </w:tcPr>
          <w:p w14:paraId="46D035E6">
            <w:pPr>
              <w:pStyle w:val="26"/>
              <w:bidi w:val="0"/>
              <w:rPr>
                <w:rFonts w:hint="default"/>
                <w:color w:val="auto"/>
                <w:lang w:val="en-US" w:eastAsia="zh-CN"/>
              </w:rPr>
            </w:pPr>
            <w:r>
              <w:rPr>
                <w:rFonts w:hint="eastAsia"/>
                <w:color w:val="auto"/>
                <w:lang w:val="en-US" w:eastAsia="zh-CN"/>
              </w:rPr>
              <w:t>10</w:t>
            </w:r>
          </w:p>
        </w:tc>
        <w:tc>
          <w:tcPr>
            <w:tcW w:w="829" w:type="dxa"/>
            <w:shd w:val="clear" w:color="auto" w:fill="auto"/>
            <w:tcMar>
              <w:top w:w="0" w:type="dxa"/>
              <w:left w:w="0" w:type="dxa"/>
              <w:bottom w:w="0" w:type="dxa"/>
              <w:right w:w="0" w:type="dxa"/>
            </w:tcMar>
            <w:vAlign w:val="bottom"/>
          </w:tcPr>
          <w:p w14:paraId="1CC863B3">
            <w:pPr>
              <w:pStyle w:val="26"/>
              <w:bidi w:val="0"/>
              <w:rPr>
                <w:rFonts w:hint="default"/>
                <w:lang w:val="en-US" w:eastAsia="zh-CN"/>
              </w:rPr>
            </w:pPr>
            <w:r>
              <w:rPr>
                <w:rFonts w:hint="eastAsia"/>
                <w:lang w:val="en-US" w:eastAsia="zh-CN"/>
              </w:rPr>
              <w:t xml:space="preserve">68.0 </w:t>
            </w:r>
          </w:p>
        </w:tc>
        <w:tc>
          <w:tcPr>
            <w:tcW w:w="566" w:type="dxa"/>
            <w:vMerge w:val="continue"/>
            <w:vAlign w:val="center"/>
          </w:tcPr>
          <w:p w14:paraId="444ED0B9">
            <w:pPr>
              <w:pStyle w:val="26"/>
              <w:bidi w:val="0"/>
              <w:rPr>
                <w:color w:val="auto"/>
                <w:lang w:val="en-US" w:eastAsia="zh-CN"/>
              </w:rPr>
            </w:pPr>
          </w:p>
        </w:tc>
        <w:tc>
          <w:tcPr>
            <w:tcW w:w="988" w:type="dxa"/>
            <w:vMerge w:val="continue"/>
            <w:vAlign w:val="center"/>
          </w:tcPr>
          <w:p w14:paraId="555D6A2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5FA7283">
            <w:pPr>
              <w:pStyle w:val="26"/>
              <w:bidi w:val="0"/>
              <w:rPr>
                <w:rFonts w:hint="default"/>
                <w:lang w:val="en-US" w:eastAsia="zh-CN"/>
              </w:rPr>
            </w:pPr>
            <w:r>
              <w:rPr>
                <w:rFonts w:hint="eastAsia"/>
                <w:lang w:val="en-US" w:eastAsia="zh-CN"/>
              </w:rPr>
              <w:t xml:space="preserve">43.0 </w:t>
            </w:r>
          </w:p>
        </w:tc>
        <w:tc>
          <w:tcPr>
            <w:tcW w:w="869" w:type="dxa"/>
            <w:tcMar>
              <w:top w:w="0" w:type="dxa"/>
              <w:left w:w="0" w:type="dxa"/>
              <w:bottom w:w="0" w:type="dxa"/>
              <w:right w:w="0" w:type="dxa"/>
            </w:tcMar>
            <w:vAlign w:val="center"/>
          </w:tcPr>
          <w:p w14:paraId="5FA1B041">
            <w:pPr>
              <w:pStyle w:val="26"/>
              <w:bidi w:val="0"/>
              <w:rPr>
                <w:color w:val="auto"/>
                <w:lang w:val="en-US" w:eastAsia="zh-CN"/>
              </w:rPr>
            </w:pPr>
            <w:r>
              <w:rPr>
                <w:color w:val="auto"/>
                <w:lang w:val="en-US" w:eastAsia="zh-CN"/>
              </w:rPr>
              <w:t>1</w:t>
            </w:r>
          </w:p>
        </w:tc>
      </w:tr>
      <w:tr w14:paraId="79A1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D4938E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6</w:t>
            </w:r>
          </w:p>
        </w:tc>
        <w:tc>
          <w:tcPr>
            <w:tcW w:w="749" w:type="dxa"/>
            <w:vMerge w:val="continue"/>
            <w:vAlign w:val="center"/>
          </w:tcPr>
          <w:p w14:paraId="5675AB32">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91A56AA">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废气风机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7A35090">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1.5万立方/h</w:t>
            </w:r>
          </w:p>
        </w:tc>
        <w:tc>
          <w:tcPr>
            <w:tcW w:w="755" w:type="dxa"/>
            <w:tcMar>
              <w:top w:w="0" w:type="dxa"/>
              <w:left w:w="0" w:type="dxa"/>
              <w:bottom w:w="0" w:type="dxa"/>
              <w:right w:w="0" w:type="dxa"/>
            </w:tcMar>
            <w:vAlign w:val="center"/>
          </w:tcPr>
          <w:p w14:paraId="31182D7F">
            <w:pPr>
              <w:pStyle w:val="26"/>
              <w:bidi w:val="0"/>
              <w:rPr>
                <w:rFonts w:hint="default"/>
                <w:color w:val="auto"/>
                <w:highlight w:val="black"/>
                <w:lang w:val="en-US" w:eastAsia="zh-CN"/>
              </w:rPr>
            </w:pPr>
            <w:r>
              <w:rPr>
                <w:rFonts w:hint="eastAsia"/>
                <w:color w:val="auto"/>
                <w:highlight w:val="black"/>
                <w:lang w:val="en-US" w:eastAsia="zh-CN"/>
              </w:rPr>
              <w:t>1</w:t>
            </w:r>
          </w:p>
        </w:tc>
        <w:tc>
          <w:tcPr>
            <w:tcW w:w="1134" w:type="dxa"/>
            <w:tcMar>
              <w:top w:w="0" w:type="dxa"/>
              <w:left w:w="0" w:type="dxa"/>
              <w:bottom w:w="0" w:type="dxa"/>
              <w:right w:w="0" w:type="dxa"/>
            </w:tcMar>
            <w:vAlign w:val="center"/>
          </w:tcPr>
          <w:p w14:paraId="33190712">
            <w:pPr>
              <w:pStyle w:val="26"/>
              <w:bidi w:val="0"/>
              <w:rPr>
                <w:color w:val="auto"/>
                <w:lang w:val="en-US" w:eastAsia="zh-CN"/>
              </w:rPr>
            </w:pPr>
            <w:r>
              <w:rPr>
                <w:rFonts w:hint="eastAsia"/>
                <w:color w:val="auto"/>
                <w:lang w:val="en-US" w:eastAsia="zh-CN"/>
              </w:rPr>
              <w:t>90</w:t>
            </w:r>
          </w:p>
        </w:tc>
        <w:tc>
          <w:tcPr>
            <w:tcW w:w="1141" w:type="dxa"/>
            <w:vMerge w:val="continue"/>
            <w:vAlign w:val="center"/>
          </w:tcPr>
          <w:p w14:paraId="0AF64D04">
            <w:pPr>
              <w:pStyle w:val="26"/>
              <w:bidi w:val="0"/>
              <w:rPr>
                <w:color w:val="auto"/>
                <w:lang w:val="en-US" w:eastAsia="zh-CN"/>
              </w:rPr>
            </w:pPr>
          </w:p>
        </w:tc>
        <w:tc>
          <w:tcPr>
            <w:tcW w:w="777" w:type="dxa"/>
            <w:shd w:val="clear" w:color="auto" w:fill="auto"/>
            <w:tcMar>
              <w:top w:w="0" w:type="dxa"/>
              <w:left w:w="0" w:type="dxa"/>
              <w:bottom w:w="0" w:type="dxa"/>
              <w:right w:w="0" w:type="dxa"/>
            </w:tcMar>
            <w:vAlign w:val="center"/>
          </w:tcPr>
          <w:p w14:paraId="4812F9F3">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48</w:t>
            </w:r>
          </w:p>
        </w:tc>
        <w:tc>
          <w:tcPr>
            <w:tcW w:w="776" w:type="dxa"/>
            <w:shd w:val="clear" w:color="auto" w:fill="auto"/>
            <w:tcMar>
              <w:top w:w="0" w:type="dxa"/>
              <w:left w:w="0" w:type="dxa"/>
              <w:bottom w:w="0" w:type="dxa"/>
              <w:right w:w="0" w:type="dxa"/>
            </w:tcMar>
            <w:vAlign w:val="center"/>
          </w:tcPr>
          <w:p w14:paraId="04F574CC">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s="Times New Roman"/>
                <w:color w:val="auto"/>
                <w:kern w:val="2"/>
                <w:sz w:val="21"/>
                <w:szCs w:val="22"/>
                <w:highlight w:val="black"/>
                <w:lang w:val="en-US" w:eastAsia="zh-CN" w:bidi="ar-SA"/>
              </w:rPr>
              <w:t>15</w:t>
            </w:r>
          </w:p>
        </w:tc>
        <w:tc>
          <w:tcPr>
            <w:tcW w:w="778" w:type="dxa"/>
            <w:shd w:val="clear" w:color="auto" w:fill="auto"/>
            <w:tcMar>
              <w:top w:w="0" w:type="dxa"/>
              <w:left w:w="0" w:type="dxa"/>
              <w:bottom w:w="0" w:type="dxa"/>
              <w:right w:w="0" w:type="dxa"/>
            </w:tcMar>
            <w:vAlign w:val="center"/>
          </w:tcPr>
          <w:p w14:paraId="4BBA7027">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20</w:t>
            </w:r>
          </w:p>
        </w:tc>
        <w:tc>
          <w:tcPr>
            <w:tcW w:w="800" w:type="dxa"/>
            <w:shd w:val="clear" w:color="auto" w:fill="auto"/>
            <w:tcMar>
              <w:top w:w="0" w:type="dxa"/>
              <w:left w:w="0" w:type="dxa"/>
              <w:bottom w:w="0" w:type="dxa"/>
              <w:right w:w="0" w:type="dxa"/>
            </w:tcMar>
            <w:vAlign w:val="center"/>
          </w:tcPr>
          <w:p w14:paraId="1C2A0132">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80621BD">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0EDA85DB">
            <w:pPr>
              <w:pStyle w:val="26"/>
              <w:bidi w:val="0"/>
              <w:rPr>
                <w:color w:val="auto"/>
                <w:lang w:val="en-US" w:eastAsia="zh-CN"/>
              </w:rPr>
            </w:pPr>
          </w:p>
        </w:tc>
        <w:tc>
          <w:tcPr>
            <w:tcW w:w="988" w:type="dxa"/>
            <w:vMerge w:val="continue"/>
            <w:vAlign w:val="center"/>
          </w:tcPr>
          <w:p w14:paraId="73AC063C">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65A94EC2">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7D099022">
            <w:pPr>
              <w:pStyle w:val="26"/>
              <w:bidi w:val="0"/>
              <w:rPr>
                <w:color w:val="auto"/>
                <w:lang w:val="en-US" w:eastAsia="zh-CN"/>
              </w:rPr>
            </w:pPr>
            <w:r>
              <w:rPr>
                <w:color w:val="auto"/>
                <w:lang w:val="en-US" w:eastAsia="zh-CN"/>
              </w:rPr>
              <w:t>1</w:t>
            </w:r>
          </w:p>
        </w:tc>
      </w:tr>
      <w:tr w14:paraId="7D77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9207A5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7</w:t>
            </w:r>
          </w:p>
        </w:tc>
        <w:tc>
          <w:tcPr>
            <w:tcW w:w="749" w:type="dxa"/>
            <w:vMerge w:val="continue"/>
            <w:vAlign w:val="center"/>
          </w:tcPr>
          <w:p w14:paraId="10FFA87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3CC2AA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车床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C58F2E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CW6180</w:t>
            </w:r>
          </w:p>
        </w:tc>
        <w:tc>
          <w:tcPr>
            <w:tcW w:w="755" w:type="dxa"/>
            <w:shd w:val="clear" w:color="auto" w:fill="auto"/>
            <w:tcMar>
              <w:top w:w="0" w:type="dxa"/>
              <w:left w:w="0" w:type="dxa"/>
              <w:bottom w:w="0" w:type="dxa"/>
              <w:right w:w="0" w:type="dxa"/>
            </w:tcMar>
            <w:vAlign w:val="center"/>
          </w:tcPr>
          <w:p w14:paraId="2EB41C9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20</w:t>
            </w:r>
          </w:p>
        </w:tc>
        <w:tc>
          <w:tcPr>
            <w:tcW w:w="1134" w:type="dxa"/>
            <w:tcMar>
              <w:top w:w="0" w:type="dxa"/>
              <w:left w:w="0" w:type="dxa"/>
              <w:bottom w:w="0" w:type="dxa"/>
              <w:right w:w="0" w:type="dxa"/>
            </w:tcMar>
            <w:vAlign w:val="center"/>
          </w:tcPr>
          <w:p w14:paraId="29C293F0">
            <w:pPr>
              <w:pStyle w:val="26"/>
              <w:bidi w:val="0"/>
              <w:rPr>
                <w:rFonts w:hint="default"/>
                <w:color w:val="auto"/>
                <w:lang w:val="en-US" w:eastAsia="zh-CN"/>
              </w:rPr>
            </w:pPr>
            <w:r>
              <w:rPr>
                <w:rFonts w:hint="eastAsia"/>
                <w:color w:val="auto"/>
                <w:lang w:val="en-US" w:eastAsia="zh-CN"/>
              </w:rPr>
              <w:t>85</w:t>
            </w:r>
          </w:p>
        </w:tc>
        <w:tc>
          <w:tcPr>
            <w:tcW w:w="1141" w:type="dxa"/>
            <w:vMerge w:val="continue"/>
            <w:vAlign w:val="center"/>
          </w:tcPr>
          <w:p w14:paraId="78AB522F">
            <w:pPr>
              <w:pStyle w:val="26"/>
              <w:bidi w:val="0"/>
              <w:rPr>
                <w:color w:val="auto"/>
                <w:lang w:val="en-US" w:eastAsia="zh-CN"/>
              </w:rPr>
            </w:pPr>
          </w:p>
        </w:tc>
        <w:tc>
          <w:tcPr>
            <w:tcW w:w="777" w:type="dxa"/>
            <w:tcMar>
              <w:top w:w="0" w:type="dxa"/>
              <w:left w:w="0" w:type="dxa"/>
              <w:bottom w:w="0" w:type="dxa"/>
              <w:right w:w="0" w:type="dxa"/>
            </w:tcMar>
            <w:vAlign w:val="center"/>
          </w:tcPr>
          <w:p w14:paraId="24E55EFE">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3B3597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76B2B71">
            <w:pPr>
              <w:pStyle w:val="26"/>
              <w:bidi w:val="0"/>
              <w:rPr>
                <w:rFonts w:hint="default"/>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9380C43">
            <w:pPr>
              <w:pStyle w:val="26"/>
              <w:bidi w:val="0"/>
              <w:rPr>
                <w:rFonts w:hint="default"/>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0F24D3CC">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5DE164BF">
            <w:pPr>
              <w:pStyle w:val="26"/>
              <w:bidi w:val="0"/>
              <w:rPr>
                <w:color w:val="auto"/>
                <w:lang w:val="en-US" w:eastAsia="zh-CN"/>
              </w:rPr>
            </w:pPr>
          </w:p>
        </w:tc>
        <w:tc>
          <w:tcPr>
            <w:tcW w:w="988" w:type="dxa"/>
            <w:vMerge w:val="continue"/>
            <w:vAlign w:val="center"/>
          </w:tcPr>
          <w:p w14:paraId="765297DE">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090ABE3">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3AB3DD04">
            <w:pPr>
              <w:pStyle w:val="26"/>
              <w:bidi w:val="0"/>
              <w:rPr>
                <w:color w:val="auto"/>
                <w:lang w:val="en-US" w:eastAsia="zh-CN"/>
              </w:rPr>
            </w:pPr>
            <w:r>
              <w:rPr>
                <w:color w:val="auto"/>
                <w:lang w:val="en-US" w:eastAsia="zh-CN"/>
              </w:rPr>
              <w:t>1</w:t>
            </w:r>
          </w:p>
        </w:tc>
      </w:tr>
      <w:tr w14:paraId="26AC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2776187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8</w:t>
            </w:r>
          </w:p>
        </w:tc>
        <w:tc>
          <w:tcPr>
            <w:tcW w:w="749" w:type="dxa"/>
            <w:vMerge w:val="continue"/>
            <w:vAlign w:val="center"/>
          </w:tcPr>
          <w:p w14:paraId="25B4D49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9C0ED4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数控车床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D1DF33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CKBP6180</w:t>
            </w:r>
          </w:p>
        </w:tc>
        <w:tc>
          <w:tcPr>
            <w:tcW w:w="755" w:type="dxa"/>
            <w:shd w:val="clear" w:color="auto" w:fill="auto"/>
            <w:tcMar>
              <w:top w:w="0" w:type="dxa"/>
              <w:left w:w="0" w:type="dxa"/>
              <w:bottom w:w="0" w:type="dxa"/>
              <w:right w:w="0" w:type="dxa"/>
            </w:tcMar>
            <w:vAlign w:val="center"/>
          </w:tcPr>
          <w:p w14:paraId="1D13AAF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8</w:t>
            </w:r>
          </w:p>
        </w:tc>
        <w:tc>
          <w:tcPr>
            <w:tcW w:w="1134" w:type="dxa"/>
            <w:tcMar>
              <w:top w:w="0" w:type="dxa"/>
              <w:left w:w="0" w:type="dxa"/>
              <w:bottom w:w="0" w:type="dxa"/>
              <w:right w:w="0" w:type="dxa"/>
            </w:tcMar>
            <w:vAlign w:val="center"/>
          </w:tcPr>
          <w:p w14:paraId="11A4DAC1">
            <w:pPr>
              <w:pStyle w:val="26"/>
              <w:bidi w:val="0"/>
              <w:rPr>
                <w:rFonts w:hint="default"/>
                <w:color w:val="auto"/>
                <w:lang w:val="en-US" w:eastAsia="zh-CN"/>
              </w:rPr>
            </w:pPr>
            <w:r>
              <w:rPr>
                <w:rFonts w:hint="eastAsia"/>
                <w:color w:val="auto"/>
                <w:lang w:val="en-US" w:eastAsia="zh-CN"/>
              </w:rPr>
              <w:t>85</w:t>
            </w:r>
          </w:p>
        </w:tc>
        <w:tc>
          <w:tcPr>
            <w:tcW w:w="1141" w:type="dxa"/>
            <w:vMerge w:val="continue"/>
            <w:vAlign w:val="center"/>
          </w:tcPr>
          <w:p w14:paraId="58ED4963">
            <w:pPr>
              <w:pStyle w:val="26"/>
              <w:bidi w:val="0"/>
              <w:rPr>
                <w:color w:val="auto"/>
                <w:lang w:val="en-US" w:eastAsia="zh-CN"/>
              </w:rPr>
            </w:pPr>
          </w:p>
        </w:tc>
        <w:tc>
          <w:tcPr>
            <w:tcW w:w="777" w:type="dxa"/>
            <w:tcMar>
              <w:top w:w="0" w:type="dxa"/>
              <w:left w:w="0" w:type="dxa"/>
              <w:bottom w:w="0" w:type="dxa"/>
              <w:right w:w="0" w:type="dxa"/>
            </w:tcMar>
            <w:vAlign w:val="center"/>
          </w:tcPr>
          <w:p w14:paraId="18AEC8E4">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EBA5BAB">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190852D">
            <w:pPr>
              <w:pStyle w:val="26"/>
              <w:bidi w:val="0"/>
              <w:rPr>
                <w:rFonts w:hint="default"/>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0BA4ACB">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BDF7173">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385D8B7F">
            <w:pPr>
              <w:pStyle w:val="26"/>
              <w:bidi w:val="0"/>
              <w:rPr>
                <w:color w:val="auto"/>
                <w:lang w:val="en-US" w:eastAsia="zh-CN"/>
              </w:rPr>
            </w:pPr>
          </w:p>
        </w:tc>
        <w:tc>
          <w:tcPr>
            <w:tcW w:w="988" w:type="dxa"/>
            <w:vMerge w:val="continue"/>
            <w:vAlign w:val="center"/>
          </w:tcPr>
          <w:p w14:paraId="6303F1F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C3CEB5D">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2EA06090">
            <w:pPr>
              <w:pStyle w:val="26"/>
              <w:bidi w:val="0"/>
              <w:rPr>
                <w:color w:val="auto"/>
                <w:lang w:val="en-US" w:eastAsia="zh-CN"/>
              </w:rPr>
            </w:pPr>
            <w:r>
              <w:rPr>
                <w:color w:val="auto"/>
                <w:lang w:val="en-US" w:eastAsia="zh-CN"/>
              </w:rPr>
              <w:t>1</w:t>
            </w:r>
          </w:p>
        </w:tc>
      </w:tr>
      <w:tr w14:paraId="674B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13A37F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9</w:t>
            </w:r>
          </w:p>
        </w:tc>
        <w:tc>
          <w:tcPr>
            <w:tcW w:w="749" w:type="dxa"/>
            <w:vMerge w:val="continue"/>
            <w:vAlign w:val="center"/>
          </w:tcPr>
          <w:p w14:paraId="66A0142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5BA2F1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锯床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BEA1B2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G24245</w:t>
            </w:r>
          </w:p>
        </w:tc>
        <w:tc>
          <w:tcPr>
            <w:tcW w:w="755" w:type="dxa"/>
            <w:shd w:val="clear" w:color="auto" w:fill="auto"/>
            <w:tcMar>
              <w:top w:w="0" w:type="dxa"/>
              <w:left w:w="0" w:type="dxa"/>
              <w:bottom w:w="0" w:type="dxa"/>
              <w:right w:w="0" w:type="dxa"/>
            </w:tcMar>
            <w:vAlign w:val="center"/>
          </w:tcPr>
          <w:p w14:paraId="7CBA847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1134" w:type="dxa"/>
            <w:tcMar>
              <w:top w:w="0" w:type="dxa"/>
              <w:left w:w="0" w:type="dxa"/>
              <w:bottom w:w="0" w:type="dxa"/>
              <w:right w:w="0" w:type="dxa"/>
            </w:tcMar>
            <w:vAlign w:val="center"/>
          </w:tcPr>
          <w:p w14:paraId="35D73DF4">
            <w:pPr>
              <w:pStyle w:val="26"/>
              <w:bidi w:val="0"/>
              <w:rPr>
                <w:color w:val="auto"/>
                <w:lang w:val="en-US" w:eastAsia="zh-CN"/>
              </w:rPr>
            </w:pPr>
            <w:r>
              <w:rPr>
                <w:rFonts w:hint="eastAsia"/>
                <w:color w:val="auto"/>
                <w:lang w:val="en-US" w:eastAsia="zh-CN"/>
              </w:rPr>
              <w:t>85</w:t>
            </w:r>
          </w:p>
        </w:tc>
        <w:tc>
          <w:tcPr>
            <w:tcW w:w="1141" w:type="dxa"/>
            <w:vMerge w:val="continue"/>
            <w:vAlign w:val="center"/>
          </w:tcPr>
          <w:p w14:paraId="5C101360">
            <w:pPr>
              <w:pStyle w:val="26"/>
              <w:bidi w:val="0"/>
              <w:rPr>
                <w:color w:val="auto"/>
                <w:lang w:val="en-US" w:eastAsia="zh-CN"/>
              </w:rPr>
            </w:pPr>
          </w:p>
        </w:tc>
        <w:tc>
          <w:tcPr>
            <w:tcW w:w="777" w:type="dxa"/>
            <w:tcMar>
              <w:top w:w="0" w:type="dxa"/>
              <w:left w:w="0" w:type="dxa"/>
              <w:bottom w:w="0" w:type="dxa"/>
              <w:right w:w="0" w:type="dxa"/>
            </w:tcMar>
            <w:vAlign w:val="center"/>
          </w:tcPr>
          <w:p w14:paraId="7B04F69C">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520B2263">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AD16541">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0CE6F63">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F732F35">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2F4C112F">
            <w:pPr>
              <w:pStyle w:val="26"/>
              <w:bidi w:val="0"/>
              <w:rPr>
                <w:color w:val="auto"/>
                <w:lang w:val="en-US" w:eastAsia="zh-CN"/>
              </w:rPr>
            </w:pPr>
          </w:p>
        </w:tc>
        <w:tc>
          <w:tcPr>
            <w:tcW w:w="988" w:type="dxa"/>
            <w:vMerge w:val="continue"/>
            <w:vAlign w:val="center"/>
          </w:tcPr>
          <w:p w14:paraId="055C8F35">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66CF7E3">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2A0FF815">
            <w:pPr>
              <w:pStyle w:val="26"/>
              <w:bidi w:val="0"/>
              <w:rPr>
                <w:color w:val="auto"/>
                <w:lang w:val="en-US" w:eastAsia="zh-CN"/>
              </w:rPr>
            </w:pPr>
            <w:r>
              <w:rPr>
                <w:color w:val="auto"/>
                <w:lang w:val="en-US" w:eastAsia="zh-CN"/>
              </w:rPr>
              <w:t>1</w:t>
            </w:r>
          </w:p>
        </w:tc>
      </w:tr>
      <w:tr w14:paraId="46ED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BB1BCE9">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10</w:t>
            </w:r>
          </w:p>
        </w:tc>
        <w:tc>
          <w:tcPr>
            <w:tcW w:w="749" w:type="dxa"/>
            <w:vMerge w:val="continue"/>
            <w:vAlign w:val="center"/>
          </w:tcPr>
          <w:p w14:paraId="08D0609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CF4160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铣床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EE071B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X6140</w:t>
            </w:r>
          </w:p>
        </w:tc>
        <w:tc>
          <w:tcPr>
            <w:tcW w:w="755" w:type="dxa"/>
            <w:shd w:val="clear" w:color="auto" w:fill="auto"/>
            <w:tcMar>
              <w:top w:w="0" w:type="dxa"/>
              <w:left w:w="0" w:type="dxa"/>
              <w:bottom w:w="0" w:type="dxa"/>
              <w:right w:w="0" w:type="dxa"/>
            </w:tcMar>
            <w:vAlign w:val="center"/>
          </w:tcPr>
          <w:p w14:paraId="371578C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1134" w:type="dxa"/>
            <w:tcMar>
              <w:top w:w="0" w:type="dxa"/>
              <w:left w:w="0" w:type="dxa"/>
              <w:bottom w:w="0" w:type="dxa"/>
              <w:right w:w="0" w:type="dxa"/>
            </w:tcMar>
            <w:vAlign w:val="center"/>
          </w:tcPr>
          <w:p w14:paraId="238DBD08">
            <w:pPr>
              <w:pStyle w:val="26"/>
              <w:bidi w:val="0"/>
              <w:rPr>
                <w:color w:val="auto"/>
                <w:lang w:val="en-US" w:eastAsia="zh-CN"/>
              </w:rPr>
            </w:pPr>
            <w:r>
              <w:rPr>
                <w:rFonts w:hint="eastAsia"/>
                <w:color w:val="auto"/>
                <w:lang w:val="en-US" w:eastAsia="zh-CN"/>
              </w:rPr>
              <w:t>85</w:t>
            </w:r>
          </w:p>
        </w:tc>
        <w:tc>
          <w:tcPr>
            <w:tcW w:w="1141" w:type="dxa"/>
            <w:vMerge w:val="continue"/>
            <w:vAlign w:val="center"/>
          </w:tcPr>
          <w:p w14:paraId="1397B9D7">
            <w:pPr>
              <w:pStyle w:val="26"/>
              <w:bidi w:val="0"/>
              <w:rPr>
                <w:color w:val="auto"/>
                <w:lang w:val="en-US" w:eastAsia="zh-CN"/>
              </w:rPr>
            </w:pPr>
          </w:p>
        </w:tc>
        <w:tc>
          <w:tcPr>
            <w:tcW w:w="777" w:type="dxa"/>
            <w:tcMar>
              <w:top w:w="0" w:type="dxa"/>
              <w:left w:w="0" w:type="dxa"/>
              <w:bottom w:w="0" w:type="dxa"/>
              <w:right w:w="0" w:type="dxa"/>
            </w:tcMar>
            <w:vAlign w:val="center"/>
          </w:tcPr>
          <w:p w14:paraId="4B283B89">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2A8E111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787F390C">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0EAE7F4">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896708B">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7F50725F">
            <w:pPr>
              <w:pStyle w:val="26"/>
              <w:bidi w:val="0"/>
              <w:rPr>
                <w:color w:val="auto"/>
                <w:lang w:val="en-US" w:eastAsia="zh-CN"/>
              </w:rPr>
            </w:pPr>
          </w:p>
        </w:tc>
        <w:tc>
          <w:tcPr>
            <w:tcW w:w="988" w:type="dxa"/>
            <w:vMerge w:val="continue"/>
            <w:vAlign w:val="center"/>
          </w:tcPr>
          <w:p w14:paraId="30CB89A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5B2C8350">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74FAB6FB">
            <w:pPr>
              <w:pStyle w:val="26"/>
              <w:bidi w:val="0"/>
              <w:rPr>
                <w:color w:val="auto"/>
                <w:lang w:val="en-US" w:eastAsia="zh-CN"/>
              </w:rPr>
            </w:pPr>
            <w:r>
              <w:rPr>
                <w:color w:val="auto"/>
                <w:lang w:val="en-US" w:eastAsia="zh-CN"/>
              </w:rPr>
              <w:t>1</w:t>
            </w:r>
          </w:p>
        </w:tc>
      </w:tr>
      <w:tr w14:paraId="2E37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3E3F4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11</w:t>
            </w:r>
          </w:p>
        </w:tc>
        <w:tc>
          <w:tcPr>
            <w:tcW w:w="749" w:type="dxa"/>
            <w:vMerge w:val="continue"/>
            <w:vAlign w:val="center"/>
          </w:tcPr>
          <w:p w14:paraId="207C91DB">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04C787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磨床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804906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MQ1350B</w:t>
            </w:r>
          </w:p>
        </w:tc>
        <w:tc>
          <w:tcPr>
            <w:tcW w:w="755" w:type="dxa"/>
            <w:shd w:val="clear" w:color="auto" w:fill="auto"/>
            <w:tcMar>
              <w:top w:w="0" w:type="dxa"/>
              <w:left w:w="0" w:type="dxa"/>
              <w:bottom w:w="0" w:type="dxa"/>
              <w:right w:w="0" w:type="dxa"/>
            </w:tcMar>
            <w:vAlign w:val="center"/>
          </w:tcPr>
          <w:p w14:paraId="0333254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1134" w:type="dxa"/>
            <w:tcMar>
              <w:top w:w="0" w:type="dxa"/>
              <w:left w:w="0" w:type="dxa"/>
              <w:bottom w:w="0" w:type="dxa"/>
              <w:right w:w="0" w:type="dxa"/>
            </w:tcMar>
            <w:vAlign w:val="center"/>
          </w:tcPr>
          <w:p w14:paraId="444B3DC1">
            <w:pPr>
              <w:pStyle w:val="26"/>
              <w:bidi w:val="0"/>
              <w:rPr>
                <w:color w:val="auto"/>
                <w:lang w:val="en-US" w:eastAsia="zh-CN"/>
              </w:rPr>
            </w:pPr>
            <w:r>
              <w:rPr>
                <w:rFonts w:hint="eastAsia"/>
                <w:color w:val="auto"/>
                <w:lang w:val="en-US" w:eastAsia="zh-CN"/>
              </w:rPr>
              <w:t>85</w:t>
            </w:r>
          </w:p>
        </w:tc>
        <w:tc>
          <w:tcPr>
            <w:tcW w:w="1141" w:type="dxa"/>
            <w:vMerge w:val="continue"/>
            <w:vAlign w:val="center"/>
          </w:tcPr>
          <w:p w14:paraId="685B49DB">
            <w:pPr>
              <w:pStyle w:val="26"/>
              <w:bidi w:val="0"/>
              <w:rPr>
                <w:color w:val="auto"/>
                <w:lang w:val="en-US" w:eastAsia="zh-CN"/>
              </w:rPr>
            </w:pPr>
          </w:p>
        </w:tc>
        <w:tc>
          <w:tcPr>
            <w:tcW w:w="777" w:type="dxa"/>
            <w:tcMar>
              <w:top w:w="0" w:type="dxa"/>
              <w:left w:w="0" w:type="dxa"/>
              <w:bottom w:w="0" w:type="dxa"/>
              <w:right w:w="0" w:type="dxa"/>
            </w:tcMar>
            <w:vAlign w:val="center"/>
          </w:tcPr>
          <w:p w14:paraId="492F762F">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5CA8C2B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809041F">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4B3807F8">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DE21857">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7E93DA69">
            <w:pPr>
              <w:pStyle w:val="26"/>
              <w:bidi w:val="0"/>
              <w:rPr>
                <w:color w:val="auto"/>
                <w:lang w:val="en-US" w:eastAsia="zh-CN"/>
              </w:rPr>
            </w:pPr>
          </w:p>
        </w:tc>
        <w:tc>
          <w:tcPr>
            <w:tcW w:w="988" w:type="dxa"/>
            <w:vMerge w:val="continue"/>
            <w:vAlign w:val="center"/>
          </w:tcPr>
          <w:p w14:paraId="2B18081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9C75F6D">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67CD9688">
            <w:pPr>
              <w:pStyle w:val="26"/>
              <w:bidi w:val="0"/>
              <w:rPr>
                <w:color w:val="auto"/>
                <w:lang w:val="en-US" w:eastAsia="zh-CN"/>
              </w:rPr>
            </w:pPr>
            <w:r>
              <w:rPr>
                <w:color w:val="auto"/>
                <w:lang w:val="en-US" w:eastAsia="zh-CN"/>
              </w:rPr>
              <w:t>1</w:t>
            </w:r>
          </w:p>
        </w:tc>
      </w:tr>
      <w:tr w14:paraId="41A6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6866F8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12</w:t>
            </w:r>
          </w:p>
        </w:tc>
        <w:tc>
          <w:tcPr>
            <w:tcW w:w="749" w:type="dxa"/>
            <w:vMerge w:val="continue"/>
            <w:vAlign w:val="center"/>
          </w:tcPr>
          <w:p w14:paraId="474DE60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F76B9B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焊机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373034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BX1-500F</w:t>
            </w:r>
          </w:p>
        </w:tc>
        <w:tc>
          <w:tcPr>
            <w:tcW w:w="755" w:type="dxa"/>
            <w:shd w:val="clear" w:color="auto" w:fill="auto"/>
            <w:tcMar>
              <w:top w:w="0" w:type="dxa"/>
              <w:left w:w="0" w:type="dxa"/>
              <w:bottom w:w="0" w:type="dxa"/>
              <w:right w:w="0" w:type="dxa"/>
            </w:tcMar>
            <w:vAlign w:val="center"/>
          </w:tcPr>
          <w:p w14:paraId="65D1A47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4</w:t>
            </w:r>
          </w:p>
        </w:tc>
        <w:tc>
          <w:tcPr>
            <w:tcW w:w="1134" w:type="dxa"/>
            <w:shd w:val="clear" w:color="auto" w:fill="auto"/>
            <w:tcMar>
              <w:top w:w="0" w:type="dxa"/>
              <w:left w:w="0" w:type="dxa"/>
              <w:bottom w:w="0" w:type="dxa"/>
              <w:right w:w="0" w:type="dxa"/>
            </w:tcMar>
            <w:vAlign w:val="center"/>
          </w:tcPr>
          <w:p w14:paraId="5BDCD9E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0B6DEFC5">
            <w:pPr>
              <w:pStyle w:val="26"/>
              <w:bidi w:val="0"/>
              <w:rPr>
                <w:color w:val="auto"/>
                <w:lang w:val="en-US" w:eastAsia="zh-CN"/>
              </w:rPr>
            </w:pPr>
          </w:p>
        </w:tc>
        <w:tc>
          <w:tcPr>
            <w:tcW w:w="777" w:type="dxa"/>
            <w:tcMar>
              <w:top w:w="0" w:type="dxa"/>
              <w:left w:w="0" w:type="dxa"/>
              <w:bottom w:w="0" w:type="dxa"/>
              <w:right w:w="0" w:type="dxa"/>
            </w:tcMar>
            <w:vAlign w:val="center"/>
          </w:tcPr>
          <w:p w14:paraId="2994EFE2">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2F2C8B5">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A67FD21">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541739C9">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AEF085D">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2067F5A6">
            <w:pPr>
              <w:pStyle w:val="26"/>
              <w:bidi w:val="0"/>
              <w:rPr>
                <w:color w:val="auto"/>
                <w:lang w:val="en-US" w:eastAsia="zh-CN"/>
              </w:rPr>
            </w:pPr>
          </w:p>
        </w:tc>
        <w:tc>
          <w:tcPr>
            <w:tcW w:w="988" w:type="dxa"/>
            <w:vMerge w:val="continue"/>
            <w:vAlign w:val="center"/>
          </w:tcPr>
          <w:p w14:paraId="3518550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CE20979">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0B678279">
            <w:pPr>
              <w:pStyle w:val="26"/>
              <w:bidi w:val="0"/>
              <w:rPr>
                <w:color w:val="auto"/>
                <w:lang w:val="en-US" w:eastAsia="zh-CN"/>
              </w:rPr>
            </w:pPr>
            <w:r>
              <w:rPr>
                <w:color w:val="auto"/>
                <w:lang w:val="en-US" w:eastAsia="zh-CN"/>
              </w:rPr>
              <w:t>1</w:t>
            </w:r>
          </w:p>
        </w:tc>
      </w:tr>
      <w:tr w14:paraId="658B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23CDCA2">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13</w:t>
            </w:r>
          </w:p>
        </w:tc>
        <w:tc>
          <w:tcPr>
            <w:tcW w:w="749" w:type="dxa"/>
            <w:vMerge w:val="continue"/>
            <w:vAlign w:val="center"/>
          </w:tcPr>
          <w:p w14:paraId="4930AB0E">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931210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研磨机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70BE68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DYYM3300</w:t>
            </w:r>
          </w:p>
        </w:tc>
        <w:tc>
          <w:tcPr>
            <w:tcW w:w="755" w:type="dxa"/>
            <w:shd w:val="clear" w:color="auto" w:fill="auto"/>
            <w:tcMar>
              <w:top w:w="0" w:type="dxa"/>
              <w:left w:w="0" w:type="dxa"/>
              <w:bottom w:w="0" w:type="dxa"/>
              <w:right w:w="0" w:type="dxa"/>
            </w:tcMar>
            <w:vAlign w:val="center"/>
          </w:tcPr>
          <w:p w14:paraId="74EE9AD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1134" w:type="dxa"/>
            <w:shd w:val="clear" w:color="auto" w:fill="auto"/>
            <w:tcMar>
              <w:top w:w="0" w:type="dxa"/>
              <w:left w:w="0" w:type="dxa"/>
              <w:bottom w:w="0" w:type="dxa"/>
              <w:right w:w="0" w:type="dxa"/>
            </w:tcMar>
            <w:vAlign w:val="center"/>
          </w:tcPr>
          <w:p w14:paraId="497D842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1A94FC1F">
            <w:pPr>
              <w:pStyle w:val="26"/>
              <w:bidi w:val="0"/>
              <w:rPr>
                <w:color w:val="auto"/>
                <w:lang w:val="en-US" w:eastAsia="zh-CN"/>
              </w:rPr>
            </w:pPr>
          </w:p>
        </w:tc>
        <w:tc>
          <w:tcPr>
            <w:tcW w:w="777" w:type="dxa"/>
            <w:tcMar>
              <w:top w:w="0" w:type="dxa"/>
              <w:left w:w="0" w:type="dxa"/>
              <w:bottom w:w="0" w:type="dxa"/>
              <w:right w:w="0" w:type="dxa"/>
            </w:tcMar>
            <w:vAlign w:val="center"/>
          </w:tcPr>
          <w:p w14:paraId="15F7FF5D">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28FA3757">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08F86CEC">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429CEE0">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AA14D07">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3F043F7D">
            <w:pPr>
              <w:pStyle w:val="26"/>
              <w:bidi w:val="0"/>
              <w:rPr>
                <w:color w:val="auto"/>
                <w:lang w:val="en-US" w:eastAsia="zh-CN"/>
              </w:rPr>
            </w:pPr>
          </w:p>
        </w:tc>
        <w:tc>
          <w:tcPr>
            <w:tcW w:w="988" w:type="dxa"/>
            <w:vMerge w:val="continue"/>
            <w:vAlign w:val="center"/>
          </w:tcPr>
          <w:p w14:paraId="58C9494C">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10BDFFED">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1C8EF42F">
            <w:pPr>
              <w:pStyle w:val="26"/>
              <w:bidi w:val="0"/>
              <w:rPr>
                <w:color w:val="auto"/>
                <w:lang w:val="en-US" w:eastAsia="zh-CN"/>
              </w:rPr>
            </w:pPr>
            <w:r>
              <w:rPr>
                <w:color w:val="auto"/>
                <w:lang w:val="en-US" w:eastAsia="zh-CN"/>
              </w:rPr>
              <w:t>1</w:t>
            </w:r>
          </w:p>
        </w:tc>
      </w:tr>
      <w:tr w14:paraId="51F7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57505FC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14</w:t>
            </w:r>
          </w:p>
        </w:tc>
        <w:tc>
          <w:tcPr>
            <w:tcW w:w="749" w:type="dxa"/>
            <w:vMerge w:val="continue"/>
            <w:vAlign w:val="center"/>
          </w:tcPr>
          <w:p w14:paraId="3B2AB01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4CF42E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精雕机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19C679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JQD-360</w:t>
            </w:r>
          </w:p>
        </w:tc>
        <w:tc>
          <w:tcPr>
            <w:tcW w:w="755" w:type="dxa"/>
            <w:shd w:val="clear" w:color="auto" w:fill="auto"/>
            <w:tcMar>
              <w:top w:w="0" w:type="dxa"/>
              <w:left w:w="0" w:type="dxa"/>
              <w:bottom w:w="0" w:type="dxa"/>
              <w:right w:w="0" w:type="dxa"/>
            </w:tcMar>
            <w:vAlign w:val="center"/>
          </w:tcPr>
          <w:p w14:paraId="4823B12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6</w:t>
            </w:r>
          </w:p>
        </w:tc>
        <w:tc>
          <w:tcPr>
            <w:tcW w:w="1134" w:type="dxa"/>
            <w:shd w:val="clear" w:color="auto" w:fill="auto"/>
            <w:tcMar>
              <w:top w:w="0" w:type="dxa"/>
              <w:left w:w="0" w:type="dxa"/>
              <w:bottom w:w="0" w:type="dxa"/>
              <w:right w:w="0" w:type="dxa"/>
            </w:tcMar>
            <w:vAlign w:val="center"/>
          </w:tcPr>
          <w:p w14:paraId="7D9A22FE">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4E8DD787">
            <w:pPr>
              <w:pStyle w:val="26"/>
              <w:bidi w:val="0"/>
              <w:rPr>
                <w:color w:val="auto"/>
                <w:lang w:val="en-US" w:eastAsia="zh-CN"/>
              </w:rPr>
            </w:pPr>
          </w:p>
        </w:tc>
        <w:tc>
          <w:tcPr>
            <w:tcW w:w="777" w:type="dxa"/>
            <w:tcMar>
              <w:top w:w="0" w:type="dxa"/>
              <w:left w:w="0" w:type="dxa"/>
              <w:bottom w:w="0" w:type="dxa"/>
              <w:right w:w="0" w:type="dxa"/>
            </w:tcMar>
            <w:vAlign w:val="center"/>
          </w:tcPr>
          <w:p w14:paraId="184DF49A">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3A5C2E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069B7DA7">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52AA417">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7FD630C">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13A07134">
            <w:pPr>
              <w:pStyle w:val="26"/>
              <w:bidi w:val="0"/>
              <w:rPr>
                <w:color w:val="auto"/>
                <w:lang w:val="en-US" w:eastAsia="zh-CN"/>
              </w:rPr>
            </w:pPr>
          </w:p>
        </w:tc>
        <w:tc>
          <w:tcPr>
            <w:tcW w:w="988" w:type="dxa"/>
            <w:vMerge w:val="continue"/>
            <w:vAlign w:val="center"/>
          </w:tcPr>
          <w:p w14:paraId="3A3861F2">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96AFEE0">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67766322">
            <w:pPr>
              <w:pStyle w:val="26"/>
              <w:bidi w:val="0"/>
              <w:rPr>
                <w:color w:val="auto"/>
                <w:lang w:val="en-US" w:eastAsia="zh-CN"/>
              </w:rPr>
            </w:pPr>
            <w:r>
              <w:rPr>
                <w:color w:val="auto"/>
                <w:lang w:val="en-US" w:eastAsia="zh-CN"/>
              </w:rPr>
              <w:t>1</w:t>
            </w:r>
          </w:p>
        </w:tc>
      </w:tr>
      <w:tr w14:paraId="35A2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5BA9178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15</w:t>
            </w:r>
          </w:p>
        </w:tc>
        <w:tc>
          <w:tcPr>
            <w:tcW w:w="749" w:type="dxa"/>
            <w:vMerge w:val="continue"/>
            <w:vAlign w:val="center"/>
          </w:tcPr>
          <w:p w14:paraId="26397CFB">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BD2C2A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激光雕刻机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73179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DIGILAS3500</w:t>
            </w:r>
          </w:p>
        </w:tc>
        <w:tc>
          <w:tcPr>
            <w:tcW w:w="755" w:type="dxa"/>
            <w:shd w:val="clear" w:color="auto" w:fill="auto"/>
            <w:tcMar>
              <w:top w:w="0" w:type="dxa"/>
              <w:left w:w="0" w:type="dxa"/>
              <w:bottom w:w="0" w:type="dxa"/>
              <w:right w:w="0" w:type="dxa"/>
            </w:tcMar>
            <w:vAlign w:val="center"/>
          </w:tcPr>
          <w:p w14:paraId="05356CB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15</w:t>
            </w:r>
          </w:p>
        </w:tc>
        <w:tc>
          <w:tcPr>
            <w:tcW w:w="1134" w:type="dxa"/>
            <w:shd w:val="clear" w:color="auto" w:fill="auto"/>
            <w:tcMar>
              <w:top w:w="0" w:type="dxa"/>
              <w:left w:w="0" w:type="dxa"/>
              <w:bottom w:w="0" w:type="dxa"/>
              <w:right w:w="0" w:type="dxa"/>
            </w:tcMar>
            <w:vAlign w:val="center"/>
          </w:tcPr>
          <w:p w14:paraId="0C00E1D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41DD7A41">
            <w:pPr>
              <w:pStyle w:val="26"/>
              <w:bidi w:val="0"/>
              <w:rPr>
                <w:color w:val="auto"/>
                <w:lang w:val="en-US" w:eastAsia="zh-CN"/>
              </w:rPr>
            </w:pPr>
          </w:p>
        </w:tc>
        <w:tc>
          <w:tcPr>
            <w:tcW w:w="777" w:type="dxa"/>
            <w:tcMar>
              <w:top w:w="0" w:type="dxa"/>
              <w:left w:w="0" w:type="dxa"/>
              <w:bottom w:w="0" w:type="dxa"/>
              <w:right w:w="0" w:type="dxa"/>
            </w:tcMar>
            <w:vAlign w:val="center"/>
          </w:tcPr>
          <w:p w14:paraId="4AB56EA9">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AD44A79">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042E05B2">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261FD3AA">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8A0CB43">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5F53BD9C">
            <w:pPr>
              <w:pStyle w:val="26"/>
              <w:bidi w:val="0"/>
              <w:rPr>
                <w:color w:val="auto"/>
                <w:lang w:val="en-US" w:eastAsia="zh-CN"/>
              </w:rPr>
            </w:pPr>
          </w:p>
        </w:tc>
        <w:tc>
          <w:tcPr>
            <w:tcW w:w="988" w:type="dxa"/>
            <w:vMerge w:val="continue"/>
            <w:vAlign w:val="center"/>
          </w:tcPr>
          <w:p w14:paraId="046E6DC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669ACB9A">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0B8C6F50">
            <w:pPr>
              <w:pStyle w:val="26"/>
              <w:bidi w:val="0"/>
              <w:rPr>
                <w:color w:val="auto"/>
                <w:lang w:val="en-US" w:eastAsia="zh-CN"/>
              </w:rPr>
            </w:pPr>
            <w:r>
              <w:rPr>
                <w:color w:val="auto"/>
                <w:lang w:val="en-US" w:eastAsia="zh-CN"/>
              </w:rPr>
              <w:t>1</w:t>
            </w:r>
          </w:p>
        </w:tc>
      </w:tr>
      <w:tr w14:paraId="0CF5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B16626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16</w:t>
            </w:r>
          </w:p>
        </w:tc>
        <w:tc>
          <w:tcPr>
            <w:tcW w:w="749" w:type="dxa"/>
            <w:vMerge w:val="continue"/>
            <w:vAlign w:val="center"/>
          </w:tcPr>
          <w:p w14:paraId="119705EE">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6ECD3F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打磨机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32EA9D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6570* 1500* 1700</w:t>
            </w:r>
          </w:p>
        </w:tc>
        <w:tc>
          <w:tcPr>
            <w:tcW w:w="755" w:type="dxa"/>
            <w:shd w:val="clear" w:color="auto" w:fill="auto"/>
            <w:tcMar>
              <w:top w:w="0" w:type="dxa"/>
              <w:left w:w="0" w:type="dxa"/>
              <w:bottom w:w="0" w:type="dxa"/>
              <w:right w:w="0" w:type="dxa"/>
            </w:tcMar>
            <w:vAlign w:val="center"/>
          </w:tcPr>
          <w:p w14:paraId="6CB62AE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2</w:t>
            </w:r>
          </w:p>
        </w:tc>
        <w:tc>
          <w:tcPr>
            <w:tcW w:w="1134" w:type="dxa"/>
            <w:shd w:val="clear" w:color="auto" w:fill="auto"/>
            <w:tcMar>
              <w:top w:w="0" w:type="dxa"/>
              <w:left w:w="0" w:type="dxa"/>
              <w:bottom w:w="0" w:type="dxa"/>
              <w:right w:w="0" w:type="dxa"/>
            </w:tcMar>
            <w:vAlign w:val="center"/>
          </w:tcPr>
          <w:p w14:paraId="34112EA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288861CF">
            <w:pPr>
              <w:pStyle w:val="26"/>
              <w:bidi w:val="0"/>
              <w:rPr>
                <w:color w:val="auto"/>
                <w:lang w:val="en-US" w:eastAsia="zh-CN"/>
              </w:rPr>
            </w:pPr>
          </w:p>
        </w:tc>
        <w:tc>
          <w:tcPr>
            <w:tcW w:w="777" w:type="dxa"/>
            <w:tcMar>
              <w:top w:w="0" w:type="dxa"/>
              <w:left w:w="0" w:type="dxa"/>
              <w:bottom w:w="0" w:type="dxa"/>
              <w:right w:w="0" w:type="dxa"/>
            </w:tcMar>
            <w:vAlign w:val="center"/>
          </w:tcPr>
          <w:p w14:paraId="051CF411">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E1BD0DD">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83364EF">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757BC9DA">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11B77850">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0AFBE59F">
            <w:pPr>
              <w:pStyle w:val="26"/>
              <w:bidi w:val="0"/>
              <w:rPr>
                <w:color w:val="auto"/>
                <w:lang w:val="en-US" w:eastAsia="zh-CN"/>
              </w:rPr>
            </w:pPr>
          </w:p>
        </w:tc>
        <w:tc>
          <w:tcPr>
            <w:tcW w:w="988" w:type="dxa"/>
            <w:vMerge w:val="continue"/>
            <w:vAlign w:val="center"/>
          </w:tcPr>
          <w:p w14:paraId="3AB6D99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5C518C1D">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01BBA718">
            <w:pPr>
              <w:pStyle w:val="26"/>
              <w:bidi w:val="0"/>
              <w:rPr>
                <w:color w:val="auto"/>
                <w:lang w:val="en-US" w:eastAsia="zh-CN"/>
              </w:rPr>
            </w:pPr>
            <w:r>
              <w:rPr>
                <w:color w:val="auto"/>
                <w:lang w:val="en-US" w:eastAsia="zh-CN"/>
              </w:rPr>
              <w:t>1</w:t>
            </w:r>
          </w:p>
        </w:tc>
      </w:tr>
      <w:tr w14:paraId="605A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1BBC21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17</w:t>
            </w:r>
          </w:p>
        </w:tc>
        <w:tc>
          <w:tcPr>
            <w:tcW w:w="749" w:type="dxa"/>
            <w:vMerge w:val="continue"/>
            <w:vAlign w:val="center"/>
          </w:tcPr>
          <w:p w14:paraId="2FAB7D8B">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8F06B2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喷砂机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1297D4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5850* 1900* 1280</w:t>
            </w:r>
          </w:p>
        </w:tc>
        <w:tc>
          <w:tcPr>
            <w:tcW w:w="755" w:type="dxa"/>
            <w:shd w:val="clear" w:color="auto" w:fill="auto"/>
            <w:tcMar>
              <w:top w:w="0" w:type="dxa"/>
              <w:left w:w="0" w:type="dxa"/>
              <w:bottom w:w="0" w:type="dxa"/>
              <w:right w:w="0" w:type="dxa"/>
            </w:tcMar>
            <w:vAlign w:val="center"/>
          </w:tcPr>
          <w:p w14:paraId="17ADDDE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en-US" w:bidi="ar-SA"/>
              </w:rPr>
              <w:t>3</w:t>
            </w:r>
          </w:p>
        </w:tc>
        <w:tc>
          <w:tcPr>
            <w:tcW w:w="1134" w:type="dxa"/>
            <w:shd w:val="clear" w:color="auto" w:fill="auto"/>
            <w:tcMar>
              <w:top w:w="0" w:type="dxa"/>
              <w:left w:w="0" w:type="dxa"/>
              <w:bottom w:w="0" w:type="dxa"/>
              <w:right w:w="0" w:type="dxa"/>
            </w:tcMar>
            <w:vAlign w:val="center"/>
          </w:tcPr>
          <w:p w14:paraId="20E71E7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90</w:t>
            </w:r>
          </w:p>
        </w:tc>
        <w:tc>
          <w:tcPr>
            <w:tcW w:w="1141" w:type="dxa"/>
            <w:vMerge w:val="continue"/>
            <w:vAlign w:val="center"/>
          </w:tcPr>
          <w:p w14:paraId="2CB638E6">
            <w:pPr>
              <w:pStyle w:val="26"/>
              <w:bidi w:val="0"/>
              <w:rPr>
                <w:color w:val="auto"/>
                <w:lang w:val="en-US" w:eastAsia="zh-CN"/>
              </w:rPr>
            </w:pPr>
          </w:p>
        </w:tc>
        <w:tc>
          <w:tcPr>
            <w:tcW w:w="777" w:type="dxa"/>
            <w:tcMar>
              <w:top w:w="0" w:type="dxa"/>
              <w:left w:w="0" w:type="dxa"/>
              <w:bottom w:w="0" w:type="dxa"/>
              <w:right w:w="0" w:type="dxa"/>
            </w:tcMar>
            <w:vAlign w:val="center"/>
          </w:tcPr>
          <w:p w14:paraId="0550A014">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1AFD02B">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BD5DEC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5FDDBE06">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79013065">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1EBAFE51">
            <w:pPr>
              <w:pStyle w:val="26"/>
              <w:bidi w:val="0"/>
              <w:rPr>
                <w:color w:val="auto"/>
                <w:lang w:val="en-US" w:eastAsia="zh-CN"/>
              </w:rPr>
            </w:pPr>
          </w:p>
        </w:tc>
        <w:tc>
          <w:tcPr>
            <w:tcW w:w="988" w:type="dxa"/>
            <w:vMerge w:val="continue"/>
            <w:vAlign w:val="center"/>
          </w:tcPr>
          <w:p w14:paraId="234C1B5E">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6CCEA15A">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69259AD5">
            <w:pPr>
              <w:pStyle w:val="26"/>
              <w:bidi w:val="0"/>
              <w:rPr>
                <w:color w:val="auto"/>
                <w:lang w:val="en-US" w:eastAsia="zh-CN"/>
              </w:rPr>
            </w:pPr>
            <w:r>
              <w:rPr>
                <w:color w:val="auto"/>
                <w:lang w:val="en-US" w:eastAsia="zh-CN"/>
              </w:rPr>
              <w:t>1</w:t>
            </w:r>
          </w:p>
        </w:tc>
      </w:tr>
      <w:tr w14:paraId="630D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29C22A9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18</w:t>
            </w:r>
          </w:p>
        </w:tc>
        <w:tc>
          <w:tcPr>
            <w:tcW w:w="749" w:type="dxa"/>
            <w:vMerge w:val="continue"/>
            <w:vAlign w:val="center"/>
          </w:tcPr>
          <w:p w14:paraId="2722DF73">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EA7BB9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电镀线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BEC729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w:t>
            </w:r>
          </w:p>
        </w:tc>
        <w:tc>
          <w:tcPr>
            <w:tcW w:w="755" w:type="dxa"/>
            <w:shd w:val="clear" w:color="auto" w:fill="auto"/>
            <w:tcMar>
              <w:top w:w="0" w:type="dxa"/>
              <w:left w:w="0" w:type="dxa"/>
              <w:bottom w:w="0" w:type="dxa"/>
              <w:right w:w="0" w:type="dxa"/>
            </w:tcMar>
            <w:vAlign w:val="center"/>
          </w:tcPr>
          <w:p w14:paraId="21C2BD9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49409A36">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75</w:t>
            </w:r>
          </w:p>
        </w:tc>
        <w:tc>
          <w:tcPr>
            <w:tcW w:w="1141" w:type="dxa"/>
            <w:vMerge w:val="continue"/>
            <w:vAlign w:val="center"/>
          </w:tcPr>
          <w:p w14:paraId="38783099">
            <w:pPr>
              <w:pStyle w:val="26"/>
              <w:bidi w:val="0"/>
              <w:rPr>
                <w:color w:val="auto"/>
                <w:lang w:val="en-US" w:eastAsia="zh-CN"/>
              </w:rPr>
            </w:pPr>
          </w:p>
        </w:tc>
        <w:tc>
          <w:tcPr>
            <w:tcW w:w="777" w:type="dxa"/>
            <w:tcMar>
              <w:top w:w="0" w:type="dxa"/>
              <w:left w:w="0" w:type="dxa"/>
              <w:bottom w:w="0" w:type="dxa"/>
              <w:right w:w="0" w:type="dxa"/>
            </w:tcMar>
            <w:vAlign w:val="center"/>
          </w:tcPr>
          <w:p w14:paraId="048CF606">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19EF6DC5">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434366D5">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74C3C845">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CA7EF40">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7D396733">
            <w:pPr>
              <w:pStyle w:val="26"/>
              <w:bidi w:val="0"/>
              <w:rPr>
                <w:color w:val="auto"/>
                <w:lang w:val="en-US" w:eastAsia="zh-CN"/>
              </w:rPr>
            </w:pPr>
          </w:p>
        </w:tc>
        <w:tc>
          <w:tcPr>
            <w:tcW w:w="988" w:type="dxa"/>
            <w:vMerge w:val="continue"/>
            <w:vAlign w:val="center"/>
          </w:tcPr>
          <w:p w14:paraId="1868A48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144BAF1F">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50601C66">
            <w:pPr>
              <w:pStyle w:val="26"/>
              <w:bidi w:val="0"/>
              <w:rPr>
                <w:color w:val="auto"/>
                <w:lang w:val="en-US" w:eastAsia="zh-CN"/>
              </w:rPr>
            </w:pPr>
            <w:r>
              <w:rPr>
                <w:color w:val="auto"/>
                <w:lang w:val="en-US" w:eastAsia="zh-CN"/>
              </w:rPr>
              <w:t>1</w:t>
            </w:r>
          </w:p>
        </w:tc>
      </w:tr>
      <w:tr w14:paraId="4DDF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DAA3A2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19</w:t>
            </w:r>
          </w:p>
        </w:tc>
        <w:tc>
          <w:tcPr>
            <w:tcW w:w="749" w:type="dxa"/>
            <w:vMerge w:val="continue"/>
            <w:vAlign w:val="center"/>
          </w:tcPr>
          <w:p w14:paraId="45BD4AAD">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4B3A7B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锯床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8DA1A7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4kW</w:t>
            </w:r>
          </w:p>
        </w:tc>
        <w:tc>
          <w:tcPr>
            <w:tcW w:w="755" w:type="dxa"/>
            <w:shd w:val="clear" w:color="auto" w:fill="auto"/>
            <w:tcMar>
              <w:top w:w="0" w:type="dxa"/>
              <w:left w:w="0" w:type="dxa"/>
              <w:bottom w:w="0" w:type="dxa"/>
              <w:right w:w="0" w:type="dxa"/>
            </w:tcMar>
            <w:vAlign w:val="center"/>
          </w:tcPr>
          <w:p w14:paraId="4DF6F07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134" w:type="dxa"/>
            <w:shd w:val="clear" w:color="auto" w:fill="auto"/>
            <w:tcMar>
              <w:top w:w="0" w:type="dxa"/>
              <w:left w:w="0" w:type="dxa"/>
              <w:bottom w:w="0" w:type="dxa"/>
              <w:right w:w="0" w:type="dxa"/>
            </w:tcMar>
            <w:vAlign w:val="center"/>
          </w:tcPr>
          <w:p w14:paraId="5398D109">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56ACD8AA">
            <w:pPr>
              <w:pStyle w:val="26"/>
              <w:bidi w:val="0"/>
              <w:rPr>
                <w:color w:val="auto"/>
                <w:lang w:val="en-US" w:eastAsia="zh-CN"/>
              </w:rPr>
            </w:pPr>
          </w:p>
        </w:tc>
        <w:tc>
          <w:tcPr>
            <w:tcW w:w="777" w:type="dxa"/>
            <w:tcMar>
              <w:top w:w="0" w:type="dxa"/>
              <w:left w:w="0" w:type="dxa"/>
              <w:bottom w:w="0" w:type="dxa"/>
              <w:right w:w="0" w:type="dxa"/>
            </w:tcMar>
            <w:vAlign w:val="center"/>
          </w:tcPr>
          <w:p w14:paraId="2E3AA5C1">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032D6CCF">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BF97A8F">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D8D10DB">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60EABCD">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02D43177">
            <w:pPr>
              <w:pStyle w:val="26"/>
              <w:bidi w:val="0"/>
              <w:rPr>
                <w:color w:val="auto"/>
                <w:lang w:val="en-US" w:eastAsia="zh-CN"/>
              </w:rPr>
            </w:pPr>
          </w:p>
        </w:tc>
        <w:tc>
          <w:tcPr>
            <w:tcW w:w="988" w:type="dxa"/>
            <w:vMerge w:val="continue"/>
            <w:vAlign w:val="center"/>
          </w:tcPr>
          <w:p w14:paraId="2CF7DCB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E64537D">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3DB701F7">
            <w:pPr>
              <w:pStyle w:val="26"/>
              <w:bidi w:val="0"/>
              <w:rPr>
                <w:color w:val="auto"/>
                <w:lang w:val="en-US" w:eastAsia="zh-CN"/>
              </w:rPr>
            </w:pPr>
            <w:r>
              <w:rPr>
                <w:color w:val="auto"/>
                <w:lang w:val="en-US" w:eastAsia="zh-CN"/>
              </w:rPr>
              <w:t>1</w:t>
            </w:r>
          </w:p>
        </w:tc>
      </w:tr>
      <w:tr w14:paraId="3706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20E3308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20</w:t>
            </w:r>
          </w:p>
        </w:tc>
        <w:tc>
          <w:tcPr>
            <w:tcW w:w="749" w:type="dxa"/>
            <w:vMerge w:val="continue"/>
            <w:vAlign w:val="center"/>
          </w:tcPr>
          <w:p w14:paraId="0991FF38">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5FD53D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校园机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79B68AB">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17kW</w:t>
            </w:r>
          </w:p>
        </w:tc>
        <w:tc>
          <w:tcPr>
            <w:tcW w:w="755" w:type="dxa"/>
            <w:shd w:val="clear" w:color="auto" w:fill="auto"/>
            <w:tcMar>
              <w:top w:w="0" w:type="dxa"/>
              <w:left w:w="0" w:type="dxa"/>
              <w:bottom w:w="0" w:type="dxa"/>
              <w:right w:w="0" w:type="dxa"/>
            </w:tcMar>
            <w:vAlign w:val="center"/>
          </w:tcPr>
          <w:p w14:paraId="0174FCB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1134" w:type="dxa"/>
            <w:shd w:val="clear" w:color="auto" w:fill="auto"/>
            <w:tcMar>
              <w:top w:w="0" w:type="dxa"/>
              <w:left w:w="0" w:type="dxa"/>
              <w:bottom w:w="0" w:type="dxa"/>
              <w:right w:w="0" w:type="dxa"/>
            </w:tcMar>
            <w:vAlign w:val="center"/>
          </w:tcPr>
          <w:p w14:paraId="3FF4A9F9">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4C44835B">
            <w:pPr>
              <w:pStyle w:val="26"/>
              <w:bidi w:val="0"/>
              <w:rPr>
                <w:color w:val="auto"/>
                <w:lang w:val="en-US" w:eastAsia="zh-CN"/>
              </w:rPr>
            </w:pPr>
          </w:p>
        </w:tc>
        <w:tc>
          <w:tcPr>
            <w:tcW w:w="777" w:type="dxa"/>
            <w:tcMar>
              <w:top w:w="0" w:type="dxa"/>
              <w:left w:w="0" w:type="dxa"/>
              <w:bottom w:w="0" w:type="dxa"/>
              <w:right w:w="0" w:type="dxa"/>
            </w:tcMar>
            <w:vAlign w:val="center"/>
          </w:tcPr>
          <w:p w14:paraId="2280EEFE">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106B15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211B6E9">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481F1C6">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041F553F">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4CA590CD">
            <w:pPr>
              <w:pStyle w:val="26"/>
              <w:bidi w:val="0"/>
              <w:rPr>
                <w:color w:val="auto"/>
                <w:lang w:val="en-US" w:eastAsia="zh-CN"/>
              </w:rPr>
            </w:pPr>
          </w:p>
        </w:tc>
        <w:tc>
          <w:tcPr>
            <w:tcW w:w="988" w:type="dxa"/>
            <w:vMerge w:val="continue"/>
            <w:vAlign w:val="center"/>
          </w:tcPr>
          <w:p w14:paraId="7CCE5633">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2984133">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35B17479">
            <w:pPr>
              <w:pStyle w:val="26"/>
              <w:bidi w:val="0"/>
              <w:rPr>
                <w:color w:val="auto"/>
                <w:lang w:val="en-US" w:eastAsia="zh-CN"/>
              </w:rPr>
            </w:pPr>
            <w:r>
              <w:rPr>
                <w:color w:val="auto"/>
                <w:lang w:val="en-US" w:eastAsia="zh-CN"/>
              </w:rPr>
              <w:t>1</w:t>
            </w:r>
          </w:p>
        </w:tc>
      </w:tr>
      <w:tr w14:paraId="480C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5EE0318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21</w:t>
            </w:r>
          </w:p>
        </w:tc>
        <w:tc>
          <w:tcPr>
            <w:tcW w:w="749" w:type="dxa"/>
            <w:vMerge w:val="continue"/>
            <w:vAlign w:val="center"/>
          </w:tcPr>
          <w:p w14:paraId="6665823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D2C6C3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双头焊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37B1ED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54kW</w:t>
            </w:r>
          </w:p>
        </w:tc>
        <w:tc>
          <w:tcPr>
            <w:tcW w:w="755" w:type="dxa"/>
            <w:shd w:val="clear" w:color="auto" w:fill="auto"/>
            <w:tcMar>
              <w:top w:w="0" w:type="dxa"/>
              <w:left w:w="0" w:type="dxa"/>
              <w:bottom w:w="0" w:type="dxa"/>
              <w:right w:w="0" w:type="dxa"/>
            </w:tcMar>
            <w:vAlign w:val="center"/>
          </w:tcPr>
          <w:p w14:paraId="19E4517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672802F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796370AB">
            <w:pPr>
              <w:pStyle w:val="26"/>
              <w:bidi w:val="0"/>
              <w:rPr>
                <w:color w:val="auto"/>
                <w:lang w:val="en-US" w:eastAsia="zh-CN"/>
              </w:rPr>
            </w:pPr>
          </w:p>
        </w:tc>
        <w:tc>
          <w:tcPr>
            <w:tcW w:w="777" w:type="dxa"/>
            <w:tcMar>
              <w:top w:w="0" w:type="dxa"/>
              <w:left w:w="0" w:type="dxa"/>
              <w:bottom w:w="0" w:type="dxa"/>
              <w:right w:w="0" w:type="dxa"/>
            </w:tcMar>
            <w:vAlign w:val="center"/>
          </w:tcPr>
          <w:p w14:paraId="1EEAD3BE">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54662C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3B04CC72">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0E716C52">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E99E1A2">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615F3D17">
            <w:pPr>
              <w:pStyle w:val="26"/>
              <w:bidi w:val="0"/>
              <w:rPr>
                <w:color w:val="auto"/>
                <w:lang w:val="en-US" w:eastAsia="zh-CN"/>
              </w:rPr>
            </w:pPr>
          </w:p>
        </w:tc>
        <w:tc>
          <w:tcPr>
            <w:tcW w:w="988" w:type="dxa"/>
            <w:vMerge w:val="continue"/>
            <w:vAlign w:val="center"/>
          </w:tcPr>
          <w:p w14:paraId="6AFB3325">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0BA99FC">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4BA3E91F">
            <w:pPr>
              <w:pStyle w:val="26"/>
              <w:bidi w:val="0"/>
              <w:rPr>
                <w:color w:val="auto"/>
                <w:lang w:val="en-US" w:eastAsia="zh-CN"/>
              </w:rPr>
            </w:pPr>
            <w:r>
              <w:rPr>
                <w:color w:val="auto"/>
                <w:lang w:val="en-US" w:eastAsia="zh-CN"/>
              </w:rPr>
              <w:t>1</w:t>
            </w:r>
          </w:p>
        </w:tc>
      </w:tr>
      <w:tr w14:paraId="24CC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567BC4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22</w:t>
            </w:r>
          </w:p>
        </w:tc>
        <w:tc>
          <w:tcPr>
            <w:tcW w:w="749" w:type="dxa"/>
            <w:vMerge w:val="continue"/>
            <w:vAlign w:val="center"/>
          </w:tcPr>
          <w:p w14:paraId="23D1A3A5">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B4F667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拉床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7E3261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7.5kW</w:t>
            </w:r>
          </w:p>
        </w:tc>
        <w:tc>
          <w:tcPr>
            <w:tcW w:w="755" w:type="dxa"/>
            <w:shd w:val="clear" w:color="auto" w:fill="auto"/>
            <w:tcMar>
              <w:top w:w="0" w:type="dxa"/>
              <w:left w:w="0" w:type="dxa"/>
              <w:bottom w:w="0" w:type="dxa"/>
              <w:right w:w="0" w:type="dxa"/>
            </w:tcMar>
            <w:vAlign w:val="center"/>
          </w:tcPr>
          <w:p w14:paraId="06FCAED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6C7A18C6">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2989C86E">
            <w:pPr>
              <w:pStyle w:val="26"/>
              <w:bidi w:val="0"/>
              <w:rPr>
                <w:color w:val="auto"/>
                <w:lang w:val="en-US" w:eastAsia="zh-CN"/>
              </w:rPr>
            </w:pPr>
          </w:p>
        </w:tc>
        <w:tc>
          <w:tcPr>
            <w:tcW w:w="777" w:type="dxa"/>
            <w:tcMar>
              <w:top w:w="0" w:type="dxa"/>
              <w:left w:w="0" w:type="dxa"/>
              <w:bottom w:w="0" w:type="dxa"/>
              <w:right w:w="0" w:type="dxa"/>
            </w:tcMar>
            <w:vAlign w:val="center"/>
          </w:tcPr>
          <w:p w14:paraId="71D70BB0">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A2871FB">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11AFFE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036808D0">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28F7304">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0640739E">
            <w:pPr>
              <w:pStyle w:val="26"/>
              <w:bidi w:val="0"/>
              <w:rPr>
                <w:color w:val="auto"/>
                <w:lang w:val="en-US" w:eastAsia="zh-CN"/>
              </w:rPr>
            </w:pPr>
          </w:p>
        </w:tc>
        <w:tc>
          <w:tcPr>
            <w:tcW w:w="988" w:type="dxa"/>
            <w:vMerge w:val="continue"/>
            <w:vAlign w:val="center"/>
          </w:tcPr>
          <w:p w14:paraId="3BB3C253">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9F86F77">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3E09614A">
            <w:pPr>
              <w:pStyle w:val="26"/>
              <w:bidi w:val="0"/>
              <w:rPr>
                <w:color w:val="auto"/>
                <w:lang w:val="en-US" w:eastAsia="zh-CN"/>
              </w:rPr>
            </w:pPr>
            <w:r>
              <w:rPr>
                <w:color w:val="auto"/>
                <w:lang w:val="en-US" w:eastAsia="zh-CN"/>
              </w:rPr>
              <w:t>1</w:t>
            </w:r>
          </w:p>
        </w:tc>
      </w:tr>
      <w:tr w14:paraId="2EDB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3E45F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23</w:t>
            </w:r>
          </w:p>
        </w:tc>
        <w:tc>
          <w:tcPr>
            <w:tcW w:w="749" w:type="dxa"/>
            <w:vMerge w:val="continue"/>
            <w:vAlign w:val="center"/>
          </w:tcPr>
          <w:p w14:paraId="65CDE15E">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6A5B7C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镗床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D9D723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30kW</w:t>
            </w:r>
          </w:p>
        </w:tc>
        <w:tc>
          <w:tcPr>
            <w:tcW w:w="755" w:type="dxa"/>
            <w:shd w:val="clear" w:color="auto" w:fill="auto"/>
            <w:tcMar>
              <w:top w:w="0" w:type="dxa"/>
              <w:left w:w="0" w:type="dxa"/>
              <w:bottom w:w="0" w:type="dxa"/>
              <w:right w:w="0" w:type="dxa"/>
            </w:tcMar>
            <w:vAlign w:val="center"/>
          </w:tcPr>
          <w:p w14:paraId="5816050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3</w:t>
            </w:r>
          </w:p>
        </w:tc>
        <w:tc>
          <w:tcPr>
            <w:tcW w:w="1134" w:type="dxa"/>
            <w:shd w:val="clear" w:color="auto" w:fill="auto"/>
            <w:tcMar>
              <w:top w:w="0" w:type="dxa"/>
              <w:left w:w="0" w:type="dxa"/>
              <w:bottom w:w="0" w:type="dxa"/>
              <w:right w:w="0" w:type="dxa"/>
            </w:tcMar>
            <w:vAlign w:val="center"/>
          </w:tcPr>
          <w:p w14:paraId="7B7345A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4E0FE9DE">
            <w:pPr>
              <w:pStyle w:val="26"/>
              <w:bidi w:val="0"/>
              <w:rPr>
                <w:color w:val="auto"/>
                <w:lang w:val="en-US" w:eastAsia="zh-CN"/>
              </w:rPr>
            </w:pPr>
          </w:p>
        </w:tc>
        <w:tc>
          <w:tcPr>
            <w:tcW w:w="777" w:type="dxa"/>
            <w:tcMar>
              <w:top w:w="0" w:type="dxa"/>
              <w:left w:w="0" w:type="dxa"/>
              <w:bottom w:w="0" w:type="dxa"/>
              <w:right w:w="0" w:type="dxa"/>
            </w:tcMar>
            <w:vAlign w:val="center"/>
          </w:tcPr>
          <w:p w14:paraId="52BCC88B">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B24AC37">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98B1221">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2DB6B8BD">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87903E0">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725FEFD8">
            <w:pPr>
              <w:pStyle w:val="26"/>
              <w:bidi w:val="0"/>
              <w:rPr>
                <w:color w:val="auto"/>
                <w:lang w:val="en-US" w:eastAsia="zh-CN"/>
              </w:rPr>
            </w:pPr>
          </w:p>
        </w:tc>
        <w:tc>
          <w:tcPr>
            <w:tcW w:w="988" w:type="dxa"/>
            <w:vMerge w:val="continue"/>
            <w:vAlign w:val="center"/>
          </w:tcPr>
          <w:p w14:paraId="10143188">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CE2FFD7">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5E17C327">
            <w:pPr>
              <w:pStyle w:val="26"/>
              <w:bidi w:val="0"/>
              <w:rPr>
                <w:color w:val="auto"/>
                <w:lang w:val="en-US" w:eastAsia="zh-CN"/>
              </w:rPr>
            </w:pPr>
            <w:r>
              <w:rPr>
                <w:color w:val="auto"/>
                <w:lang w:val="en-US" w:eastAsia="zh-CN"/>
              </w:rPr>
              <w:t>1</w:t>
            </w:r>
          </w:p>
        </w:tc>
      </w:tr>
      <w:tr w14:paraId="1047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AE7390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24</w:t>
            </w:r>
          </w:p>
        </w:tc>
        <w:tc>
          <w:tcPr>
            <w:tcW w:w="749" w:type="dxa"/>
            <w:vMerge w:val="continue"/>
            <w:vAlign w:val="center"/>
          </w:tcPr>
          <w:p w14:paraId="47AB323C">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517BF0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车堵机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B6569D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20kW</w:t>
            </w:r>
          </w:p>
        </w:tc>
        <w:tc>
          <w:tcPr>
            <w:tcW w:w="755" w:type="dxa"/>
            <w:shd w:val="clear" w:color="auto" w:fill="auto"/>
            <w:tcMar>
              <w:top w:w="0" w:type="dxa"/>
              <w:left w:w="0" w:type="dxa"/>
              <w:bottom w:w="0" w:type="dxa"/>
              <w:right w:w="0" w:type="dxa"/>
            </w:tcMar>
            <w:vAlign w:val="center"/>
          </w:tcPr>
          <w:p w14:paraId="66BE7C2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33962E8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3309FC4D">
            <w:pPr>
              <w:pStyle w:val="26"/>
              <w:bidi w:val="0"/>
              <w:rPr>
                <w:color w:val="auto"/>
                <w:lang w:val="en-US" w:eastAsia="zh-CN"/>
              </w:rPr>
            </w:pPr>
          </w:p>
        </w:tc>
        <w:tc>
          <w:tcPr>
            <w:tcW w:w="777" w:type="dxa"/>
            <w:tcMar>
              <w:top w:w="0" w:type="dxa"/>
              <w:left w:w="0" w:type="dxa"/>
              <w:bottom w:w="0" w:type="dxa"/>
              <w:right w:w="0" w:type="dxa"/>
            </w:tcMar>
            <w:vAlign w:val="center"/>
          </w:tcPr>
          <w:p w14:paraId="1A196811">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19A177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74A0052">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C46CA01">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E4F7CD2">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4F7C4AF2">
            <w:pPr>
              <w:pStyle w:val="26"/>
              <w:bidi w:val="0"/>
              <w:rPr>
                <w:color w:val="auto"/>
                <w:lang w:val="en-US" w:eastAsia="zh-CN"/>
              </w:rPr>
            </w:pPr>
          </w:p>
        </w:tc>
        <w:tc>
          <w:tcPr>
            <w:tcW w:w="988" w:type="dxa"/>
            <w:vMerge w:val="continue"/>
            <w:vAlign w:val="center"/>
          </w:tcPr>
          <w:p w14:paraId="6FF50E65">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52F30A9">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1C26ADDF">
            <w:pPr>
              <w:pStyle w:val="26"/>
              <w:bidi w:val="0"/>
              <w:rPr>
                <w:color w:val="auto"/>
                <w:lang w:val="en-US" w:eastAsia="zh-CN"/>
              </w:rPr>
            </w:pPr>
            <w:r>
              <w:rPr>
                <w:color w:val="auto"/>
                <w:lang w:val="en-US" w:eastAsia="zh-CN"/>
              </w:rPr>
              <w:t>1</w:t>
            </w:r>
          </w:p>
        </w:tc>
      </w:tr>
      <w:tr w14:paraId="3D5B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0CED05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25</w:t>
            </w:r>
          </w:p>
        </w:tc>
        <w:tc>
          <w:tcPr>
            <w:tcW w:w="749" w:type="dxa"/>
            <w:vMerge w:val="continue"/>
            <w:vAlign w:val="center"/>
          </w:tcPr>
          <w:p w14:paraId="094ED4B8">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1953E2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斜床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E8C204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35kW</w:t>
            </w:r>
          </w:p>
        </w:tc>
        <w:tc>
          <w:tcPr>
            <w:tcW w:w="755" w:type="dxa"/>
            <w:shd w:val="clear" w:color="auto" w:fill="auto"/>
            <w:tcMar>
              <w:top w:w="0" w:type="dxa"/>
              <w:left w:w="0" w:type="dxa"/>
              <w:bottom w:w="0" w:type="dxa"/>
              <w:right w:w="0" w:type="dxa"/>
            </w:tcMar>
            <w:vAlign w:val="center"/>
          </w:tcPr>
          <w:p w14:paraId="197EE52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49B637AA">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55DE6268">
            <w:pPr>
              <w:pStyle w:val="26"/>
              <w:bidi w:val="0"/>
              <w:rPr>
                <w:color w:val="auto"/>
                <w:lang w:val="en-US" w:eastAsia="zh-CN"/>
              </w:rPr>
            </w:pPr>
          </w:p>
        </w:tc>
        <w:tc>
          <w:tcPr>
            <w:tcW w:w="777" w:type="dxa"/>
            <w:tcMar>
              <w:top w:w="0" w:type="dxa"/>
              <w:left w:w="0" w:type="dxa"/>
              <w:bottom w:w="0" w:type="dxa"/>
              <w:right w:w="0" w:type="dxa"/>
            </w:tcMar>
            <w:vAlign w:val="center"/>
          </w:tcPr>
          <w:p w14:paraId="19E260DC">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6E60EDE">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3CCECAB1">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08F767D7">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DDE251A">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615745B5">
            <w:pPr>
              <w:pStyle w:val="26"/>
              <w:bidi w:val="0"/>
              <w:rPr>
                <w:color w:val="auto"/>
                <w:lang w:val="en-US" w:eastAsia="zh-CN"/>
              </w:rPr>
            </w:pPr>
          </w:p>
        </w:tc>
        <w:tc>
          <w:tcPr>
            <w:tcW w:w="988" w:type="dxa"/>
            <w:vMerge w:val="continue"/>
            <w:vAlign w:val="center"/>
          </w:tcPr>
          <w:p w14:paraId="3C6917BA">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E0B80F1">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52532DCA">
            <w:pPr>
              <w:pStyle w:val="26"/>
              <w:bidi w:val="0"/>
              <w:rPr>
                <w:color w:val="auto"/>
                <w:lang w:val="en-US" w:eastAsia="zh-CN"/>
              </w:rPr>
            </w:pPr>
            <w:r>
              <w:rPr>
                <w:color w:val="auto"/>
                <w:lang w:val="en-US" w:eastAsia="zh-CN"/>
              </w:rPr>
              <w:t>1</w:t>
            </w:r>
          </w:p>
        </w:tc>
      </w:tr>
      <w:tr w14:paraId="5EC4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74C08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26</w:t>
            </w:r>
          </w:p>
        </w:tc>
        <w:tc>
          <w:tcPr>
            <w:tcW w:w="749" w:type="dxa"/>
            <w:vMerge w:val="continue"/>
            <w:vAlign w:val="center"/>
          </w:tcPr>
          <w:p w14:paraId="777D6AD6">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D7573C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打号机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BC4F33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3kW</w:t>
            </w:r>
          </w:p>
        </w:tc>
        <w:tc>
          <w:tcPr>
            <w:tcW w:w="755" w:type="dxa"/>
            <w:shd w:val="clear" w:color="auto" w:fill="auto"/>
            <w:tcMar>
              <w:top w:w="0" w:type="dxa"/>
              <w:left w:w="0" w:type="dxa"/>
              <w:bottom w:w="0" w:type="dxa"/>
              <w:right w:w="0" w:type="dxa"/>
            </w:tcMar>
            <w:vAlign w:val="center"/>
          </w:tcPr>
          <w:p w14:paraId="7953546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6</w:t>
            </w:r>
          </w:p>
        </w:tc>
        <w:tc>
          <w:tcPr>
            <w:tcW w:w="1134" w:type="dxa"/>
            <w:shd w:val="clear" w:color="auto" w:fill="auto"/>
            <w:tcMar>
              <w:top w:w="0" w:type="dxa"/>
              <w:left w:w="0" w:type="dxa"/>
              <w:bottom w:w="0" w:type="dxa"/>
              <w:right w:w="0" w:type="dxa"/>
            </w:tcMar>
            <w:vAlign w:val="center"/>
          </w:tcPr>
          <w:p w14:paraId="5B7E61C3">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1E679DE4">
            <w:pPr>
              <w:pStyle w:val="26"/>
              <w:bidi w:val="0"/>
              <w:rPr>
                <w:color w:val="auto"/>
                <w:lang w:val="en-US" w:eastAsia="zh-CN"/>
              </w:rPr>
            </w:pPr>
          </w:p>
        </w:tc>
        <w:tc>
          <w:tcPr>
            <w:tcW w:w="777" w:type="dxa"/>
            <w:tcMar>
              <w:top w:w="0" w:type="dxa"/>
              <w:left w:w="0" w:type="dxa"/>
              <w:bottom w:w="0" w:type="dxa"/>
              <w:right w:w="0" w:type="dxa"/>
            </w:tcMar>
            <w:vAlign w:val="center"/>
          </w:tcPr>
          <w:p w14:paraId="6D90FD00">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3BAB861">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E5505F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4D4FC789">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E61DE95">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10FE6419">
            <w:pPr>
              <w:pStyle w:val="26"/>
              <w:bidi w:val="0"/>
              <w:rPr>
                <w:color w:val="auto"/>
                <w:lang w:val="en-US" w:eastAsia="zh-CN"/>
              </w:rPr>
            </w:pPr>
          </w:p>
        </w:tc>
        <w:tc>
          <w:tcPr>
            <w:tcW w:w="988" w:type="dxa"/>
            <w:vMerge w:val="continue"/>
            <w:vAlign w:val="center"/>
          </w:tcPr>
          <w:p w14:paraId="0A94BAAC">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4F449F8">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5EB5D10C">
            <w:pPr>
              <w:pStyle w:val="26"/>
              <w:bidi w:val="0"/>
              <w:rPr>
                <w:color w:val="auto"/>
                <w:lang w:val="en-US" w:eastAsia="zh-CN"/>
              </w:rPr>
            </w:pPr>
            <w:r>
              <w:rPr>
                <w:color w:val="auto"/>
                <w:lang w:val="en-US" w:eastAsia="zh-CN"/>
              </w:rPr>
              <w:t>1</w:t>
            </w:r>
          </w:p>
        </w:tc>
      </w:tr>
      <w:tr w14:paraId="3090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1FE78D5">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27</w:t>
            </w:r>
          </w:p>
        </w:tc>
        <w:tc>
          <w:tcPr>
            <w:tcW w:w="749" w:type="dxa"/>
            <w:vMerge w:val="continue"/>
            <w:vAlign w:val="center"/>
          </w:tcPr>
          <w:p w14:paraId="3371D75D">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FFEDCC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动平衡</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2FF2F6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4kW</w:t>
            </w:r>
          </w:p>
        </w:tc>
        <w:tc>
          <w:tcPr>
            <w:tcW w:w="755" w:type="dxa"/>
            <w:shd w:val="clear" w:color="auto" w:fill="auto"/>
            <w:tcMar>
              <w:top w:w="0" w:type="dxa"/>
              <w:left w:w="0" w:type="dxa"/>
              <w:bottom w:w="0" w:type="dxa"/>
              <w:right w:w="0" w:type="dxa"/>
            </w:tcMar>
            <w:vAlign w:val="center"/>
          </w:tcPr>
          <w:p w14:paraId="6252F2D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47A24BE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13ED1668">
            <w:pPr>
              <w:pStyle w:val="26"/>
              <w:bidi w:val="0"/>
              <w:rPr>
                <w:color w:val="auto"/>
                <w:lang w:val="en-US" w:eastAsia="zh-CN"/>
              </w:rPr>
            </w:pPr>
          </w:p>
        </w:tc>
        <w:tc>
          <w:tcPr>
            <w:tcW w:w="777" w:type="dxa"/>
            <w:tcMar>
              <w:top w:w="0" w:type="dxa"/>
              <w:left w:w="0" w:type="dxa"/>
              <w:bottom w:w="0" w:type="dxa"/>
              <w:right w:w="0" w:type="dxa"/>
            </w:tcMar>
            <w:vAlign w:val="center"/>
          </w:tcPr>
          <w:p w14:paraId="224490B8">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96C6D98">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386C03D">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580AD7F4">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47F81C0">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631329F4">
            <w:pPr>
              <w:pStyle w:val="26"/>
              <w:bidi w:val="0"/>
              <w:rPr>
                <w:color w:val="auto"/>
                <w:lang w:val="en-US" w:eastAsia="zh-CN"/>
              </w:rPr>
            </w:pPr>
          </w:p>
        </w:tc>
        <w:tc>
          <w:tcPr>
            <w:tcW w:w="988" w:type="dxa"/>
            <w:vMerge w:val="continue"/>
            <w:vAlign w:val="center"/>
          </w:tcPr>
          <w:p w14:paraId="76679CA0">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0E5B9A3">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633D44EE">
            <w:pPr>
              <w:pStyle w:val="26"/>
              <w:bidi w:val="0"/>
              <w:rPr>
                <w:color w:val="auto"/>
                <w:lang w:val="en-US" w:eastAsia="zh-CN"/>
              </w:rPr>
            </w:pPr>
            <w:r>
              <w:rPr>
                <w:color w:val="auto"/>
                <w:lang w:val="en-US" w:eastAsia="zh-CN"/>
              </w:rPr>
              <w:t>1</w:t>
            </w:r>
          </w:p>
        </w:tc>
      </w:tr>
      <w:tr w14:paraId="52C4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9BC59E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28</w:t>
            </w:r>
          </w:p>
        </w:tc>
        <w:tc>
          <w:tcPr>
            <w:tcW w:w="749" w:type="dxa"/>
            <w:vMerge w:val="continue"/>
            <w:vAlign w:val="center"/>
          </w:tcPr>
          <w:p w14:paraId="46704765">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FAA992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研磨机（</w:t>
            </w:r>
            <w:r>
              <w:rPr>
                <w:rFonts w:ascii="Times New Roman" w:hAnsi="Times New Roman" w:eastAsia="仿宋_GB2312" w:cs="Times New Roman"/>
                <w:color w:val="000000"/>
                <w:spacing w:val="-11"/>
                <w:kern w:val="0"/>
                <w:sz w:val="21"/>
                <w:szCs w:val="21"/>
                <w:highlight w:val="black"/>
                <w:lang w:val="en-US" w:eastAsia="zh-CN" w:bidi="ar-SA"/>
              </w:rPr>
              <w:t>钢研</w:t>
            </w:r>
            <w:r>
              <w:rPr>
                <w:rFonts w:hint="eastAsia" w:ascii="Times New Roman" w:hAnsi="Times New Roman" w:eastAsia="仿宋_GB2312" w:cs="Times New Roman"/>
                <w:color w:val="000000"/>
                <w:spacing w:val="-11"/>
                <w:kern w:val="0"/>
                <w:sz w:val="21"/>
                <w:szCs w:val="21"/>
                <w:highlight w:val="black"/>
                <w:lang w:val="en-US" w:eastAsia="zh-CN" w:bidi="ar-SA"/>
              </w:rPr>
              <w:t>）</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CAE44B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15kW</w:t>
            </w:r>
          </w:p>
        </w:tc>
        <w:tc>
          <w:tcPr>
            <w:tcW w:w="755" w:type="dxa"/>
            <w:shd w:val="clear" w:color="auto" w:fill="auto"/>
            <w:tcMar>
              <w:top w:w="0" w:type="dxa"/>
              <w:left w:w="0" w:type="dxa"/>
              <w:bottom w:w="0" w:type="dxa"/>
              <w:right w:w="0" w:type="dxa"/>
            </w:tcMar>
            <w:vAlign w:val="center"/>
          </w:tcPr>
          <w:p w14:paraId="1F4F02A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8</w:t>
            </w:r>
          </w:p>
        </w:tc>
        <w:tc>
          <w:tcPr>
            <w:tcW w:w="1134" w:type="dxa"/>
            <w:shd w:val="clear" w:color="auto" w:fill="auto"/>
            <w:tcMar>
              <w:top w:w="0" w:type="dxa"/>
              <w:left w:w="0" w:type="dxa"/>
              <w:bottom w:w="0" w:type="dxa"/>
              <w:right w:w="0" w:type="dxa"/>
            </w:tcMar>
            <w:vAlign w:val="center"/>
          </w:tcPr>
          <w:p w14:paraId="241D79E9">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427A0F17">
            <w:pPr>
              <w:pStyle w:val="26"/>
              <w:bidi w:val="0"/>
              <w:rPr>
                <w:color w:val="auto"/>
                <w:lang w:val="en-US" w:eastAsia="zh-CN"/>
              </w:rPr>
            </w:pPr>
          </w:p>
        </w:tc>
        <w:tc>
          <w:tcPr>
            <w:tcW w:w="777" w:type="dxa"/>
            <w:tcMar>
              <w:top w:w="0" w:type="dxa"/>
              <w:left w:w="0" w:type="dxa"/>
              <w:bottom w:w="0" w:type="dxa"/>
              <w:right w:w="0" w:type="dxa"/>
            </w:tcMar>
            <w:vAlign w:val="center"/>
          </w:tcPr>
          <w:p w14:paraId="26994165">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2EC5193D">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78B2985">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A3739D1">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DEBD747">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3C3E8A50">
            <w:pPr>
              <w:pStyle w:val="26"/>
              <w:bidi w:val="0"/>
              <w:rPr>
                <w:color w:val="auto"/>
                <w:lang w:val="en-US" w:eastAsia="zh-CN"/>
              </w:rPr>
            </w:pPr>
          </w:p>
        </w:tc>
        <w:tc>
          <w:tcPr>
            <w:tcW w:w="988" w:type="dxa"/>
            <w:vMerge w:val="continue"/>
            <w:vAlign w:val="center"/>
          </w:tcPr>
          <w:p w14:paraId="74D81255">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6F5B9A5">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55596EEB">
            <w:pPr>
              <w:pStyle w:val="26"/>
              <w:bidi w:val="0"/>
              <w:rPr>
                <w:color w:val="auto"/>
                <w:lang w:val="en-US" w:eastAsia="zh-CN"/>
              </w:rPr>
            </w:pPr>
            <w:r>
              <w:rPr>
                <w:color w:val="auto"/>
                <w:lang w:val="en-US" w:eastAsia="zh-CN"/>
              </w:rPr>
              <w:t>1</w:t>
            </w:r>
          </w:p>
        </w:tc>
      </w:tr>
      <w:tr w14:paraId="5972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2100A84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29</w:t>
            </w:r>
          </w:p>
        </w:tc>
        <w:tc>
          <w:tcPr>
            <w:tcW w:w="749" w:type="dxa"/>
            <w:vMerge w:val="continue"/>
            <w:vAlign w:val="center"/>
          </w:tcPr>
          <w:p w14:paraId="61C8C763">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15F6AC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激光切割机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2A3EA7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13kW</w:t>
            </w:r>
          </w:p>
        </w:tc>
        <w:tc>
          <w:tcPr>
            <w:tcW w:w="755" w:type="dxa"/>
            <w:shd w:val="clear" w:color="auto" w:fill="auto"/>
            <w:tcMar>
              <w:top w:w="0" w:type="dxa"/>
              <w:left w:w="0" w:type="dxa"/>
              <w:bottom w:w="0" w:type="dxa"/>
              <w:right w:w="0" w:type="dxa"/>
            </w:tcMar>
            <w:vAlign w:val="center"/>
          </w:tcPr>
          <w:p w14:paraId="7944748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651327F6">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360C181D">
            <w:pPr>
              <w:pStyle w:val="26"/>
              <w:bidi w:val="0"/>
              <w:rPr>
                <w:color w:val="auto"/>
                <w:lang w:val="en-US" w:eastAsia="zh-CN"/>
              </w:rPr>
            </w:pPr>
          </w:p>
        </w:tc>
        <w:tc>
          <w:tcPr>
            <w:tcW w:w="777" w:type="dxa"/>
            <w:tcMar>
              <w:top w:w="0" w:type="dxa"/>
              <w:left w:w="0" w:type="dxa"/>
              <w:bottom w:w="0" w:type="dxa"/>
              <w:right w:w="0" w:type="dxa"/>
            </w:tcMar>
            <w:vAlign w:val="center"/>
          </w:tcPr>
          <w:p w14:paraId="7398FB48">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0C5C202A">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414DD89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32724767">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329F832">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60182FF9">
            <w:pPr>
              <w:pStyle w:val="26"/>
              <w:bidi w:val="0"/>
              <w:rPr>
                <w:color w:val="auto"/>
                <w:lang w:val="en-US" w:eastAsia="zh-CN"/>
              </w:rPr>
            </w:pPr>
          </w:p>
        </w:tc>
        <w:tc>
          <w:tcPr>
            <w:tcW w:w="988" w:type="dxa"/>
            <w:vMerge w:val="continue"/>
            <w:vAlign w:val="center"/>
          </w:tcPr>
          <w:p w14:paraId="73570DB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835F55A">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4438353F">
            <w:pPr>
              <w:pStyle w:val="26"/>
              <w:bidi w:val="0"/>
              <w:rPr>
                <w:color w:val="auto"/>
                <w:lang w:val="en-US" w:eastAsia="zh-CN"/>
              </w:rPr>
            </w:pPr>
            <w:r>
              <w:rPr>
                <w:color w:val="auto"/>
                <w:lang w:val="en-US" w:eastAsia="zh-CN"/>
              </w:rPr>
              <w:t>1</w:t>
            </w:r>
          </w:p>
        </w:tc>
      </w:tr>
      <w:tr w14:paraId="1EFC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399FEF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30</w:t>
            </w:r>
          </w:p>
        </w:tc>
        <w:tc>
          <w:tcPr>
            <w:tcW w:w="749" w:type="dxa"/>
            <w:vMerge w:val="continue"/>
            <w:vAlign w:val="center"/>
          </w:tcPr>
          <w:p w14:paraId="5556F2E1">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F3CACE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卷板机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31A9A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18.5kW</w:t>
            </w:r>
          </w:p>
        </w:tc>
        <w:tc>
          <w:tcPr>
            <w:tcW w:w="755" w:type="dxa"/>
            <w:shd w:val="clear" w:color="auto" w:fill="auto"/>
            <w:tcMar>
              <w:top w:w="0" w:type="dxa"/>
              <w:left w:w="0" w:type="dxa"/>
              <w:bottom w:w="0" w:type="dxa"/>
              <w:right w:w="0" w:type="dxa"/>
            </w:tcMar>
            <w:vAlign w:val="center"/>
          </w:tcPr>
          <w:p w14:paraId="32648CE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4</w:t>
            </w:r>
          </w:p>
        </w:tc>
        <w:tc>
          <w:tcPr>
            <w:tcW w:w="1134" w:type="dxa"/>
            <w:shd w:val="clear" w:color="auto" w:fill="auto"/>
            <w:tcMar>
              <w:top w:w="0" w:type="dxa"/>
              <w:left w:w="0" w:type="dxa"/>
              <w:bottom w:w="0" w:type="dxa"/>
              <w:right w:w="0" w:type="dxa"/>
            </w:tcMar>
            <w:vAlign w:val="center"/>
          </w:tcPr>
          <w:p w14:paraId="12AB658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7DD99C27">
            <w:pPr>
              <w:pStyle w:val="26"/>
              <w:bidi w:val="0"/>
              <w:rPr>
                <w:color w:val="auto"/>
                <w:lang w:val="en-US" w:eastAsia="zh-CN"/>
              </w:rPr>
            </w:pPr>
          </w:p>
        </w:tc>
        <w:tc>
          <w:tcPr>
            <w:tcW w:w="777" w:type="dxa"/>
            <w:tcMar>
              <w:top w:w="0" w:type="dxa"/>
              <w:left w:w="0" w:type="dxa"/>
              <w:bottom w:w="0" w:type="dxa"/>
              <w:right w:w="0" w:type="dxa"/>
            </w:tcMar>
            <w:vAlign w:val="center"/>
          </w:tcPr>
          <w:p w14:paraId="6DE3F12A">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1A343557">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F6EE8AA">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53A74D86">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D3BBCE9">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538E42C8">
            <w:pPr>
              <w:pStyle w:val="26"/>
              <w:bidi w:val="0"/>
              <w:rPr>
                <w:color w:val="auto"/>
                <w:lang w:val="en-US" w:eastAsia="zh-CN"/>
              </w:rPr>
            </w:pPr>
          </w:p>
        </w:tc>
        <w:tc>
          <w:tcPr>
            <w:tcW w:w="988" w:type="dxa"/>
            <w:vMerge w:val="continue"/>
            <w:vAlign w:val="center"/>
          </w:tcPr>
          <w:p w14:paraId="61214031">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5117D2CB">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61E81B61">
            <w:pPr>
              <w:pStyle w:val="26"/>
              <w:bidi w:val="0"/>
              <w:rPr>
                <w:color w:val="auto"/>
                <w:lang w:val="en-US" w:eastAsia="zh-CN"/>
              </w:rPr>
            </w:pPr>
            <w:r>
              <w:rPr>
                <w:color w:val="auto"/>
                <w:lang w:val="en-US" w:eastAsia="zh-CN"/>
              </w:rPr>
              <w:t>1</w:t>
            </w:r>
          </w:p>
        </w:tc>
      </w:tr>
      <w:tr w14:paraId="180E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7593C2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31</w:t>
            </w:r>
          </w:p>
        </w:tc>
        <w:tc>
          <w:tcPr>
            <w:tcW w:w="749" w:type="dxa"/>
            <w:vMerge w:val="continue"/>
            <w:vAlign w:val="center"/>
          </w:tcPr>
          <w:p w14:paraId="3EA375A5">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21435A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激光焊机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8C12D9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6kW</w:t>
            </w:r>
          </w:p>
        </w:tc>
        <w:tc>
          <w:tcPr>
            <w:tcW w:w="755" w:type="dxa"/>
            <w:shd w:val="clear" w:color="auto" w:fill="auto"/>
            <w:tcMar>
              <w:top w:w="0" w:type="dxa"/>
              <w:left w:w="0" w:type="dxa"/>
              <w:bottom w:w="0" w:type="dxa"/>
              <w:right w:w="0" w:type="dxa"/>
            </w:tcMar>
            <w:vAlign w:val="center"/>
          </w:tcPr>
          <w:p w14:paraId="14C54E3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2</w:t>
            </w:r>
          </w:p>
        </w:tc>
        <w:tc>
          <w:tcPr>
            <w:tcW w:w="1134" w:type="dxa"/>
            <w:shd w:val="clear" w:color="auto" w:fill="auto"/>
            <w:tcMar>
              <w:top w:w="0" w:type="dxa"/>
              <w:left w:w="0" w:type="dxa"/>
              <w:bottom w:w="0" w:type="dxa"/>
              <w:right w:w="0" w:type="dxa"/>
            </w:tcMar>
            <w:vAlign w:val="center"/>
          </w:tcPr>
          <w:p w14:paraId="2B4F43B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1F4222B8">
            <w:pPr>
              <w:pStyle w:val="26"/>
              <w:bidi w:val="0"/>
              <w:rPr>
                <w:color w:val="auto"/>
                <w:lang w:val="en-US" w:eastAsia="zh-CN"/>
              </w:rPr>
            </w:pPr>
          </w:p>
        </w:tc>
        <w:tc>
          <w:tcPr>
            <w:tcW w:w="777" w:type="dxa"/>
            <w:tcMar>
              <w:top w:w="0" w:type="dxa"/>
              <w:left w:w="0" w:type="dxa"/>
              <w:bottom w:w="0" w:type="dxa"/>
              <w:right w:w="0" w:type="dxa"/>
            </w:tcMar>
            <w:vAlign w:val="center"/>
          </w:tcPr>
          <w:p w14:paraId="13BEA5B3">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58551947">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2B7D33A">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6AE4FDB">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D305C58">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18529916">
            <w:pPr>
              <w:pStyle w:val="26"/>
              <w:bidi w:val="0"/>
              <w:rPr>
                <w:color w:val="auto"/>
                <w:lang w:val="en-US" w:eastAsia="zh-CN"/>
              </w:rPr>
            </w:pPr>
          </w:p>
        </w:tc>
        <w:tc>
          <w:tcPr>
            <w:tcW w:w="988" w:type="dxa"/>
            <w:vMerge w:val="continue"/>
            <w:vAlign w:val="center"/>
          </w:tcPr>
          <w:p w14:paraId="47346A39">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7249B85">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5E928772">
            <w:pPr>
              <w:pStyle w:val="26"/>
              <w:bidi w:val="0"/>
              <w:rPr>
                <w:color w:val="auto"/>
                <w:lang w:val="en-US" w:eastAsia="zh-CN"/>
              </w:rPr>
            </w:pPr>
            <w:r>
              <w:rPr>
                <w:color w:val="auto"/>
                <w:lang w:val="en-US" w:eastAsia="zh-CN"/>
              </w:rPr>
              <w:t>1</w:t>
            </w:r>
          </w:p>
        </w:tc>
      </w:tr>
      <w:tr w14:paraId="680C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50D31A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32</w:t>
            </w:r>
          </w:p>
        </w:tc>
        <w:tc>
          <w:tcPr>
            <w:tcW w:w="749" w:type="dxa"/>
            <w:vMerge w:val="continue"/>
            <w:vAlign w:val="center"/>
          </w:tcPr>
          <w:p w14:paraId="4DCDABFD">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E364FE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ascii="Times New Roman" w:hAnsi="Times New Roman" w:eastAsia="仿宋_GB2312" w:cs="Times New Roman"/>
                <w:color w:val="000000"/>
                <w:spacing w:val="-11"/>
                <w:kern w:val="0"/>
                <w:sz w:val="21"/>
                <w:szCs w:val="21"/>
                <w:highlight w:val="black"/>
                <w:lang w:val="en-US" w:eastAsia="zh-CN" w:bidi="ar-SA"/>
              </w:rPr>
              <w:t>埋弧焊机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509D95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13kW</w:t>
            </w:r>
          </w:p>
        </w:tc>
        <w:tc>
          <w:tcPr>
            <w:tcW w:w="755" w:type="dxa"/>
            <w:shd w:val="clear" w:color="auto" w:fill="auto"/>
            <w:tcMar>
              <w:top w:w="0" w:type="dxa"/>
              <w:left w:w="0" w:type="dxa"/>
              <w:bottom w:w="0" w:type="dxa"/>
              <w:right w:w="0" w:type="dxa"/>
            </w:tcMar>
            <w:vAlign w:val="center"/>
          </w:tcPr>
          <w:p w14:paraId="5D5131F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51463224">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77869E01">
            <w:pPr>
              <w:pStyle w:val="26"/>
              <w:bidi w:val="0"/>
              <w:rPr>
                <w:color w:val="auto"/>
                <w:lang w:val="en-US" w:eastAsia="zh-CN"/>
              </w:rPr>
            </w:pPr>
          </w:p>
        </w:tc>
        <w:tc>
          <w:tcPr>
            <w:tcW w:w="777" w:type="dxa"/>
            <w:tcMar>
              <w:top w:w="0" w:type="dxa"/>
              <w:left w:w="0" w:type="dxa"/>
              <w:bottom w:w="0" w:type="dxa"/>
              <w:right w:w="0" w:type="dxa"/>
            </w:tcMar>
            <w:vAlign w:val="center"/>
          </w:tcPr>
          <w:p w14:paraId="4955B937">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AEF156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3C6A9EB4">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D59C4C4">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79EDC2C8">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4464E92D">
            <w:pPr>
              <w:pStyle w:val="26"/>
              <w:bidi w:val="0"/>
              <w:rPr>
                <w:color w:val="auto"/>
                <w:lang w:val="en-US" w:eastAsia="zh-CN"/>
              </w:rPr>
            </w:pPr>
          </w:p>
        </w:tc>
        <w:tc>
          <w:tcPr>
            <w:tcW w:w="988" w:type="dxa"/>
            <w:vMerge w:val="continue"/>
            <w:vAlign w:val="center"/>
          </w:tcPr>
          <w:p w14:paraId="05D30C34">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D2C7EF4">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43F9917D">
            <w:pPr>
              <w:pStyle w:val="26"/>
              <w:bidi w:val="0"/>
              <w:rPr>
                <w:color w:val="auto"/>
                <w:lang w:val="en-US" w:eastAsia="zh-CN"/>
              </w:rPr>
            </w:pPr>
            <w:r>
              <w:rPr>
                <w:color w:val="auto"/>
                <w:lang w:val="en-US" w:eastAsia="zh-CN"/>
              </w:rPr>
              <w:t>1</w:t>
            </w:r>
          </w:p>
        </w:tc>
      </w:tr>
      <w:tr w14:paraId="5913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C3123D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33</w:t>
            </w:r>
          </w:p>
        </w:tc>
        <w:tc>
          <w:tcPr>
            <w:tcW w:w="749" w:type="dxa"/>
            <w:vMerge w:val="continue"/>
            <w:vAlign w:val="center"/>
          </w:tcPr>
          <w:p w14:paraId="54BF3A2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4EAA1A0">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电镀线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D0B60CE">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w:t>
            </w:r>
          </w:p>
        </w:tc>
        <w:tc>
          <w:tcPr>
            <w:tcW w:w="755" w:type="dxa"/>
            <w:shd w:val="clear" w:color="auto" w:fill="auto"/>
            <w:tcMar>
              <w:top w:w="0" w:type="dxa"/>
              <w:left w:w="0" w:type="dxa"/>
              <w:bottom w:w="0" w:type="dxa"/>
              <w:right w:w="0" w:type="dxa"/>
            </w:tcMar>
            <w:vAlign w:val="center"/>
          </w:tcPr>
          <w:p w14:paraId="2F7795F8">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3</w:t>
            </w:r>
          </w:p>
        </w:tc>
        <w:tc>
          <w:tcPr>
            <w:tcW w:w="1134" w:type="dxa"/>
            <w:shd w:val="clear" w:color="auto" w:fill="auto"/>
            <w:tcMar>
              <w:top w:w="0" w:type="dxa"/>
              <w:left w:w="0" w:type="dxa"/>
              <w:bottom w:w="0" w:type="dxa"/>
              <w:right w:w="0" w:type="dxa"/>
            </w:tcMar>
            <w:vAlign w:val="center"/>
          </w:tcPr>
          <w:p w14:paraId="463280F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75</w:t>
            </w:r>
          </w:p>
        </w:tc>
        <w:tc>
          <w:tcPr>
            <w:tcW w:w="1141" w:type="dxa"/>
            <w:vMerge w:val="continue"/>
            <w:vAlign w:val="center"/>
          </w:tcPr>
          <w:p w14:paraId="0C105C6E">
            <w:pPr>
              <w:pStyle w:val="26"/>
              <w:bidi w:val="0"/>
              <w:rPr>
                <w:color w:val="auto"/>
                <w:lang w:val="en-US" w:eastAsia="zh-CN"/>
              </w:rPr>
            </w:pPr>
          </w:p>
        </w:tc>
        <w:tc>
          <w:tcPr>
            <w:tcW w:w="777" w:type="dxa"/>
            <w:tcMar>
              <w:top w:w="0" w:type="dxa"/>
              <w:left w:w="0" w:type="dxa"/>
              <w:bottom w:w="0" w:type="dxa"/>
              <w:right w:w="0" w:type="dxa"/>
            </w:tcMar>
            <w:vAlign w:val="center"/>
          </w:tcPr>
          <w:p w14:paraId="03132204">
            <w:pPr>
              <w:pStyle w:val="26"/>
              <w:bidi w:val="0"/>
              <w:rPr>
                <w:rFonts w:hint="default"/>
                <w:color w:val="auto"/>
                <w:highlight w:val="black"/>
                <w:lang w:val="en-US" w:eastAsia="zh-CN"/>
              </w:rPr>
            </w:pPr>
            <w:r>
              <w:rPr>
                <w:rFonts w:hint="eastAsia"/>
                <w:color w:val="auto"/>
                <w:highlight w:val="black"/>
                <w:lang w:val="en-US" w:eastAsia="zh-CN"/>
              </w:rPr>
              <w:t>50</w:t>
            </w:r>
          </w:p>
        </w:tc>
        <w:tc>
          <w:tcPr>
            <w:tcW w:w="776" w:type="dxa"/>
            <w:tcMar>
              <w:top w:w="0" w:type="dxa"/>
              <w:left w:w="0" w:type="dxa"/>
              <w:bottom w:w="0" w:type="dxa"/>
              <w:right w:w="0" w:type="dxa"/>
            </w:tcMar>
            <w:vAlign w:val="center"/>
          </w:tcPr>
          <w:p w14:paraId="7B174BAC">
            <w:pPr>
              <w:pStyle w:val="26"/>
              <w:bidi w:val="0"/>
              <w:rPr>
                <w:rFonts w:hint="default"/>
                <w:color w:val="auto"/>
                <w:highlight w:val="black"/>
                <w:lang w:val="en-US" w:eastAsia="zh-CN"/>
              </w:rPr>
            </w:pPr>
            <w:r>
              <w:rPr>
                <w:rFonts w:hint="eastAsia"/>
                <w:color w:val="auto"/>
                <w:highlight w:val="black"/>
                <w:lang w:val="en-US" w:eastAsia="zh-CN"/>
              </w:rPr>
              <w:t>35</w:t>
            </w:r>
          </w:p>
        </w:tc>
        <w:tc>
          <w:tcPr>
            <w:tcW w:w="778" w:type="dxa"/>
            <w:tcMar>
              <w:top w:w="0" w:type="dxa"/>
              <w:left w:w="0" w:type="dxa"/>
              <w:bottom w:w="0" w:type="dxa"/>
              <w:right w:w="0" w:type="dxa"/>
            </w:tcMar>
            <w:vAlign w:val="center"/>
          </w:tcPr>
          <w:p w14:paraId="2BB7177C">
            <w:pPr>
              <w:pStyle w:val="26"/>
              <w:bidi w:val="0"/>
              <w:rPr>
                <w:rFonts w:hint="default"/>
                <w:color w:val="auto"/>
                <w:highlight w:val="black"/>
                <w:lang w:val="en-US" w:eastAsia="zh-CN"/>
              </w:rPr>
            </w:pPr>
            <w:r>
              <w:rPr>
                <w:rFonts w:hint="eastAsia"/>
                <w:color w:val="auto"/>
                <w:highlight w:val="black"/>
                <w:lang w:val="en-US" w:eastAsia="zh-CN"/>
              </w:rPr>
              <w:t>20</w:t>
            </w:r>
          </w:p>
        </w:tc>
        <w:tc>
          <w:tcPr>
            <w:tcW w:w="800" w:type="dxa"/>
            <w:tcMar>
              <w:top w:w="0" w:type="dxa"/>
              <w:left w:w="0" w:type="dxa"/>
              <w:bottom w:w="0" w:type="dxa"/>
              <w:right w:w="0" w:type="dxa"/>
            </w:tcMar>
            <w:vAlign w:val="center"/>
          </w:tcPr>
          <w:p w14:paraId="23EEF030">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0DFF85B">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26BE552E">
            <w:pPr>
              <w:pStyle w:val="26"/>
              <w:bidi w:val="0"/>
              <w:rPr>
                <w:color w:val="auto"/>
                <w:lang w:val="en-US" w:eastAsia="zh-CN"/>
              </w:rPr>
            </w:pPr>
          </w:p>
        </w:tc>
        <w:tc>
          <w:tcPr>
            <w:tcW w:w="988" w:type="dxa"/>
            <w:vMerge w:val="continue"/>
            <w:vAlign w:val="center"/>
          </w:tcPr>
          <w:p w14:paraId="7430294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2E32F88">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4423A8A6">
            <w:pPr>
              <w:pStyle w:val="26"/>
              <w:bidi w:val="0"/>
              <w:rPr>
                <w:color w:val="auto"/>
                <w:lang w:val="en-US" w:eastAsia="zh-CN"/>
              </w:rPr>
            </w:pPr>
            <w:r>
              <w:rPr>
                <w:color w:val="auto"/>
                <w:lang w:val="en-US" w:eastAsia="zh-CN"/>
              </w:rPr>
              <w:t>1</w:t>
            </w:r>
          </w:p>
        </w:tc>
      </w:tr>
      <w:tr w14:paraId="255F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AC79BEB">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34</w:t>
            </w:r>
          </w:p>
        </w:tc>
        <w:tc>
          <w:tcPr>
            <w:tcW w:w="749" w:type="dxa"/>
            <w:vMerge w:val="continue"/>
            <w:vAlign w:val="center"/>
          </w:tcPr>
          <w:p w14:paraId="2C9980B0">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DE24FC6">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电镀线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3B6D183">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w:t>
            </w:r>
          </w:p>
        </w:tc>
        <w:tc>
          <w:tcPr>
            <w:tcW w:w="755" w:type="dxa"/>
            <w:shd w:val="clear" w:color="auto" w:fill="auto"/>
            <w:tcMar>
              <w:top w:w="0" w:type="dxa"/>
              <w:left w:w="0" w:type="dxa"/>
              <w:bottom w:w="0" w:type="dxa"/>
              <w:right w:w="0" w:type="dxa"/>
            </w:tcMar>
            <w:vAlign w:val="center"/>
          </w:tcPr>
          <w:p w14:paraId="37D2FC2F">
            <w:pPr>
              <w:pStyle w:val="26"/>
              <w:bidi w:val="0"/>
              <w:rPr>
                <w:rFonts w:hint="eastAsia" w:ascii="Times New Roman" w:hAnsi="Times New Roman" w:eastAsia="仿宋_GB2312" w:cs="Times New Roman"/>
                <w:color w:val="auto"/>
                <w:kern w:val="2"/>
                <w:sz w:val="21"/>
                <w:szCs w:val="22"/>
                <w:highlight w:val="black"/>
                <w:lang w:val="en-US" w:eastAsia="zh-CN" w:bidi="ar-SA"/>
              </w:rPr>
            </w:pPr>
            <w:r>
              <w:rPr>
                <w:rFonts w:hint="eastAsia"/>
                <w:color w:val="auto"/>
                <w:highlight w:val="black"/>
                <w:lang w:val="en-US" w:eastAsia="zh-CN"/>
              </w:rPr>
              <w:t>3</w:t>
            </w:r>
          </w:p>
        </w:tc>
        <w:tc>
          <w:tcPr>
            <w:tcW w:w="1134" w:type="dxa"/>
            <w:shd w:val="clear" w:color="auto" w:fill="auto"/>
            <w:tcMar>
              <w:top w:w="0" w:type="dxa"/>
              <w:left w:w="0" w:type="dxa"/>
              <w:bottom w:w="0" w:type="dxa"/>
              <w:right w:w="0" w:type="dxa"/>
            </w:tcMar>
            <w:vAlign w:val="center"/>
          </w:tcPr>
          <w:p w14:paraId="5597C3F9">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75</w:t>
            </w:r>
          </w:p>
        </w:tc>
        <w:tc>
          <w:tcPr>
            <w:tcW w:w="1141" w:type="dxa"/>
            <w:vMerge w:val="continue"/>
            <w:vAlign w:val="center"/>
          </w:tcPr>
          <w:p w14:paraId="2E573747">
            <w:pPr>
              <w:pStyle w:val="26"/>
              <w:bidi w:val="0"/>
              <w:rPr>
                <w:color w:val="auto"/>
                <w:lang w:val="en-US" w:eastAsia="zh-CN"/>
              </w:rPr>
            </w:pPr>
          </w:p>
        </w:tc>
        <w:tc>
          <w:tcPr>
            <w:tcW w:w="777" w:type="dxa"/>
            <w:tcMar>
              <w:top w:w="0" w:type="dxa"/>
              <w:left w:w="0" w:type="dxa"/>
              <w:bottom w:w="0" w:type="dxa"/>
              <w:right w:w="0" w:type="dxa"/>
            </w:tcMar>
            <w:vAlign w:val="center"/>
          </w:tcPr>
          <w:p w14:paraId="2D85586F">
            <w:pPr>
              <w:pStyle w:val="26"/>
              <w:bidi w:val="0"/>
              <w:rPr>
                <w:rFonts w:hint="default"/>
                <w:color w:val="auto"/>
                <w:highlight w:val="black"/>
                <w:lang w:val="en-US" w:eastAsia="zh-CN"/>
              </w:rPr>
            </w:pPr>
            <w:r>
              <w:rPr>
                <w:rFonts w:hint="eastAsia"/>
                <w:color w:val="auto"/>
                <w:highlight w:val="black"/>
                <w:lang w:val="en-US" w:eastAsia="zh-CN"/>
              </w:rPr>
              <w:t>50</w:t>
            </w:r>
          </w:p>
        </w:tc>
        <w:tc>
          <w:tcPr>
            <w:tcW w:w="776" w:type="dxa"/>
            <w:tcMar>
              <w:top w:w="0" w:type="dxa"/>
              <w:left w:w="0" w:type="dxa"/>
              <w:bottom w:w="0" w:type="dxa"/>
              <w:right w:w="0" w:type="dxa"/>
            </w:tcMar>
            <w:vAlign w:val="center"/>
          </w:tcPr>
          <w:p w14:paraId="236E17BE">
            <w:pPr>
              <w:pStyle w:val="26"/>
              <w:bidi w:val="0"/>
              <w:rPr>
                <w:rFonts w:hint="default"/>
                <w:color w:val="auto"/>
                <w:highlight w:val="black"/>
                <w:lang w:val="en-US" w:eastAsia="zh-CN"/>
              </w:rPr>
            </w:pPr>
            <w:r>
              <w:rPr>
                <w:rFonts w:hint="eastAsia"/>
                <w:color w:val="auto"/>
                <w:highlight w:val="black"/>
                <w:lang w:val="en-US" w:eastAsia="zh-CN"/>
              </w:rPr>
              <w:t>35</w:t>
            </w:r>
          </w:p>
        </w:tc>
        <w:tc>
          <w:tcPr>
            <w:tcW w:w="778" w:type="dxa"/>
            <w:tcMar>
              <w:top w:w="0" w:type="dxa"/>
              <w:left w:w="0" w:type="dxa"/>
              <w:bottom w:w="0" w:type="dxa"/>
              <w:right w:w="0" w:type="dxa"/>
            </w:tcMar>
            <w:vAlign w:val="center"/>
          </w:tcPr>
          <w:p w14:paraId="2AE5DC8E">
            <w:pPr>
              <w:pStyle w:val="26"/>
              <w:bidi w:val="0"/>
              <w:rPr>
                <w:rFonts w:hint="default"/>
                <w:color w:val="auto"/>
                <w:highlight w:val="black"/>
                <w:lang w:val="en-US" w:eastAsia="zh-CN"/>
              </w:rPr>
            </w:pPr>
            <w:r>
              <w:rPr>
                <w:rFonts w:hint="eastAsia"/>
                <w:color w:val="auto"/>
                <w:highlight w:val="black"/>
                <w:lang w:val="en-US" w:eastAsia="zh-CN"/>
              </w:rPr>
              <w:t>30</w:t>
            </w:r>
          </w:p>
        </w:tc>
        <w:tc>
          <w:tcPr>
            <w:tcW w:w="800" w:type="dxa"/>
            <w:tcMar>
              <w:top w:w="0" w:type="dxa"/>
              <w:left w:w="0" w:type="dxa"/>
              <w:bottom w:w="0" w:type="dxa"/>
              <w:right w:w="0" w:type="dxa"/>
            </w:tcMar>
            <w:vAlign w:val="center"/>
          </w:tcPr>
          <w:p w14:paraId="13F199DC">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C98F6FD">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1AA9FA6D">
            <w:pPr>
              <w:pStyle w:val="26"/>
              <w:bidi w:val="0"/>
              <w:rPr>
                <w:color w:val="auto"/>
                <w:lang w:val="en-US" w:eastAsia="zh-CN"/>
              </w:rPr>
            </w:pPr>
          </w:p>
        </w:tc>
        <w:tc>
          <w:tcPr>
            <w:tcW w:w="988" w:type="dxa"/>
            <w:vMerge w:val="continue"/>
            <w:vAlign w:val="center"/>
          </w:tcPr>
          <w:p w14:paraId="5218A536">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007DE4B1">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1B08CB01">
            <w:pPr>
              <w:pStyle w:val="26"/>
              <w:bidi w:val="0"/>
              <w:rPr>
                <w:color w:val="auto"/>
                <w:lang w:val="en-US" w:eastAsia="zh-CN"/>
              </w:rPr>
            </w:pPr>
            <w:r>
              <w:rPr>
                <w:color w:val="auto"/>
                <w:lang w:val="en-US" w:eastAsia="zh-CN"/>
              </w:rPr>
              <w:t>1</w:t>
            </w:r>
          </w:p>
        </w:tc>
      </w:tr>
      <w:tr w14:paraId="6C1A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6F2E6D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35</w:t>
            </w:r>
          </w:p>
        </w:tc>
        <w:tc>
          <w:tcPr>
            <w:tcW w:w="749" w:type="dxa"/>
            <w:vMerge w:val="continue"/>
            <w:vAlign w:val="center"/>
          </w:tcPr>
          <w:p w14:paraId="57D65B08">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AE1EFB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CNC机床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DC3C75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GVM</w:t>
            </w:r>
          </w:p>
        </w:tc>
        <w:tc>
          <w:tcPr>
            <w:tcW w:w="755" w:type="dxa"/>
            <w:shd w:val="clear" w:color="auto" w:fill="auto"/>
            <w:tcMar>
              <w:top w:w="0" w:type="dxa"/>
              <w:left w:w="0" w:type="dxa"/>
              <w:bottom w:w="0" w:type="dxa"/>
              <w:right w:w="0" w:type="dxa"/>
            </w:tcMar>
            <w:vAlign w:val="center"/>
          </w:tcPr>
          <w:p w14:paraId="22940C6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650900ED">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0FDE9F32">
            <w:pPr>
              <w:pStyle w:val="26"/>
              <w:bidi w:val="0"/>
              <w:rPr>
                <w:color w:val="auto"/>
                <w:lang w:val="en-US" w:eastAsia="zh-CN"/>
              </w:rPr>
            </w:pPr>
          </w:p>
        </w:tc>
        <w:tc>
          <w:tcPr>
            <w:tcW w:w="777" w:type="dxa"/>
            <w:tcMar>
              <w:top w:w="0" w:type="dxa"/>
              <w:left w:w="0" w:type="dxa"/>
              <w:bottom w:w="0" w:type="dxa"/>
              <w:right w:w="0" w:type="dxa"/>
            </w:tcMar>
            <w:vAlign w:val="center"/>
          </w:tcPr>
          <w:p w14:paraId="42FAD9BE">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103F103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A6C9A59">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40771B8C">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F99E051">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0EAE3D75">
            <w:pPr>
              <w:pStyle w:val="26"/>
              <w:bidi w:val="0"/>
              <w:rPr>
                <w:color w:val="auto"/>
                <w:lang w:val="en-US" w:eastAsia="zh-CN"/>
              </w:rPr>
            </w:pPr>
          </w:p>
        </w:tc>
        <w:tc>
          <w:tcPr>
            <w:tcW w:w="988" w:type="dxa"/>
            <w:vMerge w:val="continue"/>
            <w:vAlign w:val="center"/>
          </w:tcPr>
          <w:p w14:paraId="2861352D">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D08007C">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73F2B893">
            <w:pPr>
              <w:pStyle w:val="26"/>
              <w:bidi w:val="0"/>
              <w:rPr>
                <w:color w:val="auto"/>
                <w:lang w:val="en-US" w:eastAsia="zh-CN"/>
              </w:rPr>
            </w:pPr>
            <w:r>
              <w:rPr>
                <w:color w:val="auto"/>
                <w:lang w:val="en-US" w:eastAsia="zh-CN"/>
              </w:rPr>
              <w:t>1</w:t>
            </w:r>
          </w:p>
        </w:tc>
      </w:tr>
      <w:tr w14:paraId="0FAF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44D22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36</w:t>
            </w:r>
          </w:p>
        </w:tc>
        <w:tc>
          <w:tcPr>
            <w:tcW w:w="749" w:type="dxa"/>
            <w:vMerge w:val="continue"/>
            <w:vAlign w:val="center"/>
          </w:tcPr>
          <w:p w14:paraId="3D990100">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72D4E95">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CNC机床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FB50F1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QJM-C11</w:t>
            </w:r>
          </w:p>
        </w:tc>
        <w:tc>
          <w:tcPr>
            <w:tcW w:w="755" w:type="dxa"/>
            <w:shd w:val="clear" w:color="auto" w:fill="auto"/>
            <w:tcMar>
              <w:top w:w="0" w:type="dxa"/>
              <w:left w:w="0" w:type="dxa"/>
              <w:bottom w:w="0" w:type="dxa"/>
              <w:right w:w="0" w:type="dxa"/>
            </w:tcMar>
            <w:vAlign w:val="center"/>
          </w:tcPr>
          <w:p w14:paraId="28AE035A">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0ACAB03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16C2CA26">
            <w:pPr>
              <w:pStyle w:val="26"/>
              <w:bidi w:val="0"/>
              <w:rPr>
                <w:color w:val="auto"/>
                <w:lang w:val="en-US" w:eastAsia="zh-CN"/>
              </w:rPr>
            </w:pPr>
          </w:p>
        </w:tc>
        <w:tc>
          <w:tcPr>
            <w:tcW w:w="777" w:type="dxa"/>
            <w:tcMar>
              <w:top w:w="0" w:type="dxa"/>
              <w:left w:w="0" w:type="dxa"/>
              <w:bottom w:w="0" w:type="dxa"/>
              <w:right w:w="0" w:type="dxa"/>
            </w:tcMar>
            <w:vAlign w:val="center"/>
          </w:tcPr>
          <w:p w14:paraId="571F1351">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67CE0E61">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35360732">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7AC5A371">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0BA8A68">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4BDBEC77">
            <w:pPr>
              <w:pStyle w:val="26"/>
              <w:bidi w:val="0"/>
              <w:rPr>
                <w:color w:val="auto"/>
                <w:lang w:val="en-US" w:eastAsia="zh-CN"/>
              </w:rPr>
            </w:pPr>
          </w:p>
        </w:tc>
        <w:tc>
          <w:tcPr>
            <w:tcW w:w="988" w:type="dxa"/>
            <w:vMerge w:val="continue"/>
            <w:vAlign w:val="center"/>
          </w:tcPr>
          <w:p w14:paraId="13502C5B">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E9D5291">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41D03BE9">
            <w:pPr>
              <w:pStyle w:val="26"/>
              <w:bidi w:val="0"/>
              <w:rPr>
                <w:color w:val="auto"/>
                <w:lang w:val="en-US" w:eastAsia="zh-CN"/>
              </w:rPr>
            </w:pPr>
            <w:r>
              <w:rPr>
                <w:color w:val="auto"/>
                <w:lang w:val="en-US" w:eastAsia="zh-CN"/>
              </w:rPr>
              <w:t>1</w:t>
            </w:r>
          </w:p>
        </w:tc>
      </w:tr>
      <w:tr w14:paraId="3B24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5C4847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37</w:t>
            </w:r>
          </w:p>
        </w:tc>
        <w:tc>
          <w:tcPr>
            <w:tcW w:w="749" w:type="dxa"/>
            <w:vMerge w:val="continue"/>
            <w:vAlign w:val="center"/>
          </w:tcPr>
          <w:p w14:paraId="2B37DB2B">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87934E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激光加硬</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B909A5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STIEFELMAYER</w:t>
            </w:r>
          </w:p>
        </w:tc>
        <w:tc>
          <w:tcPr>
            <w:tcW w:w="755" w:type="dxa"/>
            <w:shd w:val="clear" w:color="auto" w:fill="auto"/>
            <w:tcMar>
              <w:top w:w="0" w:type="dxa"/>
              <w:left w:w="0" w:type="dxa"/>
              <w:bottom w:w="0" w:type="dxa"/>
              <w:right w:w="0" w:type="dxa"/>
            </w:tcMar>
            <w:vAlign w:val="center"/>
          </w:tcPr>
          <w:p w14:paraId="5931AAE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4EC2B555">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80</w:t>
            </w:r>
          </w:p>
        </w:tc>
        <w:tc>
          <w:tcPr>
            <w:tcW w:w="1141" w:type="dxa"/>
            <w:vMerge w:val="continue"/>
            <w:vAlign w:val="center"/>
          </w:tcPr>
          <w:p w14:paraId="7DBC5919">
            <w:pPr>
              <w:pStyle w:val="26"/>
              <w:bidi w:val="0"/>
              <w:rPr>
                <w:color w:val="auto"/>
                <w:lang w:val="en-US" w:eastAsia="zh-CN"/>
              </w:rPr>
            </w:pPr>
          </w:p>
        </w:tc>
        <w:tc>
          <w:tcPr>
            <w:tcW w:w="777" w:type="dxa"/>
            <w:tcMar>
              <w:top w:w="0" w:type="dxa"/>
              <w:left w:w="0" w:type="dxa"/>
              <w:bottom w:w="0" w:type="dxa"/>
              <w:right w:w="0" w:type="dxa"/>
            </w:tcMar>
            <w:vAlign w:val="center"/>
          </w:tcPr>
          <w:p w14:paraId="490E7C06">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623A4C7">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5347D56E">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379CA1DC">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6B9C715">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10A897AE">
            <w:pPr>
              <w:pStyle w:val="26"/>
              <w:bidi w:val="0"/>
              <w:rPr>
                <w:color w:val="auto"/>
                <w:lang w:val="en-US" w:eastAsia="zh-CN"/>
              </w:rPr>
            </w:pPr>
          </w:p>
        </w:tc>
        <w:tc>
          <w:tcPr>
            <w:tcW w:w="988" w:type="dxa"/>
            <w:vMerge w:val="continue"/>
            <w:vAlign w:val="center"/>
          </w:tcPr>
          <w:p w14:paraId="5F2C938A">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0B0ADE5">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1C5C8625">
            <w:pPr>
              <w:pStyle w:val="26"/>
              <w:bidi w:val="0"/>
              <w:rPr>
                <w:color w:val="auto"/>
                <w:lang w:val="en-US" w:eastAsia="zh-CN"/>
              </w:rPr>
            </w:pPr>
            <w:r>
              <w:rPr>
                <w:color w:val="auto"/>
                <w:lang w:val="en-US" w:eastAsia="zh-CN"/>
              </w:rPr>
              <w:t>1</w:t>
            </w:r>
          </w:p>
        </w:tc>
      </w:tr>
      <w:tr w14:paraId="5B6D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D0BDD9F">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38</w:t>
            </w:r>
          </w:p>
        </w:tc>
        <w:tc>
          <w:tcPr>
            <w:tcW w:w="749" w:type="dxa"/>
            <w:vMerge w:val="continue"/>
            <w:vAlign w:val="center"/>
          </w:tcPr>
          <w:p w14:paraId="21E021D2">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BF87D5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普通车床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8AA6A0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6150/1500</w:t>
            </w:r>
          </w:p>
        </w:tc>
        <w:tc>
          <w:tcPr>
            <w:tcW w:w="755" w:type="dxa"/>
            <w:shd w:val="clear" w:color="auto" w:fill="auto"/>
            <w:tcMar>
              <w:top w:w="0" w:type="dxa"/>
              <w:left w:w="0" w:type="dxa"/>
              <w:bottom w:w="0" w:type="dxa"/>
              <w:right w:w="0" w:type="dxa"/>
            </w:tcMar>
            <w:vAlign w:val="center"/>
          </w:tcPr>
          <w:p w14:paraId="0DC8EC7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09539E2F">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41363668">
            <w:pPr>
              <w:pStyle w:val="26"/>
              <w:bidi w:val="0"/>
              <w:rPr>
                <w:color w:val="auto"/>
                <w:lang w:val="en-US" w:eastAsia="zh-CN"/>
              </w:rPr>
            </w:pPr>
          </w:p>
        </w:tc>
        <w:tc>
          <w:tcPr>
            <w:tcW w:w="777" w:type="dxa"/>
            <w:tcMar>
              <w:top w:w="0" w:type="dxa"/>
              <w:left w:w="0" w:type="dxa"/>
              <w:bottom w:w="0" w:type="dxa"/>
              <w:right w:w="0" w:type="dxa"/>
            </w:tcMar>
            <w:vAlign w:val="center"/>
          </w:tcPr>
          <w:p w14:paraId="5BB456FF">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F652DDB">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5E3212E">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887BCC6">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1F7148C5">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35CCB336">
            <w:pPr>
              <w:pStyle w:val="26"/>
              <w:bidi w:val="0"/>
              <w:rPr>
                <w:color w:val="auto"/>
                <w:lang w:val="en-US" w:eastAsia="zh-CN"/>
              </w:rPr>
            </w:pPr>
          </w:p>
        </w:tc>
        <w:tc>
          <w:tcPr>
            <w:tcW w:w="988" w:type="dxa"/>
            <w:vMerge w:val="continue"/>
            <w:vAlign w:val="center"/>
          </w:tcPr>
          <w:p w14:paraId="14D776E0">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753BB513">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2B3C099A">
            <w:pPr>
              <w:pStyle w:val="26"/>
              <w:bidi w:val="0"/>
              <w:rPr>
                <w:color w:val="auto"/>
                <w:lang w:val="en-US" w:eastAsia="zh-CN"/>
              </w:rPr>
            </w:pPr>
            <w:r>
              <w:rPr>
                <w:color w:val="auto"/>
                <w:lang w:val="en-US" w:eastAsia="zh-CN"/>
              </w:rPr>
              <w:t>1</w:t>
            </w:r>
          </w:p>
        </w:tc>
      </w:tr>
      <w:tr w14:paraId="6D13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9AF8DBC">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39</w:t>
            </w:r>
          </w:p>
        </w:tc>
        <w:tc>
          <w:tcPr>
            <w:tcW w:w="749" w:type="dxa"/>
            <w:vMerge w:val="continue"/>
            <w:vAlign w:val="center"/>
          </w:tcPr>
          <w:p w14:paraId="796351FF">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0C014C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数控车床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59A427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6150/1500</w:t>
            </w:r>
          </w:p>
        </w:tc>
        <w:tc>
          <w:tcPr>
            <w:tcW w:w="755" w:type="dxa"/>
            <w:shd w:val="clear" w:color="auto" w:fill="auto"/>
            <w:tcMar>
              <w:top w:w="0" w:type="dxa"/>
              <w:left w:w="0" w:type="dxa"/>
              <w:bottom w:w="0" w:type="dxa"/>
              <w:right w:w="0" w:type="dxa"/>
            </w:tcMar>
            <w:vAlign w:val="center"/>
          </w:tcPr>
          <w:p w14:paraId="117A092A">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615D8690">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232AE170">
            <w:pPr>
              <w:pStyle w:val="26"/>
              <w:bidi w:val="0"/>
              <w:rPr>
                <w:color w:val="auto"/>
                <w:lang w:val="en-US" w:eastAsia="zh-CN"/>
              </w:rPr>
            </w:pPr>
          </w:p>
        </w:tc>
        <w:tc>
          <w:tcPr>
            <w:tcW w:w="777" w:type="dxa"/>
            <w:tcMar>
              <w:top w:w="0" w:type="dxa"/>
              <w:left w:w="0" w:type="dxa"/>
              <w:bottom w:w="0" w:type="dxa"/>
              <w:right w:w="0" w:type="dxa"/>
            </w:tcMar>
            <w:vAlign w:val="center"/>
          </w:tcPr>
          <w:p w14:paraId="55B098C5">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688C62F6">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5224F77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4999B7CD">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7D1CEF5A">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6C8E76AC">
            <w:pPr>
              <w:pStyle w:val="26"/>
              <w:bidi w:val="0"/>
              <w:rPr>
                <w:color w:val="auto"/>
                <w:lang w:val="en-US" w:eastAsia="zh-CN"/>
              </w:rPr>
            </w:pPr>
          </w:p>
        </w:tc>
        <w:tc>
          <w:tcPr>
            <w:tcW w:w="988" w:type="dxa"/>
            <w:vMerge w:val="continue"/>
            <w:vAlign w:val="center"/>
          </w:tcPr>
          <w:p w14:paraId="158BD7AA">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0FB14C3">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7677CD5B">
            <w:pPr>
              <w:pStyle w:val="26"/>
              <w:bidi w:val="0"/>
              <w:rPr>
                <w:color w:val="auto"/>
                <w:lang w:val="en-US" w:eastAsia="zh-CN"/>
              </w:rPr>
            </w:pPr>
            <w:r>
              <w:rPr>
                <w:color w:val="auto"/>
                <w:lang w:val="en-US" w:eastAsia="zh-CN"/>
              </w:rPr>
              <w:t>1</w:t>
            </w:r>
          </w:p>
        </w:tc>
      </w:tr>
      <w:tr w14:paraId="5215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4BC366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40</w:t>
            </w:r>
          </w:p>
        </w:tc>
        <w:tc>
          <w:tcPr>
            <w:tcW w:w="749" w:type="dxa"/>
            <w:vMerge w:val="continue"/>
            <w:vAlign w:val="center"/>
          </w:tcPr>
          <w:p w14:paraId="4D88052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992F13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CNC</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2C66AA6">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1060</w:t>
            </w:r>
          </w:p>
        </w:tc>
        <w:tc>
          <w:tcPr>
            <w:tcW w:w="755" w:type="dxa"/>
            <w:shd w:val="clear" w:color="auto" w:fill="auto"/>
            <w:tcMar>
              <w:top w:w="0" w:type="dxa"/>
              <w:left w:w="0" w:type="dxa"/>
              <w:bottom w:w="0" w:type="dxa"/>
              <w:right w:w="0" w:type="dxa"/>
            </w:tcMar>
            <w:vAlign w:val="center"/>
          </w:tcPr>
          <w:p w14:paraId="5EC59C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19AEAD2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3789F2E4">
            <w:pPr>
              <w:pStyle w:val="26"/>
              <w:bidi w:val="0"/>
              <w:rPr>
                <w:color w:val="auto"/>
                <w:lang w:val="en-US" w:eastAsia="zh-CN"/>
              </w:rPr>
            </w:pPr>
          </w:p>
        </w:tc>
        <w:tc>
          <w:tcPr>
            <w:tcW w:w="777" w:type="dxa"/>
            <w:tcMar>
              <w:top w:w="0" w:type="dxa"/>
              <w:left w:w="0" w:type="dxa"/>
              <w:bottom w:w="0" w:type="dxa"/>
              <w:right w:w="0" w:type="dxa"/>
            </w:tcMar>
            <w:vAlign w:val="center"/>
          </w:tcPr>
          <w:p w14:paraId="76781DD0">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0BB533F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070FF4AE">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FA3F444">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14155EF">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023B4D66">
            <w:pPr>
              <w:pStyle w:val="26"/>
              <w:bidi w:val="0"/>
              <w:rPr>
                <w:color w:val="auto"/>
                <w:lang w:val="en-US" w:eastAsia="zh-CN"/>
              </w:rPr>
            </w:pPr>
          </w:p>
        </w:tc>
        <w:tc>
          <w:tcPr>
            <w:tcW w:w="988" w:type="dxa"/>
            <w:vMerge w:val="continue"/>
            <w:vAlign w:val="center"/>
          </w:tcPr>
          <w:p w14:paraId="339A6B9D">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551D87E6">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67BC1712">
            <w:pPr>
              <w:pStyle w:val="26"/>
              <w:bidi w:val="0"/>
              <w:rPr>
                <w:color w:val="auto"/>
                <w:lang w:val="en-US" w:eastAsia="zh-CN"/>
              </w:rPr>
            </w:pPr>
            <w:r>
              <w:rPr>
                <w:color w:val="auto"/>
                <w:lang w:val="en-US" w:eastAsia="zh-CN"/>
              </w:rPr>
              <w:t>1</w:t>
            </w:r>
          </w:p>
        </w:tc>
      </w:tr>
      <w:tr w14:paraId="2EA7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A34668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41</w:t>
            </w:r>
          </w:p>
        </w:tc>
        <w:tc>
          <w:tcPr>
            <w:tcW w:w="749" w:type="dxa"/>
            <w:vMerge w:val="continue"/>
            <w:vAlign w:val="center"/>
          </w:tcPr>
          <w:p w14:paraId="2EF6664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D1422BF">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外圆磨床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E76E59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M1332B</w:t>
            </w:r>
          </w:p>
        </w:tc>
        <w:tc>
          <w:tcPr>
            <w:tcW w:w="755" w:type="dxa"/>
            <w:shd w:val="clear" w:color="auto" w:fill="auto"/>
            <w:tcMar>
              <w:top w:w="0" w:type="dxa"/>
              <w:left w:w="0" w:type="dxa"/>
              <w:bottom w:w="0" w:type="dxa"/>
              <w:right w:w="0" w:type="dxa"/>
            </w:tcMar>
            <w:vAlign w:val="center"/>
          </w:tcPr>
          <w:p w14:paraId="33DF18B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12B95ED8">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5E233370">
            <w:pPr>
              <w:pStyle w:val="26"/>
              <w:bidi w:val="0"/>
              <w:rPr>
                <w:color w:val="auto"/>
                <w:lang w:val="en-US" w:eastAsia="zh-CN"/>
              </w:rPr>
            </w:pPr>
          </w:p>
        </w:tc>
        <w:tc>
          <w:tcPr>
            <w:tcW w:w="777" w:type="dxa"/>
            <w:tcMar>
              <w:top w:w="0" w:type="dxa"/>
              <w:left w:w="0" w:type="dxa"/>
              <w:bottom w:w="0" w:type="dxa"/>
              <w:right w:w="0" w:type="dxa"/>
            </w:tcMar>
            <w:vAlign w:val="center"/>
          </w:tcPr>
          <w:p w14:paraId="4C532545">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69E30562">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6DB626DD">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5DF4C10">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2120CEB6">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4EB61A43">
            <w:pPr>
              <w:pStyle w:val="26"/>
              <w:bidi w:val="0"/>
              <w:rPr>
                <w:color w:val="auto"/>
                <w:lang w:val="en-US" w:eastAsia="zh-CN"/>
              </w:rPr>
            </w:pPr>
          </w:p>
        </w:tc>
        <w:tc>
          <w:tcPr>
            <w:tcW w:w="988" w:type="dxa"/>
            <w:vMerge w:val="continue"/>
            <w:vAlign w:val="center"/>
          </w:tcPr>
          <w:p w14:paraId="028470DC">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0F040A4F">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2A6A9B4B">
            <w:pPr>
              <w:pStyle w:val="26"/>
              <w:bidi w:val="0"/>
              <w:rPr>
                <w:color w:val="auto"/>
                <w:lang w:val="en-US" w:eastAsia="zh-CN"/>
              </w:rPr>
            </w:pPr>
            <w:r>
              <w:rPr>
                <w:color w:val="auto"/>
                <w:lang w:val="en-US" w:eastAsia="zh-CN"/>
              </w:rPr>
              <w:t>1</w:t>
            </w:r>
          </w:p>
        </w:tc>
      </w:tr>
      <w:tr w14:paraId="3EDF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9231E1A">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42</w:t>
            </w:r>
          </w:p>
        </w:tc>
        <w:tc>
          <w:tcPr>
            <w:tcW w:w="749" w:type="dxa"/>
            <w:vMerge w:val="continue"/>
            <w:vAlign w:val="center"/>
          </w:tcPr>
          <w:p w14:paraId="15481A75">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E0D35C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外圆磨床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EB59D63">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MM1332B</w:t>
            </w:r>
          </w:p>
        </w:tc>
        <w:tc>
          <w:tcPr>
            <w:tcW w:w="755" w:type="dxa"/>
            <w:shd w:val="clear" w:color="auto" w:fill="auto"/>
            <w:tcMar>
              <w:top w:w="0" w:type="dxa"/>
              <w:left w:w="0" w:type="dxa"/>
              <w:bottom w:w="0" w:type="dxa"/>
              <w:right w:w="0" w:type="dxa"/>
            </w:tcMar>
            <w:vAlign w:val="center"/>
          </w:tcPr>
          <w:p w14:paraId="137AC28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2E9FB4CC">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5D05B533">
            <w:pPr>
              <w:pStyle w:val="26"/>
              <w:bidi w:val="0"/>
              <w:rPr>
                <w:color w:val="auto"/>
                <w:lang w:val="en-US" w:eastAsia="zh-CN"/>
              </w:rPr>
            </w:pPr>
          </w:p>
        </w:tc>
        <w:tc>
          <w:tcPr>
            <w:tcW w:w="777" w:type="dxa"/>
            <w:tcMar>
              <w:top w:w="0" w:type="dxa"/>
              <w:left w:w="0" w:type="dxa"/>
              <w:bottom w:w="0" w:type="dxa"/>
              <w:right w:w="0" w:type="dxa"/>
            </w:tcMar>
            <w:vAlign w:val="center"/>
          </w:tcPr>
          <w:p w14:paraId="148F98BB">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476BE4C1">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697A568">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1118AD4F">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06FEA9B5">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1171245D">
            <w:pPr>
              <w:pStyle w:val="26"/>
              <w:bidi w:val="0"/>
              <w:rPr>
                <w:color w:val="auto"/>
                <w:lang w:val="en-US" w:eastAsia="zh-CN"/>
              </w:rPr>
            </w:pPr>
          </w:p>
        </w:tc>
        <w:tc>
          <w:tcPr>
            <w:tcW w:w="988" w:type="dxa"/>
            <w:vMerge w:val="continue"/>
            <w:vAlign w:val="center"/>
          </w:tcPr>
          <w:p w14:paraId="1C35841F">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6BC66FA6">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1A828BCF">
            <w:pPr>
              <w:pStyle w:val="26"/>
              <w:bidi w:val="0"/>
              <w:rPr>
                <w:color w:val="auto"/>
                <w:lang w:val="en-US" w:eastAsia="zh-CN"/>
              </w:rPr>
            </w:pPr>
            <w:r>
              <w:rPr>
                <w:color w:val="auto"/>
                <w:lang w:val="en-US" w:eastAsia="zh-CN"/>
              </w:rPr>
              <w:t>1</w:t>
            </w:r>
          </w:p>
        </w:tc>
      </w:tr>
      <w:tr w14:paraId="5072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0F444063">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43</w:t>
            </w:r>
          </w:p>
        </w:tc>
        <w:tc>
          <w:tcPr>
            <w:tcW w:w="749" w:type="dxa"/>
            <w:vMerge w:val="continue"/>
            <w:vAlign w:val="center"/>
          </w:tcPr>
          <w:p w14:paraId="7CAF6777">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139CB8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铣床</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DB28E3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5号</w:t>
            </w:r>
          </w:p>
        </w:tc>
        <w:tc>
          <w:tcPr>
            <w:tcW w:w="755" w:type="dxa"/>
            <w:shd w:val="clear" w:color="auto" w:fill="auto"/>
            <w:tcMar>
              <w:top w:w="0" w:type="dxa"/>
              <w:left w:w="0" w:type="dxa"/>
              <w:bottom w:w="0" w:type="dxa"/>
              <w:right w:w="0" w:type="dxa"/>
            </w:tcMar>
            <w:vAlign w:val="center"/>
          </w:tcPr>
          <w:p w14:paraId="6D088BE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6697B3B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85</w:t>
            </w:r>
          </w:p>
        </w:tc>
        <w:tc>
          <w:tcPr>
            <w:tcW w:w="1141" w:type="dxa"/>
            <w:vMerge w:val="continue"/>
            <w:vAlign w:val="center"/>
          </w:tcPr>
          <w:p w14:paraId="7893BEC4">
            <w:pPr>
              <w:pStyle w:val="26"/>
              <w:bidi w:val="0"/>
              <w:rPr>
                <w:color w:val="auto"/>
                <w:lang w:val="en-US" w:eastAsia="zh-CN"/>
              </w:rPr>
            </w:pPr>
          </w:p>
        </w:tc>
        <w:tc>
          <w:tcPr>
            <w:tcW w:w="777" w:type="dxa"/>
            <w:tcMar>
              <w:top w:w="0" w:type="dxa"/>
              <w:left w:w="0" w:type="dxa"/>
              <w:bottom w:w="0" w:type="dxa"/>
              <w:right w:w="0" w:type="dxa"/>
            </w:tcMar>
            <w:vAlign w:val="center"/>
          </w:tcPr>
          <w:p w14:paraId="333843C2">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0086B85A">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4314CA16">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686F23EC">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C9A15F2">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39949442">
            <w:pPr>
              <w:pStyle w:val="26"/>
              <w:bidi w:val="0"/>
              <w:rPr>
                <w:color w:val="auto"/>
                <w:lang w:val="en-US" w:eastAsia="zh-CN"/>
              </w:rPr>
            </w:pPr>
          </w:p>
        </w:tc>
        <w:tc>
          <w:tcPr>
            <w:tcW w:w="988" w:type="dxa"/>
            <w:vMerge w:val="continue"/>
            <w:vAlign w:val="center"/>
          </w:tcPr>
          <w:p w14:paraId="3145BC67">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FB5E79B">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65FEAE9A">
            <w:pPr>
              <w:pStyle w:val="26"/>
              <w:bidi w:val="0"/>
              <w:rPr>
                <w:color w:val="auto"/>
                <w:lang w:val="en-US" w:eastAsia="zh-CN"/>
              </w:rPr>
            </w:pPr>
            <w:r>
              <w:rPr>
                <w:color w:val="auto"/>
                <w:lang w:val="en-US" w:eastAsia="zh-CN"/>
              </w:rPr>
              <w:t>1</w:t>
            </w:r>
          </w:p>
        </w:tc>
      </w:tr>
      <w:tr w14:paraId="52BD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14DB69F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44</w:t>
            </w:r>
          </w:p>
        </w:tc>
        <w:tc>
          <w:tcPr>
            <w:tcW w:w="749" w:type="dxa"/>
            <w:vMerge w:val="continue"/>
            <w:vAlign w:val="center"/>
          </w:tcPr>
          <w:p w14:paraId="4496E0A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E6578E5">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平面磨</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top"/>
          </w:tcPr>
          <w:p w14:paraId="50AA41E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冈本PSG106CAIQ</w:t>
            </w:r>
          </w:p>
        </w:tc>
        <w:tc>
          <w:tcPr>
            <w:tcW w:w="755" w:type="dxa"/>
            <w:shd w:val="clear" w:color="auto" w:fill="auto"/>
            <w:tcMar>
              <w:top w:w="0" w:type="dxa"/>
              <w:left w:w="0" w:type="dxa"/>
              <w:bottom w:w="0" w:type="dxa"/>
              <w:right w:w="0" w:type="dxa"/>
            </w:tcMar>
            <w:vAlign w:val="center"/>
          </w:tcPr>
          <w:p w14:paraId="20E45EC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58127AE8">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85</w:t>
            </w:r>
          </w:p>
        </w:tc>
        <w:tc>
          <w:tcPr>
            <w:tcW w:w="1141" w:type="dxa"/>
            <w:vMerge w:val="continue"/>
            <w:vAlign w:val="center"/>
          </w:tcPr>
          <w:p w14:paraId="5AF15B92">
            <w:pPr>
              <w:pStyle w:val="26"/>
              <w:bidi w:val="0"/>
              <w:rPr>
                <w:color w:val="auto"/>
                <w:lang w:val="en-US" w:eastAsia="zh-CN"/>
              </w:rPr>
            </w:pPr>
          </w:p>
        </w:tc>
        <w:tc>
          <w:tcPr>
            <w:tcW w:w="777" w:type="dxa"/>
            <w:tcMar>
              <w:top w:w="0" w:type="dxa"/>
              <w:left w:w="0" w:type="dxa"/>
              <w:bottom w:w="0" w:type="dxa"/>
              <w:right w:w="0" w:type="dxa"/>
            </w:tcMar>
            <w:vAlign w:val="center"/>
          </w:tcPr>
          <w:p w14:paraId="5418AB57">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63A0625">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7303E1A0">
            <w:pPr>
              <w:pStyle w:val="26"/>
              <w:bidi w:val="0"/>
              <w:rPr>
                <w:rFonts w:hint="eastAsia"/>
                <w:color w:val="auto"/>
                <w:highlight w:val="black"/>
                <w:lang w:val="en-US" w:eastAsia="zh-CN"/>
              </w:rPr>
            </w:pPr>
            <w:r>
              <w:rPr>
                <w:rFonts w:hint="eastAsia"/>
                <w:color w:val="auto"/>
                <w:highlight w:val="black"/>
                <w:lang w:val="en-US" w:eastAsia="zh-CN"/>
              </w:rPr>
              <w:t>1</w:t>
            </w:r>
          </w:p>
        </w:tc>
        <w:tc>
          <w:tcPr>
            <w:tcW w:w="800" w:type="dxa"/>
            <w:tcMar>
              <w:top w:w="0" w:type="dxa"/>
              <w:left w:w="0" w:type="dxa"/>
              <w:bottom w:w="0" w:type="dxa"/>
              <w:right w:w="0" w:type="dxa"/>
            </w:tcMar>
            <w:vAlign w:val="center"/>
          </w:tcPr>
          <w:p w14:paraId="03AECC4F">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48B67497">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6568E595">
            <w:pPr>
              <w:pStyle w:val="26"/>
              <w:bidi w:val="0"/>
              <w:rPr>
                <w:color w:val="auto"/>
                <w:lang w:val="en-US" w:eastAsia="zh-CN"/>
              </w:rPr>
            </w:pPr>
          </w:p>
        </w:tc>
        <w:tc>
          <w:tcPr>
            <w:tcW w:w="988" w:type="dxa"/>
            <w:vMerge w:val="continue"/>
            <w:vAlign w:val="center"/>
          </w:tcPr>
          <w:p w14:paraId="70B6CBC7">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0AC2D2FD">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33894467">
            <w:pPr>
              <w:pStyle w:val="26"/>
              <w:bidi w:val="0"/>
              <w:rPr>
                <w:color w:val="auto"/>
                <w:lang w:val="en-US" w:eastAsia="zh-CN"/>
              </w:rPr>
            </w:pPr>
            <w:r>
              <w:rPr>
                <w:color w:val="auto"/>
                <w:lang w:val="en-US" w:eastAsia="zh-CN"/>
              </w:rPr>
              <w:t>1</w:t>
            </w:r>
          </w:p>
        </w:tc>
      </w:tr>
      <w:tr w14:paraId="5708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2ADA1D0">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45</w:t>
            </w:r>
          </w:p>
        </w:tc>
        <w:tc>
          <w:tcPr>
            <w:tcW w:w="749" w:type="dxa"/>
            <w:vMerge w:val="continue"/>
            <w:vAlign w:val="center"/>
          </w:tcPr>
          <w:p w14:paraId="26C0256C">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D72B1B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空压机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top"/>
          </w:tcPr>
          <w:p w14:paraId="265C24D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捷豹</w:t>
            </w:r>
          </w:p>
        </w:tc>
        <w:tc>
          <w:tcPr>
            <w:tcW w:w="755" w:type="dxa"/>
            <w:shd w:val="clear" w:color="auto" w:fill="auto"/>
            <w:tcMar>
              <w:top w:w="0" w:type="dxa"/>
              <w:left w:w="0" w:type="dxa"/>
              <w:bottom w:w="0" w:type="dxa"/>
              <w:right w:w="0" w:type="dxa"/>
            </w:tcMar>
            <w:vAlign w:val="center"/>
          </w:tcPr>
          <w:p w14:paraId="7ED789C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0FA04C37">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85</w:t>
            </w:r>
          </w:p>
        </w:tc>
        <w:tc>
          <w:tcPr>
            <w:tcW w:w="1141" w:type="dxa"/>
            <w:vMerge w:val="continue"/>
            <w:vAlign w:val="center"/>
          </w:tcPr>
          <w:p w14:paraId="2D2A2B3E">
            <w:pPr>
              <w:pStyle w:val="26"/>
              <w:bidi w:val="0"/>
              <w:rPr>
                <w:color w:val="auto"/>
                <w:lang w:val="en-US" w:eastAsia="zh-CN"/>
              </w:rPr>
            </w:pPr>
          </w:p>
        </w:tc>
        <w:tc>
          <w:tcPr>
            <w:tcW w:w="777" w:type="dxa"/>
            <w:tcMar>
              <w:top w:w="0" w:type="dxa"/>
              <w:left w:w="0" w:type="dxa"/>
              <w:bottom w:w="0" w:type="dxa"/>
              <w:right w:w="0" w:type="dxa"/>
            </w:tcMar>
            <w:vAlign w:val="center"/>
          </w:tcPr>
          <w:p w14:paraId="473B45B2">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02C47034">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7262E431">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327E22FB">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C8736E5">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64173EE2">
            <w:pPr>
              <w:pStyle w:val="26"/>
              <w:bidi w:val="0"/>
              <w:rPr>
                <w:color w:val="auto"/>
                <w:lang w:val="en-US" w:eastAsia="zh-CN"/>
              </w:rPr>
            </w:pPr>
          </w:p>
        </w:tc>
        <w:tc>
          <w:tcPr>
            <w:tcW w:w="988" w:type="dxa"/>
            <w:vMerge w:val="continue"/>
            <w:vAlign w:val="center"/>
          </w:tcPr>
          <w:p w14:paraId="12979C5E">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88CB5A7">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09361853">
            <w:pPr>
              <w:pStyle w:val="26"/>
              <w:bidi w:val="0"/>
              <w:rPr>
                <w:color w:val="auto"/>
                <w:lang w:val="en-US" w:eastAsia="zh-CN"/>
              </w:rPr>
            </w:pPr>
            <w:r>
              <w:rPr>
                <w:color w:val="auto"/>
                <w:lang w:val="en-US" w:eastAsia="zh-CN"/>
              </w:rPr>
              <w:t>1</w:t>
            </w:r>
          </w:p>
        </w:tc>
      </w:tr>
      <w:tr w14:paraId="4F11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42874A91">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46</w:t>
            </w:r>
          </w:p>
        </w:tc>
        <w:tc>
          <w:tcPr>
            <w:tcW w:w="749" w:type="dxa"/>
            <w:vMerge w:val="continue"/>
            <w:vAlign w:val="center"/>
          </w:tcPr>
          <w:p w14:paraId="279432B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3D348C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超声波清洗机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top"/>
          </w:tcPr>
          <w:p w14:paraId="145161B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755" w:type="dxa"/>
            <w:shd w:val="clear" w:color="auto" w:fill="auto"/>
            <w:tcMar>
              <w:top w:w="0" w:type="dxa"/>
              <w:left w:w="0" w:type="dxa"/>
              <w:bottom w:w="0" w:type="dxa"/>
              <w:right w:w="0" w:type="dxa"/>
            </w:tcMar>
            <w:vAlign w:val="center"/>
          </w:tcPr>
          <w:p w14:paraId="63FCC57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303E3C8D">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80</w:t>
            </w:r>
          </w:p>
        </w:tc>
        <w:tc>
          <w:tcPr>
            <w:tcW w:w="1141" w:type="dxa"/>
            <w:vMerge w:val="continue"/>
            <w:vAlign w:val="center"/>
          </w:tcPr>
          <w:p w14:paraId="78198B38">
            <w:pPr>
              <w:pStyle w:val="26"/>
              <w:bidi w:val="0"/>
              <w:rPr>
                <w:color w:val="auto"/>
                <w:lang w:val="en-US" w:eastAsia="zh-CN"/>
              </w:rPr>
            </w:pPr>
          </w:p>
        </w:tc>
        <w:tc>
          <w:tcPr>
            <w:tcW w:w="777" w:type="dxa"/>
            <w:tcMar>
              <w:top w:w="0" w:type="dxa"/>
              <w:left w:w="0" w:type="dxa"/>
              <w:bottom w:w="0" w:type="dxa"/>
              <w:right w:w="0" w:type="dxa"/>
            </w:tcMar>
            <w:vAlign w:val="center"/>
          </w:tcPr>
          <w:p w14:paraId="106A4AF2">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C57BC71">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73917A5D">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189DD70C">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73A711A">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29A1423B">
            <w:pPr>
              <w:pStyle w:val="26"/>
              <w:bidi w:val="0"/>
              <w:rPr>
                <w:color w:val="auto"/>
                <w:lang w:val="en-US" w:eastAsia="zh-CN"/>
              </w:rPr>
            </w:pPr>
          </w:p>
        </w:tc>
        <w:tc>
          <w:tcPr>
            <w:tcW w:w="988" w:type="dxa"/>
            <w:vMerge w:val="continue"/>
            <w:vAlign w:val="center"/>
          </w:tcPr>
          <w:p w14:paraId="4C30239E">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323D1BC0">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5049173D">
            <w:pPr>
              <w:pStyle w:val="26"/>
              <w:bidi w:val="0"/>
              <w:rPr>
                <w:color w:val="auto"/>
                <w:lang w:val="en-US" w:eastAsia="zh-CN"/>
              </w:rPr>
            </w:pPr>
            <w:r>
              <w:rPr>
                <w:color w:val="auto"/>
                <w:lang w:val="en-US" w:eastAsia="zh-CN"/>
              </w:rPr>
              <w:t>1</w:t>
            </w:r>
          </w:p>
        </w:tc>
      </w:tr>
      <w:tr w14:paraId="7CB5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2549B808">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47</w:t>
            </w:r>
          </w:p>
        </w:tc>
        <w:tc>
          <w:tcPr>
            <w:tcW w:w="749" w:type="dxa"/>
            <w:vMerge w:val="continue"/>
            <w:vAlign w:val="center"/>
          </w:tcPr>
          <w:p w14:paraId="3A7875FA">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E8CDB0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电动裁板机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top"/>
          </w:tcPr>
          <w:p w14:paraId="02D6F85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755" w:type="dxa"/>
            <w:shd w:val="clear" w:color="auto" w:fill="auto"/>
            <w:tcMar>
              <w:top w:w="0" w:type="dxa"/>
              <w:left w:w="0" w:type="dxa"/>
              <w:bottom w:w="0" w:type="dxa"/>
              <w:right w:w="0" w:type="dxa"/>
            </w:tcMar>
            <w:vAlign w:val="center"/>
          </w:tcPr>
          <w:p w14:paraId="651347B4">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01882DB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85</w:t>
            </w:r>
          </w:p>
        </w:tc>
        <w:tc>
          <w:tcPr>
            <w:tcW w:w="1141" w:type="dxa"/>
            <w:vMerge w:val="continue"/>
            <w:vAlign w:val="center"/>
          </w:tcPr>
          <w:p w14:paraId="7F290051">
            <w:pPr>
              <w:pStyle w:val="26"/>
              <w:bidi w:val="0"/>
              <w:rPr>
                <w:color w:val="auto"/>
                <w:lang w:val="en-US" w:eastAsia="zh-CN"/>
              </w:rPr>
            </w:pPr>
          </w:p>
        </w:tc>
        <w:tc>
          <w:tcPr>
            <w:tcW w:w="777" w:type="dxa"/>
            <w:tcMar>
              <w:top w:w="0" w:type="dxa"/>
              <w:left w:w="0" w:type="dxa"/>
              <w:bottom w:w="0" w:type="dxa"/>
              <w:right w:w="0" w:type="dxa"/>
            </w:tcMar>
            <w:vAlign w:val="center"/>
          </w:tcPr>
          <w:p w14:paraId="726EEDCE">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6E02730A">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523B00D3">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5F314809">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32B3511F">
            <w:pPr>
              <w:pStyle w:val="26"/>
              <w:bidi w:val="0"/>
              <w:rPr>
                <w:rFonts w:hint="default"/>
                <w:lang w:val="en-US" w:eastAsia="zh-CN"/>
              </w:rPr>
            </w:pPr>
            <w:r>
              <w:rPr>
                <w:rFonts w:hint="eastAsia"/>
                <w:lang w:val="en-US" w:eastAsia="zh-CN"/>
              </w:rPr>
              <w:t xml:space="preserve">69.0 </w:t>
            </w:r>
          </w:p>
        </w:tc>
        <w:tc>
          <w:tcPr>
            <w:tcW w:w="566" w:type="dxa"/>
            <w:vMerge w:val="continue"/>
            <w:vAlign w:val="center"/>
          </w:tcPr>
          <w:p w14:paraId="4085F595">
            <w:pPr>
              <w:pStyle w:val="26"/>
              <w:bidi w:val="0"/>
              <w:rPr>
                <w:color w:val="auto"/>
                <w:lang w:val="en-US" w:eastAsia="zh-CN"/>
              </w:rPr>
            </w:pPr>
          </w:p>
        </w:tc>
        <w:tc>
          <w:tcPr>
            <w:tcW w:w="988" w:type="dxa"/>
            <w:vMerge w:val="continue"/>
            <w:vAlign w:val="center"/>
          </w:tcPr>
          <w:p w14:paraId="5C4DD49C">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49CF33F1">
            <w:pPr>
              <w:pStyle w:val="26"/>
              <w:bidi w:val="0"/>
              <w:rPr>
                <w:rFonts w:hint="default"/>
                <w:lang w:val="en-US" w:eastAsia="zh-CN"/>
              </w:rPr>
            </w:pPr>
            <w:r>
              <w:rPr>
                <w:rFonts w:hint="eastAsia"/>
                <w:lang w:val="en-US" w:eastAsia="zh-CN"/>
              </w:rPr>
              <w:t xml:space="preserve">44.0 </w:t>
            </w:r>
          </w:p>
        </w:tc>
        <w:tc>
          <w:tcPr>
            <w:tcW w:w="869" w:type="dxa"/>
            <w:tcMar>
              <w:top w:w="0" w:type="dxa"/>
              <w:left w:w="0" w:type="dxa"/>
              <w:bottom w:w="0" w:type="dxa"/>
              <w:right w:w="0" w:type="dxa"/>
            </w:tcMar>
            <w:vAlign w:val="center"/>
          </w:tcPr>
          <w:p w14:paraId="104861F0">
            <w:pPr>
              <w:pStyle w:val="26"/>
              <w:bidi w:val="0"/>
              <w:rPr>
                <w:color w:val="auto"/>
                <w:lang w:val="en-US" w:eastAsia="zh-CN"/>
              </w:rPr>
            </w:pPr>
            <w:r>
              <w:rPr>
                <w:color w:val="auto"/>
                <w:lang w:val="en-US" w:eastAsia="zh-CN"/>
              </w:rPr>
              <w:t>1</w:t>
            </w:r>
          </w:p>
        </w:tc>
      </w:tr>
      <w:tr w14:paraId="6A69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78A420D4">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48</w:t>
            </w:r>
          </w:p>
        </w:tc>
        <w:tc>
          <w:tcPr>
            <w:tcW w:w="749" w:type="dxa"/>
            <w:vMerge w:val="continue"/>
            <w:vAlign w:val="center"/>
          </w:tcPr>
          <w:p w14:paraId="0523AA84">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991AD4D">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手动裁板机</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top"/>
          </w:tcPr>
          <w:p w14:paraId="302AEB41">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定制</w:t>
            </w:r>
          </w:p>
        </w:tc>
        <w:tc>
          <w:tcPr>
            <w:tcW w:w="755" w:type="dxa"/>
            <w:shd w:val="clear" w:color="auto" w:fill="auto"/>
            <w:tcMar>
              <w:top w:w="0" w:type="dxa"/>
              <w:left w:w="0" w:type="dxa"/>
              <w:bottom w:w="0" w:type="dxa"/>
              <w:right w:w="0" w:type="dxa"/>
            </w:tcMar>
            <w:vAlign w:val="center"/>
          </w:tcPr>
          <w:p w14:paraId="1E76D2A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38D588C0">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85</w:t>
            </w:r>
          </w:p>
        </w:tc>
        <w:tc>
          <w:tcPr>
            <w:tcW w:w="1141" w:type="dxa"/>
            <w:vMerge w:val="continue"/>
            <w:vAlign w:val="center"/>
          </w:tcPr>
          <w:p w14:paraId="7DE6EBB2">
            <w:pPr>
              <w:pStyle w:val="26"/>
              <w:bidi w:val="0"/>
              <w:rPr>
                <w:color w:val="auto"/>
                <w:lang w:val="en-US" w:eastAsia="zh-CN"/>
              </w:rPr>
            </w:pPr>
          </w:p>
        </w:tc>
        <w:tc>
          <w:tcPr>
            <w:tcW w:w="777" w:type="dxa"/>
            <w:tcMar>
              <w:top w:w="0" w:type="dxa"/>
              <w:left w:w="0" w:type="dxa"/>
              <w:bottom w:w="0" w:type="dxa"/>
              <w:right w:w="0" w:type="dxa"/>
            </w:tcMar>
            <w:vAlign w:val="center"/>
          </w:tcPr>
          <w:p w14:paraId="6C5D11C6">
            <w:pPr>
              <w:pStyle w:val="26"/>
              <w:bidi w:val="0"/>
              <w:rPr>
                <w:rFonts w:hint="eastAsia"/>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7BC5B2F9">
            <w:pPr>
              <w:pStyle w:val="26"/>
              <w:bidi w:val="0"/>
              <w:rPr>
                <w:rFonts w:hint="eastAsia"/>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285F6B05">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66130351">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62C5EC98">
            <w:pPr>
              <w:pStyle w:val="26"/>
              <w:bidi w:val="0"/>
              <w:rPr>
                <w:rFonts w:hint="default"/>
                <w:lang w:val="en-US" w:eastAsia="zh-CN"/>
              </w:rPr>
            </w:pPr>
            <w:r>
              <w:rPr>
                <w:rFonts w:hint="eastAsia"/>
                <w:lang w:val="en-US" w:eastAsia="zh-CN"/>
              </w:rPr>
              <w:t xml:space="preserve">71.0 </w:t>
            </w:r>
          </w:p>
        </w:tc>
        <w:tc>
          <w:tcPr>
            <w:tcW w:w="566" w:type="dxa"/>
            <w:vMerge w:val="continue"/>
            <w:vAlign w:val="center"/>
          </w:tcPr>
          <w:p w14:paraId="1D8CCB37">
            <w:pPr>
              <w:pStyle w:val="26"/>
              <w:bidi w:val="0"/>
              <w:rPr>
                <w:color w:val="auto"/>
                <w:lang w:val="en-US" w:eastAsia="zh-CN"/>
              </w:rPr>
            </w:pPr>
          </w:p>
        </w:tc>
        <w:tc>
          <w:tcPr>
            <w:tcW w:w="988" w:type="dxa"/>
            <w:vMerge w:val="continue"/>
            <w:vAlign w:val="center"/>
          </w:tcPr>
          <w:p w14:paraId="0C500078">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29C537AF">
            <w:pPr>
              <w:pStyle w:val="26"/>
              <w:bidi w:val="0"/>
              <w:rPr>
                <w:rFonts w:hint="default"/>
                <w:lang w:val="en-US" w:eastAsia="zh-CN"/>
              </w:rPr>
            </w:pPr>
            <w:r>
              <w:rPr>
                <w:rFonts w:hint="eastAsia"/>
                <w:lang w:val="en-US" w:eastAsia="zh-CN"/>
              </w:rPr>
              <w:t xml:space="preserve">46.0 </w:t>
            </w:r>
          </w:p>
        </w:tc>
        <w:tc>
          <w:tcPr>
            <w:tcW w:w="869" w:type="dxa"/>
            <w:tcMar>
              <w:top w:w="0" w:type="dxa"/>
              <w:left w:w="0" w:type="dxa"/>
              <w:bottom w:w="0" w:type="dxa"/>
              <w:right w:w="0" w:type="dxa"/>
            </w:tcMar>
            <w:vAlign w:val="center"/>
          </w:tcPr>
          <w:p w14:paraId="7707B07E">
            <w:pPr>
              <w:pStyle w:val="26"/>
              <w:bidi w:val="0"/>
              <w:rPr>
                <w:color w:val="auto"/>
                <w:lang w:val="en-US" w:eastAsia="zh-CN"/>
              </w:rPr>
            </w:pPr>
            <w:r>
              <w:rPr>
                <w:color w:val="auto"/>
                <w:lang w:val="en-US" w:eastAsia="zh-CN"/>
              </w:rPr>
              <w:t>1</w:t>
            </w:r>
          </w:p>
        </w:tc>
      </w:tr>
      <w:tr w14:paraId="1BEF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FA7808E">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49</w:t>
            </w:r>
          </w:p>
        </w:tc>
        <w:tc>
          <w:tcPr>
            <w:tcW w:w="749" w:type="dxa"/>
            <w:vMerge w:val="continue"/>
            <w:vAlign w:val="center"/>
          </w:tcPr>
          <w:p w14:paraId="0BF919DE">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CB3EA0B">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蚀刻退膜成品清洗线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73CC86E">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ZC-ES2600</w:t>
            </w:r>
          </w:p>
        </w:tc>
        <w:tc>
          <w:tcPr>
            <w:tcW w:w="755" w:type="dxa"/>
            <w:shd w:val="clear" w:color="auto" w:fill="auto"/>
            <w:tcMar>
              <w:top w:w="0" w:type="dxa"/>
              <w:left w:w="0" w:type="dxa"/>
              <w:bottom w:w="0" w:type="dxa"/>
              <w:right w:w="0" w:type="dxa"/>
            </w:tcMar>
            <w:vAlign w:val="center"/>
          </w:tcPr>
          <w:p w14:paraId="384BC942">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2E783A9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75</w:t>
            </w:r>
          </w:p>
        </w:tc>
        <w:tc>
          <w:tcPr>
            <w:tcW w:w="1141" w:type="dxa"/>
            <w:vMerge w:val="continue"/>
            <w:vAlign w:val="center"/>
          </w:tcPr>
          <w:p w14:paraId="51E59BF9">
            <w:pPr>
              <w:pStyle w:val="26"/>
              <w:bidi w:val="0"/>
              <w:rPr>
                <w:color w:val="auto"/>
                <w:lang w:val="en-US" w:eastAsia="zh-CN"/>
              </w:rPr>
            </w:pPr>
          </w:p>
        </w:tc>
        <w:tc>
          <w:tcPr>
            <w:tcW w:w="777" w:type="dxa"/>
            <w:tcMar>
              <w:top w:w="0" w:type="dxa"/>
              <w:left w:w="0" w:type="dxa"/>
              <w:bottom w:w="0" w:type="dxa"/>
              <w:right w:w="0" w:type="dxa"/>
            </w:tcMar>
            <w:vAlign w:val="center"/>
          </w:tcPr>
          <w:p w14:paraId="4250D8E3">
            <w:pPr>
              <w:pStyle w:val="26"/>
              <w:bidi w:val="0"/>
              <w:rPr>
                <w:rFonts w:hint="default"/>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1A9EF651">
            <w:pPr>
              <w:pStyle w:val="26"/>
              <w:bidi w:val="0"/>
              <w:rPr>
                <w:rFonts w:hint="default"/>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AEE20D1">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7CAE45F2">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0A22CCE5">
            <w:pPr>
              <w:pStyle w:val="26"/>
              <w:bidi w:val="0"/>
              <w:rPr>
                <w:rFonts w:hint="default"/>
                <w:lang w:val="en-US" w:eastAsia="zh-CN"/>
              </w:rPr>
            </w:pPr>
            <w:r>
              <w:rPr>
                <w:rFonts w:hint="eastAsia"/>
                <w:lang w:val="en-US" w:eastAsia="zh-CN"/>
              </w:rPr>
              <w:t xml:space="preserve">77.0 </w:t>
            </w:r>
          </w:p>
        </w:tc>
        <w:tc>
          <w:tcPr>
            <w:tcW w:w="566" w:type="dxa"/>
            <w:vMerge w:val="continue"/>
            <w:vAlign w:val="center"/>
          </w:tcPr>
          <w:p w14:paraId="507F01B1">
            <w:pPr>
              <w:pStyle w:val="26"/>
              <w:bidi w:val="0"/>
              <w:rPr>
                <w:color w:val="auto"/>
                <w:lang w:val="en-US" w:eastAsia="zh-CN"/>
              </w:rPr>
            </w:pPr>
          </w:p>
        </w:tc>
        <w:tc>
          <w:tcPr>
            <w:tcW w:w="988" w:type="dxa"/>
            <w:vMerge w:val="continue"/>
            <w:vAlign w:val="center"/>
          </w:tcPr>
          <w:p w14:paraId="5F036980">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14DBBBDC">
            <w:pPr>
              <w:pStyle w:val="26"/>
              <w:bidi w:val="0"/>
              <w:rPr>
                <w:rFonts w:hint="default"/>
                <w:lang w:val="en-US" w:eastAsia="zh-CN"/>
              </w:rPr>
            </w:pPr>
            <w:r>
              <w:rPr>
                <w:rFonts w:hint="eastAsia"/>
                <w:lang w:val="en-US" w:eastAsia="zh-CN"/>
              </w:rPr>
              <w:t xml:space="preserve">52.0 </w:t>
            </w:r>
          </w:p>
        </w:tc>
        <w:tc>
          <w:tcPr>
            <w:tcW w:w="869" w:type="dxa"/>
            <w:tcMar>
              <w:top w:w="0" w:type="dxa"/>
              <w:left w:w="0" w:type="dxa"/>
              <w:bottom w:w="0" w:type="dxa"/>
              <w:right w:w="0" w:type="dxa"/>
            </w:tcMar>
            <w:vAlign w:val="center"/>
          </w:tcPr>
          <w:p w14:paraId="1862F2F9">
            <w:pPr>
              <w:pStyle w:val="26"/>
              <w:bidi w:val="0"/>
              <w:rPr>
                <w:color w:val="auto"/>
                <w:lang w:val="en-US" w:eastAsia="zh-CN"/>
              </w:rPr>
            </w:pPr>
            <w:r>
              <w:rPr>
                <w:color w:val="auto"/>
                <w:lang w:val="en-US" w:eastAsia="zh-CN"/>
              </w:rPr>
              <w:t>1</w:t>
            </w:r>
          </w:p>
        </w:tc>
      </w:tr>
      <w:tr w14:paraId="2195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3716083D">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50</w:t>
            </w:r>
          </w:p>
        </w:tc>
        <w:tc>
          <w:tcPr>
            <w:tcW w:w="749" w:type="dxa"/>
            <w:vMerge w:val="continue"/>
            <w:vAlign w:val="center"/>
          </w:tcPr>
          <w:p w14:paraId="2F97203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FBBC758">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显影清洗线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18B619C">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ZC-D2600</w:t>
            </w:r>
          </w:p>
        </w:tc>
        <w:tc>
          <w:tcPr>
            <w:tcW w:w="755" w:type="dxa"/>
            <w:shd w:val="clear" w:color="auto" w:fill="auto"/>
            <w:tcMar>
              <w:top w:w="0" w:type="dxa"/>
              <w:left w:w="0" w:type="dxa"/>
              <w:bottom w:w="0" w:type="dxa"/>
              <w:right w:w="0" w:type="dxa"/>
            </w:tcMar>
            <w:vAlign w:val="center"/>
          </w:tcPr>
          <w:p w14:paraId="7E2D08C7">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37533F6C">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75</w:t>
            </w:r>
          </w:p>
        </w:tc>
        <w:tc>
          <w:tcPr>
            <w:tcW w:w="1141" w:type="dxa"/>
            <w:vMerge w:val="continue"/>
            <w:vAlign w:val="center"/>
          </w:tcPr>
          <w:p w14:paraId="56C286A7">
            <w:pPr>
              <w:pStyle w:val="26"/>
              <w:bidi w:val="0"/>
              <w:rPr>
                <w:color w:val="auto"/>
                <w:lang w:val="en-US" w:eastAsia="zh-CN"/>
              </w:rPr>
            </w:pPr>
          </w:p>
        </w:tc>
        <w:tc>
          <w:tcPr>
            <w:tcW w:w="777" w:type="dxa"/>
            <w:tcMar>
              <w:top w:w="0" w:type="dxa"/>
              <w:left w:w="0" w:type="dxa"/>
              <w:bottom w:w="0" w:type="dxa"/>
              <w:right w:w="0" w:type="dxa"/>
            </w:tcMar>
            <w:vAlign w:val="center"/>
          </w:tcPr>
          <w:p w14:paraId="0FF8BA27">
            <w:pPr>
              <w:pStyle w:val="26"/>
              <w:bidi w:val="0"/>
              <w:rPr>
                <w:rFonts w:hint="default"/>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6A1763F3">
            <w:pPr>
              <w:pStyle w:val="26"/>
              <w:bidi w:val="0"/>
              <w:rPr>
                <w:rFonts w:hint="default"/>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1F0FA093">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560EC784">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EDB3EB2">
            <w:pPr>
              <w:pStyle w:val="26"/>
              <w:bidi w:val="0"/>
              <w:rPr>
                <w:rFonts w:hint="default"/>
                <w:lang w:val="en-US" w:eastAsia="zh-CN"/>
              </w:rPr>
            </w:pPr>
            <w:r>
              <w:rPr>
                <w:rFonts w:hint="eastAsia"/>
                <w:lang w:val="en-US" w:eastAsia="zh-CN"/>
              </w:rPr>
              <w:t xml:space="preserve">74.0 </w:t>
            </w:r>
          </w:p>
        </w:tc>
        <w:tc>
          <w:tcPr>
            <w:tcW w:w="566" w:type="dxa"/>
            <w:vMerge w:val="continue"/>
            <w:vAlign w:val="center"/>
          </w:tcPr>
          <w:p w14:paraId="4F9F8854">
            <w:pPr>
              <w:pStyle w:val="26"/>
              <w:bidi w:val="0"/>
              <w:rPr>
                <w:color w:val="auto"/>
                <w:lang w:val="en-US" w:eastAsia="zh-CN"/>
              </w:rPr>
            </w:pPr>
          </w:p>
        </w:tc>
        <w:tc>
          <w:tcPr>
            <w:tcW w:w="988" w:type="dxa"/>
            <w:vMerge w:val="continue"/>
            <w:vAlign w:val="center"/>
          </w:tcPr>
          <w:p w14:paraId="2A3A9412">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1F8415E2">
            <w:pPr>
              <w:pStyle w:val="26"/>
              <w:bidi w:val="0"/>
              <w:rPr>
                <w:rFonts w:hint="default"/>
                <w:lang w:val="en-US" w:eastAsia="zh-CN"/>
              </w:rPr>
            </w:pPr>
            <w:r>
              <w:rPr>
                <w:rFonts w:hint="eastAsia"/>
                <w:lang w:val="en-US" w:eastAsia="zh-CN"/>
              </w:rPr>
              <w:t xml:space="preserve">49.0 </w:t>
            </w:r>
          </w:p>
        </w:tc>
        <w:tc>
          <w:tcPr>
            <w:tcW w:w="869" w:type="dxa"/>
            <w:tcMar>
              <w:top w:w="0" w:type="dxa"/>
              <w:left w:w="0" w:type="dxa"/>
              <w:bottom w:w="0" w:type="dxa"/>
              <w:right w:w="0" w:type="dxa"/>
            </w:tcMar>
            <w:vAlign w:val="center"/>
          </w:tcPr>
          <w:p w14:paraId="78A47870">
            <w:pPr>
              <w:pStyle w:val="26"/>
              <w:bidi w:val="0"/>
              <w:rPr>
                <w:color w:val="auto"/>
                <w:lang w:val="en-US" w:eastAsia="zh-CN"/>
              </w:rPr>
            </w:pPr>
            <w:r>
              <w:rPr>
                <w:color w:val="auto"/>
                <w:lang w:val="en-US" w:eastAsia="zh-CN"/>
              </w:rPr>
              <w:t>1</w:t>
            </w:r>
          </w:p>
        </w:tc>
      </w:tr>
      <w:tr w14:paraId="3CEC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shd w:val="clear" w:color="auto" w:fill="auto"/>
            <w:tcMar>
              <w:top w:w="0" w:type="dxa"/>
              <w:left w:w="0" w:type="dxa"/>
              <w:bottom w:w="0" w:type="dxa"/>
              <w:right w:w="0" w:type="dxa"/>
            </w:tcMar>
            <w:vAlign w:val="center"/>
          </w:tcPr>
          <w:p w14:paraId="600DCF37">
            <w:pPr>
              <w:widowControl w:val="0"/>
              <w:bidi w:val="0"/>
              <w:adjustRightInd w:val="0"/>
              <w:snapToGrid w:val="0"/>
              <w:spacing w:line="240" w:lineRule="auto"/>
              <w:ind w:firstLine="0" w:firstLineChars="0"/>
              <w:jc w:val="center"/>
              <w:rPr>
                <w:rFonts w:ascii="Times New Roman" w:hAnsi="Times New Roman" w:eastAsia="仿宋_GB2312" w:cs="Times New Roman"/>
                <w:color w:val="000000"/>
                <w:spacing w:val="-11"/>
                <w:kern w:val="0"/>
                <w:sz w:val="21"/>
                <w:szCs w:val="21"/>
                <w:lang w:val="en-US" w:eastAsia="zh-CN" w:bidi="ar-SA"/>
              </w:rPr>
            </w:pPr>
            <w:r>
              <w:rPr>
                <w:rFonts w:hint="default" w:ascii="Times New Roman" w:hAnsi="Times New Roman" w:eastAsia="仿宋_GB2312" w:cs="Times New Roman"/>
                <w:color w:val="000000"/>
                <w:spacing w:val="-11"/>
                <w:kern w:val="0"/>
                <w:sz w:val="21"/>
                <w:szCs w:val="21"/>
                <w:lang w:val="en-US" w:eastAsia="zh-CN" w:bidi="ar-SA"/>
              </w:rPr>
              <w:t>51</w:t>
            </w:r>
          </w:p>
        </w:tc>
        <w:tc>
          <w:tcPr>
            <w:tcW w:w="749" w:type="dxa"/>
            <w:vMerge w:val="continue"/>
            <w:vAlign w:val="center"/>
          </w:tcPr>
          <w:p w14:paraId="5CB45189">
            <w:pPr>
              <w:pStyle w:val="26"/>
              <w:bidi w:val="0"/>
              <w:rPr>
                <w:color w:val="auto"/>
                <w:lang w:val="en-US" w:eastAsia="zh-CN"/>
              </w:rPr>
            </w:pPr>
          </w:p>
        </w:tc>
        <w:tc>
          <w:tcPr>
            <w:tcW w:w="1387"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6665370">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UV光固热固线</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03D8EA9">
            <w:pPr>
              <w:widowControl w:val="0"/>
              <w:bidi w:val="0"/>
              <w:adjustRightInd w:val="0"/>
              <w:snapToGrid w:val="0"/>
              <w:spacing w:line="240" w:lineRule="auto"/>
              <w:ind w:firstLine="0" w:firstLineChars="0"/>
              <w:jc w:val="center"/>
              <w:rPr>
                <w:rFonts w:hint="eastAsia" w:ascii="Times New Roman" w:hAnsi="Times New Roman" w:eastAsia="仿宋_GB2312" w:cs="Times New Roman"/>
                <w:color w:val="000000"/>
                <w:spacing w:val="-11"/>
                <w:kern w:val="0"/>
                <w:sz w:val="21"/>
                <w:szCs w:val="21"/>
                <w:highlight w:val="black"/>
                <w:lang w:val="en-US" w:eastAsia="zh-CN" w:bidi="ar-SA"/>
              </w:rPr>
            </w:pPr>
            <w:r>
              <w:rPr>
                <w:rFonts w:hint="eastAsia" w:ascii="Times New Roman" w:hAnsi="Times New Roman" w:eastAsia="仿宋_GB2312" w:cs="Times New Roman"/>
                <w:color w:val="000000"/>
                <w:spacing w:val="-11"/>
                <w:kern w:val="0"/>
                <w:sz w:val="21"/>
                <w:szCs w:val="21"/>
                <w:highlight w:val="black"/>
                <w:lang w:val="en-US" w:eastAsia="zh-CN" w:bidi="ar-SA"/>
              </w:rPr>
              <w:t>ZC-UV2600</w:t>
            </w:r>
          </w:p>
        </w:tc>
        <w:tc>
          <w:tcPr>
            <w:tcW w:w="755" w:type="dxa"/>
            <w:shd w:val="clear" w:color="auto" w:fill="auto"/>
            <w:tcMar>
              <w:top w:w="0" w:type="dxa"/>
              <w:left w:w="0" w:type="dxa"/>
              <w:bottom w:w="0" w:type="dxa"/>
              <w:right w:w="0" w:type="dxa"/>
            </w:tcMar>
            <w:vAlign w:val="center"/>
          </w:tcPr>
          <w:p w14:paraId="3C636261">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highlight w:val="black"/>
                <w:lang w:val="en-US" w:eastAsia="zh-CN" w:bidi="ar-SA"/>
              </w:rPr>
            </w:pPr>
            <w:r>
              <w:rPr>
                <w:rFonts w:hint="eastAsia" w:cs="Times New Roman"/>
                <w:color w:val="000000"/>
                <w:spacing w:val="-11"/>
                <w:kern w:val="0"/>
                <w:sz w:val="21"/>
                <w:szCs w:val="21"/>
                <w:highlight w:val="black"/>
                <w:lang w:val="en-US" w:eastAsia="zh-CN" w:bidi="ar-SA"/>
              </w:rPr>
              <w:t>1</w:t>
            </w:r>
          </w:p>
        </w:tc>
        <w:tc>
          <w:tcPr>
            <w:tcW w:w="1134" w:type="dxa"/>
            <w:shd w:val="clear" w:color="auto" w:fill="auto"/>
            <w:tcMar>
              <w:top w:w="0" w:type="dxa"/>
              <w:left w:w="0" w:type="dxa"/>
              <w:bottom w:w="0" w:type="dxa"/>
              <w:right w:w="0" w:type="dxa"/>
            </w:tcMar>
            <w:vAlign w:val="center"/>
          </w:tcPr>
          <w:p w14:paraId="42D54FD2">
            <w:pPr>
              <w:widowControl w:val="0"/>
              <w:bidi w:val="0"/>
              <w:adjustRightInd w:val="0"/>
              <w:snapToGrid w:val="0"/>
              <w:spacing w:line="240" w:lineRule="auto"/>
              <w:ind w:firstLine="0" w:firstLineChars="0"/>
              <w:jc w:val="center"/>
              <w:rPr>
                <w:rFonts w:hint="default" w:ascii="Times New Roman" w:hAnsi="Times New Roman" w:eastAsia="仿宋_GB2312" w:cs="Times New Roman"/>
                <w:color w:val="000000"/>
                <w:spacing w:val="-11"/>
                <w:kern w:val="0"/>
                <w:sz w:val="21"/>
                <w:szCs w:val="21"/>
                <w:lang w:val="en-US" w:eastAsia="zh-CN" w:bidi="ar-SA"/>
              </w:rPr>
            </w:pPr>
            <w:r>
              <w:rPr>
                <w:rFonts w:hint="eastAsia" w:cs="Times New Roman"/>
                <w:color w:val="000000"/>
                <w:spacing w:val="-11"/>
                <w:kern w:val="0"/>
                <w:sz w:val="21"/>
                <w:szCs w:val="21"/>
                <w:lang w:val="en-US" w:eastAsia="zh-CN" w:bidi="ar-SA"/>
              </w:rPr>
              <w:t>75</w:t>
            </w:r>
          </w:p>
        </w:tc>
        <w:tc>
          <w:tcPr>
            <w:tcW w:w="1141" w:type="dxa"/>
            <w:vMerge w:val="continue"/>
            <w:vAlign w:val="center"/>
          </w:tcPr>
          <w:p w14:paraId="2C15E492">
            <w:pPr>
              <w:pStyle w:val="26"/>
              <w:bidi w:val="0"/>
              <w:rPr>
                <w:color w:val="auto"/>
                <w:lang w:val="en-US" w:eastAsia="zh-CN"/>
              </w:rPr>
            </w:pPr>
          </w:p>
        </w:tc>
        <w:tc>
          <w:tcPr>
            <w:tcW w:w="777" w:type="dxa"/>
            <w:tcMar>
              <w:top w:w="0" w:type="dxa"/>
              <w:left w:w="0" w:type="dxa"/>
              <w:bottom w:w="0" w:type="dxa"/>
              <w:right w:w="0" w:type="dxa"/>
            </w:tcMar>
            <w:vAlign w:val="center"/>
          </w:tcPr>
          <w:p w14:paraId="4169E30E">
            <w:pPr>
              <w:pStyle w:val="26"/>
              <w:bidi w:val="0"/>
              <w:rPr>
                <w:rFonts w:hint="default"/>
                <w:color w:val="auto"/>
                <w:highlight w:val="black"/>
                <w:lang w:val="en-US" w:eastAsia="zh-CN"/>
              </w:rPr>
            </w:pPr>
            <w:r>
              <w:rPr>
                <w:rFonts w:hint="eastAsia"/>
                <w:color w:val="auto"/>
                <w:highlight w:val="black"/>
                <w:lang w:val="en-US" w:eastAsia="zh-CN"/>
              </w:rPr>
              <w:t>60</w:t>
            </w:r>
          </w:p>
        </w:tc>
        <w:tc>
          <w:tcPr>
            <w:tcW w:w="776" w:type="dxa"/>
            <w:tcMar>
              <w:top w:w="0" w:type="dxa"/>
              <w:left w:w="0" w:type="dxa"/>
              <w:bottom w:w="0" w:type="dxa"/>
              <w:right w:w="0" w:type="dxa"/>
            </w:tcMar>
            <w:vAlign w:val="center"/>
          </w:tcPr>
          <w:p w14:paraId="3914A60C">
            <w:pPr>
              <w:pStyle w:val="26"/>
              <w:bidi w:val="0"/>
              <w:rPr>
                <w:rFonts w:hint="default"/>
                <w:color w:val="auto"/>
                <w:highlight w:val="black"/>
                <w:lang w:val="en-US" w:eastAsia="zh-CN"/>
              </w:rPr>
            </w:pPr>
            <w:r>
              <w:rPr>
                <w:rFonts w:hint="eastAsia"/>
                <w:color w:val="auto"/>
                <w:highlight w:val="black"/>
                <w:lang w:val="en-US" w:eastAsia="zh-CN"/>
              </w:rPr>
              <w:t>45</w:t>
            </w:r>
          </w:p>
        </w:tc>
        <w:tc>
          <w:tcPr>
            <w:tcW w:w="778" w:type="dxa"/>
            <w:tcMar>
              <w:top w:w="0" w:type="dxa"/>
              <w:left w:w="0" w:type="dxa"/>
              <w:bottom w:w="0" w:type="dxa"/>
              <w:right w:w="0" w:type="dxa"/>
            </w:tcMar>
            <w:vAlign w:val="center"/>
          </w:tcPr>
          <w:p w14:paraId="41489D1F">
            <w:pPr>
              <w:pStyle w:val="26"/>
              <w:bidi w:val="0"/>
              <w:rPr>
                <w:rFonts w:hint="default"/>
                <w:color w:val="auto"/>
                <w:highlight w:val="black"/>
                <w:lang w:val="en-US" w:eastAsia="zh-CN"/>
              </w:rPr>
            </w:pPr>
            <w:r>
              <w:rPr>
                <w:rFonts w:hint="eastAsia"/>
                <w:color w:val="auto"/>
                <w:highlight w:val="black"/>
                <w:lang w:val="en-US" w:eastAsia="zh-CN"/>
              </w:rPr>
              <w:t>10</w:t>
            </w:r>
          </w:p>
        </w:tc>
        <w:tc>
          <w:tcPr>
            <w:tcW w:w="800" w:type="dxa"/>
            <w:tcMar>
              <w:top w:w="0" w:type="dxa"/>
              <w:left w:w="0" w:type="dxa"/>
              <w:bottom w:w="0" w:type="dxa"/>
              <w:right w:w="0" w:type="dxa"/>
            </w:tcMar>
            <w:vAlign w:val="center"/>
          </w:tcPr>
          <w:p w14:paraId="4D30860B">
            <w:pPr>
              <w:pStyle w:val="26"/>
              <w:bidi w:val="0"/>
              <w:rPr>
                <w:rFonts w:hint="eastAsia"/>
                <w:color w:val="auto"/>
                <w:lang w:val="en-US" w:eastAsia="zh-CN"/>
              </w:rPr>
            </w:pPr>
            <w:r>
              <w:rPr>
                <w:rFonts w:hint="eastAsia"/>
                <w:color w:val="auto"/>
                <w:lang w:val="en-US" w:eastAsia="zh-CN"/>
              </w:rPr>
              <w:t>5</w:t>
            </w:r>
          </w:p>
        </w:tc>
        <w:tc>
          <w:tcPr>
            <w:tcW w:w="829" w:type="dxa"/>
            <w:shd w:val="clear" w:color="auto" w:fill="auto"/>
            <w:tcMar>
              <w:top w:w="0" w:type="dxa"/>
              <w:left w:w="0" w:type="dxa"/>
              <w:bottom w:w="0" w:type="dxa"/>
              <w:right w:w="0" w:type="dxa"/>
            </w:tcMar>
            <w:vAlign w:val="bottom"/>
          </w:tcPr>
          <w:p w14:paraId="5A3E1C75">
            <w:pPr>
              <w:pStyle w:val="26"/>
              <w:bidi w:val="0"/>
              <w:rPr>
                <w:rFonts w:hint="default"/>
                <w:lang w:val="en-US" w:eastAsia="zh-CN"/>
              </w:rPr>
            </w:pPr>
            <w:r>
              <w:rPr>
                <w:rFonts w:hint="eastAsia"/>
                <w:lang w:val="en-US" w:eastAsia="zh-CN"/>
              </w:rPr>
              <w:t xml:space="preserve">75.8 </w:t>
            </w:r>
          </w:p>
        </w:tc>
        <w:tc>
          <w:tcPr>
            <w:tcW w:w="566" w:type="dxa"/>
            <w:vMerge w:val="continue"/>
            <w:vAlign w:val="center"/>
          </w:tcPr>
          <w:p w14:paraId="2397255E">
            <w:pPr>
              <w:pStyle w:val="26"/>
              <w:bidi w:val="0"/>
              <w:rPr>
                <w:color w:val="auto"/>
                <w:lang w:val="en-US" w:eastAsia="zh-CN"/>
              </w:rPr>
            </w:pPr>
          </w:p>
        </w:tc>
        <w:tc>
          <w:tcPr>
            <w:tcW w:w="988" w:type="dxa"/>
            <w:vMerge w:val="continue"/>
            <w:vAlign w:val="center"/>
          </w:tcPr>
          <w:p w14:paraId="0EF4F6B6">
            <w:pPr>
              <w:pStyle w:val="26"/>
              <w:bidi w:val="0"/>
              <w:rPr>
                <w:color w:val="auto"/>
                <w:lang w:val="en-US" w:eastAsia="zh-CN"/>
              </w:rPr>
            </w:pPr>
          </w:p>
        </w:tc>
        <w:tc>
          <w:tcPr>
            <w:tcW w:w="868" w:type="dxa"/>
            <w:shd w:val="clear" w:color="auto" w:fill="auto"/>
            <w:tcMar>
              <w:top w:w="0" w:type="dxa"/>
              <w:left w:w="0" w:type="dxa"/>
              <w:bottom w:w="0" w:type="dxa"/>
              <w:right w:w="0" w:type="dxa"/>
            </w:tcMar>
            <w:vAlign w:val="bottom"/>
          </w:tcPr>
          <w:p w14:paraId="6DBE5AF3">
            <w:pPr>
              <w:pStyle w:val="26"/>
              <w:bidi w:val="0"/>
              <w:rPr>
                <w:rFonts w:hint="default"/>
                <w:lang w:val="en-US" w:eastAsia="zh-CN"/>
              </w:rPr>
            </w:pPr>
            <w:r>
              <w:rPr>
                <w:rFonts w:hint="eastAsia"/>
                <w:lang w:val="en-US" w:eastAsia="zh-CN"/>
              </w:rPr>
              <w:t xml:space="preserve">50.8 </w:t>
            </w:r>
          </w:p>
        </w:tc>
        <w:tc>
          <w:tcPr>
            <w:tcW w:w="869" w:type="dxa"/>
            <w:tcMar>
              <w:top w:w="0" w:type="dxa"/>
              <w:left w:w="0" w:type="dxa"/>
              <w:bottom w:w="0" w:type="dxa"/>
              <w:right w:w="0" w:type="dxa"/>
            </w:tcMar>
            <w:vAlign w:val="center"/>
          </w:tcPr>
          <w:p w14:paraId="58EB8810">
            <w:pPr>
              <w:pStyle w:val="26"/>
              <w:bidi w:val="0"/>
              <w:rPr>
                <w:color w:val="auto"/>
                <w:lang w:val="en-US" w:eastAsia="zh-CN"/>
              </w:rPr>
            </w:pPr>
            <w:r>
              <w:rPr>
                <w:color w:val="auto"/>
                <w:lang w:val="en-US" w:eastAsia="zh-CN"/>
              </w:rPr>
              <w:t>1</w:t>
            </w:r>
          </w:p>
        </w:tc>
      </w:tr>
    </w:tbl>
    <w:p w14:paraId="4D6BA1D3">
      <w:pPr>
        <w:pStyle w:val="26"/>
        <w:jc w:val="both"/>
        <w:rPr>
          <w:color w:val="auto"/>
        </w:rPr>
      </w:pPr>
      <w:r>
        <w:rPr>
          <w:color w:val="auto"/>
        </w:rPr>
        <w:t>*注：以本项目厂区中心为坐标原点</w:t>
      </w:r>
      <w:r>
        <w:rPr>
          <w:rFonts w:hint="eastAsia"/>
          <w:color w:val="auto"/>
        </w:rPr>
        <w:t>。</w:t>
      </w:r>
    </w:p>
    <w:p w14:paraId="5E2C7447">
      <w:pPr>
        <w:rPr>
          <w:color w:val="auto"/>
        </w:rPr>
      </w:pPr>
    </w:p>
    <w:p w14:paraId="41D8C4D0">
      <w:pPr>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A75BD34">
      <w:pPr>
        <w:pStyle w:val="4"/>
        <w:rPr>
          <w:color w:val="auto"/>
        </w:rPr>
      </w:pPr>
      <w:bookmarkStart w:id="204" w:name="_Toc13082"/>
      <w:bookmarkStart w:id="205" w:name="_Toc20723"/>
      <w:r>
        <w:rPr>
          <w:rFonts w:hint="eastAsia"/>
          <w:color w:val="auto"/>
        </w:rPr>
        <w:t>固废污染源分析</w:t>
      </w:r>
      <w:bookmarkEnd w:id="204"/>
      <w:bookmarkEnd w:id="205"/>
    </w:p>
    <w:p w14:paraId="41E865EF">
      <w:pPr>
        <w:pStyle w:val="5"/>
        <w:ind w:firstLine="301"/>
        <w:rPr>
          <w:color w:val="auto"/>
        </w:rPr>
      </w:pPr>
      <w:r>
        <w:rPr>
          <w:rFonts w:hint="eastAsia"/>
          <w:color w:val="auto"/>
        </w:rPr>
        <w:t>固废产生情况</w:t>
      </w:r>
    </w:p>
    <w:p w14:paraId="0A69B5E2">
      <w:pPr>
        <w:rPr>
          <w:rFonts w:hint="eastAsia"/>
          <w:color w:val="auto"/>
        </w:rPr>
      </w:pPr>
      <w:r>
        <w:rPr>
          <w:rFonts w:hint="eastAsia"/>
          <w:color w:val="auto"/>
        </w:rPr>
        <w:t>按《固体废物鉴别标准通则》（GB34330—</w:t>
      </w:r>
      <w:r>
        <w:rPr>
          <w:rFonts w:hint="eastAsia"/>
          <w:color w:val="auto"/>
          <w:lang w:val="en-US" w:eastAsia="zh-CN"/>
        </w:rPr>
        <w:t>2025</w:t>
      </w:r>
      <w:r>
        <w:rPr>
          <w:rFonts w:hint="eastAsia"/>
          <w:color w:val="auto"/>
        </w:rPr>
        <w:t>）和《国家危险废物名录分类》的有关要求，对项目固废进行分类，本项目固废产生类别有一般固废和危险废物。</w:t>
      </w:r>
    </w:p>
    <w:p w14:paraId="29F32737">
      <w:pPr>
        <w:rPr>
          <w:rFonts w:hint="eastAsia"/>
          <w:color w:val="auto"/>
        </w:rPr>
      </w:pPr>
      <w:r>
        <w:rPr>
          <w:rFonts w:hint="eastAsia"/>
          <w:color w:val="auto"/>
        </w:rPr>
        <w:t>本项目主要采用物料衡算法进行计算，估算本项目运营期主要固废产生情况如下：</w:t>
      </w:r>
    </w:p>
    <w:p w14:paraId="1F6C8944">
      <w:pPr>
        <w:rPr>
          <w:rFonts w:hint="eastAsia" w:eastAsia="仿宋_GB2312"/>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金属边角料及碎屑</w:t>
      </w:r>
      <w:r>
        <w:rPr>
          <w:rFonts w:hint="eastAsia"/>
          <w:color w:val="auto"/>
          <w:lang w:eastAsia="zh-CN"/>
        </w:rPr>
        <w:t>（</w:t>
      </w:r>
      <w:r>
        <w:rPr>
          <w:rFonts w:hint="eastAsia"/>
          <w:color w:val="auto"/>
          <w:lang w:val="en-US" w:eastAsia="zh-CN"/>
        </w:rPr>
        <w:t>S1-1、S1-8、S2-1、S2-4、S2-9、S3-7</w:t>
      </w:r>
      <w:r>
        <w:rPr>
          <w:rFonts w:hint="eastAsia"/>
          <w:color w:val="auto"/>
          <w:lang w:eastAsia="zh-CN"/>
        </w:rPr>
        <w:t>）</w:t>
      </w:r>
    </w:p>
    <w:p w14:paraId="47FF5345">
      <w:pPr>
        <w:rPr>
          <w:rFonts w:hint="eastAsia"/>
          <w:color w:val="auto"/>
        </w:rPr>
      </w:pPr>
      <w:r>
        <w:rPr>
          <w:rFonts w:hint="eastAsia"/>
          <w:color w:val="auto"/>
        </w:rPr>
        <w:t>在</w:t>
      </w:r>
      <w:r>
        <w:rPr>
          <w:rFonts w:hint="eastAsia"/>
          <w:color w:val="auto"/>
          <w:lang w:val="en-US" w:eastAsia="zh-CN"/>
        </w:rPr>
        <w:t>下</w:t>
      </w:r>
      <w:r>
        <w:rPr>
          <w:rFonts w:hint="eastAsia"/>
          <w:color w:val="auto"/>
        </w:rPr>
        <w:t>料、车加工、磨加工等过程产生金属边角料及碎屑约</w:t>
      </w:r>
      <w:r>
        <w:rPr>
          <w:rFonts w:hint="eastAsia"/>
          <w:color w:val="auto"/>
          <w:lang w:val="en-US" w:eastAsia="zh-CN"/>
        </w:rPr>
        <w:t>80</w:t>
      </w:r>
      <w:r>
        <w:rPr>
          <w:rFonts w:hint="eastAsia"/>
          <w:color w:val="auto"/>
        </w:rPr>
        <w:t>t/a，其中约</w:t>
      </w:r>
      <w:r>
        <w:rPr>
          <w:rFonts w:hint="eastAsia"/>
          <w:color w:val="auto"/>
          <w:lang w:val="en-US" w:eastAsia="zh-CN"/>
        </w:rPr>
        <w:t>50</w:t>
      </w:r>
      <w:r>
        <w:rPr>
          <w:rFonts w:hint="eastAsia"/>
          <w:color w:val="auto"/>
        </w:rPr>
        <w:t>t/a为金属边角料，统一收集后外售处理。</w:t>
      </w:r>
      <w:r>
        <w:rPr>
          <w:rFonts w:hint="eastAsia"/>
          <w:color w:val="auto"/>
          <w:lang w:val="en-US" w:eastAsia="zh-CN"/>
        </w:rPr>
        <w:t>30</w:t>
      </w:r>
      <w:r>
        <w:rPr>
          <w:rFonts w:hint="eastAsia"/>
          <w:color w:val="auto"/>
        </w:rPr>
        <w:t>t/a为含油金属边角料及碎屑，含油金属屑经过滤除油达到静置无滴漏后打包压块用于金属冶炼。</w:t>
      </w:r>
    </w:p>
    <w:p w14:paraId="59D249F4">
      <w:pPr>
        <w:rPr>
          <w:rFonts w:hint="eastAsia" w:eastAsia="仿宋_GB2312"/>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废</w:t>
      </w:r>
      <w:r>
        <w:rPr>
          <w:rFonts w:hint="eastAsia"/>
          <w:color w:val="auto"/>
          <w:lang w:val="en-US" w:eastAsia="zh-CN"/>
        </w:rPr>
        <w:t>切削液、</w:t>
      </w:r>
      <w:r>
        <w:rPr>
          <w:rFonts w:hint="eastAsia"/>
          <w:color w:val="auto"/>
        </w:rPr>
        <w:t>乳化液</w:t>
      </w:r>
      <w:r>
        <w:rPr>
          <w:rFonts w:hint="eastAsia"/>
          <w:color w:val="auto"/>
          <w:lang w:eastAsia="zh-CN"/>
        </w:rPr>
        <w:t>（</w:t>
      </w:r>
      <w:r>
        <w:rPr>
          <w:rFonts w:hint="eastAsia"/>
          <w:color w:val="auto"/>
          <w:lang w:val="en-US" w:eastAsia="zh-CN"/>
        </w:rPr>
        <w:t>S1-2、S2-5</w:t>
      </w:r>
      <w:r>
        <w:rPr>
          <w:rFonts w:hint="eastAsia"/>
          <w:color w:val="auto"/>
          <w:lang w:eastAsia="zh-CN"/>
        </w:rPr>
        <w:t>）</w:t>
      </w:r>
    </w:p>
    <w:p w14:paraId="6756C2BD">
      <w:pPr>
        <w:rPr>
          <w:rFonts w:hint="eastAsia"/>
          <w:color w:val="auto"/>
        </w:rPr>
      </w:pPr>
      <w:r>
        <w:rPr>
          <w:rFonts w:hint="eastAsia"/>
          <w:color w:val="auto"/>
        </w:rPr>
        <w:t>本项目机加工过程中，全厂乳化液使用量共计为</w:t>
      </w:r>
      <w:r>
        <w:rPr>
          <w:rFonts w:hint="eastAsia"/>
          <w:color w:val="auto"/>
          <w:lang w:val="en-US" w:eastAsia="zh-CN"/>
        </w:rPr>
        <w:t>16.9</w:t>
      </w:r>
      <w:r>
        <w:rPr>
          <w:rFonts w:hint="eastAsia"/>
          <w:color w:val="auto"/>
        </w:rPr>
        <w:t>t/a，使用过程中按 1:10 配比，使用过程中会产生少量损耗，废乳化液产生量约</w:t>
      </w:r>
      <w:r>
        <w:rPr>
          <w:rFonts w:hint="eastAsia"/>
          <w:color w:val="auto"/>
          <w:lang w:val="en-US" w:eastAsia="zh-CN"/>
        </w:rPr>
        <w:t>35.9</w:t>
      </w:r>
      <w:r>
        <w:rPr>
          <w:rFonts w:hint="eastAsia"/>
          <w:color w:val="auto"/>
        </w:rPr>
        <w:t>t/a，作为危废委托有资质单位处理。</w:t>
      </w:r>
    </w:p>
    <w:p w14:paraId="02163EDE">
      <w:pPr>
        <w:rPr>
          <w:rFonts w:hint="eastAsia" w:eastAsia="仿宋_GB2312"/>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废擦拭物</w:t>
      </w:r>
      <w:r>
        <w:rPr>
          <w:rFonts w:hint="eastAsia"/>
          <w:color w:val="auto"/>
          <w:lang w:eastAsia="zh-CN"/>
        </w:rPr>
        <w:t>（</w:t>
      </w:r>
      <w:r>
        <w:rPr>
          <w:rFonts w:hint="eastAsia"/>
          <w:color w:val="auto"/>
          <w:lang w:val="en-US" w:eastAsia="zh-CN"/>
        </w:rPr>
        <w:t>S1-7、S1-11</w:t>
      </w:r>
      <w:r>
        <w:rPr>
          <w:rFonts w:hint="eastAsia"/>
          <w:color w:val="auto"/>
          <w:lang w:eastAsia="zh-CN"/>
        </w:rPr>
        <w:t>）</w:t>
      </w:r>
    </w:p>
    <w:p w14:paraId="132A5F9B">
      <w:pPr>
        <w:rPr>
          <w:rFonts w:hint="eastAsia"/>
          <w:color w:val="auto"/>
        </w:rPr>
      </w:pPr>
      <w:r>
        <w:rPr>
          <w:rFonts w:hint="eastAsia"/>
          <w:color w:val="auto"/>
        </w:rPr>
        <w:t>在酒精</w:t>
      </w:r>
      <w:r>
        <w:rPr>
          <w:rFonts w:hint="eastAsia"/>
          <w:color w:val="auto"/>
          <w:lang w:eastAsia="zh-CN"/>
        </w:rPr>
        <w:t>、</w:t>
      </w:r>
      <w:r>
        <w:rPr>
          <w:rFonts w:hint="eastAsia"/>
          <w:color w:val="auto"/>
          <w:lang w:val="en-US" w:eastAsia="zh-CN"/>
        </w:rPr>
        <w:t>异丙醇</w:t>
      </w:r>
      <w:r>
        <w:rPr>
          <w:rFonts w:hint="eastAsia"/>
          <w:color w:val="auto"/>
        </w:rPr>
        <w:t>擦拭</w:t>
      </w:r>
      <w:r>
        <w:rPr>
          <w:rFonts w:hint="eastAsia"/>
          <w:color w:val="auto"/>
          <w:lang w:eastAsia="zh-CN"/>
        </w:rPr>
        <w:t>、</w:t>
      </w:r>
      <w:r>
        <w:rPr>
          <w:rFonts w:hint="eastAsia"/>
          <w:color w:val="auto"/>
          <w:lang w:val="en-US" w:eastAsia="zh-CN"/>
        </w:rPr>
        <w:t>打样擦拭</w:t>
      </w:r>
      <w:r>
        <w:rPr>
          <w:rFonts w:hint="eastAsia"/>
          <w:color w:val="auto"/>
        </w:rPr>
        <w:t>等过程产生废擦拭物约 2t/a ，作为危废委托有资质单位处理。</w:t>
      </w:r>
    </w:p>
    <w:p w14:paraId="78283973">
      <w:pPr>
        <w:rPr>
          <w:rFonts w:hint="eastAsia" w:eastAsia="仿宋_GB2312"/>
          <w:color w:val="auto"/>
          <w:lang w:val="en-US" w:eastAsia="zh-CN"/>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废滤芯</w:t>
      </w:r>
      <w:r>
        <w:rPr>
          <w:rFonts w:hint="eastAsia"/>
          <w:color w:val="auto"/>
          <w:lang w:eastAsia="zh-CN"/>
        </w:rPr>
        <w:t>（</w:t>
      </w:r>
      <w:r>
        <w:rPr>
          <w:rFonts w:hint="eastAsia"/>
          <w:color w:val="auto"/>
          <w:lang w:val="en-US" w:eastAsia="zh-CN"/>
        </w:rPr>
        <w:t>S1-5、S2-7、S3-6</w:t>
      </w:r>
      <w:r>
        <w:rPr>
          <w:rFonts w:hint="eastAsia"/>
          <w:color w:val="auto"/>
          <w:lang w:eastAsia="zh-CN"/>
        </w:rPr>
        <w:t>）</w:t>
      </w:r>
    </w:p>
    <w:p w14:paraId="37D0CD95">
      <w:pPr>
        <w:rPr>
          <w:rFonts w:hint="default" w:eastAsia="仿宋_GB2312"/>
          <w:color w:val="auto"/>
          <w:lang w:val="en-US" w:eastAsia="zh-CN"/>
        </w:rPr>
      </w:pPr>
      <w:r>
        <w:rPr>
          <w:rFonts w:hint="eastAsia"/>
          <w:color w:val="auto"/>
          <w:lang w:val="en-US" w:eastAsia="zh-CN"/>
        </w:rPr>
        <w:t>电镀过程，电镀液过滤产生过滤滤芯，每年更换一次，年产生量3t/a，作为危废委托有资质单位处理。</w:t>
      </w:r>
    </w:p>
    <w:p w14:paraId="64DEF562">
      <w:pPr>
        <w:rPr>
          <w:rFonts w:hint="eastAsia" w:eastAsia="仿宋_GB2312"/>
          <w:color w:val="auto"/>
          <w:lang w:eastAsia="zh-CN"/>
        </w:rPr>
      </w:pPr>
      <w:r>
        <w:rPr>
          <w:rFonts w:hint="eastAsia"/>
          <w:color w:val="auto"/>
          <w:lang w:eastAsia="zh-CN"/>
        </w:rPr>
        <w:t>（</w:t>
      </w:r>
      <w:r>
        <w:rPr>
          <w:rFonts w:hint="eastAsia"/>
          <w:color w:val="auto"/>
          <w:lang w:val="en-US" w:eastAsia="zh-CN"/>
        </w:rPr>
        <w:t>5</w:t>
      </w:r>
      <w:r>
        <w:rPr>
          <w:rFonts w:hint="eastAsia"/>
          <w:color w:val="auto"/>
          <w:lang w:eastAsia="zh-CN"/>
        </w:rPr>
        <w:t>）</w:t>
      </w:r>
      <w:r>
        <w:rPr>
          <w:rFonts w:hint="eastAsia"/>
          <w:color w:val="auto"/>
        </w:rPr>
        <w:t>研磨沉渣</w:t>
      </w:r>
      <w:r>
        <w:rPr>
          <w:rFonts w:hint="eastAsia"/>
          <w:color w:val="auto"/>
          <w:lang w:eastAsia="zh-CN"/>
        </w:rPr>
        <w:t>（</w:t>
      </w:r>
      <w:r>
        <w:rPr>
          <w:rFonts w:hint="eastAsia"/>
          <w:color w:val="auto"/>
          <w:lang w:val="en-US" w:eastAsia="zh-CN"/>
        </w:rPr>
        <w:t>S1-3、S1-6</w:t>
      </w:r>
      <w:r>
        <w:rPr>
          <w:rFonts w:hint="eastAsia"/>
          <w:color w:val="auto"/>
          <w:lang w:eastAsia="zh-CN"/>
        </w:rPr>
        <w:t>）</w:t>
      </w:r>
    </w:p>
    <w:p w14:paraId="677AF390">
      <w:pPr>
        <w:rPr>
          <w:rFonts w:hint="eastAsia"/>
          <w:color w:val="auto"/>
        </w:rPr>
      </w:pPr>
      <w:r>
        <w:rPr>
          <w:rFonts w:hint="eastAsia"/>
          <w:color w:val="auto"/>
        </w:rPr>
        <w:t>研磨废水处理系统产生的研磨沉渣约 2t/a ，统一收集后外售。</w:t>
      </w:r>
    </w:p>
    <w:p w14:paraId="4D454266">
      <w:pPr>
        <w:rPr>
          <w:rFonts w:hint="eastAsia" w:eastAsia="仿宋_GB2312"/>
          <w:color w:val="auto"/>
          <w:lang w:eastAsia="zh-CN"/>
        </w:rPr>
      </w:pPr>
      <w:r>
        <w:rPr>
          <w:rFonts w:hint="eastAsia"/>
          <w:color w:val="auto"/>
          <w:lang w:eastAsia="zh-CN"/>
        </w:rPr>
        <w:t>（</w:t>
      </w:r>
      <w:r>
        <w:rPr>
          <w:rFonts w:hint="eastAsia"/>
          <w:color w:val="auto"/>
          <w:lang w:val="en-US" w:eastAsia="zh-CN"/>
        </w:rPr>
        <w:t>6</w:t>
      </w:r>
      <w:r>
        <w:rPr>
          <w:rFonts w:hint="eastAsia"/>
          <w:color w:val="auto"/>
          <w:lang w:eastAsia="zh-CN"/>
        </w:rPr>
        <w:t>）</w:t>
      </w:r>
      <w:r>
        <w:rPr>
          <w:rFonts w:hint="eastAsia"/>
          <w:color w:val="auto"/>
        </w:rPr>
        <w:t>碱铜废液</w:t>
      </w:r>
      <w:r>
        <w:rPr>
          <w:rFonts w:hint="eastAsia"/>
          <w:color w:val="auto"/>
          <w:lang w:val="en-US" w:eastAsia="zh-CN"/>
        </w:rPr>
        <w:t>（S1-4）</w:t>
      </w:r>
    </w:p>
    <w:p w14:paraId="63399FEC">
      <w:pPr>
        <w:rPr>
          <w:rFonts w:hint="eastAsia"/>
          <w:color w:val="auto"/>
        </w:rPr>
      </w:pPr>
      <w:r>
        <w:rPr>
          <w:rFonts w:hint="eastAsia"/>
          <w:color w:val="auto"/>
        </w:rPr>
        <w:t>碱铜过程中产生的碱铜废液，产生量约 0.</w:t>
      </w:r>
      <w:r>
        <w:rPr>
          <w:rFonts w:hint="eastAsia"/>
          <w:color w:val="auto"/>
          <w:lang w:val="en-US" w:eastAsia="zh-CN"/>
        </w:rPr>
        <w:t>4</w:t>
      </w:r>
      <w:r>
        <w:rPr>
          <w:rFonts w:hint="eastAsia"/>
          <w:color w:val="auto"/>
        </w:rPr>
        <w:t>t/2a ，每两年更换一次，作为危废，委托有资质单位处理。</w:t>
      </w:r>
    </w:p>
    <w:p w14:paraId="2F48ED81">
      <w:pPr>
        <w:rPr>
          <w:rFonts w:hint="eastAsia" w:eastAsia="仿宋_GB2312"/>
          <w:color w:val="auto"/>
          <w:lang w:eastAsia="zh-CN"/>
        </w:rPr>
      </w:pPr>
      <w:r>
        <w:rPr>
          <w:rFonts w:hint="eastAsia"/>
          <w:color w:val="auto"/>
          <w:lang w:eastAsia="zh-CN"/>
        </w:rPr>
        <w:t>（</w:t>
      </w:r>
      <w:r>
        <w:rPr>
          <w:rFonts w:hint="eastAsia"/>
          <w:color w:val="auto"/>
          <w:lang w:val="en-US" w:eastAsia="zh-CN"/>
        </w:rPr>
        <w:t>7</w:t>
      </w:r>
      <w:r>
        <w:rPr>
          <w:rFonts w:hint="eastAsia"/>
          <w:color w:val="auto"/>
          <w:lang w:eastAsia="zh-CN"/>
        </w:rPr>
        <w:t>）</w:t>
      </w:r>
      <w:r>
        <w:rPr>
          <w:rFonts w:hint="eastAsia"/>
          <w:color w:val="auto"/>
        </w:rPr>
        <w:t>镀铜废液</w:t>
      </w:r>
      <w:r>
        <w:rPr>
          <w:rFonts w:hint="eastAsia"/>
          <w:color w:val="auto"/>
          <w:lang w:val="en-US" w:eastAsia="zh-CN"/>
        </w:rPr>
        <w:t>（S1-4）</w:t>
      </w:r>
    </w:p>
    <w:p w14:paraId="29375E4B">
      <w:pPr>
        <w:rPr>
          <w:rFonts w:hint="eastAsia"/>
          <w:color w:val="auto"/>
        </w:rPr>
      </w:pPr>
      <w:r>
        <w:rPr>
          <w:rFonts w:hint="eastAsia"/>
          <w:color w:val="auto"/>
        </w:rPr>
        <w:t>镀铜过程中产生的镀铜废液，产生量约 0.</w:t>
      </w:r>
      <w:r>
        <w:rPr>
          <w:rFonts w:hint="eastAsia"/>
          <w:color w:val="auto"/>
          <w:lang w:val="en-US" w:eastAsia="zh-CN"/>
        </w:rPr>
        <w:t>4</w:t>
      </w:r>
      <w:r>
        <w:rPr>
          <w:rFonts w:hint="eastAsia"/>
          <w:color w:val="auto"/>
        </w:rPr>
        <w:t>t/2a ，每两年更换一次，作为危废，委托有资质单位处理。</w:t>
      </w:r>
    </w:p>
    <w:p w14:paraId="163528AF">
      <w:pPr>
        <w:rPr>
          <w:rFonts w:hint="eastAsia" w:eastAsia="仿宋_GB2312"/>
          <w:color w:val="auto"/>
          <w:lang w:eastAsia="zh-CN"/>
        </w:rPr>
      </w:pPr>
      <w:r>
        <w:rPr>
          <w:rFonts w:hint="eastAsia" w:eastAsia="仿宋_GB2312"/>
          <w:color w:val="auto"/>
          <w:lang w:eastAsia="zh-CN"/>
        </w:rPr>
        <w:t>（</w:t>
      </w:r>
      <w:r>
        <w:rPr>
          <w:rFonts w:hint="eastAsia"/>
          <w:color w:val="auto"/>
          <w:lang w:val="en-US" w:eastAsia="zh-CN"/>
        </w:rPr>
        <w:t>8</w:t>
      </w:r>
      <w:r>
        <w:rPr>
          <w:rFonts w:hint="eastAsia" w:eastAsia="仿宋_GB2312"/>
          <w:color w:val="auto"/>
          <w:lang w:eastAsia="zh-CN"/>
        </w:rPr>
        <w:t>）</w:t>
      </w:r>
      <w:r>
        <w:rPr>
          <w:rFonts w:hint="eastAsia"/>
          <w:color w:val="auto"/>
        </w:rPr>
        <w:t>镀</w:t>
      </w:r>
      <w:r>
        <w:rPr>
          <w:rFonts w:hint="eastAsia"/>
          <w:color w:val="auto"/>
          <w:lang w:val="en-US" w:eastAsia="zh-CN"/>
        </w:rPr>
        <w:t>铬</w:t>
      </w:r>
      <w:r>
        <w:rPr>
          <w:rFonts w:hint="eastAsia"/>
          <w:color w:val="auto"/>
        </w:rPr>
        <w:t>废液</w:t>
      </w:r>
      <w:r>
        <w:rPr>
          <w:rFonts w:hint="eastAsia" w:ascii="Times New Roman" w:eastAsia="仿宋_GB2312"/>
          <w:color w:val="auto"/>
          <w:lang w:val="en-US" w:eastAsia="zh-CN"/>
        </w:rPr>
        <w:t>（S1-</w:t>
      </w:r>
      <w:r>
        <w:rPr>
          <w:rFonts w:hint="eastAsia"/>
          <w:color w:val="auto"/>
          <w:lang w:val="en-US" w:eastAsia="zh-CN"/>
        </w:rPr>
        <w:t>9、S2-6、S3-5</w:t>
      </w:r>
      <w:r>
        <w:rPr>
          <w:rFonts w:hint="eastAsia" w:ascii="Times New Roman" w:eastAsia="仿宋_GB2312"/>
          <w:color w:val="auto"/>
          <w:lang w:val="en-US" w:eastAsia="zh-CN"/>
        </w:rPr>
        <w:t>）</w:t>
      </w:r>
    </w:p>
    <w:p w14:paraId="7ECAAE32">
      <w:pPr>
        <w:rPr>
          <w:rFonts w:hint="eastAsia"/>
          <w:color w:val="auto"/>
        </w:rPr>
      </w:pPr>
      <w:r>
        <w:rPr>
          <w:rFonts w:hint="eastAsia"/>
          <w:color w:val="auto"/>
        </w:rPr>
        <w:t>镀</w:t>
      </w:r>
      <w:r>
        <w:rPr>
          <w:rFonts w:hint="eastAsia"/>
          <w:color w:val="auto"/>
          <w:lang w:val="en-US" w:eastAsia="zh-CN"/>
        </w:rPr>
        <w:t>铬</w:t>
      </w:r>
      <w:r>
        <w:rPr>
          <w:rFonts w:hint="eastAsia"/>
          <w:color w:val="auto"/>
        </w:rPr>
        <w:t>过程中产生的镀</w:t>
      </w:r>
      <w:r>
        <w:rPr>
          <w:rFonts w:hint="eastAsia"/>
          <w:color w:val="auto"/>
          <w:lang w:val="en-US" w:eastAsia="zh-CN"/>
        </w:rPr>
        <w:t>铬</w:t>
      </w:r>
      <w:r>
        <w:rPr>
          <w:rFonts w:hint="eastAsia"/>
          <w:color w:val="auto"/>
        </w:rPr>
        <w:t xml:space="preserve">废液，产生量约 </w:t>
      </w:r>
      <w:r>
        <w:rPr>
          <w:rFonts w:hint="eastAsia"/>
          <w:color w:val="auto"/>
          <w:lang w:val="en-US" w:eastAsia="zh-CN"/>
        </w:rPr>
        <w:t>1.2</w:t>
      </w:r>
      <w:r>
        <w:rPr>
          <w:rFonts w:hint="eastAsia"/>
          <w:color w:val="auto"/>
        </w:rPr>
        <w:t>t/2a ，每两年更换一次，作为危废，委托有资质单位处理。</w:t>
      </w:r>
    </w:p>
    <w:p w14:paraId="64EECD7E">
      <w:pPr>
        <w:rPr>
          <w:rFonts w:hint="eastAsia" w:eastAsia="仿宋_GB2312"/>
          <w:color w:val="auto"/>
          <w:lang w:val="en-US" w:eastAsia="zh-CN"/>
        </w:rPr>
      </w:pPr>
      <w:r>
        <w:rPr>
          <w:rFonts w:hint="eastAsia"/>
          <w:color w:val="auto"/>
          <w:lang w:eastAsia="zh-CN"/>
        </w:rPr>
        <w:t>（</w:t>
      </w:r>
      <w:r>
        <w:rPr>
          <w:rFonts w:hint="eastAsia"/>
          <w:color w:val="auto"/>
          <w:lang w:val="en-US" w:eastAsia="zh-CN"/>
        </w:rPr>
        <w:t>9</w:t>
      </w:r>
      <w:r>
        <w:rPr>
          <w:rFonts w:hint="eastAsia"/>
          <w:color w:val="auto"/>
          <w:lang w:eastAsia="zh-CN"/>
        </w:rPr>
        <w:t>）</w:t>
      </w:r>
      <w:r>
        <w:rPr>
          <w:rFonts w:hint="eastAsia"/>
          <w:color w:val="auto"/>
        </w:rPr>
        <w:t>废</w:t>
      </w:r>
      <w:r>
        <w:rPr>
          <w:rFonts w:hint="eastAsia"/>
          <w:color w:val="auto"/>
          <w:lang w:val="en-US" w:eastAsia="zh-CN"/>
        </w:rPr>
        <w:t>油墨（S1-10）</w:t>
      </w:r>
    </w:p>
    <w:p w14:paraId="1B575825">
      <w:pPr>
        <w:rPr>
          <w:rFonts w:hint="eastAsia"/>
          <w:color w:val="auto"/>
        </w:rPr>
      </w:pPr>
      <w:r>
        <w:rPr>
          <w:rFonts w:hint="eastAsia"/>
          <w:color w:val="auto"/>
          <w:lang w:val="en-US" w:eastAsia="zh-CN"/>
        </w:rPr>
        <w:t>打样油墨使用过程短时间未使用油墨需废弃，预计产生量</w:t>
      </w:r>
      <w:r>
        <w:rPr>
          <w:rFonts w:hint="eastAsia"/>
          <w:color w:val="auto"/>
        </w:rPr>
        <w:t xml:space="preserve">约 </w:t>
      </w:r>
      <w:r>
        <w:rPr>
          <w:rFonts w:hint="eastAsia"/>
          <w:color w:val="auto"/>
          <w:lang w:val="en-US" w:eastAsia="zh-CN"/>
        </w:rPr>
        <w:t>0.2</w:t>
      </w:r>
      <w:r>
        <w:rPr>
          <w:rFonts w:hint="eastAsia"/>
          <w:color w:val="auto"/>
        </w:rPr>
        <w:t>t/a，作为危废，委托有资质单位处理。</w:t>
      </w:r>
    </w:p>
    <w:p w14:paraId="74656169">
      <w:pPr>
        <w:rPr>
          <w:rFonts w:hint="eastAsia" w:eastAsia="仿宋_GB2312"/>
          <w:color w:val="auto"/>
          <w:lang w:eastAsia="zh-CN"/>
        </w:rPr>
      </w:pPr>
      <w:r>
        <w:rPr>
          <w:rFonts w:hint="eastAsia" w:eastAsia="仿宋_GB2312"/>
          <w:color w:val="auto"/>
          <w:lang w:eastAsia="zh-CN"/>
        </w:rPr>
        <w:t>（</w:t>
      </w:r>
      <w:r>
        <w:rPr>
          <w:rFonts w:hint="eastAsia" w:ascii="Times New Roman" w:eastAsia="仿宋_GB2312"/>
          <w:color w:val="auto"/>
          <w:lang w:val="en-US" w:eastAsia="zh-CN"/>
        </w:rPr>
        <w:t>1</w:t>
      </w:r>
      <w:r>
        <w:rPr>
          <w:rFonts w:hint="eastAsia"/>
          <w:color w:val="auto"/>
          <w:lang w:val="en-US" w:eastAsia="zh-CN"/>
        </w:rPr>
        <w:t>0</w:t>
      </w:r>
      <w:r>
        <w:rPr>
          <w:rFonts w:hint="eastAsia" w:eastAsia="仿宋_GB2312"/>
          <w:color w:val="auto"/>
          <w:lang w:eastAsia="zh-CN"/>
        </w:rPr>
        <w:t>）</w:t>
      </w:r>
      <w:r>
        <w:rPr>
          <w:rFonts w:hint="eastAsia"/>
          <w:color w:val="auto"/>
          <w:lang w:val="en-US" w:eastAsia="zh-CN"/>
        </w:rPr>
        <w:t>钢板清洗污泥</w:t>
      </w:r>
      <w:r>
        <w:rPr>
          <w:rFonts w:hint="eastAsia" w:ascii="Times New Roman" w:eastAsia="仿宋_GB2312"/>
          <w:color w:val="auto"/>
          <w:lang w:val="en-US" w:eastAsia="zh-CN"/>
        </w:rPr>
        <w:t>（S</w:t>
      </w:r>
      <w:r>
        <w:rPr>
          <w:rFonts w:hint="eastAsia"/>
          <w:color w:val="auto"/>
          <w:lang w:val="en-US" w:eastAsia="zh-CN"/>
        </w:rPr>
        <w:t>2-2</w:t>
      </w:r>
      <w:r>
        <w:rPr>
          <w:rFonts w:hint="eastAsia" w:ascii="Times New Roman" w:eastAsia="仿宋_GB2312"/>
          <w:color w:val="auto"/>
          <w:lang w:val="en-US" w:eastAsia="zh-CN"/>
        </w:rPr>
        <w:t>）</w:t>
      </w:r>
    </w:p>
    <w:p w14:paraId="65278591">
      <w:pPr>
        <w:rPr>
          <w:rFonts w:hint="eastAsia"/>
          <w:color w:val="auto"/>
        </w:rPr>
      </w:pPr>
      <w:r>
        <w:rPr>
          <w:rFonts w:hint="eastAsia"/>
          <w:color w:val="auto"/>
          <w:lang w:val="en-US" w:eastAsia="zh-CN"/>
        </w:rPr>
        <w:t>钢板清洗</w:t>
      </w:r>
      <w:r>
        <w:rPr>
          <w:rFonts w:hint="eastAsia"/>
          <w:color w:val="auto"/>
        </w:rPr>
        <w:t>过程中产生的镀</w:t>
      </w:r>
      <w:r>
        <w:rPr>
          <w:rFonts w:hint="eastAsia" w:ascii="Times New Roman" w:eastAsia="仿宋_GB2312"/>
          <w:color w:val="auto"/>
          <w:lang w:val="en-US" w:eastAsia="zh-CN"/>
        </w:rPr>
        <w:t>铬</w:t>
      </w:r>
      <w:r>
        <w:rPr>
          <w:rFonts w:hint="eastAsia"/>
          <w:color w:val="auto"/>
        </w:rPr>
        <w:t>废液，产生量约0.</w:t>
      </w:r>
      <w:r>
        <w:rPr>
          <w:rFonts w:hint="eastAsia"/>
          <w:color w:val="auto"/>
          <w:lang w:val="en-US" w:eastAsia="zh-CN"/>
        </w:rPr>
        <w:t>3</w:t>
      </w:r>
      <w:r>
        <w:rPr>
          <w:rFonts w:hint="eastAsia"/>
          <w:color w:val="auto"/>
        </w:rPr>
        <w:t>t/</w:t>
      </w:r>
      <w:r>
        <w:rPr>
          <w:rFonts w:hint="eastAsia"/>
          <w:color w:val="auto"/>
          <w:lang w:val="en-US" w:eastAsia="zh-CN"/>
        </w:rPr>
        <w:t>3</w:t>
      </w:r>
      <w:r>
        <w:rPr>
          <w:rFonts w:hint="eastAsia"/>
          <w:color w:val="auto"/>
        </w:rPr>
        <w:t>a ，每</w:t>
      </w:r>
      <w:r>
        <w:rPr>
          <w:rFonts w:hint="eastAsia"/>
          <w:color w:val="auto"/>
          <w:lang w:val="en-US" w:eastAsia="zh-CN"/>
        </w:rPr>
        <w:t>3</w:t>
      </w:r>
      <w:r>
        <w:rPr>
          <w:rFonts w:hint="eastAsia"/>
          <w:color w:val="auto"/>
        </w:rPr>
        <w:t>年更换一次，作为危废，委托有资质单位处理。</w:t>
      </w:r>
    </w:p>
    <w:p w14:paraId="32976DED">
      <w:pPr>
        <w:rPr>
          <w:rFonts w:hint="eastAsia" w:eastAsia="仿宋_GB2312"/>
          <w:color w:val="auto"/>
          <w:lang w:eastAsia="zh-CN"/>
        </w:rPr>
      </w:pPr>
      <w:r>
        <w:rPr>
          <w:rFonts w:hint="eastAsia"/>
          <w:color w:val="auto"/>
          <w:lang w:eastAsia="zh-CN"/>
        </w:rPr>
        <w:t>（</w:t>
      </w:r>
      <w:r>
        <w:rPr>
          <w:rFonts w:hint="eastAsia"/>
          <w:color w:val="auto"/>
          <w:lang w:val="en-US" w:eastAsia="zh-CN"/>
        </w:rPr>
        <w:t>11</w:t>
      </w:r>
      <w:r>
        <w:rPr>
          <w:rFonts w:hint="eastAsia"/>
          <w:color w:val="auto"/>
          <w:lang w:eastAsia="zh-CN"/>
        </w:rPr>
        <w:t>）</w:t>
      </w:r>
      <w:r>
        <w:rPr>
          <w:rFonts w:hint="eastAsia"/>
          <w:color w:val="auto"/>
        </w:rPr>
        <w:t>腐蚀槽渣</w:t>
      </w:r>
      <w:r>
        <w:rPr>
          <w:rFonts w:hint="eastAsia"/>
          <w:color w:val="auto"/>
          <w:lang w:eastAsia="zh-CN"/>
        </w:rPr>
        <w:t>（</w:t>
      </w:r>
      <w:r>
        <w:rPr>
          <w:rFonts w:hint="eastAsia"/>
          <w:color w:val="auto"/>
          <w:lang w:val="en-US" w:eastAsia="zh-CN"/>
        </w:rPr>
        <w:t>S2-3、S3-3</w:t>
      </w:r>
      <w:r>
        <w:rPr>
          <w:rFonts w:hint="eastAsia"/>
          <w:color w:val="auto"/>
          <w:lang w:eastAsia="zh-CN"/>
        </w:rPr>
        <w:t>）</w:t>
      </w:r>
    </w:p>
    <w:p w14:paraId="078CEBF7">
      <w:pPr>
        <w:rPr>
          <w:rFonts w:hint="eastAsia"/>
          <w:color w:val="auto"/>
        </w:rPr>
      </w:pPr>
      <w:r>
        <w:rPr>
          <w:rFonts w:hint="eastAsia"/>
          <w:color w:val="auto"/>
        </w:rPr>
        <w:t>腐蚀槽产生的腐蚀槽渣，产生量约</w:t>
      </w:r>
      <w:r>
        <w:rPr>
          <w:rFonts w:hint="eastAsia"/>
          <w:color w:val="auto"/>
          <w:lang w:val="en-US" w:eastAsia="zh-CN"/>
        </w:rPr>
        <w:t>2</w:t>
      </w:r>
      <w:r>
        <w:rPr>
          <w:rFonts w:hint="eastAsia"/>
          <w:color w:val="auto"/>
        </w:rPr>
        <w:t>t/a ，作为危废委托有资质单位处理。</w:t>
      </w:r>
    </w:p>
    <w:p w14:paraId="564009C3">
      <w:pPr>
        <w:rPr>
          <w:rFonts w:hint="eastAsia" w:eastAsia="仿宋_GB2312"/>
          <w:color w:val="auto"/>
          <w:lang w:eastAsia="zh-CN"/>
        </w:rPr>
      </w:pPr>
      <w:r>
        <w:rPr>
          <w:rFonts w:hint="eastAsia" w:eastAsia="仿宋_GB2312"/>
          <w:color w:val="auto"/>
          <w:lang w:eastAsia="zh-CN"/>
        </w:rPr>
        <w:t>（</w:t>
      </w:r>
      <w:r>
        <w:rPr>
          <w:rFonts w:hint="eastAsia"/>
          <w:color w:val="auto"/>
          <w:lang w:val="en-US" w:eastAsia="zh-CN"/>
        </w:rPr>
        <w:t>12</w:t>
      </w:r>
      <w:r>
        <w:rPr>
          <w:rFonts w:hint="eastAsia" w:eastAsia="仿宋_GB2312"/>
          <w:color w:val="auto"/>
          <w:lang w:eastAsia="zh-CN"/>
        </w:rPr>
        <w:t>）</w:t>
      </w:r>
      <w:r>
        <w:rPr>
          <w:rFonts w:hint="eastAsia"/>
          <w:color w:val="auto"/>
        </w:rPr>
        <w:t>废</w:t>
      </w:r>
      <w:r>
        <w:rPr>
          <w:rFonts w:hint="eastAsia" w:ascii="Times New Roman" w:eastAsia="仿宋_GB2312"/>
          <w:color w:val="auto"/>
          <w:lang w:val="en-US" w:eastAsia="zh-CN"/>
        </w:rPr>
        <w:t>砂轮</w:t>
      </w:r>
      <w:r>
        <w:rPr>
          <w:rFonts w:hint="eastAsia"/>
          <w:color w:val="auto"/>
          <w:lang w:val="en-US" w:eastAsia="zh-CN"/>
        </w:rPr>
        <w:t>（S2-8）</w:t>
      </w:r>
    </w:p>
    <w:p w14:paraId="1F1BA902">
      <w:pPr>
        <w:rPr>
          <w:rFonts w:hint="eastAsia"/>
          <w:color w:val="auto"/>
        </w:rPr>
      </w:pPr>
      <w:r>
        <w:rPr>
          <w:rFonts w:hint="eastAsia"/>
          <w:color w:val="auto"/>
        </w:rPr>
        <w:t>生产过程中</w:t>
      </w:r>
      <w:r>
        <w:rPr>
          <w:rFonts w:hint="eastAsia" w:ascii="Times New Roman" w:eastAsia="仿宋_GB2312"/>
          <w:color w:val="auto"/>
          <w:lang w:val="en-US" w:eastAsia="zh-CN"/>
        </w:rPr>
        <w:t>砂轮</w:t>
      </w:r>
      <w:r>
        <w:rPr>
          <w:rFonts w:hint="eastAsia"/>
          <w:color w:val="auto"/>
        </w:rPr>
        <w:t>使用量为 1t/a ，</w:t>
      </w:r>
      <w:r>
        <w:rPr>
          <w:rFonts w:hint="eastAsia" w:ascii="Times New Roman" w:eastAsia="仿宋_GB2312"/>
          <w:color w:val="auto"/>
          <w:lang w:val="en-US" w:eastAsia="zh-CN"/>
        </w:rPr>
        <w:t>不考虑损耗，</w:t>
      </w:r>
      <w:r>
        <w:rPr>
          <w:rFonts w:hint="eastAsia"/>
          <w:color w:val="auto"/>
        </w:rPr>
        <w:t>则废</w:t>
      </w:r>
      <w:r>
        <w:rPr>
          <w:rFonts w:hint="eastAsia" w:ascii="Times New Roman" w:eastAsia="仿宋_GB2312"/>
          <w:color w:val="auto"/>
          <w:lang w:val="en-US" w:eastAsia="zh-CN"/>
        </w:rPr>
        <w:t>砂轮</w:t>
      </w:r>
      <w:r>
        <w:rPr>
          <w:rFonts w:hint="eastAsia"/>
          <w:color w:val="auto"/>
        </w:rPr>
        <w:t>产生量为 1t/a ，外售处理。</w:t>
      </w:r>
    </w:p>
    <w:p w14:paraId="321B23E8">
      <w:pPr>
        <w:rPr>
          <w:rFonts w:hint="eastAsia" w:eastAsia="仿宋_GB2312"/>
          <w:color w:val="auto"/>
          <w:lang w:eastAsia="zh-CN"/>
        </w:rPr>
      </w:pPr>
      <w:r>
        <w:rPr>
          <w:rFonts w:hint="eastAsia"/>
          <w:color w:val="auto"/>
          <w:lang w:eastAsia="zh-CN"/>
        </w:rPr>
        <w:t>（</w:t>
      </w:r>
      <w:r>
        <w:rPr>
          <w:rFonts w:hint="eastAsia"/>
          <w:color w:val="auto"/>
          <w:lang w:val="en-US" w:eastAsia="zh-CN"/>
        </w:rPr>
        <w:t>13</w:t>
      </w:r>
      <w:r>
        <w:rPr>
          <w:rFonts w:hint="eastAsia"/>
          <w:color w:val="auto"/>
          <w:lang w:eastAsia="zh-CN"/>
        </w:rPr>
        <w:t>）</w:t>
      </w:r>
      <w:r>
        <w:rPr>
          <w:rFonts w:hint="eastAsia"/>
          <w:color w:val="auto"/>
        </w:rPr>
        <w:t>脱脂废液</w:t>
      </w:r>
      <w:r>
        <w:rPr>
          <w:rFonts w:hint="eastAsia"/>
          <w:color w:val="auto"/>
          <w:lang w:eastAsia="zh-CN"/>
        </w:rPr>
        <w:t>（</w:t>
      </w:r>
      <w:r>
        <w:rPr>
          <w:rFonts w:hint="eastAsia"/>
          <w:color w:val="auto"/>
          <w:lang w:val="en-US" w:eastAsia="zh-CN"/>
        </w:rPr>
        <w:t>S3-1</w:t>
      </w:r>
      <w:r>
        <w:rPr>
          <w:rFonts w:hint="eastAsia"/>
          <w:color w:val="auto"/>
          <w:lang w:eastAsia="zh-CN"/>
        </w:rPr>
        <w:t>）</w:t>
      </w:r>
    </w:p>
    <w:p w14:paraId="649FDCE0">
      <w:pPr>
        <w:rPr>
          <w:rFonts w:hint="eastAsia"/>
          <w:color w:val="auto"/>
        </w:rPr>
      </w:pPr>
      <w:r>
        <w:rPr>
          <w:rFonts w:hint="eastAsia"/>
          <w:color w:val="auto"/>
        </w:rPr>
        <w:t>脱脂过程中产生的脱脂废液，产生量约 0.01t/2a ，每两年更换一次，作为危废，委托有资质单位处理。</w:t>
      </w:r>
    </w:p>
    <w:p w14:paraId="70A73D3F">
      <w:pPr>
        <w:rPr>
          <w:rFonts w:hint="eastAsia" w:eastAsia="仿宋_GB2312"/>
          <w:color w:val="auto"/>
          <w:lang w:eastAsia="zh-CN"/>
        </w:rPr>
      </w:pPr>
      <w:r>
        <w:rPr>
          <w:rFonts w:hint="eastAsia"/>
          <w:color w:val="auto"/>
          <w:lang w:eastAsia="zh-CN"/>
        </w:rPr>
        <w:t>（</w:t>
      </w:r>
      <w:r>
        <w:rPr>
          <w:rFonts w:hint="eastAsia"/>
          <w:color w:val="auto"/>
          <w:lang w:val="en-US" w:eastAsia="zh-CN"/>
        </w:rPr>
        <w:t>14</w:t>
      </w:r>
      <w:r>
        <w:rPr>
          <w:rFonts w:hint="eastAsia"/>
          <w:color w:val="auto"/>
          <w:lang w:eastAsia="zh-CN"/>
        </w:rPr>
        <w:t>）</w:t>
      </w:r>
      <w:r>
        <w:rPr>
          <w:rFonts w:hint="eastAsia"/>
          <w:color w:val="auto"/>
        </w:rPr>
        <w:t>显影废液</w:t>
      </w:r>
      <w:r>
        <w:rPr>
          <w:rFonts w:hint="eastAsia"/>
          <w:color w:val="auto"/>
          <w:lang w:eastAsia="zh-CN"/>
        </w:rPr>
        <w:t>（</w:t>
      </w:r>
      <w:r>
        <w:rPr>
          <w:rFonts w:hint="eastAsia"/>
          <w:color w:val="auto"/>
          <w:lang w:val="en-US" w:eastAsia="zh-CN"/>
        </w:rPr>
        <w:t>S3-2</w:t>
      </w:r>
      <w:r>
        <w:rPr>
          <w:rFonts w:hint="eastAsia"/>
          <w:color w:val="auto"/>
          <w:lang w:eastAsia="zh-CN"/>
        </w:rPr>
        <w:t>）</w:t>
      </w:r>
    </w:p>
    <w:p w14:paraId="1175BF24">
      <w:pPr>
        <w:rPr>
          <w:rFonts w:hint="eastAsia"/>
          <w:color w:val="auto"/>
        </w:rPr>
      </w:pPr>
      <w:r>
        <w:rPr>
          <w:rFonts w:hint="eastAsia"/>
          <w:color w:val="auto"/>
        </w:rPr>
        <w:t>显影过程中产生的显影废液，产生量约 0.01t/2a ，每两年更换一次，作为危废，委托有资质单位处理。</w:t>
      </w:r>
    </w:p>
    <w:p w14:paraId="4F6AA04E">
      <w:pPr>
        <w:rPr>
          <w:rFonts w:hint="eastAsia" w:eastAsia="仿宋_GB2312"/>
          <w:color w:val="auto"/>
          <w:lang w:eastAsia="zh-CN"/>
        </w:rPr>
      </w:pPr>
      <w:r>
        <w:rPr>
          <w:rFonts w:hint="eastAsia" w:eastAsia="仿宋_GB2312"/>
          <w:color w:val="auto"/>
          <w:lang w:eastAsia="zh-CN"/>
        </w:rPr>
        <w:t>（</w:t>
      </w:r>
      <w:r>
        <w:rPr>
          <w:rFonts w:hint="eastAsia"/>
          <w:color w:val="auto"/>
          <w:lang w:val="en-US" w:eastAsia="zh-CN"/>
        </w:rPr>
        <w:t>15</w:t>
      </w:r>
      <w:r>
        <w:rPr>
          <w:rFonts w:hint="eastAsia" w:eastAsia="仿宋_GB2312"/>
          <w:color w:val="auto"/>
          <w:lang w:eastAsia="zh-CN"/>
        </w:rPr>
        <w:t>）</w:t>
      </w:r>
      <w:r>
        <w:rPr>
          <w:rFonts w:hint="eastAsia" w:ascii="Times New Roman" w:eastAsia="仿宋_GB2312"/>
          <w:color w:val="auto"/>
          <w:lang w:val="en-US" w:eastAsia="zh-CN"/>
        </w:rPr>
        <w:t>退膜</w:t>
      </w:r>
      <w:r>
        <w:rPr>
          <w:rFonts w:hint="eastAsia"/>
          <w:color w:val="auto"/>
        </w:rPr>
        <w:t>废液</w:t>
      </w:r>
      <w:r>
        <w:rPr>
          <w:rFonts w:hint="eastAsia"/>
          <w:color w:val="auto"/>
          <w:lang w:eastAsia="zh-CN"/>
        </w:rPr>
        <w:t>（</w:t>
      </w:r>
      <w:r>
        <w:rPr>
          <w:rFonts w:hint="eastAsia"/>
          <w:color w:val="auto"/>
          <w:lang w:val="en-US" w:eastAsia="zh-CN"/>
        </w:rPr>
        <w:t>S3-4</w:t>
      </w:r>
      <w:r>
        <w:rPr>
          <w:rFonts w:hint="eastAsia"/>
          <w:color w:val="auto"/>
          <w:lang w:eastAsia="zh-CN"/>
        </w:rPr>
        <w:t>）</w:t>
      </w:r>
    </w:p>
    <w:p w14:paraId="3671CF74">
      <w:pPr>
        <w:rPr>
          <w:rFonts w:hint="eastAsia"/>
          <w:color w:val="auto"/>
        </w:rPr>
      </w:pPr>
      <w:r>
        <w:rPr>
          <w:rFonts w:hint="eastAsia"/>
          <w:color w:val="auto"/>
        </w:rPr>
        <w:t>浸蚀过程中产生的浸蚀废液，产生量约 0.01t/2a ，每两年更换一次，作为危废，委托有资质单位处理。</w:t>
      </w:r>
    </w:p>
    <w:p w14:paraId="429392AF">
      <w:pPr>
        <w:rPr>
          <w:rFonts w:hint="eastAsia"/>
          <w:color w:val="auto"/>
        </w:rPr>
      </w:pPr>
      <w:r>
        <w:rPr>
          <w:rFonts w:hint="eastAsia" w:eastAsia="仿宋_GB2312"/>
          <w:color w:val="auto"/>
          <w:lang w:eastAsia="zh-CN"/>
        </w:rPr>
        <w:t>（</w:t>
      </w:r>
      <w:r>
        <w:rPr>
          <w:rFonts w:hint="eastAsia"/>
          <w:color w:val="auto"/>
          <w:lang w:val="en-US" w:eastAsia="zh-CN"/>
        </w:rPr>
        <w:t>16</w:t>
      </w:r>
      <w:r>
        <w:rPr>
          <w:rFonts w:hint="eastAsia" w:eastAsia="仿宋_GB2312"/>
          <w:color w:val="auto"/>
          <w:lang w:eastAsia="zh-CN"/>
        </w:rPr>
        <w:t>）</w:t>
      </w:r>
      <w:r>
        <w:rPr>
          <w:rFonts w:hint="eastAsia"/>
          <w:color w:val="auto"/>
        </w:rPr>
        <w:t>焊渣</w:t>
      </w:r>
    </w:p>
    <w:p w14:paraId="72C91A2C">
      <w:pPr>
        <w:rPr>
          <w:rFonts w:hint="eastAsia"/>
          <w:color w:val="auto"/>
        </w:rPr>
      </w:pPr>
      <w:r>
        <w:rPr>
          <w:rFonts w:hint="eastAsia"/>
          <w:color w:val="auto"/>
        </w:rPr>
        <w:t>本项目焊接过程中，全厂实心焊丝用量为</w:t>
      </w:r>
      <w:r>
        <w:rPr>
          <w:rFonts w:hint="eastAsia" w:ascii="Times New Roman" w:eastAsia="仿宋_GB2312"/>
          <w:color w:val="auto"/>
          <w:lang w:val="en-US" w:eastAsia="zh-CN"/>
        </w:rPr>
        <w:t>45</w:t>
      </w:r>
      <w:r>
        <w:rPr>
          <w:rFonts w:hint="eastAsia"/>
          <w:color w:val="auto"/>
        </w:rPr>
        <w:t>t/a，实心焊丝主要成分为金属，15%形成焊渣，则焊渣产生量为</w:t>
      </w:r>
      <w:r>
        <w:rPr>
          <w:rFonts w:hint="eastAsia" w:ascii="Times New Roman" w:eastAsia="仿宋_GB2312"/>
          <w:color w:val="auto"/>
          <w:lang w:val="en-US" w:eastAsia="zh-CN"/>
        </w:rPr>
        <w:t>6.75</w:t>
      </w:r>
      <w:r>
        <w:rPr>
          <w:rFonts w:hint="eastAsia"/>
          <w:color w:val="auto"/>
        </w:rPr>
        <w:t>t/a，外售处理。</w:t>
      </w:r>
    </w:p>
    <w:p w14:paraId="18B1BEF7">
      <w:pPr>
        <w:rPr>
          <w:rFonts w:hint="eastAsia"/>
          <w:color w:val="auto"/>
        </w:rPr>
      </w:pPr>
      <w:r>
        <w:rPr>
          <w:rFonts w:hint="eastAsia"/>
          <w:color w:val="auto"/>
          <w:lang w:eastAsia="zh-CN"/>
        </w:rPr>
        <w:t>（</w:t>
      </w:r>
      <w:r>
        <w:rPr>
          <w:rFonts w:hint="eastAsia"/>
          <w:color w:val="auto"/>
          <w:lang w:val="en-US" w:eastAsia="zh-CN"/>
        </w:rPr>
        <w:t>17</w:t>
      </w:r>
      <w:r>
        <w:rPr>
          <w:rFonts w:hint="eastAsia"/>
          <w:color w:val="auto"/>
          <w:lang w:eastAsia="zh-CN"/>
        </w:rPr>
        <w:t>）</w:t>
      </w:r>
      <w:r>
        <w:rPr>
          <w:rFonts w:hint="eastAsia"/>
          <w:color w:val="auto"/>
        </w:rPr>
        <w:t>含铬污泥</w:t>
      </w:r>
    </w:p>
    <w:p w14:paraId="543C1F26">
      <w:pPr>
        <w:rPr>
          <w:rFonts w:hint="eastAsia"/>
          <w:color w:val="auto"/>
        </w:rPr>
      </w:pPr>
      <w:r>
        <w:rPr>
          <w:rFonts w:hint="eastAsia"/>
          <w:color w:val="auto"/>
        </w:rPr>
        <w:t>含铬废水预处理过程中产生的含铬污泥产生量按废水产生量（3008.254t/a）的 8‰计算，则含铬污泥产生量约 24t/a ，作为危废，委托有资质单位处理。</w:t>
      </w:r>
    </w:p>
    <w:p w14:paraId="60716BCB">
      <w:pPr>
        <w:rPr>
          <w:rFonts w:hint="eastAsia"/>
          <w:color w:val="auto"/>
        </w:rPr>
      </w:pPr>
      <w:r>
        <w:rPr>
          <w:rFonts w:hint="eastAsia"/>
          <w:color w:val="auto"/>
          <w:lang w:eastAsia="zh-CN"/>
        </w:rPr>
        <w:t>（</w:t>
      </w:r>
      <w:r>
        <w:rPr>
          <w:rFonts w:hint="eastAsia"/>
          <w:color w:val="auto"/>
          <w:lang w:val="en-US" w:eastAsia="zh-CN"/>
        </w:rPr>
        <w:t>18</w:t>
      </w:r>
      <w:r>
        <w:rPr>
          <w:rFonts w:hint="eastAsia"/>
          <w:color w:val="auto"/>
          <w:lang w:eastAsia="zh-CN"/>
        </w:rPr>
        <w:t>）</w:t>
      </w:r>
      <w:r>
        <w:rPr>
          <w:rFonts w:hint="eastAsia"/>
          <w:color w:val="auto"/>
        </w:rPr>
        <w:t>含铜污泥</w:t>
      </w:r>
    </w:p>
    <w:p w14:paraId="571EB6CE">
      <w:pPr>
        <w:rPr>
          <w:rFonts w:hint="eastAsia"/>
          <w:color w:val="auto"/>
        </w:rPr>
      </w:pPr>
      <w:r>
        <w:rPr>
          <w:rFonts w:hint="eastAsia"/>
          <w:color w:val="auto"/>
        </w:rPr>
        <w:t>含铜废水预处理过程中产生的含铜污泥产生量按废水产生量（1745.397t/a）的 8‰计算，则含铜污泥产生量约 14t/a ，作为危废，委托有资质单位处理。</w:t>
      </w:r>
    </w:p>
    <w:p w14:paraId="05D7A64A">
      <w:pPr>
        <w:rPr>
          <w:rFonts w:hint="eastAsia"/>
          <w:color w:val="auto"/>
        </w:rPr>
      </w:pPr>
      <w:r>
        <w:rPr>
          <w:rFonts w:hint="eastAsia"/>
          <w:color w:val="auto"/>
          <w:lang w:eastAsia="zh-CN"/>
        </w:rPr>
        <w:t>（</w:t>
      </w:r>
      <w:r>
        <w:rPr>
          <w:rFonts w:hint="eastAsia"/>
          <w:color w:val="auto"/>
          <w:lang w:val="en-US" w:eastAsia="zh-CN"/>
        </w:rPr>
        <w:t>19</w:t>
      </w:r>
      <w:r>
        <w:rPr>
          <w:rFonts w:hint="eastAsia"/>
          <w:color w:val="auto"/>
          <w:lang w:eastAsia="zh-CN"/>
        </w:rPr>
        <w:t>）</w:t>
      </w:r>
      <w:r>
        <w:rPr>
          <w:rFonts w:hint="eastAsia"/>
          <w:color w:val="auto"/>
          <w:lang w:val="en-US" w:eastAsia="zh-CN"/>
        </w:rPr>
        <w:t>综合废水处理污泥</w:t>
      </w:r>
    </w:p>
    <w:p w14:paraId="2C53E333">
      <w:pPr>
        <w:rPr>
          <w:rFonts w:hint="eastAsia"/>
          <w:color w:val="auto"/>
        </w:rPr>
      </w:pPr>
      <w:r>
        <w:rPr>
          <w:rFonts w:hint="eastAsia"/>
          <w:color w:val="auto"/>
          <w:lang w:val="en-US" w:eastAsia="zh-CN"/>
        </w:rPr>
        <w:t>综合废水处理污泥按</w:t>
      </w:r>
      <w:r>
        <w:rPr>
          <w:rFonts w:hint="eastAsia"/>
          <w:color w:val="auto"/>
        </w:rPr>
        <w:t>废水产生量（1745.397t/a）的 8‰计算，则含铜污泥产生量约 14t/a ，作为危废，委托有资质单位处理。</w:t>
      </w:r>
    </w:p>
    <w:p w14:paraId="120BB57E">
      <w:pPr>
        <w:rPr>
          <w:rFonts w:hint="eastAsia"/>
          <w:color w:val="auto"/>
        </w:rPr>
      </w:pPr>
      <w:r>
        <w:rPr>
          <w:rFonts w:hint="eastAsia" w:eastAsia="仿宋_GB2312"/>
          <w:color w:val="auto"/>
          <w:lang w:eastAsia="zh-CN"/>
        </w:rPr>
        <w:t>（</w:t>
      </w:r>
      <w:r>
        <w:rPr>
          <w:rFonts w:hint="eastAsia"/>
          <w:color w:val="auto"/>
          <w:lang w:val="en-US" w:eastAsia="zh-CN"/>
        </w:rPr>
        <w:t>20</w:t>
      </w:r>
      <w:r>
        <w:rPr>
          <w:rFonts w:hint="eastAsia" w:eastAsia="仿宋_GB2312"/>
          <w:color w:val="auto"/>
          <w:lang w:eastAsia="zh-CN"/>
        </w:rPr>
        <w:t>）</w:t>
      </w:r>
      <w:r>
        <w:rPr>
          <w:rFonts w:hint="eastAsia"/>
          <w:color w:val="auto"/>
        </w:rPr>
        <w:t>蒸发残渣</w:t>
      </w:r>
    </w:p>
    <w:p w14:paraId="35DB77AE">
      <w:pPr>
        <w:rPr>
          <w:rFonts w:hint="eastAsia"/>
          <w:color w:val="auto"/>
        </w:rPr>
      </w:pPr>
      <w:r>
        <w:rPr>
          <w:rFonts w:hint="eastAsia"/>
          <w:color w:val="auto"/>
        </w:rPr>
        <w:t>MVR 蒸发后产生蒸发浓缩液为 148.299t/a ，为了节能减排，企业在 MVR 蒸发装置后段加设离心甩干装置，通过高速旋转产生的离心力使污泥中的水分和固体分离，则离心甩干后蒸发残渣产生量按蒸发浓缩液产生量的 20％计，则蒸发残渣产生量为 30t/a ，作为危废，委托有资质单位处理。</w:t>
      </w:r>
    </w:p>
    <w:p w14:paraId="1E0F742A">
      <w:pPr>
        <w:rPr>
          <w:rFonts w:hint="default" w:eastAsia="仿宋_GB2312"/>
          <w:color w:val="auto"/>
          <w:lang w:val="en-US" w:eastAsia="zh-CN"/>
        </w:rPr>
      </w:pPr>
      <w:r>
        <w:rPr>
          <w:rFonts w:hint="eastAsia"/>
          <w:color w:val="auto"/>
          <w:lang w:eastAsia="zh-CN"/>
        </w:rPr>
        <w:t>（</w:t>
      </w:r>
      <w:r>
        <w:rPr>
          <w:rFonts w:hint="eastAsia"/>
          <w:color w:val="auto"/>
          <w:lang w:val="en-US" w:eastAsia="zh-CN"/>
        </w:rPr>
        <w:t>21</w:t>
      </w:r>
      <w:r>
        <w:rPr>
          <w:rFonts w:hint="eastAsia"/>
          <w:color w:val="auto"/>
          <w:lang w:eastAsia="zh-CN"/>
        </w:rPr>
        <w:t>）</w:t>
      </w:r>
      <w:r>
        <w:rPr>
          <w:rFonts w:hint="eastAsia"/>
          <w:color w:val="auto"/>
          <w:lang w:val="en-US" w:eastAsia="zh-CN"/>
        </w:rPr>
        <w:t>纯水处理废滤芯</w:t>
      </w:r>
    </w:p>
    <w:p w14:paraId="70C009A7">
      <w:pPr>
        <w:rPr>
          <w:rFonts w:hint="eastAsia"/>
          <w:color w:val="auto"/>
        </w:rPr>
      </w:pPr>
      <w:r>
        <w:rPr>
          <w:rFonts w:hint="eastAsia"/>
          <w:color w:val="auto"/>
          <w:lang w:val="en-US" w:eastAsia="zh-CN"/>
        </w:rPr>
        <w:t>自来水制备</w:t>
      </w:r>
      <w:r>
        <w:rPr>
          <w:rFonts w:hint="eastAsia"/>
          <w:color w:val="auto"/>
        </w:rPr>
        <w:t>纯水</w:t>
      </w:r>
      <w:r>
        <w:rPr>
          <w:rFonts w:hint="eastAsia"/>
          <w:color w:val="auto"/>
          <w:lang w:val="en-US" w:eastAsia="zh-CN"/>
        </w:rPr>
        <w:t>过程，</w:t>
      </w:r>
      <w:r>
        <w:rPr>
          <w:rFonts w:hint="eastAsia"/>
          <w:color w:val="auto"/>
        </w:rPr>
        <w:t>过滤系统更换会产生废滤芯、废 RO 膜约 8t/a ，作为</w:t>
      </w:r>
      <w:r>
        <w:rPr>
          <w:rFonts w:hint="eastAsia"/>
          <w:color w:val="auto"/>
          <w:lang w:val="en-US" w:eastAsia="zh-CN"/>
        </w:rPr>
        <w:t>一般固废处理</w:t>
      </w:r>
      <w:r>
        <w:rPr>
          <w:rFonts w:hint="eastAsia"/>
          <w:color w:val="auto"/>
        </w:rPr>
        <w:t>。</w:t>
      </w:r>
    </w:p>
    <w:p w14:paraId="61DEA8AA">
      <w:pPr>
        <w:rPr>
          <w:rFonts w:hint="default" w:eastAsia="仿宋_GB2312"/>
          <w:color w:val="auto"/>
          <w:lang w:val="en-US" w:eastAsia="zh-CN"/>
        </w:rPr>
      </w:pPr>
      <w:r>
        <w:rPr>
          <w:rFonts w:hint="eastAsia"/>
          <w:color w:val="auto"/>
          <w:lang w:eastAsia="zh-CN"/>
        </w:rPr>
        <w:t>（</w:t>
      </w:r>
      <w:r>
        <w:rPr>
          <w:rFonts w:hint="eastAsia"/>
          <w:color w:val="auto"/>
          <w:lang w:val="en-US" w:eastAsia="zh-CN"/>
        </w:rPr>
        <w:t>22</w:t>
      </w:r>
      <w:r>
        <w:rPr>
          <w:rFonts w:hint="eastAsia"/>
          <w:color w:val="auto"/>
          <w:lang w:eastAsia="zh-CN"/>
        </w:rPr>
        <w:t>）</w:t>
      </w:r>
      <w:r>
        <w:rPr>
          <w:rFonts w:hint="eastAsia"/>
          <w:color w:val="auto"/>
          <w:lang w:val="en-US" w:eastAsia="zh-CN"/>
        </w:rPr>
        <w:t>废水处理废滤芯</w:t>
      </w:r>
    </w:p>
    <w:p w14:paraId="0308CE80">
      <w:pPr>
        <w:rPr>
          <w:rFonts w:hint="eastAsia"/>
          <w:color w:val="auto"/>
        </w:rPr>
      </w:pPr>
      <w:r>
        <w:rPr>
          <w:rFonts w:hint="eastAsia"/>
          <w:color w:val="auto"/>
        </w:rPr>
        <w:t>废水处理过程中产生的废滤芯、废 RO 膜约 产生量约为</w:t>
      </w:r>
      <w:r>
        <w:rPr>
          <w:rFonts w:hint="eastAsia"/>
          <w:color w:val="auto"/>
          <w:lang w:val="en-US" w:eastAsia="zh-CN"/>
        </w:rPr>
        <w:t>3</w:t>
      </w:r>
      <w:r>
        <w:rPr>
          <w:rFonts w:hint="eastAsia"/>
          <w:color w:val="auto"/>
        </w:rPr>
        <w:t>t/a ，作为危废，委托有资质单位处理。</w:t>
      </w:r>
    </w:p>
    <w:p w14:paraId="3BAE548B">
      <w:pPr>
        <w:rPr>
          <w:rFonts w:hint="eastAsia"/>
          <w:color w:val="auto"/>
        </w:rPr>
      </w:pPr>
      <w:r>
        <w:rPr>
          <w:rFonts w:hint="eastAsia"/>
          <w:color w:val="auto"/>
          <w:lang w:eastAsia="zh-CN"/>
        </w:rPr>
        <w:t>（</w:t>
      </w:r>
      <w:r>
        <w:rPr>
          <w:rFonts w:hint="eastAsia"/>
          <w:color w:val="auto"/>
          <w:lang w:val="en-US" w:eastAsia="zh-CN"/>
        </w:rPr>
        <w:t>23</w:t>
      </w:r>
      <w:r>
        <w:rPr>
          <w:rFonts w:hint="eastAsia"/>
          <w:color w:val="auto"/>
          <w:lang w:eastAsia="zh-CN"/>
        </w:rPr>
        <w:t>）</w:t>
      </w:r>
      <w:r>
        <w:rPr>
          <w:rFonts w:hint="eastAsia"/>
          <w:color w:val="auto"/>
        </w:rPr>
        <w:t>废石英砂</w:t>
      </w:r>
    </w:p>
    <w:p w14:paraId="5C717E9B">
      <w:pPr>
        <w:rPr>
          <w:rFonts w:hint="eastAsia"/>
          <w:color w:val="auto"/>
        </w:rPr>
      </w:pPr>
      <w:r>
        <w:rPr>
          <w:rFonts w:hint="eastAsia"/>
          <w:color w:val="auto"/>
        </w:rPr>
        <w:t>废水处理过程中产生的废石英砂产生量约为</w:t>
      </w:r>
      <w:r>
        <w:rPr>
          <w:rFonts w:hint="eastAsia"/>
          <w:color w:val="auto"/>
          <w:lang w:val="en-US" w:eastAsia="zh-CN"/>
        </w:rPr>
        <w:t>3</w:t>
      </w:r>
      <w:r>
        <w:rPr>
          <w:rFonts w:hint="eastAsia"/>
          <w:color w:val="auto"/>
        </w:rPr>
        <w:t>t/a ，作为危废，委托有资质单位处理。</w:t>
      </w:r>
    </w:p>
    <w:p w14:paraId="1016882C">
      <w:pPr>
        <w:rPr>
          <w:rFonts w:hint="eastAsia"/>
          <w:color w:val="auto"/>
        </w:rPr>
      </w:pPr>
      <w:r>
        <w:rPr>
          <w:rFonts w:hint="eastAsia"/>
          <w:color w:val="auto"/>
          <w:lang w:eastAsia="zh-CN"/>
        </w:rPr>
        <w:t>（</w:t>
      </w:r>
      <w:r>
        <w:rPr>
          <w:rFonts w:hint="eastAsia"/>
          <w:color w:val="auto"/>
          <w:lang w:val="en-US" w:eastAsia="zh-CN"/>
        </w:rPr>
        <w:t>24</w:t>
      </w:r>
      <w:r>
        <w:rPr>
          <w:rFonts w:hint="eastAsia"/>
          <w:color w:val="auto"/>
          <w:lang w:eastAsia="zh-CN"/>
        </w:rPr>
        <w:t>）</w:t>
      </w:r>
      <w:r>
        <w:rPr>
          <w:rFonts w:hint="eastAsia"/>
          <w:color w:val="auto"/>
        </w:rPr>
        <w:t>废活性炭（废水处理）</w:t>
      </w:r>
    </w:p>
    <w:p w14:paraId="75CE3926">
      <w:pPr>
        <w:rPr>
          <w:rFonts w:hint="eastAsia"/>
          <w:color w:val="auto"/>
        </w:rPr>
      </w:pPr>
      <w:r>
        <w:rPr>
          <w:rFonts w:hint="eastAsia"/>
          <w:color w:val="auto"/>
        </w:rPr>
        <w:t>废水处理过程中产生的废活性炭产生量约为 0.5t/a ，作为危废，委托有资质单位处理。</w:t>
      </w:r>
    </w:p>
    <w:p w14:paraId="03799BA6">
      <w:pPr>
        <w:rPr>
          <w:rFonts w:hint="eastAsia"/>
          <w:color w:val="auto"/>
        </w:rPr>
      </w:pPr>
      <w:r>
        <w:rPr>
          <w:rFonts w:hint="eastAsia"/>
          <w:color w:val="auto"/>
          <w:lang w:eastAsia="zh-CN"/>
        </w:rPr>
        <w:t>（</w:t>
      </w:r>
      <w:r>
        <w:rPr>
          <w:rFonts w:hint="eastAsia"/>
          <w:color w:val="auto"/>
          <w:lang w:val="en-US" w:eastAsia="zh-CN"/>
        </w:rPr>
        <w:t>25</w:t>
      </w:r>
      <w:r>
        <w:rPr>
          <w:rFonts w:hint="eastAsia"/>
          <w:color w:val="auto"/>
          <w:lang w:eastAsia="zh-CN"/>
        </w:rPr>
        <w:t>）</w:t>
      </w:r>
      <w:r>
        <w:rPr>
          <w:rFonts w:hint="eastAsia"/>
          <w:color w:val="auto"/>
        </w:rPr>
        <w:t>废活性炭（废气处理）</w:t>
      </w:r>
    </w:p>
    <w:p w14:paraId="3F361FEC">
      <w:pPr>
        <w:rPr>
          <w:rFonts w:hint="eastAsia"/>
          <w:color w:val="auto"/>
        </w:rPr>
      </w:pPr>
      <w:r>
        <w:rPr>
          <w:rFonts w:hint="eastAsia"/>
          <w:color w:val="auto"/>
        </w:rPr>
        <w:t>根据废气分析章节活性炭计算过程可知，在满负荷运营情况下，企业年需要更换活性炭量约为 87.6t/a 。作为危废，委托有资质单位处理。</w:t>
      </w:r>
    </w:p>
    <w:p w14:paraId="479025C1">
      <w:pPr>
        <w:rPr>
          <w:rFonts w:hint="eastAsia"/>
          <w:color w:val="auto"/>
        </w:rPr>
      </w:pPr>
      <w:r>
        <w:rPr>
          <w:rFonts w:hint="eastAsia"/>
          <w:color w:val="auto"/>
          <w:lang w:eastAsia="zh-CN"/>
        </w:rPr>
        <w:t>（</w:t>
      </w:r>
      <w:r>
        <w:rPr>
          <w:rFonts w:hint="eastAsia"/>
          <w:color w:val="auto"/>
          <w:lang w:val="en-US" w:eastAsia="zh-CN"/>
        </w:rPr>
        <w:t>26</w:t>
      </w:r>
      <w:r>
        <w:rPr>
          <w:rFonts w:hint="eastAsia"/>
          <w:color w:val="auto"/>
          <w:lang w:eastAsia="zh-CN"/>
        </w:rPr>
        <w:t>）</w:t>
      </w:r>
      <w:r>
        <w:rPr>
          <w:rFonts w:hint="eastAsia"/>
          <w:color w:val="auto"/>
        </w:rPr>
        <w:t>废药剂瓶</w:t>
      </w:r>
    </w:p>
    <w:p w14:paraId="091C8E0A">
      <w:pPr>
        <w:rPr>
          <w:rFonts w:hint="eastAsia"/>
          <w:color w:val="auto"/>
        </w:rPr>
      </w:pPr>
      <w:r>
        <w:rPr>
          <w:rFonts w:hint="eastAsia"/>
          <w:color w:val="auto"/>
        </w:rPr>
        <w:t>本项目辅料使用过程中，会产生废药剂瓶，产生量约 2t/a ，作为危废委托有资质单位处理。</w:t>
      </w:r>
    </w:p>
    <w:p w14:paraId="71970040">
      <w:pPr>
        <w:rPr>
          <w:rFonts w:hint="eastAsia"/>
          <w:color w:val="auto"/>
        </w:rPr>
      </w:pPr>
      <w:r>
        <w:rPr>
          <w:rFonts w:hint="eastAsia"/>
          <w:color w:val="auto"/>
          <w:lang w:eastAsia="zh-CN"/>
        </w:rPr>
        <w:t>（</w:t>
      </w:r>
      <w:r>
        <w:rPr>
          <w:rFonts w:hint="eastAsia"/>
          <w:color w:val="auto"/>
          <w:lang w:val="en-US" w:eastAsia="zh-CN"/>
        </w:rPr>
        <w:t>27</w:t>
      </w:r>
      <w:r>
        <w:rPr>
          <w:rFonts w:hint="eastAsia"/>
          <w:color w:val="auto"/>
          <w:lang w:eastAsia="zh-CN"/>
        </w:rPr>
        <w:t>）</w:t>
      </w:r>
      <w:r>
        <w:rPr>
          <w:rFonts w:hint="eastAsia"/>
          <w:color w:val="auto"/>
        </w:rPr>
        <w:t>废包装、纸箱</w:t>
      </w:r>
    </w:p>
    <w:p w14:paraId="3463FD82">
      <w:pPr>
        <w:rPr>
          <w:rFonts w:hint="eastAsia"/>
          <w:color w:val="auto"/>
        </w:rPr>
      </w:pPr>
      <w:r>
        <w:rPr>
          <w:rFonts w:hint="eastAsia"/>
          <w:color w:val="auto"/>
        </w:rPr>
        <w:t>根据企业提供资料，废包装、纸箱产生量约为 2t/a ，外售处理。</w:t>
      </w:r>
    </w:p>
    <w:p w14:paraId="0254F8FF">
      <w:pPr>
        <w:rPr>
          <w:rFonts w:hint="eastAsia"/>
          <w:color w:val="auto"/>
        </w:rPr>
      </w:pPr>
      <w:r>
        <w:rPr>
          <w:rFonts w:hint="eastAsia"/>
          <w:color w:val="auto"/>
          <w:lang w:eastAsia="zh-CN"/>
        </w:rPr>
        <w:t>（</w:t>
      </w:r>
      <w:r>
        <w:rPr>
          <w:rFonts w:hint="eastAsia"/>
          <w:color w:val="auto"/>
          <w:lang w:val="en-US" w:eastAsia="zh-CN"/>
        </w:rPr>
        <w:t>28</w:t>
      </w:r>
      <w:r>
        <w:rPr>
          <w:rFonts w:hint="eastAsia"/>
          <w:color w:val="auto"/>
          <w:lang w:eastAsia="zh-CN"/>
        </w:rPr>
        <w:t>）</w:t>
      </w:r>
      <w:r>
        <w:rPr>
          <w:rFonts w:hint="eastAsia"/>
          <w:color w:val="auto"/>
        </w:rPr>
        <w:t>废手套、抹布</w:t>
      </w:r>
    </w:p>
    <w:p w14:paraId="76F33D34">
      <w:pPr>
        <w:rPr>
          <w:rFonts w:hint="eastAsia"/>
          <w:color w:val="auto"/>
        </w:rPr>
      </w:pPr>
      <w:r>
        <w:rPr>
          <w:rFonts w:hint="eastAsia"/>
          <w:color w:val="auto"/>
        </w:rPr>
        <w:t>员工生产过程中产生废手套、抹布约 1t/a ，外售处理。</w:t>
      </w:r>
    </w:p>
    <w:p w14:paraId="7E4C08D0">
      <w:pPr>
        <w:rPr>
          <w:rFonts w:hint="eastAsia"/>
          <w:color w:val="auto"/>
        </w:rPr>
      </w:pPr>
      <w:r>
        <w:rPr>
          <w:rFonts w:hint="eastAsia"/>
          <w:color w:val="auto"/>
          <w:lang w:eastAsia="zh-CN"/>
        </w:rPr>
        <w:t>（</w:t>
      </w:r>
      <w:r>
        <w:rPr>
          <w:rFonts w:hint="eastAsia"/>
          <w:color w:val="auto"/>
          <w:lang w:val="en-US" w:eastAsia="zh-CN"/>
        </w:rPr>
        <w:t>29</w:t>
      </w:r>
      <w:r>
        <w:rPr>
          <w:rFonts w:hint="eastAsia"/>
          <w:color w:val="auto"/>
          <w:lang w:eastAsia="zh-CN"/>
        </w:rPr>
        <w:t>）</w:t>
      </w:r>
      <w:r>
        <w:rPr>
          <w:rFonts w:hint="eastAsia"/>
          <w:color w:val="auto"/>
        </w:rPr>
        <w:t>生活垃圾</w:t>
      </w:r>
    </w:p>
    <w:p w14:paraId="216BA95F">
      <w:pPr>
        <w:rPr>
          <w:rFonts w:hint="eastAsia"/>
          <w:color w:val="auto"/>
          <w:lang w:val="en-US" w:eastAsia="zh-CN"/>
        </w:rPr>
      </w:pPr>
      <w:r>
        <w:rPr>
          <w:rFonts w:hint="eastAsia"/>
          <w:color w:val="auto"/>
        </w:rPr>
        <w:t>生活垃圾产生量按每人每天平均产生 0.5kg 计，本项目新增工作人数为 30 人，则生活垃圾的产生量新增约 4.5t/a ，委托环卫部门及时清运。</w:t>
      </w:r>
      <w:bookmarkStart w:id="206" w:name="_Hlk101364100"/>
    </w:p>
    <w:bookmarkEnd w:id="206"/>
    <w:p w14:paraId="3E08E8F6">
      <w:pPr>
        <w:pStyle w:val="3"/>
        <w:rPr>
          <w:color w:val="auto"/>
        </w:rPr>
      </w:pPr>
      <w:bookmarkStart w:id="207" w:name="_Toc5160"/>
      <w:bookmarkStart w:id="208" w:name="_Toc12969"/>
      <w:r>
        <w:rPr>
          <w:rFonts w:hint="eastAsia"/>
          <w:color w:val="auto"/>
        </w:rPr>
        <w:t>环境风险分析</w:t>
      </w:r>
      <w:bookmarkEnd w:id="207"/>
      <w:bookmarkEnd w:id="208"/>
    </w:p>
    <w:p w14:paraId="76DE020D">
      <w:pPr>
        <w:rPr>
          <w:color w:val="auto"/>
        </w:rPr>
      </w:pPr>
      <w:r>
        <w:rPr>
          <w:rFonts w:hint="eastAsia"/>
          <w:color w:val="auto"/>
        </w:rPr>
        <w:t>根据《建设项目环境风险评价技术导则》（HJ169-2018）规定，风险识别范围包括物质危险性识别、生产系统危险性识别以及危险物质向环境转移的途径识别。</w:t>
      </w:r>
    </w:p>
    <w:p w14:paraId="3E01A103">
      <w:pPr>
        <w:pStyle w:val="4"/>
        <w:rPr>
          <w:color w:val="auto"/>
        </w:rPr>
      </w:pPr>
      <w:bookmarkStart w:id="209" w:name="_Toc31974"/>
      <w:bookmarkStart w:id="210" w:name="_Toc23095"/>
      <w:r>
        <w:rPr>
          <w:rFonts w:hint="eastAsia"/>
          <w:color w:val="auto"/>
        </w:rPr>
        <w:t>环境危险性识别</w:t>
      </w:r>
      <w:bookmarkEnd w:id="209"/>
      <w:bookmarkEnd w:id="210"/>
    </w:p>
    <w:p w14:paraId="69E78757">
      <w:pPr>
        <w:rPr>
          <w:color w:val="auto"/>
          <w:highlight w:val="yellow"/>
        </w:rPr>
      </w:pPr>
      <w:r>
        <w:rPr>
          <w:rFonts w:hint="eastAsia"/>
          <w:color w:val="auto"/>
          <w:lang w:val="en-US" w:eastAsia="zh-CN"/>
        </w:rPr>
        <w:t>根据《建设项目环境风险评价技术导则》（HJ169-2018）和《危险化学品重大危 险源辨识》（GB18218-2018），经过筛选、评估，项目所涉及的主要风险物质为硫酸、硝酸、磷酸、盐酸等。</w:t>
      </w:r>
    </w:p>
    <w:p w14:paraId="0F05B3C1">
      <w:pPr>
        <w:pStyle w:val="4"/>
        <w:bidi w:val="0"/>
        <w:rPr>
          <w:color w:val="auto"/>
        </w:rPr>
      </w:pPr>
      <w:bookmarkStart w:id="211" w:name="_Toc20942"/>
      <w:bookmarkStart w:id="212" w:name="_Toc6379"/>
      <w:r>
        <w:rPr>
          <w:rFonts w:hint="eastAsia"/>
          <w:color w:val="auto"/>
        </w:rPr>
        <w:t>生产系统危险性识别</w:t>
      </w:r>
      <w:bookmarkEnd w:id="211"/>
      <w:bookmarkEnd w:id="212"/>
    </w:p>
    <w:p w14:paraId="68CDB905">
      <w:pPr>
        <w:pStyle w:val="5"/>
        <w:bidi w:val="0"/>
        <w:rPr>
          <w:color w:val="auto"/>
        </w:rPr>
      </w:pPr>
      <w:r>
        <w:rPr>
          <w:rFonts w:hint="eastAsia"/>
          <w:color w:val="auto"/>
        </w:rPr>
        <w:t>危险单元划分</w:t>
      </w:r>
    </w:p>
    <w:p w14:paraId="373FE0B7">
      <w:pPr>
        <w:rPr>
          <w:color w:val="auto"/>
        </w:rPr>
      </w:pPr>
      <w:r>
        <w:rPr>
          <w:rFonts w:hint="eastAsia"/>
          <w:color w:val="auto"/>
        </w:rPr>
        <w:t>根据本项目工艺流程和平面布置功能区划，结合物质危险性识别，项目划分成如下若干危险单元。</w:t>
      </w:r>
    </w:p>
    <w:p w14:paraId="1A21866F">
      <w:pPr>
        <w:pStyle w:val="25"/>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4.6</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color w:val="auto"/>
        </w:rPr>
        <w:t>本项目危险单元一览表</w:t>
      </w:r>
    </w:p>
    <w:tbl>
      <w:tblPr>
        <w:tblStyle w:val="21"/>
        <w:tblW w:w="50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86"/>
        <w:gridCol w:w="6487"/>
      </w:tblGrid>
      <w:tr w14:paraId="4172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1126" w:type="pct"/>
            <w:tcMar>
              <w:left w:w="0" w:type="dxa"/>
              <w:right w:w="0" w:type="dxa"/>
            </w:tcMar>
            <w:vAlign w:val="center"/>
          </w:tcPr>
          <w:p w14:paraId="52CF640E">
            <w:pPr>
              <w:pStyle w:val="36"/>
              <w:bidi w:val="0"/>
              <w:rPr>
                <w:color w:val="auto"/>
              </w:rPr>
            </w:pPr>
            <w:r>
              <w:rPr>
                <w:color w:val="auto"/>
              </w:rPr>
              <w:t>序号</w:t>
            </w:r>
          </w:p>
        </w:tc>
        <w:tc>
          <w:tcPr>
            <w:tcW w:w="3873" w:type="pct"/>
            <w:tcMar>
              <w:left w:w="0" w:type="dxa"/>
              <w:right w:w="0" w:type="dxa"/>
            </w:tcMar>
            <w:vAlign w:val="center"/>
          </w:tcPr>
          <w:p w14:paraId="7E03591D">
            <w:pPr>
              <w:pStyle w:val="36"/>
              <w:bidi w:val="0"/>
              <w:rPr>
                <w:color w:val="auto"/>
              </w:rPr>
            </w:pPr>
            <w:r>
              <w:rPr>
                <w:color w:val="auto"/>
              </w:rPr>
              <w:t>危险单元</w:t>
            </w:r>
          </w:p>
        </w:tc>
      </w:tr>
      <w:tr w14:paraId="0E57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26" w:type="pct"/>
            <w:tcMar>
              <w:left w:w="0" w:type="dxa"/>
              <w:right w:w="0" w:type="dxa"/>
            </w:tcMar>
            <w:vAlign w:val="center"/>
          </w:tcPr>
          <w:p w14:paraId="15F0C5F1">
            <w:pPr>
              <w:pStyle w:val="26"/>
              <w:bidi w:val="0"/>
              <w:rPr>
                <w:color w:val="auto"/>
                <w:lang w:val="en-US" w:eastAsia="zh-CN"/>
              </w:rPr>
            </w:pPr>
            <w:r>
              <w:rPr>
                <w:color w:val="auto"/>
                <w:lang w:val="en-US" w:eastAsia="zh-CN"/>
              </w:rPr>
              <w:t>1</w:t>
            </w:r>
          </w:p>
        </w:tc>
        <w:tc>
          <w:tcPr>
            <w:tcW w:w="3873" w:type="pct"/>
            <w:tcMar>
              <w:left w:w="0" w:type="dxa"/>
              <w:right w:w="0" w:type="dxa"/>
            </w:tcMar>
            <w:vAlign w:val="center"/>
          </w:tcPr>
          <w:p w14:paraId="0B963BDF">
            <w:pPr>
              <w:pStyle w:val="26"/>
              <w:bidi w:val="0"/>
              <w:rPr>
                <w:color w:val="auto"/>
                <w:lang w:val="en-US" w:eastAsia="zh-CN"/>
              </w:rPr>
            </w:pPr>
            <w:r>
              <w:rPr>
                <w:rFonts w:hint="eastAsia"/>
                <w:color w:val="auto"/>
                <w:lang w:val="en-US" w:eastAsia="zh-CN"/>
              </w:rPr>
              <w:t>4#</w:t>
            </w:r>
            <w:r>
              <w:rPr>
                <w:color w:val="auto"/>
                <w:lang w:val="en-US" w:eastAsia="zh-CN"/>
              </w:rPr>
              <w:t>车间</w:t>
            </w:r>
          </w:p>
        </w:tc>
      </w:tr>
      <w:tr w14:paraId="23A2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26" w:type="pct"/>
            <w:tcMar>
              <w:left w:w="0" w:type="dxa"/>
              <w:right w:w="0" w:type="dxa"/>
            </w:tcMar>
            <w:vAlign w:val="center"/>
          </w:tcPr>
          <w:p w14:paraId="176AAADA">
            <w:pPr>
              <w:pStyle w:val="26"/>
              <w:bidi w:val="0"/>
              <w:rPr>
                <w:color w:val="auto"/>
                <w:lang w:val="en-US" w:eastAsia="zh-CN"/>
              </w:rPr>
            </w:pPr>
            <w:r>
              <w:rPr>
                <w:color w:val="auto"/>
                <w:lang w:val="en-US" w:eastAsia="zh-CN"/>
              </w:rPr>
              <w:t>2</w:t>
            </w:r>
          </w:p>
        </w:tc>
        <w:tc>
          <w:tcPr>
            <w:tcW w:w="3873" w:type="pct"/>
            <w:shd w:val="clear" w:color="auto" w:fill="auto"/>
            <w:tcMar>
              <w:left w:w="0" w:type="dxa"/>
              <w:right w:w="0" w:type="dxa"/>
            </w:tcMar>
            <w:vAlign w:val="center"/>
          </w:tcPr>
          <w:p w14:paraId="1384B7C5">
            <w:pPr>
              <w:pStyle w:val="26"/>
              <w:bidi w:val="0"/>
              <w:rPr>
                <w:rFonts w:hint="default"/>
                <w:color w:val="auto"/>
                <w:lang w:val="en-US" w:eastAsia="zh-CN"/>
              </w:rPr>
            </w:pPr>
            <w:r>
              <w:rPr>
                <w:rFonts w:hint="eastAsia"/>
                <w:color w:val="auto"/>
                <w:lang w:val="en-US" w:eastAsia="zh-CN"/>
              </w:rPr>
              <w:t>化学品库</w:t>
            </w:r>
          </w:p>
        </w:tc>
      </w:tr>
      <w:tr w14:paraId="64DF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26" w:type="pct"/>
            <w:tcMar>
              <w:left w:w="0" w:type="dxa"/>
              <w:right w:w="0" w:type="dxa"/>
            </w:tcMar>
            <w:vAlign w:val="center"/>
          </w:tcPr>
          <w:p w14:paraId="72D351AB">
            <w:pPr>
              <w:pStyle w:val="26"/>
              <w:bidi w:val="0"/>
              <w:rPr>
                <w:color w:val="auto"/>
                <w:lang w:val="en-US" w:eastAsia="zh-CN"/>
              </w:rPr>
            </w:pPr>
            <w:r>
              <w:rPr>
                <w:color w:val="auto"/>
                <w:lang w:val="en-US" w:eastAsia="zh-CN"/>
              </w:rPr>
              <w:t>3</w:t>
            </w:r>
          </w:p>
        </w:tc>
        <w:tc>
          <w:tcPr>
            <w:tcW w:w="3873" w:type="pct"/>
            <w:shd w:val="clear" w:color="auto" w:fill="auto"/>
            <w:tcMar>
              <w:left w:w="0" w:type="dxa"/>
              <w:right w:w="0" w:type="dxa"/>
            </w:tcMar>
            <w:vAlign w:val="center"/>
          </w:tcPr>
          <w:p w14:paraId="092965B9">
            <w:pPr>
              <w:pStyle w:val="26"/>
              <w:bidi w:val="0"/>
              <w:rPr>
                <w:rFonts w:hint="eastAsia" w:ascii="Times New Roman" w:hAnsi="Times New Roman" w:eastAsia="仿宋_GB2312" w:cs="Times New Roman"/>
                <w:color w:val="auto"/>
                <w:kern w:val="2"/>
                <w:sz w:val="21"/>
                <w:szCs w:val="22"/>
                <w:lang w:val="en-US" w:eastAsia="zh-CN" w:bidi="ar-SA"/>
              </w:rPr>
            </w:pPr>
            <w:r>
              <w:rPr>
                <w:color w:val="auto"/>
                <w:lang w:val="en-US" w:eastAsia="zh-CN"/>
              </w:rPr>
              <w:t>危废</w:t>
            </w:r>
            <w:r>
              <w:rPr>
                <w:rFonts w:hint="eastAsia"/>
                <w:color w:val="auto"/>
                <w:lang w:val="en-US" w:eastAsia="zh-CN"/>
              </w:rPr>
              <w:t>仓库</w:t>
            </w:r>
          </w:p>
        </w:tc>
      </w:tr>
      <w:tr w14:paraId="224E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1126" w:type="pct"/>
            <w:tcMar>
              <w:left w:w="0" w:type="dxa"/>
              <w:right w:w="0" w:type="dxa"/>
            </w:tcMar>
            <w:vAlign w:val="center"/>
          </w:tcPr>
          <w:p w14:paraId="4FAF01EF">
            <w:pPr>
              <w:pStyle w:val="26"/>
              <w:bidi w:val="0"/>
              <w:rPr>
                <w:color w:val="auto"/>
                <w:lang w:val="en-US" w:eastAsia="zh-CN"/>
              </w:rPr>
            </w:pPr>
            <w:r>
              <w:rPr>
                <w:color w:val="auto"/>
                <w:lang w:val="en-US" w:eastAsia="zh-CN"/>
              </w:rPr>
              <w:t>4</w:t>
            </w:r>
          </w:p>
        </w:tc>
        <w:tc>
          <w:tcPr>
            <w:tcW w:w="3873" w:type="pct"/>
            <w:shd w:val="clear" w:color="auto" w:fill="auto"/>
            <w:tcMar>
              <w:left w:w="0" w:type="dxa"/>
              <w:right w:w="0" w:type="dxa"/>
            </w:tcMar>
            <w:vAlign w:val="center"/>
          </w:tcPr>
          <w:p w14:paraId="4FAF3569">
            <w:pPr>
              <w:pStyle w:val="26"/>
              <w:bidi w:val="0"/>
              <w:rPr>
                <w:rFonts w:hint="eastAsia" w:ascii="Times New Roman" w:hAnsi="Times New Roman" w:eastAsia="仿宋_GB2312" w:cs="Times New Roman"/>
                <w:color w:val="auto"/>
                <w:kern w:val="2"/>
                <w:sz w:val="21"/>
                <w:szCs w:val="22"/>
                <w:lang w:val="en-US" w:eastAsia="zh-CN" w:bidi="ar-SA"/>
              </w:rPr>
            </w:pPr>
            <w:r>
              <w:rPr>
                <w:color w:val="auto"/>
              </w:rPr>
              <w:t>污水站</w:t>
            </w:r>
          </w:p>
        </w:tc>
      </w:tr>
      <w:tr w14:paraId="2347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26" w:type="pct"/>
            <w:tcMar>
              <w:left w:w="0" w:type="dxa"/>
              <w:right w:w="0" w:type="dxa"/>
            </w:tcMar>
            <w:vAlign w:val="center"/>
          </w:tcPr>
          <w:p w14:paraId="6403CC8B">
            <w:pPr>
              <w:pStyle w:val="26"/>
              <w:bidi w:val="0"/>
              <w:rPr>
                <w:color w:val="auto"/>
                <w:lang w:val="en-US" w:eastAsia="zh-CN"/>
              </w:rPr>
            </w:pPr>
            <w:r>
              <w:rPr>
                <w:color w:val="auto"/>
                <w:lang w:val="en-US" w:eastAsia="zh-CN"/>
              </w:rPr>
              <w:t>5</w:t>
            </w:r>
          </w:p>
        </w:tc>
        <w:tc>
          <w:tcPr>
            <w:tcW w:w="3873" w:type="pct"/>
            <w:shd w:val="clear" w:color="auto" w:fill="auto"/>
            <w:tcMar>
              <w:left w:w="0" w:type="dxa"/>
              <w:right w:w="0" w:type="dxa"/>
            </w:tcMar>
            <w:vAlign w:val="center"/>
          </w:tcPr>
          <w:p w14:paraId="1C88A583">
            <w:pPr>
              <w:pStyle w:val="26"/>
              <w:bidi w:val="0"/>
              <w:rPr>
                <w:rFonts w:hint="eastAsia" w:ascii="Times New Roman" w:hAnsi="Times New Roman" w:eastAsia="仿宋_GB2312" w:cs="Times New Roman"/>
                <w:color w:val="auto"/>
                <w:kern w:val="2"/>
                <w:sz w:val="21"/>
                <w:szCs w:val="22"/>
                <w:lang w:val="en-US" w:eastAsia="zh-CN" w:bidi="ar-SA"/>
              </w:rPr>
            </w:pPr>
            <w:r>
              <w:rPr>
                <w:color w:val="auto"/>
              </w:rPr>
              <w:t>废气处理设施</w:t>
            </w:r>
          </w:p>
        </w:tc>
      </w:tr>
    </w:tbl>
    <w:p w14:paraId="6009638A">
      <w:pPr>
        <w:pStyle w:val="5"/>
        <w:bidi w:val="0"/>
        <w:rPr>
          <w:color w:val="auto"/>
          <w:highlight w:val="none"/>
        </w:rPr>
      </w:pPr>
      <w:r>
        <w:rPr>
          <w:color w:val="auto"/>
          <w:highlight w:val="none"/>
        </w:rPr>
        <w:t>危险单元内危险物质最大存在量</w:t>
      </w:r>
    </w:p>
    <w:p w14:paraId="34DD84D4">
      <w:pPr>
        <w:pStyle w:val="46"/>
        <w:bidi w:val="0"/>
        <w:rPr>
          <w:color w:val="auto"/>
        </w:rPr>
      </w:pPr>
      <w:r>
        <w:rPr>
          <w:rFonts w:hint="eastAsia"/>
          <w:color w:val="auto"/>
        </w:rPr>
        <w:t>经识别，本项目</w:t>
      </w:r>
      <w:r>
        <w:rPr>
          <w:rFonts w:hint="eastAsia"/>
          <w:color w:val="auto"/>
          <w:lang w:val="en-US" w:eastAsia="zh-CN"/>
        </w:rPr>
        <w:t>建成后全厂</w:t>
      </w:r>
      <w:r>
        <w:rPr>
          <w:rFonts w:hint="eastAsia"/>
          <w:color w:val="auto"/>
        </w:rPr>
        <w:t>Q值在</w:t>
      </w:r>
      <w:r>
        <w:rPr>
          <w:rFonts w:hint="eastAsia"/>
          <w:color w:val="auto"/>
          <w:lang w:val="en-US" w:eastAsia="zh-CN"/>
        </w:rPr>
        <w:t>10&lt;Q</w:t>
      </w:r>
      <w:r>
        <w:rPr>
          <w:rFonts w:hint="default" w:ascii="Times New Roman" w:hAnsi="Times New Roman" w:cs="Times New Roman"/>
          <w:color w:val="auto"/>
          <w:lang w:val="en-US" w:eastAsia="zh-CN"/>
        </w:rPr>
        <w:t>≤</w:t>
      </w:r>
      <w:r>
        <w:rPr>
          <w:rFonts w:hint="eastAsia"/>
          <w:color w:val="auto"/>
        </w:rPr>
        <w:t>100范围内。</w:t>
      </w:r>
    </w:p>
    <w:p w14:paraId="5C4C6AB0">
      <w:pPr>
        <w:pStyle w:val="5"/>
        <w:bidi w:val="0"/>
        <w:rPr>
          <w:color w:val="auto"/>
        </w:rPr>
      </w:pPr>
      <w:r>
        <w:rPr>
          <w:rFonts w:hint="eastAsia"/>
          <w:color w:val="auto"/>
        </w:rPr>
        <w:t>危险单元内潜在风险源识别</w:t>
      </w:r>
    </w:p>
    <w:p w14:paraId="7AA5D9AB">
      <w:pPr>
        <w:rPr>
          <w:color w:val="auto"/>
        </w:rPr>
      </w:pPr>
      <w:r>
        <w:rPr>
          <w:rFonts w:hint="eastAsia"/>
          <w:color w:val="auto"/>
        </w:rPr>
        <w:t>本项目危险单元内潜在风险源识别详见下表。</w:t>
      </w:r>
    </w:p>
    <w:p w14:paraId="479C7F5D">
      <w:pPr>
        <w:pStyle w:val="25"/>
        <w:rPr>
          <w:color w:val="auto"/>
        </w:rPr>
      </w:pPr>
      <w:bookmarkStart w:id="213" w:name="_Ref161390985"/>
      <w:r>
        <w:rPr>
          <w:color w:val="auto"/>
        </w:rPr>
        <w:t>表</w:t>
      </w:r>
      <w:r>
        <w:rPr>
          <w:color w:val="auto"/>
        </w:rPr>
        <w:fldChar w:fldCharType="begin"/>
      </w:r>
      <w:r>
        <w:rPr>
          <w:color w:val="auto"/>
        </w:rPr>
        <w:instrText xml:space="preserve"> STYLEREF 2 \s </w:instrText>
      </w:r>
      <w:r>
        <w:rPr>
          <w:color w:val="auto"/>
        </w:rPr>
        <w:fldChar w:fldCharType="separate"/>
      </w:r>
      <w:r>
        <w:rPr>
          <w:color w:val="auto"/>
        </w:rPr>
        <w:t>4.6</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2</w:t>
      </w:r>
      <w:r>
        <w:rPr>
          <w:color w:val="auto"/>
        </w:rPr>
        <w:fldChar w:fldCharType="end"/>
      </w:r>
      <w:bookmarkEnd w:id="213"/>
      <w:r>
        <w:rPr>
          <w:rFonts w:hint="eastAsia"/>
          <w:color w:val="auto"/>
        </w:rPr>
        <w:t>拟建项目危险单元环境风险识别</w:t>
      </w:r>
    </w:p>
    <w:tbl>
      <w:tblPr>
        <w:tblStyle w:val="21"/>
        <w:tblW w:w="52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797"/>
        <w:gridCol w:w="1678"/>
        <w:gridCol w:w="1588"/>
        <w:gridCol w:w="1328"/>
        <w:gridCol w:w="1277"/>
        <w:gridCol w:w="1064"/>
      </w:tblGrid>
      <w:tr w14:paraId="7466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Mar>
              <w:left w:w="0" w:type="dxa"/>
              <w:right w:w="0" w:type="dxa"/>
            </w:tcMar>
            <w:vAlign w:val="center"/>
          </w:tcPr>
          <w:p w14:paraId="4929F74A">
            <w:pPr>
              <w:pStyle w:val="36"/>
              <w:bidi w:val="0"/>
              <w:rPr>
                <w:color w:val="auto"/>
              </w:rPr>
            </w:pPr>
            <w:r>
              <w:rPr>
                <w:color w:val="auto"/>
              </w:rPr>
              <w:t>危险单元</w:t>
            </w:r>
          </w:p>
        </w:tc>
        <w:tc>
          <w:tcPr>
            <w:tcW w:w="452" w:type="pct"/>
            <w:tcMar>
              <w:left w:w="0" w:type="dxa"/>
              <w:right w:w="0" w:type="dxa"/>
            </w:tcMar>
            <w:vAlign w:val="center"/>
          </w:tcPr>
          <w:p w14:paraId="14224733">
            <w:pPr>
              <w:pStyle w:val="36"/>
              <w:bidi w:val="0"/>
              <w:rPr>
                <w:color w:val="auto"/>
              </w:rPr>
            </w:pPr>
            <w:r>
              <w:rPr>
                <w:color w:val="auto"/>
              </w:rPr>
              <w:t>潜在风险源</w:t>
            </w:r>
          </w:p>
        </w:tc>
        <w:tc>
          <w:tcPr>
            <w:tcW w:w="951" w:type="pct"/>
            <w:tcMar>
              <w:left w:w="0" w:type="dxa"/>
              <w:right w:w="0" w:type="dxa"/>
            </w:tcMar>
            <w:vAlign w:val="center"/>
          </w:tcPr>
          <w:p w14:paraId="4858A282">
            <w:pPr>
              <w:pStyle w:val="36"/>
              <w:bidi w:val="0"/>
              <w:rPr>
                <w:color w:val="auto"/>
              </w:rPr>
            </w:pPr>
            <w:r>
              <w:rPr>
                <w:color w:val="auto"/>
              </w:rPr>
              <w:t>危险物质</w:t>
            </w:r>
          </w:p>
        </w:tc>
        <w:tc>
          <w:tcPr>
            <w:tcW w:w="900" w:type="pct"/>
            <w:tcMar>
              <w:left w:w="0" w:type="dxa"/>
              <w:right w:w="0" w:type="dxa"/>
            </w:tcMar>
            <w:vAlign w:val="center"/>
          </w:tcPr>
          <w:p w14:paraId="3A458600">
            <w:pPr>
              <w:pStyle w:val="36"/>
              <w:bidi w:val="0"/>
              <w:rPr>
                <w:color w:val="auto"/>
              </w:rPr>
            </w:pPr>
            <w:r>
              <w:rPr>
                <w:color w:val="auto"/>
              </w:rPr>
              <w:t>环境风险类型</w:t>
            </w:r>
          </w:p>
        </w:tc>
        <w:tc>
          <w:tcPr>
            <w:tcW w:w="753" w:type="pct"/>
            <w:tcMar>
              <w:left w:w="0" w:type="dxa"/>
              <w:right w:w="0" w:type="dxa"/>
            </w:tcMar>
            <w:vAlign w:val="center"/>
          </w:tcPr>
          <w:p w14:paraId="2CFCE2AA">
            <w:pPr>
              <w:pStyle w:val="36"/>
              <w:bidi w:val="0"/>
              <w:rPr>
                <w:color w:val="auto"/>
              </w:rPr>
            </w:pPr>
            <w:r>
              <w:rPr>
                <w:color w:val="auto"/>
              </w:rPr>
              <w:t>环境影响途径</w:t>
            </w:r>
          </w:p>
        </w:tc>
        <w:tc>
          <w:tcPr>
            <w:tcW w:w="724" w:type="pct"/>
            <w:tcMar>
              <w:left w:w="0" w:type="dxa"/>
              <w:right w:w="0" w:type="dxa"/>
            </w:tcMar>
            <w:vAlign w:val="center"/>
          </w:tcPr>
          <w:p w14:paraId="67576C5D">
            <w:pPr>
              <w:pStyle w:val="36"/>
              <w:bidi w:val="0"/>
              <w:rPr>
                <w:color w:val="auto"/>
              </w:rPr>
            </w:pPr>
            <w:r>
              <w:rPr>
                <w:color w:val="auto"/>
              </w:rPr>
              <w:t>统计概率</w:t>
            </w:r>
          </w:p>
        </w:tc>
        <w:tc>
          <w:tcPr>
            <w:tcW w:w="603" w:type="pct"/>
            <w:tcMar>
              <w:left w:w="0" w:type="dxa"/>
              <w:right w:w="0" w:type="dxa"/>
            </w:tcMar>
            <w:vAlign w:val="center"/>
          </w:tcPr>
          <w:p w14:paraId="575B4659">
            <w:pPr>
              <w:pStyle w:val="36"/>
              <w:bidi w:val="0"/>
              <w:rPr>
                <w:color w:val="auto"/>
              </w:rPr>
            </w:pPr>
            <w:r>
              <w:rPr>
                <w:color w:val="auto"/>
              </w:rPr>
              <w:t>是否预测</w:t>
            </w:r>
          </w:p>
        </w:tc>
      </w:tr>
      <w:tr w14:paraId="7324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613" w:type="pct"/>
            <w:vMerge w:val="restart"/>
            <w:tcMar>
              <w:left w:w="0" w:type="dxa"/>
              <w:right w:w="0" w:type="dxa"/>
            </w:tcMar>
            <w:vAlign w:val="center"/>
          </w:tcPr>
          <w:p w14:paraId="2F517F55">
            <w:pPr>
              <w:pStyle w:val="26"/>
              <w:bidi w:val="0"/>
              <w:rPr>
                <w:rFonts w:hint="default"/>
                <w:color w:val="auto"/>
                <w:lang w:val="en-US" w:eastAsia="zh-CN"/>
              </w:rPr>
            </w:pPr>
            <w:r>
              <w:rPr>
                <w:rFonts w:hint="eastAsia"/>
                <w:color w:val="auto"/>
                <w:lang w:val="en-US" w:eastAsia="zh-CN"/>
              </w:rPr>
              <w:t>4#车间</w:t>
            </w:r>
          </w:p>
        </w:tc>
        <w:tc>
          <w:tcPr>
            <w:tcW w:w="452" w:type="pct"/>
            <w:vMerge w:val="restart"/>
            <w:tcMar>
              <w:left w:w="0" w:type="dxa"/>
              <w:right w:w="0" w:type="dxa"/>
            </w:tcMar>
            <w:vAlign w:val="center"/>
          </w:tcPr>
          <w:p w14:paraId="40D597F2">
            <w:pPr>
              <w:pStyle w:val="26"/>
              <w:bidi w:val="0"/>
              <w:rPr>
                <w:rFonts w:hint="default"/>
                <w:color w:val="auto"/>
                <w:lang w:val="en-US" w:eastAsia="zh-CN"/>
              </w:rPr>
            </w:pPr>
            <w:r>
              <w:rPr>
                <w:rFonts w:hint="eastAsia"/>
                <w:color w:val="auto"/>
                <w:lang w:val="en-US" w:eastAsia="zh-CN"/>
              </w:rPr>
              <w:t>电镀、显影等</w:t>
            </w:r>
          </w:p>
        </w:tc>
        <w:tc>
          <w:tcPr>
            <w:tcW w:w="951" w:type="pct"/>
            <w:vMerge w:val="restart"/>
            <w:tcMar>
              <w:left w:w="0" w:type="dxa"/>
              <w:right w:w="0" w:type="dxa"/>
            </w:tcMar>
            <w:vAlign w:val="center"/>
          </w:tcPr>
          <w:p w14:paraId="2F256446">
            <w:pPr>
              <w:pStyle w:val="26"/>
              <w:bidi w:val="0"/>
              <w:rPr>
                <w:rFonts w:hint="default"/>
                <w:color w:val="auto"/>
                <w:lang w:val="en-US" w:eastAsia="zh-CN"/>
              </w:rPr>
            </w:pPr>
            <w:r>
              <w:rPr>
                <w:rFonts w:hint="eastAsia"/>
                <w:color w:val="auto"/>
                <w:lang w:val="en-US" w:eastAsia="zh-CN"/>
              </w:rPr>
              <w:t>铬酐、酸、碱、显影液等</w:t>
            </w:r>
          </w:p>
        </w:tc>
        <w:tc>
          <w:tcPr>
            <w:tcW w:w="900" w:type="pct"/>
            <w:shd w:val="clear" w:color="auto" w:fill="auto"/>
            <w:tcMar>
              <w:left w:w="0" w:type="dxa"/>
              <w:right w:w="0" w:type="dxa"/>
            </w:tcMar>
            <w:vAlign w:val="center"/>
          </w:tcPr>
          <w:p w14:paraId="38C550D9">
            <w:pPr>
              <w:pStyle w:val="26"/>
              <w:bidi w:val="0"/>
              <w:rPr>
                <w:rFonts w:hint="eastAsia" w:ascii="Times New Roman" w:hAnsi="Times New Roman" w:eastAsia="仿宋_GB2312" w:cs="Times New Roman"/>
                <w:color w:val="auto"/>
                <w:kern w:val="2"/>
                <w:sz w:val="21"/>
                <w:szCs w:val="22"/>
                <w:lang w:val="en-US" w:eastAsia="zh-CN" w:bidi="ar-SA"/>
              </w:rPr>
            </w:pPr>
            <w:r>
              <w:rPr>
                <w:color w:val="auto"/>
              </w:rPr>
              <w:t>进料管全管径泄漏</w:t>
            </w:r>
          </w:p>
        </w:tc>
        <w:tc>
          <w:tcPr>
            <w:tcW w:w="753" w:type="pct"/>
            <w:shd w:val="clear" w:color="auto" w:fill="auto"/>
            <w:tcMar>
              <w:left w:w="0" w:type="dxa"/>
              <w:right w:w="0" w:type="dxa"/>
            </w:tcMar>
            <w:vAlign w:val="center"/>
          </w:tcPr>
          <w:p w14:paraId="4B10EC41">
            <w:pPr>
              <w:pStyle w:val="26"/>
              <w:bidi w:val="0"/>
              <w:rPr>
                <w:rFonts w:ascii="Times New Roman" w:hAnsi="Times New Roman" w:eastAsia="仿宋_GB2312" w:cs="Times New Roman"/>
                <w:color w:val="auto"/>
                <w:kern w:val="2"/>
                <w:sz w:val="21"/>
                <w:szCs w:val="22"/>
                <w:lang w:val="en-US" w:eastAsia="zh-CN" w:bidi="ar-SA"/>
              </w:rPr>
            </w:pPr>
            <w:r>
              <w:rPr>
                <w:color w:val="auto"/>
              </w:rPr>
              <w:t>扩散、渗透、吸收</w:t>
            </w:r>
          </w:p>
        </w:tc>
        <w:tc>
          <w:tcPr>
            <w:tcW w:w="724" w:type="pct"/>
            <w:shd w:val="clear" w:color="auto" w:fill="auto"/>
            <w:tcMar>
              <w:left w:w="0" w:type="dxa"/>
              <w:right w:w="0" w:type="dxa"/>
            </w:tcMar>
            <w:vAlign w:val="center"/>
          </w:tcPr>
          <w:p w14:paraId="16AB346F">
            <w:pPr>
              <w:pStyle w:val="26"/>
              <w:bidi w:val="0"/>
              <w:rPr>
                <w:rFonts w:ascii="Times New Roman" w:hAnsi="Times New Roman" w:eastAsia="仿宋_GB2312" w:cs="Times New Roman"/>
                <w:color w:val="auto"/>
                <w:kern w:val="2"/>
                <w:sz w:val="21"/>
                <w:szCs w:val="22"/>
                <w:lang w:val="en-US" w:eastAsia="zh-CN" w:bidi="ar-SA"/>
              </w:rPr>
            </w:pPr>
            <w:r>
              <w:rPr>
                <w:color w:val="auto"/>
              </w:rPr>
              <w:t>1×1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（m·a）</w:t>
            </w:r>
          </w:p>
        </w:tc>
        <w:tc>
          <w:tcPr>
            <w:tcW w:w="603" w:type="pct"/>
            <w:shd w:val="clear" w:color="auto" w:fill="auto"/>
            <w:tcMar>
              <w:left w:w="0" w:type="dxa"/>
              <w:right w:w="0" w:type="dxa"/>
            </w:tcMar>
            <w:vAlign w:val="center"/>
          </w:tcPr>
          <w:p w14:paraId="6305A92E">
            <w:pPr>
              <w:pStyle w:val="26"/>
              <w:bidi w:val="0"/>
              <w:rPr>
                <w:rFonts w:ascii="Times New Roman" w:hAnsi="Times New Roman" w:eastAsia="仿宋_GB2312" w:cs="Times New Roman"/>
                <w:color w:val="auto"/>
                <w:kern w:val="2"/>
                <w:sz w:val="21"/>
                <w:szCs w:val="22"/>
                <w:lang w:val="en-US" w:eastAsia="zh-CN" w:bidi="ar-SA"/>
              </w:rPr>
            </w:pPr>
            <w:r>
              <w:rPr>
                <w:color w:val="auto"/>
              </w:rPr>
              <w:t>否</w:t>
            </w:r>
          </w:p>
        </w:tc>
      </w:tr>
      <w:tr w14:paraId="7FFF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613" w:type="pct"/>
            <w:vMerge w:val="continue"/>
            <w:tcMar>
              <w:left w:w="0" w:type="dxa"/>
              <w:right w:w="0" w:type="dxa"/>
            </w:tcMar>
            <w:vAlign w:val="center"/>
          </w:tcPr>
          <w:p w14:paraId="063F69A8">
            <w:pPr>
              <w:pStyle w:val="26"/>
              <w:bidi w:val="0"/>
              <w:rPr>
                <w:color w:val="auto"/>
              </w:rPr>
            </w:pPr>
          </w:p>
        </w:tc>
        <w:tc>
          <w:tcPr>
            <w:tcW w:w="452" w:type="pct"/>
            <w:vMerge w:val="continue"/>
            <w:tcMar>
              <w:left w:w="0" w:type="dxa"/>
              <w:right w:w="0" w:type="dxa"/>
            </w:tcMar>
            <w:vAlign w:val="center"/>
          </w:tcPr>
          <w:p w14:paraId="51616049">
            <w:pPr>
              <w:pStyle w:val="26"/>
              <w:bidi w:val="0"/>
              <w:rPr>
                <w:color w:val="auto"/>
              </w:rPr>
            </w:pPr>
          </w:p>
        </w:tc>
        <w:tc>
          <w:tcPr>
            <w:tcW w:w="951" w:type="pct"/>
            <w:vMerge w:val="continue"/>
            <w:tcMar>
              <w:left w:w="0" w:type="dxa"/>
              <w:right w:w="0" w:type="dxa"/>
            </w:tcMar>
            <w:vAlign w:val="center"/>
          </w:tcPr>
          <w:p w14:paraId="0A532FFE">
            <w:pPr>
              <w:pStyle w:val="26"/>
              <w:bidi w:val="0"/>
              <w:rPr>
                <w:color w:val="auto"/>
              </w:rPr>
            </w:pPr>
          </w:p>
        </w:tc>
        <w:tc>
          <w:tcPr>
            <w:tcW w:w="900" w:type="pct"/>
            <w:shd w:val="clear" w:color="auto" w:fill="auto"/>
            <w:tcMar>
              <w:left w:w="0" w:type="dxa"/>
              <w:right w:w="0" w:type="dxa"/>
            </w:tcMar>
            <w:vAlign w:val="center"/>
          </w:tcPr>
          <w:p w14:paraId="29ADAF4F">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容器、反应釜等</w:t>
            </w:r>
            <w:r>
              <w:rPr>
                <w:color w:val="auto"/>
              </w:rPr>
              <w:t>泄漏</w:t>
            </w:r>
          </w:p>
        </w:tc>
        <w:tc>
          <w:tcPr>
            <w:tcW w:w="753" w:type="pct"/>
            <w:shd w:val="clear" w:color="auto" w:fill="auto"/>
            <w:tcMar>
              <w:left w:w="0" w:type="dxa"/>
              <w:right w:w="0" w:type="dxa"/>
            </w:tcMar>
            <w:vAlign w:val="center"/>
          </w:tcPr>
          <w:p w14:paraId="4D5B4169">
            <w:pPr>
              <w:pStyle w:val="26"/>
              <w:bidi w:val="0"/>
              <w:rPr>
                <w:rFonts w:hint="eastAsia" w:ascii="Times New Roman" w:hAnsi="Times New Roman" w:eastAsia="仿宋_GB2312" w:cs="Times New Roman"/>
                <w:color w:val="auto"/>
                <w:kern w:val="2"/>
                <w:sz w:val="21"/>
                <w:szCs w:val="22"/>
                <w:lang w:val="en-US" w:eastAsia="zh-CN" w:bidi="ar-SA"/>
              </w:rPr>
            </w:pPr>
            <w:r>
              <w:rPr>
                <w:color w:val="auto"/>
              </w:rPr>
              <w:t>扩散、渗透、吸收</w:t>
            </w:r>
          </w:p>
        </w:tc>
        <w:tc>
          <w:tcPr>
            <w:tcW w:w="724" w:type="pct"/>
            <w:shd w:val="clear" w:color="auto" w:fill="auto"/>
            <w:tcMar>
              <w:left w:w="0" w:type="dxa"/>
              <w:right w:w="0" w:type="dxa"/>
            </w:tcMar>
            <w:vAlign w:val="center"/>
          </w:tcPr>
          <w:p w14:paraId="4140D1B6">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5.00</w:t>
            </w:r>
            <w:r>
              <w:rPr>
                <w:color w:val="auto"/>
              </w:rPr>
              <w:t>×1</w:t>
            </w:r>
            <w:r>
              <w:rPr>
                <w:rFonts w:hint="eastAsia"/>
                <w:color w:val="auto"/>
                <w:lang w:eastAsia="zh-CN"/>
              </w:rPr>
              <w:t>0</w:t>
            </w:r>
            <w:r>
              <w:rPr>
                <w:rFonts w:hint="eastAsia"/>
                <w:color w:val="auto"/>
                <w:vertAlign w:val="superscript"/>
                <w:lang w:eastAsia="zh-CN"/>
              </w:rPr>
              <w:t>-6</w:t>
            </w:r>
            <w:r>
              <w:rPr>
                <w:rFonts w:hint="eastAsia"/>
                <w:color w:val="auto"/>
                <w:vertAlign w:val="baseline"/>
                <w:lang w:val="en-US" w:eastAsia="zh-CN"/>
              </w:rPr>
              <w:t>/</w:t>
            </w:r>
            <w:r>
              <w:rPr>
                <w:color w:val="auto"/>
              </w:rPr>
              <w:t>a</w:t>
            </w:r>
          </w:p>
        </w:tc>
        <w:tc>
          <w:tcPr>
            <w:tcW w:w="603" w:type="pct"/>
            <w:shd w:val="clear" w:color="auto" w:fill="auto"/>
            <w:tcMar>
              <w:left w:w="0" w:type="dxa"/>
              <w:right w:w="0" w:type="dxa"/>
            </w:tcMar>
            <w:vAlign w:val="center"/>
          </w:tcPr>
          <w:p w14:paraId="031E1D47">
            <w:pPr>
              <w:pStyle w:val="26"/>
              <w:bidi w:val="0"/>
              <w:rPr>
                <w:rFonts w:hint="eastAsia" w:ascii="Times New Roman" w:hAnsi="Times New Roman" w:eastAsia="仿宋_GB2312" w:cs="Times New Roman"/>
                <w:color w:val="auto"/>
                <w:kern w:val="2"/>
                <w:sz w:val="21"/>
                <w:szCs w:val="22"/>
                <w:lang w:val="en-US" w:eastAsia="zh-CN" w:bidi="ar-SA"/>
              </w:rPr>
            </w:pPr>
            <w:r>
              <w:rPr>
                <w:color w:val="auto"/>
              </w:rPr>
              <w:t>否</w:t>
            </w:r>
          </w:p>
        </w:tc>
      </w:tr>
      <w:tr w14:paraId="323F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613" w:type="pct"/>
            <w:vMerge w:val="continue"/>
            <w:tcMar>
              <w:left w:w="0" w:type="dxa"/>
              <w:right w:w="0" w:type="dxa"/>
            </w:tcMar>
            <w:vAlign w:val="center"/>
          </w:tcPr>
          <w:p w14:paraId="0BDB311C">
            <w:pPr>
              <w:pStyle w:val="26"/>
              <w:bidi w:val="0"/>
              <w:rPr>
                <w:rFonts w:hint="eastAsia" w:eastAsia="仿宋_GB2312"/>
                <w:color w:val="auto"/>
                <w:lang w:val="en-US" w:eastAsia="zh-CN"/>
              </w:rPr>
            </w:pPr>
          </w:p>
        </w:tc>
        <w:tc>
          <w:tcPr>
            <w:tcW w:w="452" w:type="pct"/>
            <w:vMerge w:val="continue"/>
            <w:tcMar>
              <w:left w:w="0" w:type="dxa"/>
              <w:right w:w="0" w:type="dxa"/>
            </w:tcMar>
            <w:vAlign w:val="center"/>
          </w:tcPr>
          <w:p w14:paraId="22606A88">
            <w:pPr>
              <w:pStyle w:val="26"/>
              <w:bidi w:val="0"/>
              <w:rPr>
                <w:rFonts w:hint="eastAsia" w:eastAsia="仿宋_GB2312"/>
                <w:color w:val="auto"/>
                <w:lang w:val="en-US" w:eastAsia="zh-CN"/>
              </w:rPr>
            </w:pPr>
          </w:p>
        </w:tc>
        <w:tc>
          <w:tcPr>
            <w:tcW w:w="951" w:type="pct"/>
            <w:vMerge w:val="continue"/>
            <w:tcMar>
              <w:left w:w="0" w:type="dxa"/>
              <w:right w:w="0" w:type="dxa"/>
            </w:tcMar>
            <w:vAlign w:val="center"/>
          </w:tcPr>
          <w:p w14:paraId="6601CB1D">
            <w:pPr>
              <w:pStyle w:val="26"/>
              <w:bidi w:val="0"/>
              <w:rPr>
                <w:rFonts w:hint="eastAsia" w:eastAsia="仿宋_GB2312"/>
                <w:color w:val="auto"/>
                <w:lang w:val="en-US" w:eastAsia="zh-CN"/>
              </w:rPr>
            </w:pPr>
          </w:p>
        </w:tc>
        <w:tc>
          <w:tcPr>
            <w:tcW w:w="900" w:type="pct"/>
            <w:shd w:val="clear" w:color="auto" w:fill="auto"/>
            <w:tcMar>
              <w:left w:w="0" w:type="dxa"/>
              <w:right w:w="0" w:type="dxa"/>
            </w:tcMar>
            <w:vAlign w:val="center"/>
          </w:tcPr>
          <w:p w14:paraId="1D873A37">
            <w:pPr>
              <w:pStyle w:val="26"/>
              <w:bidi w:val="0"/>
              <w:rPr>
                <w:rFonts w:hint="eastAsia" w:ascii="Times New Roman" w:hAnsi="Times New Roman" w:eastAsia="仿宋_GB2312" w:cs="Times New Roman"/>
                <w:color w:val="auto"/>
                <w:kern w:val="2"/>
                <w:sz w:val="21"/>
                <w:szCs w:val="22"/>
                <w:lang w:val="en-US" w:eastAsia="zh-CN" w:bidi="ar-SA"/>
              </w:rPr>
            </w:pPr>
            <w:r>
              <w:rPr>
                <w:color w:val="auto"/>
              </w:rPr>
              <w:t>火灾爆炸过程未完全燃烧物扩散</w:t>
            </w:r>
          </w:p>
        </w:tc>
        <w:tc>
          <w:tcPr>
            <w:tcW w:w="753" w:type="pct"/>
            <w:shd w:val="clear" w:color="auto" w:fill="auto"/>
            <w:tcMar>
              <w:left w:w="0" w:type="dxa"/>
              <w:right w:w="0" w:type="dxa"/>
            </w:tcMar>
            <w:vAlign w:val="center"/>
          </w:tcPr>
          <w:p w14:paraId="36F393DC">
            <w:pPr>
              <w:pStyle w:val="26"/>
              <w:bidi w:val="0"/>
              <w:rPr>
                <w:rFonts w:hint="eastAsia" w:ascii="Times New Roman" w:hAnsi="Times New Roman" w:eastAsia="仿宋_GB2312" w:cs="Times New Roman"/>
                <w:color w:val="auto"/>
                <w:kern w:val="2"/>
                <w:sz w:val="21"/>
                <w:szCs w:val="22"/>
                <w:lang w:val="en-US" w:eastAsia="zh-CN" w:bidi="ar-SA"/>
              </w:rPr>
            </w:pPr>
            <w:r>
              <w:rPr>
                <w:color w:val="auto"/>
              </w:rPr>
              <w:t>扩散</w:t>
            </w:r>
          </w:p>
        </w:tc>
        <w:tc>
          <w:tcPr>
            <w:tcW w:w="724" w:type="pct"/>
            <w:shd w:val="clear" w:color="auto" w:fill="auto"/>
            <w:tcMar>
              <w:left w:w="0" w:type="dxa"/>
              <w:right w:w="0" w:type="dxa"/>
            </w:tcMar>
            <w:vAlign w:val="center"/>
          </w:tcPr>
          <w:p w14:paraId="1BC853AB">
            <w:pPr>
              <w:pStyle w:val="26"/>
              <w:bidi w:val="0"/>
              <w:rPr>
                <w:rFonts w:hint="eastAsia" w:ascii="Times New Roman" w:hAnsi="Times New Roman" w:eastAsia="仿宋_GB2312" w:cs="Times New Roman"/>
                <w:color w:val="auto"/>
                <w:kern w:val="2"/>
                <w:sz w:val="21"/>
                <w:szCs w:val="22"/>
                <w:lang w:val="en-US" w:eastAsia="zh-CN" w:bidi="ar-SA"/>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shd w:val="clear" w:color="auto" w:fill="auto"/>
            <w:tcMar>
              <w:left w:w="0" w:type="dxa"/>
              <w:right w:w="0" w:type="dxa"/>
            </w:tcMar>
            <w:vAlign w:val="center"/>
          </w:tcPr>
          <w:p w14:paraId="676F63C9">
            <w:pPr>
              <w:pStyle w:val="26"/>
              <w:bidi w:val="0"/>
              <w:rPr>
                <w:rFonts w:hint="eastAsia" w:ascii="Times New Roman" w:hAnsi="Times New Roman" w:eastAsia="仿宋_GB2312" w:cs="Times New Roman"/>
                <w:color w:val="auto"/>
                <w:kern w:val="2"/>
                <w:sz w:val="21"/>
                <w:szCs w:val="22"/>
                <w:lang w:val="en-US" w:eastAsia="zh-CN" w:bidi="ar-SA"/>
              </w:rPr>
            </w:pPr>
            <w:r>
              <w:rPr>
                <w:color w:val="auto"/>
              </w:rPr>
              <w:t>否</w:t>
            </w:r>
          </w:p>
        </w:tc>
      </w:tr>
      <w:tr w14:paraId="18E8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613" w:type="pct"/>
            <w:vMerge w:val="continue"/>
            <w:tcMar>
              <w:left w:w="0" w:type="dxa"/>
              <w:right w:w="0" w:type="dxa"/>
            </w:tcMar>
            <w:vAlign w:val="center"/>
          </w:tcPr>
          <w:p w14:paraId="56377B63">
            <w:pPr>
              <w:pStyle w:val="26"/>
              <w:bidi w:val="0"/>
              <w:rPr>
                <w:rFonts w:hint="eastAsia" w:eastAsia="仿宋_GB2312"/>
                <w:color w:val="auto"/>
                <w:lang w:val="en-US" w:eastAsia="zh-CN"/>
              </w:rPr>
            </w:pPr>
          </w:p>
        </w:tc>
        <w:tc>
          <w:tcPr>
            <w:tcW w:w="452" w:type="pct"/>
            <w:vMerge w:val="continue"/>
            <w:tcMar>
              <w:left w:w="0" w:type="dxa"/>
              <w:right w:w="0" w:type="dxa"/>
            </w:tcMar>
            <w:vAlign w:val="center"/>
          </w:tcPr>
          <w:p w14:paraId="45C2EAD1">
            <w:pPr>
              <w:pStyle w:val="26"/>
              <w:bidi w:val="0"/>
              <w:rPr>
                <w:rFonts w:hint="eastAsia" w:eastAsia="仿宋_GB2312"/>
                <w:color w:val="auto"/>
                <w:lang w:val="en-US" w:eastAsia="zh-CN"/>
              </w:rPr>
            </w:pPr>
          </w:p>
        </w:tc>
        <w:tc>
          <w:tcPr>
            <w:tcW w:w="951" w:type="pct"/>
            <w:vMerge w:val="continue"/>
            <w:tcMar>
              <w:left w:w="0" w:type="dxa"/>
              <w:right w:w="0" w:type="dxa"/>
            </w:tcMar>
            <w:vAlign w:val="center"/>
          </w:tcPr>
          <w:p w14:paraId="56AABDC8">
            <w:pPr>
              <w:pStyle w:val="26"/>
              <w:bidi w:val="0"/>
              <w:rPr>
                <w:rFonts w:hint="eastAsia" w:eastAsia="仿宋_GB2312"/>
                <w:color w:val="auto"/>
                <w:lang w:val="en-US" w:eastAsia="zh-CN"/>
              </w:rPr>
            </w:pPr>
          </w:p>
        </w:tc>
        <w:tc>
          <w:tcPr>
            <w:tcW w:w="900" w:type="pct"/>
            <w:shd w:val="clear" w:color="auto" w:fill="auto"/>
            <w:tcMar>
              <w:left w:w="0" w:type="dxa"/>
              <w:right w:w="0" w:type="dxa"/>
            </w:tcMar>
            <w:vAlign w:val="center"/>
          </w:tcPr>
          <w:p w14:paraId="74893C41">
            <w:pPr>
              <w:pStyle w:val="26"/>
              <w:bidi w:val="0"/>
              <w:rPr>
                <w:rFonts w:hint="eastAsia" w:ascii="Times New Roman" w:hAnsi="Times New Roman" w:eastAsia="仿宋_GB2312" w:cs="Times New Roman"/>
                <w:color w:val="auto"/>
                <w:kern w:val="2"/>
                <w:sz w:val="21"/>
                <w:szCs w:val="22"/>
                <w:lang w:val="en-US" w:eastAsia="zh-CN" w:bidi="ar-SA"/>
              </w:rPr>
            </w:pPr>
            <w:r>
              <w:rPr>
                <w:color w:val="auto"/>
              </w:rPr>
              <w:t>火灾爆炸次伴生</w:t>
            </w:r>
          </w:p>
        </w:tc>
        <w:tc>
          <w:tcPr>
            <w:tcW w:w="753" w:type="pct"/>
            <w:shd w:val="clear" w:color="auto" w:fill="auto"/>
            <w:tcMar>
              <w:left w:w="0" w:type="dxa"/>
              <w:right w:w="0" w:type="dxa"/>
            </w:tcMar>
            <w:vAlign w:val="center"/>
          </w:tcPr>
          <w:p w14:paraId="7B8FF4CB">
            <w:pPr>
              <w:pStyle w:val="26"/>
              <w:bidi w:val="0"/>
              <w:rPr>
                <w:rFonts w:hint="eastAsia" w:ascii="Times New Roman" w:hAnsi="Times New Roman" w:eastAsia="仿宋_GB2312" w:cs="Times New Roman"/>
                <w:color w:val="auto"/>
                <w:kern w:val="2"/>
                <w:sz w:val="21"/>
                <w:szCs w:val="22"/>
                <w:lang w:val="en-US" w:eastAsia="zh-CN" w:bidi="ar-SA"/>
              </w:rPr>
            </w:pPr>
            <w:r>
              <w:rPr>
                <w:color w:val="auto"/>
              </w:rPr>
              <w:t>扩散、消防水漫流、渗透、吸收</w:t>
            </w:r>
          </w:p>
        </w:tc>
        <w:tc>
          <w:tcPr>
            <w:tcW w:w="724" w:type="pct"/>
            <w:shd w:val="clear" w:color="auto" w:fill="auto"/>
            <w:tcMar>
              <w:left w:w="0" w:type="dxa"/>
              <w:right w:w="0" w:type="dxa"/>
            </w:tcMar>
            <w:vAlign w:val="center"/>
          </w:tcPr>
          <w:p w14:paraId="28684ABC">
            <w:pPr>
              <w:pStyle w:val="26"/>
              <w:bidi w:val="0"/>
              <w:rPr>
                <w:rFonts w:hint="eastAsia" w:ascii="Times New Roman" w:hAnsi="Times New Roman" w:eastAsia="仿宋_GB2312" w:cs="Times New Roman"/>
                <w:color w:val="auto"/>
                <w:kern w:val="2"/>
                <w:sz w:val="21"/>
                <w:szCs w:val="22"/>
                <w:lang w:val="en-US" w:eastAsia="zh-CN" w:bidi="ar-SA"/>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shd w:val="clear" w:color="auto" w:fill="auto"/>
            <w:tcMar>
              <w:left w:w="0" w:type="dxa"/>
              <w:right w:w="0" w:type="dxa"/>
            </w:tcMar>
            <w:vAlign w:val="center"/>
          </w:tcPr>
          <w:p w14:paraId="1D1FEE23">
            <w:pPr>
              <w:pStyle w:val="26"/>
              <w:bidi w:val="0"/>
              <w:rPr>
                <w:rFonts w:hint="eastAsia" w:ascii="Times New Roman" w:hAnsi="Times New Roman" w:eastAsia="仿宋_GB2312" w:cs="Times New Roman"/>
                <w:color w:val="auto"/>
                <w:kern w:val="2"/>
                <w:sz w:val="21"/>
                <w:szCs w:val="22"/>
                <w:lang w:val="en-US" w:eastAsia="zh-CN" w:bidi="ar-SA"/>
              </w:rPr>
            </w:pPr>
            <w:r>
              <w:rPr>
                <w:color w:val="auto"/>
              </w:rPr>
              <w:t>否</w:t>
            </w:r>
          </w:p>
        </w:tc>
      </w:tr>
      <w:tr w14:paraId="0E1E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restart"/>
            <w:tcMar>
              <w:left w:w="0" w:type="dxa"/>
              <w:right w:w="0" w:type="dxa"/>
            </w:tcMar>
            <w:vAlign w:val="center"/>
          </w:tcPr>
          <w:p w14:paraId="3BF6837C">
            <w:pPr>
              <w:pStyle w:val="26"/>
              <w:bidi w:val="0"/>
              <w:rPr>
                <w:rFonts w:hint="default"/>
                <w:color w:val="auto"/>
                <w:lang w:val="en-US"/>
              </w:rPr>
            </w:pPr>
            <w:r>
              <w:rPr>
                <w:rFonts w:hint="eastAsia"/>
                <w:color w:val="auto"/>
                <w:lang w:val="en-US" w:eastAsia="zh-CN"/>
              </w:rPr>
              <w:t>化学品库</w:t>
            </w:r>
          </w:p>
        </w:tc>
        <w:tc>
          <w:tcPr>
            <w:tcW w:w="452" w:type="pct"/>
            <w:vMerge w:val="restart"/>
            <w:tcMar>
              <w:left w:w="0" w:type="dxa"/>
              <w:right w:w="0" w:type="dxa"/>
            </w:tcMar>
            <w:vAlign w:val="center"/>
          </w:tcPr>
          <w:p w14:paraId="63EF2075">
            <w:pPr>
              <w:pStyle w:val="26"/>
              <w:bidi w:val="0"/>
              <w:rPr>
                <w:rFonts w:hint="default"/>
                <w:color w:val="auto"/>
                <w:lang w:val="en-US" w:eastAsia="zh-CN"/>
              </w:rPr>
            </w:pPr>
            <w:r>
              <w:rPr>
                <w:rFonts w:hint="default"/>
                <w:color w:val="auto"/>
                <w:lang w:val="en-US" w:eastAsia="zh-CN"/>
              </w:rPr>
              <w:t>原辅料贮存</w:t>
            </w:r>
          </w:p>
        </w:tc>
        <w:tc>
          <w:tcPr>
            <w:tcW w:w="951" w:type="pct"/>
            <w:vMerge w:val="restart"/>
            <w:tcMar>
              <w:left w:w="0" w:type="dxa"/>
              <w:right w:w="0" w:type="dxa"/>
            </w:tcMar>
            <w:vAlign w:val="center"/>
          </w:tcPr>
          <w:p w14:paraId="5825DECF">
            <w:pPr>
              <w:pStyle w:val="26"/>
              <w:bidi w:val="0"/>
              <w:rPr>
                <w:rFonts w:hint="default"/>
                <w:color w:val="auto"/>
                <w:lang w:val="en-US" w:eastAsia="zh-CN"/>
              </w:rPr>
            </w:pPr>
            <w:r>
              <w:rPr>
                <w:rFonts w:hint="eastAsia"/>
                <w:color w:val="auto"/>
                <w:lang w:val="en-US" w:eastAsia="zh-CN"/>
              </w:rPr>
              <w:t>铬酐、酸、碱、显影液等</w:t>
            </w:r>
          </w:p>
        </w:tc>
        <w:tc>
          <w:tcPr>
            <w:tcW w:w="900" w:type="pct"/>
            <w:tcMar>
              <w:left w:w="0" w:type="dxa"/>
              <w:right w:w="0" w:type="dxa"/>
            </w:tcMar>
            <w:vAlign w:val="center"/>
          </w:tcPr>
          <w:p w14:paraId="2345A448">
            <w:pPr>
              <w:pStyle w:val="26"/>
              <w:bidi w:val="0"/>
              <w:rPr>
                <w:color w:val="auto"/>
              </w:rPr>
            </w:pPr>
            <w:r>
              <w:rPr>
                <w:color w:val="auto"/>
              </w:rPr>
              <w:t>10min内泄漏完</w:t>
            </w:r>
          </w:p>
        </w:tc>
        <w:tc>
          <w:tcPr>
            <w:tcW w:w="753" w:type="pct"/>
            <w:tcMar>
              <w:left w:w="0" w:type="dxa"/>
              <w:right w:w="0" w:type="dxa"/>
            </w:tcMar>
            <w:vAlign w:val="center"/>
          </w:tcPr>
          <w:p w14:paraId="51C0D15D">
            <w:pPr>
              <w:pStyle w:val="26"/>
              <w:bidi w:val="0"/>
              <w:rPr>
                <w:color w:val="auto"/>
              </w:rPr>
            </w:pPr>
            <w:r>
              <w:rPr>
                <w:color w:val="auto"/>
              </w:rPr>
              <w:t>扩散、渗透、吸收</w:t>
            </w:r>
          </w:p>
        </w:tc>
        <w:tc>
          <w:tcPr>
            <w:tcW w:w="724" w:type="pct"/>
            <w:tcMar>
              <w:left w:w="0" w:type="dxa"/>
              <w:right w:w="0" w:type="dxa"/>
            </w:tcMar>
            <w:vAlign w:val="center"/>
          </w:tcPr>
          <w:p w14:paraId="4DD16649">
            <w:pPr>
              <w:pStyle w:val="26"/>
              <w:bidi w:val="0"/>
              <w:rPr>
                <w:color w:val="auto"/>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tcMar>
              <w:left w:w="0" w:type="dxa"/>
              <w:right w:w="0" w:type="dxa"/>
            </w:tcMar>
            <w:vAlign w:val="center"/>
          </w:tcPr>
          <w:p w14:paraId="7CC8CE66">
            <w:pPr>
              <w:pStyle w:val="26"/>
              <w:bidi w:val="0"/>
              <w:rPr>
                <w:color w:val="auto"/>
              </w:rPr>
            </w:pPr>
            <w:r>
              <w:rPr>
                <w:color w:val="auto"/>
              </w:rPr>
              <w:t>否</w:t>
            </w:r>
          </w:p>
        </w:tc>
      </w:tr>
      <w:tr w14:paraId="4207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continue"/>
            <w:tcMar>
              <w:left w:w="0" w:type="dxa"/>
              <w:right w:w="0" w:type="dxa"/>
            </w:tcMar>
            <w:vAlign w:val="center"/>
          </w:tcPr>
          <w:p w14:paraId="7488084B">
            <w:pPr>
              <w:pStyle w:val="26"/>
              <w:bidi w:val="0"/>
              <w:rPr>
                <w:rFonts w:hint="eastAsia"/>
                <w:color w:val="auto"/>
                <w:lang w:val="en-US" w:eastAsia="zh-CN"/>
              </w:rPr>
            </w:pPr>
          </w:p>
        </w:tc>
        <w:tc>
          <w:tcPr>
            <w:tcW w:w="452" w:type="pct"/>
            <w:vMerge w:val="continue"/>
            <w:tcMar>
              <w:left w:w="0" w:type="dxa"/>
              <w:right w:w="0" w:type="dxa"/>
            </w:tcMar>
            <w:vAlign w:val="center"/>
          </w:tcPr>
          <w:p w14:paraId="295DEF08">
            <w:pPr>
              <w:pStyle w:val="26"/>
              <w:bidi w:val="0"/>
              <w:rPr>
                <w:rFonts w:hint="eastAsia"/>
                <w:color w:val="auto"/>
                <w:lang w:val="en-US" w:eastAsia="zh-CN"/>
              </w:rPr>
            </w:pPr>
          </w:p>
        </w:tc>
        <w:tc>
          <w:tcPr>
            <w:tcW w:w="951" w:type="pct"/>
            <w:vMerge w:val="continue"/>
            <w:tcMar>
              <w:left w:w="0" w:type="dxa"/>
              <w:right w:w="0" w:type="dxa"/>
            </w:tcMar>
            <w:vAlign w:val="center"/>
          </w:tcPr>
          <w:p w14:paraId="2F174689">
            <w:pPr>
              <w:pStyle w:val="26"/>
              <w:bidi w:val="0"/>
              <w:rPr>
                <w:rFonts w:hint="eastAsia"/>
                <w:color w:val="auto"/>
                <w:lang w:val="en-US" w:eastAsia="zh-CN"/>
              </w:rPr>
            </w:pPr>
          </w:p>
        </w:tc>
        <w:tc>
          <w:tcPr>
            <w:tcW w:w="900" w:type="pct"/>
            <w:tcMar>
              <w:left w:w="0" w:type="dxa"/>
              <w:right w:w="0" w:type="dxa"/>
            </w:tcMar>
            <w:vAlign w:val="center"/>
          </w:tcPr>
          <w:p w14:paraId="177E7767">
            <w:pPr>
              <w:pStyle w:val="26"/>
              <w:bidi w:val="0"/>
              <w:rPr>
                <w:color w:val="auto"/>
              </w:rPr>
            </w:pPr>
            <w:r>
              <w:rPr>
                <w:color w:val="auto"/>
              </w:rPr>
              <w:t>火灾爆炸次伴生</w:t>
            </w:r>
          </w:p>
        </w:tc>
        <w:tc>
          <w:tcPr>
            <w:tcW w:w="753" w:type="pct"/>
            <w:tcMar>
              <w:left w:w="0" w:type="dxa"/>
              <w:right w:w="0" w:type="dxa"/>
            </w:tcMar>
            <w:vAlign w:val="center"/>
          </w:tcPr>
          <w:p w14:paraId="1746F154">
            <w:pPr>
              <w:pStyle w:val="26"/>
              <w:bidi w:val="0"/>
              <w:rPr>
                <w:color w:val="auto"/>
              </w:rPr>
            </w:pPr>
            <w:r>
              <w:rPr>
                <w:color w:val="auto"/>
              </w:rPr>
              <w:t>扩散，消防废水漫流、渗透、吸收</w:t>
            </w:r>
          </w:p>
        </w:tc>
        <w:tc>
          <w:tcPr>
            <w:tcW w:w="724" w:type="pct"/>
            <w:tcMar>
              <w:left w:w="0" w:type="dxa"/>
              <w:right w:w="0" w:type="dxa"/>
            </w:tcMar>
            <w:vAlign w:val="center"/>
          </w:tcPr>
          <w:p w14:paraId="72890CFC">
            <w:pPr>
              <w:pStyle w:val="26"/>
              <w:bidi w:val="0"/>
              <w:rPr>
                <w:color w:val="auto"/>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tcMar>
              <w:left w:w="0" w:type="dxa"/>
              <w:right w:w="0" w:type="dxa"/>
            </w:tcMar>
            <w:vAlign w:val="center"/>
          </w:tcPr>
          <w:p w14:paraId="4533962C">
            <w:pPr>
              <w:pStyle w:val="26"/>
              <w:bidi w:val="0"/>
              <w:rPr>
                <w:rFonts w:hint="eastAsia" w:eastAsia="仿宋_GB2312"/>
                <w:color w:val="auto"/>
                <w:lang w:eastAsia="zh-CN"/>
              </w:rPr>
            </w:pPr>
            <w:r>
              <w:rPr>
                <w:rFonts w:hint="eastAsia"/>
                <w:color w:val="auto"/>
                <w:lang w:val="en-US" w:eastAsia="zh-CN"/>
              </w:rPr>
              <w:t>是</w:t>
            </w:r>
          </w:p>
        </w:tc>
      </w:tr>
      <w:tr w14:paraId="0622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continue"/>
            <w:tcMar>
              <w:left w:w="0" w:type="dxa"/>
              <w:right w:w="0" w:type="dxa"/>
            </w:tcMar>
            <w:vAlign w:val="center"/>
          </w:tcPr>
          <w:p w14:paraId="7F90F542">
            <w:pPr>
              <w:pStyle w:val="26"/>
              <w:bidi w:val="0"/>
              <w:rPr>
                <w:color w:val="auto"/>
              </w:rPr>
            </w:pPr>
          </w:p>
        </w:tc>
        <w:tc>
          <w:tcPr>
            <w:tcW w:w="452" w:type="pct"/>
            <w:vMerge w:val="continue"/>
            <w:tcMar>
              <w:left w:w="0" w:type="dxa"/>
              <w:right w:w="0" w:type="dxa"/>
            </w:tcMar>
            <w:vAlign w:val="center"/>
          </w:tcPr>
          <w:p w14:paraId="3B151A55">
            <w:pPr>
              <w:pStyle w:val="26"/>
              <w:bidi w:val="0"/>
              <w:rPr>
                <w:color w:val="auto"/>
              </w:rPr>
            </w:pPr>
          </w:p>
        </w:tc>
        <w:tc>
          <w:tcPr>
            <w:tcW w:w="951" w:type="pct"/>
            <w:vMerge w:val="continue"/>
            <w:tcMar>
              <w:left w:w="0" w:type="dxa"/>
              <w:right w:w="0" w:type="dxa"/>
            </w:tcMar>
            <w:vAlign w:val="center"/>
          </w:tcPr>
          <w:p w14:paraId="4A036C87">
            <w:pPr>
              <w:pStyle w:val="26"/>
              <w:bidi w:val="0"/>
              <w:rPr>
                <w:color w:val="auto"/>
              </w:rPr>
            </w:pPr>
          </w:p>
        </w:tc>
        <w:tc>
          <w:tcPr>
            <w:tcW w:w="900" w:type="pct"/>
            <w:tcMar>
              <w:left w:w="0" w:type="dxa"/>
              <w:right w:w="0" w:type="dxa"/>
            </w:tcMar>
            <w:vAlign w:val="center"/>
          </w:tcPr>
          <w:p w14:paraId="79D03AFA">
            <w:pPr>
              <w:pStyle w:val="26"/>
              <w:bidi w:val="0"/>
              <w:rPr>
                <w:color w:val="auto"/>
              </w:rPr>
            </w:pPr>
            <w:r>
              <w:rPr>
                <w:color w:val="auto"/>
              </w:rPr>
              <w:t>火灾爆炸过程未完全燃烧物扩散</w:t>
            </w:r>
          </w:p>
        </w:tc>
        <w:tc>
          <w:tcPr>
            <w:tcW w:w="753" w:type="pct"/>
            <w:tcMar>
              <w:left w:w="0" w:type="dxa"/>
              <w:right w:w="0" w:type="dxa"/>
            </w:tcMar>
            <w:vAlign w:val="center"/>
          </w:tcPr>
          <w:p w14:paraId="0421F377">
            <w:pPr>
              <w:pStyle w:val="26"/>
              <w:bidi w:val="0"/>
              <w:rPr>
                <w:color w:val="auto"/>
              </w:rPr>
            </w:pPr>
            <w:r>
              <w:rPr>
                <w:color w:val="auto"/>
              </w:rPr>
              <w:t>扩散</w:t>
            </w:r>
          </w:p>
        </w:tc>
        <w:tc>
          <w:tcPr>
            <w:tcW w:w="724" w:type="pct"/>
            <w:shd w:val="clear" w:color="auto" w:fill="auto"/>
            <w:tcMar>
              <w:left w:w="0" w:type="dxa"/>
              <w:right w:w="0" w:type="dxa"/>
            </w:tcMar>
            <w:vAlign w:val="center"/>
          </w:tcPr>
          <w:p w14:paraId="7FB2EDDA">
            <w:pPr>
              <w:pStyle w:val="26"/>
              <w:bidi w:val="0"/>
              <w:rPr>
                <w:color w:val="auto"/>
                <w:lang w:val="en-US" w:eastAsia="zh-CN"/>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tcMar>
              <w:left w:w="0" w:type="dxa"/>
              <w:right w:w="0" w:type="dxa"/>
            </w:tcMar>
            <w:vAlign w:val="center"/>
          </w:tcPr>
          <w:p w14:paraId="41BB0973">
            <w:pPr>
              <w:pStyle w:val="26"/>
              <w:bidi w:val="0"/>
              <w:rPr>
                <w:rFonts w:hint="eastAsia" w:eastAsia="仿宋_GB2312"/>
                <w:color w:val="auto"/>
                <w:lang w:eastAsia="zh-CN"/>
              </w:rPr>
            </w:pPr>
            <w:r>
              <w:rPr>
                <w:rFonts w:hint="eastAsia"/>
                <w:color w:val="auto"/>
                <w:lang w:val="en-US" w:eastAsia="zh-CN"/>
              </w:rPr>
              <w:t>是</w:t>
            </w:r>
          </w:p>
        </w:tc>
      </w:tr>
      <w:tr w14:paraId="7115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13" w:type="pct"/>
            <w:vMerge w:val="restart"/>
            <w:shd w:val="clear" w:color="auto" w:fill="auto"/>
            <w:tcMar>
              <w:left w:w="0" w:type="dxa"/>
              <w:right w:w="0" w:type="dxa"/>
            </w:tcMar>
            <w:vAlign w:val="center"/>
          </w:tcPr>
          <w:p w14:paraId="3CF1D48A">
            <w:pPr>
              <w:pStyle w:val="26"/>
              <w:bidi w:val="0"/>
              <w:rPr>
                <w:rFonts w:hint="default"/>
                <w:color w:val="auto"/>
                <w:lang w:val="en-US" w:eastAsia="zh-CN"/>
              </w:rPr>
            </w:pPr>
            <w:r>
              <w:rPr>
                <w:rFonts w:hint="eastAsia"/>
                <w:color w:val="auto"/>
                <w:lang w:val="en-US" w:eastAsia="zh-CN"/>
              </w:rPr>
              <w:t>危废仓库</w:t>
            </w:r>
          </w:p>
        </w:tc>
        <w:tc>
          <w:tcPr>
            <w:tcW w:w="452" w:type="pct"/>
            <w:vMerge w:val="restart"/>
            <w:shd w:val="clear" w:color="auto" w:fill="auto"/>
            <w:tcMar>
              <w:left w:w="0" w:type="dxa"/>
              <w:right w:w="0" w:type="dxa"/>
            </w:tcMar>
            <w:vAlign w:val="center"/>
          </w:tcPr>
          <w:p w14:paraId="1EACDD99">
            <w:pPr>
              <w:pStyle w:val="26"/>
              <w:bidi w:val="0"/>
              <w:rPr>
                <w:rFonts w:hint="default"/>
                <w:color w:val="auto"/>
                <w:lang w:val="en-US" w:eastAsia="zh-CN"/>
              </w:rPr>
            </w:pPr>
            <w:r>
              <w:rPr>
                <w:rFonts w:hint="eastAsia"/>
                <w:color w:val="auto"/>
                <w:lang w:val="en-US" w:eastAsia="zh-CN"/>
              </w:rPr>
              <w:t>危废贮存</w:t>
            </w:r>
          </w:p>
        </w:tc>
        <w:tc>
          <w:tcPr>
            <w:tcW w:w="951" w:type="pct"/>
            <w:vMerge w:val="restart"/>
            <w:shd w:val="clear" w:color="auto" w:fill="auto"/>
            <w:tcMar>
              <w:left w:w="0" w:type="dxa"/>
              <w:right w:w="0" w:type="dxa"/>
            </w:tcMar>
            <w:vAlign w:val="center"/>
          </w:tcPr>
          <w:p w14:paraId="2FE0A30B">
            <w:pPr>
              <w:pStyle w:val="26"/>
              <w:bidi w:val="0"/>
              <w:rPr>
                <w:rFonts w:hint="default"/>
                <w:color w:val="auto"/>
                <w:lang w:val="en-US" w:eastAsia="zh-CN"/>
              </w:rPr>
            </w:pPr>
            <w:r>
              <w:rPr>
                <w:rFonts w:hint="eastAsia"/>
                <w:color w:val="auto"/>
                <w:lang w:val="en-US" w:eastAsia="zh-CN"/>
              </w:rPr>
              <w:t>过滤废渣、废活性炭等</w:t>
            </w:r>
          </w:p>
        </w:tc>
        <w:tc>
          <w:tcPr>
            <w:tcW w:w="900" w:type="pct"/>
            <w:shd w:val="clear" w:color="auto" w:fill="auto"/>
            <w:tcMar>
              <w:left w:w="0" w:type="dxa"/>
              <w:right w:w="0" w:type="dxa"/>
            </w:tcMar>
            <w:vAlign w:val="center"/>
          </w:tcPr>
          <w:p w14:paraId="4654B951">
            <w:pPr>
              <w:pStyle w:val="26"/>
              <w:bidi w:val="0"/>
              <w:rPr>
                <w:rFonts w:hint="eastAsia"/>
                <w:color w:val="auto"/>
                <w:lang w:val="en-US" w:eastAsia="zh-CN"/>
              </w:rPr>
            </w:pPr>
            <w:r>
              <w:rPr>
                <w:color w:val="auto"/>
              </w:rPr>
              <w:t>10min内泄漏完</w:t>
            </w:r>
          </w:p>
        </w:tc>
        <w:tc>
          <w:tcPr>
            <w:tcW w:w="753" w:type="pct"/>
            <w:shd w:val="clear" w:color="auto" w:fill="auto"/>
            <w:tcMar>
              <w:left w:w="0" w:type="dxa"/>
              <w:right w:w="0" w:type="dxa"/>
            </w:tcMar>
            <w:vAlign w:val="center"/>
          </w:tcPr>
          <w:p w14:paraId="23AE153B">
            <w:pPr>
              <w:pStyle w:val="26"/>
              <w:bidi w:val="0"/>
              <w:rPr>
                <w:rFonts w:hint="eastAsia"/>
                <w:color w:val="auto"/>
                <w:lang w:val="en-US" w:eastAsia="zh-CN"/>
              </w:rPr>
            </w:pPr>
            <w:r>
              <w:rPr>
                <w:color w:val="auto"/>
              </w:rPr>
              <w:t>扩散</w:t>
            </w:r>
            <w:r>
              <w:rPr>
                <w:rFonts w:hint="eastAsia"/>
                <w:color w:val="auto"/>
                <w:lang w:eastAsia="zh-CN"/>
              </w:rPr>
              <w:t>、</w:t>
            </w:r>
            <w:r>
              <w:rPr>
                <w:color w:val="auto"/>
              </w:rPr>
              <w:t>渗透、吸收</w:t>
            </w:r>
          </w:p>
        </w:tc>
        <w:tc>
          <w:tcPr>
            <w:tcW w:w="724" w:type="pct"/>
            <w:shd w:val="clear" w:color="auto" w:fill="auto"/>
            <w:tcMar>
              <w:left w:w="0" w:type="dxa"/>
              <w:right w:w="0" w:type="dxa"/>
            </w:tcMar>
            <w:vAlign w:val="center"/>
          </w:tcPr>
          <w:p w14:paraId="74C387C9">
            <w:pPr>
              <w:pStyle w:val="26"/>
              <w:bidi w:val="0"/>
              <w:rPr>
                <w:rFonts w:hint="eastAsia"/>
                <w:color w:val="auto"/>
                <w:lang w:val="en-US" w:eastAsia="zh-CN"/>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shd w:val="clear" w:color="auto" w:fill="auto"/>
            <w:tcMar>
              <w:left w:w="0" w:type="dxa"/>
              <w:right w:w="0" w:type="dxa"/>
            </w:tcMar>
            <w:vAlign w:val="center"/>
          </w:tcPr>
          <w:p w14:paraId="129395E0">
            <w:pPr>
              <w:pStyle w:val="26"/>
              <w:bidi w:val="0"/>
              <w:rPr>
                <w:color w:val="auto"/>
                <w:lang w:val="en-US" w:eastAsia="zh-CN"/>
              </w:rPr>
            </w:pPr>
            <w:r>
              <w:rPr>
                <w:color w:val="auto"/>
              </w:rPr>
              <w:t>否</w:t>
            </w:r>
          </w:p>
        </w:tc>
      </w:tr>
      <w:tr w14:paraId="550B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continue"/>
            <w:shd w:val="clear" w:color="auto" w:fill="auto"/>
            <w:tcMar>
              <w:left w:w="0" w:type="dxa"/>
              <w:right w:w="0" w:type="dxa"/>
            </w:tcMar>
            <w:vAlign w:val="center"/>
          </w:tcPr>
          <w:p w14:paraId="06C11C7D">
            <w:pPr>
              <w:pStyle w:val="26"/>
              <w:bidi w:val="0"/>
              <w:rPr>
                <w:color w:val="auto"/>
                <w:lang w:val="en-US" w:eastAsia="zh-CN"/>
              </w:rPr>
            </w:pPr>
          </w:p>
        </w:tc>
        <w:tc>
          <w:tcPr>
            <w:tcW w:w="452" w:type="pct"/>
            <w:vMerge w:val="continue"/>
            <w:shd w:val="clear" w:color="auto" w:fill="auto"/>
            <w:tcMar>
              <w:left w:w="0" w:type="dxa"/>
              <w:right w:w="0" w:type="dxa"/>
            </w:tcMar>
            <w:vAlign w:val="center"/>
          </w:tcPr>
          <w:p w14:paraId="65F427FD">
            <w:pPr>
              <w:pStyle w:val="26"/>
              <w:bidi w:val="0"/>
              <w:rPr>
                <w:rFonts w:hint="eastAsia"/>
                <w:color w:val="auto"/>
                <w:lang w:val="en-US" w:eastAsia="zh-CN"/>
              </w:rPr>
            </w:pPr>
          </w:p>
        </w:tc>
        <w:tc>
          <w:tcPr>
            <w:tcW w:w="951" w:type="pct"/>
            <w:vMerge w:val="continue"/>
            <w:shd w:val="clear" w:color="auto" w:fill="auto"/>
            <w:tcMar>
              <w:left w:w="0" w:type="dxa"/>
              <w:right w:w="0" w:type="dxa"/>
            </w:tcMar>
            <w:vAlign w:val="center"/>
          </w:tcPr>
          <w:p w14:paraId="22354ADC">
            <w:pPr>
              <w:pStyle w:val="26"/>
              <w:bidi w:val="0"/>
              <w:rPr>
                <w:rFonts w:hint="eastAsia"/>
                <w:color w:val="auto"/>
                <w:lang w:val="en-US" w:eastAsia="zh-CN"/>
              </w:rPr>
            </w:pPr>
          </w:p>
        </w:tc>
        <w:tc>
          <w:tcPr>
            <w:tcW w:w="900" w:type="pct"/>
            <w:shd w:val="clear" w:color="auto" w:fill="auto"/>
            <w:tcMar>
              <w:left w:w="0" w:type="dxa"/>
              <w:right w:w="0" w:type="dxa"/>
            </w:tcMar>
            <w:vAlign w:val="center"/>
          </w:tcPr>
          <w:p w14:paraId="42B54332">
            <w:pPr>
              <w:pStyle w:val="26"/>
              <w:bidi w:val="0"/>
              <w:rPr>
                <w:color w:val="auto"/>
                <w:lang w:val="en-US" w:eastAsia="zh-CN"/>
              </w:rPr>
            </w:pPr>
            <w:r>
              <w:rPr>
                <w:color w:val="auto"/>
              </w:rPr>
              <w:t>火灾爆炸次伴生</w:t>
            </w:r>
          </w:p>
        </w:tc>
        <w:tc>
          <w:tcPr>
            <w:tcW w:w="753" w:type="pct"/>
            <w:shd w:val="clear" w:color="auto" w:fill="auto"/>
            <w:tcMar>
              <w:left w:w="0" w:type="dxa"/>
              <w:right w:w="0" w:type="dxa"/>
            </w:tcMar>
            <w:vAlign w:val="center"/>
          </w:tcPr>
          <w:p w14:paraId="43484E58">
            <w:pPr>
              <w:pStyle w:val="26"/>
              <w:bidi w:val="0"/>
              <w:rPr>
                <w:color w:val="auto"/>
                <w:lang w:val="en-US" w:eastAsia="zh-CN"/>
              </w:rPr>
            </w:pPr>
            <w:r>
              <w:rPr>
                <w:color w:val="auto"/>
              </w:rPr>
              <w:t>扩散，消防废水漫流、渗透、吸收</w:t>
            </w:r>
          </w:p>
        </w:tc>
        <w:tc>
          <w:tcPr>
            <w:tcW w:w="724" w:type="pct"/>
            <w:shd w:val="clear" w:color="auto" w:fill="auto"/>
            <w:tcMar>
              <w:left w:w="0" w:type="dxa"/>
              <w:right w:w="0" w:type="dxa"/>
            </w:tcMar>
            <w:vAlign w:val="center"/>
          </w:tcPr>
          <w:p w14:paraId="2D0058F9">
            <w:pPr>
              <w:pStyle w:val="26"/>
              <w:bidi w:val="0"/>
              <w:rPr>
                <w:color w:val="auto"/>
                <w:lang w:val="en-US" w:eastAsia="zh-CN"/>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shd w:val="clear" w:color="auto" w:fill="auto"/>
            <w:tcMar>
              <w:left w:w="0" w:type="dxa"/>
              <w:right w:w="0" w:type="dxa"/>
            </w:tcMar>
            <w:vAlign w:val="center"/>
          </w:tcPr>
          <w:p w14:paraId="3BE8A021">
            <w:pPr>
              <w:pStyle w:val="26"/>
              <w:bidi w:val="0"/>
              <w:rPr>
                <w:color w:val="auto"/>
                <w:lang w:val="en-US" w:eastAsia="zh-CN"/>
              </w:rPr>
            </w:pPr>
            <w:r>
              <w:rPr>
                <w:color w:val="auto"/>
              </w:rPr>
              <w:t>否</w:t>
            </w:r>
          </w:p>
        </w:tc>
      </w:tr>
      <w:tr w14:paraId="58E5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continue"/>
            <w:shd w:val="clear" w:color="auto" w:fill="auto"/>
            <w:tcMar>
              <w:left w:w="0" w:type="dxa"/>
              <w:right w:w="0" w:type="dxa"/>
            </w:tcMar>
            <w:vAlign w:val="center"/>
          </w:tcPr>
          <w:p w14:paraId="416D5584">
            <w:pPr>
              <w:pStyle w:val="26"/>
              <w:bidi w:val="0"/>
              <w:rPr>
                <w:color w:val="auto"/>
                <w:lang w:val="en-US" w:eastAsia="zh-CN"/>
              </w:rPr>
            </w:pPr>
          </w:p>
        </w:tc>
        <w:tc>
          <w:tcPr>
            <w:tcW w:w="452" w:type="pct"/>
            <w:vMerge w:val="continue"/>
            <w:shd w:val="clear" w:color="auto" w:fill="auto"/>
            <w:tcMar>
              <w:left w:w="0" w:type="dxa"/>
              <w:right w:w="0" w:type="dxa"/>
            </w:tcMar>
            <w:vAlign w:val="center"/>
          </w:tcPr>
          <w:p w14:paraId="774C81E1">
            <w:pPr>
              <w:pStyle w:val="26"/>
              <w:bidi w:val="0"/>
              <w:rPr>
                <w:color w:val="auto"/>
                <w:lang w:val="en-US" w:eastAsia="zh-CN"/>
              </w:rPr>
            </w:pPr>
          </w:p>
        </w:tc>
        <w:tc>
          <w:tcPr>
            <w:tcW w:w="951" w:type="pct"/>
            <w:vMerge w:val="continue"/>
            <w:shd w:val="clear" w:color="auto" w:fill="auto"/>
            <w:tcMar>
              <w:left w:w="0" w:type="dxa"/>
              <w:right w:w="0" w:type="dxa"/>
            </w:tcMar>
            <w:vAlign w:val="center"/>
          </w:tcPr>
          <w:p w14:paraId="4AB6D482">
            <w:pPr>
              <w:pStyle w:val="26"/>
              <w:bidi w:val="0"/>
              <w:rPr>
                <w:color w:val="auto"/>
                <w:lang w:val="en-US" w:eastAsia="zh-CN"/>
              </w:rPr>
            </w:pPr>
          </w:p>
        </w:tc>
        <w:tc>
          <w:tcPr>
            <w:tcW w:w="900" w:type="pct"/>
            <w:shd w:val="clear" w:color="auto" w:fill="auto"/>
            <w:tcMar>
              <w:left w:w="0" w:type="dxa"/>
              <w:right w:w="0" w:type="dxa"/>
            </w:tcMar>
            <w:vAlign w:val="center"/>
          </w:tcPr>
          <w:p w14:paraId="3EAD7490">
            <w:pPr>
              <w:pStyle w:val="26"/>
              <w:bidi w:val="0"/>
              <w:rPr>
                <w:color w:val="auto"/>
                <w:lang w:val="en-US" w:eastAsia="zh-CN"/>
              </w:rPr>
            </w:pPr>
            <w:r>
              <w:rPr>
                <w:color w:val="auto"/>
              </w:rPr>
              <w:t>火灾爆炸过程未完全燃烧物扩散</w:t>
            </w:r>
          </w:p>
        </w:tc>
        <w:tc>
          <w:tcPr>
            <w:tcW w:w="753" w:type="pct"/>
            <w:shd w:val="clear" w:color="auto" w:fill="auto"/>
            <w:tcMar>
              <w:left w:w="0" w:type="dxa"/>
              <w:right w:w="0" w:type="dxa"/>
            </w:tcMar>
            <w:vAlign w:val="center"/>
          </w:tcPr>
          <w:p w14:paraId="2924CF85">
            <w:pPr>
              <w:pStyle w:val="26"/>
              <w:bidi w:val="0"/>
              <w:rPr>
                <w:color w:val="auto"/>
                <w:lang w:val="en-US" w:eastAsia="zh-CN"/>
              </w:rPr>
            </w:pPr>
            <w:r>
              <w:rPr>
                <w:color w:val="auto"/>
              </w:rPr>
              <w:t>扩散</w:t>
            </w:r>
          </w:p>
        </w:tc>
        <w:tc>
          <w:tcPr>
            <w:tcW w:w="724" w:type="pct"/>
            <w:shd w:val="clear" w:color="auto" w:fill="auto"/>
            <w:tcMar>
              <w:left w:w="0" w:type="dxa"/>
              <w:right w:w="0" w:type="dxa"/>
            </w:tcMar>
            <w:vAlign w:val="center"/>
          </w:tcPr>
          <w:p w14:paraId="4BF19529">
            <w:pPr>
              <w:pStyle w:val="26"/>
              <w:bidi w:val="0"/>
              <w:rPr>
                <w:color w:val="auto"/>
                <w:lang w:val="en-US" w:eastAsia="zh-CN"/>
              </w:rPr>
            </w:pPr>
            <w:r>
              <w:rPr>
                <w:color w:val="auto"/>
              </w:rPr>
              <w:t>5.00×1</w:t>
            </w:r>
            <w:r>
              <w:rPr>
                <w:rFonts w:hint="eastAsia"/>
                <w:color w:val="auto"/>
                <w:lang w:eastAsia="zh-CN"/>
              </w:rPr>
              <w:t>0</w:t>
            </w:r>
            <w:r>
              <w:rPr>
                <w:rFonts w:hint="eastAsia"/>
                <w:color w:val="auto"/>
                <w:vertAlign w:val="superscript"/>
                <w:lang w:eastAsia="zh-CN"/>
              </w:rPr>
              <w:t>-6</w:t>
            </w:r>
            <w:r>
              <w:rPr>
                <w:rFonts w:hint="eastAsia"/>
                <w:color w:val="auto"/>
                <w:lang w:eastAsia="zh-CN"/>
              </w:rPr>
              <w:t>/</w:t>
            </w:r>
            <w:r>
              <w:rPr>
                <w:color w:val="auto"/>
              </w:rPr>
              <w:t>a</w:t>
            </w:r>
          </w:p>
        </w:tc>
        <w:tc>
          <w:tcPr>
            <w:tcW w:w="603" w:type="pct"/>
            <w:shd w:val="clear" w:color="auto" w:fill="auto"/>
            <w:tcMar>
              <w:left w:w="0" w:type="dxa"/>
              <w:right w:w="0" w:type="dxa"/>
            </w:tcMar>
            <w:vAlign w:val="center"/>
          </w:tcPr>
          <w:p w14:paraId="152D3CCE">
            <w:pPr>
              <w:pStyle w:val="26"/>
              <w:bidi w:val="0"/>
              <w:rPr>
                <w:color w:val="auto"/>
                <w:lang w:val="en-US" w:eastAsia="zh-CN"/>
              </w:rPr>
            </w:pPr>
            <w:r>
              <w:rPr>
                <w:color w:val="auto"/>
              </w:rPr>
              <w:t>否</w:t>
            </w:r>
          </w:p>
        </w:tc>
      </w:tr>
      <w:tr w14:paraId="195F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restart"/>
            <w:shd w:val="clear" w:color="auto" w:fill="auto"/>
            <w:tcMar>
              <w:left w:w="0" w:type="dxa"/>
              <w:right w:w="0" w:type="dxa"/>
            </w:tcMar>
            <w:vAlign w:val="center"/>
          </w:tcPr>
          <w:p w14:paraId="788A7125">
            <w:pPr>
              <w:pStyle w:val="26"/>
              <w:bidi w:val="0"/>
              <w:rPr>
                <w:rFonts w:ascii="Times New Roman" w:hAnsi="Times New Roman" w:eastAsia="仿宋_GB2312" w:cstheme="minorBidi"/>
                <w:bCs/>
                <w:color w:val="auto"/>
                <w:kern w:val="2"/>
                <w:szCs w:val="21"/>
                <w:lang w:val="en-US" w:eastAsia="zh-CN" w:bidi="ar-SA"/>
              </w:rPr>
            </w:pPr>
            <w:r>
              <w:rPr>
                <w:color w:val="auto"/>
              </w:rPr>
              <w:t>废气处理设施</w:t>
            </w:r>
          </w:p>
        </w:tc>
        <w:tc>
          <w:tcPr>
            <w:tcW w:w="452" w:type="pct"/>
            <w:vMerge w:val="restart"/>
            <w:shd w:val="clear" w:color="auto" w:fill="auto"/>
            <w:tcMar>
              <w:left w:w="0" w:type="dxa"/>
              <w:right w:w="0" w:type="dxa"/>
            </w:tcMar>
            <w:vAlign w:val="center"/>
          </w:tcPr>
          <w:p w14:paraId="4FDE0142">
            <w:pPr>
              <w:pStyle w:val="26"/>
              <w:bidi w:val="0"/>
              <w:rPr>
                <w:rFonts w:ascii="Times New Roman" w:hAnsi="Times New Roman" w:eastAsia="仿宋_GB2312" w:cstheme="minorBidi"/>
                <w:bCs/>
                <w:color w:val="auto"/>
                <w:kern w:val="2"/>
                <w:szCs w:val="21"/>
                <w:lang w:val="en-US" w:eastAsia="zh-CN" w:bidi="ar-SA"/>
              </w:rPr>
            </w:pPr>
            <w:r>
              <w:rPr>
                <w:color w:val="auto"/>
              </w:rPr>
              <w:t>活性炭罐</w:t>
            </w:r>
            <w:r>
              <w:rPr>
                <w:rFonts w:hint="eastAsia"/>
                <w:color w:val="auto"/>
              </w:rPr>
              <w:t>、废气收集管道</w:t>
            </w:r>
          </w:p>
        </w:tc>
        <w:tc>
          <w:tcPr>
            <w:tcW w:w="951" w:type="pct"/>
            <w:vMerge w:val="restart"/>
            <w:shd w:val="clear" w:color="auto" w:fill="auto"/>
            <w:tcMar>
              <w:left w:w="0" w:type="dxa"/>
              <w:right w:w="0" w:type="dxa"/>
            </w:tcMar>
            <w:vAlign w:val="center"/>
          </w:tcPr>
          <w:p w14:paraId="5398088B">
            <w:pPr>
              <w:pStyle w:val="26"/>
              <w:bidi w:val="0"/>
              <w:rPr>
                <w:rFonts w:ascii="Times New Roman" w:hAnsi="Times New Roman" w:eastAsia="仿宋_GB2312" w:cstheme="minorBidi"/>
                <w:bCs/>
                <w:color w:val="auto"/>
                <w:kern w:val="2"/>
                <w:szCs w:val="21"/>
                <w:lang w:val="en-US" w:eastAsia="zh-CN" w:bidi="ar-SA"/>
              </w:rPr>
            </w:pPr>
            <w:r>
              <w:rPr>
                <w:color w:val="auto"/>
              </w:rPr>
              <w:t>非甲烷总烃</w:t>
            </w:r>
          </w:p>
        </w:tc>
        <w:tc>
          <w:tcPr>
            <w:tcW w:w="900" w:type="pct"/>
            <w:shd w:val="clear" w:color="auto" w:fill="auto"/>
            <w:tcMar>
              <w:left w:w="0" w:type="dxa"/>
              <w:right w:w="0" w:type="dxa"/>
            </w:tcMar>
            <w:vAlign w:val="center"/>
          </w:tcPr>
          <w:p w14:paraId="169D7359">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火灾爆炸次伴生</w:t>
            </w:r>
          </w:p>
        </w:tc>
        <w:tc>
          <w:tcPr>
            <w:tcW w:w="753" w:type="pct"/>
            <w:shd w:val="clear" w:color="auto" w:fill="auto"/>
            <w:tcMar>
              <w:left w:w="0" w:type="dxa"/>
              <w:right w:w="0" w:type="dxa"/>
            </w:tcMar>
            <w:vAlign w:val="center"/>
          </w:tcPr>
          <w:p w14:paraId="1E36B25D">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扩散，消防废水漫流、渗透、吸收</w:t>
            </w:r>
          </w:p>
        </w:tc>
        <w:tc>
          <w:tcPr>
            <w:tcW w:w="724" w:type="pct"/>
            <w:shd w:val="clear" w:color="auto" w:fill="auto"/>
            <w:tcMar>
              <w:left w:w="0" w:type="dxa"/>
              <w:right w:w="0" w:type="dxa"/>
            </w:tcMar>
            <w:vAlign w:val="center"/>
          </w:tcPr>
          <w:p w14:paraId="0D2E501E">
            <w:pPr>
              <w:pStyle w:val="26"/>
              <w:bidi w:val="0"/>
              <w:rPr>
                <w:rFonts w:ascii="Times New Roman" w:hAnsi="Times New Roman" w:eastAsia="仿宋_GB2312" w:cstheme="minorBidi"/>
                <w:bCs/>
                <w:color w:val="auto"/>
                <w:kern w:val="2"/>
                <w:szCs w:val="21"/>
                <w:lang w:val="en-US" w:eastAsia="zh-CN" w:bidi="ar-SA"/>
              </w:rPr>
            </w:pPr>
            <w:r>
              <w:rPr>
                <w:color w:val="auto"/>
              </w:rPr>
              <w:t>5.00</w:t>
            </w:r>
            <w:r>
              <w:rPr>
                <w:rFonts w:hint="eastAsia"/>
                <w:color w:val="auto"/>
              </w:rPr>
              <w:t>×</w:t>
            </w:r>
            <w:r>
              <w:rPr>
                <w:color w:val="auto"/>
              </w:rPr>
              <w:t>10</w:t>
            </w:r>
            <w:r>
              <w:rPr>
                <w:color w:val="auto"/>
                <w:vertAlign w:val="superscript"/>
              </w:rPr>
              <w:t>-6</w:t>
            </w:r>
            <w:r>
              <w:rPr>
                <w:color w:val="auto"/>
              </w:rPr>
              <w:t>/a</w:t>
            </w:r>
          </w:p>
        </w:tc>
        <w:tc>
          <w:tcPr>
            <w:tcW w:w="603" w:type="pct"/>
            <w:shd w:val="clear" w:color="auto" w:fill="auto"/>
            <w:tcMar>
              <w:left w:w="0" w:type="dxa"/>
              <w:right w:w="0" w:type="dxa"/>
            </w:tcMar>
            <w:vAlign w:val="center"/>
          </w:tcPr>
          <w:p w14:paraId="42772FF9">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否</w:t>
            </w:r>
          </w:p>
        </w:tc>
      </w:tr>
      <w:tr w14:paraId="6E8D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vMerge w:val="continue"/>
            <w:shd w:val="clear" w:color="auto" w:fill="auto"/>
            <w:tcMar>
              <w:left w:w="0" w:type="dxa"/>
              <w:right w:w="0" w:type="dxa"/>
            </w:tcMar>
            <w:vAlign w:val="center"/>
          </w:tcPr>
          <w:p w14:paraId="0869F877">
            <w:pPr>
              <w:pStyle w:val="26"/>
              <w:bidi w:val="0"/>
              <w:rPr>
                <w:color w:val="auto"/>
                <w:lang w:val="en-US" w:eastAsia="zh-CN"/>
              </w:rPr>
            </w:pPr>
          </w:p>
        </w:tc>
        <w:tc>
          <w:tcPr>
            <w:tcW w:w="452" w:type="pct"/>
            <w:vMerge w:val="continue"/>
            <w:shd w:val="clear" w:color="auto" w:fill="auto"/>
            <w:tcMar>
              <w:left w:w="0" w:type="dxa"/>
              <w:right w:w="0" w:type="dxa"/>
            </w:tcMar>
            <w:vAlign w:val="center"/>
          </w:tcPr>
          <w:p w14:paraId="66DEA544">
            <w:pPr>
              <w:pStyle w:val="26"/>
              <w:bidi w:val="0"/>
              <w:rPr>
                <w:color w:val="auto"/>
                <w:lang w:val="en-US" w:eastAsia="zh-CN"/>
              </w:rPr>
            </w:pPr>
          </w:p>
        </w:tc>
        <w:tc>
          <w:tcPr>
            <w:tcW w:w="951" w:type="pct"/>
            <w:vMerge w:val="continue"/>
            <w:shd w:val="clear" w:color="auto" w:fill="auto"/>
            <w:tcMar>
              <w:left w:w="0" w:type="dxa"/>
              <w:right w:w="0" w:type="dxa"/>
            </w:tcMar>
            <w:vAlign w:val="center"/>
          </w:tcPr>
          <w:p w14:paraId="4C0E22BD">
            <w:pPr>
              <w:pStyle w:val="26"/>
              <w:bidi w:val="0"/>
              <w:rPr>
                <w:color w:val="auto"/>
                <w:lang w:val="en-US" w:eastAsia="zh-CN"/>
              </w:rPr>
            </w:pPr>
          </w:p>
        </w:tc>
        <w:tc>
          <w:tcPr>
            <w:tcW w:w="900" w:type="pct"/>
            <w:shd w:val="clear" w:color="auto" w:fill="auto"/>
            <w:tcMar>
              <w:left w:w="0" w:type="dxa"/>
              <w:right w:w="0" w:type="dxa"/>
            </w:tcMar>
            <w:vAlign w:val="center"/>
          </w:tcPr>
          <w:p w14:paraId="002951CD">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火灾爆炸过程未完全燃烧物扩散</w:t>
            </w:r>
          </w:p>
        </w:tc>
        <w:tc>
          <w:tcPr>
            <w:tcW w:w="753" w:type="pct"/>
            <w:shd w:val="clear" w:color="auto" w:fill="auto"/>
            <w:tcMar>
              <w:left w:w="0" w:type="dxa"/>
              <w:right w:w="0" w:type="dxa"/>
            </w:tcMar>
            <w:vAlign w:val="center"/>
          </w:tcPr>
          <w:p w14:paraId="54349287">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扩散</w:t>
            </w:r>
          </w:p>
        </w:tc>
        <w:tc>
          <w:tcPr>
            <w:tcW w:w="724" w:type="pct"/>
            <w:shd w:val="clear" w:color="auto" w:fill="auto"/>
            <w:tcMar>
              <w:left w:w="0" w:type="dxa"/>
              <w:right w:w="0" w:type="dxa"/>
            </w:tcMar>
            <w:vAlign w:val="center"/>
          </w:tcPr>
          <w:p w14:paraId="00EC2F6E">
            <w:pPr>
              <w:pStyle w:val="26"/>
              <w:bidi w:val="0"/>
              <w:rPr>
                <w:rFonts w:ascii="Times New Roman" w:hAnsi="Times New Roman" w:eastAsia="仿宋_GB2312" w:cstheme="minorBidi"/>
                <w:bCs/>
                <w:color w:val="auto"/>
                <w:kern w:val="2"/>
                <w:szCs w:val="21"/>
                <w:lang w:val="en-US" w:eastAsia="zh-CN" w:bidi="ar-SA"/>
              </w:rPr>
            </w:pPr>
            <w:r>
              <w:rPr>
                <w:color w:val="auto"/>
              </w:rPr>
              <w:t>5.00</w:t>
            </w:r>
            <w:r>
              <w:rPr>
                <w:rFonts w:hint="eastAsia"/>
                <w:color w:val="auto"/>
              </w:rPr>
              <w:t>×</w:t>
            </w:r>
            <w:r>
              <w:rPr>
                <w:color w:val="auto"/>
              </w:rPr>
              <w:t>10</w:t>
            </w:r>
            <w:r>
              <w:rPr>
                <w:color w:val="auto"/>
                <w:vertAlign w:val="superscript"/>
              </w:rPr>
              <w:t>-6</w:t>
            </w:r>
            <w:r>
              <w:rPr>
                <w:color w:val="auto"/>
              </w:rPr>
              <w:t>/a</w:t>
            </w:r>
          </w:p>
        </w:tc>
        <w:tc>
          <w:tcPr>
            <w:tcW w:w="603" w:type="pct"/>
            <w:shd w:val="clear" w:color="auto" w:fill="auto"/>
            <w:tcMar>
              <w:left w:w="0" w:type="dxa"/>
              <w:right w:w="0" w:type="dxa"/>
            </w:tcMar>
            <w:vAlign w:val="center"/>
          </w:tcPr>
          <w:p w14:paraId="66C73B19">
            <w:pPr>
              <w:pStyle w:val="26"/>
              <w:bidi w:val="0"/>
              <w:rPr>
                <w:rFonts w:hint="eastAsia" w:ascii="Times New Roman" w:hAnsi="Times New Roman" w:eastAsia="仿宋_GB2312" w:cstheme="minorBidi"/>
                <w:bCs/>
                <w:color w:val="auto"/>
                <w:kern w:val="2"/>
                <w:szCs w:val="21"/>
                <w:lang w:val="en-US" w:eastAsia="zh-CN" w:bidi="ar-SA"/>
              </w:rPr>
            </w:pPr>
            <w:r>
              <w:rPr>
                <w:rFonts w:hint="eastAsia"/>
                <w:color w:val="auto"/>
              </w:rPr>
              <w:t>否</w:t>
            </w:r>
          </w:p>
        </w:tc>
      </w:tr>
    </w:tbl>
    <w:p w14:paraId="69FF294E">
      <w:pPr>
        <w:pStyle w:val="5"/>
      </w:pPr>
      <w:bookmarkStart w:id="214" w:name="_Toc31129"/>
      <w:r>
        <w:rPr>
          <w:rFonts w:hint="eastAsia"/>
        </w:rPr>
        <w:t>生产工艺过程危险性识别</w:t>
      </w:r>
    </w:p>
    <w:p w14:paraId="3DF12AF0">
      <w:pPr>
        <w:bidi w:val="0"/>
        <w:rPr>
          <w:rFonts w:hint="eastAsia"/>
          <w:lang w:val="en-US" w:eastAsia="zh-CN"/>
        </w:rPr>
      </w:pPr>
      <w:r>
        <w:rPr>
          <w:rFonts w:hint="eastAsia"/>
          <w:lang w:val="en-US" w:eastAsia="zh-CN"/>
        </w:rPr>
        <w:t>（1）主要生产装置</w:t>
      </w:r>
    </w:p>
    <w:p w14:paraId="507203AB">
      <w:pPr>
        <w:bidi w:val="0"/>
        <w:rPr>
          <w:rFonts w:hint="eastAsia"/>
          <w:lang w:val="en-US" w:eastAsia="zh-CN"/>
        </w:rPr>
      </w:pPr>
      <w:r>
        <w:rPr>
          <w:rFonts w:hint="eastAsia"/>
          <w:lang w:val="en-US" w:eastAsia="zh-CN"/>
        </w:rPr>
        <w:t>电镀清洗处理槽、腐蚀槽等各槽体槽液发生泄漏均具有一定的毒害性，其挥发后不仅对大气环境造成影响，滴落到地面的液态物料若渗漏到地下，对地下水、土壤也会造成污染。</w:t>
      </w:r>
    </w:p>
    <w:p w14:paraId="6B9E42FC">
      <w:pPr>
        <w:bidi w:val="0"/>
        <w:rPr>
          <w:rFonts w:hint="eastAsia"/>
          <w:lang w:val="en-US" w:eastAsia="zh-CN"/>
        </w:rPr>
      </w:pPr>
      <w:r>
        <w:rPr>
          <w:rFonts w:hint="eastAsia"/>
          <w:lang w:val="en-US" w:eastAsia="zh-CN"/>
        </w:rPr>
        <w:t>机加工阶段使用到乳化液、导轨油等液体物料，如操作不当或野蛮作业，可能会造成液体物料撒漏，乳化液、导轨油均具有一定的毒害性，其挥发后不仅对大气环境造成影响，滴落到地面的液态物料若渗漏到地下，对地下水、土壤也会噪声污染；并且机加工使用的乳化液属于可燃液体，若设备发生泄漏，导致乳化液泄漏，遇火源或高热可能引发火灾事故，将会对大气、水、土壤均造成环境污染，也会对周边企业、居民产生不良影响。</w:t>
      </w:r>
    </w:p>
    <w:p w14:paraId="28B9B134">
      <w:pPr>
        <w:bidi w:val="0"/>
        <w:rPr>
          <w:rFonts w:hint="eastAsia"/>
          <w:lang w:val="en-US" w:eastAsia="zh-CN"/>
        </w:rPr>
      </w:pPr>
      <w:r>
        <w:rPr>
          <w:rFonts w:hint="eastAsia"/>
          <w:lang w:val="en-US" w:eastAsia="zh-CN"/>
        </w:rPr>
        <w:t>电镀线各槽体加热过程中，如操作不当，可能导致火灾事故，火灾对周围大气环境的影响主要表现为散发出的热辐射。如果热辐射非常高可能引起其他易燃物质起火。此外，热辐射也会使有机体燃烧、由燃烧产生的废气大气污染一般比较小，从以往对事故的监测来看，对周围大气环境尚未形成较大的污染。根据类比调查，一般燃烧80m范围，火灾的热辐射较大，在此范围内有机物会燃烧；150m 范围内，木质结构将会燃烧；150m 范围外，一般木质结构不会燃烧；200m 范围以外为较安全范围。此类事故最大的危害是附近人员的安全问题，在一定程度会导致人员伤亡和巨大财产损失。</w:t>
      </w:r>
    </w:p>
    <w:p w14:paraId="4A85A193">
      <w:pPr>
        <w:bidi w:val="0"/>
        <w:rPr>
          <w:rFonts w:hint="eastAsia"/>
          <w:lang w:val="en-US" w:eastAsia="zh-CN"/>
        </w:rPr>
      </w:pPr>
      <w:r>
        <w:rPr>
          <w:rFonts w:hint="eastAsia"/>
          <w:lang w:val="en-US" w:eastAsia="zh-CN"/>
        </w:rPr>
        <w:t>（2）储运设施</w:t>
      </w:r>
    </w:p>
    <w:p w14:paraId="168CA490">
      <w:pPr>
        <w:bidi w:val="0"/>
        <w:rPr>
          <w:rFonts w:hint="eastAsia"/>
          <w:lang w:val="en-US" w:eastAsia="zh-CN"/>
        </w:rPr>
      </w:pPr>
      <w:r>
        <w:rPr>
          <w:rFonts w:hint="eastAsia"/>
          <w:lang w:val="en-US" w:eastAsia="zh-CN"/>
        </w:rPr>
        <w:t>项目所涉及的原料大多储存在化学品仓库内。危险品仓库中储存的物料有中、高闪点易燃液体以及具有腐蚀性的硫酸、硝酸、磷酸等，存在发生泄漏、火灾、爆炸的可能。在储存过程中会因为以下原因造成泄漏、火灾、爆炸、中毒事故的发生。</w:t>
      </w:r>
    </w:p>
    <w:p w14:paraId="1001D430">
      <w:pPr>
        <w:bidi w:val="0"/>
        <w:rPr>
          <w:rFonts w:hint="eastAsia"/>
          <w:lang w:val="en-US" w:eastAsia="zh-CN"/>
        </w:rPr>
      </w:pPr>
      <w:r>
        <w:rPr>
          <w:rFonts w:hint="eastAsia"/>
          <w:lang w:val="en-US" w:eastAsia="zh-CN"/>
        </w:rPr>
        <w:t>①如果出现危险品与禁忌物料混合储存，则有可能因物料的泄漏、挥发等原因发生物料间的化学反应，引起火灾、爆炸事故。</w:t>
      </w:r>
    </w:p>
    <w:p w14:paraId="250578BF">
      <w:pPr>
        <w:bidi w:val="0"/>
        <w:rPr>
          <w:rFonts w:hint="eastAsia"/>
          <w:lang w:val="en-US" w:eastAsia="zh-CN"/>
        </w:rPr>
      </w:pPr>
      <w:r>
        <w:rPr>
          <w:rFonts w:hint="eastAsia"/>
          <w:lang w:val="en-US" w:eastAsia="zh-CN"/>
        </w:rPr>
        <w:t>②物料的包装存在缺陷（破损、不严密、超装、渗漏等）发生泄漏，其蒸气可与空气形成爆炸性混合物，遇点火源则可发生燃烧、爆炸事故。</w:t>
      </w:r>
    </w:p>
    <w:p w14:paraId="5CA16621">
      <w:pPr>
        <w:bidi w:val="0"/>
        <w:rPr>
          <w:rFonts w:hint="eastAsia"/>
          <w:lang w:val="en-US" w:eastAsia="zh-CN"/>
        </w:rPr>
      </w:pPr>
      <w:r>
        <w:rPr>
          <w:rFonts w:hint="eastAsia"/>
          <w:lang w:val="en-US" w:eastAsia="zh-CN"/>
        </w:rPr>
        <w:t>③物料具有毒害性，对呼吸道、眼睛、皮肤等有强烈的刺激性，一旦泄漏会对人体健康产生较大影响。</w:t>
      </w:r>
    </w:p>
    <w:p w14:paraId="55C29CBE">
      <w:pPr>
        <w:bidi w:val="0"/>
        <w:rPr>
          <w:rFonts w:hint="eastAsia"/>
          <w:lang w:val="en-US" w:eastAsia="zh-CN"/>
        </w:rPr>
      </w:pPr>
      <w:r>
        <w:rPr>
          <w:rFonts w:hint="eastAsia"/>
          <w:lang w:val="en-US" w:eastAsia="zh-CN"/>
        </w:rPr>
        <w:t>④仓储温度应根据储存物料的理化特性确定，若通风不良，物料储存中因泄漏、挥发，会对人体造成健康危害；</w:t>
      </w:r>
    </w:p>
    <w:p w14:paraId="53C78DD8">
      <w:pPr>
        <w:bidi w:val="0"/>
        <w:rPr>
          <w:rFonts w:hint="eastAsia"/>
          <w:lang w:val="en-US" w:eastAsia="zh-CN"/>
        </w:rPr>
      </w:pPr>
      <w:r>
        <w:rPr>
          <w:rFonts w:hint="eastAsia"/>
          <w:lang w:val="en-US" w:eastAsia="zh-CN"/>
        </w:rPr>
        <w:t>⑤危险品仓库未配置相应数量的灭火器材或灭火器材型号不对，或消防器材未定期检验、出现故障等，一旦发生火灾事故，不能及时控制，将使事故进一步扩大。</w:t>
      </w:r>
    </w:p>
    <w:p w14:paraId="71BD1B30">
      <w:pPr>
        <w:bidi w:val="0"/>
        <w:rPr>
          <w:rFonts w:hint="eastAsia"/>
          <w:lang w:val="en-US" w:eastAsia="zh-CN"/>
        </w:rPr>
      </w:pPr>
      <w:r>
        <w:rPr>
          <w:rFonts w:hint="eastAsia"/>
          <w:lang w:val="en-US" w:eastAsia="zh-CN"/>
        </w:rPr>
        <w:t>⑥危险品仓库未配置相应的应急物资，一旦发生物料泄漏事件，无法及时采取措施，可能导致火灾爆炸及中毒危害。</w:t>
      </w:r>
    </w:p>
    <w:p w14:paraId="46E7B2A8">
      <w:pPr>
        <w:bidi w:val="0"/>
        <w:rPr>
          <w:rFonts w:hint="eastAsia"/>
          <w:lang w:val="en-US" w:eastAsia="zh-CN"/>
        </w:rPr>
      </w:pPr>
      <w:r>
        <w:rPr>
          <w:rFonts w:hint="eastAsia"/>
          <w:lang w:val="en-US" w:eastAsia="zh-CN"/>
        </w:rPr>
        <w:t>⑦仓库内物料装卸、搬运</w:t>
      </w:r>
    </w:p>
    <w:p w14:paraId="5F29201B">
      <w:pPr>
        <w:bidi w:val="0"/>
        <w:rPr>
          <w:rFonts w:hint="eastAsia"/>
          <w:lang w:val="en-US" w:eastAsia="zh-CN"/>
        </w:rPr>
      </w:pPr>
      <w:r>
        <w:rPr>
          <w:rFonts w:hint="eastAsia"/>
          <w:lang w:val="en-US" w:eastAsia="zh-CN"/>
        </w:rPr>
        <w:t>用同一车辆运载互为禁忌的物料，则有可能因物料泄漏等原因发生物料间的化学反应而引起事故；</w:t>
      </w:r>
    </w:p>
    <w:p w14:paraId="0428FDC9">
      <w:pPr>
        <w:bidi w:val="0"/>
        <w:rPr>
          <w:rFonts w:hint="eastAsia"/>
          <w:lang w:val="en-US" w:eastAsia="zh-CN"/>
        </w:rPr>
      </w:pPr>
      <w:r>
        <w:rPr>
          <w:rFonts w:hint="eastAsia"/>
          <w:lang w:val="en-US" w:eastAsia="zh-CN"/>
        </w:rPr>
        <w:t>装卸、搬运过程中因路面不平或物料装车不稳固，可能发生物料的倾倒、翻落、撞击引起事故；</w:t>
      </w:r>
    </w:p>
    <w:p w14:paraId="20F22B67">
      <w:pPr>
        <w:bidi w:val="0"/>
        <w:rPr>
          <w:rFonts w:hint="eastAsia"/>
          <w:lang w:val="en-US" w:eastAsia="zh-CN"/>
        </w:rPr>
      </w:pPr>
      <w:r>
        <w:rPr>
          <w:rFonts w:hint="eastAsia"/>
          <w:lang w:val="en-US" w:eastAsia="zh-CN"/>
        </w:rPr>
        <w:t>野蛮作业：作业过程中如摔、碰、撞、击、拖拉、滚动物料，可造成物料的泄漏、产生静电、引起分解等造成燃烧爆炸事故。</w:t>
      </w:r>
    </w:p>
    <w:p w14:paraId="3C457F85">
      <w:pPr>
        <w:bidi w:val="0"/>
        <w:rPr>
          <w:rFonts w:hint="eastAsia"/>
          <w:lang w:val="en-US" w:eastAsia="zh-CN"/>
        </w:rPr>
      </w:pPr>
      <w:r>
        <w:rPr>
          <w:rFonts w:hint="eastAsia"/>
          <w:lang w:val="en-US" w:eastAsia="zh-CN"/>
        </w:rPr>
        <w:t>（3）运输风险识别</w:t>
      </w:r>
    </w:p>
    <w:p w14:paraId="5E3AC878">
      <w:pPr>
        <w:bidi w:val="0"/>
        <w:rPr>
          <w:rFonts w:hint="eastAsia"/>
          <w:lang w:val="en-US" w:eastAsia="zh-CN"/>
        </w:rPr>
      </w:pPr>
      <w:r>
        <w:rPr>
          <w:rFonts w:hint="eastAsia"/>
          <w:lang w:val="en-US" w:eastAsia="zh-CN"/>
        </w:rPr>
        <w:t>危险货物在其运输过程中托运－仓储－装货－运货－卸货－仓储－收货过程中，装卸、运输和仓储三个环节中均存在造成事故、对环境造成风险的概率。</w:t>
      </w:r>
    </w:p>
    <w:p w14:paraId="03F58596">
      <w:pPr>
        <w:bidi w:val="0"/>
        <w:rPr>
          <w:rFonts w:hint="eastAsia"/>
          <w:lang w:val="en-US" w:eastAsia="zh-CN"/>
        </w:rPr>
      </w:pPr>
      <w:r>
        <w:rPr>
          <w:rFonts w:hint="eastAsia"/>
          <w:lang w:val="en-US" w:eastAsia="zh-CN"/>
        </w:rPr>
        <w:t>用同一车辆运载禁忌的物料，则有可能因物料泄漏等原因发生化学反应而引起事故。装卸、搬运过程中因路面不平或物料装车不稳固，可能发生物料的倾倒、翻落、撞击引起事故。易燃易爆液体搬运作业过程中如摔、碰、撞、拖、滚可能发生爆炸事故，其他物料可能发生泄漏，会造成化学灼伤、中毒、火灾事故。危险化学品的道路交通运输由公司委托具备相应资质单位运输，不在本公司评价范围内。</w:t>
      </w:r>
    </w:p>
    <w:p w14:paraId="39E81714">
      <w:pPr>
        <w:bidi w:val="0"/>
        <w:rPr>
          <w:rFonts w:hint="eastAsia"/>
          <w:lang w:val="en-US" w:eastAsia="zh-CN"/>
        </w:rPr>
      </w:pPr>
      <w:r>
        <w:rPr>
          <w:rFonts w:hint="eastAsia"/>
          <w:lang w:val="en-US" w:eastAsia="zh-CN"/>
        </w:rPr>
        <w:t>（4）公用设施环境风险识别</w:t>
      </w:r>
    </w:p>
    <w:p w14:paraId="688F1D88">
      <w:pPr>
        <w:bidi w:val="0"/>
        <w:rPr>
          <w:rFonts w:hint="eastAsia"/>
          <w:lang w:val="en-US" w:eastAsia="zh-CN"/>
        </w:rPr>
      </w:pPr>
      <w:r>
        <w:rPr>
          <w:rFonts w:hint="eastAsia"/>
          <w:lang w:val="en-US" w:eastAsia="zh-CN"/>
        </w:rPr>
        <w:t>①车间内电气网络复杂，可能会造成电线电缆、变配电装置、绝缘损坏，主要包括变压器爆炸着火、开关短路和电缆着火等引发火灾事故。</w:t>
      </w:r>
    </w:p>
    <w:p w14:paraId="3D40F255">
      <w:pPr>
        <w:bidi w:val="0"/>
        <w:rPr>
          <w:rFonts w:hint="eastAsia"/>
          <w:lang w:val="en-US" w:eastAsia="zh-CN"/>
        </w:rPr>
      </w:pPr>
      <w:r>
        <w:rPr>
          <w:rFonts w:hint="eastAsia"/>
          <w:lang w:val="en-US" w:eastAsia="zh-CN"/>
        </w:rPr>
        <w:t>②供电系统主要危险有害因素停电会导致废气设备无法运行，引起一系列衍生环境事故，造成废气未处理直接排入外环境，废水未经处理直接进入外环境。</w:t>
      </w:r>
    </w:p>
    <w:p w14:paraId="0FC4BA83">
      <w:pPr>
        <w:bidi w:val="0"/>
        <w:rPr>
          <w:rFonts w:hint="eastAsia"/>
          <w:lang w:val="en-US" w:eastAsia="zh-CN"/>
        </w:rPr>
      </w:pPr>
      <w:r>
        <w:rPr>
          <w:rFonts w:hint="eastAsia"/>
          <w:lang w:val="en-US" w:eastAsia="zh-CN"/>
        </w:rPr>
        <w:t>③电气设备在使用中可能因绝缘下降、局部过热、击穿等导致电气设备损坏，并影响正常生产。</w:t>
      </w:r>
    </w:p>
    <w:p w14:paraId="2C4E3CD7">
      <w:pPr>
        <w:bidi w:val="0"/>
        <w:rPr>
          <w:rFonts w:hint="eastAsia"/>
          <w:lang w:val="en-US" w:eastAsia="zh-CN"/>
        </w:rPr>
      </w:pPr>
      <w:r>
        <w:rPr>
          <w:rFonts w:hint="eastAsia"/>
          <w:lang w:val="en-US" w:eastAsia="zh-CN"/>
        </w:rPr>
        <w:t>④车间敷设电气线路的沟道、电缆和钢管，如未采用非燃材料严密堵塞，可能因易燃气体进入沟道、电缆、钢管，引起火灾、爆炸事故。</w:t>
      </w:r>
    </w:p>
    <w:p w14:paraId="4117EA05">
      <w:pPr>
        <w:bidi w:val="0"/>
        <w:rPr>
          <w:rFonts w:hint="eastAsia"/>
          <w:lang w:val="en-US" w:eastAsia="zh-CN"/>
        </w:rPr>
      </w:pPr>
      <w:r>
        <w:rPr>
          <w:rFonts w:hint="eastAsia"/>
          <w:lang w:val="en-US" w:eastAsia="zh-CN"/>
        </w:rPr>
        <w:t>⑤选购的电气设备、线路如与负荷不匹配，特别是电气设备、线路超负荷运行，将导致设备、线路过热，极易烧毁，并发生电气火灾事故，如在爆炸危险环境中还可能引发恶性的火灾、爆炸事故。</w:t>
      </w:r>
    </w:p>
    <w:p w14:paraId="15526C8B">
      <w:pPr>
        <w:bidi w:val="0"/>
        <w:rPr>
          <w:rFonts w:hint="eastAsia"/>
          <w:lang w:val="en-US" w:eastAsia="zh-CN"/>
        </w:rPr>
      </w:pPr>
      <w:r>
        <w:rPr>
          <w:rFonts w:hint="eastAsia"/>
          <w:lang w:val="en-US" w:eastAsia="zh-CN"/>
        </w:rPr>
        <w:t>⑥防爆电气设备选型不当、级别、组别不符合规定要求，在使用中可能产生电火花或激发热量，引发爆炸事故。</w:t>
      </w:r>
    </w:p>
    <w:p w14:paraId="55D9743B">
      <w:pPr>
        <w:bidi w:val="0"/>
        <w:rPr>
          <w:rFonts w:hint="eastAsia"/>
          <w:lang w:val="en-US" w:eastAsia="zh-CN"/>
        </w:rPr>
      </w:pPr>
      <w:r>
        <w:rPr>
          <w:rFonts w:hint="eastAsia"/>
          <w:lang w:val="en-US" w:eastAsia="zh-CN"/>
        </w:rPr>
        <w:t>⑦在电气设备检修中，如未采取必要的防护措施，可能导致触电事故；检修后未将设备、管道的接地线（包括静电接地线）及时恢复，也是事故隐患之一。</w:t>
      </w:r>
    </w:p>
    <w:p w14:paraId="613CCAC5">
      <w:pPr>
        <w:bidi w:val="0"/>
        <w:rPr>
          <w:rFonts w:hint="eastAsia"/>
          <w:lang w:val="en-US" w:eastAsia="zh-CN"/>
        </w:rPr>
      </w:pPr>
      <w:r>
        <w:rPr>
          <w:rFonts w:hint="eastAsia"/>
          <w:lang w:val="en-US" w:eastAsia="zh-CN"/>
        </w:rPr>
        <w:t>⑧消防系统未按规范要求设计，配备的消防设施不全、不足、不配套、不能使用等，都会导致严重的后果；消防人员对消防设施不熟练、公司情况不熟悉、技术不过关、演练不到位，发生紧急情况时易发生操作失误，酿发安全事故以及环境污染事故。</w:t>
      </w:r>
    </w:p>
    <w:p w14:paraId="6C6F2307">
      <w:pPr>
        <w:bidi w:val="0"/>
        <w:rPr>
          <w:rFonts w:hint="eastAsia"/>
          <w:lang w:val="en-US" w:eastAsia="zh-CN"/>
        </w:rPr>
      </w:pPr>
      <w:r>
        <w:rPr>
          <w:rFonts w:hint="eastAsia"/>
          <w:lang w:val="en-US" w:eastAsia="zh-CN"/>
        </w:rPr>
        <w:t>（5）环保设施环境风险识别</w:t>
      </w:r>
    </w:p>
    <w:p w14:paraId="42D784B0">
      <w:pPr>
        <w:bidi w:val="0"/>
        <w:rPr>
          <w:rFonts w:hint="eastAsia"/>
          <w:lang w:val="en-US" w:eastAsia="zh-CN"/>
        </w:rPr>
      </w:pPr>
      <w:r>
        <w:rPr>
          <w:rFonts w:hint="eastAsia"/>
          <w:lang w:val="en-US" w:eastAsia="zh-CN"/>
        </w:rPr>
        <w:t>①废气治理设施</w:t>
      </w:r>
    </w:p>
    <w:p w14:paraId="4CC023CD">
      <w:pPr>
        <w:bidi w:val="0"/>
        <w:rPr>
          <w:rFonts w:hint="eastAsia"/>
          <w:lang w:val="en-US" w:eastAsia="zh-CN"/>
        </w:rPr>
      </w:pPr>
      <w:r>
        <w:rPr>
          <w:rFonts w:hint="eastAsia"/>
          <w:lang w:val="en-US" w:eastAsia="zh-CN"/>
        </w:rPr>
        <w:t>若集气装置故障或未开启、未及时出现故障，将会造成未经处理直接排放至大气中，对周边的环境空气质量将会造成影响。</w:t>
      </w:r>
    </w:p>
    <w:p w14:paraId="2BD9D4C7">
      <w:pPr>
        <w:bidi w:val="0"/>
        <w:rPr>
          <w:rFonts w:hint="eastAsia"/>
          <w:lang w:val="en-US" w:eastAsia="zh-CN"/>
        </w:rPr>
      </w:pPr>
      <w:r>
        <w:rPr>
          <w:rFonts w:hint="eastAsia"/>
          <w:lang w:val="en-US" w:eastAsia="zh-CN"/>
        </w:rPr>
        <w:t>②废水治理设施</w:t>
      </w:r>
    </w:p>
    <w:p w14:paraId="420E926E">
      <w:pPr>
        <w:bidi w:val="0"/>
        <w:rPr>
          <w:rFonts w:hint="eastAsia"/>
          <w:lang w:val="en-US" w:eastAsia="zh-CN"/>
        </w:rPr>
      </w:pPr>
      <w:r>
        <w:rPr>
          <w:rFonts w:hint="eastAsia"/>
          <w:lang w:val="en-US" w:eastAsia="zh-CN"/>
        </w:rPr>
        <w:t>本公司生活污水排入市政污水管网，经昆山建邦环境投资有限公司花桥污水处理厂集中处理后排放。生产废水经厂内自建污水处理站处理后经 MVR 蒸发处理后，蒸发冷凝水回用，生产废水不外排，若生产废水发生故障，可能会导致生产废水未经处理直接外排，对周边水体造成冲击。</w:t>
      </w:r>
    </w:p>
    <w:p w14:paraId="5AB2495C">
      <w:pPr>
        <w:bidi w:val="0"/>
        <w:rPr>
          <w:rFonts w:hint="eastAsia"/>
          <w:lang w:val="en-US" w:eastAsia="zh-CN"/>
        </w:rPr>
      </w:pPr>
      <w:r>
        <w:rPr>
          <w:rFonts w:hint="eastAsia"/>
          <w:lang w:val="en-US" w:eastAsia="zh-CN"/>
        </w:rPr>
        <w:t>③本公司的固废主要有废乳化液、蒸发残渣、污泥等，若产生的各类固废存放混乱、收集容器破损、运输过程洒落、暂存区地面有裂缝、未委托资质单位安全处置等，危险废物有可能发生泄漏事故，泄漏的危废经日晒、雨水淋溶等可能造成大气环境、水环境、土壤环境的污染。</w:t>
      </w:r>
    </w:p>
    <w:p w14:paraId="1C839C5D">
      <w:pPr>
        <w:bidi w:val="0"/>
        <w:rPr>
          <w:rFonts w:hint="eastAsia"/>
          <w:lang w:val="en-US" w:eastAsia="zh-CN"/>
        </w:rPr>
      </w:pPr>
      <w:r>
        <w:rPr>
          <w:rFonts w:hint="eastAsia"/>
          <w:lang w:val="en-US" w:eastAsia="zh-CN"/>
        </w:rPr>
        <w:t>④突发性泄漏和火灾爆炸事故泄漏、伴生和次生的泄漏物料、污水、消防水，厂区污水排放口、雨水排放口截断阀不能正常关闭，事故废水可会进入周边地表水体造成污染。</w:t>
      </w:r>
    </w:p>
    <w:p w14:paraId="54DA5946">
      <w:pPr>
        <w:pStyle w:val="46"/>
        <w:rPr>
          <w:rFonts w:hint="eastAsia"/>
          <w:highlight w:val="yellow"/>
          <w:lang w:val="en-US" w:eastAsia="zh-CN"/>
        </w:rPr>
      </w:pPr>
    </w:p>
    <w:bookmarkEnd w:id="214"/>
    <w:p w14:paraId="341EBB0E">
      <w:pPr>
        <w:pStyle w:val="4"/>
        <w:bidi w:val="0"/>
        <w:rPr>
          <w:rFonts w:hint="eastAsia"/>
          <w:color w:val="auto"/>
        </w:rPr>
      </w:pPr>
      <w:bookmarkStart w:id="215" w:name="_Toc21216"/>
      <w:bookmarkStart w:id="216" w:name="_Toc10849"/>
      <w:r>
        <w:rPr>
          <w:rFonts w:hint="eastAsia"/>
          <w:color w:val="auto"/>
        </w:rPr>
        <w:t>环境影响途径</w:t>
      </w:r>
      <w:bookmarkEnd w:id="215"/>
      <w:bookmarkEnd w:id="216"/>
    </w:p>
    <w:p w14:paraId="7F5C49C8">
      <w:pPr>
        <w:bidi w:val="0"/>
        <w:rPr>
          <w:rFonts w:hint="eastAsia"/>
          <w:color w:val="auto"/>
        </w:rPr>
      </w:pPr>
      <w:r>
        <w:rPr>
          <w:rFonts w:hint="eastAsia"/>
          <w:color w:val="auto"/>
        </w:rPr>
        <w:t>根据可能发生突发环境事件的情况下，污染物的转移途径如下表。</w:t>
      </w:r>
    </w:p>
    <w:p w14:paraId="47E89B3E">
      <w:pPr>
        <w:pStyle w:val="25"/>
        <w:bidi w:val="0"/>
        <w:rPr>
          <w:rFonts w:hint="eastAsia"/>
          <w:color w:val="auto"/>
        </w:rPr>
      </w:pPr>
      <w:r>
        <w:rPr>
          <w:rFonts w:hint="eastAsia"/>
          <w:color w:val="auto"/>
        </w:rPr>
        <w:t>表</w:t>
      </w:r>
      <w:r>
        <w:rPr>
          <w:rFonts w:hint="eastAsia"/>
          <w:color w:val="auto"/>
        </w:rPr>
        <w:fldChar w:fldCharType="begin"/>
      </w:r>
      <w:r>
        <w:rPr>
          <w:rFonts w:hint="eastAsia"/>
          <w:color w:val="auto"/>
        </w:rPr>
        <w:instrText xml:space="preserve"> STYLEREF 2 \s </w:instrText>
      </w:r>
      <w:r>
        <w:rPr>
          <w:rFonts w:hint="eastAsia"/>
          <w:color w:val="auto"/>
        </w:rPr>
        <w:fldChar w:fldCharType="separate"/>
      </w:r>
      <w:r>
        <w:rPr>
          <w:rFonts w:hint="eastAsia"/>
          <w:color w:val="auto"/>
        </w:rPr>
        <w:t>4.6</w:t>
      </w:r>
      <w:r>
        <w:rPr>
          <w:rFonts w:hint="eastAsia"/>
          <w:color w:val="auto"/>
        </w:rPr>
        <w:fldChar w:fldCharType="end"/>
      </w:r>
      <w:r>
        <w:rPr>
          <w:rFonts w:hint="eastAsia"/>
          <w:color w:val="auto"/>
        </w:rPr>
        <w:noBreakHyphen/>
      </w:r>
      <w:r>
        <w:rPr>
          <w:rFonts w:hint="eastAsia"/>
          <w:color w:val="auto"/>
        </w:rPr>
        <w:fldChar w:fldCharType="begin"/>
      </w:r>
      <w:r>
        <w:rPr>
          <w:rFonts w:hint="eastAsia"/>
          <w:color w:val="auto"/>
        </w:rPr>
        <w:instrText xml:space="preserve"> SEQ 表 \* ARABIC \s 2 </w:instrText>
      </w:r>
      <w:r>
        <w:rPr>
          <w:rFonts w:hint="eastAsia"/>
          <w:color w:val="auto"/>
        </w:rPr>
        <w:fldChar w:fldCharType="separate"/>
      </w:r>
      <w:r>
        <w:rPr>
          <w:rFonts w:hint="eastAsia"/>
          <w:color w:val="auto"/>
        </w:rPr>
        <w:t>3</w:t>
      </w:r>
      <w:r>
        <w:rPr>
          <w:rFonts w:hint="eastAsia"/>
          <w:color w:val="auto"/>
        </w:rPr>
        <w:fldChar w:fldCharType="end"/>
      </w:r>
      <w:r>
        <w:rPr>
          <w:rFonts w:hint="eastAsia"/>
          <w:color w:val="auto"/>
        </w:rPr>
        <w:t>事故污染物转移途径</w:t>
      </w:r>
    </w:p>
    <w:tbl>
      <w:tblPr>
        <w:tblStyle w:val="50"/>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59"/>
        <w:gridCol w:w="1348"/>
        <w:gridCol w:w="1222"/>
        <w:gridCol w:w="790"/>
        <w:gridCol w:w="1136"/>
        <w:gridCol w:w="1136"/>
        <w:gridCol w:w="1219"/>
      </w:tblGrid>
      <w:tr w14:paraId="5DCBC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jc w:val="center"/>
        </w:trPr>
        <w:tc>
          <w:tcPr>
            <w:tcW w:w="878" w:type="pct"/>
            <w:vMerge w:val="restart"/>
            <w:tcBorders>
              <w:bottom w:val="nil"/>
            </w:tcBorders>
            <w:vAlign w:val="center"/>
          </w:tcPr>
          <w:p w14:paraId="69608C10">
            <w:pPr>
              <w:pStyle w:val="26"/>
              <w:bidi w:val="0"/>
              <w:jc w:val="center"/>
              <w:rPr>
                <w:rFonts w:hint="eastAsia"/>
              </w:rPr>
            </w:pPr>
            <w:r>
              <w:rPr>
                <w:rFonts w:hint="eastAsia"/>
              </w:rPr>
              <w:t>事故类型</w:t>
            </w:r>
          </w:p>
        </w:tc>
        <w:tc>
          <w:tcPr>
            <w:tcW w:w="811" w:type="pct"/>
            <w:vMerge w:val="restart"/>
            <w:tcBorders>
              <w:bottom w:val="nil"/>
            </w:tcBorders>
            <w:vAlign w:val="center"/>
          </w:tcPr>
          <w:p w14:paraId="220A7FEA">
            <w:pPr>
              <w:pStyle w:val="26"/>
              <w:bidi w:val="0"/>
              <w:jc w:val="center"/>
              <w:rPr>
                <w:rFonts w:hint="eastAsia"/>
              </w:rPr>
            </w:pPr>
            <w:r>
              <w:rPr>
                <w:rFonts w:hint="eastAsia"/>
              </w:rPr>
              <w:t>事故位置</w:t>
            </w:r>
          </w:p>
        </w:tc>
        <w:tc>
          <w:tcPr>
            <w:tcW w:w="735" w:type="pct"/>
            <w:vMerge w:val="restart"/>
            <w:tcBorders>
              <w:bottom w:val="nil"/>
            </w:tcBorders>
            <w:vAlign w:val="center"/>
          </w:tcPr>
          <w:p w14:paraId="772C6240">
            <w:pPr>
              <w:pStyle w:val="26"/>
              <w:bidi w:val="0"/>
              <w:jc w:val="center"/>
              <w:rPr>
                <w:rFonts w:hint="eastAsia"/>
              </w:rPr>
            </w:pPr>
            <w:r>
              <w:rPr>
                <w:rFonts w:hint="eastAsia"/>
              </w:rPr>
              <w:t>事故危害形式</w:t>
            </w:r>
          </w:p>
        </w:tc>
        <w:tc>
          <w:tcPr>
            <w:tcW w:w="2574" w:type="pct"/>
            <w:gridSpan w:val="4"/>
            <w:vAlign w:val="center"/>
          </w:tcPr>
          <w:p w14:paraId="65B68355">
            <w:pPr>
              <w:pStyle w:val="26"/>
              <w:bidi w:val="0"/>
              <w:jc w:val="center"/>
              <w:rPr>
                <w:rFonts w:hint="eastAsia"/>
              </w:rPr>
            </w:pPr>
            <w:r>
              <w:rPr>
                <w:rFonts w:hint="eastAsia"/>
              </w:rPr>
              <w:t>污染物转移途径</w:t>
            </w:r>
          </w:p>
        </w:tc>
      </w:tr>
      <w:tr w14:paraId="75D9B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878" w:type="pct"/>
            <w:vMerge w:val="continue"/>
            <w:tcBorders>
              <w:top w:val="nil"/>
            </w:tcBorders>
            <w:vAlign w:val="center"/>
          </w:tcPr>
          <w:p w14:paraId="358CC2C0">
            <w:pPr>
              <w:pStyle w:val="26"/>
              <w:bidi w:val="0"/>
              <w:jc w:val="center"/>
              <w:rPr>
                <w:rFonts w:hint="eastAsia"/>
              </w:rPr>
            </w:pPr>
          </w:p>
        </w:tc>
        <w:tc>
          <w:tcPr>
            <w:tcW w:w="811" w:type="pct"/>
            <w:vMerge w:val="continue"/>
            <w:tcBorders>
              <w:top w:val="nil"/>
            </w:tcBorders>
            <w:vAlign w:val="center"/>
          </w:tcPr>
          <w:p w14:paraId="161CCCED">
            <w:pPr>
              <w:pStyle w:val="26"/>
              <w:bidi w:val="0"/>
              <w:jc w:val="center"/>
              <w:rPr>
                <w:rFonts w:hint="eastAsia"/>
              </w:rPr>
            </w:pPr>
          </w:p>
        </w:tc>
        <w:tc>
          <w:tcPr>
            <w:tcW w:w="735" w:type="pct"/>
            <w:vMerge w:val="continue"/>
            <w:tcBorders>
              <w:top w:val="nil"/>
            </w:tcBorders>
            <w:vAlign w:val="center"/>
          </w:tcPr>
          <w:p w14:paraId="3613BC08">
            <w:pPr>
              <w:pStyle w:val="26"/>
              <w:bidi w:val="0"/>
              <w:jc w:val="center"/>
              <w:rPr>
                <w:rFonts w:hint="eastAsia"/>
              </w:rPr>
            </w:pPr>
          </w:p>
        </w:tc>
        <w:tc>
          <w:tcPr>
            <w:tcW w:w="475" w:type="pct"/>
            <w:vAlign w:val="center"/>
          </w:tcPr>
          <w:p w14:paraId="341AC47D">
            <w:pPr>
              <w:pStyle w:val="26"/>
              <w:bidi w:val="0"/>
              <w:jc w:val="center"/>
              <w:rPr>
                <w:rFonts w:hint="eastAsia"/>
              </w:rPr>
            </w:pPr>
            <w:r>
              <w:rPr>
                <w:rFonts w:hint="eastAsia"/>
              </w:rPr>
              <w:t>大气</w:t>
            </w:r>
          </w:p>
        </w:tc>
        <w:tc>
          <w:tcPr>
            <w:tcW w:w="683" w:type="pct"/>
            <w:vAlign w:val="center"/>
          </w:tcPr>
          <w:p w14:paraId="4635CB56">
            <w:pPr>
              <w:pStyle w:val="26"/>
              <w:bidi w:val="0"/>
              <w:jc w:val="center"/>
              <w:rPr>
                <w:rFonts w:hint="eastAsia"/>
              </w:rPr>
            </w:pPr>
            <w:r>
              <w:rPr>
                <w:rFonts w:hint="eastAsia"/>
              </w:rPr>
              <w:t>地表水</w:t>
            </w:r>
          </w:p>
        </w:tc>
        <w:tc>
          <w:tcPr>
            <w:tcW w:w="683" w:type="pct"/>
            <w:vAlign w:val="center"/>
          </w:tcPr>
          <w:p w14:paraId="4F55CA3F">
            <w:pPr>
              <w:pStyle w:val="26"/>
              <w:bidi w:val="0"/>
              <w:jc w:val="center"/>
              <w:rPr>
                <w:rFonts w:hint="eastAsia"/>
              </w:rPr>
            </w:pPr>
            <w:r>
              <w:rPr>
                <w:rFonts w:hint="eastAsia"/>
              </w:rPr>
              <w:t>地下水</w:t>
            </w:r>
          </w:p>
        </w:tc>
        <w:tc>
          <w:tcPr>
            <w:tcW w:w="732" w:type="pct"/>
            <w:vAlign w:val="center"/>
          </w:tcPr>
          <w:p w14:paraId="134DA59C">
            <w:pPr>
              <w:pStyle w:val="26"/>
              <w:bidi w:val="0"/>
              <w:jc w:val="center"/>
              <w:rPr>
                <w:rFonts w:hint="eastAsia"/>
              </w:rPr>
            </w:pPr>
            <w:r>
              <w:rPr>
                <w:rFonts w:hint="eastAsia"/>
              </w:rPr>
              <w:t>土壤</w:t>
            </w:r>
          </w:p>
        </w:tc>
      </w:tr>
      <w:tr w14:paraId="632D4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878" w:type="pct"/>
            <w:vAlign w:val="center"/>
          </w:tcPr>
          <w:p w14:paraId="5CB817B8">
            <w:pPr>
              <w:pStyle w:val="26"/>
              <w:bidi w:val="0"/>
              <w:jc w:val="center"/>
              <w:rPr>
                <w:rFonts w:hint="eastAsia"/>
              </w:rPr>
            </w:pPr>
            <w:r>
              <w:rPr>
                <w:rFonts w:hint="eastAsia"/>
              </w:rPr>
              <w:t>泄漏</w:t>
            </w:r>
          </w:p>
        </w:tc>
        <w:tc>
          <w:tcPr>
            <w:tcW w:w="811" w:type="pct"/>
            <w:vAlign w:val="center"/>
          </w:tcPr>
          <w:p w14:paraId="1FC71B46">
            <w:pPr>
              <w:pStyle w:val="26"/>
              <w:bidi w:val="0"/>
              <w:jc w:val="center"/>
              <w:rPr>
                <w:rFonts w:hint="eastAsia"/>
              </w:rPr>
            </w:pPr>
            <w:r>
              <w:rPr>
                <w:rFonts w:hint="eastAsia"/>
              </w:rPr>
              <w:t>生产车间电镀槽体、废槽液贮存区吨桶等</w:t>
            </w:r>
          </w:p>
        </w:tc>
        <w:tc>
          <w:tcPr>
            <w:tcW w:w="735" w:type="pct"/>
            <w:vAlign w:val="center"/>
          </w:tcPr>
          <w:p w14:paraId="5A39A613">
            <w:pPr>
              <w:pStyle w:val="26"/>
              <w:bidi w:val="0"/>
              <w:jc w:val="center"/>
              <w:rPr>
                <w:rFonts w:hint="eastAsia"/>
              </w:rPr>
            </w:pPr>
            <w:r>
              <w:rPr>
                <w:rFonts w:hint="eastAsia"/>
              </w:rPr>
              <w:t>液体泄漏、蒸发</w:t>
            </w:r>
          </w:p>
        </w:tc>
        <w:tc>
          <w:tcPr>
            <w:tcW w:w="475" w:type="pct"/>
            <w:vAlign w:val="center"/>
          </w:tcPr>
          <w:p w14:paraId="42DC8B8E">
            <w:pPr>
              <w:pStyle w:val="26"/>
              <w:bidi w:val="0"/>
              <w:jc w:val="center"/>
              <w:rPr>
                <w:rFonts w:hint="eastAsia"/>
              </w:rPr>
            </w:pPr>
            <w:r>
              <w:rPr>
                <w:rFonts w:hint="eastAsia"/>
              </w:rPr>
              <w:t>扩散</w:t>
            </w:r>
          </w:p>
        </w:tc>
        <w:tc>
          <w:tcPr>
            <w:tcW w:w="683" w:type="pct"/>
            <w:vAlign w:val="center"/>
          </w:tcPr>
          <w:p w14:paraId="27D66373">
            <w:pPr>
              <w:pStyle w:val="26"/>
              <w:bidi w:val="0"/>
              <w:jc w:val="center"/>
              <w:rPr>
                <w:rFonts w:hint="eastAsia"/>
              </w:rPr>
            </w:pPr>
            <w:r>
              <w:rPr>
                <w:rFonts w:hint="eastAsia"/>
              </w:rPr>
              <w:t>雨水管网</w:t>
            </w:r>
          </w:p>
        </w:tc>
        <w:tc>
          <w:tcPr>
            <w:tcW w:w="683" w:type="pct"/>
            <w:vAlign w:val="center"/>
          </w:tcPr>
          <w:p w14:paraId="12B3A4EA">
            <w:pPr>
              <w:pStyle w:val="26"/>
              <w:bidi w:val="0"/>
              <w:jc w:val="center"/>
              <w:rPr>
                <w:rFonts w:hint="eastAsia"/>
              </w:rPr>
            </w:pPr>
            <w:r>
              <w:rPr>
                <w:rFonts w:hint="eastAsia"/>
              </w:rPr>
              <w:t>渗透、吸收</w:t>
            </w:r>
          </w:p>
        </w:tc>
        <w:tc>
          <w:tcPr>
            <w:tcW w:w="732" w:type="pct"/>
            <w:vAlign w:val="center"/>
          </w:tcPr>
          <w:p w14:paraId="2AF161BF">
            <w:pPr>
              <w:pStyle w:val="26"/>
              <w:bidi w:val="0"/>
              <w:jc w:val="center"/>
              <w:rPr>
                <w:rFonts w:hint="eastAsia"/>
              </w:rPr>
            </w:pPr>
            <w:r>
              <w:rPr>
                <w:rFonts w:hint="eastAsia"/>
              </w:rPr>
              <w:t>渗透、吸收、沉降</w:t>
            </w:r>
          </w:p>
        </w:tc>
      </w:tr>
      <w:tr w14:paraId="69B5F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878" w:type="pct"/>
            <w:vAlign w:val="center"/>
          </w:tcPr>
          <w:p w14:paraId="71ACA5F7">
            <w:pPr>
              <w:pStyle w:val="26"/>
              <w:bidi w:val="0"/>
              <w:jc w:val="center"/>
              <w:rPr>
                <w:rFonts w:hint="eastAsia"/>
              </w:rPr>
            </w:pPr>
            <w:r>
              <w:rPr>
                <w:rFonts w:hint="eastAsia"/>
              </w:rPr>
              <w:t>环境风险防控设施失灵或非正常操作</w:t>
            </w:r>
          </w:p>
        </w:tc>
        <w:tc>
          <w:tcPr>
            <w:tcW w:w="811" w:type="pct"/>
            <w:vAlign w:val="center"/>
          </w:tcPr>
          <w:p w14:paraId="545F5E79">
            <w:pPr>
              <w:pStyle w:val="26"/>
              <w:bidi w:val="0"/>
              <w:jc w:val="center"/>
              <w:rPr>
                <w:rFonts w:hint="eastAsia"/>
              </w:rPr>
            </w:pPr>
            <w:r>
              <w:rPr>
                <w:rFonts w:hint="eastAsia"/>
              </w:rPr>
              <w:t>事故水池</w:t>
            </w:r>
          </w:p>
        </w:tc>
        <w:tc>
          <w:tcPr>
            <w:tcW w:w="735" w:type="pct"/>
            <w:vAlign w:val="center"/>
          </w:tcPr>
          <w:p w14:paraId="316CDC7D">
            <w:pPr>
              <w:pStyle w:val="26"/>
              <w:bidi w:val="0"/>
              <w:jc w:val="center"/>
              <w:rPr>
                <w:rFonts w:hint="eastAsia"/>
              </w:rPr>
            </w:pPr>
            <w:r>
              <w:rPr>
                <w:rFonts w:hint="eastAsia"/>
              </w:rPr>
              <w:t>事故水直排</w:t>
            </w:r>
          </w:p>
        </w:tc>
        <w:tc>
          <w:tcPr>
            <w:tcW w:w="475" w:type="pct"/>
            <w:vAlign w:val="center"/>
          </w:tcPr>
          <w:p w14:paraId="5A2AA69E">
            <w:pPr>
              <w:pStyle w:val="26"/>
              <w:bidi w:val="0"/>
              <w:jc w:val="center"/>
              <w:rPr>
                <w:rFonts w:hint="eastAsia"/>
              </w:rPr>
            </w:pPr>
            <w:r>
              <w:rPr>
                <w:rFonts w:hint="eastAsia"/>
              </w:rPr>
              <w:t>/</w:t>
            </w:r>
          </w:p>
        </w:tc>
        <w:tc>
          <w:tcPr>
            <w:tcW w:w="683" w:type="pct"/>
            <w:vAlign w:val="center"/>
          </w:tcPr>
          <w:p w14:paraId="6DF2CED8">
            <w:pPr>
              <w:pStyle w:val="26"/>
              <w:bidi w:val="0"/>
              <w:jc w:val="center"/>
              <w:rPr>
                <w:rFonts w:hint="eastAsia"/>
              </w:rPr>
            </w:pPr>
            <w:r>
              <w:rPr>
                <w:rFonts w:hint="eastAsia"/>
              </w:rPr>
              <w:t>雨水管网</w:t>
            </w:r>
          </w:p>
        </w:tc>
        <w:tc>
          <w:tcPr>
            <w:tcW w:w="683" w:type="pct"/>
            <w:vAlign w:val="center"/>
          </w:tcPr>
          <w:p w14:paraId="7F2ED5E7">
            <w:pPr>
              <w:pStyle w:val="26"/>
              <w:bidi w:val="0"/>
              <w:jc w:val="center"/>
              <w:rPr>
                <w:rFonts w:hint="eastAsia"/>
              </w:rPr>
            </w:pPr>
            <w:r>
              <w:rPr>
                <w:rFonts w:hint="eastAsia"/>
              </w:rPr>
              <w:t>渗透、吸收</w:t>
            </w:r>
          </w:p>
        </w:tc>
        <w:tc>
          <w:tcPr>
            <w:tcW w:w="732" w:type="pct"/>
            <w:vAlign w:val="center"/>
          </w:tcPr>
          <w:p w14:paraId="1DECBDBE">
            <w:pPr>
              <w:pStyle w:val="26"/>
              <w:bidi w:val="0"/>
              <w:jc w:val="center"/>
              <w:rPr>
                <w:rFonts w:hint="eastAsia"/>
              </w:rPr>
            </w:pPr>
            <w:r>
              <w:rPr>
                <w:rFonts w:hint="eastAsia"/>
              </w:rPr>
              <w:t>渗透、吸收</w:t>
            </w:r>
          </w:p>
        </w:tc>
      </w:tr>
      <w:tr w14:paraId="44469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878" w:type="pct"/>
            <w:vMerge w:val="restart"/>
            <w:tcBorders>
              <w:bottom w:val="nil"/>
            </w:tcBorders>
            <w:vAlign w:val="center"/>
          </w:tcPr>
          <w:p w14:paraId="1667063D">
            <w:pPr>
              <w:pStyle w:val="26"/>
              <w:bidi w:val="0"/>
              <w:jc w:val="center"/>
              <w:rPr>
                <w:rFonts w:hint="eastAsia"/>
              </w:rPr>
            </w:pPr>
            <w:r>
              <w:rPr>
                <w:rFonts w:hint="eastAsia"/>
              </w:rPr>
              <w:t>污染治理设施非正常运行</w:t>
            </w:r>
          </w:p>
        </w:tc>
        <w:tc>
          <w:tcPr>
            <w:tcW w:w="811" w:type="pct"/>
            <w:vAlign w:val="center"/>
          </w:tcPr>
          <w:p w14:paraId="72F4B776">
            <w:pPr>
              <w:pStyle w:val="26"/>
              <w:bidi w:val="0"/>
              <w:jc w:val="center"/>
              <w:rPr>
                <w:rFonts w:hint="eastAsia"/>
              </w:rPr>
            </w:pPr>
            <w:r>
              <w:rPr>
                <w:rFonts w:hint="eastAsia"/>
              </w:rPr>
              <w:t>污水处理站</w:t>
            </w:r>
          </w:p>
        </w:tc>
        <w:tc>
          <w:tcPr>
            <w:tcW w:w="735" w:type="pct"/>
            <w:vAlign w:val="center"/>
          </w:tcPr>
          <w:p w14:paraId="4E15C25B">
            <w:pPr>
              <w:pStyle w:val="26"/>
              <w:bidi w:val="0"/>
              <w:jc w:val="center"/>
              <w:rPr>
                <w:rFonts w:hint="eastAsia"/>
              </w:rPr>
            </w:pPr>
            <w:r>
              <w:rPr>
                <w:rFonts w:hint="eastAsia"/>
              </w:rPr>
              <w:t>生产废水未处理直排</w:t>
            </w:r>
          </w:p>
        </w:tc>
        <w:tc>
          <w:tcPr>
            <w:tcW w:w="475" w:type="pct"/>
            <w:vAlign w:val="center"/>
          </w:tcPr>
          <w:p w14:paraId="54DB9BEC">
            <w:pPr>
              <w:pStyle w:val="26"/>
              <w:bidi w:val="0"/>
              <w:jc w:val="center"/>
              <w:rPr>
                <w:rFonts w:hint="eastAsia"/>
              </w:rPr>
            </w:pPr>
            <w:r>
              <w:rPr>
                <w:rFonts w:hint="eastAsia"/>
              </w:rPr>
              <w:t>/</w:t>
            </w:r>
          </w:p>
        </w:tc>
        <w:tc>
          <w:tcPr>
            <w:tcW w:w="683" w:type="pct"/>
            <w:vAlign w:val="center"/>
          </w:tcPr>
          <w:p w14:paraId="5BA822EE">
            <w:pPr>
              <w:pStyle w:val="26"/>
              <w:bidi w:val="0"/>
              <w:jc w:val="center"/>
              <w:rPr>
                <w:rFonts w:hint="eastAsia"/>
              </w:rPr>
            </w:pPr>
            <w:r>
              <w:rPr>
                <w:rFonts w:hint="eastAsia"/>
              </w:rPr>
              <w:t>径流</w:t>
            </w:r>
          </w:p>
        </w:tc>
        <w:tc>
          <w:tcPr>
            <w:tcW w:w="683" w:type="pct"/>
            <w:vAlign w:val="center"/>
          </w:tcPr>
          <w:p w14:paraId="5ECAB437">
            <w:pPr>
              <w:pStyle w:val="26"/>
              <w:bidi w:val="0"/>
              <w:jc w:val="center"/>
              <w:rPr>
                <w:rFonts w:hint="eastAsia"/>
              </w:rPr>
            </w:pPr>
            <w:r>
              <w:rPr>
                <w:rFonts w:hint="eastAsia"/>
              </w:rPr>
              <w:t>渗透、吸收</w:t>
            </w:r>
          </w:p>
        </w:tc>
        <w:tc>
          <w:tcPr>
            <w:tcW w:w="732" w:type="pct"/>
            <w:vAlign w:val="center"/>
          </w:tcPr>
          <w:p w14:paraId="30AC5F35">
            <w:pPr>
              <w:pStyle w:val="26"/>
              <w:bidi w:val="0"/>
              <w:jc w:val="center"/>
              <w:rPr>
                <w:rFonts w:hint="eastAsia"/>
              </w:rPr>
            </w:pPr>
            <w:r>
              <w:rPr>
                <w:rFonts w:hint="eastAsia"/>
              </w:rPr>
              <w:t>渗透、吸收</w:t>
            </w:r>
          </w:p>
        </w:tc>
      </w:tr>
      <w:tr w14:paraId="760CA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878" w:type="pct"/>
            <w:vMerge w:val="continue"/>
            <w:tcBorders>
              <w:top w:val="nil"/>
              <w:bottom w:val="nil"/>
            </w:tcBorders>
            <w:vAlign w:val="center"/>
          </w:tcPr>
          <w:p w14:paraId="4AF849B6">
            <w:pPr>
              <w:pStyle w:val="26"/>
              <w:bidi w:val="0"/>
              <w:jc w:val="center"/>
              <w:rPr>
                <w:rFonts w:hint="eastAsia"/>
              </w:rPr>
            </w:pPr>
          </w:p>
        </w:tc>
        <w:tc>
          <w:tcPr>
            <w:tcW w:w="811" w:type="pct"/>
            <w:vAlign w:val="center"/>
          </w:tcPr>
          <w:p w14:paraId="4A1FF925">
            <w:pPr>
              <w:pStyle w:val="26"/>
              <w:bidi w:val="0"/>
              <w:jc w:val="center"/>
              <w:rPr>
                <w:rFonts w:hint="eastAsia"/>
              </w:rPr>
            </w:pPr>
            <w:r>
              <w:rPr>
                <w:rFonts w:hint="eastAsia"/>
              </w:rPr>
              <w:t>废气处理系统</w:t>
            </w:r>
          </w:p>
        </w:tc>
        <w:tc>
          <w:tcPr>
            <w:tcW w:w="735" w:type="pct"/>
            <w:vAlign w:val="center"/>
          </w:tcPr>
          <w:p w14:paraId="705B4E23">
            <w:pPr>
              <w:pStyle w:val="26"/>
              <w:bidi w:val="0"/>
              <w:jc w:val="center"/>
              <w:rPr>
                <w:rFonts w:hint="eastAsia"/>
              </w:rPr>
            </w:pPr>
            <w:r>
              <w:rPr>
                <w:rFonts w:hint="eastAsia"/>
              </w:rPr>
              <w:t>废气超标排放</w:t>
            </w:r>
          </w:p>
        </w:tc>
        <w:tc>
          <w:tcPr>
            <w:tcW w:w="475" w:type="pct"/>
            <w:vAlign w:val="center"/>
          </w:tcPr>
          <w:p w14:paraId="0B8E3210">
            <w:pPr>
              <w:pStyle w:val="26"/>
              <w:bidi w:val="0"/>
              <w:jc w:val="center"/>
              <w:rPr>
                <w:rFonts w:hint="eastAsia"/>
              </w:rPr>
            </w:pPr>
            <w:r>
              <w:rPr>
                <w:rFonts w:hint="eastAsia"/>
              </w:rPr>
              <w:t>扩散</w:t>
            </w:r>
          </w:p>
        </w:tc>
        <w:tc>
          <w:tcPr>
            <w:tcW w:w="683" w:type="pct"/>
            <w:vAlign w:val="center"/>
          </w:tcPr>
          <w:p w14:paraId="54884AC0">
            <w:pPr>
              <w:pStyle w:val="26"/>
              <w:bidi w:val="0"/>
              <w:jc w:val="center"/>
              <w:rPr>
                <w:rFonts w:hint="eastAsia"/>
              </w:rPr>
            </w:pPr>
            <w:r>
              <w:rPr>
                <w:rFonts w:hint="eastAsia"/>
              </w:rPr>
              <w:t>/</w:t>
            </w:r>
          </w:p>
        </w:tc>
        <w:tc>
          <w:tcPr>
            <w:tcW w:w="683" w:type="pct"/>
            <w:vAlign w:val="center"/>
          </w:tcPr>
          <w:p w14:paraId="52724167">
            <w:pPr>
              <w:pStyle w:val="26"/>
              <w:bidi w:val="0"/>
              <w:jc w:val="center"/>
              <w:rPr>
                <w:rFonts w:hint="eastAsia"/>
              </w:rPr>
            </w:pPr>
            <w:r>
              <w:rPr>
                <w:rFonts w:hint="eastAsia"/>
              </w:rPr>
              <w:t>/</w:t>
            </w:r>
          </w:p>
        </w:tc>
        <w:tc>
          <w:tcPr>
            <w:tcW w:w="732" w:type="pct"/>
            <w:vAlign w:val="center"/>
          </w:tcPr>
          <w:p w14:paraId="3E57CC1D">
            <w:pPr>
              <w:pStyle w:val="26"/>
              <w:bidi w:val="0"/>
              <w:jc w:val="center"/>
              <w:rPr>
                <w:rFonts w:hint="eastAsia"/>
              </w:rPr>
            </w:pPr>
            <w:r>
              <w:rPr>
                <w:rFonts w:hint="eastAsia"/>
              </w:rPr>
              <w:t>沉降</w:t>
            </w:r>
          </w:p>
        </w:tc>
      </w:tr>
      <w:tr w14:paraId="79B2A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878" w:type="pct"/>
            <w:vMerge w:val="continue"/>
            <w:tcBorders>
              <w:top w:val="nil"/>
            </w:tcBorders>
            <w:vAlign w:val="center"/>
          </w:tcPr>
          <w:p w14:paraId="75CFD260">
            <w:pPr>
              <w:pStyle w:val="26"/>
              <w:bidi w:val="0"/>
              <w:jc w:val="center"/>
              <w:rPr>
                <w:rFonts w:hint="eastAsia"/>
              </w:rPr>
            </w:pPr>
          </w:p>
        </w:tc>
        <w:tc>
          <w:tcPr>
            <w:tcW w:w="811" w:type="pct"/>
            <w:vAlign w:val="center"/>
          </w:tcPr>
          <w:p w14:paraId="0B26CD24">
            <w:pPr>
              <w:pStyle w:val="26"/>
              <w:bidi w:val="0"/>
              <w:jc w:val="center"/>
              <w:rPr>
                <w:rFonts w:hint="eastAsia"/>
              </w:rPr>
            </w:pPr>
            <w:r>
              <w:rPr>
                <w:rFonts w:hint="eastAsia"/>
              </w:rPr>
              <w:t>危废暂存仓库</w:t>
            </w:r>
          </w:p>
        </w:tc>
        <w:tc>
          <w:tcPr>
            <w:tcW w:w="735" w:type="pct"/>
            <w:vAlign w:val="center"/>
          </w:tcPr>
          <w:p w14:paraId="55B88BE7">
            <w:pPr>
              <w:pStyle w:val="26"/>
              <w:bidi w:val="0"/>
              <w:jc w:val="center"/>
              <w:rPr>
                <w:rFonts w:hint="eastAsia"/>
              </w:rPr>
            </w:pPr>
            <w:r>
              <w:rPr>
                <w:rFonts w:hint="eastAsia"/>
              </w:rPr>
              <w:t>固废泄漏</w:t>
            </w:r>
          </w:p>
        </w:tc>
        <w:tc>
          <w:tcPr>
            <w:tcW w:w="475" w:type="pct"/>
            <w:vAlign w:val="center"/>
          </w:tcPr>
          <w:p w14:paraId="6D34E719">
            <w:pPr>
              <w:pStyle w:val="26"/>
              <w:bidi w:val="0"/>
              <w:jc w:val="center"/>
              <w:rPr>
                <w:rFonts w:hint="eastAsia"/>
              </w:rPr>
            </w:pPr>
            <w:r>
              <w:rPr>
                <w:rFonts w:hint="eastAsia"/>
              </w:rPr>
              <w:t>/</w:t>
            </w:r>
          </w:p>
        </w:tc>
        <w:tc>
          <w:tcPr>
            <w:tcW w:w="683" w:type="pct"/>
            <w:vAlign w:val="center"/>
          </w:tcPr>
          <w:p w14:paraId="68DC5276">
            <w:pPr>
              <w:pStyle w:val="26"/>
              <w:bidi w:val="0"/>
              <w:jc w:val="center"/>
              <w:rPr>
                <w:rFonts w:hint="eastAsia"/>
              </w:rPr>
            </w:pPr>
            <w:r>
              <w:rPr>
                <w:rFonts w:hint="eastAsia"/>
              </w:rPr>
              <w:t>雨水管网</w:t>
            </w:r>
          </w:p>
          <w:p w14:paraId="046711F8">
            <w:pPr>
              <w:pStyle w:val="26"/>
              <w:bidi w:val="0"/>
              <w:jc w:val="center"/>
              <w:rPr>
                <w:rFonts w:hint="eastAsia"/>
              </w:rPr>
            </w:pPr>
            <w:r>
              <w:rPr>
                <w:rFonts w:hint="eastAsia"/>
              </w:rPr>
              <w:t>（液态）</w:t>
            </w:r>
          </w:p>
        </w:tc>
        <w:tc>
          <w:tcPr>
            <w:tcW w:w="683" w:type="pct"/>
            <w:vAlign w:val="center"/>
          </w:tcPr>
          <w:p w14:paraId="65FCB063">
            <w:pPr>
              <w:pStyle w:val="26"/>
              <w:bidi w:val="0"/>
              <w:jc w:val="center"/>
              <w:rPr>
                <w:rFonts w:hint="eastAsia"/>
              </w:rPr>
            </w:pPr>
            <w:r>
              <w:rPr>
                <w:rFonts w:hint="eastAsia"/>
              </w:rPr>
              <w:t>渗透、吸收</w:t>
            </w:r>
          </w:p>
        </w:tc>
        <w:tc>
          <w:tcPr>
            <w:tcW w:w="732" w:type="pct"/>
            <w:vAlign w:val="center"/>
          </w:tcPr>
          <w:p w14:paraId="392C6A65">
            <w:pPr>
              <w:pStyle w:val="26"/>
              <w:bidi w:val="0"/>
              <w:jc w:val="center"/>
              <w:rPr>
                <w:rFonts w:hint="eastAsia"/>
              </w:rPr>
            </w:pPr>
            <w:r>
              <w:rPr>
                <w:rFonts w:hint="eastAsia"/>
              </w:rPr>
              <w:t>渗透、吸收</w:t>
            </w:r>
          </w:p>
        </w:tc>
      </w:tr>
      <w:tr w14:paraId="29DC5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78" w:type="pct"/>
            <w:vAlign w:val="center"/>
          </w:tcPr>
          <w:p w14:paraId="427F4361">
            <w:pPr>
              <w:pStyle w:val="26"/>
              <w:bidi w:val="0"/>
              <w:jc w:val="center"/>
              <w:rPr>
                <w:rFonts w:hint="eastAsia"/>
              </w:rPr>
            </w:pPr>
            <w:r>
              <w:rPr>
                <w:rFonts w:hint="eastAsia"/>
              </w:rPr>
              <w:t>运输系统故障</w:t>
            </w:r>
          </w:p>
        </w:tc>
        <w:tc>
          <w:tcPr>
            <w:tcW w:w="811" w:type="pct"/>
            <w:vAlign w:val="center"/>
          </w:tcPr>
          <w:p w14:paraId="0A5E34A8">
            <w:pPr>
              <w:pStyle w:val="26"/>
              <w:bidi w:val="0"/>
              <w:jc w:val="center"/>
              <w:rPr>
                <w:rFonts w:hint="eastAsia"/>
              </w:rPr>
            </w:pPr>
            <w:r>
              <w:rPr>
                <w:rFonts w:hint="eastAsia"/>
              </w:rPr>
              <w:t>输送车辆</w:t>
            </w:r>
          </w:p>
        </w:tc>
        <w:tc>
          <w:tcPr>
            <w:tcW w:w="735" w:type="pct"/>
            <w:vAlign w:val="center"/>
          </w:tcPr>
          <w:p w14:paraId="7F156896">
            <w:pPr>
              <w:pStyle w:val="26"/>
              <w:bidi w:val="0"/>
              <w:jc w:val="center"/>
              <w:rPr>
                <w:rFonts w:hint="eastAsia"/>
              </w:rPr>
            </w:pPr>
            <w:r>
              <w:rPr>
                <w:rFonts w:hint="eastAsia"/>
              </w:rPr>
              <w:t>液体泄漏、蒸发</w:t>
            </w:r>
          </w:p>
        </w:tc>
        <w:tc>
          <w:tcPr>
            <w:tcW w:w="475" w:type="pct"/>
            <w:vAlign w:val="center"/>
          </w:tcPr>
          <w:p w14:paraId="2BF061B4">
            <w:pPr>
              <w:pStyle w:val="26"/>
              <w:bidi w:val="0"/>
              <w:jc w:val="center"/>
              <w:rPr>
                <w:rFonts w:hint="eastAsia"/>
              </w:rPr>
            </w:pPr>
            <w:r>
              <w:rPr>
                <w:rFonts w:hint="eastAsia"/>
              </w:rPr>
              <w:t>扩散</w:t>
            </w:r>
          </w:p>
        </w:tc>
        <w:tc>
          <w:tcPr>
            <w:tcW w:w="683" w:type="pct"/>
            <w:vAlign w:val="center"/>
          </w:tcPr>
          <w:p w14:paraId="6480026E">
            <w:pPr>
              <w:pStyle w:val="26"/>
              <w:bidi w:val="0"/>
              <w:jc w:val="center"/>
              <w:rPr>
                <w:rFonts w:hint="eastAsia"/>
              </w:rPr>
            </w:pPr>
            <w:r>
              <w:rPr>
                <w:rFonts w:hint="eastAsia"/>
              </w:rPr>
              <w:t>径流</w:t>
            </w:r>
          </w:p>
        </w:tc>
        <w:tc>
          <w:tcPr>
            <w:tcW w:w="683" w:type="pct"/>
            <w:vAlign w:val="center"/>
          </w:tcPr>
          <w:p w14:paraId="52F4B93F">
            <w:pPr>
              <w:pStyle w:val="26"/>
              <w:bidi w:val="0"/>
              <w:jc w:val="center"/>
              <w:rPr>
                <w:rFonts w:hint="eastAsia"/>
              </w:rPr>
            </w:pPr>
            <w:r>
              <w:rPr>
                <w:rFonts w:hint="eastAsia"/>
              </w:rPr>
              <w:t>渗透、吸收</w:t>
            </w:r>
          </w:p>
        </w:tc>
        <w:tc>
          <w:tcPr>
            <w:tcW w:w="732" w:type="pct"/>
            <w:vAlign w:val="center"/>
          </w:tcPr>
          <w:p w14:paraId="6DFAA22F">
            <w:pPr>
              <w:pStyle w:val="26"/>
              <w:bidi w:val="0"/>
              <w:jc w:val="center"/>
              <w:rPr>
                <w:rFonts w:hint="eastAsia"/>
              </w:rPr>
            </w:pPr>
            <w:r>
              <w:rPr>
                <w:rFonts w:hint="eastAsia"/>
              </w:rPr>
              <w:t>渗透、吸收</w:t>
            </w:r>
          </w:p>
        </w:tc>
      </w:tr>
    </w:tbl>
    <w:p w14:paraId="2B7092D5">
      <w:pPr>
        <w:pStyle w:val="26"/>
        <w:bidi w:val="0"/>
        <w:rPr>
          <w:rFonts w:hint="eastAsia"/>
          <w:color w:val="auto"/>
        </w:rPr>
      </w:pPr>
    </w:p>
    <w:p w14:paraId="51D3BF81">
      <w:pPr>
        <w:pStyle w:val="4"/>
        <w:rPr>
          <w:color w:val="auto"/>
        </w:rPr>
      </w:pPr>
      <w:bookmarkStart w:id="217" w:name="_Toc18568"/>
      <w:bookmarkStart w:id="218" w:name="_Toc1085"/>
      <w:r>
        <w:rPr>
          <w:rFonts w:hint="eastAsia"/>
          <w:color w:val="auto"/>
        </w:rPr>
        <w:t>风险识别结果</w:t>
      </w:r>
      <w:bookmarkEnd w:id="217"/>
      <w:bookmarkEnd w:id="218"/>
    </w:p>
    <w:p w14:paraId="4366869D">
      <w:pPr>
        <w:rPr>
          <w:color w:val="auto"/>
        </w:rPr>
      </w:pPr>
      <w:r>
        <w:rPr>
          <w:color w:val="auto"/>
        </w:rPr>
        <w:t>本项目环境风险识别结果，见下表：</w:t>
      </w:r>
    </w:p>
    <w:p w14:paraId="4F470B34">
      <w:pPr>
        <w:pStyle w:val="25"/>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4.6</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4</w:t>
      </w:r>
      <w:r>
        <w:rPr>
          <w:color w:val="auto"/>
        </w:rPr>
        <w:fldChar w:fldCharType="end"/>
      </w:r>
      <w:r>
        <w:rPr>
          <w:color w:val="auto"/>
        </w:rPr>
        <w:t>本项目环境风险识别结果</w:t>
      </w:r>
    </w:p>
    <w:tbl>
      <w:tblPr>
        <w:tblStyle w:val="50"/>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4"/>
        <w:gridCol w:w="812"/>
        <w:gridCol w:w="664"/>
        <w:gridCol w:w="845"/>
        <w:gridCol w:w="1032"/>
        <w:gridCol w:w="3348"/>
        <w:gridCol w:w="1099"/>
      </w:tblGrid>
      <w:tr w14:paraId="5D6B6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4" w:hRule="atLeast"/>
        </w:trPr>
        <w:tc>
          <w:tcPr>
            <w:tcW w:w="309" w:type="pct"/>
            <w:vAlign w:val="center"/>
          </w:tcPr>
          <w:p w14:paraId="332BCD14">
            <w:pPr>
              <w:pStyle w:val="26"/>
              <w:bidi w:val="0"/>
              <w:jc w:val="center"/>
            </w:pPr>
            <w:r>
              <w:t>序号</w:t>
            </w:r>
          </w:p>
        </w:tc>
        <w:tc>
          <w:tcPr>
            <w:tcW w:w="488" w:type="pct"/>
            <w:vAlign w:val="center"/>
          </w:tcPr>
          <w:p w14:paraId="13791C94">
            <w:pPr>
              <w:pStyle w:val="26"/>
              <w:bidi w:val="0"/>
              <w:jc w:val="center"/>
            </w:pPr>
            <w:r>
              <w:t>危险单元</w:t>
            </w:r>
          </w:p>
        </w:tc>
        <w:tc>
          <w:tcPr>
            <w:tcW w:w="399" w:type="pct"/>
            <w:vAlign w:val="center"/>
          </w:tcPr>
          <w:p w14:paraId="37158905">
            <w:pPr>
              <w:pStyle w:val="26"/>
              <w:bidi w:val="0"/>
              <w:jc w:val="center"/>
            </w:pPr>
            <w:r>
              <w:t>风险源</w:t>
            </w:r>
          </w:p>
        </w:tc>
        <w:tc>
          <w:tcPr>
            <w:tcW w:w="508" w:type="pct"/>
            <w:vAlign w:val="center"/>
          </w:tcPr>
          <w:p w14:paraId="334DEFB7">
            <w:pPr>
              <w:pStyle w:val="26"/>
              <w:bidi w:val="0"/>
              <w:jc w:val="center"/>
            </w:pPr>
            <w:r>
              <w:t>主要危险物质</w:t>
            </w:r>
          </w:p>
        </w:tc>
        <w:tc>
          <w:tcPr>
            <w:tcW w:w="620" w:type="pct"/>
            <w:vAlign w:val="center"/>
          </w:tcPr>
          <w:p w14:paraId="2CA28611">
            <w:pPr>
              <w:pStyle w:val="26"/>
              <w:bidi w:val="0"/>
              <w:jc w:val="center"/>
            </w:pPr>
            <w:r>
              <w:t>环境风险类型</w:t>
            </w:r>
          </w:p>
        </w:tc>
        <w:tc>
          <w:tcPr>
            <w:tcW w:w="2012" w:type="pct"/>
            <w:vAlign w:val="center"/>
          </w:tcPr>
          <w:p w14:paraId="5AF28381">
            <w:pPr>
              <w:pStyle w:val="26"/>
              <w:bidi w:val="0"/>
              <w:jc w:val="center"/>
            </w:pPr>
            <w:r>
              <w:t>环境影响途径</w:t>
            </w:r>
          </w:p>
        </w:tc>
        <w:tc>
          <w:tcPr>
            <w:tcW w:w="660" w:type="pct"/>
            <w:vAlign w:val="center"/>
          </w:tcPr>
          <w:p w14:paraId="1A2FCF7A">
            <w:pPr>
              <w:pStyle w:val="26"/>
              <w:bidi w:val="0"/>
              <w:jc w:val="center"/>
            </w:pPr>
            <w:r>
              <w:t>可能受影响的环境敏感目标</w:t>
            </w:r>
          </w:p>
        </w:tc>
      </w:tr>
      <w:tr w14:paraId="4B237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309" w:type="pct"/>
            <w:vMerge w:val="restart"/>
            <w:tcBorders>
              <w:bottom w:val="nil"/>
            </w:tcBorders>
            <w:vAlign w:val="center"/>
          </w:tcPr>
          <w:p w14:paraId="32F8526C">
            <w:pPr>
              <w:pStyle w:val="26"/>
              <w:bidi w:val="0"/>
              <w:jc w:val="center"/>
            </w:pPr>
            <w:r>
              <w:t>1.</w:t>
            </w:r>
          </w:p>
        </w:tc>
        <w:tc>
          <w:tcPr>
            <w:tcW w:w="488" w:type="pct"/>
            <w:vMerge w:val="restart"/>
            <w:tcBorders>
              <w:bottom w:val="nil"/>
            </w:tcBorders>
            <w:vAlign w:val="center"/>
          </w:tcPr>
          <w:p w14:paraId="6FC91E67">
            <w:pPr>
              <w:pStyle w:val="26"/>
              <w:bidi w:val="0"/>
              <w:jc w:val="center"/>
            </w:pPr>
            <w:r>
              <w:t>生产装置区</w:t>
            </w:r>
          </w:p>
        </w:tc>
        <w:tc>
          <w:tcPr>
            <w:tcW w:w="399" w:type="pct"/>
            <w:vMerge w:val="restart"/>
            <w:tcBorders>
              <w:bottom w:val="nil"/>
            </w:tcBorders>
            <w:vAlign w:val="center"/>
          </w:tcPr>
          <w:p w14:paraId="669AD1CB">
            <w:pPr>
              <w:pStyle w:val="26"/>
              <w:bidi w:val="0"/>
              <w:jc w:val="center"/>
            </w:pPr>
            <w:r>
              <w:t>电镀线、腐蚀、清洗等工段</w:t>
            </w:r>
          </w:p>
        </w:tc>
        <w:tc>
          <w:tcPr>
            <w:tcW w:w="508" w:type="pct"/>
            <w:vMerge w:val="restart"/>
            <w:tcBorders>
              <w:bottom w:val="nil"/>
            </w:tcBorders>
            <w:vAlign w:val="center"/>
          </w:tcPr>
          <w:p w14:paraId="574D014F">
            <w:pPr>
              <w:pStyle w:val="26"/>
              <w:bidi w:val="0"/>
              <w:jc w:val="center"/>
            </w:pPr>
            <w:r>
              <w:t>铬酐、铬添加剂、盐酸、氯化氢等</w:t>
            </w:r>
          </w:p>
        </w:tc>
        <w:tc>
          <w:tcPr>
            <w:tcW w:w="620" w:type="pct"/>
            <w:vAlign w:val="center"/>
          </w:tcPr>
          <w:p w14:paraId="2D2AFFEB">
            <w:pPr>
              <w:pStyle w:val="26"/>
              <w:bidi w:val="0"/>
              <w:jc w:val="center"/>
            </w:pPr>
            <w:r>
              <w:t>危险物质</w:t>
            </w:r>
          </w:p>
          <w:p w14:paraId="779C61AB">
            <w:pPr>
              <w:pStyle w:val="26"/>
              <w:bidi w:val="0"/>
              <w:jc w:val="center"/>
            </w:pPr>
            <w:r>
              <w:t>泄漏</w:t>
            </w:r>
          </w:p>
        </w:tc>
        <w:tc>
          <w:tcPr>
            <w:tcW w:w="2012" w:type="pct"/>
            <w:vAlign w:val="center"/>
          </w:tcPr>
          <w:p w14:paraId="15A0C9C5">
            <w:pPr>
              <w:pStyle w:val="26"/>
              <w:bidi w:val="0"/>
              <w:jc w:val="center"/>
            </w:pPr>
            <w:r>
              <w:t>危险物质泄漏形成液池，通过蒸发污染大气环境；危险物质泄漏后通过地</w:t>
            </w:r>
            <w:r>
              <w:tab/>
            </w:r>
            <w:r>
              <w:t>面裂隙污染地下水和土壤</w:t>
            </w:r>
          </w:p>
        </w:tc>
        <w:tc>
          <w:tcPr>
            <w:tcW w:w="660" w:type="pct"/>
            <w:vAlign w:val="center"/>
          </w:tcPr>
          <w:p w14:paraId="468E9F73">
            <w:pPr>
              <w:pStyle w:val="26"/>
              <w:bidi w:val="0"/>
              <w:jc w:val="center"/>
            </w:pPr>
            <w:r>
              <w:t>大气、地下水、土</w:t>
            </w:r>
          </w:p>
          <w:p w14:paraId="50F05A1C">
            <w:pPr>
              <w:pStyle w:val="26"/>
              <w:bidi w:val="0"/>
              <w:jc w:val="center"/>
            </w:pPr>
            <w:r>
              <w:t>壤</w:t>
            </w:r>
          </w:p>
        </w:tc>
      </w:tr>
      <w:tr w14:paraId="27A8B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309" w:type="pct"/>
            <w:vMerge w:val="continue"/>
            <w:tcBorders>
              <w:top w:val="nil"/>
            </w:tcBorders>
            <w:vAlign w:val="center"/>
          </w:tcPr>
          <w:p w14:paraId="132E558F">
            <w:pPr>
              <w:pStyle w:val="26"/>
              <w:bidi w:val="0"/>
              <w:jc w:val="center"/>
            </w:pPr>
          </w:p>
        </w:tc>
        <w:tc>
          <w:tcPr>
            <w:tcW w:w="488" w:type="pct"/>
            <w:vMerge w:val="continue"/>
            <w:tcBorders>
              <w:top w:val="nil"/>
            </w:tcBorders>
            <w:vAlign w:val="center"/>
          </w:tcPr>
          <w:p w14:paraId="5C932965">
            <w:pPr>
              <w:pStyle w:val="26"/>
              <w:bidi w:val="0"/>
              <w:jc w:val="center"/>
            </w:pPr>
          </w:p>
        </w:tc>
        <w:tc>
          <w:tcPr>
            <w:tcW w:w="399" w:type="pct"/>
            <w:vMerge w:val="continue"/>
            <w:tcBorders>
              <w:top w:val="nil"/>
            </w:tcBorders>
            <w:vAlign w:val="center"/>
          </w:tcPr>
          <w:p w14:paraId="24BF97C5">
            <w:pPr>
              <w:pStyle w:val="26"/>
              <w:bidi w:val="0"/>
              <w:jc w:val="center"/>
            </w:pPr>
          </w:p>
        </w:tc>
        <w:tc>
          <w:tcPr>
            <w:tcW w:w="508" w:type="pct"/>
            <w:vMerge w:val="continue"/>
            <w:tcBorders>
              <w:top w:val="nil"/>
            </w:tcBorders>
            <w:vAlign w:val="center"/>
          </w:tcPr>
          <w:p w14:paraId="26E2D626">
            <w:pPr>
              <w:pStyle w:val="26"/>
              <w:bidi w:val="0"/>
              <w:jc w:val="center"/>
            </w:pPr>
          </w:p>
        </w:tc>
        <w:tc>
          <w:tcPr>
            <w:tcW w:w="620" w:type="pct"/>
            <w:vAlign w:val="center"/>
          </w:tcPr>
          <w:p w14:paraId="1E0B0ED8">
            <w:pPr>
              <w:pStyle w:val="26"/>
              <w:bidi w:val="0"/>
              <w:jc w:val="center"/>
            </w:pPr>
            <w:r>
              <w:t>火灾、爆炸引发伴生/次生污染物排</w:t>
            </w:r>
            <w:r>
              <w:tab/>
            </w:r>
            <w:r>
              <w:t>放</w:t>
            </w:r>
          </w:p>
        </w:tc>
        <w:tc>
          <w:tcPr>
            <w:tcW w:w="2012" w:type="pct"/>
            <w:vAlign w:val="center"/>
          </w:tcPr>
          <w:p w14:paraId="25C1E622">
            <w:pPr>
              <w:pStyle w:val="26"/>
              <w:bidi w:val="0"/>
              <w:jc w:val="center"/>
            </w:pPr>
            <w:r>
              <w:t>火灾、爆炸事故在高温下挥发释放至大气的未完全燃烧危险物质，以及在燃烧过程中产生的伴生/次生污染物排放污染大气环境；火灾时消防废水收集不当通过雨水管网污染周边地表水环境，同时可能通过地面裂隙污染</w:t>
            </w:r>
          </w:p>
          <w:p w14:paraId="22297EBC">
            <w:pPr>
              <w:pStyle w:val="26"/>
              <w:bidi w:val="0"/>
              <w:jc w:val="center"/>
            </w:pPr>
            <w:r>
              <w:t>地下水和土壤</w:t>
            </w:r>
          </w:p>
        </w:tc>
        <w:tc>
          <w:tcPr>
            <w:tcW w:w="660" w:type="pct"/>
            <w:vAlign w:val="center"/>
          </w:tcPr>
          <w:p w14:paraId="354A6A34">
            <w:pPr>
              <w:pStyle w:val="26"/>
              <w:bidi w:val="0"/>
              <w:jc w:val="center"/>
            </w:pPr>
            <w:r>
              <w:t>大气、地表水、地下水、土</w:t>
            </w:r>
            <w:r>
              <w:tab/>
            </w:r>
            <w:r>
              <w:t>壤</w:t>
            </w:r>
          </w:p>
        </w:tc>
      </w:tr>
      <w:tr w14:paraId="6C92A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309" w:type="pct"/>
            <w:vMerge w:val="restart"/>
            <w:tcBorders>
              <w:bottom w:val="nil"/>
            </w:tcBorders>
            <w:vAlign w:val="center"/>
          </w:tcPr>
          <w:p w14:paraId="17B074FF">
            <w:pPr>
              <w:pStyle w:val="26"/>
              <w:bidi w:val="0"/>
              <w:jc w:val="center"/>
            </w:pPr>
            <w:r>
              <w:t>2.</w:t>
            </w:r>
          </w:p>
        </w:tc>
        <w:tc>
          <w:tcPr>
            <w:tcW w:w="488" w:type="pct"/>
            <w:vMerge w:val="restart"/>
            <w:tcBorders>
              <w:bottom w:val="nil"/>
            </w:tcBorders>
            <w:vAlign w:val="center"/>
          </w:tcPr>
          <w:p w14:paraId="4A1A694C">
            <w:pPr>
              <w:pStyle w:val="26"/>
              <w:bidi w:val="0"/>
              <w:jc w:val="center"/>
            </w:pPr>
            <w:r>
              <w:t>化学品仓库</w:t>
            </w:r>
          </w:p>
        </w:tc>
        <w:tc>
          <w:tcPr>
            <w:tcW w:w="399" w:type="pct"/>
            <w:vMerge w:val="restart"/>
            <w:tcBorders>
              <w:bottom w:val="nil"/>
            </w:tcBorders>
            <w:vAlign w:val="center"/>
          </w:tcPr>
          <w:p w14:paraId="4092EF5D">
            <w:pPr>
              <w:pStyle w:val="26"/>
              <w:bidi w:val="0"/>
              <w:jc w:val="center"/>
            </w:pPr>
            <w:r>
              <w:t>化学物料</w:t>
            </w:r>
          </w:p>
        </w:tc>
        <w:tc>
          <w:tcPr>
            <w:tcW w:w="508" w:type="pct"/>
            <w:vMerge w:val="restart"/>
            <w:tcBorders>
              <w:bottom w:val="nil"/>
            </w:tcBorders>
            <w:vAlign w:val="center"/>
          </w:tcPr>
          <w:p w14:paraId="29F81B6A">
            <w:pPr>
              <w:pStyle w:val="26"/>
              <w:bidi w:val="0"/>
              <w:jc w:val="center"/>
            </w:pPr>
            <w:r>
              <w:t>、盐</w:t>
            </w:r>
          </w:p>
          <w:p w14:paraId="6AF2BA22">
            <w:pPr>
              <w:pStyle w:val="26"/>
              <w:bidi w:val="0"/>
              <w:jc w:val="center"/>
            </w:pPr>
            <w:r>
              <w:t>酸、硫</w:t>
            </w:r>
          </w:p>
          <w:p w14:paraId="56E899B5">
            <w:pPr>
              <w:pStyle w:val="26"/>
              <w:bidi w:val="0"/>
              <w:jc w:val="center"/>
            </w:pPr>
            <w:r>
              <w:t>酸、铬酐等</w:t>
            </w:r>
          </w:p>
        </w:tc>
        <w:tc>
          <w:tcPr>
            <w:tcW w:w="620" w:type="pct"/>
            <w:vAlign w:val="center"/>
          </w:tcPr>
          <w:p w14:paraId="2D424402">
            <w:pPr>
              <w:pStyle w:val="26"/>
              <w:bidi w:val="0"/>
              <w:jc w:val="center"/>
            </w:pPr>
            <w:r>
              <w:t>危险物质</w:t>
            </w:r>
          </w:p>
          <w:p w14:paraId="3A789A12">
            <w:pPr>
              <w:pStyle w:val="26"/>
              <w:bidi w:val="0"/>
              <w:jc w:val="center"/>
            </w:pPr>
            <w:r>
              <w:t>泄漏</w:t>
            </w:r>
          </w:p>
        </w:tc>
        <w:tc>
          <w:tcPr>
            <w:tcW w:w="2012" w:type="pct"/>
            <w:vAlign w:val="center"/>
          </w:tcPr>
          <w:p w14:paraId="24AA4B86">
            <w:pPr>
              <w:pStyle w:val="26"/>
              <w:bidi w:val="0"/>
              <w:jc w:val="center"/>
            </w:pPr>
            <w:r>
              <w:t>危险物质泄漏形成液池，通过蒸发污染大气环境；危险物质泄漏后通过地</w:t>
            </w:r>
            <w:r>
              <w:tab/>
            </w:r>
            <w:r>
              <w:t>面裂隙污染地下水和土壤</w:t>
            </w:r>
          </w:p>
        </w:tc>
        <w:tc>
          <w:tcPr>
            <w:tcW w:w="660" w:type="pct"/>
            <w:vAlign w:val="center"/>
          </w:tcPr>
          <w:p w14:paraId="145CE21E">
            <w:pPr>
              <w:pStyle w:val="26"/>
              <w:bidi w:val="0"/>
              <w:jc w:val="center"/>
            </w:pPr>
            <w:r>
              <w:t>大气、地下水、土</w:t>
            </w:r>
          </w:p>
          <w:p w14:paraId="7279ECA3">
            <w:pPr>
              <w:pStyle w:val="26"/>
              <w:bidi w:val="0"/>
              <w:jc w:val="center"/>
            </w:pPr>
            <w:r>
              <w:t>壤</w:t>
            </w:r>
          </w:p>
        </w:tc>
      </w:tr>
      <w:tr w14:paraId="4335F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5" w:hRule="atLeast"/>
        </w:trPr>
        <w:tc>
          <w:tcPr>
            <w:tcW w:w="309" w:type="pct"/>
            <w:vMerge w:val="continue"/>
            <w:tcBorders>
              <w:top w:val="nil"/>
            </w:tcBorders>
            <w:vAlign w:val="center"/>
          </w:tcPr>
          <w:p w14:paraId="28498134">
            <w:pPr>
              <w:pStyle w:val="26"/>
              <w:bidi w:val="0"/>
              <w:jc w:val="center"/>
            </w:pPr>
          </w:p>
        </w:tc>
        <w:tc>
          <w:tcPr>
            <w:tcW w:w="488" w:type="pct"/>
            <w:vMerge w:val="continue"/>
            <w:tcBorders>
              <w:top w:val="nil"/>
            </w:tcBorders>
            <w:vAlign w:val="center"/>
          </w:tcPr>
          <w:p w14:paraId="0968DE15">
            <w:pPr>
              <w:pStyle w:val="26"/>
              <w:bidi w:val="0"/>
              <w:jc w:val="center"/>
            </w:pPr>
          </w:p>
        </w:tc>
        <w:tc>
          <w:tcPr>
            <w:tcW w:w="399" w:type="pct"/>
            <w:vMerge w:val="continue"/>
            <w:tcBorders>
              <w:top w:val="nil"/>
            </w:tcBorders>
            <w:vAlign w:val="center"/>
          </w:tcPr>
          <w:p w14:paraId="7680E44E">
            <w:pPr>
              <w:pStyle w:val="26"/>
              <w:bidi w:val="0"/>
              <w:jc w:val="center"/>
            </w:pPr>
          </w:p>
        </w:tc>
        <w:tc>
          <w:tcPr>
            <w:tcW w:w="508" w:type="pct"/>
            <w:vMerge w:val="continue"/>
            <w:tcBorders>
              <w:top w:val="nil"/>
            </w:tcBorders>
            <w:vAlign w:val="center"/>
          </w:tcPr>
          <w:p w14:paraId="736EFC12">
            <w:pPr>
              <w:pStyle w:val="26"/>
              <w:bidi w:val="0"/>
              <w:jc w:val="center"/>
            </w:pPr>
          </w:p>
        </w:tc>
        <w:tc>
          <w:tcPr>
            <w:tcW w:w="620" w:type="pct"/>
            <w:vAlign w:val="center"/>
          </w:tcPr>
          <w:p w14:paraId="02EB364D">
            <w:pPr>
              <w:pStyle w:val="26"/>
              <w:bidi w:val="0"/>
              <w:jc w:val="center"/>
            </w:pPr>
            <w:r>
              <w:t>火灾、爆炸引发伴生/次生污染物排</w:t>
            </w:r>
            <w:r>
              <w:tab/>
            </w:r>
            <w:r>
              <w:t>放</w:t>
            </w:r>
          </w:p>
        </w:tc>
        <w:tc>
          <w:tcPr>
            <w:tcW w:w="2012" w:type="pct"/>
            <w:vAlign w:val="center"/>
          </w:tcPr>
          <w:p w14:paraId="7F840E96">
            <w:pPr>
              <w:pStyle w:val="26"/>
              <w:bidi w:val="0"/>
              <w:jc w:val="center"/>
            </w:pPr>
            <w:r>
              <w:t>火灾、爆炸事故在高温下挥发释放至大气的未完全燃烧危险物质， 以及在燃烧过程中产生的伴生/次生污染物排放污染大气环境；火灾时消防废水收集不当通过雨水管网污染周边地表水环境， 同时可能通过地面裂隙污染地下水和土壤</w:t>
            </w:r>
          </w:p>
        </w:tc>
        <w:tc>
          <w:tcPr>
            <w:tcW w:w="660" w:type="pct"/>
            <w:vAlign w:val="center"/>
          </w:tcPr>
          <w:p w14:paraId="17FFD4BA">
            <w:pPr>
              <w:pStyle w:val="26"/>
              <w:bidi w:val="0"/>
              <w:jc w:val="center"/>
            </w:pPr>
            <w:r>
              <w:t>大气、地表水、地下水、土</w:t>
            </w:r>
            <w:r>
              <w:tab/>
            </w:r>
            <w:r>
              <w:t>壤</w:t>
            </w:r>
          </w:p>
        </w:tc>
      </w:tr>
      <w:tr w14:paraId="05132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309" w:type="pct"/>
            <w:vMerge w:val="restart"/>
            <w:tcBorders>
              <w:bottom w:val="nil"/>
            </w:tcBorders>
            <w:vAlign w:val="center"/>
          </w:tcPr>
          <w:p w14:paraId="5AC42F74">
            <w:pPr>
              <w:pStyle w:val="26"/>
              <w:bidi w:val="0"/>
              <w:jc w:val="center"/>
            </w:pPr>
            <w:r>
              <w:t>3.</w:t>
            </w:r>
          </w:p>
        </w:tc>
        <w:tc>
          <w:tcPr>
            <w:tcW w:w="488" w:type="pct"/>
            <w:vMerge w:val="restart"/>
            <w:tcBorders>
              <w:bottom w:val="nil"/>
            </w:tcBorders>
            <w:vAlign w:val="center"/>
          </w:tcPr>
          <w:p w14:paraId="38085CD9">
            <w:pPr>
              <w:pStyle w:val="26"/>
              <w:bidi w:val="0"/>
              <w:jc w:val="center"/>
            </w:pPr>
            <w:r>
              <w:t>废气处理区域</w:t>
            </w:r>
          </w:p>
        </w:tc>
        <w:tc>
          <w:tcPr>
            <w:tcW w:w="399" w:type="pct"/>
            <w:vMerge w:val="restart"/>
            <w:tcBorders>
              <w:bottom w:val="nil"/>
            </w:tcBorders>
            <w:vAlign w:val="center"/>
          </w:tcPr>
          <w:p w14:paraId="0BB41FFF">
            <w:pPr>
              <w:pStyle w:val="26"/>
              <w:bidi w:val="0"/>
              <w:jc w:val="center"/>
            </w:pPr>
            <w:r>
              <w:t>喷淋塔、活性炭吸</w:t>
            </w:r>
          </w:p>
        </w:tc>
        <w:tc>
          <w:tcPr>
            <w:tcW w:w="508" w:type="pct"/>
            <w:vMerge w:val="restart"/>
            <w:tcBorders>
              <w:bottom w:val="nil"/>
            </w:tcBorders>
            <w:vAlign w:val="center"/>
          </w:tcPr>
          <w:p w14:paraId="5769334D">
            <w:pPr>
              <w:pStyle w:val="26"/>
              <w:bidi w:val="0"/>
              <w:jc w:val="center"/>
            </w:pPr>
            <w:r>
              <w:t>碱液</w:t>
            </w:r>
          </w:p>
          <w:p w14:paraId="5314CD7F">
            <w:pPr>
              <w:pStyle w:val="26"/>
              <w:bidi w:val="0"/>
              <w:jc w:val="center"/>
            </w:pPr>
            <w:r>
              <w:t>（氢氧</w:t>
            </w:r>
          </w:p>
          <w:p w14:paraId="43E21F06">
            <w:pPr>
              <w:pStyle w:val="26"/>
              <w:bidi w:val="0"/>
              <w:jc w:val="center"/>
            </w:pPr>
            <w:r>
              <w:t>化钠）、</w:t>
            </w:r>
          </w:p>
        </w:tc>
        <w:tc>
          <w:tcPr>
            <w:tcW w:w="620" w:type="pct"/>
            <w:vAlign w:val="center"/>
          </w:tcPr>
          <w:p w14:paraId="78E4143E">
            <w:pPr>
              <w:pStyle w:val="26"/>
              <w:bidi w:val="0"/>
              <w:jc w:val="center"/>
            </w:pPr>
            <w:r>
              <w:t>废气处理装置不正常运行</w:t>
            </w:r>
          </w:p>
        </w:tc>
        <w:tc>
          <w:tcPr>
            <w:tcW w:w="2012" w:type="pct"/>
            <w:vAlign w:val="center"/>
          </w:tcPr>
          <w:p w14:paraId="1A26697D">
            <w:pPr>
              <w:pStyle w:val="26"/>
              <w:bidi w:val="0"/>
              <w:jc w:val="center"/>
            </w:pPr>
            <w:r>
              <w:t>废气超标排放影响</w:t>
            </w:r>
          </w:p>
        </w:tc>
        <w:tc>
          <w:tcPr>
            <w:tcW w:w="660" w:type="pct"/>
            <w:vAlign w:val="center"/>
          </w:tcPr>
          <w:p w14:paraId="4F2C77F7">
            <w:pPr>
              <w:pStyle w:val="26"/>
              <w:bidi w:val="0"/>
              <w:jc w:val="center"/>
            </w:pPr>
            <w:r>
              <w:t>大气</w:t>
            </w:r>
          </w:p>
        </w:tc>
      </w:tr>
      <w:tr w14:paraId="21558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09" w:type="pct"/>
            <w:vMerge w:val="continue"/>
            <w:tcBorders>
              <w:top w:val="nil"/>
            </w:tcBorders>
            <w:vAlign w:val="center"/>
          </w:tcPr>
          <w:p w14:paraId="00BE7957">
            <w:pPr>
              <w:pStyle w:val="26"/>
              <w:bidi w:val="0"/>
              <w:jc w:val="center"/>
            </w:pPr>
          </w:p>
        </w:tc>
        <w:tc>
          <w:tcPr>
            <w:tcW w:w="488" w:type="pct"/>
            <w:vMerge w:val="continue"/>
            <w:tcBorders>
              <w:top w:val="nil"/>
            </w:tcBorders>
            <w:vAlign w:val="center"/>
          </w:tcPr>
          <w:p w14:paraId="043E833B">
            <w:pPr>
              <w:pStyle w:val="26"/>
              <w:bidi w:val="0"/>
              <w:jc w:val="center"/>
            </w:pPr>
          </w:p>
        </w:tc>
        <w:tc>
          <w:tcPr>
            <w:tcW w:w="399" w:type="pct"/>
            <w:vMerge w:val="continue"/>
            <w:tcBorders>
              <w:top w:val="nil"/>
            </w:tcBorders>
            <w:vAlign w:val="center"/>
          </w:tcPr>
          <w:p w14:paraId="4B5EC49D">
            <w:pPr>
              <w:pStyle w:val="26"/>
              <w:bidi w:val="0"/>
              <w:jc w:val="center"/>
            </w:pPr>
          </w:p>
        </w:tc>
        <w:tc>
          <w:tcPr>
            <w:tcW w:w="508" w:type="pct"/>
            <w:vMerge w:val="continue"/>
            <w:tcBorders>
              <w:top w:val="nil"/>
            </w:tcBorders>
            <w:vAlign w:val="center"/>
          </w:tcPr>
          <w:p w14:paraId="733FBD1B">
            <w:pPr>
              <w:pStyle w:val="26"/>
              <w:bidi w:val="0"/>
              <w:jc w:val="center"/>
            </w:pPr>
          </w:p>
        </w:tc>
        <w:tc>
          <w:tcPr>
            <w:tcW w:w="620" w:type="pct"/>
            <w:vAlign w:val="center"/>
          </w:tcPr>
          <w:p w14:paraId="45A0D197">
            <w:pPr>
              <w:pStyle w:val="26"/>
              <w:bidi w:val="0"/>
              <w:jc w:val="center"/>
            </w:pPr>
            <w:r>
              <w:t>危险物质</w:t>
            </w:r>
          </w:p>
        </w:tc>
        <w:tc>
          <w:tcPr>
            <w:tcW w:w="2012" w:type="pct"/>
            <w:vAlign w:val="center"/>
          </w:tcPr>
          <w:p w14:paraId="2A0F4445">
            <w:pPr>
              <w:pStyle w:val="26"/>
              <w:bidi w:val="0"/>
              <w:jc w:val="center"/>
            </w:pPr>
            <w:r>
              <w:t>危险物质泄漏形成液池，通过蒸发污</w:t>
            </w:r>
          </w:p>
        </w:tc>
        <w:tc>
          <w:tcPr>
            <w:tcW w:w="660" w:type="pct"/>
            <w:vAlign w:val="center"/>
          </w:tcPr>
          <w:p w14:paraId="544C5072">
            <w:pPr>
              <w:pStyle w:val="26"/>
              <w:bidi w:val="0"/>
              <w:jc w:val="center"/>
            </w:pPr>
            <w:r>
              <w:t>大气、地</w:t>
            </w:r>
          </w:p>
        </w:tc>
      </w:tr>
    </w:tbl>
    <w:p w14:paraId="00F01FD3">
      <w:pPr>
        <w:pStyle w:val="26"/>
        <w:bidi w:val="0"/>
        <w:rPr>
          <w:color w:val="auto"/>
        </w:rPr>
      </w:pPr>
    </w:p>
    <w:p w14:paraId="137C4B46">
      <w:pPr>
        <w:pStyle w:val="3"/>
        <w:bidi w:val="0"/>
        <w:rPr>
          <w:color w:val="auto"/>
        </w:rPr>
      </w:pPr>
      <w:bookmarkStart w:id="219" w:name="_Toc18630"/>
      <w:bookmarkStart w:id="220" w:name="_Toc10016"/>
      <w:r>
        <w:rPr>
          <w:rFonts w:hint="eastAsia"/>
          <w:color w:val="auto"/>
          <w:lang w:val="en-US" w:eastAsia="zh-CN"/>
        </w:rPr>
        <w:t>清洁生产分析</w:t>
      </w:r>
      <w:bookmarkEnd w:id="219"/>
      <w:bookmarkEnd w:id="220"/>
    </w:p>
    <w:p w14:paraId="2B884DF2">
      <w:pPr>
        <w:rPr>
          <w:rFonts w:hint="eastAsia"/>
          <w:color w:val="auto"/>
          <w:lang w:val="en-US" w:eastAsia="zh-CN"/>
        </w:rPr>
      </w:pPr>
      <w:r>
        <w:rPr>
          <w:rFonts w:hint="eastAsia"/>
          <w:color w:val="auto"/>
          <w:lang w:val="en-US" w:eastAsia="zh-CN"/>
        </w:rPr>
        <w:t>（1）清洁生产目的</w:t>
      </w:r>
    </w:p>
    <w:p w14:paraId="6B45463F">
      <w:pPr>
        <w:rPr>
          <w:rFonts w:hint="eastAsia"/>
          <w:color w:val="auto"/>
          <w:lang w:val="en-US" w:eastAsia="zh-CN"/>
        </w:rPr>
      </w:pPr>
      <w:r>
        <w:rPr>
          <w:rFonts w:hint="eastAsia"/>
          <w:color w:val="auto"/>
          <w:lang w:val="en-US" w:eastAsia="zh-CN"/>
        </w:rPr>
        <w:t>清洁生产是指将整体预防的环境战略持续应用于生产过程、产品和服务中，以期增加生态效率并减少对人类和环境的风险。清洁生产的目的就是通过采用先进的生产技术、工艺设备以及清洁原料，在生产过程中实现节省能源，降低原材料消耗，从源头控制污染物产生量并降低末端污染控制投资和运行费用，实现污染物排放的全过程控制，有效地减少污染物排放量。采用清洁生产可最大限度地利用资源、能源，使原材料最大限度地转化为产品，把污染消除在生产过程中，以达到保护自然资源和环境的目的。</w:t>
      </w:r>
    </w:p>
    <w:p w14:paraId="7071023F">
      <w:pPr>
        <w:rPr>
          <w:rFonts w:hint="eastAsia"/>
          <w:color w:val="auto"/>
          <w:lang w:val="en-US" w:eastAsia="zh-CN"/>
        </w:rPr>
      </w:pPr>
      <w:r>
        <w:rPr>
          <w:rFonts w:hint="eastAsia"/>
          <w:color w:val="auto"/>
          <w:lang w:val="en-US" w:eastAsia="zh-CN"/>
        </w:rPr>
        <w:t>（2）生产工艺和设备的先进性</w:t>
      </w:r>
    </w:p>
    <w:p w14:paraId="566189B3">
      <w:pPr>
        <w:rPr>
          <w:rFonts w:hint="eastAsia"/>
          <w:color w:val="auto"/>
          <w:lang w:val="en-US" w:eastAsia="zh-CN"/>
        </w:rPr>
      </w:pPr>
      <w:r>
        <w:rPr>
          <w:rFonts w:hint="eastAsia"/>
          <w:color w:val="auto"/>
          <w:lang w:val="en-US" w:eastAsia="zh-CN"/>
        </w:rPr>
        <w:t>本项目采用了先进、可靠的工艺和流水线作业，技术水平与产品质量都与国内同步，生产线采用自动流水线作业；清洗过程中提高水的重复利用率，减少废水中污染物产生量，生产废水全部回用不外排。</w:t>
      </w:r>
    </w:p>
    <w:p w14:paraId="0EE8CCEA">
      <w:pPr>
        <w:rPr>
          <w:rFonts w:hint="eastAsia"/>
          <w:color w:val="auto"/>
          <w:lang w:val="en-US" w:eastAsia="zh-CN"/>
        </w:rPr>
      </w:pPr>
      <w:r>
        <w:rPr>
          <w:rFonts w:hint="eastAsia"/>
          <w:color w:val="auto"/>
          <w:lang w:val="en-US" w:eastAsia="zh-CN"/>
        </w:rPr>
        <w:t>同时，设备自动化控制程度较高，技术性能较好，运转时能耗低、噪音较小。各工序设备选型、配套合理，运行经济可靠。劳动生产率、生产出的产品精度和成品合格率较高，废品少，返工少，污染物排放也相应较少。</w:t>
      </w:r>
    </w:p>
    <w:p w14:paraId="5C1C6963">
      <w:pPr>
        <w:rPr>
          <w:rFonts w:hint="eastAsia"/>
          <w:color w:val="auto"/>
          <w:lang w:val="en-US" w:eastAsia="zh-CN"/>
        </w:rPr>
      </w:pPr>
      <w:r>
        <w:rPr>
          <w:rFonts w:hint="eastAsia"/>
          <w:color w:val="auto"/>
          <w:lang w:val="en-US" w:eastAsia="zh-CN"/>
        </w:rPr>
        <w:t>（3）生产管理先进性分析</w:t>
      </w:r>
    </w:p>
    <w:p w14:paraId="56BA62C8">
      <w:pPr>
        <w:rPr>
          <w:rFonts w:hint="eastAsia"/>
          <w:color w:val="auto"/>
          <w:lang w:val="en-US" w:eastAsia="zh-CN"/>
        </w:rPr>
      </w:pPr>
      <w:r>
        <w:rPr>
          <w:rFonts w:hint="eastAsia"/>
          <w:color w:val="auto"/>
          <w:lang w:val="en-US" w:eastAsia="zh-CN"/>
        </w:rPr>
        <w:t>对设备进行定期维修，减少物料流失和节能降耗。定期检查，校正各种台称、天平等仪器的精度，保证投入化学试剂最优化，防止投加量过大。项目工艺生产过程自动控制，生产过程的原辅料基本不流失，二次污染产生少，同时优化资源配置，合理配方，精确配料、投料。</w:t>
      </w:r>
    </w:p>
    <w:p w14:paraId="15282EDC">
      <w:pPr>
        <w:rPr>
          <w:rFonts w:hint="eastAsia"/>
          <w:color w:val="auto"/>
          <w:lang w:val="en-US" w:eastAsia="zh-CN"/>
        </w:rPr>
      </w:pPr>
      <w:r>
        <w:rPr>
          <w:rFonts w:hint="eastAsia"/>
          <w:color w:val="auto"/>
          <w:lang w:val="en-US" w:eastAsia="zh-CN"/>
        </w:rPr>
        <w:t>加强各种原辅材料在厂区内的管理，减少其在储存过程中的污染，减轻相应处理负荷；对产生的废原辅料、边角料、不合格品产品等生产固废分类收集、委外处理。</w:t>
      </w:r>
    </w:p>
    <w:p w14:paraId="0B7FDD2D">
      <w:pPr>
        <w:rPr>
          <w:rFonts w:hint="eastAsia"/>
          <w:color w:val="auto"/>
          <w:lang w:val="en-US" w:eastAsia="zh-CN"/>
        </w:rPr>
      </w:pPr>
      <w:r>
        <w:rPr>
          <w:rFonts w:hint="eastAsia"/>
          <w:color w:val="auto"/>
          <w:lang w:val="en-US" w:eastAsia="zh-CN"/>
        </w:rPr>
        <w:t>（4）节能降耗和节水措施</w:t>
      </w:r>
    </w:p>
    <w:p w14:paraId="246E3A2C">
      <w:pPr>
        <w:rPr>
          <w:rFonts w:hint="eastAsia"/>
          <w:color w:val="auto"/>
          <w:lang w:val="en-US" w:eastAsia="zh-CN"/>
        </w:rPr>
      </w:pPr>
      <w:r>
        <w:rPr>
          <w:rFonts w:hint="eastAsia"/>
          <w:color w:val="auto"/>
          <w:lang w:val="en-US" w:eastAsia="zh-CN"/>
        </w:rPr>
        <w:t>本项目采取的主要节能措施和节水措施有：</w:t>
      </w:r>
    </w:p>
    <w:p w14:paraId="09E395E6">
      <w:pPr>
        <w:rPr>
          <w:rFonts w:hint="eastAsia"/>
          <w:color w:val="auto"/>
          <w:lang w:val="en-US" w:eastAsia="zh-CN"/>
        </w:rPr>
      </w:pPr>
      <w:r>
        <w:rPr>
          <w:rFonts w:hint="eastAsia"/>
          <w:color w:val="auto"/>
          <w:lang w:val="en-US" w:eastAsia="zh-CN"/>
        </w:rPr>
        <w:t>①采用低能耗空调机组，设置冷热量自动调节装置，尽量降低空调用电。选用合理的管道保温结构和优质保温材料，降低热量损耗。</w:t>
      </w:r>
    </w:p>
    <w:p w14:paraId="081F2801">
      <w:pPr>
        <w:rPr>
          <w:rFonts w:hint="eastAsia"/>
          <w:color w:val="auto"/>
          <w:lang w:val="en-US" w:eastAsia="zh-CN"/>
        </w:rPr>
      </w:pPr>
      <w:r>
        <w:rPr>
          <w:rFonts w:hint="eastAsia"/>
          <w:color w:val="auto"/>
          <w:lang w:val="en-US" w:eastAsia="zh-CN"/>
        </w:rPr>
        <w:t>②在设备选用上采用高效、低能耗生产线，尽可能选用国家批准的节能产品，如水泵、电机、风机等，以增加设备使用寿命和节省能耗。</w:t>
      </w:r>
    </w:p>
    <w:p w14:paraId="63F12FF9">
      <w:pPr>
        <w:rPr>
          <w:rFonts w:hint="eastAsia"/>
          <w:color w:val="auto"/>
          <w:lang w:val="en-US" w:eastAsia="zh-CN"/>
        </w:rPr>
      </w:pPr>
      <w:r>
        <w:rPr>
          <w:rFonts w:hint="eastAsia"/>
          <w:color w:val="auto"/>
          <w:lang w:val="en-US" w:eastAsia="zh-CN"/>
        </w:rPr>
        <w:t>③供电设备采用电容补偿，使功率因素大于 0.9 ，减少无功损耗。</w:t>
      </w:r>
    </w:p>
    <w:p w14:paraId="33906D89">
      <w:pPr>
        <w:rPr>
          <w:rFonts w:hint="eastAsia"/>
          <w:color w:val="auto"/>
          <w:lang w:val="en-US" w:eastAsia="zh-CN"/>
        </w:rPr>
      </w:pPr>
      <w:r>
        <w:rPr>
          <w:rFonts w:hint="eastAsia"/>
          <w:color w:val="auto"/>
          <w:lang w:val="en-US" w:eastAsia="zh-CN"/>
        </w:rPr>
        <w:t>④水、电、气计量器具配齐，项目建成后，正式生产时，按工序对产品进行能耗标定，制定合理的能耗指标，建立消耗台账，由专人负责，建立奖惩制度，加强能源核算，强化节能意识，减少能源消耗。</w:t>
      </w:r>
    </w:p>
    <w:p w14:paraId="321A3F2F">
      <w:pPr>
        <w:rPr>
          <w:rFonts w:hint="eastAsia"/>
          <w:color w:val="auto"/>
          <w:lang w:val="en-US" w:eastAsia="zh-CN"/>
        </w:rPr>
      </w:pPr>
      <w:r>
        <w:rPr>
          <w:rFonts w:hint="eastAsia"/>
          <w:color w:val="auto"/>
          <w:lang w:val="en-US" w:eastAsia="zh-CN"/>
        </w:rPr>
        <w:t>⑤通过提高清洗水梯级利用水平等措施，提高生产用水重复利用率水平。</w:t>
      </w:r>
    </w:p>
    <w:p w14:paraId="75F958DE">
      <w:pPr>
        <w:rPr>
          <w:rFonts w:hint="eastAsia"/>
          <w:color w:val="auto"/>
          <w:lang w:val="en-US" w:eastAsia="zh-CN"/>
        </w:rPr>
      </w:pPr>
      <w:r>
        <w:rPr>
          <w:rFonts w:hint="eastAsia"/>
          <w:color w:val="auto"/>
          <w:lang w:val="en-US" w:eastAsia="zh-CN"/>
        </w:rPr>
        <w:t>（5）废物治理和回收指标</w:t>
      </w:r>
    </w:p>
    <w:p w14:paraId="3AA84D75">
      <w:pPr>
        <w:rPr>
          <w:rFonts w:hint="eastAsia"/>
          <w:color w:val="auto"/>
          <w:lang w:val="en-US" w:eastAsia="zh-CN"/>
        </w:rPr>
      </w:pPr>
      <w:r>
        <w:rPr>
          <w:rFonts w:hint="eastAsia"/>
          <w:color w:val="auto"/>
          <w:lang w:val="en-US" w:eastAsia="zh-CN"/>
        </w:rPr>
        <w:t>由于建设项目的生产性质决定，产生的多种废物无法进行厂内直接回收，但是在采取一系列的控制措施后，不仅能有效控制各类污染物的排放量，同时实现废物在其他生产厂家的循环再生和回收使用。</w:t>
      </w:r>
    </w:p>
    <w:p w14:paraId="099E3AF6">
      <w:pPr>
        <w:rPr>
          <w:rFonts w:hint="eastAsia"/>
          <w:color w:val="auto"/>
          <w:lang w:val="en-US" w:eastAsia="zh-CN"/>
        </w:rPr>
      </w:pPr>
      <w:r>
        <w:rPr>
          <w:rFonts w:hint="eastAsia"/>
          <w:color w:val="auto"/>
          <w:lang w:val="en-US" w:eastAsia="zh-CN"/>
        </w:rPr>
        <w:t>①建设项目产生的污泥、废液等危险废物均将委托有资质的危废处置单位进行处置；不合格产品、废包装等回收利用。</w:t>
      </w:r>
    </w:p>
    <w:p w14:paraId="5FCCA6B9">
      <w:pPr>
        <w:rPr>
          <w:rFonts w:hint="eastAsia"/>
          <w:color w:val="auto"/>
          <w:lang w:val="en-US" w:eastAsia="zh-CN"/>
        </w:rPr>
      </w:pPr>
      <w:r>
        <w:rPr>
          <w:rFonts w:hint="eastAsia"/>
          <w:color w:val="auto"/>
          <w:lang w:val="en-US" w:eastAsia="zh-CN"/>
        </w:rPr>
        <w:t>②强化了气态污染物处理。本项目产生的酸性废气经碱喷淋塔处理后通过排气筒达标排放。减轻了建设项目产生的废气对区域内大气环境的污染。</w:t>
      </w:r>
    </w:p>
    <w:p w14:paraId="0B5A4685">
      <w:pPr>
        <w:rPr>
          <w:rFonts w:hint="eastAsia"/>
          <w:color w:val="auto"/>
          <w:lang w:val="en-US" w:eastAsia="zh-CN"/>
        </w:rPr>
      </w:pPr>
      <w:r>
        <w:rPr>
          <w:rFonts w:hint="eastAsia"/>
          <w:color w:val="auto"/>
          <w:lang w:val="en-US" w:eastAsia="zh-CN"/>
        </w:rPr>
        <w:t>（6）清洁生产评价指标体系评价</w:t>
      </w:r>
    </w:p>
    <w:p w14:paraId="375A337B">
      <w:pPr>
        <w:rPr>
          <w:rFonts w:hint="eastAsia"/>
          <w:color w:val="auto"/>
          <w:lang w:val="en-US" w:eastAsia="zh-CN"/>
        </w:rPr>
      </w:pPr>
      <w:r>
        <w:rPr>
          <w:rFonts w:hint="eastAsia"/>
          <w:color w:val="auto"/>
          <w:lang w:val="en-US" w:eastAsia="zh-CN"/>
        </w:rPr>
        <w:t>对照《电镀行业清洁生产评价指标体系》（DB32/T 5379-2026），本项目清洁生产水平达到了国内清洁生产先进水平。</w:t>
      </w:r>
    </w:p>
    <w:p w14:paraId="3D48CAE1">
      <w:pPr>
        <w:bidi w:val="0"/>
        <w:rPr>
          <w:rFonts w:hint="eastAsia"/>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D25005C">
      <w:pPr>
        <w:pStyle w:val="2"/>
        <w:rPr>
          <w:color w:val="auto"/>
        </w:rPr>
      </w:pPr>
      <w:bookmarkStart w:id="221" w:name="_Toc8880"/>
      <w:bookmarkStart w:id="222" w:name="_Toc23421"/>
      <w:r>
        <w:rPr>
          <w:rFonts w:hint="eastAsia"/>
          <w:color w:val="auto"/>
        </w:rPr>
        <w:t>环境现状调查与评价</w:t>
      </w:r>
      <w:bookmarkEnd w:id="221"/>
      <w:bookmarkEnd w:id="222"/>
    </w:p>
    <w:p w14:paraId="4C216B33">
      <w:pPr>
        <w:pStyle w:val="3"/>
        <w:bidi w:val="0"/>
        <w:rPr>
          <w:color w:val="auto"/>
          <w:lang w:val="en-US" w:eastAsia="zh-CN"/>
        </w:rPr>
      </w:pPr>
      <w:bookmarkStart w:id="223" w:name="_Toc32402"/>
      <w:bookmarkStart w:id="224" w:name="_Toc7174"/>
      <w:r>
        <w:rPr>
          <w:rFonts w:hint="eastAsia"/>
          <w:color w:val="auto"/>
          <w:lang w:val="en-US" w:eastAsia="zh-CN"/>
        </w:rPr>
        <w:t>自然环境现状调查与评价</w:t>
      </w:r>
      <w:bookmarkEnd w:id="223"/>
      <w:bookmarkEnd w:id="224"/>
    </w:p>
    <w:p w14:paraId="14533054">
      <w:pPr>
        <w:pStyle w:val="4"/>
        <w:bidi w:val="0"/>
        <w:rPr>
          <w:color w:val="auto"/>
          <w:lang w:val="en-US" w:eastAsia="zh-CN"/>
        </w:rPr>
      </w:pPr>
      <w:bookmarkStart w:id="225" w:name="_Toc17771"/>
      <w:bookmarkStart w:id="226" w:name="_Toc25469"/>
      <w:r>
        <w:rPr>
          <w:rFonts w:hint="eastAsia"/>
          <w:color w:val="auto"/>
          <w:lang w:val="en-US" w:eastAsia="zh-CN"/>
        </w:rPr>
        <w:t>地理位置</w:t>
      </w:r>
      <w:bookmarkEnd w:id="225"/>
      <w:bookmarkEnd w:id="226"/>
    </w:p>
    <w:p w14:paraId="0154F9E7">
      <w:pPr>
        <w:rPr>
          <w:rFonts w:ascii="Times New Roman" w:hAnsi="Times New Roman"/>
          <w:color w:val="auto"/>
        </w:rPr>
      </w:pPr>
      <w:r>
        <w:rPr>
          <w:rFonts w:hint="eastAsia" w:ascii="Times New Roman" w:hAnsi="Times New Roman"/>
          <w:color w:val="auto"/>
        </w:rPr>
        <w:t>本项目</w:t>
      </w:r>
      <w:r>
        <w:rPr>
          <w:rFonts w:hint="eastAsia"/>
          <w:color w:val="auto"/>
          <w:lang w:eastAsia="zh-CN"/>
        </w:rPr>
        <w:t>位于</w:t>
      </w:r>
      <w:r>
        <w:rPr>
          <w:rFonts w:hint="eastAsia" w:ascii="Times New Roman" w:hAnsi="Times New Roman"/>
          <w:color w:val="auto"/>
          <w:lang w:eastAsia="zh-CN"/>
        </w:rPr>
        <w:t>苏州</w:t>
      </w:r>
      <w:r>
        <w:rPr>
          <w:rFonts w:hint="eastAsia"/>
          <w:color w:val="auto"/>
          <w:lang w:val="en-US" w:eastAsia="zh-CN"/>
        </w:rPr>
        <w:t>昆山市花桥镇逢善路358号</w:t>
      </w:r>
      <w:r>
        <w:rPr>
          <w:rFonts w:hint="eastAsia" w:ascii="Times New Roman" w:hAnsi="Times New Roman"/>
          <w:color w:val="auto"/>
        </w:rPr>
        <w:t>。项目地理位置图见附图1。</w:t>
      </w:r>
    </w:p>
    <w:p w14:paraId="637308F7">
      <w:pPr>
        <w:rPr>
          <w:rFonts w:hint="eastAsia" w:ascii="Times New Roman" w:hAnsi="Times New Roman"/>
          <w:color w:val="auto"/>
        </w:rPr>
      </w:pPr>
      <w:r>
        <w:rPr>
          <w:rFonts w:hint="eastAsia" w:ascii="Times New Roman" w:hAnsi="Times New Roman"/>
          <w:color w:val="auto"/>
        </w:rPr>
        <w:t>昆山地处中国经济最发达的长江三角洲，是上海经济圈中一个重要的新兴工商城市，历史悠久，物产丰饶，素有“江南鱼米之乡”美称。</w:t>
      </w:r>
    </w:p>
    <w:p w14:paraId="7DB6E1C0">
      <w:pPr>
        <w:rPr>
          <w:rFonts w:hint="eastAsia" w:ascii="Times New Roman" w:hAnsi="Times New Roman"/>
          <w:color w:val="auto"/>
        </w:rPr>
      </w:pPr>
      <w:r>
        <w:rPr>
          <w:rFonts w:hint="eastAsia" w:ascii="Times New Roman" w:hAnsi="Times New Roman"/>
          <w:color w:val="auto"/>
        </w:rPr>
        <w:t>昆山位于东经120°48′21″～121°09′04″、北纬31°06′34″～31°32′36″，处江苏省东南部、上海与苏州之间。北至东北与常熟、太仓两市相连，南至东南与上海嘉定、青浦两区接壤，西与吴江、苏州交界。东西最大直线距离33km，南北48公里，总面积931km2，其中超过24%是水面。</w:t>
      </w:r>
    </w:p>
    <w:p w14:paraId="2D40BA3B">
      <w:pPr>
        <w:rPr>
          <w:rFonts w:ascii="Times New Roman" w:hAnsi="Times New Roman"/>
          <w:color w:val="auto"/>
        </w:rPr>
      </w:pPr>
      <w:r>
        <w:rPr>
          <w:rFonts w:hint="eastAsia" w:ascii="Times New Roman" w:hAnsi="Times New Roman"/>
          <w:color w:val="auto"/>
        </w:rPr>
        <w:t>昆山市东距上海50km、西邻苏州37km。航空：上海虹桥机场（距45km，约半小时车程），上海浦东机场（距100km，约一小时车程）。港口：上海港（中国最大港口、距离60km）、张家港（距100km）、太仓浏家港（距35km）。铁路：京沪铁路穿越城区。公路：区域内公路网健全，沪宁高速公路、机场路、312国道穿境而过。</w:t>
      </w:r>
    </w:p>
    <w:p w14:paraId="60B3EFC1">
      <w:pPr>
        <w:pStyle w:val="4"/>
        <w:bidi w:val="0"/>
        <w:rPr>
          <w:color w:val="auto"/>
          <w:lang w:val="en-US" w:eastAsia="zh-CN"/>
        </w:rPr>
      </w:pPr>
      <w:bookmarkStart w:id="227" w:name="_Toc29589"/>
      <w:bookmarkStart w:id="228" w:name="_Toc19477"/>
      <w:r>
        <w:rPr>
          <w:rFonts w:hint="eastAsia"/>
          <w:color w:val="auto"/>
          <w:lang w:val="en-US" w:eastAsia="zh-CN"/>
        </w:rPr>
        <w:t>地形地貌</w:t>
      </w:r>
      <w:bookmarkEnd w:id="227"/>
      <w:bookmarkEnd w:id="228"/>
    </w:p>
    <w:p w14:paraId="04D84FD0">
      <w:pPr>
        <w:ind w:firstLine="480"/>
        <w:rPr>
          <w:rFonts w:ascii="Times New Roman" w:hAnsi="Times New Roman" w:cs="Times New Roman"/>
          <w:color w:val="auto"/>
        </w:rPr>
      </w:pPr>
      <w:r>
        <w:rPr>
          <w:rFonts w:ascii="Times New Roman" w:hAnsi="Times New Roman" w:cs="Times New Roman"/>
          <w:color w:val="auto"/>
        </w:rPr>
        <w:t>昆山属长江三角洲太湖平原，境内河网密布，地势平坦，自西南向东北略呈倾斜，自然坡度较小。地面高程多在2.8-3.7m之间（基准面：吴淞零点），部分高地达5-6m，平均为3.4m。北部为低洼圩区，中部为半高田地区，南部为濒湖高田地区。</w:t>
      </w:r>
    </w:p>
    <w:p w14:paraId="797A8778">
      <w:pPr>
        <w:ind w:firstLine="480"/>
        <w:rPr>
          <w:rFonts w:ascii="Times New Roman" w:hAnsi="Times New Roman" w:cs="Times New Roman"/>
          <w:color w:val="auto"/>
        </w:rPr>
      </w:pPr>
      <w:r>
        <w:rPr>
          <w:rFonts w:ascii="Times New Roman" w:hAnsi="Times New Roman" w:cs="Times New Roman"/>
          <w:color w:val="auto"/>
        </w:rPr>
        <w:t>地质在新构造运动中，处于强烈震荡性下陷地区，地表水为河流、湖泊和海洋的沉积物所覆盖，经历了从海湾到泻湖，进而沉积成陆地的过程。根据“中国地震裂度区划图（1990）”及国家地震局、建设部地震办（1992）160号文，昆山市地震烈度值为Ⅵ度。</w:t>
      </w:r>
    </w:p>
    <w:p w14:paraId="6CAC0D8A">
      <w:pPr>
        <w:ind w:firstLine="480"/>
        <w:rPr>
          <w:rFonts w:ascii="Times New Roman" w:hAnsi="Times New Roman" w:cs="Times New Roman"/>
          <w:color w:val="auto"/>
        </w:rPr>
      </w:pPr>
      <w:r>
        <w:rPr>
          <w:rFonts w:ascii="Times New Roman" w:hAnsi="Times New Roman" w:cs="Times New Roman"/>
          <w:color w:val="auto"/>
        </w:rPr>
        <w:t>（1）北部低洼圩区位于阳澄湖以东，娄江以北，包括城北、新镇、周市、陆扬、巴城、石牌等，以及正仪、玉山北部的部分地区，通称阳澄湖低洼圩区。地面高程在3.2m以下，地下水位较高。</w:t>
      </w:r>
    </w:p>
    <w:p w14:paraId="1F904638">
      <w:pPr>
        <w:ind w:firstLine="480"/>
        <w:rPr>
          <w:rFonts w:ascii="Times New Roman" w:hAnsi="Times New Roman" w:cs="Times New Roman"/>
          <w:color w:val="auto"/>
        </w:rPr>
      </w:pPr>
      <w:r>
        <w:rPr>
          <w:rFonts w:ascii="Times New Roman" w:hAnsi="Times New Roman" w:cs="Times New Roman"/>
          <w:color w:val="auto"/>
        </w:rPr>
        <w:t>（2）中部半高田地区</w:t>
      </w:r>
    </w:p>
    <w:p w14:paraId="7CE29926">
      <w:pPr>
        <w:ind w:firstLine="480"/>
        <w:rPr>
          <w:rFonts w:ascii="Times New Roman" w:hAnsi="Times New Roman" w:cs="Times New Roman"/>
          <w:color w:val="auto"/>
        </w:rPr>
      </w:pPr>
      <w:r>
        <w:rPr>
          <w:rFonts w:ascii="Times New Roman" w:hAnsi="Times New Roman" w:cs="Times New Roman"/>
          <w:color w:val="auto"/>
        </w:rPr>
        <w:t>在境中部吴淞江两岸，北至娄江，南到双洋潭，包括千灯、石浦、南港、陆家、花桥、兵希、蓬朗、玉山、正仪等。地势平坦，河港交错、地面高程在3.2至4m之间。</w:t>
      </w:r>
    </w:p>
    <w:p w14:paraId="1C1A3999">
      <w:pPr>
        <w:ind w:firstLine="480"/>
        <w:rPr>
          <w:rFonts w:ascii="Times New Roman" w:hAnsi="Times New Roman" w:cs="Times New Roman"/>
          <w:color w:val="auto"/>
        </w:rPr>
      </w:pPr>
      <w:r>
        <w:rPr>
          <w:rFonts w:ascii="Times New Roman" w:hAnsi="Times New Roman" w:cs="Times New Roman"/>
          <w:color w:val="auto"/>
        </w:rPr>
        <w:t>（3）南部濒湖高田地区</w:t>
      </w:r>
    </w:p>
    <w:p w14:paraId="13D348DB">
      <w:pPr>
        <w:rPr>
          <w:rFonts w:ascii="Times New Roman" w:hAnsi="Times New Roman"/>
          <w:color w:val="auto"/>
        </w:rPr>
      </w:pPr>
      <w:r>
        <w:rPr>
          <w:rFonts w:ascii="Times New Roman" w:hAnsi="Times New Roman" w:cs="Times New Roman"/>
          <w:color w:val="auto"/>
        </w:rPr>
        <w:t>位于淀山湖、阳澄湖周围，包括周庄、锦溪、大市、淀东等，区内湖泊众多，陆地起伏较大，呈半岛状。地面标高在4至6m之间</w:t>
      </w:r>
      <w:r>
        <w:rPr>
          <w:rFonts w:hint="eastAsia" w:ascii="Times New Roman" w:hAnsi="Times New Roman"/>
          <w:color w:val="auto"/>
        </w:rPr>
        <w:t>。</w:t>
      </w:r>
    </w:p>
    <w:p w14:paraId="28080A93">
      <w:pPr>
        <w:pStyle w:val="4"/>
        <w:bidi w:val="0"/>
        <w:rPr>
          <w:color w:val="auto"/>
          <w:lang w:val="en-US" w:eastAsia="zh-CN"/>
        </w:rPr>
      </w:pPr>
      <w:bookmarkStart w:id="229" w:name="_Toc27244"/>
      <w:bookmarkStart w:id="230" w:name="_Toc1731"/>
      <w:r>
        <w:rPr>
          <w:rFonts w:hint="eastAsia"/>
          <w:color w:val="auto"/>
          <w:lang w:val="en-US" w:eastAsia="zh-CN"/>
        </w:rPr>
        <w:t>气象与气候</w:t>
      </w:r>
      <w:bookmarkEnd w:id="229"/>
      <w:bookmarkEnd w:id="230"/>
    </w:p>
    <w:p w14:paraId="3A78114D">
      <w:pPr>
        <w:rPr>
          <w:rFonts w:hint="eastAsia" w:ascii="Times New Roman" w:hAnsi="Times New Roman"/>
          <w:color w:val="auto"/>
        </w:rPr>
      </w:pPr>
      <w:r>
        <w:rPr>
          <w:rFonts w:hint="eastAsia" w:ascii="Times New Roman" w:hAnsi="Times New Roman"/>
          <w:color w:val="auto"/>
        </w:rPr>
        <w:t>昆山位于长江流域，地处北回归线以北，属北亚热带南部季风气候区。气候温和湿润，四季分明，光照充足，雨量充沛，无霜期长，雨热同期。昆山属北亚热带南部季风气候区，气候温和湿润，四季分明，光照充足，雨量充沛，无霜期长，雨热同期。</w:t>
      </w:r>
    </w:p>
    <w:p w14:paraId="208D8BED">
      <w:pPr>
        <w:rPr>
          <w:rFonts w:ascii="Times New Roman" w:hAnsi="Times New Roman"/>
          <w:color w:val="auto"/>
        </w:rPr>
      </w:pPr>
      <w:r>
        <w:rPr>
          <w:rFonts w:hint="eastAsia" w:ascii="Times New Roman" w:hAnsi="Times New Roman"/>
          <w:color w:val="auto"/>
        </w:rPr>
        <w:t>历史极端最高气温40.6℃（2013年8月），历史极端最低气温-11.7℃（1977年1月31日）。全年无霜期239天，年平均气温17.6℃。年平均降水量1200.4毫米，年平均日照时间1789.2小时。</w:t>
      </w:r>
    </w:p>
    <w:p w14:paraId="46EE50E0">
      <w:pPr>
        <w:pStyle w:val="4"/>
        <w:bidi w:val="0"/>
        <w:rPr>
          <w:color w:val="auto"/>
          <w:lang w:val="en-US" w:eastAsia="zh-CN"/>
        </w:rPr>
      </w:pPr>
      <w:bookmarkStart w:id="231" w:name="_Toc9623"/>
      <w:bookmarkStart w:id="232" w:name="_Toc9476"/>
      <w:r>
        <w:rPr>
          <w:rFonts w:hint="eastAsia"/>
          <w:color w:val="auto"/>
          <w:lang w:val="en-US" w:eastAsia="zh-CN"/>
        </w:rPr>
        <w:t>水文水系</w:t>
      </w:r>
      <w:bookmarkEnd w:id="231"/>
      <w:bookmarkEnd w:id="232"/>
    </w:p>
    <w:p w14:paraId="2B386EDF">
      <w:pPr>
        <w:ind w:firstLine="480"/>
        <w:rPr>
          <w:rFonts w:ascii="Times New Roman" w:hAnsi="Times New Roman" w:cs="Times New Roman"/>
          <w:color w:val="auto"/>
        </w:rPr>
      </w:pPr>
      <w:r>
        <w:rPr>
          <w:rFonts w:ascii="Times New Roman" w:hAnsi="Times New Roman" w:cs="Times New Roman"/>
          <w:color w:val="auto"/>
        </w:rPr>
        <w:t>昆山市素有江南水乡之称，境内河网纵横、湖泊星罗棋布。昆山西承太湖来水，东泄长江入海，太湖渲泄主干河道——杨林塘、太仓塘横贯市境，南部河流经淀山湖、大盈浦入黄浦江，形成了“横塘纵浦”的水网格局。经过几百年的治水防洪，昆山市已形成以杨林塘为分水线的阳澄区和淀泖区两支水系。境内河流分为南北两脉，沪宁铁路62号桥以西娄江为界，62号桥以东铁路为界，南部为淀泖水系，北部为阳澄水系。境内河湖水源主要为太湖、阳澄湖、澄湖等西部来水，经吴淞江、娄江、庙泾河、七浦塘、杨林塘、急水港等河道过境，其中急水港、吴淞江和娄江为主要泄水河道。</w:t>
      </w:r>
    </w:p>
    <w:p w14:paraId="2F02378E">
      <w:pPr>
        <w:ind w:firstLine="480"/>
        <w:rPr>
          <w:rFonts w:ascii="Times New Roman" w:hAnsi="Times New Roman" w:cs="Times New Roman"/>
          <w:color w:val="auto"/>
        </w:rPr>
      </w:pPr>
      <w:r>
        <w:rPr>
          <w:rFonts w:ascii="Times New Roman" w:hAnsi="Times New Roman" w:cs="Times New Roman"/>
          <w:color w:val="auto"/>
        </w:rPr>
        <w:t>水位和流量的变化主要取决于上游客水来量和县境内雨水径流量以及下游泻水速度三个因素。全年平均天然地表径流量为8.2亿m</w:t>
      </w:r>
      <w:r>
        <w:rPr>
          <w:rFonts w:ascii="Times New Roman" w:hAnsi="Times New Roman" w:cs="Times New Roman"/>
          <w:color w:val="auto"/>
          <w:vertAlign w:val="superscript"/>
        </w:rPr>
        <w:t>3</w:t>
      </w:r>
      <w:r>
        <w:rPr>
          <w:rFonts w:ascii="Times New Roman" w:hAnsi="Times New Roman" w:cs="Times New Roman"/>
          <w:color w:val="auto"/>
        </w:rPr>
        <w:t>，上游过境客水量年平均为51.3亿m</w:t>
      </w:r>
      <w:r>
        <w:rPr>
          <w:rFonts w:ascii="Times New Roman" w:hAnsi="Times New Roman" w:cs="Times New Roman"/>
          <w:color w:val="auto"/>
          <w:vertAlign w:val="superscript"/>
        </w:rPr>
        <w:t>3</w:t>
      </w:r>
      <w:r>
        <w:rPr>
          <w:rFonts w:ascii="Times New Roman" w:hAnsi="Times New Roman" w:cs="Times New Roman"/>
          <w:color w:val="auto"/>
        </w:rPr>
        <w:t>左右，从太仓市的浏河闸、杨林闸和常熟市的七浦闸、白茆闸引长江水年均达2.5亿m</w:t>
      </w:r>
      <w:r>
        <w:rPr>
          <w:rFonts w:ascii="Times New Roman" w:hAnsi="Times New Roman" w:cs="Times New Roman"/>
          <w:color w:val="auto"/>
          <w:vertAlign w:val="superscript"/>
        </w:rPr>
        <w:t>3</w:t>
      </w:r>
      <w:r>
        <w:rPr>
          <w:rFonts w:ascii="Times New Roman" w:hAnsi="Times New Roman" w:cs="Times New Roman"/>
          <w:color w:val="auto"/>
        </w:rPr>
        <w:t>。</w:t>
      </w:r>
    </w:p>
    <w:p w14:paraId="031A1490">
      <w:pPr>
        <w:ind w:firstLine="480"/>
        <w:rPr>
          <w:rFonts w:ascii="Times New Roman" w:hAnsi="Times New Roman" w:cs="Times New Roman"/>
          <w:color w:val="auto"/>
        </w:rPr>
      </w:pPr>
      <w:r>
        <w:rPr>
          <w:rFonts w:ascii="Times New Roman" w:hAnsi="Times New Roman" w:cs="Times New Roman"/>
          <w:color w:val="auto"/>
        </w:rPr>
        <w:t>昆山市河流西承太湖来水，东泄长江入海，太湖渲泄主干河道—娄江、吴淞江横贯市境。河流水位与太湖地区降水量的季节分配基本一致，4月水位开始上涨，5～9月进入汛期，此后随降水的减少而下降，1～3月水位最低。最高水位3.88m(1954年7月23日)，最低度水位1.94m(1956年2月10日)，平均水位2.52m，警戒水位3.2m。</w:t>
      </w:r>
    </w:p>
    <w:p w14:paraId="1A9380DA">
      <w:pPr>
        <w:ind w:firstLine="480"/>
        <w:rPr>
          <w:rFonts w:ascii="Times New Roman" w:hAnsi="Times New Roman" w:cs="Times New Roman"/>
          <w:color w:val="auto"/>
        </w:rPr>
      </w:pPr>
      <w:r>
        <w:rPr>
          <w:rFonts w:ascii="Times New Roman" w:hAnsi="Times New Roman" w:cs="Times New Roman"/>
          <w:color w:val="auto"/>
        </w:rPr>
        <w:t>昆山全境河流总长1056.32km，其中主要干支河流62条，长457.51km；湖泊41个，水面10余万亩。年均降水量1074mm；年地表水中河湖蓄水6.9亿m</w:t>
      </w:r>
      <w:r>
        <w:rPr>
          <w:rFonts w:ascii="Times New Roman" w:hAnsi="Times New Roman" w:cs="Times New Roman"/>
          <w:color w:val="auto"/>
          <w:vertAlign w:val="superscript"/>
        </w:rPr>
        <w:t>3</w:t>
      </w:r>
      <w:r>
        <w:rPr>
          <w:rFonts w:ascii="Times New Roman" w:hAnsi="Times New Roman" w:cs="Times New Roman"/>
          <w:color w:val="auto"/>
        </w:rPr>
        <w:t>，承泄太湖来水51.3亿m</w:t>
      </w:r>
      <w:r>
        <w:rPr>
          <w:rFonts w:ascii="Times New Roman" w:hAnsi="Times New Roman" w:cs="Times New Roman"/>
          <w:color w:val="auto"/>
          <w:vertAlign w:val="superscript"/>
        </w:rPr>
        <w:t>3</w:t>
      </w:r>
      <w:r>
        <w:rPr>
          <w:rFonts w:ascii="Times New Roman" w:hAnsi="Times New Roman" w:cs="Times New Roman"/>
          <w:color w:val="auto"/>
        </w:rPr>
        <w:t>，引入长江水2.5亿m</w:t>
      </w:r>
      <w:r>
        <w:rPr>
          <w:rFonts w:ascii="Times New Roman" w:hAnsi="Times New Roman" w:cs="Times New Roman"/>
          <w:color w:val="auto"/>
          <w:vertAlign w:val="superscript"/>
        </w:rPr>
        <w:t>3</w:t>
      </w:r>
      <w:r>
        <w:rPr>
          <w:rFonts w:ascii="Times New Roman" w:hAnsi="Times New Roman" w:cs="Times New Roman"/>
          <w:color w:val="auto"/>
        </w:rPr>
        <w:t>；年地下水开采量约0.95亿m</w:t>
      </w:r>
      <w:r>
        <w:rPr>
          <w:rFonts w:ascii="Times New Roman" w:hAnsi="Times New Roman" w:cs="Times New Roman"/>
          <w:color w:val="auto"/>
          <w:vertAlign w:val="superscript"/>
        </w:rPr>
        <w:t>3</w:t>
      </w:r>
      <w:r>
        <w:rPr>
          <w:rFonts w:ascii="Times New Roman" w:hAnsi="Times New Roman" w:cs="Times New Roman"/>
          <w:color w:val="auto"/>
        </w:rPr>
        <w:t>。</w:t>
      </w:r>
    </w:p>
    <w:p w14:paraId="029D17FC">
      <w:pPr>
        <w:rPr>
          <w:rFonts w:ascii="Times New Roman" w:hAnsi="Times New Roman"/>
          <w:color w:val="auto"/>
        </w:rPr>
      </w:pPr>
      <w:r>
        <w:rPr>
          <w:rFonts w:ascii="Times New Roman" w:hAnsi="Times New Roman" w:cs="Times New Roman"/>
          <w:color w:val="auto"/>
        </w:rPr>
        <w:t>吴淞江为5级航道，通航能力300t。是太湖与黄浦江的主要联系水道之一，源于吴江市瓜泾口，汇入上海市黄浦江，全长125km，其中江苏境内长度为72km，上海境内长度为53km，河口多年平均泄流量约10m/s。吴淞江河面宽阔，一般在100～</w:t>
      </w:r>
      <w:r>
        <w:rPr>
          <w:rFonts w:ascii="Times New Roman" w:hAnsi="Times New Roman" w:eastAsia="TimesNewRomanPSMT" w:cs="Times New Roman"/>
          <w:color w:val="auto"/>
        </w:rPr>
        <w:t>200m</w:t>
      </w:r>
      <w:r>
        <w:rPr>
          <w:rFonts w:ascii="Times New Roman" w:hAnsi="Times New Roman" w:cs="Times New Roman"/>
          <w:color w:val="auto"/>
        </w:rPr>
        <w:t>左右，最宽处可达</w:t>
      </w:r>
      <w:r>
        <w:rPr>
          <w:rFonts w:ascii="Times New Roman" w:hAnsi="Times New Roman" w:eastAsia="TimesNewRomanPSMT" w:cs="Times New Roman"/>
          <w:color w:val="auto"/>
        </w:rPr>
        <w:t>500m</w:t>
      </w:r>
      <w:r>
        <w:rPr>
          <w:rFonts w:ascii="Times New Roman" w:hAnsi="Times New Roman" w:cs="Times New Roman"/>
          <w:color w:val="auto"/>
        </w:rPr>
        <w:t>以上。吴淞江下游段受黄浦江潮汐影响，水文条件复杂。河口处潮差在</w:t>
      </w:r>
      <w:r>
        <w:rPr>
          <w:rFonts w:ascii="Times New Roman" w:hAnsi="Times New Roman" w:eastAsia="TimesNewRomanPSMT" w:cs="Times New Roman"/>
          <w:color w:val="auto"/>
        </w:rPr>
        <w:t>2m</w:t>
      </w:r>
      <w:r>
        <w:rPr>
          <w:rFonts w:ascii="Times New Roman" w:hAnsi="Times New Roman" w:cs="Times New Roman"/>
          <w:color w:val="auto"/>
        </w:rPr>
        <w:t>左右，沿河向上游潮差逐渐减小，涨潮历时渐短，落潮历时渐长，至昆山段仅稍有水位的涨落，基本无涨潮流的存在。吴淞江水流速度很小，一般仅为</w:t>
      </w:r>
      <w:r>
        <w:rPr>
          <w:rFonts w:ascii="Times New Roman" w:hAnsi="Times New Roman" w:eastAsia="TimesNewRomanPSMT" w:cs="Times New Roman"/>
          <w:color w:val="auto"/>
        </w:rPr>
        <w:t>0.1m/s</w:t>
      </w:r>
      <w:r>
        <w:rPr>
          <w:rFonts w:ascii="Times New Roman" w:hAnsi="Times New Roman" w:cs="Times New Roman"/>
          <w:color w:val="auto"/>
        </w:rPr>
        <w:t>左右或更小</w:t>
      </w:r>
      <w:r>
        <w:rPr>
          <w:rFonts w:hint="eastAsia" w:ascii="Times New Roman" w:hAnsi="Times New Roman"/>
          <w:color w:val="auto"/>
        </w:rPr>
        <w:t>。</w:t>
      </w:r>
    </w:p>
    <w:p w14:paraId="51F22F08">
      <w:pPr>
        <w:rPr>
          <w:rFonts w:ascii="Times New Roman" w:hAnsi="Times New Roman"/>
          <w:color w:val="auto"/>
        </w:rPr>
      </w:pPr>
      <w:r>
        <w:rPr>
          <w:rFonts w:hint="eastAsia" w:ascii="Times New Roman" w:hAnsi="Times New Roman"/>
          <w:color w:val="auto"/>
        </w:rPr>
        <w:t>项目区域内水系情况详见附图</w:t>
      </w:r>
      <w:r>
        <w:rPr>
          <w:rFonts w:hint="eastAsia" w:ascii="Times New Roman" w:hAnsi="Times New Roman"/>
          <w:color w:val="auto"/>
          <w:lang w:val="en-US" w:eastAsia="zh-CN"/>
        </w:rPr>
        <w:t>5</w:t>
      </w:r>
      <w:r>
        <w:rPr>
          <w:rFonts w:hint="eastAsia" w:ascii="Times New Roman" w:hAnsi="Times New Roman"/>
          <w:color w:val="auto"/>
        </w:rPr>
        <w:t>。</w:t>
      </w:r>
    </w:p>
    <w:p w14:paraId="5B9A88E3">
      <w:pPr>
        <w:pStyle w:val="4"/>
        <w:bidi w:val="0"/>
        <w:rPr>
          <w:rFonts w:ascii="Times New Roman" w:hAnsi="Times New Roman" w:eastAsia="仿宋_GB2312" w:cstheme="majorBidi"/>
          <w:b/>
          <w:bCs/>
          <w:color w:val="auto"/>
          <w:kern w:val="44"/>
          <w:sz w:val="30"/>
          <w:szCs w:val="32"/>
          <w:lang w:val="en-US" w:eastAsia="zh-CN" w:bidi="ar-SA"/>
        </w:rPr>
      </w:pPr>
      <w:bookmarkStart w:id="233" w:name="_Toc27122"/>
      <w:bookmarkStart w:id="234" w:name="_Toc7249"/>
      <w:r>
        <w:rPr>
          <w:rFonts w:hint="eastAsia" w:ascii="Times New Roman" w:hAnsi="Times New Roman" w:eastAsia="仿宋_GB2312" w:cstheme="majorBidi"/>
          <w:b/>
          <w:bCs/>
          <w:color w:val="auto"/>
          <w:kern w:val="44"/>
          <w:sz w:val="30"/>
          <w:szCs w:val="32"/>
          <w:lang w:val="en-US" w:eastAsia="zh-CN" w:bidi="ar-SA"/>
        </w:rPr>
        <w:t>水文地质</w:t>
      </w:r>
      <w:bookmarkEnd w:id="233"/>
      <w:bookmarkEnd w:id="234"/>
    </w:p>
    <w:p w14:paraId="52249BB6">
      <w:pPr>
        <w:rPr>
          <w:rFonts w:hint="eastAsia"/>
          <w:color w:val="auto"/>
          <w:lang w:eastAsia="zh-CN"/>
        </w:rPr>
      </w:pPr>
      <w:r>
        <w:rPr>
          <w:rFonts w:hint="eastAsia" w:ascii="Times New Roman" w:hAnsi="Times New Roman"/>
          <w:color w:val="auto"/>
        </w:rPr>
        <w:t>本项目水文地质信息引用</w:t>
      </w:r>
      <w:r>
        <w:rPr>
          <w:rFonts w:hint="eastAsia"/>
          <w:color w:val="auto"/>
          <w:lang w:eastAsia="zh-CN"/>
        </w:rPr>
        <w:t>《</w:t>
      </w:r>
      <w:r>
        <w:rPr>
          <w:rFonts w:hint="eastAsia"/>
          <w:color w:val="auto"/>
          <w:lang w:val="en-US" w:eastAsia="zh-CN"/>
        </w:rPr>
        <w:t>苏州昆运制版有限公司绿色智能化制版项目岩土工程勘察报告</w:t>
      </w:r>
      <w:r>
        <w:rPr>
          <w:rFonts w:hint="eastAsia"/>
          <w:color w:val="auto"/>
          <w:lang w:eastAsia="zh-CN"/>
        </w:rPr>
        <w:t>》（</w:t>
      </w:r>
      <w:r>
        <w:rPr>
          <w:rFonts w:hint="eastAsia"/>
          <w:color w:val="auto"/>
          <w:lang w:val="en-US" w:eastAsia="zh-CN"/>
        </w:rPr>
        <w:t>工程编号：HYKC-260410，昆山华一岩土勘察工程有限公司，2026年5月</w:t>
      </w:r>
      <w:r>
        <w:rPr>
          <w:rFonts w:hint="eastAsia"/>
          <w:color w:val="auto"/>
          <w:lang w:eastAsia="zh-CN"/>
        </w:rPr>
        <w:t>）。</w:t>
      </w:r>
    </w:p>
    <w:p w14:paraId="2C8848D2">
      <w:pPr>
        <w:rPr>
          <w:rFonts w:hint="eastAsia"/>
          <w:color w:val="auto"/>
          <w:lang w:val="en-US" w:eastAsia="zh-CN"/>
        </w:rPr>
      </w:pPr>
      <w:r>
        <w:rPr>
          <w:rFonts w:hint="eastAsia"/>
          <w:color w:val="auto"/>
          <w:lang w:val="en-US" w:eastAsia="zh-CN"/>
        </w:rPr>
        <w:t>一、工程地质条件</w:t>
      </w:r>
    </w:p>
    <w:p w14:paraId="035E6B85">
      <w:pPr>
        <w:rPr>
          <w:rFonts w:hint="eastAsia"/>
          <w:color w:val="auto"/>
          <w:lang w:val="en-US" w:eastAsia="zh-CN"/>
        </w:rPr>
      </w:pPr>
      <w:r>
        <w:rPr>
          <w:rFonts w:hint="eastAsia"/>
          <w:color w:val="auto"/>
          <w:lang w:val="en-US" w:eastAsia="zh-CN"/>
        </w:rPr>
        <w:t>1、场地地形</w:t>
      </w:r>
    </w:p>
    <w:p w14:paraId="6A1E843D">
      <w:pPr>
        <w:rPr>
          <w:rFonts w:hint="default"/>
          <w:color w:val="auto"/>
          <w:lang w:val="en-US" w:eastAsia="zh-CN"/>
        </w:rPr>
      </w:pPr>
      <w:r>
        <w:rPr>
          <w:rFonts w:hint="default"/>
          <w:color w:val="auto"/>
          <w:lang w:val="en-US" w:eastAsia="zh-CN"/>
        </w:rPr>
        <w:t>拟建场地原为农田。场地初步整平时间超过10年。2012年左右场地建成两个单层厂房。整个场地浅部区域除绿化区域均为混凝土地坪区。勘察期间，地面平坦，地面标高最大值2.51m，最小值1.96m，地表相对高差0.55m。</w:t>
      </w:r>
    </w:p>
    <w:p w14:paraId="631DE31D">
      <w:pPr>
        <w:rPr>
          <w:rFonts w:hint="default"/>
          <w:color w:val="auto"/>
          <w:lang w:val="en-US" w:eastAsia="zh-CN"/>
        </w:rPr>
      </w:pPr>
      <w:r>
        <w:rPr>
          <w:rFonts w:hint="default"/>
          <w:color w:val="auto"/>
          <w:lang w:val="en-US" w:eastAsia="zh-CN"/>
        </w:rPr>
        <w:t>场地所处地貌类型为太湖水网平原，所处地貌单元为水网平原。勘察范围内土层沉积环境主要为河湖相及滨海相沉积。</w:t>
      </w:r>
    </w:p>
    <w:p w14:paraId="1235A961">
      <w:pPr>
        <w:rPr>
          <w:rFonts w:hint="eastAsia"/>
          <w:color w:val="auto"/>
          <w:lang w:val="en-US" w:eastAsia="zh-CN"/>
        </w:rPr>
      </w:pPr>
      <w:r>
        <w:rPr>
          <w:rFonts w:hint="eastAsia"/>
          <w:color w:val="auto"/>
          <w:lang w:val="en-US" w:eastAsia="zh-CN"/>
        </w:rPr>
        <w:t>2、场地岩土体工程地质性质</w:t>
      </w:r>
    </w:p>
    <w:p w14:paraId="3E0B8493">
      <w:pPr>
        <w:rPr>
          <w:rFonts w:hint="default"/>
          <w:color w:val="auto"/>
          <w:lang w:val="en-US" w:eastAsia="zh-CN"/>
        </w:rPr>
      </w:pPr>
      <w:r>
        <w:rPr>
          <w:rFonts w:hint="default"/>
          <w:color w:val="auto"/>
          <w:lang w:val="en-US" w:eastAsia="zh-CN"/>
        </w:rPr>
        <w:t>根据现场勘探揭露和室内土工试验结果，场地主要分布有人工填土层（Qml）和第四系海陆交互相沉积层（Qal+l），分述如下：</w:t>
      </w:r>
    </w:p>
    <w:p w14:paraId="187EA57B">
      <w:pPr>
        <w:rPr>
          <w:rFonts w:hint="default"/>
          <w:color w:val="auto"/>
          <w:lang w:val="en-US" w:eastAsia="zh-CN"/>
        </w:rPr>
      </w:pPr>
      <w:r>
        <w:rPr>
          <w:rFonts w:hint="default"/>
          <w:color w:val="auto"/>
          <w:lang w:val="en-US" w:eastAsia="zh-CN"/>
        </w:rPr>
        <w:t>（一）人工填土层（Qml）</w:t>
      </w:r>
    </w:p>
    <w:p w14:paraId="05D3C110">
      <w:pPr>
        <w:rPr>
          <w:rFonts w:hint="default"/>
          <w:color w:val="auto"/>
          <w:lang w:val="en-US" w:eastAsia="zh-CN"/>
        </w:rPr>
      </w:pPr>
      <w:r>
        <w:rPr>
          <w:rFonts w:hint="default"/>
          <w:color w:val="auto"/>
          <w:lang w:val="en-US" w:eastAsia="zh-CN"/>
        </w:rPr>
        <w:t>①A层杂填土：杂色，成分复杂，密实度不均，主要为地坪结构层，上部0.1~0.25m混凝土层地坪，中部以建筑渣土为主，下部局部为压实素填土层。场区普遍分布，厚度：0.20-1.20m，平均0.47m；层底标高：1.09-2.31m，平均1.88m；层底埋深：0.20-1.20m，平均0.47m。</w:t>
      </w:r>
    </w:p>
    <w:p w14:paraId="6D8D13EB">
      <w:pPr>
        <w:rPr>
          <w:rFonts w:hint="default"/>
          <w:color w:val="auto"/>
          <w:lang w:val="en-US" w:eastAsia="zh-CN"/>
        </w:rPr>
      </w:pPr>
      <w:r>
        <w:rPr>
          <w:rFonts w:hint="default"/>
          <w:color w:val="auto"/>
          <w:lang w:val="en-US" w:eastAsia="zh-CN"/>
        </w:rPr>
        <w:t>①层素填土：杂灰色~灰黄色，结构松散，成分不均匀，以粘性土为主，含少量碎砖石。场区普遍分布，厚度：0.50-2.20m，平均1.19m；层底标高：-0.01-1.28m，平均0.72m；层底埋深：1.10-2.40m，平均1.63m。（二）第四系沉积层（Q4、Q3）</w:t>
      </w:r>
    </w:p>
    <w:p w14:paraId="7B0CE944">
      <w:pPr>
        <w:rPr>
          <w:rFonts w:hint="default"/>
          <w:color w:val="auto"/>
          <w:lang w:val="en-US" w:eastAsia="zh-CN"/>
        </w:rPr>
      </w:pPr>
      <w:r>
        <w:rPr>
          <w:rFonts w:hint="default"/>
          <w:color w:val="auto"/>
          <w:lang w:val="en-US" w:eastAsia="zh-CN"/>
        </w:rPr>
        <w:t>②-1层粉质黏土：灰黄色，软塑，局部可塑，切面稍有光泽，韧性中等，干强度中等，成分较均匀，含少量高岭土条纹。场区普遍分布，厚度：0.60-1.80m，平均1.19m；层底标高：-0.77--0.09m，平均-0.48m；层底埋深：2.50-3.10m，平均2.82m。</w:t>
      </w:r>
    </w:p>
    <w:p w14:paraId="5F747D5D">
      <w:pPr>
        <w:rPr>
          <w:rFonts w:hint="default"/>
          <w:color w:val="auto"/>
          <w:lang w:val="en-US" w:eastAsia="zh-CN"/>
        </w:rPr>
      </w:pPr>
      <w:r>
        <w:rPr>
          <w:rFonts w:hint="default"/>
          <w:color w:val="auto"/>
          <w:lang w:val="en-US" w:eastAsia="zh-CN"/>
        </w:rPr>
        <w:t>②-2层淤泥质粉质黏土：灰色，流塑~软塑，切面稍有光泽，韧性中等，干强度中等，含少量腐殖质，有腥臭味，土质较均匀。场区普遍分布，厚度：3.00-5.30m，平均3.52m；层底标高：-5.58--3.59m，平均-4.00m；层底埋深：6.00-8.00m，平均6.34m。</w:t>
      </w:r>
    </w:p>
    <w:p w14:paraId="2C38002B">
      <w:pPr>
        <w:rPr>
          <w:rFonts w:hint="default"/>
          <w:color w:val="auto"/>
          <w:lang w:val="en-US" w:eastAsia="zh-CN"/>
        </w:rPr>
      </w:pPr>
      <w:r>
        <w:rPr>
          <w:rFonts w:hint="default"/>
          <w:color w:val="auto"/>
          <w:lang w:val="en-US" w:eastAsia="zh-CN"/>
        </w:rPr>
        <w:t>③-1层黏土：灰黄色，可塑~硬塑，切面有光泽，高韧性及干强度，成分较均匀，含少量铁锰质结核。场区普遍分布，厚度：3.10-5.40m，平均4.80m；层底标高：-9.20--8.11m，平均-8.79m；层底埋深：10.40-11.70m，平均11.14m。</w:t>
      </w:r>
    </w:p>
    <w:p w14:paraId="615131D6">
      <w:pPr>
        <w:rPr>
          <w:rFonts w:hint="default"/>
          <w:color w:val="auto"/>
          <w:lang w:val="en-US" w:eastAsia="zh-CN"/>
        </w:rPr>
      </w:pPr>
      <w:r>
        <w:rPr>
          <w:rFonts w:hint="default"/>
          <w:color w:val="auto"/>
          <w:lang w:val="en-US" w:eastAsia="zh-CN"/>
        </w:rPr>
        <w:t>③-2层粉质黏土：灰色，可塑，局部软塑，切面稍有光泽，韧性中等，干强度中等，成分较均匀，局部夹薄层粉土。场区普遍分布，厚度：1.20-1.80m，平均1.38m；层底标高：-10.51--9.71m，平均-10.18m；层底埋深：12.10-12.90m，平均12.52m。</w:t>
      </w:r>
    </w:p>
    <w:p w14:paraId="397278EC">
      <w:pPr>
        <w:rPr>
          <w:rFonts w:hint="default"/>
          <w:color w:val="auto"/>
          <w:lang w:val="en-US" w:eastAsia="zh-CN"/>
        </w:rPr>
      </w:pPr>
      <w:r>
        <w:rPr>
          <w:rFonts w:hint="default"/>
          <w:color w:val="auto"/>
          <w:lang w:val="en-US" w:eastAsia="zh-CN"/>
        </w:rPr>
        <w:t>③-2A层粉土夹粉质黏土：灰黄色，很湿，中密~稍密，成份不均匀，以粉土为主，夹粉质黏土及粉砂，局部以粉质黏土或粉砂为主；切面无光泽，低韧性及干强度。场区普遍分布，厚度：2.20-2.90m，平均2.45m；层底标高：-13.01--12.19m，平均-12.63m；层底埋深：14.60-15.30m，平均14.97m。</w:t>
      </w:r>
    </w:p>
    <w:p w14:paraId="107F2377">
      <w:pPr>
        <w:rPr>
          <w:rFonts w:hint="default"/>
          <w:color w:val="auto"/>
          <w:lang w:val="en-US" w:eastAsia="zh-CN"/>
        </w:rPr>
      </w:pPr>
      <w:r>
        <w:rPr>
          <w:rFonts w:hint="default"/>
          <w:color w:val="auto"/>
          <w:lang w:val="en-US" w:eastAsia="zh-CN"/>
        </w:rPr>
        <w:t>④-1层粉质黏土：灰色，软塑，切面稍有光泽，韧性中等，干强度中等，成分较均匀，局部夹薄层粉土。场区普遍分布，厚度：2.30-3.10m，平均2.62m；层底标高：-15.66--14.80m，平均-15.24m；层底埋深：17.10-18.00m，平均17.59m。</w:t>
      </w:r>
    </w:p>
    <w:p w14:paraId="7BBFDAA1">
      <w:pPr>
        <w:rPr>
          <w:rFonts w:hint="default"/>
          <w:color w:val="auto"/>
          <w:lang w:val="en-US" w:eastAsia="zh-CN"/>
        </w:rPr>
      </w:pPr>
      <w:r>
        <w:rPr>
          <w:rFonts w:hint="default"/>
          <w:color w:val="auto"/>
          <w:lang w:val="en-US" w:eastAsia="zh-CN"/>
        </w:rPr>
        <w:t>④-2层粉砂夹粉土：灰黄色，饱和，中密，局部密实，成份不均匀，以粉砂为主，夹粉土，局部以粉土为主；矿物成份以长英质和少量云母碎片为主。场区部分区域缺失，厚度：0.40-3.20m，平均2.27m；层底标高：-19.00--15.50m，平均-17.89m；层底埋深：17.90-21.50m，平均20.25m。</w:t>
      </w:r>
    </w:p>
    <w:p w14:paraId="5C40A655">
      <w:pPr>
        <w:rPr>
          <w:rFonts w:hint="default"/>
          <w:color w:val="auto"/>
          <w:lang w:val="en-US" w:eastAsia="zh-CN"/>
        </w:rPr>
      </w:pPr>
      <w:r>
        <w:rPr>
          <w:rFonts w:hint="default"/>
          <w:color w:val="auto"/>
          <w:lang w:val="en-US" w:eastAsia="zh-CN"/>
        </w:rPr>
        <w:t>④-2A层粉砂：灰黄色，饱和，中密~密实，成份较均匀，以粉砂为主，局部夹薄层粉土；矿物成份以长英质和少量云母碎片为主。场区部分区域缺失，厚度：0.50-3.60m，平均1.68m；层底标高：-19.01--15.62m，平均-17.69m；层底埋深：18.00-21.30m，平均20.02m。</w:t>
      </w:r>
    </w:p>
    <w:p w14:paraId="637C25AC">
      <w:pPr>
        <w:rPr>
          <w:rFonts w:hint="default"/>
          <w:color w:val="auto"/>
          <w:lang w:val="en-US" w:eastAsia="zh-CN"/>
        </w:rPr>
      </w:pPr>
      <w:r>
        <w:rPr>
          <w:rFonts w:hint="default"/>
          <w:color w:val="auto"/>
          <w:lang w:val="en-US" w:eastAsia="zh-CN"/>
        </w:rPr>
        <w:t>⑤-1层粉质黏土夹粉土：灰色，可塑，切面稍有光泽，韧性中等，干强度中等，成分不均匀，夹粉土，局部以粉土为主。场区部分区域缺失，厚度：1.00-1.60m，平均1.29m；层底标高：-20.21--19.22m，平均-19.68m；层底埋深：21.70-22.50m，平均22.03m。</w:t>
      </w:r>
    </w:p>
    <w:p w14:paraId="568D06AD">
      <w:pPr>
        <w:rPr>
          <w:rFonts w:hint="default"/>
          <w:color w:val="auto"/>
          <w:lang w:val="en-US" w:eastAsia="zh-CN"/>
        </w:rPr>
      </w:pPr>
      <w:r>
        <w:rPr>
          <w:rFonts w:hint="default"/>
          <w:color w:val="auto"/>
          <w:lang w:val="en-US" w:eastAsia="zh-CN"/>
        </w:rPr>
        <w:t>⑤-2A层粉砂夹粉土：灰色，饱和，密实~中密，成份较不均匀，以粉砂为主，夹粉土，局部以粉土为主；矿物成份以长英质和少量云母碎片为主。场区部分区域缺失，厚度：0.90-5.50m，平均3.17m；层底标高：-27.49--20.37m，平均-24.51m；层底埋深：22.60-30.00m，平均26.85m。</w:t>
      </w:r>
    </w:p>
    <w:p w14:paraId="6393F98B">
      <w:pPr>
        <w:rPr>
          <w:rFonts w:hint="default"/>
          <w:color w:val="auto"/>
          <w:lang w:val="en-US" w:eastAsia="zh-CN"/>
        </w:rPr>
      </w:pPr>
      <w:r>
        <w:rPr>
          <w:rFonts w:hint="default"/>
          <w:color w:val="auto"/>
          <w:lang w:val="en-US" w:eastAsia="zh-CN"/>
        </w:rPr>
        <w:t xml:space="preserve"> ⑤-2B层粉质黏土夹粉土：灰色，可塑，切面稍有光泽，韧性中等，干强度中等，成分不均匀，夹粉土，局部以粉土为主。场区部分区域缺失，厚度：0.70-2.50m，平均1.27m；层底标高：-23.74--21.98m，平均-22.77m；层底埋深：24.40-26.00m，平均25.11m。</w:t>
      </w:r>
    </w:p>
    <w:p w14:paraId="00EDB8A4">
      <w:pPr>
        <w:rPr>
          <w:rFonts w:hint="default"/>
          <w:color w:val="auto"/>
          <w:lang w:val="en-US" w:eastAsia="zh-CN"/>
        </w:rPr>
      </w:pPr>
      <w:r>
        <w:rPr>
          <w:rFonts w:hint="default"/>
          <w:color w:val="auto"/>
          <w:lang w:val="en-US" w:eastAsia="zh-CN"/>
        </w:rPr>
        <w:t>⑤-2层粉土夹粉砂：灰色，饱和，中密，局部密实，成份不均匀，以粉砂为主，夹粉土及粉质黏土，局部以粉土或粉质黏土为主；矿物成份主要以长英质和少量云母碎片为主。场区部分区域缺失，厚度：1.00-5.60m，平均3.01m；层底标高：-28.64--21.02m，平均-25.84m；层底埋深：23.50-31.00m，平均28.19m。</w:t>
      </w:r>
    </w:p>
    <w:p w14:paraId="05762DDF">
      <w:pPr>
        <w:rPr>
          <w:rFonts w:hint="default"/>
          <w:color w:val="auto"/>
          <w:lang w:val="en-US" w:eastAsia="zh-CN"/>
        </w:rPr>
      </w:pPr>
      <w:r>
        <w:rPr>
          <w:rFonts w:hint="default"/>
          <w:color w:val="auto"/>
          <w:lang w:val="en-US" w:eastAsia="zh-CN"/>
        </w:rPr>
        <w:t>⑦-2层粉砂夹粉土：灰色，饱和，中密，局部密实，成份较不均匀，以粉砂为主，夹粉土，局部以粉土主；矿物成份主要以长英质和少量云母碎片为主。场区普遍分布，厚度：13.20-16.30m，平均14.82m；层底标高：-43.64--41.18m，平均-42.26m；层底埋深：43.60-46.00m，平均44.58m。</w:t>
      </w:r>
    </w:p>
    <w:p w14:paraId="1A57D2C9">
      <w:pPr>
        <w:rPr>
          <w:rFonts w:hint="default"/>
          <w:color w:val="auto"/>
          <w:lang w:val="en-US" w:eastAsia="zh-CN"/>
        </w:rPr>
      </w:pPr>
      <w:r>
        <w:rPr>
          <w:rFonts w:hint="default"/>
          <w:color w:val="auto"/>
          <w:lang w:val="en-US" w:eastAsia="zh-CN"/>
        </w:rPr>
        <w:t>⑧-4层粉砂夹粉土：灰色，饱和，中密~密实，成份较不均匀，以粉砂为主，夹粉土，局部以粉土主；矿物成份主要以长英质和少量云母碎片为主。该层未钻透。</w:t>
      </w:r>
    </w:p>
    <w:p w14:paraId="5359247F">
      <w:pPr>
        <w:rPr>
          <w:rFonts w:hint="eastAsia"/>
          <w:color w:val="auto"/>
          <w:lang w:val="en-US" w:eastAsia="zh-CN"/>
        </w:rPr>
      </w:pPr>
      <w:r>
        <w:rPr>
          <w:rFonts w:hint="eastAsia"/>
          <w:color w:val="auto"/>
          <w:lang w:val="en-US" w:eastAsia="zh-CN"/>
        </w:rPr>
        <w:t>二、地下水特征</w:t>
      </w:r>
    </w:p>
    <w:p w14:paraId="6BD64545">
      <w:pPr>
        <w:rPr>
          <w:rFonts w:hint="default"/>
          <w:color w:val="auto"/>
          <w:lang w:val="en-US" w:eastAsia="zh-CN"/>
        </w:rPr>
      </w:pPr>
      <w:r>
        <w:rPr>
          <w:rFonts w:hint="default"/>
          <w:color w:val="auto"/>
          <w:lang w:val="en-US" w:eastAsia="zh-CN"/>
        </w:rPr>
        <w:t>该场地淤泥质粉质黏土②-2层、黏土③-1层、粉质黏土③-2层、粉质黏土④-1层为相对隔水层。粉质黏土夹粉土⑤-1层、粉质黏土夹粉土⑤-2B层夹粉土，局部以粉土为主，视为含水层。</w:t>
      </w:r>
    </w:p>
    <w:p w14:paraId="5FF9B720">
      <w:pPr>
        <w:rPr>
          <w:rFonts w:hint="default"/>
          <w:color w:val="auto"/>
          <w:lang w:val="en-US" w:eastAsia="zh-CN"/>
        </w:rPr>
      </w:pPr>
      <w:r>
        <w:rPr>
          <w:rFonts w:hint="default"/>
          <w:color w:val="auto"/>
          <w:lang w:val="en-US" w:eastAsia="zh-CN"/>
        </w:rPr>
        <w:t>（1）潜水</w:t>
      </w:r>
    </w:p>
    <w:p w14:paraId="3866B585">
      <w:pPr>
        <w:rPr>
          <w:rFonts w:hint="default"/>
          <w:color w:val="auto"/>
          <w:lang w:val="en-US" w:eastAsia="zh-CN"/>
        </w:rPr>
      </w:pPr>
      <w:r>
        <w:rPr>
          <w:rFonts w:hint="default"/>
          <w:color w:val="auto"/>
          <w:lang w:val="en-US" w:eastAsia="zh-CN"/>
        </w:rPr>
        <w:t>孔隙潜水赋存于杂填土①A层、素填土①层、粉质黏土②-1层的孔隙、根孔、虫孔内，导水性及富水性差。主要补给来源为大气降水及地表水的侧向径流，主要排泄方式为蒸发及地下水侧向径流，与地表水联系较密切，动态特征表现为气候调节型。</w:t>
      </w:r>
    </w:p>
    <w:p w14:paraId="7B5F5F74">
      <w:pPr>
        <w:rPr>
          <w:rFonts w:hint="default"/>
          <w:color w:val="auto"/>
          <w:lang w:val="en-US" w:eastAsia="zh-CN"/>
        </w:rPr>
      </w:pPr>
      <w:r>
        <w:rPr>
          <w:rFonts w:hint="default"/>
          <w:color w:val="auto"/>
          <w:lang w:val="en-US" w:eastAsia="zh-CN"/>
        </w:rPr>
        <w:t>（2）承压水</w:t>
      </w:r>
    </w:p>
    <w:p w14:paraId="6F6FBA56">
      <w:pPr>
        <w:rPr>
          <w:rFonts w:hint="default"/>
          <w:color w:val="auto"/>
          <w:lang w:val="en-US" w:eastAsia="zh-CN"/>
        </w:rPr>
      </w:pPr>
      <w:r>
        <w:rPr>
          <w:rFonts w:hint="default"/>
          <w:color w:val="auto"/>
          <w:lang w:val="en-US" w:eastAsia="zh-CN"/>
        </w:rPr>
        <w:t>拟建场地勘察深度内存在2层承压水：第一层承压水赋存于粉土夹粉质黏土③-2A层的孔隙中，主要受其侧向径流补给和潜水的越流补给，并主要以地下侧向径流方式进行排泄。第二层承压水赋存于粉砂夹粉土④-2层~粉砂夹粉土⑧-4层的孔隙中，主要受其侧向径流补给和第一层承压水的越流补给，并主要以地下侧向径流方式进行排泄。</w:t>
      </w:r>
    </w:p>
    <w:p w14:paraId="57A45939">
      <w:pPr>
        <w:pStyle w:val="25"/>
        <w:bidi w:val="0"/>
        <w:rPr>
          <w:rFonts w:hint="default"/>
          <w:color w:val="auto"/>
          <w:lang w:val="en-US" w:eastAsia="zh-CN"/>
        </w:rPr>
      </w:pPr>
      <w:r>
        <w:rPr>
          <w:rFonts w:hint="default"/>
          <w:color w:val="auto"/>
          <w:lang w:val="en-US" w:eastAsia="zh-CN"/>
        </w:rPr>
        <w:t>表</w:t>
      </w:r>
      <w:r>
        <w:rPr>
          <w:rFonts w:hint="default"/>
          <w:color w:val="auto"/>
          <w:lang w:val="en-US" w:eastAsia="zh-CN"/>
        </w:rPr>
        <w:fldChar w:fldCharType="begin"/>
      </w:r>
      <w:r>
        <w:rPr>
          <w:rFonts w:hint="default"/>
          <w:color w:val="auto"/>
          <w:lang w:val="en-US" w:eastAsia="zh-CN"/>
        </w:rPr>
        <w:instrText xml:space="preserve"> STYLEREF 2 \s </w:instrText>
      </w:r>
      <w:r>
        <w:rPr>
          <w:rFonts w:hint="default"/>
          <w:color w:val="auto"/>
          <w:lang w:val="en-US" w:eastAsia="zh-CN"/>
        </w:rPr>
        <w:fldChar w:fldCharType="separate"/>
      </w:r>
      <w:r>
        <w:rPr>
          <w:rFonts w:hint="default"/>
          <w:color w:val="auto"/>
          <w:lang w:val="en-US" w:eastAsia="zh-CN"/>
        </w:rPr>
        <w:t>5.1</w:t>
      </w:r>
      <w:r>
        <w:rPr>
          <w:rFonts w:hint="default"/>
          <w:color w:val="auto"/>
          <w:lang w:val="en-US" w:eastAsia="zh-CN"/>
        </w:rPr>
        <w:fldChar w:fldCharType="end"/>
      </w:r>
      <w:r>
        <w:rPr>
          <w:rFonts w:hint="default"/>
          <w:color w:val="auto"/>
          <w:lang w:val="en-US" w:eastAsia="zh-CN"/>
        </w:rPr>
        <w:noBreakHyphen/>
      </w:r>
      <w:r>
        <w:rPr>
          <w:rFonts w:hint="default"/>
          <w:color w:val="auto"/>
          <w:lang w:val="en-US" w:eastAsia="zh-CN"/>
        </w:rPr>
        <w:fldChar w:fldCharType="begin"/>
      </w:r>
      <w:r>
        <w:rPr>
          <w:rFonts w:hint="default"/>
          <w:color w:val="auto"/>
          <w:lang w:val="en-US" w:eastAsia="zh-CN"/>
        </w:rPr>
        <w:instrText xml:space="preserve"> SEQ 表 \* ARABIC \s 2 </w:instrText>
      </w:r>
      <w:r>
        <w:rPr>
          <w:rFonts w:hint="default"/>
          <w:color w:val="auto"/>
          <w:lang w:val="en-US" w:eastAsia="zh-CN"/>
        </w:rPr>
        <w:fldChar w:fldCharType="separate"/>
      </w:r>
      <w:r>
        <w:rPr>
          <w:rFonts w:hint="default"/>
          <w:color w:val="auto"/>
          <w:lang w:val="en-US" w:eastAsia="zh-CN"/>
        </w:rPr>
        <w:t>1</w:t>
      </w:r>
      <w:r>
        <w:rPr>
          <w:rFonts w:hint="default"/>
          <w:color w:val="auto"/>
          <w:lang w:val="en-US" w:eastAsia="zh-CN"/>
        </w:rPr>
        <w:fldChar w:fldCharType="end"/>
      </w:r>
      <w:r>
        <w:rPr>
          <w:rFonts w:hint="eastAsia"/>
          <w:color w:val="auto"/>
          <w:lang w:val="en-US" w:eastAsia="zh-CN"/>
        </w:rPr>
        <w:t>初见水位及稳定水位</w:t>
      </w:r>
      <w:r>
        <w:rPr>
          <w:rFonts w:hint="default"/>
          <w:color w:val="auto"/>
          <w:lang w:val="en-US" w:eastAsia="zh-CN"/>
        </w:rPr>
        <w:t>表</w:t>
      </w:r>
    </w:p>
    <w:tbl>
      <w:tblPr>
        <w:tblStyle w:val="19"/>
        <w:tblW w:w="49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982"/>
        <w:gridCol w:w="982"/>
        <w:gridCol w:w="987"/>
        <w:gridCol w:w="982"/>
        <w:gridCol w:w="982"/>
        <w:gridCol w:w="987"/>
        <w:gridCol w:w="1742"/>
      </w:tblGrid>
      <w:tr w14:paraId="57E6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6" w:type="pct"/>
            <w:vMerge w:val="restart"/>
            <w:tcBorders>
              <w:tl2br w:val="nil"/>
              <w:tr2bl w:val="nil"/>
            </w:tcBorders>
            <w:noWrap w:val="0"/>
            <w:vAlign w:val="center"/>
          </w:tcPr>
          <w:p w14:paraId="017089D7">
            <w:pPr>
              <w:pStyle w:val="26"/>
              <w:bidi w:val="0"/>
              <w:rPr>
                <w:rFonts w:hint="default"/>
                <w:lang w:val="en-US" w:eastAsia="zh-CN"/>
              </w:rPr>
            </w:pPr>
            <w:r>
              <w:rPr>
                <w:rFonts w:hint="default"/>
                <w:lang w:val="en-US" w:eastAsia="zh-CN"/>
              </w:rPr>
              <w:t>数据</w:t>
            </w:r>
          </w:p>
          <w:p w14:paraId="0D1AE289">
            <w:pPr>
              <w:pStyle w:val="26"/>
              <w:bidi w:val="0"/>
              <w:rPr>
                <w:rFonts w:hint="default"/>
                <w:lang w:val="en-US" w:eastAsia="zh-CN"/>
              </w:rPr>
            </w:pPr>
            <w:r>
              <w:rPr>
                <w:rFonts w:hint="default"/>
                <w:lang w:val="en-US" w:eastAsia="zh-CN"/>
              </w:rPr>
              <w:t>个数</w:t>
            </w:r>
          </w:p>
        </w:tc>
        <w:tc>
          <w:tcPr>
            <w:tcW w:w="1761" w:type="pct"/>
            <w:gridSpan w:val="3"/>
            <w:tcBorders>
              <w:tl2br w:val="nil"/>
              <w:tr2bl w:val="nil"/>
            </w:tcBorders>
            <w:noWrap w:val="0"/>
            <w:vAlign w:val="center"/>
          </w:tcPr>
          <w:p w14:paraId="4F12E69D">
            <w:pPr>
              <w:pStyle w:val="26"/>
              <w:bidi w:val="0"/>
              <w:rPr>
                <w:rFonts w:hint="default"/>
                <w:lang w:val="en-US" w:eastAsia="zh-CN"/>
              </w:rPr>
            </w:pPr>
            <w:r>
              <w:rPr>
                <w:rFonts w:hint="default"/>
                <w:lang w:val="en-US" w:eastAsia="zh-CN"/>
              </w:rPr>
              <w:t>水位埋深（m）</w:t>
            </w:r>
          </w:p>
        </w:tc>
        <w:tc>
          <w:tcPr>
            <w:tcW w:w="1761" w:type="pct"/>
            <w:gridSpan w:val="3"/>
            <w:tcBorders>
              <w:tl2br w:val="nil"/>
              <w:tr2bl w:val="nil"/>
            </w:tcBorders>
            <w:noWrap w:val="0"/>
            <w:vAlign w:val="center"/>
          </w:tcPr>
          <w:p w14:paraId="0E43EEDD">
            <w:pPr>
              <w:pStyle w:val="26"/>
              <w:bidi w:val="0"/>
              <w:rPr>
                <w:rFonts w:hint="default"/>
                <w:lang w:val="en-US" w:eastAsia="zh-CN"/>
              </w:rPr>
            </w:pPr>
            <w:r>
              <w:rPr>
                <w:rFonts w:hint="default"/>
                <w:lang w:val="en-US" w:eastAsia="zh-CN"/>
              </w:rPr>
              <w:t>水位标高（m）</w:t>
            </w:r>
          </w:p>
        </w:tc>
        <w:tc>
          <w:tcPr>
            <w:tcW w:w="1039" w:type="pct"/>
            <w:vMerge w:val="restart"/>
            <w:tcBorders>
              <w:tl2br w:val="nil"/>
              <w:tr2bl w:val="nil"/>
            </w:tcBorders>
            <w:noWrap w:val="0"/>
            <w:vAlign w:val="center"/>
          </w:tcPr>
          <w:p w14:paraId="245E0135">
            <w:pPr>
              <w:pStyle w:val="26"/>
              <w:bidi w:val="0"/>
              <w:rPr>
                <w:rFonts w:hint="default"/>
                <w:lang w:val="en-US" w:eastAsia="zh-CN"/>
              </w:rPr>
            </w:pPr>
            <w:r>
              <w:rPr>
                <w:rFonts w:hint="default"/>
                <w:lang w:val="en-US" w:eastAsia="zh-CN"/>
              </w:rPr>
              <w:t>备注</w:t>
            </w:r>
          </w:p>
        </w:tc>
      </w:tr>
      <w:tr w14:paraId="2499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6" w:type="pct"/>
            <w:vMerge w:val="continue"/>
            <w:tcBorders>
              <w:tl2br w:val="nil"/>
              <w:tr2bl w:val="nil"/>
            </w:tcBorders>
            <w:noWrap w:val="0"/>
            <w:vAlign w:val="center"/>
          </w:tcPr>
          <w:p w14:paraId="3183B358">
            <w:pPr>
              <w:pStyle w:val="26"/>
              <w:bidi w:val="0"/>
              <w:rPr>
                <w:rFonts w:hint="default"/>
                <w:lang w:val="en-US" w:eastAsia="zh-CN"/>
              </w:rPr>
            </w:pPr>
          </w:p>
        </w:tc>
        <w:tc>
          <w:tcPr>
            <w:tcW w:w="586" w:type="pct"/>
            <w:tcBorders>
              <w:tl2br w:val="nil"/>
              <w:tr2bl w:val="nil"/>
            </w:tcBorders>
            <w:noWrap w:val="0"/>
            <w:vAlign w:val="center"/>
          </w:tcPr>
          <w:p w14:paraId="5603506C">
            <w:pPr>
              <w:pStyle w:val="26"/>
              <w:bidi w:val="0"/>
              <w:rPr>
                <w:rFonts w:hint="default"/>
                <w:lang w:val="en-US" w:eastAsia="zh-CN"/>
              </w:rPr>
            </w:pPr>
            <w:r>
              <w:rPr>
                <w:rFonts w:hint="default"/>
                <w:lang w:val="en-US" w:eastAsia="zh-CN"/>
              </w:rPr>
              <w:t>最小值</w:t>
            </w:r>
          </w:p>
        </w:tc>
        <w:tc>
          <w:tcPr>
            <w:tcW w:w="586" w:type="pct"/>
            <w:tcBorders>
              <w:tl2br w:val="nil"/>
              <w:tr2bl w:val="nil"/>
            </w:tcBorders>
            <w:noWrap w:val="0"/>
            <w:vAlign w:val="center"/>
          </w:tcPr>
          <w:p w14:paraId="39651BFF">
            <w:pPr>
              <w:pStyle w:val="26"/>
              <w:bidi w:val="0"/>
              <w:rPr>
                <w:rFonts w:hint="default"/>
                <w:lang w:val="en-US" w:eastAsia="zh-CN"/>
              </w:rPr>
            </w:pPr>
            <w:r>
              <w:rPr>
                <w:rFonts w:hint="default"/>
                <w:lang w:val="en-US" w:eastAsia="zh-CN"/>
              </w:rPr>
              <w:t>最大值</w:t>
            </w:r>
          </w:p>
        </w:tc>
        <w:tc>
          <w:tcPr>
            <w:tcW w:w="587" w:type="pct"/>
            <w:tcBorders>
              <w:tl2br w:val="nil"/>
              <w:tr2bl w:val="nil"/>
            </w:tcBorders>
            <w:noWrap w:val="0"/>
            <w:vAlign w:val="center"/>
          </w:tcPr>
          <w:p w14:paraId="23EC4311">
            <w:pPr>
              <w:pStyle w:val="26"/>
              <w:bidi w:val="0"/>
              <w:rPr>
                <w:rFonts w:hint="default"/>
                <w:lang w:val="en-US" w:eastAsia="zh-CN"/>
              </w:rPr>
            </w:pPr>
            <w:r>
              <w:rPr>
                <w:rFonts w:hint="default"/>
                <w:lang w:val="en-US" w:eastAsia="zh-CN"/>
              </w:rPr>
              <w:t>平均值</w:t>
            </w:r>
          </w:p>
        </w:tc>
        <w:tc>
          <w:tcPr>
            <w:tcW w:w="586" w:type="pct"/>
            <w:tcBorders>
              <w:tl2br w:val="nil"/>
              <w:tr2bl w:val="nil"/>
            </w:tcBorders>
            <w:noWrap w:val="0"/>
            <w:vAlign w:val="center"/>
          </w:tcPr>
          <w:p w14:paraId="2186C98B">
            <w:pPr>
              <w:pStyle w:val="26"/>
              <w:bidi w:val="0"/>
              <w:rPr>
                <w:rFonts w:hint="default"/>
                <w:lang w:val="en-US" w:eastAsia="zh-CN"/>
              </w:rPr>
            </w:pPr>
            <w:r>
              <w:rPr>
                <w:rFonts w:hint="default"/>
                <w:lang w:val="en-US" w:eastAsia="zh-CN"/>
              </w:rPr>
              <w:t>最小值</w:t>
            </w:r>
          </w:p>
        </w:tc>
        <w:tc>
          <w:tcPr>
            <w:tcW w:w="586" w:type="pct"/>
            <w:tcBorders>
              <w:tl2br w:val="nil"/>
              <w:tr2bl w:val="nil"/>
            </w:tcBorders>
            <w:noWrap w:val="0"/>
            <w:vAlign w:val="center"/>
          </w:tcPr>
          <w:p w14:paraId="0F00A903">
            <w:pPr>
              <w:pStyle w:val="26"/>
              <w:bidi w:val="0"/>
              <w:rPr>
                <w:rFonts w:hint="default"/>
                <w:lang w:val="en-US" w:eastAsia="zh-CN"/>
              </w:rPr>
            </w:pPr>
            <w:r>
              <w:rPr>
                <w:rFonts w:hint="default"/>
                <w:lang w:val="en-US" w:eastAsia="zh-CN"/>
              </w:rPr>
              <w:t>最大值</w:t>
            </w:r>
          </w:p>
        </w:tc>
        <w:tc>
          <w:tcPr>
            <w:tcW w:w="588" w:type="pct"/>
            <w:tcBorders>
              <w:tl2br w:val="nil"/>
              <w:tr2bl w:val="nil"/>
            </w:tcBorders>
            <w:noWrap w:val="0"/>
            <w:vAlign w:val="center"/>
          </w:tcPr>
          <w:p w14:paraId="3F8EC681">
            <w:pPr>
              <w:pStyle w:val="26"/>
              <w:bidi w:val="0"/>
              <w:rPr>
                <w:rFonts w:hint="default"/>
                <w:lang w:val="en-US" w:eastAsia="zh-CN"/>
              </w:rPr>
            </w:pPr>
            <w:r>
              <w:rPr>
                <w:rFonts w:hint="default"/>
                <w:lang w:val="en-US" w:eastAsia="zh-CN"/>
              </w:rPr>
              <w:t>平均值</w:t>
            </w:r>
          </w:p>
        </w:tc>
        <w:tc>
          <w:tcPr>
            <w:tcW w:w="1039" w:type="pct"/>
            <w:vMerge w:val="continue"/>
            <w:tcBorders>
              <w:tl2br w:val="nil"/>
              <w:tr2bl w:val="nil"/>
            </w:tcBorders>
            <w:noWrap w:val="0"/>
            <w:vAlign w:val="center"/>
          </w:tcPr>
          <w:p w14:paraId="26EAA67C">
            <w:pPr>
              <w:pStyle w:val="26"/>
              <w:bidi w:val="0"/>
              <w:rPr>
                <w:rFonts w:hint="default"/>
                <w:lang w:val="en-US" w:eastAsia="zh-CN"/>
              </w:rPr>
            </w:pPr>
          </w:p>
        </w:tc>
      </w:tr>
      <w:tr w14:paraId="3DFC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6" w:type="pct"/>
            <w:tcBorders>
              <w:tl2br w:val="nil"/>
              <w:tr2bl w:val="nil"/>
            </w:tcBorders>
            <w:noWrap w:val="0"/>
            <w:vAlign w:val="center"/>
          </w:tcPr>
          <w:p w14:paraId="0D7E8BF2">
            <w:pPr>
              <w:pStyle w:val="26"/>
              <w:bidi w:val="0"/>
              <w:rPr>
                <w:rFonts w:hint="default"/>
                <w:lang w:val="en-US" w:eastAsia="zh-CN"/>
              </w:rPr>
            </w:pPr>
            <w:r>
              <w:rPr>
                <w:rFonts w:hint="default"/>
                <w:lang w:val="en-US" w:eastAsia="zh-CN"/>
              </w:rPr>
              <w:t>11</w:t>
            </w:r>
          </w:p>
        </w:tc>
        <w:tc>
          <w:tcPr>
            <w:tcW w:w="586" w:type="pct"/>
            <w:tcBorders>
              <w:tl2br w:val="nil"/>
              <w:tr2bl w:val="nil"/>
            </w:tcBorders>
            <w:noWrap w:val="0"/>
            <w:vAlign w:val="center"/>
          </w:tcPr>
          <w:p w14:paraId="1C4A7959">
            <w:pPr>
              <w:pStyle w:val="26"/>
              <w:bidi w:val="0"/>
              <w:rPr>
                <w:rFonts w:hint="default"/>
                <w:lang w:val="en-US" w:eastAsia="zh-CN"/>
              </w:rPr>
            </w:pPr>
            <w:r>
              <w:rPr>
                <w:rFonts w:hint="default"/>
                <w:lang w:val="en-US" w:eastAsia="zh-CN"/>
              </w:rPr>
              <w:t>0.60</w:t>
            </w:r>
          </w:p>
        </w:tc>
        <w:tc>
          <w:tcPr>
            <w:tcW w:w="586" w:type="pct"/>
            <w:tcBorders>
              <w:tl2br w:val="nil"/>
              <w:tr2bl w:val="nil"/>
            </w:tcBorders>
            <w:noWrap w:val="0"/>
            <w:vAlign w:val="center"/>
          </w:tcPr>
          <w:p w14:paraId="7AD92E1C">
            <w:pPr>
              <w:pStyle w:val="26"/>
              <w:bidi w:val="0"/>
              <w:rPr>
                <w:rFonts w:hint="default"/>
                <w:lang w:val="en-US" w:eastAsia="zh-CN"/>
              </w:rPr>
            </w:pPr>
            <w:r>
              <w:rPr>
                <w:rFonts w:hint="default"/>
                <w:lang w:val="en-US" w:eastAsia="zh-CN"/>
              </w:rPr>
              <w:t>1.10</w:t>
            </w:r>
          </w:p>
        </w:tc>
        <w:tc>
          <w:tcPr>
            <w:tcW w:w="587" w:type="pct"/>
            <w:tcBorders>
              <w:tl2br w:val="nil"/>
              <w:tr2bl w:val="nil"/>
            </w:tcBorders>
            <w:noWrap w:val="0"/>
            <w:vAlign w:val="center"/>
          </w:tcPr>
          <w:p w14:paraId="083368A6">
            <w:pPr>
              <w:pStyle w:val="26"/>
              <w:bidi w:val="0"/>
              <w:rPr>
                <w:rFonts w:hint="default"/>
                <w:lang w:val="en-US" w:eastAsia="zh-CN"/>
              </w:rPr>
            </w:pPr>
            <w:r>
              <w:rPr>
                <w:rFonts w:hint="default"/>
                <w:lang w:val="en-US" w:eastAsia="zh-CN"/>
              </w:rPr>
              <w:t>0.92</w:t>
            </w:r>
          </w:p>
        </w:tc>
        <w:tc>
          <w:tcPr>
            <w:tcW w:w="586" w:type="pct"/>
            <w:tcBorders>
              <w:tl2br w:val="nil"/>
              <w:tr2bl w:val="nil"/>
            </w:tcBorders>
            <w:noWrap w:val="0"/>
            <w:vAlign w:val="center"/>
          </w:tcPr>
          <w:p w14:paraId="4ED0961D">
            <w:pPr>
              <w:pStyle w:val="26"/>
              <w:bidi w:val="0"/>
              <w:rPr>
                <w:rFonts w:hint="default"/>
                <w:lang w:val="en-US" w:eastAsia="zh-CN"/>
              </w:rPr>
            </w:pPr>
            <w:r>
              <w:rPr>
                <w:rFonts w:hint="default"/>
                <w:lang w:val="en-US" w:eastAsia="zh-CN"/>
              </w:rPr>
              <w:t>1.28</w:t>
            </w:r>
          </w:p>
        </w:tc>
        <w:tc>
          <w:tcPr>
            <w:tcW w:w="586" w:type="pct"/>
            <w:tcBorders>
              <w:tl2br w:val="nil"/>
              <w:tr2bl w:val="nil"/>
            </w:tcBorders>
            <w:noWrap w:val="0"/>
            <w:vAlign w:val="center"/>
          </w:tcPr>
          <w:p w14:paraId="7C855033">
            <w:pPr>
              <w:pStyle w:val="26"/>
              <w:bidi w:val="0"/>
              <w:rPr>
                <w:rFonts w:hint="default"/>
                <w:lang w:val="en-US" w:eastAsia="zh-CN"/>
              </w:rPr>
            </w:pPr>
            <w:r>
              <w:rPr>
                <w:rFonts w:hint="default"/>
                <w:lang w:val="en-US" w:eastAsia="zh-CN"/>
              </w:rPr>
              <w:t>1.46</w:t>
            </w:r>
          </w:p>
        </w:tc>
        <w:tc>
          <w:tcPr>
            <w:tcW w:w="588" w:type="pct"/>
            <w:tcBorders>
              <w:tl2br w:val="nil"/>
              <w:tr2bl w:val="nil"/>
            </w:tcBorders>
            <w:noWrap w:val="0"/>
            <w:vAlign w:val="center"/>
          </w:tcPr>
          <w:p w14:paraId="3BADFDB2">
            <w:pPr>
              <w:pStyle w:val="26"/>
              <w:bidi w:val="0"/>
              <w:rPr>
                <w:rFonts w:hint="default"/>
                <w:lang w:val="en-US" w:eastAsia="zh-CN"/>
              </w:rPr>
            </w:pPr>
            <w:r>
              <w:rPr>
                <w:rFonts w:hint="default"/>
                <w:lang w:val="en-US" w:eastAsia="zh-CN"/>
              </w:rPr>
              <w:t>1.39</w:t>
            </w:r>
          </w:p>
        </w:tc>
        <w:tc>
          <w:tcPr>
            <w:tcW w:w="1039" w:type="pct"/>
            <w:tcBorders>
              <w:tl2br w:val="nil"/>
              <w:tr2bl w:val="nil"/>
            </w:tcBorders>
            <w:noWrap w:val="0"/>
            <w:vAlign w:val="center"/>
          </w:tcPr>
          <w:p w14:paraId="0DA6D7A3">
            <w:pPr>
              <w:pStyle w:val="26"/>
              <w:bidi w:val="0"/>
              <w:rPr>
                <w:rFonts w:hint="default"/>
                <w:lang w:val="en-US" w:eastAsia="zh-CN"/>
              </w:rPr>
            </w:pPr>
            <w:r>
              <w:rPr>
                <w:rFonts w:hint="default"/>
                <w:lang w:val="en-US" w:eastAsia="zh-CN"/>
              </w:rPr>
              <w:t>潜水初见水位</w:t>
            </w:r>
          </w:p>
        </w:tc>
      </w:tr>
      <w:tr w14:paraId="2D5F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6" w:type="pct"/>
            <w:tcBorders>
              <w:tl2br w:val="nil"/>
              <w:tr2bl w:val="nil"/>
            </w:tcBorders>
            <w:noWrap w:val="0"/>
            <w:vAlign w:val="center"/>
          </w:tcPr>
          <w:p w14:paraId="1A95ED51">
            <w:pPr>
              <w:pStyle w:val="26"/>
              <w:bidi w:val="0"/>
              <w:rPr>
                <w:rFonts w:hint="default"/>
                <w:lang w:val="en-US" w:eastAsia="zh-CN"/>
              </w:rPr>
            </w:pPr>
            <w:r>
              <w:rPr>
                <w:rFonts w:hint="default"/>
                <w:lang w:val="en-US" w:eastAsia="zh-CN"/>
              </w:rPr>
              <w:t>11</w:t>
            </w:r>
          </w:p>
        </w:tc>
        <w:tc>
          <w:tcPr>
            <w:tcW w:w="586" w:type="pct"/>
            <w:tcBorders>
              <w:tl2br w:val="nil"/>
              <w:tr2bl w:val="nil"/>
            </w:tcBorders>
            <w:noWrap w:val="0"/>
            <w:vAlign w:val="center"/>
          </w:tcPr>
          <w:p w14:paraId="40A3C5B6">
            <w:pPr>
              <w:pStyle w:val="26"/>
              <w:bidi w:val="0"/>
              <w:rPr>
                <w:rFonts w:hint="default"/>
                <w:lang w:val="en-US" w:eastAsia="zh-CN"/>
              </w:rPr>
            </w:pPr>
            <w:r>
              <w:rPr>
                <w:rFonts w:hint="default"/>
                <w:lang w:val="en-US" w:eastAsia="zh-CN"/>
              </w:rPr>
              <w:t>0.91</w:t>
            </w:r>
          </w:p>
        </w:tc>
        <w:tc>
          <w:tcPr>
            <w:tcW w:w="586" w:type="pct"/>
            <w:tcBorders>
              <w:tl2br w:val="nil"/>
              <w:tr2bl w:val="nil"/>
            </w:tcBorders>
            <w:noWrap w:val="0"/>
            <w:vAlign w:val="center"/>
          </w:tcPr>
          <w:p w14:paraId="521B982A">
            <w:pPr>
              <w:pStyle w:val="26"/>
              <w:bidi w:val="0"/>
              <w:rPr>
                <w:rFonts w:hint="default"/>
                <w:lang w:val="en-US" w:eastAsia="zh-CN"/>
              </w:rPr>
            </w:pPr>
            <w:r>
              <w:rPr>
                <w:rFonts w:hint="default"/>
                <w:lang w:val="en-US" w:eastAsia="zh-CN"/>
              </w:rPr>
              <w:t>1.28</w:t>
            </w:r>
          </w:p>
        </w:tc>
        <w:tc>
          <w:tcPr>
            <w:tcW w:w="587" w:type="pct"/>
            <w:tcBorders>
              <w:tl2br w:val="nil"/>
              <w:tr2bl w:val="nil"/>
            </w:tcBorders>
            <w:noWrap w:val="0"/>
            <w:vAlign w:val="center"/>
          </w:tcPr>
          <w:p w14:paraId="2E0F3E09">
            <w:pPr>
              <w:pStyle w:val="26"/>
              <w:bidi w:val="0"/>
              <w:rPr>
                <w:rFonts w:hint="default"/>
                <w:lang w:val="en-US" w:eastAsia="zh-CN"/>
              </w:rPr>
            </w:pPr>
            <w:r>
              <w:rPr>
                <w:rFonts w:hint="default"/>
                <w:lang w:val="en-US" w:eastAsia="zh-CN"/>
              </w:rPr>
              <w:t>1.16</w:t>
            </w:r>
          </w:p>
        </w:tc>
        <w:tc>
          <w:tcPr>
            <w:tcW w:w="586" w:type="pct"/>
            <w:tcBorders>
              <w:tl2br w:val="nil"/>
              <w:tr2bl w:val="nil"/>
            </w:tcBorders>
            <w:noWrap w:val="0"/>
            <w:vAlign w:val="center"/>
          </w:tcPr>
          <w:p w14:paraId="245C7C55">
            <w:pPr>
              <w:pStyle w:val="26"/>
              <w:bidi w:val="0"/>
              <w:rPr>
                <w:rFonts w:hint="default"/>
                <w:lang w:val="en-US" w:eastAsia="zh-CN"/>
              </w:rPr>
            </w:pPr>
            <w:r>
              <w:rPr>
                <w:rFonts w:hint="default"/>
                <w:lang w:val="en-US" w:eastAsia="zh-CN"/>
              </w:rPr>
              <w:t>1.08</w:t>
            </w:r>
          </w:p>
        </w:tc>
        <w:tc>
          <w:tcPr>
            <w:tcW w:w="586" w:type="pct"/>
            <w:tcBorders>
              <w:tl2br w:val="nil"/>
              <w:tr2bl w:val="nil"/>
            </w:tcBorders>
            <w:noWrap w:val="0"/>
            <w:vAlign w:val="center"/>
          </w:tcPr>
          <w:p w14:paraId="576AD604">
            <w:pPr>
              <w:pStyle w:val="26"/>
              <w:bidi w:val="0"/>
              <w:rPr>
                <w:rFonts w:hint="default"/>
                <w:lang w:val="en-US" w:eastAsia="zh-CN"/>
              </w:rPr>
            </w:pPr>
            <w:r>
              <w:rPr>
                <w:rFonts w:hint="default"/>
                <w:lang w:val="en-US" w:eastAsia="zh-CN"/>
              </w:rPr>
              <w:t>1.19</w:t>
            </w:r>
          </w:p>
        </w:tc>
        <w:tc>
          <w:tcPr>
            <w:tcW w:w="588" w:type="pct"/>
            <w:tcBorders>
              <w:tl2br w:val="nil"/>
              <w:tr2bl w:val="nil"/>
            </w:tcBorders>
            <w:noWrap w:val="0"/>
            <w:vAlign w:val="center"/>
          </w:tcPr>
          <w:p w14:paraId="3803D158">
            <w:pPr>
              <w:pStyle w:val="26"/>
              <w:bidi w:val="0"/>
              <w:rPr>
                <w:rFonts w:hint="default"/>
                <w:lang w:val="en-US" w:eastAsia="zh-CN"/>
              </w:rPr>
            </w:pPr>
            <w:r>
              <w:rPr>
                <w:rFonts w:hint="default"/>
                <w:lang w:val="en-US" w:eastAsia="zh-CN"/>
              </w:rPr>
              <w:t>1.15</w:t>
            </w:r>
          </w:p>
        </w:tc>
        <w:tc>
          <w:tcPr>
            <w:tcW w:w="1039" w:type="pct"/>
            <w:tcBorders>
              <w:tl2br w:val="nil"/>
              <w:tr2bl w:val="nil"/>
            </w:tcBorders>
            <w:noWrap w:val="0"/>
            <w:vAlign w:val="center"/>
          </w:tcPr>
          <w:p w14:paraId="4CAD1B59">
            <w:pPr>
              <w:pStyle w:val="26"/>
              <w:bidi w:val="0"/>
              <w:rPr>
                <w:rFonts w:hint="default"/>
                <w:lang w:val="en-US" w:eastAsia="zh-CN"/>
              </w:rPr>
            </w:pPr>
            <w:r>
              <w:rPr>
                <w:rFonts w:hint="default"/>
                <w:lang w:val="en-US" w:eastAsia="zh-CN"/>
              </w:rPr>
              <w:t>潜水稳定水位</w:t>
            </w:r>
          </w:p>
        </w:tc>
      </w:tr>
      <w:tr w14:paraId="5628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6" w:type="pct"/>
            <w:tcBorders>
              <w:tl2br w:val="nil"/>
              <w:tr2bl w:val="nil"/>
            </w:tcBorders>
            <w:noWrap w:val="0"/>
            <w:vAlign w:val="center"/>
          </w:tcPr>
          <w:p w14:paraId="17452A39">
            <w:pPr>
              <w:pStyle w:val="26"/>
              <w:bidi w:val="0"/>
              <w:rPr>
                <w:rFonts w:hint="default"/>
                <w:lang w:val="en-US" w:eastAsia="zh-CN"/>
              </w:rPr>
            </w:pPr>
            <w:r>
              <w:rPr>
                <w:rFonts w:hint="default"/>
                <w:lang w:val="en-US" w:eastAsia="zh-CN"/>
              </w:rPr>
              <w:t>3</w:t>
            </w:r>
          </w:p>
        </w:tc>
        <w:tc>
          <w:tcPr>
            <w:tcW w:w="586" w:type="pct"/>
            <w:tcBorders>
              <w:tl2br w:val="nil"/>
              <w:tr2bl w:val="nil"/>
            </w:tcBorders>
            <w:noWrap w:val="0"/>
            <w:vAlign w:val="center"/>
          </w:tcPr>
          <w:p w14:paraId="6806FE51">
            <w:pPr>
              <w:pStyle w:val="26"/>
              <w:bidi w:val="0"/>
              <w:rPr>
                <w:rFonts w:hint="default"/>
                <w:lang w:val="en-US" w:eastAsia="zh-CN"/>
              </w:rPr>
            </w:pPr>
            <w:r>
              <w:rPr>
                <w:rFonts w:hint="default"/>
                <w:lang w:val="en-US" w:eastAsia="zh-CN"/>
              </w:rPr>
              <w:t>2.21</w:t>
            </w:r>
          </w:p>
        </w:tc>
        <w:tc>
          <w:tcPr>
            <w:tcW w:w="586" w:type="pct"/>
            <w:tcBorders>
              <w:tl2br w:val="nil"/>
              <w:tr2bl w:val="nil"/>
            </w:tcBorders>
            <w:noWrap w:val="0"/>
            <w:vAlign w:val="center"/>
          </w:tcPr>
          <w:p w14:paraId="6ADFDFF8">
            <w:pPr>
              <w:pStyle w:val="26"/>
              <w:bidi w:val="0"/>
              <w:rPr>
                <w:rFonts w:hint="default"/>
                <w:lang w:val="en-US" w:eastAsia="zh-CN"/>
              </w:rPr>
            </w:pPr>
            <w:r>
              <w:rPr>
                <w:rFonts w:hint="default"/>
                <w:lang w:val="en-US" w:eastAsia="zh-CN"/>
              </w:rPr>
              <w:t>2.33</w:t>
            </w:r>
          </w:p>
        </w:tc>
        <w:tc>
          <w:tcPr>
            <w:tcW w:w="587" w:type="pct"/>
            <w:tcBorders>
              <w:tl2br w:val="nil"/>
              <w:tr2bl w:val="nil"/>
            </w:tcBorders>
            <w:noWrap w:val="0"/>
            <w:vAlign w:val="center"/>
          </w:tcPr>
          <w:p w14:paraId="7E557F23">
            <w:pPr>
              <w:pStyle w:val="26"/>
              <w:bidi w:val="0"/>
              <w:rPr>
                <w:rFonts w:hint="default"/>
                <w:lang w:val="en-US" w:eastAsia="zh-CN"/>
              </w:rPr>
            </w:pPr>
            <w:r>
              <w:rPr>
                <w:rFonts w:hint="default"/>
                <w:lang w:val="en-US" w:eastAsia="zh-CN"/>
              </w:rPr>
              <w:t>2.28</w:t>
            </w:r>
          </w:p>
        </w:tc>
        <w:tc>
          <w:tcPr>
            <w:tcW w:w="586" w:type="pct"/>
            <w:tcBorders>
              <w:tl2br w:val="nil"/>
              <w:tr2bl w:val="nil"/>
            </w:tcBorders>
            <w:noWrap w:val="0"/>
            <w:vAlign w:val="center"/>
          </w:tcPr>
          <w:p w14:paraId="2EED0962">
            <w:pPr>
              <w:pStyle w:val="26"/>
              <w:bidi w:val="0"/>
              <w:rPr>
                <w:rFonts w:hint="default"/>
                <w:lang w:val="en-US" w:eastAsia="zh-CN"/>
              </w:rPr>
            </w:pPr>
            <w:r>
              <w:rPr>
                <w:rFonts w:hint="default"/>
                <w:lang w:val="en-US" w:eastAsia="zh-CN"/>
              </w:rPr>
              <w:t>0.03</w:t>
            </w:r>
          </w:p>
        </w:tc>
        <w:tc>
          <w:tcPr>
            <w:tcW w:w="586" w:type="pct"/>
            <w:tcBorders>
              <w:tl2br w:val="nil"/>
              <w:tr2bl w:val="nil"/>
            </w:tcBorders>
            <w:noWrap w:val="0"/>
            <w:vAlign w:val="center"/>
          </w:tcPr>
          <w:p w14:paraId="22A8A8C2">
            <w:pPr>
              <w:pStyle w:val="26"/>
              <w:bidi w:val="0"/>
              <w:rPr>
                <w:rFonts w:hint="default"/>
                <w:lang w:val="en-US" w:eastAsia="zh-CN"/>
              </w:rPr>
            </w:pPr>
            <w:r>
              <w:rPr>
                <w:rFonts w:hint="default"/>
                <w:lang w:val="en-US" w:eastAsia="zh-CN"/>
              </w:rPr>
              <w:t>0.06</w:t>
            </w:r>
          </w:p>
        </w:tc>
        <w:tc>
          <w:tcPr>
            <w:tcW w:w="588" w:type="pct"/>
            <w:tcBorders>
              <w:tl2br w:val="nil"/>
              <w:tr2bl w:val="nil"/>
            </w:tcBorders>
            <w:noWrap w:val="0"/>
            <w:vAlign w:val="center"/>
          </w:tcPr>
          <w:p w14:paraId="0EE1A642">
            <w:pPr>
              <w:pStyle w:val="26"/>
              <w:bidi w:val="0"/>
              <w:rPr>
                <w:rFonts w:hint="default"/>
                <w:lang w:val="en-US" w:eastAsia="zh-CN"/>
              </w:rPr>
            </w:pPr>
            <w:r>
              <w:rPr>
                <w:rFonts w:hint="default"/>
                <w:lang w:val="en-US" w:eastAsia="zh-CN"/>
              </w:rPr>
              <w:t>0.05</w:t>
            </w:r>
          </w:p>
        </w:tc>
        <w:tc>
          <w:tcPr>
            <w:tcW w:w="1039" w:type="pct"/>
            <w:tcBorders>
              <w:tl2br w:val="nil"/>
              <w:tr2bl w:val="nil"/>
            </w:tcBorders>
            <w:noWrap w:val="0"/>
            <w:vAlign w:val="center"/>
          </w:tcPr>
          <w:p w14:paraId="18EF068B">
            <w:pPr>
              <w:pStyle w:val="26"/>
              <w:bidi w:val="0"/>
              <w:rPr>
                <w:rFonts w:hint="default"/>
                <w:lang w:val="en-US" w:eastAsia="zh-CN"/>
              </w:rPr>
            </w:pPr>
            <w:r>
              <w:rPr>
                <w:rFonts w:hint="default"/>
                <w:lang w:val="en-US" w:eastAsia="zh-CN"/>
              </w:rPr>
              <w:t>第1层承压水</w:t>
            </w:r>
          </w:p>
          <w:p w14:paraId="2A092E22">
            <w:pPr>
              <w:pStyle w:val="26"/>
              <w:bidi w:val="0"/>
              <w:rPr>
                <w:rFonts w:hint="default"/>
                <w:lang w:val="en-US" w:eastAsia="zh-CN"/>
              </w:rPr>
            </w:pPr>
            <w:r>
              <w:rPr>
                <w:rFonts w:hint="default"/>
                <w:lang w:val="en-US" w:eastAsia="zh-CN"/>
              </w:rPr>
              <w:t>稳定水位</w:t>
            </w:r>
          </w:p>
        </w:tc>
      </w:tr>
    </w:tbl>
    <w:p w14:paraId="4C146DD2">
      <w:pPr>
        <w:pStyle w:val="26"/>
        <w:bidi w:val="0"/>
        <w:rPr>
          <w:rFonts w:hint="default"/>
          <w:lang w:val="en-US" w:eastAsia="zh-CN"/>
        </w:rPr>
      </w:pPr>
    </w:p>
    <w:p w14:paraId="7F08C79F">
      <w:pPr>
        <w:pStyle w:val="4"/>
        <w:bidi w:val="0"/>
        <w:rPr>
          <w:color w:val="auto"/>
          <w:lang w:val="en-US" w:eastAsia="zh-CN"/>
        </w:rPr>
      </w:pPr>
      <w:bookmarkStart w:id="235" w:name="_Toc31862"/>
      <w:bookmarkStart w:id="236" w:name="_Toc18794"/>
      <w:r>
        <w:rPr>
          <w:rFonts w:hint="eastAsia"/>
          <w:color w:val="auto"/>
          <w:lang w:val="en-US" w:eastAsia="zh-CN"/>
        </w:rPr>
        <w:t>生态环境</w:t>
      </w:r>
      <w:bookmarkEnd w:id="235"/>
      <w:bookmarkEnd w:id="236"/>
    </w:p>
    <w:p w14:paraId="24371BBF">
      <w:pPr>
        <w:ind w:firstLine="480"/>
        <w:rPr>
          <w:rFonts w:ascii="Times New Roman" w:hAnsi="Times New Roman" w:cs="Times New Roman"/>
          <w:color w:val="auto"/>
        </w:rPr>
      </w:pPr>
      <w:r>
        <w:rPr>
          <w:rFonts w:ascii="Times New Roman" w:hAnsi="Times New Roman" w:cs="Times New Roman"/>
          <w:color w:val="auto"/>
        </w:rPr>
        <w:t>1、陆生生态</w:t>
      </w:r>
    </w:p>
    <w:p w14:paraId="713032DE">
      <w:pPr>
        <w:ind w:firstLine="480"/>
        <w:rPr>
          <w:rFonts w:ascii="Times New Roman" w:hAnsi="Times New Roman" w:cs="Times New Roman"/>
          <w:color w:val="auto"/>
        </w:rPr>
      </w:pPr>
      <w:r>
        <w:rPr>
          <w:rFonts w:ascii="Times New Roman" w:hAnsi="Times New Roman" w:cs="Times New Roman"/>
          <w:color w:val="auto"/>
        </w:rPr>
        <w:t>昆山地处北亚热带，气候湿润，雨水充沛，地形复杂，生态环境多样，植物种类繁多，植被资源丰厚。植被类型从平原、岗地到低山分布明显，低山中上部常常以常绿针叶为主，其中马尾松、黑松、侧柏等树种居多，常年青翠。山坡下部及沟谷地带以落叶阔叶林为主，主要是人工栽培的经济林，有茶、桑、梨等，而大面积丘陵农田，种植水稻，小麦、玉米等作物。圩区平原地势平洼，河渠纵横，大面积种植水稻、小麦、玉米等作物。在道旁、水边及家舍周围，有密植的扬、柳、杉、椿等树种。人工植被主要以栽培作物为主，主要作物是水稻、三麦、油菜，蔬菜主要有叶菜、果菜、茎菜、根菜和花菜等五大类几十个品种；经济作物主要有棉花、桑和茶等。林木类有竹、松、梅、桑等，观赏型树种日渐增多，以琼花为珍；野生药用植物有百余种，数并蒂莲为贵；野生动物品种繁多，其中阳澄湖大闸蟹驰名中外。目前，随着社会经济的发展，当地的生态环境已由农业生态向工业生态、城市生态逐步转化演变。植物共有180科900多种，可分为木、竹、花、蔬、草等五大类，其中比较珍稀的有水杉、杜仲等。</w:t>
      </w:r>
    </w:p>
    <w:p w14:paraId="611C6F99">
      <w:pPr>
        <w:ind w:firstLine="480"/>
        <w:rPr>
          <w:rFonts w:ascii="Times New Roman" w:hAnsi="Times New Roman" w:cs="Times New Roman"/>
          <w:color w:val="auto"/>
        </w:rPr>
      </w:pPr>
      <w:r>
        <w:rPr>
          <w:rFonts w:hint="eastAsia" w:cs="Times New Roman"/>
          <w:color w:val="auto"/>
          <w:lang w:val="en-US" w:eastAsia="zh-CN"/>
        </w:rPr>
        <w:t>2</w:t>
      </w:r>
      <w:r>
        <w:rPr>
          <w:rFonts w:ascii="Times New Roman" w:hAnsi="Times New Roman" w:cs="Times New Roman"/>
          <w:color w:val="auto"/>
        </w:rPr>
        <w:t>、水生生态</w:t>
      </w:r>
    </w:p>
    <w:p w14:paraId="1AF231A7">
      <w:pPr>
        <w:ind w:firstLine="480"/>
        <w:rPr>
          <w:rFonts w:ascii="Times New Roman" w:hAnsi="Times New Roman" w:cs="Times New Roman"/>
          <w:color w:val="auto"/>
        </w:rPr>
      </w:pPr>
      <w:r>
        <w:rPr>
          <w:rFonts w:ascii="Times New Roman" w:hAnsi="Times New Roman" w:cs="Times New Roman"/>
          <w:color w:val="auto"/>
        </w:rPr>
        <w:t>该地区主要的水生植物有浮游植物（蓝藻、硅藻和绿藻）、挺水植物（芦苇、茭草、蒲草等）、浮叶植物（荇菜、金银莲花和野菱）和漂浮植物（浮萍、槐叶萍、水生花等）。河渠池塘多生长狐尾藻、苦菜等沉水水生植被，浅水处主要有浮萍，莲子等浮水，挺水水生植被。</w:t>
      </w:r>
    </w:p>
    <w:p w14:paraId="58678AD0">
      <w:pPr>
        <w:ind w:firstLine="480"/>
        <w:rPr>
          <w:rFonts w:ascii="Times New Roman" w:hAnsi="Times New Roman" w:cs="Times New Roman"/>
          <w:color w:val="auto"/>
        </w:rPr>
      </w:pPr>
      <w:r>
        <w:rPr>
          <w:rFonts w:ascii="Times New Roman" w:hAnsi="Times New Roman" w:cs="Times New Roman"/>
          <w:color w:val="auto"/>
        </w:rPr>
        <w:t>主要的浮游植物有原生植物、轮虫、枝角类和挠足类四大类约二十多种，不同种类群中的优势种主要为：原生动物为表壳虫，钟彤似铃虫等，轮虫有狭甲轮虫、单趾轮虫等，枝角类有秀体蚤，大型蚤等，挠足类有长江新镖水蚤、中华原镖水藻等。</w:t>
      </w:r>
    </w:p>
    <w:p w14:paraId="174541C7">
      <w:pPr>
        <w:ind w:firstLine="480"/>
        <w:rPr>
          <w:rFonts w:ascii="Times New Roman" w:hAnsi="Times New Roman" w:cs="Times New Roman"/>
          <w:color w:val="auto"/>
        </w:rPr>
      </w:pPr>
      <w:r>
        <w:rPr>
          <w:rFonts w:ascii="Times New Roman" w:hAnsi="Times New Roman" w:cs="Times New Roman"/>
          <w:color w:val="auto"/>
        </w:rPr>
        <w:t>该地区主要的底栖动物有环节动物（水栖寡毛类和蛭类），节肢动物（蟹、虾等），软体动物（田螺、棱螺等）。</w:t>
      </w:r>
    </w:p>
    <w:p w14:paraId="3D78D049">
      <w:pPr>
        <w:rPr>
          <w:rFonts w:ascii="Times New Roman" w:hAnsi="Times New Roman"/>
          <w:color w:val="auto"/>
        </w:rPr>
      </w:pPr>
      <w:r>
        <w:rPr>
          <w:rFonts w:ascii="Times New Roman" w:hAnsi="Times New Roman" w:cs="Times New Roman"/>
          <w:color w:val="auto"/>
        </w:rPr>
        <w:t>野生和家养的鱼类有草鱼、青鱼、鲢鱼、鲤鱼、鲫鱼、鳊鱼、黑鱼等几十种。甲壳类有虾、蟹等，贝类有田螺，蚌等</w:t>
      </w:r>
      <w:r>
        <w:rPr>
          <w:rFonts w:hint="eastAsia" w:ascii="Times New Roman" w:hAnsi="Times New Roman"/>
          <w:color w:val="auto"/>
        </w:rPr>
        <w:t>。</w:t>
      </w:r>
    </w:p>
    <w:p w14:paraId="0DB399FF">
      <w:pPr>
        <w:pStyle w:val="3"/>
        <w:bidi w:val="0"/>
        <w:rPr>
          <w:color w:val="auto"/>
          <w:lang w:val="en-US" w:eastAsia="zh-CN"/>
        </w:rPr>
      </w:pPr>
      <w:bookmarkStart w:id="237" w:name="_Toc8861"/>
      <w:bookmarkStart w:id="238" w:name="_Toc11669"/>
      <w:r>
        <w:rPr>
          <w:rFonts w:hint="eastAsia"/>
          <w:color w:val="auto"/>
          <w:lang w:val="en-US" w:eastAsia="zh-CN"/>
        </w:rPr>
        <w:t>环境质量现状调查与评价</w:t>
      </w:r>
      <w:bookmarkEnd w:id="237"/>
      <w:bookmarkEnd w:id="238"/>
    </w:p>
    <w:p w14:paraId="76A13502">
      <w:pPr>
        <w:pStyle w:val="4"/>
        <w:bidi w:val="0"/>
        <w:rPr>
          <w:color w:val="auto"/>
          <w:lang w:val="en-US" w:eastAsia="zh-CN"/>
        </w:rPr>
      </w:pPr>
      <w:bookmarkStart w:id="239" w:name="_Toc25024"/>
      <w:bookmarkStart w:id="240" w:name="_Toc4453"/>
      <w:r>
        <w:rPr>
          <w:rFonts w:hint="eastAsia"/>
          <w:color w:val="auto"/>
          <w:lang w:val="en-US" w:eastAsia="zh-CN"/>
        </w:rPr>
        <w:t>大气环境质量现状监测与评价</w:t>
      </w:r>
      <w:bookmarkEnd w:id="239"/>
      <w:bookmarkEnd w:id="240"/>
    </w:p>
    <w:p w14:paraId="5CEBC75C">
      <w:pPr>
        <w:pStyle w:val="5"/>
        <w:bidi w:val="0"/>
        <w:rPr>
          <w:color w:val="auto"/>
          <w:lang w:val="en-US" w:eastAsia="zh-CN"/>
        </w:rPr>
      </w:pPr>
      <w:r>
        <w:rPr>
          <w:rFonts w:hint="eastAsia"/>
          <w:color w:val="auto"/>
          <w:lang w:val="en-US" w:eastAsia="zh-CN"/>
        </w:rPr>
        <w:t>区域环境空气质量达标情况</w:t>
      </w:r>
    </w:p>
    <w:p w14:paraId="1A6FB07A">
      <w:pPr>
        <w:rPr>
          <w:rFonts w:ascii="Times New Roman" w:hAnsi="Times New Roman"/>
          <w:color w:val="auto"/>
          <w:highlight w:val="none"/>
        </w:rPr>
      </w:pPr>
      <w:r>
        <w:rPr>
          <w:rFonts w:hint="eastAsia" w:ascii="Times New Roman" w:hAnsi="Times New Roman"/>
          <w:color w:val="auto"/>
          <w:highlight w:val="none"/>
        </w:rPr>
        <w:t>本次评价选取202</w:t>
      </w:r>
      <w:r>
        <w:rPr>
          <w:rFonts w:hint="eastAsia"/>
          <w:color w:val="auto"/>
          <w:highlight w:val="none"/>
          <w:lang w:val="en-US" w:eastAsia="zh-CN"/>
        </w:rPr>
        <w:t>5</w:t>
      </w:r>
      <w:r>
        <w:rPr>
          <w:rFonts w:hint="eastAsia" w:ascii="Times New Roman" w:hAnsi="Times New Roman"/>
          <w:color w:val="auto"/>
          <w:highlight w:val="none"/>
        </w:rPr>
        <w:t>年作为评价基准年，根据《202</w:t>
      </w:r>
      <w:r>
        <w:rPr>
          <w:rFonts w:hint="eastAsia"/>
          <w:color w:val="auto"/>
          <w:highlight w:val="none"/>
          <w:lang w:val="en-US" w:eastAsia="zh-CN"/>
        </w:rPr>
        <w:t>5</w:t>
      </w:r>
      <w:r>
        <w:rPr>
          <w:rFonts w:hint="eastAsia" w:ascii="Times New Roman" w:hAnsi="Times New Roman"/>
          <w:color w:val="auto"/>
          <w:highlight w:val="none"/>
        </w:rPr>
        <w:t>年度昆山市环境状况公报》，项目所在区域昆山市各评价因子数据如下。</w:t>
      </w:r>
    </w:p>
    <w:p w14:paraId="382ADD9D">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w:t>
      </w:r>
      <w:r>
        <w:rPr>
          <w:color w:val="auto"/>
          <w:lang w:val="en-US" w:eastAsia="zh-CN"/>
        </w:rPr>
        <w:fldChar w:fldCharType="end"/>
      </w:r>
      <w:r>
        <w:rPr>
          <w:rFonts w:hint="eastAsia"/>
          <w:color w:val="auto"/>
          <w:lang w:val="en-US" w:eastAsia="zh-CN"/>
        </w:rPr>
        <w:t>区域空气质量现状评价表</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2134"/>
        <w:gridCol w:w="1340"/>
        <w:gridCol w:w="1340"/>
        <w:gridCol w:w="1462"/>
        <w:gridCol w:w="966"/>
      </w:tblGrid>
      <w:tr w14:paraId="6D41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751" w:type="pct"/>
            <w:vAlign w:val="center"/>
          </w:tcPr>
          <w:p w14:paraId="6AC11EF7">
            <w:pPr>
              <w:pStyle w:val="36"/>
              <w:bidi w:val="0"/>
              <w:rPr>
                <w:color w:val="auto"/>
              </w:rPr>
            </w:pPr>
            <w:r>
              <w:rPr>
                <w:color w:val="auto"/>
              </w:rPr>
              <w:t>污染物</w:t>
            </w:r>
          </w:p>
        </w:tc>
        <w:tc>
          <w:tcPr>
            <w:tcW w:w="1252" w:type="pct"/>
            <w:vAlign w:val="center"/>
          </w:tcPr>
          <w:p w14:paraId="0DCDE1B2">
            <w:pPr>
              <w:pStyle w:val="36"/>
              <w:bidi w:val="0"/>
              <w:rPr>
                <w:color w:val="auto"/>
              </w:rPr>
            </w:pPr>
            <w:r>
              <w:rPr>
                <w:color w:val="auto"/>
              </w:rPr>
              <w:t>年评价指标</w:t>
            </w:r>
          </w:p>
        </w:tc>
        <w:tc>
          <w:tcPr>
            <w:tcW w:w="786" w:type="pct"/>
            <w:vAlign w:val="center"/>
          </w:tcPr>
          <w:p w14:paraId="2E5815B9">
            <w:pPr>
              <w:pStyle w:val="36"/>
              <w:bidi w:val="0"/>
              <w:rPr>
                <w:color w:val="auto"/>
              </w:rPr>
            </w:pPr>
            <w:r>
              <w:rPr>
                <w:color w:val="auto"/>
              </w:rPr>
              <w:t>现状浓度（μg/m</w:t>
            </w:r>
            <w:r>
              <w:rPr>
                <w:color w:val="auto"/>
                <w:vertAlign w:val="superscript"/>
              </w:rPr>
              <w:t>3</w:t>
            </w:r>
            <w:r>
              <w:rPr>
                <w:color w:val="auto"/>
              </w:rPr>
              <w:t>）</w:t>
            </w:r>
          </w:p>
        </w:tc>
        <w:tc>
          <w:tcPr>
            <w:tcW w:w="786" w:type="pct"/>
            <w:vAlign w:val="center"/>
          </w:tcPr>
          <w:p w14:paraId="04462C8F">
            <w:pPr>
              <w:pStyle w:val="36"/>
              <w:bidi w:val="0"/>
              <w:rPr>
                <w:color w:val="auto"/>
              </w:rPr>
            </w:pPr>
            <w:r>
              <w:rPr>
                <w:color w:val="auto"/>
              </w:rPr>
              <w:t>标准值（μg/m</w:t>
            </w:r>
            <w:r>
              <w:rPr>
                <w:color w:val="auto"/>
                <w:vertAlign w:val="superscript"/>
              </w:rPr>
              <w:t>3</w:t>
            </w:r>
            <w:r>
              <w:rPr>
                <w:color w:val="auto"/>
              </w:rPr>
              <w:t>）</w:t>
            </w:r>
          </w:p>
        </w:tc>
        <w:tc>
          <w:tcPr>
            <w:tcW w:w="858" w:type="pct"/>
            <w:vAlign w:val="center"/>
          </w:tcPr>
          <w:p w14:paraId="13280EF8">
            <w:pPr>
              <w:pStyle w:val="36"/>
              <w:bidi w:val="0"/>
              <w:rPr>
                <w:color w:val="auto"/>
              </w:rPr>
            </w:pPr>
            <w:r>
              <w:rPr>
                <w:color w:val="auto"/>
              </w:rPr>
              <w:t>占标率</w:t>
            </w:r>
          </w:p>
          <w:p w14:paraId="02D2E93C">
            <w:pPr>
              <w:pStyle w:val="36"/>
              <w:bidi w:val="0"/>
              <w:rPr>
                <w:color w:val="auto"/>
              </w:rPr>
            </w:pPr>
            <w:r>
              <w:rPr>
                <w:color w:val="auto"/>
              </w:rPr>
              <w:t>（%）</w:t>
            </w:r>
          </w:p>
        </w:tc>
        <w:tc>
          <w:tcPr>
            <w:tcW w:w="567" w:type="pct"/>
            <w:vAlign w:val="center"/>
          </w:tcPr>
          <w:p w14:paraId="704A4B8E">
            <w:pPr>
              <w:pStyle w:val="36"/>
              <w:bidi w:val="0"/>
              <w:rPr>
                <w:color w:val="auto"/>
              </w:rPr>
            </w:pPr>
            <w:r>
              <w:rPr>
                <w:color w:val="auto"/>
              </w:rPr>
              <w:t>达标情况</w:t>
            </w:r>
          </w:p>
        </w:tc>
      </w:tr>
      <w:tr w14:paraId="0450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04C8E87A">
            <w:pPr>
              <w:pStyle w:val="26"/>
              <w:bidi w:val="0"/>
              <w:rPr>
                <w:color w:val="auto"/>
              </w:rPr>
            </w:pPr>
            <w:r>
              <w:rPr>
                <w:color w:val="auto"/>
              </w:rPr>
              <w:t>SO</w:t>
            </w:r>
            <w:r>
              <w:rPr>
                <w:color w:val="auto"/>
                <w:vertAlign w:val="subscript"/>
              </w:rPr>
              <w:t>2</w:t>
            </w:r>
          </w:p>
        </w:tc>
        <w:tc>
          <w:tcPr>
            <w:tcW w:w="2134" w:type="dxa"/>
            <w:vAlign w:val="center"/>
          </w:tcPr>
          <w:p w14:paraId="2A8B4658">
            <w:pPr>
              <w:spacing w:line="240" w:lineRule="auto"/>
              <w:ind w:firstLine="0" w:firstLineChars="0"/>
              <w:jc w:val="center"/>
              <w:rPr>
                <w:color w:val="auto"/>
              </w:rPr>
            </w:pPr>
            <w:r>
              <w:rPr>
                <w:rFonts w:cs="Times New Roman"/>
                <w:color w:val="auto"/>
                <w:sz w:val="21"/>
                <w:szCs w:val="21"/>
                <w:highlight w:val="none"/>
              </w:rPr>
              <w:t>年平均</w:t>
            </w:r>
          </w:p>
        </w:tc>
        <w:tc>
          <w:tcPr>
            <w:tcW w:w="1340" w:type="dxa"/>
            <w:vAlign w:val="center"/>
          </w:tcPr>
          <w:p w14:paraId="3C167662">
            <w:pPr>
              <w:spacing w:line="240" w:lineRule="auto"/>
              <w:ind w:firstLine="0" w:firstLineChars="0"/>
              <w:jc w:val="center"/>
              <w:rPr>
                <w:color w:val="auto"/>
              </w:rPr>
            </w:pPr>
            <w:r>
              <w:rPr>
                <w:rFonts w:cs="Times New Roman"/>
                <w:color w:val="auto"/>
                <w:sz w:val="21"/>
                <w:szCs w:val="21"/>
                <w:highlight w:val="none"/>
              </w:rPr>
              <w:t>8</w:t>
            </w:r>
          </w:p>
        </w:tc>
        <w:tc>
          <w:tcPr>
            <w:tcW w:w="1340" w:type="dxa"/>
            <w:vAlign w:val="center"/>
          </w:tcPr>
          <w:p w14:paraId="44C87454">
            <w:pPr>
              <w:spacing w:line="240" w:lineRule="auto"/>
              <w:ind w:firstLine="0" w:firstLineChars="0"/>
              <w:jc w:val="center"/>
              <w:rPr>
                <w:color w:val="auto"/>
              </w:rPr>
            </w:pPr>
            <w:r>
              <w:rPr>
                <w:rFonts w:cs="Times New Roman"/>
                <w:color w:val="auto"/>
                <w:sz w:val="21"/>
                <w:szCs w:val="21"/>
                <w:highlight w:val="none"/>
              </w:rPr>
              <w:t>60</w:t>
            </w:r>
          </w:p>
        </w:tc>
        <w:tc>
          <w:tcPr>
            <w:tcW w:w="1462" w:type="dxa"/>
            <w:vAlign w:val="center"/>
          </w:tcPr>
          <w:p w14:paraId="5923957A">
            <w:pPr>
              <w:pStyle w:val="26"/>
              <w:bidi w:val="0"/>
              <w:rPr>
                <w:color w:val="auto"/>
              </w:rPr>
            </w:pPr>
            <w:r>
              <w:rPr>
                <w:rFonts w:hint="default"/>
                <w:lang w:val="en-US" w:eastAsia="zh-CN"/>
              </w:rPr>
              <w:t xml:space="preserve">13.3 </w:t>
            </w:r>
          </w:p>
        </w:tc>
        <w:tc>
          <w:tcPr>
            <w:tcW w:w="966" w:type="dxa"/>
            <w:vAlign w:val="center"/>
          </w:tcPr>
          <w:p w14:paraId="452A56CA">
            <w:pPr>
              <w:spacing w:line="240" w:lineRule="auto"/>
              <w:ind w:firstLine="0" w:firstLineChars="0"/>
              <w:jc w:val="center"/>
              <w:rPr>
                <w:color w:val="auto"/>
              </w:rPr>
            </w:pPr>
            <w:r>
              <w:rPr>
                <w:rFonts w:cs="Times New Roman"/>
                <w:color w:val="auto"/>
                <w:sz w:val="21"/>
                <w:szCs w:val="21"/>
                <w:highlight w:val="none"/>
              </w:rPr>
              <w:t>达标</w:t>
            </w:r>
          </w:p>
        </w:tc>
      </w:tr>
      <w:tr w14:paraId="559D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1C3FEC6C">
            <w:pPr>
              <w:pStyle w:val="26"/>
              <w:bidi w:val="0"/>
              <w:rPr>
                <w:color w:val="auto"/>
              </w:rPr>
            </w:pPr>
            <w:r>
              <w:rPr>
                <w:color w:val="auto"/>
              </w:rPr>
              <w:t>NO</w:t>
            </w:r>
            <w:r>
              <w:rPr>
                <w:color w:val="auto"/>
                <w:vertAlign w:val="subscript"/>
              </w:rPr>
              <w:t>2</w:t>
            </w:r>
          </w:p>
        </w:tc>
        <w:tc>
          <w:tcPr>
            <w:tcW w:w="2134" w:type="dxa"/>
            <w:vAlign w:val="center"/>
          </w:tcPr>
          <w:p w14:paraId="5B5DA886">
            <w:pPr>
              <w:spacing w:line="240" w:lineRule="auto"/>
              <w:ind w:firstLine="0" w:firstLineChars="0"/>
              <w:jc w:val="center"/>
              <w:rPr>
                <w:color w:val="auto"/>
              </w:rPr>
            </w:pPr>
            <w:r>
              <w:rPr>
                <w:rFonts w:cs="Times New Roman"/>
                <w:color w:val="auto"/>
                <w:sz w:val="21"/>
                <w:szCs w:val="21"/>
                <w:highlight w:val="none"/>
              </w:rPr>
              <w:t>年平均</w:t>
            </w:r>
          </w:p>
        </w:tc>
        <w:tc>
          <w:tcPr>
            <w:tcW w:w="1340" w:type="dxa"/>
            <w:vAlign w:val="center"/>
          </w:tcPr>
          <w:p w14:paraId="33170CD9">
            <w:pPr>
              <w:spacing w:line="240" w:lineRule="auto"/>
              <w:ind w:firstLine="0" w:firstLineChars="0"/>
              <w:jc w:val="center"/>
              <w:rPr>
                <w:color w:val="auto"/>
              </w:rPr>
            </w:pPr>
            <w:r>
              <w:rPr>
                <w:rFonts w:cs="Times New Roman"/>
                <w:color w:val="auto"/>
                <w:sz w:val="21"/>
                <w:szCs w:val="21"/>
                <w:highlight w:val="none"/>
              </w:rPr>
              <w:t>2</w:t>
            </w:r>
            <w:r>
              <w:rPr>
                <w:rFonts w:hint="eastAsia" w:cs="Times New Roman"/>
                <w:color w:val="auto"/>
                <w:sz w:val="21"/>
                <w:szCs w:val="21"/>
                <w:highlight w:val="none"/>
                <w:lang w:val="en-US" w:eastAsia="zh-CN"/>
              </w:rPr>
              <w:t>9</w:t>
            </w:r>
          </w:p>
        </w:tc>
        <w:tc>
          <w:tcPr>
            <w:tcW w:w="1340" w:type="dxa"/>
            <w:vAlign w:val="center"/>
          </w:tcPr>
          <w:p w14:paraId="1654B774">
            <w:pPr>
              <w:spacing w:line="240" w:lineRule="auto"/>
              <w:ind w:firstLine="0" w:firstLineChars="0"/>
              <w:jc w:val="center"/>
              <w:rPr>
                <w:color w:val="auto"/>
              </w:rPr>
            </w:pPr>
            <w:r>
              <w:rPr>
                <w:rFonts w:cs="Times New Roman"/>
                <w:color w:val="auto"/>
                <w:sz w:val="21"/>
                <w:szCs w:val="21"/>
                <w:highlight w:val="none"/>
              </w:rPr>
              <w:t>40</w:t>
            </w:r>
          </w:p>
        </w:tc>
        <w:tc>
          <w:tcPr>
            <w:tcW w:w="1462" w:type="dxa"/>
            <w:vAlign w:val="center"/>
          </w:tcPr>
          <w:p w14:paraId="4B0E8FB8">
            <w:pPr>
              <w:pStyle w:val="26"/>
              <w:bidi w:val="0"/>
              <w:rPr>
                <w:color w:val="auto"/>
              </w:rPr>
            </w:pPr>
            <w:r>
              <w:rPr>
                <w:rFonts w:hint="default"/>
                <w:lang w:val="en-US" w:eastAsia="zh-CN"/>
              </w:rPr>
              <w:t xml:space="preserve">72.5 </w:t>
            </w:r>
          </w:p>
        </w:tc>
        <w:tc>
          <w:tcPr>
            <w:tcW w:w="966" w:type="dxa"/>
            <w:vAlign w:val="center"/>
          </w:tcPr>
          <w:p w14:paraId="08AC50A0">
            <w:pPr>
              <w:spacing w:line="240" w:lineRule="auto"/>
              <w:ind w:firstLine="0" w:firstLineChars="0"/>
              <w:jc w:val="center"/>
              <w:rPr>
                <w:color w:val="auto"/>
              </w:rPr>
            </w:pPr>
            <w:r>
              <w:rPr>
                <w:rFonts w:cs="Times New Roman"/>
                <w:color w:val="auto"/>
                <w:sz w:val="21"/>
                <w:szCs w:val="21"/>
                <w:highlight w:val="none"/>
              </w:rPr>
              <w:t>达标</w:t>
            </w:r>
          </w:p>
        </w:tc>
      </w:tr>
      <w:tr w14:paraId="2715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2117BC41">
            <w:pPr>
              <w:pStyle w:val="26"/>
              <w:bidi w:val="0"/>
              <w:rPr>
                <w:color w:val="auto"/>
              </w:rPr>
            </w:pPr>
            <w:r>
              <w:rPr>
                <w:color w:val="auto"/>
              </w:rPr>
              <w:t>PM</w:t>
            </w:r>
            <w:r>
              <w:rPr>
                <w:color w:val="auto"/>
                <w:vertAlign w:val="subscript"/>
              </w:rPr>
              <w:t>10</w:t>
            </w:r>
          </w:p>
        </w:tc>
        <w:tc>
          <w:tcPr>
            <w:tcW w:w="2134" w:type="dxa"/>
            <w:vAlign w:val="center"/>
          </w:tcPr>
          <w:p w14:paraId="269DD944">
            <w:pPr>
              <w:spacing w:line="240" w:lineRule="auto"/>
              <w:ind w:firstLine="0" w:firstLineChars="0"/>
              <w:jc w:val="center"/>
              <w:rPr>
                <w:color w:val="auto"/>
              </w:rPr>
            </w:pPr>
            <w:r>
              <w:rPr>
                <w:rFonts w:cs="Times New Roman"/>
                <w:color w:val="auto"/>
                <w:sz w:val="21"/>
                <w:szCs w:val="21"/>
                <w:highlight w:val="none"/>
              </w:rPr>
              <w:t>年平均</w:t>
            </w:r>
          </w:p>
        </w:tc>
        <w:tc>
          <w:tcPr>
            <w:tcW w:w="1340" w:type="dxa"/>
            <w:vAlign w:val="center"/>
          </w:tcPr>
          <w:p w14:paraId="10A4BC67">
            <w:pPr>
              <w:spacing w:line="240" w:lineRule="auto"/>
              <w:ind w:firstLine="0" w:firstLineChars="0"/>
              <w:jc w:val="center"/>
              <w:rPr>
                <w:color w:val="auto"/>
              </w:rPr>
            </w:pPr>
            <w:r>
              <w:rPr>
                <w:rFonts w:cs="Times New Roman"/>
                <w:color w:val="auto"/>
                <w:sz w:val="21"/>
                <w:szCs w:val="21"/>
                <w:highlight w:val="none"/>
              </w:rPr>
              <w:t>4</w:t>
            </w:r>
            <w:r>
              <w:rPr>
                <w:rFonts w:hint="eastAsia" w:cs="Times New Roman"/>
                <w:color w:val="auto"/>
                <w:sz w:val="21"/>
                <w:szCs w:val="21"/>
                <w:highlight w:val="none"/>
                <w:lang w:val="en-US" w:eastAsia="zh-CN"/>
              </w:rPr>
              <w:t>9</w:t>
            </w:r>
          </w:p>
        </w:tc>
        <w:tc>
          <w:tcPr>
            <w:tcW w:w="1340" w:type="dxa"/>
            <w:vAlign w:val="center"/>
          </w:tcPr>
          <w:p w14:paraId="1ADC85D3">
            <w:pPr>
              <w:spacing w:line="240" w:lineRule="auto"/>
              <w:ind w:firstLine="0" w:firstLineChars="0"/>
              <w:jc w:val="center"/>
              <w:rPr>
                <w:color w:val="auto"/>
              </w:rPr>
            </w:pPr>
            <w:r>
              <w:rPr>
                <w:rFonts w:cs="Times New Roman"/>
                <w:color w:val="auto"/>
                <w:sz w:val="21"/>
                <w:szCs w:val="21"/>
                <w:highlight w:val="none"/>
              </w:rPr>
              <w:t>70</w:t>
            </w:r>
          </w:p>
        </w:tc>
        <w:tc>
          <w:tcPr>
            <w:tcW w:w="1462" w:type="dxa"/>
            <w:vAlign w:val="center"/>
          </w:tcPr>
          <w:p w14:paraId="1906B14B">
            <w:pPr>
              <w:pStyle w:val="26"/>
              <w:bidi w:val="0"/>
              <w:rPr>
                <w:color w:val="auto"/>
              </w:rPr>
            </w:pPr>
            <w:r>
              <w:rPr>
                <w:rFonts w:hint="default"/>
                <w:lang w:val="en-US" w:eastAsia="zh-CN"/>
              </w:rPr>
              <w:t xml:space="preserve">70.0 </w:t>
            </w:r>
          </w:p>
        </w:tc>
        <w:tc>
          <w:tcPr>
            <w:tcW w:w="966" w:type="dxa"/>
            <w:vAlign w:val="center"/>
          </w:tcPr>
          <w:p w14:paraId="30CC4238">
            <w:pPr>
              <w:spacing w:line="240" w:lineRule="auto"/>
              <w:ind w:firstLine="0" w:firstLineChars="0"/>
              <w:jc w:val="center"/>
              <w:rPr>
                <w:color w:val="auto"/>
              </w:rPr>
            </w:pPr>
            <w:r>
              <w:rPr>
                <w:rFonts w:cs="Times New Roman"/>
                <w:color w:val="auto"/>
                <w:sz w:val="21"/>
                <w:szCs w:val="21"/>
                <w:highlight w:val="none"/>
              </w:rPr>
              <w:t>达标</w:t>
            </w:r>
          </w:p>
        </w:tc>
      </w:tr>
      <w:tr w14:paraId="04AB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724A6991">
            <w:pPr>
              <w:pStyle w:val="26"/>
              <w:bidi w:val="0"/>
              <w:rPr>
                <w:color w:val="auto"/>
              </w:rPr>
            </w:pPr>
            <w:r>
              <w:rPr>
                <w:color w:val="auto"/>
              </w:rPr>
              <w:t>PM</w:t>
            </w:r>
            <w:r>
              <w:rPr>
                <w:color w:val="auto"/>
                <w:vertAlign w:val="subscript"/>
              </w:rPr>
              <w:t>2.5</w:t>
            </w:r>
          </w:p>
        </w:tc>
        <w:tc>
          <w:tcPr>
            <w:tcW w:w="2134" w:type="dxa"/>
            <w:vAlign w:val="center"/>
          </w:tcPr>
          <w:p w14:paraId="2BC0C462">
            <w:pPr>
              <w:spacing w:line="240" w:lineRule="auto"/>
              <w:ind w:firstLine="0" w:firstLineChars="0"/>
              <w:jc w:val="center"/>
              <w:rPr>
                <w:color w:val="auto"/>
              </w:rPr>
            </w:pPr>
            <w:r>
              <w:rPr>
                <w:rFonts w:cs="Times New Roman"/>
                <w:color w:val="auto"/>
                <w:sz w:val="21"/>
                <w:szCs w:val="21"/>
                <w:highlight w:val="none"/>
              </w:rPr>
              <w:t>年平均</w:t>
            </w:r>
          </w:p>
        </w:tc>
        <w:tc>
          <w:tcPr>
            <w:tcW w:w="1340" w:type="dxa"/>
            <w:vAlign w:val="center"/>
          </w:tcPr>
          <w:p w14:paraId="1D3A9BE0">
            <w:pPr>
              <w:spacing w:line="240" w:lineRule="auto"/>
              <w:ind w:firstLine="0" w:firstLineChars="0"/>
              <w:jc w:val="center"/>
              <w:rPr>
                <w:color w:val="auto"/>
              </w:rPr>
            </w:pPr>
            <w:r>
              <w:rPr>
                <w:rFonts w:cs="Times New Roman"/>
                <w:color w:val="auto"/>
                <w:sz w:val="21"/>
                <w:szCs w:val="21"/>
                <w:highlight w:val="none"/>
              </w:rPr>
              <w:t>2</w:t>
            </w:r>
            <w:r>
              <w:rPr>
                <w:rFonts w:hint="eastAsia" w:cs="Times New Roman"/>
                <w:color w:val="auto"/>
                <w:sz w:val="21"/>
                <w:szCs w:val="21"/>
                <w:highlight w:val="none"/>
                <w:lang w:val="en-US" w:eastAsia="zh-CN"/>
              </w:rPr>
              <w:t>8</w:t>
            </w:r>
          </w:p>
        </w:tc>
        <w:tc>
          <w:tcPr>
            <w:tcW w:w="1340" w:type="dxa"/>
            <w:vAlign w:val="center"/>
          </w:tcPr>
          <w:p w14:paraId="6C7AA3A9">
            <w:pPr>
              <w:spacing w:line="240" w:lineRule="auto"/>
              <w:ind w:firstLine="0" w:firstLineChars="0"/>
              <w:jc w:val="center"/>
              <w:rPr>
                <w:color w:val="auto"/>
              </w:rPr>
            </w:pPr>
            <w:r>
              <w:rPr>
                <w:rFonts w:cs="Times New Roman"/>
                <w:color w:val="auto"/>
                <w:sz w:val="21"/>
                <w:szCs w:val="21"/>
                <w:highlight w:val="none"/>
              </w:rPr>
              <w:t>35</w:t>
            </w:r>
          </w:p>
        </w:tc>
        <w:tc>
          <w:tcPr>
            <w:tcW w:w="1462" w:type="dxa"/>
            <w:vAlign w:val="center"/>
          </w:tcPr>
          <w:p w14:paraId="37E56895">
            <w:pPr>
              <w:pStyle w:val="26"/>
              <w:bidi w:val="0"/>
              <w:rPr>
                <w:color w:val="auto"/>
              </w:rPr>
            </w:pPr>
            <w:r>
              <w:rPr>
                <w:rFonts w:hint="default"/>
                <w:lang w:val="en-US" w:eastAsia="zh-CN"/>
              </w:rPr>
              <w:t xml:space="preserve">80.0 </w:t>
            </w:r>
          </w:p>
        </w:tc>
        <w:tc>
          <w:tcPr>
            <w:tcW w:w="966" w:type="dxa"/>
            <w:vAlign w:val="center"/>
          </w:tcPr>
          <w:p w14:paraId="76E9DC0A">
            <w:pPr>
              <w:spacing w:line="240" w:lineRule="auto"/>
              <w:ind w:firstLine="0" w:firstLineChars="0"/>
              <w:jc w:val="center"/>
              <w:rPr>
                <w:color w:val="auto"/>
              </w:rPr>
            </w:pPr>
            <w:r>
              <w:rPr>
                <w:rFonts w:cs="Times New Roman"/>
                <w:color w:val="auto"/>
                <w:sz w:val="21"/>
                <w:szCs w:val="21"/>
                <w:highlight w:val="none"/>
              </w:rPr>
              <w:t>达标</w:t>
            </w:r>
          </w:p>
        </w:tc>
      </w:tr>
      <w:tr w14:paraId="3C61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3EFBA66C">
            <w:pPr>
              <w:pStyle w:val="26"/>
              <w:bidi w:val="0"/>
              <w:rPr>
                <w:color w:val="auto"/>
              </w:rPr>
            </w:pPr>
            <w:r>
              <w:rPr>
                <w:color w:val="auto"/>
              </w:rPr>
              <w:t>CO</w:t>
            </w:r>
          </w:p>
        </w:tc>
        <w:tc>
          <w:tcPr>
            <w:tcW w:w="2134" w:type="dxa"/>
            <w:vAlign w:val="center"/>
          </w:tcPr>
          <w:p w14:paraId="572C6349">
            <w:pPr>
              <w:spacing w:line="240" w:lineRule="auto"/>
              <w:ind w:firstLine="0" w:firstLineChars="0"/>
              <w:jc w:val="center"/>
              <w:rPr>
                <w:color w:val="auto"/>
              </w:rPr>
            </w:pPr>
            <w:r>
              <w:rPr>
                <w:rFonts w:cs="Times New Roman"/>
                <w:color w:val="auto"/>
                <w:sz w:val="21"/>
                <w:szCs w:val="21"/>
                <w:highlight w:val="none"/>
              </w:rPr>
              <w:t>24小时平均第95百分位数</w:t>
            </w:r>
          </w:p>
        </w:tc>
        <w:tc>
          <w:tcPr>
            <w:tcW w:w="1340" w:type="dxa"/>
            <w:vAlign w:val="center"/>
          </w:tcPr>
          <w:p w14:paraId="5CE9D07E">
            <w:pPr>
              <w:spacing w:line="240" w:lineRule="auto"/>
              <w:ind w:firstLine="0" w:firstLineChars="0"/>
              <w:jc w:val="center"/>
              <w:rPr>
                <w:color w:val="auto"/>
              </w:rPr>
            </w:pPr>
            <w:r>
              <w:rPr>
                <w:rFonts w:cs="Times New Roman"/>
                <w:color w:val="auto"/>
                <w:sz w:val="21"/>
                <w:szCs w:val="21"/>
                <w:highlight w:val="none"/>
              </w:rPr>
              <w:t>1</w:t>
            </w:r>
            <w:r>
              <w:rPr>
                <w:rFonts w:hint="eastAsia" w:cs="Times New Roman"/>
                <w:color w:val="auto"/>
                <w:sz w:val="21"/>
                <w:szCs w:val="21"/>
                <w:highlight w:val="none"/>
                <w:lang w:val="en-US" w:eastAsia="zh-CN"/>
              </w:rPr>
              <w:t>0</w:t>
            </w:r>
            <w:r>
              <w:rPr>
                <w:rFonts w:cs="Times New Roman"/>
                <w:color w:val="auto"/>
                <w:sz w:val="21"/>
                <w:szCs w:val="21"/>
                <w:highlight w:val="none"/>
              </w:rPr>
              <w:t>00</w:t>
            </w:r>
          </w:p>
        </w:tc>
        <w:tc>
          <w:tcPr>
            <w:tcW w:w="1340" w:type="dxa"/>
            <w:vAlign w:val="center"/>
          </w:tcPr>
          <w:p w14:paraId="10F05DF9">
            <w:pPr>
              <w:spacing w:line="240" w:lineRule="auto"/>
              <w:ind w:firstLine="0" w:firstLineChars="0"/>
              <w:jc w:val="center"/>
              <w:rPr>
                <w:color w:val="auto"/>
              </w:rPr>
            </w:pPr>
            <w:r>
              <w:rPr>
                <w:rFonts w:cs="Times New Roman"/>
                <w:color w:val="auto"/>
                <w:sz w:val="21"/>
                <w:szCs w:val="21"/>
                <w:highlight w:val="none"/>
              </w:rPr>
              <w:t>4000</w:t>
            </w:r>
          </w:p>
        </w:tc>
        <w:tc>
          <w:tcPr>
            <w:tcW w:w="1462" w:type="dxa"/>
            <w:vAlign w:val="center"/>
          </w:tcPr>
          <w:p w14:paraId="7051D805">
            <w:pPr>
              <w:pStyle w:val="26"/>
              <w:bidi w:val="0"/>
              <w:rPr>
                <w:color w:val="auto"/>
              </w:rPr>
            </w:pPr>
            <w:r>
              <w:rPr>
                <w:rFonts w:hint="default"/>
                <w:lang w:val="en-US" w:eastAsia="zh-CN"/>
              </w:rPr>
              <w:t xml:space="preserve">25.0 </w:t>
            </w:r>
          </w:p>
        </w:tc>
        <w:tc>
          <w:tcPr>
            <w:tcW w:w="966" w:type="dxa"/>
            <w:vAlign w:val="center"/>
          </w:tcPr>
          <w:p w14:paraId="0ED92B5C">
            <w:pPr>
              <w:spacing w:line="240" w:lineRule="auto"/>
              <w:ind w:firstLine="0" w:firstLineChars="0"/>
              <w:jc w:val="center"/>
              <w:rPr>
                <w:color w:val="auto"/>
              </w:rPr>
            </w:pPr>
            <w:r>
              <w:rPr>
                <w:rFonts w:cs="Times New Roman"/>
                <w:color w:val="auto"/>
                <w:sz w:val="21"/>
                <w:szCs w:val="21"/>
                <w:highlight w:val="none"/>
              </w:rPr>
              <w:t>达标</w:t>
            </w:r>
          </w:p>
        </w:tc>
      </w:tr>
      <w:tr w14:paraId="2B61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51" w:type="pct"/>
            <w:vAlign w:val="center"/>
          </w:tcPr>
          <w:p w14:paraId="75021204">
            <w:pPr>
              <w:pStyle w:val="26"/>
              <w:bidi w:val="0"/>
              <w:rPr>
                <w:color w:val="auto"/>
              </w:rPr>
            </w:pPr>
            <w:r>
              <w:rPr>
                <w:color w:val="auto"/>
              </w:rPr>
              <w:t>O</w:t>
            </w:r>
            <w:r>
              <w:rPr>
                <w:color w:val="auto"/>
                <w:vertAlign w:val="subscript"/>
              </w:rPr>
              <w:t>3</w:t>
            </w:r>
          </w:p>
        </w:tc>
        <w:tc>
          <w:tcPr>
            <w:tcW w:w="2134" w:type="dxa"/>
            <w:vAlign w:val="center"/>
          </w:tcPr>
          <w:p w14:paraId="6B7A1D36">
            <w:pPr>
              <w:spacing w:line="240" w:lineRule="auto"/>
              <w:ind w:firstLine="0" w:firstLineChars="0"/>
              <w:jc w:val="center"/>
              <w:rPr>
                <w:color w:val="auto"/>
              </w:rPr>
            </w:pPr>
            <w:r>
              <w:rPr>
                <w:rFonts w:cs="Times New Roman"/>
                <w:color w:val="auto"/>
                <w:sz w:val="21"/>
                <w:szCs w:val="21"/>
                <w:highlight w:val="none"/>
              </w:rPr>
              <w:t>日最大8小时滑动平均第90百分位数</w:t>
            </w:r>
          </w:p>
        </w:tc>
        <w:tc>
          <w:tcPr>
            <w:tcW w:w="1340" w:type="dxa"/>
            <w:vAlign w:val="center"/>
          </w:tcPr>
          <w:p w14:paraId="46BF80E6">
            <w:pPr>
              <w:spacing w:line="240" w:lineRule="auto"/>
              <w:ind w:firstLine="0" w:firstLineChars="0"/>
              <w:jc w:val="center"/>
              <w:rPr>
                <w:color w:val="auto"/>
              </w:rPr>
            </w:pPr>
            <w:r>
              <w:rPr>
                <w:rFonts w:cs="Times New Roman"/>
                <w:color w:val="auto"/>
                <w:sz w:val="21"/>
                <w:szCs w:val="21"/>
                <w:highlight w:val="none"/>
              </w:rPr>
              <w:t>1</w:t>
            </w:r>
            <w:r>
              <w:rPr>
                <w:rFonts w:hint="eastAsia" w:cs="Times New Roman"/>
                <w:color w:val="auto"/>
                <w:sz w:val="21"/>
                <w:szCs w:val="21"/>
                <w:highlight w:val="none"/>
                <w:lang w:val="en-US" w:eastAsia="zh-CN"/>
              </w:rPr>
              <w:t>74</w:t>
            </w:r>
          </w:p>
        </w:tc>
        <w:tc>
          <w:tcPr>
            <w:tcW w:w="1340" w:type="dxa"/>
            <w:vAlign w:val="center"/>
          </w:tcPr>
          <w:p w14:paraId="3BC0E121">
            <w:pPr>
              <w:spacing w:line="240" w:lineRule="auto"/>
              <w:ind w:firstLine="0" w:firstLineChars="0"/>
              <w:jc w:val="center"/>
              <w:rPr>
                <w:color w:val="auto"/>
              </w:rPr>
            </w:pPr>
            <w:r>
              <w:rPr>
                <w:rFonts w:cs="Times New Roman"/>
                <w:color w:val="auto"/>
                <w:sz w:val="21"/>
                <w:szCs w:val="21"/>
                <w:highlight w:val="none"/>
              </w:rPr>
              <w:t>160</w:t>
            </w:r>
          </w:p>
        </w:tc>
        <w:tc>
          <w:tcPr>
            <w:tcW w:w="1462" w:type="dxa"/>
            <w:vAlign w:val="center"/>
          </w:tcPr>
          <w:p w14:paraId="71898634">
            <w:pPr>
              <w:pStyle w:val="26"/>
              <w:bidi w:val="0"/>
              <w:rPr>
                <w:color w:val="auto"/>
              </w:rPr>
            </w:pPr>
            <w:r>
              <w:rPr>
                <w:rFonts w:hint="default"/>
                <w:lang w:val="en-US" w:eastAsia="zh-CN"/>
              </w:rPr>
              <w:t xml:space="preserve">108.8 </w:t>
            </w:r>
          </w:p>
        </w:tc>
        <w:tc>
          <w:tcPr>
            <w:tcW w:w="966" w:type="dxa"/>
            <w:vAlign w:val="center"/>
          </w:tcPr>
          <w:p w14:paraId="43EE6337">
            <w:pPr>
              <w:spacing w:line="240" w:lineRule="auto"/>
              <w:ind w:firstLine="0" w:firstLineChars="0"/>
              <w:jc w:val="center"/>
              <w:rPr>
                <w:color w:val="auto"/>
              </w:rPr>
            </w:pPr>
            <w:r>
              <w:rPr>
                <w:rFonts w:cs="Times New Roman"/>
                <w:color w:val="auto"/>
                <w:sz w:val="21"/>
                <w:szCs w:val="21"/>
                <w:highlight w:val="none"/>
              </w:rPr>
              <w:t>超标</w:t>
            </w:r>
          </w:p>
        </w:tc>
      </w:tr>
    </w:tbl>
    <w:p w14:paraId="2956D058">
      <w:pPr>
        <w:rPr>
          <w:rFonts w:ascii="Times New Roman" w:hAnsi="Times New Roman" w:cs="Times New Roman"/>
          <w:color w:val="auto"/>
          <w:highlight w:val="none"/>
        </w:rPr>
      </w:pPr>
      <w:r>
        <w:rPr>
          <w:rFonts w:cs="Times New Roman"/>
          <w:color w:val="auto"/>
          <w:highlight w:val="none"/>
        </w:rPr>
        <w:t>202</w:t>
      </w:r>
      <w:r>
        <w:rPr>
          <w:rFonts w:hint="eastAsia" w:cs="Times New Roman"/>
          <w:color w:val="auto"/>
          <w:highlight w:val="none"/>
          <w:lang w:val="en-US" w:eastAsia="zh-CN"/>
        </w:rPr>
        <w:t>5</w:t>
      </w:r>
      <w:r>
        <w:rPr>
          <w:rFonts w:cs="Times New Roman"/>
          <w:color w:val="auto"/>
          <w:highlight w:val="none"/>
        </w:rPr>
        <w:t>年昆山市城市环境空气中二氧化硫、二氧化氮、可吸入颗粒物（PM</w:t>
      </w:r>
      <w:r>
        <w:rPr>
          <w:rFonts w:cs="Times New Roman"/>
          <w:color w:val="auto"/>
          <w:highlight w:val="none"/>
          <w:vertAlign w:val="subscript"/>
        </w:rPr>
        <w:t>10</w:t>
      </w:r>
      <w:r>
        <w:rPr>
          <w:rFonts w:cs="Times New Roman"/>
          <w:color w:val="auto"/>
          <w:highlight w:val="none"/>
        </w:rPr>
        <w:t>）、细颗粒物（PM</w:t>
      </w:r>
      <w:r>
        <w:rPr>
          <w:rFonts w:cs="Times New Roman"/>
          <w:color w:val="auto"/>
          <w:highlight w:val="none"/>
          <w:vertAlign w:val="subscript"/>
        </w:rPr>
        <w:t>2.5</w:t>
      </w:r>
      <w:r>
        <w:rPr>
          <w:rFonts w:cs="Times New Roman"/>
          <w:color w:val="auto"/>
          <w:highlight w:val="none"/>
        </w:rPr>
        <w:t>）年平均浓度分别为8、29、4</w:t>
      </w:r>
      <w:r>
        <w:rPr>
          <w:rFonts w:hint="eastAsia" w:cs="Times New Roman"/>
          <w:color w:val="auto"/>
          <w:highlight w:val="none"/>
          <w:lang w:val="en-US" w:eastAsia="zh-CN"/>
        </w:rPr>
        <w:t>9</w:t>
      </w:r>
      <w:r>
        <w:rPr>
          <w:rFonts w:cs="Times New Roman"/>
          <w:color w:val="auto"/>
          <w:highlight w:val="none"/>
        </w:rPr>
        <w:t>、2</w:t>
      </w:r>
      <w:r>
        <w:rPr>
          <w:rFonts w:hint="eastAsia" w:cs="Times New Roman"/>
          <w:color w:val="auto"/>
          <w:highlight w:val="none"/>
          <w:lang w:val="en-US" w:eastAsia="zh-CN"/>
        </w:rPr>
        <w:t>8</w:t>
      </w:r>
      <w:r>
        <w:rPr>
          <w:rFonts w:cs="Times New Roman"/>
          <w:color w:val="auto"/>
          <w:highlight w:val="none"/>
        </w:rPr>
        <w:t>μg/m</w:t>
      </w:r>
      <w:r>
        <w:rPr>
          <w:rFonts w:cs="Times New Roman"/>
          <w:color w:val="auto"/>
          <w:highlight w:val="none"/>
          <w:vertAlign w:val="superscript"/>
        </w:rPr>
        <w:t>3</w:t>
      </w:r>
      <w:r>
        <w:rPr>
          <w:rFonts w:cs="Times New Roman"/>
          <w:color w:val="auto"/>
          <w:highlight w:val="none"/>
        </w:rPr>
        <w:t>，均达到《环境空气质量标准》（GB3095-2012）二级标准要求。一氧化碳24小时平均第95百分位浓度为1.</w:t>
      </w:r>
      <w:r>
        <w:rPr>
          <w:rFonts w:hint="eastAsia" w:cs="Times New Roman"/>
          <w:color w:val="auto"/>
          <w:highlight w:val="none"/>
          <w:lang w:val="en-US" w:eastAsia="zh-CN"/>
        </w:rPr>
        <w:t>0</w:t>
      </w:r>
      <w:r>
        <w:rPr>
          <w:rFonts w:cs="Times New Roman"/>
          <w:color w:val="auto"/>
          <w:highlight w:val="none"/>
        </w:rPr>
        <w:t>mg/m</w:t>
      </w:r>
      <w:r>
        <w:rPr>
          <w:rFonts w:cs="Times New Roman"/>
          <w:color w:val="auto"/>
          <w:highlight w:val="none"/>
          <w:vertAlign w:val="superscript"/>
        </w:rPr>
        <w:t>3</w:t>
      </w:r>
      <w:r>
        <w:rPr>
          <w:rFonts w:cs="Times New Roman"/>
          <w:color w:val="auto"/>
          <w:highlight w:val="none"/>
        </w:rPr>
        <w:t>，达标；臭氧（O3）日最大8小时滑动平均第90百分位浓度为1</w:t>
      </w:r>
      <w:r>
        <w:rPr>
          <w:rFonts w:hint="eastAsia" w:cs="Times New Roman"/>
          <w:color w:val="auto"/>
          <w:highlight w:val="none"/>
          <w:lang w:val="en-US" w:eastAsia="zh-CN"/>
        </w:rPr>
        <w:t>74</w:t>
      </w:r>
      <w:r>
        <w:rPr>
          <w:rFonts w:cs="Times New Roman"/>
          <w:color w:val="auto"/>
          <w:highlight w:val="none"/>
        </w:rPr>
        <w:t>μg/m</w:t>
      </w:r>
      <w:r>
        <w:rPr>
          <w:rFonts w:cs="Times New Roman"/>
          <w:color w:val="auto"/>
          <w:highlight w:val="none"/>
          <w:vertAlign w:val="superscript"/>
        </w:rPr>
        <w:t>3</w:t>
      </w:r>
      <w:r>
        <w:rPr>
          <w:rFonts w:cs="Times New Roman"/>
          <w:color w:val="auto"/>
          <w:highlight w:val="none"/>
        </w:rPr>
        <w:t>，超标0.0</w:t>
      </w:r>
      <w:r>
        <w:rPr>
          <w:rFonts w:hint="eastAsia" w:cs="Times New Roman"/>
          <w:color w:val="auto"/>
          <w:highlight w:val="none"/>
          <w:lang w:val="en-US" w:eastAsia="zh-CN"/>
        </w:rPr>
        <w:t>875</w:t>
      </w:r>
      <w:r>
        <w:rPr>
          <w:rFonts w:cs="Times New Roman"/>
          <w:color w:val="auto"/>
          <w:highlight w:val="none"/>
        </w:rPr>
        <w:t>倍。因此判定昆山市为大气不达标区，超标因子为臭氧</w:t>
      </w:r>
      <w:r>
        <w:rPr>
          <w:rFonts w:ascii="Times New Roman" w:hAnsi="Times New Roman"/>
          <w:color w:val="auto"/>
          <w:highlight w:val="none"/>
        </w:rPr>
        <w:t>。</w:t>
      </w:r>
    </w:p>
    <w:p w14:paraId="127347C1">
      <w:pPr>
        <w:pStyle w:val="46"/>
        <w:bidi w:val="0"/>
        <w:rPr>
          <w:color w:val="auto"/>
        </w:rPr>
      </w:pPr>
      <w:r>
        <w:rPr>
          <w:color w:val="auto"/>
        </w:rPr>
        <w:t>环境空气质量改善措施：</w:t>
      </w:r>
    </w:p>
    <w:p w14:paraId="6B947BBF">
      <w:pPr>
        <w:ind w:firstLine="480"/>
        <w:rPr>
          <w:rFonts w:ascii="Times New Roman" w:hAnsi="Times New Roman" w:cs="Times New Roman"/>
          <w:color w:val="auto"/>
          <w:szCs w:val="28"/>
        </w:rPr>
      </w:pPr>
      <w:r>
        <w:rPr>
          <w:rFonts w:ascii="Times New Roman" w:hAnsi="Times New Roman" w:cs="Times New Roman"/>
          <w:color w:val="auto"/>
          <w:szCs w:val="28"/>
        </w:rPr>
        <w:t>根据《昆山市空气质量持续改善行动计划实施方案》（昆政发〔2024〕29号），环境空气质量改善措施如下：主要目标是：到2025年，全市PM2.5浓度保持28微克/立方米左右，重度及以上污染天数控制在1天以内；氮氧化物和VOCs排放总量比2020年分别下降10%以上，完成苏州下达的减排目标。</w:t>
      </w:r>
    </w:p>
    <w:p w14:paraId="3A5C36EA">
      <w:pPr>
        <w:ind w:firstLine="480"/>
        <w:rPr>
          <w:rFonts w:ascii="Times New Roman" w:hAnsi="Times New Roman" w:cs="Times New Roman"/>
          <w:color w:val="auto"/>
          <w:szCs w:val="28"/>
        </w:rPr>
      </w:pPr>
      <w:r>
        <w:rPr>
          <w:rFonts w:ascii="Times New Roman" w:hAnsi="Times New Roman" w:cs="Times New Roman"/>
          <w:color w:val="auto"/>
          <w:szCs w:val="28"/>
        </w:rPr>
        <w:t>重点工作任务包括：</w:t>
      </w:r>
    </w:p>
    <w:p w14:paraId="7EB37177">
      <w:pPr>
        <w:ind w:firstLine="480"/>
        <w:rPr>
          <w:rFonts w:ascii="Times New Roman" w:hAnsi="Times New Roman" w:cs="Times New Roman"/>
          <w:color w:val="auto"/>
          <w:szCs w:val="28"/>
        </w:rPr>
      </w:pPr>
      <w:r>
        <w:rPr>
          <w:rFonts w:ascii="Cambria Math" w:hAnsi="Cambria Math" w:cs="Cambria Math"/>
          <w:color w:val="auto"/>
          <w:szCs w:val="28"/>
        </w:rPr>
        <w:t>①</w:t>
      </w:r>
      <w:r>
        <w:rPr>
          <w:rFonts w:ascii="Times New Roman" w:hAnsi="Times New Roman" w:cs="Times New Roman"/>
          <w:color w:val="auto"/>
          <w:szCs w:val="28"/>
        </w:rPr>
        <w:t>优化产业结构，促进产业绿色低碳升级。坚决遏制高耗能、高排放、低水平项目盲目上马，加快退出重点行业落后产能，推进园区、产业集群绿色低碳化改造与综合整治，优化含VOCs原辅材料和产品结构。</w:t>
      </w:r>
    </w:p>
    <w:p w14:paraId="4514E6DB">
      <w:pPr>
        <w:ind w:firstLine="480"/>
        <w:rPr>
          <w:rFonts w:ascii="Times New Roman" w:hAnsi="Times New Roman" w:cs="Times New Roman"/>
          <w:color w:val="auto"/>
          <w:szCs w:val="28"/>
        </w:rPr>
      </w:pPr>
      <w:r>
        <w:rPr>
          <w:rFonts w:ascii="Cambria Math" w:hAnsi="Cambria Math" w:cs="Cambria Math"/>
          <w:color w:val="auto"/>
          <w:szCs w:val="28"/>
        </w:rPr>
        <w:t>②</w:t>
      </w:r>
      <w:r>
        <w:rPr>
          <w:rFonts w:ascii="Times New Roman" w:hAnsi="Times New Roman" w:cs="Times New Roman"/>
          <w:color w:val="auto"/>
          <w:szCs w:val="28"/>
        </w:rPr>
        <w:t>优化能源结构，加快能源清洁低碳高效发展。大力发展新能源和清洁能源，严格合理控制煤炭消费总量，持续降低重点领域能耗强度，推进燃煤锅炉关停整合和工业炉窑清洁能源替代。</w:t>
      </w:r>
    </w:p>
    <w:p w14:paraId="4DE92684">
      <w:pPr>
        <w:ind w:firstLine="480"/>
        <w:rPr>
          <w:rFonts w:ascii="Times New Roman" w:hAnsi="Times New Roman" w:cs="Times New Roman"/>
          <w:color w:val="auto"/>
          <w:szCs w:val="28"/>
        </w:rPr>
      </w:pPr>
      <w:r>
        <w:rPr>
          <w:rFonts w:ascii="Cambria Math" w:hAnsi="Cambria Math" w:cs="Cambria Math"/>
          <w:color w:val="auto"/>
          <w:szCs w:val="28"/>
        </w:rPr>
        <w:t>③</w:t>
      </w:r>
      <w:r>
        <w:rPr>
          <w:rFonts w:ascii="Times New Roman" w:hAnsi="Times New Roman" w:cs="Times New Roman"/>
          <w:color w:val="auto"/>
          <w:szCs w:val="28"/>
        </w:rPr>
        <w:t>优化交通结构，大力发展绿色运输体系。持续优化调整货物运输结构，加快提升机动车清洁化水平，强化非道路移动源综合治理。</w:t>
      </w:r>
    </w:p>
    <w:p w14:paraId="04777052">
      <w:pPr>
        <w:ind w:firstLine="480"/>
        <w:rPr>
          <w:rFonts w:ascii="Times New Roman" w:hAnsi="Times New Roman" w:cs="Times New Roman"/>
          <w:color w:val="auto"/>
          <w:szCs w:val="28"/>
        </w:rPr>
      </w:pPr>
      <w:r>
        <w:rPr>
          <w:rFonts w:ascii="Cambria Math" w:hAnsi="Cambria Math" w:cs="Cambria Math"/>
          <w:color w:val="auto"/>
          <w:szCs w:val="28"/>
        </w:rPr>
        <w:t>④</w:t>
      </w:r>
      <w:r>
        <w:rPr>
          <w:rFonts w:ascii="Times New Roman" w:hAnsi="Times New Roman" w:cs="Times New Roman"/>
          <w:color w:val="auto"/>
          <w:szCs w:val="28"/>
        </w:rPr>
        <w:t>强化多污染物减排，切实降低排放强度。加强扬尘精细化管控，加强秸秆综合利用和禁烧，加强烟花爆竹禁放管理，强化VOCs全流程、全环节综合治理，推进重点行业超低排放与提标改造，开展餐饮油烟、恶臭异味专项治理，稳步推进大气污染防控。</w:t>
      </w:r>
    </w:p>
    <w:p w14:paraId="751CAF82">
      <w:pPr>
        <w:ind w:firstLine="480"/>
        <w:rPr>
          <w:rFonts w:ascii="Times New Roman" w:hAnsi="Times New Roman" w:cs="Times New Roman"/>
          <w:color w:val="auto"/>
          <w:szCs w:val="28"/>
        </w:rPr>
      </w:pPr>
      <w:r>
        <w:rPr>
          <w:rFonts w:ascii="Cambria Math" w:hAnsi="Cambria Math" w:cs="Cambria Math"/>
          <w:color w:val="auto"/>
          <w:szCs w:val="28"/>
        </w:rPr>
        <w:t>⑤</w:t>
      </w:r>
      <w:r>
        <w:rPr>
          <w:rFonts w:ascii="Times New Roman" w:hAnsi="Times New Roman" w:cs="Times New Roman"/>
          <w:color w:val="auto"/>
          <w:szCs w:val="28"/>
        </w:rPr>
        <w:t>加强机制建设，完善大气环境管理体系。进一步巩固空气质量改善成效，实施区域联防联控，完善重污染天气应对机制。</w:t>
      </w:r>
    </w:p>
    <w:p w14:paraId="6886177E">
      <w:pPr>
        <w:ind w:firstLine="480"/>
        <w:rPr>
          <w:rFonts w:ascii="Times New Roman" w:hAnsi="Times New Roman" w:cs="Times New Roman"/>
          <w:color w:val="auto"/>
          <w:szCs w:val="28"/>
        </w:rPr>
      </w:pPr>
      <w:r>
        <w:rPr>
          <w:rFonts w:ascii="Cambria Math" w:hAnsi="Cambria Math" w:cs="Cambria Math"/>
          <w:color w:val="auto"/>
          <w:szCs w:val="28"/>
        </w:rPr>
        <w:t>⑥</w:t>
      </w:r>
      <w:r>
        <w:rPr>
          <w:rFonts w:ascii="Times New Roman" w:hAnsi="Times New Roman" w:cs="Times New Roman"/>
          <w:color w:val="auto"/>
          <w:szCs w:val="28"/>
        </w:rPr>
        <w:t>加强能力建设，严格执法监督。加强监测和执法监管能力建设。通过采取上述措施，昆山市区的环境空气质量将逐步改善。</w:t>
      </w:r>
    </w:p>
    <w:p w14:paraId="6C652C5E">
      <w:pPr>
        <w:rPr>
          <w:rFonts w:ascii="Times New Roman" w:hAnsi="Times New Roman"/>
          <w:color w:val="auto"/>
        </w:rPr>
      </w:pPr>
      <w:r>
        <w:rPr>
          <w:rFonts w:ascii="Cambria Math" w:hAnsi="Cambria Math" w:cs="Cambria Math"/>
          <w:color w:val="auto"/>
          <w:szCs w:val="28"/>
        </w:rPr>
        <w:t>⑦</w:t>
      </w:r>
      <w:r>
        <w:rPr>
          <w:rFonts w:ascii="Times New Roman" w:hAnsi="Times New Roman" w:cs="Times New Roman"/>
          <w:color w:val="auto"/>
          <w:szCs w:val="28"/>
        </w:rPr>
        <w:t>健全标准规范体系，完善环境经济政策。加强决策科技支撑，强化标准引领，积极发挥财政金融引导作用。在采取上述措施后，昆山市大气环境质量状况可以得到持续改善。</w:t>
      </w:r>
    </w:p>
    <w:p w14:paraId="5CC02AA2">
      <w:pPr>
        <w:pStyle w:val="4"/>
        <w:bidi w:val="0"/>
        <w:rPr>
          <w:color w:val="auto"/>
          <w:lang w:val="en-US" w:eastAsia="zh-CN"/>
        </w:rPr>
      </w:pPr>
      <w:bookmarkStart w:id="241" w:name="_Toc28545"/>
      <w:bookmarkStart w:id="242" w:name="_Toc31985"/>
      <w:r>
        <w:rPr>
          <w:rFonts w:hint="eastAsia"/>
          <w:color w:val="auto"/>
          <w:lang w:val="en-US" w:eastAsia="zh-CN"/>
        </w:rPr>
        <w:t>环境空气质量补充监测</w:t>
      </w:r>
      <w:bookmarkEnd w:id="241"/>
      <w:bookmarkEnd w:id="242"/>
    </w:p>
    <w:p w14:paraId="03121CAA">
      <w:pPr>
        <w:pStyle w:val="5"/>
        <w:bidi w:val="0"/>
        <w:rPr>
          <w:rFonts w:hint="default"/>
          <w:lang w:val="en-US" w:eastAsia="zh-CN"/>
        </w:rPr>
      </w:pPr>
      <w:r>
        <w:rPr>
          <w:rFonts w:hint="eastAsia"/>
          <w:lang w:val="en-US" w:eastAsia="zh-CN"/>
        </w:rPr>
        <w:t>补充监测</w:t>
      </w:r>
    </w:p>
    <w:p w14:paraId="1ADFFBB0">
      <w:pPr>
        <w:ind w:firstLine="480"/>
        <w:rPr>
          <w:rFonts w:hint="eastAsia" w:ascii="Times New Roman" w:hAnsi="Times New Roman" w:cs="Times New Roman"/>
          <w:color w:val="auto"/>
        </w:rPr>
      </w:pPr>
      <w:r>
        <w:rPr>
          <w:rFonts w:hint="eastAsia" w:ascii="Times New Roman" w:hAnsi="Times New Roman" w:cs="Times New Roman"/>
          <w:color w:val="auto"/>
        </w:rPr>
        <w:t>（1）数据来源</w:t>
      </w:r>
    </w:p>
    <w:p w14:paraId="120C8E0E">
      <w:pPr>
        <w:ind w:firstLine="480"/>
        <w:rPr>
          <w:rFonts w:ascii="Times New Roman" w:hAnsi="Times New Roman" w:cs="Times New Roman"/>
          <w:color w:val="auto"/>
        </w:rPr>
      </w:pPr>
      <w:r>
        <w:rPr>
          <w:rFonts w:ascii="Times New Roman" w:hAnsi="Times New Roman" w:cs="Times New Roman"/>
          <w:color w:val="auto"/>
        </w:rPr>
        <w:t>（1）监测项目、时间和频次</w:t>
      </w:r>
    </w:p>
    <w:p w14:paraId="07D974CD">
      <w:pPr>
        <w:ind w:firstLine="480"/>
        <w:rPr>
          <w:rFonts w:hint="eastAsia" w:ascii="Times New Roman" w:hAnsi="Times New Roman" w:cs="Times New Roman"/>
          <w:color w:val="auto"/>
          <w:szCs w:val="36"/>
        </w:rPr>
      </w:pPr>
      <w:r>
        <w:rPr>
          <w:rFonts w:hint="eastAsia" w:ascii="Times New Roman" w:hAnsi="Times New Roman" w:cs="Times New Roman"/>
          <w:color w:val="auto"/>
          <w:szCs w:val="36"/>
        </w:rPr>
        <w:t>大气补充监测委托江苏泰坤检测科技有限公司进行，现场采样时间为 2026年 04月07日～2026年04月13日，报告编号为TKJC2026CA0014-H。</w:t>
      </w:r>
    </w:p>
    <w:p w14:paraId="121DFF3A">
      <w:pPr>
        <w:rPr>
          <w:rFonts w:ascii="Times New Roman" w:hAnsi="Times New Roman"/>
          <w:color w:val="auto"/>
        </w:rPr>
      </w:pPr>
      <w:r>
        <w:rPr>
          <w:rFonts w:ascii="Times New Roman" w:hAnsi="Times New Roman" w:cs="Times New Roman"/>
          <w:color w:val="auto"/>
          <w:szCs w:val="36"/>
        </w:rPr>
        <w:t>大气监测点位及监测因子见下表：</w:t>
      </w:r>
    </w:p>
    <w:p w14:paraId="3C1410AA">
      <w:pPr>
        <w:bidi w:val="0"/>
        <w:spacing w:before="50" w:beforeLines="50" w:line="360" w:lineRule="auto"/>
        <w:jc w:val="center"/>
        <w:outlineLvl w:val="4"/>
        <w:rPr>
          <w:rFonts w:hint="eastAsia" w:ascii="Times New Roman" w:hAnsi="Times New Roman" w:cs="Times New Roman"/>
          <w:color w:val="auto"/>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5.2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t>监测点位基本信息</w:t>
      </w:r>
    </w:p>
    <w:tbl>
      <w:tblPr>
        <w:tblStyle w:val="19"/>
        <w:tblW w:w="4937"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363"/>
        <w:gridCol w:w="709"/>
        <w:gridCol w:w="852"/>
        <w:gridCol w:w="2126"/>
        <w:gridCol w:w="1553"/>
        <w:gridCol w:w="907"/>
      </w:tblGrid>
      <w:tr w14:paraId="5823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38" w:type="pct"/>
            <w:tcBorders>
              <w:tl2br w:val="nil"/>
              <w:tr2bl w:val="nil"/>
            </w:tcBorders>
            <w:noWrap w:val="0"/>
            <w:vAlign w:val="center"/>
          </w:tcPr>
          <w:p w14:paraId="770FD52C">
            <w:pPr>
              <w:pStyle w:val="26"/>
              <w:bidi w:val="0"/>
              <w:rPr>
                <w:rFonts w:hint="eastAsia"/>
                <w:b/>
                <w:bCs/>
              </w:rPr>
            </w:pPr>
            <w:r>
              <w:rPr>
                <w:rFonts w:hint="eastAsia"/>
                <w:b/>
                <w:bCs/>
              </w:rPr>
              <w:t>监测点</w:t>
            </w:r>
          </w:p>
          <w:p w14:paraId="7F412223">
            <w:pPr>
              <w:pStyle w:val="26"/>
              <w:bidi w:val="0"/>
              <w:rPr>
                <w:rFonts w:hint="eastAsia"/>
                <w:b/>
                <w:bCs/>
              </w:rPr>
            </w:pPr>
            <w:r>
              <w:rPr>
                <w:rFonts w:hint="eastAsia"/>
                <w:b/>
                <w:bCs/>
              </w:rPr>
              <w:t>编号</w:t>
            </w:r>
          </w:p>
        </w:tc>
        <w:tc>
          <w:tcPr>
            <w:tcW w:w="810" w:type="pct"/>
            <w:tcBorders>
              <w:tl2br w:val="nil"/>
              <w:tr2bl w:val="nil"/>
            </w:tcBorders>
            <w:noWrap w:val="0"/>
            <w:vAlign w:val="center"/>
          </w:tcPr>
          <w:p w14:paraId="43975AC3">
            <w:pPr>
              <w:pStyle w:val="26"/>
              <w:bidi w:val="0"/>
              <w:rPr>
                <w:rFonts w:hint="eastAsia"/>
                <w:b/>
                <w:bCs/>
              </w:rPr>
            </w:pPr>
            <w:r>
              <w:rPr>
                <w:rFonts w:hint="eastAsia"/>
                <w:b/>
                <w:bCs/>
              </w:rPr>
              <w:t>名称</w:t>
            </w:r>
          </w:p>
        </w:tc>
        <w:tc>
          <w:tcPr>
            <w:tcW w:w="421" w:type="pct"/>
            <w:tcBorders>
              <w:tl2br w:val="nil"/>
              <w:tr2bl w:val="nil"/>
            </w:tcBorders>
            <w:noWrap w:val="0"/>
            <w:vAlign w:val="center"/>
          </w:tcPr>
          <w:p w14:paraId="6DB646F6">
            <w:pPr>
              <w:pStyle w:val="26"/>
              <w:bidi w:val="0"/>
              <w:rPr>
                <w:rFonts w:hint="eastAsia"/>
                <w:b/>
                <w:bCs/>
              </w:rPr>
            </w:pPr>
            <w:r>
              <w:rPr>
                <w:rFonts w:hint="eastAsia"/>
                <w:b/>
                <w:bCs/>
              </w:rPr>
              <w:t>方位</w:t>
            </w:r>
          </w:p>
        </w:tc>
        <w:tc>
          <w:tcPr>
            <w:tcW w:w="506" w:type="pct"/>
            <w:tcBorders>
              <w:tl2br w:val="nil"/>
              <w:tr2bl w:val="nil"/>
            </w:tcBorders>
            <w:noWrap w:val="0"/>
            <w:vAlign w:val="center"/>
          </w:tcPr>
          <w:p w14:paraId="32ACE645">
            <w:pPr>
              <w:pStyle w:val="26"/>
              <w:bidi w:val="0"/>
              <w:rPr>
                <w:rFonts w:hint="eastAsia"/>
                <w:b/>
                <w:bCs/>
              </w:rPr>
            </w:pPr>
            <w:r>
              <w:rPr>
                <w:rFonts w:hint="eastAsia"/>
                <w:b/>
                <w:bCs/>
              </w:rPr>
              <w:t>距离(m)</w:t>
            </w:r>
          </w:p>
        </w:tc>
        <w:tc>
          <w:tcPr>
            <w:tcW w:w="1263" w:type="pct"/>
            <w:tcBorders>
              <w:tl2br w:val="nil"/>
              <w:tr2bl w:val="nil"/>
            </w:tcBorders>
            <w:noWrap w:val="0"/>
            <w:vAlign w:val="center"/>
          </w:tcPr>
          <w:p w14:paraId="4B1D10A1">
            <w:pPr>
              <w:pStyle w:val="26"/>
              <w:bidi w:val="0"/>
              <w:rPr>
                <w:rFonts w:hint="eastAsia"/>
                <w:b/>
                <w:bCs/>
              </w:rPr>
            </w:pPr>
            <w:r>
              <w:rPr>
                <w:rFonts w:hint="eastAsia"/>
                <w:b/>
                <w:bCs/>
              </w:rPr>
              <w:t>监测项目</w:t>
            </w:r>
          </w:p>
        </w:tc>
        <w:tc>
          <w:tcPr>
            <w:tcW w:w="923" w:type="pct"/>
            <w:tcBorders>
              <w:tl2br w:val="nil"/>
              <w:tr2bl w:val="nil"/>
            </w:tcBorders>
            <w:noWrap w:val="0"/>
            <w:vAlign w:val="center"/>
          </w:tcPr>
          <w:p w14:paraId="25455506">
            <w:pPr>
              <w:pStyle w:val="26"/>
              <w:bidi w:val="0"/>
              <w:rPr>
                <w:rFonts w:hint="eastAsia"/>
                <w:b/>
                <w:bCs/>
              </w:rPr>
            </w:pPr>
            <w:r>
              <w:rPr>
                <w:rFonts w:hint="eastAsia"/>
                <w:b/>
                <w:bCs/>
              </w:rPr>
              <w:t>备注</w:t>
            </w:r>
          </w:p>
        </w:tc>
        <w:tc>
          <w:tcPr>
            <w:tcW w:w="539" w:type="pct"/>
            <w:tcBorders>
              <w:tl2br w:val="nil"/>
              <w:tr2bl w:val="nil"/>
            </w:tcBorders>
            <w:noWrap w:val="0"/>
            <w:vAlign w:val="center"/>
          </w:tcPr>
          <w:p w14:paraId="397916C1">
            <w:pPr>
              <w:pStyle w:val="26"/>
              <w:bidi w:val="0"/>
              <w:rPr>
                <w:rFonts w:hint="eastAsia"/>
                <w:b/>
                <w:bCs/>
              </w:rPr>
            </w:pPr>
            <w:r>
              <w:rPr>
                <w:rFonts w:hint="eastAsia"/>
                <w:b/>
                <w:bCs/>
              </w:rPr>
              <w:t>所在环境功能</w:t>
            </w:r>
          </w:p>
        </w:tc>
      </w:tr>
      <w:tr w14:paraId="398C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38" w:type="pct"/>
            <w:tcBorders>
              <w:tl2br w:val="nil"/>
              <w:tr2bl w:val="nil"/>
            </w:tcBorders>
            <w:noWrap w:val="0"/>
            <w:vAlign w:val="center"/>
          </w:tcPr>
          <w:p w14:paraId="1481AF9B">
            <w:pPr>
              <w:pStyle w:val="26"/>
              <w:bidi w:val="0"/>
              <w:rPr>
                <w:rFonts w:hint="eastAsia"/>
              </w:rPr>
            </w:pPr>
            <w:r>
              <w:rPr>
                <w:rFonts w:hint="eastAsia"/>
              </w:rPr>
              <w:t>G1</w:t>
            </w:r>
          </w:p>
        </w:tc>
        <w:tc>
          <w:tcPr>
            <w:tcW w:w="810" w:type="pct"/>
            <w:tcBorders>
              <w:tl2br w:val="nil"/>
              <w:tr2bl w:val="nil"/>
            </w:tcBorders>
            <w:noWrap w:val="0"/>
            <w:vAlign w:val="center"/>
          </w:tcPr>
          <w:p w14:paraId="12B4EF91">
            <w:pPr>
              <w:pStyle w:val="26"/>
              <w:bidi w:val="0"/>
              <w:rPr>
                <w:rFonts w:hint="eastAsia"/>
              </w:rPr>
            </w:pPr>
            <w:r>
              <w:rPr>
                <w:rFonts w:hint="eastAsia"/>
              </w:rPr>
              <w:t>项目所在地</w:t>
            </w:r>
          </w:p>
        </w:tc>
        <w:tc>
          <w:tcPr>
            <w:tcW w:w="421" w:type="pct"/>
            <w:tcBorders>
              <w:tl2br w:val="nil"/>
              <w:tr2bl w:val="nil"/>
            </w:tcBorders>
            <w:noWrap w:val="0"/>
            <w:vAlign w:val="center"/>
          </w:tcPr>
          <w:p w14:paraId="58D7E759">
            <w:pPr>
              <w:pStyle w:val="26"/>
              <w:bidi w:val="0"/>
              <w:rPr>
                <w:rFonts w:hint="eastAsia"/>
              </w:rPr>
            </w:pPr>
            <w:r>
              <w:rPr>
                <w:rFonts w:hint="eastAsia"/>
              </w:rPr>
              <w:t>/</w:t>
            </w:r>
          </w:p>
        </w:tc>
        <w:tc>
          <w:tcPr>
            <w:tcW w:w="506" w:type="pct"/>
            <w:tcBorders>
              <w:tl2br w:val="nil"/>
              <w:tr2bl w:val="nil"/>
            </w:tcBorders>
            <w:noWrap w:val="0"/>
            <w:vAlign w:val="center"/>
          </w:tcPr>
          <w:p w14:paraId="595BEF9D">
            <w:pPr>
              <w:pStyle w:val="26"/>
              <w:bidi w:val="0"/>
              <w:rPr>
                <w:rFonts w:hint="eastAsia"/>
              </w:rPr>
            </w:pPr>
            <w:r>
              <w:rPr>
                <w:rFonts w:hint="eastAsia"/>
              </w:rPr>
              <w:t>/</w:t>
            </w:r>
          </w:p>
        </w:tc>
        <w:tc>
          <w:tcPr>
            <w:tcW w:w="1263" w:type="pct"/>
            <w:tcBorders>
              <w:tl2br w:val="nil"/>
              <w:tr2bl w:val="nil"/>
            </w:tcBorders>
            <w:noWrap w:val="0"/>
            <w:vAlign w:val="center"/>
          </w:tcPr>
          <w:p w14:paraId="4808A78F">
            <w:pPr>
              <w:pStyle w:val="26"/>
              <w:bidi w:val="0"/>
              <w:rPr>
                <w:rFonts w:hint="eastAsia"/>
              </w:rPr>
            </w:pPr>
            <w:r>
              <w:rPr>
                <w:rFonts w:hint="eastAsia"/>
                <w:lang w:val="en-US" w:eastAsia="zh-CN"/>
              </w:rPr>
              <w:t>TSP、氯化氢、氮氧化物</w:t>
            </w:r>
          </w:p>
        </w:tc>
        <w:tc>
          <w:tcPr>
            <w:tcW w:w="923" w:type="pct"/>
            <w:tcBorders>
              <w:tl2br w:val="nil"/>
              <w:tr2bl w:val="nil"/>
            </w:tcBorders>
            <w:noWrap w:val="0"/>
            <w:vAlign w:val="center"/>
          </w:tcPr>
          <w:p w14:paraId="49C0C9A3">
            <w:pPr>
              <w:pStyle w:val="26"/>
              <w:bidi w:val="0"/>
              <w:rPr>
                <w:rFonts w:hint="eastAsia"/>
              </w:rPr>
            </w:pPr>
            <w:r>
              <w:rPr>
                <w:rFonts w:hint="eastAsia"/>
              </w:rPr>
              <w:t>/</w:t>
            </w:r>
          </w:p>
        </w:tc>
        <w:tc>
          <w:tcPr>
            <w:tcW w:w="539" w:type="pct"/>
            <w:tcBorders>
              <w:tl2br w:val="nil"/>
              <w:tr2bl w:val="nil"/>
            </w:tcBorders>
            <w:noWrap w:val="0"/>
            <w:vAlign w:val="center"/>
          </w:tcPr>
          <w:p w14:paraId="6F2D8924">
            <w:pPr>
              <w:pStyle w:val="26"/>
              <w:bidi w:val="0"/>
              <w:rPr>
                <w:rFonts w:hint="eastAsia"/>
              </w:rPr>
            </w:pPr>
            <w:r>
              <w:rPr>
                <w:rFonts w:hint="eastAsia"/>
              </w:rPr>
              <w:t>二类区</w:t>
            </w:r>
          </w:p>
        </w:tc>
      </w:tr>
      <w:tr w14:paraId="55A4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38" w:type="pct"/>
            <w:tcBorders>
              <w:tl2br w:val="nil"/>
              <w:tr2bl w:val="nil"/>
            </w:tcBorders>
            <w:noWrap w:val="0"/>
            <w:vAlign w:val="center"/>
          </w:tcPr>
          <w:p w14:paraId="05C875CA">
            <w:pPr>
              <w:pStyle w:val="26"/>
              <w:bidi w:val="0"/>
              <w:rPr>
                <w:rFonts w:hint="eastAsia"/>
                <w:lang w:val="en-US" w:eastAsia="zh-CN"/>
              </w:rPr>
            </w:pPr>
            <w:r>
              <w:rPr>
                <w:rFonts w:hint="eastAsia"/>
                <w:lang w:val="en-US" w:eastAsia="zh-CN"/>
              </w:rPr>
              <w:t>G2</w:t>
            </w:r>
          </w:p>
        </w:tc>
        <w:tc>
          <w:tcPr>
            <w:tcW w:w="810" w:type="pct"/>
            <w:tcBorders>
              <w:tl2br w:val="nil"/>
              <w:tr2bl w:val="nil"/>
            </w:tcBorders>
            <w:noWrap w:val="0"/>
            <w:vAlign w:val="center"/>
          </w:tcPr>
          <w:p w14:paraId="2272D0CA">
            <w:pPr>
              <w:pStyle w:val="26"/>
              <w:bidi w:val="0"/>
              <w:rPr>
                <w:rFonts w:hint="eastAsia"/>
                <w:lang w:val="en-US" w:eastAsia="zh-CN"/>
              </w:rPr>
            </w:pPr>
            <w:r>
              <w:rPr>
                <w:rFonts w:hint="eastAsia"/>
                <w:lang w:val="en-US" w:eastAsia="zh-CN"/>
              </w:rPr>
              <w:t>顺扬公寓（邻里中心）</w:t>
            </w:r>
          </w:p>
        </w:tc>
        <w:tc>
          <w:tcPr>
            <w:tcW w:w="421" w:type="pct"/>
            <w:tcBorders>
              <w:tl2br w:val="nil"/>
              <w:tr2bl w:val="nil"/>
            </w:tcBorders>
            <w:noWrap w:val="0"/>
            <w:vAlign w:val="center"/>
          </w:tcPr>
          <w:p w14:paraId="607E7E43">
            <w:pPr>
              <w:pStyle w:val="26"/>
              <w:bidi w:val="0"/>
              <w:rPr>
                <w:rFonts w:hint="eastAsia"/>
                <w:lang w:val="en-US" w:eastAsia="zh-CN"/>
              </w:rPr>
            </w:pPr>
            <w:r>
              <w:rPr>
                <w:rFonts w:hint="eastAsia"/>
                <w:lang w:val="en-US" w:eastAsia="zh-CN"/>
              </w:rPr>
              <w:t>西北</w:t>
            </w:r>
          </w:p>
        </w:tc>
        <w:tc>
          <w:tcPr>
            <w:tcW w:w="506" w:type="pct"/>
            <w:tcBorders>
              <w:tl2br w:val="nil"/>
              <w:tr2bl w:val="nil"/>
            </w:tcBorders>
            <w:noWrap w:val="0"/>
            <w:vAlign w:val="center"/>
          </w:tcPr>
          <w:p w14:paraId="2CBC73DD">
            <w:pPr>
              <w:pStyle w:val="26"/>
              <w:bidi w:val="0"/>
              <w:rPr>
                <w:rFonts w:hint="eastAsia"/>
                <w:lang w:val="en-US" w:eastAsia="zh-CN"/>
              </w:rPr>
            </w:pPr>
            <w:r>
              <w:rPr>
                <w:rFonts w:hint="eastAsia"/>
                <w:lang w:val="en-US" w:eastAsia="zh-CN"/>
              </w:rPr>
              <w:t>1900</w:t>
            </w:r>
          </w:p>
        </w:tc>
        <w:tc>
          <w:tcPr>
            <w:tcW w:w="1263" w:type="pct"/>
            <w:tcBorders>
              <w:tl2br w:val="nil"/>
              <w:tr2bl w:val="nil"/>
            </w:tcBorders>
            <w:noWrap w:val="0"/>
            <w:vAlign w:val="center"/>
          </w:tcPr>
          <w:p w14:paraId="6C068DB9">
            <w:pPr>
              <w:pStyle w:val="26"/>
              <w:bidi w:val="0"/>
              <w:rPr>
                <w:rFonts w:hint="eastAsia"/>
              </w:rPr>
            </w:pPr>
            <w:r>
              <w:rPr>
                <w:rFonts w:hint="eastAsia"/>
                <w:lang w:val="en-US" w:eastAsia="zh-CN"/>
              </w:rPr>
              <w:t>TSP、氯化氢、氮氧化物</w:t>
            </w:r>
          </w:p>
        </w:tc>
        <w:tc>
          <w:tcPr>
            <w:tcW w:w="1553" w:type="dxa"/>
            <w:tcBorders>
              <w:tl2br w:val="nil"/>
              <w:tr2bl w:val="nil"/>
            </w:tcBorders>
            <w:noWrap w:val="0"/>
            <w:vAlign w:val="center"/>
          </w:tcPr>
          <w:p w14:paraId="51D37BAF">
            <w:pPr>
              <w:pStyle w:val="26"/>
              <w:bidi w:val="0"/>
              <w:rPr>
                <w:rFonts w:hint="eastAsia"/>
              </w:rPr>
            </w:pPr>
            <w:r>
              <w:rPr>
                <w:rFonts w:hint="eastAsia"/>
              </w:rPr>
              <w:t>/</w:t>
            </w:r>
          </w:p>
        </w:tc>
        <w:tc>
          <w:tcPr>
            <w:tcW w:w="907" w:type="dxa"/>
            <w:tcBorders>
              <w:tl2br w:val="nil"/>
              <w:tr2bl w:val="nil"/>
            </w:tcBorders>
            <w:noWrap w:val="0"/>
            <w:vAlign w:val="center"/>
          </w:tcPr>
          <w:p w14:paraId="5B515DCF">
            <w:pPr>
              <w:pStyle w:val="26"/>
              <w:bidi w:val="0"/>
              <w:rPr>
                <w:rFonts w:hint="eastAsia"/>
              </w:rPr>
            </w:pPr>
            <w:r>
              <w:rPr>
                <w:rFonts w:hint="eastAsia"/>
              </w:rPr>
              <w:t>二类区</w:t>
            </w:r>
          </w:p>
        </w:tc>
      </w:tr>
    </w:tbl>
    <w:p w14:paraId="6F35CAAF">
      <w:pPr>
        <w:ind w:firstLine="480"/>
        <w:rPr>
          <w:rFonts w:hint="eastAsia" w:ascii="Times New Roman" w:hAnsi="Times New Roman" w:cs="Times New Roman"/>
          <w:color w:val="auto"/>
        </w:rPr>
      </w:pPr>
      <w:r>
        <w:rPr>
          <w:rFonts w:hint="eastAsia" w:ascii="Times New Roman" w:hAnsi="Times New Roman" w:cs="Times New Roman"/>
          <w:color w:val="auto"/>
        </w:rPr>
        <w:t>（2）监测结果</w:t>
      </w:r>
    </w:p>
    <w:p w14:paraId="2221B164">
      <w:pPr>
        <w:ind w:firstLine="480"/>
        <w:rPr>
          <w:rFonts w:ascii="Times New Roman" w:hAnsi="Times New Roman" w:cs="Times New Roman"/>
          <w:color w:val="auto"/>
        </w:rPr>
      </w:pPr>
      <w:r>
        <w:rPr>
          <w:rFonts w:ascii="Times New Roman" w:hAnsi="Times New Roman" w:cs="Times New Roman"/>
          <w:color w:val="auto"/>
          <w:szCs w:val="36"/>
        </w:rPr>
        <w:t>监测结果统计如下：</w:t>
      </w:r>
    </w:p>
    <w:p w14:paraId="610E9244">
      <w:pPr>
        <w:bidi w:val="0"/>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5.2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3</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t>其他污染物环境质量现状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797"/>
        <w:gridCol w:w="1937"/>
        <w:gridCol w:w="737"/>
        <w:gridCol w:w="1629"/>
        <w:gridCol w:w="843"/>
        <w:gridCol w:w="1181"/>
        <w:gridCol w:w="716"/>
      </w:tblGrid>
      <w:tr w14:paraId="721E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Align w:val="center"/>
          </w:tcPr>
          <w:p w14:paraId="38A51306">
            <w:pPr>
              <w:pStyle w:val="26"/>
              <w:bidi w:val="0"/>
              <w:rPr>
                <w:rFonts w:hint="default"/>
                <w:lang w:val="en-US" w:eastAsia="zh-CN"/>
              </w:rPr>
            </w:pPr>
            <w:r>
              <w:rPr>
                <w:rFonts w:hint="eastAsia"/>
                <w:lang w:val="en-US" w:eastAsia="zh-CN"/>
              </w:rPr>
              <w:t>检测点位</w:t>
            </w:r>
          </w:p>
        </w:tc>
        <w:tc>
          <w:tcPr>
            <w:tcW w:w="797" w:type="dxa"/>
            <w:vAlign w:val="center"/>
          </w:tcPr>
          <w:p w14:paraId="32482D3E">
            <w:pPr>
              <w:pStyle w:val="26"/>
              <w:bidi w:val="0"/>
              <w:rPr>
                <w:rFonts w:hint="default"/>
                <w:lang w:val="en-US" w:eastAsia="zh-CN"/>
              </w:rPr>
            </w:pPr>
            <w:r>
              <w:rPr>
                <w:rFonts w:hint="eastAsia"/>
                <w:lang w:val="en-US" w:eastAsia="zh-CN"/>
              </w:rPr>
              <w:t>检测日期</w:t>
            </w:r>
          </w:p>
        </w:tc>
        <w:tc>
          <w:tcPr>
            <w:tcW w:w="1937" w:type="dxa"/>
            <w:vAlign w:val="center"/>
          </w:tcPr>
          <w:p w14:paraId="176DE4BA">
            <w:pPr>
              <w:pStyle w:val="26"/>
              <w:bidi w:val="0"/>
              <w:rPr>
                <w:rFonts w:hint="default"/>
                <w:lang w:val="en-US" w:eastAsia="zh-CN"/>
              </w:rPr>
            </w:pPr>
            <w:r>
              <w:rPr>
                <w:rFonts w:hint="eastAsia"/>
                <w:lang w:val="en-US" w:eastAsia="zh-CN"/>
              </w:rPr>
              <w:t>检测时间</w:t>
            </w:r>
          </w:p>
        </w:tc>
        <w:tc>
          <w:tcPr>
            <w:tcW w:w="737" w:type="dxa"/>
            <w:vAlign w:val="center"/>
          </w:tcPr>
          <w:p w14:paraId="1A094801">
            <w:pPr>
              <w:pStyle w:val="26"/>
              <w:bidi w:val="0"/>
              <w:rPr>
                <w:rFonts w:hint="default"/>
                <w:lang w:val="en-US" w:eastAsia="zh-CN"/>
              </w:rPr>
            </w:pPr>
            <w:r>
              <w:rPr>
                <w:rFonts w:hint="eastAsia"/>
                <w:lang w:val="en-US" w:eastAsia="zh-CN"/>
              </w:rPr>
              <w:t>氯化氢</w:t>
            </w:r>
          </w:p>
        </w:tc>
        <w:tc>
          <w:tcPr>
            <w:tcW w:w="1629" w:type="dxa"/>
            <w:vAlign w:val="center"/>
          </w:tcPr>
          <w:p w14:paraId="5A92F7BF">
            <w:pPr>
              <w:pStyle w:val="26"/>
              <w:bidi w:val="0"/>
              <w:rPr>
                <w:lang w:val="en-US" w:eastAsia="zh-CN"/>
              </w:rPr>
            </w:pPr>
            <w:r>
              <w:rPr>
                <w:rFonts w:hint="eastAsia"/>
                <w:lang w:val="en-US" w:eastAsia="zh-CN"/>
              </w:rPr>
              <w:t>检测时间</w:t>
            </w:r>
          </w:p>
        </w:tc>
        <w:tc>
          <w:tcPr>
            <w:tcW w:w="843" w:type="dxa"/>
            <w:vAlign w:val="center"/>
          </w:tcPr>
          <w:p w14:paraId="31C6869A">
            <w:pPr>
              <w:pStyle w:val="26"/>
              <w:bidi w:val="0"/>
              <w:rPr>
                <w:rFonts w:hint="default"/>
                <w:lang w:val="en-US" w:eastAsia="zh-CN"/>
              </w:rPr>
            </w:pPr>
            <w:r>
              <w:rPr>
                <w:rFonts w:hint="eastAsia"/>
                <w:lang w:val="en-US" w:eastAsia="zh-CN"/>
              </w:rPr>
              <w:t>氮氧化物</w:t>
            </w:r>
          </w:p>
        </w:tc>
        <w:tc>
          <w:tcPr>
            <w:tcW w:w="1181" w:type="dxa"/>
            <w:vAlign w:val="center"/>
          </w:tcPr>
          <w:p w14:paraId="6F7DE062">
            <w:pPr>
              <w:pStyle w:val="26"/>
              <w:bidi w:val="0"/>
              <w:rPr>
                <w:lang w:val="en-US" w:eastAsia="zh-CN"/>
              </w:rPr>
            </w:pPr>
            <w:r>
              <w:rPr>
                <w:rFonts w:hint="eastAsia"/>
                <w:lang w:val="en-US" w:eastAsia="zh-CN"/>
              </w:rPr>
              <w:t>检测时间</w:t>
            </w:r>
          </w:p>
        </w:tc>
        <w:tc>
          <w:tcPr>
            <w:tcW w:w="716" w:type="dxa"/>
            <w:vAlign w:val="center"/>
          </w:tcPr>
          <w:p w14:paraId="6FB8D7C3">
            <w:pPr>
              <w:pStyle w:val="26"/>
              <w:bidi w:val="0"/>
              <w:rPr>
                <w:rFonts w:hint="default"/>
                <w:lang w:val="en-US" w:eastAsia="zh-CN"/>
              </w:rPr>
            </w:pPr>
            <w:r>
              <w:rPr>
                <w:rFonts w:hint="eastAsia"/>
                <w:lang w:val="en-US" w:eastAsia="zh-CN"/>
              </w:rPr>
              <w:t>总悬浮颗粒物</w:t>
            </w:r>
          </w:p>
        </w:tc>
      </w:tr>
      <w:tr w14:paraId="7FF8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restart"/>
            <w:vAlign w:val="center"/>
          </w:tcPr>
          <w:p w14:paraId="54146633">
            <w:pPr>
              <w:pStyle w:val="26"/>
              <w:bidi w:val="0"/>
              <w:rPr>
                <w:rFonts w:hint="eastAsia"/>
                <w:lang w:val="en-US" w:eastAsia="zh-CN"/>
              </w:rPr>
            </w:pPr>
            <w:r>
              <w:rPr>
                <w:lang w:val="en-US" w:eastAsia="zh-CN"/>
              </w:rPr>
              <w:t>项目所在地G1</w:t>
            </w:r>
          </w:p>
        </w:tc>
        <w:tc>
          <w:tcPr>
            <w:tcW w:w="797" w:type="dxa"/>
            <w:vMerge w:val="restart"/>
            <w:vAlign w:val="center"/>
          </w:tcPr>
          <w:p w14:paraId="3C595A98">
            <w:pPr>
              <w:pStyle w:val="26"/>
              <w:bidi w:val="0"/>
              <w:rPr>
                <w:rFonts w:hint="default"/>
                <w:lang w:val="en-US" w:eastAsia="zh-CN"/>
              </w:rPr>
            </w:pPr>
            <w:r>
              <w:rPr>
                <w:rFonts w:hint="eastAsia"/>
                <w:lang w:val="en-US" w:eastAsia="zh-CN"/>
              </w:rPr>
              <w:t>2026.04.07</w:t>
            </w:r>
          </w:p>
        </w:tc>
        <w:tc>
          <w:tcPr>
            <w:tcW w:w="1937" w:type="dxa"/>
            <w:vAlign w:val="center"/>
          </w:tcPr>
          <w:p w14:paraId="5A962805">
            <w:pPr>
              <w:pStyle w:val="26"/>
              <w:bidi w:val="0"/>
              <w:rPr>
                <w:rFonts w:hint="default"/>
                <w:lang w:val="en-US" w:eastAsia="zh-CN"/>
              </w:rPr>
            </w:pPr>
            <w:r>
              <w:rPr>
                <w:rFonts w:hint="eastAsia"/>
                <w:lang w:val="en-US" w:eastAsia="zh-CN"/>
              </w:rPr>
              <w:t>2：00~3：10</w:t>
            </w:r>
          </w:p>
        </w:tc>
        <w:tc>
          <w:tcPr>
            <w:tcW w:w="737" w:type="dxa"/>
            <w:vAlign w:val="center"/>
          </w:tcPr>
          <w:p w14:paraId="44AB62BF">
            <w:pPr>
              <w:pStyle w:val="26"/>
              <w:bidi w:val="0"/>
              <w:rPr>
                <w:rFonts w:hint="default"/>
                <w:lang w:val="en-US" w:eastAsia="zh-CN"/>
              </w:rPr>
            </w:pPr>
            <w:r>
              <w:rPr>
                <w:rFonts w:hint="eastAsia"/>
                <w:lang w:val="en-US" w:eastAsia="zh-CN"/>
              </w:rPr>
              <w:t>ND</w:t>
            </w:r>
          </w:p>
        </w:tc>
        <w:tc>
          <w:tcPr>
            <w:tcW w:w="1629" w:type="dxa"/>
            <w:vAlign w:val="center"/>
          </w:tcPr>
          <w:p w14:paraId="11D32A6E">
            <w:pPr>
              <w:pStyle w:val="26"/>
              <w:bidi w:val="0"/>
              <w:rPr>
                <w:rFonts w:hint="default"/>
                <w:lang w:val="en-US" w:eastAsia="zh-CN"/>
              </w:rPr>
            </w:pPr>
            <w:r>
              <w:rPr>
                <w:rFonts w:hint="eastAsia"/>
                <w:lang w:val="en-US" w:eastAsia="zh-CN"/>
              </w:rPr>
              <w:t>2：00~3：00</w:t>
            </w:r>
          </w:p>
        </w:tc>
        <w:tc>
          <w:tcPr>
            <w:tcW w:w="843" w:type="dxa"/>
            <w:vAlign w:val="center"/>
          </w:tcPr>
          <w:p w14:paraId="30139288">
            <w:pPr>
              <w:pStyle w:val="26"/>
              <w:bidi w:val="0"/>
              <w:rPr>
                <w:rFonts w:hint="default"/>
                <w:lang w:val="en-US" w:eastAsia="zh-CN"/>
              </w:rPr>
            </w:pPr>
            <w:r>
              <w:rPr>
                <w:rFonts w:hint="eastAsia"/>
                <w:lang w:val="en-US" w:eastAsia="zh-CN"/>
              </w:rPr>
              <w:t>0.030</w:t>
            </w:r>
          </w:p>
        </w:tc>
        <w:tc>
          <w:tcPr>
            <w:tcW w:w="1181" w:type="dxa"/>
            <w:vMerge w:val="restart"/>
            <w:vAlign w:val="center"/>
          </w:tcPr>
          <w:p w14:paraId="2557F5A5">
            <w:pPr>
              <w:pStyle w:val="26"/>
              <w:bidi w:val="0"/>
              <w:rPr>
                <w:rFonts w:hint="default"/>
                <w:lang w:val="en-US" w:eastAsia="zh-CN"/>
              </w:rPr>
            </w:pPr>
            <w:r>
              <w:rPr>
                <w:rFonts w:hint="eastAsia"/>
                <w:lang w:val="en-US" w:eastAsia="zh-CN"/>
              </w:rPr>
              <w:t>00：00~24：00</w:t>
            </w:r>
          </w:p>
        </w:tc>
        <w:tc>
          <w:tcPr>
            <w:tcW w:w="716" w:type="dxa"/>
            <w:vMerge w:val="restart"/>
            <w:vAlign w:val="center"/>
          </w:tcPr>
          <w:p w14:paraId="65954D38">
            <w:pPr>
              <w:pStyle w:val="26"/>
              <w:bidi w:val="0"/>
              <w:rPr>
                <w:rFonts w:hint="default"/>
                <w:lang w:val="en-US" w:eastAsia="zh-CN"/>
              </w:rPr>
            </w:pPr>
            <w:r>
              <w:rPr>
                <w:rFonts w:hint="eastAsia"/>
                <w:lang w:val="en-US" w:eastAsia="zh-CN"/>
              </w:rPr>
              <w:t>0.092</w:t>
            </w:r>
          </w:p>
        </w:tc>
      </w:tr>
      <w:tr w14:paraId="723E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646E3F69">
            <w:pPr>
              <w:pStyle w:val="26"/>
              <w:bidi w:val="0"/>
              <w:rPr>
                <w:rFonts w:hint="eastAsia"/>
                <w:lang w:val="en-US" w:eastAsia="zh-CN"/>
              </w:rPr>
            </w:pPr>
          </w:p>
        </w:tc>
        <w:tc>
          <w:tcPr>
            <w:tcW w:w="797" w:type="dxa"/>
            <w:vMerge w:val="continue"/>
            <w:vAlign w:val="center"/>
          </w:tcPr>
          <w:p w14:paraId="5584DFD5">
            <w:pPr>
              <w:pStyle w:val="26"/>
              <w:bidi w:val="0"/>
              <w:rPr>
                <w:rFonts w:hint="eastAsia"/>
                <w:lang w:val="en-US" w:eastAsia="zh-CN"/>
              </w:rPr>
            </w:pPr>
          </w:p>
        </w:tc>
        <w:tc>
          <w:tcPr>
            <w:tcW w:w="1937" w:type="dxa"/>
            <w:vAlign w:val="center"/>
          </w:tcPr>
          <w:p w14:paraId="6E122943">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57B1716B">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CA37503">
            <w:pPr>
              <w:pStyle w:val="26"/>
              <w:bidi w:val="0"/>
              <w:rPr>
                <w:rFonts w:hint="default"/>
                <w:lang w:val="en-US" w:eastAsia="zh-CN"/>
              </w:rPr>
            </w:pPr>
            <w:r>
              <w:rPr>
                <w:rFonts w:hint="eastAsia"/>
                <w:lang w:val="en-US" w:eastAsia="zh-CN"/>
              </w:rPr>
              <w:t>8：00~9：00</w:t>
            </w:r>
          </w:p>
        </w:tc>
        <w:tc>
          <w:tcPr>
            <w:tcW w:w="843" w:type="dxa"/>
            <w:vAlign w:val="center"/>
          </w:tcPr>
          <w:p w14:paraId="1B833CF3">
            <w:pPr>
              <w:pStyle w:val="26"/>
              <w:bidi w:val="0"/>
              <w:rPr>
                <w:rFonts w:hint="default"/>
                <w:lang w:val="en-US" w:eastAsia="zh-CN"/>
              </w:rPr>
            </w:pPr>
            <w:r>
              <w:rPr>
                <w:rFonts w:hint="eastAsia"/>
                <w:lang w:val="en-US" w:eastAsia="zh-CN"/>
              </w:rPr>
              <w:t>0.023</w:t>
            </w:r>
          </w:p>
        </w:tc>
        <w:tc>
          <w:tcPr>
            <w:tcW w:w="1181" w:type="dxa"/>
            <w:vMerge w:val="continue"/>
            <w:vAlign w:val="center"/>
          </w:tcPr>
          <w:p w14:paraId="7459FE99">
            <w:pPr>
              <w:pStyle w:val="26"/>
              <w:bidi w:val="0"/>
              <w:rPr>
                <w:rFonts w:hint="default"/>
                <w:lang w:val="en-US" w:eastAsia="zh-CN"/>
              </w:rPr>
            </w:pPr>
          </w:p>
        </w:tc>
        <w:tc>
          <w:tcPr>
            <w:tcW w:w="716" w:type="dxa"/>
            <w:vMerge w:val="continue"/>
            <w:vAlign w:val="center"/>
          </w:tcPr>
          <w:p w14:paraId="76D80E64">
            <w:pPr>
              <w:pStyle w:val="26"/>
              <w:bidi w:val="0"/>
              <w:rPr>
                <w:rFonts w:hint="eastAsia"/>
                <w:lang w:val="en-US" w:eastAsia="zh-CN"/>
              </w:rPr>
            </w:pPr>
          </w:p>
        </w:tc>
      </w:tr>
      <w:tr w14:paraId="5FAC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63A6D5E3">
            <w:pPr>
              <w:pStyle w:val="26"/>
              <w:bidi w:val="0"/>
              <w:rPr>
                <w:rFonts w:hint="eastAsia"/>
                <w:lang w:val="en-US" w:eastAsia="zh-CN"/>
              </w:rPr>
            </w:pPr>
          </w:p>
        </w:tc>
        <w:tc>
          <w:tcPr>
            <w:tcW w:w="797" w:type="dxa"/>
            <w:vMerge w:val="continue"/>
            <w:vAlign w:val="center"/>
          </w:tcPr>
          <w:p w14:paraId="6F7FE456">
            <w:pPr>
              <w:pStyle w:val="26"/>
              <w:bidi w:val="0"/>
              <w:rPr>
                <w:rFonts w:hint="eastAsia"/>
                <w:lang w:val="en-US" w:eastAsia="zh-CN"/>
              </w:rPr>
            </w:pPr>
          </w:p>
        </w:tc>
        <w:tc>
          <w:tcPr>
            <w:tcW w:w="1937" w:type="dxa"/>
            <w:vAlign w:val="center"/>
          </w:tcPr>
          <w:p w14:paraId="3D64BF15">
            <w:pPr>
              <w:pStyle w:val="26"/>
              <w:bidi w:val="0"/>
              <w:rPr>
                <w:rFonts w:hint="eastAsia"/>
                <w:lang w:val="en-US" w:eastAsia="zh-CN"/>
              </w:rPr>
            </w:pPr>
            <w:r>
              <w:rPr>
                <w:rFonts w:hint="eastAsia"/>
                <w:lang w:val="en-US" w:eastAsia="zh-CN"/>
              </w:rPr>
              <w:t>14：00~15：10</w:t>
            </w:r>
          </w:p>
        </w:tc>
        <w:tc>
          <w:tcPr>
            <w:tcW w:w="737" w:type="dxa"/>
            <w:vAlign w:val="center"/>
          </w:tcPr>
          <w:p w14:paraId="26F68A08">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CA9D981">
            <w:pPr>
              <w:pStyle w:val="26"/>
              <w:bidi w:val="0"/>
              <w:rPr>
                <w:rFonts w:hint="default"/>
                <w:lang w:val="en-US" w:eastAsia="zh-CN"/>
              </w:rPr>
            </w:pPr>
            <w:r>
              <w:rPr>
                <w:rFonts w:hint="eastAsia"/>
                <w:lang w:val="en-US" w:eastAsia="zh-CN"/>
              </w:rPr>
              <w:t>14：00~15：00</w:t>
            </w:r>
          </w:p>
        </w:tc>
        <w:tc>
          <w:tcPr>
            <w:tcW w:w="843" w:type="dxa"/>
            <w:vAlign w:val="center"/>
          </w:tcPr>
          <w:p w14:paraId="1D192E9A">
            <w:pPr>
              <w:pStyle w:val="26"/>
              <w:bidi w:val="0"/>
              <w:rPr>
                <w:rFonts w:hint="default"/>
                <w:lang w:val="en-US" w:eastAsia="zh-CN"/>
              </w:rPr>
            </w:pPr>
            <w:r>
              <w:rPr>
                <w:rFonts w:hint="eastAsia"/>
                <w:lang w:val="en-US" w:eastAsia="zh-CN"/>
              </w:rPr>
              <w:t>0.029</w:t>
            </w:r>
          </w:p>
        </w:tc>
        <w:tc>
          <w:tcPr>
            <w:tcW w:w="1181" w:type="dxa"/>
            <w:vMerge w:val="continue"/>
            <w:vAlign w:val="center"/>
          </w:tcPr>
          <w:p w14:paraId="13C68967">
            <w:pPr>
              <w:pStyle w:val="26"/>
              <w:bidi w:val="0"/>
              <w:rPr>
                <w:rFonts w:hint="eastAsia"/>
                <w:lang w:val="en-US" w:eastAsia="zh-CN"/>
              </w:rPr>
            </w:pPr>
          </w:p>
        </w:tc>
        <w:tc>
          <w:tcPr>
            <w:tcW w:w="716" w:type="dxa"/>
            <w:vMerge w:val="continue"/>
            <w:shd w:val="clear" w:color="auto" w:fill="auto"/>
            <w:vAlign w:val="center"/>
          </w:tcPr>
          <w:p w14:paraId="00AC436D">
            <w:pPr>
              <w:pStyle w:val="26"/>
              <w:bidi w:val="0"/>
              <w:rPr>
                <w:rFonts w:hint="eastAsia"/>
                <w:lang w:val="en-US" w:eastAsia="zh-CN"/>
              </w:rPr>
            </w:pPr>
          </w:p>
        </w:tc>
      </w:tr>
      <w:tr w14:paraId="3456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 w:type="dxa"/>
            <w:vMerge w:val="continue"/>
            <w:vAlign w:val="center"/>
          </w:tcPr>
          <w:p w14:paraId="6DE20758">
            <w:pPr>
              <w:pStyle w:val="26"/>
              <w:bidi w:val="0"/>
              <w:rPr>
                <w:rFonts w:hint="eastAsia"/>
                <w:lang w:val="en-US" w:eastAsia="zh-CN"/>
              </w:rPr>
            </w:pPr>
          </w:p>
        </w:tc>
        <w:tc>
          <w:tcPr>
            <w:tcW w:w="797" w:type="dxa"/>
            <w:vMerge w:val="continue"/>
            <w:vAlign w:val="center"/>
          </w:tcPr>
          <w:p w14:paraId="46921231">
            <w:pPr>
              <w:pStyle w:val="26"/>
              <w:bidi w:val="0"/>
              <w:rPr>
                <w:rFonts w:hint="eastAsia"/>
                <w:lang w:val="en-US" w:eastAsia="zh-CN"/>
              </w:rPr>
            </w:pPr>
          </w:p>
        </w:tc>
        <w:tc>
          <w:tcPr>
            <w:tcW w:w="1937" w:type="dxa"/>
            <w:vAlign w:val="center"/>
          </w:tcPr>
          <w:p w14:paraId="08B0DB06">
            <w:pPr>
              <w:pStyle w:val="26"/>
              <w:bidi w:val="0"/>
              <w:rPr>
                <w:rFonts w:hint="eastAsia"/>
                <w:lang w:val="en-US" w:eastAsia="zh-CN"/>
              </w:rPr>
            </w:pPr>
            <w:r>
              <w:rPr>
                <w:rFonts w:hint="eastAsia"/>
                <w:lang w:val="en-US" w:eastAsia="zh-CN"/>
              </w:rPr>
              <w:t>20：00~21：10</w:t>
            </w:r>
          </w:p>
        </w:tc>
        <w:tc>
          <w:tcPr>
            <w:tcW w:w="737" w:type="dxa"/>
            <w:vAlign w:val="center"/>
          </w:tcPr>
          <w:p w14:paraId="73613333">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775520A">
            <w:pPr>
              <w:pStyle w:val="26"/>
              <w:bidi w:val="0"/>
              <w:rPr>
                <w:rFonts w:hint="default"/>
                <w:lang w:val="en-US" w:eastAsia="zh-CN"/>
              </w:rPr>
            </w:pPr>
            <w:r>
              <w:rPr>
                <w:rFonts w:hint="eastAsia"/>
                <w:lang w:val="en-US" w:eastAsia="zh-CN"/>
              </w:rPr>
              <w:t>20：00~21：00</w:t>
            </w:r>
          </w:p>
        </w:tc>
        <w:tc>
          <w:tcPr>
            <w:tcW w:w="843" w:type="dxa"/>
            <w:vAlign w:val="center"/>
          </w:tcPr>
          <w:p w14:paraId="11CC2DF1">
            <w:pPr>
              <w:pStyle w:val="26"/>
              <w:bidi w:val="0"/>
              <w:rPr>
                <w:rFonts w:hint="default"/>
                <w:lang w:val="en-US" w:eastAsia="zh-CN"/>
              </w:rPr>
            </w:pPr>
            <w:r>
              <w:rPr>
                <w:rFonts w:hint="eastAsia"/>
                <w:lang w:val="en-US" w:eastAsia="zh-CN"/>
              </w:rPr>
              <w:t>0.020</w:t>
            </w:r>
          </w:p>
        </w:tc>
        <w:tc>
          <w:tcPr>
            <w:tcW w:w="1181" w:type="dxa"/>
            <w:vMerge w:val="continue"/>
            <w:vAlign w:val="center"/>
          </w:tcPr>
          <w:p w14:paraId="736FF5C2">
            <w:pPr>
              <w:pStyle w:val="26"/>
              <w:bidi w:val="0"/>
              <w:rPr>
                <w:rFonts w:hint="eastAsia"/>
                <w:lang w:val="en-US" w:eastAsia="zh-CN"/>
              </w:rPr>
            </w:pPr>
          </w:p>
        </w:tc>
        <w:tc>
          <w:tcPr>
            <w:tcW w:w="716" w:type="dxa"/>
            <w:vMerge w:val="continue"/>
            <w:vAlign w:val="center"/>
          </w:tcPr>
          <w:p w14:paraId="5574E0D3">
            <w:pPr>
              <w:pStyle w:val="26"/>
              <w:bidi w:val="0"/>
              <w:rPr>
                <w:rFonts w:hint="eastAsia"/>
                <w:lang w:val="en-US" w:eastAsia="zh-CN"/>
              </w:rPr>
            </w:pPr>
          </w:p>
        </w:tc>
      </w:tr>
      <w:tr w14:paraId="2B29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4E44E6F9">
            <w:pPr>
              <w:pStyle w:val="26"/>
              <w:bidi w:val="0"/>
              <w:rPr>
                <w:rFonts w:hint="eastAsia"/>
                <w:lang w:val="en-US" w:eastAsia="zh-CN"/>
              </w:rPr>
            </w:pPr>
          </w:p>
        </w:tc>
        <w:tc>
          <w:tcPr>
            <w:tcW w:w="797" w:type="dxa"/>
            <w:vMerge w:val="restart"/>
            <w:vAlign w:val="center"/>
          </w:tcPr>
          <w:p w14:paraId="69B05137">
            <w:pPr>
              <w:pStyle w:val="26"/>
              <w:bidi w:val="0"/>
              <w:rPr>
                <w:rFonts w:hint="default"/>
                <w:lang w:val="en-US" w:eastAsia="zh-CN"/>
              </w:rPr>
            </w:pPr>
            <w:r>
              <w:rPr>
                <w:rFonts w:hint="eastAsia"/>
                <w:lang w:val="en-US" w:eastAsia="zh-CN"/>
              </w:rPr>
              <w:t>2026.04.08</w:t>
            </w:r>
          </w:p>
        </w:tc>
        <w:tc>
          <w:tcPr>
            <w:tcW w:w="1937" w:type="dxa"/>
            <w:shd w:val="clear" w:color="auto" w:fill="auto"/>
            <w:vAlign w:val="center"/>
          </w:tcPr>
          <w:p w14:paraId="73C4C112">
            <w:pPr>
              <w:pStyle w:val="26"/>
              <w:bidi w:val="0"/>
              <w:rPr>
                <w:rFonts w:hint="eastAsia"/>
                <w:lang w:val="en-US" w:eastAsia="zh-CN"/>
              </w:rPr>
            </w:pPr>
            <w:r>
              <w:rPr>
                <w:rFonts w:hint="eastAsia"/>
                <w:lang w:val="en-US" w:eastAsia="zh-CN"/>
              </w:rPr>
              <w:t>2：00~3：10</w:t>
            </w:r>
          </w:p>
        </w:tc>
        <w:tc>
          <w:tcPr>
            <w:tcW w:w="737" w:type="dxa"/>
            <w:vAlign w:val="center"/>
          </w:tcPr>
          <w:p w14:paraId="0AE790A2">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3C156493">
            <w:pPr>
              <w:pStyle w:val="26"/>
              <w:bidi w:val="0"/>
              <w:rPr>
                <w:rFonts w:hint="eastAsia"/>
                <w:lang w:val="en-US" w:eastAsia="zh-CN"/>
              </w:rPr>
            </w:pPr>
            <w:r>
              <w:rPr>
                <w:rFonts w:hint="eastAsia"/>
                <w:lang w:val="en-US" w:eastAsia="zh-CN"/>
              </w:rPr>
              <w:t>2：00~3：00</w:t>
            </w:r>
          </w:p>
        </w:tc>
        <w:tc>
          <w:tcPr>
            <w:tcW w:w="843" w:type="dxa"/>
            <w:vAlign w:val="center"/>
          </w:tcPr>
          <w:p w14:paraId="1A812F22">
            <w:pPr>
              <w:pStyle w:val="26"/>
              <w:bidi w:val="0"/>
              <w:rPr>
                <w:rFonts w:hint="default"/>
                <w:lang w:val="en-US" w:eastAsia="zh-CN"/>
              </w:rPr>
            </w:pPr>
            <w:r>
              <w:rPr>
                <w:rFonts w:hint="eastAsia"/>
                <w:lang w:val="en-US" w:eastAsia="zh-CN"/>
              </w:rPr>
              <w:t>0.031</w:t>
            </w:r>
          </w:p>
        </w:tc>
        <w:tc>
          <w:tcPr>
            <w:tcW w:w="1181" w:type="dxa"/>
            <w:vMerge w:val="restart"/>
            <w:shd w:val="clear" w:color="auto" w:fill="auto"/>
            <w:vAlign w:val="center"/>
          </w:tcPr>
          <w:p w14:paraId="26A507F2">
            <w:pPr>
              <w:pStyle w:val="26"/>
              <w:bidi w:val="0"/>
              <w:rPr>
                <w:rFonts w:hint="eastAsia"/>
                <w:lang w:val="en-US" w:eastAsia="zh-CN"/>
              </w:rPr>
            </w:pPr>
            <w:r>
              <w:rPr>
                <w:rFonts w:hint="eastAsia"/>
                <w:lang w:val="en-US" w:eastAsia="zh-CN"/>
              </w:rPr>
              <w:t>00：00~24：00</w:t>
            </w:r>
          </w:p>
        </w:tc>
        <w:tc>
          <w:tcPr>
            <w:tcW w:w="716" w:type="dxa"/>
            <w:vMerge w:val="restart"/>
            <w:vAlign w:val="center"/>
          </w:tcPr>
          <w:p w14:paraId="7205F2DE">
            <w:pPr>
              <w:pStyle w:val="26"/>
              <w:bidi w:val="0"/>
              <w:rPr>
                <w:rFonts w:hint="default"/>
                <w:lang w:val="en-US" w:eastAsia="zh-CN"/>
              </w:rPr>
            </w:pPr>
            <w:r>
              <w:rPr>
                <w:rFonts w:hint="eastAsia"/>
                <w:lang w:val="en-US" w:eastAsia="zh-CN"/>
              </w:rPr>
              <w:t>0.082</w:t>
            </w:r>
          </w:p>
        </w:tc>
      </w:tr>
      <w:tr w14:paraId="22C2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77A0EBEB">
            <w:pPr>
              <w:pStyle w:val="26"/>
              <w:bidi w:val="0"/>
              <w:rPr>
                <w:rFonts w:hint="eastAsia"/>
                <w:lang w:val="en-US" w:eastAsia="zh-CN"/>
              </w:rPr>
            </w:pPr>
          </w:p>
        </w:tc>
        <w:tc>
          <w:tcPr>
            <w:tcW w:w="797" w:type="dxa"/>
            <w:vMerge w:val="continue"/>
            <w:vAlign w:val="center"/>
          </w:tcPr>
          <w:p w14:paraId="75C7F086">
            <w:pPr>
              <w:pStyle w:val="26"/>
              <w:bidi w:val="0"/>
              <w:rPr>
                <w:rFonts w:hint="eastAsia"/>
                <w:lang w:val="en-US" w:eastAsia="zh-CN"/>
              </w:rPr>
            </w:pPr>
          </w:p>
        </w:tc>
        <w:tc>
          <w:tcPr>
            <w:tcW w:w="1937" w:type="dxa"/>
            <w:shd w:val="clear" w:color="auto" w:fill="auto"/>
            <w:vAlign w:val="center"/>
          </w:tcPr>
          <w:p w14:paraId="6644C3F0">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2D48586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5669324">
            <w:pPr>
              <w:pStyle w:val="26"/>
              <w:bidi w:val="0"/>
              <w:rPr>
                <w:rFonts w:hint="eastAsia"/>
                <w:lang w:val="en-US" w:eastAsia="zh-CN"/>
              </w:rPr>
            </w:pPr>
            <w:r>
              <w:rPr>
                <w:rFonts w:hint="eastAsia"/>
                <w:lang w:val="en-US" w:eastAsia="zh-CN"/>
              </w:rPr>
              <w:t>8：00~9：00</w:t>
            </w:r>
          </w:p>
        </w:tc>
        <w:tc>
          <w:tcPr>
            <w:tcW w:w="843" w:type="dxa"/>
            <w:vAlign w:val="center"/>
          </w:tcPr>
          <w:p w14:paraId="73CC2589">
            <w:pPr>
              <w:pStyle w:val="26"/>
              <w:bidi w:val="0"/>
              <w:rPr>
                <w:rFonts w:hint="default"/>
                <w:lang w:val="en-US" w:eastAsia="zh-CN"/>
              </w:rPr>
            </w:pPr>
            <w:r>
              <w:rPr>
                <w:rFonts w:hint="eastAsia"/>
                <w:lang w:val="en-US" w:eastAsia="zh-CN"/>
              </w:rPr>
              <w:t>0.026</w:t>
            </w:r>
          </w:p>
        </w:tc>
        <w:tc>
          <w:tcPr>
            <w:tcW w:w="1181" w:type="dxa"/>
            <w:vMerge w:val="continue"/>
            <w:vAlign w:val="center"/>
          </w:tcPr>
          <w:p w14:paraId="11C022ED">
            <w:pPr>
              <w:pStyle w:val="26"/>
              <w:bidi w:val="0"/>
              <w:rPr>
                <w:rFonts w:hint="eastAsia"/>
                <w:lang w:val="en-US" w:eastAsia="zh-CN"/>
              </w:rPr>
            </w:pPr>
          </w:p>
        </w:tc>
        <w:tc>
          <w:tcPr>
            <w:tcW w:w="716" w:type="dxa"/>
            <w:vMerge w:val="continue"/>
            <w:vAlign w:val="center"/>
          </w:tcPr>
          <w:p w14:paraId="4A0005FF">
            <w:pPr>
              <w:pStyle w:val="26"/>
              <w:bidi w:val="0"/>
              <w:rPr>
                <w:rFonts w:hint="eastAsia"/>
                <w:lang w:val="en-US" w:eastAsia="zh-CN"/>
              </w:rPr>
            </w:pPr>
          </w:p>
        </w:tc>
      </w:tr>
      <w:tr w14:paraId="146D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0E4D16AF">
            <w:pPr>
              <w:pStyle w:val="26"/>
              <w:bidi w:val="0"/>
              <w:rPr>
                <w:rFonts w:hint="eastAsia"/>
                <w:lang w:val="en-US" w:eastAsia="zh-CN"/>
              </w:rPr>
            </w:pPr>
          </w:p>
        </w:tc>
        <w:tc>
          <w:tcPr>
            <w:tcW w:w="797" w:type="dxa"/>
            <w:vMerge w:val="continue"/>
            <w:vAlign w:val="center"/>
          </w:tcPr>
          <w:p w14:paraId="11EEA847">
            <w:pPr>
              <w:pStyle w:val="26"/>
              <w:bidi w:val="0"/>
              <w:rPr>
                <w:rFonts w:hint="eastAsia"/>
                <w:lang w:val="en-US" w:eastAsia="zh-CN"/>
              </w:rPr>
            </w:pPr>
          </w:p>
        </w:tc>
        <w:tc>
          <w:tcPr>
            <w:tcW w:w="1937" w:type="dxa"/>
            <w:shd w:val="clear" w:color="auto" w:fill="auto"/>
            <w:vAlign w:val="center"/>
          </w:tcPr>
          <w:p w14:paraId="31FE2E00">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6757673B">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E43DAFC">
            <w:pPr>
              <w:pStyle w:val="26"/>
              <w:bidi w:val="0"/>
              <w:rPr>
                <w:rFonts w:hint="eastAsia"/>
                <w:lang w:val="en-US" w:eastAsia="zh-CN"/>
              </w:rPr>
            </w:pPr>
            <w:r>
              <w:rPr>
                <w:rFonts w:hint="eastAsia"/>
                <w:lang w:val="en-US" w:eastAsia="zh-CN"/>
              </w:rPr>
              <w:t>14：00~15：00</w:t>
            </w:r>
          </w:p>
        </w:tc>
        <w:tc>
          <w:tcPr>
            <w:tcW w:w="843" w:type="dxa"/>
            <w:vAlign w:val="center"/>
          </w:tcPr>
          <w:p w14:paraId="7C59456F">
            <w:pPr>
              <w:pStyle w:val="26"/>
              <w:bidi w:val="0"/>
              <w:rPr>
                <w:rFonts w:hint="default"/>
                <w:lang w:val="en-US" w:eastAsia="zh-CN"/>
              </w:rPr>
            </w:pPr>
            <w:r>
              <w:rPr>
                <w:rFonts w:hint="eastAsia"/>
                <w:lang w:val="en-US" w:eastAsia="zh-CN"/>
              </w:rPr>
              <w:t>0.025</w:t>
            </w:r>
          </w:p>
        </w:tc>
        <w:tc>
          <w:tcPr>
            <w:tcW w:w="1181" w:type="dxa"/>
            <w:vMerge w:val="continue"/>
            <w:vAlign w:val="center"/>
          </w:tcPr>
          <w:p w14:paraId="2A80FDA2">
            <w:pPr>
              <w:pStyle w:val="26"/>
              <w:bidi w:val="0"/>
              <w:rPr>
                <w:rFonts w:hint="eastAsia"/>
                <w:lang w:val="en-US" w:eastAsia="zh-CN"/>
              </w:rPr>
            </w:pPr>
          </w:p>
        </w:tc>
        <w:tc>
          <w:tcPr>
            <w:tcW w:w="716" w:type="dxa"/>
            <w:vMerge w:val="continue"/>
            <w:vAlign w:val="center"/>
          </w:tcPr>
          <w:p w14:paraId="1ED7D263">
            <w:pPr>
              <w:pStyle w:val="26"/>
              <w:bidi w:val="0"/>
              <w:rPr>
                <w:rFonts w:hint="eastAsia"/>
                <w:lang w:val="en-US" w:eastAsia="zh-CN"/>
              </w:rPr>
            </w:pPr>
          </w:p>
        </w:tc>
      </w:tr>
      <w:tr w14:paraId="58EB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682" w:type="dxa"/>
            <w:vMerge w:val="continue"/>
            <w:vAlign w:val="center"/>
          </w:tcPr>
          <w:p w14:paraId="6C547226">
            <w:pPr>
              <w:pStyle w:val="26"/>
              <w:bidi w:val="0"/>
              <w:rPr>
                <w:rFonts w:hint="eastAsia"/>
                <w:lang w:val="en-US" w:eastAsia="zh-CN"/>
              </w:rPr>
            </w:pPr>
          </w:p>
        </w:tc>
        <w:tc>
          <w:tcPr>
            <w:tcW w:w="797" w:type="dxa"/>
            <w:vMerge w:val="continue"/>
            <w:vAlign w:val="center"/>
          </w:tcPr>
          <w:p w14:paraId="206A0DBE">
            <w:pPr>
              <w:pStyle w:val="26"/>
              <w:bidi w:val="0"/>
              <w:rPr>
                <w:rFonts w:hint="eastAsia"/>
                <w:lang w:val="en-US" w:eastAsia="zh-CN"/>
              </w:rPr>
            </w:pPr>
          </w:p>
        </w:tc>
        <w:tc>
          <w:tcPr>
            <w:tcW w:w="1937" w:type="dxa"/>
            <w:shd w:val="clear" w:color="auto" w:fill="auto"/>
            <w:vAlign w:val="center"/>
          </w:tcPr>
          <w:p w14:paraId="0825C78E">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40EF7032">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6329F8CB">
            <w:pPr>
              <w:pStyle w:val="26"/>
              <w:bidi w:val="0"/>
              <w:rPr>
                <w:rFonts w:hint="eastAsia"/>
                <w:lang w:val="en-US" w:eastAsia="zh-CN"/>
              </w:rPr>
            </w:pPr>
            <w:r>
              <w:rPr>
                <w:rFonts w:hint="eastAsia"/>
                <w:lang w:val="en-US" w:eastAsia="zh-CN"/>
              </w:rPr>
              <w:t>20：00~21：00</w:t>
            </w:r>
          </w:p>
        </w:tc>
        <w:tc>
          <w:tcPr>
            <w:tcW w:w="843" w:type="dxa"/>
            <w:vAlign w:val="center"/>
          </w:tcPr>
          <w:p w14:paraId="38AA3E63">
            <w:pPr>
              <w:pStyle w:val="26"/>
              <w:bidi w:val="0"/>
              <w:rPr>
                <w:rFonts w:hint="default"/>
                <w:lang w:val="en-US" w:eastAsia="zh-CN"/>
              </w:rPr>
            </w:pPr>
            <w:r>
              <w:rPr>
                <w:rFonts w:hint="eastAsia"/>
                <w:lang w:val="en-US" w:eastAsia="zh-CN"/>
              </w:rPr>
              <w:t>0.028</w:t>
            </w:r>
          </w:p>
        </w:tc>
        <w:tc>
          <w:tcPr>
            <w:tcW w:w="1181" w:type="dxa"/>
            <w:vMerge w:val="continue"/>
            <w:vAlign w:val="center"/>
          </w:tcPr>
          <w:p w14:paraId="603C1908">
            <w:pPr>
              <w:pStyle w:val="26"/>
              <w:bidi w:val="0"/>
              <w:rPr>
                <w:rFonts w:hint="eastAsia"/>
                <w:lang w:val="en-US" w:eastAsia="zh-CN"/>
              </w:rPr>
            </w:pPr>
          </w:p>
        </w:tc>
        <w:tc>
          <w:tcPr>
            <w:tcW w:w="716" w:type="dxa"/>
            <w:vMerge w:val="continue"/>
            <w:vAlign w:val="center"/>
          </w:tcPr>
          <w:p w14:paraId="1532A2B6">
            <w:pPr>
              <w:pStyle w:val="26"/>
              <w:bidi w:val="0"/>
              <w:rPr>
                <w:rFonts w:hint="eastAsia"/>
                <w:lang w:val="en-US" w:eastAsia="zh-CN"/>
              </w:rPr>
            </w:pPr>
          </w:p>
        </w:tc>
      </w:tr>
      <w:tr w14:paraId="543E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1263D0C9">
            <w:pPr>
              <w:pStyle w:val="26"/>
              <w:bidi w:val="0"/>
              <w:rPr>
                <w:rFonts w:hint="eastAsia"/>
                <w:lang w:val="en-US" w:eastAsia="zh-CN"/>
              </w:rPr>
            </w:pPr>
          </w:p>
        </w:tc>
        <w:tc>
          <w:tcPr>
            <w:tcW w:w="797" w:type="dxa"/>
            <w:vMerge w:val="restart"/>
            <w:vAlign w:val="center"/>
          </w:tcPr>
          <w:p w14:paraId="6C8D2056">
            <w:pPr>
              <w:pStyle w:val="26"/>
              <w:bidi w:val="0"/>
              <w:rPr>
                <w:rFonts w:hint="default"/>
                <w:lang w:val="en-US" w:eastAsia="zh-CN"/>
              </w:rPr>
            </w:pPr>
            <w:r>
              <w:rPr>
                <w:rFonts w:hint="eastAsia"/>
                <w:lang w:val="en-US" w:eastAsia="zh-CN"/>
              </w:rPr>
              <w:t>2026.04.09</w:t>
            </w:r>
          </w:p>
        </w:tc>
        <w:tc>
          <w:tcPr>
            <w:tcW w:w="1937" w:type="dxa"/>
            <w:shd w:val="clear" w:color="auto" w:fill="auto"/>
            <w:vAlign w:val="center"/>
          </w:tcPr>
          <w:p w14:paraId="32B22415">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36568C83">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A859D90">
            <w:pPr>
              <w:pStyle w:val="26"/>
              <w:bidi w:val="0"/>
              <w:rPr>
                <w:rFonts w:hint="eastAsia"/>
                <w:lang w:val="en-US" w:eastAsia="zh-CN"/>
              </w:rPr>
            </w:pPr>
            <w:r>
              <w:rPr>
                <w:rFonts w:hint="eastAsia"/>
                <w:lang w:val="en-US" w:eastAsia="zh-CN"/>
              </w:rPr>
              <w:t>2：00~3：00</w:t>
            </w:r>
          </w:p>
        </w:tc>
        <w:tc>
          <w:tcPr>
            <w:tcW w:w="843" w:type="dxa"/>
            <w:vAlign w:val="center"/>
          </w:tcPr>
          <w:p w14:paraId="6EC73D5F">
            <w:pPr>
              <w:pStyle w:val="26"/>
              <w:bidi w:val="0"/>
              <w:rPr>
                <w:rFonts w:hint="default"/>
                <w:lang w:val="en-US" w:eastAsia="zh-CN"/>
              </w:rPr>
            </w:pPr>
            <w:r>
              <w:rPr>
                <w:rFonts w:hint="eastAsia"/>
                <w:lang w:val="en-US" w:eastAsia="zh-CN"/>
              </w:rPr>
              <w:t>0.031</w:t>
            </w:r>
          </w:p>
        </w:tc>
        <w:tc>
          <w:tcPr>
            <w:tcW w:w="1181" w:type="dxa"/>
            <w:vMerge w:val="restart"/>
            <w:vAlign w:val="center"/>
          </w:tcPr>
          <w:p w14:paraId="1F36BD1E">
            <w:pPr>
              <w:pStyle w:val="26"/>
              <w:bidi w:val="0"/>
              <w:rPr>
                <w:rFonts w:hint="eastAsia"/>
                <w:lang w:val="en-US" w:eastAsia="zh-CN"/>
              </w:rPr>
            </w:pPr>
            <w:r>
              <w:rPr>
                <w:rFonts w:hint="eastAsia"/>
                <w:lang w:val="en-US" w:eastAsia="zh-CN"/>
              </w:rPr>
              <w:t>00：00~24：00</w:t>
            </w:r>
          </w:p>
        </w:tc>
        <w:tc>
          <w:tcPr>
            <w:tcW w:w="716" w:type="dxa"/>
            <w:vMerge w:val="restart"/>
            <w:vAlign w:val="center"/>
          </w:tcPr>
          <w:p w14:paraId="1D05E544">
            <w:pPr>
              <w:pStyle w:val="26"/>
              <w:bidi w:val="0"/>
              <w:rPr>
                <w:rFonts w:hint="default"/>
                <w:lang w:val="en-US" w:eastAsia="zh-CN"/>
              </w:rPr>
            </w:pPr>
            <w:r>
              <w:rPr>
                <w:rFonts w:hint="eastAsia"/>
                <w:lang w:val="en-US" w:eastAsia="zh-CN"/>
              </w:rPr>
              <w:t>0.038</w:t>
            </w:r>
          </w:p>
        </w:tc>
      </w:tr>
      <w:tr w14:paraId="0114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5951F6D4">
            <w:pPr>
              <w:pStyle w:val="26"/>
              <w:bidi w:val="0"/>
              <w:rPr>
                <w:rFonts w:hint="eastAsia"/>
                <w:lang w:val="en-US" w:eastAsia="zh-CN"/>
              </w:rPr>
            </w:pPr>
          </w:p>
        </w:tc>
        <w:tc>
          <w:tcPr>
            <w:tcW w:w="797" w:type="dxa"/>
            <w:vMerge w:val="continue"/>
            <w:vAlign w:val="center"/>
          </w:tcPr>
          <w:p w14:paraId="744CA6F7">
            <w:pPr>
              <w:pStyle w:val="26"/>
              <w:bidi w:val="0"/>
              <w:rPr>
                <w:rFonts w:hint="eastAsia"/>
                <w:lang w:val="en-US" w:eastAsia="zh-CN"/>
              </w:rPr>
            </w:pPr>
          </w:p>
        </w:tc>
        <w:tc>
          <w:tcPr>
            <w:tcW w:w="1937" w:type="dxa"/>
            <w:shd w:val="clear" w:color="auto" w:fill="auto"/>
            <w:vAlign w:val="center"/>
          </w:tcPr>
          <w:p w14:paraId="4C85679E">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3E5D49B7">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0E97EB0">
            <w:pPr>
              <w:pStyle w:val="26"/>
              <w:bidi w:val="0"/>
              <w:rPr>
                <w:rFonts w:hint="eastAsia"/>
                <w:lang w:val="en-US" w:eastAsia="zh-CN"/>
              </w:rPr>
            </w:pPr>
            <w:r>
              <w:rPr>
                <w:rFonts w:hint="eastAsia"/>
                <w:lang w:val="en-US" w:eastAsia="zh-CN"/>
              </w:rPr>
              <w:t>8：00~9：00</w:t>
            </w:r>
          </w:p>
        </w:tc>
        <w:tc>
          <w:tcPr>
            <w:tcW w:w="843" w:type="dxa"/>
            <w:vAlign w:val="center"/>
          </w:tcPr>
          <w:p w14:paraId="01015772">
            <w:pPr>
              <w:pStyle w:val="26"/>
              <w:bidi w:val="0"/>
              <w:rPr>
                <w:rFonts w:hint="default"/>
                <w:lang w:val="en-US" w:eastAsia="zh-CN"/>
              </w:rPr>
            </w:pPr>
            <w:r>
              <w:rPr>
                <w:rFonts w:hint="eastAsia"/>
                <w:lang w:val="en-US" w:eastAsia="zh-CN"/>
              </w:rPr>
              <w:t>0.028</w:t>
            </w:r>
          </w:p>
        </w:tc>
        <w:tc>
          <w:tcPr>
            <w:tcW w:w="1181" w:type="dxa"/>
            <w:vMerge w:val="continue"/>
            <w:vAlign w:val="center"/>
          </w:tcPr>
          <w:p w14:paraId="56EAB73F">
            <w:pPr>
              <w:pStyle w:val="26"/>
              <w:bidi w:val="0"/>
              <w:rPr>
                <w:rFonts w:hint="eastAsia"/>
                <w:lang w:val="en-US" w:eastAsia="zh-CN"/>
              </w:rPr>
            </w:pPr>
          </w:p>
        </w:tc>
        <w:tc>
          <w:tcPr>
            <w:tcW w:w="716" w:type="dxa"/>
            <w:vMerge w:val="continue"/>
            <w:vAlign w:val="center"/>
          </w:tcPr>
          <w:p w14:paraId="7F1F49F1">
            <w:pPr>
              <w:pStyle w:val="26"/>
              <w:bidi w:val="0"/>
              <w:rPr>
                <w:rFonts w:hint="eastAsia"/>
                <w:lang w:val="en-US" w:eastAsia="zh-CN"/>
              </w:rPr>
            </w:pPr>
          </w:p>
        </w:tc>
      </w:tr>
      <w:tr w14:paraId="6DC2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4041A031">
            <w:pPr>
              <w:pStyle w:val="26"/>
              <w:bidi w:val="0"/>
              <w:rPr>
                <w:rFonts w:hint="eastAsia"/>
                <w:lang w:val="en-US" w:eastAsia="zh-CN"/>
              </w:rPr>
            </w:pPr>
          </w:p>
        </w:tc>
        <w:tc>
          <w:tcPr>
            <w:tcW w:w="797" w:type="dxa"/>
            <w:vMerge w:val="continue"/>
            <w:vAlign w:val="center"/>
          </w:tcPr>
          <w:p w14:paraId="052322F7">
            <w:pPr>
              <w:pStyle w:val="26"/>
              <w:bidi w:val="0"/>
              <w:rPr>
                <w:rFonts w:hint="eastAsia"/>
                <w:lang w:val="en-US" w:eastAsia="zh-CN"/>
              </w:rPr>
            </w:pPr>
          </w:p>
        </w:tc>
        <w:tc>
          <w:tcPr>
            <w:tcW w:w="1937" w:type="dxa"/>
            <w:shd w:val="clear" w:color="auto" w:fill="auto"/>
            <w:vAlign w:val="center"/>
          </w:tcPr>
          <w:p w14:paraId="15060F4E">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64E81A16">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F970DED">
            <w:pPr>
              <w:pStyle w:val="26"/>
              <w:bidi w:val="0"/>
              <w:rPr>
                <w:rFonts w:hint="eastAsia"/>
                <w:lang w:val="en-US" w:eastAsia="zh-CN"/>
              </w:rPr>
            </w:pPr>
            <w:r>
              <w:rPr>
                <w:rFonts w:hint="eastAsia"/>
                <w:lang w:val="en-US" w:eastAsia="zh-CN"/>
              </w:rPr>
              <w:t>14：00~15：00</w:t>
            </w:r>
          </w:p>
        </w:tc>
        <w:tc>
          <w:tcPr>
            <w:tcW w:w="843" w:type="dxa"/>
            <w:vAlign w:val="center"/>
          </w:tcPr>
          <w:p w14:paraId="428EE331">
            <w:pPr>
              <w:pStyle w:val="26"/>
              <w:bidi w:val="0"/>
              <w:rPr>
                <w:rFonts w:hint="default"/>
                <w:lang w:val="en-US" w:eastAsia="zh-CN"/>
              </w:rPr>
            </w:pPr>
            <w:r>
              <w:rPr>
                <w:rFonts w:hint="eastAsia"/>
                <w:lang w:val="en-US" w:eastAsia="zh-CN"/>
              </w:rPr>
              <w:t>0.031</w:t>
            </w:r>
          </w:p>
        </w:tc>
        <w:tc>
          <w:tcPr>
            <w:tcW w:w="1181" w:type="dxa"/>
            <w:vMerge w:val="continue"/>
            <w:vAlign w:val="center"/>
          </w:tcPr>
          <w:p w14:paraId="559C7948">
            <w:pPr>
              <w:pStyle w:val="26"/>
              <w:bidi w:val="0"/>
              <w:rPr>
                <w:rFonts w:hint="eastAsia"/>
                <w:lang w:val="en-US" w:eastAsia="zh-CN"/>
              </w:rPr>
            </w:pPr>
          </w:p>
        </w:tc>
        <w:tc>
          <w:tcPr>
            <w:tcW w:w="716" w:type="dxa"/>
            <w:vMerge w:val="continue"/>
            <w:vAlign w:val="center"/>
          </w:tcPr>
          <w:p w14:paraId="14D13E93">
            <w:pPr>
              <w:pStyle w:val="26"/>
              <w:bidi w:val="0"/>
              <w:rPr>
                <w:rFonts w:hint="eastAsia"/>
                <w:lang w:val="en-US" w:eastAsia="zh-CN"/>
              </w:rPr>
            </w:pPr>
          </w:p>
        </w:tc>
      </w:tr>
      <w:tr w14:paraId="0A4F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 w:type="dxa"/>
            <w:vMerge w:val="continue"/>
            <w:vAlign w:val="center"/>
          </w:tcPr>
          <w:p w14:paraId="3E166622">
            <w:pPr>
              <w:pStyle w:val="26"/>
              <w:bidi w:val="0"/>
              <w:rPr>
                <w:rFonts w:hint="eastAsia"/>
                <w:lang w:val="en-US" w:eastAsia="zh-CN"/>
              </w:rPr>
            </w:pPr>
          </w:p>
        </w:tc>
        <w:tc>
          <w:tcPr>
            <w:tcW w:w="797" w:type="dxa"/>
            <w:vMerge w:val="continue"/>
            <w:vAlign w:val="center"/>
          </w:tcPr>
          <w:p w14:paraId="62566F6C">
            <w:pPr>
              <w:pStyle w:val="26"/>
              <w:bidi w:val="0"/>
              <w:rPr>
                <w:rFonts w:hint="eastAsia"/>
                <w:lang w:val="en-US" w:eastAsia="zh-CN"/>
              </w:rPr>
            </w:pPr>
          </w:p>
        </w:tc>
        <w:tc>
          <w:tcPr>
            <w:tcW w:w="1937" w:type="dxa"/>
            <w:shd w:val="clear" w:color="auto" w:fill="auto"/>
            <w:vAlign w:val="center"/>
          </w:tcPr>
          <w:p w14:paraId="7EC9DB6E">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682DFFA6">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6AAF3FC5">
            <w:pPr>
              <w:pStyle w:val="26"/>
              <w:bidi w:val="0"/>
              <w:rPr>
                <w:rFonts w:hint="eastAsia"/>
                <w:lang w:val="en-US" w:eastAsia="zh-CN"/>
              </w:rPr>
            </w:pPr>
            <w:r>
              <w:rPr>
                <w:rFonts w:hint="eastAsia"/>
                <w:lang w:val="en-US" w:eastAsia="zh-CN"/>
              </w:rPr>
              <w:t>20：00~21：00</w:t>
            </w:r>
          </w:p>
        </w:tc>
        <w:tc>
          <w:tcPr>
            <w:tcW w:w="843" w:type="dxa"/>
            <w:vAlign w:val="center"/>
          </w:tcPr>
          <w:p w14:paraId="236E53FA">
            <w:pPr>
              <w:pStyle w:val="26"/>
              <w:bidi w:val="0"/>
              <w:rPr>
                <w:rFonts w:hint="default"/>
                <w:lang w:val="en-US" w:eastAsia="zh-CN"/>
              </w:rPr>
            </w:pPr>
            <w:r>
              <w:rPr>
                <w:rFonts w:hint="eastAsia"/>
                <w:lang w:val="en-US" w:eastAsia="zh-CN"/>
              </w:rPr>
              <w:t>0.032</w:t>
            </w:r>
          </w:p>
        </w:tc>
        <w:tc>
          <w:tcPr>
            <w:tcW w:w="1181" w:type="dxa"/>
            <w:vMerge w:val="continue"/>
            <w:vAlign w:val="center"/>
          </w:tcPr>
          <w:p w14:paraId="5F3EF265">
            <w:pPr>
              <w:pStyle w:val="26"/>
              <w:bidi w:val="0"/>
              <w:rPr>
                <w:rFonts w:hint="eastAsia"/>
                <w:lang w:val="en-US" w:eastAsia="zh-CN"/>
              </w:rPr>
            </w:pPr>
          </w:p>
        </w:tc>
        <w:tc>
          <w:tcPr>
            <w:tcW w:w="716" w:type="dxa"/>
            <w:vMerge w:val="continue"/>
            <w:vAlign w:val="center"/>
          </w:tcPr>
          <w:p w14:paraId="178C0848">
            <w:pPr>
              <w:pStyle w:val="26"/>
              <w:bidi w:val="0"/>
              <w:rPr>
                <w:rFonts w:hint="eastAsia"/>
                <w:lang w:val="en-US" w:eastAsia="zh-CN"/>
              </w:rPr>
            </w:pPr>
          </w:p>
        </w:tc>
      </w:tr>
      <w:tr w14:paraId="1C56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0F3B4AD0">
            <w:pPr>
              <w:pStyle w:val="26"/>
              <w:bidi w:val="0"/>
              <w:rPr>
                <w:rFonts w:hint="eastAsia"/>
                <w:lang w:val="en-US" w:eastAsia="zh-CN"/>
              </w:rPr>
            </w:pPr>
          </w:p>
        </w:tc>
        <w:tc>
          <w:tcPr>
            <w:tcW w:w="797" w:type="dxa"/>
            <w:vMerge w:val="restart"/>
            <w:vAlign w:val="center"/>
          </w:tcPr>
          <w:p w14:paraId="47410DF9">
            <w:pPr>
              <w:pStyle w:val="26"/>
              <w:bidi w:val="0"/>
              <w:rPr>
                <w:rFonts w:hint="default"/>
                <w:lang w:val="en-US" w:eastAsia="zh-CN"/>
              </w:rPr>
            </w:pPr>
            <w:r>
              <w:rPr>
                <w:rFonts w:hint="eastAsia"/>
                <w:lang w:val="en-US" w:eastAsia="zh-CN"/>
              </w:rPr>
              <w:t>2026.04.10</w:t>
            </w:r>
          </w:p>
        </w:tc>
        <w:tc>
          <w:tcPr>
            <w:tcW w:w="1937" w:type="dxa"/>
            <w:shd w:val="clear" w:color="auto" w:fill="auto"/>
            <w:vAlign w:val="center"/>
          </w:tcPr>
          <w:p w14:paraId="7FB3B4C3">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5E1D18B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89412EC">
            <w:pPr>
              <w:pStyle w:val="26"/>
              <w:bidi w:val="0"/>
              <w:rPr>
                <w:rFonts w:hint="eastAsia"/>
                <w:lang w:val="en-US" w:eastAsia="zh-CN"/>
              </w:rPr>
            </w:pPr>
            <w:r>
              <w:rPr>
                <w:rFonts w:hint="eastAsia"/>
                <w:lang w:val="en-US" w:eastAsia="zh-CN"/>
              </w:rPr>
              <w:t>2：00~3：00</w:t>
            </w:r>
          </w:p>
        </w:tc>
        <w:tc>
          <w:tcPr>
            <w:tcW w:w="843" w:type="dxa"/>
            <w:vAlign w:val="center"/>
          </w:tcPr>
          <w:p w14:paraId="48BC6178">
            <w:pPr>
              <w:pStyle w:val="26"/>
              <w:bidi w:val="0"/>
              <w:rPr>
                <w:rFonts w:hint="default"/>
                <w:lang w:val="en-US" w:eastAsia="zh-CN"/>
              </w:rPr>
            </w:pPr>
            <w:r>
              <w:rPr>
                <w:rFonts w:hint="eastAsia"/>
                <w:lang w:val="en-US" w:eastAsia="zh-CN"/>
              </w:rPr>
              <w:t>0.027</w:t>
            </w:r>
          </w:p>
        </w:tc>
        <w:tc>
          <w:tcPr>
            <w:tcW w:w="1181" w:type="dxa"/>
            <w:vMerge w:val="restart"/>
            <w:vAlign w:val="center"/>
          </w:tcPr>
          <w:p w14:paraId="33FC257C">
            <w:pPr>
              <w:pStyle w:val="26"/>
              <w:bidi w:val="0"/>
              <w:rPr>
                <w:rFonts w:hint="eastAsia"/>
                <w:lang w:val="en-US" w:eastAsia="zh-CN"/>
              </w:rPr>
            </w:pPr>
            <w:r>
              <w:rPr>
                <w:rFonts w:hint="eastAsia"/>
                <w:lang w:val="en-US" w:eastAsia="zh-CN"/>
              </w:rPr>
              <w:t>00：00~24：00</w:t>
            </w:r>
          </w:p>
        </w:tc>
        <w:tc>
          <w:tcPr>
            <w:tcW w:w="716" w:type="dxa"/>
            <w:vMerge w:val="restart"/>
            <w:vAlign w:val="center"/>
          </w:tcPr>
          <w:p w14:paraId="21ABB8DA">
            <w:pPr>
              <w:pStyle w:val="26"/>
              <w:bidi w:val="0"/>
              <w:rPr>
                <w:rFonts w:hint="default"/>
                <w:lang w:val="en-US" w:eastAsia="zh-CN"/>
              </w:rPr>
            </w:pPr>
            <w:r>
              <w:rPr>
                <w:rFonts w:hint="eastAsia"/>
                <w:lang w:val="en-US" w:eastAsia="zh-CN"/>
              </w:rPr>
              <w:t>0.058</w:t>
            </w:r>
          </w:p>
        </w:tc>
      </w:tr>
      <w:tr w14:paraId="2F80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71C33539">
            <w:pPr>
              <w:pStyle w:val="26"/>
              <w:bidi w:val="0"/>
              <w:rPr>
                <w:rFonts w:hint="eastAsia"/>
                <w:lang w:val="en-US" w:eastAsia="zh-CN"/>
              </w:rPr>
            </w:pPr>
          </w:p>
        </w:tc>
        <w:tc>
          <w:tcPr>
            <w:tcW w:w="797" w:type="dxa"/>
            <w:vMerge w:val="continue"/>
            <w:vAlign w:val="center"/>
          </w:tcPr>
          <w:p w14:paraId="4A3EE90C">
            <w:pPr>
              <w:pStyle w:val="26"/>
              <w:bidi w:val="0"/>
              <w:rPr>
                <w:rFonts w:hint="eastAsia"/>
                <w:lang w:val="en-US" w:eastAsia="zh-CN"/>
              </w:rPr>
            </w:pPr>
          </w:p>
        </w:tc>
        <w:tc>
          <w:tcPr>
            <w:tcW w:w="1937" w:type="dxa"/>
            <w:shd w:val="clear" w:color="auto" w:fill="auto"/>
            <w:vAlign w:val="center"/>
          </w:tcPr>
          <w:p w14:paraId="37AF0BB4">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65F595C9">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682A95ED">
            <w:pPr>
              <w:pStyle w:val="26"/>
              <w:bidi w:val="0"/>
              <w:rPr>
                <w:rFonts w:hint="eastAsia"/>
                <w:lang w:val="en-US" w:eastAsia="zh-CN"/>
              </w:rPr>
            </w:pPr>
            <w:r>
              <w:rPr>
                <w:rFonts w:hint="eastAsia"/>
                <w:lang w:val="en-US" w:eastAsia="zh-CN"/>
              </w:rPr>
              <w:t>8：00~9：00</w:t>
            </w:r>
          </w:p>
        </w:tc>
        <w:tc>
          <w:tcPr>
            <w:tcW w:w="843" w:type="dxa"/>
            <w:vAlign w:val="center"/>
          </w:tcPr>
          <w:p w14:paraId="7436D27E">
            <w:pPr>
              <w:pStyle w:val="26"/>
              <w:bidi w:val="0"/>
              <w:rPr>
                <w:rFonts w:hint="default"/>
                <w:lang w:val="en-US" w:eastAsia="zh-CN"/>
              </w:rPr>
            </w:pPr>
            <w:r>
              <w:rPr>
                <w:rFonts w:hint="eastAsia"/>
                <w:lang w:val="en-US" w:eastAsia="zh-CN"/>
              </w:rPr>
              <w:t>0.028</w:t>
            </w:r>
          </w:p>
        </w:tc>
        <w:tc>
          <w:tcPr>
            <w:tcW w:w="1181" w:type="dxa"/>
            <w:vMerge w:val="continue"/>
            <w:vAlign w:val="center"/>
          </w:tcPr>
          <w:p w14:paraId="1C4BD587">
            <w:pPr>
              <w:pStyle w:val="26"/>
              <w:bidi w:val="0"/>
              <w:rPr>
                <w:rFonts w:hint="eastAsia"/>
                <w:lang w:val="en-US" w:eastAsia="zh-CN"/>
              </w:rPr>
            </w:pPr>
          </w:p>
        </w:tc>
        <w:tc>
          <w:tcPr>
            <w:tcW w:w="716" w:type="dxa"/>
            <w:vMerge w:val="continue"/>
            <w:vAlign w:val="center"/>
          </w:tcPr>
          <w:p w14:paraId="101B0BF9">
            <w:pPr>
              <w:pStyle w:val="26"/>
              <w:bidi w:val="0"/>
              <w:rPr>
                <w:rFonts w:hint="eastAsia"/>
                <w:lang w:val="en-US" w:eastAsia="zh-CN"/>
              </w:rPr>
            </w:pPr>
          </w:p>
        </w:tc>
      </w:tr>
      <w:tr w14:paraId="56EF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2E20947D">
            <w:pPr>
              <w:pStyle w:val="26"/>
              <w:bidi w:val="0"/>
              <w:rPr>
                <w:rFonts w:hint="eastAsia"/>
                <w:lang w:val="en-US" w:eastAsia="zh-CN"/>
              </w:rPr>
            </w:pPr>
          </w:p>
        </w:tc>
        <w:tc>
          <w:tcPr>
            <w:tcW w:w="797" w:type="dxa"/>
            <w:vMerge w:val="continue"/>
            <w:vAlign w:val="center"/>
          </w:tcPr>
          <w:p w14:paraId="0BFC105E">
            <w:pPr>
              <w:pStyle w:val="26"/>
              <w:bidi w:val="0"/>
              <w:rPr>
                <w:rFonts w:hint="eastAsia"/>
                <w:lang w:val="en-US" w:eastAsia="zh-CN"/>
              </w:rPr>
            </w:pPr>
          </w:p>
        </w:tc>
        <w:tc>
          <w:tcPr>
            <w:tcW w:w="1937" w:type="dxa"/>
            <w:shd w:val="clear" w:color="auto" w:fill="auto"/>
            <w:vAlign w:val="center"/>
          </w:tcPr>
          <w:p w14:paraId="2C495BBF">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7E921ED4">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362BF34">
            <w:pPr>
              <w:pStyle w:val="26"/>
              <w:bidi w:val="0"/>
              <w:rPr>
                <w:rFonts w:hint="eastAsia"/>
                <w:lang w:val="en-US" w:eastAsia="zh-CN"/>
              </w:rPr>
            </w:pPr>
            <w:r>
              <w:rPr>
                <w:rFonts w:hint="eastAsia"/>
                <w:lang w:val="en-US" w:eastAsia="zh-CN"/>
              </w:rPr>
              <w:t>14：00~15：00</w:t>
            </w:r>
          </w:p>
        </w:tc>
        <w:tc>
          <w:tcPr>
            <w:tcW w:w="843" w:type="dxa"/>
            <w:vAlign w:val="center"/>
          </w:tcPr>
          <w:p w14:paraId="6E40E21E">
            <w:pPr>
              <w:pStyle w:val="26"/>
              <w:bidi w:val="0"/>
              <w:rPr>
                <w:rFonts w:hint="default"/>
                <w:lang w:val="en-US" w:eastAsia="zh-CN"/>
              </w:rPr>
            </w:pPr>
            <w:r>
              <w:rPr>
                <w:rFonts w:hint="eastAsia"/>
                <w:lang w:val="en-US" w:eastAsia="zh-CN"/>
              </w:rPr>
              <w:t>0.027</w:t>
            </w:r>
          </w:p>
        </w:tc>
        <w:tc>
          <w:tcPr>
            <w:tcW w:w="1181" w:type="dxa"/>
            <w:vMerge w:val="continue"/>
            <w:vAlign w:val="center"/>
          </w:tcPr>
          <w:p w14:paraId="11F47767">
            <w:pPr>
              <w:pStyle w:val="26"/>
              <w:bidi w:val="0"/>
              <w:rPr>
                <w:rFonts w:hint="eastAsia"/>
                <w:lang w:val="en-US" w:eastAsia="zh-CN"/>
              </w:rPr>
            </w:pPr>
          </w:p>
        </w:tc>
        <w:tc>
          <w:tcPr>
            <w:tcW w:w="716" w:type="dxa"/>
            <w:vMerge w:val="continue"/>
            <w:vAlign w:val="center"/>
          </w:tcPr>
          <w:p w14:paraId="617FAF46">
            <w:pPr>
              <w:pStyle w:val="26"/>
              <w:bidi w:val="0"/>
              <w:rPr>
                <w:rFonts w:hint="eastAsia"/>
                <w:lang w:val="en-US" w:eastAsia="zh-CN"/>
              </w:rPr>
            </w:pPr>
          </w:p>
        </w:tc>
      </w:tr>
      <w:tr w14:paraId="515C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58AD68FC">
            <w:pPr>
              <w:pStyle w:val="26"/>
              <w:bidi w:val="0"/>
              <w:rPr>
                <w:rFonts w:hint="eastAsia"/>
                <w:lang w:val="en-US" w:eastAsia="zh-CN"/>
              </w:rPr>
            </w:pPr>
          </w:p>
        </w:tc>
        <w:tc>
          <w:tcPr>
            <w:tcW w:w="797" w:type="dxa"/>
            <w:vMerge w:val="continue"/>
            <w:vAlign w:val="center"/>
          </w:tcPr>
          <w:p w14:paraId="4AD2311B">
            <w:pPr>
              <w:pStyle w:val="26"/>
              <w:bidi w:val="0"/>
              <w:rPr>
                <w:rFonts w:hint="eastAsia"/>
                <w:lang w:val="en-US" w:eastAsia="zh-CN"/>
              </w:rPr>
            </w:pPr>
          </w:p>
        </w:tc>
        <w:tc>
          <w:tcPr>
            <w:tcW w:w="1937" w:type="dxa"/>
            <w:shd w:val="clear" w:color="auto" w:fill="auto"/>
            <w:vAlign w:val="center"/>
          </w:tcPr>
          <w:p w14:paraId="33303675">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330230B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F92475A">
            <w:pPr>
              <w:pStyle w:val="26"/>
              <w:bidi w:val="0"/>
              <w:rPr>
                <w:rFonts w:hint="eastAsia"/>
                <w:lang w:val="en-US" w:eastAsia="zh-CN"/>
              </w:rPr>
            </w:pPr>
            <w:r>
              <w:rPr>
                <w:rFonts w:hint="eastAsia"/>
                <w:lang w:val="en-US" w:eastAsia="zh-CN"/>
              </w:rPr>
              <w:t>20：00~21：00</w:t>
            </w:r>
          </w:p>
        </w:tc>
        <w:tc>
          <w:tcPr>
            <w:tcW w:w="843" w:type="dxa"/>
            <w:vAlign w:val="center"/>
          </w:tcPr>
          <w:p w14:paraId="4D7E1379">
            <w:pPr>
              <w:pStyle w:val="26"/>
              <w:bidi w:val="0"/>
              <w:rPr>
                <w:rFonts w:hint="default"/>
                <w:lang w:val="en-US" w:eastAsia="zh-CN"/>
              </w:rPr>
            </w:pPr>
            <w:r>
              <w:rPr>
                <w:rFonts w:hint="eastAsia"/>
                <w:lang w:val="en-US" w:eastAsia="zh-CN"/>
              </w:rPr>
              <w:t>0.030</w:t>
            </w:r>
          </w:p>
        </w:tc>
        <w:tc>
          <w:tcPr>
            <w:tcW w:w="1181" w:type="dxa"/>
            <w:vMerge w:val="continue"/>
            <w:vAlign w:val="center"/>
          </w:tcPr>
          <w:p w14:paraId="5BF6E910">
            <w:pPr>
              <w:pStyle w:val="26"/>
              <w:bidi w:val="0"/>
              <w:rPr>
                <w:rFonts w:hint="eastAsia"/>
                <w:lang w:val="en-US" w:eastAsia="zh-CN"/>
              </w:rPr>
            </w:pPr>
          </w:p>
        </w:tc>
        <w:tc>
          <w:tcPr>
            <w:tcW w:w="716" w:type="dxa"/>
            <w:vMerge w:val="continue"/>
            <w:vAlign w:val="center"/>
          </w:tcPr>
          <w:p w14:paraId="139564A7">
            <w:pPr>
              <w:pStyle w:val="26"/>
              <w:bidi w:val="0"/>
              <w:rPr>
                <w:rFonts w:hint="eastAsia"/>
                <w:lang w:val="en-US" w:eastAsia="zh-CN"/>
              </w:rPr>
            </w:pPr>
          </w:p>
        </w:tc>
      </w:tr>
      <w:tr w14:paraId="4960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0E59D8F8">
            <w:pPr>
              <w:pStyle w:val="26"/>
              <w:bidi w:val="0"/>
              <w:rPr>
                <w:rFonts w:hint="eastAsia"/>
                <w:lang w:val="en-US" w:eastAsia="zh-CN"/>
              </w:rPr>
            </w:pPr>
          </w:p>
        </w:tc>
        <w:tc>
          <w:tcPr>
            <w:tcW w:w="797" w:type="dxa"/>
            <w:vMerge w:val="restart"/>
            <w:vAlign w:val="center"/>
          </w:tcPr>
          <w:p w14:paraId="159339D1">
            <w:pPr>
              <w:pStyle w:val="26"/>
              <w:bidi w:val="0"/>
              <w:rPr>
                <w:rFonts w:hint="default"/>
                <w:lang w:val="en-US" w:eastAsia="zh-CN"/>
              </w:rPr>
            </w:pPr>
            <w:r>
              <w:rPr>
                <w:rFonts w:hint="eastAsia"/>
                <w:lang w:val="en-US" w:eastAsia="zh-CN"/>
              </w:rPr>
              <w:t>2026.04.11</w:t>
            </w:r>
          </w:p>
        </w:tc>
        <w:tc>
          <w:tcPr>
            <w:tcW w:w="1937" w:type="dxa"/>
            <w:shd w:val="clear" w:color="auto" w:fill="auto"/>
            <w:vAlign w:val="center"/>
          </w:tcPr>
          <w:p w14:paraId="173BCC34">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30AC9A7D">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389C98A8">
            <w:pPr>
              <w:pStyle w:val="26"/>
              <w:bidi w:val="0"/>
              <w:rPr>
                <w:rFonts w:hint="eastAsia"/>
                <w:lang w:val="en-US" w:eastAsia="zh-CN"/>
              </w:rPr>
            </w:pPr>
            <w:r>
              <w:rPr>
                <w:rFonts w:hint="eastAsia"/>
                <w:lang w:val="en-US" w:eastAsia="zh-CN"/>
              </w:rPr>
              <w:t>2：00~3：00</w:t>
            </w:r>
          </w:p>
        </w:tc>
        <w:tc>
          <w:tcPr>
            <w:tcW w:w="843" w:type="dxa"/>
            <w:vAlign w:val="center"/>
          </w:tcPr>
          <w:p w14:paraId="007CAE2C">
            <w:pPr>
              <w:pStyle w:val="26"/>
              <w:bidi w:val="0"/>
              <w:rPr>
                <w:rFonts w:hint="default"/>
                <w:lang w:val="en-US" w:eastAsia="zh-CN"/>
              </w:rPr>
            </w:pPr>
            <w:r>
              <w:rPr>
                <w:rFonts w:hint="eastAsia"/>
                <w:lang w:val="en-US" w:eastAsia="zh-CN"/>
              </w:rPr>
              <w:t>0.027</w:t>
            </w:r>
          </w:p>
        </w:tc>
        <w:tc>
          <w:tcPr>
            <w:tcW w:w="1181" w:type="dxa"/>
            <w:vMerge w:val="restart"/>
            <w:vAlign w:val="center"/>
          </w:tcPr>
          <w:p w14:paraId="4D76FA39">
            <w:pPr>
              <w:pStyle w:val="26"/>
              <w:bidi w:val="0"/>
              <w:rPr>
                <w:rFonts w:hint="eastAsia"/>
                <w:lang w:val="en-US" w:eastAsia="zh-CN"/>
              </w:rPr>
            </w:pPr>
            <w:r>
              <w:rPr>
                <w:rFonts w:hint="eastAsia"/>
                <w:lang w:val="en-US" w:eastAsia="zh-CN"/>
              </w:rPr>
              <w:t>00：00~24：00</w:t>
            </w:r>
          </w:p>
        </w:tc>
        <w:tc>
          <w:tcPr>
            <w:tcW w:w="716" w:type="dxa"/>
            <w:vMerge w:val="restart"/>
            <w:vAlign w:val="center"/>
          </w:tcPr>
          <w:p w14:paraId="6EC670E5">
            <w:pPr>
              <w:pStyle w:val="26"/>
              <w:bidi w:val="0"/>
              <w:rPr>
                <w:rFonts w:hint="default"/>
                <w:lang w:val="en-US" w:eastAsia="zh-CN"/>
              </w:rPr>
            </w:pPr>
            <w:r>
              <w:rPr>
                <w:rFonts w:hint="eastAsia"/>
                <w:lang w:val="en-US" w:eastAsia="zh-CN"/>
              </w:rPr>
              <w:t>0.051</w:t>
            </w:r>
          </w:p>
        </w:tc>
      </w:tr>
      <w:tr w14:paraId="64CF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181DCC5A">
            <w:pPr>
              <w:pStyle w:val="26"/>
              <w:bidi w:val="0"/>
              <w:rPr>
                <w:rFonts w:hint="eastAsia"/>
                <w:lang w:val="en-US" w:eastAsia="zh-CN"/>
              </w:rPr>
            </w:pPr>
          </w:p>
        </w:tc>
        <w:tc>
          <w:tcPr>
            <w:tcW w:w="797" w:type="dxa"/>
            <w:vMerge w:val="continue"/>
            <w:vAlign w:val="center"/>
          </w:tcPr>
          <w:p w14:paraId="1871F064">
            <w:pPr>
              <w:pStyle w:val="26"/>
              <w:bidi w:val="0"/>
              <w:rPr>
                <w:rFonts w:hint="eastAsia"/>
                <w:lang w:val="en-US" w:eastAsia="zh-CN"/>
              </w:rPr>
            </w:pPr>
          </w:p>
        </w:tc>
        <w:tc>
          <w:tcPr>
            <w:tcW w:w="1937" w:type="dxa"/>
            <w:shd w:val="clear" w:color="auto" w:fill="auto"/>
            <w:vAlign w:val="center"/>
          </w:tcPr>
          <w:p w14:paraId="30B46798">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0467AA2D">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CC91935">
            <w:pPr>
              <w:pStyle w:val="26"/>
              <w:bidi w:val="0"/>
              <w:rPr>
                <w:rFonts w:hint="eastAsia"/>
                <w:lang w:val="en-US" w:eastAsia="zh-CN"/>
              </w:rPr>
            </w:pPr>
            <w:r>
              <w:rPr>
                <w:rFonts w:hint="eastAsia"/>
                <w:lang w:val="en-US" w:eastAsia="zh-CN"/>
              </w:rPr>
              <w:t>8：00~9：00</w:t>
            </w:r>
          </w:p>
        </w:tc>
        <w:tc>
          <w:tcPr>
            <w:tcW w:w="843" w:type="dxa"/>
            <w:vAlign w:val="center"/>
          </w:tcPr>
          <w:p w14:paraId="39B13719">
            <w:pPr>
              <w:pStyle w:val="26"/>
              <w:bidi w:val="0"/>
              <w:rPr>
                <w:rFonts w:hint="default"/>
                <w:lang w:val="en-US" w:eastAsia="zh-CN"/>
              </w:rPr>
            </w:pPr>
            <w:r>
              <w:rPr>
                <w:rFonts w:hint="eastAsia"/>
                <w:lang w:val="en-US" w:eastAsia="zh-CN"/>
              </w:rPr>
              <w:t>0.029</w:t>
            </w:r>
          </w:p>
        </w:tc>
        <w:tc>
          <w:tcPr>
            <w:tcW w:w="1181" w:type="dxa"/>
            <w:vMerge w:val="continue"/>
            <w:vAlign w:val="center"/>
          </w:tcPr>
          <w:p w14:paraId="505D31F6">
            <w:pPr>
              <w:pStyle w:val="26"/>
              <w:bidi w:val="0"/>
              <w:rPr>
                <w:rFonts w:hint="eastAsia"/>
                <w:lang w:val="en-US" w:eastAsia="zh-CN"/>
              </w:rPr>
            </w:pPr>
          </w:p>
        </w:tc>
        <w:tc>
          <w:tcPr>
            <w:tcW w:w="716" w:type="dxa"/>
            <w:vMerge w:val="continue"/>
            <w:vAlign w:val="center"/>
          </w:tcPr>
          <w:p w14:paraId="6A56543C">
            <w:pPr>
              <w:pStyle w:val="26"/>
              <w:bidi w:val="0"/>
              <w:rPr>
                <w:rFonts w:hint="eastAsia"/>
                <w:lang w:val="en-US" w:eastAsia="zh-CN"/>
              </w:rPr>
            </w:pPr>
          </w:p>
        </w:tc>
      </w:tr>
      <w:tr w14:paraId="1A82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7C0A5B6B">
            <w:pPr>
              <w:pStyle w:val="26"/>
              <w:bidi w:val="0"/>
              <w:rPr>
                <w:rFonts w:hint="eastAsia"/>
                <w:lang w:val="en-US" w:eastAsia="zh-CN"/>
              </w:rPr>
            </w:pPr>
          </w:p>
        </w:tc>
        <w:tc>
          <w:tcPr>
            <w:tcW w:w="797" w:type="dxa"/>
            <w:vMerge w:val="continue"/>
            <w:vAlign w:val="center"/>
          </w:tcPr>
          <w:p w14:paraId="1F159116">
            <w:pPr>
              <w:pStyle w:val="26"/>
              <w:bidi w:val="0"/>
              <w:rPr>
                <w:rFonts w:hint="eastAsia"/>
                <w:lang w:val="en-US" w:eastAsia="zh-CN"/>
              </w:rPr>
            </w:pPr>
          </w:p>
        </w:tc>
        <w:tc>
          <w:tcPr>
            <w:tcW w:w="1937" w:type="dxa"/>
            <w:shd w:val="clear" w:color="auto" w:fill="auto"/>
            <w:vAlign w:val="center"/>
          </w:tcPr>
          <w:p w14:paraId="18C68AA7">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49B2A2E5">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1098ABA">
            <w:pPr>
              <w:pStyle w:val="26"/>
              <w:bidi w:val="0"/>
              <w:rPr>
                <w:rFonts w:hint="eastAsia"/>
                <w:lang w:val="en-US" w:eastAsia="zh-CN"/>
              </w:rPr>
            </w:pPr>
            <w:r>
              <w:rPr>
                <w:rFonts w:hint="eastAsia"/>
                <w:lang w:val="en-US" w:eastAsia="zh-CN"/>
              </w:rPr>
              <w:t>14：00~15：00</w:t>
            </w:r>
          </w:p>
        </w:tc>
        <w:tc>
          <w:tcPr>
            <w:tcW w:w="843" w:type="dxa"/>
            <w:vAlign w:val="center"/>
          </w:tcPr>
          <w:p w14:paraId="1AD6ACC1">
            <w:pPr>
              <w:pStyle w:val="26"/>
              <w:bidi w:val="0"/>
              <w:rPr>
                <w:rFonts w:hint="default"/>
                <w:lang w:val="en-US" w:eastAsia="zh-CN"/>
              </w:rPr>
            </w:pPr>
            <w:r>
              <w:rPr>
                <w:rFonts w:hint="eastAsia"/>
                <w:lang w:val="en-US" w:eastAsia="zh-CN"/>
              </w:rPr>
              <w:t>0.028</w:t>
            </w:r>
          </w:p>
        </w:tc>
        <w:tc>
          <w:tcPr>
            <w:tcW w:w="1181" w:type="dxa"/>
            <w:vMerge w:val="continue"/>
            <w:vAlign w:val="center"/>
          </w:tcPr>
          <w:p w14:paraId="5D2D2305">
            <w:pPr>
              <w:pStyle w:val="26"/>
              <w:bidi w:val="0"/>
              <w:rPr>
                <w:rFonts w:hint="eastAsia"/>
                <w:lang w:val="en-US" w:eastAsia="zh-CN"/>
              </w:rPr>
            </w:pPr>
          </w:p>
        </w:tc>
        <w:tc>
          <w:tcPr>
            <w:tcW w:w="716" w:type="dxa"/>
            <w:vMerge w:val="continue"/>
            <w:vAlign w:val="center"/>
          </w:tcPr>
          <w:p w14:paraId="5B676909">
            <w:pPr>
              <w:pStyle w:val="26"/>
              <w:bidi w:val="0"/>
              <w:rPr>
                <w:rFonts w:hint="eastAsia"/>
                <w:lang w:val="en-US" w:eastAsia="zh-CN"/>
              </w:rPr>
            </w:pPr>
          </w:p>
        </w:tc>
      </w:tr>
      <w:tr w14:paraId="17D4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620CE0B6">
            <w:pPr>
              <w:pStyle w:val="26"/>
              <w:bidi w:val="0"/>
              <w:rPr>
                <w:rFonts w:hint="eastAsia"/>
                <w:lang w:val="en-US" w:eastAsia="zh-CN"/>
              </w:rPr>
            </w:pPr>
          </w:p>
        </w:tc>
        <w:tc>
          <w:tcPr>
            <w:tcW w:w="797" w:type="dxa"/>
            <w:vMerge w:val="continue"/>
            <w:vAlign w:val="center"/>
          </w:tcPr>
          <w:p w14:paraId="5B51F1BA">
            <w:pPr>
              <w:pStyle w:val="26"/>
              <w:bidi w:val="0"/>
              <w:rPr>
                <w:rFonts w:hint="eastAsia"/>
                <w:lang w:val="en-US" w:eastAsia="zh-CN"/>
              </w:rPr>
            </w:pPr>
          </w:p>
        </w:tc>
        <w:tc>
          <w:tcPr>
            <w:tcW w:w="1937" w:type="dxa"/>
            <w:shd w:val="clear" w:color="auto" w:fill="auto"/>
            <w:vAlign w:val="center"/>
          </w:tcPr>
          <w:p w14:paraId="309F8831">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68D8C4FC">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5869D64">
            <w:pPr>
              <w:pStyle w:val="26"/>
              <w:bidi w:val="0"/>
              <w:rPr>
                <w:rFonts w:hint="eastAsia"/>
                <w:lang w:val="en-US" w:eastAsia="zh-CN"/>
              </w:rPr>
            </w:pPr>
            <w:r>
              <w:rPr>
                <w:rFonts w:hint="eastAsia"/>
                <w:lang w:val="en-US" w:eastAsia="zh-CN"/>
              </w:rPr>
              <w:t>20：00~21：00</w:t>
            </w:r>
          </w:p>
        </w:tc>
        <w:tc>
          <w:tcPr>
            <w:tcW w:w="843" w:type="dxa"/>
            <w:vAlign w:val="center"/>
          </w:tcPr>
          <w:p w14:paraId="02ADA148">
            <w:pPr>
              <w:pStyle w:val="26"/>
              <w:bidi w:val="0"/>
              <w:rPr>
                <w:rFonts w:hint="default"/>
                <w:lang w:val="en-US" w:eastAsia="zh-CN"/>
              </w:rPr>
            </w:pPr>
            <w:r>
              <w:rPr>
                <w:rFonts w:hint="eastAsia"/>
                <w:lang w:val="en-US" w:eastAsia="zh-CN"/>
              </w:rPr>
              <w:t>0.026</w:t>
            </w:r>
          </w:p>
        </w:tc>
        <w:tc>
          <w:tcPr>
            <w:tcW w:w="1181" w:type="dxa"/>
            <w:vMerge w:val="continue"/>
            <w:vAlign w:val="center"/>
          </w:tcPr>
          <w:p w14:paraId="59B23D9B">
            <w:pPr>
              <w:pStyle w:val="26"/>
              <w:bidi w:val="0"/>
              <w:rPr>
                <w:rFonts w:hint="eastAsia"/>
                <w:lang w:val="en-US" w:eastAsia="zh-CN"/>
              </w:rPr>
            </w:pPr>
          </w:p>
        </w:tc>
        <w:tc>
          <w:tcPr>
            <w:tcW w:w="716" w:type="dxa"/>
            <w:vMerge w:val="continue"/>
            <w:vAlign w:val="center"/>
          </w:tcPr>
          <w:p w14:paraId="0A0098FA">
            <w:pPr>
              <w:pStyle w:val="26"/>
              <w:bidi w:val="0"/>
              <w:rPr>
                <w:rFonts w:hint="eastAsia"/>
                <w:lang w:val="en-US" w:eastAsia="zh-CN"/>
              </w:rPr>
            </w:pPr>
          </w:p>
        </w:tc>
      </w:tr>
      <w:tr w14:paraId="74AB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7E164FAA">
            <w:pPr>
              <w:pStyle w:val="26"/>
              <w:bidi w:val="0"/>
              <w:rPr>
                <w:rFonts w:hint="eastAsia"/>
                <w:lang w:val="en-US" w:eastAsia="zh-CN"/>
              </w:rPr>
            </w:pPr>
          </w:p>
        </w:tc>
        <w:tc>
          <w:tcPr>
            <w:tcW w:w="797" w:type="dxa"/>
            <w:vMerge w:val="restart"/>
            <w:vAlign w:val="center"/>
          </w:tcPr>
          <w:p w14:paraId="1A00E726">
            <w:pPr>
              <w:pStyle w:val="26"/>
              <w:bidi w:val="0"/>
              <w:rPr>
                <w:rFonts w:hint="default"/>
                <w:lang w:val="en-US" w:eastAsia="zh-CN"/>
              </w:rPr>
            </w:pPr>
            <w:r>
              <w:rPr>
                <w:rFonts w:hint="eastAsia"/>
                <w:lang w:val="en-US" w:eastAsia="zh-CN"/>
              </w:rPr>
              <w:t>2026.04.12</w:t>
            </w:r>
          </w:p>
        </w:tc>
        <w:tc>
          <w:tcPr>
            <w:tcW w:w="1937" w:type="dxa"/>
            <w:shd w:val="clear" w:color="auto" w:fill="auto"/>
            <w:vAlign w:val="center"/>
          </w:tcPr>
          <w:p w14:paraId="7340DBF8">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339BBD90">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BF6493F">
            <w:pPr>
              <w:pStyle w:val="26"/>
              <w:bidi w:val="0"/>
              <w:rPr>
                <w:rFonts w:hint="eastAsia"/>
                <w:lang w:val="en-US" w:eastAsia="zh-CN"/>
              </w:rPr>
            </w:pPr>
            <w:r>
              <w:rPr>
                <w:rFonts w:hint="eastAsia"/>
                <w:lang w:val="en-US" w:eastAsia="zh-CN"/>
              </w:rPr>
              <w:t>2：00~3：00</w:t>
            </w:r>
          </w:p>
        </w:tc>
        <w:tc>
          <w:tcPr>
            <w:tcW w:w="843" w:type="dxa"/>
            <w:vAlign w:val="center"/>
          </w:tcPr>
          <w:p w14:paraId="1CE1B29F">
            <w:pPr>
              <w:pStyle w:val="26"/>
              <w:bidi w:val="0"/>
              <w:rPr>
                <w:rFonts w:hint="default"/>
                <w:lang w:val="en-US" w:eastAsia="zh-CN"/>
              </w:rPr>
            </w:pPr>
            <w:r>
              <w:rPr>
                <w:rFonts w:hint="eastAsia"/>
                <w:lang w:val="en-US" w:eastAsia="zh-CN"/>
              </w:rPr>
              <w:t>0.026</w:t>
            </w:r>
          </w:p>
        </w:tc>
        <w:tc>
          <w:tcPr>
            <w:tcW w:w="1181" w:type="dxa"/>
            <w:vMerge w:val="restart"/>
            <w:vAlign w:val="center"/>
          </w:tcPr>
          <w:p w14:paraId="62C1CF50">
            <w:pPr>
              <w:pStyle w:val="26"/>
              <w:bidi w:val="0"/>
              <w:rPr>
                <w:rFonts w:hint="eastAsia"/>
                <w:lang w:val="en-US" w:eastAsia="zh-CN"/>
              </w:rPr>
            </w:pPr>
            <w:r>
              <w:rPr>
                <w:rFonts w:hint="eastAsia"/>
                <w:lang w:val="en-US" w:eastAsia="zh-CN"/>
              </w:rPr>
              <w:t>00：00~24：00</w:t>
            </w:r>
          </w:p>
        </w:tc>
        <w:tc>
          <w:tcPr>
            <w:tcW w:w="716" w:type="dxa"/>
            <w:vMerge w:val="restart"/>
            <w:vAlign w:val="center"/>
          </w:tcPr>
          <w:p w14:paraId="6F0DBA1D">
            <w:pPr>
              <w:pStyle w:val="26"/>
              <w:bidi w:val="0"/>
              <w:rPr>
                <w:rFonts w:hint="default"/>
                <w:lang w:val="en-US" w:eastAsia="zh-CN"/>
              </w:rPr>
            </w:pPr>
            <w:r>
              <w:rPr>
                <w:rFonts w:hint="eastAsia"/>
                <w:lang w:val="en-US" w:eastAsia="zh-CN"/>
              </w:rPr>
              <w:t>0.016</w:t>
            </w:r>
          </w:p>
        </w:tc>
      </w:tr>
      <w:tr w14:paraId="66C1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73CA000D">
            <w:pPr>
              <w:pStyle w:val="26"/>
              <w:bidi w:val="0"/>
              <w:rPr>
                <w:rFonts w:hint="eastAsia"/>
                <w:lang w:val="en-US" w:eastAsia="zh-CN"/>
              </w:rPr>
            </w:pPr>
          </w:p>
        </w:tc>
        <w:tc>
          <w:tcPr>
            <w:tcW w:w="797" w:type="dxa"/>
            <w:vMerge w:val="continue"/>
            <w:vAlign w:val="center"/>
          </w:tcPr>
          <w:p w14:paraId="7C5DEF8C">
            <w:pPr>
              <w:pStyle w:val="26"/>
              <w:bidi w:val="0"/>
              <w:rPr>
                <w:rFonts w:hint="eastAsia"/>
                <w:lang w:val="en-US" w:eastAsia="zh-CN"/>
              </w:rPr>
            </w:pPr>
          </w:p>
        </w:tc>
        <w:tc>
          <w:tcPr>
            <w:tcW w:w="1937" w:type="dxa"/>
            <w:shd w:val="clear" w:color="auto" w:fill="auto"/>
            <w:vAlign w:val="center"/>
          </w:tcPr>
          <w:p w14:paraId="1F42E381">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69A63D8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F7C2C0A">
            <w:pPr>
              <w:pStyle w:val="26"/>
              <w:bidi w:val="0"/>
              <w:rPr>
                <w:rFonts w:hint="eastAsia"/>
                <w:lang w:val="en-US" w:eastAsia="zh-CN"/>
              </w:rPr>
            </w:pPr>
            <w:r>
              <w:rPr>
                <w:rFonts w:hint="eastAsia"/>
                <w:lang w:val="en-US" w:eastAsia="zh-CN"/>
              </w:rPr>
              <w:t>8：00~9：00</w:t>
            </w:r>
          </w:p>
        </w:tc>
        <w:tc>
          <w:tcPr>
            <w:tcW w:w="843" w:type="dxa"/>
            <w:vAlign w:val="center"/>
          </w:tcPr>
          <w:p w14:paraId="57EC7E02">
            <w:pPr>
              <w:pStyle w:val="26"/>
              <w:bidi w:val="0"/>
              <w:rPr>
                <w:rFonts w:hint="default"/>
                <w:lang w:val="en-US" w:eastAsia="zh-CN"/>
              </w:rPr>
            </w:pPr>
            <w:r>
              <w:rPr>
                <w:rFonts w:hint="eastAsia"/>
                <w:lang w:val="en-US" w:eastAsia="zh-CN"/>
              </w:rPr>
              <w:t>0.027</w:t>
            </w:r>
          </w:p>
        </w:tc>
        <w:tc>
          <w:tcPr>
            <w:tcW w:w="1181" w:type="dxa"/>
            <w:vMerge w:val="continue"/>
            <w:vAlign w:val="center"/>
          </w:tcPr>
          <w:p w14:paraId="218749C8">
            <w:pPr>
              <w:pStyle w:val="26"/>
              <w:bidi w:val="0"/>
              <w:rPr>
                <w:rFonts w:hint="eastAsia"/>
                <w:lang w:val="en-US" w:eastAsia="zh-CN"/>
              </w:rPr>
            </w:pPr>
          </w:p>
        </w:tc>
        <w:tc>
          <w:tcPr>
            <w:tcW w:w="716" w:type="dxa"/>
            <w:vMerge w:val="continue"/>
            <w:vAlign w:val="center"/>
          </w:tcPr>
          <w:p w14:paraId="317DD7E0">
            <w:pPr>
              <w:pStyle w:val="26"/>
              <w:bidi w:val="0"/>
              <w:rPr>
                <w:rFonts w:hint="eastAsia"/>
                <w:lang w:val="en-US" w:eastAsia="zh-CN"/>
              </w:rPr>
            </w:pPr>
          </w:p>
        </w:tc>
      </w:tr>
      <w:tr w14:paraId="1C34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2049234C">
            <w:pPr>
              <w:pStyle w:val="26"/>
              <w:bidi w:val="0"/>
              <w:rPr>
                <w:rFonts w:hint="eastAsia"/>
                <w:lang w:val="en-US" w:eastAsia="zh-CN"/>
              </w:rPr>
            </w:pPr>
          </w:p>
        </w:tc>
        <w:tc>
          <w:tcPr>
            <w:tcW w:w="797" w:type="dxa"/>
            <w:vMerge w:val="continue"/>
            <w:vAlign w:val="center"/>
          </w:tcPr>
          <w:p w14:paraId="677FCBD6">
            <w:pPr>
              <w:pStyle w:val="26"/>
              <w:bidi w:val="0"/>
              <w:rPr>
                <w:rFonts w:hint="eastAsia"/>
                <w:lang w:val="en-US" w:eastAsia="zh-CN"/>
              </w:rPr>
            </w:pPr>
          </w:p>
        </w:tc>
        <w:tc>
          <w:tcPr>
            <w:tcW w:w="1937" w:type="dxa"/>
            <w:shd w:val="clear" w:color="auto" w:fill="auto"/>
            <w:vAlign w:val="center"/>
          </w:tcPr>
          <w:p w14:paraId="1291BF5C">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613B4253">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A8D8593">
            <w:pPr>
              <w:pStyle w:val="26"/>
              <w:bidi w:val="0"/>
              <w:rPr>
                <w:rFonts w:hint="eastAsia"/>
                <w:lang w:val="en-US" w:eastAsia="zh-CN"/>
              </w:rPr>
            </w:pPr>
            <w:r>
              <w:rPr>
                <w:rFonts w:hint="eastAsia"/>
                <w:lang w:val="en-US" w:eastAsia="zh-CN"/>
              </w:rPr>
              <w:t>14：00~15：00</w:t>
            </w:r>
          </w:p>
        </w:tc>
        <w:tc>
          <w:tcPr>
            <w:tcW w:w="843" w:type="dxa"/>
            <w:vAlign w:val="center"/>
          </w:tcPr>
          <w:p w14:paraId="30571B76">
            <w:pPr>
              <w:pStyle w:val="26"/>
              <w:bidi w:val="0"/>
              <w:rPr>
                <w:rFonts w:hint="default"/>
                <w:lang w:val="en-US" w:eastAsia="zh-CN"/>
              </w:rPr>
            </w:pPr>
            <w:r>
              <w:rPr>
                <w:rFonts w:hint="eastAsia"/>
                <w:lang w:val="en-US" w:eastAsia="zh-CN"/>
              </w:rPr>
              <w:t>0.029</w:t>
            </w:r>
          </w:p>
        </w:tc>
        <w:tc>
          <w:tcPr>
            <w:tcW w:w="1181" w:type="dxa"/>
            <w:vMerge w:val="continue"/>
            <w:vAlign w:val="center"/>
          </w:tcPr>
          <w:p w14:paraId="782D1CE7">
            <w:pPr>
              <w:pStyle w:val="26"/>
              <w:bidi w:val="0"/>
              <w:rPr>
                <w:rFonts w:hint="eastAsia"/>
                <w:lang w:val="en-US" w:eastAsia="zh-CN"/>
              </w:rPr>
            </w:pPr>
          </w:p>
        </w:tc>
        <w:tc>
          <w:tcPr>
            <w:tcW w:w="716" w:type="dxa"/>
            <w:vMerge w:val="continue"/>
            <w:vAlign w:val="center"/>
          </w:tcPr>
          <w:p w14:paraId="7C59E803">
            <w:pPr>
              <w:pStyle w:val="26"/>
              <w:bidi w:val="0"/>
              <w:rPr>
                <w:rFonts w:hint="eastAsia"/>
                <w:lang w:val="en-US" w:eastAsia="zh-CN"/>
              </w:rPr>
            </w:pPr>
          </w:p>
        </w:tc>
      </w:tr>
      <w:tr w14:paraId="5DD3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4DE01F9A">
            <w:pPr>
              <w:pStyle w:val="26"/>
              <w:bidi w:val="0"/>
              <w:rPr>
                <w:rFonts w:hint="eastAsia"/>
                <w:lang w:val="en-US" w:eastAsia="zh-CN"/>
              </w:rPr>
            </w:pPr>
          </w:p>
        </w:tc>
        <w:tc>
          <w:tcPr>
            <w:tcW w:w="797" w:type="dxa"/>
            <w:vMerge w:val="continue"/>
            <w:vAlign w:val="center"/>
          </w:tcPr>
          <w:p w14:paraId="6E747DB1">
            <w:pPr>
              <w:pStyle w:val="26"/>
              <w:bidi w:val="0"/>
              <w:rPr>
                <w:rFonts w:hint="eastAsia"/>
                <w:lang w:val="en-US" w:eastAsia="zh-CN"/>
              </w:rPr>
            </w:pPr>
          </w:p>
        </w:tc>
        <w:tc>
          <w:tcPr>
            <w:tcW w:w="1937" w:type="dxa"/>
            <w:shd w:val="clear" w:color="auto" w:fill="auto"/>
            <w:vAlign w:val="center"/>
          </w:tcPr>
          <w:p w14:paraId="70F9D905">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019B4283">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34C252B9">
            <w:pPr>
              <w:pStyle w:val="26"/>
              <w:bidi w:val="0"/>
              <w:rPr>
                <w:rFonts w:hint="eastAsia"/>
                <w:lang w:val="en-US" w:eastAsia="zh-CN"/>
              </w:rPr>
            </w:pPr>
            <w:r>
              <w:rPr>
                <w:rFonts w:hint="eastAsia"/>
                <w:lang w:val="en-US" w:eastAsia="zh-CN"/>
              </w:rPr>
              <w:t>20：00~21：00</w:t>
            </w:r>
          </w:p>
        </w:tc>
        <w:tc>
          <w:tcPr>
            <w:tcW w:w="843" w:type="dxa"/>
            <w:vAlign w:val="center"/>
          </w:tcPr>
          <w:p w14:paraId="0A3FCB34">
            <w:pPr>
              <w:pStyle w:val="26"/>
              <w:bidi w:val="0"/>
              <w:rPr>
                <w:rFonts w:hint="default"/>
                <w:lang w:val="en-US" w:eastAsia="zh-CN"/>
              </w:rPr>
            </w:pPr>
            <w:r>
              <w:rPr>
                <w:rFonts w:hint="eastAsia"/>
                <w:lang w:val="en-US" w:eastAsia="zh-CN"/>
              </w:rPr>
              <w:t>0.030</w:t>
            </w:r>
          </w:p>
        </w:tc>
        <w:tc>
          <w:tcPr>
            <w:tcW w:w="1181" w:type="dxa"/>
            <w:vMerge w:val="continue"/>
            <w:vAlign w:val="center"/>
          </w:tcPr>
          <w:p w14:paraId="63C4BF77">
            <w:pPr>
              <w:pStyle w:val="26"/>
              <w:bidi w:val="0"/>
              <w:rPr>
                <w:rFonts w:hint="eastAsia"/>
                <w:lang w:val="en-US" w:eastAsia="zh-CN"/>
              </w:rPr>
            </w:pPr>
          </w:p>
        </w:tc>
        <w:tc>
          <w:tcPr>
            <w:tcW w:w="716" w:type="dxa"/>
            <w:vMerge w:val="continue"/>
            <w:vAlign w:val="center"/>
          </w:tcPr>
          <w:p w14:paraId="2CBE386F">
            <w:pPr>
              <w:pStyle w:val="26"/>
              <w:bidi w:val="0"/>
              <w:rPr>
                <w:rFonts w:hint="eastAsia"/>
                <w:lang w:val="en-US" w:eastAsia="zh-CN"/>
              </w:rPr>
            </w:pPr>
          </w:p>
        </w:tc>
      </w:tr>
      <w:tr w14:paraId="098C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396E2EE2">
            <w:pPr>
              <w:pStyle w:val="26"/>
              <w:bidi w:val="0"/>
              <w:rPr>
                <w:rFonts w:hint="eastAsia"/>
                <w:lang w:val="en-US" w:eastAsia="zh-CN"/>
              </w:rPr>
            </w:pPr>
          </w:p>
        </w:tc>
        <w:tc>
          <w:tcPr>
            <w:tcW w:w="797" w:type="dxa"/>
            <w:vMerge w:val="restart"/>
            <w:vAlign w:val="center"/>
          </w:tcPr>
          <w:p w14:paraId="6C2C4B23">
            <w:pPr>
              <w:pStyle w:val="26"/>
              <w:bidi w:val="0"/>
              <w:rPr>
                <w:rFonts w:hint="default"/>
                <w:lang w:val="en-US" w:eastAsia="zh-CN"/>
              </w:rPr>
            </w:pPr>
            <w:r>
              <w:rPr>
                <w:rFonts w:hint="eastAsia"/>
                <w:lang w:val="en-US" w:eastAsia="zh-CN"/>
              </w:rPr>
              <w:t>2026.04.13</w:t>
            </w:r>
          </w:p>
        </w:tc>
        <w:tc>
          <w:tcPr>
            <w:tcW w:w="1937" w:type="dxa"/>
            <w:shd w:val="clear" w:color="auto" w:fill="auto"/>
            <w:vAlign w:val="center"/>
          </w:tcPr>
          <w:p w14:paraId="47449E90">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1C4072C7">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1A61A11">
            <w:pPr>
              <w:pStyle w:val="26"/>
              <w:bidi w:val="0"/>
              <w:rPr>
                <w:rFonts w:hint="eastAsia"/>
                <w:lang w:val="en-US" w:eastAsia="zh-CN"/>
              </w:rPr>
            </w:pPr>
            <w:r>
              <w:rPr>
                <w:rFonts w:hint="eastAsia"/>
                <w:lang w:val="en-US" w:eastAsia="zh-CN"/>
              </w:rPr>
              <w:t>2：00~3：00</w:t>
            </w:r>
          </w:p>
        </w:tc>
        <w:tc>
          <w:tcPr>
            <w:tcW w:w="843" w:type="dxa"/>
            <w:vAlign w:val="center"/>
          </w:tcPr>
          <w:p w14:paraId="2E1BB1B2">
            <w:pPr>
              <w:pStyle w:val="26"/>
              <w:bidi w:val="0"/>
              <w:rPr>
                <w:rFonts w:hint="default"/>
                <w:lang w:val="en-US" w:eastAsia="zh-CN"/>
              </w:rPr>
            </w:pPr>
            <w:r>
              <w:rPr>
                <w:rFonts w:hint="eastAsia"/>
                <w:lang w:val="en-US" w:eastAsia="zh-CN"/>
              </w:rPr>
              <w:t>0.027</w:t>
            </w:r>
          </w:p>
        </w:tc>
        <w:tc>
          <w:tcPr>
            <w:tcW w:w="1181" w:type="dxa"/>
            <w:vMerge w:val="restart"/>
            <w:vAlign w:val="center"/>
          </w:tcPr>
          <w:p w14:paraId="3FC65540">
            <w:pPr>
              <w:pStyle w:val="26"/>
              <w:bidi w:val="0"/>
              <w:rPr>
                <w:rFonts w:hint="eastAsia"/>
                <w:lang w:val="en-US" w:eastAsia="zh-CN"/>
              </w:rPr>
            </w:pPr>
            <w:r>
              <w:rPr>
                <w:rFonts w:hint="eastAsia"/>
                <w:lang w:val="en-US" w:eastAsia="zh-CN"/>
              </w:rPr>
              <w:t>00：00~24：00</w:t>
            </w:r>
          </w:p>
        </w:tc>
        <w:tc>
          <w:tcPr>
            <w:tcW w:w="716" w:type="dxa"/>
            <w:vMerge w:val="restart"/>
            <w:vAlign w:val="center"/>
          </w:tcPr>
          <w:p w14:paraId="2728427A">
            <w:pPr>
              <w:pStyle w:val="26"/>
              <w:bidi w:val="0"/>
              <w:rPr>
                <w:rFonts w:hint="default"/>
                <w:lang w:val="en-US" w:eastAsia="zh-CN"/>
              </w:rPr>
            </w:pPr>
            <w:r>
              <w:rPr>
                <w:rFonts w:hint="eastAsia"/>
                <w:lang w:val="en-US" w:eastAsia="zh-CN"/>
              </w:rPr>
              <w:t>0.035</w:t>
            </w:r>
          </w:p>
        </w:tc>
      </w:tr>
      <w:tr w14:paraId="3A41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4C57C207">
            <w:pPr>
              <w:pStyle w:val="26"/>
              <w:bidi w:val="0"/>
              <w:rPr>
                <w:rFonts w:hint="eastAsia"/>
                <w:lang w:val="en-US" w:eastAsia="zh-CN"/>
              </w:rPr>
            </w:pPr>
          </w:p>
        </w:tc>
        <w:tc>
          <w:tcPr>
            <w:tcW w:w="797" w:type="dxa"/>
            <w:vMerge w:val="continue"/>
            <w:vAlign w:val="center"/>
          </w:tcPr>
          <w:p w14:paraId="7B476C80">
            <w:pPr>
              <w:pStyle w:val="26"/>
              <w:bidi w:val="0"/>
              <w:rPr>
                <w:rFonts w:hint="eastAsia"/>
                <w:lang w:val="en-US" w:eastAsia="zh-CN"/>
              </w:rPr>
            </w:pPr>
          </w:p>
        </w:tc>
        <w:tc>
          <w:tcPr>
            <w:tcW w:w="1937" w:type="dxa"/>
            <w:shd w:val="clear" w:color="auto" w:fill="auto"/>
            <w:vAlign w:val="center"/>
          </w:tcPr>
          <w:p w14:paraId="5EB54265">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6964AAF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30A4954">
            <w:pPr>
              <w:pStyle w:val="26"/>
              <w:bidi w:val="0"/>
              <w:rPr>
                <w:rFonts w:hint="eastAsia"/>
                <w:lang w:val="en-US" w:eastAsia="zh-CN"/>
              </w:rPr>
            </w:pPr>
            <w:r>
              <w:rPr>
                <w:rFonts w:hint="eastAsia"/>
                <w:lang w:val="en-US" w:eastAsia="zh-CN"/>
              </w:rPr>
              <w:t>8：00~9：00</w:t>
            </w:r>
          </w:p>
        </w:tc>
        <w:tc>
          <w:tcPr>
            <w:tcW w:w="843" w:type="dxa"/>
            <w:vAlign w:val="center"/>
          </w:tcPr>
          <w:p w14:paraId="705A2BAC">
            <w:pPr>
              <w:pStyle w:val="26"/>
              <w:bidi w:val="0"/>
              <w:rPr>
                <w:rFonts w:hint="default"/>
                <w:lang w:val="en-US" w:eastAsia="zh-CN"/>
              </w:rPr>
            </w:pPr>
            <w:r>
              <w:rPr>
                <w:rFonts w:hint="eastAsia"/>
                <w:lang w:val="en-US" w:eastAsia="zh-CN"/>
              </w:rPr>
              <w:t>0.027</w:t>
            </w:r>
          </w:p>
        </w:tc>
        <w:tc>
          <w:tcPr>
            <w:tcW w:w="1181" w:type="dxa"/>
            <w:vMerge w:val="continue"/>
            <w:vAlign w:val="center"/>
          </w:tcPr>
          <w:p w14:paraId="20750C6D">
            <w:pPr>
              <w:pStyle w:val="26"/>
              <w:bidi w:val="0"/>
              <w:rPr>
                <w:rFonts w:hint="eastAsia"/>
                <w:lang w:val="en-US" w:eastAsia="zh-CN"/>
              </w:rPr>
            </w:pPr>
          </w:p>
        </w:tc>
        <w:tc>
          <w:tcPr>
            <w:tcW w:w="716" w:type="dxa"/>
            <w:vMerge w:val="continue"/>
            <w:vAlign w:val="center"/>
          </w:tcPr>
          <w:p w14:paraId="12401C24">
            <w:pPr>
              <w:pStyle w:val="26"/>
              <w:bidi w:val="0"/>
              <w:rPr>
                <w:rFonts w:hint="eastAsia"/>
                <w:lang w:val="en-US" w:eastAsia="zh-CN"/>
              </w:rPr>
            </w:pPr>
          </w:p>
        </w:tc>
      </w:tr>
      <w:tr w14:paraId="50BB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0D1458C5">
            <w:pPr>
              <w:pStyle w:val="26"/>
              <w:bidi w:val="0"/>
              <w:rPr>
                <w:rFonts w:hint="eastAsia"/>
                <w:lang w:val="en-US" w:eastAsia="zh-CN"/>
              </w:rPr>
            </w:pPr>
          </w:p>
        </w:tc>
        <w:tc>
          <w:tcPr>
            <w:tcW w:w="797" w:type="dxa"/>
            <w:vMerge w:val="continue"/>
            <w:vAlign w:val="center"/>
          </w:tcPr>
          <w:p w14:paraId="62087699">
            <w:pPr>
              <w:pStyle w:val="26"/>
              <w:bidi w:val="0"/>
              <w:rPr>
                <w:rFonts w:hint="eastAsia"/>
                <w:lang w:val="en-US" w:eastAsia="zh-CN"/>
              </w:rPr>
            </w:pPr>
          </w:p>
        </w:tc>
        <w:tc>
          <w:tcPr>
            <w:tcW w:w="1937" w:type="dxa"/>
            <w:shd w:val="clear" w:color="auto" w:fill="auto"/>
            <w:vAlign w:val="center"/>
          </w:tcPr>
          <w:p w14:paraId="7D3965A6">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1AF22B1A">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2A5407D">
            <w:pPr>
              <w:pStyle w:val="26"/>
              <w:bidi w:val="0"/>
              <w:rPr>
                <w:rFonts w:hint="eastAsia"/>
                <w:lang w:val="en-US" w:eastAsia="zh-CN"/>
              </w:rPr>
            </w:pPr>
            <w:r>
              <w:rPr>
                <w:rFonts w:hint="eastAsia"/>
                <w:lang w:val="en-US" w:eastAsia="zh-CN"/>
              </w:rPr>
              <w:t>14：00~15：00</w:t>
            </w:r>
          </w:p>
        </w:tc>
        <w:tc>
          <w:tcPr>
            <w:tcW w:w="843" w:type="dxa"/>
            <w:vAlign w:val="center"/>
          </w:tcPr>
          <w:p w14:paraId="135F4E68">
            <w:pPr>
              <w:pStyle w:val="26"/>
              <w:bidi w:val="0"/>
              <w:rPr>
                <w:rFonts w:hint="default"/>
                <w:lang w:val="en-US" w:eastAsia="zh-CN"/>
              </w:rPr>
            </w:pPr>
            <w:r>
              <w:rPr>
                <w:rFonts w:hint="eastAsia"/>
                <w:lang w:val="en-US" w:eastAsia="zh-CN"/>
              </w:rPr>
              <w:t>0.028</w:t>
            </w:r>
          </w:p>
        </w:tc>
        <w:tc>
          <w:tcPr>
            <w:tcW w:w="1181" w:type="dxa"/>
            <w:vMerge w:val="continue"/>
            <w:vAlign w:val="center"/>
          </w:tcPr>
          <w:p w14:paraId="0A4FAA41">
            <w:pPr>
              <w:pStyle w:val="26"/>
              <w:bidi w:val="0"/>
              <w:rPr>
                <w:rFonts w:hint="eastAsia"/>
                <w:lang w:val="en-US" w:eastAsia="zh-CN"/>
              </w:rPr>
            </w:pPr>
          </w:p>
        </w:tc>
        <w:tc>
          <w:tcPr>
            <w:tcW w:w="716" w:type="dxa"/>
            <w:vMerge w:val="continue"/>
            <w:vAlign w:val="center"/>
          </w:tcPr>
          <w:p w14:paraId="665E1D9D">
            <w:pPr>
              <w:pStyle w:val="26"/>
              <w:bidi w:val="0"/>
              <w:rPr>
                <w:rFonts w:hint="eastAsia"/>
                <w:lang w:val="en-US" w:eastAsia="zh-CN"/>
              </w:rPr>
            </w:pPr>
          </w:p>
        </w:tc>
      </w:tr>
      <w:tr w14:paraId="4C74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vAlign w:val="center"/>
          </w:tcPr>
          <w:p w14:paraId="57AC0351">
            <w:pPr>
              <w:pStyle w:val="26"/>
              <w:bidi w:val="0"/>
              <w:rPr>
                <w:rFonts w:hint="eastAsia"/>
                <w:lang w:val="en-US" w:eastAsia="zh-CN"/>
              </w:rPr>
            </w:pPr>
          </w:p>
        </w:tc>
        <w:tc>
          <w:tcPr>
            <w:tcW w:w="797" w:type="dxa"/>
            <w:vMerge w:val="continue"/>
            <w:vAlign w:val="center"/>
          </w:tcPr>
          <w:p w14:paraId="7B36883A">
            <w:pPr>
              <w:pStyle w:val="26"/>
              <w:bidi w:val="0"/>
              <w:rPr>
                <w:rFonts w:hint="eastAsia"/>
                <w:lang w:val="en-US" w:eastAsia="zh-CN"/>
              </w:rPr>
            </w:pPr>
          </w:p>
        </w:tc>
        <w:tc>
          <w:tcPr>
            <w:tcW w:w="1937" w:type="dxa"/>
            <w:shd w:val="clear" w:color="auto" w:fill="auto"/>
            <w:vAlign w:val="center"/>
          </w:tcPr>
          <w:p w14:paraId="290EBCF8">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0B6F1EA3">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D905540">
            <w:pPr>
              <w:pStyle w:val="26"/>
              <w:bidi w:val="0"/>
              <w:rPr>
                <w:rFonts w:hint="eastAsia"/>
                <w:lang w:val="en-US" w:eastAsia="zh-CN"/>
              </w:rPr>
            </w:pPr>
            <w:r>
              <w:rPr>
                <w:rFonts w:hint="eastAsia"/>
                <w:lang w:val="en-US" w:eastAsia="zh-CN"/>
              </w:rPr>
              <w:t>20：00~21：00</w:t>
            </w:r>
          </w:p>
        </w:tc>
        <w:tc>
          <w:tcPr>
            <w:tcW w:w="843" w:type="dxa"/>
            <w:vAlign w:val="center"/>
          </w:tcPr>
          <w:p w14:paraId="312BF577">
            <w:pPr>
              <w:pStyle w:val="26"/>
              <w:bidi w:val="0"/>
              <w:rPr>
                <w:rFonts w:hint="default"/>
                <w:lang w:val="en-US" w:eastAsia="zh-CN"/>
              </w:rPr>
            </w:pPr>
            <w:r>
              <w:rPr>
                <w:rFonts w:hint="eastAsia"/>
                <w:lang w:val="en-US" w:eastAsia="zh-CN"/>
              </w:rPr>
              <w:t>0.028</w:t>
            </w:r>
          </w:p>
        </w:tc>
        <w:tc>
          <w:tcPr>
            <w:tcW w:w="1181" w:type="dxa"/>
            <w:vMerge w:val="continue"/>
            <w:vAlign w:val="center"/>
          </w:tcPr>
          <w:p w14:paraId="2E599F3E">
            <w:pPr>
              <w:pStyle w:val="26"/>
              <w:bidi w:val="0"/>
              <w:rPr>
                <w:rFonts w:hint="eastAsia"/>
                <w:lang w:val="en-US" w:eastAsia="zh-CN"/>
              </w:rPr>
            </w:pPr>
          </w:p>
        </w:tc>
        <w:tc>
          <w:tcPr>
            <w:tcW w:w="716" w:type="dxa"/>
            <w:vMerge w:val="continue"/>
            <w:vAlign w:val="center"/>
          </w:tcPr>
          <w:p w14:paraId="07512A2F">
            <w:pPr>
              <w:pStyle w:val="26"/>
              <w:bidi w:val="0"/>
              <w:rPr>
                <w:rFonts w:hint="eastAsia"/>
                <w:lang w:val="en-US" w:eastAsia="zh-CN"/>
              </w:rPr>
            </w:pPr>
          </w:p>
        </w:tc>
      </w:tr>
      <w:tr w14:paraId="5AEB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restart"/>
            <w:shd w:val="clear" w:color="auto" w:fill="auto"/>
            <w:vAlign w:val="center"/>
          </w:tcPr>
          <w:p w14:paraId="12C4E8FE">
            <w:pPr>
              <w:pStyle w:val="26"/>
              <w:bidi w:val="0"/>
              <w:rPr>
                <w:rFonts w:hint="default"/>
                <w:lang w:val="en-US" w:eastAsia="zh-CN"/>
              </w:rPr>
            </w:pPr>
            <w:r>
              <w:rPr>
                <w:rFonts w:hint="eastAsia"/>
                <w:lang w:val="en-US" w:eastAsia="zh-CN"/>
              </w:rPr>
              <w:t>G2西北1900m顺扬公寓（邻里中心）</w:t>
            </w:r>
          </w:p>
        </w:tc>
        <w:tc>
          <w:tcPr>
            <w:tcW w:w="797" w:type="dxa"/>
            <w:vMerge w:val="restart"/>
            <w:shd w:val="clear" w:color="auto" w:fill="auto"/>
            <w:vAlign w:val="center"/>
          </w:tcPr>
          <w:p w14:paraId="35813DAB">
            <w:pPr>
              <w:pStyle w:val="26"/>
              <w:bidi w:val="0"/>
              <w:rPr>
                <w:rFonts w:hint="eastAsia"/>
                <w:lang w:val="en-US" w:eastAsia="zh-CN"/>
              </w:rPr>
            </w:pPr>
            <w:r>
              <w:rPr>
                <w:rFonts w:hint="eastAsia"/>
                <w:lang w:val="en-US" w:eastAsia="zh-CN"/>
              </w:rPr>
              <w:t>2026.04.07</w:t>
            </w:r>
          </w:p>
        </w:tc>
        <w:tc>
          <w:tcPr>
            <w:tcW w:w="1937" w:type="dxa"/>
            <w:shd w:val="clear" w:color="auto" w:fill="auto"/>
            <w:vAlign w:val="center"/>
          </w:tcPr>
          <w:p w14:paraId="23F6D82E">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2A44479D">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606F20A">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73430852">
            <w:pPr>
              <w:pStyle w:val="26"/>
              <w:bidi w:val="0"/>
              <w:rPr>
                <w:rFonts w:hint="default"/>
                <w:lang w:val="en-US" w:eastAsia="zh-CN"/>
              </w:rPr>
            </w:pPr>
            <w:r>
              <w:rPr>
                <w:rFonts w:hint="eastAsia"/>
                <w:lang w:val="en-US" w:eastAsia="zh-CN"/>
              </w:rPr>
              <w:t>0.028</w:t>
            </w:r>
          </w:p>
        </w:tc>
        <w:tc>
          <w:tcPr>
            <w:tcW w:w="1181" w:type="dxa"/>
            <w:vMerge w:val="restart"/>
            <w:shd w:val="clear" w:color="auto" w:fill="auto"/>
            <w:vAlign w:val="center"/>
          </w:tcPr>
          <w:p w14:paraId="4A0C07F4">
            <w:pPr>
              <w:pStyle w:val="26"/>
              <w:bidi w:val="0"/>
              <w:rPr>
                <w:rFonts w:hint="default"/>
                <w:lang w:val="en-US" w:eastAsia="zh-CN"/>
              </w:rPr>
            </w:pPr>
            <w:r>
              <w:rPr>
                <w:rFonts w:hint="eastAsia"/>
                <w:lang w:val="en-US" w:eastAsia="zh-CN"/>
              </w:rPr>
              <w:t>00：00~24：00</w:t>
            </w:r>
          </w:p>
          <w:p w14:paraId="433472D3">
            <w:pPr>
              <w:pStyle w:val="26"/>
              <w:bidi w:val="0"/>
              <w:rPr>
                <w:rFonts w:hint="eastAsia"/>
                <w:lang w:val="en-US" w:eastAsia="zh-CN"/>
              </w:rPr>
            </w:pPr>
          </w:p>
        </w:tc>
        <w:tc>
          <w:tcPr>
            <w:tcW w:w="716" w:type="dxa"/>
            <w:vMerge w:val="restart"/>
            <w:shd w:val="clear" w:color="auto" w:fill="auto"/>
            <w:vAlign w:val="center"/>
          </w:tcPr>
          <w:p w14:paraId="38C555B2">
            <w:pPr>
              <w:pStyle w:val="26"/>
              <w:bidi w:val="0"/>
              <w:rPr>
                <w:rFonts w:hint="default"/>
                <w:lang w:val="en-US" w:eastAsia="zh-CN"/>
              </w:rPr>
            </w:pPr>
            <w:r>
              <w:rPr>
                <w:rFonts w:hint="eastAsia"/>
                <w:lang w:val="en-US" w:eastAsia="zh-CN"/>
              </w:rPr>
              <w:t>0.066</w:t>
            </w:r>
          </w:p>
        </w:tc>
      </w:tr>
      <w:tr w14:paraId="760C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5C95B984">
            <w:pPr>
              <w:pStyle w:val="26"/>
              <w:bidi w:val="0"/>
              <w:rPr>
                <w:rFonts w:hint="eastAsia"/>
                <w:lang w:val="en-US" w:eastAsia="zh-CN"/>
              </w:rPr>
            </w:pPr>
          </w:p>
        </w:tc>
        <w:tc>
          <w:tcPr>
            <w:tcW w:w="797" w:type="dxa"/>
            <w:vMerge w:val="continue"/>
            <w:shd w:val="clear" w:color="auto" w:fill="auto"/>
            <w:vAlign w:val="center"/>
          </w:tcPr>
          <w:p w14:paraId="22AC5A3F">
            <w:pPr>
              <w:pStyle w:val="26"/>
              <w:bidi w:val="0"/>
              <w:rPr>
                <w:rFonts w:hint="eastAsia"/>
                <w:lang w:val="en-US" w:eastAsia="zh-CN"/>
              </w:rPr>
            </w:pPr>
          </w:p>
        </w:tc>
        <w:tc>
          <w:tcPr>
            <w:tcW w:w="1937" w:type="dxa"/>
            <w:shd w:val="clear" w:color="auto" w:fill="auto"/>
            <w:vAlign w:val="center"/>
          </w:tcPr>
          <w:p w14:paraId="52E35AE0">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1E198E7E">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644B6267">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6CA9D4FA">
            <w:pPr>
              <w:pStyle w:val="26"/>
              <w:bidi w:val="0"/>
              <w:rPr>
                <w:rFonts w:hint="default"/>
                <w:lang w:val="en-US" w:eastAsia="zh-CN"/>
              </w:rPr>
            </w:pPr>
            <w:r>
              <w:rPr>
                <w:rFonts w:hint="eastAsia"/>
                <w:lang w:val="en-US" w:eastAsia="zh-CN"/>
              </w:rPr>
              <w:t>0.027</w:t>
            </w:r>
          </w:p>
        </w:tc>
        <w:tc>
          <w:tcPr>
            <w:tcW w:w="1181" w:type="dxa"/>
            <w:vMerge w:val="continue"/>
            <w:shd w:val="clear" w:color="auto" w:fill="auto"/>
            <w:vAlign w:val="center"/>
          </w:tcPr>
          <w:p w14:paraId="4213726C">
            <w:pPr>
              <w:pStyle w:val="26"/>
              <w:bidi w:val="0"/>
              <w:rPr>
                <w:rFonts w:hint="eastAsia"/>
                <w:lang w:val="en-US" w:eastAsia="zh-CN"/>
              </w:rPr>
            </w:pPr>
          </w:p>
        </w:tc>
        <w:tc>
          <w:tcPr>
            <w:tcW w:w="716" w:type="dxa"/>
            <w:vMerge w:val="continue"/>
            <w:shd w:val="clear" w:color="auto" w:fill="auto"/>
            <w:vAlign w:val="center"/>
          </w:tcPr>
          <w:p w14:paraId="440AB7C8">
            <w:pPr>
              <w:pStyle w:val="26"/>
              <w:bidi w:val="0"/>
              <w:rPr>
                <w:rFonts w:hint="eastAsia"/>
                <w:lang w:val="en-US" w:eastAsia="zh-CN"/>
              </w:rPr>
            </w:pPr>
          </w:p>
        </w:tc>
      </w:tr>
      <w:tr w14:paraId="4F77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9D4A351">
            <w:pPr>
              <w:pStyle w:val="26"/>
              <w:bidi w:val="0"/>
              <w:rPr>
                <w:rFonts w:hint="eastAsia"/>
                <w:lang w:val="en-US" w:eastAsia="zh-CN"/>
              </w:rPr>
            </w:pPr>
          </w:p>
        </w:tc>
        <w:tc>
          <w:tcPr>
            <w:tcW w:w="797" w:type="dxa"/>
            <w:vMerge w:val="continue"/>
            <w:shd w:val="clear" w:color="auto" w:fill="auto"/>
            <w:vAlign w:val="center"/>
          </w:tcPr>
          <w:p w14:paraId="4B157272">
            <w:pPr>
              <w:pStyle w:val="26"/>
              <w:bidi w:val="0"/>
              <w:rPr>
                <w:rFonts w:hint="eastAsia"/>
                <w:lang w:val="en-US" w:eastAsia="zh-CN"/>
              </w:rPr>
            </w:pPr>
          </w:p>
        </w:tc>
        <w:tc>
          <w:tcPr>
            <w:tcW w:w="1937" w:type="dxa"/>
            <w:shd w:val="clear" w:color="auto" w:fill="auto"/>
            <w:vAlign w:val="center"/>
          </w:tcPr>
          <w:p w14:paraId="1EE505E0">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7979D63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12AA207">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244F197B">
            <w:pPr>
              <w:pStyle w:val="26"/>
              <w:bidi w:val="0"/>
              <w:rPr>
                <w:rFonts w:hint="default"/>
                <w:lang w:val="en-US" w:eastAsia="zh-CN"/>
              </w:rPr>
            </w:pPr>
            <w:r>
              <w:rPr>
                <w:rFonts w:hint="eastAsia"/>
                <w:lang w:val="en-US" w:eastAsia="zh-CN"/>
              </w:rPr>
              <w:t>0.032</w:t>
            </w:r>
          </w:p>
        </w:tc>
        <w:tc>
          <w:tcPr>
            <w:tcW w:w="1181" w:type="dxa"/>
            <w:vMerge w:val="continue"/>
            <w:shd w:val="clear" w:color="auto" w:fill="auto"/>
            <w:vAlign w:val="center"/>
          </w:tcPr>
          <w:p w14:paraId="5DCF26A8">
            <w:pPr>
              <w:pStyle w:val="26"/>
              <w:bidi w:val="0"/>
              <w:rPr>
                <w:rFonts w:hint="eastAsia"/>
                <w:lang w:val="en-US" w:eastAsia="zh-CN"/>
              </w:rPr>
            </w:pPr>
          </w:p>
        </w:tc>
        <w:tc>
          <w:tcPr>
            <w:tcW w:w="716" w:type="dxa"/>
            <w:vMerge w:val="continue"/>
            <w:shd w:val="clear" w:color="auto" w:fill="auto"/>
            <w:vAlign w:val="center"/>
          </w:tcPr>
          <w:p w14:paraId="5E554328">
            <w:pPr>
              <w:pStyle w:val="26"/>
              <w:bidi w:val="0"/>
              <w:rPr>
                <w:rFonts w:hint="eastAsia"/>
                <w:lang w:val="en-US" w:eastAsia="zh-CN"/>
              </w:rPr>
            </w:pPr>
          </w:p>
        </w:tc>
      </w:tr>
      <w:tr w14:paraId="3822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50607292">
            <w:pPr>
              <w:pStyle w:val="26"/>
              <w:bidi w:val="0"/>
              <w:rPr>
                <w:rFonts w:hint="eastAsia"/>
                <w:lang w:val="en-US" w:eastAsia="zh-CN"/>
              </w:rPr>
            </w:pPr>
          </w:p>
        </w:tc>
        <w:tc>
          <w:tcPr>
            <w:tcW w:w="797" w:type="dxa"/>
            <w:vMerge w:val="continue"/>
            <w:shd w:val="clear" w:color="auto" w:fill="auto"/>
            <w:vAlign w:val="center"/>
          </w:tcPr>
          <w:p w14:paraId="28D102FE">
            <w:pPr>
              <w:pStyle w:val="26"/>
              <w:bidi w:val="0"/>
              <w:rPr>
                <w:rFonts w:hint="eastAsia"/>
                <w:lang w:val="en-US" w:eastAsia="zh-CN"/>
              </w:rPr>
            </w:pPr>
          </w:p>
        </w:tc>
        <w:tc>
          <w:tcPr>
            <w:tcW w:w="1937" w:type="dxa"/>
            <w:shd w:val="clear" w:color="auto" w:fill="auto"/>
            <w:vAlign w:val="center"/>
          </w:tcPr>
          <w:p w14:paraId="3BBD37AD">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673ED1BD">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C86C048">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56C3D3B0">
            <w:pPr>
              <w:pStyle w:val="26"/>
              <w:bidi w:val="0"/>
              <w:rPr>
                <w:rFonts w:hint="default"/>
                <w:lang w:val="en-US" w:eastAsia="zh-CN"/>
              </w:rPr>
            </w:pPr>
            <w:r>
              <w:rPr>
                <w:rFonts w:hint="eastAsia"/>
                <w:lang w:val="en-US" w:eastAsia="zh-CN"/>
              </w:rPr>
              <w:t>0.028</w:t>
            </w:r>
          </w:p>
        </w:tc>
        <w:tc>
          <w:tcPr>
            <w:tcW w:w="1181" w:type="dxa"/>
            <w:vMerge w:val="continue"/>
            <w:shd w:val="clear" w:color="auto" w:fill="auto"/>
            <w:vAlign w:val="center"/>
          </w:tcPr>
          <w:p w14:paraId="6777023D">
            <w:pPr>
              <w:pStyle w:val="26"/>
              <w:bidi w:val="0"/>
              <w:rPr>
                <w:rFonts w:hint="eastAsia"/>
                <w:lang w:val="en-US" w:eastAsia="zh-CN"/>
              </w:rPr>
            </w:pPr>
          </w:p>
        </w:tc>
        <w:tc>
          <w:tcPr>
            <w:tcW w:w="716" w:type="dxa"/>
            <w:vMerge w:val="continue"/>
            <w:shd w:val="clear" w:color="auto" w:fill="auto"/>
            <w:vAlign w:val="center"/>
          </w:tcPr>
          <w:p w14:paraId="62F53863">
            <w:pPr>
              <w:pStyle w:val="26"/>
              <w:bidi w:val="0"/>
              <w:rPr>
                <w:rFonts w:hint="eastAsia"/>
                <w:lang w:val="en-US" w:eastAsia="zh-CN"/>
              </w:rPr>
            </w:pPr>
          </w:p>
        </w:tc>
      </w:tr>
      <w:tr w14:paraId="58E1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597B14FE">
            <w:pPr>
              <w:pStyle w:val="26"/>
              <w:bidi w:val="0"/>
              <w:rPr>
                <w:rFonts w:hint="eastAsia"/>
                <w:lang w:val="en-US" w:eastAsia="zh-CN"/>
              </w:rPr>
            </w:pPr>
          </w:p>
        </w:tc>
        <w:tc>
          <w:tcPr>
            <w:tcW w:w="797" w:type="dxa"/>
            <w:vMerge w:val="restart"/>
            <w:shd w:val="clear" w:color="auto" w:fill="auto"/>
            <w:vAlign w:val="center"/>
          </w:tcPr>
          <w:p w14:paraId="7301AE20">
            <w:pPr>
              <w:pStyle w:val="26"/>
              <w:bidi w:val="0"/>
              <w:rPr>
                <w:rFonts w:hint="eastAsia"/>
                <w:lang w:val="en-US" w:eastAsia="zh-CN"/>
              </w:rPr>
            </w:pPr>
            <w:r>
              <w:rPr>
                <w:rFonts w:hint="eastAsia"/>
                <w:lang w:val="en-US" w:eastAsia="zh-CN"/>
              </w:rPr>
              <w:t>2026.04.08</w:t>
            </w:r>
          </w:p>
        </w:tc>
        <w:tc>
          <w:tcPr>
            <w:tcW w:w="1937" w:type="dxa"/>
            <w:shd w:val="clear" w:color="auto" w:fill="auto"/>
            <w:vAlign w:val="center"/>
          </w:tcPr>
          <w:p w14:paraId="5BE00386">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2974612A">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CA7880B">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3BBEEE3A">
            <w:pPr>
              <w:pStyle w:val="26"/>
              <w:bidi w:val="0"/>
              <w:rPr>
                <w:rFonts w:hint="default"/>
                <w:lang w:val="en-US" w:eastAsia="zh-CN"/>
              </w:rPr>
            </w:pPr>
            <w:r>
              <w:rPr>
                <w:rFonts w:hint="eastAsia"/>
                <w:lang w:val="en-US" w:eastAsia="zh-CN"/>
              </w:rPr>
              <w:t>0.031</w:t>
            </w:r>
          </w:p>
        </w:tc>
        <w:tc>
          <w:tcPr>
            <w:tcW w:w="1181" w:type="dxa"/>
            <w:vMerge w:val="restart"/>
            <w:shd w:val="clear" w:color="auto" w:fill="auto"/>
            <w:vAlign w:val="center"/>
          </w:tcPr>
          <w:p w14:paraId="2755C914">
            <w:pPr>
              <w:pStyle w:val="26"/>
              <w:bidi w:val="0"/>
              <w:rPr>
                <w:rFonts w:hint="eastAsia"/>
                <w:lang w:val="en-US" w:eastAsia="zh-CN"/>
              </w:rPr>
            </w:pPr>
            <w:r>
              <w:rPr>
                <w:rFonts w:hint="eastAsia"/>
                <w:lang w:val="en-US" w:eastAsia="zh-CN"/>
              </w:rPr>
              <w:t>00：00~24：00</w:t>
            </w:r>
          </w:p>
          <w:p w14:paraId="5FAAABD9">
            <w:pPr>
              <w:pStyle w:val="26"/>
              <w:bidi w:val="0"/>
              <w:rPr>
                <w:rFonts w:hint="eastAsia"/>
                <w:lang w:val="en-US" w:eastAsia="zh-CN"/>
              </w:rPr>
            </w:pPr>
          </w:p>
        </w:tc>
        <w:tc>
          <w:tcPr>
            <w:tcW w:w="716" w:type="dxa"/>
            <w:vMerge w:val="restart"/>
            <w:shd w:val="clear" w:color="auto" w:fill="auto"/>
            <w:vAlign w:val="center"/>
          </w:tcPr>
          <w:p w14:paraId="47B8BC87">
            <w:pPr>
              <w:pStyle w:val="26"/>
              <w:bidi w:val="0"/>
              <w:rPr>
                <w:rFonts w:hint="default"/>
                <w:lang w:val="en-US" w:eastAsia="zh-CN"/>
              </w:rPr>
            </w:pPr>
            <w:r>
              <w:rPr>
                <w:rFonts w:hint="eastAsia"/>
                <w:lang w:val="en-US" w:eastAsia="zh-CN"/>
              </w:rPr>
              <w:t>0.095</w:t>
            </w:r>
          </w:p>
        </w:tc>
      </w:tr>
      <w:tr w14:paraId="73B0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20EBF7F">
            <w:pPr>
              <w:pStyle w:val="26"/>
              <w:bidi w:val="0"/>
              <w:rPr>
                <w:rFonts w:hint="eastAsia"/>
                <w:lang w:val="en-US" w:eastAsia="zh-CN"/>
              </w:rPr>
            </w:pPr>
          </w:p>
        </w:tc>
        <w:tc>
          <w:tcPr>
            <w:tcW w:w="797" w:type="dxa"/>
            <w:vMerge w:val="continue"/>
            <w:shd w:val="clear" w:color="auto" w:fill="auto"/>
            <w:vAlign w:val="center"/>
          </w:tcPr>
          <w:p w14:paraId="60084996">
            <w:pPr>
              <w:pStyle w:val="26"/>
              <w:bidi w:val="0"/>
              <w:rPr>
                <w:rFonts w:hint="eastAsia"/>
                <w:lang w:val="en-US" w:eastAsia="zh-CN"/>
              </w:rPr>
            </w:pPr>
          </w:p>
        </w:tc>
        <w:tc>
          <w:tcPr>
            <w:tcW w:w="1937" w:type="dxa"/>
            <w:shd w:val="clear" w:color="auto" w:fill="auto"/>
            <w:vAlign w:val="center"/>
          </w:tcPr>
          <w:p w14:paraId="06D3FDA6">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628A9567">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8C4A8A5">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79173020">
            <w:pPr>
              <w:pStyle w:val="26"/>
              <w:bidi w:val="0"/>
              <w:rPr>
                <w:rFonts w:hint="default"/>
                <w:lang w:val="en-US" w:eastAsia="zh-CN"/>
              </w:rPr>
            </w:pPr>
            <w:r>
              <w:rPr>
                <w:rFonts w:hint="eastAsia"/>
                <w:lang w:val="en-US" w:eastAsia="zh-CN"/>
              </w:rPr>
              <w:t>0.028</w:t>
            </w:r>
          </w:p>
        </w:tc>
        <w:tc>
          <w:tcPr>
            <w:tcW w:w="1181" w:type="dxa"/>
            <w:vMerge w:val="continue"/>
            <w:shd w:val="clear" w:color="auto" w:fill="auto"/>
            <w:vAlign w:val="center"/>
          </w:tcPr>
          <w:p w14:paraId="23F3F20F">
            <w:pPr>
              <w:pStyle w:val="26"/>
              <w:bidi w:val="0"/>
              <w:rPr>
                <w:rFonts w:hint="eastAsia"/>
                <w:lang w:val="en-US" w:eastAsia="zh-CN"/>
              </w:rPr>
            </w:pPr>
          </w:p>
        </w:tc>
        <w:tc>
          <w:tcPr>
            <w:tcW w:w="716" w:type="dxa"/>
            <w:vMerge w:val="continue"/>
            <w:shd w:val="clear" w:color="auto" w:fill="auto"/>
            <w:vAlign w:val="center"/>
          </w:tcPr>
          <w:p w14:paraId="1B29BA75">
            <w:pPr>
              <w:pStyle w:val="26"/>
              <w:bidi w:val="0"/>
              <w:rPr>
                <w:rFonts w:hint="eastAsia"/>
                <w:lang w:val="en-US" w:eastAsia="zh-CN"/>
              </w:rPr>
            </w:pPr>
          </w:p>
        </w:tc>
      </w:tr>
      <w:tr w14:paraId="45EB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371DCED8">
            <w:pPr>
              <w:pStyle w:val="26"/>
              <w:bidi w:val="0"/>
              <w:rPr>
                <w:rFonts w:hint="eastAsia"/>
                <w:lang w:val="en-US" w:eastAsia="zh-CN"/>
              </w:rPr>
            </w:pPr>
          </w:p>
        </w:tc>
        <w:tc>
          <w:tcPr>
            <w:tcW w:w="797" w:type="dxa"/>
            <w:vMerge w:val="continue"/>
            <w:shd w:val="clear" w:color="auto" w:fill="auto"/>
            <w:vAlign w:val="center"/>
          </w:tcPr>
          <w:p w14:paraId="2A609C04">
            <w:pPr>
              <w:pStyle w:val="26"/>
              <w:bidi w:val="0"/>
              <w:rPr>
                <w:rFonts w:hint="eastAsia"/>
                <w:lang w:val="en-US" w:eastAsia="zh-CN"/>
              </w:rPr>
            </w:pPr>
          </w:p>
        </w:tc>
        <w:tc>
          <w:tcPr>
            <w:tcW w:w="1937" w:type="dxa"/>
            <w:shd w:val="clear" w:color="auto" w:fill="auto"/>
            <w:vAlign w:val="center"/>
          </w:tcPr>
          <w:p w14:paraId="7EB1DE8B">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3CC817E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482E8B31">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27C4B9A9">
            <w:pPr>
              <w:pStyle w:val="26"/>
              <w:bidi w:val="0"/>
              <w:rPr>
                <w:rFonts w:hint="default"/>
                <w:lang w:val="en-US" w:eastAsia="zh-CN"/>
              </w:rPr>
            </w:pPr>
            <w:r>
              <w:rPr>
                <w:rFonts w:hint="eastAsia"/>
                <w:lang w:val="en-US" w:eastAsia="zh-CN"/>
              </w:rPr>
              <w:t>0.024</w:t>
            </w:r>
          </w:p>
        </w:tc>
        <w:tc>
          <w:tcPr>
            <w:tcW w:w="1181" w:type="dxa"/>
            <w:vMerge w:val="continue"/>
            <w:shd w:val="clear" w:color="auto" w:fill="auto"/>
            <w:vAlign w:val="center"/>
          </w:tcPr>
          <w:p w14:paraId="687E3E48">
            <w:pPr>
              <w:pStyle w:val="26"/>
              <w:bidi w:val="0"/>
              <w:rPr>
                <w:rFonts w:hint="eastAsia"/>
                <w:lang w:val="en-US" w:eastAsia="zh-CN"/>
              </w:rPr>
            </w:pPr>
          </w:p>
        </w:tc>
        <w:tc>
          <w:tcPr>
            <w:tcW w:w="716" w:type="dxa"/>
            <w:vMerge w:val="continue"/>
            <w:shd w:val="clear" w:color="auto" w:fill="auto"/>
            <w:vAlign w:val="center"/>
          </w:tcPr>
          <w:p w14:paraId="554AE132">
            <w:pPr>
              <w:pStyle w:val="26"/>
              <w:bidi w:val="0"/>
              <w:rPr>
                <w:rFonts w:hint="eastAsia"/>
                <w:lang w:val="en-US" w:eastAsia="zh-CN"/>
              </w:rPr>
            </w:pPr>
          </w:p>
        </w:tc>
      </w:tr>
      <w:tr w14:paraId="0D4A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4A2F1663">
            <w:pPr>
              <w:pStyle w:val="26"/>
              <w:bidi w:val="0"/>
              <w:rPr>
                <w:rFonts w:hint="eastAsia"/>
                <w:lang w:val="en-US" w:eastAsia="zh-CN"/>
              </w:rPr>
            </w:pPr>
          </w:p>
        </w:tc>
        <w:tc>
          <w:tcPr>
            <w:tcW w:w="797" w:type="dxa"/>
            <w:vMerge w:val="continue"/>
            <w:shd w:val="clear" w:color="auto" w:fill="auto"/>
            <w:vAlign w:val="center"/>
          </w:tcPr>
          <w:p w14:paraId="1640FEDE">
            <w:pPr>
              <w:pStyle w:val="26"/>
              <w:bidi w:val="0"/>
              <w:rPr>
                <w:rFonts w:hint="eastAsia"/>
                <w:lang w:val="en-US" w:eastAsia="zh-CN"/>
              </w:rPr>
            </w:pPr>
          </w:p>
        </w:tc>
        <w:tc>
          <w:tcPr>
            <w:tcW w:w="1937" w:type="dxa"/>
            <w:shd w:val="clear" w:color="auto" w:fill="auto"/>
            <w:vAlign w:val="center"/>
          </w:tcPr>
          <w:p w14:paraId="0ED2DFC6">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0BFAF63A">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674A75B">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470E81D1">
            <w:pPr>
              <w:pStyle w:val="26"/>
              <w:bidi w:val="0"/>
              <w:rPr>
                <w:rFonts w:hint="default"/>
                <w:lang w:val="en-US" w:eastAsia="zh-CN"/>
              </w:rPr>
            </w:pPr>
            <w:r>
              <w:rPr>
                <w:rFonts w:hint="eastAsia"/>
                <w:lang w:val="en-US" w:eastAsia="zh-CN"/>
              </w:rPr>
              <w:t>0.029</w:t>
            </w:r>
          </w:p>
        </w:tc>
        <w:tc>
          <w:tcPr>
            <w:tcW w:w="1181" w:type="dxa"/>
            <w:vMerge w:val="continue"/>
            <w:shd w:val="clear" w:color="auto" w:fill="auto"/>
            <w:vAlign w:val="center"/>
          </w:tcPr>
          <w:p w14:paraId="0521AF47">
            <w:pPr>
              <w:pStyle w:val="26"/>
              <w:bidi w:val="0"/>
              <w:rPr>
                <w:rFonts w:hint="eastAsia"/>
                <w:lang w:val="en-US" w:eastAsia="zh-CN"/>
              </w:rPr>
            </w:pPr>
          </w:p>
        </w:tc>
        <w:tc>
          <w:tcPr>
            <w:tcW w:w="716" w:type="dxa"/>
            <w:vMerge w:val="continue"/>
            <w:shd w:val="clear" w:color="auto" w:fill="auto"/>
            <w:vAlign w:val="center"/>
          </w:tcPr>
          <w:p w14:paraId="7EEA5B35">
            <w:pPr>
              <w:pStyle w:val="26"/>
              <w:bidi w:val="0"/>
              <w:rPr>
                <w:rFonts w:hint="eastAsia"/>
                <w:lang w:val="en-US" w:eastAsia="zh-CN"/>
              </w:rPr>
            </w:pPr>
          </w:p>
        </w:tc>
      </w:tr>
      <w:tr w14:paraId="72B6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34D173A1">
            <w:pPr>
              <w:pStyle w:val="26"/>
              <w:bidi w:val="0"/>
              <w:rPr>
                <w:rFonts w:hint="eastAsia"/>
                <w:lang w:val="en-US" w:eastAsia="zh-CN"/>
              </w:rPr>
            </w:pPr>
          </w:p>
        </w:tc>
        <w:tc>
          <w:tcPr>
            <w:tcW w:w="797" w:type="dxa"/>
            <w:vMerge w:val="restart"/>
            <w:shd w:val="clear" w:color="auto" w:fill="auto"/>
            <w:vAlign w:val="center"/>
          </w:tcPr>
          <w:p w14:paraId="08B7412C">
            <w:pPr>
              <w:pStyle w:val="26"/>
              <w:bidi w:val="0"/>
              <w:rPr>
                <w:rFonts w:hint="eastAsia"/>
                <w:lang w:val="en-US" w:eastAsia="zh-CN"/>
              </w:rPr>
            </w:pPr>
            <w:r>
              <w:rPr>
                <w:rFonts w:hint="eastAsia"/>
                <w:lang w:val="en-US" w:eastAsia="zh-CN"/>
              </w:rPr>
              <w:t>2026.04.09</w:t>
            </w:r>
          </w:p>
        </w:tc>
        <w:tc>
          <w:tcPr>
            <w:tcW w:w="1937" w:type="dxa"/>
            <w:shd w:val="clear" w:color="auto" w:fill="auto"/>
            <w:vAlign w:val="center"/>
          </w:tcPr>
          <w:p w14:paraId="4CE5AD35">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20ACFF57">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C752CFA">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0701D542">
            <w:pPr>
              <w:pStyle w:val="26"/>
              <w:bidi w:val="0"/>
              <w:rPr>
                <w:rFonts w:hint="default"/>
                <w:lang w:val="en-US" w:eastAsia="zh-CN"/>
              </w:rPr>
            </w:pPr>
            <w:r>
              <w:rPr>
                <w:rFonts w:hint="eastAsia"/>
                <w:lang w:val="en-US" w:eastAsia="zh-CN"/>
              </w:rPr>
              <w:t>0.028</w:t>
            </w:r>
          </w:p>
        </w:tc>
        <w:tc>
          <w:tcPr>
            <w:tcW w:w="1181" w:type="dxa"/>
            <w:vMerge w:val="restart"/>
            <w:shd w:val="clear" w:color="auto" w:fill="auto"/>
            <w:vAlign w:val="center"/>
          </w:tcPr>
          <w:p w14:paraId="5F6C84D9">
            <w:pPr>
              <w:pStyle w:val="26"/>
              <w:bidi w:val="0"/>
              <w:rPr>
                <w:rFonts w:hint="eastAsia"/>
                <w:lang w:val="en-US" w:eastAsia="zh-CN"/>
              </w:rPr>
            </w:pPr>
            <w:r>
              <w:rPr>
                <w:rFonts w:hint="eastAsia"/>
                <w:lang w:val="en-US" w:eastAsia="zh-CN"/>
              </w:rPr>
              <w:t>00：00~24：00</w:t>
            </w:r>
          </w:p>
          <w:p w14:paraId="0EC18021">
            <w:pPr>
              <w:pStyle w:val="26"/>
              <w:bidi w:val="0"/>
              <w:rPr>
                <w:rFonts w:hint="eastAsia"/>
                <w:lang w:val="en-US" w:eastAsia="zh-CN"/>
              </w:rPr>
            </w:pPr>
          </w:p>
        </w:tc>
        <w:tc>
          <w:tcPr>
            <w:tcW w:w="716" w:type="dxa"/>
            <w:vMerge w:val="restart"/>
            <w:shd w:val="clear" w:color="auto" w:fill="auto"/>
            <w:vAlign w:val="center"/>
          </w:tcPr>
          <w:p w14:paraId="00B94D40">
            <w:pPr>
              <w:pStyle w:val="26"/>
              <w:bidi w:val="0"/>
              <w:rPr>
                <w:rFonts w:hint="default"/>
                <w:lang w:val="en-US" w:eastAsia="zh-CN"/>
              </w:rPr>
            </w:pPr>
            <w:r>
              <w:rPr>
                <w:rFonts w:hint="eastAsia"/>
                <w:lang w:val="en-US" w:eastAsia="zh-CN"/>
              </w:rPr>
              <w:t>0.050</w:t>
            </w:r>
          </w:p>
        </w:tc>
      </w:tr>
      <w:tr w14:paraId="61CD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747185EE">
            <w:pPr>
              <w:pStyle w:val="26"/>
              <w:bidi w:val="0"/>
              <w:rPr>
                <w:rFonts w:hint="eastAsia"/>
                <w:lang w:val="en-US" w:eastAsia="zh-CN"/>
              </w:rPr>
            </w:pPr>
          </w:p>
        </w:tc>
        <w:tc>
          <w:tcPr>
            <w:tcW w:w="797" w:type="dxa"/>
            <w:vMerge w:val="continue"/>
            <w:shd w:val="clear" w:color="auto" w:fill="auto"/>
            <w:vAlign w:val="center"/>
          </w:tcPr>
          <w:p w14:paraId="07C81E30">
            <w:pPr>
              <w:pStyle w:val="26"/>
              <w:bidi w:val="0"/>
              <w:rPr>
                <w:rFonts w:hint="eastAsia"/>
                <w:lang w:val="en-US" w:eastAsia="zh-CN"/>
              </w:rPr>
            </w:pPr>
          </w:p>
        </w:tc>
        <w:tc>
          <w:tcPr>
            <w:tcW w:w="1937" w:type="dxa"/>
            <w:shd w:val="clear" w:color="auto" w:fill="auto"/>
            <w:vAlign w:val="center"/>
          </w:tcPr>
          <w:p w14:paraId="60A003EB">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414C1FA5">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2462482">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34A26519">
            <w:pPr>
              <w:pStyle w:val="26"/>
              <w:bidi w:val="0"/>
              <w:rPr>
                <w:rFonts w:hint="default"/>
                <w:lang w:val="en-US" w:eastAsia="zh-CN"/>
              </w:rPr>
            </w:pPr>
            <w:r>
              <w:rPr>
                <w:rFonts w:hint="eastAsia"/>
                <w:lang w:val="en-US" w:eastAsia="zh-CN"/>
              </w:rPr>
              <w:t>0.033</w:t>
            </w:r>
          </w:p>
        </w:tc>
        <w:tc>
          <w:tcPr>
            <w:tcW w:w="1181" w:type="dxa"/>
            <w:vMerge w:val="continue"/>
            <w:shd w:val="clear" w:color="auto" w:fill="auto"/>
            <w:vAlign w:val="center"/>
          </w:tcPr>
          <w:p w14:paraId="4C569FDF">
            <w:pPr>
              <w:pStyle w:val="26"/>
              <w:bidi w:val="0"/>
              <w:rPr>
                <w:rFonts w:hint="eastAsia"/>
                <w:lang w:val="en-US" w:eastAsia="zh-CN"/>
              </w:rPr>
            </w:pPr>
          </w:p>
        </w:tc>
        <w:tc>
          <w:tcPr>
            <w:tcW w:w="716" w:type="dxa"/>
            <w:vMerge w:val="continue"/>
            <w:shd w:val="clear" w:color="auto" w:fill="auto"/>
            <w:vAlign w:val="center"/>
          </w:tcPr>
          <w:p w14:paraId="3BD8F188">
            <w:pPr>
              <w:pStyle w:val="26"/>
              <w:bidi w:val="0"/>
              <w:rPr>
                <w:rFonts w:hint="eastAsia"/>
                <w:lang w:val="en-US" w:eastAsia="zh-CN"/>
              </w:rPr>
            </w:pPr>
          </w:p>
        </w:tc>
      </w:tr>
      <w:tr w14:paraId="2D1D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215AE26A">
            <w:pPr>
              <w:pStyle w:val="26"/>
              <w:bidi w:val="0"/>
              <w:rPr>
                <w:rFonts w:hint="eastAsia"/>
                <w:lang w:val="en-US" w:eastAsia="zh-CN"/>
              </w:rPr>
            </w:pPr>
          </w:p>
        </w:tc>
        <w:tc>
          <w:tcPr>
            <w:tcW w:w="797" w:type="dxa"/>
            <w:vMerge w:val="continue"/>
            <w:shd w:val="clear" w:color="auto" w:fill="auto"/>
            <w:vAlign w:val="center"/>
          </w:tcPr>
          <w:p w14:paraId="7D90DA8C">
            <w:pPr>
              <w:pStyle w:val="26"/>
              <w:bidi w:val="0"/>
              <w:rPr>
                <w:rFonts w:hint="eastAsia"/>
                <w:lang w:val="en-US" w:eastAsia="zh-CN"/>
              </w:rPr>
            </w:pPr>
          </w:p>
        </w:tc>
        <w:tc>
          <w:tcPr>
            <w:tcW w:w="1937" w:type="dxa"/>
            <w:shd w:val="clear" w:color="auto" w:fill="auto"/>
            <w:vAlign w:val="center"/>
          </w:tcPr>
          <w:p w14:paraId="4E286B66">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2224392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565437CA">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7DF0F55E">
            <w:pPr>
              <w:pStyle w:val="26"/>
              <w:bidi w:val="0"/>
              <w:rPr>
                <w:rFonts w:hint="default"/>
                <w:lang w:val="en-US" w:eastAsia="zh-CN"/>
              </w:rPr>
            </w:pPr>
            <w:r>
              <w:rPr>
                <w:rFonts w:hint="eastAsia"/>
                <w:lang w:val="en-US" w:eastAsia="zh-CN"/>
              </w:rPr>
              <w:t>0.030</w:t>
            </w:r>
          </w:p>
        </w:tc>
        <w:tc>
          <w:tcPr>
            <w:tcW w:w="1181" w:type="dxa"/>
            <w:vMerge w:val="continue"/>
            <w:shd w:val="clear" w:color="auto" w:fill="auto"/>
            <w:vAlign w:val="center"/>
          </w:tcPr>
          <w:p w14:paraId="09BF50FA">
            <w:pPr>
              <w:pStyle w:val="26"/>
              <w:bidi w:val="0"/>
              <w:rPr>
                <w:rFonts w:hint="eastAsia"/>
                <w:lang w:val="en-US" w:eastAsia="zh-CN"/>
              </w:rPr>
            </w:pPr>
          </w:p>
        </w:tc>
        <w:tc>
          <w:tcPr>
            <w:tcW w:w="716" w:type="dxa"/>
            <w:vMerge w:val="continue"/>
            <w:shd w:val="clear" w:color="auto" w:fill="auto"/>
            <w:vAlign w:val="center"/>
          </w:tcPr>
          <w:p w14:paraId="15545408">
            <w:pPr>
              <w:pStyle w:val="26"/>
              <w:bidi w:val="0"/>
              <w:rPr>
                <w:rFonts w:hint="eastAsia"/>
                <w:lang w:val="en-US" w:eastAsia="zh-CN"/>
              </w:rPr>
            </w:pPr>
          </w:p>
        </w:tc>
      </w:tr>
      <w:tr w14:paraId="6A4A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682" w:type="dxa"/>
            <w:vMerge w:val="continue"/>
            <w:shd w:val="clear" w:color="auto" w:fill="auto"/>
            <w:vAlign w:val="center"/>
          </w:tcPr>
          <w:p w14:paraId="0274CE53">
            <w:pPr>
              <w:pStyle w:val="26"/>
              <w:bidi w:val="0"/>
              <w:rPr>
                <w:rFonts w:hint="eastAsia"/>
                <w:lang w:val="en-US" w:eastAsia="zh-CN"/>
              </w:rPr>
            </w:pPr>
          </w:p>
        </w:tc>
        <w:tc>
          <w:tcPr>
            <w:tcW w:w="797" w:type="dxa"/>
            <w:vMerge w:val="continue"/>
            <w:shd w:val="clear" w:color="auto" w:fill="auto"/>
            <w:vAlign w:val="center"/>
          </w:tcPr>
          <w:p w14:paraId="5C34DFA4">
            <w:pPr>
              <w:pStyle w:val="26"/>
              <w:bidi w:val="0"/>
              <w:rPr>
                <w:rFonts w:hint="eastAsia"/>
                <w:lang w:val="en-US" w:eastAsia="zh-CN"/>
              </w:rPr>
            </w:pPr>
          </w:p>
        </w:tc>
        <w:tc>
          <w:tcPr>
            <w:tcW w:w="1937" w:type="dxa"/>
            <w:shd w:val="clear" w:color="auto" w:fill="auto"/>
            <w:vAlign w:val="center"/>
          </w:tcPr>
          <w:p w14:paraId="6419FBF1">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052E3F14">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FA68850">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5A63CFC7">
            <w:pPr>
              <w:pStyle w:val="26"/>
              <w:bidi w:val="0"/>
              <w:rPr>
                <w:rFonts w:hint="default"/>
                <w:lang w:val="en-US" w:eastAsia="zh-CN"/>
              </w:rPr>
            </w:pPr>
            <w:r>
              <w:rPr>
                <w:rFonts w:hint="eastAsia"/>
                <w:lang w:val="en-US" w:eastAsia="zh-CN"/>
              </w:rPr>
              <w:t>0.033</w:t>
            </w:r>
          </w:p>
        </w:tc>
        <w:tc>
          <w:tcPr>
            <w:tcW w:w="1181" w:type="dxa"/>
            <w:vMerge w:val="continue"/>
            <w:shd w:val="clear" w:color="auto" w:fill="auto"/>
            <w:vAlign w:val="center"/>
          </w:tcPr>
          <w:p w14:paraId="1CCDB5E5">
            <w:pPr>
              <w:pStyle w:val="26"/>
              <w:bidi w:val="0"/>
              <w:rPr>
                <w:rFonts w:hint="eastAsia"/>
                <w:lang w:val="en-US" w:eastAsia="zh-CN"/>
              </w:rPr>
            </w:pPr>
          </w:p>
        </w:tc>
        <w:tc>
          <w:tcPr>
            <w:tcW w:w="716" w:type="dxa"/>
            <w:vMerge w:val="continue"/>
            <w:shd w:val="clear" w:color="auto" w:fill="auto"/>
            <w:vAlign w:val="center"/>
          </w:tcPr>
          <w:p w14:paraId="153F80AD">
            <w:pPr>
              <w:pStyle w:val="26"/>
              <w:bidi w:val="0"/>
              <w:rPr>
                <w:rFonts w:hint="eastAsia"/>
                <w:lang w:val="en-US" w:eastAsia="zh-CN"/>
              </w:rPr>
            </w:pPr>
          </w:p>
        </w:tc>
      </w:tr>
      <w:tr w14:paraId="7E9E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27FAD43F">
            <w:pPr>
              <w:pStyle w:val="26"/>
              <w:bidi w:val="0"/>
              <w:rPr>
                <w:rFonts w:hint="eastAsia"/>
                <w:lang w:val="en-US" w:eastAsia="zh-CN"/>
              </w:rPr>
            </w:pPr>
          </w:p>
        </w:tc>
        <w:tc>
          <w:tcPr>
            <w:tcW w:w="797" w:type="dxa"/>
            <w:vMerge w:val="restart"/>
            <w:shd w:val="clear" w:color="auto" w:fill="auto"/>
            <w:vAlign w:val="center"/>
          </w:tcPr>
          <w:p w14:paraId="0AFF197E">
            <w:pPr>
              <w:pStyle w:val="26"/>
              <w:bidi w:val="0"/>
              <w:rPr>
                <w:rFonts w:hint="eastAsia"/>
                <w:lang w:val="en-US" w:eastAsia="zh-CN"/>
              </w:rPr>
            </w:pPr>
            <w:r>
              <w:rPr>
                <w:rFonts w:hint="eastAsia"/>
                <w:lang w:val="en-US" w:eastAsia="zh-CN"/>
              </w:rPr>
              <w:t>2026.04.10</w:t>
            </w:r>
          </w:p>
        </w:tc>
        <w:tc>
          <w:tcPr>
            <w:tcW w:w="1937" w:type="dxa"/>
            <w:shd w:val="clear" w:color="auto" w:fill="auto"/>
            <w:vAlign w:val="center"/>
          </w:tcPr>
          <w:p w14:paraId="7E9A9030">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6E11E53B">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3D3E801">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5F08AA8F">
            <w:pPr>
              <w:pStyle w:val="26"/>
              <w:bidi w:val="0"/>
              <w:rPr>
                <w:rFonts w:hint="default"/>
                <w:lang w:val="en-US" w:eastAsia="zh-CN"/>
              </w:rPr>
            </w:pPr>
            <w:r>
              <w:rPr>
                <w:rFonts w:hint="eastAsia"/>
                <w:lang w:val="en-US" w:eastAsia="zh-CN"/>
              </w:rPr>
              <w:t>0.031</w:t>
            </w:r>
          </w:p>
        </w:tc>
        <w:tc>
          <w:tcPr>
            <w:tcW w:w="1181" w:type="dxa"/>
            <w:vMerge w:val="restart"/>
            <w:shd w:val="clear" w:color="auto" w:fill="auto"/>
            <w:vAlign w:val="center"/>
          </w:tcPr>
          <w:p w14:paraId="4E1EBB9A">
            <w:pPr>
              <w:pStyle w:val="26"/>
              <w:bidi w:val="0"/>
              <w:rPr>
                <w:rFonts w:hint="eastAsia"/>
                <w:lang w:val="en-US" w:eastAsia="zh-CN"/>
              </w:rPr>
            </w:pPr>
            <w:r>
              <w:rPr>
                <w:rFonts w:hint="eastAsia"/>
                <w:lang w:val="en-US" w:eastAsia="zh-CN"/>
              </w:rPr>
              <w:t>00：00~24：00</w:t>
            </w:r>
          </w:p>
          <w:p w14:paraId="3113FED8">
            <w:pPr>
              <w:pStyle w:val="26"/>
              <w:bidi w:val="0"/>
              <w:rPr>
                <w:rFonts w:hint="eastAsia"/>
                <w:lang w:val="en-US" w:eastAsia="zh-CN"/>
              </w:rPr>
            </w:pPr>
          </w:p>
        </w:tc>
        <w:tc>
          <w:tcPr>
            <w:tcW w:w="716" w:type="dxa"/>
            <w:vMerge w:val="restart"/>
            <w:shd w:val="clear" w:color="auto" w:fill="auto"/>
            <w:vAlign w:val="center"/>
          </w:tcPr>
          <w:p w14:paraId="3131A688">
            <w:pPr>
              <w:pStyle w:val="26"/>
              <w:bidi w:val="0"/>
              <w:rPr>
                <w:rFonts w:hint="default"/>
                <w:lang w:val="en-US" w:eastAsia="zh-CN"/>
              </w:rPr>
            </w:pPr>
            <w:r>
              <w:rPr>
                <w:rFonts w:hint="eastAsia"/>
                <w:lang w:val="en-US" w:eastAsia="zh-CN"/>
              </w:rPr>
              <w:t>0.087</w:t>
            </w:r>
          </w:p>
        </w:tc>
      </w:tr>
      <w:tr w14:paraId="29F4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48CD1E1A">
            <w:pPr>
              <w:pStyle w:val="26"/>
              <w:bidi w:val="0"/>
              <w:rPr>
                <w:rFonts w:hint="eastAsia"/>
                <w:lang w:val="en-US" w:eastAsia="zh-CN"/>
              </w:rPr>
            </w:pPr>
          </w:p>
        </w:tc>
        <w:tc>
          <w:tcPr>
            <w:tcW w:w="797" w:type="dxa"/>
            <w:vMerge w:val="continue"/>
            <w:shd w:val="clear" w:color="auto" w:fill="auto"/>
            <w:vAlign w:val="center"/>
          </w:tcPr>
          <w:p w14:paraId="0A565B1E">
            <w:pPr>
              <w:pStyle w:val="26"/>
              <w:bidi w:val="0"/>
              <w:rPr>
                <w:rFonts w:hint="eastAsia"/>
                <w:lang w:val="en-US" w:eastAsia="zh-CN"/>
              </w:rPr>
            </w:pPr>
          </w:p>
        </w:tc>
        <w:tc>
          <w:tcPr>
            <w:tcW w:w="1937" w:type="dxa"/>
            <w:shd w:val="clear" w:color="auto" w:fill="auto"/>
            <w:vAlign w:val="center"/>
          </w:tcPr>
          <w:p w14:paraId="5BC80FB0">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340F2CC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E60BFC6">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7FA0CE84">
            <w:pPr>
              <w:pStyle w:val="26"/>
              <w:bidi w:val="0"/>
              <w:rPr>
                <w:rFonts w:hint="default"/>
                <w:lang w:val="en-US" w:eastAsia="zh-CN"/>
              </w:rPr>
            </w:pPr>
            <w:r>
              <w:rPr>
                <w:rFonts w:hint="eastAsia"/>
                <w:lang w:val="en-US" w:eastAsia="zh-CN"/>
              </w:rPr>
              <w:t>0.026</w:t>
            </w:r>
          </w:p>
        </w:tc>
        <w:tc>
          <w:tcPr>
            <w:tcW w:w="1181" w:type="dxa"/>
            <w:vMerge w:val="continue"/>
            <w:shd w:val="clear" w:color="auto" w:fill="auto"/>
            <w:vAlign w:val="center"/>
          </w:tcPr>
          <w:p w14:paraId="5F6EDCE9">
            <w:pPr>
              <w:pStyle w:val="26"/>
              <w:bidi w:val="0"/>
              <w:rPr>
                <w:rFonts w:hint="eastAsia"/>
                <w:lang w:val="en-US" w:eastAsia="zh-CN"/>
              </w:rPr>
            </w:pPr>
          </w:p>
        </w:tc>
        <w:tc>
          <w:tcPr>
            <w:tcW w:w="716" w:type="dxa"/>
            <w:vMerge w:val="continue"/>
            <w:shd w:val="clear" w:color="auto" w:fill="auto"/>
            <w:vAlign w:val="center"/>
          </w:tcPr>
          <w:p w14:paraId="43494533">
            <w:pPr>
              <w:pStyle w:val="26"/>
              <w:bidi w:val="0"/>
              <w:rPr>
                <w:rFonts w:hint="eastAsia"/>
                <w:lang w:val="en-US" w:eastAsia="zh-CN"/>
              </w:rPr>
            </w:pPr>
          </w:p>
        </w:tc>
      </w:tr>
      <w:tr w14:paraId="2B3C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46D23F60">
            <w:pPr>
              <w:pStyle w:val="26"/>
              <w:bidi w:val="0"/>
              <w:rPr>
                <w:rFonts w:hint="eastAsia"/>
                <w:lang w:val="en-US" w:eastAsia="zh-CN"/>
              </w:rPr>
            </w:pPr>
          </w:p>
        </w:tc>
        <w:tc>
          <w:tcPr>
            <w:tcW w:w="797" w:type="dxa"/>
            <w:vMerge w:val="continue"/>
            <w:shd w:val="clear" w:color="auto" w:fill="auto"/>
            <w:vAlign w:val="center"/>
          </w:tcPr>
          <w:p w14:paraId="057148EC">
            <w:pPr>
              <w:pStyle w:val="26"/>
              <w:bidi w:val="0"/>
              <w:rPr>
                <w:rFonts w:hint="eastAsia"/>
                <w:lang w:val="en-US" w:eastAsia="zh-CN"/>
              </w:rPr>
            </w:pPr>
          </w:p>
        </w:tc>
        <w:tc>
          <w:tcPr>
            <w:tcW w:w="1937" w:type="dxa"/>
            <w:shd w:val="clear" w:color="auto" w:fill="auto"/>
            <w:vAlign w:val="center"/>
          </w:tcPr>
          <w:p w14:paraId="02AAE982">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12B0B83F">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0595EAA">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470CEAA8">
            <w:pPr>
              <w:pStyle w:val="26"/>
              <w:bidi w:val="0"/>
              <w:rPr>
                <w:rFonts w:hint="default"/>
                <w:lang w:val="en-US" w:eastAsia="zh-CN"/>
              </w:rPr>
            </w:pPr>
            <w:r>
              <w:rPr>
                <w:rFonts w:hint="eastAsia"/>
                <w:lang w:val="en-US" w:eastAsia="zh-CN"/>
              </w:rPr>
              <w:t>0.034</w:t>
            </w:r>
          </w:p>
        </w:tc>
        <w:tc>
          <w:tcPr>
            <w:tcW w:w="1181" w:type="dxa"/>
            <w:vMerge w:val="continue"/>
            <w:shd w:val="clear" w:color="auto" w:fill="auto"/>
            <w:vAlign w:val="center"/>
          </w:tcPr>
          <w:p w14:paraId="26B9F772">
            <w:pPr>
              <w:pStyle w:val="26"/>
              <w:bidi w:val="0"/>
              <w:rPr>
                <w:rFonts w:hint="eastAsia"/>
                <w:lang w:val="en-US" w:eastAsia="zh-CN"/>
              </w:rPr>
            </w:pPr>
          </w:p>
        </w:tc>
        <w:tc>
          <w:tcPr>
            <w:tcW w:w="716" w:type="dxa"/>
            <w:vMerge w:val="continue"/>
            <w:shd w:val="clear" w:color="auto" w:fill="auto"/>
            <w:vAlign w:val="center"/>
          </w:tcPr>
          <w:p w14:paraId="565A5477">
            <w:pPr>
              <w:pStyle w:val="26"/>
              <w:bidi w:val="0"/>
              <w:rPr>
                <w:rFonts w:hint="eastAsia"/>
                <w:lang w:val="en-US" w:eastAsia="zh-CN"/>
              </w:rPr>
            </w:pPr>
          </w:p>
        </w:tc>
      </w:tr>
      <w:tr w14:paraId="7064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624FFC23">
            <w:pPr>
              <w:pStyle w:val="26"/>
              <w:bidi w:val="0"/>
              <w:rPr>
                <w:rFonts w:hint="eastAsia"/>
                <w:lang w:val="en-US" w:eastAsia="zh-CN"/>
              </w:rPr>
            </w:pPr>
          </w:p>
        </w:tc>
        <w:tc>
          <w:tcPr>
            <w:tcW w:w="797" w:type="dxa"/>
            <w:vMerge w:val="continue"/>
            <w:shd w:val="clear" w:color="auto" w:fill="auto"/>
            <w:vAlign w:val="center"/>
          </w:tcPr>
          <w:p w14:paraId="354D296B">
            <w:pPr>
              <w:pStyle w:val="26"/>
              <w:bidi w:val="0"/>
              <w:rPr>
                <w:rFonts w:hint="eastAsia"/>
                <w:lang w:val="en-US" w:eastAsia="zh-CN"/>
              </w:rPr>
            </w:pPr>
          </w:p>
        </w:tc>
        <w:tc>
          <w:tcPr>
            <w:tcW w:w="1937" w:type="dxa"/>
            <w:shd w:val="clear" w:color="auto" w:fill="auto"/>
            <w:vAlign w:val="center"/>
          </w:tcPr>
          <w:p w14:paraId="1A0E016A">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2DC45ACA">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EBE22FB">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37195CB3">
            <w:pPr>
              <w:pStyle w:val="26"/>
              <w:bidi w:val="0"/>
              <w:rPr>
                <w:rFonts w:hint="default"/>
                <w:lang w:val="en-US" w:eastAsia="zh-CN"/>
              </w:rPr>
            </w:pPr>
            <w:r>
              <w:rPr>
                <w:rFonts w:hint="eastAsia"/>
                <w:lang w:val="en-US" w:eastAsia="zh-CN"/>
              </w:rPr>
              <w:t>0.027</w:t>
            </w:r>
          </w:p>
        </w:tc>
        <w:tc>
          <w:tcPr>
            <w:tcW w:w="1181" w:type="dxa"/>
            <w:vMerge w:val="continue"/>
            <w:shd w:val="clear" w:color="auto" w:fill="auto"/>
            <w:vAlign w:val="center"/>
          </w:tcPr>
          <w:p w14:paraId="6F734410">
            <w:pPr>
              <w:pStyle w:val="26"/>
              <w:bidi w:val="0"/>
              <w:rPr>
                <w:rFonts w:hint="eastAsia"/>
                <w:lang w:val="en-US" w:eastAsia="zh-CN"/>
              </w:rPr>
            </w:pPr>
          </w:p>
        </w:tc>
        <w:tc>
          <w:tcPr>
            <w:tcW w:w="716" w:type="dxa"/>
            <w:vMerge w:val="continue"/>
            <w:shd w:val="clear" w:color="auto" w:fill="auto"/>
            <w:vAlign w:val="center"/>
          </w:tcPr>
          <w:p w14:paraId="19CA9E06">
            <w:pPr>
              <w:pStyle w:val="26"/>
              <w:bidi w:val="0"/>
              <w:rPr>
                <w:rFonts w:hint="eastAsia"/>
                <w:lang w:val="en-US" w:eastAsia="zh-CN"/>
              </w:rPr>
            </w:pPr>
          </w:p>
        </w:tc>
      </w:tr>
      <w:tr w14:paraId="5945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CD9B0E7">
            <w:pPr>
              <w:pStyle w:val="26"/>
              <w:bidi w:val="0"/>
              <w:rPr>
                <w:rFonts w:hint="eastAsia"/>
                <w:lang w:val="en-US" w:eastAsia="zh-CN"/>
              </w:rPr>
            </w:pPr>
          </w:p>
        </w:tc>
        <w:tc>
          <w:tcPr>
            <w:tcW w:w="797" w:type="dxa"/>
            <w:vMerge w:val="restart"/>
            <w:shd w:val="clear" w:color="auto" w:fill="auto"/>
            <w:vAlign w:val="center"/>
          </w:tcPr>
          <w:p w14:paraId="2D01C982">
            <w:pPr>
              <w:pStyle w:val="26"/>
              <w:bidi w:val="0"/>
              <w:rPr>
                <w:rFonts w:hint="eastAsia"/>
                <w:lang w:val="en-US" w:eastAsia="zh-CN"/>
              </w:rPr>
            </w:pPr>
            <w:r>
              <w:rPr>
                <w:rFonts w:hint="eastAsia"/>
                <w:lang w:val="en-US" w:eastAsia="zh-CN"/>
              </w:rPr>
              <w:t>2026.04.11</w:t>
            </w:r>
          </w:p>
        </w:tc>
        <w:tc>
          <w:tcPr>
            <w:tcW w:w="1937" w:type="dxa"/>
            <w:shd w:val="clear" w:color="auto" w:fill="auto"/>
            <w:vAlign w:val="center"/>
          </w:tcPr>
          <w:p w14:paraId="2507F837">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331B2BA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254F87F">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36FE0D96">
            <w:pPr>
              <w:pStyle w:val="26"/>
              <w:bidi w:val="0"/>
              <w:rPr>
                <w:rFonts w:hint="default"/>
                <w:lang w:val="en-US" w:eastAsia="zh-CN"/>
              </w:rPr>
            </w:pPr>
            <w:r>
              <w:rPr>
                <w:rFonts w:hint="eastAsia"/>
                <w:lang w:val="en-US" w:eastAsia="zh-CN"/>
              </w:rPr>
              <w:t>0.028</w:t>
            </w:r>
          </w:p>
        </w:tc>
        <w:tc>
          <w:tcPr>
            <w:tcW w:w="1181" w:type="dxa"/>
            <w:vMerge w:val="restart"/>
            <w:shd w:val="clear" w:color="auto" w:fill="auto"/>
            <w:vAlign w:val="center"/>
          </w:tcPr>
          <w:p w14:paraId="73C7F32E">
            <w:pPr>
              <w:pStyle w:val="26"/>
              <w:bidi w:val="0"/>
              <w:rPr>
                <w:rFonts w:hint="eastAsia"/>
                <w:lang w:val="en-US" w:eastAsia="zh-CN"/>
              </w:rPr>
            </w:pPr>
            <w:r>
              <w:rPr>
                <w:rFonts w:hint="eastAsia"/>
                <w:lang w:val="en-US" w:eastAsia="zh-CN"/>
              </w:rPr>
              <w:t>00：00~24：00</w:t>
            </w:r>
          </w:p>
          <w:p w14:paraId="671A519E">
            <w:pPr>
              <w:pStyle w:val="26"/>
              <w:bidi w:val="0"/>
              <w:rPr>
                <w:rFonts w:hint="eastAsia"/>
                <w:lang w:val="en-US" w:eastAsia="zh-CN"/>
              </w:rPr>
            </w:pPr>
          </w:p>
        </w:tc>
        <w:tc>
          <w:tcPr>
            <w:tcW w:w="716" w:type="dxa"/>
            <w:vMerge w:val="restart"/>
            <w:shd w:val="clear" w:color="auto" w:fill="auto"/>
            <w:vAlign w:val="center"/>
          </w:tcPr>
          <w:p w14:paraId="48DC0C61">
            <w:pPr>
              <w:pStyle w:val="26"/>
              <w:bidi w:val="0"/>
              <w:rPr>
                <w:rFonts w:hint="default"/>
                <w:lang w:val="en-US" w:eastAsia="zh-CN"/>
              </w:rPr>
            </w:pPr>
            <w:r>
              <w:rPr>
                <w:rFonts w:hint="eastAsia"/>
                <w:lang w:val="en-US" w:eastAsia="zh-CN"/>
              </w:rPr>
              <w:t>0.084</w:t>
            </w:r>
          </w:p>
        </w:tc>
      </w:tr>
      <w:tr w14:paraId="0831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260F83A">
            <w:pPr>
              <w:pStyle w:val="26"/>
              <w:bidi w:val="0"/>
              <w:rPr>
                <w:rFonts w:hint="eastAsia"/>
                <w:lang w:val="en-US" w:eastAsia="zh-CN"/>
              </w:rPr>
            </w:pPr>
          </w:p>
        </w:tc>
        <w:tc>
          <w:tcPr>
            <w:tcW w:w="797" w:type="dxa"/>
            <w:vMerge w:val="continue"/>
            <w:shd w:val="clear" w:color="auto" w:fill="auto"/>
            <w:vAlign w:val="center"/>
          </w:tcPr>
          <w:p w14:paraId="535B8ED2">
            <w:pPr>
              <w:pStyle w:val="26"/>
              <w:bidi w:val="0"/>
              <w:rPr>
                <w:rFonts w:hint="eastAsia"/>
                <w:lang w:val="en-US" w:eastAsia="zh-CN"/>
              </w:rPr>
            </w:pPr>
          </w:p>
        </w:tc>
        <w:tc>
          <w:tcPr>
            <w:tcW w:w="1937" w:type="dxa"/>
            <w:shd w:val="clear" w:color="auto" w:fill="auto"/>
            <w:vAlign w:val="center"/>
          </w:tcPr>
          <w:p w14:paraId="0DA8C288">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4D2A61E5">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7552960">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70AD437A">
            <w:pPr>
              <w:pStyle w:val="26"/>
              <w:bidi w:val="0"/>
              <w:rPr>
                <w:rFonts w:hint="default"/>
                <w:lang w:val="en-US" w:eastAsia="zh-CN"/>
              </w:rPr>
            </w:pPr>
            <w:r>
              <w:rPr>
                <w:rFonts w:hint="eastAsia"/>
                <w:lang w:val="en-US" w:eastAsia="zh-CN"/>
              </w:rPr>
              <w:t>0.030</w:t>
            </w:r>
          </w:p>
        </w:tc>
        <w:tc>
          <w:tcPr>
            <w:tcW w:w="1181" w:type="dxa"/>
            <w:vMerge w:val="continue"/>
            <w:shd w:val="clear" w:color="auto" w:fill="auto"/>
            <w:vAlign w:val="center"/>
          </w:tcPr>
          <w:p w14:paraId="561D7F68">
            <w:pPr>
              <w:pStyle w:val="26"/>
              <w:bidi w:val="0"/>
              <w:rPr>
                <w:rFonts w:hint="eastAsia"/>
                <w:lang w:val="en-US" w:eastAsia="zh-CN"/>
              </w:rPr>
            </w:pPr>
          </w:p>
        </w:tc>
        <w:tc>
          <w:tcPr>
            <w:tcW w:w="716" w:type="dxa"/>
            <w:vMerge w:val="continue"/>
            <w:shd w:val="clear" w:color="auto" w:fill="auto"/>
            <w:vAlign w:val="center"/>
          </w:tcPr>
          <w:p w14:paraId="404EA738">
            <w:pPr>
              <w:pStyle w:val="26"/>
              <w:bidi w:val="0"/>
              <w:rPr>
                <w:rFonts w:hint="eastAsia"/>
                <w:lang w:val="en-US" w:eastAsia="zh-CN"/>
              </w:rPr>
            </w:pPr>
          </w:p>
        </w:tc>
      </w:tr>
      <w:tr w14:paraId="2DB6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35084F58">
            <w:pPr>
              <w:pStyle w:val="26"/>
              <w:bidi w:val="0"/>
              <w:rPr>
                <w:rFonts w:hint="eastAsia"/>
                <w:lang w:val="en-US" w:eastAsia="zh-CN"/>
              </w:rPr>
            </w:pPr>
          </w:p>
        </w:tc>
        <w:tc>
          <w:tcPr>
            <w:tcW w:w="797" w:type="dxa"/>
            <w:vMerge w:val="continue"/>
            <w:shd w:val="clear" w:color="auto" w:fill="auto"/>
            <w:vAlign w:val="center"/>
          </w:tcPr>
          <w:p w14:paraId="3723B966">
            <w:pPr>
              <w:pStyle w:val="26"/>
              <w:bidi w:val="0"/>
              <w:rPr>
                <w:rFonts w:hint="eastAsia"/>
                <w:lang w:val="en-US" w:eastAsia="zh-CN"/>
              </w:rPr>
            </w:pPr>
          </w:p>
        </w:tc>
        <w:tc>
          <w:tcPr>
            <w:tcW w:w="1937" w:type="dxa"/>
            <w:shd w:val="clear" w:color="auto" w:fill="auto"/>
            <w:vAlign w:val="center"/>
          </w:tcPr>
          <w:p w14:paraId="53D9BE55">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13DDF518">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5EFE90F">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75CB23D6">
            <w:pPr>
              <w:pStyle w:val="26"/>
              <w:bidi w:val="0"/>
              <w:rPr>
                <w:rFonts w:hint="default"/>
                <w:lang w:val="en-US" w:eastAsia="zh-CN"/>
              </w:rPr>
            </w:pPr>
            <w:r>
              <w:rPr>
                <w:rFonts w:hint="eastAsia"/>
                <w:lang w:val="en-US" w:eastAsia="zh-CN"/>
              </w:rPr>
              <w:t>0.024</w:t>
            </w:r>
          </w:p>
        </w:tc>
        <w:tc>
          <w:tcPr>
            <w:tcW w:w="1181" w:type="dxa"/>
            <w:vMerge w:val="continue"/>
            <w:shd w:val="clear" w:color="auto" w:fill="auto"/>
            <w:vAlign w:val="center"/>
          </w:tcPr>
          <w:p w14:paraId="0373E6F3">
            <w:pPr>
              <w:pStyle w:val="26"/>
              <w:bidi w:val="0"/>
              <w:rPr>
                <w:rFonts w:hint="eastAsia"/>
                <w:lang w:val="en-US" w:eastAsia="zh-CN"/>
              </w:rPr>
            </w:pPr>
          </w:p>
        </w:tc>
        <w:tc>
          <w:tcPr>
            <w:tcW w:w="716" w:type="dxa"/>
            <w:vMerge w:val="continue"/>
            <w:shd w:val="clear" w:color="auto" w:fill="auto"/>
            <w:vAlign w:val="center"/>
          </w:tcPr>
          <w:p w14:paraId="3DF1E767">
            <w:pPr>
              <w:pStyle w:val="26"/>
              <w:bidi w:val="0"/>
              <w:rPr>
                <w:rFonts w:hint="eastAsia"/>
                <w:lang w:val="en-US" w:eastAsia="zh-CN"/>
              </w:rPr>
            </w:pPr>
          </w:p>
        </w:tc>
      </w:tr>
      <w:tr w14:paraId="5F7E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71A58DB1">
            <w:pPr>
              <w:pStyle w:val="26"/>
              <w:bidi w:val="0"/>
              <w:rPr>
                <w:rFonts w:hint="eastAsia"/>
                <w:lang w:val="en-US" w:eastAsia="zh-CN"/>
              </w:rPr>
            </w:pPr>
          </w:p>
        </w:tc>
        <w:tc>
          <w:tcPr>
            <w:tcW w:w="797" w:type="dxa"/>
            <w:vMerge w:val="continue"/>
            <w:shd w:val="clear" w:color="auto" w:fill="auto"/>
            <w:vAlign w:val="center"/>
          </w:tcPr>
          <w:p w14:paraId="577585B2">
            <w:pPr>
              <w:pStyle w:val="26"/>
              <w:bidi w:val="0"/>
              <w:rPr>
                <w:rFonts w:hint="eastAsia"/>
                <w:lang w:val="en-US" w:eastAsia="zh-CN"/>
              </w:rPr>
            </w:pPr>
          </w:p>
        </w:tc>
        <w:tc>
          <w:tcPr>
            <w:tcW w:w="1937" w:type="dxa"/>
            <w:shd w:val="clear" w:color="auto" w:fill="auto"/>
            <w:vAlign w:val="center"/>
          </w:tcPr>
          <w:p w14:paraId="241660EC">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61B4A68E">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3A7C14AD">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09A04D9B">
            <w:pPr>
              <w:pStyle w:val="26"/>
              <w:bidi w:val="0"/>
              <w:rPr>
                <w:rFonts w:hint="default"/>
                <w:lang w:val="en-US" w:eastAsia="zh-CN"/>
              </w:rPr>
            </w:pPr>
            <w:r>
              <w:rPr>
                <w:rFonts w:hint="eastAsia"/>
                <w:lang w:val="en-US" w:eastAsia="zh-CN"/>
              </w:rPr>
              <w:t>0.026</w:t>
            </w:r>
          </w:p>
        </w:tc>
        <w:tc>
          <w:tcPr>
            <w:tcW w:w="1181" w:type="dxa"/>
            <w:vMerge w:val="continue"/>
            <w:shd w:val="clear" w:color="auto" w:fill="auto"/>
            <w:vAlign w:val="center"/>
          </w:tcPr>
          <w:p w14:paraId="22F52A0D">
            <w:pPr>
              <w:pStyle w:val="26"/>
              <w:bidi w:val="0"/>
              <w:rPr>
                <w:rFonts w:hint="eastAsia"/>
                <w:lang w:val="en-US" w:eastAsia="zh-CN"/>
              </w:rPr>
            </w:pPr>
          </w:p>
        </w:tc>
        <w:tc>
          <w:tcPr>
            <w:tcW w:w="716" w:type="dxa"/>
            <w:vMerge w:val="continue"/>
            <w:shd w:val="clear" w:color="auto" w:fill="auto"/>
            <w:vAlign w:val="center"/>
          </w:tcPr>
          <w:p w14:paraId="0B732385">
            <w:pPr>
              <w:pStyle w:val="26"/>
              <w:bidi w:val="0"/>
              <w:rPr>
                <w:rFonts w:hint="eastAsia"/>
                <w:lang w:val="en-US" w:eastAsia="zh-CN"/>
              </w:rPr>
            </w:pPr>
          </w:p>
        </w:tc>
      </w:tr>
      <w:tr w14:paraId="18ED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4AF36140">
            <w:pPr>
              <w:pStyle w:val="26"/>
              <w:bidi w:val="0"/>
              <w:rPr>
                <w:rFonts w:hint="eastAsia"/>
                <w:lang w:val="en-US" w:eastAsia="zh-CN"/>
              </w:rPr>
            </w:pPr>
          </w:p>
        </w:tc>
        <w:tc>
          <w:tcPr>
            <w:tcW w:w="797" w:type="dxa"/>
            <w:vMerge w:val="restart"/>
            <w:shd w:val="clear" w:color="auto" w:fill="auto"/>
            <w:vAlign w:val="center"/>
          </w:tcPr>
          <w:p w14:paraId="6E457C24">
            <w:pPr>
              <w:pStyle w:val="26"/>
              <w:bidi w:val="0"/>
              <w:rPr>
                <w:rFonts w:hint="eastAsia"/>
                <w:lang w:val="en-US" w:eastAsia="zh-CN"/>
              </w:rPr>
            </w:pPr>
            <w:r>
              <w:rPr>
                <w:rFonts w:hint="eastAsia"/>
                <w:lang w:val="en-US" w:eastAsia="zh-CN"/>
              </w:rPr>
              <w:t>2026.04.12</w:t>
            </w:r>
          </w:p>
        </w:tc>
        <w:tc>
          <w:tcPr>
            <w:tcW w:w="1937" w:type="dxa"/>
            <w:shd w:val="clear" w:color="auto" w:fill="auto"/>
            <w:vAlign w:val="center"/>
          </w:tcPr>
          <w:p w14:paraId="1F409CF0">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6AAD710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152AA42F">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5C6ACE81">
            <w:pPr>
              <w:pStyle w:val="26"/>
              <w:bidi w:val="0"/>
              <w:rPr>
                <w:rFonts w:hint="default"/>
                <w:lang w:val="en-US" w:eastAsia="zh-CN"/>
              </w:rPr>
            </w:pPr>
            <w:r>
              <w:rPr>
                <w:rFonts w:hint="eastAsia"/>
                <w:lang w:val="en-US" w:eastAsia="zh-CN"/>
              </w:rPr>
              <w:t>0.023</w:t>
            </w:r>
          </w:p>
        </w:tc>
        <w:tc>
          <w:tcPr>
            <w:tcW w:w="1181" w:type="dxa"/>
            <w:vMerge w:val="restart"/>
            <w:shd w:val="clear" w:color="auto" w:fill="auto"/>
            <w:vAlign w:val="center"/>
          </w:tcPr>
          <w:p w14:paraId="382E5B50">
            <w:pPr>
              <w:pStyle w:val="26"/>
              <w:bidi w:val="0"/>
              <w:rPr>
                <w:rFonts w:hint="eastAsia"/>
                <w:lang w:val="en-US" w:eastAsia="zh-CN"/>
              </w:rPr>
            </w:pPr>
            <w:r>
              <w:rPr>
                <w:rFonts w:hint="eastAsia"/>
                <w:lang w:val="en-US" w:eastAsia="zh-CN"/>
              </w:rPr>
              <w:t>00：00~24：00</w:t>
            </w:r>
          </w:p>
          <w:p w14:paraId="032F4E77">
            <w:pPr>
              <w:pStyle w:val="26"/>
              <w:bidi w:val="0"/>
              <w:rPr>
                <w:rFonts w:hint="eastAsia"/>
                <w:lang w:val="en-US" w:eastAsia="zh-CN"/>
              </w:rPr>
            </w:pPr>
          </w:p>
        </w:tc>
        <w:tc>
          <w:tcPr>
            <w:tcW w:w="716" w:type="dxa"/>
            <w:vMerge w:val="restart"/>
            <w:shd w:val="clear" w:color="auto" w:fill="auto"/>
            <w:vAlign w:val="center"/>
          </w:tcPr>
          <w:p w14:paraId="0BB84ADF">
            <w:pPr>
              <w:pStyle w:val="26"/>
              <w:bidi w:val="0"/>
              <w:rPr>
                <w:rFonts w:hint="default"/>
                <w:lang w:val="en-US" w:eastAsia="zh-CN"/>
              </w:rPr>
            </w:pPr>
            <w:r>
              <w:rPr>
                <w:rFonts w:hint="eastAsia"/>
                <w:lang w:val="en-US" w:eastAsia="zh-CN"/>
              </w:rPr>
              <w:t>0.021</w:t>
            </w:r>
          </w:p>
        </w:tc>
      </w:tr>
      <w:tr w14:paraId="19FE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5C28695A">
            <w:pPr>
              <w:pStyle w:val="26"/>
              <w:bidi w:val="0"/>
              <w:rPr>
                <w:rFonts w:hint="eastAsia"/>
                <w:lang w:val="en-US" w:eastAsia="zh-CN"/>
              </w:rPr>
            </w:pPr>
          </w:p>
        </w:tc>
        <w:tc>
          <w:tcPr>
            <w:tcW w:w="797" w:type="dxa"/>
            <w:vMerge w:val="continue"/>
            <w:shd w:val="clear" w:color="auto" w:fill="auto"/>
            <w:vAlign w:val="center"/>
          </w:tcPr>
          <w:p w14:paraId="7D2C52A3">
            <w:pPr>
              <w:pStyle w:val="26"/>
              <w:bidi w:val="0"/>
              <w:rPr>
                <w:rFonts w:hint="eastAsia"/>
                <w:lang w:val="en-US" w:eastAsia="zh-CN"/>
              </w:rPr>
            </w:pPr>
          </w:p>
        </w:tc>
        <w:tc>
          <w:tcPr>
            <w:tcW w:w="1937" w:type="dxa"/>
            <w:shd w:val="clear" w:color="auto" w:fill="auto"/>
            <w:vAlign w:val="center"/>
          </w:tcPr>
          <w:p w14:paraId="02E73A2F">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59D61805">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A66A21F">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6DA6C38C">
            <w:pPr>
              <w:pStyle w:val="26"/>
              <w:bidi w:val="0"/>
              <w:rPr>
                <w:rFonts w:hint="default"/>
                <w:lang w:val="en-US" w:eastAsia="zh-CN"/>
              </w:rPr>
            </w:pPr>
            <w:r>
              <w:rPr>
                <w:rFonts w:hint="eastAsia"/>
                <w:lang w:val="en-US" w:eastAsia="zh-CN"/>
              </w:rPr>
              <w:t>0.027</w:t>
            </w:r>
          </w:p>
        </w:tc>
        <w:tc>
          <w:tcPr>
            <w:tcW w:w="1181" w:type="dxa"/>
            <w:vMerge w:val="continue"/>
            <w:shd w:val="clear" w:color="auto" w:fill="auto"/>
            <w:vAlign w:val="center"/>
          </w:tcPr>
          <w:p w14:paraId="7744A9C3">
            <w:pPr>
              <w:pStyle w:val="26"/>
              <w:bidi w:val="0"/>
              <w:rPr>
                <w:rFonts w:hint="eastAsia"/>
                <w:lang w:val="en-US" w:eastAsia="zh-CN"/>
              </w:rPr>
            </w:pPr>
          </w:p>
        </w:tc>
        <w:tc>
          <w:tcPr>
            <w:tcW w:w="716" w:type="dxa"/>
            <w:vMerge w:val="continue"/>
            <w:shd w:val="clear" w:color="auto" w:fill="auto"/>
            <w:vAlign w:val="center"/>
          </w:tcPr>
          <w:p w14:paraId="6BC59CE2">
            <w:pPr>
              <w:pStyle w:val="26"/>
              <w:bidi w:val="0"/>
              <w:rPr>
                <w:rFonts w:hint="eastAsia"/>
                <w:lang w:val="en-US" w:eastAsia="zh-CN"/>
              </w:rPr>
            </w:pPr>
          </w:p>
        </w:tc>
      </w:tr>
      <w:tr w14:paraId="2B34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35480DC">
            <w:pPr>
              <w:pStyle w:val="26"/>
              <w:bidi w:val="0"/>
              <w:rPr>
                <w:rFonts w:hint="eastAsia"/>
                <w:lang w:val="en-US" w:eastAsia="zh-CN"/>
              </w:rPr>
            </w:pPr>
          </w:p>
        </w:tc>
        <w:tc>
          <w:tcPr>
            <w:tcW w:w="797" w:type="dxa"/>
            <w:vMerge w:val="continue"/>
            <w:shd w:val="clear" w:color="auto" w:fill="auto"/>
            <w:vAlign w:val="center"/>
          </w:tcPr>
          <w:p w14:paraId="699E5A2E">
            <w:pPr>
              <w:pStyle w:val="26"/>
              <w:bidi w:val="0"/>
              <w:rPr>
                <w:rFonts w:hint="eastAsia"/>
                <w:lang w:val="en-US" w:eastAsia="zh-CN"/>
              </w:rPr>
            </w:pPr>
          </w:p>
        </w:tc>
        <w:tc>
          <w:tcPr>
            <w:tcW w:w="1937" w:type="dxa"/>
            <w:shd w:val="clear" w:color="auto" w:fill="auto"/>
            <w:vAlign w:val="center"/>
          </w:tcPr>
          <w:p w14:paraId="282FF61A">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19D22FFD">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079A670F">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75872F10">
            <w:pPr>
              <w:pStyle w:val="26"/>
              <w:bidi w:val="0"/>
              <w:rPr>
                <w:rFonts w:hint="default"/>
                <w:lang w:val="en-US" w:eastAsia="zh-CN"/>
              </w:rPr>
            </w:pPr>
            <w:r>
              <w:rPr>
                <w:rFonts w:hint="eastAsia"/>
                <w:lang w:val="en-US" w:eastAsia="zh-CN"/>
              </w:rPr>
              <w:t>0.022</w:t>
            </w:r>
          </w:p>
        </w:tc>
        <w:tc>
          <w:tcPr>
            <w:tcW w:w="1181" w:type="dxa"/>
            <w:vMerge w:val="continue"/>
            <w:shd w:val="clear" w:color="auto" w:fill="auto"/>
            <w:vAlign w:val="center"/>
          </w:tcPr>
          <w:p w14:paraId="563D98B2">
            <w:pPr>
              <w:pStyle w:val="26"/>
              <w:bidi w:val="0"/>
              <w:rPr>
                <w:rFonts w:hint="eastAsia"/>
                <w:lang w:val="en-US" w:eastAsia="zh-CN"/>
              </w:rPr>
            </w:pPr>
          </w:p>
        </w:tc>
        <w:tc>
          <w:tcPr>
            <w:tcW w:w="716" w:type="dxa"/>
            <w:vMerge w:val="continue"/>
            <w:shd w:val="clear" w:color="auto" w:fill="auto"/>
            <w:vAlign w:val="center"/>
          </w:tcPr>
          <w:p w14:paraId="4FECF683">
            <w:pPr>
              <w:pStyle w:val="26"/>
              <w:bidi w:val="0"/>
              <w:rPr>
                <w:rFonts w:hint="eastAsia"/>
                <w:lang w:val="en-US" w:eastAsia="zh-CN"/>
              </w:rPr>
            </w:pPr>
          </w:p>
        </w:tc>
      </w:tr>
      <w:tr w14:paraId="6A53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0476F2F1">
            <w:pPr>
              <w:pStyle w:val="26"/>
              <w:bidi w:val="0"/>
              <w:rPr>
                <w:rFonts w:hint="eastAsia"/>
                <w:lang w:val="en-US" w:eastAsia="zh-CN"/>
              </w:rPr>
            </w:pPr>
          </w:p>
        </w:tc>
        <w:tc>
          <w:tcPr>
            <w:tcW w:w="797" w:type="dxa"/>
            <w:vMerge w:val="continue"/>
            <w:shd w:val="clear" w:color="auto" w:fill="auto"/>
            <w:vAlign w:val="center"/>
          </w:tcPr>
          <w:p w14:paraId="38671B8B">
            <w:pPr>
              <w:pStyle w:val="26"/>
              <w:bidi w:val="0"/>
              <w:rPr>
                <w:rFonts w:hint="eastAsia"/>
                <w:lang w:val="en-US" w:eastAsia="zh-CN"/>
              </w:rPr>
            </w:pPr>
          </w:p>
        </w:tc>
        <w:tc>
          <w:tcPr>
            <w:tcW w:w="1937" w:type="dxa"/>
            <w:shd w:val="clear" w:color="auto" w:fill="auto"/>
            <w:vAlign w:val="center"/>
          </w:tcPr>
          <w:p w14:paraId="4FD4C154">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6CAB7578">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6379F6CE">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5BE2AFEE">
            <w:pPr>
              <w:pStyle w:val="26"/>
              <w:bidi w:val="0"/>
              <w:rPr>
                <w:rFonts w:hint="default"/>
                <w:lang w:val="en-US" w:eastAsia="zh-CN"/>
              </w:rPr>
            </w:pPr>
            <w:r>
              <w:rPr>
                <w:rFonts w:hint="eastAsia"/>
                <w:lang w:val="en-US" w:eastAsia="zh-CN"/>
              </w:rPr>
              <w:t>0.028</w:t>
            </w:r>
          </w:p>
        </w:tc>
        <w:tc>
          <w:tcPr>
            <w:tcW w:w="1181" w:type="dxa"/>
            <w:vMerge w:val="continue"/>
            <w:shd w:val="clear" w:color="auto" w:fill="auto"/>
            <w:vAlign w:val="center"/>
          </w:tcPr>
          <w:p w14:paraId="33D424F5">
            <w:pPr>
              <w:pStyle w:val="26"/>
              <w:bidi w:val="0"/>
              <w:rPr>
                <w:rFonts w:hint="eastAsia"/>
                <w:lang w:val="en-US" w:eastAsia="zh-CN"/>
              </w:rPr>
            </w:pPr>
          </w:p>
        </w:tc>
        <w:tc>
          <w:tcPr>
            <w:tcW w:w="716" w:type="dxa"/>
            <w:vMerge w:val="continue"/>
            <w:shd w:val="clear" w:color="auto" w:fill="auto"/>
            <w:vAlign w:val="center"/>
          </w:tcPr>
          <w:p w14:paraId="209C798E">
            <w:pPr>
              <w:pStyle w:val="26"/>
              <w:bidi w:val="0"/>
              <w:rPr>
                <w:rFonts w:hint="eastAsia"/>
                <w:lang w:val="en-US" w:eastAsia="zh-CN"/>
              </w:rPr>
            </w:pPr>
          </w:p>
        </w:tc>
      </w:tr>
      <w:tr w14:paraId="1013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2" w:type="dxa"/>
            <w:vMerge w:val="continue"/>
            <w:shd w:val="clear" w:color="auto" w:fill="auto"/>
            <w:vAlign w:val="center"/>
          </w:tcPr>
          <w:p w14:paraId="4BAF36FB">
            <w:pPr>
              <w:pStyle w:val="26"/>
              <w:bidi w:val="0"/>
              <w:rPr>
                <w:rFonts w:hint="eastAsia"/>
                <w:lang w:val="en-US" w:eastAsia="zh-CN"/>
              </w:rPr>
            </w:pPr>
          </w:p>
        </w:tc>
        <w:tc>
          <w:tcPr>
            <w:tcW w:w="797" w:type="dxa"/>
            <w:vMerge w:val="restart"/>
            <w:shd w:val="clear" w:color="auto" w:fill="auto"/>
            <w:vAlign w:val="center"/>
          </w:tcPr>
          <w:p w14:paraId="252D9829">
            <w:pPr>
              <w:pStyle w:val="26"/>
              <w:bidi w:val="0"/>
              <w:rPr>
                <w:rFonts w:hint="eastAsia"/>
                <w:lang w:val="en-US" w:eastAsia="zh-CN"/>
              </w:rPr>
            </w:pPr>
            <w:r>
              <w:rPr>
                <w:rFonts w:hint="eastAsia"/>
                <w:lang w:val="en-US" w:eastAsia="zh-CN"/>
              </w:rPr>
              <w:t>2026.04.13</w:t>
            </w:r>
          </w:p>
        </w:tc>
        <w:tc>
          <w:tcPr>
            <w:tcW w:w="1937" w:type="dxa"/>
            <w:shd w:val="clear" w:color="auto" w:fill="auto"/>
            <w:vAlign w:val="center"/>
          </w:tcPr>
          <w:p w14:paraId="1EB2C54E">
            <w:pPr>
              <w:pStyle w:val="26"/>
              <w:bidi w:val="0"/>
              <w:rPr>
                <w:rFonts w:hint="eastAsia"/>
                <w:lang w:val="en-US" w:eastAsia="zh-CN"/>
              </w:rPr>
            </w:pPr>
            <w:r>
              <w:rPr>
                <w:rFonts w:hint="eastAsia"/>
                <w:lang w:val="en-US" w:eastAsia="zh-CN"/>
              </w:rPr>
              <w:t>2：00~3：10</w:t>
            </w:r>
          </w:p>
        </w:tc>
        <w:tc>
          <w:tcPr>
            <w:tcW w:w="737" w:type="dxa"/>
            <w:shd w:val="clear" w:color="auto" w:fill="auto"/>
            <w:vAlign w:val="center"/>
          </w:tcPr>
          <w:p w14:paraId="6BEC3F91">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26AE4E9">
            <w:pPr>
              <w:pStyle w:val="26"/>
              <w:bidi w:val="0"/>
              <w:rPr>
                <w:rFonts w:hint="eastAsia"/>
                <w:lang w:val="en-US" w:eastAsia="zh-CN"/>
              </w:rPr>
            </w:pPr>
            <w:r>
              <w:rPr>
                <w:rFonts w:hint="eastAsia"/>
                <w:lang w:val="en-US" w:eastAsia="zh-CN"/>
              </w:rPr>
              <w:t>2：00~3：00</w:t>
            </w:r>
          </w:p>
        </w:tc>
        <w:tc>
          <w:tcPr>
            <w:tcW w:w="843" w:type="dxa"/>
            <w:shd w:val="clear" w:color="auto" w:fill="auto"/>
            <w:vAlign w:val="center"/>
          </w:tcPr>
          <w:p w14:paraId="1E1474C6">
            <w:pPr>
              <w:pStyle w:val="26"/>
              <w:bidi w:val="0"/>
              <w:rPr>
                <w:rFonts w:hint="default"/>
                <w:lang w:val="en-US" w:eastAsia="zh-CN"/>
              </w:rPr>
            </w:pPr>
            <w:r>
              <w:rPr>
                <w:rFonts w:hint="eastAsia"/>
                <w:lang w:val="en-US" w:eastAsia="zh-CN"/>
              </w:rPr>
              <w:t>0.025</w:t>
            </w:r>
          </w:p>
        </w:tc>
        <w:tc>
          <w:tcPr>
            <w:tcW w:w="1181" w:type="dxa"/>
            <w:vMerge w:val="restart"/>
            <w:shd w:val="clear" w:color="auto" w:fill="auto"/>
            <w:vAlign w:val="center"/>
          </w:tcPr>
          <w:p w14:paraId="25404562">
            <w:pPr>
              <w:pStyle w:val="26"/>
              <w:bidi w:val="0"/>
              <w:rPr>
                <w:rFonts w:hint="eastAsia"/>
                <w:lang w:val="en-US" w:eastAsia="zh-CN"/>
              </w:rPr>
            </w:pPr>
            <w:r>
              <w:rPr>
                <w:rFonts w:hint="eastAsia"/>
                <w:lang w:val="en-US" w:eastAsia="zh-CN"/>
              </w:rPr>
              <w:t>00：00~24：00</w:t>
            </w:r>
          </w:p>
        </w:tc>
        <w:tc>
          <w:tcPr>
            <w:tcW w:w="716" w:type="dxa"/>
            <w:vMerge w:val="restart"/>
            <w:shd w:val="clear" w:color="auto" w:fill="auto"/>
            <w:vAlign w:val="center"/>
          </w:tcPr>
          <w:p w14:paraId="028C911D">
            <w:pPr>
              <w:pStyle w:val="26"/>
              <w:bidi w:val="0"/>
              <w:rPr>
                <w:rFonts w:hint="default"/>
                <w:lang w:val="en-US" w:eastAsia="zh-CN"/>
              </w:rPr>
            </w:pPr>
            <w:r>
              <w:rPr>
                <w:rFonts w:hint="eastAsia"/>
                <w:lang w:val="en-US" w:eastAsia="zh-CN"/>
              </w:rPr>
              <w:t>0.031</w:t>
            </w:r>
          </w:p>
        </w:tc>
      </w:tr>
      <w:tr w14:paraId="1F6F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3EBA7D67">
            <w:pPr>
              <w:pStyle w:val="26"/>
              <w:bidi w:val="0"/>
              <w:rPr>
                <w:rFonts w:hint="eastAsia"/>
                <w:lang w:val="en-US" w:eastAsia="zh-CN"/>
              </w:rPr>
            </w:pPr>
          </w:p>
        </w:tc>
        <w:tc>
          <w:tcPr>
            <w:tcW w:w="797" w:type="dxa"/>
            <w:vMerge w:val="continue"/>
            <w:shd w:val="clear" w:color="auto" w:fill="auto"/>
            <w:vAlign w:val="center"/>
          </w:tcPr>
          <w:p w14:paraId="7F923F82">
            <w:pPr>
              <w:pStyle w:val="26"/>
              <w:bidi w:val="0"/>
              <w:rPr>
                <w:rFonts w:hint="eastAsia"/>
                <w:lang w:val="en-US" w:eastAsia="zh-CN"/>
              </w:rPr>
            </w:pPr>
          </w:p>
        </w:tc>
        <w:tc>
          <w:tcPr>
            <w:tcW w:w="1937" w:type="dxa"/>
            <w:shd w:val="clear" w:color="auto" w:fill="auto"/>
            <w:vAlign w:val="center"/>
          </w:tcPr>
          <w:p w14:paraId="7B16D0A8">
            <w:pPr>
              <w:pStyle w:val="26"/>
              <w:bidi w:val="0"/>
              <w:rPr>
                <w:rFonts w:hint="eastAsia"/>
                <w:lang w:val="en-US" w:eastAsia="zh-CN"/>
              </w:rPr>
            </w:pPr>
            <w:r>
              <w:rPr>
                <w:rFonts w:hint="eastAsia"/>
                <w:lang w:val="en-US" w:eastAsia="zh-CN"/>
              </w:rPr>
              <w:t>8：00~9：10</w:t>
            </w:r>
          </w:p>
        </w:tc>
        <w:tc>
          <w:tcPr>
            <w:tcW w:w="737" w:type="dxa"/>
            <w:shd w:val="clear" w:color="auto" w:fill="auto"/>
            <w:vAlign w:val="center"/>
          </w:tcPr>
          <w:p w14:paraId="336E94C8">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94C2396">
            <w:pPr>
              <w:pStyle w:val="26"/>
              <w:bidi w:val="0"/>
              <w:rPr>
                <w:rFonts w:hint="eastAsia"/>
                <w:lang w:val="en-US" w:eastAsia="zh-CN"/>
              </w:rPr>
            </w:pPr>
            <w:r>
              <w:rPr>
                <w:rFonts w:hint="eastAsia"/>
                <w:lang w:val="en-US" w:eastAsia="zh-CN"/>
              </w:rPr>
              <w:t>8：00~9：00</w:t>
            </w:r>
          </w:p>
        </w:tc>
        <w:tc>
          <w:tcPr>
            <w:tcW w:w="843" w:type="dxa"/>
            <w:shd w:val="clear" w:color="auto" w:fill="auto"/>
            <w:vAlign w:val="center"/>
          </w:tcPr>
          <w:p w14:paraId="052682B9">
            <w:pPr>
              <w:pStyle w:val="26"/>
              <w:bidi w:val="0"/>
              <w:rPr>
                <w:rFonts w:hint="default"/>
                <w:lang w:val="en-US" w:eastAsia="zh-CN"/>
              </w:rPr>
            </w:pPr>
            <w:r>
              <w:rPr>
                <w:rFonts w:hint="eastAsia"/>
                <w:lang w:val="en-US" w:eastAsia="zh-CN"/>
              </w:rPr>
              <w:t>0.032</w:t>
            </w:r>
          </w:p>
        </w:tc>
        <w:tc>
          <w:tcPr>
            <w:tcW w:w="1181" w:type="dxa"/>
            <w:vMerge w:val="continue"/>
            <w:shd w:val="clear" w:color="auto" w:fill="auto"/>
            <w:vAlign w:val="center"/>
          </w:tcPr>
          <w:p w14:paraId="3ED2B2CD">
            <w:pPr>
              <w:pStyle w:val="26"/>
              <w:bidi w:val="0"/>
              <w:rPr>
                <w:rFonts w:hint="eastAsia"/>
                <w:lang w:val="en-US" w:eastAsia="zh-CN"/>
              </w:rPr>
            </w:pPr>
          </w:p>
        </w:tc>
        <w:tc>
          <w:tcPr>
            <w:tcW w:w="716" w:type="dxa"/>
            <w:vMerge w:val="continue"/>
            <w:shd w:val="clear" w:color="auto" w:fill="auto"/>
            <w:vAlign w:val="center"/>
          </w:tcPr>
          <w:p w14:paraId="6A3DF95A">
            <w:pPr>
              <w:pStyle w:val="26"/>
              <w:bidi w:val="0"/>
              <w:rPr>
                <w:rFonts w:hint="eastAsia"/>
                <w:lang w:val="en-US" w:eastAsia="zh-CN"/>
              </w:rPr>
            </w:pPr>
          </w:p>
        </w:tc>
      </w:tr>
      <w:tr w14:paraId="50D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82" w:type="dxa"/>
            <w:vMerge w:val="continue"/>
            <w:shd w:val="clear" w:color="auto" w:fill="auto"/>
            <w:vAlign w:val="center"/>
          </w:tcPr>
          <w:p w14:paraId="7BBD8752">
            <w:pPr>
              <w:pStyle w:val="26"/>
              <w:bidi w:val="0"/>
              <w:rPr>
                <w:rFonts w:hint="eastAsia"/>
                <w:lang w:val="en-US" w:eastAsia="zh-CN"/>
              </w:rPr>
            </w:pPr>
          </w:p>
        </w:tc>
        <w:tc>
          <w:tcPr>
            <w:tcW w:w="797" w:type="dxa"/>
            <w:vMerge w:val="continue"/>
            <w:shd w:val="clear" w:color="auto" w:fill="auto"/>
            <w:vAlign w:val="center"/>
          </w:tcPr>
          <w:p w14:paraId="64E126C7">
            <w:pPr>
              <w:pStyle w:val="26"/>
              <w:bidi w:val="0"/>
              <w:rPr>
                <w:rFonts w:hint="eastAsia"/>
                <w:lang w:val="en-US" w:eastAsia="zh-CN"/>
              </w:rPr>
            </w:pPr>
          </w:p>
        </w:tc>
        <w:tc>
          <w:tcPr>
            <w:tcW w:w="1937" w:type="dxa"/>
            <w:shd w:val="clear" w:color="auto" w:fill="auto"/>
            <w:vAlign w:val="center"/>
          </w:tcPr>
          <w:p w14:paraId="33799754">
            <w:pPr>
              <w:pStyle w:val="26"/>
              <w:bidi w:val="0"/>
              <w:rPr>
                <w:rFonts w:hint="eastAsia"/>
                <w:lang w:val="en-US" w:eastAsia="zh-CN"/>
              </w:rPr>
            </w:pPr>
            <w:r>
              <w:rPr>
                <w:rFonts w:hint="eastAsia"/>
                <w:lang w:val="en-US" w:eastAsia="zh-CN"/>
              </w:rPr>
              <w:t>14：00~15：10</w:t>
            </w:r>
          </w:p>
        </w:tc>
        <w:tc>
          <w:tcPr>
            <w:tcW w:w="737" w:type="dxa"/>
            <w:shd w:val="clear" w:color="auto" w:fill="auto"/>
            <w:vAlign w:val="center"/>
          </w:tcPr>
          <w:p w14:paraId="29857079">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7E870D80">
            <w:pPr>
              <w:pStyle w:val="26"/>
              <w:bidi w:val="0"/>
              <w:rPr>
                <w:rFonts w:hint="eastAsia"/>
                <w:lang w:val="en-US" w:eastAsia="zh-CN"/>
              </w:rPr>
            </w:pPr>
            <w:r>
              <w:rPr>
                <w:rFonts w:hint="eastAsia"/>
                <w:lang w:val="en-US" w:eastAsia="zh-CN"/>
              </w:rPr>
              <w:t>14：00~15：00</w:t>
            </w:r>
          </w:p>
        </w:tc>
        <w:tc>
          <w:tcPr>
            <w:tcW w:w="843" w:type="dxa"/>
            <w:shd w:val="clear" w:color="auto" w:fill="auto"/>
            <w:vAlign w:val="center"/>
          </w:tcPr>
          <w:p w14:paraId="2AF72919">
            <w:pPr>
              <w:pStyle w:val="26"/>
              <w:bidi w:val="0"/>
              <w:rPr>
                <w:rFonts w:hint="default"/>
                <w:lang w:val="en-US" w:eastAsia="zh-CN"/>
              </w:rPr>
            </w:pPr>
            <w:r>
              <w:rPr>
                <w:rFonts w:hint="eastAsia"/>
                <w:lang w:val="en-US" w:eastAsia="zh-CN"/>
              </w:rPr>
              <w:t>0.027</w:t>
            </w:r>
          </w:p>
        </w:tc>
        <w:tc>
          <w:tcPr>
            <w:tcW w:w="1181" w:type="dxa"/>
            <w:vMerge w:val="continue"/>
            <w:shd w:val="clear" w:color="auto" w:fill="auto"/>
            <w:vAlign w:val="center"/>
          </w:tcPr>
          <w:p w14:paraId="57258B6E">
            <w:pPr>
              <w:pStyle w:val="26"/>
              <w:bidi w:val="0"/>
              <w:rPr>
                <w:rFonts w:hint="eastAsia"/>
                <w:lang w:val="en-US" w:eastAsia="zh-CN"/>
              </w:rPr>
            </w:pPr>
          </w:p>
        </w:tc>
        <w:tc>
          <w:tcPr>
            <w:tcW w:w="716" w:type="dxa"/>
            <w:vMerge w:val="continue"/>
            <w:shd w:val="clear" w:color="auto" w:fill="auto"/>
            <w:vAlign w:val="center"/>
          </w:tcPr>
          <w:p w14:paraId="6CD62B03">
            <w:pPr>
              <w:pStyle w:val="26"/>
              <w:bidi w:val="0"/>
              <w:rPr>
                <w:rFonts w:hint="eastAsia"/>
                <w:lang w:val="en-US" w:eastAsia="zh-CN"/>
              </w:rPr>
            </w:pPr>
          </w:p>
        </w:tc>
      </w:tr>
      <w:tr w14:paraId="2EB6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82" w:type="dxa"/>
            <w:vMerge w:val="continue"/>
            <w:shd w:val="clear" w:color="auto" w:fill="auto"/>
            <w:vAlign w:val="center"/>
          </w:tcPr>
          <w:p w14:paraId="2ABA1E3B">
            <w:pPr>
              <w:pStyle w:val="26"/>
              <w:bidi w:val="0"/>
              <w:rPr>
                <w:rFonts w:hint="eastAsia"/>
                <w:lang w:val="en-US" w:eastAsia="zh-CN"/>
              </w:rPr>
            </w:pPr>
          </w:p>
        </w:tc>
        <w:tc>
          <w:tcPr>
            <w:tcW w:w="797" w:type="dxa"/>
            <w:vMerge w:val="continue"/>
            <w:shd w:val="clear" w:color="auto" w:fill="auto"/>
            <w:vAlign w:val="center"/>
          </w:tcPr>
          <w:p w14:paraId="1AB47672">
            <w:pPr>
              <w:pStyle w:val="26"/>
              <w:bidi w:val="0"/>
              <w:rPr>
                <w:rFonts w:hint="eastAsia"/>
                <w:lang w:val="en-US" w:eastAsia="zh-CN"/>
              </w:rPr>
            </w:pPr>
          </w:p>
        </w:tc>
        <w:tc>
          <w:tcPr>
            <w:tcW w:w="1937" w:type="dxa"/>
            <w:shd w:val="clear" w:color="auto" w:fill="auto"/>
            <w:vAlign w:val="center"/>
          </w:tcPr>
          <w:p w14:paraId="1187F00D">
            <w:pPr>
              <w:pStyle w:val="26"/>
              <w:bidi w:val="0"/>
              <w:rPr>
                <w:rFonts w:hint="eastAsia"/>
                <w:lang w:val="en-US" w:eastAsia="zh-CN"/>
              </w:rPr>
            </w:pPr>
            <w:r>
              <w:rPr>
                <w:rFonts w:hint="eastAsia"/>
                <w:lang w:val="en-US" w:eastAsia="zh-CN"/>
              </w:rPr>
              <w:t>20：00~21：10</w:t>
            </w:r>
          </w:p>
        </w:tc>
        <w:tc>
          <w:tcPr>
            <w:tcW w:w="737" w:type="dxa"/>
            <w:shd w:val="clear" w:color="auto" w:fill="auto"/>
            <w:vAlign w:val="center"/>
          </w:tcPr>
          <w:p w14:paraId="3D1EB436">
            <w:pPr>
              <w:pStyle w:val="26"/>
              <w:bidi w:val="0"/>
              <w:rPr>
                <w:rFonts w:hint="eastAsia"/>
                <w:lang w:val="en-US" w:eastAsia="zh-CN"/>
              </w:rPr>
            </w:pPr>
            <w:r>
              <w:rPr>
                <w:rFonts w:hint="eastAsia"/>
                <w:lang w:val="en-US" w:eastAsia="zh-CN"/>
              </w:rPr>
              <w:t>ND</w:t>
            </w:r>
          </w:p>
        </w:tc>
        <w:tc>
          <w:tcPr>
            <w:tcW w:w="1629" w:type="dxa"/>
            <w:shd w:val="clear" w:color="auto" w:fill="auto"/>
            <w:vAlign w:val="center"/>
          </w:tcPr>
          <w:p w14:paraId="2E0D4EDE">
            <w:pPr>
              <w:pStyle w:val="26"/>
              <w:bidi w:val="0"/>
              <w:rPr>
                <w:rFonts w:hint="eastAsia"/>
                <w:lang w:val="en-US" w:eastAsia="zh-CN"/>
              </w:rPr>
            </w:pPr>
            <w:r>
              <w:rPr>
                <w:rFonts w:hint="eastAsia"/>
                <w:lang w:val="en-US" w:eastAsia="zh-CN"/>
              </w:rPr>
              <w:t>20：00~21：00</w:t>
            </w:r>
          </w:p>
        </w:tc>
        <w:tc>
          <w:tcPr>
            <w:tcW w:w="843" w:type="dxa"/>
            <w:shd w:val="clear" w:color="auto" w:fill="auto"/>
            <w:vAlign w:val="center"/>
          </w:tcPr>
          <w:p w14:paraId="083BBB56">
            <w:pPr>
              <w:pStyle w:val="26"/>
              <w:bidi w:val="0"/>
              <w:rPr>
                <w:rFonts w:hint="default"/>
                <w:lang w:val="en-US" w:eastAsia="zh-CN"/>
              </w:rPr>
            </w:pPr>
            <w:r>
              <w:rPr>
                <w:rFonts w:hint="eastAsia"/>
                <w:lang w:val="en-US" w:eastAsia="zh-CN"/>
              </w:rPr>
              <w:t>0.028</w:t>
            </w:r>
          </w:p>
        </w:tc>
        <w:tc>
          <w:tcPr>
            <w:tcW w:w="1181" w:type="dxa"/>
            <w:vMerge w:val="continue"/>
            <w:shd w:val="clear" w:color="auto" w:fill="auto"/>
            <w:vAlign w:val="center"/>
          </w:tcPr>
          <w:p w14:paraId="2ED04371">
            <w:pPr>
              <w:pStyle w:val="26"/>
              <w:bidi w:val="0"/>
              <w:rPr>
                <w:rFonts w:hint="eastAsia"/>
                <w:lang w:val="en-US" w:eastAsia="zh-CN"/>
              </w:rPr>
            </w:pPr>
          </w:p>
        </w:tc>
        <w:tc>
          <w:tcPr>
            <w:tcW w:w="716" w:type="dxa"/>
            <w:vMerge w:val="continue"/>
            <w:shd w:val="clear" w:color="auto" w:fill="auto"/>
            <w:vAlign w:val="center"/>
          </w:tcPr>
          <w:p w14:paraId="63E438E2">
            <w:pPr>
              <w:pStyle w:val="26"/>
              <w:bidi w:val="0"/>
              <w:rPr>
                <w:rFonts w:hint="eastAsia"/>
                <w:lang w:val="en-US" w:eastAsia="zh-CN"/>
              </w:rPr>
            </w:pPr>
          </w:p>
        </w:tc>
      </w:tr>
    </w:tbl>
    <w:p w14:paraId="67831A1E">
      <w:pPr>
        <w:rPr>
          <w:rFonts w:ascii="Times New Roman" w:hAnsi="Times New Roman" w:cs="Times New Roman"/>
          <w:color w:val="auto"/>
        </w:rPr>
      </w:pPr>
    </w:p>
    <w:p w14:paraId="1721AA5A">
      <w:pPr>
        <w:pStyle w:val="5"/>
        <w:bidi w:val="0"/>
        <w:rPr>
          <w:rFonts w:hint="default"/>
          <w:lang w:val="en-US" w:eastAsia="zh-CN"/>
        </w:rPr>
      </w:pPr>
      <w:r>
        <w:rPr>
          <w:rFonts w:hint="eastAsia"/>
          <w:lang w:val="en-US" w:eastAsia="zh-CN"/>
        </w:rPr>
        <w:t>监测引用</w:t>
      </w:r>
    </w:p>
    <w:p w14:paraId="37CD5C6F">
      <w:pPr>
        <w:ind w:firstLine="480"/>
        <w:rPr>
          <w:rFonts w:hint="default" w:ascii="Times New Roman" w:hAnsi="Times New Roman" w:eastAsia="仿宋_GB2312" w:cs="Times New Roman"/>
          <w:color w:val="auto"/>
          <w:lang w:val="en-US" w:eastAsia="zh-CN"/>
        </w:rPr>
      </w:pPr>
      <w:r>
        <w:rPr>
          <w:rFonts w:ascii="Times New Roman" w:hAnsi="Times New Roman" w:cs="Times New Roman"/>
          <w:color w:val="auto"/>
        </w:rPr>
        <w:t>（1）</w:t>
      </w:r>
      <w:r>
        <w:rPr>
          <w:rFonts w:hint="eastAsia" w:cs="Times New Roman"/>
          <w:color w:val="auto"/>
          <w:lang w:val="en-US" w:eastAsia="zh-CN"/>
        </w:rPr>
        <w:t>数据来源</w:t>
      </w:r>
    </w:p>
    <w:p w14:paraId="5C5FE3E4">
      <w:pPr>
        <w:ind w:firstLine="480"/>
        <w:rPr>
          <w:rFonts w:ascii="Times New Roman" w:hAnsi="Times New Roman" w:cs="Times New Roman"/>
          <w:color w:val="auto"/>
          <w:szCs w:val="36"/>
        </w:rPr>
      </w:pPr>
      <w:bookmarkStart w:id="243" w:name="_Hlk110366357"/>
      <w:r>
        <w:rPr>
          <w:rFonts w:ascii="Times New Roman" w:hAnsi="Times New Roman" w:cs="Times New Roman"/>
          <w:color w:val="auto"/>
          <w:szCs w:val="36"/>
        </w:rPr>
        <w:t>本次环评</w:t>
      </w:r>
      <w:r>
        <w:rPr>
          <w:rFonts w:hint="eastAsia" w:cs="Times New Roman"/>
          <w:color w:val="auto"/>
          <w:szCs w:val="36"/>
          <w:lang w:val="en-US" w:eastAsia="zh-CN"/>
        </w:rPr>
        <w:t>引用</w:t>
      </w:r>
      <w:r>
        <w:rPr>
          <w:rFonts w:hint="eastAsia" w:ascii="Times New Roman" w:hAnsi="Times New Roman" w:cs="Times New Roman"/>
          <w:color w:val="auto"/>
          <w:szCs w:val="36"/>
          <w:highlight w:val="none"/>
        </w:rPr>
        <w:t>江苏鹿华检测科技有限公司</w:t>
      </w:r>
      <w:r>
        <w:rPr>
          <w:rFonts w:ascii="Times New Roman" w:hAnsi="Times New Roman" w:cs="Times New Roman"/>
          <w:color w:val="auto"/>
          <w:szCs w:val="36"/>
          <w:highlight w:val="none"/>
        </w:rPr>
        <w:t>于</w:t>
      </w:r>
      <w:r>
        <w:rPr>
          <w:rFonts w:hint="eastAsia" w:ascii="Times New Roman" w:hAnsi="Times New Roman" w:cs="Times New Roman"/>
          <w:color w:val="auto"/>
          <w:szCs w:val="36"/>
          <w:highlight w:val="none"/>
        </w:rPr>
        <w:t>2023年11月27日～2023年12月3日</w:t>
      </w:r>
      <w:r>
        <w:rPr>
          <w:rFonts w:ascii="Times New Roman" w:hAnsi="Times New Roman" w:cs="Times New Roman"/>
          <w:color w:val="auto"/>
          <w:szCs w:val="36"/>
        </w:rPr>
        <w:t>对项目所在地</w:t>
      </w:r>
      <w:r>
        <w:rPr>
          <w:rFonts w:hint="eastAsia" w:cs="Times New Roman"/>
          <w:color w:val="auto"/>
          <w:szCs w:val="36"/>
          <w:lang w:val="en-US" w:eastAsia="zh-CN"/>
        </w:rPr>
        <w:t>及周边</w:t>
      </w:r>
      <w:r>
        <w:rPr>
          <w:rFonts w:hint="eastAsia" w:cs="Times New Roman"/>
          <w:color w:val="auto"/>
          <w:szCs w:val="36"/>
          <w:lang w:eastAsia="zh-CN"/>
        </w:rPr>
        <w:t>的</w:t>
      </w:r>
      <w:r>
        <w:rPr>
          <w:rFonts w:hint="eastAsia" w:cs="Times New Roman"/>
          <w:color w:val="auto"/>
          <w:szCs w:val="36"/>
          <w:lang w:val="en-US" w:eastAsia="zh-CN"/>
        </w:rPr>
        <w:t>监测报告，报告编号为（综）字第（H231567）号</w:t>
      </w:r>
      <w:r>
        <w:rPr>
          <w:rFonts w:ascii="Times New Roman" w:hAnsi="Times New Roman" w:cs="Times New Roman"/>
          <w:color w:val="auto"/>
          <w:szCs w:val="36"/>
        </w:rPr>
        <w:t>。</w:t>
      </w:r>
    </w:p>
    <w:bookmarkEnd w:id="243"/>
    <w:p w14:paraId="60B4905F">
      <w:pPr>
        <w:rPr>
          <w:rFonts w:ascii="Times New Roman" w:hAnsi="Times New Roman"/>
          <w:color w:val="auto"/>
        </w:rPr>
      </w:pPr>
      <w:r>
        <w:rPr>
          <w:rFonts w:ascii="Times New Roman" w:hAnsi="Times New Roman" w:cs="Times New Roman"/>
          <w:color w:val="auto"/>
          <w:szCs w:val="36"/>
        </w:rPr>
        <w:t>大气监测点位及监测因子见下表：</w:t>
      </w:r>
    </w:p>
    <w:p w14:paraId="134C9D09">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4</w:t>
      </w:r>
      <w:r>
        <w:rPr>
          <w:color w:val="auto"/>
          <w:lang w:val="en-US" w:eastAsia="zh-CN"/>
        </w:rPr>
        <w:fldChar w:fldCharType="end"/>
      </w:r>
      <w:r>
        <w:rPr>
          <w:color w:val="auto"/>
          <w:lang w:val="en-US" w:eastAsia="zh-CN"/>
        </w:rPr>
        <w:t>其他污染物补充监测点位基本信息</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651"/>
        <w:gridCol w:w="1136"/>
        <w:gridCol w:w="2107"/>
        <w:gridCol w:w="698"/>
        <w:gridCol w:w="1138"/>
        <w:gridCol w:w="2114"/>
      </w:tblGrid>
      <w:tr w14:paraId="3DBF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0" w:type="auto"/>
            <w:vAlign w:val="center"/>
          </w:tcPr>
          <w:p w14:paraId="17B5D62D">
            <w:pPr>
              <w:pStyle w:val="36"/>
              <w:bidi w:val="0"/>
              <w:rPr>
                <w:color w:val="auto"/>
              </w:rPr>
            </w:pPr>
            <w:r>
              <w:rPr>
                <w:color w:val="auto"/>
              </w:rPr>
              <w:t>监测点编号</w:t>
            </w:r>
          </w:p>
        </w:tc>
        <w:tc>
          <w:tcPr>
            <w:tcW w:w="651" w:type="dxa"/>
            <w:vAlign w:val="center"/>
          </w:tcPr>
          <w:p w14:paraId="280DB8DD">
            <w:pPr>
              <w:pStyle w:val="36"/>
              <w:bidi w:val="0"/>
              <w:rPr>
                <w:color w:val="auto"/>
              </w:rPr>
            </w:pPr>
            <w:r>
              <w:rPr>
                <w:color w:val="auto"/>
              </w:rPr>
              <w:t>监测点名称</w:t>
            </w:r>
          </w:p>
        </w:tc>
        <w:tc>
          <w:tcPr>
            <w:tcW w:w="1137" w:type="dxa"/>
            <w:vAlign w:val="center"/>
          </w:tcPr>
          <w:p w14:paraId="286BD639">
            <w:pPr>
              <w:pStyle w:val="36"/>
              <w:bidi w:val="0"/>
              <w:rPr>
                <w:color w:val="auto"/>
              </w:rPr>
            </w:pPr>
            <w:r>
              <w:rPr>
                <w:color w:val="auto"/>
              </w:rPr>
              <w:t>监测因子</w:t>
            </w:r>
          </w:p>
        </w:tc>
        <w:tc>
          <w:tcPr>
            <w:tcW w:w="0" w:type="auto"/>
            <w:vAlign w:val="center"/>
          </w:tcPr>
          <w:p w14:paraId="3CAF1FFF">
            <w:pPr>
              <w:pStyle w:val="36"/>
              <w:bidi w:val="0"/>
              <w:rPr>
                <w:rFonts w:hint="default" w:eastAsia="仿宋_GB2312"/>
                <w:color w:val="auto"/>
                <w:lang w:val="en-US" w:eastAsia="zh-CN"/>
              </w:rPr>
            </w:pPr>
            <w:r>
              <w:rPr>
                <w:rFonts w:hint="eastAsia"/>
                <w:color w:val="auto"/>
                <w:lang w:val="en-US" w:eastAsia="zh-CN"/>
              </w:rPr>
              <w:t>监测时段</w:t>
            </w:r>
          </w:p>
        </w:tc>
        <w:tc>
          <w:tcPr>
            <w:tcW w:w="0" w:type="auto"/>
            <w:vAlign w:val="center"/>
          </w:tcPr>
          <w:p w14:paraId="1EF5AE3D">
            <w:pPr>
              <w:pStyle w:val="36"/>
              <w:bidi w:val="0"/>
              <w:rPr>
                <w:color w:val="auto"/>
              </w:rPr>
            </w:pPr>
            <w:r>
              <w:rPr>
                <w:color w:val="auto"/>
              </w:rPr>
              <w:t>相对厂址方位</w:t>
            </w:r>
          </w:p>
        </w:tc>
        <w:tc>
          <w:tcPr>
            <w:tcW w:w="0" w:type="auto"/>
            <w:vAlign w:val="center"/>
          </w:tcPr>
          <w:p w14:paraId="522A0C5D">
            <w:pPr>
              <w:pStyle w:val="36"/>
              <w:bidi w:val="0"/>
              <w:rPr>
                <w:color w:val="auto"/>
              </w:rPr>
            </w:pPr>
            <w:r>
              <w:rPr>
                <w:color w:val="auto"/>
              </w:rPr>
              <w:t>相对厂界距离（m）</w:t>
            </w:r>
          </w:p>
        </w:tc>
        <w:tc>
          <w:tcPr>
            <w:tcW w:w="0" w:type="auto"/>
            <w:vAlign w:val="center"/>
          </w:tcPr>
          <w:p w14:paraId="1413A9B1">
            <w:pPr>
              <w:pStyle w:val="36"/>
              <w:bidi w:val="0"/>
              <w:rPr>
                <w:rFonts w:hint="eastAsia" w:eastAsia="仿宋_GB2312"/>
                <w:color w:val="auto"/>
                <w:lang w:val="en-US" w:eastAsia="zh-CN"/>
              </w:rPr>
            </w:pPr>
            <w:r>
              <w:rPr>
                <w:rFonts w:hint="eastAsia"/>
                <w:color w:val="auto"/>
                <w:lang w:val="en-US" w:eastAsia="zh-CN"/>
              </w:rPr>
              <w:t>监测频次</w:t>
            </w:r>
          </w:p>
        </w:tc>
      </w:tr>
      <w:tr w14:paraId="171B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0" w:type="auto"/>
            <w:vAlign w:val="center"/>
          </w:tcPr>
          <w:p w14:paraId="48526CE3">
            <w:pPr>
              <w:pStyle w:val="26"/>
              <w:bidi w:val="0"/>
              <w:rPr>
                <w:rFonts w:hint="eastAsia" w:eastAsia="仿宋_GB2312"/>
                <w:color w:val="auto"/>
                <w:lang w:val="en-US" w:eastAsia="zh-CN"/>
              </w:rPr>
            </w:pPr>
            <w:r>
              <w:rPr>
                <w:rFonts w:hint="eastAsia"/>
                <w:color w:val="auto"/>
                <w:lang w:val="en-US" w:eastAsia="zh-CN"/>
              </w:rPr>
              <w:t>G1</w:t>
            </w:r>
          </w:p>
        </w:tc>
        <w:tc>
          <w:tcPr>
            <w:tcW w:w="651" w:type="dxa"/>
            <w:vAlign w:val="center"/>
          </w:tcPr>
          <w:p w14:paraId="02B9CD9E">
            <w:pPr>
              <w:pStyle w:val="26"/>
              <w:bidi w:val="0"/>
              <w:rPr>
                <w:color w:val="auto"/>
              </w:rPr>
            </w:pPr>
            <w:r>
              <w:rPr>
                <w:color w:val="auto"/>
                <w:lang w:val="zh-CN"/>
              </w:rPr>
              <w:t>项目所在地</w:t>
            </w:r>
          </w:p>
        </w:tc>
        <w:tc>
          <w:tcPr>
            <w:tcW w:w="1137" w:type="dxa"/>
            <w:vMerge w:val="restart"/>
            <w:vAlign w:val="center"/>
          </w:tcPr>
          <w:p w14:paraId="7F1D10C1">
            <w:pPr>
              <w:pStyle w:val="26"/>
              <w:bidi w:val="0"/>
              <w:rPr>
                <w:color w:val="auto"/>
              </w:rPr>
            </w:pPr>
            <w:r>
              <w:rPr>
                <w:rFonts w:hint="eastAsia"/>
                <w:color w:val="auto"/>
              </w:rPr>
              <w:t>非甲烷总烃、硫酸雾、铬酸雾、甲苯、二甲苯</w:t>
            </w:r>
          </w:p>
        </w:tc>
        <w:tc>
          <w:tcPr>
            <w:tcW w:w="0" w:type="auto"/>
            <w:vMerge w:val="restart"/>
            <w:vAlign w:val="center"/>
          </w:tcPr>
          <w:p w14:paraId="2ACE7E32">
            <w:pPr>
              <w:pStyle w:val="26"/>
              <w:bidi w:val="0"/>
              <w:rPr>
                <w:rFonts w:hint="eastAsia" w:eastAsia="仿宋_GB2312"/>
                <w:color w:val="auto"/>
                <w:lang w:eastAsia="zh-CN"/>
              </w:rPr>
            </w:pPr>
            <w:r>
              <w:rPr>
                <w:rFonts w:hint="eastAsia"/>
                <w:color w:val="auto"/>
              </w:rPr>
              <w:t>202</w:t>
            </w:r>
            <w:r>
              <w:rPr>
                <w:rFonts w:hint="eastAsia"/>
                <w:color w:val="auto"/>
                <w:lang w:val="en-US" w:eastAsia="zh-CN"/>
              </w:rPr>
              <w:t>3.11.27</w:t>
            </w:r>
            <w:r>
              <w:rPr>
                <w:rFonts w:hint="eastAsia"/>
                <w:color w:val="auto"/>
              </w:rPr>
              <w:t>~</w:t>
            </w:r>
            <w:r>
              <w:rPr>
                <w:rFonts w:hint="eastAsia"/>
                <w:color w:val="auto"/>
                <w:lang w:val="en-US" w:eastAsia="zh-CN"/>
              </w:rPr>
              <w:t>2023.12.3</w:t>
            </w:r>
          </w:p>
        </w:tc>
        <w:tc>
          <w:tcPr>
            <w:tcW w:w="0" w:type="auto"/>
            <w:vAlign w:val="center"/>
          </w:tcPr>
          <w:p w14:paraId="28EAB9B4">
            <w:pPr>
              <w:pStyle w:val="26"/>
              <w:bidi w:val="0"/>
              <w:rPr>
                <w:color w:val="auto"/>
              </w:rPr>
            </w:pPr>
            <w:r>
              <w:rPr>
                <w:color w:val="auto"/>
              </w:rPr>
              <w:t>/</w:t>
            </w:r>
          </w:p>
        </w:tc>
        <w:tc>
          <w:tcPr>
            <w:tcW w:w="0" w:type="auto"/>
            <w:vAlign w:val="center"/>
          </w:tcPr>
          <w:p w14:paraId="4FE2F6C5">
            <w:pPr>
              <w:pStyle w:val="26"/>
              <w:bidi w:val="0"/>
              <w:rPr>
                <w:color w:val="auto"/>
              </w:rPr>
            </w:pPr>
            <w:r>
              <w:rPr>
                <w:color w:val="auto"/>
              </w:rPr>
              <w:t>/</w:t>
            </w:r>
          </w:p>
        </w:tc>
        <w:tc>
          <w:tcPr>
            <w:tcW w:w="0" w:type="auto"/>
            <w:vMerge w:val="restart"/>
            <w:vAlign w:val="center"/>
          </w:tcPr>
          <w:p w14:paraId="6E311FC4">
            <w:pPr>
              <w:pStyle w:val="26"/>
              <w:bidi w:val="0"/>
              <w:rPr>
                <w:color w:val="auto"/>
              </w:rPr>
            </w:pPr>
            <w:r>
              <w:rPr>
                <w:color w:val="auto"/>
              </w:rPr>
              <w:t>连续监测7天，每天4次，每次1小时，采样时间不小于45min</w:t>
            </w:r>
          </w:p>
        </w:tc>
      </w:tr>
      <w:tr w14:paraId="5098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vAlign w:val="center"/>
          </w:tcPr>
          <w:p w14:paraId="191831AD">
            <w:pPr>
              <w:pStyle w:val="26"/>
              <w:bidi w:val="0"/>
              <w:rPr>
                <w:rFonts w:hint="eastAsia" w:eastAsia="仿宋_GB2312"/>
                <w:color w:val="auto"/>
                <w:lang w:val="en-US" w:eastAsia="zh-CN"/>
              </w:rPr>
            </w:pPr>
            <w:r>
              <w:rPr>
                <w:rFonts w:hint="eastAsia"/>
                <w:color w:val="auto"/>
                <w:lang w:val="en-US" w:eastAsia="zh-CN"/>
              </w:rPr>
              <w:t>G2</w:t>
            </w:r>
          </w:p>
        </w:tc>
        <w:tc>
          <w:tcPr>
            <w:tcW w:w="651" w:type="dxa"/>
            <w:vAlign w:val="center"/>
          </w:tcPr>
          <w:p w14:paraId="7ED63DF9">
            <w:pPr>
              <w:pStyle w:val="26"/>
              <w:bidi w:val="0"/>
              <w:rPr>
                <w:rFonts w:hint="eastAsia" w:eastAsia="仿宋_GB2312"/>
                <w:color w:val="auto"/>
                <w:lang w:val="en-US" w:eastAsia="zh-CN"/>
              </w:rPr>
            </w:pPr>
            <w:r>
              <w:rPr>
                <w:rFonts w:hint="eastAsia" w:eastAsia="仿宋_GB2312"/>
                <w:color w:val="auto"/>
                <w:lang w:val="en-US" w:eastAsia="zh-CN"/>
              </w:rPr>
              <w:t>顺扬公寓</w:t>
            </w:r>
          </w:p>
        </w:tc>
        <w:tc>
          <w:tcPr>
            <w:tcW w:w="1137" w:type="dxa"/>
            <w:vMerge w:val="continue"/>
            <w:vAlign w:val="center"/>
          </w:tcPr>
          <w:p w14:paraId="3A9D026D">
            <w:pPr>
              <w:pStyle w:val="26"/>
              <w:bidi w:val="0"/>
              <w:rPr>
                <w:color w:val="auto"/>
              </w:rPr>
            </w:pPr>
          </w:p>
        </w:tc>
        <w:tc>
          <w:tcPr>
            <w:tcW w:w="0" w:type="auto"/>
            <w:vMerge w:val="continue"/>
            <w:vAlign w:val="center"/>
          </w:tcPr>
          <w:p w14:paraId="59255B7A">
            <w:pPr>
              <w:pStyle w:val="26"/>
              <w:bidi w:val="0"/>
              <w:rPr>
                <w:rFonts w:hint="eastAsia"/>
                <w:color w:val="auto"/>
                <w:lang w:val="en-US" w:eastAsia="zh-CN"/>
              </w:rPr>
            </w:pPr>
          </w:p>
        </w:tc>
        <w:tc>
          <w:tcPr>
            <w:tcW w:w="0" w:type="auto"/>
            <w:vAlign w:val="center"/>
          </w:tcPr>
          <w:p w14:paraId="3655AC2A">
            <w:pPr>
              <w:pStyle w:val="26"/>
              <w:bidi w:val="0"/>
              <w:rPr>
                <w:color w:val="auto"/>
              </w:rPr>
            </w:pPr>
            <w:r>
              <w:rPr>
                <w:rFonts w:hint="eastAsia"/>
                <w:color w:val="auto"/>
                <w:lang w:val="en-US" w:eastAsia="zh-CN"/>
              </w:rPr>
              <w:t>西北</w:t>
            </w:r>
          </w:p>
        </w:tc>
        <w:tc>
          <w:tcPr>
            <w:tcW w:w="0" w:type="auto"/>
            <w:vAlign w:val="center"/>
          </w:tcPr>
          <w:p w14:paraId="0FBA92A4">
            <w:pPr>
              <w:pStyle w:val="26"/>
              <w:bidi w:val="0"/>
              <w:rPr>
                <w:rFonts w:hint="default" w:eastAsia="仿宋_GB2312"/>
                <w:color w:val="auto"/>
                <w:lang w:val="en-US" w:eastAsia="zh-CN"/>
              </w:rPr>
            </w:pPr>
            <w:r>
              <w:rPr>
                <w:rFonts w:hint="eastAsia"/>
                <w:color w:val="auto"/>
                <w:lang w:val="en-US" w:eastAsia="zh-CN"/>
              </w:rPr>
              <w:t>1900</w:t>
            </w:r>
          </w:p>
        </w:tc>
        <w:tc>
          <w:tcPr>
            <w:tcW w:w="0" w:type="auto"/>
            <w:vMerge w:val="continue"/>
            <w:vAlign w:val="center"/>
          </w:tcPr>
          <w:p w14:paraId="169EA03F">
            <w:pPr>
              <w:pStyle w:val="26"/>
              <w:bidi w:val="0"/>
              <w:rPr>
                <w:rFonts w:hint="eastAsia"/>
                <w:color w:val="auto"/>
                <w:lang w:val="en-US" w:eastAsia="zh-CN"/>
              </w:rPr>
            </w:pPr>
          </w:p>
        </w:tc>
      </w:tr>
    </w:tbl>
    <w:p w14:paraId="03DDA99C">
      <w:pPr>
        <w:ind w:firstLine="480"/>
        <w:rPr>
          <w:rFonts w:ascii="Times New Roman" w:hAnsi="Times New Roman" w:cs="Times New Roman"/>
          <w:color w:val="auto"/>
          <w:szCs w:val="36"/>
        </w:rPr>
      </w:pPr>
      <w:r>
        <w:rPr>
          <w:rFonts w:ascii="Times New Roman" w:hAnsi="Times New Roman" w:cs="Times New Roman"/>
          <w:color w:val="auto"/>
          <w:szCs w:val="36"/>
        </w:rPr>
        <w:t>（2）采样及分析方法</w:t>
      </w:r>
    </w:p>
    <w:p w14:paraId="2259B697">
      <w:pPr>
        <w:rPr>
          <w:rFonts w:hint="eastAsia" w:ascii="Times New Roman" w:hAnsi="Times New Roman" w:eastAsia="仿宋_GB2312"/>
          <w:color w:val="auto"/>
          <w:lang w:eastAsia="zh-CN"/>
        </w:rPr>
      </w:pPr>
      <w:r>
        <w:rPr>
          <w:rFonts w:ascii="Times New Roman" w:hAnsi="Times New Roman" w:cs="Times New Roman"/>
          <w:color w:val="auto"/>
          <w:szCs w:val="36"/>
        </w:rPr>
        <w:t>采样和分析方法按照国家环保局颁发的《环境监测技术规范》和《空气和废气监测分析方法》的有关规定和要求进行。在监测的同时同步观测风向、风速、气温、气压等气象要素</w:t>
      </w:r>
      <w:r>
        <w:rPr>
          <w:rFonts w:hint="eastAsia" w:ascii="Times New Roman" w:hAnsi="Times New Roman" w:cs="Times New Roman"/>
          <w:color w:val="auto"/>
          <w:szCs w:val="36"/>
          <w:lang w:eastAsia="zh-CN"/>
        </w:rPr>
        <w:t>。</w:t>
      </w:r>
    </w:p>
    <w:p w14:paraId="16E084E5">
      <w:pPr>
        <w:ind w:firstLine="480"/>
        <w:rPr>
          <w:rFonts w:ascii="Times New Roman" w:hAnsi="Times New Roman" w:cs="Times New Roman"/>
          <w:color w:val="auto"/>
          <w:szCs w:val="36"/>
        </w:rPr>
      </w:pPr>
      <w:r>
        <w:rPr>
          <w:rFonts w:ascii="Times New Roman" w:hAnsi="Times New Roman" w:cs="Times New Roman"/>
          <w:color w:val="auto"/>
          <w:szCs w:val="36"/>
        </w:rPr>
        <w:t>（3）监测结果数据统计</w:t>
      </w:r>
    </w:p>
    <w:p w14:paraId="3E570435">
      <w:pPr>
        <w:ind w:firstLine="480"/>
        <w:rPr>
          <w:rFonts w:ascii="Times New Roman" w:hAnsi="Times New Roman" w:cs="Times New Roman"/>
          <w:color w:val="auto"/>
        </w:rPr>
      </w:pPr>
      <w:r>
        <w:rPr>
          <w:rFonts w:ascii="Times New Roman" w:hAnsi="Times New Roman" w:cs="Times New Roman"/>
          <w:color w:val="auto"/>
          <w:szCs w:val="36"/>
        </w:rPr>
        <w:t>监测结果统计如下：</w:t>
      </w:r>
    </w:p>
    <w:p w14:paraId="2B4935E1">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5</w:t>
      </w:r>
      <w:r>
        <w:rPr>
          <w:color w:val="auto"/>
          <w:lang w:val="en-US" w:eastAsia="zh-CN"/>
        </w:rPr>
        <w:fldChar w:fldCharType="end"/>
      </w:r>
      <w:r>
        <w:rPr>
          <w:rFonts w:hint="eastAsia"/>
          <w:color w:val="auto"/>
          <w:lang w:val="en-US" w:eastAsia="zh-CN"/>
        </w:rPr>
        <w:t>.1</w:t>
      </w:r>
      <w:r>
        <w:rPr>
          <w:color w:val="auto"/>
          <w:lang w:val="en-US" w:eastAsia="zh-CN"/>
        </w:rPr>
        <w:t>其他污染物环境质量现状</w:t>
      </w:r>
    </w:p>
    <w:tbl>
      <w:tblPr>
        <w:tblStyle w:val="5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243"/>
        <w:gridCol w:w="1373"/>
        <w:gridCol w:w="895"/>
        <w:gridCol w:w="5"/>
        <w:gridCol w:w="825"/>
        <w:gridCol w:w="19"/>
        <w:gridCol w:w="794"/>
        <w:gridCol w:w="7"/>
        <w:gridCol w:w="834"/>
        <w:gridCol w:w="1074"/>
        <w:gridCol w:w="778"/>
      </w:tblGrid>
      <w:tr w14:paraId="0C11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94" w:type="pct"/>
            <w:vMerge w:val="restart"/>
            <w:vAlign w:val="center"/>
          </w:tcPr>
          <w:p w14:paraId="039C1826">
            <w:pPr>
              <w:pStyle w:val="26"/>
              <w:bidi w:val="0"/>
              <w:rPr>
                <w:lang w:val="en-US" w:eastAsia="zh-CN"/>
              </w:rPr>
            </w:pPr>
            <w:r>
              <w:rPr>
                <w:rFonts w:hint="eastAsia"/>
                <w:lang w:val="en-US" w:eastAsia="zh-CN"/>
              </w:rPr>
              <w:t>采样</w:t>
            </w:r>
            <w:r>
              <w:rPr>
                <w:lang w:val="en-US" w:eastAsia="zh-CN"/>
              </w:rPr>
              <w:t>点位</w:t>
            </w:r>
          </w:p>
        </w:tc>
        <w:tc>
          <w:tcPr>
            <w:tcW w:w="729" w:type="pct"/>
            <w:vMerge w:val="restart"/>
            <w:vAlign w:val="center"/>
          </w:tcPr>
          <w:p w14:paraId="68B36DE5">
            <w:pPr>
              <w:pStyle w:val="26"/>
              <w:bidi w:val="0"/>
              <w:rPr>
                <w:rFonts w:hint="default"/>
                <w:lang w:val="en-US" w:eastAsia="zh-CN"/>
              </w:rPr>
            </w:pPr>
            <w:r>
              <w:rPr>
                <w:rFonts w:hint="eastAsia"/>
                <w:lang w:val="en-US" w:eastAsia="zh-CN"/>
              </w:rPr>
              <w:t>检测项目</w:t>
            </w:r>
          </w:p>
        </w:tc>
        <w:tc>
          <w:tcPr>
            <w:tcW w:w="805" w:type="pct"/>
            <w:vMerge w:val="restart"/>
            <w:vAlign w:val="center"/>
          </w:tcPr>
          <w:p w14:paraId="069C6895">
            <w:pPr>
              <w:pStyle w:val="26"/>
              <w:bidi w:val="0"/>
              <w:rPr>
                <w:rFonts w:hint="default"/>
                <w:lang w:val="en-US" w:eastAsia="zh-CN"/>
              </w:rPr>
            </w:pPr>
            <w:r>
              <w:rPr>
                <w:rFonts w:hint="eastAsia"/>
                <w:lang w:val="en-US" w:eastAsia="zh-CN"/>
              </w:rPr>
              <w:t>采样日期</w:t>
            </w:r>
          </w:p>
        </w:tc>
        <w:tc>
          <w:tcPr>
            <w:tcW w:w="1983" w:type="pct"/>
            <w:gridSpan w:val="7"/>
            <w:vAlign w:val="center"/>
          </w:tcPr>
          <w:p w14:paraId="63B8DF69">
            <w:pPr>
              <w:pStyle w:val="26"/>
              <w:bidi w:val="0"/>
              <w:rPr>
                <w:lang w:val="en-US" w:eastAsia="zh-CN"/>
              </w:rPr>
            </w:pPr>
            <w:r>
              <w:rPr>
                <w:rFonts w:hint="eastAsia"/>
                <w:lang w:val="en-US" w:eastAsia="zh-CN"/>
              </w:rPr>
              <w:t>采样时段及检测结果</w:t>
            </w:r>
          </w:p>
        </w:tc>
        <w:tc>
          <w:tcPr>
            <w:tcW w:w="630" w:type="pct"/>
            <w:vMerge w:val="restart"/>
            <w:vAlign w:val="center"/>
          </w:tcPr>
          <w:p w14:paraId="29FB2E36">
            <w:pPr>
              <w:pStyle w:val="26"/>
              <w:bidi w:val="0"/>
              <w:rPr>
                <w:lang w:val="en-US" w:eastAsia="zh-CN"/>
              </w:rPr>
            </w:pPr>
            <w:r>
              <w:rPr>
                <w:rFonts w:hint="eastAsia"/>
                <w:lang w:val="en-US" w:eastAsia="zh-CN"/>
              </w:rPr>
              <w:t>标准限值</w:t>
            </w:r>
          </w:p>
        </w:tc>
        <w:tc>
          <w:tcPr>
            <w:tcW w:w="456" w:type="pct"/>
            <w:vMerge w:val="restart"/>
            <w:vAlign w:val="center"/>
          </w:tcPr>
          <w:p w14:paraId="0F1CAA89">
            <w:pPr>
              <w:pStyle w:val="26"/>
              <w:bidi w:val="0"/>
              <w:rPr>
                <w:lang w:val="en-US" w:eastAsia="zh-CN"/>
              </w:rPr>
            </w:pPr>
            <w:r>
              <w:rPr>
                <w:lang w:val="en-US" w:eastAsia="zh-CN"/>
              </w:rPr>
              <w:t>达标情况</w:t>
            </w:r>
          </w:p>
        </w:tc>
      </w:tr>
      <w:tr w14:paraId="4650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394" w:type="pct"/>
            <w:vMerge w:val="continue"/>
            <w:vAlign w:val="center"/>
          </w:tcPr>
          <w:p w14:paraId="15235289">
            <w:pPr>
              <w:pStyle w:val="26"/>
              <w:bidi w:val="0"/>
            </w:pPr>
          </w:p>
        </w:tc>
        <w:tc>
          <w:tcPr>
            <w:tcW w:w="729" w:type="pct"/>
            <w:vMerge w:val="continue"/>
            <w:vAlign w:val="center"/>
          </w:tcPr>
          <w:p w14:paraId="4141A42D">
            <w:pPr>
              <w:pStyle w:val="26"/>
              <w:bidi w:val="0"/>
            </w:pPr>
          </w:p>
        </w:tc>
        <w:tc>
          <w:tcPr>
            <w:tcW w:w="805" w:type="pct"/>
            <w:vMerge w:val="continue"/>
            <w:vAlign w:val="center"/>
          </w:tcPr>
          <w:p w14:paraId="55093946">
            <w:pPr>
              <w:pStyle w:val="26"/>
              <w:bidi w:val="0"/>
            </w:pPr>
          </w:p>
        </w:tc>
        <w:tc>
          <w:tcPr>
            <w:tcW w:w="525" w:type="pct"/>
            <w:shd w:val="clear" w:color="auto" w:fill="auto"/>
            <w:vAlign w:val="top"/>
          </w:tcPr>
          <w:p w14:paraId="333F6A67">
            <w:pPr>
              <w:pStyle w:val="26"/>
              <w:bidi w:val="0"/>
              <w:rPr>
                <w:rFonts w:hint="eastAsia"/>
                <w:lang w:val="en-US" w:eastAsia="zh-CN"/>
              </w:rPr>
            </w:pPr>
            <w:r>
              <w:rPr>
                <w:rFonts w:hint="eastAsia"/>
                <w:lang w:val="en-US" w:eastAsia="zh-CN"/>
              </w:rPr>
              <w:t>02:00</w:t>
            </w:r>
          </w:p>
        </w:tc>
        <w:tc>
          <w:tcPr>
            <w:tcW w:w="498" w:type="pct"/>
            <w:gridSpan w:val="3"/>
            <w:shd w:val="clear" w:color="auto" w:fill="auto"/>
            <w:vAlign w:val="top"/>
          </w:tcPr>
          <w:p w14:paraId="23E770CA">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63823B52">
            <w:pPr>
              <w:pStyle w:val="26"/>
              <w:bidi w:val="0"/>
              <w:rPr>
                <w:rFonts w:hint="eastAsia"/>
                <w:lang w:val="en-US" w:eastAsia="zh-CN"/>
              </w:rPr>
            </w:pPr>
            <w:r>
              <w:rPr>
                <w:rFonts w:hint="eastAsia"/>
                <w:lang w:val="en-US" w:eastAsia="zh-CN"/>
              </w:rPr>
              <w:t>14:00</w:t>
            </w:r>
          </w:p>
        </w:tc>
        <w:tc>
          <w:tcPr>
            <w:tcW w:w="493" w:type="pct"/>
            <w:gridSpan w:val="2"/>
            <w:shd w:val="clear" w:color="auto" w:fill="auto"/>
            <w:vAlign w:val="top"/>
          </w:tcPr>
          <w:p w14:paraId="5BB98003">
            <w:pPr>
              <w:pStyle w:val="26"/>
              <w:bidi w:val="0"/>
              <w:rPr>
                <w:rFonts w:hint="eastAsia"/>
                <w:lang w:val="en-US" w:eastAsia="zh-CN"/>
              </w:rPr>
            </w:pPr>
            <w:r>
              <w:rPr>
                <w:rFonts w:hint="eastAsia"/>
                <w:lang w:val="en-US" w:eastAsia="zh-CN"/>
              </w:rPr>
              <w:t>20:00</w:t>
            </w:r>
          </w:p>
        </w:tc>
        <w:tc>
          <w:tcPr>
            <w:tcW w:w="630" w:type="pct"/>
            <w:vMerge w:val="continue"/>
            <w:vAlign w:val="center"/>
          </w:tcPr>
          <w:p w14:paraId="67248B8B">
            <w:pPr>
              <w:pStyle w:val="26"/>
              <w:bidi w:val="0"/>
              <w:rPr>
                <w:lang w:val="en-US" w:eastAsia="zh-CN"/>
              </w:rPr>
            </w:pPr>
          </w:p>
        </w:tc>
        <w:tc>
          <w:tcPr>
            <w:tcW w:w="456" w:type="pct"/>
            <w:vMerge w:val="continue"/>
            <w:vAlign w:val="center"/>
          </w:tcPr>
          <w:p w14:paraId="2CDAB1D7">
            <w:pPr>
              <w:pStyle w:val="26"/>
              <w:bidi w:val="0"/>
              <w:rPr>
                <w:lang w:val="en-US" w:eastAsia="zh-CN"/>
              </w:rPr>
            </w:pPr>
          </w:p>
        </w:tc>
      </w:tr>
      <w:tr w14:paraId="7C5E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restart"/>
            <w:vAlign w:val="center"/>
          </w:tcPr>
          <w:p w14:paraId="05E9503E">
            <w:pPr>
              <w:pStyle w:val="26"/>
              <w:bidi w:val="0"/>
              <w:rPr>
                <w:lang w:val="en-US" w:eastAsia="zh-CN"/>
              </w:rPr>
            </w:pPr>
            <w:r>
              <w:rPr>
                <w:lang w:val="en-US" w:eastAsia="zh-CN"/>
              </w:rPr>
              <w:t>项目所在地G1</w:t>
            </w:r>
          </w:p>
        </w:tc>
        <w:tc>
          <w:tcPr>
            <w:tcW w:w="729" w:type="pct"/>
            <w:vMerge w:val="restart"/>
            <w:vAlign w:val="center"/>
          </w:tcPr>
          <w:p w14:paraId="7A983F20">
            <w:pPr>
              <w:pStyle w:val="26"/>
              <w:bidi w:val="0"/>
              <w:rPr>
                <w:lang w:val="en-US" w:eastAsia="zh-CN"/>
              </w:rPr>
            </w:pPr>
            <w:r>
              <w:rPr>
                <w:lang w:val="en-US" w:eastAsia="zh-CN"/>
              </w:rPr>
              <w:t>铬酸雾（mg/m</w:t>
            </w:r>
            <w:r>
              <w:rPr>
                <w:vertAlign w:val="superscript"/>
                <w:lang w:val="en-US" w:eastAsia="zh-CN"/>
              </w:rPr>
              <w:t>3</w:t>
            </w:r>
            <w:r>
              <w:rPr>
                <w:lang w:val="en-US" w:eastAsia="zh-CN"/>
              </w:rPr>
              <w:t>）</w:t>
            </w:r>
          </w:p>
        </w:tc>
        <w:tc>
          <w:tcPr>
            <w:tcW w:w="805" w:type="pct"/>
            <w:shd w:val="clear" w:color="auto" w:fill="auto"/>
            <w:vAlign w:val="top"/>
          </w:tcPr>
          <w:p w14:paraId="71A97370">
            <w:pPr>
              <w:pStyle w:val="26"/>
              <w:bidi w:val="0"/>
              <w:rPr>
                <w:lang w:val="en-US" w:eastAsia="zh-CN"/>
              </w:rPr>
            </w:pPr>
            <w:r>
              <w:rPr>
                <w:lang w:val="en-US" w:eastAsia="zh-CN"/>
              </w:rPr>
              <w:t>2023- 11-27</w:t>
            </w:r>
          </w:p>
        </w:tc>
        <w:tc>
          <w:tcPr>
            <w:tcW w:w="525" w:type="pct"/>
            <w:shd w:val="clear" w:color="auto" w:fill="auto"/>
            <w:vAlign w:val="top"/>
          </w:tcPr>
          <w:p w14:paraId="7AEC072E">
            <w:pPr>
              <w:pStyle w:val="26"/>
              <w:bidi w:val="0"/>
              <w:rPr>
                <w:rFonts w:hint="default"/>
                <w:lang w:val="en-US" w:eastAsia="zh-CN"/>
              </w:rPr>
            </w:pPr>
            <w:r>
              <w:rPr>
                <w:lang w:val="en-US" w:eastAsia="zh-CN"/>
              </w:rPr>
              <w:t>ND</w:t>
            </w:r>
          </w:p>
        </w:tc>
        <w:tc>
          <w:tcPr>
            <w:tcW w:w="498" w:type="pct"/>
            <w:gridSpan w:val="3"/>
            <w:shd w:val="clear" w:color="auto" w:fill="auto"/>
            <w:vAlign w:val="top"/>
          </w:tcPr>
          <w:p w14:paraId="29BC90EA">
            <w:pPr>
              <w:pStyle w:val="26"/>
              <w:bidi w:val="0"/>
              <w:rPr>
                <w:rFonts w:hint="default"/>
                <w:lang w:val="en-US" w:eastAsia="zh-CN"/>
              </w:rPr>
            </w:pPr>
            <w:r>
              <w:rPr>
                <w:lang w:val="en-US" w:eastAsia="zh-CN"/>
              </w:rPr>
              <w:t>ND</w:t>
            </w:r>
          </w:p>
        </w:tc>
        <w:tc>
          <w:tcPr>
            <w:tcW w:w="466" w:type="pct"/>
            <w:shd w:val="clear" w:color="auto" w:fill="auto"/>
            <w:vAlign w:val="top"/>
          </w:tcPr>
          <w:p w14:paraId="46D8FABC">
            <w:pPr>
              <w:pStyle w:val="26"/>
              <w:bidi w:val="0"/>
              <w:rPr>
                <w:rFonts w:hint="default"/>
                <w:lang w:val="en-US" w:eastAsia="zh-CN"/>
              </w:rPr>
            </w:pPr>
            <w:r>
              <w:rPr>
                <w:lang w:val="en-US" w:eastAsia="zh-CN"/>
              </w:rPr>
              <w:t>ND</w:t>
            </w:r>
          </w:p>
        </w:tc>
        <w:tc>
          <w:tcPr>
            <w:tcW w:w="493" w:type="pct"/>
            <w:gridSpan w:val="2"/>
            <w:shd w:val="clear" w:color="auto" w:fill="auto"/>
            <w:vAlign w:val="top"/>
          </w:tcPr>
          <w:p w14:paraId="12351EB2">
            <w:pPr>
              <w:pStyle w:val="26"/>
              <w:bidi w:val="0"/>
              <w:rPr>
                <w:rFonts w:hint="default"/>
                <w:lang w:val="en-US" w:eastAsia="zh-CN"/>
              </w:rPr>
            </w:pPr>
            <w:r>
              <w:rPr>
                <w:lang w:val="en-US" w:eastAsia="zh-CN"/>
              </w:rPr>
              <w:t>ND</w:t>
            </w:r>
          </w:p>
        </w:tc>
        <w:tc>
          <w:tcPr>
            <w:tcW w:w="630" w:type="pct"/>
            <w:vMerge w:val="restart"/>
            <w:vAlign w:val="center"/>
          </w:tcPr>
          <w:p w14:paraId="54E2E3B6">
            <w:pPr>
              <w:pStyle w:val="26"/>
              <w:bidi w:val="0"/>
              <w:rPr>
                <w:rFonts w:hint="default"/>
                <w:lang w:val="en-US" w:eastAsia="zh-CN"/>
              </w:rPr>
            </w:pPr>
            <w:r>
              <w:rPr>
                <w:rFonts w:hint="eastAsia"/>
                <w:lang w:val="en-US" w:eastAsia="zh-CN"/>
              </w:rPr>
              <w:t>/</w:t>
            </w:r>
          </w:p>
        </w:tc>
        <w:tc>
          <w:tcPr>
            <w:tcW w:w="456" w:type="pct"/>
            <w:vAlign w:val="center"/>
          </w:tcPr>
          <w:p w14:paraId="2B9C3B1D">
            <w:pPr>
              <w:pStyle w:val="26"/>
              <w:bidi w:val="0"/>
              <w:rPr>
                <w:rFonts w:hint="default"/>
                <w:lang w:val="en-US" w:eastAsia="zh-CN"/>
              </w:rPr>
            </w:pPr>
            <w:r>
              <w:rPr>
                <w:rFonts w:hint="eastAsia"/>
                <w:lang w:val="en-US" w:eastAsia="zh-CN"/>
              </w:rPr>
              <w:t>达标</w:t>
            </w:r>
          </w:p>
        </w:tc>
      </w:tr>
      <w:tr w14:paraId="6A7A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continue"/>
            <w:vAlign w:val="center"/>
          </w:tcPr>
          <w:p w14:paraId="76D3BC94">
            <w:pPr>
              <w:pStyle w:val="26"/>
              <w:bidi w:val="0"/>
            </w:pPr>
          </w:p>
        </w:tc>
        <w:tc>
          <w:tcPr>
            <w:tcW w:w="729" w:type="pct"/>
            <w:vMerge w:val="continue"/>
            <w:vAlign w:val="center"/>
          </w:tcPr>
          <w:p w14:paraId="071CC87B">
            <w:pPr>
              <w:pStyle w:val="26"/>
              <w:bidi w:val="0"/>
            </w:pPr>
          </w:p>
        </w:tc>
        <w:tc>
          <w:tcPr>
            <w:tcW w:w="805" w:type="pct"/>
            <w:shd w:val="clear" w:color="auto" w:fill="auto"/>
            <w:vAlign w:val="top"/>
          </w:tcPr>
          <w:p w14:paraId="7994B29F">
            <w:pPr>
              <w:pStyle w:val="26"/>
              <w:bidi w:val="0"/>
              <w:rPr>
                <w:lang w:val="en-US" w:eastAsia="zh-CN"/>
              </w:rPr>
            </w:pPr>
            <w:r>
              <w:rPr>
                <w:lang w:val="en-US" w:eastAsia="zh-CN"/>
              </w:rPr>
              <w:t>2023- 11-28</w:t>
            </w:r>
          </w:p>
        </w:tc>
        <w:tc>
          <w:tcPr>
            <w:tcW w:w="525" w:type="pct"/>
            <w:shd w:val="clear" w:color="auto" w:fill="auto"/>
            <w:vAlign w:val="top"/>
          </w:tcPr>
          <w:p w14:paraId="656EC3F0">
            <w:pPr>
              <w:pStyle w:val="26"/>
              <w:bidi w:val="0"/>
              <w:rPr>
                <w:lang w:val="en-US" w:eastAsia="zh-CN"/>
              </w:rPr>
            </w:pPr>
            <w:r>
              <w:rPr>
                <w:lang w:val="en-US" w:eastAsia="zh-CN"/>
              </w:rPr>
              <w:t>ND</w:t>
            </w:r>
          </w:p>
        </w:tc>
        <w:tc>
          <w:tcPr>
            <w:tcW w:w="498" w:type="pct"/>
            <w:gridSpan w:val="3"/>
            <w:shd w:val="clear" w:color="auto" w:fill="auto"/>
            <w:vAlign w:val="top"/>
          </w:tcPr>
          <w:p w14:paraId="7ED638BC">
            <w:pPr>
              <w:pStyle w:val="26"/>
              <w:bidi w:val="0"/>
              <w:rPr>
                <w:lang w:val="en-US" w:eastAsia="zh-CN"/>
              </w:rPr>
            </w:pPr>
            <w:r>
              <w:rPr>
                <w:lang w:val="en-US" w:eastAsia="zh-CN"/>
              </w:rPr>
              <w:t>ND</w:t>
            </w:r>
          </w:p>
        </w:tc>
        <w:tc>
          <w:tcPr>
            <w:tcW w:w="466" w:type="pct"/>
            <w:shd w:val="clear" w:color="auto" w:fill="auto"/>
            <w:vAlign w:val="top"/>
          </w:tcPr>
          <w:p w14:paraId="5704C1EA">
            <w:pPr>
              <w:pStyle w:val="26"/>
              <w:bidi w:val="0"/>
              <w:rPr>
                <w:lang w:val="en-US" w:eastAsia="zh-CN"/>
              </w:rPr>
            </w:pPr>
            <w:r>
              <w:rPr>
                <w:lang w:val="en-US" w:eastAsia="zh-CN"/>
              </w:rPr>
              <w:t>ND</w:t>
            </w:r>
          </w:p>
        </w:tc>
        <w:tc>
          <w:tcPr>
            <w:tcW w:w="493" w:type="pct"/>
            <w:gridSpan w:val="2"/>
            <w:shd w:val="clear" w:color="auto" w:fill="auto"/>
            <w:vAlign w:val="top"/>
          </w:tcPr>
          <w:p w14:paraId="001EE1FC">
            <w:pPr>
              <w:pStyle w:val="26"/>
              <w:bidi w:val="0"/>
              <w:rPr>
                <w:lang w:val="en-US" w:eastAsia="zh-CN"/>
              </w:rPr>
            </w:pPr>
            <w:r>
              <w:rPr>
                <w:lang w:val="en-US" w:eastAsia="zh-CN"/>
              </w:rPr>
              <w:t>ND</w:t>
            </w:r>
          </w:p>
        </w:tc>
        <w:tc>
          <w:tcPr>
            <w:tcW w:w="630" w:type="pct"/>
            <w:vMerge w:val="continue"/>
            <w:vAlign w:val="center"/>
          </w:tcPr>
          <w:p w14:paraId="44397BD8">
            <w:pPr>
              <w:pStyle w:val="26"/>
              <w:bidi w:val="0"/>
              <w:rPr>
                <w:lang w:val="en-US" w:eastAsia="zh-CN"/>
              </w:rPr>
            </w:pPr>
          </w:p>
        </w:tc>
        <w:tc>
          <w:tcPr>
            <w:tcW w:w="456" w:type="pct"/>
            <w:vAlign w:val="center"/>
          </w:tcPr>
          <w:p w14:paraId="4B50E4A3">
            <w:pPr>
              <w:pStyle w:val="26"/>
              <w:bidi w:val="0"/>
              <w:rPr>
                <w:lang w:val="en-US" w:eastAsia="zh-CN"/>
              </w:rPr>
            </w:pPr>
            <w:r>
              <w:rPr>
                <w:rFonts w:hint="eastAsia"/>
                <w:lang w:val="en-US" w:eastAsia="zh-CN"/>
              </w:rPr>
              <w:t>达标</w:t>
            </w:r>
          </w:p>
        </w:tc>
      </w:tr>
      <w:tr w14:paraId="377E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continue"/>
            <w:vAlign w:val="center"/>
          </w:tcPr>
          <w:p w14:paraId="6DB51C03">
            <w:pPr>
              <w:pStyle w:val="26"/>
              <w:bidi w:val="0"/>
              <w:rPr>
                <w:lang w:val="en-US" w:eastAsia="zh-CN"/>
              </w:rPr>
            </w:pPr>
          </w:p>
        </w:tc>
        <w:tc>
          <w:tcPr>
            <w:tcW w:w="729" w:type="pct"/>
            <w:vMerge w:val="continue"/>
            <w:vAlign w:val="center"/>
          </w:tcPr>
          <w:p w14:paraId="6AA975B6">
            <w:pPr>
              <w:pStyle w:val="26"/>
              <w:bidi w:val="0"/>
              <w:rPr>
                <w:lang w:val="en-US" w:eastAsia="zh-CN"/>
              </w:rPr>
            </w:pPr>
          </w:p>
        </w:tc>
        <w:tc>
          <w:tcPr>
            <w:tcW w:w="805" w:type="pct"/>
            <w:shd w:val="clear" w:color="auto" w:fill="auto"/>
            <w:vAlign w:val="top"/>
          </w:tcPr>
          <w:p w14:paraId="15C7E880">
            <w:pPr>
              <w:pStyle w:val="26"/>
              <w:bidi w:val="0"/>
              <w:rPr>
                <w:lang w:val="en-US" w:eastAsia="zh-CN"/>
              </w:rPr>
            </w:pPr>
            <w:r>
              <w:rPr>
                <w:lang w:val="en-US" w:eastAsia="zh-CN"/>
              </w:rPr>
              <w:t>2023- 11-29</w:t>
            </w:r>
          </w:p>
        </w:tc>
        <w:tc>
          <w:tcPr>
            <w:tcW w:w="525" w:type="pct"/>
            <w:shd w:val="clear" w:color="auto" w:fill="auto"/>
            <w:vAlign w:val="top"/>
          </w:tcPr>
          <w:p w14:paraId="5447F9F4">
            <w:pPr>
              <w:pStyle w:val="26"/>
              <w:bidi w:val="0"/>
              <w:rPr>
                <w:lang w:val="en-US" w:eastAsia="zh-CN"/>
              </w:rPr>
            </w:pPr>
            <w:r>
              <w:rPr>
                <w:lang w:val="en-US" w:eastAsia="zh-CN"/>
              </w:rPr>
              <w:t>ND</w:t>
            </w:r>
          </w:p>
        </w:tc>
        <w:tc>
          <w:tcPr>
            <w:tcW w:w="498" w:type="pct"/>
            <w:gridSpan w:val="3"/>
            <w:shd w:val="clear" w:color="auto" w:fill="auto"/>
            <w:vAlign w:val="top"/>
          </w:tcPr>
          <w:p w14:paraId="61349BD6">
            <w:pPr>
              <w:pStyle w:val="26"/>
              <w:bidi w:val="0"/>
              <w:rPr>
                <w:lang w:val="en-US" w:eastAsia="zh-CN"/>
              </w:rPr>
            </w:pPr>
            <w:r>
              <w:rPr>
                <w:lang w:val="en-US" w:eastAsia="zh-CN"/>
              </w:rPr>
              <w:t>ND</w:t>
            </w:r>
          </w:p>
        </w:tc>
        <w:tc>
          <w:tcPr>
            <w:tcW w:w="466" w:type="pct"/>
            <w:shd w:val="clear" w:color="auto" w:fill="auto"/>
            <w:vAlign w:val="top"/>
          </w:tcPr>
          <w:p w14:paraId="381E2D54">
            <w:pPr>
              <w:pStyle w:val="26"/>
              <w:bidi w:val="0"/>
              <w:rPr>
                <w:lang w:val="en-US" w:eastAsia="zh-CN"/>
              </w:rPr>
            </w:pPr>
            <w:r>
              <w:rPr>
                <w:lang w:val="en-US" w:eastAsia="zh-CN"/>
              </w:rPr>
              <w:t>ND</w:t>
            </w:r>
          </w:p>
        </w:tc>
        <w:tc>
          <w:tcPr>
            <w:tcW w:w="493" w:type="pct"/>
            <w:gridSpan w:val="2"/>
            <w:shd w:val="clear" w:color="auto" w:fill="auto"/>
            <w:vAlign w:val="top"/>
          </w:tcPr>
          <w:p w14:paraId="1843C8E6">
            <w:pPr>
              <w:pStyle w:val="26"/>
              <w:bidi w:val="0"/>
              <w:rPr>
                <w:lang w:val="en-US" w:eastAsia="zh-CN"/>
              </w:rPr>
            </w:pPr>
            <w:r>
              <w:rPr>
                <w:lang w:val="en-US" w:eastAsia="zh-CN"/>
              </w:rPr>
              <w:t>ND</w:t>
            </w:r>
          </w:p>
        </w:tc>
        <w:tc>
          <w:tcPr>
            <w:tcW w:w="630" w:type="pct"/>
            <w:vMerge w:val="continue"/>
            <w:vAlign w:val="center"/>
          </w:tcPr>
          <w:p w14:paraId="33B0282C">
            <w:pPr>
              <w:pStyle w:val="26"/>
              <w:bidi w:val="0"/>
              <w:rPr>
                <w:lang w:val="en-US" w:eastAsia="zh-CN"/>
              </w:rPr>
            </w:pPr>
          </w:p>
        </w:tc>
        <w:tc>
          <w:tcPr>
            <w:tcW w:w="456" w:type="pct"/>
            <w:vAlign w:val="center"/>
          </w:tcPr>
          <w:p w14:paraId="1518EA1E">
            <w:pPr>
              <w:pStyle w:val="26"/>
              <w:bidi w:val="0"/>
              <w:rPr>
                <w:lang w:val="en-US" w:eastAsia="zh-CN"/>
              </w:rPr>
            </w:pPr>
            <w:r>
              <w:rPr>
                <w:rFonts w:hint="eastAsia"/>
                <w:lang w:val="en-US" w:eastAsia="zh-CN"/>
              </w:rPr>
              <w:t>达标</w:t>
            </w:r>
          </w:p>
        </w:tc>
      </w:tr>
      <w:tr w14:paraId="6A57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continue"/>
            <w:vAlign w:val="center"/>
          </w:tcPr>
          <w:p w14:paraId="454F3A40">
            <w:pPr>
              <w:pStyle w:val="26"/>
              <w:bidi w:val="0"/>
              <w:rPr>
                <w:lang w:val="en-US" w:eastAsia="zh-CN"/>
              </w:rPr>
            </w:pPr>
          </w:p>
        </w:tc>
        <w:tc>
          <w:tcPr>
            <w:tcW w:w="729" w:type="pct"/>
            <w:vMerge w:val="continue"/>
            <w:vAlign w:val="center"/>
          </w:tcPr>
          <w:p w14:paraId="2067824B">
            <w:pPr>
              <w:pStyle w:val="26"/>
              <w:bidi w:val="0"/>
              <w:rPr>
                <w:lang w:val="en-US" w:eastAsia="zh-CN"/>
              </w:rPr>
            </w:pPr>
          </w:p>
        </w:tc>
        <w:tc>
          <w:tcPr>
            <w:tcW w:w="805" w:type="pct"/>
            <w:shd w:val="clear" w:color="auto" w:fill="auto"/>
            <w:vAlign w:val="top"/>
          </w:tcPr>
          <w:p w14:paraId="69A8B44A">
            <w:pPr>
              <w:pStyle w:val="26"/>
              <w:bidi w:val="0"/>
              <w:rPr>
                <w:lang w:val="en-US" w:eastAsia="zh-CN"/>
              </w:rPr>
            </w:pPr>
            <w:r>
              <w:rPr>
                <w:lang w:val="en-US" w:eastAsia="zh-CN"/>
              </w:rPr>
              <w:t>2023- 11-30</w:t>
            </w:r>
          </w:p>
        </w:tc>
        <w:tc>
          <w:tcPr>
            <w:tcW w:w="525" w:type="pct"/>
            <w:shd w:val="clear" w:color="auto" w:fill="auto"/>
            <w:vAlign w:val="top"/>
          </w:tcPr>
          <w:p w14:paraId="6FE30E39">
            <w:pPr>
              <w:pStyle w:val="26"/>
              <w:bidi w:val="0"/>
              <w:rPr>
                <w:lang w:val="en-US" w:eastAsia="zh-CN"/>
              </w:rPr>
            </w:pPr>
            <w:r>
              <w:rPr>
                <w:lang w:val="en-US" w:eastAsia="zh-CN"/>
              </w:rPr>
              <w:t>ND</w:t>
            </w:r>
          </w:p>
        </w:tc>
        <w:tc>
          <w:tcPr>
            <w:tcW w:w="498" w:type="pct"/>
            <w:gridSpan w:val="3"/>
            <w:shd w:val="clear" w:color="auto" w:fill="auto"/>
            <w:vAlign w:val="top"/>
          </w:tcPr>
          <w:p w14:paraId="389C512F">
            <w:pPr>
              <w:pStyle w:val="26"/>
              <w:bidi w:val="0"/>
              <w:rPr>
                <w:lang w:val="en-US" w:eastAsia="zh-CN"/>
              </w:rPr>
            </w:pPr>
            <w:r>
              <w:rPr>
                <w:lang w:val="en-US" w:eastAsia="zh-CN"/>
              </w:rPr>
              <w:t>ND</w:t>
            </w:r>
          </w:p>
        </w:tc>
        <w:tc>
          <w:tcPr>
            <w:tcW w:w="466" w:type="pct"/>
            <w:shd w:val="clear" w:color="auto" w:fill="auto"/>
            <w:vAlign w:val="top"/>
          </w:tcPr>
          <w:p w14:paraId="7D8F0744">
            <w:pPr>
              <w:pStyle w:val="26"/>
              <w:bidi w:val="0"/>
              <w:rPr>
                <w:lang w:val="en-US" w:eastAsia="zh-CN"/>
              </w:rPr>
            </w:pPr>
            <w:r>
              <w:rPr>
                <w:lang w:val="en-US" w:eastAsia="zh-CN"/>
              </w:rPr>
              <w:t>ND</w:t>
            </w:r>
          </w:p>
        </w:tc>
        <w:tc>
          <w:tcPr>
            <w:tcW w:w="493" w:type="pct"/>
            <w:gridSpan w:val="2"/>
            <w:shd w:val="clear" w:color="auto" w:fill="auto"/>
            <w:vAlign w:val="top"/>
          </w:tcPr>
          <w:p w14:paraId="24A4E106">
            <w:pPr>
              <w:pStyle w:val="26"/>
              <w:bidi w:val="0"/>
              <w:rPr>
                <w:lang w:val="en-US" w:eastAsia="zh-CN"/>
              </w:rPr>
            </w:pPr>
            <w:r>
              <w:rPr>
                <w:lang w:val="en-US" w:eastAsia="zh-CN"/>
              </w:rPr>
              <w:t>ND</w:t>
            </w:r>
          </w:p>
        </w:tc>
        <w:tc>
          <w:tcPr>
            <w:tcW w:w="630" w:type="pct"/>
            <w:vMerge w:val="continue"/>
            <w:vAlign w:val="center"/>
          </w:tcPr>
          <w:p w14:paraId="30F0080C">
            <w:pPr>
              <w:pStyle w:val="26"/>
              <w:bidi w:val="0"/>
              <w:rPr>
                <w:lang w:val="en-US" w:eastAsia="zh-CN"/>
              </w:rPr>
            </w:pPr>
          </w:p>
        </w:tc>
        <w:tc>
          <w:tcPr>
            <w:tcW w:w="456" w:type="pct"/>
            <w:vAlign w:val="center"/>
          </w:tcPr>
          <w:p w14:paraId="49C44F24">
            <w:pPr>
              <w:pStyle w:val="26"/>
              <w:bidi w:val="0"/>
              <w:rPr>
                <w:lang w:val="en-US" w:eastAsia="zh-CN"/>
              </w:rPr>
            </w:pPr>
            <w:r>
              <w:rPr>
                <w:rFonts w:hint="eastAsia"/>
                <w:lang w:val="en-US" w:eastAsia="zh-CN"/>
              </w:rPr>
              <w:t>达标</w:t>
            </w:r>
          </w:p>
        </w:tc>
      </w:tr>
      <w:tr w14:paraId="366C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continue"/>
            <w:vAlign w:val="center"/>
          </w:tcPr>
          <w:p w14:paraId="24DE9C8E">
            <w:pPr>
              <w:pStyle w:val="26"/>
              <w:bidi w:val="0"/>
              <w:rPr>
                <w:lang w:val="en-US" w:eastAsia="zh-CN"/>
              </w:rPr>
            </w:pPr>
          </w:p>
        </w:tc>
        <w:tc>
          <w:tcPr>
            <w:tcW w:w="729" w:type="pct"/>
            <w:vMerge w:val="continue"/>
            <w:vAlign w:val="center"/>
          </w:tcPr>
          <w:p w14:paraId="22F75D0F">
            <w:pPr>
              <w:pStyle w:val="26"/>
              <w:bidi w:val="0"/>
              <w:rPr>
                <w:lang w:val="en-US" w:eastAsia="zh-CN"/>
              </w:rPr>
            </w:pPr>
          </w:p>
        </w:tc>
        <w:tc>
          <w:tcPr>
            <w:tcW w:w="805" w:type="pct"/>
            <w:shd w:val="clear" w:color="auto" w:fill="auto"/>
            <w:vAlign w:val="top"/>
          </w:tcPr>
          <w:p w14:paraId="2248A919">
            <w:pPr>
              <w:pStyle w:val="26"/>
              <w:bidi w:val="0"/>
              <w:rPr>
                <w:lang w:val="en-US" w:eastAsia="zh-CN"/>
              </w:rPr>
            </w:pPr>
            <w:r>
              <w:rPr>
                <w:lang w:val="en-US" w:eastAsia="zh-CN"/>
              </w:rPr>
              <w:t>2023- 12-01</w:t>
            </w:r>
          </w:p>
        </w:tc>
        <w:tc>
          <w:tcPr>
            <w:tcW w:w="525" w:type="pct"/>
            <w:shd w:val="clear" w:color="auto" w:fill="auto"/>
            <w:vAlign w:val="top"/>
          </w:tcPr>
          <w:p w14:paraId="69F868EE">
            <w:pPr>
              <w:pStyle w:val="26"/>
              <w:bidi w:val="0"/>
              <w:rPr>
                <w:lang w:val="en-US" w:eastAsia="zh-CN"/>
              </w:rPr>
            </w:pPr>
            <w:r>
              <w:rPr>
                <w:lang w:val="en-US" w:eastAsia="zh-CN"/>
              </w:rPr>
              <w:t>ND</w:t>
            </w:r>
          </w:p>
        </w:tc>
        <w:tc>
          <w:tcPr>
            <w:tcW w:w="498" w:type="pct"/>
            <w:gridSpan w:val="3"/>
            <w:shd w:val="clear" w:color="auto" w:fill="auto"/>
            <w:vAlign w:val="top"/>
          </w:tcPr>
          <w:p w14:paraId="0CCF4E1A">
            <w:pPr>
              <w:pStyle w:val="26"/>
              <w:bidi w:val="0"/>
              <w:rPr>
                <w:lang w:val="en-US" w:eastAsia="zh-CN"/>
              </w:rPr>
            </w:pPr>
            <w:r>
              <w:rPr>
                <w:lang w:val="en-US" w:eastAsia="zh-CN"/>
              </w:rPr>
              <w:t>ND</w:t>
            </w:r>
          </w:p>
        </w:tc>
        <w:tc>
          <w:tcPr>
            <w:tcW w:w="466" w:type="pct"/>
            <w:shd w:val="clear" w:color="auto" w:fill="auto"/>
            <w:vAlign w:val="top"/>
          </w:tcPr>
          <w:p w14:paraId="70B35D84">
            <w:pPr>
              <w:pStyle w:val="26"/>
              <w:bidi w:val="0"/>
              <w:rPr>
                <w:lang w:val="en-US" w:eastAsia="zh-CN"/>
              </w:rPr>
            </w:pPr>
            <w:r>
              <w:rPr>
                <w:lang w:val="en-US" w:eastAsia="zh-CN"/>
              </w:rPr>
              <w:t>ND</w:t>
            </w:r>
          </w:p>
        </w:tc>
        <w:tc>
          <w:tcPr>
            <w:tcW w:w="493" w:type="pct"/>
            <w:gridSpan w:val="2"/>
            <w:shd w:val="clear" w:color="auto" w:fill="auto"/>
            <w:vAlign w:val="top"/>
          </w:tcPr>
          <w:p w14:paraId="3B9B3A3D">
            <w:pPr>
              <w:pStyle w:val="26"/>
              <w:bidi w:val="0"/>
              <w:rPr>
                <w:lang w:val="en-US" w:eastAsia="zh-CN"/>
              </w:rPr>
            </w:pPr>
            <w:r>
              <w:rPr>
                <w:lang w:val="en-US" w:eastAsia="zh-CN"/>
              </w:rPr>
              <w:t>ND</w:t>
            </w:r>
          </w:p>
        </w:tc>
        <w:tc>
          <w:tcPr>
            <w:tcW w:w="630" w:type="pct"/>
            <w:vMerge w:val="continue"/>
            <w:vAlign w:val="center"/>
          </w:tcPr>
          <w:p w14:paraId="79057A0E">
            <w:pPr>
              <w:pStyle w:val="26"/>
              <w:bidi w:val="0"/>
              <w:rPr>
                <w:lang w:val="en-US" w:eastAsia="zh-CN"/>
              </w:rPr>
            </w:pPr>
          </w:p>
        </w:tc>
        <w:tc>
          <w:tcPr>
            <w:tcW w:w="456" w:type="pct"/>
            <w:vAlign w:val="center"/>
          </w:tcPr>
          <w:p w14:paraId="6F3479EE">
            <w:pPr>
              <w:pStyle w:val="26"/>
              <w:bidi w:val="0"/>
              <w:rPr>
                <w:lang w:val="en-US" w:eastAsia="zh-CN"/>
              </w:rPr>
            </w:pPr>
            <w:r>
              <w:rPr>
                <w:rFonts w:hint="eastAsia"/>
                <w:lang w:val="en-US" w:eastAsia="zh-CN"/>
              </w:rPr>
              <w:t>达标</w:t>
            </w:r>
          </w:p>
        </w:tc>
      </w:tr>
      <w:tr w14:paraId="5AE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394" w:type="pct"/>
            <w:vMerge w:val="continue"/>
            <w:vAlign w:val="center"/>
          </w:tcPr>
          <w:p w14:paraId="6515AAC3">
            <w:pPr>
              <w:pStyle w:val="26"/>
              <w:bidi w:val="0"/>
              <w:rPr>
                <w:lang w:val="en-US" w:eastAsia="zh-CN"/>
              </w:rPr>
            </w:pPr>
          </w:p>
        </w:tc>
        <w:tc>
          <w:tcPr>
            <w:tcW w:w="729" w:type="pct"/>
            <w:vMerge w:val="continue"/>
            <w:vAlign w:val="center"/>
          </w:tcPr>
          <w:p w14:paraId="67CCD356">
            <w:pPr>
              <w:pStyle w:val="26"/>
              <w:bidi w:val="0"/>
              <w:rPr>
                <w:lang w:val="en-US" w:eastAsia="zh-CN"/>
              </w:rPr>
            </w:pPr>
          </w:p>
        </w:tc>
        <w:tc>
          <w:tcPr>
            <w:tcW w:w="805" w:type="pct"/>
            <w:shd w:val="clear" w:color="auto" w:fill="auto"/>
            <w:vAlign w:val="top"/>
          </w:tcPr>
          <w:p w14:paraId="25FD8E44">
            <w:pPr>
              <w:pStyle w:val="26"/>
              <w:bidi w:val="0"/>
              <w:rPr>
                <w:lang w:val="en-US" w:eastAsia="zh-CN"/>
              </w:rPr>
            </w:pPr>
            <w:r>
              <w:rPr>
                <w:lang w:val="en-US" w:eastAsia="zh-CN"/>
              </w:rPr>
              <w:t>2023- 12-02</w:t>
            </w:r>
          </w:p>
        </w:tc>
        <w:tc>
          <w:tcPr>
            <w:tcW w:w="525" w:type="pct"/>
            <w:shd w:val="clear" w:color="auto" w:fill="auto"/>
            <w:vAlign w:val="top"/>
          </w:tcPr>
          <w:p w14:paraId="47D3201D">
            <w:pPr>
              <w:pStyle w:val="26"/>
              <w:bidi w:val="0"/>
              <w:rPr>
                <w:lang w:val="en-US" w:eastAsia="zh-CN"/>
              </w:rPr>
            </w:pPr>
            <w:r>
              <w:rPr>
                <w:lang w:val="en-US" w:eastAsia="zh-CN"/>
              </w:rPr>
              <w:t>ND</w:t>
            </w:r>
          </w:p>
        </w:tc>
        <w:tc>
          <w:tcPr>
            <w:tcW w:w="498" w:type="pct"/>
            <w:gridSpan w:val="3"/>
            <w:shd w:val="clear" w:color="auto" w:fill="auto"/>
            <w:vAlign w:val="top"/>
          </w:tcPr>
          <w:p w14:paraId="237DD54B">
            <w:pPr>
              <w:pStyle w:val="26"/>
              <w:bidi w:val="0"/>
              <w:rPr>
                <w:lang w:val="en-US" w:eastAsia="zh-CN"/>
              </w:rPr>
            </w:pPr>
            <w:r>
              <w:rPr>
                <w:lang w:val="en-US" w:eastAsia="zh-CN"/>
              </w:rPr>
              <w:t>ND</w:t>
            </w:r>
          </w:p>
        </w:tc>
        <w:tc>
          <w:tcPr>
            <w:tcW w:w="466" w:type="pct"/>
            <w:shd w:val="clear" w:color="auto" w:fill="auto"/>
            <w:vAlign w:val="top"/>
          </w:tcPr>
          <w:p w14:paraId="079F03D1">
            <w:pPr>
              <w:pStyle w:val="26"/>
              <w:bidi w:val="0"/>
              <w:rPr>
                <w:lang w:val="en-US" w:eastAsia="zh-CN"/>
              </w:rPr>
            </w:pPr>
            <w:r>
              <w:rPr>
                <w:lang w:val="en-US" w:eastAsia="zh-CN"/>
              </w:rPr>
              <w:t>ND</w:t>
            </w:r>
          </w:p>
        </w:tc>
        <w:tc>
          <w:tcPr>
            <w:tcW w:w="493" w:type="pct"/>
            <w:gridSpan w:val="2"/>
            <w:shd w:val="clear" w:color="auto" w:fill="auto"/>
            <w:vAlign w:val="top"/>
          </w:tcPr>
          <w:p w14:paraId="3B9DF6BE">
            <w:pPr>
              <w:pStyle w:val="26"/>
              <w:bidi w:val="0"/>
              <w:rPr>
                <w:lang w:val="en-US" w:eastAsia="zh-CN"/>
              </w:rPr>
            </w:pPr>
            <w:r>
              <w:rPr>
                <w:lang w:val="en-US" w:eastAsia="zh-CN"/>
              </w:rPr>
              <w:t>ND</w:t>
            </w:r>
          </w:p>
        </w:tc>
        <w:tc>
          <w:tcPr>
            <w:tcW w:w="630" w:type="pct"/>
            <w:vMerge w:val="continue"/>
            <w:vAlign w:val="center"/>
          </w:tcPr>
          <w:p w14:paraId="7B2177A3">
            <w:pPr>
              <w:pStyle w:val="26"/>
              <w:bidi w:val="0"/>
              <w:rPr>
                <w:lang w:val="en-US" w:eastAsia="zh-CN"/>
              </w:rPr>
            </w:pPr>
          </w:p>
        </w:tc>
        <w:tc>
          <w:tcPr>
            <w:tcW w:w="456" w:type="pct"/>
            <w:vAlign w:val="center"/>
          </w:tcPr>
          <w:p w14:paraId="754ABA28">
            <w:pPr>
              <w:pStyle w:val="26"/>
              <w:bidi w:val="0"/>
              <w:rPr>
                <w:lang w:val="en-US" w:eastAsia="zh-CN"/>
              </w:rPr>
            </w:pPr>
            <w:r>
              <w:rPr>
                <w:rFonts w:hint="eastAsia"/>
                <w:lang w:val="en-US" w:eastAsia="zh-CN"/>
              </w:rPr>
              <w:t>达标</w:t>
            </w:r>
          </w:p>
        </w:tc>
      </w:tr>
      <w:tr w14:paraId="7191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394" w:type="pct"/>
            <w:vMerge w:val="continue"/>
            <w:vAlign w:val="center"/>
          </w:tcPr>
          <w:p w14:paraId="47D56A13">
            <w:pPr>
              <w:pStyle w:val="26"/>
              <w:bidi w:val="0"/>
              <w:rPr>
                <w:lang w:val="en-US" w:eastAsia="zh-CN"/>
              </w:rPr>
            </w:pPr>
          </w:p>
        </w:tc>
        <w:tc>
          <w:tcPr>
            <w:tcW w:w="729" w:type="pct"/>
            <w:vMerge w:val="continue"/>
            <w:vAlign w:val="center"/>
          </w:tcPr>
          <w:p w14:paraId="2E5971EB">
            <w:pPr>
              <w:pStyle w:val="26"/>
              <w:bidi w:val="0"/>
              <w:rPr>
                <w:lang w:val="en-US" w:eastAsia="zh-CN"/>
              </w:rPr>
            </w:pPr>
          </w:p>
        </w:tc>
        <w:tc>
          <w:tcPr>
            <w:tcW w:w="805" w:type="pct"/>
            <w:shd w:val="clear" w:color="auto" w:fill="auto"/>
            <w:vAlign w:val="top"/>
          </w:tcPr>
          <w:p w14:paraId="4ABE3431">
            <w:pPr>
              <w:pStyle w:val="26"/>
              <w:bidi w:val="0"/>
              <w:rPr>
                <w:lang w:val="en-US" w:eastAsia="zh-CN"/>
              </w:rPr>
            </w:pPr>
            <w:r>
              <w:rPr>
                <w:lang w:val="en-US" w:eastAsia="zh-CN"/>
              </w:rPr>
              <w:t>2023- 12-03</w:t>
            </w:r>
          </w:p>
        </w:tc>
        <w:tc>
          <w:tcPr>
            <w:tcW w:w="525" w:type="pct"/>
            <w:shd w:val="clear" w:color="auto" w:fill="auto"/>
            <w:vAlign w:val="top"/>
          </w:tcPr>
          <w:p w14:paraId="32049361">
            <w:pPr>
              <w:pStyle w:val="26"/>
              <w:bidi w:val="0"/>
              <w:rPr>
                <w:lang w:val="en-US" w:eastAsia="zh-CN"/>
              </w:rPr>
            </w:pPr>
            <w:r>
              <w:rPr>
                <w:lang w:val="en-US" w:eastAsia="zh-CN"/>
              </w:rPr>
              <w:t>ND</w:t>
            </w:r>
          </w:p>
        </w:tc>
        <w:tc>
          <w:tcPr>
            <w:tcW w:w="498" w:type="pct"/>
            <w:gridSpan w:val="3"/>
            <w:shd w:val="clear" w:color="auto" w:fill="auto"/>
            <w:vAlign w:val="top"/>
          </w:tcPr>
          <w:p w14:paraId="440CC8DC">
            <w:pPr>
              <w:pStyle w:val="26"/>
              <w:bidi w:val="0"/>
              <w:rPr>
                <w:lang w:val="en-US" w:eastAsia="zh-CN"/>
              </w:rPr>
            </w:pPr>
            <w:r>
              <w:rPr>
                <w:lang w:val="en-US" w:eastAsia="zh-CN"/>
              </w:rPr>
              <w:t>ND</w:t>
            </w:r>
          </w:p>
        </w:tc>
        <w:tc>
          <w:tcPr>
            <w:tcW w:w="466" w:type="pct"/>
            <w:shd w:val="clear" w:color="auto" w:fill="auto"/>
            <w:vAlign w:val="top"/>
          </w:tcPr>
          <w:p w14:paraId="06F5FCF2">
            <w:pPr>
              <w:pStyle w:val="26"/>
              <w:bidi w:val="0"/>
              <w:rPr>
                <w:lang w:val="en-US" w:eastAsia="zh-CN"/>
              </w:rPr>
            </w:pPr>
            <w:r>
              <w:rPr>
                <w:lang w:val="en-US" w:eastAsia="zh-CN"/>
              </w:rPr>
              <w:t>ND</w:t>
            </w:r>
          </w:p>
        </w:tc>
        <w:tc>
          <w:tcPr>
            <w:tcW w:w="493" w:type="pct"/>
            <w:gridSpan w:val="2"/>
            <w:shd w:val="clear" w:color="auto" w:fill="auto"/>
            <w:vAlign w:val="top"/>
          </w:tcPr>
          <w:p w14:paraId="1CE81817">
            <w:pPr>
              <w:pStyle w:val="26"/>
              <w:bidi w:val="0"/>
              <w:rPr>
                <w:lang w:val="en-US" w:eastAsia="zh-CN"/>
              </w:rPr>
            </w:pPr>
            <w:r>
              <w:rPr>
                <w:lang w:val="en-US" w:eastAsia="zh-CN"/>
              </w:rPr>
              <w:t>ND</w:t>
            </w:r>
          </w:p>
        </w:tc>
        <w:tc>
          <w:tcPr>
            <w:tcW w:w="630" w:type="pct"/>
            <w:vMerge w:val="continue"/>
            <w:vAlign w:val="center"/>
          </w:tcPr>
          <w:p w14:paraId="17F327B5">
            <w:pPr>
              <w:pStyle w:val="26"/>
              <w:bidi w:val="0"/>
              <w:rPr>
                <w:lang w:val="en-US" w:eastAsia="zh-CN"/>
              </w:rPr>
            </w:pPr>
          </w:p>
        </w:tc>
        <w:tc>
          <w:tcPr>
            <w:tcW w:w="456" w:type="pct"/>
            <w:vAlign w:val="center"/>
          </w:tcPr>
          <w:p w14:paraId="191BD160">
            <w:pPr>
              <w:pStyle w:val="26"/>
              <w:bidi w:val="0"/>
              <w:rPr>
                <w:lang w:val="en-US" w:eastAsia="zh-CN"/>
              </w:rPr>
            </w:pPr>
            <w:r>
              <w:rPr>
                <w:rFonts w:hint="eastAsia"/>
                <w:lang w:val="en-US" w:eastAsia="zh-CN"/>
              </w:rPr>
              <w:t>达标</w:t>
            </w:r>
          </w:p>
        </w:tc>
      </w:tr>
      <w:tr w14:paraId="2DF8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0BA393D2">
            <w:pPr>
              <w:pStyle w:val="26"/>
              <w:bidi w:val="0"/>
              <w:rPr>
                <w:lang w:val="en-US" w:eastAsia="zh-CN"/>
              </w:rPr>
            </w:pPr>
          </w:p>
        </w:tc>
        <w:tc>
          <w:tcPr>
            <w:tcW w:w="729" w:type="pct"/>
            <w:vMerge w:val="restart"/>
            <w:vAlign w:val="center"/>
          </w:tcPr>
          <w:p w14:paraId="4723E1DE">
            <w:pPr>
              <w:pStyle w:val="26"/>
              <w:bidi w:val="0"/>
              <w:rPr>
                <w:rFonts w:hint="eastAsia"/>
                <w:lang w:val="en-US" w:eastAsia="zh-CN"/>
              </w:rPr>
            </w:pPr>
            <w:r>
              <w:rPr>
                <w:lang w:val="en-US" w:eastAsia="zh-CN"/>
              </w:rPr>
              <w:t>硫酸雾（mg/m3）</w:t>
            </w:r>
          </w:p>
        </w:tc>
        <w:tc>
          <w:tcPr>
            <w:tcW w:w="805" w:type="pct"/>
            <w:shd w:val="clear" w:color="auto" w:fill="auto"/>
            <w:vAlign w:val="top"/>
          </w:tcPr>
          <w:p w14:paraId="1C69B915">
            <w:pPr>
              <w:pStyle w:val="26"/>
              <w:bidi w:val="0"/>
              <w:rPr>
                <w:rFonts w:hint="default"/>
                <w:lang w:val="en-US" w:eastAsia="zh-CN"/>
              </w:rPr>
            </w:pPr>
            <w:r>
              <w:rPr>
                <w:lang w:val="en-US" w:eastAsia="zh-CN"/>
              </w:rPr>
              <w:t>2023- 11-27</w:t>
            </w:r>
          </w:p>
        </w:tc>
        <w:tc>
          <w:tcPr>
            <w:tcW w:w="525" w:type="pct"/>
            <w:shd w:val="clear" w:color="auto" w:fill="auto"/>
            <w:vAlign w:val="top"/>
          </w:tcPr>
          <w:p w14:paraId="7C30082C">
            <w:pPr>
              <w:pStyle w:val="26"/>
              <w:bidi w:val="0"/>
              <w:rPr>
                <w:rFonts w:hint="default"/>
                <w:lang w:val="en-US" w:eastAsia="zh-CN"/>
              </w:rPr>
            </w:pPr>
            <w:r>
              <w:rPr>
                <w:lang w:val="en-US" w:eastAsia="zh-CN"/>
              </w:rPr>
              <w:t>0.079</w:t>
            </w:r>
          </w:p>
        </w:tc>
        <w:tc>
          <w:tcPr>
            <w:tcW w:w="498" w:type="pct"/>
            <w:gridSpan w:val="3"/>
            <w:shd w:val="clear" w:color="auto" w:fill="auto"/>
            <w:vAlign w:val="top"/>
          </w:tcPr>
          <w:p w14:paraId="0285B7D0">
            <w:pPr>
              <w:pStyle w:val="26"/>
              <w:bidi w:val="0"/>
              <w:rPr>
                <w:rFonts w:hint="default"/>
                <w:lang w:val="en-US" w:eastAsia="zh-CN"/>
              </w:rPr>
            </w:pPr>
            <w:r>
              <w:rPr>
                <w:lang w:val="en-US" w:eastAsia="zh-CN"/>
              </w:rPr>
              <w:t>0.087</w:t>
            </w:r>
          </w:p>
        </w:tc>
        <w:tc>
          <w:tcPr>
            <w:tcW w:w="466" w:type="pct"/>
            <w:shd w:val="clear" w:color="auto" w:fill="auto"/>
            <w:vAlign w:val="top"/>
          </w:tcPr>
          <w:p w14:paraId="0C64B3EE">
            <w:pPr>
              <w:pStyle w:val="26"/>
              <w:bidi w:val="0"/>
              <w:rPr>
                <w:rFonts w:hint="default"/>
                <w:lang w:val="en-US" w:eastAsia="zh-CN"/>
              </w:rPr>
            </w:pPr>
            <w:r>
              <w:rPr>
                <w:lang w:val="en-US" w:eastAsia="zh-CN"/>
              </w:rPr>
              <w:t>0.080</w:t>
            </w:r>
          </w:p>
        </w:tc>
        <w:tc>
          <w:tcPr>
            <w:tcW w:w="493" w:type="pct"/>
            <w:gridSpan w:val="2"/>
            <w:shd w:val="clear" w:color="auto" w:fill="auto"/>
            <w:vAlign w:val="top"/>
          </w:tcPr>
          <w:p w14:paraId="003700CE">
            <w:pPr>
              <w:pStyle w:val="26"/>
              <w:bidi w:val="0"/>
              <w:rPr>
                <w:rFonts w:hint="default"/>
                <w:lang w:val="en-US" w:eastAsia="zh-CN"/>
              </w:rPr>
            </w:pPr>
            <w:r>
              <w:rPr>
                <w:lang w:val="en-US" w:eastAsia="zh-CN"/>
              </w:rPr>
              <w:t>0.078</w:t>
            </w:r>
          </w:p>
        </w:tc>
        <w:tc>
          <w:tcPr>
            <w:tcW w:w="630" w:type="pct"/>
            <w:vMerge w:val="restart"/>
            <w:vAlign w:val="center"/>
          </w:tcPr>
          <w:p w14:paraId="79D4CAC2">
            <w:pPr>
              <w:pStyle w:val="26"/>
              <w:bidi w:val="0"/>
              <w:rPr>
                <w:lang w:val="en-US" w:eastAsia="zh-CN"/>
              </w:rPr>
            </w:pPr>
            <w:r>
              <w:rPr>
                <w:lang w:val="en-US" w:eastAsia="zh-CN"/>
              </w:rPr>
              <w:t>0.3</w:t>
            </w:r>
          </w:p>
          <w:p w14:paraId="26406D4E">
            <w:pPr>
              <w:pStyle w:val="26"/>
              <w:bidi w:val="0"/>
              <w:rPr>
                <w:rFonts w:hint="eastAsia"/>
                <w:lang w:val="en-US" w:eastAsia="zh-CN"/>
              </w:rPr>
            </w:pPr>
            <w:r>
              <w:rPr>
                <w:lang w:val="en-US" w:eastAsia="zh-CN"/>
              </w:rPr>
              <w:t>（1h  平均）</w:t>
            </w:r>
          </w:p>
        </w:tc>
        <w:tc>
          <w:tcPr>
            <w:tcW w:w="456" w:type="pct"/>
            <w:vAlign w:val="center"/>
          </w:tcPr>
          <w:p w14:paraId="1F5A561B">
            <w:pPr>
              <w:pStyle w:val="26"/>
              <w:bidi w:val="0"/>
              <w:rPr>
                <w:lang w:val="en-US" w:eastAsia="zh-CN"/>
              </w:rPr>
            </w:pPr>
            <w:r>
              <w:rPr>
                <w:rFonts w:hint="eastAsia"/>
                <w:lang w:val="en-US" w:eastAsia="zh-CN"/>
              </w:rPr>
              <w:t>达标</w:t>
            </w:r>
          </w:p>
        </w:tc>
      </w:tr>
      <w:tr w14:paraId="1FA5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77850E70">
            <w:pPr>
              <w:pStyle w:val="26"/>
              <w:bidi w:val="0"/>
            </w:pPr>
          </w:p>
        </w:tc>
        <w:tc>
          <w:tcPr>
            <w:tcW w:w="729" w:type="pct"/>
            <w:vMerge w:val="continue"/>
            <w:vAlign w:val="center"/>
          </w:tcPr>
          <w:p w14:paraId="5A2CB357">
            <w:pPr>
              <w:pStyle w:val="26"/>
              <w:bidi w:val="0"/>
            </w:pPr>
          </w:p>
        </w:tc>
        <w:tc>
          <w:tcPr>
            <w:tcW w:w="805" w:type="pct"/>
            <w:shd w:val="clear" w:color="auto" w:fill="auto"/>
            <w:vAlign w:val="top"/>
          </w:tcPr>
          <w:p w14:paraId="5287ED1A">
            <w:pPr>
              <w:pStyle w:val="26"/>
              <w:bidi w:val="0"/>
              <w:rPr>
                <w:rFonts w:hint="default"/>
                <w:lang w:val="en-US" w:eastAsia="zh-CN"/>
              </w:rPr>
            </w:pPr>
            <w:r>
              <w:rPr>
                <w:lang w:val="en-US" w:eastAsia="zh-CN"/>
              </w:rPr>
              <w:t>2023- 1128</w:t>
            </w:r>
          </w:p>
        </w:tc>
        <w:tc>
          <w:tcPr>
            <w:tcW w:w="525" w:type="pct"/>
            <w:shd w:val="clear" w:color="auto" w:fill="auto"/>
            <w:vAlign w:val="top"/>
          </w:tcPr>
          <w:p w14:paraId="3AAB30C7">
            <w:pPr>
              <w:pStyle w:val="26"/>
              <w:bidi w:val="0"/>
              <w:rPr>
                <w:rFonts w:hint="default"/>
                <w:lang w:val="en-US" w:eastAsia="zh-CN"/>
              </w:rPr>
            </w:pPr>
            <w:r>
              <w:rPr>
                <w:lang w:val="en-US" w:eastAsia="zh-CN"/>
              </w:rPr>
              <w:t>0.080</w:t>
            </w:r>
          </w:p>
        </w:tc>
        <w:tc>
          <w:tcPr>
            <w:tcW w:w="498" w:type="pct"/>
            <w:gridSpan w:val="3"/>
            <w:shd w:val="clear" w:color="auto" w:fill="auto"/>
            <w:vAlign w:val="top"/>
          </w:tcPr>
          <w:p w14:paraId="115ADDD1">
            <w:pPr>
              <w:pStyle w:val="26"/>
              <w:bidi w:val="0"/>
              <w:rPr>
                <w:rFonts w:hint="default"/>
                <w:lang w:val="en-US" w:eastAsia="zh-CN"/>
              </w:rPr>
            </w:pPr>
            <w:r>
              <w:rPr>
                <w:lang w:val="en-US" w:eastAsia="zh-CN"/>
              </w:rPr>
              <w:t>0.087</w:t>
            </w:r>
          </w:p>
        </w:tc>
        <w:tc>
          <w:tcPr>
            <w:tcW w:w="466" w:type="pct"/>
            <w:shd w:val="clear" w:color="auto" w:fill="auto"/>
            <w:vAlign w:val="top"/>
          </w:tcPr>
          <w:p w14:paraId="50FD585F">
            <w:pPr>
              <w:pStyle w:val="26"/>
              <w:bidi w:val="0"/>
              <w:rPr>
                <w:rFonts w:hint="default"/>
                <w:lang w:val="en-US" w:eastAsia="zh-CN"/>
              </w:rPr>
            </w:pPr>
            <w:r>
              <w:rPr>
                <w:lang w:val="en-US" w:eastAsia="zh-CN"/>
              </w:rPr>
              <w:t>0.083</w:t>
            </w:r>
          </w:p>
        </w:tc>
        <w:tc>
          <w:tcPr>
            <w:tcW w:w="493" w:type="pct"/>
            <w:gridSpan w:val="2"/>
            <w:shd w:val="clear" w:color="auto" w:fill="auto"/>
            <w:vAlign w:val="top"/>
          </w:tcPr>
          <w:p w14:paraId="58D30D4E">
            <w:pPr>
              <w:pStyle w:val="26"/>
              <w:bidi w:val="0"/>
              <w:rPr>
                <w:rFonts w:hint="default"/>
                <w:lang w:val="en-US" w:eastAsia="zh-CN"/>
              </w:rPr>
            </w:pPr>
            <w:r>
              <w:rPr>
                <w:lang w:val="en-US" w:eastAsia="zh-CN"/>
              </w:rPr>
              <w:t>0.082</w:t>
            </w:r>
          </w:p>
        </w:tc>
        <w:tc>
          <w:tcPr>
            <w:tcW w:w="630" w:type="pct"/>
            <w:vMerge w:val="continue"/>
            <w:vAlign w:val="center"/>
          </w:tcPr>
          <w:p w14:paraId="3FD4BAB8">
            <w:pPr>
              <w:pStyle w:val="26"/>
              <w:bidi w:val="0"/>
              <w:rPr>
                <w:rFonts w:hint="default"/>
                <w:lang w:val="en-US" w:eastAsia="zh-CN"/>
              </w:rPr>
            </w:pPr>
          </w:p>
        </w:tc>
        <w:tc>
          <w:tcPr>
            <w:tcW w:w="456" w:type="pct"/>
            <w:vAlign w:val="center"/>
          </w:tcPr>
          <w:p w14:paraId="54365A6F">
            <w:pPr>
              <w:pStyle w:val="26"/>
              <w:bidi w:val="0"/>
              <w:rPr>
                <w:rFonts w:hint="default"/>
                <w:lang w:val="en-US" w:eastAsia="zh-CN"/>
              </w:rPr>
            </w:pPr>
            <w:r>
              <w:rPr>
                <w:rFonts w:hint="eastAsia"/>
                <w:lang w:val="en-US" w:eastAsia="zh-CN"/>
              </w:rPr>
              <w:t>达标</w:t>
            </w:r>
          </w:p>
        </w:tc>
      </w:tr>
      <w:tr w14:paraId="503E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791FA149">
            <w:pPr>
              <w:pStyle w:val="26"/>
              <w:bidi w:val="0"/>
              <w:rPr>
                <w:rFonts w:hint="default"/>
                <w:lang w:val="en-US" w:eastAsia="zh-CN"/>
              </w:rPr>
            </w:pPr>
          </w:p>
        </w:tc>
        <w:tc>
          <w:tcPr>
            <w:tcW w:w="729" w:type="pct"/>
            <w:vMerge w:val="continue"/>
            <w:vAlign w:val="center"/>
          </w:tcPr>
          <w:p w14:paraId="5A027592">
            <w:pPr>
              <w:pStyle w:val="26"/>
              <w:bidi w:val="0"/>
              <w:rPr>
                <w:rFonts w:hint="default"/>
                <w:lang w:val="en-US" w:eastAsia="zh-CN"/>
              </w:rPr>
            </w:pPr>
          </w:p>
        </w:tc>
        <w:tc>
          <w:tcPr>
            <w:tcW w:w="805" w:type="pct"/>
            <w:shd w:val="clear" w:color="auto" w:fill="auto"/>
            <w:vAlign w:val="top"/>
          </w:tcPr>
          <w:p w14:paraId="15DFDF27">
            <w:pPr>
              <w:pStyle w:val="26"/>
              <w:bidi w:val="0"/>
              <w:rPr>
                <w:rFonts w:hint="default"/>
                <w:lang w:val="en-US" w:eastAsia="zh-CN"/>
              </w:rPr>
            </w:pPr>
            <w:r>
              <w:rPr>
                <w:lang w:val="en-US" w:eastAsia="zh-CN"/>
              </w:rPr>
              <w:t>2023- 11-29</w:t>
            </w:r>
          </w:p>
        </w:tc>
        <w:tc>
          <w:tcPr>
            <w:tcW w:w="525" w:type="pct"/>
            <w:shd w:val="clear" w:color="auto" w:fill="auto"/>
            <w:vAlign w:val="top"/>
          </w:tcPr>
          <w:p w14:paraId="6D43F86B">
            <w:pPr>
              <w:pStyle w:val="26"/>
              <w:bidi w:val="0"/>
              <w:rPr>
                <w:rFonts w:hint="default"/>
                <w:lang w:val="en-US" w:eastAsia="zh-CN"/>
              </w:rPr>
            </w:pPr>
            <w:r>
              <w:rPr>
                <w:lang w:val="en-US" w:eastAsia="zh-CN"/>
              </w:rPr>
              <w:t>0.079</w:t>
            </w:r>
          </w:p>
        </w:tc>
        <w:tc>
          <w:tcPr>
            <w:tcW w:w="498" w:type="pct"/>
            <w:gridSpan w:val="3"/>
            <w:shd w:val="clear" w:color="auto" w:fill="auto"/>
            <w:vAlign w:val="top"/>
          </w:tcPr>
          <w:p w14:paraId="63066DE1">
            <w:pPr>
              <w:pStyle w:val="26"/>
              <w:bidi w:val="0"/>
              <w:rPr>
                <w:rFonts w:hint="default"/>
                <w:lang w:val="en-US" w:eastAsia="zh-CN"/>
              </w:rPr>
            </w:pPr>
            <w:r>
              <w:rPr>
                <w:lang w:val="en-US" w:eastAsia="zh-CN"/>
              </w:rPr>
              <w:t>0.088</w:t>
            </w:r>
          </w:p>
        </w:tc>
        <w:tc>
          <w:tcPr>
            <w:tcW w:w="466" w:type="pct"/>
            <w:shd w:val="clear" w:color="auto" w:fill="auto"/>
            <w:vAlign w:val="top"/>
          </w:tcPr>
          <w:p w14:paraId="5752D8DD">
            <w:pPr>
              <w:pStyle w:val="26"/>
              <w:bidi w:val="0"/>
              <w:rPr>
                <w:rFonts w:hint="default"/>
                <w:lang w:val="en-US" w:eastAsia="zh-CN"/>
              </w:rPr>
            </w:pPr>
            <w:r>
              <w:rPr>
                <w:lang w:val="en-US" w:eastAsia="zh-CN"/>
              </w:rPr>
              <w:t>0.084</w:t>
            </w:r>
          </w:p>
        </w:tc>
        <w:tc>
          <w:tcPr>
            <w:tcW w:w="493" w:type="pct"/>
            <w:gridSpan w:val="2"/>
            <w:shd w:val="clear" w:color="auto" w:fill="auto"/>
            <w:vAlign w:val="top"/>
          </w:tcPr>
          <w:p w14:paraId="57362CF4">
            <w:pPr>
              <w:pStyle w:val="26"/>
              <w:bidi w:val="0"/>
              <w:rPr>
                <w:rFonts w:hint="default"/>
                <w:lang w:val="en-US" w:eastAsia="zh-CN"/>
              </w:rPr>
            </w:pPr>
            <w:r>
              <w:rPr>
                <w:lang w:val="en-US" w:eastAsia="zh-CN"/>
              </w:rPr>
              <w:t>0.083</w:t>
            </w:r>
          </w:p>
        </w:tc>
        <w:tc>
          <w:tcPr>
            <w:tcW w:w="630" w:type="pct"/>
            <w:vMerge w:val="continue"/>
            <w:vAlign w:val="center"/>
          </w:tcPr>
          <w:p w14:paraId="470C7F26">
            <w:pPr>
              <w:pStyle w:val="26"/>
              <w:bidi w:val="0"/>
              <w:rPr>
                <w:rFonts w:hint="default"/>
                <w:lang w:val="en-US" w:eastAsia="zh-CN"/>
              </w:rPr>
            </w:pPr>
          </w:p>
        </w:tc>
        <w:tc>
          <w:tcPr>
            <w:tcW w:w="456" w:type="pct"/>
            <w:vAlign w:val="center"/>
          </w:tcPr>
          <w:p w14:paraId="5F299278">
            <w:pPr>
              <w:pStyle w:val="26"/>
              <w:bidi w:val="0"/>
              <w:rPr>
                <w:rFonts w:hint="default"/>
                <w:lang w:val="en-US" w:eastAsia="zh-CN"/>
              </w:rPr>
            </w:pPr>
            <w:r>
              <w:rPr>
                <w:rFonts w:hint="eastAsia"/>
                <w:lang w:val="en-US" w:eastAsia="zh-CN"/>
              </w:rPr>
              <w:t>达标</w:t>
            </w:r>
          </w:p>
        </w:tc>
      </w:tr>
      <w:tr w14:paraId="676D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45502506">
            <w:pPr>
              <w:pStyle w:val="26"/>
              <w:bidi w:val="0"/>
              <w:rPr>
                <w:rFonts w:hint="default"/>
                <w:lang w:val="en-US" w:eastAsia="zh-CN"/>
              </w:rPr>
            </w:pPr>
          </w:p>
        </w:tc>
        <w:tc>
          <w:tcPr>
            <w:tcW w:w="729" w:type="pct"/>
            <w:vMerge w:val="continue"/>
            <w:vAlign w:val="center"/>
          </w:tcPr>
          <w:p w14:paraId="7F47A5A7">
            <w:pPr>
              <w:pStyle w:val="26"/>
              <w:bidi w:val="0"/>
              <w:rPr>
                <w:rFonts w:hint="default"/>
                <w:lang w:val="en-US" w:eastAsia="zh-CN"/>
              </w:rPr>
            </w:pPr>
          </w:p>
        </w:tc>
        <w:tc>
          <w:tcPr>
            <w:tcW w:w="805" w:type="pct"/>
            <w:shd w:val="clear" w:color="auto" w:fill="auto"/>
            <w:vAlign w:val="top"/>
          </w:tcPr>
          <w:p w14:paraId="0A3BF784">
            <w:pPr>
              <w:pStyle w:val="26"/>
              <w:bidi w:val="0"/>
              <w:rPr>
                <w:rFonts w:hint="default"/>
                <w:lang w:val="en-US" w:eastAsia="zh-CN"/>
              </w:rPr>
            </w:pPr>
            <w:r>
              <w:rPr>
                <w:lang w:val="en-US" w:eastAsia="zh-CN"/>
              </w:rPr>
              <w:t>2023- 11-30</w:t>
            </w:r>
          </w:p>
        </w:tc>
        <w:tc>
          <w:tcPr>
            <w:tcW w:w="525" w:type="pct"/>
            <w:shd w:val="clear" w:color="auto" w:fill="auto"/>
            <w:vAlign w:val="top"/>
          </w:tcPr>
          <w:p w14:paraId="0B129507">
            <w:pPr>
              <w:pStyle w:val="26"/>
              <w:bidi w:val="0"/>
              <w:rPr>
                <w:rFonts w:hint="default"/>
                <w:lang w:val="en-US" w:eastAsia="zh-CN"/>
              </w:rPr>
            </w:pPr>
            <w:r>
              <w:rPr>
                <w:lang w:val="en-US" w:eastAsia="zh-CN"/>
              </w:rPr>
              <w:t>0.084</w:t>
            </w:r>
          </w:p>
        </w:tc>
        <w:tc>
          <w:tcPr>
            <w:tcW w:w="498" w:type="pct"/>
            <w:gridSpan w:val="3"/>
            <w:shd w:val="clear" w:color="auto" w:fill="auto"/>
            <w:vAlign w:val="top"/>
          </w:tcPr>
          <w:p w14:paraId="704269A2">
            <w:pPr>
              <w:pStyle w:val="26"/>
              <w:bidi w:val="0"/>
              <w:rPr>
                <w:rFonts w:hint="default"/>
                <w:lang w:val="en-US" w:eastAsia="zh-CN"/>
              </w:rPr>
            </w:pPr>
            <w:r>
              <w:rPr>
                <w:lang w:val="en-US" w:eastAsia="zh-CN"/>
              </w:rPr>
              <w:t>0.076</w:t>
            </w:r>
          </w:p>
        </w:tc>
        <w:tc>
          <w:tcPr>
            <w:tcW w:w="466" w:type="pct"/>
            <w:shd w:val="clear" w:color="auto" w:fill="auto"/>
            <w:vAlign w:val="top"/>
          </w:tcPr>
          <w:p w14:paraId="31022E39">
            <w:pPr>
              <w:pStyle w:val="26"/>
              <w:bidi w:val="0"/>
              <w:rPr>
                <w:rFonts w:hint="default"/>
                <w:lang w:val="en-US" w:eastAsia="zh-CN"/>
              </w:rPr>
            </w:pPr>
            <w:r>
              <w:rPr>
                <w:lang w:val="en-US" w:eastAsia="zh-CN"/>
              </w:rPr>
              <w:t>0.079</w:t>
            </w:r>
          </w:p>
        </w:tc>
        <w:tc>
          <w:tcPr>
            <w:tcW w:w="493" w:type="pct"/>
            <w:gridSpan w:val="2"/>
            <w:shd w:val="clear" w:color="auto" w:fill="auto"/>
            <w:vAlign w:val="top"/>
          </w:tcPr>
          <w:p w14:paraId="49DEDA8B">
            <w:pPr>
              <w:pStyle w:val="26"/>
              <w:bidi w:val="0"/>
              <w:rPr>
                <w:rFonts w:hint="default"/>
                <w:lang w:val="en-US" w:eastAsia="zh-CN"/>
              </w:rPr>
            </w:pPr>
            <w:r>
              <w:rPr>
                <w:lang w:val="en-US" w:eastAsia="zh-CN"/>
              </w:rPr>
              <w:t>0.079</w:t>
            </w:r>
          </w:p>
        </w:tc>
        <w:tc>
          <w:tcPr>
            <w:tcW w:w="630" w:type="pct"/>
            <w:vMerge w:val="continue"/>
            <w:vAlign w:val="center"/>
          </w:tcPr>
          <w:p w14:paraId="0B402C9F">
            <w:pPr>
              <w:pStyle w:val="26"/>
              <w:bidi w:val="0"/>
              <w:rPr>
                <w:rFonts w:hint="default"/>
                <w:lang w:val="en-US" w:eastAsia="zh-CN"/>
              </w:rPr>
            </w:pPr>
          </w:p>
        </w:tc>
        <w:tc>
          <w:tcPr>
            <w:tcW w:w="456" w:type="pct"/>
            <w:vAlign w:val="center"/>
          </w:tcPr>
          <w:p w14:paraId="5BF02258">
            <w:pPr>
              <w:pStyle w:val="26"/>
              <w:bidi w:val="0"/>
              <w:rPr>
                <w:rFonts w:hint="default"/>
                <w:lang w:val="en-US" w:eastAsia="zh-CN"/>
              </w:rPr>
            </w:pPr>
            <w:r>
              <w:rPr>
                <w:rFonts w:hint="eastAsia"/>
                <w:lang w:val="en-US" w:eastAsia="zh-CN"/>
              </w:rPr>
              <w:t>达标</w:t>
            </w:r>
          </w:p>
        </w:tc>
      </w:tr>
      <w:tr w14:paraId="62D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34E7201C">
            <w:pPr>
              <w:pStyle w:val="26"/>
              <w:bidi w:val="0"/>
              <w:rPr>
                <w:rFonts w:hint="default"/>
                <w:lang w:val="en-US" w:eastAsia="zh-CN"/>
              </w:rPr>
            </w:pPr>
          </w:p>
        </w:tc>
        <w:tc>
          <w:tcPr>
            <w:tcW w:w="729" w:type="pct"/>
            <w:vMerge w:val="continue"/>
            <w:vAlign w:val="center"/>
          </w:tcPr>
          <w:p w14:paraId="14F17F9B">
            <w:pPr>
              <w:pStyle w:val="26"/>
              <w:bidi w:val="0"/>
              <w:rPr>
                <w:rFonts w:hint="default"/>
                <w:lang w:val="en-US" w:eastAsia="zh-CN"/>
              </w:rPr>
            </w:pPr>
          </w:p>
        </w:tc>
        <w:tc>
          <w:tcPr>
            <w:tcW w:w="805" w:type="pct"/>
            <w:shd w:val="clear" w:color="auto" w:fill="auto"/>
            <w:vAlign w:val="top"/>
          </w:tcPr>
          <w:p w14:paraId="471468A9">
            <w:pPr>
              <w:pStyle w:val="26"/>
              <w:bidi w:val="0"/>
              <w:rPr>
                <w:rFonts w:hint="default"/>
                <w:lang w:val="en-US" w:eastAsia="zh-CN"/>
              </w:rPr>
            </w:pPr>
            <w:r>
              <w:rPr>
                <w:lang w:val="en-US" w:eastAsia="zh-CN"/>
              </w:rPr>
              <w:t>2023- 12-01</w:t>
            </w:r>
          </w:p>
        </w:tc>
        <w:tc>
          <w:tcPr>
            <w:tcW w:w="525" w:type="pct"/>
            <w:shd w:val="clear" w:color="auto" w:fill="auto"/>
            <w:vAlign w:val="top"/>
          </w:tcPr>
          <w:p w14:paraId="5157230C">
            <w:pPr>
              <w:pStyle w:val="26"/>
              <w:bidi w:val="0"/>
              <w:rPr>
                <w:rFonts w:hint="default"/>
                <w:lang w:val="en-US" w:eastAsia="zh-CN"/>
              </w:rPr>
            </w:pPr>
            <w:r>
              <w:rPr>
                <w:lang w:val="en-US" w:eastAsia="zh-CN"/>
              </w:rPr>
              <w:t>0.087</w:t>
            </w:r>
          </w:p>
        </w:tc>
        <w:tc>
          <w:tcPr>
            <w:tcW w:w="498" w:type="pct"/>
            <w:gridSpan w:val="3"/>
            <w:shd w:val="clear" w:color="auto" w:fill="auto"/>
            <w:vAlign w:val="top"/>
          </w:tcPr>
          <w:p w14:paraId="7AC37DC7">
            <w:pPr>
              <w:pStyle w:val="26"/>
              <w:bidi w:val="0"/>
              <w:rPr>
                <w:rFonts w:hint="default"/>
                <w:lang w:val="en-US" w:eastAsia="zh-CN"/>
              </w:rPr>
            </w:pPr>
            <w:r>
              <w:rPr>
                <w:lang w:val="en-US" w:eastAsia="zh-CN"/>
              </w:rPr>
              <w:t>0.077</w:t>
            </w:r>
          </w:p>
        </w:tc>
        <w:tc>
          <w:tcPr>
            <w:tcW w:w="466" w:type="pct"/>
            <w:shd w:val="clear" w:color="auto" w:fill="auto"/>
            <w:vAlign w:val="top"/>
          </w:tcPr>
          <w:p w14:paraId="737A7E2B">
            <w:pPr>
              <w:pStyle w:val="26"/>
              <w:bidi w:val="0"/>
              <w:rPr>
                <w:rFonts w:hint="default"/>
                <w:lang w:val="en-US" w:eastAsia="zh-CN"/>
              </w:rPr>
            </w:pPr>
            <w:r>
              <w:rPr>
                <w:lang w:val="en-US" w:eastAsia="zh-CN"/>
              </w:rPr>
              <w:t>0.083</w:t>
            </w:r>
          </w:p>
        </w:tc>
        <w:tc>
          <w:tcPr>
            <w:tcW w:w="493" w:type="pct"/>
            <w:gridSpan w:val="2"/>
            <w:shd w:val="clear" w:color="auto" w:fill="auto"/>
            <w:vAlign w:val="top"/>
          </w:tcPr>
          <w:p w14:paraId="7D8FFF6D">
            <w:pPr>
              <w:pStyle w:val="26"/>
              <w:bidi w:val="0"/>
              <w:rPr>
                <w:rFonts w:hint="default"/>
                <w:lang w:val="en-US" w:eastAsia="zh-CN"/>
              </w:rPr>
            </w:pPr>
            <w:r>
              <w:rPr>
                <w:lang w:val="en-US" w:eastAsia="zh-CN"/>
              </w:rPr>
              <w:t>0.080</w:t>
            </w:r>
          </w:p>
        </w:tc>
        <w:tc>
          <w:tcPr>
            <w:tcW w:w="630" w:type="pct"/>
            <w:vMerge w:val="continue"/>
            <w:vAlign w:val="center"/>
          </w:tcPr>
          <w:p w14:paraId="4BE0FC45">
            <w:pPr>
              <w:pStyle w:val="26"/>
              <w:bidi w:val="0"/>
              <w:rPr>
                <w:rFonts w:hint="default"/>
                <w:lang w:val="en-US" w:eastAsia="zh-CN"/>
              </w:rPr>
            </w:pPr>
          </w:p>
        </w:tc>
        <w:tc>
          <w:tcPr>
            <w:tcW w:w="456" w:type="pct"/>
            <w:vAlign w:val="center"/>
          </w:tcPr>
          <w:p w14:paraId="0B818EAE">
            <w:pPr>
              <w:pStyle w:val="26"/>
              <w:bidi w:val="0"/>
              <w:rPr>
                <w:rFonts w:hint="default"/>
                <w:lang w:val="en-US" w:eastAsia="zh-CN"/>
              </w:rPr>
            </w:pPr>
            <w:r>
              <w:rPr>
                <w:rFonts w:hint="eastAsia"/>
                <w:lang w:val="en-US" w:eastAsia="zh-CN"/>
              </w:rPr>
              <w:t>达标</w:t>
            </w:r>
          </w:p>
        </w:tc>
      </w:tr>
      <w:tr w14:paraId="3174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1D95231B">
            <w:pPr>
              <w:pStyle w:val="26"/>
              <w:bidi w:val="0"/>
              <w:rPr>
                <w:rFonts w:hint="default"/>
                <w:lang w:val="en-US" w:eastAsia="zh-CN"/>
              </w:rPr>
            </w:pPr>
          </w:p>
        </w:tc>
        <w:tc>
          <w:tcPr>
            <w:tcW w:w="729" w:type="pct"/>
            <w:vMerge w:val="continue"/>
            <w:vAlign w:val="center"/>
          </w:tcPr>
          <w:p w14:paraId="2CACF280">
            <w:pPr>
              <w:pStyle w:val="26"/>
              <w:bidi w:val="0"/>
              <w:rPr>
                <w:rFonts w:hint="default"/>
                <w:lang w:val="en-US" w:eastAsia="zh-CN"/>
              </w:rPr>
            </w:pPr>
          </w:p>
        </w:tc>
        <w:tc>
          <w:tcPr>
            <w:tcW w:w="805" w:type="pct"/>
            <w:shd w:val="clear" w:color="auto" w:fill="auto"/>
            <w:vAlign w:val="top"/>
          </w:tcPr>
          <w:p w14:paraId="4F4268FE">
            <w:pPr>
              <w:pStyle w:val="26"/>
              <w:bidi w:val="0"/>
              <w:rPr>
                <w:rFonts w:hint="default"/>
                <w:lang w:val="en-US" w:eastAsia="zh-CN"/>
              </w:rPr>
            </w:pPr>
            <w:r>
              <w:rPr>
                <w:lang w:val="en-US" w:eastAsia="zh-CN"/>
              </w:rPr>
              <w:t>2023- 12-02</w:t>
            </w:r>
          </w:p>
        </w:tc>
        <w:tc>
          <w:tcPr>
            <w:tcW w:w="525" w:type="pct"/>
            <w:shd w:val="clear" w:color="auto" w:fill="auto"/>
            <w:vAlign w:val="top"/>
          </w:tcPr>
          <w:p w14:paraId="03CC45A9">
            <w:pPr>
              <w:pStyle w:val="26"/>
              <w:bidi w:val="0"/>
              <w:rPr>
                <w:rFonts w:hint="default"/>
                <w:lang w:val="en-US" w:eastAsia="zh-CN"/>
              </w:rPr>
            </w:pPr>
            <w:r>
              <w:rPr>
                <w:lang w:val="en-US" w:eastAsia="zh-CN"/>
              </w:rPr>
              <w:t>0.085</w:t>
            </w:r>
          </w:p>
        </w:tc>
        <w:tc>
          <w:tcPr>
            <w:tcW w:w="498" w:type="pct"/>
            <w:gridSpan w:val="3"/>
            <w:shd w:val="clear" w:color="auto" w:fill="auto"/>
            <w:vAlign w:val="top"/>
          </w:tcPr>
          <w:p w14:paraId="5785537A">
            <w:pPr>
              <w:pStyle w:val="26"/>
              <w:bidi w:val="0"/>
              <w:rPr>
                <w:rFonts w:hint="default"/>
                <w:lang w:val="en-US" w:eastAsia="zh-CN"/>
              </w:rPr>
            </w:pPr>
            <w:r>
              <w:rPr>
                <w:lang w:val="en-US" w:eastAsia="zh-CN"/>
              </w:rPr>
              <w:t>0.078</w:t>
            </w:r>
          </w:p>
        </w:tc>
        <w:tc>
          <w:tcPr>
            <w:tcW w:w="466" w:type="pct"/>
            <w:shd w:val="clear" w:color="auto" w:fill="auto"/>
            <w:vAlign w:val="top"/>
          </w:tcPr>
          <w:p w14:paraId="17C19C12">
            <w:pPr>
              <w:pStyle w:val="26"/>
              <w:bidi w:val="0"/>
              <w:rPr>
                <w:rFonts w:hint="default"/>
                <w:lang w:val="en-US" w:eastAsia="zh-CN"/>
              </w:rPr>
            </w:pPr>
            <w:r>
              <w:rPr>
                <w:lang w:val="en-US" w:eastAsia="zh-CN"/>
              </w:rPr>
              <w:t>0.081</w:t>
            </w:r>
          </w:p>
        </w:tc>
        <w:tc>
          <w:tcPr>
            <w:tcW w:w="493" w:type="pct"/>
            <w:gridSpan w:val="2"/>
            <w:shd w:val="clear" w:color="auto" w:fill="auto"/>
            <w:vAlign w:val="top"/>
          </w:tcPr>
          <w:p w14:paraId="43814DD1">
            <w:pPr>
              <w:pStyle w:val="26"/>
              <w:bidi w:val="0"/>
              <w:rPr>
                <w:rFonts w:hint="default"/>
                <w:lang w:val="en-US" w:eastAsia="zh-CN"/>
              </w:rPr>
            </w:pPr>
            <w:r>
              <w:rPr>
                <w:lang w:val="en-US" w:eastAsia="zh-CN"/>
              </w:rPr>
              <w:t>0.082</w:t>
            </w:r>
          </w:p>
        </w:tc>
        <w:tc>
          <w:tcPr>
            <w:tcW w:w="630" w:type="pct"/>
            <w:vMerge w:val="continue"/>
            <w:vAlign w:val="center"/>
          </w:tcPr>
          <w:p w14:paraId="346C9D28">
            <w:pPr>
              <w:pStyle w:val="26"/>
              <w:bidi w:val="0"/>
              <w:rPr>
                <w:rFonts w:hint="default"/>
                <w:lang w:val="en-US" w:eastAsia="zh-CN"/>
              </w:rPr>
            </w:pPr>
          </w:p>
        </w:tc>
        <w:tc>
          <w:tcPr>
            <w:tcW w:w="456" w:type="pct"/>
            <w:vAlign w:val="center"/>
          </w:tcPr>
          <w:p w14:paraId="161F4901">
            <w:pPr>
              <w:pStyle w:val="26"/>
              <w:bidi w:val="0"/>
              <w:rPr>
                <w:rFonts w:hint="default"/>
                <w:lang w:val="en-US" w:eastAsia="zh-CN"/>
              </w:rPr>
            </w:pPr>
            <w:r>
              <w:rPr>
                <w:rFonts w:hint="eastAsia"/>
                <w:lang w:val="en-US" w:eastAsia="zh-CN"/>
              </w:rPr>
              <w:t>达标</w:t>
            </w:r>
          </w:p>
        </w:tc>
      </w:tr>
      <w:tr w14:paraId="47F7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58F1641D">
            <w:pPr>
              <w:pStyle w:val="26"/>
              <w:bidi w:val="0"/>
              <w:rPr>
                <w:rFonts w:hint="default"/>
                <w:lang w:val="en-US" w:eastAsia="zh-CN"/>
              </w:rPr>
            </w:pPr>
          </w:p>
        </w:tc>
        <w:tc>
          <w:tcPr>
            <w:tcW w:w="729" w:type="pct"/>
            <w:vMerge w:val="continue"/>
            <w:vAlign w:val="center"/>
          </w:tcPr>
          <w:p w14:paraId="3A0F7E2C">
            <w:pPr>
              <w:pStyle w:val="26"/>
              <w:bidi w:val="0"/>
              <w:rPr>
                <w:rFonts w:hint="default"/>
                <w:lang w:val="en-US" w:eastAsia="zh-CN"/>
              </w:rPr>
            </w:pPr>
          </w:p>
        </w:tc>
        <w:tc>
          <w:tcPr>
            <w:tcW w:w="805" w:type="pct"/>
            <w:shd w:val="clear" w:color="auto" w:fill="auto"/>
            <w:vAlign w:val="top"/>
          </w:tcPr>
          <w:p w14:paraId="4951967D">
            <w:pPr>
              <w:pStyle w:val="26"/>
              <w:bidi w:val="0"/>
              <w:rPr>
                <w:rFonts w:hint="default"/>
                <w:lang w:val="en-US" w:eastAsia="zh-CN"/>
              </w:rPr>
            </w:pPr>
            <w:r>
              <w:rPr>
                <w:lang w:val="en-US" w:eastAsia="zh-CN"/>
              </w:rPr>
              <w:t>2023- 12-03</w:t>
            </w:r>
          </w:p>
        </w:tc>
        <w:tc>
          <w:tcPr>
            <w:tcW w:w="525" w:type="pct"/>
            <w:shd w:val="clear" w:color="auto" w:fill="auto"/>
            <w:vAlign w:val="top"/>
          </w:tcPr>
          <w:p w14:paraId="0987EF6F">
            <w:pPr>
              <w:pStyle w:val="26"/>
              <w:bidi w:val="0"/>
              <w:rPr>
                <w:rFonts w:hint="default"/>
                <w:lang w:val="en-US" w:eastAsia="zh-CN"/>
              </w:rPr>
            </w:pPr>
            <w:r>
              <w:rPr>
                <w:lang w:val="en-US" w:eastAsia="zh-CN"/>
              </w:rPr>
              <w:t>0.096</w:t>
            </w:r>
          </w:p>
        </w:tc>
        <w:tc>
          <w:tcPr>
            <w:tcW w:w="498" w:type="pct"/>
            <w:gridSpan w:val="3"/>
            <w:shd w:val="clear" w:color="auto" w:fill="auto"/>
            <w:vAlign w:val="top"/>
          </w:tcPr>
          <w:p w14:paraId="3E666AC1">
            <w:pPr>
              <w:pStyle w:val="26"/>
              <w:bidi w:val="0"/>
              <w:rPr>
                <w:rFonts w:hint="default"/>
                <w:lang w:val="en-US" w:eastAsia="zh-CN"/>
              </w:rPr>
            </w:pPr>
            <w:r>
              <w:rPr>
                <w:lang w:val="en-US" w:eastAsia="zh-CN"/>
              </w:rPr>
              <w:t>0.086</w:t>
            </w:r>
          </w:p>
        </w:tc>
        <w:tc>
          <w:tcPr>
            <w:tcW w:w="466" w:type="pct"/>
            <w:shd w:val="clear" w:color="auto" w:fill="auto"/>
            <w:vAlign w:val="top"/>
          </w:tcPr>
          <w:p w14:paraId="398AB65D">
            <w:pPr>
              <w:pStyle w:val="26"/>
              <w:bidi w:val="0"/>
              <w:rPr>
                <w:rFonts w:hint="default"/>
                <w:lang w:val="en-US" w:eastAsia="zh-CN"/>
              </w:rPr>
            </w:pPr>
            <w:r>
              <w:rPr>
                <w:lang w:val="en-US" w:eastAsia="zh-CN"/>
              </w:rPr>
              <w:t>0.085</w:t>
            </w:r>
          </w:p>
        </w:tc>
        <w:tc>
          <w:tcPr>
            <w:tcW w:w="493" w:type="pct"/>
            <w:gridSpan w:val="2"/>
            <w:shd w:val="clear" w:color="auto" w:fill="auto"/>
            <w:vAlign w:val="top"/>
          </w:tcPr>
          <w:p w14:paraId="5E904DBD">
            <w:pPr>
              <w:pStyle w:val="26"/>
              <w:bidi w:val="0"/>
              <w:rPr>
                <w:rFonts w:hint="default"/>
                <w:lang w:val="en-US" w:eastAsia="zh-CN"/>
              </w:rPr>
            </w:pPr>
            <w:r>
              <w:rPr>
                <w:lang w:val="en-US" w:eastAsia="zh-CN"/>
              </w:rPr>
              <w:t>0.087</w:t>
            </w:r>
          </w:p>
        </w:tc>
        <w:tc>
          <w:tcPr>
            <w:tcW w:w="630" w:type="pct"/>
            <w:vMerge w:val="continue"/>
            <w:vAlign w:val="center"/>
          </w:tcPr>
          <w:p w14:paraId="142372DF">
            <w:pPr>
              <w:pStyle w:val="26"/>
              <w:bidi w:val="0"/>
              <w:rPr>
                <w:rFonts w:hint="default"/>
                <w:lang w:val="en-US" w:eastAsia="zh-CN"/>
              </w:rPr>
            </w:pPr>
          </w:p>
        </w:tc>
        <w:tc>
          <w:tcPr>
            <w:tcW w:w="456" w:type="pct"/>
            <w:vAlign w:val="center"/>
          </w:tcPr>
          <w:p w14:paraId="2137C803">
            <w:pPr>
              <w:pStyle w:val="26"/>
              <w:bidi w:val="0"/>
              <w:rPr>
                <w:rFonts w:hint="default"/>
                <w:lang w:val="en-US" w:eastAsia="zh-CN"/>
              </w:rPr>
            </w:pPr>
            <w:r>
              <w:rPr>
                <w:rFonts w:hint="eastAsia"/>
                <w:lang w:val="en-US" w:eastAsia="zh-CN"/>
              </w:rPr>
              <w:t>达标</w:t>
            </w:r>
          </w:p>
        </w:tc>
      </w:tr>
      <w:tr w14:paraId="1463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restart"/>
            <w:vAlign w:val="center"/>
          </w:tcPr>
          <w:p w14:paraId="085093BD">
            <w:pPr>
              <w:pStyle w:val="26"/>
              <w:bidi w:val="0"/>
              <w:rPr>
                <w:rFonts w:hint="default"/>
                <w:lang w:val="en-US" w:eastAsia="zh-CN"/>
              </w:rPr>
            </w:pPr>
            <w:r>
              <w:rPr>
                <w:rFonts w:hint="eastAsia"/>
                <w:lang w:val="en-US" w:eastAsia="zh-CN"/>
              </w:rPr>
              <w:t>顺阳公寓G2</w:t>
            </w:r>
          </w:p>
        </w:tc>
        <w:tc>
          <w:tcPr>
            <w:tcW w:w="729" w:type="pct"/>
            <w:vMerge w:val="restart"/>
            <w:vAlign w:val="center"/>
          </w:tcPr>
          <w:p w14:paraId="3DCECD65">
            <w:pPr>
              <w:pStyle w:val="26"/>
              <w:bidi w:val="0"/>
              <w:rPr>
                <w:lang w:val="en-US" w:eastAsia="zh-CN"/>
              </w:rPr>
            </w:pPr>
            <w:r>
              <w:rPr>
                <w:lang w:val="en-US" w:eastAsia="zh-CN"/>
              </w:rPr>
              <w:t>铬酸雾（mg/m3）</w:t>
            </w:r>
          </w:p>
        </w:tc>
        <w:tc>
          <w:tcPr>
            <w:tcW w:w="805" w:type="pct"/>
            <w:shd w:val="clear" w:color="auto" w:fill="auto"/>
            <w:vAlign w:val="top"/>
          </w:tcPr>
          <w:p w14:paraId="4CDA5AB1">
            <w:pPr>
              <w:pStyle w:val="26"/>
              <w:bidi w:val="0"/>
              <w:rPr>
                <w:lang w:val="en-US" w:eastAsia="zh-CN"/>
              </w:rPr>
            </w:pPr>
            <w:r>
              <w:rPr>
                <w:lang w:val="en-US" w:eastAsia="zh-CN"/>
              </w:rPr>
              <w:t>2023- 11-27</w:t>
            </w:r>
          </w:p>
        </w:tc>
        <w:tc>
          <w:tcPr>
            <w:tcW w:w="528" w:type="pct"/>
            <w:gridSpan w:val="2"/>
            <w:shd w:val="clear" w:color="auto" w:fill="auto"/>
            <w:vAlign w:val="top"/>
          </w:tcPr>
          <w:p w14:paraId="48F000B3">
            <w:pPr>
              <w:pStyle w:val="26"/>
              <w:bidi w:val="0"/>
              <w:rPr>
                <w:rFonts w:hint="default"/>
                <w:lang w:val="en-US" w:eastAsia="zh-CN"/>
              </w:rPr>
            </w:pPr>
            <w:r>
              <w:rPr>
                <w:lang w:val="en-US" w:eastAsia="zh-CN"/>
              </w:rPr>
              <w:t>ND</w:t>
            </w:r>
          </w:p>
        </w:tc>
        <w:tc>
          <w:tcPr>
            <w:tcW w:w="484" w:type="pct"/>
            <w:shd w:val="clear" w:color="auto" w:fill="auto"/>
            <w:vAlign w:val="top"/>
          </w:tcPr>
          <w:p w14:paraId="090EE782">
            <w:pPr>
              <w:pStyle w:val="26"/>
              <w:bidi w:val="0"/>
              <w:rPr>
                <w:rFonts w:hint="default"/>
                <w:lang w:val="en-US" w:eastAsia="zh-CN"/>
              </w:rPr>
            </w:pPr>
            <w:r>
              <w:rPr>
                <w:lang w:val="en-US" w:eastAsia="zh-CN"/>
              </w:rPr>
              <w:t>ND</w:t>
            </w:r>
          </w:p>
        </w:tc>
        <w:tc>
          <w:tcPr>
            <w:tcW w:w="481" w:type="pct"/>
            <w:gridSpan w:val="3"/>
            <w:shd w:val="clear" w:color="auto" w:fill="auto"/>
            <w:vAlign w:val="top"/>
          </w:tcPr>
          <w:p w14:paraId="4D5C7A21">
            <w:pPr>
              <w:pStyle w:val="26"/>
              <w:bidi w:val="0"/>
              <w:rPr>
                <w:rFonts w:hint="default"/>
                <w:lang w:val="en-US" w:eastAsia="zh-CN"/>
              </w:rPr>
            </w:pPr>
            <w:r>
              <w:rPr>
                <w:lang w:val="en-US" w:eastAsia="zh-CN"/>
              </w:rPr>
              <w:t>ND</w:t>
            </w:r>
          </w:p>
        </w:tc>
        <w:tc>
          <w:tcPr>
            <w:tcW w:w="489" w:type="pct"/>
            <w:shd w:val="clear" w:color="auto" w:fill="auto"/>
            <w:vAlign w:val="top"/>
          </w:tcPr>
          <w:p w14:paraId="499CFDBB">
            <w:pPr>
              <w:pStyle w:val="26"/>
              <w:bidi w:val="0"/>
              <w:rPr>
                <w:rFonts w:hint="default"/>
                <w:lang w:val="en-US" w:eastAsia="zh-CN"/>
              </w:rPr>
            </w:pPr>
            <w:r>
              <w:rPr>
                <w:lang w:val="en-US" w:eastAsia="zh-CN"/>
              </w:rPr>
              <w:t>ND</w:t>
            </w:r>
          </w:p>
        </w:tc>
        <w:tc>
          <w:tcPr>
            <w:tcW w:w="630" w:type="pct"/>
            <w:vMerge w:val="restart"/>
            <w:vAlign w:val="center"/>
          </w:tcPr>
          <w:p w14:paraId="77EC6B32">
            <w:pPr>
              <w:pStyle w:val="26"/>
              <w:bidi w:val="0"/>
              <w:rPr>
                <w:rFonts w:hint="default"/>
                <w:lang w:val="en-US" w:eastAsia="zh-CN"/>
              </w:rPr>
            </w:pPr>
            <w:r>
              <w:rPr>
                <w:rFonts w:hint="eastAsia"/>
                <w:lang w:val="en-US" w:eastAsia="zh-CN"/>
              </w:rPr>
              <w:t>/</w:t>
            </w:r>
          </w:p>
        </w:tc>
        <w:tc>
          <w:tcPr>
            <w:tcW w:w="456" w:type="pct"/>
            <w:vAlign w:val="center"/>
          </w:tcPr>
          <w:p w14:paraId="10E600F9">
            <w:pPr>
              <w:pStyle w:val="26"/>
              <w:bidi w:val="0"/>
              <w:rPr>
                <w:lang w:val="en-US" w:eastAsia="zh-CN"/>
              </w:rPr>
            </w:pPr>
            <w:r>
              <w:rPr>
                <w:rFonts w:hint="eastAsia"/>
                <w:lang w:val="en-US" w:eastAsia="zh-CN"/>
              </w:rPr>
              <w:t>达标</w:t>
            </w:r>
          </w:p>
        </w:tc>
      </w:tr>
      <w:tr w14:paraId="1AA7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4D09367A">
            <w:pPr>
              <w:pStyle w:val="26"/>
              <w:bidi w:val="0"/>
            </w:pPr>
          </w:p>
        </w:tc>
        <w:tc>
          <w:tcPr>
            <w:tcW w:w="729" w:type="pct"/>
            <w:vMerge w:val="continue"/>
            <w:vAlign w:val="center"/>
          </w:tcPr>
          <w:p w14:paraId="1DB97615">
            <w:pPr>
              <w:pStyle w:val="26"/>
              <w:bidi w:val="0"/>
            </w:pPr>
          </w:p>
        </w:tc>
        <w:tc>
          <w:tcPr>
            <w:tcW w:w="805" w:type="pct"/>
            <w:shd w:val="clear" w:color="auto" w:fill="auto"/>
            <w:vAlign w:val="top"/>
          </w:tcPr>
          <w:p w14:paraId="45B68D03">
            <w:pPr>
              <w:pStyle w:val="26"/>
              <w:bidi w:val="0"/>
              <w:rPr>
                <w:lang w:val="en-US" w:eastAsia="zh-CN"/>
              </w:rPr>
            </w:pPr>
            <w:r>
              <w:rPr>
                <w:lang w:val="en-US" w:eastAsia="zh-CN"/>
              </w:rPr>
              <w:t>2023- 11-28</w:t>
            </w:r>
          </w:p>
        </w:tc>
        <w:tc>
          <w:tcPr>
            <w:tcW w:w="528" w:type="pct"/>
            <w:gridSpan w:val="2"/>
            <w:shd w:val="clear" w:color="auto" w:fill="auto"/>
            <w:vAlign w:val="top"/>
          </w:tcPr>
          <w:p w14:paraId="1E89B131">
            <w:pPr>
              <w:pStyle w:val="26"/>
              <w:bidi w:val="0"/>
              <w:rPr>
                <w:lang w:val="en-US" w:eastAsia="zh-CN"/>
              </w:rPr>
            </w:pPr>
            <w:r>
              <w:rPr>
                <w:lang w:val="en-US" w:eastAsia="zh-CN"/>
              </w:rPr>
              <w:t>ND</w:t>
            </w:r>
          </w:p>
        </w:tc>
        <w:tc>
          <w:tcPr>
            <w:tcW w:w="484" w:type="pct"/>
            <w:shd w:val="clear" w:color="auto" w:fill="auto"/>
            <w:vAlign w:val="top"/>
          </w:tcPr>
          <w:p w14:paraId="1BA8D72C">
            <w:pPr>
              <w:pStyle w:val="26"/>
              <w:bidi w:val="0"/>
              <w:rPr>
                <w:lang w:val="en-US" w:eastAsia="zh-CN"/>
              </w:rPr>
            </w:pPr>
            <w:r>
              <w:rPr>
                <w:lang w:val="en-US" w:eastAsia="zh-CN"/>
              </w:rPr>
              <w:t>ND</w:t>
            </w:r>
          </w:p>
        </w:tc>
        <w:tc>
          <w:tcPr>
            <w:tcW w:w="481" w:type="pct"/>
            <w:gridSpan w:val="3"/>
            <w:shd w:val="clear" w:color="auto" w:fill="auto"/>
            <w:vAlign w:val="top"/>
          </w:tcPr>
          <w:p w14:paraId="658FB9D3">
            <w:pPr>
              <w:pStyle w:val="26"/>
              <w:bidi w:val="0"/>
              <w:rPr>
                <w:lang w:val="en-US" w:eastAsia="zh-CN"/>
              </w:rPr>
            </w:pPr>
            <w:r>
              <w:rPr>
                <w:lang w:val="en-US" w:eastAsia="zh-CN"/>
              </w:rPr>
              <w:t>ND</w:t>
            </w:r>
          </w:p>
        </w:tc>
        <w:tc>
          <w:tcPr>
            <w:tcW w:w="489" w:type="pct"/>
            <w:shd w:val="clear" w:color="auto" w:fill="auto"/>
            <w:vAlign w:val="top"/>
          </w:tcPr>
          <w:p w14:paraId="1ADA4A2E">
            <w:pPr>
              <w:pStyle w:val="26"/>
              <w:bidi w:val="0"/>
              <w:rPr>
                <w:lang w:val="en-US" w:eastAsia="zh-CN"/>
              </w:rPr>
            </w:pPr>
            <w:r>
              <w:rPr>
                <w:lang w:val="en-US" w:eastAsia="zh-CN"/>
              </w:rPr>
              <w:t>ND</w:t>
            </w:r>
          </w:p>
        </w:tc>
        <w:tc>
          <w:tcPr>
            <w:tcW w:w="630" w:type="pct"/>
            <w:vMerge w:val="continue"/>
            <w:vAlign w:val="center"/>
          </w:tcPr>
          <w:p w14:paraId="1B860C1C">
            <w:pPr>
              <w:pStyle w:val="26"/>
              <w:bidi w:val="0"/>
              <w:rPr>
                <w:lang w:val="en-US" w:eastAsia="zh-CN"/>
              </w:rPr>
            </w:pPr>
          </w:p>
        </w:tc>
        <w:tc>
          <w:tcPr>
            <w:tcW w:w="456" w:type="pct"/>
            <w:vAlign w:val="center"/>
          </w:tcPr>
          <w:p w14:paraId="69AE6CD0">
            <w:pPr>
              <w:pStyle w:val="26"/>
              <w:bidi w:val="0"/>
              <w:rPr>
                <w:lang w:val="en-US" w:eastAsia="zh-CN"/>
              </w:rPr>
            </w:pPr>
            <w:r>
              <w:rPr>
                <w:rFonts w:hint="eastAsia"/>
                <w:lang w:val="en-US" w:eastAsia="zh-CN"/>
              </w:rPr>
              <w:t>达标</w:t>
            </w:r>
          </w:p>
        </w:tc>
      </w:tr>
      <w:tr w14:paraId="5EB1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1AC56B2E">
            <w:pPr>
              <w:pStyle w:val="26"/>
              <w:bidi w:val="0"/>
              <w:rPr>
                <w:lang w:val="en-US" w:eastAsia="zh-CN"/>
              </w:rPr>
            </w:pPr>
          </w:p>
        </w:tc>
        <w:tc>
          <w:tcPr>
            <w:tcW w:w="729" w:type="pct"/>
            <w:vMerge w:val="continue"/>
            <w:vAlign w:val="center"/>
          </w:tcPr>
          <w:p w14:paraId="1D212A7B">
            <w:pPr>
              <w:pStyle w:val="26"/>
              <w:bidi w:val="0"/>
              <w:rPr>
                <w:lang w:val="en-US" w:eastAsia="zh-CN"/>
              </w:rPr>
            </w:pPr>
          </w:p>
        </w:tc>
        <w:tc>
          <w:tcPr>
            <w:tcW w:w="805" w:type="pct"/>
            <w:shd w:val="clear" w:color="auto" w:fill="auto"/>
            <w:vAlign w:val="top"/>
          </w:tcPr>
          <w:p w14:paraId="0B699007">
            <w:pPr>
              <w:pStyle w:val="26"/>
              <w:bidi w:val="0"/>
              <w:rPr>
                <w:lang w:val="en-US" w:eastAsia="zh-CN"/>
              </w:rPr>
            </w:pPr>
            <w:r>
              <w:rPr>
                <w:lang w:val="en-US" w:eastAsia="zh-CN"/>
              </w:rPr>
              <w:t>2023- 11-29</w:t>
            </w:r>
          </w:p>
        </w:tc>
        <w:tc>
          <w:tcPr>
            <w:tcW w:w="528" w:type="pct"/>
            <w:gridSpan w:val="2"/>
            <w:shd w:val="clear" w:color="auto" w:fill="auto"/>
            <w:vAlign w:val="top"/>
          </w:tcPr>
          <w:p w14:paraId="01524426">
            <w:pPr>
              <w:pStyle w:val="26"/>
              <w:bidi w:val="0"/>
              <w:rPr>
                <w:lang w:val="en-US" w:eastAsia="zh-CN"/>
              </w:rPr>
            </w:pPr>
            <w:r>
              <w:rPr>
                <w:lang w:val="en-US" w:eastAsia="zh-CN"/>
              </w:rPr>
              <w:t>ND</w:t>
            </w:r>
          </w:p>
        </w:tc>
        <w:tc>
          <w:tcPr>
            <w:tcW w:w="484" w:type="pct"/>
            <w:shd w:val="clear" w:color="auto" w:fill="auto"/>
            <w:vAlign w:val="top"/>
          </w:tcPr>
          <w:p w14:paraId="5929EFF4">
            <w:pPr>
              <w:pStyle w:val="26"/>
              <w:bidi w:val="0"/>
              <w:rPr>
                <w:lang w:val="en-US" w:eastAsia="zh-CN"/>
              </w:rPr>
            </w:pPr>
            <w:r>
              <w:rPr>
                <w:lang w:val="en-US" w:eastAsia="zh-CN"/>
              </w:rPr>
              <w:t>ND</w:t>
            </w:r>
          </w:p>
        </w:tc>
        <w:tc>
          <w:tcPr>
            <w:tcW w:w="481" w:type="pct"/>
            <w:gridSpan w:val="3"/>
            <w:shd w:val="clear" w:color="auto" w:fill="auto"/>
            <w:vAlign w:val="top"/>
          </w:tcPr>
          <w:p w14:paraId="1B2AC1AC">
            <w:pPr>
              <w:pStyle w:val="26"/>
              <w:bidi w:val="0"/>
              <w:rPr>
                <w:lang w:val="en-US" w:eastAsia="zh-CN"/>
              </w:rPr>
            </w:pPr>
            <w:r>
              <w:rPr>
                <w:lang w:val="en-US" w:eastAsia="zh-CN"/>
              </w:rPr>
              <w:t>ND</w:t>
            </w:r>
          </w:p>
        </w:tc>
        <w:tc>
          <w:tcPr>
            <w:tcW w:w="489" w:type="pct"/>
            <w:shd w:val="clear" w:color="auto" w:fill="auto"/>
            <w:vAlign w:val="top"/>
          </w:tcPr>
          <w:p w14:paraId="02AEEB08">
            <w:pPr>
              <w:pStyle w:val="26"/>
              <w:bidi w:val="0"/>
              <w:rPr>
                <w:lang w:val="en-US" w:eastAsia="zh-CN"/>
              </w:rPr>
            </w:pPr>
            <w:r>
              <w:rPr>
                <w:lang w:val="en-US" w:eastAsia="zh-CN"/>
              </w:rPr>
              <w:t>ND</w:t>
            </w:r>
          </w:p>
        </w:tc>
        <w:tc>
          <w:tcPr>
            <w:tcW w:w="630" w:type="pct"/>
            <w:vMerge w:val="continue"/>
            <w:vAlign w:val="center"/>
          </w:tcPr>
          <w:p w14:paraId="6A6A2199">
            <w:pPr>
              <w:pStyle w:val="26"/>
              <w:bidi w:val="0"/>
              <w:rPr>
                <w:lang w:val="en-US" w:eastAsia="zh-CN"/>
              </w:rPr>
            </w:pPr>
          </w:p>
        </w:tc>
        <w:tc>
          <w:tcPr>
            <w:tcW w:w="456" w:type="pct"/>
            <w:vAlign w:val="center"/>
          </w:tcPr>
          <w:p w14:paraId="01519E17">
            <w:pPr>
              <w:pStyle w:val="26"/>
              <w:bidi w:val="0"/>
              <w:rPr>
                <w:lang w:val="en-US" w:eastAsia="zh-CN"/>
              </w:rPr>
            </w:pPr>
            <w:r>
              <w:rPr>
                <w:rFonts w:hint="eastAsia"/>
                <w:lang w:val="en-US" w:eastAsia="zh-CN"/>
              </w:rPr>
              <w:t>达标</w:t>
            </w:r>
          </w:p>
        </w:tc>
      </w:tr>
      <w:tr w14:paraId="6498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2C393588">
            <w:pPr>
              <w:pStyle w:val="26"/>
              <w:bidi w:val="0"/>
              <w:rPr>
                <w:lang w:val="en-US" w:eastAsia="zh-CN"/>
              </w:rPr>
            </w:pPr>
          </w:p>
        </w:tc>
        <w:tc>
          <w:tcPr>
            <w:tcW w:w="729" w:type="pct"/>
            <w:vMerge w:val="continue"/>
            <w:vAlign w:val="center"/>
          </w:tcPr>
          <w:p w14:paraId="1A4D498A">
            <w:pPr>
              <w:pStyle w:val="26"/>
              <w:bidi w:val="0"/>
              <w:rPr>
                <w:lang w:val="en-US" w:eastAsia="zh-CN"/>
              </w:rPr>
            </w:pPr>
          </w:p>
        </w:tc>
        <w:tc>
          <w:tcPr>
            <w:tcW w:w="805" w:type="pct"/>
            <w:shd w:val="clear" w:color="auto" w:fill="auto"/>
            <w:vAlign w:val="top"/>
          </w:tcPr>
          <w:p w14:paraId="53EA4D23">
            <w:pPr>
              <w:pStyle w:val="26"/>
              <w:bidi w:val="0"/>
              <w:rPr>
                <w:lang w:val="en-US" w:eastAsia="zh-CN"/>
              </w:rPr>
            </w:pPr>
            <w:r>
              <w:rPr>
                <w:lang w:val="en-US" w:eastAsia="zh-CN"/>
              </w:rPr>
              <w:t>2023- 11-30</w:t>
            </w:r>
          </w:p>
        </w:tc>
        <w:tc>
          <w:tcPr>
            <w:tcW w:w="528" w:type="pct"/>
            <w:gridSpan w:val="2"/>
            <w:shd w:val="clear" w:color="auto" w:fill="auto"/>
            <w:vAlign w:val="top"/>
          </w:tcPr>
          <w:p w14:paraId="2CA86DDF">
            <w:pPr>
              <w:pStyle w:val="26"/>
              <w:bidi w:val="0"/>
              <w:rPr>
                <w:lang w:val="en-US" w:eastAsia="zh-CN"/>
              </w:rPr>
            </w:pPr>
            <w:r>
              <w:rPr>
                <w:lang w:val="en-US" w:eastAsia="zh-CN"/>
              </w:rPr>
              <w:t>ND</w:t>
            </w:r>
          </w:p>
        </w:tc>
        <w:tc>
          <w:tcPr>
            <w:tcW w:w="484" w:type="pct"/>
            <w:shd w:val="clear" w:color="auto" w:fill="auto"/>
            <w:vAlign w:val="top"/>
          </w:tcPr>
          <w:p w14:paraId="68890D29">
            <w:pPr>
              <w:pStyle w:val="26"/>
              <w:bidi w:val="0"/>
              <w:rPr>
                <w:lang w:val="en-US" w:eastAsia="zh-CN"/>
              </w:rPr>
            </w:pPr>
            <w:r>
              <w:rPr>
                <w:lang w:val="en-US" w:eastAsia="zh-CN"/>
              </w:rPr>
              <w:t>ND</w:t>
            </w:r>
          </w:p>
        </w:tc>
        <w:tc>
          <w:tcPr>
            <w:tcW w:w="481" w:type="pct"/>
            <w:gridSpan w:val="3"/>
            <w:shd w:val="clear" w:color="auto" w:fill="auto"/>
            <w:vAlign w:val="top"/>
          </w:tcPr>
          <w:p w14:paraId="0DAEA247">
            <w:pPr>
              <w:pStyle w:val="26"/>
              <w:bidi w:val="0"/>
              <w:rPr>
                <w:lang w:val="en-US" w:eastAsia="zh-CN"/>
              </w:rPr>
            </w:pPr>
            <w:r>
              <w:rPr>
                <w:lang w:val="en-US" w:eastAsia="zh-CN"/>
              </w:rPr>
              <w:t>ND</w:t>
            </w:r>
          </w:p>
        </w:tc>
        <w:tc>
          <w:tcPr>
            <w:tcW w:w="489" w:type="pct"/>
            <w:shd w:val="clear" w:color="auto" w:fill="auto"/>
            <w:vAlign w:val="top"/>
          </w:tcPr>
          <w:p w14:paraId="3F52D489">
            <w:pPr>
              <w:pStyle w:val="26"/>
              <w:bidi w:val="0"/>
              <w:rPr>
                <w:lang w:val="en-US" w:eastAsia="zh-CN"/>
              </w:rPr>
            </w:pPr>
            <w:r>
              <w:rPr>
                <w:lang w:val="en-US" w:eastAsia="zh-CN"/>
              </w:rPr>
              <w:t>ND</w:t>
            </w:r>
          </w:p>
        </w:tc>
        <w:tc>
          <w:tcPr>
            <w:tcW w:w="630" w:type="pct"/>
            <w:vMerge w:val="continue"/>
            <w:vAlign w:val="center"/>
          </w:tcPr>
          <w:p w14:paraId="73824FAF">
            <w:pPr>
              <w:pStyle w:val="26"/>
              <w:bidi w:val="0"/>
              <w:rPr>
                <w:lang w:val="en-US" w:eastAsia="zh-CN"/>
              </w:rPr>
            </w:pPr>
          </w:p>
        </w:tc>
        <w:tc>
          <w:tcPr>
            <w:tcW w:w="456" w:type="pct"/>
            <w:vAlign w:val="center"/>
          </w:tcPr>
          <w:p w14:paraId="0332FCE9">
            <w:pPr>
              <w:pStyle w:val="26"/>
              <w:bidi w:val="0"/>
              <w:rPr>
                <w:lang w:val="en-US" w:eastAsia="zh-CN"/>
              </w:rPr>
            </w:pPr>
            <w:r>
              <w:rPr>
                <w:rFonts w:hint="eastAsia"/>
                <w:lang w:val="en-US" w:eastAsia="zh-CN"/>
              </w:rPr>
              <w:t>达标</w:t>
            </w:r>
          </w:p>
        </w:tc>
      </w:tr>
      <w:tr w14:paraId="3911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754D0042">
            <w:pPr>
              <w:pStyle w:val="26"/>
              <w:bidi w:val="0"/>
              <w:rPr>
                <w:lang w:val="en-US" w:eastAsia="zh-CN"/>
              </w:rPr>
            </w:pPr>
          </w:p>
        </w:tc>
        <w:tc>
          <w:tcPr>
            <w:tcW w:w="729" w:type="pct"/>
            <w:vMerge w:val="continue"/>
            <w:vAlign w:val="center"/>
          </w:tcPr>
          <w:p w14:paraId="4405AF27">
            <w:pPr>
              <w:pStyle w:val="26"/>
              <w:bidi w:val="0"/>
              <w:rPr>
                <w:lang w:val="en-US" w:eastAsia="zh-CN"/>
              </w:rPr>
            </w:pPr>
          </w:p>
        </w:tc>
        <w:tc>
          <w:tcPr>
            <w:tcW w:w="805" w:type="pct"/>
            <w:shd w:val="clear" w:color="auto" w:fill="auto"/>
            <w:vAlign w:val="top"/>
          </w:tcPr>
          <w:p w14:paraId="67DC4A36">
            <w:pPr>
              <w:pStyle w:val="26"/>
              <w:bidi w:val="0"/>
              <w:rPr>
                <w:lang w:val="en-US" w:eastAsia="zh-CN"/>
              </w:rPr>
            </w:pPr>
            <w:r>
              <w:rPr>
                <w:lang w:val="en-US" w:eastAsia="zh-CN"/>
              </w:rPr>
              <w:t>2023- 12-01</w:t>
            </w:r>
          </w:p>
        </w:tc>
        <w:tc>
          <w:tcPr>
            <w:tcW w:w="528" w:type="pct"/>
            <w:gridSpan w:val="2"/>
            <w:shd w:val="clear" w:color="auto" w:fill="auto"/>
            <w:vAlign w:val="top"/>
          </w:tcPr>
          <w:p w14:paraId="7792C106">
            <w:pPr>
              <w:pStyle w:val="26"/>
              <w:bidi w:val="0"/>
              <w:rPr>
                <w:lang w:val="en-US" w:eastAsia="zh-CN"/>
              </w:rPr>
            </w:pPr>
            <w:r>
              <w:rPr>
                <w:lang w:val="en-US" w:eastAsia="zh-CN"/>
              </w:rPr>
              <w:t>ND</w:t>
            </w:r>
          </w:p>
        </w:tc>
        <w:tc>
          <w:tcPr>
            <w:tcW w:w="484" w:type="pct"/>
            <w:shd w:val="clear" w:color="auto" w:fill="auto"/>
            <w:vAlign w:val="top"/>
          </w:tcPr>
          <w:p w14:paraId="18B3F2A5">
            <w:pPr>
              <w:pStyle w:val="26"/>
              <w:bidi w:val="0"/>
              <w:rPr>
                <w:lang w:val="en-US" w:eastAsia="zh-CN"/>
              </w:rPr>
            </w:pPr>
            <w:r>
              <w:rPr>
                <w:lang w:val="en-US" w:eastAsia="zh-CN"/>
              </w:rPr>
              <w:t>ND</w:t>
            </w:r>
          </w:p>
        </w:tc>
        <w:tc>
          <w:tcPr>
            <w:tcW w:w="481" w:type="pct"/>
            <w:gridSpan w:val="3"/>
            <w:shd w:val="clear" w:color="auto" w:fill="auto"/>
            <w:vAlign w:val="top"/>
          </w:tcPr>
          <w:p w14:paraId="0773F689">
            <w:pPr>
              <w:pStyle w:val="26"/>
              <w:bidi w:val="0"/>
              <w:rPr>
                <w:lang w:val="en-US" w:eastAsia="zh-CN"/>
              </w:rPr>
            </w:pPr>
            <w:r>
              <w:rPr>
                <w:lang w:val="en-US" w:eastAsia="zh-CN"/>
              </w:rPr>
              <w:t>ND</w:t>
            </w:r>
          </w:p>
        </w:tc>
        <w:tc>
          <w:tcPr>
            <w:tcW w:w="489" w:type="pct"/>
            <w:shd w:val="clear" w:color="auto" w:fill="auto"/>
            <w:vAlign w:val="top"/>
          </w:tcPr>
          <w:p w14:paraId="18EE4047">
            <w:pPr>
              <w:pStyle w:val="26"/>
              <w:bidi w:val="0"/>
              <w:rPr>
                <w:lang w:val="en-US" w:eastAsia="zh-CN"/>
              </w:rPr>
            </w:pPr>
            <w:r>
              <w:rPr>
                <w:lang w:val="en-US" w:eastAsia="zh-CN"/>
              </w:rPr>
              <w:t>ND</w:t>
            </w:r>
          </w:p>
        </w:tc>
        <w:tc>
          <w:tcPr>
            <w:tcW w:w="630" w:type="pct"/>
            <w:vMerge w:val="continue"/>
            <w:vAlign w:val="center"/>
          </w:tcPr>
          <w:p w14:paraId="2CCD28CD">
            <w:pPr>
              <w:pStyle w:val="26"/>
              <w:bidi w:val="0"/>
              <w:rPr>
                <w:lang w:val="en-US" w:eastAsia="zh-CN"/>
              </w:rPr>
            </w:pPr>
          </w:p>
        </w:tc>
        <w:tc>
          <w:tcPr>
            <w:tcW w:w="456" w:type="pct"/>
            <w:vAlign w:val="center"/>
          </w:tcPr>
          <w:p w14:paraId="53D32642">
            <w:pPr>
              <w:pStyle w:val="26"/>
              <w:bidi w:val="0"/>
              <w:rPr>
                <w:lang w:val="en-US" w:eastAsia="zh-CN"/>
              </w:rPr>
            </w:pPr>
            <w:r>
              <w:rPr>
                <w:rFonts w:hint="eastAsia"/>
                <w:lang w:val="en-US" w:eastAsia="zh-CN"/>
              </w:rPr>
              <w:t>达标</w:t>
            </w:r>
          </w:p>
        </w:tc>
      </w:tr>
      <w:tr w14:paraId="32B7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1C5BD11A">
            <w:pPr>
              <w:pStyle w:val="26"/>
              <w:bidi w:val="0"/>
              <w:rPr>
                <w:lang w:val="en-US" w:eastAsia="zh-CN"/>
              </w:rPr>
            </w:pPr>
          </w:p>
        </w:tc>
        <w:tc>
          <w:tcPr>
            <w:tcW w:w="729" w:type="pct"/>
            <w:vMerge w:val="continue"/>
            <w:vAlign w:val="center"/>
          </w:tcPr>
          <w:p w14:paraId="00F88243">
            <w:pPr>
              <w:pStyle w:val="26"/>
              <w:bidi w:val="0"/>
              <w:rPr>
                <w:lang w:val="en-US" w:eastAsia="zh-CN"/>
              </w:rPr>
            </w:pPr>
          </w:p>
        </w:tc>
        <w:tc>
          <w:tcPr>
            <w:tcW w:w="805" w:type="pct"/>
            <w:shd w:val="clear" w:color="auto" w:fill="auto"/>
            <w:vAlign w:val="top"/>
          </w:tcPr>
          <w:p w14:paraId="2A3CB287">
            <w:pPr>
              <w:pStyle w:val="26"/>
              <w:bidi w:val="0"/>
              <w:rPr>
                <w:lang w:val="en-US" w:eastAsia="zh-CN"/>
              </w:rPr>
            </w:pPr>
            <w:r>
              <w:rPr>
                <w:lang w:val="en-US" w:eastAsia="zh-CN"/>
              </w:rPr>
              <w:t>2023- 12-02</w:t>
            </w:r>
          </w:p>
        </w:tc>
        <w:tc>
          <w:tcPr>
            <w:tcW w:w="528" w:type="pct"/>
            <w:gridSpan w:val="2"/>
            <w:shd w:val="clear" w:color="auto" w:fill="auto"/>
            <w:vAlign w:val="top"/>
          </w:tcPr>
          <w:p w14:paraId="2EB7E4FE">
            <w:pPr>
              <w:pStyle w:val="26"/>
              <w:bidi w:val="0"/>
              <w:rPr>
                <w:lang w:val="en-US" w:eastAsia="zh-CN"/>
              </w:rPr>
            </w:pPr>
            <w:r>
              <w:rPr>
                <w:lang w:val="en-US" w:eastAsia="zh-CN"/>
              </w:rPr>
              <w:t>ND</w:t>
            </w:r>
          </w:p>
        </w:tc>
        <w:tc>
          <w:tcPr>
            <w:tcW w:w="484" w:type="pct"/>
            <w:shd w:val="clear" w:color="auto" w:fill="auto"/>
            <w:vAlign w:val="top"/>
          </w:tcPr>
          <w:p w14:paraId="060F4E74">
            <w:pPr>
              <w:pStyle w:val="26"/>
              <w:bidi w:val="0"/>
              <w:rPr>
                <w:lang w:val="en-US" w:eastAsia="zh-CN"/>
              </w:rPr>
            </w:pPr>
            <w:r>
              <w:rPr>
                <w:lang w:val="en-US" w:eastAsia="zh-CN"/>
              </w:rPr>
              <w:t>ND</w:t>
            </w:r>
          </w:p>
        </w:tc>
        <w:tc>
          <w:tcPr>
            <w:tcW w:w="481" w:type="pct"/>
            <w:gridSpan w:val="3"/>
            <w:shd w:val="clear" w:color="auto" w:fill="auto"/>
            <w:vAlign w:val="top"/>
          </w:tcPr>
          <w:p w14:paraId="56115DF6">
            <w:pPr>
              <w:pStyle w:val="26"/>
              <w:bidi w:val="0"/>
              <w:rPr>
                <w:lang w:val="en-US" w:eastAsia="zh-CN"/>
              </w:rPr>
            </w:pPr>
            <w:r>
              <w:rPr>
                <w:lang w:val="en-US" w:eastAsia="zh-CN"/>
              </w:rPr>
              <w:t>ND</w:t>
            </w:r>
          </w:p>
        </w:tc>
        <w:tc>
          <w:tcPr>
            <w:tcW w:w="489" w:type="pct"/>
            <w:shd w:val="clear" w:color="auto" w:fill="auto"/>
            <w:vAlign w:val="top"/>
          </w:tcPr>
          <w:p w14:paraId="018F7234">
            <w:pPr>
              <w:pStyle w:val="26"/>
              <w:bidi w:val="0"/>
              <w:rPr>
                <w:lang w:val="en-US" w:eastAsia="zh-CN"/>
              </w:rPr>
            </w:pPr>
            <w:r>
              <w:rPr>
                <w:lang w:val="en-US" w:eastAsia="zh-CN"/>
              </w:rPr>
              <w:t>ND</w:t>
            </w:r>
          </w:p>
        </w:tc>
        <w:tc>
          <w:tcPr>
            <w:tcW w:w="630" w:type="pct"/>
            <w:vMerge w:val="continue"/>
            <w:vAlign w:val="center"/>
          </w:tcPr>
          <w:p w14:paraId="3360EF5E">
            <w:pPr>
              <w:pStyle w:val="26"/>
              <w:bidi w:val="0"/>
              <w:rPr>
                <w:lang w:val="en-US" w:eastAsia="zh-CN"/>
              </w:rPr>
            </w:pPr>
          </w:p>
        </w:tc>
        <w:tc>
          <w:tcPr>
            <w:tcW w:w="456" w:type="pct"/>
            <w:vAlign w:val="center"/>
          </w:tcPr>
          <w:p w14:paraId="122DD0C0">
            <w:pPr>
              <w:pStyle w:val="26"/>
              <w:bidi w:val="0"/>
              <w:rPr>
                <w:lang w:val="en-US" w:eastAsia="zh-CN"/>
              </w:rPr>
            </w:pPr>
            <w:r>
              <w:rPr>
                <w:rFonts w:hint="eastAsia"/>
                <w:lang w:val="en-US" w:eastAsia="zh-CN"/>
              </w:rPr>
              <w:t>达标</w:t>
            </w:r>
          </w:p>
        </w:tc>
      </w:tr>
      <w:tr w14:paraId="7B3B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3941C66C">
            <w:pPr>
              <w:pStyle w:val="26"/>
              <w:bidi w:val="0"/>
              <w:rPr>
                <w:lang w:val="en-US" w:eastAsia="zh-CN"/>
              </w:rPr>
            </w:pPr>
          </w:p>
        </w:tc>
        <w:tc>
          <w:tcPr>
            <w:tcW w:w="729" w:type="pct"/>
            <w:vMerge w:val="continue"/>
            <w:vAlign w:val="center"/>
          </w:tcPr>
          <w:p w14:paraId="4E43EC34">
            <w:pPr>
              <w:pStyle w:val="26"/>
              <w:bidi w:val="0"/>
              <w:rPr>
                <w:lang w:val="en-US" w:eastAsia="zh-CN"/>
              </w:rPr>
            </w:pPr>
          </w:p>
        </w:tc>
        <w:tc>
          <w:tcPr>
            <w:tcW w:w="805" w:type="pct"/>
            <w:shd w:val="clear" w:color="auto" w:fill="auto"/>
            <w:vAlign w:val="top"/>
          </w:tcPr>
          <w:p w14:paraId="0D7D3A99">
            <w:pPr>
              <w:pStyle w:val="26"/>
              <w:bidi w:val="0"/>
              <w:rPr>
                <w:lang w:val="en-US" w:eastAsia="zh-CN"/>
              </w:rPr>
            </w:pPr>
            <w:r>
              <w:rPr>
                <w:lang w:val="en-US" w:eastAsia="zh-CN"/>
              </w:rPr>
              <w:t>2023- 12-03</w:t>
            </w:r>
          </w:p>
        </w:tc>
        <w:tc>
          <w:tcPr>
            <w:tcW w:w="528" w:type="pct"/>
            <w:gridSpan w:val="2"/>
            <w:shd w:val="clear" w:color="auto" w:fill="auto"/>
            <w:vAlign w:val="top"/>
          </w:tcPr>
          <w:p w14:paraId="0DE336BC">
            <w:pPr>
              <w:pStyle w:val="26"/>
              <w:bidi w:val="0"/>
              <w:rPr>
                <w:lang w:val="en-US" w:eastAsia="zh-CN"/>
              </w:rPr>
            </w:pPr>
            <w:r>
              <w:rPr>
                <w:lang w:val="en-US" w:eastAsia="zh-CN"/>
              </w:rPr>
              <w:t>ND</w:t>
            </w:r>
          </w:p>
        </w:tc>
        <w:tc>
          <w:tcPr>
            <w:tcW w:w="484" w:type="pct"/>
            <w:shd w:val="clear" w:color="auto" w:fill="auto"/>
            <w:vAlign w:val="top"/>
          </w:tcPr>
          <w:p w14:paraId="158A6CE2">
            <w:pPr>
              <w:pStyle w:val="26"/>
              <w:bidi w:val="0"/>
              <w:rPr>
                <w:lang w:val="en-US" w:eastAsia="zh-CN"/>
              </w:rPr>
            </w:pPr>
            <w:r>
              <w:rPr>
                <w:lang w:val="en-US" w:eastAsia="zh-CN"/>
              </w:rPr>
              <w:t>ND</w:t>
            </w:r>
          </w:p>
        </w:tc>
        <w:tc>
          <w:tcPr>
            <w:tcW w:w="481" w:type="pct"/>
            <w:gridSpan w:val="3"/>
            <w:shd w:val="clear" w:color="auto" w:fill="auto"/>
            <w:vAlign w:val="top"/>
          </w:tcPr>
          <w:p w14:paraId="55A9B8E5">
            <w:pPr>
              <w:pStyle w:val="26"/>
              <w:bidi w:val="0"/>
              <w:rPr>
                <w:lang w:val="en-US" w:eastAsia="zh-CN"/>
              </w:rPr>
            </w:pPr>
            <w:r>
              <w:rPr>
                <w:lang w:val="en-US" w:eastAsia="zh-CN"/>
              </w:rPr>
              <w:t>ND</w:t>
            </w:r>
          </w:p>
        </w:tc>
        <w:tc>
          <w:tcPr>
            <w:tcW w:w="489" w:type="pct"/>
            <w:shd w:val="clear" w:color="auto" w:fill="auto"/>
            <w:vAlign w:val="top"/>
          </w:tcPr>
          <w:p w14:paraId="725F1427">
            <w:pPr>
              <w:pStyle w:val="26"/>
              <w:bidi w:val="0"/>
              <w:rPr>
                <w:lang w:val="en-US" w:eastAsia="zh-CN"/>
              </w:rPr>
            </w:pPr>
            <w:r>
              <w:rPr>
                <w:lang w:val="en-US" w:eastAsia="zh-CN"/>
              </w:rPr>
              <w:t>ND</w:t>
            </w:r>
          </w:p>
        </w:tc>
        <w:tc>
          <w:tcPr>
            <w:tcW w:w="630" w:type="pct"/>
            <w:vMerge w:val="continue"/>
            <w:vAlign w:val="center"/>
          </w:tcPr>
          <w:p w14:paraId="031A9AF5">
            <w:pPr>
              <w:pStyle w:val="26"/>
              <w:bidi w:val="0"/>
              <w:rPr>
                <w:lang w:val="en-US" w:eastAsia="zh-CN"/>
              </w:rPr>
            </w:pPr>
          </w:p>
        </w:tc>
        <w:tc>
          <w:tcPr>
            <w:tcW w:w="456" w:type="pct"/>
            <w:vAlign w:val="center"/>
          </w:tcPr>
          <w:p w14:paraId="0E74E147">
            <w:pPr>
              <w:pStyle w:val="26"/>
              <w:bidi w:val="0"/>
              <w:rPr>
                <w:lang w:val="en-US" w:eastAsia="zh-CN"/>
              </w:rPr>
            </w:pPr>
            <w:r>
              <w:rPr>
                <w:rFonts w:hint="eastAsia"/>
                <w:lang w:val="en-US" w:eastAsia="zh-CN"/>
              </w:rPr>
              <w:t>达标</w:t>
            </w:r>
          </w:p>
        </w:tc>
      </w:tr>
      <w:tr w14:paraId="7844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3E29B32B">
            <w:pPr>
              <w:pStyle w:val="26"/>
              <w:bidi w:val="0"/>
              <w:rPr>
                <w:lang w:val="en-US" w:eastAsia="zh-CN"/>
              </w:rPr>
            </w:pPr>
          </w:p>
        </w:tc>
        <w:tc>
          <w:tcPr>
            <w:tcW w:w="729" w:type="pct"/>
            <w:vMerge w:val="restart"/>
            <w:shd w:val="clear" w:color="auto" w:fill="auto"/>
            <w:vAlign w:val="center"/>
          </w:tcPr>
          <w:p w14:paraId="1C36D343">
            <w:pPr>
              <w:pStyle w:val="26"/>
              <w:bidi w:val="0"/>
              <w:rPr>
                <w:rFonts w:hint="eastAsia"/>
                <w:lang w:val="en-US" w:eastAsia="zh-CN"/>
              </w:rPr>
            </w:pPr>
            <w:r>
              <w:rPr>
                <w:lang w:val="en-US" w:eastAsia="zh-CN"/>
              </w:rPr>
              <w:t>硫酸雾（mg/m3）</w:t>
            </w:r>
          </w:p>
        </w:tc>
        <w:tc>
          <w:tcPr>
            <w:tcW w:w="805" w:type="pct"/>
            <w:shd w:val="clear" w:color="auto" w:fill="auto"/>
            <w:vAlign w:val="top"/>
          </w:tcPr>
          <w:p w14:paraId="2BBE72D3">
            <w:pPr>
              <w:pStyle w:val="26"/>
              <w:bidi w:val="0"/>
              <w:rPr>
                <w:rFonts w:hint="default"/>
                <w:lang w:val="en-US" w:eastAsia="zh-CN"/>
              </w:rPr>
            </w:pPr>
            <w:r>
              <w:rPr>
                <w:lang w:val="en-US" w:eastAsia="zh-CN"/>
              </w:rPr>
              <w:t>2023- 11-27</w:t>
            </w:r>
          </w:p>
        </w:tc>
        <w:tc>
          <w:tcPr>
            <w:tcW w:w="528" w:type="pct"/>
            <w:gridSpan w:val="2"/>
            <w:shd w:val="clear" w:color="auto" w:fill="auto"/>
            <w:vAlign w:val="top"/>
          </w:tcPr>
          <w:p w14:paraId="386C0105">
            <w:pPr>
              <w:pStyle w:val="26"/>
              <w:bidi w:val="0"/>
              <w:rPr>
                <w:rFonts w:hint="default"/>
                <w:lang w:val="en-US" w:eastAsia="zh-CN"/>
              </w:rPr>
            </w:pPr>
            <w:r>
              <w:rPr>
                <w:lang w:val="en-US" w:eastAsia="zh-CN"/>
              </w:rPr>
              <w:t>0.075</w:t>
            </w:r>
          </w:p>
        </w:tc>
        <w:tc>
          <w:tcPr>
            <w:tcW w:w="484" w:type="pct"/>
            <w:shd w:val="clear" w:color="auto" w:fill="auto"/>
            <w:vAlign w:val="top"/>
          </w:tcPr>
          <w:p w14:paraId="134073AF">
            <w:pPr>
              <w:pStyle w:val="26"/>
              <w:bidi w:val="0"/>
              <w:rPr>
                <w:rFonts w:hint="default"/>
                <w:lang w:val="en-US" w:eastAsia="zh-CN"/>
              </w:rPr>
            </w:pPr>
            <w:r>
              <w:rPr>
                <w:lang w:val="en-US" w:eastAsia="zh-CN"/>
              </w:rPr>
              <w:t>0.089</w:t>
            </w:r>
          </w:p>
        </w:tc>
        <w:tc>
          <w:tcPr>
            <w:tcW w:w="481" w:type="pct"/>
            <w:gridSpan w:val="3"/>
            <w:shd w:val="clear" w:color="auto" w:fill="auto"/>
            <w:vAlign w:val="top"/>
          </w:tcPr>
          <w:p w14:paraId="3A36A06A">
            <w:pPr>
              <w:pStyle w:val="26"/>
              <w:bidi w:val="0"/>
              <w:rPr>
                <w:rFonts w:hint="default"/>
                <w:lang w:val="en-US" w:eastAsia="zh-CN"/>
              </w:rPr>
            </w:pPr>
            <w:r>
              <w:rPr>
                <w:lang w:val="en-US" w:eastAsia="zh-CN"/>
              </w:rPr>
              <w:t>0.075</w:t>
            </w:r>
          </w:p>
        </w:tc>
        <w:tc>
          <w:tcPr>
            <w:tcW w:w="489" w:type="pct"/>
            <w:shd w:val="clear" w:color="auto" w:fill="auto"/>
            <w:vAlign w:val="top"/>
          </w:tcPr>
          <w:p w14:paraId="6A953759">
            <w:pPr>
              <w:pStyle w:val="26"/>
              <w:bidi w:val="0"/>
              <w:rPr>
                <w:rFonts w:hint="default"/>
                <w:lang w:val="en-US" w:eastAsia="zh-CN"/>
              </w:rPr>
            </w:pPr>
            <w:r>
              <w:rPr>
                <w:lang w:val="en-US" w:eastAsia="zh-CN"/>
              </w:rPr>
              <w:t>0.079</w:t>
            </w:r>
          </w:p>
        </w:tc>
        <w:tc>
          <w:tcPr>
            <w:tcW w:w="630" w:type="pct"/>
            <w:vMerge w:val="restart"/>
            <w:vAlign w:val="center"/>
          </w:tcPr>
          <w:p w14:paraId="0CE6C85B">
            <w:pPr>
              <w:pStyle w:val="26"/>
              <w:bidi w:val="0"/>
              <w:rPr>
                <w:lang w:val="en-US" w:eastAsia="zh-CN"/>
              </w:rPr>
            </w:pPr>
            <w:r>
              <w:rPr>
                <w:lang w:val="en-US" w:eastAsia="zh-CN"/>
              </w:rPr>
              <w:t>0.3</w:t>
            </w:r>
          </w:p>
          <w:p w14:paraId="0B41A132">
            <w:pPr>
              <w:pStyle w:val="26"/>
              <w:bidi w:val="0"/>
              <w:rPr>
                <w:rFonts w:hint="eastAsia"/>
                <w:lang w:val="en-US" w:eastAsia="zh-CN"/>
              </w:rPr>
            </w:pPr>
            <w:r>
              <w:rPr>
                <w:lang w:val="en-US" w:eastAsia="zh-CN"/>
              </w:rPr>
              <w:t>（1h  平均）</w:t>
            </w:r>
          </w:p>
        </w:tc>
        <w:tc>
          <w:tcPr>
            <w:tcW w:w="456" w:type="pct"/>
            <w:vAlign w:val="center"/>
          </w:tcPr>
          <w:p w14:paraId="1D72D2DC">
            <w:pPr>
              <w:pStyle w:val="26"/>
              <w:bidi w:val="0"/>
              <w:rPr>
                <w:lang w:val="en-US" w:eastAsia="zh-CN"/>
              </w:rPr>
            </w:pPr>
            <w:r>
              <w:rPr>
                <w:rFonts w:hint="eastAsia"/>
                <w:lang w:val="en-US" w:eastAsia="zh-CN"/>
              </w:rPr>
              <w:t>达标</w:t>
            </w:r>
          </w:p>
        </w:tc>
      </w:tr>
      <w:tr w14:paraId="746C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15BED6DD">
            <w:pPr>
              <w:pStyle w:val="26"/>
              <w:bidi w:val="0"/>
            </w:pPr>
          </w:p>
        </w:tc>
        <w:tc>
          <w:tcPr>
            <w:tcW w:w="729" w:type="pct"/>
            <w:vMerge w:val="continue"/>
            <w:shd w:val="clear" w:color="auto" w:fill="auto"/>
            <w:vAlign w:val="center"/>
          </w:tcPr>
          <w:p w14:paraId="234FD299">
            <w:pPr>
              <w:pStyle w:val="26"/>
              <w:bidi w:val="0"/>
            </w:pPr>
          </w:p>
        </w:tc>
        <w:tc>
          <w:tcPr>
            <w:tcW w:w="805" w:type="pct"/>
            <w:shd w:val="clear" w:color="auto" w:fill="auto"/>
            <w:vAlign w:val="top"/>
          </w:tcPr>
          <w:p w14:paraId="1A349FE4">
            <w:pPr>
              <w:pStyle w:val="26"/>
              <w:bidi w:val="0"/>
              <w:rPr>
                <w:rFonts w:hint="default"/>
                <w:lang w:val="en-US" w:eastAsia="zh-CN"/>
              </w:rPr>
            </w:pPr>
            <w:r>
              <w:rPr>
                <w:lang w:val="en-US" w:eastAsia="zh-CN"/>
              </w:rPr>
              <w:t>2023- 11-28</w:t>
            </w:r>
          </w:p>
        </w:tc>
        <w:tc>
          <w:tcPr>
            <w:tcW w:w="528" w:type="pct"/>
            <w:gridSpan w:val="2"/>
            <w:shd w:val="clear" w:color="auto" w:fill="auto"/>
            <w:vAlign w:val="top"/>
          </w:tcPr>
          <w:p w14:paraId="01CB857F">
            <w:pPr>
              <w:pStyle w:val="26"/>
              <w:bidi w:val="0"/>
              <w:rPr>
                <w:rFonts w:hint="default"/>
                <w:lang w:val="en-US" w:eastAsia="zh-CN"/>
              </w:rPr>
            </w:pPr>
            <w:r>
              <w:rPr>
                <w:lang w:val="en-US" w:eastAsia="zh-CN"/>
              </w:rPr>
              <w:t>0.079</w:t>
            </w:r>
          </w:p>
        </w:tc>
        <w:tc>
          <w:tcPr>
            <w:tcW w:w="484" w:type="pct"/>
            <w:shd w:val="clear" w:color="auto" w:fill="auto"/>
            <w:vAlign w:val="top"/>
          </w:tcPr>
          <w:p w14:paraId="32A77B91">
            <w:pPr>
              <w:pStyle w:val="26"/>
              <w:bidi w:val="0"/>
              <w:rPr>
                <w:rFonts w:hint="default"/>
                <w:lang w:val="en-US" w:eastAsia="zh-CN"/>
              </w:rPr>
            </w:pPr>
            <w:r>
              <w:rPr>
                <w:lang w:val="en-US" w:eastAsia="zh-CN"/>
              </w:rPr>
              <w:t>0.091</w:t>
            </w:r>
          </w:p>
        </w:tc>
        <w:tc>
          <w:tcPr>
            <w:tcW w:w="481" w:type="pct"/>
            <w:gridSpan w:val="3"/>
            <w:shd w:val="clear" w:color="auto" w:fill="auto"/>
            <w:vAlign w:val="top"/>
          </w:tcPr>
          <w:p w14:paraId="50559C31">
            <w:pPr>
              <w:pStyle w:val="26"/>
              <w:bidi w:val="0"/>
              <w:rPr>
                <w:rFonts w:hint="default"/>
                <w:lang w:val="en-US" w:eastAsia="zh-CN"/>
              </w:rPr>
            </w:pPr>
            <w:r>
              <w:rPr>
                <w:lang w:val="en-US" w:eastAsia="zh-CN"/>
              </w:rPr>
              <w:t>0.079</w:t>
            </w:r>
          </w:p>
        </w:tc>
        <w:tc>
          <w:tcPr>
            <w:tcW w:w="489" w:type="pct"/>
            <w:shd w:val="clear" w:color="auto" w:fill="auto"/>
            <w:vAlign w:val="top"/>
          </w:tcPr>
          <w:p w14:paraId="66CA1FC9">
            <w:pPr>
              <w:pStyle w:val="26"/>
              <w:bidi w:val="0"/>
              <w:rPr>
                <w:rFonts w:hint="default"/>
                <w:lang w:val="en-US" w:eastAsia="zh-CN"/>
              </w:rPr>
            </w:pPr>
            <w:r>
              <w:rPr>
                <w:lang w:val="en-US" w:eastAsia="zh-CN"/>
              </w:rPr>
              <w:t>0.084</w:t>
            </w:r>
          </w:p>
        </w:tc>
        <w:tc>
          <w:tcPr>
            <w:tcW w:w="630" w:type="pct"/>
            <w:vMerge w:val="continue"/>
            <w:vAlign w:val="center"/>
          </w:tcPr>
          <w:p w14:paraId="5D0829FE">
            <w:pPr>
              <w:pStyle w:val="26"/>
              <w:bidi w:val="0"/>
              <w:rPr>
                <w:rFonts w:hint="default"/>
                <w:lang w:val="en-US" w:eastAsia="zh-CN"/>
              </w:rPr>
            </w:pPr>
          </w:p>
        </w:tc>
        <w:tc>
          <w:tcPr>
            <w:tcW w:w="456" w:type="pct"/>
            <w:vAlign w:val="center"/>
          </w:tcPr>
          <w:p w14:paraId="5ABA09EF">
            <w:pPr>
              <w:pStyle w:val="26"/>
              <w:bidi w:val="0"/>
              <w:rPr>
                <w:rFonts w:hint="default"/>
                <w:lang w:val="en-US" w:eastAsia="zh-CN"/>
              </w:rPr>
            </w:pPr>
            <w:r>
              <w:rPr>
                <w:rFonts w:hint="eastAsia"/>
                <w:lang w:val="en-US" w:eastAsia="zh-CN"/>
              </w:rPr>
              <w:t>达标</w:t>
            </w:r>
          </w:p>
        </w:tc>
      </w:tr>
      <w:tr w14:paraId="3A17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77E5C604">
            <w:pPr>
              <w:pStyle w:val="26"/>
              <w:bidi w:val="0"/>
              <w:rPr>
                <w:rFonts w:hint="default"/>
                <w:lang w:val="en-US" w:eastAsia="zh-CN"/>
              </w:rPr>
            </w:pPr>
          </w:p>
        </w:tc>
        <w:tc>
          <w:tcPr>
            <w:tcW w:w="729" w:type="pct"/>
            <w:vMerge w:val="continue"/>
            <w:shd w:val="clear" w:color="auto" w:fill="auto"/>
            <w:vAlign w:val="center"/>
          </w:tcPr>
          <w:p w14:paraId="671CACF9">
            <w:pPr>
              <w:pStyle w:val="26"/>
              <w:bidi w:val="0"/>
              <w:rPr>
                <w:rFonts w:hint="default"/>
                <w:lang w:val="en-US" w:eastAsia="zh-CN"/>
              </w:rPr>
            </w:pPr>
          </w:p>
        </w:tc>
        <w:tc>
          <w:tcPr>
            <w:tcW w:w="805" w:type="pct"/>
            <w:shd w:val="clear" w:color="auto" w:fill="auto"/>
            <w:vAlign w:val="top"/>
          </w:tcPr>
          <w:p w14:paraId="3785EB42">
            <w:pPr>
              <w:pStyle w:val="26"/>
              <w:bidi w:val="0"/>
              <w:rPr>
                <w:rFonts w:hint="default"/>
                <w:lang w:val="en-US" w:eastAsia="zh-CN"/>
              </w:rPr>
            </w:pPr>
            <w:r>
              <w:rPr>
                <w:lang w:val="en-US" w:eastAsia="zh-CN"/>
              </w:rPr>
              <w:t>2023- 11-29</w:t>
            </w:r>
          </w:p>
        </w:tc>
        <w:tc>
          <w:tcPr>
            <w:tcW w:w="528" w:type="pct"/>
            <w:gridSpan w:val="2"/>
            <w:shd w:val="clear" w:color="auto" w:fill="auto"/>
            <w:vAlign w:val="top"/>
          </w:tcPr>
          <w:p w14:paraId="16726B2D">
            <w:pPr>
              <w:pStyle w:val="26"/>
              <w:bidi w:val="0"/>
              <w:rPr>
                <w:rFonts w:hint="default"/>
                <w:lang w:val="en-US" w:eastAsia="zh-CN"/>
              </w:rPr>
            </w:pPr>
            <w:r>
              <w:rPr>
                <w:lang w:val="en-US" w:eastAsia="zh-CN"/>
              </w:rPr>
              <w:t>0.079</w:t>
            </w:r>
          </w:p>
        </w:tc>
        <w:tc>
          <w:tcPr>
            <w:tcW w:w="484" w:type="pct"/>
            <w:shd w:val="clear" w:color="auto" w:fill="auto"/>
            <w:vAlign w:val="top"/>
          </w:tcPr>
          <w:p w14:paraId="25597016">
            <w:pPr>
              <w:pStyle w:val="26"/>
              <w:bidi w:val="0"/>
              <w:rPr>
                <w:rFonts w:hint="default"/>
                <w:lang w:val="en-US" w:eastAsia="zh-CN"/>
              </w:rPr>
            </w:pPr>
            <w:r>
              <w:rPr>
                <w:lang w:val="en-US" w:eastAsia="zh-CN"/>
              </w:rPr>
              <w:t>0.092</w:t>
            </w:r>
          </w:p>
        </w:tc>
        <w:tc>
          <w:tcPr>
            <w:tcW w:w="481" w:type="pct"/>
            <w:gridSpan w:val="3"/>
            <w:shd w:val="clear" w:color="auto" w:fill="auto"/>
            <w:vAlign w:val="top"/>
          </w:tcPr>
          <w:p w14:paraId="1DA2DCDB">
            <w:pPr>
              <w:pStyle w:val="26"/>
              <w:bidi w:val="0"/>
              <w:rPr>
                <w:rFonts w:hint="default"/>
                <w:lang w:val="en-US" w:eastAsia="zh-CN"/>
              </w:rPr>
            </w:pPr>
            <w:r>
              <w:rPr>
                <w:lang w:val="en-US" w:eastAsia="zh-CN"/>
              </w:rPr>
              <w:t>0.082</w:t>
            </w:r>
          </w:p>
        </w:tc>
        <w:tc>
          <w:tcPr>
            <w:tcW w:w="489" w:type="pct"/>
            <w:shd w:val="clear" w:color="auto" w:fill="auto"/>
            <w:vAlign w:val="top"/>
          </w:tcPr>
          <w:p w14:paraId="65C31DDB">
            <w:pPr>
              <w:pStyle w:val="26"/>
              <w:bidi w:val="0"/>
              <w:rPr>
                <w:rFonts w:hint="default"/>
                <w:lang w:val="en-US" w:eastAsia="zh-CN"/>
              </w:rPr>
            </w:pPr>
            <w:r>
              <w:rPr>
                <w:lang w:val="en-US" w:eastAsia="zh-CN"/>
              </w:rPr>
              <w:t>0.082</w:t>
            </w:r>
          </w:p>
        </w:tc>
        <w:tc>
          <w:tcPr>
            <w:tcW w:w="630" w:type="pct"/>
            <w:vMerge w:val="continue"/>
            <w:vAlign w:val="center"/>
          </w:tcPr>
          <w:p w14:paraId="2D6B2452">
            <w:pPr>
              <w:pStyle w:val="26"/>
              <w:bidi w:val="0"/>
              <w:rPr>
                <w:rFonts w:hint="default"/>
                <w:lang w:val="en-US" w:eastAsia="zh-CN"/>
              </w:rPr>
            </w:pPr>
          </w:p>
        </w:tc>
        <w:tc>
          <w:tcPr>
            <w:tcW w:w="456" w:type="pct"/>
            <w:vAlign w:val="center"/>
          </w:tcPr>
          <w:p w14:paraId="039233B5">
            <w:pPr>
              <w:pStyle w:val="26"/>
              <w:bidi w:val="0"/>
              <w:rPr>
                <w:rFonts w:hint="default"/>
                <w:lang w:val="en-US" w:eastAsia="zh-CN"/>
              </w:rPr>
            </w:pPr>
            <w:r>
              <w:rPr>
                <w:rFonts w:hint="eastAsia"/>
                <w:lang w:val="en-US" w:eastAsia="zh-CN"/>
              </w:rPr>
              <w:t>达标</w:t>
            </w:r>
          </w:p>
        </w:tc>
      </w:tr>
      <w:tr w14:paraId="52B3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2BFF5141">
            <w:pPr>
              <w:pStyle w:val="26"/>
              <w:bidi w:val="0"/>
              <w:rPr>
                <w:rFonts w:hint="default"/>
                <w:lang w:val="en-US" w:eastAsia="zh-CN"/>
              </w:rPr>
            </w:pPr>
          </w:p>
        </w:tc>
        <w:tc>
          <w:tcPr>
            <w:tcW w:w="729" w:type="pct"/>
            <w:vMerge w:val="continue"/>
            <w:shd w:val="clear" w:color="auto" w:fill="auto"/>
            <w:vAlign w:val="center"/>
          </w:tcPr>
          <w:p w14:paraId="01D4FE95">
            <w:pPr>
              <w:pStyle w:val="26"/>
              <w:bidi w:val="0"/>
              <w:rPr>
                <w:rFonts w:hint="default"/>
                <w:lang w:val="en-US" w:eastAsia="zh-CN"/>
              </w:rPr>
            </w:pPr>
          </w:p>
        </w:tc>
        <w:tc>
          <w:tcPr>
            <w:tcW w:w="805" w:type="pct"/>
            <w:shd w:val="clear" w:color="auto" w:fill="auto"/>
            <w:vAlign w:val="top"/>
          </w:tcPr>
          <w:p w14:paraId="360E40B1">
            <w:pPr>
              <w:pStyle w:val="26"/>
              <w:bidi w:val="0"/>
              <w:rPr>
                <w:rFonts w:hint="default"/>
                <w:lang w:val="en-US" w:eastAsia="zh-CN"/>
              </w:rPr>
            </w:pPr>
            <w:r>
              <w:rPr>
                <w:lang w:val="en-US" w:eastAsia="zh-CN"/>
              </w:rPr>
              <w:t>2023- 11-30</w:t>
            </w:r>
          </w:p>
        </w:tc>
        <w:tc>
          <w:tcPr>
            <w:tcW w:w="528" w:type="pct"/>
            <w:gridSpan w:val="2"/>
            <w:shd w:val="clear" w:color="auto" w:fill="auto"/>
            <w:vAlign w:val="top"/>
          </w:tcPr>
          <w:p w14:paraId="4FAF6D93">
            <w:pPr>
              <w:pStyle w:val="26"/>
              <w:bidi w:val="0"/>
              <w:rPr>
                <w:rFonts w:hint="default"/>
                <w:lang w:val="en-US" w:eastAsia="zh-CN"/>
              </w:rPr>
            </w:pPr>
            <w:r>
              <w:rPr>
                <w:lang w:val="en-US" w:eastAsia="zh-CN"/>
              </w:rPr>
              <w:t>0.076</w:t>
            </w:r>
          </w:p>
        </w:tc>
        <w:tc>
          <w:tcPr>
            <w:tcW w:w="484" w:type="pct"/>
            <w:shd w:val="clear" w:color="auto" w:fill="auto"/>
            <w:vAlign w:val="top"/>
          </w:tcPr>
          <w:p w14:paraId="025A6C19">
            <w:pPr>
              <w:pStyle w:val="26"/>
              <w:bidi w:val="0"/>
              <w:rPr>
                <w:rFonts w:hint="default"/>
                <w:lang w:val="en-US" w:eastAsia="zh-CN"/>
              </w:rPr>
            </w:pPr>
            <w:r>
              <w:rPr>
                <w:lang w:val="en-US" w:eastAsia="zh-CN"/>
              </w:rPr>
              <w:t>0.079</w:t>
            </w:r>
          </w:p>
        </w:tc>
        <w:tc>
          <w:tcPr>
            <w:tcW w:w="481" w:type="pct"/>
            <w:gridSpan w:val="3"/>
            <w:shd w:val="clear" w:color="auto" w:fill="auto"/>
            <w:vAlign w:val="top"/>
          </w:tcPr>
          <w:p w14:paraId="477C19C2">
            <w:pPr>
              <w:pStyle w:val="26"/>
              <w:bidi w:val="0"/>
              <w:rPr>
                <w:rFonts w:hint="default"/>
                <w:lang w:val="en-US" w:eastAsia="zh-CN"/>
              </w:rPr>
            </w:pPr>
            <w:r>
              <w:rPr>
                <w:lang w:val="en-US" w:eastAsia="zh-CN"/>
              </w:rPr>
              <w:t>0.079</w:t>
            </w:r>
          </w:p>
        </w:tc>
        <w:tc>
          <w:tcPr>
            <w:tcW w:w="489" w:type="pct"/>
            <w:shd w:val="clear" w:color="auto" w:fill="auto"/>
            <w:vAlign w:val="top"/>
          </w:tcPr>
          <w:p w14:paraId="76D526C8">
            <w:pPr>
              <w:pStyle w:val="26"/>
              <w:bidi w:val="0"/>
              <w:rPr>
                <w:rFonts w:hint="default"/>
                <w:lang w:val="en-US" w:eastAsia="zh-CN"/>
              </w:rPr>
            </w:pPr>
            <w:r>
              <w:rPr>
                <w:lang w:val="en-US" w:eastAsia="zh-CN"/>
              </w:rPr>
              <w:t>0.078</w:t>
            </w:r>
          </w:p>
        </w:tc>
        <w:tc>
          <w:tcPr>
            <w:tcW w:w="630" w:type="pct"/>
            <w:vMerge w:val="continue"/>
            <w:vAlign w:val="center"/>
          </w:tcPr>
          <w:p w14:paraId="530B97F6">
            <w:pPr>
              <w:pStyle w:val="26"/>
              <w:bidi w:val="0"/>
              <w:rPr>
                <w:rFonts w:hint="default"/>
                <w:lang w:val="en-US" w:eastAsia="zh-CN"/>
              </w:rPr>
            </w:pPr>
          </w:p>
        </w:tc>
        <w:tc>
          <w:tcPr>
            <w:tcW w:w="456" w:type="pct"/>
            <w:vAlign w:val="center"/>
          </w:tcPr>
          <w:p w14:paraId="17D3E69A">
            <w:pPr>
              <w:pStyle w:val="26"/>
              <w:bidi w:val="0"/>
              <w:rPr>
                <w:rFonts w:hint="default"/>
                <w:lang w:val="en-US" w:eastAsia="zh-CN"/>
              </w:rPr>
            </w:pPr>
            <w:r>
              <w:rPr>
                <w:rFonts w:hint="eastAsia"/>
                <w:lang w:val="en-US" w:eastAsia="zh-CN"/>
              </w:rPr>
              <w:t>达标</w:t>
            </w:r>
          </w:p>
        </w:tc>
      </w:tr>
      <w:tr w14:paraId="6CAA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245393F9">
            <w:pPr>
              <w:pStyle w:val="26"/>
              <w:bidi w:val="0"/>
              <w:rPr>
                <w:rFonts w:hint="default"/>
                <w:lang w:val="en-US" w:eastAsia="zh-CN"/>
              </w:rPr>
            </w:pPr>
          </w:p>
        </w:tc>
        <w:tc>
          <w:tcPr>
            <w:tcW w:w="729" w:type="pct"/>
            <w:vMerge w:val="continue"/>
            <w:shd w:val="clear" w:color="auto" w:fill="auto"/>
            <w:vAlign w:val="center"/>
          </w:tcPr>
          <w:p w14:paraId="43591047">
            <w:pPr>
              <w:pStyle w:val="26"/>
              <w:bidi w:val="0"/>
              <w:rPr>
                <w:rFonts w:hint="default"/>
                <w:lang w:val="en-US" w:eastAsia="zh-CN"/>
              </w:rPr>
            </w:pPr>
          </w:p>
        </w:tc>
        <w:tc>
          <w:tcPr>
            <w:tcW w:w="805" w:type="pct"/>
            <w:shd w:val="clear" w:color="auto" w:fill="auto"/>
            <w:vAlign w:val="top"/>
          </w:tcPr>
          <w:p w14:paraId="6156B603">
            <w:pPr>
              <w:pStyle w:val="26"/>
              <w:bidi w:val="0"/>
              <w:rPr>
                <w:rFonts w:hint="default"/>
                <w:lang w:val="en-US" w:eastAsia="zh-CN"/>
              </w:rPr>
            </w:pPr>
            <w:r>
              <w:rPr>
                <w:lang w:val="en-US" w:eastAsia="zh-CN"/>
              </w:rPr>
              <w:t>2023- 12-01</w:t>
            </w:r>
          </w:p>
        </w:tc>
        <w:tc>
          <w:tcPr>
            <w:tcW w:w="528" w:type="pct"/>
            <w:gridSpan w:val="2"/>
            <w:shd w:val="clear" w:color="auto" w:fill="auto"/>
            <w:vAlign w:val="top"/>
          </w:tcPr>
          <w:p w14:paraId="540E2AB3">
            <w:pPr>
              <w:pStyle w:val="26"/>
              <w:bidi w:val="0"/>
              <w:rPr>
                <w:rFonts w:hint="default"/>
                <w:lang w:val="en-US" w:eastAsia="zh-CN"/>
              </w:rPr>
            </w:pPr>
            <w:r>
              <w:rPr>
                <w:lang w:val="en-US" w:eastAsia="zh-CN"/>
              </w:rPr>
              <w:t>0.077</w:t>
            </w:r>
          </w:p>
        </w:tc>
        <w:tc>
          <w:tcPr>
            <w:tcW w:w="484" w:type="pct"/>
            <w:shd w:val="clear" w:color="auto" w:fill="auto"/>
            <w:vAlign w:val="top"/>
          </w:tcPr>
          <w:p w14:paraId="4FCE74A8">
            <w:pPr>
              <w:pStyle w:val="26"/>
              <w:bidi w:val="0"/>
              <w:rPr>
                <w:rFonts w:hint="default"/>
                <w:lang w:val="en-US" w:eastAsia="zh-CN"/>
              </w:rPr>
            </w:pPr>
            <w:r>
              <w:rPr>
                <w:lang w:val="en-US" w:eastAsia="zh-CN"/>
              </w:rPr>
              <w:t>0.079</w:t>
            </w:r>
          </w:p>
        </w:tc>
        <w:tc>
          <w:tcPr>
            <w:tcW w:w="481" w:type="pct"/>
            <w:gridSpan w:val="3"/>
            <w:shd w:val="clear" w:color="auto" w:fill="auto"/>
            <w:vAlign w:val="top"/>
          </w:tcPr>
          <w:p w14:paraId="50DE1283">
            <w:pPr>
              <w:pStyle w:val="26"/>
              <w:bidi w:val="0"/>
              <w:rPr>
                <w:rFonts w:hint="default"/>
                <w:lang w:val="en-US" w:eastAsia="zh-CN"/>
              </w:rPr>
            </w:pPr>
            <w:r>
              <w:rPr>
                <w:lang w:val="en-US" w:eastAsia="zh-CN"/>
              </w:rPr>
              <w:t>0.079</w:t>
            </w:r>
          </w:p>
        </w:tc>
        <w:tc>
          <w:tcPr>
            <w:tcW w:w="489" w:type="pct"/>
            <w:shd w:val="clear" w:color="auto" w:fill="auto"/>
            <w:vAlign w:val="top"/>
          </w:tcPr>
          <w:p w14:paraId="0BAFAA1E">
            <w:pPr>
              <w:pStyle w:val="26"/>
              <w:bidi w:val="0"/>
              <w:rPr>
                <w:rFonts w:hint="default"/>
                <w:lang w:val="en-US" w:eastAsia="zh-CN"/>
              </w:rPr>
            </w:pPr>
            <w:r>
              <w:rPr>
                <w:lang w:val="en-US" w:eastAsia="zh-CN"/>
              </w:rPr>
              <w:t>0.077</w:t>
            </w:r>
          </w:p>
        </w:tc>
        <w:tc>
          <w:tcPr>
            <w:tcW w:w="630" w:type="pct"/>
            <w:vMerge w:val="continue"/>
            <w:vAlign w:val="center"/>
          </w:tcPr>
          <w:p w14:paraId="3E8128E5">
            <w:pPr>
              <w:pStyle w:val="26"/>
              <w:bidi w:val="0"/>
              <w:rPr>
                <w:rFonts w:hint="default"/>
                <w:lang w:val="en-US" w:eastAsia="zh-CN"/>
              </w:rPr>
            </w:pPr>
          </w:p>
        </w:tc>
        <w:tc>
          <w:tcPr>
            <w:tcW w:w="456" w:type="pct"/>
            <w:vAlign w:val="center"/>
          </w:tcPr>
          <w:p w14:paraId="032BCE03">
            <w:pPr>
              <w:pStyle w:val="26"/>
              <w:bidi w:val="0"/>
              <w:rPr>
                <w:rFonts w:hint="default"/>
                <w:lang w:val="en-US" w:eastAsia="zh-CN"/>
              </w:rPr>
            </w:pPr>
            <w:r>
              <w:rPr>
                <w:rFonts w:hint="eastAsia"/>
                <w:lang w:val="en-US" w:eastAsia="zh-CN"/>
              </w:rPr>
              <w:t>达标</w:t>
            </w:r>
          </w:p>
        </w:tc>
      </w:tr>
      <w:tr w14:paraId="398B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67287645">
            <w:pPr>
              <w:pStyle w:val="26"/>
              <w:bidi w:val="0"/>
              <w:rPr>
                <w:rFonts w:hint="default"/>
                <w:lang w:val="en-US" w:eastAsia="zh-CN"/>
              </w:rPr>
            </w:pPr>
          </w:p>
        </w:tc>
        <w:tc>
          <w:tcPr>
            <w:tcW w:w="729" w:type="pct"/>
            <w:vMerge w:val="continue"/>
            <w:shd w:val="clear" w:color="auto" w:fill="auto"/>
            <w:vAlign w:val="center"/>
          </w:tcPr>
          <w:p w14:paraId="684A6B27">
            <w:pPr>
              <w:pStyle w:val="26"/>
              <w:bidi w:val="0"/>
              <w:rPr>
                <w:rFonts w:hint="default"/>
                <w:lang w:val="en-US" w:eastAsia="zh-CN"/>
              </w:rPr>
            </w:pPr>
          </w:p>
        </w:tc>
        <w:tc>
          <w:tcPr>
            <w:tcW w:w="805" w:type="pct"/>
            <w:shd w:val="clear" w:color="auto" w:fill="auto"/>
            <w:vAlign w:val="top"/>
          </w:tcPr>
          <w:p w14:paraId="3ECBEA73">
            <w:pPr>
              <w:pStyle w:val="26"/>
              <w:bidi w:val="0"/>
              <w:rPr>
                <w:rFonts w:hint="default"/>
                <w:lang w:val="en-US" w:eastAsia="zh-CN"/>
              </w:rPr>
            </w:pPr>
            <w:r>
              <w:rPr>
                <w:lang w:val="en-US" w:eastAsia="zh-CN"/>
              </w:rPr>
              <w:t>2023- 12-02</w:t>
            </w:r>
          </w:p>
        </w:tc>
        <w:tc>
          <w:tcPr>
            <w:tcW w:w="528" w:type="pct"/>
            <w:gridSpan w:val="2"/>
            <w:shd w:val="clear" w:color="auto" w:fill="auto"/>
            <w:vAlign w:val="top"/>
          </w:tcPr>
          <w:p w14:paraId="23C9C2A6">
            <w:pPr>
              <w:pStyle w:val="26"/>
              <w:bidi w:val="0"/>
              <w:rPr>
                <w:rFonts w:hint="default"/>
                <w:lang w:val="en-US" w:eastAsia="zh-CN"/>
              </w:rPr>
            </w:pPr>
            <w:r>
              <w:rPr>
                <w:lang w:val="en-US" w:eastAsia="zh-CN"/>
              </w:rPr>
              <w:t>0.076</w:t>
            </w:r>
          </w:p>
        </w:tc>
        <w:tc>
          <w:tcPr>
            <w:tcW w:w="484" w:type="pct"/>
            <w:shd w:val="clear" w:color="auto" w:fill="auto"/>
            <w:vAlign w:val="top"/>
          </w:tcPr>
          <w:p w14:paraId="0250113B">
            <w:pPr>
              <w:pStyle w:val="26"/>
              <w:bidi w:val="0"/>
              <w:rPr>
                <w:rFonts w:hint="default"/>
                <w:lang w:val="en-US" w:eastAsia="zh-CN"/>
              </w:rPr>
            </w:pPr>
            <w:r>
              <w:rPr>
                <w:lang w:val="en-US" w:eastAsia="zh-CN"/>
              </w:rPr>
              <w:t>0.080</w:t>
            </w:r>
          </w:p>
        </w:tc>
        <w:tc>
          <w:tcPr>
            <w:tcW w:w="481" w:type="pct"/>
            <w:gridSpan w:val="3"/>
            <w:shd w:val="clear" w:color="auto" w:fill="auto"/>
            <w:vAlign w:val="top"/>
          </w:tcPr>
          <w:p w14:paraId="63F93829">
            <w:pPr>
              <w:pStyle w:val="26"/>
              <w:bidi w:val="0"/>
              <w:rPr>
                <w:rFonts w:hint="default"/>
                <w:lang w:val="en-US" w:eastAsia="zh-CN"/>
              </w:rPr>
            </w:pPr>
            <w:r>
              <w:rPr>
                <w:lang w:val="en-US" w:eastAsia="zh-CN"/>
              </w:rPr>
              <w:t>0.080</w:t>
            </w:r>
          </w:p>
        </w:tc>
        <w:tc>
          <w:tcPr>
            <w:tcW w:w="489" w:type="pct"/>
            <w:shd w:val="clear" w:color="auto" w:fill="auto"/>
            <w:vAlign w:val="top"/>
          </w:tcPr>
          <w:p w14:paraId="1BC1E5AF">
            <w:pPr>
              <w:pStyle w:val="26"/>
              <w:bidi w:val="0"/>
              <w:rPr>
                <w:rFonts w:hint="default"/>
                <w:lang w:val="en-US" w:eastAsia="zh-CN"/>
              </w:rPr>
            </w:pPr>
            <w:r>
              <w:rPr>
                <w:lang w:val="en-US" w:eastAsia="zh-CN"/>
              </w:rPr>
              <w:t>0.078</w:t>
            </w:r>
          </w:p>
        </w:tc>
        <w:tc>
          <w:tcPr>
            <w:tcW w:w="630" w:type="pct"/>
            <w:vMerge w:val="continue"/>
            <w:vAlign w:val="center"/>
          </w:tcPr>
          <w:p w14:paraId="5328A71B">
            <w:pPr>
              <w:pStyle w:val="26"/>
              <w:bidi w:val="0"/>
              <w:rPr>
                <w:rFonts w:hint="default"/>
                <w:lang w:val="en-US" w:eastAsia="zh-CN"/>
              </w:rPr>
            </w:pPr>
          </w:p>
        </w:tc>
        <w:tc>
          <w:tcPr>
            <w:tcW w:w="456" w:type="pct"/>
            <w:vAlign w:val="center"/>
          </w:tcPr>
          <w:p w14:paraId="3CD2449C">
            <w:pPr>
              <w:pStyle w:val="26"/>
              <w:bidi w:val="0"/>
              <w:rPr>
                <w:rFonts w:hint="default"/>
                <w:lang w:val="en-US" w:eastAsia="zh-CN"/>
              </w:rPr>
            </w:pPr>
            <w:r>
              <w:rPr>
                <w:rFonts w:hint="eastAsia"/>
                <w:lang w:val="en-US" w:eastAsia="zh-CN"/>
              </w:rPr>
              <w:t>达标</w:t>
            </w:r>
          </w:p>
        </w:tc>
      </w:tr>
      <w:tr w14:paraId="532C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394" w:type="pct"/>
            <w:vMerge w:val="continue"/>
            <w:vAlign w:val="center"/>
          </w:tcPr>
          <w:p w14:paraId="6F493BF2">
            <w:pPr>
              <w:pStyle w:val="26"/>
              <w:bidi w:val="0"/>
              <w:rPr>
                <w:rFonts w:hint="default"/>
                <w:lang w:val="en-US" w:eastAsia="zh-CN"/>
              </w:rPr>
            </w:pPr>
          </w:p>
        </w:tc>
        <w:tc>
          <w:tcPr>
            <w:tcW w:w="729" w:type="pct"/>
            <w:vMerge w:val="continue"/>
            <w:shd w:val="clear" w:color="auto" w:fill="auto"/>
            <w:vAlign w:val="center"/>
          </w:tcPr>
          <w:p w14:paraId="3F5CF868">
            <w:pPr>
              <w:pStyle w:val="26"/>
              <w:bidi w:val="0"/>
              <w:rPr>
                <w:rFonts w:hint="default"/>
                <w:lang w:val="en-US" w:eastAsia="zh-CN"/>
              </w:rPr>
            </w:pPr>
          </w:p>
        </w:tc>
        <w:tc>
          <w:tcPr>
            <w:tcW w:w="805" w:type="pct"/>
            <w:shd w:val="clear" w:color="auto" w:fill="auto"/>
            <w:vAlign w:val="top"/>
          </w:tcPr>
          <w:p w14:paraId="12937E52">
            <w:pPr>
              <w:pStyle w:val="26"/>
              <w:bidi w:val="0"/>
              <w:rPr>
                <w:rFonts w:hint="default"/>
                <w:lang w:val="en-US" w:eastAsia="zh-CN"/>
              </w:rPr>
            </w:pPr>
            <w:r>
              <w:rPr>
                <w:lang w:val="en-US" w:eastAsia="zh-CN"/>
              </w:rPr>
              <w:t>2023- 12-03</w:t>
            </w:r>
          </w:p>
        </w:tc>
        <w:tc>
          <w:tcPr>
            <w:tcW w:w="528" w:type="pct"/>
            <w:gridSpan w:val="2"/>
            <w:shd w:val="clear" w:color="auto" w:fill="auto"/>
            <w:vAlign w:val="top"/>
          </w:tcPr>
          <w:p w14:paraId="12FA42C9">
            <w:pPr>
              <w:pStyle w:val="26"/>
              <w:bidi w:val="0"/>
              <w:rPr>
                <w:rFonts w:hint="default"/>
                <w:lang w:val="en-US" w:eastAsia="zh-CN"/>
              </w:rPr>
            </w:pPr>
            <w:r>
              <w:rPr>
                <w:lang w:val="en-US" w:eastAsia="zh-CN"/>
              </w:rPr>
              <w:t>0.082</w:t>
            </w:r>
          </w:p>
        </w:tc>
        <w:tc>
          <w:tcPr>
            <w:tcW w:w="484" w:type="pct"/>
            <w:shd w:val="clear" w:color="auto" w:fill="auto"/>
            <w:vAlign w:val="top"/>
          </w:tcPr>
          <w:p w14:paraId="6D6E6440">
            <w:pPr>
              <w:pStyle w:val="26"/>
              <w:bidi w:val="0"/>
              <w:rPr>
                <w:rFonts w:hint="default"/>
                <w:lang w:val="en-US" w:eastAsia="zh-CN"/>
              </w:rPr>
            </w:pPr>
            <w:r>
              <w:rPr>
                <w:lang w:val="en-US" w:eastAsia="zh-CN"/>
              </w:rPr>
              <w:t>0.085</w:t>
            </w:r>
          </w:p>
        </w:tc>
        <w:tc>
          <w:tcPr>
            <w:tcW w:w="481" w:type="pct"/>
            <w:gridSpan w:val="3"/>
            <w:shd w:val="clear" w:color="auto" w:fill="auto"/>
            <w:vAlign w:val="top"/>
          </w:tcPr>
          <w:p w14:paraId="08BFE837">
            <w:pPr>
              <w:pStyle w:val="26"/>
              <w:bidi w:val="0"/>
              <w:rPr>
                <w:rFonts w:hint="default"/>
                <w:lang w:val="en-US" w:eastAsia="zh-CN"/>
              </w:rPr>
            </w:pPr>
            <w:r>
              <w:rPr>
                <w:lang w:val="en-US" w:eastAsia="zh-CN"/>
              </w:rPr>
              <w:t>0.085</w:t>
            </w:r>
          </w:p>
        </w:tc>
        <w:tc>
          <w:tcPr>
            <w:tcW w:w="489" w:type="pct"/>
            <w:shd w:val="clear" w:color="auto" w:fill="auto"/>
            <w:vAlign w:val="top"/>
          </w:tcPr>
          <w:p w14:paraId="1AEC0198">
            <w:pPr>
              <w:pStyle w:val="26"/>
              <w:bidi w:val="0"/>
              <w:rPr>
                <w:rFonts w:hint="default"/>
                <w:lang w:val="en-US" w:eastAsia="zh-CN"/>
              </w:rPr>
            </w:pPr>
            <w:r>
              <w:rPr>
                <w:lang w:val="en-US" w:eastAsia="zh-CN"/>
              </w:rPr>
              <w:t>0.082</w:t>
            </w:r>
          </w:p>
        </w:tc>
        <w:tc>
          <w:tcPr>
            <w:tcW w:w="630" w:type="pct"/>
            <w:vMerge w:val="continue"/>
            <w:vAlign w:val="center"/>
          </w:tcPr>
          <w:p w14:paraId="65E93A74">
            <w:pPr>
              <w:pStyle w:val="26"/>
              <w:bidi w:val="0"/>
              <w:rPr>
                <w:rFonts w:hint="default"/>
                <w:lang w:val="en-US" w:eastAsia="zh-CN"/>
              </w:rPr>
            </w:pPr>
          </w:p>
        </w:tc>
        <w:tc>
          <w:tcPr>
            <w:tcW w:w="456" w:type="pct"/>
            <w:vAlign w:val="center"/>
          </w:tcPr>
          <w:p w14:paraId="6EA84A9F">
            <w:pPr>
              <w:pStyle w:val="26"/>
              <w:bidi w:val="0"/>
              <w:rPr>
                <w:rFonts w:hint="default"/>
                <w:lang w:val="en-US" w:eastAsia="zh-CN"/>
              </w:rPr>
            </w:pPr>
            <w:r>
              <w:rPr>
                <w:rFonts w:hint="eastAsia"/>
                <w:lang w:val="en-US" w:eastAsia="zh-CN"/>
              </w:rPr>
              <w:t>达标</w:t>
            </w:r>
          </w:p>
        </w:tc>
      </w:tr>
      <w:tr w14:paraId="650E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restart"/>
            <w:vAlign w:val="center"/>
          </w:tcPr>
          <w:p w14:paraId="3EBEED9E">
            <w:pPr>
              <w:pStyle w:val="26"/>
              <w:bidi w:val="0"/>
            </w:pPr>
            <w:r>
              <w:rPr>
                <w:lang w:val="en-US" w:eastAsia="zh-CN"/>
              </w:rPr>
              <w:t>项目所在地G1</w:t>
            </w:r>
          </w:p>
        </w:tc>
        <w:tc>
          <w:tcPr>
            <w:tcW w:w="729" w:type="pct"/>
            <w:vMerge w:val="restart"/>
            <w:shd w:val="clear" w:color="auto" w:fill="auto"/>
            <w:vAlign w:val="center"/>
          </w:tcPr>
          <w:p w14:paraId="7D00F5B2">
            <w:pPr>
              <w:pStyle w:val="26"/>
              <w:bidi w:val="0"/>
              <w:rPr>
                <w:rFonts w:hint="eastAsia"/>
                <w:lang w:eastAsia="zh-CN"/>
              </w:rPr>
            </w:pPr>
            <w:r>
              <w:rPr>
                <w:rFonts w:hint="eastAsia"/>
                <w:lang w:eastAsia="zh-CN"/>
              </w:rPr>
              <w:tab/>
            </w:r>
            <w:r>
              <w:rPr>
                <w:lang w:val="en-US" w:eastAsia="zh-CN"/>
              </w:rPr>
              <w:t>甲苯 （mg/m3）</w:t>
            </w:r>
          </w:p>
        </w:tc>
        <w:tc>
          <w:tcPr>
            <w:tcW w:w="805" w:type="pct"/>
            <w:shd w:val="clear" w:color="auto" w:fill="auto"/>
            <w:vAlign w:val="top"/>
          </w:tcPr>
          <w:p w14:paraId="6404B253">
            <w:pPr>
              <w:pStyle w:val="26"/>
              <w:bidi w:val="0"/>
              <w:rPr>
                <w:rFonts w:hint="default"/>
                <w:lang w:val="en-US" w:eastAsia="zh-CN"/>
              </w:rPr>
            </w:pPr>
            <w:r>
              <w:rPr>
                <w:lang w:val="en-US" w:eastAsia="zh-CN"/>
              </w:rPr>
              <w:t>2023- 11-27</w:t>
            </w:r>
          </w:p>
        </w:tc>
        <w:tc>
          <w:tcPr>
            <w:tcW w:w="528" w:type="pct"/>
            <w:gridSpan w:val="2"/>
            <w:shd w:val="clear" w:color="auto" w:fill="auto"/>
            <w:vAlign w:val="top"/>
          </w:tcPr>
          <w:p w14:paraId="08335958">
            <w:pPr>
              <w:pStyle w:val="26"/>
              <w:bidi w:val="0"/>
              <w:rPr>
                <w:rFonts w:hint="eastAsia"/>
                <w:lang w:val="en-US" w:eastAsia="zh-CN"/>
              </w:rPr>
            </w:pPr>
            <w:r>
              <w:rPr>
                <w:lang w:val="en-US" w:eastAsia="zh-CN"/>
              </w:rPr>
              <w:t>ND</w:t>
            </w:r>
          </w:p>
        </w:tc>
        <w:tc>
          <w:tcPr>
            <w:tcW w:w="484" w:type="pct"/>
            <w:shd w:val="clear" w:color="auto" w:fill="auto"/>
            <w:vAlign w:val="top"/>
          </w:tcPr>
          <w:p w14:paraId="41628901">
            <w:pPr>
              <w:pStyle w:val="26"/>
              <w:bidi w:val="0"/>
              <w:rPr>
                <w:rFonts w:hint="eastAsia"/>
                <w:lang w:val="en-US" w:eastAsia="zh-CN"/>
              </w:rPr>
            </w:pPr>
            <w:r>
              <w:rPr>
                <w:lang w:val="en-US" w:eastAsia="zh-CN"/>
              </w:rPr>
              <w:t>ND</w:t>
            </w:r>
          </w:p>
        </w:tc>
        <w:tc>
          <w:tcPr>
            <w:tcW w:w="481" w:type="pct"/>
            <w:gridSpan w:val="3"/>
            <w:shd w:val="clear" w:color="auto" w:fill="auto"/>
            <w:vAlign w:val="top"/>
          </w:tcPr>
          <w:p w14:paraId="328C6F83">
            <w:pPr>
              <w:pStyle w:val="26"/>
              <w:bidi w:val="0"/>
              <w:rPr>
                <w:rFonts w:hint="eastAsia"/>
                <w:lang w:val="en-US" w:eastAsia="zh-CN"/>
              </w:rPr>
            </w:pPr>
            <w:r>
              <w:rPr>
                <w:lang w:val="en-US" w:eastAsia="zh-CN"/>
              </w:rPr>
              <w:t>ND</w:t>
            </w:r>
          </w:p>
        </w:tc>
        <w:tc>
          <w:tcPr>
            <w:tcW w:w="489" w:type="pct"/>
            <w:shd w:val="clear" w:color="auto" w:fill="auto"/>
            <w:vAlign w:val="top"/>
          </w:tcPr>
          <w:p w14:paraId="4458A70A">
            <w:pPr>
              <w:pStyle w:val="26"/>
              <w:bidi w:val="0"/>
              <w:rPr>
                <w:rFonts w:hint="eastAsia"/>
                <w:lang w:val="en-US" w:eastAsia="zh-CN"/>
              </w:rPr>
            </w:pPr>
            <w:r>
              <w:rPr>
                <w:lang w:val="en-US" w:eastAsia="zh-CN"/>
              </w:rPr>
              <w:t>ND</w:t>
            </w:r>
          </w:p>
        </w:tc>
        <w:tc>
          <w:tcPr>
            <w:tcW w:w="630" w:type="pct"/>
            <w:vMerge w:val="restart"/>
            <w:vAlign w:val="center"/>
          </w:tcPr>
          <w:p w14:paraId="08164353">
            <w:pPr>
              <w:pStyle w:val="26"/>
              <w:bidi w:val="0"/>
              <w:rPr>
                <w:lang w:val="en-US" w:eastAsia="zh-CN"/>
              </w:rPr>
            </w:pPr>
            <w:r>
              <w:rPr>
                <w:lang w:val="en-US" w:eastAsia="zh-CN"/>
              </w:rPr>
              <w:t>0.2mg/m3 1h  平均</w:t>
            </w:r>
          </w:p>
        </w:tc>
        <w:tc>
          <w:tcPr>
            <w:tcW w:w="456" w:type="pct"/>
            <w:vAlign w:val="center"/>
          </w:tcPr>
          <w:p w14:paraId="72A66F6C">
            <w:pPr>
              <w:pStyle w:val="26"/>
              <w:bidi w:val="0"/>
              <w:rPr>
                <w:lang w:val="en-US" w:eastAsia="zh-CN"/>
              </w:rPr>
            </w:pPr>
            <w:r>
              <w:rPr>
                <w:rFonts w:hint="eastAsia"/>
                <w:lang w:val="en-US" w:eastAsia="zh-CN"/>
              </w:rPr>
              <w:t>达标</w:t>
            </w:r>
          </w:p>
        </w:tc>
      </w:tr>
      <w:tr w14:paraId="5A3D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1080656D">
            <w:pPr>
              <w:pStyle w:val="26"/>
              <w:bidi w:val="0"/>
            </w:pPr>
          </w:p>
        </w:tc>
        <w:tc>
          <w:tcPr>
            <w:tcW w:w="729" w:type="pct"/>
            <w:vMerge w:val="continue"/>
            <w:shd w:val="clear" w:color="auto" w:fill="auto"/>
            <w:vAlign w:val="center"/>
          </w:tcPr>
          <w:p w14:paraId="4172CB2E">
            <w:pPr>
              <w:pStyle w:val="26"/>
              <w:bidi w:val="0"/>
            </w:pPr>
          </w:p>
        </w:tc>
        <w:tc>
          <w:tcPr>
            <w:tcW w:w="805" w:type="pct"/>
            <w:shd w:val="clear" w:color="auto" w:fill="auto"/>
            <w:vAlign w:val="top"/>
          </w:tcPr>
          <w:p w14:paraId="549B1AE2">
            <w:pPr>
              <w:pStyle w:val="26"/>
              <w:bidi w:val="0"/>
              <w:rPr>
                <w:rFonts w:hint="default"/>
                <w:lang w:val="en-US" w:eastAsia="zh-CN"/>
              </w:rPr>
            </w:pPr>
            <w:r>
              <w:rPr>
                <w:lang w:val="en-US" w:eastAsia="zh-CN"/>
              </w:rPr>
              <w:t>2023- 11-28</w:t>
            </w:r>
          </w:p>
        </w:tc>
        <w:tc>
          <w:tcPr>
            <w:tcW w:w="528" w:type="pct"/>
            <w:gridSpan w:val="2"/>
            <w:shd w:val="clear" w:color="auto" w:fill="auto"/>
            <w:vAlign w:val="top"/>
          </w:tcPr>
          <w:p w14:paraId="44309AD3">
            <w:pPr>
              <w:pStyle w:val="26"/>
              <w:bidi w:val="0"/>
              <w:rPr>
                <w:rFonts w:hint="eastAsia"/>
                <w:lang w:val="en-US" w:eastAsia="zh-CN"/>
              </w:rPr>
            </w:pPr>
            <w:r>
              <w:rPr>
                <w:lang w:val="en-US" w:eastAsia="zh-CN"/>
              </w:rPr>
              <w:t>ND</w:t>
            </w:r>
          </w:p>
        </w:tc>
        <w:tc>
          <w:tcPr>
            <w:tcW w:w="484" w:type="pct"/>
            <w:shd w:val="clear" w:color="auto" w:fill="auto"/>
            <w:vAlign w:val="top"/>
          </w:tcPr>
          <w:p w14:paraId="5945402E">
            <w:pPr>
              <w:pStyle w:val="26"/>
              <w:bidi w:val="0"/>
              <w:rPr>
                <w:rFonts w:hint="eastAsia"/>
                <w:lang w:val="en-US" w:eastAsia="zh-CN"/>
              </w:rPr>
            </w:pPr>
            <w:r>
              <w:rPr>
                <w:lang w:val="en-US" w:eastAsia="zh-CN"/>
              </w:rPr>
              <w:t>ND</w:t>
            </w:r>
          </w:p>
        </w:tc>
        <w:tc>
          <w:tcPr>
            <w:tcW w:w="481" w:type="pct"/>
            <w:gridSpan w:val="3"/>
            <w:shd w:val="clear" w:color="auto" w:fill="auto"/>
            <w:vAlign w:val="top"/>
          </w:tcPr>
          <w:p w14:paraId="269B40E7">
            <w:pPr>
              <w:pStyle w:val="26"/>
              <w:bidi w:val="0"/>
              <w:rPr>
                <w:rFonts w:hint="eastAsia"/>
                <w:lang w:val="en-US" w:eastAsia="zh-CN"/>
              </w:rPr>
            </w:pPr>
            <w:r>
              <w:rPr>
                <w:lang w:val="en-US" w:eastAsia="zh-CN"/>
              </w:rPr>
              <w:t>ND</w:t>
            </w:r>
          </w:p>
        </w:tc>
        <w:tc>
          <w:tcPr>
            <w:tcW w:w="489" w:type="pct"/>
            <w:shd w:val="clear" w:color="auto" w:fill="auto"/>
            <w:vAlign w:val="top"/>
          </w:tcPr>
          <w:p w14:paraId="2271DABE">
            <w:pPr>
              <w:pStyle w:val="26"/>
              <w:bidi w:val="0"/>
              <w:rPr>
                <w:rFonts w:hint="eastAsia"/>
                <w:lang w:val="en-US" w:eastAsia="zh-CN"/>
              </w:rPr>
            </w:pPr>
            <w:r>
              <w:rPr>
                <w:lang w:val="en-US" w:eastAsia="zh-CN"/>
              </w:rPr>
              <w:t>ND</w:t>
            </w:r>
          </w:p>
        </w:tc>
        <w:tc>
          <w:tcPr>
            <w:tcW w:w="630" w:type="pct"/>
            <w:vMerge w:val="continue"/>
            <w:vAlign w:val="center"/>
          </w:tcPr>
          <w:p w14:paraId="0CB4CE1F">
            <w:pPr>
              <w:pStyle w:val="26"/>
              <w:bidi w:val="0"/>
              <w:rPr>
                <w:lang w:val="en-US" w:eastAsia="zh-CN"/>
              </w:rPr>
            </w:pPr>
          </w:p>
        </w:tc>
        <w:tc>
          <w:tcPr>
            <w:tcW w:w="456" w:type="pct"/>
            <w:vAlign w:val="center"/>
          </w:tcPr>
          <w:p w14:paraId="08D7D237">
            <w:pPr>
              <w:pStyle w:val="26"/>
              <w:bidi w:val="0"/>
              <w:rPr>
                <w:lang w:val="en-US" w:eastAsia="zh-CN"/>
              </w:rPr>
            </w:pPr>
            <w:r>
              <w:rPr>
                <w:rFonts w:hint="eastAsia"/>
                <w:lang w:val="en-US" w:eastAsia="zh-CN"/>
              </w:rPr>
              <w:t>达标</w:t>
            </w:r>
          </w:p>
        </w:tc>
      </w:tr>
      <w:tr w14:paraId="76F3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7098F6CA">
            <w:pPr>
              <w:pStyle w:val="26"/>
              <w:bidi w:val="0"/>
            </w:pPr>
          </w:p>
        </w:tc>
        <w:tc>
          <w:tcPr>
            <w:tcW w:w="729" w:type="pct"/>
            <w:vMerge w:val="continue"/>
            <w:shd w:val="clear" w:color="auto" w:fill="auto"/>
            <w:vAlign w:val="center"/>
          </w:tcPr>
          <w:p w14:paraId="195AEB9C">
            <w:pPr>
              <w:pStyle w:val="26"/>
              <w:bidi w:val="0"/>
            </w:pPr>
          </w:p>
        </w:tc>
        <w:tc>
          <w:tcPr>
            <w:tcW w:w="805" w:type="pct"/>
            <w:shd w:val="clear" w:color="auto" w:fill="auto"/>
            <w:vAlign w:val="top"/>
          </w:tcPr>
          <w:p w14:paraId="40221532">
            <w:pPr>
              <w:pStyle w:val="26"/>
              <w:bidi w:val="0"/>
              <w:rPr>
                <w:rFonts w:hint="default"/>
                <w:lang w:val="en-US" w:eastAsia="zh-CN"/>
              </w:rPr>
            </w:pPr>
            <w:r>
              <w:rPr>
                <w:lang w:val="en-US" w:eastAsia="zh-CN"/>
              </w:rPr>
              <w:t>2023- 11-29</w:t>
            </w:r>
          </w:p>
        </w:tc>
        <w:tc>
          <w:tcPr>
            <w:tcW w:w="528" w:type="pct"/>
            <w:gridSpan w:val="2"/>
            <w:shd w:val="clear" w:color="auto" w:fill="auto"/>
            <w:vAlign w:val="top"/>
          </w:tcPr>
          <w:p w14:paraId="5F995898">
            <w:pPr>
              <w:pStyle w:val="26"/>
              <w:bidi w:val="0"/>
              <w:rPr>
                <w:rFonts w:hint="eastAsia"/>
                <w:lang w:val="en-US" w:eastAsia="zh-CN"/>
              </w:rPr>
            </w:pPr>
            <w:r>
              <w:rPr>
                <w:lang w:val="en-US" w:eastAsia="zh-CN"/>
              </w:rPr>
              <w:t>ND</w:t>
            </w:r>
          </w:p>
        </w:tc>
        <w:tc>
          <w:tcPr>
            <w:tcW w:w="484" w:type="pct"/>
            <w:shd w:val="clear" w:color="auto" w:fill="auto"/>
            <w:vAlign w:val="top"/>
          </w:tcPr>
          <w:p w14:paraId="77D7CF16">
            <w:pPr>
              <w:pStyle w:val="26"/>
              <w:bidi w:val="0"/>
              <w:rPr>
                <w:rFonts w:hint="eastAsia"/>
                <w:lang w:val="en-US" w:eastAsia="zh-CN"/>
              </w:rPr>
            </w:pPr>
            <w:r>
              <w:rPr>
                <w:lang w:val="en-US" w:eastAsia="zh-CN"/>
              </w:rPr>
              <w:t>ND</w:t>
            </w:r>
          </w:p>
        </w:tc>
        <w:tc>
          <w:tcPr>
            <w:tcW w:w="481" w:type="pct"/>
            <w:gridSpan w:val="3"/>
            <w:shd w:val="clear" w:color="auto" w:fill="auto"/>
            <w:vAlign w:val="top"/>
          </w:tcPr>
          <w:p w14:paraId="7017FD28">
            <w:pPr>
              <w:pStyle w:val="26"/>
              <w:bidi w:val="0"/>
              <w:rPr>
                <w:rFonts w:hint="eastAsia"/>
                <w:lang w:val="en-US" w:eastAsia="zh-CN"/>
              </w:rPr>
            </w:pPr>
            <w:r>
              <w:rPr>
                <w:lang w:val="en-US" w:eastAsia="zh-CN"/>
              </w:rPr>
              <w:t>ND</w:t>
            </w:r>
          </w:p>
        </w:tc>
        <w:tc>
          <w:tcPr>
            <w:tcW w:w="489" w:type="pct"/>
            <w:shd w:val="clear" w:color="auto" w:fill="auto"/>
            <w:vAlign w:val="top"/>
          </w:tcPr>
          <w:p w14:paraId="32B1C69E">
            <w:pPr>
              <w:pStyle w:val="26"/>
              <w:bidi w:val="0"/>
              <w:rPr>
                <w:rFonts w:hint="eastAsia"/>
                <w:lang w:val="en-US" w:eastAsia="zh-CN"/>
              </w:rPr>
            </w:pPr>
            <w:r>
              <w:rPr>
                <w:lang w:val="en-US" w:eastAsia="zh-CN"/>
              </w:rPr>
              <w:t>ND</w:t>
            </w:r>
          </w:p>
        </w:tc>
        <w:tc>
          <w:tcPr>
            <w:tcW w:w="630" w:type="pct"/>
            <w:vMerge w:val="continue"/>
            <w:vAlign w:val="center"/>
          </w:tcPr>
          <w:p w14:paraId="3C46FB4E">
            <w:pPr>
              <w:pStyle w:val="26"/>
              <w:bidi w:val="0"/>
              <w:rPr>
                <w:lang w:val="en-US" w:eastAsia="zh-CN"/>
              </w:rPr>
            </w:pPr>
          </w:p>
        </w:tc>
        <w:tc>
          <w:tcPr>
            <w:tcW w:w="456" w:type="pct"/>
            <w:vAlign w:val="center"/>
          </w:tcPr>
          <w:p w14:paraId="41FB8013">
            <w:pPr>
              <w:pStyle w:val="26"/>
              <w:bidi w:val="0"/>
              <w:rPr>
                <w:lang w:val="en-US" w:eastAsia="zh-CN"/>
              </w:rPr>
            </w:pPr>
            <w:r>
              <w:rPr>
                <w:rFonts w:hint="eastAsia"/>
                <w:lang w:val="en-US" w:eastAsia="zh-CN"/>
              </w:rPr>
              <w:t>达标</w:t>
            </w:r>
          </w:p>
        </w:tc>
      </w:tr>
      <w:tr w14:paraId="3C75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35C036C4">
            <w:pPr>
              <w:pStyle w:val="26"/>
              <w:bidi w:val="0"/>
            </w:pPr>
          </w:p>
        </w:tc>
        <w:tc>
          <w:tcPr>
            <w:tcW w:w="729" w:type="pct"/>
            <w:vMerge w:val="continue"/>
            <w:shd w:val="clear" w:color="auto" w:fill="auto"/>
            <w:vAlign w:val="center"/>
          </w:tcPr>
          <w:p w14:paraId="3076BC9F">
            <w:pPr>
              <w:pStyle w:val="26"/>
              <w:bidi w:val="0"/>
            </w:pPr>
          </w:p>
        </w:tc>
        <w:tc>
          <w:tcPr>
            <w:tcW w:w="805" w:type="pct"/>
            <w:shd w:val="clear" w:color="auto" w:fill="auto"/>
            <w:vAlign w:val="top"/>
          </w:tcPr>
          <w:p w14:paraId="79FDA563">
            <w:pPr>
              <w:pStyle w:val="26"/>
              <w:bidi w:val="0"/>
              <w:rPr>
                <w:rFonts w:hint="default"/>
                <w:lang w:val="en-US" w:eastAsia="zh-CN"/>
              </w:rPr>
            </w:pPr>
            <w:r>
              <w:rPr>
                <w:lang w:val="en-US" w:eastAsia="zh-CN"/>
              </w:rPr>
              <w:t>2023- 11-30</w:t>
            </w:r>
          </w:p>
        </w:tc>
        <w:tc>
          <w:tcPr>
            <w:tcW w:w="528" w:type="pct"/>
            <w:gridSpan w:val="2"/>
            <w:shd w:val="clear" w:color="auto" w:fill="auto"/>
            <w:vAlign w:val="top"/>
          </w:tcPr>
          <w:p w14:paraId="3E92AB19">
            <w:pPr>
              <w:pStyle w:val="26"/>
              <w:bidi w:val="0"/>
              <w:rPr>
                <w:rFonts w:hint="eastAsia"/>
                <w:lang w:val="en-US" w:eastAsia="zh-CN"/>
              </w:rPr>
            </w:pPr>
            <w:r>
              <w:rPr>
                <w:lang w:val="en-US" w:eastAsia="zh-CN"/>
              </w:rPr>
              <w:t>ND</w:t>
            </w:r>
          </w:p>
        </w:tc>
        <w:tc>
          <w:tcPr>
            <w:tcW w:w="484" w:type="pct"/>
            <w:shd w:val="clear" w:color="auto" w:fill="auto"/>
            <w:vAlign w:val="top"/>
          </w:tcPr>
          <w:p w14:paraId="16224E7A">
            <w:pPr>
              <w:pStyle w:val="26"/>
              <w:bidi w:val="0"/>
              <w:rPr>
                <w:rFonts w:hint="eastAsia"/>
                <w:lang w:val="en-US" w:eastAsia="zh-CN"/>
              </w:rPr>
            </w:pPr>
            <w:r>
              <w:rPr>
                <w:lang w:val="en-US" w:eastAsia="zh-CN"/>
              </w:rPr>
              <w:t>ND</w:t>
            </w:r>
          </w:p>
        </w:tc>
        <w:tc>
          <w:tcPr>
            <w:tcW w:w="481" w:type="pct"/>
            <w:gridSpan w:val="3"/>
            <w:shd w:val="clear" w:color="auto" w:fill="auto"/>
            <w:vAlign w:val="top"/>
          </w:tcPr>
          <w:p w14:paraId="1BE38BD2">
            <w:pPr>
              <w:pStyle w:val="26"/>
              <w:bidi w:val="0"/>
              <w:rPr>
                <w:rFonts w:hint="eastAsia"/>
                <w:lang w:val="en-US" w:eastAsia="zh-CN"/>
              </w:rPr>
            </w:pPr>
            <w:r>
              <w:rPr>
                <w:lang w:val="en-US" w:eastAsia="zh-CN"/>
              </w:rPr>
              <w:t>ND</w:t>
            </w:r>
          </w:p>
        </w:tc>
        <w:tc>
          <w:tcPr>
            <w:tcW w:w="489" w:type="pct"/>
            <w:shd w:val="clear" w:color="auto" w:fill="auto"/>
            <w:vAlign w:val="top"/>
          </w:tcPr>
          <w:p w14:paraId="1928E53A">
            <w:pPr>
              <w:pStyle w:val="26"/>
              <w:bidi w:val="0"/>
              <w:rPr>
                <w:rFonts w:hint="eastAsia"/>
                <w:lang w:val="en-US" w:eastAsia="zh-CN"/>
              </w:rPr>
            </w:pPr>
            <w:r>
              <w:rPr>
                <w:lang w:val="en-US" w:eastAsia="zh-CN"/>
              </w:rPr>
              <w:t>ND</w:t>
            </w:r>
          </w:p>
        </w:tc>
        <w:tc>
          <w:tcPr>
            <w:tcW w:w="630" w:type="pct"/>
            <w:vMerge w:val="continue"/>
            <w:vAlign w:val="center"/>
          </w:tcPr>
          <w:p w14:paraId="34766AB6">
            <w:pPr>
              <w:pStyle w:val="26"/>
              <w:bidi w:val="0"/>
              <w:rPr>
                <w:lang w:val="en-US" w:eastAsia="zh-CN"/>
              </w:rPr>
            </w:pPr>
          </w:p>
        </w:tc>
        <w:tc>
          <w:tcPr>
            <w:tcW w:w="456" w:type="pct"/>
            <w:vAlign w:val="center"/>
          </w:tcPr>
          <w:p w14:paraId="388AD8D3">
            <w:pPr>
              <w:pStyle w:val="26"/>
              <w:bidi w:val="0"/>
              <w:rPr>
                <w:lang w:val="en-US" w:eastAsia="zh-CN"/>
              </w:rPr>
            </w:pPr>
            <w:r>
              <w:rPr>
                <w:rFonts w:hint="eastAsia"/>
                <w:lang w:val="en-US" w:eastAsia="zh-CN"/>
              </w:rPr>
              <w:t>达标</w:t>
            </w:r>
          </w:p>
        </w:tc>
      </w:tr>
      <w:tr w14:paraId="302B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0BBD5D4D">
            <w:pPr>
              <w:pStyle w:val="26"/>
              <w:bidi w:val="0"/>
            </w:pPr>
          </w:p>
        </w:tc>
        <w:tc>
          <w:tcPr>
            <w:tcW w:w="729" w:type="pct"/>
            <w:vMerge w:val="continue"/>
            <w:shd w:val="clear" w:color="auto" w:fill="auto"/>
            <w:vAlign w:val="center"/>
          </w:tcPr>
          <w:p w14:paraId="0DF8BECB">
            <w:pPr>
              <w:pStyle w:val="26"/>
              <w:bidi w:val="0"/>
            </w:pPr>
          </w:p>
        </w:tc>
        <w:tc>
          <w:tcPr>
            <w:tcW w:w="805" w:type="pct"/>
            <w:shd w:val="clear" w:color="auto" w:fill="auto"/>
            <w:vAlign w:val="top"/>
          </w:tcPr>
          <w:p w14:paraId="43FF83D2">
            <w:pPr>
              <w:pStyle w:val="26"/>
              <w:bidi w:val="0"/>
              <w:rPr>
                <w:rFonts w:hint="default"/>
                <w:lang w:val="en-US" w:eastAsia="zh-CN"/>
              </w:rPr>
            </w:pPr>
            <w:r>
              <w:rPr>
                <w:lang w:val="en-US" w:eastAsia="zh-CN"/>
              </w:rPr>
              <w:t>2023- 12-01</w:t>
            </w:r>
          </w:p>
        </w:tc>
        <w:tc>
          <w:tcPr>
            <w:tcW w:w="528" w:type="pct"/>
            <w:gridSpan w:val="2"/>
            <w:shd w:val="clear" w:color="auto" w:fill="auto"/>
            <w:vAlign w:val="top"/>
          </w:tcPr>
          <w:p w14:paraId="46A9E6D4">
            <w:pPr>
              <w:pStyle w:val="26"/>
              <w:bidi w:val="0"/>
              <w:rPr>
                <w:rFonts w:hint="eastAsia"/>
                <w:lang w:val="en-US" w:eastAsia="zh-CN"/>
              </w:rPr>
            </w:pPr>
            <w:r>
              <w:rPr>
                <w:lang w:val="en-US" w:eastAsia="zh-CN"/>
              </w:rPr>
              <w:t>ND</w:t>
            </w:r>
          </w:p>
        </w:tc>
        <w:tc>
          <w:tcPr>
            <w:tcW w:w="484" w:type="pct"/>
            <w:shd w:val="clear" w:color="auto" w:fill="auto"/>
            <w:vAlign w:val="top"/>
          </w:tcPr>
          <w:p w14:paraId="10A583E3">
            <w:pPr>
              <w:pStyle w:val="26"/>
              <w:bidi w:val="0"/>
              <w:rPr>
                <w:rFonts w:hint="eastAsia"/>
                <w:lang w:val="en-US" w:eastAsia="zh-CN"/>
              </w:rPr>
            </w:pPr>
            <w:r>
              <w:rPr>
                <w:lang w:val="en-US" w:eastAsia="zh-CN"/>
              </w:rPr>
              <w:t>ND</w:t>
            </w:r>
          </w:p>
        </w:tc>
        <w:tc>
          <w:tcPr>
            <w:tcW w:w="481" w:type="pct"/>
            <w:gridSpan w:val="3"/>
            <w:shd w:val="clear" w:color="auto" w:fill="auto"/>
            <w:vAlign w:val="top"/>
          </w:tcPr>
          <w:p w14:paraId="60C3D647">
            <w:pPr>
              <w:pStyle w:val="26"/>
              <w:bidi w:val="0"/>
              <w:rPr>
                <w:rFonts w:hint="eastAsia"/>
                <w:lang w:val="en-US" w:eastAsia="zh-CN"/>
              </w:rPr>
            </w:pPr>
            <w:r>
              <w:rPr>
                <w:lang w:val="en-US" w:eastAsia="zh-CN"/>
              </w:rPr>
              <w:t>ND</w:t>
            </w:r>
          </w:p>
        </w:tc>
        <w:tc>
          <w:tcPr>
            <w:tcW w:w="489" w:type="pct"/>
            <w:shd w:val="clear" w:color="auto" w:fill="auto"/>
            <w:vAlign w:val="top"/>
          </w:tcPr>
          <w:p w14:paraId="3F423C9C">
            <w:pPr>
              <w:pStyle w:val="26"/>
              <w:bidi w:val="0"/>
              <w:rPr>
                <w:rFonts w:hint="eastAsia"/>
                <w:lang w:val="en-US" w:eastAsia="zh-CN"/>
              </w:rPr>
            </w:pPr>
            <w:r>
              <w:rPr>
                <w:lang w:val="en-US" w:eastAsia="zh-CN"/>
              </w:rPr>
              <w:t>ND</w:t>
            </w:r>
          </w:p>
        </w:tc>
        <w:tc>
          <w:tcPr>
            <w:tcW w:w="630" w:type="pct"/>
            <w:vMerge w:val="continue"/>
            <w:vAlign w:val="center"/>
          </w:tcPr>
          <w:p w14:paraId="1C6BEAFD">
            <w:pPr>
              <w:pStyle w:val="26"/>
              <w:bidi w:val="0"/>
              <w:rPr>
                <w:lang w:val="en-US" w:eastAsia="zh-CN"/>
              </w:rPr>
            </w:pPr>
          </w:p>
        </w:tc>
        <w:tc>
          <w:tcPr>
            <w:tcW w:w="456" w:type="pct"/>
            <w:vAlign w:val="center"/>
          </w:tcPr>
          <w:p w14:paraId="5103C6E2">
            <w:pPr>
              <w:pStyle w:val="26"/>
              <w:bidi w:val="0"/>
              <w:rPr>
                <w:lang w:val="en-US" w:eastAsia="zh-CN"/>
              </w:rPr>
            </w:pPr>
            <w:r>
              <w:rPr>
                <w:rFonts w:hint="eastAsia"/>
                <w:lang w:val="en-US" w:eastAsia="zh-CN"/>
              </w:rPr>
              <w:t>达标</w:t>
            </w:r>
          </w:p>
        </w:tc>
      </w:tr>
      <w:tr w14:paraId="61CC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7BDB5DB8">
            <w:pPr>
              <w:pStyle w:val="26"/>
              <w:bidi w:val="0"/>
            </w:pPr>
          </w:p>
        </w:tc>
        <w:tc>
          <w:tcPr>
            <w:tcW w:w="729" w:type="pct"/>
            <w:vMerge w:val="continue"/>
            <w:shd w:val="clear" w:color="auto" w:fill="auto"/>
            <w:vAlign w:val="center"/>
          </w:tcPr>
          <w:p w14:paraId="392AE8FF">
            <w:pPr>
              <w:pStyle w:val="26"/>
              <w:bidi w:val="0"/>
            </w:pPr>
          </w:p>
        </w:tc>
        <w:tc>
          <w:tcPr>
            <w:tcW w:w="805" w:type="pct"/>
            <w:shd w:val="clear" w:color="auto" w:fill="auto"/>
            <w:vAlign w:val="top"/>
          </w:tcPr>
          <w:p w14:paraId="0B8D51E8">
            <w:pPr>
              <w:pStyle w:val="26"/>
              <w:bidi w:val="0"/>
              <w:rPr>
                <w:rFonts w:hint="default"/>
                <w:lang w:val="en-US" w:eastAsia="zh-CN"/>
              </w:rPr>
            </w:pPr>
            <w:r>
              <w:rPr>
                <w:lang w:val="en-US" w:eastAsia="zh-CN"/>
              </w:rPr>
              <w:t>2023- 12-02</w:t>
            </w:r>
          </w:p>
        </w:tc>
        <w:tc>
          <w:tcPr>
            <w:tcW w:w="528" w:type="pct"/>
            <w:gridSpan w:val="2"/>
            <w:shd w:val="clear" w:color="auto" w:fill="auto"/>
            <w:vAlign w:val="top"/>
          </w:tcPr>
          <w:p w14:paraId="59639EAA">
            <w:pPr>
              <w:pStyle w:val="26"/>
              <w:bidi w:val="0"/>
              <w:rPr>
                <w:rFonts w:hint="eastAsia"/>
                <w:lang w:val="en-US" w:eastAsia="zh-CN"/>
              </w:rPr>
            </w:pPr>
            <w:r>
              <w:rPr>
                <w:lang w:val="en-US" w:eastAsia="zh-CN"/>
              </w:rPr>
              <w:t>ND</w:t>
            </w:r>
          </w:p>
        </w:tc>
        <w:tc>
          <w:tcPr>
            <w:tcW w:w="484" w:type="pct"/>
            <w:shd w:val="clear" w:color="auto" w:fill="auto"/>
            <w:vAlign w:val="top"/>
          </w:tcPr>
          <w:p w14:paraId="189B13E5">
            <w:pPr>
              <w:pStyle w:val="26"/>
              <w:bidi w:val="0"/>
              <w:rPr>
                <w:rFonts w:hint="eastAsia"/>
                <w:lang w:val="en-US" w:eastAsia="zh-CN"/>
              </w:rPr>
            </w:pPr>
            <w:r>
              <w:rPr>
                <w:lang w:val="en-US" w:eastAsia="zh-CN"/>
              </w:rPr>
              <w:t>ND</w:t>
            </w:r>
          </w:p>
        </w:tc>
        <w:tc>
          <w:tcPr>
            <w:tcW w:w="481" w:type="pct"/>
            <w:gridSpan w:val="3"/>
            <w:shd w:val="clear" w:color="auto" w:fill="auto"/>
            <w:vAlign w:val="top"/>
          </w:tcPr>
          <w:p w14:paraId="61947FF8">
            <w:pPr>
              <w:pStyle w:val="26"/>
              <w:bidi w:val="0"/>
              <w:rPr>
                <w:rFonts w:hint="eastAsia"/>
                <w:lang w:val="en-US" w:eastAsia="zh-CN"/>
              </w:rPr>
            </w:pPr>
            <w:r>
              <w:rPr>
                <w:lang w:val="en-US" w:eastAsia="zh-CN"/>
              </w:rPr>
              <w:t>ND</w:t>
            </w:r>
          </w:p>
        </w:tc>
        <w:tc>
          <w:tcPr>
            <w:tcW w:w="489" w:type="pct"/>
            <w:shd w:val="clear" w:color="auto" w:fill="auto"/>
            <w:vAlign w:val="top"/>
          </w:tcPr>
          <w:p w14:paraId="46F1AAD0">
            <w:pPr>
              <w:pStyle w:val="26"/>
              <w:bidi w:val="0"/>
              <w:rPr>
                <w:rFonts w:hint="eastAsia"/>
                <w:lang w:val="en-US" w:eastAsia="zh-CN"/>
              </w:rPr>
            </w:pPr>
            <w:r>
              <w:rPr>
                <w:lang w:val="en-US" w:eastAsia="zh-CN"/>
              </w:rPr>
              <w:t>ND</w:t>
            </w:r>
          </w:p>
        </w:tc>
        <w:tc>
          <w:tcPr>
            <w:tcW w:w="630" w:type="pct"/>
            <w:vMerge w:val="continue"/>
            <w:vAlign w:val="center"/>
          </w:tcPr>
          <w:p w14:paraId="77C8F8BE">
            <w:pPr>
              <w:pStyle w:val="26"/>
              <w:bidi w:val="0"/>
              <w:rPr>
                <w:lang w:val="en-US" w:eastAsia="zh-CN"/>
              </w:rPr>
            </w:pPr>
          </w:p>
        </w:tc>
        <w:tc>
          <w:tcPr>
            <w:tcW w:w="456" w:type="pct"/>
            <w:shd w:val="clear" w:color="auto" w:fill="auto"/>
            <w:vAlign w:val="center"/>
          </w:tcPr>
          <w:p w14:paraId="498C2A6E">
            <w:pPr>
              <w:pStyle w:val="26"/>
              <w:bidi w:val="0"/>
              <w:rPr>
                <w:lang w:val="en-US" w:eastAsia="zh-CN"/>
              </w:rPr>
            </w:pPr>
            <w:r>
              <w:rPr>
                <w:rFonts w:hint="eastAsia"/>
                <w:lang w:val="en-US" w:eastAsia="zh-CN"/>
              </w:rPr>
              <w:t>达标</w:t>
            </w:r>
          </w:p>
        </w:tc>
      </w:tr>
      <w:tr w14:paraId="5CFE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5F9D53D8">
            <w:pPr>
              <w:pStyle w:val="26"/>
              <w:bidi w:val="0"/>
            </w:pPr>
          </w:p>
        </w:tc>
        <w:tc>
          <w:tcPr>
            <w:tcW w:w="729" w:type="pct"/>
            <w:vMerge w:val="continue"/>
            <w:shd w:val="clear" w:color="auto" w:fill="auto"/>
            <w:vAlign w:val="center"/>
          </w:tcPr>
          <w:p w14:paraId="254DE759">
            <w:pPr>
              <w:pStyle w:val="26"/>
              <w:bidi w:val="0"/>
            </w:pPr>
          </w:p>
        </w:tc>
        <w:tc>
          <w:tcPr>
            <w:tcW w:w="805" w:type="pct"/>
            <w:shd w:val="clear" w:color="auto" w:fill="auto"/>
            <w:vAlign w:val="top"/>
          </w:tcPr>
          <w:p w14:paraId="574130ED">
            <w:pPr>
              <w:pStyle w:val="26"/>
              <w:bidi w:val="0"/>
              <w:rPr>
                <w:rFonts w:hint="default"/>
                <w:lang w:val="en-US" w:eastAsia="zh-CN"/>
              </w:rPr>
            </w:pPr>
            <w:r>
              <w:rPr>
                <w:lang w:val="en-US" w:eastAsia="zh-CN"/>
              </w:rPr>
              <w:t>2023- 12-03</w:t>
            </w:r>
          </w:p>
        </w:tc>
        <w:tc>
          <w:tcPr>
            <w:tcW w:w="528" w:type="pct"/>
            <w:gridSpan w:val="2"/>
            <w:shd w:val="clear" w:color="auto" w:fill="auto"/>
            <w:vAlign w:val="top"/>
          </w:tcPr>
          <w:p w14:paraId="49A8DEB1">
            <w:pPr>
              <w:pStyle w:val="26"/>
              <w:bidi w:val="0"/>
              <w:rPr>
                <w:rFonts w:hint="eastAsia"/>
                <w:lang w:val="en-US" w:eastAsia="zh-CN"/>
              </w:rPr>
            </w:pPr>
            <w:r>
              <w:rPr>
                <w:lang w:val="en-US" w:eastAsia="zh-CN"/>
              </w:rPr>
              <w:t>ND</w:t>
            </w:r>
          </w:p>
        </w:tc>
        <w:tc>
          <w:tcPr>
            <w:tcW w:w="484" w:type="pct"/>
            <w:shd w:val="clear" w:color="auto" w:fill="auto"/>
            <w:vAlign w:val="top"/>
          </w:tcPr>
          <w:p w14:paraId="7402A444">
            <w:pPr>
              <w:pStyle w:val="26"/>
              <w:bidi w:val="0"/>
              <w:rPr>
                <w:rFonts w:hint="eastAsia"/>
                <w:lang w:val="en-US" w:eastAsia="zh-CN"/>
              </w:rPr>
            </w:pPr>
            <w:r>
              <w:rPr>
                <w:lang w:val="en-US" w:eastAsia="zh-CN"/>
              </w:rPr>
              <w:t>ND</w:t>
            </w:r>
          </w:p>
        </w:tc>
        <w:tc>
          <w:tcPr>
            <w:tcW w:w="481" w:type="pct"/>
            <w:gridSpan w:val="3"/>
            <w:shd w:val="clear" w:color="auto" w:fill="auto"/>
            <w:vAlign w:val="top"/>
          </w:tcPr>
          <w:p w14:paraId="76FE5763">
            <w:pPr>
              <w:pStyle w:val="26"/>
              <w:bidi w:val="0"/>
              <w:rPr>
                <w:rFonts w:hint="eastAsia"/>
                <w:lang w:val="en-US" w:eastAsia="zh-CN"/>
              </w:rPr>
            </w:pPr>
            <w:r>
              <w:rPr>
                <w:lang w:val="en-US" w:eastAsia="zh-CN"/>
              </w:rPr>
              <w:t>ND</w:t>
            </w:r>
          </w:p>
        </w:tc>
        <w:tc>
          <w:tcPr>
            <w:tcW w:w="489" w:type="pct"/>
            <w:shd w:val="clear" w:color="auto" w:fill="auto"/>
            <w:vAlign w:val="top"/>
          </w:tcPr>
          <w:p w14:paraId="444EE80F">
            <w:pPr>
              <w:pStyle w:val="26"/>
              <w:bidi w:val="0"/>
              <w:rPr>
                <w:rFonts w:hint="eastAsia"/>
                <w:lang w:val="en-US" w:eastAsia="zh-CN"/>
              </w:rPr>
            </w:pPr>
            <w:r>
              <w:rPr>
                <w:lang w:val="en-US" w:eastAsia="zh-CN"/>
              </w:rPr>
              <w:t>ND</w:t>
            </w:r>
          </w:p>
        </w:tc>
        <w:tc>
          <w:tcPr>
            <w:tcW w:w="630" w:type="pct"/>
            <w:vMerge w:val="continue"/>
            <w:vAlign w:val="center"/>
          </w:tcPr>
          <w:p w14:paraId="5BE2622A">
            <w:pPr>
              <w:pStyle w:val="26"/>
              <w:bidi w:val="0"/>
              <w:rPr>
                <w:lang w:val="en-US" w:eastAsia="zh-CN"/>
              </w:rPr>
            </w:pPr>
          </w:p>
        </w:tc>
        <w:tc>
          <w:tcPr>
            <w:tcW w:w="456" w:type="pct"/>
            <w:shd w:val="clear" w:color="auto" w:fill="auto"/>
            <w:vAlign w:val="center"/>
          </w:tcPr>
          <w:p w14:paraId="129D68A9">
            <w:pPr>
              <w:pStyle w:val="26"/>
              <w:bidi w:val="0"/>
              <w:rPr>
                <w:lang w:val="en-US" w:eastAsia="zh-CN"/>
              </w:rPr>
            </w:pPr>
            <w:r>
              <w:rPr>
                <w:rFonts w:hint="eastAsia"/>
                <w:lang w:val="en-US" w:eastAsia="zh-CN"/>
              </w:rPr>
              <w:t>达标</w:t>
            </w:r>
          </w:p>
        </w:tc>
      </w:tr>
      <w:tr w14:paraId="47D1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72EAC929">
            <w:pPr>
              <w:pStyle w:val="26"/>
              <w:bidi w:val="0"/>
            </w:pPr>
          </w:p>
        </w:tc>
        <w:tc>
          <w:tcPr>
            <w:tcW w:w="729" w:type="pct"/>
            <w:vMerge w:val="restart"/>
            <w:shd w:val="clear" w:color="auto" w:fill="auto"/>
            <w:vAlign w:val="center"/>
          </w:tcPr>
          <w:p w14:paraId="7BF73708">
            <w:pPr>
              <w:pStyle w:val="26"/>
              <w:bidi w:val="0"/>
            </w:pPr>
            <w:r>
              <w:rPr>
                <w:lang w:val="en-US" w:eastAsia="zh-CN"/>
              </w:rPr>
              <w:t>二甲苯（mg/m3）</w:t>
            </w:r>
          </w:p>
        </w:tc>
        <w:tc>
          <w:tcPr>
            <w:tcW w:w="805" w:type="pct"/>
            <w:shd w:val="clear" w:color="auto" w:fill="auto"/>
            <w:vAlign w:val="top"/>
          </w:tcPr>
          <w:p w14:paraId="13216327">
            <w:pPr>
              <w:pStyle w:val="26"/>
              <w:bidi w:val="0"/>
              <w:rPr>
                <w:rFonts w:hint="default"/>
                <w:lang w:val="en-US" w:eastAsia="zh-CN"/>
              </w:rPr>
            </w:pPr>
            <w:r>
              <w:rPr>
                <w:lang w:val="en-US" w:eastAsia="zh-CN"/>
              </w:rPr>
              <w:t>2023- 11-27</w:t>
            </w:r>
          </w:p>
        </w:tc>
        <w:tc>
          <w:tcPr>
            <w:tcW w:w="528" w:type="pct"/>
            <w:gridSpan w:val="2"/>
            <w:shd w:val="clear" w:color="auto" w:fill="auto"/>
            <w:vAlign w:val="top"/>
          </w:tcPr>
          <w:p w14:paraId="4999C4E3">
            <w:pPr>
              <w:pStyle w:val="26"/>
              <w:bidi w:val="0"/>
              <w:rPr>
                <w:lang w:val="en-US" w:eastAsia="zh-CN"/>
              </w:rPr>
            </w:pPr>
            <w:r>
              <w:t>ND</w:t>
            </w:r>
          </w:p>
        </w:tc>
        <w:tc>
          <w:tcPr>
            <w:tcW w:w="484" w:type="pct"/>
            <w:shd w:val="clear" w:color="auto" w:fill="auto"/>
            <w:vAlign w:val="top"/>
          </w:tcPr>
          <w:p w14:paraId="3DF24BB9">
            <w:pPr>
              <w:pStyle w:val="26"/>
              <w:bidi w:val="0"/>
              <w:rPr>
                <w:lang w:val="en-US" w:eastAsia="zh-CN"/>
              </w:rPr>
            </w:pPr>
            <w:r>
              <w:t>ND</w:t>
            </w:r>
          </w:p>
        </w:tc>
        <w:tc>
          <w:tcPr>
            <w:tcW w:w="481" w:type="pct"/>
            <w:gridSpan w:val="3"/>
            <w:shd w:val="clear" w:color="auto" w:fill="auto"/>
            <w:vAlign w:val="top"/>
          </w:tcPr>
          <w:p w14:paraId="60393093">
            <w:pPr>
              <w:pStyle w:val="26"/>
              <w:bidi w:val="0"/>
              <w:rPr>
                <w:lang w:val="en-US" w:eastAsia="zh-CN"/>
              </w:rPr>
            </w:pPr>
            <w:r>
              <w:t>ND</w:t>
            </w:r>
          </w:p>
        </w:tc>
        <w:tc>
          <w:tcPr>
            <w:tcW w:w="489" w:type="pct"/>
            <w:shd w:val="clear" w:color="auto" w:fill="auto"/>
            <w:vAlign w:val="top"/>
          </w:tcPr>
          <w:p w14:paraId="740A7F6A">
            <w:pPr>
              <w:pStyle w:val="26"/>
              <w:bidi w:val="0"/>
              <w:rPr>
                <w:lang w:val="en-US" w:eastAsia="zh-CN"/>
              </w:rPr>
            </w:pPr>
            <w:r>
              <w:t>ND</w:t>
            </w:r>
          </w:p>
        </w:tc>
        <w:tc>
          <w:tcPr>
            <w:tcW w:w="630" w:type="pct"/>
            <w:vMerge w:val="restart"/>
            <w:vAlign w:val="center"/>
          </w:tcPr>
          <w:p w14:paraId="78B9127F">
            <w:pPr>
              <w:pStyle w:val="26"/>
              <w:bidi w:val="0"/>
              <w:rPr>
                <w:lang w:val="en-US" w:eastAsia="zh-CN"/>
              </w:rPr>
            </w:pPr>
            <w:r>
              <w:rPr>
                <w:lang w:val="en-US" w:eastAsia="zh-CN"/>
              </w:rPr>
              <w:t>0.2mg/m</w:t>
            </w:r>
            <w:r>
              <w:rPr>
                <w:rFonts w:hint="eastAsia"/>
                <w:lang w:val="en-US" w:eastAsia="zh-CN"/>
              </w:rPr>
              <w:t>3</w:t>
            </w:r>
            <w:r>
              <w:rPr>
                <w:lang w:val="en-US" w:eastAsia="zh-CN"/>
              </w:rPr>
              <w:t xml:space="preserve"> 1h  平均</w:t>
            </w:r>
          </w:p>
        </w:tc>
        <w:tc>
          <w:tcPr>
            <w:tcW w:w="456" w:type="pct"/>
            <w:shd w:val="clear" w:color="auto" w:fill="auto"/>
            <w:vAlign w:val="center"/>
          </w:tcPr>
          <w:p w14:paraId="7F7BB898">
            <w:pPr>
              <w:pStyle w:val="26"/>
              <w:bidi w:val="0"/>
              <w:rPr>
                <w:lang w:val="en-US" w:eastAsia="zh-CN"/>
              </w:rPr>
            </w:pPr>
            <w:r>
              <w:rPr>
                <w:rFonts w:hint="eastAsia"/>
                <w:lang w:val="en-US" w:eastAsia="zh-CN"/>
              </w:rPr>
              <w:t>达标</w:t>
            </w:r>
          </w:p>
        </w:tc>
      </w:tr>
      <w:tr w14:paraId="01A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34212080">
            <w:pPr>
              <w:pStyle w:val="26"/>
              <w:bidi w:val="0"/>
            </w:pPr>
          </w:p>
        </w:tc>
        <w:tc>
          <w:tcPr>
            <w:tcW w:w="729" w:type="pct"/>
            <w:vMerge w:val="continue"/>
            <w:shd w:val="clear" w:color="auto" w:fill="auto"/>
            <w:vAlign w:val="center"/>
          </w:tcPr>
          <w:p w14:paraId="676B60A0">
            <w:pPr>
              <w:pStyle w:val="26"/>
              <w:bidi w:val="0"/>
            </w:pPr>
          </w:p>
        </w:tc>
        <w:tc>
          <w:tcPr>
            <w:tcW w:w="805" w:type="pct"/>
            <w:shd w:val="clear" w:color="auto" w:fill="auto"/>
            <w:vAlign w:val="top"/>
          </w:tcPr>
          <w:p w14:paraId="16F8F840">
            <w:pPr>
              <w:pStyle w:val="26"/>
              <w:bidi w:val="0"/>
              <w:rPr>
                <w:rFonts w:hint="default"/>
                <w:lang w:val="en-US" w:eastAsia="zh-CN"/>
              </w:rPr>
            </w:pPr>
            <w:r>
              <w:rPr>
                <w:lang w:val="en-US" w:eastAsia="zh-CN"/>
              </w:rPr>
              <w:t>2023- 11-28</w:t>
            </w:r>
          </w:p>
        </w:tc>
        <w:tc>
          <w:tcPr>
            <w:tcW w:w="528" w:type="pct"/>
            <w:gridSpan w:val="2"/>
            <w:shd w:val="clear" w:color="auto" w:fill="auto"/>
            <w:vAlign w:val="top"/>
          </w:tcPr>
          <w:p w14:paraId="43BAA360">
            <w:pPr>
              <w:pStyle w:val="26"/>
              <w:bidi w:val="0"/>
              <w:rPr>
                <w:lang w:val="en-US" w:eastAsia="zh-CN"/>
              </w:rPr>
            </w:pPr>
            <w:r>
              <w:t>ND</w:t>
            </w:r>
          </w:p>
        </w:tc>
        <w:tc>
          <w:tcPr>
            <w:tcW w:w="484" w:type="pct"/>
            <w:shd w:val="clear" w:color="auto" w:fill="auto"/>
            <w:vAlign w:val="top"/>
          </w:tcPr>
          <w:p w14:paraId="2878AFBA">
            <w:pPr>
              <w:pStyle w:val="26"/>
              <w:bidi w:val="0"/>
              <w:rPr>
                <w:lang w:val="en-US" w:eastAsia="zh-CN"/>
              </w:rPr>
            </w:pPr>
            <w:r>
              <w:t>ND</w:t>
            </w:r>
          </w:p>
        </w:tc>
        <w:tc>
          <w:tcPr>
            <w:tcW w:w="481" w:type="pct"/>
            <w:gridSpan w:val="3"/>
            <w:shd w:val="clear" w:color="auto" w:fill="auto"/>
            <w:vAlign w:val="top"/>
          </w:tcPr>
          <w:p w14:paraId="1D05FEEC">
            <w:pPr>
              <w:pStyle w:val="26"/>
              <w:bidi w:val="0"/>
              <w:rPr>
                <w:lang w:val="en-US" w:eastAsia="zh-CN"/>
              </w:rPr>
            </w:pPr>
            <w:r>
              <w:t>ND</w:t>
            </w:r>
          </w:p>
        </w:tc>
        <w:tc>
          <w:tcPr>
            <w:tcW w:w="489" w:type="pct"/>
            <w:shd w:val="clear" w:color="auto" w:fill="auto"/>
            <w:vAlign w:val="top"/>
          </w:tcPr>
          <w:p w14:paraId="3E8254A5">
            <w:pPr>
              <w:pStyle w:val="26"/>
              <w:bidi w:val="0"/>
              <w:rPr>
                <w:lang w:val="en-US" w:eastAsia="zh-CN"/>
              </w:rPr>
            </w:pPr>
            <w:r>
              <w:t>ND</w:t>
            </w:r>
          </w:p>
        </w:tc>
        <w:tc>
          <w:tcPr>
            <w:tcW w:w="630" w:type="pct"/>
            <w:vMerge w:val="continue"/>
            <w:vAlign w:val="center"/>
          </w:tcPr>
          <w:p w14:paraId="6ACD8450">
            <w:pPr>
              <w:pStyle w:val="26"/>
              <w:bidi w:val="0"/>
              <w:rPr>
                <w:lang w:val="en-US" w:eastAsia="zh-CN"/>
              </w:rPr>
            </w:pPr>
          </w:p>
        </w:tc>
        <w:tc>
          <w:tcPr>
            <w:tcW w:w="456" w:type="pct"/>
            <w:shd w:val="clear" w:color="auto" w:fill="auto"/>
            <w:vAlign w:val="center"/>
          </w:tcPr>
          <w:p w14:paraId="1AE53E78">
            <w:pPr>
              <w:pStyle w:val="26"/>
              <w:bidi w:val="0"/>
              <w:rPr>
                <w:lang w:val="en-US" w:eastAsia="zh-CN"/>
              </w:rPr>
            </w:pPr>
            <w:r>
              <w:rPr>
                <w:rFonts w:hint="eastAsia"/>
                <w:lang w:val="en-US" w:eastAsia="zh-CN"/>
              </w:rPr>
              <w:t>达标</w:t>
            </w:r>
          </w:p>
        </w:tc>
      </w:tr>
      <w:tr w14:paraId="6B02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59D211DD">
            <w:pPr>
              <w:pStyle w:val="26"/>
              <w:bidi w:val="0"/>
            </w:pPr>
          </w:p>
        </w:tc>
        <w:tc>
          <w:tcPr>
            <w:tcW w:w="729" w:type="pct"/>
            <w:vMerge w:val="continue"/>
            <w:shd w:val="clear" w:color="auto" w:fill="auto"/>
            <w:vAlign w:val="center"/>
          </w:tcPr>
          <w:p w14:paraId="0DEF9A3F">
            <w:pPr>
              <w:pStyle w:val="26"/>
              <w:bidi w:val="0"/>
            </w:pPr>
          </w:p>
        </w:tc>
        <w:tc>
          <w:tcPr>
            <w:tcW w:w="805" w:type="pct"/>
            <w:shd w:val="clear" w:color="auto" w:fill="auto"/>
            <w:vAlign w:val="top"/>
          </w:tcPr>
          <w:p w14:paraId="56DA3152">
            <w:pPr>
              <w:pStyle w:val="26"/>
              <w:bidi w:val="0"/>
              <w:rPr>
                <w:rFonts w:hint="default"/>
                <w:lang w:val="en-US" w:eastAsia="zh-CN"/>
              </w:rPr>
            </w:pPr>
            <w:r>
              <w:rPr>
                <w:lang w:val="en-US" w:eastAsia="zh-CN"/>
              </w:rPr>
              <w:t>2023- 11-29</w:t>
            </w:r>
          </w:p>
        </w:tc>
        <w:tc>
          <w:tcPr>
            <w:tcW w:w="528" w:type="pct"/>
            <w:gridSpan w:val="2"/>
            <w:shd w:val="clear" w:color="auto" w:fill="auto"/>
            <w:vAlign w:val="top"/>
          </w:tcPr>
          <w:p w14:paraId="08D5854C">
            <w:pPr>
              <w:pStyle w:val="26"/>
              <w:bidi w:val="0"/>
              <w:rPr>
                <w:lang w:val="en-US" w:eastAsia="zh-CN"/>
              </w:rPr>
            </w:pPr>
            <w:r>
              <w:t>ND</w:t>
            </w:r>
          </w:p>
        </w:tc>
        <w:tc>
          <w:tcPr>
            <w:tcW w:w="484" w:type="pct"/>
            <w:shd w:val="clear" w:color="auto" w:fill="auto"/>
            <w:vAlign w:val="top"/>
          </w:tcPr>
          <w:p w14:paraId="02A4CE93">
            <w:pPr>
              <w:pStyle w:val="26"/>
              <w:bidi w:val="0"/>
              <w:rPr>
                <w:lang w:val="en-US" w:eastAsia="zh-CN"/>
              </w:rPr>
            </w:pPr>
            <w:r>
              <w:t>ND</w:t>
            </w:r>
          </w:p>
        </w:tc>
        <w:tc>
          <w:tcPr>
            <w:tcW w:w="481" w:type="pct"/>
            <w:gridSpan w:val="3"/>
            <w:shd w:val="clear" w:color="auto" w:fill="auto"/>
            <w:vAlign w:val="top"/>
          </w:tcPr>
          <w:p w14:paraId="166D05F1">
            <w:pPr>
              <w:pStyle w:val="26"/>
              <w:bidi w:val="0"/>
              <w:rPr>
                <w:lang w:val="en-US" w:eastAsia="zh-CN"/>
              </w:rPr>
            </w:pPr>
            <w:r>
              <w:t>ND</w:t>
            </w:r>
          </w:p>
        </w:tc>
        <w:tc>
          <w:tcPr>
            <w:tcW w:w="489" w:type="pct"/>
            <w:shd w:val="clear" w:color="auto" w:fill="auto"/>
            <w:vAlign w:val="top"/>
          </w:tcPr>
          <w:p w14:paraId="241B9902">
            <w:pPr>
              <w:pStyle w:val="26"/>
              <w:bidi w:val="0"/>
              <w:rPr>
                <w:lang w:val="en-US" w:eastAsia="zh-CN"/>
              </w:rPr>
            </w:pPr>
            <w:r>
              <w:t>ND</w:t>
            </w:r>
          </w:p>
        </w:tc>
        <w:tc>
          <w:tcPr>
            <w:tcW w:w="630" w:type="pct"/>
            <w:vMerge w:val="continue"/>
            <w:vAlign w:val="center"/>
          </w:tcPr>
          <w:p w14:paraId="01550A24">
            <w:pPr>
              <w:pStyle w:val="26"/>
              <w:bidi w:val="0"/>
              <w:rPr>
                <w:lang w:val="en-US" w:eastAsia="zh-CN"/>
              </w:rPr>
            </w:pPr>
          </w:p>
        </w:tc>
        <w:tc>
          <w:tcPr>
            <w:tcW w:w="456" w:type="pct"/>
            <w:shd w:val="clear" w:color="auto" w:fill="auto"/>
            <w:vAlign w:val="center"/>
          </w:tcPr>
          <w:p w14:paraId="06798F6D">
            <w:pPr>
              <w:pStyle w:val="26"/>
              <w:bidi w:val="0"/>
              <w:rPr>
                <w:lang w:val="en-US" w:eastAsia="zh-CN"/>
              </w:rPr>
            </w:pPr>
            <w:r>
              <w:rPr>
                <w:rFonts w:hint="eastAsia"/>
                <w:lang w:val="en-US" w:eastAsia="zh-CN"/>
              </w:rPr>
              <w:t>达标</w:t>
            </w:r>
          </w:p>
        </w:tc>
      </w:tr>
      <w:tr w14:paraId="576F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464DE7AB">
            <w:pPr>
              <w:pStyle w:val="26"/>
              <w:bidi w:val="0"/>
            </w:pPr>
          </w:p>
        </w:tc>
        <w:tc>
          <w:tcPr>
            <w:tcW w:w="729" w:type="pct"/>
            <w:vMerge w:val="continue"/>
            <w:shd w:val="clear" w:color="auto" w:fill="auto"/>
            <w:vAlign w:val="center"/>
          </w:tcPr>
          <w:p w14:paraId="331E860F">
            <w:pPr>
              <w:pStyle w:val="26"/>
              <w:bidi w:val="0"/>
            </w:pPr>
          </w:p>
        </w:tc>
        <w:tc>
          <w:tcPr>
            <w:tcW w:w="805" w:type="pct"/>
            <w:shd w:val="clear" w:color="auto" w:fill="auto"/>
            <w:vAlign w:val="top"/>
          </w:tcPr>
          <w:p w14:paraId="07D1431E">
            <w:pPr>
              <w:pStyle w:val="26"/>
              <w:bidi w:val="0"/>
              <w:rPr>
                <w:rFonts w:hint="default"/>
                <w:lang w:val="en-US" w:eastAsia="zh-CN"/>
              </w:rPr>
            </w:pPr>
            <w:r>
              <w:rPr>
                <w:lang w:val="en-US" w:eastAsia="zh-CN"/>
              </w:rPr>
              <w:t>2023- 11-30</w:t>
            </w:r>
          </w:p>
        </w:tc>
        <w:tc>
          <w:tcPr>
            <w:tcW w:w="528" w:type="pct"/>
            <w:gridSpan w:val="2"/>
            <w:shd w:val="clear" w:color="auto" w:fill="auto"/>
            <w:vAlign w:val="top"/>
          </w:tcPr>
          <w:p w14:paraId="14866862">
            <w:pPr>
              <w:pStyle w:val="26"/>
              <w:bidi w:val="0"/>
              <w:rPr>
                <w:lang w:val="en-US" w:eastAsia="zh-CN"/>
              </w:rPr>
            </w:pPr>
            <w:r>
              <w:t>ND</w:t>
            </w:r>
          </w:p>
        </w:tc>
        <w:tc>
          <w:tcPr>
            <w:tcW w:w="484" w:type="pct"/>
            <w:shd w:val="clear" w:color="auto" w:fill="auto"/>
            <w:vAlign w:val="top"/>
          </w:tcPr>
          <w:p w14:paraId="3D81E832">
            <w:pPr>
              <w:pStyle w:val="26"/>
              <w:bidi w:val="0"/>
              <w:rPr>
                <w:lang w:val="en-US" w:eastAsia="zh-CN"/>
              </w:rPr>
            </w:pPr>
            <w:r>
              <w:t>ND</w:t>
            </w:r>
          </w:p>
        </w:tc>
        <w:tc>
          <w:tcPr>
            <w:tcW w:w="481" w:type="pct"/>
            <w:gridSpan w:val="3"/>
            <w:shd w:val="clear" w:color="auto" w:fill="auto"/>
            <w:vAlign w:val="top"/>
          </w:tcPr>
          <w:p w14:paraId="71DD1B5C">
            <w:pPr>
              <w:pStyle w:val="26"/>
              <w:bidi w:val="0"/>
              <w:rPr>
                <w:lang w:val="en-US" w:eastAsia="zh-CN"/>
              </w:rPr>
            </w:pPr>
            <w:r>
              <w:t>ND</w:t>
            </w:r>
          </w:p>
        </w:tc>
        <w:tc>
          <w:tcPr>
            <w:tcW w:w="489" w:type="pct"/>
            <w:shd w:val="clear" w:color="auto" w:fill="auto"/>
            <w:vAlign w:val="top"/>
          </w:tcPr>
          <w:p w14:paraId="2644D46E">
            <w:pPr>
              <w:pStyle w:val="26"/>
              <w:bidi w:val="0"/>
              <w:rPr>
                <w:lang w:val="en-US" w:eastAsia="zh-CN"/>
              </w:rPr>
            </w:pPr>
            <w:r>
              <w:t>ND</w:t>
            </w:r>
          </w:p>
        </w:tc>
        <w:tc>
          <w:tcPr>
            <w:tcW w:w="630" w:type="pct"/>
            <w:vMerge w:val="continue"/>
            <w:vAlign w:val="center"/>
          </w:tcPr>
          <w:p w14:paraId="6A8CC174">
            <w:pPr>
              <w:pStyle w:val="26"/>
              <w:bidi w:val="0"/>
              <w:rPr>
                <w:lang w:val="en-US" w:eastAsia="zh-CN"/>
              </w:rPr>
            </w:pPr>
          </w:p>
        </w:tc>
        <w:tc>
          <w:tcPr>
            <w:tcW w:w="456" w:type="pct"/>
            <w:shd w:val="clear" w:color="auto" w:fill="auto"/>
            <w:vAlign w:val="center"/>
          </w:tcPr>
          <w:p w14:paraId="7A077141">
            <w:pPr>
              <w:pStyle w:val="26"/>
              <w:bidi w:val="0"/>
              <w:rPr>
                <w:lang w:val="en-US" w:eastAsia="zh-CN"/>
              </w:rPr>
            </w:pPr>
            <w:r>
              <w:rPr>
                <w:rFonts w:hint="eastAsia"/>
                <w:lang w:val="en-US" w:eastAsia="zh-CN"/>
              </w:rPr>
              <w:t>达标</w:t>
            </w:r>
          </w:p>
        </w:tc>
      </w:tr>
      <w:tr w14:paraId="0B1C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6EA64E16">
            <w:pPr>
              <w:pStyle w:val="26"/>
              <w:bidi w:val="0"/>
            </w:pPr>
          </w:p>
        </w:tc>
        <w:tc>
          <w:tcPr>
            <w:tcW w:w="729" w:type="pct"/>
            <w:vMerge w:val="continue"/>
            <w:shd w:val="clear" w:color="auto" w:fill="auto"/>
            <w:vAlign w:val="center"/>
          </w:tcPr>
          <w:p w14:paraId="2F686E05">
            <w:pPr>
              <w:pStyle w:val="26"/>
              <w:bidi w:val="0"/>
            </w:pPr>
          </w:p>
        </w:tc>
        <w:tc>
          <w:tcPr>
            <w:tcW w:w="805" w:type="pct"/>
            <w:shd w:val="clear" w:color="auto" w:fill="auto"/>
            <w:vAlign w:val="top"/>
          </w:tcPr>
          <w:p w14:paraId="6324790F">
            <w:pPr>
              <w:pStyle w:val="26"/>
              <w:bidi w:val="0"/>
              <w:rPr>
                <w:rFonts w:hint="default"/>
                <w:lang w:val="en-US" w:eastAsia="zh-CN"/>
              </w:rPr>
            </w:pPr>
            <w:r>
              <w:rPr>
                <w:lang w:val="en-US" w:eastAsia="zh-CN"/>
              </w:rPr>
              <w:t>2023- 12-01</w:t>
            </w:r>
          </w:p>
        </w:tc>
        <w:tc>
          <w:tcPr>
            <w:tcW w:w="528" w:type="pct"/>
            <w:gridSpan w:val="2"/>
            <w:shd w:val="clear" w:color="auto" w:fill="auto"/>
            <w:vAlign w:val="top"/>
          </w:tcPr>
          <w:p w14:paraId="4C0BAF0D">
            <w:pPr>
              <w:pStyle w:val="26"/>
              <w:bidi w:val="0"/>
              <w:rPr>
                <w:lang w:val="en-US" w:eastAsia="zh-CN"/>
              </w:rPr>
            </w:pPr>
            <w:r>
              <w:t>ND</w:t>
            </w:r>
          </w:p>
        </w:tc>
        <w:tc>
          <w:tcPr>
            <w:tcW w:w="484" w:type="pct"/>
            <w:shd w:val="clear" w:color="auto" w:fill="auto"/>
            <w:vAlign w:val="top"/>
          </w:tcPr>
          <w:p w14:paraId="09DE41C8">
            <w:pPr>
              <w:pStyle w:val="26"/>
              <w:bidi w:val="0"/>
              <w:rPr>
                <w:lang w:val="en-US" w:eastAsia="zh-CN"/>
              </w:rPr>
            </w:pPr>
            <w:r>
              <w:t>ND</w:t>
            </w:r>
          </w:p>
        </w:tc>
        <w:tc>
          <w:tcPr>
            <w:tcW w:w="481" w:type="pct"/>
            <w:gridSpan w:val="3"/>
            <w:shd w:val="clear" w:color="auto" w:fill="auto"/>
            <w:vAlign w:val="top"/>
          </w:tcPr>
          <w:p w14:paraId="21F7DAE6">
            <w:pPr>
              <w:pStyle w:val="26"/>
              <w:bidi w:val="0"/>
              <w:rPr>
                <w:lang w:val="en-US" w:eastAsia="zh-CN"/>
              </w:rPr>
            </w:pPr>
            <w:r>
              <w:t>ND</w:t>
            </w:r>
          </w:p>
        </w:tc>
        <w:tc>
          <w:tcPr>
            <w:tcW w:w="489" w:type="pct"/>
            <w:shd w:val="clear" w:color="auto" w:fill="auto"/>
            <w:vAlign w:val="top"/>
          </w:tcPr>
          <w:p w14:paraId="0903165D">
            <w:pPr>
              <w:pStyle w:val="26"/>
              <w:bidi w:val="0"/>
              <w:rPr>
                <w:lang w:val="en-US" w:eastAsia="zh-CN"/>
              </w:rPr>
            </w:pPr>
            <w:r>
              <w:t>ND</w:t>
            </w:r>
          </w:p>
        </w:tc>
        <w:tc>
          <w:tcPr>
            <w:tcW w:w="630" w:type="pct"/>
            <w:vMerge w:val="continue"/>
            <w:vAlign w:val="center"/>
          </w:tcPr>
          <w:p w14:paraId="5E3E5ED6">
            <w:pPr>
              <w:pStyle w:val="26"/>
              <w:bidi w:val="0"/>
              <w:rPr>
                <w:lang w:val="en-US" w:eastAsia="zh-CN"/>
              </w:rPr>
            </w:pPr>
          </w:p>
        </w:tc>
        <w:tc>
          <w:tcPr>
            <w:tcW w:w="456" w:type="pct"/>
            <w:shd w:val="clear" w:color="auto" w:fill="auto"/>
            <w:vAlign w:val="center"/>
          </w:tcPr>
          <w:p w14:paraId="2ADFBD8C">
            <w:pPr>
              <w:pStyle w:val="26"/>
              <w:bidi w:val="0"/>
              <w:rPr>
                <w:lang w:val="en-US" w:eastAsia="zh-CN"/>
              </w:rPr>
            </w:pPr>
            <w:r>
              <w:rPr>
                <w:rFonts w:hint="eastAsia"/>
                <w:lang w:val="en-US" w:eastAsia="zh-CN"/>
              </w:rPr>
              <w:t>达标</w:t>
            </w:r>
          </w:p>
        </w:tc>
      </w:tr>
      <w:tr w14:paraId="187E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6C2BB157">
            <w:pPr>
              <w:pStyle w:val="26"/>
              <w:bidi w:val="0"/>
            </w:pPr>
          </w:p>
        </w:tc>
        <w:tc>
          <w:tcPr>
            <w:tcW w:w="729" w:type="pct"/>
            <w:vMerge w:val="continue"/>
            <w:shd w:val="clear" w:color="auto" w:fill="auto"/>
            <w:vAlign w:val="center"/>
          </w:tcPr>
          <w:p w14:paraId="748F6936">
            <w:pPr>
              <w:pStyle w:val="26"/>
              <w:bidi w:val="0"/>
            </w:pPr>
          </w:p>
        </w:tc>
        <w:tc>
          <w:tcPr>
            <w:tcW w:w="805" w:type="pct"/>
            <w:shd w:val="clear" w:color="auto" w:fill="auto"/>
            <w:vAlign w:val="top"/>
          </w:tcPr>
          <w:p w14:paraId="5A9E094F">
            <w:pPr>
              <w:pStyle w:val="26"/>
              <w:bidi w:val="0"/>
              <w:rPr>
                <w:rFonts w:hint="default"/>
                <w:lang w:val="en-US" w:eastAsia="zh-CN"/>
              </w:rPr>
            </w:pPr>
            <w:r>
              <w:rPr>
                <w:lang w:val="en-US" w:eastAsia="zh-CN"/>
              </w:rPr>
              <w:t>2023- 12-02</w:t>
            </w:r>
          </w:p>
        </w:tc>
        <w:tc>
          <w:tcPr>
            <w:tcW w:w="528" w:type="pct"/>
            <w:gridSpan w:val="2"/>
            <w:shd w:val="clear" w:color="auto" w:fill="auto"/>
            <w:vAlign w:val="top"/>
          </w:tcPr>
          <w:p w14:paraId="0E5401E0">
            <w:pPr>
              <w:pStyle w:val="26"/>
              <w:bidi w:val="0"/>
              <w:rPr>
                <w:lang w:val="en-US" w:eastAsia="zh-CN"/>
              </w:rPr>
            </w:pPr>
            <w:r>
              <w:t>ND</w:t>
            </w:r>
          </w:p>
        </w:tc>
        <w:tc>
          <w:tcPr>
            <w:tcW w:w="484" w:type="pct"/>
            <w:shd w:val="clear" w:color="auto" w:fill="auto"/>
            <w:vAlign w:val="top"/>
          </w:tcPr>
          <w:p w14:paraId="1BC4AE10">
            <w:pPr>
              <w:pStyle w:val="26"/>
              <w:bidi w:val="0"/>
              <w:rPr>
                <w:lang w:val="en-US" w:eastAsia="zh-CN"/>
              </w:rPr>
            </w:pPr>
            <w:r>
              <w:t>ND</w:t>
            </w:r>
          </w:p>
        </w:tc>
        <w:tc>
          <w:tcPr>
            <w:tcW w:w="481" w:type="pct"/>
            <w:gridSpan w:val="3"/>
            <w:shd w:val="clear" w:color="auto" w:fill="auto"/>
            <w:vAlign w:val="top"/>
          </w:tcPr>
          <w:p w14:paraId="3A253BD7">
            <w:pPr>
              <w:pStyle w:val="26"/>
              <w:bidi w:val="0"/>
              <w:rPr>
                <w:lang w:val="en-US" w:eastAsia="zh-CN"/>
              </w:rPr>
            </w:pPr>
            <w:r>
              <w:t>ND</w:t>
            </w:r>
          </w:p>
        </w:tc>
        <w:tc>
          <w:tcPr>
            <w:tcW w:w="489" w:type="pct"/>
            <w:shd w:val="clear" w:color="auto" w:fill="auto"/>
            <w:vAlign w:val="top"/>
          </w:tcPr>
          <w:p w14:paraId="66B4C51C">
            <w:pPr>
              <w:pStyle w:val="26"/>
              <w:bidi w:val="0"/>
              <w:rPr>
                <w:lang w:val="en-US" w:eastAsia="zh-CN"/>
              </w:rPr>
            </w:pPr>
            <w:r>
              <w:t>ND</w:t>
            </w:r>
          </w:p>
        </w:tc>
        <w:tc>
          <w:tcPr>
            <w:tcW w:w="630" w:type="pct"/>
            <w:vMerge w:val="continue"/>
            <w:vAlign w:val="center"/>
          </w:tcPr>
          <w:p w14:paraId="18CEF3CD">
            <w:pPr>
              <w:pStyle w:val="26"/>
              <w:bidi w:val="0"/>
              <w:rPr>
                <w:lang w:val="en-US" w:eastAsia="zh-CN"/>
              </w:rPr>
            </w:pPr>
          </w:p>
        </w:tc>
        <w:tc>
          <w:tcPr>
            <w:tcW w:w="456" w:type="pct"/>
            <w:shd w:val="clear" w:color="auto" w:fill="auto"/>
            <w:vAlign w:val="center"/>
          </w:tcPr>
          <w:p w14:paraId="69C6AC1E">
            <w:pPr>
              <w:pStyle w:val="26"/>
              <w:bidi w:val="0"/>
              <w:rPr>
                <w:lang w:val="en-US" w:eastAsia="zh-CN"/>
              </w:rPr>
            </w:pPr>
            <w:r>
              <w:rPr>
                <w:rFonts w:hint="eastAsia"/>
                <w:lang w:val="en-US" w:eastAsia="zh-CN"/>
              </w:rPr>
              <w:t>达标</w:t>
            </w:r>
          </w:p>
        </w:tc>
      </w:tr>
      <w:tr w14:paraId="73CB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94" w:type="pct"/>
            <w:vMerge w:val="continue"/>
            <w:vAlign w:val="center"/>
          </w:tcPr>
          <w:p w14:paraId="5009F015">
            <w:pPr>
              <w:pStyle w:val="26"/>
              <w:bidi w:val="0"/>
            </w:pPr>
          </w:p>
        </w:tc>
        <w:tc>
          <w:tcPr>
            <w:tcW w:w="729" w:type="pct"/>
            <w:vMerge w:val="continue"/>
            <w:shd w:val="clear" w:color="auto" w:fill="auto"/>
            <w:vAlign w:val="center"/>
          </w:tcPr>
          <w:p w14:paraId="5C08AE13">
            <w:pPr>
              <w:pStyle w:val="26"/>
              <w:bidi w:val="0"/>
            </w:pPr>
          </w:p>
        </w:tc>
        <w:tc>
          <w:tcPr>
            <w:tcW w:w="805" w:type="pct"/>
            <w:shd w:val="clear" w:color="auto" w:fill="auto"/>
            <w:vAlign w:val="top"/>
          </w:tcPr>
          <w:p w14:paraId="1FFA61F2">
            <w:pPr>
              <w:pStyle w:val="26"/>
              <w:bidi w:val="0"/>
              <w:rPr>
                <w:rFonts w:hint="default"/>
                <w:lang w:val="en-US" w:eastAsia="zh-CN"/>
              </w:rPr>
            </w:pPr>
            <w:r>
              <w:rPr>
                <w:lang w:val="en-US" w:eastAsia="zh-CN"/>
              </w:rPr>
              <w:t>2023- 12-03</w:t>
            </w:r>
          </w:p>
        </w:tc>
        <w:tc>
          <w:tcPr>
            <w:tcW w:w="528" w:type="pct"/>
            <w:gridSpan w:val="2"/>
            <w:shd w:val="clear" w:color="auto" w:fill="auto"/>
            <w:vAlign w:val="top"/>
          </w:tcPr>
          <w:p w14:paraId="3FEFFD36">
            <w:pPr>
              <w:pStyle w:val="26"/>
              <w:bidi w:val="0"/>
              <w:rPr>
                <w:lang w:val="en-US" w:eastAsia="zh-CN"/>
              </w:rPr>
            </w:pPr>
            <w:r>
              <w:t>ND</w:t>
            </w:r>
          </w:p>
        </w:tc>
        <w:tc>
          <w:tcPr>
            <w:tcW w:w="484" w:type="pct"/>
            <w:shd w:val="clear" w:color="auto" w:fill="auto"/>
            <w:vAlign w:val="top"/>
          </w:tcPr>
          <w:p w14:paraId="0341B596">
            <w:pPr>
              <w:pStyle w:val="26"/>
              <w:bidi w:val="0"/>
              <w:rPr>
                <w:lang w:val="en-US" w:eastAsia="zh-CN"/>
              </w:rPr>
            </w:pPr>
            <w:r>
              <w:t>ND</w:t>
            </w:r>
          </w:p>
        </w:tc>
        <w:tc>
          <w:tcPr>
            <w:tcW w:w="481" w:type="pct"/>
            <w:gridSpan w:val="3"/>
            <w:shd w:val="clear" w:color="auto" w:fill="auto"/>
            <w:vAlign w:val="top"/>
          </w:tcPr>
          <w:p w14:paraId="41D02B74">
            <w:pPr>
              <w:pStyle w:val="26"/>
              <w:bidi w:val="0"/>
              <w:rPr>
                <w:lang w:val="en-US" w:eastAsia="zh-CN"/>
              </w:rPr>
            </w:pPr>
            <w:r>
              <w:t>ND</w:t>
            </w:r>
          </w:p>
        </w:tc>
        <w:tc>
          <w:tcPr>
            <w:tcW w:w="489" w:type="pct"/>
            <w:shd w:val="clear" w:color="auto" w:fill="auto"/>
            <w:vAlign w:val="top"/>
          </w:tcPr>
          <w:p w14:paraId="5DBC7137">
            <w:pPr>
              <w:pStyle w:val="26"/>
              <w:bidi w:val="0"/>
              <w:rPr>
                <w:lang w:val="en-US" w:eastAsia="zh-CN"/>
              </w:rPr>
            </w:pPr>
            <w:r>
              <w:t>ND</w:t>
            </w:r>
          </w:p>
        </w:tc>
        <w:tc>
          <w:tcPr>
            <w:tcW w:w="630" w:type="pct"/>
            <w:vMerge w:val="continue"/>
            <w:vAlign w:val="center"/>
          </w:tcPr>
          <w:p w14:paraId="5DBB3102">
            <w:pPr>
              <w:pStyle w:val="26"/>
              <w:bidi w:val="0"/>
              <w:rPr>
                <w:lang w:val="en-US" w:eastAsia="zh-CN"/>
              </w:rPr>
            </w:pPr>
          </w:p>
        </w:tc>
        <w:tc>
          <w:tcPr>
            <w:tcW w:w="456" w:type="pct"/>
            <w:shd w:val="clear" w:color="auto" w:fill="auto"/>
            <w:vAlign w:val="center"/>
          </w:tcPr>
          <w:p w14:paraId="2C51CCA3">
            <w:pPr>
              <w:pStyle w:val="26"/>
              <w:bidi w:val="0"/>
              <w:rPr>
                <w:lang w:val="en-US" w:eastAsia="zh-CN"/>
              </w:rPr>
            </w:pPr>
            <w:r>
              <w:rPr>
                <w:rFonts w:hint="eastAsia"/>
                <w:lang w:val="en-US" w:eastAsia="zh-CN"/>
              </w:rPr>
              <w:t>达标</w:t>
            </w:r>
          </w:p>
        </w:tc>
      </w:tr>
      <w:tr w14:paraId="371B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restart"/>
            <w:vAlign w:val="center"/>
          </w:tcPr>
          <w:p w14:paraId="1FA9F828">
            <w:pPr>
              <w:pStyle w:val="26"/>
              <w:bidi w:val="0"/>
            </w:pPr>
            <w:r>
              <w:rPr>
                <w:rFonts w:hint="eastAsia"/>
                <w:lang w:val="en-US" w:eastAsia="zh-CN"/>
              </w:rPr>
              <w:t>顺阳公寓G2</w:t>
            </w:r>
          </w:p>
        </w:tc>
        <w:tc>
          <w:tcPr>
            <w:tcW w:w="729" w:type="pct"/>
            <w:vMerge w:val="restart"/>
            <w:shd w:val="clear" w:color="auto" w:fill="auto"/>
            <w:vAlign w:val="center"/>
          </w:tcPr>
          <w:p w14:paraId="7C9DE1B4">
            <w:pPr>
              <w:pStyle w:val="26"/>
              <w:bidi w:val="0"/>
            </w:pPr>
            <w:r>
              <w:rPr>
                <w:rFonts w:hint="eastAsia"/>
                <w:lang w:eastAsia="zh-CN"/>
              </w:rPr>
              <w:tab/>
            </w:r>
            <w:r>
              <w:rPr>
                <w:lang w:val="en-US" w:eastAsia="zh-CN"/>
              </w:rPr>
              <w:t>甲苯 （mg/m3）</w:t>
            </w:r>
          </w:p>
        </w:tc>
        <w:tc>
          <w:tcPr>
            <w:tcW w:w="805" w:type="pct"/>
            <w:shd w:val="clear" w:color="auto" w:fill="auto"/>
            <w:vAlign w:val="top"/>
          </w:tcPr>
          <w:p w14:paraId="5FF879B2">
            <w:pPr>
              <w:pStyle w:val="26"/>
              <w:bidi w:val="0"/>
              <w:rPr>
                <w:rFonts w:hint="default"/>
                <w:lang w:val="en-US" w:eastAsia="zh-CN"/>
              </w:rPr>
            </w:pPr>
            <w:r>
              <w:rPr>
                <w:lang w:val="en-US" w:eastAsia="zh-CN"/>
              </w:rPr>
              <w:t>2023- 11-27</w:t>
            </w:r>
          </w:p>
        </w:tc>
        <w:tc>
          <w:tcPr>
            <w:tcW w:w="528" w:type="pct"/>
            <w:gridSpan w:val="2"/>
            <w:shd w:val="clear" w:color="auto" w:fill="auto"/>
            <w:vAlign w:val="top"/>
          </w:tcPr>
          <w:p w14:paraId="50DE9715">
            <w:pPr>
              <w:pStyle w:val="26"/>
              <w:bidi w:val="0"/>
              <w:rPr>
                <w:lang w:val="en-US" w:eastAsia="zh-CN"/>
              </w:rPr>
            </w:pPr>
            <w:r>
              <w:t>ND</w:t>
            </w:r>
          </w:p>
        </w:tc>
        <w:tc>
          <w:tcPr>
            <w:tcW w:w="484" w:type="pct"/>
            <w:shd w:val="clear" w:color="auto" w:fill="auto"/>
            <w:vAlign w:val="top"/>
          </w:tcPr>
          <w:p w14:paraId="005BAE20">
            <w:pPr>
              <w:pStyle w:val="26"/>
              <w:bidi w:val="0"/>
              <w:rPr>
                <w:lang w:val="en-US" w:eastAsia="zh-CN"/>
              </w:rPr>
            </w:pPr>
            <w:r>
              <w:t>ND</w:t>
            </w:r>
          </w:p>
        </w:tc>
        <w:tc>
          <w:tcPr>
            <w:tcW w:w="481" w:type="pct"/>
            <w:gridSpan w:val="3"/>
            <w:shd w:val="clear" w:color="auto" w:fill="auto"/>
            <w:vAlign w:val="top"/>
          </w:tcPr>
          <w:p w14:paraId="4C701616">
            <w:pPr>
              <w:pStyle w:val="26"/>
              <w:bidi w:val="0"/>
              <w:rPr>
                <w:lang w:val="en-US" w:eastAsia="zh-CN"/>
              </w:rPr>
            </w:pPr>
            <w:r>
              <w:t>ND</w:t>
            </w:r>
          </w:p>
        </w:tc>
        <w:tc>
          <w:tcPr>
            <w:tcW w:w="489" w:type="pct"/>
            <w:shd w:val="clear" w:color="auto" w:fill="auto"/>
            <w:vAlign w:val="top"/>
          </w:tcPr>
          <w:p w14:paraId="316E64DD">
            <w:pPr>
              <w:pStyle w:val="26"/>
              <w:bidi w:val="0"/>
              <w:rPr>
                <w:lang w:val="en-US" w:eastAsia="zh-CN"/>
              </w:rPr>
            </w:pPr>
            <w:r>
              <w:t>ND</w:t>
            </w:r>
          </w:p>
        </w:tc>
        <w:tc>
          <w:tcPr>
            <w:tcW w:w="630" w:type="pct"/>
            <w:vMerge w:val="restart"/>
            <w:vAlign w:val="center"/>
          </w:tcPr>
          <w:p w14:paraId="1746F7AB">
            <w:pPr>
              <w:pStyle w:val="26"/>
              <w:bidi w:val="0"/>
              <w:rPr>
                <w:lang w:val="en-US" w:eastAsia="zh-CN"/>
              </w:rPr>
            </w:pPr>
            <w:r>
              <w:rPr>
                <w:lang w:val="en-US" w:eastAsia="zh-CN"/>
              </w:rPr>
              <w:t>0.2mg/m</w:t>
            </w:r>
            <w:r>
              <w:rPr>
                <w:rFonts w:hint="eastAsia"/>
                <w:lang w:val="en-US" w:eastAsia="zh-CN"/>
              </w:rPr>
              <w:t>3</w:t>
            </w:r>
            <w:r>
              <w:rPr>
                <w:lang w:val="en-US" w:eastAsia="zh-CN"/>
              </w:rPr>
              <w:t xml:space="preserve"> 1h  平均</w:t>
            </w:r>
          </w:p>
        </w:tc>
        <w:tc>
          <w:tcPr>
            <w:tcW w:w="456" w:type="pct"/>
            <w:shd w:val="clear" w:color="auto" w:fill="auto"/>
            <w:vAlign w:val="center"/>
          </w:tcPr>
          <w:p w14:paraId="2CB7DE8E">
            <w:pPr>
              <w:pStyle w:val="26"/>
              <w:bidi w:val="0"/>
              <w:rPr>
                <w:lang w:val="en-US" w:eastAsia="zh-CN"/>
              </w:rPr>
            </w:pPr>
            <w:r>
              <w:rPr>
                <w:rFonts w:hint="eastAsia"/>
                <w:lang w:val="en-US" w:eastAsia="zh-CN"/>
              </w:rPr>
              <w:t>达标</w:t>
            </w:r>
          </w:p>
        </w:tc>
      </w:tr>
      <w:tr w14:paraId="499C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4EC93CDC">
            <w:pPr>
              <w:pStyle w:val="26"/>
              <w:bidi w:val="0"/>
            </w:pPr>
          </w:p>
        </w:tc>
        <w:tc>
          <w:tcPr>
            <w:tcW w:w="729" w:type="pct"/>
            <w:vMerge w:val="continue"/>
            <w:shd w:val="clear" w:color="auto" w:fill="auto"/>
            <w:vAlign w:val="center"/>
          </w:tcPr>
          <w:p w14:paraId="39EE048D">
            <w:pPr>
              <w:pStyle w:val="26"/>
              <w:bidi w:val="0"/>
            </w:pPr>
          </w:p>
        </w:tc>
        <w:tc>
          <w:tcPr>
            <w:tcW w:w="805" w:type="pct"/>
            <w:shd w:val="clear" w:color="auto" w:fill="auto"/>
            <w:vAlign w:val="top"/>
          </w:tcPr>
          <w:p w14:paraId="1312F7DB">
            <w:pPr>
              <w:pStyle w:val="26"/>
              <w:bidi w:val="0"/>
              <w:rPr>
                <w:rFonts w:hint="default"/>
                <w:lang w:val="en-US" w:eastAsia="zh-CN"/>
              </w:rPr>
            </w:pPr>
            <w:r>
              <w:rPr>
                <w:lang w:val="en-US" w:eastAsia="zh-CN"/>
              </w:rPr>
              <w:t>2023- 11-28</w:t>
            </w:r>
          </w:p>
        </w:tc>
        <w:tc>
          <w:tcPr>
            <w:tcW w:w="528" w:type="pct"/>
            <w:gridSpan w:val="2"/>
            <w:shd w:val="clear" w:color="auto" w:fill="auto"/>
            <w:vAlign w:val="top"/>
          </w:tcPr>
          <w:p w14:paraId="67EF7249">
            <w:pPr>
              <w:pStyle w:val="26"/>
              <w:bidi w:val="0"/>
              <w:rPr>
                <w:lang w:val="en-US" w:eastAsia="zh-CN"/>
              </w:rPr>
            </w:pPr>
            <w:r>
              <w:t>ND</w:t>
            </w:r>
          </w:p>
        </w:tc>
        <w:tc>
          <w:tcPr>
            <w:tcW w:w="484" w:type="pct"/>
            <w:shd w:val="clear" w:color="auto" w:fill="auto"/>
            <w:vAlign w:val="top"/>
          </w:tcPr>
          <w:p w14:paraId="31CF3DB8">
            <w:pPr>
              <w:pStyle w:val="26"/>
              <w:bidi w:val="0"/>
              <w:rPr>
                <w:lang w:val="en-US" w:eastAsia="zh-CN"/>
              </w:rPr>
            </w:pPr>
            <w:r>
              <w:t>ND</w:t>
            </w:r>
          </w:p>
        </w:tc>
        <w:tc>
          <w:tcPr>
            <w:tcW w:w="481" w:type="pct"/>
            <w:gridSpan w:val="3"/>
            <w:shd w:val="clear" w:color="auto" w:fill="auto"/>
            <w:vAlign w:val="top"/>
          </w:tcPr>
          <w:p w14:paraId="0CB7F17C">
            <w:pPr>
              <w:pStyle w:val="26"/>
              <w:bidi w:val="0"/>
              <w:rPr>
                <w:lang w:val="en-US" w:eastAsia="zh-CN"/>
              </w:rPr>
            </w:pPr>
            <w:r>
              <w:t>ND</w:t>
            </w:r>
          </w:p>
        </w:tc>
        <w:tc>
          <w:tcPr>
            <w:tcW w:w="489" w:type="pct"/>
            <w:shd w:val="clear" w:color="auto" w:fill="auto"/>
            <w:vAlign w:val="top"/>
          </w:tcPr>
          <w:p w14:paraId="46021E75">
            <w:pPr>
              <w:pStyle w:val="26"/>
              <w:bidi w:val="0"/>
              <w:rPr>
                <w:lang w:val="en-US" w:eastAsia="zh-CN"/>
              </w:rPr>
            </w:pPr>
            <w:r>
              <w:t>ND</w:t>
            </w:r>
          </w:p>
        </w:tc>
        <w:tc>
          <w:tcPr>
            <w:tcW w:w="630" w:type="pct"/>
            <w:vMerge w:val="continue"/>
            <w:vAlign w:val="center"/>
          </w:tcPr>
          <w:p w14:paraId="7513DFF1">
            <w:pPr>
              <w:pStyle w:val="26"/>
              <w:bidi w:val="0"/>
              <w:rPr>
                <w:lang w:val="en-US" w:eastAsia="zh-CN"/>
              </w:rPr>
            </w:pPr>
          </w:p>
        </w:tc>
        <w:tc>
          <w:tcPr>
            <w:tcW w:w="456" w:type="pct"/>
            <w:shd w:val="clear" w:color="auto" w:fill="auto"/>
            <w:vAlign w:val="center"/>
          </w:tcPr>
          <w:p w14:paraId="3DEC02CA">
            <w:pPr>
              <w:pStyle w:val="26"/>
              <w:bidi w:val="0"/>
              <w:rPr>
                <w:lang w:val="en-US" w:eastAsia="zh-CN"/>
              </w:rPr>
            </w:pPr>
            <w:r>
              <w:rPr>
                <w:rFonts w:hint="eastAsia"/>
                <w:lang w:val="en-US" w:eastAsia="zh-CN"/>
              </w:rPr>
              <w:t>达标</w:t>
            </w:r>
          </w:p>
        </w:tc>
      </w:tr>
      <w:tr w14:paraId="61A2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01FD97E1">
            <w:pPr>
              <w:pStyle w:val="26"/>
              <w:bidi w:val="0"/>
            </w:pPr>
          </w:p>
        </w:tc>
        <w:tc>
          <w:tcPr>
            <w:tcW w:w="729" w:type="pct"/>
            <w:vMerge w:val="continue"/>
            <w:shd w:val="clear" w:color="auto" w:fill="auto"/>
            <w:vAlign w:val="center"/>
          </w:tcPr>
          <w:p w14:paraId="54AC4DC5">
            <w:pPr>
              <w:pStyle w:val="26"/>
              <w:bidi w:val="0"/>
            </w:pPr>
          </w:p>
        </w:tc>
        <w:tc>
          <w:tcPr>
            <w:tcW w:w="805" w:type="pct"/>
            <w:shd w:val="clear" w:color="auto" w:fill="auto"/>
            <w:vAlign w:val="top"/>
          </w:tcPr>
          <w:p w14:paraId="2A369F69">
            <w:pPr>
              <w:pStyle w:val="26"/>
              <w:bidi w:val="0"/>
              <w:rPr>
                <w:rFonts w:hint="default"/>
                <w:lang w:val="en-US" w:eastAsia="zh-CN"/>
              </w:rPr>
            </w:pPr>
            <w:r>
              <w:rPr>
                <w:lang w:val="en-US" w:eastAsia="zh-CN"/>
              </w:rPr>
              <w:t>2023- 11-29</w:t>
            </w:r>
          </w:p>
        </w:tc>
        <w:tc>
          <w:tcPr>
            <w:tcW w:w="528" w:type="pct"/>
            <w:gridSpan w:val="2"/>
            <w:shd w:val="clear" w:color="auto" w:fill="auto"/>
            <w:vAlign w:val="top"/>
          </w:tcPr>
          <w:p w14:paraId="21CBFBB2">
            <w:pPr>
              <w:pStyle w:val="26"/>
              <w:bidi w:val="0"/>
              <w:rPr>
                <w:lang w:val="en-US" w:eastAsia="zh-CN"/>
              </w:rPr>
            </w:pPr>
            <w:r>
              <w:t>ND</w:t>
            </w:r>
          </w:p>
        </w:tc>
        <w:tc>
          <w:tcPr>
            <w:tcW w:w="484" w:type="pct"/>
            <w:shd w:val="clear" w:color="auto" w:fill="auto"/>
            <w:vAlign w:val="top"/>
          </w:tcPr>
          <w:p w14:paraId="7DE72629">
            <w:pPr>
              <w:pStyle w:val="26"/>
              <w:bidi w:val="0"/>
              <w:rPr>
                <w:lang w:val="en-US" w:eastAsia="zh-CN"/>
              </w:rPr>
            </w:pPr>
            <w:r>
              <w:t>ND</w:t>
            </w:r>
          </w:p>
        </w:tc>
        <w:tc>
          <w:tcPr>
            <w:tcW w:w="481" w:type="pct"/>
            <w:gridSpan w:val="3"/>
            <w:shd w:val="clear" w:color="auto" w:fill="auto"/>
            <w:vAlign w:val="top"/>
          </w:tcPr>
          <w:p w14:paraId="6921C8B7">
            <w:pPr>
              <w:pStyle w:val="26"/>
              <w:bidi w:val="0"/>
              <w:rPr>
                <w:lang w:val="en-US" w:eastAsia="zh-CN"/>
              </w:rPr>
            </w:pPr>
            <w:r>
              <w:t>ND</w:t>
            </w:r>
          </w:p>
        </w:tc>
        <w:tc>
          <w:tcPr>
            <w:tcW w:w="489" w:type="pct"/>
            <w:shd w:val="clear" w:color="auto" w:fill="auto"/>
            <w:vAlign w:val="top"/>
          </w:tcPr>
          <w:p w14:paraId="704D08B5">
            <w:pPr>
              <w:pStyle w:val="26"/>
              <w:bidi w:val="0"/>
              <w:rPr>
                <w:lang w:val="en-US" w:eastAsia="zh-CN"/>
              </w:rPr>
            </w:pPr>
            <w:r>
              <w:t>ND</w:t>
            </w:r>
          </w:p>
        </w:tc>
        <w:tc>
          <w:tcPr>
            <w:tcW w:w="630" w:type="pct"/>
            <w:vMerge w:val="continue"/>
            <w:vAlign w:val="center"/>
          </w:tcPr>
          <w:p w14:paraId="57DCA0A5">
            <w:pPr>
              <w:pStyle w:val="26"/>
              <w:bidi w:val="0"/>
              <w:rPr>
                <w:lang w:val="en-US" w:eastAsia="zh-CN"/>
              </w:rPr>
            </w:pPr>
          </w:p>
        </w:tc>
        <w:tc>
          <w:tcPr>
            <w:tcW w:w="456" w:type="pct"/>
            <w:shd w:val="clear" w:color="auto" w:fill="auto"/>
            <w:vAlign w:val="center"/>
          </w:tcPr>
          <w:p w14:paraId="19752AFD">
            <w:pPr>
              <w:pStyle w:val="26"/>
              <w:bidi w:val="0"/>
              <w:rPr>
                <w:lang w:val="en-US" w:eastAsia="zh-CN"/>
              </w:rPr>
            </w:pPr>
            <w:r>
              <w:rPr>
                <w:rFonts w:hint="eastAsia"/>
                <w:lang w:val="en-US" w:eastAsia="zh-CN"/>
              </w:rPr>
              <w:t>达标</w:t>
            </w:r>
          </w:p>
        </w:tc>
      </w:tr>
      <w:tr w14:paraId="430F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54E7E49E">
            <w:pPr>
              <w:pStyle w:val="26"/>
              <w:bidi w:val="0"/>
            </w:pPr>
          </w:p>
        </w:tc>
        <w:tc>
          <w:tcPr>
            <w:tcW w:w="729" w:type="pct"/>
            <w:vMerge w:val="continue"/>
            <w:shd w:val="clear" w:color="auto" w:fill="auto"/>
            <w:vAlign w:val="center"/>
          </w:tcPr>
          <w:p w14:paraId="56F46E0C">
            <w:pPr>
              <w:pStyle w:val="26"/>
              <w:bidi w:val="0"/>
            </w:pPr>
          </w:p>
        </w:tc>
        <w:tc>
          <w:tcPr>
            <w:tcW w:w="805" w:type="pct"/>
            <w:shd w:val="clear" w:color="auto" w:fill="auto"/>
            <w:vAlign w:val="top"/>
          </w:tcPr>
          <w:p w14:paraId="75C5600B">
            <w:pPr>
              <w:pStyle w:val="26"/>
              <w:bidi w:val="0"/>
              <w:rPr>
                <w:rFonts w:hint="default"/>
                <w:lang w:val="en-US" w:eastAsia="zh-CN"/>
              </w:rPr>
            </w:pPr>
            <w:r>
              <w:rPr>
                <w:lang w:val="en-US" w:eastAsia="zh-CN"/>
              </w:rPr>
              <w:t>2023- 11-30</w:t>
            </w:r>
          </w:p>
        </w:tc>
        <w:tc>
          <w:tcPr>
            <w:tcW w:w="528" w:type="pct"/>
            <w:gridSpan w:val="2"/>
            <w:shd w:val="clear" w:color="auto" w:fill="auto"/>
            <w:vAlign w:val="top"/>
          </w:tcPr>
          <w:p w14:paraId="1BFA375A">
            <w:pPr>
              <w:pStyle w:val="26"/>
              <w:bidi w:val="0"/>
              <w:rPr>
                <w:lang w:val="en-US" w:eastAsia="zh-CN"/>
              </w:rPr>
            </w:pPr>
            <w:r>
              <w:t>ND</w:t>
            </w:r>
          </w:p>
        </w:tc>
        <w:tc>
          <w:tcPr>
            <w:tcW w:w="484" w:type="pct"/>
            <w:shd w:val="clear" w:color="auto" w:fill="auto"/>
            <w:vAlign w:val="top"/>
          </w:tcPr>
          <w:p w14:paraId="5CDE080A">
            <w:pPr>
              <w:pStyle w:val="26"/>
              <w:bidi w:val="0"/>
              <w:rPr>
                <w:lang w:val="en-US" w:eastAsia="zh-CN"/>
              </w:rPr>
            </w:pPr>
            <w:r>
              <w:t>ND</w:t>
            </w:r>
          </w:p>
        </w:tc>
        <w:tc>
          <w:tcPr>
            <w:tcW w:w="481" w:type="pct"/>
            <w:gridSpan w:val="3"/>
            <w:shd w:val="clear" w:color="auto" w:fill="auto"/>
            <w:vAlign w:val="top"/>
          </w:tcPr>
          <w:p w14:paraId="242EC4D9">
            <w:pPr>
              <w:pStyle w:val="26"/>
              <w:bidi w:val="0"/>
              <w:rPr>
                <w:lang w:val="en-US" w:eastAsia="zh-CN"/>
              </w:rPr>
            </w:pPr>
            <w:r>
              <w:t>ND</w:t>
            </w:r>
          </w:p>
        </w:tc>
        <w:tc>
          <w:tcPr>
            <w:tcW w:w="489" w:type="pct"/>
            <w:shd w:val="clear" w:color="auto" w:fill="auto"/>
            <w:vAlign w:val="top"/>
          </w:tcPr>
          <w:p w14:paraId="5AD5295F">
            <w:pPr>
              <w:pStyle w:val="26"/>
              <w:bidi w:val="0"/>
              <w:rPr>
                <w:lang w:val="en-US" w:eastAsia="zh-CN"/>
              </w:rPr>
            </w:pPr>
            <w:r>
              <w:t>ND</w:t>
            </w:r>
          </w:p>
        </w:tc>
        <w:tc>
          <w:tcPr>
            <w:tcW w:w="630" w:type="pct"/>
            <w:vMerge w:val="continue"/>
            <w:vAlign w:val="center"/>
          </w:tcPr>
          <w:p w14:paraId="2BD8901D">
            <w:pPr>
              <w:pStyle w:val="26"/>
              <w:bidi w:val="0"/>
              <w:rPr>
                <w:lang w:val="en-US" w:eastAsia="zh-CN"/>
              </w:rPr>
            </w:pPr>
          </w:p>
        </w:tc>
        <w:tc>
          <w:tcPr>
            <w:tcW w:w="456" w:type="pct"/>
            <w:shd w:val="clear" w:color="auto" w:fill="auto"/>
            <w:vAlign w:val="center"/>
          </w:tcPr>
          <w:p w14:paraId="6D7D8855">
            <w:pPr>
              <w:pStyle w:val="26"/>
              <w:bidi w:val="0"/>
              <w:rPr>
                <w:lang w:val="en-US" w:eastAsia="zh-CN"/>
              </w:rPr>
            </w:pPr>
            <w:r>
              <w:rPr>
                <w:rFonts w:hint="eastAsia"/>
                <w:lang w:val="en-US" w:eastAsia="zh-CN"/>
              </w:rPr>
              <w:t>达标</w:t>
            </w:r>
          </w:p>
        </w:tc>
      </w:tr>
      <w:tr w14:paraId="3EFA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2C25C274">
            <w:pPr>
              <w:pStyle w:val="26"/>
              <w:bidi w:val="0"/>
            </w:pPr>
          </w:p>
        </w:tc>
        <w:tc>
          <w:tcPr>
            <w:tcW w:w="729" w:type="pct"/>
            <w:vMerge w:val="continue"/>
            <w:shd w:val="clear" w:color="auto" w:fill="auto"/>
            <w:vAlign w:val="center"/>
          </w:tcPr>
          <w:p w14:paraId="5ED36D60">
            <w:pPr>
              <w:pStyle w:val="26"/>
              <w:bidi w:val="0"/>
            </w:pPr>
          </w:p>
        </w:tc>
        <w:tc>
          <w:tcPr>
            <w:tcW w:w="805" w:type="pct"/>
            <w:shd w:val="clear" w:color="auto" w:fill="auto"/>
            <w:vAlign w:val="top"/>
          </w:tcPr>
          <w:p w14:paraId="08338C47">
            <w:pPr>
              <w:pStyle w:val="26"/>
              <w:bidi w:val="0"/>
              <w:rPr>
                <w:rFonts w:hint="default"/>
                <w:lang w:val="en-US" w:eastAsia="zh-CN"/>
              </w:rPr>
            </w:pPr>
            <w:r>
              <w:rPr>
                <w:lang w:val="en-US" w:eastAsia="zh-CN"/>
              </w:rPr>
              <w:t>2023- 12-01</w:t>
            </w:r>
          </w:p>
        </w:tc>
        <w:tc>
          <w:tcPr>
            <w:tcW w:w="528" w:type="pct"/>
            <w:gridSpan w:val="2"/>
            <w:shd w:val="clear" w:color="auto" w:fill="auto"/>
            <w:vAlign w:val="top"/>
          </w:tcPr>
          <w:p w14:paraId="4D0CF7FB">
            <w:pPr>
              <w:pStyle w:val="26"/>
              <w:bidi w:val="0"/>
              <w:rPr>
                <w:lang w:val="en-US" w:eastAsia="zh-CN"/>
              </w:rPr>
            </w:pPr>
            <w:r>
              <w:t>ND</w:t>
            </w:r>
          </w:p>
        </w:tc>
        <w:tc>
          <w:tcPr>
            <w:tcW w:w="484" w:type="pct"/>
            <w:shd w:val="clear" w:color="auto" w:fill="auto"/>
            <w:vAlign w:val="top"/>
          </w:tcPr>
          <w:p w14:paraId="15962E04">
            <w:pPr>
              <w:pStyle w:val="26"/>
              <w:bidi w:val="0"/>
              <w:rPr>
                <w:lang w:val="en-US" w:eastAsia="zh-CN"/>
              </w:rPr>
            </w:pPr>
            <w:r>
              <w:t>ND</w:t>
            </w:r>
          </w:p>
        </w:tc>
        <w:tc>
          <w:tcPr>
            <w:tcW w:w="481" w:type="pct"/>
            <w:gridSpan w:val="3"/>
            <w:shd w:val="clear" w:color="auto" w:fill="auto"/>
            <w:vAlign w:val="top"/>
          </w:tcPr>
          <w:p w14:paraId="3B25CFEA">
            <w:pPr>
              <w:pStyle w:val="26"/>
              <w:bidi w:val="0"/>
              <w:rPr>
                <w:lang w:val="en-US" w:eastAsia="zh-CN"/>
              </w:rPr>
            </w:pPr>
            <w:r>
              <w:t>ND</w:t>
            </w:r>
          </w:p>
        </w:tc>
        <w:tc>
          <w:tcPr>
            <w:tcW w:w="489" w:type="pct"/>
            <w:shd w:val="clear" w:color="auto" w:fill="auto"/>
            <w:vAlign w:val="top"/>
          </w:tcPr>
          <w:p w14:paraId="24C15510">
            <w:pPr>
              <w:pStyle w:val="26"/>
              <w:bidi w:val="0"/>
              <w:rPr>
                <w:lang w:val="en-US" w:eastAsia="zh-CN"/>
              </w:rPr>
            </w:pPr>
            <w:r>
              <w:t>ND</w:t>
            </w:r>
          </w:p>
        </w:tc>
        <w:tc>
          <w:tcPr>
            <w:tcW w:w="630" w:type="pct"/>
            <w:vMerge w:val="continue"/>
            <w:vAlign w:val="center"/>
          </w:tcPr>
          <w:p w14:paraId="7BDB66AD">
            <w:pPr>
              <w:pStyle w:val="26"/>
              <w:bidi w:val="0"/>
              <w:rPr>
                <w:lang w:val="en-US" w:eastAsia="zh-CN"/>
              </w:rPr>
            </w:pPr>
          </w:p>
        </w:tc>
        <w:tc>
          <w:tcPr>
            <w:tcW w:w="456" w:type="pct"/>
            <w:shd w:val="clear" w:color="auto" w:fill="auto"/>
            <w:vAlign w:val="center"/>
          </w:tcPr>
          <w:p w14:paraId="7A9C63E1">
            <w:pPr>
              <w:pStyle w:val="26"/>
              <w:bidi w:val="0"/>
              <w:rPr>
                <w:lang w:val="en-US" w:eastAsia="zh-CN"/>
              </w:rPr>
            </w:pPr>
            <w:r>
              <w:rPr>
                <w:rFonts w:hint="eastAsia"/>
                <w:lang w:val="en-US" w:eastAsia="zh-CN"/>
              </w:rPr>
              <w:t>达标</w:t>
            </w:r>
          </w:p>
        </w:tc>
      </w:tr>
      <w:tr w14:paraId="49B7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28EBB589">
            <w:pPr>
              <w:pStyle w:val="26"/>
              <w:bidi w:val="0"/>
            </w:pPr>
          </w:p>
        </w:tc>
        <w:tc>
          <w:tcPr>
            <w:tcW w:w="729" w:type="pct"/>
            <w:vMerge w:val="continue"/>
            <w:shd w:val="clear" w:color="auto" w:fill="auto"/>
            <w:vAlign w:val="center"/>
          </w:tcPr>
          <w:p w14:paraId="7BEBA3B3">
            <w:pPr>
              <w:pStyle w:val="26"/>
              <w:bidi w:val="0"/>
            </w:pPr>
          </w:p>
        </w:tc>
        <w:tc>
          <w:tcPr>
            <w:tcW w:w="805" w:type="pct"/>
            <w:shd w:val="clear" w:color="auto" w:fill="auto"/>
            <w:vAlign w:val="top"/>
          </w:tcPr>
          <w:p w14:paraId="41C6B701">
            <w:pPr>
              <w:pStyle w:val="26"/>
              <w:bidi w:val="0"/>
              <w:rPr>
                <w:rFonts w:hint="default"/>
                <w:lang w:val="en-US" w:eastAsia="zh-CN"/>
              </w:rPr>
            </w:pPr>
            <w:r>
              <w:rPr>
                <w:lang w:val="en-US" w:eastAsia="zh-CN"/>
              </w:rPr>
              <w:t>2023- 12-02</w:t>
            </w:r>
          </w:p>
        </w:tc>
        <w:tc>
          <w:tcPr>
            <w:tcW w:w="528" w:type="pct"/>
            <w:gridSpan w:val="2"/>
            <w:shd w:val="clear" w:color="auto" w:fill="auto"/>
            <w:vAlign w:val="top"/>
          </w:tcPr>
          <w:p w14:paraId="11A41A49">
            <w:pPr>
              <w:pStyle w:val="26"/>
              <w:bidi w:val="0"/>
              <w:rPr>
                <w:lang w:val="en-US" w:eastAsia="zh-CN"/>
              </w:rPr>
            </w:pPr>
            <w:r>
              <w:t>ND</w:t>
            </w:r>
          </w:p>
        </w:tc>
        <w:tc>
          <w:tcPr>
            <w:tcW w:w="484" w:type="pct"/>
            <w:shd w:val="clear" w:color="auto" w:fill="auto"/>
            <w:vAlign w:val="top"/>
          </w:tcPr>
          <w:p w14:paraId="027005BF">
            <w:pPr>
              <w:pStyle w:val="26"/>
              <w:bidi w:val="0"/>
              <w:rPr>
                <w:lang w:val="en-US" w:eastAsia="zh-CN"/>
              </w:rPr>
            </w:pPr>
            <w:r>
              <w:t>ND</w:t>
            </w:r>
          </w:p>
        </w:tc>
        <w:tc>
          <w:tcPr>
            <w:tcW w:w="481" w:type="pct"/>
            <w:gridSpan w:val="3"/>
            <w:shd w:val="clear" w:color="auto" w:fill="auto"/>
            <w:vAlign w:val="top"/>
          </w:tcPr>
          <w:p w14:paraId="4791F528">
            <w:pPr>
              <w:pStyle w:val="26"/>
              <w:bidi w:val="0"/>
              <w:rPr>
                <w:lang w:val="en-US" w:eastAsia="zh-CN"/>
              </w:rPr>
            </w:pPr>
            <w:r>
              <w:t>ND</w:t>
            </w:r>
          </w:p>
        </w:tc>
        <w:tc>
          <w:tcPr>
            <w:tcW w:w="489" w:type="pct"/>
            <w:shd w:val="clear" w:color="auto" w:fill="auto"/>
            <w:vAlign w:val="top"/>
          </w:tcPr>
          <w:p w14:paraId="561C6D25">
            <w:pPr>
              <w:pStyle w:val="26"/>
              <w:bidi w:val="0"/>
              <w:rPr>
                <w:lang w:val="en-US" w:eastAsia="zh-CN"/>
              </w:rPr>
            </w:pPr>
            <w:r>
              <w:t>ND</w:t>
            </w:r>
          </w:p>
        </w:tc>
        <w:tc>
          <w:tcPr>
            <w:tcW w:w="630" w:type="pct"/>
            <w:vMerge w:val="continue"/>
            <w:vAlign w:val="center"/>
          </w:tcPr>
          <w:p w14:paraId="4AA094F7">
            <w:pPr>
              <w:pStyle w:val="26"/>
              <w:bidi w:val="0"/>
              <w:rPr>
                <w:lang w:val="en-US" w:eastAsia="zh-CN"/>
              </w:rPr>
            </w:pPr>
          </w:p>
        </w:tc>
        <w:tc>
          <w:tcPr>
            <w:tcW w:w="456" w:type="pct"/>
            <w:shd w:val="clear" w:color="auto" w:fill="auto"/>
            <w:vAlign w:val="center"/>
          </w:tcPr>
          <w:p w14:paraId="5895ABF8">
            <w:pPr>
              <w:pStyle w:val="26"/>
              <w:bidi w:val="0"/>
              <w:rPr>
                <w:lang w:val="en-US" w:eastAsia="zh-CN"/>
              </w:rPr>
            </w:pPr>
            <w:r>
              <w:rPr>
                <w:rFonts w:hint="eastAsia"/>
                <w:lang w:val="en-US" w:eastAsia="zh-CN"/>
              </w:rPr>
              <w:t>达标</w:t>
            </w:r>
          </w:p>
        </w:tc>
      </w:tr>
      <w:tr w14:paraId="4502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51469222">
            <w:pPr>
              <w:pStyle w:val="26"/>
              <w:bidi w:val="0"/>
            </w:pPr>
          </w:p>
        </w:tc>
        <w:tc>
          <w:tcPr>
            <w:tcW w:w="729" w:type="pct"/>
            <w:vMerge w:val="continue"/>
            <w:shd w:val="clear" w:color="auto" w:fill="auto"/>
            <w:vAlign w:val="center"/>
          </w:tcPr>
          <w:p w14:paraId="3D7A7A4B">
            <w:pPr>
              <w:pStyle w:val="26"/>
              <w:bidi w:val="0"/>
            </w:pPr>
          </w:p>
        </w:tc>
        <w:tc>
          <w:tcPr>
            <w:tcW w:w="805" w:type="pct"/>
            <w:shd w:val="clear" w:color="auto" w:fill="auto"/>
            <w:vAlign w:val="top"/>
          </w:tcPr>
          <w:p w14:paraId="398FBACF">
            <w:pPr>
              <w:pStyle w:val="26"/>
              <w:bidi w:val="0"/>
              <w:rPr>
                <w:rFonts w:hint="default"/>
                <w:lang w:val="en-US" w:eastAsia="zh-CN"/>
              </w:rPr>
            </w:pPr>
            <w:r>
              <w:rPr>
                <w:lang w:val="en-US" w:eastAsia="zh-CN"/>
              </w:rPr>
              <w:t>2023- 12-03</w:t>
            </w:r>
          </w:p>
        </w:tc>
        <w:tc>
          <w:tcPr>
            <w:tcW w:w="528" w:type="pct"/>
            <w:gridSpan w:val="2"/>
            <w:shd w:val="clear" w:color="auto" w:fill="auto"/>
            <w:vAlign w:val="top"/>
          </w:tcPr>
          <w:p w14:paraId="241FEFBF">
            <w:pPr>
              <w:pStyle w:val="26"/>
              <w:bidi w:val="0"/>
              <w:rPr>
                <w:lang w:val="en-US" w:eastAsia="zh-CN"/>
              </w:rPr>
            </w:pPr>
            <w:r>
              <w:t>ND</w:t>
            </w:r>
          </w:p>
        </w:tc>
        <w:tc>
          <w:tcPr>
            <w:tcW w:w="484" w:type="pct"/>
            <w:shd w:val="clear" w:color="auto" w:fill="auto"/>
            <w:vAlign w:val="top"/>
          </w:tcPr>
          <w:p w14:paraId="7943F488">
            <w:pPr>
              <w:pStyle w:val="26"/>
              <w:bidi w:val="0"/>
              <w:rPr>
                <w:lang w:val="en-US" w:eastAsia="zh-CN"/>
              </w:rPr>
            </w:pPr>
            <w:r>
              <w:t>ND</w:t>
            </w:r>
          </w:p>
        </w:tc>
        <w:tc>
          <w:tcPr>
            <w:tcW w:w="481" w:type="pct"/>
            <w:gridSpan w:val="3"/>
            <w:shd w:val="clear" w:color="auto" w:fill="auto"/>
            <w:vAlign w:val="top"/>
          </w:tcPr>
          <w:p w14:paraId="53F20D69">
            <w:pPr>
              <w:pStyle w:val="26"/>
              <w:bidi w:val="0"/>
              <w:rPr>
                <w:lang w:val="en-US" w:eastAsia="zh-CN"/>
              </w:rPr>
            </w:pPr>
            <w:r>
              <w:t>ND</w:t>
            </w:r>
          </w:p>
        </w:tc>
        <w:tc>
          <w:tcPr>
            <w:tcW w:w="489" w:type="pct"/>
            <w:shd w:val="clear" w:color="auto" w:fill="auto"/>
            <w:vAlign w:val="top"/>
          </w:tcPr>
          <w:p w14:paraId="31D3CE18">
            <w:pPr>
              <w:pStyle w:val="26"/>
              <w:bidi w:val="0"/>
              <w:rPr>
                <w:lang w:val="en-US" w:eastAsia="zh-CN"/>
              </w:rPr>
            </w:pPr>
            <w:r>
              <w:t>ND</w:t>
            </w:r>
          </w:p>
        </w:tc>
        <w:tc>
          <w:tcPr>
            <w:tcW w:w="630" w:type="pct"/>
            <w:vMerge w:val="continue"/>
            <w:vAlign w:val="center"/>
          </w:tcPr>
          <w:p w14:paraId="05EE2075">
            <w:pPr>
              <w:pStyle w:val="26"/>
              <w:bidi w:val="0"/>
              <w:rPr>
                <w:lang w:val="en-US" w:eastAsia="zh-CN"/>
              </w:rPr>
            </w:pPr>
          </w:p>
        </w:tc>
        <w:tc>
          <w:tcPr>
            <w:tcW w:w="456" w:type="pct"/>
            <w:shd w:val="clear" w:color="auto" w:fill="auto"/>
            <w:vAlign w:val="center"/>
          </w:tcPr>
          <w:p w14:paraId="4E1E67F3">
            <w:pPr>
              <w:pStyle w:val="26"/>
              <w:bidi w:val="0"/>
              <w:rPr>
                <w:lang w:val="en-US" w:eastAsia="zh-CN"/>
              </w:rPr>
            </w:pPr>
            <w:r>
              <w:rPr>
                <w:rFonts w:hint="eastAsia"/>
                <w:lang w:val="en-US" w:eastAsia="zh-CN"/>
              </w:rPr>
              <w:t>达标</w:t>
            </w:r>
          </w:p>
        </w:tc>
      </w:tr>
      <w:tr w14:paraId="1E5C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0E76E090">
            <w:pPr>
              <w:pStyle w:val="26"/>
              <w:bidi w:val="0"/>
            </w:pPr>
          </w:p>
        </w:tc>
        <w:tc>
          <w:tcPr>
            <w:tcW w:w="729" w:type="pct"/>
            <w:vMerge w:val="restart"/>
            <w:shd w:val="clear" w:color="auto" w:fill="auto"/>
            <w:vAlign w:val="center"/>
          </w:tcPr>
          <w:p w14:paraId="4E75937F">
            <w:pPr>
              <w:pStyle w:val="26"/>
              <w:bidi w:val="0"/>
            </w:pPr>
            <w:r>
              <w:rPr>
                <w:lang w:val="en-US" w:eastAsia="zh-CN"/>
              </w:rPr>
              <w:t>二甲苯（mg/m3）</w:t>
            </w:r>
          </w:p>
        </w:tc>
        <w:tc>
          <w:tcPr>
            <w:tcW w:w="805" w:type="pct"/>
            <w:shd w:val="clear" w:color="auto" w:fill="auto"/>
            <w:vAlign w:val="top"/>
          </w:tcPr>
          <w:p w14:paraId="58E62A14">
            <w:pPr>
              <w:pStyle w:val="26"/>
              <w:bidi w:val="0"/>
              <w:rPr>
                <w:rFonts w:hint="default"/>
                <w:lang w:val="en-US" w:eastAsia="zh-CN"/>
              </w:rPr>
            </w:pPr>
            <w:r>
              <w:rPr>
                <w:lang w:val="en-US" w:eastAsia="zh-CN"/>
              </w:rPr>
              <w:t>2023- 11-27</w:t>
            </w:r>
          </w:p>
        </w:tc>
        <w:tc>
          <w:tcPr>
            <w:tcW w:w="528" w:type="pct"/>
            <w:gridSpan w:val="2"/>
            <w:shd w:val="clear" w:color="auto" w:fill="auto"/>
            <w:vAlign w:val="top"/>
          </w:tcPr>
          <w:p w14:paraId="568C83B8">
            <w:pPr>
              <w:pStyle w:val="26"/>
              <w:bidi w:val="0"/>
              <w:rPr>
                <w:lang w:val="en-US" w:eastAsia="zh-CN"/>
              </w:rPr>
            </w:pPr>
            <w:r>
              <w:t>ND</w:t>
            </w:r>
          </w:p>
        </w:tc>
        <w:tc>
          <w:tcPr>
            <w:tcW w:w="484" w:type="pct"/>
            <w:shd w:val="clear" w:color="auto" w:fill="auto"/>
            <w:vAlign w:val="top"/>
          </w:tcPr>
          <w:p w14:paraId="6B4DCA09">
            <w:pPr>
              <w:pStyle w:val="26"/>
              <w:bidi w:val="0"/>
              <w:rPr>
                <w:lang w:val="en-US" w:eastAsia="zh-CN"/>
              </w:rPr>
            </w:pPr>
            <w:r>
              <w:t>ND</w:t>
            </w:r>
          </w:p>
        </w:tc>
        <w:tc>
          <w:tcPr>
            <w:tcW w:w="481" w:type="pct"/>
            <w:gridSpan w:val="3"/>
            <w:shd w:val="clear" w:color="auto" w:fill="auto"/>
            <w:vAlign w:val="top"/>
          </w:tcPr>
          <w:p w14:paraId="2BA4B65A">
            <w:pPr>
              <w:pStyle w:val="26"/>
              <w:bidi w:val="0"/>
              <w:rPr>
                <w:lang w:val="en-US" w:eastAsia="zh-CN"/>
              </w:rPr>
            </w:pPr>
            <w:r>
              <w:t>ND</w:t>
            </w:r>
          </w:p>
        </w:tc>
        <w:tc>
          <w:tcPr>
            <w:tcW w:w="489" w:type="pct"/>
            <w:shd w:val="clear" w:color="auto" w:fill="auto"/>
            <w:vAlign w:val="top"/>
          </w:tcPr>
          <w:p w14:paraId="31919293">
            <w:pPr>
              <w:pStyle w:val="26"/>
              <w:bidi w:val="0"/>
              <w:rPr>
                <w:lang w:val="en-US" w:eastAsia="zh-CN"/>
              </w:rPr>
            </w:pPr>
            <w:r>
              <w:t>ND</w:t>
            </w:r>
          </w:p>
        </w:tc>
        <w:tc>
          <w:tcPr>
            <w:tcW w:w="630" w:type="pct"/>
            <w:vMerge w:val="restart"/>
            <w:vAlign w:val="center"/>
          </w:tcPr>
          <w:p w14:paraId="345EAA3F">
            <w:pPr>
              <w:pStyle w:val="26"/>
              <w:bidi w:val="0"/>
              <w:rPr>
                <w:lang w:val="en-US" w:eastAsia="zh-CN"/>
              </w:rPr>
            </w:pPr>
            <w:r>
              <w:rPr>
                <w:lang w:val="en-US" w:eastAsia="zh-CN"/>
              </w:rPr>
              <w:t>0.2mg/m</w:t>
            </w:r>
            <w:r>
              <w:rPr>
                <w:rFonts w:hint="eastAsia"/>
                <w:lang w:val="en-US" w:eastAsia="zh-CN"/>
              </w:rPr>
              <w:t>3</w:t>
            </w:r>
            <w:r>
              <w:rPr>
                <w:lang w:val="en-US" w:eastAsia="zh-CN"/>
              </w:rPr>
              <w:t xml:space="preserve"> 1h  平均</w:t>
            </w:r>
          </w:p>
        </w:tc>
        <w:tc>
          <w:tcPr>
            <w:tcW w:w="456" w:type="pct"/>
            <w:shd w:val="clear" w:color="auto" w:fill="auto"/>
            <w:vAlign w:val="center"/>
          </w:tcPr>
          <w:p w14:paraId="588846E7">
            <w:pPr>
              <w:pStyle w:val="26"/>
              <w:bidi w:val="0"/>
              <w:rPr>
                <w:lang w:val="en-US" w:eastAsia="zh-CN"/>
              </w:rPr>
            </w:pPr>
            <w:r>
              <w:rPr>
                <w:rFonts w:hint="eastAsia"/>
                <w:lang w:val="en-US" w:eastAsia="zh-CN"/>
              </w:rPr>
              <w:t>达标</w:t>
            </w:r>
          </w:p>
        </w:tc>
      </w:tr>
      <w:tr w14:paraId="135C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5BB358B3">
            <w:pPr>
              <w:pStyle w:val="26"/>
              <w:bidi w:val="0"/>
            </w:pPr>
          </w:p>
        </w:tc>
        <w:tc>
          <w:tcPr>
            <w:tcW w:w="729" w:type="pct"/>
            <w:vMerge w:val="continue"/>
            <w:shd w:val="clear" w:color="auto" w:fill="auto"/>
            <w:vAlign w:val="center"/>
          </w:tcPr>
          <w:p w14:paraId="6AF7C9C0">
            <w:pPr>
              <w:pStyle w:val="26"/>
              <w:bidi w:val="0"/>
            </w:pPr>
          </w:p>
        </w:tc>
        <w:tc>
          <w:tcPr>
            <w:tcW w:w="805" w:type="pct"/>
            <w:shd w:val="clear" w:color="auto" w:fill="auto"/>
            <w:vAlign w:val="top"/>
          </w:tcPr>
          <w:p w14:paraId="13192038">
            <w:pPr>
              <w:pStyle w:val="26"/>
              <w:bidi w:val="0"/>
              <w:rPr>
                <w:rFonts w:hint="default"/>
                <w:lang w:val="en-US" w:eastAsia="zh-CN"/>
              </w:rPr>
            </w:pPr>
            <w:r>
              <w:rPr>
                <w:lang w:val="en-US" w:eastAsia="zh-CN"/>
              </w:rPr>
              <w:t>2023- 11-28</w:t>
            </w:r>
          </w:p>
        </w:tc>
        <w:tc>
          <w:tcPr>
            <w:tcW w:w="528" w:type="pct"/>
            <w:gridSpan w:val="2"/>
            <w:shd w:val="clear" w:color="auto" w:fill="auto"/>
            <w:vAlign w:val="top"/>
          </w:tcPr>
          <w:p w14:paraId="4931356E">
            <w:pPr>
              <w:pStyle w:val="26"/>
              <w:bidi w:val="0"/>
              <w:rPr>
                <w:lang w:val="en-US" w:eastAsia="zh-CN"/>
              </w:rPr>
            </w:pPr>
            <w:r>
              <w:t>ND</w:t>
            </w:r>
          </w:p>
        </w:tc>
        <w:tc>
          <w:tcPr>
            <w:tcW w:w="484" w:type="pct"/>
            <w:shd w:val="clear" w:color="auto" w:fill="auto"/>
            <w:vAlign w:val="top"/>
          </w:tcPr>
          <w:p w14:paraId="4161A9D0">
            <w:pPr>
              <w:pStyle w:val="26"/>
              <w:bidi w:val="0"/>
              <w:rPr>
                <w:lang w:val="en-US" w:eastAsia="zh-CN"/>
              </w:rPr>
            </w:pPr>
            <w:r>
              <w:t>ND</w:t>
            </w:r>
          </w:p>
        </w:tc>
        <w:tc>
          <w:tcPr>
            <w:tcW w:w="481" w:type="pct"/>
            <w:gridSpan w:val="3"/>
            <w:shd w:val="clear" w:color="auto" w:fill="auto"/>
            <w:vAlign w:val="top"/>
          </w:tcPr>
          <w:p w14:paraId="4783CC1F">
            <w:pPr>
              <w:pStyle w:val="26"/>
              <w:bidi w:val="0"/>
              <w:rPr>
                <w:lang w:val="en-US" w:eastAsia="zh-CN"/>
              </w:rPr>
            </w:pPr>
            <w:r>
              <w:t>ND</w:t>
            </w:r>
          </w:p>
        </w:tc>
        <w:tc>
          <w:tcPr>
            <w:tcW w:w="489" w:type="pct"/>
            <w:shd w:val="clear" w:color="auto" w:fill="auto"/>
            <w:vAlign w:val="top"/>
          </w:tcPr>
          <w:p w14:paraId="5A36D158">
            <w:pPr>
              <w:pStyle w:val="26"/>
              <w:bidi w:val="0"/>
              <w:rPr>
                <w:lang w:val="en-US" w:eastAsia="zh-CN"/>
              </w:rPr>
            </w:pPr>
            <w:r>
              <w:t>ND</w:t>
            </w:r>
          </w:p>
        </w:tc>
        <w:tc>
          <w:tcPr>
            <w:tcW w:w="630" w:type="pct"/>
            <w:vMerge w:val="continue"/>
            <w:vAlign w:val="center"/>
          </w:tcPr>
          <w:p w14:paraId="5CB27768">
            <w:pPr>
              <w:pStyle w:val="26"/>
              <w:bidi w:val="0"/>
              <w:rPr>
                <w:lang w:val="en-US" w:eastAsia="zh-CN"/>
              </w:rPr>
            </w:pPr>
          </w:p>
        </w:tc>
        <w:tc>
          <w:tcPr>
            <w:tcW w:w="456" w:type="pct"/>
            <w:shd w:val="clear" w:color="auto" w:fill="auto"/>
            <w:vAlign w:val="center"/>
          </w:tcPr>
          <w:p w14:paraId="3DB2F03F">
            <w:pPr>
              <w:pStyle w:val="26"/>
              <w:bidi w:val="0"/>
              <w:rPr>
                <w:lang w:val="en-US" w:eastAsia="zh-CN"/>
              </w:rPr>
            </w:pPr>
            <w:r>
              <w:rPr>
                <w:rFonts w:hint="eastAsia"/>
                <w:lang w:val="en-US" w:eastAsia="zh-CN"/>
              </w:rPr>
              <w:t>达标</w:t>
            </w:r>
          </w:p>
        </w:tc>
      </w:tr>
      <w:tr w14:paraId="3EDB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6DD3E543">
            <w:pPr>
              <w:pStyle w:val="26"/>
              <w:bidi w:val="0"/>
            </w:pPr>
          </w:p>
        </w:tc>
        <w:tc>
          <w:tcPr>
            <w:tcW w:w="729" w:type="pct"/>
            <w:vMerge w:val="continue"/>
            <w:shd w:val="clear" w:color="auto" w:fill="auto"/>
            <w:vAlign w:val="center"/>
          </w:tcPr>
          <w:p w14:paraId="2E6DCED9">
            <w:pPr>
              <w:pStyle w:val="26"/>
              <w:bidi w:val="0"/>
            </w:pPr>
          </w:p>
        </w:tc>
        <w:tc>
          <w:tcPr>
            <w:tcW w:w="805" w:type="pct"/>
            <w:shd w:val="clear" w:color="auto" w:fill="auto"/>
            <w:vAlign w:val="top"/>
          </w:tcPr>
          <w:p w14:paraId="1E75DCB3">
            <w:pPr>
              <w:pStyle w:val="26"/>
              <w:bidi w:val="0"/>
              <w:rPr>
                <w:rFonts w:hint="default"/>
                <w:lang w:val="en-US" w:eastAsia="zh-CN"/>
              </w:rPr>
            </w:pPr>
            <w:r>
              <w:rPr>
                <w:lang w:val="en-US" w:eastAsia="zh-CN"/>
              </w:rPr>
              <w:t>2023- 11-29</w:t>
            </w:r>
          </w:p>
        </w:tc>
        <w:tc>
          <w:tcPr>
            <w:tcW w:w="528" w:type="pct"/>
            <w:gridSpan w:val="2"/>
            <w:shd w:val="clear" w:color="auto" w:fill="auto"/>
            <w:vAlign w:val="top"/>
          </w:tcPr>
          <w:p w14:paraId="51EA0FD3">
            <w:pPr>
              <w:pStyle w:val="26"/>
              <w:bidi w:val="0"/>
              <w:rPr>
                <w:lang w:val="en-US" w:eastAsia="zh-CN"/>
              </w:rPr>
            </w:pPr>
            <w:r>
              <w:t>ND</w:t>
            </w:r>
          </w:p>
        </w:tc>
        <w:tc>
          <w:tcPr>
            <w:tcW w:w="484" w:type="pct"/>
            <w:shd w:val="clear" w:color="auto" w:fill="auto"/>
            <w:vAlign w:val="top"/>
          </w:tcPr>
          <w:p w14:paraId="03F29884">
            <w:pPr>
              <w:pStyle w:val="26"/>
              <w:bidi w:val="0"/>
              <w:rPr>
                <w:lang w:val="en-US" w:eastAsia="zh-CN"/>
              </w:rPr>
            </w:pPr>
            <w:r>
              <w:t>ND</w:t>
            </w:r>
          </w:p>
        </w:tc>
        <w:tc>
          <w:tcPr>
            <w:tcW w:w="481" w:type="pct"/>
            <w:gridSpan w:val="3"/>
            <w:shd w:val="clear" w:color="auto" w:fill="auto"/>
            <w:vAlign w:val="top"/>
          </w:tcPr>
          <w:p w14:paraId="0BBB4B73">
            <w:pPr>
              <w:pStyle w:val="26"/>
              <w:bidi w:val="0"/>
              <w:rPr>
                <w:lang w:val="en-US" w:eastAsia="zh-CN"/>
              </w:rPr>
            </w:pPr>
            <w:r>
              <w:t>ND</w:t>
            </w:r>
          </w:p>
        </w:tc>
        <w:tc>
          <w:tcPr>
            <w:tcW w:w="489" w:type="pct"/>
            <w:shd w:val="clear" w:color="auto" w:fill="auto"/>
            <w:vAlign w:val="top"/>
          </w:tcPr>
          <w:p w14:paraId="1C82112A">
            <w:pPr>
              <w:pStyle w:val="26"/>
              <w:bidi w:val="0"/>
              <w:rPr>
                <w:lang w:val="en-US" w:eastAsia="zh-CN"/>
              </w:rPr>
            </w:pPr>
            <w:r>
              <w:t>ND</w:t>
            </w:r>
          </w:p>
        </w:tc>
        <w:tc>
          <w:tcPr>
            <w:tcW w:w="630" w:type="pct"/>
            <w:vMerge w:val="continue"/>
            <w:vAlign w:val="center"/>
          </w:tcPr>
          <w:p w14:paraId="459BB577">
            <w:pPr>
              <w:pStyle w:val="26"/>
              <w:bidi w:val="0"/>
              <w:rPr>
                <w:lang w:val="en-US" w:eastAsia="zh-CN"/>
              </w:rPr>
            </w:pPr>
          </w:p>
        </w:tc>
        <w:tc>
          <w:tcPr>
            <w:tcW w:w="456" w:type="pct"/>
            <w:shd w:val="clear" w:color="auto" w:fill="auto"/>
            <w:vAlign w:val="center"/>
          </w:tcPr>
          <w:p w14:paraId="295BD7F1">
            <w:pPr>
              <w:pStyle w:val="26"/>
              <w:bidi w:val="0"/>
              <w:rPr>
                <w:lang w:val="en-US" w:eastAsia="zh-CN"/>
              </w:rPr>
            </w:pPr>
            <w:r>
              <w:rPr>
                <w:rFonts w:hint="eastAsia"/>
                <w:lang w:val="en-US" w:eastAsia="zh-CN"/>
              </w:rPr>
              <w:t>达标</w:t>
            </w:r>
          </w:p>
        </w:tc>
      </w:tr>
      <w:tr w14:paraId="2115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37A02EB2">
            <w:pPr>
              <w:pStyle w:val="26"/>
              <w:bidi w:val="0"/>
            </w:pPr>
          </w:p>
        </w:tc>
        <w:tc>
          <w:tcPr>
            <w:tcW w:w="729" w:type="pct"/>
            <w:vMerge w:val="continue"/>
            <w:shd w:val="clear" w:color="auto" w:fill="auto"/>
            <w:vAlign w:val="center"/>
          </w:tcPr>
          <w:p w14:paraId="3D2697CE">
            <w:pPr>
              <w:pStyle w:val="26"/>
              <w:bidi w:val="0"/>
            </w:pPr>
          </w:p>
        </w:tc>
        <w:tc>
          <w:tcPr>
            <w:tcW w:w="805" w:type="pct"/>
            <w:shd w:val="clear" w:color="auto" w:fill="auto"/>
            <w:vAlign w:val="top"/>
          </w:tcPr>
          <w:p w14:paraId="63D5D3F7">
            <w:pPr>
              <w:pStyle w:val="26"/>
              <w:bidi w:val="0"/>
              <w:rPr>
                <w:rFonts w:hint="default"/>
                <w:lang w:val="en-US" w:eastAsia="zh-CN"/>
              </w:rPr>
            </w:pPr>
            <w:r>
              <w:rPr>
                <w:lang w:val="en-US" w:eastAsia="zh-CN"/>
              </w:rPr>
              <w:t>2023- 11-30</w:t>
            </w:r>
          </w:p>
        </w:tc>
        <w:tc>
          <w:tcPr>
            <w:tcW w:w="528" w:type="pct"/>
            <w:gridSpan w:val="2"/>
            <w:shd w:val="clear" w:color="auto" w:fill="auto"/>
            <w:vAlign w:val="top"/>
          </w:tcPr>
          <w:p w14:paraId="4C05CBE1">
            <w:pPr>
              <w:pStyle w:val="26"/>
              <w:bidi w:val="0"/>
              <w:rPr>
                <w:lang w:val="en-US" w:eastAsia="zh-CN"/>
              </w:rPr>
            </w:pPr>
            <w:r>
              <w:t>ND</w:t>
            </w:r>
          </w:p>
        </w:tc>
        <w:tc>
          <w:tcPr>
            <w:tcW w:w="484" w:type="pct"/>
            <w:shd w:val="clear" w:color="auto" w:fill="auto"/>
            <w:vAlign w:val="top"/>
          </w:tcPr>
          <w:p w14:paraId="22D9A515">
            <w:pPr>
              <w:pStyle w:val="26"/>
              <w:bidi w:val="0"/>
              <w:rPr>
                <w:lang w:val="en-US" w:eastAsia="zh-CN"/>
              </w:rPr>
            </w:pPr>
            <w:r>
              <w:t>ND</w:t>
            </w:r>
          </w:p>
        </w:tc>
        <w:tc>
          <w:tcPr>
            <w:tcW w:w="481" w:type="pct"/>
            <w:gridSpan w:val="3"/>
            <w:shd w:val="clear" w:color="auto" w:fill="auto"/>
            <w:vAlign w:val="top"/>
          </w:tcPr>
          <w:p w14:paraId="60A5BF23">
            <w:pPr>
              <w:pStyle w:val="26"/>
              <w:bidi w:val="0"/>
              <w:rPr>
                <w:lang w:val="en-US" w:eastAsia="zh-CN"/>
              </w:rPr>
            </w:pPr>
            <w:r>
              <w:t>ND</w:t>
            </w:r>
          </w:p>
        </w:tc>
        <w:tc>
          <w:tcPr>
            <w:tcW w:w="489" w:type="pct"/>
            <w:shd w:val="clear" w:color="auto" w:fill="auto"/>
            <w:vAlign w:val="top"/>
          </w:tcPr>
          <w:p w14:paraId="532B5530">
            <w:pPr>
              <w:pStyle w:val="26"/>
              <w:bidi w:val="0"/>
              <w:rPr>
                <w:lang w:val="en-US" w:eastAsia="zh-CN"/>
              </w:rPr>
            </w:pPr>
            <w:r>
              <w:t>ND</w:t>
            </w:r>
          </w:p>
        </w:tc>
        <w:tc>
          <w:tcPr>
            <w:tcW w:w="630" w:type="pct"/>
            <w:vMerge w:val="continue"/>
            <w:vAlign w:val="center"/>
          </w:tcPr>
          <w:p w14:paraId="3C35CCB3">
            <w:pPr>
              <w:pStyle w:val="26"/>
              <w:bidi w:val="0"/>
              <w:rPr>
                <w:lang w:val="en-US" w:eastAsia="zh-CN"/>
              </w:rPr>
            </w:pPr>
          </w:p>
        </w:tc>
        <w:tc>
          <w:tcPr>
            <w:tcW w:w="456" w:type="pct"/>
            <w:shd w:val="clear" w:color="auto" w:fill="auto"/>
            <w:vAlign w:val="center"/>
          </w:tcPr>
          <w:p w14:paraId="29343759">
            <w:pPr>
              <w:pStyle w:val="26"/>
              <w:bidi w:val="0"/>
              <w:rPr>
                <w:lang w:val="en-US" w:eastAsia="zh-CN"/>
              </w:rPr>
            </w:pPr>
            <w:r>
              <w:rPr>
                <w:rFonts w:hint="eastAsia"/>
                <w:lang w:val="en-US" w:eastAsia="zh-CN"/>
              </w:rPr>
              <w:t>达标</w:t>
            </w:r>
          </w:p>
        </w:tc>
      </w:tr>
      <w:tr w14:paraId="006B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223C9F8E">
            <w:pPr>
              <w:pStyle w:val="26"/>
              <w:bidi w:val="0"/>
            </w:pPr>
          </w:p>
        </w:tc>
        <w:tc>
          <w:tcPr>
            <w:tcW w:w="729" w:type="pct"/>
            <w:vMerge w:val="continue"/>
            <w:shd w:val="clear" w:color="auto" w:fill="auto"/>
            <w:vAlign w:val="center"/>
          </w:tcPr>
          <w:p w14:paraId="3E03645E">
            <w:pPr>
              <w:pStyle w:val="26"/>
              <w:bidi w:val="0"/>
            </w:pPr>
          </w:p>
        </w:tc>
        <w:tc>
          <w:tcPr>
            <w:tcW w:w="805" w:type="pct"/>
            <w:shd w:val="clear" w:color="auto" w:fill="auto"/>
            <w:vAlign w:val="top"/>
          </w:tcPr>
          <w:p w14:paraId="725C7965">
            <w:pPr>
              <w:pStyle w:val="26"/>
              <w:bidi w:val="0"/>
              <w:rPr>
                <w:rFonts w:hint="default"/>
                <w:lang w:val="en-US" w:eastAsia="zh-CN"/>
              </w:rPr>
            </w:pPr>
            <w:r>
              <w:rPr>
                <w:lang w:val="en-US" w:eastAsia="zh-CN"/>
              </w:rPr>
              <w:t>2023- 12-01</w:t>
            </w:r>
          </w:p>
        </w:tc>
        <w:tc>
          <w:tcPr>
            <w:tcW w:w="528" w:type="pct"/>
            <w:gridSpan w:val="2"/>
            <w:shd w:val="clear" w:color="auto" w:fill="auto"/>
            <w:vAlign w:val="top"/>
          </w:tcPr>
          <w:p w14:paraId="7AF6FD20">
            <w:pPr>
              <w:pStyle w:val="26"/>
              <w:bidi w:val="0"/>
              <w:rPr>
                <w:lang w:val="en-US" w:eastAsia="zh-CN"/>
              </w:rPr>
            </w:pPr>
            <w:r>
              <w:t>ND</w:t>
            </w:r>
          </w:p>
        </w:tc>
        <w:tc>
          <w:tcPr>
            <w:tcW w:w="484" w:type="pct"/>
            <w:shd w:val="clear" w:color="auto" w:fill="auto"/>
            <w:vAlign w:val="top"/>
          </w:tcPr>
          <w:p w14:paraId="12CC60A6">
            <w:pPr>
              <w:pStyle w:val="26"/>
              <w:bidi w:val="0"/>
              <w:rPr>
                <w:lang w:val="en-US" w:eastAsia="zh-CN"/>
              </w:rPr>
            </w:pPr>
            <w:r>
              <w:t>ND</w:t>
            </w:r>
          </w:p>
        </w:tc>
        <w:tc>
          <w:tcPr>
            <w:tcW w:w="481" w:type="pct"/>
            <w:gridSpan w:val="3"/>
            <w:shd w:val="clear" w:color="auto" w:fill="auto"/>
            <w:vAlign w:val="top"/>
          </w:tcPr>
          <w:p w14:paraId="7662B847">
            <w:pPr>
              <w:pStyle w:val="26"/>
              <w:bidi w:val="0"/>
              <w:rPr>
                <w:lang w:val="en-US" w:eastAsia="zh-CN"/>
              </w:rPr>
            </w:pPr>
            <w:r>
              <w:t>ND</w:t>
            </w:r>
          </w:p>
        </w:tc>
        <w:tc>
          <w:tcPr>
            <w:tcW w:w="489" w:type="pct"/>
            <w:shd w:val="clear" w:color="auto" w:fill="auto"/>
            <w:vAlign w:val="top"/>
          </w:tcPr>
          <w:p w14:paraId="42B5DD5D">
            <w:pPr>
              <w:pStyle w:val="26"/>
              <w:bidi w:val="0"/>
              <w:rPr>
                <w:lang w:val="en-US" w:eastAsia="zh-CN"/>
              </w:rPr>
            </w:pPr>
            <w:r>
              <w:t>ND</w:t>
            </w:r>
          </w:p>
        </w:tc>
        <w:tc>
          <w:tcPr>
            <w:tcW w:w="630" w:type="pct"/>
            <w:vMerge w:val="continue"/>
            <w:vAlign w:val="center"/>
          </w:tcPr>
          <w:p w14:paraId="309F0C4F">
            <w:pPr>
              <w:pStyle w:val="26"/>
              <w:bidi w:val="0"/>
              <w:rPr>
                <w:lang w:val="en-US" w:eastAsia="zh-CN"/>
              </w:rPr>
            </w:pPr>
          </w:p>
        </w:tc>
        <w:tc>
          <w:tcPr>
            <w:tcW w:w="456" w:type="pct"/>
            <w:shd w:val="clear" w:color="auto" w:fill="auto"/>
            <w:vAlign w:val="center"/>
          </w:tcPr>
          <w:p w14:paraId="40624F50">
            <w:pPr>
              <w:pStyle w:val="26"/>
              <w:bidi w:val="0"/>
              <w:rPr>
                <w:lang w:val="en-US" w:eastAsia="zh-CN"/>
              </w:rPr>
            </w:pPr>
            <w:r>
              <w:rPr>
                <w:rFonts w:hint="eastAsia"/>
                <w:lang w:val="en-US" w:eastAsia="zh-CN"/>
              </w:rPr>
              <w:t>达标</w:t>
            </w:r>
          </w:p>
        </w:tc>
      </w:tr>
      <w:tr w14:paraId="368A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5A231E8E">
            <w:pPr>
              <w:pStyle w:val="26"/>
              <w:bidi w:val="0"/>
            </w:pPr>
          </w:p>
        </w:tc>
        <w:tc>
          <w:tcPr>
            <w:tcW w:w="729" w:type="pct"/>
            <w:vMerge w:val="continue"/>
            <w:shd w:val="clear" w:color="auto" w:fill="auto"/>
            <w:vAlign w:val="center"/>
          </w:tcPr>
          <w:p w14:paraId="52BE687A">
            <w:pPr>
              <w:pStyle w:val="26"/>
              <w:bidi w:val="0"/>
            </w:pPr>
          </w:p>
        </w:tc>
        <w:tc>
          <w:tcPr>
            <w:tcW w:w="805" w:type="pct"/>
            <w:shd w:val="clear" w:color="auto" w:fill="auto"/>
            <w:vAlign w:val="top"/>
          </w:tcPr>
          <w:p w14:paraId="7FBD305B">
            <w:pPr>
              <w:pStyle w:val="26"/>
              <w:bidi w:val="0"/>
              <w:rPr>
                <w:rFonts w:hint="default"/>
                <w:lang w:val="en-US" w:eastAsia="zh-CN"/>
              </w:rPr>
            </w:pPr>
            <w:r>
              <w:rPr>
                <w:lang w:val="en-US" w:eastAsia="zh-CN"/>
              </w:rPr>
              <w:t>2023- 12-02</w:t>
            </w:r>
          </w:p>
        </w:tc>
        <w:tc>
          <w:tcPr>
            <w:tcW w:w="528" w:type="pct"/>
            <w:gridSpan w:val="2"/>
            <w:shd w:val="clear" w:color="auto" w:fill="auto"/>
            <w:vAlign w:val="top"/>
          </w:tcPr>
          <w:p w14:paraId="3C7480ED">
            <w:pPr>
              <w:pStyle w:val="26"/>
              <w:bidi w:val="0"/>
              <w:rPr>
                <w:lang w:val="en-US" w:eastAsia="zh-CN"/>
              </w:rPr>
            </w:pPr>
            <w:r>
              <w:t>ND</w:t>
            </w:r>
          </w:p>
        </w:tc>
        <w:tc>
          <w:tcPr>
            <w:tcW w:w="484" w:type="pct"/>
            <w:shd w:val="clear" w:color="auto" w:fill="auto"/>
            <w:vAlign w:val="top"/>
          </w:tcPr>
          <w:p w14:paraId="7D5EAA7D">
            <w:pPr>
              <w:pStyle w:val="26"/>
              <w:bidi w:val="0"/>
              <w:rPr>
                <w:lang w:val="en-US" w:eastAsia="zh-CN"/>
              </w:rPr>
            </w:pPr>
            <w:r>
              <w:t>ND</w:t>
            </w:r>
          </w:p>
        </w:tc>
        <w:tc>
          <w:tcPr>
            <w:tcW w:w="481" w:type="pct"/>
            <w:gridSpan w:val="3"/>
            <w:shd w:val="clear" w:color="auto" w:fill="auto"/>
            <w:vAlign w:val="top"/>
          </w:tcPr>
          <w:p w14:paraId="060B4848">
            <w:pPr>
              <w:pStyle w:val="26"/>
              <w:bidi w:val="0"/>
              <w:rPr>
                <w:lang w:val="en-US" w:eastAsia="zh-CN"/>
              </w:rPr>
            </w:pPr>
            <w:r>
              <w:t>ND</w:t>
            </w:r>
          </w:p>
        </w:tc>
        <w:tc>
          <w:tcPr>
            <w:tcW w:w="489" w:type="pct"/>
            <w:shd w:val="clear" w:color="auto" w:fill="auto"/>
            <w:vAlign w:val="top"/>
          </w:tcPr>
          <w:p w14:paraId="3680F208">
            <w:pPr>
              <w:pStyle w:val="26"/>
              <w:bidi w:val="0"/>
              <w:rPr>
                <w:lang w:val="en-US" w:eastAsia="zh-CN"/>
              </w:rPr>
            </w:pPr>
            <w:r>
              <w:t>ND</w:t>
            </w:r>
          </w:p>
        </w:tc>
        <w:tc>
          <w:tcPr>
            <w:tcW w:w="630" w:type="pct"/>
            <w:vMerge w:val="continue"/>
            <w:vAlign w:val="center"/>
          </w:tcPr>
          <w:p w14:paraId="2226AAC7">
            <w:pPr>
              <w:pStyle w:val="26"/>
              <w:bidi w:val="0"/>
              <w:rPr>
                <w:lang w:val="en-US" w:eastAsia="zh-CN"/>
              </w:rPr>
            </w:pPr>
          </w:p>
        </w:tc>
        <w:tc>
          <w:tcPr>
            <w:tcW w:w="456" w:type="pct"/>
            <w:shd w:val="clear" w:color="auto" w:fill="auto"/>
            <w:vAlign w:val="center"/>
          </w:tcPr>
          <w:p w14:paraId="2203181A">
            <w:pPr>
              <w:pStyle w:val="26"/>
              <w:bidi w:val="0"/>
              <w:rPr>
                <w:lang w:val="en-US" w:eastAsia="zh-CN"/>
              </w:rPr>
            </w:pPr>
            <w:r>
              <w:rPr>
                <w:rFonts w:hint="eastAsia"/>
                <w:lang w:val="en-US" w:eastAsia="zh-CN"/>
              </w:rPr>
              <w:t>达标</w:t>
            </w:r>
          </w:p>
        </w:tc>
      </w:tr>
      <w:tr w14:paraId="6295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94" w:type="pct"/>
            <w:vMerge w:val="continue"/>
            <w:vAlign w:val="center"/>
          </w:tcPr>
          <w:p w14:paraId="1859291E">
            <w:pPr>
              <w:pStyle w:val="26"/>
              <w:bidi w:val="0"/>
            </w:pPr>
          </w:p>
        </w:tc>
        <w:tc>
          <w:tcPr>
            <w:tcW w:w="729" w:type="pct"/>
            <w:vMerge w:val="continue"/>
            <w:shd w:val="clear" w:color="auto" w:fill="auto"/>
            <w:vAlign w:val="center"/>
          </w:tcPr>
          <w:p w14:paraId="6F012010">
            <w:pPr>
              <w:pStyle w:val="26"/>
              <w:bidi w:val="0"/>
            </w:pPr>
          </w:p>
        </w:tc>
        <w:tc>
          <w:tcPr>
            <w:tcW w:w="805" w:type="pct"/>
            <w:shd w:val="clear" w:color="auto" w:fill="auto"/>
            <w:vAlign w:val="top"/>
          </w:tcPr>
          <w:p w14:paraId="3C0BBBD0">
            <w:pPr>
              <w:pStyle w:val="26"/>
              <w:bidi w:val="0"/>
              <w:rPr>
                <w:rFonts w:hint="default"/>
                <w:lang w:val="en-US" w:eastAsia="zh-CN"/>
              </w:rPr>
            </w:pPr>
            <w:r>
              <w:rPr>
                <w:lang w:val="en-US" w:eastAsia="zh-CN"/>
              </w:rPr>
              <w:t>2023- 12-03</w:t>
            </w:r>
          </w:p>
        </w:tc>
        <w:tc>
          <w:tcPr>
            <w:tcW w:w="528" w:type="pct"/>
            <w:gridSpan w:val="2"/>
            <w:shd w:val="clear" w:color="auto" w:fill="auto"/>
            <w:vAlign w:val="top"/>
          </w:tcPr>
          <w:p w14:paraId="1B66409C">
            <w:pPr>
              <w:pStyle w:val="26"/>
              <w:bidi w:val="0"/>
              <w:rPr>
                <w:lang w:val="en-US" w:eastAsia="zh-CN"/>
              </w:rPr>
            </w:pPr>
            <w:r>
              <w:t>ND</w:t>
            </w:r>
          </w:p>
        </w:tc>
        <w:tc>
          <w:tcPr>
            <w:tcW w:w="484" w:type="pct"/>
            <w:shd w:val="clear" w:color="auto" w:fill="auto"/>
            <w:vAlign w:val="top"/>
          </w:tcPr>
          <w:p w14:paraId="57FE98A0">
            <w:pPr>
              <w:pStyle w:val="26"/>
              <w:bidi w:val="0"/>
              <w:rPr>
                <w:lang w:val="en-US" w:eastAsia="zh-CN"/>
              </w:rPr>
            </w:pPr>
            <w:r>
              <w:t>ND</w:t>
            </w:r>
          </w:p>
        </w:tc>
        <w:tc>
          <w:tcPr>
            <w:tcW w:w="481" w:type="pct"/>
            <w:gridSpan w:val="3"/>
            <w:shd w:val="clear" w:color="auto" w:fill="auto"/>
            <w:vAlign w:val="top"/>
          </w:tcPr>
          <w:p w14:paraId="2EFFF4FC">
            <w:pPr>
              <w:pStyle w:val="26"/>
              <w:bidi w:val="0"/>
              <w:rPr>
                <w:lang w:val="en-US" w:eastAsia="zh-CN"/>
              </w:rPr>
            </w:pPr>
            <w:r>
              <w:t>ND</w:t>
            </w:r>
          </w:p>
        </w:tc>
        <w:tc>
          <w:tcPr>
            <w:tcW w:w="489" w:type="pct"/>
            <w:shd w:val="clear" w:color="auto" w:fill="auto"/>
            <w:vAlign w:val="top"/>
          </w:tcPr>
          <w:p w14:paraId="11CCADEB">
            <w:pPr>
              <w:pStyle w:val="26"/>
              <w:bidi w:val="0"/>
              <w:rPr>
                <w:lang w:val="en-US" w:eastAsia="zh-CN"/>
              </w:rPr>
            </w:pPr>
            <w:r>
              <w:t>ND</w:t>
            </w:r>
          </w:p>
        </w:tc>
        <w:tc>
          <w:tcPr>
            <w:tcW w:w="630" w:type="pct"/>
            <w:vMerge w:val="continue"/>
            <w:vAlign w:val="center"/>
          </w:tcPr>
          <w:p w14:paraId="179D0C28">
            <w:pPr>
              <w:pStyle w:val="26"/>
              <w:bidi w:val="0"/>
              <w:rPr>
                <w:lang w:val="en-US" w:eastAsia="zh-CN"/>
              </w:rPr>
            </w:pPr>
          </w:p>
        </w:tc>
        <w:tc>
          <w:tcPr>
            <w:tcW w:w="456" w:type="pct"/>
            <w:shd w:val="clear" w:color="auto" w:fill="auto"/>
            <w:vAlign w:val="center"/>
          </w:tcPr>
          <w:p w14:paraId="051859C3">
            <w:pPr>
              <w:pStyle w:val="26"/>
              <w:bidi w:val="0"/>
              <w:rPr>
                <w:lang w:val="en-US" w:eastAsia="zh-CN"/>
              </w:rPr>
            </w:pPr>
            <w:r>
              <w:rPr>
                <w:rFonts w:hint="eastAsia"/>
                <w:lang w:val="en-US" w:eastAsia="zh-CN"/>
              </w:rPr>
              <w:t>达标</w:t>
            </w:r>
          </w:p>
        </w:tc>
      </w:tr>
    </w:tbl>
    <w:p w14:paraId="5BFD55A6">
      <w:pPr>
        <w:pStyle w:val="28"/>
        <w:bidi w:val="0"/>
        <w:rPr>
          <w:color w:val="auto"/>
        </w:rPr>
      </w:pPr>
      <w:r>
        <w:rPr>
          <w:color w:val="auto"/>
        </w:rPr>
        <w:t>注</w:t>
      </w:r>
      <w:r>
        <w:rPr>
          <w:rFonts w:hint="eastAsia"/>
          <w:color w:val="auto"/>
          <w:lang w:eastAsia="zh-CN"/>
        </w:rPr>
        <w:t>：“ND”表示未检出，</w:t>
      </w:r>
      <w:r>
        <w:rPr>
          <w:rFonts w:hint="eastAsia"/>
          <w:color w:val="auto"/>
          <w:lang w:val="en-US" w:eastAsia="zh-CN"/>
        </w:rPr>
        <w:t>硫化氢</w:t>
      </w:r>
      <w:r>
        <w:rPr>
          <w:rFonts w:hint="eastAsia"/>
          <w:color w:val="auto"/>
          <w:lang w:eastAsia="zh-CN"/>
        </w:rPr>
        <w:t>的检出限为</w:t>
      </w:r>
      <w:r>
        <w:rPr>
          <w:rFonts w:hint="eastAsia"/>
          <w:color w:val="auto"/>
          <w:lang w:val="en-US" w:eastAsia="zh-CN"/>
        </w:rPr>
        <w:t>0.001</w:t>
      </w:r>
      <w:r>
        <w:rPr>
          <w:rFonts w:hint="eastAsia"/>
          <w:color w:val="auto"/>
          <w:lang w:eastAsia="zh-CN"/>
        </w:rPr>
        <w:t>mg/m</w:t>
      </w:r>
      <w:r>
        <w:rPr>
          <w:rFonts w:hint="eastAsia"/>
          <w:color w:val="auto"/>
          <w:vertAlign w:val="superscript"/>
          <w:lang w:eastAsia="zh-CN"/>
        </w:rPr>
        <w:t>3</w:t>
      </w:r>
      <w:r>
        <w:rPr>
          <w:color w:val="auto"/>
        </w:rPr>
        <w:t>。</w:t>
      </w:r>
    </w:p>
    <w:p w14:paraId="5B1A69F1">
      <w:pPr>
        <w:bidi w:val="0"/>
        <w:spacing w:before="50" w:beforeLines="50" w:line="360" w:lineRule="auto"/>
        <w:jc w:val="center"/>
        <w:outlineLvl w:val="4"/>
        <w:rPr>
          <w:rFonts w:ascii="Times New Roman" w:hAnsi="Times New Roman" w:cs="Times New Roman"/>
          <w:color w:val="auto"/>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5.2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6</w:t>
      </w:r>
      <w:r>
        <w:rPr>
          <w:rFonts w:ascii="Times New Roman" w:hAnsi="Times New Roman" w:eastAsia="仿宋_GB2312" w:cstheme="minorBidi"/>
          <w:b/>
          <w:color w:val="auto"/>
          <w:kern w:val="2"/>
          <w:sz w:val="24"/>
          <w:szCs w:val="22"/>
          <w:lang w:val="en-US" w:eastAsia="zh-CN" w:bidi="ar-SA"/>
        </w:rPr>
        <w:fldChar w:fldCharType="end"/>
      </w:r>
      <w:r>
        <w:rPr>
          <w:rFonts w:hint="eastAsia" w:ascii="Times New Roman" w:hAnsi="Times New Roman" w:eastAsia="仿宋_GB2312" w:cstheme="minorBidi"/>
          <w:b/>
          <w:color w:val="auto"/>
          <w:kern w:val="2"/>
          <w:sz w:val="24"/>
          <w:szCs w:val="22"/>
          <w:lang w:val="en-US" w:eastAsia="zh-CN" w:bidi="ar-SA"/>
        </w:rPr>
        <w:t>.2</w:t>
      </w:r>
      <w:r>
        <w:rPr>
          <w:rFonts w:ascii="Times New Roman" w:hAnsi="Times New Roman" w:eastAsia="仿宋_GB2312" w:cstheme="minorBidi"/>
          <w:b/>
          <w:color w:val="auto"/>
          <w:kern w:val="2"/>
          <w:sz w:val="24"/>
          <w:szCs w:val="22"/>
          <w:lang w:val="en-US" w:eastAsia="zh-CN" w:bidi="ar-SA"/>
        </w:rPr>
        <w:t>其他污染物环境质量现状</w:t>
      </w:r>
    </w:p>
    <w:tbl>
      <w:tblPr>
        <w:tblStyle w:val="52"/>
        <w:tblW w:w="48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772"/>
        <w:gridCol w:w="1249"/>
        <w:gridCol w:w="1122"/>
        <w:gridCol w:w="768"/>
        <w:gridCol w:w="668"/>
        <w:gridCol w:w="718"/>
        <w:gridCol w:w="720"/>
        <w:gridCol w:w="644"/>
        <w:gridCol w:w="831"/>
      </w:tblGrid>
      <w:tr w14:paraId="0C60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45" w:type="pct"/>
            <w:vMerge w:val="restart"/>
            <w:shd w:val="clear" w:color="auto" w:fill="auto"/>
            <w:vAlign w:val="center"/>
          </w:tcPr>
          <w:p w14:paraId="2B082981">
            <w:pPr>
              <w:pStyle w:val="26"/>
              <w:bidi w:val="0"/>
              <w:rPr>
                <w:lang w:val="en-US" w:eastAsia="zh-CN"/>
              </w:rPr>
            </w:pPr>
            <w:r>
              <w:rPr>
                <w:rFonts w:hint="eastAsia"/>
                <w:lang w:val="en-US" w:eastAsia="zh-CN"/>
              </w:rPr>
              <w:t>采样</w:t>
            </w:r>
            <w:r>
              <w:rPr>
                <w:lang w:val="en-US" w:eastAsia="zh-CN"/>
              </w:rPr>
              <w:t>点位</w:t>
            </w:r>
          </w:p>
        </w:tc>
        <w:tc>
          <w:tcPr>
            <w:tcW w:w="469" w:type="pct"/>
            <w:vMerge w:val="restart"/>
            <w:shd w:val="clear" w:color="auto" w:fill="auto"/>
            <w:vAlign w:val="center"/>
          </w:tcPr>
          <w:p w14:paraId="5410D3BE">
            <w:pPr>
              <w:pStyle w:val="26"/>
              <w:bidi w:val="0"/>
              <w:rPr>
                <w:rFonts w:hint="default"/>
                <w:lang w:val="en-US" w:eastAsia="zh-CN"/>
              </w:rPr>
            </w:pPr>
            <w:r>
              <w:rPr>
                <w:rFonts w:hint="eastAsia"/>
                <w:lang w:val="en-US" w:eastAsia="zh-CN"/>
              </w:rPr>
              <w:t>检测项目</w:t>
            </w:r>
          </w:p>
        </w:tc>
        <w:tc>
          <w:tcPr>
            <w:tcW w:w="759" w:type="pct"/>
            <w:vMerge w:val="restart"/>
            <w:shd w:val="clear" w:color="auto" w:fill="auto"/>
            <w:vAlign w:val="center"/>
          </w:tcPr>
          <w:p w14:paraId="2541A84B">
            <w:pPr>
              <w:pStyle w:val="26"/>
              <w:bidi w:val="0"/>
              <w:rPr>
                <w:rFonts w:hint="default"/>
                <w:lang w:val="en-US" w:eastAsia="zh-CN"/>
              </w:rPr>
            </w:pPr>
            <w:r>
              <w:rPr>
                <w:rFonts w:hint="eastAsia"/>
                <w:lang w:val="en-US" w:eastAsia="zh-CN"/>
              </w:rPr>
              <w:t>采样日期</w:t>
            </w:r>
          </w:p>
        </w:tc>
        <w:tc>
          <w:tcPr>
            <w:tcW w:w="682" w:type="pct"/>
            <w:vMerge w:val="restart"/>
            <w:shd w:val="clear" w:color="auto" w:fill="auto"/>
            <w:vAlign w:val="center"/>
          </w:tcPr>
          <w:p w14:paraId="47E6C9A4">
            <w:pPr>
              <w:pStyle w:val="26"/>
              <w:bidi w:val="0"/>
              <w:rPr>
                <w:rFonts w:hint="default"/>
                <w:lang w:val="en-US" w:eastAsia="zh-CN"/>
              </w:rPr>
            </w:pPr>
            <w:r>
              <w:rPr>
                <w:rFonts w:hint="eastAsia"/>
                <w:lang w:val="en-US" w:eastAsia="zh-CN"/>
              </w:rPr>
              <w:t>采样时段</w:t>
            </w:r>
          </w:p>
        </w:tc>
        <w:tc>
          <w:tcPr>
            <w:tcW w:w="1747" w:type="pct"/>
            <w:gridSpan w:val="4"/>
            <w:shd w:val="clear" w:color="auto" w:fill="auto"/>
            <w:vAlign w:val="top"/>
          </w:tcPr>
          <w:p w14:paraId="51F40594">
            <w:pPr>
              <w:pStyle w:val="26"/>
              <w:bidi w:val="0"/>
              <w:rPr>
                <w:rFonts w:hint="default"/>
                <w:lang w:val="en-US" w:eastAsia="zh-CN"/>
              </w:rPr>
            </w:pPr>
            <w:r>
              <w:rPr>
                <w:rFonts w:hint="eastAsia"/>
                <w:lang w:val="en-US" w:eastAsia="zh-CN"/>
              </w:rPr>
              <w:t>检测结果</w:t>
            </w:r>
          </w:p>
        </w:tc>
        <w:tc>
          <w:tcPr>
            <w:tcW w:w="391" w:type="pct"/>
            <w:vMerge w:val="restart"/>
            <w:shd w:val="clear" w:color="auto" w:fill="auto"/>
            <w:vAlign w:val="center"/>
          </w:tcPr>
          <w:p w14:paraId="3289F1CA">
            <w:pPr>
              <w:pStyle w:val="26"/>
              <w:bidi w:val="0"/>
              <w:rPr>
                <w:rFonts w:hint="default"/>
                <w:lang w:val="en-US" w:eastAsia="zh-CN"/>
              </w:rPr>
            </w:pPr>
            <w:r>
              <w:rPr>
                <w:rFonts w:hint="eastAsia"/>
                <w:lang w:val="en-US" w:eastAsia="zh-CN"/>
              </w:rPr>
              <w:t>标准限值</w:t>
            </w:r>
          </w:p>
        </w:tc>
        <w:tc>
          <w:tcPr>
            <w:tcW w:w="505" w:type="pct"/>
            <w:vMerge w:val="restart"/>
            <w:shd w:val="clear" w:color="auto" w:fill="auto"/>
            <w:vAlign w:val="center"/>
          </w:tcPr>
          <w:p w14:paraId="1DFCFF72">
            <w:pPr>
              <w:pStyle w:val="26"/>
              <w:bidi w:val="0"/>
              <w:rPr>
                <w:rFonts w:hint="default"/>
                <w:lang w:val="en-US" w:eastAsia="zh-CN"/>
              </w:rPr>
            </w:pPr>
            <w:r>
              <w:rPr>
                <w:lang w:val="en-US" w:eastAsia="zh-CN"/>
              </w:rPr>
              <w:t>达标情况</w:t>
            </w:r>
          </w:p>
        </w:tc>
      </w:tr>
      <w:tr w14:paraId="20D0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445" w:type="pct"/>
            <w:vMerge w:val="continue"/>
            <w:shd w:val="clear" w:color="auto" w:fill="auto"/>
            <w:vAlign w:val="center"/>
          </w:tcPr>
          <w:p w14:paraId="5149E85D">
            <w:pPr>
              <w:pStyle w:val="26"/>
              <w:bidi w:val="0"/>
              <w:rPr/>
            </w:pPr>
          </w:p>
        </w:tc>
        <w:tc>
          <w:tcPr>
            <w:tcW w:w="469" w:type="pct"/>
            <w:vMerge w:val="continue"/>
            <w:shd w:val="clear" w:color="auto" w:fill="auto"/>
            <w:vAlign w:val="center"/>
          </w:tcPr>
          <w:p w14:paraId="4A05945E">
            <w:pPr>
              <w:pStyle w:val="26"/>
              <w:bidi w:val="0"/>
              <w:rPr/>
            </w:pPr>
          </w:p>
        </w:tc>
        <w:tc>
          <w:tcPr>
            <w:tcW w:w="759" w:type="pct"/>
            <w:vMerge w:val="continue"/>
            <w:shd w:val="clear" w:color="auto" w:fill="auto"/>
            <w:vAlign w:val="center"/>
          </w:tcPr>
          <w:p w14:paraId="4B96D0E4">
            <w:pPr>
              <w:pStyle w:val="26"/>
              <w:bidi w:val="0"/>
              <w:rPr/>
            </w:pPr>
          </w:p>
        </w:tc>
        <w:tc>
          <w:tcPr>
            <w:tcW w:w="682" w:type="pct"/>
            <w:vMerge w:val="continue"/>
            <w:shd w:val="clear" w:color="auto" w:fill="auto"/>
            <w:vAlign w:val="top"/>
          </w:tcPr>
          <w:p w14:paraId="42417858">
            <w:pPr>
              <w:pStyle w:val="26"/>
              <w:bidi w:val="0"/>
              <w:rPr/>
            </w:pPr>
          </w:p>
        </w:tc>
        <w:tc>
          <w:tcPr>
            <w:tcW w:w="466" w:type="pct"/>
            <w:shd w:val="clear" w:color="auto" w:fill="auto"/>
            <w:vAlign w:val="top"/>
          </w:tcPr>
          <w:p w14:paraId="25532D1B">
            <w:pPr>
              <w:pStyle w:val="26"/>
              <w:bidi w:val="0"/>
              <w:rPr>
                <w:rFonts w:hint="eastAsia"/>
                <w:lang w:val="en-US" w:eastAsia="zh-CN"/>
              </w:rPr>
            </w:pPr>
            <w:r>
              <w:rPr>
                <w:rFonts w:hint="eastAsia"/>
                <w:lang w:val="en-US" w:eastAsia="zh-CN"/>
              </w:rPr>
              <w:t>第1次</w:t>
            </w:r>
          </w:p>
        </w:tc>
        <w:tc>
          <w:tcPr>
            <w:tcW w:w="406" w:type="pct"/>
            <w:shd w:val="clear" w:color="auto" w:fill="auto"/>
            <w:vAlign w:val="top"/>
          </w:tcPr>
          <w:p w14:paraId="538DF0F0">
            <w:pPr>
              <w:pStyle w:val="26"/>
              <w:bidi w:val="0"/>
              <w:rPr>
                <w:rFonts w:hint="default"/>
                <w:lang w:val="en-US" w:eastAsia="zh-CN"/>
              </w:rPr>
            </w:pPr>
            <w:r>
              <w:rPr>
                <w:rFonts w:hint="eastAsia"/>
                <w:lang w:val="en-US" w:eastAsia="zh-CN"/>
              </w:rPr>
              <w:t>第2次</w:t>
            </w:r>
          </w:p>
        </w:tc>
        <w:tc>
          <w:tcPr>
            <w:tcW w:w="436" w:type="pct"/>
            <w:shd w:val="clear" w:color="auto" w:fill="auto"/>
            <w:vAlign w:val="top"/>
          </w:tcPr>
          <w:p w14:paraId="44F9EFB6">
            <w:pPr>
              <w:pStyle w:val="26"/>
              <w:bidi w:val="0"/>
              <w:rPr/>
            </w:pPr>
            <w:r>
              <w:rPr>
                <w:rFonts w:hint="eastAsia"/>
                <w:lang w:val="en-US" w:eastAsia="zh-CN"/>
              </w:rPr>
              <w:t>第3次</w:t>
            </w:r>
          </w:p>
        </w:tc>
        <w:tc>
          <w:tcPr>
            <w:tcW w:w="437" w:type="pct"/>
            <w:shd w:val="clear" w:color="auto" w:fill="auto"/>
            <w:vAlign w:val="top"/>
          </w:tcPr>
          <w:p w14:paraId="383C1E91">
            <w:pPr>
              <w:pStyle w:val="26"/>
              <w:bidi w:val="0"/>
              <w:rPr>
                <w:rFonts w:hint="default"/>
                <w:lang w:val="en-US" w:eastAsia="zh-CN"/>
              </w:rPr>
            </w:pPr>
            <w:r>
              <w:rPr>
                <w:rFonts w:hint="eastAsia"/>
                <w:lang w:val="en-US" w:eastAsia="zh-CN"/>
              </w:rPr>
              <w:t>小时平均值</w:t>
            </w:r>
          </w:p>
        </w:tc>
        <w:tc>
          <w:tcPr>
            <w:tcW w:w="391" w:type="pct"/>
            <w:vMerge w:val="continue"/>
            <w:vAlign w:val="center"/>
          </w:tcPr>
          <w:p w14:paraId="114A8BDB">
            <w:pPr>
              <w:pStyle w:val="26"/>
              <w:bidi w:val="0"/>
              <w:rPr/>
            </w:pPr>
          </w:p>
        </w:tc>
        <w:tc>
          <w:tcPr>
            <w:tcW w:w="505" w:type="pct"/>
            <w:vMerge w:val="continue"/>
            <w:vAlign w:val="center"/>
          </w:tcPr>
          <w:p w14:paraId="2A14C3FF">
            <w:pPr>
              <w:pStyle w:val="26"/>
              <w:bidi w:val="0"/>
              <w:rPr/>
            </w:pPr>
          </w:p>
        </w:tc>
      </w:tr>
      <w:tr w14:paraId="4A1C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restart"/>
            <w:shd w:val="clear" w:color="auto" w:fill="auto"/>
            <w:vAlign w:val="center"/>
          </w:tcPr>
          <w:p w14:paraId="69683BA2">
            <w:pPr>
              <w:pStyle w:val="26"/>
              <w:bidi w:val="0"/>
              <w:rPr/>
            </w:pPr>
            <w:r>
              <w:rPr>
                <w:lang w:val="en-US" w:eastAsia="zh-CN"/>
              </w:rPr>
              <w:t>项目所在地G1</w:t>
            </w:r>
          </w:p>
        </w:tc>
        <w:tc>
          <w:tcPr>
            <w:tcW w:w="469" w:type="pct"/>
            <w:vMerge w:val="restart"/>
            <w:shd w:val="clear" w:color="auto" w:fill="auto"/>
            <w:vAlign w:val="center"/>
          </w:tcPr>
          <w:p w14:paraId="1ED219C2">
            <w:pPr>
              <w:pStyle w:val="26"/>
              <w:bidi w:val="0"/>
              <w:rPr>
                <w:lang w:val="en-US" w:eastAsia="zh-CN"/>
              </w:rPr>
            </w:pPr>
            <w:r>
              <w:rPr>
                <w:rFonts w:hint="eastAsia"/>
                <w:lang w:val="en-US" w:eastAsia="zh-CN"/>
              </w:rPr>
              <w:t>非甲烷总烃</w:t>
            </w:r>
            <w:r>
              <w:rPr>
                <w:lang w:val="en-US" w:eastAsia="zh-CN"/>
              </w:rPr>
              <w:t>（mg/m3）</w:t>
            </w:r>
          </w:p>
        </w:tc>
        <w:tc>
          <w:tcPr>
            <w:tcW w:w="759" w:type="pct"/>
            <w:vMerge w:val="restart"/>
            <w:shd w:val="clear" w:color="auto" w:fill="auto"/>
            <w:vAlign w:val="top"/>
          </w:tcPr>
          <w:p w14:paraId="5F47C9F0">
            <w:pPr>
              <w:pStyle w:val="26"/>
              <w:bidi w:val="0"/>
              <w:rPr>
                <w:rFonts w:hint="default"/>
                <w:lang w:val="en-US" w:eastAsia="zh-CN"/>
              </w:rPr>
            </w:pPr>
            <w:r>
              <w:rPr>
                <w:rFonts w:hint="eastAsia"/>
                <w:lang w:val="en-US" w:eastAsia="zh-CN"/>
              </w:rPr>
              <w:t>2023- 11-27</w:t>
            </w:r>
          </w:p>
        </w:tc>
        <w:tc>
          <w:tcPr>
            <w:tcW w:w="682" w:type="pct"/>
            <w:shd w:val="clear" w:color="auto" w:fill="auto"/>
            <w:vAlign w:val="top"/>
          </w:tcPr>
          <w:p w14:paraId="1446D151">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0C0D7F96">
            <w:pPr>
              <w:pStyle w:val="26"/>
              <w:bidi w:val="0"/>
              <w:rPr>
                <w:rFonts w:hint="eastAsia"/>
                <w:lang w:val="en-US" w:eastAsia="zh-CN"/>
              </w:rPr>
            </w:pPr>
            <w:r>
              <w:rPr>
                <w:rFonts w:hint="eastAsia"/>
                <w:lang w:val="en-US" w:eastAsia="zh-CN"/>
              </w:rPr>
              <w:t>0.74</w:t>
            </w:r>
          </w:p>
        </w:tc>
        <w:tc>
          <w:tcPr>
            <w:tcW w:w="406" w:type="pct"/>
            <w:shd w:val="clear" w:color="auto" w:fill="auto"/>
            <w:vAlign w:val="top"/>
          </w:tcPr>
          <w:p w14:paraId="2FA40FF7">
            <w:pPr>
              <w:pStyle w:val="26"/>
              <w:bidi w:val="0"/>
              <w:rPr>
                <w:rFonts w:hint="eastAsia"/>
                <w:lang w:val="en-US" w:eastAsia="zh-CN"/>
              </w:rPr>
            </w:pPr>
            <w:r>
              <w:rPr>
                <w:rFonts w:hint="eastAsia"/>
                <w:lang w:val="en-US" w:eastAsia="zh-CN"/>
              </w:rPr>
              <w:t>0.70</w:t>
            </w:r>
          </w:p>
        </w:tc>
        <w:tc>
          <w:tcPr>
            <w:tcW w:w="436" w:type="pct"/>
            <w:shd w:val="clear" w:color="auto" w:fill="auto"/>
            <w:vAlign w:val="top"/>
          </w:tcPr>
          <w:p w14:paraId="777E3F77">
            <w:pPr>
              <w:pStyle w:val="26"/>
              <w:bidi w:val="0"/>
              <w:rPr>
                <w:rFonts w:hint="eastAsia"/>
                <w:lang w:val="en-US" w:eastAsia="zh-CN"/>
              </w:rPr>
            </w:pPr>
            <w:r>
              <w:rPr>
                <w:rFonts w:hint="eastAsia"/>
                <w:lang w:val="en-US" w:eastAsia="zh-CN"/>
              </w:rPr>
              <w:t>0.79</w:t>
            </w:r>
          </w:p>
        </w:tc>
        <w:tc>
          <w:tcPr>
            <w:tcW w:w="437" w:type="pct"/>
            <w:shd w:val="clear" w:color="auto" w:fill="auto"/>
            <w:vAlign w:val="top"/>
          </w:tcPr>
          <w:p w14:paraId="379912DD">
            <w:pPr>
              <w:pStyle w:val="26"/>
              <w:bidi w:val="0"/>
              <w:rPr>
                <w:rFonts w:hint="eastAsia"/>
                <w:lang w:val="en-US" w:eastAsia="zh-CN"/>
              </w:rPr>
            </w:pPr>
            <w:r>
              <w:rPr>
                <w:rFonts w:hint="eastAsia"/>
                <w:lang w:val="en-US" w:eastAsia="zh-CN"/>
              </w:rPr>
              <w:t>0.74</w:t>
            </w:r>
          </w:p>
        </w:tc>
        <w:tc>
          <w:tcPr>
            <w:tcW w:w="391" w:type="pct"/>
            <w:vMerge w:val="restart"/>
            <w:vAlign w:val="center"/>
          </w:tcPr>
          <w:p w14:paraId="6522B076">
            <w:pPr>
              <w:pStyle w:val="26"/>
              <w:bidi w:val="0"/>
              <w:rPr>
                <w:rFonts w:hint="eastAsia"/>
                <w:lang w:val="en-US" w:eastAsia="zh-CN"/>
              </w:rPr>
            </w:pPr>
            <w:r>
              <w:rPr>
                <w:lang w:val="en-US" w:eastAsia="zh-CN"/>
              </w:rPr>
              <w:t>0.2mg/m</w:t>
            </w:r>
            <w:r>
              <w:rPr>
                <w:rFonts w:hint="eastAsia"/>
                <w:lang w:val="en-US" w:eastAsia="zh-CN"/>
              </w:rPr>
              <w:t>3</w:t>
            </w:r>
            <w:r>
              <w:rPr>
                <w:lang w:val="en-US" w:eastAsia="zh-CN"/>
              </w:rPr>
              <w:t xml:space="preserve"> </w:t>
            </w:r>
          </w:p>
        </w:tc>
        <w:tc>
          <w:tcPr>
            <w:tcW w:w="505" w:type="pct"/>
            <w:vAlign w:val="center"/>
          </w:tcPr>
          <w:p w14:paraId="03D00DAE">
            <w:pPr>
              <w:pStyle w:val="26"/>
              <w:bidi w:val="0"/>
              <w:rPr/>
            </w:pPr>
            <w:r>
              <w:rPr>
                <w:rFonts w:hint="eastAsia"/>
                <w:lang w:val="en-US" w:eastAsia="zh-CN"/>
              </w:rPr>
              <w:t>达标</w:t>
            </w:r>
          </w:p>
        </w:tc>
      </w:tr>
      <w:tr w14:paraId="269E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0CB9247D">
            <w:pPr>
              <w:pStyle w:val="26"/>
              <w:bidi w:val="0"/>
              <w:rPr/>
            </w:pPr>
          </w:p>
        </w:tc>
        <w:tc>
          <w:tcPr>
            <w:tcW w:w="469" w:type="pct"/>
            <w:vMerge w:val="continue"/>
            <w:shd w:val="clear" w:color="auto" w:fill="auto"/>
            <w:vAlign w:val="center"/>
          </w:tcPr>
          <w:p w14:paraId="14C636B8">
            <w:pPr>
              <w:pStyle w:val="26"/>
              <w:bidi w:val="0"/>
              <w:rPr/>
            </w:pPr>
          </w:p>
        </w:tc>
        <w:tc>
          <w:tcPr>
            <w:tcW w:w="759" w:type="pct"/>
            <w:vMerge w:val="continue"/>
            <w:shd w:val="clear" w:color="auto" w:fill="auto"/>
            <w:vAlign w:val="top"/>
          </w:tcPr>
          <w:p w14:paraId="5F0B4193">
            <w:pPr>
              <w:pStyle w:val="26"/>
              <w:bidi w:val="0"/>
              <w:rPr>
                <w:rFonts w:hint="eastAsia"/>
                <w:lang w:val="en-US" w:eastAsia="zh-CN"/>
              </w:rPr>
            </w:pPr>
          </w:p>
        </w:tc>
        <w:tc>
          <w:tcPr>
            <w:tcW w:w="682" w:type="pct"/>
            <w:shd w:val="clear" w:color="auto" w:fill="auto"/>
            <w:vAlign w:val="top"/>
          </w:tcPr>
          <w:p w14:paraId="4CC4C1F9">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37D4A42B">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51079691">
            <w:pPr>
              <w:pStyle w:val="26"/>
              <w:bidi w:val="0"/>
              <w:rPr>
                <w:rFonts w:hint="eastAsia"/>
                <w:lang w:val="en-US" w:eastAsia="zh-CN"/>
              </w:rPr>
            </w:pPr>
            <w:r>
              <w:rPr>
                <w:rFonts w:hint="eastAsia"/>
                <w:lang w:val="en-US" w:eastAsia="zh-CN"/>
              </w:rPr>
              <w:t>0.72</w:t>
            </w:r>
          </w:p>
        </w:tc>
        <w:tc>
          <w:tcPr>
            <w:tcW w:w="436" w:type="pct"/>
            <w:shd w:val="clear" w:color="auto" w:fill="auto"/>
            <w:vAlign w:val="top"/>
          </w:tcPr>
          <w:p w14:paraId="1F3058AE">
            <w:pPr>
              <w:pStyle w:val="26"/>
              <w:bidi w:val="0"/>
              <w:rPr>
                <w:rFonts w:hint="eastAsia"/>
                <w:lang w:val="en-US" w:eastAsia="zh-CN"/>
              </w:rPr>
            </w:pPr>
            <w:r>
              <w:rPr>
                <w:rFonts w:hint="eastAsia"/>
                <w:lang w:val="en-US" w:eastAsia="zh-CN"/>
              </w:rPr>
              <w:t>0.73</w:t>
            </w:r>
          </w:p>
        </w:tc>
        <w:tc>
          <w:tcPr>
            <w:tcW w:w="437" w:type="pct"/>
            <w:shd w:val="clear" w:color="auto" w:fill="auto"/>
            <w:vAlign w:val="top"/>
          </w:tcPr>
          <w:p w14:paraId="64A3DA4C">
            <w:pPr>
              <w:pStyle w:val="26"/>
              <w:bidi w:val="0"/>
              <w:rPr>
                <w:rFonts w:hint="eastAsia"/>
                <w:lang w:val="en-US" w:eastAsia="zh-CN"/>
              </w:rPr>
            </w:pPr>
            <w:r>
              <w:rPr>
                <w:rFonts w:hint="eastAsia"/>
                <w:lang w:val="en-US" w:eastAsia="zh-CN"/>
              </w:rPr>
              <w:t>0.75</w:t>
            </w:r>
          </w:p>
        </w:tc>
        <w:tc>
          <w:tcPr>
            <w:tcW w:w="391" w:type="pct"/>
            <w:vMerge w:val="continue"/>
            <w:vAlign w:val="center"/>
          </w:tcPr>
          <w:p w14:paraId="6B4770C7">
            <w:pPr>
              <w:pStyle w:val="26"/>
              <w:bidi w:val="0"/>
              <w:rPr>
                <w:rFonts w:hint="eastAsia"/>
                <w:lang w:val="en-US" w:eastAsia="zh-CN"/>
              </w:rPr>
            </w:pPr>
          </w:p>
        </w:tc>
        <w:tc>
          <w:tcPr>
            <w:tcW w:w="505" w:type="pct"/>
            <w:shd w:val="clear" w:color="auto" w:fill="auto"/>
            <w:vAlign w:val="center"/>
          </w:tcPr>
          <w:p w14:paraId="608362C1">
            <w:pPr>
              <w:pStyle w:val="26"/>
              <w:bidi w:val="0"/>
              <w:rPr>
                <w:lang w:val="en-US" w:eastAsia="zh-CN"/>
              </w:rPr>
            </w:pPr>
            <w:r>
              <w:rPr>
                <w:rFonts w:hint="eastAsia"/>
                <w:lang w:val="en-US" w:eastAsia="zh-CN"/>
              </w:rPr>
              <w:t>达标</w:t>
            </w:r>
          </w:p>
        </w:tc>
      </w:tr>
      <w:tr w14:paraId="7B4D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1686E0A7">
            <w:pPr>
              <w:pStyle w:val="26"/>
              <w:bidi w:val="0"/>
              <w:rPr/>
            </w:pPr>
          </w:p>
        </w:tc>
        <w:tc>
          <w:tcPr>
            <w:tcW w:w="469" w:type="pct"/>
            <w:vMerge w:val="continue"/>
            <w:shd w:val="clear" w:color="auto" w:fill="auto"/>
            <w:vAlign w:val="center"/>
          </w:tcPr>
          <w:p w14:paraId="33E658B0">
            <w:pPr>
              <w:pStyle w:val="26"/>
              <w:bidi w:val="0"/>
              <w:rPr/>
            </w:pPr>
          </w:p>
        </w:tc>
        <w:tc>
          <w:tcPr>
            <w:tcW w:w="759" w:type="pct"/>
            <w:vMerge w:val="continue"/>
            <w:shd w:val="clear" w:color="auto" w:fill="auto"/>
            <w:vAlign w:val="top"/>
          </w:tcPr>
          <w:p w14:paraId="7D9FF8A2">
            <w:pPr>
              <w:pStyle w:val="26"/>
              <w:bidi w:val="0"/>
              <w:rPr>
                <w:rFonts w:hint="eastAsia"/>
                <w:lang w:val="en-US" w:eastAsia="zh-CN"/>
              </w:rPr>
            </w:pPr>
          </w:p>
        </w:tc>
        <w:tc>
          <w:tcPr>
            <w:tcW w:w="682" w:type="pct"/>
            <w:shd w:val="clear" w:color="auto" w:fill="auto"/>
            <w:vAlign w:val="top"/>
          </w:tcPr>
          <w:p w14:paraId="72BE485B">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2933987D">
            <w:pPr>
              <w:pStyle w:val="26"/>
              <w:bidi w:val="0"/>
              <w:rPr>
                <w:rFonts w:hint="eastAsia"/>
                <w:lang w:val="en-US" w:eastAsia="zh-CN"/>
              </w:rPr>
            </w:pPr>
            <w:r>
              <w:rPr>
                <w:rFonts w:hint="eastAsia"/>
                <w:lang w:val="en-US" w:eastAsia="zh-CN"/>
              </w:rPr>
              <w:t>0.70</w:t>
            </w:r>
          </w:p>
        </w:tc>
        <w:tc>
          <w:tcPr>
            <w:tcW w:w="406" w:type="pct"/>
            <w:shd w:val="clear" w:color="auto" w:fill="auto"/>
            <w:vAlign w:val="top"/>
          </w:tcPr>
          <w:p w14:paraId="79F83B89">
            <w:pPr>
              <w:pStyle w:val="26"/>
              <w:bidi w:val="0"/>
              <w:rPr>
                <w:rFonts w:hint="eastAsia"/>
                <w:lang w:val="en-US" w:eastAsia="zh-CN"/>
              </w:rPr>
            </w:pPr>
            <w:r>
              <w:rPr>
                <w:rFonts w:hint="eastAsia"/>
                <w:lang w:val="en-US" w:eastAsia="zh-CN"/>
              </w:rPr>
              <w:t>0.73</w:t>
            </w:r>
          </w:p>
        </w:tc>
        <w:tc>
          <w:tcPr>
            <w:tcW w:w="436" w:type="pct"/>
            <w:shd w:val="clear" w:color="auto" w:fill="auto"/>
            <w:vAlign w:val="top"/>
          </w:tcPr>
          <w:p w14:paraId="2DBDBE47">
            <w:pPr>
              <w:pStyle w:val="26"/>
              <w:bidi w:val="0"/>
              <w:rPr>
                <w:rFonts w:hint="eastAsia"/>
                <w:lang w:val="en-US" w:eastAsia="zh-CN"/>
              </w:rPr>
            </w:pPr>
            <w:r>
              <w:rPr>
                <w:rFonts w:hint="eastAsia"/>
                <w:lang w:val="en-US" w:eastAsia="zh-CN"/>
              </w:rPr>
              <w:t>0.74</w:t>
            </w:r>
          </w:p>
        </w:tc>
        <w:tc>
          <w:tcPr>
            <w:tcW w:w="437" w:type="pct"/>
            <w:shd w:val="clear" w:color="auto" w:fill="auto"/>
            <w:vAlign w:val="top"/>
          </w:tcPr>
          <w:p w14:paraId="677359CD">
            <w:pPr>
              <w:pStyle w:val="26"/>
              <w:bidi w:val="0"/>
              <w:rPr>
                <w:rFonts w:hint="eastAsia"/>
                <w:lang w:val="en-US" w:eastAsia="zh-CN"/>
              </w:rPr>
            </w:pPr>
            <w:r>
              <w:rPr>
                <w:rFonts w:hint="eastAsia"/>
                <w:lang w:val="en-US" w:eastAsia="zh-CN"/>
              </w:rPr>
              <w:t>0.72</w:t>
            </w:r>
          </w:p>
        </w:tc>
        <w:tc>
          <w:tcPr>
            <w:tcW w:w="391" w:type="pct"/>
            <w:vMerge w:val="continue"/>
            <w:vAlign w:val="center"/>
          </w:tcPr>
          <w:p w14:paraId="417147C5">
            <w:pPr>
              <w:pStyle w:val="26"/>
              <w:bidi w:val="0"/>
              <w:rPr>
                <w:rFonts w:hint="eastAsia"/>
                <w:lang w:val="en-US" w:eastAsia="zh-CN"/>
              </w:rPr>
            </w:pPr>
          </w:p>
        </w:tc>
        <w:tc>
          <w:tcPr>
            <w:tcW w:w="505" w:type="pct"/>
            <w:shd w:val="clear" w:color="auto" w:fill="auto"/>
            <w:vAlign w:val="center"/>
          </w:tcPr>
          <w:p w14:paraId="0FCC6056">
            <w:pPr>
              <w:pStyle w:val="26"/>
              <w:bidi w:val="0"/>
              <w:rPr>
                <w:lang w:val="en-US" w:eastAsia="zh-CN"/>
              </w:rPr>
            </w:pPr>
            <w:r>
              <w:rPr>
                <w:rFonts w:hint="eastAsia"/>
                <w:lang w:val="en-US" w:eastAsia="zh-CN"/>
              </w:rPr>
              <w:t>达标</w:t>
            </w:r>
          </w:p>
        </w:tc>
      </w:tr>
      <w:tr w14:paraId="52C6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3831B74E">
            <w:pPr>
              <w:pStyle w:val="26"/>
              <w:bidi w:val="0"/>
              <w:rPr/>
            </w:pPr>
          </w:p>
        </w:tc>
        <w:tc>
          <w:tcPr>
            <w:tcW w:w="469" w:type="pct"/>
            <w:vMerge w:val="continue"/>
            <w:shd w:val="clear" w:color="auto" w:fill="auto"/>
            <w:vAlign w:val="center"/>
          </w:tcPr>
          <w:p w14:paraId="1D3B3D21">
            <w:pPr>
              <w:pStyle w:val="26"/>
              <w:bidi w:val="0"/>
              <w:rPr/>
            </w:pPr>
          </w:p>
        </w:tc>
        <w:tc>
          <w:tcPr>
            <w:tcW w:w="759" w:type="pct"/>
            <w:vMerge w:val="continue"/>
            <w:shd w:val="clear" w:color="auto" w:fill="auto"/>
            <w:vAlign w:val="top"/>
          </w:tcPr>
          <w:p w14:paraId="5A600155">
            <w:pPr>
              <w:pStyle w:val="26"/>
              <w:bidi w:val="0"/>
              <w:rPr>
                <w:rFonts w:hint="eastAsia"/>
                <w:lang w:val="en-US" w:eastAsia="zh-CN"/>
              </w:rPr>
            </w:pPr>
          </w:p>
        </w:tc>
        <w:tc>
          <w:tcPr>
            <w:tcW w:w="682" w:type="pct"/>
            <w:shd w:val="clear" w:color="auto" w:fill="auto"/>
            <w:vAlign w:val="top"/>
          </w:tcPr>
          <w:p w14:paraId="71B49228">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579A87D7">
            <w:pPr>
              <w:pStyle w:val="26"/>
              <w:bidi w:val="0"/>
              <w:rPr>
                <w:rFonts w:hint="eastAsia"/>
                <w:lang w:val="en-US" w:eastAsia="zh-CN"/>
              </w:rPr>
            </w:pPr>
            <w:r>
              <w:rPr>
                <w:rFonts w:hint="eastAsia"/>
                <w:lang w:val="en-US" w:eastAsia="zh-CN"/>
              </w:rPr>
              <w:t>0.80</w:t>
            </w:r>
          </w:p>
        </w:tc>
        <w:tc>
          <w:tcPr>
            <w:tcW w:w="406" w:type="pct"/>
            <w:shd w:val="clear" w:color="auto" w:fill="auto"/>
            <w:vAlign w:val="top"/>
          </w:tcPr>
          <w:p w14:paraId="05BD089E">
            <w:pPr>
              <w:pStyle w:val="26"/>
              <w:bidi w:val="0"/>
              <w:rPr>
                <w:rFonts w:hint="eastAsia"/>
                <w:lang w:val="en-US" w:eastAsia="zh-CN"/>
              </w:rPr>
            </w:pPr>
            <w:r>
              <w:rPr>
                <w:rFonts w:hint="eastAsia"/>
                <w:lang w:val="en-US" w:eastAsia="zh-CN"/>
              </w:rPr>
              <w:t>0.82</w:t>
            </w:r>
          </w:p>
        </w:tc>
        <w:tc>
          <w:tcPr>
            <w:tcW w:w="436" w:type="pct"/>
            <w:shd w:val="clear" w:color="auto" w:fill="auto"/>
            <w:vAlign w:val="top"/>
          </w:tcPr>
          <w:p w14:paraId="704C296E">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28A4C68A">
            <w:pPr>
              <w:pStyle w:val="26"/>
              <w:bidi w:val="0"/>
              <w:rPr>
                <w:rFonts w:hint="eastAsia"/>
                <w:lang w:val="en-US" w:eastAsia="zh-CN"/>
              </w:rPr>
            </w:pPr>
            <w:r>
              <w:rPr>
                <w:rFonts w:hint="eastAsia"/>
                <w:lang w:val="en-US" w:eastAsia="zh-CN"/>
              </w:rPr>
              <w:t>0.79</w:t>
            </w:r>
          </w:p>
        </w:tc>
        <w:tc>
          <w:tcPr>
            <w:tcW w:w="391" w:type="pct"/>
            <w:vMerge w:val="continue"/>
            <w:vAlign w:val="center"/>
          </w:tcPr>
          <w:p w14:paraId="79F4DD24">
            <w:pPr>
              <w:pStyle w:val="26"/>
              <w:bidi w:val="0"/>
              <w:rPr>
                <w:rFonts w:hint="eastAsia"/>
                <w:lang w:val="en-US" w:eastAsia="zh-CN"/>
              </w:rPr>
            </w:pPr>
          </w:p>
        </w:tc>
        <w:tc>
          <w:tcPr>
            <w:tcW w:w="505" w:type="pct"/>
            <w:shd w:val="clear" w:color="auto" w:fill="auto"/>
            <w:vAlign w:val="center"/>
          </w:tcPr>
          <w:p w14:paraId="1B0C7C30">
            <w:pPr>
              <w:pStyle w:val="26"/>
              <w:bidi w:val="0"/>
              <w:rPr>
                <w:lang w:val="en-US" w:eastAsia="zh-CN"/>
              </w:rPr>
            </w:pPr>
            <w:r>
              <w:rPr>
                <w:rFonts w:hint="eastAsia"/>
                <w:lang w:val="en-US" w:eastAsia="zh-CN"/>
              </w:rPr>
              <w:t>达标</w:t>
            </w:r>
          </w:p>
        </w:tc>
      </w:tr>
      <w:tr w14:paraId="1B33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1DC30D20">
            <w:pPr>
              <w:pStyle w:val="26"/>
              <w:bidi w:val="0"/>
              <w:rPr/>
            </w:pPr>
          </w:p>
        </w:tc>
        <w:tc>
          <w:tcPr>
            <w:tcW w:w="469" w:type="pct"/>
            <w:vMerge w:val="continue"/>
            <w:shd w:val="clear" w:color="auto" w:fill="auto"/>
            <w:vAlign w:val="center"/>
          </w:tcPr>
          <w:p w14:paraId="5A0B17D7">
            <w:pPr>
              <w:pStyle w:val="26"/>
              <w:bidi w:val="0"/>
              <w:rPr/>
            </w:pPr>
          </w:p>
        </w:tc>
        <w:tc>
          <w:tcPr>
            <w:tcW w:w="759" w:type="pct"/>
            <w:vMerge w:val="restart"/>
            <w:shd w:val="clear" w:color="auto" w:fill="auto"/>
            <w:vAlign w:val="top"/>
          </w:tcPr>
          <w:p w14:paraId="57EDCE14">
            <w:pPr>
              <w:pStyle w:val="26"/>
              <w:bidi w:val="0"/>
              <w:rPr>
                <w:rFonts w:hint="default"/>
                <w:lang w:val="en-US" w:eastAsia="zh-CN"/>
              </w:rPr>
            </w:pPr>
            <w:r>
              <w:rPr>
                <w:rFonts w:hint="eastAsia"/>
                <w:lang w:val="en-US" w:eastAsia="zh-CN"/>
              </w:rPr>
              <w:t>2023- 11-28</w:t>
            </w:r>
          </w:p>
        </w:tc>
        <w:tc>
          <w:tcPr>
            <w:tcW w:w="682" w:type="pct"/>
            <w:shd w:val="clear" w:color="auto" w:fill="auto"/>
            <w:vAlign w:val="top"/>
          </w:tcPr>
          <w:p w14:paraId="01AE8041">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1C6570F5">
            <w:pPr>
              <w:pStyle w:val="26"/>
              <w:bidi w:val="0"/>
              <w:rPr>
                <w:rFonts w:hint="eastAsia"/>
                <w:lang w:val="en-US" w:eastAsia="zh-CN"/>
              </w:rPr>
            </w:pPr>
            <w:r>
              <w:rPr>
                <w:rFonts w:hint="eastAsia"/>
                <w:lang w:val="en-US" w:eastAsia="zh-CN"/>
              </w:rPr>
              <w:t>0.84</w:t>
            </w:r>
          </w:p>
        </w:tc>
        <w:tc>
          <w:tcPr>
            <w:tcW w:w="406" w:type="pct"/>
            <w:shd w:val="clear" w:color="auto" w:fill="auto"/>
            <w:vAlign w:val="top"/>
          </w:tcPr>
          <w:p w14:paraId="1D528646">
            <w:pPr>
              <w:pStyle w:val="26"/>
              <w:bidi w:val="0"/>
              <w:rPr>
                <w:rFonts w:hint="eastAsia"/>
                <w:lang w:val="en-US" w:eastAsia="zh-CN"/>
              </w:rPr>
            </w:pPr>
            <w:r>
              <w:rPr>
                <w:rFonts w:hint="eastAsia"/>
                <w:lang w:val="en-US" w:eastAsia="zh-CN"/>
              </w:rPr>
              <w:t>0.75</w:t>
            </w:r>
          </w:p>
        </w:tc>
        <w:tc>
          <w:tcPr>
            <w:tcW w:w="436" w:type="pct"/>
            <w:shd w:val="clear" w:color="auto" w:fill="auto"/>
            <w:vAlign w:val="top"/>
          </w:tcPr>
          <w:p w14:paraId="3EA53A48">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4CB2899F">
            <w:pPr>
              <w:pStyle w:val="26"/>
              <w:bidi w:val="0"/>
              <w:rPr>
                <w:rFonts w:hint="eastAsia"/>
                <w:lang w:val="en-US" w:eastAsia="zh-CN"/>
              </w:rPr>
            </w:pPr>
            <w:r>
              <w:rPr>
                <w:rFonts w:hint="eastAsia"/>
                <w:lang w:val="en-US" w:eastAsia="zh-CN"/>
              </w:rPr>
              <w:t>0.79</w:t>
            </w:r>
          </w:p>
        </w:tc>
        <w:tc>
          <w:tcPr>
            <w:tcW w:w="391" w:type="pct"/>
            <w:vMerge w:val="continue"/>
            <w:vAlign w:val="center"/>
          </w:tcPr>
          <w:p w14:paraId="7DEAB8EC">
            <w:pPr>
              <w:pStyle w:val="26"/>
              <w:bidi w:val="0"/>
              <w:rPr>
                <w:rFonts w:hint="eastAsia"/>
                <w:lang w:val="en-US" w:eastAsia="zh-CN"/>
              </w:rPr>
            </w:pPr>
          </w:p>
        </w:tc>
        <w:tc>
          <w:tcPr>
            <w:tcW w:w="505" w:type="pct"/>
            <w:vAlign w:val="center"/>
          </w:tcPr>
          <w:p w14:paraId="1722A821">
            <w:pPr>
              <w:pStyle w:val="26"/>
              <w:bidi w:val="0"/>
              <w:rPr/>
            </w:pPr>
            <w:r>
              <w:rPr>
                <w:rFonts w:hint="eastAsia"/>
                <w:lang w:val="en-US" w:eastAsia="zh-CN"/>
              </w:rPr>
              <w:t>达标</w:t>
            </w:r>
          </w:p>
        </w:tc>
      </w:tr>
      <w:tr w14:paraId="412D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3897F706">
            <w:pPr>
              <w:pStyle w:val="26"/>
              <w:bidi w:val="0"/>
              <w:rPr/>
            </w:pPr>
          </w:p>
        </w:tc>
        <w:tc>
          <w:tcPr>
            <w:tcW w:w="469" w:type="pct"/>
            <w:vMerge w:val="continue"/>
            <w:shd w:val="clear" w:color="auto" w:fill="auto"/>
            <w:vAlign w:val="center"/>
          </w:tcPr>
          <w:p w14:paraId="15E8F140">
            <w:pPr>
              <w:pStyle w:val="26"/>
              <w:bidi w:val="0"/>
              <w:rPr/>
            </w:pPr>
          </w:p>
        </w:tc>
        <w:tc>
          <w:tcPr>
            <w:tcW w:w="759" w:type="pct"/>
            <w:vMerge w:val="continue"/>
            <w:shd w:val="clear" w:color="auto" w:fill="auto"/>
            <w:vAlign w:val="top"/>
          </w:tcPr>
          <w:p w14:paraId="536EB130">
            <w:pPr>
              <w:pStyle w:val="26"/>
              <w:bidi w:val="0"/>
              <w:rPr>
                <w:rFonts w:hint="eastAsia"/>
                <w:lang w:val="en-US" w:eastAsia="zh-CN"/>
              </w:rPr>
            </w:pPr>
          </w:p>
        </w:tc>
        <w:tc>
          <w:tcPr>
            <w:tcW w:w="682" w:type="pct"/>
            <w:shd w:val="clear" w:color="auto" w:fill="auto"/>
            <w:vAlign w:val="top"/>
          </w:tcPr>
          <w:p w14:paraId="699A9648">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714B228C">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103FF057">
            <w:pPr>
              <w:pStyle w:val="26"/>
              <w:bidi w:val="0"/>
              <w:rPr>
                <w:rFonts w:hint="eastAsia"/>
                <w:lang w:val="en-US" w:eastAsia="zh-CN"/>
              </w:rPr>
            </w:pPr>
            <w:r>
              <w:rPr>
                <w:rFonts w:hint="eastAsia"/>
                <w:lang w:val="en-US" w:eastAsia="zh-CN"/>
              </w:rPr>
              <w:t>0.83</w:t>
            </w:r>
          </w:p>
        </w:tc>
        <w:tc>
          <w:tcPr>
            <w:tcW w:w="436" w:type="pct"/>
            <w:shd w:val="clear" w:color="auto" w:fill="auto"/>
            <w:vAlign w:val="top"/>
          </w:tcPr>
          <w:p w14:paraId="17932CD9">
            <w:pPr>
              <w:pStyle w:val="26"/>
              <w:bidi w:val="0"/>
              <w:rPr>
                <w:rFonts w:hint="eastAsia"/>
                <w:lang w:val="en-US" w:eastAsia="zh-CN"/>
              </w:rPr>
            </w:pPr>
            <w:r>
              <w:rPr>
                <w:rFonts w:hint="eastAsia"/>
                <w:lang w:val="en-US" w:eastAsia="zh-CN"/>
              </w:rPr>
              <w:t>0.81</w:t>
            </w:r>
          </w:p>
        </w:tc>
        <w:tc>
          <w:tcPr>
            <w:tcW w:w="437" w:type="pct"/>
            <w:shd w:val="clear" w:color="auto" w:fill="auto"/>
            <w:vAlign w:val="top"/>
          </w:tcPr>
          <w:p w14:paraId="6E8C16AC">
            <w:pPr>
              <w:pStyle w:val="26"/>
              <w:bidi w:val="0"/>
              <w:rPr>
                <w:rFonts w:hint="eastAsia"/>
                <w:lang w:val="en-US" w:eastAsia="zh-CN"/>
              </w:rPr>
            </w:pPr>
            <w:r>
              <w:rPr>
                <w:rFonts w:hint="eastAsia"/>
                <w:lang w:val="en-US" w:eastAsia="zh-CN"/>
              </w:rPr>
              <w:t>0.81</w:t>
            </w:r>
          </w:p>
        </w:tc>
        <w:tc>
          <w:tcPr>
            <w:tcW w:w="391" w:type="pct"/>
            <w:vMerge w:val="continue"/>
            <w:vAlign w:val="center"/>
          </w:tcPr>
          <w:p w14:paraId="0E92DBED">
            <w:pPr>
              <w:pStyle w:val="26"/>
              <w:bidi w:val="0"/>
              <w:rPr>
                <w:rFonts w:hint="eastAsia"/>
                <w:lang w:val="en-US" w:eastAsia="zh-CN"/>
              </w:rPr>
            </w:pPr>
          </w:p>
        </w:tc>
        <w:tc>
          <w:tcPr>
            <w:tcW w:w="505" w:type="pct"/>
            <w:shd w:val="clear" w:color="auto" w:fill="auto"/>
            <w:vAlign w:val="center"/>
          </w:tcPr>
          <w:p w14:paraId="656AF088">
            <w:pPr>
              <w:pStyle w:val="26"/>
              <w:bidi w:val="0"/>
              <w:rPr>
                <w:lang w:val="en-US" w:eastAsia="zh-CN"/>
              </w:rPr>
            </w:pPr>
            <w:r>
              <w:rPr>
                <w:rFonts w:hint="eastAsia"/>
                <w:lang w:val="en-US" w:eastAsia="zh-CN"/>
              </w:rPr>
              <w:t>达标</w:t>
            </w:r>
          </w:p>
        </w:tc>
      </w:tr>
      <w:tr w14:paraId="663A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69AD4561">
            <w:pPr>
              <w:pStyle w:val="26"/>
              <w:bidi w:val="0"/>
              <w:rPr/>
            </w:pPr>
          </w:p>
        </w:tc>
        <w:tc>
          <w:tcPr>
            <w:tcW w:w="469" w:type="pct"/>
            <w:vMerge w:val="continue"/>
            <w:shd w:val="clear" w:color="auto" w:fill="auto"/>
            <w:vAlign w:val="center"/>
          </w:tcPr>
          <w:p w14:paraId="31CD7744">
            <w:pPr>
              <w:pStyle w:val="26"/>
              <w:bidi w:val="0"/>
              <w:rPr/>
            </w:pPr>
          </w:p>
        </w:tc>
        <w:tc>
          <w:tcPr>
            <w:tcW w:w="759" w:type="pct"/>
            <w:vMerge w:val="continue"/>
            <w:shd w:val="clear" w:color="auto" w:fill="auto"/>
            <w:vAlign w:val="top"/>
          </w:tcPr>
          <w:p w14:paraId="53149B99">
            <w:pPr>
              <w:pStyle w:val="26"/>
              <w:bidi w:val="0"/>
              <w:rPr>
                <w:rFonts w:hint="eastAsia"/>
                <w:lang w:val="en-US" w:eastAsia="zh-CN"/>
              </w:rPr>
            </w:pPr>
          </w:p>
        </w:tc>
        <w:tc>
          <w:tcPr>
            <w:tcW w:w="682" w:type="pct"/>
            <w:shd w:val="clear" w:color="auto" w:fill="auto"/>
            <w:vAlign w:val="top"/>
          </w:tcPr>
          <w:p w14:paraId="682D2E51">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38E642AA">
            <w:pPr>
              <w:pStyle w:val="26"/>
              <w:bidi w:val="0"/>
              <w:rPr>
                <w:rFonts w:hint="eastAsia"/>
                <w:lang w:val="en-US" w:eastAsia="zh-CN"/>
              </w:rPr>
            </w:pPr>
            <w:r>
              <w:rPr>
                <w:rFonts w:hint="eastAsia"/>
                <w:lang w:val="en-US" w:eastAsia="zh-CN"/>
              </w:rPr>
              <w:t>0.89</w:t>
            </w:r>
          </w:p>
        </w:tc>
        <w:tc>
          <w:tcPr>
            <w:tcW w:w="406" w:type="pct"/>
            <w:shd w:val="clear" w:color="auto" w:fill="auto"/>
            <w:vAlign w:val="top"/>
          </w:tcPr>
          <w:p w14:paraId="370066C4">
            <w:pPr>
              <w:pStyle w:val="26"/>
              <w:bidi w:val="0"/>
              <w:rPr>
                <w:rFonts w:hint="eastAsia"/>
                <w:lang w:val="en-US" w:eastAsia="zh-CN"/>
              </w:rPr>
            </w:pPr>
            <w:r>
              <w:rPr>
                <w:rFonts w:hint="eastAsia"/>
                <w:lang w:val="en-US" w:eastAsia="zh-CN"/>
              </w:rPr>
              <w:t>0.78</w:t>
            </w:r>
          </w:p>
        </w:tc>
        <w:tc>
          <w:tcPr>
            <w:tcW w:w="436" w:type="pct"/>
            <w:shd w:val="clear" w:color="auto" w:fill="auto"/>
            <w:vAlign w:val="top"/>
          </w:tcPr>
          <w:p w14:paraId="0145FD00">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0344AC0C">
            <w:pPr>
              <w:pStyle w:val="26"/>
              <w:bidi w:val="0"/>
              <w:rPr>
                <w:rFonts w:hint="eastAsia"/>
                <w:lang w:val="en-US" w:eastAsia="zh-CN"/>
              </w:rPr>
            </w:pPr>
            <w:r>
              <w:rPr>
                <w:rFonts w:hint="eastAsia"/>
                <w:lang w:val="en-US" w:eastAsia="zh-CN"/>
              </w:rPr>
              <w:t>0.81</w:t>
            </w:r>
          </w:p>
        </w:tc>
        <w:tc>
          <w:tcPr>
            <w:tcW w:w="391" w:type="pct"/>
            <w:vMerge w:val="continue"/>
            <w:vAlign w:val="center"/>
          </w:tcPr>
          <w:p w14:paraId="7436FBBC">
            <w:pPr>
              <w:pStyle w:val="26"/>
              <w:bidi w:val="0"/>
              <w:rPr>
                <w:rFonts w:hint="eastAsia"/>
                <w:lang w:val="en-US" w:eastAsia="zh-CN"/>
              </w:rPr>
            </w:pPr>
          </w:p>
        </w:tc>
        <w:tc>
          <w:tcPr>
            <w:tcW w:w="505" w:type="pct"/>
            <w:shd w:val="clear" w:color="auto" w:fill="auto"/>
            <w:vAlign w:val="center"/>
          </w:tcPr>
          <w:p w14:paraId="5258BB30">
            <w:pPr>
              <w:pStyle w:val="26"/>
              <w:bidi w:val="0"/>
              <w:rPr>
                <w:lang w:val="en-US" w:eastAsia="zh-CN"/>
              </w:rPr>
            </w:pPr>
            <w:r>
              <w:rPr>
                <w:rFonts w:hint="eastAsia"/>
                <w:lang w:val="en-US" w:eastAsia="zh-CN"/>
              </w:rPr>
              <w:t>达标</w:t>
            </w:r>
          </w:p>
        </w:tc>
      </w:tr>
      <w:tr w14:paraId="78C4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22DFCE94">
            <w:pPr>
              <w:pStyle w:val="26"/>
              <w:bidi w:val="0"/>
              <w:rPr/>
            </w:pPr>
          </w:p>
        </w:tc>
        <w:tc>
          <w:tcPr>
            <w:tcW w:w="469" w:type="pct"/>
            <w:vMerge w:val="continue"/>
            <w:shd w:val="clear" w:color="auto" w:fill="auto"/>
            <w:vAlign w:val="center"/>
          </w:tcPr>
          <w:p w14:paraId="2CF69212">
            <w:pPr>
              <w:pStyle w:val="26"/>
              <w:bidi w:val="0"/>
              <w:rPr/>
            </w:pPr>
          </w:p>
        </w:tc>
        <w:tc>
          <w:tcPr>
            <w:tcW w:w="759" w:type="pct"/>
            <w:vMerge w:val="continue"/>
            <w:shd w:val="clear" w:color="auto" w:fill="auto"/>
            <w:vAlign w:val="top"/>
          </w:tcPr>
          <w:p w14:paraId="2D133953">
            <w:pPr>
              <w:pStyle w:val="26"/>
              <w:bidi w:val="0"/>
              <w:rPr>
                <w:rFonts w:hint="eastAsia"/>
                <w:lang w:val="en-US" w:eastAsia="zh-CN"/>
              </w:rPr>
            </w:pPr>
          </w:p>
        </w:tc>
        <w:tc>
          <w:tcPr>
            <w:tcW w:w="682" w:type="pct"/>
            <w:shd w:val="clear" w:color="auto" w:fill="auto"/>
            <w:vAlign w:val="top"/>
          </w:tcPr>
          <w:p w14:paraId="5834F650">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1C471334">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53B340AA">
            <w:pPr>
              <w:pStyle w:val="26"/>
              <w:bidi w:val="0"/>
              <w:rPr>
                <w:rFonts w:hint="eastAsia"/>
                <w:lang w:val="en-US" w:eastAsia="zh-CN"/>
              </w:rPr>
            </w:pPr>
            <w:r>
              <w:rPr>
                <w:rFonts w:hint="eastAsia"/>
                <w:lang w:val="en-US" w:eastAsia="zh-CN"/>
              </w:rPr>
              <w:t>0.81</w:t>
            </w:r>
          </w:p>
        </w:tc>
        <w:tc>
          <w:tcPr>
            <w:tcW w:w="436" w:type="pct"/>
            <w:shd w:val="clear" w:color="auto" w:fill="auto"/>
            <w:vAlign w:val="top"/>
          </w:tcPr>
          <w:p w14:paraId="30CCFBF4">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0F98A7D5">
            <w:pPr>
              <w:pStyle w:val="26"/>
              <w:bidi w:val="0"/>
              <w:rPr>
                <w:rFonts w:hint="eastAsia"/>
                <w:lang w:val="en-US" w:eastAsia="zh-CN"/>
              </w:rPr>
            </w:pPr>
            <w:r>
              <w:rPr>
                <w:rFonts w:hint="eastAsia"/>
                <w:lang w:val="en-US" w:eastAsia="zh-CN"/>
              </w:rPr>
              <w:t>0.79</w:t>
            </w:r>
          </w:p>
        </w:tc>
        <w:tc>
          <w:tcPr>
            <w:tcW w:w="391" w:type="pct"/>
            <w:vMerge w:val="continue"/>
            <w:vAlign w:val="center"/>
          </w:tcPr>
          <w:p w14:paraId="1D0D4114">
            <w:pPr>
              <w:pStyle w:val="26"/>
              <w:bidi w:val="0"/>
              <w:rPr>
                <w:rFonts w:hint="eastAsia"/>
                <w:lang w:val="en-US" w:eastAsia="zh-CN"/>
              </w:rPr>
            </w:pPr>
          </w:p>
        </w:tc>
        <w:tc>
          <w:tcPr>
            <w:tcW w:w="505" w:type="pct"/>
            <w:shd w:val="clear" w:color="auto" w:fill="auto"/>
            <w:vAlign w:val="center"/>
          </w:tcPr>
          <w:p w14:paraId="1ECFF3FE">
            <w:pPr>
              <w:pStyle w:val="26"/>
              <w:bidi w:val="0"/>
              <w:rPr>
                <w:lang w:val="en-US" w:eastAsia="zh-CN"/>
              </w:rPr>
            </w:pPr>
            <w:r>
              <w:rPr>
                <w:rFonts w:hint="eastAsia"/>
                <w:lang w:val="en-US" w:eastAsia="zh-CN"/>
              </w:rPr>
              <w:t>达标</w:t>
            </w:r>
          </w:p>
        </w:tc>
      </w:tr>
      <w:tr w14:paraId="610F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6BA4A152">
            <w:pPr>
              <w:pStyle w:val="26"/>
              <w:bidi w:val="0"/>
              <w:rPr/>
            </w:pPr>
          </w:p>
        </w:tc>
        <w:tc>
          <w:tcPr>
            <w:tcW w:w="469" w:type="pct"/>
            <w:vMerge w:val="continue"/>
            <w:shd w:val="clear" w:color="auto" w:fill="auto"/>
            <w:vAlign w:val="center"/>
          </w:tcPr>
          <w:p w14:paraId="59858E88">
            <w:pPr>
              <w:pStyle w:val="26"/>
              <w:bidi w:val="0"/>
              <w:rPr/>
            </w:pPr>
          </w:p>
        </w:tc>
        <w:tc>
          <w:tcPr>
            <w:tcW w:w="759" w:type="pct"/>
            <w:vMerge w:val="restart"/>
            <w:shd w:val="clear" w:color="auto" w:fill="auto"/>
            <w:vAlign w:val="top"/>
          </w:tcPr>
          <w:p w14:paraId="6A4C85FE">
            <w:pPr>
              <w:pStyle w:val="26"/>
              <w:bidi w:val="0"/>
              <w:rPr>
                <w:rFonts w:hint="default"/>
                <w:lang w:val="en-US" w:eastAsia="zh-CN"/>
              </w:rPr>
            </w:pPr>
            <w:r>
              <w:rPr>
                <w:rFonts w:hint="eastAsia"/>
                <w:lang w:val="en-US" w:eastAsia="zh-CN"/>
              </w:rPr>
              <w:t>2023- 11-29</w:t>
            </w:r>
          </w:p>
        </w:tc>
        <w:tc>
          <w:tcPr>
            <w:tcW w:w="682" w:type="pct"/>
            <w:shd w:val="clear" w:color="auto" w:fill="auto"/>
            <w:vAlign w:val="top"/>
          </w:tcPr>
          <w:p w14:paraId="49855EE1">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2BB130C3">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6A55A027">
            <w:pPr>
              <w:pStyle w:val="26"/>
              <w:bidi w:val="0"/>
              <w:rPr>
                <w:rFonts w:hint="eastAsia"/>
                <w:lang w:val="en-US" w:eastAsia="zh-CN"/>
              </w:rPr>
            </w:pPr>
            <w:r>
              <w:rPr>
                <w:rFonts w:hint="eastAsia"/>
                <w:lang w:val="en-US" w:eastAsia="zh-CN"/>
              </w:rPr>
              <w:t>0.78</w:t>
            </w:r>
          </w:p>
        </w:tc>
        <w:tc>
          <w:tcPr>
            <w:tcW w:w="436" w:type="pct"/>
            <w:shd w:val="clear" w:color="auto" w:fill="auto"/>
            <w:vAlign w:val="top"/>
          </w:tcPr>
          <w:p w14:paraId="3E87C47A">
            <w:pPr>
              <w:pStyle w:val="26"/>
              <w:bidi w:val="0"/>
              <w:rPr>
                <w:rFonts w:hint="eastAsia"/>
                <w:lang w:val="en-US" w:eastAsia="zh-CN"/>
              </w:rPr>
            </w:pPr>
            <w:r>
              <w:rPr>
                <w:rFonts w:hint="eastAsia"/>
                <w:lang w:val="en-US" w:eastAsia="zh-CN"/>
              </w:rPr>
              <w:t>0.83</w:t>
            </w:r>
          </w:p>
        </w:tc>
        <w:tc>
          <w:tcPr>
            <w:tcW w:w="437" w:type="pct"/>
            <w:shd w:val="clear" w:color="auto" w:fill="auto"/>
            <w:vAlign w:val="top"/>
          </w:tcPr>
          <w:p w14:paraId="58763E50">
            <w:pPr>
              <w:pStyle w:val="26"/>
              <w:bidi w:val="0"/>
              <w:rPr>
                <w:rFonts w:hint="eastAsia"/>
                <w:lang w:val="en-US" w:eastAsia="zh-CN"/>
              </w:rPr>
            </w:pPr>
            <w:r>
              <w:rPr>
                <w:rFonts w:hint="eastAsia"/>
                <w:lang w:val="en-US" w:eastAsia="zh-CN"/>
              </w:rPr>
              <w:t>0.79</w:t>
            </w:r>
          </w:p>
        </w:tc>
        <w:tc>
          <w:tcPr>
            <w:tcW w:w="391" w:type="pct"/>
            <w:vMerge w:val="continue"/>
            <w:vAlign w:val="center"/>
          </w:tcPr>
          <w:p w14:paraId="48830CE8">
            <w:pPr>
              <w:pStyle w:val="26"/>
              <w:bidi w:val="0"/>
              <w:rPr>
                <w:rFonts w:hint="eastAsia"/>
                <w:lang w:val="en-US" w:eastAsia="zh-CN"/>
              </w:rPr>
            </w:pPr>
          </w:p>
        </w:tc>
        <w:tc>
          <w:tcPr>
            <w:tcW w:w="505" w:type="pct"/>
            <w:shd w:val="clear" w:color="auto" w:fill="auto"/>
            <w:vAlign w:val="center"/>
          </w:tcPr>
          <w:p w14:paraId="18825413">
            <w:pPr>
              <w:pStyle w:val="26"/>
              <w:bidi w:val="0"/>
              <w:rPr>
                <w:lang w:val="en-US" w:eastAsia="zh-CN"/>
              </w:rPr>
            </w:pPr>
            <w:r>
              <w:rPr>
                <w:rFonts w:hint="eastAsia"/>
                <w:lang w:val="en-US" w:eastAsia="zh-CN"/>
              </w:rPr>
              <w:t>达标</w:t>
            </w:r>
          </w:p>
        </w:tc>
      </w:tr>
      <w:tr w14:paraId="34EC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397DC74A">
            <w:pPr>
              <w:pStyle w:val="26"/>
              <w:bidi w:val="0"/>
              <w:rPr/>
            </w:pPr>
          </w:p>
        </w:tc>
        <w:tc>
          <w:tcPr>
            <w:tcW w:w="469" w:type="pct"/>
            <w:vMerge w:val="continue"/>
            <w:shd w:val="clear" w:color="auto" w:fill="auto"/>
            <w:vAlign w:val="center"/>
          </w:tcPr>
          <w:p w14:paraId="5A83426A">
            <w:pPr>
              <w:pStyle w:val="26"/>
              <w:bidi w:val="0"/>
              <w:rPr/>
            </w:pPr>
          </w:p>
        </w:tc>
        <w:tc>
          <w:tcPr>
            <w:tcW w:w="759" w:type="pct"/>
            <w:vMerge w:val="continue"/>
            <w:shd w:val="clear" w:color="auto" w:fill="auto"/>
            <w:vAlign w:val="top"/>
          </w:tcPr>
          <w:p w14:paraId="2C699380">
            <w:pPr>
              <w:pStyle w:val="26"/>
              <w:bidi w:val="0"/>
              <w:rPr>
                <w:rFonts w:hint="eastAsia"/>
                <w:lang w:val="en-US" w:eastAsia="zh-CN"/>
              </w:rPr>
            </w:pPr>
          </w:p>
        </w:tc>
        <w:tc>
          <w:tcPr>
            <w:tcW w:w="682" w:type="pct"/>
            <w:shd w:val="clear" w:color="auto" w:fill="auto"/>
            <w:vAlign w:val="top"/>
          </w:tcPr>
          <w:p w14:paraId="03479A98">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3B113E77">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4160D889">
            <w:pPr>
              <w:pStyle w:val="26"/>
              <w:bidi w:val="0"/>
              <w:rPr>
                <w:rFonts w:hint="eastAsia"/>
                <w:lang w:val="en-US" w:eastAsia="zh-CN"/>
              </w:rPr>
            </w:pPr>
            <w:r>
              <w:rPr>
                <w:rFonts w:hint="eastAsia"/>
                <w:lang w:val="en-US" w:eastAsia="zh-CN"/>
              </w:rPr>
              <w:t>0.88</w:t>
            </w:r>
          </w:p>
        </w:tc>
        <w:tc>
          <w:tcPr>
            <w:tcW w:w="436" w:type="pct"/>
            <w:shd w:val="clear" w:color="auto" w:fill="auto"/>
            <w:vAlign w:val="top"/>
          </w:tcPr>
          <w:p w14:paraId="03E7C25C">
            <w:pPr>
              <w:pStyle w:val="26"/>
              <w:bidi w:val="0"/>
              <w:rPr>
                <w:rFonts w:hint="eastAsia"/>
                <w:lang w:val="en-US" w:eastAsia="zh-CN"/>
              </w:rPr>
            </w:pPr>
            <w:r>
              <w:rPr>
                <w:rFonts w:hint="eastAsia"/>
                <w:lang w:val="en-US" w:eastAsia="zh-CN"/>
              </w:rPr>
              <w:t>0.79</w:t>
            </w:r>
          </w:p>
        </w:tc>
        <w:tc>
          <w:tcPr>
            <w:tcW w:w="437" w:type="pct"/>
            <w:shd w:val="clear" w:color="auto" w:fill="auto"/>
            <w:vAlign w:val="top"/>
          </w:tcPr>
          <w:p w14:paraId="32CED8FF">
            <w:pPr>
              <w:pStyle w:val="26"/>
              <w:bidi w:val="0"/>
              <w:rPr>
                <w:rFonts w:hint="eastAsia"/>
                <w:lang w:val="en-US" w:eastAsia="zh-CN"/>
              </w:rPr>
            </w:pPr>
            <w:r>
              <w:rPr>
                <w:rFonts w:hint="eastAsia"/>
                <w:lang w:val="en-US" w:eastAsia="zh-CN"/>
              </w:rPr>
              <w:t>0.83</w:t>
            </w:r>
          </w:p>
        </w:tc>
        <w:tc>
          <w:tcPr>
            <w:tcW w:w="391" w:type="pct"/>
            <w:vMerge w:val="continue"/>
            <w:vAlign w:val="center"/>
          </w:tcPr>
          <w:p w14:paraId="043C2DF3">
            <w:pPr>
              <w:pStyle w:val="26"/>
              <w:bidi w:val="0"/>
              <w:rPr>
                <w:rFonts w:hint="eastAsia"/>
                <w:lang w:val="en-US" w:eastAsia="zh-CN"/>
              </w:rPr>
            </w:pPr>
          </w:p>
        </w:tc>
        <w:tc>
          <w:tcPr>
            <w:tcW w:w="505" w:type="pct"/>
            <w:shd w:val="clear" w:color="auto" w:fill="auto"/>
            <w:vAlign w:val="center"/>
          </w:tcPr>
          <w:p w14:paraId="28A319D1">
            <w:pPr>
              <w:pStyle w:val="26"/>
              <w:bidi w:val="0"/>
              <w:rPr>
                <w:lang w:val="en-US" w:eastAsia="zh-CN"/>
              </w:rPr>
            </w:pPr>
            <w:r>
              <w:rPr>
                <w:rFonts w:hint="eastAsia"/>
                <w:lang w:val="en-US" w:eastAsia="zh-CN"/>
              </w:rPr>
              <w:t>达标</w:t>
            </w:r>
          </w:p>
        </w:tc>
      </w:tr>
      <w:tr w14:paraId="17C7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77D49759">
            <w:pPr>
              <w:pStyle w:val="26"/>
              <w:bidi w:val="0"/>
              <w:rPr/>
            </w:pPr>
          </w:p>
        </w:tc>
        <w:tc>
          <w:tcPr>
            <w:tcW w:w="469" w:type="pct"/>
            <w:vMerge w:val="continue"/>
            <w:shd w:val="clear" w:color="auto" w:fill="auto"/>
            <w:vAlign w:val="center"/>
          </w:tcPr>
          <w:p w14:paraId="232607AB">
            <w:pPr>
              <w:pStyle w:val="26"/>
              <w:bidi w:val="0"/>
              <w:rPr/>
            </w:pPr>
          </w:p>
        </w:tc>
        <w:tc>
          <w:tcPr>
            <w:tcW w:w="759" w:type="pct"/>
            <w:vMerge w:val="continue"/>
            <w:shd w:val="clear" w:color="auto" w:fill="auto"/>
            <w:vAlign w:val="top"/>
          </w:tcPr>
          <w:p w14:paraId="10CB0BCF">
            <w:pPr>
              <w:pStyle w:val="26"/>
              <w:bidi w:val="0"/>
              <w:rPr>
                <w:rFonts w:hint="eastAsia"/>
                <w:lang w:val="en-US" w:eastAsia="zh-CN"/>
              </w:rPr>
            </w:pPr>
          </w:p>
        </w:tc>
        <w:tc>
          <w:tcPr>
            <w:tcW w:w="682" w:type="pct"/>
            <w:shd w:val="clear" w:color="auto" w:fill="auto"/>
            <w:vAlign w:val="top"/>
          </w:tcPr>
          <w:p w14:paraId="5142287C">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41F35825">
            <w:pPr>
              <w:pStyle w:val="26"/>
              <w:bidi w:val="0"/>
              <w:rPr>
                <w:rFonts w:hint="eastAsia"/>
                <w:lang w:val="en-US" w:eastAsia="zh-CN"/>
              </w:rPr>
            </w:pPr>
            <w:r>
              <w:rPr>
                <w:rFonts w:hint="eastAsia"/>
                <w:lang w:val="en-US" w:eastAsia="zh-CN"/>
              </w:rPr>
              <w:t>0.78</w:t>
            </w:r>
          </w:p>
        </w:tc>
        <w:tc>
          <w:tcPr>
            <w:tcW w:w="406" w:type="pct"/>
            <w:shd w:val="clear" w:color="auto" w:fill="auto"/>
            <w:vAlign w:val="top"/>
          </w:tcPr>
          <w:p w14:paraId="245AAA83">
            <w:pPr>
              <w:pStyle w:val="26"/>
              <w:bidi w:val="0"/>
              <w:rPr>
                <w:rFonts w:hint="eastAsia"/>
                <w:lang w:val="en-US" w:eastAsia="zh-CN"/>
              </w:rPr>
            </w:pPr>
            <w:r>
              <w:rPr>
                <w:rFonts w:hint="eastAsia"/>
                <w:lang w:val="en-US" w:eastAsia="zh-CN"/>
              </w:rPr>
              <w:t>0.80</w:t>
            </w:r>
          </w:p>
        </w:tc>
        <w:tc>
          <w:tcPr>
            <w:tcW w:w="436" w:type="pct"/>
            <w:shd w:val="clear" w:color="auto" w:fill="auto"/>
            <w:vAlign w:val="top"/>
          </w:tcPr>
          <w:p w14:paraId="377078AC">
            <w:pPr>
              <w:pStyle w:val="26"/>
              <w:bidi w:val="0"/>
              <w:rPr>
                <w:rFonts w:hint="eastAsia"/>
                <w:lang w:val="en-US" w:eastAsia="zh-CN"/>
              </w:rPr>
            </w:pPr>
            <w:r>
              <w:rPr>
                <w:rFonts w:hint="eastAsia"/>
                <w:lang w:val="en-US" w:eastAsia="zh-CN"/>
              </w:rPr>
              <w:t>0.73</w:t>
            </w:r>
          </w:p>
        </w:tc>
        <w:tc>
          <w:tcPr>
            <w:tcW w:w="437" w:type="pct"/>
            <w:shd w:val="clear" w:color="auto" w:fill="auto"/>
            <w:vAlign w:val="top"/>
          </w:tcPr>
          <w:p w14:paraId="622314CD">
            <w:pPr>
              <w:pStyle w:val="26"/>
              <w:bidi w:val="0"/>
              <w:rPr>
                <w:rFonts w:hint="eastAsia"/>
                <w:lang w:val="en-US" w:eastAsia="zh-CN"/>
              </w:rPr>
            </w:pPr>
            <w:r>
              <w:rPr>
                <w:rFonts w:hint="eastAsia"/>
                <w:lang w:val="en-US" w:eastAsia="zh-CN"/>
              </w:rPr>
              <w:t>0.77</w:t>
            </w:r>
          </w:p>
        </w:tc>
        <w:tc>
          <w:tcPr>
            <w:tcW w:w="391" w:type="pct"/>
            <w:vMerge w:val="continue"/>
            <w:vAlign w:val="center"/>
          </w:tcPr>
          <w:p w14:paraId="209A11BB">
            <w:pPr>
              <w:pStyle w:val="26"/>
              <w:bidi w:val="0"/>
              <w:rPr>
                <w:rFonts w:hint="eastAsia"/>
                <w:lang w:val="en-US" w:eastAsia="zh-CN"/>
              </w:rPr>
            </w:pPr>
          </w:p>
        </w:tc>
        <w:tc>
          <w:tcPr>
            <w:tcW w:w="505" w:type="pct"/>
            <w:shd w:val="clear" w:color="auto" w:fill="auto"/>
            <w:vAlign w:val="center"/>
          </w:tcPr>
          <w:p w14:paraId="6AD681FB">
            <w:pPr>
              <w:pStyle w:val="26"/>
              <w:bidi w:val="0"/>
              <w:rPr>
                <w:lang w:val="en-US" w:eastAsia="zh-CN"/>
              </w:rPr>
            </w:pPr>
            <w:r>
              <w:rPr>
                <w:rFonts w:hint="eastAsia"/>
                <w:lang w:val="en-US" w:eastAsia="zh-CN"/>
              </w:rPr>
              <w:t>达标</w:t>
            </w:r>
          </w:p>
        </w:tc>
      </w:tr>
      <w:tr w14:paraId="112D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75286909">
            <w:pPr>
              <w:pStyle w:val="26"/>
              <w:bidi w:val="0"/>
              <w:rPr/>
            </w:pPr>
          </w:p>
        </w:tc>
        <w:tc>
          <w:tcPr>
            <w:tcW w:w="469" w:type="pct"/>
            <w:vMerge w:val="continue"/>
            <w:shd w:val="clear" w:color="auto" w:fill="auto"/>
            <w:vAlign w:val="center"/>
          </w:tcPr>
          <w:p w14:paraId="54B3C671">
            <w:pPr>
              <w:pStyle w:val="26"/>
              <w:bidi w:val="0"/>
              <w:rPr/>
            </w:pPr>
          </w:p>
        </w:tc>
        <w:tc>
          <w:tcPr>
            <w:tcW w:w="759" w:type="pct"/>
            <w:vMerge w:val="continue"/>
            <w:shd w:val="clear" w:color="auto" w:fill="auto"/>
            <w:vAlign w:val="top"/>
          </w:tcPr>
          <w:p w14:paraId="0BB44205">
            <w:pPr>
              <w:pStyle w:val="26"/>
              <w:bidi w:val="0"/>
              <w:rPr>
                <w:rFonts w:hint="eastAsia"/>
                <w:lang w:val="en-US" w:eastAsia="zh-CN"/>
              </w:rPr>
            </w:pPr>
          </w:p>
        </w:tc>
        <w:tc>
          <w:tcPr>
            <w:tcW w:w="682" w:type="pct"/>
            <w:shd w:val="clear" w:color="auto" w:fill="auto"/>
            <w:vAlign w:val="top"/>
          </w:tcPr>
          <w:p w14:paraId="4DAECB5C">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6F529B4F">
            <w:pPr>
              <w:pStyle w:val="26"/>
              <w:bidi w:val="0"/>
              <w:rPr>
                <w:rFonts w:hint="eastAsia"/>
                <w:lang w:val="en-US" w:eastAsia="zh-CN"/>
              </w:rPr>
            </w:pPr>
            <w:r>
              <w:rPr>
                <w:rFonts w:hint="eastAsia"/>
                <w:lang w:val="en-US" w:eastAsia="zh-CN"/>
              </w:rPr>
              <w:t>0.72</w:t>
            </w:r>
          </w:p>
        </w:tc>
        <w:tc>
          <w:tcPr>
            <w:tcW w:w="406" w:type="pct"/>
            <w:shd w:val="clear" w:color="auto" w:fill="auto"/>
            <w:vAlign w:val="top"/>
          </w:tcPr>
          <w:p w14:paraId="008B59AE">
            <w:pPr>
              <w:pStyle w:val="26"/>
              <w:bidi w:val="0"/>
              <w:rPr>
                <w:rFonts w:hint="eastAsia"/>
                <w:lang w:val="en-US" w:eastAsia="zh-CN"/>
              </w:rPr>
            </w:pPr>
            <w:r>
              <w:rPr>
                <w:rFonts w:hint="eastAsia"/>
                <w:lang w:val="en-US" w:eastAsia="zh-CN"/>
              </w:rPr>
              <w:t>0.84</w:t>
            </w:r>
          </w:p>
        </w:tc>
        <w:tc>
          <w:tcPr>
            <w:tcW w:w="436" w:type="pct"/>
            <w:shd w:val="clear" w:color="auto" w:fill="auto"/>
            <w:vAlign w:val="top"/>
          </w:tcPr>
          <w:p w14:paraId="78BE1E95">
            <w:pPr>
              <w:pStyle w:val="26"/>
              <w:bidi w:val="0"/>
              <w:rPr>
                <w:rFonts w:hint="eastAsia"/>
                <w:lang w:val="en-US" w:eastAsia="zh-CN"/>
              </w:rPr>
            </w:pPr>
            <w:r>
              <w:rPr>
                <w:rFonts w:hint="eastAsia"/>
                <w:lang w:val="en-US" w:eastAsia="zh-CN"/>
              </w:rPr>
              <w:t>0.75</w:t>
            </w:r>
          </w:p>
        </w:tc>
        <w:tc>
          <w:tcPr>
            <w:tcW w:w="437" w:type="pct"/>
            <w:shd w:val="clear" w:color="auto" w:fill="auto"/>
            <w:vAlign w:val="top"/>
          </w:tcPr>
          <w:p w14:paraId="1522F82E">
            <w:pPr>
              <w:pStyle w:val="26"/>
              <w:bidi w:val="0"/>
              <w:rPr>
                <w:rFonts w:hint="eastAsia"/>
                <w:lang w:val="en-US" w:eastAsia="zh-CN"/>
              </w:rPr>
            </w:pPr>
            <w:r>
              <w:rPr>
                <w:rFonts w:hint="eastAsia"/>
                <w:lang w:val="en-US" w:eastAsia="zh-CN"/>
              </w:rPr>
              <w:t>0.77</w:t>
            </w:r>
          </w:p>
        </w:tc>
        <w:tc>
          <w:tcPr>
            <w:tcW w:w="391" w:type="pct"/>
            <w:vMerge w:val="continue"/>
            <w:vAlign w:val="center"/>
          </w:tcPr>
          <w:p w14:paraId="33BD36A9">
            <w:pPr>
              <w:pStyle w:val="26"/>
              <w:bidi w:val="0"/>
              <w:rPr>
                <w:rFonts w:hint="eastAsia"/>
                <w:lang w:val="en-US" w:eastAsia="zh-CN"/>
              </w:rPr>
            </w:pPr>
          </w:p>
        </w:tc>
        <w:tc>
          <w:tcPr>
            <w:tcW w:w="505" w:type="pct"/>
            <w:shd w:val="clear" w:color="auto" w:fill="auto"/>
            <w:vAlign w:val="center"/>
          </w:tcPr>
          <w:p w14:paraId="38C53529">
            <w:pPr>
              <w:pStyle w:val="26"/>
              <w:bidi w:val="0"/>
              <w:rPr>
                <w:lang w:val="en-US" w:eastAsia="zh-CN"/>
              </w:rPr>
            </w:pPr>
            <w:r>
              <w:rPr>
                <w:rFonts w:hint="eastAsia"/>
                <w:lang w:val="en-US" w:eastAsia="zh-CN"/>
              </w:rPr>
              <w:t>达标</w:t>
            </w:r>
          </w:p>
        </w:tc>
      </w:tr>
      <w:tr w14:paraId="2350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497EEB05">
            <w:pPr>
              <w:pStyle w:val="26"/>
              <w:bidi w:val="0"/>
              <w:rPr/>
            </w:pPr>
          </w:p>
        </w:tc>
        <w:tc>
          <w:tcPr>
            <w:tcW w:w="469" w:type="pct"/>
            <w:vMerge w:val="continue"/>
            <w:shd w:val="clear" w:color="auto" w:fill="auto"/>
            <w:vAlign w:val="center"/>
          </w:tcPr>
          <w:p w14:paraId="4B714457">
            <w:pPr>
              <w:pStyle w:val="26"/>
              <w:bidi w:val="0"/>
              <w:rPr/>
            </w:pPr>
          </w:p>
        </w:tc>
        <w:tc>
          <w:tcPr>
            <w:tcW w:w="759" w:type="pct"/>
            <w:vMerge w:val="restart"/>
            <w:shd w:val="clear" w:color="auto" w:fill="auto"/>
            <w:vAlign w:val="top"/>
          </w:tcPr>
          <w:p w14:paraId="02E731B0">
            <w:pPr>
              <w:pStyle w:val="26"/>
              <w:bidi w:val="0"/>
              <w:rPr>
                <w:rFonts w:hint="default"/>
                <w:lang w:val="en-US" w:eastAsia="zh-CN"/>
              </w:rPr>
            </w:pPr>
            <w:r>
              <w:rPr>
                <w:rFonts w:hint="eastAsia"/>
                <w:lang w:val="en-US" w:eastAsia="zh-CN"/>
              </w:rPr>
              <w:t>2023- 11-30</w:t>
            </w:r>
          </w:p>
        </w:tc>
        <w:tc>
          <w:tcPr>
            <w:tcW w:w="682" w:type="pct"/>
            <w:shd w:val="clear" w:color="auto" w:fill="auto"/>
            <w:vAlign w:val="top"/>
          </w:tcPr>
          <w:p w14:paraId="6405BCFC">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7D0A28AE">
            <w:pPr>
              <w:pStyle w:val="26"/>
              <w:bidi w:val="0"/>
              <w:rPr>
                <w:rFonts w:hint="eastAsia"/>
                <w:lang w:val="en-US" w:eastAsia="zh-CN"/>
              </w:rPr>
            </w:pPr>
            <w:r>
              <w:rPr>
                <w:rFonts w:hint="eastAsia"/>
                <w:lang w:val="en-US" w:eastAsia="zh-CN"/>
              </w:rPr>
              <w:t>0.78</w:t>
            </w:r>
          </w:p>
        </w:tc>
        <w:tc>
          <w:tcPr>
            <w:tcW w:w="406" w:type="pct"/>
            <w:shd w:val="clear" w:color="auto" w:fill="auto"/>
            <w:vAlign w:val="top"/>
          </w:tcPr>
          <w:p w14:paraId="0C9D1C05">
            <w:pPr>
              <w:pStyle w:val="26"/>
              <w:bidi w:val="0"/>
              <w:rPr>
                <w:rFonts w:hint="eastAsia"/>
                <w:lang w:val="en-US" w:eastAsia="zh-CN"/>
              </w:rPr>
            </w:pPr>
            <w:r>
              <w:rPr>
                <w:rFonts w:hint="eastAsia"/>
                <w:lang w:val="en-US" w:eastAsia="zh-CN"/>
              </w:rPr>
              <w:t>0.72</w:t>
            </w:r>
          </w:p>
        </w:tc>
        <w:tc>
          <w:tcPr>
            <w:tcW w:w="436" w:type="pct"/>
            <w:shd w:val="clear" w:color="auto" w:fill="auto"/>
            <w:vAlign w:val="top"/>
          </w:tcPr>
          <w:p w14:paraId="0997700D">
            <w:pPr>
              <w:pStyle w:val="26"/>
              <w:bidi w:val="0"/>
              <w:rPr>
                <w:rFonts w:hint="eastAsia"/>
                <w:lang w:val="en-US" w:eastAsia="zh-CN"/>
              </w:rPr>
            </w:pPr>
            <w:r>
              <w:rPr>
                <w:rFonts w:hint="eastAsia"/>
                <w:lang w:val="en-US" w:eastAsia="zh-CN"/>
              </w:rPr>
              <w:t>0.71</w:t>
            </w:r>
          </w:p>
        </w:tc>
        <w:tc>
          <w:tcPr>
            <w:tcW w:w="437" w:type="pct"/>
            <w:shd w:val="clear" w:color="auto" w:fill="auto"/>
            <w:vAlign w:val="top"/>
          </w:tcPr>
          <w:p w14:paraId="3F56B54B">
            <w:pPr>
              <w:pStyle w:val="26"/>
              <w:bidi w:val="0"/>
              <w:rPr>
                <w:rFonts w:hint="eastAsia"/>
                <w:lang w:val="en-US" w:eastAsia="zh-CN"/>
              </w:rPr>
            </w:pPr>
            <w:r>
              <w:rPr>
                <w:rFonts w:hint="eastAsia"/>
                <w:lang w:val="en-US" w:eastAsia="zh-CN"/>
              </w:rPr>
              <w:t>0.74</w:t>
            </w:r>
          </w:p>
        </w:tc>
        <w:tc>
          <w:tcPr>
            <w:tcW w:w="391" w:type="pct"/>
            <w:vMerge w:val="continue"/>
            <w:vAlign w:val="center"/>
          </w:tcPr>
          <w:p w14:paraId="2A694F30">
            <w:pPr>
              <w:pStyle w:val="26"/>
              <w:bidi w:val="0"/>
              <w:rPr>
                <w:rFonts w:hint="eastAsia"/>
                <w:lang w:val="en-US" w:eastAsia="zh-CN"/>
              </w:rPr>
            </w:pPr>
          </w:p>
        </w:tc>
        <w:tc>
          <w:tcPr>
            <w:tcW w:w="505" w:type="pct"/>
            <w:shd w:val="clear" w:color="auto" w:fill="auto"/>
            <w:vAlign w:val="center"/>
          </w:tcPr>
          <w:p w14:paraId="572CC7AE">
            <w:pPr>
              <w:pStyle w:val="26"/>
              <w:bidi w:val="0"/>
              <w:rPr>
                <w:lang w:val="en-US" w:eastAsia="zh-CN"/>
              </w:rPr>
            </w:pPr>
            <w:r>
              <w:rPr>
                <w:rFonts w:hint="eastAsia"/>
                <w:lang w:val="en-US" w:eastAsia="zh-CN"/>
              </w:rPr>
              <w:t>达标</w:t>
            </w:r>
          </w:p>
        </w:tc>
      </w:tr>
      <w:tr w14:paraId="62B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775A33D9">
            <w:pPr>
              <w:pStyle w:val="26"/>
              <w:bidi w:val="0"/>
              <w:rPr/>
            </w:pPr>
          </w:p>
        </w:tc>
        <w:tc>
          <w:tcPr>
            <w:tcW w:w="469" w:type="pct"/>
            <w:vMerge w:val="continue"/>
            <w:shd w:val="clear" w:color="auto" w:fill="auto"/>
            <w:vAlign w:val="center"/>
          </w:tcPr>
          <w:p w14:paraId="3DD2DFCF">
            <w:pPr>
              <w:pStyle w:val="26"/>
              <w:bidi w:val="0"/>
              <w:rPr/>
            </w:pPr>
          </w:p>
        </w:tc>
        <w:tc>
          <w:tcPr>
            <w:tcW w:w="759" w:type="pct"/>
            <w:vMerge w:val="continue"/>
            <w:shd w:val="clear" w:color="auto" w:fill="auto"/>
            <w:vAlign w:val="top"/>
          </w:tcPr>
          <w:p w14:paraId="51955EE6">
            <w:pPr>
              <w:pStyle w:val="26"/>
              <w:bidi w:val="0"/>
              <w:rPr>
                <w:rFonts w:hint="eastAsia"/>
                <w:lang w:val="en-US" w:eastAsia="zh-CN"/>
              </w:rPr>
            </w:pPr>
          </w:p>
        </w:tc>
        <w:tc>
          <w:tcPr>
            <w:tcW w:w="682" w:type="pct"/>
            <w:shd w:val="clear" w:color="auto" w:fill="auto"/>
            <w:vAlign w:val="top"/>
          </w:tcPr>
          <w:p w14:paraId="7F4343DF">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0AEEB8D9">
            <w:pPr>
              <w:pStyle w:val="26"/>
              <w:bidi w:val="0"/>
              <w:rPr>
                <w:rFonts w:hint="eastAsia"/>
                <w:lang w:val="en-US" w:eastAsia="zh-CN"/>
              </w:rPr>
            </w:pPr>
            <w:r>
              <w:rPr>
                <w:rFonts w:hint="eastAsia"/>
                <w:lang w:val="en-US" w:eastAsia="zh-CN"/>
              </w:rPr>
              <w:t>0.68</w:t>
            </w:r>
          </w:p>
        </w:tc>
        <w:tc>
          <w:tcPr>
            <w:tcW w:w="406" w:type="pct"/>
            <w:shd w:val="clear" w:color="auto" w:fill="auto"/>
            <w:vAlign w:val="top"/>
          </w:tcPr>
          <w:p w14:paraId="016005A3">
            <w:pPr>
              <w:pStyle w:val="26"/>
              <w:bidi w:val="0"/>
              <w:rPr>
                <w:rFonts w:hint="eastAsia"/>
                <w:lang w:val="en-US" w:eastAsia="zh-CN"/>
              </w:rPr>
            </w:pPr>
            <w:r>
              <w:rPr>
                <w:rFonts w:hint="eastAsia"/>
                <w:lang w:val="en-US" w:eastAsia="zh-CN"/>
              </w:rPr>
              <w:t>0.71</w:t>
            </w:r>
          </w:p>
        </w:tc>
        <w:tc>
          <w:tcPr>
            <w:tcW w:w="436" w:type="pct"/>
            <w:shd w:val="clear" w:color="auto" w:fill="auto"/>
            <w:vAlign w:val="top"/>
          </w:tcPr>
          <w:p w14:paraId="64A9E13E">
            <w:pPr>
              <w:pStyle w:val="26"/>
              <w:bidi w:val="0"/>
              <w:rPr>
                <w:rFonts w:hint="eastAsia"/>
                <w:lang w:val="en-US" w:eastAsia="zh-CN"/>
              </w:rPr>
            </w:pPr>
            <w:r>
              <w:rPr>
                <w:rFonts w:hint="eastAsia"/>
                <w:lang w:val="en-US" w:eastAsia="zh-CN"/>
              </w:rPr>
              <w:t>0.80</w:t>
            </w:r>
          </w:p>
        </w:tc>
        <w:tc>
          <w:tcPr>
            <w:tcW w:w="437" w:type="pct"/>
            <w:shd w:val="clear" w:color="auto" w:fill="auto"/>
            <w:vAlign w:val="top"/>
          </w:tcPr>
          <w:p w14:paraId="0014390B">
            <w:pPr>
              <w:pStyle w:val="26"/>
              <w:bidi w:val="0"/>
              <w:rPr>
                <w:rFonts w:hint="eastAsia"/>
                <w:lang w:val="en-US" w:eastAsia="zh-CN"/>
              </w:rPr>
            </w:pPr>
            <w:r>
              <w:rPr>
                <w:rFonts w:hint="eastAsia"/>
                <w:lang w:val="en-US" w:eastAsia="zh-CN"/>
              </w:rPr>
              <w:t>0.73</w:t>
            </w:r>
          </w:p>
        </w:tc>
        <w:tc>
          <w:tcPr>
            <w:tcW w:w="391" w:type="pct"/>
            <w:vMerge w:val="continue"/>
            <w:vAlign w:val="center"/>
          </w:tcPr>
          <w:p w14:paraId="26F07488">
            <w:pPr>
              <w:pStyle w:val="26"/>
              <w:bidi w:val="0"/>
              <w:rPr>
                <w:rFonts w:hint="eastAsia"/>
                <w:lang w:val="en-US" w:eastAsia="zh-CN"/>
              </w:rPr>
            </w:pPr>
          </w:p>
        </w:tc>
        <w:tc>
          <w:tcPr>
            <w:tcW w:w="505" w:type="pct"/>
            <w:shd w:val="clear" w:color="auto" w:fill="auto"/>
            <w:vAlign w:val="center"/>
          </w:tcPr>
          <w:p w14:paraId="7530C84A">
            <w:pPr>
              <w:pStyle w:val="26"/>
              <w:bidi w:val="0"/>
              <w:rPr>
                <w:lang w:val="en-US" w:eastAsia="zh-CN"/>
              </w:rPr>
            </w:pPr>
            <w:r>
              <w:rPr>
                <w:rFonts w:hint="eastAsia"/>
                <w:lang w:val="en-US" w:eastAsia="zh-CN"/>
              </w:rPr>
              <w:t>达标</w:t>
            </w:r>
          </w:p>
        </w:tc>
      </w:tr>
      <w:tr w14:paraId="57F2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5603ADB0">
            <w:pPr>
              <w:pStyle w:val="26"/>
              <w:bidi w:val="0"/>
              <w:rPr/>
            </w:pPr>
          </w:p>
        </w:tc>
        <w:tc>
          <w:tcPr>
            <w:tcW w:w="469" w:type="pct"/>
            <w:vMerge w:val="continue"/>
            <w:shd w:val="clear" w:color="auto" w:fill="auto"/>
            <w:vAlign w:val="center"/>
          </w:tcPr>
          <w:p w14:paraId="458F6E4D">
            <w:pPr>
              <w:pStyle w:val="26"/>
              <w:bidi w:val="0"/>
              <w:rPr/>
            </w:pPr>
          </w:p>
        </w:tc>
        <w:tc>
          <w:tcPr>
            <w:tcW w:w="759" w:type="pct"/>
            <w:vMerge w:val="continue"/>
            <w:shd w:val="clear" w:color="auto" w:fill="auto"/>
            <w:vAlign w:val="top"/>
          </w:tcPr>
          <w:p w14:paraId="18DA265C">
            <w:pPr>
              <w:pStyle w:val="26"/>
              <w:bidi w:val="0"/>
              <w:rPr>
                <w:rFonts w:hint="eastAsia"/>
                <w:lang w:val="en-US" w:eastAsia="zh-CN"/>
              </w:rPr>
            </w:pPr>
          </w:p>
        </w:tc>
        <w:tc>
          <w:tcPr>
            <w:tcW w:w="682" w:type="pct"/>
            <w:shd w:val="clear" w:color="auto" w:fill="auto"/>
            <w:vAlign w:val="top"/>
          </w:tcPr>
          <w:p w14:paraId="64F97046">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517B5A9D">
            <w:pPr>
              <w:pStyle w:val="26"/>
              <w:bidi w:val="0"/>
              <w:rPr>
                <w:rFonts w:hint="eastAsia"/>
                <w:lang w:val="en-US" w:eastAsia="zh-CN"/>
              </w:rPr>
            </w:pPr>
            <w:r>
              <w:rPr>
                <w:rFonts w:hint="eastAsia"/>
                <w:lang w:val="en-US" w:eastAsia="zh-CN"/>
              </w:rPr>
              <w:t>0.83</w:t>
            </w:r>
          </w:p>
        </w:tc>
        <w:tc>
          <w:tcPr>
            <w:tcW w:w="406" w:type="pct"/>
            <w:shd w:val="clear" w:color="auto" w:fill="auto"/>
            <w:vAlign w:val="top"/>
          </w:tcPr>
          <w:p w14:paraId="5E7AE6B7">
            <w:pPr>
              <w:pStyle w:val="26"/>
              <w:bidi w:val="0"/>
              <w:rPr>
                <w:rFonts w:hint="eastAsia"/>
                <w:lang w:val="en-US" w:eastAsia="zh-CN"/>
              </w:rPr>
            </w:pPr>
            <w:r>
              <w:rPr>
                <w:rFonts w:hint="eastAsia"/>
                <w:lang w:val="en-US" w:eastAsia="zh-CN"/>
              </w:rPr>
              <w:t>0.74</w:t>
            </w:r>
          </w:p>
        </w:tc>
        <w:tc>
          <w:tcPr>
            <w:tcW w:w="436" w:type="pct"/>
            <w:shd w:val="clear" w:color="auto" w:fill="auto"/>
            <w:vAlign w:val="top"/>
          </w:tcPr>
          <w:p w14:paraId="2D685724">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3577A62E">
            <w:pPr>
              <w:pStyle w:val="26"/>
              <w:bidi w:val="0"/>
              <w:rPr>
                <w:rFonts w:hint="eastAsia"/>
                <w:lang w:val="en-US" w:eastAsia="zh-CN"/>
              </w:rPr>
            </w:pPr>
            <w:r>
              <w:rPr>
                <w:rFonts w:hint="eastAsia"/>
                <w:lang w:val="en-US" w:eastAsia="zh-CN"/>
              </w:rPr>
              <w:t>0.78</w:t>
            </w:r>
          </w:p>
        </w:tc>
        <w:tc>
          <w:tcPr>
            <w:tcW w:w="391" w:type="pct"/>
            <w:vMerge w:val="continue"/>
            <w:vAlign w:val="center"/>
          </w:tcPr>
          <w:p w14:paraId="492DCF81">
            <w:pPr>
              <w:pStyle w:val="26"/>
              <w:bidi w:val="0"/>
              <w:rPr>
                <w:rFonts w:hint="eastAsia"/>
                <w:lang w:val="en-US" w:eastAsia="zh-CN"/>
              </w:rPr>
            </w:pPr>
          </w:p>
        </w:tc>
        <w:tc>
          <w:tcPr>
            <w:tcW w:w="505" w:type="pct"/>
            <w:shd w:val="clear" w:color="auto" w:fill="auto"/>
            <w:vAlign w:val="center"/>
          </w:tcPr>
          <w:p w14:paraId="718E5265">
            <w:pPr>
              <w:pStyle w:val="26"/>
              <w:bidi w:val="0"/>
              <w:rPr>
                <w:lang w:val="en-US" w:eastAsia="zh-CN"/>
              </w:rPr>
            </w:pPr>
            <w:r>
              <w:rPr>
                <w:rFonts w:hint="eastAsia"/>
                <w:lang w:val="en-US" w:eastAsia="zh-CN"/>
              </w:rPr>
              <w:t>达标</w:t>
            </w:r>
          </w:p>
        </w:tc>
      </w:tr>
      <w:tr w14:paraId="1C30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625A5C88">
            <w:pPr>
              <w:pStyle w:val="26"/>
              <w:bidi w:val="0"/>
              <w:rPr/>
            </w:pPr>
          </w:p>
        </w:tc>
        <w:tc>
          <w:tcPr>
            <w:tcW w:w="469" w:type="pct"/>
            <w:vMerge w:val="continue"/>
            <w:shd w:val="clear" w:color="auto" w:fill="auto"/>
            <w:vAlign w:val="center"/>
          </w:tcPr>
          <w:p w14:paraId="23B7707A">
            <w:pPr>
              <w:pStyle w:val="26"/>
              <w:bidi w:val="0"/>
              <w:rPr/>
            </w:pPr>
          </w:p>
        </w:tc>
        <w:tc>
          <w:tcPr>
            <w:tcW w:w="759" w:type="pct"/>
            <w:vMerge w:val="continue"/>
            <w:shd w:val="clear" w:color="auto" w:fill="auto"/>
            <w:vAlign w:val="top"/>
          </w:tcPr>
          <w:p w14:paraId="2949A4CC">
            <w:pPr>
              <w:pStyle w:val="26"/>
              <w:bidi w:val="0"/>
              <w:rPr>
                <w:rFonts w:hint="eastAsia"/>
                <w:lang w:val="en-US" w:eastAsia="zh-CN"/>
              </w:rPr>
            </w:pPr>
          </w:p>
        </w:tc>
        <w:tc>
          <w:tcPr>
            <w:tcW w:w="682" w:type="pct"/>
            <w:shd w:val="clear" w:color="auto" w:fill="auto"/>
            <w:vAlign w:val="top"/>
          </w:tcPr>
          <w:p w14:paraId="46B847F1">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351EB220">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23AF0016">
            <w:pPr>
              <w:pStyle w:val="26"/>
              <w:bidi w:val="0"/>
              <w:rPr>
                <w:rFonts w:hint="eastAsia"/>
                <w:lang w:val="en-US" w:eastAsia="zh-CN"/>
              </w:rPr>
            </w:pPr>
            <w:r>
              <w:rPr>
                <w:rFonts w:hint="eastAsia"/>
                <w:lang w:val="en-US" w:eastAsia="zh-CN"/>
              </w:rPr>
              <w:t>0.77</w:t>
            </w:r>
          </w:p>
        </w:tc>
        <w:tc>
          <w:tcPr>
            <w:tcW w:w="436" w:type="pct"/>
            <w:shd w:val="clear" w:color="auto" w:fill="auto"/>
            <w:vAlign w:val="top"/>
          </w:tcPr>
          <w:p w14:paraId="7406A69F">
            <w:pPr>
              <w:pStyle w:val="26"/>
              <w:bidi w:val="0"/>
              <w:rPr>
                <w:rFonts w:hint="eastAsia"/>
                <w:lang w:val="en-US" w:eastAsia="zh-CN"/>
              </w:rPr>
            </w:pPr>
            <w:r>
              <w:rPr>
                <w:rFonts w:hint="eastAsia"/>
                <w:lang w:val="en-US" w:eastAsia="zh-CN"/>
              </w:rPr>
              <w:t>0.81</w:t>
            </w:r>
          </w:p>
        </w:tc>
        <w:tc>
          <w:tcPr>
            <w:tcW w:w="437" w:type="pct"/>
            <w:shd w:val="clear" w:color="auto" w:fill="auto"/>
            <w:vAlign w:val="top"/>
          </w:tcPr>
          <w:p w14:paraId="3FD8914E">
            <w:pPr>
              <w:pStyle w:val="26"/>
              <w:bidi w:val="0"/>
              <w:rPr>
                <w:rFonts w:hint="eastAsia"/>
                <w:lang w:val="en-US" w:eastAsia="zh-CN"/>
              </w:rPr>
            </w:pPr>
            <w:r>
              <w:rPr>
                <w:rFonts w:hint="eastAsia"/>
                <w:lang w:val="en-US" w:eastAsia="zh-CN"/>
              </w:rPr>
              <w:t>0.80</w:t>
            </w:r>
          </w:p>
        </w:tc>
        <w:tc>
          <w:tcPr>
            <w:tcW w:w="391" w:type="pct"/>
            <w:vMerge w:val="continue"/>
            <w:vAlign w:val="center"/>
          </w:tcPr>
          <w:p w14:paraId="109E503C">
            <w:pPr>
              <w:pStyle w:val="26"/>
              <w:bidi w:val="0"/>
              <w:rPr>
                <w:rFonts w:hint="eastAsia"/>
                <w:lang w:val="en-US" w:eastAsia="zh-CN"/>
              </w:rPr>
            </w:pPr>
          </w:p>
        </w:tc>
        <w:tc>
          <w:tcPr>
            <w:tcW w:w="505" w:type="pct"/>
            <w:shd w:val="clear" w:color="auto" w:fill="auto"/>
            <w:vAlign w:val="center"/>
          </w:tcPr>
          <w:p w14:paraId="03015AEB">
            <w:pPr>
              <w:pStyle w:val="26"/>
              <w:bidi w:val="0"/>
              <w:rPr>
                <w:lang w:val="en-US" w:eastAsia="zh-CN"/>
              </w:rPr>
            </w:pPr>
            <w:r>
              <w:rPr>
                <w:rFonts w:hint="eastAsia"/>
                <w:lang w:val="en-US" w:eastAsia="zh-CN"/>
              </w:rPr>
              <w:t>达标</w:t>
            </w:r>
          </w:p>
        </w:tc>
      </w:tr>
      <w:tr w14:paraId="77FE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241E95CB">
            <w:pPr>
              <w:pStyle w:val="26"/>
              <w:bidi w:val="0"/>
              <w:rPr/>
            </w:pPr>
          </w:p>
        </w:tc>
        <w:tc>
          <w:tcPr>
            <w:tcW w:w="469" w:type="pct"/>
            <w:vMerge w:val="continue"/>
            <w:shd w:val="clear" w:color="auto" w:fill="auto"/>
            <w:vAlign w:val="center"/>
          </w:tcPr>
          <w:p w14:paraId="2A8D51DD">
            <w:pPr>
              <w:pStyle w:val="26"/>
              <w:bidi w:val="0"/>
              <w:rPr/>
            </w:pPr>
          </w:p>
        </w:tc>
        <w:tc>
          <w:tcPr>
            <w:tcW w:w="759" w:type="pct"/>
            <w:vMerge w:val="restart"/>
            <w:shd w:val="clear" w:color="auto" w:fill="auto"/>
            <w:vAlign w:val="top"/>
          </w:tcPr>
          <w:p w14:paraId="239805C6">
            <w:pPr>
              <w:pStyle w:val="26"/>
              <w:bidi w:val="0"/>
              <w:rPr>
                <w:rFonts w:hint="default"/>
                <w:lang w:val="en-US" w:eastAsia="zh-CN"/>
              </w:rPr>
            </w:pPr>
            <w:r>
              <w:rPr>
                <w:rFonts w:hint="eastAsia"/>
                <w:lang w:val="en-US" w:eastAsia="zh-CN"/>
              </w:rPr>
              <w:t>2023- 12-01</w:t>
            </w:r>
          </w:p>
        </w:tc>
        <w:tc>
          <w:tcPr>
            <w:tcW w:w="682" w:type="pct"/>
            <w:shd w:val="clear" w:color="auto" w:fill="auto"/>
            <w:vAlign w:val="top"/>
          </w:tcPr>
          <w:p w14:paraId="6ACD852F">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6BA92BFB">
            <w:pPr>
              <w:pStyle w:val="26"/>
              <w:bidi w:val="0"/>
              <w:rPr>
                <w:rFonts w:hint="eastAsia"/>
                <w:lang w:val="en-US" w:eastAsia="zh-CN"/>
              </w:rPr>
            </w:pPr>
            <w:r>
              <w:rPr>
                <w:rFonts w:hint="eastAsia"/>
                <w:lang w:val="en-US" w:eastAsia="zh-CN"/>
              </w:rPr>
              <w:t>0.78</w:t>
            </w:r>
          </w:p>
        </w:tc>
        <w:tc>
          <w:tcPr>
            <w:tcW w:w="406" w:type="pct"/>
            <w:shd w:val="clear" w:color="auto" w:fill="auto"/>
            <w:vAlign w:val="top"/>
          </w:tcPr>
          <w:p w14:paraId="3F654192">
            <w:pPr>
              <w:pStyle w:val="26"/>
              <w:bidi w:val="0"/>
              <w:rPr>
                <w:rFonts w:hint="eastAsia"/>
                <w:lang w:val="en-US" w:eastAsia="zh-CN"/>
              </w:rPr>
            </w:pPr>
            <w:r>
              <w:rPr>
                <w:rFonts w:hint="eastAsia"/>
                <w:lang w:val="en-US" w:eastAsia="zh-CN"/>
              </w:rPr>
              <w:t>0.79</w:t>
            </w:r>
          </w:p>
        </w:tc>
        <w:tc>
          <w:tcPr>
            <w:tcW w:w="436" w:type="pct"/>
            <w:shd w:val="clear" w:color="auto" w:fill="auto"/>
            <w:vAlign w:val="top"/>
          </w:tcPr>
          <w:p w14:paraId="2EA38C31">
            <w:pPr>
              <w:pStyle w:val="26"/>
              <w:bidi w:val="0"/>
              <w:rPr>
                <w:rFonts w:hint="eastAsia"/>
                <w:lang w:val="en-US" w:eastAsia="zh-CN"/>
              </w:rPr>
            </w:pPr>
            <w:r>
              <w:rPr>
                <w:rFonts w:hint="eastAsia"/>
                <w:lang w:val="en-US" w:eastAsia="zh-CN"/>
              </w:rPr>
              <w:t>0.61</w:t>
            </w:r>
          </w:p>
        </w:tc>
        <w:tc>
          <w:tcPr>
            <w:tcW w:w="437" w:type="pct"/>
            <w:shd w:val="clear" w:color="auto" w:fill="auto"/>
            <w:vAlign w:val="top"/>
          </w:tcPr>
          <w:p w14:paraId="417ECF41">
            <w:pPr>
              <w:pStyle w:val="26"/>
              <w:bidi w:val="0"/>
              <w:rPr>
                <w:rFonts w:hint="eastAsia"/>
                <w:lang w:val="en-US" w:eastAsia="zh-CN"/>
              </w:rPr>
            </w:pPr>
            <w:r>
              <w:rPr>
                <w:rFonts w:hint="eastAsia"/>
                <w:lang w:val="en-US" w:eastAsia="zh-CN"/>
              </w:rPr>
              <w:t>0.73</w:t>
            </w:r>
          </w:p>
        </w:tc>
        <w:tc>
          <w:tcPr>
            <w:tcW w:w="391" w:type="pct"/>
            <w:vMerge w:val="continue"/>
            <w:vAlign w:val="center"/>
          </w:tcPr>
          <w:p w14:paraId="23275132">
            <w:pPr>
              <w:pStyle w:val="26"/>
              <w:bidi w:val="0"/>
              <w:rPr>
                <w:rFonts w:hint="eastAsia"/>
                <w:lang w:val="en-US" w:eastAsia="zh-CN"/>
              </w:rPr>
            </w:pPr>
          </w:p>
        </w:tc>
        <w:tc>
          <w:tcPr>
            <w:tcW w:w="505" w:type="pct"/>
            <w:shd w:val="clear" w:color="auto" w:fill="auto"/>
            <w:vAlign w:val="center"/>
          </w:tcPr>
          <w:p w14:paraId="6E1FDFEA">
            <w:pPr>
              <w:pStyle w:val="26"/>
              <w:bidi w:val="0"/>
              <w:rPr>
                <w:lang w:val="en-US" w:eastAsia="zh-CN"/>
              </w:rPr>
            </w:pPr>
            <w:r>
              <w:rPr>
                <w:rFonts w:hint="eastAsia"/>
                <w:lang w:val="en-US" w:eastAsia="zh-CN"/>
              </w:rPr>
              <w:t>达标</w:t>
            </w:r>
          </w:p>
        </w:tc>
      </w:tr>
      <w:tr w14:paraId="3037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457AA539">
            <w:pPr>
              <w:pStyle w:val="26"/>
              <w:bidi w:val="0"/>
              <w:rPr/>
            </w:pPr>
          </w:p>
        </w:tc>
        <w:tc>
          <w:tcPr>
            <w:tcW w:w="469" w:type="pct"/>
            <w:vMerge w:val="continue"/>
            <w:shd w:val="clear" w:color="auto" w:fill="auto"/>
            <w:vAlign w:val="center"/>
          </w:tcPr>
          <w:p w14:paraId="6CCF7581">
            <w:pPr>
              <w:pStyle w:val="26"/>
              <w:bidi w:val="0"/>
              <w:rPr/>
            </w:pPr>
          </w:p>
        </w:tc>
        <w:tc>
          <w:tcPr>
            <w:tcW w:w="759" w:type="pct"/>
            <w:vMerge w:val="continue"/>
            <w:shd w:val="clear" w:color="auto" w:fill="auto"/>
            <w:vAlign w:val="top"/>
          </w:tcPr>
          <w:p w14:paraId="02F15417">
            <w:pPr>
              <w:pStyle w:val="26"/>
              <w:bidi w:val="0"/>
              <w:rPr>
                <w:rFonts w:hint="eastAsia"/>
                <w:lang w:val="en-US" w:eastAsia="zh-CN"/>
              </w:rPr>
            </w:pPr>
          </w:p>
        </w:tc>
        <w:tc>
          <w:tcPr>
            <w:tcW w:w="682" w:type="pct"/>
            <w:shd w:val="clear" w:color="auto" w:fill="auto"/>
            <w:vAlign w:val="top"/>
          </w:tcPr>
          <w:p w14:paraId="4D975958">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0B52425D">
            <w:pPr>
              <w:pStyle w:val="26"/>
              <w:bidi w:val="0"/>
              <w:rPr>
                <w:rFonts w:hint="eastAsia"/>
                <w:lang w:val="en-US" w:eastAsia="zh-CN"/>
              </w:rPr>
            </w:pPr>
            <w:r>
              <w:rPr>
                <w:rFonts w:hint="eastAsia"/>
                <w:lang w:val="en-US" w:eastAsia="zh-CN"/>
              </w:rPr>
              <w:t>0.80</w:t>
            </w:r>
          </w:p>
        </w:tc>
        <w:tc>
          <w:tcPr>
            <w:tcW w:w="406" w:type="pct"/>
            <w:shd w:val="clear" w:color="auto" w:fill="auto"/>
            <w:vAlign w:val="top"/>
          </w:tcPr>
          <w:p w14:paraId="7237F4DE">
            <w:pPr>
              <w:pStyle w:val="26"/>
              <w:bidi w:val="0"/>
              <w:rPr>
                <w:rFonts w:hint="eastAsia"/>
                <w:lang w:val="en-US" w:eastAsia="zh-CN"/>
              </w:rPr>
            </w:pPr>
            <w:r>
              <w:rPr>
                <w:rFonts w:hint="eastAsia"/>
                <w:lang w:val="en-US" w:eastAsia="zh-CN"/>
              </w:rPr>
              <w:t>0.74</w:t>
            </w:r>
          </w:p>
        </w:tc>
        <w:tc>
          <w:tcPr>
            <w:tcW w:w="436" w:type="pct"/>
            <w:shd w:val="clear" w:color="auto" w:fill="auto"/>
            <w:vAlign w:val="top"/>
          </w:tcPr>
          <w:p w14:paraId="3DC6F674">
            <w:pPr>
              <w:pStyle w:val="26"/>
              <w:bidi w:val="0"/>
              <w:rPr>
                <w:rFonts w:hint="eastAsia"/>
                <w:lang w:val="en-US" w:eastAsia="zh-CN"/>
              </w:rPr>
            </w:pPr>
            <w:r>
              <w:rPr>
                <w:rFonts w:hint="eastAsia"/>
                <w:lang w:val="en-US" w:eastAsia="zh-CN"/>
              </w:rPr>
              <w:t>0.61</w:t>
            </w:r>
          </w:p>
        </w:tc>
        <w:tc>
          <w:tcPr>
            <w:tcW w:w="437" w:type="pct"/>
            <w:shd w:val="clear" w:color="auto" w:fill="auto"/>
            <w:vAlign w:val="top"/>
          </w:tcPr>
          <w:p w14:paraId="72F1DB30">
            <w:pPr>
              <w:pStyle w:val="26"/>
              <w:bidi w:val="0"/>
              <w:rPr>
                <w:rFonts w:hint="eastAsia"/>
                <w:lang w:val="en-US" w:eastAsia="zh-CN"/>
              </w:rPr>
            </w:pPr>
            <w:r>
              <w:rPr>
                <w:rFonts w:hint="eastAsia"/>
                <w:lang w:val="en-US" w:eastAsia="zh-CN"/>
              </w:rPr>
              <w:t>0.72</w:t>
            </w:r>
          </w:p>
        </w:tc>
        <w:tc>
          <w:tcPr>
            <w:tcW w:w="391" w:type="pct"/>
            <w:vMerge w:val="continue"/>
            <w:vAlign w:val="center"/>
          </w:tcPr>
          <w:p w14:paraId="214A0FB0">
            <w:pPr>
              <w:pStyle w:val="26"/>
              <w:bidi w:val="0"/>
              <w:rPr>
                <w:rFonts w:hint="eastAsia"/>
                <w:lang w:val="en-US" w:eastAsia="zh-CN"/>
              </w:rPr>
            </w:pPr>
          </w:p>
        </w:tc>
        <w:tc>
          <w:tcPr>
            <w:tcW w:w="505" w:type="pct"/>
            <w:shd w:val="clear" w:color="auto" w:fill="auto"/>
            <w:vAlign w:val="center"/>
          </w:tcPr>
          <w:p w14:paraId="00725DEC">
            <w:pPr>
              <w:pStyle w:val="26"/>
              <w:bidi w:val="0"/>
              <w:rPr>
                <w:lang w:val="en-US" w:eastAsia="zh-CN"/>
              </w:rPr>
            </w:pPr>
            <w:r>
              <w:rPr>
                <w:rFonts w:hint="eastAsia"/>
                <w:lang w:val="en-US" w:eastAsia="zh-CN"/>
              </w:rPr>
              <w:t>达标</w:t>
            </w:r>
          </w:p>
        </w:tc>
      </w:tr>
      <w:tr w14:paraId="78C8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4943611C">
            <w:pPr>
              <w:pStyle w:val="26"/>
              <w:bidi w:val="0"/>
              <w:rPr/>
            </w:pPr>
          </w:p>
        </w:tc>
        <w:tc>
          <w:tcPr>
            <w:tcW w:w="469" w:type="pct"/>
            <w:vMerge w:val="continue"/>
            <w:shd w:val="clear" w:color="auto" w:fill="auto"/>
            <w:vAlign w:val="center"/>
          </w:tcPr>
          <w:p w14:paraId="3939EB4F">
            <w:pPr>
              <w:pStyle w:val="26"/>
              <w:bidi w:val="0"/>
              <w:rPr/>
            </w:pPr>
          </w:p>
        </w:tc>
        <w:tc>
          <w:tcPr>
            <w:tcW w:w="759" w:type="pct"/>
            <w:vMerge w:val="continue"/>
            <w:shd w:val="clear" w:color="auto" w:fill="auto"/>
            <w:vAlign w:val="top"/>
          </w:tcPr>
          <w:p w14:paraId="5ACDEA42">
            <w:pPr>
              <w:pStyle w:val="26"/>
              <w:bidi w:val="0"/>
              <w:rPr>
                <w:rFonts w:hint="eastAsia"/>
                <w:lang w:val="en-US" w:eastAsia="zh-CN"/>
              </w:rPr>
            </w:pPr>
          </w:p>
        </w:tc>
        <w:tc>
          <w:tcPr>
            <w:tcW w:w="682" w:type="pct"/>
            <w:shd w:val="clear" w:color="auto" w:fill="auto"/>
            <w:vAlign w:val="top"/>
          </w:tcPr>
          <w:p w14:paraId="53C57FC5">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2D84A553">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51AFF1F8">
            <w:pPr>
              <w:pStyle w:val="26"/>
              <w:bidi w:val="0"/>
              <w:rPr>
                <w:rFonts w:hint="eastAsia"/>
                <w:lang w:val="en-US" w:eastAsia="zh-CN"/>
              </w:rPr>
            </w:pPr>
            <w:r>
              <w:rPr>
                <w:rFonts w:hint="eastAsia"/>
                <w:lang w:val="en-US" w:eastAsia="zh-CN"/>
              </w:rPr>
              <w:t>0.88</w:t>
            </w:r>
          </w:p>
        </w:tc>
        <w:tc>
          <w:tcPr>
            <w:tcW w:w="436" w:type="pct"/>
            <w:shd w:val="clear" w:color="auto" w:fill="auto"/>
            <w:vAlign w:val="top"/>
          </w:tcPr>
          <w:p w14:paraId="4D3DC8D8">
            <w:pPr>
              <w:pStyle w:val="26"/>
              <w:bidi w:val="0"/>
              <w:rPr>
                <w:rFonts w:hint="eastAsia"/>
                <w:lang w:val="en-US" w:eastAsia="zh-CN"/>
              </w:rPr>
            </w:pPr>
            <w:r>
              <w:rPr>
                <w:rFonts w:hint="eastAsia"/>
                <w:lang w:val="en-US" w:eastAsia="zh-CN"/>
              </w:rPr>
              <w:t>0.80</w:t>
            </w:r>
          </w:p>
        </w:tc>
        <w:tc>
          <w:tcPr>
            <w:tcW w:w="437" w:type="pct"/>
            <w:shd w:val="clear" w:color="auto" w:fill="auto"/>
            <w:vAlign w:val="top"/>
          </w:tcPr>
          <w:p w14:paraId="54F06BFF">
            <w:pPr>
              <w:pStyle w:val="26"/>
              <w:bidi w:val="0"/>
              <w:rPr>
                <w:rFonts w:hint="eastAsia"/>
                <w:lang w:val="en-US" w:eastAsia="zh-CN"/>
              </w:rPr>
            </w:pPr>
            <w:r>
              <w:rPr>
                <w:rFonts w:hint="eastAsia"/>
                <w:lang w:val="en-US" w:eastAsia="zh-CN"/>
              </w:rPr>
              <w:t>0.82</w:t>
            </w:r>
          </w:p>
        </w:tc>
        <w:tc>
          <w:tcPr>
            <w:tcW w:w="391" w:type="pct"/>
            <w:vMerge w:val="continue"/>
            <w:vAlign w:val="center"/>
          </w:tcPr>
          <w:p w14:paraId="31BC21D7">
            <w:pPr>
              <w:pStyle w:val="26"/>
              <w:bidi w:val="0"/>
              <w:rPr>
                <w:rFonts w:hint="eastAsia"/>
                <w:lang w:val="en-US" w:eastAsia="zh-CN"/>
              </w:rPr>
            </w:pPr>
          </w:p>
        </w:tc>
        <w:tc>
          <w:tcPr>
            <w:tcW w:w="505" w:type="pct"/>
            <w:shd w:val="clear" w:color="auto" w:fill="auto"/>
            <w:vAlign w:val="center"/>
          </w:tcPr>
          <w:p w14:paraId="71FE2093">
            <w:pPr>
              <w:pStyle w:val="26"/>
              <w:bidi w:val="0"/>
              <w:rPr>
                <w:lang w:val="en-US" w:eastAsia="zh-CN"/>
              </w:rPr>
            </w:pPr>
            <w:r>
              <w:rPr>
                <w:rFonts w:hint="eastAsia"/>
                <w:lang w:val="en-US" w:eastAsia="zh-CN"/>
              </w:rPr>
              <w:t>达标</w:t>
            </w:r>
          </w:p>
        </w:tc>
      </w:tr>
      <w:tr w14:paraId="562F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1B45507E">
            <w:pPr>
              <w:pStyle w:val="26"/>
              <w:bidi w:val="0"/>
              <w:rPr/>
            </w:pPr>
          </w:p>
        </w:tc>
        <w:tc>
          <w:tcPr>
            <w:tcW w:w="469" w:type="pct"/>
            <w:vMerge w:val="continue"/>
            <w:shd w:val="clear" w:color="auto" w:fill="auto"/>
            <w:vAlign w:val="center"/>
          </w:tcPr>
          <w:p w14:paraId="0BFF86C7">
            <w:pPr>
              <w:pStyle w:val="26"/>
              <w:bidi w:val="0"/>
              <w:rPr/>
            </w:pPr>
          </w:p>
        </w:tc>
        <w:tc>
          <w:tcPr>
            <w:tcW w:w="759" w:type="pct"/>
            <w:vMerge w:val="continue"/>
            <w:shd w:val="clear" w:color="auto" w:fill="auto"/>
            <w:vAlign w:val="top"/>
          </w:tcPr>
          <w:p w14:paraId="32D9FE02">
            <w:pPr>
              <w:pStyle w:val="26"/>
              <w:bidi w:val="0"/>
              <w:rPr>
                <w:rFonts w:hint="eastAsia"/>
                <w:lang w:val="en-US" w:eastAsia="zh-CN"/>
              </w:rPr>
            </w:pPr>
          </w:p>
        </w:tc>
        <w:tc>
          <w:tcPr>
            <w:tcW w:w="682" w:type="pct"/>
            <w:shd w:val="clear" w:color="auto" w:fill="auto"/>
            <w:vAlign w:val="top"/>
          </w:tcPr>
          <w:p w14:paraId="2C4B768E">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6C7B3E56">
            <w:pPr>
              <w:pStyle w:val="26"/>
              <w:bidi w:val="0"/>
              <w:rPr>
                <w:rFonts w:hint="eastAsia"/>
                <w:lang w:val="en-US" w:eastAsia="zh-CN"/>
              </w:rPr>
            </w:pPr>
            <w:r>
              <w:rPr>
                <w:rFonts w:hint="eastAsia"/>
                <w:lang w:val="en-US" w:eastAsia="zh-CN"/>
              </w:rPr>
              <w:t>0.78</w:t>
            </w:r>
          </w:p>
        </w:tc>
        <w:tc>
          <w:tcPr>
            <w:tcW w:w="406" w:type="pct"/>
            <w:shd w:val="clear" w:color="auto" w:fill="auto"/>
            <w:vAlign w:val="top"/>
          </w:tcPr>
          <w:p w14:paraId="0DF383D2">
            <w:pPr>
              <w:pStyle w:val="26"/>
              <w:bidi w:val="0"/>
              <w:rPr>
                <w:rFonts w:hint="eastAsia"/>
                <w:lang w:val="en-US" w:eastAsia="zh-CN"/>
              </w:rPr>
            </w:pPr>
            <w:r>
              <w:rPr>
                <w:rFonts w:hint="eastAsia"/>
                <w:lang w:val="en-US" w:eastAsia="zh-CN"/>
              </w:rPr>
              <w:t>0.65</w:t>
            </w:r>
          </w:p>
        </w:tc>
        <w:tc>
          <w:tcPr>
            <w:tcW w:w="436" w:type="pct"/>
            <w:shd w:val="clear" w:color="auto" w:fill="auto"/>
            <w:vAlign w:val="top"/>
          </w:tcPr>
          <w:p w14:paraId="2848116A">
            <w:pPr>
              <w:pStyle w:val="26"/>
              <w:bidi w:val="0"/>
              <w:rPr>
                <w:rFonts w:hint="eastAsia"/>
                <w:lang w:val="en-US" w:eastAsia="zh-CN"/>
              </w:rPr>
            </w:pPr>
            <w:r>
              <w:rPr>
                <w:rFonts w:hint="eastAsia"/>
                <w:lang w:val="en-US" w:eastAsia="zh-CN"/>
              </w:rPr>
              <w:t>0.64</w:t>
            </w:r>
          </w:p>
        </w:tc>
        <w:tc>
          <w:tcPr>
            <w:tcW w:w="437" w:type="pct"/>
            <w:shd w:val="clear" w:color="auto" w:fill="auto"/>
            <w:vAlign w:val="top"/>
          </w:tcPr>
          <w:p w14:paraId="0516FDC5">
            <w:pPr>
              <w:pStyle w:val="26"/>
              <w:bidi w:val="0"/>
              <w:rPr>
                <w:rFonts w:hint="eastAsia"/>
                <w:lang w:val="en-US" w:eastAsia="zh-CN"/>
              </w:rPr>
            </w:pPr>
            <w:r>
              <w:rPr>
                <w:rFonts w:hint="eastAsia"/>
                <w:lang w:val="en-US" w:eastAsia="zh-CN"/>
              </w:rPr>
              <w:t>0.69</w:t>
            </w:r>
          </w:p>
        </w:tc>
        <w:tc>
          <w:tcPr>
            <w:tcW w:w="391" w:type="pct"/>
            <w:vMerge w:val="continue"/>
            <w:vAlign w:val="center"/>
          </w:tcPr>
          <w:p w14:paraId="4270931D">
            <w:pPr>
              <w:pStyle w:val="26"/>
              <w:bidi w:val="0"/>
              <w:rPr>
                <w:rFonts w:hint="eastAsia"/>
                <w:lang w:val="en-US" w:eastAsia="zh-CN"/>
              </w:rPr>
            </w:pPr>
          </w:p>
        </w:tc>
        <w:tc>
          <w:tcPr>
            <w:tcW w:w="505" w:type="pct"/>
            <w:shd w:val="clear" w:color="auto" w:fill="auto"/>
            <w:vAlign w:val="center"/>
          </w:tcPr>
          <w:p w14:paraId="39CE73AC">
            <w:pPr>
              <w:pStyle w:val="26"/>
              <w:bidi w:val="0"/>
              <w:rPr>
                <w:lang w:val="en-US" w:eastAsia="zh-CN"/>
              </w:rPr>
            </w:pPr>
            <w:r>
              <w:rPr>
                <w:rFonts w:hint="eastAsia"/>
                <w:lang w:val="en-US" w:eastAsia="zh-CN"/>
              </w:rPr>
              <w:t>达标</w:t>
            </w:r>
          </w:p>
        </w:tc>
      </w:tr>
      <w:tr w14:paraId="64D9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51634C05">
            <w:pPr>
              <w:pStyle w:val="26"/>
              <w:bidi w:val="0"/>
              <w:rPr/>
            </w:pPr>
          </w:p>
        </w:tc>
        <w:tc>
          <w:tcPr>
            <w:tcW w:w="469" w:type="pct"/>
            <w:vMerge w:val="continue"/>
            <w:shd w:val="clear" w:color="auto" w:fill="auto"/>
            <w:vAlign w:val="center"/>
          </w:tcPr>
          <w:p w14:paraId="2E4244B4">
            <w:pPr>
              <w:pStyle w:val="26"/>
              <w:bidi w:val="0"/>
              <w:rPr/>
            </w:pPr>
          </w:p>
        </w:tc>
        <w:tc>
          <w:tcPr>
            <w:tcW w:w="759" w:type="pct"/>
            <w:vMerge w:val="restart"/>
            <w:shd w:val="clear" w:color="auto" w:fill="auto"/>
            <w:vAlign w:val="top"/>
          </w:tcPr>
          <w:p w14:paraId="7F8D740C">
            <w:pPr>
              <w:pStyle w:val="26"/>
              <w:bidi w:val="0"/>
              <w:rPr>
                <w:rFonts w:hint="default"/>
                <w:lang w:val="en-US" w:eastAsia="zh-CN"/>
              </w:rPr>
            </w:pPr>
            <w:r>
              <w:rPr>
                <w:rFonts w:hint="eastAsia"/>
                <w:lang w:val="en-US" w:eastAsia="zh-CN"/>
              </w:rPr>
              <w:t>2023- 12-02</w:t>
            </w:r>
          </w:p>
        </w:tc>
        <w:tc>
          <w:tcPr>
            <w:tcW w:w="682" w:type="pct"/>
            <w:shd w:val="clear" w:color="auto" w:fill="auto"/>
            <w:vAlign w:val="top"/>
          </w:tcPr>
          <w:p w14:paraId="30360FC2">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0B71A892">
            <w:pPr>
              <w:pStyle w:val="26"/>
              <w:bidi w:val="0"/>
              <w:rPr>
                <w:rFonts w:hint="eastAsia"/>
                <w:lang w:val="en-US" w:eastAsia="zh-CN"/>
              </w:rPr>
            </w:pPr>
            <w:r>
              <w:rPr>
                <w:rFonts w:hint="eastAsia"/>
                <w:lang w:val="en-US" w:eastAsia="zh-CN"/>
              </w:rPr>
              <w:t>0.69</w:t>
            </w:r>
          </w:p>
        </w:tc>
        <w:tc>
          <w:tcPr>
            <w:tcW w:w="406" w:type="pct"/>
            <w:shd w:val="clear" w:color="auto" w:fill="auto"/>
            <w:vAlign w:val="top"/>
          </w:tcPr>
          <w:p w14:paraId="5EDE63EB">
            <w:pPr>
              <w:pStyle w:val="26"/>
              <w:bidi w:val="0"/>
              <w:rPr>
                <w:rFonts w:hint="eastAsia"/>
                <w:lang w:val="en-US" w:eastAsia="zh-CN"/>
              </w:rPr>
            </w:pPr>
            <w:r>
              <w:rPr>
                <w:rFonts w:hint="eastAsia"/>
                <w:lang w:val="en-US" w:eastAsia="zh-CN"/>
              </w:rPr>
              <w:t>0.82</w:t>
            </w:r>
          </w:p>
        </w:tc>
        <w:tc>
          <w:tcPr>
            <w:tcW w:w="436" w:type="pct"/>
            <w:shd w:val="clear" w:color="auto" w:fill="auto"/>
            <w:vAlign w:val="top"/>
          </w:tcPr>
          <w:p w14:paraId="65C3D4CD">
            <w:pPr>
              <w:pStyle w:val="26"/>
              <w:bidi w:val="0"/>
              <w:rPr>
                <w:rFonts w:hint="eastAsia"/>
                <w:lang w:val="en-US" w:eastAsia="zh-CN"/>
              </w:rPr>
            </w:pPr>
            <w:r>
              <w:rPr>
                <w:rFonts w:hint="eastAsia"/>
                <w:lang w:val="en-US" w:eastAsia="zh-CN"/>
              </w:rPr>
              <w:t>0.79</w:t>
            </w:r>
          </w:p>
        </w:tc>
        <w:tc>
          <w:tcPr>
            <w:tcW w:w="437" w:type="pct"/>
            <w:shd w:val="clear" w:color="auto" w:fill="auto"/>
            <w:vAlign w:val="top"/>
          </w:tcPr>
          <w:p w14:paraId="0F39B2E5">
            <w:pPr>
              <w:pStyle w:val="26"/>
              <w:bidi w:val="0"/>
              <w:rPr>
                <w:rFonts w:hint="eastAsia"/>
                <w:lang w:val="en-US" w:eastAsia="zh-CN"/>
              </w:rPr>
            </w:pPr>
            <w:r>
              <w:rPr>
                <w:rFonts w:hint="eastAsia"/>
                <w:lang w:val="en-US" w:eastAsia="zh-CN"/>
              </w:rPr>
              <w:t>0.77</w:t>
            </w:r>
          </w:p>
        </w:tc>
        <w:tc>
          <w:tcPr>
            <w:tcW w:w="391" w:type="pct"/>
            <w:vMerge w:val="continue"/>
            <w:vAlign w:val="center"/>
          </w:tcPr>
          <w:p w14:paraId="4C6A32B9">
            <w:pPr>
              <w:pStyle w:val="26"/>
              <w:bidi w:val="0"/>
              <w:rPr>
                <w:rFonts w:hint="eastAsia"/>
                <w:lang w:val="en-US" w:eastAsia="zh-CN"/>
              </w:rPr>
            </w:pPr>
          </w:p>
        </w:tc>
        <w:tc>
          <w:tcPr>
            <w:tcW w:w="505" w:type="pct"/>
            <w:shd w:val="clear" w:color="auto" w:fill="auto"/>
            <w:vAlign w:val="center"/>
          </w:tcPr>
          <w:p w14:paraId="71086E30">
            <w:pPr>
              <w:pStyle w:val="26"/>
              <w:bidi w:val="0"/>
              <w:rPr>
                <w:lang w:val="en-US" w:eastAsia="zh-CN"/>
              </w:rPr>
            </w:pPr>
            <w:r>
              <w:rPr>
                <w:rFonts w:hint="eastAsia"/>
                <w:lang w:val="en-US" w:eastAsia="zh-CN"/>
              </w:rPr>
              <w:t>达标</w:t>
            </w:r>
          </w:p>
        </w:tc>
      </w:tr>
      <w:tr w14:paraId="07E6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6165FFE1">
            <w:pPr>
              <w:pStyle w:val="26"/>
              <w:bidi w:val="0"/>
              <w:rPr/>
            </w:pPr>
          </w:p>
        </w:tc>
        <w:tc>
          <w:tcPr>
            <w:tcW w:w="469" w:type="pct"/>
            <w:vMerge w:val="continue"/>
            <w:shd w:val="clear" w:color="auto" w:fill="auto"/>
            <w:vAlign w:val="center"/>
          </w:tcPr>
          <w:p w14:paraId="5E74DDEF">
            <w:pPr>
              <w:pStyle w:val="26"/>
              <w:bidi w:val="0"/>
              <w:rPr/>
            </w:pPr>
          </w:p>
        </w:tc>
        <w:tc>
          <w:tcPr>
            <w:tcW w:w="759" w:type="pct"/>
            <w:vMerge w:val="continue"/>
            <w:shd w:val="clear" w:color="auto" w:fill="auto"/>
            <w:vAlign w:val="top"/>
          </w:tcPr>
          <w:p w14:paraId="59DD4FE9">
            <w:pPr>
              <w:pStyle w:val="26"/>
              <w:bidi w:val="0"/>
              <w:rPr>
                <w:rFonts w:hint="eastAsia"/>
                <w:lang w:val="en-US" w:eastAsia="zh-CN"/>
              </w:rPr>
            </w:pPr>
          </w:p>
        </w:tc>
        <w:tc>
          <w:tcPr>
            <w:tcW w:w="682" w:type="pct"/>
            <w:shd w:val="clear" w:color="auto" w:fill="auto"/>
            <w:vAlign w:val="top"/>
          </w:tcPr>
          <w:p w14:paraId="24E1CF21">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15252843">
            <w:pPr>
              <w:pStyle w:val="26"/>
              <w:bidi w:val="0"/>
              <w:rPr>
                <w:rFonts w:hint="eastAsia"/>
                <w:lang w:val="en-US" w:eastAsia="zh-CN"/>
              </w:rPr>
            </w:pPr>
            <w:r>
              <w:rPr>
                <w:rFonts w:hint="eastAsia"/>
                <w:lang w:val="en-US" w:eastAsia="zh-CN"/>
              </w:rPr>
              <w:t>0.78</w:t>
            </w:r>
          </w:p>
        </w:tc>
        <w:tc>
          <w:tcPr>
            <w:tcW w:w="406" w:type="pct"/>
            <w:shd w:val="clear" w:color="auto" w:fill="auto"/>
            <w:vAlign w:val="top"/>
          </w:tcPr>
          <w:p w14:paraId="347C886B">
            <w:pPr>
              <w:pStyle w:val="26"/>
              <w:bidi w:val="0"/>
              <w:rPr>
                <w:rFonts w:hint="eastAsia"/>
                <w:lang w:val="en-US" w:eastAsia="zh-CN"/>
              </w:rPr>
            </w:pPr>
            <w:r>
              <w:rPr>
                <w:rFonts w:hint="eastAsia"/>
                <w:lang w:val="en-US" w:eastAsia="zh-CN"/>
              </w:rPr>
              <w:t>0.83</w:t>
            </w:r>
          </w:p>
        </w:tc>
        <w:tc>
          <w:tcPr>
            <w:tcW w:w="436" w:type="pct"/>
            <w:shd w:val="clear" w:color="auto" w:fill="auto"/>
            <w:vAlign w:val="top"/>
          </w:tcPr>
          <w:p w14:paraId="24AB6D9F">
            <w:pPr>
              <w:pStyle w:val="26"/>
              <w:bidi w:val="0"/>
              <w:rPr>
                <w:rFonts w:hint="eastAsia"/>
                <w:lang w:val="en-US" w:eastAsia="zh-CN"/>
              </w:rPr>
            </w:pPr>
            <w:r>
              <w:rPr>
                <w:rFonts w:hint="eastAsia"/>
                <w:lang w:val="en-US" w:eastAsia="zh-CN"/>
              </w:rPr>
              <w:t>0.72</w:t>
            </w:r>
          </w:p>
        </w:tc>
        <w:tc>
          <w:tcPr>
            <w:tcW w:w="437" w:type="pct"/>
            <w:shd w:val="clear" w:color="auto" w:fill="auto"/>
            <w:vAlign w:val="top"/>
          </w:tcPr>
          <w:p w14:paraId="17228EB6">
            <w:pPr>
              <w:pStyle w:val="26"/>
              <w:bidi w:val="0"/>
              <w:rPr>
                <w:rFonts w:hint="eastAsia"/>
                <w:lang w:val="en-US" w:eastAsia="zh-CN"/>
              </w:rPr>
            </w:pPr>
            <w:r>
              <w:rPr>
                <w:rFonts w:hint="eastAsia"/>
                <w:lang w:val="en-US" w:eastAsia="zh-CN"/>
              </w:rPr>
              <w:t>0.78</w:t>
            </w:r>
          </w:p>
        </w:tc>
        <w:tc>
          <w:tcPr>
            <w:tcW w:w="391" w:type="pct"/>
            <w:vMerge w:val="continue"/>
            <w:vAlign w:val="center"/>
          </w:tcPr>
          <w:p w14:paraId="582C9D82">
            <w:pPr>
              <w:pStyle w:val="26"/>
              <w:bidi w:val="0"/>
              <w:rPr>
                <w:rFonts w:hint="eastAsia"/>
                <w:lang w:val="en-US" w:eastAsia="zh-CN"/>
              </w:rPr>
            </w:pPr>
          </w:p>
        </w:tc>
        <w:tc>
          <w:tcPr>
            <w:tcW w:w="505" w:type="pct"/>
            <w:shd w:val="clear" w:color="auto" w:fill="auto"/>
            <w:vAlign w:val="center"/>
          </w:tcPr>
          <w:p w14:paraId="7C29477E">
            <w:pPr>
              <w:pStyle w:val="26"/>
              <w:bidi w:val="0"/>
              <w:rPr>
                <w:lang w:val="en-US" w:eastAsia="zh-CN"/>
              </w:rPr>
            </w:pPr>
            <w:r>
              <w:rPr>
                <w:rFonts w:hint="eastAsia"/>
                <w:lang w:val="en-US" w:eastAsia="zh-CN"/>
              </w:rPr>
              <w:t>达标</w:t>
            </w:r>
          </w:p>
        </w:tc>
      </w:tr>
      <w:tr w14:paraId="1FB0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2EC584A6">
            <w:pPr>
              <w:pStyle w:val="26"/>
              <w:bidi w:val="0"/>
              <w:rPr/>
            </w:pPr>
          </w:p>
        </w:tc>
        <w:tc>
          <w:tcPr>
            <w:tcW w:w="469" w:type="pct"/>
            <w:vMerge w:val="continue"/>
            <w:shd w:val="clear" w:color="auto" w:fill="auto"/>
            <w:vAlign w:val="center"/>
          </w:tcPr>
          <w:p w14:paraId="70EB89B4">
            <w:pPr>
              <w:pStyle w:val="26"/>
              <w:bidi w:val="0"/>
              <w:rPr/>
            </w:pPr>
          </w:p>
        </w:tc>
        <w:tc>
          <w:tcPr>
            <w:tcW w:w="759" w:type="pct"/>
            <w:vMerge w:val="continue"/>
            <w:shd w:val="clear" w:color="auto" w:fill="auto"/>
            <w:vAlign w:val="top"/>
          </w:tcPr>
          <w:p w14:paraId="4661F15D">
            <w:pPr>
              <w:pStyle w:val="26"/>
              <w:bidi w:val="0"/>
              <w:rPr>
                <w:rFonts w:hint="eastAsia"/>
                <w:lang w:val="en-US" w:eastAsia="zh-CN"/>
              </w:rPr>
            </w:pPr>
          </w:p>
        </w:tc>
        <w:tc>
          <w:tcPr>
            <w:tcW w:w="682" w:type="pct"/>
            <w:shd w:val="clear" w:color="auto" w:fill="auto"/>
            <w:vAlign w:val="top"/>
          </w:tcPr>
          <w:p w14:paraId="6052B4B2">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57058372">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676D501E">
            <w:pPr>
              <w:pStyle w:val="26"/>
              <w:bidi w:val="0"/>
              <w:rPr>
                <w:rFonts w:hint="eastAsia"/>
                <w:lang w:val="en-US" w:eastAsia="zh-CN"/>
              </w:rPr>
            </w:pPr>
            <w:r>
              <w:rPr>
                <w:rFonts w:hint="eastAsia"/>
                <w:lang w:val="en-US" w:eastAsia="zh-CN"/>
              </w:rPr>
              <w:t>0.76</w:t>
            </w:r>
          </w:p>
        </w:tc>
        <w:tc>
          <w:tcPr>
            <w:tcW w:w="436" w:type="pct"/>
            <w:shd w:val="clear" w:color="auto" w:fill="auto"/>
            <w:vAlign w:val="top"/>
          </w:tcPr>
          <w:p w14:paraId="0066CF86">
            <w:pPr>
              <w:pStyle w:val="26"/>
              <w:bidi w:val="0"/>
              <w:rPr>
                <w:rFonts w:hint="eastAsia"/>
                <w:lang w:val="en-US" w:eastAsia="zh-CN"/>
              </w:rPr>
            </w:pPr>
            <w:r>
              <w:rPr>
                <w:rFonts w:hint="eastAsia"/>
                <w:lang w:val="en-US" w:eastAsia="zh-CN"/>
              </w:rPr>
              <w:t>0.82</w:t>
            </w:r>
          </w:p>
        </w:tc>
        <w:tc>
          <w:tcPr>
            <w:tcW w:w="437" w:type="pct"/>
            <w:shd w:val="clear" w:color="auto" w:fill="auto"/>
            <w:vAlign w:val="top"/>
          </w:tcPr>
          <w:p w14:paraId="567824BA">
            <w:pPr>
              <w:pStyle w:val="26"/>
              <w:bidi w:val="0"/>
              <w:rPr>
                <w:rFonts w:hint="eastAsia"/>
                <w:lang w:val="en-US" w:eastAsia="zh-CN"/>
              </w:rPr>
            </w:pPr>
            <w:r>
              <w:rPr>
                <w:rFonts w:hint="eastAsia"/>
                <w:lang w:val="en-US" w:eastAsia="zh-CN"/>
              </w:rPr>
              <w:t>0.80</w:t>
            </w:r>
          </w:p>
        </w:tc>
        <w:tc>
          <w:tcPr>
            <w:tcW w:w="391" w:type="pct"/>
            <w:vMerge w:val="continue"/>
            <w:vAlign w:val="center"/>
          </w:tcPr>
          <w:p w14:paraId="63380EE2">
            <w:pPr>
              <w:pStyle w:val="26"/>
              <w:bidi w:val="0"/>
              <w:rPr>
                <w:rFonts w:hint="eastAsia"/>
                <w:lang w:val="en-US" w:eastAsia="zh-CN"/>
              </w:rPr>
            </w:pPr>
          </w:p>
        </w:tc>
        <w:tc>
          <w:tcPr>
            <w:tcW w:w="505" w:type="pct"/>
            <w:shd w:val="clear" w:color="auto" w:fill="auto"/>
            <w:vAlign w:val="center"/>
          </w:tcPr>
          <w:p w14:paraId="01378411">
            <w:pPr>
              <w:pStyle w:val="26"/>
              <w:bidi w:val="0"/>
              <w:rPr>
                <w:lang w:val="en-US" w:eastAsia="zh-CN"/>
              </w:rPr>
            </w:pPr>
            <w:r>
              <w:rPr>
                <w:rFonts w:hint="eastAsia"/>
                <w:lang w:val="en-US" w:eastAsia="zh-CN"/>
              </w:rPr>
              <w:t>达标</w:t>
            </w:r>
          </w:p>
        </w:tc>
      </w:tr>
      <w:tr w14:paraId="3CC3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445" w:type="pct"/>
            <w:vMerge w:val="continue"/>
            <w:shd w:val="clear" w:color="auto" w:fill="auto"/>
            <w:vAlign w:val="center"/>
          </w:tcPr>
          <w:p w14:paraId="4ED8ACD2">
            <w:pPr>
              <w:pStyle w:val="26"/>
              <w:bidi w:val="0"/>
              <w:rPr/>
            </w:pPr>
          </w:p>
        </w:tc>
        <w:tc>
          <w:tcPr>
            <w:tcW w:w="469" w:type="pct"/>
            <w:vMerge w:val="continue"/>
            <w:shd w:val="clear" w:color="auto" w:fill="auto"/>
            <w:vAlign w:val="center"/>
          </w:tcPr>
          <w:p w14:paraId="555C8996">
            <w:pPr>
              <w:pStyle w:val="26"/>
              <w:bidi w:val="0"/>
              <w:rPr/>
            </w:pPr>
          </w:p>
        </w:tc>
        <w:tc>
          <w:tcPr>
            <w:tcW w:w="759" w:type="pct"/>
            <w:vMerge w:val="continue"/>
            <w:shd w:val="clear" w:color="auto" w:fill="auto"/>
            <w:vAlign w:val="top"/>
          </w:tcPr>
          <w:p w14:paraId="3FF44A63">
            <w:pPr>
              <w:pStyle w:val="26"/>
              <w:bidi w:val="0"/>
              <w:rPr>
                <w:rFonts w:hint="eastAsia"/>
                <w:lang w:val="en-US" w:eastAsia="zh-CN"/>
              </w:rPr>
            </w:pPr>
          </w:p>
        </w:tc>
        <w:tc>
          <w:tcPr>
            <w:tcW w:w="682" w:type="pct"/>
            <w:shd w:val="clear" w:color="auto" w:fill="auto"/>
            <w:vAlign w:val="top"/>
          </w:tcPr>
          <w:p w14:paraId="3680961D">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6E1ED8A9">
            <w:pPr>
              <w:pStyle w:val="26"/>
              <w:bidi w:val="0"/>
              <w:rPr>
                <w:rFonts w:hint="eastAsia"/>
                <w:lang w:val="en-US" w:eastAsia="zh-CN"/>
              </w:rPr>
            </w:pPr>
            <w:r>
              <w:rPr>
                <w:rFonts w:hint="eastAsia"/>
                <w:lang w:val="en-US" w:eastAsia="zh-CN"/>
              </w:rPr>
              <w:t>0.77</w:t>
            </w:r>
          </w:p>
        </w:tc>
        <w:tc>
          <w:tcPr>
            <w:tcW w:w="406" w:type="pct"/>
            <w:shd w:val="clear" w:color="auto" w:fill="auto"/>
            <w:vAlign w:val="top"/>
          </w:tcPr>
          <w:p w14:paraId="3A69BAF4">
            <w:pPr>
              <w:pStyle w:val="26"/>
              <w:bidi w:val="0"/>
              <w:rPr>
                <w:rFonts w:hint="eastAsia"/>
                <w:lang w:val="en-US" w:eastAsia="zh-CN"/>
              </w:rPr>
            </w:pPr>
            <w:r>
              <w:rPr>
                <w:rFonts w:hint="eastAsia"/>
                <w:lang w:val="en-US" w:eastAsia="zh-CN"/>
              </w:rPr>
              <w:t>0.73</w:t>
            </w:r>
          </w:p>
        </w:tc>
        <w:tc>
          <w:tcPr>
            <w:tcW w:w="436" w:type="pct"/>
            <w:shd w:val="clear" w:color="auto" w:fill="auto"/>
            <w:vAlign w:val="top"/>
          </w:tcPr>
          <w:p w14:paraId="5B73EC1F">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602D957F">
            <w:pPr>
              <w:pStyle w:val="26"/>
              <w:bidi w:val="0"/>
              <w:rPr>
                <w:rFonts w:hint="eastAsia"/>
                <w:lang w:val="en-US" w:eastAsia="zh-CN"/>
              </w:rPr>
            </w:pPr>
            <w:r>
              <w:rPr>
                <w:rFonts w:hint="eastAsia"/>
                <w:lang w:val="en-US" w:eastAsia="zh-CN"/>
              </w:rPr>
              <w:t>0.75</w:t>
            </w:r>
          </w:p>
        </w:tc>
        <w:tc>
          <w:tcPr>
            <w:tcW w:w="391" w:type="pct"/>
            <w:vMerge w:val="continue"/>
            <w:vAlign w:val="center"/>
          </w:tcPr>
          <w:p w14:paraId="6A03ADEA">
            <w:pPr>
              <w:pStyle w:val="26"/>
              <w:bidi w:val="0"/>
              <w:rPr>
                <w:rFonts w:hint="eastAsia"/>
                <w:lang w:val="en-US" w:eastAsia="zh-CN"/>
              </w:rPr>
            </w:pPr>
          </w:p>
        </w:tc>
        <w:tc>
          <w:tcPr>
            <w:tcW w:w="505" w:type="pct"/>
            <w:shd w:val="clear" w:color="auto" w:fill="auto"/>
            <w:vAlign w:val="center"/>
          </w:tcPr>
          <w:p w14:paraId="2F8A5C7E">
            <w:pPr>
              <w:pStyle w:val="26"/>
              <w:bidi w:val="0"/>
              <w:rPr>
                <w:lang w:val="en-US" w:eastAsia="zh-CN"/>
              </w:rPr>
            </w:pPr>
            <w:r>
              <w:rPr>
                <w:rFonts w:hint="eastAsia"/>
                <w:lang w:val="en-US" w:eastAsia="zh-CN"/>
              </w:rPr>
              <w:t>达标</w:t>
            </w:r>
          </w:p>
        </w:tc>
      </w:tr>
      <w:tr w14:paraId="6FF1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45" w:type="pct"/>
            <w:vMerge w:val="continue"/>
            <w:shd w:val="clear" w:color="auto" w:fill="auto"/>
            <w:vAlign w:val="center"/>
          </w:tcPr>
          <w:p w14:paraId="7292258E">
            <w:pPr>
              <w:pStyle w:val="26"/>
              <w:bidi w:val="0"/>
              <w:rPr/>
            </w:pPr>
          </w:p>
        </w:tc>
        <w:tc>
          <w:tcPr>
            <w:tcW w:w="469" w:type="pct"/>
            <w:vMerge w:val="continue"/>
            <w:shd w:val="clear" w:color="auto" w:fill="auto"/>
            <w:vAlign w:val="center"/>
          </w:tcPr>
          <w:p w14:paraId="770A3DA4">
            <w:pPr>
              <w:pStyle w:val="26"/>
              <w:bidi w:val="0"/>
              <w:rPr/>
            </w:pPr>
          </w:p>
        </w:tc>
        <w:tc>
          <w:tcPr>
            <w:tcW w:w="759" w:type="pct"/>
            <w:vMerge w:val="restart"/>
            <w:shd w:val="clear" w:color="auto" w:fill="auto"/>
            <w:vAlign w:val="top"/>
          </w:tcPr>
          <w:p w14:paraId="442C0D8B">
            <w:pPr>
              <w:pStyle w:val="26"/>
              <w:bidi w:val="0"/>
              <w:rPr>
                <w:rFonts w:hint="default"/>
                <w:lang w:val="en-US" w:eastAsia="zh-CN"/>
              </w:rPr>
            </w:pPr>
            <w:r>
              <w:rPr>
                <w:rFonts w:hint="eastAsia"/>
                <w:lang w:val="en-US" w:eastAsia="zh-CN"/>
              </w:rPr>
              <w:t>2023- 12-03</w:t>
            </w:r>
          </w:p>
        </w:tc>
        <w:tc>
          <w:tcPr>
            <w:tcW w:w="682" w:type="pct"/>
            <w:shd w:val="clear" w:color="auto" w:fill="auto"/>
            <w:vAlign w:val="top"/>
          </w:tcPr>
          <w:p w14:paraId="491242DB">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5B94D9B1">
            <w:pPr>
              <w:pStyle w:val="26"/>
              <w:bidi w:val="0"/>
              <w:rPr>
                <w:rFonts w:hint="eastAsia"/>
                <w:lang w:val="en-US" w:eastAsia="zh-CN"/>
              </w:rPr>
            </w:pPr>
            <w:r>
              <w:rPr>
                <w:rFonts w:hint="eastAsia"/>
                <w:lang w:val="en-US" w:eastAsia="zh-CN"/>
              </w:rPr>
              <w:t>0.70</w:t>
            </w:r>
          </w:p>
        </w:tc>
        <w:tc>
          <w:tcPr>
            <w:tcW w:w="406" w:type="pct"/>
            <w:shd w:val="clear" w:color="auto" w:fill="auto"/>
            <w:vAlign w:val="top"/>
          </w:tcPr>
          <w:p w14:paraId="4B0BFEC4">
            <w:pPr>
              <w:pStyle w:val="26"/>
              <w:bidi w:val="0"/>
              <w:rPr>
                <w:rFonts w:hint="eastAsia"/>
                <w:lang w:val="en-US" w:eastAsia="zh-CN"/>
              </w:rPr>
            </w:pPr>
            <w:r>
              <w:rPr>
                <w:rFonts w:hint="eastAsia"/>
                <w:lang w:val="en-US" w:eastAsia="zh-CN"/>
              </w:rPr>
              <w:t>0.77</w:t>
            </w:r>
          </w:p>
        </w:tc>
        <w:tc>
          <w:tcPr>
            <w:tcW w:w="436" w:type="pct"/>
            <w:shd w:val="clear" w:color="auto" w:fill="auto"/>
            <w:vAlign w:val="top"/>
          </w:tcPr>
          <w:p w14:paraId="45FAF2A4">
            <w:pPr>
              <w:pStyle w:val="26"/>
              <w:bidi w:val="0"/>
              <w:rPr>
                <w:rFonts w:hint="eastAsia"/>
                <w:lang w:val="en-US" w:eastAsia="zh-CN"/>
              </w:rPr>
            </w:pPr>
            <w:r>
              <w:rPr>
                <w:rFonts w:hint="eastAsia"/>
                <w:lang w:val="en-US" w:eastAsia="zh-CN"/>
              </w:rPr>
              <w:t>0.75</w:t>
            </w:r>
          </w:p>
        </w:tc>
        <w:tc>
          <w:tcPr>
            <w:tcW w:w="437" w:type="pct"/>
            <w:shd w:val="clear" w:color="auto" w:fill="auto"/>
            <w:vAlign w:val="top"/>
          </w:tcPr>
          <w:p w14:paraId="16937701">
            <w:pPr>
              <w:pStyle w:val="26"/>
              <w:bidi w:val="0"/>
              <w:rPr>
                <w:rFonts w:hint="eastAsia"/>
                <w:lang w:val="en-US" w:eastAsia="zh-CN"/>
              </w:rPr>
            </w:pPr>
            <w:r>
              <w:rPr>
                <w:rFonts w:hint="eastAsia"/>
                <w:lang w:val="en-US" w:eastAsia="zh-CN"/>
              </w:rPr>
              <w:t>0.74</w:t>
            </w:r>
          </w:p>
        </w:tc>
        <w:tc>
          <w:tcPr>
            <w:tcW w:w="391" w:type="pct"/>
            <w:vMerge w:val="continue"/>
            <w:vAlign w:val="center"/>
          </w:tcPr>
          <w:p w14:paraId="1ABEEFE0">
            <w:pPr>
              <w:pStyle w:val="26"/>
              <w:bidi w:val="0"/>
              <w:rPr>
                <w:rFonts w:hint="eastAsia"/>
                <w:lang w:val="en-US" w:eastAsia="zh-CN"/>
              </w:rPr>
            </w:pPr>
          </w:p>
        </w:tc>
        <w:tc>
          <w:tcPr>
            <w:tcW w:w="505" w:type="pct"/>
            <w:shd w:val="clear" w:color="auto" w:fill="auto"/>
            <w:vAlign w:val="center"/>
          </w:tcPr>
          <w:p w14:paraId="744CB813">
            <w:pPr>
              <w:pStyle w:val="26"/>
              <w:bidi w:val="0"/>
              <w:rPr>
                <w:lang w:val="en-US" w:eastAsia="zh-CN"/>
              </w:rPr>
            </w:pPr>
            <w:r>
              <w:rPr>
                <w:rFonts w:hint="eastAsia"/>
                <w:lang w:val="en-US" w:eastAsia="zh-CN"/>
              </w:rPr>
              <w:t>达标</w:t>
            </w:r>
          </w:p>
        </w:tc>
      </w:tr>
      <w:tr w14:paraId="416B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45" w:type="pct"/>
            <w:vMerge w:val="continue"/>
            <w:shd w:val="clear" w:color="auto" w:fill="auto"/>
            <w:vAlign w:val="center"/>
          </w:tcPr>
          <w:p w14:paraId="285B38B6">
            <w:pPr>
              <w:pStyle w:val="26"/>
              <w:bidi w:val="0"/>
              <w:rPr/>
            </w:pPr>
          </w:p>
        </w:tc>
        <w:tc>
          <w:tcPr>
            <w:tcW w:w="469" w:type="pct"/>
            <w:vMerge w:val="continue"/>
            <w:shd w:val="clear" w:color="auto" w:fill="auto"/>
            <w:vAlign w:val="center"/>
          </w:tcPr>
          <w:p w14:paraId="0413EFE0">
            <w:pPr>
              <w:pStyle w:val="26"/>
              <w:bidi w:val="0"/>
              <w:rPr/>
            </w:pPr>
          </w:p>
        </w:tc>
        <w:tc>
          <w:tcPr>
            <w:tcW w:w="759" w:type="pct"/>
            <w:vMerge w:val="continue"/>
            <w:shd w:val="clear" w:color="auto" w:fill="auto"/>
            <w:vAlign w:val="top"/>
          </w:tcPr>
          <w:p w14:paraId="298685C0">
            <w:pPr>
              <w:pStyle w:val="26"/>
              <w:bidi w:val="0"/>
              <w:rPr/>
            </w:pPr>
          </w:p>
        </w:tc>
        <w:tc>
          <w:tcPr>
            <w:tcW w:w="682" w:type="pct"/>
            <w:shd w:val="clear" w:color="auto" w:fill="auto"/>
            <w:vAlign w:val="top"/>
          </w:tcPr>
          <w:p w14:paraId="5018B5B5">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1A68BF26">
            <w:pPr>
              <w:pStyle w:val="26"/>
              <w:bidi w:val="0"/>
              <w:rPr>
                <w:rFonts w:hint="eastAsia"/>
                <w:lang w:val="en-US" w:eastAsia="zh-CN"/>
              </w:rPr>
            </w:pPr>
            <w:r>
              <w:rPr>
                <w:rFonts w:hint="eastAsia"/>
                <w:lang w:val="en-US" w:eastAsia="zh-CN"/>
              </w:rPr>
              <w:t>0.68</w:t>
            </w:r>
          </w:p>
        </w:tc>
        <w:tc>
          <w:tcPr>
            <w:tcW w:w="406" w:type="pct"/>
            <w:shd w:val="clear" w:color="auto" w:fill="auto"/>
            <w:vAlign w:val="top"/>
          </w:tcPr>
          <w:p w14:paraId="14B278D9">
            <w:pPr>
              <w:pStyle w:val="26"/>
              <w:bidi w:val="0"/>
              <w:rPr>
                <w:rFonts w:hint="eastAsia"/>
                <w:lang w:val="en-US" w:eastAsia="zh-CN"/>
              </w:rPr>
            </w:pPr>
            <w:r>
              <w:rPr>
                <w:rFonts w:hint="eastAsia"/>
                <w:lang w:val="en-US" w:eastAsia="zh-CN"/>
              </w:rPr>
              <w:t>0.67</w:t>
            </w:r>
          </w:p>
        </w:tc>
        <w:tc>
          <w:tcPr>
            <w:tcW w:w="436" w:type="pct"/>
            <w:shd w:val="clear" w:color="auto" w:fill="auto"/>
            <w:vAlign w:val="top"/>
          </w:tcPr>
          <w:p w14:paraId="4D6A4885">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046D89A4">
            <w:pPr>
              <w:pStyle w:val="26"/>
              <w:bidi w:val="0"/>
              <w:rPr>
                <w:rFonts w:hint="eastAsia"/>
                <w:lang w:val="en-US" w:eastAsia="zh-CN"/>
              </w:rPr>
            </w:pPr>
            <w:r>
              <w:rPr>
                <w:rFonts w:hint="eastAsia"/>
                <w:lang w:val="en-US" w:eastAsia="zh-CN"/>
              </w:rPr>
              <w:t>0.70</w:t>
            </w:r>
          </w:p>
        </w:tc>
        <w:tc>
          <w:tcPr>
            <w:tcW w:w="391" w:type="pct"/>
            <w:vMerge w:val="continue"/>
            <w:vAlign w:val="center"/>
          </w:tcPr>
          <w:p w14:paraId="7872AA3C">
            <w:pPr>
              <w:pStyle w:val="26"/>
              <w:bidi w:val="0"/>
              <w:rPr/>
            </w:pPr>
          </w:p>
        </w:tc>
        <w:tc>
          <w:tcPr>
            <w:tcW w:w="505" w:type="pct"/>
            <w:shd w:val="clear" w:color="auto" w:fill="auto"/>
            <w:vAlign w:val="center"/>
          </w:tcPr>
          <w:p w14:paraId="0B5DA6E7">
            <w:pPr>
              <w:pStyle w:val="26"/>
              <w:bidi w:val="0"/>
              <w:rPr>
                <w:lang w:val="en-US" w:eastAsia="zh-CN"/>
              </w:rPr>
            </w:pPr>
            <w:r>
              <w:rPr>
                <w:rFonts w:hint="eastAsia"/>
                <w:lang w:val="en-US" w:eastAsia="zh-CN"/>
              </w:rPr>
              <w:t>达标</w:t>
            </w:r>
          </w:p>
        </w:tc>
      </w:tr>
      <w:tr w14:paraId="6483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45" w:type="pct"/>
            <w:vMerge w:val="continue"/>
            <w:shd w:val="clear" w:color="auto" w:fill="auto"/>
            <w:vAlign w:val="center"/>
          </w:tcPr>
          <w:p w14:paraId="1EDCA9E0">
            <w:pPr>
              <w:pStyle w:val="26"/>
              <w:bidi w:val="0"/>
              <w:rPr/>
            </w:pPr>
          </w:p>
        </w:tc>
        <w:tc>
          <w:tcPr>
            <w:tcW w:w="469" w:type="pct"/>
            <w:vMerge w:val="continue"/>
            <w:shd w:val="clear" w:color="auto" w:fill="auto"/>
            <w:vAlign w:val="center"/>
          </w:tcPr>
          <w:p w14:paraId="07471640">
            <w:pPr>
              <w:pStyle w:val="26"/>
              <w:bidi w:val="0"/>
              <w:rPr/>
            </w:pPr>
          </w:p>
        </w:tc>
        <w:tc>
          <w:tcPr>
            <w:tcW w:w="759" w:type="pct"/>
            <w:vMerge w:val="continue"/>
            <w:shd w:val="clear" w:color="auto" w:fill="auto"/>
            <w:vAlign w:val="top"/>
          </w:tcPr>
          <w:p w14:paraId="6E7859B3">
            <w:pPr>
              <w:pStyle w:val="26"/>
              <w:bidi w:val="0"/>
              <w:rPr/>
            </w:pPr>
          </w:p>
        </w:tc>
        <w:tc>
          <w:tcPr>
            <w:tcW w:w="682" w:type="pct"/>
            <w:shd w:val="clear" w:color="auto" w:fill="auto"/>
            <w:vAlign w:val="top"/>
          </w:tcPr>
          <w:p w14:paraId="5B1A6523">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4EC892EB">
            <w:pPr>
              <w:pStyle w:val="26"/>
              <w:bidi w:val="0"/>
              <w:rPr>
                <w:rFonts w:hint="eastAsia"/>
                <w:lang w:val="en-US" w:eastAsia="zh-CN"/>
              </w:rPr>
            </w:pPr>
            <w:r>
              <w:rPr>
                <w:rFonts w:hint="eastAsia"/>
                <w:lang w:val="en-US" w:eastAsia="zh-CN"/>
              </w:rPr>
              <w:t>0.73</w:t>
            </w:r>
          </w:p>
        </w:tc>
        <w:tc>
          <w:tcPr>
            <w:tcW w:w="406" w:type="pct"/>
            <w:shd w:val="clear" w:color="auto" w:fill="auto"/>
            <w:vAlign w:val="top"/>
          </w:tcPr>
          <w:p w14:paraId="20C64B0E">
            <w:pPr>
              <w:pStyle w:val="26"/>
              <w:bidi w:val="0"/>
              <w:rPr>
                <w:rFonts w:hint="eastAsia"/>
                <w:lang w:val="en-US" w:eastAsia="zh-CN"/>
              </w:rPr>
            </w:pPr>
            <w:r>
              <w:rPr>
                <w:rFonts w:hint="eastAsia"/>
                <w:lang w:val="en-US" w:eastAsia="zh-CN"/>
              </w:rPr>
              <w:t>0.71</w:t>
            </w:r>
          </w:p>
        </w:tc>
        <w:tc>
          <w:tcPr>
            <w:tcW w:w="436" w:type="pct"/>
            <w:shd w:val="clear" w:color="auto" w:fill="auto"/>
            <w:vAlign w:val="top"/>
          </w:tcPr>
          <w:p w14:paraId="6AF2B7C1">
            <w:pPr>
              <w:pStyle w:val="26"/>
              <w:bidi w:val="0"/>
              <w:rPr>
                <w:rFonts w:hint="eastAsia"/>
                <w:lang w:val="en-US" w:eastAsia="zh-CN"/>
              </w:rPr>
            </w:pPr>
            <w:r>
              <w:rPr>
                <w:rFonts w:hint="eastAsia"/>
                <w:lang w:val="en-US" w:eastAsia="zh-CN"/>
              </w:rPr>
              <w:t>0.74</w:t>
            </w:r>
          </w:p>
        </w:tc>
        <w:tc>
          <w:tcPr>
            <w:tcW w:w="437" w:type="pct"/>
            <w:shd w:val="clear" w:color="auto" w:fill="auto"/>
            <w:vAlign w:val="top"/>
          </w:tcPr>
          <w:p w14:paraId="1E08B16C">
            <w:pPr>
              <w:pStyle w:val="26"/>
              <w:bidi w:val="0"/>
              <w:rPr>
                <w:rFonts w:hint="eastAsia"/>
                <w:lang w:val="en-US" w:eastAsia="zh-CN"/>
              </w:rPr>
            </w:pPr>
            <w:r>
              <w:rPr>
                <w:rFonts w:hint="eastAsia"/>
                <w:lang w:val="en-US" w:eastAsia="zh-CN"/>
              </w:rPr>
              <w:t>0.73</w:t>
            </w:r>
          </w:p>
        </w:tc>
        <w:tc>
          <w:tcPr>
            <w:tcW w:w="391" w:type="pct"/>
            <w:vMerge w:val="continue"/>
            <w:vAlign w:val="center"/>
          </w:tcPr>
          <w:p w14:paraId="0F092845">
            <w:pPr>
              <w:pStyle w:val="26"/>
              <w:bidi w:val="0"/>
              <w:rPr/>
            </w:pPr>
          </w:p>
        </w:tc>
        <w:tc>
          <w:tcPr>
            <w:tcW w:w="505" w:type="pct"/>
            <w:shd w:val="clear" w:color="auto" w:fill="auto"/>
            <w:vAlign w:val="center"/>
          </w:tcPr>
          <w:p w14:paraId="1B1E20ED">
            <w:pPr>
              <w:pStyle w:val="26"/>
              <w:bidi w:val="0"/>
              <w:rPr>
                <w:lang w:val="en-US" w:eastAsia="zh-CN"/>
              </w:rPr>
            </w:pPr>
            <w:r>
              <w:rPr>
                <w:rFonts w:hint="eastAsia"/>
                <w:lang w:val="en-US" w:eastAsia="zh-CN"/>
              </w:rPr>
              <w:t>达标</w:t>
            </w:r>
          </w:p>
        </w:tc>
      </w:tr>
      <w:tr w14:paraId="28BD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45" w:type="pct"/>
            <w:vMerge w:val="continue"/>
            <w:shd w:val="clear" w:color="auto" w:fill="auto"/>
            <w:vAlign w:val="center"/>
          </w:tcPr>
          <w:p w14:paraId="072751F1">
            <w:pPr>
              <w:pStyle w:val="26"/>
              <w:bidi w:val="0"/>
              <w:rPr/>
            </w:pPr>
          </w:p>
        </w:tc>
        <w:tc>
          <w:tcPr>
            <w:tcW w:w="469" w:type="pct"/>
            <w:vMerge w:val="continue"/>
            <w:shd w:val="clear" w:color="auto" w:fill="auto"/>
            <w:vAlign w:val="center"/>
          </w:tcPr>
          <w:p w14:paraId="28B660F1">
            <w:pPr>
              <w:pStyle w:val="26"/>
              <w:bidi w:val="0"/>
              <w:rPr/>
            </w:pPr>
          </w:p>
        </w:tc>
        <w:tc>
          <w:tcPr>
            <w:tcW w:w="759" w:type="pct"/>
            <w:vMerge w:val="continue"/>
            <w:shd w:val="clear" w:color="auto" w:fill="auto"/>
            <w:vAlign w:val="top"/>
          </w:tcPr>
          <w:p w14:paraId="447A51D6">
            <w:pPr>
              <w:pStyle w:val="26"/>
              <w:bidi w:val="0"/>
              <w:rPr/>
            </w:pPr>
          </w:p>
        </w:tc>
        <w:tc>
          <w:tcPr>
            <w:tcW w:w="682" w:type="pct"/>
            <w:shd w:val="clear" w:color="auto" w:fill="auto"/>
            <w:vAlign w:val="top"/>
          </w:tcPr>
          <w:p w14:paraId="137D5214">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5808740B">
            <w:pPr>
              <w:pStyle w:val="26"/>
              <w:bidi w:val="0"/>
              <w:rPr>
                <w:rFonts w:hint="eastAsia"/>
                <w:lang w:val="en-US" w:eastAsia="zh-CN"/>
              </w:rPr>
            </w:pPr>
            <w:r>
              <w:rPr>
                <w:rFonts w:hint="eastAsia"/>
                <w:lang w:val="en-US" w:eastAsia="zh-CN"/>
              </w:rPr>
              <w:t>0.74</w:t>
            </w:r>
          </w:p>
        </w:tc>
        <w:tc>
          <w:tcPr>
            <w:tcW w:w="406" w:type="pct"/>
            <w:shd w:val="clear" w:color="auto" w:fill="auto"/>
            <w:vAlign w:val="top"/>
          </w:tcPr>
          <w:p w14:paraId="0666F833">
            <w:pPr>
              <w:pStyle w:val="26"/>
              <w:bidi w:val="0"/>
              <w:rPr>
                <w:rFonts w:hint="eastAsia"/>
                <w:lang w:val="en-US" w:eastAsia="zh-CN"/>
              </w:rPr>
            </w:pPr>
            <w:r>
              <w:rPr>
                <w:rFonts w:hint="eastAsia"/>
                <w:lang w:val="en-US" w:eastAsia="zh-CN"/>
              </w:rPr>
              <w:t>0.69</w:t>
            </w:r>
          </w:p>
        </w:tc>
        <w:tc>
          <w:tcPr>
            <w:tcW w:w="436" w:type="pct"/>
            <w:shd w:val="clear" w:color="auto" w:fill="auto"/>
            <w:vAlign w:val="top"/>
          </w:tcPr>
          <w:p w14:paraId="771E2C05">
            <w:pPr>
              <w:pStyle w:val="26"/>
              <w:bidi w:val="0"/>
              <w:rPr>
                <w:rFonts w:hint="eastAsia"/>
                <w:lang w:val="en-US" w:eastAsia="zh-CN"/>
              </w:rPr>
            </w:pPr>
            <w:r>
              <w:rPr>
                <w:rFonts w:hint="eastAsia"/>
                <w:lang w:val="en-US" w:eastAsia="zh-CN"/>
              </w:rPr>
              <w:t>0.66</w:t>
            </w:r>
          </w:p>
        </w:tc>
        <w:tc>
          <w:tcPr>
            <w:tcW w:w="437" w:type="pct"/>
            <w:shd w:val="clear" w:color="auto" w:fill="auto"/>
            <w:vAlign w:val="top"/>
          </w:tcPr>
          <w:p w14:paraId="7958C31D">
            <w:pPr>
              <w:pStyle w:val="26"/>
              <w:bidi w:val="0"/>
              <w:rPr>
                <w:rFonts w:hint="eastAsia"/>
                <w:lang w:val="en-US" w:eastAsia="zh-CN"/>
              </w:rPr>
            </w:pPr>
            <w:r>
              <w:rPr>
                <w:rFonts w:hint="eastAsia"/>
                <w:lang w:val="en-US" w:eastAsia="zh-CN"/>
              </w:rPr>
              <w:t>0.70</w:t>
            </w:r>
          </w:p>
        </w:tc>
        <w:tc>
          <w:tcPr>
            <w:tcW w:w="391" w:type="pct"/>
            <w:vMerge w:val="continue"/>
            <w:vAlign w:val="center"/>
          </w:tcPr>
          <w:p w14:paraId="24B4A925">
            <w:pPr>
              <w:pStyle w:val="26"/>
              <w:bidi w:val="0"/>
              <w:rPr/>
            </w:pPr>
          </w:p>
        </w:tc>
        <w:tc>
          <w:tcPr>
            <w:tcW w:w="505" w:type="pct"/>
            <w:shd w:val="clear" w:color="auto" w:fill="auto"/>
            <w:vAlign w:val="center"/>
          </w:tcPr>
          <w:p w14:paraId="4829B73B">
            <w:pPr>
              <w:pStyle w:val="26"/>
              <w:bidi w:val="0"/>
              <w:rPr>
                <w:lang w:val="en-US" w:eastAsia="zh-CN"/>
              </w:rPr>
            </w:pPr>
            <w:r>
              <w:rPr>
                <w:rFonts w:hint="eastAsia"/>
                <w:lang w:val="en-US" w:eastAsia="zh-CN"/>
              </w:rPr>
              <w:t>达标</w:t>
            </w:r>
          </w:p>
        </w:tc>
      </w:tr>
      <w:tr w14:paraId="2032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restart"/>
            <w:shd w:val="clear" w:color="auto" w:fill="auto"/>
            <w:vAlign w:val="center"/>
          </w:tcPr>
          <w:p w14:paraId="7BF27F23">
            <w:pPr>
              <w:pStyle w:val="26"/>
              <w:bidi w:val="0"/>
              <w:rPr>
                <w:lang w:val="en-US" w:eastAsia="zh-CN"/>
              </w:rPr>
            </w:pPr>
            <w:r>
              <w:rPr>
                <w:rFonts w:hint="eastAsia"/>
                <w:lang w:val="en-US" w:eastAsia="zh-CN"/>
              </w:rPr>
              <w:t>顺阳公寓G2</w:t>
            </w:r>
          </w:p>
        </w:tc>
        <w:tc>
          <w:tcPr>
            <w:tcW w:w="469" w:type="pct"/>
            <w:vMerge w:val="restart"/>
            <w:shd w:val="clear" w:color="auto" w:fill="auto"/>
            <w:vAlign w:val="center"/>
          </w:tcPr>
          <w:p w14:paraId="1A14D796">
            <w:pPr>
              <w:pStyle w:val="26"/>
              <w:bidi w:val="0"/>
              <w:rPr>
                <w:lang w:val="en-US" w:eastAsia="zh-CN"/>
              </w:rPr>
            </w:pPr>
            <w:r>
              <w:rPr>
                <w:rFonts w:hint="eastAsia"/>
                <w:lang w:val="en-US" w:eastAsia="zh-CN"/>
              </w:rPr>
              <w:t>非甲烷总烃</w:t>
            </w:r>
            <w:r>
              <w:rPr>
                <w:lang w:val="en-US" w:eastAsia="zh-CN"/>
              </w:rPr>
              <w:t>（mg/m3）</w:t>
            </w:r>
          </w:p>
        </w:tc>
        <w:tc>
          <w:tcPr>
            <w:tcW w:w="759" w:type="pct"/>
            <w:vMerge w:val="restart"/>
            <w:shd w:val="clear" w:color="auto" w:fill="auto"/>
            <w:vAlign w:val="top"/>
          </w:tcPr>
          <w:p w14:paraId="0531601F">
            <w:pPr>
              <w:pStyle w:val="26"/>
              <w:bidi w:val="0"/>
              <w:rPr>
                <w:rFonts w:hint="default"/>
                <w:lang w:val="en-US" w:eastAsia="zh-CN"/>
              </w:rPr>
            </w:pPr>
            <w:r>
              <w:rPr>
                <w:lang w:val="en-US" w:eastAsia="zh-CN"/>
              </w:rPr>
              <w:t>2023- 11-27</w:t>
            </w:r>
          </w:p>
        </w:tc>
        <w:tc>
          <w:tcPr>
            <w:tcW w:w="682" w:type="pct"/>
            <w:shd w:val="clear" w:color="auto" w:fill="auto"/>
            <w:vAlign w:val="top"/>
          </w:tcPr>
          <w:p w14:paraId="40CCAE7D">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736A8226">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0D55B8C8">
            <w:pPr>
              <w:pStyle w:val="26"/>
              <w:bidi w:val="0"/>
              <w:rPr>
                <w:rFonts w:hint="eastAsia"/>
                <w:lang w:val="en-US" w:eastAsia="zh-CN"/>
              </w:rPr>
            </w:pPr>
            <w:r>
              <w:rPr>
                <w:rFonts w:hint="eastAsia"/>
                <w:lang w:val="en-US" w:eastAsia="zh-CN"/>
              </w:rPr>
              <w:t>0.83</w:t>
            </w:r>
          </w:p>
        </w:tc>
        <w:tc>
          <w:tcPr>
            <w:tcW w:w="436" w:type="pct"/>
            <w:shd w:val="clear" w:color="auto" w:fill="auto"/>
            <w:vAlign w:val="top"/>
          </w:tcPr>
          <w:p w14:paraId="499F6E27">
            <w:pPr>
              <w:pStyle w:val="26"/>
              <w:bidi w:val="0"/>
              <w:rPr>
                <w:rFonts w:hint="eastAsia"/>
                <w:lang w:val="en-US" w:eastAsia="zh-CN"/>
              </w:rPr>
            </w:pPr>
            <w:r>
              <w:rPr>
                <w:rFonts w:hint="eastAsia"/>
                <w:lang w:val="en-US" w:eastAsia="zh-CN"/>
              </w:rPr>
              <w:t>0.71</w:t>
            </w:r>
          </w:p>
        </w:tc>
        <w:tc>
          <w:tcPr>
            <w:tcW w:w="437" w:type="pct"/>
            <w:shd w:val="clear" w:color="auto" w:fill="auto"/>
            <w:vAlign w:val="top"/>
          </w:tcPr>
          <w:p w14:paraId="6D4E156F">
            <w:pPr>
              <w:pStyle w:val="26"/>
              <w:bidi w:val="0"/>
              <w:rPr>
                <w:rFonts w:hint="eastAsia"/>
                <w:lang w:val="en-US" w:eastAsia="zh-CN"/>
              </w:rPr>
            </w:pPr>
            <w:r>
              <w:rPr>
                <w:rFonts w:hint="eastAsia"/>
                <w:lang w:val="en-US" w:eastAsia="zh-CN"/>
              </w:rPr>
              <w:t>0.78</w:t>
            </w:r>
          </w:p>
        </w:tc>
        <w:tc>
          <w:tcPr>
            <w:tcW w:w="391" w:type="pct"/>
            <w:vMerge w:val="restart"/>
            <w:vAlign w:val="center"/>
          </w:tcPr>
          <w:p w14:paraId="7AF0E9E6">
            <w:pPr>
              <w:pStyle w:val="26"/>
              <w:bidi w:val="0"/>
              <w:rPr/>
            </w:pPr>
            <w:r>
              <w:rPr>
                <w:lang w:val="en-US" w:eastAsia="zh-CN"/>
              </w:rPr>
              <w:t>0.2mg/m</w:t>
            </w:r>
            <w:r>
              <w:rPr>
                <w:rFonts w:hint="eastAsia"/>
                <w:lang w:val="en-US" w:eastAsia="zh-CN"/>
              </w:rPr>
              <w:t>3</w:t>
            </w:r>
          </w:p>
        </w:tc>
        <w:tc>
          <w:tcPr>
            <w:tcW w:w="505" w:type="pct"/>
            <w:shd w:val="clear" w:color="auto" w:fill="auto"/>
            <w:vAlign w:val="center"/>
          </w:tcPr>
          <w:p w14:paraId="4E04749A">
            <w:pPr>
              <w:pStyle w:val="26"/>
              <w:bidi w:val="0"/>
              <w:rPr>
                <w:lang w:val="en-US" w:eastAsia="zh-CN"/>
              </w:rPr>
            </w:pPr>
            <w:r>
              <w:rPr>
                <w:rFonts w:hint="eastAsia"/>
                <w:lang w:val="en-US" w:eastAsia="zh-CN"/>
              </w:rPr>
              <w:t>达标</w:t>
            </w:r>
          </w:p>
        </w:tc>
      </w:tr>
      <w:tr w14:paraId="2B51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14754C7E">
            <w:pPr>
              <w:pStyle w:val="26"/>
              <w:bidi w:val="0"/>
              <w:rPr/>
            </w:pPr>
          </w:p>
        </w:tc>
        <w:tc>
          <w:tcPr>
            <w:tcW w:w="469" w:type="pct"/>
            <w:vMerge w:val="continue"/>
            <w:shd w:val="clear" w:color="auto" w:fill="auto"/>
            <w:vAlign w:val="center"/>
          </w:tcPr>
          <w:p w14:paraId="3B4034F3">
            <w:pPr>
              <w:pStyle w:val="26"/>
              <w:bidi w:val="0"/>
              <w:rPr/>
            </w:pPr>
          </w:p>
        </w:tc>
        <w:tc>
          <w:tcPr>
            <w:tcW w:w="759" w:type="pct"/>
            <w:vMerge w:val="continue"/>
            <w:shd w:val="clear" w:color="auto" w:fill="auto"/>
            <w:vAlign w:val="top"/>
          </w:tcPr>
          <w:p w14:paraId="714E4B4F">
            <w:pPr>
              <w:pStyle w:val="26"/>
              <w:bidi w:val="0"/>
              <w:rPr/>
            </w:pPr>
          </w:p>
        </w:tc>
        <w:tc>
          <w:tcPr>
            <w:tcW w:w="682" w:type="pct"/>
            <w:shd w:val="clear" w:color="auto" w:fill="auto"/>
            <w:vAlign w:val="top"/>
          </w:tcPr>
          <w:p w14:paraId="58BE2CC0">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144D0116">
            <w:pPr>
              <w:pStyle w:val="26"/>
              <w:bidi w:val="0"/>
              <w:rPr>
                <w:rFonts w:hint="eastAsia"/>
                <w:lang w:val="en-US" w:eastAsia="zh-CN"/>
              </w:rPr>
            </w:pPr>
            <w:r>
              <w:rPr>
                <w:rFonts w:hint="eastAsia"/>
                <w:lang w:val="en-US" w:eastAsia="zh-CN"/>
              </w:rPr>
              <w:t>0.77</w:t>
            </w:r>
          </w:p>
        </w:tc>
        <w:tc>
          <w:tcPr>
            <w:tcW w:w="406" w:type="pct"/>
            <w:shd w:val="clear" w:color="auto" w:fill="auto"/>
            <w:vAlign w:val="top"/>
          </w:tcPr>
          <w:p w14:paraId="1CADA3D7">
            <w:pPr>
              <w:pStyle w:val="26"/>
              <w:bidi w:val="0"/>
              <w:rPr>
                <w:rFonts w:hint="eastAsia"/>
                <w:lang w:val="en-US" w:eastAsia="zh-CN"/>
              </w:rPr>
            </w:pPr>
            <w:r>
              <w:rPr>
                <w:rFonts w:hint="eastAsia"/>
                <w:lang w:val="en-US" w:eastAsia="zh-CN"/>
              </w:rPr>
              <w:t>0.82</w:t>
            </w:r>
          </w:p>
        </w:tc>
        <w:tc>
          <w:tcPr>
            <w:tcW w:w="436" w:type="pct"/>
            <w:shd w:val="clear" w:color="auto" w:fill="auto"/>
            <w:vAlign w:val="top"/>
          </w:tcPr>
          <w:p w14:paraId="2445D168">
            <w:pPr>
              <w:pStyle w:val="26"/>
              <w:bidi w:val="0"/>
              <w:rPr>
                <w:rFonts w:hint="eastAsia"/>
                <w:lang w:val="en-US" w:eastAsia="zh-CN"/>
              </w:rPr>
            </w:pPr>
            <w:r>
              <w:rPr>
                <w:rFonts w:hint="eastAsia"/>
                <w:lang w:val="en-US" w:eastAsia="zh-CN"/>
              </w:rPr>
              <w:t>0.84</w:t>
            </w:r>
          </w:p>
        </w:tc>
        <w:tc>
          <w:tcPr>
            <w:tcW w:w="437" w:type="pct"/>
            <w:shd w:val="clear" w:color="auto" w:fill="auto"/>
            <w:vAlign w:val="top"/>
          </w:tcPr>
          <w:p w14:paraId="75BB2597">
            <w:pPr>
              <w:pStyle w:val="26"/>
              <w:bidi w:val="0"/>
              <w:rPr>
                <w:rFonts w:hint="eastAsia"/>
                <w:lang w:val="en-US" w:eastAsia="zh-CN"/>
              </w:rPr>
            </w:pPr>
            <w:r>
              <w:rPr>
                <w:rFonts w:hint="eastAsia"/>
                <w:lang w:val="en-US" w:eastAsia="zh-CN"/>
              </w:rPr>
              <w:t>0.81</w:t>
            </w:r>
          </w:p>
        </w:tc>
        <w:tc>
          <w:tcPr>
            <w:tcW w:w="391" w:type="pct"/>
            <w:vMerge w:val="continue"/>
            <w:vAlign w:val="center"/>
          </w:tcPr>
          <w:p w14:paraId="464D71E3">
            <w:pPr>
              <w:pStyle w:val="26"/>
              <w:bidi w:val="0"/>
              <w:rPr>
                <w:rFonts w:hint="eastAsia"/>
                <w:lang w:val="en-US" w:eastAsia="zh-CN"/>
              </w:rPr>
            </w:pPr>
          </w:p>
        </w:tc>
        <w:tc>
          <w:tcPr>
            <w:tcW w:w="505" w:type="pct"/>
            <w:shd w:val="clear" w:color="auto" w:fill="auto"/>
            <w:vAlign w:val="center"/>
          </w:tcPr>
          <w:p w14:paraId="14641B67">
            <w:pPr>
              <w:pStyle w:val="26"/>
              <w:bidi w:val="0"/>
              <w:rPr>
                <w:rFonts w:hint="eastAsia"/>
                <w:lang w:val="en-US" w:eastAsia="zh-CN"/>
              </w:rPr>
            </w:pPr>
            <w:r>
              <w:rPr>
                <w:rFonts w:hint="eastAsia"/>
                <w:lang w:val="en-US" w:eastAsia="zh-CN"/>
              </w:rPr>
              <w:t>达标</w:t>
            </w:r>
          </w:p>
        </w:tc>
      </w:tr>
      <w:tr w14:paraId="646E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8616EDA">
            <w:pPr>
              <w:pStyle w:val="26"/>
              <w:bidi w:val="0"/>
              <w:rPr>
                <w:rFonts w:hint="eastAsia"/>
                <w:lang w:val="en-US" w:eastAsia="zh-CN"/>
              </w:rPr>
            </w:pPr>
          </w:p>
        </w:tc>
        <w:tc>
          <w:tcPr>
            <w:tcW w:w="469" w:type="pct"/>
            <w:vMerge w:val="continue"/>
            <w:shd w:val="clear" w:color="auto" w:fill="auto"/>
            <w:vAlign w:val="center"/>
          </w:tcPr>
          <w:p w14:paraId="0B0ACBF0">
            <w:pPr>
              <w:pStyle w:val="26"/>
              <w:bidi w:val="0"/>
              <w:rPr>
                <w:rFonts w:hint="eastAsia"/>
                <w:lang w:val="en-US" w:eastAsia="zh-CN"/>
              </w:rPr>
            </w:pPr>
          </w:p>
        </w:tc>
        <w:tc>
          <w:tcPr>
            <w:tcW w:w="759" w:type="pct"/>
            <w:vMerge w:val="continue"/>
            <w:shd w:val="clear" w:color="auto" w:fill="auto"/>
            <w:vAlign w:val="top"/>
          </w:tcPr>
          <w:p w14:paraId="1F9A4790">
            <w:pPr>
              <w:pStyle w:val="26"/>
              <w:bidi w:val="0"/>
              <w:rPr>
                <w:rFonts w:hint="eastAsia"/>
                <w:lang w:val="en-US" w:eastAsia="zh-CN"/>
              </w:rPr>
            </w:pPr>
          </w:p>
        </w:tc>
        <w:tc>
          <w:tcPr>
            <w:tcW w:w="682" w:type="pct"/>
            <w:shd w:val="clear" w:color="auto" w:fill="auto"/>
            <w:vAlign w:val="top"/>
          </w:tcPr>
          <w:p w14:paraId="61B590F2">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1652B52C">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7799804D">
            <w:pPr>
              <w:pStyle w:val="26"/>
              <w:bidi w:val="0"/>
              <w:rPr>
                <w:rFonts w:hint="eastAsia"/>
                <w:lang w:val="en-US" w:eastAsia="zh-CN"/>
              </w:rPr>
            </w:pPr>
            <w:r>
              <w:rPr>
                <w:rFonts w:hint="eastAsia"/>
                <w:lang w:val="en-US" w:eastAsia="zh-CN"/>
              </w:rPr>
              <w:t>0.76</w:t>
            </w:r>
          </w:p>
        </w:tc>
        <w:tc>
          <w:tcPr>
            <w:tcW w:w="436" w:type="pct"/>
            <w:shd w:val="clear" w:color="auto" w:fill="auto"/>
            <w:vAlign w:val="top"/>
          </w:tcPr>
          <w:p w14:paraId="0E60E6C0">
            <w:pPr>
              <w:pStyle w:val="26"/>
              <w:bidi w:val="0"/>
              <w:rPr>
                <w:rFonts w:hint="eastAsia"/>
                <w:lang w:val="en-US" w:eastAsia="zh-CN"/>
              </w:rPr>
            </w:pPr>
            <w:r>
              <w:rPr>
                <w:rFonts w:hint="eastAsia"/>
                <w:lang w:val="en-US" w:eastAsia="zh-CN"/>
              </w:rPr>
              <w:t>0.80</w:t>
            </w:r>
          </w:p>
        </w:tc>
        <w:tc>
          <w:tcPr>
            <w:tcW w:w="437" w:type="pct"/>
            <w:shd w:val="clear" w:color="auto" w:fill="auto"/>
            <w:vAlign w:val="top"/>
          </w:tcPr>
          <w:p w14:paraId="606E2DD1">
            <w:pPr>
              <w:pStyle w:val="26"/>
              <w:bidi w:val="0"/>
              <w:rPr>
                <w:rFonts w:hint="eastAsia"/>
                <w:lang w:val="en-US" w:eastAsia="zh-CN"/>
              </w:rPr>
            </w:pPr>
            <w:r>
              <w:rPr>
                <w:rFonts w:hint="eastAsia"/>
                <w:lang w:val="en-US" w:eastAsia="zh-CN"/>
              </w:rPr>
              <w:t>0.78</w:t>
            </w:r>
          </w:p>
        </w:tc>
        <w:tc>
          <w:tcPr>
            <w:tcW w:w="391" w:type="pct"/>
            <w:vMerge w:val="continue"/>
            <w:vAlign w:val="center"/>
          </w:tcPr>
          <w:p w14:paraId="29357F8E">
            <w:pPr>
              <w:pStyle w:val="26"/>
              <w:bidi w:val="0"/>
              <w:rPr>
                <w:rFonts w:hint="eastAsia"/>
                <w:lang w:val="en-US" w:eastAsia="zh-CN"/>
              </w:rPr>
            </w:pPr>
          </w:p>
        </w:tc>
        <w:tc>
          <w:tcPr>
            <w:tcW w:w="505" w:type="pct"/>
            <w:shd w:val="clear" w:color="auto" w:fill="auto"/>
            <w:vAlign w:val="center"/>
          </w:tcPr>
          <w:p w14:paraId="6FADA030">
            <w:pPr>
              <w:pStyle w:val="26"/>
              <w:bidi w:val="0"/>
              <w:rPr>
                <w:rFonts w:hint="eastAsia"/>
                <w:lang w:val="en-US" w:eastAsia="zh-CN"/>
              </w:rPr>
            </w:pPr>
            <w:r>
              <w:rPr>
                <w:rFonts w:hint="eastAsia"/>
                <w:lang w:val="en-US" w:eastAsia="zh-CN"/>
              </w:rPr>
              <w:t>达标</w:t>
            </w:r>
          </w:p>
        </w:tc>
      </w:tr>
      <w:tr w14:paraId="796F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36DF9B2">
            <w:pPr>
              <w:pStyle w:val="26"/>
              <w:bidi w:val="0"/>
              <w:rPr>
                <w:rFonts w:hint="eastAsia"/>
                <w:lang w:val="en-US" w:eastAsia="zh-CN"/>
              </w:rPr>
            </w:pPr>
          </w:p>
        </w:tc>
        <w:tc>
          <w:tcPr>
            <w:tcW w:w="469" w:type="pct"/>
            <w:vMerge w:val="continue"/>
            <w:shd w:val="clear" w:color="auto" w:fill="auto"/>
            <w:vAlign w:val="center"/>
          </w:tcPr>
          <w:p w14:paraId="716AE9B5">
            <w:pPr>
              <w:pStyle w:val="26"/>
              <w:bidi w:val="0"/>
              <w:rPr>
                <w:rFonts w:hint="eastAsia"/>
                <w:lang w:val="en-US" w:eastAsia="zh-CN"/>
              </w:rPr>
            </w:pPr>
          </w:p>
        </w:tc>
        <w:tc>
          <w:tcPr>
            <w:tcW w:w="759" w:type="pct"/>
            <w:vMerge w:val="continue"/>
            <w:shd w:val="clear" w:color="auto" w:fill="auto"/>
            <w:vAlign w:val="top"/>
          </w:tcPr>
          <w:p w14:paraId="27632AF6">
            <w:pPr>
              <w:pStyle w:val="26"/>
              <w:bidi w:val="0"/>
              <w:rPr>
                <w:rFonts w:hint="eastAsia"/>
                <w:lang w:val="en-US" w:eastAsia="zh-CN"/>
              </w:rPr>
            </w:pPr>
          </w:p>
        </w:tc>
        <w:tc>
          <w:tcPr>
            <w:tcW w:w="682" w:type="pct"/>
            <w:shd w:val="clear" w:color="auto" w:fill="auto"/>
            <w:vAlign w:val="top"/>
          </w:tcPr>
          <w:p w14:paraId="0411CEA1">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1328F7A4">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4F7A1F84">
            <w:pPr>
              <w:pStyle w:val="26"/>
              <w:bidi w:val="0"/>
              <w:rPr>
                <w:rFonts w:hint="eastAsia"/>
                <w:lang w:val="en-US" w:eastAsia="zh-CN"/>
              </w:rPr>
            </w:pPr>
            <w:r>
              <w:rPr>
                <w:rFonts w:hint="eastAsia"/>
                <w:lang w:val="en-US" w:eastAsia="zh-CN"/>
              </w:rPr>
              <w:t>0.84</w:t>
            </w:r>
          </w:p>
        </w:tc>
        <w:tc>
          <w:tcPr>
            <w:tcW w:w="436" w:type="pct"/>
            <w:shd w:val="clear" w:color="auto" w:fill="auto"/>
            <w:vAlign w:val="top"/>
          </w:tcPr>
          <w:p w14:paraId="50A8BB31">
            <w:pPr>
              <w:pStyle w:val="26"/>
              <w:bidi w:val="0"/>
              <w:rPr>
                <w:rFonts w:hint="eastAsia"/>
                <w:lang w:val="en-US" w:eastAsia="zh-CN"/>
              </w:rPr>
            </w:pPr>
            <w:r>
              <w:rPr>
                <w:rFonts w:hint="eastAsia"/>
                <w:lang w:val="en-US" w:eastAsia="zh-CN"/>
              </w:rPr>
              <w:t>0.75</w:t>
            </w:r>
          </w:p>
        </w:tc>
        <w:tc>
          <w:tcPr>
            <w:tcW w:w="437" w:type="pct"/>
            <w:shd w:val="clear" w:color="auto" w:fill="auto"/>
            <w:vAlign w:val="top"/>
          </w:tcPr>
          <w:p w14:paraId="3224C347">
            <w:pPr>
              <w:pStyle w:val="26"/>
              <w:bidi w:val="0"/>
              <w:rPr>
                <w:rFonts w:hint="eastAsia"/>
                <w:lang w:val="en-US" w:eastAsia="zh-CN"/>
              </w:rPr>
            </w:pPr>
            <w:r>
              <w:rPr>
                <w:rFonts w:hint="eastAsia"/>
                <w:lang w:val="en-US" w:eastAsia="zh-CN"/>
              </w:rPr>
              <w:t>0.78</w:t>
            </w:r>
          </w:p>
        </w:tc>
        <w:tc>
          <w:tcPr>
            <w:tcW w:w="391" w:type="pct"/>
            <w:vMerge w:val="continue"/>
            <w:vAlign w:val="center"/>
          </w:tcPr>
          <w:p w14:paraId="7A8DE236">
            <w:pPr>
              <w:pStyle w:val="26"/>
              <w:bidi w:val="0"/>
              <w:rPr>
                <w:rFonts w:hint="eastAsia"/>
                <w:lang w:val="en-US" w:eastAsia="zh-CN"/>
              </w:rPr>
            </w:pPr>
          </w:p>
        </w:tc>
        <w:tc>
          <w:tcPr>
            <w:tcW w:w="505" w:type="pct"/>
            <w:shd w:val="clear" w:color="auto" w:fill="auto"/>
            <w:vAlign w:val="center"/>
          </w:tcPr>
          <w:p w14:paraId="76C33C92">
            <w:pPr>
              <w:pStyle w:val="26"/>
              <w:bidi w:val="0"/>
              <w:rPr>
                <w:rFonts w:hint="eastAsia"/>
                <w:lang w:val="en-US" w:eastAsia="zh-CN"/>
              </w:rPr>
            </w:pPr>
            <w:r>
              <w:rPr>
                <w:rFonts w:hint="eastAsia"/>
                <w:lang w:val="en-US" w:eastAsia="zh-CN"/>
              </w:rPr>
              <w:t>达标</w:t>
            </w:r>
          </w:p>
        </w:tc>
      </w:tr>
      <w:tr w14:paraId="3FB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59F90B91">
            <w:pPr>
              <w:pStyle w:val="26"/>
              <w:bidi w:val="0"/>
              <w:rPr/>
            </w:pPr>
          </w:p>
        </w:tc>
        <w:tc>
          <w:tcPr>
            <w:tcW w:w="469" w:type="pct"/>
            <w:vMerge w:val="continue"/>
            <w:shd w:val="clear" w:color="auto" w:fill="auto"/>
            <w:vAlign w:val="center"/>
          </w:tcPr>
          <w:p w14:paraId="1B1E1BD9">
            <w:pPr>
              <w:pStyle w:val="26"/>
              <w:bidi w:val="0"/>
              <w:rPr/>
            </w:pPr>
          </w:p>
        </w:tc>
        <w:tc>
          <w:tcPr>
            <w:tcW w:w="759" w:type="pct"/>
            <w:vMerge w:val="restart"/>
            <w:shd w:val="clear" w:color="auto" w:fill="auto"/>
            <w:vAlign w:val="top"/>
          </w:tcPr>
          <w:p w14:paraId="76022458">
            <w:pPr>
              <w:pStyle w:val="26"/>
              <w:bidi w:val="0"/>
              <w:rPr>
                <w:rFonts w:hint="default"/>
                <w:lang w:val="en-US" w:eastAsia="zh-CN"/>
              </w:rPr>
            </w:pPr>
            <w:r>
              <w:rPr>
                <w:lang w:val="en-US" w:eastAsia="zh-CN"/>
              </w:rPr>
              <w:t>2023- 11-28</w:t>
            </w:r>
          </w:p>
        </w:tc>
        <w:tc>
          <w:tcPr>
            <w:tcW w:w="682" w:type="pct"/>
            <w:shd w:val="clear" w:color="auto" w:fill="auto"/>
            <w:vAlign w:val="top"/>
          </w:tcPr>
          <w:p w14:paraId="12361DE4">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10C7C3AE">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26BD1F93">
            <w:pPr>
              <w:pStyle w:val="26"/>
              <w:bidi w:val="0"/>
              <w:rPr>
                <w:rFonts w:hint="eastAsia"/>
                <w:lang w:val="en-US" w:eastAsia="zh-CN"/>
              </w:rPr>
            </w:pPr>
            <w:r>
              <w:rPr>
                <w:rFonts w:hint="eastAsia"/>
                <w:lang w:val="en-US" w:eastAsia="zh-CN"/>
              </w:rPr>
              <w:t>0.83</w:t>
            </w:r>
          </w:p>
        </w:tc>
        <w:tc>
          <w:tcPr>
            <w:tcW w:w="436" w:type="pct"/>
            <w:shd w:val="clear" w:color="auto" w:fill="auto"/>
            <w:vAlign w:val="top"/>
          </w:tcPr>
          <w:p w14:paraId="37B97E7A">
            <w:pPr>
              <w:pStyle w:val="26"/>
              <w:bidi w:val="0"/>
              <w:rPr>
                <w:rFonts w:hint="eastAsia"/>
                <w:lang w:val="en-US" w:eastAsia="zh-CN"/>
              </w:rPr>
            </w:pPr>
            <w:r>
              <w:rPr>
                <w:rFonts w:hint="eastAsia"/>
                <w:lang w:val="en-US" w:eastAsia="zh-CN"/>
              </w:rPr>
              <w:t>0.80</w:t>
            </w:r>
          </w:p>
        </w:tc>
        <w:tc>
          <w:tcPr>
            <w:tcW w:w="437" w:type="pct"/>
            <w:shd w:val="clear" w:color="auto" w:fill="auto"/>
            <w:vAlign w:val="top"/>
          </w:tcPr>
          <w:p w14:paraId="5F389EA1">
            <w:pPr>
              <w:pStyle w:val="26"/>
              <w:bidi w:val="0"/>
              <w:rPr>
                <w:rFonts w:hint="eastAsia"/>
                <w:lang w:val="en-US" w:eastAsia="zh-CN"/>
              </w:rPr>
            </w:pPr>
            <w:r>
              <w:rPr>
                <w:rFonts w:hint="eastAsia"/>
                <w:lang w:val="en-US" w:eastAsia="zh-CN"/>
              </w:rPr>
              <w:t>0.82</w:t>
            </w:r>
          </w:p>
        </w:tc>
        <w:tc>
          <w:tcPr>
            <w:tcW w:w="391" w:type="pct"/>
            <w:vMerge w:val="continue"/>
            <w:vAlign w:val="center"/>
          </w:tcPr>
          <w:p w14:paraId="727E7221">
            <w:pPr>
              <w:pStyle w:val="26"/>
              <w:bidi w:val="0"/>
              <w:rPr/>
            </w:pPr>
          </w:p>
        </w:tc>
        <w:tc>
          <w:tcPr>
            <w:tcW w:w="505" w:type="pct"/>
            <w:shd w:val="clear" w:color="auto" w:fill="auto"/>
            <w:vAlign w:val="center"/>
          </w:tcPr>
          <w:p w14:paraId="6AFEA329">
            <w:pPr>
              <w:pStyle w:val="26"/>
              <w:bidi w:val="0"/>
              <w:rPr>
                <w:lang w:val="en-US" w:eastAsia="zh-CN"/>
              </w:rPr>
            </w:pPr>
            <w:r>
              <w:rPr>
                <w:rFonts w:hint="eastAsia"/>
                <w:lang w:val="en-US" w:eastAsia="zh-CN"/>
              </w:rPr>
              <w:t>达标</w:t>
            </w:r>
          </w:p>
        </w:tc>
      </w:tr>
      <w:tr w14:paraId="1B9F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43EA062E">
            <w:pPr>
              <w:pStyle w:val="26"/>
              <w:bidi w:val="0"/>
              <w:rPr/>
            </w:pPr>
          </w:p>
        </w:tc>
        <w:tc>
          <w:tcPr>
            <w:tcW w:w="469" w:type="pct"/>
            <w:vMerge w:val="continue"/>
            <w:shd w:val="clear" w:color="auto" w:fill="auto"/>
            <w:vAlign w:val="center"/>
          </w:tcPr>
          <w:p w14:paraId="571FB6C9">
            <w:pPr>
              <w:pStyle w:val="26"/>
              <w:bidi w:val="0"/>
              <w:rPr/>
            </w:pPr>
          </w:p>
        </w:tc>
        <w:tc>
          <w:tcPr>
            <w:tcW w:w="759" w:type="pct"/>
            <w:vMerge w:val="continue"/>
            <w:shd w:val="clear" w:color="auto" w:fill="auto"/>
            <w:vAlign w:val="top"/>
          </w:tcPr>
          <w:p w14:paraId="2E91CEA5">
            <w:pPr>
              <w:pStyle w:val="26"/>
              <w:bidi w:val="0"/>
              <w:rPr/>
            </w:pPr>
          </w:p>
        </w:tc>
        <w:tc>
          <w:tcPr>
            <w:tcW w:w="682" w:type="pct"/>
            <w:shd w:val="clear" w:color="auto" w:fill="auto"/>
            <w:vAlign w:val="top"/>
          </w:tcPr>
          <w:p w14:paraId="0C13B57D">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49A8AC02">
            <w:pPr>
              <w:pStyle w:val="26"/>
              <w:bidi w:val="0"/>
              <w:rPr>
                <w:rFonts w:hint="eastAsia"/>
                <w:lang w:val="en-US" w:eastAsia="zh-CN"/>
              </w:rPr>
            </w:pPr>
            <w:r>
              <w:rPr>
                <w:rFonts w:hint="eastAsia"/>
                <w:lang w:val="en-US" w:eastAsia="zh-CN"/>
              </w:rPr>
              <w:t>0.89</w:t>
            </w:r>
          </w:p>
        </w:tc>
        <w:tc>
          <w:tcPr>
            <w:tcW w:w="406" w:type="pct"/>
            <w:shd w:val="clear" w:color="auto" w:fill="auto"/>
            <w:vAlign w:val="top"/>
          </w:tcPr>
          <w:p w14:paraId="1A3A8414">
            <w:pPr>
              <w:pStyle w:val="26"/>
              <w:bidi w:val="0"/>
              <w:rPr>
                <w:rFonts w:hint="eastAsia"/>
                <w:lang w:val="en-US" w:eastAsia="zh-CN"/>
              </w:rPr>
            </w:pPr>
            <w:r>
              <w:rPr>
                <w:rFonts w:hint="eastAsia"/>
                <w:lang w:val="en-US" w:eastAsia="zh-CN"/>
              </w:rPr>
              <w:t>0.80</w:t>
            </w:r>
          </w:p>
        </w:tc>
        <w:tc>
          <w:tcPr>
            <w:tcW w:w="436" w:type="pct"/>
            <w:shd w:val="clear" w:color="auto" w:fill="auto"/>
            <w:vAlign w:val="top"/>
          </w:tcPr>
          <w:p w14:paraId="207B1C1C">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1AAB7D42">
            <w:pPr>
              <w:pStyle w:val="26"/>
              <w:bidi w:val="0"/>
              <w:rPr>
                <w:rFonts w:hint="eastAsia"/>
                <w:lang w:val="en-US" w:eastAsia="zh-CN"/>
              </w:rPr>
            </w:pPr>
            <w:r>
              <w:rPr>
                <w:rFonts w:hint="eastAsia"/>
                <w:lang w:val="en-US" w:eastAsia="zh-CN"/>
              </w:rPr>
              <w:t>0.82</w:t>
            </w:r>
          </w:p>
        </w:tc>
        <w:tc>
          <w:tcPr>
            <w:tcW w:w="391" w:type="pct"/>
            <w:vMerge w:val="continue"/>
            <w:vAlign w:val="center"/>
          </w:tcPr>
          <w:p w14:paraId="2E40FD9D">
            <w:pPr>
              <w:pStyle w:val="26"/>
              <w:bidi w:val="0"/>
              <w:rPr>
                <w:rFonts w:hint="eastAsia"/>
                <w:lang w:val="en-US" w:eastAsia="zh-CN"/>
              </w:rPr>
            </w:pPr>
          </w:p>
        </w:tc>
        <w:tc>
          <w:tcPr>
            <w:tcW w:w="505" w:type="pct"/>
            <w:shd w:val="clear" w:color="auto" w:fill="auto"/>
            <w:vAlign w:val="center"/>
          </w:tcPr>
          <w:p w14:paraId="01BD1B9F">
            <w:pPr>
              <w:pStyle w:val="26"/>
              <w:bidi w:val="0"/>
              <w:rPr>
                <w:rFonts w:hint="eastAsia"/>
                <w:lang w:val="en-US" w:eastAsia="zh-CN"/>
              </w:rPr>
            </w:pPr>
            <w:r>
              <w:rPr>
                <w:rFonts w:hint="eastAsia"/>
                <w:lang w:val="en-US" w:eastAsia="zh-CN"/>
              </w:rPr>
              <w:t>达标</w:t>
            </w:r>
          </w:p>
        </w:tc>
      </w:tr>
      <w:tr w14:paraId="706D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014F9059">
            <w:pPr>
              <w:pStyle w:val="26"/>
              <w:bidi w:val="0"/>
              <w:rPr>
                <w:rFonts w:hint="eastAsia"/>
                <w:lang w:val="en-US" w:eastAsia="zh-CN"/>
              </w:rPr>
            </w:pPr>
          </w:p>
        </w:tc>
        <w:tc>
          <w:tcPr>
            <w:tcW w:w="469" w:type="pct"/>
            <w:vMerge w:val="continue"/>
            <w:shd w:val="clear" w:color="auto" w:fill="auto"/>
            <w:vAlign w:val="center"/>
          </w:tcPr>
          <w:p w14:paraId="0CB08440">
            <w:pPr>
              <w:pStyle w:val="26"/>
              <w:bidi w:val="0"/>
              <w:rPr>
                <w:rFonts w:hint="eastAsia"/>
                <w:lang w:val="en-US" w:eastAsia="zh-CN"/>
              </w:rPr>
            </w:pPr>
          </w:p>
        </w:tc>
        <w:tc>
          <w:tcPr>
            <w:tcW w:w="759" w:type="pct"/>
            <w:vMerge w:val="continue"/>
            <w:shd w:val="clear" w:color="auto" w:fill="auto"/>
            <w:vAlign w:val="top"/>
          </w:tcPr>
          <w:p w14:paraId="4BD2EBD0">
            <w:pPr>
              <w:pStyle w:val="26"/>
              <w:bidi w:val="0"/>
              <w:rPr>
                <w:rFonts w:hint="eastAsia"/>
                <w:lang w:val="en-US" w:eastAsia="zh-CN"/>
              </w:rPr>
            </w:pPr>
          </w:p>
        </w:tc>
        <w:tc>
          <w:tcPr>
            <w:tcW w:w="682" w:type="pct"/>
            <w:shd w:val="clear" w:color="auto" w:fill="auto"/>
            <w:vAlign w:val="top"/>
          </w:tcPr>
          <w:p w14:paraId="71B2DB45">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099F6D4E">
            <w:pPr>
              <w:pStyle w:val="26"/>
              <w:bidi w:val="0"/>
              <w:rPr>
                <w:rFonts w:hint="eastAsia"/>
                <w:lang w:val="en-US" w:eastAsia="zh-CN"/>
              </w:rPr>
            </w:pPr>
            <w:r>
              <w:rPr>
                <w:rFonts w:hint="eastAsia"/>
                <w:lang w:val="en-US" w:eastAsia="zh-CN"/>
              </w:rPr>
              <w:t>0.75</w:t>
            </w:r>
          </w:p>
        </w:tc>
        <w:tc>
          <w:tcPr>
            <w:tcW w:w="406" w:type="pct"/>
            <w:shd w:val="clear" w:color="auto" w:fill="auto"/>
            <w:vAlign w:val="top"/>
          </w:tcPr>
          <w:p w14:paraId="5D1CDCA6">
            <w:pPr>
              <w:pStyle w:val="26"/>
              <w:bidi w:val="0"/>
              <w:rPr>
                <w:rFonts w:hint="eastAsia"/>
                <w:lang w:val="en-US" w:eastAsia="zh-CN"/>
              </w:rPr>
            </w:pPr>
            <w:r>
              <w:rPr>
                <w:rFonts w:hint="eastAsia"/>
                <w:lang w:val="en-US" w:eastAsia="zh-CN"/>
              </w:rPr>
              <w:t>0.80</w:t>
            </w:r>
          </w:p>
        </w:tc>
        <w:tc>
          <w:tcPr>
            <w:tcW w:w="436" w:type="pct"/>
            <w:shd w:val="clear" w:color="auto" w:fill="auto"/>
            <w:vAlign w:val="top"/>
          </w:tcPr>
          <w:p w14:paraId="2ACEB28F">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703EB6DD">
            <w:pPr>
              <w:pStyle w:val="26"/>
              <w:bidi w:val="0"/>
              <w:rPr>
                <w:rFonts w:hint="eastAsia"/>
                <w:lang w:val="en-US" w:eastAsia="zh-CN"/>
              </w:rPr>
            </w:pPr>
            <w:r>
              <w:rPr>
                <w:rFonts w:hint="eastAsia"/>
                <w:lang w:val="en-US" w:eastAsia="zh-CN"/>
              </w:rPr>
              <w:t>0.77</w:t>
            </w:r>
          </w:p>
        </w:tc>
        <w:tc>
          <w:tcPr>
            <w:tcW w:w="391" w:type="pct"/>
            <w:vMerge w:val="continue"/>
            <w:vAlign w:val="center"/>
          </w:tcPr>
          <w:p w14:paraId="327AA68C">
            <w:pPr>
              <w:pStyle w:val="26"/>
              <w:bidi w:val="0"/>
              <w:rPr>
                <w:rFonts w:hint="eastAsia"/>
                <w:lang w:val="en-US" w:eastAsia="zh-CN"/>
              </w:rPr>
            </w:pPr>
          </w:p>
        </w:tc>
        <w:tc>
          <w:tcPr>
            <w:tcW w:w="505" w:type="pct"/>
            <w:shd w:val="clear" w:color="auto" w:fill="auto"/>
            <w:vAlign w:val="center"/>
          </w:tcPr>
          <w:p w14:paraId="17EA12F2">
            <w:pPr>
              <w:pStyle w:val="26"/>
              <w:bidi w:val="0"/>
              <w:rPr>
                <w:rFonts w:hint="eastAsia"/>
                <w:lang w:val="en-US" w:eastAsia="zh-CN"/>
              </w:rPr>
            </w:pPr>
            <w:r>
              <w:rPr>
                <w:rFonts w:hint="eastAsia"/>
                <w:lang w:val="en-US" w:eastAsia="zh-CN"/>
              </w:rPr>
              <w:t>达标</w:t>
            </w:r>
          </w:p>
        </w:tc>
      </w:tr>
      <w:tr w14:paraId="47DA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A18BD97">
            <w:pPr>
              <w:pStyle w:val="26"/>
              <w:bidi w:val="0"/>
              <w:rPr>
                <w:rFonts w:hint="eastAsia"/>
                <w:lang w:val="en-US" w:eastAsia="zh-CN"/>
              </w:rPr>
            </w:pPr>
          </w:p>
        </w:tc>
        <w:tc>
          <w:tcPr>
            <w:tcW w:w="469" w:type="pct"/>
            <w:vMerge w:val="continue"/>
            <w:shd w:val="clear" w:color="auto" w:fill="auto"/>
            <w:vAlign w:val="center"/>
          </w:tcPr>
          <w:p w14:paraId="7E2A3AC5">
            <w:pPr>
              <w:pStyle w:val="26"/>
              <w:bidi w:val="0"/>
              <w:rPr>
                <w:rFonts w:hint="eastAsia"/>
                <w:lang w:val="en-US" w:eastAsia="zh-CN"/>
              </w:rPr>
            </w:pPr>
          </w:p>
        </w:tc>
        <w:tc>
          <w:tcPr>
            <w:tcW w:w="759" w:type="pct"/>
            <w:vMerge w:val="continue"/>
            <w:shd w:val="clear" w:color="auto" w:fill="auto"/>
            <w:vAlign w:val="top"/>
          </w:tcPr>
          <w:p w14:paraId="37252BDD">
            <w:pPr>
              <w:pStyle w:val="26"/>
              <w:bidi w:val="0"/>
              <w:rPr>
                <w:rFonts w:hint="eastAsia"/>
                <w:lang w:val="en-US" w:eastAsia="zh-CN"/>
              </w:rPr>
            </w:pPr>
          </w:p>
        </w:tc>
        <w:tc>
          <w:tcPr>
            <w:tcW w:w="682" w:type="pct"/>
            <w:shd w:val="clear" w:color="auto" w:fill="auto"/>
            <w:vAlign w:val="top"/>
          </w:tcPr>
          <w:p w14:paraId="500B3081">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7C10B962">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1DD4736A">
            <w:pPr>
              <w:pStyle w:val="26"/>
              <w:bidi w:val="0"/>
              <w:rPr>
                <w:rFonts w:hint="eastAsia"/>
                <w:lang w:val="en-US" w:eastAsia="zh-CN"/>
              </w:rPr>
            </w:pPr>
            <w:r>
              <w:rPr>
                <w:rFonts w:hint="eastAsia"/>
                <w:lang w:val="en-US" w:eastAsia="zh-CN"/>
              </w:rPr>
              <w:t>0.80</w:t>
            </w:r>
          </w:p>
        </w:tc>
        <w:tc>
          <w:tcPr>
            <w:tcW w:w="436" w:type="pct"/>
            <w:shd w:val="clear" w:color="auto" w:fill="auto"/>
            <w:vAlign w:val="top"/>
          </w:tcPr>
          <w:p w14:paraId="319B1CDA">
            <w:pPr>
              <w:pStyle w:val="26"/>
              <w:bidi w:val="0"/>
              <w:rPr>
                <w:rFonts w:hint="eastAsia"/>
                <w:lang w:val="en-US" w:eastAsia="zh-CN"/>
              </w:rPr>
            </w:pPr>
            <w:r>
              <w:rPr>
                <w:rFonts w:hint="eastAsia"/>
                <w:lang w:val="en-US" w:eastAsia="zh-CN"/>
              </w:rPr>
              <w:t>0.78</w:t>
            </w:r>
          </w:p>
        </w:tc>
        <w:tc>
          <w:tcPr>
            <w:tcW w:w="437" w:type="pct"/>
            <w:shd w:val="clear" w:color="auto" w:fill="auto"/>
            <w:vAlign w:val="top"/>
          </w:tcPr>
          <w:p w14:paraId="6858BC80">
            <w:pPr>
              <w:pStyle w:val="26"/>
              <w:bidi w:val="0"/>
              <w:rPr>
                <w:rFonts w:hint="eastAsia"/>
                <w:lang w:val="en-US" w:eastAsia="zh-CN"/>
              </w:rPr>
            </w:pPr>
            <w:r>
              <w:rPr>
                <w:rFonts w:hint="eastAsia"/>
                <w:lang w:val="en-US" w:eastAsia="zh-CN"/>
              </w:rPr>
              <w:t>0.78</w:t>
            </w:r>
          </w:p>
        </w:tc>
        <w:tc>
          <w:tcPr>
            <w:tcW w:w="391" w:type="pct"/>
            <w:vMerge w:val="continue"/>
            <w:vAlign w:val="center"/>
          </w:tcPr>
          <w:p w14:paraId="77B336DC">
            <w:pPr>
              <w:pStyle w:val="26"/>
              <w:bidi w:val="0"/>
              <w:rPr>
                <w:rFonts w:hint="eastAsia"/>
                <w:lang w:val="en-US" w:eastAsia="zh-CN"/>
              </w:rPr>
            </w:pPr>
          </w:p>
        </w:tc>
        <w:tc>
          <w:tcPr>
            <w:tcW w:w="505" w:type="pct"/>
            <w:shd w:val="clear" w:color="auto" w:fill="auto"/>
            <w:vAlign w:val="center"/>
          </w:tcPr>
          <w:p w14:paraId="09920EC9">
            <w:pPr>
              <w:pStyle w:val="26"/>
              <w:bidi w:val="0"/>
              <w:rPr>
                <w:rFonts w:hint="eastAsia"/>
                <w:lang w:val="en-US" w:eastAsia="zh-CN"/>
              </w:rPr>
            </w:pPr>
            <w:r>
              <w:rPr>
                <w:rFonts w:hint="eastAsia"/>
                <w:lang w:val="en-US" w:eastAsia="zh-CN"/>
              </w:rPr>
              <w:t>达标</w:t>
            </w:r>
          </w:p>
        </w:tc>
      </w:tr>
      <w:tr w14:paraId="08B0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2073CCA7">
            <w:pPr>
              <w:pStyle w:val="26"/>
              <w:bidi w:val="0"/>
              <w:rPr/>
            </w:pPr>
          </w:p>
        </w:tc>
        <w:tc>
          <w:tcPr>
            <w:tcW w:w="469" w:type="pct"/>
            <w:vMerge w:val="continue"/>
            <w:shd w:val="clear" w:color="auto" w:fill="auto"/>
            <w:vAlign w:val="center"/>
          </w:tcPr>
          <w:p w14:paraId="0C1B186D">
            <w:pPr>
              <w:pStyle w:val="26"/>
              <w:bidi w:val="0"/>
              <w:rPr/>
            </w:pPr>
          </w:p>
        </w:tc>
        <w:tc>
          <w:tcPr>
            <w:tcW w:w="759" w:type="pct"/>
            <w:vMerge w:val="restart"/>
            <w:shd w:val="clear" w:color="auto" w:fill="auto"/>
            <w:vAlign w:val="top"/>
          </w:tcPr>
          <w:p w14:paraId="36CE34D6">
            <w:pPr>
              <w:pStyle w:val="26"/>
              <w:bidi w:val="0"/>
              <w:rPr>
                <w:rFonts w:hint="default"/>
                <w:lang w:val="en-US" w:eastAsia="zh-CN"/>
              </w:rPr>
            </w:pPr>
            <w:r>
              <w:rPr>
                <w:lang w:val="en-US" w:eastAsia="zh-CN"/>
              </w:rPr>
              <w:t>2023- 11-29</w:t>
            </w:r>
          </w:p>
        </w:tc>
        <w:tc>
          <w:tcPr>
            <w:tcW w:w="682" w:type="pct"/>
            <w:shd w:val="clear" w:color="auto" w:fill="auto"/>
            <w:vAlign w:val="top"/>
          </w:tcPr>
          <w:p w14:paraId="69E3B2CC">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4A2BA9CA">
            <w:pPr>
              <w:pStyle w:val="26"/>
              <w:bidi w:val="0"/>
              <w:rPr>
                <w:rFonts w:hint="eastAsia"/>
                <w:lang w:val="en-US" w:eastAsia="zh-CN"/>
              </w:rPr>
            </w:pPr>
            <w:r>
              <w:rPr>
                <w:rFonts w:hint="eastAsia"/>
                <w:lang w:val="en-US" w:eastAsia="zh-CN"/>
              </w:rPr>
              <w:t>0.67</w:t>
            </w:r>
          </w:p>
        </w:tc>
        <w:tc>
          <w:tcPr>
            <w:tcW w:w="406" w:type="pct"/>
            <w:shd w:val="clear" w:color="auto" w:fill="auto"/>
            <w:vAlign w:val="top"/>
          </w:tcPr>
          <w:p w14:paraId="7FA5A2E2">
            <w:pPr>
              <w:pStyle w:val="26"/>
              <w:bidi w:val="0"/>
              <w:rPr>
                <w:rFonts w:hint="eastAsia"/>
                <w:lang w:val="en-US" w:eastAsia="zh-CN"/>
              </w:rPr>
            </w:pPr>
            <w:r>
              <w:rPr>
                <w:rFonts w:hint="eastAsia"/>
                <w:lang w:val="en-US" w:eastAsia="zh-CN"/>
              </w:rPr>
              <w:t>0.81</w:t>
            </w:r>
          </w:p>
        </w:tc>
        <w:tc>
          <w:tcPr>
            <w:tcW w:w="436" w:type="pct"/>
            <w:shd w:val="clear" w:color="auto" w:fill="auto"/>
            <w:vAlign w:val="top"/>
          </w:tcPr>
          <w:p w14:paraId="72BA7D1B">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5091DC1A">
            <w:pPr>
              <w:pStyle w:val="26"/>
              <w:bidi w:val="0"/>
              <w:rPr>
                <w:rFonts w:hint="eastAsia"/>
                <w:lang w:val="en-US" w:eastAsia="zh-CN"/>
              </w:rPr>
            </w:pPr>
            <w:r>
              <w:rPr>
                <w:rFonts w:hint="eastAsia"/>
                <w:lang w:val="en-US" w:eastAsia="zh-CN"/>
              </w:rPr>
              <w:t>0.75</w:t>
            </w:r>
          </w:p>
        </w:tc>
        <w:tc>
          <w:tcPr>
            <w:tcW w:w="391" w:type="pct"/>
            <w:vMerge w:val="continue"/>
            <w:vAlign w:val="center"/>
          </w:tcPr>
          <w:p w14:paraId="0A5DFCC5">
            <w:pPr>
              <w:pStyle w:val="26"/>
              <w:bidi w:val="0"/>
              <w:rPr/>
            </w:pPr>
          </w:p>
        </w:tc>
        <w:tc>
          <w:tcPr>
            <w:tcW w:w="505" w:type="pct"/>
            <w:shd w:val="clear" w:color="auto" w:fill="auto"/>
            <w:vAlign w:val="center"/>
          </w:tcPr>
          <w:p w14:paraId="1B8DDF59">
            <w:pPr>
              <w:pStyle w:val="26"/>
              <w:bidi w:val="0"/>
              <w:rPr>
                <w:lang w:val="en-US" w:eastAsia="zh-CN"/>
              </w:rPr>
            </w:pPr>
            <w:r>
              <w:rPr>
                <w:rFonts w:hint="eastAsia"/>
                <w:lang w:val="en-US" w:eastAsia="zh-CN"/>
              </w:rPr>
              <w:t>达标</w:t>
            </w:r>
          </w:p>
        </w:tc>
      </w:tr>
      <w:tr w14:paraId="7D15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0A11A9CB">
            <w:pPr>
              <w:pStyle w:val="26"/>
              <w:bidi w:val="0"/>
              <w:rPr/>
            </w:pPr>
          </w:p>
        </w:tc>
        <w:tc>
          <w:tcPr>
            <w:tcW w:w="469" w:type="pct"/>
            <w:vMerge w:val="continue"/>
            <w:shd w:val="clear" w:color="auto" w:fill="auto"/>
            <w:vAlign w:val="center"/>
          </w:tcPr>
          <w:p w14:paraId="0C739074">
            <w:pPr>
              <w:pStyle w:val="26"/>
              <w:bidi w:val="0"/>
              <w:rPr/>
            </w:pPr>
          </w:p>
        </w:tc>
        <w:tc>
          <w:tcPr>
            <w:tcW w:w="759" w:type="pct"/>
            <w:vMerge w:val="continue"/>
            <w:shd w:val="clear" w:color="auto" w:fill="auto"/>
            <w:vAlign w:val="top"/>
          </w:tcPr>
          <w:p w14:paraId="6A0BC721">
            <w:pPr>
              <w:pStyle w:val="26"/>
              <w:bidi w:val="0"/>
              <w:rPr/>
            </w:pPr>
          </w:p>
        </w:tc>
        <w:tc>
          <w:tcPr>
            <w:tcW w:w="682" w:type="pct"/>
            <w:shd w:val="clear" w:color="auto" w:fill="auto"/>
            <w:vAlign w:val="top"/>
          </w:tcPr>
          <w:p w14:paraId="22364A43">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427B05D2">
            <w:pPr>
              <w:pStyle w:val="26"/>
              <w:bidi w:val="0"/>
              <w:rPr>
                <w:rFonts w:hint="eastAsia"/>
                <w:lang w:val="en-US" w:eastAsia="zh-CN"/>
              </w:rPr>
            </w:pPr>
            <w:r>
              <w:rPr>
                <w:rFonts w:hint="eastAsia"/>
                <w:lang w:val="en-US" w:eastAsia="zh-CN"/>
              </w:rPr>
              <w:t>0.68</w:t>
            </w:r>
          </w:p>
        </w:tc>
        <w:tc>
          <w:tcPr>
            <w:tcW w:w="406" w:type="pct"/>
            <w:shd w:val="clear" w:color="auto" w:fill="auto"/>
            <w:vAlign w:val="top"/>
          </w:tcPr>
          <w:p w14:paraId="31E8A491">
            <w:pPr>
              <w:pStyle w:val="26"/>
              <w:bidi w:val="0"/>
              <w:rPr>
                <w:rFonts w:hint="eastAsia"/>
                <w:lang w:val="en-US" w:eastAsia="zh-CN"/>
              </w:rPr>
            </w:pPr>
            <w:r>
              <w:rPr>
                <w:rFonts w:hint="eastAsia"/>
                <w:lang w:val="en-US" w:eastAsia="zh-CN"/>
              </w:rPr>
              <w:t>0.70</w:t>
            </w:r>
          </w:p>
        </w:tc>
        <w:tc>
          <w:tcPr>
            <w:tcW w:w="436" w:type="pct"/>
            <w:shd w:val="clear" w:color="auto" w:fill="auto"/>
            <w:vAlign w:val="top"/>
          </w:tcPr>
          <w:p w14:paraId="696B1565">
            <w:pPr>
              <w:pStyle w:val="26"/>
              <w:bidi w:val="0"/>
              <w:rPr>
                <w:rFonts w:hint="eastAsia"/>
                <w:lang w:val="en-US" w:eastAsia="zh-CN"/>
              </w:rPr>
            </w:pPr>
            <w:r>
              <w:rPr>
                <w:rFonts w:hint="eastAsia"/>
                <w:lang w:val="en-US" w:eastAsia="zh-CN"/>
              </w:rPr>
              <w:t>0.74</w:t>
            </w:r>
          </w:p>
        </w:tc>
        <w:tc>
          <w:tcPr>
            <w:tcW w:w="437" w:type="pct"/>
            <w:shd w:val="clear" w:color="auto" w:fill="auto"/>
            <w:vAlign w:val="top"/>
          </w:tcPr>
          <w:p w14:paraId="38DA3DDD">
            <w:pPr>
              <w:pStyle w:val="26"/>
              <w:bidi w:val="0"/>
              <w:rPr>
                <w:rFonts w:hint="eastAsia"/>
                <w:lang w:val="en-US" w:eastAsia="zh-CN"/>
              </w:rPr>
            </w:pPr>
            <w:r>
              <w:rPr>
                <w:rFonts w:hint="eastAsia"/>
                <w:lang w:val="en-US" w:eastAsia="zh-CN"/>
              </w:rPr>
              <w:t>0.71</w:t>
            </w:r>
          </w:p>
        </w:tc>
        <w:tc>
          <w:tcPr>
            <w:tcW w:w="391" w:type="pct"/>
            <w:vMerge w:val="continue"/>
            <w:vAlign w:val="center"/>
          </w:tcPr>
          <w:p w14:paraId="36538A46">
            <w:pPr>
              <w:pStyle w:val="26"/>
              <w:bidi w:val="0"/>
              <w:rPr>
                <w:rFonts w:hint="eastAsia"/>
                <w:lang w:val="en-US" w:eastAsia="zh-CN"/>
              </w:rPr>
            </w:pPr>
          </w:p>
        </w:tc>
        <w:tc>
          <w:tcPr>
            <w:tcW w:w="505" w:type="pct"/>
            <w:shd w:val="clear" w:color="auto" w:fill="auto"/>
            <w:vAlign w:val="center"/>
          </w:tcPr>
          <w:p w14:paraId="689A7750">
            <w:pPr>
              <w:pStyle w:val="26"/>
              <w:bidi w:val="0"/>
              <w:rPr>
                <w:rFonts w:hint="eastAsia"/>
                <w:lang w:val="en-US" w:eastAsia="zh-CN"/>
              </w:rPr>
            </w:pPr>
            <w:r>
              <w:rPr>
                <w:rFonts w:hint="eastAsia"/>
                <w:lang w:val="en-US" w:eastAsia="zh-CN"/>
              </w:rPr>
              <w:t>达标</w:t>
            </w:r>
          </w:p>
        </w:tc>
      </w:tr>
      <w:tr w14:paraId="7543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6E8ED32A">
            <w:pPr>
              <w:pStyle w:val="26"/>
              <w:bidi w:val="0"/>
              <w:rPr>
                <w:rFonts w:hint="eastAsia"/>
                <w:lang w:val="en-US" w:eastAsia="zh-CN"/>
              </w:rPr>
            </w:pPr>
          </w:p>
        </w:tc>
        <w:tc>
          <w:tcPr>
            <w:tcW w:w="469" w:type="pct"/>
            <w:vMerge w:val="continue"/>
            <w:shd w:val="clear" w:color="auto" w:fill="auto"/>
            <w:vAlign w:val="center"/>
          </w:tcPr>
          <w:p w14:paraId="45108213">
            <w:pPr>
              <w:pStyle w:val="26"/>
              <w:bidi w:val="0"/>
              <w:rPr>
                <w:rFonts w:hint="eastAsia"/>
                <w:lang w:val="en-US" w:eastAsia="zh-CN"/>
              </w:rPr>
            </w:pPr>
          </w:p>
        </w:tc>
        <w:tc>
          <w:tcPr>
            <w:tcW w:w="759" w:type="pct"/>
            <w:vMerge w:val="continue"/>
            <w:shd w:val="clear" w:color="auto" w:fill="auto"/>
            <w:vAlign w:val="top"/>
          </w:tcPr>
          <w:p w14:paraId="5B133410">
            <w:pPr>
              <w:pStyle w:val="26"/>
              <w:bidi w:val="0"/>
              <w:rPr>
                <w:rFonts w:hint="eastAsia"/>
                <w:lang w:val="en-US" w:eastAsia="zh-CN"/>
              </w:rPr>
            </w:pPr>
          </w:p>
        </w:tc>
        <w:tc>
          <w:tcPr>
            <w:tcW w:w="682" w:type="pct"/>
            <w:shd w:val="clear" w:color="auto" w:fill="auto"/>
            <w:vAlign w:val="top"/>
          </w:tcPr>
          <w:p w14:paraId="3EA680FC">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1EFA8D22">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13B0624A">
            <w:pPr>
              <w:pStyle w:val="26"/>
              <w:bidi w:val="0"/>
              <w:rPr>
                <w:rFonts w:hint="eastAsia"/>
                <w:lang w:val="en-US" w:eastAsia="zh-CN"/>
              </w:rPr>
            </w:pPr>
            <w:r>
              <w:rPr>
                <w:rFonts w:hint="eastAsia"/>
                <w:lang w:val="en-US" w:eastAsia="zh-CN"/>
              </w:rPr>
              <w:t>0.70</w:t>
            </w:r>
          </w:p>
        </w:tc>
        <w:tc>
          <w:tcPr>
            <w:tcW w:w="436" w:type="pct"/>
            <w:shd w:val="clear" w:color="auto" w:fill="auto"/>
            <w:vAlign w:val="top"/>
          </w:tcPr>
          <w:p w14:paraId="01F02B80">
            <w:pPr>
              <w:pStyle w:val="26"/>
              <w:bidi w:val="0"/>
              <w:rPr>
                <w:rFonts w:hint="eastAsia"/>
                <w:lang w:val="en-US" w:eastAsia="zh-CN"/>
              </w:rPr>
            </w:pPr>
            <w:r>
              <w:rPr>
                <w:rFonts w:hint="eastAsia"/>
                <w:lang w:val="en-US" w:eastAsia="zh-CN"/>
              </w:rPr>
              <w:t>0.78</w:t>
            </w:r>
          </w:p>
        </w:tc>
        <w:tc>
          <w:tcPr>
            <w:tcW w:w="437" w:type="pct"/>
            <w:shd w:val="clear" w:color="auto" w:fill="auto"/>
            <w:vAlign w:val="top"/>
          </w:tcPr>
          <w:p w14:paraId="169AA9FB">
            <w:pPr>
              <w:pStyle w:val="26"/>
              <w:bidi w:val="0"/>
              <w:rPr>
                <w:rFonts w:hint="eastAsia"/>
                <w:lang w:val="en-US" w:eastAsia="zh-CN"/>
              </w:rPr>
            </w:pPr>
            <w:r>
              <w:rPr>
                <w:rFonts w:hint="eastAsia"/>
                <w:lang w:val="en-US" w:eastAsia="zh-CN"/>
              </w:rPr>
              <w:t>0.75</w:t>
            </w:r>
          </w:p>
        </w:tc>
        <w:tc>
          <w:tcPr>
            <w:tcW w:w="391" w:type="pct"/>
            <w:vMerge w:val="continue"/>
            <w:vAlign w:val="center"/>
          </w:tcPr>
          <w:p w14:paraId="3C789BF6">
            <w:pPr>
              <w:pStyle w:val="26"/>
              <w:bidi w:val="0"/>
              <w:rPr>
                <w:rFonts w:hint="eastAsia"/>
                <w:lang w:val="en-US" w:eastAsia="zh-CN"/>
              </w:rPr>
            </w:pPr>
          </w:p>
        </w:tc>
        <w:tc>
          <w:tcPr>
            <w:tcW w:w="505" w:type="pct"/>
            <w:shd w:val="clear" w:color="auto" w:fill="auto"/>
            <w:vAlign w:val="center"/>
          </w:tcPr>
          <w:p w14:paraId="258F7E3A">
            <w:pPr>
              <w:pStyle w:val="26"/>
              <w:bidi w:val="0"/>
              <w:rPr>
                <w:rFonts w:hint="eastAsia"/>
                <w:lang w:val="en-US" w:eastAsia="zh-CN"/>
              </w:rPr>
            </w:pPr>
            <w:r>
              <w:rPr>
                <w:rFonts w:hint="eastAsia"/>
                <w:lang w:val="en-US" w:eastAsia="zh-CN"/>
              </w:rPr>
              <w:t>达标</w:t>
            </w:r>
          </w:p>
        </w:tc>
      </w:tr>
      <w:tr w14:paraId="63A6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3096F075">
            <w:pPr>
              <w:pStyle w:val="26"/>
              <w:bidi w:val="0"/>
              <w:rPr>
                <w:rFonts w:hint="eastAsia"/>
                <w:lang w:val="en-US" w:eastAsia="zh-CN"/>
              </w:rPr>
            </w:pPr>
          </w:p>
        </w:tc>
        <w:tc>
          <w:tcPr>
            <w:tcW w:w="469" w:type="pct"/>
            <w:vMerge w:val="continue"/>
            <w:shd w:val="clear" w:color="auto" w:fill="auto"/>
            <w:vAlign w:val="center"/>
          </w:tcPr>
          <w:p w14:paraId="71631608">
            <w:pPr>
              <w:pStyle w:val="26"/>
              <w:bidi w:val="0"/>
              <w:rPr>
                <w:rFonts w:hint="eastAsia"/>
                <w:lang w:val="en-US" w:eastAsia="zh-CN"/>
              </w:rPr>
            </w:pPr>
          </w:p>
        </w:tc>
        <w:tc>
          <w:tcPr>
            <w:tcW w:w="759" w:type="pct"/>
            <w:vMerge w:val="continue"/>
            <w:shd w:val="clear" w:color="auto" w:fill="auto"/>
            <w:vAlign w:val="top"/>
          </w:tcPr>
          <w:p w14:paraId="434C7458">
            <w:pPr>
              <w:pStyle w:val="26"/>
              <w:bidi w:val="0"/>
              <w:rPr>
                <w:rFonts w:hint="eastAsia"/>
                <w:lang w:val="en-US" w:eastAsia="zh-CN"/>
              </w:rPr>
            </w:pPr>
          </w:p>
        </w:tc>
        <w:tc>
          <w:tcPr>
            <w:tcW w:w="682" w:type="pct"/>
            <w:shd w:val="clear" w:color="auto" w:fill="auto"/>
            <w:vAlign w:val="top"/>
          </w:tcPr>
          <w:p w14:paraId="0DB232E6">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261FF8A4">
            <w:pPr>
              <w:pStyle w:val="26"/>
              <w:bidi w:val="0"/>
              <w:rPr>
                <w:rFonts w:hint="eastAsia"/>
                <w:lang w:val="en-US" w:eastAsia="zh-CN"/>
              </w:rPr>
            </w:pPr>
            <w:r>
              <w:rPr>
                <w:rFonts w:hint="eastAsia"/>
                <w:lang w:val="en-US" w:eastAsia="zh-CN"/>
              </w:rPr>
              <w:t>0.72</w:t>
            </w:r>
          </w:p>
        </w:tc>
        <w:tc>
          <w:tcPr>
            <w:tcW w:w="406" w:type="pct"/>
            <w:shd w:val="clear" w:color="auto" w:fill="auto"/>
            <w:vAlign w:val="top"/>
          </w:tcPr>
          <w:p w14:paraId="55423F2B">
            <w:pPr>
              <w:pStyle w:val="26"/>
              <w:bidi w:val="0"/>
              <w:rPr>
                <w:rFonts w:hint="eastAsia"/>
                <w:lang w:val="en-US" w:eastAsia="zh-CN"/>
              </w:rPr>
            </w:pPr>
            <w:r>
              <w:rPr>
                <w:rFonts w:hint="eastAsia"/>
                <w:lang w:val="en-US" w:eastAsia="zh-CN"/>
              </w:rPr>
              <w:t>0.76</w:t>
            </w:r>
          </w:p>
        </w:tc>
        <w:tc>
          <w:tcPr>
            <w:tcW w:w="436" w:type="pct"/>
            <w:shd w:val="clear" w:color="auto" w:fill="auto"/>
            <w:vAlign w:val="top"/>
          </w:tcPr>
          <w:p w14:paraId="723F64ED">
            <w:pPr>
              <w:pStyle w:val="26"/>
              <w:bidi w:val="0"/>
              <w:rPr>
                <w:rFonts w:hint="eastAsia"/>
                <w:lang w:val="en-US" w:eastAsia="zh-CN"/>
              </w:rPr>
            </w:pPr>
            <w:r>
              <w:rPr>
                <w:rFonts w:hint="eastAsia"/>
                <w:lang w:val="en-US" w:eastAsia="zh-CN"/>
              </w:rPr>
              <w:t>0.68</w:t>
            </w:r>
          </w:p>
        </w:tc>
        <w:tc>
          <w:tcPr>
            <w:tcW w:w="437" w:type="pct"/>
            <w:shd w:val="clear" w:color="auto" w:fill="auto"/>
            <w:vAlign w:val="top"/>
          </w:tcPr>
          <w:p w14:paraId="3AFABCF5">
            <w:pPr>
              <w:pStyle w:val="26"/>
              <w:bidi w:val="0"/>
              <w:rPr>
                <w:rFonts w:hint="eastAsia"/>
                <w:lang w:val="en-US" w:eastAsia="zh-CN"/>
              </w:rPr>
            </w:pPr>
            <w:r>
              <w:rPr>
                <w:rFonts w:hint="eastAsia"/>
                <w:lang w:val="en-US" w:eastAsia="zh-CN"/>
              </w:rPr>
              <w:t>0.72</w:t>
            </w:r>
          </w:p>
        </w:tc>
        <w:tc>
          <w:tcPr>
            <w:tcW w:w="391" w:type="pct"/>
            <w:vMerge w:val="continue"/>
            <w:vAlign w:val="center"/>
          </w:tcPr>
          <w:p w14:paraId="20068D63">
            <w:pPr>
              <w:pStyle w:val="26"/>
              <w:bidi w:val="0"/>
              <w:rPr>
                <w:rFonts w:hint="eastAsia"/>
                <w:lang w:val="en-US" w:eastAsia="zh-CN"/>
              </w:rPr>
            </w:pPr>
          </w:p>
        </w:tc>
        <w:tc>
          <w:tcPr>
            <w:tcW w:w="505" w:type="pct"/>
            <w:shd w:val="clear" w:color="auto" w:fill="auto"/>
            <w:vAlign w:val="center"/>
          </w:tcPr>
          <w:p w14:paraId="14DD484B">
            <w:pPr>
              <w:pStyle w:val="26"/>
              <w:bidi w:val="0"/>
              <w:rPr>
                <w:rFonts w:hint="eastAsia"/>
                <w:lang w:val="en-US" w:eastAsia="zh-CN"/>
              </w:rPr>
            </w:pPr>
            <w:r>
              <w:rPr>
                <w:rFonts w:hint="eastAsia"/>
                <w:lang w:val="en-US" w:eastAsia="zh-CN"/>
              </w:rPr>
              <w:t>达标</w:t>
            </w:r>
          </w:p>
        </w:tc>
      </w:tr>
      <w:tr w14:paraId="5210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6B7923B">
            <w:pPr>
              <w:pStyle w:val="26"/>
              <w:bidi w:val="0"/>
              <w:rPr/>
            </w:pPr>
          </w:p>
        </w:tc>
        <w:tc>
          <w:tcPr>
            <w:tcW w:w="469" w:type="pct"/>
            <w:vMerge w:val="continue"/>
            <w:shd w:val="clear" w:color="auto" w:fill="auto"/>
            <w:vAlign w:val="center"/>
          </w:tcPr>
          <w:p w14:paraId="753786E6">
            <w:pPr>
              <w:pStyle w:val="26"/>
              <w:bidi w:val="0"/>
              <w:rPr/>
            </w:pPr>
          </w:p>
        </w:tc>
        <w:tc>
          <w:tcPr>
            <w:tcW w:w="759" w:type="pct"/>
            <w:vMerge w:val="restart"/>
            <w:shd w:val="clear" w:color="auto" w:fill="auto"/>
            <w:vAlign w:val="top"/>
          </w:tcPr>
          <w:p w14:paraId="4E79CD21">
            <w:pPr>
              <w:pStyle w:val="26"/>
              <w:bidi w:val="0"/>
              <w:rPr>
                <w:rFonts w:hint="default"/>
                <w:lang w:val="en-US" w:eastAsia="zh-CN"/>
              </w:rPr>
            </w:pPr>
            <w:r>
              <w:rPr>
                <w:lang w:val="en-US" w:eastAsia="zh-CN"/>
              </w:rPr>
              <w:t>2023- 11-30</w:t>
            </w:r>
          </w:p>
        </w:tc>
        <w:tc>
          <w:tcPr>
            <w:tcW w:w="682" w:type="pct"/>
            <w:shd w:val="clear" w:color="auto" w:fill="auto"/>
            <w:vAlign w:val="top"/>
          </w:tcPr>
          <w:p w14:paraId="46EA2140">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43A025B2">
            <w:pPr>
              <w:pStyle w:val="26"/>
              <w:bidi w:val="0"/>
              <w:rPr>
                <w:rFonts w:hint="eastAsia"/>
                <w:lang w:val="en-US" w:eastAsia="zh-CN"/>
              </w:rPr>
            </w:pPr>
            <w:r>
              <w:rPr>
                <w:rFonts w:hint="eastAsia"/>
                <w:lang w:val="en-US" w:eastAsia="zh-CN"/>
              </w:rPr>
              <w:t>0.73</w:t>
            </w:r>
          </w:p>
        </w:tc>
        <w:tc>
          <w:tcPr>
            <w:tcW w:w="406" w:type="pct"/>
            <w:shd w:val="clear" w:color="auto" w:fill="auto"/>
            <w:vAlign w:val="top"/>
          </w:tcPr>
          <w:p w14:paraId="01A67E19">
            <w:pPr>
              <w:pStyle w:val="26"/>
              <w:bidi w:val="0"/>
              <w:rPr>
                <w:rFonts w:hint="eastAsia"/>
                <w:lang w:val="en-US" w:eastAsia="zh-CN"/>
              </w:rPr>
            </w:pPr>
            <w:r>
              <w:rPr>
                <w:rFonts w:hint="eastAsia"/>
                <w:lang w:val="en-US" w:eastAsia="zh-CN"/>
              </w:rPr>
              <w:t>0.77</w:t>
            </w:r>
          </w:p>
        </w:tc>
        <w:tc>
          <w:tcPr>
            <w:tcW w:w="436" w:type="pct"/>
            <w:shd w:val="clear" w:color="auto" w:fill="auto"/>
            <w:vAlign w:val="top"/>
          </w:tcPr>
          <w:p w14:paraId="50133AE8">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005C97BD">
            <w:pPr>
              <w:pStyle w:val="26"/>
              <w:bidi w:val="0"/>
              <w:rPr>
                <w:rFonts w:hint="eastAsia"/>
                <w:lang w:val="en-US" w:eastAsia="zh-CN"/>
              </w:rPr>
            </w:pPr>
            <w:r>
              <w:rPr>
                <w:rFonts w:hint="eastAsia"/>
                <w:lang w:val="en-US" w:eastAsia="zh-CN"/>
              </w:rPr>
              <w:t>0.75</w:t>
            </w:r>
          </w:p>
        </w:tc>
        <w:tc>
          <w:tcPr>
            <w:tcW w:w="391" w:type="pct"/>
            <w:vMerge w:val="continue"/>
            <w:vAlign w:val="center"/>
          </w:tcPr>
          <w:p w14:paraId="290B2150">
            <w:pPr>
              <w:pStyle w:val="26"/>
              <w:bidi w:val="0"/>
              <w:rPr/>
            </w:pPr>
          </w:p>
        </w:tc>
        <w:tc>
          <w:tcPr>
            <w:tcW w:w="505" w:type="pct"/>
            <w:vAlign w:val="center"/>
          </w:tcPr>
          <w:p w14:paraId="228A8DF1">
            <w:pPr>
              <w:pStyle w:val="26"/>
              <w:bidi w:val="0"/>
              <w:rPr/>
            </w:pPr>
            <w:r>
              <w:rPr>
                <w:rFonts w:hint="eastAsia"/>
                <w:lang w:val="en-US" w:eastAsia="zh-CN"/>
              </w:rPr>
              <w:t>达标</w:t>
            </w:r>
          </w:p>
        </w:tc>
      </w:tr>
      <w:tr w14:paraId="76F2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C77C26B">
            <w:pPr>
              <w:pStyle w:val="26"/>
              <w:bidi w:val="0"/>
              <w:rPr/>
            </w:pPr>
          </w:p>
        </w:tc>
        <w:tc>
          <w:tcPr>
            <w:tcW w:w="469" w:type="pct"/>
            <w:vMerge w:val="continue"/>
            <w:shd w:val="clear" w:color="auto" w:fill="auto"/>
            <w:vAlign w:val="center"/>
          </w:tcPr>
          <w:p w14:paraId="426E6E79">
            <w:pPr>
              <w:pStyle w:val="26"/>
              <w:bidi w:val="0"/>
              <w:rPr/>
            </w:pPr>
          </w:p>
        </w:tc>
        <w:tc>
          <w:tcPr>
            <w:tcW w:w="759" w:type="pct"/>
            <w:vMerge w:val="continue"/>
            <w:shd w:val="clear" w:color="auto" w:fill="auto"/>
            <w:vAlign w:val="top"/>
          </w:tcPr>
          <w:p w14:paraId="5FDAEF2C">
            <w:pPr>
              <w:pStyle w:val="26"/>
              <w:bidi w:val="0"/>
              <w:rPr/>
            </w:pPr>
          </w:p>
        </w:tc>
        <w:tc>
          <w:tcPr>
            <w:tcW w:w="682" w:type="pct"/>
            <w:shd w:val="clear" w:color="auto" w:fill="auto"/>
            <w:vAlign w:val="top"/>
          </w:tcPr>
          <w:p w14:paraId="6D8CBFE4">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5DEE7982">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01F2A5C4">
            <w:pPr>
              <w:pStyle w:val="26"/>
              <w:bidi w:val="0"/>
              <w:rPr>
                <w:rFonts w:hint="eastAsia"/>
                <w:lang w:val="en-US" w:eastAsia="zh-CN"/>
              </w:rPr>
            </w:pPr>
            <w:r>
              <w:rPr>
                <w:rFonts w:hint="eastAsia"/>
                <w:lang w:val="en-US" w:eastAsia="zh-CN"/>
              </w:rPr>
              <w:t>0.80</w:t>
            </w:r>
          </w:p>
        </w:tc>
        <w:tc>
          <w:tcPr>
            <w:tcW w:w="436" w:type="pct"/>
            <w:shd w:val="clear" w:color="auto" w:fill="auto"/>
            <w:vAlign w:val="top"/>
          </w:tcPr>
          <w:p w14:paraId="2636B9E7">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36A2D504">
            <w:pPr>
              <w:pStyle w:val="26"/>
              <w:bidi w:val="0"/>
              <w:rPr>
                <w:rFonts w:hint="eastAsia"/>
                <w:lang w:val="en-US" w:eastAsia="zh-CN"/>
              </w:rPr>
            </w:pPr>
            <w:r>
              <w:rPr>
                <w:rFonts w:hint="eastAsia"/>
                <w:lang w:val="en-US" w:eastAsia="zh-CN"/>
              </w:rPr>
              <w:t>0.78</w:t>
            </w:r>
          </w:p>
        </w:tc>
        <w:tc>
          <w:tcPr>
            <w:tcW w:w="391" w:type="pct"/>
            <w:vMerge w:val="continue"/>
            <w:vAlign w:val="center"/>
          </w:tcPr>
          <w:p w14:paraId="141B4CBF">
            <w:pPr>
              <w:pStyle w:val="26"/>
              <w:bidi w:val="0"/>
              <w:rPr>
                <w:rFonts w:hint="eastAsia"/>
                <w:lang w:val="en-US" w:eastAsia="zh-CN"/>
              </w:rPr>
            </w:pPr>
          </w:p>
        </w:tc>
        <w:tc>
          <w:tcPr>
            <w:tcW w:w="505" w:type="pct"/>
            <w:shd w:val="clear" w:color="auto" w:fill="auto"/>
            <w:vAlign w:val="center"/>
          </w:tcPr>
          <w:p w14:paraId="3C2ED31E">
            <w:pPr>
              <w:pStyle w:val="26"/>
              <w:bidi w:val="0"/>
              <w:rPr>
                <w:rFonts w:hint="eastAsia"/>
                <w:lang w:val="en-US" w:eastAsia="zh-CN"/>
              </w:rPr>
            </w:pPr>
            <w:r>
              <w:rPr>
                <w:rFonts w:hint="eastAsia"/>
                <w:lang w:val="en-US" w:eastAsia="zh-CN"/>
              </w:rPr>
              <w:t>达标</w:t>
            </w:r>
          </w:p>
        </w:tc>
      </w:tr>
      <w:tr w14:paraId="737E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6B32CE5">
            <w:pPr>
              <w:pStyle w:val="26"/>
              <w:bidi w:val="0"/>
              <w:rPr>
                <w:rFonts w:hint="eastAsia"/>
                <w:lang w:val="en-US" w:eastAsia="zh-CN"/>
              </w:rPr>
            </w:pPr>
          </w:p>
        </w:tc>
        <w:tc>
          <w:tcPr>
            <w:tcW w:w="469" w:type="pct"/>
            <w:vMerge w:val="continue"/>
            <w:shd w:val="clear" w:color="auto" w:fill="auto"/>
            <w:vAlign w:val="center"/>
          </w:tcPr>
          <w:p w14:paraId="7BF672ED">
            <w:pPr>
              <w:pStyle w:val="26"/>
              <w:bidi w:val="0"/>
              <w:rPr>
                <w:rFonts w:hint="eastAsia"/>
                <w:lang w:val="en-US" w:eastAsia="zh-CN"/>
              </w:rPr>
            </w:pPr>
          </w:p>
        </w:tc>
        <w:tc>
          <w:tcPr>
            <w:tcW w:w="759" w:type="pct"/>
            <w:vMerge w:val="continue"/>
            <w:shd w:val="clear" w:color="auto" w:fill="auto"/>
            <w:vAlign w:val="top"/>
          </w:tcPr>
          <w:p w14:paraId="27520CCF">
            <w:pPr>
              <w:pStyle w:val="26"/>
              <w:bidi w:val="0"/>
              <w:rPr>
                <w:rFonts w:hint="eastAsia"/>
                <w:lang w:val="en-US" w:eastAsia="zh-CN"/>
              </w:rPr>
            </w:pPr>
          </w:p>
        </w:tc>
        <w:tc>
          <w:tcPr>
            <w:tcW w:w="682" w:type="pct"/>
            <w:shd w:val="clear" w:color="auto" w:fill="auto"/>
            <w:vAlign w:val="top"/>
          </w:tcPr>
          <w:p w14:paraId="140CC107">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10034C7A">
            <w:pPr>
              <w:pStyle w:val="26"/>
              <w:bidi w:val="0"/>
              <w:rPr>
                <w:rFonts w:hint="eastAsia"/>
                <w:lang w:val="en-US" w:eastAsia="zh-CN"/>
              </w:rPr>
            </w:pPr>
            <w:r>
              <w:rPr>
                <w:rFonts w:hint="eastAsia"/>
                <w:lang w:val="en-US" w:eastAsia="zh-CN"/>
              </w:rPr>
              <w:t>0.70</w:t>
            </w:r>
          </w:p>
        </w:tc>
        <w:tc>
          <w:tcPr>
            <w:tcW w:w="406" w:type="pct"/>
            <w:shd w:val="clear" w:color="auto" w:fill="auto"/>
            <w:vAlign w:val="top"/>
          </w:tcPr>
          <w:p w14:paraId="2E1F3BF2">
            <w:pPr>
              <w:pStyle w:val="26"/>
              <w:bidi w:val="0"/>
              <w:rPr>
                <w:rFonts w:hint="eastAsia"/>
                <w:lang w:val="en-US" w:eastAsia="zh-CN"/>
              </w:rPr>
            </w:pPr>
            <w:r>
              <w:rPr>
                <w:rFonts w:hint="eastAsia"/>
                <w:lang w:val="en-US" w:eastAsia="zh-CN"/>
              </w:rPr>
              <w:t>0.76</w:t>
            </w:r>
          </w:p>
        </w:tc>
        <w:tc>
          <w:tcPr>
            <w:tcW w:w="436" w:type="pct"/>
            <w:shd w:val="clear" w:color="auto" w:fill="auto"/>
            <w:vAlign w:val="top"/>
          </w:tcPr>
          <w:p w14:paraId="3383FEB1">
            <w:pPr>
              <w:pStyle w:val="26"/>
              <w:bidi w:val="0"/>
              <w:rPr>
                <w:rFonts w:hint="eastAsia"/>
                <w:lang w:val="en-US" w:eastAsia="zh-CN"/>
              </w:rPr>
            </w:pPr>
            <w:r>
              <w:rPr>
                <w:rFonts w:hint="eastAsia"/>
                <w:lang w:val="en-US" w:eastAsia="zh-CN"/>
              </w:rPr>
              <w:t>0.70</w:t>
            </w:r>
          </w:p>
        </w:tc>
        <w:tc>
          <w:tcPr>
            <w:tcW w:w="437" w:type="pct"/>
            <w:shd w:val="clear" w:color="auto" w:fill="auto"/>
            <w:vAlign w:val="top"/>
          </w:tcPr>
          <w:p w14:paraId="7AA422C4">
            <w:pPr>
              <w:pStyle w:val="26"/>
              <w:bidi w:val="0"/>
              <w:rPr>
                <w:rFonts w:hint="eastAsia"/>
                <w:lang w:val="en-US" w:eastAsia="zh-CN"/>
              </w:rPr>
            </w:pPr>
            <w:r>
              <w:rPr>
                <w:rFonts w:hint="eastAsia"/>
                <w:lang w:val="en-US" w:eastAsia="zh-CN"/>
              </w:rPr>
              <w:t>0.72</w:t>
            </w:r>
          </w:p>
        </w:tc>
        <w:tc>
          <w:tcPr>
            <w:tcW w:w="391" w:type="pct"/>
            <w:vMerge w:val="continue"/>
            <w:vAlign w:val="center"/>
          </w:tcPr>
          <w:p w14:paraId="2A90DA85">
            <w:pPr>
              <w:pStyle w:val="26"/>
              <w:bidi w:val="0"/>
              <w:rPr>
                <w:rFonts w:hint="eastAsia"/>
                <w:lang w:val="en-US" w:eastAsia="zh-CN"/>
              </w:rPr>
            </w:pPr>
          </w:p>
        </w:tc>
        <w:tc>
          <w:tcPr>
            <w:tcW w:w="505" w:type="pct"/>
            <w:shd w:val="clear" w:color="auto" w:fill="auto"/>
            <w:vAlign w:val="center"/>
          </w:tcPr>
          <w:p w14:paraId="5F3B0358">
            <w:pPr>
              <w:pStyle w:val="26"/>
              <w:bidi w:val="0"/>
              <w:rPr>
                <w:rFonts w:hint="eastAsia"/>
                <w:lang w:val="en-US" w:eastAsia="zh-CN"/>
              </w:rPr>
            </w:pPr>
            <w:r>
              <w:rPr>
                <w:rFonts w:hint="eastAsia"/>
                <w:lang w:val="en-US" w:eastAsia="zh-CN"/>
              </w:rPr>
              <w:t>达标</w:t>
            </w:r>
          </w:p>
        </w:tc>
      </w:tr>
      <w:tr w14:paraId="3FAB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5CA9EF24">
            <w:pPr>
              <w:pStyle w:val="26"/>
              <w:bidi w:val="0"/>
              <w:rPr>
                <w:rFonts w:hint="eastAsia"/>
                <w:lang w:val="en-US" w:eastAsia="zh-CN"/>
              </w:rPr>
            </w:pPr>
          </w:p>
        </w:tc>
        <w:tc>
          <w:tcPr>
            <w:tcW w:w="469" w:type="pct"/>
            <w:vMerge w:val="continue"/>
            <w:shd w:val="clear" w:color="auto" w:fill="auto"/>
            <w:vAlign w:val="center"/>
          </w:tcPr>
          <w:p w14:paraId="2D3C3C80">
            <w:pPr>
              <w:pStyle w:val="26"/>
              <w:bidi w:val="0"/>
              <w:rPr>
                <w:rFonts w:hint="eastAsia"/>
                <w:lang w:val="en-US" w:eastAsia="zh-CN"/>
              </w:rPr>
            </w:pPr>
          </w:p>
        </w:tc>
        <w:tc>
          <w:tcPr>
            <w:tcW w:w="759" w:type="pct"/>
            <w:vMerge w:val="continue"/>
            <w:shd w:val="clear" w:color="auto" w:fill="auto"/>
            <w:vAlign w:val="top"/>
          </w:tcPr>
          <w:p w14:paraId="392A107C">
            <w:pPr>
              <w:pStyle w:val="26"/>
              <w:bidi w:val="0"/>
              <w:rPr>
                <w:rFonts w:hint="eastAsia"/>
                <w:lang w:val="en-US" w:eastAsia="zh-CN"/>
              </w:rPr>
            </w:pPr>
          </w:p>
        </w:tc>
        <w:tc>
          <w:tcPr>
            <w:tcW w:w="682" w:type="pct"/>
            <w:shd w:val="clear" w:color="auto" w:fill="auto"/>
            <w:vAlign w:val="top"/>
          </w:tcPr>
          <w:p w14:paraId="1AD2C503">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0FF4A1D9">
            <w:pPr>
              <w:pStyle w:val="26"/>
              <w:bidi w:val="0"/>
              <w:rPr>
                <w:rFonts w:hint="eastAsia"/>
                <w:lang w:val="en-US" w:eastAsia="zh-CN"/>
              </w:rPr>
            </w:pPr>
            <w:r>
              <w:rPr>
                <w:rFonts w:hint="eastAsia"/>
                <w:lang w:val="en-US" w:eastAsia="zh-CN"/>
              </w:rPr>
              <w:t>0.80</w:t>
            </w:r>
          </w:p>
        </w:tc>
        <w:tc>
          <w:tcPr>
            <w:tcW w:w="406" w:type="pct"/>
            <w:shd w:val="clear" w:color="auto" w:fill="auto"/>
            <w:vAlign w:val="top"/>
          </w:tcPr>
          <w:p w14:paraId="2AE245ED">
            <w:pPr>
              <w:pStyle w:val="26"/>
              <w:bidi w:val="0"/>
              <w:rPr>
                <w:rFonts w:hint="eastAsia"/>
                <w:lang w:val="en-US" w:eastAsia="zh-CN"/>
              </w:rPr>
            </w:pPr>
            <w:r>
              <w:rPr>
                <w:rFonts w:hint="eastAsia"/>
                <w:lang w:val="en-US" w:eastAsia="zh-CN"/>
              </w:rPr>
              <w:t>0.86</w:t>
            </w:r>
          </w:p>
        </w:tc>
        <w:tc>
          <w:tcPr>
            <w:tcW w:w="436" w:type="pct"/>
            <w:shd w:val="clear" w:color="auto" w:fill="auto"/>
            <w:vAlign w:val="top"/>
          </w:tcPr>
          <w:p w14:paraId="1884B3BC">
            <w:pPr>
              <w:pStyle w:val="26"/>
              <w:bidi w:val="0"/>
              <w:rPr>
                <w:rFonts w:hint="eastAsia"/>
                <w:lang w:val="en-US" w:eastAsia="zh-CN"/>
              </w:rPr>
            </w:pPr>
            <w:r>
              <w:rPr>
                <w:rFonts w:hint="eastAsia"/>
                <w:lang w:val="en-US" w:eastAsia="zh-CN"/>
              </w:rPr>
              <w:t>0.66</w:t>
            </w:r>
          </w:p>
        </w:tc>
        <w:tc>
          <w:tcPr>
            <w:tcW w:w="437" w:type="pct"/>
            <w:shd w:val="clear" w:color="auto" w:fill="auto"/>
            <w:vAlign w:val="top"/>
          </w:tcPr>
          <w:p w14:paraId="716EFA1D">
            <w:pPr>
              <w:pStyle w:val="26"/>
              <w:bidi w:val="0"/>
              <w:rPr>
                <w:rFonts w:hint="eastAsia"/>
                <w:lang w:val="en-US" w:eastAsia="zh-CN"/>
              </w:rPr>
            </w:pPr>
            <w:r>
              <w:rPr>
                <w:rFonts w:hint="eastAsia"/>
                <w:lang w:val="en-US" w:eastAsia="zh-CN"/>
              </w:rPr>
              <w:t>0.77</w:t>
            </w:r>
          </w:p>
        </w:tc>
        <w:tc>
          <w:tcPr>
            <w:tcW w:w="391" w:type="pct"/>
            <w:vMerge w:val="continue"/>
            <w:vAlign w:val="center"/>
          </w:tcPr>
          <w:p w14:paraId="58E27CB5">
            <w:pPr>
              <w:pStyle w:val="26"/>
              <w:bidi w:val="0"/>
              <w:rPr>
                <w:rFonts w:hint="eastAsia"/>
                <w:lang w:val="en-US" w:eastAsia="zh-CN"/>
              </w:rPr>
            </w:pPr>
          </w:p>
        </w:tc>
        <w:tc>
          <w:tcPr>
            <w:tcW w:w="505" w:type="pct"/>
            <w:shd w:val="clear" w:color="auto" w:fill="auto"/>
            <w:vAlign w:val="center"/>
          </w:tcPr>
          <w:p w14:paraId="64BBD76B">
            <w:pPr>
              <w:pStyle w:val="26"/>
              <w:bidi w:val="0"/>
              <w:rPr>
                <w:rFonts w:hint="eastAsia"/>
                <w:lang w:val="en-US" w:eastAsia="zh-CN"/>
              </w:rPr>
            </w:pPr>
            <w:r>
              <w:rPr>
                <w:rFonts w:hint="eastAsia"/>
                <w:lang w:val="en-US" w:eastAsia="zh-CN"/>
              </w:rPr>
              <w:t>达标</w:t>
            </w:r>
          </w:p>
        </w:tc>
      </w:tr>
      <w:tr w14:paraId="2AF7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1B06DF85">
            <w:pPr>
              <w:pStyle w:val="26"/>
              <w:bidi w:val="0"/>
              <w:rPr/>
            </w:pPr>
          </w:p>
        </w:tc>
        <w:tc>
          <w:tcPr>
            <w:tcW w:w="469" w:type="pct"/>
            <w:vMerge w:val="continue"/>
            <w:shd w:val="clear" w:color="auto" w:fill="auto"/>
            <w:vAlign w:val="center"/>
          </w:tcPr>
          <w:p w14:paraId="61CD2AF0">
            <w:pPr>
              <w:pStyle w:val="26"/>
              <w:bidi w:val="0"/>
              <w:rPr/>
            </w:pPr>
          </w:p>
        </w:tc>
        <w:tc>
          <w:tcPr>
            <w:tcW w:w="759" w:type="pct"/>
            <w:vMerge w:val="restart"/>
            <w:shd w:val="clear" w:color="auto" w:fill="auto"/>
            <w:vAlign w:val="top"/>
          </w:tcPr>
          <w:p w14:paraId="03E52205">
            <w:pPr>
              <w:pStyle w:val="26"/>
              <w:bidi w:val="0"/>
              <w:rPr>
                <w:rFonts w:hint="default"/>
                <w:lang w:val="en-US" w:eastAsia="zh-CN"/>
              </w:rPr>
            </w:pPr>
            <w:r>
              <w:rPr>
                <w:lang w:val="en-US" w:eastAsia="zh-CN"/>
              </w:rPr>
              <w:t>2023- 12-01</w:t>
            </w:r>
          </w:p>
        </w:tc>
        <w:tc>
          <w:tcPr>
            <w:tcW w:w="682" w:type="pct"/>
            <w:shd w:val="clear" w:color="auto" w:fill="auto"/>
            <w:vAlign w:val="top"/>
          </w:tcPr>
          <w:p w14:paraId="71FAB00E">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415DA565">
            <w:pPr>
              <w:pStyle w:val="26"/>
              <w:bidi w:val="0"/>
              <w:rPr>
                <w:rFonts w:hint="eastAsia"/>
                <w:lang w:val="en-US" w:eastAsia="zh-CN"/>
              </w:rPr>
            </w:pPr>
            <w:r>
              <w:rPr>
                <w:rFonts w:hint="eastAsia"/>
                <w:lang w:val="en-US" w:eastAsia="zh-CN"/>
              </w:rPr>
              <w:t>0.59</w:t>
            </w:r>
          </w:p>
        </w:tc>
        <w:tc>
          <w:tcPr>
            <w:tcW w:w="406" w:type="pct"/>
            <w:shd w:val="clear" w:color="auto" w:fill="auto"/>
            <w:vAlign w:val="top"/>
          </w:tcPr>
          <w:p w14:paraId="487C53B1">
            <w:pPr>
              <w:pStyle w:val="26"/>
              <w:bidi w:val="0"/>
              <w:rPr>
                <w:rFonts w:hint="eastAsia"/>
                <w:lang w:val="en-US" w:eastAsia="zh-CN"/>
              </w:rPr>
            </w:pPr>
            <w:r>
              <w:rPr>
                <w:rFonts w:hint="eastAsia"/>
                <w:lang w:val="en-US" w:eastAsia="zh-CN"/>
              </w:rPr>
              <w:t>0.82</w:t>
            </w:r>
          </w:p>
        </w:tc>
        <w:tc>
          <w:tcPr>
            <w:tcW w:w="436" w:type="pct"/>
            <w:shd w:val="clear" w:color="auto" w:fill="auto"/>
            <w:vAlign w:val="top"/>
          </w:tcPr>
          <w:p w14:paraId="5B833285">
            <w:pPr>
              <w:pStyle w:val="26"/>
              <w:bidi w:val="0"/>
              <w:rPr>
                <w:rFonts w:hint="eastAsia"/>
                <w:lang w:val="en-US" w:eastAsia="zh-CN"/>
              </w:rPr>
            </w:pPr>
            <w:r>
              <w:rPr>
                <w:rFonts w:hint="eastAsia"/>
                <w:lang w:val="en-US" w:eastAsia="zh-CN"/>
              </w:rPr>
              <w:t>0.66</w:t>
            </w:r>
          </w:p>
        </w:tc>
        <w:tc>
          <w:tcPr>
            <w:tcW w:w="437" w:type="pct"/>
            <w:shd w:val="clear" w:color="auto" w:fill="auto"/>
            <w:vAlign w:val="top"/>
          </w:tcPr>
          <w:p w14:paraId="55338B40">
            <w:pPr>
              <w:pStyle w:val="26"/>
              <w:bidi w:val="0"/>
              <w:rPr>
                <w:rFonts w:hint="eastAsia"/>
                <w:lang w:val="en-US" w:eastAsia="zh-CN"/>
              </w:rPr>
            </w:pPr>
            <w:r>
              <w:rPr>
                <w:rFonts w:hint="eastAsia"/>
                <w:lang w:val="en-US" w:eastAsia="zh-CN"/>
              </w:rPr>
              <w:t>0.69</w:t>
            </w:r>
          </w:p>
        </w:tc>
        <w:tc>
          <w:tcPr>
            <w:tcW w:w="391" w:type="pct"/>
            <w:vMerge w:val="continue"/>
            <w:vAlign w:val="center"/>
          </w:tcPr>
          <w:p w14:paraId="242180A7">
            <w:pPr>
              <w:pStyle w:val="26"/>
              <w:bidi w:val="0"/>
              <w:rPr/>
            </w:pPr>
          </w:p>
        </w:tc>
        <w:tc>
          <w:tcPr>
            <w:tcW w:w="505" w:type="pct"/>
            <w:shd w:val="clear" w:color="auto" w:fill="auto"/>
            <w:vAlign w:val="center"/>
          </w:tcPr>
          <w:p w14:paraId="722AF966">
            <w:pPr>
              <w:pStyle w:val="26"/>
              <w:bidi w:val="0"/>
              <w:rPr>
                <w:lang w:val="en-US" w:eastAsia="zh-CN"/>
              </w:rPr>
            </w:pPr>
            <w:r>
              <w:rPr>
                <w:rFonts w:hint="eastAsia"/>
                <w:lang w:val="en-US" w:eastAsia="zh-CN"/>
              </w:rPr>
              <w:t>达标</w:t>
            </w:r>
          </w:p>
        </w:tc>
      </w:tr>
      <w:tr w14:paraId="01D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7135F958">
            <w:pPr>
              <w:pStyle w:val="26"/>
              <w:bidi w:val="0"/>
              <w:rPr/>
            </w:pPr>
          </w:p>
        </w:tc>
        <w:tc>
          <w:tcPr>
            <w:tcW w:w="469" w:type="pct"/>
            <w:vMerge w:val="continue"/>
            <w:shd w:val="clear" w:color="auto" w:fill="auto"/>
            <w:vAlign w:val="center"/>
          </w:tcPr>
          <w:p w14:paraId="420258AC">
            <w:pPr>
              <w:pStyle w:val="26"/>
              <w:bidi w:val="0"/>
              <w:rPr/>
            </w:pPr>
          </w:p>
        </w:tc>
        <w:tc>
          <w:tcPr>
            <w:tcW w:w="759" w:type="pct"/>
            <w:vMerge w:val="continue"/>
            <w:shd w:val="clear" w:color="auto" w:fill="auto"/>
            <w:vAlign w:val="top"/>
          </w:tcPr>
          <w:p w14:paraId="516BE6AB">
            <w:pPr>
              <w:pStyle w:val="26"/>
              <w:bidi w:val="0"/>
              <w:rPr/>
            </w:pPr>
          </w:p>
        </w:tc>
        <w:tc>
          <w:tcPr>
            <w:tcW w:w="682" w:type="pct"/>
            <w:shd w:val="clear" w:color="auto" w:fill="auto"/>
            <w:vAlign w:val="top"/>
          </w:tcPr>
          <w:p w14:paraId="671AB2A1">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6363BA51">
            <w:pPr>
              <w:pStyle w:val="26"/>
              <w:bidi w:val="0"/>
              <w:rPr>
                <w:rFonts w:hint="eastAsia"/>
                <w:lang w:val="en-US" w:eastAsia="zh-CN"/>
              </w:rPr>
            </w:pPr>
            <w:r>
              <w:rPr>
                <w:rFonts w:hint="eastAsia"/>
                <w:lang w:val="en-US" w:eastAsia="zh-CN"/>
              </w:rPr>
              <w:t>0.79</w:t>
            </w:r>
          </w:p>
        </w:tc>
        <w:tc>
          <w:tcPr>
            <w:tcW w:w="406" w:type="pct"/>
            <w:shd w:val="clear" w:color="auto" w:fill="auto"/>
            <w:vAlign w:val="top"/>
          </w:tcPr>
          <w:p w14:paraId="59305812">
            <w:pPr>
              <w:pStyle w:val="26"/>
              <w:bidi w:val="0"/>
              <w:rPr>
                <w:rFonts w:hint="eastAsia"/>
                <w:lang w:val="en-US" w:eastAsia="zh-CN"/>
              </w:rPr>
            </w:pPr>
            <w:r>
              <w:rPr>
                <w:rFonts w:hint="eastAsia"/>
                <w:lang w:val="en-US" w:eastAsia="zh-CN"/>
              </w:rPr>
              <w:t>0.67</w:t>
            </w:r>
          </w:p>
        </w:tc>
        <w:tc>
          <w:tcPr>
            <w:tcW w:w="436" w:type="pct"/>
            <w:shd w:val="clear" w:color="auto" w:fill="auto"/>
            <w:vAlign w:val="top"/>
          </w:tcPr>
          <w:p w14:paraId="12500F0E">
            <w:pPr>
              <w:pStyle w:val="26"/>
              <w:bidi w:val="0"/>
              <w:rPr>
                <w:rFonts w:hint="eastAsia"/>
                <w:lang w:val="en-US" w:eastAsia="zh-CN"/>
              </w:rPr>
            </w:pPr>
            <w:r>
              <w:rPr>
                <w:rFonts w:hint="eastAsia"/>
                <w:lang w:val="en-US" w:eastAsia="zh-CN"/>
              </w:rPr>
              <w:t>0.67</w:t>
            </w:r>
          </w:p>
        </w:tc>
        <w:tc>
          <w:tcPr>
            <w:tcW w:w="437" w:type="pct"/>
            <w:shd w:val="clear" w:color="auto" w:fill="auto"/>
            <w:vAlign w:val="top"/>
          </w:tcPr>
          <w:p w14:paraId="0F33917F">
            <w:pPr>
              <w:pStyle w:val="26"/>
              <w:bidi w:val="0"/>
              <w:rPr>
                <w:rFonts w:hint="eastAsia"/>
                <w:lang w:val="en-US" w:eastAsia="zh-CN"/>
              </w:rPr>
            </w:pPr>
            <w:r>
              <w:rPr>
                <w:rFonts w:hint="eastAsia"/>
                <w:lang w:val="en-US" w:eastAsia="zh-CN"/>
              </w:rPr>
              <w:t>0.71</w:t>
            </w:r>
          </w:p>
        </w:tc>
        <w:tc>
          <w:tcPr>
            <w:tcW w:w="391" w:type="pct"/>
            <w:vMerge w:val="continue"/>
            <w:vAlign w:val="center"/>
          </w:tcPr>
          <w:p w14:paraId="7AFE9547">
            <w:pPr>
              <w:pStyle w:val="26"/>
              <w:bidi w:val="0"/>
              <w:rPr>
                <w:rFonts w:hint="eastAsia"/>
                <w:lang w:val="en-US" w:eastAsia="zh-CN"/>
              </w:rPr>
            </w:pPr>
          </w:p>
        </w:tc>
        <w:tc>
          <w:tcPr>
            <w:tcW w:w="505" w:type="pct"/>
            <w:shd w:val="clear" w:color="auto" w:fill="auto"/>
            <w:vAlign w:val="center"/>
          </w:tcPr>
          <w:p w14:paraId="00F2FCCB">
            <w:pPr>
              <w:pStyle w:val="26"/>
              <w:bidi w:val="0"/>
              <w:rPr>
                <w:rFonts w:hint="eastAsia"/>
                <w:lang w:val="en-US" w:eastAsia="zh-CN"/>
              </w:rPr>
            </w:pPr>
            <w:r>
              <w:rPr>
                <w:rFonts w:hint="eastAsia"/>
                <w:lang w:val="en-US" w:eastAsia="zh-CN"/>
              </w:rPr>
              <w:t>达标</w:t>
            </w:r>
          </w:p>
        </w:tc>
      </w:tr>
      <w:tr w14:paraId="10F0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0F6CB532">
            <w:pPr>
              <w:pStyle w:val="26"/>
              <w:bidi w:val="0"/>
              <w:rPr>
                <w:rFonts w:hint="eastAsia"/>
                <w:lang w:val="en-US" w:eastAsia="zh-CN"/>
              </w:rPr>
            </w:pPr>
          </w:p>
        </w:tc>
        <w:tc>
          <w:tcPr>
            <w:tcW w:w="469" w:type="pct"/>
            <w:vMerge w:val="continue"/>
            <w:shd w:val="clear" w:color="auto" w:fill="auto"/>
            <w:vAlign w:val="center"/>
          </w:tcPr>
          <w:p w14:paraId="32D695CA">
            <w:pPr>
              <w:pStyle w:val="26"/>
              <w:bidi w:val="0"/>
              <w:rPr>
                <w:rFonts w:hint="eastAsia"/>
                <w:lang w:val="en-US" w:eastAsia="zh-CN"/>
              </w:rPr>
            </w:pPr>
          </w:p>
        </w:tc>
        <w:tc>
          <w:tcPr>
            <w:tcW w:w="759" w:type="pct"/>
            <w:vMerge w:val="continue"/>
            <w:shd w:val="clear" w:color="auto" w:fill="auto"/>
            <w:vAlign w:val="top"/>
          </w:tcPr>
          <w:p w14:paraId="7C0DA9F3">
            <w:pPr>
              <w:pStyle w:val="26"/>
              <w:bidi w:val="0"/>
              <w:rPr>
                <w:rFonts w:hint="eastAsia"/>
                <w:lang w:val="en-US" w:eastAsia="zh-CN"/>
              </w:rPr>
            </w:pPr>
          </w:p>
        </w:tc>
        <w:tc>
          <w:tcPr>
            <w:tcW w:w="682" w:type="pct"/>
            <w:shd w:val="clear" w:color="auto" w:fill="auto"/>
            <w:vAlign w:val="top"/>
          </w:tcPr>
          <w:p w14:paraId="55219813">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3F8BBEF0">
            <w:pPr>
              <w:pStyle w:val="26"/>
              <w:bidi w:val="0"/>
              <w:rPr>
                <w:rFonts w:hint="eastAsia"/>
                <w:lang w:val="en-US" w:eastAsia="zh-CN"/>
              </w:rPr>
            </w:pPr>
            <w:r>
              <w:rPr>
                <w:rFonts w:hint="eastAsia"/>
                <w:lang w:val="en-US" w:eastAsia="zh-CN"/>
              </w:rPr>
              <w:t>0.71</w:t>
            </w:r>
          </w:p>
        </w:tc>
        <w:tc>
          <w:tcPr>
            <w:tcW w:w="406" w:type="pct"/>
            <w:shd w:val="clear" w:color="auto" w:fill="auto"/>
            <w:vAlign w:val="top"/>
          </w:tcPr>
          <w:p w14:paraId="4DB9B505">
            <w:pPr>
              <w:pStyle w:val="26"/>
              <w:bidi w:val="0"/>
              <w:rPr>
                <w:rFonts w:hint="eastAsia"/>
                <w:lang w:val="en-US" w:eastAsia="zh-CN"/>
              </w:rPr>
            </w:pPr>
            <w:r>
              <w:rPr>
                <w:rFonts w:hint="eastAsia"/>
                <w:lang w:val="en-US" w:eastAsia="zh-CN"/>
              </w:rPr>
              <w:t>0.66</w:t>
            </w:r>
          </w:p>
        </w:tc>
        <w:tc>
          <w:tcPr>
            <w:tcW w:w="436" w:type="pct"/>
            <w:shd w:val="clear" w:color="auto" w:fill="auto"/>
            <w:vAlign w:val="top"/>
          </w:tcPr>
          <w:p w14:paraId="10DA0859">
            <w:pPr>
              <w:pStyle w:val="26"/>
              <w:bidi w:val="0"/>
              <w:rPr>
                <w:rFonts w:hint="eastAsia"/>
                <w:lang w:val="en-US" w:eastAsia="zh-CN"/>
              </w:rPr>
            </w:pPr>
            <w:r>
              <w:rPr>
                <w:rFonts w:hint="eastAsia"/>
                <w:lang w:val="en-US" w:eastAsia="zh-CN"/>
              </w:rPr>
              <w:t>0.91</w:t>
            </w:r>
          </w:p>
        </w:tc>
        <w:tc>
          <w:tcPr>
            <w:tcW w:w="437" w:type="pct"/>
            <w:shd w:val="clear" w:color="auto" w:fill="auto"/>
            <w:vAlign w:val="top"/>
          </w:tcPr>
          <w:p w14:paraId="7EEE1D1D">
            <w:pPr>
              <w:pStyle w:val="26"/>
              <w:bidi w:val="0"/>
              <w:rPr>
                <w:rFonts w:hint="eastAsia"/>
                <w:lang w:val="en-US" w:eastAsia="zh-CN"/>
              </w:rPr>
            </w:pPr>
            <w:r>
              <w:rPr>
                <w:rFonts w:hint="eastAsia"/>
                <w:lang w:val="en-US" w:eastAsia="zh-CN"/>
              </w:rPr>
              <w:t>0.76</w:t>
            </w:r>
          </w:p>
        </w:tc>
        <w:tc>
          <w:tcPr>
            <w:tcW w:w="391" w:type="pct"/>
            <w:vMerge w:val="continue"/>
            <w:vAlign w:val="center"/>
          </w:tcPr>
          <w:p w14:paraId="046899DE">
            <w:pPr>
              <w:pStyle w:val="26"/>
              <w:bidi w:val="0"/>
              <w:rPr>
                <w:rFonts w:hint="eastAsia"/>
                <w:lang w:val="en-US" w:eastAsia="zh-CN"/>
              </w:rPr>
            </w:pPr>
          </w:p>
        </w:tc>
        <w:tc>
          <w:tcPr>
            <w:tcW w:w="505" w:type="pct"/>
            <w:shd w:val="clear" w:color="auto" w:fill="auto"/>
            <w:vAlign w:val="center"/>
          </w:tcPr>
          <w:p w14:paraId="6D0C6183">
            <w:pPr>
              <w:pStyle w:val="26"/>
              <w:bidi w:val="0"/>
              <w:rPr>
                <w:rFonts w:hint="eastAsia"/>
                <w:lang w:val="en-US" w:eastAsia="zh-CN"/>
              </w:rPr>
            </w:pPr>
            <w:r>
              <w:rPr>
                <w:rFonts w:hint="eastAsia"/>
                <w:lang w:val="en-US" w:eastAsia="zh-CN"/>
              </w:rPr>
              <w:t>达标</w:t>
            </w:r>
          </w:p>
        </w:tc>
      </w:tr>
      <w:tr w14:paraId="7535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5AF35EE5">
            <w:pPr>
              <w:pStyle w:val="26"/>
              <w:bidi w:val="0"/>
              <w:rPr>
                <w:rFonts w:hint="eastAsia"/>
                <w:lang w:val="en-US" w:eastAsia="zh-CN"/>
              </w:rPr>
            </w:pPr>
          </w:p>
        </w:tc>
        <w:tc>
          <w:tcPr>
            <w:tcW w:w="469" w:type="pct"/>
            <w:vMerge w:val="continue"/>
            <w:shd w:val="clear" w:color="auto" w:fill="auto"/>
            <w:vAlign w:val="center"/>
          </w:tcPr>
          <w:p w14:paraId="083BB078">
            <w:pPr>
              <w:pStyle w:val="26"/>
              <w:bidi w:val="0"/>
              <w:rPr>
                <w:rFonts w:hint="eastAsia"/>
                <w:lang w:val="en-US" w:eastAsia="zh-CN"/>
              </w:rPr>
            </w:pPr>
          </w:p>
        </w:tc>
        <w:tc>
          <w:tcPr>
            <w:tcW w:w="759" w:type="pct"/>
            <w:vMerge w:val="continue"/>
            <w:shd w:val="clear" w:color="auto" w:fill="auto"/>
            <w:vAlign w:val="top"/>
          </w:tcPr>
          <w:p w14:paraId="25A54CC5">
            <w:pPr>
              <w:pStyle w:val="26"/>
              <w:bidi w:val="0"/>
              <w:rPr>
                <w:rFonts w:hint="eastAsia"/>
                <w:lang w:val="en-US" w:eastAsia="zh-CN"/>
              </w:rPr>
            </w:pPr>
          </w:p>
        </w:tc>
        <w:tc>
          <w:tcPr>
            <w:tcW w:w="682" w:type="pct"/>
            <w:shd w:val="clear" w:color="auto" w:fill="auto"/>
            <w:vAlign w:val="top"/>
          </w:tcPr>
          <w:p w14:paraId="69EF2A0C">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169B9D4A">
            <w:pPr>
              <w:pStyle w:val="26"/>
              <w:bidi w:val="0"/>
              <w:rPr>
                <w:rFonts w:hint="eastAsia"/>
                <w:lang w:val="en-US" w:eastAsia="zh-CN"/>
              </w:rPr>
            </w:pPr>
            <w:r>
              <w:rPr>
                <w:rFonts w:hint="eastAsia"/>
                <w:lang w:val="en-US" w:eastAsia="zh-CN"/>
              </w:rPr>
              <w:t>0.71</w:t>
            </w:r>
          </w:p>
        </w:tc>
        <w:tc>
          <w:tcPr>
            <w:tcW w:w="406" w:type="pct"/>
            <w:shd w:val="clear" w:color="auto" w:fill="auto"/>
            <w:vAlign w:val="top"/>
          </w:tcPr>
          <w:p w14:paraId="15B807B7">
            <w:pPr>
              <w:pStyle w:val="26"/>
              <w:bidi w:val="0"/>
              <w:rPr>
                <w:rFonts w:hint="eastAsia"/>
                <w:lang w:val="en-US" w:eastAsia="zh-CN"/>
              </w:rPr>
            </w:pPr>
            <w:r>
              <w:rPr>
                <w:rFonts w:hint="eastAsia"/>
                <w:lang w:val="en-US" w:eastAsia="zh-CN"/>
              </w:rPr>
              <w:t>0.78</w:t>
            </w:r>
          </w:p>
        </w:tc>
        <w:tc>
          <w:tcPr>
            <w:tcW w:w="436" w:type="pct"/>
            <w:shd w:val="clear" w:color="auto" w:fill="auto"/>
            <w:vAlign w:val="top"/>
          </w:tcPr>
          <w:p w14:paraId="45D9B352">
            <w:pPr>
              <w:pStyle w:val="26"/>
              <w:bidi w:val="0"/>
              <w:rPr>
                <w:rFonts w:hint="eastAsia"/>
                <w:lang w:val="en-US" w:eastAsia="zh-CN"/>
              </w:rPr>
            </w:pPr>
            <w:r>
              <w:rPr>
                <w:rFonts w:hint="eastAsia"/>
                <w:lang w:val="en-US" w:eastAsia="zh-CN"/>
              </w:rPr>
              <w:t>0.81</w:t>
            </w:r>
          </w:p>
        </w:tc>
        <w:tc>
          <w:tcPr>
            <w:tcW w:w="437" w:type="pct"/>
            <w:shd w:val="clear" w:color="auto" w:fill="auto"/>
            <w:vAlign w:val="top"/>
          </w:tcPr>
          <w:p w14:paraId="3FC6FC6D">
            <w:pPr>
              <w:pStyle w:val="26"/>
              <w:bidi w:val="0"/>
              <w:rPr>
                <w:rFonts w:hint="eastAsia"/>
                <w:lang w:val="en-US" w:eastAsia="zh-CN"/>
              </w:rPr>
            </w:pPr>
            <w:r>
              <w:rPr>
                <w:rFonts w:hint="eastAsia"/>
                <w:lang w:val="en-US" w:eastAsia="zh-CN"/>
              </w:rPr>
              <w:t>0.77</w:t>
            </w:r>
          </w:p>
        </w:tc>
        <w:tc>
          <w:tcPr>
            <w:tcW w:w="391" w:type="pct"/>
            <w:vMerge w:val="continue"/>
            <w:vAlign w:val="center"/>
          </w:tcPr>
          <w:p w14:paraId="4BE1488F">
            <w:pPr>
              <w:pStyle w:val="26"/>
              <w:bidi w:val="0"/>
              <w:rPr>
                <w:rFonts w:hint="eastAsia"/>
                <w:lang w:val="en-US" w:eastAsia="zh-CN"/>
              </w:rPr>
            </w:pPr>
          </w:p>
        </w:tc>
        <w:tc>
          <w:tcPr>
            <w:tcW w:w="505" w:type="pct"/>
            <w:shd w:val="clear" w:color="auto" w:fill="auto"/>
            <w:vAlign w:val="center"/>
          </w:tcPr>
          <w:p w14:paraId="15CAAA7F">
            <w:pPr>
              <w:pStyle w:val="26"/>
              <w:bidi w:val="0"/>
              <w:rPr>
                <w:rFonts w:hint="eastAsia"/>
                <w:lang w:val="en-US" w:eastAsia="zh-CN"/>
              </w:rPr>
            </w:pPr>
            <w:r>
              <w:rPr>
                <w:rFonts w:hint="eastAsia"/>
                <w:lang w:val="en-US" w:eastAsia="zh-CN"/>
              </w:rPr>
              <w:t>达标</w:t>
            </w:r>
          </w:p>
        </w:tc>
      </w:tr>
      <w:tr w14:paraId="09D1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5897ADD9">
            <w:pPr>
              <w:pStyle w:val="26"/>
              <w:bidi w:val="0"/>
              <w:rPr/>
            </w:pPr>
          </w:p>
        </w:tc>
        <w:tc>
          <w:tcPr>
            <w:tcW w:w="469" w:type="pct"/>
            <w:vMerge w:val="continue"/>
            <w:shd w:val="clear" w:color="auto" w:fill="auto"/>
            <w:vAlign w:val="center"/>
          </w:tcPr>
          <w:p w14:paraId="725ED65F">
            <w:pPr>
              <w:pStyle w:val="26"/>
              <w:bidi w:val="0"/>
              <w:rPr/>
            </w:pPr>
          </w:p>
        </w:tc>
        <w:tc>
          <w:tcPr>
            <w:tcW w:w="759" w:type="pct"/>
            <w:vMerge w:val="restart"/>
            <w:shd w:val="clear" w:color="auto" w:fill="auto"/>
            <w:vAlign w:val="top"/>
          </w:tcPr>
          <w:p w14:paraId="0F0FF2A4">
            <w:pPr>
              <w:pStyle w:val="26"/>
              <w:bidi w:val="0"/>
              <w:rPr>
                <w:rFonts w:hint="default"/>
                <w:lang w:val="en-US" w:eastAsia="zh-CN"/>
              </w:rPr>
            </w:pPr>
            <w:r>
              <w:rPr>
                <w:lang w:val="en-US" w:eastAsia="zh-CN"/>
              </w:rPr>
              <w:t>2023- 12-02</w:t>
            </w:r>
          </w:p>
        </w:tc>
        <w:tc>
          <w:tcPr>
            <w:tcW w:w="682" w:type="pct"/>
            <w:shd w:val="clear" w:color="auto" w:fill="auto"/>
            <w:vAlign w:val="top"/>
          </w:tcPr>
          <w:p w14:paraId="4E15EBDE">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2C1BDEF4">
            <w:pPr>
              <w:pStyle w:val="26"/>
              <w:bidi w:val="0"/>
              <w:rPr>
                <w:rFonts w:hint="eastAsia"/>
                <w:lang w:val="en-US" w:eastAsia="zh-CN"/>
              </w:rPr>
            </w:pPr>
            <w:r>
              <w:rPr>
                <w:rFonts w:hint="eastAsia"/>
                <w:lang w:val="en-US" w:eastAsia="zh-CN"/>
              </w:rPr>
              <w:t>0.63</w:t>
            </w:r>
          </w:p>
        </w:tc>
        <w:tc>
          <w:tcPr>
            <w:tcW w:w="406" w:type="pct"/>
            <w:shd w:val="clear" w:color="auto" w:fill="auto"/>
            <w:vAlign w:val="top"/>
          </w:tcPr>
          <w:p w14:paraId="53F78539">
            <w:pPr>
              <w:pStyle w:val="26"/>
              <w:bidi w:val="0"/>
              <w:rPr>
                <w:rFonts w:hint="eastAsia"/>
                <w:lang w:val="en-US" w:eastAsia="zh-CN"/>
              </w:rPr>
            </w:pPr>
            <w:r>
              <w:rPr>
                <w:rFonts w:hint="eastAsia"/>
                <w:lang w:val="en-US" w:eastAsia="zh-CN"/>
              </w:rPr>
              <w:t>0.78</w:t>
            </w:r>
          </w:p>
        </w:tc>
        <w:tc>
          <w:tcPr>
            <w:tcW w:w="436" w:type="pct"/>
            <w:shd w:val="clear" w:color="auto" w:fill="auto"/>
            <w:vAlign w:val="top"/>
          </w:tcPr>
          <w:p w14:paraId="3B7E6365">
            <w:pPr>
              <w:pStyle w:val="26"/>
              <w:bidi w:val="0"/>
              <w:rPr>
                <w:rFonts w:hint="eastAsia"/>
                <w:lang w:val="en-US" w:eastAsia="zh-CN"/>
              </w:rPr>
            </w:pPr>
            <w:r>
              <w:rPr>
                <w:rFonts w:hint="eastAsia"/>
                <w:lang w:val="en-US" w:eastAsia="zh-CN"/>
              </w:rPr>
              <w:t>0.76</w:t>
            </w:r>
          </w:p>
        </w:tc>
        <w:tc>
          <w:tcPr>
            <w:tcW w:w="437" w:type="pct"/>
            <w:shd w:val="clear" w:color="auto" w:fill="auto"/>
            <w:vAlign w:val="top"/>
          </w:tcPr>
          <w:p w14:paraId="5C34C16C">
            <w:pPr>
              <w:pStyle w:val="26"/>
              <w:bidi w:val="0"/>
              <w:rPr>
                <w:rFonts w:hint="eastAsia"/>
                <w:lang w:val="en-US" w:eastAsia="zh-CN"/>
              </w:rPr>
            </w:pPr>
            <w:r>
              <w:rPr>
                <w:rFonts w:hint="eastAsia"/>
                <w:lang w:val="en-US" w:eastAsia="zh-CN"/>
              </w:rPr>
              <w:t>0.72</w:t>
            </w:r>
          </w:p>
        </w:tc>
        <w:tc>
          <w:tcPr>
            <w:tcW w:w="391" w:type="pct"/>
            <w:vMerge w:val="continue"/>
            <w:vAlign w:val="center"/>
          </w:tcPr>
          <w:p w14:paraId="5D33FAD4">
            <w:pPr>
              <w:pStyle w:val="26"/>
              <w:bidi w:val="0"/>
              <w:rPr/>
            </w:pPr>
          </w:p>
        </w:tc>
        <w:tc>
          <w:tcPr>
            <w:tcW w:w="505" w:type="pct"/>
            <w:shd w:val="clear" w:color="auto" w:fill="auto"/>
            <w:vAlign w:val="center"/>
          </w:tcPr>
          <w:p w14:paraId="4C437BC7">
            <w:pPr>
              <w:pStyle w:val="26"/>
              <w:bidi w:val="0"/>
              <w:rPr>
                <w:lang w:val="en-US" w:eastAsia="zh-CN"/>
              </w:rPr>
            </w:pPr>
            <w:r>
              <w:rPr>
                <w:rFonts w:hint="eastAsia"/>
                <w:lang w:val="en-US" w:eastAsia="zh-CN"/>
              </w:rPr>
              <w:t>达标</w:t>
            </w:r>
          </w:p>
        </w:tc>
      </w:tr>
      <w:tr w14:paraId="2F7C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04B0D79E">
            <w:pPr>
              <w:pStyle w:val="26"/>
              <w:bidi w:val="0"/>
              <w:rPr/>
            </w:pPr>
          </w:p>
        </w:tc>
        <w:tc>
          <w:tcPr>
            <w:tcW w:w="469" w:type="pct"/>
            <w:vMerge w:val="continue"/>
            <w:shd w:val="clear" w:color="auto" w:fill="auto"/>
            <w:vAlign w:val="center"/>
          </w:tcPr>
          <w:p w14:paraId="2F736C9B">
            <w:pPr>
              <w:pStyle w:val="26"/>
              <w:bidi w:val="0"/>
              <w:rPr/>
            </w:pPr>
          </w:p>
        </w:tc>
        <w:tc>
          <w:tcPr>
            <w:tcW w:w="759" w:type="pct"/>
            <w:vMerge w:val="continue"/>
            <w:shd w:val="clear" w:color="auto" w:fill="auto"/>
            <w:vAlign w:val="top"/>
          </w:tcPr>
          <w:p w14:paraId="58CDE862">
            <w:pPr>
              <w:pStyle w:val="26"/>
              <w:bidi w:val="0"/>
              <w:rPr/>
            </w:pPr>
          </w:p>
        </w:tc>
        <w:tc>
          <w:tcPr>
            <w:tcW w:w="682" w:type="pct"/>
            <w:shd w:val="clear" w:color="auto" w:fill="auto"/>
            <w:vAlign w:val="top"/>
          </w:tcPr>
          <w:p w14:paraId="094618E7">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0A479710">
            <w:pPr>
              <w:pStyle w:val="26"/>
              <w:bidi w:val="0"/>
              <w:rPr>
                <w:rFonts w:hint="eastAsia"/>
                <w:lang w:val="en-US" w:eastAsia="zh-CN"/>
              </w:rPr>
            </w:pPr>
            <w:r>
              <w:rPr>
                <w:rFonts w:hint="eastAsia"/>
                <w:lang w:val="en-US" w:eastAsia="zh-CN"/>
              </w:rPr>
              <w:t>0.75</w:t>
            </w:r>
          </w:p>
        </w:tc>
        <w:tc>
          <w:tcPr>
            <w:tcW w:w="406" w:type="pct"/>
            <w:shd w:val="clear" w:color="auto" w:fill="auto"/>
            <w:vAlign w:val="top"/>
          </w:tcPr>
          <w:p w14:paraId="7C826DAB">
            <w:pPr>
              <w:pStyle w:val="26"/>
              <w:bidi w:val="0"/>
              <w:rPr>
                <w:rFonts w:hint="eastAsia"/>
                <w:lang w:val="en-US" w:eastAsia="zh-CN"/>
              </w:rPr>
            </w:pPr>
            <w:r>
              <w:rPr>
                <w:rFonts w:hint="eastAsia"/>
                <w:lang w:val="en-US" w:eastAsia="zh-CN"/>
              </w:rPr>
              <w:t>0.64</w:t>
            </w:r>
          </w:p>
        </w:tc>
        <w:tc>
          <w:tcPr>
            <w:tcW w:w="436" w:type="pct"/>
            <w:shd w:val="clear" w:color="auto" w:fill="auto"/>
            <w:vAlign w:val="top"/>
          </w:tcPr>
          <w:p w14:paraId="4C38C27C">
            <w:pPr>
              <w:pStyle w:val="26"/>
              <w:bidi w:val="0"/>
              <w:rPr>
                <w:rFonts w:hint="eastAsia"/>
                <w:lang w:val="en-US" w:eastAsia="zh-CN"/>
              </w:rPr>
            </w:pPr>
            <w:r>
              <w:rPr>
                <w:rFonts w:hint="eastAsia"/>
                <w:lang w:val="en-US" w:eastAsia="zh-CN"/>
              </w:rPr>
              <w:t>0.77</w:t>
            </w:r>
          </w:p>
        </w:tc>
        <w:tc>
          <w:tcPr>
            <w:tcW w:w="437" w:type="pct"/>
            <w:shd w:val="clear" w:color="auto" w:fill="auto"/>
            <w:vAlign w:val="top"/>
          </w:tcPr>
          <w:p w14:paraId="1AB1BDFE">
            <w:pPr>
              <w:pStyle w:val="26"/>
              <w:bidi w:val="0"/>
              <w:rPr>
                <w:rFonts w:hint="eastAsia"/>
                <w:lang w:val="en-US" w:eastAsia="zh-CN"/>
              </w:rPr>
            </w:pPr>
            <w:r>
              <w:rPr>
                <w:rFonts w:hint="eastAsia"/>
                <w:lang w:val="en-US" w:eastAsia="zh-CN"/>
              </w:rPr>
              <w:t>0.72</w:t>
            </w:r>
          </w:p>
        </w:tc>
        <w:tc>
          <w:tcPr>
            <w:tcW w:w="391" w:type="pct"/>
            <w:vMerge w:val="continue"/>
            <w:vAlign w:val="center"/>
          </w:tcPr>
          <w:p w14:paraId="6D0BC238">
            <w:pPr>
              <w:pStyle w:val="26"/>
              <w:bidi w:val="0"/>
              <w:rPr>
                <w:rFonts w:hint="eastAsia"/>
                <w:lang w:val="en-US" w:eastAsia="zh-CN"/>
              </w:rPr>
            </w:pPr>
          </w:p>
        </w:tc>
        <w:tc>
          <w:tcPr>
            <w:tcW w:w="505" w:type="pct"/>
            <w:shd w:val="clear" w:color="auto" w:fill="auto"/>
            <w:vAlign w:val="center"/>
          </w:tcPr>
          <w:p w14:paraId="6237B76A">
            <w:pPr>
              <w:pStyle w:val="26"/>
              <w:bidi w:val="0"/>
              <w:rPr>
                <w:rFonts w:hint="eastAsia"/>
                <w:lang w:val="en-US" w:eastAsia="zh-CN"/>
              </w:rPr>
            </w:pPr>
            <w:r>
              <w:rPr>
                <w:rFonts w:hint="eastAsia"/>
                <w:lang w:val="en-US" w:eastAsia="zh-CN"/>
              </w:rPr>
              <w:t>达标</w:t>
            </w:r>
          </w:p>
        </w:tc>
      </w:tr>
      <w:tr w14:paraId="28A2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07E0069C">
            <w:pPr>
              <w:pStyle w:val="26"/>
              <w:bidi w:val="0"/>
              <w:rPr>
                <w:rFonts w:hint="eastAsia"/>
                <w:lang w:val="en-US" w:eastAsia="zh-CN"/>
              </w:rPr>
            </w:pPr>
          </w:p>
        </w:tc>
        <w:tc>
          <w:tcPr>
            <w:tcW w:w="469" w:type="pct"/>
            <w:vMerge w:val="continue"/>
            <w:shd w:val="clear" w:color="auto" w:fill="auto"/>
            <w:vAlign w:val="center"/>
          </w:tcPr>
          <w:p w14:paraId="70EED01C">
            <w:pPr>
              <w:pStyle w:val="26"/>
              <w:bidi w:val="0"/>
              <w:rPr>
                <w:rFonts w:hint="eastAsia"/>
                <w:lang w:val="en-US" w:eastAsia="zh-CN"/>
              </w:rPr>
            </w:pPr>
          </w:p>
        </w:tc>
        <w:tc>
          <w:tcPr>
            <w:tcW w:w="759" w:type="pct"/>
            <w:vMerge w:val="continue"/>
            <w:shd w:val="clear" w:color="auto" w:fill="auto"/>
            <w:vAlign w:val="top"/>
          </w:tcPr>
          <w:p w14:paraId="7AF077D0">
            <w:pPr>
              <w:pStyle w:val="26"/>
              <w:bidi w:val="0"/>
              <w:rPr>
                <w:rFonts w:hint="eastAsia"/>
                <w:lang w:val="en-US" w:eastAsia="zh-CN"/>
              </w:rPr>
            </w:pPr>
          </w:p>
        </w:tc>
        <w:tc>
          <w:tcPr>
            <w:tcW w:w="682" w:type="pct"/>
            <w:shd w:val="clear" w:color="auto" w:fill="auto"/>
            <w:vAlign w:val="top"/>
          </w:tcPr>
          <w:p w14:paraId="2BE05CEA">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53B8FC31">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64B58074">
            <w:pPr>
              <w:pStyle w:val="26"/>
              <w:bidi w:val="0"/>
              <w:rPr>
                <w:rFonts w:hint="eastAsia"/>
                <w:lang w:val="en-US" w:eastAsia="zh-CN"/>
              </w:rPr>
            </w:pPr>
            <w:r>
              <w:rPr>
                <w:rFonts w:hint="eastAsia"/>
                <w:lang w:val="en-US" w:eastAsia="zh-CN"/>
              </w:rPr>
              <w:t>0.76</w:t>
            </w:r>
          </w:p>
        </w:tc>
        <w:tc>
          <w:tcPr>
            <w:tcW w:w="436" w:type="pct"/>
            <w:shd w:val="clear" w:color="auto" w:fill="auto"/>
            <w:vAlign w:val="top"/>
          </w:tcPr>
          <w:p w14:paraId="4F56B12C">
            <w:pPr>
              <w:pStyle w:val="26"/>
              <w:bidi w:val="0"/>
              <w:rPr>
                <w:rFonts w:hint="eastAsia"/>
                <w:lang w:val="en-US" w:eastAsia="zh-CN"/>
              </w:rPr>
            </w:pPr>
            <w:r>
              <w:rPr>
                <w:rFonts w:hint="eastAsia"/>
                <w:lang w:val="en-US" w:eastAsia="zh-CN"/>
              </w:rPr>
              <w:t>0.67</w:t>
            </w:r>
          </w:p>
        </w:tc>
        <w:tc>
          <w:tcPr>
            <w:tcW w:w="437" w:type="pct"/>
            <w:shd w:val="clear" w:color="auto" w:fill="auto"/>
            <w:vAlign w:val="top"/>
          </w:tcPr>
          <w:p w14:paraId="62417E55">
            <w:pPr>
              <w:pStyle w:val="26"/>
              <w:bidi w:val="0"/>
              <w:rPr>
                <w:rFonts w:hint="eastAsia"/>
                <w:lang w:val="en-US" w:eastAsia="zh-CN"/>
              </w:rPr>
            </w:pPr>
            <w:r>
              <w:rPr>
                <w:rFonts w:hint="eastAsia"/>
                <w:lang w:val="en-US" w:eastAsia="zh-CN"/>
              </w:rPr>
              <w:t>0.75</w:t>
            </w:r>
          </w:p>
        </w:tc>
        <w:tc>
          <w:tcPr>
            <w:tcW w:w="391" w:type="pct"/>
            <w:vMerge w:val="continue"/>
            <w:vAlign w:val="center"/>
          </w:tcPr>
          <w:p w14:paraId="71EA0030">
            <w:pPr>
              <w:pStyle w:val="26"/>
              <w:bidi w:val="0"/>
              <w:rPr>
                <w:rFonts w:hint="eastAsia"/>
                <w:lang w:val="en-US" w:eastAsia="zh-CN"/>
              </w:rPr>
            </w:pPr>
          </w:p>
        </w:tc>
        <w:tc>
          <w:tcPr>
            <w:tcW w:w="505" w:type="pct"/>
            <w:shd w:val="clear" w:color="auto" w:fill="auto"/>
            <w:vAlign w:val="center"/>
          </w:tcPr>
          <w:p w14:paraId="49B1F865">
            <w:pPr>
              <w:pStyle w:val="26"/>
              <w:bidi w:val="0"/>
              <w:rPr>
                <w:rFonts w:hint="eastAsia"/>
                <w:lang w:val="en-US" w:eastAsia="zh-CN"/>
              </w:rPr>
            </w:pPr>
            <w:r>
              <w:rPr>
                <w:rFonts w:hint="eastAsia"/>
                <w:lang w:val="en-US" w:eastAsia="zh-CN"/>
              </w:rPr>
              <w:t>达标</w:t>
            </w:r>
          </w:p>
        </w:tc>
      </w:tr>
      <w:tr w14:paraId="2155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445" w:type="pct"/>
            <w:vMerge w:val="continue"/>
            <w:shd w:val="clear" w:color="auto" w:fill="auto"/>
            <w:vAlign w:val="center"/>
          </w:tcPr>
          <w:p w14:paraId="2DBF1E5F">
            <w:pPr>
              <w:pStyle w:val="26"/>
              <w:bidi w:val="0"/>
              <w:rPr>
                <w:rFonts w:hint="eastAsia"/>
                <w:lang w:val="en-US" w:eastAsia="zh-CN"/>
              </w:rPr>
            </w:pPr>
          </w:p>
        </w:tc>
        <w:tc>
          <w:tcPr>
            <w:tcW w:w="469" w:type="pct"/>
            <w:vMerge w:val="continue"/>
            <w:shd w:val="clear" w:color="auto" w:fill="auto"/>
            <w:vAlign w:val="center"/>
          </w:tcPr>
          <w:p w14:paraId="340D40B9">
            <w:pPr>
              <w:pStyle w:val="26"/>
              <w:bidi w:val="0"/>
              <w:rPr>
                <w:rFonts w:hint="eastAsia"/>
                <w:lang w:val="en-US" w:eastAsia="zh-CN"/>
              </w:rPr>
            </w:pPr>
          </w:p>
        </w:tc>
        <w:tc>
          <w:tcPr>
            <w:tcW w:w="759" w:type="pct"/>
            <w:vMerge w:val="continue"/>
            <w:shd w:val="clear" w:color="auto" w:fill="auto"/>
            <w:vAlign w:val="top"/>
          </w:tcPr>
          <w:p w14:paraId="12F7CE2D">
            <w:pPr>
              <w:pStyle w:val="26"/>
              <w:bidi w:val="0"/>
              <w:rPr>
                <w:rFonts w:hint="eastAsia"/>
                <w:lang w:val="en-US" w:eastAsia="zh-CN"/>
              </w:rPr>
            </w:pPr>
          </w:p>
        </w:tc>
        <w:tc>
          <w:tcPr>
            <w:tcW w:w="682" w:type="pct"/>
            <w:shd w:val="clear" w:color="auto" w:fill="auto"/>
            <w:vAlign w:val="top"/>
          </w:tcPr>
          <w:p w14:paraId="4EBBEBC5">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07CBD9E0">
            <w:pPr>
              <w:pStyle w:val="26"/>
              <w:bidi w:val="0"/>
              <w:rPr>
                <w:rFonts w:hint="eastAsia"/>
                <w:lang w:val="en-US" w:eastAsia="zh-CN"/>
              </w:rPr>
            </w:pPr>
            <w:r>
              <w:rPr>
                <w:rFonts w:hint="eastAsia"/>
                <w:lang w:val="en-US" w:eastAsia="zh-CN"/>
              </w:rPr>
              <w:t>0.66</w:t>
            </w:r>
          </w:p>
        </w:tc>
        <w:tc>
          <w:tcPr>
            <w:tcW w:w="406" w:type="pct"/>
            <w:shd w:val="clear" w:color="auto" w:fill="auto"/>
            <w:vAlign w:val="top"/>
          </w:tcPr>
          <w:p w14:paraId="311B1C70">
            <w:pPr>
              <w:pStyle w:val="26"/>
              <w:bidi w:val="0"/>
              <w:rPr>
                <w:rFonts w:hint="eastAsia"/>
                <w:lang w:val="en-US" w:eastAsia="zh-CN"/>
              </w:rPr>
            </w:pPr>
            <w:r>
              <w:rPr>
                <w:rFonts w:hint="eastAsia"/>
                <w:lang w:val="en-US" w:eastAsia="zh-CN"/>
              </w:rPr>
              <w:t>0.79</w:t>
            </w:r>
          </w:p>
        </w:tc>
        <w:tc>
          <w:tcPr>
            <w:tcW w:w="436" w:type="pct"/>
            <w:shd w:val="clear" w:color="auto" w:fill="auto"/>
            <w:vAlign w:val="top"/>
          </w:tcPr>
          <w:p w14:paraId="431F5AF3">
            <w:pPr>
              <w:pStyle w:val="26"/>
              <w:bidi w:val="0"/>
              <w:rPr>
                <w:rFonts w:hint="eastAsia"/>
                <w:lang w:val="en-US" w:eastAsia="zh-CN"/>
              </w:rPr>
            </w:pPr>
            <w:r>
              <w:rPr>
                <w:rFonts w:hint="eastAsia"/>
                <w:lang w:val="en-US" w:eastAsia="zh-CN"/>
              </w:rPr>
              <w:t>0.70</w:t>
            </w:r>
          </w:p>
        </w:tc>
        <w:tc>
          <w:tcPr>
            <w:tcW w:w="437" w:type="pct"/>
            <w:shd w:val="clear" w:color="auto" w:fill="auto"/>
            <w:vAlign w:val="top"/>
          </w:tcPr>
          <w:p w14:paraId="1BB9FAF0">
            <w:pPr>
              <w:pStyle w:val="26"/>
              <w:bidi w:val="0"/>
              <w:rPr>
                <w:rFonts w:hint="eastAsia"/>
                <w:lang w:val="en-US" w:eastAsia="zh-CN"/>
              </w:rPr>
            </w:pPr>
            <w:r>
              <w:rPr>
                <w:rFonts w:hint="eastAsia"/>
                <w:lang w:val="en-US" w:eastAsia="zh-CN"/>
              </w:rPr>
              <w:t>0.72</w:t>
            </w:r>
          </w:p>
        </w:tc>
        <w:tc>
          <w:tcPr>
            <w:tcW w:w="391" w:type="pct"/>
            <w:vMerge w:val="continue"/>
            <w:vAlign w:val="center"/>
          </w:tcPr>
          <w:p w14:paraId="28B443BB">
            <w:pPr>
              <w:pStyle w:val="26"/>
              <w:bidi w:val="0"/>
              <w:rPr>
                <w:rFonts w:hint="eastAsia"/>
                <w:lang w:val="en-US" w:eastAsia="zh-CN"/>
              </w:rPr>
            </w:pPr>
          </w:p>
        </w:tc>
        <w:tc>
          <w:tcPr>
            <w:tcW w:w="505" w:type="pct"/>
            <w:shd w:val="clear" w:color="auto" w:fill="auto"/>
            <w:vAlign w:val="center"/>
          </w:tcPr>
          <w:p w14:paraId="78031A89">
            <w:pPr>
              <w:pStyle w:val="26"/>
              <w:bidi w:val="0"/>
              <w:rPr>
                <w:rFonts w:hint="eastAsia"/>
                <w:lang w:val="en-US" w:eastAsia="zh-CN"/>
              </w:rPr>
            </w:pPr>
            <w:r>
              <w:rPr>
                <w:rFonts w:hint="eastAsia"/>
                <w:lang w:val="en-US" w:eastAsia="zh-CN"/>
              </w:rPr>
              <w:t>达标</w:t>
            </w:r>
          </w:p>
        </w:tc>
      </w:tr>
      <w:tr w14:paraId="5533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pct"/>
            <w:vMerge w:val="continue"/>
            <w:shd w:val="clear" w:color="auto" w:fill="auto"/>
            <w:vAlign w:val="center"/>
          </w:tcPr>
          <w:p w14:paraId="55A9E069">
            <w:pPr>
              <w:pStyle w:val="26"/>
              <w:bidi w:val="0"/>
              <w:rPr/>
            </w:pPr>
          </w:p>
        </w:tc>
        <w:tc>
          <w:tcPr>
            <w:tcW w:w="469" w:type="pct"/>
            <w:vMerge w:val="continue"/>
            <w:shd w:val="clear" w:color="auto" w:fill="auto"/>
            <w:vAlign w:val="center"/>
          </w:tcPr>
          <w:p w14:paraId="67551F8F">
            <w:pPr>
              <w:pStyle w:val="26"/>
              <w:bidi w:val="0"/>
              <w:rPr/>
            </w:pPr>
          </w:p>
        </w:tc>
        <w:tc>
          <w:tcPr>
            <w:tcW w:w="759" w:type="pct"/>
            <w:vMerge w:val="restart"/>
            <w:shd w:val="clear" w:color="auto" w:fill="auto"/>
            <w:vAlign w:val="top"/>
          </w:tcPr>
          <w:p w14:paraId="46D43D25">
            <w:pPr>
              <w:pStyle w:val="26"/>
              <w:bidi w:val="0"/>
              <w:rPr>
                <w:rFonts w:hint="default"/>
                <w:lang w:val="en-US" w:eastAsia="zh-CN"/>
              </w:rPr>
            </w:pPr>
            <w:r>
              <w:rPr>
                <w:lang w:val="en-US" w:eastAsia="zh-CN"/>
              </w:rPr>
              <w:t>2023- 12-03</w:t>
            </w:r>
          </w:p>
        </w:tc>
        <w:tc>
          <w:tcPr>
            <w:tcW w:w="682" w:type="pct"/>
            <w:shd w:val="clear" w:color="auto" w:fill="auto"/>
            <w:vAlign w:val="top"/>
          </w:tcPr>
          <w:p w14:paraId="2F90FE71">
            <w:pPr>
              <w:pStyle w:val="26"/>
              <w:bidi w:val="0"/>
              <w:rPr>
                <w:rFonts w:hint="eastAsia"/>
                <w:lang w:val="en-US" w:eastAsia="zh-CN"/>
              </w:rPr>
            </w:pPr>
            <w:r>
              <w:rPr>
                <w:rFonts w:hint="eastAsia"/>
                <w:lang w:val="en-US" w:eastAsia="zh-CN"/>
              </w:rPr>
              <w:t>02:00</w:t>
            </w:r>
          </w:p>
        </w:tc>
        <w:tc>
          <w:tcPr>
            <w:tcW w:w="466" w:type="pct"/>
            <w:shd w:val="clear" w:color="auto" w:fill="auto"/>
            <w:vAlign w:val="top"/>
          </w:tcPr>
          <w:p w14:paraId="527658B0">
            <w:pPr>
              <w:pStyle w:val="26"/>
              <w:bidi w:val="0"/>
              <w:rPr>
                <w:rFonts w:hint="eastAsia"/>
                <w:lang w:val="en-US" w:eastAsia="zh-CN"/>
              </w:rPr>
            </w:pPr>
            <w:r>
              <w:rPr>
                <w:rFonts w:hint="eastAsia"/>
                <w:lang w:val="en-US" w:eastAsia="zh-CN"/>
              </w:rPr>
              <w:t>0.77</w:t>
            </w:r>
          </w:p>
        </w:tc>
        <w:tc>
          <w:tcPr>
            <w:tcW w:w="406" w:type="pct"/>
            <w:shd w:val="clear" w:color="auto" w:fill="auto"/>
            <w:vAlign w:val="top"/>
          </w:tcPr>
          <w:p w14:paraId="077FA3FC">
            <w:pPr>
              <w:pStyle w:val="26"/>
              <w:bidi w:val="0"/>
              <w:rPr>
                <w:rFonts w:hint="eastAsia"/>
                <w:lang w:val="en-US" w:eastAsia="zh-CN"/>
              </w:rPr>
            </w:pPr>
            <w:r>
              <w:rPr>
                <w:rFonts w:hint="eastAsia"/>
                <w:lang w:val="en-US" w:eastAsia="zh-CN"/>
              </w:rPr>
              <w:t>0.68</w:t>
            </w:r>
          </w:p>
        </w:tc>
        <w:tc>
          <w:tcPr>
            <w:tcW w:w="436" w:type="pct"/>
            <w:shd w:val="clear" w:color="auto" w:fill="auto"/>
            <w:vAlign w:val="top"/>
          </w:tcPr>
          <w:p w14:paraId="3ED1D1F3">
            <w:pPr>
              <w:pStyle w:val="26"/>
              <w:bidi w:val="0"/>
              <w:rPr>
                <w:rFonts w:hint="eastAsia"/>
                <w:lang w:val="en-US" w:eastAsia="zh-CN"/>
              </w:rPr>
            </w:pPr>
            <w:r>
              <w:rPr>
                <w:rFonts w:hint="eastAsia"/>
                <w:lang w:val="en-US" w:eastAsia="zh-CN"/>
              </w:rPr>
              <w:t>0.78</w:t>
            </w:r>
          </w:p>
        </w:tc>
        <w:tc>
          <w:tcPr>
            <w:tcW w:w="437" w:type="pct"/>
            <w:shd w:val="clear" w:color="auto" w:fill="auto"/>
            <w:vAlign w:val="top"/>
          </w:tcPr>
          <w:p w14:paraId="3BFFB4A0">
            <w:pPr>
              <w:pStyle w:val="26"/>
              <w:bidi w:val="0"/>
              <w:rPr>
                <w:rFonts w:hint="eastAsia"/>
                <w:lang w:val="en-US" w:eastAsia="zh-CN"/>
              </w:rPr>
            </w:pPr>
            <w:r>
              <w:rPr>
                <w:rFonts w:hint="eastAsia"/>
                <w:lang w:val="en-US" w:eastAsia="zh-CN"/>
              </w:rPr>
              <w:t>0.74</w:t>
            </w:r>
          </w:p>
        </w:tc>
        <w:tc>
          <w:tcPr>
            <w:tcW w:w="391" w:type="pct"/>
            <w:vMerge w:val="continue"/>
            <w:vAlign w:val="center"/>
          </w:tcPr>
          <w:p w14:paraId="28F592C2">
            <w:pPr>
              <w:pStyle w:val="26"/>
              <w:bidi w:val="0"/>
              <w:rPr/>
            </w:pPr>
          </w:p>
        </w:tc>
        <w:tc>
          <w:tcPr>
            <w:tcW w:w="505" w:type="pct"/>
            <w:shd w:val="clear" w:color="auto" w:fill="auto"/>
            <w:vAlign w:val="center"/>
          </w:tcPr>
          <w:p w14:paraId="61FCC769">
            <w:pPr>
              <w:pStyle w:val="26"/>
              <w:bidi w:val="0"/>
              <w:rPr>
                <w:lang w:val="en-US" w:eastAsia="zh-CN"/>
              </w:rPr>
            </w:pPr>
            <w:r>
              <w:rPr>
                <w:rFonts w:hint="eastAsia"/>
                <w:lang w:val="en-US" w:eastAsia="zh-CN"/>
              </w:rPr>
              <w:t>达标</w:t>
            </w:r>
          </w:p>
        </w:tc>
      </w:tr>
      <w:tr w14:paraId="2EDD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pct"/>
            <w:vMerge w:val="continue"/>
            <w:shd w:val="clear" w:color="auto" w:fill="auto"/>
            <w:vAlign w:val="center"/>
          </w:tcPr>
          <w:p w14:paraId="19061FDE">
            <w:pPr>
              <w:pStyle w:val="26"/>
              <w:bidi w:val="0"/>
              <w:rPr/>
            </w:pPr>
          </w:p>
        </w:tc>
        <w:tc>
          <w:tcPr>
            <w:tcW w:w="469" w:type="pct"/>
            <w:vMerge w:val="continue"/>
            <w:shd w:val="clear" w:color="auto" w:fill="auto"/>
            <w:vAlign w:val="center"/>
          </w:tcPr>
          <w:p w14:paraId="2FCC1F48">
            <w:pPr>
              <w:pStyle w:val="26"/>
              <w:bidi w:val="0"/>
              <w:rPr/>
            </w:pPr>
          </w:p>
        </w:tc>
        <w:tc>
          <w:tcPr>
            <w:tcW w:w="759" w:type="pct"/>
            <w:vMerge w:val="continue"/>
            <w:shd w:val="clear" w:color="auto" w:fill="auto"/>
            <w:vAlign w:val="top"/>
          </w:tcPr>
          <w:p w14:paraId="24D2CA16">
            <w:pPr>
              <w:pStyle w:val="26"/>
              <w:bidi w:val="0"/>
              <w:rPr/>
            </w:pPr>
          </w:p>
        </w:tc>
        <w:tc>
          <w:tcPr>
            <w:tcW w:w="682" w:type="pct"/>
            <w:shd w:val="clear" w:color="auto" w:fill="auto"/>
            <w:vAlign w:val="top"/>
          </w:tcPr>
          <w:p w14:paraId="2D528737">
            <w:pPr>
              <w:pStyle w:val="26"/>
              <w:bidi w:val="0"/>
              <w:rPr>
                <w:rFonts w:hint="eastAsia"/>
                <w:lang w:val="en-US" w:eastAsia="zh-CN"/>
              </w:rPr>
            </w:pPr>
            <w:r>
              <w:rPr>
                <w:rFonts w:hint="eastAsia"/>
                <w:lang w:val="en-US" w:eastAsia="zh-CN"/>
              </w:rPr>
              <w:t>08:00</w:t>
            </w:r>
          </w:p>
        </w:tc>
        <w:tc>
          <w:tcPr>
            <w:tcW w:w="466" w:type="pct"/>
            <w:shd w:val="clear" w:color="auto" w:fill="auto"/>
            <w:vAlign w:val="top"/>
          </w:tcPr>
          <w:p w14:paraId="02CB13E7">
            <w:pPr>
              <w:pStyle w:val="26"/>
              <w:bidi w:val="0"/>
              <w:rPr>
                <w:rFonts w:hint="eastAsia"/>
                <w:lang w:val="en-US" w:eastAsia="zh-CN"/>
              </w:rPr>
            </w:pPr>
            <w:r>
              <w:rPr>
                <w:rFonts w:hint="eastAsia"/>
                <w:lang w:val="en-US" w:eastAsia="zh-CN"/>
              </w:rPr>
              <w:t>0.66</w:t>
            </w:r>
          </w:p>
        </w:tc>
        <w:tc>
          <w:tcPr>
            <w:tcW w:w="406" w:type="pct"/>
            <w:shd w:val="clear" w:color="auto" w:fill="auto"/>
            <w:vAlign w:val="top"/>
          </w:tcPr>
          <w:p w14:paraId="2DE6B566">
            <w:pPr>
              <w:pStyle w:val="26"/>
              <w:bidi w:val="0"/>
              <w:rPr>
                <w:rFonts w:hint="eastAsia"/>
                <w:lang w:val="en-US" w:eastAsia="zh-CN"/>
              </w:rPr>
            </w:pPr>
            <w:r>
              <w:rPr>
                <w:rFonts w:hint="eastAsia"/>
                <w:lang w:val="en-US" w:eastAsia="zh-CN"/>
              </w:rPr>
              <w:t>0.73</w:t>
            </w:r>
          </w:p>
        </w:tc>
        <w:tc>
          <w:tcPr>
            <w:tcW w:w="436" w:type="pct"/>
            <w:shd w:val="clear" w:color="auto" w:fill="auto"/>
            <w:vAlign w:val="top"/>
          </w:tcPr>
          <w:p w14:paraId="789897C5">
            <w:pPr>
              <w:pStyle w:val="26"/>
              <w:bidi w:val="0"/>
              <w:rPr>
                <w:rFonts w:hint="eastAsia"/>
                <w:lang w:val="en-US" w:eastAsia="zh-CN"/>
              </w:rPr>
            </w:pPr>
            <w:r>
              <w:rPr>
                <w:rFonts w:hint="eastAsia"/>
                <w:lang w:val="en-US" w:eastAsia="zh-CN"/>
              </w:rPr>
              <w:t>0.70</w:t>
            </w:r>
          </w:p>
        </w:tc>
        <w:tc>
          <w:tcPr>
            <w:tcW w:w="437" w:type="pct"/>
            <w:shd w:val="clear" w:color="auto" w:fill="auto"/>
            <w:vAlign w:val="top"/>
          </w:tcPr>
          <w:p w14:paraId="7BAF095E">
            <w:pPr>
              <w:pStyle w:val="26"/>
              <w:bidi w:val="0"/>
              <w:rPr>
                <w:rFonts w:hint="eastAsia"/>
                <w:lang w:val="en-US" w:eastAsia="zh-CN"/>
              </w:rPr>
            </w:pPr>
            <w:r>
              <w:rPr>
                <w:rFonts w:hint="eastAsia"/>
                <w:lang w:val="en-US" w:eastAsia="zh-CN"/>
              </w:rPr>
              <w:t>0.70</w:t>
            </w:r>
          </w:p>
        </w:tc>
        <w:tc>
          <w:tcPr>
            <w:tcW w:w="391" w:type="pct"/>
            <w:vMerge w:val="continue"/>
            <w:vAlign w:val="center"/>
          </w:tcPr>
          <w:p w14:paraId="13626CC1">
            <w:pPr>
              <w:pStyle w:val="26"/>
              <w:bidi w:val="0"/>
              <w:rPr>
                <w:rFonts w:hint="eastAsia"/>
                <w:lang w:val="en-US" w:eastAsia="zh-CN"/>
              </w:rPr>
            </w:pPr>
          </w:p>
        </w:tc>
        <w:tc>
          <w:tcPr>
            <w:tcW w:w="505" w:type="pct"/>
            <w:shd w:val="clear" w:color="auto" w:fill="auto"/>
            <w:vAlign w:val="center"/>
          </w:tcPr>
          <w:p w14:paraId="2F6BC1FD">
            <w:pPr>
              <w:pStyle w:val="26"/>
              <w:bidi w:val="0"/>
              <w:rPr>
                <w:rFonts w:hint="eastAsia"/>
                <w:lang w:val="en-US" w:eastAsia="zh-CN"/>
              </w:rPr>
            </w:pPr>
            <w:r>
              <w:rPr>
                <w:rFonts w:hint="eastAsia"/>
                <w:lang w:val="en-US" w:eastAsia="zh-CN"/>
              </w:rPr>
              <w:t>达标</w:t>
            </w:r>
          </w:p>
        </w:tc>
      </w:tr>
      <w:tr w14:paraId="7FB6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pct"/>
            <w:vMerge w:val="continue"/>
            <w:shd w:val="clear" w:color="auto" w:fill="auto"/>
            <w:vAlign w:val="center"/>
          </w:tcPr>
          <w:p w14:paraId="6E56AFBF">
            <w:pPr>
              <w:pStyle w:val="26"/>
              <w:bidi w:val="0"/>
              <w:rPr>
                <w:rFonts w:hint="eastAsia"/>
                <w:lang w:val="en-US" w:eastAsia="zh-CN"/>
              </w:rPr>
            </w:pPr>
          </w:p>
        </w:tc>
        <w:tc>
          <w:tcPr>
            <w:tcW w:w="469" w:type="pct"/>
            <w:vMerge w:val="continue"/>
            <w:shd w:val="clear" w:color="auto" w:fill="auto"/>
            <w:vAlign w:val="center"/>
          </w:tcPr>
          <w:p w14:paraId="23E6C10F">
            <w:pPr>
              <w:pStyle w:val="26"/>
              <w:bidi w:val="0"/>
              <w:rPr>
                <w:rFonts w:hint="eastAsia"/>
                <w:lang w:val="en-US" w:eastAsia="zh-CN"/>
              </w:rPr>
            </w:pPr>
          </w:p>
        </w:tc>
        <w:tc>
          <w:tcPr>
            <w:tcW w:w="759" w:type="pct"/>
            <w:vMerge w:val="continue"/>
            <w:shd w:val="clear" w:color="auto" w:fill="auto"/>
            <w:vAlign w:val="top"/>
          </w:tcPr>
          <w:p w14:paraId="5B904592">
            <w:pPr>
              <w:pStyle w:val="26"/>
              <w:bidi w:val="0"/>
              <w:rPr>
                <w:rFonts w:hint="eastAsia"/>
                <w:lang w:val="en-US" w:eastAsia="zh-CN"/>
              </w:rPr>
            </w:pPr>
          </w:p>
        </w:tc>
        <w:tc>
          <w:tcPr>
            <w:tcW w:w="682" w:type="pct"/>
            <w:shd w:val="clear" w:color="auto" w:fill="auto"/>
            <w:vAlign w:val="top"/>
          </w:tcPr>
          <w:p w14:paraId="33DC7160">
            <w:pPr>
              <w:pStyle w:val="26"/>
              <w:bidi w:val="0"/>
              <w:rPr>
                <w:rFonts w:hint="eastAsia"/>
                <w:lang w:val="en-US" w:eastAsia="zh-CN"/>
              </w:rPr>
            </w:pPr>
            <w:r>
              <w:rPr>
                <w:rFonts w:hint="eastAsia"/>
                <w:lang w:val="en-US" w:eastAsia="zh-CN"/>
              </w:rPr>
              <w:t>14:00</w:t>
            </w:r>
          </w:p>
        </w:tc>
        <w:tc>
          <w:tcPr>
            <w:tcW w:w="466" w:type="pct"/>
            <w:shd w:val="clear" w:color="auto" w:fill="auto"/>
            <w:vAlign w:val="top"/>
          </w:tcPr>
          <w:p w14:paraId="6BCB86C7">
            <w:pPr>
              <w:pStyle w:val="26"/>
              <w:bidi w:val="0"/>
              <w:rPr>
                <w:rFonts w:hint="eastAsia"/>
                <w:lang w:val="en-US" w:eastAsia="zh-CN"/>
              </w:rPr>
            </w:pPr>
            <w:r>
              <w:rPr>
                <w:rFonts w:hint="eastAsia"/>
                <w:lang w:val="en-US" w:eastAsia="zh-CN"/>
              </w:rPr>
              <w:t>0.82</w:t>
            </w:r>
          </w:p>
        </w:tc>
        <w:tc>
          <w:tcPr>
            <w:tcW w:w="406" w:type="pct"/>
            <w:shd w:val="clear" w:color="auto" w:fill="auto"/>
            <w:vAlign w:val="top"/>
          </w:tcPr>
          <w:p w14:paraId="3D97C111">
            <w:pPr>
              <w:pStyle w:val="26"/>
              <w:bidi w:val="0"/>
              <w:rPr>
                <w:rFonts w:hint="eastAsia"/>
                <w:lang w:val="en-US" w:eastAsia="zh-CN"/>
              </w:rPr>
            </w:pPr>
            <w:r>
              <w:rPr>
                <w:rFonts w:hint="eastAsia"/>
                <w:lang w:val="en-US" w:eastAsia="zh-CN"/>
              </w:rPr>
              <w:t>0.72</w:t>
            </w:r>
          </w:p>
        </w:tc>
        <w:tc>
          <w:tcPr>
            <w:tcW w:w="436" w:type="pct"/>
            <w:shd w:val="clear" w:color="auto" w:fill="auto"/>
            <w:vAlign w:val="top"/>
          </w:tcPr>
          <w:p w14:paraId="2754D15C">
            <w:pPr>
              <w:pStyle w:val="26"/>
              <w:bidi w:val="0"/>
              <w:rPr>
                <w:rFonts w:hint="eastAsia"/>
                <w:lang w:val="en-US" w:eastAsia="zh-CN"/>
              </w:rPr>
            </w:pPr>
            <w:r>
              <w:rPr>
                <w:rFonts w:hint="eastAsia"/>
                <w:lang w:val="en-US" w:eastAsia="zh-CN"/>
              </w:rPr>
              <w:t>0.73</w:t>
            </w:r>
          </w:p>
        </w:tc>
        <w:tc>
          <w:tcPr>
            <w:tcW w:w="437" w:type="pct"/>
            <w:shd w:val="clear" w:color="auto" w:fill="auto"/>
            <w:vAlign w:val="top"/>
          </w:tcPr>
          <w:p w14:paraId="4C081643">
            <w:pPr>
              <w:pStyle w:val="26"/>
              <w:bidi w:val="0"/>
              <w:rPr>
                <w:rFonts w:hint="eastAsia"/>
                <w:lang w:val="en-US" w:eastAsia="zh-CN"/>
              </w:rPr>
            </w:pPr>
            <w:r>
              <w:rPr>
                <w:rFonts w:hint="eastAsia"/>
                <w:lang w:val="en-US" w:eastAsia="zh-CN"/>
              </w:rPr>
              <w:t>0.76</w:t>
            </w:r>
          </w:p>
        </w:tc>
        <w:tc>
          <w:tcPr>
            <w:tcW w:w="391" w:type="pct"/>
            <w:vMerge w:val="continue"/>
            <w:vAlign w:val="center"/>
          </w:tcPr>
          <w:p w14:paraId="34C0D0F9">
            <w:pPr>
              <w:pStyle w:val="26"/>
              <w:bidi w:val="0"/>
              <w:rPr>
                <w:rFonts w:hint="eastAsia"/>
                <w:lang w:val="en-US" w:eastAsia="zh-CN"/>
              </w:rPr>
            </w:pPr>
          </w:p>
        </w:tc>
        <w:tc>
          <w:tcPr>
            <w:tcW w:w="505" w:type="pct"/>
            <w:shd w:val="clear" w:color="auto" w:fill="auto"/>
            <w:vAlign w:val="center"/>
          </w:tcPr>
          <w:p w14:paraId="209BB030">
            <w:pPr>
              <w:pStyle w:val="26"/>
              <w:bidi w:val="0"/>
              <w:rPr>
                <w:rFonts w:hint="eastAsia"/>
                <w:lang w:val="en-US" w:eastAsia="zh-CN"/>
              </w:rPr>
            </w:pPr>
            <w:r>
              <w:rPr>
                <w:rFonts w:hint="eastAsia"/>
                <w:lang w:val="en-US" w:eastAsia="zh-CN"/>
              </w:rPr>
              <w:t>达标</w:t>
            </w:r>
          </w:p>
        </w:tc>
      </w:tr>
      <w:tr w14:paraId="0A3F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pct"/>
            <w:vMerge w:val="continue"/>
            <w:shd w:val="clear" w:color="auto" w:fill="auto"/>
            <w:vAlign w:val="center"/>
          </w:tcPr>
          <w:p w14:paraId="55444FB4">
            <w:pPr>
              <w:pStyle w:val="26"/>
              <w:bidi w:val="0"/>
              <w:rPr>
                <w:rFonts w:hint="eastAsia"/>
                <w:lang w:val="en-US" w:eastAsia="zh-CN"/>
              </w:rPr>
            </w:pPr>
          </w:p>
        </w:tc>
        <w:tc>
          <w:tcPr>
            <w:tcW w:w="469" w:type="pct"/>
            <w:vMerge w:val="continue"/>
            <w:shd w:val="clear" w:color="auto" w:fill="auto"/>
            <w:vAlign w:val="center"/>
          </w:tcPr>
          <w:p w14:paraId="7416F5F3">
            <w:pPr>
              <w:pStyle w:val="26"/>
              <w:bidi w:val="0"/>
              <w:rPr>
                <w:rFonts w:hint="eastAsia"/>
                <w:lang w:val="en-US" w:eastAsia="zh-CN"/>
              </w:rPr>
            </w:pPr>
          </w:p>
        </w:tc>
        <w:tc>
          <w:tcPr>
            <w:tcW w:w="759" w:type="pct"/>
            <w:vMerge w:val="continue"/>
            <w:shd w:val="clear" w:color="auto" w:fill="auto"/>
            <w:vAlign w:val="top"/>
          </w:tcPr>
          <w:p w14:paraId="36FE7F3F">
            <w:pPr>
              <w:pStyle w:val="26"/>
              <w:bidi w:val="0"/>
              <w:rPr>
                <w:rFonts w:hint="eastAsia"/>
                <w:lang w:val="en-US" w:eastAsia="zh-CN"/>
              </w:rPr>
            </w:pPr>
          </w:p>
        </w:tc>
        <w:tc>
          <w:tcPr>
            <w:tcW w:w="682" w:type="pct"/>
            <w:shd w:val="clear" w:color="auto" w:fill="auto"/>
            <w:vAlign w:val="top"/>
          </w:tcPr>
          <w:p w14:paraId="628B35E9">
            <w:pPr>
              <w:pStyle w:val="26"/>
              <w:bidi w:val="0"/>
              <w:rPr>
                <w:rFonts w:hint="eastAsia"/>
                <w:lang w:val="en-US" w:eastAsia="zh-CN"/>
              </w:rPr>
            </w:pPr>
            <w:r>
              <w:rPr>
                <w:rFonts w:hint="eastAsia"/>
                <w:lang w:val="en-US" w:eastAsia="zh-CN"/>
              </w:rPr>
              <w:t>20:00</w:t>
            </w:r>
          </w:p>
        </w:tc>
        <w:tc>
          <w:tcPr>
            <w:tcW w:w="466" w:type="pct"/>
            <w:shd w:val="clear" w:color="auto" w:fill="auto"/>
            <w:vAlign w:val="top"/>
          </w:tcPr>
          <w:p w14:paraId="733E5572">
            <w:pPr>
              <w:pStyle w:val="26"/>
              <w:bidi w:val="0"/>
              <w:rPr>
                <w:rFonts w:hint="eastAsia"/>
                <w:lang w:val="en-US" w:eastAsia="zh-CN"/>
              </w:rPr>
            </w:pPr>
            <w:r>
              <w:rPr>
                <w:rFonts w:hint="eastAsia"/>
                <w:lang w:val="en-US" w:eastAsia="zh-CN"/>
              </w:rPr>
              <w:t>0.76</w:t>
            </w:r>
          </w:p>
        </w:tc>
        <w:tc>
          <w:tcPr>
            <w:tcW w:w="406" w:type="pct"/>
            <w:shd w:val="clear" w:color="auto" w:fill="auto"/>
            <w:vAlign w:val="top"/>
          </w:tcPr>
          <w:p w14:paraId="097DC998">
            <w:pPr>
              <w:pStyle w:val="26"/>
              <w:bidi w:val="0"/>
              <w:rPr>
                <w:rFonts w:hint="eastAsia"/>
                <w:lang w:val="en-US" w:eastAsia="zh-CN"/>
              </w:rPr>
            </w:pPr>
            <w:r>
              <w:rPr>
                <w:rFonts w:hint="eastAsia"/>
                <w:lang w:val="en-US" w:eastAsia="zh-CN"/>
              </w:rPr>
              <w:t>0.82</w:t>
            </w:r>
          </w:p>
        </w:tc>
        <w:tc>
          <w:tcPr>
            <w:tcW w:w="436" w:type="pct"/>
            <w:shd w:val="clear" w:color="auto" w:fill="auto"/>
            <w:vAlign w:val="top"/>
          </w:tcPr>
          <w:p w14:paraId="70DDF550">
            <w:pPr>
              <w:pStyle w:val="26"/>
              <w:bidi w:val="0"/>
              <w:rPr>
                <w:rFonts w:hint="eastAsia"/>
                <w:lang w:val="en-US" w:eastAsia="zh-CN"/>
              </w:rPr>
            </w:pPr>
            <w:r>
              <w:rPr>
                <w:rFonts w:hint="eastAsia"/>
                <w:lang w:val="en-US" w:eastAsia="zh-CN"/>
              </w:rPr>
              <w:t>0.73</w:t>
            </w:r>
          </w:p>
        </w:tc>
        <w:tc>
          <w:tcPr>
            <w:tcW w:w="437" w:type="pct"/>
            <w:shd w:val="clear" w:color="auto" w:fill="auto"/>
            <w:vAlign w:val="top"/>
          </w:tcPr>
          <w:p w14:paraId="56BEDCC9">
            <w:pPr>
              <w:pStyle w:val="26"/>
              <w:bidi w:val="0"/>
              <w:rPr>
                <w:rFonts w:hint="eastAsia"/>
                <w:lang w:val="en-US" w:eastAsia="zh-CN"/>
              </w:rPr>
            </w:pPr>
            <w:r>
              <w:rPr>
                <w:rFonts w:hint="eastAsia"/>
                <w:lang w:val="en-US" w:eastAsia="zh-CN"/>
              </w:rPr>
              <w:t>0.77</w:t>
            </w:r>
          </w:p>
        </w:tc>
        <w:tc>
          <w:tcPr>
            <w:tcW w:w="391" w:type="pct"/>
            <w:vMerge w:val="continue"/>
            <w:vAlign w:val="center"/>
          </w:tcPr>
          <w:p w14:paraId="0DC7209F">
            <w:pPr>
              <w:pStyle w:val="26"/>
              <w:bidi w:val="0"/>
              <w:rPr>
                <w:rFonts w:hint="eastAsia"/>
                <w:lang w:val="en-US" w:eastAsia="zh-CN"/>
              </w:rPr>
            </w:pPr>
          </w:p>
        </w:tc>
        <w:tc>
          <w:tcPr>
            <w:tcW w:w="505" w:type="pct"/>
            <w:shd w:val="clear" w:color="auto" w:fill="auto"/>
            <w:vAlign w:val="center"/>
          </w:tcPr>
          <w:p w14:paraId="668F216A">
            <w:pPr>
              <w:pStyle w:val="26"/>
              <w:bidi w:val="0"/>
              <w:rPr>
                <w:rFonts w:hint="eastAsia"/>
                <w:lang w:val="en-US" w:eastAsia="zh-CN"/>
              </w:rPr>
            </w:pPr>
            <w:r>
              <w:rPr>
                <w:rFonts w:hint="eastAsia"/>
                <w:lang w:val="en-US" w:eastAsia="zh-CN"/>
              </w:rPr>
              <w:t>达标</w:t>
            </w:r>
          </w:p>
        </w:tc>
      </w:tr>
    </w:tbl>
    <w:p w14:paraId="5D983D98">
      <w:pPr>
        <w:rPr>
          <w:rFonts w:ascii="Times New Roman" w:hAnsi="Times New Roman"/>
          <w:color w:val="auto"/>
        </w:rPr>
      </w:pPr>
      <w:r>
        <w:rPr>
          <w:rFonts w:ascii="Times New Roman" w:hAnsi="Times New Roman" w:cs="Times New Roman"/>
          <w:color w:val="auto"/>
        </w:rPr>
        <w:t>根据监测结果，本次评价点位</w:t>
      </w:r>
      <w:r>
        <w:rPr>
          <w:rFonts w:hint="eastAsia" w:ascii="Times New Roman" w:hAnsi="Times New Roman" w:cs="Times New Roman"/>
          <w:color w:val="auto"/>
        </w:rPr>
        <w:t>硫酸雾、甲苯、二甲苯</w:t>
      </w:r>
      <w:r>
        <w:rPr>
          <w:rFonts w:ascii="Times New Roman" w:hAnsi="Times New Roman" w:cs="Times New Roman"/>
          <w:color w:val="auto"/>
        </w:rPr>
        <w:t>满足《环境影响评价技术导则-大气环境》（HJ2.2-2018）附录D标准要求，非甲烷总烃满足《大气污染物综合排放标准详解》选用标准。</w:t>
      </w:r>
    </w:p>
    <w:p w14:paraId="4F092057">
      <w:pPr>
        <w:rPr>
          <w:rFonts w:ascii="Times New Roman" w:hAnsi="Times New Roman"/>
          <w:color w:val="auto"/>
        </w:rPr>
      </w:pPr>
    </w:p>
    <w:p w14:paraId="78649C6C">
      <w:pPr>
        <w:pStyle w:val="4"/>
        <w:bidi w:val="0"/>
        <w:rPr>
          <w:color w:val="auto"/>
          <w:lang w:val="en-US" w:eastAsia="zh-CN"/>
        </w:rPr>
      </w:pPr>
      <w:bookmarkStart w:id="244" w:name="_Toc1265"/>
      <w:bookmarkStart w:id="245" w:name="_Toc21193"/>
      <w:bookmarkStart w:id="246" w:name="_Toc23944"/>
      <w:r>
        <w:rPr>
          <w:rFonts w:hint="eastAsia"/>
          <w:color w:val="auto"/>
          <w:lang w:val="en-US" w:eastAsia="zh-CN"/>
        </w:rPr>
        <w:t>地表水环境质量现状监测与评价</w:t>
      </w:r>
      <w:bookmarkEnd w:id="244"/>
      <w:bookmarkEnd w:id="245"/>
      <w:bookmarkEnd w:id="246"/>
    </w:p>
    <w:p w14:paraId="3353BD4E">
      <w:pPr>
        <w:pStyle w:val="5"/>
        <w:bidi w:val="0"/>
        <w:rPr>
          <w:color w:val="auto"/>
          <w:lang w:val="en-US" w:eastAsia="zh-CN"/>
        </w:rPr>
      </w:pPr>
      <w:r>
        <w:rPr>
          <w:rFonts w:hint="eastAsia"/>
          <w:color w:val="auto"/>
          <w:lang w:val="en-US" w:eastAsia="zh-CN"/>
        </w:rPr>
        <w:t>地表水环境质量现状</w:t>
      </w:r>
    </w:p>
    <w:p w14:paraId="76C37E64">
      <w:pPr>
        <w:rPr>
          <w:rFonts w:ascii="Times New Roman" w:hAnsi="Times New Roman"/>
          <w:color w:val="auto"/>
        </w:rPr>
      </w:pPr>
      <w:r>
        <w:rPr>
          <w:rFonts w:hint="eastAsia" w:ascii="Times New Roman" w:hAnsi="Times New Roman"/>
          <w:color w:val="auto"/>
        </w:rPr>
        <w:t>根据《环境影响评价技术导则地表水环境》（HJ2.3-2018），项目所在区域水环境质量现状调查优先采用国家或地方生态环境主管部门公开发布的环境质量公告或环境质量报告中的数据或结论。</w:t>
      </w:r>
    </w:p>
    <w:p w14:paraId="2B3BBB6E">
      <w:pPr>
        <w:bidi w:val="0"/>
        <w:rPr>
          <w:rFonts w:hint="eastAsia" w:ascii="Times New Roman" w:hAnsi="Times New Roman"/>
          <w:color w:val="auto"/>
          <w:highlight w:val="none"/>
        </w:rPr>
      </w:pPr>
      <w:r>
        <w:rPr>
          <w:rFonts w:hint="eastAsia" w:ascii="Times New Roman" w:hAnsi="Times New Roman"/>
          <w:color w:val="auto"/>
          <w:highlight w:val="none"/>
        </w:rPr>
        <w:t>根据昆山市生态环境局公布的《2025年度昆山市环境状况公报》，2025年，昆山市内10个国省考断面（吴淞江赵屯、急水港急水港桥（十四五）、千灯浦千灯浦口、朱厍港朱厍港口、张家港巴城湖口、娄江正仪铁路桥、浏河振东渡口、杨林塘青阳北路桥、淀山湖淀山湖中、道褐浦新开泾桥）水质达标率100%，优Ⅲ比例90.0%，优Ⅱ比例为70%。</w:t>
      </w:r>
    </w:p>
    <w:p w14:paraId="413FD848">
      <w:pPr>
        <w:pStyle w:val="5"/>
        <w:bidi w:val="0"/>
        <w:rPr>
          <w:color w:val="auto"/>
          <w:lang w:val="en-US" w:eastAsia="zh-CN"/>
        </w:rPr>
      </w:pPr>
      <w:r>
        <w:rPr>
          <w:rFonts w:hint="eastAsia"/>
          <w:color w:val="auto"/>
          <w:lang w:val="en-US" w:eastAsia="zh-CN"/>
        </w:rPr>
        <w:t>地表水环境质量现状监测</w:t>
      </w:r>
    </w:p>
    <w:p w14:paraId="43DC61A7">
      <w:pPr>
        <w:numPr>
          <w:ilvl w:val="0"/>
          <w:numId w:val="0"/>
        </w:numPr>
        <w:spacing w:line="500" w:lineRule="exact"/>
        <w:ind w:firstLine="560" w:firstLineChars="200"/>
        <w:rPr>
          <w:rFonts w:hint="eastAsia" w:ascii="Times New Roman" w:hAnsi="Times New Roman" w:eastAsia="仿宋_GB2312" w:cs="Times New Roman"/>
          <w:color w:val="auto"/>
          <w:sz w:val="28"/>
          <w:szCs w:val="22"/>
          <w:lang w:val="en-US" w:eastAsia="zh-CN"/>
        </w:rPr>
      </w:pPr>
      <w:r>
        <w:rPr>
          <w:rFonts w:hint="eastAsia" w:ascii="Times New Roman" w:hAnsi="Times New Roman" w:eastAsia="仿宋_GB2312" w:cs="Times New Roman"/>
          <w:color w:val="auto"/>
          <w:sz w:val="28"/>
          <w:szCs w:val="22"/>
          <w:lang w:val="en-US" w:eastAsia="zh-CN"/>
        </w:rPr>
        <w:t>（1）数据来源</w:t>
      </w:r>
    </w:p>
    <w:p w14:paraId="73D2C611">
      <w:pPr>
        <w:spacing w:line="500" w:lineRule="exact"/>
        <w:ind w:firstLine="560" w:firstLineChars="200"/>
        <w:rPr>
          <w:rFonts w:hint="eastAsia" w:ascii="Times New Roman" w:hAnsi="Times New Roman" w:eastAsia="仿宋_GB2312" w:cs="Times New Roman"/>
          <w:color w:val="auto"/>
          <w:sz w:val="28"/>
          <w:szCs w:val="22"/>
        </w:rPr>
      </w:pPr>
      <w:r>
        <w:rPr>
          <w:rFonts w:hint="eastAsia" w:ascii="Times New Roman" w:hAnsi="Times New Roman" w:cs="Times New Roman"/>
          <w:color w:val="auto"/>
          <w:sz w:val="28"/>
          <w:szCs w:val="36"/>
          <w:lang w:val="en-US" w:eastAsia="zh-CN"/>
        </w:rPr>
        <w:t>本次</w:t>
      </w:r>
      <w:r>
        <w:rPr>
          <w:rFonts w:ascii="Times New Roman" w:hAnsi="Times New Roman" w:eastAsia="仿宋_GB2312" w:cs="Times New Roman"/>
          <w:color w:val="auto"/>
          <w:sz w:val="28"/>
          <w:szCs w:val="36"/>
        </w:rPr>
        <w:t>委托江苏</w:t>
      </w:r>
      <w:r>
        <w:rPr>
          <w:rFonts w:hint="eastAsia" w:ascii="Times New Roman" w:hAnsi="Times New Roman" w:eastAsia="仿宋_GB2312" w:cs="Times New Roman"/>
          <w:color w:val="auto"/>
          <w:sz w:val="28"/>
          <w:szCs w:val="36"/>
          <w:lang w:val="en-US" w:eastAsia="zh-CN"/>
        </w:rPr>
        <w:t>泰坤</w:t>
      </w:r>
      <w:r>
        <w:rPr>
          <w:rFonts w:ascii="Times New Roman" w:hAnsi="Times New Roman" w:eastAsia="仿宋_GB2312" w:cs="Times New Roman"/>
          <w:color w:val="auto"/>
          <w:sz w:val="28"/>
          <w:szCs w:val="36"/>
        </w:rPr>
        <w:t>检测科技有限公司进行</w:t>
      </w:r>
      <w:r>
        <w:rPr>
          <w:rFonts w:hint="eastAsia" w:ascii="Times New Roman" w:hAnsi="Times New Roman" w:eastAsia="仿宋_GB2312" w:cs="Times New Roman"/>
          <w:color w:val="auto"/>
          <w:sz w:val="28"/>
          <w:szCs w:val="36"/>
          <w:lang w:eastAsia="zh-CN"/>
        </w:rPr>
        <w:t>，</w:t>
      </w:r>
      <w:r>
        <w:rPr>
          <w:rFonts w:ascii="Times New Roman" w:hAnsi="Times New Roman" w:eastAsia="仿宋_GB2312" w:cs="Times New Roman"/>
          <w:color w:val="auto"/>
          <w:sz w:val="28"/>
          <w:szCs w:val="36"/>
        </w:rPr>
        <w:t>现场采样时间为202</w:t>
      </w:r>
      <w:r>
        <w:rPr>
          <w:rFonts w:hint="eastAsia" w:ascii="Times New Roman" w:hAnsi="Times New Roman" w:eastAsia="仿宋_GB2312" w:cs="Times New Roman"/>
          <w:color w:val="auto"/>
          <w:sz w:val="28"/>
          <w:szCs w:val="36"/>
          <w:lang w:val="en-US" w:eastAsia="zh-CN"/>
        </w:rPr>
        <w:t>6</w:t>
      </w:r>
      <w:r>
        <w:rPr>
          <w:rFonts w:ascii="Times New Roman" w:hAnsi="Times New Roman" w:eastAsia="仿宋_GB2312" w:cs="Times New Roman"/>
          <w:color w:val="auto"/>
          <w:sz w:val="28"/>
          <w:szCs w:val="36"/>
        </w:rPr>
        <w:t>年</w:t>
      </w:r>
      <w:r>
        <w:rPr>
          <w:rFonts w:hint="eastAsia" w:ascii="Times New Roman" w:hAnsi="Times New Roman" w:eastAsia="仿宋_GB2312" w:cs="Times New Roman"/>
          <w:color w:val="auto"/>
          <w:sz w:val="28"/>
          <w:szCs w:val="36"/>
          <w:lang w:val="en-US" w:eastAsia="zh-CN"/>
        </w:rPr>
        <w:t>04</w:t>
      </w:r>
      <w:r>
        <w:rPr>
          <w:rFonts w:ascii="Times New Roman" w:hAnsi="Times New Roman" w:eastAsia="仿宋_GB2312" w:cs="Times New Roman"/>
          <w:color w:val="auto"/>
          <w:sz w:val="28"/>
          <w:szCs w:val="36"/>
        </w:rPr>
        <w:t>月</w:t>
      </w:r>
      <w:r>
        <w:rPr>
          <w:rFonts w:hint="eastAsia" w:ascii="Times New Roman" w:hAnsi="Times New Roman" w:eastAsia="仿宋_GB2312" w:cs="Times New Roman"/>
          <w:color w:val="auto"/>
          <w:sz w:val="28"/>
          <w:szCs w:val="36"/>
          <w:lang w:val="en-US" w:eastAsia="zh-CN"/>
        </w:rPr>
        <w:t>06</w:t>
      </w:r>
      <w:r>
        <w:rPr>
          <w:rFonts w:ascii="Times New Roman" w:hAnsi="Times New Roman" w:eastAsia="仿宋_GB2312" w:cs="Times New Roman"/>
          <w:color w:val="auto"/>
          <w:sz w:val="28"/>
          <w:szCs w:val="36"/>
        </w:rPr>
        <w:t>日～202</w:t>
      </w:r>
      <w:r>
        <w:rPr>
          <w:rFonts w:hint="eastAsia" w:ascii="Times New Roman" w:hAnsi="Times New Roman" w:eastAsia="仿宋_GB2312" w:cs="Times New Roman"/>
          <w:color w:val="auto"/>
          <w:sz w:val="28"/>
          <w:szCs w:val="36"/>
          <w:lang w:val="en-US" w:eastAsia="zh-CN"/>
        </w:rPr>
        <w:t>6</w:t>
      </w:r>
      <w:r>
        <w:rPr>
          <w:rFonts w:ascii="Times New Roman" w:hAnsi="Times New Roman" w:eastAsia="仿宋_GB2312" w:cs="Times New Roman"/>
          <w:color w:val="auto"/>
          <w:sz w:val="28"/>
          <w:szCs w:val="36"/>
        </w:rPr>
        <w:t>年</w:t>
      </w:r>
      <w:r>
        <w:rPr>
          <w:rFonts w:hint="eastAsia" w:ascii="Times New Roman" w:hAnsi="Times New Roman" w:eastAsia="仿宋_GB2312" w:cs="Times New Roman"/>
          <w:color w:val="auto"/>
          <w:sz w:val="28"/>
          <w:szCs w:val="36"/>
          <w:lang w:val="en-US" w:eastAsia="zh-CN"/>
        </w:rPr>
        <w:t>04</w:t>
      </w:r>
      <w:r>
        <w:rPr>
          <w:rFonts w:ascii="Times New Roman" w:hAnsi="Times New Roman" w:eastAsia="仿宋_GB2312" w:cs="Times New Roman"/>
          <w:color w:val="auto"/>
          <w:sz w:val="28"/>
          <w:szCs w:val="36"/>
        </w:rPr>
        <w:t>月</w:t>
      </w:r>
      <w:r>
        <w:rPr>
          <w:rFonts w:hint="eastAsia" w:ascii="Times New Roman" w:hAnsi="Times New Roman" w:eastAsia="仿宋_GB2312" w:cs="Times New Roman"/>
          <w:color w:val="auto"/>
          <w:sz w:val="28"/>
          <w:szCs w:val="36"/>
          <w:lang w:val="en-US" w:eastAsia="zh-CN"/>
        </w:rPr>
        <w:t>08</w:t>
      </w:r>
      <w:r>
        <w:rPr>
          <w:rFonts w:ascii="Times New Roman" w:hAnsi="Times New Roman" w:eastAsia="仿宋_GB2312" w:cs="Times New Roman"/>
          <w:color w:val="auto"/>
          <w:sz w:val="28"/>
          <w:szCs w:val="36"/>
        </w:rPr>
        <w:t>日</w:t>
      </w:r>
      <w:r>
        <w:rPr>
          <w:rFonts w:hint="eastAsia" w:ascii="Times New Roman" w:hAnsi="Times New Roman" w:eastAsia="仿宋_GB2312" w:cs="Times New Roman"/>
          <w:color w:val="auto"/>
          <w:sz w:val="28"/>
          <w:szCs w:val="36"/>
          <w:lang w:eastAsia="zh-CN"/>
        </w:rPr>
        <w:t>，</w:t>
      </w:r>
      <w:r>
        <w:rPr>
          <w:rFonts w:ascii="Times New Roman" w:hAnsi="Times New Roman" w:eastAsia="仿宋_GB2312" w:cs="Times New Roman"/>
          <w:color w:val="auto"/>
          <w:sz w:val="28"/>
          <w:szCs w:val="36"/>
        </w:rPr>
        <w:t>报告编号为</w:t>
      </w:r>
      <w:r>
        <w:rPr>
          <w:rFonts w:hint="eastAsia" w:ascii="Times New Roman" w:hAnsi="Times New Roman" w:eastAsia="仿宋_GB2312" w:cs="Times New Roman"/>
          <w:color w:val="auto"/>
          <w:sz w:val="28"/>
          <w:szCs w:val="36"/>
          <w:lang w:val="en-US" w:eastAsia="zh-CN"/>
        </w:rPr>
        <w:t>TKJC2026CA0015-H</w:t>
      </w:r>
      <w:r>
        <w:rPr>
          <w:rFonts w:ascii="Times New Roman" w:hAnsi="Times New Roman" w:eastAsia="仿宋_GB2312" w:cs="Times New Roman"/>
          <w:color w:val="auto"/>
          <w:sz w:val="28"/>
          <w:szCs w:val="36"/>
        </w:rPr>
        <w:t>。</w:t>
      </w:r>
    </w:p>
    <w:p w14:paraId="1C57FB52">
      <w:pPr>
        <w:rPr>
          <w:rFonts w:hint="eastAsia" w:ascii="Times New Roman" w:hAnsi="Times New Roman"/>
          <w:color w:val="auto"/>
        </w:rPr>
      </w:pPr>
      <w:r>
        <w:rPr>
          <w:rFonts w:hint="eastAsia" w:ascii="Times New Roman" w:hAnsi="Times New Roman"/>
          <w:color w:val="auto"/>
        </w:rPr>
        <w:t>（</w:t>
      </w:r>
      <w:r>
        <w:rPr>
          <w:rFonts w:hint="eastAsia"/>
          <w:color w:val="auto"/>
          <w:lang w:val="en-US" w:eastAsia="zh-CN"/>
        </w:rPr>
        <w:t>2</w:t>
      </w:r>
      <w:r>
        <w:rPr>
          <w:rFonts w:hint="eastAsia" w:ascii="Times New Roman" w:hAnsi="Times New Roman"/>
          <w:color w:val="auto"/>
        </w:rPr>
        <w:t>）监测因子</w:t>
      </w:r>
    </w:p>
    <w:p w14:paraId="5D9E90E7">
      <w:pPr>
        <w:rPr>
          <w:rFonts w:hint="eastAsia" w:ascii="Times New Roman" w:hAnsi="Times New Roman"/>
          <w:color w:val="auto"/>
        </w:rPr>
      </w:pPr>
      <w:r>
        <w:rPr>
          <w:rFonts w:hint="eastAsia" w:ascii="Times New Roman" w:hAnsi="Times New Roman"/>
          <w:color w:val="auto"/>
        </w:rPr>
        <w:t>pH值、水温、溶解氧、COD、氨氮、总磷、悬浮物、石油类、高猛酸盐指数、五日生化需氧量。</w:t>
      </w:r>
    </w:p>
    <w:p w14:paraId="4739DD14">
      <w:pPr>
        <w:rPr>
          <w:rFonts w:hint="eastAsia" w:ascii="Times New Roman" w:hAnsi="Times New Roman"/>
          <w:color w:val="auto"/>
        </w:rPr>
      </w:pPr>
      <w:r>
        <w:rPr>
          <w:rFonts w:hint="eastAsia" w:ascii="Times New Roman" w:hAnsi="Times New Roman"/>
          <w:color w:val="auto"/>
        </w:rPr>
        <w:t>（</w:t>
      </w:r>
      <w:r>
        <w:rPr>
          <w:rFonts w:hint="eastAsia"/>
          <w:color w:val="auto"/>
          <w:lang w:val="en-US" w:eastAsia="zh-CN"/>
        </w:rPr>
        <w:t>3</w:t>
      </w:r>
      <w:r>
        <w:rPr>
          <w:rFonts w:hint="eastAsia" w:ascii="Times New Roman" w:hAnsi="Times New Roman"/>
          <w:color w:val="auto"/>
        </w:rPr>
        <w:t>）监测断面布设</w:t>
      </w:r>
    </w:p>
    <w:p w14:paraId="5E08F6B0">
      <w:pPr>
        <w:rPr>
          <w:rFonts w:hint="eastAsia" w:ascii="Times New Roman" w:hAnsi="Times New Roman"/>
          <w:color w:val="auto"/>
        </w:rPr>
      </w:pPr>
      <w:r>
        <w:rPr>
          <w:rFonts w:hint="eastAsia" w:ascii="Times New Roman" w:hAnsi="Times New Roman"/>
          <w:color w:val="auto"/>
        </w:rPr>
        <w:t>本次评价根据项目评价区水文特征、项目排污特征及纳污水体情况，设监测断面</w:t>
      </w:r>
      <w:r>
        <w:rPr>
          <w:rFonts w:hint="eastAsia" w:ascii="Times New Roman" w:hAnsi="Times New Roman"/>
          <w:color w:val="auto"/>
          <w:lang w:val="en-US" w:eastAsia="zh-CN"/>
        </w:rPr>
        <w:t>3</w:t>
      </w:r>
      <w:r>
        <w:rPr>
          <w:rFonts w:hint="eastAsia" w:ascii="Times New Roman" w:hAnsi="Times New Roman"/>
          <w:color w:val="auto"/>
        </w:rPr>
        <w:t>个，具体位置见下表。</w:t>
      </w:r>
    </w:p>
    <w:p w14:paraId="2E68E1E8">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5.2</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7</w:t>
      </w:r>
      <w:r>
        <w:rPr>
          <w:rFonts w:hint="eastAsia"/>
          <w:color w:val="auto"/>
          <w:lang w:val="en-US" w:eastAsia="zh-CN"/>
        </w:rPr>
        <w:fldChar w:fldCharType="end"/>
      </w:r>
      <w:r>
        <w:rPr>
          <w:rFonts w:hint="eastAsia"/>
          <w:color w:val="auto"/>
          <w:lang w:val="en-US" w:eastAsia="zh-CN"/>
        </w:rPr>
        <w:t>地表水环境现状监测断面布设</w:t>
      </w:r>
    </w:p>
    <w:tbl>
      <w:tblPr>
        <w:tblStyle w:val="21"/>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19"/>
        <w:gridCol w:w="922"/>
        <w:gridCol w:w="3044"/>
        <w:gridCol w:w="2572"/>
        <w:gridCol w:w="939"/>
      </w:tblGrid>
      <w:tr w14:paraId="791D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35A5CAD5">
            <w:pPr>
              <w:pStyle w:val="36"/>
              <w:bidi w:val="0"/>
              <w:rPr>
                <w:rFonts w:hint="eastAsia"/>
                <w:color w:val="auto"/>
                <w:lang w:val="en-US" w:eastAsia="zh-CN"/>
              </w:rPr>
            </w:pPr>
            <w:r>
              <w:rPr>
                <w:rFonts w:hint="eastAsia"/>
                <w:color w:val="auto"/>
                <w:lang w:val="en-US" w:eastAsia="zh-CN"/>
              </w:rPr>
              <w:t>监测断面</w:t>
            </w:r>
          </w:p>
        </w:tc>
        <w:tc>
          <w:tcPr>
            <w:tcW w:w="549" w:type="pct"/>
            <w:noWrap w:val="0"/>
            <w:tcMar>
              <w:left w:w="0" w:type="dxa"/>
              <w:right w:w="0" w:type="dxa"/>
            </w:tcMar>
            <w:vAlign w:val="center"/>
          </w:tcPr>
          <w:p w14:paraId="1908FE61">
            <w:pPr>
              <w:pStyle w:val="36"/>
              <w:bidi w:val="0"/>
              <w:rPr>
                <w:rFonts w:hint="eastAsia"/>
                <w:color w:val="auto"/>
                <w:lang w:val="en-US" w:eastAsia="zh-CN"/>
              </w:rPr>
            </w:pPr>
            <w:r>
              <w:rPr>
                <w:rFonts w:hint="eastAsia"/>
                <w:color w:val="auto"/>
                <w:lang w:val="en-US" w:eastAsia="zh-CN"/>
              </w:rPr>
              <w:t>河流名称</w:t>
            </w:r>
          </w:p>
        </w:tc>
        <w:tc>
          <w:tcPr>
            <w:tcW w:w="1812" w:type="pct"/>
            <w:noWrap w:val="0"/>
            <w:tcMar>
              <w:left w:w="0" w:type="dxa"/>
              <w:right w:w="0" w:type="dxa"/>
            </w:tcMar>
            <w:vAlign w:val="center"/>
          </w:tcPr>
          <w:p w14:paraId="66533B1C">
            <w:pPr>
              <w:pStyle w:val="36"/>
              <w:bidi w:val="0"/>
              <w:rPr>
                <w:rFonts w:hint="eastAsia"/>
                <w:color w:val="auto"/>
                <w:lang w:val="en-US" w:eastAsia="zh-CN"/>
              </w:rPr>
            </w:pPr>
            <w:r>
              <w:rPr>
                <w:rFonts w:hint="eastAsia"/>
                <w:color w:val="auto"/>
                <w:lang w:val="en-US" w:eastAsia="zh-CN"/>
              </w:rPr>
              <w:t>断面位置</w:t>
            </w:r>
          </w:p>
        </w:tc>
        <w:tc>
          <w:tcPr>
            <w:tcW w:w="1531" w:type="pct"/>
            <w:noWrap w:val="0"/>
            <w:tcMar>
              <w:left w:w="0" w:type="dxa"/>
              <w:right w:w="0" w:type="dxa"/>
            </w:tcMar>
            <w:vAlign w:val="center"/>
          </w:tcPr>
          <w:p w14:paraId="72DCA2A9">
            <w:pPr>
              <w:pStyle w:val="36"/>
              <w:bidi w:val="0"/>
              <w:rPr>
                <w:rFonts w:hint="eastAsia"/>
                <w:color w:val="auto"/>
                <w:lang w:val="en-US" w:eastAsia="zh-CN"/>
              </w:rPr>
            </w:pPr>
            <w:r>
              <w:rPr>
                <w:rFonts w:hint="eastAsia"/>
                <w:color w:val="auto"/>
                <w:lang w:val="en-US" w:eastAsia="zh-CN"/>
              </w:rPr>
              <w:t>引用监测因子</w:t>
            </w:r>
          </w:p>
        </w:tc>
        <w:tc>
          <w:tcPr>
            <w:tcW w:w="559" w:type="pct"/>
            <w:noWrap w:val="0"/>
            <w:tcMar>
              <w:left w:w="0" w:type="dxa"/>
              <w:right w:w="0" w:type="dxa"/>
            </w:tcMar>
            <w:vAlign w:val="center"/>
          </w:tcPr>
          <w:p w14:paraId="4B985EDE">
            <w:pPr>
              <w:pStyle w:val="36"/>
              <w:bidi w:val="0"/>
              <w:rPr>
                <w:rFonts w:hint="eastAsia"/>
                <w:color w:val="auto"/>
                <w:lang w:val="en-US" w:eastAsia="zh-CN"/>
              </w:rPr>
            </w:pPr>
            <w:r>
              <w:rPr>
                <w:rFonts w:hint="eastAsia"/>
                <w:color w:val="auto"/>
                <w:lang w:val="en-US" w:eastAsia="zh-CN"/>
              </w:rPr>
              <w:t>监测时段</w:t>
            </w:r>
          </w:p>
        </w:tc>
      </w:tr>
      <w:tr w14:paraId="2FB7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0733D672">
            <w:pPr>
              <w:pStyle w:val="26"/>
              <w:bidi w:val="0"/>
              <w:rPr>
                <w:rFonts w:hint="eastAsia"/>
                <w:color w:val="auto"/>
                <w:lang w:val="en-US" w:eastAsia="zh-CN"/>
              </w:rPr>
            </w:pPr>
            <w:r>
              <w:rPr>
                <w:rFonts w:hint="eastAsia"/>
                <w:color w:val="auto"/>
                <w:lang w:val="en-US" w:eastAsia="zh-CN"/>
              </w:rPr>
              <w:t>W1</w:t>
            </w:r>
          </w:p>
        </w:tc>
        <w:tc>
          <w:tcPr>
            <w:tcW w:w="549" w:type="pct"/>
            <w:vMerge w:val="restart"/>
            <w:noWrap w:val="0"/>
            <w:tcMar>
              <w:left w:w="0" w:type="dxa"/>
              <w:right w:w="0" w:type="dxa"/>
            </w:tcMar>
            <w:vAlign w:val="center"/>
          </w:tcPr>
          <w:p w14:paraId="24981931">
            <w:pPr>
              <w:pStyle w:val="26"/>
              <w:bidi w:val="0"/>
              <w:rPr>
                <w:rFonts w:hint="default"/>
                <w:color w:val="auto"/>
                <w:lang w:val="en-US" w:eastAsia="zh-CN"/>
              </w:rPr>
            </w:pPr>
            <w:r>
              <w:rPr>
                <w:rFonts w:hint="eastAsia"/>
                <w:color w:val="auto"/>
                <w:lang w:val="en-US" w:eastAsia="zh-CN"/>
              </w:rPr>
              <w:t>小瓦浦河</w:t>
            </w:r>
          </w:p>
        </w:tc>
        <w:tc>
          <w:tcPr>
            <w:tcW w:w="1812" w:type="pct"/>
            <w:noWrap w:val="0"/>
            <w:tcMar>
              <w:left w:w="0" w:type="dxa"/>
              <w:right w:w="0" w:type="dxa"/>
            </w:tcMar>
            <w:vAlign w:val="center"/>
          </w:tcPr>
          <w:p w14:paraId="16FD81AF">
            <w:pPr>
              <w:pStyle w:val="26"/>
              <w:bidi w:val="0"/>
              <w:rPr>
                <w:rFonts w:hint="eastAsia"/>
                <w:color w:val="auto"/>
                <w:lang w:val="en-US" w:eastAsia="zh-CN"/>
              </w:rPr>
            </w:pPr>
            <w:r>
              <w:rPr>
                <w:rFonts w:hint="eastAsia"/>
                <w:color w:val="auto"/>
                <w:lang w:val="en-US" w:eastAsia="zh-CN"/>
              </w:rPr>
              <w:t>排口上游500米</w:t>
            </w:r>
          </w:p>
        </w:tc>
        <w:tc>
          <w:tcPr>
            <w:tcW w:w="1531" w:type="pct"/>
            <w:vMerge w:val="restart"/>
            <w:noWrap w:val="0"/>
            <w:tcMar>
              <w:left w:w="0" w:type="dxa"/>
              <w:right w:w="0" w:type="dxa"/>
            </w:tcMar>
            <w:vAlign w:val="center"/>
          </w:tcPr>
          <w:p w14:paraId="6753158C">
            <w:pPr>
              <w:pStyle w:val="26"/>
              <w:bidi w:val="0"/>
              <w:rPr>
                <w:rFonts w:hint="eastAsia"/>
                <w:color w:val="auto"/>
                <w:lang w:val="en-US" w:eastAsia="zh-CN"/>
              </w:rPr>
            </w:pPr>
            <w:r>
              <w:rPr>
                <w:rFonts w:hint="eastAsia"/>
                <w:color w:val="auto"/>
                <w:lang w:val="en-US" w:eastAsia="zh-CN"/>
              </w:rPr>
              <w:t>pH值、水温、溶解氧、COD、氨氮、总磷、悬浮物、石油类、高猛酸盐指数、五日生化需氧量；流向、流量、河宽、水深、流速等水文参数</w:t>
            </w:r>
          </w:p>
        </w:tc>
        <w:tc>
          <w:tcPr>
            <w:tcW w:w="559" w:type="pct"/>
            <w:vMerge w:val="restart"/>
            <w:noWrap w:val="0"/>
            <w:tcMar>
              <w:left w:w="0" w:type="dxa"/>
              <w:right w:w="0" w:type="dxa"/>
            </w:tcMar>
            <w:vAlign w:val="center"/>
          </w:tcPr>
          <w:p w14:paraId="6129D75E">
            <w:pPr>
              <w:pStyle w:val="26"/>
              <w:bidi w:val="0"/>
              <w:rPr>
                <w:rFonts w:hint="eastAsia"/>
                <w:color w:val="auto"/>
                <w:lang w:val="en-US" w:eastAsia="zh-CN"/>
              </w:rPr>
            </w:pPr>
            <w:r>
              <w:rPr>
                <w:rFonts w:hint="eastAsia"/>
                <w:color w:val="auto"/>
                <w:lang w:val="en-US" w:eastAsia="zh-CN"/>
              </w:rPr>
              <w:t>连续3天，上下午各1次</w:t>
            </w:r>
          </w:p>
        </w:tc>
      </w:tr>
      <w:tr w14:paraId="7E06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3154A5A0">
            <w:pPr>
              <w:pStyle w:val="26"/>
              <w:bidi w:val="0"/>
              <w:rPr>
                <w:rFonts w:hint="eastAsia"/>
                <w:color w:val="auto"/>
                <w:lang w:val="en-US" w:eastAsia="zh-CN"/>
              </w:rPr>
            </w:pPr>
            <w:r>
              <w:rPr>
                <w:rFonts w:hint="eastAsia"/>
                <w:color w:val="auto"/>
                <w:lang w:val="en-US" w:eastAsia="zh-CN"/>
              </w:rPr>
              <w:t>W2</w:t>
            </w:r>
          </w:p>
        </w:tc>
        <w:tc>
          <w:tcPr>
            <w:tcW w:w="549" w:type="pct"/>
            <w:vMerge w:val="continue"/>
            <w:noWrap w:val="0"/>
            <w:tcMar>
              <w:left w:w="0" w:type="dxa"/>
              <w:right w:w="0" w:type="dxa"/>
            </w:tcMar>
            <w:vAlign w:val="center"/>
          </w:tcPr>
          <w:p w14:paraId="6D1CEB37">
            <w:pPr>
              <w:pStyle w:val="26"/>
              <w:bidi w:val="0"/>
              <w:rPr>
                <w:rFonts w:hint="eastAsia"/>
                <w:color w:val="auto"/>
                <w:lang w:val="en-US" w:eastAsia="zh-CN"/>
              </w:rPr>
            </w:pPr>
          </w:p>
        </w:tc>
        <w:tc>
          <w:tcPr>
            <w:tcW w:w="1812" w:type="pct"/>
            <w:noWrap w:val="0"/>
            <w:tcMar>
              <w:left w:w="0" w:type="dxa"/>
              <w:right w:w="0" w:type="dxa"/>
            </w:tcMar>
            <w:vAlign w:val="center"/>
          </w:tcPr>
          <w:p w14:paraId="3AB74B13">
            <w:pPr>
              <w:pStyle w:val="26"/>
              <w:bidi w:val="0"/>
              <w:rPr>
                <w:rFonts w:hint="eastAsia"/>
                <w:color w:val="auto"/>
                <w:lang w:val="en-US" w:eastAsia="zh-CN"/>
              </w:rPr>
            </w:pPr>
            <w:r>
              <w:rPr>
                <w:rFonts w:hint="eastAsia"/>
                <w:color w:val="auto"/>
                <w:lang w:val="en-US" w:eastAsia="zh-CN"/>
              </w:rPr>
              <w:t>排口下游500米</w:t>
            </w:r>
          </w:p>
        </w:tc>
        <w:tc>
          <w:tcPr>
            <w:tcW w:w="1531" w:type="pct"/>
            <w:vMerge w:val="continue"/>
            <w:tcBorders/>
            <w:noWrap w:val="0"/>
            <w:tcMar>
              <w:left w:w="0" w:type="dxa"/>
              <w:right w:w="0" w:type="dxa"/>
            </w:tcMar>
            <w:vAlign w:val="center"/>
          </w:tcPr>
          <w:p w14:paraId="7A5C7E4B">
            <w:pPr>
              <w:pStyle w:val="26"/>
              <w:bidi w:val="0"/>
              <w:rPr>
                <w:rFonts w:hint="eastAsia"/>
                <w:color w:val="auto"/>
                <w:lang w:val="en-US" w:eastAsia="zh-CN"/>
              </w:rPr>
            </w:pPr>
          </w:p>
        </w:tc>
        <w:tc>
          <w:tcPr>
            <w:tcW w:w="559" w:type="pct"/>
            <w:vMerge w:val="continue"/>
            <w:tcBorders/>
            <w:noWrap w:val="0"/>
            <w:tcMar>
              <w:left w:w="0" w:type="dxa"/>
              <w:right w:w="0" w:type="dxa"/>
            </w:tcMar>
            <w:vAlign w:val="center"/>
          </w:tcPr>
          <w:p w14:paraId="37731D2A">
            <w:pPr>
              <w:pStyle w:val="26"/>
              <w:bidi w:val="0"/>
              <w:rPr>
                <w:rFonts w:hint="eastAsia"/>
                <w:color w:val="auto"/>
                <w:lang w:val="en-US" w:eastAsia="zh-CN"/>
              </w:rPr>
            </w:pPr>
          </w:p>
        </w:tc>
      </w:tr>
      <w:tr w14:paraId="2C20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1940B09A">
            <w:pPr>
              <w:pStyle w:val="26"/>
              <w:bidi w:val="0"/>
              <w:rPr>
                <w:rFonts w:hint="eastAsia"/>
                <w:color w:val="auto"/>
                <w:lang w:val="en-US" w:eastAsia="zh-CN"/>
              </w:rPr>
            </w:pPr>
            <w:r>
              <w:rPr>
                <w:rFonts w:hint="eastAsia"/>
                <w:color w:val="auto"/>
                <w:lang w:val="en-US" w:eastAsia="zh-CN"/>
              </w:rPr>
              <w:t>W3</w:t>
            </w:r>
          </w:p>
        </w:tc>
        <w:tc>
          <w:tcPr>
            <w:tcW w:w="549" w:type="pct"/>
            <w:vMerge w:val="continue"/>
            <w:noWrap w:val="0"/>
            <w:tcMar>
              <w:left w:w="0" w:type="dxa"/>
              <w:right w:w="0" w:type="dxa"/>
            </w:tcMar>
            <w:vAlign w:val="center"/>
          </w:tcPr>
          <w:p w14:paraId="05490095">
            <w:pPr>
              <w:pStyle w:val="26"/>
              <w:bidi w:val="0"/>
              <w:rPr>
                <w:rFonts w:hint="eastAsia"/>
                <w:color w:val="auto"/>
                <w:lang w:val="en-US" w:eastAsia="zh-CN"/>
              </w:rPr>
            </w:pPr>
          </w:p>
        </w:tc>
        <w:tc>
          <w:tcPr>
            <w:tcW w:w="1812" w:type="pct"/>
            <w:noWrap w:val="0"/>
            <w:tcMar>
              <w:left w:w="0" w:type="dxa"/>
              <w:right w:w="0" w:type="dxa"/>
            </w:tcMar>
            <w:vAlign w:val="center"/>
          </w:tcPr>
          <w:p w14:paraId="16703498">
            <w:pPr>
              <w:pStyle w:val="26"/>
              <w:bidi w:val="0"/>
              <w:rPr>
                <w:rFonts w:hint="eastAsia"/>
                <w:color w:val="auto"/>
                <w:lang w:val="en-US" w:eastAsia="zh-CN"/>
              </w:rPr>
            </w:pPr>
            <w:r>
              <w:rPr>
                <w:rFonts w:hint="eastAsia"/>
                <w:color w:val="auto"/>
                <w:lang w:val="en-US" w:eastAsia="zh-CN"/>
              </w:rPr>
              <w:t>排口下游2000米</w:t>
            </w:r>
          </w:p>
        </w:tc>
        <w:tc>
          <w:tcPr>
            <w:tcW w:w="1531" w:type="pct"/>
            <w:vMerge w:val="continue"/>
            <w:tcBorders/>
            <w:noWrap w:val="0"/>
            <w:tcMar>
              <w:left w:w="0" w:type="dxa"/>
              <w:right w:w="0" w:type="dxa"/>
            </w:tcMar>
            <w:vAlign w:val="center"/>
          </w:tcPr>
          <w:p w14:paraId="067C804F">
            <w:pPr>
              <w:pStyle w:val="26"/>
              <w:bidi w:val="0"/>
              <w:rPr>
                <w:rFonts w:hint="eastAsia"/>
                <w:color w:val="auto"/>
                <w:lang w:val="en-US" w:eastAsia="zh-CN"/>
              </w:rPr>
            </w:pPr>
          </w:p>
        </w:tc>
        <w:tc>
          <w:tcPr>
            <w:tcW w:w="559" w:type="pct"/>
            <w:vMerge w:val="continue"/>
            <w:tcBorders/>
            <w:noWrap w:val="0"/>
            <w:tcMar>
              <w:left w:w="0" w:type="dxa"/>
              <w:right w:w="0" w:type="dxa"/>
            </w:tcMar>
            <w:vAlign w:val="center"/>
          </w:tcPr>
          <w:p w14:paraId="01949FD4">
            <w:pPr>
              <w:pStyle w:val="26"/>
              <w:bidi w:val="0"/>
              <w:rPr>
                <w:rFonts w:hint="eastAsia"/>
                <w:color w:val="auto"/>
                <w:lang w:val="en-US" w:eastAsia="zh-CN"/>
              </w:rPr>
            </w:pPr>
          </w:p>
        </w:tc>
      </w:tr>
      <w:tr w14:paraId="324F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1C86608D">
            <w:pPr>
              <w:pStyle w:val="26"/>
              <w:bidi w:val="0"/>
              <w:rPr>
                <w:rFonts w:hint="default"/>
                <w:color w:val="auto"/>
                <w:lang w:val="en-US" w:eastAsia="zh-CN"/>
              </w:rPr>
            </w:pPr>
            <w:r>
              <w:rPr>
                <w:rFonts w:hint="eastAsia"/>
                <w:color w:val="auto"/>
                <w:lang w:val="en-US" w:eastAsia="zh-CN"/>
              </w:rPr>
              <w:t>W4</w:t>
            </w:r>
          </w:p>
        </w:tc>
        <w:tc>
          <w:tcPr>
            <w:tcW w:w="549" w:type="pct"/>
            <w:noWrap w:val="0"/>
            <w:tcMar>
              <w:left w:w="0" w:type="dxa"/>
              <w:right w:w="0" w:type="dxa"/>
            </w:tcMar>
            <w:vAlign w:val="center"/>
          </w:tcPr>
          <w:p w14:paraId="5A5817DE">
            <w:pPr>
              <w:pStyle w:val="26"/>
              <w:bidi w:val="0"/>
              <w:rPr>
                <w:rFonts w:hint="default"/>
                <w:color w:val="auto"/>
                <w:lang w:val="en-US" w:eastAsia="zh-CN"/>
              </w:rPr>
            </w:pPr>
            <w:r>
              <w:rPr>
                <w:rFonts w:hint="eastAsia"/>
                <w:color w:val="auto"/>
                <w:lang w:val="en-US" w:eastAsia="zh-CN"/>
              </w:rPr>
              <w:t>鸡鸣塘河</w:t>
            </w:r>
          </w:p>
        </w:tc>
        <w:tc>
          <w:tcPr>
            <w:tcW w:w="1812" w:type="pct"/>
            <w:noWrap w:val="0"/>
            <w:tcMar>
              <w:left w:w="0" w:type="dxa"/>
              <w:right w:w="0" w:type="dxa"/>
            </w:tcMar>
            <w:vAlign w:val="center"/>
          </w:tcPr>
          <w:p w14:paraId="244AA9DC">
            <w:pPr>
              <w:pStyle w:val="26"/>
              <w:bidi w:val="0"/>
              <w:rPr>
                <w:rFonts w:hint="default"/>
                <w:color w:val="auto"/>
                <w:lang w:val="en-US" w:eastAsia="zh-CN"/>
              </w:rPr>
            </w:pPr>
            <w:r>
              <w:rPr>
                <w:rFonts w:hint="eastAsia"/>
                <w:color w:val="auto"/>
                <w:lang w:val="en-US" w:eastAsia="zh-CN"/>
              </w:rPr>
              <w:t>汇入口上游</w:t>
            </w:r>
          </w:p>
        </w:tc>
        <w:tc>
          <w:tcPr>
            <w:tcW w:w="1531" w:type="pct"/>
            <w:vMerge w:val="continue"/>
            <w:tcBorders/>
            <w:noWrap w:val="0"/>
            <w:tcMar>
              <w:left w:w="0" w:type="dxa"/>
              <w:right w:w="0" w:type="dxa"/>
            </w:tcMar>
            <w:vAlign w:val="center"/>
          </w:tcPr>
          <w:p w14:paraId="53CB0D1F">
            <w:pPr>
              <w:pStyle w:val="26"/>
              <w:bidi w:val="0"/>
              <w:rPr>
                <w:rFonts w:hint="eastAsia"/>
                <w:color w:val="auto"/>
                <w:lang w:val="en-US" w:eastAsia="zh-CN"/>
              </w:rPr>
            </w:pPr>
          </w:p>
        </w:tc>
        <w:tc>
          <w:tcPr>
            <w:tcW w:w="559" w:type="pct"/>
            <w:vMerge w:val="continue"/>
            <w:tcBorders/>
            <w:noWrap w:val="0"/>
            <w:tcMar>
              <w:left w:w="0" w:type="dxa"/>
              <w:right w:w="0" w:type="dxa"/>
            </w:tcMar>
            <w:vAlign w:val="center"/>
          </w:tcPr>
          <w:p w14:paraId="032A6D1A">
            <w:pPr>
              <w:pStyle w:val="26"/>
              <w:bidi w:val="0"/>
              <w:rPr>
                <w:rFonts w:hint="eastAsia"/>
                <w:color w:val="auto"/>
                <w:lang w:val="en-US" w:eastAsia="zh-CN"/>
              </w:rPr>
            </w:pPr>
          </w:p>
        </w:tc>
      </w:tr>
      <w:tr w14:paraId="51E8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47" w:type="pct"/>
            <w:noWrap w:val="0"/>
            <w:tcMar>
              <w:left w:w="0" w:type="dxa"/>
              <w:right w:w="0" w:type="dxa"/>
            </w:tcMar>
            <w:vAlign w:val="center"/>
          </w:tcPr>
          <w:p w14:paraId="5DDD3F53">
            <w:pPr>
              <w:pStyle w:val="26"/>
              <w:bidi w:val="0"/>
              <w:rPr>
                <w:rFonts w:hint="default"/>
                <w:color w:val="auto"/>
                <w:lang w:val="en-US" w:eastAsia="zh-CN"/>
              </w:rPr>
            </w:pPr>
            <w:r>
              <w:rPr>
                <w:rFonts w:hint="eastAsia"/>
                <w:color w:val="auto"/>
                <w:lang w:val="en-US" w:eastAsia="zh-CN"/>
              </w:rPr>
              <w:t>W5</w:t>
            </w:r>
          </w:p>
        </w:tc>
        <w:tc>
          <w:tcPr>
            <w:tcW w:w="549" w:type="pct"/>
            <w:noWrap w:val="0"/>
            <w:tcMar>
              <w:left w:w="0" w:type="dxa"/>
              <w:right w:w="0" w:type="dxa"/>
            </w:tcMar>
            <w:vAlign w:val="center"/>
          </w:tcPr>
          <w:p w14:paraId="6AC4DC7C">
            <w:pPr>
              <w:pStyle w:val="26"/>
              <w:bidi w:val="0"/>
              <w:rPr>
                <w:rFonts w:hint="default"/>
                <w:color w:val="auto"/>
                <w:lang w:val="en-US" w:eastAsia="zh-CN"/>
              </w:rPr>
            </w:pPr>
            <w:r>
              <w:rPr>
                <w:rFonts w:hint="eastAsia"/>
                <w:color w:val="auto"/>
                <w:lang w:val="en-US" w:eastAsia="zh-CN"/>
              </w:rPr>
              <w:t>吴淞江</w:t>
            </w:r>
          </w:p>
        </w:tc>
        <w:tc>
          <w:tcPr>
            <w:tcW w:w="1812" w:type="pct"/>
            <w:noWrap w:val="0"/>
            <w:tcMar>
              <w:left w:w="0" w:type="dxa"/>
              <w:right w:w="0" w:type="dxa"/>
            </w:tcMar>
            <w:vAlign w:val="center"/>
          </w:tcPr>
          <w:p w14:paraId="59E24EF3">
            <w:pPr>
              <w:pStyle w:val="26"/>
              <w:bidi w:val="0"/>
              <w:rPr>
                <w:rFonts w:hint="default"/>
                <w:color w:val="auto"/>
                <w:lang w:val="en-US" w:eastAsia="zh-CN"/>
              </w:rPr>
            </w:pPr>
            <w:r>
              <w:rPr>
                <w:rFonts w:hint="eastAsia"/>
                <w:color w:val="auto"/>
                <w:lang w:val="en-US" w:eastAsia="zh-CN"/>
              </w:rPr>
              <w:t>汇入口上游</w:t>
            </w:r>
          </w:p>
        </w:tc>
        <w:tc>
          <w:tcPr>
            <w:tcW w:w="1531" w:type="pct"/>
            <w:vMerge w:val="continue"/>
            <w:tcBorders/>
            <w:noWrap w:val="0"/>
            <w:tcMar>
              <w:left w:w="0" w:type="dxa"/>
              <w:right w:w="0" w:type="dxa"/>
            </w:tcMar>
            <w:vAlign w:val="center"/>
          </w:tcPr>
          <w:p w14:paraId="53F4B3D9">
            <w:pPr>
              <w:pStyle w:val="26"/>
              <w:bidi w:val="0"/>
              <w:rPr>
                <w:rFonts w:hint="eastAsia"/>
                <w:color w:val="auto"/>
                <w:lang w:val="en-US" w:eastAsia="zh-CN"/>
              </w:rPr>
            </w:pPr>
          </w:p>
        </w:tc>
        <w:tc>
          <w:tcPr>
            <w:tcW w:w="559" w:type="pct"/>
            <w:vMerge w:val="continue"/>
            <w:tcBorders/>
            <w:noWrap w:val="0"/>
            <w:tcMar>
              <w:left w:w="0" w:type="dxa"/>
              <w:right w:w="0" w:type="dxa"/>
            </w:tcMar>
            <w:vAlign w:val="center"/>
          </w:tcPr>
          <w:p w14:paraId="4F0586B6">
            <w:pPr>
              <w:pStyle w:val="26"/>
              <w:bidi w:val="0"/>
              <w:rPr>
                <w:rFonts w:hint="eastAsia"/>
                <w:color w:val="auto"/>
                <w:lang w:val="en-US" w:eastAsia="zh-CN"/>
              </w:rPr>
            </w:pPr>
          </w:p>
        </w:tc>
      </w:tr>
    </w:tbl>
    <w:p w14:paraId="34B4A709">
      <w:pPr>
        <w:rPr>
          <w:rFonts w:hint="eastAsia" w:ascii="Times New Roman" w:hAnsi="Times New Roman"/>
          <w:color w:val="auto"/>
        </w:rPr>
      </w:pPr>
      <w:r>
        <w:rPr>
          <w:rFonts w:hint="eastAsia" w:ascii="Times New Roman" w:hAnsi="Times New Roman"/>
          <w:color w:val="auto"/>
        </w:rPr>
        <w:t>（</w:t>
      </w:r>
      <w:r>
        <w:rPr>
          <w:rFonts w:hint="eastAsia"/>
          <w:color w:val="auto"/>
          <w:lang w:val="en-US" w:eastAsia="zh-CN"/>
        </w:rPr>
        <w:t>4</w:t>
      </w:r>
      <w:r>
        <w:rPr>
          <w:rFonts w:hint="eastAsia" w:ascii="Times New Roman" w:hAnsi="Times New Roman"/>
          <w:color w:val="auto"/>
        </w:rPr>
        <w:t>）监测时间和频次</w:t>
      </w:r>
    </w:p>
    <w:p w14:paraId="150D48BF">
      <w:pPr>
        <w:rPr>
          <w:rFonts w:hint="eastAsia" w:ascii="Times New Roman" w:hAnsi="Times New Roman"/>
          <w:color w:val="auto"/>
        </w:rPr>
      </w:pPr>
      <w:r>
        <w:rPr>
          <w:rFonts w:hint="eastAsia" w:ascii="Times New Roman" w:hAnsi="Times New Roman"/>
          <w:color w:val="auto"/>
        </w:rPr>
        <w:t>W1~W3监测时间为</w:t>
      </w:r>
      <w:r>
        <w:rPr>
          <w:rFonts w:hint="eastAsia" w:ascii="Times New Roman" w:hAnsi="Times New Roman"/>
          <w:color w:val="auto"/>
          <w:highlight w:val="none"/>
        </w:rPr>
        <w:t>202</w:t>
      </w:r>
      <w:r>
        <w:rPr>
          <w:rFonts w:hint="eastAsia" w:ascii="Times New Roman" w:hAnsi="Times New Roman"/>
          <w:color w:val="auto"/>
          <w:highlight w:val="none"/>
          <w:lang w:val="en-US" w:eastAsia="zh-CN"/>
        </w:rPr>
        <w:t>6</w:t>
      </w:r>
      <w:r>
        <w:rPr>
          <w:rFonts w:hint="eastAsia" w:ascii="Times New Roman" w:hAnsi="Times New Roman"/>
          <w:color w:val="auto"/>
          <w:highlight w:val="none"/>
        </w:rPr>
        <w:t>年</w:t>
      </w:r>
      <w:r>
        <w:rPr>
          <w:rFonts w:hint="eastAsia"/>
          <w:color w:val="auto"/>
          <w:highlight w:val="none"/>
          <w:lang w:val="en-US" w:eastAsia="zh-CN"/>
        </w:rPr>
        <w:t>1月13日~1月15日</w:t>
      </w:r>
      <w:r>
        <w:rPr>
          <w:rFonts w:hint="eastAsia" w:ascii="Times New Roman" w:hAnsi="Times New Roman"/>
          <w:color w:val="auto"/>
        </w:rPr>
        <w:t>，每天监测两次，连续监测3天。</w:t>
      </w:r>
    </w:p>
    <w:p w14:paraId="2050217A">
      <w:pPr>
        <w:rPr>
          <w:rFonts w:hint="eastAsia" w:ascii="Times New Roman" w:hAnsi="Times New Roman"/>
          <w:color w:val="auto"/>
        </w:rPr>
      </w:pPr>
      <w:r>
        <w:rPr>
          <w:rFonts w:hint="eastAsia" w:ascii="Times New Roman" w:hAnsi="Times New Roman"/>
          <w:color w:val="auto"/>
        </w:rPr>
        <w:t>（4）监测及分析方法</w:t>
      </w:r>
    </w:p>
    <w:p w14:paraId="15D52E20">
      <w:pPr>
        <w:rPr>
          <w:rFonts w:hint="eastAsia" w:ascii="Times New Roman" w:hAnsi="Times New Roman"/>
          <w:color w:val="auto"/>
        </w:rPr>
      </w:pPr>
      <w:r>
        <w:rPr>
          <w:rFonts w:hint="eastAsia" w:ascii="Times New Roman" w:hAnsi="Times New Roman"/>
          <w:color w:val="auto"/>
        </w:rPr>
        <w:t>按原国家环保局出版的《水和废水监测分析方法》和国家地表水环境监测技术规范的要求进行。</w:t>
      </w:r>
    </w:p>
    <w:p w14:paraId="742705E7">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5.2</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8</w:t>
      </w:r>
      <w:r>
        <w:rPr>
          <w:rFonts w:hint="eastAsia"/>
          <w:color w:val="auto"/>
          <w:lang w:val="en-US" w:eastAsia="zh-CN"/>
        </w:rPr>
        <w:fldChar w:fldCharType="end"/>
      </w:r>
      <w:r>
        <w:rPr>
          <w:rFonts w:hint="eastAsia"/>
          <w:color w:val="auto"/>
          <w:lang w:val="en-US" w:eastAsia="zh-CN"/>
        </w:rPr>
        <w:t>地表水水质监测分析方法</w:t>
      </w:r>
    </w:p>
    <w:tbl>
      <w:tblPr>
        <w:tblStyle w:val="19"/>
        <w:tblW w:w="50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342"/>
        <w:gridCol w:w="6428"/>
      </w:tblGrid>
      <w:tr w14:paraId="7149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vAlign w:val="center"/>
          </w:tcPr>
          <w:p w14:paraId="7FB96E06">
            <w:pPr>
              <w:pStyle w:val="36"/>
              <w:bidi w:val="0"/>
              <w:rPr>
                <w:rFonts w:hint="eastAsia"/>
                <w:color w:val="auto"/>
                <w:lang w:val="en-US" w:eastAsia="zh-CN"/>
              </w:rPr>
            </w:pPr>
            <w:r>
              <w:rPr>
                <w:rFonts w:hint="eastAsia"/>
                <w:color w:val="auto"/>
                <w:lang w:val="en-US" w:eastAsia="zh-CN"/>
              </w:rPr>
              <w:t>序号</w:t>
            </w:r>
          </w:p>
        </w:tc>
        <w:tc>
          <w:tcPr>
            <w:tcW w:w="786" w:type="pct"/>
            <w:tcBorders>
              <w:tl2br w:val="nil"/>
              <w:tr2bl w:val="nil"/>
            </w:tcBorders>
            <w:vAlign w:val="center"/>
          </w:tcPr>
          <w:p w14:paraId="49C54D53">
            <w:pPr>
              <w:pStyle w:val="36"/>
              <w:bidi w:val="0"/>
              <w:rPr>
                <w:rFonts w:hint="eastAsia"/>
                <w:color w:val="auto"/>
                <w:lang w:val="en-US" w:eastAsia="zh-CN"/>
              </w:rPr>
            </w:pPr>
            <w:r>
              <w:rPr>
                <w:rFonts w:hint="eastAsia"/>
                <w:color w:val="auto"/>
                <w:lang w:val="en-US" w:eastAsia="zh-CN"/>
              </w:rPr>
              <w:t>监测项目</w:t>
            </w:r>
          </w:p>
        </w:tc>
        <w:tc>
          <w:tcPr>
            <w:tcW w:w="3763" w:type="pct"/>
            <w:tcBorders>
              <w:tl2br w:val="nil"/>
              <w:tr2bl w:val="nil"/>
            </w:tcBorders>
            <w:vAlign w:val="center"/>
          </w:tcPr>
          <w:p w14:paraId="702A4B8B">
            <w:pPr>
              <w:pStyle w:val="36"/>
              <w:bidi w:val="0"/>
              <w:rPr>
                <w:rFonts w:hint="eastAsia"/>
                <w:color w:val="auto"/>
                <w:lang w:val="en-US" w:eastAsia="zh-CN"/>
              </w:rPr>
            </w:pPr>
            <w:r>
              <w:rPr>
                <w:rFonts w:hint="eastAsia"/>
                <w:color w:val="auto"/>
                <w:lang w:val="en-US" w:eastAsia="zh-CN"/>
              </w:rPr>
              <w:t>分析方法</w:t>
            </w:r>
          </w:p>
        </w:tc>
      </w:tr>
      <w:tr w14:paraId="2758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shd w:val="clear"/>
            <w:vAlign w:val="center"/>
          </w:tcPr>
          <w:p w14:paraId="2D7132C9">
            <w:pPr>
              <w:pStyle w:val="26"/>
              <w:bidi w:val="0"/>
              <w:rPr>
                <w:rFonts w:hint="eastAsia"/>
                <w:lang w:val="en-US" w:eastAsia="zh-CN"/>
              </w:rPr>
            </w:pPr>
            <w:r>
              <w:rPr>
                <w:rFonts w:hint="eastAsia"/>
                <w:lang w:val="en-US" w:eastAsia="zh-CN"/>
              </w:rPr>
              <w:t>1</w:t>
            </w:r>
          </w:p>
        </w:tc>
        <w:tc>
          <w:tcPr>
            <w:tcW w:w="786" w:type="pct"/>
            <w:tcBorders>
              <w:tl2br w:val="nil"/>
              <w:tr2bl w:val="nil"/>
            </w:tcBorders>
            <w:shd w:val="clear"/>
            <w:vAlign w:val="center"/>
          </w:tcPr>
          <w:p w14:paraId="44212D5D">
            <w:pPr>
              <w:pStyle w:val="26"/>
              <w:bidi w:val="0"/>
              <w:rPr>
                <w:rFonts w:hint="eastAsia"/>
                <w:lang w:val="en-US" w:eastAsia="zh-CN"/>
              </w:rPr>
            </w:pPr>
            <w:r>
              <w:rPr>
                <w:rFonts w:hint="eastAsia"/>
                <w:lang w:val="en-US" w:eastAsia="zh-CN"/>
              </w:rPr>
              <w:t>pH值</w:t>
            </w:r>
          </w:p>
        </w:tc>
        <w:tc>
          <w:tcPr>
            <w:tcW w:w="3763" w:type="pct"/>
            <w:tcBorders>
              <w:tl2br w:val="nil"/>
              <w:tr2bl w:val="nil"/>
            </w:tcBorders>
            <w:shd w:val="clear"/>
            <w:vAlign w:val="center"/>
          </w:tcPr>
          <w:p w14:paraId="2ABBD93F">
            <w:pPr>
              <w:pStyle w:val="26"/>
              <w:bidi w:val="0"/>
              <w:rPr>
                <w:rFonts w:hint="eastAsia"/>
                <w:lang w:val="en-US" w:eastAsia="zh-CN"/>
              </w:rPr>
            </w:pPr>
            <w:r>
              <w:rPr>
                <w:rFonts w:hint="eastAsia"/>
                <w:lang w:val="en-US" w:eastAsia="zh-CN"/>
              </w:rPr>
              <w:t>《水质pH值的测定电极法》（HJ1147-2020）</w:t>
            </w:r>
          </w:p>
        </w:tc>
      </w:tr>
      <w:tr w14:paraId="679D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shd w:val="clear"/>
            <w:vAlign w:val="center"/>
          </w:tcPr>
          <w:p w14:paraId="736E9D9E">
            <w:pPr>
              <w:pStyle w:val="26"/>
              <w:bidi w:val="0"/>
              <w:rPr>
                <w:rFonts w:hint="eastAsia"/>
                <w:lang w:val="en-US" w:eastAsia="zh-CN"/>
              </w:rPr>
            </w:pPr>
            <w:r>
              <w:rPr>
                <w:rFonts w:hint="eastAsia"/>
                <w:lang w:val="en-US" w:eastAsia="zh-CN"/>
              </w:rPr>
              <w:t>2</w:t>
            </w:r>
          </w:p>
        </w:tc>
        <w:tc>
          <w:tcPr>
            <w:tcW w:w="786" w:type="pct"/>
            <w:tcBorders>
              <w:tl2br w:val="nil"/>
              <w:tr2bl w:val="nil"/>
            </w:tcBorders>
            <w:shd w:val="clear"/>
            <w:vAlign w:val="center"/>
          </w:tcPr>
          <w:p w14:paraId="2C346280">
            <w:pPr>
              <w:pStyle w:val="26"/>
              <w:bidi w:val="0"/>
              <w:rPr>
                <w:rFonts w:hint="eastAsia"/>
                <w:lang w:val="en-US" w:eastAsia="zh-CN"/>
              </w:rPr>
            </w:pPr>
            <w:r>
              <w:rPr>
                <w:rFonts w:hint="eastAsia"/>
                <w:lang w:val="en-US" w:eastAsia="zh-CN"/>
              </w:rPr>
              <w:t>水温</w:t>
            </w:r>
          </w:p>
        </w:tc>
        <w:tc>
          <w:tcPr>
            <w:tcW w:w="3763" w:type="pct"/>
            <w:tcBorders>
              <w:tl2br w:val="nil"/>
              <w:tr2bl w:val="nil"/>
            </w:tcBorders>
            <w:shd w:val="clear"/>
            <w:vAlign w:val="center"/>
          </w:tcPr>
          <w:p w14:paraId="6BE7D4A2">
            <w:pPr>
              <w:pStyle w:val="26"/>
              <w:bidi w:val="0"/>
              <w:rPr>
                <w:rFonts w:hint="eastAsia"/>
                <w:lang w:val="en-US" w:eastAsia="zh-CN"/>
              </w:rPr>
            </w:pPr>
            <w:r>
              <w:rPr>
                <w:rFonts w:hint="eastAsia"/>
                <w:lang w:val="en-US" w:eastAsia="zh-CN"/>
              </w:rPr>
              <w:t>《水质水温的测定 温度计或颠倒温度计测定法》</w:t>
            </w:r>
            <w:r>
              <w:rPr>
                <w:rFonts w:hint="default"/>
                <w:lang w:val="en-US" w:eastAsia="zh-CN"/>
              </w:rPr>
              <w:t>(GB/T 13195-1991)</w:t>
            </w:r>
          </w:p>
        </w:tc>
      </w:tr>
      <w:tr w14:paraId="4D3D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shd w:val="clear"/>
            <w:vAlign w:val="center"/>
          </w:tcPr>
          <w:p w14:paraId="6E01B14D">
            <w:pPr>
              <w:pStyle w:val="26"/>
              <w:bidi w:val="0"/>
              <w:rPr>
                <w:rFonts w:hint="eastAsia"/>
                <w:lang w:val="en-US" w:eastAsia="zh-CN"/>
              </w:rPr>
            </w:pPr>
            <w:r>
              <w:rPr>
                <w:rFonts w:hint="eastAsia"/>
                <w:lang w:val="en-US" w:eastAsia="zh-CN"/>
              </w:rPr>
              <w:t>3</w:t>
            </w:r>
          </w:p>
        </w:tc>
        <w:tc>
          <w:tcPr>
            <w:tcW w:w="786" w:type="pct"/>
            <w:tcBorders>
              <w:tl2br w:val="nil"/>
              <w:tr2bl w:val="nil"/>
            </w:tcBorders>
            <w:shd w:val="clear"/>
            <w:vAlign w:val="center"/>
          </w:tcPr>
          <w:p w14:paraId="78C3CA5F">
            <w:pPr>
              <w:pStyle w:val="26"/>
              <w:bidi w:val="0"/>
              <w:rPr>
                <w:rFonts w:hint="eastAsia"/>
                <w:lang w:val="en-US" w:eastAsia="zh-CN"/>
              </w:rPr>
            </w:pPr>
            <w:r>
              <w:rPr>
                <w:rFonts w:hint="eastAsia"/>
                <w:lang w:val="en-US" w:eastAsia="zh-CN"/>
              </w:rPr>
              <w:t>溶解氧</w:t>
            </w:r>
          </w:p>
        </w:tc>
        <w:tc>
          <w:tcPr>
            <w:tcW w:w="3763" w:type="pct"/>
            <w:tcBorders>
              <w:tl2br w:val="nil"/>
              <w:tr2bl w:val="nil"/>
            </w:tcBorders>
            <w:shd w:val="clear"/>
            <w:vAlign w:val="center"/>
          </w:tcPr>
          <w:p w14:paraId="2C22D911">
            <w:pPr>
              <w:pStyle w:val="26"/>
              <w:bidi w:val="0"/>
              <w:rPr>
                <w:rFonts w:hint="eastAsia"/>
                <w:lang w:val="en-US" w:eastAsia="zh-CN"/>
              </w:rPr>
            </w:pPr>
            <w:r>
              <w:rPr>
                <w:rFonts w:hint="eastAsia"/>
                <w:lang w:val="en-US" w:eastAsia="zh-CN"/>
              </w:rPr>
              <w:t>《水质溶解氧的测定 电化学探头法》（HJ 506-2009）</w:t>
            </w:r>
          </w:p>
        </w:tc>
      </w:tr>
      <w:tr w14:paraId="02F7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shd w:val="clear"/>
            <w:vAlign w:val="center"/>
          </w:tcPr>
          <w:p w14:paraId="5EE70E56">
            <w:pPr>
              <w:pStyle w:val="26"/>
              <w:bidi w:val="0"/>
              <w:rPr>
                <w:rFonts w:hint="eastAsia"/>
                <w:lang w:val="en-US" w:eastAsia="zh-CN"/>
              </w:rPr>
            </w:pPr>
            <w:r>
              <w:rPr>
                <w:rFonts w:hint="eastAsia"/>
                <w:lang w:val="en-US" w:eastAsia="zh-CN"/>
              </w:rPr>
              <w:t>4</w:t>
            </w:r>
          </w:p>
        </w:tc>
        <w:tc>
          <w:tcPr>
            <w:tcW w:w="786" w:type="pct"/>
            <w:tcBorders>
              <w:tl2br w:val="nil"/>
              <w:tr2bl w:val="nil"/>
            </w:tcBorders>
            <w:shd w:val="clear"/>
            <w:vAlign w:val="center"/>
          </w:tcPr>
          <w:p w14:paraId="094F3E9F">
            <w:pPr>
              <w:pStyle w:val="26"/>
              <w:bidi w:val="0"/>
              <w:rPr>
                <w:rFonts w:hint="eastAsia"/>
                <w:lang w:val="en-US" w:eastAsia="zh-CN"/>
              </w:rPr>
            </w:pPr>
            <w:r>
              <w:rPr>
                <w:rFonts w:hint="eastAsia"/>
                <w:lang w:val="en-US" w:eastAsia="zh-CN"/>
              </w:rPr>
              <w:t>化学需氧量</w:t>
            </w:r>
          </w:p>
        </w:tc>
        <w:tc>
          <w:tcPr>
            <w:tcW w:w="3763" w:type="pct"/>
            <w:tcBorders>
              <w:tl2br w:val="nil"/>
              <w:tr2bl w:val="nil"/>
            </w:tcBorders>
            <w:shd w:val="clear"/>
            <w:vAlign w:val="center"/>
          </w:tcPr>
          <w:p w14:paraId="29F0DC5A">
            <w:pPr>
              <w:pStyle w:val="26"/>
              <w:bidi w:val="0"/>
              <w:rPr>
                <w:rFonts w:hint="eastAsia"/>
                <w:lang w:val="en-US" w:eastAsia="zh-CN"/>
              </w:rPr>
            </w:pPr>
            <w:r>
              <w:rPr>
                <w:rFonts w:hint="eastAsia"/>
                <w:lang w:val="en-US" w:eastAsia="zh-CN"/>
              </w:rPr>
              <w:t>《水质化学需氧量的测定 重铬酸盐法》(HJ 828-2017)</w:t>
            </w:r>
          </w:p>
        </w:tc>
      </w:tr>
      <w:tr w14:paraId="30CA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shd w:val="clear"/>
            <w:vAlign w:val="center"/>
          </w:tcPr>
          <w:p w14:paraId="0B904665">
            <w:pPr>
              <w:pStyle w:val="26"/>
              <w:bidi w:val="0"/>
              <w:rPr>
                <w:rFonts w:hint="eastAsia"/>
                <w:lang w:val="en-US" w:eastAsia="zh-CN"/>
              </w:rPr>
            </w:pPr>
            <w:r>
              <w:rPr>
                <w:rFonts w:hint="eastAsia"/>
                <w:lang w:val="en-US" w:eastAsia="zh-CN"/>
              </w:rPr>
              <w:t>5</w:t>
            </w:r>
          </w:p>
        </w:tc>
        <w:tc>
          <w:tcPr>
            <w:tcW w:w="786" w:type="pct"/>
            <w:tcBorders>
              <w:tl2br w:val="nil"/>
              <w:tr2bl w:val="nil"/>
            </w:tcBorders>
            <w:shd w:val="clear"/>
            <w:vAlign w:val="center"/>
          </w:tcPr>
          <w:p w14:paraId="57E46F9F">
            <w:pPr>
              <w:pStyle w:val="26"/>
              <w:bidi w:val="0"/>
              <w:rPr>
                <w:rFonts w:hint="eastAsia"/>
                <w:lang w:val="en-US" w:eastAsia="zh-CN"/>
              </w:rPr>
            </w:pPr>
            <w:r>
              <w:rPr>
                <w:rFonts w:hint="eastAsia"/>
                <w:lang w:val="en-US" w:eastAsia="zh-CN"/>
              </w:rPr>
              <w:t>氨氮</w:t>
            </w:r>
          </w:p>
        </w:tc>
        <w:tc>
          <w:tcPr>
            <w:tcW w:w="3763" w:type="pct"/>
            <w:tcBorders>
              <w:tl2br w:val="nil"/>
              <w:tr2bl w:val="nil"/>
            </w:tcBorders>
            <w:shd w:val="clear"/>
            <w:vAlign w:val="center"/>
          </w:tcPr>
          <w:p w14:paraId="3919EE10">
            <w:pPr>
              <w:pStyle w:val="26"/>
              <w:bidi w:val="0"/>
              <w:rPr>
                <w:rFonts w:hint="eastAsia"/>
                <w:lang w:val="en-US" w:eastAsia="zh-CN"/>
              </w:rPr>
            </w:pPr>
            <w:r>
              <w:rPr>
                <w:rFonts w:hint="eastAsia"/>
                <w:lang w:val="en-US" w:eastAsia="zh-CN"/>
              </w:rPr>
              <w:t>《水质氨氮的测定 纳氏试剂分光光度法》（HJ 535-2009）</w:t>
            </w:r>
          </w:p>
        </w:tc>
      </w:tr>
      <w:tr w14:paraId="4074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tcBorders>
              <w:tl2br w:val="nil"/>
              <w:tr2bl w:val="nil"/>
            </w:tcBorders>
            <w:shd w:val="clear"/>
            <w:vAlign w:val="center"/>
          </w:tcPr>
          <w:p w14:paraId="7FC96506">
            <w:pPr>
              <w:pStyle w:val="26"/>
              <w:bidi w:val="0"/>
              <w:rPr>
                <w:rFonts w:hint="eastAsia"/>
                <w:lang w:val="en-US" w:eastAsia="zh-CN"/>
              </w:rPr>
            </w:pPr>
            <w:r>
              <w:rPr>
                <w:rFonts w:hint="default"/>
                <w:lang w:val="en-US" w:eastAsia="zh-CN"/>
              </w:rPr>
              <w:t>6</w:t>
            </w:r>
          </w:p>
        </w:tc>
        <w:tc>
          <w:tcPr>
            <w:tcW w:w="0" w:type="auto"/>
            <w:tcBorders>
              <w:tl2br w:val="nil"/>
              <w:tr2bl w:val="nil"/>
            </w:tcBorders>
            <w:shd w:val="clear"/>
            <w:vAlign w:val="center"/>
          </w:tcPr>
          <w:p w14:paraId="31D8C092">
            <w:pPr>
              <w:pStyle w:val="26"/>
              <w:bidi w:val="0"/>
              <w:rPr>
                <w:rFonts w:hint="eastAsia"/>
                <w:lang w:val="en-US" w:eastAsia="zh-CN"/>
              </w:rPr>
            </w:pPr>
            <w:r>
              <w:rPr>
                <w:rFonts w:hint="eastAsia"/>
                <w:lang w:val="en-US" w:eastAsia="zh-CN"/>
              </w:rPr>
              <w:t>总磷</w:t>
            </w:r>
          </w:p>
        </w:tc>
        <w:tc>
          <w:tcPr>
            <w:tcW w:w="0" w:type="auto"/>
            <w:tcBorders>
              <w:tl2br w:val="nil"/>
              <w:tr2bl w:val="nil"/>
            </w:tcBorders>
            <w:shd w:val="clear"/>
            <w:vAlign w:val="center"/>
          </w:tcPr>
          <w:p w14:paraId="64920C18">
            <w:pPr>
              <w:pStyle w:val="26"/>
              <w:bidi w:val="0"/>
              <w:rPr>
                <w:rFonts w:hint="eastAsia"/>
                <w:lang w:val="en-US" w:eastAsia="zh-CN"/>
              </w:rPr>
            </w:pPr>
            <w:r>
              <w:rPr>
                <w:rFonts w:hint="eastAsia"/>
                <w:lang w:val="en-US" w:eastAsia="zh-CN"/>
              </w:rPr>
              <w:t>《水质总磷的测定 钼酸铵分光光度法》（GB/T 11893-1989）</w:t>
            </w:r>
          </w:p>
        </w:tc>
      </w:tr>
      <w:tr w14:paraId="7D72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tcBorders>
              <w:tl2br w:val="nil"/>
              <w:tr2bl w:val="nil"/>
            </w:tcBorders>
            <w:shd w:val="clear"/>
            <w:vAlign w:val="center"/>
          </w:tcPr>
          <w:p w14:paraId="65D9C3A4">
            <w:pPr>
              <w:pStyle w:val="26"/>
              <w:bidi w:val="0"/>
              <w:rPr>
                <w:rFonts w:hint="eastAsia"/>
                <w:lang w:val="en-US" w:eastAsia="zh-CN"/>
              </w:rPr>
            </w:pPr>
            <w:r>
              <w:rPr>
                <w:rFonts w:hint="default"/>
                <w:lang w:val="en-US" w:eastAsia="zh-CN"/>
              </w:rPr>
              <w:t>7</w:t>
            </w:r>
          </w:p>
        </w:tc>
        <w:tc>
          <w:tcPr>
            <w:tcW w:w="0" w:type="auto"/>
            <w:tcBorders>
              <w:tl2br w:val="nil"/>
              <w:tr2bl w:val="nil"/>
            </w:tcBorders>
            <w:shd w:val="clear"/>
            <w:vAlign w:val="center"/>
          </w:tcPr>
          <w:p w14:paraId="4DBB648B">
            <w:pPr>
              <w:pStyle w:val="26"/>
              <w:bidi w:val="0"/>
              <w:rPr>
                <w:rFonts w:hint="eastAsia"/>
                <w:lang w:val="en-US" w:eastAsia="zh-CN"/>
              </w:rPr>
            </w:pPr>
            <w:r>
              <w:rPr>
                <w:rFonts w:hint="eastAsia"/>
                <w:lang w:val="en-US" w:eastAsia="zh-CN"/>
              </w:rPr>
              <w:t>悬浮物</w:t>
            </w:r>
          </w:p>
        </w:tc>
        <w:tc>
          <w:tcPr>
            <w:tcW w:w="0" w:type="auto"/>
            <w:tcBorders>
              <w:tl2br w:val="nil"/>
              <w:tr2bl w:val="nil"/>
            </w:tcBorders>
            <w:shd w:val="clear"/>
            <w:vAlign w:val="center"/>
          </w:tcPr>
          <w:p w14:paraId="49DF509A">
            <w:pPr>
              <w:pStyle w:val="26"/>
              <w:bidi w:val="0"/>
              <w:rPr>
                <w:rFonts w:hint="eastAsia"/>
                <w:lang w:val="en-US" w:eastAsia="zh-CN"/>
              </w:rPr>
            </w:pPr>
            <w:r>
              <w:rPr>
                <w:rFonts w:hint="eastAsia"/>
                <w:lang w:val="en-US" w:eastAsia="zh-CN"/>
              </w:rPr>
              <w:t>《水质悬浮物的测定 重量法》（GB/T 11901-1989）</w:t>
            </w:r>
          </w:p>
        </w:tc>
      </w:tr>
      <w:tr w14:paraId="538C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tcBorders>
              <w:tl2br w:val="nil"/>
              <w:tr2bl w:val="nil"/>
            </w:tcBorders>
            <w:shd w:val="clear"/>
            <w:vAlign w:val="center"/>
          </w:tcPr>
          <w:p w14:paraId="3878259A">
            <w:pPr>
              <w:pStyle w:val="26"/>
              <w:bidi w:val="0"/>
              <w:rPr>
                <w:rFonts w:hint="eastAsia"/>
                <w:lang w:val="en-US" w:eastAsia="zh-CN"/>
              </w:rPr>
            </w:pPr>
            <w:r>
              <w:rPr>
                <w:rFonts w:hint="default"/>
                <w:lang w:val="en-US" w:eastAsia="zh-CN"/>
              </w:rPr>
              <w:t>8</w:t>
            </w:r>
          </w:p>
        </w:tc>
        <w:tc>
          <w:tcPr>
            <w:tcW w:w="0" w:type="auto"/>
            <w:tcBorders>
              <w:tl2br w:val="nil"/>
              <w:tr2bl w:val="nil"/>
            </w:tcBorders>
            <w:shd w:val="clear"/>
            <w:vAlign w:val="center"/>
          </w:tcPr>
          <w:p w14:paraId="75326CF5">
            <w:pPr>
              <w:pStyle w:val="26"/>
              <w:bidi w:val="0"/>
              <w:rPr>
                <w:rFonts w:hint="eastAsia"/>
                <w:lang w:val="en-US" w:eastAsia="zh-CN"/>
              </w:rPr>
            </w:pPr>
            <w:r>
              <w:rPr>
                <w:rFonts w:hint="eastAsia"/>
                <w:lang w:val="en-US" w:eastAsia="zh-CN"/>
              </w:rPr>
              <w:t>石油类</w:t>
            </w:r>
          </w:p>
        </w:tc>
        <w:tc>
          <w:tcPr>
            <w:tcW w:w="0" w:type="auto"/>
            <w:tcBorders>
              <w:tl2br w:val="nil"/>
              <w:tr2bl w:val="nil"/>
            </w:tcBorders>
            <w:shd w:val="clear"/>
            <w:vAlign w:val="center"/>
          </w:tcPr>
          <w:p w14:paraId="304CD080">
            <w:pPr>
              <w:pStyle w:val="26"/>
              <w:bidi w:val="0"/>
              <w:rPr>
                <w:rFonts w:hint="eastAsia"/>
                <w:lang w:val="en-US" w:eastAsia="zh-CN"/>
              </w:rPr>
            </w:pPr>
            <w:r>
              <w:rPr>
                <w:rFonts w:hint="eastAsia"/>
                <w:lang w:val="en-US" w:eastAsia="zh-CN"/>
              </w:rPr>
              <w:t>《水质石油类的测定 紫外分光光度法(试行)》（HJ 970-2018）</w:t>
            </w:r>
          </w:p>
        </w:tc>
      </w:tr>
      <w:tr w14:paraId="0F29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tcBorders>
              <w:tl2br w:val="nil"/>
              <w:tr2bl w:val="nil"/>
            </w:tcBorders>
            <w:shd w:val="clear"/>
            <w:vAlign w:val="center"/>
          </w:tcPr>
          <w:p w14:paraId="67299AB5">
            <w:pPr>
              <w:pStyle w:val="26"/>
              <w:bidi w:val="0"/>
              <w:rPr>
                <w:rFonts w:hint="eastAsia"/>
                <w:lang w:val="en-US" w:eastAsia="zh-CN"/>
              </w:rPr>
            </w:pPr>
            <w:r>
              <w:rPr>
                <w:rFonts w:hint="default"/>
                <w:lang w:val="en-US" w:eastAsia="zh-CN"/>
              </w:rPr>
              <w:t>9</w:t>
            </w:r>
          </w:p>
        </w:tc>
        <w:tc>
          <w:tcPr>
            <w:tcW w:w="0" w:type="auto"/>
            <w:tcBorders>
              <w:tl2br w:val="nil"/>
              <w:tr2bl w:val="nil"/>
            </w:tcBorders>
            <w:shd w:val="clear"/>
            <w:vAlign w:val="center"/>
          </w:tcPr>
          <w:p w14:paraId="30F55AB7">
            <w:pPr>
              <w:pStyle w:val="26"/>
              <w:bidi w:val="0"/>
              <w:rPr>
                <w:rFonts w:hint="eastAsia"/>
                <w:lang w:val="en-US" w:eastAsia="zh-CN"/>
              </w:rPr>
            </w:pPr>
            <w:r>
              <w:rPr>
                <w:rFonts w:hint="eastAsia"/>
                <w:lang w:val="en-US" w:eastAsia="zh-CN"/>
              </w:rPr>
              <w:t>高锰酸盐指数</w:t>
            </w:r>
          </w:p>
        </w:tc>
        <w:tc>
          <w:tcPr>
            <w:tcW w:w="0" w:type="auto"/>
            <w:tcBorders>
              <w:tl2br w:val="nil"/>
              <w:tr2bl w:val="nil"/>
            </w:tcBorders>
            <w:shd w:val="clear"/>
            <w:vAlign w:val="center"/>
          </w:tcPr>
          <w:p w14:paraId="17E7C22A">
            <w:pPr>
              <w:pStyle w:val="26"/>
              <w:bidi w:val="0"/>
              <w:rPr>
                <w:rFonts w:hint="eastAsia"/>
                <w:lang w:val="en-US" w:eastAsia="zh-CN"/>
              </w:rPr>
            </w:pPr>
            <w:r>
              <w:rPr>
                <w:rFonts w:hint="eastAsia"/>
                <w:lang w:val="en-US" w:eastAsia="zh-CN"/>
              </w:rPr>
              <w:t>《水质高锰酸盐指数的测定》（GB/T 11892-1989）</w:t>
            </w:r>
          </w:p>
        </w:tc>
      </w:tr>
      <w:tr w14:paraId="6AED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tcBorders>
              <w:tl2br w:val="nil"/>
              <w:tr2bl w:val="nil"/>
            </w:tcBorders>
            <w:shd w:val="clear"/>
            <w:vAlign w:val="center"/>
          </w:tcPr>
          <w:p w14:paraId="5CA797B1">
            <w:pPr>
              <w:pStyle w:val="26"/>
              <w:bidi w:val="0"/>
              <w:rPr>
                <w:rFonts w:hint="eastAsia"/>
                <w:lang w:val="en-US" w:eastAsia="zh-CN"/>
              </w:rPr>
            </w:pPr>
            <w:r>
              <w:rPr>
                <w:rFonts w:hint="default"/>
                <w:lang w:val="en-US" w:eastAsia="zh-CN"/>
              </w:rPr>
              <w:t>10</w:t>
            </w:r>
          </w:p>
        </w:tc>
        <w:tc>
          <w:tcPr>
            <w:tcW w:w="0" w:type="auto"/>
            <w:tcBorders>
              <w:tl2br w:val="nil"/>
              <w:tr2bl w:val="nil"/>
            </w:tcBorders>
            <w:shd w:val="clear"/>
            <w:vAlign w:val="center"/>
          </w:tcPr>
          <w:p w14:paraId="1732D4B0">
            <w:pPr>
              <w:pStyle w:val="26"/>
              <w:bidi w:val="0"/>
              <w:rPr>
                <w:rFonts w:hint="eastAsia"/>
                <w:lang w:val="en-US" w:eastAsia="zh-CN"/>
              </w:rPr>
            </w:pPr>
            <w:r>
              <w:rPr>
                <w:rFonts w:hint="eastAsia"/>
                <w:lang w:val="en-US" w:eastAsia="zh-CN"/>
              </w:rPr>
              <w:t>五日生化需氧量</w:t>
            </w:r>
          </w:p>
        </w:tc>
        <w:tc>
          <w:tcPr>
            <w:tcW w:w="0" w:type="auto"/>
            <w:tcBorders>
              <w:tl2br w:val="nil"/>
              <w:tr2bl w:val="nil"/>
            </w:tcBorders>
            <w:shd w:val="clear"/>
            <w:vAlign w:val="center"/>
          </w:tcPr>
          <w:p w14:paraId="2917FB8B">
            <w:pPr>
              <w:pStyle w:val="26"/>
              <w:bidi w:val="0"/>
              <w:rPr>
                <w:rFonts w:hint="eastAsia"/>
                <w:lang w:val="en-US" w:eastAsia="zh-CN"/>
              </w:rPr>
            </w:pPr>
            <w:r>
              <w:rPr>
                <w:rFonts w:hint="eastAsia"/>
                <w:lang w:val="en-US" w:eastAsia="zh-CN"/>
              </w:rPr>
              <w:t>《水质五日生化需氧量（BOD₅）的测定稀释与接种法》（HJ 505-2009）</w:t>
            </w:r>
          </w:p>
        </w:tc>
      </w:tr>
    </w:tbl>
    <w:p w14:paraId="347AB8B5">
      <w:pPr>
        <w:rPr>
          <w:rFonts w:hint="eastAsia" w:ascii="Times New Roman" w:hAnsi="Times New Roman"/>
          <w:color w:val="auto"/>
        </w:rPr>
      </w:pPr>
      <w:r>
        <w:rPr>
          <w:rFonts w:hint="eastAsia" w:ascii="Times New Roman" w:hAnsi="Times New Roman"/>
          <w:color w:val="auto"/>
        </w:rPr>
        <w:t>（5）监测结果</w:t>
      </w:r>
    </w:p>
    <w:p w14:paraId="7F19783F">
      <w:pPr>
        <w:rPr>
          <w:rFonts w:hint="eastAsia" w:ascii="Times New Roman" w:hAnsi="Times New Roman"/>
          <w:color w:val="auto"/>
        </w:rPr>
      </w:pPr>
      <w:r>
        <w:rPr>
          <w:rFonts w:hint="eastAsia" w:ascii="Times New Roman" w:hAnsi="Times New Roman"/>
          <w:color w:val="auto"/>
        </w:rPr>
        <w:t>地表水水质监测结果见下表。</w:t>
      </w:r>
    </w:p>
    <w:p w14:paraId="7F96BD17">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5.2</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9</w:t>
      </w:r>
      <w:r>
        <w:rPr>
          <w:rFonts w:hint="eastAsia"/>
          <w:color w:val="auto"/>
          <w:lang w:val="en-US" w:eastAsia="zh-CN"/>
        </w:rPr>
        <w:fldChar w:fldCharType="end"/>
      </w:r>
      <w:r>
        <w:rPr>
          <w:rFonts w:hint="eastAsia"/>
          <w:color w:val="auto"/>
          <w:lang w:val="en-US" w:eastAsia="zh-CN"/>
        </w:rPr>
        <w:t>地表水水质监测结果一览表（单位：mg/L，pH无量纲）</w:t>
      </w:r>
    </w:p>
    <w:tbl>
      <w:tblPr>
        <w:tblStyle w:val="20"/>
        <w:tblW w:w="8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009"/>
        <w:gridCol w:w="596"/>
        <w:gridCol w:w="614"/>
        <w:gridCol w:w="549"/>
        <w:gridCol w:w="485"/>
        <w:gridCol w:w="659"/>
        <w:gridCol w:w="662"/>
        <w:gridCol w:w="444"/>
        <w:gridCol w:w="598"/>
        <w:gridCol w:w="694"/>
        <w:gridCol w:w="1521"/>
      </w:tblGrid>
      <w:tr w14:paraId="4609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647" w:type="dxa"/>
            <w:vMerge w:val="restart"/>
            <w:vAlign w:val="center"/>
          </w:tcPr>
          <w:p w14:paraId="4B9222DA">
            <w:pPr>
              <w:pStyle w:val="26"/>
              <w:bidi w:val="0"/>
              <w:rPr>
                <w:rFonts w:hint="default"/>
                <w:lang w:val="en-US" w:eastAsia="zh-CN"/>
              </w:rPr>
            </w:pPr>
            <w:r>
              <w:rPr>
                <w:rFonts w:hint="eastAsia"/>
                <w:lang w:val="en-US" w:eastAsia="zh-CN"/>
              </w:rPr>
              <w:t>采样点位</w:t>
            </w:r>
          </w:p>
        </w:tc>
        <w:tc>
          <w:tcPr>
            <w:tcW w:w="1009" w:type="dxa"/>
            <w:vMerge w:val="restart"/>
            <w:vAlign w:val="center"/>
          </w:tcPr>
          <w:p w14:paraId="014E9C26">
            <w:pPr>
              <w:pStyle w:val="26"/>
              <w:bidi w:val="0"/>
              <w:rPr>
                <w:rFonts w:hint="default"/>
                <w:lang w:val="en-US" w:eastAsia="zh-CN"/>
              </w:rPr>
            </w:pPr>
            <w:r>
              <w:rPr>
                <w:rFonts w:hint="eastAsia"/>
                <w:lang w:val="en-US" w:eastAsia="zh-CN"/>
              </w:rPr>
              <w:t>采样时间</w:t>
            </w:r>
          </w:p>
        </w:tc>
        <w:tc>
          <w:tcPr>
            <w:tcW w:w="6822" w:type="dxa"/>
            <w:gridSpan w:val="10"/>
            <w:vAlign w:val="center"/>
          </w:tcPr>
          <w:p w14:paraId="0801FC3E">
            <w:pPr>
              <w:pStyle w:val="26"/>
              <w:bidi w:val="0"/>
              <w:rPr>
                <w:rFonts w:hint="default"/>
                <w:lang w:val="en-US" w:eastAsia="zh-CN"/>
              </w:rPr>
            </w:pPr>
            <w:r>
              <w:rPr>
                <w:rFonts w:hint="eastAsia"/>
                <w:lang w:val="en-US" w:eastAsia="zh-CN"/>
              </w:rPr>
              <w:t>检测项目</w:t>
            </w:r>
          </w:p>
        </w:tc>
      </w:tr>
      <w:tr w14:paraId="08D6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647" w:type="dxa"/>
            <w:vMerge w:val="continue"/>
            <w:vAlign w:val="center"/>
          </w:tcPr>
          <w:p w14:paraId="13B9E841">
            <w:pPr>
              <w:pStyle w:val="26"/>
              <w:bidi w:val="0"/>
              <w:rPr>
                <w:rFonts w:hint="default"/>
                <w:lang w:val="en-US" w:eastAsia="zh-CN"/>
              </w:rPr>
            </w:pPr>
          </w:p>
        </w:tc>
        <w:tc>
          <w:tcPr>
            <w:tcW w:w="1009" w:type="dxa"/>
            <w:vMerge w:val="continue"/>
            <w:vAlign w:val="center"/>
          </w:tcPr>
          <w:p w14:paraId="7F59BA64">
            <w:pPr>
              <w:pStyle w:val="26"/>
              <w:bidi w:val="0"/>
              <w:rPr>
                <w:rFonts w:hint="default"/>
                <w:lang w:val="en-US" w:eastAsia="zh-CN"/>
              </w:rPr>
            </w:pPr>
          </w:p>
        </w:tc>
        <w:tc>
          <w:tcPr>
            <w:tcW w:w="596" w:type="dxa"/>
            <w:vAlign w:val="center"/>
          </w:tcPr>
          <w:p w14:paraId="6E96F4CD">
            <w:pPr>
              <w:pStyle w:val="26"/>
              <w:bidi w:val="0"/>
              <w:rPr>
                <w:rFonts w:hint="default"/>
                <w:lang w:val="en-US" w:eastAsia="zh-CN"/>
              </w:rPr>
            </w:pPr>
            <w:r>
              <w:rPr>
                <w:rFonts w:hint="eastAsia"/>
                <w:lang w:val="en-US" w:eastAsia="zh-CN"/>
              </w:rPr>
              <w:t>PH值</w:t>
            </w:r>
          </w:p>
        </w:tc>
        <w:tc>
          <w:tcPr>
            <w:tcW w:w="614" w:type="dxa"/>
            <w:vAlign w:val="center"/>
          </w:tcPr>
          <w:p w14:paraId="5215C4A4">
            <w:pPr>
              <w:pStyle w:val="26"/>
              <w:bidi w:val="0"/>
              <w:rPr>
                <w:rFonts w:hint="default"/>
                <w:lang w:val="en-US" w:eastAsia="zh-CN"/>
              </w:rPr>
            </w:pPr>
            <w:r>
              <w:rPr>
                <w:rFonts w:hint="eastAsia"/>
                <w:lang w:val="en-US" w:eastAsia="zh-CN"/>
              </w:rPr>
              <w:t>水温</w:t>
            </w:r>
          </w:p>
        </w:tc>
        <w:tc>
          <w:tcPr>
            <w:tcW w:w="549" w:type="dxa"/>
            <w:vAlign w:val="center"/>
          </w:tcPr>
          <w:p w14:paraId="7655CC4A">
            <w:pPr>
              <w:pStyle w:val="26"/>
              <w:bidi w:val="0"/>
              <w:rPr>
                <w:rFonts w:hint="default"/>
                <w:lang w:val="en-US" w:eastAsia="zh-CN"/>
              </w:rPr>
            </w:pPr>
            <w:r>
              <w:rPr>
                <w:rFonts w:hint="eastAsia"/>
                <w:lang w:val="en-US" w:eastAsia="zh-CN"/>
              </w:rPr>
              <w:t>溶解氧</w:t>
            </w:r>
          </w:p>
        </w:tc>
        <w:tc>
          <w:tcPr>
            <w:tcW w:w="485" w:type="dxa"/>
            <w:vAlign w:val="center"/>
          </w:tcPr>
          <w:p w14:paraId="0ACFADDD">
            <w:pPr>
              <w:pStyle w:val="26"/>
              <w:bidi w:val="0"/>
              <w:rPr>
                <w:rFonts w:hint="default"/>
                <w:lang w:val="en-US" w:eastAsia="zh-CN"/>
              </w:rPr>
            </w:pPr>
            <w:r>
              <w:rPr>
                <w:rFonts w:hint="eastAsia"/>
                <w:lang w:val="en-US" w:eastAsia="zh-CN"/>
              </w:rPr>
              <w:t>化学需氧量</w:t>
            </w:r>
          </w:p>
        </w:tc>
        <w:tc>
          <w:tcPr>
            <w:tcW w:w="659" w:type="dxa"/>
            <w:vAlign w:val="center"/>
          </w:tcPr>
          <w:p w14:paraId="1E18C2B4">
            <w:pPr>
              <w:pStyle w:val="26"/>
              <w:bidi w:val="0"/>
              <w:rPr>
                <w:rFonts w:hint="default"/>
                <w:lang w:val="en-US" w:eastAsia="zh-CN"/>
              </w:rPr>
            </w:pPr>
            <w:r>
              <w:rPr>
                <w:rFonts w:hint="eastAsia"/>
                <w:lang w:val="en-US" w:eastAsia="zh-CN"/>
              </w:rPr>
              <w:t>氨氮</w:t>
            </w:r>
          </w:p>
        </w:tc>
        <w:tc>
          <w:tcPr>
            <w:tcW w:w="662" w:type="dxa"/>
            <w:vAlign w:val="center"/>
          </w:tcPr>
          <w:p w14:paraId="784A2763">
            <w:pPr>
              <w:pStyle w:val="26"/>
              <w:bidi w:val="0"/>
              <w:rPr>
                <w:rFonts w:hint="default"/>
                <w:lang w:val="en-US" w:eastAsia="zh-CN"/>
              </w:rPr>
            </w:pPr>
            <w:r>
              <w:rPr>
                <w:rFonts w:hint="eastAsia"/>
                <w:lang w:val="en-US" w:eastAsia="zh-CN"/>
              </w:rPr>
              <w:t>总磷</w:t>
            </w:r>
          </w:p>
        </w:tc>
        <w:tc>
          <w:tcPr>
            <w:tcW w:w="444" w:type="dxa"/>
            <w:vAlign w:val="center"/>
          </w:tcPr>
          <w:p w14:paraId="3F4B5371">
            <w:pPr>
              <w:pStyle w:val="26"/>
              <w:bidi w:val="0"/>
              <w:rPr>
                <w:rFonts w:hint="default"/>
                <w:lang w:val="en-US" w:eastAsia="zh-CN"/>
              </w:rPr>
            </w:pPr>
            <w:r>
              <w:rPr>
                <w:rFonts w:hint="eastAsia"/>
                <w:lang w:val="en-US" w:eastAsia="zh-CN"/>
              </w:rPr>
              <w:t>悬浮物</w:t>
            </w:r>
          </w:p>
        </w:tc>
        <w:tc>
          <w:tcPr>
            <w:tcW w:w="598" w:type="dxa"/>
            <w:vAlign w:val="center"/>
          </w:tcPr>
          <w:p w14:paraId="7B181F6C">
            <w:pPr>
              <w:pStyle w:val="26"/>
              <w:bidi w:val="0"/>
              <w:rPr>
                <w:rFonts w:hint="default"/>
                <w:lang w:val="en-US" w:eastAsia="zh-CN"/>
              </w:rPr>
            </w:pPr>
            <w:r>
              <w:rPr>
                <w:rFonts w:hint="eastAsia"/>
                <w:lang w:val="en-US" w:eastAsia="zh-CN"/>
              </w:rPr>
              <w:t>石油类</w:t>
            </w:r>
          </w:p>
        </w:tc>
        <w:tc>
          <w:tcPr>
            <w:tcW w:w="694" w:type="dxa"/>
            <w:vAlign w:val="center"/>
          </w:tcPr>
          <w:p w14:paraId="66265E35">
            <w:pPr>
              <w:pStyle w:val="26"/>
              <w:bidi w:val="0"/>
              <w:rPr>
                <w:rFonts w:hint="default"/>
                <w:lang w:val="en-US" w:eastAsia="zh-CN"/>
              </w:rPr>
            </w:pPr>
            <w:r>
              <w:rPr>
                <w:rFonts w:hint="eastAsia"/>
                <w:lang w:val="en-US" w:eastAsia="zh-CN"/>
              </w:rPr>
              <w:t>高猛酸盐指数</w:t>
            </w:r>
          </w:p>
        </w:tc>
        <w:tc>
          <w:tcPr>
            <w:tcW w:w="1521" w:type="dxa"/>
            <w:vAlign w:val="center"/>
          </w:tcPr>
          <w:p w14:paraId="68588508">
            <w:pPr>
              <w:pStyle w:val="26"/>
              <w:bidi w:val="0"/>
              <w:rPr>
                <w:rFonts w:hint="default"/>
                <w:lang w:val="en-US" w:eastAsia="zh-CN"/>
              </w:rPr>
            </w:pPr>
            <w:r>
              <w:rPr>
                <w:rFonts w:hint="eastAsia"/>
                <w:lang w:val="en-US" w:eastAsia="zh-CN"/>
              </w:rPr>
              <w:t>五日生化需氧量</w:t>
            </w:r>
          </w:p>
        </w:tc>
      </w:tr>
      <w:tr w14:paraId="52FC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47" w:type="dxa"/>
            <w:vMerge w:val="restart"/>
            <w:vAlign w:val="center"/>
          </w:tcPr>
          <w:p w14:paraId="534138C8">
            <w:pPr>
              <w:pStyle w:val="26"/>
              <w:bidi w:val="0"/>
              <w:rPr>
                <w:rFonts w:hint="default"/>
                <w:lang w:val="en-US" w:eastAsia="zh-CN"/>
              </w:rPr>
            </w:pPr>
            <w:r>
              <w:rPr>
                <w:rFonts w:hint="eastAsia"/>
                <w:lang w:val="en-US" w:eastAsia="zh-CN"/>
              </w:rPr>
              <w:t>W1</w:t>
            </w:r>
          </w:p>
        </w:tc>
        <w:tc>
          <w:tcPr>
            <w:tcW w:w="1009" w:type="dxa"/>
            <w:vMerge w:val="restart"/>
            <w:vAlign w:val="center"/>
          </w:tcPr>
          <w:p w14:paraId="45E851F5">
            <w:pPr>
              <w:pStyle w:val="26"/>
              <w:bidi w:val="0"/>
              <w:rPr>
                <w:rFonts w:hint="default"/>
                <w:lang w:val="en-US" w:eastAsia="zh-CN"/>
              </w:rPr>
            </w:pPr>
            <w:r>
              <w:rPr>
                <w:rFonts w:hint="eastAsia"/>
                <w:lang w:val="en-US" w:eastAsia="zh-CN"/>
              </w:rPr>
              <w:t>2026.04.06</w:t>
            </w:r>
          </w:p>
        </w:tc>
        <w:tc>
          <w:tcPr>
            <w:tcW w:w="596" w:type="dxa"/>
            <w:vAlign w:val="center"/>
          </w:tcPr>
          <w:p w14:paraId="0A200521">
            <w:pPr>
              <w:pStyle w:val="26"/>
              <w:bidi w:val="0"/>
              <w:rPr>
                <w:rFonts w:hint="default"/>
                <w:lang w:val="en-US" w:eastAsia="zh-CN"/>
              </w:rPr>
            </w:pPr>
            <w:r>
              <w:rPr>
                <w:rFonts w:hint="eastAsia"/>
                <w:lang w:val="en-US" w:eastAsia="zh-CN"/>
              </w:rPr>
              <w:t>7.7</w:t>
            </w:r>
          </w:p>
        </w:tc>
        <w:tc>
          <w:tcPr>
            <w:tcW w:w="614" w:type="dxa"/>
            <w:vAlign w:val="center"/>
          </w:tcPr>
          <w:p w14:paraId="0C514283">
            <w:pPr>
              <w:pStyle w:val="26"/>
              <w:bidi w:val="0"/>
              <w:rPr>
                <w:rFonts w:hint="default"/>
                <w:lang w:val="en-US" w:eastAsia="zh-CN"/>
              </w:rPr>
            </w:pPr>
            <w:r>
              <w:rPr>
                <w:rFonts w:hint="eastAsia"/>
                <w:lang w:val="en-US" w:eastAsia="zh-CN"/>
              </w:rPr>
              <w:t>19.4</w:t>
            </w:r>
          </w:p>
        </w:tc>
        <w:tc>
          <w:tcPr>
            <w:tcW w:w="549" w:type="dxa"/>
            <w:vAlign w:val="center"/>
          </w:tcPr>
          <w:p w14:paraId="2ED4F5A6">
            <w:pPr>
              <w:pStyle w:val="26"/>
              <w:bidi w:val="0"/>
              <w:rPr>
                <w:rFonts w:hint="default"/>
                <w:lang w:val="en-US" w:eastAsia="zh-CN"/>
              </w:rPr>
            </w:pPr>
            <w:r>
              <w:rPr>
                <w:rFonts w:hint="eastAsia"/>
                <w:lang w:val="en-US" w:eastAsia="zh-CN"/>
              </w:rPr>
              <w:t>7.3</w:t>
            </w:r>
          </w:p>
        </w:tc>
        <w:tc>
          <w:tcPr>
            <w:tcW w:w="485" w:type="dxa"/>
            <w:vAlign w:val="center"/>
          </w:tcPr>
          <w:p w14:paraId="5146D969">
            <w:pPr>
              <w:pStyle w:val="26"/>
              <w:bidi w:val="0"/>
              <w:rPr>
                <w:rFonts w:hint="default"/>
                <w:lang w:val="en-US" w:eastAsia="zh-CN"/>
              </w:rPr>
            </w:pPr>
            <w:r>
              <w:rPr>
                <w:rFonts w:hint="eastAsia"/>
                <w:lang w:val="en-US" w:eastAsia="zh-CN"/>
              </w:rPr>
              <w:t>6</w:t>
            </w:r>
          </w:p>
        </w:tc>
        <w:tc>
          <w:tcPr>
            <w:tcW w:w="659" w:type="dxa"/>
            <w:vAlign w:val="center"/>
          </w:tcPr>
          <w:p w14:paraId="517B5C20">
            <w:pPr>
              <w:pStyle w:val="26"/>
              <w:bidi w:val="0"/>
              <w:rPr>
                <w:rFonts w:hint="default"/>
                <w:lang w:val="en-US" w:eastAsia="zh-CN"/>
              </w:rPr>
            </w:pPr>
            <w:r>
              <w:rPr>
                <w:rFonts w:hint="eastAsia"/>
                <w:lang w:val="en-US" w:eastAsia="zh-CN"/>
              </w:rPr>
              <w:t>0.34</w:t>
            </w:r>
          </w:p>
        </w:tc>
        <w:tc>
          <w:tcPr>
            <w:tcW w:w="662" w:type="dxa"/>
            <w:vAlign w:val="center"/>
          </w:tcPr>
          <w:p w14:paraId="46909DD2">
            <w:pPr>
              <w:pStyle w:val="26"/>
              <w:bidi w:val="0"/>
              <w:rPr>
                <w:rFonts w:hint="default"/>
                <w:lang w:val="en-US" w:eastAsia="zh-CN"/>
              </w:rPr>
            </w:pPr>
            <w:r>
              <w:rPr>
                <w:rFonts w:hint="eastAsia"/>
                <w:lang w:val="en-US" w:eastAsia="zh-CN"/>
              </w:rPr>
              <w:t>0.05</w:t>
            </w:r>
          </w:p>
        </w:tc>
        <w:tc>
          <w:tcPr>
            <w:tcW w:w="444" w:type="dxa"/>
            <w:vAlign w:val="center"/>
          </w:tcPr>
          <w:p w14:paraId="3ABA6BD7">
            <w:pPr>
              <w:pStyle w:val="26"/>
              <w:bidi w:val="0"/>
              <w:rPr>
                <w:rFonts w:hint="default"/>
                <w:lang w:val="en-US" w:eastAsia="zh-CN"/>
              </w:rPr>
            </w:pPr>
            <w:r>
              <w:rPr>
                <w:rFonts w:hint="eastAsia"/>
                <w:lang w:val="en-US" w:eastAsia="zh-CN"/>
              </w:rPr>
              <w:t>22</w:t>
            </w:r>
          </w:p>
        </w:tc>
        <w:tc>
          <w:tcPr>
            <w:tcW w:w="598" w:type="dxa"/>
            <w:vAlign w:val="center"/>
          </w:tcPr>
          <w:p w14:paraId="1646F480">
            <w:pPr>
              <w:pStyle w:val="26"/>
              <w:bidi w:val="0"/>
              <w:rPr>
                <w:rFonts w:hint="default"/>
                <w:lang w:val="en-US" w:eastAsia="zh-CN"/>
              </w:rPr>
            </w:pPr>
            <w:r>
              <w:rPr>
                <w:rFonts w:hint="eastAsia"/>
                <w:lang w:val="en-US" w:eastAsia="zh-CN"/>
              </w:rPr>
              <w:t>ND</w:t>
            </w:r>
          </w:p>
        </w:tc>
        <w:tc>
          <w:tcPr>
            <w:tcW w:w="694" w:type="dxa"/>
            <w:vAlign w:val="center"/>
          </w:tcPr>
          <w:p w14:paraId="45BE62B0">
            <w:pPr>
              <w:pStyle w:val="26"/>
              <w:bidi w:val="0"/>
              <w:rPr>
                <w:rFonts w:hint="default"/>
                <w:lang w:val="en-US" w:eastAsia="zh-CN"/>
              </w:rPr>
            </w:pPr>
            <w:r>
              <w:rPr>
                <w:rFonts w:hint="eastAsia"/>
                <w:lang w:val="en-US" w:eastAsia="zh-CN"/>
              </w:rPr>
              <w:t>4.6</w:t>
            </w:r>
          </w:p>
        </w:tc>
        <w:tc>
          <w:tcPr>
            <w:tcW w:w="1521" w:type="dxa"/>
            <w:vAlign w:val="center"/>
          </w:tcPr>
          <w:p w14:paraId="4CC65036">
            <w:pPr>
              <w:pStyle w:val="26"/>
              <w:bidi w:val="0"/>
              <w:rPr>
                <w:rFonts w:hint="default"/>
                <w:lang w:val="en-US" w:eastAsia="zh-CN"/>
              </w:rPr>
            </w:pPr>
            <w:r>
              <w:rPr>
                <w:rFonts w:hint="eastAsia"/>
                <w:lang w:val="en-US" w:eastAsia="zh-CN"/>
              </w:rPr>
              <w:t>2.8</w:t>
            </w:r>
          </w:p>
        </w:tc>
      </w:tr>
      <w:tr w14:paraId="1026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47" w:type="dxa"/>
            <w:vMerge w:val="continue"/>
            <w:vAlign w:val="center"/>
          </w:tcPr>
          <w:p w14:paraId="67D81B8B">
            <w:pPr>
              <w:pStyle w:val="26"/>
              <w:bidi w:val="0"/>
              <w:rPr>
                <w:rFonts w:hint="default"/>
                <w:lang w:val="en-US" w:eastAsia="zh-CN"/>
              </w:rPr>
            </w:pPr>
          </w:p>
        </w:tc>
        <w:tc>
          <w:tcPr>
            <w:tcW w:w="1009" w:type="dxa"/>
            <w:vMerge w:val="continue"/>
            <w:vAlign w:val="center"/>
          </w:tcPr>
          <w:p w14:paraId="108E3365">
            <w:pPr>
              <w:pStyle w:val="26"/>
              <w:bidi w:val="0"/>
              <w:rPr>
                <w:rFonts w:hint="default"/>
                <w:lang w:val="en-US" w:eastAsia="zh-CN"/>
              </w:rPr>
            </w:pPr>
          </w:p>
        </w:tc>
        <w:tc>
          <w:tcPr>
            <w:tcW w:w="596" w:type="dxa"/>
            <w:vAlign w:val="center"/>
          </w:tcPr>
          <w:p w14:paraId="5C0F5C2B">
            <w:pPr>
              <w:pStyle w:val="26"/>
              <w:bidi w:val="0"/>
              <w:rPr>
                <w:rFonts w:hint="default"/>
                <w:lang w:val="en-US" w:eastAsia="zh-CN"/>
              </w:rPr>
            </w:pPr>
            <w:r>
              <w:rPr>
                <w:rFonts w:hint="eastAsia"/>
                <w:lang w:val="en-US" w:eastAsia="zh-CN"/>
              </w:rPr>
              <w:t>7.8</w:t>
            </w:r>
          </w:p>
        </w:tc>
        <w:tc>
          <w:tcPr>
            <w:tcW w:w="614" w:type="dxa"/>
            <w:vAlign w:val="center"/>
          </w:tcPr>
          <w:p w14:paraId="40A9EF05">
            <w:pPr>
              <w:pStyle w:val="26"/>
              <w:bidi w:val="0"/>
              <w:rPr>
                <w:rFonts w:hint="default"/>
                <w:lang w:val="en-US" w:eastAsia="zh-CN"/>
              </w:rPr>
            </w:pPr>
            <w:r>
              <w:rPr>
                <w:rFonts w:hint="eastAsia"/>
                <w:lang w:val="en-US" w:eastAsia="zh-CN"/>
              </w:rPr>
              <w:t>21.8</w:t>
            </w:r>
          </w:p>
        </w:tc>
        <w:tc>
          <w:tcPr>
            <w:tcW w:w="549" w:type="dxa"/>
            <w:vAlign w:val="center"/>
          </w:tcPr>
          <w:p w14:paraId="4C071925">
            <w:pPr>
              <w:pStyle w:val="26"/>
              <w:bidi w:val="0"/>
              <w:rPr>
                <w:rFonts w:hint="default"/>
                <w:lang w:val="en-US" w:eastAsia="zh-CN"/>
              </w:rPr>
            </w:pPr>
            <w:r>
              <w:rPr>
                <w:rFonts w:hint="eastAsia"/>
                <w:lang w:val="en-US" w:eastAsia="zh-CN"/>
              </w:rPr>
              <w:t>7.1</w:t>
            </w:r>
          </w:p>
        </w:tc>
        <w:tc>
          <w:tcPr>
            <w:tcW w:w="485" w:type="dxa"/>
            <w:vAlign w:val="center"/>
          </w:tcPr>
          <w:p w14:paraId="6E5932BE">
            <w:pPr>
              <w:pStyle w:val="26"/>
              <w:bidi w:val="0"/>
              <w:rPr>
                <w:rFonts w:hint="default"/>
                <w:lang w:val="en-US" w:eastAsia="zh-CN"/>
              </w:rPr>
            </w:pPr>
            <w:r>
              <w:rPr>
                <w:rFonts w:hint="eastAsia"/>
                <w:lang w:val="en-US" w:eastAsia="zh-CN"/>
              </w:rPr>
              <w:t>8</w:t>
            </w:r>
          </w:p>
        </w:tc>
        <w:tc>
          <w:tcPr>
            <w:tcW w:w="659" w:type="dxa"/>
            <w:vAlign w:val="center"/>
          </w:tcPr>
          <w:p w14:paraId="155145C5">
            <w:pPr>
              <w:pStyle w:val="26"/>
              <w:bidi w:val="0"/>
              <w:rPr>
                <w:rFonts w:hint="default"/>
                <w:lang w:val="en-US" w:eastAsia="zh-CN"/>
              </w:rPr>
            </w:pPr>
            <w:r>
              <w:rPr>
                <w:rFonts w:hint="eastAsia"/>
                <w:lang w:val="en-US" w:eastAsia="zh-CN"/>
              </w:rPr>
              <w:t>0.36</w:t>
            </w:r>
          </w:p>
        </w:tc>
        <w:tc>
          <w:tcPr>
            <w:tcW w:w="662" w:type="dxa"/>
            <w:vAlign w:val="center"/>
          </w:tcPr>
          <w:p w14:paraId="65642A38">
            <w:pPr>
              <w:pStyle w:val="26"/>
              <w:bidi w:val="0"/>
              <w:rPr>
                <w:rFonts w:hint="default"/>
                <w:lang w:val="en-US" w:eastAsia="zh-CN"/>
              </w:rPr>
            </w:pPr>
            <w:r>
              <w:rPr>
                <w:rFonts w:hint="eastAsia"/>
                <w:lang w:val="en-US" w:eastAsia="zh-CN"/>
              </w:rPr>
              <w:t>0.06</w:t>
            </w:r>
          </w:p>
        </w:tc>
        <w:tc>
          <w:tcPr>
            <w:tcW w:w="444" w:type="dxa"/>
            <w:vAlign w:val="center"/>
          </w:tcPr>
          <w:p w14:paraId="5D25BB8D">
            <w:pPr>
              <w:pStyle w:val="26"/>
              <w:bidi w:val="0"/>
              <w:rPr>
                <w:rFonts w:hint="default"/>
                <w:lang w:val="en-US" w:eastAsia="zh-CN"/>
              </w:rPr>
            </w:pPr>
            <w:r>
              <w:rPr>
                <w:rFonts w:hint="eastAsia"/>
                <w:lang w:val="en-US" w:eastAsia="zh-CN"/>
              </w:rPr>
              <w:t>18</w:t>
            </w:r>
          </w:p>
        </w:tc>
        <w:tc>
          <w:tcPr>
            <w:tcW w:w="598" w:type="dxa"/>
            <w:vAlign w:val="center"/>
          </w:tcPr>
          <w:p w14:paraId="70305B5B">
            <w:pPr>
              <w:pStyle w:val="26"/>
              <w:bidi w:val="0"/>
              <w:rPr>
                <w:rFonts w:hint="default"/>
                <w:lang w:val="en-US" w:eastAsia="zh-CN"/>
              </w:rPr>
            </w:pPr>
            <w:r>
              <w:rPr>
                <w:rFonts w:hint="eastAsia"/>
                <w:lang w:val="en-US" w:eastAsia="zh-CN"/>
              </w:rPr>
              <w:t>ND</w:t>
            </w:r>
          </w:p>
        </w:tc>
        <w:tc>
          <w:tcPr>
            <w:tcW w:w="694" w:type="dxa"/>
            <w:vAlign w:val="center"/>
          </w:tcPr>
          <w:p w14:paraId="1FE340C6">
            <w:pPr>
              <w:pStyle w:val="26"/>
              <w:bidi w:val="0"/>
              <w:rPr>
                <w:rFonts w:hint="default"/>
                <w:lang w:val="en-US" w:eastAsia="zh-CN"/>
              </w:rPr>
            </w:pPr>
            <w:r>
              <w:rPr>
                <w:rFonts w:hint="eastAsia"/>
                <w:lang w:val="en-US" w:eastAsia="zh-CN"/>
              </w:rPr>
              <w:t>4.4</w:t>
            </w:r>
          </w:p>
        </w:tc>
        <w:tc>
          <w:tcPr>
            <w:tcW w:w="1521" w:type="dxa"/>
            <w:vAlign w:val="center"/>
          </w:tcPr>
          <w:p w14:paraId="7F5F3B67">
            <w:pPr>
              <w:pStyle w:val="26"/>
              <w:bidi w:val="0"/>
              <w:rPr>
                <w:rFonts w:hint="default"/>
                <w:lang w:val="en-US" w:eastAsia="zh-CN"/>
              </w:rPr>
            </w:pPr>
            <w:r>
              <w:rPr>
                <w:rFonts w:hint="eastAsia"/>
                <w:lang w:val="en-US" w:eastAsia="zh-CN"/>
              </w:rPr>
              <w:t>3.2</w:t>
            </w:r>
          </w:p>
        </w:tc>
      </w:tr>
      <w:tr w14:paraId="7632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647" w:type="dxa"/>
            <w:vMerge w:val="restart"/>
            <w:vAlign w:val="center"/>
          </w:tcPr>
          <w:p w14:paraId="0E1A0E2D">
            <w:pPr>
              <w:pStyle w:val="26"/>
              <w:bidi w:val="0"/>
              <w:rPr>
                <w:rFonts w:hint="default"/>
                <w:lang w:val="en-US" w:eastAsia="zh-CN"/>
              </w:rPr>
            </w:pPr>
            <w:r>
              <w:rPr>
                <w:rFonts w:hint="eastAsia"/>
                <w:lang w:val="en-US" w:eastAsia="zh-CN"/>
              </w:rPr>
              <w:t>W2</w:t>
            </w:r>
          </w:p>
        </w:tc>
        <w:tc>
          <w:tcPr>
            <w:tcW w:w="1009" w:type="dxa"/>
            <w:vMerge w:val="restart"/>
            <w:vAlign w:val="center"/>
          </w:tcPr>
          <w:p w14:paraId="231FE667">
            <w:pPr>
              <w:pStyle w:val="26"/>
              <w:bidi w:val="0"/>
              <w:rPr>
                <w:rFonts w:hint="default"/>
                <w:lang w:val="en-US" w:eastAsia="zh-CN"/>
              </w:rPr>
            </w:pPr>
            <w:r>
              <w:rPr>
                <w:rFonts w:hint="eastAsia"/>
                <w:lang w:val="en-US" w:eastAsia="zh-CN"/>
              </w:rPr>
              <w:t>2026.04.06</w:t>
            </w:r>
          </w:p>
        </w:tc>
        <w:tc>
          <w:tcPr>
            <w:tcW w:w="596" w:type="dxa"/>
            <w:vAlign w:val="center"/>
          </w:tcPr>
          <w:p w14:paraId="315E71C0">
            <w:pPr>
              <w:pStyle w:val="26"/>
              <w:bidi w:val="0"/>
              <w:rPr>
                <w:rFonts w:hint="default"/>
                <w:lang w:val="en-US" w:eastAsia="zh-CN"/>
              </w:rPr>
            </w:pPr>
            <w:r>
              <w:rPr>
                <w:rFonts w:hint="eastAsia"/>
                <w:lang w:val="en-US" w:eastAsia="zh-CN"/>
              </w:rPr>
              <w:t>7.3</w:t>
            </w:r>
          </w:p>
        </w:tc>
        <w:tc>
          <w:tcPr>
            <w:tcW w:w="614" w:type="dxa"/>
            <w:vAlign w:val="center"/>
          </w:tcPr>
          <w:p w14:paraId="4948AF75">
            <w:pPr>
              <w:pStyle w:val="26"/>
              <w:bidi w:val="0"/>
              <w:rPr>
                <w:rFonts w:hint="default"/>
                <w:lang w:val="en-US" w:eastAsia="zh-CN"/>
              </w:rPr>
            </w:pPr>
            <w:r>
              <w:rPr>
                <w:rFonts w:hint="eastAsia"/>
                <w:lang w:val="en-US" w:eastAsia="zh-CN"/>
              </w:rPr>
              <w:t>19.2</w:t>
            </w:r>
          </w:p>
        </w:tc>
        <w:tc>
          <w:tcPr>
            <w:tcW w:w="549" w:type="dxa"/>
            <w:vAlign w:val="center"/>
          </w:tcPr>
          <w:p w14:paraId="5E439569">
            <w:pPr>
              <w:pStyle w:val="26"/>
              <w:bidi w:val="0"/>
              <w:rPr>
                <w:rFonts w:hint="default"/>
                <w:lang w:val="en-US" w:eastAsia="zh-CN"/>
              </w:rPr>
            </w:pPr>
            <w:r>
              <w:rPr>
                <w:rFonts w:hint="eastAsia"/>
                <w:lang w:val="en-US" w:eastAsia="zh-CN"/>
              </w:rPr>
              <w:t>7.7</w:t>
            </w:r>
          </w:p>
        </w:tc>
        <w:tc>
          <w:tcPr>
            <w:tcW w:w="485" w:type="dxa"/>
            <w:vAlign w:val="center"/>
          </w:tcPr>
          <w:p w14:paraId="31AFB840">
            <w:pPr>
              <w:pStyle w:val="26"/>
              <w:bidi w:val="0"/>
              <w:rPr>
                <w:rFonts w:hint="default"/>
                <w:lang w:val="en-US" w:eastAsia="zh-CN"/>
              </w:rPr>
            </w:pPr>
            <w:r>
              <w:rPr>
                <w:rFonts w:hint="eastAsia"/>
                <w:lang w:val="en-US" w:eastAsia="zh-CN"/>
              </w:rPr>
              <w:t>14</w:t>
            </w:r>
          </w:p>
        </w:tc>
        <w:tc>
          <w:tcPr>
            <w:tcW w:w="659" w:type="dxa"/>
            <w:vAlign w:val="center"/>
          </w:tcPr>
          <w:p w14:paraId="50352E19">
            <w:pPr>
              <w:pStyle w:val="26"/>
              <w:bidi w:val="0"/>
              <w:rPr>
                <w:rFonts w:hint="default"/>
                <w:lang w:val="en-US" w:eastAsia="zh-CN"/>
              </w:rPr>
            </w:pPr>
            <w:r>
              <w:rPr>
                <w:rFonts w:hint="eastAsia"/>
                <w:lang w:val="en-US" w:eastAsia="zh-CN"/>
              </w:rPr>
              <w:t>0.48</w:t>
            </w:r>
          </w:p>
        </w:tc>
        <w:tc>
          <w:tcPr>
            <w:tcW w:w="662" w:type="dxa"/>
            <w:vAlign w:val="center"/>
          </w:tcPr>
          <w:p w14:paraId="7120DFE0">
            <w:pPr>
              <w:pStyle w:val="26"/>
              <w:bidi w:val="0"/>
              <w:rPr>
                <w:rFonts w:hint="default"/>
                <w:lang w:val="en-US" w:eastAsia="zh-CN"/>
              </w:rPr>
            </w:pPr>
            <w:r>
              <w:rPr>
                <w:rFonts w:hint="eastAsia"/>
                <w:lang w:val="en-US" w:eastAsia="zh-CN"/>
              </w:rPr>
              <w:t>0.08</w:t>
            </w:r>
          </w:p>
        </w:tc>
        <w:tc>
          <w:tcPr>
            <w:tcW w:w="444" w:type="dxa"/>
            <w:vAlign w:val="center"/>
          </w:tcPr>
          <w:p w14:paraId="0A1C5F2D">
            <w:pPr>
              <w:pStyle w:val="26"/>
              <w:bidi w:val="0"/>
              <w:rPr>
                <w:rFonts w:hint="default"/>
                <w:lang w:val="en-US" w:eastAsia="zh-CN"/>
              </w:rPr>
            </w:pPr>
            <w:r>
              <w:rPr>
                <w:rFonts w:hint="eastAsia"/>
                <w:lang w:val="en-US" w:eastAsia="zh-CN"/>
              </w:rPr>
              <w:t>7</w:t>
            </w:r>
          </w:p>
        </w:tc>
        <w:tc>
          <w:tcPr>
            <w:tcW w:w="598" w:type="dxa"/>
            <w:vAlign w:val="center"/>
          </w:tcPr>
          <w:p w14:paraId="7BA89726">
            <w:pPr>
              <w:pStyle w:val="26"/>
              <w:bidi w:val="0"/>
              <w:rPr>
                <w:rFonts w:hint="default"/>
                <w:lang w:val="en-US" w:eastAsia="zh-CN"/>
              </w:rPr>
            </w:pPr>
            <w:r>
              <w:rPr>
                <w:rFonts w:hint="eastAsia"/>
                <w:lang w:val="en-US" w:eastAsia="zh-CN"/>
              </w:rPr>
              <w:t>ND</w:t>
            </w:r>
          </w:p>
        </w:tc>
        <w:tc>
          <w:tcPr>
            <w:tcW w:w="694" w:type="dxa"/>
            <w:vAlign w:val="center"/>
          </w:tcPr>
          <w:p w14:paraId="59D4CAB3">
            <w:pPr>
              <w:pStyle w:val="26"/>
              <w:bidi w:val="0"/>
              <w:rPr>
                <w:rFonts w:hint="default"/>
                <w:lang w:val="en-US" w:eastAsia="zh-CN"/>
              </w:rPr>
            </w:pPr>
            <w:r>
              <w:rPr>
                <w:rFonts w:hint="eastAsia"/>
                <w:lang w:val="en-US" w:eastAsia="zh-CN"/>
              </w:rPr>
              <w:t>5.8</w:t>
            </w:r>
          </w:p>
        </w:tc>
        <w:tc>
          <w:tcPr>
            <w:tcW w:w="1521" w:type="dxa"/>
            <w:vAlign w:val="center"/>
          </w:tcPr>
          <w:p w14:paraId="5471A693">
            <w:pPr>
              <w:pStyle w:val="26"/>
              <w:bidi w:val="0"/>
              <w:rPr>
                <w:rFonts w:hint="default"/>
                <w:lang w:val="en-US" w:eastAsia="zh-CN"/>
              </w:rPr>
            </w:pPr>
            <w:r>
              <w:rPr>
                <w:rFonts w:hint="eastAsia"/>
                <w:lang w:val="en-US" w:eastAsia="zh-CN"/>
              </w:rPr>
              <w:t>3.2</w:t>
            </w:r>
          </w:p>
        </w:tc>
      </w:tr>
      <w:tr w14:paraId="77DD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47" w:type="dxa"/>
            <w:vMerge w:val="continue"/>
            <w:vAlign w:val="center"/>
          </w:tcPr>
          <w:p w14:paraId="4B55DBD4">
            <w:pPr>
              <w:pStyle w:val="26"/>
              <w:bidi w:val="0"/>
              <w:rPr>
                <w:rFonts w:hint="default"/>
                <w:lang w:val="en-US" w:eastAsia="zh-CN"/>
              </w:rPr>
            </w:pPr>
          </w:p>
        </w:tc>
        <w:tc>
          <w:tcPr>
            <w:tcW w:w="1009" w:type="dxa"/>
            <w:vMerge w:val="continue"/>
            <w:vAlign w:val="center"/>
          </w:tcPr>
          <w:p w14:paraId="7CE1B243">
            <w:pPr>
              <w:pStyle w:val="26"/>
              <w:bidi w:val="0"/>
              <w:rPr>
                <w:rFonts w:hint="default"/>
                <w:lang w:val="en-US" w:eastAsia="zh-CN"/>
              </w:rPr>
            </w:pPr>
          </w:p>
        </w:tc>
        <w:tc>
          <w:tcPr>
            <w:tcW w:w="596" w:type="dxa"/>
            <w:vAlign w:val="center"/>
          </w:tcPr>
          <w:p w14:paraId="7527AD45">
            <w:pPr>
              <w:pStyle w:val="26"/>
              <w:bidi w:val="0"/>
              <w:rPr>
                <w:rFonts w:hint="default"/>
                <w:lang w:val="en-US" w:eastAsia="zh-CN"/>
              </w:rPr>
            </w:pPr>
            <w:r>
              <w:rPr>
                <w:rFonts w:hint="eastAsia"/>
                <w:lang w:val="en-US" w:eastAsia="zh-CN"/>
              </w:rPr>
              <w:t>7.4</w:t>
            </w:r>
          </w:p>
        </w:tc>
        <w:tc>
          <w:tcPr>
            <w:tcW w:w="614" w:type="dxa"/>
            <w:vAlign w:val="center"/>
          </w:tcPr>
          <w:p w14:paraId="25FE3100">
            <w:pPr>
              <w:pStyle w:val="26"/>
              <w:bidi w:val="0"/>
              <w:rPr>
                <w:rFonts w:hint="default"/>
                <w:lang w:val="en-US" w:eastAsia="zh-CN"/>
              </w:rPr>
            </w:pPr>
            <w:r>
              <w:rPr>
                <w:rFonts w:hint="eastAsia"/>
                <w:lang w:val="en-US" w:eastAsia="zh-CN"/>
              </w:rPr>
              <w:t>21.4</w:t>
            </w:r>
          </w:p>
        </w:tc>
        <w:tc>
          <w:tcPr>
            <w:tcW w:w="549" w:type="dxa"/>
            <w:vAlign w:val="center"/>
          </w:tcPr>
          <w:p w14:paraId="407C33BB">
            <w:pPr>
              <w:pStyle w:val="26"/>
              <w:bidi w:val="0"/>
              <w:rPr>
                <w:rFonts w:hint="default"/>
                <w:lang w:val="en-US" w:eastAsia="zh-CN"/>
              </w:rPr>
            </w:pPr>
            <w:r>
              <w:rPr>
                <w:rFonts w:hint="eastAsia"/>
                <w:lang w:val="en-US" w:eastAsia="zh-CN"/>
              </w:rPr>
              <w:t>7.5</w:t>
            </w:r>
          </w:p>
        </w:tc>
        <w:tc>
          <w:tcPr>
            <w:tcW w:w="485" w:type="dxa"/>
            <w:vAlign w:val="center"/>
          </w:tcPr>
          <w:p w14:paraId="218425A7">
            <w:pPr>
              <w:pStyle w:val="26"/>
              <w:bidi w:val="0"/>
              <w:rPr>
                <w:rFonts w:hint="default"/>
                <w:lang w:val="en-US" w:eastAsia="zh-CN"/>
              </w:rPr>
            </w:pPr>
            <w:r>
              <w:rPr>
                <w:rFonts w:hint="eastAsia"/>
                <w:lang w:val="en-US" w:eastAsia="zh-CN"/>
              </w:rPr>
              <w:t>12</w:t>
            </w:r>
          </w:p>
        </w:tc>
        <w:tc>
          <w:tcPr>
            <w:tcW w:w="659" w:type="dxa"/>
            <w:vAlign w:val="center"/>
          </w:tcPr>
          <w:p w14:paraId="7D1E4612">
            <w:pPr>
              <w:pStyle w:val="26"/>
              <w:bidi w:val="0"/>
              <w:rPr>
                <w:rFonts w:hint="default"/>
                <w:lang w:val="en-US" w:eastAsia="zh-CN"/>
              </w:rPr>
            </w:pPr>
            <w:r>
              <w:rPr>
                <w:rFonts w:hint="eastAsia"/>
                <w:lang w:val="en-US" w:eastAsia="zh-CN"/>
              </w:rPr>
              <w:t>0.46</w:t>
            </w:r>
          </w:p>
        </w:tc>
        <w:tc>
          <w:tcPr>
            <w:tcW w:w="662" w:type="dxa"/>
            <w:vAlign w:val="center"/>
          </w:tcPr>
          <w:p w14:paraId="4DFC153A">
            <w:pPr>
              <w:pStyle w:val="26"/>
              <w:bidi w:val="0"/>
              <w:rPr>
                <w:rFonts w:hint="default"/>
                <w:lang w:val="en-US" w:eastAsia="zh-CN"/>
              </w:rPr>
            </w:pPr>
            <w:r>
              <w:rPr>
                <w:rFonts w:hint="eastAsia"/>
                <w:lang w:val="en-US" w:eastAsia="zh-CN"/>
              </w:rPr>
              <w:t>0.06</w:t>
            </w:r>
          </w:p>
        </w:tc>
        <w:tc>
          <w:tcPr>
            <w:tcW w:w="444" w:type="dxa"/>
            <w:vAlign w:val="center"/>
          </w:tcPr>
          <w:p w14:paraId="12D0F759">
            <w:pPr>
              <w:pStyle w:val="26"/>
              <w:bidi w:val="0"/>
              <w:rPr>
                <w:rFonts w:hint="default"/>
                <w:lang w:val="en-US" w:eastAsia="zh-CN"/>
              </w:rPr>
            </w:pPr>
            <w:r>
              <w:rPr>
                <w:rFonts w:hint="eastAsia"/>
                <w:lang w:val="en-US" w:eastAsia="zh-CN"/>
              </w:rPr>
              <w:t>9</w:t>
            </w:r>
          </w:p>
        </w:tc>
        <w:tc>
          <w:tcPr>
            <w:tcW w:w="598" w:type="dxa"/>
            <w:vAlign w:val="center"/>
          </w:tcPr>
          <w:p w14:paraId="76CF9F57">
            <w:pPr>
              <w:pStyle w:val="26"/>
              <w:bidi w:val="0"/>
              <w:rPr>
                <w:rFonts w:hint="default"/>
                <w:lang w:val="en-US" w:eastAsia="zh-CN"/>
              </w:rPr>
            </w:pPr>
            <w:r>
              <w:rPr>
                <w:rFonts w:hint="eastAsia"/>
                <w:lang w:val="en-US" w:eastAsia="zh-CN"/>
              </w:rPr>
              <w:t>ND</w:t>
            </w:r>
          </w:p>
        </w:tc>
        <w:tc>
          <w:tcPr>
            <w:tcW w:w="694" w:type="dxa"/>
            <w:vAlign w:val="center"/>
          </w:tcPr>
          <w:p w14:paraId="5E87D656">
            <w:pPr>
              <w:pStyle w:val="26"/>
              <w:bidi w:val="0"/>
              <w:rPr>
                <w:rFonts w:hint="default"/>
                <w:lang w:val="en-US" w:eastAsia="zh-CN"/>
              </w:rPr>
            </w:pPr>
            <w:r>
              <w:rPr>
                <w:rFonts w:hint="eastAsia"/>
                <w:lang w:val="en-US" w:eastAsia="zh-CN"/>
              </w:rPr>
              <w:t>5.3</w:t>
            </w:r>
          </w:p>
        </w:tc>
        <w:tc>
          <w:tcPr>
            <w:tcW w:w="1521" w:type="dxa"/>
            <w:vAlign w:val="center"/>
          </w:tcPr>
          <w:p w14:paraId="6B0A44D3">
            <w:pPr>
              <w:pStyle w:val="26"/>
              <w:bidi w:val="0"/>
              <w:rPr>
                <w:rFonts w:hint="default"/>
                <w:lang w:val="en-US" w:eastAsia="zh-CN"/>
              </w:rPr>
            </w:pPr>
            <w:r>
              <w:rPr>
                <w:rFonts w:hint="eastAsia"/>
                <w:lang w:val="en-US" w:eastAsia="zh-CN"/>
              </w:rPr>
              <w:t>3.5</w:t>
            </w:r>
          </w:p>
        </w:tc>
      </w:tr>
      <w:tr w14:paraId="5688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42525CA8">
            <w:pPr>
              <w:pStyle w:val="26"/>
              <w:bidi w:val="0"/>
              <w:rPr>
                <w:rFonts w:hint="default"/>
                <w:lang w:val="en-US" w:eastAsia="zh-CN"/>
              </w:rPr>
            </w:pPr>
            <w:r>
              <w:rPr>
                <w:rFonts w:hint="eastAsia"/>
                <w:lang w:val="en-US" w:eastAsia="zh-CN"/>
              </w:rPr>
              <w:t>W3</w:t>
            </w:r>
          </w:p>
        </w:tc>
        <w:tc>
          <w:tcPr>
            <w:tcW w:w="1009" w:type="dxa"/>
            <w:vMerge w:val="restart"/>
            <w:vAlign w:val="center"/>
          </w:tcPr>
          <w:p w14:paraId="10944609">
            <w:pPr>
              <w:pStyle w:val="26"/>
              <w:bidi w:val="0"/>
              <w:rPr>
                <w:rFonts w:hint="default"/>
                <w:lang w:val="en-US" w:eastAsia="zh-CN"/>
              </w:rPr>
            </w:pPr>
            <w:r>
              <w:rPr>
                <w:rFonts w:hint="eastAsia"/>
                <w:lang w:val="en-US" w:eastAsia="zh-CN"/>
              </w:rPr>
              <w:t>2026.04.06</w:t>
            </w:r>
          </w:p>
        </w:tc>
        <w:tc>
          <w:tcPr>
            <w:tcW w:w="596" w:type="dxa"/>
            <w:vAlign w:val="center"/>
          </w:tcPr>
          <w:p w14:paraId="7C6EB37C">
            <w:pPr>
              <w:pStyle w:val="26"/>
              <w:bidi w:val="0"/>
              <w:rPr>
                <w:rFonts w:hint="default"/>
                <w:lang w:val="en-US" w:eastAsia="zh-CN"/>
              </w:rPr>
            </w:pPr>
            <w:r>
              <w:rPr>
                <w:rFonts w:hint="eastAsia"/>
                <w:lang w:val="en-US" w:eastAsia="zh-CN"/>
              </w:rPr>
              <w:t>7.3</w:t>
            </w:r>
          </w:p>
        </w:tc>
        <w:tc>
          <w:tcPr>
            <w:tcW w:w="614" w:type="dxa"/>
            <w:vAlign w:val="center"/>
          </w:tcPr>
          <w:p w14:paraId="528A1E21">
            <w:pPr>
              <w:pStyle w:val="26"/>
              <w:bidi w:val="0"/>
              <w:rPr>
                <w:rFonts w:hint="default"/>
                <w:lang w:val="en-US" w:eastAsia="zh-CN"/>
              </w:rPr>
            </w:pPr>
            <w:r>
              <w:rPr>
                <w:rFonts w:hint="eastAsia"/>
                <w:lang w:val="en-US" w:eastAsia="zh-CN"/>
              </w:rPr>
              <w:t>19.4</w:t>
            </w:r>
          </w:p>
        </w:tc>
        <w:tc>
          <w:tcPr>
            <w:tcW w:w="549" w:type="dxa"/>
            <w:vAlign w:val="center"/>
          </w:tcPr>
          <w:p w14:paraId="07FC889D">
            <w:pPr>
              <w:pStyle w:val="26"/>
              <w:bidi w:val="0"/>
              <w:rPr>
                <w:rFonts w:hint="default"/>
                <w:lang w:val="en-US" w:eastAsia="zh-CN"/>
              </w:rPr>
            </w:pPr>
            <w:r>
              <w:rPr>
                <w:rFonts w:hint="eastAsia"/>
                <w:lang w:val="en-US" w:eastAsia="zh-CN"/>
              </w:rPr>
              <w:t>6.9</w:t>
            </w:r>
          </w:p>
        </w:tc>
        <w:tc>
          <w:tcPr>
            <w:tcW w:w="485" w:type="dxa"/>
            <w:vAlign w:val="center"/>
          </w:tcPr>
          <w:p w14:paraId="246AF413">
            <w:pPr>
              <w:pStyle w:val="26"/>
              <w:bidi w:val="0"/>
              <w:rPr>
                <w:rFonts w:hint="default"/>
                <w:lang w:val="en-US" w:eastAsia="zh-CN"/>
              </w:rPr>
            </w:pPr>
            <w:r>
              <w:rPr>
                <w:rFonts w:hint="eastAsia"/>
                <w:lang w:val="en-US" w:eastAsia="zh-CN"/>
              </w:rPr>
              <w:t>11</w:t>
            </w:r>
          </w:p>
        </w:tc>
        <w:tc>
          <w:tcPr>
            <w:tcW w:w="659" w:type="dxa"/>
            <w:vAlign w:val="center"/>
          </w:tcPr>
          <w:p w14:paraId="5CCF29A4">
            <w:pPr>
              <w:pStyle w:val="26"/>
              <w:bidi w:val="0"/>
              <w:rPr>
                <w:rFonts w:hint="default"/>
                <w:lang w:val="en-US" w:eastAsia="zh-CN"/>
              </w:rPr>
            </w:pPr>
            <w:r>
              <w:rPr>
                <w:rFonts w:hint="eastAsia"/>
                <w:lang w:val="en-US" w:eastAsia="zh-CN"/>
              </w:rPr>
              <w:t>0.39</w:t>
            </w:r>
          </w:p>
        </w:tc>
        <w:tc>
          <w:tcPr>
            <w:tcW w:w="662" w:type="dxa"/>
            <w:vAlign w:val="center"/>
          </w:tcPr>
          <w:p w14:paraId="39CD68F3">
            <w:pPr>
              <w:pStyle w:val="26"/>
              <w:bidi w:val="0"/>
              <w:rPr>
                <w:rFonts w:hint="default"/>
                <w:lang w:val="en-US" w:eastAsia="zh-CN"/>
              </w:rPr>
            </w:pPr>
            <w:r>
              <w:rPr>
                <w:rFonts w:hint="eastAsia"/>
                <w:lang w:val="en-US" w:eastAsia="zh-CN"/>
              </w:rPr>
              <w:t>0.07</w:t>
            </w:r>
          </w:p>
        </w:tc>
        <w:tc>
          <w:tcPr>
            <w:tcW w:w="444" w:type="dxa"/>
            <w:vAlign w:val="center"/>
          </w:tcPr>
          <w:p w14:paraId="05365785">
            <w:pPr>
              <w:pStyle w:val="26"/>
              <w:bidi w:val="0"/>
              <w:rPr>
                <w:rFonts w:hint="default"/>
                <w:lang w:val="en-US" w:eastAsia="zh-CN"/>
              </w:rPr>
            </w:pPr>
            <w:r>
              <w:rPr>
                <w:rFonts w:hint="eastAsia"/>
                <w:lang w:val="en-US" w:eastAsia="zh-CN"/>
              </w:rPr>
              <w:t>7</w:t>
            </w:r>
          </w:p>
        </w:tc>
        <w:tc>
          <w:tcPr>
            <w:tcW w:w="598" w:type="dxa"/>
            <w:vAlign w:val="center"/>
          </w:tcPr>
          <w:p w14:paraId="34569093">
            <w:pPr>
              <w:pStyle w:val="26"/>
              <w:bidi w:val="0"/>
              <w:rPr>
                <w:rFonts w:hint="default"/>
                <w:lang w:val="en-US" w:eastAsia="zh-CN"/>
              </w:rPr>
            </w:pPr>
            <w:r>
              <w:rPr>
                <w:rFonts w:hint="eastAsia"/>
                <w:lang w:val="en-US" w:eastAsia="zh-CN"/>
              </w:rPr>
              <w:t>ND</w:t>
            </w:r>
          </w:p>
        </w:tc>
        <w:tc>
          <w:tcPr>
            <w:tcW w:w="694" w:type="dxa"/>
            <w:vAlign w:val="center"/>
          </w:tcPr>
          <w:p w14:paraId="48C07C5E">
            <w:pPr>
              <w:pStyle w:val="26"/>
              <w:bidi w:val="0"/>
              <w:rPr>
                <w:rFonts w:hint="default"/>
                <w:lang w:val="en-US" w:eastAsia="zh-CN"/>
              </w:rPr>
            </w:pPr>
            <w:r>
              <w:rPr>
                <w:rFonts w:hint="eastAsia"/>
                <w:lang w:val="en-US" w:eastAsia="zh-CN"/>
              </w:rPr>
              <w:t>4.8</w:t>
            </w:r>
          </w:p>
        </w:tc>
        <w:tc>
          <w:tcPr>
            <w:tcW w:w="1521" w:type="dxa"/>
            <w:vAlign w:val="center"/>
          </w:tcPr>
          <w:p w14:paraId="2C58DC72">
            <w:pPr>
              <w:pStyle w:val="26"/>
              <w:bidi w:val="0"/>
              <w:rPr>
                <w:rFonts w:hint="default"/>
                <w:lang w:val="en-US" w:eastAsia="zh-CN"/>
              </w:rPr>
            </w:pPr>
            <w:r>
              <w:rPr>
                <w:rFonts w:hint="eastAsia"/>
                <w:lang w:val="en-US" w:eastAsia="zh-CN"/>
              </w:rPr>
              <w:t>2.9</w:t>
            </w:r>
          </w:p>
        </w:tc>
      </w:tr>
      <w:tr w14:paraId="11C1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0F89FA5F">
            <w:pPr>
              <w:pStyle w:val="26"/>
              <w:bidi w:val="0"/>
              <w:rPr>
                <w:rFonts w:hint="eastAsia"/>
                <w:lang w:val="en-US" w:eastAsia="zh-CN"/>
              </w:rPr>
            </w:pPr>
          </w:p>
        </w:tc>
        <w:tc>
          <w:tcPr>
            <w:tcW w:w="1009" w:type="dxa"/>
            <w:vMerge w:val="continue"/>
            <w:vAlign w:val="center"/>
          </w:tcPr>
          <w:p w14:paraId="3CB66BE8">
            <w:pPr>
              <w:pStyle w:val="26"/>
              <w:bidi w:val="0"/>
              <w:rPr>
                <w:rFonts w:hint="default"/>
                <w:lang w:val="en-US" w:eastAsia="zh-CN"/>
              </w:rPr>
            </w:pPr>
          </w:p>
        </w:tc>
        <w:tc>
          <w:tcPr>
            <w:tcW w:w="596" w:type="dxa"/>
            <w:vAlign w:val="center"/>
          </w:tcPr>
          <w:p w14:paraId="1E270747">
            <w:pPr>
              <w:pStyle w:val="26"/>
              <w:bidi w:val="0"/>
              <w:rPr>
                <w:rFonts w:hint="default"/>
                <w:lang w:val="en-US" w:eastAsia="zh-CN"/>
              </w:rPr>
            </w:pPr>
            <w:r>
              <w:rPr>
                <w:rFonts w:hint="eastAsia"/>
                <w:lang w:val="en-US" w:eastAsia="zh-CN"/>
              </w:rPr>
              <w:t>7.4</w:t>
            </w:r>
          </w:p>
        </w:tc>
        <w:tc>
          <w:tcPr>
            <w:tcW w:w="614" w:type="dxa"/>
            <w:vAlign w:val="center"/>
          </w:tcPr>
          <w:p w14:paraId="63496448">
            <w:pPr>
              <w:pStyle w:val="26"/>
              <w:bidi w:val="0"/>
              <w:rPr>
                <w:rFonts w:hint="default"/>
                <w:lang w:val="en-US" w:eastAsia="zh-CN"/>
              </w:rPr>
            </w:pPr>
            <w:r>
              <w:rPr>
                <w:rFonts w:hint="eastAsia"/>
                <w:lang w:val="en-US" w:eastAsia="zh-CN"/>
              </w:rPr>
              <w:t>20.6</w:t>
            </w:r>
          </w:p>
        </w:tc>
        <w:tc>
          <w:tcPr>
            <w:tcW w:w="549" w:type="dxa"/>
            <w:vAlign w:val="center"/>
          </w:tcPr>
          <w:p w14:paraId="6604C776">
            <w:pPr>
              <w:pStyle w:val="26"/>
              <w:bidi w:val="0"/>
              <w:rPr>
                <w:rFonts w:hint="default"/>
                <w:lang w:val="en-US" w:eastAsia="zh-CN"/>
              </w:rPr>
            </w:pPr>
            <w:r>
              <w:rPr>
                <w:rFonts w:hint="eastAsia"/>
                <w:lang w:val="en-US" w:eastAsia="zh-CN"/>
              </w:rPr>
              <w:t>6.8</w:t>
            </w:r>
          </w:p>
        </w:tc>
        <w:tc>
          <w:tcPr>
            <w:tcW w:w="485" w:type="dxa"/>
            <w:vAlign w:val="center"/>
          </w:tcPr>
          <w:p w14:paraId="2F14FC3F">
            <w:pPr>
              <w:pStyle w:val="26"/>
              <w:bidi w:val="0"/>
              <w:rPr>
                <w:rFonts w:hint="default"/>
                <w:lang w:val="en-US" w:eastAsia="zh-CN"/>
              </w:rPr>
            </w:pPr>
            <w:r>
              <w:rPr>
                <w:rFonts w:hint="eastAsia"/>
                <w:lang w:val="en-US" w:eastAsia="zh-CN"/>
              </w:rPr>
              <w:t>8</w:t>
            </w:r>
          </w:p>
        </w:tc>
        <w:tc>
          <w:tcPr>
            <w:tcW w:w="659" w:type="dxa"/>
            <w:vAlign w:val="center"/>
          </w:tcPr>
          <w:p w14:paraId="68714F98">
            <w:pPr>
              <w:pStyle w:val="26"/>
              <w:bidi w:val="0"/>
              <w:rPr>
                <w:rFonts w:hint="default"/>
                <w:lang w:val="en-US" w:eastAsia="zh-CN"/>
              </w:rPr>
            </w:pPr>
            <w:r>
              <w:rPr>
                <w:rFonts w:hint="eastAsia"/>
                <w:lang w:val="en-US" w:eastAsia="zh-CN"/>
              </w:rPr>
              <w:t>0.40</w:t>
            </w:r>
          </w:p>
        </w:tc>
        <w:tc>
          <w:tcPr>
            <w:tcW w:w="662" w:type="dxa"/>
            <w:vAlign w:val="center"/>
          </w:tcPr>
          <w:p w14:paraId="1BFC6B08">
            <w:pPr>
              <w:pStyle w:val="26"/>
              <w:bidi w:val="0"/>
              <w:rPr>
                <w:rFonts w:hint="default"/>
                <w:lang w:val="en-US" w:eastAsia="zh-CN"/>
              </w:rPr>
            </w:pPr>
            <w:r>
              <w:rPr>
                <w:rFonts w:hint="eastAsia"/>
                <w:lang w:val="en-US" w:eastAsia="zh-CN"/>
              </w:rPr>
              <w:t>0.08</w:t>
            </w:r>
          </w:p>
        </w:tc>
        <w:tc>
          <w:tcPr>
            <w:tcW w:w="444" w:type="dxa"/>
            <w:vAlign w:val="center"/>
          </w:tcPr>
          <w:p w14:paraId="14BAAE68">
            <w:pPr>
              <w:pStyle w:val="26"/>
              <w:bidi w:val="0"/>
              <w:rPr>
                <w:rFonts w:hint="default"/>
                <w:lang w:val="en-US" w:eastAsia="zh-CN"/>
              </w:rPr>
            </w:pPr>
            <w:r>
              <w:rPr>
                <w:rFonts w:hint="eastAsia"/>
                <w:lang w:val="en-US" w:eastAsia="zh-CN"/>
              </w:rPr>
              <w:t>8</w:t>
            </w:r>
          </w:p>
        </w:tc>
        <w:tc>
          <w:tcPr>
            <w:tcW w:w="598" w:type="dxa"/>
            <w:vAlign w:val="center"/>
          </w:tcPr>
          <w:p w14:paraId="1D811E9D">
            <w:pPr>
              <w:pStyle w:val="26"/>
              <w:bidi w:val="0"/>
              <w:rPr>
                <w:rFonts w:hint="default"/>
                <w:lang w:val="en-US" w:eastAsia="zh-CN"/>
              </w:rPr>
            </w:pPr>
            <w:r>
              <w:rPr>
                <w:rFonts w:hint="eastAsia"/>
                <w:lang w:val="en-US" w:eastAsia="zh-CN"/>
              </w:rPr>
              <w:t>ND</w:t>
            </w:r>
          </w:p>
        </w:tc>
        <w:tc>
          <w:tcPr>
            <w:tcW w:w="694" w:type="dxa"/>
            <w:vAlign w:val="center"/>
          </w:tcPr>
          <w:p w14:paraId="233018B3">
            <w:pPr>
              <w:pStyle w:val="26"/>
              <w:bidi w:val="0"/>
              <w:rPr>
                <w:rFonts w:hint="default"/>
                <w:lang w:val="en-US" w:eastAsia="zh-CN"/>
              </w:rPr>
            </w:pPr>
            <w:r>
              <w:rPr>
                <w:rFonts w:hint="eastAsia"/>
                <w:lang w:val="en-US" w:eastAsia="zh-CN"/>
              </w:rPr>
              <w:t>5.0</w:t>
            </w:r>
          </w:p>
        </w:tc>
        <w:tc>
          <w:tcPr>
            <w:tcW w:w="1521" w:type="dxa"/>
            <w:vAlign w:val="center"/>
          </w:tcPr>
          <w:p w14:paraId="6CE6D254">
            <w:pPr>
              <w:pStyle w:val="26"/>
              <w:bidi w:val="0"/>
              <w:rPr>
                <w:rFonts w:hint="default"/>
                <w:lang w:val="en-US" w:eastAsia="zh-CN"/>
              </w:rPr>
            </w:pPr>
            <w:r>
              <w:rPr>
                <w:rFonts w:hint="eastAsia"/>
                <w:lang w:val="en-US" w:eastAsia="zh-CN"/>
              </w:rPr>
              <w:t>2.8</w:t>
            </w:r>
          </w:p>
        </w:tc>
      </w:tr>
      <w:tr w14:paraId="22FB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1804D6CB">
            <w:pPr>
              <w:pStyle w:val="26"/>
              <w:bidi w:val="0"/>
              <w:rPr>
                <w:rFonts w:hint="default"/>
                <w:lang w:val="en-US" w:eastAsia="zh-CN"/>
              </w:rPr>
            </w:pPr>
            <w:r>
              <w:rPr>
                <w:rFonts w:hint="eastAsia"/>
                <w:lang w:val="en-US" w:eastAsia="zh-CN"/>
              </w:rPr>
              <w:t>W4</w:t>
            </w:r>
          </w:p>
        </w:tc>
        <w:tc>
          <w:tcPr>
            <w:tcW w:w="1009" w:type="dxa"/>
            <w:vMerge w:val="restart"/>
            <w:vAlign w:val="center"/>
          </w:tcPr>
          <w:p w14:paraId="4A83F51E">
            <w:pPr>
              <w:pStyle w:val="26"/>
              <w:bidi w:val="0"/>
              <w:rPr>
                <w:rFonts w:hint="default"/>
                <w:lang w:val="en-US" w:eastAsia="zh-CN"/>
              </w:rPr>
            </w:pPr>
            <w:r>
              <w:rPr>
                <w:rFonts w:hint="eastAsia"/>
                <w:lang w:val="en-US" w:eastAsia="zh-CN"/>
              </w:rPr>
              <w:t>2026.04.06</w:t>
            </w:r>
          </w:p>
        </w:tc>
        <w:tc>
          <w:tcPr>
            <w:tcW w:w="596" w:type="dxa"/>
            <w:vAlign w:val="center"/>
          </w:tcPr>
          <w:p w14:paraId="59DDA251">
            <w:pPr>
              <w:pStyle w:val="26"/>
              <w:bidi w:val="0"/>
              <w:rPr>
                <w:rFonts w:hint="default"/>
                <w:lang w:val="en-US" w:eastAsia="zh-CN"/>
              </w:rPr>
            </w:pPr>
            <w:r>
              <w:rPr>
                <w:rFonts w:hint="eastAsia"/>
                <w:lang w:val="en-US" w:eastAsia="zh-CN"/>
              </w:rPr>
              <w:t>7.5</w:t>
            </w:r>
          </w:p>
        </w:tc>
        <w:tc>
          <w:tcPr>
            <w:tcW w:w="614" w:type="dxa"/>
            <w:vAlign w:val="center"/>
          </w:tcPr>
          <w:p w14:paraId="29C38F57">
            <w:pPr>
              <w:pStyle w:val="26"/>
              <w:bidi w:val="0"/>
              <w:rPr>
                <w:rFonts w:hint="default"/>
                <w:lang w:val="en-US" w:eastAsia="zh-CN"/>
              </w:rPr>
            </w:pPr>
            <w:r>
              <w:rPr>
                <w:rFonts w:hint="eastAsia"/>
                <w:lang w:val="en-US" w:eastAsia="zh-CN"/>
              </w:rPr>
              <w:t>19.6</w:t>
            </w:r>
          </w:p>
        </w:tc>
        <w:tc>
          <w:tcPr>
            <w:tcW w:w="549" w:type="dxa"/>
            <w:vAlign w:val="center"/>
          </w:tcPr>
          <w:p w14:paraId="3D22BB4C">
            <w:pPr>
              <w:pStyle w:val="26"/>
              <w:bidi w:val="0"/>
              <w:rPr>
                <w:rFonts w:hint="default"/>
                <w:lang w:val="en-US" w:eastAsia="zh-CN"/>
              </w:rPr>
            </w:pPr>
            <w:r>
              <w:rPr>
                <w:rFonts w:hint="eastAsia"/>
                <w:lang w:val="en-US" w:eastAsia="zh-CN"/>
              </w:rPr>
              <w:t>7.8</w:t>
            </w:r>
          </w:p>
        </w:tc>
        <w:tc>
          <w:tcPr>
            <w:tcW w:w="485" w:type="dxa"/>
            <w:vAlign w:val="center"/>
          </w:tcPr>
          <w:p w14:paraId="33063AA4">
            <w:pPr>
              <w:pStyle w:val="26"/>
              <w:bidi w:val="0"/>
              <w:rPr>
                <w:rFonts w:hint="default"/>
                <w:lang w:val="en-US" w:eastAsia="zh-CN"/>
              </w:rPr>
            </w:pPr>
            <w:r>
              <w:rPr>
                <w:rFonts w:hint="eastAsia"/>
                <w:lang w:val="en-US" w:eastAsia="zh-CN"/>
              </w:rPr>
              <w:t>13</w:t>
            </w:r>
          </w:p>
        </w:tc>
        <w:tc>
          <w:tcPr>
            <w:tcW w:w="659" w:type="dxa"/>
            <w:vAlign w:val="center"/>
          </w:tcPr>
          <w:p w14:paraId="03C27155">
            <w:pPr>
              <w:pStyle w:val="26"/>
              <w:bidi w:val="0"/>
              <w:rPr>
                <w:rFonts w:hint="default"/>
                <w:lang w:val="en-US" w:eastAsia="zh-CN"/>
              </w:rPr>
            </w:pPr>
            <w:r>
              <w:rPr>
                <w:rFonts w:hint="eastAsia"/>
                <w:lang w:val="en-US" w:eastAsia="zh-CN"/>
              </w:rPr>
              <w:t>0.44</w:t>
            </w:r>
          </w:p>
        </w:tc>
        <w:tc>
          <w:tcPr>
            <w:tcW w:w="662" w:type="dxa"/>
            <w:vAlign w:val="center"/>
          </w:tcPr>
          <w:p w14:paraId="326B35A1">
            <w:pPr>
              <w:pStyle w:val="26"/>
              <w:bidi w:val="0"/>
              <w:rPr>
                <w:rFonts w:hint="default"/>
                <w:lang w:val="en-US" w:eastAsia="zh-CN"/>
              </w:rPr>
            </w:pPr>
            <w:r>
              <w:rPr>
                <w:rFonts w:hint="eastAsia"/>
                <w:lang w:val="en-US" w:eastAsia="zh-CN"/>
              </w:rPr>
              <w:t>0.08</w:t>
            </w:r>
          </w:p>
        </w:tc>
        <w:tc>
          <w:tcPr>
            <w:tcW w:w="444" w:type="dxa"/>
            <w:vAlign w:val="center"/>
          </w:tcPr>
          <w:p w14:paraId="4C2EC274">
            <w:pPr>
              <w:pStyle w:val="26"/>
              <w:bidi w:val="0"/>
              <w:rPr>
                <w:rFonts w:hint="default"/>
                <w:lang w:val="en-US" w:eastAsia="zh-CN"/>
              </w:rPr>
            </w:pPr>
            <w:r>
              <w:rPr>
                <w:rFonts w:hint="eastAsia"/>
                <w:lang w:val="en-US" w:eastAsia="zh-CN"/>
              </w:rPr>
              <w:t>17</w:t>
            </w:r>
          </w:p>
        </w:tc>
        <w:tc>
          <w:tcPr>
            <w:tcW w:w="598" w:type="dxa"/>
            <w:vAlign w:val="center"/>
          </w:tcPr>
          <w:p w14:paraId="5BA9B4DB">
            <w:pPr>
              <w:pStyle w:val="26"/>
              <w:bidi w:val="0"/>
              <w:rPr>
                <w:rFonts w:hint="default"/>
                <w:lang w:val="en-US" w:eastAsia="zh-CN"/>
              </w:rPr>
            </w:pPr>
            <w:r>
              <w:rPr>
                <w:rFonts w:hint="eastAsia"/>
                <w:lang w:val="en-US" w:eastAsia="zh-CN"/>
              </w:rPr>
              <w:t>ND</w:t>
            </w:r>
          </w:p>
        </w:tc>
        <w:tc>
          <w:tcPr>
            <w:tcW w:w="694" w:type="dxa"/>
            <w:vAlign w:val="center"/>
          </w:tcPr>
          <w:p w14:paraId="108F7278">
            <w:pPr>
              <w:pStyle w:val="26"/>
              <w:bidi w:val="0"/>
              <w:rPr>
                <w:rFonts w:hint="default"/>
                <w:lang w:val="en-US" w:eastAsia="zh-CN"/>
              </w:rPr>
            </w:pPr>
            <w:r>
              <w:rPr>
                <w:rFonts w:hint="eastAsia"/>
                <w:lang w:val="en-US" w:eastAsia="zh-CN"/>
              </w:rPr>
              <w:t>5.3</w:t>
            </w:r>
          </w:p>
        </w:tc>
        <w:tc>
          <w:tcPr>
            <w:tcW w:w="1521" w:type="dxa"/>
            <w:vAlign w:val="center"/>
          </w:tcPr>
          <w:p w14:paraId="2F68A2DD">
            <w:pPr>
              <w:pStyle w:val="26"/>
              <w:bidi w:val="0"/>
              <w:rPr>
                <w:rFonts w:hint="default"/>
                <w:lang w:val="en-US" w:eastAsia="zh-CN"/>
              </w:rPr>
            </w:pPr>
            <w:r>
              <w:rPr>
                <w:rFonts w:hint="eastAsia"/>
                <w:lang w:val="en-US" w:eastAsia="zh-CN"/>
              </w:rPr>
              <w:t>3.3</w:t>
            </w:r>
          </w:p>
        </w:tc>
      </w:tr>
      <w:tr w14:paraId="26E0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7DC269A8">
            <w:pPr>
              <w:pStyle w:val="26"/>
              <w:bidi w:val="0"/>
              <w:rPr>
                <w:rFonts w:hint="eastAsia"/>
                <w:lang w:val="en-US" w:eastAsia="zh-CN"/>
              </w:rPr>
            </w:pPr>
          </w:p>
        </w:tc>
        <w:tc>
          <w:tcPr>
            <w:tcW w:w="1009" w:type="dxa"/>
            <w:vMerge w:val="continue"/>
            <w:vAlign w:val="center"/>
          </w:tcPr>
          <w:p w14:paraId="35EEEC33">
            <w:pPr>
              <w:pStyle w:val="26"/>
              <w:bidi w:val="0"/>
              <w:rPr>
                <w:rFonts w:hint="default"/>
                <w:lang w:val="en-US" w:eastAsia="zh-CN"/>
              </w:rPr>
            </w:pPr>
          </w:p>
        </w:tc>
        <w:tc>
          <w:tcPr>
            <w:tcW w:w="596" w:type="dxa"/>
            <w:vAlign w:val="center"/>
          </w:tcPr>
          <w:p w14:paraId="1D9A055F">
            <w:pPr>
              <w:pStyle w:val="26"/>
              <w:bidi w:val="0"/>
              <w:rPr>
                <w:rFonts w:hint="default"/>
                <w:lang w:val="en-US" w:eastAsia="zh-CN"/>
              </w:rPr>
            </w:pPr>
            <w:r>
              <w:rPr>
                <w:rFonts w:hint="eastAsia"/>
                <w:lang w:val="en-US" w:eastAsia="zh-CN"/>
              </w:rPr>
              <w:t>7.5</w:t>
            </w:r>
          </w:p>
        </w:tc>
        <w:tc>
          <w:tcPr>
            <w:tcW w:w="614" w:type="dxa"/>
            <w:vAlign w:val="center"/>
          </w:tcPr>
          <w:p w14:paraId="64DA1B5B">
            <w:pPr>
              <w:pStyle w:val="26"/>
              <w:bidi w:val="0"/>
              <w:rPr>
                <w:rFonts w:hint="default"/>
                <w:lang w:val="en-US" w:eastAsia="zh-CN"/>
              </w:rPr>
            </w:pPr>
            <w:r>
              <w:rPr>
                <w:rFonts w:hint="eastAsia"/>
                <w:lang w:val="en-US" w:eastAsia="zh-CN"/>
              </w:rPr>
              <w:t>19.6</w:t>
            </w:r>
          </w:p>
        </w:tc>
        <w:tc>
          <w:tcPr>
            <w:tcW w:w="549" w:type="dxa"/>
            <w:vAlign w:val="center"/>
          </w:tcPr>
          <w:p w14:paraId="6BDCBCD4">
            <w:pPr>
              <w:pStyle w:val="26"/>
              <w:bidi w:val="0"/>
              <w:rPr>
                <w:rFonts w:hint="default"/>
                <w:lang w:val="en-US" w:eastAsia="zh-CN"/>
              </w:rPr>
            </w:pPr>
            <w:r>
              <w:rPr>
                <w:rFonts w:hint="eastAsia"/>
                <w:lang w:val="en-US" w:eastAsia="zh-CN"/>
              </w:rPr>
              <w:t>7.6</w:t>
            </w:r>
          </w:p>
        </w:tc>
        <w:tc>
          <w:tcPr>
            <w:tcW w:w="485" w:type="dxa"/>
            <w:vAlign w:val="center"/>
          </w:tcPr>
          <w:p w14:paraId="55EE164E">
            <w:pPr>
              <w:pStyle w:val="26"/>
              <w:bidi w:val="0"/>
              <w:rPr>
                <w:rFonts w:hint="default"/>
                <w:lang w:val="en-US" w:eastAsia="zh-CN"/>
              </w:rPr>
            </w:pPr>
            <w:r>
              <w:rPr>
                <w:rFonts w:hint="eastAsia"/>
                <w:lang w:val="en-US" w:eastAsia="zh-CN"/>
              </w:rPr>
              <w:t>7</w:t>
            </w:r>
          </w:p>
        </w:tc>
        <w:tc>
          <w:tcPr>
            <w:tcW w:w="659" w:type="dxa"/>
            <w:vAlign w:val="center"/>
          </w:tcPr>
          <w:p w14:paraId="239D276F">
            <w:pPr>
              <w:pStyle w:val="26"/>
              <w:bidi w:val="0"/>
              <w:rPr>
                <w:rFonts w:hint="default"/>
                <w:lang w:val="en-US" w:eastAsia="zh-CN"/>
              </w:rPr>
            </w:pPr>
            <w:r>
              <w:rPr>
                <w:rFonts w:hint="eastAsia"/>
                <w:lang w:val="en-US" w:eastAsia="zh-CN"/>
              </w:rPr>
              <w:t>0.43</w:t>
            </w:r>
          </w:p>
        </w:tc>
        <w:tc>
          <w:tcPr>
            <w:tcW w:w="662" w:type="dxa"/>
            <w:vAlign w:val="center"/>
          </w:tcPr>
          <w:p w14:paraId="42E9A7D1">
            <w:pPr>
              <w:pStyle w:val="26"/>
              <w:bidi w:val="0"/>
              <w:rPr>
                <w:rFonts w:hint="default"/>
                <w:lang w:val="en-US" w:eastAsia="zh-CN"/>
              </w:rPr>
            </w:pPr>
            <w:r>
              <w:rPr>
                <w:rFonts w:hint="eastAsia"/>
                <w:lang w:val="en-US" w:eastAsia="zh-CN"/>
              </w:rPr>
              <w:t>0.07</w:t>
            </w:r>
          </w:p>
        </w:tc>
        <w:tc>
          <w:tcPr>
            <w:tcW w:w="444" w:type="dxa"/>
            <w:vAlign w:val="center"/>
          </w:tcPr>
          <w:p w14:paraId="58B332E7">
            <w:pPr>
              <w:pStyle w:val="26"/>
              <w:bidi w:val="0"/>
              <w:rPr>
                <w:rFonts w:hint="default"/>
                <w:lang w:val="en-US" w:eastAsia="zh-CN"/>
              </w:rPr>
            </w:pPr>
            <w:r>
              <w:rPr>
                <w:rFonts w:hint="eastAsia"/>
                <w:lang w:val="en-US" w:eastAsia="zh-CN"/>
              </w:rPr>
              <w:t>13</w:t>
            </w:r>
          </w:p>
        </w:tc>
        <w:tc>
          <w:tcPr>
            <w:tcW w:w="598" w:type="dxa"/>
            <w:vAlign w:val="center"/>
          </w:tcPr>
          <w:p w14:paraId="3E8D3C7E">
            <w:pPr>
              <w:pStyle w:val="26"/>
              <w:bidi w:val="0"/>
              <w:rPr>
                <w:rFonts w:hint="default"/>
                <w:lang w:val="en-US" w:eastAsia="zh-CN"/>
              </w:rPr>
            </w:pPr>
            <w:r>
              <w:rPr>
                <w:rFonts w:hint="eastAsia"/>
                <w:lang w:val="en-US" w:eastAsia="zh-CN"/>
              </w:rPr>
              <w:t>ND</w:t>
            </w:r>
          </w:p>
        </w:tc>
        <w:tc>
          <w:tcPr>
            <w:tcW w:w="694" w:type="dxa"/>
            <w:vAlign w:val="center"/>
          </w:tcPr>
          <w:p w14:paraId="5CEC2423">
            <w:pPr>
              <w:pStyle w:val="26"/>
              <w:bidi w:val="0"/>
              <w:rPr>
                <w:rFonts w:hint="default"/>
                <w:lang w:val="en-US" w:eastAsia="zh-CN"/>
              </w:rPr>
            </w:pPr>
            <w:r>
              <w:rPr>
                <w:rFonts w:hint="eastAsia"/>
                <w:lang w:val="en-US" w:eastAsia="zh-CN"/>
              </w:rPr>
              <w:t>4.8</w:t>
            </w:r>
          </w:p>
        </w:tc>
        <w:tc>
          <w:tcPr>
            <w:tcW w:w="1521" w:type="dxa"/>
            <w:vAlign w:val="center"/>
          </w:tcPr>
          <w:p w14:paraId="4AE655B9">
            <w:pPr>
              <w:pStyle w:val="26"/>
              <w:bidi w:val="0"/>
              <w:rPr>
                <w:rFonts w:hint="eastAsia"/>
                <w:lang w:val="en-US" w:eastAsia="zh-CN"/>
              </w:rPr>
            </w:pPr>
          </w:p>
        </w:tc>
      </w:tr>
      <w:tr w14:paraId="643C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736DAEBB">
            <w:pPr>
              <w:pStyle w:val="26"/>
              <w:bidi w:val="0"/>
              <w:rPr>
                <w:rFonts w:hint="default"/>
                <w:lang w:val="en-US" w:eastAsia="zh-CN"/>
              </w:rPr>
            </w:pPr>
            <w:r>
              <w:rPr>
                <w:rFonts w:hint="eastAsia"/>
                <w:lang w:val="en-US" w:eastAsia="zh-CN"/>
              </w:rPr>
              <w:t>W5</w:t>
            </w:r>
          </w:p>
        </w:tc>
        <w:tc>
          <w:tcPr>
            <w:tcW w:w="1009" w:type="dxa"/>
            <w:vMerge w:val="restart"/>
            <w:vAlign w:val="center"/>
          </w:tcPr>
          <w:p w14:paraId="07AF7941">
            <w:pPr>
              <w:pStyle w:val="26"/>
              <w:bidi w:val="0"/>
              <w:rPr>
                <w:rFonts w:hint="default"/>
                <w:lang w:val="en-US" w:eastAsia="zh-CN"/>
              </w:rPr>
            </w:pPr>
            <w:r>
              <w:rPr>
                <w:rFonts w:hint="eastAsia"/>
                <w:lang w:val="en-US" w:eastAsia="zh-CN"/>
              </w:rPr>
              <w:t>2026.04.06</w:t>
            </w:r>
          </w:p>
        </w:tc>
        <w:tc>
          <w:tcPr>
            <w:tcW w:w="596" w:type="dxa"/>
            <w:vAlign w:val="center"/>
          </w:tcPr>
          <w:p w14:paraId="11E3CA8E">
            <w:pPr>
              <w:pStyle w:val="26"/>
              <w:bidi w:val="0"/>
              <w:rPr>
                <w:rFonts w:hint="default"/>
                <w:lang w:val="en-US" w:eastAsia="zh-CN"/>
              </w:rPr>
            </w:pPr>
            <w:r>
              <w:rPr>
                <w:rFonts w:hint="eastAsia"/>
                <w:lang w:val="en-US" w:eastAsia="zh-CN"/>
              </w:rPr>
              <w:t>7.9</w:t>
            </w:r>
          </w:p>
        </w:tc>
        <w:tc>
          <w:tcPr>
            <w:tcW w:w="614" w:type="dxa"/>
            <w:vAlign w:val="center"/>
          </w:tcPr>
          <w:p w14:paraId="655603F1">
            <w:pPr>
              <w:pStyle w:val="26"/>
              <w:bidi w:val="0"/>
              <w:rPr>
                <w:rFonts w:hint="default"/>
                <w:lang w:val="en-US" w:eastAsia="zh-CN"/>
              </w:rPr>
            </w:pPr>
            <w:r>
              <w:rPr>
                <w:rFonts w:hint="eastAsia"/>
                <w:lang w:val="en-US" w:eastAsia="zh-CN"/>
              </w:rPr>
              <w:t>20.8</w:t>
            </w:r>
          </w:p>
        </w:tc>
        <w:tc>
          <w:tcPr>
            <w:tcW w:w="549" w:type="dxa"/>
            <w:vAlign w:val="center"/>
          </w:tcPr>
          <w:p w14:paraId="6AA749BD">
            <w:pPr>
              <w:pStyle w:val="26"/>
              <w:bidi w:val="0"/>
              <w:rPr>
                <w:rFonts w:hint="default"/>
                <w:lang w:val="en-US" w:eastAsia="zh-CN"/>
              </w:rPr>
            </w:pPr>
            <w:r>
              <w:rPr>
                <w:rFonts w:hint="eastAsia"/>
                <w:lang w:val="en-US" w:eastAsia="zh-CN"/>
              </w:rPr>
              <w:t>8.5</w:t>
            </w:r>
          </w:p>
        </w:tc>
        <w:tc>
          <w:tcPr>
            <w:tcW w:w="485" w:type="dxa"/>
            <w:vAlign w:val="center"/>
          </w:tcPr>
          <w:p w14:paraId="0EB117AE">
            <w:pPr>
              <w:pStyle w:val="26"/>
              <w:bidi w:val="0"/>
              <w:rPr>
                <w:rFonts w:hint="default"/>
                <w:lang w:val="en-US" w:eastAsia="zh-CN"/>
              </w:rPr>
            </w:pPr>
            <w:r>
              <w:rPr>
                <w:rFonts w:hint="eastAsia"/>
                <w:lang w:val="en-US" w:eastAsia="zh-CN"/>
              </w:rPr>
              <w:t>9</w:t>
            </w:r>
          </w:p>
        </w:tc>
        <w:tc>
          <w:tcPr>
            <w:tcW w:w="659" w:type="dxa"/>
            <w:vAlign w:val="center"/>
          </w:tcPr>
          <w:p w14:paraId="6BD9C936">
            <w:pPr>
              <w:pStyle w:val="26"/>
              <w:bidi w:val="0"/>
              <w:rPr>
                <w:rFonts w:hint="default"/>
                <w:lang w:val="en-US" w:eastAsia="zh-CN"/>
              </w:rPr>
            </w:pPr>
            <w:r>
              <w:rPr>
                <w:rFonts w:hint="eastAsia"/>
                <w:lang w:val="en-US" w:eastAsia="zh-CN"/>
              </w:rPr>
              <w:t>0.39</w:t>
            </w:r>
          </w:p>
        </w:tc>
        <w:tc>
          <w:tcPr>
            <w:tcW w:w="662" w:type="dxa"/>
            <w:vAlign w:val="center"/>
          </w:tcPr>
          <w:p w14:paraId="7FC88831">
            <w:pPr>
              <w:pStyle w:val="26"/>
              <w:bidi w:val="0"/>
              <w:rPr>
                <w:rFonts w:hint="default"/>
                <w:lang w:val="en-US" w:eastAsia="zh-CN"/>
              </w:rPr>
            </w:pPr>
            <w:r>
              <w:rPr>
                <w:rFonts w:hint="eastAsia"/>
                <w:lang w:val="en-US" w:eastAsia="zh-CN"/>
              </w:rPr>
              <w:t>0.11</w:t>
            </w:r>
          </w:p>
        </w:tc>
        <w:tc>
          <w:tcPr>
            <w:tcW w:w="444" w:type="dxa"/>
            <w:vAlign w:val="center"/>
          </w:tcPr>
          <w:p w14:paraId="78802993">
            <w:pPr>
              <w:pStyle w:val="26"/>
              <w:bidi w:val="0"/>
              <w:rPr>
                <w:rFonts w:hint="default"/>
                <w:lang w:val="en-US" w:eastAsia="zh-CN"/>
              </w:rPr>
            </w:pPr>
            <w:r>
              <w:rPr>
                <w:rFonts w:hint="eastAsia"/>
                <w:lang w:val="en-US" w:eastAsia="zh-CN"/>
              </w:rPr>
              <w:t>27</w:t>
            </w:r>
          </w:p>
        </w:tc>
        <w:tc>
          <w:tcPr>
            <w:tcW w:w="598" w:type="dxa"/>
            <w:vAlign w:val="center"/>
          </w:tcPr>
          <w:p w14:paraId="2D4DECD8">
            <w:pPr>
              <w:pStyle w:val="26"/>
              <w:bidi w:val="0"/>
              <w:rPr>
                <w:rFonts w:hint="default"/>
                <w:lang w:val="en-US" w:eastAsia="zh-CN"/>
              </w:rPr>
            </w:pPr>
            <w:r>
              <w:rPr>
                <w:rFonts w:hint="eastAsia"/>
                <w:lang w:val="en-US" w:eastAsia="zh-CN"/>
              </w:rPr>
              <w:t>ND</w:t>
            </w:r>
          </w:p>
        </w:tc>
        <w:tc>
          <w:tcPr>
            <w:tcW w:w="694" w:type="dxa"/>
            <w:vAlign w:val="center"/>
          </w:tcPr>
          <w:p w14:paraId="0781E967">
            <w:pPr>
              <w:pStyle w:val="26"/>
              <w:bidi w:val="0"/>
              <w:rPr>
                <w:rFonts w:hint="default"/>
                <w:lang w:val="en-US" w:eastAsia="zh-CN"/>
              </w:rPr>
            </w:pPr>
            <w:r>
              <w:rPr>
                <w:rFonts w:hint="eastAsia"/>
                <w:lang w:val="en-US" w:eastAsia="zh-CN"/>
              </w:rPr>
              <w:t>4.1</w:t>
            </w:r>
          </w:p>
        </w:tc>
        <w:tc>
          <w:tcPr>
            <w:tcW w:w="1521" w:type="dxa"/>
            <w:vAlign w:val="center"/>
          </w:tcPr>
          <w:p w14:paraId="04C8B239">
            <w:pPr>
              <w:pStyle w:val="26"/>
              <w:bidi w:val="0"/>
              <w:rPr>
                <w:rFonts w:hint="default"/>
                <w:lang w:val="en-US" w:eastAsia="zh-CN"/>
              </w:rPr>
            </w:pPr>
            <w:r>
              <w:rPr>
                <w:rFonts w:hint="eastAsia"/>
                <w:lang w:val="en-US" w:eastAsia="zh-CN"/>
              </w:rPr>
              <w:t>2.8</w:t>
            </w:r>
          </w:p>
        </w:tc>
      </w:tr>
      <w:tr w14:paraId="113E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7480F05F">
            <w:pPr>
              <w:pStyle w:val="26"/>
              <w:bidi w:val="0"/>
              <w:rPr>
                <w:rFonts w:hint="eastAsia"/>
                <w:lang w:val="en-US" w:eastAsia="zh-CN"/>
              </w:rPr>
            </w:pPr>
          </w:p>
        </w:tc>
        <w:tc>
          <w:tcPr>
            <w:tcW w:w="1009" w:type="dxa"/>
            <w:vMerge w:val="continue"/>
            <w:vAlign w:val="center"/>
          </w:tcPr>
          <w:p w14:paraId="37259444">
            <w:pPr>
              <w:pStyle w:val="26"/>
              <w:bidi w:val="0"/>
              <w:rPr>
                <w:rFonts w:hint="default"/>
                <w:lang w:val="en-US" w:eastAsia="zh-CN"/>
              </w:rPr>
            </w:pPr>
          </w:p>
        </w:tc>
        <w:tc>
          <w:tcPr>
            <w:tcW w:w="596" w:type="dxa"/>
            <w:vAlign w:val="center"/>
          </w:tcPr>
          <w:p w14:paraId="59A76E69">
            <w:pPr>
              <w:pStyle w:val="26"/>
              <w:bidi w:val="0"/>
              <w:rPr>
                <w:rFonts w:hint="default"/>
                <w:lang w:val="en-US" w:eastAsia="zh-CN"/>
              </w:rPr>
            </w:pPr>
            <w:r>
              <w:rPr>
                <w:rFonts w:hint="eastAsia"/>
                <w:lang w:val="en-US" w:eastAsia="zh-CN"/>
              </w:rPr>
              <w:t>7.9</w:t>
            </w:r>
          </w:p>
        </w:tc>
        <w:tc>
          <w:tcPr>
            <w:tcW w:w="614" w:type="dxa"/>
            <w:vAlign w:val="center"/>
          </w:tcPr>
          <w:p w14:paraId="781E07A3">
            <w:pPr>
              <w:pStyle w:val="26"/>
              <w:bidi w:val="0"/>
              <w:rPr>
                <w:rFonts w:hint="default"/>
                <w:lang w:val="en-US" w:eastAsia="zh-CN"/>
              </w:rPr>
            </w:pPr>
            <w:r>
              <w:rPr>
                <w:rFonts w:hint="eastAsia"/>
                <w:lang w:val="en-US" w:eastAsia="zh-CN"/>
              </w:rPr>
              <w:t>21.0</w:t>
            </w:r>
          </w:p>
        </w:tc>
        <w:tc>
          <w:tcPr>
            <w:tcW w:w="549" w:type="dxa"/>
            <w:vAlign w:val="center"/>
          </w:tcPr>
          <w:p w14:paraId="3F8F8472">
            <w:pPr>
              <w:pStyle w:val="26"/>
              <w:bidi w:val="0"/>
              <w:rPr>
                <w:rFonts w:hint="default"/>
                <w:lang w:val="en-US" w:eastAsia="zh-CN"/>
              </w:rPr>
            </w:pPr>
            <w:r>
              <w:rPr>
                <w:rFonts w:hint="eastAsia"/>
                <w:lang w:val="en-US" w:eastAsia="zh-CN"/>
              </w:rPr>
              <w:t>8.3</w:t>
            </w:r>
          </w:p>
        </w:tc>
        <w:tc>
          <w:tcPr>
            <w:tcW w:w="485" w:type="dxa"/>
            <w:vAlign w:val="center"/>
          </w:tcPr>
          <w:p w14:paraId="2E3607B7">
            <w:pPr>
              <w:pStyle w:val="26"/>
              <w:bidi w:val="0"/>
              <w:rPr>
                <w:rFonts w:hint="default"/>
                <w:lang w:val="en-US" w:eastAsia="zh-CN"/>
              </w:rPr>
            </w:pPr>
            <w:r>
              <w:rPr>
                <w:rFonts w:hint="eastAsia"/>
                <w:lang w:val="en-US" w:eastAsia="zh-CN"/>
              </w:rPr>
              <w:t>12</w:t>
            </w:r>
          </w:p>
        </w:tc>
        <w:tc>
          <w:tcPr>
            <w:tcW w:w="659" w:type="dxa"/>
            <w:vAlign w:val="center"/>
          </w:tcPr>
          <w:p w14:paraId="41327358">
            <w:pPr>
              <w:pStyle w:val="26"/>
              <w:bidi w:val="0"/>
              <w:rPr>
                <w:rFonts w:hint="default"/>
                <w:lang w:val="en-US" w:eastAsia="zh-CN"/>
              </w:rPr>
            </w:pPr>
            <w:r>
              <w:rPr>
                <w:rFonts w:hint="eastAsia"/>
                <w:lang w:val="en-US" w:eastAsia="zh-CN"/>
              </w:rPr>
              <w:t>0.40</w:t>
            </w:r>
          </w:p>
        </w:tc>
        <w:tc>
          <w:tcPr>
            <w:tcW w:w="662" w:type="dxa"/>
            <w:vAlign w:val="center"/>
          </w:tcPr>
          <w:p w14:paraId="63AF449C">
            <w:pPr>
              <w:pStyle w:val="26"/>
              <w:bidi w:val="0"/>
              <w:rPr>
                <w:rFonts w:hint="default"/>
                <w:lang w:val="en-US" w:eastAsia="zh-CN"/>
              </w:rPr>
            </w:pPr>
            <w:r>
              <w:rPr>
                <w:rFonts w:hint="eastAsia"/>
                <w:lang w:val="en-US" w:eastAsia="zh-CN"/>
              </w:rPr>
              <w:t>0.08</w:t>
            </w:r>
          </w:p>
        </w:tc>
        <w:tc>
          <w:tcPr>
            <w:tcW w:w="444" w:type="dxa"/>
            <w:vAlign w:val="center"/>
          </w:tcPr>
          <w:p w14:paraId="4C9AF7D1">
            <w:pPr>
              <w:pStyle w:val="26"/>
              <w:bidi w:val="0"/>
              <w:rPr>
                <w:rFonts w:hint="default"/>
                <w:lang w:val="en-US" w:eastAsia="zh-CN"/>
              </w:rPr>
            </w:pPr>
            <w:r>
              <w:rPr>
                <w:rFonts w:hint="eastAsia"/>
                <w:lang w:val="en-US" w:eastAsia="zh-CN"/>
              </w:rPr>
              <w:t>21</w:t>
            </w:r>
          </w:p>
        </w:tc>
        <w:tc>
          <w:tcPr>
            <w:tcW w:w="598" w:type="dxa"/>
            <w:vAlign w:val="center"/>
          </w:tcPr>
          <w:p w14:paraId="1A07838F">
            <w:pPr>
              <w:pStyle w:val="26"/>
              <w:bidi w:val="0"/>
              <w:rPr>
                <w:rFonts w:hint="default"/>
                <w:lang w:val="en-US" w:eastAsia="zh-CN"/>
              </w:rPr>
            </w:pPr>
            <w:r>
              <w:rPr>
                <w:rFonts w:hint="eastAsia"/>
                <w:lang w:val="en-US" w:eastAsia="zh-CN"/>
              </w:rPr>
              <w:t>ND</w:t>
            </w:r>
          </w:p>
        </w:tc>
        <w:tc>
          <w:tcPr>
            <w:tcW w:w="694" w:type="dxa"/>
            <w:vAlign w:val="center"/>
          </w:tcPr>
          <w:p w14:paraId="1CD7B378">
            <w:pPr>
              <w:pStyle w:val="26"/>
              <w:bidi w:val="0"/>
              <w:rPr>
                <w:rFonts w:hint="default"/>
                <w:lang w:val="en-US" w:eastAsia="zh-CN"/>
              </w:rPr>
            </w:pPr>
            <w:r>
              <w:rPr>
                <w:rFonts w:hint="eastAsia"/>
                <w:lang w:val="en-US" w:eastAsia="zh-CN"/>
              </w:rPr>
              <w:t>4.3</w:t>
            </w:r>
          </w:p>
        </w:tc>
        <w:tc>
          <w:tcPr>
            <w:tcW w:w="1521" w:type="dxa"/>
            <w:vAlign w:val="center"/>
          </w:tcPr>
          <w:p w14:paraId="365DD310">
            <w:pPr>
              <w:pStyle w:val="26"/>
              <w:bidi w:val="0"/>
              <w:rPr>
                <w:rFonts w:hint="default"/>
                <w:lang w:val="en-US" w:eastAsia="zh-CN"/>
              </w:rPr>
            </w:pPr>
            <w:r>
              <w:rPr>
                <w:rFonts w:hint="eastAsia"/>
                <w:lang w:val="en-US" w:eastAsia="zh-CN"/>
              </w:rPr>
              <w:t>3.1</w:t>
            </w:r>
          </w:p>
        </w:tc>
      </w:tr>
      <w:tr w14:paraId="534B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1166F671">
            <w:pPr>
              <w:pStyle w:val="26"/>
              <w:bidi w:val="0"/>
              <w:rPr>
                <w:rFonts w:hint="eastAsia"/>
                <w:lang w:val="en-US" w:eastAsia="zh-CN"/>
              </w:rPr>
            </w:pPr>
            <w:r>
              <w:rPr>
                <w:rFonts w:hint="eastAsia"/>
                <w:lang w:val="en-US" w:eastAsia="zh-CN"/>
              </w:rPr>
              <w:t>W1</w:t>
            </w:r>
          </w:p>
        </w:tc>
        <w:tc>
          <w:tcPr>
            <w:tcW w:w="1009" w:type="dxa"/>
            <w:vMerge w:val="restart"/>
            <w:vAlign w:val="center"/>
          </w:tcPr>
          <w:p w14:paraId="3718C9D0">
            <w:pPr>
              <w:pStyle w:val="26"/>
              <w:bidi w:val="0"/>
              <w:rPr>
                <w:rFonts w:hint="default"/>
                <w:lang w:val="en-US" w:eastAsia="zh-CN"/>
              </w:rPr>
            </w:pPr>
            <w:r>
              <w:rPr>
                <w:rFonts w:hint="eastAsia"/>
                <w:lang w:val="en-US" w:eastAsia="zh-CN"/>
              </w:rPr>
              <w:t>2026.04.07</w:t>
            </w:r>
          </w:p>
        </w:tc>
        <w:tc>
          <w:tcPr>
            <w:tcW w:w="596" w:type="dxa"/>
            <w:vAlign w:val="center"/>
          </w:tcPr>
          <w:p w14:paraId="178EFC46">
            <w:pPr>
              <w:pStyle w:val="26"/>
              <w:bidi w:val="0"/>
              <w:rPr>
                <w:rFonts w:hint="default"/>
                <w:lang w:val="en-US" w:eastAsia="zh-CN"/>
              </w:rPr>
            </w:pPr>
            <w:r>
              <w:rPr>
                <w:rFonts w:hint="eastAsia"/>
                <w:lang w:val="en-US" w:eastAsia="zh-CN"/>
              </w:rPr>
              <w:t>7.7</w:t>
            </w:r>
          </w:p>
        </w:tc>
        <w:tc>
          <w:tcPr>
            <w:tcW w:w="614" w:type="dxa"/>
            <w:vAlign w:val="center"/>
          </w:tcPr>
          <w:p w14:paraId="509F47BB">
            <w:pPr>
              <w:pStyle w:val="26"/>
              <w:bidi w:val="0"/>
              <w:rPr>
                <w:rFonts w:hint="default"/>
                <w:lang w:val="en-US" w:eastAsia="zh-CN"/>
              </w:rPr>
            </w:pPr>
            <w:r>
              <w:rPr>
                <w:rFonts w:hint="eastAsia"/>
                <w:lang w:val="en-US" w:eastAsia="zh-CN"/>
              </w:rPr>
              <w:t>18.8</w:t>
            </w:r>
          </w:p>
        </w:tc>
        <w:tc>
          <w:tcPr>
            <w:tcW w:w="549" w:type="dxa"/>
            <w:vAlign w:val="center"/>
          </w:tcPr>
          <w:p w14:paraId="2E47E323">
            <w:pPr>
              <w:pStyle w:val="26"/>
              <w:bidi w:val="0"/>
              <w:rPr>
                <w:rFonts w:hint="default"/>
                <w:lang w:val="en-US" w:eastAsia="zh-CN"/>
              </w:rPr>
            </w:pPr>
            <w:r>
              <w:rPr>
                <w:rFonts w:hint="eastAsia"/>
                <w:lang w:val="en-US" w:eastAsia="zh-CN"/>
              </w:rPr>
              <w:t>7.5</w:t>
            </w:r>
          </w:p>
        </w:tc>
        <w:tc>
          <w:tcPr>
            <w:tcW w:w="485" w:type="dxa"/>
            <w:vAlign w:val="center"/>
          </w:tcPr>
          <w:p w14:paraId="3E769D9B">
            <w:pPr>
              <w:pStyle w:val="26"/>
              <w:bidi w:val="0"/>
              <w:rPr>
                <w:rFonts w:hint="default"/>
                <w:lang w:val="en-US" w:eastAsia="zh-CN"/>
              </w:rPr>
            </w:pPr>
            <w:r>
              <w:rPr>
                <w:rFonts w:hint="eastAsia"/>
                <w:lang w:val="en-US" w:eastAsia="zh-CN"/>
              </w:rPr>
              <w:t>10</w:t>
            </w:r>
          </w:p>
        </w:tc>
        <w:tc>
          <w:tcPr>
            <w:tcW w:w="659" w:type="dxa"/>
            <w:vAlign w:val="center"/>
          </w:tcPr>
          <w:p w14:paraId="4BA917BA">
            <w:pPr>
              <w:pStyle w:val="26"/>
              <w:bidi w:val="0"/>
              <w:rPr>
                <w:rFonts w:hint="default"/>
                <w:lang w:val="en-US" w:eastAsia="zh-CN"/>
              </w:rPr>
            </w:pPr>
            <w:r>
              <w:rPr>
                <w:rFonts w:hint="eastAsia"/>
                <w:lang w:val="en-US" w:eastAsia="zh-CN"/>
              </w:rPr>
              <w:t>0.32</w:t>
            </w:r>
          </w:p>
        </w:tc>
        <w:tc>
          <w:tcPr>
            <w:tcW w:w="662" w:type="dxa"/>
            <w:vAlign w:val="center"/>
          </w:tcPr>
          <w:p w14:paraId="4F4A3884">
            <w:pPr>
              <w:pStyle w:val="26"/>
              <w:bidi w:val="0"/>
              <w:rPr>
                <w:rFonts w:hint="default"/>
                <w:lang w:val="en-US" w:eastAsia="zh-CN"/>
              </w:rPr>
            </w:pPr>
            <w:r>
              <w:rPr>
                <w:rFonts w:hint="eastAsia"/>
                <w:lang w:val="en-US" w:eastAsia="zh-CN"/>
              </w:rPr>
              <w:t>0.08</w:t>
            </w:r>
          </w:p>
        </w:tc>
        <w:tc>
          <w:tcPr>
            <w:tcW w:w="444" w:type="dxa"/>
            <w:vAlign w:val="center"/>
          </w:tcPr>
          <w:p w14:paraId="42FBF9BF">
            <w:pPr>
              <w:pStyle w:val="26"/>
              <w:bidi w:val="0"/>
              <w:rPr>
                <w:rFonts w:hint="default"/>
                <w:lang w:val="en-US" w:eastAsia="zh-CN"/>
              </w:rPr>
            </w:pPr>
            <w:r>
              <w:rPr>
                <w:rFonts w:hint="eastAsia"/>
                <w:lang w:val="en-US" w:eastAsia="zh-CN"/>
              </w:rPr>
              <w:t>7</w:t>
            </w:r>
          </w:p>
        </w:tc>
        <w:tc>
          <w:tcPr>
            <w:tcW w:w="598" w:type="dxa"/>
            <w:vAlign w:val="center"/>
          </w:tcPr>
          <w:p w14:paraId="0C460F37">
            <w:pPr>
              <w:pStyle w:val="26"/>
              <w:bidi w:val="0"/>
              <w:rPr>
                <w:rFonts w:hint="default"/>
                <w:lang w:val="en-US" w:eastAsia="zh-CN"/>
              </w:rPr>
            </w:pPr>
            <w:r>
              <w:rPr>
                <w:rFonts w:hint="eastAsia"/>
                <w:lang w:val="en-US" w:eastAsia="zh-CN"/>
              </w:rPr>
              <w:t>ND</w:t>
            </w:r>
          </w:p>
        </w:tc>
        <w:tc>
          <w:tcPr>
            <w:tcW w:w="694" w:type="dxa"/>
            <w:vAlign w:val="center"/>
          </w:tcPr>
          <w:p w14:paraId="45E001AA">
            <w:pPr>
              <w:pStyle w:val="26"/>
              <w:bidi w:val="0"/>
              <w:rPr>
                <w:rFonts w:hint="default"/>
                <w:lang w:val="en-US" w:eastAsia="zh-CN"/>
              </w:rPr>
            </w:pPr>
            <w:r>
              <w:rPr>
                <w:rFonts w:hint="eastAsia"/>
                <w:lang w:val="en-US" w:eastAsia="zh-CN"/>
              </w:rPr>
              <w:t>3.0</w:t>
            </w:r>
          </w:p>
        </w:tc>
        <w:tc>
          <w:tcPr>
            <w:tcW w:w="1521" w:type="dxa"/>
            <w:vAlign w:val="center"/>
          </w:tcPr>
          <w:p w14:paraId="4CBD76B7">
            <w:pPr>
              <w:pStyle w:val="26"/>
              <w:bidi w:val="0"/>
              <w:rPr>
                <w:rFonts w:hint="default"/>
                <w:lang w:val="en-US" w:eastAsia="zh-CN"/>
              </w:rPr>
            </w:pPr>
            <w:r>
              <w:rPr>
                <w:rFonts w:hint="eastAsia"/>
                <w:lang w:val="en-US" w:eastAsia="zh-CN"/>
              </w:rPr>
              <w:t>2.9</w:t>
            </w:r>
          </w:p>
        </w:tc>
      </w:tr>
      <w:tr w14:paraId="27E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59AE0FE1">
            <w:pPr>
              <w:pStyle w:val="26"/>
              <w:bidi w:val="0"/>
              <w:rPr>
                <w:rFonts w:hint="eastAsia"/>
                <w:lang w:val="en-US" w:eastAsia="zh-CN"/>
              </w:rPr>
            </w:pPr>
          </w:p>
        </w:tc>
        <w:tc>
          <w:tcPr>
            <w:tcW w:w="1009" w:type="dxa"/>
            <w:vMerge w:val="continue"/>
            <w:vAlign w:val="center"/>
          </w:tcPr>
          <w:p w14:paraId="0B6FFD5F">
            <w:pPr>
              <w:pStyle w:val="26"/>
              <w:bidi w:val="0"/>
              <w:rPr>
                <w:rFonts w:hint="default"/>
                <w:lang w:val="en-US" w:eastAsia="zh-CN"/>
              </w:rPr>
            </w:pPr>
          </w:p>
        </w:tc>
        <w:tc>
          <w:tcPr>
            <w:tcW w:w="596" w:type="dxa"/>
            <w:vAlign w:val="center"/>
          </w:tcPr>
          <w:p w14:paraId="17EEB883">
            <w:pPr>
              <w:pStyle w:val="26"/>
              <w:bidi w:val="0"/>
              <w:rPr>
                <w:rFonts w:hint="default"/>
                <w:lang w:val="en-US" w:eastAsia="zh-CN"/>
              </w:rPr>
            </w:pPr>
            <w:r>
              <w:rPr>
                <w:rFonts w:hint="eastAsia"/>
                <w:lang w:val="en-US" w:eastAsia="zh-CN"/>
              </w:rPr>
              <w:t>7.4</w:t>
            </w:r>
          </w:p>
        </w:tc>
        <w:tc>
          <w:tcPr>
            <w:tcW w:w="614" w:type="dxa"/>
            <w:vAlign w:val="center"/>
          </w:tcPr>
          <w:p w14:paraId="1F5568E5">
            <w:pPr>
              <w:pStyle w:val="26"/>
              <w:bidi w:val="0"/>
              <w:rPr>
                <w:rFonts w:hint="default"/>
                <w:lang w:val="en-US" w:eastAsia="zh-CN"/>
              </w:rPr>
            </w:pPr>
            <w:r>
              <w:rPr>
                <w:rFonts w:hint="eastAsia"/>
                <w:lang w:val="en-US" w:eastAsia="zh-CN"/>
              </w:rPr>
              <w:t>19.2</w:t>
            </w:r>
          </w:p>
        </w:tc>
        <w:tc>
          <w:tcPr>
            <w:tcW w:w="549" w:type="dxa"/>
            <w:vAlign w:val="center"/>
          </w:tcPr>
          <w:p w14:paraId="7732F61F">
            <w:pPr>
              <w:pStyle w:val="26"/>
              <w:bidi w:val="0"/>
              <w:rPr>
                <w:rFonts w:hint="default"/>
                <w:lang w:val="en-US" w:eastAsia="zh-CN"/>
              </w:rPr>
            </w:pPr>
            <w:r>
              <w:rPr>
                <w:rFonts w:hint="eastAsia"/>
                <w:lang w:val="en-US" w:eastAsia="zh-CN"/>
              </w:rPr>
              <w:t>7.3</w:t>
            </w:r>
          </w:p>
        </w:tc>
        <w:tc>
          <w:tcPr>
            <w:tcW w:w="485" w:type="dxa"/>
            <w:vAlign w:val="center"/>
          </w:tcPr>
          <w:p w14:paraId="2C3A5EA2">
            <w:pPr>
              <w:pStyle w:val="26"/>
              <w:bidi w:val="0"/>
              <w:rPr>
                <w:rFonts w:hint="default"/>
                <w:lang w:val="en-US" w:eastAsia="zh-CN"/>
              </w:rPr>
            </w:pPr>
            <w:r>
              <w:rPr>
                <w:rFonts w:hint="eastAsia"/>
                <w:lang w:val="en-US" w:eastAsia="zh-CN"/>
              </w:rPr>
              <w:t>6</w:t>
            </w:r>
          </w:p>
        </w:tc>
        <w:tc>
          <w:tcPr>
            <w:tcW w:w="659" w:type="dxa"/>
            <w:vAlign w:val="center"/>
          </w:tcPr>
          <w:p w14:paraId="20146466">
            <w:pPr>
              <w:pStyle w:val="26"/>
              <w:bidi w:val="0"/>
              <w:rPr>
                <w:rFonts w:hint="default"/>
                <w:lang w:val="en-US" w:eastAsia="zh-CN"/>
              </w:rPr>
            </w:pPr>
            <w:r>
              <w:rPr>
                <w:rFonts w:hint="eastAsia"/>
                <w:lang w:val="en-US" w:eastAsia="zh-CN"/>
              </w:rPr>
              <w:t>0.31</w:t>
            </w:r>
          </w:p>
        </w:tc>
        <w:tc>
          <w:tcPr>
            <w:tcW w:w="662" w:type="dxa"/>
            <w:vAlign w:val="center"/>
          </w:tcPr>
          <w:p w14:paraId="3318005D">
            <w:pPr>
              <w:pStyle w:val="26"/>
              <w:bidi w:val="0"/>
              <w:rPr>
                <w:rFonts w:hint="default"/>
                <w:lang w:val="en-US" w:eastAsia="zh-CN"/>
              </w:rPr>
            </w:pPr>
            <w:r>
              <w:rPr>
                <w:rFonts w:hint="eastAsia"/>
                <w:lang w:val="en-US" w:eastAsia="zh-CN"/>
              </w:rPr>
              <w:t>0.09</w:t>
            </w:r>
          </w:p>
        </w:tc>
        <w:tc>
          <w:tcPr>
            <w:tcW w:w="444" w:type="dxa"/>
            <w:vAlign w:val="center"/>
          </w:tcPr>
          <w:p w14:paraId="3BE38FC6">
            <w:pPr>
              <w:pStyle w:val="26"/>
              <w:bidi w:val="0"/>
              <w:rPr>
                <w:rFonts w:hint="default"/>
                <w:lang w:val="en-US" w:eastAsia="zh-CN"/>
              </w:rPr>
            </w:pPr>
            <w:r>
              <w:rPr>
                <w:rFonts w:hint="eastAsia"/>
                <w:lang w:val="en-US" w:eastAsia="zh-CN"/>
              </w:rPr>
              <w:t>10</w:t>
            </w:r>
          </w:p>
        </w:tc>
        <w:tc>
          <w:tcPr>
            <w:tcW w:w="598" w:type="dxa"/>
            <w:vAlign w:val="center"/>
          </w:tcPr>
          <w:p w14:paraId="1330C290">
            <w:pPr>
              <w:pStyle w:val="26"/>
              <w:bidi w:val="0"/>
              <w:rPr>
                <w:rFonts w:hint="default"/>
                <w:lang w:val="en-US" w:eastAsia="zh-CN"/>
              </w:rPr>
            </w:pPr>
            <w:r>
              <w:rPr>
                <w:rFonts w:hint="eastAsia"/>
                <w:lang w:val="en-US" w:eastAsia="zh-CN"/>
              </w:rPr>
              <w:t>ND</w:t>
            </w:r>
          </w:p>
        </w:tc>
        <w:tc>
          <w:tcPr>
            <w:tcW w:w="694" w:type="dxa"/>
            <w:vAlign w:val="center"/>
          </w:tcPr>
          <w:p w14:paraId="409C058E">
            <w:pPr>
              <w:pStyle w:val="26"/>
              <w:bidi w:val="0"/>
              <w:rPr>
                <w:rFonts w:hint="default"/>
                <w:lang w:val="en-US" w:eastAsia="zh-CN"/>
              </w:rPr>
            </w:pPr>
            <w:r>
              <w:rPr>
                <w:rFonts w:hint="eastAsia"/>
                <w:lang w:val="en-US" w:eastAsia="zh-CN"/>
              </w:rPr>
              <w:t>3.4</w:t>
            </w:r>
          </w:p>
        </w:tc>
        <w:tc>
          <w:tcPr>
            <w:tcW w:w="1521" w:type="dxa"/>
            <w:vAlign w:val="center"/>
          </w:tcPr>
          <w:p w14:paraId="100468EB">
            <w:pPr>
              <w:pStyle w:val="26"/>
              <w:bidi w:val="0"/>
              <w:rPr>
                <w:rFonts w:hint="default"/>
                <w:lang w:val="en-US" w:eastAsia="zh-CN"/>
              </w:rPr>
            </w:pPr>
            <w:r>
              <w:rPr>
                <w:rFonts w:hint="eastAsia"/>
                <w:lang w:val="en-US" w:eastAsia="zh-CN"/>
              </w:rPr>
              <w:t>2.9</w:t>
            </w:r>
          </w:p>
        </w:tc>
      </w:tr>
      <w:tr w14:paraId="2C51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6CEE8DCC">
            <w:pPr>
              <w:pStyle w:val="26"/>
              <w:bidi w:val="0"/>
              <w:rPr>
                <w:rFonts w:hint="eastAsia"/>
                <w:lang w:val="en-US" w:eastAsia="zh-CN"/>
              </w:rPr>
            </w:pPr>
            <w:r>
              <w:rPr>
                <w:rFonts w:hint="eastAsia"/>
                <w:lang w:val="en-US" w:eastAsia="zh-CN"/>
              </w:rPr>
              <w:t>W2</w:t>
            </w:r>
          </w:p>
        </w:tc>
        <w:tc>
          <w:tcPr>
            <w:tcW w:w="1009" w:type="dxa"/>
            <w:vMerge w:val="restart"/>
            <w:vAlign w:val="center"/>
          </w:tcPr>
          <w:p w14:paraId="344EFA07">
            <w:pPr>
              <w:pStyle w:val="26"/>
              <w:bidi w:val="0"/>
              <w:rPr>
                <w:rFonts w:hint="default"/>
                <w:lang w:val="en-US" w:eastAsia="zh-CN"/>
              </w:rPr>
            </w:pPr>
            <w:r>
              <w:rPr>
                <w:rFonts w:hint="eastAsia"/>
                <w:lang w:val="en-US" w:eastAsia="zh-CN"/>
              </w:rPr>
              <w:t>2026.04.07</w:t>
            </w:r>
          </w:p>
        </w:tc>
        <w:tc>
          <w:tcPr>
            <w:tcW w:w="596" w:type="dxa"/>
            <w:vAlign w:val="center"/>
          </w:tcPr>
          <w:p w14:paraId="3B289792">
            <w:pPr>
              <w:pStyle w:val="26"/>
              <w:bidi w:val="0"/>
              <w:rPr>
                <w:rFonts w:hint="default"/>
                <w:lang w:val="en-US" w:eastAsia="zh-CN"/>
              </w:rPr>
            </w:pPr>
            <w:r>
              <w:rPr>
                <w:rFonts w:hint="eastAsia"/>
                <w:lang w:val="en-US" w:eastAsia="zh-CN"/>
              </w:rPr>
              <w:t>7.4</w:t>
            </w:r>
          </w:p>
        </w:tc>
        <w:tc>
          <w:tcPr>
            <w:tcW w:w="614" w:type="dxa"/>
            <w:vAlign w:val="center"/>
          </w:tcPr>
          <w:p w14:paraId="5F7E7EC8">
            <w:pPr>
              <w:pStyle w:val="26"/>
              <w:bidi w:val="0"/>
              <w:rPr>
                <w:rFonts w:hint="default"/>
                <w:lang w:val="en-US" w:eastAsia="zh-CN"/>
              </w:rPr>
            </w:pPr>
            <w:r>
              <w:rPr>
                <w:rFonts w:hint="eastAsia"/>
                <w:lang w:val="en-US" w:eastAsia="zh-CN"/>
              </w:rPr>
              <w:t>18.4</w:t>
            </w:r>
          </w:p>
        </w:tc>
        <w:tc>
          <w:tcPr>
            <w:tcW w:w="549" w:type="dxa"/>
            <w:vAlign w:val="center"/>
          </w:tcPr>
          <w:p w14:paraId="1A2B6AC1">
            <w:pPr>
              <w:pStyle w:val="26"/>
              <w:bidi w:val="0"/>
              <w:rPr>
                <w:rFonts w:hint="default"/>
                <w:lang w:val="en-US" w:eastAsia="zh-CN"/>
              </w:rPr>
            </w:pPr>
            <w:r>
              <w:rPr>
                <w:rFonts w:hint="eastAsia"/>
                <w:lang w:val="en-US" w:eastAsia="zh-CN"/>
              </w:rPr>
              <w:t>7.7</w:t>
            </w:r>
          </w:p>
        </w:tc>
        <w:tc>
          <w:tcPr>
            <w:tcW w:w="485" w:type="dxa"/>
            <w:vAlign w:val="center"/>
          </w:tcPr>
          <w:p w14:paraId="054434DA">
            <w:pPr>
              <w:pStyle w:val="26"/>
              <w:bidi w:val="0"/>
              <w:rPr>
                <w:rFonts w:hint="default"/>
                <w:lang w:val="en-US" w:eastAsia="zh-CN"/>
              </w:rPr>
            </w:pPr>
            <w:r>
              <w:rPr>
                <w:rFonts w:hint="eastAsia"/>
                <w:lang w:val="en-US" w:eastAsia="zh-CN"/>
              </w:rPr>
              <w:t>16</w:t>
            </w:r>
          </w:p>
        </w:tc>
        <w:tc>
          <w:tcPr>
            <w:tcW w:w="659" w:type="dxa"/>
            <w:vAlign w:val="center"/>
          </w:tcPr>
          <w:p w14:paraId="6559905B">
            <w:pPr>
              <w:pStyle w:val="26"/>
              <w:bidi w:val="0"/>
              <w:rPr>
                <w:rFonts w:hint="default"/>
                <w:lang w:val="en-US" w:eastAsia="zh-CN"/>
              </w:rPr>
            </w:pPr>
            <w:r>
              <w:rPr>
                <w:rFonts w:hint="eastAsia"/>
                <w:lang w:val="en-US" w:eastAsia="zh-CN"/>
              </w:rPr>
              <w:t>0.32</w:t>
            </w:r>
          </w:p>
        </w:tc>
        <w:tc>
          <w:tcPr>
            <w:tcW w:w="662" w:type="dxa"/>
            <w:vAlign w:val="center"/>
          </w:tcPr>
          <w:p w14:paraId="05A2C434">
            <w:pPr>
              <w:pStyle w:val="26"/>
              <w:bidi w:val="0"/>
              <w:rPr>
                <w:rFonts w:hint="default"/>
                <w:lang w:val="en-US" w:eastAsia="zh-CN"/>
              </w:rPr>
            </w:pPr>
            <w:r>
              <w:rPr>
                <w:rFonts w:hint="eastAsia"/>
                <w:lang w:val="en-US" w:eastAsia="zh-CN"/>
              </w:rPr>
              <w:t>0.07</w:t>
            </w:r>
          </w:p>
        </w:tc>
        <w:tc>
          <w:tcPr>
            <w:tcW w:w="444" w:type="dxa"/>
            <w:vAlign w:val="center"/>
          </w:tcPr>
          <w:p w14:paraId="445FA4B6">
            <w:pPr>
              <w:pStyle w:val="26"/>
              <w:bidi w:val="0"/>
              <w:rPr>
                <w:rFonts w:hint="default"/>
                <w:lang w:val="en-US" w:eastAsia="zh-CN"/>
              </w:rPr>
            </w:pPr>
            <w:r>
              <w:rPr>
                <w:rFonts w:hint="eastAsia"/>
                <w:lang w:val="en-US" w:eastAsia="zh-CN"/>
              </w:rPr>
              <w:t>18</w:t>
            </w:r>
          </w:p>
        </w:tc>
        <w:tc>
          <w:tcPr>
            <w:tcW w:w="598" w:type="dxa"/>
            <w:vAlign w:val="center"/>
          </w:tcPr>
          <w:p w14:paraId="56BE2A4A">
            <w:pPr>
              <w:pStyle w:val="26"/>
              <w:bidi w:val="0"/>
              <w:rPr>
                <w:rFonts w:hint="default"/>
                <w:lang w:val="en-US" w:eastAsia="zh-CN"/>
              </w:rPr>
            </w:pPr>
            <w:r>
              <w:rPr>
                <w:rFonts w:hint="eastAsia"/>
                <w:lang w:val="en-US" w:eastAsia="zh-CN"/>
              </w:rPr>
              <w:t>ND</w:t>
            </w:r>
          </w:p>
        </w:tc>
        <w:tc>
          <w:tcPr>
            <w:tcW w:w="694" w:type="dxa"/>
            <w:vAlign w:val="center"/>
          </w:tcPr>
          <w:p w14:paraId="507038B5">
            <w:pPr>
              <w:pStyle w:val="26"/>
              <w:bidi w:val="0"/>
              <w:rPr>
                <w:rFonts w:hint="default"/>
                <w:lang w:val="en-US" w:eastAsia="zh-CN"/>
              </w:rPr>
            </w:pPr>
            <w:r>
              <w:rPr>
                <w:rFonts w:hint="eastAsia"/>
                <w:lang w:val="en-US" w:eastAsia="zh-CN"/>
              </w:rPr>
              <w:t>4.9</w:t>
            </w:r>
          </w:p>
        </w:tc>
        <w:tc>
          <w:tcPr>
            <w:tcW w:w="1521" w:type="dxa"/>
            <w:vAlign w:val="center"/>
          </w:tcPr>
          <w:p w14:paraId="4F9E9526">
            <w:pPr>
              <w:pStyle w:val="26"/>
              <w:bidi w:val="0"/>
              <w:rPr>
                <w:rFonts w:hint="default"/>
                <w:lang w:val="en-US" w:eastAsia="zh-CN"/>
              </w:rPr>
            </w:pPr>
            <w:r>
              <w:rPr>
                <w:rFonts w:hint="eastAsia"/>
                <w:lang w:val="en-US" w:eastAsia="zh-CN"/>
              </w:rPr>
              <w:t>2.8</w:t>
            </w:r>
          </w:p>
        </w:tc>
      </w:tr>
      <w:tr w14:paraId="794F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6406BADA">
            <w:pPr>
              <w:pStyle w:val="26"/>
              <w:bidi w:val="0"/>
              <w:rPr>
                <w:rFonts w:hint="eastAsia"/>
                <w:lang w:val="en-US" w:eastAsia="zh-CN"/>
              </w:rPr>
            </w:pPr>
          </w:p>
        </w:tc>
        <w:tc>
          <w:tcPr>
            <w:tcW w:w="1009" w:type="dxa"/>
            <w:vMerge w:val="continue"/>
            <w:vAlign w:val="center"/>
          </w:tcPr>
          <w:p w14:paraId="41B4FE9B">
            <w:pPr>
              <w:pStyle w:val="26"/>
              <w:bidi w:val="0"/>
              <w:rPr>
                <w:rFonts w:hint="default"/>
                <w:lang w:val="en-US" w:eastAsia="zh-CN"/>
              </w:rPr>
            </w:pPr>
          </w:p>
        </w:tc>
        <w:tc>
          <w:tcPr>
            <w:tcW w:w="596" w:type="dxa"/>
            <w:vAlign w:val="center"/>
          </w:tcPr>
          <w:p w14:paraId="3D36C154">
            <w:pPr>
              <w:pStyle w:val="26"/>
              <w:bidi w:val="0"/>
              <w:rPr>
                <w:rFonts w:hint="default"/>
                <w:lang w:val="en-US" w:eastAsia="zh-CN"/>
              </w:rPr>
            </w:pPr>
            <w:r>
              <w:rPr>
                <w:rFonts w:hint="eastAsia"/>
                <w:lang w:val="en-US" w:eastAsia="zh-CN"/>
              </w:rPr>
              <w:t>7.2</w:t>
            </w:r>
          </w:p>
        </w:tc>
        <w:tc>
          <w:tcPr>
            <w:tcW w:w="614" w:type="dxa"/>
            <w:vAlign w:val="center"/>
          </w:tcPr>
          <w:p w14:paraId="7753FFEC">
            <w:pPr>
              <w:pStyle w:val="26"/>
              <w:bidi w:val="0"/>
              <w:rPr>
                <w:rFonts w:hint="default"/>
                <w:lang w:val="en-US" w:eastAsia="zh-CN"/>
              </w:rPr>
            </w:pPr>
            <w:r>
              <w:rPr>
                <w:rFonts w:hint="eastAsia"/>
                <w:lang w:val="en-US" w:eastAsia="zh-CN"/>
              </w:rPr>
              <w:t>20.8</w:t>
            </w:r>
          </w:p>
        </w:tc>
        <w:tc>
          <w:tcPr>
            <w:tcW w:w="549" w:type="dxa"/>
            <w:vAlign w:val="center"/>
          </w:tcPr>
          <w:p w14:paraId="57529D11">
            <w:pPr>
              <w:pStyle w:val="26"/>
              <w:bidi w:val="0"/>
              <w:rPr>
                <w:rFonts w:hint="default"/>
                <w:lang w:val="en-US" w:eastAsia="zh-CN"/>
              </w:rPr>
            </w:pPr>
            <w:r>
              <w:rPr>
                <w:rFonts w:hint="eastAsia"/>
                <w:lang w:val="en-US" w:eastAsia="zh-CN"/>
              </w:rPr>
              <w:t>7.4</w:t>
            </w:r>
          </w:p>
        </w:tc>
        <w:tc>
          <w:tcPr>
            <w:tcW w:w="485" w:type="dxa"/>
            <w:vAlign w:val="center"/>
          </w:tcPr>
          <w:p w14:paraId="544FF542">
            <w:pPr>
              <w:pStyle w:val="26"/>
              <w:bidi w:val="0"/>
              <w:rPr>
                <w:rFonts w:hint="default"/>
                <w:lang w:val="en-US" w:eastAsia="zh-CN"/>
              </w:rPr>
            </w:pPr>
            <w:r>
              <w:rPr>
                <w:rFonts w:hint="eastAsia"/>
                <w:lang w:val="en-US" w:eastAsia="zh-CN"/>
              </w:rPr>
              <w:t>15</w:t>
            </w:r>
          </w:p>
        </w:tc>
        <w:tc>
          <w:tcPr>
            <w:tcW w:w="659" w:type="dxa"/>
            <w:vAlign w:val="center"/>
          </w:tcPr>
          <w:p w14:paraId="6FB5E9DF">
            <w:pPr>
              <w:pStyle w:val="26"/>
              <w:bidi w:val="0"/>
              <w:rPr>
                <w:rFonts w:hint="default"/>
                <w:lang w:val="en-US" w:eastAsia="zh-CN"/>
              </w:rPr>
            </w:pPr>
            <w:r>
              <w:rPr>
                <w:rFonts w:hint="eastAsia"/>
                <w:lang w:val="en-US" w:eastAsia="zh-CN"/>
              </w:rPr>
              <w:t>0.35</w:t>
            </w:r>
          </w:p>
        </w:tc>
        <w:tc>
          <w:tcPr>
            <w:tcW w:w="662" w:type="dxa"/>
            <w:vAlign w:val="center"/>
          </w:tcPr>
          <w:p w14:paraId="6C7AB9EB">
            <w:pPr>
              <w:pStyle w:val="26"/>
              <w:bidi w:val="0"/>
              <w:rPr>
                <w:rFonts w:hint="default"/>
                <w:lang w:val="en-US" w:eastAsia="zh-CN"/>
              </w:rPr>
            </w:pPr>
            <w:r>
              <w:rPr>
                <w:rFonts w:hint="eastAsia"/>
                <w:lang w:val="en-US" w:eastAsia="zh-CN"/>
              </w:rPr>
              <w:t>0.18</w:t>
            </w:r>
          </w:p>
        </w:tc>
        <w:tc>
          <w:tcPr>
            <w:tcW w:w="444" w:type="dxa"/>
            <w:vAlign w:val="center"/>
          </w:tcPr>
          <w:p w14:paraId="6EB4BA8D">
            <w:pPr>
              <w:pStyle w:val="26"/>
              <w:bidi w:val="0"/>
              <w:rPr>
                <w:rFonts w:hint="default"/>
                <w:lang w:val="en-US" w:eastAsia="zh-CN"/>
              </w:rPr>
            </w:pPr>
            <w:r>
              <w:rPr>
                <w:rFonts w:hint="eastAsia"/>
                <w:lang w:val="en-US" w:eastAsia="zh-CN"/>
              </w:rPr>
              <w:t>18</w:t>
            </w:r>
          </w:p>
        </w:tc>
        <w:tc>
          <w:tcPr>
            <w:tcW w:w="598" w:type="dxa"/>
            <w:vAlign w:val="center"/>
          </w:tcPr>
          <w:p w14:paraId="4D6F60D0">
            <w:pPr>
              <w:pStyle w:val="26"/>
              <w:bidi w:val="0"/>
              <w:rPr>
                <w:rFonts w:hint="default"/>
                <w:lang w:val="en-US" w:eastAsia="zh-CN"/>
              </w:rPr>
            </w:pPr>
            <w:r>
              <w:rPr>
                <w:rFonts w:hint="eastAsia"/>
                <w:lang w:val="en-US" w:eastAsia="zh-CN"/>
              </w:rPr>
              <w:t>ND</w:t>
            </w:r>
          </w:p>
        </w:tc>
        <w:tc>
          <w:tcPr>
            <w:tcW w:w="694" w:type="dxa"/>
            <w:vAlign w:val="center"/>
          </w:tcPr>
          <w:p w14:paraId="6A7376A5">
            <w:pPr>
              <w:pStyle w:val="26"/>
              <w:bidi w:val="0"/>
              <w:rPr>
                <w:rFonts w:hint="default"/>
                <w:lang w:val="en-US" w:eastAsia="zh-CN"/>
              </w:rPr>
            </w:pPr>
            <w:r>
              <w:rPr>
                <w:rFonts w:hint="eastAsia"/>
                <w:lang w:val="en-US" w:eastAsia="zh-CN"/>
              </w:rPr>
              <w:t>5.0</w:t>
            </w:r>
          </w:p>
        </w:tc>
        <w:tc>
          <w:tcPr>
            <w:tcW w:w="1521" w:type="dxa"/>
            <w:vAlign w:val="center"/>
          </w:tcPr>
          <w:p w14:paraId="71019BAF">
            <w:pPr>
              <w:pStyle w:val="26"/>
              <w:bidi w:val="0"/>
              <w:rPr>
                <w:rFonts w:hint="default"/>
                <w:lang w:val="en-US" w:eastAsia="zh-CN"/>
              </w:rPr>
            </w:pPr>
            <w:r>
              <w:rPr>
                <w:rFonts w:hint="eastAsia"/>
                <w:lang w:val="en-US" w:eastAsia="zh-CN"/>
              </w:rPr>
              <w:t>3.3</w:t>
            </w:r>
          </w:p>
        </w:tc>
      </w:tr>
      <w:tr w14:paraId="4406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59BBEA52">
            <w:pPr>
              <w:pStyle w:val="26"/>
              <w:bidi w:val="0"/>
              <w:rPr>
                <w:rFonts w:hint="eastAsia"/>
                <w:lang w:val="en-US" w:eastAsia="zh-CN"/>
              </w:rPr>
            </w:pPr>
            <w:r>
              <w:rPr>
                <w:rFonts w:hint="eastAsia"/>
                <w:lang w:val="en-US" w:eastAsia="zh-CN"/>
              </w:rPr>
              <w:t>W3</w:t>
            </w:r>
          </w:p>
        </w:tc>
        <w:tc>
          <w:tcPr>
            <w:tcW w:w="1009" w:type="dxa"/>
            <w:vMerge w:val="restart"/>
            <w:vAlign w:val="center"/>
          </w:tcPr>
          <w:p w14:paraId="1445A217">
            <w:pPr>
              <w:pStyle w:val="26"/>
              <w:bidi w:val="0"/>
              <w:rPr>
                <w:rFonts w:hint="default"/>
                <w:lang w:val="en-US" w:eastAsia="zh-CN"/>
              </w:rPr>
            </w:pPr>
            <w:r>
              <w:rPr>
                <w:rFonts w:hint="eastAsia"/>
                <w:lang w:val="en-US" w:eastAsia="zh-CN"/>
              </w:rPr>
              <w:t>2026.04.07</w:t>
            </w:r>
          </w:p>
        </w:tc>
        <w:tc>
          <w:tcPr>
            <w:tcW w:w="596" w:type="dxa"/>
            <w:vAlign w:val="center"/>
          </w:tcPr>
          <w:p w14:paraId="69C6356B">
            <w:pPr>
              <w:pStyle w:val="26"/>
              <w:bidi w:val="0"/>
              <w:rPr>
                <w:rFonts w:hint="default"/>
                <w:lang w:val="en-US" w:eastAsia="zh-CN"/>
              </w:rPr>
            </w:pPr>
            <w:r>
              <w:rPr>
                <w:rFonts w:hint="eastAsia"/>
                <w:lang w:val="en-US" w:eastAsia="zh-CN"/>
              </w:rPr>
              <w:t>7.6</w:t>
            </w:r>
          </w:p>
        </w:tc>
        <w:tc>
          <w:tcPr>
            <w:tcW w:w="614" w:type="dxa"/>
            <w:vAlign w:val="center"/>
          </w:tcPr>
          <w:p w14:paraId="4CED2CD3">
            <w:pPr>
              <w:pStyle w:val="26"/>
              <w:bidi w:val="0"/>
              <w:rPr>
                <w:rFonts w:hint="default"/>
                <w:lang w:val="en-US" w:eastAsia="zh-CN"/>
              </w:rPr>
            </w:pPr>
            <w:r>
              <w:rPr>
                <w:rFonts w:hint="eastAsia"/>
                <w:lang w:val="en-US" w:eastAsia="zh-CN"/>
              </w:rPr>
              <w:t>18.8</w:t>
            </w:r>
          </w:p>
        </w:tc>
        <w:tc>
          <w:tcPr>
            <w:tcW w:w="549" w:type="dxa"/>
            <w:vAlign w:val="center"/>
          </w:tcPr>
          <w:p w14:paraId="3A37E79B">
            <w:pPr>
              <w:pStyle w:val="26"/>
              <w:bidi w:val="0"/>
              <w:rPr>
                <w:rFonts w:hint="default"/>
                <w:lang w:val="en-US" w:eastAsia="zh-CN"/>
              </w:rPr>
            </w:pPr>
            <w:r>
              <w:rPr>
                <w:rFonts w:hint="eastAsia"/>
                <w:lang w:val="en-US" w:eastAsia="zh-CN"/>
              </w:rPr>
              <w:t>7.0</w:t>
            </w:r>
          </w:p>
        </w:tc>
        <w:tc>
          <w:tcPr>
            <w:tcW w:w="485" w:type="dxa"/>
            <w:vAlign w:val="center"/>
          </w:tcPr>
          <w:p w14:paraId="0CA7B5EF">
            <w:pPr>
              <w:pStyle w:val="26"/>
              <w:bidi w:val="0"/>
              <w:rPr>
                <w:rFonts w:hint="default"/>
                <w:lang w:val="en-US" w:eastAsia="zh-CN"/>
              </w:rPr>
            </w:pPr>
            <w:r>
              <w:rPr>
                <w:rFonts w:hint="eastAsia"/>
                <w:lang w:val="en-US" w:eastAsia="zh-CN"/>
              </w:rPr>
              <w:t>8</w:t>
            </w:r>
          </w:p>
        </w:tc>
        <w:tc>
          <w:tcPr>
            <w:tcW w:w="659" w:type="dxa"/>
            <w:vAlign w:val="center"/>
          </w:tcPr>
          <w:p w14:paraId="022CB37C">
            <w:pPr>
              <w:pStyle w:val="26"/>
              <w:bidi w:val="0"/>
              <w:rPr>
                <w:rFonts w:hint="default"/>
                <w:lang w:val="en-US" w:eastAsia="zh-CN"/>
              </w:rPr>
            </w:pPr>
            <w:r>
              <w:rPr>
                <w:rFonts w:hint="eastAsia"/>
                <w:lang w:val="en-US" w:eastAsia="zh-CN"/>
              </w:rPr>
              <w:t>0.42</w:t>
            </w:r>
          </w:p>
        </w:tc>
        <w:tc>
          <w:tcPr>
            <w:tcW w:w="662" w:type="dxa"/>
            <w:vAlign w:val="center"/>
          </w:tcPr>
          <w:p w14:paraId="2776481F">
            <w:pPr>
              <w:pStyle w:val="26"/>
              <w:bidi w:val="0"/>
              <w:rPr>
                <w:rFonts w:hint="default"/>
                <w:lang w:val="en-US" w:eastAsia="zh-CN"/>
              </w:rPr>
            </w:pPr>
            <w:r>
              <w:rPr>
                <w:rFonts w:hint="eastAsia"/>
                <w:lang w:val="en-US" w:eastAsia="zh-CN"/>
              </w:rPr>
              <w:t>0.07</w:t>
            </w:r>
          </w:p>
        </w:tc>
        <w:tc>
          <w:tcPr>
            <w:tcW w:w="444" w:type="dxa"/>
            <w:vAlign w:val="center"/>
          </w:tcPr>
          <w:p w14:paraId="19E4268B">
            <w:pPr>
              <w:pStyle w:val="26"/>
              <w:bidi w:val="0"/>
              <w:rPr>
                <w:rFonts w:hint="default"/>
                <w:lang w:val="en-US" w:eastAsia="zh-CN"/>
              </w:rPr>
            </w:pPr>
            <w:r>
              <w:rPr>
                <w:rFonts w:hint="eastAsia"/>
                <w:lang w:val="en-US" w:eastAsia="zh-CN"/>
              </w:rPr>
              <w:t>22</w:t>
            </w:r>
          </w:p>
        </w:tc>
        <w:tc>
          <w:tcPr>
            <w:tcW w:w="598" w:type="dxa"/>
            <w:vAlign w:val="center"/>
          </w:tcPr>
          <w:p w14:paraId="706E99B6">
            <w:pPr>
              <w:pStyle w:val="26"/>
              <w:bidi w:val="0"/>
              <w:rPr>
                <w:rFonts w:hint="default"/>
                <w:lang w:val="en-US" w:eastAsia="zh-CN"/>
              </w:rPr>
            </w:pPr>
            <w:r>
              <w:rPr>
                <w:rFonts w:hint="eastAsia"/>
                <w:lang w:val="en-US" w:eastAsia="zh-CN"/>
              </w:rPr>
              <w:t>ND</w:t>
            </w:r>
          </w:p>
        </w:tc>
        <w:tc>
          <w:tcPr>
            <w:tcW w:w="694" w:type="dxa"/>
            <w:vAlign w:val="center"/>
          </w:tcPr>
          <w:p w14:paraId="1395063D">
            <w:pPr>
              <w:pStyle w:val="26"/>
              <w:bidi w:val="0"/>
              <w:rPr>
                <w:rFonts w:hint="default"/>
                <w:lang w:val="en-US" w:eastAsia="zh-CN"/>
              </w:rPr>
            </w:pPr>
            <w:r>
              <w:rPr>
                <w:rFonts w:hint="eastAsia"/>
                <w:lang w:val="en-US" w:eastAsia="zh-CN"/>
              </w:rPr>
              <w:t>4.1</w:t>
            </w:r>
          </w:p>
        </w:tc>
        <w:tc>
          <w:tcPr>
            <w:tcW w:w="1521" w:type="dxa"/>
            <w:vAlign w:val="center"/>
          </w:tcPr>
          <w:p w14:paraId="69519940">
            <w:pPr>
              <w:pStyle w:val="26"/>
              <w:bidi w:val="0"/>
              <w:rPr>
                <w:rFonts w:hint="default"/>
                <w:lang w:val="en-US" w:eastAsia="zh-CN"/>
              </w:rPr>
            </w:pPr>
            <w:r>
              <w:rPr>
                <w:rFonts w:hint="eastAsia"/>
                <w:lang w:val="en-US" w:eastAsia="zh-CN"/>
              </w:rPr>
              <w:t>3.1</w:t>
            </w:r>
          </w:p>
        </w:tc>
      </w:tr>
      <w:tr w14:paraId="688B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04DAECB6">
            <w:pPr>
              <w:pStyle w:val="26"/>
              <w:bidi w:val="0"/>
              <w:rPr>
                <w:rFonts w:hint="eastAsia"/>
                <w:lang w:val="en-US" w:eastAsia="zh-CN"/>
              </w:rPr>
            </w:pPr>
          </w:p>
        </w:tc>
        <w:tc>
          <w:tcPr>
            <w:tcW w:w="1009" w:type="dxa"/>
            <w:vMerge w:val="continue"/>
            <w:vAlign w:val="center"/>
          </w:tcPr>
          <w:p w14:paraId="7B3D8268">
            <w:pPr>
              <w:pStyle w:val="26"/>
              <w:bidi w:val="0"/>
              <w:rPr>
                <w:rFonts w:hint="default"/>
                <w:lang w:val="en-US" w:eastAsia="zh-CN"/>
              </w:rPr>
            </w:pPr>
          </w:p>
        </w:tc>
        <w:tc>
          <w:tcPr>
            <w:tcW w:w="596" w:type="dxa"/>
            <w:vAlign w:val="center"/>
          </w:tcPr>
          <w:p w14:paraId="68C7B1CE">
            <w:pPr>
              <w:pStyle w:val="26"/>
              <w:bidi w:val="0"/>
              <w:rPr>
                <w:rFonts w:hint="default"/>
                <w:lang w:val="en-US" w:eastAsia="zh-CN"/>
              </w:rPr>
            </w:pPr>
            <w:r>
              <w:rPr>
                <w:rFonts w:hint="eastAsia"/>
                <w:lang w:val="en-US" w:eastAsia="zh-CN"/>
              </w:rPr>
              <w:t>7.5</w:t>
            </w:r>
          </w:p>
        </w:tc>
        <w:tc>
          <w:tcPr>
            <w:tcW w:w="614" w:type="dxa"/>
            <w:vAlign w:val="center"/>
          </w:tcPr>
          <w:p w14:paraId="534706A2">
            <w:pPr>
              <w:pStyle w:val="26"/>
              <w:bidi w:val="0"/>
              <w:rPr>
                <w:rFonts w:hint="default"/>
                <w:lang w:val="en-US" w:eastAsia="zh-CN"/>
              </w:rPr>
            </w:pPr>
            <w:r>
              <w:rPr>
                <w:rFonts w:hint="eastAsia"/>
                <w:lang w:val="en-US" w:eastAsia="zh-CN"/>
              </w:rPr>
              <w:t>19.8</w:t>
            </w:r>
          </w:p>
        </w:tc>
        <w:tc>
          <w:tcPr>
            <w:tcW w:w="549" w:type="dxa"/>
            <w:vAlign w:val="center"/>
          </w:tcPr>
          <w:p w14:paraId="7BC7BFC8">
            <w:pPr>
              <w:pStyle w:val="26"/>
              <w:bidi w:val="0"/>
              <w:rPr>
                <w:rFonts w:hint="default"/>
                <w:lang w:val="en-US" w:eastAsia="zh-CN"/>
              </w:rPr>
            </w:pPr>
            <w:r>
              <w:rPr>
                <w:rFonts w:hint="eastAsia"/>
                <w:lang w:val="en-US" w:eastAsia="zh-CN"/>
              </w:rPr>
              <w:t>6.8</w:t>
            </w:r>
          </w:p>
        </w:tc>
        <w:tc>
          <w:tcPr>
            <w:tcW w:w="485" w:type="dxa"/>
            <w:vAlign w:val="center"/>
          </w:tcPr>
          <w:p w14:paraId="276C362A">
            <w:pPr>
              <w:pStyle w:val="26"/>
              <w:bidi w:val="0"/>
              <w:rPr>
                <w:rFonts w:hint="default"/>
                <w:lang w:val="en-US" w:eastAsia="zh-CN"/>
              </w:rPr>
            </w:pPr>
            <w:r>
              <w:rPr>
                <w:rFonts w:hint="eastAsia"/>
                <w:lang w:val="en-US" w:eastAsia="zh-CN"/>
              </w:rPr>
              <w:t>11</w:t>
            </w:r>
          </w:p>
        </w:tc>
        <w:tc>
          <w:tcPr>
            <w:tcW w:w="659" w:type="dxa"/>
            <w:vAlign w:val="center"/>
          </w:tcPr>
          <w:p w14:paraId="79127DDB">
            <w:pPr>
              <w:pStyle w:val="26"/>
              <w:bidi w:val="0"/>
              <w:rPr>
                <w:rFonts w:hint="default"/>
                <w:lang w:val="en-US" w:eastAsia="zh-CN"/>
              </w:rPr>
            </w:pPr>
            <w:r>
              <w:rPr>
                <w:rFonts w:hint="eastAsia"/>
                <w:lang w:val="en-US" w:eastAsia="zh-CN"/>
              </w:rPr>
              <w:t>0.43</w:t>
            </w:r>
          </w:p>
        </w:tc>
        <w:tc>
          <w:tcPr>
            <w:tcW w:w="662" w:type="dxa"/>
            <w:vAlign w:val="center"/>
          </w:tcPr>
          <w:p w14:paraId="054D2A48">
            <w:pPr>
              <w:pStyle w:val="26"/>
              <w:bidi w:val="0"/>
              <w:rPr>
                <w:rFonts w:hint="default"/>
                <w:lang w:val="en-US" w:eastAsia="zh-CN"/>
              </w:rPr>
            </w:pPr>
            <w:r>
              <w:rPr>
                <w:rFonts w:hint="eastAsia"/>
                <w:lang w:val="en-US" w:eastAsia="zh-CN"/>
              </w:rPr>
              <w:t>0.06</w:t>
            </w:r>
          </w:p>
        </w:tc>
        <w:tc>
          <w:tcPr>
            <w:tcW w:w="444" w:type="dxa"/>
            <w:vAlign w:val="center"/>
          </w:tcPr>
          <w:p w14:paraId="6EAD9909">
            <w:pPr>
              <w:pStyle w:val="26"/>
              <w:bidi w:val="0"/>
              <w:rPr>
                <w:rFonts w:hint="default"/>
                <w:lang w:val="en-US" w:eastAsia="zh-CN"/>
              </w:rPr>
            </w:pPr>
            <w:r>
              <w:rPr>
                <w:rFonts w:hint="eastAsia"/>
                <w:lang w:val="en-US" w:eastAsia="zh-CN"/>
              </w:rPr>
              <w:t>24</w:t>
            </w:r>
          </w:p>
        </w:tc>
        <w:tc>
          <w:tcPr>
            <w:tcW w:w="598" w:type="dxa"/>
            <w:vAlign w:val="center"/>
          </w:tcPr>
          <w:p w14:paraId="02E977E5">
            <w:pPr>
              <w:pStyle w:val="26"/>
              <w:bidi w:val="0"/>
              <w:rPr>
                <w:rFonts w:hint="default"/>
                <w:lang w:val="en-US" w:eastAsia="zh-CN"/>
              </w:rPr>
            </w:pPr>
            <w:r>
              <w:rPr>
                <w:rFonts w:hint="eastAsia"/>
                <w:lang w:val="en-US" w:eastAsia="zh-CN"/>
              </w:rPr>
              <w:t>ND</w:t>
            </w:r>
          </w:p>
        </w:tc>
        <w:tc>
          <w:tcPr>
            <w:tcW w:w="694" w:type="dxa"/>
            <w:vAlign w:val="center"/>
          </w:tcPr>
          <w:p w14:paraId="0A17B08D">
            <w:pPr>
              <w:pStyle w:val="26"/>
              <w:bidi w:val="0"/>
              <w:rPr>
                <w:rFonts w:hint="default"/>
                <w:lang w:val="en-US" w:eastAsia="zh-CN"/>
              </w:rPr>
            </w:pPr>
            <w:r>
              <w:rPr>
                <w:rFonts w:hint="eastAsia"/>
                <w:lang w:val="en-US" w:eastAsia="zh-CN"/>
              </w:rPr>
              <w:t>4.8</w:t>
            </w:r>
          </w:p>
        </w:tc>
        <w:tc>
          <w:tcPr>
            <w:tcW w:w="1521" w:type="dxa"/>
            <w:vAlign w:val="center"/>
          </w:tcPr>
          <w:p w14:paraId="2F6BCA0A">
            <w:pPr>
              <w:pStyle w:val="26"/>
              <w:bidi w:val="0"/>
              <w:rPr>
                <w:rFonts w:hint="default"/>
                <w:lang w:val="en-US" w:eastAsia="zh-CN"/>
              </w:rPr>
            </w:pPr>
            <w:r>
              <w:rPr>
                <w:rFonts w:hint="eastAsia"/>
                <w:lang w:val="en-US" w:eastAsia="zh-CN"/>
              </w:rPr>
              <w:t>2.5</w:t>
            </w:r>
          </w:p>
        </w:tc>
      </w:tr>
      <w:tr w14:paraId="572D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7D0872B6">
            <w:pPr>
              <w:pStyle w:val="26"/>
              <w:bidi w:val="0"/>
              <w:rPr>
                <w:rFonts w:hint="eastAsia"/>
                <w:lang w:val="en-US" w:eastAsia="zh-CN"/>
              </w:rPr>
            </w:pPr>
            <w:r>
              <w:rPr>
                <w:rFonts w:hint="eastAsia"/>
                <w:lang w:val="en-US" w:eastAsia="zh-CN"/>
              </w:rPr>
              <w:t>W4</w:t>
            </w:r>
          </w:p>
        </w:tc>
        <w:tc>
          <w:tcPr>
            <w:tcW w:w="1009" w:type="dxa"/>
            <w:vMerge w:val="restart"/>
            <w:vAlign w:val="center"/>
          </w:tcPr>
          <w:p w14:paraId="22CEBE20">
            <w:pPr>
              <w:pStyle w:val="26"/>
              <w:bidi w:val="0"/>
              <w:rPr>
                <w:rFonts w:hint="default"/>
                <w:lang w:val="en-US" w:eastAsia="zh-CN"/>
              </w:rPr>
            </w:pPr>
            <w:r>
              <w:rPr>
                <w:rFonts w:hint="eastAsia"/>
                <w:lang w:val="en-US" w:eastAsia="zh-CN"/>
              </w:rPr>
              <w:t>2026.04.07</w:t>
            </w:r>
          </w:p>
        </w:tc>
        <w:tc>
          <w:tcPr>
            <w:tcW w:w="596" w:type="dxa"/>
            <w:vAlign w:val="center"/>
          </w:tcPr>
          <w:p w14:paraId="0326B5AA">
            <w:pPr>
              <w:pStyle w:val="26"/>
              <w:bidi w:val="0"/>
              <w:rPr>
                <w:rFonts w:hint="default"/>
                <w:lang w:val="en-US" w:eastAsia="zh-CN"/>
              </w:rPr>
            </w:pPr>
            <w:r>
              <w:rPr>
                <w:rFonts w:hint="eastAsia"/>
                <w:lang w:val="en-US" w:eastAsia="zh-CN"/>
              </w:rPr>
              <w:t>7.5</w:t>
            </w:r>
          </w:p>
        </w:tc>
        <w:tc>
          <w:tcPr>
            <w:tcW w:w="614" w:type="dxa"/>
            <w:vAlign w:val="center"/>
          </w:tcPr>
          <w:p w14:paraId="10879E80">
            <w:pPr>
              <w:pStyle w:val="26"/>
              <w:bidi w:val="0"/>
              <w:rPr>
                <w:rFonts w:hint="default"/>
                <w:lang w:val="en-US" w:eastAsia="zh-CN"/>
              </w:rPr>
            </w:pPr>
            <w:r>
              <w:rPr>
                <w:rFonts w:hint="eastAsia"/>
                <w:lang w:val="en-US" w:eastAsia="zh-CN"/>
              </w:rPr>
              <w:t>18.8</w:t>
            </w:r>
          </w:p>
        </w:tc>
        <w:tc>
          <w:tcPr>
            <w:tcW w:w="549" w:type="dxa"/>
            <w:vAlign w:val="center"/>
          </w:tcPr>
          <w:p w14:paraId="123BCCF9">
            <w:pPr>
              <w:pStyle w:val="26"/>
              <w:bidi w:val="0"/>
              <w:rPr>
                <w:rFonts w:hint="default"/>
                <w:lang w:val="en-US" w:eastAsia="zh-CN"/>
              </w:rPr>
            </w:pPr>
            <w:r>
              <w:rPr>
                <w:rFonts w:hint="eastAsia"/>
                <w:lang w:val="en-US" w:eastAsia="zh-CN"/>
              </w:rPr>
              <w:t>7.8</w:t>
            </w:r>
          </w:p>
        </w:tc>
        <w:tc>
          <w:tcPr>
            <w:tcW w:w="485" w:type="dxa"/>
            <w:vAlign w:val="center"/>
          </w:tcPr>
          <w:p w14:paraId="2FF16D05">
            <w:pPr>
              <w:pStyle w:val="26"/>
              <w:bidi w:val="0"/>
              <w:rPr>
                <w:rFonts w:hint="default"/>
                <w:lang w:val="en-US" w:eastAsia="zh-CN"/>
              </w:rPr>
            </w:pPr>
            <w:r>
              <w:rPr>
                <w:rFonts w:hint="eastAsia"/>
                <w:lang w:val="en-US" w:eastAsia="zh-CN"/>
              </w:rPr>
              <w:t>7</w:t>
            </w:r>
          </w:p>
        </w:tc>
        <w:tc>
          <w:tcPr>
            <w:tcW w:w="659" w:type="dxa"/>
            <w:vAlign w:val="center"/>
          </w:tcPr>
          <w:p w14:paraId="6FED83E8">
            <w:pPr>
              <w:pStyle w:val="26"/>
              <w:bidi w:val="0"/>
              <w:rPr>
                <w:rFonts w:hint="default"/>
                <w:lang w:val="en-US" w:eastAsia="zh-CN"/>
              </w:rPr>
            </w:pPr>
            <w:r>
              <w:rPr>
                <w:rFonts w:hint="eastAsia"/>
                <w:lang w:val="en-US" w:eastAsia="zh-CN"/>
              </w:rPr>
              <w:t>0.28</w:t>
            </w:r>
          </w:p>
        </w:tc>
        <w:tc>
          <w:tcPr>
            <w:tcW w:w="662" w:type="dxa"/>
            <w:vAlign w:val="center"/>
          </w:tcPr>
          <w:p w14:paraId="457173A7">
            <w:pPr>
              <w:pStyle w:val="26"/>
              <w:bidi w:val="0"/>
              <w:rPr>
                <w:rFonts w:hint="default"/>
                <w:lang w:val="en-US" w:eastAsia="zh-CN"/>
              </w:rPr>
            </w:pPr>
            <w:r>
              <w:rPr>
                <w:rFonts w:hint="eastAsia"/>
                <w:lang w:val="en-US" w:eastAsia="zh-CN"/>
              </w:rPr>
              <w:t>0.07</w:t>
            </w:r>
          </w:p>
        </w:tc>
        <w:tc>
          <w:tcPr>
            <w:tcW w:w="444" w:type="dxa"/>
            <w:vAlign w:val="center"/>
          </w:tcPr>
          <w:p w14:paraId="2F310FA8">
            <w:pPr>
              <w:pStyle w:val="26"/>
              <w:bidi w:val="0"/>
              <w:rPr>
                <w:rFonts w:hint="default"/>
                <w:lang w:val="en-US" w:eastAsia="zh-CN"/>
              </w:rPr>
            </w:pPr>
            <w:r>
              <w:rPr>
                <w:rFonts w:hint="eastAsia"/>
                <w:lang w:val="en-US" w:eastAsia="zh-CN"/>
              </w:rPr>
              <w:t>33</w:t>
            </w:r>
          </w:p>
        </w:tc>
        <w:tc>
          <w:tcPr>
            <w:tcW w:w="598" w:type="dxa"/>
            <w:vAlign w:val="center"/>
          </w:tcPr>
          <w:p w14:paraId="1D9E33D9">
            <w:pPr>
              <w:pStyle w:val="26"/>
              <w:bidi w:val="0"/>
              <w:rPr>
                <w:rFonts w:hint="default"/>
                <w:lang w:val="en-US" w:eastAsia="zh-CN"/>
              </w:rPr>
            </w:pPr>
            <w:r>
              <w:rPr>
                <w:rFonts w:hint="eastAsia"/>
                <w:lang w:val="en-US" w:eastAsia="zh-CN"/>
              </w:rPr>
              <w:t>ND</w:t>
            </w:r>
          </w:p>
        </w:tc>
        <w:tc>
          <w:tcPr>
            <w:tcW w:w="694" w:type="dxa"/>
            <w:vAlign w:val="center"/>
          </w:tcPr>
          <w:p w14:paraId="26BC4DD4">
            <w:pPr>
              <w:pStyle w:val="26"/>
              <w:bidi w:val="0"/>
              <w:rPr>
                <w:rFonts w:hint="default"/>
                <w:lang w:val="en-US" w:eastAsia="zh-CN"/>
              </w:rPr>
            </w:pPr>
            <w:r>
              <w:rPr>
                <w:rFonts w:hint="eastAsia"/>
                <w:lang w:val="en-US" w:eastAsia="zh-CN"/>
              </w:rPr>
              <w:t>3.9</w:t>
            </w:r>
          </w:p>
        </w:tc>
        <w:tc>
          <w:tcPr>
            <w:tcW w:w="1521" w:type="dxa"/>
            <w:vAlign w:val="center"/>
          </w:tcPr>
          <w:p w14:paraId="497AA408">
            <w:pPr>
              <w:pStyle w:val="26"/>
              <w:bidi w:val="0"/>
              <w:rPr>
                <w:rFonts w:hint="default"/>
                <w:lang w:val="en-US" w:eastAsia="zh-CN"/>
              </w:rPr>
            </w:pPr>
            <w:r>
              <w:rPr>
                <w:rFonts w:hint="eastAsia"/>
                <w:lang w:val="en-US" w:eastAsia="zh-CN"/>
              </w:rPr>
              <w:t>3.0</w:t>
            </w:r>
          </w:p>
        </w:tc>
      </w:tr>
      <w:tr w14:paraId="3C31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57435CCA">
            <w:pPr>
              <w:pStyle w:val="26"/>
              <w:bidi w:val="0"/>
              <w:rPr>
                <w:rFonts w:hint="eastAsia"/>
                <w:lang w:val="en-US" w:eastAsia="zh-CN"/>
              </w:rPr>
            </w:pPr>
          </w:p>
        </w:tc>
        <w:tc>
          <w:tcPr>
            <w:tcW w:w="1009" w:type="dxa"/>
            <w:vMerge w:val="continue"/>
            <w:vAlign w:val="center"/>
          </w:tcPr>
          <w:p w14:paraId="2CE52490">
            <w:pPr>
              <w:pStyle w:val="26"/>
              <w:bidi w:val="0"/>
              <w:rPr>
                <w:rFonts w:hint="default"/>
                <w:lang w:val="en-US" w:eastAsia="zh-CN"/>
              </w:rPr>
            </w:pPr>
          </w:p>
        </w:tc>
        <w:tc>
          <w:tcPr>
            <w:tcW w:w="596" w:type="dxa"/>
            <w:vAlign w:val="center"/>
          </w:tcPr>
          <w:p w14:paraId="5DB87F21">
            <w:pPr>
              <w:pStyle w:val="26"/>
              <w:bidi w:val="0"/>
              <w:rPr>
                <w:rFonts w:hint="default"/>
                <w:lang w:val="en-US" w:eastAsia="zh-CN"/>
              </w:rPr>
            </w:pPr>
            <w:r>
              <w:rPr>
                <w:rFonts w:hint="eastAsia"/>
                <w:lang w:val="en-US" w:eastAsia="zh-CN"/>
              </w:rPr>
              <w:t>7.5</w:t>
            </w:r>
          </w:p>
        </w:tc>
        <w:tc>
          <w:tcPr>
            <w:tcW w:w="614" w:type="dxa"/>
            <w:vAlign w:val="center"/>
          </w:tcPr>
          <w:p w14:paraId="49DF544C">
            <w:pPr>
              <w:pStyle w:val="26"/>
              <w:bidi w:val="0"/>
              <w:rPr>
                <w:rFonts w:hint="default"/>
                <w:lang w:val="en-US" w:eastAsia="zh-CN"/>
              </w:rPr>
            </w:pPr>
            <w:r>
              <w:rPr>
                <w:rFonts w:hint="eastAsia"/>
                <w:lang w:val="en-US" w:eastAsia="zh-CN"/>
              </w:rPr>
              <w:t>19.8</w:t>
            </w:r>
          </w:p>
        </w:tc>
        <w:tc>
          <w:tcPr>
            <w:tcW w:w="549" w:type="dxa"/>
            <w:vAlign w:val="center"/>
          </w:tcPr>
          <w:p w14:paraId="22C179D6">
            <w:pPr>
              <w:pStyle w:val="26"/>
              <w:bidi w:val="0"/>
              <w:rPr>
                <w:rFonts w:hint="default"/>
                <w:lang w:val="en-US" w:eastAsia="zh-CN"/>
              </w:rPr>
            </w:pPr>
            <w:r>
              <w:rPr>
                <w:rFonts w:hint="eastAsia"/>
                <w:lang w:val="en-US" w:eastAsia="zh-CN"/>
              </w:rPr>
              <w:t>7.5</w:t>
            </w:r>
          </w:p>
        </w:tc>
        <w:tc>
          <w:tcPr>
            <w:tcW w:w="485" w:type="dxa"/>
            <w:vAlign w:val="center"/>
          </w:tcPr>
          <w:p w14:paraId="316C58E5">
            <w:pPr>
              <w:pStyle w:val="26"/>
              <w:bidi w:val="0"/>
              <w:rPr>
                <w:rFonts w:hint="default"/>
                <w:lang w:val="en-US" w:eastAsia="zh-CN"/>
              </w:rPr>
            </w:pPr>
            <w:r>
              <w:rPr>
                <w:rFonts w:hint="eastAsia"/>
                <w:lang w:val="en-US" w:eastAsia="zh-CN"/>
              </w:rPr>
              <w:t>9</w:t>
            </w:r>
          </w:p>
        </w:tc>
        <w:tc>
          <w:tcPr>
            <w:tcW w:w="659" w:type="dxa"/>
            <w:vAlign w:val="center"/>
          </w:tcPr>
          <w:p w14:paraId="78CD70F7">
            <w:pPr>
              <w:pStyle w:val="26"/>
              <w:bidi w:val="0"/>
              <w:rPr>
                <w:rFonts w:hint="default"/>
                <w:lang w:val="en-US" w:eastAsia="zh-CN"/>
              </w:rPr>
            </w:pPr>
            <w:r>
              <w:rPr>
                <w:rFonts w:hint="eastAsia"/>
                <w:lang w:val="en-US" w:eastAsia="zh-CN"/>
              </w:rPr>
              <w:t>0.28</w:t>
            </w:r>
          </w:p>
        </w:tc>
        <w:tc>
          <w:tcPr>
            <w:tcW w:w="662" w:type="dxa"/>
            <w:vAlign w:val="center"/>
          </w:tcPr>
          <w:p w14:paraId="2D88059D">
            <w:pPr>
              <w:pStyle w:val="26"/>
              <w:bidi w:val="0"/>
              <w:rPr>
                <w:rFonts w:hint="default"/>
                <w:lang w:val="en-US" w:eastAsia="zh-CN"/>
              </w:rPr>
            </w:pPr>
            <w:r>
              <w:rPr>
                <w:rFonts w:hint="eastAsia"/>
                <w:lang w:val="en-US" w:eastAsia="zh-CN"/>
              </w:rPr>
              <w:t>0.08</w:t>
            </w:r>
          </w:p>
        </w:tc>
        <w:tc>
          <w:tcPr>
            <w:tcW w:w="444" w:type="dxa"/>
            <w:vAlign w:val="center"/>
          </w:tcPr>
          <w:p w14:paraId="150228AC">
            <w:pPr>
              <w:pStyle w:val="26"/>
              <w:bidi w:val="0"/>
              <w:rPr>
                <w:rFonts w:hint="default"/>
                <w:lang w:val="en-US" w:eastAsia="zh-CN"/>
              </w:rPr>
            </w:pPr>
            <w:r>
              <w:rPr>
                <w:rFonts w:hint="eastAsia"/>
                <w:lang w:val="en-US" w:eastAsia="zh-CN"/>
              </w:rPr>
              <w:t>40</w:t>
            </w:r>
          </w:p>
        </w:tc>
        <w:tc>
          <w:tcPr>
            <w:tcW w:w="598" w:type="dxa"/>
            <w:vAlign w:val="center"/>
          </w:tcPr>
          <w:p w14:paraId="5F3A9887">
            <w:pPr>
              <w:pStyle w:val="26"/>
              <w:bidi w:val="0"/>
              <w:rPr>
                <w:rFonts w:hint="default"/>
                <w:lang w:val="en-US" w:eastAsia="zh-CN"/>
              </w:rPr>
            </w:pPr>
            <w:r>
              <w:rPr>
                <w:rFonts w:hint="eastAsia"/>
                <w:lang w:val="en-US" w:eastAsia="zh-CN"/>
              </w:rPr>
              <w:t>ND</w:t>
            </w:r>
          </w:p>
        </w:tc>
        <w:tc>
          <w:tcPr>
            <w:tcW w:w="694" w:type="dxa"/>
            <w:vAlign w:val="center"/>
          </w:tcPr>
          <w:p w14:paraId="18F5722C">
            <w:pPr>
              <w:pStyle w:val="26"/>
              <w:bidi w:val="0"/>
              <w:rPr>
                <w:rFonts w:hint="default"/>
                <w:lang w:val="en-US" w:eastAsia="zh-CN"/>
              </w:rPr>
            </w:pPr>
            <w:r>
              <w:rPr>
                <w:rFonts w:hint="eastAsia"/>
                <w:lang w:val="en-US" w:eastAsia="zh-CN"/>
              </w:rPr>
              <w:t>4.4</w:t>
            </w:r>
          </w:p>
        </w:tc>
        <w:tc>
          <w:tcPr>
            <w:tcW w:w="1521" w:type="dxa"/>
            <w:vAlign w:val="center"/>
          </w:tcPr>
          <w:p w14:paraId="2D85AAA7">
            <w:pPr>
              <w:pStyle w:val="26"/>
              <w:bidi w:val="0"/>
              <w:rPr>
                <w:rFonts w:hint="default"/>
                <w:lang w:val="en-US" w:eastAsia="zh-CN"/>
              </w:rPr>
            </w:pPr>
            <w:r>
              <w:rPr>
                <w:rFonts w:hint="eastAsia"/>
                <w:lang w:val="en-US" w:eastAsia="zh-CN"/>
              </w:rPr>
              <w:t>3.0</w:t>
            </w:r>
          </w:p>
        </w:tc>
      </w:tr>
      <w:tr w14:paraId="1D56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7ABA0C11">
            <w:pPr>
              <w:pStyle w:val="26"/>
              <w:bidi w:val="0"/>
              <w:rPr>
                <w:rFonts w:hint="eastAsia"/>
                <w:lang w:val="en-US" w:eastAsia="zh-CN"/>
              </w:rPr>
            </w:pPr>
            <w:r>
              <w:rPr>
                <w:rFonts w:hint="eastAsia"/>
                <w:lang w:val="en-US" w:eastAsia="zh-CN"/>
              </w:rPr>
              <w:t>W5</w:t>
            </w:r>
          </w:p>
        </w:tc>
        <w:tc>
          <w:tcPr>
            <w:tcW w:w="1009" w:type="dxa"/>
            <w:vMerge w:val="restart"/>
            <w:vAlign w:val="center"/>
          </w:tcPr>
          <w:p w14:paraId="1B5ECF31">
            <w:pPr>
              <w:pStyle w:val="26"/>
              <w:bidi w:val="0"/>
              <w:rPr>
                <w:rFonts w:hint="default"/>
                <w:lang w:val="en-US" w:eastAsia="zh-CN"/>
              </w:rPr>
            </w:pPr>
            <w:r>
              <w:rPr>
                <w:rFonts w:hint="eastAsia"/>
                <w:lang w:val="en-US" w:eastAsia="zh-CN"/>
              </w:rPr>
              <w:t>2026.04.07</w:t>
            </w:r>
          </w:p>
        </w:tc>
        <w:tc>
          <w:tcPr>
            <w:tcW w:w="596" w:type="dxa"/>
            <w:vAlign w:val="center"/>
          </w:tcPr>
          <w:p w14:paraId="73AAA24C">
            <w:pPr>
              <w:pStyle w:val="26"/>
              <w:bidi w:val="0"/>
              <w:rPr>
                <w:rFonts w:hint="default"/>
                <w:lang w:val="en-US" w:eastAsia="zh-CN"/>
              </w:rPr>
            </w:pPr>
            <w:r>
              <w:rPr>
                <w:rFonts w:hint="eastAsia"/>
                <w:lang w:val="en-US" w:eastAsia="zh-CN"/>
              </w:rPr>
              <w:t>7.9</w:t>
            </w:r>
          </w:p>
        </w:tc>
        <w:tc>
          <w:tcPr>
            <w:tcW w:w="614" w:type="dxa"/>
            <w:vAlign w:val="center"/>
          </w:tcPr>
          <w:p w14:paraId="6495FC1C">
            <w:pPr>
              <w:pStyle w:val="26"/>
              <w:bidi w:val="0"/>
              <w:rPr>
                <w:rFonts w:hint="default"/>
                <w:lang w:val="en-US" w:eastAsia="zh-CN"/>
              </w:rPr>
            </w:pPr>
            <w:r>
              <w:rPr>
                <w:rFonts w:hint="eastAsia"/>
                <w:lang w:val="en-US" w:eastAsia="zh-CN"/>
              </w:rPr>
              <w:t>19.4</w:t>
            </w:r>
          </w:p>
        </w:tc>
        <w:tc>
          <w:tcPr>
            <w:tcW w:w="549" w:type="dxa"/>
            <w:vAlign w:val="center"/>
          </w:tcPr>
          <w:p w14:paraId="70FE49A4">
            <w:pPr>
              <w:pStyle w:val="26"/>
              <w:bidi w:val="0"/>
              <w:rPr>
                <w:rFonts w:hint="default"/>
                <w:lang w:val="en-US" w:eastAsia="zh-CN"/>
              </w:rPr>
            </w:pPr>
            <w:r>
              <w:rPr>
                <w:rFonts w:hint="eastAsia"/>
                <w:lang w:val="en-US" w:eastAsia="zh-CN"/>
              </w:rPr>
              <w:t>8.6</w:t>
            </w:r>
          </w:p>
        </w:tc>
        <w:tc>
          <w:tcPr>
            <w:tcW w:w="485" w:type="dxa"/>
            <w:vAlign w:val="center"/>
          </w:tcPr>
          <w:p w14:paraId="0D2EB427">
            <w:pPr>
              <w:pStyle w:val="26"/>
              <w:bidi w:val="0"/>
              <w:rPr>
                <w:rFonts w:hint="default"/>
                <w:lang w:val="en-US" w:eastAsia="zh-CN"/>
              </w:rPr>
            </w:pPr>
            <w:r>
              <w:rPr>
                <w:rFonts w:hint="eastAsia"/>
                <w:lang w:val="en-US" w:eastAsia="zh-CN"/>
              </w:rPr>
              <w:t>6</w:t>
            </w:r>
          </w:p>
        </w:tc>
        <w:tc>
          <w:tcPr>
            <w:tcW w:w="659" w:type="dxa"/>
            <w:vAlign w:val="center"/>
          </w:tcPr>
          <w:p w14:paraId="656F3A90">
            <w:pPr>
              <w:pStyle w:val="26"/>
              <w:bidi w:val="0"/>
              <w:rPr>
                <w:rFonts w:hint="default"/>
                <w:lang w:val="en-US" w:eastAsia="zh-CN"/>
              </w:rPr>
            </w:pPr>
            <w:r>
              <w:rPr>
                <w:rFonts w:hint="eastAsia"/>
                <w:lang w:val="en-US" w:eastAsia="zh-CN"/>
              </w:rPr>
              <w:t>0.24</w:t>
            </w:r>
          </w:p>
        </w:tc>
        <w:tc>
          <w:tcPr>
            <w:tcW w:w="662" w:type="dxa"/>
            <w:vAlign w:val="center"/>
          </w:tcPr>
          <w:p w14:paraId="5A175A9F">
            <w:pPr>
              <w:pStyle w:val="26"/>
              <w:bidi w:val="0"/>
              <w:rPr>
                <w:rFonts w:hint="default"/>
                <w:lang w:val="en-US" w:eastAsia="zh-CN"/>
              </w:rPr>
            </w:pPr>
            <w:r>
              <w:rPr>
                <w:rFonts w:hint="eastAsia"/>
                <w:lang w:val="en-US" w:eastAsia="zh-CN"/>
              </w:rPr>
              <w:t>0.09</w:t>
            </w:r>
          </w:p>
        </w:tc>
        <w:tc>
          <w:tcPr>
            <w:tcW w:w="444" w:type="dxa"/>
            <w:vAlign w:val="center"/>
          </w:tcPr>
          <w:p w14:paraId="634782EB">
            <w:pPr>
              <w:pStyle w:val="26"/>
              <w:bidi w:val="0"/>
              <w:rPr>
                <w:rFonts w:hint="default"/>
                <w:lang w:val="en-US" w:eastAsia="zh-CN"/>
              </w:rPr>
            </w:pPr>
            <w:r>
              <w:rPr>
                <w:rFonts w:hint="eastAsia"/>
                <w:lang w:val="en-US" w:eastAsia="zh-CN"/>
              </w:rPr>
              <w:t>32</w:t>
            </w:r>
          </w:p>
        </w:tc>
        <w:tc>
          <w:tcPr>
            <w:tcW w:w="598" w:type="dxa"/>
            <w:vAlign w:val="center"/>
          </w:tcPr>
          <w:p w14:paraId="4B0B8F31">
            <w:pPr>
              <w:pStyle w:val="26"/>
              <w:bidi w:val="0"/>
              <w:rPr>
                <w:rFonts w:hint="default"/>
                <w:lang w:val="en-US" w:eastAsia="zh-CN"/>
              </w:rPr>
            </w:pPr>
            <w:r>
              <w:rPr>
                <w:rFonts w:hint="eastAsia"/>
                <w:lang w:val="en-US" w:eastAsia="zh-CN"/>
              </w:rPr>
              <w:t>ND</w:t>
            </w:r>
          </w:p>
        </w:tc>
        <w:tc>
          <w:tcPr>
            <w:tcW w:w="694" w:type="dxa"/>
            <w:vAlign w:val="center"/>
          </w:tcPr>
          <w:p w14:paraId="7E2C086E">
            <w:pPr>
              <w:pStyle w:val="26"/>
              <w:bidi w:val="0"/>
              <w:rPr>
                <w:rFonts w:hint="default"/>
                <w:lang w:val="en-US" w:eastAsia="zh-CN"/>
              </w:rPr>
            </w:pPr>
            <w:r>
              <w:rPr>
                <w:rFonts w:hint="eastAsia"/>
                <w:lang w:val="en-US" w:eastAsia="zh-CN"/>
              </w:rPr>
              <w:t>3.0</w:t>
            </w:r>
          </w:p>
        </w:tc>
        <w:tc>
          <w:tcPr>
            <w:tcW w:w="1521" w:type="dxa"/>
            <w:vAlign w:val="center"/>
          </w:tcPr>
          <w:p w14:paraId="59398452">
            <w:pPr>
              <w:pStyle w:val="26"/>
              <w:bidi w:val="0"/>
              <w:rPr>
                <w:rFonts w:hint="default"/>
                <w:lang w:val="en-US" w:eastAsia="zh-CN"/>
              </w:rPr>
            </w:pPr>
            <w:r>
              <w:rPr>
                <w:rFonts w:hint="eastAsia"/>
                <w:lang w:val="en-US" w:eastAsia="zh-CN"/>
              </w:rPr>
              <w:t>2.8</w:t>
            </w:r>
          </w:p>
        </w:tc>
      </w:tr>
      <w:tr w14:paraId="4491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7B7CDC50">
            <w:pPr>
              <w:pStyle w:val="26"/>
              <w:bidi w:val="0"/>
              <w:rPr>
                <w:rFonts w:hint="eastAsia"/>
                <w:lang w:val="en-US" w:eastAsia="zh-CN"/>
              </w:rPr>
            </w:pPr>
          </w:p>
        </w:tc>
        <w:tc>
          <w:tcPr>
            <w:tcW w:w="1009" w:type="dxa"/>
            <w:vMerge w:val="continue"/>
            <w:vAlign w:val="center"/>
          </w:tcPr>
          <w:p w14:paraId="334813D7">
            <w:pPr>
              <w:pStyle w:val="26"/>
              <w:bidi w:val="0"/>
              <w:rPr>
                <w:rFonts w:hint="default"/>
                <w:lang w:val="en-US" w:eastAsia="zh-CN"/>
              </w:rPr>
            </w:pPr>
          </w:p>
        </w:tc>
        <w:tc>
          <w:tcPr>
            <w:tcW w:w="596" w:type="dxa"/>
            <w:vAlign w:val="center"/>
          </w:tcPr>
          <w:p w14:paraId="0C2B1079">
            <w:pPr>
              <w:pStyle w:val="26"/>
              <w:bidi w:val="0"/>
              <w:rPr>
                <w:rFonts w:hint="default"/>
                <w:lang w:val="en-US" w:eastAsia="zh-CN"/>
              </w:rPr>
            </w:pPr>
            <w:r>
              <w:rPr>
                <w:rFonts w:hint="eastAsia"/>
                <w:lang w:val="en-US" w:eastAsia="zh-CN"/>
              </w:rPr>
              <w:t>8.1</w:t>
            </w:r>
          </w:p>
        </w:tc>
        <w:tc>
          <w:tcPr>
            <w:tcW w:w="614" w:type="dxa"/>
            <w:vAlign w:val="center"/>
          </w:tcPr>
          <w:p w14:paraId="5783F874">
            <w:pPr>
              <w:pStyle w:val="26"/>
              <w:bidi w:val="0"/>
              <w:rPr>
                <w:rFonts w:hint="default"/>
                <w:lang w:val="en-US" w:eastAsia="zh-CN"/>
              </w:rPr>
            </w:pPr>
            <w:r>
              <w:rPr>
                <w:rFonts w:hint="eastAsia"/>
                <w:lang w:val="en-US" w:eastAsia="zh-CN"/>
              </w:rPr>
              <w:t>20.2</w:t>
            </w:r>
          </w:p>
        </w:tc>
        <w:tc>
          <w:tcPr>
            <w:tcW w:w="549" w:type="dxa"/>
            <w:vAlign w:val="center"/>
          </w:tcPr>
          <w:p w14:paraId="6B7F4E0B">
            <w:pPr>
              <w:pStyle w:val="26"/>
              <w:bidi w:val="0"/>
              <w:rPr>
                <w:rFonts w:hint="default"/>
                <w:lang w:val="en-US" w:eastAsia="zh-CN"/>
              </w:rPr>
            </w:pPr>
            <w:r>
              <w:rPr>
                <w:rFonts w:hint="eastAsia"/>
                <w:lang w:val="en-US" w:eastAsia="zh-CN"/>
              </w:rPr>
              <w:t>8.3</w:t>
            </w:r>
          </w:p>
        </w:tc>
        <w:tc>
          <w:tcPr>
            <w:tcW w:w="485" w:type="dxa"/>
            <w:vAlign w:val="center"/>
          </w:tcPr>
          <w:p w14:paraId="7C7D17D6">
            <w:pPr>
              <w:pStyle w:val="26"/>
              <w:bidi w:val="0"/>
              <w:rPr>
                <w:rFonts w:hint="default"/>
                <w:lang w:val="en-US" w:eastAsia="zh-CN"/>
              </w:rPr>
            </w:pPr>
            <w:r>
              <w:rPr>
                <w:rFonts w:hint="eastAsia"/>
                <w:lang w:val="en-US" w:eastAsia="zh-CN"/>
              </w:rPr>
              <w:t>6</w:t>
            </w:r>
          </w:p>
        </w:tc>
        <w:tc>
          <w:tcPr>
            <w:tcW w:w="659" w:type="dxa"/>
            <w:vAlign w:val="center"/>
          </w:tcPr>
          <w:p w14:paraId="225F1BD1">
            <w:pPr>
              <w:pStyle w:val="26"/>
              <w:bidi w:val="0"/>
              <w:rPr>
                <w:rFonts w:hint="default"/>
                <w:lang w:val="en-US" w:eastAsia="zh-CN"/>
              </w:rPr>
            </w:pPr>
            <w:r>
              <w:rPr>
                <w:rFonts w:hint="eastAsia"/>
                <w:lang w:val="en-US" w:eastAsia="zh-CN"/>
              </w:rPr>
              <w:t>0.24</w:t>
            </w:r>
          </w:p>
        </w:tc>
        <w:tc>
          <w:tcPr>
            <w:tcW w:w="662" w:type="dxa"/>
            <w:vAlign w:val="center"/>
          </w:tcPr>
          <w:p w14:paraId="7C757869">
            <w:pPr>
              <w:pStyle w:val="26"/>
              <w:bidi w:val="0"/>
              <w:rPr>
                <w:rFonts w:hint="default"/>
                <w:lang w:val="en-US" w:eastAsia="zh-CN"/>
              </w:rPr>
            </w:pPr>
            <w:r>
              <w:rPr>
                <w:rFonts w:hint="eastAsia"/>
                <w:lang w:val="en-US" w:eastAsia="zh-CN"/>
              </w:rPr>
              <w:t>0.09</w:t>
            </w:r>
          </w:p>
        </w:tc>
        <w:tc>
          <w:tcPr>
            <w:tcW w:w="444" w:type="dxa"/>
            <w:vAlign w:val="center"/>
          </w:tcPr>
          <w:p w14:paraId="0425C92F">
            <w:pPr>
              <w:pStyle w:val="26"/>
              <w:bidi w:val="0"/>
              <w:rPr>
                <w:rFonts w:hint="default"/>
                <w:lang w:val="en-US" w:eastAsia="zh-CN"/>
              </w:rPr>
            </w:pPr>
            <w:r>
              <w:rPr>
                <w:rFonts w:hint="eastAsia"/>
                <w:lang w:val="en-US" w:eastAsia="zh-CN"/>
              </w:rPr>
              <w:t>26</w:t>
            </w:r>
          </w:p>
        </w:tc>
        <w:tc>
          <w:tcPr>
            <w:tcW w:w="598" w:type="dxa"/>
            <w:vAlign w:val="center"/>
          </w:tcPr>
          <w:p w14:paraId="16A0B74B">
            <w:pPr>
              <w:pStyle w:val="26"/>
              <w:bidi w:val="0"/>
              <w:rPr>
                <w:rFonts w:hint="default"/>
                <w:lang w:val="en-US" w:eastAsia="zh-CN"/>
              </w:rPr>
            </w:pPr>
            <w:r>
              <w:rPr>
                <w:rFonts w:hint="eastAsia"/>
                <w:lang w:val="en-US" w:eastAsia="zh-CN"/>
              </w:rPr>
              <w:t>ND</w:t>
            </w:r>
          </w:p>
        </w:tc>
        <w:tc>
          <w:tcPr>
            <w:tcW w:w="694" w:type="dxa"/>
            <w:vAlign w:val="center"/>
          </w:tcPr>
          <w:p w14:paraId="24406BEA">
            <w:pPr>
              <w:pStyle w:val="26"/>
              <w:bidi w:val="0"/>
              <w:rPr>
                <w:rFonts w:hint="default"/>
                <w:lang w:val="en-US" w:eastAsia="zh-CN"/>
              </w:rPr>
            </w:pPr>
            <w:r>
              <w:rPr>
                <w:rFonts w:hint="eastAsia"/>
                <w:lang w:val="en-US" w:eastAsia="zh-CN"/>
              </w:rPr>
              <w:t>3.8</w:t>
            </w:r>
          </w:p>
        </w:tc>
        <w:tc>
          <w:tcPr>
            <w:tcW w:w="1521" w:type="dxa"/>
            <w:vAlign w:val="center"/>
          </w:tcPr>
          <w:p w14:paraId="2656A386">
            <w:pPr>
              <w:pStyle w:val="26"/>
              <w:bidi w:val="0"/>
              <w:rPr>
                <w:rFonts w:hint="default"/>
                <w:lang w:val="en-US" w:eastAsia="zh-CN"/>
              </w:rPr>
            </w:pPr>
            <w:r>
              <w:rPr>
                <w:rFonts w:hint="eastAsia"/>
                <w:lang w:val="en-US" w:eastAsia="zh-CN"/>
              </w:rPr>
              <w:t>3.1</w:t>
            </w:r>
          </w:p>
        </w:tc>
      </w:tr>
      <w:tr w14:paraId="1FB4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6DF42670">
            <w:pPr>
              <w:pStyle w:val="26"/>
              <w:bidi w:val="0"/>
              <w:rPr>
                <w:rFonts w:hint="eastAsia"/>
                <w:lang w:val="en-US" w:eastAsia="zh-CN"/>
              </w:rPr>
            </w:pPr>
            <w:r>
              <w:rPr>
                <w:rFonts w:hint="eastAsia"/>
                <w:lang w:val="en-US" w:eastAsia="zh-CN"/>
              </w:rPr>
              <w:t>W1</w:t>
            </w:r>
          </w:p>
        </w:tc>
        <w:tc>
          <w:tcPr>
            <w:tcW w:w="1009" w:type="dxa"/>
            <w:vMerge w:val="restart"/>
            <w:vAlign w:val="center"/>
          </w:tcPr>
          <w:p w14:paraId="4ADCBCA8">
            <w:pPr>
              <w:pStyle w:val="26"/>
              <w:bidi w:val="0"/>
              <w:rPr>
                <w:rFonts w:hint="default"/>
                <w:lang w:val="en-US" w:eastAsia="zh-CN"/>
              </w:rPr>
            </w:pPr>
            <w:r>
              <w:rPr>
                <w:rFonts w:hint="eastAsia"/>
                <w:lang w:val="en-US" w:eastAsia="zh-CN"/>
              </w:rPr>
              <w:t>2026.04.08</w:t>
            </w:r>
          </w:p>
        </w:tc>
        <w:tc>
          <w:tcPr>
            <w:tcW w:w="596" w:type="dxa"/>
            <w:vAlign w:val="center"/>
          </w:tcPr>
          <w:p w14:paraId="54289C27">
            <w:pPr>
              <w:pStyle w:val="26"/>
              <w:bidi w:val="0"/>
              <w:rPr>
                <w:rFonts w:hint="default"/>
                <w:lang w:val="en-US" w:eastAsia="zh-CN"/>
              </w:rPr>
            </w:pPr>
            <w:r>
              <w:rPr>
                <w:rFonts w:hint="eastAsia"/>
                <w:lang w:val="en-US" w:eastAsia="zh-CN"/>
              </w:rPr>
              <w:t>7.8</w:t>
            </w:r>
          </w:p>
        </w:tc>
        <w:tc>
          <w:tcPr>
            <w:tcW w:w="614" w:type="dxa"/>
            <w:vAlign w:val="center"/>
          </w:tcPr>
          <w:p w14:paraId="7B3FD0DF">
            <w:pPr>
              <w:pStyle w:val="26"/>
              <w:bidi w:val="0"/>
              <w:rPr>
                <w:rFonts w:hint="default"/>
                <w:lang w:val="en-US" w:eastAsia="zh-CN"/>
              </w:rPr>
            </w:pPr>
            <w:r>
              <w:rPr>
                <w:rFonts w:hint="eastAsia"/>
                <w:lang w:val="en-US" w:eastAsia="zh-CN"/>
              </w:rPr>
              <w:t>18.4</w:t>
            </w:r>
          </w:p>
        </w:tc>
        <w:tc>
          <w:tcPr>
            <w:tcW w:w="549" w:type="dxa"/>
            <w:vAlign w:val="center"/>
          </w:tcPr>
          <w:p w14:paraId="0192A82E">
            <w:pPr>
              <w:pStyle w:val="26"/>
              <w:bidi w:val="0"/>
              <w:rPr>
                <w:rFonts w:hint="default"/>
                <w:lang w:val="en-US" w:eastAsia="zh-CN"/>
              </w:rPr>
            </w:pPr>
            <w:r>
              <w:rPr>
                <w:rFonts w:hint="eastAsia"/>
                <w:lang w:val="en-US" w:eastAsia="zh-CN"/>
              </w:rPr>
              <w:t>7.4</w:t>
            </w:r>
          </w:p>
        </w:tc>
        <w:tc>
          <w:tcPr>
            <w:tcW w:w="485" w:type="dxa"/>
            <w:vAlign w:val="center"/>
          </w:tcPr>
          <w:p w14:paraId="1EC2AB69">
            <w:pPr>
              <w:pStyle w:val="26"/>
              <w:bidi w:val="0"/>
              <w:rPr>
                <w:rFonts w:hint="default"/>
                <w:lang w:val="en-US" w:eastAsia="zh-CN"/>
              </w:rPr>
            </w:pPr>
            <w:r>
              <w:rPr>
                <w:rFonts w:hint="eastAsia"/>
                <w:lang w:val="en-US" w:eastAsia="zh-CN"/>
              </w:rPr>
              <w:t>9</w:t>
            </w:r>
          </w:p>
        </w:tc>
        <w:tc>
          <w:tcPr>
            <w:tcW w:w="659" w:type="dxa"/>
            <w:vAlign w:val="center"/>
          </w:tcPr>
          <w:p w14:paraId="3EDCDFF3">
            <w:pPr>
              <w:pStyle w:val="26"/>
              <w:bidi w:val="0"/>
              <w:rPr>
                <w:rFonts w:hint="default"/>
                <w:lang w:val="en-US" w:eastAsia="zh-CN"/>
              </w:rPr>
            </w:pPr>
            <w:r>
              <w:rPr>
                <w:rFonts w:hint="eastAsia"/>
                <w:lang w:val="en-US" w:eastAsia="zh-CN"/>
              </w:rPr>
              <w:t>0.29</w:t>
            </w:r>
          </w:p>
        </w:tc>
        <w:tc>
          <w:tcPr>
            <w:tcW w:w="662" w:type="dxa"/>
            <w:vAlign w:val="center"/>
          </w:tcPr>
          <w:p w14:paraId="242C2096">
            <w:pPr>
              <w:pStyle w:val="26"/>
              <w:bidi w:val="0"/>
              <w:rPr>
                <w:rFonts w:hint="default"/>
                <w:lang w:val="en-US" w:eastAsia="zh-CN"/>
              </w:rPr>
            </w:pPr>
            <w:r>
              <w:rPr>
                <w:rFonts w:hint="eastAsia"/>
                <w:lang w:val="en-US" w:eastAsia="zh-CN"/>
              </w:rPr>
              <w:t>0.04</w:t>
            </w:r>
          </w:p>
        </w:tc>
        <w:tc>
          <w:tcPr>
            <w:tcW w:w="444" w:type="dxa"/>
            <w:vAlign w:val="center"/>
          </w:tcPr>
          <w:p w14:paraId="6CBB7CD6">
            <w:pPr>
              <w:pStyle w:val="26"/>
              <w:bidi w:val="0"/>
              <w:rPr>
                <w:rFonts w:hint="default"/>
                <w:lang w:val="en-US" w:eastAsia="zh-CN"/>
              </w:rPr>
            </w:pPr>
            <w:r>
              <w:rPr>
                <w:rFonts w:hint="eastAsia"/>
                <w:lang w:val="en-US" w:eastAsia="zh-CN"/>
              </w:rPr>
              <w:t>18</w:t>
            </w:r>
          </w:p>
        </w:tc>
        <w:tc>
          <w:tcPr>
            <w:tcW w:w="598" w:type="dxa"/>
            <w:vAlign w:val="center"/>
          </w:tcPr>
          <w:p w14:paraId="164DE106">
            <w:pPr>
              <w:pStyle w:val="26"/>
              <w:bidi w:val="0"/>
              <w:rPr>
                <w:rFonts w:hint="default"/>
                <w:lang w:val="en-US" w:eastAsia="zh-CN"/>
              </w:rPr>
            </w:pPr>
            <w:r>
              <w:rPr>
                <w:rFonts w:hint="eastAsia"/>
                <w:lang w:val="en-US" w:eastAsia="zh-CN"/>
              </w:rPr>
              <w:t>ND</w:t>
            </w:r>
          </w:p>
        </w:tc>
        <w:tc>
          <w:tcPr>
            <w:tcW w:w="694" w:type="dxa"/>
            <w:vAlign w:val="center"/>
          </w:tcPr>
          <w:p w14:paraId="27E8A3BA">
            <w:pPr>
              <w:pStyle w:val="26"/>
              <w:bidi w:val="0"/>
              <w:rPr>
                <w:rFonts w:hint="default"/>
                <w:lang w:val="en-US" w:eastAsia="zh-CN"/>
              </w:rPr>
            </w:pPr>
            <w:r>
              <w:rPr>
                <w:rFonts w:hint="eastAsia"/>
                <w:lang w:val="en-US" w:eastAsia="zh-CN"/>
              </w:rPr>
              <w:t>3.1</w:t>
            </w:r>
          </w:p>
        </w:tc>
        <w:tc>
          <w:tcPr>
            <w:tcW w:w="1521" w:type="dxa"/>
            <w:vAlign w:val="center"/>
          </w:tcPr>
          <w:p w14:paraId="073B1135">
            <w:pPr>
              <w:pStyle w:val="26"/>
              <w:bidi w:val="0"/>
              <w:rPr>
                <w:rFonts w:hint="default"/>
                <w:lang w:val="en-US" w:eastAsia="zh-CN"/>
              </w:rPr>
            </w:pPr>
            <w:r>
              <w:rPr>
                <w:rFonts w:hint="eastAsia"/>
                <w:lang w:val="en-US" w:eastAsia="zh-CN"/>
              </w:rPr>
              <w:t>3.0</w:t>
            </w:r>
          </w:p>
        </w:tc>
      </w:tr>
      <w:tr w14:paraId="5E376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2184F03B">
            <w:pPr>
              <w:pStyle w:val="26"/>
              <w:bidi w:val="0"/>
              <w:rPr>
                <w:rFonts w:hint="eastAsia"/>
                <w:lang w:val="en-US" w:eastAsia="zh-CN"/>
              </w:rPr>
            </w:pPr>
          </w:p>
        </w:tc>
        <w:tc>
          <w:tcPr>
            <w:tcW w:w="1009" w:type="dxa"/>
            <w:vMerge w:val="continue"/>
            <w:vAlign w:val="center"/>
          </w:tcPr>
          <w:p w14:paraId="51E1202A">
            <w:pPr>
              <w:pStyle w:val="26"/>
              <w:bidi w:val="0"/>
              <w:rPr>
                <w:rFonts w:hint="default"/>
                <w:lang w:val="en-US" w:eastAsia="zh-CN"/>
              </w:rPr>
            </w:pPr>
          </w:p>
        </w:tc>
        <w:tc>
          <w:tcPr>
            <w:tcW w:w="596" w:type="dxa"/>
            <w:vAlign w:val="center"/>
          </w:tcPr>
          <w:p w14:paraId="7FF399AE">
            <w:pPr>
              <w:pStyle w:val="26"/>
              <w:bidi w:val="0"/>
              <w:rPr>
                <w:rFonts w:hint="default"/>
                <w:lang w:val="en-US" w:eastAsia="zh-CN"/>
              </w:rPr>
            </w:pPr>
            <w:r>
              <w:rPr>
                <w:rFonts w:hint="eastAsia"/>
                <w:lang w:val="en-US" w:eastAsia="zh-CN"/>
              </w:rPr>
              <w:t>8.2</w:t>
            </w:r>
          </w:p>
        </w:tc>
        <w:tc>
          <w:tcPr>
            <w:tcW w:w="614" w:type="dxa"/>
            <w:vAlign w:val="center"/>
          </w:tcPr>
          <w:p w14:paraId="41C138AD">
            <w:pPr>
              <w:pStyle w:val="26"/>
              <w:bidi w:val="0"/>
              <w:rPr>
                <w:rFonts w:hint="default"/>
                <w:lang w:val="en-US" w:eastAsia="zh-CN"/>
              </w:rPr>
            </w:pPr>
            <w:r>
              <w:rPr>
                <w:rFonts w:hint="eastAsia"/>
                <w:lang w:val="en-US" w:eastAsia="zh-CN"/>
              </w:rPr>
              <w:t>19.6</w:t>
            </w:r>
          </w:p>
        </w:tc>
        <w:tc>
          <w:tcPr>
            <w:tcW w:w="549" w:type="dxa"/>
            <w:vAlign w:val="center"/>
          </w:tcPr>
          <w:p w14:paraId="6D59F74F">
            <w:pPr>
              <w:pStyle w:val="26"/>
              <w:bidi w:val="0"/>
              <w:rPr>
                <w:rFonts w:hint="default"/>
                <w:lang w:val="en-US" w:eastAsia="zh-CN"/>
              </w:rPr>
            </w:pPr>
            <w:r>
              <w:rPr>
                <w:rFonts w:hint="eastAsia"/>
                <w:lang w:val="en-US" w:eastAsia="zh-CN"/>
              </w:rPr>
              <w:t>7.1</w:t>
            </w:r>
          </w:p>
        </w:tc>
        <w:tc>
          <w:tcPr>
            <w:tcW w:w="485" w:type="dxa"/>
            <w:vAlign w:val="center"/>
          </w:tcPr>
          <w:p w14:paraId="3A9AF745">
            <w:pPr>
              <w:pStyle w:val="26"/>
              <w:bidi w:val="0"/>
              <w:rPr>
                <w:rFonts w:hint="default"/>
                <w:lang w:val="en-US" w:eastAsia="zh-CN"/>
              </w:rPr>
            </w:pPr>
            <w:r>
              <w:rPr>
                <w:rFonts w:hint="eastAsia"/>
                <w:lang w:val="en-US" w:eastAsia="zh-CN"/>
              </w:rPr>
              <w:t>16</w:t>
            </w:r>
          </w:p>
        </w:tc>
        <w:tc>
          <w:tcPr>
            <w:tcW w:w="659" w:type="dxa"/>
            <w:vAlign w:val="center"/>
          </w:tcPr>
          <w:p w14:paraId="4905CEAF">
            <w:pPr>
              <w:pStyle w:val="26"/>
              <w:bidi w:val="0"/>
              <w:rPr>
                <w:rFonts w:hint="default"/>
                <w:lang w:val="en-US" w:eastAsia="zh-CN"/>
              </w:rPr>
            </w:pPr>
            <w:r>
              <w:rPr>
                <w:rFonts w:hint="eastAsia"/>
                <w:lang w:val="en-US" w:eastAsia="zh-CN"/>
              </w:rPr>
              <w:t>0.28</w:t>
            </w:r>
          </w:p>
        </w:tc>
        <w:tc>
          <w:tcPr>
            <w:tcW w:w="662" w:type="dxa"/>
            <w:vAlign w:val="center"/>
          </w:tcPr>
          <w:p w14:paraId="1EF7E54B">
            <w:pPr>
              <w:pStyle w:val="26"/>
              <w:bidi w:val="0"/>
              <w:rPr>
                <w:rFonts w:hint="default"/>
                <w:lang w:val="en-US" w:eastAsia="zh-CN"/>
              </w:rPr>
            </w:pPr>
            <w:r>
              <w:rPr>
                <w:rFonts w:hint="eastAsia"/>
                <w:lang w:val="en-US" w:eastAsia="zh-CN"/>
              </w:rPr>
              <w:t>0.05</w:t>
            </w:r>
          </w:p>
        </w:tc>
        <w:tc>
          <w:tcPr>
            <w:tcW w:w="444" w:type="dxa"/>
            <w:vAlign w:val="center"/>
          </w:tcPr>
          <w:p w14:paraId="79136588">
            <w:pPr>
              <w:pStyle w:val="26"/>
              <w:bidi w:val="0"/>
              <w:rPr>
                <w:rFonts w:hint="default"/>
                <w:lang w:val="en-US" w:eastAsia="zh-CN"/>
              </w:rPr>
            </w:pPr>
            <w:r>
              <w:rPr>
                <w:rFonts w:hint="eastAsia"/>
                <w:lang w:val="en-US" w:eastAsia="zh-CN"/>
              </w:rPr>
              <w:t>12</w:t>
            </w:r>
          </w:p>
        </w:tc>
        <w:tc>
          <w:tcPr>
            <w:tcW w:w="598" w:type="dxa"/>
            <w:vAlign w:val="center"/>
          </w:tcPr>
          <w:p w14:paraId="08F16FD4">
            <w:pPr>
              <w:pStyle w:val="26"/>
              <w:bidi w:val="0"/>
              <w:rPr>
                <w:rFonts w:hint="default"/>
                <w:lang w:val="en-US" w:eastAsia="zh-CN"/>
              </w:rPr>
            </w:pPr>
            <w:r>
              <w:rPr>
                <w:rFonts w:hint="eastAsia"/>
                <w:lang w:val="en-US" w:eastAsia="zh-CN"/>
              </w:rPr>
              <w:t>ND</w:t>
            </w:r>
          </w:p>
        </w:tc>
        <w:tc>
          <w:tcPr>
            <w:tcW w:w="694" w:type="dxa"/>
            <w:vAlign w:val="center"/>
          </w:tcPr>
          <w:p w14:paraId="66E9D7C2">
            <w:pPr>
              <w:pStyle w:val="26"/>
              <w:bidi w:val="0"/>
              <w:rPr>
                <w:rFonts w:hint="default"/>
                <w:lang w:val="en-US" w:eastAsia="zh-CN"/>
              </w:rPr>
            </w:pPr>
            <w:r>
              <w:rPr>
                <w:rFonts w:hint="eastAsia"/>
                <w:lang w:val="en-US" w:eastAsia="zh-CN"/>
              </w:rPr>
              <w:t>3.7</w:t>
            </w:r>
          </w:p>
        </w:tc>
        <w:tc>
          <w:tcPr>
            <w:tcW w:w="1521" w:type="dxa"/>
            <w:vAlign w:val="center"/>
          </w:tcPr>
          <w:p w14:paraId="03AE306E">
            <w:pPr>
              <w:pStyle w:val="26"/>
              <w:bidi w:val="0"/>
              <w:rPr>
                <w:rFonts w:hint="default"/>
                <w:lang w:val="en-US" w:eastAsia="zh-CN"/>
              </w:rPr>
            </w:pPr>
            <w:r>
              <w:rPr>
                <w:rFonts w:hint="eastAsia"/>
                <w:lang w:val="en-US" w:eastAsia="zh-CN"/>
              </w:rPr>
              <w:t>2.8</w:t>
            </w:r>
          </w:p>
        </w:tc>
      </w:tr>
      <w:tr w14:paraId="1214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2B443478">
            <w:pPr>
              <w:pStyle w:val="26"/>
              <w:bidi w:val="0"/>
              <w:rPr>
                <w:rFonts w:hint="eastAsia"/>
                <w:lang w:val="en-US" w:eastAsia="zh-CN"/>
              </w:rPr>
            </w:pPr>
            <w:r>
              <w:rPr>
                <w:rFonts w:hint="eastAsia"/>
                <w:lang w:val="en-US" w:eastAsia="zh-CN"/>
              </w:rPr>
              <w:t>W2</w:t>
            </w:r>
          </w:p>
        </w:tc>
        <w:tc>
          <w:tcPr>
            <w:tcW w:w="1009" w:type="dxa"/>
            <w:vMerge w:val="restart"/>
            <w:vAlign w:val="center"/>
          </w:tcPr>
          <w:p w14:paraId="00C109F6">
            <w:pPr>
              <w:pStyle w:val="26"/>
              <w:bidi w:val="0"/>
              <w:rPr>
                <w:rFonts w:hint="default"/>
                <w:lang w:val="en-US" w:eastAsia="zh-CN"/>
              </w:rPr>
            </w:pPr>
            <w:r>
              <w:rPr>
                <w:rFonts w:hint="eastAsia"/>
                <w:lang w:val="en-US" w:eastAsia="zh-CN"/>
              </w:rPr>
              <w:t>2026.04.08</w:t>
            </w:r>
          </w:p>
        </w:tc>
        <w:tc>
          <w:tcPr>
            <w:tcW w:w="596" w:type="dxa"/>
            <w:vAlign w:val="center"/>
          </w:tcPr>
          <w:p w14:paraId="4F904BE4">
            <w:pPr>
              <w:pStyle w:val="26"/>
              <w:bidi w:val="0"/>
              <w:rPr>
                <w:rFonts w:hint="default"/>
                <w:lang w:val="en-US" w:eastAsia="zh-CN"/>
              </w:rPr>
            </w:pPr>
            <w:r>
              <w:rPr>
                <w:rFonts w:hint="eastAsia"/>
                <w:lang w:val="en-US" w:eastAsia="zh-CN"/>
              </w:rPr>
              <w:t>7.4</w:t>
            </w:r>
          </w:p>
        </w:tc>
        <w:tc>
          <w:tcPr>
            <w:tcW w:w="614" w:type="dxa"/>
            <w:vAlign w:val="center"/>
          </w:tcPr>
          <w:p w14:paraId="7025EAD2">
            <w:pPr>
              <w:pStyle w:val="26"/>
              <w:bidi w:val="0"/>
              <w:rPr>
                <w:rFonts w:hint="default"/>
                <w:lang w:val="en-US" w:eastAsia="zh-CN"/>
              </w:rPr>
            </w:pPr>
            <w:r>
              <w:rPr>
                <w:rFonts w:hint="eastAsia"/>
                <w:lang w:val="en-US" w:eastAsia="zh-CN"/>
              </w:rPr>
              <w:t>18.2</w:t>
            </w:r>
          </w:p>
        </w:tc>
        <w:tc>
          <w:tcPr>
            <w:tcW w:w="549" w:type="dxa"/>
            <w:vAlign w:val="center"/>
          </w:tcPr>
          <w:p w14:paraId="5570B2C7">
            <w:pPr>
              <w:pStyle w:val="26"/>
              <w:bidi w:val="0"/>
              <w:rPr>
                <w:rFonts w:hint="default"/>
                <w:lang w:val="en-US" w:eastAsia="zh-CN"/>
              </w:rPr>
            </w:pPr>
            <w:r>
              <w:rPr>
                <w:rFonts w:hint="eastAsia"/>
                <w:lang w:val="en-US" w:eastAsia="zh-CN"/>
              </w:rPr>
              <w:t>7.5</w:t>
            </w:r>
          </w:p>
        </w:tc>
        <w:tc>
          <w:tcPr>
            <w:tcW w:w="485" w:type="dxa"/>
            <w:vAlign w:val="center"/>
          </w:tcPr>
          <w:p w14:paraId="0E2ADD74">
            <w:pPr>
              <w:pStyle w:val="26"/>
              <w:bidi w:val="0"/>
              <w:rPr>
                <w:rFonts w:hint="default"/>
                <w:lang w:val="en-US" w:eastAsia="zh-CN"/>
              </w:rPr>
            </w:pPr>
            <w:r>
              <w:rPr>
                <w:rFonts w:hint="eastAsia"/>
                <w:lang w:val="en-US" w:eastAsia="zh-CN"/>
              </w:rPr>
              <w:t>9</w:t>
            </w:r>
          </w:p>
        </w:tc>
        <w:tc>
          <w:tcPr>
            <w:tcW w:w="659" w:type="dxa"/>
            <w:vAlign w:val="center"/>
          </w:tcPr>
          <w:p w14:paraId="07CA1925">
            <w:pPr>
              <w:pStyle w:val="26"/>
              <w:bidi w:val="0"/>
              <w:rPr>
                <w:rFonts w:hint="default"/>
                <w:lang w:val="en-US" w:eastAsia="zh-CN"/>
              </w:rPr>
            </w:pPr>
            <w:r>
              <w:rPr>
                <w:rFonts w:hint="eastAsia"/>
                <w:lang w:val="en-US" w:eastAsia="zh-CN"/>
              </w:rPr>
              <w:t>0.43</w:t>
            </w:r>
          </w:p>
        </w:tc>
        <w:tc>
          <w:tcPr>
            <w:tcW w:w="662" w:type="dxa"/>
            <w:vAlign w:val="center"/>
          </w:tcPr>
          <w:p w14:paraId="55C418D3">
            <w:pPr>
              <w:pStyle w:val="26"/>
              <w:bidi w:val="0"/>
              <w:rPr>
                <w:rFonts w:hint="default"/>
                <w:lang w:val="en-US" w:eastAsia="zh-CN"/>
              </w:rPr>
            </w:pPr>
            <w:r>
              <w:rPr>
                <w:rFonts w:hint="eastAsia"/>
                <w:lang w:val="en-US" w:eastAsia="zh-CN"/>
              </w:rPr>
              <w:t>0.06</w:t>
            </w:r>
          </w:p>
        </w:tc>
        <w:tc>
          <w:tcPr>
            <w:tcW w:w="444" w:type="dxa"/>
            <w:vAlign w:val="center"/>
          </w:tcPr>
          <w:p w14:paraId="207851A7">
            <w:pPr>
              <w:pStyle w:val="26"/>
              <w:bidi w:val="0"/>
              <w:rPr>
                <w:rFonts w:hint="default"/>
                <w:lang w:val="en-US" w:eastAsia="zh-CN"/>
              </w:rPr>
            </w:pPr>
            <w:r>
              <w:rPr>
                <w:rFonts w:hint="eastAsia"/>
                <w:lang w:val="en-US" w:eastAsia="zh-CN"/>
              </w:rPr>
              <w:t>8</w:t>
            </w:r>
          </w:p>
        </w:tc>
        <w:tc>
          <w:tcPr>
            <w:tcW w:w="598" w:type="dxa"/>
            <w:vAlign w:val="center"/>
          </w:tcPr>
          <w:p w14:paraId="472F9B17">
            <w:pPr>
              <w:pStyle w:val="26"/>
              <w:bidi w:val="0"/>
              <w:rPr>
                <w:rFonts w:hint="default"/>
                <w:lang w:val="en-US" w:eastAsia="zh-CN"/>
              </w:rPr>
            </w:pPr>
            <w:r>
              <w:rPr>
                <w:rFonts w:hint="eastAsia"/>
                <w:lang w:val="en-US" w:eastAsia="zh-CN"/>
              </w:rPr>
              <w:t>ND</w:t>
            </w:r>
          </w:p>
        </w:tc>
        <w:tc>
          <w:tcPr>
            <w:tcW w:w="694" w:type="dxa"/>
            <w:vAlign w:val="center"/>
          </w:tcPr>
          <w:p w14:paraId="45F6B68D">
            <w:pPr>
              <w:pStyle w:val="26"/>
              <w:bidi w:val="0"/>
              <w:rPr>
                <w:rFonts w:hint="default"/>
                <w:lang w:val="en-US" w:eastAsia="zh-CN"/>
              </w:rPr>
            </w:pPr>
            <w:r>
              <w:rPr>
                <w:rFonts w:hint="eastAsia"/>
                <w:lang w:val="en-US" w:eastAsia="zh-CN"/>
              </w:rPr>
              <w:t>5.2</w:t>
            </w:r>
          </w:p>
        </w:tc>
        <w:tc>
          <w:tcPr>
            <w:tcW w:w="1521" w:type="dxa"/>
            <w:vAlign w:val="center"/>
          </w:tcPr>
          <w:p w14:paraId="280AAA6B">
            <w:pPr>
              <w:pStyle w:val="26"/>
              <w:bidi w:val="0"/>
              <w:rPr>
                <w:rFonts w:hint="default"/>
                <w:lang w:val="en-US" w:eastAsia="zh-CN"/>
              </w:rPr>
            </w:pPr>
            <w:r>
              <w:rPr>
                <w:rFonts w:hint="eastAsia"/>
                <w:lang w:val="en-US" w:eastAsia="zh-CN"/>
              </w:rPr>
              <w:t>2.6</w:t>
            </w:r>
          </w:p>
        </w:tc>
      </w:tr>
      <w:tr w14:paraId="6B27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0D481C23">
            <w:pPr>
              <w:pStyle w:val="26"/>
              <w:bidi w:val="0"/>
              <w:rPr>
                <w:rFonts w:hint="eastAsia"/>
                <w:lang w:val="en-US" w:eastAsia="zh-CN"/>
              </w:rPr>
            </w:pPr>
          </w:p>
        </w:tc>
        <w:tc>
          <w:tcPr>
            <w:tcW w:w="1009" w:type="dxa"/>
            <w:vMerge w:val="continue"/>
            <w:vAlign w:val="center"/>
          </w:tcPr>
          <w:p w14:paraId="42C36FD1">
            <w:pPr>
              <w:pStyle w:val="26"/>
              <w:bidi w:val="0"/>
              <w:rPr>
                <w:rFonts w:hint="default"/>
                <w:lang w:val="en-US" w:eastAsia="zh-CN"/>
              </w:rPr>
            </w:pPr>
          </w:p>
        </w:tc>
        <w:tc>
          <w:tcPr>
            <w:tcW w:w="596" w:type="dxa"/>
            <w:vAlign w:val="center"/>
          </w:tcPr>
          <w:p w14:paraId="7E657C41">
            <w:pPr>
              <w:pStyle w:val="26"/>
              <w:bidi w:val="0"/>
              <w:rPr>
                <w:rFonts w:hint="default"/>
                <w:lang w:val="en-US" w:eastAsia="zh-CN"/>
              </w:rPr>
            </w:pPr>
            <w:r>
              <w:rPr>
                <w:rFonts w:hint="eastAsia"/>
                <w:lang w:val="en-US" w:eastAsia="zh-CN"/>
              </w:rPr>
              <w:t>7.4</w:t>
            </w:r>
          </w:p>
        </w:tc>
        <w:tc>
          <w:tcPr>
            <w:tcW w:w="614" w:type="dxa"/>
            <w:vAlign w:val="center"/>
          </w:tcPr>
          <w:p w14:paraId="6EEF8005">
            <w:pPr>
              <w:pStyle w:val="26"/>
              <w:bidi w:val="0"/>
              <w:rPr>
                <w:rFonts w:hint="default"/>
                <w:lang w:val="en-US" w:eastAsia="zh-CN"/>
              </w:rPr>
            </w:pPr>
            <w:r>
              <w:rPr>
                <w:rFonts w:hint="eastAsia"/>
                <w:lang w:val="en-US" w:eastAsia="zh-CN"/>
              </w:rPr>
              <w:t>20.0</w:t>
            </w:r>
          </w:p>
        </w:tc>
        <w:tc>
          <w:tcPr>
            <w:tcW w:w="549" w:type="dxa"/>
            <w:vAlign w:val="center"/>
          </w:tcPr>
          <w:p w14:paraId="24CBEDB9">
            <w:pPr>
              <w:pStyle w:val="26"/>
              <w:bidi w:val="0"/>
              <w:rPr>
                <w:rFonts w:hint="default"/>
                <w:lang w:val="en-US" w:eastAsia="zh-CN"/>
              </w:rPr>
            </w:pPr>
            <w:r>
              <w:rPr>
                <w:rFonts w:hint="eastAsia"/>
                <w:lang w:val="en-US" w:eastAsia="zh-CN"/>
              </w:rPr>
              <w:t>7.3</w:t>
            </w:r>
          </w:p>
        </w:tc>
        <w:tc>
          <w:tcPr>
            <w:tcW w:w="485" w:type="dxa"/>
            <w:vAlign w:val="center"/>
          </w:tcPr>
          <w:p w14:paraId="04D22B7F">
            <w:pPr>
              <w:pStyle w:val="26"/>
              <w:bidi w:val="0"/>
              <w:rPr>
                <w:rFonts w:hint="default"/>
                <w:lang w:val="en-US" w:eastAsia="zh-CN"/>
              </w:rPr>
            </w:pPr>
            <w:r>
              <w:rPr>
                <w:rFonts w:hint="eastAsia"/>
                <w:lang w:val="en-US" w:eastAsia="zh-CN"/>
              </w:rPr>
              <w:t>10</w:t>
            </w:r>
          </w:p>
        </w:tc>
        <w:tc>
          <w:tcPr>
            <w:tcW w:w="659" w:type="dxa"/>
            <w:vAlign w:val="center"/>
          </w:tcPr>
          <w:p w14:paraId="00E49F2D">
            <w:pPr>
              <w:pStyle w:val="26"/>
              <w:bidi w:val="0"/>
              <w:rPr>
                <w:rFonts w:hint="default"/>
                <w:lang w:val="en-US" w:eastAsia="zh-CN"/>
              </w:rPr>
            </w:pPr>
            <w:r>
              <w:rPr>
                <w:rFonts w:hint="eastAsia"/>
                <w:lang w:val="en-US" w:eastAsia="zh-CN"/>
              </w:rPr>
              <w:t>0.44</w:t>
            </w:r>
          </w:p>
        </w:tc>
        <w:tc>
          <w:tcPr>
            <w:tcW w:w="662" w:type="dxa"/>
            <w:vAlign w:val="center"/>
          </w:tcPr>
          <w:p w14:paraId="70F4C521">
            <w:pPr>
              <w:pStyle w:val="26"/>
              <w:bidi w:val="0"/>
              <w:rPr>
                <w:rFonts w:hint="default"/>
                <w:lang w:val="en-US" w:eastAsia="zh-CN"/>
              </w:rPr>
            </w:pPr>
            <w:r>
              <w:rPr>
                <w:rFonts w:hint="eastAsia"/>
                <w:lang w:val="en-US" w:eastAsia="zh-CN"/>
              </w:rPr>
              <w:t>0.08</w:t>
            </w:r>
          </w:p>
        </w:tc>
        <w:tc>
          <w:tcPr>
            <w:tcW w:w="444" w:type="dxa"/>
            <w:vAlign w:val="center"/>
          </w:tcPr>
          <w:p w14:paraId="164DB69F">
            <w:pPr>
              <w:pStyle w:val="26"/>
              <w:bidi w:val="0"/>
              <w:rPr>
                <w:rFonts w:hint="default"/>
                <w:lang w:val="en-US" w:eastAsia="zh-CN"/>
              </w:rPr>
            </w:pPr>
            <w:r>
              <w:rPr>
                <w:rFonts w:hint="eastAsia"/>
                <w:lang w:val="en-US" w:eastAsia="zh-CN"/>
              </w:rPr>
              <w:t>8</w:t>
            </w:r>
          </w:p>
        </w:tc>
        <w:tc>
          <w:tcPr>
            <w:tcW w:w="598" w:type="dxa"/>
            <w:vAlign w:val="center"/>
          </w:tcPr>
          <w:p w14:paraId="22FEBAA4">
            <w:pPr>
              <w:pStyle w:val="26"/>
              <w:bidi w:val="0"/>
              <w:rPr>
                <w:rFonts w:hint="default"/>
                <w:lang w:val="en-US" w:eastAsia="zh-CN"/>
              </w:rPr>
            </w:pPr>
            <w:r>
              <w:rPr>
                <w:rFonts w:hint="eastAsia"/>
                <w:lang w:val="en-US" w:eastAsia="zh-CN"/>
              </w:rPr>
              <w:t>ND</w:t>
            </w:r>
          </w:p>
        </w:tc>
        <w:tc>
          <w:tcPr>
            <w:tcW w:w="694" w:type="dxa"/>
            <w:vAlign w:val="center"/>
          </w:tcPr>
          <w:p w14:paraId="5D4A4295">
            <w:pPr>
              <w:pStyle w:val="26"/>
              <w:bidi w:val="0"/>
              <w:rPr>
                <w:rFonts w:hint="default"/>
                <w:lang w:val="en-US" w:eastAsia="zh-CN"/>
              </w:rPr>
            </w:pPr>
            <w:r>
              <w:rPr>
                <w:rFonts w:hint="eastAsia"/>
                <w:lang w:val="en-US" w:eastAsia="zh-CN"/>
              </w:rPr>
              <w:t>5.7</w:t>
            </w:r>
          </w:p>
        </w:tc>
        <w:tc>
          <w:tcPr>
            <w:tcW w:w="1521" w:type="dxa"/>
            <w:vAlign w:val="center"/>
          </w:tcPr>
          <w:p w14:paraId="612A34A1">
            <w:pPr>
              <w:pStyle w:val="26"/>
              <w:bidi w:val="0"/>
              <w:rPr>
                <w:rFonts w:hint="default"/>
                <w:lang w:val="en-US" w:eastAsia="zh-CN"/>
              </w:rPr>
            </w:pPr>
            <w:r>
              <w:rPr>
                <w:rFonts w:hint="eastAsia"/>
                <w:lang w:val="en-US" w:eastAsia="zh-CN"/>
              </w:rPr>
              <w:t>2.3</w:t>
            </w:r>
          </w:p>
        </w:tc>
      </w:tr>
      <w:tr w14:paraId="6417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3DB22E19">
            <w:pPr>
              <w:pStyle w:val="26"/>
              <w:bidi w:val="0"/>
              <w:rPr>
                <w:rFonts w:hint="eastAsia"/>
                <w:lang w:val="en-US" w:eastAsia="zh-CN"/>
              </w:rPr>
            </w:pPr>
            <w:r>
              <w:rPr>
                <w:rFonts w:hint="eastAsia"/>
                <w:lang w:val="en-US" w:eastAsia="zh-CN"/>
              </w:rPr>
              <w:t>W3</w:t>
            </w:r>
          </w:p>
        </w:tc>
        <w:tc>
          <w:tcPr>
            <w:tcW w:w="1009" w:type="dxa"/>
            <w:vMerge w:val="restart"/>
            <w:vAlign w:val="center"/>
          </w:tcPr>
          <w:p w14:paraId="7094B5A8">
            <w:pPr>
              <w:pStyle w:val="26"/>
              <w:bidi w:val="0"/>
              <w:rPr>
                <w:rFonts w:hint="default"/>
                <w:lang w:val="en-US" w:eastAsia="zh-CN"/>
              </w:rPr>
            </w:pPr>
            <w:r>
              <w:rPr>
                <w:rFonts w:hint="eastAsia"/>
                <w:lang w:val="en-US" w:eastAsia="zh-CN"/>
              </w:rPr>
              <w:t>2026.04.08</w:t>
            </w:r>
          </w:p>
        </w:tc>
        <w:tc>
          <w:tcPr>
            <w:tcW w:w="596" w:type="dxa"/>
            <w:vAlign w:val="center"/>
          </w:tcPr>
          <w:p w14:paraId="418CA13B">
            <w:pPr>
              <w:pStyle w:val="26"/>
              <w:bidi w:val="0"/>
              <w:rPr>
                <w:rFonts w:hint="default"/>
                <w:lang w:val="en-US" w:eastAsia="zh-CN"/>
              </w:rPr>
            </w:pPr>
            <w:r>
              <w:rPr>
                <w:rFonts w:hint="eastAsia"/>
                <w:lang w:val="en-US" w:eastAsia="zh-CN"/>
              </w:rPr>
              <w:t>7.5</w:t>
            </w:r>
          </w:p>
        </w:tc>
        <w:tc>
          <w:tcPr>
            <w:tcW w:w="614" w:type="dxa"/>
            <w:vAlign w:val="center"/>
          </w:tcPr>
          <w:p w14:paraId="30343A2F">
            <w:pPr>
              <w:pStyle w:val="26"/>
              <w:bidi w:val="0"/>
              <w:rPr>
                <w:rFonts w:hint="default"/>
                <w:lang w:val="en-US" w:eastAsia="zh-CN"/>
              </w:rPr>
            </w:pPr>
            <w:r>
              <w:rPr>
                <w:rFonts w:hint="eastAsia"/>
                <w:lang w:val="en-US" w:eastAsia="zh-CN"/>
              </w:rPr>
              <w:t>18.2</w:t>
            </w:r>
          </w:p>
        </w:tc>
        <w:tc>
          <w:tcPr>
            <w:tcW w:w="549" w:type="dxa"/>
            <w:vAlign w:val="center"/>
          </w:tcPr>
          <w:p w14:paraId="1C28D47D">
            <w:pPr>
              <w:pStyle w:val="26"/>
              <w:bidi w:val="0"/>
              <w:rPr>
                <w:rFonts w:hint="default"/>
                <w:lang w:val="en-US" w:eastAsia="zh-CN"/>
              </w:rPr>
            </w:pPr>
            <w:r>
              <w:rPr>
                <w:rFonts w:hint="eastAsia"/>
                <w:lang w:val="en-US" w:eastAsia="zh-CN"/>
              </w:rPr>
              <w:t>7.0</w:t>
            </w:r>
          </w:p>
        </w:tc>
        <w:tc>
          <w:tcPr>
            <w:tcW w:w="485" w:type="dxa"/>
            <w:vAlign w:val="center"/>
          </w:tcPr>
          <w:p w14:paraId="4BC675EE">
            <w:pPr>
              <w:pStyle w:val="26"/>
              <w:bidi w:val="0"/>
              <w:rPr>
                <w:rFonts w:hint="default"/>
                <w:lang w:val="en-US" w:eastAsia="zh-CN"/>
              </w:rPr>
            </w:pPr>
            <w:r>
              <w:rPr>
                <w:rFonts w:hint="eastAsia"/>
                <w:lang w:val="en-US" w:eastAsia="zh-CN"/>
              </w:rPr>
              <w:t>12</w:t>
            </w:r>
          </w:p>
        </w:tc>
        <w:tc>
          <w:tcPr>
            <w:tcW w:w="659" w:type="dxa"/>
            <w:vAlign w:val="center"/>
          </w:tcPr>
          <w:p w14:paraId="1B122D6E">
            <w:pPr>
              <w:pStyle w:val="26"/>
              <w:bidi w:val="0"/>
              <w:rPr>
                <w:rFonts w:hint="default"/>
                <w:lang w:val="en-US" w:eastAsia="zh-CN"/>
              </w:rPr>
            </w:pPr>
            <w:r>
              <w:rPr>
                <w:rFonts w:hint="eastAsia"/>
                <w:lang w:val="en-US" w:eastAsia="zh-CN"/>
              </w:rPr>
              <w:t>0.37</w:t>
            </w:r>
          </w:p>
        </w:tc>
        <w:tc>
          <w:tcPr>
            <w:tcW w:w="662" w:type="dxa"/>
            <w:vAlign w:val="center"/>
          </w:tcPr>
          <w:p w14:paraId="3F3D300B">
            <w:pPr>
              <w:pStyle w:val="26"/>
              <w:bidi w:val="0"/>
              <w:rPr>
                <w:rFonts w:hint="default"/>
                <w:lang w:val="en-US" w:eastAsia="zh-CN"/>
              </w:rPr>
            </w:pPr>
            <w:r>
              <w:rPr>
                <w:rFonts w:hint="eastAsia"/>
                <w:lang w:val="en-US" w:eastAsia="zh-CN"/>
              </w:rPr>
              <w:t>0.06</w:t>
            </w:r>
          </w:p>
        </w:tc>
        <w:tc>
          <w:tcPr>
            <w:tcW w:w="444" w:type="dxa"/>
            <w:vAlign w:val="center"/>
          </w:tcPr>
          <w:p w14:paraId="56699D65">
            <w:pPr>
              <w:pStyle w:val="26"/>
              <w:bidi w:val="0"/>
              <w:rPr>
                <w:rFonts w:hint="default"/>
                <w:lang w:val="en-US" w:eastAsia="zh-CN"/>
              </w:rPr>
            </w:pPr>
            <w:r>
              <w:rPr>
                <w:rFonts w:hint="eastAsia"/>
                <w:lang w:val="en-US" w:eastAsia="zh-CN"/>
              </w:rPr>
              <w:t>6</w:t>
            </w:r>
          </w:p>
        </w:tc>
        <w:tc>
          <w:tcPr>
            <w:tcW w:w="598" w:type="dxa"/>
            <w:vAlign w:val="center"/>
          </w:tcPr>
          <w:p w14:paraId="56FA882C">
            <w:pPr>
              <w:pStyle w:val="26"/>
              <w:bidi w:val="0"/>
              <w:rPr>
                <w:rFonts w:hint="default"/>
                <w:lang w:val="en-US" w:eastAsia="zh-CN"/>
              </w:rPr>
            </w:pPr>
            <w:r>
              <w:rPr>
                <w:rFonts w:hint="eastAsia"/>
                <w:lang w:val="en-US" w:eastAsia="zh-CN"/>
              </w:rPr>
              <w:t>ND</w:t>
            </w:r>
          </w:p>
        </w:tc>
        <w:tc>
          <w:tcPr>
            <w:tcW w:w="694" w:type="dxa"/>
            <w:vAlign w:val="center"/>
          </w:tcPr>
          <w:p w14:paraId="1E165163">
            <w:pPr>
              <w:pStyle w:val="26"/>
              <w:bidi w:val="0"/>
              <w:rPr>
                <w:rFonts w:hint="default"/>
                <w:lang w:val="en-US" w:eastAsia="zh-CN"/>
              </w:rPr>
            </w:pPr>
            <w:r>
              <w:rPr>
                <w:rFonts w:hint="eastAsia"/>
                <w:lang w:val="en-US" w:eastAsia="zh-CN"/>
              </w:rPr>
              <w:t>4.0</w:t>
            </w:r>
          </w:p>
        </w:tc>
        <w:tc>
          <w:tcPr>
            <w:tcW w:w="1521" w:type="dxa"/>
            <w:vAlign w:val="center"/>
          </w:tcPr>
          <w:p w14:paraId="35DCB30D">
            <w:pPr>
              <w:pStyle w:val="26"/>
              <w:bidi w:val="0"/>
              <w:rPr>
                <w:rFonts w:hint="default"/>
                <w:lang w:val="en-US" w:eastAsia="zh-CN"/>
              </w:rPr>
            </w:pPr>
            <w:r>
              <w:rPr>
                <w:rFonts w:hint="eastAsia"/>
                <w:lang w:val="en-US" w:eastAsia="zh-CN"/>
              </w:rPr>
              <w:t>2.7</w:t>
            </w:r>
          </w:p>
        </w:tc>
      </w:tr>
      <w:tr w14:paraId="3FA4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1990C91D">
            <w:pPr>
              <w:pStyle w:val="26"/>
              <w:bidi w:val="0"/>
              <w:rPr>
                <w:rFonts w:hint="eastAsia"/>
                <w:lang w:val="en-US" w:eastAsia="zh-CN"/>
              </w:rPr>
            </w:pPr>
          </w:p>
        </w:tc>
        <w:tc>
          <w:tcPr>
            <w:tcW w:w="1009" w:type="dxa"/>
            <w:vMerge w:val="continue"/>
            <w:vAlign w:val="center"/>
          </w:tcPr>
          <w:p w14:paraId="7A6B3A70">
            <w:pPr>
              <w:pStyle w:val="26"/>
              <w:bidi w:val="0"/>
              <w:rPr>
                <w:rFonts w:hint="default"/>
                <w:lang w:val="en-US" w:eastAsia="zh-CN"/>
              </w:rPr>
            </w:pPr>
          </w:p>
        </w:tc>
        <w:tc>
          <w:tcPr>
            <w:tcW w:w="596" w:type="dxa"/>
            <w:vAlign w:val="center"/>
          </w:tcPr>
          <w:p w14:paraId="4E785911">
            <w:pPr>
              <w:pStyle w:val="26"/>
              <w:bidi w:val="0"/>
              <w:rPr>
                <w:rFonts w:hint="default"/>
                <w:lang w:val="en-US" w:eastAsia="zh-CN"/>
              </w:rPr>
            </w:pPr>
            <w:r>
              <w:rPr>
                <w:rFonts w:hint="eastAsia"/>
                <w:lang w:val="en-US" w:eastAsia="zh-CN"/>
              </w:rPr>
              <w:t>7.5</w:t>
            </w:r>
          </w:p>
        </w:tc>
        <w:tc>
          <w:tcPr>
            <w:tcW w:w="614" w:type="dxa"/>
            <w:vAlign w:val="center"/>
          </w:tcPr>
          <w:p w14:paraId="459157E1">
            <w:pPr>
              <w:pStyle w:val="26"/>
              <w:bidi w:val="0"/>
              <w:rPr>
                <w:rFonts w:hint="default"/>
                <w:lang w:val="en-US" w:eastAsia="zh-CN"/>
              </w:rPr>
            </w:pPr>
            <w:r>
              <w:rPr>
                <w:rFonts w:hint="eastAsia"/>
                <w:lang w:val="en-US" w:eastAsia="zh-CN"/>
              </w:rPr>
              <w:t>19.2</w:t>
            </w:r>
          </w:p>
        </w:tc>
        <w:tc>
          <w:tcPr>
            <w:tcW w:w="549" w:type="dxa"/>
            <w:vAlign w:val="center"/>
          </w:tcPr>
          <w:p w14:paraId="43CB550E">
            <w:pPr>
              <w:pStyle w:val="26"/>
              <w:bidi w:val="0"/>
              <w:rPr>
                <w:rFonts w:hint="default"/>
                <w:lang w:val="en-US" w:eastAsia="zh-CN"/>
              </w:rPr>
            </w:pPr>
            <w:r>
              <w:rPr>
                <w:rFonts w:hint="eastAsia"/>
                <w:lang w:val="en-US" w:eastAsia="zh-CN"/>
              </w:rPr>
              <w:t>6.7</w:t>
            </w:r>
          </w:p>
        </w:tc>
        <w:tc>
          <w:tcPr>
            <w:tcW w:w="485" w:type="dxa"/>
            <w:vAlign w:val="center"/>
          </w:tcPr>
          <w:p w14:paraId="4E2C5AB5">
            <w:pPr>
              <w:pStyle w:val="26"/>
              <w:bidi w:val="0"/>
              <w:rPr>
                <w:rFonts w:hint="default"/>
                <w:lang w:val="en-US" w:eastAsia="zh-CN"/>
              </w:rPr>
            </w:pPr>
            <w:r>
              <w:rPr>
                <w:rFonts w:hint="eastAsia"/>
                <w:lang w:val="en-US" w:eastAsia="zh-CN"/>
              </w:rPr>
              <w:t>11</w:t>
            </w:r>
          </w:p>
        </w:tc>
        <w:tc>
          <w:tcPr>
            <w:tcW w:w="659" w:type="dxa"/>
            <w:vAlign w:val="center"/>
          </w:tcPr>
          <w:p w14:paraId="6F731F5A">
            <w:pPr>
              <w:pStyle w:val="26"/>
              <w:bidi w:val="0"/>
              <w:rPr>
                <w:rFonts w:hint="default"/>
                <w:lang w:val="en-US" w:eastAsia="zh-CN"/>
              </w:rPr>
            </w:pPr>
            <w:r>
              <w:rPr>
                <w:rFonts w:hint="eastAsia"/>
                <w:lang w:val="en-US" w:eastAsia="zh-CN"/>
              </w:rPr>
              <w:t>0.36</w:t>
            </w:r>
          </w:p>
        </w:tc>
        <w:tc>
          <w:tcPr>
            <w:tcW w:w="662" w:type="dxa"/>
            <w:vAlign w:val="center"/>
          </w:tcPr>
          <w:p w14:paraId="692F941A">
            <w:pPr>
              <w:pStyle w:val="26"/>
              <w:bidi w:val="0"/>
              <w:rPr>
                <w:rFonts w:hint="default"/>
                <w:lang w:val="en-US" w:eastAsia="zh-CN"/>
              </w:rPr>
            </w:pPr>
            <w:r>
              <w:rPr>
                <w:rFonts w:hint="eastAsia"/>
                <w:lang w:val="en-US" w:eastAsia="zh-CN"/>
              </w:rPr>
              <w:t>0.07</w:t>
            </w:r>
          </w:p>
        </w:tc>
        <w:tc>
          <w:tcPr>
            <w:tcW w:w="444" w:type="dxa"/>
            <w:vAlign w:val="center"/>
          </w:tcPr>
          <w:p w14:paraId="23E53588">
            <w:pPr>
              <w:pStyle w:val="26"/>
              <w:bidi w:val="0"/>
              <w:rPr>
                <w:rFonts w:hint="default"/>
                <w:lang w:val="en-US" w:eastAsia="zh-CN"/>
              </w:rPr>
            </w:pPr>
            <w:r>
              <w:rPr>
                <w:rFonts w:hint="eastAsia"/>
                <w:lang w:val="en-US" w:eastAsia="zh-CN"/>
              </w:rPr>
              <w:t>7</w:t>
            </w:r>
          </w:p>
        </w:tc>
        <w:tc>
          <w:tcPr>
            <w:tcW w:w="598" w:type="dxa"/>
            <w:vAlign w:val="center"/>
          </w:tcPr>
          <w:p w14:paraId="2B4C3E2C">
            <w:pPr>
              <w:pStyle w:val="26"/>
              <w:bidi w:val="0"/>
              <w:rPr>
                <w:rFonts w:hint="default"/>
                <w:lang w:val="en-US" w:eastAsia="zh-CN"/>
              </w:rPr>
            </w:pPr>
            <w:r>
              <w:rPr>
                <w:rFonts w:hint="eastAsia"/>
                <w:lang w:val="en-US" w:eastAsia="zh-CN"/>
              </w:rPr>
              <w:t>ND</w:t>
            </w:r>
          </w:p>
        </w:tc>
        <w:tc>
          <w:tcPr>
            <w:tcW w:w="694" w:type="dxa"/>
            <w:vAlign w:val="center"/>
          </w:tcPr>
          <w:p w14:paraId="346E7C28">
            <w:pPr>
              <w:pStyle w:val="26"/>
              <w:bidi w:val="0"/>
              <w:rPr>
                <w:rFonts w:hint="default"/>
                <w:lang w:val="en-US" w:eastAsia="zh-CN"/>
              </w:rPr>
            </w:pPr>
            <w:r>
              <w:rPr>
                <w:rFonts w:hint="eastAsia"/>
                <w:lang w:val="en-US" w:eastAsia="zh-CN"/>
              </w:rPr>
              <w:t>4.2</w:t>
            </w:r>
          </w:p>
        </w:tc>
        <w:tc>
          <w:tcPr>
            <w:tcW w:w="1521" w:type="dxa"/>
            <w:vAlign w:val="center"/>
          </w:tcPr>
          <w:p w14:paraId="1CBA9A01">
            <w:pPr>
              <w:pStyle w:val="26"/>
              <w:bidi w:val="0"/>
              <w:rPr>
                <w:rFonts w:hint="default"/>
                <w:lang w:val="en-US" w:eastAsia="zh-CN"/>
              </w:rPr>
            </w:pPr>
            <w:r>
              <w:rPr>
                <w:rFonts w:hint="eastAsia"/>
                <w:lang w:val="en-US" w:eastAsia="zh-CN"/>
              </w:rPr>
              <w:t>3.5</w:t>
            </w:r>
          </w:p>
        </w:tc>
      </w:tr>
      <w:tr w14:paraId="23AB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779C9E81">
            <w:pPr>
              <w:pStyle w:val="26"/>
              <w:bidi w:val="0"/>
              <w:rPr>
                <w:rFonts w:hint="eastAsia"/>
                <w:lang w:val="en-US" w:eastAsia="zh-CN"/>
              </w:rPr>
            </w:pPr>
            <w:r>
              <w:rPr>
                <w:rFonts w:hint="eastAsia"/>
                <w:lang w:val="en-US" w:eastAsia="zh-CN"/>
              </w:rPr>
              <w:t>W4</w:t>
            </w:r>
          </w:p>
        </w:tc>
        <w:tc>
          <w:tcPr>
            <w:tcW w:w="1009" w:type="dxa"/>
            <w:vMerge w:val="restart"/>
            <w:vAlign w:val="center"/>
          </w:tcPr>
          <w:p w14:paraId="23456493">
            <w:pPr>
              <w:pStyle w:val="26"/>
              <w:bidi w:val="0"/>
              <w:rPr>
                <w:rFonts w:hint="default"/>
                <w:lang w:val="en-US" w:eastAsia="zh-CN"/>
              </w:rPr>
            </w:pPr>
            <w:r>
              <w:rPr>
                <w:rFonts w:hint="eastAsia"/>
                <w:lang w:val="en-US" w:eastAsia="zh-CN"/>
              </w:rPr>
              <w:t>2026.04.08</w:t>
            </w:r>
          </w:p>
        </w:tc>
        <w:tc>
          <w:tcPr>
            <w:tcW w:w="596" w:type="dxa"/>
            <w:vAlign w:val="center"/>
          </w:tcPr>
          <w:p w14:paraId="13B257D5">
            <w:pPr>
              <w:pStyle w:val="26"/>
              <w:bidi w:val="0"/>
              <w:rPr>
                <w:rFonts w:hint="default"/>
                <w:lang w:val="en-US" w:eastAsia="zh-CN"/>
              </w:rPr>
            </w:pPr>
            <w:r>
              <w:rPr>
                <w:rFonts w:hint="eastAsia"/>
                <w:lang w:val="en-US" w:eastAsia="zh-CN"/>
              </w:rPr>
              <w:t>7.5</w:t>
            </w:r>
          </w:p>
        </w:tc>
        <w:tc>
          <w:tcPr>
            <w:tcW w:w="614" w:type="dxa"/>
            <w:vAlign w:val="center"/>
          </w:tcPr>
          <w:p w14:paraId="1473DBA6">
            <w:pPr>
              <w:pStyle w:val="26"/>
              <w:bidi w:val="0"/>
              <w:rPr>
                <w:rFonts w:hint="default"/>
                <w:lang w:val="en-US" w:eastAsia="zh-CN"/>
              </w:rPr>
            </w:pPr>
            <w:r>
              <w:rPr>
                <w:rFonts w:hint="eastAsia"/>
                <w:lang w:val="en-US" w:eastAsia="zh-CN"/>
              </w:rPr>
              <w:t>18.4</w:t>
            </w:r>
          </w:p>
        </w:tc>
        <w:tc>
          <w:tcPr>
            <w:tcW w:w="549" w:type="dxa"/>
            <w:vAlign w:val="center"/>
          </w:tcPr>
          <w:p w14:paraId="6633E9D1">
            <w:pPr>
              <w:pStyle w:val="26"/>
              <w:bidi w:val="0"/>
              <w:rPr>
                <w:rFonts w:hint="default"/>
                <w:lang w:val="en-US" w:eastAsia="zh-CN"/>
              </w:rPr>
            </w:pPr>
            <w:r>
              <w:rPr>
                <w:rFonts w:hint="eastAsia"/>
                <w:lang w:val="en-US" w:eastAsia="zh-CN"/>
              </w:rPr>
              <w:t>7.6</w:t>
            </w:r>
          </w:p>
        </w:tc>
        <w:tc>
          <w:tcPr>
            <w:tcW w:w="485" w:type="dxa"/>
            <w:vAlign w:val="center"/>
          </w:tcPr>
          <w:p w14:paraId="5B2E998C">
            <w:pPr>
              <w:pStyle w:val="26"/>
              <w:bidi w:val="0"/>
              <w:rPr>
                <w:rFonts w:hint="default"/>
                <w:lang w:val="en-US" w:eastAsia="zh-CN"/>
              </w:rPr>
            </w:pPr>
            <w:r>
              <w:rPr>
                <w:rFonts w:hint="eastAsia"/>
                <w:lang w:val="en-US" w:eastAsia="zh-CN"/>
              </w:rPr>
              <w:t>9</w:t>
            </w:r>
          </w:p>
        </w:tc>
        <w:tc>
          <w:tcPr>
            <w:tcW w:w="659" w:type="dxa"/>
            <w:vAlign w:val="center"/>
          </w:tcPr>
          <w:p w14:paraId="12C4366F">
            <w:pPr>
              <w:pStyle w:val="26"/>
              <w:bidi w:val="0"/>
              <w:rPr>
                <w:rFonts w:hint="default"/>
                <w:lang w:val="en-US" w:eastAsia="zh-CN"/>
              </w:rPr>
            </w:pPr>
            <w:r>
              <w:rPr>
                <w:rFonts w:hint="eastAsia"/>
                <w:lang w:val="en-US" w:eastAsia="zh-CN"/>
              </w:rPr>
              <w:t>0.29</w:t>
            </w:r>
          </w:p>
        </w:tc>
        <w:tc>
          <w:tcPr>
            <w:tcW w:w="662" w:type="dxa"/>
            <w:vAlign w:val="center"/>
          </w:tcPr>
          <w:p w14:paraId="1982DF30">
            <w:pPr>
              <w:pStyle w:val="26"/>
              <w:bidi w:val="0"/>
              <w:rPr>
                <w:rFonts w:hint="default"/>
                <w:lang w:val="en-US" w:eastAsia="zh-CN"/>
              </w:rPr>
            </w:pPr>
            <w:r>
              <w:rPr>
                <w:rFonts w:hint="eastAsia"/>
                <w:lang w:val="en-US" w:eastAsia="zh-CN"/>
              </w:rPr>
              <w:t>0.07</w:t>
            </w:r>
          </w:p>
        </w:tc>
        <w:tc>
          <w:tcPr>
            <w:tcW w:w="444" w:type="dxa"/>
            <w:vAlign w:val="center"/>
          </w:tcPr>
          <w:p w14:paraId="124E8A7F">
            <w:pPr>
              <w:pStyle w:val="26"/>
              <w:bidi w:val="0"/>
              <w:rPr>
                <w:rFonts w:hint="default"/>
                <w:lang w:val="en-US" w:eastAsia="zh-CN"/>
              </w:rPr>
            </w:pPr>
            <w:r>
              <w:rPr>
                <w:rFonts w:hint="eastAsia"/>
                <w:lang w:val="en-US" w:eastAsia="zh-CN"/>
              </w:rPr>
              <w:t>9</w:t>
            </w:r>
          </w:p>
        </w:tc>
        <w:tc>
          <w:tcPr>
            <w:tcW w:w="598" w:type="dxa"/>
            <w:vAlign w:val="center"/>
          </w:tcPr>
          <w:p w14:paraId="3BFD8CBE">
            <w:pPr>
              <w:pStyle w:val="26"/>
              <w:bidi w:val="0"/>
              <w:rPr>
                <w:rFonts w:hint="default"/>
                <w:lang w:val="en-US" w:eastAsia="zh-CN"/>
              </w:rPr>
            </w:pPr>
            <w:r>
              <w:rPr>
                <w:rFonts w:hint="eastAsia"/>
                <w:lang w:val="en-US" w:eastAsia="zh-CN"/>
              </w:rPr>
              <w:t>ND</w:t>
            </w:r>
          </w:p>
        </w:tc>
        <w:tc>
          <w:tcPr>
            <w:tcW w:w="694" w:type="dxa"/>
            <w:vAlign w:val="center"/>
          </w:tcPr>
          <w:p w14:paraId="3ED8A787">
            <w:pPr>
              <w:pStyle w:val="26"/>
              <w:bidi w:val="0"/>
              <w:rPr>
                <w:rFonts w:hint="default"/>
                <w:lang w:val="en-US" w:eastAsia="zh-CN"/>
              </w:rPr>
            </w:pPr>
            <w:r>
              <w:rPr>
                <w:rFonts w:hint="eastAsia"/>
                <w:lang w:val="en-US" w:eastAsia="zh-CN"/>
              </w:rPr>
              <w:t>5.1</w:t>
            </w:r>
          </w:p>
        </w:tc>
        <w:tc>
          <w:tcPr>
            <w:tcW w:w="1521" w:type="dxa"/>
            <w:vAlign w:val="center"/>
          </w:tcPr>
          <w:p w14:paraId="0000C7BD">
            <w:pPr>
              <w:pStyle w:val="26"/>
              <w:bidi w:val="0"/>
              <w:rPr>
                <w:rFonts w:hint="default"/>
                <w:lang w:val="en-US" w:eastAsia="zh-CN"/>
              </w:rPr>
            </w:pPr>
            <w:r>
              <w:rPr>
                <w:rFonts w:hint="eastAsia"/>
                <w:lang w:val="en-US" w:eastAsia="zh-CN"/>
              </w:rPr>
              <w:t>3.4</w:t>
            </w:r>
          </w:p>
        </w:tc>
      </w:tr>
      <w:tr w14:paraId="37EA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continue"/>
            <w:vAlign w:val="center"/>
          </w:tcPr>
          <w:p w14:paraId="5291338E">
            <w:pPr>
              <w:pStyle w:val="26"/>
              <w:bidi w:val="0"/>
              <w:rPr>
                <w:rFonts w:hint="eastAsia"/>
                <w:lang w:val="en-US" w:eastAsia="zh-CN"/>
              </w:rPr>
            </w:pPr>
          </w:p>
        </w:tc>
        <w:tc>
          <w:tcPr>
            <w:tcW w:w="1009" w:type="dxa"/>
            <w:vMerge w:val="continue"/>
            <w:vAlign w:val="center"/>
          </w:tcPr>
          <w:p w14:paraId="219FBCA4">
            <w:pPr>
              <w:pStyle w:val="26"/>
              <w:bidi w:val="0"/>
              <w:rPr>
                <w:rFonts w:hint="default"/>
                <w:lang w:val="en-US" w:eastAsia="zh-CN"/>
              </w:rPr>
            </w:pPr>
          </w:p>
        </w:tc>
        <w:tc>
          <w:tcPr>
            <w:tcW w:w="596" w:type="dxa"/>
            <w:vAlign w:val="center"/>
          </w:tcPr>
          <w:p w14:paraId="65A379FF">
            <w:pPr>
              <w:pStyle w:val="26"/>
              <w:bidi w:val="0"/>
              <w:rPr>
                <w:rFonts w:hint="default"/>
                <w:lang w:val="en-US" w:eastAsia="zh-CN"/>
              </w:rPr>
            </w:pPr>
            <w:r>
              <w:rPr>
                <w:rFonts w:hint="eastAsia"/>
                <w:lang w:val="en-US" w:eastAsia="zh-CN"/>
              </w:rPr>
              <w:t>7.5</w:t>
            </w:r>
          </w:p>
        </w:tc>
        <w:tc>
          <w:tcPr>
            <w:tcW w:w="614" w:type="dxa"/>
            <w:vAlign w:val="center"/>
          </w:tcPr>
          <w:p w14:paraId="1BB89F04">
            <w:pPr>
              <w:pStyle w:val="26"/>
              <w:bidi w:val="0"/>
              <w:rPr>
                <w:rFonts w:hint="default"/>
                <w:lang w:val="en-US" w:eastAsia="zh-CN"/>
              </w:rPr>
            </w:pPr>
            <w:r>
              <w:rPr>
                <w:rFonts w:hint="eastAsia"/>
                <w:lang w:val="en-US" w:eastAsia="zh-CN"/>
              </w:rPr>
              <w:t>19.0</w:t>
            </w:r>
          </w:p>
        </w:tc>
        <w:tc>
          <w:tcPr>
            <w:tcW w:w="549" w:type="dxa"/>
            <w:vAlign w:val="center"/>
          </w:tcPr>
          <w:p w14:paraId="7E0F8C2B">
            <w:pPr>
              <w:pStyle w:val="26"/>
              <w:bidi w:val="0"/>
              <w:rPr>
                <w:rFonts w:hint="default"/>
                <w:lang w:val="en-US" w:eastAsia="zh-CN"/>
              </w:rPr>
            </w:pPr>
            <w:r>
              <w:rPr>
                <w:rFonts w:hint="eastAsia"/>
                <w:lang w:val="en-US" w:eastAsia="zh-CN"/>
              </w:rPr>
              <w:t>7.2</w:t>
            </w:r>
          </w:p>
        </w:tc>
        <w:tc>
          <w:tcPr>
            <w:tcW w:w="485" w:type="dxa"/>
            <w:vAlign w:val="center"/>
          </w:tcPr>
          <w:p w14:paraId="7A6AC325">
            <w:pPr>
              <w:pStyle w:val="26"/>
              <w:bidi w:val="0"/>
              <w:rPr>
                <w:rFonts w:hint="default"/>
                <w:lang w:val="en-US" w:eastAsia="zh-CN"/>
              </w:rPr>
            </w:pPr>
            <w:r>
              <w:rPr>
                <w:rFonts w:hint="eastAsia"/>
                <w:lang w:val="en-US" w:eastAsia="zh-CN"/>
              </w:rPr>
              <w:t>15</w:t>
            </w:r>
          </w:p>
        </w:tc>
        <w:tc>
          <w:tcPr>
            <w:tcW w:w="659" w:type="dxa"/>
            <w:vAlign w:val="center"/>
          </w:tcPr>
          <w:p w14:paraId="1E85E02F">
            <w:pPr>
              <w:pStyle w:val="26"/>
              <w:bidi w:val="0"/>
              <w:rPr>
                <w:rFonts w:hint="default"/>
                <w:lang w:val="en-US" w:eastAsia="zh-CN"/>
              </w:rPr>
            </w:pPr>
            <w:r>
              <w:rPr>
                <w:rFonts w:hint="eastAsia"/>
                <w:lang w:val="en-US" w:eastAsia="zh-CN"/>
              </w:rPr>
              <w:t>0.29</w:t>
            </w:r>
          </w:p>
        </w:tc>
        <w:tc>
          <w:tcPr>
            <w:tcW w:w="662" w:type="dxa"/>
            <w:vAlign w:val="center"/>
          </w:tcPr>
          <w:p w14:paraId="15014F92">
            <w:pPr>
              <w:pStyle w:val="26"/>
              <w:bidi w:val="0"/>
              <w:rPr>
                <w:rFonts w:hint="default"/>
                <w:lang w:val="en-US" w:eastAsia="zh-CN"/>
              </w:rPr>
            </w:pPr>
            <w:r>
              <w:rPr>
                <w:rFonts w:hint="eastAsia"/>
                <w:lang w:val="en-US" w:eastAsia="zh-CN"/>
              </w:rPr>
              <w:t>0.06</w:t>
            </w:r>
          </w:p>
        </w:tc>
        <w:tc>
          <w:tcPr>
            <w:tcW w:w="444" w:type="dxa"/>
            <w:vAlign w:val="center"/>
          </w:tcPr>
          <w:p w14:paraId="32919BE7">
            <w:pPr>
              <w:pStyle w:val="26"/>
              <w:bidi w:val="0"/>
              <w:rPr>
                <w:rFonts w:hint="default"/>
                <w:lang w:val="en-US" w:eastAsia="zh-CN"/>
              </w:rPr>
            </w:pPr>
            <w:r>
              <w:rPr>
                <w:rFonts w:hint="eastAsia"/>
                <w:lang w:val="en-US" w:eastAsia="zh-CN"/>
              </w:rPr>
              <w:t>13</w:t>
            </w:r>
          </w:p>
        </w:tc>
        <w:tc>
          <w:tcPr>
            <w:tcW w:w="598" w:type="dxa"/>
            <w:vAlign w:val="center"/>
          </w:tcPr>
          <w:p w14:paraId="0D5F3952">
            <w:pPr>
              <w:pStyle w:val="26"/>
              <w:bidi w:val="0"/>
              <w:rPr>
                <w:rFonts w:hint="default"/>
                <w:lang w:val="en-US" w:eastAsia="zh-CN"/>
              </w:rPr>
            </w:pPr>
            <w:r>
              <w:rPr>
                <w:rFonts w:hint="eastAsia"/>
                <w:lang w:val="en-US" w:eastAsia="zh-CN"/>
              </w:rPr>
              <w:t>ND</w:t>
            </w:r>
          </w:p>
        </w:tc>
        <w:tc>
          <w:tcPr>
            <w:tcW w:w="694" w:type="dxa"/>
            <w:vAlign w:val="center"/>
          </w:tcPr>
          <w:p w14:paraId="386A55F2">
            <w:pPr>
              <w:pStyle w:val="26"/>
              <w:bidi w:val="0"/>
              <w:rPr>
                <w:rFonts w:hint="default"/>
                <w:lang w:val="en-US" w:eastAsia="zh-CN"/>
              </w:rPr>
            </w:pPr>
            <w:r>
              <w:rPr>
                <w:rFonts w:hint="eastAsia"/>
                <w:lang w:val="en-US" w:eastAsia="zh-CN"/>
              </w:rPr>
              <w:t>4.2</w:t>
            </w:r>
          </w:p>
        </w:tc>
        <w:tc>
          <w:tcPr>
            <w:tcW w:w="1521" w:type="dxa"/>
            <w:vAlign w:val="center"/>
          </w:tcPr>
          <w:p w14:paraId="3AFCD17F">
            <w:pPr>
              <w:pStyle w:val="26"/>
              <w:bidi w:val="0"/>
              <w:rPr>
                <w:rFonts w:hint="default"/>
                <w:lang w:val="en-US" w:eastAsia="zh-CN"/>
              </w:rPr>
            </w:pPr>
            <w:r>
              <w:rPr>
                <w:rFonts w:hint="eastAsia"/>
                <w:lang w:val="en-US" w:eastAsia="zh-CN"/>
              </w:rPr>
              <w:t>3.0</w:t>
            </w:r>
          </w:p>
        </w:tc>
      </w:tr>
      <w:tr w14:paraId="7C77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47" w:type="dxa"/>
            <w:vMerge w:val="restart"/>
            <w:vAlign w:val="center"/>
          </w:tcPr>
          <w:p w14:paraId="011F297F">
            <w:pPr>
              <w:pStyle w:val="26"/>
              <w:bidi w:val="0"/>
              <w:rPr>
                <w:rFonts w:hint="eastAsia"/>
                <w:lang w:val="en-US" w:eastAsia="zh-CN"/>
              </w:rPr>
            </w:pPr>
            <w:r>
              <w:rPr>
                <w:rFonts w:hint="eastAsia"/>
                <w:lang w:val="en-US" w:eastAsia="zh-CN"/>
              </w:rPr>
              <w:t>W5</w:t>
            </w:r>
          </w:p>
        </w:tc>
        <w:tc>
          <w:tcPr>
            <w:tcW w:w="1009" w:type="dxa"/>
            <w:vMerge w:val="restart"/>
            <w:vAlign w:val="center"/>
          </w:tcPr>
          <w:p w14:paraId="67387B79">
            <w:pPr>
              <w:pStyle w:val="26"/>
              <w:bidi w:val="0"/>
              <w:rPr>
                <w:rFonts w:hint="default"/>
                <w:lang w:val="en-US" w:eastAsia="zh-CN"/>
              </w:rPr>
            </w:pPr>
            <w:r>
              <w:rPr>
                <w:rFonts w:hint="eastAsia"/>
                <w:lang w:val="en-US" w:eastAsia="zh-CN"/>
              </w:rPr>
              <w:t>2026.04.08</w:t>
            </w:r>
          </w:p>
        </w:tc>
        <w:tc>
          <w:tcPr>
            <w:tcW w:w="596" w:type="dxa"/>
            <w:vAlign w:val="center"/>
          </w:tcPr>
          <w:p w14:paraId="5C619656">
            <w:pPr>
              <w:pStyle w:val="26"/>
              <w:bidi w:val="0"/>
              <w:rPr>
                <w:rFonts w:hint="default"/>
                <w:lang w:val="en-US" w:eastAsia="zh-CN"/>
              </w:rPr>
            </w:pPr>
            <w:r>
              <w:rPr>
                <w:rFonts w:hint="eastAsia"/>
                <w:lang w:val="en-US" w:eastAsia="zh-CN"/>
              </w:rPr>
              <w:t>8.0</w:t>
            </w:r>
          </w:p>
        </w:tc>
        <w:tc>
          <w:tcPr>
            <w:tcW w:w="614" w:type="dxa"/>
            <w:vAlign w:val="center"/>
          </w:tcPr>
          <w:p w14:paraId="62A2D7C4">
            <w:pPr>
              <w:pStyle w:val="26"/>
              <w:bidi w:val="0"/>
              <w:rPr>
                <w:rFonts w:hint="default"/>
                <w:lang w:val="en-US" w:eastAsia="zh-CN"/>
              </w:rPr>
            </w:pPr>
            <w:r>
              <w:rPr>
                <w:rFonts w:hint="eastAsia"/>
                <w:lang w:val="en-US" w:eastAsia="zh-CN"/>
              </w:rPr>
              <w:t>18.6</w:t>
            </w:r>
          </w:p>
        </w:tc>
        <w:tc>
          <w:tcPr>
            <w:tcW w:w="549" w:type="dxa"/>
            <w:vAlign w:val="center"/>
          </w:tcPr>
          <w:p w14:paraId="269475B5">
            <w:pPr>
              <w:pStyle w:val="26"/>
              <w:bidi w:val="0"/>
              <w:rPr>
                <w:rFonts w:hint="default"/>
                <w:lang w:val="en-US" w:eastAsia="zh-CN"/>
              </w:rPr>
            </w:pPr>
            <w:r>
              <w:rPr>
                <w:rFonts w:hint="eastAsia"/>
                <w:lang w:val="en-US" w:eastAsia="zh-CN"/>
              </w:rPr>
              <w:t>8.2</w:t>
            </w:r>
          </w:p>
        </w:tc>
        <w:tc>
          <w:tcPr>
            <w:tcW w:w="485" w:type="dxa"/>
            <w:vAlign w:val="center"/>
          </w:tcPr>
          <w:p w14:paraId="7F46423D">
            <w:pPr>
              <w:pStyle w:val="26"/>
              <w:bidi w:val="0"/>
              <w:rPr>
                <w:rFonts w:hint="default"/>
                <w:lang w:val="en-US" w:eastAsia="zh-CN"/>
              </w:rPr>
            </w:pPr>
            <w:r>
              <w:rPr>
                <w:rFonts w:hint="eastAsia"/>
                <w:lang w:val="en-US" w:eastAsia="zh-CN"/>
              </w:rPr>
              <w:t>8</w:t>
            </w:r>
          </w:p>
        </w:tc>
        <w:tc>
          <w:tcPr>
            <w:tcW w:w="659" w:type="dxa"/>
            <w:vAlign w:val="center"/>
          </w:tcPr>
          <w:p w14:paraId="3FBC5BB8">
            <w:pPr>
              <w:pStyle w:val="26"/>
              <w:bidi w:val="0"/>
              <w:rPr>
                <w:rFonts w:hint="default"/>
                <w:lang w:val="en-US" w:eastAsia="zh-CN"/>
              </w:rPr>
            </w:pPr>
            <w:r>
              <w:rPr>
                <w:rFonts w:hint="eastAsia"/>
                <w:lang w:val="en-US" w:eastAsia="zh-CN"/>
              </w:rPr>
              <w:t>0.22</w:t>
            </w:r>
          </w:p>
        </w:tc>
        <w:tc>
          <w:tcPr>
            <w:tcW w:w="662" w:type="dxa"/>
            <w:vAlign w:val="center"/>
          </w:tcPr>
          <w:p w14:paraId="200E6F1E">
            <w:pPr>
              <w:pStyle w:val="26"/>
              <w:bidi w:val="0"/>
              <w:rPr>
                <w:rFonts w:hint="default"/>
                <w:lang w:val="en-US" w:eastAsia="zh-CN"/>
              </w:rPr>
            </w:pPr>
            <w:r>
              <w:rPr>
                <w:rFonts w:hint="eastAsia"/>
                <w:lang w:val="en-US" w:eastAsia="zh-CN"/>
              </w:rPr>
              <w:t>0.09</w:t>
            </w:r>
          </w:p>
        </w:tc>
        <w:tc>
          <w:tcPr>
            <w:tcW w:w="444" w:type="dxa"/>
            <w:vAlign w:val="center"/>
          </w:tcPr>
          <w:p w14:paraId="18192230">
            <w:pPr>
              <w:pStyle w:val="26"/>
              <w:bidi w:val="0"/>
              <w:rPr>
                <w:rFonts w:hint="default"/>
                <w:lang w:val="en-US" w:eastAsia="zh-CN"/>
              </w:rPr>
            </w:pPr>
            <w:r>
              <w:rPr>
                <w:rFonts w:hint="eastAsia"/>
                <w:lang w:val="en-US" w:eastAsia="zh-CN"/>
              </w:rPr>
              <w:t>25</w:t>
            </w:r>
          </w:p>
        </w:tc>
        <w:tc>
          <w:tcPr>
            <w:tcW w:w="598" w:type="dxa"/>
            <w:vAlign w:val="center"/>
          </w:tcPr>
          <w:p w14:paraId="039671CB">
            <w:pPr>
              <w:pStyle w:val="26"/>
              <w:bidi w:val="0"/>
              <w:rPr>
                <w:rFonts w:hint="default"/>
                <w:lang w:val="en-US" w:eastAsia="zh-CN"/>
              </w:rPr>
            </w:pPr>
            <w:r>
              <w:rPr>
                <w:rFonts w:hint="eastAsia"/>
                <w:lang w:val="en-US" w:eastAsia="zh-CN"/>
              </w:rPr>
              <w:t>ND</w:t>
            </w:r>
          </w:p>
        </w:tc>
        <w:tc>
          <w:tcPr>
            <w:tcW w:w="694" w:type="dxa"/>
            <w:vAlign w:val="center"/>
          </w:tcPr>
          <w:p w14:paraId="41AE7946">
            <w:pPr>
              <w:pStyle w:val="26"/>
              <w:bidi w:val="0"/>
              <w:rPr>
                <w:rFonts w:hint="default"/>
                <w:lang w:val="en-US" w:eastAsia="zh-CN"/>
              </w:rPr>
            </w:pPr>
            <w:r>
              <w:rPr>
                <w:rFonts w:hint="eastAsia"/>
                <w:lang w:val="en-US" w:eastAsia="zh-CN"/>
              </w:rPr>
              <w:t>3.3</w:t>
            </w:r>
          </w:p>
        </w:tc>
        <w:tc>
          <w:tcPr>
            <w:tcW w:w="1521" w:type="dxa"/>
            <w:vAlign w:val="center"/>
          </w:tcPr>
          <w:p w14:paraId="7E14AFE8">
            <w:pPr>
              <w:pStyle w:val="26"/>
              <w:bidi w:val="0"/>
              <w:rPr>
                <w:rFonts w:hint="default"/>
                <w:lang w:val="en-US" w:eastAsia="zh-CN"/>
              </w:rPr>
            </w:pPr>
            <w:r>
              <w:rPr>
                <w:rFonts w:hint="eastAsia"/>
                <w:lang w:val="en-US" w:eastAsia="zh-CN"/>
              </w:rPr>
              <w:t>3.1</w:t>
            </w:r>
          </w:p>
        </w:tc>
      </w:tr>
      <w:tr w14:paraId="0631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47" w:type="dxa"/>
            <w:vMerge w:val="continue"/>
            <w:vAlign w:val="center"/>
          </w:tcPr>
          <w:p w14:paraId="1119290C">
            <w:pPr>
              <w:pStyle w:val="26"/>
              <w:bidi w:val="0"/>
              <w:rPr>
                <w:rFonts w:hint="eastAsia"/>
                <w:lang w:val="en-US" w:eastAsia="zh-CN"/>
              </w:rPr>
            </w:pPr>
          </w:p>
        </w:tc>
        <w:tc>
          <w:tcPr>
            <w:tcW w:w="1009" w:type="dxa"/>
            <w:vMerge w:val="continue"/>
            <w:vAlign w:val="center"/>
          </w:tcPr>
          <w:p w14:paraId="48A41C36">
            <w:pPr>
              <w:pStyle w:val="26"/>
              <w:bidi w:val="0"/>
              <w:rPr>
                <w:rFonts w:hint="default"/>
                <w:lang w:val="en-US" w:eastAsia="zh-CN"/>
              </w:rPr>
            </w:pPr>
          </w:p>
        </w:tc>
        <w:tc>
          <w:tcPr>
            <w:tcW w:w="596" w:type="dxa"/>
            <w:vAlign w:val="center"/>
          </w:tcPr>
          <w:p w14:paraId="7510EAB5">
            <w:pPr>
              <w:pStyle w:val="26"/>
              <w:bidi w:val="0"/>
              <w:rPr>
                <w:rFonts w:hint="default"/>
                <w:lang w:val="en-US" w:eastAsia="zh-CN"/>
              </w:rPr>
            </w:pPr>
            <w:r>
              <w:rPr>
                <w:rFonts w:hint="eastAsia"/>
                <w:lang w:val="en-US" w:eastAsia="zh-CN"/>
              </w:rPr>
              <w:t>8.5</w:t>
            </w:r>
          </w:p>
        </w:tc>
        <w:tc>
          <w:tcPr>
            <w:tcW w:w="614" w:type="dxa"/>
            <w:vAlign w:val="center"/>
          </w:tcPr>
          <w:p w14:paraId="74438553">
            <w:pPr>
              <w:pStyle w:val="26"/>
              <w:bidi w:val="0"/>
              <w:rPr>
                <w:rFonts w:hint="default"/>
                <w:lang w:val="en-US" w:eastAsia="zh-CN"/>
              </w:rPr>
            </w:pPr>
            <w:r>
              <w:rPr>
                <w:rFonts w:hint="eastAsia"/>
                <w:lang w:val="en-US" w:eastAsia="zh-CN"/>
              </w:rPr>
              <w:t>19.8</w:t>
            </w:r>
          </w:p>
        </w:tc>
        <w:tc>
          <w:tcPr>
            <w:tcW w:w="549" w:type="dxa"/>
            <w:vAlign w:val="center"/>
          </w:tcPr>
          <w:p w14:paraId="74D15533">
            <w:pPr>
              <w:pStyle w:val="26"/>
              <w:bidi w:val="0"/>
              <w:rPr>
                <w:rFonts w:hint="default"/>
                <w:lang w:val="en-US" w:eastAsia="zh-CN"/>
              </w:rPr>
            </w:pPr>
            <w:r>
              <w:rPr>
                <w:rFonts w:hint="eastAsia"/>
                <w:lang w:val="en-US" w:eastAsia="zh-CN"/>
              </w:rPr>
              <w:t>7.9</w:t>
            </w:r>
          </w:p>
        </w:tc>
        <w:tc>
          <w:tcPr>
            <w:tcW w:w="485" w:type="dxa"/>
            <w:vAlign w:val="center"/>
          </w:tcPr>
          <w:p w14:paraId="6A7BCB1B">
            <w:pPr>
              <w:pStyle w:val="26"/>
              <w:bidi w:val="0"/>
              <w:rPr>
                <w:rFonts w:hint="default"/>
                <w:lang w:val="en-US" w:eastAsia="zh-CN"/>
              </w:rPr>
            </w:pPr>
            <w:r>
              <w:rPr>
                <w:rFonts w:hint="eastAsia"/>
                <w:lang w:val="en-US" w:eastAsia="zh-CN"/>
              </w:rPr>
              <w:t>14</w:t>
            </w:r>
          </w:p>
        </w:tc>
        <w:tc>
          <w:tcPr>
            <w:tcW w:w="659" w:type="dxa"/>
            <w:vAlign w:val="center"/>
          </w:tcPr>
          <w:p w14:paraId="2BD4A43B">
            <w:pPr>
              <w:pStyle w:val="26"/>
              <w:bidi w:val="0"/>
              <w:rPr>
                <w:rFonts w:hint="default"/>
                <w:lang w:val="en-US" w:eastAsia="zh-CN"/>
              </w:rPr>
            </w:pPr>
            <w:r>
              <w:rPr>
                <w:rFonts w:hint="eastAsia"/>
                <w:lang w:val="en-US" w:eastAsia="zh-CN"/>
              </w:rPr>
              <w:t>0.24</w:t>
            </w:r>
          </w:p>
        </w:tc>
        <w:tc>
          <w:tcPr>
            <w:tcW w:w="662" w:type="dxa"/>
            <w:vAlign w:val="center"/>
          </w:tcPr>
          <w:p w14:paraId="7295E016">
            <w:pPr>
              <w:pStyle w:val="26"/>
              <w:bidi w:val="0"/>
              <w:rPr>
                <w:rFonts w:hint="default"/>
                <w:lang w:val="en-US" w:eastAsia="zh-CN"/>
              </w:rPr>
            </w:pPr>
            <w:r>
              <w:rPr>
                <w:rFonts w:hint="eastAsia"/>
                <w:lang w:val="en-US" w:eastAsia="zh-CN"/>
              </w:rPr>
              <w:t>0.16</w:t>
            </w:r>
          </w:p>
        </w:tc>
        <w:tc>
          <w:tcPr>
            <w:tcW w:w="444" w:type="dxa"/>
            <w:vAlign w:val="center"/>
          </w:tcPr>
          <w:p w14:paraId="6820AE7D">
            <w:pPr>
              <w:pStyle w:val="26"/>
              <w:bidi w:val="0"/>
              <w:rPr>
                <w:rFonts w:hint="default"/>
                <w:lang w:val="en-US" w:eastAsia="zh-CN"/>
              </w:rPr>
            </w:pPr>
            <w:r>
              <w:rPr>
                <w:rFonts w:hint="eastAsia"/>
                <w:lang w:val="en-US" w:eastAsia="zh-CN"/>
              </w:rPr>
              <w:t>17</w:t>
            </w:r>
          </w:p>
        </w:tc>
        <w:tc>
          <w:tcPr>
            <w:tcW w:w="598" w:type="dxa"/>
            <w:vAlign w:val="center"/>
          </w:tcPr>
          <w:p w14:paraId="6C03F658">
            <w:pPr>
              <w:pStyle w:val="26"/>
              <w:bidi w:val="0"/>
              <w:rPr>
                <w:rFonts w:hint="default"/>
                <w:lang w:val="en-US" w:eastAsia="zh-CN"/>
              </w:rPr>
            </w:pPr>
            <w:r>
              <w:rPr>
                <w:rFonts w:hint="eastAsia"/>
                <w:lang w:val="en-US" w:eastAsia="zh-CN"/>
              </w:rPr>
              <w:t>ND</w:t>
            </w:r>
          </w:p>
        </w:tc>
        <w:tc>
          <w:tcPr>
            <w:tcW w:w="694" w:type="dxa"/>
            <w:vAlign w:val="center"/>
          </w:tcPr>
          <w:p w14:paraId="2EAFE2EE">
            <w:pPr>
              <w:pStyle w:val="26"/>
              <w:bidi w:val="0"/>
              <w:rPr>
                <w:rFonts w:hint="default"/>
                <w:lang w:val="en-US" w:eastAsia="zh-CN"/>
              </w:rPr>
            </w:pPr>
            <w:r>
              <w:rPr>
                <w:rFonts w:hint="eastAsia"/>
                <w:lang w:val="en-US" w:eastAsia="zh-CN"/>
              </w:rPr>
              <w:t>3.4</w:t>
            </w:r>
          </w:p>
        </w:tc>
        <w:tc>
          <w:tcPr>
            <w:tcW w:w="1521" w:type="dxa"/>
            <w:vAlign w:val="center"/>
          </w:tcPr>
          <w:p w14:paraId="041EA80B">
            <w:pPr>
              <w:pStyle w:val="26"/>
              <w:bidi w:val="0"/>
              <w:rPr>
                <w:rFonts w:hint="default"/>
                <w:lang w:val="en-US" w:eastAsia="zh-CN"/>
              </w:rPr>
            </w:pPr>
            <w:r>
              <w:rPr>
                <w:rFonts w:hint="eastAsia"/>
                <w:lang w:val="en-US" w:eastAsia="zh-CN"/>
              </w:rPr>
              <w:t>2.9</w:t>
            </w:r>
          </w:p>
        </w:tc>
      </w:tr>
    </w:tbl>
    <w:p w14:paraId="7BD2960B">
      <w:pPr>
        <w:pStyle w:val="28"/>
        <w:bidi w:val="0"/>
        <w:rPr>
          <w:rFonts w:hint="eastAsia"/>
          <w:color w:val="auto"/>
          <w:lang w:val="en-US" w:eastAsia="zh-CN"/>
        </w:rPr>
      </w:pPr>
      <w:r>
        <w:rPr>
          <w:rFonts w:hint="eastAsia"/>
          <w:color w:val="auto"/>
          <w:lang w:val="en-US" w:eastAsia="zh-CN"/>
        </w:rPr>
        <w:t>注：①《地表水资源质量标准》（SL63-94）已废止，SS指标目前暂无对照标准，本次对SS监测数据不予进行评价。</w:t>
      </w:r>
    </w:p>
    <w:p w14:paraId="09071293">
      <w:pPr>
        <w:pStyle w:val="5"/>
        <w:bidi w:val="0"/>
        <w:rPr>
          <w:color w:val="auto"/>
          <w:lang w:val="en-US" w:eastAsia="zh-CN"/>
        </w:rPr>
      </w:pPr>
      <w:r>
        <w:rPr>
          <w:rFonts w:hint="eastAsia"/>
          <w:color w:val="auto"/>
          <w:lang w:val="en-US" w:eastAsia="zh-CN"/>
        </w:rPr>
        <w:t>地表水环境质量现状评价</w:t>
      </w:r>
    </w:p>
    <w:p w14:paraId="60E2E873">
      <w:pPr>
        <w:rPr>
          <w:rFonts w:hint="eastAsia" w:ascii="Times New Roman" w:hAnsi="Times New Roman"/>
          <w:color w:val="auto"/>
        </w:rPr>
      </w:pPr>
      <w:r>
        <w:rPr>
          <w:rFonts w:hint="eastAsia" w:ascii="Times New Roman" w:hAnsi="Times New Roman"/>
          <w:color w:val="auto"/>
        </w:rPr>
        <w:t>（1）评价方法</w:t>
      </w:r>
    </w:p>
    <w:p w14:paraId="3FD1E8CC">
      <w:pPr>
        <w:rPr>
          <w:rFonts w:hint="eastAsia" w:ascii="Times New Roman" w:hAnsi="Times New Roman"/>
          <w:color w:val="auto"/>
        </w:rPr>
      </w:pPr>
      <w:r>
        <w:rPr>
          <w:rFonts w:hint="eastAsia" w:ascii="Times New Roman" w:hAnsi="Times New Roman"/>
          <w:color w:val="auto"/>
        </w:rPr>
        <w:t>根据《关于印发&lt;江苏省地表水（环境）功能区划（2021—2030年）&gt;的通知》（苏环办[2022]82号），本项目纳污水体朝南港无功能区划，参照执行GB3838-2002IV类标准。采用单项水质参数评价模式，在各项水质参数评价中，对某一水质参数的现状浓度采用多次监测的平均浓度值和最大浓度值。单因子污染指数计算公式为：</w:t>
      </w:r>
    </w:p>
    <w:p w14:paraId="69F9C715">
      <w:pPr>
        <w:rPr>
          <w:rFonts w:hint="eastAsia" w:ascii="Times New Roman" w:hAnsi="Times New Roman"/>
          <w:color w:val="auto"/>
        </w:rPr>
      </w:pPr>
      <w:r>
        <w:rPr>
          <w:rFonts w:hint="eastAsia" w:ascii="Times New Roman" w:hAnsi="Times New Roman"/>
          <w:color w:val="auto"/>
        </w:rPr>
        <w:t>Sij=Cij/Csj</w:t>
      </w:r>
    </w:p>
    <w:p w14:paraId="2D54CE96">
      <w:pPr>
        <w:rPr>
          <w:rFonts w:hint="eastAsia" w:ascii="Times New Roman" w:hAnsi="Times New Roman"/>
          <w:color w:val="auto"/>
        </w:rPr>
      </w:pPr>
      <w:r>
        <w:rPr>
          <w:rFonts w:hint="eastAsia" w:ascii="Times New Roman" w:hAnsi="Times New Roman"/>
          <w:color w:val="auto"/>
        </w:rPr>
        <w:t>式中：Sij</w:t>
      </w:r>
      <w:r>
        <w:rPr>
          <w:rFonts w:hint="eastAsia" w:ascii="Times New Roman" w:hAnsi="Times New Roman"/>
          <w:color w:val="auto"/>
          <w:lang w:eastAsia="zh-CN"/>
        </w:rPr>
        <w:t>：</w:t>
      </w:r>
      <w:r>
        <w:rPr>
          <w:rFonts w:hint="eastAsia" w:ascii="Times New Roman" w:hAnsi="Times New Roman"/>
          <w:color w:val="auto"/>
        </w:rPr>
        <w:t>第i种污染物在第j点的标准指数；</w:t>
      </w:r>
    </w:p>
    <w:p w14:paraId="58595D2C">
      <w:pPr>
        <w:rPr>
          <w:rFonts w:hint="eastAsia" w:ascii="Times New Roman" w:hAnsi="Times New Roman"/>
          <w:color w:val="auto"/>
        </w:rPr>
      </w:pPr>
      <w:r>
        <w:rPr>
          <w:rFonts w:hint="eastAsia" w:ascii="Times New Roman" w:hAnsi="Times New Roman"/>
          <w:color w:val="auto"/>
        </w:rPr>
        <w:t>Cij</w:t>
      </w:r>
      <w:r>
        <w:rPr>
          <w:rFonts w:hint="eastAsia" w:ascii="Times New Roman" w:hAnsi="Times New Roman"/>
          <w:color w:val="auto"/>
          <w:lang w:eastAsia="zh-CN"/>
        </w:rPr>
        <w:t>：</w:t>
      </w:r>
      <w:r>
        <w:rPr>
          <w:rFonts w:hint="eastAsia" w:ascii="Times New Roman" w:hAnsi="Times New Roman"/>
          <w:color w:val="auto"/>
        </w:rPr>
        <w:t>第i种污染物在第j点的监测平均浓度值，mg/L；</w:t>
      </w:r>
    </w:p>
    <w:p w14:paraId="6F4850CC">
      <w:pPr>
        <w:rPr>
          <w:rFonts w:hint="eastAsia" w:ascii="Times New Roman" w:hAnsi="Times New Roman"/>
          <w:color w:val="auto"/>
        </w:rPr>
      </w:pPr>
      <w:r>
        <w:rPr>
          <w:rFonts w:hint="eastAsia" w:ascii="Times New Roman" w:hAnsi="Times New Roman"/>
          <w:color w:val="auto"/>
        </w:rPr>
        <w:t>CSj</w:t>
      </w:r>
      <w:r>
        <w:rPr>
          <w:rFonts w:hint="eastAsia" w:ascii="Times New Roman" w:hAnsi="Times New Roman"/>
          <w:color w:val="auto"/>
          <w:lang w:eastAsia="zh-CN"/>
        </w:rPr>
        <w:t>：</w:t>
      </w:r>
      <w:r>
        <w:rPr>
          <w:rFonts w:hint="eastAsia" w:ascii="Times New Roman" w:hAnsi="Times New Roman"/>
          <w:color w:val="auto"/>
        </w:rPr>
        <w:t>第i种污染物的地表水水质标准值，mg/L；</w:t>
      </w:r>
    </w:p>
    <w:p w14:paraId="21680642">
      <w:pPr>
        <w:rPr>
          <w:rFonts w:hint="eastAsia" w:ascii="Times New Roman" w:hAnsi="Times New Roman"/>
          <w:color w:val="auto"/>
        </w:rPr>
      </w:pPr>
      <w:r>
        <w:rPr>
          <w:rFonts w:hint="eastAsia" w:ascii="Times New Roman" w:hAnsi="Times New Roman"/>
          <w:color w:val="auto"/>
        </w:rPr>
        <w:t>其中：pH为：</w:t>
      </w:r>
    </w:p>
    <w:p w14:paraId="31FE04DB">
      <w:pPr>
        <w:rPr>
          <w:rFonts w:hint="eastAsia" w:ascii="Times New Roman" w:hAnsi="Times New Roman"/>
          <w:color w:val="auto"/>
        </w:rPr>
      </w:pPr>
      <w:r>
        <w:rPr>
          <w:rFonts w:hint="eastAsia" w:ascii="Times New Roman" w:hAnsi="Times New Roman"/>
          <w:color w:val="auto"/>
        </w:rPr>
        <w:t>SpH,j=（7.0-pHj）/（7.0-pHsd）pHj≤7</w:t>
      </w:r>
    </w:p>
    <w:p w14:paraId="75FB932E">
      <w:pPr>
        <w:rPr>
          <w:rFonts w:hint="eastAsia" w:ascii="Times New Roman" w:hAnsi="Times New Roman"/>
          <w:color w:val="auto"/>
        </w:rPr>
      </w:pPr>
      <w:r>
        <w:rPr>
          <w:rFonts w:hint="eastAsia" w:ascii="Times New Roman" w:hAnsi="Times New Roman"/>
          <w:color w:val="auto"/>
        </w:rPr>
        <w:t>SpH,j=（pHj-7.0）/（pHsu-7.0）pHj＞7</w:t>
      </w:r>
    </w:p>
    <w:p w14:paraId="0B49A92C">
      <w:pPr>
        <w:rPr>
          <w:rFonts w:hint="eastAsia" w:ascii="Times New Roman" w:hAnsi="Times New Roman"/>
          <w:color w:val="auto"/>
        </w:rPr>
      </w:pPr>
      <w:r>
        <w:rPr>
          <w:rFonts w:hint="eastAsia" w:ascii="Times New Roman" w:hAnsi="Times New Roman"/>
          <w:color w:val="auto"/>
        </w:rPr>
        <w:t>式中：SpH，j</w:t>
      </w:r>
      <w:r>
        <w:rPr>
          <w:rFonts w:hint="eastAsia" w:ascii="Times New Roman" w:hAnsi="Times New Roman"/>
          <w:color w:val="auto"/>
          <w:lang w:eastAsia="zh-CN"/>
        </w:rPr>
        <w:t>：</w:t>
      </w:r>
      <w:r>
        <w:rPr>
          <w:rFonts w:hint="eastAsia" w:ascii="Times New Roman" w:hAnsi="Times New Roman"/>
          <w:color w:val="auto"/>
        </w:rPr>
        <w:t>水质参数pH在j点的标准指数；</w:t>
      </w:r>
    </w:p>
    <w:p w14:paraId="08ACAF7E">
      <w:pPr>
        <w:rPr>
          <w:rFonts w:hint="eastAsia" w:ascii="Times New Roman" w:hAnsi="Times New Roman"/>
          <w:color w:val="auto"/>
        </w:rPr>
      </w:pPr>
      <w:r>
        <w:rPr>
          <w:rFonts w:hint="eastAsia" w:ascii="Times New Roman" w:hAnsi="Times New Roman"/>
          <w:color w:val="auto"/>
        </w:rPr>
        <w:t>pHj</w:t>
      </w:r>
      <w:r>
        <w:rPr>
          <w:rFonts w:hint="eastAsia" w:ascii="Times New Roman" w:hAnsi="Times New Roman"/>
          <w:color w:val="auto"/>
          <w:lang w:eastAsia="zh-CN"/>
        </w:rPr>
        <w:t>：</w:t>
      </w:r>
      <w:r>
        <w:rPr>
          <w:rFonts w:hint="eastAsia" w:ascii="Times New Roman" w:hAnsi="Times New Roman"/>
          <w:color w:val="auto"/>
        </w:rPr>
        <w:t>j点的pH值；</w:t>
      </w:r>
    </w:p>
    <w:p w14:paraId="41343A07">
      <w:pPr>
        <w:rPr>
          <w:rFonts w:hint="eastAsia" w:ascii="Times New Roman" w:hAnsi="Times New Roman"/>
          <w:color w:val="auto"/>
        </w:rPr>
      </w:pPr>
      <w:r>
        <w:rPr>
          <w:rFonts w:hint="eastAsia" w:ascii="Times New Roman" w:hAnsi="Times New Roman"/>
          <w:color w:val="auto"/>
        </w:rPr>
        <w:t>pHsu</w:t>
      </w:r>
      <w:r>
        <w:rPr>
          <w:rFonts w:hint="eastAsia" w:ascii="Times New Roman" w:hAnsi="Times New Roman"/>
          <w:color w:val="auto"/>
          <w:lang w:eastAsia="zh-CN"/>
        </w:rPr>
        <w:t>：</w:t>
      </w:r>
      <w:r>
        <w:rPr>
          <w:rFonts w:hint="eastAsia" w:ascii="Times New Roman" w:hAnsi="Times New Roman"/>
          <w:color w:val="auto"/>
        </w:rPr>
        <w:t>地表水水质标准中规定的pH值上限；</w:t>
      </w:r>
    </w:p>
    <w:p w14:paraId="31C6EC7D">
      <w:pPr>
        <w:rPr>
          <w:rFonts w:hint="eastAsia" w:ascii="Times New Roman" w:hAnsi="Times New Roman"/>
          <w:color w:val="auto"/>
        </w:rPr>
      </w:pPr>
      <w:r>
        <w:rPr>
          <w:rFonts w:hint="eastAsia" w:ascii="Times New Roman" w:hAnsi="Times New Roman"/>
          <w:color w:val="auto"/>
        </w:rPr>
        <w:t>pHsd</w:t>
      </w:r>
      <w:r>
        <w:rPr>
          <w:rFonts w:hint="eastAsia" w:ascii="Times New Roman" w:hAnsi="Times New Roman"/>
          <w:color w:val="auto"/>
          <w:lang w:eastAsia="zh-CN"/>
        </w:rPr>
        <w:t>：</w:t>
      </w:r>
      <w:r>
        <w:rPr>
          <w:rFonts w:hint="eastAsia" w:ascii="Times New Roman" w:hAnsi="Times New Roman"/>
          <w:color w:val="auto"/>
        </w:rPr>
        <w:t>地表水水质标准中规定的pH值下限。</w:t>
      </w:r>
    </w:p>
    <w:p w14:paraId="465104BE">
      <w:pPr>
        <w:rPr>
          <w:rFonts w:hint="eastAsia" w:ascii="Times New Roman" w:hAnsi="Times New Roman"/>
          <w:color w:val="auto"/>
        </w:rPr>
      </w:pPr>
      <w:r>
        <w:rPr>
          <w:rFonts w:hint="eastAsia" w:ascii="Times New Roman" w:hAnsi="Times New Roman"/>
          <w:color w:val="auto"/>
        </w:rPr>
        <w:t>当以上公式计算的污染指数Iij＞1时，即表明该项指标已经超过了规定的质量标准。</w:t>
      </w:r>
    </w:p>
    <w:p w14:paraId="138B9F57">
      <w:pPr>
        <w:rPr>
          <w:rFonts w:hint="eastAsia" w:ascii="Times New Roman" w:hAnsi="Times New Roman"/>
          <w:color w:val="auto"/>
        </w:rPr>
      </w:pPr>
      <w:r>
        <w:rPr>
          <w:rFonts w:hint="eastAsia" w:ascii="Times New Roman" w:hAnsi="Times New Roman"/>
          <w:color w:val="auto"/>
        </w:rPr>
        <w:t>（2）评价结果</w:t>
      </w:r>
    </w:p>
    <w:p w14:paraId="33C5C192">
      <w:pPr>
        <w:rPr>
          <w:rFonts w:hint="eastAsia" w:ascii="Times New Roman" w:hAnsi="Times New Roman"/>
          <w:color w:val="auto"/>
        </w:rPr>
      </w:pPr>
      <w:r>
        <w:rPr>
          <w:rFonts w:hint="eastAsia" w:ascii="Times New Roman" w:hAnsi="Times New Roman"/>
          <w:color w:val="auto"/>
        </w:rPr>
        <w:t>根据</w:t>
      </w:r>
      <w:r>
        <w:rPr>
          <w:rFonts w:hint="eastAsia" w:ascii="Times New Roman" w:hAnsi="Times New Roman"/>
          <w:color w:val="auto"/>
          <w:lang w:val="en-US" w:eastAsia="zh-CN"/>
        </w:rPr>
        <w:t>下</w:t>
      </w:r>
      <w:r>
        <w:rPr>
          <w:rFonts w:hint="eastAsia" w:ascii="Times New Roman" w:hAnsi="Times New Roman"/>
          <w:color w:val="auto"/>
        </w:rPr>
        <w:t>表统计结果分析，</w:t>
      </w:r>
      <w:r>
        <w:rPr>
          <w:rFonts w:hint="eastAsia"/>
          <w:color w:val="auto"/>
          <w:lang w:val="en-US" w:eastAsia="zh-CN"/>
        </w:rPr>
        <w:t>地表水均</w:t>
      </w:r>
      <w:r>
        <w:rPr>
          <w:rFonts w:hint="eastAsia" w:ascii="Times New Roman" w:hAnsi="Times New Roman"/>
          <w:color w:val="auto"/>
        </w:rPr>
        <w:t>符合《地表水环境质量标准》（GB3838-2002）IV类水质标准。</w:t>
      </w:r>
    </w:p>
    <w:p w14:paraId="0F7F513C">
      <w:pPr>
        <w:rPr>
          <w:rFonts w:ascii="Times New Roman" w:hAnsi="Times New Roman"/>
          <w:color w:val="auto"/>
        </w:rPr>
      </w:pPr>
    </w:p>
    <w:p w14:paraId="24286B92">
      <w:pPr>
        <w:pStyle w:val="4"/>
        <w:bidi w:val="0"/>
        <w:rPr>
          <w:color w:val="auto"/>
          <w:lang w:val="en-US" w:eastAsia="zh-CN"/>
        </w:rPr>
      </w:pPr>
      <w:bookmarkStart w:id="247" w:name="_Toc7201"/>
      <w:bookmarkStart w:id="248" w:name="_Toc26621"/>
      <w:bookmarkStart w:id="249" w:name="_Toc22913"/>
      <w:r>
        <w:rPr>
          <w:rFonts w:hint="eastAsia"/>
          <w:color w:val="auto"/>
          <w:lang w:val="en-US" w:eastAsia="zh-CN"/>
        </w:rPr>
        <w:t>声环境质量现状监测与评价</w:t>
      </w:r>
      <w:bookmarkEnd w:id="247"/>
      <w:bookmarkEnd w:id="248"/>
      <w:bookmarkEnd w:id="249"/>
    </w:p>
    <w:p w14:paraId="51A75D54">
      <w:pPr>
        <w:pStyle w:val="5"/>
        <w:bidi w:val="0"/>
        <w:rPr>
          <w:color w:val="auto"/>
          <w:lang w:val="en-US" w:eastAsia="zh-CN"/>
        </w:rPr>
      </w:pPr>
      <w:r>
        <w:rPr>
          <w:rFonts w:hint="eastAsia"/>
          <w:color w:val="auto"/>
          <w:lang w:val="en-US" w:eastAsia="zh-CN"/>
        </w:rPr>
        <w:t>声环境现状监测</w:t>
      </w:r>
    </w:p>
    <w:p w14:paraId="25B4A605">
      <w:pPr>
        <w:rPr>
          <w:rFonts w:hint="eastAsia" w:ascii="Times New Roman" w:hAnsi="Times New Roman"/>
          <w:color w:val="auto"/>
        </w:rPr>
      </w:pPr>
      <w:r>
        <w:rPr>
          <w:rFonts w:hint="eastAsia" w:ascii="Times New Roman" w:hAnsi="Times New Roman"/>
          <w:color w:val="auto"/>
        </w:rPr>
        <w:t>（1）监测因子</w:t>
      </w:r>
    </w:p>
    <w:p w14:paraId="4DDD78C5">
      <w:pPr>
        <w:rPr>
          <w:rFonts w:hint="eastAsia" w:ascii="Times New Roman" w:hAnsi="Times New Roman"/>
          <w:color w:val="auto"/>
        </w:rPr>
      </w:pPr>
      <w:r>
        <w:rPr>
          <w:rFonts w:hint="eastAsia" w:ascii="Times New Roman" w:hAnsi="Times New Roman"/>
          <w:color w:val="auto"/>
        </w:rPr>
        <w:t>等效连续A声级</w:t>
      </w:r>
    </w:p>
    <w:p w14:paraId="1B841F92">
      <w:pPr>
        <w:rPr>
          <w:rFonts w:hint="eastAsia" w:ascii="Times New Roman" w:hAnsi="Times New Roman"/>
          <w:color w:val="auto"/>
        </w:rPr>
      </w:pPr>
      <w:r>
        <w:rPr>
          <w:rFonts w:hint="eastAsia" w:ascii="Times New Roman" w:hAnsi="Times New Roman"/>
          <w:color w:val="auto"/>
        </w:rPr>
        <w:t>（2）监测时间和频次</w:t>
      </w:r>
    </w:p>
    <w:p w14:paraId="4C67BD1C">
      <w:pPr>
        <w:rPr>
          <w:rFonts w:hint="eastAsia" w:ascii="Times New Roman" w:hAnsi="Times New Roman"/>
          <w:color w:val="auto"/>
        </w:rPr>
      </w:pPr>
      <w:r>
        <w:rPr>
          <w:rFonts w:hint="eastAsia" w:ascii="Times New Roman" w:hAnsi="Times New Roman"/>
          <w:color w:val="auto"/>
        </w:rPr>
        <w:t>声环境质量监测委托江苏泰坤检测科技有限公司进行，现场采样时间为2026年04月06日～07日，报告编号为TKJC2026CA0016-H。</w:t>
      </w:r>
    </w:p>
    <w:p w14:paraId="78E53966">
      <w:pPr>
        <w:rPr>
          <w:rFonts w:hint="eastAsia" w:ascii="Times New Roman" w:hAnsi="Times New Roman"/>
          <w:color w:val="auto"/>
        </w:rPr>
      </w:pPr>
      <w:r>
        <w:rPr>
          <w:rFonts w:hint="eastAsia" w:ascii="Times New Roman" w:hAnsi="Times New Roman"/>
          <w:color w:val="auto"/>
        </w:rPr>
        <w:t>（3）监测点布置</w:t>
      </w:r>
    </w:p>
    <w:p w14:paraId="4569DD92">
      <w:pPr>
        <w:rPr>
          <w:rFonts w:hint="eastAsia" w:ascii="Times New Roman" w:hAnsi="Times New Roman"/>
          <w:color w:val="auto"/>
        </w:rPr>
      </w:pPr>
      <w:r>
        <w:rPr>
          <w:rFonts w:hint="eastAsia" w:ascii="Times New Roman" w:hAnsi="Times New Roman"/>
          <w:color w:val="auto"/>
        </w:rPr>
        <w:t>根据声源的位置和周围环境特点，在项目厂界处布设4个</w:t>
      </w:r>
      <w:r>
        <w:rPr>
          <w:rFonts w:hint="eastAsia"/>
          <w:color w:val="auto"/>
          <w:lang w:eastAsia="zh-CN"/>
        </w:rPr>
        <w:t>、</w:t>
      </w:r>
      <w:r>
        <w:rPr>
          <w:rFonts w:hint="eastAsia"/>
          <w:color w:val="auto"/>
          <w:lang w:val="en-US" w:eastAsia="zh-CN"/>
        </w:rPr>
        <w:t>周边敏感目标处布设1个</w:t>
      </w:r>
      <w:r>
        <w:rPr>
          <w:rFonts w:hint="eastAsia" w:ascii="Times New Roman" w:hAnsi="Times New Roman"/>
          <w:color w:val="auto"/>
        </w:rPr>
        <w:t>噪声现状测点，各测点的位置见下表。</w:t>
      </w:r>
    </w:p>
    <w:p w14:paraId="4B2E8D73">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5.2</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10</w:t>
      </w:r>
      <w:r>
        <w:rPr>
          <w:rFonts w:hint="eastAsia"/>
          <w:color w:val="auto"/>
          <w:lang w:val="en-US" w:eastAsia="zh-CN"/>
        </w:rPr>
        <w:fldChar w:fldCharType="end"/>
      </w:r>
      <w:r>
        <w:rPr>
          <w:rFonts w:hint="eastAsia"/>
          <w:color w:val="auto"/>
          <w:lang w:val="en-US" w:eastAsia="zh-CN"/>
        </w:rPr>
        <w:t>噪声现状监测点位</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1135"/>
        <w:gridCol w:w="2187"/>
        <w:gridCol w:w="2024"/>
        <w:gridCol w:w="2027"/>
      </w:tblGrid>
      <w:tr w14:paraId="4007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2" w:type="pct"/>
            <w:noWrap w:val="0"/>
            <w:vAlign w:val="center"/>
          </w:tcPr>
          <w:p w14:paraId="3011F0B3">
            <w:pPr>
              <w:pStyle w:val="36"/>
              <w:bidi w:val="0"/>
              <w:rPr>
                <w:color w:val="auto"/>
                <w:lang w:val="en-US" w:eastAsia="zh-CN"/>
              </w:rPr>
            </w:pPr>
            <w:r>
              <w:rPr>
                <w:color w:val="auto"/>
                <w:lang w:val="en-US" w:eastAsia="zh-CN"/>
              </w:rPr>
              <w:t>类别</w:t>
            </w:r>
          </w:p>
        </w:tc>
        <w:tc>
          <w:tcPr>
            <w:tcW w:w="666" w:type="pct"/>
            <w:noWrap w:val="0"/>
            <w:vAlign w:val="center"/>
          </w:tcPr>
          <w:p w14:paraId="1D2747DD">
            <w:pPr>
              <w:pStyle w:val="36"/>
              <w:bidi w:val="0"/>
              <w:rPr>
                <w:color w:val="auto"/>
                <w:lang w:val="en-US" w:eastAsia="zh-CN"/>
              </w:rPr>
            </w:pPr>
            <w:r>
              <w:rPr>
                <w:color w:val="auto"/>
                <w:lang w:val="en-US" w:eastAsia="zh-CN"/>
              </w:rPr>
              <w:t>测点编号</w:t>
            </w:r>
          </w:p>
        </w:tc>
        <w:tc>
          <w:tcPr>
            <w:tcW w:w="1283" w:type="pct"/>
            <w:noWrap w:val="0"/>
            <w:vAlign w:val="center"/>
          </w:tcPr>
          <w:p w14:paraId="1381DF16">
            <w:pPr>
              <w:pStyle w:val="36"/>
              <w:bidi w:val="0"/>
              <w:rPr>
                <w:color w:val="auto"/>
                <w:lang w:val="en-US" w:eastAsia="zh-CN"/>
              </w:rPr>
            </w:pPr>
            <w:r>
              <w:rPr>
                <w:color w:val="auto"/>
                <w:lang w:val="en-US" w:eastAsia="zh-CN"/>
              </w:rPr>
              <w:t>监测点位</w:t>
            </w:r>
          </w:p>
        </w:tc>
        <w:tc>
          <w:tcPr>
            <w:tcW w:w="1187" w:type="pct"/>
            <w:noWrap w:val="0"/>
            <w:vAlign w:val="center"/>
          </w:tcPr>
          <w:p w14:paraId="53F76D7D">
            <w:pPr>
              <w:pStyle w:val="36"/>
              <w:bidi w:val="0"/>
              <w:rPr>
                <w:color w:val="auto"/>
                <w:lang w:val="en-US" w:eastAsia="zh-CN"/>
              </w:rPr>
            </w:pPr>
            <w:r>
              <w:rPr>
                <w:color w:val="auto"/>
                <w:lang w:val="en-US" w:eastAsia="zh-CN"/>
              </w:rPr>
              <w:t>监测项目</w:t>
            </w:r>
          </w:p>
        </w:tc>
        <w:tc>
          <w:tcPr>
            <w:tcW w:w="1189" w:type="pct"/>
            <w:noWrap w:val="0"/>
            <w:vAlign w:val="center"/>
          </w:tcPr>
          <w:p w14:paraId="70EC7C01">
            <w:pPr>
              <w:pStyle w:val="36"/>
              <w:bidi w:val="0"/>
              <w:rPr>
                <w:rFonts w:hint="eastAsia"/>
                <w:color w:val="auto"/>
                <w:lang w:val="en-US" w:eastAsia="zh-CN"/>
              </w:rPr>
            </w:pPr>
            <w:r>
              <w:rPr>
                <w:rFonts w:hint="eastAsia"/>
                <w:color w:val="auto"/>
                <w:lang w:val="en-US" w:eastAsia="zh-CN"/>
              </w:rPr>
              <w:t>备注</w:t>
            </w:r>
          </w:p>
        </w:tc>
      </w:tr>
      <w:tr w14:paraId="634D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2" w:type="pct"/>
            <w:vMerge w:val="restart"/>
            <w:noWrap w:val="0"/>
            <w:vAlign w:val="center"/>
          </w:tcPr>
          <w:p w14:paraId="4978CB49">
            <w:pPr>
              <w:pStyle w:val="26"/>
              <w:bidi w:val="0"/>
              <w:rPr>
                <w:color w:val="auto"/>
                <w:lang w:val="en-US" w:eastAsia="zh-CN"/>
              </w:rPr>
            </w:pPr>
            <w:r>
              <w:rPr>
                <w:color w:val="auto"/>
                <w:lang w:val="en-US" w:eastAsia="zh-CN"/>
              </w:rPr>
              <w:t>项目厂界</w:t>
            </w:r>
          </w:p>
        </w:tc>
        <w:tc>
          <w:tcPr>
            <w:tcW w:w="666" w:type="pct"/>
            <w:noWrap w:val="0"/>
            <w:vAlign w:val="center"/>
          </w:tcPr>
          <w:p w14:paraId="618611F2">
            <w:pPr>
              <w:pStyle w:val="26"/>
              <w:bidi w:val="0"/>
              <w:rPr>
                <w:color w:val="auto"/>
                <w:lang w:val="en-US" w:eastAsia="zh-CN"/>
              </w:rPr>
            </w:pPr>
            <w:r>
              <w:rPr>
                <w:color w:val="auto"/>
                <w:lang w:val="en-US" w:eastAsia="zh-CN"/>
              </w:rPr>
              <w:t>N1</w:t>
            </w:r>
          </w:p>
        </w:tc>
        <w:tc>
          <w:tcPr>
            <w:tcW w:w="1283" w:type="pct"/>
            <w:noWrap w:val="0"/>
            <w:vAlign w:val="center"/>
          </w:tcPr>
          <w:p w14:paraId="4BD0724A">
            <w:pPr>
              <w:pStyle w:val="26"/>
              <w:bidi w:val="0"/>
              <w:rPr>
                <w:color w:val="auto"/>
                <w:lang w:val="en-US" w:eastAsia="zh-CN"/>
              </w:rPr>
            </w:pPr>
            <w:r>
              <w:rPr>
                <w:rFonts w:hint="eastAsia"/>
                <w:color w:val="auto"/>
                <w:lang w:val="en-US" w:eastAsia="zh-CN"/>
              </w:rPr>
              <w:t>厂区东侧</w:t>
            </w:r>
          </w:p>
        </w:tc>
        <w:tc>
          <w:tcPr>
            <w:tcW w:w="1187" w:type="pct"/>
            <w:vMerge w:val="restart"/>
            <w:noWrap w:val="0"/>
            <w:vAlign w:val="center"/>
          </w:tcPr>
          <w:p w14:paraId="00B9D98E">
            <w:pPr>
              <w:pStyle w:val="26"/>
              <w:bidi w:val="0"/>
              <w:rPr>
                <w:color w:val="auto"/>
                <w:lang w:val="en-US" w:eastAsia="zh-CN"/>
              </w:rPr>
            </w:pPr>
            <w:r>
              <w:rPr>
                <w:color w:val="auto"/>
                <w:lang w:val="en-US" w:eastAsia="zh-CN"/>
              </w:rPr>
              <w:t>等效连续A声级</w:t>
            </w:r>
          </w:p>
        </w:tc>
        <w:tc>
          <w:tcPr>
            <w:tcW w:w="1189" w:type="pct"/>
            <w:vMerge w:val="restart"/>
            <w:noWrap w:val="0"/>
            <w:vAlign w:val="center"/>
          </w:tcPr>
          <w:p w14:paraId="4789BAA3">
            <w:pPr>
              <w:pStyle w:val="26"/>
              <w:bidi w:val="0"/>
              <w:rPr>
                <w:rFonts w:hint="default"/>
                <w:color w:val="auto"/>
                <w:lang w:val="en-US" w:eastAsia="zh-CN"/>
              </w:rPr>
            </w:pPr>
            <w:r>
              <w:rPr>
                <w:rFonts w:hint="eastAsia"/>
                <w:color w:val="auto"/>
                <w:lang w:val="en-US" w:eastAsia="zh-CN"/>
              </w:rPr>
              <w:t>/</w:t>
            </w:r>
          </w:p>
        </w:tc>
      </w:tr>
      <w:tr w14:paraId="696C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2" w:type="pct"/>
            <w:vMerge w:val="continue"/>
            <w:noWrap w:val="0"/>
            <w:vAlign w:val="center"/>
          </w:tcPr>
          <w:p w14:paraId="68199EF5">
            <w:pPr>
              <w:pStyle w:val="26"/>
              <w:bidi w:val="0"/>
              <w:rPr>
                <w:color w:val="auto"/>
              </w:rPr>
            </w:pPr>
          </w:p>
        </w:tc>
        <w:tc>
          <w:tcPr>
            <w:tcW w:w="666" w:type="pct"/>
            <w:noWrap w:val="0"/>
            <w:vAlign w:val="center"/>
          </w:tcPr>
          <w:p w14:paraId="61471F21">
            <w:pPr>
              <w:pStyle w:val="26"/>
              <w:bidi w:val="0"/>
              <w:rPr>
                <w:color w:val="auto"/>
                <w:lang w:val="en-US" w:eastAsia="zh-CN"/>
              </w:rPr>
            </w:pPr>
            <w:r>
              <w:rPr>
                <w:color w:val="auto"/>
                <w:lang w:val="en-US" w:eastAsia="zh-CN"/>
              </w:rPr>
              <w:t>N2</w:t>
            </w:r>
          </w:p>
        </w:tc>
        <w:tc>
          <w:tcPr>
            <w:tcW w:w="1283" w:type="pct"/>
            <w:noWrap w:val="0"/>
            <w:vAlign w:val="center"/>
          </w:tcPr>
          <w:p w14:paraId="07752E0F">
            <w:pPr>
              <w:pStyle w:val="26"/>
              <w:bidi w:val="0"/>
              <w:rPr>
                <w:color w:val="auto"/>
                <w:lang w:val="en-US" w:eastAsia="zh-CN"/>
              </w:rPr>
            </w:pPr>
            <w:r>
              <w:rPr>
                <w:rFonts w:hint="eastAsia"/>
                <w:color w:val="auto"/>
                <w:lang w:val="en-US" w:eastAsia="zh-CN"/>
              </w:rPr>
              <w:t>厂区南侧</w:t>
            </w:r>
          </w:p>
        </w:tc>
        <w:tc>
          <w:tcPr>
            <w:tcW w:w="1187" w:type="pct"/>
            <w:vMerge w:val="continue"/>
            <w:noWrap w:val="0"/>
            <w:vAlign w:val="center"/>
          </w:tcPr>
          <w:p w14:paraId="7C3029E5">
            <w:pPr>
              <w:pStyle w:val="26"/>
              <w:bidi w:val="0"/>
              <w:rPr>
                <w:color w:val="auto"/>
              </w:rPr>
            </w:pPr>
          </w:p>
        </w:tc>
        <w:tc>
          <w:tcPr>
            <w:tcW w:w="1189" w:type="pct"/>
            <w:vMerge w:val="continue"/>
            <w:noWrap w:val="0"/>
            <w:vAlign w:val="center"/>
          </w:tcPr>
          <w:p w14:paraId="2C1924B2">
            <w:pPr>
              <w:pStyle w:val="26"/>
              <w:bidi w:val="0"/>
              <w:rPr>
                <w:color w:val="auto"/>
              </w:rPr>
            </w:pPr>
          </w:p>
        </w:tc>
      </w:tr>
      <w:tr w14:paraId="6D86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2" w:type="pct"/>
            <w:vMerge w:val="continue"/>
            <w:noWrap w:val="0"/>
            <w:vAlign w:val="center"/>
          </w:tcPr>
          <w:p w14:paraId="7D5146A1">
            <w:pPr>
              <w:pStyle w:val="26"/>
              <w:bidi w:val="0"/>
              <w:rPr>
                <w:color w:val="auto"/>
              </w:rPr>
            </w:pPr>
          </w:p>
        </w:tc>
        <w:tc>
          <w:tcPr>
            <w:tcW w:w="666" w:type="pct"/>
            <w:noWrap w:val="0"/>
            <w:vAlign w:val="center"/>
          </w:tcPr>
          <w:p w14:paraId="4E6DD8F3">
            <w:pPr>
              <w:pStyle w:val="26"/>
              <w:bidi w:val="0"/>
              <w:rPr>
                <w:color w:val="auto"/>
                <w:lang w:val="en-US" w:eastAsia="zh-CN"/>
              </w:rPr>
            </w:pPr>
            <w:r>
              <w:rPr>
                <w:color w:val="auto"/>
                <w:lang w:val="en-US" w:eastAsia="zh-CN"/>
              </w:rPr>
              <w:t>N3</w:t>
            </w:r>
          </w:p>
        </w:tc>
        <w:tc>
          <w:tcPr>
            <w:tcW w:w="1283" w:type="pct"/>
            <w:noWrap w:val="0"/>
            <w:vAlign w:val="center"/>
          </w:tcPr>
          <w:p w14:paraId="3FB58B9A">
            <w:pPr>
              <w:pStyle w:val="26"/>
              <w:bidi w:val="0"/>
              <w:rPr>
                <w:color w:val="auto"/>
                <w:lang w:val="en-US" w:eastAsia="zh-CN"/>
              </w:rPr>
            </w:pPr>
            <w:r>
              <w:rPr>
                <w:rFonts w:hint="eastAsia"/>
                <w:color w:val="auto"/>
                <w:lang w:val="en-US" w:eastAsia="zh-CN"/>
              </w:rPr>
              <w:t>厂区西侧</w:t>
            </w:r>
          </w:p>
        </w:tc>
        <w:tc>
          <w:tcPr>
            <w:tcW w:w="1187" w:type="pct"/>
            <w:vMerge w:val="continue"/>
            <w:noWrap w:val="0"/>
            <w:vAlign w:val="center"/>
          </w:tcPr>
          <w:p w14:paraId="35BBFA3C">
            <w:pPr>
              <w:pStyle w:val="26"/>
              <w:bidi w:val="0"/>
              <w:rPr>
                <w:color w:val="auto"/>
              </w:rPr>
            </w:pPr>
          </w:p>
        </w:tc>
        <w:tc>
          <w:tcPr>
            <w:tcW w:w="1189" w:type="pct"/>
            <w:vMerge w:val="continue"/>
            <w:noWrap w:val="0"/>
            <w:vAlign w:val="center"/>
          </w:tcPr>
          <w:p w14:paraId="212FD078">
            <w:pPr>
              <w:pStyle w:val="26"/>
              <w:bidi w:val="0"/>
              <w:rPr>
                <w:color w:val="auto"/>
              </w:rPr>
            </w:pPr>
          </w:p>
        </w:tc>
      </w:tr>
      <w:tr w14:paraId="7F7A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2" w:type="pct"/>
            <w:vMerge w:val="continue"/>
            <w:noWrap w:val="0"/>
            <w:vAlign w:val="center"/>
          </w:tcPr>
          <w:p w14:paraId="28D3DF9B">
            <w:pPr>
              <w:pStyle w:val="26"/>
              <w:bidi w:val="0"/>
              <w:rPr>
                <w:color w:val="auto"/>
              </w:rPr>
            </w:pPr>
          </w:p>
        </w:tc>
        <w:tc>
          <w:tcPr>
            <w:tcW w:w="666" w:type="pct"/>
            <w:noWrap w:val="0"/>
            <w:vAlign w:val="center"/>
          </w:tcPr>
          <w:p w14:paraId="76EBD1AC">
            <w:pPr>
              <w:pStyle w:val="26"/>
              <w:bidi w:val="0"/>
              <w:rPr>
                <w:color w:val="auto"/>
                <w:lang w:val="en-US" w:eastAsia="zh-CN"/>
              </w:rPr>
            </w:pPr>
            <w:r>
              <w:rPr>
                <w:color w:val="auto"/>
                <w:lang w:val="en-US" w:eastAsia="zh-CN"/>
              </w:rPr>
              <w:t>N4</w:t>
            </w:r>
          </w:p>
        </w:tc>
        <w:tc>
          <w:tcPr>
            <w:tcW w:w="1283" w:type="pct"/>
            <w:noWrap w:val="0"/>
            <w:vAlign w:val="center"/>
          </w:tcPr>
          <w:p w14:paraId="2674C6F2">
            <w:pPr>
              <w:pStyle w:val="26"/>
              <w:bidi w:val="0"/>
              <w:rPr>
                <w:rFonts w:hint="eastAsia"/>
                <w:color w:val="auto"/>
                <w:lang w:val="en-US" w:eastAsia="zh-CN"/>
              </w:rPr>
            </w:pPr>
            <w:r>
              <w:rPr>
                <w:rFonts w:hint="eastAsia"/>
                <w:color w:val="auto"/>
                <w:lang w:val="en-US" w:eastAsia="zh-CN"/>
              </w:rPr>
              <w:t>厂区北侧</w:t>
            </w:r>
          </w:p>
        </w:tc>
        <w:tc>
          <w:tcPr>
            <w:tcW w:w="1187" w:type="pct"/>
            <w:vMerge w:val="continue"/>
            <w:noWrap w:val="0"/>
            <w:vAlign w:val="center"/>
          </w:tcPr>
          <w:p w14:paraId="765D08B6">
            <w:pPr>
              <w:pStyle w:val="26"/>
              <w:bidi w:val="0"/>
              <w:rPr>
                <w:color w:val="auto"/>
              </w:rPr>
            </w:pPr>
          </w:p>
        </w:tc>
        <w:tc>
          <w:tcPr>
            <w:tcW w:w="1189" w:type="pct"/>
            <w:vMerge w:val="continue"/>
            <w:noWrap w:val="0"/>
            <w:vAlign w:val="center"/>
          </w:tcPr>
          <w:p w14:paraId="68A3DB80">
            <w:pPr>
              <w:pStyle w:val="26"/>
              <w:bidi w:val="0"/>
              <w:rPr>
                <w:color w:val="auto"/>
              </w:rPr>
            </w:pPr>
          </w:p>
        </w:tc>
      </w:tr>
    </w:tbl>
    <w:p w14:paraId="24E85313">
      <w:pPr>
        <w:rPr>
          <w:rFonts w:hint="eastAsia" w:ascii="Times New Roman" w:hAnsi="Times New Roman"/>
          <w:color w:val="auto"/>
        </w:rPr>
      </w:pPr>
      <w:r>
        <w:rPr>
          <w:rFonts w:hint="eastAsia" w:ascii="Times New Roman" w:hAnsi="Times New Roman"/>
          <w:color w:val="auto"/>
        </w:rPr>
        <w:t>（4）监测方法</w:t>
      </w:r>
    </w:p>
    <w:p w14:paraId="4BA9EEBC">
      <w:pPr>
        <w:rPr>
          <w:rFonts w:hint="eastAsia" w:ascii="Times New Roman" w:hAnsi="Times New Roman"/>
          <w:color w:val="auto"/>
        </w:rPr>
      </w:pPr>
      <w:r>
        <w:rPr>
          <w:rFonts w:hint="eastAsia" w:ascii="Times New Roman" w:hAnsi="Times New Roman"/>
          <w:color w:val="auto"/>
        </w:rPr>
        <w:t>按《声环境质量标准》（GB3096-2008）进行。</w:t>
      </w:r>
    </w:p>
    <w:p w14:paraId="4BD02627">
      <w:pPr>
        <w:rPr>
          <w:rFonts w:hint="eastAsia" w:ascii="Times New Roman" w:hAnsi="Times New Roman"/>
          <w:color w:val="auto"/>
        </w:rPr>
      </w:pPr>
      <w:r>
        <w:rPr>
          <w:rFonts w:hint="eastAsia" w:ascii="Times New Roman" w:hAnsi="Times New Roman"/>
          <w:color w:val="auto"/>
        </w:rPr>
        <w:t>（5）监测结果</w:t>
      </w:r>
    </w:p>
    <w:p w14:paraId="7C67BBE3">
      <w:pPr>
        <w:rPr>
          <w:rFonts w:hint="eastAsia" w:ascii="Times New Roman" w:hAnsi="Times New Roman"/>
          <w:color w:val="auto"/>
        </w:rPr>
      </w:pPr>
      <w:r>
        <w:rPr>
          <w:rFonts w:hint="eastAsia" w:ascii="Times New Roman" w:hAnsi="Times New Roman"/>
          <w:color w:val="auto"/>
        </w:rPr>
        <w:t>本项目厂界执行《声环境质量标准》（GB3096-2008）3类区标准。各监测点噪声的监测、评价结果见下表。</w:t>
      </w:r>
    </w:p>
    <w:p w14:paraId="6D5D58BA">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5.2</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11</w:t>
      </w:r>
      <w:r>
        <w:rPr>
          <w:rFonts w:hint="eastAsia"/>
          <w:color w:val="auto"/>
          <w:lang w:val="en-US" w:eastAsia="zh-CN"/>
        </w:rPr>
        <w:fldChar w:fldCharType="end"/>
      </w:r>
      <w:r>
        <w:rPr>
          <w:rFonts w:hint="eastAsia"/>
          <w:color w:val="auto"/>
          <w:lang w:val="en-US" w:eastAsia="zh-CN"/>
        </w:rPr>
        <w:t>噪声环境现状监测结果一览表单位dB（A）</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50"/>
        <w:gridCol w:w="1285"/>
        <w:gridCol w:w="2018"/>
        <w:gridCol w:w="1082"/>
        <w:gridCol w:w="1078"/>
      </w:tblGrid>
      <w:tr w14:paraId="0C08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590" w:type="pct"/>
            <w:vAlign w:val="center"/>
          </w:tcPr>
          <w:p w14:paraId="0F13B29F">
            <w:pPr>
              <w:pStyle w:val="26"/>
              <w:bidi w:val="0"/>
              <w:jc w:val="center"/>
              <w:rPr>
                <w:rFonts w:hint="eastAsia"/>
                <w:lang w:val="en-US" w:eastAsia="zh-CN"/>
              </w:rPr>
            </w:pPr>
            <w:r>
              <w:rPr>
                <w:rFonts w:hint="eastAsia"/>
                <w:lang w:val="en-US" w:eastAsia="zh-CN"/>
              </w:rPr>
              <w:t>测点编号</w:t>
            </w:r>
          </w:p>
        </w:tc>
        <w:tc>
          <w:tcPr>
            <w:tcW w:w="1203" w:type="pct"/>
            <w:vAlign w:val="center"/>
          </w:tcPr>
          <w:p w14:paraId="2093DC30">
            <w:pPr>
              <w:pStyle w:val="26"/>
              <w:bidi w:val="0"/>
              <w:jc w:val="center"/>
              <w:rPr>
                <w:rFonts w:hint="eastAsia"/>
                <w:lang w:val="en-US" w:eastAsia="zh-CN"/>
              </w:rPr>
            </w:pPr>
            <w:r>
              <w:rPr>
                <w:rFonts w:hint="eastAsia"/>
                <w:lang w:val="en-US" w:eastAsia="zh-CN"/>
              </w:rPr>
              <w:t>检测点位</w:t>
            </w:r>
          </w:p>
        </w:tc>
        <w:tc>
          <w:tcPr>
            <w:tcW w:w="754" w:type="pct"/>
            <w:vAlign w:val="center"/>
          </w:tcPr>
          <w:p w14:paraId="27FBE243">
            <w:pPr>
              <w:pStyle w:val="26"/>
              <w:bidi w:val="0"/>
              <w:jc w:val="center"/>
              <w:rPr>
                <w:rFonts w:hint="eastAsia"/>
                <w:lang w:val="en-US" w:eastAsia="zh-CN"/>
              </w:rPr>
            </w:pPr>
            <w:r>
              <w:rPr>
                <w:rFonts w:hint="eastAsia"/>
                <w:lang w:val="en-US" w:eastAsia="zh-CN"/>
              </w:rPr>
              <w:t>检测日期</w:t>
            </w:r>
          </w:p>
        </w:tc>
        <w:tc>
          <w:tcPr>
            <w:tcW w:w="1184" w:type="pct"/>
            <w:vAlign w:val="center"/>
          </w:tcPr>
          <w:p w14:paraId="1DA07F0D">
            <w:pPr>
              <w:pStyle w:val="26"/>
              <w:bidi w:val="0"/>
              <w:jc w:val="center"/>
              <w:rPr>
                <w:rFonts w:hint="eastAsia"/>
                <w:lang w:val="en-US" w:eastAsia="zh-CN"/>
              </w:rPr>
            </w:pPr>
            <w:r>
              <w:rPr>
                <w:rFonts w:hint="eastAsia"/>
                <w:lang w:val="en-US" w:eastAsia="zh-CN"/>
              </w:rPr>
              <w:t>检测时间</w:t>
            </w:r>
          </w:p>
        </w:tc>
        <w:tc>
          <w:tcPr>
            <w:tcW w:w="635" w:type="pct"/>
            <w:tcBorders/>
            <w:vAlign w:val="center"/>
          </w:tcPr>
          <w:p w14:paraId="297846E4">
            <w:pPr>
              <w:pStyle w:val="26"/>
              <w:bidi w:val="0"/>
              <w:jc w:val="center"/>
              <w:rPr>
                <w:rFonts w:hint="eastAsia"/>
                <w:lang w:val="en-US" w:eastAsia="zh-CN"/>
              </w:rPr>
            </w:pPr>
            <w:r>
              <w:rPr>
                <w:rFonts w:hint="eastAsia"/>
                <w:lang w:val="en-US" w:eastAsia="zh-CN"/>
              </w:rPr>
              <w:t>检测结果</w:t>
            </w:r>
          </w:p>
          <w:p w14:paraId="02156B02">
            <w:pPr>
              <w:pStyle w:val="26"/>
              <w:bidi w:val="0"/>
              <w:jc w:val="center"/>
              <w:rPr>
                <w:rFonts w:hint="eastAsia"/>
                <w:lang w:val="en-US" w:eastAsia="zh-CN"/>
              </w:rPr>
            </w:pPr>
            <w:r>
              <w:rPr>
                <w:rFonts w:hint="eastAsia"/>
                <w:lang w:val="en-US" w:eastAsia="zh-CN"/>
              </w:rPr>
              <w:t>Leq</w:t>
            </w:r>
          </w:p>
        </w:tc>
        <w:tc>
          <w:tcPr>
            <w:tcW w:w="632" w:type="pct"/>
            <w:vAlign w:val="center"/>
          </w:tcPr>
          <w:p w14:paraId="0326E8A2">
            <w:pPr>
              <w:pStyle w:val="26"/>
              <w:bidi w:val="0"/>
              <w:jc w:val="center"/>
              <w:rPr>
                <w:rFonts w:hint="eastAsia"/>
                <w:lang w:val="en-US" w:eastAsia="zh-CN"/>
              </w:rPr>
            </w:pPr>
            <w:r>
              <w:rPr>
                <w:rFonts w:hint="eastAsia"/>
                <w:lang w:val="en-US" w:eastAsia="zh-CN"/>
              </w:rPr>
              <w:t>标准限值</w:t>
            </w:r>
          </w:p>
        </w:tc>
      </w:tr>
      <w:tr w14:paraId="329E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5C8798CA">
            <w:pPr>
              <w:pStyle w:val="26"/>
              <w:bidi w:val="0"/>
              <w:jc w:val="center"/>
              <w:rPr>
                <w:rFonts w:hint="eastAsia"/>
                <w:lang w:val="en-US" w:eastAsia="zh-CN"/>
              </w:rPr>
            </w:pPr>
            <w:r>
              <w:rPr>
                <w:rFonts w:hint="eastAsia"/>
                <w:lang w:val="en-US" w:eastAsia="zh-CN"/>
              </w:rPr>
              <w:t>N1</w:t>
            </w:r>
          </w:p>
        </w:tc>
        <w:tc>
          <w:tcPr>
            <w:tcW w:w="1203" w:type="pct"/>
            <w:vAlign w:val="center"/>
          </w:tcPr>
          <w:p w14:paraId="4D3F48EC">
            <w:pPr>
              <w:pStyle w:val="26"/>
              <w:bidi w:val="0"/>
              <w:jc w:val="center"/>
              <w:rPr>
                <w:rFonts w:hint="eastAsia"/>
                <w:lang w:val="en-US" w:eastAsia="zh-CN"/>
              </w:rPr>
            </w:pPr>
            <w:r>
              <w:rPr>
                <w:rFonts w:hint="eastAsia"/>
                <w:lang w:val="en-US" w:eastAsia="zh-CN"/>
              </w:rPr>
              <w:t>东厂界围墙</w:t>
            </w:r>
          </w:p>
        </w:tc>
        <w:tc>
          <w:tcPr>
            <w:tcW w:w="754" w:type="pct"/>
            <w:vMerge w:val="restart"/>
            <w:vAlign w:val="center"/>
          </w:tcPr>
          <w:p w14:paraId="0F1755B9">
            <w:pPr>
              <w:pStyle w:val="26"/>
              <w:bidi w:val="0"/>
              <w:jc w:val="center"/>
              <w:rPr>
                <w:rFonts w:hint="eastAsia"/>
                <w:lang w:val="en-US" w:eastAsia="zh-CN"/>
              </w:rPr>
            </w:pPr>
            <w:r>
              <w:rPr>
                <w:rFonts w:hint="eastAsia"/>
                <w:lang w:val="en-US" w:eastAsia="zh-CN"/>
              </w:rPr>
              <w:t>2020.04.06</w:t>
            </w:r>
          </w:p>
          <w:p w14:paraId="0EED6B84">
            <w:pPr>
              <w:pStyle w:val="26"/>
              <w:bidi w:val="0"/>
              <w:jc w:val="center"/>
              <w:rPr>
                <w:rFonts w:hint="eastAsia"/>
                <w:lang w:val="en-US" w:eastAsia="zh-CN"/>
              </w:rPr>
            </w:pPr>
            <w:r>
              <w:rPr>
                <w:rFonts w:hint="eastAsia"/>
                <w:lang w:val="en-US" w:eastAsia="zh-CN"/>
              </w:rPr>
              <w:t>（昼间）</w:t>
            </w:r>
          </w:p>
        </w:tc>
        <w:tc>
          <w:tcPr>
            <w:tcW w:w="1184" w:type="pct"/>
            <w:vAlign w:val="center"/>
          </w:tcPr>
          <w:p w14:paraId="01230421">
            <w:pPr>
              <w:pStyle w:val="26"/>
              <w:bidi w:val="0"/>
              <w:jc w:val="center"/>
              <w:rPr>
                <w:rFonts w:hint="eastAsia"/>
                <w:lang w:val="en-US" w:eastAsia="zh-CN"/>
              </w:rPr>
            </w:pPr>
            <w:r>
              <w:rPr>
                <w:rFonts w:hint="eastAsia"/>
                <w:lang w:val="en-US" w:eastAsia="zh-CN"/>
              </w:rPr>
              <w:t>14：00~14：20</w:t>
            </w:r>
          </w:p>
        </w:tc>
        <w:tc>
          <w:tcPr>
            <w:tcW w:w="635" w:type="pct"/>
            <w:vAlign w:val="center"/>
          </w:tcPr>
          <w:p w14:paraId="13EB464E">
            <w:pPr>
              <w:pStyle w:val="26"/>
              <w:bidi w:val="0"/>
              <w:jc w:val="center"/>
              <w:rPr>
                <w:rFonts w:hint="eastAsia"/>
                <w:lang w:val="en-US" w:eastAsia="zh-CN"/>
              </w:rPr>
            </w:pPr>
            <w:r>
              <w:rPr>
                <w:rFonts w:hint="eastAsia"/>
                <w:lang w:val="en-US" w:eastAsia="zh-CN"/>
              </w:rPr>
              <w:t>61</w:t>
            </w:r>
          </w:p>
        </w:tc>
        <w:tc>
          <w:tcPr>
            <w:tcW w:w="632" w:type="pct"/>
            <w:vAlign w:val="center"/>
          </w:tcPr>
          <w:p w14:paraId="305DF3BC">
            <w:pPr>
              <w:pStyle w:val="26"/>
              <w:bidi w:val="0"/>
              <w:jc w:val="center"/>
              <w:rPr>
                <w:rFonts w:hint="eastAsia"/>
                <w:lang w:val="en-US" w:eastAsia="zh-CN"/>
              </w:rPr>
            </w:pPr>
            <w:r>
              <w:rPr>
                <w:rFonts w:hint="eastAsia"/>
                <w:lang w:val="en-US" w:eastAsia="zh-CN"/>
              </w:rPr>
              <w:t>65</w:t>
            </w:r>
          </w:p>
        </w:tc>
      </w:tr>
      <w:tr w14:paraId="2747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64661B48">
            <w:pPr>
              <w:pStyle w:val="26"/>
              <w:bidi w:val="0"/>
              <w:jc w:val="center"/>
              <w:rPr>
                <w:rFonts w:hint="eastAsia"/>
                <w:lang w:val="en-US" w:eastAsia="zh-CN"/>
              </w:rPr>
            </w:pPr>
            <w:r>
              <w:rPr>
                <w:rFonts w:hint="eastAsia"/>
                <w:lang w:val="en-US" w:eastAsia="zh-CN"/>
              </w:rPr>
              <w:t>N2</w:t>
            </w:r>
          </w:p>
        </w:tc>
        <w:tc>
          <w:tcPr>
            <w:tcW w:w="1203" w:type="pct"/>
            <w:vAlign w:val="center"/>
          </w:tcPr>
          <w:p w14:paraId="7E1B798E">
            <w:pPr>
              <w:pStyle w:val="26"/>
              <w:bidi w:val="0"/>
              <w:jc w:val="center"/>
              <w:rPr>
                <w:rFonts w:hint="eastAsia"/>
                <w:lang w:val="en-US" w:eastAsia="zh-CN"/>
              </w:rPr>
            </w:pPr>
            <w:r>
              <w:rPr>
                <w:rFonts w:hint="eastAsia"/>
                <w:lang w:val="en-US" w:eastAsia="zh-CN"/>
              </w:rPr>
              <w:t>南厂界外1米</w:t>
            </w:r>
          </w:p>
        </w:tc>
        <w:tc>
          <w:tcPr>
            <w:tcW w:w="754" w:type="pct"/>
            <w:vMerge w:val="continue"/>
            <w:vAlign w:val="center"/>
          </w:tcPr>
          <w:p w14:paraId="2E47E306">
            <w:pPr>
              <w:pStyle w:val="26"/>
              <w:bidi w:val="0"/>
              <w:jc w:val="center"/>
              <w:rPr>
                <w:rFonts w:hint="eastAsia"/>
                <w:lang w:val="en-US" w:eastAsia="zh-CN"/>
              </w:rPr>
            </w:pPr>
          </w:p>
        </w:tc>
        <w:tc>
          <w:tcPr>
            <w:tcW w:w="1184" w:type="pct"/>
            <w:vAlign w:val="center"/>
          </w:tcPr>
          <w:p w14:paraId="7FF32BAB">
            <w:pPr>
              <w:pStyle w:val="26"/>
              <w:bidi w:val="0"/>
              <w:jc w:val="center"/>
              <w:rPr>
                <w:rFonts w:hint="eastAsia"/>
                <w:lang w:val="en-US" w:eastAsia="zh-CN"/>
              </w:rPr>
            </w:pPr>
            <w:r>
              <w:rPr>
                <w:rFonts w:hint="eastAsia"/>
                <w:lang w:val="en-US" w:eastAsia="zh-CN"/>
              </w:rPr>
              <w:t>14：50~15：00</w:t>
            </w:r>
          </w:p>
        </w:tc>
        <w:tc>
          <w:tcPr>
            <w:tcW w:w="635" w:type="pct"/>
            <w:vAlign w:val="center"/>
          </w:tcPr>
          <w:p w14:paraId="03437F2F">
            <w:pPr>
              <w:pStyle w:val="26"/>
              <w:bidi w:val="0"/>
              <w:jc w:val="center"/>
              <w:rPr>
                <w:rFonts w:hint="eastAsia"/>
                <w:lang w:val="en-US" w:eastAsia="zh-CN"/>
              </w:rPr>
            </w:pPr>
            <w:r>
              <w:rPr>
                <w:rFonts w:hint="eastAsia"/>
                <w:lang w:val="en-US" w:eastAsia="zh-CN"/>
              </w:rPr>
              <w:t>59</w:t>
            </w:r>
          </w:p>
        </w:tc>
        <w:tc>
          <w:tcPr>
            <w:tcW w:w="632" w:type="pct"/>
            <w:vAlign w:val="center"/>
          </w:tcPr>
          <w:p w14:paraId="514BCDFA">
            <w:pPr>
              <w:pStyle w:val="26"/>
              <w:bidi w:val="0"/>
              <w:jc w:val="center"/>
              <w:rPr>
                <w:rFonts w:hint="eastAsia"/>
                <w:lang w:val="en-US" w:eastAsia="zh-CN"/>
              </w:rPr>
            </w:pPr>
            <w:r>
              <w:rPr>
                <w:rFonts w:hint="eastAsia"/>
                <w:lang w:val="en-US" w:eastAsia="zh-CN"/>
              </w:rPr>
              <w:t>65</w:t>
            </w:r>
          </w:p>
        </w:tc>
      </w:tr>
      <w:tr w14:paraId="0F02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36185153">
            <w:pPr>
              <w:pStyle w:val="26"/>
              <w:bidi w:val="0"/>
              <w:jc w:val="center"/>
              <w:rPr>
                <w:rFonts w:hint="eastAsia"/>
                <w:lang w:val="en-US" w:eastAsia="zh-CN"/>
              </w:rPr>
            </w:pPr>
            <w:r>
              <w:rPr>
                <w:rFonts w:hint="eastAsia"/>
                <w:lang w:val="en-US" w:eastAsia="zh-CN"/>
              </w:rPr>
              <w:t>N3</w:t>
            </w:r>
          </w:p>
        </w:tc>
        <w:tc>
          <w:tcPr>
            <w:tcW w:w="1203" w:type="pct"/>
            <w:vAlign w:val="center"/>
          </w:tcPr>
          <w:p w14:paraId="1AEA93B5">
            <w:pPr>
              <w:pStyle w:val="26"/>
              <w:bidi w:val="0"/>
              <w:jc w:val="center"/>
              <w:rPr>
                <w:rFonts w:hint="eastAsia"/>
                <w:lang w:val="en-US" w:eastAsia="zh-CN"/>
              </w:rPr>
            </w:pPr>
            <w:r>
              <w:rPr>
                <w:rFonts w:hint="eastAsia"/>
                <w:lang w:val="en-US" w:eastAsia="zh-CN"/>
              </w:rPr>
              <w:t>西厂界围墙上</w:t>
            </w:r>
          </w:p>
        </w:tc>
        <w:tc>
          <w:tcPr>
            <w:tcW w:w="754" w:type="pct"/>
            <w:vMerge w:val="continue"/>
            <w:vAlign w:val="center"/>
          </w:tcPr>
          <w:p w14:paraId="79FC1E1E">
            <w:pPr>
              <w:pStyle w:val="26"/>
              <w:bidi w:val="0"/>
              <w:jc w:val="center"/>
              <w:rPr>
                <w:rFonts w:hint="eastAsia"/>
                <w:lang w:val="en-US" w:eastAsia="zh-CN"/>
              </w:rPr>
            </w:pPr>
          </w:p>
        </w:tc>
        <w:tc>
          <w:tcPr>
            <w:tcW w:w="1184" w:type="pct"/>
            <w:vAlign w:val="center"/>
          </w:tcPr>
          <w:p w14:paraId="0804F5C7">
            <w:pPr>
              <w:pStyle w:val="26"/>
              <w:bidi w:val="0"/>
              <w:jc w:val="center"/>
              <w:rPr>
                <w:rFonts w:hint="eastAsia"/>
                <w:lang w:val="en-US" w:eastAsia="zh-CN"/>
              </w:rPr>
            </w:pPr>
            <w:r>
              <w:rPr>
                <w:rFonts w:hint="eastAsia"/>
                <w:lang w:val="en-US" w:eastAsia="zh-CN"/>
              </w:rPr>
              <w:t>14：36~14：46</w:t>
            </w:r>
          </w:p>
        </w:tc>
        <w:tc>
          <w:tcPr>
            <w:tcW w:w="635" w:type="pct"/>
            <w:vAlign w:val="center"/>
          </w:tcPr>
          <w:p w14:paraId="1BF8F49A">
            <w:pPr>
              <w:pStyle w:val="26"/>
              <w:bidi w:val="0"/>
              <w:jc w:val="center"/>
              <w:rPr>
                <w:rFonts w:hint="eastAsia"/>
                <w:lang w:val="en-US" w:eastAsia="zh-CN"/>
              </w:rPr>
            </w:pPr>
            <w:r>
              <w:rPr>
                <w:rFonts w:hint="eastAsia"/>
                <w:lang w:val="en-US" w:eastAsia="zh-CN"/>
              </w:rPr>
              <w:t>54</w:t>
            </w:r>
          </w:p>
        </w:tc>
        <w:tc>
          <w:tcPr>
            <w:tcW w:w="632" w:type="pct"/>
            <w:vAlign w:val="center"/>
          </w:tcPr>
          <w:p w14:paraId="2FB4CC49">
            <w:pPr>
              <w:pStyle w:val="26"/>
              <w:bidi w:val="0"/>
              <w:jc w:val="center"/>
              <w:rPr>
                <w:rFonts w:hint="eastAsia"/>
                <w:lang w:val="en-US" w:eastAsia="zh-CN"/>
              </w:rPr>
            </w:pPr>
            <w:r>
              <w:rPr>
                <w:rFonts w:hint="eastAsia"/>
                <w:lang w:val="en-US" w:eastAsia="zh-CN"/>
              </w:rPr>
              <w:t>65</w:t>
            </w:r>
          </w:p>
        </w:tc>
      </w:tr>
      <w:tr w14:paraId="4853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5D5F1B6C">
            <w:pPr>
              <w:pStyle w:val="26"/>
              <w:bidi w:val="0"/>
              <w:jc w:val="center"/>
              <w:rPr>
                <w:rFonts w:hint="eastAsia"/>
                <w:lang w:val="en-US" w:eastAsia="zh-CN"/>
              </w:rPr>
            </w:pPr>
            <w:r>
              <w:rPr>
                <w:rFonts w:hint="eastAsia"/>
                <w:lang w:val="en-US" w:eastAsia="zh-CN"/>
              </w:rPr>
              <w:t>N4</w:t>
            </w:r>
          </w:p>
        </w:tc>
        <w:tc>
          <w:tcPr>
            <w:tcW w:w="1203" w:type="pct"/>
            <w:vAlign w:val="center"/>
          </w:tcPr>
          <w:p w14:paraId="099FE998">
            <w:pPr>
              <w:pStyle w:val="26"/>
              <w:bidi w:val="0"/>
              <w:jc w:val="center"/>
              <w:rPr>
                <w:rFonts w:hint="eastAsia"/>
                <w:lang w:val="en-US" w:eastAsia="zh-CN"/>
              </w:rPr>
            </w:pPr>
            <w:r>
              <w:rPr>
                <w:rFonts w:hint="eastAsia"/>
                <w:lang w:val="en-US" w:eastAsia="zh-CN"/>
              </w:rPr>
              <w:t>北厂界围墙上</w:t>
            </w:r>
          </w:p>
        </w:tc>
        <w:tc>
          <w:tcPr>
            <w:tcW w:w="754" w:type="pct"/>
            <w:vMerge w:val="continue"/>
            <w:vAlign w:val="center"/>
          </w:tcPr>
          <w:p w14:paraId="68BDC582">
            <w:pPr>
              <w:pStyle w:val="26"/>
              <w:bidi w:val="0"/>
              <w:jc w:val="center"/>
              <w:rPr>
                <w:rFonts w:hint="eastAsia"/>
                <w:lang w:val="en-US" w:eastAsia="zh-CN"/>
              </w:rPr>
            </w:pPr>
          </w:p>
        </w:tc>
        <w:tc>
          <w:tcPr>
            <w:tcW w:w="1184" w:type="pct"/>
            <w:vAlign w:val="center"/>
          </w:tcPr>
          <w:p w14:paraId="00D074FB">
            <w:pPr>
              <w:pStyle w:val="26"/>
              <w:bidi w:val="0"/>
              <w:jc w:val="center"/>
              <w:rPr>
                <w:rFonts w:hint="eastAsia"/>
                <w:lang w:val="en-US" w:eastAsia="zh-CN"/>
              </w:rPr>
            </w:pPr>
            <w:r>
              <w:rPr>
                <w:rFonts w:hint="eastAsia"/>
                <w:lang w:val="en-US" w:eastAsia="zh-CN"/>
              </w:rPr>
              <w:t>14：24~14：34</w:t>
            </w:r>
          </w:p>
        </w:tc>
        <w:tc>
          <w:tcPr>
            <w:tcW w:w="635" w:type="pct"/>
            <w:vAlign w:val="center"/>
          </w:tcPr>
          <w:p w14:paraId="5B118D01">
            <w:pPr>
              <w:pStyle w:val="26"/>
              <w:bidi w:val="0"/>
              <w:jc w:val="center"/>
              <w:rPr>
                <w:rFonts w:hint="eastAsia"/>
                <w:lang w:val="en-US" w:eastAsia="zh-CN"/>
              </w:rPr>
            </w:pPr>
            <w:r>
              <w:rPr>
                <w:rFonts w:hint="eastAsia"/>
                <w:lang w:val="en-US" w:eastAsia="zh-CN"/>
              </w:rPr>
              <w:t>55</w:t>
            </w:r>
          </w:p>
        </w:tc>
        <w:tc>
          <w:tcPr>
            <w:tcW w:w="632" w:type="pct"/>
            <w:vAlign w:val="center"/>
          </w:tcPr>
          <w:p w14:paraId="639CE2FB">
            <w:pPr>
              <w:pStyle w:val="26"/>
              <w:bidi w:val="0"/>
              <w:jc w:val="center"/>
              <w:rPr>
                <w:rFonts w:hint="eastAsia"/>
                <w:lang w:val="en-US" w:eastAsia="zh-CN"/>
              </w:rPr>
            </w:pPr>
            <w:r>
              <w:rPr>
                <w:rFonts w:hint="eastAsia"/>
                <w:lang w:val="en-US" w:eastAsia="zh-CN"/>
              </w:rPr>
              <w:t>65</w:t>
            </w:r>
          </w:p>
        </w:tc>
      </w:tr>
      <w:tr w14:paraId="7FF2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6D689AB7">
            <w:pPr>
              <w:pStyle w:val="26"/>
              <w:bidi w:val="0"/>
              <w:jc w:val="center"/>
              <w:rPr>
                <w:rFonts w:hint="eastAsia"/>
                <w:lang w:val="en-US" w:eastAsia="zh-CN"/>
              </w:rPr>
            </w:pPr>
            <w:r>
              <w:rPr>
                <w:rFonts w:hint="eastAsia"/>
                <w:lang w:val="en-US" w:eastAsia="zh-CN"/>
              </w:rPr>
              <w:t>N1</w:t>
            </w:r>
          </w:p>
        </w:tc>
        <w:tc>
          <w:tcPr>
            <w:tcW w:w="1203" w:type="pct"/>
            <w:vAlign w:val="center"/>
          </w:tcPr>
          <w:p w14:paraId="53076E6E">
            <w:pPr>
              <w:pStyle w:val="26"/>
              <w:bidi w:val="0"/>
              <w:jc w:val="center"/>
              <w:rPr>
                <w:rFonts w:hint="eastAsia"/>
                <w:lang w:val="en-US" w:eastAsia="zh-CN"/>
              </w:rPr>
            </w:pPr>
            <w:r>
              <w:rPr>
                <w:rFonts w:hint="eastAsia"/>
                <w:lang w:val="en-US" w:eastAsia="zh-CN"/>
              </w:rPr>
              <w:t>东厂界围墙上</w:t>
            </w:r>
          </w:p>
        </w:tc>
        <w:tc>
          <w:tcPr>
            <w:tcW w:w="754" w:type="pct"/>
            <w:vMerge w:val="restart"/>
            <w:vAlign w:val="center"/>
          </w:tcPr>
          <w:p w14:paraId="24AD5849">
            <w:pPr>
              <w:pStyle w:val="26"/>
              <w:bidi w:val="0"/>
              <w:jc w:val="center"/>
              <w:rPr>
                <w:rFonts w:hint="eastAsia"/>
                <w:lang w:val="en-US" w:eastAsia="zh-CN"/>
              </w:rPr>
            </w:pPr>
            <w:r>
              <w:rPr>
                <w:rFonts w:hint="eastAsia"/>
                <w:lang w:val="en-US" w:eastAsia="zh-CN"/>
              </w:rPr>
              <w:t>2020.04.06</w:t>
            </w:r>
          </w:p>
          <w:p w14:paraId="7CA12A93">
            <w:pPr>
              <w:pStyle w:val="26"/>
              <w:bidi w:val="0"/>
              <w:jc w:val="center"/>
              <w:rPr>
                <w:rFonts w:hint="eastAsia"/>
                <w:lang w:val="en-US" w:eastAsia="zh-CN"/>
              </w:rPr>
            </w:pPr>
            <w:r>
              <w:rPr>
                <w:rFonts w:hint="eastAsia"/>
                <w:lang w:val="en-US" w:eastAsia="zh-CN"/>
              </w:rPr>
              <w:t>（夜间）</w:t>
            </w:r>
          </w:p>
        </w:tc>
        <w:tc>
          <w:tcPr>
            <w:tcW w:w="1184" w:type="pct"/>
            <w:vAlign w:val="center"/>
          </w:tcPr>
          <w:p w14:paraId="6904A4AC">
            <w:pPr>
              <w:pStyle w:val="26"/>
              <w:bidi w:val="0"/>
              <w:jc w:val="center"/>
              <w:rPr>
                <w:rFonts w:hint="eastAsia"/>
                <w:lang w:val="en-US" w:eastAsia="zh-CN"/>
              </w:rPr>
            </w:pPr>
            <w:r>
              <w:rPr>
                <w:rFonts w:hint="eastAsia"/>
                <w:lang w:val="en-US" w:eastAsia="zh-CN"/>
              </w:rPr>
              <w:t>20：01~22：01</w:t>
            </w:r>
          </w:p>
        </w:tc>
        <w:tc>
          <w:tcPr>
            <w:tcW w:w="635" w:type="pct"/>
            <w:vAlign w:val="center"/>
          </w:tcPr>
          <w:p w14:paraId="20984DA0">
            <w:pPr>
              <w:pStyle w:val="26"/>
              <w:bidi w:val="0"/>
              <w:jc w:val="center"/>
              <w:rPr>
                <w:rFonts w:hint="eastAsia"/>
                <w:lang w:val="en-US" w:eastAsia="zh-CN"/>
              </w:rPr>
            </w:pPr>
            <w:r>
              <w:rPr>
                <w:rFonts w:hint="eastAsia"/>
                <w:lang w:val="en-US" w:eastAsia="zh-CN"/>
              </w:rPr>
              <w:t>52</w:t>
            </w:r>
          </w:p>
        </w:tc>
        <w:tc>
          <w:tcPr>
            <w:tcW w:w="632" w:type="pct"/>
            <w:vAlign w:val="center"/>
          </w:tcPr>
          <w:p w14:paraId="4353A7EE">
            <w:pPr>
              <w:pStyle w:val="26"/>
              <w:bidi w:val="0"/>
              <w:jc w:val="center"/>
              <w:rPr>
                <w:rFonts w:hint="eastAsia"/>
                <w:lang w:val="en-US" w:eastAsia="zh-CN"/>
              </w:rPr>
            </w:pPr>
            <w:r>
              <w:rPr>
                <w:rFonts w:hint="eastAsia"/>
                <w:lang w:val="en-US" w:eastAsia="zh-CN"/>
              </w:rPr>
              <w:t>55</w:t>
            </w:r>
          </w:p>
        </w:tc>
      </w:tr>
      <w:tr w14:paraId="363F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2B2988BA">
            <w:pPr>
              <w:pStyle w:val="26"/>
              <w:bidi w:val="0"/>
              <w:jc w:val="center"/>
              <w:rPr>
                <w:rFonts w:hint="eastAsia"/>
                <w:lang w:val="en-US" w:eastAsia="zh-CN"/>
              </w:rPr>
            </w:pPr>
            <w:r>
              <w:rPr>
                <w:rFonts w:hint="eastAsia"/>
                <w:lang w:val="en-US" w:eastAsia="zh-CN"/>
              </w:rPr>
              <w:t>N2</w:t>
            </w:r>
          </w:p>
        </w:tc>
        <w:tc>
          <w:tcPr>
            <w:tcW w:w="1203" w:type="pct"/>
            <w:vAlign w:val="center"/>
          </w:tcPr>
          <w:p w14:paraId="74B75CBD">
            <w:pPr>
              <w:pStyle w:val="26"/>
              <w:bidi w:val="0"/>
              <w:jc w:val="center"/>
              <w:rPr>
                <w:rFonts w:hint="eastAsia"/>
                <w:lang w:val="en-US" w:eastAsia="zh-CN"/>
              </w:rPr>
            </w:pPr>
            <w:r>
              <w:rPr>
                <w:rFonts w:hint="eastAsia"/>
                <w:lang w:val="en-US" w:eastAsia="zh-CN"/>
              </w:rPr>
              <w:t>南厂界外1米</w:t>
            </w:r>
          </w:p>
        </w:tc>
        <w:tc>
          <w:tcPr>
            <w:tcW w:w="754" w:type="pct"/>
            <w:vMerge w:val="continue"/>
            <w:vAlign w:val="center"/>
          </w:tcPr>
          <w:p w14:paraId="7280B348">
            <w:pPr>
              <w:pStyle w:val="26"/>
              <w:bidi w:val="0"/>
              <w:jc w:val="center"/>
              <w:rPr>
                <w:rFonts w:hint="eastAsia"/>
                <w:lang w:val="en-US" w:eastAsia="zh-CN"/>
              </w:rPr>
            </w:pPr>
          </w:p>
        </w:tc>
        <w:tc>
          <w:tcPr>
            <w:tcW w:w="1184" w:type="pct"/>
            <w:vAlign w:val="center"/>
          </w:tcPr>
          <w:p w14:paraId="21B38F36">
            <w:pPr>
              <w:pStyle w:val="26"/>
              <w:bidi w:val="0"/>
              <w:jc w:val="center"/>
              <w:rPr>
                <w:rFonts w:hint="eastAsia"/>
                <w:lang w:val="en-US" w:eastAsia="zh-CN"/>
              </w:rPr>
            </w:pPr>
            <w:r>
              <w:rPr>
                <w:rFonts w:hint="eastAsia"/>
                <w:lang w:val="en-US" w:eastAsia="zh-CN"/>
              </w:rPr>
              <w:t>22：46~22：56</w:t>
            </w:r>
          </w:p>
        </w:tc>
        <w:tc>
          <w:tcPr>
            <w:tcW w:w="635" w:type="pct"/>
            <w:vAlign w:val="center"/>
          </w:tcPr>
          <w:p w14:paraId="5A230E6D">
            <w:pPr>
              <w:pStyle w:val="26"/>
              <w:bidi w:val="0"/>
              <w:jc w:val="center"/>
              <w:rPr>
                <w:rFonts w:hint="eastAsia"/>
                <w:lang w:val="en-US" w:eastAsia="zh-CN"/>
              </w:rPr>
            </w:pPr>
            <w:r>
              <w:rPr>
                <w:rFonts w:hint="eastAsia"/>
                <w:lang w:val="en-US" w:eastAsia="zh-CN"/>
              </w:rPr>
              <w:t>53</w:t>
            </w:r>
          </w:p>
        </w:tc>
        <w:tc>
          <w:tcPr>
            <w:tcW w:w="632" w:type="pct"/>
            <w:vAlign w:val="center"/>
          </w:tcPr>
          <w:p w14:paraId="7E50961D">
            <w:pPr>
              <w:pStyle w:val="26"/>
              <w:bidi w:val="0"/>
              <w:jc w:val="center"/>
              <w:rPr>
                <w:rFonts w:hint="eastAsia"/>
                <w:lang w:val="en-US" w:eastAsia="zh-CN"/>
              </w:rPr>
            </w:pPr>
            <w:r>
              <w:rPr>
                <w:rFonts w:hint="eastAsia"/>
                <w:lang w:val="en-US" w:eastAsia="zh-CN"/>
              </w:rPr>
              <w:t>55</w:t>
            </w:r>
          </w:p>
        </w:tc>
      </w:tr>
      <w:tr w14:paraId="74DA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6CA77693">
            <w:pPr>
              <w:pStyle w:val="26"/>
              <w:bidi w:val="0"/>
              <w:jc w:val="center"/>
              <w:rPr>
                <w:rFonts w:hint="eastAsia"/>
                <w:lang w:val="en-US" w:eastAsia="zh-CN"/>
              </w:rPr>
            </w:pPr>
            <w:r>
              <w:rPr>
                <w:rFonts w:hint="eastAsia"/>
                <w:lang w:val="en-US" w:eastAsia="zh-CN"/>
              </w:rPr>
              <w:t>N3</w:t>
            </w:r>
          </w:p>
        </w:tc>
        <w:tc>
          <w:tcPr>
            <w:tcW w:w="1203" w:type="pct"/>
            <w:vAlign w:val="center"/>
          </w:tcPr>
          <w:p w14:paraId="076D0829">
            <w:pPr>
              <w:pStyle w:val="26"/>
              <w:bidi w:val="0"/>
              <w:jc w:val="center"/>
              <w:rPr>
                <w:rFonts w:hint="eastAsia"/>
                <w:lang w:val="en-US" w:eastAsia="zh-CN"/>
              </w:rPr>
            </w:pPr>
            <w:r>
              <w:rPr>
                <w:rFonts w:hint="eastAsia"/>
                <w:lang w:val="en-US" w:eastAsia="zh-CN"/>
              </w:rPr>
              <w:t>西厂界围墙上</w:t>
            </w:r>
          </w:p>
        </w:tc>
        <w:tc>
          <w:tcPr>
            <w:tcW w:w="754" w:type="pct"/>
            <w:vMerge w:val="continue"/>
            <w:vAlign w:val="center"/>
          </w:tcPr>
          <w:p w14:paraId="4CFC2A3E">
            <w:pPr>
              <w:pStyle w:val="26"/>
              <w:bidi w:val="0"/>
              <w:jc w:val="center"/>
              <w:rPr>
                <w:rFonts w:hint="eastAsia"/>
                <w:lang w:val="en-US" w:eastAsia="zh-CN"/>
              </w:rPr>
            </w:pPr>
          </w:p>
        </w:tc>
        <w:tc>
          <w:tcPr>
            <w:tcW w:w="1184" w:type="pct"/>
            <w:vAlign w:val="center"/>
          </w:tcPr>
          <w:p w14:paraId="6E5365FE">
            <w:pPr>
              <w:pStyle w:val="26"/>
              <w:bidi w:val="0"/>
              <w:jc w:val="center"/>
              <w:rPr>
                <w:rFonts w:hint="eastAsia"/>
                <w:lang w:val="en-US" w:eastAsia="zh-CN"/>
              </w:rPr>
            </w:pPr>
            <w:r>
              <w:rPr>
                <w:rFonts w:hint="eastAsia"/>
                <w:lang w:val="en-US" w:eastAsia="zh-CN"/>
              </w:rPr>
              <w:t>22：31~22：41</w:t>
            </w:r>
          </w:p>
        </w:tc>
        <w:tc>
          <w:tcPr>
            <w:tcW w:w="635" w:type="pct"/>
            <w:vAlign w:val="center"/>
          </w:tcPr>
          <w:p w14:paraId="0A2625A9">
            <w:pPr>
              <w:pStyle w:val="26"/>
              <w:bidi w:val="0"/>
              <w:jc w:val="center"/>
              <w:rPr>
                <w:rFonts w:hint="eastAsia"/>
                <w:lang w:val="en-US" w:eastAsia="zh-CN"/>
              </w:rPr>
            </w:pPr>
            <w:r>
              <w:rPr>
                <w:rFonts w:hint="eastAsia"/>
                <w:lang w:val="en-US" w:eastAsia="zh-CN"/>
              </w:rPr>
              <w:t>52</w:t>
            </w:r>
          </w:p>
        </w:tc>
        <w:tc>
          <w:tcPr>
            <w:tcW w:w="632" w:type="pct"/>
            <w:vAlign w:val="center"/>
          </w:tcPr>
          <w:p w14:paraId="5C8B170C">
            <w:pPr>
              <w:pStyle w:val="26"/>
              <w:bidi w:val="0"/>
              <w:jc w:val="center"/>
              <w:rPr>
                <w:rFonts w:hint="eastAsia"/>
                <w:lang w:val="en-US" w:eastAsia="zh-CN"/>
              </w:rPr>
            </w:pPr>
            <w:r>
              <w:rPr>
                <w:rFonts w:hint="eastAsia"/>
                <w:lang w:val="en-US" w:eastAsia="zh-CN"/>
              </w:rPr>
              <w:t>55</w:t>
            </w:r>
          </w:p>
        </w:tc>
      </w:tr>
      <w:tr w14:paraId="7611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vAlign w:val="center"/>
          </w:tcPr>
          <w:p w14:paraId="3802389A">
            <w:pPr>
              <w:pStyle w:val="26"/>
              <w:bidi w:val="0"/>
              <w:jc w:val="center"/>
              <w:rPr>
                <w:rFonts w:hint="eastAsia"/>
                <w:lang w:val="en-US" w:eastAsia="zh-CN"/>
              </w:rPr>
            </w:pPr>
            <w:r>
              <w:rPr>
                <w:rFonts w:hint="eastAsia"/>
                <w:lang w:val="en-US" w:eastAsia="zh-CN"/>
              </w:rPr>
              <w:t>N4</w:t>
            </w:r>
          </w:p>
        </w:tc>
        <w:tc>
          <w:tcPr>
            <w:tcW w:w="1203" w:type="pct"/>
            <w:vAlign w:val="center"/>
          </w:tcPr>
          <w:p w14:paraId="0784E8BE">
            <w:pPr>
              <w:pStyle w:val="26"/>
              <w:bidi w:val="0"/>
              <w:jc w:val="center"/>
              <w:rPr>
                <w:rFonts w:hint="eastAsia"/>
                <w:lang w:val="en-US" w:eastAsia="zh-CN"/>
              </w:rPr>
            </w:pPr>
            <w:r>
              <w:rPr>
                <w:rFonts w:hint="eastAsia"/>
                <w:lang w:val="en-US" w:eastAsia="zh-CN"/>
              </w:rPr>
              <w:t>北厂界围墙上</w:t>
            </w:r>
          </w:p>
        </w:tc>
        <w:tc>
          <w:tcPr>
            <w:tcW w:w="754" w:type="pct"/>
            <w:vMerge w:val="continue"/>
            <w:vAlign w:val="center"/>
          </w:tcPr>
          <w:p w14:paraId="007A718C">
            <w:pPr>
              <w:pStyle w:val="26"/>
              <w:bidi w:val="0"/>
              <w:jc w:val="center"/>
              <w:rPr>
                <w:rFonts w:hint="eastAsia"/>
                <w:lang w:val="en-US" w:eastAsia="zh-CN"/>
              </w:rPr>
            </w:pPr>
          </w:p>
        </w:tc>
        <w:tc>
          <w:tcPr>
            <w:tcW w:w="1184" w:type="pct"/>
            <w:vAlign w:val="center"/>
          </w:tcPr>
          <w:p w14:paraId="32017577">
            <w:pPr>
              <w:pStyle w:val="26"/>
              <w:bidi w:val="0"/>
              <w:jc w:val="center"/>
              <w:rPr>
                <w:rFonts w:hint="eastAsia"/>
                <w:lang w:val="en-US" w:eastAsia="zh-CN"/>
              </w:rPr>
            </w:pPr>
            <w:r>
              <w:rPr>
                <w:rFonts w:hint="eastAsia"/>
                <w:lang w:val="en-US" w:eastAsia="zh-CN"/>
              </w:rPr>
              <w:t>22：16~22：26</w:t>
            </w:r>
          </w:p>
        </w:tc>
        <w:tc>
          <w:tcPr>
            <w:tcW w:w="635" w:type="pct"/>
            <w:vAlign w:val="center"/>
          </w:tcPr>
          <w:p w14:paraId="14BF132F">
            <w:pPr>
              <w:pStyle w:val="26"/>
              <w:bidi w:val="0"/>
              <w:jc w:val="center"/>
              <w:rPr>
                <w:rFonts w:hint="eastAsia"/>
                <w:lang w:val="en-US" w:eastAsia="zh-CN"/>
              </w:rPr>
            </w:pPr>
            <w:r>
              <w:rPr>
                <w:rFonts w:hint="eastAsia"/>
                <w:lang w:val="en-US" w:eastAsia="zh-CN"/>
              </w:rPr>
              <w:t>52</w:t>
            </w:r>
          </w:p>
        </w:tc>
        <w:tc>
          <w:tcPr>
            <w:tcW w:w="632" w:type="pct"/>
            <w:vAlign w:val="center"/>
          </w:tcPr>
          <w:p w14:paraId="5DEF0A0F">
            <w:pPr>
              <w:pStyle w:val="26"/>
              <w:bidi w:val="0"/>
              <w:jc w:val="center"/>
              <w:rPr>
                <w:rFonts w:hint="eastAsia"/>
                <w:lang w:val="en-US" w:eastAsia="zh-CN"/>
              </w:rPr>
            </w:pPr>
            <w:r>
              <w:rPr>
                <w:rFonts w:hint="eastAsia"/>
                <w:lang w:val="en-US" w:eastAsia="zh-CN"/>
              </w:rPr>
              <w:t>55</w:t>
            </w:r>
          </w:p>
        </w:tc>
      </w:tr>
      <w:tr w14:paraId="4B9F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4E762B08">
            <w:pPr>
              <w:pStyle w:val="26"/>
              <w:bidi w:val="0"/>
              <w:jc w:val="center"/>
              <w:rPr>
                <w:rFonts w:hint="eastAsia"/>
                <w:lang w:val="en-US" w:eastAsia="zh-CN"/>
              </w:rPr>
            </w:pPr>
            <w:r>
              <w:rPr>
                <w:rFonts w:hint="eastAsia"/>
                <w:lang w:val="en-US" w:eastAsia="zh-CN"/>
              </w:rPr>
              <w:t>N1</w:t>
            </w:r>
          </w:p>
        </w:tc>
        <w:tc>
          <w:tcPr>
            <w:tcW w:w="1203" w:type="pct"/>
            <w:shd w:val="clear" w:color="auto" w:fill="auto"/>
            <w:vAlign w:val="center"/>
          </w:tcPr>
          <w:p w14:paraId="517F3A25">
            <w:pPr>
              <w:pStyle w:val="26"/>
              <w:bidi w:val="0"/>
              <w:jc w:val="center"/>
              <w:rPr>
                <w:rFonts w:hint="eastAsia"/>
                <w:lang w:val="en-US" w:eastAsia="zh-CN"/>
              </w:rPr>
            </w:pPr>
            <w:r>
              <w:rPr>
                <w:rFonts w:hint="eastAsia"/>
                <w:lang w:val="en-US" w:eastAsia="zh-CN"/>
              </w:rPr>
              <w:t>东厂界围墙</w:t>
            </w:r>
          </w:p>
        </w:tc>
        <w:tc>
          <w:tcPr>
            <w:tcW w:w="754" w:type="pct"/>
            <w:vMerge w:val="restart"/>
            <w:shd w:val="clear" w:color="auto" w:fill="auto"/>
            <w:vAlign w:val="center"/>
          </w:tcPr>
          <w:p w14:paraId="6AF1364F">
            <w:pPr>
              <w:pStyle w:val="26"/>
              <w:bidi w:val="0"/>
              <w:jc w:val="center"/>
              <w:rPr>
                <w:rFonts w:hint="eastAsia"/>
                <w:lang w:val="en-US" w:eastAsia="zh-CN"/>
              </w:rPr>
            </w:pPr>
            <w:r>
              <w:rPr>
                <w:rFonts w:hint="eastAsia"/>
                <w:lang w:val="en-US" w:eastAsia="zh-CN"/>
              </w:rPr>
              <w:t>2020.04.06</w:t>
            </w:r>
          </w:p>
          <w:p w14:paraId="703C5579">
            <w:pPr>
              <w:pStyle w:val="26"/>
              <w:bidi w:val="0"/>
              <w:jc w:val="center"/>
              <w:rPr>
                <w:rFonts w:hint="eastAsia"/>
                <w:lang w:val="en-US" w:eastAsia="zh-CN"/>
              </w:rPr>
            </w:pPr>
            <w:r>
              <w:rPr>
                <w:rFonts w:hint="eastAsia"/>
                <w:lang w:val="en-US" w:eastAsia="zh-CN"/>
              </w:rPr>
              <w:t>（昼间）</w:t>
            </w:r>
          </w:p>
          <w:p w14:paraId="38FA4894">
            <w:pPr>
              <w:pStyle w:val="26"/>
              <w:bidi w:val="0"/>
              <w:jc w:val="center"/>
              <w:rPr>
                <w:rFonts w:hint="eastAsia"/>
                <w:lang w:val="en-US" w:eastAsia="zh-CN"/>
              </w:rPr>
            </w:pPr>
          </w:p>
        </w:tc>
        <w:tc>
          <w:tcPr>
            <w:tcW w:w="1184" w:type="pct"/>
            <w:shd w:val="clear" w:color="auto" w:fill="auto"/>
            <w:vAlign w:val="center"/>
          </w:tcPr>
          <w:p w14:paraId="2E15C671">
            <w:pPr>
              <w:pStyle w:val="26"/>
              <w:bidi w:val="0"/>
              <w:jc w:val="center"/>
              <w:rPr>
                <w:rFonts w:hint="eastAsia"/>
                <w:lang w:val="en-US" w:eastAsia="zh-CN"/>
              </w:rPr>
            </w:pPr>
            <w:r>
              <w:rPr>
                <w:rFonts w:hint="eastAsia"/>
                <w:lang w:val="en-US" w:eastAsia="zh-CN"/>
              </w:rPr>
              <w:t>12：59~13：09</w:t>
            </w:r>
          </w:p>
        </w:tc>
        <w:tc>
          <w:tcPr>
            <w:tcW w:w="635" w:type="pct"/>
            <w:vAlign w:val="center"/>
          </w:tcPr>
          <w:p w14:paraId="59DA7313">
            <w:pPr>
              <w:pStyle w:val="26"/>
              <w:bidi w:val="0"/>
              <w:jc w:val="center"/>
              <w:rPr>
                <w:rFonts w:hint="eastAsia"/>
                <w:lang w:val="en-US" w:eastAsia="zh-CN"/>
              </w:rPr>
            </w:pPr>
            <w:r>
              <w:rPr>
                <w:rFonts w:hint="eastAsia"/>
                <w:lang w:val="en-US" w:eastAsia="zh-CN"/>
              </w:rPr>
              <w:t>60</w:t>
            </w:r>
          </w:p>
        </w:tc>
        <w:tc>
          <w:tcPr>
            <w:tcW w:w="632" w:type="pct"/>
            <w:vAlign w:val="center"/>
          </w:tcPr>
          <w:p w14:paraId="624CB015">
            <w:pPr>
              <w:pStyle w:val="26"/>
              <w:bidi w:val="0"/>
              <w:jc w:val="center"/>
              <w:rPr>
                <w:rFonts w:hint="eastAsia"/>
                <w:lang w:val="en-US" w:eastAsia="zh-CN"/>
              </w:rPr>
            </w:pPr>
            <w:r>
              <w:rPr>
                <w:rFonts w:hint="eastAsia"/>
                <w:lang w:val="en-US" w:eastAsia="zh-CN"/>
              </w:rPr>
              <w:t>65</w:t>
            </w:r>
          </w:p>
        </w:tc>
      </w:tr>
      <w:tr w14:paraId="616D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56A1881C">
            <w:pPr>
              <w:pStyle w:val="26"/>
              <w:bidi w:val="0"/>
              <w:jc w:val="center"/>
              <w:rPr>
                <w:rFonts w:hint="eastAsia"/>
                <w:lang w:val="en-US" w:eastAsia="zh-CN"/>
              </w:rPr>
            </w:pPr>
            <w:r>
              <w:rPr>
                <w:rFonts w:hint="eastAsia"/>
                <w:lang w:val="en-US" w:eastAsia="zh-CN"/>
              </w:rPr>
              <w:t>N2</w:t>
            </w:r>
          </w:p>
        </w:tc>
        <w:tc>
          <w:tcPr>
            <w:tcW w:w="1203" w:type="pct"/>
            <w:shd w:val="clear" w:color="auto" w:fill="auto"/>
            <w:vAlign w:val="center"/>
          </w:tcPr>
          <w:p w14:paraId="6B79EFF5">
            <w:pPr>
              <w:pStyle w:val="26"/>
              <w:bidi w:val="0"/>
              <w:jc w:val="center"/>
              <w:rPr>
                <w:rFonts w:hint="eastAsia"/>
                <w:lang w:val="en-US" w:eastAsia="zh-CN"/>
              </w:rPr>
            </w:pPr>
            <w:r>
              <w:rPr>
                <w:rFonts w:hint="eastAsia"/>
                <w:lang w:val="en-US" w:eastAsia="zh-CN"/>
              </w:rPr>
              <w:t>南厂界外1米</w:t>
            </w:r>
          </w:p>
        </w:tc>
        <w:tc>
          <w:tcPr>
            <w:tcW w:w="754" w:type="pct"/>
            <w:vMerge w:val="continue"/>
            <w:vAlign w:val="center"/>
          </w:tcPr>
          <w:p w14:paraId="7F4CEB22">
            <w:pPr>
              <w:pStyle w:val="26"/>
              <w:bidi w:val="0"/>
              <w:jc w:val="center"/>
              <w:rPr>
                <w:rFonts w:hint="eastAsia"/>
                <w:lang w:val="en-US" w:eastAsia="zh-CN"/>
              </w:rPr>
            </w:pPr>
          </w:p>
        </w:tc>
        <w:tc>
          <w:tcPr>
            <w:tcW w:w="1184" w:type="pct"/>
            <w:shd w:val="clear" w:color="auto" w:fill="auto"/>
            <w:vAlign w:val="center"/>
          </w:tcPr>
          <w:p w14:paraId="35B7619E">
            <w:pPr>
              <w:pStyle w:val="26"/>
              <w:bidi w:val="0"/>
              <w:jc w:val="center"/>
              <w:rPr>
                <w:rFonts w:hint="eastAsia"/>
                <w:lang w:val="en-US" w:eastAsia="zh-CN"/>
              </w:rPr>
            </w:pPr>
            <w:r>
              <w:rPr>
                <w:rFonts w:hint="eastAsia"/>
                <w:lang w:val="en-US" w:eastAsia="zh-CN"/>
              </w:rPr>
              <w:t>13：42~13：52</w:t>
            </w:r>
          </w:p>
        </w:tc>
        <w:tc>
          <w:tcPr>
            <w:tcW w:w="635" w:type="pct"/>
            <w:vAlign w:val="center"/>
          </w:tcPr>
          <w:p w14:paraId="7392E36C">
            <w:pPr>
              <w:pStyle w:val="26"/>
              <w:bidi w:val="0"/>
              <w:jc w:val="center"/>
              <w:rPr>
                <w:rFonts w:hint="eastAsia"/>
                <w:lang w:val="en-US" w:eastAsia="zh-CN"/>
              </w:rPr>
            </w:pPr>
            <w:r>
              <w:rPr>
                <w:rFonts w:hint="eastAsia"/>
                <w:lang w:val="en-US" w:eastAsia="zh-CN"/>
              </w:rPr>
              <w:t>60</w:t>
            </w:r>
          </w:p>
        </w:tc>
        <w:tc>
          <w:tcPr>
            <w:tcW w:w="632" w:type="pct"/>
            <w:vAlign w:val="center"/>
          </w:tcPr>
          <w:p w14:paraId="18BFE5B9">
            <w:pPr>
              <w:pStyle w:val="26"/>
              <w:bidi w:val="0"/>
              <w:jc w:val="center"/>
              <w:rPr>
                <w:rFonts w:hint="eastAsia"/>
                <w:lang w:val="en-US" w:eastAsia="zh-CN"/>
              </w:rPr>
            </w:pPr>
            <w:r>
              <w:rPr>
                <w:rFonts w:hint="eastAsia"/>
                <w:lang w:val="en-US" w:eastAsia="zh-CN"/>
              </w:rPr>
              <w:t>65</w:t>
            </w:r>
          </w:p>
        </w:tc>
      </w:tr>
      <w:tr w14:paraId="402E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31C045AC">
            <w:pPr>
              <w:pStyle w:val="26"/>
              <w:bidi w:val="0"/>
              <w:jc w:val="center"/>
              <w:rPr>
                <w:rFonts w:hint="eastAsia"/>
                <w:lang w:val="en-US" w:eastAsia="zh-CN"/>
              </w:rPr>
            </w:pPr>
            <w:r>
              <w:rPr>
                <w:rFonts w:hint="eastAsia"/>
                <w:lang w:val="en-US" w:eastAsia="zh-CN"/>
              </w:rPr>
              <w:t>N3</w:t>
            </w:r>
          </w:p>
        </w:tc>
        <w:tc>
          <w:tcPr>
            <w:tcW w:w="1203" w:type="pct"/>
            <w:shd w:val="clear" w:color="auto" w:fill="auto"/>
            <w:vAlign w:val="center"/>
          </w:tcPr>
          <w:p w14:paraId="23612866">
            <w:pPr>
              <w:pStyle w:val="26"/>
              <w:bidi w:val="0"/>
              <w:jc w:val="center"/>
              <w:rPr>
                <w:rFonts w:hint="eastAsia"/>
                <w:lang w:val="en-US" w:eastAsia="zh-CN"/>
              </w:rPr>
            </w:pPr>
            <w:r>
              <w:rPr>
                <w:rFonts w:hint="eastAsia"/>
                <w:lang w:val="en-US" w:eastAsia="zh-CN"/>
              </w:rPr>
              <w:t>西厂界围墙上</w:t>
            </w:r>
          </w:p>
        </w:tc>
        <w:tc>
          <w:tcPr>
            <w:tcW w:w="754" w:type="pct"/>
            <w:vMerge w:val="continue"/>
            <w:vAlign w:val="center"/>
          </w:tcPr>
          <w:p w14:paraId="3516C579">
            <w:pPr>
              <w:pStyle w:val="26"/>
              <w:bidi w:val="0"/>
              <w:jc w:val="center"/>
              <w:rPr>
                <w:rFonts w:hint="eastAsia"/>
                <w:lang w:val="en-US" w:eastAsia="zh-CN"/>
              </w:rPr>
            </w:pPr>
          </w:p>
        </w:tc>
        <w:tc>
          <w:tcPr>
            <w:tcW w:w="1184" w:type="pct"/>
            <w:shd w:val="clear" w:color="auto" w:fill="auto"/>
            <w:vAlign w:val="center"/>
          </w:tcPr>
          <w:p w14:paraId="6C9F5078">
            <w:pPr>
              <w:pStyle w:val="26"/>
              <w:bidi w:val="0"/>
              <w:jc w:val="center"/>
              <w:rPr>
                <w:rFonts w:hint="eastAsia"/>
                <w:lang w:val="en-US" w:eastAsia="zh-CN"/>
              </w:rPr>
            </w:pPr>
            <w:r>
              <w:rPr>
                <w:rFonts w:hint="eastAsia"/>
                <w:lang w:val="en-US" w:eastAsia="zh-CN"/>
              </w:rPr>
              <w:t>13：25~13：35</w:t>
            </w:r>
          </w:p>
        </w:tc>
        <w:tc>
          <w:tcPr>
            <w:tcW w:w="635" w:type="pct"/>
            <w:vAlign w:val="center"/>
          </w:tcPr>
          <w:p w14:paraId="15942C7C">
            <w:pPr>
              <w:pStyle w:val="26"/>
              <w:bidi w:val="0"/>
              <w:jc w:val="center"/>
              <w:rPr>
                <w:rFonts w:hint="eastAsia"/>
                <w:lang w:val="en-US" w:eastAsia="zh-CN"/>
              </w:rPr>
            </w:pPr>
            <w:r>
              <w:rPr>
                <w:rFonts w:hint="eastAsia"/>
                <w:lang w:val="en-US" w:eastAsia="zh-CN"/>
              </w:rPr>
              <w:t>55</w:t>
            </w:r>
          </w:p>
        </w:tc>
        <w:tc>
          <w:tcPr>
            <w:tcW w:w="632" w:type="pct"/>
            <w:vAlign w:val="center"/>
          </w:tcPr>
          <w:p w14:paraId="4AE4A29B">
            <w:pPr>
              <w:pStyle w:val="26"/>
              <w:bidi w:val="0"/>
              <w:jc w:val="center"/>
              <w:rPr>
                <w:rFonts w:hint="eastAsia"/>
                <w:lang w:val="en-US" w:eastAsia="zh-CN"/>
              </w:rPr>
            </w:pPr>
            <w:r>
              <w:rPr>
                <w:rFonts w:hint="eastAsia"/>
                <w:lang w:val="en-US" w:eastAsia="zh-CN"/>
              </w:rPr>
              <w:t>65</w:t>
            </w:r>
          </w:p>
        </w:tc>
      </w:tr>
      <w:tr w14:paraId="0C42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434C1352">
            <w:pPr>
              <w:pStyle w:val="26"/>
              <w:bidi w:val="0"/>
              <w:jc w:val="center"/>
              <w:rPr>
                <w:rFonts w:hint="eastAsia"/>
                <w:lang w:val="en-US" w:eastAsia="zh-CN"/>
              </w:rPr>
            </w:pPr>
            <w:r>
              <w:rPr>
                <w:rFonts w:hint="eastAsia"/>
                <w:lang w:val="en-US" w:eastAsia="zh-CN"/>
              </w:rPr>
              <w:t>N4</w:t>
            </w:r>
          </w:p>
        </w:tc>
        <w:tc>
          <w:tcPr>
            <w:tcW w:w="1203" w:type="pct"/>
            <w:shd w:val="clear" w:color="auto" w:fill="auto"/>
            <w:vAlign w:val="center"/>
          </w:tcPr>
          <w:p w14:paraId="0BD7A450">
            <w:pPr>
              <w:pStyle w:val="26"/>
              <w:bidi w:val="0"/>
              <w:jc w:val="center"/>
              <w:rPr>
                <w:rFonts w:hint="eastAsia"/>
                <w:lang w:val="en-US" w:eastAsia="zh-CN"/>
              </w:rPr>
            </w:pPr>
            <w:r>
              <w:rPr>
                <w:rFonts w:hint="eastAsia"/>
                <w:lang w:val="en-US" w:eastAsia="zh-CN"/>
              </w:rPr>
              <w:t>北厂界围墙上</w:t>
            </w:r>
          </w:p>
        </w:tc>
        <w:tc>
          <w:tcPr>
            <w:tcW w:w="754" w:type="pct"/>
            <w:vMerge w:val="continue"/>
            <w:vAlign w:val="center"/>
          </w:tcPr>
          <w:p w14:paraId="28D700FE">
            <w:pPr>
              <w:pStyle w:val="26"/>
              <w:bidi w:val="0"/>
              <w:jc w:val="center"/>
              <w:rPr>
                <w:rFonts w:hint="eastAsia"/>
                <w:lang w:val="en-US" w:eastAsia="zh-CN"/>
              </w:rPr>
            </w:pPr>
          </w:p>
        </w:tc>
        <w:tc>
          <w:tcPr>
            <w:tcW w:w="1184" w:type="pct"/>
            <w:shd w:val="clear" w:color="auto" w:fill="auto"/>
            <w:vAlign w:val="center"/>
          </w:tcPr>
          <w:p w14:paraId="17F7747F">
            <w:pPr>
              <w:pStyle w:val="26"/>
              <w:bidi w:val="0"/>
              <w:jc w:val="center"/>
              <w:rPr>
                <w:rFonts w:hint="eastAsia"/>
                <w:lang w:val="en-US" w:eastAsia="zh-CN"/>
              </w:rPr>
            </w:pPr>
            <w:r>
              <w:rPr>
                <w:rFonts w:hint="eastAsia"/>
                <w:lang w:val="en-US" w:eastAsia="zh-CN"/>
              </w:rPr>
              <w:t>13：12~13：22</w:t>
            </w:r>
          </w:p>
        </w:tc>
        <w:tc>
          <w:tcPr>
            <w:tcW w:w="635" w:type="pct"/>
            <w:vAlign w:val="center"/>
          </w:tcPr>
          <w:p w14:paraId="4C1A9C1B">
            <w:pPr>
              <w:pStyle w:val="26"/>
              <w:bidi w:val="0"/>
              <w:jc w:val="center"/>
              <w:rPr>
                <w:rFonts w:hint="eastAsia"/>
                <w:lang w:val="en-US" w:eastAsia="zh-CN"/>
              </w:rPr>
            </w:pPr>
            <w:r>
              <w:rPr>
                <w:rFonts w:hint="eastAsia"/>
                <w:lang w:val="en-US" w:eastAsia="zh-CN"/>
              </w:rPr>
              <w:t>54</w:t>
            </w:r>
          </w:p>
        </w:tc>
        <w:tc>
          <w:tcPr>
            <w:tcW w:w="632" w:type="pct"/>
            <w:vAlign w:val="center"/>
          </w:tcPr>
          <w:p w14:paraId="04D862E2">
            <w:pPr>
              <w:pStyle w:val="26"/>
              <w:bidi w:val="0"/>
              <w:jc w:val="center"/>
              <w:rPr>
                <w:rFonts w:hint="eastAsia"/>
                <w:lang w:val="en-US" w:eastAsia="zh-CN"/>
              </w:rPr>
            </w:pPr>
            <w:r>
              <w:rPr>
                <w:rFonts w:hint="eastAsia"/>
                <w:lang w:val="en-US" w:eastAsia="zh-CN"/>
              </w:rPr>
              <w:t>65</w:t>
            </w:r>
          </w:p>
        </w:tc>
      </w:tr>
      <w:tr w14:paraId="6DDB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00488CDF">
            <w:pPr>
              <w:pStyle w:val="26"/>
              <w:bidi w:val="0"/>
              <w:jc w:val="center"/>
              <w:rPr>
                <w:rFonts w:hint="eastAsia"/>
                <w:lang w:val="en-US" w:eastAsia="zh-CN"/>
              </w:rPr>
            </w:pPr>
            <w:r>
              <w:rPr>
                <w:rFonts w:hint="eastAsia"/>
                <w:lang w:val="en-US" w:eastAsia="zh-CN"/>
              </w:rPr>
              <w:t>N1</w:t>
            </w:r>
          </w:p>
        </w:tc>
        <w:tc>
          <w:tcPr>
            <w:tcW w:w="1203" w:type="pct"/>
            <w:shd w:val="clear" w:color="auto" w:fill="auto"/>
            <w:vAlign w:val="center"/>
          </w:tcPr>
          <w:p w14:paraId="1663F957">
            <w:pPr>
              <w:pStyle w:val="26"/>
              <w:bidi w:val="0"/>
              <w:jc w:val="center"/>
              <w:rPr>
                <w:rFonts w:hint="eastAsia"/>
                <w:lang w:val="en-US" w:eastAsia="zh-CN"/>
              </w:rPr>
            </w:pPr>
            <w:r>
              <w:rPr>
                <w:rFonts w:hint="eastAsia"/>
                <w:lang w:val="en-US" w:eastAsia="zh-CN"/>
              </w:rPr>
              <w:t>东厂界围墙上</w:t>
            </w:r>
          </w:p>
        </w:tc>
        <w:tc>
          <w:tcPr>
            <w:tcW w:w="754" w:type="pct"/>
            <w:vMerge w:val="restart"/>
            <w:shd w:val="clear" w:color="auto" w:fill="auto"/>
            <w:vAlign w:val="center"/>
          </w:tcPr>
          <w:p w14:paraId="437E98CE">
            <w:pPr>
              <w:pStyle w:val="26"/>
              <w:bidi w:val="0"/>
              <w:jc w:val="center"/>
              <w:rPr>
                <w:rFonts w:hint="eastAsia"/>
                <w:lang w:val="en-US" w:eastAsia="zh-CN"/>
              </w:rPr>
            </w:pPr>
            <w:r>
              <w:rPr>
                <w:rFonts w:hint="eastAsia"/>
                <w:lang w:val="en-US" w:eastAsia="zh-CN"/>
              </w:rPr>
              <w:t>2020.04.06</w:t>
            </w:r>
          </w:p>
          <w:p w14:paraId="66A159DA">
            <w:pPr>
              <w:pStyle w:val="26"/>
              <w:bidi w:val="0"/>
              <w:jc w:val="center"/>
              <w:rPr>
                <w:rFonts w:hint="eastAsia"/>
                <w:lang w:val="en-US" w:eastAsia="zh-CN"/>
              </w:rPr>
            </w:pPr>
            <w:r>
              <w:rPr>
                <w:rFonts w:hint="eastAsia"/>
                <w:lang w:val="en-US" w:eastAsia="zh-CN"/>
              </w:rPr>
              <w:t>（夜间）</w:t>
            </w:r>
          </w:p>
        </w:tc>
        <w:tc>
          <w:tcPr>
            <w:tcW w:w="1184" w:type="pct"/>
            <w:shd w:val="clear" w:color="auto" w:fill="auto"/>
            <w:vAlign w:val="center"/>
          </w:tcPr>
          <w:p w14:paraId="40FB9382">
            <w:pPr>
              <w:pStyle w:val="26"/>
              <w:bidi w:val="0"/>
              <w:jc w:val="center"/>
              <w:rPr>
                <w:rFonts w:hint="eastAsia"/>
                <w:lang w:val="en-US" w:eastAsia="zh-CN"/>
              </w:rPr>
            </w:pPr>
            <w:r>
              <w:rPr>
                <w:rFonts w:hint="eastAsia"/>
                <w:lang w:val="en-US" w:eastAsia="zh-CN"/>
              </w:rPr>
              <w:t>22：02~22：12</w:t>
            </w:r>
          </w:p>
        </w:tc>
        <w:tc>
          <w:tcPr>
            <w:tcW w:w="635" w:type="pct"/>
            <w:vAlign w:val="center"/>
          </w:tcPr>
          <w:p w14:paraId="56908F53">
            <w:pPr>
              <w:pStyle w:val="26"/>
              <w:bidi w:val="0"/>
              <w:jc w:val="center"/>
              <w:rPr>
                <w:rFonts w:hint="eastAsia"/>
                <w:lang w:val="en-US" w:eastAsia="zh-CN"/>
              </w:rPr>
            </w:pPr>
            <w:r>
              <w:rPr>
                <w:rFonts w:hint="eastAsia"/>
                <w:lang w:val="en-US" w:eastAsia="zh-CN"/>
              </w:rPr>
              <w:t>51</w:t>
            </w:r>
          </w:p>
        </w:tc>
        <w:tc>
          <w:tcPr>
            <w:tcW w:w="632" w:type="pct"/>
            <w:vAlign w:val="center"/>
          </w:tcPr>
          <w:p w14:paraId="0FAC26D5">
            <w:pPr>
              <w:pStyle w:val="26"/>
              <w:bidi w:val="0"/>
              <w:jc w:val="center"/>
              <w:rPr>
                <w:rFonts w:hint="eastAsia"/>
                <w:lang w:val="en-US" w:eastAsia="zh-CN"/>
              </w:rPr>
            </w:pPr>
            <w:r>
              <w:rPr>
                <w:rFonts w:hint="eastAsia"/>
                <w:lang w:val="en-US" w:eastAsia="zh-CN"/>
              </w:rPr>
              <w:t>55</w:t>
            </w:r>
          </w:p>
        </w:tc>
      </w:tr>
      <w:tr w14:paraId="230F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6AE98B5D">
            <w:pPr>
              <w:pStyle w:val="26"/>
              <w:bidi w:val="0"/>
              <w:jc w:val="center"/>
              <w:rPr>
                <w:rFonts w:hint="eastAsia"/>
                <w:lang w:val="en-US" w:eastAsia="zh-CN"/>
              </w:rPr>
            </w:pPr>
            <w:r>
              <w:rPr>
                <w:rFonts w:hint="eastAsia"/>
                <w:lang w:val="en-US" w:eastAsia="zh-CN"/>
              </w:rPr>
              <w:t>N2</w:t>
            </w:r>
          </w:p>
        </w:tc>
        <w:tc>
          <w:tcPr>
            <w:tcW w:w="1203" w:type="pct"/>
            <w:shd w:val="clear" w:color="auto" w:fill="auto"/>
            <w:vAlign w:val="center"/>
          </w:tcPr>
          <w:p w14:paraId="588809B8">
            <w:pPr>
              <w:pStyle w:val="26"/>
              <w:bidi w:val="0"/>
              <w:jc w:val="center"/>
              <w:rPr>
                <w:rFonts w:hint="eastAsia"/>
                <w:lang w:val="en-US" w:eastAsia="zh-CN"/>
              </w:rPr>
            </w:pPr>
            <w:r>
              <w:rPr>
                <w:rFonts w:hint="eastAsia"/>
                <w:lang w:val="en-US" w:eastAsia="zh-CN"/>
              </w:rPr>
              <w:t>南厂界外1米</w:t>
            </w:r>
          </w:p>
        </w:tc>
        <w:tc>
          <w:tcPr>
            <w:tcW w:w="754" w:type="pct"/>
            <w:vMerge w:val="continue"/>
            <w:vAlign w:val="center"/>
          </w:tcPr>
          <w:p w14:paraId="706362F6">
            <w:pPr>
              <w:pStyle w:val="26"/>
              <w:bidi w:val="0"/>
              <w:jc w:val="center"/>
              <w:rPr>
                <w:rFonts w:hint="eastAsia"/>
                <w:lang w:val="en-US" w:eastAsia="zh-CN"/>
              </w:rPr>
            </w:pPr>
          </w:p>
        </w:tc>
        <w:tc>
          <w:tcPr>
            <w:tcW w:w="1184" w:type="pct"/>
            <w:shd w:val="clear" w:color="auto" w:fill="auto"/>
            <w:vAlign w:val="center"/>
          </w:tcPr>
          <w:p w14:paraId="7C52EA9A">
            <w:pPr>
              <w:pStyle w:val="26"/>
              <w:bidi w:val="0"/>
              <w:jc w:val="center"/>
              <w:rPr>
                <w:rFonts w:hint="eastAsia"/>
                <w:lang w:val="en-US" w:eastAsia="zh-CN"/>
              </w:rPr>
            </w:pPr>
            <w:r>
              <w:rPr>
                <w:rFonts w:hint="eastAsia"/>
                <w:lang w:val="en-US" w:eastAsia="zh-CN"/>
              </w:rPr>
              <w:t>22：44~22：54</w:t>
            </w:r>
          </w:p>
        </w:tc>
        <w:tc>
          <w:tcPr>
            <w:tcW w:w="635" w:type="pct"/>
            <w:vAlign w:val="center"/>
          </w:tcPr>
          <w:p w14:paraId="5A9CA960">
            <w:pPr>
              <w:pStyle w:val="26"/>
              <w:bidi w:val="0"/>
              <w:jc w:val="center"/>
              <w:rPr>
                <w:rFonts w:hint="eastAsia"/>
                <w:lang w:val="en-US" w:eastAsia="zh-CN"/>
              </w:rPr>
            </w:pPr>
            <w:r>
              <w:rPr>
                <w:rFonts w:hint="eastAsia"/>
                <w:lang w:val="en-US" w:eastAsia="zh-CN"/>
              </w:rPr>
              <w:t>50</w:t>
            </w:r>
          </w:p>
        </w:tc>
        <w:tc>
          <w:tcPr>
            <w:tcW w:w="632" w:type="pct"/>
            <w:vAlign w:val="center"/>
          </w:tcPr>
          <w:p w14:paraId="530CCE55">
            <w:pPr>
              <w:pStyle w:val="26"/>
              <w:bidi w:val="0"/>
              <w:jc w:val="center"/>
              <w:rPr>
                <w:rFonts w:hint="eastAsia"/>
                <w:lang w:val="en-US" w:eastAsia="zh-CN"/>
              </w:rPr>
            </w:pPr>
            <w:r>
              <w:rPr>
                <w:rFonts w:hint="eastAsia"/>
                <w:lang w:val="en-US" w:eastAsia="zh-CN"/>
              </w:rPr>
              <w:t>55</w:t>
            </w:r>
          </w:p>
        </w:tc>
      </w:tr>
      <w:tr w14:paraId="06E2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621F39FB">
            <w:pPr>
              <w:pStyle w:val="26"/>
              <w:bidi w:val="0"/>
              <w:jc w:val="center"/>
              <w:rPr>
                <w:rFonts w:hint="eastAsia"/>
                <w:lang w:val="en-US" w:eastAsia="zh-CN"/>
              </w:rPr>
            </w:pPr>
            <w:r>
              <w:rPr>
                <w:rFonts w:hint="eastAsia"/>
                <w:lang w:val="en-US" w:eastAsia="zh-CN"/>
              </w:rPr>
              <w:t>N3</w:t>
            </w:r>
          </w:p>
        </w:tc>
        <w:tc>
          <w:tcPr>
            <w:tcW w:w="1203" w:type="pct"/>
            <w:shd w:val="clear" w:color="auto" w:fill="auto"/>
            <w:vAlign w:val="center"/>
          </w:tcPr>
          <w:p w14:paraId="06176A4D">
            <w:pPr>
              <w:pStyle w:val="26"/>
              <w:bidi w:val="0"/>
              <w:jc w:val="center"/>
              <w:rPr>
                <w:rFonts w:hint="eastAsia"/>
                <w:lang w:val="en-US" w:eastAsia="zh-CN"/>
              </w:rPr>
            </w:pPr>
            <w:r>
              <w:rPr>
                <w:rFonts w:hint="eastAsia"/>
                <w:lang w:val="en-US" w:eastAsia="zh-CN"/>
              </w:rPr>
              <w:t>西厂界围墙上</w:t>
            </w:r>
          </w:p>
        </w:tc>
        <w:tc>
          <w:tcPr>
            <w:tcW w:w="754" w:type="pct"/>
            <w:vMerge w:val="continue"/>
            <w:vAlign w:val="center"/>
          </w:tcPr>
          <w:p w14:paraId="0AE6236F">
            <w:pPr>
              <w:pStyle w:val="26"/>
              <w:bidi w:val="0"/>
              <w:jc w:val="center"/>
              <w:rPr>
                <w:rFonts w:hint="eastAsia"/>
                <w:lang w:val="en-US" w:eastAsia="zh-CN"/>
              </w:rPr>
            </w:pPr>
          </w:p>
        </w:tc>
        <w:tc>
          <w:tcPr>
            <w:tcW w:w="1184" w:type="pct"/>
            <w:shd w:val="clear" w:color="auto" w:fill="auto"/>
            <w:vAlign w:val="center"/>
          </w:tcPr>
          <w:p w14:paraId="479A3835">
            <w:pPr>
              <w:pStyle w:val="26"/>
              <w:bidi w:val="0"/>
              <w:jc w:val="center"/>
              <w:rPr>
                <w:rFonts w:hint="eastAsia"/>
                <w:lang w:val="en-US" w:eastAsia="zh-CN"/>
              </w:rPr>
            </w:pPr>
            <w:r>
              <w:rPr>
                <w:rFonts w:hint="eastAsia"/>
                <w:lang w:val="en-US" w:eastAsia="zh-CN"/>
              </w:rPr>
              <w:t>22：31~22：41</w:t>
            </w:r>
          </w:p>
        </w:tc>
        <w:tc>
          <w:tcPr>
            <w:tcW w:w="635" w:type="pct"/>
            <w:vAlign w:val="center"/>
          </w:tcPr>
          <w:p w14:paraId="18AEB354">
            <w:pPr>
              <w:pStyle w:val="26"/>
              <w:bidi w:val="0"/>
              <w:jc w:val="center"/>
              <w:rPr>
                <w:rFonts w:hint="eastAsia"/>
                <w:lang w:val="en-US" w:eastAsia="zh-CN"/>
              </w:rPr>
            </w:pPr>
            <w:r>
              <w:rPr>
                <w:rFonts w:hint="eastAsia"/>
                <w:lang w:val="en-US" w:eastAsia="zh-CN"/>
              </w:rPr>
              <w:t>52</w:t>
            </w:r>
          </w:p>
        </w:tc>
        <w:tc>
          <w:tcPr>
            <w:tcW w:w="632" w:type="pct"/>
            <w:vAlign w:val="center"/>
          </w:tcPr>
          <w:p w14:paraId="5ACE0FDE">
            <w:pPr>
              <w:pStyle w:val="26"/>
              <w:bidi w:val="0"/>
              <w:jc w:val="center"/>
              <w:rPr>
                <w:rFonts w:hint="eastAsia"/>
                <w:lang w:val="en-US" w:eastAsia="zh-CN"/>
              </w:rPr>
            </w:pPr>
            <w:r>
              <w:rPr>
                <w:rFonts w:hint="eastAsia"/>
                <w:lang w:val="en-US" w:eastAsia="zh-CN"/>
              </w:rPr>
              <w:t>55</w:t>
            </w:r>
          </w:p>
        </w:tc>
      </w:tr>
      <w:tr w14:paraId="5B7E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shd w:val="clear" w:color="auto" w:fill="auto"/>
            <w:vAlign w:val="center"/>
          </w:tcPr>
          <w:p w14:paraId="721A7A0E">
            <w:pPr>
              <w:pStyle w:val="26"/>
              <w:bidi w:val="0"/>
              <w:jc w:val="center"/>
              <w:rPr>
                <w:rFonts w:hint="eastAsia"/>
                <w:lang w:val="en-US" w:eastAsia="zh-CN"/>
              </w:rPr>
            </w:pPr>
            <w:r>
              <w:rPr>
                <w:rFonts w:hint="eastAsia"/>
                <w:lang w:val="en-US" w:eastAsia="zh-CN"/>
              </w:rPr>
              <w:t>N4</w:t>
            </w:r>
          </w:p>
        </w:tc>
        <w:tc>
          <w:tcPr>
            <w:tcW w:w="1203" w:type="pct"/>
            <w:shd w:val="clear" w:color="auto" w:fill="auto"/>
            <w:vAlign w:val="center"/>
          </w:tcPr>
          <w:p w14:paraId="6907D194">
            <w:pPr>
              <w:pStyle w:val="26"/>
              <w:bidi w:val="0"/>
              <w:jc w:val="center"/>
              <w:rPr>
                <w:rFonts w:hint="eastAsia"/>
                <w:lang w:val="en-US" w:eastAsia="zh-CN"/>
              </w:rPr>
            </w:pPr>
            <w:r>
              <w:rPr>
                <w:rFonts w:hint="eastAsia"/>
                <w:lang w:val="en-US" w:eastAsia="zh-CN"/>
              </w:rPr>
              <w:t>北厂界围墙上</w:t>
            </w:r>
          </w:p>
        </w:tc>
        <w:tc>
          <w:tcPr>
            <w:tcW w:w="754" w:type="pct"/>
            <w:vMerge w:val="continue"/>
            <w:vAlign w:val="center"/>
          </w:tcPr>
          <w:p w14:paraId="48E6B2C8">
            <w:pPr>
              <w:pStyle w:val="26"/>
              <w:bidi w:val="0"/>
              <w:jc w:val="center"/>
              <w:rPr>
                <w:rFonts w:hint="eastAsia"/>
                <w:lang w:val="en-US" w:eastAsia="zh-CN"/>
              </w:rPr>
            </w:pPr>
          </w:p>
        </w:tc>
        <w:tc>
          <w:tcPr>
            <w:tcW w:w="1184" w:type="pct"/>
            <w:shd w:val="clear" w:color="auto" w:fill="auto"/>
            <w:vAlign w:val="center"/>
          </w:tcPr>
          <w:p w14:paraId="6D71B634">
            <w:pPr>
              <w:pStyle w:val="26"/>
              <w:bidi w:val="0"/>
              <w:jc w:val="center"/>
              <w:rPr>
                <w:rFonts w:hint="eastAsia"/>
                <w:lang w:val="en-US" w:eastAsia="zh-CN"/>
              </w:rPr>
            </w:pPr>
            <w:r>
              <w:rPr>
                <w:rFonts w:hint="eastAsia"/>
                <w:lang w:val="en-US" w:eastAsia="zh-CN"/>
              </w:rPr>
              <w:t>22：16~22：26</w:t>
            </w:r>
          </w:p>
        </w:tc>
        <w:tc>
          <w:tcPr>
            <w:tcW w:w="635" w:type="pct"/>
            <w:vAlign w:val="center"/>
          </w:tcPr>
          <w:p w14:paraId="5313E460">
            <w:pPr>
              <w:pStyle w:val="26"/>
              <w:bidi w:val="0"/>
              <w:jc w:val="center"/>
              <w:rPr>
                <w:rFonts w:hint="eastAsia"/>
                <w:lang w:val="en-US" w:eastAsia="zh-CN"/>
              </w:rPr>
            </w:pPr>
            <w:r>
              <w:rPr>
                <w:rFonts w:hint="eastAsia"/>
                <w:lang w:val="en-US" w:eastAsia="zh-CN"/>
              </w:rPr>
              <w:t>52</w:t>
            </w:r>
          </w:p>
        </w:tc>
        <w:tc>
          <w:tcPr>
            <w:tcW w:w="632" w:type="pct"/>
            <w:vAlign w:val="center"/>
          </w:tcPr>
          <w:p w14:paraId="44D71D9A">
            <w:pPr>
              <w:pStyle w:val="26"/>
              <w:bidi w:val="0"/>
              <w:jc w:val="center"/>
              <w:rPr>
                <w:rFonts w:hint="eastAsia"/>
                <w:lang w:val="en-US" w:eastAsia="zh-CN"/>
              </w:rPr>
            </w:pPr>
            <w:r>
              <w:rPr>
                <w:rFonts w:hint="eastAsia"/>
                <w:lang w:val="en-US" w:eastAsia="zh-CN"/>
              </w:rPr>
              <w:t>55</w:t>
            </w:r>
          </w:p>
        </w:tc>
      </w:tr>
    </w:tbl>
    <w:p w14:paraId="756C49BD">
      <w:pPr>
        <w:rPr>
          <w:rFonts w:hint="eastAsia"/>
          <w:lang w:val="en-US" w:eastAsia="zh-CN"/>
        </w:rPr>
      </w:pPr>
    </w:p>
    <w:p w14:paraId="68796CC7">
      <w:pPr>
        <w:pStyle w:val="5"/>
        <w:bidi w:val="0"/>
        <w:rPr>
          <w:color w:val="auto"/>
          <w:lang w:val="en-US" w:eastAsia="zh-CN"/>
        </w:rPr>
      </w:pPr>
      <w:r>
        <w:rPr>
          <w:rFonts w:hint="eastAsia"/>
          <w:color w:val="auto"/>
          <w:lang w:val="en-US" w:eastAsia="zh-CN"/>
        </w:rPr>
        <w:t>声环境现状评价</w:t>
      </w:r>
    </w:p>
    <w:p w14:paraId="3DA4504B">
      <w:pPr>
        <w:rPr>
          <w:rFonts w:ascii="Times New Roman" w:hAnsi="Times New Roman"/>
          <w:color w:val="auto"/>
        </w:rPr>
      </w:pPr>
      <w:r>
        <w:rPr>
          <w:rFonts w:hint="eastAsia" w:ascii="Times New Roman" w:hAnsi="Times New Roman"/>
          <w:color w:val="auto"/>
        </w:rPr>
        <w:t>由上表可知，本项目厂界昼间及夜间声环境均可达到《声环境质量标准》（GB3096-2008）中的3类标准。</w:t>
      </w:r>
    </w:p>
    <w:p w14:paraId="667DE277">
      <w:pPr>
        <w:pStyle w:val="4"/>
        <w:bidi w:val="0"/>
        <w:rPr>
          <w:color w:val="auto"/>
          <w:lang w:val="en-US" w:eastAsia="zh-CN"/>
        </w:rPr>
      </w:pPr>
      <w:bookmarkStart w:id="250" w:name="_Toc13245"/>
      <w:bookmarkStart w:id="251" w:name="_Toc30321"/>
      <w:bookmarkStart w:id="252" w:name="_Toc13833"/>
      <w:r>
        <w:rPr>
          <w:rFonts w:hint="eastAsia"/>
          <w:color w:val="auto"/>
          <w:lang w:val="en-US" w:eastAsia="zh-CN"/>
        </w:rPr>
        <w:t>地下水环境质量现状监测与评价</w:t>
      </w:r>
      <w:bookmarkEnd w:id="250"/>
      <w:bookmarkEnd w:id="251"/>
      <w:bookmarkEnd w:id="252"/>
    </w:p>
    <w:p w14:paraId="5829D8D7">
      <w:pPr>
        <w:pStyle w:val="5"/>
        <w:bidi w:val="0"/>
        <w:rPr>
          <w:color w:val="auto"/>
          <w:lang w:val="en-US" w:eastAsia="zh-CN"/>
        </w:rPr>
      </w:pPr>
      <w:r>
        <w:rPr>
          <w:rFonts w:hint="eastAsia"/>
          <w:color w:val="auto"/>
          <w:lang w:val="en-US" w:eastAsia="zh-CN"/>
        </w:rPr>
        <w:t>地下水环境质量现状监测</w:t>
      </w:r>
    </w:p>
    <w:p w14:paraId="2B90A3C0">
      <w:pPr>
        <w:spacing w:line="500" w:lineRule="exact"/>
        <w:ind w:firstLine="560" w:firstLineChars="200"/>
        <w:rPr>
          <w:rFonts w:hint="default" w:ascii="Times New Roman" w:hAnsi="Times New Roman" w:eastAsia="仿宋_GB2312" w:cs="Times New Roman"/>
          <w:color w:val="auto"/>
          <w:sz w:val="28"/>
          <w:szCs w:val="22"/>
          <w:lang w:val="en-US" w:eastAsia="zh-CN"/>
        </w:rPr>
      </w:pPr>
      <w:r>
        <w:rPr>
          <w:rFonts w:ascii="Times New Roman" w:hAnsi="Times New Roman" w:eastAsia="仿宋_GB2312" w:cs="Times New Roman"/>
          <w:color w:val="auto"/>
          <w:sz w:val="28"/>
          <w:szCs w:val="22"/>
        </w:rPr>
        <w:t>（</w:t>
      </w:r>
      <w:r>
        <w:rPr>
          <w:rFonts w:hint="eastAsia" w:ascii="Times New Roman" w:hAnsi="Times New Roman" w:eastAsia="仿宋_GB2312" w:cs="Times New Roman"/>
          <w:color w:val="auto"/>
          <w:sz w:val="28"/>
          <w:szCs w:val="22"/>
          <w:lang w:val="en-US" w:eastAsia="zh-CN"/>
        </w:rPr>
        <w:t>1</w:t>
      </w:r>
      <w:r>
        <w:rPr>
          <w:rFonts w:ascii="Times New Roman" w:hAnsi="Times New Roman" w:eastAsia="仿宋_GB2312" w:cs="Times New Roman"/>
          <w:color w:val="auto"/>
          <w:sz w:val="28"/>
          <w:szCs w:val="22"/>
        </w:rPr>
        <w:t>）</w:t>
      </w:r>
      <w:r>
        <w:rPr>
          <w:rFonts w:hint="eastAsia" w:ascii="Times New Roman" w:hAnsi="Times New Roman" w:eastAsia="仿宋_GB2312" w:cs="Times New Roman"/>
          <w:color w:val="auto"/>
          <w:sz w:val="28"/>
          <w:szCs w:val="22"/>
          <w:lang w:val="en-US" w:eastAsia="zh-CN"/>
        </w:rPr>
        <w:t>数据来源</w:t>
      </w:r>
    </w:p>
    <w:p w14:paraId="617089B3">
      <w:pPr>
        <w:spacing w:line="500" w:lineRule="exact"/>
        <w:ind w:firstLine="560" w:firstLineChars="200"/>
        <w:rPr>
          <w:rFonts w:hint="default" w:ascii="Times New Roman" w:hAnsi="Times New Roman" w:eastAsia="仿宋_GB2312" w:cs="Times New Roman"/>
          <w:color w:val="auto"/>
          <w:sz w:val="28"/>
          <w:szCs w:val="22"/>
          <w:lang w:val="en-US" w:eastAsia="zh-CN"/>
        </w:rPr>
      </w:pPr>
      <w:r>
        <w:rPr>
          <w:rFonts w:hint="default" w:ascii="Times New Roman" w:hAnsi="Times New Roman" w:eastAsia="仿宋_GB2312" w:cs="Times New Roman"/>
          <w:color w:val="auto"/>
          <w:sz w:val="28"/>
          <w:szCs w:val="22"/>
          <w:lang w:val="en-US" w:eastAsia="zh-CN"/>
        </w:rPr>
        <w:t>地下水环境质量监测</w:t>
      </w:r>
      <w:r>
        <w:rPr>
          <w:rFonts w:hint="eastAsia" w:ascii="Times New Roman" w:hAnsi="Times New Roman" w:cs="Times New Roman"/>
          <w:color w:val="auto"/>
          <w:sz w:val="28"/>
          <w:szCs w:val="22"/>
          <w:lang w:val="en-US" w:eastAsia="zh-CN"/>
        </w:rPr>
        <w:t>引用</w:t>
      </w:r>
      <w:r>
        <w:rPr>
          <w:rFonts w:hint="default" w:ascii="Times New Roman" w:hAnsi="Times New Roman" w:eastAsia="仿宋_GB2312" w:cs="Times New Roman"/>
          <w:color w:val="auto"/>
          <w:sz w:val="28"/>
          <w:szCs w:val="22"/>
          <w:lang w:val="en-US" w:eastAsia="zh-CN"/>
        </w:rPr>
        <w:t>江苏国森检测技术有限公司</w:t>
      </w:r>
      <w:r>
        <w:rPr>
          <w:rFonts w:hint="eastAsia" w:ascii="Times New Roman" w:hAnsi="Times New Roman" w:cs="Times New Roman"/>
          <w:color w:val="auto"/>
          <w:sz w:val="28"/>
          <w:szCs w:val="22"/>
          <w:lang w:val="en-US" w:eastAsia="zh-CN"/>
        </w:rPr>
        <w:t>监测数据</w:t>
      </w:r>
      <w:r>
        <w:rPr>
          <w:rFonts w:hint="default" w:ascii="Times New Roman" w:hAnsi="Times New Roman" w:eastAsia="仿宋_GB2312" w:cs="Times New Roman"/>
          <w:color w:val="auto"/>
          <w:sz w:val="28"/>
          <w:szCs w:val="22"/>
          <w:lang w:val="en-US" w:eastAsia="zh-CN"/>
        </w:rPr>
        <w:t>，现场采样时间为 2023.10.26、2024.04.13-2024.04.20（监测期间现有项目正常满负荷生产），报告编号为 GSC23115455 I、Ⅱ；GSC24041513 Ⅱ。</w:t>
      </w:r>
    </w:p>
    <w:p w14:paraId="2D274FE2">
      <w:pPr>
        <w:rPr>
          <w:rFonts w:ascii="Times New Roman" w:hAnsi="Times New Roman"/>
          <w:color w:val="auto"/>
        </w:rPr>
      </w:pPr>
      <w:r>
        <w:rPr>
          <w:rFonts w:ascii="Times New Roman" w:hAnsi="Times New Roman"/>
          <w:color w:val="auto"/>
        </w:rPr>
        <w:t>（</w:t>
      </w:r>
      <w:r>
        <w:rPr>
          <w:rFonts w:hint="eastAsia"/>
          <w:color w:val="auto"/>
          <w:lang w:val="en-US" w:eastAsia="zh-CN"/>
        </w:rPr>
        <w:t>2</w:t>
      </w:r>
      <w:r>
        <w:rPr>
          <w:rFonts w:ascii="Times New Roman" w:hAnsi="Times New Roman"/>
          <w:color w:val="auto"/>
        </w:rPr>
        <w:t>）监测因子</w:t>
      </w:r>
    </w:p>
    <w:p w14:paraId="6FD7FCD1">
      <w:pPr>
        <w:rPr>
          <w:rFonts w:ascii="Times New Roman" w:hAnsi="Times New Roman"/>
          <w:color w:val="auto"/>
        </w:rPr>
      </w:pPr>
      <w:r>
        <w:rPr>
          <w:rFonts w:ascii="Times New Roman" w:hAnsi="Times New Roman"/>
          <w:color w:val="auto"/>
          <w:kern w:val="0"/>
          <w:szCs w:val="28"/>
        </w:rPr>
        <w:t>K</w:t>
      </w:r>
      <w:r>
        <w:rPr>
          <w:rFonts w:ascii="Times New Roman" w:hAnsi="Times New Roman"/>
          <w:color w:val="auto"/>
          <w:kern w:val="0"/>
          <w:szCs w:val="28"/>
          <w:vertAlign w:val="superscript"/>
        </w:rPr>
        <w:t>+</w:t>
      </w:r>
      <w:r>
        <w:rPr>
          <w:rFonts w:hint="eastAsia" w:ascii="Times New Roman" w:hAnsi="Times New Roman"/>
          <w:color w:val="auto"/>
          <w:kern w:val="0"/>
          <w:szCs w:val="28"/>
        </w:rPr>
        <w:t>、</w:t>
      </w:r>
      <w:r>
        <w:rPr>
          <w:rFonts w:ascii="Times New Roman" w:hAnsi="Times New Roman"/>
          <w:color w:val="auto"/>
          <w:kern w:val="0"/>
          <w:szCs w:val="28"/>
        </w:rPr>
        <w:t>Na</w:t>
      </w:r>
      <w:r>
        <w:rPr>
          <w:rFonts w:ascii="Times New Roman" w:hAnsi="Times New Roman"/>
          <w:color w:val="auto"/>
          <w:kern w:val="0"/>
          <w:szCs w:val="28"/>
          <w:vertAlign w:val="superscript"/>
        </w:rPr>
        <w:t>+</w:t>
      </w:r>
      <w:r>
        <w:rPr>
          <w:rFonts w:hint="eastAsia" w:ascii="Times New Roman" w:hAnsi="Times New Roman"/>
          <w:color w:val="auto"/>
          <w:kern w:val="0"/>
          <w:szCs w:val="28"/>
        </w:rPr>
        <w:t>、</w:t>
      </w:r>
      <w:r>
        <w:rPr>
          <w:rFonts w:ascii="Times New Roman" w:hAnsi="Times New Roman"/>
          <w:color w:val="auto"/>
          <w:kern w:val="0"/>
          <w:szCs w:val="28"/>
        </w:rPr>
        <w:t>Ca</w:t>
      </w:r>
      <w:r>
        <w:rPr>
          <w:rFonts w:ascii="Times New Roman" w:hAnsi="Times New Roman"/>
          <w:color w:val="auto"/>
          <w:kern w:val="0"/>
          <w:szCs w:val="28"/>
          <w:vertAlign w:val="superscript"/>
        </w:rPr>
        <w:t>2+</w:t>
      </w:r>
      <w:r>
        <w:rPr>
          <w:rFonts w:hint="eastAsia" w:ascii="Times New Roman" w:hAnsi="Times New Roman"/>
          <w:color w:val="auto"/>
          <w:kern w:val="0"/>
          <w:szCs w:val="28"/>
        </w:rPr>
        <w:t>、</w:t>
      </w:r>
      <w:r>
        <w:rPr>
          <w:rFonts w:ascii="Times New Roman" w:hAnsi="Times New Roman"/>
          <w:color w:val="auto"/>
          <w:kern w:val="0"/>
          <w:szCs w:val="28"/>
        </w:rPr>
        <w:t>Mg</w:t>
      </w:r>
      <w:r>
        <w:rPr>
          <w:rFonts w:ascii="Times New Roman" w:hAnsi="Times New Roman"/>
          <w:color w:val="auto"/>
          <w:kern w:val="0"/>
          <w:szCs w:val="28"/>
          <w:vertAlign w:val="superscript"/>
        </w:rPr>
        <w:t>2+</w:t>
      </w:r>
      <w:r>
        <w:rPr>
          <w:rFonts w:hint="eastAsia" w:ascii="Times New Roman" w:hAnsi="Times New Roman"/>
          <w:color w:val="auto"/>
          <w:kern w:val="0"/>
          <w:szCs w:val="28"/>
        </w:rPr>
        <w:t>、</w:t>
      </w:r>
      <w:r>
        <w:rPr>
          <w:rFonts w:ascii="Times New Roman" w:hAnsi="Times New Roman"/>
          <w:color w:val="auto"/>
          <w:kern w:val="0"/>
          <w:szCs w:val="28"/>
        </w:rPr>
        <w:t>CO</w:t>
      </w:r>
      <w:r>
        <w:rPr>
          <w:rFonts w:ascii="Times New Roman" w:hAnsi="Times New Roman"/>
          <w:color w:val="auto"/>
          <w:kern w:val="0"/>
          <w:szCs w:val="28"/>
          <w:vertAlign w:val="subscript"/>
        </w:rPr>
        <w:t>3</w:t>
      </w:r>
      <w:r>
        <w:rPr>
          <w:rFonts w:ascii="Times New Roman" w:hAnsi="Times New Roman"/>
          <w:color w:val="auto"/>
          <w:kern w:val="0"/>
          <w:szCs w:val="28"/>
          <w:vertAlign w:val="superscript"/>
        </w:rPr>
        <w:t>2-</w:t>
      </w:r>
      <w:r>
        <w:rPr>
          <w:rFonts w:hint="eastAsia" w:ascii="Times New Roman" w:hAnsi="Times New Roman"/>
          <w:color w:val="auto"/>
          <w:kern w:val="0"/>
          <w:szCs w:val="28"/>
        </w:rPr>
        <w:t>、</w:t>
      </w:r>
      <w:r>
        <w:rPr>
          <w:rFonts w:ascii="Times New Roman" w:hAnsi="Times New Roman"/>
          <w:color w:val="auto"/>
          <w:kern w:val="0"/>
          <w:szCs w:val="28"/>
        </w:rPr>
        <w:t>HCO</w:t>
      </w:r>
      <w:r>
        <w:rPr>
          <w:rFonts w:ascii="Times New Roman" w:hAnsi="Times New Roman"/>
          <w:color w:val="auto"/>
          <w:kern w:val="0"/>
          <w:szCs w:val="28"/>
          <w:vertAlign w:val="subscript"/>
        </w:rPr>
        <w:t>3</w:t>
      </w:r>
      <w:r>
        <w:rPr>
          <w:rFonts w:ascii="Times New Roman" w:hAnsi="Times New Roman"/>
          <w:color w:val="auto"/>
          <w:kern w:val="0"/>
          <w:szCs w:val="28"/>
          <w:vertAlign w:val="superscript"/>
        </w:rPr>
        <w:t>-</w:t>
      </w:r>
      <w:r>
        <w:rPr>
          <w:rFonts w:hint="eastAsia" w:ascii="Times New Roman" w:hAnsi="Times New Roman"/>
          <w:color w:val="auto"/>
          <w:kern w:val="0"/>
          <w:szCs w:val="28"/>
        </w:rPr>
        <w:t>、</w:t>
      </w:r>
      <w:r>
        <w:rPr>
          <w:rFonts w:ascii="Times New Roman" w:hAnsi="Times New Roman"/>
          <w:color w:val="auto"/>
          <w:kern w:val="0"/>
          <w:szCs w:val="28"/>
        </w:rPr>
        <w:t>Cl</w:t>
      </w:r>
      <w:r>
        <w:rPr>
          <w:rFonts w:ascii="Times New Roman" w:hAnsi="Times New Roman"/>
          <w:color w:val="auto"/>
          <w:kern w:val="0"/>
          <w:szCs w:val="28"/>
          <w:vertAlign w:val="superscript"/>
        </w:rPr>
        <w:t>-</w:t>
      </w:r>
      <w:r>
        <w:rPr>
          <w:rFonts w:hint="eastAsia" w:ascii="Times New Roman" w:hAnsi="Times New Roman"/>
          <w:color w:val="auto"/>
          <w:kern w:val="0"/>
          <w:szCs w:val="28"/>
        </w:rPr>
        <w:t>、</w:t>
      </w:r>
      <w:r>
        <w:rPr>
          <w:rFonts w:ascii="Times New Roman" w:hAnsi="Times New Roman"/>
          <w:color w:val="auto"/>
          <w:kern w:val="0"/>
          <w:szCs w:val="28"/>
        </w:rPr>
        <w:t>SO</w:t>
      </w:r>
      <w:r>
        <w:rPr>
          <w:rFonts w:ascii="Times New Roman" w:hAnsi="Times New Roman"/>
          <w:color w:val="auto"/>
          <w:kern w:val="0"/>
          <w:szCs w:val="28"/>
          <w:vertAlign w:val="subscript"/>
        </w:rPr>
        <w:t>4</w:t>
      </w:r>
      <w:r>
        <w:rPr>
          <w:rFonts w:ascii="Times New Roman" w:hAnsi="Times New Roman"/>
          <w:color w:val="auto"/>
          <w:kern w:val="0"/>
          <w:szCs w:val="28"/>
          <w:vertAlign w:val="superscript"/>
        </w:rPr>
        <w:t>2-</w:t>
      </w:r>
      <w:r>
        <w:rPr>
          <w:rFonts w:hint="eastAsia" w:ascii="Times New Roman" w:hAnsi="Times New Roman"/>
          <w:color w:val="auto"/>
          <w:kern w:val="0"/>
          <w:szCs w:val="28"/>
        </w:rPr>
        <w:t>、</w:t>
      </w:r>
      <w:r>
        <w:rPr>
          <w:rFonts w:hint="eastAsia" w:ascii="Times New Roman" w:hAnsi="Times New Roman"/>
          <w:color w:val="auto"/>
        </w:rPr>
        <w:t>基本水质因子：pH 、总硬度、溶解性总固体、耗氧量、氨氮、硫酸盐、氯化物、亚硝酸盐、硝酸盐、氰化物、氟化物、挥发性酚类、阴离子表面活性剂、铁、锰、铜、锌、铝、汞、镉、铬（六价）、铅、砷、总大肠杆菌群、菌落总数、水位。</w:t>
      </w:r>
    </w:p>
    <w:p w14:paraId="453CB647">
      <w:pPr>
        <w:rPr>
          <w:rFonts w:ascii="Times New Roman" w:hAnsi="Times New Roman"/>
          <w:color w:val="auto"/>
        </w:rPr>
      </w:pPr>
      <w:r>
        <w:rPr>
          <w:rFonts w:ascii="Times New Roman" w:hAnsi="Times New Roman"/>
          <w:color w:val="auto"/>
        </w:rPr>
        <w:t>（3）监测点布设</w:t>
      </w:r>
    </w:p>
    <w:p w14:paraId="06564D43">
      <w:pPr>
        <w:numPr>
          <w:ilvl w:val="0"/>
          <w:numId w:val="0"/>
        </w:numPr>
        <w:spacing w:line="500" w:lineRule="exact"/>
        <w:ind w:firstLine="560" w:firstLineChars="200"/>
        <w:rPr>
          <w:rFonts w:hint="eastAsia" w:ascii="Times New Roman" w:hAnsi="Times New Roman" w:eastAsia="仿宋_GB2312" w:cs="Times New Roman"/>
          <w:color w:val="auto"/>
          <w:kern w:val="2"/>
          <w:sz w:val="28"/>
          <w:szCs w:val="22"/>
          <w:lang w:val="en-US" w:eastAsia="zh-CN" w:bidi="ar-SA"/>
        </w:rPr>
      </w:pPr>
      <w:r>
        <w:rPr>
          <w:rFonts w:hint="eastAsia" w:ascii="Times New Roman" w:hAnsi="Times New Roman" w:eastAsia="仿宋_GB2312" w:cs="Times New Roman"/>
          <w:color w:val="auto"/>
          <w:kern w:val="2"/>
          <w:sz w:val="28"/>
          <w:szCs w:val="22"/>
          <w:lang w:val="en-US" w:eastAsia="zh-CN" w:bidi="ar-SA"/>
        </w:rPr>
        <w:t>在项目周边设置 3个水质水位监测点位、8个水位监测点，监测布点说明见下表。</w:t>
      </w:r>
    </w:p>
    <w:p w14:paraId="3ACD9FAB">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12</w:t>
      </w:r>
      <w:r>
        <w:rPr>
          <w:color w:val="auto"/>
          <w:lang w:val="en-US" w:eastAsia="zh-CN"/>
        </w:rPr>
        <w:fldChar w:fldCharType="end"/>
      </w:r>
      <w:r>
        <w:rPr>
          <w:color w:val="auto"/>
          <w:lang w:val="en-US" w:eastAsia="zh-CN"/>
        </w:rPr>
        <w:t>地下水环境现状监测点位</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447"/>
        <w:gridCol w:w="5228"/>
      </w:tblGrid>
      <w:tr w14:paraId="0C29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95" w:type="pct"/>
            <w:noWrap w:val="0"/>
            <w:vAlign w:val="center"/>
          </w:tcPr>
          <w:p w14:paraId="7865BB6C">
            <w:pPr>
              <w:pStyle w:val="26"/>
              <w:bidi w:val="0"/>
              <w:jc w:val="center"/>
              <w:rPr>
                <w:rFonts w:hint="default"/>
                <w:lang w:val="en-US" w:eastAsia="zh-CN"/>
              </w:rPr>
            </w:pPr>
            <w:r>
              <w:rPr>
                <w:rFonts w:hint="eastAsia"/>
                <w:lang w:val="en-US" w:eastAsia="zh-CN"/>
              </w:rPr>
              <w:t>序号</w:t>
            </w:r>
          </w:p>
        </w:tc>
        <w:tc>
          <w:tcPr>
            <w:tcW w:w="1436" w:type="pct"/>
            <w:noWrap w:val="0"/>
            <w:vAlign w:val="center"/>
          </w:tcPr>
          <w:p w14:paraId="7281C405">
            <w:pPr>
              <w:pStyle w:val="26"/>
              <w:bidi w:val="0"/>
              <w:jc w:val="center"/>
              <w:rPr>
                <w:rFonts w:hint="eastAsia"/>
                <w:lang w:val="en-US" w:eastAsia="zh-CN"/>
              </w:rPr>
            </w:pPr>
            <w:r>
              <w:rPr>
                <w:rFonts w:hint="eastAsia"/>
                <w:lang w:val="en-US" w:eastAsia="zh-CN"/>
              </w:rPr>
              <w:t>监测点位</w:t>
            </w:r>
          </w:p>
        </w:tc>
        <w:tc>
          <w:tcPr>
            <w:tcW w:w="3068" w:type="pct"/>
            <w:noWrap w:val="0"/>
            <w:vAlign w:val="center"/>
          </w:tcPr>
          <w:p w14:paraId="0335757E">
            <w:pPr>
              <w:pStyle w:val="26"/>
              <w:bidi w:val="0"/>
              <w:jc w:val="center"/>
              <w:rPr>
                <w:rFonts w:hint="default"/>
                <w:lang w:val="en-US" w:eastAsia="zh-CN"/>
              </w:rPr>
            </w:pPr>
            <w:r>
              <w:rPr>
                <w:rFonts w:hint="eastAsia"/>
                <w:lang w:val="en-US" w:eastAsia="zh-CN"/>
              </w:rPr>
              <w:t>监测因子</w:t>
            </w:r>
          </w:p>
        </w:tc>
      </w:tr>
      <w:tr w14:paraId="48D4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95" w:type="pct"/>
            <w:noWrap w:val="0"/>
            <w:vAlign w:val="center"/>
          </w:tcPr>
          <w:p w14:paraId="02C0419C">
            <w:pPr>
              <w:pStyle w:val="26"/>
              <w:bidi w:val="0"/>
              <w:jc w:val="center"/>
              <w:rPr>
                <w:rFonts w:hint="default"/>
                <w:lang w:val="en-US" w:eastAsia="zh-CN"/>
              </w:rPr>
            </w:pPr>
            <w:r>
              <w:rPr>
                <w:rFonts w:hint="eastAsia"/>
                <w:lang w:val="en-US" w:eastAsia="zh-CN"/>
              </w:rPr>
              <w:t>W1</w:t>
            </w:r>
          </w:p>
        </w:tc>
        <w:tc>
          <w:tcPr>
            <w:tcW w:w="1436" w:type="pct"/>
            <w:noWrap w:val="0"/>
            <w:vAlign w:val="center"/>
          </w:tcPr>
          <w:p w14:paraId="6482C727">
            <w:pPr>
              <w:pStyle w:val="26"/>
              <w:bidi w:val="0"/>
              <w:jc w:val="center"/>
              <w:rPr>
                <w:rFonts w:hint="eastAsia"/>
                <w:lang w:val="en-US" w:eastAsia="zh-CN"/>
              </w:rPr>
            </w:pPr>
            <w:r>
              <w:rPr>
                <w:rFonts w:hint="eastAsia"/>
                <w:lang w:val="en-US" w:eastAsia="zh-CN"/>
              </w:rPr>
              <w:t>废水处理区域周边</w:t>
            </w:r>
          </w:p>
        </w:tc>
        <w:tc>
          <w:tcPr>
            <w:tcW w:w="3068" w:type="pct"/>
            <w:vMerge w:val="restart"/>
            <w:noWrap w:val="0"/>
            <w:vAlign w:val="center"/>
          </w:tcPr>
          <w:p w14:paraId="7D9E0BCF">
            <w:pPr>
              <w:pStyle w:val="26"/>
              <w:bidi w:val="0"/>
              <w:jc w:val="center"/>
              <w:rPr>
                <w:rFonts w:hint="eastAsia"/>
                <w:lang w:val="en-US" w:eastAsia="zh-CN"/>
              </w:rPr>
            </w:pPr>
            <w:r>
              <w:rPr>
                <w:rFonts w:hint="eastAsia"/>
                <w:lang w:val="en-US" w:eastAsia="zh-CN"/>
              </w:rPr>
              <w:t>八大离子：K+ 、Na+ 、Ca2+ 、Mg2+ 、CO32- 、HCO3- 、Cl- 、SO42-</w:t>
            </w:r>
          </w:p>
          <w:p w14:paraId="31AB5E11">
            <w:pPr>
              <w:pStyle w:val="26"/>
              <w:bidi w:val="0"/>
              <w:jc w:val="center"/>
              <w:rPr>
                <w:rFonts w:hint="eastAsia"/>
                <w:lang w:val="en-US" w:eastAsia="zh-CN"/>
              </w:rPr>
            </w:pPr>
            <w:r>
              <w:rPr>
                <w:rFonts w:hint="eastAsia"/>
                <w:lang w:val="en-US" w:eastAsia="zh-CN"/>
              </w:rPr>
              <w:t>基本水质因子：pH 、总硬度、溶解性总固体、耗氧量、氨氮、硫酸盐、氯化物、亚硝酸盐、硝酸盐、氰化物、氟化物、挥发性酚类、阴离子表面活性剂、铁、锰、铜、锌、铝、汞、镉、铬（六价）、铅、砷、总大肠杆菌群、菌落总数。</w:t>
            </w:r>
          </w:p>
          <w:p w14:paraId="26A0D643">
            <w:pPr>
              <w:pStyle w:val="26"/>
              <w:bidi w:val="0"/>
              <w:jc w:val="center"/>
              <w:rPr>
                <w:rFonts w:hint="eastAsia"/>
                <w:lang w:val="en-US" w:eastAsia="zh-CN"/>
              </w:rPr>
            </w:pPr>
            <w:r>
              <w:rPr>
                <w:rFonts w:hint="eastAsia"/>
                <w:lang w:val="en-US" w:eastAsia="zh-CN"/>
              </w:rPr>
              <w:t>同时监测地下水水位</w:t>
            </w:r>
          </w:p>
        </w:tc>
      </w:tr>
      <w:tr w14:paraId="1DE0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95" w:type="pct"/>
            <w:noWrap w:val="0"/>
            <w:vAlign w:val="center"/>
          </w:tcPr>
          <w:p w14:paraId="00D91DDA">
            <w:pPr>
              <w:pStyle w:val="26"/>
              <w:bidi w:val="0"/>
              <w:jc w:val="center"/>
              <w:rPr>
                <w:rFonts w:hint="default"/>
                <w:lang w:val="en-US" w:eastAsia="zh-CN"/>
              </w:rPr>
            </w:pPr>
            <w:r>
              <w:rPr>
                <w:rFonts w:hint="eastAsia"/>
                <w:lang w:val="en-US" w:eastAsia="zh-CN"/>
              </w:rPr>
              <w:t>W2</w:t>
            </w:r>
          </w:p>
        </w:tc>
        <w:tc>
          <w:tcPr>
            <w:tcW w:w="1436" w:type="pct"/>
            <w:noWrap w:val="0"/>
            <w:vAlign w:val="center"/>
          </w:tcPr>
          <w:p w14:paraId="06082AD5">
            <w:pPr>
              <w:pStyle w:val="26"/>
              <w:bidi w:val="0"/>
              <w:jc w:val="center"/>
              <w:rPr>
                <w:rFonts w:hint="default"/>
                <w:lang w:val="en-US" w:eastAsia="zh-CN"/>
              </w:rPr>
            </w:pPr>
            <w:r>
              <w:rPr>
                <w:rFonts w:hint="eastAsia"/>
                <w:lang w:val="en-US" w:eastAsia="zh-CN"/>
              </w:rPr>
              <w:t>厂区东南侧</w:t>
            </w:r>
          </w:p>
        </w:tc>
        <w:tc>
          <w:tcPr>
            <w:tcW w:w="3068" w:type="pct"/>
            <w:vMerge w:val="continue"/>
            <w:noWrap w:val="0"/>
            <w:vAlign w:val="center"/>
          </w:tcPr>
          <w:p w14:paraId="2FEA2B7D">
            <w:pPr>
              <w:pStyle w:val="26"/>
              <w:bidi w:val="0"/>
              <w:jc w:val="center"/>
              <w:rPr>
                <w:rFonts w:hint="eastAsia"/>
                <w:lang w:val="en-US" w:eastAsia="zh-CN"/>
              </w:rPr>
            </w:pPr>
          </w:p>
        </w:tc>
      </w:tr>
      <w:tr w14:paraId="10F4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95" w:type="pct"/>
            <w:noWrap w:val="0"/>
            <w:vAlign w:val="center"/>
          </w:tcPr>
          <w:p w14:paraId="488C5069">
            <w:pPr>
              <w:pStyle w:val="26"/>
              <w:bidi w:val="0"/>
              <w:jc w:val="center"/>
              <w:rPr>
                <w:rFonts w:hint="default"/>
                <w:lang w:val="en-US" w:eastAsia="zh-CN"/>
              </w:rPr>
            </w:pPr>
            <w:r>
              <w:rPr>
                <w:rFonts w:hint="eastAsia"/>
                <w:lang w:val="en-US" w:eastAsia="zh-CN"/>
              </w:rPr>
              <w:t>W3</w:t>
            </w:r>
          </w:p>
        </w:tc>
        <w:tc>
          <w:tcPr>
            <w:tcW w:w="1436" w:type="pct"/>
            <w:noWrap w:val="0"/>
            <w:vAlign w:val="center"/>
          </w:tcPr>
          <w:p w14:paraId="5C030EA1">
            <w:pPr>
              <w:pStyle w:val="26"/>
              <w:bidi w:val="0"/>
              <w:jc w:val="center"/>
              <w:rPr>
                <w:rFonts w:hint="default"/>
                <w:lang w:val="en-US" w:eastAsia="zh-CN"/>
              </w:rPr>
            </w:pPr>
            <w:r>
              <w:rPr>
                <w:rFonts w:hint="eastAsia"/>
                <w:lang w:val="en-US" w:eastAsia="zh-CN"/>
              </w:rPr>
              <w:t>危化品暂存区附近</w:t>
            </w:r>
          </w:p>
        </w:tc>
        <w:tc>
          <w:tcPr>
            <w:tcW w:w="3068" w:type="pct"/>
            <w:vMerge w:val="continue"/>
            <w:noWrap w:val="0"/>
            <w:vAlign w:val="center"/>
          </w:tcPr>
          <w:p w14:paraId="32438616">
            <w:pPr>
              <w:pStyle w:val="26"/>
              <w:bidi w:val="0"/>
              <w:jc w:val="center"/>
              <w:rPr>
                <w:rFonts w:hint="eastAsia"/>
                <w:lang w:val="en-US" w:eastAsia="zh-CN"/>
              </w:rPr>
            </w:pPr>
          </w:p>
        </w:tc>
      </w:tr>
      <w:tr w14:paraId="6C8C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95" w:type="pct"/>
            <w:noWrap w:val="0"/>
            <w:vAlign w:val="center"/>
          </w:tcPr>
          <w:p w14:paraId="5A469376">
            <w:pPr>
              <w:pStyle w:val="26"/>
              <w:bidi w:val="0"/>
              <w:jc w:val="center"/>
              <w:rPr>
                <w:rFonts w:hint="default"/>
                <w:lang w:val="en-US" w:eastAsia="zh-CN"/>
              </w:rPr>
            </w:pPr>
            <w:r>
              <w:rPr>
                <w:rFonts w:hint="eastAsia"/>
                <w:lang w:val="en-US" w:eastAsia="zh-CN"/>
              </w:rPr>
              <w:t>W4</w:t>
            </w:r>
          </w:p>
        </w:tc>
        <w:tc>
          <w:tcPr>
            <w:tcW w:w="1436" w:type="pct"/>
            <w:noWrap w:val="0"/>
            <w:vAlign w:val="center"/>
          </w:tcPr>
          <w:p w14:paraId="02612F80">
            <w:pPr>
              <w:pStyle w:val="26"/>
              <w:bidi w:val="0"/>
              <w:jc w:val="center"/>
              <w:rPr>
                <w:rFonts w:hint="default"/>
                <w:lang w:val="en-US" w:eastAsia="zh-CN"/>
              </w:rPr>
            </w:pPr>
            <w:r>
              <w:rPr>
                <w:rFonts w:hint="eastAsia"/>
                <w:lang w:val="en-US" w:eastAsia="zh-CN"/>
              </w:rPr>
              <w:t>项目地东北侧</w:t>
            </w:r>
          </w:p>
        </w:tc>
        <w:tc>
          <w:tcPr>
            <w:tcW w:w="3068" w:type="pct"/>
            <w:vMerge w:val="continue"/>
            <w:noWrap w:val="0"/>
            <w:vAlign w:val="center"/>
          </w:tcPr>
          <w:p w14:paraId="47920470">
            <w:pPr>
              <w:pStyle w:val="26"/>
              <w:bidi w:val="0"/>
              <w:jc w:val="center"/>
              <w:rPr>
                <w:rFonts w:hint="eastAsia"/>
                <w:lang w:val="en-US" w:eastAsia="zh-CN"/>
              </w:rPr>
            </w:pPr>
          </w:p>
        </w:tc>
      </w:tr>
      <w:tr w14:paraId="1FF4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95" w:type="pct"/>
            <w:noWrap w:val="0"/>
            <w:vAlign w:val="center"/>
          </w:tcPr>
          <w:p w14:paraId="6435BAB2">
            <w:pPr>
              <w:pStyle w:val="26"/>
              <w:bidi w:val="0"/>
              <w:jc w:val="center"/>
              <w:rPr>
                <w:rFonts w:hint="default"/>
                <w:lang w:val="en-US" w:eastAsia="zh-CN"/>
              </w:rPr>
            </w:pPr>
            <w:r>
              <w:rPr>
                <w:rFonts w:hint="eastAsia"/>
                <w:lang w:val="en-US" w:eastAsia="zh-CN"/>
              </w:rPr>
              <w:t>W5</w:t>
            </w:r>
          </w:p>
        </w:tc>
        <w:tc>
          <w:tcPr>
            <w:tcW w:w="1436" w:type="pct"/>
            <w:shd w:val="clear" w:color="auto" w:fill="auto"/>
            <w:noWrap w:val="0"/>
            <w:vAlign w:val="center"/>
          </w:tcPr>
          <w:p w14:paraId="2F68AE7B">
            <w:pPr>
              <w:pStyle w:val="26"/>
              <w:bidi w:val="0"/>
              <w:jc w:val="center"/>
              <w:rPr>
                <w:rFonts w:hint="eastAsia"/>
                <w:lang w:val="en-US" w:eastAsia="zh-CN"/>
              </w:rPr>
            </w:pPr>
            <w:r>
              <w:rPr>
                <w:rFonts w:hint="eastAsia"/>
                <w:lang w:val="en-US" w:eastAsia="zh-CN"/>
              </w:rPr>
              <w:t>项目东侧空地</w:t>
            </w:r>
          </w:p>
        </w:tc>
        <w:tc>
          <w:tcPr>
            <w:tcW w:w="3068" w:type="pct"/>
            <w:vMerge w:val="restart"/>
            <w:noWrap w:val="0"/>
            <w:vAlign w:val="center"/>
          </w:tcPr>
          <w:p w14:paraId="58962681">
            <w:pPr>
              <w:pStyle w:val="26"/>
              <w:bidi w:val="0"/>
              <w:jc w:val="center"/>
              <w:rPr>
                <w:rFonts w:hint="default"/>
                <w:lang w:val="en-US" w:eastAsia="zh-CN"/>
              </w:rPr>
            </w:pPr>
            <w:r>
              <w:rPr>
                <w:rFonts w:hint="eastAsia"/>
                <w:lang w:val="en-US" w:eastAsia="zh-CN"/>
              </w:rPr>
              <w:t>地下水水位</w:t>
            </w:r>
          </w:p>
        </w:tc>
      </w:tr>
      <w:tr w14:paraId="70C5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95" w:type="pct"/>
            <w:noWrap w:val="0"/>
            <w:vAlign w:val="center"/>
          </w:tcPr>
          <w:p w14:paraId="3FAEC396">
            <w:pPr>
              <w:pStyle w:val="26"/>
              <w:bidi w:val="0"/>
              <w:jc w:val="center"/>
              <w:rPr>
                <w:rFonts w:hint="default"/>
                <w:lang w:val="en-US" w:eastAsia="zh-CN"/>
              </w:rPr>
            </w:pPr>
            <w:r>
              <w:rPr>
                <w:rFonts w:hint="eastAsia"/>
                <w:lang w:val="en-US" w:eastAsia="zh-CN"/>
              </w:rPr>
              <w:t>W6</w:t>
            </w:r>
          </w:p>
        </w:tc>
        <w:tc>
          <w:tcPr>
            <w:tcW w:w="1436" w:type="pct"/>
            <w:shd w:val="clear" w:color="auto" w:fill="auto"/>
            <w:noWrap w:val="0"/>
            <w:vAlign w:val="center"/>
          </w:tcPr>
          <w:p w14:paraId="40AD422E">
            <w:pPr>
              <w:pStyle w:val="26"/>
              <w:bidi w:val="0"/>
              <w:jc w:val="center"/>
              <w:rPr>
                <w:rFonts w:hint="default"/>
                <w:lang w:val="en-US" w:eastAsia="zh-CN"/>
              </w:rPr>
            </w:pPr>
            <w:r>
              <w:rPr>
                <w:rFonts w:hint="eastAsia"/>
                <w:lang w:val="en-US" w:eastAsia="zh-CN"/>
              </w:rPr>
              <w:t>项目南侧空地</w:t>
            </w:r>
          </w:p>
        </w:tc>
        <w:tc>
          <w:tcPr>
            <w:tcW w:w="3068" w:type="pct"/>
            <w:vMerge w:val="continue"/>
            <w:noWrap w:val="0"/>
            <w:vAlign w:val="center"/>
          </w:tcPr>
          <w:p w14:paraId="3E4DBD43">
            <w:pPr>
              <w:pStyle w:val="26"/>
              <w:bidi w:val="0"/>
              <w:jc w:val="center"/>
              <w:rPr>
                <w:rFonts w:hint="eastAsia"/>
                <w:lang w:val="en-US" w:eastAsia="zh-CN"/>
              </w:rPr>
            </w:pPr>
          </w:p>
        </w:tc>
      </w:tr>
      <w:tr w14:paraId="7F81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95" w:type="pct"/>
            <w:noWrap w:val="0"/>
            <w:vAlign w:val="center"/>
          </w:tcPr>
          <w:p w14:paraId="33045E84">
            <w:pPr>
              <w:pStyle w:val="26"/>
              <w:bidi w:val="0"/>
              <w:jc w:val="center"/>
              <w:rPr>
                <w:rFonts w:hint="default"/>
                <w:lang w:val="en-US" w:eastAsia="zh-CN"/>
              </w:rPr>
            </w:pPr>
            <w:r>
              <w:rPr>
                <w:rFonts w:hint="eastAsia"/>
                <w:lang w:val="en-US" w:eastAsia="zh-CN"/>
              </w:rPr>
              <w:t>W7</w:t>
            </w:r>
          </w:p>
        </w:tc>
        <w:tc>
          <w:tcPr>
            <w:tcW w:w="1436" w:type="pct"/>
            <w:shd w:val="clear" w:color="auto" w:fill="auto"/>
            <w:noWrap w:val="0"/>
            <w:vAlign w:val="center"/>
          </w:tcPr>
          <w:p w14:paraId="5210DBB1">
            <w:pPr>
              <w:pStyle w:val="26"/>
              <w:bidi w:val="0"/>
              <w:jc w:val="center"/>
              <w:rPr>
                <w:rFonts w:hint="default"/>
                <w:lang w:val="en-US" w:eastAsia="zh-CN"/>
              </w:rPr>
            </w:pPr>
            <w:r>
              <w:rPr>
                <w:rFonts w:hint="eastAsia"/>
                <w:lang w:val="en-US" w:eastAsia="zh-CN"/>
              </w:rPr>
              <w:t>项目西侧空地</w:t>
            </w:r>
          </w:p>
        </w:tc>
        <w:tc>
          <w:tcPr>
            <w:tcW w:w="3068" w:type="pct"/>
            <w:vMerge w:val="continue"/>
            <w:noWrap w:val="0"/>
            <w:vAlign w:val="center"/>
          </w:tcPr>
          <w:p w14:paraId="547DEA8F">
            <w:pPr>
              <w:pStyle w:val="26"/>
              <w:bidi w:val="0"/>
              <w:jc w:val="center"/>
              <w:rPr>
                <w:lang w:val="en-US" w:eastAsia="zh-CN"/>
              </w:rPr>
            </w:pPr>
          </w:p>
        </w:tc>
      </w:tr>
      <w:tr w14:paraId="2D44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95" w:type="pct"/>
            <w:noWrap w:val="0"/>
            <w:vAlign w:val="center"/>
          </w:tcPr>
          <w:p w14:paraId="09514E5F">
            <w:pPr>
              <w:pStyle w:val="26"/>
              <w:bidi w:val="0"/>
              <w:jc w:val="center"/>
              <w:rPr>
                <w:rFonts w:hint="default"/>
                <w:lang w:val="en-US" w:eastAsia="zh-CN"/>
              </w:rPr>
            </w:pPr>
            <w:r>
              <w:rPr>
                <w:rFonts w:hint="eastAsia"/>
                <w:lang w:val="en-US" w:eastAsia="zh-CN"/>
              </w:rPr>
              <w:t>W8</w:t>
            </w:r>
          </w:p>
        </w:tc>
        <w:tc>
          <w:tcPr>
            <w:tcW w:w="1436" w:type="pct"/>
            <w:shd w:val="clear" w:color="auto" w:fill="auto"/>
            <w:noWrap w:val="0"/>
            <w:vAlign w:val="center"/>
          </w:tcPr>
          <w:p w14:paraId="4A6277BE">
            <w:pPr>
              <w:pStyle w:val="26"/>
              <w:bidi w:val="0"/>
              <w:jc w:val="center"/>
              <w:rPr>
                <w:rFonts w:hint="default"/>
                <w:lang w:val="en-US" w:eastAsia="zh-CN"/>
              </w:rPr>
            </w:pPr>
            <w:r>
              <w:rPr>
                <w:rFonts w:hint="eastAsia"/>
                <w:lang w:val="en-US" w:eastAsia="zh-CN"/>
              </w:rPr>
              <w:t>项目北侧空地</w:t>
            </w:r>
          </w:p>
        </w:tc>
        <w:tc>
          <w:tcPr>
            <w:tcW w:w="3068" w:type="pct"/>
            <w:vMerge w:val="continue"/>
            <w:noWrap w:val="0"/>
            <w:vAlign w:val="center"/>
          </w:tcPr>
          <w:p w14:paraId="171F2494">
            <w:pPr>
              <w:pStyle w:val="26"/>
              <w:bidi w:val="0"/>
              <w:jc w:val="center"/>
              <w:rPr>
                <w:lang w:val="en-US" w:eastAsia="zh-CN"/>
              </w:rPr>
            </w:pPr>
          </w:p>
        </w:tc>
      </w:tr>
    </w:tbl>
    <w:p w14:paraId="5CA655CB">
      <w:pPr>
        <w:rPr>
          <w:rFonts w:hint="eastAsia" w:ascii="Times New Roman" w:hAnsi="Times New Roman"/>
          <w:color w:val="auto"/>
        </w:rPr>
      </w:pPr>
      <w:r>
        <w:rPr>
          <w:rFonts w:hint="eastAsia" w:ascii="Times New Roman" w:hAnsi="Times New Roman"/>
          <w:color w:val="auto"/>
        </w:rPr>
        <w:t>（3）监测数据的代表性和有效性</w:t>
      </w:r>
    </w:p>
    <w:p w14:paraId="2A280555">
      <w:pPr>
        <w:rPr>
          <w:rFonts w:hint="eastAsia" w:ascii="Times New Roman" w:hAnsi="Times New Roman"/>
          <w:color w:val="auto"/>
        </w:rPr>
      </w:pPr>
      <w:r>
        <w:rPr>
          <w:rFonts w:hint="eastAsia" w:ascii="Times New Roman" w:hAnsi="Times New Roman"/>
          <w:color w:val="auto"/>
        </w:rPr>
        <w:t>根据《环境影响评价技术导则 地下水环境》（HJ610-2016），本项目地下水评价工作等级为三级，根据导则要求，地下水水位监测点数宜大于相应评价级别地下水水质监测点数2倍；三级评价项目潜水含水层水质监测点应不少于3个，可能受建设项目影响且具有饮用水开发利用价值的含水层1～2个。原则上建设项目场地上游及下游影响区的地下水水质监测点各不得少于1个。本次共设置3个地下水水质监测点，8个地下水位监测点。监测期间现有项目正常满负荷生产。</w:t>
      </w:r>
    </w:p>
    <w:p w14:paraId="0BAED7A6">
      <w:pPr>
        <w:rPr>
          <w:rFonts w:hint="eastAsia" w:ascii="Times New Roman" w:hAnsi="Times New Roman"/>
          <w:color w:val="auto"/>
        </w:rPr>
      </w:pPr>
      <w:r>
        <w:rPr>
          <w:rFonts w:hint="eastAsia" w:ascii="Times New Roman" w:hAnsi="Times New Roman"/>
          <w:color w:val="auto"/>
        </w:rPr>
        <w:t>从监测点位数量、位置、监测时间、检测因子分析，本项目地下水环境质量现状监测数据具有合理性和代表性。</w:t>
      </w:r>
    </w:p>
    <w:p w14:paraId="206F7F22">
      <w:pPr>
        <w:rPr>
          <w:rFonts w:hint="eastAsia" w:ascii="Times New Roman" w:hAnsi="Times New Roman"/>
          <w:color w:val="auto"/>
        </w:rPr>
      </w:pPr>
      <w:r>
        <w:rPr>
          <w:rFonts w:hint="eastAsia" w:ascii="Times New Roman" w:hAnsi="Times New Roman"/>
          <w:color w:val="auto"/>
        </w:rPr>
        <w:t>（4）地下水检测及评价结果</w:t>
      </w:r>
    </w:p>
    <w:p w14:paraId="2227ED19">
      <w:pPr>
        <w:rPr>
          <w:rFonts w:ascii="Times New Roman" w:hAnsi="Times New Roman"/>
          <w:color w:val="auto"/>
        </w:rPr>
      </w:pPr>
      <w:r>
        <w:rPr>
          <w:rFonts w:hint="eastAsia" w:ascii="Times New Roman" w:hAnsi="Times New Roman"/>
          <w:color w:val="auto"/>
        </w:rPr>
        <w:t>地下水水位检测结果见表，地下水八大离子检测结果见表,地下水水质检测结果详见表。按照《地下水质量标准》（GB/T14848-2017）进行分质评价。</w:t>
      </w:r>
    </w:p>
    <w:p w14:paraId="33791710">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13</w:t>
      </w:r>
      <w:r>
        <w:rPr>
          <w:color w:val="auto"/>
          <w:lang w:val="en-US" w:eastAsia="zh-CN"/>
        </w:rPr>
        <w:fldChar w:fldCharType="end"/>
      </w:r>
      <w:r>
        <w:rPr>
          <w:rFonts w:hint="eastAsia"/>
          <w:color w:val="auto"/>
          <w:lang w:val="en-US" w:eastAsia="zh-CN"/>
        </w:rPr>
        <w:t>地下水水位一览表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746"/>
        <w:gridCol w:w="732"/>
        <w:gridCol w:w="852"/>
        <w:gridCol w:w="852"/>
        <w:gridCol w:w="852"/>
        <w:gridCol w:w="852"/>
        <w:gridCol w:w="852"/>
        <w:gridCol w:w="853"/>
        <w:gridCol w:w="853"/>
      </w:tblGrid>
      <w:tr w14:paraId="4F3B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vAlign w:val="center"/>
          </w:tcPr>
          <w:p w14:paraId="4F047FDB">
            <w:pPr>
              <w:pStyle w:val="26"/>
              <w:bidi w:val="0"/>
              <w:rPr>
                <w:rFonts w:hint="default"/>
                <w:lang w:val="en-US" w:eastAsia="zh-CN"/>
              </w:rPr>
            </w:pPr>
            <w:r>
              <w:rPr>
                <w:rFonts w:hint="eastAsia"/>
                <w:lang w:val="en-US" w:eastAsia="zh-CN"/>
              </w:rPr>
              <w:t>点位名称</w:t>
            </w:r>
          </w:p>
        </w:tc>
        <w:tc>
          <w:tcPr>
            <w:tcW w:w="746" w:type="dxa"/>
            <w:vAlign w:val="center"/>
          </w:tcPr>
          <w:p w14:paraId="23476F79">
            <w:pPr>
              <w:pStyle w:val="26"/>
              <w:bidi w:val="0"/>
              <w:rPr>
                <w:rFonts w:hint="default"/>
                <w:lang w:val="en-US" w:eastAsia="zh-CN"/>
              </w:rPr>
            </w:pPr>
            <w:r>
              <w:rPr>
                <w:rFonts w:hint="eastAsia"/>
                <w:lang w:val="en-US" w:eastAsia="zh-CN"/>
              </w:rPr>
              <w:t>W1</w:t>
            </w:r>
          </w:p>
        </w:tc>
        <w:tc>
          <w:tcPr>
            <w:tcW w:w="732" w:type="dxa"/>
            <w:vAlign w:val="center"/>
          </w:tcPr>
          <w:p w14:paraId="072BFCB5">
            <w:pPr>
              <w:pStyle w:val="26"/>
              <w:bidi w:val="0"/>
              <w:rPr>
                <w:rFonts w:hint="default"/>
                <w:lang w:val="en-US" w:eastAsia="zh-CN"/>
              </w:rPr>
            </w:pPr>
            <w:r>
              <w:rPr>
                <w:rFonts w:hint="eastAsia"/>
                <w:lang w:val="en-US" w:eastAsia="zh-CN"/>
              </w:rPr>
              <w:t>W2</w:t>
            </w:r>
          </w:p>
        </w:tc>
        <w:tc>
          <w:tcPr>
            <w:tcW w:w="852" w:type="dxa"/>
            <w:vAlign w:val="center"/>
          </w:tcPr>
          <w:p w14:paraId="4905F998">
            <w:pPr>
              <w:pStyle w:val="26"/>
              <w:bidi w:val="0"/>
              <w:rPr>
                <w:rFonts w:hint="default"/>
                <w:lang w:val="en-US" w:eastAsia="zh-CN"/>
              </w:rPr>
            </w:pPr>
            <w:r>
              <w:rPr>
                <w:rFonts w:hint="eastAsia"/>
                <w:lang w:val="en-US" w:eastAsia="zh-CN"/>
              </w:rPr>
              <w:t>W3</w:t>
            </w:r>
          </w:p>
        </w:tc>
        <w:tc>
          <w:tcPr>
            <w:tcW w:w="852" w:type="dxa"/>
            <w:vAlign w:val="center"/>
          </w:tcPr>
          <w:p w14:paraId="37DAE582">
            <w:pPr>
              <w:pStyle w:val="26"/>
              <w:bidi w:val="0"/>
              <w:rPr>
                <w:rFonts w:hint="default"/>
                <w:lang w:val="en-US" w:eastAsia="zh-CN"/>
              </w:rPr>
            </w:pPr>
            <w:r>
              <w:rPr>
                <w:rFonts w:hint="eastAsia"/>
                <w:lang w:val="en-US" w:eastAsia="zh-CN"/>
              </w:rPr>
              <w:t>W4</w:t>
            </w:r>
          </w:p>
        </w:tc>
        <w:tc>
          <w:tcPr>
            <w:tcW w:w="852" w:type="dxa"/>
            <w:vAlign w:val="center"/>
          </w:tcPr>
          <w:p w14:paraId="1E9AA827">
            <w:pPr>
              <w:pStyle w:val="26"/>
              <w:bidi w:val="0"/>
              <w:rPr>
                <w:rFonts w:hint="default"/>
                <w:lang w:val="en-US" w:eastAsia="zh-CN"/>
              </w:rPr>
            </w:pPr>
            <w:r>
              <w:rPr>
                <w:rFonts w:hint="eastAsia"/>
                <w:lang w:val="en-US" w:eastAsia="zh-CN"/>
              </w:rPr>
              <w:t>W5</w:t>
            </w:r>
          </w:p>
        </w:tc>
        <w:tc>
          <w:tcPr>
            <w:tcW w:w="852" w:type="dxa"/>
            <w:vAlign w:val="center"/>
          </w:tcPr>
          <w:p w14:paraId="37843303">
            <w:pPr>
              <w:pStyle w:val="26"/>
              <w:bidi w:val="0"/>
              <w:rPr>
                <w:rFonts w:hint="default"/>
                <w:lang w:val="en-US" w:eastAsia="zh-CN"/>
              </w:rPr>
            </w:pPr>
            <w:r>
              <w:rPr>
                <w:rFonts w:hint="eastAsia"/>
                <w:lang w:val="en-US" w:eastAsia="zh-CN"/>
              </w:rPr>
              <w:t>W6</w:t>
            </w:r>
          </w:p>
        </w:tc>
        <w:tc>
          <w:tcPr>
            <w:tcW w:w="852" w:type="dxa"/>
            <w:vAlign w:val="center"/>
          </w:tcPr>
          <w:p w14:paraId="2164BC62">
            <w:pPr>
              <w:pStyle w:val="26"/>
              <w:bidi w:val="0"/>
              <w:rPr>
                <w:rFonts w:hint="default"/>
                <w:lang w:val="en-US" w:eastAsia="zh-CN"/>
              </w:rPr>
            </w:pPr>
            <w:r>
              <w:rPr>
                <w:rFonts w:hint="eastAsia"/>
                <w:lang w:val="en-US" w:eastAsia="zh-CN"/>
              </w:rPr>
              <w:t>W7</w:t>
            </w:r>
          </w:p>
        </w:tc>
        <w:tc>
          <w:tcPr>
            <w:tcW w:w="853" w:type="dxa"/>
            <w:vAlign w:val="center"/>
          </w:tcPr>
          <w:p w14:paraId="0CC7D296">
            <w:pPr>
              <w:pStyle w:val="26"/>
              <w:bidi w:val="0"/>
              <w:rPr>
                <w:rFonts w:hint="default"/>
                <w:lang w:val="en-US" w:eastAsia="zh-CN"/>
              </w:rPr>
            </w:pPr>
            <w:r>
              <w:rPr>
                <w:rFonts w:hint="eastAsia"/>
                <w:lang w:val="en-US" w:eastAsia="zh-CN"/>
              </w:rPr>
              <w:t>W8</w:t>
            </w:r>
          </w:p>
        </w:tc>
        <w:tc>
          <w:tcPr>
            <w:tcW w:w="853" w:type="dxa"/>
            <w:vAlign w:val="center"/>
          </w:tcPr>
          <w:p w14:paraId="643F1C4A">
            <w:pPr>
              <w:pStyle w:val="26"/>
              <w:bidi w:val="0"/>
              <w:rPr>
                <w:rFonts w:hint="default"/>
                <w:lang w:val="en-US" w:eastAsia="zh-CN"/>
              </w:rPr>
            </w:pPr>
            <w:r>
              <w:rPr>
                <w:rFonts w:hint="eastAsia"/>
                <w:lang w:val="en-US" w:eastAsia="zh-CN"/>
              </w:rPr>
              <w:t>单位</w:t>
            </w:r>
          </w:p>
        </w:tc>
      </w:tr>
      <w:tr w14:paraId="14A3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vAlign w:val="center"/>
          </w:tcPr>
          <w:p w14:paraId="7E3E43B2">
            <w:pPr>
              <w:pStyle w:val="26"/>
              <w:bidi w:val="0"/>
              <w:rPr>
                <w:rFonts w:hint="eastAsia"/>
                <w:lang w:val="en-US" w:eastAsia="zh-CN"/>
              </w:rPr>
            </w:pPr>
            <w:r>
              <w:rPr>
                <w:rFonts w:hint="eastAsia"/>
                <w:lang w:val="en-US" w:eastAsia="zh-CN"/>
              </w:rPr>
              <w:t>水位</w:t>
            </w:r>
          </w:p>
        </w:tc>
        <w:tc>
          <w:tcPr>
            <w:tcW w:w="746" w:type="dxa"/>
            <w:vAlign w:val="center"/>
          </w:tcPr>
          <w:p w14:paraId="5A746170">
            <w:pPr>
              <w:pStyle w:val="26"/>
              <w:bidi w:val="0"/>
              <w:rPr>
                <w:rFonts w:hint="default"/>
                <w:lang w:val="en-US" w:eastAsia="zh-CN"/>
              </w:rPr>
            </w:pPr>
            <w:r>
              <w:rPr>
                <w:rFonts w:hint="eastAsia"/>
                <w:lang w:val="en-US" w:eastAsia="zh-CN"/>
              </w:rPr>
              <w:t>1.5</w:t>
            </w:r>
          </w:p>
        </w:tc>
        <w:tc>
          <w:tcPr>
            <w:tcW w:w="732" w:type="dxa"/>
            <w:vAlign w:val="center"/>
          </w:tcPr>
          <w:p w14:paraId="39B316DD">
            <w:pPr>
              <w:pStyle w:val="26"/>
              <w:bidi w:val="0"/>
              <w:rPr>
                <w:rFonts w:hint="default"/>
                <w:lang w:val="en-US" w:eastAsia="zh-CN"/>
              </w:rPr>
            </w:pPr>
            <w:r>
              <w:rPr>
                <w:rFonts w:hint="eastAsia"/>
                <w:lang w:val="en-US" w:eastAsia="zh-CN"/>
              </w:rPr>
              <w:t>1.8</w:t>
            </w:r>
          </w:p>
        </w:tc>
        <w:tc>
          <w:tcPr>
            <w:tcW w:w="852" w:type="dxa"/>
            <w:vAlign w:val="center"/>
          </w:tcPr>
          <w:p w14:paraId="41F5A9E8">
            <w:pPr>
              <w:pStyle w:val="26"/>
              <w:bidi w:val="0"/>
              <w:rPr>
                <w:rFonts w:hint="default"/>
                <w:lang w:val="en-US" w:eastAsia="zh-CN"/>
              </w:rPr>
            </w:pPr>
            <w:r>
              <w:rPr>
                <w:rFonts w:hint="eastAsia"/>
                <w:lang w:val="en-US" w:eastAsia="zh-CN"/>
              </w:rPr>
              <w:t>1.5</w:t>
            </w:r>
          </w:p>
        </w:tc>
        <w:tc>
          <w:tcPr>
            <w:tcW w:w="852" w:type="dxa"/>
            <w:vAlign w:val="center"/>
          </w:tcPr>
          <w:p w14:paraId="5154F053">
            <w:pPr>
              <w:pStyle w:val="26"/>
              <w:bidi w:val="0"/>
              <w:rPr>
                <w:rFonts w:hint="default"/>
                <w:lang w:val="en-US" w:eastAsia="zh-CN"/>
              </w:rPr>
            </w:pPr>
            <w:r>
              <w:rPr>
                <w:rFonts w:hint="eastAsia"/>
                <w:lang w:val="en-US" w:eastAsia="zh-CN"/>
              </w:rPr>
              <w:t>1.2</w:t>
            </w:r>
          </w:p>
        </w:tc>
        <w:tc>
          <w:tcPr>
            <w:tcW w:w="852" w:type="dxa"/>
            <w:vAlign w:val="center"/>
          </w:tcPr>
          <w:p w14:paraId="62DE4D33">
            <w:pPr>
              <w:pStyle w:val="26"/>
              <w:bidi w:val="0"/>
              <w:rPr>
                <w:rFonts w:hint="default"/>
                <w:lang w:val="en-US" w:eastAsia="zh-CN"/>
              </w:rPr>
            </w:pPr>
            <w:r>
              <w:rPr>
                <w:rFonts w:hint="eastAsia"/>
                <w:lang w:val="en-US" w:eastAsia="zh-CN"/>
              </w:rPr>
              <w:t>1.5</w:t>
            </w:r>
          </w:p>
        </w:tc>
        <w:tc>
          <w:tcPr>
            <w:tcW w:w="852" w:type="dxa"/>
            <w:vAlign w:val="center"/>
          </w:tcPr>
          <w:p w14:paraId="388C64E9">
            <w:pPr>
              <w:pStyle w:val="26"/>
              <w:bidi w:val="0"/>
              <w:rPr>
                <w:rFonts w:hint="default"/>
                <w:lang w:val="en-US" w:eastAsia="zh-CN"/>
              </w:rPr>
            </w:pPr>
            <w:r>
              <w:rPr>
                <w:rFonts w:hint="eastAsia"/>
                <w:lang w:val="en-US" w:eastAsia="zh-CN"/>
              </w:rPr>
              <w:t>1.8</w:t>
            </w:r>
          </w:p>
        </w:tc>
        <w:tc>
          <w:tcPr>
            <w:tcW w:w="852" w:type="dxa"/>
            <w:vAlign w:val="center"/>
          </w:tcPr>
          <w:p w14:paraId="41023509">
            <w:pPr>
              <w:pStyle w:val="26"/>
              <w:bidi w:val="0"/>
              <w:rPr>
                <w:rFonts w:hint="default"/>
                <w:lang w:val="en-US" w:eastAsia="zh-CN"/>
              </w:rPr>
            </w:pPr>
            <w:r>
              <w:rPr>
                <w:rFonts w:hint="eastAsia"/>
                <w:lang w:val="en-US" w:eastAsia="zh-CN"/>
              </w:rPr>
              <w:t>1.6</w:t>
            </w:r>
          </w:p>
        </w:tc>
        <w:tc>
          <w:tcPr>
            <w:tcW w:w="853" w:type="dxa"/>
            <w:vAlign w:val="center"/>
          </w:tcPr>
          <w:p w14:paraId="5707C74B">
            <w:pPr>
              <w:pStyle w:val="26"/>
              <w:bidi w:val="0"/>
              <w:rPr>
                <w:rFonts w:hint="default"/>
                <w:lang w:val="en-US" w:eastAsia="zh-CN"/>
              </w:rPr>
            </w:pPr>
            <w:r>
              <w:rPr>
                <w:rFonts w:hint="eastAsia"/>
                <w:lang w:val="en-US" w:eastAsia="zh-CN"/>
              </w:rPr>
              <w:t>1.7</w:t>
            </w:r>
          </w:p>
        </w:tc>
        <w:tc>
          <w:tcPr>
            <w:tcW w:w="853" w:type="dxa"/>
            <w:vAlign w:val="center"/>
          </w:tcPr>
          <w:p w14:paraId="71ACBBAD">
            <w:pPr>
              <w:pStyle w:val="26"/>
              <w:bidi w:val="0"/>
              <w:rPr>
                <w:rFonts w:hint="eastAsia"/>
                <w:lang w:val="en-US" w:eastAsia="zh-CN"/>
              </w:rPr>
            </w:pPr>
            <w:r>
              <w:rPr>
                <w:rFonts w:hint="eastAsia"/>
                <w:lang w:val="en-US" w:eastAsia="zh-CN"/>
              </w:rPr>
              <w:t>m</w:t>
            </w:r>
          </w:p>
        </w:tc>
      </w:tr>
    </w:tbl>
    <w:p w14:paraId="1562DE86">
      <w:pPr>
        <w:rPr>
          <w:color w:val="auto"/>
        </w:rPr>
      </w:pPr>
    </w:p>
    <w:p w14:paraId="787BB576">
      <w:pPr>
        <w:bidi w:val="0"/>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5.2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14</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t>地下水现状监测结果</w:t>
      </w:r>
    </w:p>
    <w:tbl>
      <w:tblPr>
        <w:tblStyle w:val="20"/>
        <w:tblpPr w:leftFromText="180" w:rightFromText="180" w:vertAnchor="text" w:horzAnchor="page" w:tblpX="1798"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646"/>
        <w:gridCol w:w="1447"/>
        <w:gridCol w:w="1409"/>
        <w:gridCol w:w="1754"/>
        <w:gridCol w:w="1515"/>
      </w:tblGrid>
      <w:tr w14:paraId="0003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353" w:type="dxa"/>
            <w:gridSpan w:val="2"/>
            <w:tcBorders>
              <w:top w:val="single" w:color="auto" w:sz="4" w:space="0"/>
              <w:left w:val="single" w:color="auto" w:sz="4" w:space="0"/>
              <w:bottom w:val="single" w:color="auto" w:sz="4" w:space="0"/>
              <w:right w:val="single" w:color="auto" w:sz="4" w:space="0"/>
              <w:tl2br w:val="single" w:color="auto" w:sz="4" w:space="0"/>
            </w:tcBorders>
          </w:tcPr>
          <w:p w14:paraId="54FE934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 xml:space="preserve">          采样点位</w:t>
            </w:r>
          </w:p>
          <w:p w14:paraId="633F5AE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5239F917">
            <w:pPr>
              <w:widowControl w:val="0"/>
              <w:bidi w:val="0"/>
              <w:adjustRightInd w:val="0"/>
              <w:snapToGrid w:val="0"/>
              <w:jc w:val="both"/>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检测项目</w:t>
            </w:r>
          </w:p>
        </w:tc>
        <w:tc>
          <w:tcPr>
            <w:tcW w:w="1447" w:type="dxa"/>
            <w:tcBorders>
              <w:left w:val="single" w:color="auto" w:sz="4" w:space="0"/>
            </w:tcBorders>
            <w:vAlign w:val="center"/>
          </w:tcPr>
          <w:p w14:paraId="739541AD">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W1</w:t>
            </w:r>
          </w:p>
          <w:p w14:paraId="200F36D8">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E:121°06′43.51″ N:31° 18′37.72″</w:t>
            </w:r>
          </w:p>
        </w:tc>
        <w:tc>
          <w:tcPr>
            <w:tcW w:w="1409" w:type="dxa"/>
            <w:vAlign w:val="center"/>
          </w:tcPr>
          <w:p w14:paraId="13DD2B03">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W2</w:t>
            </w:r>
          </w:p>
          <w:p w14:paraId="335625F8">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E:121°06′43.31″ N:31° 18′35.43″</w:t>
            </w:r>
          </w:p>
        </w:tc>
        <w:tc>
          <w:tcPr>
            <w:tcW w:w="1754" w:type="dxa"/>
            <w:vAlign w:val="center"/>
          </w:tcPr>
          <w:p w14:paraId="6C80724C">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W3</w:t>
            </w:r>
          </w:p>
          <w:p w14:paraId="2EF4A771">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E:121°06′24.28978″ N:31° 18′43.37115″</w:t>
            </w:r>
          </w:p>
        </w:tc>
        <w:tc>
          <w:tcPr>
            <w:tcW w:w="1515" w:type="dxa"/>
            <w:vAlign w:val="center"/>
          </w:tcPr>
          <w:p w14:paraId="2B007199">
            <w:pPr>
              <w:widowControl w:val="0"/>
              <w:bidi w:val="0"/>
              <w:adjustRightInd w:val="0"/>
              <w:snapToGrid w:val="0"/>
              <w:jc w:val="cente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2"/>
                <w:lang w:val="en-US" w:eastAsia="zh-CN" w:bidi="ar-SA"/>
                <w14:textFill>
                  <w14:solidFill>
                    <w14:schemeClr w14:val="tx1"/>
                  </w14:solidFill>
                </w14:textFill>
              </w:rPr>
              <w:t>参考限值</w:t>
            </w:r>
          </w:p>
        </w:tc>
      </w:tr>
      <w:tr w14:paraId="1097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84BD4B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铝（mg/L）</w:t>
            </w:r>
          </w:p>
        </w:tc>
        <w:tc>
          <w:tcPr>
            <w:tcW w:w="1447" w:type="dxa"/>
            <w:tcBorders>
              <w:left w:val="single" w:color="auto" w:sz="4" w:space="0"/>
            </w:tcBorders>
            <w:vAlign w:val="center"/>
          </w:tcPr>
          <w:p w14:paraId="48BF6C2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0.032</w:t>
            </w:r>
          </w:p>
        </w:tc>
        <w:tc>
          <w:tcPr>
            <w:tcW w:w="1409" w:type="dxa"/>
            <w:vAlign w:val="center"/>
          </w:tcPr>
          <w:p w14:paraId="0C3F97F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0.020</w:t>
            </w:r>
          </w:p>
        </w:tc>
        <w:tc>
          <w:tcPr>
            <w:tcW w:w="1754" w:type="dxa"/>
            <w:vAlign w:val="center"/>
          </w:tcPr>
          <w:p w14:paraId="3440B13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0.060</w:t>
            </w:r>
          </w:p>
        </w:tc>
        <w:tc>
          <w:tcPr>
            <w:tcW w:w="1515" w:type="dxa"/>
            <w:vAlign w:val="center"/>
          </w:tcPr>
          <w:p w14:paraId="1DEE8E4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≤0.50mg/L</w:t>
            </w:r>
          </w:p>
        </w:tc>
      </w:tr>
      <w:tr w14:paraId="601E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8B7156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铜（mg/L）</w:t>
            </w:r>
          </w:p>
        </w:tc>
        <w:tc>
          <w:tcPr>
            <w:tcW w:w="1447" w:type="dxa"/>
            <w:tcBorders>
              <w:left w:val="single" w:color="auto" w:sz="4" w:space="0"/>
            </w:tcBorders>
            <w:vAlign w:val="center"/>
          </w:tcPr>
          <w:p w14:paraId="66DB450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03EE4A6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534B80F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50F9EF1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≤1.50mg/L</w:t>
            </w:r>
          </w:p>
        </w:tc>
      </w:tr>
      <w:tr w14:paraId="257A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7DAB0C0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铁（mg/L）</w:t>
            </w:r>
          </w:p>
        </w:tc>
        <w:tc>
          <w:tcPr>
            <w:tcW w:w="1447" w:type="dxa"/>
            <w:tcBorders>
              <w:left w:val="single" w:color="auto" w:sz="4" w:space="0"/>
            </w:tcBorders>
            <w:vAlign w:val="center"/>
          </w:tcPr>
          <w:p w14:paraId="17AE789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0.02</w:t>
            </w:r>
          </w:p>
        </w:tc>
        <w:tc>
          <w:tcPr>
            <w:tcW w:w="1409" w:type="dxa"/>
            <w:vAlign w:val="center"/>
          </w:tcPr>
          <w:p w14:paraId="2757763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03C2BD5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0036191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≤2.0mg/L</w:t>
            </w:r>
          </w:p>
        </w:tc>
      </w:tr>
      <w:tr w14:paraId="05EF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36A9941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锰（mg/L）</w:t>
            </w:r>
          </w:p>
        </w:tc>
        <w:tc>
          <w:tcPr>
            <w:tcW w:w="1447" w:type="dxa"/>
            <w:tcBorders>
              <w:left w:val="single" w:color="auto" w:sz="4" w:space="0"/>
            </w:tcBorders>
            <w:vAlign w:val="center"/>
          </w:tcPr>
          <w:p w14:paraId="289C8EC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0.32</w:t>
            </w:r>
          </w:p>
        </w:tc>
        <w:tc>
          <w:tcPr>
            <w:tcW w:w="1409" w:type="dxa"/>
            <w:vAlign w:val="center"/>
          </w:tcPr>
          <w:p w14:paraId="2D6128D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0.91</w:t>
            </w:r>
          </w:p>
        </w:tc>
        <w:tc>
          <w:tcPr>
            <w:tcW w:w="1754" w:type="dxa"/>
            <w:vAlign w:val="center"/>
          </w:tcPr>
          <w:p w14:paraId="341AA10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1.46</w:t>
            </w:r>
          </w:p>
        </w:tc>
        <w:tc>
          <w:tcPr>
            <w:tcW w:w="1515" w:type="dxa"/>
            <w:vAlign w:val="center"/>
          </w:tcPr>
          <w:p w14:paraId="5476B8D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≤1.50mg/L</w:t>
            </w:r>
          </w:p>
        </w:tc>
      </w:tr>
      <w:tr w14:paraId="2C1E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625F57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镍（mg/L）</w:t>
            </w:r>
          </w:p>
        </w:tc>
        <w:tc>
          <w:tcPr>
            <w:tcW w:w="1447" w:type="dxa"/>
            <w:tcBorders>
              <w:left w:val="single" w:color="auto" w:sz="4" w:space="0"/>
            </w:tcBorders>
            <w:vAlign w:val="center"/>
          </w:tcPr>
          <w:p w14:paraId="481825E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07A8474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000C5DC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04B8CF3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10mg/L</w:t>
            </w:r>
          </w:p>
        </w:tc>
      </w:tr>
      <w:tr w14:paraId="5C3D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951287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锌（mg/L）</w:t>
            </w:r>
          </w:p>
        </w:tc>
        <w:tc>
          <w:tcPr>
            <w:tcW w:w="1447" w:type="dxa"/>
            <w:tcBorders>
              <w:left w:val="single" w:color="auto" w:sz="4" w:space="0"/>
            </w:tcBorders>
            <w:vAlign w:val="center"/>
          </w:tcPr>
          <w:p w14:paraId="51F6832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50AF96D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25465EC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0.036</w:t>
            </w:r>
          </w:p>
        </w:tc>
        <w:tc>
          <w:tcPr>
            <w:tcW w:w="1515" w:type="dxa"/>
            <w:vAlign w:val="center"/>
          </w:tcPr>
          <w:p w14:paraId="2838A9F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≤5.00mg/L</w:t>
            </w:r>
          </w:p>
        </w:tc>
      </w:tr>
      <w:tr w14:paraId="45E7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7CCF002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铬（mg/L）</w:t>
            </w:r>
          </w:p>
        </w:tc>
        <w:tc>
          <w:tcPr>
            <w:tcW w:w="1447" w:type="dxa"/>
            <w:tcBorders>
              <w:left w:val="single" w:color="auto" w:sz="4" w:space="0"/>
            </w:tcBorders>
            <w:vAlign w:val="center"/>
          </w:tcPr>
          <w:p w14:paraId="0F06698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5C2A2BF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5C09AD0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6A5D588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099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2FF1F0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钠（mg/L）</w:t>
            </w:r>
          </w:p>
        </w:tc>
        <w:tc>
          <w:tcPr>
            <w:tcW w:w="1447" w:type="dxa"/>
            <w:tcBorders>
              <w:left w:val="single" w:color="auto" w:sz="4" w:space="0"/>
            </w:tcBorders>
            <w:vAlign w:val="center"/>
          </w:tcPr>
          <w:p w14:paraId="7200B1F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114</w:t>
            </w:r>
          </w:p>
        </w:tc>
        <w:tc>
          <w:tcPr>
            <w:tcW w:w="1409" w:type="dxa"/>
            <w:vAlign w:val="center"/>
          </w:tcPr>
          <w:p w14:paraId="562ED9B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206</w:t>
            </w:r>
          </w:p>
        </w:tc>
        <w:tc>
          <w:tcPr>
            <w:tcW w:w="1754" w:type="dxa"/>
            <w:vAlign w:val="center"/>
          </w:tcPr>
          <w:p w14:paraId="035E7ED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138</w:t>
            </w:r>
          </w:p>
        </w:tc>
        <w:tc>
          <w:tcPr>
            <w:tcW w:w="1515" w:type="dxa"/>
            <w:vAlign w:val="center"/>
          </w:tcPr>
          <w:p w14:paraId="038678D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≤400mg/L</w:t>
            </w:r>
          </w:p>
        </w:tc>
      </w:tr>
      <w:tr w14:paraId="5D6A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57CEDD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汞 (μg/L）</w:t>
            </w:r>
          </w:p>
        </w:tc>
        <w:tc>
          <w:tcPr>
            <w:tcW w:w="1447" w:type="dxa"/>
            <w:tcBorders>
              <w:left w:val="single" w:color="auto" w:sz="4" w:space="0"/>
            </w:tcBorders>
            <w:vAlign w:val="center"/>
          </w:tcPr>
          <w:p w14:paraId="4E6BF18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48500D7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134E445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4E0C86C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≤0.002mg/L</w:t>
            </w:r>
          </w:p>
        </w:tc>
      </w:tr>
      <w:tr w14:paraId="73F9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0758B9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砷 (μg/L）</w:t>
            </w:r>
          </w:p>
        </w:tc>
        <w:tc>
          <w:tcPr>
            <w:tcW w:w="1447" w:type="dxa"/>
            <w:tcBorders>
              <w:left w:val="single" w:color="auto" w:sz="4" w:space="0"/>
            </w:tcBorders>
            <w:vAlign w:val="center"/>
          </w:tcPr>
          <w:p w14:paraId="0C610E9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7.3</w:t>
            </w:r>
          </w:p>
        </w:tc>
        <w:tc>
          <w:tcPr>
            <w:tcW w:w="1409" w:type="dxa"/>
            <w:vAlign w:val="center"/>
          </w:tcPr>
          <w:p w14:paraId="7D71E28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7.4</w:t>
            </w:r>
          </w:p>
        </w:tc>
        <w:tc>
          <w:tcPr>
            <w:tcW w:w="1754" w:type="dxa"/>
            <w:vAlign w:val="center"/>
          </w:tcPr>
          <w:p w14:paraId="65A9456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2.4</w:t>
            </w:r>
          </w:p>
        </w:tc>
        <w:tc>
          <w:tcPr>
            <w:tcW w:w="1515" w:type="dxa"/>
            <w:vAlign w:val="center"/>
          </w:tcPr>
          <w:p w14:paraId="3E4040D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≤0.05mg/L</w:t>
            </w:r>
          </w:p>
        </w:tc>
      </w:tr>
      <w:tr w14:paraId="196B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8FE350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硒 (μg/L）</w:t>
            </w:r>
          </w:p>
        </w:tc>
        <w:tc>
          <w:tcPr>
            <w:tcW w:w="1447" w:type="dxa"/>
            <w:tcBorders>
              <w:left w:val="single" w:color="auto" w:sz="4" w:space="0"/>
            </w:tcBorders>
            <w:vAlign w:val="center"/>
          </w:tcPr>
          <w:p w14:paraId="5C607B9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2C35AA4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3A3A24D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6650812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1mg/L</w:t>
            </w:r>
          </w:p>
        </w:tc>
      </w:tr>
      <w:tr w14:paraId="1718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6208C1E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铅 (μg/L）</w:t>
            </w:r>
          </w:p>
        </w:tc>
        <w:tc>
          <w:tcPr>
            <w:tcW w:w="1447" w:type="dxa"/>
            <w:tcBorders>
              <w:left w:val="single" w:color="auto" w:sz="4" w:space="0"/>
            </w:tcBorders>
            <w:vAlign w:val="center"/>
          </w:tcPr>
          <w:p w14:paraId="25744BE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6EA168C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6EFE232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9.0</w:t>
            </w:r>
          </w:p>
        </w:tc>
        <w:tc>
          <w:tcPr>
            <w:tcW w:w="1515" w:type="dxa"/>
            <w:vAlign w:val="center"/>
          </w:tcPr>
          <w:p w14:paraId="1BBBD39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10mg/L</w:t>
            </w:r>
          </w:p>
        </w:tc>
      </w:tr>
      <w:tr w14:paraId="7C5F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694876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镉 (μg/L）</w:t>
            </w:r>
          </w:p>
        </w:tc>
        <w:tc>
          <w:tcPr>
            <w:tcW w:w="1447" w:type="dxa"/>
            <w:tcBorders>
              <w:left w:val="single" w:color="auto" w:sz="4" w:space="0"/>
            </w:tcBorders>
            <w:vAlign w:val="center"/>
          </w:tcPr>
          <w:p w14:paraId="25C1607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7AA9F06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620C406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3BAEF5F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≤0.01mg/L</w:t>
            </w:r>
          </w:p>
        </w:tc>
      </w:tr>
      <w:tr w14:paraId="1128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3231D2E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六价铬（mg/L）</w:t>
            </w:r>
          </w:p>
        </w:tc>
        <w:tc>
          <w:tcPr>
            <w:tcW w:w="1447" w:type="dxa"/>
            <w:tcBorders>
              <w:left w:val="single" w:color="auto" w:sz="4" w:space="0"/>
            </w:tcBorders>
            <w:vAlign w:val="center"/>
          </w:tcPr>
          <w:p w14:paraId="5AB4775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4AA8BBB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780C888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4BAAF18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10mg/L</w:t>
            </w:r>
          </w:p>
        </w:tc>
      </w:tr>
      <w:tr w14:paraId="70CE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1B30C3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pH 值（无量纲）</w:t>
            </w:r>
          </w:p>
        </w:tc>
        <w:tc>
          <w:tcPr>
            <w:tcW w:w="1447" w:type="dxa"/>
            <w:tcBorders>
              <w:left w:val="single" w:color="auto" w:sz="4" w:space="0"/>
            </w:tcBorders>
            <w:vAlign w:val="center"/>
          </w:tcPr>
          <w:p w14:paraId="13E324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7.4</w:t>
            </w:r>
          </w:p>
        </w:tc>
        <w:tc>
          <w:tcPr>
            <w:tcW w:w="1409" w:type="dxa"/>
            <w:vAlign w:val="center"/>
          </w:tcPr>
          <w:p w14:paraId="5C4B706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6.9</w:t>
            </w:r>
          </w:p>
        </w:tc>
        <w:tc>
          <w:tcPr>
            <w:tcW w:w="1754" w:type="dxa"/>
            <w:vAlign w:val="center"/>
          </w:tcPr>
          <w:p w14:paraId="616419A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7.4</w:t>
            </w:r>
          </w:p>
        </w:tc>
        <w:tc>
          <w:tcPr>
            <w:tcW w:w="1515" w:type="dxa"/>
            <w:vAlign w:val="center"/>
          </w:tcPr>
          <w:p w14:paraId="6279AFF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389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7907E8D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可萃取性石油烃（C10-C40）</w:t>
            </w:r>
          </w:p>
          <w:p w14:paraId="7F25B58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（mg/L）</w:t>
            </w:r>
          </w:p>
        </w:tc>
        <w:tc>
          <w:tcPr>
            <w:tcW w:w="1447" w:type="dxa"/>
            <w:tcBorders>
              <w:left w:val="single" w:color="auto" w:sz="4" w:space="0"/>
            </w:tcBorders>
            <w:vAlign w:val="center"/>
          </w:tcPr>
          <w:p w14:paraId="267C3B6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33FD747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0.02</w:t>
            </w:r>
          </w:p>
        </w:tc>
        <w:tc>
          <w:tcPr>
            <w:tcW w:w="1409" w:type="dxa"/>
            <w:vAlign w:val="center"/>
          </w:tcPr>
          <w:p w14:paraId="7ED3D55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233F77E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0.02</w:t>
            </w:r>
          </w:p>
        </w:tc>
        <w:tc>
          <w:tcPr>
            <w:tcW w:w="1754" w:type="dxa"/>
            <w:vAlign w:val="center"/>
          </w:tcPr>
          <w:p w14:paraId="216C6EC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45904DF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0.05</w:t>
            </w:r>
          </w:p>
        </w:tc>
        <w:tc>
          <w:tcPr>
            <w:tcW w:w="1515" w:type="dxa"/>
            <w:vAlign w:val="center"/>
          </w:tcPr>
          <w:p w14:paraId="609C85E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5CC3639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7C6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113A166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钙和镁总量（总硬度）（mg/L）</w:t>
            </w:r>
          </w:p>
        </w:tc>
        <w:tc>
          <w:tcPr>
            <w:tcW w:w="1447" w:type="dxa"/>
            <w:tcBorders>
              <w:left w:val="single" w:color="auto" w:sz="4" w:space="0"/>
            </w:tcBorders>
            <w:vAlign w:val="center"/>
          </w:tcPr>
          <w:p w14:paraId="738CE7C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280</w:t>
            </w:r>
          </w:p>
        </w:tc>
        <w:tc>
          <w:tcPr>
            <w:tcW w:w="1409" w:type="dxa"/>
            <w:vAlign w:val="center"/>
          </w:tcPr>
          <w:p w14:paraId="7C801BA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745</w:t>
            </w:r>
          </w:p>
        </w:tc>
        <w:tc>
          <w:tcPr>
            <w:tcW w:w="1754" w:type="dxa"/>
            <w:vAlign w:val="center"/>
          </w:tcPr>
          <w:p w14:paraId="5F04F8C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620</w:t>
            </w:r>
          </w:p>
        </w:tc>
        <w:tc>
          <w:tcPr>
            <w:tcW w:w="1515" w:type="dxa"/>
            <w:vAlign w:val="center"/>
          </w:tcPr>
          <w:p w14:paraId="5CC79D5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≤650mg/L</w:t>
            </w:r>
          </w:p>
        </w:tc>
      </w:tr>
      <w:tr w14:paraId="1DBC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02A686E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溶解性总固体（mg/L）</w:t>
            </w:r>
          </w:p>
        </w:tc>
        <w:tc>
          <w:tcPr>
            <w:tcW w:w="1447" w:type="dxa"/>
            <w:tcBorders>
              <w:left w:val="single" w:color="auto" w:sz="4" w:space="0"/>
            </w:tcBorders>
            <w:vAlign w:val="center"/>
          </w:tcPr>
          <w:p w14:paraId="51F820D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665</w:t>
            </w:r>
          </w:p>
        </w:tc>
        <w:tc>
          <w:tcPr>
            <w:tcW w:w="1409" w:type="dxa"/>
            <w:vAlign w:val="center"/>
          </w:tcPr>
          <w:p w14:paraId="1C258E7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1.46×103</w:t>
            </w:r>
          </w:p>
        </w:tc>
        <w:tc>
          <w:tcPr>
            <w:tcW w:w="1754" w:type="dxa"/>
            <w:vAlign w:val="center"/>
          </w:tcPr>
          <w:p w14:paraId="58CAE6E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1.2×103</w:t>
            </w:r>
          </w:p>
        </w:tc>
        <w:tc>
          <w:tcPr>
            <w:tcW w:w="1515" w:type="dxa"/>
            <w:vAlign w:val="center"/>
          </w:tcPr>
          <w:p w14:paraId="2495CF8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≤2000mg/L</w:t>
            </w:r>
          </w:p>
        </w:tc>
      </w:tr>
      <w:tr w14:paraId="69DD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3FB0179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挥发酚（mg/L）</w:t>
            </w:r>
          </w:p>
        </w:tc>
        <w:tc>
          <w:tcPr>
            <w:tcW w:w="1447" w:type="dxa"/>
            <w:tcBorders>
              <w:left w:val="single" w:color="auto" w:sz="4" w:space="0"/>
            </w:tcBorders>
            <w:vAlign w:val="center"/>
          </w:tcPr>
          <w:p w14:paraId="3B0E2C7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092CBCD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639BA2D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1AE2906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≤0.01mg/L</w:t>
            </w:r>
          </w:p>
        </w:tc>
      </w:tr>
      <w:tr w14:paraId="12B8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17AB353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阴离子表面活性剂</w:t>
            </w:r>
          </w:p>
          <w:p w14:paraId="01A13B9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（mg/L）</w:t>
            </w:r>
          </w:p>
        </w:tc>
        <w:tc>
          <w:tcPr>
            <w:tcW w:w="1447" w:type="dxa"/>
            <w:tcBorders>
              <w:left w:val="single" w:color="auto" w:sz="4" w:space="0"/>
            </w:tcBorders>
            <w:vAlign w:val="center"/>
          </w:tcPr>
          <w:p w14:paraId="3B17287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183DAF0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1626E1B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5CE3B9B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≤0.3mg/L</w:t>
            </w:r>
          </w:p>
        </w:tc>
      </w:tr>
      <w:tr w14:paraId="6185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20A790C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氨氮（mg/L）</w:t>
            </w:r>
          </w:p>
        </w:tc>
        <w:tc>
          <w:tcPr>
            <w:tcW w:w="1447" w:type="dxa"/>
            <w:tcBorders>
              <w:left w:val="single" w:color="auto" w:sz="4" w:space="0"/>
            </w:tcBorders>
            <w:vAlign w:val="center"/>
          </w:tcPr>
          <w:p w14:paraId="3481461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0.267</w:t>
            </w:r>
          </w:p>
        </w:tc>
        <w:tc>
          <w:tcPr>
            <w:tcW w:w="1409" w:type="dxa"/>
            <w:vAlign w:val="center"/>
          </w:tcPr>
          <w:p w14:paraId="304B3EF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0.330</w:t>
            </w:r>
          </w:p>
        </w:tc>
        <w:tc>
          <w:tcPr>
            <w:tcW w:w="1754" w:type="dxa"/>
            <w:vAlign w:val="center"/>
          </w:tcPr>
          <w:p w14:paraId="7ED7324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0.342</w:t>
            </w:r>
          </w:p>
        </w:tc>
        <w:tc>
          <w:tcPr>
            <w:tcW w:w="1515" w:type="dxa"/>
            <w:vAlign w:val="center"/>
          </w:tcPr>
          <w:p w14:paraId="59FFCAB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≤1.50mg/L</w:t>
            </w:r>
          </w:p>
        </w:tc>
      </w:tr>
      <w:tr w14:paraId="62FF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7ABF490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氟化物（mg/L）</w:t>
            </w:r>
          </w:p>
        </w:tc>
        <w:tc>
          <w:tcPr>
            <w:tcW w:w="1447" w:type="dxa"/>
            <w:tcBorders>
              <w:left w:val="single" w:color="auto" w:sz="4" w:space="0"/>
            </w:tcBorders>
            <w:vAlign w:val="center"/>
          </w:tcPr>
          <w:p w14:paraId="2081055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0.568</w:t>
            </w:r>
          </w:p>
        </w:tc>
        <w:tc>
          <w:tcPr>
            <w:tcW w:w="1409" w:type="dxa"/>
            <w:vAlign w:val="center"/>
          </w:tcPr>
          <w:p w14:paraId="7850D3B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0.414</w:t>
            </w:r>
          </w:p>
        </w:tc>
        <w:tc>
          <w:tcPr>
            <w:tcW w:w="1754" w:type="dxa"/>
            <w:vAlign w:val="center"/>
          </w:tcPr>
          <w:p w14:paraId="470C8EE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0.358</w:t>
            </w:r>
          </w:p>
        </w:tc>
        <w:tc>
          <w:tcPr>
            <w:tcW w:w="1515" w:type="dxa"/>
            <w:vAlign w:val="center"/>
          </w:tcPr>
          <w:p w14:paraId="7341C4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≤2.0mg/L</w:t>
            </w:r>
          </w:p>
        </w:tc>
      </w:tr>
      <w:tr w14:paraId="3685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32E3338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硝酸盐（以 N计）（mg/L）</w:t>
            </w:r>
          </w:p>
        </w:tc>
        <w:tc>
          <w:tcPr>
            <w:tcW w:w="1447" w:type="dxa"/>
            <w:tcBorders>
              <w:left w:val="single" w:color="auto" w:sz="4" w:space="0"/>
            </w:tcBorders>
            <w:vAlign w:val="center"/>
          </w:tcPr>
          <w:p w14:paraId="62B8CC0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0.006</w:t>
            </w:r>
          </w:p>
        </w:tc>
        <w:tc>
          <w:tcPr>
            <w:tcW w:w="1409" w:type="dxa"/>
            <w:vAlign w:val="center"/>
          </w:tcPr>
          <w:p w14:paraId="0CC505B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0.031</w:t>
            </w:r>
          </w:p>
        </w:tc>
        <w:tc>
          <w:tcPr>
            <w:tcW w:w="1754" w:type="dxa"/>
            <w:vAlign w:val="center"/>
          </w:tcPr>
          <w:p w14:paraId="0F0512F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0.063</w:t>
            </w:r>
          </w:p>
        </w:tc>
        <w:tc>
          <w:tcPr>
            <w:tcW w:w="1515" w:type="dxa"/>
            <w:vAlign w:val="center"/>
          </w:tcPr>
          <w:p w14:paraId="3328A65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≤30.0mg/L</w:t>
            </w:r>
          </w:p>
        </w:tc>
      </w:tr>
      <w:tr w14:paraId="102D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5EA949F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氯化物（mg/L）</w:t>
            </w:r>
          </w:p>
        </w:tc>
        <w:tc>
          <w:tcPr>
            <w:tcW w:w="1447" w:type="dxa"/>
            <w:tcBorders>
              <w:left w:val="single" w:color="auto" w:sz="4" w:space="0"/>
            </w:tcBorders>
            <w:vAlign w:val="center"/>
          </w:tcPr>
          <w:p w14:paraId="5F0BEE5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71.8</w:t>
            </w:r>
          </w:p>
        </w:tc>
        <w:tc>
          <w:tcPr>
            <w:tcW w:w="1409" w:type="dxa"/>
            <w:vAlign w:val="center"/>
          </w:tcPr>
          <w:p w14:paraId="332E220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247</w:t>
            </w:r>
          </w:p>
        </w:tc>
        <w:tc>
          <w:tcPr>
            <w:tcW w:w="1754" w:type="dxa"/>
            <w:vAlign w:val="center"/>
          </w:tcPr>
          <w:p w14:paraId="6A68390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312</w:t>
            </w:r>
          </w:p>
        </w:tc>
        <w:tc>
          <w:tcPr>
            <w:tcW w:w="1515" w:type="dxa"/>
            <w:vAlign w:val="center"/>
          </w:tcPr>
          <w:p w14:paraId="195250A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≤350mg/L</w:t>
            </w:r>
          </w:p>
        </w:tc>
      </w:tr>
      <w:tr w14:paraId="0C41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14C1BBE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硫酸盐（mg/L）</w:t>
            </w:r>
          </w:p>
        </w:tc>
        <w:tc>
          <w:tcPr>
            <w:tcW w:w="1447" w:type="dxa"/>
            <w:tcBorders>
              <w:left w:val="single" w:color="auto" w:sz="4" w:space="0"/>
            </w:tcBorders>
            <w:vAlign w:val="center"/>
          </w:tcPr>
          <w:p w14:paraId="67C1652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10.4</w:t>
            </w:r>
          </w:p>
        </w:tc>
        <w:tc>
          <w:tcPr>
            <w:tcW w:w="1409" w:type="dxa"/>
            <w:vAlign w:val="center"/>
          </w:tcPr>
          <w:p w14:paraId="32E2544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237</w:t>
            </w:r>
          </w:p>
        </w:tc>
        <w:tc>
          <w:tcPr>
            <w:tcW w:w="1754" w:type="dxa"/>
            <w:vAlign w:val="center"/>
          </w:tcPr>
          <w:p w14:paraId="72A29CE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47.2</w:t>
            </w:r>
          </w:p>
        </w:tc>
        <w:tc>
          <w:tcPr>
            <w:tcW w:w="1515" w:type="dxa"/>
            <w:vAlign w:val="center"/>
          </w:tcPr>
          <w:p w14:paraId="77A1B29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≤350mg/L</w:t>
            </w:r>
          </w:p>
        </w:tc>
      </w:tr>
      <w:tr w14:paraId="776B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5F1D87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亚硝酸盐氮（mg/L）</w:t>
            </w:r>
          </w:p>
        </w:tc>
        <w:tc>
          <w:tcPr>
            <w:tcW w:w="1447" w:type="dxa"/>
            <w:tcBorders>
              <w:left w:val="single" w:color="auto" w:sz="4" w:space="0"/>
            </w:tcBorders>
            <w:vAlign w:val="center"/>
          </w:tcPr>
          <w:p w14:paraId="29C3CE5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465FB2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43231B7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0.017</w:t>
            </w:r>
          </w:p>
        </w:tc>
        <w:tc>
          <w:tcPr>
            <w:tcW w:w="1515" w:type="dxa"/>
            <w:vAlign w:val="center"/>
          </w:tcPr>
          <w:p w14:paraId="651785D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≤4.80mg/L</w:t>
            </w:r>
          </w:p>
        </w:tc>
      </w:tr>
      <w:tr w14:paraId="6965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00B0AC9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氰化物（mg/L）</w:t>
            </w:r>
          </w:p>
        </w:tc>
        <w:tc>
          <w:tcPr>
            <w:tcW w:w="1447" w:type="dxa"/>
            <w:tcBorders>
              <w:left w:val="single" w:color="auto" w:sz="4" w:space="0"/>
            </w:tcBorders>
            <w:vAlign w:val="center"/>
          </w:tcPr>
          <w:p w14:paraId="7B1F7C0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0B80A49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14434E2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524A785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1mg/L</w:t>
            </w:r>
          </w:p>
        </w:tc>
      </w:tr>
      <w:tr w14:paraId="5026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D549D1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碘化物 (μg/L）</w:t>
            </w:r>
          </w:p>
        </w:tc>
        <w:tc>
          <w:tcPr>
            <w:tcW w:w="1447" w:type="dxa"/>
            <w:tcBorders>
              <w:left w:val="single" w:color="auto" w:sz="4" w:space="0"/>
            </w:tcBorders>
            <w:vAlign w:val="center"/>
          </w:tcPr>
          <w:p w14:paraId="7CEC973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5.2</w:t>
            </w:r>
          </w:p>
        </w:tc>
        <w:tc>
          <w:tcPr>
            <w:tcW w:w="1409" w:type="dxa"/>
            <w:vAlign w:val="center"/>
          </w:tcPr>
          <w:p w14:paraId="3F6CEE9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3767118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156</w:t>
            </w:r>
          </w:p>
        </w:tc>
        <w:tc>
          <w:tcPr>
            <w:tcW w:w="1515" w:type="dxa"/>
            <w:vAlign w:val="center"/>
          </w:tcPr>
          <w:p w14:paraId="5C45600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≤0.50mg/L</w:t>
            </w:r>
          </w:p>
        </w:tc>
      </w:tr>
      <w:tr w14:paraId="273C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48BAF19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硫化物（mg/L）</w:t>
            </w:r>
          </w:p>
        </w:tc>
        <w:tc>
          <w:tcPr>
            <w:tcW w:w="1447" w:type="dxa"/>
            <w:tcBorders>
              <w:left w:val="single" w:color="auto" w:sz="4" w:space="0"/>
            </w:tcBorders>
            <w:vAlign w:val="center"/>
          </w:tcPr>
          <w:p w14:paraId="224488D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17BD8A4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0817DA6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611AE04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10mg/L</w:t>
            </w:r>
          </w:p>
        </w:tc>
      </w:tr>
      <w:tr w14:paraId="7DE7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235D8B2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色度（度）</w:t>
            </w:r>
          </w:p>
        </w:tc>
        <w:tc>
          <w:tcPr>
            <w:tcW w:w="1447" w:type="dxa"/>
            <w:tcBorders>
              <w:left w:val="single" w:color="auto" w:sz="4" w:space="0"/>
            </w:tcBorders>
            <w:vAlign w:val="center"/>
          </w:tcPr>
          <w:p w14:paraId="108A43D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&lt;5</w:t>
            </w:r>
          </w:p>
        </w:tc>
        <w:tc>
          <w:tcPr>
            <w:tcW w:w="1409" w:type="dxa"/>
            <w:vAlign w:val="center"/>
          </w:tcPr>
          <w:p w14:paraId="678B4C5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5</w:t>
            </w:r>
          </w:p>
        </w:tc>
        <w:tc>
          <w:tcPr>
            <w:tcW w:w="1754" w:type="dxa"/>
            <w:vAlign w:val="center"/>
          </w:tcPr>
          <w:p w14:paraId="66E2F2F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&lt;5</w:t>
            </w:r>
          </w:p>
        </w:tc>
        <w:tc>
          <w:tcPr>
            <w:tcW w:w="1515" w:type="dxa"/>
            <w:vAlign w:val="center"/>
          </w:tcPr>
          <w:p w14:paraId="1C82EE9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≤25 度</w:t>
            </w:r>
          </w:p>
        </w:tc>
      </w:tr>
      <w:tr w14:paraId="5184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32A8785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浊度（NTU）</w:t>
            </w:r>
          </w:p>
        </w:tc>
        <w:tc>
          <w:tcPr>
            <w:tcW w:w="1447" w:type="dxa"/>
            <w:tcBorders>
              <w:left w:val="single" w:color="auto" w:sz="4" w:space="0"/>
            </w:tcBorders>
            <w:vAlign w:val="center"/>
          </w:tcPr>
          <w:p w14:paraId="481841A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99</w:t>
            </w:r>
          </w:p>
        </w:tc>
        <w:tc>
          <w:tcPr>
            <w:tcW w:w="1409" w:type="dxa"/>
            <w:vAlign w:val="center"/>
          </w:tcPr>
          <w:p w14:paraId="5348756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70</w:t>
            </w:r>
          </w:p>
        </w:tc>
        <w:tc>
          <w:tcPr>
            <w:tcW w:w="1754" w:type="dxa"/>
            <w:vAlign w:val="center"/>
          </w:tcPr>
          <w:p w14:paraId="1D8514D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46</w:t>
            </w:r>
          </w:p>
        </w:tc>
        <w:tc>
          <w:tcPr>
            <w:tcW w:w="1515" w:type="dxa"/>
            <w:vAlign w:val="center"/>
          </w:tcPr>
          <w:p w14:paraId="2292EE6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≤10NTU</w:t>
            </w:r>
          </w:p>
        </w:tc>
      </w:tr>
      <w:tr w14:paraId="4DB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6214061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臭</w:t>
            </w:r>
          </w:p>
        </w:tc>
        <w:tc>
          <w:tcPr>
            <w:tcW w:w="1447" w:type="dxa"/>
            <w:tcBorders>
              <w:left w:val="single" w:color="auto" w:sz="4" w:space="0"/>
            </w:tcBorders>
            <w:vAlign w:val="center"/>
          </w:tcPr>
          <w:p w14:paraId="1F9BDF1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一般饮用者甚难察</w:t>
            </w:r>
          </w:p>
          <w:p w14:paraId="753FBD0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觉，但嗅敏感觉者</w:t>
            </w:r>
          </w:p>
          <w:p w14:paraId="1469D89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可以发觉</w:t>
            </w:r>
          </w:p>
        </w:tc>
        <w:tc>
          <w:tcPr>
            <w:tcW w:w="1409" w:type="dxa"/>
            <w:vAlign w:val="center"/>
          </w:tcPr>
          <w:p w14:paraId="3C8A981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无任何气味</w:t>
            </w:r>
          </w:p>
        </w:tc>
        <w:tc>
          <w:tcPr>
            <w:tcW w:w="1754" w:type="dxa"/>
            <w:vAlign w:val="center"/>
          </w:tcPr>
          <w:p w14:paraId="2604AB6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无任何气味</w:t>
            </w:r>
          </w:p>
        </w:tc>
        <w:tc>
          <w:tcPr>
            <w:tcW w:w="1515" w:type="dxa"/>
            <w:vAlign w:val="center"/>
          </w:tcPr>
          <w:p w14:paraId="3FCA504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2D4CD8D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5F1E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686AB3D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耗氧量</w:t>
            </w:r>
          </w:p>
        </w:tc>
        <w:tc>
          <w:tcPr>
            <w:tcW w:w="1447" w:type="dxa"/>
            <w:tcBorders>
              <w:left w:val="single" w:color="auto" w:sz="4" w:space="0"/>
            </w:tcBorders>
            <w:vAlign w:val="center"/>
          </w:tcPr>
          <w:p w14:paraId="3A0DE51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2.8</w:t>
            </w:r>
          </w:p>
        </w:tc>
        <w:tc>
          <w:tcPr>
            <w:tcW w:w="1409" w:type="dxa"/>
            <w:vAlign w:val="center"/>
          </w:tcPr>
          <w:p w14:paraId="1F67951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1.8</w:t>
            </w:r>
          </w:p>
        </w:tc>
        <w:tc>
          <w:tcPr>
            <w:tcW w:w="1754" w:type="dxa"/>
            <w:vAlign w:val="center"/>
          </w:tcPr>
          <w:p w14:paraId="235503F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2.2</w:t>
            </w:r>
          </w:p>
        </w:tc>
        <w:tc>
          <w:tcPr>
            <w:tcW w:w="1515" w:type="dxa"/>
            <w:vAlign w:val="center"/>
          </w:tcPr>
          <w:p w14:paraId="31B74F3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≤10mg/L</w:t>
            </w:r>
          </w:p>
        </w:tc>
      </w:tr>
      <w:tr w14:paraId="7F22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6AFDA6C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肉眼可见物</w:t>
            </w:r>
          </w:p>
        </w:tc>
        <w:tc>
          <w:tcPr>
            <w:tcW w:w="1447" w:type="dxa"/>
            <w:tcBorders>
              <w:left w:val="single" w:color="auto" w:sz="4" w:space="0"/>
            </w:tcBorders>
            <w:vAlign w:val="center"/>
          </w:tcPr>
          <w:p w14:paraId="328D459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c>
          <w:tcPr>
            <w:tcW w:w="1409" w:type="dxa"/>
            <w:vAlign w:val="center"/>
          </w:tcPr>
          <w:p w14:paraId="7130006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c>
          <w:tcPr>
            <w:tcW w:w="1754" w:type="dxa"/>
            <w:vAlign w:val="center"/>
          </w:tcPr>
          <w:p w14:paraId="6DE1BAF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较多</w:t>
            </w:r>
          </w:p>
        </w:tc>
        <w:tc>
          <w:tcPr>
            <w:tcW w:w="1515" w:type="dxa"/>
            <w:vAlign w:val="center"/>
          </w:tcPr>
          <w:p w14:paraId="4886844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无</w:t>
            </w:r>
          </w:p>
        </w:tc>
      </w:tr>
      <w:tr w14:paraId="179A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1BDBE2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样品状态</w:t>
            </w:r>
          </w:p>
        </w:tc>
        <w:tc>
          <w:tcPr>
            <w:tcW w:w="1447" w:type="dxa"/>
            <w:tcBorders>
              <w:left w:val="single" w:color="auto" w:sz="4" w:space="0"/>
            </w:tcBorders>
            <w:vAlign w:val="center"/>
          </w:tcPr>
          <w:p w14:paraId="3CE9B5B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呈微浊</w:t>
            </w:r>
          </w:p>
        </w:tc>
        <w:tc>
          <w:tcPr>
            <w:tcW w:w="1409" w:type="dxa"/>
            <w:vAlign w:val="center"/>
          </w:tcPr>
          <w:p w14:paraId="4930139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呈微浊</w:t>
            </w:r>
          </w:p>
        </w:tc>
        <w:tc>
          <w:tcPr>
            <w:tcW w:w="1754" w:type="dxa"/>
            <w:vAlign w:val="center"/>
          </w:tcPr>
          <w:p w14:paraId="2A44817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呈微浊</w:t>
            </w:r>
          </w:p>
        </w:tc>
        <w:tc>
          <w:tcPr>
            <w:tcW w:w="1515" w:type="dxa"/>
            <w:vAlign w:val="center"/>
          </w:tcPr>
          <w:p w14:paraId="44FDF45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F86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353" w:type="dxa"/>
            <w:gridSpan w:val="2"/>
            <w:tcBorders>
              <w:top w:val="single" w:color="auto" w:sz="4" w:space="0"/>
              <w:left w:val="single" w:color="auto" w:sz="4" w:space="0"/>
              <w:bottom w:val="single" w:color="auto" w:sz="4" w:space="0"/>
              <w:right w:val="single" w:color="auto" w:sz="4" w:space="0"/>
            </w:tcBorders>
            <w:vAlign w:val="center"/>
          </w:tcPr>
          <w:p w14:paraId="6E7F3CA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硒 (μg/L）</w:t>
            </w:r>
          </w:p>
        </w:tc>
        <w:tc>
          <w:tcPr>
            <w:tcW w:w="1447" w:type="dxa"/>
            <w:tcBorders>
              <w:left w:val="single" w:color="auto" w:sz="4" w:space="0"/>
            </w:tcBorders>
            <w:vAlign w:val="center"/>
          </w:tcPr>
          <w:p w14:paraId="4DE8548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vAlign w:val="center"/>
          </w:tcPr>
          <w:p w14:paraId="6A91B12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vAlign w:val="center"/>
          </w:tcPr>
          <w:p w14:paraId="7D4766B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vAlign w:val="center"/>
          </w:tcPr>
          <w:p w14:paraId="0474BAC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 1mg/L</w:t>
            </w:r>
          </w:p>
        </w:tc>
      </w:tr>
      <w:tr w14:paraId="3EDA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restart"/>
            <w:tcBorders>
              <w:top w:val="single" w:color="auto" w:sz="4" w:space="0"/>
              <w:left w:val="single" w:color="auto" w:sz="4" w:space="0"/>
              <w:right w:val="single" w:color="auto" w:sz="4" w:space="0"/>
            </w:tcBorders>
            <w:vAlign w:val="center"/>
          </w:tcPr>
          <w:p w14:paraId="1920C35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半挥发性有机(μ g/L)</w:t>
            </w: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1387E34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2-氯苯酚</w:t>
            </w:r>
          </w:p>
        </w:tc>
        <w:tc>
          <w:tcPr>
            <w:tcW w:w="1447" w:type="dxa"/>
            <w:tcBorders>
              <w:left w:val="single" w:color="auto" w:sz="4" w:space="0"/>
            </w:tcBorders>
            <w:shd w:val="clear" w:color="auto" w:fill="auto"/>
            <w:vAlign w:val="top"/>
          </w:tcPr>
          <w:p w14:paraId="716A687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E90F3B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16DCB81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A84F90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069D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1210666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D4365D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硝基苯</w:t>
            </w:r>
          </w:p>
        </w:tc>
        <w:tc>
          <w:tcPr>
            <w:tcW w:w="1447" w:type="dxa"/>
            <w:tcBorders>
              <w:left w:val="single" w:color="auto" w:sz="4" w:space="0"/>
            </w:tcBorders>
            <w:shd w:val="clear" w:color="auto" w:fill="auto"/>
            <w:vAlign w:val="top"/>
          </w:tcPr>
          <w:p w14:paraId="2E965D5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82859A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4A2CBD8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F9F48A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77A5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6B3AF99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31729BE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萘</w:t>
            </w:r>
          </w:p>
        </w:tc>
        <w:tc>
          <w:tcPr>
            <w:tcW w:w="1447" w:type="dxa"/>
            <w:tcBorders>
              <w:left w:val="single" w:color="auto" w:sz="4" w:space="0"/>
            </w:tcBorders>
            <w:shd w:val="clear" w:color="auto" w:fill="auto"/>
            <w:vAlign w:val="top"/>
          </w:tcPr>
          <w:p w14:paraId="2429BC7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7AB512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6958BC6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90DF9B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61A9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4D4168A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0C9E0A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苯并（a）蒽</w:t>
            </w:r>
          </w:p>
        </w:tc>
        <w:tc>
          <w:tcPr>
            <w:tcW w:w="1447" w:type="dxa"/>
            <w:tcBorders>
              <w:left w:val="single" w:color="auto" w:sz="4" w:space="0"/>
            </w:tcBorders>
            <w:shd w:val="clear" w:color="auto" w:fill="auto"/>
            <w:vAlign w:val="top"/>
          </w:tcPr>
          <w:p w14:paraId="1F8ADF2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7DFBE9C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8D2A47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3D6334C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1243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5B5ADD6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3C3EC4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䓛</w:t>
            </w:r>
          </w:p>
        </w:tc>
        <w:tc>
          <w:tcPr>
            <w:tcW w:w="1447" w:type="dxa"/>
            <w:tcBorders>
              <w:left w:val="single" w:color="auto" w:sz="4" w:space="0"/>
            </w:tcBorders>
            <w:shd w:val="clear" w:color="auto" w:fill="auto"/>
            <w:vAlign w:val="top"/>
          </w:tcPr>
          <w:p w14:paraId="38C32B1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1A508B9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5F80DCE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2FF44E0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3362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707" w:type="dxa"/>
            <w:vMerge w:val="continue"/>
            <w:tcBorders>
              <w:left w:val="single" w:color="auto" w:sz="4" w:space="0"/>
              <w:right w:val="single" w:color="auto" w:sz="4" w:space="0"/>
            </w:tcBorders>
            <w:vAlign w:val="center"/>
          </w:tcPr>
          <w:p w14:paraId="133B1BC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796C348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苯胺</w:t>
            </w:r>
          </w:p>
        </w:tc>
        <w:tc>
          <w:tcPr>
            <w:tcW w:w="1447" w:type="dxa"/>
            <w:tcBorders>
              <w:left w:val="single" w:color="auto" w:sz="4" w:space="0"/>
            </w:tcBorders>
            <w:shd w:val="clear" w:color="auto" w:fill="auto"/>
            <w:vAlign w:val="top"/>
          </w:tcPr>
          <w:p w14:paraId="0CC7DE4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F23931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4959F6B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76D089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0BE2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11A03B1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7E1222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苯并（b）荧蒽</w:t>
            </w:r>
          </w:p>
        </w:tc>
        <w:tc>
          <w:tcPr>
            <w:tcW w:w="1447" w:type="dxa"/>
            <w:tcBorders>
              <w:left w:val="single" w:color="auto" w:sz="4" w:space="0"/>
            </w:tcBorders>
            <w:shd w:val="clear" w:color="auto" w:fill="auto"/>
            <w:vAlign w:val="top"/>
          </w:tcPr>
          <w:p w14:paraId="5165645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9E1B59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33AE8FF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E7D546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≤8.0µg/L</w:t>
            </w:r>
          </w:p>
        </w:tc>
      </w:tr>
      <w:tr w14:paraId="2B65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B967C4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right w:val="single" w:color="auto" w:sz="4" w:space="0"/>
            </w:tcBorders>
            <w:shd w:val="clear" w:color="auto" w:fill="auto"/>
            <w:vAlign w:val="top"/>
          </w:tcPr>
          <w:p w14:paraId="0F62301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苯并（k）荧蒽</w:t>
            </w:r>
          </w:p>
        </w:tc>
        <w:tc>
          <w:tcPr>
            <w:tcW w:w="1447" w:type="dxa"/>
            <w:tcBorders>
              <w:left w:val="single" w:color="auto" w:sz="4" w:space="0"/>
            </w:tcBorders>
            <w:shd w:val="clear" w:color="auto" w:fill="auto"/>
            <w:vAlign w:val="top"/>
          </w:tcPr>
          <w:p w14:paraId="104B6C0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6ACA9FD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08AC2B3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431DF7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16B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70491C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201593C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苯并（a）芘</w:t>
            </w:r>
          </w:p>
        </w:tc>
        <w:tc>
          <w:tcPr>
            <w:tcW w:w="1447" w:type="dxa"/>
            <w:tcBorders>
              <w:left w:val="single" w:color="auto" w:sz="4" w:space="0"/>
            </w:tcBorders>
            <w:shd w:val="clear" w:color="auto" w:fill="auto"/>
            <w:vAlign w:val="top"/>
          </w:tcPr>
          <w:p w14:paraId="1711309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718E1C4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5F96B1A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9AF6C1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≤0.50µg/L</w:t>
            </w:r>
          </w:p>
        </w:tc>
      </w:tr>
      <w:tr w14:paraId="24C3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2147B87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F32AC9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茚并（1,2,3- cd）芘</w:t>
            </w:r>
          </w:p>
        </w:tc>
        <w:tc>
          <w:tcPr>
            <w:tcW w:w="1447" w:type="dxa"/>
            <w:tcBorders>
              <w:left w:val="single" w:color="auto" w:sz="4" w:space="0"/>
            </w:tcBorders>
            <w:shd w:val="clear" w:color="auto" w:fill="auto"/>
            <w:vAlign w:val="top"/>
          </w:tcPr>
          <w:p w14:paraId="5B484AC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0BA69EE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12CF71F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7F2C197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79C2798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50AD03A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10805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p w14:paraId="00EAAB6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2E71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bottom w:val="single" w:color="auto" w:sz="4" w:space="0"/>
              <w:right w:val="single" w:color="auto" w:sz="4" w:space="0"/>
            </w:tcBorders>
            <w:vAlign w:val="center"/>
          </w:tcPr>
          <w:p w14:paraId="66601ED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6C1ACAD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二苯并（ah）蒽</w:t>
            </w:r>
          </w:p>
        </w:tc>
        <w:tc>
          <w:tcPr>
            <w:tcW w:w="1447" w:type="dxa"/>
            <w:tcBorders>
              <w:left w:val="single" w:color="auto" w:sz="4" w:space="0"/>
            </w:tcBorders>
            <w:shd w:val="clear" w:color="auto" w:fill="auto"/>
            <w:vAlign w:val="top"/>
          </w:tcPr>
          <w:p w14:paraId="78813C9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E6AD61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559E98D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252645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7D5E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restart"/>
            <w:tcBorders>
              <w:top w:val="single" w:color="auto" w:sz="4" w:space="0"/>
              <w:left w:val="single" w:color="auto" w:sz="4" w:space="0"/>
              <w:right w:val="single" w:color="auto" w:sz="4" w:space="0"/>
            </w:tcBorders>
            <w:vAlign w:val="center"/>
          </w:tcPr>
          <w:p w14:paraId="3924044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挥发性有机物(μ g/L)</w:t>
            </w: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3B8425D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氯甲烷</w:t>
            </w:r>
          </w:p>
        </w:tc>
        <w:tc>
          <w:tcPr>
            <w:tcW w:w="1447" w:type="dxa"/>
            <w:tcBorders>
              <w:left w:val="single" w:color="auto" w:sz="4" w:space="0"/>
            </w:tcBorders>
            <w:shd w:val="clear" w:color="auto" w:fill="auto"/>
            <w:vAlign w:val="top"/>
          </w:tcPr>
          <w:p w14:paraId="6F65B5C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406EB80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B2A092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424CFF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0A11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E13F9A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37AB4B3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氯乙烯</w:t>
            </w:r>
          </w:p>
        </w:tc>
        <w:tc>
          <w:tcPr>
            <w:tcW w:w="1447" w:type="dxa"/>
            <w:tcBorders>
              <w:left w:val="single" w:color="auto" w:sz="4" w:space="0"/>
            </w:tcBorders>
            <w:shd w:val="clear" w:color="auto" w:fill="auto"/>
            <w:vAlign w:val="top"/>
          </w:tcPr>
          <w:p w14:paraId="158C86B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6E03742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7AE732A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89AABA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≤90.0µg/L</w:t>
            </w:r>
          </w:p>
        </w:tc>
      </w:tr>
      <w:tr w14:paraId="37AD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46B4748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5F3E7A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，1-二氯乙烯</w:t>
            </w:r>
          </w:p>
        </w:tc>
        <w:tc>
          <w:tcPr>
            <w:tcW w:w="1447" w:type="dxa"/>
            <w:tcBorders>
              <w:left w:val="single" w:color="auto" w:sz="4" w:space="0"/>
            </w:tcBorders>
            <w:shd w:val="clear" w:color="auto" w:fill="auto"/>
            <w:vAlign w:val="top"/>
          </w:tcPr>
          <w:p w14:paraId="5B7CE5A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D406FE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522EDF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69B193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1517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56943E8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40FA24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二氯甲烷</w:t>
            </w:r>
          </w:p>
        </w:tc>
        <w:tc>
          <w:tcPr>
            <w:tcW w:w="1447" w:type="dxa"/>
            <w:tcBorders>
              <w:left w:val="single" w:color="auto" w:sz="4" w:space="0"/>
            </w:tcBorders>
            <w:shd w:val="clear" w:color="auto" w:fill="auto"/>
            <w:vAlign w:val="top"/>
          </w:tcPr>
          <w:p w14:paraId="3919A88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DD7399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1D3FAD3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FBFF2C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≤500µg/L</w:t>
            </w:r>
          </w:p>
        </w:tc>
      </w:tr>
      <w:tr w14:paraId="01FD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16EEFD5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52F9C9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反式-1，2-二氯乙烯</w:t>
            </w:r>
          </w:p>
        </w:tc>
        <w:tc>
          <w:tcPr>
            <w:tcW w:w="1447" w:type="dxa"/>
            <w:tcBorders>
              <w:left w:val="single" w:color="auto" w:sz="4" w:space="0"/>
            </w:tcBorders>
            <w:shd w:val="clear" w:color="auto" w:fill="auto"/>
            <w:vAlign w:val="top"/>
          </w:tcPr>
          <w:p w14:paraId="39CB6DD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49DBFF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DA7841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60ACF81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3183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4C8EF1B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DF276A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，1-二氯乙烷</w:t>
            </w:r>
          </w:p>
        </w:tc>
        <w:tc>
          <w:tcPr>
            <w:tcW w:w="1447" w:type="dxa"/>
            <w:tcBorders>
              <w:left w:val="single" w:color="auto" w:sz="4" w:space="0"/>
            </w:tcBorders>
            <w:shd w:val="clear" w:color="auto" w:fill="auto"/>
            <w:vAlign w:val="top"/>
          </w:tcPr>
          <w:p w14:paraId="2E98972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DC08DC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359225B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3C3D295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4E8F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37ABCDA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188C19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顺式-1 ，2-二氯乙烯</w:t>
            </w:r>
          </w:p>
        </w:tc>
        <w:tc>
          <w:tcPr>
            <w:tcW w:w="1447" w:type="dxa"/>
            <w:tcBorders>
              <w:left w:val="single" w:color="auto" w:sz="4" w:space="0"/>
            </w:tcBorders>
            <w:shd w:val="clear" w:color="auto" w:fill="auto"/>
            <w:vAlign w:val="top"/>
          </w:tcPr>
          <w:p w14:paraId="703D973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150E2F9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6240517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A98C76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7E56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6C65F56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07A2DF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氯仿</w:t>
            </w:r>
          </w:p>
        </w:tc>
        <w:tc>
          <w:tcPr>
            <w:tcW w:w="1447" w:type="dxa"/>
            <w:tcBorders>
              <w:left w:val="single" w:color="auto" w:sz="4" w:space="0"/>
            </w:tcBorders>
            <w:shd w:val="clear" w:color="auto" w:fill="auto"/>
            <w:vAlign w:val="top"/>
          </w:tcPr>
          <w:p w14:paraId="08C573F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7445548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55DB671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4DE79DD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≤300µg/L</w:t>
            </w:r>
          </w:p>
        </w:tc>
      </w:tr>
      <w:tr w14:paraId="2A9B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5FB7D11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F5E9AD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，2-二氯乙烷</w:t>
            </w:r>
          </w:p>
        </w:tc>
        <w:tc>
          <w:tcPr>
            <w:tcW w:w="1447" w:type="dxa"/>
            <w:tcBorders>
              <w:left w:val="single" w:color="auto" w:sz="4" w:space="0"/>
            </w:tcBorders>
            <w:shd w:val="clear" w:color="auto" w:fill="auto"/>
            <w:vAlign w:val="top"/>
          </w:tcPr>
          <w:p w14:paraId="777646E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4669401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7C440D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6934C2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≤40.0µg/L</w:t>
            </w:r>
          </w:p>
        </w:tc>
      </w:tr>
      <w:tr w14:paraId="5A01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37A99D3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8C478F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，1 ，1-三氯乙烷</w:t>
            </w:r>
          </w:p>
        </w:tc>
        <w:tc>
          <w:tcPr>
            <w:tcW w:w="1447" w:type="dxa"/>
            <w:tcBorders>
              <w:left w:val="single" w:color="auto" w:sz="4" w:space="0"/>
            </w:tcBorders>
            <w:shd w:val="clear" w:color="auto" w:fill="auto"/>
            <w:vAlign w:val="top"/>
          </w:tcPr>
          <w:p w14:paraId="578ACC6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0EF2FB7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51F581E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ECE5ED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≤4000µg/L</w:t>
            </w:r>
          </w:p>
        </w:tc>
      </w:tr>
      <w:tr w14:paraId="7FCC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7F47274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3B08D1B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四氯化碳</w:t>
            </w:r>
          </w:p>
        </w:tc>
        <w:tc>
          <w:tcPr>
            <w:tcW w:w="1447" w:type="dxa"/>
            <w:tcBorders>
              <w:left w:val="single" w:color="auto" w:sz="4" w:space="0"/>
            </w:tcBorders>
            <w:shd w:val="clear" w:color="auto" w:fill="auto"/>
            <w:vAlign w:val="top"/>
          </w:tcPr>
          <w:p w14:paraId="2A246A8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99A787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6C272C3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5E11D7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≤50.0µg/L</w:t>
            </w:r>
          </w:p>
        </w:tc>
      </w:tr>
      <w:tr w14:paraId="4168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298EEBF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13A49C4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w:t>
            </w:r>
          </w:p>
        </w:tc>
        <w:tc>
          <w:tcPr>
            <w:tcW w:w="1447" w:type="dxa"/>
            <w:tcBorders>
              <w:left w:val="single" w:color="auto" w:sz="4" w:space="0"/>
            </w:tcBorders>
            <w:shd w:val="clear" w:color="auto" w:fill="auto"/>
            <w:vAlign w:val="top"/>
          </w:tcPr>
          <w:p w14:paraId="33126B7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4F508FF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37C001D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B09B75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≤120µg/L</w:t>
            </w:r>
          </w:p>
        </w:tc>
      </w:tr>
      <w:tr w14:paraId="6805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2CA8188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696C66B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，2-二氯丙烷</w:t>
            </w:r>
          </w:p>
        </w:tc>
        <w:tc>
          <w:tcPr>
            <w:tcW w:w="1447" w:type="dxa"/>
            <w:tcBorders>
              <w:left w:val="single" w:color="auto" w:sz="4" w:space="0"/>
            </w:tcBorders>
            <w:shd w:val="clear" w:color="auto" w:fill="auto"/>
            <w:vAlign w:val="top"/>
          </w:tcPr>
          <w:p w14:paraId="0FDE8DE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6B0BAFD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0BD0A19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30F18BA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773A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AC6386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19AE2FF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三氯乙烯</w:t>
            </w:r>
          </w:p>
        </w:tc>
        <w:tc>
          <w:tcPr>
            <w:tcW w:w="1447" w:type="dxa"/>
            <w:tcBorders>
              <w:left w:val="single" w:color="auto" w:sz="4" w:space="0"/>
            </w:tcBorders>
            <w:shd w:val="clear" w:color="auto" w:fill="auto"/>
            <w:vAlign w:val="top"/>
          </w:tcPr>
          <w:p w14:paraId="2DC3187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7C2EB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33BBAC5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2B87CFE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≤210µg/L</w:t>
            </w:r>
          </w:p>
        </w:tc>
      </w:tr>
      <w:tr w14:paraId="380D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642AD19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7A4A38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，1 ，2-三氯乙烷</w:t>
            </w:r>
          </w:p>
        </w:tc>
        <w:tc>
          <w:tcPr>
            <w:tcW w:w="1447" w:type="dxa"/>
            <w:tcBorders>
              <w:left w:val="single" w:color="auto" w:sz="4" w:space="0"/>
            </w:tcBorders>
            <w:shd w:val="clear" w:color="auto" w:fill="auto"/>
            <w:vAlign w:val="top"/>
          </w:tcPr>
          <w:p w14:paraId="53637B0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692B1CA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436017D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408ED3F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65CE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3EB69A9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1D8E0D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甲苯</w:t>
            </w:r>
          </w:p>
        </w:tc>
        <w:tc>
          <w:tcPr>
            <w:tcW w:w="1447" w:type="dxa"/>
            <w:tcBorders>
              <w:left w:val="single" w:color="auto" w:sz="4" w:space="0"/>
            </w:tcBorders>
            <w:shd w:val="clear" w:color="auto" w:fill="auto"/>
            <w:vAlign w:val="top"/>
          </w:tcPr>
          <w:p w14:paraId="233C3F1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205C02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09C3FD5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F216FC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≤1400µg/L</w:t>
            </w:r>
          </w:p>
        </w:tc>
      </w:tr>
      <w:tr w14:paraId="164B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E202C0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003BA58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四氯乙烯</w:t>
            </w:r>
          </w:p>
        </w:tc>
        <w:tc>
          <w:tcPr>
            <w:tcW w:w="1447" w:type="dxa"/>
            <w:tcBorders>
              <w:left w:val="single" w:color="auto" w:sz="4" w:space="0"/>
            </w:tcBorders>
            <w:shd w:val="clear" w:color="auto" w:fill="auto"/>
            <w:vAlign w:val="top"/>
          </w:tcPr>
          <w:p w14:paraId="4DF3D3F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15BA083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2C4BCE9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6ACBE6F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≤300µg/L</w:t>
            </w:r>
          </w:p>
        </w:tc>
      </w:tr>
      <w:tr w14:paraId="0ADA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1F96749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0F2902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 ，1 ，1，</w:t>
            </w:r>
          </w:p>
          <w:p w14:paraId="5A474BE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2-四氯乙烷</w:t>
            </w:r>
          </w:p>
        </w:tc>
        <w:tc>
          <w:tcPr>
            <w:tcW w:w="1447" w:type="dxa"/>
            <w:tcBorders>
              <w:left w:val="single" w:color="auto" w:sz="4" w:space="0"/>
            </w:tcBorders>
            <w:shd w:val="clear" w:color="auto" w:fill="auto"/>
            <w:vAlign w:val="top"/>
          </w:tcPr>
          <w:p w14:paraId="77400E8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52C29B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30DED4C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3D68EA2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160B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960185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17597DAB">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氯苯</w:t>
            </w:r>
          </w:p>
        </w:tc>
        <w:tc>
          <w:tcPr>
            <w:tcW w:w="1447" w:type="dxa"/>
            <w:tcBorders>
              <w:left w:val="single" w:color="auto" w:sz="4" w:space="0"/>
            </w:tcBorders>
            <w:shd w:val="clear" w:color="auto" w:fill="auto"/>
            <w:vAlign w:val="top"/>
          </w:tcPr>
          <w:p w14:paraId="2EE7A47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C23939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46562A7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6559C6C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0FE0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7C6A784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43EF77D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乙苯</w:t>
            </w:r>
          </w:p>
        </w:tc>
        <w:tc>
          <w:tcPr>
            <w:tcW w:w="1447" w:type="dxa"/>
            <w:tcBorders>
              <w:left w:val="single" w:color="auto" w:sz="4" w:space="0"/>
            </w:tcBorders>
            <w:shd w:val="clear" w:color="auto" w:fill="auto"/>
            <w:vAlign w:val="top"/>
          </w:tcPr>
          <w:p w14:paraId="6F9F513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6CAC9D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7493512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2B45542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2855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40F00A7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2E644AE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对/间二甲苯</w:t>
            </w:r>
          </w:p>
        </w:tc>
        <w:tc>
          <w:tcPr>
            <w:tcW w:w="1447" w:type="dxa"/>
            <w:tcBorders>
              <w:left w:val="single" w:color="auto" w:sz="4" w:space="0"/>
            </w:tcBorders>
            <w:shd w:val="clear" w:color="auto" w:fill="auto"/>
            <w:vAlign w:val="top"/>
          </w:tcPr>
          <w:p w14:paraId="3614797A">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F89697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0FDAE8C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60B44B7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≤1000µg/L</w:t>
            </w:r>
          </w:p>
        </w:tc>
      </w:tr>
      <w:tr w14:paraId="7AAB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0E66A2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55A436E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苯乙烯</w:t>
            </w:r>
          </w:p>
        </w:tc>
        <w:tc>
          <w:tcPr>
            <w:tcW w:w="1447" w:type="dxa"/>
            <w:tcBorders>
              <w:left w:val="single" w:color="auto" w:sz="4" w:space="0"/>
            </w:tcBorders>
            <w:shd w:val="clear" w:color="auto" w:fill="auto"/>
            <w:vAlign w:val="top"/>
          </w:tcPr>
          <w:p w14:paraId="671A725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5F394F4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128916A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E5F56F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≤40.0µg/L</w:t>
            </w:r>
          </w:p>
        </w:tc>
      </w:tr>
      <w:tr w14:paraId="0369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06CE956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center"/>
          </w:tcPr>
          <w:p w14:paraId="47FAAA0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1，1，2，</w:t>
            </w:r>
          </w:p>
          <w:p w14:paraId="37F6DC90">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2-四氯乙烷</w:t>
            </w:r>
          </w:p>
        </w:tc>
        <w:tc>
          <w:tcPr>
            <w:tcW w:w="1447" w:type="dxa"/>
            <w:tcBorders>
              <w:left w:val="single" w:color="auto" w:sz="4" w:space="0"/>
            </w:tcBorders>
            <w:shd w:val="clear" w:color="auto" w:fill="auto"/>
            <w:vAlign w:val="top"/>
          </w:tcPr>
          <w:p w14:paraId="080CE80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739ED1B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7E655B32">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06AD458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5796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31C9352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6C4FBDA4">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邻二甲苯</w:t>
            </w:r>
          </w:p>
        </w:tc>
        <w:tc>
          <w:tcPr>
            <w:tcW w:w="1447" w:type="dxa"/>
            <w:tcBorders>
              <w:left w:val="single" w:color="auto" w:sz="4" w:space="0"/>
            </w:tcBorders>
            <w:shd w:val="clear" w:color="auto" w:fill="auto"/>
            <w:vAlign w:val="top"/>
          </w:tcPr>
          <w:p w14:paraId="2DC35C1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DBA563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4E1E2E7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2BB0338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≤1000µg/L</w:t>
            </w:r>
          </w:p>
        </w:tc>
      </w:tr>
      <w:tr w14:paraId="1413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07" w:type="dxa"/>
            <w:vMerge w:val="continue"/>
            <w:tcBorders>
              <w:left w:val="single" w:color="auto" w:sz="4" w:space="0"/>
              <w:right w:val="single" w:color="auto" w:sz="4" w:space="0"/>
            </w:tcBorders>
            <w:vAlign w:val="center"/>
          </w:tcPr>
          <w:p w14:paraId="27E6382C">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7D001F9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1，2，3-三氯丙烷</w:t>
            </w:r>
          </w:p>
        </w:tc>
        <w:tc>
          <w:tcPr>
            <w:tcW w:w="1447" w:type="dxa"/>
            <w:tcBorders>
              <w:left w:val="single" w:color="auto" w:sz="4" w:space="0"/>
            </w:tcBorders>
            <w:shd w:val="clear" w:color="auto" w:fill="auto"/>
            <w:vAlign w:val="top"/>
          </w:tcPr>
          <w:p w14:paraId="0AB4770E">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373FDBDD">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1EAD154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7E00BD05">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w:t>
            </w:r>
          </w:p>
        </w:tc>
      </w:tr>
      <w:tr w14:paraId="13AD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707" w:type="dxa"/>
            <w:vMerge w:val="continue"/>
            <w:tcBorders>
              <w:left w:val="single" w:color="auto" w:sz="4" w:space="0"/>
              <w:right w:val="single" w:color="auto" w:sz="4" w:space="0"/>
            </w:tcBorders>
            <w:vAlign w:val="center"/>
          </w:tcPr>
          <w:p w14:paraId="0BA832F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top"/>
          </w:tcPr>
          <w:p w14:paraId="74C66B7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1，4-二氯苯</w:t>
            </w:r>
          </w:p>
        </w:tc>
        <w:tc>
          <w:tcPr>
            <w:tcW w:w="1447" w:type="dxa"/>
            <w:tcBorders>
              <w:left w:val="single" w:color="auto" w:sz="4" w:space="0"/>
            </w:tcBorders>
            <w:shd w:val="clear" w:color="auto" w:fill="auto"/>
            <w:vAlign w:val="top"/>
          </w:tcPr>
          <w:p w14:paraId="11F60999">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26C5E48F">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7EA89F5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392B07A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≤600µg/L</w:t>
            </w:r>
          </w:p>
        </w:tc>
      </w:tr>
      <w:tr w14:paraId="5A11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707" w:type="dxa"/>
            <w:vMerge w:val="continue"/>
            <w:tcBorders>
              <w:left w:val="single" w:color="auto" w:sz="4" w:space="0"/>
              <w:bottom w:val="single" w:color="auto" w:sz="4" w:space="0"/>
              <w:right w:val="single" w:color="auto" w:sz="4" w:space="0"/>
            </w:tcBorders>
            <w:vAlign w:val="center"/>
          </w:tcPr>
          <w:p w14:paraId="67A40C23">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p>
        </w:tc>
        <w:tc>
          <w:tcPr>
            <w:tcW w:w="1646" w:type="dxa"/>
            <w:tcBorders>
              <w:top w:val="single" w:color="auto" w:sz="4" w:space="0"/>
              <w:left w:val="single" w:color="auto" w:sz="4" w:space="0"/>
              <w:bottom w:val="single" w:color="auto" w:sz="4" w:space="0"/>
              <w:right w:val="single" w:color="auto" w:sz="4" w:space="0"/>
            </w:tcBorders>
            <w:shd w:val="clear" w:color="auto" w:fill="auto"/>
            <w:vAlign w:val="center"/>
          </w:tcPr>
          <w:p w14:paraId="3BC2B677">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1，2-二氯苯</w:t>
            </w:r>
          </w:p>
        </w:tc>
        <w:tc>
          <w:tcPr>
            <w:tcW w:w="1447" w:type="dxa"/>
            <w:tcBorders>
              <w:left w:val="single" w:color="auto" w:sz="4" w:space="0"/>
            </w:tcBorders>
            <w:shd w:val="clear" w:color="auto" w:fill="auto"/>
            <w:vAlign w:val="top"/>
          </w:tcPr>
          <w:p w14:paraId="6D3DEA8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409" w:type="dxa"/>
            <w:shd w:val="clear" w:color="auto" w:fill="auto"/>
            <w:vAlign w:val="top"/>
          </w:tcPr>
          <w:p w14:paraId="06DA3E38">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754" w:type="dxa"/>
            <w:shd w:val="clear" w:color="auto" w:fill="auto"/>
            <w:vAlign w:val="top"/>
          </w:tcPr>
          <w:p w14:paraId="12BD5831">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ND</w:t>
            </w:r>
          </w:p>
        </w:tc>
        <w:tc>
          <w:tcPr>
            <w:tcW w:w="1515" w:type="dxa"/>
            <w:shd w:val="clear" w:color="auto" w:fill="auto"/>
            <w:vAlign w:val="top"/>
          </w:tcPr>
          <w:p w14:paraId="576D05B6">
            <w:pPr>
              <w:widowControl w:val="0"/>
              <w:bidi w:val="0"/>
              <w:adjustRightInd w:val="0"/>
              <w:snapToGrid w:val="0"/>
              <w:jc w:val="cente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21"/>
                <w:szCs w:val="22"/>
                <w:lang w:val="en-US" w:eastAsia="zh-CN" w:bidi="ar-SA"/>
                <w14:textFill>
                  <w14:solidFill>
                    <w14:schemeClr w14:val="tx1"/>
                  </w14:solidFill>
                </w14:textFill>
              </w:rPr>
              <w:t>≤2000µg/L</w:t>
            </w:r>
          </w:p>
        </w:tc>
      </w:tr>
    </w:tbl>
    <w:p w14:paraId="7F9CECF7">
      <w:pPr>
        <w:bidi w:val="0"/>
        <w:spacing w:before="50" w:beforeLines="50" w:line="360" w:lineRule="auto"/>
        <w:jc w:val="center"/>
        <w:outlineLvl w:val="4"/>
        <w:rPr>
          <w:rFonts w:ascii="Times New Roman" w:hAnsi="Times New Roman" w:eastAsia="仿宋_GB2312" w:cstheme="minorBidi"/>
          <w:b/>
          <w:color w:val="auto"/>
          <w:kern w:val="2"/>
          <w:sz w:val="24"/>
          <w:szCs w:val="22"/>
          <w:lang w:val="en-US" w:eastAsia="zh-CN" w:bidi="ar-SA"/>
        </w:rPr>
      </w:pPr>
    </w:p>
    <w:p w14:paraId="0A7E5A44">
      <w:pPr>
        <w:rPr>
          <w:color w:val="auto"/>
        </w:rPr>
      </w:pPr>
      <w:r>
        <w:rPr>
          <w:rFonts w:hint="eastAsia"/>
          <w:color w:val="auto"/>
        </w:rPr>
        <w:t>根据检测结果，地下水中总硬度、浊度超过《地下水质量标准》（GB/T14848-2017）中Ⅳ类水质标准，企业日常生产中不使用含钙、镁的原辅料，且不进行地下水 开采，故不会产生不利影响。锰、钠、溶解性固体、氯化物、碘化物为《地下水质量 标准（GB/T14848-2017）中Ⅳ类水质，铝、砷、氨氮、硫酸盐为《地下水质量标准》 （GB/T14848-2017）中Ⅲ类水质，硒、镉、亚硝酸盐氮为《地下水质量标准》（GB/T14848-2017）中 II 类水质，其余检测指标均为《地下水质量标准》（GB/T14848-2017）中 I 类水质。</w:t>
      </w:r>
    </w:p>
    <w:p w14:paraId="1D02820C">
      <w:pPr>
        <w:rPr>
          <w:color w:val="auto"/>
        </w:rPr>
      </w:pPr>
    </w:p>
    <w:p w14:paraId="7F78611A">
      <w:pPr>
        <w:rPr>
          <w:color w:val="auto"/>
        </w:rPr>
      </w:pPr>
    </w:p>
    <w:p w14:paraId="12378F31">
      <w:pPr>
        <w:rPr>
          <w:color w:val="auto"/>
        </w:rPr>
      </w:pPr>
    </w:p>
    <w:p w14:paraId="5A5064B8">
      <w:pPr>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4164AB42">
      <w:pPr>
        <w:pStyle w:val="4"/>
        <w:bidi w:val="0"/>
        <w:rPr>
          <w:color w:val="auto"/>
          <w:lang w:val="en-US" w:eastAsia="zh-CN"/>
        </w:rPr>
      </w:pPr>
      <w:bookmarkStart w:id="253" w:name="_Toc32568"/>
      <w:bookmarkStart w:id="254" w:name="_Toc8687"/>
      <w:bookmarkStart w:id="255" w:name="_Toc29188"/>
      <w:r>
        <w:rPr>
          <w:rFonts w:hint="eastAsia"/>
          <w:color w:val="auto"/>
          <w:lang w:val="en-US" w:eastAsia="zh-CN"/>
        </w:rPr>
        <w:t>土壤环境质量现状调查与评价</w:t>
      </w:r>
      <w:bookmarkEnd w:id="253"/>
      <w:bookmarkEnd w:id="254"/>
      <w:bookmarkEnd w:id="255"/>
    </w:p>
    <w:p w14:paraId="60691699">
      <w:pPr>
        <w:rPr>
          <w:rFonts w:ascii="Times New Roman" w:hAnsi="Times New Roman"/>
          <w:color w:val="auto"/>
        </w:rPr>
      </w:pPr>
      <w:r>
        <w:rPr>
          <w:rFonts w:hint="eastAsia" w:ascii="Times New Roman" w:hAnsi="Times New Roman"/>
          <w:color w:val="auto"/>
        </w:rPr>
        <w:t>本项目土壤环境评价工作等级为</w:t>
      </w:r>
      <w:r>
        <w:rPr>
          <w:rFonts w:hint="eastAsia"/>
          <w:color w:val="auto"/>
          <w:lang w:val="en-US" w:eastAsia="zh-CN"/>
        </w:rPr>
        <w:t>二</w:t>
      </w:r>
      <w:r>
        <w:rPr>
          <w:rFonts w:hint="eastAsia" w:ascii="Times New Roman" w:hAnsi="Times New Roman"/>
          <w:color w:val="auto"/>
        </w:rPr>
        <w:t>级评价，项目土壤环境质量现状调查与评价按照《环境影响评价技术导则土壤环境（试行）》（HJ964-2018）进行。</w:t>
      </w:r>
    </w:p>
    <w:p w14:paraId="32B48E36">
      <w:pPr>
        <w:pStyle w:val="5"/>
        <w:bidi w:val="0"/>
        <w:rPr>
          <w:color w:val="auto"/>
          <w:lang w:val="en-US" w:eastAsia="zh-CN"/>
        </w:rPr>
      </w:pPr>
      <w:r>
        <w:rPr>
          <w:rFonts w:hint="eastAsia"/>
          <w:color w:val="auto"/>
          <w:lang w:val="en-US" w:eastAsia="zh-CN"/>
        </w:rPr>
        <w:t>土壤环境质量现状监测</w:t>
      </w:r>
    </w:p>
    <w:p w14:paraId="76D0AAFF">
      <w:pPr>
        <w:bidi w:val="0"/>
        <w:rPr>
          <w:rFonts w:hint="eastAsia" w:ascii="Times New Roman" w:hAnsi="Times New Roman"/>
          <w:color w:val="auto"/>
        </w:rPr>
      </w:pPr>
      <w:r>
        <w:rPr>
          <w:rFonts w:hint="eastAsia" w:ascii="Times New Roman" w:hAnsi="Times New Roman"/>
          <w:color w:val="auto"/>
        </w:rPr>
        <w:t>本次土壤环境质量现状采取了现场实测及例行监测数据引用进行评价。</w:t>
      </w:r>
    </w:p>
    <w:p w14:paraId="6E907A61">
      <w:pPr>
        <w:bidi w:val="0"/>
        <w:rPr>
          <w:rFonts w:hint="eastAsia" w:ascii="Times New Roman" w:hAnsi="Times New Roman"/>
          <w:color w:val="auto"/>
        </w:rPr>
      </w:pPr>
      <w:r>
        <w:rPr>
          <w:rFonts w:hint="eastAsia" w:ascii="Times New Roman" w:hAnsi="Times New Roman"/>
          <w:color w:val="auto"/>
        </w:rPr>
        <w:t>（1）数据来源</w:t>
      </w:r>
    </w:p>
    <w:p w14:paraId="1664C27E">
      <w:pPr>
        <w:bidi w:val="0"/>
        <w:rPr>
          <w:rFonts w:ascii="Times New Roman" w:hAnsi="Times New Roman"/>
          <w:color w:val="auto"/>
        </w:rPr>
      </w:pPr>
      <w:r>
        <w:rPr>
          <w:rFonts w:hint="eastAsia" w:ascii="Times New Roman" w:hAnsi="Times New Roman"/>
          <w:color w:val="auto"/>
        </w:rPr>
        <w:t>土壤环境质量监测引用江苏国森检测技术有限公司进行的现场采样结果，现场采样时间为 2023.10.26 ，报告编号为 GSC23104867  Ⅲ；以及现场采样时间为 2024.04.08 ，报告编号为 GSC24031034 I；监测期间现有项目正常满负荷生产。</w:t>
      </w:r>
    </w:p>
    <w:p w14:paraId="3351463D">
      <w:pPr>
        <w:bidi w:val="0"/>
        <w:rPr>
          <w:rFonts w:ascii="Times New Roman" w:hAnsi="Times New Roman"/>
          <w:color w:val="auto"/>
        </w:rPr>
      </w:pPr>
      <w:r>
        <w:rPr>
          <w:rFonts w:ascii="Times New Roman" w:hAnsi="Times New Roman"/>
          <w:color w:val="auto"/>
        </w:rPr>
        <w:t>（</w:t>
      </w:r>
      <w:r>
        <w:rPr>
          <w:rFonts w:hint="eastAsia"/>
          <w:color w:val="auto"/>
          <w:lang w:val="en-US" w:eastAsia="zh-CN"/>
        </w:rPr>
        <w:t>2</w:t>
      </w:r>
      <w:r>
        <w:rPr>
          <w:rFonts w:ascii="Times New Roman" w:hAnsi="Times New Roman"/>
          <w:color w:val="auto"/>
        </w:rPr>
        <w:t>）监测点布设</w:t>
      </w:r>
    </w:p>
    <w:p w14:paraId="23B0D35A">
      <w:pPr>
        <w:bidi w:val="0"/>
        <w:rPr>
          <w:rFonts w:ascii="Times New Roman" w:hAnsi="Times New Roman"/>
          <w:color w:val="auto"/>
        </w:rPr>
      </w:pPr>
      <w:r>
        <w:rPr>
          <w:rFonts w:ascii="Times New Roman" w:hAnsi="Times New Roman"/>
          <w:color w:val="auto"/>
        </w:rPr>
        <w:t>本次监测设置</w:t>
      </w:r>
      <w:r>
        <w:rPr>
          <w:rFonts w:hint="eastAsia"/>
          <w:color w:val="auto"/>
          <w:lang w:val="en-US" w:eastAsia="zh-CN"/>
        </w:rPr>
        <w:t>9</w:t>
      </w:r>
      <w:r>
        <w:rPr>
          <w:rFonts w:ascii="Times New Roman" w:hAnsi="Times New Roman"/>
          <w:color w:val="auto"/>
        </w:rPr>
        <w:t>个土壤监测点。</w:t>
      </w:r>
    </w:p>
    <w:p w14:paraId="7DBC8A9E">
      <w:pPr>
        <w:pStyle w:val="25"/>
        <w:bidi w:val="0"/>
        <w:rPr>
          <w:color w:val="auto"/>
          <w:lang w:val="en-US" w:eastAsia="zh-CN"/>
        </w:rPr>
      </w:pPr>
      <w:r>
        <w:rPr>
          <w:color w:val="auto"/>
          <w:lang w:val="en-US" w:eastAsia="zh-CN"/>
        </w:rPr>
        <w:t>表</w:t>
      </w:r>
      <w:r>
        <w:rPr>
          <w:color w:val="auto"/>
          <w:lang w:val="en-US" w:eastAsia="zh-CN"/>
        </w:rPr>
        <w:fldChar w:fldCharType="begin"/>
      </w:r>
      <w:r>
        <w:rPr>
          <w:color w:val="auto"/>
          <w:lang w:val="en-US" w:eastAsia="zh-CN"/>
        </w:rPr>
        <w:instrText xml:space="preserve"> STYLEREF 2 \s </w:instrText>
      </w:r>
      <w:r>
        <w:rPr>
          <w:color w:val="auto"/>
          <w:lang w:val="en-US" w:eastAsia="zh-CN"/>
        </w:rPr>
        <w:fldChar w:fldCharType="separate"/>
      </w:r>
      <w:r>
        <w:rPr>
          <w:color w:val="auto"/>
          <w:lang w:val="en-US" w:eastAsia="zh-CN"/>
        </w:rPr>
        <w:t>5.2</w:t>
      </w:r>
      <w:r>
        <w:rPr>
          <w:color w:val="auto"/>
          <w:lang w:val="en-US" w:eastAsia="zh-CN"/>
        </w:rPr>
        <w:fldChar w:fldCharType="end"/>
      </w:r>
      <w:r>
        <w:rPr>
          <w:color w:val="auto"/>
          <w:lang w:val="en-US" w:eastAsia="zh-CN"/>
        </w:rPr>
        <w:noBreakHyphen/>
      </w:r>
      <w:r>
        <w:rPr>
          <w:color w:val="auto"/>
          <w:lang w:val="en-US" w:eastAsia="zh-CN"/>
        </w:rPr>
        <w:fldChar w:fldCharType="begin"/>
      </w:r>
      <w:r>
        <w:rPr>
          <w:color w:val="auto"/>
          <w:lang w:val="en-US" w:eastAsia="zh-CN"/>
        </w:rPr>
        <w:instrText xml:space="preserve"> SEQ 表 \* ARABIC \s 2 </w:instrText>
      </w:r>
      <w:r>
        <w:rPr>
          <w:color w:val="auto"/>
          <w:lang w:val="en-US" w:eastAsia="zh-CN"/>
        </w:rPr>
        <w:fldChar w:fldCharType="separate"/>
      </w:r>
      <w:r>
        <w:rPr>
          <w:color w:val="auto"/>
          <w:lang w:val="en-US" w:eastAsia="zh-CN"/>
        </w:rPr>
        <w:t>15</w:t>
      </w:r>
      <w:r>
        <w:rPr>
          <w:color w:val="auto"/>
          <w:lang w:val="en-US" w:eastAsia="zh-CN"/>
        </w:rPr>
        <w:fldChar w:fldCharType="end"/>
      </w:r>
      <w:r>
        <w:rPr>
          <w:color w:val="auto"/>
          <w:lang w:val="en-US" w:eastAsia="zh-CN"/>
        </w:rPr>
        <w:t>土壤环境现状监测点位</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93"/>
        <w:gridCol w:w="2134"/>
        <w:gridCol w:w="800"/>
        <w:gridCol w:w="1780"/>
        <w:gridCol w:w="2539"/>
      </w:tblGrid>
      <w:tr w14:paraId="1828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shd w:val="clear" w:color="auto" w:fill="auto"/>
            <w:vAlign w:val="center"/>
          </w:tcPr>
          <w:p w14:paraId="75808967">
            <w:pPr>
              <w:pStyle w:val="26"/>
              <w:bidi w:val="0"/>
              <w:jc w:val="center"/>
              <w:rPr>
                <w:rFonts w:hint="eastAsia"/>
                <w:lang w:val="en-US" w:eastAsia="en-US"/>
              </w:rPr>
            </w:pPr>
            <w:r>
              <w:rPr>
                <w:rFonts w:hint="eastAsia"/>
                <w:lang w:val="en-US" w:eastAsia="zh-CN"/>
              </w:rPr>
              <w:t>位置</w:t>
            </w:r>
          </w:p>
        </w:tc>
        <w:tc>
          <w:tcPr>
            <w:tcW w:w="593" w:type="dxa"/>
            <w:shd w:val="clear" w:color="auto" w:fill="auto"/>
            <w:vAlign w:val="center"/>
          </w:tcPr>
          <w:p w14:paraId="35B4F57E">
            <w:pPr>
              <w:pStyle w:val="26"/>
              <w:bidi w:val="0"/>
              <w:jc w:val="center"/>
              <w:rPr>
                <w:rFonts w:hint="eastAsia"/>
                <w:lang w:val="en-US" w:eastAsia="en-US"/>
              </w:rPr>
            </w:pPr>
            <w:r>
              <w:rPr>
                <w:rFonts w:hint="eastAsia"/>
                <w:lang w:val="en-US" w:eastAsia="zh-CN"/>
              </w:rPr>
              <w:t>点位</w:t>
            </w:r>
          </w:p>
        </w:tc>
        <w:tc>
          <w:tcPr>
            <w:tcW w:w="2134" w:type="dxa"/>
            <w:shd w:val="clear" w:color="auto" w:fill="auto"/>
            <w:vAlign w:val="center"/>
          </w:tcPr>
          <w:p w14:paraId="38F994C7">
            <w:pPr>
              <w:pStyle w:val="26"/>
              <w:bidi w:val="0"/>
              <w:jc w:val="center"/>
              <w:rPr>
                <w:rFonts w:hint="eastAsia"/>
                <w:lang w:val="en-US" w:eastAsia="en-US"/>
              </w:rPr>
            </w:pPr>
            <w:r>
              <w:rPr>
                <w:rFonts w:hint="eastAsia"/>
                <w:lang w:val="en-US" w:eastAsia="zh-CN"/>
              </w:rPr>
              <w:t>监测点位置</w:t>
            </w:r>
          </w:p>
        </w:tc>
        <w:tc>
          <w:tcPr>
            <w:tcW w:w="800" w:type="dxa"/>
            <w:shd w:val="clear" w:color="auto" w:fill="auto"/>
            <w:vAlign w:val="center"/>
          </w:tcPr>
          <w:p w14:paraId="1B5187D9">
            <w:pPr>
              <w:pStyle w:val="26"/>
              <w:bidi w:val="0"/>
              <w:jc w:val="center"/>
              <w:rPr>
                <w:rFonts w:hint="eastAsia"/>
                <w:lang w:val="en-US" w:eastAsia="en-US"/>
              </w:rPr>
            </w:pPr>
            <w:r>
              <w:rPr>
                <w:rFonts w:hint="eastAsia"/>
                <w:lang w:val="en-US" w:eastAsia="zh-CN"/>
              </w:rPr>
              <w:t>采样类别</w:t>
            </w:r>
          </w:p>
        </w:tc>
        <w:tc>
          <w:tcPr>
            <w:tcW w:w="1780" w:type="dxa"/>
            <w:shd w:val="clear" w:color="auto" w:fill="auto"/>
            <w:vAlign w:val="center"/>
          </w:tcPr>
          <w:p w14:paraId="7DEDC595">
            <w:pPr>
              <w:pStyle w:val="26"/>
              <w:bidi w:val="0"/>
              <w:jc w:val="center"/>
              <w:rPr>
                <w:rFonts w:hint="eastAsia"/>
                <w:lang w:val="en-US" w:eastAsia="en-US"/>
              </w:rPr>
            </w:pPr>
            <w:r>
              <w:rPr>
                <w:rFonts w:hint="eastAsia"/>
                <w:lang w:val="en-US" w:eastAsia="zh-CN"/>
              </w:rPr>
              <w:t>采样要求</w:t>
            </w:r>
          </w:p>
        </w:tc>
        <w:tc>
          <w:tcPr>
            <w:tcW w:w="2539" w:type="dxa"/>
            <w:shd w:val="clear" w:color="auto" w:fill="auto"/>
            <w:vAlign w:val="center"/>
          </w:tcPr>
          <w:p w14:paraId="757A18F8">
            <w:pPr>
              <w:pStyle w:val="26"/>
              <w:bidi w:val="0"/>
              <w:jc w:val="center"/>
              <w:rPr>
                <w:rFonts w:hint="eastAsia"/>
                <w:lang w:val="en-US" w:eastAsia="en-US"/>
              </w:rPr>
            </w:pPr>
            <w:r>
              <w:rPr>
                <w:rFonts w:hint="eastAsia"/>
                <w:lang w:val="en-US" w:eastAsia="zh-CN"/>
              </w:rPr>
              <w:t>监测因子</w:t>
            </w:r>
          </w:p>
        </w:tc>
      </w:tr>
      <w:tr w14:paraId="4C7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shd w:val="clear" w:color="auto" w:fill="auto"/>
            <w:vAlign w:val="center"/>
          </w:tcPr>
          <w:p w14:paraId="31637A2A">
            <w:pPr>
              <w:pStyle w:val="26"/>
              <w:bidi w:val="0"/>
              <w:jc w:val="center"/>
              <w:rPr>
                <w:rFonts w:hint="eastAsia"/>
                <w:lang w:val="en-US" w:eastAsia="zh-CN"/>
              </w:rPr>
            </w:pPr>
            <w:r>
              <w:rPr>
                <w:rFonts w:hint="eastAsia"/>
                <w:lang w:val="en-US" w:eastAsia="zh-CN"/>
              </w:rPr>
              <w:t>占地范围外</w:t>
            </w:r>
          </w:p>
        </w:tc>
        <w:tc>
          <w:tcPr>
            <w:tcW w:w="593" w:type="dxa"/>
            <w:shd w:val="clear" w:color="auto" w:fill="auto"/>
            <w:vAlign w:val="center"/>
          </w:tcPr>
          <w:p w14:paraId="1AB7B459">
            <w:pPr>
              <w:pStyle w:val="26"/>
              <w:bidi w:val="0"/>
              <w:jc w:val="center"/>
              <w:rPr>
                <w:rFonts w:hint="eastAsia"/>
                <w:lang w:val="en-US" w:eastAsia="zh-CN"/>
              </w:rPr>
            </w:pPr>
            <w:r>
              <w:rPr>
                <w:rFonts w:hint="eastAsia"/>
                <w:lang w:val="en-US" w:eastAsia="zh-CN"/>
              </w:rPr>
              <w:t>S0</w:t>
            </w:r>
          </w:p>
        </w:tc>
        <w:tc>
          <w:tcPr>
            <w:tcW w:w="2134" w:type="dxa"/>
            <w:shd w:val="clear" w:color="auto" w:fill="auto"/>
            <w:vAlign w:val="center"/>
          </w:tcPr>
          <w:p w14:paraId="4438FD5C">
            <w:pPr>
              <w:pStyle w:val="26"/>
              <w:bidi w:val="0"/>
              <w:jc w:val="center"/>
              <w:rPr>
                <w:rFonts w:hint="eastAsia"/>
                <w:lang w:val="en-US" w:eastAsia="zh-CN"/>
              </w:rPr>
            </w:pPr>
            <w:r>
              <w:rPr>
                <w:rFonts w:hint="eastAsia"/>
                <w:lang w:val="en-US" w:eastAsia="zh-CN"/>
              </w:rPr>
              <w:t>绿化带（E:121°06' 12.01915" ；</w:t>
            </w:r>
          </w:p>
          <w:p w14:paraId="65CEA1BD">
            <w:pPr>
              <w:pStyle w:val="26"/>
              <w:bidi w:val="0"/>
              <w:jc w:val="center"/>
              <w:rPr>
                <w:rFonts w:hint="eastAsia"/>
                <w:lang w:val="en-US" w:eastAsia="zh-CN"/>
              </w:rPr>
            </w:pPr>
            <w:r>
              <w:rPr>
                <w:rFonts w:hint="eastAsia"/>
                <w:lang w:val="en-US" w:eastAsia="zh-CN"/>
              </w:rPr>
              <w:t>N31°18'43.25643"）</w:t>
            </w:r>
          </w:p>
        </w:tc>
        <w:tc>
          <w:tcPr>
            <w:tcW w:w="800" w:type="dxa"/>
            <w:shd w:val="clear" w:color="auto" w:fill="auto"/>
            <w:vAlign w:val="center"/>
          </w:tcPr>
          <w:p w14:paraId="2D67859D">
            <w:pPr>
              <w:pStyle w:val="26"/>
              <w:bidi w:val="0"/>
              <w:jc w:val="center"/>
              <w:rPr>
                <w:rFonts w:hint="eastAsia"/>
                <w:lang w:val="en-US" w:eastAsia="zh-CN"/>
              </w:rPr>
            </w:pPr>
            <w:r>
              <w:rPr>
                <w:rFonts w:hint="eastAsia"/>
                <w:lang w:val="en-US" w:eastAsia="zh-CN"/>
              </w:rPr>
              <w:t>表层</w:t>
            </w:r>
          </w:p>
        </w:tc>
        <w:tc>
          <w:tcPr>
            <w:tcW w:w="1780" w:type="dxa"/>
            <w:shd w:val="clear" w:color="auto" w:fill="auto"/>
            <w:vAlign w:val="center"/>
          </w:tcPr>
          <w:p w14:paraId="100A7E73">
            <w:pPr>
              <w:pStyle w:val="26"/>
              <w:bidi w:val="0"/>
              <w:jc w:val="center"/>
              <w:rPr>
                <w:rFonts w:hint="eastAsia"/>
                <w:lang w:val="en-US" w:eastAsia="zh-CN"/>
              </w:rPr>
            </w:pPr>
            <w:r>
              <w:rPr>
                <w:rFonts w:hint="eastAsia"/>
                <w:lang w:val="en-US" w:eastAsia="zh-CN"/>
              </w:rPr>
              <w:t>在 0~0.2m 取样</w:t>
            </w:r>
          </w:p>
        </w:tc>
        <w:tc>
          <w:tcPr>
            <w:tcW w:w="2539" w:type="dxa"/>
            <w:vMerge w:val="restart"/>
            <w:shd w:val="clear" w:color="auto" w:fill="auto"/>
            <w:vAlign w:val="center"/>
          </w:tcPr>
          <w:p w14:paraId="56895553">
            <w:pPr>
              <w:pStyle w:val="26"/>
              <w:bidi w:val="0"/>
              <w:jc w:val="center"/>
              <w:rPr>
                <w:rFonts w:hint="eastAsia"/>
                <w:lang w:val="en-US" w:eastAsia="zh-CN"/>
              </w:rPr>
            </w:pPr>
            <w:r>
              <w:rPr>
                <w:rFonts w:hint="eastAsia"/>
                <w:lang w:val="en-US" w:eastAsia="zh-CN"/>
              </w:rPr>
              <w:t>一般监测因子 45 项，砷、镉、铜、</w:t>
            </w:r>
          </w:p>
          <w:p w14:paraId="101B37B6">
            <w:pPr>
              <w:pStyle w:val="26"/>
              <w:bidi w:val="0"/>
              <w:jc w:val="center"/>
              <w:rPr>
                <w:rFonts w:hint="eastAsia"/>
                <w:lang w:val="en-US" w:eastAsia="zh-CN"/>
              </w:rPr>
            </w:pPr>
            <w:r>
              <w:rPr>
                <w:rFonts w:hint="eastAsia"/>
                <w:lang w:val="en-US" w:eastAsia="zh-CN"/>
              </w:rPr>
              <w:t>铅、汞、镍、铬（六价）、四氯化</w:t>
            </w:r>
          </w:p>
          <w:p w14:paraId="62701187">
            <w:pPr>
              <w:pStyle w:val="26"/>
              <w:bidi w:val="0"/>
              <w:jc w:val="center"/>
              <w:rPr>
                <w:rFonts w:hint="eastAsia"/>
                <w:lang w:val="en-US" w:eastAsia="zh-CN"/>
              </w:rPr>
            </w:pPr>
            <w:r>
              <w:rPr>
                <w:rFonts w:hint="eastAsia"/>
                <w:lang w:val="en-US" w:eastAsia="zh-CN"/>
              </w:rPr>
              <w:t>碳、氯仿、氯甲烷、1, 1-二氯乙烷、</w:t>
            </w:r>
          </w:p>
          <w:p w14:paraId="653ABCBB">
            <w:pPr>
              <w:pStyle w:val="26"/>
              <w:bidi w:val="0"/>
              <w:jc w:val="center"/>
              <w:rPr>
                <w:rFonts w:hint="eastAsia"/>
                <w:lang w:val="en-US" w:eastAsia="zh-CN"/>
              </w:rPr>
            </w:pPr>
            <w:r>
              <w:rPr>
                <w:rFonts w:hint="eastAsia"/>
                <w:lang w:val="en-US" w:eastAsia="zh-CN"/>
              </w:rPr>
              <w:t>1,2-二氯乙烷、1, 1-二氯乙烯、顺-</w:t>
            </w:r>
          </w:p>
          <w:p w14:paraId="237EFF99">
            <w:pPr>
              <w:pStyle w:val="26"/>
              <w:bidi w:val="0"/>
              <w:jc w:val="center"/>
              <w:rPr>
                <w:rFonts w:hint="eastAsia"/>
                <w:lang w:val="en-US" w:eastAsia="zh-CN"/>
              </w:rPr>
            </w:pPr>
            <w:r>
              <w:rPr>
                <w:rFonts w:hint="eastAsia"/>
                <w:lang w:val="en-US" w:eastAsia="zh-CN"/>
              </w:rPr>
              <w:t>1,2-二氯乙烯、反-1,2-二氯乙烯、二</w:t>
            </w:r>
          </w:p>
          <w:p w14:paraId="62C2084D">
            <w:pPr>
              <w:pStyle w:val="26"/>
              <w:bidi w:val="0"/>
              <w:jc w:val="center"/>
              <w:rPr>
                <w:rFonts w:hint="eastAsia"/>
                <w:lang w:val="en-US" w:eastAsia="zh-CN"/>
              </w:rPr>
            </w:pPr>
            <w:r>
              <w:rPr>
                <w:rFonts w:hint="eastAsia"/>
                <w:lang w:val="en-US" w:eastAsia="zh-CN"/>
              </w:rPr>
              <w:t>氯甲烷、1,2-二氯丙烷、1, 1, 1,2-四氯</w:t>
            </w:r>
          </w:p>
          <w:p w14:paraId="6EB4D7E4">
            <w:pPr>
              <w:pStyle w:val="26"/>
              <w:bidi w:val="0"/>
              <w:jc w:val="center"/>
              <w:rPr>
                <w:rFonts w:hint="eastAsia"/>
                <w:lang w:val="en-US" w:eastAsia="zh-CN"/>
              </w:rPr>
            </w:pPr>
            <w:r>
              <w:rPr>
                <w:rFonts w:hint="eastAsia"/>
                <w:lang w:val="en-US" w:eastAsia="zh-CN"/>
              </w:rPr>
              <w:t>乙烷、1, 1,2,2-四氯乙烷、四氯乙</w:t>
            </w:r>
          </w:p>
          <w:p w14:paraId="7C9EB90C">
            <w:pPr>
              <w:pStyle w:val="26"/>
              <w:bidi w:val="0"/>
              <w:jc w:val="center"/>
              <w:rPr>
                <w:rFonts w:hint="eastAsia"/>
                <w:lang w:val="en-US" w:eastAsia="zh-CN"/>
              </w:rPr>
            </w:pPr>
            <w:r>
              <w:rPr>
                <w:rFonts w:hint="eastAsia"/>
                <w:lang w:val="en-US" w:eastAsia="zh-CN"/>
              </w:rPr>
              <w:t>烯、1, 1, 1-三氯乙烷、1, 1,2-三氯乙</w:t>
            </w:r>
          </w:p>
          <w:p w14:paraId="6247B78D">
            <w:pPr>
              <w:pStyle w:val="26"/>
              <w:bidi w:val="0"/>
              <w:jc w:val="center"/>
              <w:rPr>
                <w:rFonts w:hint="eastAsia"/>
                <w:lang w:val="en-US" w:eastAsia="zh-CN"/>
              </w:rPr>
            </w:pPr>
            <w:r>
              <w:rPr>
                <w:rFonts w:hint="eastAsia"/>
                <w:lang w:val="en-US" w:eastAsia="zh-CN"/>
              </w:rPr>
              <w:t>烷、三氯乙烯、1,2,3-三氯丙烷、氯</w:t>
            </w:r>
          </w:p>
          <w:p w14:paraId="4A64CF1F">
            <w:pPr>
              <w:pStyle w:val="26"/>
              <w:bidi w:val="0"/>
              <w:jc w:val="center"/>
              <w:rPr>
                <w:rFonts w:hint="eastAsia"/>
                <w:lang w:val="en-US" w:eastAsia="zh-CN"/>
              </w:rPr>
            </w:pPr>
            <w:r>
              <w:rPr>
                <w:rFonts w:hint="eastAsia"/>
                <w:lang w:val="en-US" w:eastAsia="zh-CN"/>
              </w:rPr>
              <w:t>乙烯、苯、氯苯、1,2-二氯苯、1,4-</w:t>
            </w:r>
          </w:p>
          <w:p w14:paraId="12838F33">
            <w:pPr>
              <w:pStyle w:val="26"/>
              <w:bidi w:val="0"/>
              <w:jc w:val="center"/>
              <w:rPr>
                <w:rFonts w:hint="eastAsia"/>
                <w:lang w:val="en-US" w:eastAsia="zh-CN"/>
              </w:rPr>
            </w:pPr>
            <w:r>
              <w:rPr>
                <w:rFonts w:hint="eastAsia"/>
                <w:lang w:val="en-US" w:eastAsia="zh-CN"/>
              </w:rPr>
              <w:t>二氯苯、乙苯、苯乙烯、 甲苯、间</w:t>
            </w:r>
          </w:p>
          <w:p w14:paraId="70E4142E">
            <w:pPr>
              <w:pStyle w:val="26"/>
              <w:bidi w:val="0"/>
              <w:jc w:val="center"/>
              <w:rPr>
                <w:rFonts w:hint="eastAsia"/>
                <w:lang w:val="en-US" w:eastAsia="zh-CN"/>
              </w:rPr>
            </w:pPr>
            <w:r>
              <w:rPr>
                <w:rFonts w:hint="eastAsia"/>
                <w:lang w:val="en-US" w:eastAsia="zh-CN"/>
              </w:rPr>
              <w:t>二甲苯+对二甲苯、邻二甲苯、硝基</w:t>
            </w:r>
          </w:p>
          <w:p w14:paraId="54D561C0">
            <w:pPr>
              <w:pStyle w:val="26"/>
              <w:bidi w:val="0"/>
              <w:jc w:val="center"/>
              <w:rPr>
                <w:rFonts w:hint="eastAsia"/>
                <w:lang w:val="en-US" w:eastAsia="zh-CN"/>
              </w:rPr>
            </w:pPr>
            <w:r>
              <w:rPr>
                <w:rFonts w:hint="eastAsia"/>
                <w:lang w:val="en-US" w:eastAsia="zh-CN"/>
              </w:rPr>
              <w:t>苯、苯胺、2－氯酚（2-氯苯酚）、</w:t>
            </w:r>
          </w:p>
          <w:p w14:paraId="7FCA0C3C">
            <w:pPr>
              <w:pStyle w:val="26"/>
              <w:bidi w:val="0"/>
              <w:jc w:val="center"/>
              <w:rPr>
                <w:rFonts w:hint="eastAsia"/>
                <w:lang w:val="en-US" w:eastAsia="zh-CN"/>
              </w:rPr>
            </w:pPr>
            <w:r>
              <w:rPr>
                <w:rFonts w:hint="eastAsia"/>
                <w:lang w:val="en-US" w:eastAsia="zh-CN"/>
              </w:rPr>
              <w:t>苯并（a）蒽、苯并（a）芘、苯并</w:t>
            </w:r>
          </w:p>
          <w:p w14:paraId="1C968CD2">
            <w:pPr>
              <w:pStyle w:val="26"/>
              <w:bidi w:val="0"/>
              <w:jc w:val="center"/>
              <w:rPr>
                <w:rFonts w:hint="eastAsia"/>
                <w:lang w:val="en-US" w:eastAsia="zh-CN"/>
              </w:rPr>
            </w:pPr>
            <w:r>
              <w:rPr>
                <w:rFonts w:hint="eastAsia"/>
                <w:lang w:val="en-US" w:eastAsia="zh-CN"/>
              </w:rPr>
              <w:t>（b）荧蒽、苯并（k）荧蒽、䓛、</w:t>
            </w:r>
          </w:p>
          <w:p w14:paraId="46A002CB">
            <w:pPr>
              <w:pStyle w:val="26"/>
              <w:bidi w:val="0"/>
              <w:jc w:val="center"/>
              <w:rPr>
                <w:rFonts w:hint="eastAsia"/>
                <w:lang w:val="en-US" w:eastAsia="zh-CN"/>
              </w:rPr>
            </w:pPr>
            <w:r>
              <w:rPr>
                <w:rFonts w:hint="eastAsia"/>
                <w:lang w:val="en-US" w:eastAsia="zh-CN"/>
              </w:rPr>
              <w:t>二苯并（ a ，h）蒽、茚并（ 1,2,3-</w:t>
            </w:r>
          </w:p>
          <w:p w14:paraId="3BAC09F6">
            <w:pPr>
              <w:pStyle w:val="26"/>
              <w:bidi w:val="0"/>
              <w:jc w:val="center"/>
              <w:rPr>
                <w:rFonts w:hint="eastAsia"/>
                <w:lang w:val="en-US" w:eastAsia="zh-CN"/>
              </w:rPr>
            </w:pPr>
            <w:r>
              <w:rPr>
                <w:rFonts w:hint="eastAsia"/>
                <w:lang w:val="en-US" w:eastAsia="zh-CN"/>
              </w:rPr>
              <w:t>cd）芘，萘。</w:t>
            </w:r>
          </w:p>
        </w:tc>
      </w:tr>
      <w:tr w14:paraId="016E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0777E272">
            <w:pPr>
              <w:pStyle w:val="26"/>
              <w:bidi w:val="0"/>
              <w:jc w:val="center"/>
              <w:rPr>
                <w:rFonts w:hint="eastAsia"/>
                <w:lang w:val="en-US" w:eastAsia="zh-CN"/>
              </w:rPr>
            </w:pPr>
          </w:p>
        </w:tc>
        <w:tc>
          <w:tcPr>
            <w:tcW w:w="593" w:type="dxa"/>
            <w:shd w:val="clear" w:color="auto" w:fill="auto"/>
            <w:vAlign w:val="center"/>
          </w:tcPr>
          <w:p w14:paraId="34D024A0">
            <w:pPr>
              <w:pStyle w:val="26"/>
              <w:bidi w:val="0"/>
              <w:jc w:val="center"/>
              <w:rPr>
                <w:rFonts w:hint="eastAsia"/>
                <w:lang w:val="en-US" w:eastAsia="zh-CN"/>
              </w:rPr>
            </w:pPr>
            <w:r>
              <w:rPr>
                <w:rFonts w:hint="eastAsia"/>
                <w:lang w:val="en-US" w:eastAsia="zh-CN"/>
              </w:rPr>
              <w:t>S1</w:t>
            </w:r>
          </w:p>
        </w:tc>
        <w:tc>
          <w:tcPr>
            <w:tcW w:w="2134" w:type="dxa"/>
            <w:shd w:val="clear" w:color="auto" w:fill="auto"/>
            <w:vAlign w:val="center"/>
          </w:tcPr>
          <w:p w14:paraId="0F6D4EB1">
            <w:pPr>
              <w:pStyle w:val="26"/>
              <w:bidi w:val="0"/>
              <w:jc w:val="center"/>
              <w:rPr>
                <w:rFonts w:hint="eastAsia"/>
                <w:lang w:val="en-US" w:eastAsia="zh-CN"/>
              </w:rPr>
            </w:pPr>
            <w:r>
              <w:rPr>
                <w:rFonts w:hint="eastAsia"/>
                <w:lang w:val="en-US" w:eastAsia="zh-CN"/>
              </w:rPr>
              <w:t>绿化带（E:121°</w:t>
            </w:r>
          </w:p>
          <w:p w14:paraId="35F64F5C">
            <w:pPr>
              <w:pStyle w:val="26"/>
              <w:bidi w:val="0"/>
              <w:jc w:val="center"/>
              <w:rPr>
                <w:rFonts w:hint="eastAsia"/>
                <w:lang w:val="en-US" w:eastAsia="zh-CN"/>
              </w:rPr>
            </w:pPr>
            <w:r>
              <w:rPr>
                <w:rFonts w:hint="eastAsia"/>
                <w:lang w:val="en-US" w:eastAsia="zh-CN"/>
              </w:rPr>
              <w:t>905'41.75753"</w:t>
            </w:r>
          </w:p>
          <w:p w14:paraId="49C0BC2A">
            <w:pPr>
              <w:pStyle w:val="26"/>
              <w:bidi w:val="0"/>
              <w:jc w:val="center"/>
              <w:rPr>
                <w:rFonts w:hint="eastAsia"/>
                <w:lang w:val="en-US" w:eastAsia="zh-CN"/>
              </w:rPr>
            </w:pPr>
            <w:r>
              <w:rPr>
                <w:rFonts w:hint="eastAsia"/>
                <w:lang w:val="en-US" w:eastAsia="zh-CN"/>
              </w:rPr>
              <w:t>N:31°19'45.58599"）</w:t>
            </w:r>
          </w:p>
        </w:tc>
        <w:tc>
          <w:tcPr>
            <w:tcW w:w="800" w:type="dxa"/>
            <w:shd w:val="clear" w:color="auto" w:fill="auto"/>
            <w:vAlign w:val="center"/>
          </w:tcPr>
          <w:p w14:paraId="6A3533EF">
            <w:pPr>
              <w:pStyle w:val="26"/>
              <w:bidi w:val="0"/>
              <w:jc w:val="center"/>
              <w:rPr>
                <w:rFonts w:hint="eastAsia"/>
                <w:lang w:val="en-US" w:eastAsia="zh-CN"/>
              </w:rPr>
            </w:pPr>
            <w:r>
              <w:rPr>
                <w:rFonts w:hint="eastAsia"/>
                <w:lang w:val="en-US" w:eastAsia="zh-CN"/>
              </w:rPr>
              <w:t>表层</w:t>
            </w:r>
          </w:p>
        </w:tc>
        <w:tc>
          <w:tcPr>
            <w:tcW w:w="1780" w:type="dxa"/>
            <w:shd w:val="clear" w:color="auto" w:fill="auto"/>
            <w:vAlign w:val="center"/>
          </w:tcPr>
          <w:p w14:paraId="02EB0521">
            <w:pPr>
              <w:pStyle w:val="26"/>
              <w:bidi w:val="0"/>
              <w:jc w:val="center"/>
              <w:rPr>
                <w:rFonts w:hint="eastAsia"/>
                <w:lang w:val="en-US" w:eastAsia="zh-CN"/>
              </w:rPr>
            </w:pPr>
            <w:r>
              <w:rPr>
                <w:rFonts w:hint="eastAsia"/>
                <w:lang w:val="en-US" w:eastAsia="zh-CN"/>
              </w:rPr>
              <w:t>在 0~0.2m 取样</w:t>
            </w:r>
          </w:p>
        </w:tc>
        <w:tc>
          <w:tcPr>
            <w:tcW w:w="2539" w:type="dxa"/>
            <w:vMerge w:val="continue"/>
            <w:shd w:val="clear" w:color="auto" w:fill="auto"/>
            <w:vAlign w:val="center"/>
          </w:tcPr>
          <w:p w14:paraId="2FFAADCD">
            <w:pPr>
              <w:pStyle w:val="26"/>
              <w:bidi w:val="0"/>
              <w:jc w:val="center"/>
              <w:rPr>
                <w:rFonts w:hint="eastAsia"/>
                <w:lang w:val="en-US" w:eastAsia="zh-CN"/>
              </w:rPr>
            </w:pPr>
          </w:p>
        </w:tc>
      </w:tr>
      <w:tr w14:paraId="7841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shd w:val="clear" w:color="auto" w:fill="auto"/>
            <w:vAlign w:val="center"/>
          </w:tcPr>
          <w:p w14:paraId="7DCDEC59">
            <w:pPr>
              <w:pStyle w:val="26"/>
              <w:bidi w:val="0"/>
              <w:jc w:val="center"/>
              <w:rPr>
                <w:rFonts w:hint="eastAsia"/>
                <w:lang w:val="en-US" w:eastAsia="zh-CN"/>
              </w:rPr>
            </w:pPr>
            <w:r>
              <w:rPr>
                <w:rFonts w:hint="eastAsia"/>
                <w:lang w:val="en-US" w:eastAsia="zh-CN"/>
              </w:rPr>
              <w:t>占地范围内</w:t>
            </w:r>
          </w:p>
        </w:tc>
        <w:tc>
          <w:tcPr>
            <w:tcW w:w="593" w:type="dxa"/>
            <w:shd w:val="clear" w:color="auto" w:fill="auto"/>
            <w:vAlign w:val="center"/>
          </w:tcPr>
          <w:p w14:paraId="0E555464">
            <w:pPr>
              <w:pStyle w:val="26"/>
              <w:bidi w:val="0"/>
              <w:jc w:val="center"/>
              <w:rPr>
                <w:rFonts w:hint="eastAsia"/>
                <w:lang w:val="en-US" w:eastAsia="zh-CN"/>
              </w:rPr>
            </w:pPr>
            <w:r>
              <w:rPr>
                <w:rFonts w:hint="eastAsia"/>
                <w:lang w:val="en-US" w:eastAsia="zh-CN"/>
              </w:rPr>
              <w:t>S4</w:t>
            </w:r>
          </w:p>
        </w:tc>
        <w:tc>
          <w:tcPr>
            <w:tcW w:w="2134" w:type="dxa"/>
            <w:shd w:val="clear" w:color="auto" w:fill="auto"/>
            <w:vAlign w:val="center"/>
          </w:tcPr>
          <w:p w14:paraId="7E6FAFE5">
            <w:pPr>
              <w:pStyle w:val="26"/>
              <w:bidi w:val="0"/>
              <w:jc w:val="center"/>
              <w:rPr>
                <w:rFonts w:hint="eastAsia"/>
                <w:lang w:val="en-US" w:eastAsia="zh-CN"/>
              </w:rPr>
            </w:pPr>
            <w:r>
              <w:rPr>
                <w:rFonts w:hint="eastAsia"/>
                <w:lang w:val="en-US" w:eastAsia="zh-CN"/>
              </w:rPr>
              <w:t>3#厂房南侧</w:t>
            </w:r>
          </w:p>
        </w:tc>
        <w:tc>
          <w:tcPr>
            <w:tcW w:w="800" w:type="dxa"/>
            <w:shd w:val="clear" w:color="auto" w:fill="auto"/>
            <w:vAlign w:val="center"/>
          </w:tcPr>
          <w:p w14:paraId="71B18586">
            <w:pPr>
              <w:pStyle w:val="26"/>
              <w:bidi w:val="0"/>
              <w:jc w:val="center"/>
              <w:rPr>
                <w:rFonts w:hint="eastAsia"/>
                <w:lang w:val="en-US" w:eastAsia="zh-CN"/>
              </w:rPr>
            </w:pPr>
            <w:r>
              <w:rPr>
                <w:rFonts w:hint="eastAsia"/>
                <w:lang w:val="en-US" w:eastAsia="zh-CN"/>
              </w:rPr>
              <w:t>表层</w:t>
            </w:r>
          </w:p>
        </w:tc>
        <w:tc>
          <w:tcPr>
            <w:tcW w:w="1780" w:type="dxa"/>
            <w:shd w:val="clear" w:color="auto" w:fill="auto"/>
            <w:vAlign w:val="center"/>
          </w:tcPr>
          <w:p w14:paraId="6A3EAAAC">
            <w:pPr>
              <w:pStyle w:val="26"/>
              <w:bidi w:val="0"/>
              <w:jc w:val="center"/>
              <w:rPr>
                <w:rFonts w:hint="eastAsia"/>
                <w:lang w:val="en-US" w:eastAsia="zh-CN"/>
              </w:rPr>
            </w:pPr>
            <w:r>
              <w:rPr>
                <w:rFonts w:hint="eastAsia"/>
                <w:lang w:val="en-US" w:eastAsia="zh-CN"/>
              </w:rPr>
              <w:t>在 0~0.2m取样</w:t>
            </w:r>
          </w:p>
        </w:tc>
        <w:tc>
          <w:tcPr>
            <w:tcW w:w="2539" w:type="dxa"/>
            <w:vMerge w:val="continue"/>
            <w:shd w:val="clear" w:color="auto" w:fill="auto"/>
            <w:vAlign w:val="center"/>
          </w:tcPr>
          <w:p w14:paraId="1194F96F">
            <w:pPr>
              <w:pStyle w:val="26"/>
              <w:bidi w:val="0"/>
              <w:jc w:val="center"/>
              <w:rPr>
                <w:rFonts w:hint="eastAsia"/>
                <w:lang w:val="en-US" w:eastAsia="zh-CN"/>
              </w:rPr>
            </w:pPr>
          </w:p>
        </w:tc>
      </w:tr>
      <w:tr w14:paraId="1968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2E0603B4">
            <w:pPr>
              <w:pStyle w:val="26"/>
              <w:bidi w:val="0"/>
              <w:jc w:val="center"/>
              <w:rPr>
                <w:rFonts w:hint="eastAsia"/>
                <w:lang w:val="en-US" w:eastAsia="zh-CN"/>
              </w:rPr>
            </w:pPr>
          </w:p>
        </w:tc>
        <w:tc>
          <w:tcPr>
            <w:tcW w:w="593" w:type="dxa"/>
            <w:shd w:val="clear" w:color="auto" w:fill="auto"/>
            <w:vAlign w:val="center"/>
          </w:tcPr>
          <w:p w14:paraId="63EA5B57">
            <w:pPr>
              <w:pStyle w:val="26"/>
              <w:bidi w:val="0"/>
              <w:jc w:val="center"/>
              <w:rPr>
                <w:rFonts w:hint="eastAsia"/>
                <w:lang w:val="en-US" w:eastAsia="zh-CN"/>
              </w:rPr>
            </w:pPr>
            <w:r>
              <w:rPr>
                <w:rFonts w:hint="eastAsia"/>
                <w:lang w:val="en-US" w:eastAsia="zh-CN"/>
              </w:rPr>
              <w:t>S5</w:t>
            </w:r>
          </w:p>
        </w:tc>
        <w:tc>
          <w:tcPr>
            <w:tcW w:w="2134" w:type="dxa"/>
            <w:shd w:val="clear" w:color="auto" w:fill="auto"/>
            <w:vAlign w:val="center"/>
          </w:tcPr>
          <w:p w14:paraId="00CD06DD">
            <w:pPr>
              <w:pStyle w:val="26"/>
              <w:bidi w:val="0"/>
              <w:jc w:val="center"/>
              <w:rPr>
                <w:rFonts w:hint="eastAsia"/>
                <w:lang w:val="en-US" w:eastAsia="zh-CN"/>
              </w:rPr>
            </w:pPr>
            <w:r>
              <w:rPr>
                <w:rFonts w:hint="eastAsia"/>
                <w:lang w:val="en-US" w:eastAsia="zh-CN"/>
              </w:rPr>
              <w:t>1#厂房北侧</w:t>
            </w:r>
          </w:p>
        </w:tc>
        <w:tc>
          <w:tcPr>
            <w:tcW w:w="800" w:type="dxa"/>
            <w:shd w:val="clear" w:color="auto" w:fill="auto"/>
            <w:vAlign w:val="center"/>
          </w:tcPr>
          <w:p w14:paraId="577EC34D">
            <w:pPr>
              <w:pStyle w:val="26"/>
              <w:bidi w:val="0"/>
              <w:jc w:val="center"/>
              <w:rPr>
                <w:rFonts w:hint="eastAsia"/>
                <w:lang w:val="en-US" w:eastAsia="zh-CN"/>
              </w:rPr>
            </w:pPr>
            <w:r>
              <w:rPr>
                <w:rFonts w:hint="eastAsia"/>
                <w:lang w:val="en-US" w:eastAsia="zh-CN"/>
              </w:rPr>
              <w:t>表层</w:t>
            </w:r>
          </w:p>
        </w:tc>
        <w:tc>
          <w:tcPr>
            <w:tcW w:w="1780" w:type="dxa"/>
            <w:shd w:val="clear" w:color="auto" w:fill="auto"/>
            <w:vAlign w:val="center"/>
          </w:tcPr>
          <w:p w14:paraId="5619EFC6">
            <w:pPr>
              <w:pStyle w:val="26"/>
              <w:bidi w:val="0"/>
              <w:jc w:val="center"/>
              <w:rPr>
                <w:rFonts w:hint="eastAsia"/>
                <w:lang w:val="en-US" w:eastAsia="zh-CN"/>
              </w:rPr>
            </w:pPr>
            <w:r>
              <w:rPr>
                <w:rFonts w:hint="eastAsia"/>
                <w:lang w:val="en-US" w:eastAsia="zh-CN"/>
              </w:rPr>
              <w:t>在 0~0.2m取样</w:t>
            </w:r>
          </w:p>
        </w:tc>
        <w:tc>
          <w:tcPr>
            <w:tcW w:w="2539" w:type="dxa"/>
            <w:vMerge w:val="continue"/>
            <w:shd w:val="clear" w:color="auto" w:fill="auto"/>
            <w:vAlign w:val="center"/>
          </w:tcPr>
          <w:p w14:paraId="62352B32">
            <w:pPr>
              <w:pStyle w:val="26"/>
              <w:bidi w:val="0"/>
              <w:jc w:val="center"/>
              <w:rPr>
                <w:rFonts w:hint="eastAsia"/>
                <w:lang w:val="en-US" w:eastAsia="zh-CN"/>
              </w:rPr>
            </w:pPr>
          </w:p>
        </w:tc>
      </w:tr>
      <w:tr w14:paraId="399A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6B86A9B7">
            <w:pPr>
              <w:pStyle w:val="26"/>
              <w:bidi w:val="0"/>
              <w:jc w:val="center"/>
              <w:rPr>
                <w:rFonts w:hint="eastAsia"/>
                <w:lang w:val="en-US" w:eastAsia="zh-CN"/>
              </w:rPr>
            </w:pPr>
          </w:p>
        </w:tc>
        <w:tc>
          <w:tcPr>
            <w:tcW w:w="593" w:type="dxa"/>
            <w:shd w:val="clear" w:color="auto" w:fill="auto"/>
            <w:vAlign w:val="center"/>
          </w:tcPr>
          <w:p w14:paraId="09B0224F">
            <w:pPr>
              <w:pStyle w:val="26"/>
              <w:bidi w:val="0"/>
              <w:jc w:val="center"/>
              <w:rPr>
                <w:rFonts w:hint="eastAsia"/>
                <w:lang w:val="en-US" w:eastAsia="zh-CN"/>
              </w:rPr>
            </w:pPr>
            <w:r>
              <w:rPr>
                <w:rFonts w:hint="eastAsia"/>
                <w:lang w:val="en-US" w:eastAsia="zh-CN"/>
              </w:rPr>
              <w:t>S6</w:t>
            </w:r>
          </w:p>
        </w:tc>
        <w:tc>
          <w:tcPr>
            <w:tcW w:w="2134" w:type="dxa"/>
            <w:shd w:val="clear" w:color="auto" w:fill="auto"/>
            <w:vAlign w:val="center"/>
          </w:tcPr>
          <w:p w14:paraId="37F0BC33">
            <w:pPr>
              <w:pStyle w:val="26"/>
              <w:bidi w:val="0"/>
              <w:jc w:val="center"/>
              <w:rPr>
                <w:rFonts w:hint="eastAsia"/>
                <w:lang w:val="en-US" w:eastAsia="zh-CN"/>
              </w:rPr>
            </w:pPr>
            <w:r>
              <w:rPr>
                <w:rFonts w:hint="eastAsia"/>
                <w:lang w:val="en-US" w:eastAsia="zh-CN"/>
              </w:rPr>
              <w:t>2#厂房北侧</w:t>
            </w:r>
          </w:p>
        </w:tc>
        <w:tc>
          <w:tcPr>
            <w:tcW w:w="800" w:type="dxa"/>
            <w:shd w:val="clear" w:color="auto" w:fill="auto"/>
            <w:vAlign w:val="center"/>
          </w:tcPr>
          <w:p w14:paraId="572823FB">
            <w:pPr>
              <w:pStyle w:val="26"/>
              <w:bidi w:val="0"/>
              <w:jc w:val="center"/>
              <w:rPr>
                <w:rFonts w:hint="eastAsia"/>
                <w:lang w:val="en-US" w:eastAsia="zh-CN"/>
              </w:rPr>
            </w:pPr>
            <w:r>
              <w:rPr>
                <w:rFonts w:hint="eastAsia"/>
                <w:lang w:val="en-US" w:eastAsia="zh-CN"/>
              </w:rPr>
              <w:t>表层</w:t>
            </w:r>
          </w:p>
        </w:tc>
        <w:tc>
          <w:tcPr>
            <w:tcW w:w="1780" w:type="dxa"/>
            <w:shd w:val="clear" w:color="auto" w:fill="auto"/>
            <w:vAlign w:val="center"/>
          </w:tcPr>
          <w:p w14:paraId="1D324561">
            <w:pPr>
              <w:pStyle w:val="26"/>
              <w:bidi w:val="0"/>
              <w:jc w:val="center"/>
              <w:rPr>
                <w:rFonts w:hint="eastAsia"/>
                <w:lang w:val="en-US" w:eastAsia="zh-CN"/>
              </w:rPr>
            </w:pPr>
            <w:r>
              <w:rPr>
                <w:rFonts w:hint="eastAsia"/>
                <w:lang w:val="en-US" w:eastAsia="zh-CN"/>
              </w:rPr>
              <w:t>在 0~0.2m 取样</w:t>
            </w:r>
          </w:p>
        </w:tc>
        <w:tc>
          <w:tcPr>
            <w:tcW w:w="2539" w:type="dxa"/>
            <w:vMerge w:val="continue"/>
            <w:shd w:val="clear" w:color="auto" w:fill="auto"/>
            <w:vAlign w:val="center"/>
          </w:tcPr>
          <w:p w14:paraId="2756A712">
            <w:pPr>
              <w:pStyle w:val="26"/>
              <w:bidi w:val="0"/>
              <w:jc w:val="center"/>
              <w:rPr>
                <w:rFonts w:hint="eastAsia"/>
                <w:lang w:val="en-US" w:eastAsia="zh-CN"/>
              </w:rPr>
            </w:pPr>
          </w:p>
        </w:tc>
      </w:tr>
      <w:tr w14:paraId="5D21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1FEDEFBC">
            <w:pPr>
              <w:pStyle w:val="26"/>
              <w:bidi w:val="0"/>
              <w:jc w:val="center"/>
              <w:rPr>
                <w:rFonts w:hint="eastAsia"/>
                <w:lang w:val="en-US" w:eastAsia="zh-CN"/>
              </w:rPr>
            </w:pPr>
          </w:p>
        </w:tc>
        <w:tc>
          <w:tcPr>
            <w:tcW w:w="593" w:type="dxa"/>
            <w:shd w:val="clear" w:color="auto" w:fill="auto"/>
            <w:vAlign w:val="center"/>
          </w:tcPr>
          <w:p w14:paraId="2C00841F">
            <w:pPr>
              <w:pStyle w:val="26"/>
              <w:bidi w:val="0"/>
              <w:jc w:val="center"/>
              <w:rPr>
                <w:rFonts w:hint="eastAsia"/>
                <w:lang w:val="en-US" w:eastAsia="zh-CN"/>
              </w:rPr>
            </w:pPr>
            <w:r>
              <w:rPr>
                <w:rFonts w:hint="eastAsia"/>
                <w:lang w:val="en-US" w:eastAsia="zh-CN"/>
              </w:rPr>
              <w:t>S1</w:t>
            </w:r>
          </w:p>
        </w:tc>
        <w:tc>
          <w:tcPr>
            <w:tcW w:w="2134" w:type="dxa"/>
            <w:shd w:val="clear" w:color="auto" w:fill="auto"/>
            <w:vAlign w:val="center"/>
          </w:tcPr>
          <w:p w14:paraId="32CC3E5C">
            <w:pPr>
              <w:pStyle w:val="26"/>
              <w:bidi w:val="0"/>
              <w:jc w:val="center"/>
              <w:rPr>
                <w:rFonts w:hint="eastAsia"/>
                <w:lang w:val="en-US" w:eastAsia="zh-CN"/>
              </w:rPr>
            </w:pPr>
            <w:r>
              <w:rPr>
                <w:rFonts w:hint="eastAsia"/>
                <w:lang w:val="en-US" w:eastAsia="zh-CN"/>
              </w:rPr>
              <w:t>3#厂房东侧</w:t>
            </w:r>
          </w:p>
        </w:tc>
        <w:tc>
          <w:tcPr>
            <w:tcW w:w="800" w:type="dxa"/>
            <w:shd w:val="clear" w:color="auto" w:fill="auto"/>
            <w:vAlign w:val="center"/>
          </w:tcPr>
          <w:p w14:paraId="17A2B2D6">
            <w:pPr>
              <w:pStyle w:val="26"/>
              <w:bidi w:val="0"/>
              <w:jc w:val="center"/>
              <w:rPr>
                <w:rFonts w:hint="eastAsia"/>
                <w:lang w:val="en-US" w:eastAsia="zh-CN"/>
              </w:rPr>
            </w:pPr>
            <w:r>
              <w:rPr>
                <w:rFonts w:hint="eastAsia"/>
                <w:lang w:val="en-US" w:eastAsia="zh-CN"/>
              </w:rPr>
              <w:t>柱状</w:t>
            </w:r>
          </w:p>
        </w:tc>
        <w:tc>
          <w:tcPr>
            <w:tcW w:w="1780" w:type="dxa"/>
            <w:vMerge w:val="restart"/>
            <w:shd w:val="clear" w:color="auto" w:fill="auto"/>
            <w:vAlign w:val="center"/>
          </w:tcPr>
          <w:p w14:paraId="53E39732">
            <w:pPr>
              <w:pStyle w:val="26"/>
              <w:bidi w:val="0"/>
              <w:jc w:val="center"/>
              <w:rPr>
                <w:rFonts w:hint="eastAsia"/>
                <w:lang w:val="en-US" w:eastAsia="zh-CN"/>
              </w:rPr>
            </w:pPr>
            <w:r>
              <w:rPr>
                <w:rFonts w:hint="eastAsia"/>
                <w:lang w:val="en-US" w:eastAsia="zh-CN"/>
              </w:rPr>
              <w:t>3 层：在 0-</w:t>
            </w:r>
          </w:p>
          <w:p w14:paraId="50CE3C46">
            <w:pPr>
              <w:pStyle w:val="26"/>
              <w:bidi w:val="0"/>
              <w:jc w:val="center"/>
              <w:rPr>
                <w:rFonts w:hint="eastAsia"/>
                <w:lang w:val="en-US" w:eastAsia="zh-CN"/>
              </w:rPr>
            </w:pPr>
            <w:r>
              <w:rPr>
                <w:rFonts w:hint="eastAsia"/>
                <w:lang w:val="en-US" w:eastAsia="zh-CN"/>
              </w:rPr>
              <w:t>0.5 、1.0- 1.5、</w:t>
            </w:r>
          </w:p>
          <w:p w14:paraId="425A3C3A">
            <w:pPr>
              <w:pStyle w:val="26"/>
              <w:bidi w:val="0"/>
              <w:jc w:val="center"/>
              <w:rPr>
                <w:rFonts w:hint="eastAsia"/>
                <w:lang w:val="en-US" w:eastAsia="zh-CN"/>
              </w:rPr>
            </w:pPr>
            <w:r>
              <w:rPr>
                <w:rFonts w:hint="eastAsia"/>
                <w:lang w:val="en-US" w:eastAsia="zh-CN"/>
              </w:rPr>
              <w:t>4.0-4.5 分别取</w:t>
            </w:r>
          </w:p>
          <w:p w14:paraId="3D86F487">
            <w:pPr>
              <w:pStyle w:val="26"/>
              <w:bidi w:val="0"/>
              <w:jc w:val="center"/>
              <w:rPr>
                <w:rFonts w:hint="eastAsia"/>
                <w:lang w:val="en-US" w:eastAsia="zh-CN"/>
              </w:rPr>
            </w:pPr>
            <w:r>
              <w:rPr>
                <w:rFonts w:hint="eastAsia"/>
                <w:lang w:val="en-US" w:eastAsia="zh-CN"/>
              </w:rPr>
              <w:t>样</w:t>
            </w:r>
          </w:p>
        </w:tc>
        <w:tc>
          <w:tcPr>
            <w:tcW w:w="2539" w:type="dxa"/>
            <w:vMerge w:val="continue"/>
            <w:shd w:val="clear" w:color="auto" w:fill="auto"/>
            <w:vAlign w:val="center"/>
          </w:tcPr>
          <w:p w14:paraId="28DF5A6C">
            <w:pPr>
              <w:pStyle w:val="26"/>
              <w:bidi w:val="0"/>
              <w:jc w:val="center"/>
              <w:rPr>
                <w:rFonts w:hint="eastAsia"/>
                <w:lang w:val="en-US" w:eastAsia="zh-CN"/>
              </w:rPr>
            </w:pPr>
          </w:p>
        </w:tc>
      </w:tr>
      <w:tr w14:paraId="64B0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0EB683EF">
            <w:pPr>
              <w:pStyle w:val="26"/>
              <w:bidi w:val="0"/>
              <w:jc w:val="center"/>
              <w:rPr>
                <w:rFonts w:hint="eastAsia"/>
                <w:lang w:val="en-US" w:eastAsia="zh-CN"/>
              </w:rPr>
            </w:pPr>
          </w:p>
        </w:tc>
        <w:tc>
          <w:tcPr>
            <w:tcW w:w="593" w:type="dxa"/>
            <w:shd w:val="clear" w:color="auto" w:fill="auto"/>
            <w:vAlign w:val="center"/>
          </w:tcPr>
          <w:p w14:paraId="60FE08E5">
            <w:pPr>
              <w:pStyle w:val="26"/>
              <w:bidi w:val="0"/>
              <w:jc w:val="center"/>
              <w:rPr>
                <w:rFonts w:hint="eastAsia"/>
                <w:lang w:val="en-US" w:eastAsia="zh-CN"/>
              </w:rPr>
            </w:pPr>
            <w:r>
              <w:rPr>
                <w:rFonts w:hint="eastAsia"/>
                <w:lang w:val="en-US" w:eastAsia="zh-CN"/>
              </w:rPr>
              <w:t>S2</w:t>
            </w:r>
          </w:p>
        </w:tc>
        <w:tc>
          <w:tcPr>
            <w:tcW w:w="2134" w:type="dxa"/>
            <w:shd w:val="clear" w:color="auto" w:fill="auto"/>
            <w:vAlign w:val="center"/>
          </w:tcPr>
          <w:p w14:paraId="2BA0D4EF">
            <w:pPr>
              <w:pStyle w:val="26"/>
              <w:bidi w:val="0"/>
              <w:jc w:val="center"/>
              <w:rPr>
                <w:rFonts w:hint="eastAsia"/>
                <w:lang w:val="en-US" w:eastAsia="zh-CN"/>
              </w:rPr>
            </w:pPr>
            <w:r>
              <w:rPr>
                <w:rFonts w:hint="eastAsia"/>
                <w:lang w:val="en-US" w:eastAsia="zh-CN"/>
              </w:rPr>
              <w:t>1#厂房东侧</w:t>
            </w:r>
          </w:p>
        </w:tc>
        <w:tc>
          <w:tcPr>
            <w:tcW w:w="800" w:type="dxa"/>
            <w:shd w:val="clear" w:color="auto" w:fill="auto"/>
            <w:vAlign w:val="center"/>
          </w:tcPr>
          <w:p w14:paraId="0B0F601E">
            <w:pPr>
              <w:pStyle w:val="26"/>
              <w:bidi w:val="0"/>
              <w:jc w:val="center"/>
              <w:rPr>
                <w:rFonts w:hint="eastAsia"/>
                <w:lang w:val="en-US" w:eastAsia="zh-CN"/>
              </w:rPr>
            </w:pPr>
            <w:r>
              <w:rPr>
                <w:rFonts w:hint="eastAsia"/>
                <w:lang w:val="en-US" w:eastAsia="zh-CN"/>
              </w:rPr>
              <w:t>柱状</w:t>
            </w:r>
          </w:p>
        </w:tc>
        <w:tc>
          <w:tcPr>
            <w:tcW w:w="1780" w:type="dxa"/>
            <w:vMerge w:val="continue"/>
            <w:shd w:val="clear" w:color="auto" w:fill="auto"/>
            <w:vAlign w:val="center"/>
          </w:tcPr>
          <w:p w14:paraId="14FBD758">
            <w:pPr>
              <w:pStyle w:val="26"/>
              <w:bidi w:val="0"/>
              <w:jc w:val="center"/>
              <w:rPr>
                <w:rFonts w:hint="eastAsia"/>
                <w:lang w:val="en-US" w:eastAsia="zh-CN"/>
              </w:rPr>
            </w:pPr>
          </w:p>
        </w:tc>
        <w:tc>
          <w:tcPr>
            <w:tcW w:w="2539" w:type="dxa"/>
            <w:vMerge w:val="continue"/>
            <w:shd w:val="clear" w:color="auto" w:fill="auto"/>
            <w:vAlign w:val="center"/>
          </w:tcPr>
          <w:p w14:paraId="29B04497">
            <w:pPr>
              <w:pStyle w:val="26"/>
              <w:bidi w:val="0"/>
              <w:jc w:val="center"/>
              <w:rPr>
                <w:rFonts w:hint="eastAsia"/>
                <w:lang w:val="en-US" w:eastAsia="zh-CN"/>
              </w:rPr>
            </w:pPr>
          </w:p>
        </w:tc>
      </w:tr>
      <w:tr w14:paraId="6E6F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shd w:val="clear" w:color="auto" w:fill="auto"/>
            <w:vAlign w:val="center"/>
          </w:tcPr>
          <w:p w14:paraId="6C621F19">
            <w:pPr>
              <w:pStyle w:val="26"/>
              <w:bidi w:val="0"/>
              <w:jc w:val="center"/>
              <w:rPr>
                <w:rFonts w:hint="eastAsia"/>
                <w:lang w:val="en-US" w:eastAsia="zh-CN"/>
              </w:rPr>
            </w:pPr>
          </w:p>
        </w:tc>
        <w:tc>
          <w:tcPr>
            <w:tcW w:w="593" w:type="dxa"/>
            <w:shd w:val="clear" w:color="auto" w:fill="auto"/>
            <w:vAlign w:val="center"/>
          </w:tcPr>
          <w:p w14:paraId="5641A384">
            <w:pPr>
              <w:pStyle w:val="26"/>
              <w:bidi w:val="0"/>
              <w:jc w:val="center"/>
              <w:rPr>
                <w:rFonts w:hint="eastAsia"/>
                <w:lang w:val="en-US" w:eastAsia="zh-CN"/>
              </w:rPr>
            </w:pPr>
            <w:r>
              <w:rPr>
                <w:rFonts w:hint="eastAsia"/>
                <w:lang w:val="en-US" w:eastAsia="zh-CN"/>
              </w:rPr>
              <w:t>S3</w:t>
            </w:r>
          </w:p>
        </w:tc>
        <w:tc>
          <w:tcPr>
            <w:tcW w:w="2134" w:type="dxa"/>
            <w:shd w:val="clear" w:color="auto" w:fill="auto"/>
            <w:vAlign w:val="center"/>
          </w:tcPr>
          <w:p w14:paraId="31210E20">
            <w:pPr>
              <w:pStyle w:val="26"/>
              <w:bidi w:val="0"/>
              <w:jc w:val="center"/>
              <w:rPr>
                <w:rFonts w:hint="eastAsia"/>
                <w:lang w:val="en-US" w:eastAsia="zh-CN"/>
              </w:rPr>
            </w:pPr>
            <w:r>
              <w:rPr>
                <w:rFonts w:hint="eastAsia"/>
                <w:lang w:val="en-US" w:eastAsia="zh-CN"/>
              </w:rPr>
              <w:t>危化品仓库南侧</w:t>
            </w:r>
          </w:p>
        </w:tc>
        <w:tc>
          <w:tcPr>
            <w:tcW w:w="800" w:type="dxa"/>
            <w:shd w:val="clear" w:color="auto" w:fill="auto"/>
            <w:vAlign w:val="center"/>
          </w:tcPr>
          <w:p w14:paraId="53FB09D7">
            <w:pPr>
              <w:pStyle w:val="26"/>
              <w:bidi w:val="0"/>
              <w:jc w:val="center"/>
              <w:rPr>
                <w:rFonts w:hint="eastAsia"/>
                <w:lang w:val="en-US" w:eastAsia="zh-CN"/>
              </w:rPr>
            </w:pPr>
            <w:r>
              <w:rPr>
                <w:rFonts w:hint="eastAsia"/>
                <w:lang w:val="en-US" w:eastAsia="zh-CN"/>
              </w:rPr>
              <w:t>柱状</w:t>
            </w:r>
          </w:p>
        </w:tc>
        <w:tc>
          <w:tcPr>
            <w:tcW w:w="1780" w:type="dxa"/>
            <w:vMerge w:val="continue"/>
            <w:shd w:val="clear" w:color="auto" w:fill="auto"/>
            <w:vAlign w:val="center"/>
          </w:tcPr>
          <w:p w14:paraId="35B3C0AD">
            <w:pPr>
              <w:pStyle w:val="26"/>
              <w:bidi w:val="0"/>
              <w:jc w:val="center"/>
              <w:rPr>
                <w:rFonts w:hint="eastAsia"/>
                <w:lang w:val="en-US" w:eastAsia="zh-CN"/>
              </w:rPr>
            </w:pPr>
          </w:p>
        </w:tc>
        <w:tc>
          <w:tcPr>
            <w:tcW w:w="2539" w:type="dxa"/>
            <w:vMerge w:val="continue"/>
            <w:shd w:val="clear" w:color="auto" w:fill="auto"/>
            <w:vAlign w:val="center"/>
          </w:tcPr>
          <w:p w14:paraId="609E2825">
            <w:pPr>
              <w:pStyle w:val="26"/>
              <w:bidi w:val="0"/>
              <w:jc w:val="center"/>
              <w:rPr>
                <w:rFonts w:hint="eastAsia"/>
                <w:lang w:val="en-US" w:eastAsia="zh-CN"/>
              </w:rPr>
            </w:pPr>
          </w:p>
        </w:tc>
      </w:tr>
    </w:tbl>
    <w:p w14:paraId="77A04EE9">
      <w:pPr>
        <w:bidi w:val="0"/>
        <w:rPr>
          <w:color w:val="auto"/>
        </w:rPr>
      </w:pPr>
    </w:p>
    <w:p w14:paraId="32F7128A">
      <w:pPr>
        <w:bidi w:val="0"/>
        <w:rPr>
          <w:rFonts w:hint="eastAsia"/>
          <w:color w:val="auto"/>
        </w:rPr>
      </w:pPr>
      <w:r>
        <w:rPr>
          <w:rFonts w:hint="eastAsia"/>
          <w:color w:val="auto"/>
        </w:rPr>
        <w:t>（3）监测数据的代表性和有效性</w:t>
      </w:r>
    </w:p>
    <w:p w14:paraId="0232A21C">
      <w:pPr>
        <w:bidi w:val="0"/>
        <w:rPr>
          <w:rFonts w:hint="eastAsia"/>
          <w:color w:val="auto"/>
        </w:rPr>
      </w:pPr>
      <w:r>
        <w:rPr>
          <w:rFonts w:hint="eastAsia"/>
          <w:color w:val="auto"/>
        </w:rPr>
        <w:t>根据《环境影响评价技术导则 土壤环境（试行）》（HJ964-2018），本项目土壤评价工作等级为二级，根据导则要求，土壤监测点位占地范围内 3 个柱状样，采样深度 0~0.5m 、0.5～1.5m 、1.5～3m（根据现场土壤调查情况，3m 以下土壤类型与上层土壤基本相同，且根据检测结果上层土壤检测因子均达标）， 占地范围内 1 个表层样点，采样深度 0~0.2m ， 占地范围外 2 个表层样。本次监测设置的土壤监测点位满足相关要求。</w:t>
      </w:r>
    </w:p>
    <w:p w14:paraId="17E256FF">
      <w:pPr>
        <w:bidi w:val="0"/>
        <w:rPr>
          <w:rFonts w:hint="eastAsia"/>
          <w:color w:val="auto"/>
        </w:rPr>
      </w:pPr>
      <w:r>
        <w:rPr>
          <w:rFonts w:hint="eastAsia"/>
          <w:color w:val="auto"/>
        </w:rPr>
        <w:t>（4）检测及评价结果</w:t>
      </w:r>
    </w:p>
    <w:p w14:paraId="6704F1DB">
      <w:pPr>
        <w:bidi w:val="0"/>
        <w:rPr>
          <w:color w:val="auto"/>
        </w:rPr>
      </w:pPr>
      <w:r>
        <w:rPr>
          <w:rFonts w:hint="eastAsia"/>
          <w:color w:val="auto"/>
        </w:rPr>
        <w:t>参照《土壤环境质量 建设用地土壤污染风险管控标准（试行） 》（GB 36600- 2018）中第一类和第二类用地筛选值进行评价。</w:t>
      </w:r>
      <w:r>
        <w:rPr>
          <w:color w:val="auto"/>
        </w:rPr>
        <w:t>监测结果具体见下表。</w:t>
      </w:r>
    </w:p>
    <w:p w14:paraId="0B91A56A">
      <w:pPr>
        <w:bidi w:val="0"/>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15238C90">
      <w:pPr>
        <w:bidi w:val="0"/>
        <w:spacing w:before="50" w:beforeLines="50" w:line="360" w:lineRule="auto"/>
        <w:jc w:val="center"/>
        <w:outlineLvl w:val="9"/>
        <w:rPr>
          <w:rFonts w:ascii="Times New Roman" w:hAnsi="Times New Roman" w:eastAsia="仿宋_GB2312" w:cstheme="minorBidi"/>
          <w:b/>
          <w:color w:val="auto"/>
          <w:kern w:val="2"/>
          <w:sz w:val="24"/>
          <w:szCs w:val="22"/>
          <w:lang w:val="en-US" w:eastAsia="zh-CN" w:bidi="ar-SA"/>
        </w:rPr>
      </w:pPr>
      <w:r>
        <w:rPr>
          <w:rFonts w:ascii="Times New Roman" w:hAnsi="Times New Roman" w:eastAsia="仿宋_GB2312" w:cstheme="minorBidi"/>
          <w:b/>
          <w:color w:val="auto"/>
          <w:kern w:val="2"/>
          <w:sz w:val="24"/>
          <w:szCs w:val="22"/>
          <w:lang w:val="en-US" w:eastAsia="zh-CN" w:bidi="ar-SA"/>
        </w:rPr>
        <w:t>表</w:t>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STYLEREF 2 \s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5.2</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noBreakHyphen/>
      </w:r>
      <w:r>
        <w:rPr>
          <w:rFonts w:ascii="Times New Roman" w:hAnsi="Times New Roman" w:eastAsia="仿宋_GB2312" w:cstheme="minorBidi"/>
          <w:b/>
          <w:color w:val="auto"/>
          <w:kern w:val="2"/>
          <w:sz w:val="24"/>
          <w:szCs w:val="22"/>
          <w:lang w:val="en-US" w:eastAsia="zh-CN" w:bidi="ar-SA"/>
        </w:rPr>
        <w:fldChar w:fldCharType="begin"/>
      </w:r>
      <w:r>
        <w:rPr>
          <w:rFonts w:ascii="Times New Roman" w:hAnsi="Times New Roman" w:eastAsia="仿宋_GB2312" w:cstheme="minorBidi"/>
          <w:b/>
          <w:color w:val="auto"/>
          <w:kern w:val="2"/>
          <w:sz w:val="24"/>
          <w:szCs w:val="22"/>
          <w:lang w:val="en-US" w:eastAsia="zh-CN" w:bidi="ar-SA"/>
        </w:rPr>
        <w:instrText xml:space="preserve"> SEQ 表 \* ARABIC \s 2 </w:instrText>
      </w:r>
      <w:r>
        <w:rPr>
          <w:rFonts w:ascii="Times New Roman" w:hAnsi="Times New Roman" w:eastAsia="仿宋_GB2312" w:cstheme="minorBidi"/>
          <w:b/>
          <w:color w:val="auto"/>
          <w:kern w:val="2"/>
          <w:sz w:val="24"/>
          <w:szCs w:val="22"/>
          <w:lang w:val="en-US" w:eastAsia="zh-CN" w:bidi="ar-SA"/>
        </w:rPr>
        <w:fldChar w:fldCharType="separate"/>
      </w:r>
      <w:r>
        <w:rPr>
          <w:rFonts w:ascii="Times New Roman" w:hAnsi="Times New Roman" w:eastAsia="仿宋_GB2312" w:cstheme="minorBidi"/>
          <w:b/>
          <w:color w:val="auto"/>
          <w:kern w:val="2"/>
          <w:sz w:val="24"/>
          <w:szCs w:val="22"/>
          <w:lang w:val="en-US" w:eastAsia="zh-CN" w:bidi="ar-SA"/>
        </w:rPr>
        <w:t>16</w:t>
      </w:r>
      <w:r>
        <w:rPr>
          <w:rFonts w:ascii="Times New Roman" w:hAnsi="Times New Roman" w:eastAsia="仿宋_GB2312" w:cstheme="minorBidi"/>
          <w:b/>
          <w:color w:val="auto"/>
          <w:kern w:val="2"/>
          <w:sz w:val="24"/>
          <w:szCs w:val="22"/>
          <w:lang w:val="en-US" w:eastAsia="zh-CN" w:bidi="ar-SA"/>
        </w:rPr>
        <w:fldChar w:fldCharType="end"/>
      </w:r>
      <w:r>
        <w:rPr>
          <w:rFonts w:ascii="Times New Roman" w:hAnsi="Times New Roman" w:eastAsia="仿宋_GB2312" w:cstheme="minorBidi"/>
          <w:b/>
          <w:color w:val="auto"/>
          <w:kern w:val="2"/>
          <w:sz w:val="24"/>
          <w:szCs w:val="22"/>
          <w:lang w:val="en-US" w:eastAsia="zh-CN" w:bidi="ar-SA"/>
        </w:rPr>
        <w:t>土壤环境监测结果</w:t>
      </w:r>
    </w:p>
    <w:tbl>
      <w:tblPr>
        <w:tblStyle w:val="20"/>
        <w:tblW w:w="0" w:type="auto"/>
        <w:tblInd w:w="1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3"/>
        <w:gridCol w:w="142"/>
        <w:gridCol w:w="26"/>
        <w:gridCol w:w="46"/>
        <w:gridCol w:w="37"/>
        <w:gridCol w:w="1821"/>
        <w:gridCol w:w="1825"/>
        <w:gridCol w:w="179"/>
        <w:gridCol w:w="537"/>
        <w:gridCol w:w="858"/>
        <w:gridCol w:w="678"/>
        <w:gridCol w:w="851"/>
        <w:gridCol w:w="814"/>
        <w:gridCol w:w="650"/>
        <w:gridCol w:w="806"/>
        <w:gridCol w:w="486"/>
        <w:gridCol w:w="168"/>
        <w:gridCol w:w="1530"/>
        <w:gridCol w:w="1259"/>
      </w:tblGrid>
      <w:tr w14:paraId="0C7E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vMerge w:val="restart"/>
            <w:tcBorders>
              <w:tl2br w:val="single" w:color="auto" w:sz="4" w:space="0"/>
            </w:tcBorders>
            <w:vAlign w:val="center"/>
          </w:tcPr>
          <w:p w14:paraId="1581F2F3">
            <w:pPr>
              <w:pStyle w:val="26"/>
              <w:bidi w:val="0"/>
              <w:jc w:val="right"/>
              <w:rPr>
                <w:rFonts w:hint="eastAsia"/>
                <w:lang w:val="en-US" w:eastAsia="zh-CN"/>
              </w:rPr>
            </w:pPr>
            <w:r>
              <w:rPr>
                <w:rFonts w:hint="eastAsia"/>
                <w:lang w:val="en-US" w:eastAsia="zh-CN"/>
              </w:rPr>
              <w:t>采样点位</w:t>
            </w:r>
          </w:p>
          <w:p w14:paraId="5CB49287">
            <w:pPr>
              <w:pStyle w:val="26"/>
              <w:bidi w:val="0"/>
              <w:rPr>
                <w:rFonts w:hint="eastAsia"/>
                <w:lang w:val="en-US" w:eastAsia="zh-CN"/>
              </w:rPr>
            </w:pPr>
          </w:p>
          <w:p w14:paraId="0B997DB3">
            <w:pPr>
              <w:pStyle w:val="26"/>
              <w:bidi w:val="0"/>
              <w:rPr>
                <w:rFonts w:hint="eastAsia"/>
                <w:lang w:val="en-US" w:eastAsia="zh-CN"/>
              </w:rPr>
            </w:pPr>
          </w:p>
          <w:p w14:paraId="1FFBAB80">
            <w:pPr>
              <w:pStyle w:val="26"/>
              <w:bidi w:val="0"/>
              <w:jc w:val="both"/>
              <w:rPr>
                <w:rFonts w:hint="default"/>
                <w:lang w:val="en-US" w:eastAsia="zh-CN"/>
              </w:rPr>
            </w:pPr>
            <w:r>
              <w:rPr>
                <w:rFonts w:hint="eastAsia"/>
                <w:lang w:val="en-US" w:eastAsia="zh-CN"/>
              </w:rPr>
              <w:t>检测项目</w:t>
            </w:r>
          </w:p>
        </w:tc>
        <w:tc>
          <w:tcPr>
            <w:tcW w:w="2004" w:type="dxa"/>
            <w:gridSpan w:val="2"/>
            <w:shd w:val="clear" w:color="auto" w:fill="auto"/>
            <w:vAlign w:val="center"/>
          </w:tcPr>
          <w:p w14:paraId="65BA44E6">
            <w:pPr>
              <w:pStyle w:val="26"/>
              <w:bidi w:val="0"/>
              <w:rPr>
                <w:rFonts w:hint="eastAsia"/>
                <w:lang w:val="en-US" w:eastAsia="zh-CN"/>
              </w:rPr>
            </w:pPr>
            <w:r>
              <w:rPr>
                <w:rFonts w:hint="eastAsia"/>
                <w:lang w:val="en-US" w:eastAsia="zh-CN"/>
              </w:rPr>
              <w:t>S0</w:t>
            </w:r>
          </w:p>
          <w:p w14:paraId="077E58A1">
            <w:pPr>
              <w:pStyle w:val="26"/>
              <w:bidi w:val="0"/>
              <w:rPr>
                <w:rFonts w:hint="eastAsia"/>
                <w:lang w:val="en-US" w:eastAsia="zh-CN"/>
              </w:rPr>
            </w:pPr>
            <w:r>
              <w:rPr>
                <w:rFonts w:hint="eastAsia"/>
                <w:lang w:val="en-US" w:eastAsia="zh-CN"/>
              </w:rPr>
              <w:t>E:121°06' 12.01915"</w:t>
            </w:r>
          </w:p>
          <w:p w14:paraId="5E13475A">
            <w:pPr>
              <w:pStyle w:val="26"/>
              <w:bidi w:val="0"/>
              <w:rPr>
                <w:rFonts w:hint="eastAsia"/>
                <w:lang w:val="en-US" w:eastAsia="zh-CN"/>
              </w:rPr>
            </w:pPr>
            <w:r>
              <w:rPr>
                <w:rFonts w:hint="eastAsia"/>
                <w:lang w:val="en-US" w:eastAsia="zh-CN"/>
              </w:rPr>
              <w:t>N:31°18'43.25643"</w:t>
            </w:r>
          </w:p>
        </w:tc>
        <w:tc>
          <w:tcPr>
            <w:tcW w:w="2073" w:type="dxa"/>
            <w:gridSpan w:val="3"/>
            <w:shd w:val="clear" w:color="auto" w:fill="auto"/>
            <w:vAlign w:val="center"/>
          </w:tcPr>
          <w:p w14:paraId="21CFFA33">
            <w:pPr>
              <w:pStyle w:val="26"/>
              <w:bidi w:val="0"/>
              <w:rPr>
                <w:rFonts w:hint="eastAsia"/>
                <w:lang w:val="en-US" w:eastAsia="zh-CN"/>
              </w:rPr>
            </w:pPr>
            <w:r>
              <w:rPr>
                <w:rFonts w:hint="eastAsia"/>
                <w:lang w:val="en-US" w:eastAsia="zh-CN"/>
              </w:rPr>
              <w:t>S1</w:t>
            </w:r>
          </w:p>
          <w:p w14:paraId="54E1CA3B">
            <w:pPr>
              <w:pStyle w:val="26"/>
              <w:bidi w:val="0"/>
              <w:rPr>
                <w:rFonts w:hint="eastAsia"/>
                <w:lang w:val="en-US" w:eastAsia="zh-CN"/>
              </w:rPr>
            </w:pPr>
            <w:r>
              <w:rPr>
                <w:rFonts w:hint="eastAsia"/>
                <w:lang w:val="en-US" w:eastAsia="zh-CN"/>
              </w:rPr>
              <w:t>E:121°05'41.75753"</w:t>
            </w:r>
          </w:p>
          <w:p w14:paraId="78760670">
            <w:pPr>
              <w:pStyle w:val="26"/>
              <w:bidi w:val="0"/>
              <w:rPr>
                <w:rFonts w:hint="eastAsia"/>
                <w:lang w:val="en-US" w:eastAsia="zh-CN"/>
              </w:rPr>
            </w:pPr>
            <w:r>
              <w:rPr>
                <w:rFonts w:hint="eastAsia"/>
                <w:lang w:val="en-US" w:eastAsia="zh-CN"/>
              </w:rPr>
              <w:t>N:31 °19'45.58599"</w:t>
            </w:r>
          </w:p>
        </w:tc>
        <w:tc>
          <w:tcPr>
            <w:tcW w:w="1665" w:type="dxa"/>
            <w:gridSpan w:val="2"/>
            <w:shd w:val="clear" w:color="auto" w:fill="auto"/>
            <w:vAlign w:val="center"/>
          </w:tcPr>
          <w:p w14:paraId="300250F7">
            <w:pPr>
              <w:pStyle w:val="26"/>
              <w:bidi w:val="0"/>
              <w:rPr>
                <w:rFonts w:hint="eastAsia"/>
                <w:lang w:val="en-US" w:eastAsia="zh-CN"/>
              </w:rPr>
            </w:pPr>
            <w:r>
              <w:rPr>
                <w:rFonts w:hint="eastAsia"/>
                <w:lang w:val="en-US" w:eastAsia="zh-CN"/>
              </w:rPr>
              <w:t>S4</w:t>
            </w:r>
          </w:p>
          <w:p w14:paraId="3BA1C6AE">
            <w:pPr>
              <w:pStyle w:val="26"/>
              <w:bidi w:val="0"/>
              <w:rPr>
                <w:rFonts w:hint="eastAsia"/>
                <w:lang w:val="en-US" w:eastAsia="zh-CN"/>
              </w:rPr>
            </w:pPr>
            <w:r>
              <w:rPr>
                <w:rFonts w:hint="eastAsia"/>
                <w:lang w:val="en-US" w:eastAsia="zh-CN"/>
              </w:rPr>
              <w:t>E:121°06'41.85</w:t>
            </w:r>
          </w:p>
          <w:p w14:paraId="2CDB715A">
            <w:pPr>
              <w:pStyle w:val="26"/>
              <w:bidi w:val="0"/>
              <w:rPr>
                <w:rFonts w:hint="eastAsia"/>
                <w:lang w:val="en-US" w:eastAsia="zh-CN"/>
              </w:rPr>
            </w:pPr>
            <w:r>
              <w:rPr>
                <w:rFonts w:hint="eastAsia"/>
                <w:lang w:val="en-US" w:eastAsia="zh-CN"/>
              </w:rPr>
              <w:t>N:31°18'38.05"</w:t>
            </w:r>
          </w:p>
        </w:tc>
        <w:tc>
          <w:tcPr>
            <w:tcW w:w="1942" w:type="dxa"/>
            <w:gridSpan w:val="3"/>
            <w:shd w:val="clear" w:color="auto" w:fill="auto"/>
            <w:vAlign w:val="center"/>
          </w:tcPr>
          <w:p w14:paraId="3922953D">
            <w:pPr>
              <w:pStyle w:val="26"/>
              <w:bidi w:val="0"/>
              <w:rPr>
                <w:rFonts w:hint="eastAsia"/>
                <w:lang w:val="en-US" w:eastAsia="zh-CN"/>
              </w:rPr>
            </w:pPr>
            <w:r>
              <w:rPr>
                <w:rFonts w:hint="eastAsia"/>
                <w:lang w:val="en-US" w:eastAsia="zh-CN"/>
              </w:rPr>
              <w:t>S5</w:t>
            </w:r>
          </w:p>
          <w:p w14:paraId="52B3F158">
            <w:pPr>
              <w:pStyle w:val="26"/>
              <w:bidi w:val="0"/>
              <w:rPr>
                <w:rFonts w:hint="eastAsia"/>
                <w:lang w:val="en-US" w:eastAsia="zh-CN"/>
              </w:rPr>
            </w:pPr>
            <w:r>
              <w:rPr>
                <w:rFonts w:hint="eastAsia"/>
                <w:lang w:val="en-US" w:eastAsia="zh-CN"/>
              </w:rPr>
              <w:t>E:121 °06'42.06</w:t>
            </w:r>
          </w:p>
          <w:p w14:paraId="64D9877A">
            <w:pPr>
              <w:pStyle w:val="26"/>
              <w:bidi w:val="0"/>
              <w:rPr>
                <w:rFonts w:hint="eastAsia"/>
                <w:lang w:val="en-US" w:eastAsia="zh-CN"/>
              </w:rPr>
            </w:pPr>
            <w:r>
              <w:rPr>
                <w:rFonts w:hint="eastAsia"/>
                <w:lang w:val="en-US" w:eastAsia="zh-CN"/>
              </w:rPr>
              <w:t>N:31° 18'36.20"</w:t>
            </w:r>
          </w:p>
        </w:tc>
        <w:tc>
          <w:tcPr>
            <w:tcW w:w="1698" w:type="dxa"/>
            <w:gridSpan w:val="2"/>
            <w:shd w:val="clear" w:color="auto" w:fill="auto"/>
            <w:vAlign w:val="center"/>
          </w:tcPr>
          <w:p w14:paraId="645AF996">
            <w:pPr>
              <w:pStyle w:val="26"/>
              <w:bidi w:val="0"/>
              <w:rPr>
                <w:rFonts w:hint="eastAsia"/>
                <w:lang w:val="en-US" w:eastAsia="zh-CN"/>
              </w:rPr>
            </w:pPr>
            <w:r>
              <w:rPr>
                <w:rFonts w:hint="eastAsia"/>
                <w:lang w:val="en-US" w:eastAsia="zh-CN"/>
              </w:rPr>
              <w:t>S6</w:t>
            </w:r>
          </w:p>
          <w:p w14:paraId="06885CF8">
            <w:pPr>
              <w:pStyle w:val="26"/>
              <w:bidi w:val="0"/>
              <w:rPr>
                <w:rFonts w:hint="eastAsia"/>
                <w:lang w:val="en-US" w:eastAsia="zh-CN"/>
              </w:rPr>
            </w:pPr>
            <w:r>
              <w:rPr>
                <w:rFonts w:hint="eastAsia"/>
                <w:lang w:val="en-US" w:eastAsia="zh-CN"/>
              </w:rPr>
              <w:t>E:121°06'42.10</w:t>
            </w:r>
          </w:p>
          <w:p w14:paraId="4B59B5D9">
            <w:pPr>
              <w:pStyle w:val="26"/>
              <w:bidi w:val="0"/>
              <w:rPr>
                <w:rFonts w:hint="eastAsia"/>
                <w:lang w:val="en-US" w:eastAsia="zh-CN"/>
              </w:rPr>
            </w:pPr>
            <w:r>
              <w:rPr>
                <w:rFonts w:hint="eastAsia"/>
                <w:lang w:val="en-US" w:eastAsia="zh-CN"/>
              </w:rPr>
              <w:t>N:31°18'37.04"</w:t>
            </w:r>
          </w:p>
        </w:tc>
        <w:tc>
          <w:tcPr>
            <w:tcW w:w="1259" w:type="dxa"/>
            <w:vMerge w:val="restart"/>
            <w:vAlign w:val="center"/>
          </w:tcPr>
          <w:p w14:paraId="073AB5D1">
            <w:pPr>
              <w:pStyle w:val="26"/>
              <w:bidi w:val="0"/>
              <w:rPr>
                <w:rFonts w:hint="default"/>
                <w:lang w:val="en-US" w:eastAsia="zh-CN"/>
              </w:rPr>
            </w:pPr>
            <w:r>
              <w:rPr>
                <w:rFonts w:hint="eastAsia"/>
                <w:lang w:val="en-US" w:eastAsia="zh-CN"/>
              </w:rPr>
              <w:t>参考限值(mg/kg)</w:t>
            </w:r>
          </w:p>
        </w:tc>
      </w:tr>
      <w:tr w14:paraId="0522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vMerge w:val="continue"/>
            <w:vAlign w:val="center"/>
          </w:tcPr>
          <w:p w14:paraId="0BDDE2A9">
            <w:pPr>
              <w:pStyle w:val="26"/>
              <w:bidi w:val="0"/>
              <w:rPr>
                <w:rFonts w:hint="eastAsia"/>
                <w:lang w:val="en-US" w:eastAsia="zh-CN"/>
              </w:rPr>
            </w:pPr>
          </w:p>
        </w:tc>
        <w:tc>
          <w:tcPr>
            <w:tcW w:w="2004" w:type="dxa"/>
            <w:gridSpan w:val="2"/>
            <w:shd w:val="clear" w:color="auto" w:fill="auto"/>
            <w:vAlign w:val="center"/>
          </w:tcPr>
          <w:p w14:paraId="5F1FA2F3">
            <w:pPr>
              <w:pStyle w:val="26"/>
              <w:bidi w:val="0"/>
              <w:rPr>
                <w:rFonts w:hint="eastAsia"/>
                <w:lang w:val="en-US" w:eastAsia="zh-CN"/>
              </w:rPr>
            </w:pPr>
            <w:r>
              <w:rPr>
                <w:rFonts w:hint="eastAsia"/>
                <w:lang w:val="en-US" w:eastAsia="zh-CN"/>
              </w:rPr>
              <w:t>0~20cm</w:t>
            </w:r>
          </w:p>
        </w:tc>
        <w:tc>
          <w:tcPr>
            <w:tcW w:w="2073" w:type="dxa"/>
            <w:gridSpan w:val="3"/>
            <w:shd w:val="clear" w:color="auto" w:fill="auto"/>
            <w:vAlign w:val="center"/>
          </w:tcPr>
          <w:p w14:paraId="5523207B">
            <w:pPr>
              <w:pStyle w:val="26"/>
              <w:bidi w:val="0"/>
              <w:rPr>
                <w:rFonts w:hint="eastAsia"/>
                <w:lang w:val="en-US" w:eastAsia="zh-CN"/>
              </w:rPr>
            </w:pPr>
            <w:r>
              <w:rPr>
                <w:rFonts w:hint="eastAsia"/>
                <w:lang w:val="en-US" w:eastAsia="zh-CN"/>
              </w:rPr>
              <w:t>0~20cm</w:t>
            </w:r>
          </w:p>
        </w:tc>
        <w:tc>
          <w:tcPr>
            <w:tcW w:w="1665" w:type="dxa"/>
            <w:gridSpan w:val="2"/>
            <w:shd w:val="clear" w:color="auto" w:fill="auto"/>
            <w:vAlign w:val="center"/>
          </w:tcPr>
          <w:p w14:paraId="36EC56EE">
            <w:pPr>
              <w:pStyle w:val="26"/>
              <w:bidi w:val="0"/>
              <w:rPr>
                <w:rFonts w:hint="eastAsia"/>
                <w:lang w:val="en-US" w:eastAsia="zh-CN"/>
              </w:rPr>
            </w:pPr>
            <w:r>
              <w:rPr>
                <w:rFonts w:hint="eastAsia"/>
                <w:lang w:val="en-US" w:eastAsia="zh-CN"/>
              </w:rPr>
              <w:t>0~20cm</w:t>
            </w:r>
          </w:p>
        </w:tc>
        <w:tc>
          <w:tcPr>
            <w:tcW w:w="1942" w:type="dxa"/>
            <w:gridSpan w:val="3"/>
            <w:shd w:val="clear" w:color="auto" w:fill="auto"/>
            <w:vAlign w:val="center"/>
          </w:tcPr>
          <w:p w14:paraId="0DFEA9AB">
            <w:pPr>
              <w:pStyle w:val="26"/>
              <w:bidi w:val="0"/>
              <w:rPr>
                <w:rFonts w:hint="eastAsia"/>
                <w:lang w:val="en-US" w:eastAsia="zh-CN"/>
              </w:rPr>
            </w:pPr>
            <w:r>
              <w:rPr>
                <w:rFonts w:hint="eastAsia"/>
                <w:lang w:val="en-US" w:eastAsia="zh-CN"/>
              </w:rPr>
              <w:t>0~20cm</w:t>
            </w:r>
          </w:p>
        </w:tc>
        <w:tc>
          <w:tcPr>
            <w:tcW w:w="1698" w:type="dxa"/>
            <w:gridSpan w:val="2"/>
            <w:shd w:val="clear" w:color="auto" w:fill="auto"/>
            <w:vAlign w:val="center"/>
          </w:tcPr>
          <w:p w14:paraId="27A68A4E">
            <w:pPr>
              <w:pStyle w:val="26"/>
              <w:bidi w:val="0"/>
              <w:rPr>
                <w:rFonts w:hint="eastAsia"/>
                <w:lang w:val="en-US" w:eastAsia="zh-CN"/>
              </w:rPr>
            </w:pPr>
            <w:r>
              <w:rPr>
                <w:rFonts w:hint="eastAsia"/>
                <w:lang w:val="en-US" w:eastAsia="zh-CN"/>
              </w:rPr>
              <w:t>0~20cm</w:t>
            </w:r>
          </w:p>
        </w:tc>
        <w:tc>
          <w:tcPr>
            <w:tcW w:w="1259" w:type="dxa"/>
            <w:vMerge w:val="continue"/>
            <w:vAlign w:val="center"/>
          </w:tcPr>
          <w:p w14:paraId="20DF53F9">
            <w:pPr>
              <w:pStyle w:val="26"/>
              <w:bidi w:val="0"/>
              <w:rPr>
                <w:rFonts w:hint="eastAsia"/>
              </w:rPr>
            </w:pPr>
          </w:p>
        </w:tc>
      </w:tr>
      <w:tr w14:paraId="5B46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0B6374C2">
            <w:pPr>
              <w:pStyle w:val="26"/>
              <w:bidi w:val="0"/>
              <w:rPr>
                <w:rFonts w:hint="eastAsia"/>
                <w:lang w:val="en-US" w:eastAsia="zh-CN"/>
              </w:rPr>
            </w:pPr>
            <w:r>
              <w:rPr>
                <w:rFonts w:hint="eastAsia"/>
                <w:lang w:val="en-US" w:eastAsia="zh-CN"/>
              </w:rPr>
              <w:t>pH 值（无量纲）</w:t>
            </w:r>
          </w:p>
        </w:tc>
        <w:tc>
          <w:tcPr>
            <w:tcW w:w="2004" w:type="dxa"/>
            <w:gridSpan w:val="2"/>
            <w:shd w:val="clear" w:color="auto" w:fill="auto"/>
            <w:vAlign w:val="center"/>
          </w:tcPr>
          <w:p w14:paraId="4633D7B3">
            <w:pPr>
              <w:pStyle w:val="26"/>
              <w:bidi w:val="0"/>
              <w:rPr>
                <w:rFonts w:hint="eastAsia"/>
                <w:lang w:val="en-US" w:eastAsia="zh-CN"/>
              </w:rPr>
            </w:pPr>
            <w:r>
              <w:rPr>
                <w:rFonts w:hint="eastAsia"/>
                <w:lang w:val="en-US" w:eastAsia="zh-CN"/>
              </w:rPr>
              <w:t>8.00</w:t>
            </w:r>
          </w:p>
        </w:tc>
        <w:tc>
          <w:tcPr>
            <w:tcW w:w="2073" w:type="dxa"/>
            <w:gridSpan w:val="3"/>
            <w:shd w:val="clear" w:color="auto" w:fill="auto"/>
            <w:vAlign w:val="center"/>
          </w:tcPr>
          <w:p w14:paraId="0DFD74A7">
            <w:pPr>
              <w:pStyle w:val="26"/>
              <w:bidi w:val="0"/>
              <w:rPr>
                <w:rFonts w:hint="eastAsia"/>
                <w:lang w:val="en-US" w:eastAsia="zh-CN"/>
              </w:rPr>
            </w:pPr>
            <w:r>
              <w:rPr>
                <w:rFonts w:hint="eastAsia"/>
                <w:lang w:val="en-US" w:eastAsia="zh-CN"/>
              </w:rPr>
              <w:t>8.19</w:t>
            </w:r>
          </w:p>
        </w:tc>
        <w:tc>
          <w:tcPr>
            <w:tcW w:w="1665" w:type="dxa"/>
            <w:gridSpan w:val="2"/>
            <w:shd w:val="clear" w:color="auto" w:fill="auto"/>
            <w:vAlign w:val="center"/>
          </w:tcPr>
          <w:p w14:paraId="22CD9BCB">
            <w:pPr>
              <w:pStyle w:val="26"/>
              <w:bidi w:val="0"/>
              <w:rPr>
                <w:rFonts w:hint="eastAsia"/>
                <w:lang w:val="en-US" w:eastAsia="zh-CN"/>
              </w:rPr>
            </w:pPr>
            <w:r>
              <w:rPr>
                <w:rFonts w:hint="eastAsia"/>
                <w:lang w:val="en-US" w:eastAsia="zh-CN"/>
              </w:rPr>
              <w:t>8.90</w:t>
            </w:r>
          </w:p>
        </w:tc>
        <w:tc>
          <w:tcPr>
            <w:tcW w:w="1942" w:type="dxa"/>
            <w:gridSpan w:val="3"/>
            <w:shd w:val="clear" w:color="auto" w:fill="auto"/>
            <w:vAlign w:val="center"/>
          </w:tcPr>
          <w:p w14:paraId="468CA28F">
            <w:pPr>
              <w:pStyle w:val="26"/>
              <w:bidi w:val="0"/>
              <w:rPr>
                <w:rFonts w:hint="eastAsia"/>
                <w:lang w:val="en-US" w:eastAsia="zh-CN"/>
              </w:rPr>
            </w:pPr>
            <w:r>
              <w:rPr>
                <w:rFonts w:hint="eastAsia"/>
                <w:lang w:val="en-US" w:eastAsia="zh-CN"/>
              </w:rPr>
              <w:t>8.95</w:t>
            </w:r>
          </w:p>
        </w:tc>
        <w:tc>
          <w:tcPr>
            <w:tcW w:w="1698" w:type="dxa"/>
            <w:gridSpan w:val="2"/>
            <w:shd w:val="clear" w:color="auto" w:fill="auto"/>
            <w:vAlign w:val="center"/>
          </w:tcPr>
          <w:p w14:paraId="683D4E5E">
            <w:pPr>
              <w:pStyle w:val="26"/>
              <w:bidi w:val="0"/>
              <w:rPr>
                <w:rFonts w:hint="eastAsia"/>
                <w:lang w:val="en-US" w:eastAsia="zh-CN"/>
              </w:rPr>
            </w:pPr>
            <w:r>
              <w:rPr>
                <w:rFonts w:hint="eastAsia"/>
                <w:lang w:val="en-US" w:eastAsia="zh-CN"/>
              </w:rPr>
              <w:t>8.54</w:t>
            </w:r>
          </w:p>
        </w:tc>
        <w:tc>
          <w:tcPr>
            <w:tcW w:w="1259" w:type="dxa"/>
            <w:shd w:val="clear" w:color="auto" w:fill="auto"/>
            <w:vAlign w:val="center"/>
          </w:tcPr>
          <w:p w14:paraId="294A6047">
            <w:pPr>
              <w:pStyle w:val="26"/>
              <w:bidi w:val="0"/>
              <w:rPr>
                <w:rFonts w:hint="eastAsia"/>
                <w:lang w:val="en-US" w:eastAsia="zh-CN"/>
              </w:rPr>
            </w:pPr>
            <w:r>
              <w:rPr>
                <w:rFonts w:hint="eastAsia"/>
                <w:lang w:val="en-US" w:eastAsia="zh-CN"/>
              </w:rPr>
              <w:t>/</w:t>
            </w:r>
          </w:p>
        </w:tc>
      </w:tr>
      <w:tr w14:paraId="2CCA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41BD787F">
            <w:pPr>
              <w:pStyle w:val="26"/>
              <w:bidi w:val="0"/>
              <w:rPr>
                <w:rFonts w:hint="eastAsia"/>
                <w:lang w:val="en-US" w:eastAsia="zh-CN"/>
              </w:rPr>
            </w:pPr>
            <w:r>
              <w:rPr>
                <w:rFonts w:hint="eastAsia"/>
                <w:lang w:val="en-US" w:eastAsia="zh-CN"/>
              </w:rPr>
              <w:t>六价铬（mg/kg)</w:t>
            </w:r>
          </w:p>
        </w:tc>
        <w:tc>
          <w:tcPr>
            <w:tcW w:w="2004" w:type="dxa"/>
            <w:gridSpan w:val="2"/>
            <w:shd w:val="clear" w:color="auto" w:fill="auto"/>
            <w:vAlign w:val="center"/>
          </w:tcPr>
          <w:p w14:paraId="447DB0C4">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53E94DED">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C2D0324">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6B2AE66">
            <w:pPr>
              <w:pStyle w:val="26"/>
              <w:bidi w:val="0"/>
              <w:rPr>
                <w:rFonts w:hint="eastAsia"/>
                <w:lang w:val="en-US" w:eastAsia="zh-CN"/>
              </w:rPr>
            </w:pPr>
            <w:r>
              <w:rPr>
                <w:rFonts w:hint="eastAsia"/>
                <w:lang w:val="en-US" w:eastAsia="zh-CN"/>
              </w:rPr>
              <w:t>5.4</w:t>
            </w:r>
          </w:p>
        </w:tc>
        <w:tc>
          <w:tcPr>
            <w:tcW w:w="1698" w:type="dxa"/>
            <w:gridSpan w:val="2"/>
            <w:shd w:val="clear" w:color="auto" w:fill="auto"/>
            <w:vAlign w:val="center"/>
          </w:tcPr>
          <w:p w14:paraId="19D7D4BF">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00C214A8">
            <w:pPr>
              <w:pStyle w:val="26"/>
              <w:bidi w:val="0"/>
              <w:rPr>
                <w:rFonts w:hint="eastAsia"/>
                <w:lang w:val="en-US" w:eastAsia="zh-CN"/>
              </w:rPr>
            </w:pPr>
            <w:r>
              <w:rPr>
                <w:rFonts w:hint="eastAsia"/>
                <w:lang w:val="en-US" w:eastAsia="zh-CN"/>
              </w:rPr>
              <w:t>5.7</w:t>
            </w:r>
          </w:p>
        </w:tc>
      </w:tr>
      <w:tr w14:paraId="268B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557477FF">
            <w:pPr>
              <w:pStyle w:val="26"/>
              <w:bidi w:val="0"/>
              <w:rPr>
                <w:rFonts w:hint="eastAsia"/>
                <w:lang w:val="en-US" w:eastAsia="zh-CN"/>
              </w:rPr>
            </w:pPr>
            <w:r>
              <w:rPr>
                <w:rFonts w:hint="eastAsia"/>
                <w:lang w:val="en-US" w:eastAsia="zh-CN"/>
              </w:rPr>
              <w:t>铜（mg/kg)</w:t>
            </w:r>
          </w:p>
        </w:tc>
        <w:tc>
          <w:tcPr>
            <w:tcW w:w="2004" w:type="dxa"/>
            <w:gridSpan w:val="2"/>
            <w:shd w:val="clear" w:color="auto" w:fill="auto"/>
            <w:vAlign w:val="center"/>
          </w:tcPr>
          <w:p w14:paraId="7D79F179">
            <w:pPr>
              <w:pStyle w:val="26"/>
              <w:bidi w:val="0"/>
              <w:rPr>
                <w:rFonts w:hint="eastAsia"/>
                <w:lang w:val="en-US" w:eastAsia="zh-CN"/>
              </w:rPr>
            </w:pPr>
            <w:r>
              <w:rPr>
                <w:rFonts w:hint="eastAsia"/>
                <w:lang w:val="en-US" w:eastAsia="zh-CN"/>
              </w:rPr>
              <w:t>30</w:t>
            </w:r>
          </w:p>
        </w:tc>
        <w:tc>
          <w:tcPr>
            <w:tcW w:w="2073" w:type="dxa"/>
            <w:gridSpan w:val="3"/>
            <w:shd w:val="clear" w:color="auto" w:fill="auto"/>
            <w:vAlign w:val="center"/>
          </w:tcPr>
          <w:p w14:paraId="5E49FA53">
            <w:pPr>
              <w:pStyle w:val="26"/>
              <w:bidi w:val="0"/>
              <w:rPr>
                <w:rFonts w:hint="eastAsia"/>
                <w:lang w:val="en-US" w:eastAsia="zh-CN"/>
              </w:rPr>
            </w:pPr>
            <w:r>
              <w:rPr>
                <w:rFonts w:hint="eastAsia"/>
                <w:lang w:val="en-US" w:eastAsia="zh-CN"/>
              </w:rPr>
              <w:t>55</w:t>
            </w:r>
          </w:p>
        </w:tc>
        <w:tc>
          <w:tcPr>
            <w:tcW w:w="1665" w:type="dxa"/>
            <w:gridSpan w:val="2"/>
            <w:shd w:val="clear" w:color="auto" w:fill="auto"/>
            <w:vAlign w:val="center"/>
          </w:tcPr>
          <w:p w14:paraId="5B94B4C3">
            <w:pPr>
              <w:pStyle w:val="26"/>
              <w:bidi w:val="0"/>
              <w:rPr>
                <w:rFonts w:hint="eastAsia"/>
                <w:lang w:val="en-US" w:eastAsia="zh-CN"/>
              </w:rPr>
            </w:pPr>
            <w:r>
              <w:rPr>
                <w:rFonts w:hint="eastAsia"/>
                <w:lang w:val="en-US" w:eastAsia="zh-CN"/>
              </w:rPr>
              <w:t>32</w:t>
            </w:r>
          </w:p>
        </w:tc>
        <w:tc>
          <w:tcPr>
            <w:tcW w:w="1942" w:type="dxa"/>
            <w:gridSpan w:val="3"/>
            <w:shd w:val="clear" w:color="auto" w:fill="auto"/>
            <w:vAlign w:val="center"/>
          </w:tcPr>
          <w:p w14:paraId="59A50C74">
            <w:pPr>
              <w:pStyle w:val="26"/>
              <w:bidi w:val="0"/>
              <w:rPr>
                <w:rFonts w:hint="eastAsia"/>
                <w:lang w:val="en-US" w:eastAsia="zh-CN"/>
              </w:rPr>
            </w:pPr>
            <w:r>
              <w:rPr>
                <w:rFonts w:hint="eastAsia"/>
                <w:lang w:val="en-US" w:eastAsia="zh-CN"/>
              </w:rPr>
              <w:t>516</w:t>
            </w:r>
          </w:p>
        </w:tc>
        <w:tc>
          <w:tcPr>
            <w:tcW w:w="1698" w:type="dxa"/>
            <w:gridSpan w:val="2"/>
            <w:shd w:val="clear" w:color="auto" w:fill="auto"/>
            <w:vAlign w:val="center"/>
          </w:tcPr>
          <w:p w14:paraId="4521CD63">
            <w:pPr>
              <w:pStyle w:val="26"/>
              <w:bidi w:val="0"/>
              <w:rPr>
                <w:rFonts w:hint="eastAsia"/>
                <w:lang w:val="en-US" w:eastAsia="zh-CN"/>
              </w:rPr>
            </w:pPr>
            <w:r>
              <w:rPr>
                <w:rFonts w:hint="eastAsia"/>
                <w:lang w:val="en-US" w:eastAsia="zh-CN"/>
              </w:rPr>
              <w:t>38</w:t>
            </w:r>
          </w:p>
        </w:tc>
        <w:tc>
          <w:tcPr>
            <w:tcW w:w="1259" w:type="dxa"/>
            <w:shd w:val="clear" w:color="auto" w:fill="auto"/>
            <w:vAlign w:val="center"/>
          </w:tcPr>
          <w:p w14:paraId="0E6F2155">
            <w:pPr>
              <w:pStyle w:val="26"/>
              <w:bidi w:val="0"/>
              <w:rPr>
                <w:rFonts w:hint="eastAsia"/>
                <w:lang w:val="en-US" w:eastAsia="zh-CN"/>
              </w:rPr>
            </w:pPr>
            <w:r>
              <w:rPr>
                <w:rFonts w:hint="eastAsia"/>
                <w:lang w:val="en-US" w:eastAsia="zh-CN"/>
              </w:rPr>
              <w:t>18000</w:t>
            </w:r>
          </w:p>
        </w:tc>
      </w:tr>
      <w:tr w14:paraId="0008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5825AA69">
            <w:pPr>
              <w:pStyle w:val="26"/>
              <w:bidi w:val="0"/>
              <w:rPr>
                <w:rFonts w:hint="eastAsia"/>
                <w:lang w:val="en-US" w:eastAsia="zh-CN"/>
              </w:rPr>
            </w:pPr>
            <w:r>
              <w:rPr>
                <w:rFonts w:hint="eastAsia"/>
                <w:lang w:val="en-US" w:eastAsia="zh-CN"/>
              </w:rPr>
              <w:t>镍（mg/kg)</w:t>
            </w:r>
          </w:p>
        </w:tc>
        <w:tc>
          <w:tcPr>
            <w:tcW w:w="2004" w:type="dxa"/>
            <w:gridSpan w:val="2"/>
            <w:shd w:val="clear" w:color="auto" w:fill="auto"/>
            <w:vAlign w:val="center"/>
          </w:tcPr>
          <w:p w14:paraId="3A0B4D7F">
            <w:pPr>
              <w:pStyle w:val="26"/>
              <w:bidi w:val="0"/>
              <w:rPr>
                <w:rFonts w:hint="eastAsia"/>
                <w:lang w:val="en-US" w:eastAsia="zh-CN"/>
              </w:rPr>
            </w:pPr>
            <w:r>
              <w:rPr>
                <w:rFonts w:hint="eastAsia"/>
                <w:lang w:val="en-US" w:eastAsia="zh-CN"/>
              </w:rPr>
              <w:t>35</w:t>
            </w:r>
          </w:p>
        </w:tc>
        <w:tc>
          <w:tcPr>
            <w:tcW w:w="2073" w:type="dxa"/>
            <w:gridSpan w:val="3"/>
            <w:shd w:val="clear" w:color="auto" w:fill="auto"/>
            <w:vAlign w:val="center"/>
          </w:tcPr>
          <w:p w14:paraId="6373B9ED">
            <w:pPr>
              <w:pStyle w:val="26"/>
              <w:bidi w:val="0"/>
              <w:rPr>
                <w:rFonts w:hint="eastAsia"/>
                <w:lang w:val="en-US" w:eastAsia="zh-CN"/>
              </w:rPr>
            </w:pPr>
            <w:r>
              <w:rPr>
                <w:rFonts w:hint="eastAsia"/>
                <w:lang w:val="en-US" w:eastAsia="zh-CN"/>
              </w:rPr>
              <w:t>36</w:t>
            </w:r>
          </w:p>
        </w:tc>
        <w:tc>
          <w:tcPr>
            <w:tcW w:w="1665" w:type="dxa"/>
            <w:gridSpan w:val="2"/>
            <w:shd w:val="clear" w:color="auto" w:fill="auto"/>
            <w:vAlign w:val="center"/>
          </w:tcPr>
          <w:p w14:paraId="0D296A6F">
            <w:pPr>
              <w:pStyle w:val="26"/>
              <w:bidi w:val="0"/>
              <w:rPr>
                <w:rFonts w:hint="eastAsia"/>
                <w:lang w:val="en-US" w:eastAsia="zh-CN"/>
              </w:rPr>
            </w:pPr>
            <w:r>
              <w:rPr>
                <w:rFonts w:hint="eastAsia"/>
                <w:lang w:val="en-US" w:eastAsia="zh-CN"/>
              </w:rPr>
              <w:t>33</w:t>
            </w:r>
          </w:p>
        </w:tc>
        <w:tc>
          <w:tcPr>
            <w:tcW w:w="1942" w:type="dxa"/>
            <w:gridSpan w:val="3"/>
            <w:shd w:val="clear" w:color="auto" w:fill="auto"/>
            <w:vAlign w:val="center"/>
          </w:tcPr>
          <w:p w14:paraId="404D6F7B">
            <w:pPr>
              <w:pStyle w:val="26"/>
              <w:bidi w:val="0"/>
              <w:rPr>
                <w:rFonts w:hint="eastAsia"/>
                <w:lang w:val="en-US" w:eastAsia="zh-CN"/>
              </w:rPr>
            </w:pPr>
            <w:r>
              <w:rPr>
                <w:rFonts w:hint="eastAsia"/>
                <w:lang w:val="en-US" w:eastAsia="zh-CN"/>
              </w:rPr>
              <w:t>40</w:t>
            </w:r>
          </w:p>
        </w:tc>
        <w:tc>
          <w:tcPr>
            <w:tcW w:w="1698" w:type="dxa"/>
            <w:gridSpan w:val="2"/>
            <w:shd w:val="clear" w:color="auto" w:fill="auto"/>
            <w:vAlign w:val="center"/>
          </w:tcPr>
          <w:p w14:paraId="3B2ACA36">
            <w:pPr>
              <w:pStyle w:val="26"/>
              <w:bidi w:val="0"/>
              <w:rPr>
                <w:rFonts w:hint="eastAsia"/>
                <w:lang w:val="en-US" w:eastAsia="zh-CN"/>
              </w:rPr>
            </w:pPr>
            <w:r>
              <w:rPr>
                <w:rFonts w:hint="eastAsia"/>
                <w:lang w:val="en-US" w:eastAsia="zh-CN"/>
              </w:rPr>
              <w:t>38</w:t>
            </w:r>
          </w:p>
        </w:tc>
        <w:tc>
          <w:tcPr>
            <w:tcW w:w="1259" w:type="dxa"/>
            <w:shd w:val="clear" w:color="auto" w:fill="auto"/>
            <w:vAlign w:val="center"/>
          </w:tcPr>
          <w:p w14:paraId="2FD5796E">
            <w:pPr>
              <w:pStyle w:val="26"/>
              <w:bidi w:val="0"/>
              <w:rPr>
                <w:rFonts w:hint="eastAsia"/>
                <w:lang w:val="en-US" w:eastAsia="zh-CN"/>
              </w:rPr>
            </w:pPr>
            <w:r>
              <w:rPr>
                <w:rFonts w:hint="eastAsia"/>
                <w:lang w:val="en-US" w:eastAsia="zh-CN"/>
              </w:rPr>
              <w:t>900</w:t>
            </w:r>
          </w:p>
        </w:tc>
      </w:tr>
      <w:tr w14:paraId="4436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7A2500BB">
            <w:pPr>
              <w:pStyle w:val="26"/>
              <w:bidi w:val="0"/>
              <w:rPr>
                <w:rFonts w:hint="eastAsia"/>
                <w:lang w:val="en-US" w:eastAsia="zh-CN"/>
              </w:rPr>
            </w:pPr>
            <w:r>
              <w:rPr>
                <w:rFonts w:hint="eastAsia"/>
                <w:lang w:val="en-US" w:eastAsia="zh-CN"/>
              </w:rPr>
              <w:t>铅（mg/kg)</w:t>
            </w:r>
          </w:p>
        </w:tc>
        <w:tc>
          <w:tcPr>
            <w:tcW w:w="2004" w:type="dxa"/>
            <w:gridSpan w:val="2"/>
            <w:shd w:val="clear" w:color="auto" w:fill="auto"/>
            <w:vAlign w:val="center"/>
          </w:tcPr>
          <w:p w14:paraId="01C9FBCD">
            <w:pPr>
              <w:pStyle w:val="26"/>
              <w:bidi w:val="0"/>
              <w:rPr>
                <w:rFonts w:hint="eastAsia"/>
                <w:lang w:val="en-US" w:eastAsia="zh-CN"/>
              </w:rPr>
            </w:pPr>
            <w:r>
              <w:rPr>
                <w:rFonts w:hint="eastAsia"/>
                <w:lang w:val="en-US" w:eastAsia="zh-CN"/>
              </w:rPr>
              <w:t>15</w:t>
            </w:r>
          </w:p>
        </w:tc>
        <w:tc>
          <w:tcPr>
            <w:tcW w:w="2073" w:type="dxa"/>
            <w:gridSpan w:val="3"/>
            <w:shd w:val="clear" w:color="auto" w:fill="auto"/>
            <w:vAlign w:val="center"/>
          </w:tcPr>
          <w:p w14:paraId="183457B2">
            <w:pPr>
              <w:pStyle w:val="26"/>
              <w:bidi w:val="0"/>
              <w:rPr>
                <w:rFonts w:hint="eastAsia"/>
                <w:lang w:val="en-US" w:eastAsia="zh-CN"/>
              </w:rPr>
            </w:pPr>
            <w:r>
              <w:rPr>
                <w:rFonts w:hint="eastAsia"/>
                <w:lang w:val="en-US" w:eastAsia="zh-CN"/>
              </w:rPr>
              <w:t>15</w:t>
            </w:r>
          </w:p>
        </w:tc>
        <w:tc>
          <w:tcPr>
            <w:tcW w:w="1665" w:type="dxa"/>
            <w:gridSpan w:val="2"/>
            <w:shd w:val="clear" w:color="auto" w:fill="auto"/>
            <w:vAlign w:val="center"/>
          </w:tcPr>
          <w:p w14:paraId="0DE2C790">
            <w:pPr>
              <w:pStyle w:val="26"/>
              <w:bidi w:val="0"/>
              <w:rPr>
                <w:rFonts w:hint="eastAsia"/>
                <w:lang w:val="en-US" w:eastAsia="zh-CN"/>
              </w:rPr>
            </w:pPr>
            <w:r>
              <w:rPr>
                <w:rFonts w:hint="eastAsia"/>
                <w:lang w:val="en-US" w:eastAsia="zh-CN"/>
              </w:rPr>
              <w:t>19</w:t>
            </w:r>
          </w:p>
        </w:tc>
        <w:tc>
          <w:tcPr>
            <w:tcW w:w="1942" w:type="dxa"/>
            <w:gridSpan w:val="3"/>
            <w:shd w:val="clear" w:color="auto" w:fill="auto"/>
            <w:vAlign w:val="center"/>
          </w:tcPr>
          <w:p w14:paraId="21BF65B6">
            <w:pPr>
              <w:pStyle w:val="26"/>
              <w:bidi w:val="0"/>
              <w:rPr>
                <w:rFonts w:hint="eastAsia"/>
                <w:lang w:val="en-US" w:eastAsia="zh-CN"/>
              </w:rPr>
            </w:pPr>
            <w:r>
              <w:rPr>
                <w:rFonts w:hint="eastAsia"/>
                <w:lang w:val="en-US" w:eastAsia="zh-CN"/>
              </w:rPr>
              <w:t>18</w:t>
            </w:r>
          </w:p>
        </w:tc>
        <w:tc>
          <w:tcPr>
            <w:tcW w:w="1698" w:type="dxa"/>
            <w:gridSpan w:val="2"/>
            <w:shd w:val="clear" w:color="auto" w:fill="auto"/>
            <w:vAlign w:val="center"/>
          </w:tcPr>
          <w:p w14:paraId="1BDAC371">
            <w:pPr>
              <w:pStyle w:val="26"/>
              <w:bidi w:val="0"/>
              <w:rPr>
                <w:rFonts w:hint="eastAsia"/>
                <w:lang w:val="en-US" w:eastAsia="zh-CN"/>
              </w:rPr>
            </w:pPr>
            <w:r>
              <w:rPr>
                <w:rFonts w:hint="eastAsia"/>
                <w:lang w:val="en-US" w:eastAsia="zh-CN"/>
              </w:rPr>
              <w:t>16</w:t>
            </w:r>
          </w:p>
        </w:tc>
        <w:tc>
          <w:tcPr>
            <w:tcW w:w="1259" w:type="dxa"/>
            <w:shd w:val="clear" w:color="auto" w:fill="auto"/>
            <w:vAlign w:val="center"/>
          </w:tcPr>
          <w:p w14:paraId="66DA1C7A">
            <w:pPr>
              <w:pStyle w:val="26"/>
              <w:bidi w:val="0"/>
              <w:rPr>
                <w:rFonts w:hint="eastAsia"/>
                <w:lang w:val="en-US" w:eastAsia="zh-CN"/>
              </w:rPr>
            </w:pPr>
            <w:r>
              <w:rPr>
                <w:rFonts w:hint="eastAsia"/>
                <w:lang w:val="en-US" w:eastAsia="zh-CN"/>
              </w:rPr>
              <w:t>800</w:t>
            </w:r>
          </w:p>
        </w:tc>
      </w:tr>
      <w:tr w14:paraId="3912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240B3F66">
            <w:pPr>
              <w:pStyle w:val="26"/>
              <w:bidi w:val="0"/>
              <w:rPr>
                <w:rFonts w:hint="eastAsia"/>
                <w:lang w:val="en-US" w:eastAsia="zh-CN"/>
              </w:rPr>
            </w:pPr>
            <w:r>
              <w:rPr>
                <w:rFonts w:hint="eastAsia"/>
                <w:lang w:val="en-US" w:eastAsia="zh-CN"/>
              </w:rPr>
              <w:t>铬（mg/kg)</w:t>
            </w:r>
          </w:p>
        </w:tc>
        <w:tc>
          <w:tcPr>
            <w:tcW w:w="2004" w:type="dxa"/>
            <w:gridSpan w:val="2"/>
            <w:shd w:val="clear" w:color="auto" w:fill="auto"/>
            <w:vAlign w:val="center"/>
          </w:tcPr>
          <w:p w14:paraId="2F23102C">
            <w:pPr>
              <w:pStyle w:val="26"/>
              <w:bidi w:val="0"/>
              <w:rPr>
                <w:rFonts w:hint="eastAsia"/>
                <w:lang w:val="en-US" w:eastAsia="zh-CN"/>
              </w:rPr>
            </w:pPr>
            <w:r>
              <w:rPr>
                <w:rFonts w:hint="eastAsia"/>
                <w:lang w:val="en-US" w:eastAsia="zh-CN"/>
              </w:rPr>
              <w:t>78</w:t>
            </w:r>
          </w:p>
        </w:tc>
        <w:tc>
          <w:tcPr>
            <w:tcW w:w="2073" w:type="dxa"/>
            <w:gridSpan w:val="3"/>
            <w:shd w:val="clear" w:color="auto" w:fill="auto"/>
            <w:vAlign w:val="center"/>
          </w:tcPr>
          <w:p w14:paraId="6E6B9A88">
            <w:pPr>
              <w:pStyle w:val="26"/>
              <w:bidi w:val="0"/>
              <w:rPr>
                <w:rFonts w:hint="eastAsia"/>
                <w:lang w:val="en-US" w:eastAsia="zh-CN"/>
              </w:rPr>
            </w:pPr>
            <w:r>
              <w:rPr>
                <w:rFonts w:hint="eastAsia"/>
                <w:lang w:val="en-US" w:eastAsia="zh-CN"/>
              </w:rPr>
              <w:t>/</w:t>
            </w:r>
          </w:p>
        </w:tc>
        <w:tc>
          <w:tcPr>
            <w:tcW w:w="1665" w:type="dxa"/>
            <w:gridSpan w:val="2"/>
            <w:shd w:val="clear" w:color="auto" w:fill="auto"/>
            <w:vAlign w:val="center"/>
          </w:tcPr>
          <w:p w14:paraId="06BF52A2">
            <w:pPr>
              <w:pStyle w:val="26"/>
              <w:bidi w:val="0"/>
              <w:rPr>
                <w:rFonts w:hint="eastAsia"/>
                <w:lang w:val="en-US" w:eastAsia="zh-CN"/>
              </w:rPr>
            </w:pPr>
            <w:r>
              <w:rPr>
                <w:rFonts w:hint="eastAsia"/>
                <w:lang w:val="en-US" w:eastAsia="zh-CN"/>
              </w:rPr>
              <w:t>77</w:t>
            </w:r>
          </w:p>
        </w:tc>
        <w:tc>
          <w:tcPr>
            <w:tcW w:w="1942" w:type="dxa"/>
            <w:gridSpan w:val="3"/>
            <w:shd w:val="clear" w:color="auto" w:fill="auto"/>
            <w:vAlign w:val="center"/>
          </w:tcPr>
          <w:p w14:paraId="142163A9">
            <w:pPr>
              <w:pStyle w:val="26"/>
              <w:bidi w:val="0"/>
              <w:rPr>
                <w:rFonts w:hint="eastAsia"/>
                <w:lang w:val="en-US" w:eastAsia="zh-CN"/>
              </w:rPr>
            </w:pPr>
            <w:r>
              <w:rPr>
                <w:rFonts w:hint="eastAsia"/>
                <w:lang w:val="en-US" w:eastAsia="zh-CN"/>
              </w:rPr>
              <w:t>212</w:t>
            </w:r>
          </w:p>
        </w:tc>
        <w:tc>
          <w:tcPr>
            <w:tcW w:w="1698" w:type="dxa"/>
            <w:gridSpan w:val="2"/>
            <w:shd w:val="clear" w:color="auto" w:fill="auto"/>
            <w:vAlign w:val="center"/>
          </w:tcPr>
          <w:p w14:paraId="38A3CAC0">
            <w:pPr>
              <w:pStyle w:val="26"/>
              <w:bidi w:val="0"/>
              <w:rPr>
                <w:rFonts w:hint="eastAsia"/>
                <w:lang w:val="en-US" w:eastAsia="zh-CN"/>
              </w:rPr>
            </w:pPr>
            <w:r>
              <w:rPr>
                <w:rFonts w:hint="eastAsia"/>
                <w:lang w:val="en-US" w:eastAsia="zh-CN"/>
              </w:rPr>
              <w:t>95</w:t>
            </w:r>
          </w:p>
        </w:tc>
        <w:tc>
          <w:tcPr>
            <w:tcW w:w="1259" w:type="dxa"/>
            <w:shd w:val="clear" w:color="auto" w:fill="auto"/>
            <w:vAlign w:val="center"/>
          </w:tcPr>
          <w:p w14:paraId="003DEE95">
            <w:pPr>
              <w:pStyle w:val="26"/>
              <w:bidi w:val="0"/>
              <w:rPr>
                <w:rFonts w:hint="eastAsia"/>
                <w:lang w:val="en-US" w:eastAsia="zh-CN"/>
              </w:rPr>
            </w:pPr>
            <w:r>
              <w:rPr>
                <w:rFonts w:hint="eastAsia"/>
                <w:lang w:val="en-US" w:eastAsia="zh-CN"/>
              </w:rPr>
              <w:t>/</w:t>
            </w:r>
          </w:p>
        </w:tc>
      </w:tr>
      <w:tr w14:paraId="05F9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230EDB28">
            <w:pPr>
              <w:pStyle w:val="26"/>
              <w:bidi w:val="0"/>
              <w:rPr>
                <w:rFonts w:hint="eastAsia"/>
                <w:lang w:val="en-US" w:eastAsia="zh-CN"/>
              </w:rPr>
            </w:pPr>
            <w:r>
              <w:rPr>
                <w:rFonts w:hint="eastAsia"/>
                <w:lang w:val="en-US" w:eastAsia="zh-CN"/>
              </w:rPr>
              <w:t>锌（mg/kg)</w:t>
            </w:r>
          </w:p>
        </w:tc>
        <w:tc>
          <w:tcPr>
            <w:tcW w:w="2004" w:type="dxa"/>
            <w:gridSpan w:val="2"/>
            <w:shd w:val="clear" w:color="auto" w:fill="auto"/>
            <w:vAlign w:val="center"/>
          </w:tcPr>
          <w:p w14:paraId="4CFF8EB4">
            <w:pPr>
              <w:pStyle w:val="26"/>
              <w:bidi w:val="0"/>
              <w:rPr>
                <w:rFonts w:hint="eastAsia"/>
                <w:lang w:val="en-US" w:eastAsia="zh-CN"/>
              </w:rPr>
            </w:pPr>
            <w:r>
              <w:rPr>
                <w:rFonts w:hint="eastAsia"/>
                <w:lang w:val="en-US" w:eastAsia="zh-CN"/>
              </w:rPr>
              <w:t>119</w:t>
            </w:r>
          </w:p>
        </w:tc>
        <w:tc>
          <w:tcPr>
            <w:tcW w:w="2073" w:type="dxa"/>
            <w:gridSpan w:val="3"/>
            <w:shd w:val="clear" w:color="auto" w:fill="auto"/>
            <w:vAlign w:val="center"/>
          </w:tcPr>
          <w:p w14:paraId="3298FD61">
            <w:pPr>
              <w:pStyle w:val="26"/>
              <w:bidi w:val="0"/>
              <w:rPr>
                <w:rFonts w:hint="eastAsia"/>
                <w:lang w:val="en-US" w:eastAsia="zh-CN"/>
              </w:rPr>
            </w:pPr>
            <w:r>
              <w:rPr>
                <w:rFonts w:hint="eastAsia"/>
                <w:lang w:val="en-US" w:eastAsia="zh-CN"/>
              </w:rPr>
              <w:t>/</w:t>
            </w:r>
          </w:p>
        </w:tc>
        <w:tc>
          <w:tcPr>
            <w:tcW w:w="1665" w:type="dxa"/>
            <w:gridSpan w:val="2"/>
            <w:shd w:val="clear" w:color="auto" w:fill="auto"/>
            <w:vAlign w:val="center"/>
          </w:tcPr>
          <w:p w14:paraId="112910D8">
            <w:pPr>
              <w:pStyle w:val="26"/>
              <w:bidi w:val="0"/>
              <w:rPr>
                <w:rFonts w:hint="eastAsia"/>
                <w:lang w:val="en-US" w:eastAsia="zh-CN"/>
              </w:rPr>
            </w:pPr>
            <w:r>
              <w:rPr>
                <w:rFonts w:hint="eastAsia"/>
                <w:lang w:val="en-US" w:eastAsia="zh-CN"/>
              </w:rPr>
              <w:t>137</w:t>
            </w:r>
          </w:p>
        </w:tc>
        <w:tc>
          <w:tcPr>
            <w:tcW w:w="1942" w:type="dxa"/>
            <w:gridSpan w:val="3"/>
            <w:shd w:val="clear" w:color="auto" w:fill="auto"/>
            <w:vAlign w:val="center"/>
          </w:tcPr>
          <w:p w14:paraId="34515C0B">
            <w:pPr>
              <w:pStyle w:val="26"/>
              <w:bidi w:val="0"/>
              <w:rPr>
                <w:rFonts w:hint="eastAsia"/>
                <w:lang w:val="en-US" w:eastAsia="zh-CN"/>
              </w:rPr>
            </w:pPr>
            <w:r>
              <w:rPr>
                <w:rFonts w:hint="eastAsia"/>
                <w:lang w:val="en-US" w:eastAsia="zh-CN"/>
              </w:rPr>
              <w:t>197</w:t>
            </w:r>
          </w:p>
        </w:tc>
        <w:tc>
          <w:tcPr>
            <w:tcW w:w="1698" w:type="dxa"/>
            <w:gridSpan w:val="2"/>
            <w:shd w:val="clear" w:color="auto" w:fill="auto"/>
            <w:vAlign w:val="center"/>
          </w:tcPr>
          <w:p w14:paraId="58EE4A39">
            <w:pPr>
              <w:pStyle w:val="26"/>
              <w:bidi w:val="0"/>
              <w:rPr>
                <w:rFonts w:hint="eastAsia"/>
                <w:lang w:val="en-US" w:eastAsia="zh-CN"/>
              </w:rPr>
            </w:pPr>
            <w:r>
              <w:rPr>
                <w:rFonts w:hint="eastAsia"/>
                <w:lang w:val="en-US" w:eastAsia="zh-CN"/>
              </w:rPr>
              <w:t>122</w:t>
            </w:r>
          </w:p>
        </w:tc>
        <w:tc>
          <w:tcPr>
            <w:tcW w:w="1259" w:type="dxa"/>
            <w:shd w:val="clear" w:color="auto" w:fill="auto"/>
            <w:vAlign w:val="center"/>
          </w:tcPr>
          <w:p w14:paraId="3A0EBC29">
            <w:pPr>
              <w:pStyle w:val="26"/>
              <w:bidi w:val="0"/>
              <w:rPr>
                <w:rFonts w:hint="eastAsia"/>
                <w:lang w:val="en-US" w:eastAsia="zh-CN"/>
              </w:rPr>
            </w:pPr>
            <w:r>
              <w:rPr>
                <w:rFonts w:hint="eastAsia"/>
                <w:lang w:val="en-US" w:eastAsia="zh-CN"/>
              </w:rPr>
              <w:t>/</w:t>
            </w:r>
          </w:p>
        </w:tc>
      </w:tr>
      <w:tr w14:paraId="7C0A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0DA61FF0">
            <w:pPr>
              <w:pStyle w:val="26"/>
              <w:bidi w:val="0"/>
              <w:rPr>
                <w:rFonts w:hint="eastAsia"/>
                <w:lang w:val="en-US" w:eastAsia="zh-CN"/>
              </w:rPr>
            </w:pPr>
            <w:r>
              <w:rPr>
                <w:rFonts w:hint="eastAsia"/>
                <w:lang w:val="en-US" w:eastAsia="zh-CN"/>
              </w:rPr>
              <w:t>镉（mg/kg)</w:t>
            </w:r>
          </w:p>
        </w:tc>
        <w:tc>
          <w:tcPr>
            <w:tcW w:w="2004" w:type="dxa"/>
            <w:gridSpan w:val="2"/>
            <w:shd w:val="clear" w:color="auto" w:fill="auto"/>
            <w:vAlign w:val="center"/>
          </w:tcPr>
          <w:p w14:paraId="7B54C070">
            <w:pPr>
              <w:pStyle w:val="26"/>
              <w:bidi w:val="0"/>
              <w:rPr>
                <w:rFonts w:hint="eastAsia"/>
                <w:lang w:val="en-US" w:eastAsia="zh-CN"/>
              </w:rPr>
            </w:pPr>
            <w:r>
              <w:rPr>
                <w:rFonts w:hint="eastAsia"/>
                <w:lang w:val="en-US" w:eastAsia="zh-CN"/>
              </w:rPr>
              <w:t>0.10</w:t>
            </w:r>
          </w:p>
        </w:tc>
        <w:tc>
          <w:tcPr>
            <w:tcW w:w="2073" w:type="dxa"/>
            <w:gridSpan w:val="3"/>
            <w:shd w:val="clear" w:color="auto" w:fill="auto"/>
            <w:vAlign w:val="center"/>
          </w:tcPr>
          <w:p w14:paraId="268663F7">
            <w:pPr>
              <w:pStyle w:val="26"/>
              <w:bidi w:val="0"/>
              <w:rPr>
                <w:rFonts w:hint="eastAsia"/>
                <w:lang w:val="en-US" w:eastAsia="zh-CN"/>
              </w:rPr>
            </w:pPr>
            <w:r>
              <w:rPr>
                <w:rFonts w:hint="eastAsia"/>
                <w:lang w:val="en-US" w:eastAsia="zh-CN"/>
              </w:rPr>
              <w:t>0.13</w:t>
            </w:r>
          </w:p>
        </w:tc>
        <w:tc>
          <w:tcPr>
            <w:tcW w:w="1665" w:type="dxa"/>
            <w:gridSpan w:val="2"/>
            <w:shd w:val="clear" w:color="auto" w:fill="auto"/>
            <w:vAlign w:val="center"/>
          </w:tcPr>
          <w:p w14:paraId="7D787332">
            <w:pPr>
              <w:pStyle w:val="26"/>
              <w:bidi w:val="0"/>
              <w:rPr>
                <w:rFonts w:hint="eastAsia"/>
                <w:lang w:val="en-US" w:eastAsia="zh-CN"/>
              </w:rPr>
            </w:pPr>
            <w:r>
              <w:rPr>
                <w:rFonts w:hint="eastAsia"/>
                <w:lang w:val="en-US" w:eastAsia="zh-CN"/>
              </w:rPr>
              <w:t>0.19</w:t>
            </w:r>
          </w:p>
        </w:tc>
        <w:tc>
          <w:tcPr>
            <w:tcW w:w="1942" w:type="dxa"/>
            <w:gridSpan w:val="3"/>
            <w:shd w:val="clear" w:color="auto" w:fill="auto"/>
            <w:vAlign w:val="center"/>
          </w:tcPr>
          <w:p w14:paraId="2FBA44C7">
            <w:pPr>
              <w:pStyle w:val="26"/>
              <w:bidi w:val="0"/>
              <w:rPr>
                <w:rFonts w:hint="eastAsia"/>
                <w:lang w:val="en-US" w:eastAsia="zh-CN"/>
              </w:rPr>
            </w:pPr>
            <w:r>
              <w:rPr>
                <w:rFonts w:hint="eastAsia"/>
                <w:lang w:val="en-US" w:eastAsia="zh-CN"/>
              </w:rPr>
              <w:t>0.21</w:t>
            </w:r>
          </w:p>
        </w:tc>
        <w:tc>
          <w:tcPr>
            <w:tcW w:w="1698" w:type="dxa"/>
            <w:gridSpan w:val="2"/>
            <w:shd w:val="clear" w:color="auto" w:fill="auto"/>
            <w:vAlign w:val="center"/>
          </w:tcPr>
          <w:p w14:paraId="2B77BB91">
            <w:pPr>
              <w:pStyle w:val="26"/>
              <w:bidi w:val="0"/>
              <w:rPr>
                <w:rFonts w:hint="eastAsia"/>
                <w:lang w:val="en-US" w:eastAsia="zh-CN"/>
              </w:rPr>
            </w:pPr>
            <w:r>
              <w:rPr>
                <w:rFonts w:hint="eastAsia"/>
                <w:lang w:val="en-US" w:eastAsia="zh-CN"/>
              </w:rPr>
              <w:t>0.11</w:t>
            </w:r>
          </w:p>
        </w:tc>
        <w:tc>
          <w:tcPr>
            <w:tcW w:w="1259" w:type="dxa"/>
            <w:shd w:val="clear" w:color="auto" w:fill="auto"/>
            <w:vAlign w:val="center"/>
          </w:tcPr>
          <w:p w14:paraId="14BCB288">
            <w:pPr>
              <w:pStyle w:val="26"/>
              <w:bidi w:val="0"/>
              <w:rPr>
                <w:rFonts w:hint="eastAsia"/>
                <w:lang w:val="en-US" w:eastAsia="zh-CN"/>
              </w:rPr>
            </w:pPr>
            <w:r>
              <w:rPr>
                <w:rFonts w:hint="eastAsia"/>
                <w:lang w:val="en-US" w:eastAsia="zh-CN"/>
              </w:rPr>
              <w:t>65</w:t>
            </w:r>
          </w:p>
        </w:tc>
      </w:tr>
      <w:tr w14:paraId="7521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1770CB0F">
            <w:pPr>
              <w:pStyle w:val="26"/>
              <w:bidi w:val="0"/>
              <w:rPr>
                <w:rFonts w:hint="eastAsia"/>
                <w:lang w:val="en-US" w:eastAsia="zh-CN"/>
              </w:rPr>
            </w:pPr>
            <w:r>
              <w:rPr>
                <w:rFonts w:hint="eastAsia"/>
                <w:lang w:val="en-US" w:eastAsia="zh-CN"/>
              </w:rPr>
              <w:t>汞（mg/kg)</w:t>
            </w:r>
          </w:p>
        </w:tc>
        <w:tc>
          <w:tcPr>
            <w:tcW w:w="2004" w:type="dxa"/>
            <w:gridSpan w:val="2"/>
            <w:shd w:val="clear" w:color="auto" w:fill="auto"/>
            <w:vAlign w:val="center"/>
          </w:tcPr>
          <w:p w14:paraId="52FB9C8B">
            <w:pPr>
              <w:pStyle w:val="26"/>
              <w:bidi w:val="0"/>
              <w:rPr>
                <w:rFonts w:hint="eastAsia"/>
                <w:lang w:val="en-US" w:eastAsia="zh-CN"/>
              </w:rPr>
            </w:pPr>
            <w:r>
              <w:rPr>
                <w:rFonts w:hint="eastAsia"/>
                <w:lang w:val="en-US" w:eastAsia="zh-CN"/>
              </w:rPr>
              <w:t>0.152</w:t>
            </w:r>
          </w:p>
        </w:tc>
        <w:tc>
          <w:tcPr>
            <w:tcW w:w="2073" w:type="dxa"/>
            <w:gridSpan w:val="3"/>
            <w:shd w:val="clear" w:color="auto" w:fill="auto"/>
            <w:vAlign w:val="center"/>
          </w:tcPr>
          <w:p w14:paraId="7D2E1B16">
            <w:pPr>
              <w:pStyle w:val="26"/>
              <w:bidi w:val="0"/>
              <w:rPr>
                <w:rFonts w:hint="eastAsia"/>
                <w:lang w:val="en-US" w:eastAsia="zh-CN"/>
              </w:rPr>
            </w:pPr>
            <w:r>
              <w:rPr>
                <w:rFonts w:hint="eastAsia"/>
                <w:lang w:val="en-US" w:eastAsia="zh-CN"/>
              </w:rPr>
              <w:t>0.057</w:t>
            </w:r>
          </w:p>
        </w:tc>
        <w:tc>
          <w:tcPr>
            <w:tcW w:w="1665" w:type="dxa"/>
            <w:gridSpan w:val="2"/>
            <w:shd w:val="clear" w:color="auto" w:fill="auto"/>
            <w:vAlign w:val="center"/>
          </w:tcPr>
          <w:p w14:paraId="50F76EBD">
            <w:pPr>
              <w:pStyle w:val="26"/>
              <w:bidi w:val="0"/>
              <w:rPr>
                <w:rFonts w:hint="eastAsia"/>
                <w:lang w:val="en-US" w:eastAsia="zh-CN"/>
              </w:rPr>
            </w:pPr>
            <w:r>
              <w:rPr>
                <w:rFonts w:hint="eastAsia"/>
                <w:lang w:val="en-US" w:eastAsia="zh-CN"/>
              </w:rPr>
              <w:t>0.232</w:t>
            </w:r>
          </w:p>
        </w:tc>
        <w:tc>
          <w:tcPr>
            <w:tcW w:w="1942" w:type="dxa"/>
            <w:gridSpan w:val="3"/>
            <w:shd w:val="clear" w:color="auto" w:fill="auto"/>
            <w:vAlign w:val="center"/>
          </w:tcPr>
          <w:p w14:paraId="5AB39802">
            <w:pPr>
              <w:pStyle w:val="26"/>
              <w:bidi w:val="0"/>
              <w:rPr>
                <w:rFonts w:hint="eastAsia"/>
                <w:lang w:val="en-US" w:eastAsia="zh-CN"/>
              </w:rPr>
            </w:pPr>
            <w:r>
              <w:rPr>
                <w:rFonts w:hint="eastAsia"/>
                <w:lang w:val="en-US" w:eastAsia="zh-CN"/>
              </w:rPr>
              <w:t>0.480</w:t>
            </w:r>
          </w:p>
        </w:tc>
        <w:tc>
          <w:tcPr>
            <w:tcW w:w="1698" w:type="dxa"/>
            <w:gridSpan w:val="2"/>
            <w:shd w:val="clear" w:color="auto" w:fill="auto"/>
            <w:vAlign w:val="center"/>
          </w:tcPr>
          <w:p w14:paraId="6D7A5902">
            <w:pPr>
              <w:pStyle w:val="26"/>
              <w:bidi w:val="0"/>
              <w:rPr>
                <w:rFonts w:hint="eastAsia"/>
                <w:lang w:val="en-US" w:eastAsia="zh-CN"/>
              </w:rPr>
            </w:pPr>
            <w:r>
              <w:rPr>
                <w:rFonts w:hint="eastAsia"/>
                <w:lang w:val="en-US" w:eastAsia="zh-CN"/>
              </w:rPr>
              <w:t>0.173</w:t>
            </w:r>
          </w:p>
        </w:tc>
        <w:tc>
          <w:tcPr>
            <w:tcW w:w="1259" w:type="dxa"/>
            <w:shd w:val="clear" w:color="auto" w:fill="auto"/>
            <w:vAlign w:val="center"/>
          </w:tcPr>
          <w:p w14:paraId="7DA124B3">
            <w:pPr>
              <w:pStyle w:val="26"/>
              <w:bidi w:val="0"/>
              <w:rPr>
                <w:rFonts w:hint="eastAsia"/>
                <w:lang w:val="en-US" w:eastAsia="zh-CN"/>
              </w:rPr>
            </w:pPr>
            <w:r>
              <w:rPr>
                <w:rFonts w:hint="eastAsia"/>
                <w:lang w:val="en-US" w:eastAsia="zh-CN"/>
              </w:rPr>
              <w:t>38</w:t>
            </w:r>
          </w:p>
        </w:tc>
      </w:tr>
      <w:tr w14:paraId="4141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27F8A2D6">
            <w:pPr>
              <w:pStyle w:val="26"/>
              <w:bidi w:val="0"/>
              <w:rPr>
                <w:rFonts w:hint="eastAsia"/>
                <w:lang w:val="en-US" w:eastAsia="zh-CN"/>
              </w:rPr>
            </w:pPr>
            <w:r>
              <w:rPr>
                <w:rFonts w:hint="eastAsia"/>
                <w:lang w:val="en-US" w:eastAsia="zh-CN"/>
              </w:rPr>
              <w:t>砷（mg/kg)</w:t>
            </w:r>
          </w:p>
        </w:tc>
        <w:tc>
          <w:tcPr>
            <w:tcW w:w="2004" w:type="dxa"/>
            <w:gridSpan w:val="2"/>
            <w:shd w:val="clear" w:color="auto" w:fill="auto"/>
            <w:vAlign w:val="center"/>
          </w:tcPr>
          <w:p w14:paraId="5268DEE1">
            <w:pPr>
              <w:pStyle w:val="26"/>
              <w:bidi w:val="0"/>
              <w:rPr>
                <w:rFonts w:hint="eastAsia"/>
                <w:lang w:val="en-US" w:eastAsia="zh-CN"/>
              </w:rPr>
            </w:pPr>
            <w:r>
              <w:rPr>
                <w:rFonts w:hint="eastAsia"/>
                <w:lang w:val="en-US" w:eastAsia="zh-CN"/>
              </w:rPr>
              <w:t>7.67</w:t>
            </w:r>
          </w:p>
        </w:tc>
        <w:tc>
          <w:tcPr>
            <w:tcW w:w="2073" w:type="dxa"/>
            <w:gridSpan w:val="3"/>
            <w:shd w:val="clear" w:color="auto" w:fill="auto"/>
            <w:vAlign w:val="center"/>
          </w:tcPr>
          <w:p w14:paraId="4ACACF97">
            <w:pPr>
              <w:pStyle w:val="26"/>
              <w:bidi w:val="0"/>
              <w:rPr>
                <w:rFonts w:hint="eastAsia"/>
                <w:lang w:val="en-US" w:eastAsia="zh-CN"/>
              </w:rPr>
            </w:pPr>
            <w:r>
              <w:rPr>
                <w:rFonts w:hint="eastAsia"/>
                <w:lang w:val="en-US" w:eastAsia="zh-CN"/>
              </w:rPr>
              <w:t>9.84</w:t>
            </w:r>
          </w:p>
        </w:tc>
        <w:tc>
          <w:tcPr>
            <w:tcW w:w="1665" w:type="dxa"/>
            <w:gridSpan w:val="2"/>
            <w:shd w:val="clear" w:color="auto" w:fill="auto"/>
            <w:vAlign w:val="center"/>
          </w:tcPr>
          <w:p w14:paraId="5FA97259">
            <w:pPr>
              <w:pStyle w:val="26"/>
              <w:bidi w:val="0"/>
              <w:rPr>
                <w:rFonts w:hint="eastAsia"/>
                <w:lang w:val="en-US" w:eastAsia="zh-CN"/>
              </w:rPr>
            </w:pPr>
            <w:r>
              <w:rPr>
                <w:rFonts w:hint="eastAsia"/>
                <w:lang w:val="en-US" w:eastAsia="zh-CN"/>
              </w:rPr>
              <w:t>7.22</w:t>
            </w:r>
          </w:p>
        </w:tc>
        <w:tc>
          <w:tcPr>
            <w:tcW w:w="1942" w:type="dxa"/>
            <w:gridSpan w:val="3"/>
            <w:shd w:val="clear" w:color="auto" w:fill="auto"/>
            <w:vAlign w:val="center"/>
          </w:tcPr>
          <w:p w14:paraId="2810405F">
            <w:pPr>
              <w:pStyle w:val="26"/>
              <w:bidi w:val="0"/>
              <w:rPr>
                <w:rFonts w:hint="eastAsia"/>
                <w:lang w:val="en-US" w:eastAsia="zh-CN"/>
              </w:rPr>
            </w:pPr>
            <w:r>
              <w:rPr>
                <w:rFonts w:hint="eastAsia"/>
                <w:lang w:val="en-US" w:eastAsia="zh-CN"/>
              </w:rPr>
              <w:t>8.88</w:t>
            </w:r>
          </w:p>
        </w:tc>
        <w:tc>
          <w:tcPr>
            <w:tcW w:w="1698" w:type="dxa"/>
            <w:gridSpan w:val="2"/>
            <w:shd w:val="clear" w:color="auto" w:fill="auto"/>
            <w:vAlign w:val="center"/>
          </w:tcPr>
          <w:p w14:paraId="61F5CCA5">
            <w:pPr>
              <w:pStyle w:val="26"/>
              <w:bidi w:val="0"/>
              <w:rPr>
                <w:rFonts w:hint="eastAsia"/>
                <w:lang w:val="en-US" w:eastAsia="zh-CN"/>
              </w:rPr>
            </w:pPr>
            <w:r>
              <w:rPr>
                <w:rFonts w:hint="eastAsia"/>
                <w:lang w:val="en-US" w:eastAsia="zh-CN"/>
              </w:rPr>
              <w:t>6.92</w:t>
            </w:r>
          </w:p>
        </w:tc>
        <w:tc>
          <w:tcPr>
            <w:tcW w:w="1259" w:type="dxa"/>
            <w:shd w:val="clear" w:color="auto" w:fill="auto"/>
            <w:vAlign w:val="center"/>
          </w:tcPr>
          <w:p w14:paraId="4E1DB5C8">
            <w:pPr>
              <w:pStyle w:val="26"/>
              <w:bidi w:val="0"/>
              <w:rPr>
                <w:rFonts w:hint="eastAsia"/>
                <w:lang w:val="en-US" w:eastAsia="zh-CN"/>
              </w:rPr>
            </w:pPr>
            <w:r>
              <w:rPr>
                <w:rFonts w:hint="eastAsia"/>
                <w:lang w:val="en-US" w:eastAsia="zh-CN"/>
              </w:rPr>
              <w:t>60</w:t>
            </w:r>
          </w:p>
        </w:tc>
      </w:tr>
      <w:tr w14:paraId="5B91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74E86920">
            <w:pPr>
              <w:pStyle w:val="26"/>
              <w:bidi w:val="0"/>
              <w:rPr>
                <w:rFonts w:hint="eastAsia"/>
                <w:lang w:val="en-US" w:eastAsia="zh-CN"/>
              </w:rPr>
            </w:pPr>
            <w:r>
              <w:rPr>
                <w:rFonts w:hint="eastAsia"/>
                <w:lang w:val="en-US" w:eastAsia="zh-CN"/>
              </w:rPr>
              <w:t>石油烃（Clo-C40)(mg/kg)</w:t>
            </w:r>
          </w:p>
        </w:tc>
        <w:tc>
          <w:tcPr>
            <w:tcW w:w="2004" w:type="dxa"/>
            <w:gridSpan w:val="2"/>
            <w:shd w:val="clear" w:color="auto" w:fill="auto"/>
            <w:vAlign w:val="center"/>
          </w:tcPr>
          <w:p w14:paraId="56E5794F">
            <w:pPr>
              <w:pStyle w:val="26"/>
              <w:bidi w:val="0"/>
              <w:rPr>
                <w:rFonts w:hint="eastAsia"/>
                <w:lang w:val="en-US" w:eastAsia="zh-CN"/>
              </w:rPr>
            </w:pPr>
            <w:r>
              <w:rPr>
                <w:rFonts w:hint="eastAsia"/>
                <w:lang w:val="en-US" w:eastAsia="zh-CN"/>
              </w:rPr>
              <w:t>11</w:t>
            </w:r>
          </w:p>
        </w:tc>
        <w:tc>
          <w:tcPr>
            <w:tcW w:w="2073" w:type="dxa"/>
            <w:gridSpan w:val="3"/>
            <w:shd w:val="clear" w:color="auto" w:fill="auto"/>
            <w:vAlign w:val="center"/>
          </w:tcPr>
          <w:p w14:paraId="225CF85D">
            <w:pPr>
              <w:pStyle w:val="26"/>
              <w:bidi w:val="0"/>
              <w:rPr>
                <w:rFonts w:hint="eastAsia"/>
                <w:lang w:val="en-US" w:eastAsia="zh-CN"/>
              </w:rPr>
            </w:pPr>
            <w:r>
              <w:rPr>
                <w:rFonts w:hint="eastAsia"/>
                <w:lang w:val="en-US" w:eastAsia="zh-CN"/>
              </w:rPr>
              <w:t>26</w:t>
            </w:r>
          </w:p>
        </w:tc>
        <w:tc>
          <w:tcPr>
            <w:tcW w:w="1665" w:type="dxa"/>
            <w:gridSpan w:val="2"/>
            <w:shd w:val="clear" w:color="auto" w:fill="auto"/>
            <w:vAlign w:val="center"/>
          </w:tcPr>
          <w:p w14:paraId="665BAD79">
            <w:pPr>
              <w:pStyle w:val="26"/>
              <w:bidi w:val="0"/>
              <w:rPr>
                <w:rFonts w:hint="eastAsia"/>
                <w:lang w:val="en-US" w:eastAsia="zh-CN"/>
              </w:rPr>
            </w:pPr>
            <w:r>
              <w:rPr>
                <w:rFonts w:hint="eastAsia"/>
                <w:lang w:val="en-US" w:eastAsia="zh-CN"/>
              </w:rPr>
              <w:t>11</w:t>
            </w:r>
          </w:p>
        </w:tc>
        <w:tc>
          <w:tcPr>
            <w:tcW w:w="1942" w:type="dxa"/>
            <w:gridSpan w:val="3"/>
            <w:shd w:val="clear" w:color="auto" w:fill="auto"/>
            <w:vAlign w:val="center"/>
          </w:tcPr>
          <w:p w14:paraId="693F3562">
            <w:pPr>
              <w:pStyle w:val="26"/>
              <w:bidi w:val="0"/>
              <w:rPr>
                <w:rFonts w:hint="eastAsia"/>
                <w:lang w:val="en-US" w:eastAsia="zh-CN"/>
              </w:rPr>
            </w:pPr>
            <w:r>
              <w:rPr>
                <w:rFonts w:hint="eastAsia"/>
                <w:lang w:val="en-US" w:eastAsia="zh-CN"/>
              </w:rPr>
              <w:t>32</w:t>
            </w:r>
          </w:p>
        </w:tc>
        <w:tc>
          <w:tcPr>
            <w:tcW w:w="1698" w:type="dxa"/>
            <w:gridSpan w:val="2"/>
            <w:shd w:val="clear" w:color="auto" w:fill="auto"/>
            <w:vAlign w:val="center"/>
          </w:tcPr>
          <w:p w14:paraId="7C9AD4B6">
            <w:pPr>
              <w:pStyle w:val="26"/>
              <w:bidi w:val="0"/>
              <w:rPr>
                <w:rFonts w:hint="eastAsia"/>
                <w:lang w:val="en-US" w:eastAsia="zh-CN"/>
              </w:rPr>
            </w:pPr>
            <w:r>
              <w:rPr>
                <w:rFonts w:hint="eastAsia"/>
                <w:lang w:val="en-US" w:eastAsia="zh-CN"/>
              </w:rPr>
              <w:t>41</w:t>
            </w:r>
          </w:p>
        </w:tc>
        <w:tc>
          <w:tcPr>
            <w:tcW w:w="1259" w:type="dxa"/>
            <w:shd w:val="clear" w:color="auto" w:fill="auto"/>
            <w:vAlign w:val="center"/>
          </w:tcPr>
          <w:p w14:paraId="45398AF5">
            <w:pPr>
              <w:pStyle w:val="26"/>
              <w:bidi w:val="0"/>
              <w:rPr>
                <w:rFonts w:hint="eastAsia"/>
                <w:lang w:val="en-US" w:eastAsia="zh-CN"/>
              </w:rPr>
            </w:pPr>
            <w:r>
              <w:rPr>
                <w:rFonts w:hint="eastAsia"/>
                <w:lang w:val="en-US" w:eastAsia="zh-CN"/>
              </w:rPr>
              <w:t>4500</w:t>
            </w:r>
          </w:p>
        </w:tc>
      </w:tr>
      <w:tr w14:paraId="3677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restart"/>
            <w:shd w:val="clear" w:color="auto" w:fill="auto"/>
            <w:vAlign w:val="center"/>
          </w:tcPr>
          <w:p w14:paraId="2FC57D05">
            <w:pPr>
              <w:pStyle w:val="26"/>
              <w:bidi w:val="0"/>
              <w:rPr>
                <w:lang w:val="en-US" w:eastAsia="zh-CN"/>
              </w:rPr>
            </w:pPr>
            <w:r>
              <w:rPr>
                <w:rFonts w:hint="eastAsia"/>
                <w:lang w:val="en-US" w:eastAsia="zh-CN"/>
              </w:rPr>
              <w:t>半挥发性 有机物 (mg/kg)</w:t>
            </w:r>
          </w:p>
        </w:tc>
        <w:tc>
          <w:tcPr>
            <w:tcW w:w="2072" w:type="dxa"/>
            <w:gridSpan w:val="5"/>
            <w:shd w:val="clear" w:color="auto" w:fill="auto"/>
            <w:vAlign w:val="center"/>
          </w:tcPr>
          <w:p w14:paraId="40C715AD">
            <w:pPr>
              <w:pStyle w:val="26"/>
              <w:bidi w:val="0"/>
              <w:rPr>
                <w:rFonts w:hint="eastAsia"/>
                <w:lang w:val="en-US" w:eastAsia="zh-CN"/>
              </w:rPr>
            </w:pPr>
            <w:r>
              <w:rPr>
                <w:rFonts w:hint="eastAsia"/>
                <w:lang w:val="en-US" w:eastAsia="zh-CN"/>
              </w:rPr>
              <w:t>2-氯苯酚</w:t>
            </w:r>
          </w:p>
        </w:tc>
        <w:tc>
          <w:tcPr>
            <w:tcW w:w="2004" w:type="dxa"/>
            <w:gridSpan w:val="2"/>
            <w:shd w:val="clear" w:color="auto" w:fill="auto"/>
            <w:vAlign w:val="center"/>
          </w:tcPr>
          <w:p w14:paraId="18EC1C07">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1B12109C">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09516A3A">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FD67461">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31CE94EB">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D7AFB72">
            <w:pPr>
              <w:pStyle w:val="26"/>
              <w:bidi w:val="0"/>
              <w:rPr>
                <w:rFonts w:hint="eastAsia"/>
                <w:lang w:val="en-US" w:eastAsia="zh-CN"/>
              </w:rPr>
            </w:pPr>
            <w:r>
              <w:rPr>
                <w:rFonts w:hint="eastAsia"/>
                <w:lang w:val="en-US" w:eastAsia="zh-CN"/>
              </w:rPr>
              <w:t>2256</w:t>
            </w:r>
          </w:p>
        </w:tc>
      </w:tr>
      <w:tr w14:paraId="658F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777F0E9F">
            <w:pPr>
              <w:pStyle w:val="26"/>
              <w:bidi w:val="0"/>
            </w:pPr>
          </w:p>
        </w:tc>
        <w:tc>
          <w:tcPr>
            <w:tcW w:w="2072" w:type="dxa"/>
            <w:gridSpan w:val="5"/>
            <w:shd w:val="clear" w:color="auto" w:fill="auto"/>
            <w:vAlign w:val="center"/>
          </w:tcPr>
          <w:p w14:paraId="1BECB462">
            <w:pPr>
              <w:pStyle w:val="26"/>
              <w:bidi w:val="0"/>
              <w:rPr>
                <w:rFonts w:hint="eastAsia"/>
                <w:lang w:val="en-US" w:eastAsia="zh-CN"/>
              </w:rPr>
            </w:pPr>
            <w:r>
              <w:rPr>
                <w:rFonts w:hint="eastAsia"/>
                <w:lang w:val="en-US" w:eastAsia="zh-CN"/>
              </w:rPr>
              <w:t>硝基苯</w:t>
            </w:r>
          </w:p>
        </w:tc>
        <w:tc>
          <w:tcPr>
            <w:tcW w:w="2004" w:type="dxa"/>
            <w:gridSpan w:val="2"/>
            <w:shd w:val="clear" w:color="auto" w:fill="auto"/>
            <w:vAlign w:val="center"/>
          </w:tcPr>
          <w:p w14:paraId="7CE9DB77">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8356685">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2216D535">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D56395C">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72C5B6D">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5B495B9">
            <w:pPr>
              <w:pStyle w:val="26"/>
              <w:bidi w:val="0"/>
              <w:rPr>
                <w:rFonts w:hint="eastAsia"/>
                <w:lang w:val="en-US" w:eastAsia="zh-CN"/>
              </w:rPr>
            </w:pPr>
            <w:r>
              <w:rPr>
                <w:rFonts w:hint="eastAsia"/>
                <w:lang w:val="en-US" w:eastAsia="zh-CN"/>
              </w:rPr>
              <w:t>76</w:t>
            </w:r>
          </w:p>
        </w:tc>
      </w:tr>
      <w:tr w14:paraId="3E55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0D524A61">
            <w:pPr>
              <w:pStyle w:val="26"/>
              <w:bidi w:val="0"/>
            </w:pPr>
          </w:p>
        </w:tc>
        <w:tc>
          <w:tcPr>
            <w:tcW w:w="2072" w:type="dxa"/>
            <w:gridSpan w:val="5"/>
            <w:shd w:val="clear" w:color="auto" w:fill="auto"/>
            <w:vAlign w:val="center"/>
          </w:tcPr>
          <w:p w14:paraId="7D2BCCC0">
            <w:pPr>
              <w:pStyle w:val="26"/>
              <w:bidi w:val="0"/>
              <w:rPr>
                <w:rFonts w:hint="eastAsia"/>
                <w:lang w:val="en-US" w:eastAsia="zh-CN"/>
              </w:rPr>
            </w:pPr>
            <w:r>
              <w:rPr>
                <w:rFonts w:hint="eastAsia"/>
                <w:lang w:val="en-US" w:eastAsia="zh-CN"/>
              </w:rPr>
              <w:t>萘</w:t>
            </w:r>
          </w:p>
        </w:tc>
        <w:tc>
          <w:tcPr>
            <w:tcW w:w="2004" w:type="dxa"/>
            <w:gridSpan w:val="2"/>
            <w:shd w:val="clear" w:color="auto" w:fill="auto"/>
            <w:vAlign w:val="center"/>
          </w:tcPr>
          <w:p w14:paraId="5BB4F5EA">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6C12C5E7">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3C066679">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A622149">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C72602D">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744CE396">
            <w:pPr>
              <w:pStyle w:val="26"/>
              <w:bidi w:val="0"/>
              <w:rPr>
                <w:rFonts w:hint="eastAsia"/>
                <w:lang w:val="en-US" w:eastAsia="zh-CN"/>
              </w:rPr>
            </w:pPr>
            <w:r>
              <w:rPr>
                <w:rFonts w:hint="eastAsia"/>
                <w:lang w:val="en-US" w:eastAsia="zh-CN"/>
              </w:rPr>
              <w:t>70</w:t>
            </w:r>
          </w:p>
        </w:tc>
      </w:tr>
      <w:tr w14:paraId="29DA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3197ED2B">
            <w:pPr>
              <w:pStyle w:val="26"/>
              <w:bidi w:val="0"/>
            </w:pPr>
          </w:p>
        </w:tc>
        <w:tc>
          <w:tcPr>
            <w:tcW w:w="2072" w:type="dxa"/>
            <w:gridSpan w:val="5"/>
            <w:shd w:val="clear" w:color="auto" w:fill="auto"/>
            <w:vAlign w:val="center"/>
          </w:tcPr>
          <w:p w14:paraId="6BA5C5E3">
            <w:pPr>
              <w:pStyle w:val="26"/>
              <w:bidi w:val="0"/>
              <w:rPr>
                <w:rFonts w:hint="eastAsia"/>
                <w:lang w:val="en-US" w:eastAsia="zh-CN"/>
              </w:rPr>
            </w:pPr>
            <w:r>
              <w:rPr>
                <w:rFonts w:hint="eastAsia"/>
                <w:lang w:val="en-US" w:eastAsia="zh-CN"/>
              </w:rPr>
              <w:t>苯 并 （ a ） 蒽</w:t>
            </w:r>
          </w:p>
        </w:tc>
        <w:tc>
          <w:tcPr>
            <w:tcW w:w="2004" w:type="dxa"/>
            <w:gridSpan w:val="2"/>
            <w:shd w:val="clear" w:color="auto" w:fill="auto"/>
            <w:vAlign w:val="center"/>
          </w:tcPr>
          <w:p w14:paraId="46552CF2">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B116E8D">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A6B92BC">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13F10782">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12BA6D5">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B74F880">
            <w:pPr>
              <w:pStyle w:val="26"/>
              <w:bidi w:val="0"/>
              <w:rPr>
                <w:rFonts w:hint="eastAsia"/>
                <w:lang w:val="en-US" w:eastAsia="zh-CN"/>
              </w:rPr>
            </w:pPr>
            <w:r>
              <w:rPr>
                <w:rFonts w:hint="eastAsia"/>
                <w:lang w:val="en-US" w:eastAsia="zh-CN"/>
              </w:rPr>
              <w:t>15</w:t>
            </w:r>
          </w:p>
        </w:tc>
      </w:tr>
      <w:tr w14:paraId="02EA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5509436E">
            <w:pPr>
              <w:pStyle w:val="26"/>
              <w:bidi w:val="0"/>
            </w:pPr>
          </w:p>
        </w:tc>
        <w:tc>
          <w:tcPr>
            <w:tcW w:w="2072" w:type="dxa"/>
            <w:gridSpan w:val="5"/>
            <w:shd w:val="clear" w:color="auto" w:fill="auto"/>
            <w:vAlign w:val="center"/>
          </w:tcPr>
          <w:p w14:paraId="1A471B4A">
            <w:pPr>
              <w:pStyle w:val="26"/>
              <w:bidi w:val="0"/>
              <w:rPr>
                <w:rFonts w:hint="eastAsia"/>
                <w:lang w:val="en-US" w:eastAsia="zh-CN"/>
              </w:rPr>
            </w:pPr>
            <w:r>
              <w:rPr>
                <w:rFonts w:hint="eastAsia"/>
                <w:lang w:val="en-US" w:eastAsia="zh-CN"/>
              </w:rPr>
              <w:t>菌</w:t>
            </w:r>
          </w:p>
        </w:tc>
        <w:tc>
          <w:tcPr>
            <w:tcW w:w="2004" w:type="dxa"/>
            <w:gridSpan w:val="2"/>
            <w:shd w:val="clear" w:color="auto" w:fill="auto"/>
            <w:vAlign w:val="center"/>
          </w:tcPr>
          <w:p w14:paraId="3CD91C50">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833FFA3">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67AA2A8">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21F6FAE">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57636B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69B68692">
            <w:pPr>
              <w:pStyle w:val="26"/>
              <w:bidi w:val="0"/>
              <w:rPr>
                <w:rFonts w:hint="eastAsia"/>
                <w:lang w:val="en-US" w:eastAsia="zh-CN"/>
              </w:rPr>
            </w:pPr>
            <w:r>
              <w:rPr>
                <w:rFonts w:hint="eastAsia"/>
                <w:lang w:val="en-US" w:eastAsia="zh-CN"/>
              </w:rPr>
              <w:t>1293</w:t>
            </w:r>
          </w:p>
        </w:tc>
      </w:tr>
      <w:tr w14:paraId="6B11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7DB7501A">
            <w:pPr>
              <w:pStyle w:val="26"/>
              <w:bidi w:val="0"/>
            </w:pPr>
          </w:p>
        </w:tc>
        <w:tc>
          <w:tcPr>
            <w:tcW w:w="2072" w:type="dxa"/>
            <w:gridSpan w:val="5"/>
            <w:shd w:val="clear" w:color="auto" w:fill="auto"/>
            <w:vAlign w:val="center"/>
          </w:tcPr>
          <w:p w14:paraId="4194F833">
            <w:pPr>
              <w:pStyle w:val="26"/>
              <w:bidi w:val="0"/>
              <w:rPr>
                <w:rFonts w:hint="eastAsia"/>
                <w:lang w:val="en-US" w:eastAsia="zh-CN"/>
              </w:rPr>
            </w:pPr>
            <w:r>
              <w:rPr>
                <w:rFonts w:hint="eastAsia"/>
                <w:lang w:val="en-US" w:eastAsia="zh-CN"/>
              </w:rPr>
              <w:t>苯胺</w:t>
            </w:r>
          </w:p>
        </w:tc>
        <w:tc>
          <w:tcPr>
            <w:tcW w:w="2004" w:type="dxa"/>
            <w:gridSpan w:val="2"/>
            <w:shd w:val="clear" w:color="auto" w:fill="auto"/>
            <w:vAlign w:val="center"/>
          </w:tcPr>
          <w:p w14:paraId="741BF244">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73B7806">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719FF172">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E959E0D">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14ABA04D">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0AA0758">
            <w:pPr>
              <w:pStyle w:val="26"/>
              <w:bidi w:val="0"/>
              <w:rPr>
                <w:rFonts w:hint="eastAsia"/>
                <w:lang w:val="en-US" w:eastAsia="zh-CN"/>
              </w:rPr>
            </w:pPr>
            <w:r>
              <w:rPr>
                <w:rFonts w:hint="eastAsia"/>
                <w:lang w:val="en-US" w:eastAsia="zh-CN"/>
              </w:rPr>
              <w:t>260</w:t>
            </w:r>
          </w:p>
        </w:tc>
      </w:tr>
      <w:tr w14:paraId="7C89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0C0C2F51">
            <w:pPr>
              <w:pStyle w:val="26"/>
              <w:bidi w:val="0"/>
            </w:pPr>
          </w:p>
        </w:tc>
        <w:tc>
          <w:tcPr>
            <w:tcW w:w="2072" w:type="dxa"/>
            <w:gridSpan w:val="5"/>
            <w:shd w:val="clear" w:color="auto" w:fill="auto"/>
            <w:vAlign w:val="center"/>
          </w:tcPr>
          <w:p w14:paraId="4CA67264">
            <w:pPr>
              <w:pStyle w:val="26"/>
              <w:bidi w:val="0"/>
              <w:rPr>
                <w:rFonts w:hint="eastAsia"/>
                <w:lang w:val="en-US" w:eastAsia="zh-CN"/>
              </w:rPr>
            </w:pPr>
            <w:r>
              <w:rPr>
                <w:rFonts w:hint="eastAsia"/>
                <w:lang w:val="en-US" w:eastAsia="zh-CN"/>
              </w:rPr>
              <w:t>苯并（b）荧蒽</w:t>
            </w:r>
          </w:p>
        </w:tc>
        <w:tc>
          <w:tcPr>
            <w:tcW w:w="2004" w:type="dxa"/>
            <w:gridSpan w:val="2"/>
            <w:shd w:val="clear" w:color="auto" w:fill="auto"/>
            <w:vAlign w:val="center"/>
          </w:tcPr>
          <w:p w14:paraId="7A5F7338">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3CA24C4B">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3FA5831D">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C978065">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1AA60ED">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7453AC42">
            <w:pPr>
              <w:pStyle w:val="26"/>
              <w:bidi w:val="0"/>
              <w:rPr>
                <w:rFonts w:hint="eastAsia"/>
                <w:lang w:val="en-US" w:eastAsia="zh-CN"/>
              </w:rPr>
            </w:pPr>
            <w:r>
              <w:rPr>
                <w:rFonts w:hint="eastAsia"/>
                <w:lang w:val="en-US" w:eastAsia="zh-CN"/>
              </w:rPr>
              <w:t>15</w:t>
            </w:r>
          </w:p>
        </w:tc>
      </w:tr>
      <w:tr w14:paraId="3865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27086BDF">
            <w:pPr>
              <w:pStyle w:val="26"/>
              <w:bidi w:val="0"/>
            </w:pPr>
          </w:p>
        </w:tc>
        <w:tc>
          <w:tcPr>
            <w:tcW w:w="2072" w:type="dxa"/>
            <w:gridSpan w:val="5"/>
            <w:shd w:val="clear" w:color="auto" w:fill="auto"/>
            <w:vAlign w:val="center"/>
          </w:tcPr>
          <w:p w14:paraId="13353C74">
            <w:pPr>
              <w:pStyle w:val="26"/>
              <w:bidi w:val="0"/>
              <w:rPr>
                <w:rFonts w:hint="eastAsia"/>
                <w:lang w:val="en-US" w:eastAsia="zh-CN"/>
              </w:rPr>
            </w:pPr>
            <w:r>
              <w:rPr>
                <w:rFonts w:hint="eastAsia"/>
                <w:lang w:val="en-US" w:eastAsia="zh-CN"/>
              </w:rPr>
              <w:t>苯并（k）荧蒽</w:t>
            </w:r>
          </w:p>
        </w:tc>
        <w:tc>
          <w:tcPr>
            <w:tcW w:w="2004" w:type="dxa"/>
            <w:gridSpan w:val="2"/>
            <w:shd w:val="clear" w:color="auto" w:fill="auto"/>
            <w:vAlign w:val="center"/>
          </w:tcPr>
          <w:p w14:paraId="183CD625">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17CEFB4">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0DFCCC3E">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F41B1D8">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4A22390">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34B1D14">
            <w:pPr>
              <w:pStyle w:val="26"/>
              <w:bidi w:val="0"/>
              <w:rPr>
                <w:rFonts w:hint="eastAsia"/>
                <w:lang w:val="en-US" w:eastAsia="zh-CN"/>
              </w:rPr>
            </w:pPr>
            <w:r>
              <w:rPr>
                <w:rFonts w:hint="eastAsia"/>
                <w:lang w:val="en-US" w:eastAsia="zh-CN"/>
              </w:rPr>
              <w:t>151</w:t>
            </w:r>
          </w:p>
        </w:tc>
      </w:tr>
      <w:tr w14:paraId="773C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15AF29CA">
            <w:pPr>
              <w:pStyle w:val="26"/>
              <w:bidi w:val="0"/>
            </w:pPr>
          </w:p>
        </w:tc>
        <w:tc>
          <w:tcPr>
            <w:tcW w:w="2072" w:type="dxa"/>
            <w:gridSpan w:val="5"/>
            <w:shd w:val="clear" w:color="auto" w:fill="auto"/>
            <w:vAlign w:val="center"/>
          </w:tcPr>
          <w:p w14:paraId="3FC5F05E">
            <w:pPr>
              <w:pStyle w:val="26"/>
              <w:bidi w:val="0"/>
              <w:rPr>
                <w:rFonts w:hint="eastAsia"/>
                <w:lang w:val="en-US" w:eastAsia="zh-CN"/>
              </w:rPr>
            </w:pPr>
            <w:r>
              <w:rPr>
                <w:rFonts w:hint="eastAsia"/>
                <w:lang w:val="en-US" w:eastAsia="zh-CN"/>
              </w:rPr>
              <w:t>苯并（a）芘</w:t>
            </w:r>
          </w:p>
        </w:tc>
        <w:tc>
          <w:tcPr>
            <w:tcW w:w="2004" w:type="dxa"/>
            <w:gridSpan w:val="2"/>
            <w:shd w:val="clear" w:color="auto" w:fill="auto"/>
            <w:vAlign w:val="center"/>
          </w:tcPr>
          <w:p w14:paraId="0E9F2A88">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970E7B5">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6EFC05B">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45E77EF3">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1B36D552">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0B89B511">
            <w:pPr>
              <w:pStyle w:val="26"/>
              <w:bidi w:val="0"/>
              <w:rPr>
                <w:rFonts w:hint="eastAsia"/>
                <w:lang w:val="en-US" w:eastAsia="zh-CN"/>
              </w:rPr>
            </w:pPr>
            <w:r>
              <w:rPr>
                <w:rFonts w:hint="eastAsia"/>
                <w:lang w:val="en-US" w:eastAsia="zh-CN"/>
              </w:rPr>
              <w:t>1.5</w:t>
            </w:r>
          </w:p>
        </w:tc>
      </w:tr>
      <w:tr w14:paraId="2BEB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1A6C47B1">
            <w:pPr>
              <w:pStyle w:val="26"/>
              <w:bidi w:val="0"/>
            </w:pPr>
          </w:p>
        </w:tc>
        <w:tc>
          <w:tcPr>
            <w:tcW w:w="2072" w:type="dxa"/>
            <w:gridSpan w:val="5"/>
            <w:shd w:val="clear" w:color="auto" w:fill="auto"/>
            <w:vAlign w:val="center"/>
          </w:tcPr>
          <w:p w14:paraId="67B0CE5F">
            <w:pPr>
              <w:pStyle w:val="26"/>
              <w:bidi w:val="0"/>
              <w:rPr>
                <w:rFonts w:hint="eastAsia"/>
                <w:lang w:val="en-US" w:eastAsia="zh-CN"/>
              </w:rPr>
            </w:pPr>
            <w:r>
              <w:rPr>
                <w:rFonts w:hint="eastAsia"/>
                <w:lang w:val="en-US" w:eastAsia="zh-CN"/>
              </w:rPr>
              <w:t>茚并（1,2,3-cd）芘</w:t>
            </w:r>
          </w:p>
        </w:tc>
        <w:tc>
          <w:tcPr>
            <w:tcW w:w="2004" w:type="dxa"/>
            <w:gridSpan w:val="2"/>
            <w:shd w:val="clear" w:color="auto" w:fill="auto"/>
            <w:vAlign w:val="center"/>
          </w:tcPr>
          <w:p w14:paraId="6AC24A16">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A34C099">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40D5A91">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9C9B2E3">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7549BE8">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2497D16">
            <w:pPr>
              <w:pStyle w:val="26"/>
              <w:bidi w:val="0"/>
              <w:rPr>
                <w:rFonts w:hint="eastAsia"/>
                <w:lang w:val="en-US" w:eastAsia="zh-CN"/>
              </w:rPr>
            </w:pPr>
            <w:r>
              <w:rPr>
                <w:rFonts w:hint="eastAsia"/>
                <w:lang w:val="en-US" w:eastAsia="zh-CN"/>
              </w:rPr>
              <w:t>15</w:t>
            </w:r>
          </w:p>
        </w:tc>
      </w:tr>
      <w:tr w14:paraId="74AE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7082EFBF">
            <w:pPr>
              <w:pStyle w:val="26"/>
              <w:bidi w:val="0"/>
            </w:pPr>
          </w:p>
        </w:tc>
        <w:tc>
          <w:tcPr>
            <w:tcW w:w="2072" w:type="dxa"/>
            <w:gridSpan w:val="5"/>
            <w:shd w:val="clear" w:color="auto" w:fill="auto"/>
            <w:vAlign w:val="center"/>
          </w:tcPr>
          <w:p w14:paraId="50A43796">
            <w:pPr>
              <w:pStyle w:val="26"/>
              <w:bidi w:val="0"/>
              <w:rPr>
                <w:rFonts w:hint="eastAsia"/>
                <w:lang w:val="en-US" w:eastAsia="zh-CN"/>
              </w:rPr>
            </w:pPr>
            <w:r>
              <w:rPr>
                <w:rFonts w:hint="eastAsia"/>
                <w:lang w:val="en-US" w:eastAsia="zh-CN"/>
              </w:rPr>
              <w:t>二苯并（ah）蒽</w:t>
            </w:r>
          </w:p>
        </w:tc>
        <w:tc>
          <w:tcPr>
            <w:tcW w:w="2004" w:type="dxa"/>
            <w:gridSpan w:val="2"/>
            <w:shd w:val="clear" w:color="auto" w:fill="auto"/>
            <w:vAlign w:val="center"/>
          </w:tcPr>
          <w:p w14:paraId="156E8002">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53FFF068">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0DF7971">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6F0FA5DD">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4FA5B01E">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60CB1246">
            <w:pPr>
              <w:pStyle w:val="26"/>
              <w:bidi w:val="0"/>
              <w:rPr>
                <w:rFonts w:hint="eastAsia"/>
                <w:lang w:val="en-US" w:eastAsia="zh-CN"/>
              </w:rPr>
            </w:pPr>
            <w:r>
              <w:rPr>
                <w:rFonts w:hint="eastAsia"/>
                <w:lang w:val="en-US" w:eastAsia="zh-CN"/>
              </w:rPr>
              <w:t>1.5</w:t>
            </w:r>
          </w:p>
        </w:tc>
      </w:tr>
      <w:tr w14:paraId="513C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3" w:type="dxa"/>
            <w:vMerge w:val="continue"/>
            <w:shd w:val="clear" w:color="auto" w:fill="auto"/>
            <w:vAlign w:val="center"/>
          </w:tcPr>
          <w:p w14:paraId="1C72DBDB">
            <w:pPr>
              <w:pStyle w:val="26"/>
              <w:bidi w:val="0"/>
            </w:pPr>
          </w:p>
        </w:tc>
        <w:tc>
          <w:tcPr>
            <w:tcW w:w="2072" w:type="dxa"/>
            <w:gridSpan w:val="5"/>
            <w:shd w:val="clear" w:color="auto" w:fill="auto"/>
            <w:vAlign w:val="center"/>
          </w:tcPr>
          <w:p w14:paraId="5DD6F311">
            <w:pPr>
              <w:pStyle w:val="26"/>
              <w:bidi w:val="0"/>
              <w:rPr>
                <w:rFonts w:hint="eastAsia"/>
                <w:lang w:val="en-US" w:eastAsia="zh-CN"/>
              </w:rPr>
            </w:pPr>
            <w:r>
              <w:rPr>
                <w:rFonts w:hint="eastAsia"/>
                <w:lang w:val="en-US" w:eastAsia="zh-CN"/>
              </w:rPr>
              <w:t>2-氯苯酚</w:t>
            </w:r>
          </w:p>
        </w:tc>
        <w:tc>
          <w:tcPr>
            <w:tcW w:w="2004" w:type="dxa"/>
            <w:gridSpan w:val="2"/>
            <w:shd w:val="clear" w:color="auto" w:fill="auto"/>
            <w:vAlign w:val="center"/>
          </w:tcPr>
          <w:p w14:paraId="31179CF4">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D628E8A">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D92A9C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4FDE5D5">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1DCB97BB">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A75D8C5">
            <w:pPr>
              <w:pStyle w:val="26"/>
              <w:bidi w:val="0"/>
              <w:rPr>
                <w:rFonts w:hint="eastAsia"/>
                <w:lang w:val="en-US" w:eastAsia="zh-CN"/>
              </w:rPr>
            </w:pPr>
            <w:r>
              <w:rPr>
                <w:rFonts w:hint="eastAsia"/>
                <w:lang w:val="en-US" w:eastAsia="zh-CN"/>
              </w:rPr>
              <w:t>2256</w:t>
            </w:r>
          </w:p>
        </w:tc>
      </w:tr>
      <w:tr w14:paraId="2969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52E3FD7A">
            <w:pPr>
              <w:pStyle w:val="26"/>
              <w:bidi w:val="0"/>
              <w:rPr>
                <w:rFonts w:hint="eastAsia"/>
                <w:lang w:val="en-US" w:eastAsia="en-US"/>
              </w:rPr>
            </w:pPr>
            <w:r>
              <w:rPr>
                <w:rFonts w:hint="eastAsia"/>
                <w:lang w:val="en-US" w:eastAsia="zh-CN"/>
              </w:rPr>
              <w:t>样品状态</w:t>
            </w:r>
          </w:p>
        </w:tc>
        <w:tc>
          <w:tcPr>
            <w:tcW w:w="2004" w:type="dxa"/>
            <w:gridSpan w:val="2"/>
            <w:shd w:val="clear" w:color="auto" w:fill="auto"/>
            <w:vAlign w:val="center"/>
          </w:tcPr>
          <w:p w14:paraId="13A1884B">
            <w:pPr>
              <w:pStyle w:val="26"/>
              <w:bidi w:val="0"/>
              <w:rPr>
                <w:rFonts w:hint="eastAsia"/>
                <w:lang w:val="en-US" w:eastAsia="en-US"/>
              </w:rPr>
            </w:pPr>
            <w:r>
              <w:rPr>
                <w:rFonts w:hint="eastAsia"/>
                <w:lang w:val="en-US" w:eastAsia="zh-CN"/>
              </w:rPr>
              <w:t>显灰色，呈壤土</w:t>
            </w:r>
          </w:p>
        </w:tc>
        <w:tc>
          <w:tcPr>
            <w:tcW w:w="2073" w:type="dxa"/>
            <w:gridSpan w:val="3"/>
            <w:shd w:val="clear" w:color="auto" w:fill="auto"/>
            <w:vAlign w:val="center"/>
          </w:tcPr>
          <w:p w14:paraId="3F59E64F">
            <w:pPr>
              <w:pStyle w:val="26"/>
              <w:bidi w:val="0"/>
              <w:rPr>
                <w:rFonts w:hint="eastAsia"/>
                <w:lang w:val="en-US" w:eastAsia="en-US"/>
              </w:rPr>
            </w:pPr>
            <w:r>
              <w:rPr>
                <w:rFonts w:hint="eastAsia"/>
                <w:lang w:val="en-US" w:eastAsia="zh-CN"/>
              </w:rPr>
              <w:t>显暗棕色，呈壤土</w:t>
            </w:r>
          </w:p>
        </w:tc>
        <w:tc>
          <w:tcPr>
            <w:tcW w:w="1665" w:type="dxa"/>
            <w:gridSpan w:val="2"/>
            <w:shd w:val="clear" w:color="auto" w:fill="auto"/>
            <w:vAlign w:val="center"/>
          </w:tcPr>
          <w:p w14:paraId="58D02D45">
            <w:pPr>
              <w:pStyle w:val="26"/>
              <w:bidi w:val="0"/>
              <w:rPr>
                <w:rFonts w:hint="eastAsia"/>
                <w:lang w:val="en-US" w:eastAsia="en-US"/>
              </w:rPr>
            </w:pPr>
            <w:r>
              <w:rPr>
                <w:rFonts w:hint="eastAsia"/>
                <w:lang w:val="en-US" w:eastAsia="zh-CN"/>
              </w:rPr>
              <w:t>显灰色，呈壤土</w:t>
            </w:r>
          </w:p>
        </w:tc>
        <w:tc>
          <w:tcPr>
            <w:tcW w:w="1942" w:type="dxa"/>
            <w:gridSpan w:val="3"/>
            <w:shd w:val="clear" w:color="auto" w:fill="auto"/>
            <w:vAlign w:val="center"/>
          </w:tcPr>
          <w:p w14:paraId="2F975197">
            <w:pPr>
              <w:pStyle w:val="26"/>
              <w:bidi w:val="0"/>
              <w:rPr>
                <w:rFonts w:hint="eastAsia"/>
                <w:lang w:val="en-US" w:eastAsia="en-US"/>
              </w:rPr>
            </w:pPr>
            <w:r>
              <w:rPr>
                <w:rFonts w:hint="eastAsia"/>
                <w:lang w:val="en-US" w:eastAsia="zh-CN"/>
              </w:rPr>
              <w:t>显灰色，呈壤土</w:t>
            </w:r>
          </w:p>
        </w:tc>
        <w:tc>
          <w:tcPr>
            <w:tcW w:w="1698" w:type="dxa"/>
            <w:gridSpan w:val="2"/>
            <w:shd w:val="clear" w:color="auto" w:fill="auto"/>
            <w:vAlign w:val="center"/>
          </w:tcPr>
          <w:p w14:paraId="2BFA2713">
            <w:pPr>
              <w:pStyle w:val="26"/>
              <w:bidi w:val="0"/>
              <w:rPr>
                <w:rFonts w:hint="eastAsia"/>
                <w:lang w:val="en-US" w:eastAsia="en-US"/>
              </w:rPr>
            </w:pPr>
            <w:r>
              <w:rPr>
                <w:rFonts w:hint="eastAsia"/>
                <w:lang w:val="en-US" w:eastAsia="zh-CN"/>
              </w:rPr>
              <w:t>显灰色，呈壤土</w:t>
            </w:r>
          </w:p>
        </w:tc>
        <w:tc>
          <w:tcPr>
            <w:tcW w:w="1259" w:type="dxa"/>
            <w:shd w:val="clear" w:color="auto" w:fill="auto"/>
            <w:vAlign w:val="center"/>
          </w:tcPr>
          <w:p w14:paraId="07D6D1EF">
            <w:pPr>
              <w:pStyle w:val="26"/>
              <w:bidi w:val="0"/>
              <w:rPr>
                <w:rFonts w:hint="eastAsia"/>
                <w:lang w:val="en-US" w:eastAsia="zh-CN"/>
              </w:rPr>
            </w:pPr>
            <w:r>
              <w:rPr>
                <w:rFonts w:hint="eastAsia"/>
                <w:lang w:val="en-US" w:eastAsia="zh-CN"/>
              </w:rPr>
              <w:t>/</w:t>
            </w:r>
          </w:p>
        </w:tc>
      </w:tr>
      <w:tr w14:paraId="596A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restart"/>
            <w:shd w:val="clear" w:color="auto" w:fill="auto"/>
            <w:vAlign w:val="center"/>
          </w:tcPr>
          <w:p w14:paraId="636CEB46">
            <w:pPr>
              <w:pStyle w:val="26"/>
              <w:bidi w:val="0"/>
              <w:rPr>
                <w:rFonts w:hint="eastAsia"/>
                <w:lang w:val="en-US" w:eastAsia="zh-CN"/>
              </w:rPr>
            </w:pPr>
            <w:r>
              <w:rPr>
                <w:rFonts w:hint="eastAsia"/>
                <w:lang w:val="en-US" w:eastAsia="zh-CN"/>
              </w:rPr>
              <w:t>挥发性有机物(μg/kg)</w:t>
            </w:r>
          </w:p>
        </w:tc>
        <w:tc>
          <w:tcPr>
            <w:tcW w:w="1930" w:type="dxa"/>
            <w:gridSpan w:val="4"/>
            <w:shd w:val="clear" w:color="auto" w:fill="auto"/>
            <w:vAlign w:val="center"/>
          </w:tcPr>
          <w:p w14:paraId="1E378BE9">
            <w:pPr>
              <w:pStyle w:val="26"/>
              <w:bidi w:val="0"/>
              <w:rPr>
                <w:rFonts w:hint="eastAsia"/>
                <w:lang w:val="en-US" w:eastAsia="en-US"/>
              </w:rPr>
            </w:pPr>
            <w:r>
              <w:rPr>
                <w:rFonts w:hint="eastAsia"/>
                <w:lang w:val="en-US" w:eastAsia="zh-CN"/>
              </w:rPr>
              <w:t>氯甲烷</w:t>
            </w:r>
          </w:p>
        </w:tc>
        <w:tc>
          <w:tcPr>
            <w:tcW w:w="2004" w:type="dxa"/>
            <w:gridSpan w:val="2"/>
            <w:shd w:val="clear" w:color="auto" w:fill="auto"/>
            <w:vAlign w:val="center"/>
          </w:tcPr>
          <w:p w14:paraId="4D356B31">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41D6BD1">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61292E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65000AEE">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5D17B405">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2336F357">
            <w:pPr>
              <w:pStyle w:val="26"/>
              <w:bidi w:val="0"/>
              <w:rPr>
                <w:rFonts w:hint="eastAsia"/>
                <w:lang w:val="en-US" w:eastAsia="zh-CN"/>
              </w:rPr>
            </w:pPr>
            <w:r>
              <w:rPr>
                <w:rFonts w:hint="eastAsia"/>
                <w:lang w:val="en-US" w:eastAsia="zh-CN"/>
              </w:rPr>
              <w:t>37</w:t>
            </w:r>
          </w:p>
        </w:tc>
      </w:tr>
      <w:tr w14:paraId="21D0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CF30C51">
            <w:pPr>
              <w:pStyle w:val="26"/>
              <w:bidi w:val="0"/>
              <w:rPr>
                <w:rFonts w:hint="eastAsia"/>
                <w:lang w:val="en-US" w:eastAsia="zh-CN"/>
              </w:rPr>
            </w:pPr>
          </w:p>
        </w:tc>
        <w:tc>
          <w:tcPr>
            <w:tcW w:w="1930" w:type="dxa"/>
            <w:gridSpan w:val="4"/>
            <w:shd w:val="clear" w:color="auto" w:fill="auto"/>
            <w:vAlign w:val="center"/>
          </w:tcPr>
          <w:p w14:paraId="6D6D247F">
            <w:pPr>
              <w:pStyle w:val="26"/>
              <w:bidi w:val="0"/>
              <w:rPr>
                <w:rFonts w:hint="eastAsia"/>
                <w:lang w:val="en-US" w:eastAsia="en-US"/>
              </w:rPr>
            </w:pPr>
            <w:r>
              <w:rPr>
                <w:rFonts w:hint="eastAsia"/>
                <w:lang w:val="en-US" w:eastAsia="zh-CN"/>
              </w:rPr>
              <w:t>氯乙烯</w:t>
            </w:r>
          </w:p>
        </w:tc>
        <w:tc>
          <w:tcPr>
            <w:tcW w:w="2004" w:type="dxa"/>
            <w:gridSpan w:val="2"/>
            <w:shd w:val="clear" w:color="auto" w:fill="auto"/>
            <w:vAlign w:val="center"/>
          </w:tcPr>
          <w:p w14:paraId="6DD97872">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27ACA225">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2F53CC64">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BCBAB85">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311B444">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F655592">
            <w:pPr>
              <w:pStyle w:val="26"/>
              <w:bidi w:val="0"/>
              <w:rPr>
                <w:rFonts w:hint="eastAsia"/>
                <w:lang w:val="en-US" w:eastAsia="zh-CN"/>
              </w:rPr>
            </w:pPr>
            <w:r>
              <w:rPr>
                <w:rFonts w:hint="eastAsia"/>
                <w:lang w:val="en-US" w:eastAsia="zh-CN"/>
              </w:rPr>
              <w:t>0.43</w:t>
            </w:r>
          </w:p>
        </w:tc>
      </w:tr>
      <w:tr w14:paraId="043D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48D00AD8">
            <w:pPr>
              <w:pStyle w:val="26"/>
              <w:bidi w:val="0"/>
              <w:rPr>
                <w:rFonts w:hint="eastAsia"/>
                <w:lang w:val="en-US" w:eastAsia="zh-CN"/>
              </w:rPr>
            </w:pPr>
          </w:p>
        </w:tc>
        <w:tc>
          <w:tcPr>
            <w:tcW w:w="1930" w:type="dxa"/>
            <w:gridSpan w:val="4"/>
            <w:shd w:val="clear" w:color="auto" w:fill="auto"/>
            <w:vAlign w:val="center"/>
          </w:tcPr>
          <w:p w14:paraId="1C9CD20D">
            <w:pPr>
              <w:pStyle w:val="26"/>
              <w:bidi w:val="0"/>
              <w:rPr>
                <w:rFonts w:hint="eastAsia"/>
                <w:lang w:val="en-US" w:eastAsia="en-US"/>
              </w:rPr>
            </w:pPr>
            <w:r>
              <w:rPr>
                <w:rFonts w:hint="eastAsia"/>
                <w:lang w:val="en-US" w:eastAsia="zh-CN"/>
              </w:rPr>
              <w:t>1, 1-二氯乙烯</w:t>
            </w:r>
          </w:p>
        </w:tc>
        <w:tc>
          <w:tcPr>
            <w:tcW w:w="2004" w:type="dxa"/>
            <w:gridSpan w:val="2"/>
            <w:shd w:val="clear" w:color="auto" w:fill="auto"/>
            <w:vAlign w:val="center"/>
          </w:tcPr>
          <w:p w14:paraId="2522738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595BBF18">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7DF343F4">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18BC79C2">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634A4F8">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A7C8EF2">
            <w:pPr>
              <w:pStyle w:val="26"/>
              <w:bidi w:val="0"/>
              <w:rPr>
                <w:rFonts w:hint="eastAsia"/>
                <w:lang w:val="en-US" w:eastAsia="zh-CN"/>
              </w:rPr>
            </w:pPr>
            <w:r>
              <w:rPr>
                <w:rFonts w:hint="eastAsia"/>
                <w:lang w:val="en-US" w:eastAsia="zh-CN"/>
              </w:rPr>
              <w:t>66</w:t>
            </w:r>
          </w:p>
        </w:tc>
      </w:tr>
      <w:tr w14:paraId="01D1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F1133A8">
            <w:pPr>
              <w:pStyle w:val="26"/>
              <w:bidi w:val="0"/>
              <w:rPr>
                <w:rFonts w:hint="eastAsia"/>
                <w:lang w:val="en-US" w:eastAsia="zh-CN"/>
              </w:rPr>
            </w:pPr>
          </w:p>
        </w:tc>
        <w:tc>
          <w:tcPr>
            <w:tcW w:w="1930" w:type="dxa"/>
            <w:gridSpan w:val="4"/>
            <w:shd w:val="clear" w:color="auto" w:fill="auto"/>
            <w:vAlign w:val="center"/>
          </w:tcPr>
          <w:p w14:paraId="0A8D352F">
            <w:pPr>
              <w:pStyle w:val="26"/>
              <w:bidi w:val="0"/>
              <w:rPr>
                <w:rFonts w:hint="eastAsia"/>
                <w:lang w:val="en-US" w:eastAsia="en-US"/>
              </w:rPr>
            </w:pPr>
            <w:r>
              <w:rPr>
                <w:rFonts w:hint="eastAsia"/>
                <w:lang w:val="en-US" w:eastAsia="zh-CN"/>
              </w:rPr>
              <w:t>二氯甲烷</w:t>
            </w:r>
          </w:p>
        </w:tc>
        <w:tc>
          <w:tcPr>
            <w:tcW w:w="2004" w:type="dxa"/>
            <w:gridSpan w:val="2"/>
            <w:shd w:val="clear" w:color="auto" w:fill="auto"/>
            <w:vAlign w:val="center"/>
          </w:tcPr>
          <w:p w14:paraId="7F31B00D">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725BBCA">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A22D1EF">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A3A57A4">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3BA1E1E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78651708">
            <w:pPr>
              <w:pStyle w:val="26"/>
              <w:bidi w:val="0"/>
              <w:rPr>
                <w:rFonts w:hint="eastAsia"/>
                <w:lang w:val="en-US" w:eastAsia="zh-CN"/>
              </w:rPr>
            </w:pPr>
            <w:r>
              <w:rPr>
                <w:rFonts w:hint="eastAsia"/>
                <w:lang w:val="en-US" w:eastAsia="zh-CN"/>
              </w:rPr>
              <w:t>616</w:t>
            </w:r>
          </w:p>
        </w:tc>
      </w:tr>
      <w:tr w14:paraId="78B7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3A385F62">
            <w:pPr>
              <w:pStyle w:val="26"/>
              <w:bidi w:val="0"/>
              <w:rPr>
                <w:rFonts w:hint="eastAsia"/>
                <w:lang w:val="en-US" w:eastAsia="zh-CN"/>
              </w:rPr>
            </w:pPr>
          </w:p>
        </w:tc>
        <w:tc>
          <w:tcPr>
            <w:tcW w:w="1930" w:type="dxa"/>
            <w:gridSpan w:val="4"/>
            <w:shd w:val="clear" w:color="auto" w:fill="auto"/>
            <w:vAlign w:val="center"/>
          </w:tcPr>
          <w:p w14:paraId="107018A6">
            <w:pPr>
              <w:pStyle w:val="26"/>
              <w:bidi w:val="0"/>
              <w:rPr>
                <w:rFonts w:hint="eastAsia"/>
                <w:lang w:val="en-US" w:eastAsia="en-US"/>
              </w:rPr>
            </w:pPr>
            <w:r>
              <w:rPr>
                <w:rFonts w:hint="eastAsia"/>
                <w:lang w:val="en-US" w:eastAsia="zh-CN"/>
              </w:rPr>
              <w:t>反式-1,2-二氯乙烯</w:t>
            </w:r>
          </w:p>
        </w:tc>
        <w:tc>
          <w:tcPr>
            <w:tcW w:w="2004" w:type="dxa"/>
            <w:gridSpan w:val="2"/>
            <w:shd w:val="clear" w:color="auto" w:fill="auto"/>
            <w:vAlign w:val="center"/>
          </w:tcPr>
          <w:p w14:paraId="581F9D37">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53DE7420">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F3CD2A3">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3F90D5D">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63CDE595">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016FD7E">
            <w:pPr>
              <w:pStyle w:val="26"/>
              <w:bidi w:val="0"/>
              <w:rPr>
                <w:rFonts w:hint="eastAsia"/>
                <w:lang w:val="en-US" w:eastAsia="zh-CN"/>
              </w:rPr>
            </w:pPr>
            <w:r>
              <w:rPr>
                <w:rFonts w:hint="eastAsia"/>
                <w:lang w:val="en-US" w:eastAsia="zh-CN"/>
              </w:rPr>
              <w:t>54</w:t>
            </w:r>
          </w:p>
        </w:tc>
      </w:tr>
      <w:tr w14:paraId="3239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8E6054A">
            <w:pPr>
              <w:pStyle w:val="26"/>
              <w:bidi w:val="0"/>
              <w:rPr>
                <w:rFonts w:hint="eastAsia"/>
                <w:lang w:val="en-US" w:eastAsia="zh-CN"/>
              </w:rPr>
            </w:pPr>
          </w:p>
        </w:tc>
        <w:tc>
          <w:tcPr>
            <w:tcW w:w="1930" w:type="dxa"/>
            <w:gridSpan w:val="4"/>
            <w:shd w:val="clear" w:color="auto" w:fill="auto"/>
            <w:vAlign w:val="center"/>
          </w:tcPr>
          <w:p w14:paraId="12C8FF29">
            <w:pPr>
              <w:pStyle w:val="26"/>
              <w:bidi w:val="0"/>
              <w:rPr>
                <w:rFonts w:hint="eastAsia"/>
                <w:lang w:val="en-US" w:eastAsia="en-US"/>
              </w:rPr>
            </w:pPr>
            <w:r>
              <w:rPr>
                <w:rFonts w:hint="eastAsia"/>
                <w:lang w:val="en-US" w:eastAsia="zh-CN"/>
              </w:rPr>
              <w:t>1, 1-二氯乙烷</w:t>
            </w:r>
          </w:p>
        </w:tc>
        <w:tc>
          <w:tcPr>
            <w:tcW w:w="2004" w:type="dxa"/>
            <w:gridSpan w:val="2"/>
            <w:shd w:val="clear" w:color="auto" w:fill="auto"/>
            <w:vAlign w:val="center"/>
          </w:tcPr>
          <w:p w14:paraId="500244D4">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6BEA757E">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9A0E17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3D99095B">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52B56141">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F04001F">
            <w:pPr>
              <w:pStyle w:val="26"/>
              <w:bidi w:val="0"/>
              <w:rPr>
                <w:rFonts w:hint="eastAsia"/>
                <w:lang w:val="en-US" w:eastAsia="zh-CN"/>
              </w:rPr>
            </w:pPr>
            <w:r>
              <w:rPr>
                <w:rFonts w:hint="eastAsia"/>
                <w:lang w:val="en-US" w:eastAsia="zh-CN"/>
              </w:rPr>
              <w:t>9</w:t>
            </w:r>
          </w:p>
        </w:tc>
      </w:tr>
      <w:tr w14:paraId="1CFA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7E8AD57">
            <w:pPr>
              <w:pStyle w:val="26"/>
              <w:bidi w:val="0"/>
              <w:rPr>
                <w:lang w:val="en-US" w:eastAsia="en-US"/>
              </w:rPr>
            </w:pPr>
          </w:p>
        </w:tc>
        <w:tc>
          <w:tcPr>
            <w:tcW w:w="1930" w:type="dxa"/>
            <w:gridSpan w:val="4"/>
            <w:shd w:val="clear" w:color="auto" w:fill="auto"/>
            <w:vAlign w:val="center"/>
          </w:tcPr>
          <w:p w14:paraId="762A2AA3">
            <w:pPr>
              <w:pStyle w:val="26"/>
              <w:bidi w:val="0"/>
              <w:rPr>
                <w:rFonts w:hint="eastAsia"/>
                <w:lang w:val="en-US" w:eastAsia="en-US"/>
              </w:rPr>
            </w:pPr>
            <w:r>
              <w:rPr>
                <w:rFonts w:hint="eastAsia"/>
                <w:lang w:val="en-US" w:eastAsia="zh-CN"/>
              </w:rPr>
              <w:t>顺式-1,2-二氯乙烯</w:t>
            </w:r>
          </w:p>
        </w:tc>
        <w:tc>
          <w:tcPr>
            <w:tcW w:w="2004" w:type="dxa"/>
            <w:gridSpan w:val="2"/>
            <w:shd w:val="clear" w:color="auto" w:fill="auto"/>
            <w:vAlign w:val="center"/>
          </w:tcPr>
          <w:p w14:paraId="39C8034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9C88CF8">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43E5741">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32BF860">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314187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1BC235C">
            <w:pPr>
              <w:pStyle w:val="26"/>
              <w:bidi w:val="0"/>
              <w:rPr>
                <w:rFonts w:hint="eastAsia"/>
                <w:lang w:val="en-US" w:eastAsia="zh-CN"/>
              </w:rPr>
            </w:pPr>
            <w:r>
              <w:rPr>
                <w:rFonts w:hint="eastAsia"/>
                <w:lang w:val="en-US" w:eastAsia="zh-CN"/>
              </w:rPr>
              <w:t>596</w:t>
            </w:r>
          </w:p>
        </w:tc>
      </w:tr>
      <w:tr w14:paraId="7538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9E06CDD">
            <w:pPr>
              <w:pStyle w:val="26"/>
              <w:bidi w:val="0"/>
              <w:rPr>
                <w:lang w:val="en-US" w:eastAsia="en-US"/>
              </w:rPr>
            </w:pPr>
          </w:p>
        </w:tc>
        <w:tc>
          <w:tcPr>
            <w:tcW w:w="1930" w:type="dxa"/>
            <w:gridSpan w:val="4"/>
            <w:shd w:val="clear" w:color="auto" w:fill="auto"/>
            <w:vAlign w:val="center"/>
          </w:tcPr>
          <w:p w14:paraId="7E34A928">
            <w:pPr>
              <w:pStyle w:val="26"/>
              <w:bidi w:val="0"/>
              <w:rPr>
                <w:rFonts w:hint="eastAsia"/>
                <w:lang w:val="en-US" w:eastAsia="en-US"/>
              </w:rPr>
            </w:pPr>
            <w:r>
              <w:rPr>
                <w:rFonts w:hint="eastAsia"/>
                <w:lang w:val="en-US" w:eastAsia="zh-CN"/>
              </w:rPr>
              <w:t>氯仿</w:t>
            </w:r>
          </w:p>
        </w:tc>
        <w:tc>
          <w:tcPr>
            <w:tcW w:w="2004" w:type="dxa"/>
            <w:gridSpan w:val="2"/>
            <w:shd w:val="clear" w:color="auto" w:fill="auto"/>
            <w:vAlign w:val="center"/>
          </w:tcPr>
          <w:p w14:paraId="2C381BDF">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00F4467">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6FAC2DD">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61D61E3">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6E4D45F">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72DD86B">
            <w:pPr>
              <w:pStyle w:val="26"/>
              <w:bidi w:val="0"/>
              <w:rPr>
                <w:rFonts w:hint="eastAsia"/>
                <w:lang w:val="en-US" w:eastAsia="zh-CN"/>
              </w:rPr>
            </w:pPr>
            <w:r>
              <w:rPr>
                <w:rFonts w:hint="eastAsia"/>
                <w:lang w:val="en-US" w:eastAsia="zh-CN"/>
              </w:rPr>
              <w:t>0.9</w:t>
            </w:r>
          </w:p>
        </w:tc>
      </w:tr>
      <w:tr w14:paraId="0813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7E7364BE">
            <w:pPr>
              <w:pStyle w:val="26"/>
              <w:bidi w:val="0"/>
              <w:rPr>
                <w:lang w:val="en-US" w:eastAsia="en-US"/>
              </w:rPr>
            </w:pPr>
          </w:p>
        </w:tc>
        <w:tc>
          <w:tcPr>
            <w:tcW w:w="1930" w:type="dxa"/>
            <w:gridSpan w:val="4"/>
            <w:shd w:val="clear" w:color="auto" w:fill="auto"/>
            <w:vAlign w:val="center"/>
          </w:tcPr>
          <w:p w14:paraId="7AF73F56">
            <w:pPr>
              <w:pStyle w:val="26"/>
              <w:bidi w:val="0"/>
              <w:rPr>
                <w:rFonts w:hint="eastAsia"/>
                <w:lang w:val="en-US" w:eastAsia="en-US"/>
              </w:rPr>
            </w:pPr>
            <w:r>
              <w:rPr>
                <w:rFonts w:hint="eastAsia"/>
                <w:lang w:val="en-US" w:eastAsia="zh-CN"/>
              </w:rPr>
              <w:t>1,2-二氯乙烷</w:t>
            </w:r>
          </w:p>
        </w:tc>
        <w:tc>
          <w:tcPr>
            <w:tcW w:w="2004" w:type="dxa"/>
            <w:gridSpan w:val="2"/>
            <w:shd w:val="clear" w:color="auto" w:fill="auto"/>
            <w:vAlign w:val="center"/>
          </w:tcPr>
          <w:p w14:paraId="23394FBD">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331462D">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2E1EA84">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4990CC8C">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3D5E451B">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E3F0ED5">
            <w:pPr>
              <w:pStyle w:val="26"/>
              <w:bidi w:val="0"/>
              <w:rPr>
                <w:rFonts w:hint="eastAsia"/>
                <w:lang w:val="en-US" w:eastAsia="zh-CN"/>
              </w:rPr>
            </w:pPr>
            <w:r>
              <w:rPr>
                <w:rFonts w:hint="eastAsia"/>
                <w:lang w:val="en-US" w:eastAsia="zh-CN"/>
              </w:rPr>
              <w:t>5</w:t>
            </w:r>
          </w:p>
        </w:tc>
      </w:tr>
      <w:tr w14:paraId="7E35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9F877C1">
            <w:pPr>
              <w:pStyle w:val="26"/>
              <w:bidi w:val="0"/>
              <w:rPr>
                <w:lang w:val="en-US" w:eastAsia="en-US"/>
              </w:rPr>
            </w:pPr>
          </w:p>
        </w:tc>
        <w:tc>
          <w:tcPr>
            <w:tcW w:w="1930" w:type="dxa"/>
            <w:gridSpan w:val="4"/>
            <w:shd w:val="clear" w:color="auto" w:fill="auto"/>
            <w:vAlign w:val="center"/>
          </w:tcPr>
          <w:p w14:paraId="65393635">
            <w:pPr>
              <w:pStyle w:val="26"/>
              <w:bidi w:val="0"/>
              <w:rPr>
                <w:rFonts w:hint="eastAsia"/>
                <w:lang w:val="en-US" w:eastAsia="en-US"/>
              </w:rPr>
            </w:pPr>
            <w:r>
              <w:rPr>
                <w:rFonts w:hint="eastAsia"/>
                <w:lang w:val="en-US" w:eastAsia="zh-CN"/>
              </w:rPr>
              <w:t>1, 1, 1-三氯乙烷</w:t>
            </w:r>
          </w:p>
        </w:tc>
        <w:tc>
          <w:tcPr>
            <w:tcW w:w="2004" w:type="dxa"/>
            <w:gridSpan w:val="2"/>
            <w:shd w:val="clear" w:color="auto" w:fill="auto"/>
            <w:vAlign w:val="center"/>
          </w:tcPr>
          <w:p w14:paraId="3B1F77D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3A9CE058">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33D3886A">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8D863BB">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4C29DF38">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68A181D7">
            <w:pPr>
              <w:pStyle w:val="26"/>
              <w:bidi w:val="0"/>
              <w:rPr>
                <w:rFonts w:hint="eastAsia"/>
                <w:lang w:val="en-US" w:eastAsia="zh-CN"/>
              </w:rPr>
            </w:pPr>
            <w:r>
              <w:rPr>
                <w:rFonts w:hint="eastAsia"/>
                <w:lang w:val="en-US" w:eastAsia="zh-CN"/>
              </w:rPr>
              <w:t>840</w:t>
            </w:r>
          </w:p>
        </w:tc>
      </w:tr>
      <w:tr w14:paraId="21AB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26FD01C6">
            <w:pPr>
              <w:pStyle w:val="26"/>
              <w:bidi w:val="0"/>
              <w:rPr>
                <w:lang w:val="en-US" w:eastAsia="en-US"/>
              </w:rPr>
            </w:pPr>
          </w:p>
        </w:tc>
        <w:tc>
          <w:tcPr>
            <w:tcW w:w="1930" w:type="dxa"/>
            <w:gridSpan w:val="4"/>
            <w:shd w:val="clear" w:color="auto" w:fill="auto"/>
            <w:vAlign w:val="center"/>
          </w:tcPr>
          <w:p w14:paraId="6B2F3EC1">
            <w:pPr>
              <w:pStyle w:val="26"/>
              <w:bidi w:val="0"/>
              <w:rPr>
                <w:rFonts w:hint="eastAsia"/>
                <w:lang w:val="en-US" w:eastAsia="en-US"/>
              </w:rPr>
            </w:pPr>
            <w:r>
              <w:rPr>
                <w:rFonts w:hint="eastAsia"/>
                <w:lang w:val="en-US" w:eastAsia="zh-CN"/>
              </w:rPr>
              <w:t>四氯化碳</w:t>
            </w:r>
          </w:p>
        </w:tc>
        <w:tc>
          <w:tcPr>
            <w:tcW w:w="2004" w:type="dxa"/>
            <w:gridSpan w:val="2"/>
            <w:shd w:val="clear" w:color="auto" w:fill="auto"/>
            <w:vAlign w:val="center"/>
          </w:tcPr>
          <w:p w14:paraId="53EA41CA">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2F7DB4B">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E23D496">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91DBE89">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59C902D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8B4219C">
            <w:pPr>
              <w:pStyle w:val="26"/>
              <w:bidi w:val="0"/>
              <w:rPr>
                <w:rFonts w:hint="eastAsia"/>
                <w:lang w:val="en-US" w:eastAsia="zh-CN"/>
              </w:rPr>
            </w:pPr>
            <w:r>
              <w:rPr>
                <w:rFonts w:hint="eastAsia"/>
                <w:lang w:val="en-US" w:eastAsia="zh-CN"/>
              </w:rPr>
              <w:t>2.8</w:t>
            </w:r>
          </w:p>
        </w:tc>
      </w:tr>
      <w:tr w14:paraId="3A33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A421A50">
            <w:pPr>
              <w:pStyle w:val="26"/>
              <w:bidi w:val="0"/>
              <w:rPr>
                <w:lang w:val="en-US" w:eastAsia="en-US"/>
              </w:rPr>
            </w:pPr>
          </w:p>
        </w:tc>
        <w:tc>
          <w:tcPr>
            <w:tcW w:w="1930" w:type="dxa"/>
            <w:gridSpan w:val="4"/>
            <w:shd w:val="clear" w:color="auto" w:fill="auto"/>
            <w:vAlign w:val="center"/>
          </w:tcPr>
          <w:p w14:paraId="2F4789D8">
            <w:pPr>
              <w:pStyle w:val="26"/>
              <w:bidi w:val="0"/>
              <w:rPr>
                <w:rFonts w:hint="eastAsia"/>
                <w:lang w:val="en-US" w:eastAsia="en-US"/>
              </w:rPr>
            </w:pPr>
            <w:r>
              <w:rPr>
                <w:rFonts w:hint="eastAsia"/>
                <w:lang w:val="en-US" w:eastAsia="zh-CN"/>
              </w:rPr>
              <w:t>苯</w:t>
            </w:r>
          </w:p>
        </w:tc>
        <w:tc>
          <w:tcPr>
            <w:tcW w:w="2004" w:type="dxa"/>
            <w:gridSpan w:val="2"/>
            <w:shd w:val="clear" w:color="auto" w:fill="auto"/>
            <w:vAlign w:val="center"/>
          </w:tcPr>
          <w:p w14:paraId="6A3C8238">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2A75B084">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217A80B">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6E45F75F">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C708629">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66904E8F">
            <w:pPr>
              <w:pStyle w:val="26"/>
              <w:bidi w:val="0"/>
              <w:rPr>
                <w:rFonts w:hint="eastAsia"/>
                <w:lang w:val="en-US" w:eastAsia="zh-CN"/>
              </w:rPr>
            </w:pPr>
            <w:r>
              <w:rPr>
                <w:rFonts w:hint="eastAsia"/>
                <w:lang w:val="en-US" w:eastAsia="zh-CN"/>
              </w:rPr>
              <w:t>4</w:t>
            </w:r>
          </w:p>
        </w:tc>
      </w:tr>
      <w:tr w14:paraId="3A22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4BB9CB94">
            <w:pPr>
              <w:pStyle w:val="26"/>
              <w:bidi w:val="0"/>
              <w:rPr>
                <w:lang w:val="en-US" w:eastAsia="en-US"/>
              </w:rPr>
            </w:pPr>
          </w:p>
        </w:tc>
        <w:tc>
          <w:tcPr>
            <w:tcW w:w="1930" w:type="dxa"/>
            <w:gridSpan w:val="4"/>
            <w:shd w:val="clear" w:color="auto" w:fill="auto"/>
            <w:vAlign w:val="center"/>
          </w:tcPr>
          <w:p w14:paraId="1EE7D7D2">
            <w:pPr>
              <w:pStyle w:val="26"/>
              <w:bidi w:val="0"/>
              <w:rPr>
                <w:rFonts w:hint="eastAsia"/>
                <w:lang w:val="en-US" w:eastAsia="en-US"/>
              </w:rPr>
            </w:pPr>
            <w:r>
              <w:rPr>
                <w:rFonts w:hint="eastAsia"/>
                <w:lang w:val="en-US" w:eastAsia="zh-CN"/>
              </w:rPr>
              <w:t>1,2-二氯丙烷</w:t>
            </w:r>
          </w:p>
        </w:tc>
        <w:tc>
          <w:tcPr>
            <w:tcW w:w="2004" w:type="dxa"/>
            <w:gridSpan w:val="2"/>
            <w:shd w:val="clear" w:color="auto" w:fill="auto"/>
            <w:vAlign w:val="center"/>
          </w:tcPr>
          <w:p w14:paraId="53DDB4BE">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8355242">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34DE5C8A">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674A6AF1">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35F4641">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0B2450E1">
            <w:pPr>
              <w:pStyle w:val="26"/>
              <w:bidi w:val="0"/>
              <w:rPr>
                <w:rFonts w:hint="eastAsia"/>
                <w:lang w:val="en-US" w:eastAsia="zh-CN"/>
              </w:rPr>
            </w:pPr>
            <w:r>
              <w:rPr>
                <w:rFonts w:hint="eastAsia"/>
                <w:lang w:val="en-US" w:eastAsia="zh-CN"/>
              </w:rPr>
              <w:t>5</w:t>
            </w:r>
          </w:p>
        </w:tc>
      </w:tr>
      <w:tr w14:paraId="113D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6B3037C">
            <w:pPr>
              <w:pStyle w:val="26"/>
              <w:bidi w:val="0"/>
              <w:rPr>
                <w:lang w:val="en-US" w:eastAsia="en-US"/>
              </w:rPr>
            </w:pPr>
          </w:p>
        </w:tc>
        <w:tc>
          <w:tcPr>
            <w:tcW w:w="1930" w:type="dxa"/>
            <w:gridSpan w:val="4"/>
            <w:shd w:val="clear" w:color="auto" w:fill="auto"/>
            <w:vAlign w:val="center"/>
          </w:tcPr>
          <w:p w14:paraId="327BC779">
            <w:pPr>
              <w:pStyle w:val="26"/>
              <w:bidi w:val="0"/>
              <w:rPr>
                <w:rFonts w:hint="eastAsia"/>
                <w:lang w:val="en-US" w:eastAsia="en-US"/>
              </w:rPr>
            </w:pPr>
            <w:r>
              <w:rPr>
                <w:rFonts w:hint="eastAsia"/>
                <w:lang w:val="en-US" w:eastAsia="zh-CN"/>
              </w:rPr>
              <w:t>三氯乙烯</w:t>
            </w:r>
          </w:p>
        </w:tc>
        <w:tc>
          <w:tcPr>
            <w:tcW w:w="2004" w:type="dxa"/>
            <w:gridSpan w:val="2"/>
            <w:shd w:val="clear" w:color="auto" w:fill="auto"/>
            <w:vAlign w:val="center"/>
          </w:tcPr>
          <w:p w14:paraId="0C4C1D64">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6F1E8889">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46FECC5">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124143DA">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49B5F79F">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A8049C1">
            <w:pPr>
              <w:pStyle w:val="26"/>
              <w:bidi w:val="0"/>
              <w:rPr>
                <w:rFonts w:hint="eastAsia"/>
                <w:lang w:val="en-US" w:eastAsia="zh-CN"/>
              </w:rPr>
            </w:pPr>
            <w:r>
              <w:rPr>
                <w:rFonts w:hint="eastAsia"/>
                <w:lang w:val="en-US" w:eastAsia="zh-CN"/>
              </w:rPr>
              <w:t>2.8</w:t>
            </w:r>
          </w:p>
        </w:tc>
      </w:tr>
      <w:tr w14:paraId="0D52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090EDCA">
            <w:pPr>
              <w:pStyle w:val="26"/>
              <w:bidi w:val="0"/>
              <w:rPr>
                <w:lang w:val="en-US" w:eastAsia="en-US"/>
              </w:rPr>
            </w:pPr>
          </w:p>
        </w:tc>
        <w:tc>
          <w:tcPr>
            <w:tcW w:w="1930" w:type="dxa"/>
            <w:gridSpan w:val="4"/>
            <w:shd w:val="clear" w:color="auto" w:fill="auto"/>
            <w:vAlign w:val="center"/>
          </w:tcPr>
          <w:p w14:paraId="170A8ED5">
            <w:pPr>
              <w:pStyle w:val="26"/>
              <w:bidi w:val="0"/>
              <w:rPr>
                <w:rFonts w:hint="eastAsia"/>
                <w:lang w:val="en-US" w:eastAsia="en-US"/>
              </w:rPr>
            </w:pPr>
            <w:r>
              <w:rPr>
                <w:rFonts w:hint="eastAsia"/>
                <w:lang w:val="en-US" w:eastAsia="zh-CN"/>
              </w:rPr>
              <w:t>1, 1,2-三氯乙烷</w:t>
            </w:r>
          </w:p>
        </w:tc>
        <w:tc>
          <w:tcPr>
            <w:tcW w:w="2004" w:type="dxa"/>
            <w:gridSpan w:val="2"/>
            <w:shd w:val="clear" w:color="auto" w:fill="auto"/>
            <w:vAlign w:val="center"/>
          </w:tcPr>
          <w:p w14:paraId="32DEA63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5447AF6F">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17188F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61FFB02C">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601A35F">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2E98E075">
            <w:pPr>
              <w:pStyle w:val="26"/>
              <w:bidi w:val="0"/>
              <w:rPr>
                <w:rFonts w:hint="eastAsia"/>
                <w:lang w:val="en-US" w:eastAsia="zh-CN"/>
              </w:rPr>
            </w:pPr>
            <w:r>
              <w:rPr>
                <w:rFonts w:hint="eastAsia"/>
                <w:lang w:val="en-US" w:eastAsia="zh-CN"/>
              </w:rPr>
              <w:t>2.8</w:t>
            </w:r>
          </w:p>
        </w:tc>
      </w:tr>
      <w:tr w14:paraId="3AF9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019031B3">
            <w:pPr>
              <w:pStyle w:val="26"/>
              <w:bidi w:val="0"/>
              <w:rPr>
                <w:lang w:val="en-US" w:eastAsia="en-US"/>
              </w:rPr>
            </w:pPr>
          </w:p>
        </w:tc>
        <w:tc>
          <w:tcPr>
            <w:tcW w:w="1930" w:type="dxa"/>
            <w:gridSpan w:val="4"/>
            <w:shd w:val="clear" w:color="auto" w:fill="auto"/>
            <w:vAlign w:val="center"/>
          </w:tcPr>
          <w:p w14:paraId="65AD90C4">
            <w:pPr>
              <w:pStyle w:val="26"/>
              <w:bidi w:val="0"/>
              <w:rPr>
                <w:rFonts w:hint="eastAsia"/>
                <w:lang w:val="en-US" w:eastAsia="en-US"/>
              </w:rPr>
            </w:pPr>
            <w:r>
              <w:rPr>
                <w:rFonts w:hint="eastAsia"/>
                <w:lang w:val="en-US" w:eastAsia="zh-CN"/>
              </w:rPr>
              <w:t>甲苯</w:t>
            </w:r>
          </w:p>
        </w:tc>
        <w:tc>
          <w:tcPr>
            <w:tcW w:w="2004" w:type="dxa"/>
            <w:gridSpan w:val="2"/>
            <w:shd w:val="clear" w:color="auto" w:fill="auto"/>
            <w:vAlign w:val="center"/>
          </w:tcPr>
          <w:p w14:paraId="5D25597A">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C55962A">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4FBA6783">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48084685">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629DEBC8">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0FEA971A">
            <w:pPr>
              <w:pStyle w:val="26"/>
              <w:bidi w:val="0"/>
              <w:rPr>
                <w:rFonts w:hint="eastAsia"/>
                <w:lang w:val="en-US" w:eastAsia="zh-CN"/>
              </w:rPr>
            </w:pPr>
            <w:r>
              <w:rPr>
                <w:rFonts w:hint="eastAsia"/>
                <w:lang w:val="en-US" w:eastAsia="zh-CN"/>
              </w:rPr>
              <w:t>1200</w:t>
            </w:r>
          </w:p>
        </w:tc>
      </w:tr>
      <w:tr w14:paraId="6DD5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DCA1E43">
            <w:pPr>
              <w:pStyle w:val="26"/>
              <w:bidi w:val="0"/>
              <w:rPr>
                <w:lang w:val="en-US" w:eastAsia="en-US"/>
              </w:rPr>
            </w:pPr>
          </w:p>
        </w:tc>
        <w:tc>
          <w:tcPr>
            <w:tcW w:w="1930" w:type="dxa"/>
            <w:gridSpan w:val="4"/>
            <w:shd w:val="clear" w:color="auto" w:fill="auto"/>
            <w:vAlign w:val="center"/>
          </w:tcPr>
          <w:p w14:paraId="31A871AC">
            <w:pPr>
              <w:pStyle w:val="26"/>
              <w:bidi w:val="0"/>
              <w:rPr>
                <w:rFonts w:hint="eastAsia"/>
                <w:lang w:val="en-US" w:eastAsia="en-US"/>
              </w:rPr>
            </w:pPr>
            <w:r>
              <w:rPr>
                <w:rFonts w:hint="eastAsia"/>
                <w:lang w:val="en-US" w:eastAsia="zh-CN"/>
              </w:rPr>
              <w:t>四氯乙烯</w:t>
            </w:r>
          </w:p>
        </w:tc>
        <w:tc>
          <w:tcPr>
            <w:tcW w:w="2004" w:type="dxa"/>
            <w:gridSpan w:val="2"/>
            <w:shd w:val="clear" w:color="auto" w:fill="auto"/>
            <w:vAlign w:val="center"/>
          </w:tcPr>
          <w:p w14:paraId="37A898A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033DE62">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770C539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9102841">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49518D53">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BF28EF8">
            <w:pPr>
              <w:pStyle w:val="26"/>
              <w:bidi w:val="0"/>
              <w:rPr>
                <w:rFonts w:hint="eastAsia"/>
                <w:lang w:val="en-US" w:eastAsia="zh-CN"/>
              </w:rPr>
            </w:pPr>
            <w:r>
              <w:rPr>
                <w:rFonts w:hint="eastAsia"/>
                <w:lang w:val="en-US" w:eastAsia="zh-CN"/>
              </w:rPr>
              <w:t>53</w:t>
            </w:r>
          </w:p>
        </w:tc>
      </w:tr>
      <w:tr w14:paraId="2ED1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9CAF23A">
            <w:pPr>
              <w:pStyle w:val="26"/>
              <w:bidi w:val="0"/>
              <w:rPr>
                <w:lang w:val="en-US" w:eastAsia="en-US"/>
              </w:rPr>
            </w:pPr>
          </w:p>
        </w:tc>
        <w:tc>
          <w:tcPr>
            <w:tcW w:w="1930" w:type="dxa"/>
            <w:gridSpan w:val="4"/>
            <w:shd w:val="clear" w:color="auto" w:fill="auto"/>
            <w:vAlign w:val="center"/>
          </w:tcPr>
          <w:p w14:paraId="08135A89">
            <w:pPr>
              <w:pStyle w:val="26"/>
              <w:bidi w:val="0"/>
              <w:rPr>
                <w:rFonts w:hint="eastAsia"/>
                <w:lang w:val="en-US" w:eastAsia="en-US"/>
              </w:rPr>
            </w:pPr>
            <w:r>
              <w:rPr>
                <w:rFonts w:hint="eastAsia"/>
                <w:lang w:val="en-US" w:eastAsia="zh-CN"/>
              </w:rPr>
              <w:t>1, 1, 1,2-四氯乙烷</w:t>
            </w:r>
          </w:p>
        </w:tc>
        <w:tc>
          <w:tcPr>
            <w:tcW w:w="2004" w:type="dxa"/>
            <w:gridSpan w:val="2"/>
            <w:shd w:val="clear" w:color="auto" w:fill="auto"/>
            <w:vAlign w:val="center"/>
          </w:tcPr>
          <w:p w14:paraId="77FB9255">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8A5D762">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5BDD4FD2">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716796CE">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68188C40">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1BA47AF3">
            <w:pPr>
              <w:pStyle w:val="26"/>
              <w:bidi w:val="0"/>
              <w:rPr>
                <w:rFonts w:hint="eastAsia"/>
                <w:lang w:val="en-US" w:eastAsia="zh-CN"/>
              </w:rPr>
            </w:pPr>
            <w:r>
              <w:rPr>
                <w:rFonts w:hint="eastAsia"/>
                <w:lang w:val="en-US" w:eastAsia="zh-CN"/>
              </w:rPr>
              <w:t>10</w:t>
            </w:r>
          </w:p>
        </w:tc>
      </w:tr>
      <w:tr w14:paraId="11E7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8D66FFF">
            <w:pPr>
              <w:pStyle w:val="26"/>
              <w:bidi w:val="0"/>
              <w:rPr>
                <w:lang w:val="en-US" w:eastAsia="en-US"/>
              </w:rPr>
            </w:pPr>
          </w:p>
        </w:tc>
        <w:tc>
          <w:tcPr>
            <w:tcW w:w="1930" w:type="dxa"/>
            <w:gridSpan w:val="4"/>
            <w:shd w:val="clear" w:color="auto" w:fill="auto"/>
            <w:vAlign w:val="center"/>
          </w:tcPr>
          <w:p w14:paraId="0F26107E">
            <w:pPr>
              <w:pStyle w:val="26"/>
              <w:bidi w:val="0"/>
              <w:rPr>
                <w:rFonts w:hint="eastAsia"/>
                <w:lang w:val="en-US" w:eastAsia="en-US"/>
              </w:rPr>
            </w:pPr>
            <w:r>
              <w:rPr>
                <w:rFonts w:hint="eastAsia"/>
                <w:lang w:val="en-US" w:eastAsia="zh-CN"/>
              </w:rPr>
              <w:t>氯苯</w:t>
            </w:r>
          </w:p>
        </w:tc>
        <w:tc>
          <w:tcPr>
            <w:tcW w:w="2004" w:type="dxa"/>
            <w:gridSpan w:val="2"/>
            <w:shd w:val="clear" w:color="auto" w:fill="auto"/>
            <w:vAlign w:val="center"/>
          </w:tcPr>
          <w:p w14:paraId="00646E90">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6F93537">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3522A6DE">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3B92675B">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95BAE52">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E434604">
            <w:pPr>
              <w:pStyle w:val="26"/>
              <w:bidi w:val="0"/>
              <w:rPr>
                <w:rFonts w:hint="eastAsia"/>
                <w:lang w:val="en-US" w:eastAsia="zh-CN"/>
              </w:rPr>
            </w:pPr>
            <w:r>
              <w:rPr>
                <w:rFonts w:hint="eastAsia"/>
                <w:lang w:val="en-US" w:eastAsia="zh-CN"/>
              </w:rPr>
              <w:t>270</w:t>
            </w:r>
          </w:p>
        </w:tc>
      </w:tr>
      <w:tr w14:paraId="5019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76AD1A1A">
            <w:pPr>
              <w:pStyle w:val="26"/>
              <w:bidi w:val="0"/>
              <w:rPr>
                <w:lang w:val="en-US" w:eastAsia="en-US"/>
              </w:rPr>
            </w:pPr>
          </w:p>
        </w:tc>
        <w:tc>
          <w:tcPr>
            <w:tcW w:w="1930" w:type="dxa"/>
            <w:gridSpan w:val="4"/>
            <w:shd w:val="clear" w:color="auto" w:fill="auto"/>
            <w:vAlign w:val="center"/>
          </w:tcPr>
          <w:p w14:paraId="17D75FD1">
            <w:pPr>
              <w:pStyle w:val="26"/>
              <w:bidi w:val="0"/>
              <w:rPr>
                <w:rFonts w:hint="eastAsia"/>
                <w:lang w:val="en-US" w:eastAsia="en-US"/>
              </w:rPr>
            </w:pPr>
            <w:r>
              <w:rPr>
                <w:rFonts w:hint="eastAsia"/>
                <w:lang w:val="en-US" w:eastAsia="zh-CN"/>
              </w:rPr>
              <w:t>乙苯</w:t>
            </w:r>
          </w:p>
        </w:tc>
        <w:tc>
          <w:tcPr>
            <w:tcW w:w="2004" w:type="dxa"/>
            <w:gridSpan w:val="2"/>
            <w:shd w:val="clear" w:color="auto" w:fill="auto"/>
            <w:vAlign w:val="center"/>
          </w:tcPr>
          <w:p w14:paraId="00496915">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565CC53">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5558A9A">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7970DFDE">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1C6DE21">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7CFFC8C8">
            <w:pPr>
              <w:pStyle w:val="26"/>
              <w:bidi w:val="0"/>
              <w:rPr>
                <w:rFonts w:hint="eastAsia"/>
                <w:lang w:val="en-US" w:eastAsia="zh-CN"/>
              </w:rPr>
            </w:pPr>
            <w:r>
              <w:rPr>
                <w:rFonts w:hint="eastAsia"/>
                <w:lang w:val="en-US" w:eastAsia="zh-CN"/>
              </w:rPr>
              <w:t>28</w:t>
            </w:r>
          </w:p>
        </w:tc>
      </w:tr>
      <w:tr w14:paraId="6780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0FE76AE9">
            <w:pPr>
              <w:pStyle w:val="26"/>
              <w:bidi w:val="0"/>
              <w:rPr>
                <w:lang w:val="en-US" w:eastAsia="en-US"/>
              </w:rPr>
            </w:pPr>
          </w:p>
        </w:tc>
        <w:tc>
          <w:tcPr>
            <w:tcW w:w="1930" w:type="dxa"/>
            <w:gridSpan w:val="4"/>
            <w:shd w:val="clear" w:color="auto" w:fill="auto"/>
            <w:vAlign w:val="center"/>
          </w:tcPr>
          <w:p w14:paraId="66463497">
            <w:pPr>
              <w:pStyle w:val="26"/>
              <w:bidi w:val="0"/>
              <w:rPr>
                <w:rFonts w:hint="eastAsia"/>
                <w:lang w:val="en-US" w:eastAsia="en-US"/>
              </w:rPr>
            </w:pPr>
            <w:r>
              <w:rPr>
                <w:rFonts w:hint="eastAsia"/>
                <w:lang w:val="en-US" w:eastAsia="zh-CN"/>
              </w:rPr>
              <w:t>对/间二甲苯</w:t>
            </w:r>
          </w:p>
        </w:tc>
        <w:tc>
          <w:tcPr>
            <w:tcW w:w="2004" w:type="dxa"/>
            <w:gridSpan w:val="2"/>
            <w:shd w:val="clear" w:color="auto" w:fill="auto"/>
            <w:vAlign w:val="center"/>
          </w:tcPr>
          <w:p w14:paraId="38E3A8D8">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2E08A9E9">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8F8E720">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B3200C9">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640C1BE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7C164F0">
            <w:pPr>
              <w:pStyle w:val="26"/>
              <w:bidi w:val="0"/>
              <w:rPr>
                <w:rFonts w:hint="eastAsia"/>
                <w:lang w:val="en-US" w:eastAsia="zh-CN"/>
              </w:rPr>
            </w:pPr>
            <w:r>
              <w:rPr>
                <w:rFonts w:hint="eastAsia"/>
                <w:lang w:val="en-US" w:eastAsia="zh-CN"/>
              </w:rPr>
              <w:t>570</w:t>
            </w:r>
          </w:p>
        </w:tc>
      </w:tr>
      <w:tr w14:paraId="0447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23D2BEAA">
            <w:pPr>
              <w:pStyle w:val="26"/>
              <w:bidi w:val="0"/>
              <w:rPr>
                <w:lang w:val="en-US" w:eastAsia="en-US"/>
              </w:rPr>
            </w:pPr>
          </w:p>
        </w:tc>
        <w:tc>
          <w:tcPr>
            <w:tcW w:w="1930" w:type="dxa"/>
            <w:gridSpan w:val="4"/>
            <w:shd w:val="clear" w:color="auto" w:fill="auto"/>
            <w:vAlign w:val="center"/>
          </w:tcPr>
          <w:p w14:paraId="4BDBEFD8">
            <w:pPr>
              <w:pStyle w:val="26"/>
              <w:bidi w:val="0"/>
              <w:rPr>
                <w:rFonts w:hint="eastAsia"/>
                <w:lang w:val="en-US" w:eastAsia="en-US"/>
              </w:rPr>
            </w:pPr>
            <w:r>
              <w:rPr>
                <w:rFonts w:hint="eastAsia"/>
                <w:lang w:val="en-US" w:eastAsia="zh-CN"/>
              </w:rPr>
              <w:t>苯乙烯</w:t>
            </w:r>
          </w:p>
        </w:tc>
        <w:tc>
          <w:tcPr>
            <w:tcW w:w="2004" w:type="dxa"/>
            <w:gridSpan w:val="2"/>
            <w:shd w:val="clear" w:color="auto" w:fill="auto"/>
            <w:vAlign w:val="center"/>
          </w:tcPr>
          <w:p w14:paraId="2A4148DF">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6ED3619">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B422D82">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74310EDF">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70AA9C3D">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8399B77">
            <w:pPr>
              <w:pStyle w:val="26"/>
              <w:bidi w:val="0"/>
              <w:rPr>
                <w:rFonts w:hint="eastAsia"/>
                <w:lang w:val="en-US" w:eastAsia="zh-CN"/>
              </w:rPr>
            </w:pPr>
            <w:r>
              <w:rPr>
                <w:rFonts w:hint="eastAsia"/>
                <w:lang w:val="en-US" w:eastAsia="zh-CN"/>
              </w:rPr>
              <w:t>1290</w:t>
            </w:r>
          </w:p>
        </w:tc>
      </w:tr>
      <w:tr w14:paraId="6520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413730AE">
            <w:pPr>
              <w:pStyle w:val="26"/>
              <w:bidi w:val="0"/>
              <w:rPr>
                <w:lang w:val="en-US" w:eastAsia="en-US"/>
              </w:rPr>
            </w:pPr>
          </w:p>
        </w:tc>
        <w:tc>
          <w:tcPr>
            <w:tcW w:w="1930" w:type="dxa"/>
            <w:gridSpan w:val="4"/>
            <w:shd w:val="clear" w:color="auto" w:fill="auto"/>
            <w:vAlign w:val="center"/>
          </w:tcPr>
          <w:p w14:paraId="1E32B86C">
            <w:pPr>
              <w:pStyle w:val="26"/>
              <w:bidi w:val="0"/>
              <w:rPr>
                <w:rFonts w:hint="eastAsia"/>
                <w:lang w:val="en-US" w:eastAsia="en-US"/>
              </w:rPr>
            </w:pPr>
            <w:r>
              <w:rPr>
                <w:rFonts w:hint="eastAsia"/>
                <w:lang w:val="en-US" w:eastAsia="zh-CN"/>
              </w:rPr>
              <w:t>1, 1,2,2-四氯乙烷</w:t>
            </w:r>
          </w:p>
        </w:tc>
        <w:tc>
          <w:tcPr>
            <w:tcW w:w="2004" w:type="dxa"/>
            <w:gridSpan w:val="2"/>
            <w:shd w:val="clear" w:color="auto" w:fill="auto"/>
            <w:vAlign w:val="center"/>
          </w:tcPr>
          <w:p w14:paraId="036F48F0">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6E7FDB96">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272B64A1">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134AE952">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91CD276">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5C25A06D">
            <w:pPr>
              <w:pStyle w:val="26"/>
              <w:bidi w:val="0"/>
              <w:rPr>
                <w:rFonts w:hint="eastAsia"/>
                <w:lang w:val="en-US" w:eastAsia="zh-CN"/>
              </w:rPr>
            </w:pPr>
            <w:r>
              <w:rPr>
                <w:rFonts w:hint="eastAsia"/>
                <w:lang w:val="en-US" w:eastAsia="zh-CN"/>
              </w:rPr>
              <w:t>6.8</w:t>
            </w:r>
          </w:p>
        </w:tc>
      </w:tr>
      <w:tr w14:paraId="03BA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1ECD7D29">
            <w:pPr>
              <w:pStyle w:val="26"/>
              <w:bidi w:val="0"/>
              <w:rPr>
                <w:lang w:val="en-US" w:eastAsia="en-US"/>
              </w:rPr>
            </w:pPr>
          </w:p>
        </w:tc>
        <w:tc>
          <w:tcPr>
            <w:tcW w:w="1930" w:type="dxa"/>
            <w:gridSpan w:val="4"/>
            <w:shd w:val="clear" w:color="auto" w:fill="auto"/>
            <w:vAlign w:val="center"/>
          </w:tcPr>
          <w:p w14:paraId="4E59436B">
            <w:pPr>
              <w:pStyle w:val="26"/>
              <w:bidi w:val="0"/>
              <w:rPr>
                <w:rFonts w:hint="eastAsia"/>
                <w:lang w:val="en-US" w:eastAsia="en-US"/>
              </w:rPr>
            </w:pPr>
            <w:r>
              <w:rPr>
                <w:rFonts w:hint="eastAsia"/>
                <w:lang w:val="en-US" w:eastAsia="zh-CN"/>
              </w:rPr>
              <w:t>邻二甲苯</w:t>
            </w:r>
          </w:p>
        </w:tc>
        <w:tc>
          <w:tcPr>
            <w:tcW w:w="2004" w:type="dxa"/>
            <w:gridSpan w:val="2"/>
            <w:shd w:val="clear" w:color="auto" w:fill="auto"/>
            <w:vAlign w:val="center"/>
          </w:tcPr>
          <w:p w14:paraId="1C6F45CD">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45384A9D">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8DED56B">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8D5538D">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314C981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38FB96EF">
            <w:pPr>
              <w:pStyle w:val="26"/>
              <w:bidi w:val="0"/>
              <w:rPr>
                <w:rFonts w:hint="eastAsia"/>
                <w:lang w:val="en-US" w:eastAsia="zh-CN"/>
              </w:rPr>
            </w:pPr>
            <w:r>
              <w:rPr>
                <w:rFonts w:hint="eastAsia"/>
                <w:lang w:val="en-US" w:eastAsia="zh-CN"/>
              </w:rPr>
              <w:t>640</w:t>
            </w:r>
          </w:p>
        </w:tc>
      </w:tr>
      <w:tr w14:paraId="0CF4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3D8CA109">
            <w:pPr>
              <w:pStyle w:val="26"/>
              <w:bidi w:val="0"/>
              <w:rPr>
                <w:lang w:val="en-US" w:eastAsia="en-US"/>
              </w:rPr>
            </w:pPr>
          </w:p>
        </w:tc>
        <w:tc>
          <w:tcPr>
            <w:tcW w:w="1930" w:type="dxa"/>
            <w:gridSpan w:val="4"/>
            <w:shd w:val="clear" w:color="auto" w:fill="auto"/>
            <w:vAlign w:val="center"/>
          </w:tcPr>
          <w:p w14:paraId="776BB72A">
            <w:pPr>
              <w:pStyle w:val="26"/>
              <w:bidi w:val="0"/>
              <w:rPr>
                <w:rFonts w:hint="eastAsia"/>
                <w:lang w:val="en-US" w:eastAsia="en-US"/>
              </w:rPr>
            </w:pPr>
            <w:r>
              <w:rPr>
                <w:rFonts w:hint="eastAsia"/>
                <w:lang w:val="en-US" w:eastAsia="zh-CN"/>
              </w:rPr>
              <w:t>1,2,3-三氯丙烷</w:t>
            </w:r>
          </w:p>
        </w:tc>
        <w:tc>
          <w:tcPr>
            <w:tcW w:w="2004" w:type="dxa"/>
            <w:gridSpan w:val="2"/>
            <w:shd w:val="clear" w:color="auto" w:fill="auto"/>
            <w:vAlign w:val="center"/>
          </w:tcPr>
          <w:p w14:paraId="74653A30">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18BAFF5A">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7DC7C4AE">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207A90AB">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5090180">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4BABD4D5">
            <w:pPr>
              <w:pStyle w:val="26"/>
              <w:bidi w:val="0"/>
              <w:rPr>
                <w:rFonts w:hint="eastAsia"/>
                <w:lang w:val="en-US" w:eastAsia="zh-CN"/>
              </w:rPr>
            </w:pPr>
            <w:r>
              <w:rPr>
                <w:rFonts w:hint="eastAsia"/>
                <w:lang w:val="en-US" w:eastAsia="zh-CN"/>
              </w:rPr>
              <w:t>0.5</w:t>
            </w:r>
          </w:p>
        </w:tc>
      </w:tr>
      <w:tr w14:paraId="23DD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7713A5DE">
            <w:pPr>
              <w:pStyle w:val="26"/>
              <w:bidi w:val="0"/>
              <w:rPr>
                <w:lang w:val="en-US" w:eastAsia="en-US"/>
              </w:rPr>
            </w:pPr>
          </w:p>
        </w:tc>
        <w:tc>
          <w:tcPr>
            <w:tcW w:w="1930" w:type="dxa"/>
            <w:gridSpan w:val="4"/>
            <w:shd w:val="clear" w:color="auto" w:fill="auto"/>
            <w:vAlign w:val="center"/>
          </w:tcPr>
          <w:p w14:paraId="7C5E9593">
            <w:pPr>
              <w:pStyle w:val="26"/>
              <w:bidi w:val="0"/>
              <w:rPr>
                <w:rFonts w:hint="eastAsia"/>
                <w:lang w:val="en-US" w:eastAsia="en-US"/>
              </w:rPr>
            </w:pPr>
            <w:r>
              <w:rPr>
                <w:rFonts w:hint="eastAsia"/>
                <w:lang w:val="en-US" w:eastAsia="zh-CN"/>
              </w:rPr>
              <w:t>1,4-二氯苯</w:t>
            </w:r>
          </w:p>
        </w:tc>
        <w:tc>
          <w:tcPr>
            <w:tcW w:w="2004" w:type="dxa"/>
            <w:gridSpan w:val="2"/>
            <w:shd w:val="clear" w:color="auto" w:fill="auto"/>
            <w:vAlign w:val="center"/>
          </w:tcPr>
          <w:p w14:paraId="26D6DE0C">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7225D96D">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16748C23">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01453B75">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2FC427AA">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65DF450F">
            <w:pPr>
              <w:pStyle w:val="26"/>
              <w:bidi w:val="0"/>
              <w:rPr>
                <w:rFonts w:hint="eastAsia"/>
                <w:lang w:val="en-US" w:eastAsia="zh-CN"/>
              </w:rPr>
            </w:pPr>
            <w:r>
              <w:rPr>
                <w:rFonts w:hint="eastAsia"/>
                <w:lang w:val="en-US" w:eastAsia="zh-CN"/>
              </w:rPr>
              <w:t>20</w:t>
            </w:r>
          </w:p>
        </w:tc>
      </w:tr>
      <w:tr w14:paraId="02B7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Merge w:val="continue"/>
            <w:shd w:val="clear" w:color="auto" w:fill="auto"/>
            <w:vAlign w:val="center"/>
          </w:tcPr>
          <w:p w14:paraId="5E5C7265">
            <w:pPr>
              <w:pStyle w:val="26"/>
              <w:bidi w:val="0"/>
              <w:rPr>
                <w:lang w:val="en-US" w:eastAsia="en-US"/>
              </w:rPr>
            </w:pPr>
          </w:p>
        </w:tc>
        <w:tc>
          <w:tcPr>
            <w:tcW w:w="1930" w:type="dxa"/>
            <w:gridSpan w:val="4"/>
            <w:shd w:val="clear" w:color="auto" w:fill="auto"/>
            <w:vAlign w:val="center"/>
          </w:tcPr>
          <w:p w14:paraId="5DDF91C0">
            <w:pPr>
              <w:pStyle w:val="26"/>
              <w:bidi w:val="0"/>
              <w:rPr>
                <w:rFonts w:hint="eastAsia"/>
                <w:lang w:val="en-US" w:eastAsia="en-US"/>
              </w:rPr>
            </w:pPr>
            <w:r>
              <w:rPr>
                <w:rFonts w:hint="eastAsia"/>
                <w:lang w:val="en-US" w:eastAsia="zh-CN"/>
              </w:rPr>
              <w:t>1,2-二氯苯</w:t>
            </w:r>
          </w:p>
        </w:tc>
        <w:tc>
          <w:tcPr>
            <w:tcW w:w="2004" w:type="dxa"/>
            <w:gridSpan w:val="2"/>
            <w:shd w:val="clear" w:color="auto" w:fill="auto"/>
            <w:vAlign w:val="center"/>
          </w:tcPr>
          <w:p w14:paraId="3F3D24E9">
            <w:pPr>
              <w:pStyle w:val="26"/>
              <w:bidi w:val="0"/>
              <w:rPr>
                <w:rFonts w:hint="eastAsia"/>
                <w:lang w:val="en-US" w:eastAsia="zh-CN"/>
              </w:rPr>
            </w:pPr>
            <w:r>
              <w:rPr>
                <w:rFonts w:hint="eastAsia"/>
                <w:lang w:val="en-US" w:eastAsia="zh-CN"/>
              </w:rPr>
              <w:t>ND</w:t>
            </w:r>
          </w:p>
        </w:tc>
        <w:tc>
          <w:tcPr>
            <w:tcW w:w="2073" w:type="dxa"/>
            <w:gridSpan w:val="3"/>
            <w:shd w:val="clear" w:color="auto" w:fill="auto"/>
            <w:vAlign w:val="center"/>
          </w:tcPr>
          <w:p w14:paraId="0952062A">
            <w:pPr>
              <w:pStyle w:val="26"/>
              <w:bidi w:val="0"/>
              <w:rPr>
                <w:rFonts w:hint="eastAsia"/>
                <w:lang w:val="en-US" w:eastAsia="zh-CN"/>
              </w:rPr>
            </w:pPr>
            <w:r>
              <w:rPr>
                <w:rFonts w:hint="eastAsia"/>
                <w:lang w:val="en-US" w:eastAsia="zh-CN"/>
              </w:rPr>
              <w:t>ND</w:t>
            </w:r>
          </w:p>
        </w:tc>
        <w:tc>
          <w:tcPr>
            <w:tcW w:w="1665" w:type="dxa"/>
            <w:gridSpan w:val="2"/>
            <w:shd w:val="clear" w:color="auto" w:fill="auto"/>
            <w:vAlign w:val="center"/>
          </w:tcPr>
          <w:p w14:paraId="6BFF5B52">
            <w:pPr>
              <w:pStyle w:val="26"/>
              <w:bidi w:val="0"/>
              <w:rPr>
                <w:rFonts w:hint="eastAsia"/>
                <w:lang w:val="en-US" w:eastAsia="zh-CN"/>
              </w:rPr>
            </w:pPr>
            <w:r>
              <w:rPr>
                <w:rFonts w:hint="eastAsia"/>
                <w:lang w:val="en-US" w:eastAsia="zh-CN"/>
              </w:rPr>
              <w:t>ND</w:t>
            </w:r>
          </w:p>
        </w:tc>
        <w:tc>
          <w:tcPr>
            <w:tcW w:w="1942" w:type="dxa"/>
            <w:gridSpan w:val="3"/>
            <w:shd w:val="clear" w:color="auto" w:fill="auto"/>
            <w:vAlign w:val="center"/>
          </w:tcPr>
          <w:p w14:paraId="53D8D95D">
            <w:pPr>
              <w:pStyle w:val="26"/>
              <w:bidi w:val="0"/>
              <w:rPr>
                <w:rFonts w:hint="eastAsia"/>
                <w:lang w:val="en-US" w:eastAsia="zh-CN"/>
              </w:rPr>
            </w:pPr>
            <w:r>
              <w:rPr>
                <w:rFonts w:hint="eastAsia"/>
                <w:lang w:val="en-US" w:eastAsia="zh-CN"/>
              </w:rPr>
              <w:t>ND</w:t>
            </w:r>
          </w:p>
        </w:tc>
        <w:tc>
          <w:tcPr>
            <w:tcW w:w="1698" w:type="dxa"/>
            <w:gridSpan w:val="2"/>
            <w:shd w:val="clear" w:color="auto" w:fill="auto"/>
            <w:vAlign w:val="center"/>
          </w:tcPr>
          <w:p w14:paraId="049DF9CC">
            <w:pPr>
              <w:pStyle w:val="26"/>
              <w:bidi w:val="0"/>
              <w:rPr>
                <w:rFonts w:hint="eastAsia"/>
                <w:lang w:val="en-US" w:eastAsia="zh-CN"/>
              </w:rPr>
            </w:pPr>
            <w:r>
              <w:rPr>
                <w:rFonts w:hint="eastAsia"/>
                <w:lang w:val="en-US" w:eastAsia="zh-CN"/>
              </w:rPr>
              <w:t>ND</w:t>
            </w:r>
          </w:p>
        </w:tc>
        <w:tc>
          <w:tcPr>
            <w:tcW w:w="1259" w:type="dxa"/>
            <w:shd w:val="clear" w:color="auto" w:fill="auto"/>
            <w:vAlign w:val="center"/>
          </w:tcPr>
          <w:p w14:paraId="0B186730">
            <w:pPr>
              <w:pStyle w:val="26"/>
              <w:bidi w:val="0"/>
              <w:rPr>
                <w:rFonts w:hint="eastAsia"/>
                <w:lang w:val="en-US" w:eastAsia="zh-CN"/>
              </w:rPr>
            </w:pPr>
            <w:r>
              <w:rPr>
                <w:rFonts w:hint="eastAsia"/>
                <w:lang w:val="en-US" w:eastAsia="zh-CN"/>
              </w:rPr>
              <w:t>560</w:t>
            </w:r>
          </w:p>
        </w:tc>
      </w:tr>
      <w:tr w14:paraId="1245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355" w:type="dxa"/>
            <w:gridSpan w:val="6"/>
            <w:tcBorders>
              <w:tl2br w:val="single" w:color="auto" w:sz="4" w:space="0"/>
            </w:tcBorders>
            <w:shd w:val="clear" w:color="auto" w:fill="auto"/>
            <w:vAlign w:val="center"/>
          </w:tcPr>
          <w:p w14:paraId="6B38C77F">
            <w:pPr>
              <w:pStyle w:val="26"/>
              <w:bidi w:val="0"/>
              <w:jc w:val="right"/>
              <w:rPr>
                <w:rFonts w:hint="eastAsia"/>
                <w:lang w:val="en-US" w:eastAsia="zh-CN"/>
              </w:rPr>
            </w:pPr>
            <w:r>
              <w:rPr>
                <w:rFonts w:hint="eastAsia"/>
                <w:lang w:val="en-US" w:eastAsia="zh-CN"/>
              </w:rPr>
              <w:t>采样点位</w:t>
            </w:r>
          </w:p>
          <w:p w14:paraId="0AB32273">
            <w:pPr>
              <w:pStyle w:val="26"/>
              <w:bidi w:val="0"/>
              <w:jc w:val="both"/>
              <w:rPr>
                <w:rFonts w:hint="default"/>
                <w:lang w:val="en-US" w:eastAsia="zh-CN"/>
              </w:rPr>
            </w:pPr>
            <w:r>
              <w:rPr>
                <w:rFonts w:hint="eastAsia"/>
                <w:lang w:val="en-US" w:eastAsia="zh-CN"/>
              </w:rPr>
              <w:t>检测项目</w:t>
            </w:r>
          </w:p>
        </w:tc>
        <w:tc>
          <w:tcPr>
            <w:tcW w:w="9382" w:type="dxa"/>
            <w:gridSpan w:val="12"/>
            <w:shd w:val="clear" w:color="auto" w:fill="auto"/>
            <w:vAlign w:val="center"/>
          </w:tcPr>
          <w:p w14:paraId="6A0D9840">
            <w:pPr>
              <w:pStyle w:val="26"/>
              <w:bidi w:val="0"/>
              <w:rPr>
                <w:rFonts w:hint="eastAsia"/>
                <w:lang w:val="en-US" w:eastAsia="zh-CN"/>
              </w:rPr>
            </w:pPr>
            <w:r>
              <w:rPr>
                <w:rFonts w:hint="eastAsia"/>
                <w:lang w:val="en-US" w:eastAsia="zh-CN"/>
              </w:rPr>
              <w:t>S1</w:t>
            </w:r>
          </w:p>
          <w:p w14:paraId="7F560AF0">
            <w:pPr>
              <w:pStyle w:val="26"/>
              <w:bidi w:val="0"/>
              <w:rPr>
                <w:rFonts w:hint="eastAsia"/>
                <w:lang w:val="en-US" w:eastAsia="zh-CN"/>
              </w:rPr>
            </w:pPr>
            <w:r>
              <w:rPr>
                <w:rFonts w:hint="eastAsia"/>
                <w:lang w:val="en-US" w:eastAsia="zh-CN"/>
              </w:rPr>
              <w:t>E:12106'26.86779"N:31° 18'44.42066"</w:t>
            </w:r>
          </w:p>
        </w:tc>
        <w:tc>
          <w:tcPr>
            <w:tcW w:w="1259" w:type="dxa"/>
            <w:vMerge w:val="restart"/>
            <w:shd w:val="clear" w:color="auto" w:fill="auto"/>
            <w:vAlign w:val="center"/>
          </w:tcPr>
          <w:p w14:paraId="28918E10">
            <w:pPr>
              <w:pStyle w:val="26"/>
              <w:bidi w:val="0"/>
              <w:rPr>
                <w:rFonts w:hint="eastAsia"/>
                <w:lang w:val="en-US" w:eastAsia="zh-CN"/>
              </w:rPr>
            </w:pPr>
            <w:r>
              <w:rPr>
                <w:rFonts w:hint="eastAsia"/>
                <w:lang w:val="en-US" w:eastAsia="zh-CN"/>
              </w:rPr>
              <w:t>参考限值(mg/kg)</w:t>
            </w:r>
          </w:p>
        </w:tc>
      </w:tr>
      <w:tr w14:paraId="24BD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69C410B5">
            <w:pPr>
              <w:pStyle w:val="26"/>
              <w:bidi w:val="0"/>
              <w:rPr>
                <w:rFonts w:hint="eastAsia"/>
                <w:lang w:val="en-US" w:eastAsia="zh-CN"/>
              </w:rPr>
            </w:pPr>
          </w:p>
        </w:tc>
        <w:tc>
          <w:tcPr>
            <w:tcW w:w="2541" w:type="dxa"/>
            <w:gridSpan w:val="3"/>
            <w:shd w:val="clear" w:color="auto" w:fill="auto"/>
            <w:vAlign w:val="center"/>
          </w:tcPr>
          <w:p w14:paraId="299BEE2A">
            <w:pPr>
              <w:pStyle w:val="26"/>
              <w:bidi w:val="0"/>
              <w:rPr>
                <w:rFonts w:hint="eastAsia"/>
                <w:lang w:val="en-US" w:eastAsia="zh-CN"/>
              </w:rPr>
            </w:pPr>
            <w:r>
              <w:rPr>
                <w:rFonts w:hint="eastAsia"/>
                <w:lang w:val="en-US" w:eastAsia="zh-CN"/>
              </w:rPr>
              <w:t>0~0.5m</w:t>
            </w:r>
          </w:p>
        </w:tc>
        <w:tc>
          <w:tcPr>
            <w:tcW w:w="2387" w:type="dxa"/>
            <w:gridSpan w:val="3"/>
            <w:shd w:val="clear" w:color="auto" w:fill="auto"/>
            <w:vAlign w:val="center"/>
          </w:tcPr>
          <w:p w14:paraId="44266ECC">
            <w:pPr>
              <w:pStyle w:val="26"/>
              <w:bidi w:val="0"/>
              <w:rPr>
                <w:rFonts w:hint="eastAsia"/>
                <w:lang w:val="en-US" w:eastAsia="zh-CN"/>
              </w:rPr>
            </w:pPr>
            <w:r>
              <w:rPr>
                <w:rFonts w:hint="eastAsia"/>
                <w:lang w:val="en-US" w:eastAsia="zh-CN"/>
              </w:rPr>
              <w:t>1.0～1.5m</w:t>
            </w:r>
          </w:p>
        </w:tc>
        <w:tc>
          <w:tcPr>
            <w:tcW w:w="2270" w:type="dxa"/>
            <w:gridSpan w:val="3"/>
            <w:shd w:val="clear" w:color="auto" w:fill="auto"/>
            <w:vAlign w:val="center"/>
          </w:tcPr>
          <w:p w14:paraId="60EEA05C">
            <w:pPr>
              <w:pStyle w:val="26"/>
              <w:bidi w:val="0"/>
              <w:rPr>
                <w:rFonts w:hint="eastAsia"/>
                <w:lang w:val="en-US" w:eastAsia="zh-CN"/>
              </w:rPr>
            </w:pPr>
            <w:r>
              <w:rPr>
                <w:rFonts w:hint="eastAsia"/>
                <w:lang w:val="en-US" w:eastAsia="zh-CN"/>
              </w:rPr>
              <w:t>4.0～4.5m</w:t>
            </w:r>
          </w:p>
        </w:tc>
        <w:tc>
          <w:tcPr>
            <w:tcW w:w="2184" w:type="dxa"/>
            <w:gridSpan w:val="3"/>
            <w:shd w:val="clear" w:color="auto" w:fill="auto"/>
            <w:vAlign w:val="center"/>
          </w:tcPr>
          <w:p w14:paraId="1CC03D0E">
            <w:pPr>
              <w:pStyle w:val="26"/>
              <w:bidi w:val="0"/>
              <w:rPr>
                <w:rFonts w:hint="eastAsia"/>
                <w:lang w:val="en-US" w:eastAsia="zh-CN"/>
              </w:rPr>
            </w:pPr>
            <w:r>
              <w:rPr>
                <w:rFonts w:hint="eastAsia"/>
                <w:lang w:val="en-US" w:eastAsia="zh-CN"/>
              </w:rPr>
              <w:t>4.0～4.5m 平行</w:t>
            </w:r>
          </w:p>
        </w:tc>
        <w:tc>
          <w:tcPr>
            <w:tcW w:w="1259" w:type="dxa"/>
            <w:vMerge w:val="continue"/>
            <w:shd w:val="clear" w:color="auto" w:fill="auto"/>
            <w:vAlign w:val="top"/>
          </w:tcPr>
          <w:p w14:paraId="4B266C67">
            <w:pPr>
              <w:pStyle w:val="26"/>
              <w:bidi w:val="0"/>
              <w:rPr>
                <w:rFonts w:hint="eastAsia"/>
                <w:lang w:val="en-US" w:eastAsia="zh-CN"/>
              </w:rPr>
            </w:pPr>
          </w:p>
        </w:tc>
      </w:tr>
      <w:tr w14:paraId="28A1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10D01D27">
            <w:pPr>
              <w:pStyle w:val="26"/>
              <w:bidi w:val="0"/>
              <w:rPr>
                <w:rFonts w:hint="eastAsia"/>
                <w:lang w:val="en-US" w:eastAsia="en-US"/>
              </w:rPr>
            </w:pPr>
            <w:r>
              <w:rPr>
                <w:rFonts w:hint="eastAsia"/>
                <w:lang w:val="en-US" w:eastAsia="zh-CN"/>
              </w:rPr>
              <w:t>pH 值（无量纲）</w:t>
            </w:r>
          </w:p>
        </w:tc>
        <w:tc>
          <w:tcPr>
            <w:tcW w:w="2541" w:type="dxa"/>
            <w:gridSpan w:val="3"/>
            <w:shd w:val="clear" w:color="auto" w:fill="auto"/>
            <w:vAlign w:val="top"/>
          </w:tcPr>
          <w:p w14:paraId="4F325B63">
            <w:pPr>
              <w:pStyle w:val="26"/>
              <w:bidi w:val="0"/>
              <w:rPr>
                <w:rFonts w:hint="eastAsia"/>
                <w:lang w:val="en-US" w:eastAsia="zh-CN"/>
              </w:rPr>
            </w:pPr>
            <w:r>
              <w:rPr>
                <w:rFonts w:hint="eastAsia"/>
                <w:lang w:val="en-US" w:eastAsia="zh-CN"/>
              </w:rPr>
              <w:t>8.17</w:t>
            </w:r>
          </w:p>
        </w:tc>
        <w:tc>
          <w:tcPr>
            <w:tcW w:w="2387" w:type="dxa"/>
            <w:gridSpan w:val="3"/>
            <w:shd w:val="clear" w:color="auto" w:fill="auto"/>
            <w:vAlign w:val="top"/>
          </w:tcPr>
          <w:p w14:paraId="58A648EA">
            <w:pPr>
              <w:pStyle w:val="26"/>
              <w:bidi w:val="0"/>
              <w:rPr>
                <w:rFonts w:hint="eastAsia"/>
                <w:lang w:val="en-US" w:eastAsia="zh-CN"/>
              </w:rPr>
            </w:pPr>
            <w:r>
              <w:rPr>
                <w:rFonts w:hint="eastAsia"/>
                <w:lang w:val="en-US" w:eastAsia="zh-CN"/>
              </w:rPr>
              <w:t>8.31</w:t>
            </w:r>
          </w:p>
        </w:tc>
        <w:tc>
          <w:tcPr>
            <w:tcW w:w="2270" w:type="dxa"/>
            <w:gridSpan w:val="3"/>
            <w:shd w:val="clear" w:color="auto" w:fill="auto"/>
            <w:vAlign w:val="top"/>
          </w:tcPr>
          <w:p w14:paraId="4E756ED9">
            <w:pPr>
              <w:pStyle w:val="26"/>
              <w:bidi w:val="0"/>
              <w:rPr>
                <w:rFonts w:hint="eastAsia"/>
                <w:lang w:val="en-US" w:eastAsia="zh-CN"/>
              </w:rPr>
            </w:pPr>
            <w:r>
              <w:rPr>
                <w:rFonts w:hint="eastAsia"/>
                <w:lang w:val="en-US" w:eastAsia="zh-CN"/>
              </w:rPr>
              <w:t>8.37</w:t>
            </w:r>
          </w:p>
        </w:tc>
        <w:tc>
          <w:tcPr>
            <w:tcW w:w="2184" w:type="dxa"/>
            <w:gridSpan w:val="3"/>
            <w:shd w:val="clear" w:color="auto" w:fill="auto"/>
            <w:vAlign w:val="top"/>
          </w:tcPr>
          <w:p w14:paraId="6DD73CA6">
            <w:pPr>
              <w:pStyle w:val="26"/>
              <w:bidi w:val="0"/>
              <w:rPr>
                <w:rFonts w:hint="eastAsia"/>
                <w:lang w:val="en-US" w:eastAsia="zh-CN"/>
              </w:rPr>
            </w:pPr>
            <w:r>
              <w:rPr>
                <w:rFonts w:hint="eastAsia"/>
                <w:lang w:val="en-US" w:eastAsia="zh-CN"/>
              </w:rPr>
              <w:t>8.23</w:t>
            </w:r>
          </w:p>
        </w:tc>
        <w:tc>
          <w:tcPr>
            <w:tcW w:w="1259" w:type="dxa"/>
            <w:shd w:val="clear" w:color="auto" w:fill="auto"/>
            <w:vAlign w:val="top"/>
          </w:tcPr>
          <w:p w14:paraId="33C81693">
            <w:pPr>
              <w:pStyle w:val="26"/>
              <w:bidi w:val="0"/>
              <w:rPr>
                <w:rFonts w:hint="eastAsia"/>
                <w:lang w:val="en-US" w:eastAsia="zh-CN"/>
              </w:rPr>
            </w:pPr>
            <w:r>
              <w:rPr>
                <w:rFonts w:hint="eastAsia"/>
                <w:lang w:val="en-US" w:eastAsia="zh-CN"/>
              </w:rPr>
              <w:t>/</w:t>
            </w:r>
          </w:p>
        </w:tc>
      </w:tr>
      <w:tr w14:paraId="0E58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1A18828">
            <w:pPr>
              <w:pStyle w:val="26"/>
              <w:bidi w:val="0"/>
              <w:rPr>
                <w:rFonts w:hint="eastAsia"/>
                <w:lang w:val="en-US" w:eastAsia="en-US"/>
              </w:rPr>
            </w:pPr>
            <w:r>
              <w:rPr>
                <w:rFonts w:hint="eastAsia"/>
                <w:lang w:val="en-US" w:eastAsia="zh-CN"/>
              </w:rPr>
              <w:t>六价铬（mg/kg)</w:t>
            </w:r>
          </w:p>
        </w:tc>
        <w:tc>
          <w:tcPr>
            <w:tcW w:w="2541" w:type="dxa"/>
            <w:gridSpan w:val="3"/>
            <w:shd w:val="clear" w:color="auto" w:fill="auto"/>
            <w:vAlign w:val="top"/>
          </w:tcPr>
          <w:p w14:paraId="5EE43011">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FA75B97">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06FE3225">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6AB8083D">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A8C013F">
            <w:pPr>
              <w:pStyle w:val="26"/>
              <w:bidi w:val="0"/>
              <w:rPr>
                <w:rFonts w:hint="eastAsia"/>
                <w:lang w:val="en-US" w:eastAsia="zh-CN"/>
              </w:rPr>
            </w:pPr>
            <w:r>
              <w:rPr>
                <w:rFonts w:hint="eastAsia"/>
                <w:lang w:val="en-US" w:eastAsia="zh-CN"/>
              </w:rPr>
              <w:t>5.7</w:t>
            </w:r>
          </w:p>
        </w:tc>
      </w:tr>
      <w:tr w14:paraId="147F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75D7A78">
            <w:pPr>
              <w:pStyle w:val="26"/>
              <w:bidi w:val="0"/>
              <w:rPr>
                <w:rFonts w:hint="eastAsia"/>
                <w:lang w:val="en-US" w:eastAsia="en-US"/>
              </w:rPr>
            </w:pPr>
            <w:r>
              <w:rPr>
                <w:rFonts w:hint="eastAsia"/>
                <w:lang w:val="en-US" w:eastAsia="zh-CN"/>
              </w:rPr>
              <w:t>铜（mg/kg)</w:t>
            </w:r>
          </w:p>
        </w:tc>
        <w:tc>
          <w:tcPr>
            <w:tcW w:w="2541" w:type="dxa"/>
            <w:gridSpan w:val="3"/>
            <w:shd w:val="clear" w:color="auto" w:fill="auto"/>
            <w:vAlign w:val="top"/>
          </w:tcPr>
          <w:p w14:paraId="0694C16F">
            <w:pPr>
              <w:pStyle w:val="26"/>
              <w:bidi w:val="0"/>
              <w:rPr>
                <w:rFonts w:hint="eastAsia"/>
                <w:lang w:val="en-US" w:eastAsia="zh-CN"/>
              </w:rPr>
            </w:pPr>
            <w:r>
              <w:rPr>
                <w:rFonts w:hint="eastAsia"/>
                <w:lang w:val="en-US" w:eastAsia="zh-CN"/>
              </w:rPr>
              <w:t>29</w:t>
            </w:r>
          </w:p>
        </w:tc>
        <w:tc>
          <w:tcPr>
            <w:tcW w:w="2387" w:type="dxa"/>
            <w:gridSpan w:val="3"/>
            <w:shd w:val="clear" w:color="auto" w:fill="auto"/>
            <w:vAlign w:val="top"/>
          </w:tcPr>
          <w:p w14:paraId="092CDB97">
            <w:pPr>
              <w:pStyle w:val="26"/>
              <w:bidi w:val="0"/>
              <w:rPr>
                <w:rFonts w:hint="eastAsia"/>
                <w:lang w:val="en-US" w:eastAsia="zh-CN"/>
              </w:rPr>
            </w:pPr>
            <w:r>
              <w:rPr>
                <w:rFonts w:hint="eastAsia"/>
                <w:lang w:val="en-US" w:eastAsia="zh-CN"/>
              </w:rPr>
              <w:t>28</w:t>
            </w:r>
          </w:p>
        </w:tc>
        <w:tc>
          <w:tcPr>
            <w:tcW w:w="2270" w:type="dxa"/>
            <w:gridSpan w:val="3"/>
            <w:shd w:val="clear" w:color="auto" w:fill="auto"/>
            <w:vAlign w:val="top"/>
          </w:tcPr>
          <w:p w14:paraId="60039F51">
            <w:pPr>
              <w:pStyle w:val="26"/>
              <w:bidi w:val="0"/>
              <w:rPr>
                <w:rFonts w:hint="eastAsia"/>
                <w:lang w:val="en-US" w:eastAsia="zh-CN"/>
              </w:rPr>
            </w:pPr>
            <w:r>
              <w:rPr>
                <w:rFonts w:hint="eastAsia"/>
                <w:lang w:val="en-US" w:eastAsia="zh-CN"/>
              </w:rPr>
              <w:t>32</w:t>
            </w:r>
          </w:p>
        </w:tc>
        <w:tc>
          <w:tcPr>
            <w:tcW w:w="2184" w:type="dxa"/>
            <w:gridSpan w:val="3"/>
            <w:shd w:val="clear" w:color="auto" w:fill="auto"/>
            <w:vAlign w:val="top"/>
          </w:tcPr>
          <w:p w14:paraId="131DA72F">
            <w:pPr>
              <w:pStyle w:val="26"/>
              <w:bidi w:val="0"/>
              <w:rPr>
                <w:rFonts w:hint="eastAsia"/>
                <w:lang w:val="en-US" w:eastAsia="zh-CN"/>
              </w:rPr>
            </w:pPr>
            <w:r>
              <w:rPr>
                <w:rFonts w:hint="eastAsia"/>
                <w:lang w:val="en-US" w:eastAsia="zh-CN"/>
              </w:rPr>
              <w:t>30</w:t>
            </w:r>
          </w:p>
        </w:tc>
        <w:tc>
          <w:tcPr>
            <w:tcW w:w="1259" w:type="dxa"/>
            <w:shd w:val="clear" w:color="auto" w:fill="auto"/>
            <w:vAlign w:val="top"/>
          </w:tcPr>
          <w:p w14:paraId="73BD0CF9">
            <w:pPr>
              <w:pStyle w:val="26"/>
              <w:bidi w:val="0"/>
              <w:rPr>
                <w:rFonts w:hint="eastAsia"/>
                <w:lang w:val="en-US" w:eastAsia="zh-CN"/>
              </w:rPr>
            </w:pPr>
            <w:r>
              <w:rPr>
                <w:rFonts w:hint="eastAsia"/>
                <w:lang w:val="en-US" w:eastAsia="zh-CN"/>
              </w:rPr>
              <w:t>18000</w:t>
            </w:r>
          </w:p>
        </w:tc>
      </w:tr>
      <w:tr w14:paraId="6DA5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FCD803D">
            <w:pPr>
              <w:pStyle w:val="26"/>
              <w:bidi w:val="0"/>
              <w:rPr>
                <w:rFonts w:hint="eastAsia"/>
                <w:lang w:val="en-US" w:eastAsia="en-US"/>
              </w:rPr>
            </w:pPr>
            <w:r>
              <w:rPr>
                <w:rFonts w:hint="eastAsia"/>
                <w:lang w:val="en-US" w:eastAsia="zh-CN"/>
              </w:rPr>
              <w:t>镍（mg/kg)</w:t>
            </w:r>
          </w:p>
        </w:tc>
        <w:tc>
          <w:tcPr>
            <w:tcW w:w="2541" w:type="dxa"/>
            <w:gridSpan w:val="3"/>
            <w:shd w:val="clear" w:color="auto" w:fill="auto"/>
            <w:vAlign w:val="top"/>
          </w:tcPr>
          <w:p w14:paraId="15B9E15C">
            <w:pPr>
              <w:pStyle w:val="26"/>
              <w:bidi w:val="0"/>
              <w:rPr>
                <w:rFonts w:hint="eastAsia"/>
                <w:lang w:val="en-US" w:eastAsia="zh-CN"/>
              </w:rPr>
            </w:pPr>
            <w:r>
              <w:rPr>
                <w:rFonts w:hint="eastAsia"/>
                <w:lang w:val="en-US" w:eastAsia="zh-CN"/>
              </w:rPr>
              <w:t>41</w:t>
            </w:r>
          </w:p>
        </w:tc>
        <w:tc>
          <w:tcPr>
            <w:tcW w:w="2387" w:type="dxa"/>
            <w:gridSpan w:val="3"/>
            <w:shd w:val="clear" w:color="auto" w:fill="auto"/>
            <w:vAlign w:val="top"/>
          </w:tcPr>
          <w:p w14:paraId="3FF333B9">
            <w:pPr>
              <w:pStyle w:val="26"/>
              <w:bidi w:val="0"/>
              <w:rPr>
                <w:rFonts w:hint="eastAsia"/>
                <w:lang w:val="en-US" w:eastAsia="zh-CN"/>
              </w:rPr>
            </w:pPr>
            <w:r>
              <w:rPr>
                <w:rFonts w:hint="eastAsia"/>
                <w:lang w:val="en-US" w:eastAsia="zh-CN"/>
              </w:rPr>
              <w:t>39</w:t>
            </w:r>
          </w:p>
        </w:tc>
        <w:tc>
          <w:tcPr>
            <w:tcW w:w="2270" w:type="dxa"/>
            <w:gridSpan w:val="3"/>
            <w:shd w:val="clear" w:color="auto" w:fill="auto"/>
            <w:vAlign w:val="top"/>
          </w:tcPr>
          <w:p w14:paraId="0EA5D32D">
            <w:pPr>
              <w:pStyle w:val="26"/>
              <w:bidi w:val="0"/>
              <w:rPr>
                <w:rFonts w:hint="eastAsia"/>
                <w:lang w:val="en-US" w:eastAsia="zh-CN"/>
              </w:rPr>
            </w:pPr>
            <w:r>
              <w:rPr>
                <w:rFonts w:hint="eastAsia"/>
                <w:lang w:val="en-US" w:eastAsia="zh-CN"/>
              </w:rPr>
              <w:t>44</w:t>
            </w:r>
          </w:p>
        </w:tc>
        <w:tc>
          <w:tcPr>
            <w:tcW w:w="2184" w:type="dxa"/>
            <w:gridSpan w:val="3"/>
            <w:shd w:val="clear" w:color="auto" w:fill="auto"/>
            <w:vAlign w:val="top"/>
          </w:tcPr>
          <w:p w14:paraId="38DB58B1">
            <w:pPr>
              <w:pStyle w:val="26"/>
              <w:bidi w:val="0"/>
              <w:rPr>
                <w:rFonts w:hint="eastAsia"/>
                <w:lang w:val="en-US" w:eastAsia="zh-CN"/>
              </w:rPr>
            </w:pPr>
            <w:r>
              <w:rPr>
                <w:rFonts w:hint="eastAsia"/>
                <w:lang w:val="en-US" w:eastAsia="zh-CN"/>
              </w:rPr>
              <w:t>45</w:t>
            </w:r>
          </w:p>
        </w:tc>
        <w:tc>
          <w:tcPr>
            <w:tcW w:w="1259" w:type="dxa"/>
            <w:shd w:val="clear" w:color="auto" w:fill="auto"/>
            <w:vAlign w:val="top"/>
          </w:tcPr>
          <w:p w14:paraId="7647C018">
            <w:pPr>
              <w:pStyle w:val="26"/>
              <w:bidi w:val="0"/>
              <w:rPr>
                <w:rFonts w:hint="eastAsia"/>
                <w:lang w:val="en-US" w:eastAsia="zh-CN"/>
              </w:rPr>
            </w:pPr>
            <w:r>
              <w:rPr>
                <w:rFonts w:hint="eastAsia"/>
                <w:lang w:val="en-US" w:eastAsia="zh-CN"/>
              </w:rPr>
              <w:t>900</w:t>
            </w:r>
          </w:p>
        </w:tc>
      </w:tr>
      <w:tr w14:paraId="770B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14925990">
            <w:pPr>
              <w:pStyle w:val="26"/>
              <w:bidi w:val="0"/>
              <w:rPr>
                <w:rFonts w:hint="eastAsia"/>
                <w:lang w:val="en-US" w:eastAsia="en-US"/>
              </w:rPr>
            </w:pPr>
            <w:r>
              <w:rPr>
                <w:rFonts w:hint="eastAsia"/>
                <w:lang w:val="en-US" w:eastAsia="zh-CN"/>
              </w:rPr>
              <w:t>铅（mg/kg)</w:t>
            </w:r>
          </w:p>
        </w:tc>
        <w:tc>
          <w:tcPr>
            <w:tcW w:w="2541" w:type="dxa"/>
            <w:gridSpan w:val="3"/>
            <w:shd w:val="clear" w:color="auto" w:fill="auto"/>
            <w:vAlign w:val="top"/>
          </w:tcPr>
          <w:p w14:paraId="005EC7B4">
            <w:pPr>
              <w:pStyle w:val="26"/>
              <w:bidi w:val="0"/>
              <w:rPr>
                <w:rFonts w:hint="eastAsia"/>
                <w:lang w:val="en-US" w:eastAsia="zh-CN"/>
              </w:rPr>
            </w:pPr>
            <w:r>
              <w:rPr>
                <w:rFonts w:hint="eastAsia"/>
                <w:lang w:val="en-US" w:eastAsia="zh-CN"/>
              </w:rPr>
              <w:t>16</w:t>
            </w:r>
          </w:p>
        </w:tc>
        <w:tc>
          <w:tcPr>
            <w:tcW w:w="2387" w:type="dxa"/>
            <w:gridSpan w:val="3"/>
            <w:shd w:val="clear" w:color="auto" w:fill="auto"/>
            <w:vAlign w:val="top"/>
          </w:tcPr>
          <w:p w14:paraId="22739493">
            <w:pPr>
              <w:pStyle w:val="26"/>
              <w:bidi w:val="0"/>
              <w:rPr>
                <w:rFonts w:hint="eastAsia"/>
                <w:lang w:val="en-US" w:eastAsia="zh-CN"/>
              </w:rPr>
            </w:pPr>
            <w:r>
              <w:rPr>
                <w:rFonts w:hint="eastAsia"/>
                <w:lang w:val="en-US" w:eastAsia="zh-CN"/>
              </w:rPr>
              <w:t>16</w:t>
            </w:r>
          </w:p>
        </w:tc>
        <w:tc>
          <w:tcPr>
            <w:tcW w:w="2270" w:type="dxa"/>
            <w:gridSpan w:val="3"/>
            <w:shd w:val="clear" w:color="auto" w:fill="auto"/>
            <w:vAlign w:val="top"/>
          </w:tcPr>
          <w:p w14:paraId="54AF4400">
            <w:pPr>
              <w:pStyle w:val="26"/>
              <w:bidi w:val="0"/>
              <w:rPr>
                <w:rFonts w:hint="eastAsia"/>
                <w:lang w:val="en-US" w:eastAsia="zh-CN"/>
              </w:rPr>
            </w:pPr>
            <w:r>
              <w:rPr>
                <w:rFonts w:hint="eastAsia"/>
                <w:lang w:val="en-US" w:eastAsia="zh-CN"/>
              </w:rPr>
              <w:t>24</w:t>
            </w:r>
          </w:p>
        </w:tc>
        <w:tc>
          <w:tcPr>
            <w:tcW w:w="2184" w:type="dxa"/>
            <w:gridSpan w:val="3"/>
            <w:shd w:val="clear" w:color="auto" w:fill="auto"/>
            <w:vAlign w:val="top"/>
          </w:tcPr>
          <w:p w14:paraId="52EA0BAE">
            <w:pPr>
              <w:pStyle w:val="26"/>
              <w:bidi w:val="0"/>
              <w:rPr>
                <w:rFonts w:hint="eastAsia"/>
                <w:lang w:val="en-US" w:eastAsia="zh-CN"/>
              </w:rPr>
            </w:pPr>
            <w:r>
              <w:rPr>
                <w:rFonts w:hint="eastAsia"/>
                <w:lang w:val="en-US" w:eastAsia="zh-CN"/>
              </w:rPr>
              <w:t>23</w:t>
            </w:r>
          </w:p>
        </w:tc>
        <w:tc>
          <w:tcPr>
            <w:tcW w:w="1259" w:type="dxa"/>
            <w:shd w:val="clear" w:color="auto" w:fill="auto"/>
            <w:vAlign w:val="top"/>
          </w:tcPr>
          <w:p w14:paraId="00A65C3D">
            <w:pPr>
              <w:pStyle w:val="26"/>
              <w:bidi w:val="0"/>
              <w:rPr>
                <w:rFonts w:hint="eastAsia"/>
                <w:lang w:val="en-US" w:eastAsia="zh-CN"/>
              </w:rPr>
            </w:pPr>
            <w:r>
              <w:rPr>
                <w:rFonts w:hint="eastAsia"/>
                <w:lang w:val="en-US" w:eastAsia="zh-CN"/>
              </w:rPr>
              <w:t>800</w:t>
            </w:r>
          </w:p>
        </w:tc>
      </w:tr>
      <w:tr w14:paraId="7C38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7D067836">
            <w:pPr>
              <w:pStyle w:val="26"/>
              <w:bidi w:val="0"/>
              <w:rPr>
                <w:rFonts w:hint="eastAsia"/>
                <w:lang w:val="en-US" w:eastAsia="en-US"/>
              </w:rPr>
            </w:pPr>
            <w:r>
              <w:rPr>
                <w:rFonts w:hint="eastAsia"/>
                <w:lang w:val="en-US" w:eastAsia="zh-CN"/>
              </w:rPr>
              <w:t>铬（mg/kg)</w:t>
            </w:r>
          </w:p>
        </w:tc>
        <w:tc>
          <w:tcPr>
            <w:tcW w:w="2541" w:type="dxa"/>
            <w:gridSpan w:val="3"/>
            <w:shd w:val="clear" w:color="auto" w:fill="auto"/>
            <w:vAlign w:val="top"/>
          </w:tcPr>
          <w:p w14:paraId="392C76CA">
            <w:pPr>
              <w:pStyle w:val="26"/>
              <w:bidi w:val="0"/>
              <w:rPr>
                <w:rFonts w:hint="eastAsia"/>
                <w:lang w:val="en-US" w:eastAsia="zh-CN"/>
              </w:rPr>
            </w:pPr>
            <w:r>
              <w:rPr>
                <w:rFonts w:hint="eastAsia"/>
                <w:lang w:val="en-US" w:eastAsia="zh-CN"/>
              </w:rPr>
              <w:t>84</w:t>
            </w:r>
          </w:p>
        </w:tc>
        <w:tc>
          <w:tcPr>
            <w:tcW w:w="2387" w:type="dxa"/>
            <w:gridSpan w:val="3"/>
            <w:shd w:val="clear" w:color="auto" w:fill="auto"/>
            <w:vAlign w:val="top"/>
          </w:tcPr>
          <w:p w14:paraId="1F8B0C6E">
            <w:pPr>
              <w:pStyle w:val="26"/>
              <w:bidi w:val="0"/>
              <w:rPr>
                <w:rFonts w:hint="eastAsia"/>
                <w:lang w:val="en-US" w:eastAsia="zh-CN"/>
              </w:rPr>
            </w:pPr>
            <w:r>
              <w:rPr>
                <w:rFonts w:hint="eastAsia"/>
                <w:lang w:val="en-US" w:eastAsia="zh-CN"/>
              </w:rPr>
              <w:t>84</w:t>
            </w:r>
          </w:p>
        </w:tc>
        <w:tc>
          <w:tcPr>
            <w:tcW w:w="2270" w:type="dxa"/>
            <w:gridSpan w:val="3"/>
            <w:shd w:val="clear" w:color="auto" w:fill="auto"/>
            <w:vAlign w:val="top"/>
          </w:tcPr>
          <w:p w14:paraId="1AE694EA">
            <w:pPr>
              <w:pStyle w:val="26"/>
              <w:bidi w:val="0"/>
              <w:rPr>
                <w:rFonts w:hint="eastAsia"/>
                <w:lang w:val="en-US" w:eastAsia="zh-CN"/>
              </w:rPr>
            </w:pPr>
            <w:r>
              <w:rPr>
                <w:rFonts w:hint="eastAsia"/>
                <w:lang w:val="en-US" w:eastAsia="zh-CN"/>
              </w:rPr>
              <w:t>90</w:t>
            </w:r>
          </w:p>
        </w:tc>
        <w:tc>
          <w:tcPr>
            <w:tcW w:w="2184" w:type="dxa"/>
            <w:gridSpan w:val="3"/>
            <w:shd w:val="clear" w:color="auto" w:fill="auto"/>
            <w:vAlign w:val="top"/>
          </w:tcPr>
          <w:p w14:paraId="53BF1BD4">
            <w:pPr>
              <w:pStyle w:val="26"/>
              <w:bidi w:val="0"/>
              <w:rPr>
                <w:rFonts w:hint="eastAsia"/>
                <w:lang w:val="en-US" w:eastAsia="zh-CN"/>
              </w:rPr>
            </w:pPr>
            <w:r>
              <w:rPr>
                <w:rFonts w:hint="eastAsia"/>
                <w:lang w:val="en-US" w:eastAsia="zh-CN"/>
              </w:rPr>
              <w:t>85</w:t>
            </w:r>
          </w:p>
        </w:tc>
        <w:tc>
          <w:tcPr>
            <w:tcW w:w="1259" w:type="dxa"/>
            <w:shd w:val="clear" w:color="auto" w:fill="auto"/>
            <w:vAlign w:val="top"/>
          </w:tcPr>
          <w:p w14:paraId="25B85E02">
            <w:pPr>
              <w:pStyle w:val="26"/>
              <w:bidi w:val="0"/>
              <w:rPr>
                <w:rFonts w:hint="eastAsia"/>
                <w:lang w:val="en-US" w:eastAsia="zh-CN"/>
              </w:rPr>
            </w:pPr>
            <w:r>
              <w:rPr>
                <w:rFonts w:hint="eastAsia"/>
                <w:lang w:val="en-US" w:eastAsia="zh-CN"/>
              </w:rPr>
              <w:t>/</w:t>
            </w:r>
          </w:p>
        </w:tc>
      </w:tr>
      <w:tr w14:paraId="3C26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0A4F4707">
            <w:pPr>
              <w:pStyle w:val="26"/>
              <w:bidi w:val="0"/>
              <w:rPr>
                <w:rFonts w:hint="eastAsia"/>
                <w:lang w:val="en-US" w:eastAsia="en-US"/>
              </w:rPr>
            </w:pPr>
            <w:r>
              <w:rPr>
                <w:rFonts w:hint="eastAsia"/>
                <w:lang w:val="en-US" w:eastAsia="zh-CN"/>
              </w:rPr>
              <w:t>锌（mg/kg)</w:t>
            </w:r>
          </w:p>
        </w:tc>
        <w:tc>
          <w:tcPr>
            <w:tcW w:w="2541" w:type="dxa"/>
            <w:gridSpan w:val="3"/>
            <w:shd w:val="clear" w:color="auto" w:fill="auto"/>
            <w:vAlign w:val="top"/>
          </w:tcPr>
          <w:p w14:paraId="5444F3DF">
            <w:pPr>
              <w:pStyle w:val="26"/>
              <w:bidi w:val="0"/>
              <w:rPr>
                <w:rFonts w:hint="eastAsia"/>
                <w:lang w:val="en-US" w:eastAsia="zh-CN"/>
              </w:rPr>
            </w:pPr>
            <w:r>
              <w:rPr>
                <w:rFonts w:hint="eastAsia"/>
                <w:lang w:val="en-US" w:eastAsia="zh-CN"/>
              </w:rPr>
              <w:t>93</w:t>
            </w:r>
          </w:p>
        </w:tc>
        <w:tc>
          <w:tcPr>
            <w:tcW w:w="2387" w:type="dxa"/>
            <w:gridSpan w:val="3"/>
            <w:shd w:val="clear" w:color="auto" w:fill="auto"/>
            <w:vAlign w:val="top"/>
          </w:tcPr>
          <w:p w14:paraId="6C858F81">
            <w:pPr>
              <w:pStyle w:val="26"/>
              <w:bidi w:val="0"/>
              <w:rPr>
                <w:rFonts w:hint="eastAsia"/>
                <w:lang w:val="en-US" w:eastAsia="zh-CN"/>
              </w:rPr>
            </w:pPr>
            <w:r>
              <w:rPr>
                <w:rFonts w:hint="eastAsia"/>
                <w:lang w:val="en-US" w:eastAsia="zh-CN"/>
              </w:rPr>
              <w:t>91</w:t>
            </w:r>
          </w:p>
        </w:tc>
        <w:tc>
          <w:tcPr>
            <w:tcW w:w="2270" w:type="dxa"/>
            <w:gridSpan w:val="3"/>
            <w:shd w:val="clear" w:color="auto" w:fill="auto"/>
            <w:vAlign w:val="top"/>
          </w:tcPr>
          <w:p w14:paraId="0D2126F9">
            <w:pPr>
              <w:pStyle w:val="26"/>
              <w:bidi w:val="0"/>
              <w:rPr>
                <w:rFonts w:hint="eastAsia"/>
                <w:lang w:val="en-US" w:eastAsia="zh-CN"/>
              </w:rPr>
            </w:pPr>
            <w:r>
              <w:rPr>
                <w:rFonts w:hint="eastAsia"/>
                <w:lang w:val="en-US" w:eastAsia="zh-CN"/>
              </w:rPr>
              <w:t>99</w:t>
            </w:r>
          </w:p>
        </w:tc>
        <w:tc>
          <w:tcPr>
            <w:tcW w:w="2184" w:type="dxa"/>
            <w:gridSpan w:val="3"/>
            <w:shd w:val="clear" w:color="auto" w:fill="auto"/>
            <w:vAlign w:val="top"/>
          </w:tcPr>
          <w:p w14:paraId="1D2B284B">
            <w:pPr>
              <w:pStyle w:val="26"/>
              <w:bidi w:val="0"/>
              <w:rPr>
                <w:rFonts w:hint="eastAsia"/>
                <w:lang w:val="en-US" w:eastAsia="zh-CN"/>
              </w:rPr>
            </w:pPr>
            <w:r>
              <w:rPr>
                <w:rFonts w:hint="eastAsia"/>
                <w:lang w:val="en-US" w:eastAsia="zh-CN"/>
              </w:rPr>
              <w:t>94</w:t>
            </w:r>
          </w:p>
        </w:tc>
        <w:tc>
          <w:tcPr>
            <w:tcW w:w="1259" w:type="dxa"/>
            <w:shd w:val="clear" w:color="auto" w:fill="auto"/>
            <w:vAlign w:val="top"/>
          </w:tcPr>
          <w:p w14:paraId="27B0D288">
            <w:pPr>
              <w:pStyle w:val="26"/>
              <w:bidi w:val="0"/>
              <w:rPr>
                <w:rFonts w:hint="eastAsia"/>
                <w:lang w:val="en-US" w:eastAsia="zh-CN"/>
              </w:rPr>
            </w:pPr>
            <w:r>
              <w:rPr>
                <w:rFonts w:hint="eastAsia"/>
                <w:lang w:val="en-US" w:eastAsia="zh-CN"/>
              </w:rPr>
              <w:t>/</w:t>
            </w:r>
          </w:p>
        </w:tc>
      </w:tr>
      <w:tr w14:paraId="3884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125380F7">
            <w:pPr>
              <w:pStyle w:val="26"/>
              <w:bidi w:val="0"/>
              <w:rPr>
                <w:rFonts w:hint="eastAsia"/>
                <w:lang w:val="en-US" w:eastAsia="en-US"/>
              </w:rPr>
            </w:pPr>
            <w:r>
              <w:rPr>
                <w:rFonts w:hint="eastAsia"/>
                <w:lang w:val="en-US" w:eastAsia="zh-CN"/>
              </w:rPr>
              <w:t>镉（mg/kg)</w:t>
            </w:r>
          </w:p>
        </w:tc>
        <w:tc>
          <w:tcPr>
            <w:tcW w:w="2541" w:type="dxa"/>
            <w:gridSpan w:val="3"/>
            <w:shd w:val="clear" w:color="auto" w:fill="auto"/>
            <w:vAlign w:val="top"/>
          </w:tcPr>
          <w:p w14:paraId="5A5546F9">
            <w:pPr>
              <w:pStyle w:val="26"/>
              <w:bidi w:val="0"/>
              <w:rPr>
                <w:rFonts w:hint="eastAsia"/>
                <w:lang w:val="en-US" w:eastAsia="zh-CN"/>
              </w:rPr>
            </w:pPr>
            <w:r>
              <w:rPr>
                <w:rFonts w:hint="eastAsia"/>
                <w:lang w:val="en-US" w:eastAsia="zh-CN"/>
              </w:rPr>
              <w:t>0.07</w:t>
            </w:r>
          </w:p>
        </w:tc>
        <w:tc>
          <w:tcPr>
            <w:tcW w:w="2387" w:type="dxa"/>
            <w:gridSpan w:val="3"/>
            <w:shd w:val="clear" w:color="auto" w:fill="auto"/>
            <w:vAlign w:val="top"/>
          </w:tcPr>
          <w:p w14:paraId="60434A65">
            <w:pPr>
              <w:pStyle w:val="26"/>
              <w:bidi w:val="0"/>
              <w:rPr>
                <w:rFonts w:hint="eastAsia"/>
                <w:lang w:val="en-US" w:eastAsia="zh-CN"/>
              </w:rPr>
            </w:pPr>
            <w:r>
              <w:rPr>
                <w:rFonts w:hint="eastAsia"/>
                <w:lang w:val="en-US" w:eastAsia="zh-CN"/>
              </w:rPr>
              <w:t>0.06</w:t>
            </w:r>
          </w:p>
        </w:tc>
        <w:tc>
          <w:tcPr>
            <w:tcW w:w="2270" w:type="dxa"/>
            <w:gridSpan w:val="3"/>
            <w:shd w:val="clear" w:color="auto" w:fill="auto"/>
            <w:vAlign w:val="top"/>
          </w:tcPr>
          <w:p w14:paraId="37FFB549">
            <w:pPr>
              <w:pStyle w:val="26"/>
              <w:bidi w:val="0"/>
              <w:rPr>
                <w:rFonts w:hint="eastAsia"/>
                <w:lang w:val="en-US" w:eastAsia="zh-CN"/>
              </w:rPr>
            </w:pPr>
            <w:r>
              <w:rPr>
                <w:rFonts w:hint="eastAsia"/>
                <w:lang w:val="en-US" w:eastAsia="zh-CN"/>
              </w:rPr>
              <w:t>0.07</w:t>
            </w:r>
          </w:p>
        </w:tc>
        <w:tc>
          <w:tcPr>
            <w:tcW w:w="2184" w:type="dxa"/>
            <w:gridSpan w:val="3"/>
            <w:shd w:val="clear" w:color="auto" w:fill="auto"/>
            <w:vAlign w:val="top"/>
          </w:tcPr>
          <w:p w14:paraId="5980284E">
            <w:pPr>
              <w:pStyle w:val="26"/>
              <w:bidi w:val="0"/>
              <w:rPr>
                <w:rFonts w:hint="eastAsia"/>
                <w:lang w:val="en-US" w:eastAsia="zh-CN"/>
              </w:rPr>
            </w:pPr>
            <w:r>
              <w:rPr>
                <w:rFonts w:hint="eastAsia"/>
                <w:lang w:val="en-US" w:eastAsia="zh-CN"/>
              </w:rPr>
              <w:t>0.08</w:t>
            </w:r>
          </w:p>
        </w:tc>
        <w:tc>
          <w:tcPr>
            <w:tcW w:w="1259" w:type="dxa"/>
            <w:shd w:val="clear" w:color="auto" w:fill="auto"/>
            <w:vAlign w:val="top"/>
          </w:tcPr>
          <w:p w14:paraId="41540EE1">
            <w:pPr>
              <w:pStyle w:val="26"/>
              <w:bidi w:val="0"/>
              <w:rPr>
                <w:rFonts w:hint="eastAsia"/>
                <w:lang w:val="en-US" w:eastAsia="zh-CN"/>
              </w:rPr>
            </w:pPr>
            <w:r>
              <w:rPr>
                <w:rFonts w:hint="eastAsia"/>
                <w:lang w:val="en-US" w:eastAsia="zh-CN"/>
              </w:rPr>
              <w:t>65</w:t>
            </w:r>
          </w:p>
        </w:tc>
      </w:tr>
      <w:tr w14:paraId="2DF0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086D59F5">
            <w:pPr>
              <w:pStyle w:val="26"/>
              <w:bidi w:val="0"/>
              <w:rPr>
                <w:rFonts w:hint="eastAsia"/>
                <w:lang w:val="en-US" w:eastAsia="en-US"/>
              </w:rPr>
            </w:pPr>
            <w:r>
              <w:rPr>
                <w:rFonts w:hint="eastAsia"/>
                <w:lang w:val="en-US" w:eastAsia="zh-CN"/>
              </w:rPr>
              <w:t>汞（mg/kg)</w:t>
            </w:r>
          </w:p>
        </w:tc>
        <w:tc>
          <w:tcPr>
            <w:tcW w:w="2541" w:type="dxa"/>
            <w:gridSpan w:val="3"/>
            <w:shd w:val="clear" w:color="auto" w:fill="auto"/>
            <w:vAlign w:val="top"/>
          </w:tcPr>
          <w:p w14:paraId="1982472B">
            <w:pPr>
              <w:pStyle w:val="26"/>
              <w:bidi w:val="0"/>
              <w:rPr>
                <w:rFonts w:hint="eastAsia"/>
                <w:lang w:val="en-US" w:eastAsia="zh-CN"/>
              </w:rPr>
            </w:pPr>
            <w:r>
              <w:rPr>
                <w:rFonts w:hint="eastAsia"/>
                <w:lang w:val="en-US" w:eastAsia="zh-CN"/>
              </w:rPr>
              <w:t>0.127</w:t>
            </w:r>
          </w:p>
        </w:tc>
        <w:tc>
          <w:tcPr>
            <w:tcW w:w="2387" w:type="dxa"/>
            <w:gridSpan w:val="3"/>
            <w:shd w:val="clear" w:color="auto" w:fill="auto"/>
            <w:vAlign w:val="top"/>
          </w:tcPr>
          <w:p w14:paraId="15497424">
            <w:pPr>
              <w:pStyle w:val="26"/>
              <w:bidi w:val="0"/>
              <w:rPr>
                <w:rFonts w:hint="eastAsia"/>
                <w:lang w:val="en-US" w:eastAsia="zh-CN"/>
              </w:rPr>
            </w:pPr>
            <w:r>
              <w:rPr>
                <w:rFonts w:hint="eastAsia"/>
                <w:lang w:val="en-US" w:eastAsia="zh-CN"/>
              </w:rPr>
              <w:t>0.210</w:t>
            </w:r>
          </w:p>
        </w:tc>
        <w:tc>
          <w:tcPr>
            <w:tcW w:w="2270" w:type="dxa"/>
            <w:gridSpan w:val="3"/>
            <w:shd w:val="clear" w:color="auto" w:fill="auto"/>
            <w:vAlign w:val="top"/>
          </w:tcPr>
          <w:p w14:paraId="715F697C">
            <w:pPr>
              <w:pStyle w:val="26"/>
              <w:bidi w:val="0"/>
              <w:rPr>
                <w:rFonts w:hint="eastAsia"/>
                <w:lang w:val="en-US" w:eastAsia="zh-CN"/>
              </w:rPr>
            </w:pPr>
            <w:r>
              <w:rPr>
                <w:rFonts w:hint="eastAsia"/>
                <w:lang w:val="en-US" w:eastAsia="zh-CN"/>
              </w:rPr>
              <w:t>0.109</w:t>
            </w:r>
          </w:p>
        </w:tc>
        <w:tc>
          <w:tcPr>
            <w:tcW w:w="2184" w:type="dxa"/>
            <w:gridSpan w:val="3"/>
            <w:shd w:val="clear" w:color="auto" w:fill="auto"/>
            <w:vAlign w:val="top"/>
          </w:tcPr>
          <w:p w14:paraId="59537927">
            <w:pPr>
              <w:pStyle w:val="26"/>
              <w:bidi w:val="0"/>
              <w:rPr>
                <w:rFonts w:hint="eastAsia"/>
                <w:lang w:val="en-US" w:eastAsia="zh-CN"/>
              </w:rPr>
            </w:pPr>
            <w:r>
              <w:rPr>
                <w:rFonts w:hint="eastAsia"/>
                <w:lang w:val="en-US" w:eastAsia="zh-CN"/>
              </w:rPr>
              <w:t>0.113</w:t>
            </w:r>
          </w:p>
        </w:tc>
        <w:tc>
          <w:tcPr>
            <w:tcW w:w="1259" w:type="dxa"/>
            <w:shd w:val="clear" w:color="auto" w:fill="auto"/>
            <w:vAlign w:val="top"/>
          </w:tcPr>
          <w:p w14:paraId="4D532C41">
            <w:pPr>
              <w:pStyle w:val="26"/>
              <w:bidi w:val="0"/>
              <w:rPr>
                <w:rFonts w:hint="eastAsia"/>
                <w:lang w:val="en-US" w:eastAsia="zh-CN"/>
              </w:rPr>
            </w:pPr>
            <w:r>
              <w:rPr>
                <w:rFonts w:hint="eastAsia"/>
                <w:lang w:val="en-US" w:eastAsia="zh-CN"/>
              </w:rPr>
              <w:t>38</w:t>
            </w:r>
          </w:p>
        </w:tc>
      </w:tr>
      <w:tr w14:paraId="3A75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217D60A6">
            <w:pPr>
              <w:pStyle w:val="26"/>
              <w:bidi w:val="0"/>
              <w:rPr>
                <w:rFonts w:hint="eastAsia"/>
                <w:lang w:val="en-US" w:eastAsia="en-US"/>
              </w:rPr>
            </w:pPr>
            <w:r>
              <w:rPr>
                <w:rFonts w:hint="eastAsia"/>
                <w:lang w:val="en-US" w:eastAsia="zh-CN"/>
              </w:rPr>
              <w:t>砷（mg/kg)</w:t>
            </w:r>
          </w:p>
        </w:tc>
        <w:tc>
          <w:tcPr>
            <w:tcW w:w="2541" w:type="dxa"/>
            <w:gridSpan w:val="3"/>
            <w:shd w:val="clear" w:color="auto" w:fill="auto"/>
            <w:vAlign w:val="top"/>
          </w:tcPr>
          <w:p w14:paraId="0A2A4130">
            <w:pPr>
              <w:pStyle w:val="26"/>
              <w:bidi w:val="0"/>
              <w:rPr>
                <w:rFonts w:hint="eastAsia"/>
                <w:lang w:val="en-US" w:eastAsia="zh-CN"/>
              </w:rPr>
            </w:pPr>
            <w:r>
              <w:rPr>
                <w:rFonts w:hint="eastAsia"/>
                <w:lang w:val="en-US" w:eastAsia="zh-CN"/>
              </w:rPr>
              <w:t>8.58</w:t>
            </w:r>
          </w:p>
        </w:tc>
        <w:tc>
          <w:tcPr>
            <w:tcW w:w="2387" w:type="dxa"/>
            <w:gridSpan w:val="3"/>
            <w:shd w:val="clear" w:color="auto" w:fill="auto"/>
            <w:vAlign w:val="top"/>
          </w:tcPr>
          <w:p w14:paraId="010F4DA7">
            <w:pPr>
              <w:pStyle w:val="26"/>
              <w:bidi w:val="0"/>
              <w:rPr>
                <w:rFonts w:hint="eastAsia"/>
                <w:lang w:val="en-US" w:eastAsia="zh-CN"/>
              </w:rPr>
            </w:pPr>
            <w:r>
              <w:rPr>
                <w:rFonts w:hint="eastAsia"/>
                <w:lang w:val="en-US" w:eastAsia="zh-CN"/>
              </w:rPr>
              <w:t>10.0</w:t>
            </w:r>
          </w:p>
        </w:tc>
        <w:tc>
          <w:tcPr>
            <w:tcW w:w="2270" w:type="dxa"/>
            <w:gridSpan w:val="3"/>
            <w:shd w:val="clear" w:color="auto" w:fill="auto"/>
            <w:vAlign w:val="top"/>
          </w:tcPr>
          <w:p w14:paraId="77852441">
            <w:pPr>
              <w:pStyle w:val="26"/>
              <w:bidi w:val="0"/>
              <w:rPr>
                <w:rFonts w:hint="eastAsia"/>
                <w:lang w:val="en-US" w:eastAsia="zh-CN"/>
              </w:rPr>
            </w:pPr>
            <w:r>
              <w:rPr>
                <w:rFonts w:hint="eastAsia"/>
                <w:lang w:val="en-US" w:eastAsia="zh-CN"/>
              </w:rPr>
              <w:t>3.59</w:t>
            </w:r>
          </w:p>
        </w:tc>
        <w:tc>
          <w:tcPr>
            <w:tcW w:w="2184" w:type="dxa"/>
            <w:gridSpan w:val="3"/>
            <w:shd w:val="clear" w:color="auto" w:fill="auto"/>
            <w:vAlign w:val="top"/>
          </w:tcPr>
          <w:p w14:paraId="6C172194">
            <w:pPr>
              <w:pStyle w:val="26"/>
              <w:bidi w:val="0"/>
              <w:rPr>
                <w:rFonts w:hint="eastAsia"/>
                <w:lang w:val="en-US" w:eastAsia="zh-CN"/>
              </w:rPr>
            </w:pPr>
            <w:r>
              <w:rPr>
                <w:rFonts w:hint="eastAsia"/>
                <w:lang w:val="en-US" w:eastAsia="zh-CN"/>
              </w:rPr>
              <w:t>3.75</w:t>
            </w:r>
          </w:p>
        </w:tc>
        <w:tc>
          <w:tcPr>
            <w:tcW w:w="1259" w:type="dxa"/>
            <w:shd w:val="clear" w:color="auto" w:fill="auto"/>
            <w:vAlign w:val="top"/>
          </w:tcPr>
          <w:p w14:paraId="7E7974C9">
            <w:pPr>
              <w:pStyle w:val="26"/>
              <w:bidi w:val="0"/>
              <w:rPr>
                <w:rFonts w:hint="eastAsia"/>
                <w:lang w:val="en-US" w:eastAsia="zh-CN"/>
              </w:rPr>
            </w:pPr>
            <w:r>
              <w:rPr>
                <w:rFonts w:hint="eastAsia"/>
                <w:lang w:val="en-US" w:eastAsia="zh-CN"/>
              </w:rPr>
              <w:t>60</w:t>
            </w:r>
          </w:p>
        </w:tc>
      </w:tr>
      <w:tr w14:paraId="083E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3B547A94">
            <w:pPr>
              <w:pStyle w:val="26"/>
              <w:bidi w:val="0"/>
              <w:rPr>
                <w:rFonts w:hint="eastAsia"/>
                <w:lang w:val="en-US" w:eastAsia="en-US"/>
              </w:rPr>
            </w:pPr>
            <w:r>
              <w:rPr>
                <w:rFonts w:hint="eastAsia"/>
                <w:lang w:val="en-US" w:eastAsia="zh-CN"/>
              </w:rPr>
              <w:t>石油烃（ Clo- C₄o)(mg/kg)</w:t>
            </w:r>
          </w:p>
        </w:tc>
        <w:tc>
          <w:tcPr>
            <w:tcW w:w="2541" w:type="dxa"/>
            <w:gridSpan w:val="3"/>
            <w:shd w:val="clear" w:color="auto" w:fill="auto"/>
            <w:vAlign w:val="top"/>
          </w:tcPr>
          <w:p w14:paraId="713292B3">
            <w:pPr>
              <w:pStyle w:val="26"/>
              <w:bidi w:val="0"/>
              <w:rPr>
                <w:rFonts w:hint="eastAsia"/>
                <w:lang w:val="en-US" w:eastAsia="zh-CN"/>
              </w:rPr>
            </w:pPr>
            <w:r>
              <w:rPr>
                <w:rFonts w:hint="eastAsia"/>
                <w:lang w:val="en-US" w:eastAsia="zh-CN"/>
              </w:rPr>
              <w:t>18</w:t>
            </w:r>
          </w:p>
        </w:tc>
        <w:tc>
          <w:tcPr>
            <w:tcW w:w="2387" w:type="dxa"/>
            <w:gridSpan w:val="3"/>
            <w:shd w:val="clear" w:color="auto" w:fill="auto"/>
            <w:vAlign w:val="top"/>
          </w:tcPr>
          <w:p w14:paraId="3E59BB06">
            <w:pPr>
              <w:pStyle w:val="26"/>
              <w:bidi w:val="0"/>
              <w:rPr>
                <w:rFonts w:hint="eastAsia"/>
                <w:lang w:val="en-US" w:eastAsia="zh-CN"/>
              </w:rPr>
            </w:pPr>
            <w:r>
              <w:rPr>
                <w:rFonts w:hint="eastAsia"/>
                <w:lang w:val="en-US" w:eastAsia="zh-CN"/>
              </w:rPr>
              <w:t>27</w:t>
            </w:r>
          </w:p>
        </w:tc>
        <w:tc>
          <w:tcPr>
            <w:tcW w:w="2270" w:type="dxa"/>
            <w:gridSpan w:val="3"/>
            <w:shd w:val="clear" w:color="auto" w:fill="auto"/>
            <w:vAlign w:val="top"/>
          </w:tcPr>
          <w:p w14:paraId="4E7A1D9B">
            <w:pPr>
              <w:pStyle w:val="26"/>
              <w:bidi w:val="0"/>
              <w:rPr>
                <w:rFonts w:hint="eastAsia"/>
                <w:lang w:val="en-US" w:eastAsia="zh-CN"/>
              </w:rPr>
            </w:pPr>
            <w:r>
              <w:rPr>
                <w:rFonts w:hint="eastAsia"/>
                <w:lang w:val="en-US" w:eastAsia="zh-CN"/>
              </w:rPr>
              <w:t>22</w:t>
            </w:r>
          </w:p>
        </w:tc>
        <w:tc>
          <w:tcPr>
            <w:tcW w:w="2184" w:type="dxa"/>
            <w:gridSpan w:val="3"/>
            <w:shd w:val="clear" w:color="auto" w:fill="auto"/>
            <w:vAlign w:val="top"/>
          </w:tcPr>
          <w:p w14:paraId="7316A9C2">
            <w:pPr>
              <w:pStyle w:val="26"/>
              <w:bidi w:val="0"/>
              <w:rPr>
                <w:rFonts w:hint="eastAsia"/>
                <w:lang w:val="en-US" w:eastAsia="zh-CN"/>
              </w:rPr>
            </w:pPr>
            <w:r>
              <w:rPr>
                <w:rFonts w:hint="eastAsia"/>
                <w:lang w:val="en-US" w:eastAsia="zh-CN"/>
              </w:rPr>
              <w:t>23</w:t>
            </w:r>
          </w:p>
        </w:tc>
        <w:tc>
          <w:tcPr>
            <w:tcW w:w="1259" w:type="dxa"/>
            <w:shd w:val="clear" w:color="auto" w:fill="auto"/>
            <w:vAlign w:val="top"/>
          </w:tcPr>
          <w:p w14:paraId="570C5F02">
            <w:pPr>
              <w:pStyle w:val="26"/>
              <w:bidi w:val="0"/>
              <w:rPr>
                <w:rFonts w:hint="eastAsia"/>
                <w:lang w:val="en-US" w:eastAsia="zh-CN"/>
              </w:rPr>
            </w:pPr>
            <w:r>
              <w:rPr>
                <w:rFonts w:hint="eastAsia"/>
                <w:lang w:val="en-US" w:eastAsia="zh-CN"/>
              </w:rPr>
              <w:t>4500</w:t>
            </w:r>
          </w:p>
        </w:tc>
      </w:tr>
      <w:tr w14:paraId="6576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restart"/>
            <w:shd w:val="clear" w:color="auto" w:fill="auto"/>
            <w:vAlign w:val="center"/>
          </w:tcPr>
          <w:p w14:paraId="36836D2E">
            <w:pPr>
              <w:pStyle w:val="26"/>
              <w:bidi w:val="0"/>
              <w:rPr>
                <w:lang w:val="en-US" w:eastAsia="en-US"/>
              </w:rPr>
            </w:pPr>
            <w:r>
              <w:rPr>
                <w:lang w:val="en-US" w:eastAsia="en-US"/>
              </w:rPr>
              <w:t>半挥发性</w:t>
            </w:r>
          </w:p>
          <w:p w14:paraId="2CC1CC76">
            <w:pPr>
              <w:pStyle w:val="26"/>
              <w:bidi w:val="0"/>
              <w:rPr>
                <w:rFonts w:hint="eastAsia"/>
                <w:lang w:val="en-US" w:eastAsia="zh-CN"/>
              </w:rPr>
            </w:pPr>
            <w:r>
              <w:t>有机物(mg/kg)</w:t>
            </w:r>
          </w:p>
        </w:tc>
        <w:tc>
          <w:tcPr>
            <w:tcW w:w="1904" w:type="dxa"/>
            <w:gridSpan w:val="3"/>
            <w:shd w:val="clear" w:color="auto" w:fill="auto"/>
            <w:vAlign w:val="top"/>
          </w:tcPr>
          <w:p w14:paraId="5116DFC4">
            <w:pPr>
              <w:pStyle w:val="26"/>
              <w:bidi w:val="0"/>
              <w:rPr>
                <w:rFonts w:hint="eastAsia"/>
                <w:lang w:val="en-US" w:eastAsia="en-US"/>
              </w:rPr>
            </w:pPr>
            <w:r>
              <w:rPr>
                <w:rFonts w:hint="eastAsia"/>
                <w:lang w:val="en-US" w:eastAsia="zh-CN"/>
              </w:rPr>
              <w:t>2-氯苯酚</w:t>
            </w:r>
          </w:p>
        </w:tc>
        <w:tc>
          <w:tcPr>
            <w:tcW w:w="2541" w:type="dxa"/>
            <w:gridSpan w:val="3"/>
            <w:shd w:val="clear" w:color="auto" w:fill="auto"/>
            <w:vAlign w:val="top"/>
          </w:tcPr>
          <w:p w14:paraId="45FE4893">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37CE8C90">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7D48C13A">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316DA72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4995CAD">
            <w:pPr>
              <w:pStyle w:val="26"/>
              <w:bidi w:val="0"/>
              <w:rPr>
                <w:rFonts w:hint="eastAsia"/>
                <w:lang w:val="en-US" w:eastAsia="zh-CN"/>
              </w:rPr>
            </w:pPr>
            <w:r>
              <w:rPr>
                <w:rFonts w:hint="eastAsia"/>
                <w:lang w:val="en-US" w:eastAsia="zh-CN"/>
              </w:rPr>
              <w:t>2256</w:t>
            </w:r>
          </w:p>
        </w:tc>
      </w:tr>
      <w:tr w14:paraId="2627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2860995A">
            <w:pPr>
              <w:pStyle w:val="26"/>
              <w:bidi w:val="0"/>
              <w:rPr>
                <w:rFonts w:hint="eastAsia"/>
                <w:lang w:val="en-US" w:eastAsia="zh-CN"/>
              </w:rPr>
            </w:pPr>
          </w:p>
        </w:tc>
        <w:tc>
          <w:tcPr>
            <w:tcW w:w="1904" w:type="dxa"/>
            <w:gridSpan w:val="3"/>
            <w:shd w:val="clear" w:color="auto" w:fill="auto"/>
            <w:vAlign w:val="top"/>
          </w:tcPr>
          <w:p w14:paraId="60CC40BA">
            <w:pPr>
              <w:pStyle w:val="26"/>
              <w:bidi w:val="0"/>
              <w:rPr>
                <w:rFonts w:hint="eastAsia"/>
                <w:lang w:val="en-US" w:eastAsia="en-US"/>
              </w:rPr>
            </w:pPr>
            <w:r>
              <w:rPr>
                <w:rFonts w:hint="eastAsia"/>
                <w:lang w:val="en-US" w:eastAsia="zh-CN"/>
              </w:rPr>
              <w:t>硝基苯</w:t>
            </w:r>
          </w:p>
        </w:tc>
        <w:tc>
          <w:tcPr>
            <w:tcW w:w="2541" w:type="dxa"/>
            <w:gridSpan w:val="3"/>
            <w:shd w:val="clear" w:color="auto" w:fill="auto"/>
            <w:vAlign w:val="top"/>
          </w:tcPr>
          <w:p w14:paraId="662D36B3">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029861C">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A20437B">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00DCCC2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2B3BB24">
            <w:pPr>
              <w:pStyle w:val="26"/>
              <w:bidi w:val="0"/>
              <w:rPr>
                <w:rFonts w:hint="eastAsia"/>
                <w:lang w:val="en-US" w:eastAsia="zh-CN"/>
              </w:rPr>
            </w:pPr>
            <w:r>
              <w:rPr>
                <w:rFonts w:hint="eastAsia"/>
                <w:lang w:val="en-US" w:eastAsia="zh-CN"/>
              </w:rPr>
              <w:t>76</w:t>
            </w:r>
          </w:p>
        </w:tc>
      </w:tr>
      <w:tr w14:paraId="7073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3CB25B52">
            <w:pPr>
              <w:pStyle w:val="26"/>
              <w:bidi w:val="0"/>
              <w:rPr>
                <w:rFonts w:hint="eastAsia"/>
                <w:lang w:val="en-US" w:eastAsia="zh-CN"/>
              </w:rPr>
            </w:pPr>
          </w:p>
        </w:tc>
        <w:tc>
          <w:tcPr>
            <w:tcW w:w="1904" w:type="dxa"/>
            <w:gridSpan w:val="3"/>
            <w:shd w:val="clear" w:color="auto" w:fill="auto"/>
            <w:vAlign w:val="top"/>
          </w:tcPr>
          <w:p w14:paraId="73D8A81B">
            <w:pPr>
              <w:pStyle w:val="26"/>
              <w:bidi w:val="0"/>
              <w:rPr>
                <w:rFonts w:hint="eastAsia"/>
                <w:lang w:val="en-US" w:eastAsia="en-US"/>
              </w:rPr>
            </w:pPr>
            <w:r>
              <w:rPr>
                <w:rFonts w:hint="eastAsia"/>
                <w:lang w:val="en-US" w:eastAsia="zh-CN"/>
              </w:rPr>
              <w:t>萘</w:t>
            </w:r>
          </w:p>
        </w:tc>
        <w:tc>
          <w:tcPr>
            <w:tcW w:w="2541" w:type="dxa"/>
            <w:gridSpan w:val="3"/>
            <w:shd w:val="clear" w:color="auto" w:fill="auto"/>
            <w:vAlign w:val="top"/>
          </w:tcPr>
          <w:p w14:paraId="231E5282">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1F0C4871">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6DF5793">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165155C5">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E9D8010">
            <w:pPr>
              <w:pStyle w:val="26"/>
              <w:bidi w:val="0"/>
              <w:rPr>
                <w:rFonts w:hint="eastAsia"/>
                <w:lang w:val="en-US" w:eastAsia="zh-CN"/>
              </w:rPr>
            </w:pPr>
            <w:r>
              <w:rPr>
                <w:rFonts w:hint="eastAsia"/>
                <w:lang w:val="en-US" w:eastAsia="zh-CN"/>
              </w:rPr>
              <w:t>70</w:t>
            </w:r>
          </w:p>
        </w:tc>
      </w:tr>
      <w:tr w14:paraId="1BD2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451" w:type="dxa"/>
            <w:gridSpan w:val="3"/>
            <w:vMerge w:val="continue"/>
            <w:shd w:val="clear" w:color="auto" w:fill="auto"/>
            <w:vAlign w:val="top"/>
          </w:tcPr>
          <w:p w14:paraId="2F110E09">
            <w:pPr>
              <w:pStyle w:val="26"/>
              <w:bidi w:val="0"/>
              <w:rPr>
                <w:rFonts w:hint="eastAsia"/>
                <w:lang w:val="en-US" w:eastAsia="zh-CN"/>
              </w:rPr>
            </w:pPr>
          </w:p>
        </w:tc>
        <w:tc>
          <w:tcPr>
            <w:tcW w:w="1904" w:type="dxa"/>
            <w:gridSpan w:val="3"/>
            <w:shd w:val="clear" w:color="auto" w:fill="auto"/>
            <w:vAlign w:val="top"/>
          </w:tcPr>
          <w:p w14:paraId="2E272D23">
            <w:pPr>
              <w:pStyle w:val="26"/>
              <w:bidi w:val="0"/>
              <w:rPr>
                <w:rFonts w:hint="eastAsia"/>
                <w:lang w:val="en-US" w:eastAsia="en-US"/>
              </w:rPr>
            </w:pPr>
            <w:r>
              <w:rPr>
                <w:rFonts w:hint="eastAsia"/>
                <w:lang w:val="en-US" w:eastAsia="zh-CN"/>
              </w:rPr>
              <w:t>苯 并 （ a ） 蒽</w:t>
            </w:r>
          </w:p>
        </w:tc>
        <w:tc>
          <w:tcPr>
            <w:tcW w:w="2541" w:type="dxa"/>
            <w:gridSpan w:val="3"/>
            <w:shd w:val="clear" w:color="auto" w:fill="auto"/>
            <w:vAlign w:val="top"/>
          </w:tcPr>
          <w:p w14:paraId="63745B95">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15B8A44">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84B54B8">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7853A39C">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4737B40">
            <w:pPr>
              <w:pStyle w:val="26"/>
              <w:bidi w:val="0"/>
              <w:rPr>
                <w:rFonts w:hint="eastAsia"/>
                <w:lang w:val="en-US" w:eastAsia="zh-CN"/>
              </w:rPr>
            </w:pPr>
            <w:r>
              <w:rPr>
                <w:rFonts w:hint="eastAsia"/>
                <w:lang w:val="en-US" w:eastAsia="zh-CN"/>
              </w:rPr>
              <w:t>15</w:t>
            </w:r>
          </w:p>
        </w:tc>
      </w:tr>
      <w:tr w14:paraId="0EF6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52119AFD">
            <w:pPr>
              <w:pStyle w:val="26"/>
              <w:bidi w:val="0"/>
              <w:rPr>
                <w:rFonts w:hint="eastAsia"/>
                <w:lang w:val="en-US" w:eastAsia="zh-CN"/>
              </w:rPr>
            </w:pPr>
          </w:p>
        </w:tc>
        <w:tc>
          <w:tcPr>
            <w:tcW w:w="1904" w:type="dxa"/>
            <w:gridSpan w:val="3"/>
            <w:shd w:val="clear" w:color="auto" w:fill="auto"/>
            <w:vAlign w:val="top"/>
          </w:tcPr>
          <w:p w14:paraId="0C08837B">
            <w:pPr>
              <w:pStyle w:val="26"/>
              <w:bidi w:val="0"/>
              <w:rPr>
                <w:rFonts w:hint="eastAsia"/>
                <w:lang w:val="en-US" w:eastAsia="en-US"/>
              </w:rPr>
            </w:pPr>
            <w:r>
              <w:rPr>
                <w:rFonts w:hint="eastAsia"/>
                <w:lang w:val="en-US" w:eastAsia="zh-CN"/>
              </w:rPr>
              <w:t>蔗</w:t>
            </w:r>
          </w:p>
        </w:tc>
        <w:tc>
          <w:tcPr>
            <w:tcW w:w="2541" w:type="dxa"/>
            <w:gridSpan w:val="3"/>
            <w:shd w:val="clear" w:color="auto" w:fill="auto"/>
            <w:vAlign w:val="top"/>
          </w:tcPr>
          <w:p w14:paraId="3EDD1267">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DA7D630">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A38AE9C">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3B10E67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CB2AFE9">
            <w:pPr>
              <w:pStyle w:val="26"/>
              <w:bidi w:val="0"/>
              <w:rPr>
                <w:rFonts w:hint="eastAsia"/>
                <w:lang w:val="en-US" w:eastAsia="zh-CN"/>
              </w:rPr>
            </w:pPr>
            <w:r>
              <w:rPr>
                <w:rFonts w:hint="eastAsia"/>
                <w:lang w:val="en-US" w:eastAsia="zh-CN"/>
              </w:rPr>
              <w:t>1293</w:t>
            </w:r>
          </w:p>
        </w:tc>
      </w:tr>
      <w:tr w14:paraId="4E22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4F602545">
            <w:pPr>
              <w:pStyle w:val="26"/>
              <w:bidi w:val="0"/>
              <w:rPr>
                <w:rFonts w:hint="eastAsia"/>
                <w:lang w:val="en-US" w:eastAsia="zh-CN"/>
              </w:rPr>
            </w:pPr>
          </w:p>
        </w:tc>
        <w:tc>
          <w:tcPr>
            <w:tcW w:w="1904" w:type="dxa"/>
            <w:gridSpan w:val="3"/>
            <w:shd w:val="clear" w:color="auto" w:fill="auto"/>
            <w:vAlign w:val="top"/>
          </w:tcPr>
          <w:p w14:paraId="670B4E18">
            <w:pPr>
              <w:pStyle w:val="26"/>
              <w:bidi w:val="0"/>
              <w:rPr>
                <w:rFonts w:hint="eastAsia"/>
                <w:lang w:val="en-US" w:eastAsia="en-US"/>
              </w:rPr>
            </w:pPr>
            <w:r>
              <w:rPr>
                <w:rFonts w:hint="eastAsia"/>
                <w:lang w:val="en-US" w:eastAsia="zh-CN"/>
              </w:rPr>
              <w:t>苯胺</w:t>
            </w:r>
          </w:p>
        </w:tc>
        <w:tc>
          <w:tcPr>
            <w:tcW w:w="2541" w:type="dxa"/>
            <w:gridSpan w:val="3"/>
            <w:shd w:val="clear" w:color="auto" w:fill="auto"/>
            <w:vAlign w:val="top"/>
          </w:tcPr>
          <w:p w14:paraId="4E058614">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F1BF173">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8AB8AA0">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1BCD11C">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4A551A8">
            <w:pPr>
              <w:pStyle w:val="26"/>
              <w:bidi w:val="0"/>
              <w:rPr>
                <w:rFonts w:hint="eastAsia"/>
                <w:lang w:val="en-US" w:eastAsia="zh-CN"/>
              </w:rPr>
            </w:pPr>
            <w:r>
              <w:rPr>
                <w:rFonts w:hint="eastAsia"/>
                <w:lang w:val="en-US" w:eastAsia="zh-CN"/>
              </w:rPr>
              <w:t>260</w:t>
            </w:r>
          </w:p>
        </w:tc>
      </w:tr>
      <w:tr w14:paraId="5D1D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204A5860">
            <w:pPr>
              <w:pStyle w:val="26"/>
              <w:bidi w:val="0"/>
              <w:rPr>
                <w:rFonts w:hint="eastAsia"/>
                <w:lang w:val="en-US" w:eastAsia="zh-CN"/>
              </w:rPr>
            </w:pPr>
          </w:p>
        </w:tc>
        <w:tc>
          <w:tcPr>
            <w:tcW w:w="1904" w:type="dxa"/>
            <w:gridSpan w:val="3"/>
            <w:shd w:val="clear" w:color="auto" w:fill="auto"/>
            <w:vAlign w:val="top"/>
          </w:tcPr>
          <w:p w14:paraId="7A0AA6F4">
            <w:pPr>
              <w:pStyle w:val="26"/>
              <w:bidi w:val="0"/>
              <w:rPr>
                <w:rFonts w:hint="eastAsia"/>
                <w:lang w:val="en-US" w:eastAsia="en-US"/>
              </w:rPr>
            </w:pPr>
            <w:r>
              <w:rPr>
                <w:rFonts w:hint="eastAsia"/>
                <w:lang w:val="en-US" w:eastAsia="zh-CN"/>
              </w:rPr>
              <w:t>苯并（b）荧蒽</w:t>
            </w:r>
          </w:p>
        </w:tc>
        <w:tc>
          <w:tcPr>
            <w:tcW w:w="2541" w:type="dxa"/>
            <w:gridSpan w:val="3"/>
            <w:shd w:val="clear" w:color="auto" w:fill="auto"/>
            <w:vAlign w:val="top"/>
          </w:tcPr>
          <w:p w14:paraId="7407060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A6CE395">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7784EC2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F60BBFD">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E4D060E">
            <w:pPr>
              <w:pStyle w:val="26"/>
              <w:bidi w:val="0"/>
              <w:rPr>
                <w:rFonts w:hint="eastAsia"/>
                <w:lang w:val="en-US" w:eastAsia="zh-CN"/>
              </w:rPr>
            </w:pPr>
            <w:r>
              <w:rPr>
                <w:rFonts w:hint="eastAsia"/>
                <w:lang w:val="en-US" w:eastAsia="zh-CN"/>
              </w:rPr>
              <w:t>15</w:t>
            </w:r>
          </w:p>
        </w:tc>
      </w:tr>
      <w:tr w14:paraId="05D7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48E0BD3F">
            <w:pPr>
              <w:pStyle w:val="26"/>
              <w:bidi w:val="0"/>
              <w:rPr>
                <w:lang w:val="en-US" w:eastAsia="en-US"/>
              </w:rPr>
            </w:pPr>
          </w:p>
        </w:tc>
        <w:tc>
          <w:tcPr>
            <w:tcW w:w="1904" w:type="dxa"/>
            <w:gridSpan w:val="3"/>
            <w:shd w:val="clear" w:color="auto" w:fill="auto"/>
            <w:vAlign w:val="top"/>
          </w:tcPr>
          <w:p w14:paraId="5506A916">
            <w:pPr>
              <w:pStyle w:val="26"/>
              <w:bidi w:val="0"/>
              <w:rPr>
                <w:rFonts w:hint="eastAsia"/>
                <w:lang w:val="en-US" w:eastAsia="en-US"/>
              </w:rPr>
            </w:pPr>
            <w:r>
              <w:rPr>
                <w:rFonts w:hint="eastAsia"/>
                <w:lang w:val="en-US" w:eastAsia="zh-CN"/>
              </w:rPr>
              <w:t>苯并（k）荧蒽</w:t>
            </w:r>
          </w:p>
        </w:tc>
        <w:tc>
          <w:tcPr>
            <w:tcW w:w="2541" w:type="dxa"/>
            <w:gridSpan w:val="3"/>
            <w:shd w:val="clear" w:color="auto" w:fill="auto"/>
            <w:vAlign w:val="top"/>
          </w:tcPr>
          <w:p w14:paraId="5F5C7CC1">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9169216">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3F64F29B">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341272F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3B3F59D">
            <w:pPr>
              <w:pStyle w:val="26"/>
              <w:bidi w:val="0"/>
              <w:rPr>
                <w:rFonts w:hint="eastAsia"/>
                <w:lang w:val="en-US" w:eastAsia="zh-CN"/>
              </w:rPr>
            </w:pPr>
            <w:r>
              <w:rPr>
                <w:rFonts w:hint="eastAsia"/>
                <w:lang w:val="en-US" w:eastAsia="zh-CN"/>
              </w:rPr>
              <w:t>151</w:t>
            </w:r>
          </w:p>
        </w:tc>
      </w:tr>
      <w:tr w14:paraId="573D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57EC88EC">
            <w:pPr>
              <w:pStyle w:val="26"/>
              <w:bidi w:val="0"/>
              <w:rPr>
                <w:lang w:val="en-US" w:eastAsia="en-US"/>
              </w:rPr>
            </w:pPr>
          </w:p>
        </w:tc>
        <w:tc>
          <w:tcPr>
            <w:tcW w:w="1904" w:type="dxa"/>
            <w:gridSpan w:val="3"/>
            <w:shd w:val="clear" w:color="auto" w:fill="auto"/>
            <w:vAlign w:val="top"/>
          </w:tcPr>
          <w:p w14:paraId="6CE56C9C">
            <w:pPr>
              <w:pStyle w:val="26"/>
              <w:bidi w:val="0"/>
              <w:rPr>
                <w:rFonts w:hint="eastAsia"/>
                <w:lang w:val="en-US" w:eastAsia="en-US"/>
              </w:rPr>
            </w:pPr>
            <w:r>
              <w:rPr>
                <w:rFonts w:hint="eastAsia"/>
                <w:lang w:val="en-US" w:eastAsia="zh-CN"/>
              </w:rPr>
              <w:t>苯并（a）芘</w:t>
            </w:r>
          </w:p>
        </w:tc>
        <w:tc>
          <w:tcPr>
            <w:tcW w:w="2541" w:type="dxa"/>
            <w:gridSpan w:val="3"/>
            <w:shd w:val="clear" w:color="auto" w:fill="auto"/>
            <w:vAlign w:val="top"/>
          </w:tcPr>
          <w:p w14:paraId="1956C682">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1FBD75E">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37A9BCA">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DBE883B">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BC2812D">
            <w:pPr>
              <w:pStyle w:val="26"/>
              <w:bidi w:val="0"/>
              <w:rPr>
                <w:rFonts w:hint="eastAsia"/>
                <w:lang w:val="en-US" w:eastAsia="zh-CN"/>
              </w:rPr>
            </w:pPr>
            <w:r>
              <w:rPr>
                <w:rFonts w:hint="eastAsia"/>
                <w:lang w:val="en-US" w:eastAsia="zh-CN"/>
              </w:rPr>
              <w:t>1.5</w:t>
            </w:r>
          </w:p>
        </w:tc>
      </w:tr>
      <w:tr w14:paraId="520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1336C556">
            <w:pPr>
              <w:pStyle w:val="26"/>
              <w:bidi w:val="0"/>
              <w:rPr>
                <w:lang w:val="en-US" w:eastAsia="en-US"/>
              </w:rPr>
            </w:pPr>
          </w:p>
        </w:tc>
        <w:tc>
          <w:tcPr>
            <w:tcW w:w="1904" w:type="dxa"/>
            <w:gridSpan w:val="3"/>
            <w:shd w:val="clear" w:color="auto" w:fill="auto"/>
            <w:vAlign w:val="top"/>
          </w:tcPr>
          <w:p w14:paraId="17494738">
            <w:pPr>
              <w:pStyle w:val="26"/>
              <w:bidi w:val="0"/>
              <w:rPr>
                <w:rFonts w:hint="eastAsia"/>
                <w:lang w:val="en-US" w:eastAsia="zh-CN"/>
              </w:rPr>
            </w:pPr>
            <w:r>
              <w:rPr>
                <w:rFonts w:hint="eastAsia"/>
                <w:lang w:val="en-US" w:eastAsia="zh-CN"/>
              </w:rPr>
              <w:t>茚并（1,2,3-cd）</w:t>
            </w:r>
          </w:p>
          <w:p w14:paraId="34718C1F">
            <w:pPr>
              <w:pStyle w:val="26"/>
              <w:bidi w:val="0"/>
              <w:rPr>
                <w:rFonts w:hint="eastAsia"/>
                <w:lang w:val="en-US" w:eastAsia="en-US"/>
              </w:rPr>
            </w:pPr>
            <w:r>
              <w:rPr>
                <w:rFonts w:hint="eastAsia"/>
                <w:lang w:val="en-US" w:eastAsia="zh-CN"/>
              </w:rPr>
              <w:t>芘</w:t>
            </w:r>
          </w:p>
        </w:tc>
        <w:tc>
          <w:tcPr>
            <w:tcW w:w="2541" w:type="dxa"/>
            <w:gridSpan w:val="3"/>
            <w:shd w:val="clear" w:color="auto" w:fill="auto"/>
            <w:vAlign w:val="top"/>
          </w:tcPr>
          <w:p w14:paraId="4D19DE3A">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4D51D12">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02CA7B6">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81231E7">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03544AE">
            <w:pPr>
              <w:pStyle w:val="26"/>
              <w:bidi w:val="0"/>
              <w:rPr>
                <w:rFonts w:hint="eastAsia"/>
                <w:lang w:val="en-US" w:eastAsia="zh-CN"/>
              </w:rPr>
            </w:pPr>
            <w:r>
              <w:rPr>
                <w:rFonts w:hint="eastAsia"/>
                <w:lang w:val="en-US" w:eastAsia="zh-CN"/>
              </w:rPr>
              <w:t>15</w:t>
            </w:r>
          </w:p>
        </w:tc>
      </w:tr>
      <w:tr w14:paraId="5A9D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gridSpan w:val="3"/>
            <w:vMerge w:val="continue"/>
            <w:shd w:val="clear" w:color="auto" w:fill="auto"/>
            <w:vAlign w:val="top"/>
          </w:tcPr>
          <w:p w14:paraId="64B53728">
            <w:pPr>
              <w:pStyle w:val="26"/>
              <w:bidi w:val="0"/>
              <w:rPr>
                <w:lang w:val="en-US" w:eastAsia="en-US"/>
              </w:rPr>
            </w:pPr>
          </w:p>
        </w:tc>
        <w:tc>
          <w:tcPr>
            <w:tcW w:w="1904" w:type="dxa"/>
            <w:gridSpan w:val="3"/>
            <w:shd w:val="clear" w:color="auto" w:fill="auto"/>
            <w:vAlign w:val="top"/>
          </w:tcPr>
          <w:p w14:paraId="02DAA8CD">
            <w:pPr>
              <w:pStyle w:val="26"/>
              <w:bidi w:val="0"/>
              <w:rPr>
                <w:rFonts w:hint="eastAsia"/>
                <w:lang w:val="en-US" w:eastAsia="en-US"/>
              </w:rPr>
            </w:pPr>
            <w:r>
              <w:rPr>
                <w:rFonts w:hint="eastAsia"/>
                <w:lang w:val="en-US" w:eastAsia="zh-CN"/>
              </w:rPr>
              <w:t>二苯并（ah）蒽</w:t>
            </w:r>
          </w:p>
        </w:tc>
        <w:tc>
          <w:tcPr>
            <w:tcW w:w="2541" w:type="dxa"/>
            <w:gridSpan w:val="3"/>
            <w:shd w:val="clear" w:color="auto" w:fill="auto"/>
            <w:vAlign w:val="top"/>
          </w:tcPr>
          <w:p w14:paraId="3A297CCC">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4EF2E37">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B428D3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322FE43">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C1F57A0">
            <w:pPr>
              <w:pStyle w:val="26"/>
              <w:bidi w:val="0"/>
              <w:rPr>
                <w:rFonts w:hint="eastAsia"/>
                <w:lang w:val="en-US" w:eastAsia="zh-CN"/>
              </w:rPr>
            </w:pPr>
            <w:r>
              <w:rPr>
                <w:rFonts w:hint="eastAsia"/>
                <w:lang w:val="en-US" w:eastAsia="zh-CN"/>
              </w:rPr>
              <w:t>1.5</w:t>
            </w:r>
          </w:p>
        </w:tc>
      </w:tr>
      <w:tr w14:paraId="3073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center"/>
          </w:tcPr>
          <w:p w14:paraId="03AA07AC">
            <w:pPr>
              <w:pStyle w:val="26"/>
              <w:bidi w:val="0"/>
              <w:rPr>
                <w:rFonts w:hint="eastAsia"/>
                <w:lang w:val="en-US" w:eastAsia="en-US"/>
              </w:rPr>
            </w:pPr>
            <w:r>
              <w:rPr>
                <w:rFonts w:hint="eastAsia"/>
                <w:lang w:val="en-US" w:eastAsia="zh-CN"/>
              </w:rPr>
              <w:t>样品状态</w:t>
            </w:r>
          </w:p>
        </w:tc>
        <w:tc>
          <w:tcPr>
            <w:tcW w:w="2541" w:type="dxa"/>
            <w:gridSpan w:val="3"/>
            <w:shd w:val="clear" w:color="auto" w:fill="auto"/>
            <w:vAlign w:val="center"/>
          </w:tcPr>
          <w:p w14:paraId="6E8B66D3">
            <w:pPr>
              <w:pStyle w:val="26"/>
              <w:bidi w:val="0"/>
              <w:rPr>
                <w:rFonts w:hint="eastAsia"/>
                <w:lang w:val="en-US" w:eastAsia="en-US"/>
              </w:rPr>
            </w:pPr>
            <w:r>
              <w:rPr>
                <w:rFonts w:hint="eastAsia"/>
                <w:lang w:val="en-US" w:eastAsia="zh-CN"/>
              </w:rPr>
              <w:t>显灰色，呈素填土</w:t>
            </w:r>
          </w:p>
        </w:tc>
        <w:tc>
          <w:tcPr>
            <w:tcW w:w="2387" w:type="dxa"/>
            <w:gridSpan w:val="3"/>
            <w:shd w:val="clear" w:color="auto" w:fill="auto"/>
            <w:vAlign w:val="center"/>
          </w:tcPr>
          <w:p w14:paraId="06B37AFF">
            <w:pPr>
              <w:pStyle w:val="26"/>
              <w:bidi w:val="0"/>
              <w:rPr>
                <w:rFonts w:hint="eastAsia"/>
                <w:lang w:val="en-US" w:eastAsia="en-US"/>
              </w:rPr>
            </w:pPr>
            <w:r>
              <w:rPr>
                <w:rFonts w:hint="eastAsia"/>
                <w:lang w:val="en-US" w:eastAsia="zh-CN"/>
              </w:rPr>
              <w:t>显灰色，呈黏土</w:t>
            </w:r>
          </w:p>
        </w:tc>
        <w:tc>
          <w:tcPr>
            <w:tcW w:w="2270" w:type="dxa"/>
            <w:gridSpan w:val="3"/>
            <w:shd w:val="clear" w:color="auto" w:fill="auto"/>
            <w:vAlign w:val="center"/>
          </w:tcPr>
          <w:p w14:paraId="0235D4CB">
            <w:pPr>
              <w:pStyle w:val="26"/>
              <w:bidi w:val="0"/>
              <w:rPr>
                <w:rFonts w:hint="eastAsia"/>
                <w:lang w:val="en-US" w:eastAsia="zh-CN"/>
              </w:rPr>
            </w:pPr>
            <w:r>
              <w:rPr>
                <w:rFonts w:hint="eastAsia"/>
                <w:lang w:val="en-US" w:eastAsia="zh-CN"/>
              </w:rPr>
              <w:t>显灰色</w:t>
            </w:r>
          </w:p>
          <w:p w14:paraId="27FAB775">
            <w:pPr>
              <w:pStyle w:val="26"/>
              <w:bidi w:val="0"/>
              <w:rPr>
                <w:rFonts w:hint="eastAsia"/>
                <w:lang w:val="en-US" w:eastAsia="en-US"/>
              </w:rPr>
            </w:pPr>
            <w:r>
              <w:rPr>
                <w:rFonts w:hint="eastAsia"/>
                <w:lang w:val="en-US" w:eastAsia="zh-CN"/>
              </w:rPr>
              <w:t>呈粉质粘土</w:t>
            </w:r>
          </w:p>
        </w:tc>
        <w:tc>
          <w:tcPr>
            <w:tcW w:w="2184" w:type="dxa"/>
            <w:gridSpan w:val="3"/>
            <w:shd w:val="clear" w:color="auto" w:fill="auto"/>
            <w:vAlign w:val="center"/>
          </w:tcPr>
          <w:p w14:paraId="36317F33">
            <w:pPr>
              <w:pStyle w:val="26"/>
              <w:bidi w:val="0"/>
              <w:rPr>
                <w:rFonts w:hint="eastAsia"/>
                <w:lang w:val="en-US" w:eastAsia="zh-CN"/>
              </w:rPr>
            </w:pPr>
            <w:r>
              <w:rPr>
                <w:rFonts w:hint="eastAsia"/>
                <w:lang w:val="en-US" w:eastAsia="zh-CN"/>
              </w:rPr>
              <w:t>显灰色， 粉</w:t>
            </w:r>
          </w:p>
          <w:p w14:paraId="5DF5A281">
            <w:pPr>
              <w:pStyle w:val="26"/>
              <w:bidi w:val="0"/>
              <w:rPr>
                <w:rFonts w:hint="eastAsia"/>
                <w:lang w:val="en-US" w:eastAsia="en-US"/>
              </w:rPr>
            </w:pPr>
            <w:r>
              <w:rPr>
                <w:rFonts w:hint="eastAsia"/>
                <w:lang w:val="en-US" w:eastAsia="zh-CN"/>
              </w:rPr>
              <w:t>质呈黏土</w:t>
            </w:r>
          </w:p>
        </w:tc>
        <w:tc>
          <w:tcPr>
            <w:tcW w:w="1259" w:type="dxa"/>
            <w:shd w:val="clear" w:color="auto" w:fill="auto"/>
            <w:vAlign w:val="center"/>
          </w:tcPr>
          <w:p w14:paraId="23631231">
            <w:pPr>
              <w:pStyle w:val="26"/>
              <w:bidi w:val="0"/>
              <w:rPr>
                <w:rFonts w:hint="eastAsia"/>
                <w:lang w:val="en-US" w:eastAsia="zh-CN"/>
              </w:rPr>
            </w:pPr>
          </w:p>
          <w:p w14:paraId="4909CD5F">
            <w:pPr>
              <w:pStyle w:val="26"/>
              <w:bidi w:val="0"/>
              <w:rPr>
                <w:rFonts w:hint="eastAsia"/>
                <w:lang w:val="en-US" w:eastAsia="zh-CN"/>
              </w:rPr>
            </w:pPr>
            <w:r>
              <w:rPr>
                <w:rFonts w:hint="eastAsia"/>
                <w:lang w:val="en-US" w:eastAsia="zh-CN"/>
              </w:rPr>
              <w:t>/</w:t>
            </w:r>
          </w:p>
        </w:tc>
      </w:tr>
      <w:tr w14:paraId="0C25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restart"/>
            <w:shd w:val="clear" w:color="auto" w:fill="auto"/>
            <w:vAlign w:val="center"/>
          </w:tcPr>
          <w:p w14:paraId="23C571EB">
            <w:pPr>
              <w:pStyle w:val="26"/>
              <w:bidi w:val="0"/>
              <w:rPr>
                <w:rFonts w:hint="eastAsia"/>
                <w:lang w:val="en-US" w:eastAsia="zh-CN"/>
              </w:rPr>
            </w:pPr>
            <w:r>
              <w:rPr>
                <w:rFonts w:hint="eastAsia"/>
                <w:lang w:val="en-US" w:eastAsia="zh-CN"/>
              </w:rPr>
              <w:t>挥发性有机物(μg/kg)</w:t>
            </w:r>
          </w:p>
        </w:tc>
        <w:tc>
          <w:tcPr>
            <w:tcW w:w="1858" w:type="dxa"/>
            <w:gridSpan w:val="2"/>
            <w:shd w:val="clear" w:color="auto" w:fill="auto"/>
            <w:vAlign w:val="top"/>
          </w:tcPr>
          <w:p w14:paraId="58B1E649">
            <w:pPr>
              <w:pStyle w:val="26"/>
              <w:bidi w:val="0"/>
              <w:rPr>
                <w:rFonts w:hint="eastAsia"/>
                <w:lang w:val="en-US" w:eastAsia="en-US"/>
              </w:rPr>
            </w:pPr>
            <w:r>
              <w:rPr>
                <w:rFonts w:hint="eastAsia"/>
                <w:lang w:val="en-US" w:eastAsia="zh-CN"/>
              </w:rPr>
              <w:t>氯甲烷</w:t>
            </w:r>
          </w:p>
        </w:tc>
        <w:tc>
          <w:tcPr>
            <w:tcW w:w="2541" w:type="dxa"/>
            <w:gridSpan w:val="3"/>
            <w:shd w:val="clear" w:color="auto" w:fill="auto"/>
            <w:vAlign w:val="top"/>
          </w:tcPr>
          <w:p w14:paraId="0CB2BDA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BA84BBC">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70DA647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6CF24CEA">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5F8BDF4">
            <w:pPr>
              <w:pStyle w:val="26"/>
              <w:bidi w:val="0"/>
              <w:rPr>
                <w:rFonts w:hint="eastAsia"/>
                <w:lang w:val="en-US" w:eastAsia="zh-CN"/>
              </w:rPr>
            </w:pPr>
            <w:r>
              <w:rPr>
                <w:rFonts w:hint="eastAsia"/>
                <w:lang w:val="en-US" w:eastAsia="zh-CN"/>
              </w:rPr>
              <w:t>37</w:t>
            </w:r>
          </w:p>
        </w:tc>
      </w:tr>
      <w:tr w14:paraId="6619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B7A4F9A">
            <w:pPr>
              <w:pStyle w:val="26"/>
              <w:bidi w:val="0"/>
              <w:rPr>
                <w:rFonts w:hint="eastAsia"/>
                <w:lang w:val="en-US" w:eastAsia="zh-CN"/>
              </w:rPr>
            </w:pPr>
          </w:p>
        </w:tc>
        <w:tc>
          <w:tcPr>
            <w:tcW w:w="1858" w:type="dxa"/>
            <w:gridSpan w:val="2"/>
            <w:shd w:val="clear" w:color="auto" w:fill="auto"/>
            <w:vAlign w:val="top"/>
          </w:tcPr>
          <w:p w14:paraId="260C8735">
            <w:pPr>
              <w:pStyle w:val="26"/>
              <w:bidi w:val="0"/>
              <w:rPr>
                <w:rFonts w:hint="eastAsia"/>
                <w:lang w:val="en-US" w:eastAsia="en-US"/>
              </w:rPr>
            </w:pPr>
            <w:r>
              <w:rPr>
                <w:rFonts w:hint="eastAsia"/>
                <w:lang w:val="en-US" w:eastAsia="zh-CN"/>
              </w:rPr>
              <w:t>氯乙烯</w:t>
            </w:r>
          </w:p>
        </w:tc>
        <w:tc>
          <w:tcPr>
            <w:tcW w:w="2541" w:type="dxa"/>
            <w:gridSpan w:val="3"/>
            <w:shd w:val="clear" w:color="auto" w:fill="auto"/>
            <w:vAlign w:val="top"/>
          </w:tcPr>
          <w:p w14:paraId="79DF37F1">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A3C0C30">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31BE54A5">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623DCF3B">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742D7BC">
            <w:pPr>
              <w:pStyle w:val="26"/>
              <w:bidi w:val="0"/>
              <w:rPr>
                <w:rFonts w:hint="eastAsia"/>
                <w:lang w:val="en-US" w:eastAsia="zh-CN"/>
              </w:rPr>
            </w:pPr>
            <w:r>
              <w:rPr>
                <w:rFonts w:hint="eastAsia"/>
                <w:lang w:val="en-US" w:eastAsia="zh-CN"/>
              </w:rPr>
              <w:t>0.43</w:t>
            </w:r>
          </w:p>
        </w:tc>
      </w:tr>
      <w:tr w14:paraId="366E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46A1656">
            <w:pPr>
              <w:pStyle w:val="26"/>
              <w:bidi w:val="0"/>
              <w:rPr>
                <w:rFonts w:hint="eastAsia"/>
                <w:lang w:val="en-US" w:eastAsia="zh-CN"/>
              </w:rPr>
            </w:pPr>
          </w:p>
        </w:tc>
        <w:tc>
          <w:tcPr>
            <w:tcW w:w="1858" w:type="dxa"/>
            <w:gridSpan w:val="2"/>
            <w:shd w:val="clear" w:color="auto" w:fill="auto"/>
            <w:vAlign w:val="top"/>
          </w:tcPr>
          <w:p w14:paraId="2B268146">
            <w:pPr>
              <w:pStyle w:val="26"/>
              <w:bidi w:val="0"/>
              <w:rPr>
                <w:rFonts w:hint="eastAsia"/>
                <w:lang w:val="en-US" w:eastAsia="en-US"/>
              </w:rPr>
            </w:pPr>
            <w:r>
              <w:rPr>
                <w:rFonts w:hint="eastAsia"/>
                <w:lang w:val="en-US" w:eastAsia="zh-CN"/>
              </w:rPr>
              <w:t>1, 1-二氯乙烯</w:t>
            </w:r>
          </w:p>
        </w:tc>
        <w:tc>
          <w:tcPr>
            <w:tcW w:w="2541" w:type="dxa"/>
            <w:gridSpan w:val="3"/>
            <w:shd w:val="clear" w:color="auto" w:fill="auto"/>
            <w:vAlign w:val="top"/>
          </w:tcPr>
          <w:p w14:paraId="0304073D">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3F4C94A1">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47FAF88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D98914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3997C86">
            <w:pPr>
              <w:pStyle w:val="26"/>
              <w:bidi w:val="0"/>
              <w:rPr>
                <w:rFonts w:hint="eastAsia"/>
                <w:lang w:val="en-US" w:eastAsia="zh-CN"/>
              </w:rPr>
            </w:pPr>
            <w:r>
              <w:rPr>
                <w:rFonts w:hint="eastAsia"/>
                <w:lang w:val="en-US" w:eastAsia="zh-CN"/>
              </w:rPr>
              <w:t>66</w:t>
            </w:r>
          </w:p>
        </w:tc>
      </w:tr>
      <w:tr w14:paraId="08E9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1D28ECF0">
            <w:pPr>
              <w:pStyle w:val="26"/>
              <w:bidi w:val="0"/>
              <w:rPr>
                <w:rFonts w:hint="eastAsia"/>
                <w:lang w:val="en-US" w:eastAsia="zh-CN"/>
              </w:rPr>
            </w:pPr>
          </w:p>
        </w:tc>
        <w:tc>
          <w:tcPr>
            <w:tcW w:w="1858" w:type="dxa"/>
            <w:gridSpan w:val="2"/>
            <w:shd w:val="clear" w:color="auto" w:fill="auto"/>
            <w:vAlign w:val="top"/>
          </w:tcPr>
          <w:p w14:paraId="275071FF">
            <w:pPr>
              <w:pStyle w:val="26"/>
              <w:bidi w:val="0"/>
              <w:rPr>
                <w:rFonts w:hint="eastAsia"/>
                <w:lang w:val="en-US" w:eastAsia="en-US"/>
              </w:rPr>
            </w:pPr>
            <w:r>
              <w:rPr>
                <w:rFonts w:hint="eastAsia"/>
                <w:lang w:val="en-US" w:eastAsia="zh-CN"/>
              </w:rPr>
              <w:t>二氯甲烷</w:t>
            </w:r>
          </w:p>
        </w:tc>
        <w:tc>
          <w:tcPr>
            <w:tcW w:w="2541" w:type="dxa"/>
            <w:gridSpan w:val="3"/>
            <w:shd w:val="clear" w:color="auto" w:fill="auto"/>
            <w:vAlign w:val="top"/>
          </w:tcPr>
          <w:p w14:paraId="5537AB58">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591E6FE">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09CE403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C83EAE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74D6037">
            <w:pPr>
              <w:pStyle w:val="26"/>
              <w:bidi w:val="0"/>
              <w:rPr>
                <w:rFonts w:hint="eastAsia"/>
                <w:lang w:val="en-US" w:eastAsia="zh-CN"/>
              </w:rPr>
            </w:pPr>
            <w:r>
              <w:rPr>
                <w:rFonts w:hint="eastAsia"/>
                <w:lang w:val="en-US" w:eastAsia="zh-CN"/>
              </w:rPr>
              <w:t>616</w:t>
            </w:r>
          </w:p>
        </w:tc>
      </w:tr>
      <w:tr w14:paraId="1A22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4F6E05C4">
            <w:pPr>
              <w:pStyle w:val="26"/>
              <w:bidi w:val="0"/>
              <w:rPr>
                <w:rFonts w:hint="eastAsia"/>
                <w:lang w:val="en-US" w:eastAsia="zh-CN"/>
              </w:rPr>
            </w:pPr>
          </w:p>
        </w:tc>
        <w:tc>
          <w:tcPr>
            <w:tcW w:w="1858" w:type="dxa"/>
            <w:gridSpan w:val="2"/>
            <w:shd w:val="clear" w:color="auto" w:fill="auto"/>
            <w:vAlign w:val="top"/>
          </w:tcPr>
          <w:p w14:paraId="5746EB2E">
            <w:pPr>
              <w:pStyle w:val="26"/>
              <w:bidi w:val="0"/>
              <w:rPr>
                <w:rFonts w:hint="eastAsia"/>
                <w:lang w:val="en-US" w:eastAsia="en-US"/>
              </w:rPr>
            </w:pPr>
            <w:r>
              <w:rPr>
                <w:rFonts w:hint="eastAsia"/>
                <w:lang w:val="en-US" w:eastAsia="zh-CN"/>
              </w:rPr>
              <w:t>反式-1,2-二氯乙烯</w:t>
            </w:r>
          </w:p>
        </w:tc>
        <w:tc>
          <w:tcPr>
            <w:tcW w:w="2541" w:type="dxa"/>
            <w:gridSpan w:val="3"/>
            <w:shd w:val="clear" w:color="auto" w:fill="auto"/>
            <w:vAlign w:val="top"/>
          </w:tcPr>
          <w:p w14:paraId="28381A0E">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417FFA24">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447C8A00">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7C751AD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7CAF183">
            <w:pPr>
              <w:pStyle w:val="26"/>
              <w:bidi w:val="0"/>
              <w:rPr>
                <w:rFonts w:hint="eastAsia"/>
                <w:lang w:val="en-US" w:eastAsia="zh-CN"/>
              </w:rPr>
            </w:pPr>
            <w:r>
              <w:rPr>
                <w:rFonts w:hint="eastAsia"/>
                <w:lang w:val="en-US" w:eastAsia="zh-CN"/>
              </w:rPr>
              <w:t>54</w:t>
            </w:r>
          </w:p>
        </w:tc>
      </w:tr>
      <w:tr w14:paraId="6ED6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8B28449">
            <w:pPr>
              <w:pStyle w:val="26"/>
              <w:bidi w:val="0"/>
              <w:rPr>
                <w:rFonts w:hint="eastAsia"/>
                <w:lang w:val="en-US" w:eastAsia="zh-CN"/>
              </w:rPr>
            </w:pPr>
          </w:p>
        </w:tc>
        <w:tc>
          <w:tcPr>
            <w:tcW w:w="1858" w:type="dxa"/>
            <w:gridSpan w:val="2"/>
            <w:shd w:val="clear" w:color="auto" w:fill="auto"/>
            <w:vAlign w:val="top"/>
          </w:tcPr>
          <w:p w14:paraId="742C2DD8">
            <w:pPr>
              <w:pStyle w:val="26"/>
              <w:bidi w:val="0"/>
              <w:rPr>
                <w:rFonts w:hint="eastAsia"/>
                <w:lang w:val="en-US" w:eastAsia="en-US"/>
              </w:rPr>
            </w:pPr>
            <w:r>
              <w:rPr>
                <w:rFonts w:hint="eastAsia"/>
                <w:lang w:val="en-US" w:eastAsia="zh-CN"/>
              </w:rPr>
              <w:t>1, 1-二氯乙烷</w:t>
            </w:r>
          </w:p>
        </w:tc>
        <w:tc>
          <w:tcPr>
            <w:tcW w:w="2541" w:type="dxa"/>
            <w:gridSpan w:val="3"/>
            <w:shd w:val="clear" w:color="auto" w:fill="auto"/>
            <w:vAlign w:val="top"/>
          </w:tcPr>
          <w:p w14:paraId="531EF42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1BBFB86">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42BD9EF2">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1E2DB59B">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AD343E6">
            <w:pPr>
              <w:pStyle w:val="26"/>
              <w:bidi w:val="0"/>
              <w:rPr>
                <w:rFonts w:hint="eastAsia"/>
                <w:lang w:val="en-US" w:eastAsia="zh-CN"/>
              </w:rPr>
            </w:pPr>
            <w:r>
              <w:rPr>
                <w:rFonts w:hint="eastAsia"/>
                <w:lang w:val="en-US" w:eastAsia="zh-CN"/>
              </w:rPr>
              <w:t>9</w:t>
            </w:r>
          </w:p>
        </w:tc>
      </w:tr>
      <w:tr w14:paraId="78B7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564AAB6A">
            <w:pPr>
              <w:pStyle w:val="26"/>
              <w:bidi w:val="0"/>
              <w:rPr>
                <w:lang w:val="en-US" w:eastAsia="en-US"/>
              </w:rPr>
            </w:pPr>
          </w:p>
        </w:tc>
        <w:tc>
          <w:tcPr>
            <w:tcW w:w="1858" w:type="dxa"/>
            <w:gridSpan w:val="2"/>
            <w:shd w:val="clear" w:color="auto" w:fill="auto"/>
            <w:vAlign w:val="top"/>
          </w:tcPr>
          <w:p w14:paraId="7E8C53B9">
            <w:pPr>
              <w:pStyle w:val="26"/>
              <w:bidi w:val="0"/>
              <w:rPr>
                <w:rFonts w:hint="eastAsia"/>
                <w:lang w:val="en-US" w:eastAsia="en-US"/>
              </w:rPr>
            </w:pPr>
            <w:r>
              <w:rPr>
                <w:rFonts w:hint="eastAsia"/>
                <w:lang w:val="en-US" w:eastAsia="zh-CN"/>
              </w:rPr>
              <w:t>顺式-1,2-二氯乙烯</w:t>
            </w:r>
          </w:p>
        </w:tc>
        <w:tc>
          <w:tcPr>
            <w:tcW w:w="2541" w:type="dxa"/>
            <w:gridSpan w:val="3"/>
            <w:shd w:val="clear" w:color="auto" w:fill="auto"/>
            <w:vAlign w:val="top"/>
          </w:tcPr>
          <w:p w14:paraId="0D983F90">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E8A38DB">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2C49C23">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6C645CCA">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331D0A0">
            <w:pPr>
              <w:pStyle w:val="26"/>
              <w:bidi w:val="0"/>
              <w:rPr>
                <w:rFonts w:hint="eastAsia"/>
                <w:lang w:val="en-US" w:eastAsia="zh-CN"/>
              </w:rPr>
            </w:pPr>
            <w:r>
              <w:rPr>
                <w:rFonts w:hint="eastAsia"/>
                <w:lang w:val="en-US" w:eastAsia="zh-CN"/>
              </w:rPr>
              <w:t>596</w:t>
            </w:r>
          </w:p>
        </w:tc>
      </w:tr>
      <w:tr w14:paraId="4BE8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50331E9">
            <w:pPr>
              <w:pStyle w:val="26"/>
              <w:bidi w:val="0"/>
              <w:rPr>
                <w:lang w:val="en-US" w:eastAsia="en-US"/>
              </w:rPr>
            </w:pPr>
          </w:p>
        </w:tc>
        <w:tc>
          <w:tcPr>
            <w:tcW w:w="1858" w:type="dxa"/>
            <w:gridSpan w:val="2"/>
            <w:shd w:val="clear" w:color="auto" w:fill="auto"/>
            <w:vAlign w:val="top"/>
          </w:tcPr>
          <w:p w14:paraId="042B2B3B">
            <w:pPr>
              <w:pStyle w:val="26"/>
              <w:bidi w:val="0"/>
              <w:rPr>
                <w:rFonts w:hint="eastAsia"/>
                <w:lang w:val="en-US" w:eastAsia="en-US"/>
              </w:rPr>
            </w:pPr>
            <w:r>
              <w:rPr>
                <w:rFonts w:hint="eastAsia"/>
                <w:lang w:val="en-US" w:eastAsia="zh-CN"/>
              </w:rPr>
              <w:t>氯仿</w:t>
            </w:r>
          </w:p>
        </w:tc>
        <w:tc>
          <w:tcPr>
            <w:tcW w:w="2541" w:type="dxa"/>
            <w:gridSpan w:val="3"/>
            <w:shd w:val="clear" w:color="auto" w:fill="auto"/>
            <w:vAlign w:val="top"/>
          </w:tcPr>
          <w:p w14:paraId="5910598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0029CB33">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B1927D7">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7778E6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411D3E3">
            <w:pPr>
              <w:pStyle w:val="26"/>
              <w:bidi w:val="0"/>
              <w:rPr>
                <w:rFonts w:hint="eastAsia"/>
                <w:lang w:val="en-US" w:eastAsia="zh-CN"/>
              </w:rPr>
            </w:pPr>
            <w:r>
              <w:rPr>
                <w:rFonts w:hint="eastAsia"/>
                <w:lang w:val="en-US" w:eastAsia="zh-CN"/>
              </w:rPr>
              <w:t>0.9</w:t>
            </w:r>
          </w:p>
        </w:tc>
      </w:tr>
      <w:tr w14:paraId="34DB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3C07D6F">
            <w:pPr>
              <w:pStyle w:val="26"/>
              <w:bidi w:val="0"/>
              <w:rPr>
                <w:lang w:val="en-US" w:eastAsia="en-US"/>
              </w:rPr>
            </w:pPr>
          </w:p>
        </w:tc>
        <w:tc>
          <w:tcPr>
            <w:tcW w:w="1858" w:type="dxa"/>
            <w:gridSpan w:val="2"/>
            <w:shd w:val="clear" w:color="auto" w:fill="auto"/>
            <w:vAlign w:val="top"/>
          </w:tcPr>
          <w:p w14:paraId="25BD1582">
            <w:pPr>
              <w:pStyle w:val="26"/>
              <w:bidi w:val="0"/>
              <w:rPr>
                <w:rFonts w:hint="eastAsia"/>
                <w:lang w:val="en-US" w:eastAsia="en-US"/>
              </w:rPr>
            </w:pPr>
            <w:r>
              <w:rPr>
                <w:rFonts w:hint="eastAsia"/>
                <w:lang w:val="en-US" w:eastAsia="zh-CN"/>
              </w:rPr>
              <w:t>1,2-二氯乙烷</w:t>
            </w:r>
          </w:p>
        </w:tc>
        <w:tc>
          <w:tcPr>
            <w:tcW w:w="2541" w:type="dxa"/>
            <w:gridSpan w:val="3"/>
            <w:shd w:val="clear" w:color="auto" w:fill="auto"/>
            <w:vAlign w:val="top"/>
          </w:tcPr>
          <w:p w14:paraId="23A5D268">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2DE19C1">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23AEEF68">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BE9C4BD">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3E26617">
            <w:pPr>
              <w:pStyle w:val="26"/>
              <w:bidi w:val="0"/>
              <w:rPr>
                <w:rFonts w:hint="eastAsia"/>
                <w:lang w:val="en-US" w:eastAsia="zh-CN"/>
              </w:rPr>
            </w:pPr>
            <w:r>
              <w:rPr>
                <w:rFonts w:hint="eastAsia"/>
                <w:lang w:val="en-US" w:eastAsia="zh-CN"/>
              </w:rPr>
              <w:t>5</w:t>
            </w:r>
          </w:p>
        </w:tc>
      </w:tr>
      <w:tr w14:paraId="1673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27D0752">
            <w:pPr>
              <w:pStyle w:val="26"/>
              <w:bidi w:val="0"/>
              <w:rPr>
                <w:lang w:val="en-US" w:eastAsia="en-US"/>
              </w:rPr>
            </w:pPr>
          </w:p>
        </w:tc>
        <w:tc>
          <w:tcPr>
            <w:tcW w:w="1858" w:type="dxa"/>
            <w:gridSpan w:val="2"/>
            <w:shd w:val="clear" w:color="auto" w:fill="auto"/>
            <w:vAlign w:val="top"/>
          </w:tcPr>
          <w:p w14:paraId="4FC2B6CA">
            <w:pPr>
              <w:pStyle w:val="26"/>
              <w:bidi w:val="0"/>
              <w:rPr>
                <w:rFonts w:hint="eastAsia"/>
                <w:lang w:val="en-US" w:eastAsia="en-US"/>
              </w:rPr>
            </w:pPr>
            <w:r>
              <w:rPr>
                <w:rFonts w:hint="eastAsia"/>
                <w:lang w:val="en-US" w:eastAsia="zh-CN"/>
              </w:rPr>
              <w:t>1, 1, 1-三氯乙烷</w:t>
            </w:r>
          </w:p>
        </w:tc>
        <w:tc>
          <w:tcPr>
            <w:tcW w:w="2541" w:type="dxa"/>
            <w:gridSpan w:val="3"/>
            <w:shd w:val="clear" w:color="auto" w:fill="auto"/>
            <w:vAlign w:val="top"/>
          </w:tcPr>
          <w:p w14:paraId="04793818">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EFBFD3E">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9166826">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3E51F9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C21E70E">
            <w:pPr>
              <w:pStyle w:val="26"/>
              <w:bidi w:val="0"/>
              <w:rPr>
                <w:rFonts w:hint="eastAsia"/>
                <w:lang w:val="en-US" w:eastAsia="zh-CN"/>
              </w:rPr>
            </w:pPr>
            <w:r>
              <w:rPr>
                <w:rFonts w:hint="eastAsia"/>
                <w:lang w:val="en-US" w:eastAsia="zh-CN"/>
              </w:rPr>
              <w:t>840</w:t>
            </w:r>
          </w:p>
        </w:tc>
      </w:tr>
      <w:tr w14:paraId="0DB4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7C6CD8D2">
            <w:pPr>
              <w:pStyle w:val="26"/>
              <w:bidi w:val="0"/>
              <w:rPr>
                <w:lang w:val="en-US" w:eastAsia="en-US"/>
              </w:rPr>
            </w:pPr>
          </w:p>
        </w:tc>
        <w:tc>
          <w:tcPr>
            <w:tcW w:w="1858" w:type="dxa"/>
            <w:gridSpan w:val="2"/>
            <w:shd w:val="clear" w:color="auto" w:fill="auto"/>
            <w:vAlign w:val="top"/>
          </w:tcPr>
          <w:p w14:paraId="5A41A752">
            <w:pPr>
              <w:pStyle w:val="26"/>
              <w:bidi w:val="0"/>
              <w:rPr>
                <w:rFonts w:hint="eastAsia"/>
                <w:lang w:val="en-US" w:eastAsia="en-US"/>
              </w:rPr>
            </w:pPr>
            <w:r>
              <w:rPr>
                <w:rFonts w:hint="eastAsia"/>
                <w:lang w:val="en-US" w:eastAsia="zh-CN"/>
              </w:rPr>
              <w:t>四氯化碳</w:t>
            </w:r>
          </w:p>
        </w:tc>
        <w:tc>
          <w:tcPr>
            <w:tcW w:w="2541" w:type="dxa"/>
            <w:gridSpan w:val="3"/>
            <w:shd w:val="clear" w:color="auto" w:fill="auto"/>
            <w:vAlign w:val="top"/>
          </w:tcPr>
          <w:p w14:paraId="5B6F37E0">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4B5CBB8">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49D9E89">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1E3928FC">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50E7E50">
            <w:pPr>
              <w:pStyle w:val="26"/>
              <w:bidi w:val="0"/>
              <w:rPr>
                <w:rFonts w:hint="eastAsia"/>
                <w:lang w:val="en-US" w:eastAsia="zh-CN"/>
              </w:rPr>
            </w:pPr>
            <w:r>
              <w:rPr>
                <w:rFonts w:hint="eastAsia"/>
                <w:lang w:val="en-US" w:eastAsia="zh-CN"/>
              </w:rPr>
              <w:t>2.8</w:t>
            </w:r>
          </w:p>
        </w:tc>
      </w:tr>
      <w:tr w14:paraId="6DAD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163FFF2C">
            <w:pPr>
              <w:pStyle w:val="26"/>
              <w:bidi w:val="0"/>
              <w:rPr>
                <w:lang w:val="en-US" w:eastAsia="en-US"/>
              </w:rPr>
            </w:pPr>
          </w:p>
        </w:tc>
        <w:tc>
          <w:tcPr>
            <w:tcW w:w="1858" w:type="dxa"/>
            <w:gridSpan w:val="2"/>
            <w:shd w:val="clear" w:color="auto" w:fill="auto"/>
            <w:vAlign w:val="top"/>
          </w:tcPr>
          <w:p w14:paraId="35B94FA1">
            <w:pPr>
              <w:pStyle w:val="26"/>
              <w:bidi w:val="0"/>
              <w:rPr>
                <w:rFonts w:hint="eastAsia"/>
                <w:lang w:val="en-US" w:eastAsia="en-US"/>
              </w:rPr>
            </w:pPr>
            <w:r>
              <w:rPr>
                <w:rFonts w:hint="eastAsia"/>
                <w:lang w:val="en-US" w:eastAsia="zh-CN"/>
              </w:rPr>
              <w:t>苯</w:t>
            </w:r>
          </w:p>
        </w:tc>
        <w:tc>
          <w:tcPr>
            <w:tcW w:w="2541" w:type="dxa"/>
            <w:gridSpan w:val="3"/>
            <w:shd w:val="clear" w:color="auto" w:fill="auto"/>
            <w:vAlign w:val="top"/>
          </w:tcPr>
          <w:p w14:paraId="72D7B99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2DCB63A">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883C447">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9BACA2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3978B7D">
            <w:pPr>
              <w:pStyle w:val="26"/>
              <w:bidi w:val="0"/>
              <w:rPr>
                <w:rFonts w:hint="eastAsia"/>
                <w:lang w:val="en-US" w:eastAsia="zh-CN"/>
              </w:rPr>
            </w:pPr>
            <w:r>
              <w:rPr>
                <w:rFonts w:hint="eastAsia"/>
                <w:lang w:val="en-US" w:eastAsia="zh-CN"/>
              </w:rPr>
              <w:t>4</w:t>
            </w:r>
          </w:p>
        </w:tc>
      </w:tr>
      <w:tr w14:paraId="4AE7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64EFACF">
            <w:pPr>
              <w:pStyle w:val="26"/>
              <w:bidi w:val="0"/>
              <w:rPr>
                <w:lang w:val="en-US" w:eastAsia="en-US"/>
              </w:rPr>
            </w:pPr>
          </w:p>
        </w:tc>
        <w:tc>
          <w:tcPr>
            <w:tcW w:w="1858" w:type="dxa"/>
            <w:gridSpan w:val="2"/>
            <w:shd w:val="clear" w:color="auto" w:fill="auto"/>
            <w:vAlign w:val="top"/>
          </w:tcPr>
          <w:p w14:paraId="33B46E11">
            <w:pPr>
              <w:pStyle w:val="26"/>
              <w:bidi w:val="0"/>
              <w:rPr>
                <w:rFonts w:hint="eastAsia"/>
                <w:lang w:val="en-US" w:eastAsia="en-US"/>
              </w:rPr>
            </w:pPr>
            <w:r>
              <w:rPr>
                <w:rFonts w:hint="eastAsia"/>
                <w:lang w:val="en-US" w:eastAsia="zh-CN"/>
              </w:rPr>
              <w:t>1,2-二氯丙烷</w:t>
            </w:r>
          </w:p>
        </w:tc>
        <w:tc>
          <w:tcPr>
            <w:tcW w:w="2541" w:type="dxa"/>
            <w:gridSpan w:val="3"/>
            <w:shd w:val="clear" w:color="auto" w:fill="auto"/>
            <w:vAlign w:val="top"/>
          </w:tcPr>
          <w:p w14:paraId="025B7D6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806F5F6">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ED6E8B6">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B21181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DD6C1A8">
            <w:pPr>
              <w:pStyle w:val="26"/>
              <w:bidi w:val="0"/>
              <w:rPr>
                <w:rFonts w:hint="eastAsia"/>
                <w:lang w:val="en-US" w:eastAsia="zh-CN"/>
              </w:rPr>
            </w:pPr>
            <w:r>
              <w:rPr>
                <w:rFonts w:hint="eastAsia"/>
                <w:lang w:val="en-US" w:eastAsia="zh-CN"/>
              </w:rPr>
              <w:t>5</w:t>
            </w:r>
          </w:p>
        </w:tc>
      </w:tr>
      <w:tr w14:paraId="16B8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66A11784">
            <w:pPr>
              <w:pStyle w:val="26"/>
              <w:bidi w:val="0"/>
              <w:rPr>
                <w:lang w:val="en-US" w:eastAsia="en-US"/>
              </w:rPr>
            </w:pPr>
          </w:p>
        </w:tc>
        <w:tc>
          <w:tcPr>
            <w:tcW w:w="1858" w:type="dxa"/>
            <w:gridSpan w:val="2"/>
            <w:shd w:val="clear" w:color="auto" w:fill="auto"/>
            <w:vAlign w:val="top"/>
          </w:tcPr>
          <w:p w14:paraId="57CCF084">
            <w:pPr>
              <w:pStyle w:val="26"/>
              <w:bidi w:val="0"/>
              <w:rPr>
                <w:rFonts w:hint="eastAsia"/>
                <w:lang w:val="en-US" w:eastAsia="en-US"/>
              </w:rPr>
            </w:pPr>
            <w:r>
              <w:rPr>
                <w:rFonts w:hint="eastAsia"/>
                <w:lang w:val="en-US" w:eastAsia="zh-CN"/>
              </w:rPr>
              <w:t>三氯乙烯</w:t>
            </w:r>
          </w:p>
        </w:tc>
        <w:tc>
          <w:tcPr>
            <w:tcW w:w="2541" w:type="dxa"/>
            <w:gridSpan w:val="3"/>
            <w:shd w:val="clear" w:color="auto" w:fill="auto"/>
            <w:vAlign w:val="top"/>
          </w:tcPr>
          <w:p w14:paraId="794EE411">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4A6091B2">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2C1166C">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30DF00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ECC23D0">
            <w:pPr>
              <w:pStyle w:val="26"/>
              <w:bidi w:val="0"/>
              <w:rPr>
                <w:rFonts w:hint="eastAsia"/>
                <w:lang w:val="en-US" w:eastAsia="zh-CN"/>
              </w:rPr>
            </w:pPr>
            <w:r>
              <w:rPr>
                <w:rFonts w:hint="eastAsia"/>
                <w:lang w:val="en-US" w:eastAsia="zh-CN"/>
              </w:rPr>
              <w:t>2.8</w:t>
            </w:r>
          </w:p>
        </w:tc>
      </w:tr>
      <w:tr w14:paraId="19D0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7B3ED7A">
            <w:pPr>
              <w:pStyle w:val="26"/>
              <w:bidi w:val="0"/>
              <w:rPr>
                <w:lang w:val="en-US" w:eastAsia="en-US"/>
              </w:rPr>
            </w:pPr>
          </w:p>
        </w:tc>
        <w:tc>
          <w:tcPr>
            <w:tcW w:w="1858" w:type="dxa"/>
            <w:gridSpan w:val="2"/>
            <w:shd w:val="clear" w:color="auto" w:fill="auto"/>
            <w:vAlign w:val="top"/>
          </w:tcPr>
          <w:p w14:paraId="25786866">
            <w:pPr>
              <w:pStyle w:val="26"/>
              <w:bidi w:val="0"/>
              <w:rPr>
                <w:rFonts w:hint="eastAsia"/>
                <w:lang w:val="en-US" w:eastAsia="en-US"/>
              </w:rPr>
            </w:pPr>
            <w:r>
              <w:rPr>
                <w:rFonts w:hint="eastAsia"/>
                <w:lang w:val="en-US" w:eastAsia="zh-CN"/>
              </w:rPr>
              <w:t>1, 1,2-三氯乙烷</w:t>
            </w:r>
          </w:p>
        </w:tc>
        <w:tc>
          <w:tcPr>
            <w:tcW w:w="2541" w:type="dxa"/>
            <w:gridSpan w:val="3"/>
            <w:shd w:val="clear" w:color="auto" w:fill="auto"/>
            <w:vAlign w:val="top"/>
          </w:tcPr>
          <w:p w14:paraId="41DDC163">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28206249">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2E0C2A9F">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E3B437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A86FDFB">
            <w:pPr>
              <w:pStyle w:val="26"/>
              <w:bidi w:val="0"/>
              <w:rPr>
                <w:rFonts w:hint="eastAsia"/>
                <w:lang w:val="en-US" w:eastAsia="zh-CN"/>
              </w:rPr>
            </w:pPr>
            <w:r>
              <w:rPr>
                <w:rFonts w:hint="eastAsia"/>
                <w:lang w:val="en-US" w:eastAsia="zh-CN"/>
              </w:rPr>
              <w:t>2.8</w:t>
            </w:r>
          </w:p>
        </w:tc>
      </w:tr>
      <w:tr w14:paraId="1856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89EB1A5">
            <w:pPr>
              <w:pStyle w:val="26"/>
              <w:bidi w:val="0"/>
              <w:rPr>
                <w:lang w:val="en-US" w:eastAsia="en-US"/>
              </w:rPr>
            </w:pPr>
          </w:p>
        </w:tc>
        <w:tc>
          <w:tcPr>
            <w:tcW w:w="1858" w:type="dxa"/>
            <w:gridSpan w:val="2"/>
            <w:shd w:val="clear" w:color="auto" w:fill="auto"/>
            <w:vAlign w:val="top"/>
          </w:tcPr>
          <w:p w14:paraId="71E527E7">
            <w:pPr>
              <w:pStyle w:val="26"/>
              <w:bidi w:val="0"/>
              <w:rPr>
                <w:rFonts w:hint="eastAsia"/>
                <w:lang w:val="en-US" w:eastAsia="en-US"/>
              </w:rPr>
            </w:pPr>
            <w:r>
              <w:rPr>
                <w:rFonts w:hint="eastAsia"/>
                <w:lang w:val="en-US" w:eastAsia="zh-CN"/>
              </w:rPr>
              <w:t>甲苯</w:t>
            </w:r>
          </w:p>
        </w:tc>
        <w:tc>
          <w:tcPr>
            <w:tcW w:w="2541" w:type="dxa"/>
            <w:gridSpan w:val="3"/>
            <w:shd w:val="clear" w:color="auto" w:fill="auto"/>
            <w:vAlign w:val="top"/>
          </w:tcPr>
          <w:p w14:paraId="4CDBA141">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08186F1F">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054460E">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31B5533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9B48680">
            <w:pPr>
              <w:pStyle w:val="26"/>
              <w:bidi w:val="0"/>
              <w:rPr>
                <w:rFonts w:hint="eastAsia"/>
                <w:lang w:val="en-US" w:eastAsia="zh-CN"/>
              </w:rPr>
            </w:pPr>
            <w:r>
              <w:rPr>
                <w:rFonts w:hint="eastAsia"/>
                <w:lang w:val="en-US" w:eastAsia="zh-CN"/>
              </w:rPr>
              <w:t>1200</w:t>
            </w:r>
          </w:p>
        </w:tc>
      </w:tr>
      <w:tr w14:paraId="1971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52183F01">
            <w:pPr>
              <w:pStyle w:val="26"/>
              <w:bidi w:val="0"/>
              <w:rPr>
                <w:lang w:val="en-US" w:eastAsia="en-US"/>
              </w:rPr>
            </w:pPr>
          </w:p>
        </w:tc>
        <w:tc>
          <w:tcPr>
            <w:tcW w:w="1858" w:type="dxa"/>
            <w:gridSpan w:val="2"/>
            <w:shd w:val="clear" w:color="auto" w:fill="auto"/>
            <w:vAlign w:val="top"/>
          </w:tcPr>
          <w:p w14:paraId="751A71B6">
            <w:pPr>
              <w:pStyle w:val="26"/>
              <w:bidi w:val="0"/>
              <w:rPr>
                <w:rFonts w:hint="eastAsia"/>
                <w:lang w:val="en-US" w:eastAsia="en-US"/>
              </w:rPr>
            </w:pPr>
            <w:r>
              <w:rPr>
                <w:rFonts w:hint="eastAsia"/>
                <w:lang w:val="en-US" w:eastAsia="zh-CN"/>
              </w:rPr>
              <w:t>四氯乙烯</w:t>
            </w:r>
          </w:p>
        </w:tc>
        <w:tc>
          <w:tcPr>
            <w:tcW w:w="2541" w:type="dxa"/>
            <w:gridSpan w:val="3"/>
            <w:shd w:val="clear" w:color="auto" w:fill="auto"/>
            <w:vAlign w:val="top"/>
          </w:tcPr>
          <w:p w14:paraId="3108DCE8">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02EA69DD">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278E7C08">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A15FB2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8170BC8">
            <w:pPr>
              <w:pStyle w:val="26"/>
              <w:bidi w:val="0"/>
              <w:rPr>
                <w:rFonts w:hint="eastAsia"/>
                <w:lang w:val="en-US" w:eastAsia="zh-CN"/>
              </w:rPr>
            </w:pPr>
            <w:r>
              <w:rPr>
                <w:rFonts w:hint="eastAsia"/>
                <w:lang w:val="en-US" w:eastAsia="zh-CN"/>
              </w:rPr>
              <w:t>53</w:t>
            </w:r>
          </w:p>
        </w:tc>
      </w:tr>
      <w:tr w14:paraId="6C82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555C5DC">
            <w:pPr>
              <w:pStyle w:val="26"/>
              <w:bidi w:val="0"/>
              <w:rPr>
                <w:lang w:val="en-US" w:eastAsia="en-US"/>
              </w:rPr>
            </w:pPr>
          </w:p>
        </w:tc>
        <w:tc>
          <w:tcPr>
            <w:tcW w:w="1858" w:type="dxa"/>
            <w:gridSpan w:val="2"/>
            <w:shd w:val="clear" w:color="auto" w:fill="auto"/>
            <w:vAlign w:val="top"/>
          </w:tcPr>
          <w:p w14:paraId="43C64BA8">
            <w:pPr>
              <w:pStyle w:val="26"/>
              <w:bidi w:val="0"/>
              <w:rPr>
                <w:rFonts w:hint="eastAsia"/>
                <w:lang w:val="en-US" w:eastAsia="en-US"/>
              </w:rPr>
            </w:pPr>
            <w:r>
              <w:rPr>
                <w:rFonts w:hint="eastAsia"/>
                <w:lang w:val="en-US" w:eastAsia="zh-CN"/>
              </w:rPr>
              <w:t>1, 1, 1,2-四氯乙烷</w:t>
            </w:r>
          </w:p>
        </w:tc>
        <w:tc>
          <w:tcPr>
            <w:tcW w:w="2541" w:type="dxa"/>
            <w:gridSpan w:val="3"/>
            <w:shd w:val="clear" w:color="auto" w:fill="auto"/>
            <w:vAlign w:val="top"/>
          </w:tcPr>
          <w:p w14:paraId="2DFC106C">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37D375A">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E766903">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8AD538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8CFCE08">
            <w:pPr>
              <w:pStyle w:val="26"/>
              <w:bidi w:val="0"/>
              <w:rPr>
                <w:rFonts w:hint="eastAsia"/>
                <w:lang w:val="en-US" w:eastAsia="zh-CN"/>
              </w:rPr>
            </w:pPr>
            <w:r>
              <w:rPr>
                <w:rFonts w:hint="eastAsia"/>
                <w:lang w:val="en-US" w:eastAsia="zh-CN"/>
              </w:rPr>
              <w:t>10</w:t>
            </w:r>
          </w:p>
        </w:tc>
      </w:tr>
      <w:tr w14:paraId="6A27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0B039D8">
            <w:pPr>
              <w:pStyle w:val="26"/>
              <w:bidi w:val="0"/>
              <w:rPr>
                <w:lang w:val="en-US" w:eastAsia="en-US"/>
              </w:rPr>
            </w:pPr>
          </w:p>
        </w:tc>
        <w:tc>
          <w:tcPr>
            <w:tcW w:w="1858" w:type="dxa"/>
            <w:gridSpan w:val="2"/>
            <w:shd w:val="clear" w:color="auto" w:fill="auto"/>
            <w:vAlign w:val="top"/>
          </w:tcPr>
          <w:p w14:paraId="54015505">
            <w:pPr>
              <w:pStyle w:val="26"/>
              <w:bidi w:val="0"/>
              <w:rPr>
                <w:rFonts w:hint="eastAsia"/>
                <w:lang w:val="en-US" w:eastAsia="en-US"/>
              </w:rPr>
            </w:pPr>
            <w:r>
              <w:rPr>
                <w:rFonts w:hint="eastAsia"/>
                <w:lang w:val="en-US" w:eastAsia="zh-CN"/>
              </w:rPr>
              <w:t>氯苯</w:t>
            </w:r>
          </w:p>
        </w:tc>
        <w:tc>
          <w:tcPr>
            <w:tcW w:w="2541" w:type="dxa"/>
            <w:gridSpan w:val="3"/>
            <w:shd w:val="clear" w:color="auto" w:fill="auto"/>
            <w:vAlign w:val="top"/>
          </w:tcPr>
          <w:p w14:paraId="4884B50D">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584A5C1">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32224B0C">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45595453">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F265039">
            <w:pPr>
              <w:pStyle w:val="26"/>
              <w:bidi w:val="0"/>
              <w:rPr>
                <w:rFonts w:hint="eastAsia"/>
                <w:lang w:val="en-US" w:eastAsia="zh-CN"/>
              </w:rPr>
            </w:pPr>
            <w:r>
              <w:rPr>
                <w:rFonts w:hint="eastAsia"/>
                <w:lang w:val="en-US" w:eastAsia="zh-CN"/>
              </w:rPr>
              <w:t>270</w:t>
            </w:r>
          </w:p>
        </w:tc>
      </w:tr>
      <w:tr w14:paraId="0DE6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6A6169DB">
            <w:pPr>
              <w:pStyle w:val="26"/>
              <w:bidi w:val="0"/>
              <w:rPr>
                <w:lang w:val="en-US" w:eastAsia="en-US"/>
              </w:rPr>
            </w:pPr>
          </w:p>
        </w:tc>
        <w:tc>
          <w:tcPr>
            <w:tcW w:w="1858" w:type="dxa"/>
            <w:gridSpan w:val="2"/>
            <w:shd w:val="clear" w:color="auto" w:fill="auto"/>
            <w:vAlign w:val="top"/>
          </w:tcPr>
          <w:p w14:paraId="2B8E21C0">
            <w:pPr>
              <w:pStyle w:val="26"/>
              <w:bidi w:val="0"/>
              <w:rPr>
                <w:rFonts w:hint="eastAsia"/>
                <w:lang w:val="en-US" w:eastAsia="en-US"/>
              </w:rPr>
            </w:pPr>
            <w:r>
              <w:rPr>
                <w:rFonts w:hint="eastAsia"/>
                <w:lang w:val="en-US" w:eastAsia="zh-CN"/>
              </w:rPr>
              <w:t>乙苯</w:t>
            </w:r>
          </w:p>
        </w:tc>
        <w:tc>
          <w:tcPr>
            <w:tcW w:w="2541" w:type="dxa"/>
            <w:gridSpan w:val="3"/>
            <w:shd w:val="clear" w:color="auto" w:fill="auto"/>
            <w:vAlign w:val="top"/>
          </w:tcPr>
          <w:p w14:paraId="4E94750E">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253BD83">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5670DFDC">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D5388E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4828D06">
            <w:pPr>
              <w:pStyle w:val="26"/>
              <w:bidi w:val="0"/>
              <w:rPr>
                <w:rFonts w:hint="eastAsia"/>
                <w:lang w:val="en-US" w:eastAsia="zh-CN"/>
              </w:rPr>
            </w:pPr>
            <w:r>
              <w:rPr>
                <w:rFonts w:hint="eastAsia"/>
                <w:lang w:val="en-US" w:eastAsia="zh-CN"/>
              </w:rPr>
              <w:t>28</w:t>
            </w:r>
          </w:p>
        </w:tc>
      </w:tr>
      <w:tr w14:paraId="13C5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AE168E5">
            <w:pPr>
              <w:pStyle w:val="26"/>
              <w:bidi w:val="0"/>
              <w:rPr>
                <w:lang w:val="en-US" w:eastAsia="en-US"/>
              </w:rPr>
            </w:pPr>
          </w:p>
        </w:tc>
        <w:tc>
          <w:tcPr>
            <w:tcW w:w="1858" w:type="dxa"/>
            <w:gridSpan w:val="2"/>
            <w:shd w:val="clear" w:color="auto" w:fill="auto"/>
            <w:vAlign w:val="top"/>
          </w:tcPr>
          <w:p w14:paraId="5BE9D013">
            <w:pPr>
              <w:pStyle w:val="26"/>
              <w:bidi w:val="0"/>
              <w:rPr>
                <w:rFonts w:hint="eastAsia"/>
                <w:lang w:val="en-US" w:eastAsia="en-US"/>
              </w:rPr>
            </w:pPr>
            <w:r>
              <w:rPr>
                <w:rFonts w:hint="eastAsia"/>
                <w:lang w:val="en-US" w:eastAsia="zh-CN"/>
              </w:rPr>
              <w:t>对/间二甲苯</w:t>
            </w:r>
          </w:p>
        </w:tc>
        <w:tc>
          <w:tcPr>
            <w:tcW w:w="2541" w:type="dxa"/>
            <w:gridSpan w:val="3"/>
            <w:shd w:val="clear" w:color="auto" w:fill="auto"/>
            <w:vAlign w:val="top"/>
          </w:tcPr>
          <w:p w14:paraId="10262AFE">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32E73EED">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8C29BF4">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6F9EB5F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29201E7">
            <w:pPr>
              <w:pStyle w:val="26"/>
              <w:bidi w:val="0"/>
              <w:rPr>
                <w:rFonts w:hint="eastAsia"/>
                <w:lang w:val="en-US" w:eastAsia="zh-CN"/>
              </w:rPr>
            </w:pPr>
            <w:r>
              <w:rPr>
                <w:rFonts w:hint="eastAsia"/>
                <w:lang w:val="en-US" w:eastAsia="zh-CN"/>
              </w:rPr>
              <w:t>570</w:t>
            </w:r>
          </w:p>
        </w:tc>
      </w:tr>
      <w:tr w14:paraId="76F2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63B3BC24">
            <w:pPr>
              <w:pStyle w:val="26"/>
              <w:bidi w:val="0"/>
              <w:rPr>
                <w:lang w:val="en-US" w:eastAsia="en-US"/>
              </w:rPr>
            </w:pPr>
          </w:p>
        </w:tc>
        <w:tc>
          <w:tcPr>
            <w:tcW w:w="1858" w:type="dxa"/>
            <w:gridSpan w:val="2"/>
            <w:shd w:val="clear" w:color="auto" w:fill="auto"/>
            <w:vAlign w:val="top"/>
          </w:tcPr>
          <w:p w14:paraId="29CD257C">
            <w:pPr>
              <w:pStyle w:val="26"/>
              <w:bidi w:val="0"/>
              <w:rPr>
                <w:rFonts w:hint="eastAsia"/>
                <w:lang w:val="en-US" w:eastAsia="en-US"/>
              </w:rPr>
            </w:pPr>
            <w:r>
              <w:rPr>
                <w:rFonts w:hint="eastAsia"/>
                <w:lang w:val="en-US" w:eastAsia="zh-CN"/>
              </w:rPr>
              <w:t>苯乙烯</w:t>
            </w:r>
          </w:p>
        </w:tc>
        <w:tc>
          <w:tcPr>
            <w:tcW w:w="2541" w:type="dxa"/>
            <w:gridSpan w:val="3"/>
            <w:shd w:val="clear" w:color="auto" w:fill="auto"/>
            <w:vAlign w:val="top"/>
          </w:tcPr>
          <w:p w14:paraId="3C6C3A20">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128CF33">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6A594EE3">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D8C13A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995C667">
            <w:pPr>
              <w:pStyle w:val="26"/>
              <w:bidi w:val="0"/>
              <w:rPr>
                <w:rFonts w:hint="eastAsia"/>
                <w:lang w:val="en-US" w:eastAsia="zh-CN"/>
              </w:rPr>
            </w:pPr>
            <w:r>
              <w:rPr>
                <w:rFonts w:hint="eastAsia"/>
                <w:lang w:val="en-US" w:eastAsia="zh-CN"/>
              </w:rPr>
              <w:t>1290</w:t>
            </w:r>
          </w:p>
        </w:tc>
      </w:tr>
      <w:tr w14:paraId="62F2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D7CCD6A">
            <w:pPr>
              <w:pStyle w:val="26"/>
              <w:bidi w:val="0"/>
              <w:rPr>
                <w:lang w:val="en-US" w:eastAsia="en-US"/>
              </w:rPr>
            </w:pPr>
          </w:p>
        </w:tc>
        <w:tc>
          <w:tcPr>
            <w:tcW w:w="1858" w:type="dxa"/>
            <w:gridSpan w:val="2"/>
            <w:shd w:val="clear" w:color="auto" w:fill="auto"/>
            <w:vAlign w:val="top"/>
          </w:tcPr>
          <w:p w14:paraId="3E07F588">
            <w:pPr>
              <w:pStyle w:val="26"/>
              <w:bidi w:val="0"/>
              <w:rPr>
                <w:rFonts w:hint="eastAsia"/>
                <w:lang w:val="en-US" w:eastAsia="en-US"/>
              </w:rPr>
            </w:pPr>
            <w:r>
              <w:rPr>
                <w:rFonts w:hint="eastAsia"/>
                <w:lang w:val="en-US" w:eastAsia="zh-CN"/>
              </w:rPr>
              <w:t>1, 1,2,2-四氯乙烷</w:t>
            </w:r>
          </w:p>
        </w:tc>
        <w:tc>
          <w:tcPr>
            <w:tcW w:w="2541" w:type="dxa"/>
            <w:gridSpan w:val="3"/>
            <w:shd w:val="clear" w:color="auto" w:fill="auto"/>
            <w:vAlign w:val="top"/>
          </w:tcPr>
          <w:p w14:paraId="06FBD56D">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70198F4D">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33DCE830">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51666CE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3CF196C">
            <w:pPr>
              <w:pStyle w:val="26"/>
              <w:bidi w:val="0"/>
              <w:rPr>
                <w:rFonts w:hint="eastAsia"/>
                <w:lang w:val="en-US" w:eastAsia="zh-CN"/>
              </w:rPr>
            </w:pPr>
            <w:r>
              <w:rPr>
                <w:rFonts w:hint="eastAsia"/>
                <w:lang w:val="en-US" w:eastAsia="zh-CN"/>
              </w:rPr>
              <w:t>6.8</w:t>
            </w:r>
          </w:p>
        </w:tc>
      </w:tr>
      <w:tr w14:paraId="46CB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5269F0C9">
            <w:pPr>
              <w:pStyle w:val="26"/>
              <w:bidi w:val="0"/>
              <w:rPr>
                <w:lang w:val="en-US" w:eastAsia="en-US"/>
              </w:rPr>
            </w:pPr>
          </w:p>
        </w:tc>
        <w:tc>
          <w:tcPr>
            <w:tcW w:w="1858" w:type="dxa"/>
            <w:gridSpan w:val="2"/>
            <w:shd w:val="clear" w:color="auto" w:fill="auto"/>
            <w:vAlign w:val="top"/>
          </w:tcPr>
          <w:p w14:paraId="3BD7E568">
            <w:pPr>
              <w:pStyle w:val="26"/>
              <w:bidi w:val="0"/>
              <w:rPr>
                <w:rFonts w:hint="eastAsia"/>
                <w:lang w:val="en-US" w:eastAsia="en-US"/>
              </w:rPr>
            </w:pPr>
            <w:r>
              <w:rPr>
                <w:rFonts w:hint="eastAsia"/>
                <w:lang w:val="en-US" w:eastAsia="zh-CN"/>
              </w:rPr>
              <w:t>邻二甲苯</w:t>
            </w:r>
          </w:p>
        </w:tc>
        <w:tc>
          <w:tcPr>
            <w:tcW w:w="2541" w:type="dxa"/>
            <w:gridSpan w:val="3"/>
            <w:shd w:val="clear" w:color="auto" w:fill="auto"/>
            <w:vAlign w:val="top"/>
          </w:tcPr>
          <w:p w14:paraId="10E1448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8906E36">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F6B3673">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012411C3">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57F7749">
            <w:pPr>
              <w:pStyle w:val="26"/>
              <w:bidi w:val="0"/>
              <w:rPr>
                <w:rFonts w:hint="eastAsia"/>
                <w:lang w:val="en-US" w:eastAsia="zh-CN"/>
              </w:rPr>
            </w:pPr>
            <w:r>
              <w:rPr>
                <w:rFonts w:hint="eastAsia"/>
                <w:lang w:val="en-US" w:eastAsia="zh-CN"/>
              </w:rPr>
              <w:t>640</w:t>
            </w:r>
          </w:p>
        </w:tc>
      </w:tr>
      <w:tr w14:paraId="535E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6E8375C7">
            <w:pPr>
              <w:pStyle w:val="26"/>
              <w:bidi w:val="0"/>
              <w:rPr>
                <w:lang w:val="en-US" w:eastAsia="en-US"/>
              </w:rPr>
            </w:pPr>
          </w:p>
        </w:tc>
        <w:tc>
          <w:tcPr>
            <w:tcW w:w="1858" w:type="dxa"/>
            <w:gridSpan w:val="2"/>
            <w:shd w:val="clear" w:color="auto" w:fill="auto"/>
            <w:vAlign w:val="top"/>
          </w:tcPr>
          <w:p w14:paraId="4DD3888B">
            <w:pPr>
              <w:pStyle w:val="26"/>
              <w:bidi w:val="0"/>
              <w:rPr>
                <w:rFonts w:hint="eastAsia"/>
                <w:lang w:val="en-US" w:eastAsia="en-US"/>
              </w:rPr>
            </w:pPr>
            <w:r>
              <w:rPr>
                <w:rFonts w:hint="eastAsia"/>
                <w:lang w:val="en-US" w:eastAsia="zh-CN"/>
              </w:rPr>
              <w:t>1,2,3-三氯丙烷</w:t>
            </w:r>
          </w:p>
        </w:tc>
        <w:tc>
          <w:tcPr>
            <w:tcW w:w="2541" w:type="dxa"/>
            <w:gridSpan w:val="3"/>
            <w:shd w:val="clear" w:color="auto" w:fill="auto"/>
            <w:vAlign w:val="top"/>
          </w:tcPr>
          <w:p w14:paraId="033AB239">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586B5BB2">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4D7DDEE7">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25E00607">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3A8C6D7">
            <w:pPr>
              <w:pStyle w:val="26"/>
              <w:bidi w:val="0"/>
              <w:rPr>
                <w:rFonts w:hint="eastAsia"/>
                <w:lang w:val="en-US" w:eastAsia="zh-CN"/>
              </w:rPr>
            </w:pPr>
            <w:r>
              <w:rPr>
                <w:rFonts w:hint="eastAsia"/>
                <w:lang w:val="en-US" w:eastAsia="zh-CN"/>
              </w:rPr>
              <w:t>0.5</w:t>
            </w:r>
          </w:p>
        </w:tc>
      </w:tr>
      <w:tr w14:paraId="4AE5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DA63246">
            <w:pPr>
              <w:pStyle w:val="26"/>
              <w:bidi w:val="0"/>
              <w:rPr>
                <w:lang w:val="en-US" w:eastAsia="en-US"/>
              </w:rPr>
            </w:pPr>
          </w:p>
        </w:tc>
        <w:tc>
          <w:tcPr>
            <w:tcW w:w="1858" w:type="dxa"/>
            <w:gridSpan w:val="2"/>
            <w:shd w:val="clear" w:color="auto" w:fill="auto"/>
            <w:vAlign w:val="top"/>
          </w:tcPr>
          <w:p w14:paraId="32318A2A">
            <w:pPr>
              <w:pStyle w:val="26"/>
              <w:bidi w:val="0"/>
              <w:rPr>
                <w:rFonts w:hint="eastAsia"/>
                <w:lang w:val="en-US" w:eastAsia="en-US"/>
              </w:rPr>
            </w:pPr>
            <w:r>
              <w:rPr>
                <w:rFonts w:hint="eastAsia"/>
                <w:lang w:val="en-US" w:eastAsia="zh-CN"/>
              </w:rPr>
              <w:t>1,4-二氯苯</w:t>
            </w:r>
          </w:p>
        </w:tc>
        <w:tc>
          <w:tcPr>
            <w:tcW w:w="2541" w:type="dxa"/>
            <w:gridSpan w:val="3"/>
            <w:shd w:val="clear" w:color="auto" w:fill="auto"/>
            <w:vAlign w:val="top"/>
          </w:tcPr>
          <w:p w14:paraId="1208C15D">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6D28F11C">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FFC3CE2">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09DA2D5B">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ED62046">
            <w:pPr>
              <w:pStyle w:val="26"/>
              <w:bidi w:val="0"/>
              <w:rPr>
                <w:rFonts w:hint="eastAsia"/>
                <w:lang w:val="en-US" w:eastAsia="zh-CN"/>
              </w:rPr>
            </w:pPr>
            <w:r>
              <w:rPr>
                <w:rFonts w:hint="eastAsia"/>
                <w:lang w:val="en-US" w:eastAsia="zh-CN"/>
              </w:rPr>
              <w:t>20</w:t>
            </w:r>
          </w:p>
        </w:tc>
      </w:tr>
      <w:tr w14:paraId="6F3D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059BD5CE">
            <w:pPr>
              <w:pStyle w:val="26"/>
              <w:bidi w:val="0"/>
              <w:rPr>
                <w:lang w:val="en-US" w:eastAsia="en-US"/>
              </w:rPr>
            </w:pPr>
          </w:p>
        </w:tc>
        <w:tc>
          <w:tcPr>
            <w:tcW w:w="1858" w:type="dxa"/>
            <w:gridSpan w:val="2"/>
            <w:shd w:val="clear" w:color="auto" w:fill="auto"/>
            <w:vAlign w:val="top"/>
          </w:tcPr>
          <w:p w14:paraId="3E44A218">
            <w:pPr>
              <w:pStyle w:val="26"/>
              <w:bidi w:val="0"/>
              <w:rPr>
                <w:rFonts w:hint="eastAsia"/>
                <w:lang w:val="en-US" w:eastAsia="en-US"/>
              </w:rPr>
            </w:pPr>
            <w:r>
              <w:rPr>
                <w:rFonts w:hint="eastAsia"/>
                <w:lang w:val="en-US" w:eastAsia="zh-CN"/>
              </w:rPr>
              <w:t>1,2-二氯苯</w:t>
            </w:r>
          </w:p>
        </w:tc>
        <w:tc>
          <w:tcPr>
            <w:tcW w:w="2541" w:type="dxa"/>
            <w:gridSpan w:val="3"/>
            <w:shd w:val="clear" w:color="auto" w:fill="auto"/>
            <w:vAlign w:val="top"/>
          </w:tcPr>
          <w:p w14:paraId="34A38A8F">
            <w:pPr>
              <w:pStyle w:val="26"/>
              <w:bidi w:val="0"/>
              <w:rPr>
                <w:rFonts w:hint="eastAsia"/>
                <w:lang w:val="en-US" w:eastAsia="zh-CN"/>
              </w:rPr>
            </w:pPr>
            <w:r>
              <w:rPr>
                <w:rFonts w:hint="eastAsia"/>
                <w:lang w:val="en-US" w:eastAsia="zh-CN"/>
              </w:rPr>
              <w:t>ND</w:t>
            </w:r>
          </w:p>
        </w:tc>
        <w:tc>
          <w:tcPr>
            <w:tcW w:w="2387" w:type="dxa"/>
            <w:gridSpan w:val="3"/>
            <w:shd w:val="clear" w:color="auto" w:fill="auto"/>
            <w:vAlign w:val="top"/>
          </w:tcPr>
          <w:p w14:paraId="330F1F0D">
            <w:pPr>
              <w:pStyle w:val="26"/>
              <w:bidi w:val="0"/>
              <w:rPr>
                <w:rFonts w:hint="eastAsia"/>
                <w:lang w:val="en-US" w:eastAsia="zh-CN"/>
              </w:rPr>
            </w:pPr>
            <w:r>
              <w:rPr>
                <w:rFonts w:hint="eastAsia"/>
                <w:lang w:val="en-US" w:eastAsia="zh-CN"/>
              </w:rPr>
              <w:t>ND</w:t>
            </w:r>
          </w:p>
        </w:tc>
        <w:tc>
          <w:tcPr>
            <w:tcW w:w="2270" w:type="dxa"/>
            <w:gridSpan w:val="3"/>
            <w:shd w:val="clear" w:color="auto" w:fill="auto"/>
            <w:vAlign w:val="top"/>
          </w:tcPr>
          <w:p w14:paraId="1E3B50CD">
            <w:pPr>
              <w:pStyle w:val="26"/>
              <w:bidi w:val="0"/>
              <w:rPr>
                <w:rFonts w:hint="eastAsia"/>
                <w:lang w:val="en-US" w:eastAsia="zh-CN"/>
              </w:rPr>
            </w:pPr>
            <w:r>
              <w:rPr>
                <w:rFonts w:hint="eastAsia"/>
                <w:lang w:val="en-US" w:eastAsia="zh-CN"/>
              </w:rPr>
              <w:t>ND</w:t>
            </w:r>
          </w:p>
        </w:tc>
        <w:tc>
          <w:tcPr>
            <w:tcW w:w="2184" w:type="dxa"/>
            <w:gridSpan w:val="3"/>
            <w:shd w:val="clear" w:color="auto" w:fill="auto"/>
            <w:vAlign w:val="top"/>
          </w:tcPr>
          <w:p w14:paraId="1272A6E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5081745">
            <w:pPr>
              <w:pStyle w:val="26"/>
              <w:bidi w:val="0"/>
              <w:rPr>
                <w:rFonts w:hint="eastAsia"/>
                <w:lang w:val="en-US" w:eastAsia="zh-CN"/>
              </w:rPr>
            </w:pPr>
            <w:r>
              <w:rPr>
                <w:rFonts w:hint="eastAsia"/>
                <w:lang w:val="en-US" w:eastAsia="zh-CN"/>
              </w:rPr>
              <w:t>560</w:t>
            </w:r>
          </w:p>
        </w:tc>
      </w:tr>
      <w:tr w14:paraId="7951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vMerge w:val="restart"/>
            <w:tcBorders>
              <w:tl2br w:val="single" w:color="auto" w:sz="4" w:space="0"/>
            </w:tcBorders>
            <w:shd w:val="clear" w:color="auto" w:fill="auto"/>
            <w:vAlign w:val="center"/>
          </w:tcPr>
          <w:p w14:paraId="18FCAB07">
            <w:pPr>
              <w:pStyle w:val="26"/>
              <w:bidi w:val="0"/>
              <w:jc w:val="right"/>
              <w:rPr>
                <w:rFonts w:hint="eastAsia"/>
                <w:lang w:val="en-US" w:eastAsia="zh-CN"/>
              </w:rPr>
            </w:pPr>
            <w:r>
              <w:rPr>
                <w:rFonts w:hint="eastAsia"/>
                <w:lang w:val="en-US" w:eastAsia="zh-CN"/>
              </w:rPr>
              <w:t>采样点位</w:t>
            </w:r>
          </w:p>
          <w:p w14:paraId="29D86C17">
            <w:pPr>
              <w:pStyle w:val="26"/>
              <w:bidi w:val="0"/>
              <w:jc w:val="both"/>
              <w:rPr>
                <w:rFonts w:hint="eastAsia"/>
                <w:lang w:val="en-US" w:eastAsia="zh-CN"/>
              </w:rPr>
            </w:pPr>
            <w:r>
              <w:rPr>
                <w:rFonts w:hint="eastAsia"/>
                <w:lang w:val="en-US" w:eastAsia="zh-CN"/>
              </w:rPr>
              <w:t>检测项目</w:t>
            </w:r>
          </w:p>
        </w:tc>
        <w:tc>
          <w:tcPr>
            <w:tcW w:w="4928" w:type="dxa"/>
            <w:gridSpan w:val="6"/>
            <w:shd w:val="clear" w:color="auto" w:fill="auto"/>
            <w:vAlign w:val="center"/>
          </w:tcPr>
          <w:p w14:paraId="6F22E2B0">
            <w:pPr>
              <w:pStyle w:val="26"/>
              <w:bidi w:val="0"/>
              <w:rPr>
                <w:rFonts w:hint="eastAsia"/>
                <w:lang w:val="en-US" w:eastAsia="zh-CN"/>
              </w:rPr>
            </w:pPr>
            <w:r>
              <w:rPr>
                <w:rFonts w:hint="eastAsia"/>
                <w:lang w:val="en-US" w:eastAsia="zh-CN"/>
              </w:rPr>
              <w:t>S2</w:t>
            </w:r>
          </w:p>
          <w:p w14:paraId="7F86A177">
            <w:pPr>
              <w:pStyle w:val="26"/>
              <w:bidi w:val="0"/>
              <w:rPr>
                <w:rFonts w:hint="eastAsia"/>
                <w:lang w:val="en-US" w:eastAsia="zh-CN"/>
              </w:rPr>
            </w:pPr>
            <w:r>
              <w:rPr>
                <w:rFonts w:hint="eastAsia"/>
                <w:lang w:val="en-US" w:eastAsia="zh-CN"/>
              </w:rPr>
              <w:t>E:121°06'26.67809"</w:t>
            </w:r>
          </w:p>
          <w:p w14:paraId="266CA50B">
            <w:pPr>
              <w:pStyle w:val="26"/>
              <w:bidi w:val="0"/>
              <w:rPr>
                <w:rFonts w:hint="eastAsia"/>
                <w:lang w:val="en-US" w:eastAsia="zh-CN"/>
              </w:rPr>
            </w:pPr>
            <w:r>
              <w:rPr>
                <w:rFonts w:hint="eastAsia"/>
                <w:lang w:val="en-US" w:eastAsia="zh-CN"/>
              </w:rPr>
              <w:t>N:31° 1841.83086"</w:t>
            </w:r>
          </w:p>
        </w:tc>
        <w:tc>
          <w:tcPr>
            <w:tcW w:w="4454" w:type="dxa"/>
            <w:gridSpan w:val="6"/>
            <w:shd w:val="clear" w:color="auto" w:fill="auto"/>
            <w:vAlign w:val="center"/>
          </w:tcPr>
          <w:p w14:paraId="12E8E3F1">
            <w:pPr>
              <w:pStyle w:val="26"/>
              <w:bidi w:val="0"/>
              <w:rPr>
                <w:rFonts w:hint="eastAsia"/>
                <w:lang w:val="en-US" w:eastAsia="zh-CN"/>
              </w:rPr>
            </w:pPr>
            <w:r>
              <w:rPr>
                <w:rFonts w:hint="eastAsia"/>
                <w:lang w:val="en-US" w:eastAsia="zh-CN"/>
              </w:rPr>
              <w:t>S3</w:t>
            </w:r>
          </w:p>
          <w:p w14:paraId="388FD2FF">
            <w:pPr>
              <w:pStyle w:val="26"/>
              <w:bidi w:val="0"/>
              <w:rPr>
                <w:rFonts w:hint="eastAsia"/>
                <w:lang w:val="en-US" w:eastAsia="zh-CN"/>
              </w:rPr>
            </w:pPr>
            <w:r>
              <w:rPr>
                <w:rFonts w:hint="eastAsia"/>
                <w:lang w:val="en-US" w:eastAsia="zh-CN"/>
              </w:rPr>
              <w:t>E:121°06'24.28978"</w:t>
            </w:r>
          </w:p>
          <w:p w14:paraId="320CD968">
            <w:pPr>
              <w:pStyle w:val="26"/>
              <w:bidi w:val="0"/>
              <w:rPr>
                <w:rFonts w:hint="eastAsia"/>
                <w:lang w:val="en-US" w:eastAsia="zh-CN"/>
              </w:rPr>
            </w:pPr>
            <w:r>
              <w:rPr>
                <w:rFonts w:hint="eastAsia"/>
                <w:lang w:val="en-US" w:eastAsia="zh-CN"/>
              </w:rPr>
              <w:t>N:31° 18'43.37115"</w:t>
            </w:r>
          </w:p>
        </w:tc>
        <w:tc>
          <w:tcPr>
            <w:tcW w:w="1259" w:type="dxa"/>
            <w:vMerge w:val="restart"/>
            <w:shd w:val="clear" w:color="auto" w:fill="auto"/>
            <w:vAlign w:val="center"/>
          </w:tcPr>
          <w:p w14:paraId="3C4338E4">
            <w:pPr>
              <w:pStyle w:val="26"/>
              <w:bidi w:val="0"/>
              <w:rPr>
                <w:rFonts w:hint="eastAsia"/>
                <w:lang w:val="en-US" w:eastAsia="zh-CN"/>
              </w:rPr>
            </w:pPr>
          </w:p>
          <w:p w14:paraId="44B7D77F">
            <w:pPr>
              <w:pStyle w:val="26"/>
              <w:bidi w:val="0"/>
              <w:rPr>
                <w:rFonts w:hint="eastAsia"/>
                <w:lang w:val="en-US" w:eastAsia="zh-CN"/>
              </w:rPr>
            </w:pPr>
            <w:r>
              <w:rPr>
                <w:rFonts w:hint="eastAsia"/>
                <w:lang w:val="en-US" w:eastAsia="zh-CN"/>
              </w:rPr>
              <w:t>参考限值(mg/kg)</w:t>
            </w:r>
          </w:p>
        </w:tc>
      </w:tr>
      <w:tr w14:paraId="29F6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3355" w:type="dxa"/>
            <w:gridSpan w:val="6"/>
            <w:vMerge w:val="continue"/>
            <w:shd w:val="clear" w:color="auto" w:fill="auto"/>
            <w:vAlign w:val="top"/>
          </w:tcPr>
          <w:p w14:paraId="7DFE7A93">
            <w:pPr>
              <w:pStyle w:val="26"/>
              <w:bidi w:val="0"/>
              <w:rPr>
                <w:rFonts w:hint="eastAsia"/>
                <w:lang w:val="en-US" w:eastAsia="zh-CN"/>
              </w:rPr>
            </w:pPr>
          </w:p>
        </w:tc>
        <w:tc>
          <w:tcPr>
            <w:tcW w:w="1825" w:type="dxa"/>
            <w:shd w:val="clear" w:color="auto" w:fill="auto"/>
            <w:vAlign w:val="top"/>
          </w:tcPr>
          <w:p w14:paraId="7E535D63">
            <w:pPr>
              <w:pStyle w:val="26"/>
              <w:bidi w:val="0"/>
              <w:rPr>
                <w:rFonts w:hint="eastAsia"/>
                <w:lang w:val="en-US" w:eastAsia="zh-CN"/>
              </w:rPr>
            </w:pPr>
            <w:r>
              <w:rPr>
                <w:rFonts w:hint="eastAsia"/>
                <w:lang w:val="en-US" w:eastAsia="zh-CN"/>
              </w:rPr>
              <w:t>0~0.5m</w:t>
            </w:r>
          </w:p>
        </w:tc>
        <w:tc>
          <w:tcPr>
            <w:tcW w:w="1574" w:type="dxa"/>
            <w:gridSpan w:val="3"/>
            <w:shd w:val="clear" w:color="auto" w:fill="auto"/>
            <w:vAlign w:val="top"/>
          </w:tcPr>
          <w:p w14:paraId="0A56BD40">
            <w:pPr>
              <w:pStyle w:val="26"/>
              <w:bidi w:val="0"/>
              <w:rPr>
                <w:rFonts w:hint="eastAsia"/>
                <w:lang w:val="en-US" w:eastAsia="zh-CN"/>
              </w:rPr>
            </w:pPr>
            <w:r>
              <w:rPr>
                <w:rFonts w:hint="eastAsia"/>
                <w:lang w:val="en-US" w:eastAsia="zh-CN"/>
              </w:rPr>
              <w:t>1.0～1.5m</w:t>
            </w:r>
          </w:p>
        </w:tc>
        <w:tc>
          <w:tcPr>
            <w:tcW w:w="1529" w:type="dxa"/>
            <w:gridSpan w:val="2"/>
            <w:shd w:val="clear" w:color="auto" w:fill="auto"/>
            <w:vAlign w:val="top"/>
          </w:tcPr>
          <w:p w14:paraId="16F137E7">
            <w:pPr>
              <w:pStyle w:val="26"/>
              <w:bidi w:val="0"/>
              <w:rPr>
                <w:rFonts w:hint="eastAsia"/>
                <w:lang w:val="en-US" w:eastAsia="zh-CN"/>
              </w:rPr>
            </w:pPr>
            <w:r>
              <w:rPr>
                <w:rFonts w:hint="eastAsia"/>
                <w:lang w:val="en-US" w:eastAsia="zh-CN"/>
              </w:rPr>
              <w:t>4.0～4.5m</w:t>
            </w:r>
          </w:p>
        </w:tc>
        <w:tc>
          <w:tcPr>
            <w:tcW w:w="1464" w:type="dxa"/>
            <w:gridSpan w:val="2"/>
            <w:shd w:val="clear" w:color="auto" w:fill="auto"/>
            <w:vAlign w:val="top"/>
          </w:tcPr>
          <w:p w14:paraId="091B2506">
            <w:pPr>
              <w:pStyle w:val="26"/>
              <w:bidi w:val="0"/>
              <w:rPr>
                <w:rFonts w:hint="eastAsia"/>
                <w:lang w:val="en-US" w:eastAsia="zh-CN"/>
              </w:rPr>
            </w:pPr>
            <w:r>
              <w:rPr>
                <w:rFonts w:hint="eastAsia"/>
                <w:lang w:val="en-US" w:eastAsia="zh-CN"/>
              </w:rPr>
              <w:t>0~0.5m</w:t>
            </w:r>
          </w:p>
        </w:tc>
        <w:tc>
          <w:tcPr>
            <w:tcW w:w="1460" w:type="dxa"/>
            <w:gridSpan w:val="3"/>
            <w:shd w:val="clear" w:color="auto" w:fill="auto"/>
            <w:vAlign w:val="top"/>
          </w:tcPr>
          <w:p w14:paraId="71DC9A1D">
            <w:pPr>
              <w:pStyle w:val="26"/>
              <w:bidi w:val="0"/>
              <w:rPr>
                <w:rFonts w:hint="eastAsia"/>
                <w:lang w:val="en-US" w:eastAsia="zh-CN"/>
              </w:rPr>
            </w:pPr>
            <w:r>
              <w:rPr>
                <w:rFonts w:hint="eastAsia"/>
                <w:lang w:val="en-US" w:eastAsia="zh-CN"/>
              </w:rPr>
              <w:t>1.0～1.5m</w:t>
            </w:r>
          </w:p>
        </w:tc>
        <w:tc>
          <w:tcPr>
            <w:tcW w:w="1530" w:type="dxa"/>
            <w:shd w:val="clear" w:color="auto" w:fill="auto"/>
            <w:vAlign w:val="top"/>
          </w:tcPr>
          <w:p w14:paraId="5F9D9096">
            <w:pPr>
              <w:pStyle w:val="26"/>
              <w:bidi w:val="0"/>
              <w:rPr>
                <w:rFonts w:hint="eastAsia"/>
                <w:lang w:val="en-US" w:eastAsia="zh-CN"/>
              </w:rPr>
            </w:pPr>
            <w:r>
              <w:rPr>
                <w:rFonts w:hint="eastAsia"/>
                <w:lang w:val="en-US" w:eastAsia="zh-CN"/>
              </w:rPr>
              <w:t>4.0～4.5m</w:t>
            </w:r>
          </w:p>
        </w:tc>
        <w:tc>
          <w:tcPr>
            <w:tcW w:w="1259" w:type="dxa"/>
            <w:vMerge w:val="continue"/>
            <w:shd w:val="clear" w:color="auto" w:fill="auto"/>
            <w:vAlign w:val="top"/>
          </w:tcPr>
          <w:p w14:paraId="612DBF0B">
            <w:pPr>
              <w:pStyle w:val="26"/>
              <w:bidi w:val="0"/>
            </w:pPr>
          </w:p>
        </w:tc>
      </w:tr>
      <w:tr w14:paraId="2EC1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355" w:type="dxa"/>
            <w:gridSpan w:val="6"/>
            <w:shd w:val="clear" w:color="auto" w:fill="auto"/>
            <w:vAlign w:val="top"/>
          </w:tcPr>
          <w:p w14:paraId="43BF1B13">
            <w:pPr>
              <w:pStyle w:val="26"/>
              <w:bidi w:val="0"/>
              <w:rPr>
                <w:rFonts w:hint="eastAsia"/>
                <w:lang w:val="en-US" w:eastAsia="zh-CN"/>
              </w:rPr>
            </w:pPr>
            <w:r>
              <w:rPr>
                <w:rFonts w:hint="eastAsia"/>
                <w:lang w:val="en-US" w:eastAsia="zh-CN"/>
              </w:rPr>
              <w:t>pH 值（无量纲）</w:t>
            </w:r>
          </w:p>
        </w:tc>
        <w:tc>
          <w:tcPr>
            <w:tcW w:w="1825" w:type="dxa"/>
            <w:shd w:val="clear" w:color="auto" w:fill="auto"/>
            <w:vAlign w:val="top"/>
          </w:tcPr>
          <w:p w14:paraId="1D6F4995">
            <w:pPr>
              <w:pStyle w:val="26"/>
              <w:bidi w:val="0"/>
              <w:rPr>
                <w:rFonts w:hint="eastAsia"/>
                <w:lang w:val="en-US" w:eastAsia="zh-CN"/>
              </w:rPr>
            </w:pPr>
            <w:r>
              <w:rPr>
                <w:rFonts w:hint="eastAsia"/>
                <w:lang w:val="en-US" w:eastAsia="zh-CN"/>
              </w:rPr>
              <w:t>8.37</w:t>
            </w:r>
          </w:p>
        </w:tc>
        <w:tc>
          <w:tcPr>
            <w:tcW w:w="1574" w:type="dxa"/>
            <w:gridSpan w:val="3"/>
            <w:shd w:val="clear" w:color="auto" w:fill="auto"/>
            <w:vAlign w:val="top"/>
          </w:tcPr>
          <w:p w14:paraId="4EED7761">
            <w:pPr>
              <w:pStyle w:val="26"/>
              <w:bidi w:val="0"/>
              <w:rPr>
                <w:rFonts w:hint="eastAsia"/>
                <w:lang w:val="en-US" w:eastAsia="zh-CN"/>
              </w:rPr>
            </w:pPr>
            <w:r>
              <w:rPr>
                <w:rFonts w:hint="eastAsia"/>
                <w:lang w:val="en-US" w:eastAsia="zh-CN"/>
              </w:rPr>
              <w:t>8.20</w:t>
            </w:r>
          </w:p>
        </w:tc>
        <w:tc>
          <w:tcPr>
            <w:tcW w:w="1529" w:type="dxa"/>
            <w:gridSpan w:val="2"/>
            <w:shd w:val="clear" w:color="auto" w:fill="auto"/>
            <w:vAlign w:val="top"/>
          </w:tcPr>
          <w:p w14:paraId="4C6B5CE8">
            <w:pPr>
              <w:pStyle w:val="26"/>
              <w:bidi w:val="0"/>
              <w:rPr>
                <w:rFonts w:hint="eastAsia"/>
                <w:lang w:val="en-US" w:eastAsia="zh-CN"/>
              </w:rPr>
            </w:pPr>
            <w:r>
              <w:rPr>
                <w:rFonts w:hint="eastAsia"/>
                <w:lang w:val="en-US" w:eastAsia="zh-CN"/>
              </w:rPr>
              <w:t>8.23</w:t>
            </w:r>
          </w:p>
        </w:tc>
        <w:tc>
          <w:tcPr>
            <w:tcW w:w="1464" w:type="dxa"/>
            <w:gridSpan w:val="2"/>
            <w:shd w:val="clear" w:color="auto" w:fill="auto"/>
            <w:vAlign w:val="top"/>
          </w:tcPr>
          <w:p w14:paraId="6A6BB36E">
            <w:pPr>
              <w:pStyle w:val="26"/>
              <w:bidi w:val="0"/>
              <w:rPr>
                <w:rFonts w:hint="eastAsia"/>
                <w:lang w:val="en-US" w:eastAsia="zh-CN"/>
              </w:rPr>
            </w:pPr>
            <w:r>
              <w:rPr>
                <w:rFonts w:hint="eastAsia"/>
                <w:lang w:val="en-US" w:eastAsia="zh-CN"/>
              </w:rPr>
              <w:t>8.76</w:t>
            </w:r>
          </w:p>
        </w:tc>
        <w:tc>
          <w:tcPr>
            <w:tcW w:w="1460" w:type="dxa"/>
            <w:gridSpan w:val="3"/>
            <w:shd w:val="clear" w:color="auto" w:fill="auto"/>
            <w:vAlign w:val="top"/>
          </w:tcPr>
          <w:p w14:paraId="78BDE238">
            <w:pPr>
              <w:pStyle w:val="26"/>
              <w:bidi w:val="0"/>
              <w:rPr>
                <w:rFonts w:hint="eastAsia"/>
                <w:lang w:val="en-US" w:eastAsia="zh-CN"/>
              </w:rPr>
            </w:pPr>
            <w:r>
              <w:rPr>
                <w:rFonts w:hint="eastAsia"/>
                <w:lang w:val="en-US" w:eastAsia="zh-CN"/>
              </w:rPr>
              <w:t>8.45</w:t>
            </w:r>
          </w:p>
        </w:tc>
        <w:tc>
          <w:tcPr>
            <w:tcW w:w="1530" w:type="dxa"/>
            <w:shd w:val="clear" w:color="auto" w:fill="auto"/>
            <w:vAlign w:val="top"/>
          </w:tcPr>
          <w:p w14:paraId="066F3B35">
            <w:pPr>
              <w:pStyle w:val="26"/>
              <w:bidi w:val="0"/>
              <w:rPr>
                <w:rFonts w:hint="eastAsia"/>
                <w:lang w:val="en-US" w:eastAsia="zh-CN"/>
              </w:rPr>
            </w:pPr>
            <w:r>
              <w:rPr>
                <w:rFonts w:hint="eastAsia"/>
                <w:lang w:val="en-US" w:eastAsia="zh-CN"/>
              </w:rPr>
              <w:t>7.55</w:t>
            </w:r>
          </w:p>
        </w:tc>
        <w:tc>
          <w:tcPr>
            <w:tcW w:w="1259" w:type="dxa"/>
            <w:shd w:val="clear" w:color="auto" w:fill="auto"/>
            <w:vAlign w:val="top"/>
          </w:tcPr>
          <w:p w14:paraId="05228822">
            <w:pPr>
              <w:pStyle w:val="26"/>
              <w:bidi w:val="0"/>
              <w:rPr>
                <w:rFonts w:hint="eastAsia"/>
                <w:lang w:val="en-US" w:eastAsia="zh-CN"/>
              </w:rPr>
            </w:pPr>
            <w:r>
              <w:rPr>
                <w:rFonts w:hint="eastAsia"/>
                <w:lang w:val="en-US" w:eastAsia="zh-CN"/>
              </w:rPr>
              <w:t>/</w:t>
            </w:r>
          </w:p>
        </w:tc>
      </w:tr>
      <w:tr w14:paraId="22E2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156BEDAE">
            <w:pPr>
              <w:pStyle w:val="26"/>
              <w:bidi w:val="0"/>
              <w:rPr>
                <w:rFonts w:hint="eastAsia"/>
                <w:lang w:val="en-US" w:eastAsia="zh-CN"/>
              </w:rPr>
            </w:pPr>
            <w:r>
              <w:rPr>
                <w:rFonts w:hint="eastAsia"/>
                <w:lang w:val="en-US" w:eastAsia="zh-CN"/>
              </w:rPr>
              <w:t>六价铬（mg/kg)</w:t>
            </w:r>
          </w:p>
        </w:tc>
        <w:tc>
          <w:tcPr>
            <w:tcW w:w="1825" w:type="dxa"/>
            <w:shd w:val="clear" w:color="auto" w:fill="auto"/>
            <w:vAlign w:val="top"/>
          </w:tcPr>
          <w:p w14:paraId="08578B02">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58262511">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73E23ABC">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1E9835B">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F9209DB">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5347FF0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0A68374">
            <w:pPr>
              <w:pStyle w:val="26"/>
              <w:bidi w:val="0"/>
              <w:rPr>
                <w:rFonts w:hint="eastAsia"/>
                <w:lang w:val="en-US" w:eastAsia="zh-CN"/>
              </w:rPr>
            </w:pPr>
            <w:r>
              <w:rPr>
                <w:rFonts w:hint="eastAsia"/>
                <w:lang w:val="en-US" w:eastAsia="zh-CN"/>
              </w:rPr>
              <w:t>5.7</w:t>
            </w:r>
          </w:p>
        </w:tc>
      </w:tr>
      <w:tr w14:paraId="2134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5" w:type="dxa"/>
            <w:gridSpan w:val="6"/>
            <w:shd w:val="clear" w:color="auto" w:fill="auto"/>
            <w:vAlign w:val="top"/>
          </w:tcPr>
          <w:p w14:paraId="1A890B4A">
            <w:pPr>
              <w:pStyle w:val="26"/>
              <w:bidi w:val="0"/>
              <w:rPr>
                <w:rFonts w:hint="eastAsia"/>
                <w:lang w:val="en-US" w:eastAsia="zh-CN"/>
              </w:rPr>
            </w:pPr>
            <w:r>
              <w:rPr>
                <w:rFonts w:hint="eastAsia"/>
                <w:lang w:val="en-US" w:eastAsia="zh-CN"/>
              </w:rPr>
              <w:t>铜（mg/kg)</w:t>
            </w:r>
          </w:p>
        </w:tc>
        <w:tc>
          <w:tcPr>
            <w:tcW w:w="1825" w:type="dxa"/>
            <w:shd w:val="clear" w:color="auto" w:fill="auto"/>
            <w:vAlign w:val="top"/>
          </w:tcPr>
          <w:p w14:paraId="69EDAF80">
            <w:pPr>
              <w:pStyle w:val="26"/>
              <w:bidi w:val="0"/>
              <w:rPr>
                <w:rFonts w:hint="eastAsia"/>
                <w:lang w:val="en-US" w:eastAsia="zh-CN"/>
              </w:rPr>
            </w:pPr>
            <w:r>
              <w:rPr>
                <w:rFonts w:hint="eastAsia"/>
                <w:lang w:val="en-US" w:eastAsia="zh-CN"/>
              </w:rPr>
              <w:t>31</w:t>
            </w:r>
          </w:p>
        </w:tc>
        <w:tc>
          <w:tcPr>
            <w:tcW w:w="1574" w:type="dxa"/>
            <w:gridSpan w:val="3"/>
            <w:shd w:val="clear" w:color="auto" w:fill="auto"/>
            <w:vAlign w:val="top"/>
          </w:tcPr>
          <w:p w14:paraId="746463DB">
            <w:pPr>
              <w:pStyle w:val="26"/>
              <w:bidi w:val="0"/>
              <w:rPr>
                <w:rFonts w:hint="eastAsia"/>
                <w:lang w:val="en-US" w:eastAsia="zh-CN"/>
              </w:rPr>
            </w:pPr>
            <w:r>
              <w:rPr>
                <w:rFonts w:hint="eastAsia"/>
                <w:lang w:val="en-US" w:eastAsia="zh-CN"/>
              </w:rPr>
              <w:t>27</w:t>
            </w:r>
          </w:p>
        </w:tc>
        <w:tc>
          <w:tcPr>
            <w:tcW w:w="1529" w:type="dxa"/>
            <w:gridSpan w:val="2"/>
            <w:shd w:val="clear" w:color="auto" w:fill="auto"/>
            <w:vAlign w:val="top"/>
          </w:tcPr>
          <w:p w14:paraId="7E8F0A79">
            <w:pPr>
              <w:pStyle w:val="26"/>
              <w:bidi w:val="0"/>
              <w:rPr>
                <w:rFonts w:hint="eastAsia"/>
                <w:lang w:val="en-US" w:eastAsia="zh-CN"/>
              </w:rPr>
            </w:pPr>
            <w:r>
              <w:rPr>
                <w:rFonts w:hint="eastAsia"/>
                <w:lang w:val="en-US" w:eastAsia="zh-CN"/>
              </w:rPr>
              <w:t>44</w:t>
            </w:r>
          </w:p>
        </w:tc>
        <w:tc>
          <w:tcPr>
            <w:tcW w:w="1464" w:type="dxa"/>
            <w:gridSpan w:val="2"/>
            <w:shd w:val="clear" w:color="auto" w:fill="auto"/>
            <w:vAlign w:val="top"/>
          </w:tcPr>
          <w:p w14:paraId="5AB42D60">
            <w:pPr>
              <w:pStyle w:val="26"/>
              <w:bidi w:val="0"/>
              <w:rPr>
                <w:rFonts w:hint="eastAsia"/>
                <w:lang w:val="en-US" w:eastAsia="zh-CN"/>
              </w:rPr>
            </w:pPr>
            <w:r>
              <w:rPr>
                <w:rFonts w:hint="eastAsia"/>
                <w:lang w:val="en-US" w:eastAsia="zh-CN"/>
              </w:rPr>
              <w:t>32</w:t>
            </w:r>
          </w:p>
        </w:tc>
        <w:tc>
          <w:tcPr>
            <w:tcW w:w="1460" w:type="dxa"/>
            <w:gridSpan w:val="3"/>
            <w:shd w:val="clear" w:color="auto" w:fill="auto"/>
            <w:vAlign w:val="top"/>
          </w:tcPr>
          <w:p w14:paraId="1E046CD7">
            <w:pPr>
              <w:pStyle w:val="26"/>
              <w:bidi w:val="0"/>
              <w:rPr>
                <w:rFonts w:hint="eastAsia"/>
                <w:lang w:val="en-US" w:eastAsia="zh-CN"/>
              </w:rPr>
            </w:pPr>
            <w:r>
              <w:rPr>
                <w:rFonts w:hint="eastAsia"/>
                <w:lang w:val="en-US" w:eastAsia="zh-CN"/>
              </w:rPr>
              <w:t>29</w:t>
            </w:r>
          </w:p>
        </w:tc>
        <w:tc>
          <w:tcPr>
            <w:tcW w:w="1530" w:type="dxa"/>
            <w:shd w:val="clear" w:color="auto" w:fill="auto"/>
            <w:vAlign w:val="top"/>
          </w:tcPr>
          <w:p w14:paraId="55ECDDF5">
            <w:pPr>
              <w:pStyle w:val="26"/>
              <w:bidi w:val="0"/>
              <w:rPr>
                <w:rFonts w:hint="eastAsia"/>
                <w:lang w:val="en-US" w:eastAsia="zh-CN"/>
              </w:rPr>
            </w:pPr>
            <w:r>
              <w:rPr>
                <w:rFonts w:hint="eastAsia"/>
                <w:lang w:val="en-US" w:eastAsia="zh-CN"/>
              </w:rPr>
              <w:t>30</w:t>
            </w:r>
          </w:p>
        </w:tc>
        <w:tc>
          <w:tcPr>
            <w:tcW w:w="1259" w:type="dxa"/>
            <w:shd w:val="clear" w:color="auto" w:fill="auto"/>
            <w:vAlign w:val="top"/>
          </w:tcPr>
          <w:p w14:paraId="2B72BA2B">
            <w:pPr>
              <w:pStyle w:val="26"/>
              <w:bidi w:val="0"/>
              <w:rPr>
                <w:rFonts w:hint="eastAsia"/>
                <w:lang w:val="en-US" w:eastAsia="zh-CN"/>
              </w:rPr>
            </w:pPr>
            <w:r>
              <w:rPr>
                <w:rFonts w:hint="eastAsia"/>
                <w:lang w:val="en-US" w:eastAsia="zh-CN"/>
              </w:rPr>
              <w:t>18000</w:t>
            </w:r>
          </w:p>
        </w:tc>
      </w:tr>
      <w:tr w14:paraId="2D8C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96F1D82">
            <w:pPr>
              <w:pStyle w:val="26"/>
              <w:bidi w:val="0"/>
              <w:rPr>
                <w:rFonts w:hint="eastAsia"/>
                <w:lang w:val="en-US" w:eastAsia="zh-CN"/>
              </w:rPr>
            </w:pPr>
            <w:r>
              <w:rPr>
                <w:rFonts w:hint="eastAsia"/>
                <w:lang w:val="en-US" w:eastAsia="zh-CN"/>
              </w:rPr>
              <w:t>镍（mg/kg)</w:t>
            </w:r>
          </w:p>
        </w:tc>
        <w:tc>
          <w:tcPr>
            <w:tcW w:w="1825" w:type="dxa"/>
            <w:shd w:val="clear" w:color="auto" w:fill="auto"/>
            <w:vAlign w:val="top"/>
          </w:tcPr>
          <w:p w14:paraId="45DAAC58">
            <w:pPr>
              <w:pStyle w:val="26"/>
              <w:bidi w:val="0"/>
              <w:rPr>
                <w:rFonts w:hint="eastAsia"/>
                <w:lang w:val="en-US" w:eastAsia="zh-CN"/>
              </w:rPr>
            </w:pPr>
            <w:r>
              <w:rPr>
                <w:rFonts w:hint="eastAsia"/>
                <w:lang w:val="en-US" w:eastAsia="zh-CN"/>
              </w:rPr>
              <w:t>34</w:t>
            </w:r>
          </w:p>
        </w:tc>
        <w:tc>
          <w:tcPr>
            <w:tcW w:w="1574" w:type="dxa"/>
            <w:gridSpan w:val="3"/>
            <w:shd w:val="clear" w:color="auto" w:fill="auto"/>
            <w:vAlign w:val="top"/>
          </w:tcPr>
          <w:p w14:paraId="5AB420F0">
            <w:pPr>
              <w:pStyle w:val="26"/>
              <w:bidi w:val="0"/>
              <w:rPr>
                <w:rFonts w:hint="eastAsia"/>
                <w:lang w:val="en-US" w:eastAsia="zh-CN"/>
              </w:rPr>
            </w:pPr>
            <w:r>
              <w:rPr>
                <w:rFonts w:hint="eastAsia"/>
                <w:lang w:val="en-US" w:eastAsia="zh-CN"/>
              </w:rPr>
              <w:t>33</w:t>
            </w:r>
          </w:p>
        </w:tc>
        <w:tc>
          <w:tcPr>
            <w:tcW w:w="1529" w:type="dxa"/>
            <w:gridSpan w:val="2"/>
            <w:shd w:val="clear" w:color="auto" w:fill="auto"/>
            <w:vAlign w:val="top"/>
          </w:tcPr>
          <w:p w14:paraId="1B162F32">
            <w:pPr>
              <w:pStyle w:val="26"/>
              <w:bidi w:val="0"/>
              <w:rPr>
                <w:rFonts w:hint="eastAsia"/>
                <w:lang w:val="en-US" w:eastAsia="zh-CN"/>
              </w:rPr>
            </w:pPr>
            <w:r>
              <w:rPr>
                <w:rFonts w:hint="eastAsia"/>
                <w:lang w:val="en-US" w:eastAsia="zh-CN"/>
              </w:rPr>
              <w:t>48</w:t>
            </w:r>
          </w:p>
        </w:tc>
        <w:tc>
          <w:tcPr>
            <w:tcW w:w="1464" w:type="dxa"/>
            <w:gridSpan w:val="2"/>
            <w:shd w:val="clear" w:color="auto" w:fill="auto"/>
            <w:vAlign w:val="top"/>
          </w:tcPr>
          <w:p w14:paraId="53F632C6">
            <w:pPr>
              <w:pStyle w:val="26"/>
              <w:bidi w:val="0"/>
              <w:rPr>
                <w:rFonts w:hint="eastAsia"/>
                <w:lang w:val="en-US" w:eastAsia="zh-CN"/>
              </w:rPr>
            </w:pPr>
            <w:r>
              <w:rPr>
                <w:rFonts w:hint="eastAsia"/>
                <w:lang w:val="en-US" w:eastAsia="zh-CN"/>
              </w:rPr>
              <w:t>35</w:t>
            </w:r>
          </w:p>
        </w:tc>
        <w:tc>
          <w:tcPr>
            <w:tcW w:w="1460" w:type="dxa"/>
            <w:gridSpan w:val="3"/>
            <w:shd w:val="clear" w:color="auto" w:fill="auto"/>
            <w:vAlign w:val="top"/>
          </w:tcPr>
          <w:p w14:paraId="2888B4BC">
            <w:pPr>
              <w:pStyle w:val="26"/>
              <w:bidi w:val="0"/>
              <w:rPr>
                <w:rFonts w:hint="eastAsia"/>
                <w:lang w:val="en-US" w:eastAsia="zh-CN"/>
              </w:rPr>
            </w:pPr>
            <w:r>
              <w:rPr>
                <w:rFonts w:hint="eastAsia"/>
                <w:lang w:val="en-US" w:eastAsia="zh-CN"/>
              </w:rPr>
              <w:t>35</w:t>
            </w:r>
          </w:p>
        </w:tc>
        <w:tc>
          <w:tcPr>
            <w:tcW w:w="1530" w:type="dxa"/>
            <w:shd w:val="clear" w:color="auto" w:fill="auto"/>
            <w:vAlign w:val="top"/>
          </w:tcPr>
          <w:p w14:paraId="2B49882E">
            <w:pPr>
              <w:pStyle w:val="26"/>
              <w:bidi w:val="0"/>
              <w:rPr>
                <w:rFonts w:hint="eastAsia"/>
                <w:lang w:val="en-US" w:eastAsia="zh-CN"/>
              </w:rPr>
            </w:pPr>
            <w:r>
              <w:rPr>
                <w:rFonts w:hint="eastAsia"/>
                <w:lang w:val="en-US" w:eastAsia="zh-CN"/>
              </w:rPr>
              <w:t>44</w:t>
            </w:r>
          </w:p>
        </w:tc>
        <w:tc>
          <w:tcPr>
            <w:tcW w:w="1259" w:type="dxa"/>
            <w:shd w:val="clear" w:color="auto" w:fill="auto"/>
            <w:vAlign w:val="top"/>
          </w:tcPr>
          <w:p w14:paraId="513231E9">
            <w:pPr>
              <w:pStyle w:val="26"/>
              <w:bidi w:val="0"/>
              <w:rPr>
                <w:rFonts w:hint="eastAsia"/>
                <w:lang w:val="en-US" w:eastAsia="zh-CN"/>
              </w:rPr>
            </w:pPr>
            <w:r>
              <w:rPr>
                <w:rFonts w:hint="eastAsia"/>
                <w:lang w:val="en-US" w:eastAsia="zh-CN"/>
              </w:rPr>
              <w:t>900</w:t>
            </w:r>
          </w:p>
        </w:tc>
      </w:tr>
      <w:tr w14:paraId="1450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1EE57375">
            <w:pPr>
              <w:pStyle w:val="26"/>
              <w:bidi w:val="0"/>
              <w:rPr>
                <w:rFonts w:hint="eastAsia"/>
                <w:lang w:val="en-US" w:eastAsia="zh-CN"/>
              </w:rPr>
            </w:pPr>
            <w:r>
              <w:rPr>
                <w:rFonts w:hint="eastAsia"/>
                <w:lang w:val="en-US" w:eastAsia="zh-CN"/>
              </w:rPr>
              <w:t>铅（mg/kg)</w:t>
            </w:r>
          </w:p>
        </w:tc>
        <w:tc>
          <w:tcPr>
            <w:tcW w:w="1825" w:type="dxa"/>
            <w:shd w:val="clear" w:color="auto" w:fill="auto"/>
            <w:vAlign w:val="top"/>
          </w:tcPr>
          <w:p w14:paraId="486CFCC5">
            <w:pPr>
              <w:pStyle w:val="26"/>
              <w:bidi w:val="0"/>
              <w:rPr>
                <w:rFonts w:hint="eastAsia"/>
                <w:lang w:val="en-US" w:eastAsia="zh-CN"/>
              </w:rPr>
            </w:pPr>
            <w:r>
              <w:rPr>
                <w:rFonts w:hint="eastAsia"/>
                <w:lang w:val="en-US" w:eastAsia="zh-CN"/>
              </w:rPr>
              <w:t>17</w:t>
            </w:r>
          </w:p>
        </w:tc>
        <w:tc>
          <w:tcPr>
            <w:tcW w:w="1574" w:type="dxa"/>
            <w:gridSpan w:val="3"/>
            <w:shd w:val="clear" w:color="auto" w:fill="auto"/>
            <w:vAlign w:val="top"/>
          </w:tcPr>
          <w:p w14:paraId="1B1E65DE">
            <w:pPr>
              <w:pStyle w:val="26"/>
              <w:bidi w:val="0"/>
              <w:rPr>
                <w:rFonts w:hint="eastAsia"/>
                <w:lang w:val="en-US" w:eastAsia="zh-CN"/>
              </w:rPr>
            </w:pPr>
            <w:r>
              <w:rPr>
                <w:rFonts w:hint="eastAsia"/>
                <w:lang w:val="en-US" w:eastAsia="zh-CN"/>
              </w:rPr>
              <w:t>16</w:t>
            </w:r>
          </w:p>
        </w:tc>
        <w:tc>
          <w:tcPr>
            <w:tcW w:w="1529" w:type="dxa"/>
            <w:gridSpan w:val="2"/>
            <w:shd w:val="clear" w:color="auto" w:fill="auto"/>
            <w:vAlign w:val="top"/>
          </w:tcPr>
          <w:p w14:paraId="3384B205">
            <w:pPr>
              <w:pStyle w:val="26"/>
              <w:bidi w:val="0"/>
              <w:rPr>
                <w:rFonts w:hint="eastAsia"/>
                <w:lang w:val="en-US" w:eastAsia="zh-CN"/>
              </w:rPr>
            </w:pPr>
            <w:r>
              <w:rPr>
                <w:rFonts w:hint="eastAsia"/>
                <w:lang w:val="en-US" w:eastAsia="zh-CN"/>
              </w:rPr>
              <w:t>19</w:t>
            </w:r>
          </w:p>
        </w:tc>
        <w:tc>
          <w:tcPr>
            <w:tcW w:w="1464" w:type="dxa"/>
            <w:gridSpan w:val="2"/>
            <w:shd w:val="clear" w:color="auto" w:fill="auto"/>
            <w:vAlign w:val="top"/>
          </w:tcPr>
          <w:p w14:paraId="0983ED8C">
            <w:pPr>
              <w:pStyle w:val="26"/>
              <w:bidi w:val="0"/>
              <w:rPr>
                <w:rFonts w:hint="eastAsia"/>
                <w:lang w:val="en-US" w:eastAsia="zh-CN"/>
              </w:rPr>
            </w:pPr>
            <w:r>
              <w:rPr>
                <w:rFonts w:hint="eastAsia"/>
                <w:lang w:val="en-US" w:eastAsia="zh-CN"/>
              </w:rPr>
              <w:t>19</w:t>
            </w:r>
          </w:p>
        </w:tc>
        <w:tc>
          <w:tcPr>
            <w:tcW w:w="1460" w:type="dxa"/>
            <w:gridSpan w:val="3"/>
            <w:shd w:val="clear" w:color="auto" w:fill="auto"/>
            <w:vAlign w:val="top"/>
          </w:tcPr>
          <w:p w14:paraId="103452F5">
            <w:pPr>
              <w:pStyle w:val="26"/>
              <w:bidi w:val="0"/>
              <w:rPr>
                <w:rFonts w:hint="eastAsia"/>
                <w:lang w:val="en-US" w:eastAsia="zh-CN"/>
              </w:rPr>
            </w:pPr>
            <w:r>
              <w:rPr>
                <w:rFonts w:hint="eastAsia"/>
                <w:lang w:val="en-US" w:eastAsia="zh-CN"/>
              </w:rPr>
              <w:t>20</w:t>
            </w:r>
          </w:p>
        </w:tc>
        <w:tc>
          <w:tcPr>
            <w:tcW w:w="1530" w:type="dxa"/>
            <w:shd w:val="clear" w:color="auto" w:fill="auto"/>
            <w:vAlign w:val="top"/>
          </w:tcPr>
          <w:p w14:paraId="290E9887">
            <w:pPr>
              <w:pStyle w:val="26"/>
              <w:bidi w:val="0"/>
              <w:rPr>
                <w:rFonts w:hint="eastAsia"/>
                <w:lang w:val="en-US" w:eastAsia="zh-CN"/>
              </w:rPr>
            </w:pPr>
            <w:r>
              <w:rPr>
                <w:rFonts w:hint="eastAsia"/>
                <w:lang w:val="en-US" w:eastAsia="zh-CN"/>
              </w:rPr>
              <w:t>19</w:t>
            </w:r>
          </w:p>
        </w:tc>
        <w:tc>
          <w:tcPr>
            <w:tcW w:w="1259" w:type="dxa"/>
            <w:shd w:val="clear" w:color="auto" w:fill="auto"/>
            <w:vAlign w:val="top"/>
          </w:tcPr>
          <w:p w14:paraId="4BBE3D10">
            <w:pPr>
              <w:pStyle w:val="26"/>
              <w:bidi w:val="0"/>
              <w:rPr>
                <w:rFonts w:hint="eastAsia"/>
                <w:lang w:val="en-US" w:eastAsia="zh-CN"/>
              </w:rPr>
            </w:pPr>
            <w:r>
              <w:rPr>
                <w:rFonts w:hint="eastAsia"/>
                <w:lang w:val="en-US" w:eastAsia="zh-CN"/>
              </w:rPr>
              <w:t>800</w:t>
            </w:r>
          </w:p>
        </w:tc>
      </w:tr>
      <w:tr w14:paraId="0DF9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01D5512">
            <w:pPr>
              <w:pStyle w:val="26"/>
              <w:bidi w:val="0"/>
              <w:rPr>
                <w:rFonts w:hint="eastAsia"/>
                <w:lang w:val="en-US" w:eastAsia="zh-CN"/>
              </w:rPr>
            </w:pPr>
            <w:r>
              <w:rPr>
                <w:rFonts w:hint="eastAsia"/>
                <w:lang w:val="en-US" w:eastAsia="zh-CN"/>
              </w:rPr>
              <w:t>铬（mg/kg)</w:t>
            </w:r>
          </w:p>
        </w:tc>
        <w:tc>
          <w:tcPr>
            <w:tcW w:w="1825" w:type="dxa"/>
            <w:shd w:val="clear" w:color="auto" w:fill="auto"/>
            <w:vAlign w:val="top"/>
          </w:tcPr>
          <w:p w14:paraId="5C31BBFF">
            <w:pPr>
              <w:pStyle w:val="26"/>
              <w:bidi w:val="0"/>
              <w:rPr>
                <w:rFonts w:hint="eastAsia"/>
                <w:lang w:val="en-US" w:eastAsia="zh-CN"/>
              </w:rPr>
            </w:pPr>
            <w:r>
              <w:rPr>
                <w:rFonts w:hint="eastAsia"/>
                <w:lang w:val="en-US" w:eastAsia="zh-CN"/>
              </w:rPr>
              <w:t>77</w:t>
            </w:r>
          </w:p>
        </w:tc>
        <w:tc>
          <w:tcPr>
            <w:tcW w:w="1574" w:type="dxa"/>
            <w:gridSpan w:val="3"/>
            <w:shd w:val="clear" w:color="auto" w:fill="auto"/>
            <w:vAlign w:val="top"/>
          </w:tcPr>
          <w:p w14:paraId="72EEB71C">
            <w:pPr>
              <w:pStyle w:val="26"/>
              <w:bidi w:val="0"/>
              <w:rPr>
                <w:rFonts w:hint="eastAsia"/>
                <w:lang w:val="en-US" w:eastAsia="zh-CN"/>
              </w:rPr>
            </w:pPr>
            <w:r>
              <w:rPr>
                <w:rFonts w:hint="eastAsia"/>
                <w:lang w:val="en-US" w:eastAsia="zh-CN"/>
              </w:rPr>
              <w:t>78</w:t>
            </w:r>
          </w:p>
        </w:tc>
        <w:tc>
          <w:tcPr>
            <w:tcW w:w="1529" w:type="dxa"/>
            <w:gridSpan w:val="2"/>
            <w:shd w:val="clear" w:color="auto" w:fill="auto"/>
            <w:vAlign w:val="top"/>
          </w:tcPr>
          <w:p w14:paraId="37091CE8">
            <w:pPr>
              <w:pStyle w:val="26"/>
              <w:bidi w:val="0"/>
              <w:rPr>
                <w:rFonts w:hint="eastAsia"/>
                <w:lang w:val="en-US" w:eastAsia="zh-CN"/>
              </w:rPr>
            </w:pPr>
            <w:r>
              <w:rPr>
                <w:rFonts w:hint="eastAsia"/>
                <w:lang w:val="en-US" w:eastAsia="zh-CN"/>
              </w:rPr>
              <w:t>88</w:t>
            </w:r>
          </w:p>
        </w:tc>
        <w:tc>
          <w:tcPr>
            <w:tcW w:w="1464" w:type="dxa"/>
            <w:gridSpan w:val="2"/>
            <w:shd w:val="clear" w:color="auto" w:fill="auto"/>
            <w:vAlign w:val="top"/>
          </w:tcPr>
          <w:p w14:paraId="53CE61C5">
            <w:pPr>
              <w:pStyle w:val="26"/>
              <w:bidi w:val="0"/>
              <w:rPr>
                <w:rFonts w:hint="eastAsia"/>
                <w:lang w:val="en-US" w:eastAsia="zh-CN"/>
              </w:rPr>
            </w:pPr>
            <w:r>
              <w:rPr>
                <w:rFonts w:hint="eastAsia"/>
                <w:lang w:val="en-US" w:eastAsia="zh-CN"/>
              </w:rPr>
              <w:t>78</w:t>
            </w:r>
          </w:p>
        </w:tc>
        <w:tc>
          <w:tcPr>
            <w:tcW w:w="1460" w:type="dxa"/>
            <w:gridSpan w:val="3"/>
            <w:shd w:val="clear" w:color="auto" w:fill="auto"/>
            <w:vAlign w:val="top"/>
          </w:tcPr>
          <w:p w14:paraId="649B311B">
            <w:pPr>
              <w:pStyle w:val="26"/>
              <w:bidi w:val="0"/>
              <w:rPr>
                <w:rFonts w:hint="eastAsia"/>
                <w:lang w:val="en-US" w:eastAsia="zh-CN"/>
              </w:rPr>
            </w:pPr>
            <w:r>
              <w:rPr>
                <w:rFonts w:hint="eastAsia"/>
                <w:lang w:val="en-US" w:eastAsia="zh-CN"/>
              </w:rPr>
              <w:t>80</w:t>
            </w:r>
          </w:p>
        </w:tc>
        <w:tc>
          <w:tcPr>
            <w:tcW w:w="1530" w:type="dxa"/>
            <w:shd w:val="clear" w:color="auto" w:fill="auto"/>
            <w:vAlign w:val="top"/>
          </w:tcPr>
          <w:p w14:paraId="3FA43231">
            <w:pPr>
              <w:pStyle w:val="26"/>
              <w:bidi w:val="0"/>
              <w:rPr>
                <w:rFonts w:hint="eastAsia"/>
                <w:lang w:val="en-US" w:eastAsia="zh-CN"/>
              </w:rPr>
            </w:pPr>
            <w:r>
              <w:rPr>
                <w:rFonts w:hint="eastAsia"/>
                <w:lang w:val="en-US" w:eastAsia="zh-CN"/>
              </w:rPr>
              <w:t>86</w:t>
            </w:r>
          </w:p>
        </w:tc>
        <w:tc>
          <w:tcPr>
            <w:tcW w:w="1259" w:type="dxa"/>
            <w:shd w:val="clear" w:color="auto" w:fill="auto"/>
            <w:vAlign w:val="top"/>
          </w:tcPr>
          <w:p w14:paraId="6010D77B">
            <w:pPr>
              <w:pStyle w:val="26"/>
              <w:bidi w:val="0"/>
              <w:rPr>
                <w:rFonts w:hint="eastAsia"/>
                <w:lang w:val="en-US" w:eastAsia="zh-CN"/>
              </w:rPr>
            </w:pPr>
            <w:r>
              <w:rPr>
                <w:rFonts w:hint="eastAsia"/>
                <w:lang w:val="en-US" w:eastAsia="zh-CN"/>
              </w:rPr>
              <w:t>/</w:t>
            </w:r>
          </w:p>
        </w:tc>
      </w:tr>
      <w:tr w14:paraId="6D1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282B426">
            <w:pPr>
              <w:pStyle w:val="26"/>
              <w:bidi w:val="0"/>
              <w:rPr>
                <w:rFonts w:hint="eastAsia"/>
                <w:lang w:val="en-US" w:eastAsia="zh-CN"/>
              </w:rPr>
            </w:pPr>
            <w:r>
              <w:rPr>
                <w:rFonts w:hint="eastAsia"/>
                <w:lang w:val="en-US" w:eastAsia="zh-CN"/>
              </w:rPr>
              <w:t>锌（mg/kg)</w:t>
            </w:r>
          </w:p>
        </w:tc>
        <w:tc>
          <w:tcPr>
            <w:tcW w:w="1825" w:type="dxa"/>
            <w:shd w:val="clear" w:color="auto" w:fill="auto"/>
            <w:vAlign w:val="top"/>
          </w:tcPr>
          <w:p w14:paraId="03746845">
            <w:pPr>
              <w:pStyle w:val="26"/>
              <w:bidi w:val="0"/>
              <w:rPr>
                <w:rFonts w:hint="eastAsia"/>
                <w:lang w:val="en-US" w:eastAsia="zh-CN"/>
              </w:rPr>
            </w:pPr>
            <w:r>
              <w:rPr>
                <w:rFonts w:hint="eastAsia"/>
                <w:lang w:val="en-US" w:eastAsia="zh-CN"/>
              </w:rPr>
              <w:t>98</w:t>
            </w:r>
          </w:p>
        </w:tc>
        <w:tc>
          <w:tcPr>
            <w:tcW w:w="1574" w:type="dxa"/>
            <w:gridSpan w:val="3"/>
            <w:shd w:val="clear" w:color="auto" w:fill="auto"/>
            <w:vAlign w:val="top"/>
          </w:tcPr>
          <w:p w14:paraId="41298FEE">
            <w:pPr>
              <w:pStyle w:val="26"/>
              <w:bidi w:val="0"/>
              <w:rPr>
                <w:rFonts w:hint="eastAsia"/>
                <w:lang w:val="en-US" w:eastAsia="zh-CN"/>
              </w:rPr>
            </w:pPr>
            <w:r>
              <w:rPr>
                <w:rFonts w:hint="eastAsia"/>
                <w:lang w:val="en-US" w:eastAsia="zh-CN"/>
              </w:rPr>
              <w:t>99</w:t>
            </w:r>
          </w:p>
        </w:tc>
        <w:tc>
          <w:tcPr>
            <w:tcW w:w="1529" w:type="dxa"/>
            <w:gridSpan w:val="2"/>
            <w:shd w:val="clear" w:color="auto" w:fill="auto"/>
            <w:vAlign w:val="top"/>
          </w:tcPr>
          <w:p w14:paraId="66F4A80D">
            <w:pPr>
              <w:pStyle w:val="26"/>
              <w:bidi w:val="0"/>
              <w:rPr>
                <w:rFonts w:hint="eastAsia"/>
                <w:lang w:val="en-US" w:eastAsia="zh-CN"/>
              </w:rPr>
            </w:pPr>
            <w:r>
              <w:rPr>
                <w:rFonts w:hint="eastAsia"/>
                <w:lang w:val="en-US" w:eastAsia="zh-CN"/>
              </w:rPr>
              <w:t>119</w:t>
            </w:r>
          </w:p>
        </w:tc>
        <w:tc>
          <w:tcPr>
            <w:tcW w:w="1464" w:type="dxa"/>
            <w:gridSpan w:val="2"/>
            <w:shd w:val="clear" w:color="auto" w:fill="auto"/>
            <w:vAlign w:val="top"/>
          </w:tcPr>
          <w:p w14:paraId="3658CFF5">
            <w:pPr>
              <w:pStyle w:val="26"/>
              <w:bidi w:val="0"/>
              <w:rPr>
                <w:rFonts w:hint="eastAsia"/>
                <w:lang w:val="en-US" w:eastAsia="zh-CN"/>
              </w:rPr>
            </w:pPr>
            <w:r>
              <w:rPr>
                <w:rFonts w:hint="eastAsia"/>
                <w:lang w:val="en-US" w:eastAsia="zh-CN"/>
              </w:rPr>
              <w:t>116</w:t>
            </w:r>
          </w:p>
        </w:tc>
        <w:tc>
          <w:tcPr>
            <w:tcW w:w="1460" w:type="dxa"/>
            <w:gridSpan w:val="3"/>
            <w:shd w:val="clear" w:color="auto" w:fill="auto"/>
            <w:vAlign w:val="top"/>
          </w:tcPr>
          <w:p w14:paraId="3C9D4A7B">
            <w:pPr>
              <w:pStyle w:val="26"/>
              <w:bidi w:val="0"/>
              <w:rPr>
                <w:rFonts w:hint="eastAsia"/>
                <w:lang w:val="en-US" w:eastAsia="zh-CN"/>
              </w:rPr>
            </w:pPr>
            <w:r>
              <w:rPr>
                <w:rFonts w:hint="eastAsia"/>
                <w:lang w:val="en-US" w:eastAsia="zh-CN"/>
              </w:rPr>
              <w:t>107</w:t>
            </w:r>
          </w:p>
        </w:tc>
        <w:tc>
          <w:tcPr>
            <w:tcW w:w="1530" w:type="dxa"/>
            <w:shd w:val="clear" w:color="auto" w:fill="auto"/>
            <w:vAlign w:val="top"/>
          </w:tcPr>
          <w:p w14:paraId="629C3C33">
            <w:pPr>
              <w:pStyle w:val="26"/>
              <w:bidi w:val="0"/>
              <w:rPr>
                <w:rFonts w:hint="eastAsia"/>
                <w:lang w:val="en-US" w:eastAsia="zh-CN"/>
              </w:rPr>
            </w:pPr>
            <w:r>
              <w:rPr>
                <w:rFonts w:hint="eastAsia"/>
                <w:lang w:val="en-US" w:eastAsia="zh-CN"/>
              </w:rPr>
              <w:t>104</w:t>
            </w:r>
          </w:p>
        </w:tc>
        <w:tc>
          <w:tcPr>
            <w:tcW w:w="1259" w:type="dxa"/>
            <w:shd w:val="clear" w:color="auto" w:fill="auto"/>
            <w:vAlign w:val="top"/>
          </w:tcPr>
          <w:p w14:paraId="45746026">
            <w:pPr>
              <w:pStyle w:val="26"/>
              <w:bidi w:val="0"/>
              <w:rPr>
                <w:rFonts w:hint="eastAsia"/>
                <w:lang w:val="en-US" w:eastAsia="zh-CN"/>
              </w:rPr>
            </w:pPr>
            <w:r>
              <w:rPr>
                <w:rFonts w:hint="eastAsia"/>
                <w:lang w:val="en-US" w:eastAsia="zh-CN"/>
              </w:rPr>
              <w:t>/</w:t>
            </w:r>
          </w:p>
        </w:tc>
      </w:tr>
      <w:tr w14:paraId="014F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7D33E1D0">
            <w:pPr>
              <w:pStyle w:val="26"/>
              <w:bidi w:val="0"/>
              <w:rPr>
                <w:rFonts w:hint="eastAsia"/>
                <w:lang w:val="en-US" w:eastAsia="zh-CN"/>
              </w:rPr>
            </w:pPr>
            <w:r>
              <w:rPr>
                <w:rFonts w:hint="eastAsia"/>
                <w:lang w:val="en-US" w:eastAsia="zh-CN"/>
              </w:rPr>
              <w:t>镉（mg/kg)</w:t>
            </w:r>
          </w:p>
        </w:tc>
        <w:tc>
          <w:tcPr>
            <w:tcW w:w="1825" w:type="dxa"/>
            <w:shd w:val="clear" w:color="auto" w:fill="auto"/>
            <w:vAlign w:val="top"/>
          </w:tcPr>
          <w:p w14:paraId="67A1B8E8">
            <w:pPr>
              <w:pStyle w:val="26"/>
              <w:bidi w:val="0"/>
              <w:rPr>
                <w:rFonts w:hint="eastAsia"/>
                <w:lang w:val="en-US" w:eastAsia="zh-CN"/>
              </w:rPr>
            </w:pPr>
            <w:r>
              <w:rPr>
                <w:rFonts w:hint="eastAsia"/>
                <w:lang w:val="en-US" w:eastAsia="zh-CN"/>
              </w:rPr>
              <w:t>0.09</w:t>
            </w:r>
          </w:p>
        </w:tc>
        <w:tc>
          <w:tcPr>
            <w:tcW w:w="1574" w:type="dxa"/>
            <w:gridSpan w:val="3"/>
            <w:shd w:val="clear" w:color="auto" w:fill="auto"/>
            <w:vAlign w:val="top"/>
          </w:tcPr>
          <w:p w14:paraId="63CEED72">
            <w:pPr>
              <w:pStyle w:val="26"/>
              <w:bidi w:val="0"/>
              <w:rPr>
                <w:rFonts w:hint="eastAsia"/>
                <w:lang w:val="en-US" w:eastAsia="zh-CN"/>
              </w:rPr>
            </w:pPr>
            <w:r>
              <w:rPr>
                <w:rFonts w:hint="eastAsia"/>
                <w:lang w:val="en-US" w:eastAsia="zh-CN"/>
              </w:rPr>
              <w:t>0.08</w:t>
            </w:r>
          </w:p>
        </w:tc>
        <w:tc>
          <w:tcPr>
            <w:tcW w:w="1529" w:type="dxa"/>
            <w:gridSpan w:val="2"/>
            <w:shd w:val="clear" w:color="auto" w:fill="auto"/>
            <w:vAlign w:val="top"/>
          </w:tcPr>
          <w:p w14:paraId="3BA2B410">
            <w:pPr>
              <w:pStyle w:val="26"/>
              <w:bidi w:val="0"/>
              <w:rPr>
                <w:rFonts w:hint="eastAsia"/>
                <w:lang w:val="en-US" w:eastAsia="zh-CN"/>
              </w:rPr>
            </w:pPr>
            <w:r>
              <w:rPr>
                <w:rFonts w:hint="eastAsia"/>
                <w:lang w:val="en-US" w:eastAsia="zh-CN"/>
              </w:rPr>
              <w:t>0.08</w:t>
            </w:r>
          </w:p>
        </w:tc>
        <w:tc>
          <w:tcPr>
            <w:tcW w:w="1464" w:type="dxa"/>
            <w:gridSpan w:val="2"/>
            <w:shd w:val="clear" w:color="auto" w:fill="auto"/>
            <w:vAlign w:val="top"/>
          </w:tcPr>
          <w:p w14:paraId="18B9DA6F">
            <w:pPr>
              <w:pStyle w:val="26"/>
              <w:bidi w:val="0"/>
              <w:rPr>
                <w:rFonts w:hint="eastAsia"/>
                <w:lang w:val="en-US" w:eastAsia="zh-CN"/>
              </w:rPr>
            </w:pPr>
            <w:r>
              <w:rPr>
                <w:rFonts w:hint="eastAsia"/>
                <w:lang w:val="en-US" w:eastAsia="zh-CN"/>
              </w:rPr>
              <w:t>0.18</w:t>
            </w:r>
          </w:p>
        </w:tc>
        <w:tc>
          <w:tcPr>
            <w:tcW w:w="1460" w:type="dxa"/>
            <w:gridSpan w:val="3"/>
            <w:shd w:val="clear" w:color="auto" w:fill="auto"/>
            <w:vAlign w:val="top"/>
          </w:tcPr>
          <w:p w14:paraId="7306C60C">
            <w:pPr>
              <w:pStyle w:val="26"/>
              <w:bidi w:val="0"/>
              <w:rPr>
                <w:rFonts w:hint="eastAsia"/>
                <w:lang w:val="en-US" w:eastAsia="zh-CN"/>
              </w:rPr>
            </w:pPr>
            <w:r>
              <w:rPr>
                <w:rFonts w:hint="eastAsia"/>
                <w:lang w:val="en-US" w:eastAsia="zh-CN"/>
              </w:rPr>
              <w:t>0.15</w:t>
            </w:r>
          </w:p>
        </w:tc>
        <w:tc>
          <w:tcPr>
            <w:tcW w:w="1530" w:type="dxa"/>
            <w:shd w:val="clear" w:color="auto" w:fill="auto"/>
            <w:vAlign w:val="top"/>
          </w:tcPr>
          <w:p w14:paraId="1D26232D">
            <w:pPr>
              <w:pStyle w:val="26"/>
              <w:bidi w:val="0"/>
              <w:rPr>
                <w:rFonts w:hint="eastAsia"/>
                <w:lang w:val="en-US" w:eastAsia="zh-CN"/>
              </w:rPr>
            </w:pPr>
            <w:r>
              <w:rPr>
                <w:rFonts w:hint="eastAsia"/>
                <w:lang w:val="en-US" w:eastAsia="zh-CN"/>
              </w:rPr>
              <w:t>0.07</w:t>
            </w:r>
          </w:p>
        </w:tc>
        <w:tc>
          <w:tcPr>
            <w:tcW w:w="1259" w:type="dxa"/>
            <w:shd w:val="clear" w:color="auto" w:fill="auto"/>
            <w:vAlign w:val="top"/>
          </w:tcPr>
          <w:p w14:paraId="128BDC00">
            <w:pPr>
              <w:pStyle w:val="26"/>
              <w:bidi w:val="0"/>
              <w:rPr>
                <w:rFonts w:hint="eastAsia"/>
                <w:lang w:val="en-US" w:eastAsia="zh-CN"/>
              </w:rPr>
            </w:pPr>
            <w:r>
              <w:rPr>
                <w:rFonts w:hint="eastAsia"/>
                <w:lang w:val="en-US" w:eastAsia="zh-CN"/>
              </w:rPr>
              <w:t>65</w:t>
            </w:r>
          </w:p>
        </w:tc>
      </w:tr>
      <w:tr w14:paraId="0D0B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490AD445">
            <w:pPr>
              <w:pStyle w:val="26"/>
              <w:bidi w:val="0"/>
              <w:rPr>
                <w:rFonts w:hint="eastAsia"/>
                <w:lang w:val="en-US" w:eastAsia="zh-CN"/>
              </w:rPr>
            </w:pPr>
            <w:r>
              <w:rPr>
                <w:rFonts w:hint="eastAsia"/>
                <w:lang w:val="en-US" w:eastAsia="zh-CN"/>
              </w:rPr>
              <w:t>汞（mg/kg)</w:t>
            </w:r>
          </w:p>
        </w:tc>
        <w:tc>
          <w:tcPr>
            <w:tcW w:w="1825" w:type="dxa"/>
            <w:shd w:val="clear" w:color="auto" w:fill="auto"/>
            <w:vAlign w:val="top"/>
          </w:tcPr>
          <w:p w14:paraId="16685AF4">
            <w:pPr>
              <w:pStyle w:val="26"/>
              <w:bidi w:val="0"/>
              <w:rPr>
                <w:rFonts w:hint="eastAsia"/>
                <w:lang w:val="en-US" w:eastAsia="zh-CN"/>
              </w:rPr>
            </w:pPr>
            <w:r>
              <w:rPr>
                <w:rFonts w:hint="eastAsia"/>
                <w:lang w:val="en-US" w:eastAsia="zh-CN"/>
              </w:rPr>
              <w:t>0.446</w:t>
            </w:r>
          </w:p>
        </w:tc>
        <w:tc>
          <w:tcPr>
            <w:tcW w:w="1574" w:type="dxa"/>
            <w:gridSpan w:val="3"/>
            <w:shd w:val="clear" w:color="auto" w:fill="auto"/>
            <w:vAlign w:val="top"/>
          </w:tcPr>
          <w:p w14:paraId="7D398C90">
            <w:pPr>
              <w:pStyle w:val="26"/>
              <w:bidi w:val="0"/>
              <w:rPr>
                <w:rFonts w:hint="eastAsia"/>
                <w:lang w:val="en-US" w:eastAsia="zh-CN"/>
              </w:rPr>
            </w:pPr>
            <w:r>
              <w:rPr>
                <w:rFonts w:hint="eastAsia"/>
                <w:lang w:val="en-US" w:eastAsia="zh-CN"/>
              </w:rPr>
              <w:t>0.267</w:t>
            </w:r>
          </w:p>
        </w:tc>
        <w:tc>
          <w:tcPr>
            <w:tcW w:w="1529" w:type="dxa"/>
            <w:gridSpan w:val="2"/>
            <w:shd w:val="clear" w:color="auto" w:fill="auto"/>
            <w:vAlign w:val="top"/>
          </w:tcPr>
          <w:p w14:paraId="2E010FB7">
            <w:pPr>
              <w:pStyle w:val="26"/>
              <w:bidi w:val="0"/>
              <w:rPr>
                <w:rFonts w:hint="eastAsia"/>
                <w:lang w:val="en-US" w:eastAsia="zh-CN"/>
              </w:rPr>
            </w:pPr>
            <w:r>
              <w:rPr>
                <w:rFonts w:hint="eastAsia"/>
                <w:lang w:val="en-US" w:eastAsia="zh-CN"/>
              </w:rPr>
              <w:t>0.119</w:t>
            </w:r>
          </w:p>
        </w:tc>
        <w:tc>
          <w:tcPr>
            <w:tcW w:w="1464" w:type="dxa"/>
            <w:gridSpan w:val="2"/>
            <w:shd w:val="clear" w:color="auto" w:fill="auto"/>
            <w:vAlign w:val="top"/>
          </w:tcPr>
          <w:p w14:paraId="18B06524">
            <w:pPr>
              <w:pStyle w:val="26"/>
              <w:bidi w:val="0"/>
              <w:rPr>
                <w:rFonts w:hint="eastAsia"/>
                <w:lang w:val="en-US" w:eastAsia="zh-CN"/>
              </w:rPr>
            </w:pPr>
            <w:r>
              <w:rPr>
                <w:rFonts w:hint="eastAsia"/>
                <w:lang w:val="en-US" w:eastAsia="zh-CN"/>
              </w:rPr>
              <w:t>0.312</w:t>
            </w:r>
          </w:p>
        </w:tc>
        <w:tc>
          <w:tcPr>
            <w:tcW w:w="1460" w:type="dxa"/>
            <w:gridSpan w:val="3"/>
            <w:shd w:val="clear" w:color="auto" w:fill="auto"/>
            <w:vAlign w:val="top"/>
          </w:tcPr>
          <w:p w14:paraId="3CDC7B80">
            <w:pPr>
              <w:pStyle w:val="26"/>
              <w:bidi w:val="0"/>
              <w:rPr>
                <w:rFonts w:hint="eastAsia"/>
                <w:lang w:val="en-US" w:eastAsia="zh-CN"/>
              </w:rPr>
            </w:pPr>
            <w:r>
              <w:rPr>
                <w:rFonts w:hint="eastAsia"/>
                <w:lang w:val="en-US" w:eastAsia="zh-CN"/>
              </w:rPr>
              <w:t>0.532</w:t>
            </w:r>
          </w:p>
        </w:tc>
        <w:tc>
          <w:tcPr>
            <w:tcW w:w="1530" w:type="dxa"/>
            <w:shd w:val="clear" w:color="auto" w:fill="auto"/>
            <w:vAlign w:val="top"/>
          </w:tcPr>
          <w:p w14:paraId="579D7B01">
            <w:pPr>
              <w:pStyle w:val="26"/>
              <w:bidi w:val="0"/>
              <w:rPr>
                <w:rFonts w:hint="eastAsia"/>
                <w:lang w:val="en-US" w:eastAsia="zh-CN"/>
              </w:rPr>
            </w:pPr>
            <w:r>
              <w:rPr>
                <w:rFonts w:hint="eastAsia"/>
                <w:lang w:val="en-US" w:eastAsia="zh-CN"/>
              </w:rPr>
              <w:t>0.115</w:t>
            </w:r>
          </w:p>
        </w:tc>
        <w:tc>
          <w:tcPr>
            <w:tcW w:w="1259" w:type="dxa"/>
            <w:shd w:val="clear" w:color="auto" w:fill="auto"/>
            <w:vAlign w:val="top"/>
          </w:tcPr>
          <w:p w14:paraId="269CE8D7">
            <w:pPr>
              <w:pStyle w:val="26"/>
              <w:bidi w:val="0"/>
              <w:rPr>
                <w:rFonts w:hint="eastAsia"/>
                <w:lang w:val="en-US" w:eastAsia="zh-CN"/>
              </w:rPr>
            </w:pPr>
            <w:r>
              <w:rPr>
                <w:rFonts w:hint="eastAsia"/>
                <w:lang w:val="en-US" w:eastAsia="zh-CN"/>
              </w:rPr>
              <w:t>38</w:t>
            </w:r>
          </w:p>
        </w:tc>
      </w:tr>
      <w:tr w14:paraId="6F5D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355" w:type="dxa"/>
            <w:gridSpan w:val="6"/>
            <w:shd w:val="clear" w:color="auto" w:fill="auto"/>
            <w:vAlign w:val="top"/>
          </w:tcPr>
          <w:p w14:paraId="397BAE19">
            <w:pPr>
              <w:pStyle w:val="26"/>
              <w:bidi w:val="0"/>
              <w:rPr>
                <w:rFonts w:hint="eastAsia"/>
                <w:lang w:val="en-US" w:eastAsia="zh-CN"/>
              </w:rPr>
            </w:pPr>
            <w:r>
              <w:rPr>
                <w:rFonts w:hint="eastAsia"/>
                <w:lang w:val="en-US" w:eastAsia="zh-CN"/>
              </w:rPr>
              <w:t>砷（mg/kg)</w:t>
            </w:r>
          </w:p>
        </w:tc>
        <w:tc>
          <w:tcPr>
            <w:tcW w:w="1825" w:type="dxa"/>
            <w:shd w:val="clear" w:color="auto" w:fill="auto"/>
            <w:vAlign w:val="top"/>
          </w:tcPr>
          <w:p w14:paraId="3937B29D">
            <w:pPr>
              <w:pStyle w:val="26"/>
              <w:bidi w:val="0"/>
              <w:rPr>
                <w:rFonts w:hint="eastAsia"/>
                <w:lang w:val="en-US" w:eastAsia="zh-CN"/>
              </w:rPr>
            </w:pPr>
            <w:r>
              <w:rPr>
                <w:rFonts w:hint="eastAsia"/>
                <w:lang w:val="en-US" w:eastAsia="zh-CN"/>
              </w:rPr>
              <w:t>6.90</w:t>
            </w:r>
          </w:p>
        </w:tc>
        <w:tc>
          <w:tcPr>
            <w:tcW w:w="1574" w:type="dxa"/>
            <w:gridSpan w:val="3"/>
            <w:shd w:val="clear" w:color="auto" w:fill="auto"/>
            <w:vAlign w:val="top"/>
          </w:tcPr>
          <w:p w14:paraId="04638C0C">
            <w:pPr>
              <w:pStyle w:val="26"/>
              <w:bidi w:val="0"/>
              <w:rPr>
                <w:rFonts w:hint="eastAsia"/>
                <w:lang w:val="en-US" w:eastAsia="zh-CN"/>
              </w:rPr>
            </w:pPr>
            <w:r>
              <w:rPr>
                <w:rFonts w:hint="eastAsia"/>
                <w:lang w:val="en-US" w:eastAsia="zh-CN"/>
              </w:rPr>
              <w:t>5.57</w:t>
            </w:r>
          </w:p>
        </w:tc>
        <w:tc>
          <w:tcPr>
            <w:tcW w:w="1529" w:type="dxa"/>
            <w:gridSpan w:val="2"/>
            <w:shd w:val="clear" w:color="auto" w:fill="auto"/>
            <w:vAlign w:val="top"/>
          </w:tcPr>
          <w:p w14:paraId="205E0281">
            <w:pPr>
              <w:pStyle w:val="26"/>
              <w:bidi w:val="0"/>
              <w:rPr>
                <w:rFonts w:hint="eastAsia"/>
                <w:lang w:val="en-US" w:eastAsia="zh-CN"/>
              </w:rPr>
            </w:pPr>
            <w:r>
              <w:rPr>
                <w:rFonts w:hint="eastAsia"/>
                <w:lang w:val="en-US" w:eastAsia="zh-CN"/>
              </w:rPr>
              <w:t>8.37</w:t>
            </w:r>
          </w:p>
        </w:tc>
        <w:tc>
          <w:tcPr>
            <w:tcW w:w="1464" w:type="dxa"/>
            <w:gridSpan w:val="2"/>
            <w:shd w:val="clear" w:color="auto" w:fill="auto"/>
            <w:vAlign w:val="top"/>
          </w:tcPr>
          <w:p w14:paraId="27259D11">
            <w:pPr>
              <w:pStyle w:val="26"/>
              <w:bidi w:val="0"/>
              <w:rPr>
                <w:rFonts w:hint="eastAsia"/>
                <w:lang w:val="en-US" w:eastAsia="zh-CN"/>
              </w:rPr>
            </w:pPr>
            <w:r>
              <w:rPr>
                <w:rFonts w:hint="eastAsia"/>
                <w:lang w:val="en-US" w:eastAsia="zh-CN"/>
              </w:rPr>
              <w:t>8.19</w:t>
            </w:r>
          </w:p>
        </w:tc>
        <w:tc>
          <w:tcPr>
            <w:tcW w:w="1460" w:type="dxa"/>
            <w:gridSpan w:val="3"/>
            <w:shd w:val="clear" w:color="auto" w:fill="auto"/>
            <w:vAlign w:val="top"/>
          </w:tcPr>
          <w:p w14:paraId="325210D3">
            <w:pPr>
              <w:pStyle w:val="26"/>
              <w:bidi w:val="0"/>
              <w:rPr>
                <w:rFonts w:hint="eastAsia"/>
                <w:lang w:val="en-US" w:eastAsia="zh-CN"/>
              </w:rPr>
            </w:pPr>
            <w:r>
              <w:rPr>
                <w:rFonts w:hint="eastAsia"/>
                <w:lang w:val="en-US" w:eastAsia="zh-CN"/>
              </w:rPr>
              <w:t>7.78</w:t>
            </w:r>
          </w:p>
        </w:tc>
        <w:tc>
          <w:tcPr>
            <w:tcW w:w="1530" w:type="dxa"/>
            <w:shd w:val="clear" w:color="auto" w:fill="auto"/>
            <w:vAlign w:val="top"/>
          </w:tcPr>
          <w:p w14:paraId="7B27E63C">
            <w:pPr>
              <w:pStyle w:val="26"/>
              <w:bidi w:val="0"/>
              <w:rPr>
                <w:rFonts w:hint="eastAsia"/>
                <w:lang w:val="en-US" w:eastAsia="zh-CN"/>
              </w:rPr>
            </w:pPr>
            <w:r>
              <w:rPr>
                <w:rFonts w:hint="eastAsia"/>
                <w:lang w:val="en-US" w:eastAsia="zh-CN"/>
              </w:rPr>
              <w:t>6.30</w:t>
            </w:r>
          </w:p>
        </w:tc>
        <w:tc>
          <w:tcPr>
            <w:tcW w:w="1259" w:type="dxa"/>
            <w:shd w:val="clear" w:color="auto" w:fill="auto"/>
            <w:vAlign w:val="top"/>
          </w:tcPr>
          <w:p w14:paraId="1B0452C4">
            <w:pPr>
              <w:pStyle w:val="26"/>
              <w:bidi w:val="0"/>
              <w:rPr>
                <w:rFonts w:hint="eastAsia"/>
                <w:lang w:val="en-US" w:eastAsia="zh-CN"/>
              </w:rPr>
            </w:pPr>
            <w:r>
              <w:rPr>
                <w:rFonts w:hint="eastAsia"/>
                <w:lang w:val="en-US" w:eastAsia="zh-CN"/>
              </w:rPr>
              <w:t>60</w:t>
            </w:r>
          </w:p>
        </w:tc>
      </w:tr>
      <w:tr w14:paraId="5B10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241053AD">
            <w:pPr>
              <w:pStyle w:val="26"/>
              <w:bidi w:val="0"/>
              <w:rPr>
                <w:rFonts w:hint="eastAsia"/>
                <w:lang w:val="en-US" w:eastAsia="zh-CN"/>
              </w:rPr>
            </w:pPr>
            <w:r>
              <w:rPr>
                <w:rFonts w:hint="eastAsia"/>
                <w:lang w:val="en-US" w:eastAsia="zh-CN"/>
              </w:rPr>
              <w:t>石油烃（ Clo- C₄o)(mg/kg)</w:t>
            </w:r>
          </w:p>
        </w:tc>
        <w:tc>
          <w:tcPr>
            <w:tcW w:w="1825" w:type="dxa"/>
            <w:shd w:val="clear" w:color="auto" w:fill="auto"/>
            <w:vAlign w:val="top"/>
          </w:tcPr>
          <w:p w14:paraId="312324D1">
            <w:pPr>
              <w:pStyle w:val="26"/>
              <w:bidi w:val="0"/>
              <w:rPr>
                <w:rFonts w:hint="eastAsia"/>
                <w:lang w:val="en-US" w:eastAsia="zh-CN"/>
              </w:rPr>
            </w:pPr>
            <w:r>
              <w:rPr>
                <w:rFonts w:hint="eastAsia"/>
                <w:lang w:val="en-US" w:eastAsia="zh-CN"/>
              </w:rPr>
              <w:t>9</w:t>
            </w:r>
          </w:p>
        </w:tc>
        <w:tc>
          <w:tcPr>
            <w:tcW w:w="1574" w:type="dxa"/>
            <w:gridSpan w:val="3"/>
            <w:shd w:val="clear" w:color="auto" w:fill="auto"/>
            <w:vAlign w:val="top"/>
          </w:tcPr>
          <w:p w14:paraId="7627079D">
            <w:pPr>
              <w:pStyle w:val="26"/>
              <w:bidi w:val="0"/>
              <w:rPr>
                <w:rFonts w:hint="eastAsia"/>
                <w:lang w:val="en-US" w:eastAsia="zh-CN"/>
              </w:rPr>
            </w:pPr>
            <w:r>
              <w:rPr>
                <w:rFonts w:hint="eastAsia"/>
                <w:lang w:val="en-US" w:eastAsia="zh-CN"/>
              </w:rPr>
              <w:t>9</w:t>
            </w:r>
          </w:p>
        </w:tc>
        <w:tc>
          <w:tcPr>
            <w:tcW w:w="1529" w:type="dxa"/>
            <w:gridSpan w:val="2"/>
            <w:shd w:val="clear" w:color="auto" w:fill="auto"/>
            <w:vAlign w:val="top"/>
          </w:tcPr>
          <w:p w14:paraId="7804D8E2">
            <w:pPr>
              <w:pStyle w:val="26"/>
              <w:bidi w:val="0"/>
              <w:rPr>
                <w:rFonts w:hint="eastAsia"/>
                <w:lang w:val="en-US" w:eastAsia="zh-CN"/>
              </w:rPr>
            </w:pPr>
            <w:r>
              <w:rPr>
                <w:rFonts w:hint="eastAsia"/>
                <w:lang w:val="en-US" w:eastAsia="zh-CN"/>
              </w:rPr>
              <w:t>30</w:t>
            </w:r>
          </w:p>
        </w:tc>
        <w:tc>
          <w:tcPr>
            <w:tcW w:w="1464" w:type="dxa"/>
            <w:gridSpan w:val="2"/>
            <w:shd w:val="clear" w:color="auto" w:fill="auto"/>
            <w:vAlign w:val="top"/>
          </w:tcPr>
          <w:p w14:paraId="0980FBF0">
            <w:pPr>
              <w:pStyle w:val="26"/>
              <w:bidi w:val="0"/>
              <w:rPr>
                <w:rFonts w:hint="eastAsia"/>
                <w:lang w:val="en-US" w:eastAsia="zh-CN"/>
              </w:rPr>
            </w:pPr>
            <w:r>
              <w:rPr>
                <w:rFonts w:hint="eastAsia"/>
                <w:lang w:val="en-US" w:eastAsia="zh-CN"/>
              </w:rPr>
              <w:t>29</w:t>
            </w:r>
          </w:p>
        </w:tc>
        <w:tc>
          <w:tcPr>
            <w:tcW w:w="1460" w:type="dxa"/>
            <w:gridSpan w:val="3"/>
            <w:shd w:val="clear" w:color="auto" w:fill="auto"/>
            <w:vAlign w:val="top"/>
          </w:tcPr>
          <w:p w14:paraId="1D60B248">
            <w:pPr>
              <w:pStyle w:val="26"/>
              <w:bidi w:val="0"/>
              <w:rPr>
                <w:rFonts w:hint="eastAsia"/>
                <w:lang w:val="en-US" w:eastAsia="zh-CN"/>
              </w:rPr>
            </w:pPr>
            <w:r>
              <w:rPr>
                <w:rFonts w:hint="eastAsia"/>
                <w:lang w:val="en-US" w:eastAsia="zh-CN"/>
              </w:rPr>
              <w:t>19</w:t>
            </w:r>
          </w:p>
        </w:tc>
        <w:tc>
          <w:tcPr>
            <w:tcW w:w="1530" w:type="dxa"/>
            <w:shd w:val="clear" w:color="auto" w:fill="auto"/>
            <w:vAlign w:val="top"/>
          </w:tcPr>
          <w:p w14:paraId="5C48D78D">
            <w:pPr>
              <w:pStyle w:val="26"/>
              <w:bidi w:val="0"/>
              <w:rPr>
                <w:rFonts w:hint="eastAsia"/>
                <w:lang w:val="en-US" w:eastAsia="zh-CN"/>
              </w:rPr>
            </w:pPr>
            <w:r>
              <w:rPr>
                <w:rFonts w:hint="eastAsia"/>
                <w:lang w:val="en-US" w:eastAsia="zh-CN"/>
              </w:rPr>
              <w:t>19</w:t>
            </w:r>
          </w:p>
        </w:tc>
        <w:tc>
          <w:tcPr>
            <w:tcW w:w="1259" w:type="dxa"/>
            <w:shd w:val="clear" w:color="auto" w:fill="auto"/>
            <w:vAlign w:val="top"/>
          </w:tcPr>
          <w:p w14:paraId="27DAFADD">
            <w:pPr>
              <w:pStyle w:val="26"/>
              <w:bidi w:val="0"/>
              <w:rPr>
                <w:rFonts w:hint="eastAsia"/>
                <w:lang w:val="en-US" w:eastAsia="zh-CN"/>
              </w:rPr>
            </w:pPr>
            <w:r>
              <w:rPr>
                <w:rFonts w:hint="eastAsia"/>
                <w:lang w:val="en-US" w:eastAsia="zh-CN"/>
              </w:rPr>
              <w:t>4500</w:t>
            </w:r>
          </w:p>
        </w:tc>
      </w:tr>
      <w:tr w14:paraId="2707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restart"/>
            <w:shd w:val="clear" w:color="auto" w:fill="auto"/>
            <w:vAlign w:val="center"/>
          </w:tcPr>
          <w:p w14:paraId="23646F53">
            <w:pPr>
              <w:pStyle w:val="26"/>
              <w:bidi w:val="0"/>
              <w:rPr>
                <w:rFonts w:hint="eastAsia"/>
                <w:lang w:val="en-US" w:eastAsia="zh-CN"/>
              </w:rPr>
            </w:pPr>
            <w:r>
              <w:rPr>
                <w:rFonts w:hint="eastAsia"/>
                <w:lang w:val="en-US" w:eastAsia="zh-CN"/>
              </w:rPr>
              <w:t>半挥发性有机物(mg/kg)</w:t>
            </w:r>
          </w:p>
        </w:tc>
        <w:tc>
          <w:tcPr>
            <w:tcW w:w="1858" w:type="dxa"/>
            <w:gridSpan w:val="2"/>
            <w:shd w:val="clear" w:color="auto" w:fill="auto"/>
            <w:vAlign w:val="top"/>
          </w:tcPr>
          <w:p w14:paraId="10EDEB52">
            <w:pPr>
              <w:pStyle w:val="26"/>
              <w:bidi w:val="0"/>
              <w:rPr>
                <w:rFonts w:hint="eastAsia"/>
                <w:lang w:val="en-US" w:eastAsia="zh-CN"/>
              </w:rPr>
            </w:pPr>
            <w:r>
              <w:rPr>
                <w:rFonts w:hint="eastAsia"/>
                <w:lang w:val="en-US" w:eastAsia="zh-CN"/>
              </w:rPr>
              <w:t>2-氯苯酚</w:t>
            </w:r>
          </w:p>
        </w:tc>
        <w:tc>
          <w:tcPr>
            <w:tcW w:w="1825" w:type="dxa"/>
            <w:shd w:val="clear" w:color="auto" w:fill="auto"/>
            <w:vAlign w:val="top"/>
          </w:tcPr>
          <w:p w14:paraId="602DB6C1">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1261586D">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28B0D236">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7DCB3A51">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5E7C83B8">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98AF00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44DD62E">
            <w:pPr>
              <w:pStyle w:val="26"/>
              <w:bidi w:val="0"/>
              <w:rPr>
                <w:rFonts w:hint="eastAsia"/>
                <w:lang w:val="en-US" w:eastAsia="zh-CN"/>
              </w:rPr>
            </w:pPr>
            <w:r>
              <w:rPr>
                <w:rFonts w:hint="eastAsia"/>
                <w:lang w:val="en-US" w:eastAsia="zh-CN"/>
              </w:rPr>
              <w:t>2256</w:t>
            </w:r>
          </w:p>
        </w:tc>
      </w:tr>
      <w:tr w14:paraId="3EEB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0337D73">
            <w:pPr>
              <w:pStyle w:val="26"/>
              <w:bidi w:val="0"/>
              <w:rPr>
                <w:rFonts w:hint="eastAsia"/>
                <w:lang w:val="en-US" w:eastAsia="zh-CN"/>
              </w:rPr>
            </w:pPr>
          </w:p>
        </w:tc>
        <w:tc>
          <w:tcPr>
            <w:tcW w:w="1858" w:type="dxa"/>
            <w:gridSpan w:val="2"/>
            <w:shd w:val="clear" w:color="auto" w:fill="auto"/>
            <w:vAlign w:val="top"/>
          </w:tcPr>
          <w:p w14:paraId="35F4CA98">
            <w:pPr>
              <w:pStyle w:val="26"/>
              <w:bidi w:val="0"/>
              <w:rPr>
                <w:rFonts w:hint="eastAsia"/>
                <w:lang w:val="en-US" w:eastAsia="zh-CN"/>
              </w:rPr>
            </w:pPr>
            <w:r>
              <w:rPr>
                <w:rFonts w:hint="eastAsia"/>
                <w:lang w:val="en-US" w:eastAsia="zh-CN"/>
              </w:rPr>
              <w:t>硝基苯</w:t>
            </w:r>
          </w:p>
        </w:tc>
        <w:tc>
          <w:tcPr>
            <w:tcW w:w="1825" w:type="dxa"/>
            <w:shd w:val="clear" w:color="auto" w:fill="auto"/>
            <w:vAlign w:val="top"/>
          </w:tcPr>
          <w:p w14:paraId="2F91910A">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AEF028E">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E02CE54">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B9C29BC">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B14A7D7">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FECF5E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2211997">
            <w:pPr>
              <w:pStyle w:val="26"/>
              <w:bidi w:val="0"/>
              <w:rPr>
                <w:rFonts w:hint="eastAsia"/>
                <w:lang w:val="en-US" w:eastAsia="zh-CN"/>
              </w:rPr>
            </w:pPr>
            <w:r>
              <w:rPr>
                <w:rFonts w:hint="eastAsia"/>
                <w:lang w:val="en-US" w:eastAsia="zh-CN"/>
              </w:rPr>
              <w:t>76</w:t>
            </w:r>
          </w:p>
        </w:tc>
      </w:tr>
      <w:tr w14:paraId="3D95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15EBCBB">
            <w:pPr>
              <w:pStyle w:val="26"/>
              <w:bidi w:val="0"/>
              <w:rPr>
                <w:rFonts w:hint="eastAsia"/>
                <w:lang w:val="en-US" w:eastAsia="zh-CN"/>
              </w:rPr>
            </w:pPr>
          </w:p>
        </w:tc>
        <w:tc>
          <w:tcPr>
            <w:tcW w:w="1858" w:type="dxa"/>
            <w:gridSpan w:val="2"/>
            <w:shd w:val="clear" w:color="auto" w:fill="auto"/>
            <w:vAlign w:val="top"/>
          </w:tcPr>
          <w:p w14:paraId="0D9C56B7">
            <w:pPr>
              <w:pStyle w:val="26"/>
              <w:bidi w:val="0"/>
              <w:rPr>
                <w:rFonts w:hint="eastAsia"/>
                <w:lang w:val="en-US" w:eastAsia="zh-CN"/>
              </w:rPr>
            </w:pPr>
            <w:r>
              <w:rPr>
                <w:rFonts w:hint="eastAsia"/>
                <w:lang w:val="en-US" w:eastAsia="zh-CN"/>
              </w:rPr>
              <w:t>萘</w:t>
            </w:r>
          </w:p>
        </w:tc>
        <w:tc>
          <w:tcPr>
            <w:tcW w:w="1825" w:type="dxa"/>
            <w:shd w:val="clear" w:color="auto" w:fill="auto"/>
            <w:vAlign w:val="top"/>
          </w:tcPr>
          <w:p w14:paraId="212F97F7">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2BFB629">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BC5030F">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BAC657D">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2370474">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01E7147">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FAD7369">
            <w:pPr>
              <w:pStyle w:val="26"/>
              <w:bidi w:val="0"/>
              <w:rPr>
                <w:rFonts w:hint="eastAsia"/>
                <w:lang w:val="en-US" w:eastAsia="zh-CN"/>
              </w:rPr>
            </w:pPr>
            <w:r>
              <w:rPr>
                <w:rFonts w:hint="eastAsia"/>
                <w:lang w:val="en-US" w:eastAsia="zh-CN"/>
              </w:rPr>
              <w:t>70</w:t>
            </w:r>
          </w:p>
        </w:tc>
      </w:tr>
      <w:tr w14:paraId="5141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3832782">
            <w:pPr>
              <w:pStyle w:val="26"/>
              <w:bidi w:val="0"/>
              <w:rPr>
                <w:rFonts w:hint="eastAsia"/>
                <w:lang w:val="en-US" w:eastAsia="zh-CN"/>
              </w:rPr>
            </w:pPr>
          </w:p>
        </w:tc>
        <w:tc>
          <w:tcPr>
            <w:tcW w:w="1858" w:type="dxa"/>
            <w:gridSpan w:val="2"/>
            <w:shd w:val="clear" w:color="auto" w:fill="auto"/>
            <w:vAlign w:val="top"/>
          </w:tcPr>
          <w:p w14:paraId="4BA899D9">
            <w:pPr>
              <w:pStyle w:val="26"/>
              <w:bidi w:val="0"/>
              <w:rPr>
                <w:rFonts w:hint="eastAsia"/>
                <w:lang w:val="en-US" w:eastAsia="zh-CN"/>
              </w:rPr>
            </w:pPr>
            <w:r>
              <w:rPr>
                <w:rFonts w:hint="eastAsia"/>
                <w:lang w:val="en-US" w:eastAsia="zh-CN"/>
              </w:rPr>
              <w:t>苯并（a）蒽</w:t>
            </w:r>
          </w:p>
        </w:tc>
        <w:tc>
          <w:tcPr>
            <w:tcW w:w="1825" w:type="dxa"/>
            <w:shd w:val="clear" w:color="auto" w:fill="auto"/>
            <w:vAlign w:val="top"/>
          </w:tcPr>
          <w:p w14:paraId="087E65EC">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A0F4BC5">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348D05D9">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663EFE40">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58DB1231">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76F8702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C6FDE41">
            <w:pPr>
              <w:pStyle w:val="26"/>
              <w:bidi w:val="0"/>
              <w:rPr>
                <w:rFonts w:hint="eastAsia"/>
                <w:lang w:val="en-US" w:eastAsia="zh-CN"/>
              </w:rPr>
            </w:pPr>
            <w:r>
              <w:rPr>
                <w:rFonts w:hint="eastAsia"/>
                <w:lang w:val="en-US" w:eastAsia="zh-CN"/>
              </w:rPr>
              <w:t>15</w:t>
            </w:r>
          </w:p>
        </w:tc>
      </w:tr>
      <w:tr w14:paraId="7951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BB64E23">
            <w:pPr>
              <w:pStyle w:val="26"/>
              <w:bidi w:val="0"/>
              <w:rPr>
                <w:rFonts w:hint="eastAsia"/>
                <w:lang w:val="en-US" w:eastAsia="zh-CN"/>
              </w:rPr>
            </w:pPr>
          </w:p>
        </w:tc>
        <w:tc>
          <w:tcPr>
            <w:tcW w:w="1858" w:type="dxa"/>
            <w:gridSpan w:val="2"/>
            <w:shd w:val="clear" w:color="auto" w:fill="auto"/>
            <w:vAlign w:val="top"/>
          </w:tcPr>
          <w:p w14:paraId="2D909CA9">
            <w:pPr>
              <w:pStyle w:val="26"/>
              <w:bidi w:val="0"/>
              <w:rPr>
                <w:rFonts w:hint="eastAsia"/>
                <w:lang w:val="en-US" w:eastAsia="zh-CN"/>
              </w:rPr>
            </w:pPr>
            <w:r>
              <w:rPr>
                <w:rFonts w:hint="eastAsia"/>
                <w:lang w:val="en-US" w:eastAsia="zh-CN"/>
              </w:rPr>
              <w:t>萬</w:t>
            </w:r>
          </w:p>
        </w:tc>
        <w:tc>
          <w:tcPr>
            <w:tcW w:w="1825" w:type="dxa"/>
            <w:shd w:val="clear" w:color="auto" w:fill="auto"/>
            <w:vAlign w:val="top"/>
          </w:tcPr>
          <w:p w14:paraId="6EF4E3A9">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1C690F96">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364E5DCC">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1768D2D">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63F5BAC">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C03307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B5D2734">
            <w:pPr>
              <w:pStyle w:val="26"/>
              <w:bidi w:val="0"/>
              <w:rPr>
                <w:rFonts w:hint="eastAsia"/>
                <w:lang w:val="en-US" w:eastAsia="zh-CN"/>
              </w:rPr>
            </w:pPr>
            <w:r>
              <w:rPr>
                <w:rFonts w:hint="eastAsia"/>
                <w:lang w:val="en-US" w:eastAsia="zh-CN"/>
              </w:rPr>
              <w:t>1293</w:t>
            </w:r>
          </w:p>
        </w:tc>
      </w:tr>
      <w:tr w14:paraId="506E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53514095">
            <w:pPr>
              <w:pStyle w:val="26"/>
              <w:bidi w:val="0"/>
              <w:rPr>
                <w:rFonts w:hint="eastAsia"/>
                <w:lang w:val="en-US" w:eastAsia="zh-CN"/>
              </w:rPr>
            </w:pPr>
          </w:p>
        </w:tc>
        <w:tc>
          <w:tcPr>
            <w:tcW w:w="1858" w:type="dxa"/>
            <w:gridSpan w:val="2"/>
            <w:shd w:val="clear" w:color="auto" w:fill="auto"/>
            <w:vAlign w:val="top"/>
          </w:tcPr>
          <w:p w14:paraId="604AD8AD">
            <w:pPr>
              <w:pStyle w:val="26"/>
              <w:bidi w:val="0"/>
              <w:rPr>
                <w:rFonts w:hint="eastAsia"/>
                <w:lang w:val="en-US" w:eastAsia="zh-CN"/>
              </w:rPr>
            </w:pPr>
            <w:r>
              <w:rPr>
                <w:rFonts w:hint="eastAsia"/>
                <w:lang w:val="en-US" w:eastAsia="zh-CN"/>
              </w:rPr>
              <w:t>苯胺</w:t>
            </w:r>
          </w:p>
        </w:tc>
        <w:tc>
          <w:tcPr>
            <w:tcW w:w="1825" w:type="dxa"/>
            <w:shd w:val="clear" w:color="auto" w:fill="auto"/>
            <w:vAlign w:val="top"/>
          </w:tcPr>
          <w:p w14:paraId="0D452CB9">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14664CB5">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64E8AAC5">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77E96D90">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C7F12D8">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61AEF459">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43530DA">
            <w:pPr>
              <w:pStyle w:val="26"/>
              <w:bidi w:val="0"/>
              <w:rPr>
                <w:rFonts w:hint="eastAsia"/>
                <w:lang w:val="en-US" w:eastAsia="zh-CN"/>
              </w:rPr>
            </w:pPr>
            <w:r>
              <w:rPr>
                <w:rFonts w:hint="eastAsia"/>
                <w:lang w:val="en-US" w:eastAsia="zh-CN"/>
              </w:rPr>
              <w:t>260</w:t>
            </w:r>
          </w:p>
        </w:tc>
      </w:tr>
      <w:tr w14:paraId="7D1D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2274266">
            <w:pPr>
              <w:pStyle w:val="26"/>
              <w:bidi w:val="0"/>
              <w:rPr>
                <w:rFonts w:hint="eastAsia"/>
                <w:lang w:val="en-US" w:eastAsia="zh-CN"/>
              </w:rPr>
            </w:pPr>
          </w:p>
        </w:tc>
        <w:tc>
          <w:tcPr>
            <w:tcW w:w="1858" w:type="dxa"/>
            <w:gridSpan w:val="2"/>
            <w:shd w:val="clear" w:color="auto" w:fill="auto"/>
            <w:vAlign w:val="top"/>
          </w:tcPr>
          <w:p w14:paraId="14647C72">
            <w:pPr>
              <w:pStyle w:val="26"/>
              <w:bidi w:val="0"/>
              <w:rPr>
                <w:rFonts w:hint="eastAsia"/>
                <w:lang w:val="en-US" w:eastAsia="zh-CN"/>
              </w:rPr>
            </w:pPr>
            <w:r>
              <w:rPr>
                <w:rFonts w:hint="eastAsia"/>
                <w:lang w:val="en-US" w:eastAsia="zh-CN"/>
              </w:rPr>
              <w:t>苯并（b）荧蒽</w:t>
            </w:r>
          </w:p>
        </w:tc>
        <w:tc>
          <w:tcPr>
            <w:tcW w:w="1825" w:type="dxa"/>
            <w:shd w:val="clear" w:color="auto" w:fill="auto"/>
            <w:vAlign w:val="top"/>
          </w:tcPr>
          <w:p w14:paraId="096788EE">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D29F2D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107D38BA">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7F51F345">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4EE668C">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8F3F87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2EBD8D9">
            <w:pPr>
              <w:pStyle w:val="26"/>
              <w:bidi w:val="0"/>
              <w:rPr>
                <w:rFonts w:hint="eastAsia"/>
                <w:lang w:val="en-US" w:eastAsia="zh-CN"/>
              </w:rPr>
            </w:pPr>
            <w:r>
              <w:rPr>
                <w:rFonts w:hint="eastAsia"/>
                <w:lang w:val="en-US" w:eastAsia="zh-CN"/>
              </w:rPr>
              <w:t>15</w:t>
            </w:r>
          </w:p>
        </w:tc>
      </w:tr>
      <w:tr w14:paraId="64ED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180C206D">
            <w:pPr>
              <w:pStyle w:val="26"/>
              <w:bidi w:val="0"/>
              <w:rPr>
                <w:rFonts w:hint="eastAsia"/>
                <w:lang w:val="en-US" w:eastAsia="zh-CN"/>
              </w:rPr>
            </w:pPr>
          </w:p>
        </w:tc>
        <w:tc>
          <w:tcPr>
            <w:tcW w:w="1858" w:type="dxa"/>
            <w:gridSpan w:val="2"/>
            <w:shd w:val="clear" w:color="auto" w:fill="auto"/>
            <w:vAlign w:val="top"/>
          </w:tcPr>
          <w:p w14:paraId="6DB12F86">
            <w:pPr>
              <w:pStyle w:val="26"/>
              <w:bidi w:val="0"/>
              <w:rPr>
                <w:rFonts w:hint="eastAsia"/>
                <w:lang w:val="en-US" w:eastAsia="zh-CN"/>
              </w:rPr>
            </w:pPr>
            <w:r>
              <w:rPr>
                <w:rFonts w:hint="eastAsia"/>
                <w:lang w:val="en-US" w:eastAsia="zh-CN"/>
              </w:rPr>
              <w:t>苯并（k）荧蒽</w:t>
            </w:r>
          </w:p>
        </w:tc>
        <w:tc>
          <w:tcPr>
            <w:tcW w:w="1825" w:type="dxa"/>
            <w:shd w:val="clear" w:color="auto" w:fill="auto"/>
            <w:vAlign w:val="top"/>
          </w:tcPr>
          <w:p w14:paraId="52CE7C5D">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B77891E">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2E92997">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653FC708">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EC653DB">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0E7774F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0423384">
            <w:pPr>
              <w:pStyle w:val="26"/>
              <w:bidi w:val="0"/>
              <w:rPr>
                <w:rFonts w:hint="eastAsia"/>
                <w:lang w:val="en-US" w:eastAsia="zh-CN"/>
              </w:rPr>
            </w:pPr>
            <w:r>
              <w:rPr>
                <w:rFonts w:hint="eastAsia"/>
                <w:lang w:val="en-US" w:eastAsia="zh-CN"/>
              </w:rPr>
              <w:t>151</w:t>
            </w:r>
          </w:p>
        </w:tc>
      </w:tr>
      <w:tr w14:paraId="31EB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5EE9050">
            <w:pPr>
              <w:pStyle w:val="26"/>
              <w:bidi w:val="0"/>
              <w:rPr>
                <w:rFonts w:hint="eastAsia"/>
                <w:lang w:val="en-US" w:eastAsia="zh-CN"/>
              </w:rPr>
            </w:pPr>
          </w:p>
        </w:tc>
        <w:tc>
          <w:tcPr>
            <w:tcW w:w="1858" w:type="dxa"/>
            <w:gridSpan w:val="2"/>
            <w:shd w:val="clear" w:color="auto" w:fill="auto"/>
            <w:vAlign w:val="top"/>
          </w:tcPr>
          <w:p w14:paraId="76DECA57">
            <w:pPr>
              <w:pStyle w:val="26"/>
              <w:bidi w:val="0"/>
              <w:rPr>
                <w:rFonts w:hint="eastAsia"/>
                <w:lang w:val="en-US" w:eastAsia="zh-CN"/>
              </w:rPr>
            </w:pPr>
            <w:r>
              <w:rPr>
                <w:rFonts w:hint="eastAsia"/>
                <w:lang w:val="en-US" w:eastAsia="zh-CN"/>
              </w:rPr>
              <w:t>苯并（a）芘</w:t>
            </w:r>
          </w:p>
        </w:tc>
        <w:tc>
          <w:tcPr>
            <w:tcW w:w="1825" w:type="dxa"/>
            <w:shd w:val="clear" w:color="auto" w:fill="auto"/>
            <w:vAlign w:val="top"/>
          </w:tcPr>
          <w:p w14:paraId="05596483">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71108247">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8DA780C">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05F1EAE">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EDD4A5C">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7C4644B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3657145">
            <w:pPr>
              <w:pStyle w:val="26"/>
              <w:bidi w:val="0"/>
              <w:rPr>
                <w:rFonts w:hint="eastAsia"/>
                <w:lang w:val="en-US" w:eastAsia="zh-CN"/>
              </w:rPr>
            </w:pPr>
            <w:r>
              <w:rPr>
                <w:rFonts w:hint="eastAsia"/>
                <w:lang w:val="en-US" w:eastAsia="zh-CN"/>
              </w:rPr>
              <w:t>1.5</w:t>
            </w:r>
          </w:p>
        </w:tc>
      </w:tr>
      <w:tr w14:paraId="1C92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32266851">
            <w:pPr>
              <w:pStyle w:val="26"/>
              <w:bidi w:val="0"/>
              <w:rPr>
                <w:rFonts w:hint="eastAsia"/>
                <w:lang w:val="en-US" w:eastAsia="zh-CN"/>
              </w:rPr>
            </w:pPr>
          </w:p>
        </w:tc>
        <w:tc>
          <w:tcPr>
            <w:tcW w:w="1858" w:type="dxa"/>
            <w:gridSpan w:val="2"/>
            <w:shd w:val="clear" w:color="auto" w:fill="auto"/>
            <w:vAlign w:val="top"/>
          </w:tcPr>
          <w:p w14:paraId="434374FC">
            <w:pPr>
              <w:pStyle w:val="26"/>
              <w:bidi w:val="0"/>
              <w:rPr>
                <w:rFonts w:hint="eastAsia"/>
                <w:lang w:val="en-US" w:eastAsia="zh-CN"/>
              </w:rPr>
            </w:pPr>
            <w:r>
              <w:rPr>
                <w:rFonts w:hint="eastAsia"/>
                <w:lang w:val="en-US" w:eastAsia="zh-CN"/>
              </w:rPr>
              <w:t>茚并（1,2,3-cd）芘</w:t>
            </w:r>
          </w:p>
        </w:tc>
        <w:tc>
          <w:tcPr>
            <w:tcW w:w="1825" w:type="dxa"/>
            <w:shd w:val="clear" w:color="auto" w:fill="auto"/>
            <w:vAlign w:val="top"/>
          </w:tcPr>
          <w:p w14:paraId="6480299A">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6F20FADA">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61AFB4F2">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34E32C9F">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01ABA09">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01A9983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CABBE3B">
            <w:pPr>
              <w:pStyle w:val="26"/>
              <w:bidi w:val="0"/>
              <w:rPr>
                <w:rFonts w:hint="eastAsia"/>
                <w:lang w:val="en-US" w:eastAsia="zh-CN"/>
              </w:rPr>
            </w:pPr>
            <w:r>
              <w:rPr>
                <w:rFonts w:hint="eastAsia"/>
                <w:lang w:val="en-US" w:eastAsia="zh-CN"/>
              </w:rPr>
              <w:t>15</w:t>
            </w:r>
          </w:p>
        </w:tc>
      </w:tr>
      <w:tr w14:paraId="2563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7" w:type="dxa"/>
            <w:gridSpan w:val="4"/>
            <w:vMerge w:val="continue"/>
            <w:shd w:val="clear" w:color="auto" w:fill="auto"/>
            <w:vAlign w:val="top"/>
          </w:tcPr>
          <w:p w14:paraId="26334B6B">
            <w:pPr>
              <w:pStyle w:val="26"/>
              <w:bidi w:val="0"/>
              <w:rPr>
                <w:rFonts w:hint="eastAsia"/>
                <w:lang w:val="en-US" w:eastAsia="zh-CN"/>
              </w:rPr>
            </w:pPr>
          </w:p>
        </w:tc>
        <w:tc>
          <w:tcPr>
            <w:tcW w:w="1858" w:type="dxa"/>
            <w:gridSpan w:val="2"/>
            <w:shd w:val="clear" w:color="auto" w:fill="auto"/>
            <w:vAlign w:val="top"/>
          </w:tcPr>
          <w:p w14:paraId="40E3A5CA">
            <w:pPr>
              <w:pStyle w:val="26"/>
              <w:bidi w:val="0"/>
              <w:rPr>
                <w:rFonts w:hint="eastAsia"/>
                <w:lang w:val="en-US" w:eastAsia="zh-CN"/>
              </w:rPr>
            </w:pPr>
            <w:r>
              <w:rPr>
                <w:rFonts w:hint="eastAsia"/>
                <w:lang w:val="en-US" w:eastAsia="zh-CN"/>
              </w:rPr>
              <w:t>二苯并（ah）蒽</w:t>
            </w:r>
          </w:p>
        </w:tc>
        <w:tc>
          <w:tcPr>
            <w:tcW w:w="1825" w:type="dxa"/>
            <w:shd w:val="clear" w:color="auto" w:fill="auto"/>
            <w:vAlign w:val="top"/>
          </w:tcPr>
          <w:p w14:paraId="30249B52">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2E78D686">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C3B0FB1">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72CFCC0">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648B8BC">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85E089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C38B7A5">
            <w:pPr>
              <w:pStyle w:val="26"/>
              <w:bidi w:val="0"/>
              <w:rPr>
                <w:rFonts w:hint="eastAsia"/>
                <w:lang w:val="en-US" w:eastAsia="zh-CN"/>
              </w:rPr>
            </w:pPr>
            <w:r>
              <w:rPr>
                <w:rFonts w:hint="eastAsia"/>
                <w:lang w:val="en-US" w:eastAsia="zh-CN"/>
              </w:rPr>
              <w:t>1.5</w:t>
            </w:r>
          </w:p>
        </w:tc>
      </w:tr>
      <w:tr w14:paraId="48D2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shd w:val="clear" w:color="auto" w:fill="auto"/>
            <w:vAlign w:val="top"/>
          </w:tcPr>
          <w:p w14:paraId="556F21ED">
            <w:pPr>
              <w:pStyle w:val="26"/>
              <w:bidi w:val="0"/>
              <w:rPr>
                <w:rFonts w:hint="eastAsia"/>
                <w:lang w:val="en-US" w:eastAsia="zh-CN"/>
              </w:rPr>
            </w:pPr>
            <w:r>
              <w:rPr>
                <w:rFonts w:hint="eastAsia"/>
                <w:lang w:val="en-US" w:eastAsia="zh-CN"/>
              </w:rPr>
              <w:t>样品状态</w:t>
            </w:r>
          </w:p>
        </w:tc>
        <w:tc>
          <w:tcPr>
            <w:tcW w:w="1825" w:type="dxa"/>
            <w:shd w:val="clear" w:color="auto" w:fill="auto"/>
            <w:vAlign w:val="center"/>
          </w:tcPr>
          <w:p w14:paraId="3323F7CA">
            <w:pPr>
              <w:pStyle w:val="26"/>
              <w:bidi w:val="0"/>
              <w:rPr>
                <w:rFonts w:hint="eastAsia"/>
                <w:lang w:val="en-US" w:eastAsia="en-US"/>
              </w:rPr>
            </w:pPr>
            <w:r>
              <w:rPr>
                <w:rFonts w:hint="eastAsia"/>
                <w:lang w:val="en-US" w:eastAsia="zh-CN"/>
              </w:rPr>
              <w:t>显灰色  呈素填土</w:t>
            </w:r>
          </w:p>
        </w:tc>
        <w:tc>
          <w:tcPr>
            <w:tcW w:w="1574" w:type="dxa"/>
            <w:gridSpan w:val="3"/>
            <w:shd w:val="clear" w:color="auto" w:fill="auto"/>
            <w:vAlign w:val="center"/>
          </w:tcPr>
          <w:p w14:paraId="5A614B6B">
            <w:pPr>
              <w:pStyle w:val="26"/>
              <w:bidi w:val="0"/>
              <w:rPr>
                <w:rFonts w:hint="eastAsia"/>
                <w:lang w:val="en-US" w:eastAsia="en-US"/>
              </w:rPr>
            </w:pPr>
            <w:r>
              <w:rPr>
                <w:rFonts w:hint="eastAsia"/>
                <w:lang w:val="en-US" w:eastAsia="zh-CN"/>
              </w:rPr>
              <w:t>显灰色，呈黏土</w:t>
            </w:r>
          </w:p>
        </w:tc>
        <w:tc>
          <w:tcPr>
            <w:tcW w:w="1529" w:type="dxa"/>
            <w:gridSpan w:val="2"/>
            <w:shd w:val="clear" w:color="auto" w:fill="auto"/>
            <w:vAlign w:val="center"/>
          </w:tcPr>
          <w:p w14:paraId="37422B57">
            <w:pPr>
              <w:pStyle w:val="26"/>
              <w:bidi w:val="0"/>
              <w:rPr>
                <w:rFonts w:hint="eastAsia"/>
                <w:lang w:val="en-US" w:eastAsia="en-US"/>
              </w:rPr>
            </w:pPr>
            <w:r>
              <w:rPr>
                <w:rFonts w:hint="eastAsia"/>
                <w:lang w:val="en-US" w:eastAsia="zh-CN"/>
              </w:rPr>
              <w:t>显灰色，呈粉质粘土</w:t>
            </w:r>
          </w:p>
        </w:tc>
        <w:tc>
          <w:tcPr>
            <w:tcW w:w="1464" w:type="dxa"/>
            <w:gridSpan w:val="2"/>
            <w:shd w:val="clear" w:color="auto" w:fill="auto"/>
            <w:vAlign w:val="center"/>
          </w:tcPr>
          <w:p w14:paraId="3C10D872">
            <w:pPr>
              <w:pStyle w:val="26"/>
              <w:bidi w:val="0"/>
              <w:rPr>
                <w:rFonts w:hint="eastAsia"/>
                <w:lang w:val="en-US" w:eastAsia="en-US"/>
              </w:rPr>
            </w:pPr>
            <w:r>
              <w:rPr>
                <w:rFonts w:hint="eastAsia"/>
                <w:lang w:val="en-US" w:eastAsia="zh-CN"/>
              </w:rPr>
              <w:t>显灰色，呈素填土</w:t>
            </w:r>
          </w:p>
        </w:tc>
        <w:tc>
          <w:tcPr>
            <w:tcW w:w="1460" w:type="dxa"/>
            <w:gridSpan w:val="3"/>
            <w:shd w:val="clear" w:color="auto" w:fill="auto"/>
            <w:vAlign w:val="center"/>
          </w:tcPr>
          <w:p w14:paraId="60B2D9B6">
            <w:pPr>
              <w:pStyle w:val="26"/>
              <w:bidi w:val="0"/>
              <w:rPr>
                <w:rFonts w:hint="eastAsia"/>
                <w:lang w:val="en-US" w:eastAsia="en-US"/>
              </w:rPr>
            </w:pPr>
            <w:r>
              <w:rPr>
                <w:rFonts w:hint="eastAsia"/>
                <w:lang w:val="en-US" w:eastAsia="zh-CN"/>
              </w:rPr>
              <w:t>显灰色，呈黏土</w:t>
            </w:r>
          </w:p>
        </w:tc>
        <w:tc>
          <w:tcPr>
            <w:tcW w:w="1530" w:type="dxa"/>
            <w:shd w:val="clear" w:color="auto" w:fill="auto"/>
            <w:vAlign w:val="center"/>
          </w:tcPr>
          <w:p w14:paraId="65AB8CC9">
            <w:pPr>
              <w:pStyle w:val="26"/>
              <w:bidi w:val="0"/>
              <w:rPr>
                <w:rFonts w:hint="eastAsia"/>
                <w:lang w:val="en-US" w:eastAsia="en-US"/>
              </w:rPr>
            </w:pPr>
            <w:r>
              <w:rPr>
                <w:rFonts w:hint="eastAsia"/>
                <w:lang w:val="en-US" w:eastAsia="zh-CN"/>
              </w:rPr>
              <w:t>显灰色，呈粉质粘土</w:t>
            </w:r>
          </w:p>
        </w:tc>
        <w:tc>
          <w:tcPr>
            <w:tcW w:w="1259" w:type="dxa"/>
            <w:shd w:val="clear" w:color="auto" w:fill="auto"/>
            <w:vAlign w:val="center"/>
          </w:tcPr>
          <w:p w14:paraId="53E5A842">
            <w:pPr>
              <w:pStyle w:val="26"/>
              <w:bidi w:val="0"/>
              <w:rPr>
                <w:rFonts w:hint="eastAsia"/>
                <w:lang w:val="en-US" w:eastAsia="zh-CN"/>
              </w:rPr>
            </w:pPr>
            <w:r>
              <w:rPr>
                <w:rFonts w:hint="eastAsia"/>
                <w:lang w:val="en-US" w:eastAsia="zh-CN"/>
              </w:rPr>
              <w:t>/</w:t>
            </w:r>
          </w:p>
        </w:tc>
      </w:tr>
      <w:tr w14:paraId="359F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vMerge w:val="restart"/>
            <w:tcBorders>
              <w:tl2br w:val="single" w:color="auto" w:sz="4" w:space="0"/>
            </w:tcBorders>
            <w:shd w:val="clear" w:color="auto" w:fill="auto"/>
            <w:vAlign w:val="center"/>
          </w:tcPr>
          <w:p w14:paraId="548CAE97">
            <w:pPr>
              <w:pStyle w:val="26"/>
              <w:bidi w:val="0"/>
              <w:jc w:val="right"/>
              <w:rPr>
                <w:rFonts w:hint="eastAsia"/>
                <w:lang w:val="en-US" w:eastAsia="zh-CN"/>
              </w:rPr>
            </w:pPr>
            <w:r>
              <w:rPr>
                <w:rFonts w:hint="eastAsia"/>
                <w:lang w:val="en-US" w:eastAsia="zh-CN"/>
              </w:rPr>
              <w:t>采样点位</w:t>
            </w:r>
          </w:p>
          <w:p w14:paraId="3ED8DADE">
            <w:pPr>
              <w:pStyle w:val="26"/>
              <w:bidi w:val="0"/>
              <w:jc w:val="both"/>
              <w:rPr>
                <w:rFonts w:hint="eastAsia"/>
                <w:lang w:val="en-US" w:eastAsia="zh-CN"/>
              </w:rPr>
            </w:pPr>
            <w:r>
              <w:rPr>
                <w:rFonts w:hint="eastAsia"/>
                <w:lang w:val="en-US" w:eastAsia="zh-CN"/>
              </w:rPr>
              <w:t>检测项目</w:t>
            </w:r>
          </w:p>
        </w:tc>
        <w:tc>
          <w:tcPr>
            <w:tcW w:w="4928" w:type="dxa"/>
            <w:gridSpan w:val="6"/>
            <w:shd w:val="clear" w:color="auto" w:fill="auto"/>
            <w:vAlign w:val="center"/>
          </w:tcPr>
          <w:p w14:paraId="2361716C">
            <w:pPr>
              <w:pStyle w:val="26"/>
              <w:bidi w:val="0"/>
              <w:rPr>
                <w:rFonts w:hint="eastAsia"/>
                <w:lang w:val="en-US" w:eastAsia="zh-CN"/>
              </w:rPr>
            </w:pPr>
            <w:r>
              <w:rPr>
                <w:rFonts w:hint="eastAsia"/>
                <w:lang w:val="en-US" w:eastAsia="zh-CN"/>
              </w:rPr>
              <w:t>S2</w:t>
            </w:r>
          </w:p>
          <w:p w14:paraId="692DB868">
            <w:pPr>
              <w:pStyle w:val="26"/>
              <w:bidi w:val="0"/>
              <w:rPr>
                <w:rFonts w:hint="eastAsia"/>
                <w:lang w:val="en-US" w:eastAsia="zh-CN"/>
              </w:rPr>
            </w:pPr>
            <w:r>
              <w:rPr>
                <w:rFonts w:hint="eastAsia"/>
                <w:lang w:val="en-US" w:eastAsia="zh-CN"/>
              </w:rPr>
              <w:t>E:121°06'26.67809"</w:t>
            </w:r>
          </w:p>
          <w:p w14:paraId="008345A4">
            <w:pPr>
              <w:pStyle w:val="26"/>
              <w:bidi w:val="0"/>
              <w:rPr>
                <w:rFonts w:hint="eastAsia"/>
                <w:lang w:val="en-US" w:eastAsia="zh-CN"/>
              </w:rPr>
            </w:pPr>
            <w:r>
              <w:rPr>
                <w:rFonts w:hint="eastAsia"/>
                <w:lang w:val="en-US" w:eastAsia="zh-CN"/>
              </w:rPr>
              <w:t>N:31° 18'41.83086"</w:t>
            </w:r>
          </w:p>
        </w:tc>
        <w:tc>
          <w:tcPr>
            <w:tcW w:w="4454" w:type="dxa"/>
            <w:gridSpan w:val="6"/>
            <w:shd w:val="clear" w:color="auto" w:fill="auto"/>
            <w:vAlign w:val="center"/>
          </w:tcPr>
          <w:p w14:paraId="639344FE">
            <w:pPr>
              <w:pStyle w:val="26"/>
              <w:bidi w:val="0"/>
              <w:rPr>
                <w:rFonts w:hint="eastAsia"/>
                <w:lang w:val="en-US" w:eastAsia="zh-CN"/>
              </w:rPr>
            </w:pPr>
            <w:r>
              <w:rPr>
                <w:rFonts w:hint="eastAsia"/>
                <w:lang w:val="en-US" w:eastAsia="zh-CN"/>
              </w:rPr>
              <w:t>S3</w:t>
            </w:r>
          </w:p>
          <w:p w14:paraId="4C27E157">
            <w:pPr>
              <w:pStyle w:val="26"/>
              <w:bidi w:val="0"/>
              <w:rPr>
                <w:rFonts w:hint="eastAsia"/>
                <w:lang w:val="en-US" w:eastAsia="zh-CN"/>
              </w:rPr>
            </w:pPr>
            <w:r>
              <w:rPr>
                <w:rFonts w:hint="eastAsia"/>
                <w:lang w:val="en-US" w:eastAsia="zh-CN"/>
              </w:rPr>
              <w:t>E:121°06'24.28978"</w:t>
            </w:r>
          </w:p>
          <w:p w14:paraId="68124D98">
            <w:pPr>
              <w:pStyle w:val="26"/>
              <w:bidi w:val="0"/>
              <w:rPr>
                <w:rFonts w:hint="eastAsia"/>
                <w:lang w:val="en-US" w:eastAsia="zh-CN"/>
              </w:rPr>
            </w:pPr>
            <w:r>
              <w:rPr>
                <w:rFonts w:hint="eastAsia"/>
                <w:lang w:val="en-US" w:eastAsia="zh-CN"/>
              </w:rPr>
              <w:t>N:31 ° 1843.37115</w:t>
            </w:r>
          </w:p>
        </w:tc>
        <w:tc>
          <w:tcPr>
            <w:tcW w:w="1259" w:type="dxa"/>
            <w:vMerge w:val="restart"/>
            <w:shd w:val="clear" w:color="auto" w:fill="auto"/>
            <w:vAlign w:val="center"/>
          </w:tcPr>
          <w:p w14:paraId="26940922">
            <w:pPr>
              <w:pStyle w:val="26"/>
              <w:bidi w:val="0"/>
              <w:rPr>
                <w:rFonts w:hint="eastAsia"/>
                <w:lang w:val="en-US" w:eastAsia="zh-CN"/>
              </w:rPr>
            </w:pPr>
          </w:p>
          <w:p w14:paraId="250C7D50">
            <w:pPr>
              <w:pStyle w:val="26"/>
              <w:bidi w:val="0"/>
              <w:rPr>
                <w:rFonts w:hint="eastAsia"/>
                <w:lang w:val="en-US" w:eastAsia="zh-CN"/>
              </w:rPr>
            </w:pPr>
            <w:r>
              <w:rPr>
                <w:rFonts w:hint="eastAsia"/>
                <w:lang w:val="en-US" w:eastAsia="zh-CN"/>
              </w:rPr>
              <w:t>参考限值(mg/kg)</w:t>
            </w:r>
          </w:p>
        </w:tc>
      </w:tr>
      <w:tr w14:paraId="3950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5" w:type="dxa"/>
            <w:gridSpan w:val="6"/>
            <w:vMerge w:val="continue"/>
            <w:shd w:val="clear" w:color="auto" w:fill="auto"/>
            <w:vAlign w:val="top"/>
          </w:tcPr>
          <w:p w14:paraId="360BFD16">
            <w:pPr>
              <w:pStyle w:val="26"/>
              <w:bidi w:val="0"/>
              <w:rPr>
                <w:rFonts w:hint="eastAsia"/>
                <w:lang w:val="en-US" w:eastAsia="zh-CN"/>
              </w:rPr>
            </w:pPr>
          </w:p>
        </w:tc>
        <w:tc>
          <w:tcPr>
            <w:tcW w:w="1825" w:type="dxa"/>
            <w:shd w:val="clear" w:color="auto" w:fill="auto"/>
            <w:vAlign w:val="top"/>
          </w:tcPr>
          <w:p w14:paraId="55B388C0">
            <w:pPr>
              <w:pStyle w:val="26"/>
              <w:bidi w:val="0"/>
              <w:rPr>
                <w:rFonts w:hint="eastAsia"/>
                <w:lang w:val="en-US" w:eastAsia="zh-CN"/>
              </w:rPr>
            </w:pPr>
            <w:r>
              <w:rPr>
                <w:rFonts w:hint="eastAsia"/>
                <w:lang w:val="en-US" w:eastAsia="zh-CN"/>
              </w:rPr>
              <w:t>0~0.5m</w:t>
            </w:r>
          </w:p>
        </w:tc>
        <w:tc>
          <w:tcPr>
            <w:tcW w:w="1574" w:type="dxa"/>
            <w:gridSpan w:val="3"/>
            <w:shd w:val="clear" w:color="auto" w:fill="auto"/>
            <w:vAlign w:val="top"/>
          </w:tcPr>
          <w:p w14:paraId="59D6BBFF">
            <w:pPr>
              <w:pStyle w:val="26"/>
              <w:bidi w:val="0"/>
              <w:rPr>
                <w:rFonts w:hint="eastAsia"/>
                <w:lang w:val="en-US" w:eastAsia="en-US"/>
              </w:rPr>
            </w:pPr>
            <w:r>
              <w:rPr>
                <w:rFonts w:hint="eastAsia"/>
                <w:lang w:val="en-US" w:eastAsia="zh-CN"/>
              </w:rPr>
              <w:t>1.0～1.5m</w:t>
            </w:r>
          </w:p>
        </w:tc>
        <w:tc>
          <w:tcPr>
            <w:tcW w:w="1529" w:type="dxa"/>
            <w:gridSpan w:val="2"/>
            <w:shd w:val="clear" w:color="auto" w:fill="auto"/>
            <w:vAlign w:val="top"/>
          </w:tcPr>
          <w:p w14:paraId="13027501">
            <w:pPr>
              <w:pStyle w:val="26"/>
              <w:bidi w:val="0"/>
              <w:rPr>
                <w:rFonts w:hint="eastAsia"/>
                <w:lang w:val="en-US" w:eastAsia="en-US"/>
              </w:rPr>
            </w:pPr>
            <w:r>
              <w:rPr>
                <w:rFonts w:hint="eastAsia"/>
                <w:lang w:val="en-US" w:eastAsia="zh-CN"/>
              </w:rPr>
              <w:t>4.0～4.5m</w:t>
            </w:r>
          </w:p>
        </w:tc>
        <w:tc>
          <w:tcPr>
            <w:tcW w:w="1464" w:type="dxa"/>
            <w:gridSpan w:val="2"/>
            <w:shd w:val="clear" w:color="auto" w:fill="auto"/>
            <w:vAlign w:val="top"/>
          </w:tcPr>
          <w:p w14:paraId="0A7DDAE6">
            <w:pPr>
              <w:pStyle w:val="26"/>
              <w:bidi w:val="0"/>
              <w:rPr>
                <w:rFonts w:hint="eastAsia"/>
                <w:lang w:val="en-US" w:eastAsia="zh-CN"/>
              </w:rPr>
            </w:pPr>
            <w:r>
              <w:rPr>
                <w:rFonts w:hint="eastAsia"/>
                <w:lang w:val="en-US" w:eastAsia="zh-CN"/>
              </w:rPr>
              <w:t>0~0.5m</w:t>
            </w:r>
          </w:p>
        </w:tc>
        <w:tc>
          <w:tcPr>
            <w:tcW w:w="1460" w:type="dxa"/>
            <w:gridSpan w:val="3"/>
            <w:shd w:val="clear" w:color="auto" w:fill="auto"/>
            <w:vAlign w:val="top"/>
          </w:tcPr>
          <w:p w14:paraId="40BC0CFE">
            <w:pPr>
              <w:pStyle w:val="26"/>
              <w:bidi w:val="0"/>
              <w:rPr>
                <w:rFonts w:hint="eastAsia"/>
                <w:lang w:val="en-US" w:eastAsia="en-US"/>
              </w:rPr>
            </w:pPr>
            <w:r>
              <w:rPr>
                <w:rFonts w:hint="eastAsia"/>
                <w:lang w:val="en-US" w:eastAsia="zh-CN"/>
              </w:rPr>
              <w:t>1.0～1.5m</w:t>
            </w:r>
          </w:p>
        </w:tc>
        <w:tc>
          <w:tcPr>
            <w:tcW w:w="1530" w:type="dxa"/>
            <w:shd w:val="clear" w:color="auto" w:fill="auto"/>
            <w:vAlign w:val="top"/>
          </w:tcPr>
          <w:p w14:paraId="078A5178">
            <w:pPr>
              <w:pStyle w:val="26"/>
              <w:bidi w:val="0"/>
              <w:rPr>
                <w:rFonts w:hint="eastAsia"/>
                <w:lang w:val="en-US" w:eastAsia="en-US"/>
              </w:rPr>
            </w:pPr>
            <w:r>
              <w:rPr>
                <w:rFonts w:hint="eastAsia"/>
                <w:lang w:val="en-US" w:eastAsia="zh-CN"/>
              </w:rPr>
              <w:t>4.0～4.5m</w:t>
            </w:r>
          </w:p>
        </w:tc>
        <w:tc>
          <w:tcPr>
            <w:tcW w:w="1259" w:type="dxa"/>
            <w:vMerge w:val="continue"/>
            <w:shd w:val="clear" w:color="auto" w:fill="auto"/>
            <w:vAlign w:val="top"/>
          </w:tcPr>
          <w:p w14:paraId="10C303A6">
            <w:pPr>
              <w:pStyle w:val="26"/>
              <w:bidi w:val="0"/>
            </w:pPr>
          </w:p>
        </w:tc>
      </w:tr>
      <w:tr w14:paraId="2110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restart"/>
            <w:shd w:val="clear" w:color="auto" w:fill="auto"/>
            <w:vAlign w:val="center"/>
          </w:tcPr>
          <w:p w14:paraId="43889B7D">
            <w:pPr>
              <w:pStyle w:val="26"/>
              <w:bidi w:val="0"/>
              <w:rPr>
                <w:rFonts w:hint="eastAsia"/>
                <w:lang w:val="en-US" w:eastAsia="zh-CN"/>
              </w:rPr>
            </w:pPr>
            <w:r>
              <w:rPr>
                <w:rFonts w:hint="eastAsia"/>
                <w:lang w:val="en-US" w:eastAsia="zh-CN"/>
              </w:rPr>
              <w:t>挥发性有机物(μg/kg)</w:t>
            </w:r>
          </w:p>
        </w:tc>
        <w:tc>
          <w:tcPr>
            <w:tcW w:w="1821" w:type="dxa"/>
            <w:shd w:val="clear" w:color="auto" w:fill="auto"/>
            <w:vAlign w:val="top"/>
          </w:tcPr>
          <w:p w14:paraId="4EC7DFED">
            <w:pPr>
              <w:pStyle w:val="26"/>
              <w:bidi w:val="0"/>
              <w:rPr>
                <w:rFonts w:hint="eastAsia"/>
                <w:lang w:val="en-US" w:eastAsia="zh-CN"/>
              </w:rPr>
            </w:pPr>
            <w:r>
              <w:rPr>
                <w:rFonts w:hint="eastAsia"/>
                <w:lang w:val="en-US" w:eastAsia="zh-CN"/>
              </w:rPr>
              <w:t>氯甲烷</w:t>
            </w:r>
          </w:p>
        </w:tc>
        <w:tc>
          <w:tcPr>
            <w:tcW w:w="1825" w:type="dxa"/>
            <w:shd w:val="clear" w:color="auto" w:fill="auto"/>
            <w:vAlign w:val="top"/>
          </w:tcPr>
          <w:p w14:paraId="38F55636">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06D38896">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6458753E">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7B2663C">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6F5748B">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65063BC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B56C254">
            <w:pPr>
              <w:pStyle w:val="26"/>
              <w:bidi w:val="0"/>
              <w:rPr>
                <w:rFonts w:hint="eastAsia"/>
                <w:lang w:val="en-US" w:eastAsia="zh-CN"/>
              </w:rPr>
            </w:pPr>
            <w:r>
              <w:rPr>
                <w:rFonts w:hint="eastAsia"/>
                <w:lang w:val="en-US" w:eastAsia="zh-CN"/>
              </w:rPr>
              <w:t>37</w:t>
            </w:r>
          </w:p>
        </w:tc>
      </w:tr>
      <w:tr w14:paraId="00A9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34" w:type="dxa"/>
            <w:gridSpan w:val="5"/>
            <w:vMerge w:val="continue"/>
            <w:shd w:val="clear" w:color="auto" w:fill="auto"/>
            <w:vAlign w:val="top"/>
          </w:tcPr>
          <w:p w14:paraId="31AAA054">
            <w:pPr>
              <w:pStyle w:val="26"/>
              <w:bidi w:val="0"/>
              <w:rPr>
                <w:rFonts w:hint="eastAsia"/>
                <w:lang w:val="en-US" w:eastAsia="zh-CN"/>
              </w:rPr>
            </w:pPr>
          </w:p>
        </w:tc>
        <w:tc>
          <w:tcPr>
            <w:tcW w:w="1821" w:type="dxa"/>
            <w:shd w:val="clear" w:color="auto" w:fill="auto"/>
            <w:vAlign w:val="top"/>
          </w:tcPr>
          <w:p w14:paraId="0A401289">
            <w:pPr>
              <w:pStyle w:val="26"/>
              <w:bidi w:val="0"/>
              <w:rPr>
                <w:rFonts w:hint="eastAsia"/>
                <w:lang w:val="en-US" w:eastAsia="zh-CN"/>
              </w:rPr>
            </w:pPr>
            <w:r>
              <w:rPr>
                <w:rFonts w:hint="eastAsia"/>
                <w:lang w:val="en-US" w:eastAsia="zh-CN"/>
              </w:rPr>
              <w:t>氯乙烯</w:t>
            </w:r>
          </w:p>
        </w:tc>
        <w:tc>
          <w:tcPr>
            <w:tcW w:w="1825" w:type="dxa"/>
            <w:shd w:val="clear" w:color="auto" w:fill="auto"/>
            <w:vAlign w:val="top"/>
          </w:tcPr>
          <w:p w14:paraId="75A353FE">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5D45AB01">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B797DD7">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C4CE22D">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F35213B">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07C94427">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26F0A7E8">
            <w:pPr>
              <w:pStyle w:val="26"/>
              <w:bidi w:val="0"/>
              <w:rPr>
                <w:rFonts w:hint="eastAsia"/>
                <w:lang w:val="en-US" w:eastAsia="zh-CN"/>
              </w:rPr>
            </w:pPr>
            <w:r>
              <w:rPr>
                <w:rFonts w:hint="eastAsia"/>
                <w:lang w:val="en-US" w:eastAsia="zh-CN"/>
              </w:rPr>
              <w:t>0.43</w:t>
            </w:r>
          </w:p>
        </w:tc>
      </w:tr>
      <w:tr w14:paraId="2BE5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6477ABF9">
            <w:pPr>
              <w:pStyle w:val="26"/>
              <w:bidi w:val="0"/>
              <w:rPr>
                <w:rFonts w:hint="eastAsia"/>
                <w:lang w:val="en-US" w:eastAsia="zh-CN"/>
              </w:rPr>
            </w:pPr>
          </w:p>
        </w:tc>
        <w:tc>
          <w:tcPr>
            <w:tcW w:w="1821" w:type="dxa"/>
            <w:shd w:val="clear" w:color="auto" w:fill="auto"/>
            <w:vAlign w:val="top"/>
          </w:tcPr>
          <w:p w14:paraId="236A0CF3">
            <w:pPr>
              <w:pStyle w:val="26"/>
              <w:bidi w:val="0"/>
              <w:rPr>
                <w:rFonts w:hint="eastAsia"/>
                <w:lang w:val="en-US" w:eastAsia="zh-CN"/>
              </w:rPr>
            </w:pPr>
            <w:r>
              <w:rPr>
                <w:rFonts w:hint="eastAsia"/>
                <w:lang w:val="en-US" w:eastAsia="zh-CN"/>
              </w:rPr>
              <w:t>1, 1-二氯乙烯</w:t>
            </w:r>
          </w:p>
        </w:tc>
        <w:tc>
          <w:tcPr>
            <w:tcW w:w="1825" w:type="dxa"/>
            <w:shd w:val="clear" w:color="auto" w:fill="auto"/>
            <w:vAlign w:val="top"/>
          </w:tcPr>
          <w:p w14:paraId="0463BC45">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757C606C">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659873D2">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224DCE6">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3F8E9B2">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1F20D36D">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85B1A0D">
            <w:pPr>
              <w:pStyle w:val="26"/>
              <w:bidi w:val="0"/>
              <w:rPr>
                <w:rFonts w:hint="eastAsia"/>
                <w:lang w:val="en-US" w:eastAsia="zh-CN"/>
              </w:rPr>
            </w:pPr>
            <w:r>
              <w:rPr>
                <w:rFonts w:hint="eastAsia"/>
                <w:lang w:val="en-US" w:eastAsia="zh-CN"/>
              </w:rPr>
              <w:t>66</w:t>
            </w:r>
          </w:p>
        </w:tc>
      </w:tr>
      <w:tr w14:paraId="62DD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547BC618">
            <w:pPr>
              <w:pStyle w:val="26"/>
              <w:bidi w:val="0"/>
              <w:rPr>
                <w:rFonts w:hint="eastAsia"/>
                <w:lang w:val="en-US" w:eastAsia="zh-CN"/>
              </w:rPr>
            </w:pPr>
          </w:p>
        </w:tc>
        <w:tc>
          <w:tcPr>
            <w:tcW w:w="1821" w:type="dxa"/>
            <w:shd w:val="clear" w:color="auto" w:fill="auto"/>
            <w:vAlign w:val="top"/>
          </w:tcPr>
          <w:p w14:paraId="32AC9436">
            <w:pPr>
              <w:pStyle w:val="26"/>
              <w:bidi w:val="0"/>
              <w:rPr>
                <w:rFonts w:hint="eastAsia"/>
                <w:lang w:val="en-US" w:eastAsia="zh-CN"/>
              </w:rPr>
            </w:pPr>
            <w:r>
              <w:rPr>
                <w:rFonts w:hint="eastAsia"/>
                <w:lang w:val="en-US" w:eastAsia="zh-CN"/>
              </w:rPr>
              <w:t>二氯甲烷</w:t>
            </w:r>
          </w:p>
        </w:tc>
        <w:tc>
          <w:tcPr>
            <w:tcW w:w="1825" w:type="dxa"/>
            <w:shd w:val="clear" w:color="auto" w:fill="auto"/>
            <w:vAlign w:val="top"/>
          </w:tcPr>
          <w:p w14:paraId="3E3666B8">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5AAE9F8E">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28B6558">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4AA28E3">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6AF7621">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86E658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E6A0C08">
            <w:pPr>
              <w:pStyle w:val="26"/>
              <w:bidi w:val="0"/>
              <w:rPr>
                <w:rFonts w:hint="eastAsia"/>
                <w:lang w:val="en-US" w:eastAsia="zh-CN"/>
              </w:rPr>
            </w:pPr>
            <w:r>
              <w:rPr>
                <w:rFonts w:hint="eastAsia"/>
                <w:lang w:val="en-US" w:eastAsia="zh-CN"/>
              </w:rPr>
              <w:t>616</w:t>
            </w:r>
          </w:p>
        </w:tc>
      </w:tr>
      <w:tr w14:paraId="35B3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61C9C08C">
            <w:pPr>
              <w:pStyle w:val="26"/>
              <w:bidi w:val="0"/>
              <w:rPr>
                <w:rFonts w:hint="eastAsia"/>
                <w:lang w:val="en-US" w:eastAsia="zh-CN"/>
              </w:rPr>
            </w:pPr>
          </w:p>
        </w:tc>
        <w:tc>
          <w:tcPr>
            <w:tcW w:w="1821" w:type="dxa"/>
            <w:shd w:val="clear" w:color="auto" w:fill="auto"/>
            <w:vAlign w:val="top"/>
          </w:tcPr>
          <w:p w14:paraId="502228DF">
            <w:pPr>
              <w:pStyle w:val="26"/>
              <w:bidi w:val="0"/>
              <w:rPr>
                <w:rFonts w:hint="eastAsia"/>
                <w:lang w:val="en-US" w:eastAsia="zh-CN"/>
              </w:rPr>
            </w:pPr>
            <w:r>
              <w:rPr>
                <w:rFonts w:hint="eastAsia"/>
                <w:lang w:val="en-US" w:eastAsia="zh-CN"/>
              </w:rPr>
              <w:t>反式-1,2-二氯乙烯</w:t>
            </w:r>
          </w:p>
        </w:tc>
        <w:tc>
          <w:tcPr>
            <w:tcW w:w="1825" w:type="dxa"/>
            <w:shd w:val="clear" w:color="auto" w:fill="auto"/>
            <w:vAlign w:val="top"/>
          </w:tcPr>
          <w:p w14:paraId="02D69D5F">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238832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B6BACF7">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1A9579E">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C6B1AF4">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565E3D5">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915C26B">
            <w:pPr>
              <w:pStyle w:val="26"/>
              <w:bidi w:val="0"/>
              <w:rPr>
                <w:rFonts w:hint="eastAsia"/>
                <w:lang w:val="en-US" w:eastAsia="zh-CN"/>
              </w:rPr>
            </w:pPr>
            <w:r>
              <w:rPr>
                <w:rFonts w:hint="eastAsia"/>
                <w:lang w:val="en-US" w:eastAsia="zh-CN"/>
              </w:rPr>
              <w:t>54</w:t>
            </w:r>
          </w:p>
        </w:tc>
      </w:tr>
      <w:tr w14:paraId="3BC9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72D2AA6D">
            <w:pPr>
              <w:pStyle w:val="26"/>
              <w:bidi w:val="0"/>
              <w:rPr>
                <w:rFonts w:hint="eastAsia"/>
                <w:lang w:val="en-US" w:eastAsia="zh-CN"/>
              </w:rPr>
            </w:pPr>
          </w:p>
        </w:tc>
        <w:tc>
          <w:tcPr>
            <w:tcW w:w="1821" w:type="dxa"/>
            <w:shd w:val="clear" w:color="auto" w:fill="auto"/>
            <w:vAlign w:val="top"/>
          </w:tcPr>
          <w:p w14:paraId="5B66B891">
            <w:pPr>
              <w:pStyle w:val="26"/>
              <w:bidi w:val="0"/>
              <w:rPr>
                <w:rFonts w:hint="eastAsia"/>
                <w:lang w:val="en-US" w:eastAsia="zh-CN"/>
              </w:rPr>
            </w:pPr>
            <w:r>
              <w:rPr>
                <w:rFonts w:hint="eastAsia"/>
                <w:lang w:val="en-US" w:eastAsia="zh-CN"/>
              </w:rPr>
              <w:t>1, 1-二氯乙烷</w:t>
            </w:r>
          </w:p>
        </w:tc>
        <w:tc>
          <w:tcPr>
            <w:tcW w:w="1825" w:type="dxa"/>
            <w:shd w:val="clear" w:color="auto" w:fill="auto"/>
            <w:vAlign w:val="top"/>
          </w:tcPr>
          <w:p w14:paraId="72E0B642">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6482EB35">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1080AC03">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783762D9">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5A9419D">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5A036D57">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3F6C38C">
            <w:pPr>
              <w:pStyle w:val="26"/>
              <w:bidi w:val="0"/>
              <w:rPr>
                <w:rFonts w:hint="eastAsia"/>
                <w:lang w:val="en-US" w:eastAsia="zh-CN"/>
              </w:rPr>
            </w:pPr>
            <w:r>
              <w:rPr>
                <w:rFonts w:hint="eastAsia"/>
                <w:lang w:val="en-US" w:eastAsia="zh-CN"/>
              </w:rPr>
              <w:t>9</w:t>
            </w:r>
          </w:p>
        </w:tc>
      </w:tr>
      <w:tr w14:paraId="0BD1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20D9A77C">
            <w:pPr>
              <w:pStyle w:val="26"/>
              <w:bidi w:val="0"/>
              <w:rPr>
                <w:rFonts w:hint="eastAsia"/>
                <w:lang w:val="en-US" w:eastAsia="zh-CN"/>
              </w:rPr>
            </w:pPr>
          </w:p>
        </w:tc>
        <w:tc>
          <w:tcPr>
            <w:tcW w:w="1821" w:type="dxa"/>
            <w:shd w:val="clear" w:color="auto" w:fill="auto"/>
            <w:vAlign w:val="top"/>
          </w:tcPr>
          <w:p w14:paraId="75BEB19C">
            <w:pPr>
              <w:pStyle w:val="26"/>
              <w:bidi w:val="0"/>
              <w:rPr>
                <w:rFonts w:hint="eastAsia"/>
                <w:lang w:val="en-US" w:eastAsia="zh-CN"/>
              </w:rPr>
            </w:pPr>
            <w:r>
              <w:rPr>
                <w:rFonts w:hint="eastAsia"/>
                <w:lang w:val="en-US" w:eastAsia="zh-CN"/>
              </w:rPr>
              <w:t>顺式-1,2-二氯乙烯</w:t>
            </w:r>
          </w:p>
        </w:tc>
        <w:tc>
          <w:tcPr>
            <w:tcW w:w="1825" w:type="dxa"/>
            <w:shd w:val="clear" w:color="auto" w:fill="auto"/>
            <w:vAlign w:val="top"/>
          </w:tcPr>
          <w:p w14:paraId="565DDA85">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06750D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7DC2A159">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385E846E">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BF65B5A">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67BF55A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6B6C979">
            <w:pPr>
              <w:pStyle w:val="26"/>
              <w:bidi w:val="0"/>
              <w:rPr>
                <w:rFonts w:hint="eastAsia"/>
                <w:lang w:val="en-US" w:eastAsia="zh-CN"/>
              </w:rPr>
            </w:pPr>
            <w:r>
              <w:rPr>
                <w:rFonts w:hint="eastAsia"/>
                <w:lang w:val="en-US" w:eastAsia="zh-CN"/>
              </w:rPr>
              <w:t>596</w:t>
            </w:r>
          </w:p>
        </w:tc>
      </w:tr>
      <w:tr w14:paraId="15F9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4B433757">
            <w:pPr>
              <w:pStyle w:val="26"/>
              <w:bidi w:val="0"/>
              <w:rPr>
                <w:rFonts w:hint="eastAsia"/>
                <w:lang w:val="en-US" w:eastAsia="zh-CN"/>
              </w:rPr>
            </w:pPr>
          </w:p>
        </w:tc>
        <w:tc>
          <w:tcPr>
            <w:tcW w:w="1821" w:type="dxa"/>
            <w:shd w:val="clear" w:color="auto" w:fill="auto"/>
            <w:vAlign w:val="top"/>
          </w:tcPr>
          <w:p w14:paraId="1E1C674E">
            <w:pPr>
              <w:pStyle w:val="26"/>
              <w:bidi w:val="0"/>
              <w:rPr>
                <w:rFonts w:hint="eastAsia"/>
                <w:lang w:val="en-US" w:eastAsia="zh-CN"/>
              </w:rPr>
            </w:pPr>
            <w:r>
              <w:rPr>
                <w:rFonts w:hint="eastAsia"/>
                <w:lang w:val="en-US" w:eastAsia="zh-CN"/>
              </w:rPr>
              <w:t>氯仿</w:t>
            </w:r>
          </w:p>
        </w:tc>
        <w:tc>
          <w:tcPr>
            <w:tcW w:w="1825" w:type="dxa"/>
            <w:shd w:val="clear" w:color="auto" w:fill="auto"/>
            <w:vAlign w:val="top"/>
          </w:tcPr>
          <w:p w14:paraId="051EF040">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014F8EC1">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7FFEEB20">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67978604">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0173054">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64653A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AFA3A25">
            <w:pPr>
              <w:pStyle w:val="26"/>
              <w:bidi w:val="0"/>
              <w:rPr>
                <w:rFonts w:hint="eastAsia"/>
                <w:lang w:val="en-US" w:eastAsia="zh-CN"/>
              </w:rPr>
            </w:pPr>
            <w:r>
              <w:rPr>
                <w:rFonts w:hint="eastAsia"/>
                <w:lang w:val="en-US" w:eastAsia="zh-CN"/>
              </w:rPr>
              <w:t>0.9</w:t>
            </w:r>
          </w:p>
        </w:tc>
      </w:tr>
      <w:tr w14:paraId="4272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528AD44A">
            <w:pPr>
              <w:pStyle w:val="26"/>
              <w:bidi w:val="0"/>
              <w:rPr>
                <w:rFonts w:hint="eastAsia"/>
                <w:lang w:val="en-US" w:eastAsia="zh-CN"/>
              </w:rPr>
            </w:pPr>
          </w:p>
        </w:tc>
        <w:tc>
          <w:tcPr>
            <w:tcW w:w="1821" w:type="dxa"/>
            <w:shd w:val="clear" w:color="auto" w:fill="auto"/>
            <w:vAlign w:val="top"/>
          </w:tcPr>
          <w:p w14:paraId="041C2239">
            <w:pPr>
              <w:pStyle w:val="26"/>
              <w:bidi w:val="0"/>
              <w:rPr>
                <w:rFonts w:hint="eastAsia"/>
                <w:lang w:val="en-US" w:eastAsia="zh-CN"/>
              </w:rPr>
            </w:pPr>
            <w:r>
              <w:rPr>
                <w:rFonts w:hint="eastAsia"/>
                <w:lang w:val="en-US" w:eastAsia="zh-CN"/>
              </w:rPr>
              <w:t>1,2-二氯乙烷</w:t>
            </w:r>
          </w:p>
        </w:tc>
        <w:tc>
          <w:tcPr>
            <w:tcW w:w="1825" w:type="dxa"/>
            <w:shd w:val="clear" w:color="auto" w:fill="auto"/>
            <w:vAlign w:val="top"/>
          </w:tcPr>
          <w:p w14:paraId="26FEBCDC">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ED1DB37">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74061763">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5224DD1">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7AF2A7B6">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7A0D3BD4">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56D81A6">
            <w:pPr>
              <w:pStyle w:val="26"/>
              <w:bidi w:val="0"/>
              <w:rPr>
                <w:rFonts w:hint="eastAsia"/>
                <w:lang w:val="en-US" w:eastAsia="zh-CN"/>
              </w:rPr>
            </w:pPr>
            <w:r>
              <w:rPr>
                <w:rFonts w:hint="eastAsia"/>
                <w:lang w:val="en-US" w:eastAsia="zh-CN"/>
              </w:rPr>
              <w:t>5</w:t>
            </w:r>
          </w:p>
        </w:tc>
      </w:tr>
      <w:tr w14:paraId="53CF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34C9F494">
            <w:pPr>
              <w:pStyle w:val="26"/>
              <w:bidi w:val="0"/>
              <w:rPr>
                <w:rFonts w:hint="eastAsia"/>
                <w:lang w:val="en-US" w:eastAsia="zh-CN"/>
              </w:rPr>
            </w:pPr>
          </w:p>
        </w:tc>
        <w:tc>
          <w:tcPr>
            <w:tcW w:w="1821" w:type="dxa"/>
            <w:shd w:val="clear" w:color="auto" w:fill="auto"/>
            <w:vAlign w:val="top"/>
          </w:tcPr>
          <w:p w14:paraId="3FBFF6A3">
            <w:pPr>
              <w:pStyle w:val="26"/>
              <w:bidi w:val="0"/>
              <w:rPr>
                <w:rFonts w:hint="eastAsia"/>
                <w:lang w:val="en-US" w:eastAsia="zh-CN"/>
              </w:rPr>
            </w:pPr>
            <w:r>
              <w:rPr>
                <w:rFonts w:hint="eastAsia"/>
                <w:lang w:val="en-US" w:eastAsia="zh-CN"/>
              </w:rPr>
              <w:t>1, 1, 1-三氯乙烷</w:t>
            </w:r>
          </w:p>
        </w:tc>
        <w:tc>
          <w:tcPr>
            <w:tcW w:w="1825" w:type="dxa"/>
            <w:shd w:val="clear" w:color="auto" w:fill="auto"/>
            <w:vAlign w:val="top"/>
          </w:tcPr>
          <w:p w14:paraId="5865FE36">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7634790A">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F999C75">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596F924E">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32FF43F7">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5C2A7AA">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B960FEC">
            <w:pPr>
              <w:pStyle w:val="26"/>
              <w:bidi w:val="0"/>
              <w:rPr>
                <w:rFonts w:hint="eastAsia"/>
                <w:lang w:val="en-US" w:eastAsia="zh-CN"/>
              </w:rPr>
            </w:pPr>
            <w:r>
              <w:rPr>
                <w:rFonts w:hint="eastAsia"/>
                <w:lang w:val="en-US" w:eastAsia="zh-CN"/>
              </w:rPr>
              <w:t>840</w:t>
            </w:r>
          </w:p>
        </w:tc>
      </w:tr>
      <w:tr w14:paraId="2F0F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3E4BFFA7">
            <w:pPr>
              <w:pStyle w:val="26"/>
              <w:bidi w:val="0"/>
              <w:rPr>
                <w:rFonts w:hint="eastAsia"/>
                <w:lang w:val="en-US" w:eastAsia="zh-CN"/>
              </w:rPr>
            </w:pPr>
          </w:p>
        </w:tc>
        <w:tc>
          <w:tcPr>
            <w:tcW w:w="1821" w:type="dxa"/>
            <w:shd w:val="clear" w:color="auto" w:fill="auto"/>
            <w:vAlign w:val="top"/>
          </w:tcPr>
          <w:p w14:paraId="639ADADF">
            <w:pPr>
              <w:pStyle w:val="26"/>
              <w:bidi w:val="0"/>
              <w:rPr>
                <w:rFonts w:hint="eastAsia"/>
                <w:lang w:val="en-US" w:eastAsia="zh-CN"/>
              </w:rPr>
            </w:pPr>
            <w:r>
              <w:rPr>
                <w:rFonts w:hint="eastAsia"/>
                <w:lang w:val="en-US" w:eastAsia="zh-CN"/>
              </w:rPr>
              <w:t>四氯化碳</w:t>
            </w:r>
          </w:p>
        </w:tc>
        <w:tc>
          <w:tcPr>
            <w:tcW w:w="1825" w:type="dxa"/>
            <w:shd w:val="clear" w:color="auto" w:fill="auto"/>
            <w:vAlign w:val="top"/>
          </w:tcPr>
          <w:p w14:paraId="016B15E5">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4B5A40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ACE5996">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5233499">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3DCDC8D0">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73532B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2BF8315">
            <w:pPr>
              <w:pStyle w:val="26"/>
              <w:bidi w:val="0"/>
              <w:rPr>
                <w:rFonts w:hint="eastAsia"/>
                <w:lang w:val="en-US" w:eastAsia="zh-CN"/>
              </w:rPr>
            </w:pPr>
            <w:r>
              <w:rPr>
                <w:rFonts w:hint="eastAsia"/>
                <w:lang w:val="en-US" w:eastAsia="zh-CN"/>
              </w:rPr>
              <w:t>2.8</w:t>
            </w:r>
          </w:p>
        </w:tc>
      </w:tr>
      <w:tr w14:paraId="318F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17F90AD2">
            <w:pPr>
              <w:pStyle w:val="26"/>
              <w:bidi w:val="0"/>
              <w:rPr>
                <w:rFonts w:hint="eastAsia"/>
                <w:lang w:val="en-US" w:eastAsia="zh-CN"/>
              </w:rPr>
            </w:pPr>
          </w:p>
        </w:tc>
        <w:tc>
          <w:tcPr>
            <w:tcW w:w="1821" w:type="dxa"/>
            <w:shd w:val="clear" w:color="auto" w:fill="auto"/>
            <w:vAlign w:val="top"/>
          </w:tcPr>
          <w:p w14:paraId="40FC10D5">
            <w:pPr>
              <w:pStyle w:val="26"/>
              <w:bidi w:val="0"/>
              <w:rPr>
                <w:rFonts w:hint="eastAsia"/>
                <w:lang w:val="en-US" w:eastAsia="zh-CN"/>
              </w:rPr>
            </w:pPr>
            <w:r>
              <w:rPr>
                <w:rFonts w:hint="eastAsia"/>
                <w:lang w:val="en-US" w:eastAsia="zh-CN"/>
              </w:rPr>
              <w:t>苯</w:t>
            </w:r>
          </w:p>
        </w:tc>
        <w:tc>
          <w:tcPr>
            <w:tcW w:w="1825" w:type="dxa"/>
            <w:shd w:val="clear" w:color="auto" w:fill="auto"/>
            <w:vAlign w:val="top"/>
          </w:tcPr>
          <w:p w14:paraId="24B72DEB">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777D1340">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EEB7E1B">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8961D79">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11F72E6F">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5AFE731A">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A6F20CC">
            <w:pPr>
              <w:pStyle w:val="26"/>
              <w:bidi w:val="0"/>
              <w:rPr>
                <w:rFonts w:hint="eastAsia"/>
                <w:lang w:val="en-US" w:eastAsia="zh-CN"/>
              </w:rPr>
            </w:pPr>
            <w:r>
              <w:rPr>
                <w:rFonts w:hint="eastAsia"/>
                <w:lang w:val="en-US" w:eastAsia="zh-CN"/>
              </w:rPr>
              <w:t>4</w:t>
            </w:r>
          </w:p>
        </w:tc>
      </w:tr>
      <w:tr w14:paraId="6E81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76A6487C">
            <w:pPr>
              <w:pStyle w:val="26"/>
              <w:bidi w:val="0"/>
              <w:rPr>
                <w:rFonts w:hint="eastAsia"/>
                <w:lang w:val="en-US" w:eastAsia="zh-CN"/>
              </w:rPr>
            </w:pPr>
          </w:p>
        </w:tc>
        <w:tc>
          <w:tcPr>
            <w:tcW w:w="1821" w:type="dxa"/>
            <w:shd w:val="clear" w:color="auto" w:fill="auto"/>
            <w:vAlign w:val="top"/>
          </w:tcPr>
          <w:p w14:paraId="2B7C5634">
            <w:pPr>
              <w:pStyle w:val="26"/>
              <w:bidi w:val="0"/>
              <w:rPr>
                <w:rFonts w:hint="eastAsia"/>
                <w:lang w:val="en-US" w:eastAsia="zh-CN"/>
              </w:rPr>
            </w:pPr>
            <w:r>
              <w:rPr>
                <w:rFonts w:hint="eastAsia"/>
                <w:lang w:val="en-US" w:eastAsia="zh-CN"/>
              </w:rPr>
              <w:t>1,2-二氯丙烷</w:t>
            </w:r>
          </w:p>
        </w:tc>
        <w:tc>
          <w:tcPr>
            <w:tcW w:w="1825" w:type="dxa"/>
            <w:shd w:val="clear" w:color="auto" w:fill="auto"/>
            <w:vAlign w:val="top"/>
          </w:tcPr>
          <w:p w14:paraId="6CAE5D38">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B78CF67">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5F8DF36">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4FEBAC3">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EEEE1DB">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F939101">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7106114">
            <w:pPr>
              <w:pStyle w:val="26"/>
              <w:bidi w:val="0"/>
              <w:rPr>
                <w:rFonts w:hint="eastAsia"/>
                <w:lang w:val="en-US" w:eastAsia="zh-CN"/>
              </w:rPr>
            </w:pPr>
            <w:r>
              <w:rPr>
                <w:rFonts w:hint="eastAsia"/>
                <w:lang w:val="en-US" w:eastAsia="zh-CN"/>
              </w:rPr>
              <w:t>5</w:t>
            </w:r>
          </w:p>
        </w:tc>
      </w:tr>
      <w:tr w14:paraId="5739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119FDB19">
            <w:pPr>
              <w:pStyle w:val="26"/>
              <w:bidi w:val="0"/>
              <w:rPr>
                <w:rFonts w:hint="eastAsia"/>
                <w:lang w:val="en-US" w:eastAsia="zh-CN"/>
              </w:rPr>
            </w:pPr>
          </w:p>
        </w:tc>
        <w:tc>
          <w:tcPr>
            <w:tcW w:w="1821" w:type="dxa"/>
            <w:shd w:val="clear" w:color="auto" w:fill="auto"/>
            <w:vAlign w:val="top"/>
          </w:tcPr>
          <w:p w14:paraId="7FC80A26">
            <w:pPr>
              <w:pStyle w:val="26"/>
              <w:bidi w:val="0"/>
              <w:rPr>
                <w:rFonts w:hint="eastAsia"/>
                <w:lang w:val="en-US" w:eastAsia="zh-CN"/>
              </w:rPr>
            </w:pPr>
            <w:r>
              <w:rPr>
                <w:rFonts w:hint="eastAsia"/>
                <w:lang w:val="en-US" w:eastAsia="zh-CN"/>
              </w:rPr>
              <w:t>三氯乙烯</w:t>
            </w:r>
          </w:p>
        </w:tc>
        <w:tc>
          <w:tcPr>
            <w:tcW w:w="1825" w:type="dxa"/>
            <w:shd w:val="clear" w:color="auto" w:fill="auto"/>
            <w:vAlign w:val="top"/>
          </w:tcPr>
          <w:p w14:paraId="4C4FA7C4">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0FDB803C">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ADBBFE0">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3E65FA8">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83BFDB2">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019B7CF6">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5846BD0">
            <w:pPr>
              <w:pStyle w:val="26"/>
              <w:bidi w:val="0"/>
              <w:rPr>
                <w:rFonts w:hint="eastAsia"/>
                <w:lang w:val="en-US" w:eastAsia="zh-CN"/>
              </w:rPr>
            </w:pPr>
            <w:r>
              <w:rPr>
                <w:rFonts w:hint="eastAsia"/>
                <w:lang w:val="en-US" w:eastAsia="zh-CN"/>
              </w:rPr>
              <w:t>2.8</w:t>
            </w:r>
          </w:p>
        </w:tc>
      </w:tr>
      <w:tr w14:paraId="38CA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2364CEB1">
            <w:pPr>
              <w:pStyle w:val="26"/>
              <w:bidi w:val="0"/>
              <w:rPr>
                <w:rFonts w:hint="eastAsia"/>
                <w:lang w:val="en-US" w:eastAsia="zh-CN"/>
              </w:rPr>
            </w:pPr>
          </w:p>
        </w:tc>
        <w:tc>
          <w:tcPr>
            <w:tcW w:w="1821" w:type="dxa"/>
            <w:shd w:val="clear" w:color="auto" w:fill="auto"/>
            <w:vAlign w:val="top"/>
          </w:tcPr>
          <w:p w14:paraId="7621F172">
            <w:pPr>
              <w:pStyle w:val="26"/>
              <w:bidi w:val="0"/>
              <w:rPr>
                <w:rFonts w:hint="eastAsia"/>
                <w:lang w:val="en-US" w:eastAsia="zh-CN"/>
              </w:rPr>
            </w:pPr>
            <w:r>
              <w:rPr>
                <w:rFonts w:hint="eastAsia"/>
                <w:lang w:val="en-US" w:eastAsia="zh-CN"/>
              </w:rPr>
              <w:t>1, 1,2-三氯乙烷</w:t>
            </w:r>
          </w:p>
        </w:tc>
        <w:tc>
          <w:tcPr>
            <w:tcW w:w="1825" w:type="dxa"/>
            <w:shd w:val="clear" w:color="auto" w:fill="auto"/>
            <w:vAlign w:val="top"/>
          </w:tcPr>
          <w:p w14:paraId="322DFD35">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4C792BD">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1FD5416A">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075EA7A2">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DA5EE34">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EB6143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1599FF1B">
            <w:pPr>
              <w:pStyle w:val="26"/>
              <w:bidi w:val="0"/>
              <w:rPr>
                <w:rFonts w:hint="eastAsia"/>
                <w:lang w:val="en-US" w:eastAsia="zh-CN"/>
              </w:rPr>
            </w:pPr>
            <w:r>
              <w:rPr>
                <w:rFonts w:hint="eastAsia"/>
                <w:lang w:val="en-US" w:eastAsia="zh-CN"/>
              </w:rPr>
              <w:t>2.8</w:t>
            </w:r>
          </w:p>
        </w:tc>
      </w:tr>
      <w:tr w14:paraId="03FA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7D176B58">
            <w:pPr>
              <w:pStyle w:val="26"/>
              <w:bidi w:val="0"/>
              <w:rPr>
                <w:rFonts w:hint="eastAsia"/>
                <w:lang w:val="en-US" w:eastAsia="zh-CN"/>
              </w:rPr>
            </w:pPr>
          </w:p>
        </w:tc>
        <w:tc>
          <w:tcPr>
            <w:tcW w:w="1821" w:type="dxa"/>
            <w:shd w:val="clear" w:color="auto" w:fill="auto"/>
            <w:vAlign w:val="top"/>
          </w:tcPr>
          <w:p w14:paraId="1645E93A">
            <w:pPr>
              <w:pStyle w:val="26"/>
              <w:bidi w:val="0"/>
              <w:rPr>
                <w:rFonts w:hint="eastAsia"/>
                <w:lang w:val="en-US" w:eastAsia="zh-CN"/>
              </w:rPr>
            </w:pPr>
            <w:r>
              <w:rPr>
                <w:rFonts w:hint="eastAsia"/>
                <w:lang w:val="en-US" w:eastAsia="zh-CN"/>
              </w:rPr>
              <w:t>甲苯</w:t>
            </w:r>
          </w:p>
        </w:tc>
        <w:tc>
          <w:tcPr>
            <w:tcW w:w="1825" w:type="dxa"/>
            <w:shd w:val="clear" w:color="auto" w:fill="auto"/>
            <w:vAlign w:val="top"/>
          </w:tcPr>
          <w:p w14:paraId="2C6218C7">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2C75543A">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73172220">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22C1C1CB">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17C5A02">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0F31216F">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64F3A7C">
            <w:pPr>
              <w:pStyle w:val="26"/>
              <w:bidi w:val="0"/>
              <w:rPr>
                <w:rFonts w:hint="eastAsia"/>
                <w:lang w:val="en-US" w:eastAsia="zh-CN"/>
              </w:rPr>
            </w:pPr>
            <w:r>
              <w:rPr>
                <w:rFonts w:hint="eastAsia"/>
                <w:lang w:val="en-US" w:eastAsia="zh-CN"/>
              </w:rPr>
              <w:t>1200</w:t>
            </w:r>
          </w:p>
        </w:tc>
      </w:tr>
      <w:tr w14:paraId="616C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1F572850">
            <w:pPr>
              <w:pStyle w:val="26"/>
              <w:bidi w:val="0"/>
              <w:rPr>
                <w:rFonts w:hint="eastAsia"/>
                <w:lang w:val="en-US" w:eastAsia="zh-CN"/>
              </w:rPr>
            </w:pPr>
          </w:p>
        </w:tc>
        <w:tc>
          <w:tcPr>
            <w:tcW w:w="1821" w:type="dxa"/>
            <w:shd w:val="clear" w:color="auto" w:fill="auto"/>
            <w:vAlign w:val="top"/>
          </w:tcPr>
          <w:p w14:paraId="2D2AA7C8">
            <w:pPr>
              <w:pStyle w:val="26"/>
              <w:bidi w:val="0"/>
              <w:rPr>
                <w:rFonts w:hint="eastAsia"/>
                <w:lang w:val="en-US" w:eastAsia="zh-CN"/>
              </w:rPr>
            </w:pPr>
            <w:r>
              <w:rPr>
                <w:rFonts w:hint="eastAsia"/>
                <w:lang w:val="en-US" w:eastAsia="zh-CN"/>
              </w:rPr>
              <w:t>四氯乙烯</w:t>
            </w:r>
          </w:p>
        </w:tc>
        <w:tc>
          <w:tcPr>
            <w:tcW w:w="1825" w:type="dxa"/>
            <w:shd w:val="clear" w:color="auto" w:fill="auto"/>
            <w:vAlign w:val="top"/>
          </w:tcPr>
          <w:p w14:paraId="1A28FAFE">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04F8BED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70BC739">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57BB99C0">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349CA73E">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98C4CD5">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5202D5E">
            <w:pPr>
              <w:pStyle w:val="26"/>
              <w:bidi w:val="0"/>
              <w:rPr>
                <w:rFonts w:hint="eastAsia"/>
                <w:lang w:val="en-US" w:eastAsia="zh-CN"/>
              </w:rPr>
            </w:pPr>
            <w:r>
              <w:rPr>
                <w:rFonts w:hint="eastAsia"/>
                <w:lang w:val="en-US" w:eastAsia="zh-CN"/>
              </w:rPr>
              <w:t>53</w:t>
            </w:r>
          </w:p>
        </w:tc>
      </w:tr>
      <w:tr w14:paraId="26DB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374D6A5B">
            <w:pPr>
              <w:pStyle w:val="26"/>
              <w:bidi w:val="0"/>
              <w:rPr>
                <w:rFonts w:hint="eastAsia"/>
                <w:lang w:val="en-US" w:eastAsia="zh-CN"/>
              </w:rPr>
            </w:pPr>
          </w:p>
        </w:tc>
        <w:tc>
          <w:tcPr>
            <w:tcW w:w="1821" w:type="dxa"/>
            <w:shd w:val="clear" w:color="auto" w:fill="auto"/>
            <w:vAlign w:val="top"/>
          </w:tcPr>
          <w:p w14:paraId="756BDDB8">
            <w:pPr>
              <w:pStyle w:val="26"/>
              <w:bidi w:val="0"/>
              <w:rPr>
                <w:rFonts w:hint="eastAsia"/>
                <w:lang w:val="en-US" w:eastAsia="zh-CN"/>
              </w:rPr>
            </w:pPr>
            <w:r>
              <w:rPr>
                <w:rFonts w:hint="eastAsia"/>
                <w:lang w:val="en-US" w:eastAsia="zh-CN"/>
              </w:rPr>
              <w:t>1, 1, 1,2-四氯乙烷</w:t>
            </w:r>
          </w:p>
        </w:tc>
        <w:tc>
          <w:tcPr>
            <w:tcW w:w="1825" w:type="dxa"/>
            <w:shd w:val="clear" w:color="auto" w:fill="auto"/>
            <w:vAlign w:val="top"/>
          </w:tcPr>
          <w:p w14:paraId="64F20EFB">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F9A7E05">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F32FF9A">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2C2E0BB7">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5CF83F78">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94E4B5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068C73D">
            <w:pPr>
              <w:pStyle w:val="26"/>
              <w:bidi w:val="0"/>
              <w:rPr>
                <w:rFonts w:hint="eastAsia"/>
                <w:lang w:val="en-US" w:eastAsia="zh-CN"/>
              </w:rPr>
            </w:pPr>
            <w:r>
              <w:rPr>
                <w:rFonts w:hint="eastAsia"/>
                <w:lang w:val="en-US" w:eastAsia="zh-CN"/>
              </w:rPr>
              <w:t>10</w:t>
            </w:r>
          </w:p>
        </w:tc>
      </w:tr>
      <w:tr w14:paraId="165C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51CB13C9">
            <w:pPr>
              <w:pStyle w:val="26"/>
              <w:bidi w:val="0"/>
              <w:rPr>
                <w:rFonts w:hint="eastAsia"/>
                <w:lang w:val="en-US" w:eastAsia="zh-CN"/>
              </w:rPr>
            </w:pPr>
          </w:p>
        </w:tc>
        <w:tc>
          <w:tcPr>
            <w:tcW w:w="1821" w:type="dxa"/>
            <w:shd w:val="clear" w:color="auto" w:fill="auto"/>
            <w:vAlign w:val="top"/>
          </w:tcPr>
          <w:p w14:paraId="536FECD8">
            <w:pPr>
              <w:pStyle w:val="26"/>
              <w:bidi w:val="0"/>
              <w:rPr>
                <w:rFonts w:hint="eastAsia"/>
                <w:lang w:val="en-US" w:eastAsia="zh-CN"/>
              </w:rPr>
            </w:pPr>
            <w:r>
              <w:rPr>
                <w:rFonts w:hint="eastAsia"/>
                <w:lang w:val="en-US" w:eastAsia="zh-CN"/>
              </w:rPr>
              <w:t>氯苯</w:t>
            </w:r>
          </w:p>
        </w:tc>
        <w:tc>
          <w:tcPr>
            <w:tcW w:w="1825" w:type="dxa"/>
            <w:shd w:val="clear" w:color="auto" w:fill="auto"/>
            <w:vAlign w:val="top"/>
          </w:tcPr>
          <w:p w14:paraId="4DB73FF5">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25C56DF1">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1D9C9341">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C111808">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3B939917">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17411C3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856309A">
            <w:pPr>
              <w:pStyle w:val="26"/>
              <w:bidi w:val="0"/>
              <w:rPr>
                <w:rFonts w:hint="eastAsia"/>
                <w:lang w:val="en-US" w:eastAsia="zh-CN"/>
              </w:rPr>
            </w:pPr>
            <w:r>
              <w:rPr>
                <w:rFonts w:hint="eastAsia"/>
                <w:lang w:val="en-US" w:eastAsia="zh-CN"/>
              </w:rPr>
              <w:t>270</w:t>
            </w:r>
          </w:p>
        </w:tc>
      </w:tr>
      <w:tr w14:paraId="0F7E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6AF74DCC">
            <w:pPr>
              <w:pStyle w:val="26"/>
              <w:bidi w:val="0"/>
              <w:rPr>
                <w:rFonts w:hint="eastAsia"/>
                <w:lang w:val="en-US" w:eastAsia="zh-CN"/>
              </w:rPr>
            </w:pPr>
          </w:p>
        </w:tc>
        <w:tc>
          <w:tcPr>
            <w:tcW w:w="1821" w:type="dxa"/>
            <w:shd w:val="clear" w:color="auto" w:fill="auto"/>
            <w:vAlign w:val="top"/>
          </w:tcPr>
          <w:p w14:paraId="7AA39C27">
            <w:pPr>
              <w:pStyle w:val="26"/>
              <w:bidi w:val="0"/>
              <w:rPr>
                <w:rFonts w:hint="eastAsia"/>
                <w:lang w:val="en-US" w:eastAsia="zh-CN"/>
              </w:rPr>
            </w:pPr>
            <w:r>
              <w:rPr>
                <w:rFonts w:hint="eastAsia"/>
                <w:lang w:val="en-US" w:eastAsia="zh-CN"/>
              </w:rPr>
              <w:t>乙苯</w:t>
            </w:r>
          </w:p>
        </w:tc>
        <w:tc>
          <w:tcPr>
            <w:tcW w:w="1825" w:type="dxa"/>
            <w:shd w:val="clear" w:color="auto" w:fill="auto"/>
            <w:vAlign w:val="top"/>
          </w:tcPr>
          <w:p w14:paraId="000D5197">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7CF0C445">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2C9C4D7D">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29EEBA6">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78F05310">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A565C78">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70CB20D9">
            <w:pPr>
              <w:pStyle w:val="26"/>
              <w:bidi w:val="0"/>
              <w:rPr>
                <w:rFonts w:hint="eastAsia"/>
                <w:lang w:val="en-US" w:eastAsia="zh-CN"/>
              </w:rPr>
            </w:pPr>
            <w:r>
              <w:rPr>
                <w:rFonts w:hint="eastAsia"/>
                <w:lang w:val="en-US" w:eastAsia="zh-CN"/>
              </w:rPr>
              <w:t>28</w:t>
            </w:r>
          </w:p>
        </w:tc>
      </w:tr>
      <w:tr w14:paraId="5448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74950304">
            <w:pPr>
              <w:pStyle w:val="26"/>
              <w:bidi w:val="0"/>
              <w:rPr>
                <w:rFonts w:hint="eastAsia"/>
                <w:lang w:val="en-US" w:eastAsia="zh-CN"/>
              </w:rPr>
            </w:pPr>
          </w:p>
        </w:tc>
        <w:tc>
          <w:tcPr>
            <w:tcW w:w="1821" w:type="dxa"/>
            <w:shd w:val="clear" w:color="auto" w:fill="auto"/>
            <w:vAlign w:val="top"/>
          </w:tcPr>
          <w:p w14:paraId="34F8EEFF">
            <w:pPr>
              <w:pStyle w:val="26"/>
              <w:bidi w:val="0"/>
              <w:rPr>
                <w:rFonts w:hint="eastAsia"/>
                <w:lang w:val="en-US" w:eastAsia="zh-CN"/>
              </w:rPr>
            </w:pPr>
            <w:r>
              <w:rPr>
                <w:rFonts w:hint="eastAsia"/>
                <w:lang w:val="en-US" w:eastAsia="zh-CN"/>
              </w:rPr>
              <w:t>对/间二甲苯</w:t>
            </w:r>
          </w:p>
        </w:tc>
        <w:tc>
          <w:tcPr>
            <w:tcW w:w="1825" w:type="dxa"/>
            <w:shd w:val="clear" w:color="auto" w:fill="auto"/>
            <w:vAlign w:val="top"/>
          </w:tcPr>
          <w:p w14:paraId="2E5364DD">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2688C908">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3DB1E463">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77A9CD1F">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4AC37FF9">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7AC1B49">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5A2A3DB">
            <w:pPr>
              <w:pStyle w:val="26"/>
              <w:bidi w:val="0"/>
              <w:rPr>
                <w:rFonts w:hint="eastAsia"/>
                <w:lang w:val="en-US" w:eastAsia="zh-CN"/>
              </w:rPr>
            </w:pPr>
            <w:r>
              <w:rPr>
                <w:rFonts w:hint="eastAsia"/>
                <w:lang w:val="en-US" w:eastAsia="zh-CN"/>
              </w:rPr>
              <w:t>570</w:t>
            </w:r>
          </w:p>
        </w:tc>
      </w:tr>
      <w:tr w14:paraId="3D6F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10B5596A">
            <w:pPr>
              <w:pStyle w:val="26"/>
              <w:bidi w:val="0"/>
              <w:rPr>
                <w:rFonts w:hint="eastAsia"/>
                <w:lang w:val="en-US" w:eastAsia="zh-CN"/>
              </w:rPr>
            </w:pPr>
          </w:p>
        </w:tc>
        <w:tc>
          <w:tcPr>
            <w:tcW w:w="1821" w:type="dxa"/>
            <w:shd w:val="clear" w:color="auto" w:fill="auto"/>
            <w:vAlign w:val="top"/>
          </w:tcPr>
          <w:p w14:paraId="0C5B6F28">
            <w:pPr>
              <w:pStyle w:val="26"/>
              <w:bidi w:val="0"/>
              <w:rPr>
                <w:rFonts w:hint="eastAsia"/>
                <w:lang w:val="en-US" w:eastAsia="zh-CN"/>
              </w:rPr>
            </w:pPr>
            <w:r>
              <w:rPr>
                <w:rFonts w:hint="eastAsia"/>
                <w:lang w:val="en-US" w:eastAsia="zh-CN"/>
              </w:rPr>
              <w:t>苯乙烯</w:t>
            </w:r>
          </w:p>
        </w:tc>
        <w:tc>
          <w:tcPr>
            <w:tcW w:w="1825" w:type="dxa"/>
            <w:shd w:val="clear" w:color="auto" w:fill="auto"/>
            <w:vAlign w:val="top"/>
          </w:tcPr>
          <w:p w14:paraId="3A4FE19A">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2A110AE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1B8A716C">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E8ACEE6">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246CE4A2">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2F34BF0D">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5C35212F">
            <w:pPr>
              <w:pStyle w:val="26"/>
              <w:bidi w:val="0"/>
              <w:rPr>
                <w:rFonts w:hint="eastAsia"/>
                <w:lang w:val="en-US" w:eastAsia="zh-CN"/>
              </w:rPr>
            </w:pPr>
            <w:r>
              <w:rPr>
                <w:rFonts w:hint="eastAsia"/>
                <w:lang w:val="en-US" w:eastAsia="zh-CN"/>
              </w:rPr>
              <w:t>1290</w:t>
            </w:r>
          </w:p>
        </w:tc>
      </w:tr>
      <w:tr w14:paraId="450C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2FDAF003">
            <w:pPr>
              <w:pStyle w:val="26"/>
              <w:bidi w:val="0"/>
              <w:rPr>
                <w:rFonts w:hint="eastAsia"/>
                <w:lang w:val="en-US" w:eastAsia="zh-CN"/>
              </w:rPr>
            </w:pPr>
          </w:p>
        </w:tc>
        <w:tc>
          <w:tcPr>
            <w:tcW w:w="1821" w:type="dxa"/>
            <w:shd w:val="clear" w:color="auto" w:fill="auto"/>
            <w:vAlign w:val="top"/>
          </w:tcPr>
          <w:p w14:paraId="6DDBB7EC">
            <w:pPr>
              <w:pStyle w:val="26"/>
              <w:bidi w:val="0"/>
              <w:rPr>
                <w:rFonts w:hint="eastAsia"/>
                <w:lang w:val="en-US" w:eastAsia="zh-CN"/>
              </w:rPr>
            </w:pPr>
            <w:r>
              <w:rPr>
                <w:rFonts w:hint="eastAsia"/>
                <w:lang w:val="en-US" w:eastAsia="zh-CN"/>
              </w:rPr>
              <w:t>1, 1,2,2-四氯乙烷</w:t>
            </w:r>
          </w:p>
        </w:tc>
        <w:tc>
          <w:tcPr>
            <w:tcW w:w="1825" w:type="dxa"/>
            <w:shd w:val="clear" w:color="auto" w:fill="auto"/>
            <w:vAlign w:val="top"/>
          </w:tcPr>
          <w:p w14:paraId="32C2E5EF">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5585142E">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8246DF6">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4878F520">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64241F23">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3BF6415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F9A74C3">
            <w:pPr>
              <w:pStyle w:val="26"/>
              <w:bidi w:val="0"/>
              <w:rPr>
                <w:rFonts w:hint="eastAsia"/>
                <w:lang w:val="en-US" w:eastAsia="zh-CN"/>
              </w:rPr>
            </w:pPr>
            <w:r>
              <w:rPr>
                <w:rFonts w:hint="eastAsia"/>
                <w:lang w:val="en-US" w:eastAsia="zh-CN"/>
              </w:rPr>
              <w:t>6.8</w:t>
            </w:r>
          </w:p>
        </w:tc>
      </w:tr>
      <w:tr w14:paraId="4C26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0679394A">
            <w:pPr>
              <w:pStyle w:val="26"/>
              <w:bidi w:val="0"/>
              <w:rPr>
                <w:rFonts w:hint="eastAsia"/>
                <w:lang w:val="en-US" w:eastAsia="zh-CN"/>
              </w:rPr>
            </w:pPr>
          </w:p>
        </w:tc>
        <w:tc>
          <w:tcPr>
            <w:tcW w:w="1821" w:type="dxa"/>
            <w:shd w:val="clear" w:color="auto" w:fill="auto"/>
            <w:vAlign w:val="top"/>
          </w:tcPr>
          <w:p w14:paraId="35BD6CAC">
            <w:pPr>
              <w:pStyle w:val="26"/>
              <w:bidi w:val="0"/>
              <w:rPr>
                <w:rFonts w:hint="eastAsia"/>
                <w:lang w:val="en-US" w:eastAsia="zh-CN"/>
              </w:rPr>
            </w:pPr>
            <w:r>
              <w:rPr>
                <w:rFonts w:hint="eastAsia"/>
                <w:lang w:val="en-US" w:eastAsia="zh-CN"/>
              </w:rPr>
              <w:t>邻二甲苯</w:t>
            </w:r>
          </w:p>
        </w:tc>
        <w:tc>
          <w:tcPr>
            <w:tcW w:w="1825" w:type="dxa"/>
            <w:shd w:val="clear" w:color="auto" w:fill="auto"/>
            <w:vAlign w:val="top"/>
          </w:tcPr>
          <w:p w14:paraId="1B83FADE">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C8D105D">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50579C21">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17463C1">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CCA2C97">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1B484250">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05F4777B">
            <w:pPr>
              <w:pStyle w:val="26"/>
              <w:bidi w:val="0"/>
              <w:rPr>
                <w:rFonts w:hint="eastAsia"/>
                <w:lang w:val="en-US" w:eastAsia="zh-CN"/>
              </w:rPr>
            </w:pPr>
            <w:r>
              <w:rPr>
                <w:rFonts w:hint="eastAsia"/>
                <w:lang w:val="en-US" w:eastAsia="zh-CN"/>
              </w:rPr>
              <w:t>640</w:t>
            </w:r>
          </w:p>
        </w:tc>
      </w:tr>
      <w:tr w14:paraId="4BF4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16EC1CB0">
            <w:pPr>
              <w:pStyle w:val="26"/>
              <w:bidi w:val="0"/>
              <w:rPr>
                <w:rFonts w:hint="eastAsia"/>
                <w:lang w:val="en-US" w:eastAsia="zh-CN"/>
              </w:rPr>
            </w:pPr>
          </w:p>
        </w:tc>
        <w:tc>
          <w:tcPr>
            <w:tcW w:w="1821" w:type="dxa"/>
            <w:shd w:val="clear" w:color="auto" w:fill="auto"/>
            <w:vAlign w:val="top"/>
          </w:tcPr>
          <w:p w14:paraId="45919B2D">
            <w:pPr>
              <w:pStyle w:val="26"/>
              <w:bidi w:val="0"/>
              <w:rPr>
                <w:rFonts w:hint="eastAsia"/>
                <w:lang w:val="en-US" w:eastAsia="zh-CN"/>
              </w:rPr>
            </w:pPr>
            <w:r>
              <w:rPr>
                <w:rFonts w:hint="eastAsia"/>
                <w:lang w:val="en-US" w:eastAsia="zh-CN"/>
              </w:rPr>
              <w:t>1,2.3-三氯丙烷</w:t>
            </w:r>
          </w:p>
        </w:tc>
        <w:tc>
          <w:tcPr>
            <w:tcW w:w="1825" w:type="dxa"/>
            <w:shd w:val="clear" w:color="auto" w:fill="auto"/>
            <w:vAlign w:val="top"/>
          </w:tcPr>
          <w:p w14:paraId="04C9F9DD">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5013FB3">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079A1DA3">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1D49481D">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04560C5A">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495A294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4BA6AD19">
            <w:pPr>
              <w:pStyle w:val="26"/>
              <w:bidi w:val="0"/>
              <w:rPr>
                <w:rFonts w:hint="eastAsia"/>
                <w:lang w:val="en-US" w:eastAsia="zh-CN"/>
              </w:rPr>
            </w:pPr>
            <w:r>
              <w:rPr>
                <w:rFonts w:hint="eastAsia"/>
                <w:lang w:val="en-US" w:eastAsia="zh-CN"/>
              </w:rPr>
              <w:t>0.5</w:t>
            </w:r>
          </w:p>
        </w:tc>
      </w:tr>
      <w:tr w14:paraId="36C0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572F5FE4">
            <w:pPr>
              <w:pStyle w:val="26"/>
              <w:bidi w:val="0"/>
              <w:rPr>
                <w:rFonts w:hint="eastAsia"/>
                <w:lang w:val="en-US" w:eastAsia="zh-CN"/>
              </w:rPr>
            </w:pPr>
          </w:p>
        </w:tc>
        <w:tc>
          <w:tcPr>
            <w:tcW w:w="1821" w:type="dxa"/>
            <w:shd w:val="clear" w:color="auto" w:fill="auto"/>
            <w:vAlign w:val="top"/>
          </w:tcPr>
          <w:p w14:paraId="267A81C3">
            <w:pPr>
              <w:pStyle w:val="26"/>
              <w:bidi w:val="0"/>
              <w:rPr>
                <w:rFonts w:hint="eastAsia"/>
                <w:lang w:val="en-US" w:eastAsia="zh-CN"/>
              </w:rPr>
            </w:pPr>
            <w:r>
              <w:rPr>
                <w:rFonts w:hint="eastAsia"/>
                <w:lang w:val="en-US" w:eastAsia="zh-CN"/>
              </w:rPr>
              <w:t>1,4-二氮苯</w:t>
            </w:r>
          </w:p>
        </w:tc>
        <w:tc>
          <w:tcPr>
            <w:tcW w:w="1825" w:type="dxa"/>
            <w:shd w:val="clear" w:color="auto" w:fill="auto"/>
            <w:vAlign w:val="top"/>
          </w:tcPr>
          <w:p w14:paraId="61E353A2">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47F10454">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6B5BA0A0">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0152964D">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5C1C0761">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6C959552">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6FBB8B21">
            <w:pPr>
              <w:pStyle w:val="26"/>
              <w:bidi w:val="0"/>
              <w:rPr>
                <w:rFonts w:hint="eastAsia"/>
                <w:lang w:val="en-US" w:eastAsia="zh-CN"/>
              </w:rPr>
            </w:pPr>
            <w:r>
              <w:rPr>
                <w:rFonts w:hint="eastAsia"/>
                <w:lang w:val="en-US" w:eastAsia="zh-CN"/>
              </w:rPr>
              <w:t>20</w:t>
            </w:r>
          </w:p>
        </w:tc>
      </w:tr>
      <w:tr w14:paraId="4084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gridSpan w:val="5"/>
            <w:vMerge w:val="continue"/>
            <w:shd w:val="clear" w:color="auto" w:fill="auto"/>
            <w:vAlign w:val="top"/>
          </w:tcPr>
          <w:p w14:paraId="6034818F">
            <w:pPr>
              <w:pStyle w:val="26"/>
              <w:bidi w:val="0"/>
              <w:rPr>
                <w:rFonts w:hint="eastAsia"/>
                <w:lang w:val="en-US" w:eastAsia="zh-CN"/>
              </w:rPr>
            </w:pPr>
          </w:p>
        </w:tc>
        <w:tc>
          <w:tcPr>
            <w:tcW w:w="1821" w:type="dxa"/>
            <w:shd w:val="clear" w:color="auto" w:fill="auto"/>
            <w:vAlign w:val="top"/>
          </w:tcPr>
          <w:p w14:paraId="202EC83F">
            <w:pPr>
              <w:pStyle w:val="26"/>
              <w:bidi w:val="0"/>
              <w:rPr>
                <w:rFonts w:hint="eastAsia"/>
                <w:lang w:val="en-US" w:eastAsia="zh-CN"/>
              </w:rPr>
            </w:pPr>
            <w:r>
              <w:rPr>
                <w:rFonts w:hint="eastAsia"/>
                <w:lang w:val="en-US" w:eastAsia="zh-CN"/>
              </w:rPr>
              <w:t>1,2-二氯苯</w:t>
            </w:r>
          </w:p>
        </w:tc>
        <w:tc>
          <w:tcPr>
            <w:tcW w:w="1825" w:type="dxa"/>
            <w:shd w:val="clear" w:color="auto" w:fill="auto"/>
            <w:vAlign w:val="top"/>
          </w:tcPr>
          <w:p w14:paraId="230A9CE7">
            <w:pPr>
              <w:pStyle w:val="26"/>
              <w:bidi w:val="0"/>
              <w:rPr>
                <w:rFonts w:hint="eastAsia"/>
                <w:lang w:val="en-US" w:eastAsia="zh-CN"/>
              </w:rPr>
            </w:pPr>
            <w:r>
              <w:rPr>
                <w:rFonts w:hint="eastAsia"/>
                <w:lang w:val="en-US" w:eastAsia="zh-CN"/>
              </w:rPr>
              <w:t>ND</w:t>
            </w:r>
          </w:p>
        </w:tc>
        <w:tc>
          <w:tcPr>
            <w:tcW w:w="1574" w:type="dxa"/>
            <w:gridSpan w:val="3"/>
            <w:shd w:val="clear" w:color="auto" w:fill="auto"/>
            <w:vAlign w:val="top"/>
          </w:tcPr>
          <w:p w14:paraId="3E8BA561">
            <w:pPr>
              <w:pStyle w:val="26"/>
              <w:bidi w:val="0"/>
              <w:rPr>
                <w:rFonts w:hint="eastAsia"/>
                <w:lang w:val="en-US" w:eastAsia="zh-CN"/>
              </w:rPr>
            </w:pPr>
            <w:r>
              <w:rPr>
                <w:rFonts w:hint="eastAsia"/>
                <w:lang w:val="en-US" w:eastAsia="zh-CN"/>
              </w:rPr>
              <w:t>ND</w:t>
            </w:r>
          </w:p>
        </w:tc>
        <w:tc>
          <w:tcPr>
            <w:tcW w:w="1529" w:type="dxa"/>
            <w:gridSpan w:val="2"/>
            <w:shd w:val="clear" w:color="auto" w:fill="auto"/>
            <w:vAlign w:val="top"/>
          </w:tcPr>
          <w:p w14:paraId="4EA1EBCD">
            <w:pPr>
              <w:pStyle w:val="26"/>
              <w:bidi w:val="0"/>
              <w:rPr>
                <w:rFonts w:hint="eastAsia"/>
                <w:lang w:val="en-US" w:eastAsia="zh-CN"/>
              </w:rPr>
            </w:pPr>
            <w:r>
              <w:rPr>
                <w:rFonts w:hint="eastAsia"/>
                <w:lang w:val="en-US" w:eastAsia="zh-CN"/>
              </w:rPr>
              <w:t>ND</w:t>
            </w:r>
          </w:p>
        </w:tc>
        <w:tc>
          <w:tcPr>
            <w:tcW w:w="1464" w:type="dxa"/>
            <w:gridSpan w:val="2"/>
            <w:shd w:val="clear" w:color="auto" w:fill="auto"/>
            <w:vAlign w:val="top"/>
          </w:tcPr>
          <w:p w14:paraId="3F379669">
            <w:pPr>
              <w:pStyle w:val="26"/>
              <w:bidi w:val="0"/>
              <w:rPr>
                <w:rFonts w:hint="eastAsia"/>
                <w:lang w:val="en-US" w:eastAsia="zh-CN"/>
              </w:rPr>
            </w:pPr>
            <w:r>
              <w:rPr>
                <w:rFonts w:hint="eastAsia"/>
                <w:lang w:val="en-US" w:eastAsia="zh-CN"/>
              </w:rPr>
              <w:t>ND</w:t>
            </w:r>
          </w:p>
        </w:tc>
        <w:tc>
          <w:tcPr>
            <w:tcW w:w="1460" w:type="dxa"/>
            <w:gridSpan w:val="3"/>
            <w:shd w:val="clear" w:color="auto" w:fill="auto"/>
            <w:vAlign w:val="top"/>
          </w:tcPr>
          <w:p w14:paraId="3C39225F">
            <w:pPr>
              <w:pStyle w:val="26"/>
              <w:bidi w:val="0"/>
              <w:rPr>
                <w:rFonts w:hint="eastAsia"/>
                <w:lang w:val="en-US" w:eastAsia="zh-CN"/>
              </w:rPr>
            </w:pPr>
            <w:r>
              <w:rPr>
                <w:rFonts w:hint="eastAsia"/>
                <w:lang w:val="en-US" w:eastAsia="zh-CN"/>
              </w:rPr>
              <w:t>ND</w:t>
            </w:r>
          </w:p>
        </w:tc>
        <w:tc>
          <w:tcPr>
            <w:tcW w:w="1530" w:type="dxa"/>
            <w:shd w:val="clear" w:color="auto" w:fill="auto"/>
            <w:vAlign w:val="top"/>
          </w:tcPr>
          <w:p w14:paraId="695B7DCE">
            <w:pPr>
              <w:pStyle w:val="26"/>
              <w:bidi w:val="0"/>
              <w:rPr>
                <w:rFonts w:hint="eastAsia"/>
                <w:lang w:val="en-US" w:eastAsia="zh-CN"/>
              </w:rPr>
            </w:pPr>
            <w:r>
              <w:rPr>
                <w:rFonts w:hint="eastAsia"/>
                <w:lang w:val="en-US" w:eastAsia="zh-CN"/>
              </w:rPr>
              <w:t>ND</w:t>
            </w:r>
          </w:p>
        </w:tc>
        <w:tc>
          <w:tcPr>
            <w:tcW w:w="1259" w:type="dxa"/>
            <w:shd w:val="clear" w:color="auto" w:fill="auto"/>
            <w:vAlign w:val="top"/>
          </w:tcPr>
          <w:p w14:paraId="3C4F37F0">
            <w:pPr>
              <w:pStyle w:val="26"/>
              <w:bidi w:val="0"/>
              <w:rPr>
                <w:rFonts w:hint="eastAsia"/>
                <w:lang w:val="en-US" w:eastAsia="zh-CN"/>
              </w:rPr>
            </w:pPr>
            <w:r>
              <w:rPr>
                <w:rFonts w:hint="eastAsia"/>
                <w:lang w:val="en-US" w:eastAsia="zh-CN"/>
              </w:rPr>
              <w:t>560</w:t>
            </w:r>
          </w:p>
        </w:tc>
      </w:tr>
    </w:tbl>
    <w:p w14:paraId="085D4262">
      <w:pPr>
        <w:bidi w:val="0"/>
        <w:spacing w:before="50" w:beforeLines="50" w:line="360" w:lineRule="auto"/>
        <w:jc w:val="center"/>
        <w:outlineLvl w:val="9"/>
        <w:rPr>
          <w:rFonts w:ascii="Times New Roman" w:hAnsi="Times New Roman" w:eastAsia="仿宋_GB2312" w:cstheme="minorBidi"/>
          <w:b/>
          <w:color w:val="auto"/>
          <w:kern w:val="2"/>
          <w:sz w:val="24"/>
          <w:szCs w:val="22"/>
          <w:lang w:val="en-US" w:eastAsia="zh-CN" w:bidi="ar-SA"/>
        </w:rPr>
      </w:pPr>
    </w:p>
    <w:p w14:paraId="3FB64A2A">
      <w:pPr>
        <w:pStyle w:val="26"/>
        <w:bidi w:val="0"/>
        <w:rPr>
          <w:rFonts w:hint="eastAsia"/>
          <w:color w:val="auto"/>
        </w:rPr>
        <w:sectPr>
          <w:pgSz w:w="16838" w:h="11906" w:orient="landscape"/>
          <w:pgMar w:top="1440" w:right="1440" w:bottom="1281" w:left="1440" w:header="851" w:footer="850" w:gutter="0"/>
          <w:pgBorders>
            <w:top w:val="none" w:sz="0" w:space="0"/>
            <w:left w:val="none" w:sz="0" w:space="0"/>
            <w:bottom w:val="none" w:sz="0" w:space="0"/>
            <w:right w:val="none" w:sz="0" w:space="0"/>
          </w:pgBorders>
          <w:pgNumType w:fmt="decimal"/>
          <w:cols w:space="720" w:num="1"/>
          <w:docGrid w:linePitch="382" w:charSpace="0"/>
        </w:sectPr>
      </w:pPr>
    </w:p>
    <w:p w14:paraId="431DFC1C">
      <w:pPr>
        <w:bidi w:val="0"/>
        <w:rPr>
          <w:rFonts w:hint="eastAsia" w:ascii="Times New Roman" w:hAnsi="Times New Roman"/>
          <w:color w:val="auto"/>
        </w:rPr>
      </w:pPr>
      <w:r>
        <w:rPr>
          <w:rFonts w:hint="eastAsia" w:ascii="Times New Roman" w:hAnsi="Times New Roman"/>
          <w:color w:val="auto"/>
        </w:rPr>
        <w:t>监测结果及分析表明，项目区土壤中各监测因子监测结果均满足《土壤环境质量建设用地土壤污染风险管控标准（试行）》（GB 36600-2018）中表 1 筛选值中第二类用地的标准限值要求。其中 S5 点位中六价铬检测值较高为 5.4mg/kg ，该检测点位位于厂区雕刻及电镀车间北侧，为废液收集中转处，收集废液后，通过提升泵，泵至危废仓库收集桶。前期地埋容积为 3 m3 的中转罐，后考虑隐患问题，对该区域重新进行防腐防渗处理，更改为 3 个容积为 1m3 的半地下储桶，设观察窗口，防止储桶收满溢出，同时设有专人监管。</w:t>
      </w:r>
    </w:p>
    <w:p w14:paraId="2A7D7CCD">
      <w:pPr>
        <w:ind w:firstLineChars="0"/>
        <w:rPr>
          <w:rFonts w:ascii="Times New Roman" w:hAnsi="Times New Roman"/>
          <w:color w:val="auto"/>
        </w:rPr>
      </w:pPr>
    </w:p>
    <w:p w14:paraId="0A0DF902">
      <w:pPr>
        <w:bidi w:val="0"/>
      </w:pPr>
    </w:p>
    <w:p w14:paraId="42EF9740">
      <w:pPr>
        <w:rPr>
          <w:color w:val="auto"/>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720" w:num="1"/>
          <w:docGrid w:linePitch="382" w:charSpace="0"/>
        </w:sectPr>
      </w:pPr>
    </w:p>
    <w:p w14:paraId="6533F27C">
      <w:pPr>
        <w:pStyle w:val="2"/>
        <w:rPr>
          <w:color w:val="auto"/>
        </w:rPr>
      </w:pPr>
      <w:bookmarkStart w:id="256" w:name="_Toc4285"/>
      <w:bookmarkStart w:id="257" w:name="_Toc16519"/>
      <w:r>
        <w:rPr>
          <w:rFonts w:hint="eastAsia"/>
          <w:color w:val="auto"/>
        </w:rPr>
        <w:t>环境影响预测与评价</w:t>
      </w:r>
      <w:bookmarkEnd w:id="256"/>
      <w:bookmarkEnd w:id="257"/>
    </w:p>
    <w:p w14:paraId="14EA6FD1">
      <w:pPr>
        <w:pStyle w:val="3"/>
        <w:rPr>
          <w:color w:val="auto"/>
        </w:rPr>
      </w:pPr>
      <w:bookmarkStart w:id="258" w:name="_Toc3632"/>
      <w:bookmarkStart w:id="259" w:name="_Toc10259"/>
      <w:r>
        <w:rPr>
          <w:rFonts w:hint="eastAsia"/>
          <w:color w:val="auto"/>
        </w:rPr>
        <w:t>施工期环境影响评价</w:t>
      </w:r>
      <w:bookmarkEnd w:id="258"/>
      <w:bookmarkEnd w:id="259"/>
    </w:p>
    <w:p w14:paraId="00D06691">
      <w:pPr>
        <w:rPr>
          <w:color w:val="auto"/>
        </w:rPr>
      </w:pPr>
      <w:r>
        <w:rPr>
          <w:rFonts w:hint="eastAsia"/>
          <w:color w:val="auto"/>
        </w:rPr>
        <w:t>施工期间，本项目的实施会对周围环境产生一定的影响。本项目施工期主要为生产装置及配套设备的安装，废水主要为施工人员的生活污水，接管</w:t>
      </w:r>
      <w:r>
        <w:rPr>
          <w:rFonts w:hint="eastAsia"/>
          <w:color w:val="auto"/>
          <w:lang w:val="en-US" w:eastAsia="zh-CN"/>
        </w:rPr>
        <w:t>市政</w:t>
      </w:r>
      <w:r>
        <w:rPr>
          <w:rFonts w:hint="eastAsia"/>
          <w:color w:val="auto"/>
        </w:rPr>
        <w:t>管网，进入淀山湖琨澄水质净化有限公司处理；噪声主要为设备的安装、调试产生的噪声，尽量选用先进的低噪声设备、合理安排时间，可有效降低施工期噪声对周围环境的影响；固废主要为生活垃圾和设备安装废料，集中收集后纳入</w:t>
      </w:r>
      <w:r>
        <w:rPr>
          <w:rFonts w:hint="eastAsia"/>
          <w:color w:val="auto"/>
          <w:lang w:val="en-US" w:eastAsia="zh-CN"/>
        </w:rPr>
        <w:t>淀山湖镇</w:t>
      </w:r>
      <w:r>
        <w:rPr>
          <w:rFonts w:hint="eastAsia"/>
          <w:color w:val="auto"/>
        </w:rPr>
        <w:t>垃圾消纳系统，对周围环境影响较小。本章节主要对项目运营期环境影响进行预测评价。</w:t>
      </w:r>
    </w:p>
    <w:p w14:paraId="55FB80A5">
      <w:pPr>
        <w:pStyle w:val="3"/>
        <w:rPr>
          <w:color w:val="auto"/>
        </w:rPr>
      </w:pPr>
      <w:bookmarkStart w:id="260" w:name="_Toc16500"/>
      <w:bookmarkStart w:id="261" w:name="_Toc10467"/>
      <w:r>
        <w:rPr>
          <w:rFonts w:hint="eastAsia"/>
          <w:color w:val="auto"/>
        </w:rPr>
        <w:t>运营期环境影响分析</w:t>
      </w:r>
      <w:bookmarkEnd w:id="260"/>
      <w:bookmarkEnd w:id="261"/>
    </w:p>
    <w:p w14:paraId="2C832E15">
      <w:pPr>
        <w:pStyle w:val="4"/>
        <w:rPr>
          <w:color w:val="auto"/>
        </w:rPr>
      </w:pPr>
      <w:bookmarkStart w:id="262" w:name="_Toc7996"/>
      <w:bookmarkStart w:id="263" w:name="_Toc11786"/>
      <w:r>
        <w:rPr>
          <w:rFonts w:hint="eastAsia"/>
          <w:color w:val="auto"/>
        </w:rPr>
        <w:t>环境空气质量影响预测与评价</w:t>
      </w:r>
      <w:bookmarkEnd w:id="262"/>
      <w:bookmarkEnd w:id="263"/>
    </w:p>
    <w:p w14:paraId="3F8BAF66">
      <w:pPr>
        <w:pStyle w:val="5"/>
        <w:ind w:firstLine="301"/>
        <w:rPr>
          <w:color w:val="auto"/>
        </w:rPr>
      </w:pPr>
      <w:r>
        <w:rPr>
          <w:rFonts w:hint="eastAsia"/>
          <w:color w:val="auto"/>
        </w:rPr>
        <w:t>预测参数及预测模型</w:t>
      </w:r>
    </w:p>
    <w:p w14:paraId="6CD4B8BD">
      <w:pPr>
        <w:pStyle w:val="6"/>
        <w:ind w:firstLine="562"/>
        <w:rPr>
          <w:color w:val="auto"/>
        </w:rPr>
      </w:pPr>
      <w:r>
        <w:rPr>
          <w:rFonts w:hint="eastAsia"/>
          <w:color w:val="auto"/>
        </w:rPr>
        <w:t>预测模式</w:t>
      </w:r>
    </w:p>
    <w:p w14:paraId="3CC795BE">
      <w:pPr>
        <w:widowControl/>
        <w:adjustRightInd w:val="0"/>
        <w:snapToGrid w:val="0"/>
        <w:ind w:firstLine="560" w:firstLineChars="200"/>
        <w:rPr>
          <w:rFonts w:ascii="Times New Roman" w:hAnsi="Times New Roman" w:cs="Times New Roman"/>
          <w:kern w:val="0"/>
          <w:szCs w:val="21"/>
          <w:highlight w:val="none"/>
        </w:rPr>
      </w:pPr>
      <w:r>
        <w:rPr>
          <w:rFonts w:ascii="Times New Roman" w:hAnsi="Times New Roman" w:cs="Times New Roman"/>
          <w:kern w:val="0"/>
          <w:szCs w:val="21"/>
          <w:highlight w:val="none"/>
        </w:rPr>
        <w:t>对照《环境影响评价技术导则大气环境》（HJ2.2-2018），确定本项目大气环境影响评价等级为</w:t>
      </w:r>
      <w:r>
        <w:rPr>
          <w:rFonts w:hint="eastAsia" w:ascii="Times New Roman" w:hAnsi="Times New Roman" w:cs="Times New Roman"/>
          <w:kern w:val="0"/>
          <w:szCs w:val="21"/>
          <w:highlight w:val="none"/>
          <w:lang w:val="en-US" w:eastAsia="zh-CN"/>
        </w:rPr>
        <w:t>二</w:t>
      </w:r>
      <w:r>
        <w:rPr>
          <w:rFonts w:ascii="Times New Roman" w:hAnsi="Times New Roman" w:cs="Times New Roman"/>
          <w:kern w:val="0"/>
          <w:szCs w:val="21"/>
          <w:highlight w:val="none"/>
        </w:rPr>
        <w:t>级，不进行进一步预测与评价。仅采用AERSCREEN模型进行估算。</w:t>
      </w:r>
    </w:p>
    <w:p w14:paraId="0CD90C18">
      <w:pPr>
        <w:pStyle w:val="6"/>
        <w:bidi w:val="0"/>
        <w:rPr>
          <w:lang w:val="en-US" w:eastAsia="zh-CN"/>
        </w:rPr>
      </w:pPr>
      <w:r>
        <w:rPr>
          <w:lang w:val="en-US" w:eastAsia="zh-CN"/>
        </w:rPr>
        <w:t>估算模型参数</w:t>
      </w:r>
    </w:p>
    <w:p w14:paraId="31430CEF">
      <w:pPr>
        <w:widowControl/>
        <w:adjustRightInd w:val="0"/>
        <w:snapToGrid w:val="0"/>
        <w:ind w:firstLine="560" w:firstLineChars="200"/>
        <w:rPr>
          <w:rFonts w:ascii="Times New Roman" w:hAnsi="Times New Roman" w:cs="Times New Roman"/>
          <w:highlight w:val="none"/>
        </w:rPr>
      </w:pPr>
      <w:r>
        <w:rPr>
          <w:rFonts w:ascii="Times New Roman" w:hAnsi="Times New Roman" w:cs="Times New Roman"/>
          <w:snapToGrid w:val="0"/>
          <w:kern w:val="0"/>
          <w:szCs w:val="28"/>
          <w:highlight w:val="none"/>
        </w:rPr>
        <w:t>估算模型参数见</w:t>
      </w:r>
      <w:r>
        <w:rPr>
          <w:rFonts w:hint="eastAsia" w:ascii="Times New Roman" w:hAnsi="Times New Roman" w:cs="Times New Roman"/>
          <w:snapToGrid w:val="0"/>
          <w:kern w:val="0"/>
          <w:szCs w:val="28"/>
          <w:highlight w:val="none"/>
          <w:lang w:val="en-US" w:eastAsia="zh-CN"/>
        </w:rPr>
        <w:t>下表</w:t>
      </w:r>
      <w:r>
        <w:rPr>
          <w:rFonts w:ascii="Times New Roman" w:hAnsi="Times New Roman" w:cs="Times New Roman"/>
          <w:snapToGrid w:val="0"/>
          <w:kern w:val="0"/>
          <w:szCs w:val="28"/>
          <w:highlight w:val="none"/>
        </w:rPr>
        <w:t>：</w:t>
      </w:r>
    </w:p>
    <w:p w14:paraId="66866628">
      <w:pPr>
        <w:bidi w:val="0"/>
        <w:spacing w:before="50" w:beforeLines="50" w:line="360" w:lineRule="auto"/>
        <w:jc w:val="center"/>
        <w:outlineLvl w:val="4"/>
        <w:rPr>
          <w:rFonts w:ascii="Times New Roman" w:hAnsi="Times New Roman" w:eastAsia="仿宋_GB2312" w:cs="Times New Roman"/>
          <w:b/>
          <w:kern w:val="2"/>
          <w:sz w:val="24"/>
          <w:szCs w:val="22"/>
          <w:highlight w:val="none"/>
          <w:lang w:val="en-US" w:eastAsia="zh-CN" w:bidi="ar-SA"/>
        </w:rPr>
      </w:pPr>
      <w:r>
        <w:rPr>
          <w:rFonts w:ascii="Times New Roman" w:hAnsi="Times New Roman" w:eastAsia="仿宋_GB2312" w:cs="Times New Roman"/>
          <w:b/>
          <w:kern w:val="2"/>
          <w:sz w:val="24"/>
          <w:szCs w:val="22"/>
          <w:highlight w:val="none"/>
          <w:lang w:val="en-US" w:eastAsia="zh-CN" w:bidi="ar-SA"/>
        </w:rPr>
        <w:t>表</w:t>
      </w:r>
      <w:r>
        <w:rPr>
          <w:rFonts w:hint="eastAsia" w:ascii="Times New Roman" w:hAnsi="Times New Roman" w:eastAsia="仿宋_GB2312" w:cs="Times New Roman"/>
          <w:b/>
          <w:kern w:val="2"/>
          <w:sz w:val="24"/>
          <w:szCs w:val="22"/>
          <w:highlight w:val="none"/>
          <w:lang w:val="en-US" w:eastAsia="zh-CN" w:bidi="ar-SA"/>
        </w:rPr>
        <w:t xml:space="preserve"> </w:t>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STYLEREF 3 \s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6.1.1</w:t>
      </w:r>
      <w:r>
        <w:rPr>
          <w:rFonts w:ascii="Times New Roman" w:hAnsi="Times New Roman" w:eastAsia="仿宋_GB2312" w:cs="Times New Roman"/>
          <w:b/>
          <w:kern w:val="2"/>
          <w:sz w:val="24"/>
          <w:szCs w:val="22"/>
          <w:highlight w:val="none"/>
          <w:lang w:val="en-US" w:eastAsia="zh-CN" w:bidi="ar-SA"/>
        </w:rPr>
        <w:fldChar w:fldCharType="end"/>
      </w:r>
      <w:r>
        <w:rPr>
          <w:rFonts w:ascii="Times New Roman" w:hAnsi="Times New Roman" w:eastAsia="仿宋_GB2312" w:cs="Times New Roman"/>
          <w:b/>
          <w:kern w:val="2"/>
          <w:sz w:val="24"/>
          <w:szCs w:val="22"/>
          <w:highlight w:val="none"/>
          <w:lang w:val="en-US" w:eastAsia="zh-CN" w:bidi="ar-SA"/>
        </w:rPr>
        <w:noBreakHyphen/>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SEQ 表 \* ARABIC \s 3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1</w:t>
      </w:r>
      <w:r>
        <w:rPr>
          <w:rFonts w:ascii="Times New Roman" w:hAnsi="Times New Roman" w:eastAsia="仿宋_GB2312" w:cs="Times New Roman"/>
          <w:b/>
          <w:kern w:val="2"/>
          <w:sz w:val="24"/>
          <w:szCs w:val="22"/>
          <w:highlight w:val="none"/>
          <w:lang w:val="en-US" w:eastAsia="zh-CN" w:bidi="ar-SA"/>
        </w:rPr>
        <w:fldChar w:fldCharType="end"/>
      </w:r>
      <w:r>
        <w:rPr>
          <w:rFonts w:hint="eastAsia" w:ascii="Times New Roman" w:hAnsi="Times New Roman" w:eastAsia="仿宋_GB2312" w:cs="Times New Roman"/>
          <w:b/>
          <w:kern w:val="2"/>
          <w:sz w:val="24"/>
          <w:szCs w:val="22"/>
          <w:highlight w:val="none"/>
          <w:lang w:val="en-US" w:eastAsia="zh-CN" w:bidi="ar-SA"/>
        </w:rPr>
        <w:t xml:space="preserve">  </w:t>
      </w:r>
      <w:r>
        <w:rPr>
          <w:rFonts w:ascii="Times New Roman" w:hAnsi="Times New Roman" w:eastAsia="仿宋_GB2312" w:cs="Times New Roman"/>
          <w:b/>
          <w:kern w:val="2"/>
          <w:sz w:val="24"/>
          <w:szCs w:val="22"/>
          <w:highlight w:val="none"/>
          <w:lang w:val="en-US" w:eastAsia="zh-CN" w:bidi="ar-SA"/>
        </w:rPr>
        <w:t>估算模型参数表</w:t>
      </w:r>
    </w:p>
    <w:tbl>
      <w:tblPr>
        <w:tblStyle w:val="5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44"/>
        <w:gridCol w:w="2947"/>
        <w:gridCol w:w="2831"/>
      </w:tblGrid>
      <w:tr w14:paraId="3D9DD3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5B832A2B">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参数</w:t>
            </w:r>
          </w:p>
        </w:tc>
        <w:tc>
          <w:tcPr>
            <w:tcW w:w="1661" w:type="pct"/>
            <w:vAlign w:val="center"/>
          </w:tcPr>
          <w:p w14:paraId="5B96DEFF">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取值</w:t>
            </w:r>
          </w:p>
        </w:tc>
      </w:tr>
      <w:tr w14:paraId="1F1BF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64DEC732">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城市/农村选项</w:t>
            </w:r>
          </w:p>
        </w:tc>
        <w:tc>
          <w:tcPr>
            <w:tcW w:w="1729" w:type="pct"/>
            <w:vAlign w:val="center"/>
          </w:tcPr>
          <w:p w14:paraId="04F0D6E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城市/农村</w:t>
            </w:r>
          </w:p>
        </w:tc>
        <w:tc>
          <w:tcPr>
            <w:tcW w:w="1661" w:type="pct"/>
            <w:vAlign w:val="center"/>
          </w:tcPr>
          <w:p w14:paraId="7DFD8A1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城市</w:t>
            </w:r>
          </w:p>
        </w:tc>
      </w:tr>
      <w:tr w14:paraId="6CEFC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continue"/>
            <w:vAlign w:val="center"/>
          </w:tcPr>
          <w:p w14:paraId="04A405E1">
            <w:pPr>
              <w:bidi w:val="0"/>
              <w:jc w:val="center"/>
              <w:rPr>
                <w:rFonts w:ascii="Times New Roman" w:hAnsi="Times New Roman" w:eastAsia="仿宋_GB2312" w:cs="Times New Roman"/>
                <w:kern w:val="2"/>
                <w:sz w:val="21"/>
                <w:szCs w:val="22"/>
                <w:highlight w:val="none"/>
                <w:lang w:val="en-US" w:eastAsia="zh-CN" w:bidi="ar-SA"/>
              </w:rPr>
            </w:pPr>
          </w:p>
        </w:tc>
        <w:tc>
          <w:tcPr>
            <w:tcW w:w="1729" w:type="pct"/>
            <w:vAlign w:val="center"/>
          </w:tcPr>
          <w:p w14:paraId="6C40E2B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人口数（城市选项时）</w:t>
            </w:r>
          </w:p>
        </w:tc>
        <w:tc>
          <w:tcPr>
            <w:tcW w:w="1661" w:type="pct"/>
            <w:vAlign w:val="center"/>
          </w:tcPr>
          <w:p w14:paraId="3561BB63">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47</w:t>
            </w:r>
            <w:r>
              <w:rPr>
                <w:rFonts w:ascii="Times New Roman" w:hAnsi="Times New Roman" w:eastAsia="仿宋_GB2312" w:cs="Times New Roman"/>
                <w:kern w:val="2"/>
                <w:sz w:val="21"/>
                <w:szCs w:val="22"/>
                <w:highlight w:val="none"/>
                <w:lang w:val="en-US" w:eastAsia="zh-CN" w:bidi="ar-SA"/>
              </w:rPr>
              <w:t>万</w:t>
            </w:r>
          </w:p>
        </w:tc>
      </w:tr>
      <w:tr w14:paraId="704C3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55BFAEB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最高环境温度/℃</w:t>
            </w:r>
          </w:p>
        </w:tc>
        <w:tc>
          <w:tcPr>
            <w:tcW w:w="1661" w:type="pct"/>
            <w:vAlign w:val="center"/>
          </w:tcPr>
          <w:p w14:paraId="5A4A11EA">
            <w:pPr>
              <w:bidi w:val="0"/>
              <w:jc w:val="center"/>
              <w:rPr>
                <w:rFonts w:hint="default"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40.6</w:t>
            </w:r>
          </w:p>
        </w:tc>
      </w:tr>
      <w:tr w14:paraId="6D037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2C3969A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最低环境温度/℃</w:t>
            </w:r>
          </w:p>
        </w:tc>
        <w:tc>
          <w:tcPr>
            <w:tcW w:w="1661" w:type="pct"/>
            <w:vAlign w:val="center"/>
          </w:tcPr>
          <w:p w14:paraId="2727AD5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-11.7</w:t>
            </w:r>
          </w:p>
        </w:tc>
      </w:tr>
      <w:tr w14:paraId="62BA15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0E6F549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土地利用类型</w:t>
            </w:r>
          </w:p>
        </w:tc>
        <w:tc>
          <w:tcPr>
            <w:tcW w:w="1661" w:type="pct"/>
            <w:vAlign w:val="center"/>
          </w:tcPr>
          <w:p w14:paraId="04F384CE">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城市</w:t>
            </w:r>
          </w:p>
        </w:tc>
      </w:tr>
      <w:tr w14:paraId="0A6E8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9" w:type="pct"/>
            <w:gridSpan w:val="2"/>
            <w:vAlign w:val="center"/>
          </w:tcPr>
          <w:p w14:paraId="7394775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区域湿度条件</w:t>
            </w:r>
          </w:p>
        </w:tc>
        <w:tc>
          <w:tcPr>
            <w:tcW w:w="1661" w:type="pct"/>
            <w:vAlign w:val="center"/>
          </w:tcPr>
          <w:p w14:paraId="4150BF14">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潮湿气候</w:t>
            </w:r>
          </w:p>
        </w:tc>
      </w:tr>
      <w:tr w14:paraId="68D37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47554BD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是否考虑地形</w:t>
            </w:r>
          </w:p>
        </w:tc>
        <w:tc>
          <w:tcPr>
            <w:tcW w:w="1729" w:type="pct"/>
            <w:vAlign w:val="center"/>
          </w:tcPr>
          <w:p w14:paraId="5923512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考虑地形</w:t>
            </w:r>
          </w:p>
        </w:tc>
        <w:tc>
          <w:tcPr>
            <w:tcW w:w="1661" w:type="pct"/>
            <w:vAlign w:val="center"/>
          </w:tcPr>
          <w:p w14:paraId="356873DD">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☑是□否</w:t>
            </w:r>
          </w:p>
        </w:tc>
      </w:tr>
      <w:tr w14:paraId="19F3CC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continue"/>
            <w:vAlign w:val="center"/>
          </w:tcPr>
          <w:p w14:paraId="031FF82A">
            <w:pPr>
              <w:bidi w:val="0"/>
              <w:jc w:val="center"/>
              <w:rPr>
                <w:rFonts w:ascii="Times New Roman" w:hAnsi="Times New Roman" w:eastAsia="仿宋_GB2312" w:cs="Times New Roman"/>
                <w:kern w:val="2"/>
                <w:sz w:val="21"/>
                <w:szCs w:val="22"/>
                <w:highlight w:val="none"/>
                <w:lang w:val="en-US" w:eastAsia="zh-CN" w:bidi="ar-SA"/>
              </w:rPr>
            </w:pPr>
          </w:p>
        </w:tc>
        <w:tc>
          <w:tcPr>
            <w:tcW w:w="1729" w:type="pct"/>
            <w:vAlign w:val="center"/>
          </w:tcPr>
          <w:p w14:paraId="309B1B40">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地形数据分辨率/m</w:t>
            </w:r>
          </w:p>
        </w:tc>
        <w:tc>
          <w:tcPr>
            <w:tcW w:w="1661" w:type="pct"/>
            <w:vAlign w:val="center"/>
          </w:tcPr>
          <w:p w14:paraId="2CB84E3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90</w:t>
            </w:r>
          </w:p>
        </w:tc>
      </w:tr>
      <w:tr w14:paraId="4BBEE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restart"/>
            <w:vAlign w:val="center"/>
          </w:tcPr>
          <w:p w14:paraId="2977A533">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是否考虑岸线熏烟</w:t>
            </w:r>
          </w:p>
        </w:tc>
        <w:tc>
          <w:tcPr>
            <w:tcW w:w="1729" w:type="pct"/>
            <w:vAlign w:val="center"/>
          </w:tcPr>
          <w:p w14:paraId="1C09D45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考虑岸线熏烟</w:t>
            </w:r>
          </w:p>
        </w:tc>
        <w:tc>
          <w:tcPr>
            <w:tcW w:w="1661" w:type="pct"/>
            <w:vAlign w:val="center"/>
          </w:tcPr>
          <w:p w14:paraId="187E28B2">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□是☑否</w:t>
            </w:r>
          </w:p>
        </w:tc>
      </w:tr>
      <w:tr w14:paraId="45D66E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continue"/>
            <w:vAlign w:val="center"/>
          </w:tcPr>
          <w:p w14:paraId="38C4641F">
            <w:pPr>
              <w:bidi w:val="0"/>
              <w:jc w:val="center"/>
              <w:rPr>
                <w:rFonts w:ascii="Times New Roman" w:hAnsi="Times New Roman" w:eastAsia="仿宋_GB2312" w:cs="Times New Roman"/>
                <w:kern w:val="2"/>
                <w:sz w:val="21"/>
                <w:szCs w:val="22"/>
                <w:highlight w:val="none"/>
                <w:lang w:val="en-US" w:eastAsia="zh-CN" w:bidi="ar-SA"/>
              </w:rPr>
            </w:pPr>
          </w:p>
        </w:tc>
        <w:tc>
          <w:tcPr>
            <w:tcW w:w="1729" w:type="pct"/>
            <w:vAlign w:val="center"/>
          </w:tcPr>
          <w:p w14:paraId="58211A6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岸线距离/km</w:t>
            </w:r>
          </w:p>
        </w:tc>
        <w:tc>
          <w:tcPr>
            <w:tcW w:w="1661" w:type="pct"/>
            <w:vAlign w:val="center"/>
          </w:tcPr>
          <w:p w14:paraId="0165CB0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w:t>
            </w:r>
          </w:p>
        </w:tc>
      </w:tr>
      <w:tr w14:paraId="7C6CE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10" w:type="pct"/>
            <w:vMerge w:val="continue"/>
            <w:vAlign w:val="center"/>
          </w:tcPr>
          <w:p w14:paraId="574EEA54">
            <w:pPr>
              <w:bidi w:val="0"/>
              <w:jc w:val="center"/>
              <w:rPr>
                <w:rFonts w:ascii="Times New Roman" w:hAnsi="Times New Roman" w:eastAsia="仿宋_GB2312" w:cs="Times New Roman"/>
                <w:kern w:val="2"/>
                <w:sz w:val="21"/>
                <w:szCs w:val="22"/>
                <w:highlight w:val="none"/>
                <w:lang w:val="en-US" w:eastAsia="zh-CN" w:bidi="ar-SA"/>
              </w:rPr>
            </w:pPr>
          </w:p>
        </w:tc>
        <w:tc>
          <w:tcPr>
            <w:tcW w:w="1729" w:type="pct"/>
            <w:vAlign w:val="center"/>
          </w:tcPr>
          <w:p w14:paraId="2079191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岸线方向/°</w:t>
            </w:r>
          </w:p>
        </w:tc>
        <w:tc>
          <w:tcPr>
            <w:tcW w:w="1661" w:type="pct"/>
            <w:vAlign w:val="center"/>
          </w:tcPr>
          <w:p w14:paraId="446AA3A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w:t>
            </w:r>
          </w:p>
        </w:tc>
      </w:tr>
    </w:tbl>
    <w:p w14:paraId="7E3C03BF">
      <w:pPr>
        <w:ind w:firstLine="560"/>
        <w:rPr>
          <w:rFonts w:cs="Times New Roman"/>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97BB57E">
      <w:pPr>
        <w:bidi w:val="0"/>
        <w:rPr>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6D8827D2">
      <w:pPr>
        <w:pStyle w:val="5"/>
        <w:bidi w:val="0"/>
        <w:rPr>
          <w:lang w:val="en-US" w:eastAsia="zh-CN"/>
        </w:rPr>
      </w:pPr>
      <w:r>
        <w:rPr>
          <w:lang w:val="en-US" w:eastAsia="zh-CN"/>
        </w:rPr>
        <w:t>预测结果</w:t>
      </w:r>
    </w:p>
    <w:p w14:paraId="65865474">
      <w:pPr>
        <w:widowControl/>
        <w:adjustRightInd w:val="0"/>
        <w:snapToGrid w:val="0"/>
        <w:ind w:firstLine="560" w:firstLineChars="200"/>
        <w:rPr>
          <w:rFonts w:ascii="Times New Roman" w:hAnsi="Times New Roman" w:cs="Times New Roman"/>
          <w:szCs w:val="28"/>
          <w:highlight w:val="none"/>
        </w:rPr>
      </w:pPr>
      <w:r>
        <w:rPr>
          <w:rFonts w:ascii="Times New Roman" w:hAnsi="Times New Roman" w:cs="Times New Roman"/>
          <w:szCs w:val="28"/>
          <w:highlight w:val="none"/>
        </w:rPr>
        <w:t>根据预测结果，</w:t>
      </w:r>
      <w:r>
        <w:rPr>
          <w:rFonts w:hint="eastAsia" w:ascii="Times New Roman" w:hAnsi="Times New Roman" w:cs="Times New Roman"/>
          <w:szCs w:val="28"/>
          <w:highlight w:val="none"/>
        </w:rPr>
        <w:t>本项目Pmax最大值</w:t>
      </w:r>
      <w:r>
        <w:rPr>
          <w:rFonts w:hint="eastAsia" w:ascii="Times New Roman" w:hAnsi="Times New Roman" w:cs="Times New Roman"/>
          <w:szCs w:val="28"/>
          <w:highlight w:val="none"/>
          <w:lang w:val="en-US" w:eastAsia="zh-CN"/>
        </w:rPr>
        <w:t>小于10%</w:t>
      </w:r>
      <w:r>
        <w:rPr>
          <w:rFonts w:hint="eastAsia" w:ascii="Times New Roman" w:hAnsi="Times New Roman" w:cs="Times New Roman"/>
          <w:szCs w:val="28"/>
          <w:highlight w:val="none"/>
        </w:rPr>
        <w:t>。根据《环境影响评价技术导则大气环境》（HJ2.2-2018）分级判据，确定本项目大气环境影响评价工作等级为二级。</w:t>
      </w:r>
    </w:p>
    <w:p w14:paraId="7A5338D4">
      <w:pPr>
        <w:widowControl/>
        <w:adjustRightInd w:val="0"/>
        <w:snapToGrid w:val="0"/>
        <w:ind w:firstLine="560" w:firstLineChars="200"/>
        <w:rPr>
          <w:rFonts w:ascii="Times New Roman" w:hAnsi="Times New Roman" w:cs="Times New Roman"/>
          <w:szCs w:val="28"/>
          <w:highlight w:val="none"/>
        </w:rPr>
      </w:pPr>
      <w:r>
        <w:rPr>
          <w:rFonts w:hint="eastAsia" w:ascii="Times New Roman" w:hAnsi="Times New Roman" w:cs="Times New Roman"/>
          <w:szCs w:val="28"/>
          <w:highlight w:val="none"/>
        </w:rPr>
        <w:t>根据《环境影响评价技术导则大气环境》（HJ2.2-2018）中8.1.2一般性要求“二级评价项目不进行进一步的预测与评价，只对污染物排放量进行核算”。</w:t>
      </w:r>
    </w:p>
    <w:p w14:paraId="6E8D13D1">
      <w:pPr>
        <w:pStyle w:val="5"/>
        <w:bidi w:val="0"/>
        <w:rPr>
          <w:lang w:val="en-US" w:eastAsia="zh-CN"/>
        </w:rPr>
      </w:pPr>
      <w:r>
        <w:rPr>
          <w:rFonts w:hint="eastAsia"/>
          <w:lang w:val="en-US" w:eastAsia="zh-CN"/>
        </w:rPr>
        <w:t>防护距离设置</w:t>
      </w:r>
    </w:p>
    <w:p w14:paraId="3F21668A">
      <w:pPr>
        <w:widowControl/>
        <w:adjustRightInd w:val="0"/>
        <w:snapToGrid w:val="0"/>
        <w:ind w:firstLine="560" w:firstLineChars="200"/>
        <w:rPr>
          <w:rFonts w:ascii="Times New Roman" w:hAnsi="Times New Roman" w:cs="Times New Roman"/>
          <w:szCs w:val="28"/>
          <w:highlight w:val="none"/>
        </w:rPr>
      </w:pPr>
      <w:r>
        <w:rPr>
          <w:rFonts w:hint="eastAsia" w:ascii="Times New Roman" w:hAnsi="Times New Roman" w:cs="Times New Roman"/>
          <w:szCs w:val="28"/>
          <w:highlight w:val="none"/>
        </w:rPr>
        <w:t>根据《大气有害物质无组织排放卫生防护距离推导技术导则》（</w:t>
      </w:r>
      <w:r>
        <w:rPr>
          <w:rFonts w:ascii="Times New Roman" w:hAnsi="Times New Roman" w:cs="Times New Roman"/>
          <w:szCs w:val="28"/>
          <w:highlight w:val="none"/>
        </w:rPr>
        <w:t>GBT39499-2020</w:t>
      </w:r>
      <w:r>
        <w:rPr>
          <w:rFonts w:hint="eastAsia" w:ascii="Times New Roman" w:hAnsi="Times New Roman" w:cs="Times New Roman"/>
          <w:szCs w:val="28"/>
          <w:highlight w:val="none"/>
        </w:rPr>
        <w:t>）的要求，无组织排放源所在生产单元与居住区之间应设置卫生防护距离。</w:t>
      </w:r>
      <w:r>
        <w:rPr>
          <w:rFonts w:ascii="Times New Roman" w:hAnsi="Times New Roman" w:cs="Times New Roman"/>
          <w:szCs w:val="28"/>
          <w:highlight w:val="none"/>
        </w:rPr>
        <w:t>卫生防护距离按下式计算：</w:t>
      </w:r>
    </w:p>
    <w:p w14:paraId="7C1EB5E1">
      <w:pPr>
        <w:bidi w:val="0"/>
        <w:spacing w:before="50" w:beforeLines="50" w:line="360" w:lineRule="auto"/>
        <w:jc w:val="center"/>
        <w:outlineLvl w:val="4"/>
        <w:rPr>
          <w:rFonts w:ascii="Times New Roman" w:hAnsi="Times New Roman" w:eastAsia="仿宋_GB2312" w:cs="Times New Roman"/>
          <w:b/>
          <w:kern w:val="2"/>
          <w:sz w:val="24"/>
          <w:szCs w:val="28"/>
          <w:highlight w:val="none"/>
          <w:lang w:val="en-US" w:eastAsia="zh-CN" w:bidi="ar-SA"/>
        </w:rPr>
      </w:pPr>
      <w:r>
        <w:rPr>
          <w:rFonts w:ascii="Times New Roman" w:hAnsi="Times New Roman" w:eastAsia="仿宋_GB2312" w:cs="Times New Roman"/>
          <w:b/>
          <w:kern w:val="2"/>
          <w:sz w:val="24"/>
          <w:szCs w:val="28"/>
          <w:highlight w:val="none"/>
          <w:lang w:val="en-US" w:eastAsia="zh-CN" w:bidi="ar-SA"/>
        </w:rPr>
        <w:object>
          <v:shape id="_x0000_i1027" o:spt="75" type="#_x0000_t75" style="height:36.95pt;width:180.95pt;" o:ole="t" filled="f" o:preferrelative="t" stroked="f" coordsize="21600,21600">
            <v:path/>
            <v:fill on="f" focussize="0,0"/>
            <v:stroke on="f" joinstyle="miter"/>
            <v:imagedata r:id="rId32" o:title=""/>
            <o:lock v:ext="edit" aspectratio="t"/>
            <w10:wrap type="none"/>
            <w10:anchorlock/>
          </v:shape>
          <o:OLEObject Type="Embed" ProgID="Equation.3" ShapeID="_x0000_i1027" DrawAspect="Content" ObjectID="_1468075727" r:id="rId31">
            <o:LockedField>false</o:LockedField>
          </o:OLEObject>
        </w:object>
      </w:r>
    </w:p>
    <w:p w14:paraId="3D5848B4">
      <w:pPr>
        <w:widowControl/>
        <w:adjustRightInd w:val="0"/>
        <w:snapToGrid w:val="0"/>
        <w:ind w:firstLine="1120" w:firstLineChars="400"/>
        <w:rPr>
          <w:rFonts w:ascii="Times New Roman" w:hAnsi="Times New Roman" w:cs="Times New Roman"/>
          <w:szCs w:val="28"/>
          <w:highlight w:val="none"/>
        </w:rPr>
      </w:pPr>
      <w:r>
        <w:rPr>
          <w:rFonts w:ascii="Times New Roman" w:hAnsi="Times New Roman" w:cs="Times New Roman"/>
          <w:szCs w:val="28"/>
          <w:highlight w:val="none"/>
        </w:rPr>
        <w:t>式中：Cm——标准浓度限值（mg/m</w:t>
      </w:r>
      <w:r>
        <w:rPr>
          <w:rFonts w:ascii="Times New Roman" w:hAnsi="Times New Roman" w:cs="Times New Roman"/>
          <w:szCs w:val="28"/>
          <w:highlight w:val="none"/>
          <w:vertAlign w:val="superscript"/>
        </w:rPr>
        <w:t>3</w:t>
      </w:r>
      <w:r>
        <w:rPr>
          <w:rFonts w:ascii="Times New Roman" w:hAnsi="Times New Roman" w:cs="Times New Roman"/>
          <w:szCs w:val="28"/>
          <w:highlight w:val="none"/>
        </w:rPr>
        <w:t>）</w:t>
      </w:r>
    </w:p>
    <w:p w14:paraId="56C6860A">
      <w:pPr>
        <w:widowControl/>
        <w:adjustRightInd w:val="0"/>
        <w:snapToGrid w:val="0"/>
        <w:ind w:firstLine="1120" w:firstLineChars="400"/>
        <w:rPr>
          <w:rFonts w:ascii="Times New Roman" w:hAnsi="Times New Roman" w:cs="Times New Roman"/>
          <w:szCs w:val="28"/>
          <w:highlight w:val="none"/>
        </w:rPr>
      </w:pPr>
      <w:r>
        <w:rPr>
          <w:rFonts w:ascii="Times New Roman" w:hAnsi="Times New Roman" w:cs="Times New Roman"/>
          <w:szCs w:val="28"/>
          <w:highlight w:val="none"/>
        </w:rPr>
        <w:t>Qc——工业企业有害气体无组织排放量可以达到的控制水平（kg/h）</w:t>
      </w:r>
    </w:p>
    <w:p w14:paraId="4DBB8FB0">
      <w:pPr>
        <w:widowControl/>
        <w:adjustRightInd w:val="0"/>
        <w:snapToGrid w:val="0"/>
        <w:ind w:firstLine="1120" w:firstLineChars="400"/>
        <w:rPr>
          <w:rFonts w:ascii="Times New Roman" w:hAnsi="Times New Roman" w:cs="Times New Roman"/>
          <w:szCs w:val="28"/>
          <w:highlight w:val="none"/>
        </w:rPr>
      </w:pPr>
      <w:r>
        <w:rPr>
          <w:rFonts w:ascii="Times New Roman" w:hAnsi="Times New Roman" w:cs="Times New Roman"/>
          <w:szCs w:val="28"/>
          <w:highlight w:val="none"/>
        </w:rPr>
        <w:t>r——有害气体无组织排放源所在生产单元的等效半径（m）</w:t>
      </w:r>
    </w:p>
    <w:p w14:paraId="541F3CE6">
      <w:pPr>
        <w:widowControl/>
        <w:adjustRightInd w:val="0"/>
        <w:snapToGrid w:val="0"/>
        <w:ind w:firstLine="1120" w:firstLineChars="400"/>
        <w:rPr>
          <w:rFonts w:ascii="Times New Roman" w:hAnsi="Times New Roman" w:cs="Times New Roman"/>
          <w:szCs w:val="28"/>
          <w:highlight w:val="none"/>
        </w:rPr>
      </w:pPr>
      <w:r>
        <w:rPr>
          <w:rFonts w:ascii="Times New Roman" w:hAnsi="Times New Roman" w:cs="Times New Roman"/>
          <w:szCs w:val="28"/>
          <w:highlight w:val="none"/>
        </w:rPr>
        <w:t>L——工业企业所需的卫生防护距离（m）</w:t>
      </w:r>
    </w:p>
    <w:p w14:paraId="2C821B6A">
      <w:pPr>
        <w:widowControl/>
        <w:adjustRightInd w:val="0"/>
        <w:snapToGrid w:val="0"/>
        <w:ind w:firstLine="1120" w:firstLineChars="400"/>
        <w:rPr>
          <w:rFonts w:ascii="Times New Roman" w:hAnsi="Times New Roman" w:cs="Times New Roman"/>
          <w:szCs w:val="28"/>
          <w:highlight w:val="none"/>
        </w:rPr>
      </w:pPr>
      <w:r>
        <w:rPr>
          <w:rFonts w:ascii="Times New Roman" w:hAnsi="Times New Roman" w:cs="Times New Roman"/>
          <w:szCs w:val="28"/>
          <w:highlight w:val="none"/>
        </w:rPr>
        <w:t>A、B、C、D——卫生防护距离计算系数，见下表：</w:t>
      </w:r>
    </w:p>
    <w:p w14:paraId="3F4C01F6">
      <w:pPr>
        <w:bidi w:val="0"/>
        <w:spacing w:before="50" w:beforeLines="50" w:line="360" w:lineRule="auto"/>
        <w:jc w:val="center"/>
        <w:outlineLvl w:val="4"/>
        <w:rPr>
          <w:rFonts w:ascii="Times New Roman" w:hAnsi="Times New Roman" w:eastAsia="仿宋_GB2312" w:cs="Times New Roman"/>
          <w:b/>
          <w:kern w:val="2"/>
          <w:sz w:val="24"/>
          <w:szCs w:val="22"/>
          <w:highlight w:val="none"/>
          <w:lang w:val="en-US" w:eastAsia="zh-CN" w:bidi="ar-SA"/>
        </w:rPr>
      </w:pPr>
      <w:r>
        <w:rPr>
          <w:rFonts w:ascii="Times New Roman" w:hAnsi="Times New Roman" w:eastAsia="仿宋_GB2312" w:cs="Times New Roman"/>
          <w:b/>
          <w:kern w:val="2"/>
          <w:sz w:val="24"/>
          <w:szCs w:val="22"/>
          <w:highlight w:val="none"/>
          <w:lang w:val="en-US" w:eastAsia="zh-CN" w:bidi="ar-SA"/>
        </w:rPr>
        <w:t>表</w:t>
      </w:r>
      <w:r>
        <w:rPr>
          <w:rFonts w:hint="eastAsia" w:ascii="Times New Roman" w:hAnsi="Times New Roman" w:eastAsia="仿宋_GB2312" w:cs="Times New Roman"/>
          <w:b/>
          <w:kern w:val="2"/>
          <w:sz w:val="24"/>
          <w:szCs w:val="22"/>
          <w:highlight w:val="none"/>
          <w:lang w:val="en-US" w:eastAsia="zh-CN" w:bidi="ar-SA"/>
        </w:rPr>
        <w:t xml:space="preserve"> </w:t>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STYLEREF 3 \s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6.1.3</w:t>
      </w:r>
      <w:r>
        <w:rPr>
          <w:rFonts w:ascii="Times New Roman" w:hAnsi="Times New Roman" w:eastAsia="仿宋_GB2312" w:cs="Times New Roman"/>
          <w:b/>
          <w:kern w:val="2"/>
          <w:sz w:val="24"/>
          <w:szCs w:val="22"/>
          <w:highlight w:val="none"/>
          <w:lang w:val="en-US" w:eastAsia="zh-CN" w:bidi="ar-SA"/>
        </w:rPr>
        <w:fldChar w:fldCharType="end"/>
      </w:r>
      <w:r>
        <w:rPr>
          <w:rFonts w:ascii="Times New Roman" w:hAnsi="Times New Roman" w:eastAsia="仿宋_GB2312" w:cs="Times New Roman"/>
          <w:b/>
          <w:kern w:val="2"/>
          <w:sz w:val="24"/>
          <w:szCs w:val="22"/>
          <w:highlight w:val="none"/>
          <w:lang w:val="en-US" w:eastAsia="zh-CN" w:bidi="ar-SA"/>
        </w:rPr>
        <w:noBreakHyphen/>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SEQ 表 \* ARABIC \s 3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2</w:t>
      </w:r>
      <w:r>
        <w:rPr>
          <w:rFonts w:ascii="Times New Roman" w:hAnsi="Times New Roman" w:eastAsia="仿宋_GB2312" w:cs="Times New Roman"/>
          <w:b/>
          <w:kern w:val="2"/>
          <w:sz w:val="24"/>
          <w:szCs w:val="22"/>
          <w:highlight w:val="none"/>
          <w:lang w:val="en-US" w:eastAsia="zh-CN" w:bidi="ar-SA"/>
        </w:rPr>
        <w:fldChar w:fldCharType="end"/>
      </w:r>
      <w:r>
        <w:rPr>
          <w:rFonts w:hint="eastAsia" w:ascii="Times New Roman" w:hAnsi="Times New Roman" w:eastAsia="仿宋_GB2312" w:cs="Times New Roman"/>
          <w:b/>
          <w:kern w:val="2"/>
          <w:sz w:val="24"/>
          <w:szCs w:val="22"/>
          <w:highlight w:val="none"/>
          <w:lang w:val="en-US" w:eastAsia="zh-CN" w:bidi="ar-SA"/>
        </w:rPr>
        <w:t xml:space="preserve">  </w:t>
      </w:r>
      <w:r>
        <w:rPr>
          <w:rFonts w:ascii="Times New Roman" w:hAnsi="Times New Roman" w:eastAsia="仿宋_GB2312" w:cs="Times New Roman"/>
          <w:b/>
          <w:kern w:val="2"/>
          <w:sz w:val="24"/>
          <w:szCs w:val="22"/>
          <w:highlight w:val="none"/>
          <w:lang w:val="en-US" w:eastAsia="zh-CN" w:bidi="ar-SA"/>
        </w:rPr>
        <w:t>卫生防护距离计算系数</w:t>
      </w:r>
    </w:p>
    <w:tbl>
      <w:tblPr>
        <w:tblStyle w:val="5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780"/>
        <w:gridCol w:w="781"/>
        <w:gridCol w:w="781"/>
        <w:gridCol w:w="763"/>
        <w:gridCol w:w="18"/>
        <w:gridCol w:w="781"/>
        <w:gridCol w:w="781"/>
        <w:gridCol w:w="781"/>
        <w:gridCol w:w="781"/>
        <w:gridCol w:w="781"/>
        <w:gridCol w:w="781"/>
      </w:tblGrid>
      <w:tr w14:paraId="121F1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69" w:type="pct"/>
            <w:vMerge w:val="restart"/>
            <w:vAlign w:val="center"/>
          </w:tcPr>
          <w:p w14:paraId="43D2B589">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计算</w:t>
            </w:r>
          </w:p>
          <w:p w14:paraId="5D620D2B">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系数</w:t>
            </w:r>
          </w:p>
        </w:tc>
        <w:tc>
          <w:tcPr>
            <w:tcW w:w="565" w:type="pct"/>
            <w:vMerge w:val="restart"/>
            <w:vAlign w:val="center"/>
          </w:tcPr>
          <w:p w14:paraId="0C8D51EF">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5年平均风速</w:t>
            </w:r>
            <w:r>
              <w:rPr>
                <w:rFonts w:hint="eastAsia" w:ascii="Times New Roman" w:hAnsi="Times New Roman" w:eastAsia="仿宋_GB2312" w:cs="Times New Roman"/>
                <w:b/>
                <w:kern w:val="2"/>
                <w:sz w:val="21"/>
                <w:szCs w:val="22"/>
                <w:highlight w:val="none"/>
                <w:lang w:val="en-US" w:eastAsia="zh-CN" w:bidi="ar-SA"/>
              </w:rPr>
              <w:t>（</w:t>
            </w:r>
            <w:r>
              <w:rPr>
                <w:rFonts w:ascii="Times New Roman" w:hAnsi="Times New Roman" w:eastAsia="仿宋_GB2312" w:cs="Times New Roman"/>
                <w:b/>
                <w:kern w:val="2"/>
                <w:sz w:val="21"/>
                <w:szCs w:val="22"/>
                <w:highlight w:val="none"/>
                <w:lang w:val="en-US" w:eastAsia="zh-CN" w:bidi="ar-SA"/>
              </w:rPr>
              <w:t>m/s</w:t>
            </w:r>
            <w:r>
              <w:rPr>
                <w:rFonts w:hint="eastAsia" w:ascii="Times New Roman" w:hAnsi="Times New Roman" w:eastAsia="仿宋_GB2312" w:cs="Times New Roman"/>
                <w:b/>
                <w:kern w:val="2"/>
                <w:sz w:val="21"/>
                <w:szCs w:val="22"/>
                <w:highlight w:val="none"/>
                <w:lang w:val="en-US" w:eastAsia="zh-CN" w:bidi="ar-SA"/>
              </w:rPr>
              <w:t>）</w:t>
            </w:r>
          </w:p>
        </w:tc>
        <w:tc>
          <w:tcPr>
            <w:tcW w:w="3965" w:type="pct"/>
            <w:gridSpan w:val="10"/>
            <w:vAlign w:val="center"/>
          </w:tcPr>
          <w:p w14:paraId="552CCE46">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卫生防护距离L</w:t>
            </w:r>
            <w:r>
              <w:rPr>
                <w:rFonts w:hint="eastAsia" w:ascii="Times New Roman" w:hAnsi="Times New Roman" w:eastAsia="仿宋_GB2312" w:cs="Times New Roman"/>
                <w:b/>
                <w:kern w:val="2"/>
                <w:sz w:val="21"/>
                <w:szCs w:val="22"/>
                <w:highlight w:val="none"/>
                <w:lang w:val="en-US" w:eastAsia="zh-CN" w:bidi="ar-SA"/>
              </w:rPr>
              <w:t>（</w:t>
            </w:r>
            <w:r>
              <w:rPr>
                <w:rFonts w:ascii="Times New Roman" w:hAnsi="Times New Roman" w:eastAsia="仿宋_GB2312" w:cs="Times New Roman"/>
                <w:b/>
                <w:kern w:val="2"/>
                <w:sz w:val="21"/>
                <w:szCs w:val="22"/>
                <w:highlight w:val="none"/>
                <w:lang w:val="en-US" w:eastAsia="zh-CN" w:bidi="ar-SA"/>
              </w:rPr>
              <w:t>m</w:t>
            </w:r>
            <w:r>
              <w:rPr>
                <w:rFonts w:hint="eastAsia" w:ascii="Times New Roman" w:hAnsi="Times New Roman" w:eastAsia="仿宋_GB2312" w:cs="Times New Roman"/>
                <w:b/>
                <w:kern w:val="2"/>
                <w:sz w:val="21"/>
                <w:szCs w:val="22"/>
                <w:highlight w:val="none"/>
                <w:lang w:val="en-US" w:eastAsia="zh-CN" w:bidi="ar-SA"/>
              </w:rPr>
              <w:t>）</w:t>
            </w:r>
          </w:p>
        </w:tc>
      </w:tr>
      <w:tr w14:paraId="36ADCA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69" w:type="pct"/>
            <w:vMerge w:val="continue"/>
            <w:vAlign w:val="center"/>
          </w:tcPr>
          <w:p w14:paraId="186411F8">
            <w:pPr>
              <w:bidi w:val="0"/>
              <w:jc w:val="center"/>
              <w:rPr>
                <w:rFonts w:ascii="Times New Roman" w:hAnsi="Times New Roman" w:eastAsia="仿宋_GB2312" w:cs="Times New Roman"/>
                <w:b/>
                <w:kern w:val="2"/>
                <w:sz w:val="21"/>
                <w:szCs w:val="22"/>
                <w:highlight w:val="none"/>
                <w:lang w:val="en-US" w:eastAsia="zh-CN" w:bidi="ar-SA"/>
              </w:rPr>
            </w:pPr>
          </w:p>
        </w:tc>
        <w:tc>
          <w:tcPr>
            <w:tcW w:w="565" w:type="pct"/>
            <w:vMerge w:val="continue"/>
            <w:vAlign w:val="center"/>
          </w:tcPr>
          <w:p w14:paraId="47A2DC97">
            <w:pPr>
              <w:bidi w:val="0"/>
              <w:jc w:val="center"/>
              <w:rPr>
                <w:rFonts w:ascii="Times New Roman" w:hAnsi="Times New Roman" w:eastAsia="仿宋_GB2312" w:cs="Times New Roman"/>
                <w:b/>
                <w:kern w:val="2"/>
                <w:sz w:val="21"/>
                <w:szCs w:val="22"/>
                <w:highlight w:val="none"/>
                <w:lang w:val="en-US" w:eastAsia="zh-CN" w:bidi="ar-SA"/>
              </w:rPr>
            </w:pPr>
          </w:p>
        </w:tc>
        <w:tc>
          <w:tcPr>
            <w:tcW w:w="1415" w:type="pct"/>
            <w:gridSpan w:val="3"/>
            <w:vAlign w:val="center"/>
          </w:tcPr>
          <w:p w14:paraId="67705434">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L≤1000</w:t>
            </w:r>
          </w:p>
        </w:tc>
        <w:tc>
          <w:tcPr>
            <w:tcW w:w="1331" w:type="pct"/>
            <w:gridSpan w:val="4"/>
            <w:vAlign w:val="center"/>
          </w:tcPr>
          <w:p w14:paraId="2EF5A6B6">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1000＜L≤2000</w:t>
            </w:r>
          </w:p>
        </w:tc>
        <w:tc>
          <w:tcPr>
            <w:tcW w:w="1218" w:type="pct"/>
            <w:gridSpan w:val="3"/>
            <w:vAlign w:val="center"/>
          </w:tcPr>
          <w:p w14:paraId="0764D7AF">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L＞2000</w:t>
            </w:r>
          </w:p>
        </w:tc>
      </w:tr>
      <w:tr w14:paraId="50828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69" w:type="pct"/>
            <w:vMerge w:val="continue"/>
            <w:vAlign w:val="center"/>
          </w:tcPr>
          <w:p w14:paraId="7C8652BF">
            <w:pPr>
              <w:bidi w:val="0"/>
              <w:jc w:val="center"/>
              <w:rPr>
                <w:rFonts w:ascii="Times New Roman" w:hAnsi="Times New Roman" w:eastAsia="仿宋_GB2312" w:cs="Times New Roman"/>
                <w:b/>
                <w:kern w:val="2"/>
                <w:sz w:val="21"/>
                <w:szCs w:val="22"/>
                <w:highlight w:val="none"/>
                <w:lang w:val="en-US" w:eastAsia="zh-CN" w:bidi="ar-SA"/>
              </w:rPr>
            </w:pPr>
          </w:p>
        </w:tc>
        <w:tc>
          <w:tcPr>
            <w:tcW w:w="565" w:type="pct"/>
            <w:vMerge w:val="continue"/>
            <w:vAlign w:val="center"/>
          </w:tcPr>
          <w:p w14:paraId="3D756DCC">
            <w:pPr>
              <w:bidi w:val="0"/>
              <w:jc w:val="center"/>
              <w:rPr>
                <w:rFonts w:ascii="Times New Roman" w:hAnsi="Times New Roman" w:eastAsia="仿宋_GB2312" w:cs="Times New Roman"/>
                <w:b/>
                <w:kern w:val="2"/>
                <w:sz w:val="21"/>
                <w:szCs w:val="22"/>
                <w:highlight w:val="none"/>
                <w:lang w:val="en-US" w:eastAsia="zh-CN" w:bidi="ar-SA"/>
              </w:rPr>
            </w:pPr>
          </w:p>
        </w:tc>
        <w:tc>
          <w:tcPr>
            <w:tcW w:w="3965" w:type="pct"/>
            <w:gridSpan w:val="10"/>
            <w:vAlign w:val="center"/>
          </w:tcPr>
          <w:p w14:paraId="403FF164">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工业大气污染源构成类别</w:t>
            </w:r>
          </w:p>
        </w:tc>
      </w:tr>
      <w:tr w14:paraId="029E9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69" w:type="pct"/>
            <w:vMerge w:val="continue"/>
            <w:vAlign w:val="center"/>
          </w:tcPr>
          <w:p w14:paraId="7C499EFB">
            <w:pPr>
              <w:bidi w:val="0"/>
              <w:jc w:val="center"/>
              <w:rPr>
                <w:rFonts w:ascii="Times New Roman" w:hAnsi="Times New Roman" w:eastAsia="仿宋_GB2312" w:cs="Times New Roman"/>
                <w:b/>
                <w:kern w:val="2"/>
                <w:sz w:val="21"/>
                <w:szCs w:val="22"/>
                <w:highlight w:val="none"/>
                <w:lang w:val="en-US" w:eastAsia="zh-CN" w:bidi="ar-SA"/>
              </w:rPr>
            </w:pPr>
          </w:p>
        </w:tc>
        <w:tc>
          <w:tcPr>
            <w:tcW w:w="565" w:type="pct"/>
            <w:vMerge w:val="continue"/>
            <w:vAlign w:val="center"/>
          </w:tcPr>
          <w:p w14:paraId="0FFB5AD5">
            <w:pPr>
              <w:bidi w:val="0"/>
              <w:jc w:val="center"/>
              <w:rPr>
                <w:rFonts w:ascii="Times New Roman" w:hAnsi="Times New Roman" w:eastAsia="仿宋_GB2312" w:cs="Times New Roman"/>
                <w:b/>
                <w:kern w:val="2"/>
                <w:sz w:val="21"/>
                <w:szCs w:val="22"/>
                <w:highlight w:val="none"/>
                <w:lang w:val="en-US" w:eastAsia="zh-CN" w:bidi="ar-SA"/>
              </w:rPr>
            </w:pPr>
          </w:p>
        </w:tc>
        <w:tc>
          <w:tcPr>
            <w:tcW w:w="471" w:type="pct"/>
            <w:vAlign w:val="center"/>
          </w:tcPr>
          <w:p w14:paraId="72A01A93">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Ⅰ</w:t>
            </w:r>
          </w:p>
        </w:tc>
        <w:tc>
          <w:tcPr>
            <w:tcW w:w="482" w:type="pct"/>
            <w:vAlign w:val="center"/>
          </w:tcPr>
          <w:p w14:paraId="692C657C">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Ⅱ</w:t>
            </w:r>
          </w:p>
        </w:tc>
        <w:tc>
          <w:tcPr>
            <w:tcW w:w="472" w:type="pct"/>
            <w:gridSpan w:val="2"/>
            <w:vAlign w:val="center"/>
          </w:tcPr>
          <w:p w14:paraId="1A700A6A">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Ⅲ</w:t>
            </w:r>
          </w:p>
        </w:tc>
        <w:tc>
          <w:tcPr>
            <w:tcW w:w="377" w:type="pct"/>
            <w:vAlign w:val="center"/>
          </w:tcPr>
          <w:p w14:paraId="2DAD5E9C">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Ⅰ</w:t>
            </w:r>
          </w:p>
        </w:tc>
        <w:tc>
          <w:tcPr>
            <w:tcW w:w="471" w:type="pct"/>
            <w:vAlign w:val="center"/>
          </w:tcPr>
          <w:p w14:paraId="2CB1ABAC">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Ⅱ</w:t>
            </w:r>
          </w:p>
        </w:tc>
        <w:tc>
          <w:tcPr>
            <w:tcW w:w="471" w:type="pct"/>
            <w:vAlign w:val="center"/>
          </w:tcPr>
          <w:p w14:paraId="1831B9F7">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Ⅲ</w:t>
            </w:r>
          </w:p>
        </w:tc>
        <w:tc>
          <w:tcPr>
            <w:tcW w:w="377" w:type="pct"/>
            <w:vAlign w:val="center"/>
          </w:tcPr>
          <w:p w14:paraId="0C1786BB">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Ⅰ</w:t>
            </w:r>
          </w:p>
        </w:tc>
        <w:tc>
          <w:tcPr>
            <w:tcW w:w="461" w:type="pct"/>
            <w:vAlign w:val="center"/>
          </w:tcPr>
          <w:p w14:paraId="73AAD5FD">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Ⅱ</w:t>
            </w:r>
          </w:p>
        </w:tc>
        <w:tc>
          <w:tcPr>
            <w:tcW w:w="380" w:type="pct"/>
            <w:vAlign w:val="center"/>
          </w:tcPr>
          <w:p w14:paraId="4DA081CC">
            <w:pPr>
              <w:bidi w:val="0"/>
              <w:jc w:val="center"/>
              <w:rPr>
                <w:rFonts w:ascii="Times New Roman" w:hAnsi="Times New Roman" w:eastAsia="仿宋_GB2312" w:cs="Times New Roman"/>
                <w:b/>
                <w:kern w:val="2"/>
                <w:sz w:val="21"/>
                <w:szCs w:val="22"/>
                <w:highlight w:val="none"/>
                <w:lang w:val="en-US" w:eastAsia="zh-CN" w:bidi="ar-SA"/>
              </w:rPr>
            </w:pPr>
            <w:r>
              <w:rPr>
                <w:rFonts w:ascii="Times New Roman" w:hAnsi="Times New Roman" w:eastAsia="仿宋_GB2312" w:cs="Times New Roman"/>
                <w:b/>
                <w:kern w:val="2"/>
                <w:sz w:val="21"/>
                <w:szCs w:val="22"/>
                <w:highlight w:val="none"/>
                <w:lang w:val="en-US" w:eastAsia="zh-CN" w:bidi="ar-SA"/>
              </w:rPr>
              <w:t>Ⅲ</w:t>
            </w:r>
          </w:p>
        </w:tc>
      </w:tr>
      <w:tr w14:paraId="46FB7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restart"/>
            <w:vAlign w:val="center"/>
          </w:tcPr>
          <w:p w14:paraId="31C63117">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A</w:t>
            </w:r>
          </w:p>
        </w:tc>
        <w:tc>
          <w:tcPr>
            <w:tcW w:w="565" w:type="pct"/>
            <w:shd w:val="clear" w:color="auto" w:fill="auto"/>
            <w:vAlign w:val="center"/>
          </w:tcPr>
          <w:p w14:paraId="45FD6643">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471" w:type="pct"/>
            <w:vAlign w:val="center"/>
          </w:tcPr>
          <w:p w14:paraId="40CDB31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482" w:type="pct"/>
            <w:shd w:val="clear" w:color="auto" w:fill="auto"/>
            <w:vAlign w:val="center"/>
          </w:tcPr>
          <w:p w14:paraId="1BF3992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472" w:type="pct"/>
            <w:gridSpan w:val="2"/>
            <w:vAlign w:val="center"/>
          </w:tcPr>
          <w:p w14:paraId="1949750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377" w:type="pct"/>
            <w:vAlign w:val="center"/>
          </w:tcPr>
          <w:p w14:paraId="1049FAF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471" w:type="pct"/>
            <w:vAlign w:val="center"/>
          </w:tcPr>
          <w:p w14:paraId="6764ED5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471" w:type="pct"/>
            <w:vAlign w:val="center"/>
          </w:tcPr>
          <w:p w14:paraId="1A3B059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400</w:t>
            </w:r>
          </w:p>
        </w:tc>
        <w:tc>
          <w:tcPr>
            <w:tcW w:w="377" w:type="pct"/>
            <w:vAlign w:val="center"/>
          </w:tcPr>
          <w:p w14:paraId="4B21E57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80</w:t>
            </w:r>
          </w:p>
        </w:tc>
        <w:tc>
          <w:tcPr>
            <w:tcW w:w="461" w:type="pct"/>
            <w:vAlign w:val="center"/>
          </w:tcPr>
          <w:p w14:paraId="5E1E3CB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80</w:t>
            </w:r>
          </w:p>
        </w:tc>
        <w:tc>
          <w:tcPr>
            <w:tcW w:w="380" w:type="pct"/>
            <w:vAlign w:val="center"/>
          </w:tcPr>
          <w:p w14:paraId="4393C3A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80</w:t>
            </w:r>
          </w:p>
        </w:tc>
      </w:tr>
      <w:tr w14:paraId="0A18A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continue"/>
            <w:vAlign w:val="center"/>
          </w:tcPr>
          <w:p w14:paraId="04A87DB6">
            <w:pPr>
              <w:bidi w:val="0"/>
              <w:jc w:val="center"/>
              <w:rPr>
                <w:rFonts w:ascii="Times New Roman" w:hAnsi="Times New Roman" w:eastAsia="仿宋_GB2312" w:cs="Times New Roman"/>
                <w:kern w:val="2"/>
                <w:sz w:val="21"/>
                <w:szCs w:val="22"/>
                <w:highlight w:val="none"/>
                <w:lang w:val="en-US" w:eastAsia="zh-CN" w:bidi="ar-SA"/>
              </w:rPr>
            </w:pPr>
          </w:p>
        </w:tc>
        <w:tc>
          <w:tcPr>
            <w:tcW w:w="565" w:type="pct"/>
            <w:shd w:val="clear" w:color="auto" w:fill="auto"/>
            <w:vAlign w:val="center"/>
          </w:tcPr>
          <w:p w14:paraId="09B169B0">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shd w:val="clear"/>
                <w:lang w:val="en-US" w:eastAsia="zh-CN" w:bidi="ar-SA"/>
              </w:rPr>
              <w:t>2～4</w:t>
            </w:r>
          </w:p>
        </w:tc>
        <w:tc>
          <w:tcPr>
            <w:tcW w:w="471" w:type="pct"/>
            <w:shd w:val="clear" w:color="auto" w:fill="auto"/>
            <w:vAlign w:val="center"/>
          </w:tcPr>
          <w:p w14:paraId="45DF747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700</w:t>
            </w:r>
          </w:p>
        </w:tc>
        <w:tc>
          <w:tcPr>
            <w:tcW w:w="482" w:type="pct"/>
            <w:shd w:val="clear" w:color="auto" w:fill="CFCECE"/>
            <w:vAlign w:val="center"/>
          </w:tcPr>
          <w:p w14:paraId="704DA95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470</w:t>
            </w:r>
          </w:p>
        </w:tc>
        <w:tc>
          <w:tcPr>
            <w:tcW w:w="472" w:type="pct"/>
            <w:gridSpan w:val="2"/>
            <w:shd w:val="clear" w:color="auto" w:fill="CFCECE"/>
            <w:vAlign w:val="center"/>
          </w:tcPr>
          <w:p w14:paraId="1F03DF5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350</w:t>
            </w:r>
          </w:p>
        </w:tc>
        <w:tc>
          <w:tcPr>
            <w:tcW w:w="377" w:type="pct"/>
            <w:vAlign w:val="center"/>
          </w:tcPr>
          <w:p w14:paraId="2F0E08E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700</w:t>
            </w:r>
          </w:p>
        </w:tc>
        <w:tc>
          <w:tcPr>
            <w:tcW w:w="471" w:type="pct"/>
            <w:vAlign w:val="center"/>
          </w:tcPr>
          <w:p w14:paraId="2ADEF989">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470</w:t>
            </w:r>
          </w:p>
        </w:tc>
        <w:tc>
          <w:tcPr>
            <w:tcW w:w="471" w:type="pct"/>
            <w:vAlign w:val="center"/>
          </w:tcPr>
          <w:p w14:paraId="5B70B60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350</w:t>
            </w:r>
          </w:p>
        </w:tc>
        <w:tc>
          <w:tcPr>
            <w:tcW w:w="377" w:type="pct"/>
            <w:vAlign w:val="center"/>
          </w:tcPr>
          <w:p w14:paraId="0CBFF5FA">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380</w:t>
            </w:r>
          </w:p>
        </w:tc>
        <w:tc>
          <w:tcPr>
            <w:tcW w:w="461" w:type="pct"/>
            <w:vAlign w:val="center"/>
          </w:tcPr>
          <w:p w14:paraId="49297DE2">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250</w:t>
            </w:r>
          </w:p>
        </w:tc>
        <w:tc>
          <w:tcPr>
            <w:tcW w:w="380" w:type="pct"/>
            <w:vAlign w:val="center"/>
          </w:tcPr>
          <w:p w14:paraId="5024CDD4">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190</w:t>
            </w:r>
          </w:p>
        </w:tc>
      </w:tr>
      <w:tr w14:paraId="33883A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continue"/>
            <w:vAlign w:val="center"/>
          </w:tcPr>
          <w:p w14:paraId="4082DB25">
            <w:pPr>
              <w:bidi w:val="0"/>
              <w:jc w:val="center"/>
              <w:rPr>
                <w:rFonts w:ascii="Times New Roman" w:hAnsi="Times New Roman" w:eastAsia="仿宋_GB2312" w:cs="Times New Roman"/>
                <w:kern w:val="2"/>
                <w:sz w:val="21"/>
                <w:szCs w:val="22"/>
                <w:highlight w:val="none"/>
                <w:lang w:val="en-US" w:eastAsia="zh-CN" w:bidi="ar-SA"/>
              </w:rPr>
            </w:pPr>
          </w:p>
        </w:tc>
        <w:tc>
          <w:tcPr>
            <w:tcW w:w="565" w:type="pct"/>
            <w:shd w:val="clear" w:color="auto" w:fill="auto"/>
            <w:vAlign w:val="center"/>
          </w:tcPr>
          <w:p w14:paraId="07E7CED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＞4</w:t>
            </w:r>
          </w:p>
        </w:tc>
        <w:tc>
          <w:tcPr>
            <w:tcW w:w="471" w:type="pct"/>
            <w:vAlign w:val="center"/>
          </w:tcPr>
          <w:p w14:paraId="2E32C16A">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530</w:t>
            </w:r>
          </w:p>
        </w:tc>
        <w:tc>
          <w:tcPr>
            <w:tcW w:w="482" w:type="pct"/>
            <w:shd w:val="clear" w:color="auto" w:fill="auto"/>
            <w:vAlign w:val="center"/>
          </w:tcPr>
          <w:p w14:paraId="59A3047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350</w:t>
            </w:r>
          </w:p>
        </w:tc>
        <w:tc>
          <w:tcPr>
            <w:tcW w:w="472" w:type="pct"/>
            <w:gridSpan w:val="2"/>
            <w:vAlign w:val="center"/>
          </w:tcPr>
          <w:p w14:paraId="72A447C4">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260</w:t>
            </w:r>
          </w:p>
        </w:tc>
        <w:tc>
          <w:tcPr>
            <w:tcW w:w="377" w:type="pct"/>
            <w:vAlign w:val="center"/>
          </w:tcPr>
          <w:p w14:paraId="5770AD2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530</w:t>
            </w:r>
          </w:p>
        </w:tc>
        <w:tc>
          <w:tcPr>
            <w:tcW w:w="471" w:type="pct"/>
            <w:vAlign w:val="center"/>
          </w:tcPr>
          <w:p w14:paraId="37C33770">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350</w:t>
            </w:r>
          </w:p>
        </w:tc>
        <w:tc>
          <w:tcPr>
            <w:tcW w:w="471" w:type="pct"/>
            <w:vAlign w:val="center"/>
          </w:tcPr>
          <w:p w14:paraId="771FE12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260</w:t>
            </w:r>
          </w:p>
        </w:tc>
        <w:tc>
          <w:tcPr>
            <w:tcW w:w="377" w:type="pct"/>
            <w:vAlign w:val="center"/>
          </w:tcPr>
          <w:p w14:paraId="39FB94A6">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290</w:t>
            </w:r>
          </w:p>
        </w:tc>
        <w:tc>
          <w:tcPr>
            <w:tcW w:w="461" w:type="pct"/>
            <w:vAlign w:val="center"/>
          </w:tcPr>
          <w:p w14:paraId="04480004">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190</w:t>
            </w:r>
          </w:p>
        </w:tc>
        <w:tc>
          <w:tcPr>
            <w:tcW w:w="380" w:type="pct"/>
            <w:vAlign w:val="center"/>
          </w:tcPr>
          <w:p w14:paraId="179208A7">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140</w:t>
            </w:r>
          </w:p>
        </w:tc>
      </w:tr>
      <w:tr w14:paraId="183BAC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restart"/>
            <w:vAlign w:val="center"/>
          </w:tcPr>
          <w:p w14:paraId="220412C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B</w:t>
            </w:r>
          </w:p>
        </w:tc>
        <w:tc>
          <w:tcPr>
            <w:tcW w:w="565" w:type="pct"/>
            <w:vAlign w:val="center"/>
          </w:tcPr>
          <w:p w14:paraId="7C9FABC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vAlign w:val="center"/>
          </w:tcPr>
          <w:p w14:paraId="24B4A797">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0.01</w:t>
            </w:r>
          </w:p>
        </w:tc>
        <w:tc>
          <w:tcPr>
            <w:tcW w:w="1320" w:type="pct"/>
            <w:gridSpan w:val="3"/>
            <w:vAlign w:val="center"/>
          </w:tcPr>
          <w:p w14:paraId="1AFEC7B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0.015</w:t>
            </w:r>
          </w:p>
        </w:tc>
        <w:tc>
          <w:tcPr>
            <w:tcW w:w="1218" w:type="pct"/>
            <w:gridSpan w:val="3"/>
            <w:vAlign w:val="center"/>
          </w:tcPr>
          <w:p w14:paraId="23F0AA5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0.015</w:t>
            </w:r>
          </w:p>
        </w:tc>
      </w:tr>
      <w:tr w14:paraId="72ED6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continue"/>
            <w:vAlign w:val="center"/>
          </w:tcPr>
          <w:p w14:paraId="1DF6CD07">
            <w:pPr>
              <w:bidi w:val="0"/>
              <w:jc w:val="center"/>
              <w:rPr>
                <w:rFonts w:ascii="Times New Roman" w:hAnsi="Times New Roman" w:eastAsia="仿宋_GB2312" w:cs="Times New Roman"/>
                <w:kern w:val="2"/>
                <w:sz w:val="21"/>
                <w:szCs w:val="22"/>
                <w:highlight w:val="none"/>
                <w:lang w:val="en-US" w:eastAsia="zh-CN" w:bidi="ar-SA"/>
              </w:rPr>
            </w:pPr>
          </w:p>
        </w:tc>
        <w:tc>
          <w:tcPr>
            <w:tcW w:w="565" w:type="pct"/>
            <w:vAlign w:val="center"/>
          </w:tcPr>
          <w:p w14:paraId="1BA8A060">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shd w:val="clear" w:color="auto" w:fill="CFCECE"/>
            <w:vAlign w:val="center"/>
          </w:tcPr>
          <w:p w14:paraId="48F41E0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0.021</w:t>
            </w:r>
          </w:p>
        </w:tc>
        <w:tc>
          <w:tcPr>
            <w:tcW w:w="1320" w:type="pct"/>
            <w:gridSpan w:val="3"/>
            <w:vAlign w:val="center"/>
          </w:tcPr>
          <w:p w14:paraId="1F2C489A">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0.036</w:t>
            </w:r>
          </w:p>
        </w:tc>
        <w:tc>
          <w:tcPr>
            <w:tcW w:w="1218" w:type="pct"/>
            <w:gridSpan w:val="3"/>
            <w:vAlign w:val="center"/>
          </w:tcPr>
          <w:p w14:paraId="3C13391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0.036</w:t>
            </w:r>
          </w:p>
        </w:tc>
      </w:tr>
      <w:tr w14:paraId="46EB1D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restart"/>
            <w:vAlign w:val="center"/>
          </w:tcPr>
          <w:p w14:paraId="3D5DEDB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C</w:t>
            </w:r>
          </w:p>
        </w:tc>
        <w:tc>
          <w:tcPr>
            <w:tcW w:w="565" w:type="pct"/>
            <w:vAlign w:val="center"/>
          </w:tcPr>
          <w:p w14:paraId="1D0CB49C">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vAlign w:val="center"/>
          </w:tcPr>
          <w:p w14:paraId="1CB80F61">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1.85</w:t>
            </w:r>
          </w:p>
        </w:tc>
        <w:tc>
          <w:tcPr>
            <w:tcW w:w="1320" w:type="pct"/>
            <w:gridSpan w:val="3"/>
            <w:vAlign w:val="center"/>
          </w:tcPr>
          <w:p w14:paraId="08580FD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1.79</w:t>
            </w:r>
          </w:p>
        </w:tc>
        <w:tc>
          <w:tcPr>
            <w:tcW w:w="1218" w:type="pct"/>
            <w:gridSpan w:val="3"/>
            <w:vAlign w:val="center"/>
          </w:tcPr>
          <w:p w14:paraId="6CBFFB6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1.79</w:t>
            </w:r>
          </w:p>
        </w:tc>
      </w:tr>
      <w:tr w14:paraId="10023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continue"/>
            <w:vAlign w:val="center"/>
          </w:tcPr>
          <w:p w14:paraId="0B0B9EBD">
            <w:pPr>
              <w:bidi w:val="0"/>
              <w:jc w:val="center"/>
              <w:rPr>
                <w:rFonts w:ascii="Times New Roman" w:hAnsi="Times New Roman" w:eastAsia="仿宋_GB2312" w:cs="Times New Roman"/>
                <w:kern w:val="2"/>
                <w:sz w:val="21"/>
                <w:szCs w:val="22"/>
                <w:highlight w:val="none"/>
                <w:lang w:val="en-US" w:eastAsia="zh-CN" w:bidi="ar-SA"/>
              </w:rPr>
            </w:pPr>
          </w:p>
        </w:tc>
        <w:tc>
          <w:tcPr>
            <w:tcW w:w="565" w:type="pct"/>
            <w:vAlign w:val="center"/>
          </w:tcPr>
          <w:p w14:paraId="2B3F211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shd w:val="clear" w:color="auto" w:fill="CFCECE"/>
            <w:vAlign w:val="center"/>
          </w:tcPr>
          <w:p w14:paraId="64F75A9D">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1.85</w:t>
            </w:r>
          </w:p>
        </w:tc>
        <w:tc>
          <w:tcPr>
            <w:tcW w:w="1320" w:type="pct"/>
            <w:gridSpan w:val="3"/>
            <w:vAlign w:val="center"/>
          </w:tcPr>
          <w:p w14:paraId="178DC42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1.77</w:t>
            </w:r>
          </w:p>
        </w:tc>
        <w:tc>
          <w:tcPr>
            <w:tcW w:w="1218" w:type="pct"/>
            <w:gridSpan w:val="3"/>
            <w:vAlign w:val="center"/>
          </w:tcPr>
          <w:p w14:paraId="2145D527">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1.77</w:t>
            </w:r>
          </w:p>
        </w:tc>
      </w:tr>
      <w:tr w14:paraId="574C20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restart"/>
            <w:vAlign w:val="center"/>
          </w:tcPr>
          <w:p w14:paraId="4BC077C9">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D</w:t>
            </w:r>
          </w:p>
        </w:tc>
        <w:tc>
          <w:tcPr>
            <w:tcW w:w="565" w:type="pct"/>
            <w:vAlign w:val="center"/>
          </w:tcPr>
          <w:p w14:paraId="111C7A1F">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vAlign w:val="center"/>
          </w:tcPr>
          <w:p w14:paraId="6048E1E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0.78</w:t>
            </w:r>
          </w:p>
        </w:tc>
        <w:tc>
          <w:tcPr>
            <w:tcW w:w="1320" w:type="pct"/>
            <w:gridSpan w:val="3"/>
            <w:vAlign w:val="center"/>
          </w:tcPr>
          <w:p w14:paraId="74588049">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0.78</w:t>
            </w:r>
          </w:p>
        </w:tc>
        <w:tc>
          <w:tcPr>
            <w:tcW w:w="1218" w:type="pct"/>
            <w:gridSpan w:val="3"/>
            <w:vAlign w:val="center"/>
          </w:tcPr>
          <w:p w14:paraId="39C4F2A5">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0.57</w:t>
            </w:r>
          </w:p>
        </w:tc>
      </w:tr>
      <w:tr w14:paraId="0D00DF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Merge w:val="continue"/>
            <w:vAlign w:val="center"/>
          </w:tcPr>
          <w:p w14:paraId="0CE0C16A">
            <w:pPr>
              <w:bidi w:val="0"/>
              <w:jc w:val="center"/>
              <w:rPr>
                <w:rFonts w:ascii="Times New Roman" w:hAnsi="Times New Roman" w:eastAsia="仿宋_GB2312" w:cs="Times New Roman"/>
                <w:kern w:val="2"/>
                <w:sz w:val="21"/>
                <w:szCs w:val="22"/>
                <w:highlight w:val="none"/>
                <w:lang w:val="en-US" w:eastAsia="zh-CN" w:bidi="ar-SA"/>
              </w:rPr>
            </w:pPr>
          </w:p>
        </w:tc>
        <w:tc>
          <w:tcPr>
            <w:tcW w:w="565" w:type="pct"/>
            <w:vAlign w:val="center"/>
          </w:tcPr>
          <w:p w14:paraId="731AF6B8">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＞2</w:t>
            </w:r>
          </w:p>
        </w:tc>
        <w:tc>
          <w:tcPr>
            <w:tcW w:w="1426" w:type="pct"/>
            <w:gridSpan w:val="4"/>
            <w:shd w:val="clear" w:color="auto" w:fill="CFCECE"/>
            <w:vAlign w:val="center"/>
          </w:tcPr>
          <w:p w14:paraId="5DE045A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0.84</w:t>
            </w:r>
          </w:p>
        </w:tc>
        <w:tc>
          <w:tcPr>
            <w:tcW w:w="1320" w:type="pct"/>
            <w:gridSpan w:val="3"/>
            <w:vAlign w:val="center"/>
          </w:tcPr>
          <w:p w14:paraId="5F0DE7A3">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0.84</w:t>
            </w:r>
          </w:p>
        </w:tc>
        <w:tc>
          <w:tcPr>
            <w:tcW w:w="1218" w:type="pct"/>
            <w:gridSpan w:val="3"/>
            <w:vAlign w:val="center"/>
          </w:tcPr>
          <w:p w14:paraId="54DB884B">
            <w:pPr>
              <w:bidi w:val="0"/>
              <w:jc w:val="center"/>
              <w:rPr>
                <w:rFonts w:ascii="Times New Roman" w:hAnsi="Times New Roman" w:eastAsia="仿宋_GB2312" w:cs="Times New Roman"/>
                <w:kern w:val="2"/>
                <w:sz w:val="21"/>
                <w:szCs w:val="22"/>
                <w:highlight w:val="none"/>
                <w:lang w:val="en-US" w:eastAsia="zh-CN" w:bidi="ar-SA"/>
              </w:rPr>
            </w:pPr>
            <w:r>
              <w:rPr>
                <w:rFonts w:ascii="Times New Roman" w:hAnsi="Times New Roman" w:eastAsia="仿宋_GB2312" w:cs="Times New Roman"/>
                <w:kern w:val="2"/>
                <w:sz w:val="21"/>
                <w:szCs w:val="22"/>
                <w:highlight w:val="none"/>
                <w:lang w:val="en-US" w:eastAsia="zh-CN" w:bidi="ar-SA"/>
              </w:rPr>
              <w:t>0.76</w:t>
            </w:r>
          </w:p>
        </w:tc>
      </w:tr>
    </w:tbl>
    <w:p w14:paraId="00E1A1E9">
      <w:pPr>
        <w:widowControl/>
        <w:adjustRightInd w:val="0"/>
        <w:snapToGrid w:val="0"/>
        <w:ind w:firstLine="560" w:firstLineChars="200"/>
        <w:rPr>
          <w:rFonts w:ascii="Times New Roman" w:hAnsi="Times New Roman" w:cs="Times New Roman"/>
          <w:highlight w:val="none"/>
        </w:rPr>
      </w:pPr>
      <w:r>
        <w:rPr>
          <w:rFonts w:ascii="Times New Roman" w:hAnsi="Times New Roman" w:cs="Times New Roman"/>
          <w:highlight w:val="none"/>
        </w:rPr>
        <w:t>根据</w:t>
      </w:r>
      <w:r>
        <w:rPr>
          <w:rFonts w:hint="eastAsia" w:ascii="Times New Roman" w:hAnsi="Times New Roman" w:cs="Times New Roman"/>
          <w:highlight w:val="none"/>
        </w:rPr>
        <w:t>《大气有害物质无组织排放卫生防护距离推导技术导则》（</w:t>
      </w:r>
      <w:r>
        <w:rPr>
          <w:rFonts w:ascii="Times New Roman" w:hAnsi="Times New Roman" w:cs="Times New Roman"/>
          <w:highlight w:val="none"/>
        </w:rPr>
        <w:t>GBT39499-2020</w:t>
      </w:r>
      <w:r>
        <w:rPr>
          <w:rFonts w:hint="eastAsia" w:ascii="Times New Roman" w:hAnsi="Times New Roman" w:cs="Times New Roman"/>
          <w:highlight w:val="none"/>
        </w:rPr>
        <w:t>）</w:t>
      </w:r>
      <w:r>
        <w:rPr>
          <w:rFonts w:ascii="Times New Roman" w:hAnsi="Times New Roman" w:cs="Times New Roman"/>
          <w:highlight w:val="none"/>
        </w:rPr>
        <w:t>，卫生防护距离在100</w:t>
      </w:r>
      <w:r>
        <w:rPr>
          <w:rFonts w:hint="eastAsia" w:ascii="Times New Roman" w:hAnsi="Times New Roman" w:cs="Times New Roman"/>
          <w:highlight w:val="none"/>
        </w:rPr>
        <w:t>m</w:t>
      </w:r>
      <w:r>
        <w:rPr>
          <w:rFonts w:ascii="Times New Roman" w:hAnsi="Times New Roman" w:cs="Times New Roman"/>
          <w:highlight w:val="none"/>
        </w:rPr>
        <w:t>以内时，级差为50</w:t>
      </w:r>
      <w:r>
        <w:rPr>
          <w:rFonts w:hint="eastAsia" w:ascii="Times New Roman" w:hAnsi="Times New Roman" w:cs="Times New Roman"/>
          <w:highlight w:val="none"/>
        </w:rPr>
        <w:t>m</w:t>
      </w:r>
      <w:r>
        <w:rPr>
          <w:rFonts w:ascii="Times New Roman" w:hAnsi="Times New Roman" w:cs="Times New Roman"/>
          <w:highlight w:val="none"/>
        </w:rPr>
        <w:t>；超过100</w:t>
      </w:r>
      <w:r>
        <w:rPr>
          <w:rFonts w:hint="eastAsia" w:ascii="Times New Roman" w:hAnsi="Times New Roman" w:cs="Times New Roman"/>
          <w:highlight w:val="none"/>
        </w:rPr>
        <w:t>m</w:t>
      </w:r>
      <w:r>
        <w:rPr>
          <w:rFonts w:ascii="Times New Roman" w:hAnsi="Times New Roman" w:cs="Times New Roman"/>
          <w:highlight w:val="none"/>
        </w:rPr>
        <w:t>，但小于或等于1000</w:t>
      </w:r>
      <w:r>
        <w:rPr>
          <w:rFonts w:hint="eastAsia" w:ascii="Times New Roman" w:hAnsi="Times New Roman" w:cs="Times New Roman"/>
          <w:highlight w:val="none"/>
        </w:rPr>
        <w:t>m</w:t>
      </w:r>
      <w:r>
        <w:rPr>
          <w:rFonts w:ascii="Times New Roman" w:hAnsi="Times New Roman" w:cs="Times New Roman"/>
          <w:highlight w:val="none"/>
        </w:rPr>
        <w:t>时，级差为100</w:t>
      </w:r>
      <w:r>
        <w:rPr>
          <w:rFonts w:hint="eastAsia" w:ascii="Times New Roman" w:hAnsi="Times New Roman" w:cs="Times New Roman"/>
          <w:highlight w:val="none"/>
        </w:rPr>
        <w:t>m</w:t>
      </w:r>
      <w:r>
        <w:rPr>
          <w:rFonts w:ascii="Times New Roman" w:hAnsi="Times New Roman" w:cs="Times New Roman"/>
          <w:highlight w:val="none"/>
        </w:rPr>
        <w:t>；超过1000</w:t>
      </w:r>
      <w:r>
        <w:rPr>
          <w:rFonts w:hint="eastAsia" w:ascii="Times New Roman" w:hAnsi="Times New Roman" w:cs="Times New Roman"/>
          <w:highlight w:val="none"/>
        </w:rPr>
        <w:t>m</w:t>
      </w:r>
      <w:r>
        <w:rPr>
          <w:rFonts w:ascii="Times New Roman" w:hAnsi="Times New Roman" w:cs="Times New Roman"/>
          <w:highlight w:val="none"/>
        </w:rPr>
        <w:t>时，级差为200</w:t>
      </w:r>
      <w:r>
        <w:rPr>
          <w:rFonts w:hint="eastAsia" w:ascii="Times New Roman" w:hAnsi="Times New Roman" w:cs="Times New Roman"/>
          <w:highlight w:val="none"/>
        </w:rPr>
        <w:t>m</w:t>
      </w:r>
      <w:r>
        <w:rPr>
          <w:rFonts w:ascii="Times New Roman" w:hAnsi="Times New Roman" w:cs="Times New Roman"/>
          <w:highlight w:val="none"/>
        </w:rPr>
        <w:t>。当按两种或两种以上的有害气体计算的卫生防护距离在同一级别时，该类工业企业的卫生防护距离级别应提高一级。</w:t>
      </w:r>
      <w:r>
        <w:rPr>
          <w:rFonts w:hint="eastAsia" w:ascii="Times New Roman" w:hAnsi="Times New Roman" w:cs="Times New Roman"/>
          <w:highlight w:val="none"/>
        </w:rPr>
        <w:t>保守考虑，非甲烷总烃涉及多种物质，计算等级提高一级。</w:t>
      </w:r>
    </w:p>
    <w:p w14:paraId="5F4CB9F3">
      <w:pPr>
        <w:widowControl/>
        <w:adjustRightInd w:val="0"/>
        <w:snapToGrid w:val="0"/>
        <w:ind w:firstLine="560" w:firstLineChars="200"/>
        <w:rPr>
          <w:rFonts w:ascii="Times New Roman" w:hAnsi="Times New Roman" w:cs="Times New Roman"/>
          <w:szCs w:val="28"/>
          <w:highlight w:val="none"/>
        </w:rPr>
      </w:pPr>
      <w:r>
        <w:rPr>
          <w:rFonts w:ascii="Times New Roman" w:hAnsi="Times New Roman" w:cs="Times New Roman"/>
          <w:highlight w:val="none"/>
        </w:rPr>
        <w:t>经计算，本项目</w:t>
      </w:r>
      <w:r>
        <w:rPr>
          <w:rFonts w:hint="eastAsia" w:ascii="Times New Roman" w:hAnsi="Times New Roman" w:cs="Times New Roman"/>
          <w:szCs w:val="28"/>
          <w:highlight w:val="none"/>
        </w:rPr>
        <w:t>以</w:t>
      </w:r>
      <w:bookmarkStart w:id="264" w:name="_Hlk104391858"/>
      <w:r>
        <w:rPr>
          <w:rFonts w:hint="eastAsia" w:ascii="Times New Roman" w:hAnsi="Times New Roman" w:cs="Times New Roman"/>
          <w:szCs w:val="28"/>
          <w:highlight w:val="none"/>
          <w:lang w:val="en-US" w:eastAsia="zh-CN"/>
        </w:rPr>
        <w:t>4#厂房</w:t>
      </w:r>
      <w:r>
        <w:rPr>
          <w:rFonts w:ascii="Times New Roman" w:hAnsi="Times New Roman" w:cs="Times New Roman"/>
          <w:szCs w:val="28"/>
          <w:highlight w:val="none"/>
        </w:rPr>
        <w:t>边界外扩100</w:t>
      </w:r>
      <w:r>
        <w:rPr>
          <w:rFonts w:hint="eastAsia" w:ascii="Times New Roman" w:hAnsi="Times New Roman" w:cs="Times New Roman"/>
          <w:szCs w:val="28"/>
          <w:highlight w:val="none"/>
        </w:rPr>
        <w:t>m</w:t>
      </w:r>
      <w:r>
        <w:rPr>
          <w:rFonts w:ascii="Times New Roman" w:hAnsi="Times New Roman" w:cs="Times New Roman"/>
          <w:szCs w:val="28"/>
          <w:highlight w:val="none"/>
        </w:rPr>
        <w:t>，废水处理设施边界外扩100</w:t>
      </w:r>
      <w:r>
        <w:rPr>
          <w:rFonts w:hint="eastAsia" w:ascii="Times New Roman" w:hAnsi="Times New Roman" w:cs="Times New Roman"/>
          <w:szCs w:val="28"/>
          <w:highlight w:val="none"/>
        </w:rPr>
        <w:t>m设置卫生防护距离</w:t>
      </w:r>
      <w:bookmarkEnd w:id="264"/>
      <w:r>
        <w:rPr>
          <w:rFonts w:ascii="Times New Roman" w:hAnsi="Times New Roman" w:cs="Times New Roman"/>
          <w:szCs w:val="28"/>
          <w:highlight w:val="none"/>
        </w:rPr>
        <w:t>。</w:t>
      </w:r>
      <w:r>
        <w:rPr>
          <w:rFonts w:hint="eastAsia" w:ascii="Times New Roman" w:hAnsi="Times New Roman" w:cs="Times New Roman"/>
          <w:szCs w:val="28"/>
          <w:highlight w:val="none"/>
        </w:rPr>
        <w:t>目前</w:t>
      </w:r>
      <w:r>
        <w:rPr>
          <w:rFonts w:ascii="Times New Roman" w:hAnsi="Times New Roman" w:cs="Times New Roman"/>
          <w:szCs w:val="28"/>
          <w:highlight w:val="none"/>
        </w:rPr>
        <w:t>卫生防护距离内无居民等敏感点，不涉及居民拆迁，今后也不得新建各类居民点和环境保护目标。</w:t>
      </w:r>
    </w:p>
    <w:p w14:paraId="453B08CD">
      <w:pPr>
        <w:widowControl/>
        <w:adjustRightInd w:val="0"/>
        <w:snapToGrid w:val="0"/>
        <w:ind w:firstLine="562" w:firstLineChars="200"/>
        <w:rPr>
          <w:rFonts w:ascii="Times New Roman" w:hAnsi="Times New Roman" w:cs="Times New Roman"/>
          <w:b/>
          <w:szCs w:val="28"/>
          <w:highlight w:val="none"/>
        </w:rPr>
      </w:pPr>
      <w:r>
        <w:rPr>
          <w:rFonts w:hint="eastAsia" w:ascii="Times New Roman" w:hAnsi="Times New Roman" w:cs="Times New Roman"/>
          <w:b/>
          <w:szCs w:val="28"/>
          <w:highlight w:val="none"/>
        </w:rPr>
        <w:t>厂区</w:t>
      </w:r>
      <w:r>
        <w:rPr>
          <w:rFonts w:ascii="Times New Roman" w:hAnsi="Times New Roman" w:cs="Times New Roman"/>
          <w:b/>
          <w:szCs w:val="28"/>
          <w:highlight w:val="none"/>
        </w:rPr>
        <w:t>卫生防护距离图详见附图4.1-</w:t>
      </w:r>
      <w:r>
        <w:rPr>
          <w:rFonts w:hint="eastAsia" w:ascii="Times New Roman" w:hAnsi="Times New Roman" w:cs="Times New Roman"/>
          <w:b/>
          <w:szCs w:val="28"/>
          <w:highlight w:val="none"/>
        </w:rPr>
        <w:t>1</w:t>
      </w:r>
      <w:r>
        <w:rPr>
          <w:rFonts w:ascii="Times New Roman" w:hAnsi="Times New Roman" w:cs="Times New Roman"/>
          <w:b/>
          <w:szCs w:val="28"/>
          <w:highlight w:val="none"/>
        </w:rPr>
        <w:t>。</w:t>
      </w:r>
    </w:p>
    <w:p w14:paraId="7C156BEA">
      <w:pPr>
        <w:pStyle w:val="5"/>
        <w:bidi w:val="0"/>
        <w:rPr>
          <w:lang w:val="en-US" w:eastAsia="zh-CN"/>
        </w:rPr>
      </w:pPr>
      <w:r>
        <w:rPr>
          <w:lang w:val="en-US" w:eastAsia="zh-CN"/>
        </w:rPr>
        <w:t>恶臭、异味影响分析</w:t>
      </w:r>
    </w:p>
    <w:p w14:paraId="1BBB9A85">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（1）主要危害</w:t>
      </w:r>
    </w:p>
    <w:p w14:paraId="4C00F45B">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本厂恶臭气体主要来源于污水处理站产生的少量氨、硫化氢等污染物。其主要危害有六个方面：</w:t>
      </w:r>
    </w:p>
    <w:p w14:paraId="384933C8">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①危害呼吸系统。人们突然闻到异味，就会产生反射性的抑制吸气，使呼吸次数减少，深度变浅，甚至会暂时停止吸气，妨碍正常呼吸功能。</w:t>
      </w:r>
    </w:p>
    <w:p w14:paraId="26593F10">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②危害循环系统。随着呼吸的变化，会出现脉搏和血压的变化。如氨刺激性异味气体会使血压出现先下降后上升，脉搏先减慢后加快的现象。</w:t>
      </w:r>
    </w:p>
    <w:p w14:paraId="7F6ABD21">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③危害消化系统。经常接触异味，会使人厌食、恶心，甚至呕吐，进而发展为消化功能减退。</w:t>
      </w:r>
    </w:p>
    <w:p w14:paraId="400250ED">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④危害内分泌系统。经常受异味刺激，会使内分泌系统的分泌功能紊乱，影响机体的代谢活动。</w:t>
      </w:r>
    </w:p>
    <w:p w14:paraId="61C90869">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⑤危害神经系统。长期受到一种或几种低浓度异味物质的刺激，会引起嗅觉脱失、嗅觉疲劳等障碍。“久闻而不知其臭”，使嗅觉丧失了第一道防御功能，但脑神经仍不断受到刺激和损伤，最后导致</w:t>
      </w:r>
      <w:r>
        <w:rPr>
          <w:rFonts w:hint="eastAsia" w:ascii="Times New Roman" w:hAnsi="Times New Roman" w:cs="Times New Roman"/>
          <w:highlight w:val="none"/>
          <w:lang w:eastAsia="zh-CN"/>
        </w:rPr>
        <w:t>大脑皮质</w:t>
      </w:r>
      <w:r>
        <w:rPr>
          <w:rFonts w:hint="eastAsia" w:ascii="Times New Roman" w:hAnsi="Times New Roman" w:cs="Times New Roman"/>
          <w:highlight w:val="none"/>
        </w:rPr>
        <w:t>兴奋和抑制的调节功能失调。</w:t>
      </w:r>
    </w:p>
    <w:p w14:paraId="4811E788">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仿宋_GB2312"/>
          <w:highlight w:val="none"/>
        </w:rPr>
        <w:t>⑥</w:t>
      </w:r>
      <w:r>
        <w:rPr>
          <w:rFonts w:hint="eastAsia" w:ascii="Times New Roman" w:hAnsi="Times New Roman" w:cs="Times New Roman"/>
          <w:highlight w:val="none"/>
        </w:rPr>
        <w:t>对精神的影响。异味使人精神烦躁不安，思想不集中，工作效率减低，判断力和记忆力下降，影响大脑的思考活动。</w:t>
      </w:r>
    </w:p>
    <w:p w14:paraId="430941BA">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（2）异味影响分析</w:t>
      </w:r>
    </w:p>
    <w:p w14:paraId="1D8E9874">
      <w:pPr>
        <w:widowControl/>
        <w:adjustRightInd w:val="0"/>
        <w:snapToGrid w:val="0"/>
        <w:ind w:firstLine="560" w:firstLineChars="200"/>
        <w:rPr>
          <w:rFonts w:ascii="Times New Roman" w:hAnsi="Times New Roman" w:cs="Times New Roman"/>
          <w:highlight w:val="none"/>
        </w:rPr>
      </w:pPr>
      <w:r>
        <w:rPr>
          <w:rFonts w:ascii="Times New Roman" w:hAnsi="Times New Roman" w:cs="Times New Roman"/>
          <w:highlight w:val="none"/>
        </w:rPr>
        <w:t>本项目涉及的恶臭物质主要有氨、硫化氢。通过计算，本项目氨、硫化氢的厂界小时最大预测浓度值均小于人体对上述各异味物质的嗅阈值</w:t>
      </w:r>
      <w:r>
        <w:rPr>
          <w:rFonts w:hint="eastAsia" w:ascii="Times New Roman" w:hAnsi="Times New Roman" w:cs="Times New Roman"/>
          <w:highlight w:val="none"/>
        </w:rPr>
        <w:t>，正常运行工况下氨、硫化氢的异味对周边环境影响较小。臭气浓度均低于厂界标准（20，无量纲），臭气浓</w:t>
      </w:r>
      <w:r>
        <w:rPr>
          <w:rFonts w:hint="eastAsia" w:ascii="Times New Roman" w:hAnsi="Times New Roman" w:cs="Times New Roman"/>
          <w:highlight w:val="none"/>
          <w:lang w:eastAsia="zh-CN"/>
        </w:rPr>
        <w:t>度对</w:t>
      </w:r>
      <w:r>
        <w:rPr>
          <w:rFonts w:hint="eastAsia" w:ascii="Times New Roman" w:hAnsi="Times New Roman" w:cs="Times New Roman"/>
          <w:highlight w:val="none"/>
        </w:rPr>
        <w:t>环境影响较小，可做到达标排放。</w:t>
      </w:r>
    </w:p>
    <w:p w14:paraId="60EDD900">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根据美国纳德提出将臭气感觉强度从“无气味”到“臭气强度极强”分为五级，具体分法见</w:t>
      </w:r>
      <w:r>
        <w:rPr>
          <w:rFonts w:hint="eastAsia" w:ascii="Times New Roman" w:hAnsi="Times New Roman" w:cs="Times New Roman"/>
          <w:highlight w:val="none"/>
          <w:lang w:eastAsia="zh-CN"/>
        </w:rPr>
        <w:fldChar w:fldCharType="begin"/>
      </w:r>
      <w:r>
        <w:rPr>
          <w:rFonts w:ascii="Times New Roman" w:hAnsi="Times New Roman" w:cs="Times New Roman"/>
        </w:rPr>
        <w:instrText xml:space="preserve"> REF _Ref28432 \h  \* MERGEFORMAT</w:instrText>
      </w:r>
      <w:r>
        <w:rPr>
          <w:rFonts w:hint="eastAsia" w:ascii="Times New Roman" w:hAnsi="Times New Roman" w:cs="Times New Roman"/>
          <w:highlight w:val="none"/>
          <w:lang w:eastAsia="zh-CN"/>
        </w:rPr>
        <w:fldChar w:fldCharType="separate"/>
      </w:r>
      <w:r>
        <w:rPr>
          <w:rFonts w:ascii="Times New Roman" w:hAnsi="Times New Roman" w:cs="Times New Roman"/>
          <w:highlight w:val="none"/>
        </w:rPr>
        <w:t>表</w:t>
      </w:r>
      <w:r>
        <w:rPr>
          <w:rFonts w:ascii="Times New Roman" w:hAnsi="Times New Roman" w:cs="Times New Roman"/>
          <w:highlight w:val="none"/>
        </w:rPr>
        <w:fldChar w:fldCharType="begin"/>
      </w:r>
      <w:r>
        <w:rPr>
          <w:rFonts w:ascii="Times New Roman" w:hAnsi="Times New Roman" w:cs="Times New Roman"/>
          <w:highlight w:val="none"/>
        </w:rPr>
        <w:instrText xml:space="preserve"> STYLEREF 3 \s </w:instrText>
      </w:r>
      <w:r>
        <w:rPr>
          <w:rFonts w:ascii="Times New Roman" w:hAnsi="Times New Roman" w:cs="Times New Roman"/>
          <w:highlight w:val="none"/>
        </w:rPr>
        <w:fldChar w:fldCharType="separate"/>
      </w:r>
      <w:r>
        <w:rPr>
          <w:rFonts w:ascii="Times New Roman" w:hAnsi="Times New Roman" w:cs="Times New Roman"/>
          <w:highlight w:val="none"/>
        </w:rPr>
        <w:t>6.1.4</w:t>
      </w:r>
      <w:r>
        <w:rPr>
          <w:rFonts w:ascii="Times New Roman" w:hAnsi="Times New Roman" w:cs="Times New Roman"/>
          <w:highlight w:val="none"/>
        </w:rPr>
        <w:fldChar w:fldCharType="end"/>
      </w:r>
      <w:r>
        <w:rPr>
          <w:rFonts w:ascii="Times New Roman" w:hAnsi="Times New Roman" w:cs="Times New Roman"/>
          <w:highlight w:val="none"/>
        </w:rPr>
        <w:noBreakHyphen/>
      </w:r>
      <w:r>
        <w:rPr>
          <w:rFonts w:ascii="Times New Roman" w:hAnsi="Times New Roman" w:cs="Times New Roman"/>
          <w:highlight w:val="none"/>
        </w:rPr>
        <w:t>2</w:t>
      </w:r>
      <w:r>
        <w:rPr>
          <w:rFonts w:hint="eastAsia" w:ascii="Times New Roman" w:hAnsi="Times New Roman" w:cs="Times New Roman"/>
          <w:highlight w:val="none"/>
          <w:lang w:eastAsia="zh-CN"/>
        </w:rPr>
        <w:fldChar w:fldCharType="end"/>
      </w:r>
      <w:r>
        <w:rPr>
          <w:rFonts w:hint="eastAsia" w:ascii="Times New Roman" w:hAnsi="Times New Roman" w:cs="Times New Roman"/>
          <w:highlight w:val="none"/>
        </w:rPr>
        <w:t>。</w:t>
      </w:r>
    </w:p>
    <w:p w14:paraId="18D00A02">
      <w:pPr>
        <w:bidi w:val="0"/>
        <w:spacing w:before="50" w:beforeLines="50" w:line="360" w:lineRule="auto"/>
        <w:jc w:val="center"/>
        <w:outlineLvl w:val="4"/>
        <w:rPr>
          <w:rFonts w:ascii="Times New Roman" w:hAnsi="Times New Roman" w:eastAsia="仿宋_GB2312" w:cs="Times New Roman"/>
          <w:b/>
          <w:kern w:val="2"/>
          <w:sz w:val="24"/>
          <w:szCs w:val="22"/>
          <w:highlight w:val="none"/>
          <w:lang w:val="en-US" w:eastAsia="zh-CN" w:bidi="ar-SA"/>
        </w:rPr>
      </w:pPr>
      <w:bookmarkStart w:id="265" w:name="_Ref28432"/>
      <w:r>
        <w:rPr>
          <w:rFonts w:ascii="Times New Roman" w:hAnsi="Times New Roman" w:eastAsia="仿宋_GB2312" w:cs="Times New Roman"/>
          <w:b/>
          <w:kern w:val="2"/>
          <w:sz w:val="24"/>
          <w:szCs w:val="22"/>
          <w:highlight w:val="none"/>
          <w:lang w:val="en-US" w:eastAsia="zh-CN" w:bidi="ar-SA"/>
        </w:rPr>
        <w:t>表</w:t>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STYLEREF 3 \s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6.1.4</w:t>
      </w:r>
      <w:r>
        <w:rPr>
          <w:rFonts w:ascii="Times New Roman" w:hAnsi="Times New Roman" w:eastAsia="仿宋_GB2312" w:cs="Times New Roman"/>
          <w:b/>
          <w:kern w:val="2"/>
          <w:sz w:val="24"/>
          <w:szCs w:val="22"/>
          <w:highlight w:val="none"/>
          <w:lang w:val="en-US" w:eastAsia="zh-CN" w:bidi="ar-SA"/>
        </w:rPr>
        <w:fldChar w:fldCharType="end"/>
      </w:r>
      <w:r>
        <w:rPr>
          <w:rFonts w:ascii="Times New Roman" w:hAnsi="Times New Roman" w:eastAsia="仿宋_GB2312" w:cs="Times New Roman"/>
          <w:b/>
          <w:kern w:val="2"/>
          <w:sz w:val="24"/>
          <w:szCs w:val="22"/>
          <w:highlight w:val="none"/>
          <w:lang w:val="en-US" w:eastAsia="zh-CN" w:bidi="ar-SA"/>
        </w:rPr>
        <w:noBreakHyphen/>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SEQ 表 \* ARABIC \s 3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3</w:t>
      </w:r>
      <w:r>
        <w:rPr>
          <w:rFonts w:ascii="Times New Roman" w:hAnsi="Times New Roman" w:eastAsia="仿宋_GB2312" w:cs="Times New Roman"/>
          <w:b/>
          <w:kern w:val="2"/>
          <w:sz w:val="24"/>
          <w:szCs w:val="22"/>
          <w:highlight w:val="none"/>
          <w:lang w:val="en-US" w:eastAsia="zh-CN" w:bidi="ar-SA"/>
        </w:rPr>
        <w:fldChar w:fldCharType="end"/>
      </w:r>
      <w:bookmarkEnd w:id="265"/>
      <w:r>
        <w:rPr>
          <w:rFonts w:hint="eastAsia" w:ascii="Times New Roman" w:hAnsi="Times New Roman" w:eastAsia="仿宋_GB2312" w:cs="Times New Roman"/>
          <w:b/>
          <w:kern w:val="2"/>
          <w:sz w:val="24"/>
          <w:szCs w:val="22"/>
          <w:highlight w:val="none"/>
          <w:lang w:val="en-US" w:eastAsia="zh-CN" w:bidi="ar-SA"/>
        </w:rPr>
        <w:t>恶臭强度分级</w:t>
      </w:r>
    </w:p>
    <w:tbl>
      <w:tblPr>
        <w:tblStyle w:val="52"/>
        <w:tblW w:w="491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49"/>
        <w:gridCol w:w="3945"/>
        <w:gridCol w:w="2683"/>
      </w:tblGrid>
      <w:tr w14:paraId="323AC2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750" w:type="dxa"/>
            <w:vAlign w:val="center"/>
          </w:tcPr>
          <w:p w14:paraId="773FCAFC">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臭气强度分级</w:t>
            </w:r>
          </w:p>
        </w:tc>
        <w:tc>
          <w:tcPr>
            <w:tcW w:w="3945" w:type="dxa"/>
            <w:vAlign w:val="center"/>
          </w:tcPr>
          <w:p w14:paraId="6C98C7DF">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臭气感觉强度</w:t>
            </w:r>
          </w:p>
        </w:tc>
        <w:tc>
          <w:tcPr>
            <w:tcW w:w="2683" w:type="dxa"/>
            <w:vAlign w:val="center"/>
          </w:tcPr>
          <w:p w14:paraId="26E11800">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污染程度</w:t>
            </w:r>
          </w:p>
        </w:tc>
      </w:tr>
      <w:tr w14:paraId="6434FF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750" w:type="dxa"/>
            <w:vAlign w:val="center"/>
          </w:tcPr>
          <w:p w14:paraId="6AFE049B">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0</w:t>
            </w:r>
          </w:p>
        </w:tc>
        <w:tc>
          <w:tcPr>
            <w:tcW w:w="3945" w:type="dxa"/>
            <w:vAlign w:val="center"/>
          </w:tcPr>
          <w:p w14:paraId="4E9F2E06">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无气味</w:t>
            </w:r>
          </w:p>
        </w:tc>
        <w:tc>
          <w:tcPr>
            <w:tcW w:w="2683" w:type="dxa"/>
            <w:vAlign w:val="center"/>
          </w:tcPr>
          <w:p w14:paraId="580F6627">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无污染</w:t>
            </w:r>
          </w:p>
        </w:tc>
      </w:tr>
      <w:tr w14:paraId="1B73A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750" w:type="dxa"/>
            <w:vAlign w:val="center"/>
          </w:tcPr>
          <w:p w14:paraId="427D61D1">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1</w:t>
            </w:r>
          </w:p>
        </w:tc>
        <w:tc>
          <w:tcPr>
            <w:tcW w:w="3945" w:type="dxa"/>
            <w:vAlign w:val="center"/>
          </w:tcPr>
          <w:p w14:paraId="53A902EF">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轻微感觉到有气味</w:t>
            </w:r>
          </w:p>
        </w:tc>
        <w:tc>
          <w:tcPr>
            <w:tcW w:w="2683" w:type="dxa"/>
            <w:vAlign w:val="center"/>
          </w:tcPr>
          <w:p w14:paraId="6A46BA63">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轻度污染</w:t>
            </w:r>
          </w:p>
        </w:tc>
      </w:tr>
      <w:tr w14:paraId="76FFE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750" w:type="dxa"/>
            <w:vAlign w:val="center"/>
          </w:tcPr>
          <w:p w14:paraId="0E27DFE2">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2</w:t>
            </w:r>
          </w:p>
        </w:tc>
        <w:tc>
          <w:tcPr>
            <w:tcW w:w="3945" w:type="dxa"/>
            <w:vAlign w:val="center"/>
          </w:tcPr>
          <w:p w14:paraId="342DE9BA">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明显感到有气味</w:t>
            </w:r>
          </w:p>
        </w:tc>
        <w:tc>
          <w:tcPr>
            <w:tcW w:w="2683" w:type="dxa"/>
            <w:vAlign w:val="center"/>
          </w:tcPr>
          <w:p w14:paraId="4BF80A74">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中毒污染</w:t>
            </w:r>
          </w:p>
        </w:tc>
      </w:tr>
      <w:tr w14:paraId="45C83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750" w:type="dxa"/>
            <w:vAlign w:val="center"/>
          </w:tcPr>
          <w:p w14:paraId="4B98F53B">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3</w:t>
            </w:r>
          </w:p>
        </w:tc>
        <w:tc>
          <w:tcPr>
            <w:tcW w:w="3945" w:type="dxa"/>
            <w:vAlign w:val="center"/>
          </w:tcPr>
          <w:p w14:paraId="1F71D600">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感到有强烈气味</w:t>
            </w:r>
          </w:p>
        </w:tc>
        <w:tc>
          <w:tcPr>
            <w:tcW w:w="2683" w:type="dxa"/>
            <w:vAlign w:val="center"/>
          </w:tcPr>
          <w:p w14:paraId="69B74CF8">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重污染</w:t>
            </w:r>
          </w:p>
        </w:tc>
      </w:tr>
      <w:tr w14:paraId="36AEB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750" w:type="dxa"/>
            <w:vAlign w:val="center"/>
          </w:tcPr>
          <w:p w14:paraId="11C2D9FF">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4</w:t>
            </w:r>
          </w:p>
        </w:tc>
        <w:tc>
          <w:tcPr>
            <w:tcW w:w="3945" w:type="dxa"/>
            <w:vAlign w:val="center"/>
          </w:tcPr>
          <w:p w14:paraId="1CCCC97B">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无法忍受的强臭味</w:t>
            </w:r>
          </w:p>
        </w:tc>
        <w:tc>
          <w:tcPr>
            <w:tcW w:w="2683" w:type="dxa"/>
            <w:vAlign w:val="center"/>
          </w:tcPr>
          <w:p w14:paraId="4EE94A97">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严重污染</w:t>
            </w:r>
          </w:p>
        </w:tc>
      </w:tr>
    </w:tbl>
    <w:p w14:paraId="5544721C">
      <w:pPr>
        <w:bidi w:val="0"/>
        <w:spacing w:before="50" w:beforeLines="50" w:line="360" w:lineRule="auto"/>
        <w:jc w:val="center"/>
        <w:outlineLvl w:val="4"/>
        <w:rPr>
          <w:rFonts w:ascii="Times New Roman" w:hAnsi="Times New Roman" w:eastAsia="仿宋_GB2312" w:cs="Times New Roman"/>
          <w:b/>
          <w:kern w:val="2"/>
          <w:sz w:val="24"/>
          <w:szCs w:val="22"/>
          <w:highlight w:val="none"/>
          <w:lang w:val="en-US" w:eastAsia="zh-CN" w:bidi="ar-SA"/>
        </w:rPr>
      </w:pPr>
      <w:r>
        <w:rPr>
          <w:rFonts w:ascii="Times New Roman" w:hAnsi="Times New Roman" w:eastAsia="仿宋_GB2312" w:cs="Times New Roman"/>
          <w:b/>
          <w:kern w:val="2"/>
          <w:sz w:val="24"/>
          <w:szCs w:val="22"/>
          <w:highlight w:val="none"/>
          <w:lang w:val="en-US" w:eastAsia="zh-CN" w:bidi="ar-SA"/>
        </w:rPr>
        <w:t>表</w:t>
      </w:r>
      <w:r>
        <w:rPr>
          <w:rFonts w:hint="eastAsia" w:ascii="Times New Roman" w:hAnsi="Times New Roman" w:eastAsia="仿宋_GB2312" w:cs="Times New Roman"/>
          <w:b/>
          <w:kern w:val="2"/>
          <w:sz w:val="24"/>
          <w:szCs w:val="22"/>
          <w:highlight w:val="none"/>
          <w:lang w:val="en-US" w:eastAsia="zh-CN" w:bidi="ar-SA"/>
        </w:rPr>
        <w:t xml:space="preserve"> </w:t>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STYLEREF 3 \s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6.1.4</w:t>
      </w:r>
      <w:r>
        <w:rPr>
          <w:rFonts w:ascii="Times New Roman" w:hAnsi="Times New Roman" w:eastAsia="仿宋_GB2312" w:cs="Times New Roman"/>
          <w:b/>
          <w:kern w:val="2"/>
          <w:sz w:val="24"/>
          <w:szCs w:val="22"/>
          <w:highlight w:val="none"/>
          <w:lang w:val="en-US" w:eastAsia="zh-CN" w:bidi="ar-SA"/>
        </w:rPr>
        <w:fldChar w:fldCharType="end"/>
      </w:r>
      <w:r>
        <w:rPr>
          <w:rFonts w:ascii="Times New Roman" w:hAnsi="Times New Roman" w:eastAsia="仿宋_GB2312" w:cs="Times New Roman"/>
          <w:b/>
          <w:kern w:val="2"/>
          <w:sz w:val="24"/>
          <w:szCs w:val="22"/>
          <w:highlight w:val="none"/>
          <w:lang w:val="en-US" w:eastAsia="zh-CN" w:bidi="ar-SA"/>
        </w:rPr>
        <w:noBreakHyphen/>
      </w:r>
      <w:r>
        <w:rPr>
          <w:rFonts w:ascii="Times New Roman" w:hAnsi="Times New Roman" w:eastAsia="仿宋_GB2312" w:cs="Times New Roman"/>
          <w:b/>
          <w:kern w:val="2"/>
          <w:sz w:val="24"/>
          <w:szCs w:val="22"/>
          <w:highlight w:val="none"/>
          <w:lang w:val="en-US" w:eastAsia="zh-CN" w:bidi="ar-SA"/>
        </w:rPr>
        <w:fldChar w:fldCharType="begin"/>
      </w:r>
      <w:r>
        <w:rPr>
          <w:rFonts w:ascii="Times New Roman" w:hAnsi="Times New Roman" w:eastAsia="仿宋_GB2312" w:cs="Times New Roman"/>
          <w:b/>
          <w:kern w:val="2"/>
          <w:sz w:val="24"/>
          <w:szCs w:val="22"/>
          <w:highlight w:val="none"/>
          <w:lang w:val="en-US" w:eastAsia="zh-CN" w:bidi="ar-SA"/>
        </w:rPr>
        <w:instrText xml:space="preserve"> SEQ 表 \* ARABIC \s 3 </w:instrText>
      </w:r>
      <w:r>
        <w:rPr>
          <w:rFonts w:ascii="Times New Roman" w:hAnsi="Times New Roman" w:eastAsia="仿宋_GB2312" w:cs="Times New Roman"/>
          <w:b/>
          <w:kern w:val="2"/>
          <w:sz w:val="24"/>
          <w:szCs w:val="22"/>
          <w:highlight w:val="none"/>
          <w:lang w:val="en-US" w:eastAsia="zh-CN" w:bidi="ar-SA"/>
        </w:rPr>
        <w:fldChar w:fldCharType="separate"/>
      </w:r>
      <w:r>
        <w:rPr>
          <w:rFonts w:ascii="Times New Roman" w:hAnsi="Times New Roman" w:eastAsia="仿宋_GB2312" w:cs="Times New Roman"/>
          <w:b/>
          <w:kern w:val="2"/>
          <w:sz w:val="24"/>
          <w:szCs w:val="22"/>
          <w:highlight w:val="none"/>
          <w:lang w:val="en-US" w:eastAsia="zh-CN" w:bidi="ar-SA"/>
        </w:rPr>
        <w:t>4</w:t>
      </w:r>
      <w:r>
        <w:rPr>
          <w:rFonts w:ascii="Times New Roman" w:hAnsi="Times New Roman" w:eastAsia="仿宋_GB2312" w:cs="Times New Roman"/>
          <w:b/>
          <w:kern w:val="2"/>
          <w:sz w:val="24"/>
          <w:szCs w:val="22"/>
          <w:highlight w:val="none"/>
          <w:lang w:val="en-US" w:eastAsia="zh-CN" w:bidi="ar-SA"/>
        </w:rPr>
        <w:fldChar w:fldCharType="end"/>
      </w:r>
      <w:r>
        <w:rPr>
          <w:rFonts w:hint="eastAsia" w:ascii="Times New Roman" w:hAnsi="Times New Roman" w:eastAsia="仿宋_GB2312" w:cs="Times New Roman"/>
          <w:b/>
          <w:kern w:val="2"/>
          <w:sz w:val="24"/>
          <w:szCs w:val="22"/>
          <w:highlight w:val="none"/>
          <w:lang w:val="en-US" w:eastAsia="zh-CN" w:bidi="ar-SA"/>
        </w:rPr>
        <w:t xml:space="preserve">  恶臭影响范围及程度</w:t>
      </w:r>
    </w:p>
    <w:tbl>
      <w:tblPr>
        <w:tblStyle w:val="5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3099"/>
        <w:gridCol w:w="2108"/>
        <w:gridCol w:w="1940"/>
      </w:tblGrid>
      <w:tr w14:paraId="64BF36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75" w:type="dxa"/>
            <w:vAlign w:val="center"/>
          </w:tcPr>
          <w:p w14:paraId="68317A93">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范围（米）</w:t>
            </w:r>
          </w:p>
        </w:tc>
        <w:tc>
          <w:tcPr>
            <w:tcW w:w="3099" w:type="dxa"/>
            <w:vAlign w:val="center"/>
          </w:tcPr>
          <w:p w14:paraId="0249A30A">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0~15</w:t>
            </w:r>
          </w:p>
        </w:tc>
        <w:tc>
          <w:tcPr>
            <w:tcW w:w="2108" w:type="dxa"/>
            <w:vAlign w:val="center"/>
          </w:tcPr>
          <w:p w14:paraId="3E88F7DA">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15~30</w:t>
            </w:r>
          </w:p>
        </w:tc>
        <w:tc>
          <w:tcPr>
            <w:tcW w:w="1940" w:type="dxa"/>
            <w:vAlign w:val="center"/>
          </w:tcPr>
          <w:p w14:paraId="264EC63F">
            <w:pPr>
              <w:bidi w:val="0"/>
              <w:jc w:val="center"/>
              <w:rPr>
                <w:rFonts w:ascii="Times New Roman" w:hAnsi="Times New Roman" w:eastAsia="仿宋_GB2312" w:cs="Times New Roman"/>
                <w:b/>
                <w:kern w:val="2"/>
                <w:sz w:val="21"/>
                <w:szCs w:val="22"/>
                <w:highlight w:val="none"/>
                <w:lang w:val="en-US" w:eastAsia="zh-CN" w:bidi="ar-SA"/>
              </w:rPr>
            </w:pPr>
            <w:r>
              <w:rPr>
                <w:rFonts w:hint="eastAsia" w:ascii="Times New Roman" w:hAnsi="Times New Roman" w:eastAsia="仿宋_GB2312" w:cs="Times New Roman"/>
                <w:b/>
                <w:kern w:val="2"/>
                <w:sz w:val="21"/>
                <w:szCs w:val="22"/>
                <w:highlight w:val="none"/>
                <w:lang w:val="en-US" w:eastAsia="zh-CN" w:bidi="ar-SA"/>
              </w:rPr>
              <w:t>30~100</w:t>
            </w:r>
          </w:p>
        </w:tc>
      </w:tr>
      <w:tr w14:paraId="66F98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75" w:type="dxa"/>
            <w:vAlign w:val="center"/>
          </w:tcPr>
          <w:p w14:paraId="040CE2B0">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强度</w:t>
            </w:r>
          </w:p>
        </w:tc>
        <w:tc>
          <w:tcPr>
            <w:tcW w:w="3099" w:type="dxa"/>
            <w:vAlign w:val="center"/>
          </w:tcPr>
          <w:p w14:paraId="0BF69CB0">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1</w:t>
            </w:r>
          </w:p>
        </w:tc>
        <w:tc>
          <w:tcPr>
            <w:tcW w:w="2108" w:type="dxa"/>
            <w:vAlign w:val="center"/>
          </w:tcPr>
          <w:p w14:paraId="1A0A9C16">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0</w:t>
            </w:r>
          </w:p>
        </w:tc>
        <w:tc>
          <w:tcPr>
            <w:tcW w:w="1940" w:type="dxa"/>
            <w:vAlign w:val="center"/>
          </w:tcPr>
          <w:p w14:paraId="1A2F4363">
            <w:pPr>
              <w:bidi w:val="0"/>
              <w:jc w:val="center"/>
              <w:rPr>
                <w:rFonts w:ascii="Times New Roman" w:hAnsi="Times New Roman" w:eastAsia="仿宋_GB2312" w:cs="Times New Roman"/>
                <w:kern w:val="2"/>
                <w:sz w:val="21"/>
                <w:szCs w:val="22"/>
                <w:highlight w:val="none"/>
                <w:lang w:val="en-US" w:eastAsia="zh-CN" w:bidi="ar-SA"/>
              </w:rPr>
            </w:pPr>
            <w:r>
              <w:rPr>
                <w:rFonts w:hint="eastAsia" w:ascii="Times New Roman" w:hAnsi="Times New Roman" w:eastAsia="仿宋_GB2312" w:cs="Times New Roman"/>
                <w:kern w:val="2"/>
                <w:sz w:val="21"/>
                <w:szCs w:val="22"/>
                <w:highlight w:val="none"/>
                <w:lang w:val="en-US" w:eastAsia="zh-CN" w:bidi="ar-SA"/>
              </w:rPr>
              <w:t>0</w:t>
            </w:r>
          </w:p>
        </w:tc>
      </w:tr>
    </w:tbl>
    <w:p w14:paraId="5622ED7D">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恶臭随距离的增加影响减小，当距离大于15米时对环境的影响可基本消除。为使恶臭对周围环境影响减至最低，建议对厂区建筑物进行合理布局，使厂界和周围保护目标恶臭影响降至最低。</w:t>
      </w:r>
    </w:p>
    <w:p w14:paraId="7E8898A2">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同时，根据影响预测结果，氨、硫化氢等异味污染物正常排放情况下对周围环境影响无明显影响，大气环境影响程度较小，但仍应加强污染控制管理，减少不正常排放情况的发生，异味污染是可以得到控制的。</w:t>
      </w:r>
    </w:p>
    <w:p w14:paraId="5889AAE5">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针对异味气体，本项目采取的主要措施有：</w:t>
      </w:r>
    </w:p>
    <w:p w14:paraId="6E0748E4">
      <w:pPr>
        <w:widowControl/>
        <w:numPr>
          <w:ilvl w:val="0"/>
          <w:numId w:val="9"/>
        </w:numPr>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对设备、阀门经常检查、检修，保持装置气密性良好；</w:t>
      </w:r>
    </w:p>
    <w:p w14:paraId="3BE622DA">
      <w:pPr>
        <w:widowControl/>
        <w:numPr>
          <w:ilvl w:val="0"/>
          <w:numId w:val="9"/>
        </w:numPr>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加强管理，所有操作严格按照既定的规程进行；</w:t>
      </w:r>
    </w:p>
    <w:p w14:paraId="0F9542AB">
      <w:pPr>
        <w:widowControl/>
        <w:numPr>
          <w:ilvl w:val="0"/>
          <w:numId w:val="9"/>
        </w:numPr>
        <w:adjustRightInd w:val="0"/>
        <w:snapToGrid w:val="0"/>
        <w:ind w:firstLine="560" w:firstLineChars="200"/>
        <w:rPr>
          <w:rFonts w:ascii="Times New Roman" w:hAnsi="Times New Roman" w:cs="Times New Roman"/>
          <w:highlight w:val="none"/>
        </w:rPr>
      </w:pPr>
      <w:r>
        <w:rPr>
          <w:rFonts w:hint="eastAsia" w:ascii="Times New Roman" w:hAnsi="Times New Roman" w:cs="Times New Roman"/>
          <w:highlight w:val="none"/>
        </w:rPr>
        <w:t>项目建成后，切实加强管理，加强全过程控制，建立健全岗位责任制和监督机制；针对无组织排放的废气，公司通过加强车间通风，确保空气的循环效率；同时，加强废水处理设施的废气收集效果，保障收集系统的密闭性，从而使空气环境达到标准要求，确保企业周围无明显异味。</w:t>
      </w:r>
    </w:p>
    <w:p w14:paraId="4213FB32">
      <w:pPr>
        <w:widowControl/>
        <w:adjustRightInd w:val="0"/>
        <w:snapToGrid w:val="0"/>
        <w:ind w:firstLine="560" w:firstLineChars="200"/>
        <w:rPr>
          <w:rFonts w:ascii="Times New Roman" w:hAnsi="Times New Roman" w:cs="Times New Roman"/>
          <w:highlight w:val="none"/>
        </w:rPr>
      </w:pPr>
      <w:r>
        <w:rPr>
          <w:rFonts w:hint="eastAsia" w:ascii="Times New Roman" w:hAnsi="Times New Roman" w:cs="Times New Roman"/>
          <w:kern w:val="0"/>
          <w:szCs w:val="28"/>
          <w:highlight w:val="none"/>
        </w:rPr>
        <w:t>综上</w:t>
      </w:r>
      <w:r>
        <w:rPr>
          <w:rFonts w:ascii="Times New Roman" w:hAnsi="Times New Roman" w:cs="Times New Roman"/>
          <w:kern w:val="0"/>
          <w:szCs w:val="28"/>
          <w:highlight w:val="none"/>
        </w:rPr>
        <w:t>，本项目对周边环境的异味影响较小。</w:t>
      </w:r>
    </w:p>
    <w:p w14:paraId="79B0099E">
      <w:pPr>
        <w:pStyle w:val="4"/>
        <w:bidi w:val="0"/>
        <w:rPr>
          <w:lang w:val="en-US" w:eastAsia="zh-CN"/>
        </w:rPr>
      </w:pPr>
      <w:bookmarkStart w:id="266" w:name="_Toc15872"/>
      <w:r>
        <w:rPr>
          <w:lang w:val="en-US" w:eastAsia="zh-CN"/>
        </w:rPr>
        <w:t>大气环境影响评价结论与建议</w:t>
      </w:r>
      <w:bookmarkEnd w:id="266"/>
    </w:p>
    <w:p w14:paraId="4074B498">
      <w:pPr>
        <w:rPr>
          <w:rFonts w:hint="eastAsia"/>
          <w:color w:val="auto"/>
        </w:rPr>
      </w:pPr>
      <w:r>
        <w:rPr>
          <w:rFonts w:hint="eastAsia"/>
          <w:color w:val="auto"/>
        </w:rPr>
        <w:t>1、项目选址及总图布置的合理性和可行性</w:t>
      </w:r>
    </w:p>
    <w:p w14:paraId="1554415F">
      <w:pPr>
        <w:rPr>
          <w:rFonts w:hint="eastAsia"/>
          <w:color w:val="auto"/>
        </w:rPr>
      </w:pPr>
      <w:r>
        <w:rPr>
          <w:rFonts w:hint="eastAsia"/>
          <w:color w:val="auto"/>
        </w:rPr>
        <w:t>根据估算模式计算结果，项目产生的废气对敏感点影响较小，评价项目选址及总图布置基本合理且可行。</w:t>
      </w:r>
    </w:p>
    <w:p w14:paraId="2D9715C2">
      <w:pPr>
        <w:rPr>
          <w:rFonts w:hint="eastAsia"/>
          <w:color w:val="auto"/>
        </w:rPr>
      </w:pPr>
      <w:r>
        <w:rPr>
          <w:rFonts w:hint="eastAsia"/>
          <w:color w:val="auto"/>
        </w:rPr>
        <w:t>2、污染源的排放强度与排放方式</w:t>
      </w:r>
    </w:p>
    <w:p w14:paraId="20FA8383">
      <w:pPr>
        <w:rPr>
          <w:rFonts w:hint="eastAsia"/>
          <w:color w:val="auto"/>
        </w:rPr>
      </w:pPr>
      <w:r>
        <w:rPr>
          <w:rFonts w:hint="eastAsia"/>
          <w:color w:val="auto"/>
        </w:rPr>
        <w:t>本项目排放的各大气污染物最大落地浓度均小于相应空气质量标准要求，影响较小。</w:t>
      </w:r>
    </w:p>
    <w:p w14:paraId="7A9FC0E3">
      <w:pPr>
        <w:rPr>
          <w:rFonts w:hint="eastAsia"/>
          <w:color w:val="auto"/>
        </w:rPr>
      </w:pPr>
      <w:r>
        <w:rPr>
          <w:rFonts w:hint="eastAsia"/>
          <w:color w:val="auto"/>
        </w:rPr>
        <w:t>3、大气污染控制措施</w:t>
      </w:r>
    </w:p>
    <w:p w14:paraId="36F792C8">
      <w:pPr>
        <w:rPr>
          <w:rFonts w:hint="eastAsia"/>
          <w:color w:val="auto"/>
        </w:rPr>
      </w:pPr>
      <w:r>
        <w:rPr>
          <w:rFonts w:hint="eastAsia"/>
          <w:color w:val="auto"/>
        </w:rPr>
        <w:t>本项目的大气污染控制措施均能保证污染源的排放符合排放标准的相关规定，同时最终环境影响也符合环境功能区划分要求，本项目各污染物排放浓度和排放速率均满足国家相应排放标准要求，对敏感点影响较小，治理控制措施可行。</w:t>
      </w:r>
    </w:p>
    <w:p w14:paraId="12AE16E4">
      <w:pPr>
        <w:rPr>
          <w:rFonts w:hint="eastAsia"/>
          <w:color w:val="auto"/>
        </w:rPr>
      </w:pPr>
      <w:r>
        <w:rPr>
          <w:rFonts w:hint="eastAsia"/>
          <w:color w:val="auto"/>
        </w:rPr>
        <w:t>4、大气环境防护距离的设置</w:t>
      </w:r>
    </w:p>
    <w:p w14:paraId="69671522">
      <w:pPr>
        <w:rPr>
          <w:rFonts w:hint="eastAsia"/>
          <w:color w:val="auto"/>
        </w:rPr>
      </w:pPr>
      <w:r>
        <w:rPr>
          <w:rFonts w:hint="eastAsia"/>
          <w:color w:val="auto"/>
        </w:rPr>
        <w:t>本项目无须设置大气环境防护距离。</w:t>
      </w:r>
    </w:p>
    <w:p w14:paraId="3FBD8F37">
      <w:pPr>
        <w:rPr>
          <w:rFonts w:hint="eastAsia"/>
          <w:color w:val="auto"/>
        </w:rPr>
      </w:pPr>
      <w:r>
        <w:rPr>
          <w:rFonts w:hint="eastAsia"/>
          <w:color w:val="auto"/>
        </w:rPr>
        <w:t>5、卫生防护距离的设置</w:t>
      </w:r>
    </w:p>
    <w:p w14:paraId="3AF302CC">
      <w:pPr>
        <w:rPr>
          <w:rFonts w:hint="eastAsia"/>
          <w:color w:val="auto"/>
        </w:rPr>
      </w:pPr>
      <w:r>
        <w:rPr>
          <w:rFonts w:hint="eastAsia"/>
          <w:color w:val="auto"/>
        </w:rPr>
        <w:t>经预测，本项目无需设置大气环境防护距离，建成后应以</w:t>
      </w:r>
      <w:r>
        <w:rPr>
          <w:rFonts w:hint="eastAsia"/>
          <w:color w:val="auto"/>
          <w:lang w:val="en-US" w:eastAsia="zh-CN"/>
        </w:rPr>
        <w:t>4#车间</w:t>
      </w:r>
      <w:r>
        <w:rPr>
          <w:rFonts w:hint="eastAsia"/>
          <w:color w:val="auto"/>
        </w:rPr>
        <w:t>向外设置</w:t>
      </w:r>
      <w:r>
        <w:rPr>
          <w:rFonts w:hint="eastAsia"/>
          <w:color w:val="auto"/>
          <w:lang w:val="en-US" w:eastAsia="zh-CN"/>
        </w:rPr>
        <w:t>1</w:t>
      </w:r>
      <w:r>
        <w:rPr>
          <w:rFonts w:hint="eastAsia"/>
          <w:color w:val="auto"/>
        </w:rPr>
        <w:t>00米卫生防护距离，卫生防护距离范围内无居民、医院、学校等环境敏感目标，满足卫生防护距离设置的要求。</w:t>
      </w:r>
    </w:p>
    <w:p w14:paraId="35CF35F7">
      <w:pPr>
        <w:rPr>
          <w:rFonts w:hint="eastAsia"/>
          <w:color w:val="auto"/>
        </w:rPr>
      </w:pPr>
      <w:r>
        <w:rPr>
          <w:rFonts w:hint="eastAsia"/>
          <w:color w:val="auto"/>
        </w:rPr>
        <w:t>6、大气环境影响评价结论</w:t>
      </w:r>
    </w:p>
    <w:p w14:paraId="70039430">
      <w:pPr>
        <w:rPr>
          <w:rFonts w:hint="eastAsia"/>
          <w:color w:val="auto"/>
        </w:rPr>
      </w:pPr>
      <w:r>
        <w:rPr>
          <w:rFonts w:hint="eastAsia"/>
          <w:color w:val="auto"/>
        </w:rPr>
        <w:t>综上所述，项目选址及总图布置的基本合理，本项目各污染物排放浓度和排放速率均满足国家相应排放标准要求，治理控制措施可行，污染物排放总量能适应环境功能级别，可维持环境质量现状。</w:t>
      </w:r>
    </w:p>
    <w:p w14:paraId="0180DCE3">
      <w:pPr>
        <w:pStyle w:val="26"/>
        <w:bidi w:val="0"/>
        <w:rPr>
          <w:color w:val="auto"/>
        </w:rPr>
      </w:pPr>
    </w:p>
    <w:p w14:paraId="1FB6747B">
      <w:pPr>
        <w:pStyle w:val="3"/>
        <w:rPr>
          <w:color w:val="auto"/>
        </w:rPr>
      </w:pPr>
      <w:bookmarkStart w:id="267" w:name="_Toc12578"/>
      <w:bookmarkStart w:id="268" w:name="_Toc19795"/>
      <w:r>
        <w:rPr>
          <w:rFonts w:hint="eastAsia"/>
          <w:color w:val="auto"/>
        </w:rPr>
        <w:t>地表水环境影响分析</w:t>
      </w:r>
      <w:bookmarkEnd w:id="267"/>
      <w:bookmarkEnd w:id="268"/>
    </w:p>
    <w:p w14:paraId="3311AEB7">
      <w:pPr>
        <w:rPr>
          <w:rFonts w:hint="eastAsia"/>
          <w:color w:val="auto"/>
        </w:rPr>
      </w:pPr>
      <w:r>
        <w:rPr>
          <w:rFonts w:hint="eastAsia"/>
          <w:color w:val="auto"/>
        </w:rPr>
        <w:t>根据《环境影响评价技术导则地表水环境》（HJ2.3-2018）中“5.4.2章节”内容，三级B评价，可以不考虑评价时期，即不区分丰水期、平水期和枯水期；可不开展区域污染源调查；可不进行水环境影响预测。</w:t>
      </w:r>
    </w:p>
    <w:p w14:paraId="34E1687D">
      <w:pPr>
        <w:rPr>
          <w:rFonts w:hint="eastAsia"/>
          <w:color w:val="auto"/>
        </w:rPr>
      </w:pPr>
      <w:r>
        <w:rPr>
          <w:rFonts w:hint="eastAsia"/>
          <w:color w:val="auto"/>
        </w:rPr>
        <w:t>本项目水环境影响评价直接利用污水处理厂环境影响报告</w:t>
      </w:r>
      <w:r>
        <w:rPr>
          <w:rFonts w:hint="eastAsia"/>
          <w:color w:val="auto"/>
          <w:lang w:val="en-US" w:eastAsia="zh-CN"/>
        </w:rPr>
        <w:t>表</w:t>
      </w:r>
      <w:r>
        <w:rPr>
          <w:rFonts w:hint="eastAsia"/>
          <w:color w:val="auto"/>
        </w:rPr>
        <w:t>有关水环境影响评价结论</w:t>
      </w:r>
      <w:r>
        <w:rPr>
          <w:rFonts w:hint="eastAsia"/>
          <w:color w:val="auto"/>
          <w:lang w:eastAsia="zh-CN"/>
        </w:rPr>
        <w:t>：</w:t>
      </w:r>
      <w:r>
        <w:rPr>
          <w:rFonts w:hint="eastAsia"/>
          <w:color w:val="auto"/>
        </w:rPr>
        <w:t>污水处理厂达标处理后，对水环境影响小</w:t>
      </w:r>
      <w:r>
        <w:rPr>
          <w:rFonts w:hint="eastAsia"/>
          <w:color w:val="auto"/>
          <w:lang w:eastAsia="zh-CN"/>
        </w:rPr>
        <w:t>，不会降低区域水环境功能。</w:t>
      </w:r>
    </w:p>
    <w:p w14:paraId="21D15F30">
      <w:pPr>
        <w:pStyle w:val="26"/>
        <w:bidi w:val="0"/>
        <w:rPr>
          <w:color w:val="auto"/>
        </w:rPr>
      </w:pPr>
    </w:p>
    <w:p w14:paraId="3C678BF1">
      <w:pPr>
        <w:pStyle w:val="3"/>
        <w:rPr>
          <w:color w:val="auto"/>
        </w:rPr>
      </w:pPr>
      <w:bookmarkStart w:id="269" w:name="_Toc17316"/>
      <w:bookmarkStart w:id="270" w:name="_Toc18790"/>
      <w:r>
        <w:rPr>
          <w:rFonts w:hint="eastAsia"/>
          <w:color w:val="auto"/>
        </w:rPr>
        <w:t>声影响分析</w:t>
      </w:r>
      <w:bookmarkEnd w:id="269"/>
      <w:bookmarkEnd w:id="270"/>
    </w:p>
    <w:p w14:paraId="6B707D48">
      <w:pPr>
        <w:rPr>
          <w:color w:val="auto"/>
        </w:rPr>
      </w:pPr>
      <w:r>
        <w:rPr>
          <w:rFonts w:hint="eastAsia"/>
          <w:color w:val="auto"/>
        </w:rPr>
        <w:t>根据《环境影响评价技术导则声环境》（HJ2.4-2021），本项目所在地为《声环境质量标准》（GB3096-2008）规定的3类地区；根据预测结果，项目建设前后周边敏感目标噪声级增加不明显（3dB(A)以下），且受影响人口数量变化不大。因此，确定本项目声环境影响评价工作等级为三级。通过对建设项目营运期间各噪声源对环境影响的预测，评价建设项目声源对周围声环境</w:t>
      </w:r>
      <w:r>
        <w:rPr>
          <w:rFonts w:hint="eastAsia"/>
          <w:color w:val="auto"/>
          <w:lang w:eastAsia="zh-CN"/>
        </w:rPr>
        <w:t>的</w:t>
      </w:r>
      <w:r>
        <w:rPr>
          <w:rFonts w:hint="eastAsia"/>
          <w:color w:val="auto"/>
        </w:rPr>
        <w:t>影响程度和范围，为提出预防措施提供依据。</w:t>
      </w:r>
    </w:p>
    <w:p w14:paraId="5583201A">
      <w:pPr>
        <w:pStyle w:val="4"/>
        <w:rPr>
          <w:color w:val="auto"/>
        </w:rPr>
      </w:pPr>
      <w:bookmarkStart w:id="271" w:name="_Toc21018"/>
      <w:bookmarkStart w:id="272" w:name="_Toc24567"/>
      <w:r>
        <w:rPr>
          <w:rFonts w:hint="eastAsia"/>
          <w:color w:val="auto"/>
        </w:rPr>
        <w:t>本项目噪声源</w:t>
      </w:r>
      <w:bookmarkEnd w:id="271"/>
      <w:bookmarkEnd w:id="272"/>
    </w:p>
    <w:p w14:paraId="2273637C">
      <w:pPr>
        <w:rPr>
          <w:color w:val="auto"/>
        </w:rPr>
      </w:pPr>
      <w:r>
        <w:rPr>
          <w:rFonts w:hint="eastAsia"/>
          <w:color w:val="auto"/>
        </w:rPr>
        <w:t>本项目涉及的主要噪声源强见</w:t>
      </w:r>
      <w:r>
        <w:rPr>
          <w:rFonts w:hint="eastAsia"/>
          <w:color w:val="auto"/>
          <w:lang w:eastAsia="zh-CN"/>
        </w:rPr>
        <w:fldChar w:fldCharType="begin"/>
      </w:r>
      <w:r>
        <w:rPr>
          <w:rFonts w:hint="eastAsia"/>
          <w:color w:val="auto"/>
          <w:lang w:eastAsia="zh-CN"/>
        </w:rPr>
        <w:instrText xml:space="preserve"> REF _Ref161826553 \h </w:instrText>
      </w:r>
      <w:r>
        <w:rPr>
          <w:rFonts w:hint="eastAsia"/>
          <w:color w:val="auto"/>
          <w:lang w:eastAsia="zh-CN"/>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4.4</w:t>
      </w:r>
      <w:r>
        <w:rPr>
          <w:color w:val="auto"/>
        </w:rPr>
        <w:fldChar w:fldCharType="end"/>
      </w:r>
      <w:r>
        <w:rPr>
          <w:color w:val="auto"/>
        </w:rPr>
        <w:noBreakHyphen/>
      </w:r>
      <w:r>
        <w:rPr>
          <w:color w:val="auto"/>
        </w:rPr>
        <w:t>15</w:t>
      </w:r>
      <w:r>
        <w:rPr>
          <w:rFonts w:hint="eastAsia"/>
          <w:color w:val="auto"/>
          <w:lang w:eastAsia="zh-CN"/>
        </w:rPr>
        <w:fldChar w:fldCharType="end"/>
      </w:r>
      <w:r>
        <w:rPr>
          <w:rFonts w:hint="eastAsia"/>
          <w:color w:val="auto"/>
        </w:rPr>
        <w:t>和</w:t>
      </w:r>
      <w:r>
        <w:rPr>
          <w:rFonts w:hint="eastAsia"/>
          <w:color w:val="auto"/>
          <w:lang w:eastAsia="zh-CN"/>
        </w:rPr>
        <w:fldChar w:fldCharType="begin"/>
      </w:r>
      <w:r>
        <w:rPr>
          <w:rFonts w:hint="eastAsia"/>
          <w:color w:val="auto"/>
          <w:lang w:eastAsia="zh-CN"/>
        </w:rPr>
        <w:instrText xml:space="preserve"> REF _Ref161826560 \h </w:instrText>
      </w:r>
      <w:r>
        <w:rPr>
          <w:rFonts w:hint="eastAsia"/>
          <w:color w:val="auto"/>
          <w:lang w:eastAsia="zh-CN"/>
        </w:rPr>
        <w:fldChar w:fldCharType="separate"/>
      </w:r>
      <w:r>
        <w:rPr>
          <w:color w:val="auto"/>
        </w:rPr>
        <w:t>表</w:t>
      </w:r>
      <w:r>
        <w:rPr>
          <w:color w:val="auto"/>
        </w:rPr>
        <w:fldChar w:fldCharType="begin"/>
      </w:r>
      <w:r>
        <w:rPr>
          <w:color w:val="auto"/>
        </w:rPr>
        <w:instrText xml:space="preserve"> STYLEREF 2 \s </w:instrText>
      </w:r>
      <w:r>
        <w:rPr>
          <w:color w:val="auto"/>
        </w:rPr>
        <w:fldChar w:fldCharType="separate"/>
      </w:r>
      <w:r>
        <w:rPr>
          <w:color w:val="auto"/>
        </w:rPr>
        <w:t>4.4</w:t>
      </w:r>
      <w:r>
        <w:rPr>
          <w:color w:val="auto"/>
        </w:rPr>
        <w:fldChar w:fldCharType="end"/>
      </w:r>
      <w:r>
        <w:rPr>
          <w:color w:val="auto"/>
        </w:rPr>
        <w:noBreakHyphen/>
      </w:r>
      <w:r>
        <w:rPr>
          <w:color w:val="auto"/>
        </w:rPr>
        <w:t>16</w:t>
      </w:r>
      <w:r>
        <w:rPr>
          <w:rFonts w:hint="eastAsia"/>
          <w:color w:val="auto"/>
          <w:lang w:eastAsia="zh-CN"/>
        </w:rPr>
        <w:fldChar w:fldCharType="end"/>
      </w:r>
      <w:r>
        <w:rPr>
          <w:rFonts w:hint="eastAsia"/>
          <w:color w:val="auto"/>
        </w:rPr>
        <w:t>。</w:t>
      </w:r>
    </w:p>
    <w:p w14:paraId="3FBC3DF3">
      <w:pPr>
        <w:pStyle w:val="4"/>
        <w:rPr>
          <w:color w:val="auto"/>
        </w:rPr>
      </w:pPr>
      <w:bookmarkStart w:id="273" w:name="_Toc12918"/>
      <w:bookmarkStart w:id="274" w:name="_Toc8476"/>
      <w:r>
        <w:rPr>
          <w:rFonts w:hint="eastAsia"/>
          <w:color w:val="auto"/>
        </w:rPr>
        <w:t>预测模式</w:t>
      </w:r>
      <w:bookmarkEnd w:id="273"/>
      <w:bookmarkEnd w:id="274"/>
    </w:p>
    <w:p w14:paraId="25513599">
      <w:pPr>
        <w:rPr>
          <w:rFonts w:hint="eastAsia"/>
          <w:color w:val="auto"/>
        </w:rPr>
      </w:pPr>
      <w:r>
        <w:rPr>
          <w:rFonts w:hint="eastAsia"/>
          <w:color w:val="auto"/>
        </w:rPr>
        <w:t>根据工程分析提供的噪声源参数，采用点声源等距离衰减预测模型，参照气象条件修正值进行计算，并考虑多声源叠加。噪声预测模型及方法使用《环境影响评价技术导则声环境》（HJ2.4-2021）提供的方法。</w:t>
      </w:r>
    </w:p>
    <w:p w14:paraId="66A7EAB6">
      <w:pPr>
        <w:rPr>
          <w:rFonts w:hint="eastAsia"/>
          <w:color w:val="auto"/>
        </w:rPr>
      </w:pPr>
      <w:r>
        <w:rPr>
          <w:rFonts w:hint="eastAsia"/>
          <w:color w:val="auto"/>
        </w:rPr>
        <w:t>（1）项目声源在预测点产生的等效声级贡献值（Leqg）</w:t>
      </w:r>
    </w:p>
    <w:p w14:paraId="3A31F15A">
      <w:pPr>
        <w:pStyle w:val="26"/>
        <w:bidi w:val="0"/>
        <w:rPr>
          <w:rFonts w:hint="eastAsia"/>
          <w:color w:val="auto"/>
        </w:rPr>
      </w:pPr>
      <w:r>
        <w:rPr>
          <w:rFonts w:hint="eastAsia"/>
          <w:color w:val="auto"/>
        </w:rPr>
        <w:drawing>
          <wp:inline distT="0" distB="0" distL="0" distR="0">
            <wp:extent cx="2658110" cy="461645"/>
            <wp:effectExtent l="0" t="0" r="0" b="15240"/>
            <wp:docPr id="851072267" name="图片 85107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72267" name="图片 85107226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658110" cy="461645"/>
                    </a:xfrm>
                    <a:prstGeom prst="rect">
                      <a:avLst/>
                    </a:prstGeom>
                    <a:noFill/>
                    <a:ln>
                      <a:noFill/>
                    </a:ln>
                  </pic:spPr>
                </pic:pic>
              </a:graphicData>
            </a:graphic>
          </wp:inline>
        </w:drawing>
      </w:r>
    </w:p>
    <w:p w14:paraId="057A1BBB">
      <w:pPr>
        <w:rPr>
          <w:rFonts w:hint="eastAsia"/>
          <w:color w:val="auto"/>
        </w:rPr>
      </w:pPr>
      <w:r>
        <w:rPr>
          <w:rFonts w:hint="eastAsia"/>
          <w:color w:val="auto"/>
        </w:rPr>
        <w:t>式中：Leqg——项目声源在预测点的等效声级贡献值，dB(A)；</w:t>
      </w:r>
    </w:p>
    <w:p w14:paraId="1F6570CD">
      <w:pPr>
        <w:rPr>
          <w:rFonts w:hint="eastAsia"/>
          <w:color w:val="auto"/>
        </w:rPr>
      </w:pPr>
      <w:r>
        <w:rPr>
          <w:rFonts w:hint="eastAsia"/>
          <w:color w:val="auto"/>
        </w:rPr>
        <w:t>LAi——声源在预测点产生的A声级，dB(A)；</w:t>
      </w:r>
    </w:p>
    <w:p w14:paraId="5E19D128">
      <w:pPr>
        <w:rPr>
          <w:rFonts w:hint="eastAsia"/>
          <w:color w:val="auto"/>
        </w:rPr>
      </w:pPr>
      <w:r>
        <w:rPr>
          <w:rFonts w:hint="eastAsia"/>
          <w:color w:val="auto"/>
        </w:rPr>
        <w:t>T——预测计算的时间段，s；</w:t>
      </w:r>
    </w:p>
    <w:p w14:paraId="2310799C">
      <w:pPr>
        <w:rPr>
          <w:rFonts w:hint="eastAsia"/>
          <w:color w:val="auto"/>
        </w:rPr>
      </w:pPr>
      <w:r>
        <w:rPr>
          <w:rFonts w:hint="eastAsia"/>
          <w:color w:val="auto"/>
        </w:rPr>
        <w:t>ti——i声源在T时段内的运行时间，s。</w:t>
      </w:r>
    </w:p>
    <w:p w14:paraId="57D9FB2E">
      <w:pPr>
        <w:rPr>
          <w:rFonts w:hint="eastAsia"/>
          <w:color w:val="auto"/>
        </w:rPr>
      </w:pPr>
      <w:r>
        <w:rPr>
          <w:rFonts w:hint="eastAsia"/>
          <w:color w:val="auto"/>
        </w:rPr>
        <w:t>（2）预测点的预测等效声级(Leq)</w:t>
      </w:r>
    </w:p>
    <w:p w14:paraId="04E05F1A">
      <w:pPr>
        <w:pStyle w:val="26"/>
        <w:bidi w:val="0"/>
        <w:rPr>
          <w:rFonts w:hint="eastAsia"/>
          <w:color w:val="auto"/>
        </w:rPr>
      </w:pPr>
      <w:r>
        <w:rPr>
          <w:rFonts w:hint="eastAsia"/>
          <w:color w:val="auto"/>
        </w:rPr>
        <w:drawing>
          <wp:inline distT="0" distB="0" distL="0" distR="0">
            <wp:extent cx="2252980" cy="311150"/>
            <wp:effectExtent l="0" t="0" r="13970" b="12700"/>
            <wp:docPr id="835752618" name="图片 83575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52618" name="图片 8357526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252980" cy="311150"/>
                    </a:xfrm>
                    <a:prstGeom prst="rect">
                      <a:avLst/>
                    </a:prstGeom>
                    <a:noFill/>
                    <a:ln>
                      <a:noFill/>
                    </a:ln>
                  </pic:spPr>
                </pic:pic>
              </a:graphicData>
            </a:graphic>
          </wp:inline>
        </w:drawing>
      </w:r>
    </w:p>
    <w:p w14:paraId="503D4F5F">
      <w:pPr>
        <w:rPr>
          <w:rFonts w:hint="eastAsia"/>
          <w:color w:val="auto"/>
        </w:rPr>
      </w:pPr>
      <w:r>
        <w:rPr>
          <w:rFonts w:hint="eastAsia"/>
          <w:color w:val="auto"/>
        </w:rPr>
        <w:t>式中：Leqg—项目声源在预测点的等效声级贡献值，dB(A)；</w:t>
      </w:r>
    </w:p>
    <w:p w14:paraId="534FB925">
      <w:pPr>
        <w:rPr>
          <w:rFonts w:hint="eastAsia"/>
          <w:color w:val="auto"/>
        </w:rPr>
      </w:pPr>
      <w:r>
        <w:rPr>
          <w:rFonts w:hint="eastAsia"/>
          <w:color w:val="auto"/>
        </w:rPr>
        <w:t>Leqb—预测点的背景值，dB(A)。</w:t>
      </w:r>
    </w:p>
    <w:p w14:paraId="73825C94">
      <w:pPr>
        <w:rPr>
          <w:rFonts w:hint="eastAsia"/>
          <w:color w:val="auto"/>
        </w:rPr>
      </w:pPr>
      <w:r>
        <w:rPr>
          <w:rFonts w:hint="eastAsia"/>
          <w:color w:val="auto"/>
        </w:rPr>
        <w:t>（3）户外声传播衰减计算</w:t>
      </w:r>
    </w:p>
    <w:p w14:paraId="27296EC8">
      <w:pPr>
        <w:rPr>
          <w:rFonts w:hint="eastAsia"/>
          <w:color w:val="auto"/>
        </w:rPr>
      </w:pPr>
      <w:r>
        <w:rPr>
          <w:rFonts w:hint="eastAsia"/>
          <w:color w:val="auto"/>
        </w:rPr>
        <w:t>①基本公式</w:t>
      </w:r>
    </w:p>
    <w:p w14:paraId="4622CDF1">
      <w:pPr>
        <w:rPr>
          <w:rFonts w:hint="eastAsia"/>
          <w:color w:val="auto"/>
        </w:rPr>
      </w:pPr>
      <w:r>
        <w:rPr>
          <w:rFonts w:hint="eastAsia"/>
          <w:color w:val="auto"/>
        </w:rPr>
        <w:t>a.根据声源声功率级或靠近声源某一参考位置处的已知声级、户外声传播衰减，计算距离声源较远处的预测点的声级。在已知距离无指向性点声源参考点r</w:t>
      </w:r>
      <w:r>
        <w:rPr>
          <w:rFonts w:hint="eastAsia"/>
          <w:color w:val="auto"/>
          <w:vertAlign w:val="subscript"/>
        </w:rPr>
        <w:t>0</w:t>
      </w:r>
      <w:r>
        <w:rPr>
          <w:rFonts w:hint="eastAsia"/>
          <w:color w:val="auto"/>
        </w:rPr>
        <w:t>处的倍频带（用63Hz到8KHz的8个标称倍频带中心频率）声压级和计算出参考点（r</w:t>
      </w:r>
      <w:r>
        <w:rPr>
          <w:rFonts w:hint="eastAsia"/>
          <w:color w:val="auto"/>
          <w:vertAlign w:val="subscript"/>
        </w:rPr>
        <w:t>0</w:t>
      </w:r>
      <w:r>
        <w:rPr>
          <w:rFonts w:hint="eastAsia"/>
          <w:color w:val="auto"/>
        </w:rPr>
        <w:t>）和预测点（r）处之间的户外声传播衰减后，预测点8个倍频带声压级公式：</w:t>
      </w:r>
    </w:p>
    <w:p w14:paraId="777DBA49">
      <w:pPr>
        <w:jc w:val="center"/>
        <w:rPr>
          <w:rFonts w:hint="eastAsia"/>
          <w:color w:val="auto"/>
        </w:rPr>
      </w:pPr>
      <w:r>
        <w:rPr>
          <w:rFonts w:hint="eastAsia"/>
          <w:color w:val="auto"/>
        </w:rPr>
        <w:t>Lp(r)=Lp(r</w:t>
      </w:r>
      <w:r>
        <w:rPr>
          <w:rFonts w:hint="eastAsia"/>
          <w:color w:val="auto"/>
          <w:vertAlign w:val="subscript"/>
        </w:rPr>
        <w:t>0</w:t>
      </w:r>
      <w:r>
        <w:rPr>
          <w:rFonts w:hint="eastAsia"/>
          <w:color w:val="auto"/>
        </w:rPr>
        <w:t>)-(Adiv+Aatm+Abar+Agr+Amisc)</w:t>
      </w:r>
    </w:p>
    <w:p w14:paraId="0D481C61">
      <w:pPr>
        <w:rPr>
          <w:rFonts w:hint="eastAsia"/>
          <w:color w:val="auto"/>
        </w:rPr>
      </w:pPr>
      <w:r>
        <w:rPr>
          <w:rFonts w:hint="eastAsia"/>
          <w:color w:val="auto"/>
        </w:rPr>
        <w:t>式中：Lp(r)——距声源r处的倍频带声压级；</w:t>
      </w:r>
    </w:p>
    <w:p w14:paraId="7455232C">
      <w:pPr>
        <w:rPr>
          <w:rFonts w:hint="eastAsia"/>
          <w:color w:val="auto"/>
        </w:rPr>
      </w:pPr>
      <w:r>
        <w:rPr>
          <w:rFonts w:hint="eastAsia"/>
          <w:color w:val="auto"/>
        </w:rPr>
        <w:t>Lp(r</w:t>
      </w:r>
      <w:r>
        <w:rPr>
          <w:rFonts w:hint="eastAsia"/>
          <w:color w:val="auto"/>
          <w:vertAlign w:val="subscript"/>
        </w:rPr>
        <w:t>0</w:t>
      </w:r>
      <w:r>
        <w:rPr>
          <w:rFonts w:hint="eastAsia"/>
          <w:color w:val="auto"/>
        </w:rPr>
        <w:t>)——参考位置r</w:t>
      </w:r>
      <w:r>
        <w:rPr>
          <w:rFonts w:hint="eastAsia"/>
          <w:color w:val="auto"/>
          <w:vertAlign w:val="subscript"/>
        </w:rPr>
        <w:t>0</w:t>
      </w:r>
      <w:r>
        <w:rPr>
          <w:rFonts w:hint="eastAsia"/>
          <w:color w:val="auto"/>
        </w:rPr>
        <w:t>处的倍频带声压级；</w:t>
      </w:r>
    </w:p>
    <w:p w14:paraId="2A0186AA">
      <w:pPr>
        <w:rPr>
          <w:rFonts w:hint="eastAsia"/>
          <w:color w:val="auto"/>
        </w:rPr>
      </w:pPr>
      <w:r>
        <w:rPr>
          <w:rFonts w:hint="eastAsia"/>
          <w:color w:val="auto"/>
        </w:rPr>
        <w:t>Adiv——声波几何发散引起的倍频带衰减，dB；</w:t>
      </w:r>
    </w:p>
    <w:p w14:paraId="1D91A796">
      <w:pPr>
        <w:rPr>
          <w:rFonts w:hint="eastAsia"/>
          <w:color w:val="auto"/>
        </w:rPr>
      </w:pPr>
      <w:r>
        <w:rPr>
          <w:rFonts w:hint="eastAsia"/>
          <w:color w:val="auto"/>
        </w:rPr>
        <w:t>Aatm——大气吸收引起</w:t>
      </w:r>
      <w:r>
        <w:rPr>
          <w:rFonts w:hint="eastAsia"/>
          <w:color w:val="auto"/>
          <w:lang w:eastAsia="zh-CN"/>
        </w:rPr>
        <w:t>的</w:t>
      </w:r>
      <w:r>
        <w:rPr>
          <w:rFonts w:hint="eastAsia"/>
          <w:color w:val="auto"/>
        </w:rPr>
        <w:t>倍频带衰减，dB；</w:t>
      </w:r>
    </w:p>
    <w:p w14:paraId="41A8F6D4">
      <w:pPr>
        <w:rPr>
          <w:rFonts w:hint="eastAsia"/>
          <w:color w:val="auto"/>
        </w:rPr>
      </w:pPr>
      <w:r>
        <w:rPr>
          <w:rFonts w:hint="eastAsia"/>
          <w:color w:val="auto"/>
        </w:rPr>
        <w:t>Abar——屏蔽屏障引起</w:t>
      </w:r>
      <w:r>
        <w:rPr>
          <w:rFonts w:hint="eastAsia"/>
          <w:color w:val="auto"/>
          <w:lang w:eastAsia="zh-CN"/>
        </w:rPr>
        <w:t>的</w:t>
      </w:r>
      <w:r>
        <w:rPr>
          <w:rFonts w:hint="eastAsia"/>
          <w:color w:val="auto"/>
        </w:rPr>
        <w:t>倍频带衰减，dB；</w:t>
      </w:r>
    </w:p>
    <w:p w14:paraId="3C6EF9B9">
      <w:pPr>
        <w:rPr>
          <w:rFonts w:hint="eastAsia"/>
          <w:color w:val="auto"/>
        </w:rPr>
      </w:pPr>
      <w:r>
        <w:rPr>
          <w:rFonts w:hint="eastAsia"/>
          <w:color w:val="auto"/>
        </w:rPr>
        <w:t>Agr——地面效应引起</w:t>
      </w:r>
      <w:r>
        <w:rPr>
          <w:rFonts w:hint="eastAsia"/>
          <w:color w:val="auto"/>
          <w:lang w:eastAsia="zh-CN"/>
        </w:rPr>
        <w:t>的</w:t>
      </w:r>
      <w:r>
        <w:rPr>
          <w:rFonts w:hint="eastAsia"/>
          <w:color w:val="auto"/>
        </w:rPr>
        <w:t>倍频带衰减，dB；</w:t>
      </w:r>
    </w:p>
    <w:p w14:paraId="77F82D7A">
      <w:pPr>
        <w:rPr>
          <w:rFonts w:hint="eastAsia"/>
          <w:color w:val="auto"/>
        </w:rPr>
      </w:pPr>
      <w:r>
        <w:rPr>
          <w:rFonts w:hint="eastAsia"/>
          <w:color w:val="auto"/>
        </w:rPr>
        <w:t>Amisc——其他多方面效应引起的倍频带衰减，dB。</w:t>
      </w:r>
    </w:p>
    <w:p w14:paraId="5F000A6A">
      <w:pPr>
        <w:rPr>
          <w:rFonts w:hint="eastAsia"/>
          <w:color w:val="auto"/>
        </w:rPr>
      </w:pPr>
      <w:r>
        <w:rPr>
          <w:rFonts w:hint="eastAsia"/>
          <w:color w:val="auto"/>
        </w:rPr>
        <w:t>b.预测点的A声级可按下列公式计算，即将8个倍频带声压级合成，计算出预测点的A声级LA(r)</w:t>
      </w:r>
    </w:p>
    <w:p w14:paraId="138473B6">
      <w:pPr>
        <w:pStyle w:val="26"/>
        <w:bidi w:val="0"/>
        <w:rPr>
          <w:rFonts w:hint="eastAsia"/>
          <w:color w:val="auto"/>
        </w:rPr>
      </w:pPr>
      <w:r>
        <w:rPr>
          <w:rFonts w:hint="eastAsia"/>
          <w:color w:val="auto"/>
        </w:rPr>
        <w:drawing>
          <wp:inline distT="0" distB="0" distL="0" distR="0">
            <wp:extent cx="2422525" cy="593725"/>
            <wp:effectExtent l="0" t="0" r="15875" b="15875"/>
            <wp:docPr id="780831529" name="图片 78083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31529" name="图片 7808315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422525" cy="593725"/>
                    </a:xfrm>
                    <a:prstGeom prst="rect">
                      <a:avLst/>
                    </a:prstGeom>
                    <a:noFill/>
                    <a:ln>
                      <a:noFill/>
                    </a:ln>
                  </pic:spPr>
                </pic:pic>
              </a:graphicData>
            </a:graphic>
          </wp:inline>
        </w:drawing>
      </w:r>
    </w:p>
    <w:p w14:paraId="7A959D82">
      <w:pPr>
        <w:rPr>
          <w:rFonts w:hint="eastAsia"/>
          <w:color w:val="auto"/>
        </w:rPr>
      </w:pPr>
      <w:r>
        <w:rPr>
          <w:rFonts w:hint="eastAsia"/>
          <w:color w:val="auto"/>
        </w:rPr>
        <w:t>式中：Lpi(r)——预测点(r)处，第i倍频带声压级，dB；</w:t>
      </w:r>
    </w:p>
    <w:p w14:paraId="2016AE8F">
      <w:pPr>
        <w:rPr>
          <w:rFonts w:hint="eastAsia"/>
          <w:color w:val="auto"/>
        </w:rPr>
      </w:pPr>
      <w:r>
        <w:rPr>
          <w:rFonts w:hint="eastAsia"/>
          <w:color w:val="auto"/>
        </w:rPr>
        <w:t>ΔLi——第i倍频带的A计权网络修正值（见附录B），dB。</w:t>
      </w:r>
    </w:p>
    <w:p w14:paraId="02AA76E7">
      <w:pPr>
        <w:rPr>
          <w:rFonts w:hint="eastAsia"/>
          <w:color w:val="auto"/>
        </w:rPr>
      </w:pPr>
      <w:r>
        <w:rPr>
          <w:rFonts w:hint="eastAsia"/>
          <w:color w:val="auto"/>
        </w:rPr>
        <w:t>c.在只考虑几何发散衰减时，可用下列公式计算：</w:t>
      </w:r>
    </w:p>
    <w:p w14:paraId="05FB56F0">
      <w:pPr>
        <w:rPr>
          <w:rFonts w:hint="eastAsia"/>
          <w:color w:val="auto"/>
        </w:rPr>
      </w:pPr>
      <w:r>
        <w:rPr>
          <w:rFonts w:hint="eastAsia"/>
          <w:color w:val="auto"/>
        </w:rPr>
        <w:t>LA(r)=LA(r0)-Adiv</w:t>
      </w:r>
    </w:p>
    <w:p w14:paraId="7D41C582">
      <w:pPr>
        <w:rPr>
          <w:rFonts w:hint="eastAsia"/>
          <w:color w:val="auto"/>
        </w:rPr>
      </w:pPr>
      <w:r>
        <w:rPr>
          <w:rFonts w:hint="eastAsia"/>
          <w:color w:val="auto"/>
        </w:rPr>
        <w:t>②几何发散衰减（Adiv）</w:t>
      </w:r>
    </w:p>
    <w:p w14:paraId="6DD913DC">
      <w:pPr>
        <w:rPr>
          <w:rFonts w:hint="eastAsia"/>
          <w:color w:val="auto"/>
        </w:rPr>
      </w:pPr>
      <w:r>
        <w:rPr>
          <w:rFonts w:hint="eastAsia"/>
          <w:color w:val="auto"/>
        </w:rPr>
        <w:t>无指向性点声源几何发散衰减的基本公式是：</w:t>
      </w:r>
    </w:p>
    <w:p w14:paraId="52E6B5F6">
      <w:pPr>
        <w:jc w:val="center"/>
        <w:rPr>
          <w:rFonts w:hint="eastAsia"/>
          <w:color w:val="auto"/>
        </w:rPr>
      </w:pPr>
      <w:r>
        <w:rPr>
          <w:rFonts w:hint="eastAsia"/>
          <w:color w:val="auto"/>
        </w:rPr>
        <w:t>Lp(r)=Lp(r</w:t>
      </w:r>
      <w:r>
        <w:rPr>
          <w:rFonts w:hint="eastAsia"/>
          <w:color w:val="auto"/>
          <w:vertAlign w:val="subscript"/>
        </w:rPr>
        <w:t>0</w:t>
      </w:r>
      <w:r>
        <w:rPr>
          <w:rFonts w:hint="eastAsia"/>
          <w:color w:val="auto"/>
        </w:rPr>
        <w:t>)-20lg(r/r</w:t>
      </w:r>
      <w:r>
        <w:rPr>
          <w:rFonts w:hint="eastAsia"/>
          <w:color w:val="auto"/>
          <w:vertAlign w:val="subscript"/>
        </w:rPr>
        <w:t>0</w:t>
      </w:r>
      <w:r>
        <w:rPr>
          <w:rFonts w:hint="eastAsia"/>
          <w:color w:val="auto"/>
        </w:rPr>
        <w:t>)</w:t>
      </w:r>
    </w:p>
    <w:p w14:paraId="1178C21B">
      <w:pPr>
        <w:jc w:val="center"/>
        <w:rPr>
          <w:rFonts w:hint="eastAsia"/>
          <w:color w:val="auto"/>
        </w:rPr>
      </w:pPr>
      <w:r>
        <w:rPr>
          <w:rFonts w:hint="eastAsia"/>
          <w:color w:val="auto"/>
        </w:rPr>
        <w:t>Adiv=20lg(r/r</w:t>
      </w:r>
      <w:r>
        <w:rPr>
          <w:rFonts w:hint="eastAsia"/>
          <w:color w:val="auto"/>
          <w:vertAlign w:val="subscript"/>
        </w:rPr>
        <w:t>0</w:t>
      </w:r>
      <w:r>
        <w:rPr>
          <w:rFonts w:hint="eastAsia"/>
          <w:color w:val="auto"/>
        </w:rPr>
        <w:t>)</w:t>
      </w:r>
    </w:p>
    <w:p w14:paraId="5BFE3CFD">
      <w:pPr>
        <w:rPr>
          <w:rFonts w:hint="eastAsia"/>
          <w:color w:val="auto"/>
        </w:rPr>
      </w:pPr>
      <w:r>
        <w:rPr>
          <w:rFonts w:hint="eastAsia"/>
          <w:color w:val="auto"/>
        </w:rPr>
        <w:t>③空气吸收引起的衰减（Aatm）</w:t>
      </w:r>
    </w:p>
    <w:p w14:paraId="21DF4142">
      <w:pPr>
        <w:rPr>
          <w:rFonts w:hint="eastAsia"/>
          <w:color w:val="auto"/>
        </w:rPr>
      </w:pPr>
      <w:r>
        <w:rPr>
          <w:rFonts w:hint="eastAsia"/>
          <w:color w:val="auto"/>
        </w:rPr>
        <w:t>空气吸收引起的衰减公式是:</w:t>
      </w:r>
    </w:p>
    <w:p w14:paraId="00B18C6A">
      <w:pPr>
        <w:jc w:val="center"/>
        <w:rPr>
          <w:rFonts w:hint="eastAsia"/>
          <w:color w:val="auto"/>
        </w:rPr>
      </w:pPr>
      <w:r>
        <w:rPr>
          <w:rFonts w:hint="eastAsia"/>
          <w:color w:val="auto"/>
        </w:rPr>
        <w:t>Aatm=a(r-r0)/1000</w:t>
      </w:r>
    </w:p>
    <w:p w14:paraId="7987261D">
      <w:pPr>
        <w:rPr>
          <w:rFonts w:hint="eastAsia"/>
          <w:color w:val="auto"/>
        </w:rPr>
      </w:pPr>
      <w:r>
        <w:rPr>
          <w:rFonts w:hint="eastAsia"/>
          <w:color w:val="auto"/>
        </w:rPr>
        <w:t>式中：a——25、湿度和声波频率的函数，根据项目所处区域常年平均气温和湿度选择像样的空气吸收系数；</w:t>
      </w:r>
    </w:p>
    <w:p w14:paraId="36964156">
      <w:pPr>
        <w:rPr>
          <w:rFonts w:hint="eastAsia"/>
          <w:color w:val="auto"/>
        </w:rPr>
      </w:pPr>
      <w:r>
        <w:rPr>
          <w:rFonts w:hint="eastAsia"/>
          <w:color w:val="auto"/>
        </w:rPr>
        <w:t>r——预测点距深远的距离，m；</w:t>
      </w:r>
    </w:p>
    <w:p w14:paraId="34D61591">
      <w:pPr>
        <w:rPr>
          <w:rFonts w:hint="eastAsia"/>
          <w:color w:val="auto"/>
        </w:rPr>
      </w:pPr>
      <w:r>
        <w:rPr>
          <w:rFonts w:hint="eastAsia"/>
          <w:color w:val="auto"/>
        </w:rPr>
        <w:t>r</w:t>
      </w:r>
      <w:r>
        <w:rPr>
          <w:rFonts w:hint="eastAsia"/>
          <w:color w:val="auto"/>
          <w:vertAlign w:val="subscript"/>
        </w:rPr>
        <w:t>0</w:t>
      </w:r>
      <w:r>
        <w:rPr>
          <w:rFonts w:hint="eastAsia"/>
          <w:color w:val="auto"/>
        </w:rPr>
        <w:t>——参考位置距离，m。</w:t>
      </w:r>
    </w:p>
    <w:p w14:paraId="4A7719AE">
      <w:pPr>
        <w:rPr>
          <w:rFonts w:hint="eastAsia"/>
          <w:color w:val="auto"/>
        </w:rPr>
      </w:pPr>
      <w:r>
        <w:rPr>
          <w:rFonts w:hint="eastAsia"/>
          <w:color w:val="auto"/>
        </w:rPr>
        <w:t>④屏障引起的衰减(Abar)</w:t>
      </w:r>
    </w:p>
    <w:p w14:paraId="119B2253">
      <w:pPr>
        <w:rPr>
          <w:rFonts w:hint="eastAsia"/>
          <w:color w:val="auto"/>
        </w:rPr>
      </w:pPr>
      <w:r>
        <w:rPr>
          <w:rFonts w:hint="eastAsia"/>
          <w:color w:val="auto"/>
        </w:rPr>
        <w:t>位于声源和预测点之间的实体障碍物，如围墙、建筑物、土坡或地堑等起声屏障作用，从而引起声能量的较大衰减。本噪声环境影响评价中忽略室外屏障引起的衰减(Abar)。</w:t>
      </w:r>
    </w:p>
    <w:p w14:paraId="030A809C">
      <w:pPr>
        <w:rPr>
          <w:rFonts w:hint="eastAsia"/>
          <w:color w:val="auto"/>
        </w:rPr>
      </w:pPr>
      <w:r>
        <w:rPr>
          <w:rFonts w:hint="eastAsia"/>
          <w:color w:val="auto"/>
        </w:rPr>
        <w:t>⑤地面效应衰减(Agr)</w:t>
      </w:r>
    </w:p>
    <w:p w14:paraId="420237FB">
      <w:pPr>
        <w:rPr>
          <w:rFonts w:hint="eastAsia"/>
          <w:color w:val="auto"/>
        </w:rPr>
      </w:pPr>
      <w:r>
        <w:rPr>
          <w:rFonts w:hint="eastAsia"/>
          <w:color w:val="auto"/>
        </w:rPr>
        <w:t>声波越过疏松地面传播时，或大部分为疏松地面的混合地面，在预测点仅计算A声级前提下，地面效应引起的倍频带衰减公式:</w:t>
      </w:r>
    </w:p>
    <w:p w14:paraId="5F2966F6">
      <w:pPr>
        <w:pStyle w:val="26"/>
        <w:bidi w:val="0"/>
        <w:rPr>
          <w:rFonts w:hint="eastAsia"/>
          <w:color w:val="auto"/>
        </w:rPr>
      </w:pPr>
      <w:r>
        <w:rPr>
          <w:rFonts w:hint="eastAsia"/>
          <w:color w:val="auto"/>
        </w:rPr>
        <w:drawing>
          <wp:inline distT="0" distB="0" distL="0" distR="0">
            <wp:extent cx="2139950" cy="461645"/>
            <wp:effectExtent l="0" t="0" r="12700" b="15240"/>
            <wp:docPr id="1059906701" name="图片 105990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06701" name="图片 10599067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139950" cy="461645"/>
                    </a:xfrm>
                    <a:prstGeom prst="rect">
                      <a:avLst/>
                    </a:prstGeom>
                    <a:noFill/>
                    <a:ln>
                      <a:noFill/>
                    </a:ln>
                  </pic:spPr>
                </pic:pic>
              </a:graphicData>
            </a:graphic>
          </wp:inline>
        </w:drawing>
      </w:r>
    </w:p>
    <w:p w14:paraId="4A450BBC">
      <w:pPr>
        <w:rPr>
          <w:rFonts w:hint="eastAsia"/>
          <w:color w:val="auto"/>
        </w:rPr>
      </w:pPr>
      <w:r>
        <w:rPr>
          <w:rFonts w:hint="eastAsia"/>
          <w:color w:val="auto"/>
        </w:rPr>
        <w:t>式中：r——声源到预测点的距离，m；</w:t>
      </w:r>
    </w:p>
    <w:p w14:paraId="7FD58172">
      <w:pPr>
        <w:rPr>
          <w:rFonts w:hint="eastAsia"/>
          <w:color w:val="auto"/>
        </w:rPr>
      </w:pPr>
      <w:r>
        <w:rPr>
          <w:rFonts w:hint="eastAsia"/>
          <w:color w:val="auto"/>
        </w:rPr>
        <w:t>hm——传播路径的平均离地高度，m；</w:t>
      </w:r>
    </w:p>
    <w:p w14:paraId="37AE4409">
      <w:pPr>
        <w:rPr>
          <w:rFonts w:hint="eastAsia"/>
          <w:color w:val="auto"/>
        </w:rPr>
      </w:pPr>
      <w:r>
        <w:rPr>
          <w:rFonts w:hint="eastAsia"/>
          <w:color w:val="auto"/>
        </w:rPr>
        <w:t>hm=F/r，；F：面积，</w:t>
      </w:r>
      <w:r>
        <w:rPr>
          <w:rFonts w:hint="eastAsia"/>
          <w:color w:val="auto"/>
          <w:lang w:eastAsia="zh-CN"/>
        </w:rPr>
        <w:t>m</w:t>
      </w:r>
      <w:r>
        <w:rPr>
          <w:rFonts w:hint="eastAsia"/>
          <w:color w:val="auto"/>
          <w:vertAlign w:val="superscript"/>
          <w:lang w:eastAsia="zh-CN"/>
        </w:rPr>
        <w:t>2</w:t>
      </w:r>
      <w:r>
        <w:rPr>
          <w:rFonts w:hint="eastAsia"/>
          <w:color w:val="auto"/>
        </w:rPr>
        <w:t>；r，m；</w:t>
      </w:r>
    </w:p>
    <w:p w14:paraId="7F2CF9AA">
      <w:pPr>
        <w:rPr>
          <w:rFonts w:hint="eastAsia"/>
          <w:color w:val="auto"/>
        </w:rPr>
      </w:pPr>
      <w:r>
        <w:rPr>
          <w:rFonts w:hint="eastAsia"/>
          <w:color w:val="auto"/>
        </w:rPr>
        <w:t>若Agr计算出负值，则Agr可用“0”代替；</w:t>
      </w:r>
    </w:p>
    <w:p w14:paraId="1C3B05C2">
      <w:pPr>
        <w:rPr>
          <w:color w:val="auto"/>
        </w:rPr>
      </w:pPr>
      <w:r>
        <w:rPr>
          <w:rFonts w:hint="eastAsia"/>
          <w:color w:val="auto"/>
        </w:rPr>
        <w:t>本噪声环境影响评价中忽略地面效应衰减（Agr）。</w:t>
      </w:r>
    </w:p>
    <w:p w14:paraId="76D3BCE2">
      <w:pPr>
        <w:pStyle w:val="4"/>
        <w:rPr>
          <w:color w:val="auto"/>
        </w:rPr>
      </w:pPr>
      <w:bookmarkStart w:id="275" w:name="_Toc5402"/>
      <w:bookmarkStart w:id="276" w:name="_Toc8080"/>
      <w:r>
        <w:rPr>
          <w:rFonts w:hint="eastAsia"/>
          <w:color w:val="auto"/>
        </w:rPr>
        <w:t>噪声环境影响预测及评价</w:t>
      </w:r>
      <w:bookmarkEnd w:id="275"/>
      <w:bookmarkEnd w:id="276"/>
    </w:p>
    <w:p w14:paraId="34021CC8">
      <w:pPr>
        <w:rPr>
          <w:color w:val="auto"/>
        </w:rPr>
      </w:pPr>
      <w:r>
        <w:rPr>
          <w:rFonts w:hint="eastAsia"/>
          <w:color w:val="auto"/>
        </w:rPr>
        <w:t>本次评价选择厂界噪声监测点作为噪声预测评价点，根据噪声预测模式和设备的声功率预测计算各评价点处的噪声增量（即总影响值），并叠加测点本底值，预测各评价点噪声叠加值。</w:t>
      </w:r>
    </w:p>
    <w:p w14:paraId="4F26046E">
      <w:pPr>
        <w:rPr>
          <w:color w:val="auto"/>
        </w:rPr>
      </w:pPr>
      <w:r>
        <w:rPr>
          <w:rFonts w:hint="eastAsia"/>
          <w:color w:val="auto"/>
        </w:rPr>
        <w:t>结果表明，项目建成后，通过采取适当的隔声降噪措施，各主要噪声设备对厂界的贡献值较小，厂界噪声符合《工业企业厂界环境噪声排放标准》（GB12348-2008）3类标准要求。</w:t>
      </w:r>
    </w:p>
    <w:p w14:paraId="0084E27E">
      <w:pPr>
        <w:rPr>
          <w:color w:val="auto"/>
        </w:rPr>
      </w:pPr>
      <w:r>
        <w:rPr>
          <w:rFonts w:hint="eastAsia"/>
          <w:color w:val="auto"/>
        </w:rPr>
        <w:t>根据噪声预测结果，本项目采取的噪声污染防治措施可行、有效，建成后厂界噪声可达标排放。因此，从声环境影响角度分析，本项目的建设是可行的。</w:t>
      </w:r>
    </w:p>
    <w:p w14:paraId="7270F075">
      <w:pPr>
        <w:pStyle w:val="26"/>
        <w:bidi w:val="0"/>
        <w:rPr>
          <w:color w:val="auto"/>
        </w:rPr>
      </w:pPr>
    </w:p>
    <w:p w14:paraId="28D7CE84">
      <w:pPr>
        <w:pStyle w:val="3"/>
        <w:rPr>
          <w:color w:val="auto"/>
        </w:rPr>
      </w:pPr>
      <w:bookmarkStart w:id="277" w:name="_Toc11573"/>
      <w:bookmarkStart w:id="278" w:name="_Toc11577"/>
      <w:r>
        <w:rPr>
          <w:rFonts w:hint="eastAsia"/>
          <w:color w:val="auto"/>
        </w:rPr>
        <w:t>固体废物环境影响分析</w:t>
      </w:r>
      <w:bookmarkEnd w:id="277"/>
      <w:bookmarkEnd w:id="278"/>
    </w:p>
    <w:p w14:paraId="7A1A6E46">
      <w:pPr>
        <w:pStyle w:val="4"/>
        <w:rPr>
          <w:color w:val="auto"/>
        </w:rPr>
      </w:pPr>
      <w:bookmarkStart w:id="279" w:name="_Toc836"/>
      <w:bookmarkStart w:id="280" w:name="_Toc15648"/>
      <w:r>
        <w:rPr>
          <w:rFonts w:hint="eastAsia"/>
          <w:color w:val="auto"/>
        </w:rPr>
        <w:t>固体废物产生情况及处置方式</w:t>
      </w:r>
      <w:bookmarkEnd w:id="279"/>
      <w:bookmarkEnd w:id="280"/>
    </w:p>
    <w:p w14:paraId="27F59BF3">
      <w:pPr>
        <w:rPr>
          <w:color w:val="auto"/>
        </w:rPr>
      </w:pPr>
      <w:r>
        <w:rPr>
          <w:rFonts w:hint="eastAsia"/>
          <w:color w:val="auto"/>
        </w:rPr>
        <w:t>本项目产生的固废包括危险废物和一般固废，其中危险废物包括机加工车间新增的废乳化液、废抹布、电镀线各槽废液、水处理污泥、废包装袋桶等；一般固废主要包括废外包装材料、金属边角料及生活垃圾等。危险废物委托有资质单位处置，一般固废外售综合利用，生活垃圾由环卫部门统一清运。</w:t>
      </w:r>
    </w:p>
    <w:p w14:paraId="36AA04B7">
      <w:pPr>
        <w:pStyle w:val="4"/>
        <w:rPr>
          <w:color w:val="auto"/>
        </w:rPr>
      </w:pPr>
      <w:bookmarkStart w:id="281" w:name="_Toc19106"/>
      <w:bookmarkStart w:id="282" w:name="_Toc9969"/>
      <w:r>
        <w:rPr>
          <w:rFonts w:hint="eastAsia"/>
          <w:color w:val="auto"/>
        </w:rPr>
        <w:t>固体废物贮存场所环境影响分析</w:t>
      </w:r>
      <w:bookmarkEnd w:id="281"/>
      <w:bookmarkEnd w:id="282"/>
    </w:p>
    <w:p w14:paraId="2D763BA0">
      <w:pPr>
        <w:pStyle w:val="5"/>
        <w:bidi w:val="0"/>
        <w:rPr>
          <w:color w:val="auto"/>
          <w:lang w:val="en-US" w:eastAsia="zh-CN"/>
        </w:rPr>
      </w:pPr>
      <w:r>
        <w:rPr>
          <w:color w:val="auto"/>
          <w:lang w:val="en-US" w:eastAsia="zh-CN"/>
        </w:rPr>
        <w:t>固废贮存设施情况</w:t>
      </w:r>
    </w:p>
    <w:p w14:paraId="333743F2">
      <w:pPr>
        <w:rPr>
          <w:color w:val="auto"/>
        </w:rPr>
      </w:pPr>
      <w:r>
        <w:rPr>
          <w:color w:val="auto"/>
        </w:rPr>
        <w:t>本次</w:t>
      </w:r>
      <w:r>
        <w:rPr>
          <w:rFonts w:hint="eastAsia"/>
          <w:color w:val="auto"/>
          <w:lang w:val="en-US" w:eastAsia="zh-CN"/>
        </w:rPr>
        <w:t>项目危废贮存依托现有188.3m</w:t>
      </w:r>
      <w:r>
        <w:rPr>
          <w:rFonts w:hint="eastAsia"/>
          <w:color w:val="auto"/>
          <w:vertAlign w:val="superscript"/>
          <w:lang w:val="en-US" w:eastAsia="zh-CN"/>
        </w:rPr>
        <w:t>2</w:t>
      </w:r>
      <w:r>
        <w:rPr>
          <w:rFonts w:hint="eastAsia"/>
          <w:color w:val="auto"/>
          <w:vertAlign w:val="baseline"/>
          <w:lang w:val="en-US" w:eastAsia="zh-CN"/>
        </w:rPr>
        <w:t>的危废仓库</w:t>
      </w:r>
      <w:r>
        <w:rPr>
          <w:color w:val="auto"/>
        </w:rPr>
        <w:t>，按有效贮存面积</w:t>
      </w:r>
      <w:r>
        <w:rPr>
          <w:rFonts w:hint="eastAsia"/>
          <w:color w:val="auto"/>
          <w:lang w:val="en-US" w:eastAsia="zh-CN"/>
        </w:rPr>
        <w:t>8</w:t>
      </w:r>
      <w:r>
        <w:rPr>
          <w:color w:val="auto"/>
        </w:rPr>
        <w:t>0%，单位面积贮存量为1.</w:t>
      </w:r>
      <w:r>
        <w:rPr>
          <w:rFonts w:hint="eastAsia"/>
          <w:color w:val="auto"/>
          <w:lang w:val="en-US" w:eastAsia="zh-CN"/>
        </w:rPr>
        <w:t>0</w:t>
      </w:r>
      <w:r>
        <w:rPr>
          <w:color w:val="auto"/>
        </w:rPr>
        <w:t>t/</w:t>
      </w:r>
      <w:r>
        <w:rPr>
          <w:rFonts w:hint="eastAsia"/>
          <w:color w:val="auto"/>
          <w:lang w:eastAsia="zh-CN"/>
        </w:rPr>
        <w:t>m</w:t>
      </w:r>
      <w:r>
        <w:rPr>
          <w:rFonts w:hint="eastAsia"/>
          <w:color w:val="auto"/>
          <w:vertAlign w:val="superscript"/>
          <w:lang w:eastAsia="zh-CN"/>
        </w:rPr>
        <w:t>2</w:t>
      </w:r>
      <w:r>
        <w:rPr>
          <w:color w:val="auto"/>
        </w:rPr>
        <w:t>计算，最大贮存能力约</w:t>
      </w:r>
      <w:r>
        <w:rPr>
          <w:rFonts w:hint="eastAsia"/>
          <w:color w:val="auto"/>
          <w:lang w:val="en-US" w:eastAsia="zh-CN"/>
        </w:rPr>
        <w:t>150</w:t>
      </w:r>
      <w:r>
        <w:rPr>
          <w:color w:val="auto"/>
        </w:rPr>
        <w:t>t。</w:t>
      </w:r>
    </w:p>
    <w:p w14:paraId="11A63F12">
      <w:pPr>
        <w:rPr>
          <w:color w:val="auto"/>
        </w:rPr>
      </w:pPr>
      <w:r>
        <w:rPr>
          <w:rFonts w:hint="eastAsia"/>
          <w:color w:val="auto"/>
          <w:lang w:val="en-US" w:eastAsia="zh-CN"/>
        </w:rPr>
        <w:t>项目建成后危废库危废贮存时间按3~90天计算，厂区现有188.3m</w:t>
      </w:r>
      <w:r>
        <w:rPr>
          <w:rFonts w:hint="eastAsia"/>
          <w:color w:val="auto"/>
          <w:vertAlign w:val="superscript"/>
          <w:lang w:val="en-US" w:eastAsia="zh-CN"/>
        </w:rPr>
        <w:t>2</w:t>
      </w:r>
      <w:r>
        <w:rPr>
          <w:rFonts w:hint="eastAsia"/>
          <w:color w:val="auto"/>
          <w:lang w:val="en-US" w:eastAsia="zh-CN"/>
        </w:rPr>
        <w:t>的危废库可以满足暂存需求</w:t>
      </w:r>
      <w:r>
        <w:rPr>
          <w:color w:val="auto"/>
        </w:rPr>
        <w:t>。</w:t>
      </w:r>
    </w:p>
    <w:p w14:paraId="658BC721">
      <w:pPr>
        <w:pStyle w:val="5"/>
        <w:bidi w:val="0"/>
        <w:rPr>
          <w:color w:val="auto"/>
          <w:lang w:val="en-US" w:eastAsia="zh-CN"/>
        </w:rPr>
      </w:pPr>
      <w:r>
        <w:rPr>
          <w:color w:val="auto"/>
          <w:lang w:val="en-US" w:eastAsia="zh-CN"/>
        </w:rPr>
        <w:t>危废贮存设施主要环境影响</w:t>
      </w:r>
    </w:p>
    <w:p w14:paraId="19ADB8B6">
      <w:pPr>
        <w:rPr>
          <w:color w:val="auto"/>
        </w:rPr>
      </w:pPr>
      <w:r>
        <w:rPr>
          <w:rFonts w:hint="eastAsia"/>
          <w:color w:val="auto"/>
        </w:rPr>
        <w:t>对照《危险废物贮存污染控制标准》（GB18597—2023）相关规范要求，现有危废仓库规范设置情况详见下表：</w:t>
      </w:r>
    </w:p>
    <w:p w14:paraId="071D2499">
      <w:pPr>
        <w:pStyle w:val="25"/>
        <w:spacing w:before="156"/>
        <w:rPr>
          <w:color w:val="auto"/>
        </w:rPr>
      </w:pPr>
      <w:r>
        <w:rPr>
          <w:color w:val="auto"/>
        </w:rPr>
        <w:t>表</w:t>
      </w:r>
      <w:r>
        <w:rPr>
          <w:color w:val="auto"/>
        </w:rPr>
        <w:fldChar w:fldCharType="begin"/>
      </w:r>
      <w:r>
        <w:rPr>
          <w:color w:val="auto"/>
        </w:rPr>
        <w:instrText xml:space="preserve"> STYLEREF 2 \s </w:instrText>
      </w:r>
      <w:r>
        <w:rPr>
          <w:color w:val="auto"/>
        </w:rPr>
        <w:fldChar w:fldCharType="separate"/>
      </w:r>
      <w:r>
        <w:rPr>
          <w:color w:val="auto"/>
        </w:rPr>
        <w:t>6.5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r>
        <w:rPr>
          <w:rFonts w:hint="eastAsia"/>
          <w:color w:val="auto"/>
        </w:rPr>
        <w:t>本项目危废仓库规范设置情况表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3393"/>
        <w:gridCol w:w="3787"/>
        <w:gridCol w:w="822"/>
      </w:tblGrid>
      <w:tr w14:paraId="28A2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vAlign w:val="center"/>
          </w:tcPr>
          <w:p w14:paraId="4BF32D90">
            <w:pPr>
              <w:pStyle w:val="36"/>
              <w:bidi w:val="0"/>
              <w:rPr>
                <w:rFonts w:hint="eastAsia"/>
                <w:color w:val="auto"/>
                <w:lang w:val="en-US" w:eastAsia="zh-CN"/>
              </w:rPr>
            </w:pPr>
            <w:r>
              <w:rPr>
                <w:rFonts w:hint="eastAsia"/>
                <w:color w:val="auto"/>
                <w:lang w:val="en-US" w:eastAsia="zh-CN"/>
              </w:rPr>
              <w:t>序号</w:t>
            </w:r>
          </w:p>
        </w:tc>
        <w:tc>
          <w:tcPr>
            <w:tcW w:w="3743" w:type="dxa"/>
            <w:tcBorders>
              <w:top w:val="single" w:color="auto" w:sz="4" w:space="0"/>
              <w:left w:val="single" w:color="auto" w:sz="4" w:space="0"/>
              <w:bottom w:val="single" w:color="auto" w:sz="4" w:space="0"/>
              <w:right w:val="single" w:color="auto" w:sz="4" w:space="0"/>
            </w:tcBorders>
            <w:vAlign w:val="center"/>
          </w:tcPr>
          <w:p w14:paraId="72D371A7">
            <w:pPr>
              <w:pStyle w:val="36"/>
              <w:bidi w:val="0"/>
              <w:rPr>
                <w:rFonts w:hint="eastAsia"/>
                <w:color w:val="auto"/>
                <w:lang w:val="en-US" w:eastAsia="zh-CN"/>
              </w:rPr>
            </w:pPr>
            <w:r>
              <w:rPr>
                <w:rFonts w:hint="eastAsia"/>
                <w:color w:val="auto"/>
                <w:lang w:val="en-US" w:eastAsia="zh-CN"/>
              </w:rPr>
              <w:t>规范设置要求</w:t>
            </w:r>
          </w:p>
        </w:tc>
        <w:tc>
          <w:tcPr>
            <w:tcW w:w="4176" w:type="dxa"/>
            <w:tcBorders>
              <w:top w:val="single" w:color="auto" w:sz="4" w:space="0"/>
              <w:left w:val="single" w:color="auto" w:sz="4" w:space="0"/>
              <w:bottom w:val="single" w:color="auto" w:sz="4" w:space="0"/>
              <w:right w:val="single" w:color="auto" w:sz="4" w:space="0"/>
            </w:tcBorders>
            <w:vAlign w:val="center"/>
          </w:tcPr>
          <w:p w14:paraId="128C941F">
            <w:pPr>
              <w:pStyle w:val="36"/>
              <w:bidi w:val="0"/>
              <w:rPr>
                <w:rFonts w:hint="eastAsia"/>
                <w:color w:val="auto"/>
                <w:lang w:val="en-US" w:eastAsia="zh-CN"/>
              </w:rPr>
            </w:pPr>
            <w:r>
              <w:rPr>
                <w:rFonts w:hint="eastAsia"/>
                <w:color w:val="auto"/>
                <w:lang w:val="en-US" w:eastAsia="zh-CN"/>
              </w:rPr>
              <w:t>本项目设置情况</w:t>
            </w:r>
          </w:p>
        </w:tc>
        <w:tc>
          <w:tcPr>
            <w:tcW w:w="907" w:type="dxa"/>
            <w:tcBorders>
              <w:top w:val="single" w:color="auto" w:sz="4" w:space="0"/>
              <w:left w:val="single" w:color="auto" w:sz="4" w:space="0"/>
              <w:bottom w:val="single" w:color="auto" w:sz="4" w:space="0"/>
              <w:right w:val="single" w:color="auto" w:sz="4" w:space="0"/>
            </w:tcBorders>
            <w:vAlign w:val="center"/>
          </w:tcPr>
          <w:p w14:paraId="609EEA27">
            <w:pPr>
              <w:pStyle w:val="36"/>
              <w:bidi w:val="0"/>
              <w:rPr>
                <w:rFonts w:hint="eastAsia"/>
                <w:color w:val="auto"/>
                <w:lang w:val="en-US" w:eastAsia="zh-CN"/>
              </w:rPr>
            </w:pPr>
            <w:r>
              <w:rPr>
                <w:rFonts w:hint="eastAsia"/>
                <w:color w:val="auto"/>
                <w:lang w:val="en-US" w:eastAsia="zh-CN"/>
              </w:rPr>
              <w:t>是否规范设置</w:t>
            </w:r>
          </w:p>
        </w:tc>
      </w:tr>
      <w:tr w14:paraId="4869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vAlign w:val="center"/>
          </w:tcPr>
          <w:p w14:paraId="0A583825">
            <w:pPr>
              <w:pStyle w:val="26"/>
              <w:bidi w:val="0"/>
              <w:rPr>
                <w:rFonts w:hint="eastAsia"/>
                <w:color w:val="auto"/>
                <w:lang w:val="en-US" w:eastAsia="zh-CN"/>
              </w:rPr>
            </w:pPr>
            <w:r>
              <w:rPr>
                <w:rFonts w:hint="eastAsia"/>
                <w:color w:val="auto"/>
                <w:lang w:val="en-US" w:eastAsia="zh-CN"/>
              </w:rPr>
              <w:t>1</w:t>
            </w:r>
          </w:p>
        </w:tc>
        <w:tc>
          <w:tcPr>
            <w:tcW w:w="3743" w:type="dxa"/>
            <w:tcBorders>
              <w:top w:val="single" w:color="auto" w:sz="4" w:space="0"/>
              <w:left w:val="single" w:color="auto" w:sz="4" w:space="0"/>
              <w:bottom w:val="single" w:color="auto" w:sz="4" w:space="0"/>
              <w:right w:val="single" w:color="auto" w:sz="4" w:space="0"/>
            </w:tcBorders>
            <w:vAlign w:val="center"/>
          </w:tcPr>
          <w:p w14:paraId="734F47F9">
            <w:pPr>
              <w:pStyle w:val="26"/>
              <w:bidi w:val="0"/>
              <w:rPr>
                <w:rFonts w:hint="eastAsia"/>
                <w:color w:val="auto"/>
                <w:lang w:val="en-US" w:eastAsia="zh-CN"/>
              </w:rPr>
            </w:pPr>
            <w:r>
              <w:rPr>
                <w:rFonts w:hint="eastAsia"/>
                <w:color w:val="auto"/>
                <w:lang w:val="en-US" w:eastAsia="zh-CN"/>
              </w:rPr>
              <w:t>贮存设施或场所、容器和包装物应按HJ1276要求设置危险废物贮存设施或场所标志、危险废物贮存分区标志和危险废物标签等危险废物识别标志。</w:t>
            </w:r>
          </w:p>
        </w:tc>
        <w:tc>
          <w:tcPr>
            <w:tcW w:w="4176" w:type="dxa"/>
            <w:tcBorders>
              <w:top w:val="single" w:color="auto" w:sz="4" w:space="0"/>
              <w:left w:val="single" w:color="auto" w:sz="4" w:space="0"/>
              <w:bottom w:val="single" w:color="auto" w:sz="4" w:space="0"/>
              <w:right w:val="single" w:color="auto" w:sz="4" w:space="0"/>
            </w:tcBorders>
            <w:vAlign w:val="center"/>
          </w:tcPr>
          <w:p w14:paraId="0CEFA2C5">
            <w:pPr>
              <w:pStyle w:val="26"/>
              <w:bidi w:val="0"/>
              <w:rPr>
                <w:rFonts w:hint="eastAsia"/>
                <w:color w:val="auto"/>
                <w:lang w:val="en-US" w:eastAsia="zh-CN"/>
              </w:rPr>
            </w:pPr>
            <w:r>
              <w:rPr>
                <w:rFonts w:hint="eastAsia"/>
                <w:color w:val="auto"/>
                <w:lang w:val="en-US" w:eastAsia="zh-CN"/>
              </w:rPr>
              <w:t>严格按照《危险废物贮存污染控制标准》（GB18597—2023）、《危险废物识别标志设置技术规范》（HJ1276—2022）设置标志，并严格按照规范设置公开内容。</w:t>
            </w:r>
          </w:p>
        </w:tc>
        <w:tc>
          <w:tcPr>
            <w:tcW w:w="907" w:type="dxa"/>
            <w:tcBorders>
              <w:top w:val="single" w:color="auto" w:sz="4" w:space="0"/>
              <w:left w:val="single" w:color="auto" w:sz="4" w:space="0"/>
              <w:bottom w:val="single" w:color="auto" w:sz="4" w:space="0"/>
              <w:right w:val="single" w:color="auto" w:sz="4" w:space="0"/>
            </w:tcBorders>
            <w:vAlign w:val="center"/>
          </w:tcPr>
          <w:p w14:paraId="07D10BE7">
            <w:pPr>
              <w:pStyle w:val="26"/>
              <w:bidi w:val="0"/>
              <w:rPr>
                <w:rFonts w:hint="eastAsia"/>
                <w:color w:val="auto"/>
                <w:lang w:val="en-US" w:eastAsia="zh-CN"/>
              </w:rPr>
            </w:pPr>
            <w:r>
              <w:rPr>
                <w:rFonts w:hint="eastAsia"/>
                <w:color w:val="auto"/>
                <w:lang w:val="en-US" w:eastAsia="zh-CN"/>
              </w:rPr>
              <w:t>是</w:t>
            </w:r>
          </w:p>
        </w:tc>
      </w:tr>
      <w:tr w14:paraId="709E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3064C419">
            <w:pPr>
              <w:pStyle w:val="26"/>
              <w:bidi w:val="0"/>
              <w:rPr>
                <w:rFonts w:hint="eastAsia"/>
                <w:color w:val="auto"/>
                <w:lang w:val="en-US" w:eastAsia="zh-CN"/>
              </w:rPr>
            </w:pPr>
            <w:r>
              <w:rPr>
                <w:rFonts w:hint="eastAsia"/>
                <w:color w:val="auto"/>
                <w:lang w:val="en-US" w:eastAsia="zh-CN"/>
              </w:rPr>
              <w:t>2</w:t>
            </w:r>
          </w:p>
        </w:tc>
        <w:tc>
          <w:tcPr>
            <w:tcW w:w="3743" w:type="dxa"/>
            <w:tcBorders>
              <w:top w:val="single" w:color="auto" w:sz="4" w:space="0"/>
              <w:left w:val="single" w:color="auto" w:sz="4" w:space="0"/>
              <w:bottom w:val="single" w:color="auto" w:sz="4" w:space="0"/>
              <w:right w:val="single" w:color="auto" w:sz="4" w:space="0"/>
            </w:tcBorders>
            <w:vAlign w:val="center"/>
          </w:tcPr>
          <w:p w14:paraId="13C90F88">
            <w:pPr>
              <w:pStyle w:val="26"/>
              <w:bidi w:val="0"/>
              <w:rPr>
                <w:rFonts w:hint="eastAsia"/>
                <w:color w:val="auto"/>
                <w:lang w:val="en-US" w:eastAsia="zh-CN"/>
              </w:rPr>
            </w:pPr>
            <w:r>
              <w:rPr>
                <w:rFonts w:hint="eastAsia"/>
                <w:color w:val="auto"/>
                <w:lang w:val="en-US" w:eastAsia="zh-CN"/>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tc>
        <w:tc>
          <w:tcPr>
            <w:tcW w:w="4176" w:type="dxa"/>
            <w:tcBorders>
              <w:top w:val="single" w:color="auto" w:sz="4" w:space="0"/>
              <w:left w:val="single" w:color="auto" w:sz="4" w:space="0"/>
              <w:bottom w:val="single" w:color="auto" w:sz="4" w:space="0"/>
              <w:right w:val="single" w:color="auto" w:sz="4" w:space="0"/>
            </w:tcBorders>
            <w:vAlign w:val="center"/>
          </w:tcPr>
          <w:p w14:paraId="37222025">
            <w:pPr>
              <w:pStyle w:val="26"/>
              <w:bidi w:val="0"/>
              <w:rPr>
                <w:rFonts w:hint="eastAsia"/>
                <w:color w:val="auto"/>
                <w:lang w:val="en-US" w:eastAsia="zh-CN"/>
              </w:rPr>
            </w:pPr>
            <w:r>
              <w:rPr>
                <w:rFonts w:hint="eastAsia"/>
                <w:color w:val="auto"/>
                <w:lang w:val="en-US" w:eastAsia="zh-CN"/>
              </w:rPr>
              <w:t>企业已实现危废过程信息化管理，在出入口、设施内部、危险废物运输车辆通道、装卸区域等关键位置规范设置视频监控，并与中控室联网。监控系统按相关标准设置。</w:t>
            </w:r>
          </w:p>
        </w:tc>
        <w:tc>
          <w:tcPr>
            <w:tcW w:w="907" w:type="dxa"/>
            <w:tcBorders>
              <w:top w:val="single" w:color="auto" w:sz="4" w:space="0"/>
              <w:left w:val="single" w:color="auto" w:sz="4" w:space="0"/>
              <w:bottom w:val="single" w:color="auto" w:sz="4" w:space="0"/>
              <w:right w:val="single" w:color="auto" w:sz="4" w:space="0"/>
            </w:tcBorders>
            <w:vAlign w:val="center"/>
          </w:tcPr>
          <w:p w14:paraId="565DD610">
            <w:pPr>
              <w:pStyle w:val="26"/>
              <w:bidi w:val="0"/>
              <w:rPr>
                <w:rFonts w:hint="eastAsia"/>
                <w:color w:val="auto"/>
                <w:lang w:val="en-US" w:eastAsia="zh-CN"/>
              </w:rPr>
            </w:pPr>
            <w:r>
              <w:rPr>
                <w:rFonts w:hint="eastAsia"/>
                <w:color w:val="auto"/>
                <w:lang w:val="en-US" w:eastAsia="zh-CN"/>
              </w:rPr>
              <w:t>是</w:t>
            </w:r>
          </w:p>
        </w:tc>
      </w:tr>
      <w:tr w14:paraId="6CE5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5A21836E">
            <w:pPr>
              <w:pStyle w:val="26"/>
              <w:bidi w:val="0"/>
              <w:rPr>
                <w:rFonts w:hint="eastAsia"/>
                <w:color w:val="auto"/>
                <w:lang w:val="en-US" w:eastAsia="zh-CN"/>
              </w:rPr>
            </w:pPr>
            <w:r>
              <w:rPr>
                <w:rFonts w:hint="eastAsia"/>
                <w:color w:val="auto"/>
                <w:lang w:val="en-US" w:eastAsia="zh-CN"/>
              </w:rPr>
              <w:t>3</w:t>
            </w:r>
          </w:p>
        </w:tc>
        <w:tc>
          <w:tcPr>
            <w:tcW w:w="3743" w:type="dxa"/>
            <w:tcBorders>
              <w:top w:val="single" w:color="auto" w:sz="4" w:space="0"/>
              <w:left w:val="single" w:color="auto" w:sz="4" w:space="0"/>
              <w:bottom w:val="single" w:color="auto" w:sz="4" w:space="0"/>
              <w:right w:val="single" w:color="auto" w:sz="4" w:space="0"/>
            </w:tcBorders>
            <w:vAlign w:val="center"/>
          </w:tcPr>
          <w:p w14:paraId="559071A2">
            <w:pPr>
              <w:pStyle w:val="26"/>
              <w:bidi w:val="0"/>
              <w:rPr>
                <w:rFonts w:hint="eastAsia"/>
                <w:color w:val="auto"/>
                <w:lang w:val="en-US" w:eastAsia="zh-CN"/>
              </w:rPr>
            </w:pPr>
            <w:r>
              <w:rPr>
                <w:rFonts w:hint="eastAsia"/>
                <w:color w:val="auto"/>
                <w:lang w:val="en-US" w:eastAsia="zh-CN"/>
              </w:rPr>
              <w:t>贮存危险废物应根据危险废物的类别、形态、物理化学性质和污染防治要求进行分类贮存，且应避免危险废物与不相容的物质或材料接触。</w:t>
            </w:r>
          </w:p>
        </w:tc>
        <w:tc>
          <w:tcPr>
            <w:tcW w:w="4176" w:type="dxa"/>
            <w:tcBorders>
              <w:top w:val="single" w:color="auto" w:sz="4" w:space="0"/>
              <w:left w:val="single" w:color="auto" w:sz="4" w:space="0"/>
              <w:bottom w:val="single" w:color="auto" w:sz="4" w:space="0"/>
              <w:right w:val="single" w:color="auto" w:sz="4" w:space="0"/>
            </w:tcBorders>
            <w:vAlign w:val="center"/>
          </w:tcPr>
          <w:p w14:paraId="3C1971DA">
            <w:pPr>
              <w:pStyle w:val="26"/>
              <w:bidi w:val="0"/>
              <w:rPr>
                <w:rFonts w:hint="eastAsia"/>
                <w:color w:val="auto"/>
                <w:lang w:val="en-US" w:eastAsia="zh-CN"/>
              </w:rPr>
            </w:pPr>
            <w:r>
              <w:rPr>
                <w:rFonts w:hint="eastAsia"/>
                <w:color w:val="auto"/>
                <w:lang w:val="en-US" w:eastAsia="zh-CN"/>
              </w:rPr>
              <w:t>本项目危废存放于密封容器内，不涉及同一容器内混装。不涉及不相容的危险废物混装的情形</w:t>
            </w:r>
          </w:p>
        </w:tc>
        <w:tc>
          <w:tcPr>
            <w:tcW w:w="907" w:type="dxa"/>
            <w:tcBorders>
              <w:top w:val="single" w:color="auto" w:sz="4" w:space="0"/>
              <w:left w:val="single" w:color="auto" w:sz="4" w:space="0"/>
              <w:bottom w:val="single" w:color="auto" w:sz="4" w:space="0"/>
              <w:right w:val="single" w:color="auto" w:sz="4" w:space="0"/>
            </w:tcBorders>
            <w:vAlign w:val="center"/>
          </w:tcPr>
          <w:p w14:paraId="0E87D319">
            <w:pPr>
              <w:pStyle w:val="26"/>
              <w:bidi w:val="0"/>
              <w:rPr>
                <w:rFonts w:hint="eastAsia"/>
                <w:color w:val="auto"/>
                <w:lang w:val="en-US" w:eastAsia="zh-CN"/>
              </w:rPr>
            </w:pPr>
            <w:r>
              <w:rPr>
                <w:rFonts w:hint="eastAsia"/>
                <w:color w:val="auto"/>
                <w:lang w:val="en-US" w:eastAsia="zh-CN"/>
              </w:rPr>
              <w:t>是</w:t>
            </w:r>
          </w:p>
        </w:tc>
      </w:tr>
      <w:tr w14:paraId="3F0A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66258247">
            <w:pPr>
              <w:pStyle w:val="26"/>
              <w:bidi w:val="0"/>
              <w:rPr>
                <w:rFonts w:hint="eastAsia"/>
                <w:color w:val="auto"/>
                <w:lang w:val="en-US" w:eastAsia="zh-CN"/>
              </w:rPr>
            </w:pPr>
            <w:r>
              <w:rPr>
                <w:rFonts w:hint="eastAsia"/>
                <w:color w:val="auto"/>
                <w:lang w:val="en-US" w:eastAsia="zh-CN"/>
              </w:rPr>
              <w:t>4</w:t>
            </w:r>
          </w:p>
        </w:tc>
        <w:tc>
          <w:tcPr>
            <w:tcW w:w="3743" w:type="dxa"/>
            <w:tcBorders>
              <w:top w:val="single" w:color="auto" w:sz="4" w:space="0"/>
              <w:left w:val="single" w:color="auto" w:sz="4" w:space="0"/>
              <w:bottom w:val="single" w:color="auto" w:sz="4" w:space="0"/>
              <w:right w:val="single" w:color="auto" w:sz="4" w:space="0"/>
            </w:tcBorders>
            <w:vAlign w:val="center"/>
          </w:tcPr>
          <w:p w14:paraId="4E0E9CC8">
            <w:pPr>
              <w:pStyle w:val="26"/>
              <w:bidi w:val="0"/>
              <w:rPr>
                <w:rFonts w:hint="eastAsia"/>
                <w:color w:val="auto"/>
                <w:lang w:val="en-US" w:eastAsia="zh-CN"/>
              </w:rPr>
            </w:pPr>
            <w:r>
              <w:rPr>
                <w:rFonts w:hint="eastAsia"/>
                <w:color w:val="auto"/>
                <w:lang w:val="en-US" w:eastAsia="zh-CN"/>
              </w:rPr>
              <w:t>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tc>
        <w:tc>
          <w:tcPr>
            <w:tcW w:w="4176" w:type="dxa"/>
            <w:tcBorders>
              <w:top w:val="single" w:color="auto" w:sz="4" w:space="0"/>
              <w:left w:val="single" w:color="auto" w:sz="4" w:space="0"/>
              <w:bottom w:val="single" w:color="auto" w:sz="4" w:space="0"/>
              <w:right w:val="single" w:color="auto" w:sz="4" w:space="0"/>
            </w:tcBorders>
            <w:vAlign w:val="center"/>
          </w:tcPr>
          <w:p w14:paraId="4F0E0861">
            <w:pPr>
              <w:pStyle w:val="26"/>
              <w:bidi w:val="0"/>
              <w:rPr>
                <w:rFonts w:hint="eastAsia"/>
                <w:color w:val="auto"/>
                <w:lang w:val="en-US" w:eastAsia="zh-CN"/>
              </w:rPr>
            </w:pPr>
            <w:r>
              <w:rPr>
                <w:rFonts w:hint="eastAsia"/>
                <w:color w:val="auto"/>
                <w:lang w:val="en-US" w:eastAsia="zh-CN"/>
              </w:rPr>
              <w:t>本项目危废采用密封容器暂存，并对废气进行收集处理</w:t>
            </w:r>
          </w:p>
        </w:tc>
        <w:tc>
          <w:tcPr>
            <w:tcW w:w="907" w:type="dxa"/>
            <w:tcBorders>
              <w:top w:val="single" w:color="auto" w:sz="4" w:space="0"/>
              <w:left w:val="single" w:color="auto" w:sz="4" w:space="0"/>
              <w:bottom w:val="single" w:color="auto" w:sz="4" w:space="0"/>
              <w:right w:val="single" w:color="auto" w:sz="4" w:space="0"/>
            </w:tcBorders>
            <w:vAlign w:val="center"/>
          </w:tcPr>
          <w:p w14:paraId="560D14EC">
            <w:pPr>
              <w:pStyle w:val="26"/>
              <w:bidi w:val="0"/>
              <w:rPr>
                <w:rFonts w:hint="eastAsia"/>
                <w:color w:val="auto"/>
                <w:lang w:val="en-US" w:eastAsia="zh-CN"/>
              </w:rPr>
            </w:pPr>
            <w:r>
              <w:rPr>
                <w:rFonts w:hint="eastAsia"/>
                <w:color w:val="auto"/>
                <w:lang w:val="en-US" w:eastAsia="zh-CN"/>
              </w:rPr>
              <w:t>是</w:t>
            </w:r>
          </w:p>
        </w:tc>
      </w:tr>
      <w:tr w14:paraId="1835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330B34EE">
            <w:pPr>
              <w:pStyle w:val="26"/>
              <w:bidi w:val="0"/>
              <w:rPr>
                <w:rFonts w:hint="eastAsia"/>
                <w:color w:val="auto"/>
                <w:lang w:val="en-US" w:eastAsia="zh-CN"/>
              </w:rPr>
            </w:pPr>
            <w:r>
              <w:rPr>
                <w:rFonts w:hint="eastAsia"/>
                <w:color w:val="auto"/>
                <w:lang w:val="en-US" w:eastAsia="zh-CN"/>
              </w:rPr>
              <w:t>5</w:t>
            </w:r>
          </w:p>
        </w:tc>
        <w:tc>
          <w:tcPr>
            <w:tcW w:w="3743" w:type="dxa"/>
            <w:tcBorders>
              <w:top w:val="single" w:color="auto" w:sz="4" w:space="0"/>
              <w:left w:val="single" w:color="auto" w:sz="4" w:space="0"/>
              <w:bottom w:val="single" w:color="auto" w:sz="4" w:space="0"/>
              <w:right w:val="single" w:color="auto" w:sz="4" w:space="0"/>
            </w:tcBorders>
            <w:shd w:val="clear" w:color="auto" w:fill="auto"/>
            <w:vAlign w:val="center"/>
          </w:tcPr>
          <w:p w14:paraId="43EF6CEA">
            <w:pPr>
              <w:pStyle w:val="26"/>
              <w:bidi w:val="0"/>
              <w:rPr>
                <w:rFonts w:hint="eastAsia"/>
                <w:color w:val="auto"/>
                <w:lang w:val="en-US" w:eastAsia="zh-CN"/>
              </w:rPr>
            </w:pPr>
            <w:r>
              <w:rPr>
                <w:rFonts w:hint="eastAsia"/>
                <w:color w:val="auto"/>
                <w:lang w:val="en-US" w:eastAsia="zh-CN"/>
              </w:rPr>
              <w:t>在常温常压下对易爆、易燃及排出有毒气体的危险废物进行预处理，使之稳定后贮存，否则按易爆、易燃危险品贮存。</w:t>
            </w:r>
          </w:p>
        </w:tc>
        <w:tc>
          <w:tcPr>
            <w:tcW w:w="4176" w:type="dxa"/>
            <w:tcBorders>
              <w:top w:val="single" w:color="auto" w:sz="4" w:space="0"/>
              <w:left w:val="single" w:color="auto" w:sz="4" w:space="0"/>
              <w:bottom w:val="single" w:color="auto" w:sz="4" w:space="0"/>
              <w:right w:val="single" w:color="auto" w:sz="4" w:space="0"/>
            </w:tcBorders>
            <w:shd w:val="clear" w:color="auto" w:fill="auto"/>
            <w:vAlign w:val="center"/>
          </w:tcPr>
          <w:p w14:paraId="1768FEA5">
            <w:pPr>
              <w:pStyle w:val="26"/>
              <w:bidi w:val="0"/>
              <w:rPr>
                <w:rFonts w:hint="eastAsia"/>
                <w:color w:val="auto"/>
                <w:lang w:val="en-US" w:eastAsia="zh-CN"/>
              </w:rPr>
            </w:pPr>
            <w:r>
              <w:rPr>
                <w:rFonts w:hint="eastAsia"/>
                <w:color w:val="auto"/>
                <w:lang w:val="en-US" w:eastAsia="zh-CN"/>
              </w:rPr>
              <w:t>本项目不涉及常温常压下易爆、易燃及排出有毒气体的危险废物，故无须进行预处理，无须按照易爆、易燃危险品贮存。</w:t>
            </w:r>
          </w:p>
        </w:tc>
        <w:tc>
          <w:tcPr>
            <w:tcW w:w="907" w:type="dxa"/>
            <w:tcBorders>
              <w:top w:val="single" w:color="auto" w:sz="4" w:space="0"/>
              <w:left w:val="single" w:color="auto" w:sz="4" w:space="0"/>
              <w:bottom w:val="single" w:color="auto" w:sz="4" w:space="0"/>
              <w:right w:val="single" w:color="auto" w:sz="4" w:space="0"/>
            </w:tcBorders>
            <w:shd w:val="clear" w:color="auto" w:fill="auto"/>
            <w:vAlign w:val="center"/>
          </w:tcPr>
          <w:p w14:paraId="50002222">
            <w:pPr>
              <w:pStyle w:val="26"/>
              <w:bidi w:val="0"/>
              <w:rPr>
                <w:rFonts w:hint="eastAsia"/>
                <w:color w:val="auto"/>
                <w:lang w:val="en-US" w:eastAsia="zh-CN"/>
              </w:rPr>
            </w:pPr>
            <w:r>
              <w:rPr>
                <w:rFonts w:hint="eastAsia"/>
                <w:color w:val="auto"/>
                <w:lang w:val="en-US" w:eastAsia="zh-CN"/>
              </w:rPr>
              <w:t>本项目不涉及</w:t>
            </w:r>
          </w:p>
        </w:tc>
      </w:tr>
    </w:tbl>
    <w:p w14:paraId="30339507">
      <w:pPr>
        <w:rPr>
          <w:rFonts w:hint="eastAsia"/>
          <w:color w:val="auto"/>
        </w:rPr>
      </w:pPr>
      <w:r>
        <w:rPr>
          <w:rFonts w:hint="eastAsia"/>
          <w:color w:val="auto"/>
        </w:rPr>
        <w:t>①大气环境影响</w:t>
      </w:r>
    </w:p>
    <w:p w14:paraId="2B240C03">
      <w:pPr>
        <w:rPr>
          <w:rFonts w:hint="eastAsia"/>
          <w:color w:val="auto"/>
        </w:rPr>
      </w:pPr>
      <w:r>
        <w:rPr>
          <w:rFonts w:hint="eastAsia"/>
          <w:color w:val="auto"/>
        </w:rPr>
        <w:t>本项目产生的危废采用吨袋/桶包装后分区暂存于危废库，危废库按照《省生态环境厅关于进一步加强危险废物污染防治工作的实施意见》（苏环办〔2019〕327号）要求做到“防风、防雨、防晒、防雷、防扬散、防流失、防渗漏、泄漏液体收集、废气收集导出及净化处理”，可有效避免危废扬散，因此拟建项目固废贮存期间对大气环境影响较小。</w:t>
      </w:r>
    </w:p>
    <w:p w14:paraId="6B1765BF">
      <w:pPr>
        <w:rPr>
          <w:rFonts w:hint="eastAsia"/>
          <w:color w:val="auto"/>
        </w:rPr>
      </w:pPr>
      <w:r>
        <w:rPr>
          <w:rFonts w:hint="eastAsia"/>
          <w:color w:val="auto"/>
        </w:rPr>
        <w:t>②地表水环境影响</w:t>
      </w:r>
    </w:p>
    <w:p w14:paraId="17C5B20D">
      <w:pPr>
        <w:rPr>
          <w:rFonts w:hint="eastAsia"/>
          <w:color w:val="auto"/>
        </w:rPr>
      </w:pPr>
      <w:r>
        <w:rPr>
          <w:rFonts w:hint="eastAsia"/>
          <w:color w:val="auto"/>
        </w:rPr>
        <w:t>本项目设有环保管理机构，有专人对危废贮存设施进行规范管理，危废贮存做到防雨、防风、防晒，危废进入地表水可能性较小，不会对周边水体环境造成显著影响。</w:t>
      </w:r>
    </w:p>
    <w:p w14:paraId="422C7365">
      <w:pPr>
        <w:rPr>
          <w:rFonts w:hint="eastAsia"/>
          <w:color w:val="auto"/>
        </w:rPr>
      </w:pPr>
      <w:r>
        <w:rPr>
          <w:rFonts w:hint="eastAsia"/>
          <w:color w:val="auto"/>
        </w:rPr>
        <w:t>③地下水、土壤环境影响</w:t>
      </w:r>
    </w:p>
    <w:p w14:paraId="3288FC04">
      <w:pPr>
        <w:rPr>
          <w:rFonts w:hint="eastAsia"/>
          <w:color w:val="auto"/>
        </w:rPr>
      </w:pPr>
      <w:r>
        <w:rPr>
          <w:rFonts w:hint="eastAsia"/>
          <w:color w:val="auto"/>
        </w:rPr>
        <w:t>厂区危废库按照《危险废物贮存污染控制标准》（GB18597-2023）的要求进行建设地面均采用耐腐蚀的硬化地面，表面无裂隙，可有效防止危废贮存过程中物料渗漏对土壤和地下水产生显著影响。</w:t>
      </w:r>
    </w:p>
    <w:p w14:paraId="249739F5">
      <w:pPr>
        <w:rPr>
          <w:rFonts w:hint="eastAsia"/>
          <w:color w:val="auto"/>
        </w:rPr>
      </w:pPr>
      <w:r>
        <w:rPr>
          <w:rFonts w:hint="eastAsia"/>
          <w:color w:val="auto"/>
        </w:rPr>
        <w:t>项目对土壤环境敏感目标的影响主要通过排放的废气污染物沉降对土壤造成不利影响，项目危废贮存期间采用防风等措施，避免危废扬散，对土壤环境敏感目标的影响较小。</w:t>
      </w:r>
    </w:p>
    <w:p w14:paraId="2C0ABB82">
      <w:pPr>
        <w:pStyle w:val="4"/>
        <w:rPr>
          <w:color w:val="auto"/>
        </w:rPr>
      </w:pPr>
      <w:bookmarkStart w:id="283" w:name="_Toc27092"/>
      <w:bookmarkStart w:id="284" w:name="_Toc4188"/>
      <w:r>
        <w:rPr>
          <w:rFonts w:hint="eastAsia"/>
          <w:color w:val="auto"/>
        </w:rPr>
        <w:t>固废收集过程环境影响分析</w:t>
      </w:r>
      <w:bookmarkEnd w:id="283"/>
      <w:bookmarkEnd w:id="284"/>
    </w:p>
    <w:p w14:paraId="32C830BC">
      <w:pPr>
        <w:rPr>
          <w:color w:val="auto"/>
        </w:rPr>
      </w:pPr>
      <w:r>
        <w:rPr>
          <w:rFonts w:hint="eastAsia"/>
          <w:color w:val="auto"/>
        </w:rPr>
        <w:t>危险废物在收集时，应清楚废物的类别及主要成份，以方便委托处理单位处理，根据危险废物的性质和形态，可采用不同大小和不同材质的容器进行包装，所有包装容器应足够安全，并经过周密检查，严防在装载、搬移或运输途中出现渗漏、溢出、抛洒或挥发等情况。最后按照对危险废物交换和转移管理工作的有关要求，对危险废物进行安全包装，并在包装的明显位置附上危险废物标签。收集过程对环境产生影响较小。</w:t>
      </w:r>
    </w:p>
    <w:p w14:paraId="45027337">
      <w:pPr>
        <w:pStyle w:val="4"/>
        <w:rPr>
          <w:color w:val="auto"/>
        </w:rPr>
      </w:pPr>
      <w:bookmarkStart w:id="285" w:name="_Toc30345"/>
      <w:bookmarkStart w:id="286" w:name="_Toc17714"/>
      <w:r>
        <w:rPr>
          <w:color w:val="auto"/>
        </w:rPr>
        <w:t>运输过程环境影响分析</w:t>
      </w:r>
      <w:bookmarkEnd w:id="285"/>
      <w:bookmarkEnd w:id="286"/>
    </w:p>
    <w:p w14:paraId="306DBE5A">
      <w:pPr>
        <w:rPr>
          <w:rFonts w:hint="eastAsia"/>
          <w:color w:val="auto"/>
        </w:rPr>
      </w:pPr>
      <w:r>
        <w:rPr>
          <w:rFonts w:hint="eastAsia"/>
          <w:color w:val="auto"/>
        </w:rPr>
        <w:t>本项目危险废物的转运主要是车间内部转运及外部运输。</w:t>
      </w:r>
    </w:p>
    <w:p w14:paraId="55427F75">
      <w:pPr>
        <w:rPr>
          <w:rFonts w:hint="eastAsia"/>
          <w:color w:val="auto"/>
        </w:rPr>
      </w:pPr>
      <w:r>
        <w:rPr>
          <w:rFonts w:hint="eastAsia"/>
          <w:color w:val="auto"/>
        </w:rPr>
        <w:t>1、车间内部转运</w:t>
      </w:r>
    </w:p>
    <w:p w14:paraId="5F33E13A">
      <w:pPr>
        <w:rPr>
          <w:rFonts w:hint="eastAsia"/>
          <w:color w:val="auto"/>
        </w:rPr>
      </w:pPr>
      <w:r>
        <w:rPr>
          <w:rFonts w:hint="eastAsia"/>
          <w:color w:val="auto"/>
        </w:rPr>
        <w:t>转运过程中可能产生散落、泄漏所引起的环境影响。为了减少内部转运过程中的环境影响，企业已采取如下措施：</w:t>
      </w:r>
    </w:p>
    <w:p w14:paraId="7E506DF0">
      <w:pPr>
        <w:rPr>
          <w:rFonts w:hint="eastAsia"/>
          <w:color w:val="auto"/>
        </w:rPr>
      </w:pPr>
      <w:r>
        <w:rPr>
          <w:rFonts w:hint="eastAsia"/>
          <w:color w:val="auto"/>
        </w:rPr>
        <w:t>（1）考虑厂区的实际情况确定转运路线，避开办公区和生活区。</w:t>
      </w:r>
    </w:p>
    <w:p w14:paraId="759DFBE1">
      <w:pPr>
        <w:rPr>
          <w:rFonts w:hint="eastAsia"/>
          <w:color w:val="auto"/>
        </w:rPr>
      </w:pPr>
      <w:r>
        <w:rPr>
          <w:rFonts w:hint="eastAsia"/>
          <w:color w:val="auto"/>
        </w:rPr>
        <w:t>（2）内部转运作业应采用专用的工具，填写《危险废物厂内转运记录表》。</w:t>
      </w:r>
    </w:p>
    <w:p w14:paraId="74CA4682">
      <w:pPr>
        <w:rPr>
          <w:rFonts w:hint="eastAsia"/>
          <w:color w:val="auto"/>
        </w:rPr>
      </w:pPr>
      <w:r>
        <w:rPr>
          <w:rFonts w:hint="eastAsia"/>
          <w:color w:val="auto"/>
        </w:rPr>
        <w:t>（3）危险废物内部转运后，对转运路线进行检查和清理，确保无危险废物遗失在转运路线上。</w:t>
      </w:r>
    </w:p>
    <w:p w14:paraId="24E73BC8">
      <w:pPr>
        <w:rPr>
          <w:rFonts w:hint="eastAsia"/>
          <w:color w:val="auto"/>
        </w:rPr>
      </w:pPr>
      <w:r>
        <w:rPr>
          <w:rFonts w:hint="eastAsia"/>
          <w:color w:val="auto"/>
        </w:rPr>
        <w:t>2、厂外运输</w:t>
      </w:r>
    </w:p>
    <w:p w14:paraId="22DF3E5C">
      <w:pPr>
        <w:rPr>
          <w:rFonts w:hint="eastAsia"/>
          <w:color w:val="auto"/>
        </w:rPr>
      </w:pPr>
      <w:r>
        <w:rPr>
          <w:rFonts w:hint="eastAsia"/>
          <w:color w:val="auto"/>
        </w:rPr>
        <w:t>危险废物的厂外运输已满足如下要求：</w:t>
      </w:r>
    </w:p>
    <w:p w14:paraId="0C54307A">
      <w:pPr>
        <w:rPr>
          <w:rFonts w:hint="eastAsia"/>
          <w:color w:val="auto"/>
        </w:rPr>
      </w:pPr>
      <w:r>
        <w:rPr>
          <w:rFonts w:hint="eastAsia"/>
          <w:color w:val="auto"/>
        </w:rPr>
        <w:t>（1）危险废物的转移和运输按照《危险废物收集贮存运输技术规范》（HJ2025-2012）相关规定，由持有危险废物经营许可证的单位按照其许可经营范围组织，由获得交通运输部门颁发的危险货物运输资质的单位承担运输。危险废物的转运均按要求填写“五联单”，且符合国家及江苏省对危险废物转运的相关规定。</w:t>
      </w:r>
    </w:p>
    <w:p w14:paraId="44AA4AB9">
      <w:pPr>
        <w:rPr>
          <w:rFonts w:hint="eastAsia"/>
          <w:color w:val="auto"/>
        </w:rPr>
      </w:pPr>
      <w:r>
        <w:rPr>
          <w:rFonts w:hint="eastAsia"/>
          <w:color w:val="auto"/>
        </w:rPr>
        <w:t>（2）危险废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24900C27">
      <w:pPr>
        <w:rPr>
          <w:rFonts w:hint="eastAsia"/>
          <w:color w:val="auto"/>
        </w:rPr>
      </w:pPr>
      <w:r>
        <w:rPr>
          <w:rFonts w:hint="eastAsia"/>
          <w:color w:val="auto"/>
        </w:rPr>
        <w:t>（3）危险废物处置单位在运输危险废弃物时必须配备押运人员，并随时处于押运人员的监管之下，不得超装、超载，严格按照所在城市规定的行车时间和行车路线行驶，不得进入危险化学品运输车辆禁止通行的区域。危险废物在运输途中若发生被盗、丢失、流散、泄漏等情况时，企业及押运人员必须立即向当地公安部门报告，并采取一切可能的警示措施。</w:t>
      </w:r>
    </w:p>
    <w:p w14:paraId="5FCE9CC1">
      <w:pPr>
        <w:rPr>
          <w:rFonts w:hint="eastAsia"/>
          <w:color w:val="auto"/>
        </w:rPr>
      </w:pPr>
      <w:r>
        <w:rPr>
          <w:rFonts w:hint="eastAsia"/>
          <w:color w:val="auto"/>
        </w:rPr>
        <w:t>（4）编制应急预案，一旦发生废弃物泄漏事故，企业和废弃物处置单位都应积极协助有关部门采取必要的安全措施，减少事故损失，防止事故蔓延、扩大；针对事故对人体、动植物、土壤、水源、空气造成的现实危害和可能产生的危害，迅速采取封闭、隔离、洗消等措施，并对事故造成的危害进行监测、处置，直至符合国家环境保护标准。</w:t>
      </w:r>
    </w:p>
    <w:p w14:paraId="42469AF1">
      <w:pPr>
        <w:rPr>
          <w:color w:val="auto"/>
        </w:rPr>
      </w:pPr>
      <w:r>
        <w:rPr>
          <w:rFonts w:hint="eastAsia"/>
          <w:color w:val="auto"/>
        </w:rPr>
        <w:t>通过采取以上措施，本项目危险废物的内部转运和厂外运输过程对于环境的影响较小</w:t>
      </w:r>
      <w:r>
        <w:rPr>
          <w:color w:val="auto"/>
        </w:rPr>
        <w:t>。</w:t>
      </w:r>
    </w:p>
    <w:p w14:paraId="4E53D08C">
      <w:pPr>
        <w:pStyle w:val="4"/>
        <w:bidi w:val="0"/>
        <w:rPr>
          <w:rFonts w:hint="eastAsia"/>
          <w:color w:val="auto"/>
        </w:rPr>
      </w:pPr>
      <w:bookmarkStart w:id="287" w:name="_Toc29436"/>
      <w:bookmarkStart w:id="288" w:name="_Toc25179"/>
      <w:r>
        <w:rPr>
          <w:rFonts w:hint="eastAsia"/>
          <w:color w:val="auto"/>
        </w:rPr>
        <w:t>固废利用、处置过程的环境影响</w:t>
      </w:r>
      <w:bookmarkEnd w:id="287"/>
      <w:bookmarkEnd w:id="288"/>
    </w:p>
    <w:p w14:paraId="6BCB39D4">
      <w:pPr>
        <w:rPr>
          <w:rFonts w:hint="eastAsia"/>
          <w:color w:val="auto"/>
        </w:rPr>
      </w:pPr>
      <w:r>
        <w:rPr>
          <w:rFonts w:hint="eastAsia"/>
          <w:color w:val="auto"/>
        </w:rPr>
        <w:t>本项目危险废物全部委托有资质单位进行安全处置。</w:t>
      </w:r>
    </w:p>
    <w:p w14:paraId="480F12AF">
      <w:pPr>
        <w:rPr>
          <w:rFonts w:hint="eastAsia"/>
          <w:color w:val="auto"/>
        </w:rPr>
      </w:pPr>
      <w:r>
        <w:rPr>
          <w:rFonts w:hint="eastAsia"/>
          <w:color w:val="auto"/>
        </w:rPr>
        <w:t>本项目未沾染危险化学品的废包装材料作为一般固废外售处置，生活垃圾由环卫部门处理处置，处理方式均为常见方式，其对环境的影响在可接受范围内。</w:t>
      </w:r>
    </w:p>
    <w:p w14:paraId="6D925585">
      <w:pPr>
        <w:rPr>
          <w:color w:val="auto"/>
        </w:rPr>
      </w:pPr>
      <w:r>
        <w:rPr>
          <w:rFonts w:hint="eastAsia"/>
          <w:color w:val="auto"/>
        </w:rPr>
        <w:t>根据上述分析，本项目固体废物均安全处置。项目建成后，建设单位应严格落实各项危废处置措施，执行《危险废物贮存污染控制标准》（GB18597-2023）、《危险废物收集贮存运输技术规范》（HJ2025-2012）、《一般工业固体废物贮存和填埋污染控制标准》（GB18599-2020）等文件的管理要求。</w:t>
      </w:r>
    </w:p>
    <w:p w14:paraId="21E7B106">
      <w:pPr>
        <w:pStyle w:val="3"/>
        <w:rPr>
          <w:color w:val="auto"/>
        </w:rPr>
      </w:pPr>
      <w:bookmarkStart w:id="289" w:name="_Toc12697"/>
      <w:bookmarkStart w:id="290" w:name="_Toc27407"/>
      <w:r>
        <w:rPr>
          <w:rFonts w:hint="eastAsia"/>
          <w:color w:val="auto"/>
        </w:rPr>
        <w:t>地下水环境影响分析</w:t>
      </w:r>
      <w:bookmarkEnd w:id="289"/>
      <w:bookmarkEnd w:id="290"/>
    </w:p>
    <w:p w14:paraId="345453CD">
      <w:pPr>
        <w:pStyle w:val="4"/>
        <w:rPr>
          <w:color w:val="auto"/>
        </w:rPr>
      </w:pPr>
      <w:bookmarkStart w:id="291" w:name="_Toc18127"/>
      <w:bookmarkStart w:id="292" w:name="_Toc14040"/>
      <w:r>
        <w:rPr>
          <w:rFonts w:hint="eastAsia"/>
          <w:color w:val="auto"/>
        </w:rPr>
        <w:t>预测范围</w:t>
      </w:r>
      <w:bookmarkEnd w:id="291"/>
      <w:bookmarkEnd w:id="292"/>
    </w:p>
    <w:p w14:paraId="221FAEAD">
      <w:pPr>
        <w:rPr>
          <w:color w:val="auto"/>
        </w:rPr>
      </w:pPr>
      <w:r>
        <w:rPr>
          <w:rFonts w:hint="eastAsia"/>
          <w:color w:val="auto"/>
        </w:rPr>
        <w:t>根据《环境影响评价技术导则地下水环境》（HJ610-2016），拟建地下水环境影响评价等级为二级，预测范围确定为项目周边</w:t>
      </w:r>
      <w:r>
        <w:rPr>
          <w:rFonts w:hint="eastAsia"/>
          <w:color w:val="auto"/>
          <w:highlight w:val="none"/>
        </w:rPr>
        <w:t>6k</w:t>
      </w:r>
      <w:r>
        <w:rPr>
          <w:rFonts w:hint="eastAsia"/>
          <w:color w:val="auto"/>
          <w:highlight w:val="none"/>
          <w:lang w:eastAsia="zh-CN"/>
        </w:rPr>
        <w:t>m</w:t>
      </w:r>
      <w:r>
        <w:rPr>
          <w:rFonts w:hint="eastAsia"/>
          <w:color w:val="auto"/>
          <w:highlight w:val="none"/>
          <w:vertAlign w:val="superscript"/>
          <w:lang w:eastAsia="zh-CN"/>
        </w:rPr>
        <w:t>2</w:t>
      </w:r>
      <w:r>
        <w:rPr>
          <w:rFonts w:hint="eastAsia"/>
          <w:color w:val="auto"/>
        </w:rPr>
        <w:t>范围内的区域。预测重点主要为</w:t>
      </w:r>
      <w:r>
        <w:rPr>
          <w:rFonts w:hint="eastAsia"/>
          <w:color w:val="auto"/>
          <w:lang w:val="en-US" w:eastAsia="zh-CN"/>
        </w:rPr>
        <w:t>废水处理设施</w:t>
      </w:r>
      <w:r>
        <w:rPr>
          <w:rFonts w:hint="eastAsia"/>
          <w:color w:val="auto"/>
        </w:rPr>
        <w:t>的地下水下游区域。</w:t>
      </w:r>
    </w:p>
    <w:p w14:paraId="347CD61A">
      <w:pPr>
        <w:pStyle w:val="4"/>
        <w:rPr>
          <w:color w:val="auto"/>
        </w:rPr>
      </w:pPr>
      <w:bookmarkStart w:id="293" w:name="_Toc3384"/>
      <w:bookmarkStart w:id="294" w:name="_Toc20098"/>
      <w:r>
        <w:rPr>
          <w:rFonts w:hint="eastAsia"/>
          <w:color w:val="auto"/>
        </w:rPr>
        <w:t>水文地质概况</w:t>
      </w:r>
      <w:bookmarkEnd w:id="293"/>
      <w:bookmarkEnd w:id="294"/>
    </w:p>
    <w:p w14:paraId="149DE7BA">
      <w:pPr>
        <w:pStyle w:val="5"/>
        <w:bidi w:val="0"/>
        <w:rPr>
          <w:color w:val="auto"/>
        </w:rPr>
      </w:pPr>
      <w:r>
        <w:rPr>
          <w:rFonts w:hint="eastAsia"/>
          <w:color w:val="auto"/>
          <w:lang w:val="en-US" w:eastAsia="zh-CN"/>
        </w:rPr>
        <w:t>地形地貌</w:t>
      </w:r>
    </w:p>
    <w:p w14:paraId="2CB37318">
      <w:pPr>
        <w:rPr>
          <w:color w:val="auto"/>
        </w:rPr>
      </w:pPr>
      <w:r>
        <w:rPr>
          <w:color w:val="auto"/>
        </w:rPr>
        <w:t>昆山处于长江三角洲太湖平原，境内河网密布，地势平坦，自西南向东北略呈倾斜，自然坡度较小。地面高程多在2.8~3.7米之间（基准面：吴淞零点），部分高地达5~6米，平均为3.4米。北部为低洼圩区，中部为半高田地区，南部为濒湖高田地区。</w:t>
      </w:r>
    </w:p>
    <w:p w14:paraId="36729634">
      <w:pPr>
        <w:pStyle w:val="5"/>
        <w:bidi w:val="0"/>
        <w:rPr>
          <w:color w:val="auto"/>
        </w:rPr>
      </w:pPr>
      <w:r>
        <w:rPr>
          <w:color w:val="auto"/>
        </w:rPr>
        <w:t>区域地质构造</w:t>
      </w:r>
    </w:p>
    <w:p w14:paraId="24F475C7">
      <w:pPr>
        <w:rPr>
          <w:color w:val="auto"/>
        </w:rPr>
      </w:pPr>
      <w:r>
        <w:rPr>
          <w:color w:val="auto"/>
        </w:rPr>
        <w:t>昆山市地处长江三角洲腹地，江苏省东南部的太湖下游。市境内以平原与水面为主，地势平坦，自然坡度较小，由西南微向东北倾斜，平均海拔为3.7~3.9米，相对于吴淞江零点的地面高程在2.8~6米之间。土质有亚粘土、轻亚粘土等，以亚粘土为主。</w:t>
      </w:r>
    </w:p>
    <w:p w14:paraId="446546FC">
      <w:pPr>
        <w:pStyle w:val="5"/>
        <w:bidi w:val="0"/>
        <w:rPr>
          <w:color w:val="auto"/>
        </w:rPr>
      </w:pPr>
      <w:r>
        <w:rPr>
          <w:rFonts w:hint="eastAsia"/>
          <w:color w:val="auto"/>
          <w:lang w:val="en-US" w:eastAsia="zh-CN"/>
        </w:rPr>
        <w:t>区域水文地质条件</w:t>
      </w:r>
    </w:p>
    <w:p w14:paraId="33AC4F14">
      <w:pPr>
        <w:rPr>
          <w:color w:val="auto"/>
        </w:rPr>
      </w:pPr>
      <w:r>
        <w:rPr>
          <w:color w:val="auto"/>
        </w:rPr>
        <w:t>根据昆山市的实际情况，由于深层承压水开发利用程度较低，不对其做评价，评价的地下水仅指赋存于饱水带岩土空隙的重力水。</w:t>
      </w:r>
    </w:p>
    <w:p w14:paraId="783E68F9">
      <w:pPr>
        <w:pStyle w:val="46"/>
        <w:bidi w:val="0"/>
        <w:rPr>
          <w:color w:val="auto"/>
        </w:rPr>
      </w:pPr>
      <w:r>
        <w:rPr>
          <w:color w:val="auto"/>
        </w:rPr>
        <w:t>一、浅层地下水赋存条件</w:t>
      </w:r>
    </w:p>
    <w:p w14:paraId="251E8D12">
      <w:pPr>
        <w:rPr>
          <w:color w:val="auto"/>
        </w:rPr>
      </w:pPr>
      <w:r>
        <w:rPr>
          <w:color w:val="auto"/>
        </w:rPr>
        <w:t>（1）潜水含水层</w:t>
      </w:r>
    </w:p>
    <w:p w14:paraId="78B8D34C">
      <w:pPr>
        <w:rPr>
          <w:rFonts w:hint="eastAsia"/>
          <w:color w:val="auto"/>
          <w:lang w:val="en-US" w:eastAsia="zh-CN"/>
        </w:rPr>
      </w:pPr>
      <w:r>
        <w:rPr>
          <w:color w:val="auto"/>
        </w:rPr>
        <w:t>主要由全新世与晚更新世晚期的湖积、冲湖积粉质粘土、粉土和粘土层组成，因区内各处所处的沉积环境不同，故含水层岩性、厚度及底板埋藏条件亦有所不同，昆山市潜水含水层按赋存条件可以分为北、中、南三个区，见</w:t>
      </w:r>
      <w:r>
        <w:rPr>
          <w:rFonts w:hint="eastAsia"/>
          <w:color w:val="auto"/>
          <w:lang w:val="en-US" w:eastAsia="zh-CN"/>
        </w:rPr>
        <w:t>下图。</w:t>
      </w:r>
    </w:p>
    <w:p w14:paraId="34AE15A1">
      <w:pPr>
        <w:pStyle w:val="25"/>
        <w:bidi w:val="0"/>
        <w:rPr>
          <w:rFonts w:hint="eastAsia"/>
          <w:color w:val="auto"/>
          <w:lang w:val="en-US" w:eastAsia="zh-CN"/>
        </w:rPr>
      </w:pPr>
      <w:r>
        <w:rPr>
          <w:rFonts w:hint="eastAsia"/>
          <w:color w:val="auto"/>
          <w:lang w:val="en-US" w:eastAsia="zh-CN"/>
        </w:rPr>
        <w:drawing>
          <wp:inline distT="0" distB="0" distL="0" distR="0">
            <wp:extent cx="4638675" cy="6400800"/>
            <wp:effectExtent l="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7"/>
                    <a:stretch>
                      <a:fillRect/>
                    </a:stretch>
                  </pic:blipFill>
                  <pic:spPr>
                    <a:xfrm>
                      <a:off x="0" y="0"/>
                      <a:ext cx="4638675" cy="6400800"/>
                    </a:xfrm>
                    <a:prstGeom prst="rect">
                      <a:avLst/>
                    </a:prstGeom>
                  </pic:spPr>
                </pic:pic>
              </a:graphicData>
            </a:graphic>
          </wp:inline>
        </w:drawing>
      </w:r>
    </w:p>
    <w:p w14:paraId="7C8CE2E6">
      <w:pPr>
        <w:pStyle w:val="25"/>
        <w:bidi w:val="0"/>
        <w:rPr>
          <w:rFonts w:hint="eastAsia"/>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昆山市潜水含水层岩性</w:t>
      </w:r>
    </w:p>
    <w:p w14:paraId="70CA9661">
      <w:pPr>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1 \* GB3 </w:instrText>
      </w:r>
      <w:r>
        <w:rPr>
          <w:rFonts w:hint="eastAsia"/>
          <w:color w:val="auto"/>
          <w:lang w:val="en-US" w:eastAsia="zh-CN"/>
        </w:rPr>
        <w:fldChar w:fldCharType="separate"/>
      </w:r>
      <w:r>
        <w:rPr>
          <w:rFonts w:hint="eastAsia"/>
          <w:color w:val="auto"/>
          <w:lang w:val="en-US" w:eastAsia="zh-CN"/>
        </w:rPr>
        <w:t>①</w:t>
      </w:r>
      <w:r>
        <w:rPr>
          <w:rFonts w:hint="eastAsia"/>
          <w:color w:val="auto"/>
          <w:lang w:val="en-US" w:eastAsia="zh-CN"/>
        </w:rPr>
        <w:fldChar w:fldCharType="end"/>
      </w:r>
      <w:r>
        <w:rPr>
          <w:rFonts w:hint="eastAsia"/>
          <w:color w:val="auto"/>
          <w:lang w:val="en-US" w:eastAsia="zh-CN"/>
        </w:rPr>
        <w:t>北区</w:t>
      </w:r>
    </w:p>
    <w:p w14:paraId="64F24550">
      <w:pPr>
        <w:bidi w:val="0"/>
        <w:rPr>
          <w:rFonts w:hint="eastAsia"/>
          <w:color w:val="auto"/>
          <w:lang w:val="en-US" w:eastAsia="zh-CN"/>
        </w:rPr>
      </w:pPr>
      <w:r>
        <w:rPr>
          <w:rFonts w:hint="eastAsia"/>
          <w:color w:val="auto"/>
          <w:lang w:val="en-US" w:eastAsia="zh-CN"/>
        </w:rPr>
        <w:t>分布在正仪—昆山城北—兵希—蓬郎一线以北的广大地区，含水层岩性多为全新统湖积相、湖沼相灰色、灰黄色、青灰色的粉质粘土，在该区东部的陆杨、石牌、周市等地普遍发育分布一层淤质粉质粘土，厚度2-17m不等，多为软塑—流塑。潜水含水层厚度大于12m，向南逐渐变薄，单井涌水量小于5m</w:t>
      </w:r>
      <w:r>
        <w:rPr>
          <w:rFonts w:hint="eastAsia"/>
          <w:color w:val="auto"/>
          <w:vertAlign w:val="superscript"/>
          <w:lang w:val="en-US" w:eastAsia="zh-CN"/>
        </w:rPr>
        <w:t>3</w:t>
      </w:r>
      <w:r>
        <w:rPr>
          <w:rFonts w:hint="eastAsia"/>
          <w:color w:val="auto"/>
          <w:lang w:val="en-US" w:eastAsia="zh-CN"/>
        </w:rPr>
        <w:t>/d，水位埋深较浅，一般0.5—1.5m左右</w:t>
      </w:r>
    </w:p>
    <w:p w14:paraId="4F8BF036">
      <w:pPr>
        <w:bidi w:val="0"/>
        <w:rPr>
          <w:rFonts w:hint="eastAsia"/>
          <w:color w:val="auto"/>
          <w:lang w:val="en-US" w:eastAsia="zh-CN"/>
        </w:rPr>
      </w:pPr>
      <w:r>
        <w:rPr>
          <w:rFonts w:hint="eastAsia"/>
          <w:color w:val="auto"/>
          <w:lang w:val="en-US" w:eastAsia="zh-CN"/>
        </w:rPr>
        <w:t>②中区</w:t>
      </w:r>
    </w:p>
    <w:p w14:paraId="2356BCBB">
      <w:pPr>
        <w:bidi w:val="0"/>
        <w:rPr>
          <w:rFonts w:hint="eastAsia"/>
          <w:color w:val="auto"/>
          <w:lang w:val="en-US" w:eastAsia="zh-CN"/>
        </w:rPr>
      </w:pPr>
      <w:r>
        <w:rPr>
          <w:rFonts w:hint="eastAsia"/>
          <w:color w:val="auto"/>
          <w:lang w:val="en-US" w:eastAsia="zh-CN"/>
        </w:rPr>
        <w:t>分布在正仪—昆山城北—兵希—蓬郎一线以南，大市—淀山湖以北的水网地区。含水层岩性多为冲、湖积相灰色、灰黄色、褐黄色的粉质粘土，可——硬塑，在陆家、花桥等地发育有较厚的淤泥质粉质粘土。含水层厚8—13m，西部的张浦、正仪、千灯等地潜水含水层厚8-9m，陆家镇以东，潜水含水层厚度逐渐增加，表现为西薄东厚的规律。透水性和富水性较差，单井涌水量5-10m</w:t>
      </w:r>
      <w:r>
        <w:rPr>
          <w:rFonts w:hint="eastAsia"/>
          <w:color w:val="auto"/>
          <w:vertAlign w:val="superscript"/>
          <w:lang w:val="en-US" w:eastAsia="zh-CN"/>
        </w:rPr>
        <w:t>3</w:t>
      </w:r>
      <w:r>
        <w:rPr>
          <w:rFonts w:hint="eastAsia"/>
          <w:color w:val="auto"/>
          <w:lang w:val="en-US" w:eastAsia="zh-CN"/>
        </w:rPr>
        <w:t>/d，水位埋深一般1-1.5m</w:t>
      </w:r>
    </w:p>
    <w:p w14:paraId="1FB5DB64">
      <w:pPr>
        <w:bidi w:val="0"/>
        <w:rPr>
          <w:rFonts w:hint="eastAsia"/>
          <w:color w:val="auto"/>
          <w:lang w:val="en-US" w:eastAsia="zh-CN"/>
        </w:rPr>
      </w:pPr>
      <w:r>
        <w:rPr>
          <w:rFonts w:hint="eastAsia"/>
          <w:color w:val="auto"/>
          <w:lang w:val="en-US" w:eastAsia="zh-CN"/>
        </w:rPr>
        <w:t>③南区</w:t>
      </w:r>
    </w:p>
    <w:p w14:paraId="43E0107C">
      <w:pPr>
        <w:bidi w:val="0"/>
        <w:rPr>
          <w:rFonts w:hint="eastAsia"/>
          <w:color w:val="auto"/>
          <w:lang w:val="en-US" w:eastAsia="zh-CN"/>
        </w:rPr>
      </w:pPr>
      <w:r>
        <w:rPr>
          <w:rFonts w:hint="eastAsia"/>
          <w:color w:val="auto"/>
          <w:lang w:val="en-US" w:eastAsia="zh-CN"/>
        </w:rPr>
        <w:t>分布在周庄、锦溪、淀山湖的湖荡地区，该区含水层岩性以湖积相、湖沼相灰黄、灰绿色粉质粘、淤泥质粉质粘土组成。含水层厚度大于10m，富水性较差，单井涌水量一般小于5m</w:t>
      </w:r>
      <w:r>
        <w:rPr>
          <w:rFonts w:hint="eastAsia"/>
          <w:color w:val="auto"/>
          <w:vertAlign w:val="superscript"/>
          <w:lang w:val="en-US" w:eastAsia="zh-CN"/>
        </w:rPr>
        <w:t>3</w:t>
      </w:r>
      <w:r>
        <w:rPr>
          <w:rFonts w:hint="eastAsia"/>
          <w:color w:val="auto"/>
          <w:lang w:val="en-US" w:eastAsia="zh-CN"/>
        </w:rPr>
        <w:t>/d，水位埋深较浅，一般0.5-1.5m。</w:t>
      </w:r>
    </w:p>
    <w:p w14:paraId="50ADF209">
      <w:pPr>
        <w:bidi w:val="0"/>
        <w:rPr>
          <w:rFonts w:hint="eastAsia"/>
          <w:color w:val="auto"/>
          <w:lang w:val="en-US" w:eastAsia="zh-CN"/>
        </w:rPr>
      </w:pPr>
      <w:r>
        <w:rPr>
          <w:rFonts w:hint="eastAsia"/>
          <w:color w:val="auto"/>
          <w:lang w:val="en-US" w:eastAsia="zh-CN"/>
        </w:rPr>
        <w:t>（2）微承压含水层</w:t>
      </w:r>
    </w:p>
    <w:p w14:paraId="02C2DC4E">
      <w:pPr>
        <w:bidi w:val="0"/>
        <w:rPr>
          <w:rFonts w:hint="eastAsia"/>
          <w:color w:val="auto"/>
          <w:lang w:val="en-US" w:eastAsia="zh-CN"/>
        </w:rPr>
      </w:pPr>
      <w:r>
        <w:rPr>
          <w:rFonts w:hint="eastAsia"/>
          <w:color w:val="auto"/>
          <w:lang w:val="en-US" w:eastAsia="zh-CN"/>
        </w:rPr>
        <w:t>除玉山周围地带含水层缺失外，其它地区皆有分布。含水层岩性主要以灰色、灰黄色的粉土、粉质粘土夹粉砂、粉土夹砂、粉砂为主，多呈千层饼状。受沉积环境控制，含水砂层厚度变化较大，但呈现出明显的南北薄、中间厚的变化规律（</w:t>
      </w:r>
      <w:r>
        <w:rPr>
          <w:rFonts w:hint="eastAsia"/>
          <w:color w:val="auto"/>
          <w:lang w:val="en-US" w:eastAsia="zh-CN"/>
        </w:rPr>
        <w:fldChar w:fldCharType="begin"/>
      </w:r>
      <w:r>
        <w:rPr>
          <w:rFonts w:hint="eastAsia"/>
          <w:color w:val="auto"/>
          <w:lang w:val="en-US" w:eastAsia="zh-CN"/>
        </w:rPr>
        <w:instrText xml:space="preserve"> REF _Ref32377 \h </w:instrText>
      </w:r>
      <w:r>
        <w:rPr>
          <w:rFonts w:hint="eastAsia"/>
          <w:color w:val="auto"/>
          <w:lang w:val="en-US" w:eastAsia="zh-CN"/>
        </w:rPr>
        <w:fldChar w:fldCharType="separate"/>
      </w: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正仪—玉山—兵希—蓬朗以南，大市—千灯—石浦以北微承压含水层较为发育，厚度较大，普遍大于20m，其中在张浦、千灯、陆家、花桥一线，含水层厚度大于25m，该条带南北方向，含水层逐渐变薄，石牌以北及周庄—锦溪—淀山湖一线以南区域含水层小于10m，石牌、阳澄湖及淀山湖等局部区域含水层小于5m。其余大部分地区10m—20m不等。</w:t>
      </w:r>
    </w:p>
    <w:p w14:paraId="3FB7B918">
      <w:pPr>
        <w:pStyle w:val="25"/>
        <w:bidi w:val="0"/>
        <w:rPr>
          <w:rFonts w:hint="eastAsia"/>
          <w:color w:val="auto"/>
          <w:lang w:val="en-US" w:eastAsia="zh-CN"/>
        </w:rPr>
      </w:pPr>
      <w:r>
        <w:rPr>
          <w:rFonts w:hint="eastAsia"/>
          <w:color w:val="auto"/>
          <w:lang w:val="en-US" w:eastAsia="zh-CN"/>
        </w:rPr>
        <w:drawing>
          <wp:inline distT="0" distB="0" distL="0" distR="0">
            <wp:extent cx="4324350" cy="60007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8"/>
                    <a:stretch>
                      <a:fillRect/>
                    </a:stretch>
                  </pic:blipFill>
                  <pic:spPr>
                    <a:xfrm>
                      <a:off x="0" y="0"/>
                      <a:ext cx="4324350" cy="6000750"/>
                    </a:xfrm>
                    <a:prstGeom prst="rect">
                      <a:avLst/>
                    </a:prstGeom>
                  </pic:spPr>
                </pic:pic>
              </a:graphicData>
            </a:graphic>
          </wp:inline>
        </w:drawing>
      </w:r>
    </w:p>
    <w:p w14:paraId="0647CD89">
      <w:pPr>
        <w:pStyle w:val="25"/>
        <w:bidi w:val="0"/>
        <w:rPr>
          <w:rFonts w:hint="eastAsia"/>
          <w:color w:val="auto"/>
          <w:lang w:val="en-US" w:eastAsia="zh-CN"/>
        </w:rPr>
      </w:pPr>
      <w:bookmarkStart w:id="295" w:name="_Ref32377"/>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2</w:t>
      </w:r>
      <w:r>
        <w:rPr>
          <w:rFonts w:hint="eastAsia"/>
          <w:color w:val="auto"/>
          <w:lang w:val="en-US" w:eastAsia="zh-CN"/>
        </w:rPr>
        <w:fldChar w:fldCharType="end"/>
      </w:r>
      <w:bookmarkEnd w:id="295"/>
      <w:r>
        <w:rPr>
          <w:rFonts w:hint="eastAsia"/>
          <w:color w:val="auto"/>
          <w:lang w:val="en-US" w:eastAsia="zh-CN"/>
        </w:rPr>
        <w:t>昆山市微承压含水层厚度等值线图</w:t>
      </w:r>
    </w:p>
    <w:p w14:paraId="5AD48E7D">
      <w:pPr>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1 \* GB3 </w:instrText>
      </w:r>
      <w:r>
        <w:rPr>
          <w:rFonts w:hint="eastAsia"/>
          <w:color w:val="auto"/>
          <w:lang w:val="en-US" w:eastAsia="zh-CN"/>
        </w:rPr>
        <w:fldChar w:fldCharType="separate"/>
      </w:r>
      <w:r>
        <w:rPr>
          <w:rFonts w:hint="eastAsia"/>
          <w:color w:val="auto"/>
          <w:lang w:val="en-US" w:eastAsia="zh-CN"/>
        </w:rPr>
        <w:t>①</w:t>
      </w:r>
      <w:r>
        <w:rPr>
          <w:rFonts w:hint="eastAsia"/>
          <w:color w:val="auto"/>
          <w:lang w:val="en-US" w:eastAsia="zh-CN"/>
        </w:rPr>
        <w:fldChar w:fldCharType="end"/>
      </w:r>
      <w:r>
        <w:rPr>
          <w:rFonts w:hint="eastAsia"/>
          <w:color w:val="auto"/>
          <w:lang w:val="en-US" w:eastAsia="zh-CN"/>
        </w:rPr>
        <w:t>昆山北部</w:t>
      </w:r>
    </w:p>
    <w:p w14:paraId="31D577B3">
      <w:pPr>
        <w:bidi w:val="0"/>
        <w:rPr>
          <w:rFonts w:hint="eastAsia"/>
          <w:color w:val="auto"/>
          <w:lang w:val="en-US" w:eastAsia="zh-CN"/>
        </w:rPr>
      </w:pPr>
      <w:r>
        <w:rPr>
          <w:rFonts w:hint="eastAsia"/>
          <w:color w:val="auto"/>
          <w:lang w:val="en-US" w:eastAsia="zh-CN"/>
        </w:rPr>
        <w:t>昆山正仪、开发区、蓬朗一线以北地区，微承压含水层在40m以浅呈上、下两层分布，中间有一稳定的隔水层，厚5-10m，由南向北砂层分布逐渐趋于稳定，岩性较细，多为灰、灰黄色粉砂和粉砂夹粉质粘土薄层，粉质含量较高，厚度5-15m不等，顶板埋深8-17m，南薄北厚。在阳澄湖、周市、正仪、蓬朗等地40以下含水层岩性多为粉砂，砂质较纯，与下部Ⅰ承压含水层连通，厚度大于10m。</w:t>
      </w:r>
    </w:p>
    <w:p w14:paraId="78E9C91B">
      <w:pPr>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2 \* GB3 </w:instrText>
      </w:r>
      <w:r>
        <w:rPr>
          <w:rFonts w:hint="eastAsia"/>
          <w:color w:val="auto"/>
          <w:lang w:val="en-US" w:eastAsia="zh-CN"/>
        </w:rPr>
        <w:fldChar w:fldCharType="separate"/>
      </w:r>
      <w:r>
        <w:rPr>
          <w:rFonts w:hint="eastAsia"/>
          <w:color w:val="auto"/>
          <w:lang w:val="en-US" w:eastAsia="zh-CN"/>
        </w:rPr>
        <w:t>②</w:t>
      </w:r>
      <w:r>
        <w:rPr>
          <w:rFonts w:hint="eastAsia"/>
          <w:color w:val="auto"/>
          <w:lang w:val="en-US" w:eastAsia="zh-CN"/>
        </w:rPr>
        <w:fldChar w:fldCharType="end"/>
      </w:r>
      <w:r>
        <w:rPr>
          <w:rFonts w:hint="eastAsia"/>
          <w:color w:val="auto"/>
          <w:lang w:val="en-US" w:eastAsia="zh-CN"/>
        </w:rPr>
        <w:t>山中部</w:t>
      </w:r>
    </w:p>
    <w:p w14:paraId="60EE590B">
      <w:pPr>
        <w:bidi w:val="0"/>
        <w:rPr>
          <w:rFonts w:hint="eastAsia"/>
          <w:color w:val="auto"/>
          <w:lang w:val="en-US" w:eastAsia="zh-CN"/>
        </w:rPr>
      </w:pPr>
      <w:r>
        <w:rPr>
          <w:rFonts w:hint="eastAsia"/>
          <w:color w:val="auto"/>
          <w:lang w:val="en-US" w:eastAsia="zh-CN"/>
        </w:rPr>
        <w:t>昆山市以南的张浦、陆家、花桥等地，微承压含水层总体上为单层结构，但含水砂层多含夹层，岩性多为粉砂、粉土、粉土夹砂、粉质粘土夹薄层粉砂等，厚度大于20m，在张浦、陆家、花桥一线含水层厚度大于25m，分布较为稳定，顶板埋深8-17m，西薄东厚。</w:t>
      </w:r>
    </w:p>
    <w:p w14:paraId="7899F299">
      <w:pPr>
        <w:bidi w:val="0"/>
        <w:rPr>
          <w:rFonts w:hint="eastAsia"/>
          <w:color w:val="auto"/>
          <w:lang w:val="en-US" w:eastAsia="zh-CN"/>
        </w:rPr>
      </w:pPr>
      <w:r>
        <w:rPr>
          <w:rFonts w:hint="eastAsia"/>
          <w:color w:val="auto"/>
          <w:lang w:val="en-US" w:eastAsia="zh-CN"/>
        </w:rPr>
        <w:t>③昆山南部</w:t>
      </w:r>
    </w:p>
    <w:p w14:paraId="28983AAA">
      <w:pPr>
        <w:bidi w:val="0"/>
        <w:rPr>
          <w:rFonts w:hint="eastAsia"/>
          <w:color w:val="auto"/>
          <w:lang w:val="en-US" w:eastAsia="zh-CN"/>
        </w:rPr>
      </w:pPr>
      <w:r>
        <w:rPr>
          <w:rFonts w:hint="eastAsia"/>
          <w:color w:val="auto"/>
          <w:lang w:val="en-US" w:eastAsia="zh-CN"/>
        </w:rPr>
        <w:t>昆山南部的周庄、锦溪、淀山湖地区，微承压含水层仍为单层结构，含水层岩性主要以粉砂为主，夹粉质粘土薄层，与昆山北部相比，岩性稍粗。砂层厚度在周庄龙停较厚，大于20m，东部锦溪、淀山湖一带含水层厚度逐渐变薄，一般小于10m，局部地区小于5m。含水层顶板厚度10—30m，由西向东逐渐增厚。整体上看（纵向剖面</w:t>
      </w:r>
      <w:r>
        <w:rPr>
          <w:rFonts w:hint="eastAsia"/>
          <w:color w:val="auto"/>
          <w:lang w:val="en-US" w:eastAsia="zh-CN"/>
        </w:rPr>
        <w:fldChar w:fldCharType="begin"/>
      </w:r>
      <w:r>
        <w:rPr>
          <w:rFonts w:hint="eastAsia"/>
          <w:color w:val="auto"/>
          <w:lang w:val="en-US" w:eastAsia="zh-CN"/>
        </w:rPr>
        <w:instrText xml:space="preserve"> REF _Ref32377 \h </w:instrText>
      </w:r>
      <w:r>
        <w:rPr>
          <w:rFonts w:hint="eastAsia"/>
          <w:color w:val="auto"/>
          <w:lang w:val="en-US" w:eastAsia="zh-CN"/>
        </w:rPr>
        <w:fldChar w:fldCharType="separate"/>
      </w: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）：昆山中部的张浦、陆家、花桥等地微承压砂层厚度较大，由中间向两端含水层厚度逐渐变薄。含水层顶板淤泥质粉质粘土层在昆山东部较为发育，而在西部较薄。</w:t>
      </w:r>
    </w:p>
    <w:p w14:paraId="3A7710E5">
      <w:pPr>
        <w:pStyle w:val="46"/>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二、浅层地下水富水性</w:t>
      </w:r>
    </w:p>
    <w:p w14:paraId="64994EFC">
      <w:pPr>
        <w:bidi w:val="0"/>
        <w:rPr>
          <w:rFonts w:hint="eastAsia"/>
          <w:color w:val="auto"/>
          <w:lang w:val="en-US" w:eastAsia="zh-CN"/>
        </w:rPr>
      </w:pPr>
      <w:r>
        <w:rPr>
          <w:rFonts w:hint="eastAsia"/>
          <w:color w:val="auto"/>
          <w:lang w:val="en-US" w:eastAsia="zh-CN"/>
        </w:rPr>
        <w:t>（1）潜水含水层</w:t>
      </w:r>
    </w:p>
    <w:p w14:paraId="27214F18">
      <w:pPr>
        <w:bidi w:val="0"/>
        <w:rPr>
          <w:rFonts w:hint="eastAsia"/>
          <w:color w:val="auto"/>
          <w:lang w:val="en-US" w:eastAsia="zh-CN"/>
        </w:rPr>
      </w:pPr>
      <w:r>
        <w:rPr>
          <w:rFonts w:hint="eastAsia"/>
          <w:color w:val="auto"/>
          <w:lang w:val="en-US" w:eastAsia="zh-CN"/>
        </w:rPr>
        <w:t>潜水含水层的富水性取决于含水层的岩性和厚度，一般富水性较差，适宜于民井开采。在大部分地区单井涌水量为3-5m</w:t>
      </w:r>
      <w:r>
        <w:rPr>
          <w:rFonts w:hint="eastAsia"/>
          <w:color w:val="auto"/>
          <w:vertAlign w:val="superscript"/>
          <w:lang w:val="en-US" w:eastAsia="zh-CN"/>
        </w:rPr>
        <w:t>3</w:t>
      </w:r>
      <w:r>
        <w:rPr>
          <w:rFonts w:hint="eastAsia"/>
          <w:color w:val="auto"/>
          <w:lang w:val="en-US" w:eastAsia="zh-CN"/>
        </w:rPr>
        <w:t>/d。</w:t>
      </w:r>
    </w:p>
    <w:p w14:paraId="14FB557E">
      <w:pPr>
        <w:bidi w:val="0"/>
        <w:rPr>
          <w:rFonts w:hint="eastAsia"/>
          <w:color w:val="auto"/>
          <w:lang w:val="en-US" w:eastAsia="zh-CN"/>
        </w:rPr>
      </w:pPr>
      <w:r>
        <w:rPr>
          <w:rFonts w:hint="eastAsia"/>
          <w:color w:val="auto"/>
          <w:lang w:val="en-US" w:eastAsia="zh-CN"/>
        </w:rPr>
        <w:t>（2）微承压含水层</w:t>
      </w:r>
    </w:p>
    <w:p w14:paraId="366AE63E">
      <w:pPr>
        <w:bidi w:val="0"/>
        <w:rPr>
          <w:rFonts w:hint="eastAsia"/>
          <w:color w:val="auto"/>
          <w:lang w:val="en-US" w:eastAsia="zh-CN"/>
        </w:rPr>
      </w:pPr>
      <w:r>
        <w:rPr>
          <w:rFonts w:hint="eastAsia"/>
          <w:color w:val="auto"/>
          <w:lang w:val="en-US" w:eastAsia="zh-CN"/>
        </w:rPr>
        <w:t>微承压含水层主要接受潜水的垂向越流补给，其富水性与含水层的厚度、岩性、含水层的结构等存在较密切的关系。</w:t>
      </w:r>
    </w:p>
    <w:p w14:paraId="31CDF92C">
      <w:pPr>
        <w:bidi w:val="0"/>
        <w:rPr>
          <w:rFonts w:hint="eastAsia"/>
          <w:color w:val="auto"/>
          <w:lang w:val="en-US" w:eastAsia="zh-CN"/>
        </w:rPr>
      </w:pPr>
      <w:r>
        <w:rPr>
          <w:rFonts w:hint="eastAsia"/>
          <w:color w:val="auto"/>
          <w:lang w:val="en-US" w:eastAsia="zh-CN"/>
        </w:rPr>
        <w:t>（3）富水性分级</w:t>
      </w:r>
    </w:p>
    <w:p w14:paraId="51DF8518">
      <w:pPr>
        <w:bidi w:val="0"/>
        <w:rPr>
          <w:rFonts w:hint="eastAsia"/>
          <w:color w:val="auto"/>
          <w:lang w:val="en-US" w:eastAsia="zh-CN"/>
        </w:rPr>
      </w:pPr>
      <w:r>
        <w:rPr>
          <w:rFonts w:hint="eastAsia"/>
          <w:color w:val="auto"/>
          <w:lang w:val="en-US" w:eastAsia="zh-CN"/>
        </w:rPr>
        <w:t>根据微承压含水层的分布发育特征，并结合抽水试验结果，昆山市微承压含水层的富水性进行划分，结果见下图。</w:t>
      </w:r>
    </w:p>
    <w:p w14:paraId="6E43B883">
      <w:pPr>
        <w:pStyle w:val="25"/>
        <w:bidi w:val="0"/>
        <w:rPr>
          <w:rFonts w:hint="default"/>
          <w:color w:val="auto"/>
          <w:lang w:val="en-US" w:eastAsia="zh-CN"/>
        </w:rPr>
      </w:pPr>
      <w:r>
        <w:rPr>
          <w:rFonts w:hint="default"/>
          <w:color w:val="auto"/>
          <w:lang w:val="en-US" w:eastAsia="zh-CN"/>
        </w:rPr>
        <w:drawing>
          <wp:inline distT="0" distB="0" distL="0" distR="0">
            <wp:extent cx="3716655" cy="5124450"/>
            <wp:effectExtent l="0" t="0" r="171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9"/>
                    <a:stretch>
                      <a:fillRect/>
                    </a:stretch>
                  </pic:blipFill>
                  <pic:spPr>
                    <a:xfrm>
                      <a:off x="0" y="0"/>
                      <a:ext cx="3748097" cy="5167735"/>
                    </a:xfrm>
                    <a:prstGeom prst="rect">
                      <a:avLst/>
                    </a:prstGeom>
                  </pic:spPr>
                </pic:pic>
              </a:graphicData>
            </a:graphic>
          </wp:inline>
        </w:drawing>
      </w:r>
    </w:p>
    <w:p w14:paraId="04207224">
      <w:pPr>
        <w:pStyle w:val="25"/>
        <w:bidi w:val="0"/>
        <w:rPr>
          <w:rFonts w:hint="default"/>
          <w:color w:val="auto"/>
          <w:lang w:val="en-US" w:eastAsia="zh-CN"/>
        </w:rPr>
      </w:pPr>
      <w:r>
        <w:rPr>
          <w:rFonts w:hint="default"/>
          <w:color w:val="auto"/>
          <w:lang w:val="en-US" w:eastAsia="zh-CN"/>
        </w:rPr>
        <w:t>图</w:t>
      </w:r>
      <w:r>
        <w:rPr>
          <w:rFonts w:hint="default"/>
          <w:color w:val="auto"/>
          <w:lang w:val="en-US" w:eastAsia="zh-CN"/>
        </w:rPr>
        <w:fldChar w:fldCharType="begin"/>
      </w:r>
      <w:r>
        <w:rPr>
          <w:rFonts w:hint="default"/>
          <w:color w:val="auto"/>
          <w:lang w:val="en-US" w:eastAsia="zh-CN"/>
        </w:rPr>
        <w:instrText xml:space="preserve"> STYLEREF 2 \s </w:instrText>
      </w:r>
      <w:r>
        <w:rPr>
          <w:rFonts w:hint="default"/>
          <w:color w:val="auto"/>
          <w:lang w:val="en-US" w:eastAsia="zh-CN"/>
        </w:rPr>
        <w:fldChar w:fldCharType="separate"/>
      </w:r>
      <w:r>
        <w:rPr>
          <w:rFonts w:hint="default"/>
          <w:color w:val="auto"/>
          <w:lang w:val="en-US" w:eastAsia="zh-CN"/>
        </w:rPr>
        <w:t>6.6</w:t>
      </w:r>
      <w:r>
        <w:rPr>
          <w:rFonts w:hint="default"/>
          <w:color w:val="auto"/>
          <w:lang w:val="en-US" w:eastAsia="zh-CN"/>
        </w:rPr>
        <w:fldChar w:fldCharType="end"/>
      </w:r>
      <w:r>
        <w:rPr>
          <w:rFonts w:hint="default"/>
          <w:color w:val="auto"/>
          <w:lang w:val="en-US" w:eastAsia="zh-CN"/>
        </w:rPr>
        <w:noBreakHyphen/>
      </w:r>
      <w:r>
        <w:rPr>
          <w:rFonts w:hint="default"/>
          <w:color w:val="auto"/>
          <w:lang w:val="en-US" w:eastAsia="zh-CN"/>
        </w:rPr>
        <w:fldChar w:fldCharType="begin"/>
      </w:r>
      <w:r>
        <w:rPr>
          <w:rFonts w:hint="default"/>
          <w:color w:val="auto"/>
          <w:lang w:val="en-US" w:eastAsia="zh-CN"/>
        </w:rPr>
        <w:instrText xml:space="preserve"> SEQ 图 \* ARABIC \s 2 </w:instrText>
      </w:r>
      <w:r>
        <w:rPr>
          <w:rFonts w:hint="default"/>
          <w:color w:val="auto"/>
          <w:lang w:val="en-US" w:eastAsia="zh-CN"/>
        </w:rPr>
        <w:fldChar w:fldCharType="separate"/>
      </w:r>
      <w:r>
        <w:rPr>
          <w:rFonts w:hint="default"/>
          <w:color w:val="auto"/>
          <w:lang w:val="en-US" w:eastAsia="zh-CN"/>
        </w:rPr>
        <w:t>3</w:t>
      </w:r>
      <w:r>
        <w:rPr>
          <w:rFonts w:hint="default"/>
          <w:color w:val="auto"/>
          <w:lang w:val="en-US" w:eastAsia="zh-CN"/>
        </w:rPr>
        <w:fldChar w:fldCharType="end"/>
      </w:r>
      <w:r>
        <w:rPr>
          <w:rFonts w:hint="default"/>
          <w:color w:val="auto"/>
          <w:lang w:val="en-US" w:eastAsia="zh-CN"/>
        </w:rPr>
        <w:t>昆山市微承压含水层富水性分区</w:t>
      </w:r>
    </w:p>
    <w:p w14:paraId="17E1668E">
      <w:pPr>
        <w:rPr>
          <w:rFonts w:hint="eastAsia"/>
          <w:color w:val="auto"/>
          <w:lang w:val="en-US" w:eastAsia="zh-CN"/>
        </w:rPr>
      </w:pPr>
      <w:r>
        <w:rPr>
          <w:rFonts w:hint="eastAsia"/>
          <w:color w:val="auto"/>
          <w:lang w:val="en-US" w:eastAsia="zh-CN"/>
        </w:rPr>
        <w:t>分区结果显示：昆山市中部地区包括玉山镇、开发区、张浦、千灯、陆家、花桥等地及周庄西北地区，含水层顶板埋深较浅，含水层厚度大于15m，岩性多为粉砂粉土夹砂，粉质粘土夹粉砂，富水性较好，单位涌水量大于200m</w:t>
      </w:r>
      <w:r>
        <w:rPr>
          <w:rFonts w:hint="eastAsia"/>
          <w:color w:val="auto"/>
          <w:vertAlign w:val="superscript"/>
          <w:lang w:val="en-US" w:eastAsia="zh-CN"/>
        </w:rPr>
        <w:t>3</w:t>
      </w:r>
      <w:r>
        <w:rPr>
          <w:rFonts w:hint="eastAsia"/>
          <w:color w:val="auto"/>
          <w:lang w:val="en-US" w:eastAsia="zh-CN"/>
        </w:rPr>
        <w:t>/d，其中张浦—千灯—陆家—花桥一线含水层厚度大于25m，局部地区大于40m，富水性好，单位涌水量大于400m</w:t>
      </w:r>
      <w:r>
        <w:rPr>
          <w:rFonts w:hint="eastAsia"/>
          <w:color w:val="auto"/>
          <w:vertAlign w:val="superscript"/>
          <w:lang w:val="en-US" w:eastAsia="zh-CN"/>
        </w:rPr>
        <w:t>3</w:t>
      </w:r>
      <w:r>
        <w:rPr>
          <w:rFonts w:hint="eastAsia"/>
          <w:color w:val="auto"/>
          <w:lang w:val="en-US" w:eastAsia="zh-CN"/>
        </w:rPr>
        <w:t>/d。富水性较差的区域主要分布在石牌以北地区及昆山南部的淀山湖、锦溪地区，含水层厚度小于10m，岩性为粉砂、粉土夹砂，部分地区小于5m，富水性相对较差，单井涌水量一般小于100m</w:t>
      </w:r>
      <w:r>
        <w:rPr>
          <w:rFonts w:hint="eastAsia"/>
          <w:color w:val="auto"/>
          <w:vertAlign w:val="superscript"/>
          <w:lang w:val="en-US" w:eastAsia="zh-CN"/>
        </w:rPr>
        <w:t>3</w:t>
      </w:r>
      <w:r>
        <w:rPr>
          <w:rFonts w:hint="eastAsia"/>
          <w:color w:val="auto"/>
          <w:lang w:val="en-US" w:eastAsia="zh-CN"/>
        </w:rPr>
        <w:t>/d。其它地区含水层厚度10-15m，单位涌水量介于100-200m</w:t>
      </w:r>
      <w:r>
        <w:rPr>
          <w:rFonts w:hint="eastAsia"/>
          <w:color w:val="auto"/>
          <w:vertAlign w:val="superscript"/>
          <w:lang w:val="en-US" w:eastAsia="zh-CN"/>
        </w:rPr>
        <w:t>3</w:t>
      </w:r>
      <w:r>
        <w:rPr>
          <w:rFonts w:hint="eastAsia"/>
          <w:color w:val="auto"/>
          <w:lang w:val="en-US" w:eastAsia="zh-CN"/>
        </w:rPr>
        <w:t>/d之间。</w:t>
      </w:r>
    </w:p>
    <w:p w14:paraId="68562595">
      <w:pPr>
        <w:pStyle w:val="46"/>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三、浅层地下水的补、径、排条件</w:t>
      </w:r>
    </w:p>
    <w:p w14:paraId="2D843199">
      <w:pPr>
        <w:rPr>
          <w:rFonts w:hint="eastAsia"/>
          <w:color w:val="auto"/>
          <w:lang w:val="en-US" w:eastAsia="zh-CN"/>
        </w:rPr>
      </w:pPr>
      <w:r>
        <w:rPr>
          <w:rFonts w:hint="eastAsia"/>
          <w:color w:val="auto"/>
          <w:lang w:val="en-US" w:eastAsia="zh-CN"/>
        </w:rPr>
        <w:t>（1）补给条件</w:t>
      </w:r>
    </w:p>
    <w:p w14:paraId="6F7D177F">
      <w:pPr>
        <w:rPr>
          <w:rFonts w:hint="eastAsia"/>
          <w:color w:val="auto"/>
          <w:lang w:val="en-US" w:eastAsia="zh-CN"/>
        </w:rPr>
      </w:pPr>
      <w:r>
        <w:rPr>
          <w:rFonts w:hint="eastAsia"/>
          <w:color w:val="auto"/>
          <w:lang w:val="en-US" w:eastAsia="zh-CN"/>
        </w:rPr>
        <w:t>①大气降水入渗补给</w:t>
      </w:r>
    </w:p>
    <w:p w14:paraId="29C447AC">
      <w:pPr>
        <w:rPr>
          <w:rFonts w:hint="eastAsia"/>
          <w:color w:val="auto"/>
          <w:lang w:val="en-US" w:eastAsia="zh-CN"/>
        </w:rPr>
      </w:pPr>
      <w:r>
        <w:rPr>
          <w:rFonts w:hint="eastAsia"/>
          <w:color w:val="auto"/>
          <w:lang w:val="en-US" w:eastAsia="zh-CN"/>
        </w:rPr>
        <w:t>本区地处亚热带湿润气候带，雨量充沛，潜水动态与大气降水密切相关，潜水接受雨水、地表水体的补给，并对微承压水有越流补给作用，但潜水更新的速度要远大于微承压水。微承压水同样也接受大气降水的入渗补给，但不是直接性的被补层位，而是先补给潜水，然后由潜水越流补给微承压水。但同时可以看到，由于近年来城市进程加快，城市化水平较高，大片土地被水泥路面或工厂厂房覆盖，造成大气降水入渗面积减少，一定程度上影响到潜水的补给资源量。</w:t>
      </w:r>
    </w:p>
    <w:p w14:paraId="787EAFD9">
      <w:pPr>
        <w:rPr>
          <w:rFonts w:hint="eastAsia"/>
          <w:color w:val="auto"/>
          <w:lang w:val="en-US" w:eastAsia="zh-CN"/>
        </w:rPr>
      </w:pPr>
      <w:r>
        <w:rPr>
          <w:rFonts w:hint="eastAsia"/>
          <w:color w:val="auto"/>
          <w:lang w:val="en-US" w:eastAsia="zh-CN"/>
        </w:rPr>
        <w:t>②农田灌溉对潜水的补给</w:t>
      </w:r>
    </w:p>
    <w:p w14:paraId="761D46BA">
      <w:pPr>
        <w:rPr>
          <w:rFonts w:hint="eastAsia"/>
          <w:color w:val="auto"/>
          <w:lang w:val="en-US" w:eastAsia="zh-CN"/>
        </w:rPr>
      </w:pPr>
      <w:r>
        <w:rPr>
          <w:rFonts w:hint="eastAsia"/>
          <w:color w:val="auto"/>
          <w:lang w:val="en-US" w:eastAsia="zh-CN"/>
        </w:rPr>
        <w:t>据前人试验资料，全区灌溉水的回渗系数为0.10~0.12，区内水稻的大量种植成为全区潜水的重要补给源之一，年补给量可达3~4亿m3，近年由于经济的高速发展，工业化程度不断提高，水稻种植面积已大大减少，补给量有所减少。</w:t>
      </w:r>
    </w:p>
    <w:p w14:paraId="502CB896">
      <w:pPr>
        <w:rPr>
          <w:rFonts w:hint="eastAsia"/>
          <w:color w:val="auto"/>
          <w:lang w:val="en-US" w:eastAsia="zh-CN"/>
        </w:rPr>
      </w:pPr>
      <w:r>
        <w:rPr>
          <w:rFonts w:hint="eastAsia"/>
          <w:color w:val="auto"/>
          <w:lang w:val="en-US" w:eastAsia="zh-CN"/>
        </w:rPr>
        <w:t>③地表水体的入渗、侧向补给</w:t>
      </w:r>
    </w:p>
    <w:p w14:paraId="31C9082D">
      <w:pPr>
        <w:rPr>
          <w:rFonts w:hint="eastAsia"/>
          <w:color w:val="auto"/>
          <w:lang w:val="en-US" w:eastAsia="zh-CN"/>
        </w:rPr>
      </w:pPr>
      <w:r>
        <w:rPr>
          <w:rFonts w:hint="eastAsia"/>
          <w:color w:val="auto"/>
          <w:lang w:val="en-US" w:eastAsia="zh-CN"/>
        </w:rPr>
        <w:t>河、湖等地表水体往往切割潜水含水层而与潜水连通，分布极为广泛，但由于潜水含水层颗粒极小，渗透系数小，水力坡度极小，潜水与河、湖水位基本保持一致，侧向径流补给量极为有限，一般影响范围在数百米之内，以互补、调控潜水水位为主。</w:t>
      </w:r>
    </w:p>
    <w:p w14:paraId="17C13A85">
      <w:pPr>
        <w:rPr>
          <w:rFonts w:hint="eastAsia"/>
          <w:color w:val="auto"/>
          <w:lang w:val="en-US" w:eastAsia="zh-CN"/>
        </w:rPr>
      </w:pPr>
      <w:r>
        <w:rPr>
          <w:rFonts w:hint="eastAsia"/>
          <w:color w:val="auto"/>
          <w:lang w:val="en-US" w:eastAsia="zh-CN"/>
        </w:rPr>
        <w:t>（2）径流条件</w:t>
      </w:r>
    </w:p>
    <w:p w14:paraId="7775D59F">
      <w:pPr>
        <w:rPr>
          <w:rFonts w:hint="eastAsia"/>
          <w:color w:val="auto"/>
          <w:lang w:val="en-US" w:eastAsia="zh-CN"/>
        </w:rPr>
      </w:pPr>
      <w:r>
        <w:rPr>
          <w:rFonts w:hint="eastAsia"/>
          <w:color w:val="auto"/>
          <w:lang w:val="en-US" w:eastAsia="zh-CN"/>
        </w:rPr>
        <w:t>由于区内地势平坦，潜水含水层岩性为粉质粘土、细粉砂，颗粒较细，径流较为微弱，造成地表水体的补给量小；由于微地貌的变化，地下水流一般由高亢处向低洼处径流。地势较高的地区与较低的地区水位埋深往往相差无几，但由于全区地势极为平坦，潜水水力坡度极小，河湖对潜水的侧向补给作用往往局限于河湖附近地带。</w:t>
      </w:r>
    </w:p>
    <w:p w14:paraId="0ECA02A3">
      <w:pPr>
        <w:rPr>
          <w:rFonts w:hint="eastAsia"/>
          <w:color w:val="auto"/>
          <w:lang w:val="en-US" w:eastAsia="zh-CN"/>
        </w:rPr>
      </w:pPr>
      <w:r>
        <w:rPr>
          <w:rFonts w:hint="eastAsia"/>
          <w:color w:val="auto"/>
          <w:lang w:val="en-US" w:eastAsia="zh-CN"/>
        </w:rPr>
        <w:t>微承压水含水层岩性为粉细砂，水平方向的渗透性明显强于潜水含水层，其径流条件也明显要比潜水好，但在天然条件下，水力坡度非常小，径流微弱。</w:t>
      </w:r>
    </w:p>
    <w:p w14:paraId="01DE6AA8">
      <w:pPr>
        <w:rPr>
          <w:rFonts w:hint="eastAsia"/>
          <w:color w:val="auto"/>
          <w:lang w:val="en-US" w:eastAsia="zh-CN"/>
        </w:rPr>
      </w:pPr>
      <w:r>
        <w:rPr>
          <w:rFonts w:hint="eastAsia"/>
          <w:color w:val="auto"/>
          <w:lang w:val="en-US" w:eastAsia="zh-CN"/>
        </w:rPr>
        <w:t>（3）排泄条件</w:t>
      </w:r>
    </w:p>
    <w:p w14:paraId="2CDA5C8D">
      <w:pPr>
        <w:rPr>
          <w:rFonts w:hint="eastAsia"/>
          <w:color w:val="auto"/>
          <w:lang w:val="en-US" w:eastAsia="zh-CN"/>
        </w:rPr>
      </w:pPr>
      <w:r>
        <w:rPr>
          <w:rFonts w:hint="eastAsia"/>
          <w:color w:val="auto"/>
          <w:lang w:val="en-US" w:eastAsia="zh-CN"/>
        </w:rPr>
        <w:t>潜水埋藏浅，水力坡度小，蒸发消耗、人工开采、向微承压越流是潜水的主要排泄方式。在水网化密度很高的地区，潜水水位较高，潜水蒸发量相对较大。在雨季，由于地下水排泄途径短，过水断面较大，向地表水体的排泄成为潜水的主要排泄方式。</w:t>
      </w:r>
    </w:p>
    <w:p w14:paraId="68C62740">
      <w:pPr>
        <w:rPr>
          <w:rFonts w:hint="eastAsia"/>
          <w:color w:val="auto"/>
          <w:lang w:val="en-US" w:eastAsia="zh-CN"/>
        </w:rPr>
      </w:pPr>
      <w:r>
        <w:rPr>
          <w:rFonts w:hint="eastAsia"/>
          <w:color w:val="auto"/>
          <w:lang w:val="en-US" w:eastAsia="zh-CN"/>
        </w:rPr>
        <w:t>深层地下水大幅开采后，浅层地下水与深层地下水之间存在着较大的水位差，在静水压力的驱动下，浅层地下水将通过弱透水层越流排泄给深层地下水。区内微承压水井逐渐增多，人为开采已成微承压水的主要排泄方式。</w:t>
      </w:r>
    </w:p>
    <w:p w14:paraId="7C9EDE60">
      <w:pPr>
        <w:rPr>
          <w:rFonts w:hint="eastAsia"/>
          <w:color w:val="auto"/>
          <w:lang w:val="en-US" w:eastAsia="zh-CN"/>
        </w:rPr>
      </w:pPr>
      <w:r>
        <w:rPr>
          <w:rFonts w:hint="eastAsia"/>
          <w:color w:val="auto"/>
          <w:lang w:val="en-US" w:eastAsia="zh-CN"/>
        </w:rPr>
        <w:t>潜水水位埋深主要受区域微地貌及河、湖、塘等地表水体的控制，同时受气候的影响，随季节性变化，即雨季埋深浅、旱季埋深大，其年变幅一般在1.0-1.5m间。</w:t>
      </w:r>
    </w:p>
    <w:p w14:paraId="4D68BE1F">
      <w:pPr>
        <w:pStyle w:val="4"/>
        <w:bidi w:val="0"/>
        <w:rPr>
          <w:rFonts w:hint="eastAsia"/>
          <w:color w:val="auto"/>
          <w:lang w:val="en-US" w:eastAsia="zh-CN"/>
        </w:rPr>
      </w:pPr>
      <w:bookmarkStart w:id="296" w:name="_Toc31823"/>
      <w:bookmarkStart w:id="297" w:name="_Toc597"/>
      <w:r>
        <w:rPr>
          <w:rFonts w:hint="eastAsia"/>
          <w:color w:val="auto"/>
          <w:lang w:val="en-US" w:eastAsia="zh-CN"/>
        </w:rPr>
        <w:t>水文地质现场测试及参数确定</w:t>
      </w:r>
      <w:bookmarkEnd w:id="296"/>
      <w:bookmarkEnd w:id="297"/>
    </w:p>
    <w:p w14:paraId="4D3DD582">
      <w:pPr>
        <w:rPr>
          <w:rFonts w:hint="eastAsia"/>
          <w:color w:val="auto"/>
          <w:lang w:val="en-US" w:eastAsia="zh-CN"/>
        </w:rPr>
      </w:pPr>
      <w:r>
        <w:rPr>
          <w:rFonts w:hint="eastAsia"/>
          <w:color w:val="auto"/>
          <w:lang w:val="en-US" w:eastAsia="zh-CN"/>
        </w:rPr>
        <w:t>（1）渗透系数</w:t>
      </w:r>
    </w:p>
    <w:p w14:paraId="3EB475F3">
      <w:pPr>
        <w:rPr>
          <w:rFonts w:hint="eastAsia"/>
          <w:color w:val="auto"/>
          <w:lang w:val="en-US" w:eastAsia="zh-CN"/>
        </w:rPr>
      </w:pPr>
      <w:r>
        <w:rPr>
          <w:rFonts w:hint="eastAsia"/>
          <w:color w:val="auto"/>
          <w:lang w:val="en-US" w:eastAsia="zh-CN"/>
        </w:rPr>
        <w:t>根据土壤现状监测数据，场地包气带岩(土)层渗透系数垂向渗透系数为0.01056m/d。</w:t>
      </w:r>
    </w:p>
    <w:p w14:paraId="4BC171CE">
      <w:pPr>
        <w:rPr>
          <w:rFonts w:hint="eastAsia"/>
          <w:color w:val="auto"/>
          <w:lang w:val="en-US" w:eastAsia="zh-CN"/>
        </w:rPr>
      </w:pPr>
      <w:r>
        <w:rPr>
          <w:rFonts w:hint="eastAsia"/>
          <w:color w:val="auto"/>
          <w:lang w:val="en-US" w:eastAsia="zh-CN"/>
        </w:rPr>
        <w:t>（2）孔隙度的确定</w:t>
      </w:r>
    </w:p>
    <w:p w14:paraId="1F3E78B9">
      <w:pPr>
        <w:rPr>
          <w:rFonts w:hint="eastAsia"/>
          <w:color w:val="auto"/>
          <w:lang w:val="en-US" w:eastAsia="zh-CN"/>
        </w:rPr>
      </w:pPr>
      <w:r>
        <w:rPr>
          <w:rFonts w:hint="eastAsia"/>
          <w:color w:val="auto"/>
          <w:lang w:val="en-US" w:eastAsia="zh-CN"/>
        </w:rPr>
        <w:t>根据土壤现状监测数据，场地包气带岩(土)层孔隙度取值为0.57。</w:t>
      </w:r>
    </w:p>
    <w:p w14:paraId="77CA34BA">
      <w:pPr>
        <w:rPr>
          <w:rFonts w:hint="eastAsia"/>
          <w:color w:val="auto"/>
          <w:lang w:val="en-US" w:eastAsia="zh-CN"/>
        </w:rPr>
      </w:pPr>
      <w:r>
        <w:rPr>
          <w:rFonts w:hint="eastAsia"/>
          <w:color w:val="auto"/>
          <w:lang w:val="en-US" w:eastAsia="zh-CN"/>
        </w:rPr>
        <w:t>（3）弥散系数的确定</w:t>
      </w:r>
    </w:p>
    <w:p w14:paraId="5448DE85">
      <w:pPr>
        <w:rPr>
          <w:rFonts w:hint="eastAsia"/>
          <w:color w:val="auto"/>
          <w:lang w:val="en-US" w:eastAsia="zh-CN"/>
        </w:rPr>
      </w:pPr>
      <w:r>
        <w:rPr>
          <w:rFonts w:hint="eastAsia"/>
          <w:color w:val="auto"/>
          <w:lang w:val="en-US" w:eastAsia="zh-CN"/>
        </w:rPr>
        <w:t>D.S.Makuch（2005）综合了其他人的研究成果，对不同岩性和不同尺度条件下介质的弥散度大小进行了统计，获得了污染物在不同岩性中迁移的纵向弥散度，并存在尺度效应现象（</w:t>
      </w:r>
      <w:r>
        <w:rPr>
          <w:rFonts w:hint="eastAsia"/>
          <w:color w:val="auto"/>
          <w:lang w:val="en-US" w:eastAsia="zh-CN"/>
        </w:rPr>
        <w:fldChar w:fldCharType="begin"/>
      </w:r>
      <w:r>
        <w:rPr>
          <w:rFonts w:hint="eastAsia"/>
          <w:color w:val="auto"/>
          <w:lang w:val="en-US" w:eastAsia="zh-CN"/>
        </w:rPr>
        <w:instrText xml:space="preserve"> REF _Ref17807 \h </w:instrText>
      </w:r>
      <w:r>
        <w:rPr>
          <w:rFonts w:hint="eastAsia"/>
          <w:color w:val="auto"/>
          <w:lang w:val="en-US" w:eastAsia="zh-CN"/>
        </w:rPr>
        <w:fldChar w:fldCharType="separate"/>
      </w: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t>4</w:t>
      </w:r>
      <w:r>
        <w:rPr>
          <w:rFonts w:hint="eastAsia"/>
          <w:color w:val="auto"/>
          <w:lang w:val="en-US" w:eastAsia="zh-CN"/>
        </w:rPr>
        <w:fldChar w:fldCharType="end"/>
      </w:r>
      <w:r>
        <w:rPr>
          <w:rFonts w:hint="eastAsia"/>
          <w:color w:val="auto"/>
          <w:lang w:val="en-US" w:eastAsia="zh-CN"/>
        </w:rPr>
        <w:t>）。根据室内弥散试验以及我们在其它地区的现场试验结果，对本次评价范围潜水含水层，纵向弥散度取50m，横向弥散度取5m，m指数取1.07。</w:t>
      </w:r>
    </w:p>
    <w:p w14:paraId="23E37832">
      <w:pPr>
        <w:pStyle w:val="25"/>
        <w:bidi w:val="0"/>
        <w:rPr>
          <w:rFonts w:hint="eastAsia"/>
          <w:color w:val="auto"/>
          <w:lang w:val="en-US" w:eastAsia="zh-CN"/>
        </w:rPr>
      </w:pPr>
      <w:r>
        <w:rPr>
          <w:rFonts w:hint="eastAsia"/>
          <w:color w:val="auto"/>
          <w:lang w:val="en-US" w:eastAsia="zh-CN"/>
        </w:rPr>
        <w:drawing>
          <wp:inline distT="0" distB="0" distL="0" distR="0">
            <wp:extent cx="4059555" cy="1953895"/>
            <wp:effectExtent l="0" t="0" r="17145" b="8255"/>
            <wp:docPr id="60" name="图片 50" descr="弥散系数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0" descr="弥散系数副本"/>
                    <pic:cNvPicPr>
                      <a:picLocks noChangeAspect="1" noChangeArrowheads="1"/>
                    </pic:cNvPicPr>
                  </pic:nvPicPr>
                  <pic:blipFill>
                    <a:blip r:embed="rId40" cstate="print"/>
                    <a:srcRect l="2043" t="4115" r="5200"/>
                    <a:stretch>
                      <a:fillRect/>
                    </a:stretch>
                  </pic:blipFill>
                  <pic:spPr>
                    <a:xfrm>
                      <a:off x="0" y="0"/>
                      <a:ext cx="4059555" cy="1953895"/>
                    </a:xfrm>
                    <a:prstGeom prst="rect">
                      <a:avLst/>
                    </a:prstGeom>
                    <a:noFill/>
                    <a:ln w="9525">
                      <a:noFill/>
                      <a:miter lim="800000"/>
                      <a:headEnd/>
                      <a:tailEnd/>
                    </a:ln>
                  </pic:spPr>
                </pic:pic>
              </a:graphicData>
            </a:graphic>
          </wp:inline>
        </w:drawing>
      </w:r>
    </w:p>
    <w:p w14:paraId="328B1630">
      <w:pPr>
        <w:pStyle w:val="25"/>
        <w:bidi w:val="0"/>
        <w:rPr>
          <w:rFonts w:hint="eastAsia"/>
          <w:color w:val="auto"/>
          <w:lang w:val="en-US" w:eastAsia="zh-CN"/>
        </w:rPr>
      </w:pPr>
      <w:bookmarkStart w:id="298" w:name="_Ref17807"/>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图 \* ARABIC \s 2 </w:instrText>
      </w:r>
      <w:r>
        <w:rPr>
          <w:rFonts w:hint="eastAsia"/>
          <w:color w:val="auto"/>
          <w:lang w:val="en-US" w:eastAsia="zh-CN"/>
        </w:rPr>
        <w:fldChar w:fldCharType="separate"/>
      </w:r>
      <w:r>
        <w:rPr>
          <w:rFonts w:hint="eastAsia"/>
          <w:color w:val="auto"/>
          <w:lang w:val="en-US" w:eastAsia="zh-CN"/>
        </w:rPr>
        <w:t>4</w:t>
      </w:r>
      <w:r>
        <w:rPr>
          <w:rFonts w:hint="eastAsia"/>
          <w:color w:val="auto"/>
          <w:lang w:val="en-US" w:eastAsia="zh-CN"/>
        </w:rPr>
        <w:fldChar w:fldCharType="end"/>
      </w:r>
      <w:bookmarkEnd w:id="298"/>
      <w:r>
        <w:rPr>
          <w:rFonts w:hint="eastAsia"/>
          <w:color w:val="auto"/>
          <w:lang w:val="en-US" w:eastAsia="zh-CN"/>
        </w:rPr>
        <w:t>松散沉积物的弥散度确定</w:t>
      </w:r>
    </w:p>
    <w:p w14:paraId="6EE6A85A">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含水层弥散度类比取值表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09"/>
        <w:gridCol w:w="2069"/>
        <w:gridCol w:w="2069"/>
        <w:gridCol w:w="2069"/>
      </w:tblGrid>
      <w:tr w14:paraId="6037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2F69A767">
            <w:pPr>
              <w:pStyle w:val="36"/>
              <w:bidi w:val="0"/>
              <w:rPr>
                <w:rFonts w:hint="eastAsia"/>
                <w:color w:val="auto"/>
                <w:lang w:val="en-US" w:eastAsia="zh-CN"/>
              </w:rPr>
            </w:pPr>
            <w:r>
              <w:rPr>
                <w:rFonts w:hint="eastAsia"/>
                <w:color w:val="auto"/>
                <w:lang w:val="en-US" w:eastAsia="zh-CN"/>
              </w:rPr>
              <w:t>粒径变化范围（mm）</w:t>
            </w:r>
          </w:p>
        </w:tc>
        <w:tc>
          <w:tcPr>
            <w:tcW w:w="2254" w:type="dxa"/>
            <w:vAlign w:val="center"/>
          </w:tcPr>
          <w:p w14:paraId="479F66C4">
            <w:pPr>
              <w:pStyle w:val="36"/>
              <w:bidi w:val="0"/>
              <w:rPr>
                <w:rFonts w:hint="eastAsia"/>
                <w:color w:val="auto"/>
                <w:lang w:val="en-US" w:eastAsia="zh-CN"/>
              </w:rPr>
            </w:pPr>
            <w:r>
              <w:rPr>
                <w:rFonts w:hint="eastAsia"/>
                <w:color w:val="auto"/>
                <w:lang w:val="en-US" w:eastAsia="zh-CN"/>
              </w:rPr>
              <w:t>均匀度系数</w:t>
            </w:r>
          </w:p>
        </w:tc>
        <w:tc>
          <w:tcPr>
            <w:tcW w:w="2254" w:type="dxa"/>
            <w:vAlign w:val="center"/>
          </w:tcPr>
          <w:p w14:paraId="00CB38DA">
            <w:pPr>
              <w:pStyle w:val="36"/>
              <w:bidi w:val="0"/>
              <w:rPr>
                <w:rFonts w:hint="eastAsia"/>
                <w:color w:val="auto"/>
                <w:lang w:val="en-US" w:eastAsia="zh-CN"/>
              </w:rPr>
            </w:pPr>
            <w:r>
              <w:rPr>
                <w:rFonts w:hint="eastAsia"/>
                <w:color w:val="auto"/>
                <w:lang w:val="en-US" w:eastAsia="zh-CN"/>
              </w:rPr>
              <w:t>M指数</w:t>
            </w:r>
          </w:p>
        </w:tc>
        <w:tc>
          <w:tcPr>
            <w:tcW w:w="2254" w:type="dxa"/>
            <w:vAlign w:val="center"/>
          </w:tcPr>
          <w:p w14:paraId="728C15C5">
            <w:pPr>
              <w:pStyle w:val="36"/>
              <w:bidi w:val="0"/>
              <w:rPr>
                <w:rFonts w:hint="eastAsia"/>
                <w:color w:val="auto"/>
                <w:lang w:val="en-US" w:eastAsia="zh-CN"/>
              </w:rPr>
            </w:pPr>
            <w:r>
              <w:rPr>
                <w:rFonts w:hint="eastAsia"/>
                <w:color w:val="auto"/>
                <w:lang w:val="en-US" w:eastAsia="zh-CN"/>
              </w:rPr>
              <w:t>弥散度</w:t>
            </w:r>
          </w:p>
        </w:tc>
      </w:tr>
      <w:tr w14:paraId="5FCA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0A179A46">
            <w:pPr>
              <w:pStyle w:val="26"/>
              <w:bidi w:val="0"/>
              <w:rPr>
                <w:rFonts w:hint="eastAsia"/>
                <w:color w:val="auto"/>
                <w:lang w:val="en-US" w:eastAsia="zh-CN"/>
              </w:rPr>
            </w:pPr>
            <w:r>
              <w:rPr>
                <w:rFonts w:hint="eastAsia"/>
                <w:color w:val="auto"/>
                <w:lang w:val="en-US" w:eastAsia="zh-CN"/>
              </w:rPr>
              <w:t>0.4-0.7</w:t>
            </w:r>
          </w:p>
        </w:tc>
        <w:tc>
          <w:tcPr>
            <w:tcW w:w="2254" w:type="dxa"/>
            <w:vAlign w:val="center"/>
          </w:tcPr>
          <w:p w14:paraId="4EC08DFE">
            <w:pPr>
              <w:pStyle w:val="26"/>
              <w:bidi w:val="0"/>
              <w:rPr>
                <w:rFonts w:hint="eastAsia"/>
                <w:color w:val="auto"/>
                <w:lang w:val="en-US" w:eastAsia="zh-CN"/>
              </w:rPr>
            </w:pPr>
            <w:r>
              <w:rPr>
                <w:rFonts w:hint="eastAsia"/>
                <w:color w:val="auto"/>
                <w:lang w:val="en-US" w:eastAsia="zh-CN"/>
              </w:rPr>
              <w:t>1.55</w:t>
            </w:r>
          </w:p>
        </w:tc>
        <w:tc>
          <w:tcPr>
            <w:tcW w:w="2254" w:type="dxa"/>
            <w:vAlign w:val="center"/>
          </w:tcPr>
          <w:p w14:paraId="17B99987">
            <w:pPr>
              <w:pStyle w:val="26"/>
              <w:bidi w:val="0"/>
              <w:rPr>
                <w:rFonts w:hint="eastAsia"/>
                <w:color w:val="auto"/>
                <w:lang w:val="en-US" w:eastAsia="zh-CN"/>
              </w:rPr>
            </w:pPr>
            <w:r>
              <w:rPr>
                <w:rFonts w:hint="eastAsia"/>
                <w:color w:val="auto"/>
                <w:lang w:val="en-US" w:eastAsia="zh-CN"/>
              </w:rPr>
              <w:t>1.09</w:t>
            </w:r>
          </w:p>
        </w:tc>
        <w:tc>
          <w:tcPr>
            <w:tcW w:w="2254" w:type="dxa"/>
            <w:vAlign w:val="center"/>
          </w:tcPr>
          <w:p w14:paraId="73CA7182">
            <w:pPr>
              <w:pStyle w:val="26"/>
              <w:bidi w:val="0"/>
              <w:rPr>
                <w:rFonts w:hint="eastAsia"/>
                <w:color w:val="auto"/>
                <w:lang w:val="en-US" w:eastAsia="zh-CN"/>
              </w:rPr>
            </w:pPr>
            <w:r>
              <w:rPr>
                <w:rFonts w:hint="eastAsia"/>
                <w:color w:val="auto"/>
                <w:lang w:val="en-US" w:eastAsia="zh-CN"/>
              </w:rPr>
              <w:t>3.96</w:t>
            </w:r>
          </w:p>
        </w:tc>
      </w:tr>
      <w:tr w14:paraId="75D1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01882DC0">
            <w:pPr>
              <w:pStyle w:val="26"/>
              <w:bidi w:val="0"/>
              <w:rPr>
                <w:rFonts w:hint="eastAsia"/>
                <w:color w:val="auto"/>
                <w:lang w:val="en-US" w:eastAsia="zh-CN"/>
              </w:rPr>
            </w:pPr>
            <w:r>
              <w:rPr>
                <w:rFonts w:hint="eastAsia"/>
                <w:color w:val="auto"/>
                <w:lang w:val="en-US" w:eastAsia="zh-CN"/>
              </w:rPr>
              <w:t>0.5-1.5</w:t>
            </w:r>
          </w:p>
        </w:tc>
        <w:tc>
          <w:tcPr>
            <w:tcW w:w="2254" w:type="dxa"/>
            <w:vAlign w:val="center"/>
          </w:tcPr>
          <w:p w14:paraId="10A665AE">
            <w:pPr>
              <w:pStyle w:val="26"/>
              <w:bidi w:val="0"/>
              <w:rPr>
                <w:rFonts w:hint="eastAsia"/>
                <w:color w:val="auto"/>
                <w:lang w:val="en-US" w:eastAsia="zh-CN"/>
              </w:rPr>
            </w:pPr>
            <w:r>
              <w:rPr>
                <w:rFonts w:hint="eastAsia"/>
                <w:color w:val="auto"/>
                <w:lang w:val="en-US" w:eastAsia="zh-CN"/>
              </w:rPr>
              <w:t>1.85</w:t>
            </w:r>
          </w:p>
        </w:tc>
        <w:tc>
          <w:tcPr>
            <w:tcW w:w="2254" w:type="dxa"/>
            <w:vAlign w:val="center"/>
          </w:tcPr>
          <w:p w14:paraId="103AE5CE">
            <w:pPr>
              <w:pStyle w:val="26"/>
              <w:bidi w:val="0"/>
              <w:rPr>
                <w:rFonts w:hint="eastAsia"/>
                <w:color w:val="auto"/>
                <w:lang w:val="en-US" w:eastAsia="zh-CN"/>
              </w:rPr>
            </w:pPr>
            <w:r>
              <w:rPr>
                <w:rFonts w:hint="eastAsia"/>
                <w:color w:val="auto"/>
                <w:lang w:val="en-US" w:eastAsia="zh-CN"/>
              </w:rPr>
              <w:t>1.1</w:t>
            </w:r>
          </w:p>
        </w:tc>
        <w:tc>
          <w:tcPr>
            <w:tcW w:w="2254" w:type="dxa"/>
            <w:vAlign w:val="center"/>
          </w:tcPr>
          <w:p w14:paraId="505753DB">
            <w:pPr>
              <w:pStyle w:val="26"/>
              <w:bidi w:val="0"/>
              <w:rPr>
                <w:rFonts w:hint="eastAsia"/>
                <w:color w:val="auto"/>
                <w:lang w:val="en-US" w:eastAsia="zh-CN"/>
              </w:rPr>
            </w:pPr>
            <w:r>
              <w:rPr>
                <w:rFonts w:hint="eastAsia"/>
                <w:color w:val="auto"/>
                <w:lang w:val="en-US" w:eastAsia="zh-CN"/>
              </w:rPr>
              <w:t>5.78</w:t>
            </w:r>
          </w:p>
        </w:tc>
      </w:tr>
      <w:tr w14:paraId="0E11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44DA28D7">
            <w:pPr>
              <w:pStyle w:val="26"/>
              <w:bidi w:val="0"/>
              <w:rPr>
                <w:rFonts w:hint="eastAsia"/>
                <w:color w:val="auto"/>
                <w:lang w:val="en-US" w:eastAsia="zh-CN"/>
              </w:rPr>
            </w:pPr>
            <w:r>
              <w:rPr>
                <w:rFonts w:hint="eastAsia"/>
                <w:color w:val="auto"/>
                <w:lang w:val="en-US" w:eastAsia="zh-CN"/>
              </w:rPr>
              <w:t>1-2</w:t>
            </w:r>
          </w:p>
        </w:tc>
        <w:tc>
          <w:tcPr>
            <w:tcW w:w="2254" w:type="dxa"/>
            <w:vAlign w:val="center"/>
          </w:tcPr>
          <w:p w14:paraId="4B75BA36">
            <w:pPr>
              <w:pStyle w:val="26"/>
              <w:bidi w:val="0"/>
              <w:rPr>
                <w:rFonts w:hint="eastAsia"/>
                <w:color w:val="auto"/>
                <w:lang w:val="en-US" w:eastAsia="zh-CN"/>
              </w:rPr>
            </w:pPr>
            <w:r>
              <w:rPr>
                <w:rFonts w:hint="eastAsia"/>
                <w:color w:val="auto"/>
                <w:lang w:val="en-US" w:eastAsia="zh-CN"/>
              </w:rPr>
              <w:t>1.6</w:t>
            </w:r>
          </w:p>
        </w:tc>
        <w:tc>
          <w:tcPr>
            <w:tcW w:w="2254" w:type="dxa"/>
            <w:vAlign w:val="center"/>
          </w:tcPr>
          <w:p w14:paraId="168F1BAF">
            <w:pPr>
              <w:pStyle w:val="26"/>
              <w:bidi w:val="0"/>
              <w:rPr>
                <w:rFonts w:hint="eastAsia"/>
                <w:color w:val="auto"/>
                <w:lang w:val="en-US" w:eastAsia="zh-CN"/>
              </w:rPr>
            </w:pPr>
            <w:r>
              <w:rPr>
                <w:rFonts w:hint="eastAsia"/>
                <w:color w:val="auto"/>
                <w:lang w:val="en-US" w:eastAsia="zh-CN"/>
              </w:rPr>
              <w:t>1.1</w:t>
            </w:r>
          </w:p>
        </w:tc>
        <w:tc>
          <w:tcPr>
            <w:tcW w:w="2254" w:type="dxa"/>
            <w:vAlign w:val="center"/>
          </w:tcPr>
          <w:p w14:paraId="3D547863">
            <w:pPr>
              <w:pStyle w:val="26"/>
              <w:bidi w:val="0"/>
              <w:rPr>
                <w:rFonts w:hint="eastAsia"/>
                <w:color w:val="auto"/>
                <w:lang w:val="en-US" w:eastAsia="zh-CN"/>
              </w:rPr>
            </w:pPr>
            <w:r>
              <w:rPr>
                <w:rFonts w:hint="eastAsia"/>
                <w:color w:val="auto"/>
                <w:lang w:val="en-US" w:eastAsia="zh-CN"/>
              </w:rPr>
              <w:t>8.8</w:t>
            </w:r>
          </w:p>
        </w:tc>
      </w:tr>
      <w:tr w14:paraId="27B1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4EE22DB6">
            <w:pPr>
              <w:pStyle w:val="26"/>
              <w:bidi w:val="0"/>
              <w:rPr>
                <w:rFonts w:hint="eastAsia"/>
                <w:color w:val="auto"/>
                <w:lang w:val="en-US" w:eastAsia="zh-CN"/>
              </w:rPr>
            </w:pPr>
            <w:r>
              <w:rPr>
                <w:rFonts w:hint="eastAsia"/>
                <w:color w:val="auto"/>
                <w:lang w:val="en-US" w:eastAsia="zh-CN"/>
              </w:rPr>
              <w:t>2-3</w:t>
            </w:r>
          </w:p>
        </w:tc>
        <w:tc>
          <w:tcPr>
            <w:tcW w:w="2254" w:type="dxa"/>
            <w:vAlign w:val="center"/>
          </w:tcPr>
          <w:p w14:paraId="69BFB373">
            <w:pPr>
              <w:pStyle w:val="26"/>
              <w:bidi w:val="0"/>
              <w:rPr>
                <w:rFonts w:hint="eastAsia"/>
                <w:color w:val="auto"/>
                <w:lang w:val="en-US" w:eastAsia="zh-CN"/>
              </w:rPr>
            </w:pPr>
            <w:r>
              <w:rPr>
                <w:rFonts w:hint="eastAsia"/>
                <w:color w:val="auto"/>
                <w:lang w:val="en-US" w:eastAsia="zh-CN"/>
              </w:rPr>
              <w:t>1.3</w:t>
            </w:r>
          </w:p>
        </w:tc>
        <w:tc>
          <w:tcPr>
            <w:tcW w:w="2254" w:type="dxa"/>
            <w:vAlign w:val="center"/>
          </w:tcPr>
          <w:p w14:paraId="09EE2F08">
            <w:pPr>
              <w:pStyle w:val="26"/>
              <w:bidi w:val="0"/>
              <w:rPr>
                <w:rFonts w:hint="eastAsia"/>
                <w:color w:val="auto"/>
                <w:lang w:val="en-US" w:eastAsia="zh-CN"/>
              </w:rPr>
            </w:pPr>
            <w:r>
              <w:rPr>
                <w:rFonts w:hint="eastAsia"/>
                <w:color w:val="auto"/>
                <w:lang w:val="en-US" w:eastAsia="zh-CN"/>
              </w:rPr>
              <w:t>1.09</w:t>
            </w:r>
          </w:p>
        </w:tc>
        <w:tc>
          <w:tcPr>
            <w:tcW w:w="2254" w:type="dxa"/>
            <w:vAlign w:val="center"/>
          </w:tcPr>
          <w:p w14:paraId="61D7EEE1">
            <w:pPr>
              <w:pStyle w:val="26"/>
              <w:bidi w:val="0"/>
              <w:rPr>
                <w:rFonts w:hint="eastAsia"/>
                <w:color w:val="auto"/>
                <w:lang w:val="en-US" w:eastAsia="zh-CN"/>
              </w:rPr>
            </w:pPr>
            <w:r>
              <w:rPr>
                <w:rFonts w:hint="eastAsia"/>
                <w:color w:val="auto"/>
                <w:lang w:val="en-US" w:eastAsia="zh-CN"/>
              </w:rPr>
              <w:t>13.0</w:t>
            </w:r>
          </w:p>
        </w:tc>
      </w:tr>
      <w:tr w14:paraId="1AAC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71FD297F">
            <w:pPr>
              <w:pStyle w:val="26"/>
              <w:bidi w:val="0"/>
              <w:rPr>
                <w:rFonts w:hint="eastAsia"/>
                <w:color w:val="auto"/>
                <w:lang w:val="en-US" w:eastAsia="zh-CN"/>
              </w:rPr>
            </w:pPr>
            <w:r>
              <w:rPr>
                <w:rFonts w:hint="eastAsia"/>
                <w:color w:val="auto"/>
                <w:lang w:val="en-US" w:eastAsia="zh-CN"/>
              </w:rPr>
              <w:t>5-7</w:t>
            </w:r>
          </w:p>
        </w:tc>
        <w:tc>
          <w:tcPr>
            <w:tcW w:w="2254" w:type="dxa"/>
            <w:vAlign w:val="center"/>
          </w:tcPr>
          <w:p w14:paraId="0814A1D6">
            <w:pPr>
              <w:pStyle w:val="26"/>
              <w:bidi w:val="0"/>
              <w:rPr>
                <w:rFonts w:hint="eastAsia"/>
                <w:color w:val="auto"/>
                <w:lang w:val="en-US" w:eastAsia="zh-CN"/>
              </w:rPr>
            </w:pPr>
            <w:r>
              <w:rPr>
                <w:rFonts w:hint="eastAsia"/>
                <w:color w:val="auto"/>
                <w:lang w:val="en-US" w:eastAsia="zh-CN"/>
              </w:rPr>
              <w:t>1.3</w:t>
            </w:r>
          </w:p>
        </w:tc>
        <w:tc>
          <w:tcPr>
            <w:tcW w:w="2254" w:type="dxa"/>
            <w:vAlign w:val="center"/>
          </w:tcPr>
          <w:p w14:paraId="446F1B1B">
            <w:pPr>
              <w:pStyle w:val="26"/>
              <w:bidi w:val="0"/>
              <w:rPr>
                <w:rFonts w:hint="eastAsia"/>
                <w:color w:val="auto"/>
                <w:lang w:val="en-US" w:eastAsia="zh-CN"/>
              </w:rPr>
            </w:pPr>
            <w:r>
              <w:rPr>
                <w:rFonts w:hint="eastAsia"/>
                <w:color w:val="auto"/>
                <w:lang w:val="en-US" w:eastAsia="zh-CN"/>
              </w:rPr>
              <w:t>1.09</w:t>
            </w:r>
          </w:p>
        </w:tc>
        <w:tc>
          <w:tcPr>
            <w:tcW w:w="2254" w:type="dxa"/>
            <w:vAlign w:val="center"/>
          </w:tcPr>
          <w:p w14:paraId="02E50490">
            <w:pPr>
              <w:pStyle w:val="26"/>
              <w:bidi w:val="0"/>
              <w:rPr>
                <w:rFonts w:hint="eastAsia"/>
                <w:color w:val="auto"/>
                <w:lang w:val="en-US" w:eastAsia="zh-CN"/>
              </w:rPr>
            </w:pPr>
            <w:r>
              <w:rPr>
                <w:rFonts w:hint="eastAsia"/>
                <w:color w:val="auto"/>
                <w:lang w:val="en-US" w:eastAsia="zh-CN"/>
              </w:rPr>
              <w:t>16.7</w:t>
            </w:r>
          </w:p>
        </w:tc>
      </w:tr>
      <w:tr w14:paraId="2333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080CF542">
            <w:pPr>
              <w:pStyle w:val="26"/>
              <w:bidi w:val="0"/>
              <w:rPr>
                <w:rFonts w:hint="eastAsia"/>
                <w:color w:val="auto"/>
                <w:lang w:val="en-US" w:eastAsia="zh-CN"/>
              </w:rPr>
            </w:pPr>
            <w:r>
              <w:rPr>
                <w:rFonts w:hint="eastAsia"/>
                <w:color w:val="auto"/>
                <w:lang w:val="en-US" w:eastAsia="zh-CN"/>
              </w:rPr>
              <w:t>0.5-2</w:t>
            </w:r>
          </w:p>
        </w:tc>
        <w:tc>
          <w:tcPr>
            <w:tcW w:w="2254" w:type="dxa"/>
            <w:vAlign w:val="center"/>
          </w:tcPr>
          <w:p w14:paraId="55813B58">
            <w:pPr>
              <w:pStyle w:val="26"/>
              <w:bidi w:val="0"/>
              <w:rPr>
                <w:rFonts w:hint="eastAsia"/>
                <w:color w:val="auto"/>
                <w:lang w:val="en-US" w:eastAsia="zh-CN"/>
              </w:rPr>
            </w:pPr>
            <w:r>
              <w:rPr>
                <w:rFonts w:hint="eastAsia"/>
                <w:color w:val="auto"/>
                <w:lang w:val="en-US" w:eastAsia="zh-CN"/>
              </w:rPr>
              <w:t>2</w:t>
            </w:r>
          </w:p>
        </w:tc>
        <w:tc>
          <w:tcPr>
            <w:tcW w:w="2254" w:type="dxa"/>
            <w:vAlign w:val="center"/>
          </w:tcPr>
          <w:p w14:paraId="77F74279">
            <w:pPr>
              <w:pStyle w:val="26"/>
              <w:bidi w:val="0"/>
              <w:rPr>
                <w:rFonts w:hint="eastAsia"/>
                <w:color w:val="auto"/>
                <w:lang w:val="en-US" w:eastAsia="zh-CN"/>
              </w:rPr>
            </w:pPr>
            <w:r>
              <w:rPr>
                <w:rFonts w:hint="eastAsia"/>
                <w:color w:val="auto"/>
                <w:lang w:val="en-US" w:eastAsia="zh-CN"/>
              </w:rPr>
              <w:t>1.08</w:t>
            </w:r>
          </w:p>
        </w:tc>
        <w:tc>
          <w:tcPr>
            <w:tcW w:w="2254" w:type="dxa"/>
            <w:vAlign w:val="center"/>
          </w:tcPr>
          <w:p w14:paraId="648BA256">
            <w:pPr>
              <w:pStyle w:val="26"/>
              <w:bidi w:val="0"/>
              <w:rPr>
                <w:rFonts w:hint="eastAsia"/>
                <w:color w:val="auto"/>
                <w:lang w:val="en-US" w:eastAsia="zh-CN"/>
              </w:rPr>
            </w:pPr>
            <w:r>
              <w:rPr>
                <w:rFonts w:hint="eastAsia"/>
                <w:color w:val="auto"/>
                <w:lang w:val="en-US" w:eastAsia="zh-CN"/>
              </w:rPr>
              <w:t>3.11</w:t>
            </w:r>
          </w:p>
        </w:tc>
      </w:tr>
      <w:tr w14:paraId="3245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03F7D864">
            <w:pPr>
              <w:pStyle w:val="26"/>
              <w:bidi w:val="0"/>
              <w:rPr>
                <w:rFonts w:hint="eastAsia"/>
                <w:color w:val="auto"/>
                <w:lang w:val="en-US" w:eastAsia="zh-CN"/>
              </w:rPr>
            </w:pPr>
            <w:r>
              <w:rPr>
                <w:rFonts w:hint="eastAsia"/>
                <w:color w:val="auto"/>
                <w:lang w:val="en-US" w:eastAsia="zh-CN"/>
              </w:rPr>
              <w:t>0.2-5</w:t>
            </w:r>
          </w:p>
        </w:tc>
        <w:tc>
          <w:tcPr>
            <w:tcW w:w="2254" w:type="dxa"/>
            <w:vAlign w:val="center"/>
          </w:tcPr>
          <w:p w14:paraId="0F4D0CC6">
            <w:pPr>
              <w:pStyle w:val="26"/>
              <w:bidi w:val="0"/>
              <w:rPr>
                <w:rFonts w:hint="eastAsia"/>
                <w:color w:val="auto"/>
                <w:lang w:val="en-US" w:eastAsia="zh-CN"/>
              </w:rPr>
            </w:pPr>
            <w:r>
              <w:rPr>
                <w:rFonts w:hint="eastAsia"/>
                <w:color w:val="auto"/>
                <w:lang w:val="en-US" w:eastAsia="zh-CN"/>
              </w:rPr>
              <w:t>5</w:t>
            </w:r>
          </w:p>
        </w:tc>
        <w:tc>
          <w:tcPr>
            <w:tcW w:w="2254" w:type="dxa"/>
            <w:vAlign w:val="center"/>
          </w:tcPr>
          <w:p w14:paraId="29D65E48">
            <w:pPr>
              <w:pStyle w:val="26"/>
              <w:bidi w:val="0"/>
              <w:rPr>
                <w:rFonts w:hint="eastAsia"/>
                <w:color w:val="auto"/>
                <w:lang w:val="en-US" w:eastAsia="zh-CN"/>
              </w:rPr>
            </w:pPr>
            <w:r>
              <w:rPr>
                <w:rFonts w:hint="eastAsia"/>
                <w:color w:val="auto"/>
                <w:lang w:val="en-US" w:eastAsia="zh-CN"/>
              </w:rPr>
              <w:t>1.08</w:t>
            </w:r>
          </w:p>
        </w:tc>
        <w:tc>
          <w:tcPr>
            <w:tcW w:w="2254" w:type="dxa"/>
            <w:vAlign w:val="center"/>
          </w:tcPr>
          <w:p w14:paraId="382355A5">
            <w:pPr>
              <w:pStyle w:val="26"/>
              <w:bidi w:val="0"/>
              <w:rPr>
                <w:rFonts w:hint="eastAsia"/>
                <w:color w:val="auto"/>
                <w:lang w:val="en-US" w:eastAsia="zh-CN"/>
              </w:rPr>
            </w:pPr>
            <w:r>
              <w:rPr>
                <w:rFonts w:hint="eastAsia"/>
                <w:color w:val="auto"/>
                <w:lang w:val="en-US" w:eastAsia="zh-CN"/>
              </w:rPr>
              <w:t>8.3</w:t>
            </w:r>
          </w:p>
        </w:tc>
      </w:tr>
      <w:tr w14:paraId="5C4A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0DBEAEF3">
            <w:pPr>
              <w:pStyle w:val="26"/>
              <w:bidi w:val="0"/>
              <w:rPr>
                <w:rFonts w:hint="eastAsia"/>
                <w:color w:val="auto"/>
                <w:lang w:val="en-US" w:eastAsia="zh-CN"/>
              </w:rPr>
            </w:pPr>
            <w:r>
              <w:rPr>
                <w:rFonts w:hint="eastAsia"/>
                <w:color w:val="auto"/>
                <w:lang w:val="en-US" w:eastAsia="zh-CN"/>
              </w:rPr>
              <w:t>0.1-10</w:t>
            </w:r>
          </w:p>
        </w:tc>
        <w:tc>
          <w:tcPr>
            <w:tcW w:w="2254" w:type="dxa"/>
            <w:vAlign w:val="center"/>
          </w:tcPr>
          <w:p w14:paraId="00E72D64">
            <w:pPr>
              <w:pStyle w:val="26"/>
              <w:bidi w:val="0"/>
              <w:rPr>
                <w:rFonts w:hint="eastAsia"/>
                <w:color w:val="auto"/>
                <w:lang w:val="en-US" w:eastAsia="zh-CN"/>
              </w:rPr>
            </w:pPr>
            <w:r>
              <w:rPr>
                <w:rFonts w:hint="eastAsia"/>
                <w:color w:val="auto"/>
                <w:lang w:val="en-US" w:eastAsia="zh-CN"/>
              </w:rPr>
              <w:t>10</w:t>
            </w:r>
          </w:p>
        </w:tc>
        <w:tc>
          <w:tcPr>
            <w:tcW w:w="2254" w:type="dxa"/>
            <w:vAlign w:val="center"/>
          </w:tcPr>
          <w:p w14:paraId="23F38409">
            <w:pPr>
              <w:pStyle w:val="26"/>
              <w:bidi w:val="0"/>
              <w:rPr>
                <w:rFonts w:hint="eastAsia"/>
                <w:color w:val="auto"/>
                <w:lang w:val="en-US" w:eastAsia="zh-CN"/>
              </w:rPr>
            </w:pPr>
            <w:r>
              <w:rPr>
                <w:rFonts w:hint="eastAsia"/>
                <w:color w:val="auto"/>
                <w:lang w:val="en-US" w:eastAsia="zh-CN"/>
              </w:rPr>
              <w:t>1.07</w:t>
            </w:r>
          </w:p>
        </w:tc>
        <w:tc>
          <w:tcPr>
            <w:tcW w:w="2254" w:type="dxa"/>
            <w:vAlign w:val="center"/>
          </w:tcPr>
          <w:p w14:paraId="227EA633">
            <w:pPr>
              <w:pStyle w:val="26"/>
              <w:bidi w:val="0"/>
              <w:rPr>
                <w:rFonts w:hint="eastAsia"/>
                <w:color w:val="auto"/>
                <w:lang w:val="en-US" w:eastAsia="zh-CN"/>
              </w:rPr>
            </w:pPr>
            <w:r>
              <w:rPr>
                <w:rFonts w:hint="eastAsia"/>
                <w:color w:val="auto"/>
                <w:lang w:val="en-US" w:eastAsia="zh-CN"/>
              </w:rPr>
              <w:t>16.3</w:t>
            </w:r>
          </w:p>
        </w:tc>
      </w:tr>
      <w:tr w14:paraId="2DD9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54" w:type="dxa"/>
            <w:vAlign w:val="center"/>
          </w:tcPr>
          <w:p w14:paraId="2324EED0">
            <w:pPr>
              <w:pStyle w:val="26"/>
              <w:bidi w:val="0"/>
              <w:rPr>
                <w:rFonts w:hint="eastAsia"/>
                <w:color w:val="auto"/>
                <w:lang w:val="en-US" w:eastAsia="zh-CN"/>
              </w:rPr>
            </w:pPr>
            <w:r>
              <w:rPr>
                <w:rFonts w:hint="eastAsia"/>
                <w:color w:val="auto"/>
                <w:lang w:val="en-US" w:eastAsia="zh-CN"/>
              </w:rPr>
              <w:t>0.05-20</w:t>
            </w:r>
          </w:p>
        </w:tc>
        <w:tc>
          <w:tcPr>
            <w:tcW w:w="2254" w:type="dxa"/>
            <w:vAlign w:val="center"/>
          </w:tcPr>
          <w:p w14:paraId="206BE3C2">
            <w:pPr>
              <w:pStyle w:val="26"/>
              <w:bidi w:val="0"/>
              <w:rPr>
                <w:rFonts w:hint="eastAsia"/>
                <w:color w:val="auto"/>
                <w:lang w:val="en-US" w:eastAsia="zh-CN"/>
              </w:rPr>
            </w:pPr>
            <w:r>
              <w:rPr>
                <w:rFonts w:hint="eastAsia"/>
                <w:color w:val="auto"/>
                <w:lang w:val="en-US" w:eastAsia="zh-CN"/>
              </w:rPr>
              <w:t>20</w:t>
            </w:r>
          </w:p>
        </w:tc>
        <w:tc>
          <w:tcPr>
            <w:tcW w:w="2254" w:type="dxa"/>
            <w:vAlign w:val="center"/>
          </w:tcPr>
          <w:p w14:paraId="67A44278">
            <w:pPr>
              <w:pStyle w:val="26"/>
              <w:bidi w:val="0"/>
              <w:rPr>
                <w:rFonts w:hint="eastAsia"/>
                <w:color w:val="auto"/>
                <w:lang w:val="en-US" w:eastAsia="zh-CN"/>
              </w:rPr>
            </w:pPr>
            <w:r>
              <w:rPr>
                <w:rFonts w:hint="eastAsia"/>
                <w:color w:val="auto"/>
                <w:lang w:val="en-US" w:eastAsia="zh-CN"/>
              </w:rPr>
              <w:t>1.07</w:t>
            </w:r>
          </w:p>
        </w:tc>
        <w:tc>
          <w:tcPr>
            <w:tcW w:w="2254" w:type="dxa"/>
            <w:vAlign w:val="center"/>
          </w:tcPr>
          <w:p w14:paraId="75BDE3D0">
            <w:pPr>
              <w:pStyle w:val="26"/>
              <w:bidi w:val="0"/>
              <w:rPr>
                <w:rFonts w:hint="eastAsia"/>
                <w:color w:val="auto"/>
                <w:lang w:val="en-US" w:eastAsia="zh-CN"/>
              </w:rPr>
            </w:pPr>
            <w:r>
              <w:rPr>
                <w:rFonts w:hint="eastAsia"/>
                <w:color w:val="auto"/>
                <w:lang w:val="en-US" w:eastAsia="zh-CN"/>
              </w:rPr>
              <w:t>70.7</w:t>
            </w:r>
          </w:p>
        </w:tc>
      </w:tr>
    </w:tbl>
    <w:p w14:paraId="359837D2">
      <w:pPr>
        <w:bidi w:val="0"/>
        <w:rPr>
          <w:rFonts w:hint="eastAsia"/>
          <w:color w:val="auto"/>
          <w:lang w:val="en-US" w:eastAsia="zh-CN"/>
        </w:rPr>
      </w:pPr>
      <w:r>
        <w:rPr>
          <w:rFonts w:hint="eastAsia"/>
          <w:color w:val="auto"/>
          <w:lang w:val="en-US" w:eastAsia="zh-CN"/>
        </w:rPr>
        <w:t>（4）水力坡度的确定</w:t>
      </w:r>
    </w:p>
    <w:p w14:paraId="4145D214">
      <w:pPr>
        <w:bidi w:val="0"/>
        <w:rPr>
          <w:rFonts w:hint="eastAsia"/>
          <w:color w:val="auto"/>
          <w:lang w:val="en-US" w:eastAsia="zh-CN"/>
        </w:rPr>
      </w:pPr>
      <w:r>
        <w:rPr>
          <w:rFonts w:hint="eastAsia"/>
          <w:color w:val="auto"/>
          <w:lang w:val="en-US" w:eastAsia="zh-CN"/>
        </w:rPr>
        <w:t>根据两钻孔的水位高差可计算出钻孔间的水力坡度，计算结果见表6.5.5-4。从表中可以看出，评价区域水文地质单元的水力坡度为0.00158～0.00066，平均值约0.00112。</w:t>
      </w:r>
    </w:p>
    <w:p w14:paraId="034F3252">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水力坡度计算结果表</w:t>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1463"/>
        <w:gridCol w:w="2316"/>
        <w:gridCol w:w="2057"/>
        <w:gridCol w:w="1755"/>
      </w:tblGrid>
      <w:tr w14:paraId="16A4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46" w:type="pct"/>
            <w:vAlign w:val="center"/>
          </w:tcPr>
          <w:p w14:paraId="798DD7FC">
            <w:pPr>
              <w:pStyle w:val="36"/>
              <w:bidi w:val="0"/>
              <w:rPr>
                <w:rFonts w:hint="eastAsia"/>
                <w:color w:val="auto"/>
                <w:lang w:val="en-US" w:eastAsia="zh-CN"/>
              </w:rPr>
            </w:pPr>
            <w:r>
              <w:rPr>
                <w:rFonts w:hint="eastAsia"/>
                <w:color w:val="auto"/>
                <w:lang w:val="en-US" w:eastAsia="zh-CN"/>
              </w:rPr>
              <w:t>孔号</w:t>
            </w:r>
          </w:p>
        </w:tc>
        <w:tc>
          <w:tcPr>
            <w:tcW w:w="858" w:type="pct"/>
            <w:vAlign w:val="center"/>
          </w:tcPr>
          <w:p w14:paraId="3EEB49DA">
            <w:pPr>
              <w:pStyle w:val="36"/>
              <w:bidi w:val="0"/>
              <w:rPr>
                <w:rFonts w:hint="eastAsia"/>
                <w:color w:val="auto"/>
                <w:lang w:val="en-US" w:eastAsia="zh-CN"/>
              </w:rPr>
            </w:pPr>
            <w:r>
              <w:rPr>
                <w:rFonts w:hint="eastAsia"/>
                <w:color w:val="auto"/>
                <w:lang w:val="en-US" w:eastAsia="zh-CN"/>
              </w:rPr>
              <w:t>水位（m）</w:t>
            </w:r>
          </w:p>
        </w:tc>
        <w:tc>
          <w:tcPr>
            <w:tcW w:w="1358" w:type="pct"/>
            <w:vAlign w:val="center"/>
          </w:tcPr>
          <w:p w14:paraId="684DE2C9">
            <w:pPr>
              <w:pStyle w:val="36"/>
              <w:bidi w:val="0"/>
              <w:rPr>
                <w:rFonts w:hint="eastAsia"/>
                <w:color w:val="auto"/>
                <w:lang w:val="en-US" w:eastAsia="zh-CN"/>
              </w:rPr>
            </w:pPr>
            <w:r>
              <w:rPr>
                <w:rFonts w:hint="eastAsia"/>
                <w:color w:val="auto"/>
                <w:lang w:val="en-US" w:eastAsia="zh-CN"/>
              </w:rPr>
              <w:t>距D2孔间距离（m）</w:t>
            </w:r>
          </w:p>
        </w:tc>
        <w:tc>
          <w:tcPr>
            <w:tcW w:w="1206" w:type="pct"/>
            <w:vAlign w:val="center"/>
          </w:tcPr>
          <w:p w14:paraId="0B4535BB">
            <w:pPr>
              <w:pStyle w:val="36"/>
              <w:bidi w:val="0"/>
              <w:rPr>
                <w:rFonts w:hint="eastAsia"/>
                <w:color w:val="auto"/>
                <w:lang w:val="en-US" w:eastAsia="zh-CN"/>
              </w:rPr>
            </w:pPr>
            <w:r>
              <w:rPr>
                <w:rFonts w:hint="eastAsia"/>
                <w:color w:val="auto"/>
                <w:lang w:val="en-US" w:eastAsia="zh-CN"/>
              </w:rPr>
              <w:t>两钻孔间水力坡度</w:t>
            </w:r>
          </w:p>
        </w:tc>
        <w:tc>
          <w:tcPr>
            <w:tcW w:w="1029" w:type="pct"/>
            <w:vAlign w:val="center"/>
          </w:tcPr>
          <w:p w14:paraId="68F89F09">
            <w:pPr>
              <w:pStyle w:val="36"/>
              <w:bidi w:val="0"/>
              <w:rPr>
                <w:rFonts w:hint="eastAsia"/>
                <w:color w:val="auto"/>
                <w:lang w:val="en-US" w:eastAsia="zh-CN"/>
              </w:rPr>
            </w:pPr>
            <w:r>
              <w:rPr>
                <w:rFonts w:hint="eastAsia"/>
                <w:color w:val="auto"/>
                <w:lang w:val="en-US" w:eastAsia="zh-CN"/>
              </w:rPr>
              <w:t>水力坡度平均值</w:t>
            </w:r>
          </w:p>
        </w:tc>
      </w:tr>
      <w:tr w14:paraId="56C6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46" w:type="pct"/>
            <w:noWrap/>
            <w:vAlign w:val="center"/>
          </w:tcPr>
          <w:p w14:paraId="5592EEDB">
            <w:pPr>
              <w:pStyle w:val="26"/>
              <w:bidi w:val="0"/>
              <w:rPr>
                <w:rFonts w:hint="eastAsia"/>
                <w:color w:val="auto"/>
                <w:lang w:val="en-US" w:eastAsia="zh-CN"/>
              </w:rPr>
            </w:pPr>
            <w:r>
              <w:rPr>
                <w:rFonts w:hint="eastAsia"/>
                <w:color w:val="auto"/>
                <w:lang w:val="en-US" w:eastAsia="zh-CN"/>
              </w:rPr>
              <w:t>D2</w:t>
            </w:r>
          </w:p>
        </w:tc>
        <w:tc>
          <w:tcPr>
            <w:tcW w:w="858" w:type="pct"/>
            <w:noWrap/>
            <w:vAlign w:val="center"/>
          </w:tcPr>
          <w:p w14:paraId="4F52DE9B">
            <w:pPr>
              <w:pStyle w:val="26"/>
              <w:bidi w:val="0"/>
              <w:rPr>
                <w:rFonts w:hint="default"/>
                <w:color w:val="auto"/>
                <w:lang w:val="en-US" w:eastAsia="zh-CN"/>
              </w:rPr>
            </w:pPr>
            <w:r>
              <w:rPr>
                <w:rFonts w:hint="eastAsia"/>
                <w:color w:val="auto"/>
                <w:lang w:val="en-US" w:eastAsia="zh-CN"/>
              </w:rPr>
              <w:t>3.9781</w:t>
            </w:r>
          </w:p>
        </w:tc>
        <w:tc>
          <w:tcPr>
            <w:tcW w:w="1358" w:type="pct"/>
            <w:noWrap/>
            <w:vAlign w:val="center"/>
          </w:tcPr>
          <w:p w14:paraId="2D93194B">
            <w:pPr>
              <w:pStyle w:val="26"/>
              <w:bidi w:val="0"/>
              <w:rPr>
                <w:rFonts w:hint="default"/>
                <w:color w:val="auto"/>
                <w:lang w:val="en-US" w:eastAsia="zh-CN"/>
              </w:rPr>
            </w:pPr>
            <w:r>
              <w:rPr>
                <w:rFonts w:hint="eastAsia"/>
                <w:color w:val="auto"/>
                <w:lang w:val="en-US" w:eastAsia="zh-CN"/>
              </w:rPr>
              <w:t>/</w:t>
            </w:r>
          </w:p>
        </w:tc>
        <w:tc>
          <w:tcPr>
            <w:tcW w:w="1206" w:type="pct"/>
            <w:noWrap/>
            <w:vAlign w:val="center"/>
          </w:tcPr>
          <w:p w14:paraId="35A0215C">
            <w:pPr>
              <w:pStyle w:val="26"/>
              <w:bidi w:val="0"/>
              <w:rPr>
                <w:rFonts w:hint="default"/>
                <w:color w:val="auto"/>
                <w:lang w:val="en-US" w:eastAsia="zh-CN"/>
              </w:rPr>
            </w:pPr>
            <w:r>
              <w:rPr>
                <w:rFonts w:hint="eastAsia"/>
                <w:color w:val="auto"/>
                <w:lang w:val="en-US" w:eastAsia="zh-CN"/>
              </w:rPr>
              <w:t>/</w:t>
            </w:r>
          </w:p>
        </w:tc>
        <w:tc>
          <w:tcPr>
            <w:tcW w:w="1029" w:type="pct"/>
            <w:vMerge w:val="restart"/>
            <w:noWrap/>
            <w:vAlign w:val="center"/>
          </w:tcPr>
          <w:p w14:paraId="43B25388">
            <w:pPr>
              <w:pStyle w:val="26"/>
              <w:bidi w:val="0"/>
              <w:rPr>
                <w:rFonts w:hint="default"/>
                <w:color w:val="auto"/>
                <w:lang w:val="en-US" w:eastAsia="zh-CN"/>
              </w:rPr>
            </w:pPr>
            <w:r>
              <w:rPr>
                <w:rFonts w:hint="eastAsia"/>
                <w:color w:val="auto"/>
                <w:lang w:val="en-US" w:eastAsia="zh-CN"/>
              </w:rPr>
              <w:t>0.00112</w:t>
            </w:r>
          </w:p>
        </w:tc>
      </w:tr>
      <w:tr w14:paraId="4629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46" w:type="pct"/>
            <w:shd w:val="clear" w:color="auto" w:fill="auto"/>
            <w:noWrap/>
            <w:vAlign w:val="center"/>
          </w:tcPr>
          <w:p w14:paraId="615C2806">
            <w:pPr>
              <w:pStyle w:val="26"/>
              <w:bidi w:val="0"/>
              <w:rPr>
                <w:rFonts w:hint="eastAsia" w:ascii="Times New Roman" w:hAnsi="Times New Roman" w:eastAsia="仿宋_GB2312" w:cs="Times New Roman"/>
                <w:color w:val="auto"/>
                <w:kern w:val="2"/>
                <w:sz w:val="21"/>
                <w:szCs w:val="22"/>
                <w:lang w:val="en-US" w:eastAsia="zh-CN" w:bidi="ar-SA"/>
              </w:rPr>
            </w:pPr>
            <w:r>
              <w:rPr>
                <w:rFonts w:hint="eastAsia"/>
                <w:color w:val="auto"/>
                <w:lang w:val="en-US" w:eastAsia="zh-CN"/>
              </w:rPr>
              <w:t>D6</w:t>
            </w:r>
          </w:p>
        </w:tc>
        <w:tc>
          <w:tcPr>
            <w:tcW w:w="858" w:type="pct"/>
            <w:shd w:val="clear" w:color="auto" w:fill="auto"/>
            <w:noWrap/>
            <w:vAlign w:val="center"/>
          </w:tcPr>
          <w:p w14:paraId="2FE6FF42">
            <w:pPr>
              <w:pStyle w:val="26"/>
              <w:bidi w:val="0"/>
              <w:rPr>
                <w:rFonts w:hint="default" w:ascii="Times New Roman" w:hAnsi="Times New Roman" w:eastAsia="仿宋_GB2312" w:cs="Times New Roman"/>
                <w:color w:val="auto"/>
                <w:kern w:val="2"/>
                <w:sz w:val="21"/>
                <w:szCs w:val="22"/>
                <w:lang w:val="en-US" w:eastAsia="zh-CN" w:bidi="ar-SA"/>
              </w:rPr>
            </w:pPr>
            <w:r>
              <w:rPr>
                <w:rFonts w:hint="eastAsia"/>
                <w:color w:val="auto"/>
                <w:lang w:val="en-US" w:eastAsia="zh-CN"/>
              </w:rPr>
              <w:t>3.6137</w:t>
            </w:r>
          </w:p>
        </w:tc>
        <w:tc>
          <w:tcPr>
            <w:tcW w:w="1358" w:type="pct"/>
            <w:shd w:val="clear" w:color="auto" w:fill="auto"/>
            <w:noWrap/>
            <w:vAlign w:val="center"/>
          </w:tcPr>
          <w:p w14:paraId="4BD23C27">
            <w:pPr>
              <w:pStyle w:val="26"/>
              <w:bidi w:val="0"/>
              <w:rPr>
                <w:rFonts w:hint="eastAsia" w:ascii="Times New Roman" w:hAnsi="Times New Roman" w:eastAsia="仿宋_GB2312" w:cs="Times New Roman"/>
                <w:color w:val="auto"/>
                <w:kern w:val="2"/>
                <w:sz w:val="21"/>
                <w:szCs w:val="22"/>
                <w:lang w:val="en-US" w:eastAsia="zh-CN" w:bidi="ar-SA"/>
              </w:rPr>
            </w:pPr>
            <w:r>
              <w:rPr>
                <w:rFonts w:hint="eastAsia" w:ascii="Times New Roman" w:hAnsi="Times New Roman" w:eastAsia="仿宋_GB2312" w:cs="Times New Roman"/>
                <w:color w:val="auto"/>
                <w:kern w:val="2"/>
                <w:sz w:val="21"/>
                <w:szCs w:val="22"/>
                <w:lang w:val="en-US" w:eastAsia="zh-CN" w:bidi="ar-SA"/>
              </w:rPr>
              <w:t>230</w:t>
            </w:r>
          </w:p>
        </w:tc>
        <w:tc>
          <w:tcPr>
            <w:tcW w:w="1206" w:type="pct"/>
            <w:noWrap/>
            <w:vAlign w:val="center"/>
          </w:tcPr>
          <w:p w14:paraId="7668A54D">
            <w:pPr>
              <w:pStyle w:val="26"/>
              <w:bidi w:val="0"/>
              <w:rPr>
                <w:rFonts w:hint="default"/>
                <w:color w:val="auto"/>
                <w:lang w:val="en-US" w:eastAsia="zh-CN"/>
              </w:rPr>
            </w:pPr>
            <w:r>
              <w:rPr>
                <w:rFonts w:hint="eastAsia"/>
                <w:color w:val="auto"/>
                <w:lang w:val="en-US" w:eastAsia="zh-CN"/>
              </w:rPr>
              <w:t>0.00158</w:t>
            </w:r>
          </w:p>
        </w:tc>
        <w:tc>
          <w:tcPr>
            <w:tcW w:w="1029" w:type="pct"/>
            <w:vMerge w:val="continue"/>
            <w:noWrap/>
            <w:vAlign w:val="center"/>
          </w:tcPr>
          <w:p w14:paraId="6E4B8C6C">
            <w:pPr>
              <w:pStyle w:val="26"/>
              <w:bidi w:val="0"/>
              <w:rPr>
                <w:rFonts w:hint="eastAsia"/>
                <w:color w:val="auto"/>
                <w:lang w:val="en-US" w:eastAsia="zh-CN"/>
              </w:rPr>
            </w:pPr>
          </w:p>
        </w:tc>
      </w:tr>
      <w:tr w14:paraId="2234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46" w:type="pct"/>
            <w:noWrap/>
            <w:vAlign w:val="center"/>
          </w:tcPr>
          <w:p w14:paraId="1907200E">
            <w:pPr>
              <w:pStyle w:val="26"/>
              <w:bidi w:val="0"/>
              <w:rPr>
                <w:rFonts w:hint="default"/>
                <w:color w:val="auto"/>
                <w:lang w:val="en-US" w:eastAsia="zh-CN"/>
              </w:rPr>
            </w:pPr>
            <w:r>
              <w:rPr>
                <w:rFonts w:hint="eastAsia"/>
                <w:color w:val="auto"/>
                <w:lang w:val="en-US" w:eastAsia="zh-CN"/>
              </w:rPr>
              <w:t>D10</w:t>
            </w:r>
          </w:p>
        </w:tc>
        <w:tc>
          <w:tcPr>
            <w:tcW w:w="858" w:type="pct"/>
            <w:noWrap/>
            <w:vAlign w:val="center"/>
          </w:tcPr>
          <w:p w14:paraId="017BAAEC">
            <w:pPr>
              <w:pStyle w:val="26"/>
              <w:bidi w:val="0"/>
              <w:rPr>
                <w:rFonts w:hint="default"/>
                <w:color w:val="auto"/>
                <w:lang w:val="en-US" w:eastAsia="zh-CN"/>
              </w:rPr>
            </w:pPr>
            <w:r>
              <w:rPr>
                <w:rFonts w:hint="eastAsia"/>
                <w:color w:val="auto"/>
                <w:lang w:val="en-US" w:eastAsia="zh-CN"/>
              </w:rPr>
              <w:t>3.4882</w:t>
            </w:r>
          </w:p>
        </w:tc>
        <w:tc>
          <w:tcPr>
            <w:tcW w:w="1358" w:type="pct"/>
            <w:noWrap/>
            <w:vAlign w:val="center"/>
          </w:tcPr>
          <w:p w14:paraId="38EFB8BE">
            <w:pPr>
              <w:pStyle w:val="26"/>
              <w:bidi w:val="0"/>
              <w:rPr>
                <w:rFonts w:hint="default"/>
                <w:color w:val="auto"/>
                <w:lang w:val="en-US" w:eastAsia="zh-CN"/>
              </w:rPr>
            </w:pPr>
            <w:r>
              <w:rPr>
                <w:rFonts w:hint="eastAsia"/>
                <w:color w:val="auto"/>
                <w:lang w:val="en-US" w:eastAsia="zh-CN"/>
              </w:rPr>
              <w:t>740</w:t>
            </w:r>
          </w:p>
        </w:tc>
        <w:tc>
          <w:tcPr>
            <w:tcW w:w="1206" w:type="pct"/>
            <w:noWrap/>
            <w:vAlign w:val="center"/>
          </w:tcPr>
          <w:p w14:paraId="1BD1A910">
            <w:pPr>
              <w:pStyle w:val="26"/>
              <w:bidi w:val="0"/>
              <w:rPr>
                <w:rFonts w:hint="default"/>
                <w:color w:val="auto"/>
                <w:lang w:val="en-US" w:eastAsia="zh-CN"/>
              </w:rPr>
            </w:pPr>
            <w:r>
              <w:rPr>
                <w:rFonts w:hint="eastAsia"/>
                <w:color w:val="auto"/>
                <w:lang w:val="en-US" w:eastAsia="zh-CN"/>
              </w:rPr>
              <w:t>0.00066</w:t>
            </w:r>
          </w:p>
        </w:tc>
        <w:tc>
          <w:tcPr>
            <w:tcW w:w="1029" w:type="pct"/>
            <w:vMerge w:val="continue"/>
            <w:noWrap/>
            <w:vAlign w:val="center"/>
          </w:tcPr>
          <w:p w14:paraId="0734DF60">
            <w:pPr>
              <w:pStyle w:val="26"/>
              <w:bidi w:val="0"/>
              <w:rPr>
                <w:rFonts w:hint="eastAsia"/>
                <w:color w:val="auto"/>
                <w:lang w:val="en-US" w:eastAsia="zh-CN"/>
              </w:rPr>
            </w:pPr>
          </w:p>
        </w:tc>
      </w:tr>
    </w:tbl>
    <w:p w14:paraId="7C421012">
      <w:pPr>
        <w:rPr>
          <w:rFonts w:hint="eastAsia"/>
          <w:color w:val="auto"/>
          <w:lang w:val="en-US" w:eastAsia="zh-CN"/>
        </w:rPr>
      </w:pPr>
      <w:r>
        <w:rPr>
          <w:rFonts w:hint="eastAsia"/>
          <w:color w:val="auto"/>
          <w:lang w:val="en-US" w:eastAsia="zh-CN"/>
        </w:rPr>
        <w:t>项目所在地水文地质条件简单，地下水实际流速和弥散系数的确定按下列方法取得：</w:t>
      </w:r>
    </w:p>
    <w:p w14:paraId="0F5197FC">
      <w:pPr>
        <w:rPr>
          <w:rFonts w:hint="eastAsia"/>
          <w:color w:val="auto"/>
          <w:lang w:val="en-US" w:eastAsia="zh-CN"/>
        </w:rPr>
      </w:pPr>
      <w:r>
        <w:rPr>
          <w:rFonts w:hint="eastAsia"/>
          <w:color w:val="auto"/>
          <w:lang w:val="en-US" w:eastAsia="zh-CN"/>
        </w:rPr>
        <w:t>u＝K×I／n</w:t>
      </w:r>
    </w:p>
    <w:p w14:paraId="08AB3F0D">
      <w:pPr>
        <w:rPr>
          <w:rFonts w:hint="eastAsia"/>
          <w:color w:val="auto"/>
          <w:lang w:val="en-US" w:eastAsia="zh-CN"/>
        </w:rPr>
      </w:pPr>
      <w:r>
        <w:rPr>
          <w:rFonts w:hint="eastAsia"/>
          <w:color w:val="auto"/>
          <w:lang w:val="en-US" w:eastAsia="zh-CN"/>
        </w:rPr>
        <w:t>DL＝aL×Um</w:t>
      </w:r>
    </w:p>
    <w:p w14:paraId="3BA35A3F">
      <w:pPr>
        <w:rPr>
          <w:rFonts w:hint="eastAsia"/>
          <w:color w:val="auto"/>
          <w:lang w:val="en-US" w:eastAsia="zh-CN"/>
        </w:rPr>
      </w:pPr>
      <w:r>
        <w:rPr>
          <w:rFonts w:hint="eastAsia"/>
          <w:color w:val="auto"/>
          <w:lang w:val="en-US" w:eastAsia="zh-CN"/>
        </w:rPr>
        <w:t>其中：u—地下水实际流速，m/d；</w:t>
      </w:r>
    </w:p>
    <w:p w14:paraId="4917CECA">
      <w:pPr>
        <w:rPr>
          <w:rFonts w:hint="eastAsia"/>
          <w:color w:val="auto"/>
          <w:lang w:val="en-US" w:eastAsia="zh-CN"/>
        </w:rPr>
      </w:pPr>
      <w:r>
        <w:rPr>
          <w:rFonts w:hint="eastAsia"/>
          <w:color w:val="auto"/>
          <w:lang w:val="en-US" w:eastAsia="zh-CN"/>
        </w:rPr>
        <w:t>K—渗透系数，m/d；</w:t>
      </w:r>
    </w:p>
    <w:p w14:paraId="0019F5B0">
      <w:pPr>
        <w:rPr>
          <w:rFonts w:hint="eastAsia"/>
          <w:color w:val="auto"/>
          <w:lang w:val="en-US" w:eastAsia="zh-CN"/>
        </w:rPr>
      </w:pPr>
      <w:r>
        <w:rPr>
          <w:rFonts w:hint="eastAsia"/>
          <w:color w:val="auto"/>
          <w:lang w:val="en-US" w:eastAsia="zh-CN"/>
        </w:rPr>
        <w:t>I—水力坡度；</w:t>
      </w:r>
    </w:p>
    <w:p w14:paraId="5915F27A">
      <w:pPr>
        <w:rPr>
          <w:rFonts w:hint="eastAsia"/>
          <w:color w:val="auto"/>
          <w:lang w:val="en-US" w:eastAsia="zh-CN"/>
        </w:rPr>
      </w:pPr>
      <w:r>
        <w:rPr>
          <w:rFonts w:hint="eastAsia"/>
          <w:color w:val="auto"/>
          <w:lang w:val="en-US" w:eastAsia="zh-CN"/>
        </w:rPr>
        <w:t>n—孔隙度；</w:t>
      </w:r>
    </w:p>
    <w:p w14:paraId="7BD7B936">
      <w:pPr>
        <w:rPr>
          <w:rFonts w:hint="eastAsia"/>
          <w:color w:val="auto"/>
          <w:lang w:val="en-US" w:eastAsia="zh-CN"/>
        </w:rPr>
      </w:pPr>
      <w:r>
        <w:rPr>
          <w:rFonts w:hint="eastAsia"/>
          <w:color w:val="auto"/>
          <w:lang w:val="en-US" w:eastAsia="zh-CN"/>
        </w:rPr>
        <w:t>DL—弥散系数，m</w:t>
      </w:r>
      <w:r>
        <w:rPr>
          <w:rFonts w:hint="eastAsia"/>
          <w:color w:val="auto"/>
          <w:vertAlign w:val="superscript"/>
          <w:lang w:val="en-US" w:eastAsia="zh-CN"/>
        </w:rPr>
        <w:t>2</w:t>
      </w:r>
      <w:r>
        <w:rPr>
          <w:rFonts w:hint="eastAsia"/>
          <w:color w:val="auto"/>
          <w:lang w:val="en-US" w:eastAsia="zh-CN"/>
        </w:rPr>
        <w:t>/d；</w:t>
      </w:r>
    </w:p>
    <w:p w14:paraId="722C45ED">
      <w:pPr>
        <w:rPr>
          <w:rFonts w:hint="eastAsia"/>
          <w:color w:val="auto"/>
          <w:lang w:val="en-US" w:eastAsia="zh-CN"/>
        </w:rPr>
      </w:pPr>
      <w:r>
        <w:rPr>
          <w:rFonts w:hint="eastAsia"/>
          <w:color w:val="auto"/>
          <w:lang w:val="en-US" w:eastAsia="zh-CN"/>
        </w:rPr>
        <w:t>aL—弥散度；</w:t>
      </w:r>
    </w:p>
    <w:p w14:paraId="7C48CF78">
      <w:pPr>
        <w:rPr>
          <w:rFonts w:hint="eastAsia"/>
          <w:color w:val="auto"/>
          <w:lang w:val="en-US" w:eastAsia="zh-CN"/>
        </w:rPr>
      </w:pPr>
      <w:r>
        <w:rPr>
          <w:rFonts w:hint="eastAsia"/>
          <w:color w:val="auto"/>
          <w:lang w:val="en-US" w:eastAsia="zh-CN"/>
        </w:rPr>
        <w:t>m—指数。</w:t>
      </w:r>
    </w:p>
    <w:p w14:paraId="722DDD5E">
      <w:pPr>
        <w:pStyle w:val="4"/>
        <w:rPr>
          <w:color w:val="auto"/>
        </w:rPr>
      </w:pPr>
      <w:bookmarkStart w:id="299" w:name="_Toc10951"/>
      <w:bookmarkStart w:id="300" w:name="_Toc20274"/>
      <w:r>
        <w:rPr>
          <w:rFonts w:hint="eastAsia"/>
          <w:color w:val="auto"/>
        </w:rPr>
        <w:t>地下水环境影响预测</w:t>
      </w:r>
      <w:bookmarkEnd w:id="299"/>
      <w:bookmarkEnd w:id="300"/>
    </w:p>
    <w:p w14:paraId="52B78C10">
      <w:pPr>
        <w:pStyle w:val="5"/>
        <w:bidi w:val="0"/>
        <w:rPr>
          <w:rFonts w:hint="eastAsia"/>
          <w:color w:val="auto"/>
          <w:lang w:val="en-US" w:eastAsia="zh-CN"/>
        </w:rPr>
      </w:pPr>
      <w:r>
        <w:rPr>
          <w:rFonts w:hint="eastAsia"/>
          <w:color w:val="auto"/>
          <w:lang w:val="en-US" w:eastAsia="zh-CN"/>
        </w:rPr>
        <w:t>预测情形</w:t>
      </w:r>
    </w:p>
    <w:p w14:paraId="6A306BE6">
      <w:pPr>
        <w:rPr>
          <w:rFonts w:hint="eastAsia"/>
          <w:color w:val="auto"/>
        </w:rPr>
      </w:pPr>
      <w:r>
        <w:rPr>
          <w:rFonts w:hint="eastAsia"/>
          <w:color w:val="auto"/>
        </w:rPr>
        <w:t>本项目地下水污染源主要为综合废水处理站以及用于各项生产性废水收集的中间废水单元，泄漏隐患点较多。因此，本次选择泄漏风险较大、废水污染因子浓度较高且具有代表性的污染源（厂区废水处理站）开展预测评价工作，分析地下水影响一般规律，同时在后续污染防治措施章节对于厂区所有地下水污染单元均提出严格的防治措施，以进一步保护地下水环境质量。</w:t>
      </w:r>
    </w:p>
    <w:p w14:paraId="7A633776">
      <w:pPr>
        <w:rPr>
          <w:rFonts w:hint="eastAsia"/>
          <w:color w:val="auto"/>
        </w:rPr>
      </w:pPr>
      <w:r>
        <w:rPr>
          <w:rFonts w:hint="eastAsia"/>
          <w:color w:val="auto"/>
        </w:rPr>
        <w:t>正常情况下，各个废水单元防渗措施有效时，废水渗漏量极少，加之表层粉质粘土作为天然防渗层可以有效减少渗漏量，因此渗漏引起的地下水环境影响较小，本次则考虑防渗措施破损引起废水泄漏的非正常情况。</w:t>
      </w:r>
    </w:p>
    <w:p w14:paraId="204DCB80">
      <w:pPr>
        <w:rPr>
          <w:rFonts w:hint="eastAsia"/>
          <w:color w:val="auto"/>
        </w:rPr>
      </w:pPr>
      <w:r>
        <w:rPr>
          <w:rFonts w:hint="eastAsia"/>
          <w:color w:val="auto"/>
        </w:rPr>
        <w:t>预测情景的选择以能真实客观反应地下水污染源泄漏规律为宜，由于项目将在主要地下水污染源下游设置地下水监控井以监控地下水污染风险，一旦发现监控井出现超标，则启动地下水污染事故应急预案，包括泄漏点查寻与修复、地下水污染的治理等。因此，监控井发生超标前，地下水污染源具有连续泄漏特点，而监控井发生超标后，由于泄漏点的修复，地下水污染源泄漏途径阻断，后续则具有瞬时泄漏和运移的规律。</w:t>
      </w:r>
    </w:p>
    <w:p w14:paraId="2B9A94A8">
      <w:pPr>
        <w:rPr>
          <w:rFonts w:hint="eastAsia"/>
          <w:color w:val="auto"/>
        </w:rPr>
      </w:pPr>
      <w:r>
        <w:rPr>
          <w:rFonts w:hint="eastAsia"/>
          <w:color w:val="auto"/>
        </w:rPr>
        <w:t>综上所述，本次地下水预测情景确定为非正常条件下污水集水池因防渗措施老化发生泄漏事故，预测污染物在地下水中的迁移距离。</w:t>
      </w:r>
    </w:p>
    <w:p w14:paraId="210448E8">
      <w:pPr>
        <w:pStyle w:val="5"/>
        <w:bidi w:val="0"/>
        <w:rPr>
          <w:rFonts w:hint="eastAsia"/>
          <w:color w:val="auto"/>
          <w:lang w:val="en-US" w:eastAsia="zh-CN"/>
        </w:rPr>
      </w:pPr>
      <w:r>
        <w:rPr>
          <w:rFonts w:hint="eastAsia"/>
          <w:color w:val="auto"/>
          <w:lang w:val="en-US" w:eastAsia="zh-CN"/>
        </w:rPr>
        <w:t>预测因子</w:t>
      </w:r>
    </w:p>
    <w:p w14:paraId="3C6DB6B0">
      <w:pPr>
        <w:rPr>
          <w:rFonts w:hint="eastAsia"/>
          <w:color w:val="auto"/>
        </w:rPr>
      </w:pPr>
      <w:r>
        <w:rPr>
          <w:rFonts w:hint="eastAsia"/>
          <w:color w:val="auto"/>
        </w:rPr>
        <w:t>企业废水处理设施废水渗漏是地下水的主要污染来源，本次预测因子主要选择</w:t>
      </w:r>
      <w:r>
        <w:rPr>
          <w:rFonts w:hint="eastAsia"/>
          <w:color w:val="auto"/>
          <w:lang w:val="en-US" w:eastAsia="zh-CN"/>
        </w:rPr>
        <w:t>总铜、总铬</w:t>
      </w:r>
      <w:r>
        <w:rPr>
          <w:rFonts w:hint="eastAsia"/>
          <w:color w:val="auto"/>
        </w:rPr>
        <w:t>作为主要的评价因子。</w:t>
      </w:r>
    </w:p>
    <w:p w14:paraId="760E9DD7">
      <w:pPr>
        <w:rPr>
          <w:rFonts w:hint="eastAsia"/>
          <w:color w:val="auto"/>
        </w:rPr>
      </w:pPr>
      <w:r>
        <w:rPr>
          <w:rFonts w:hint="eastAsia"/>
          <w:color w:val="auto"/>
        </w:rPr>
        <w:t>本次预测标准采用《地下水质量标准》Ⅳ类水标准，并将标准的十分之一作为其影响范围。各预测因子超标范围和影响范围的贡献浓度设定见下表。</w:t>
      </w:r>
    </w:p>
    <w:p w14:paraId="2FDDB580">
      <w:pPr>
        <w:pStyle w:val="5"/>
        <w:bidi w:val="0"/>
        <w:rPr>
          <w:rFonts w:hint="eastAsia"/>
          <w:color w:val="auto"/>
          <w:lang w:val="en-US" w:eastAsia="zh-CN"/>
        </w:rPr>
      </w:pPr>
      <w:r>
        <w:rPr>
          <w:rFonts w:hint="eastAsia"/>
          <w:color w:val="auto"/>
          <w:lang w:val="en-US" w:eastAsia="zh-CN"/>
        </w:rPr>
        <w:t>源强估算</w:t>
      </w:r>
    </w:p>
    <w:p w14:paraId="1987E9BC">
      <w:pPr>
        <w:rPr>
          <w:rFonts w:hint="eastAsia"/>
          <w:color w:val="auto"/>
        </w:rPr>
      </w:pPr>
      <w:r>
        <w:rPr>
          <w:rFonts w:hint="eastAsia"/>
          <w:color w:val="auto"/>
          <w:lang w:val="en-US" w:eastAsia="zh-CN"/>
        </w:rPr>
        <w:t>废水收集池</w:t>
      </w:r>
      <w:r>
        <w:rPr>
          <w:rFonts w:hint="eastAsia"/>
          <w:color w:val="auto"/>
        </w:rPr>
        <w:t>如果裂缝太多，出现大量渗水，污水池的计量仪器会有所反应，生产单位将会修复。一般情况下，当裂缝面积小于总面积0.3~0.4%时不易发觉。因此，污水站注入的质量，保守按污水站收集池池底面积（长</w:t>
      </w:r>
      <w:r>
        <w:rPr>
          <w:rFonts w:hint="eastAsia"/>
          <w:color w:val="auto"/>
          <w:lang w:val="en-US" w:eastAsia="zh-CN"/>
        </w:rPr>
        <w:t>4.0</w:t>
      </w:r>
      <w:r>
        <w:rPr>
          <w:rFonts w:hint="eastAsia"/>
          <w:color w:val="auto"/>
        </w:rPr>
        <w:t>m，宽</w:t>
      </w:r>
      <w:r>
        <w:rPr>
          <w:rFonts w:hint="eastAsia"/>
          <w:color w:val="auto"/>
          <w:lang w:val="en-US" w:eastAsia="zh-CN"/>
        </w:rPr>
        <w:t>3.5</w:t>
      </w:r>
      <w:r>
        <w:rPr>
          <w:rFonts w:hint="eastAsia"/>
          <w:color w:val="auto"/>
        </w:rPr>
        <w:t>m，底面积</w:t>
      </w:r>
      <w:r>
        <w:rPr>
          <w:rFonts w:hint="eastAsia"/>
          <w:color w:val="auto"/>
          <w:lang w:val="en-US" w:eastAsia="zh-CN"/>
        </w:rPr>
        <w:t>14</w:t>
      </w:r>
      <w:r>
        <w:rPr>
          <w:rFonts w:hint="eastAsia"/>
          <w:color w:val="auto"/>
          <w:lang w:eastAsia="zh-CN"/>
        </w:rPr>
        <w:t>m</w:t>
      </w:r>
      <w:r>
        <w:rPr>
          <w:rFonts w:hint="eastAsia"/>
          <w:color w:val="auto"/>
          <w:vertAlign w:val="superscript"/>
          <w:lang w:eastAsia="zh-CN"/>
        </w:rPr>
        <w:t>2</w:t>
      </w:r>
      <w:r>
        <w:rPr>
          <w:rFonts w:hint="eastAsia"/>
          <w:color w:val="auto"/>
        </w:rPr>
        <w:t>）破裂0.4%计算：</w:t>
      </w:r>
    </w:p>
    <w:p w14:paraId="40E6A87E">
      <w:pPr>
        <w:jc w:val="center"/>
        <w:rPr>
          <w:rFonts w:hint="eastAsia"/>
          <w:i/>
          <w:iCs/>
          <w:color w:val="auto"/>
          <w:lang w:val="en-US" w:eastAsia="zh-CN"/>
        </w:rPr>
      </w:pPr>
      <w:r>
        <w:rPr>
          <w:rFonts w:hint="eastAsia"/>
          <w:i/>
          <w:iCs/>
          <w:color w:val="auto"/>
          <w:lang w:val="en-US" w:eastAsia="zh-CN"/>
        </w:rPr>
        <w:t>Q=Ka*（H+D）/D*A</w:t>
      </w:r>
      <w:r>
        <w:rPr>
          <w:rFonts w:hint="eastAsia"/>
          <w:i/>
          <w:iCs/>
          <w:color w:val="auto"/>
          <w:vertAlign w:val="subscript"/>
          <w:lang w:val="en-US" w:eastAsia="zh-CN"/>
        </w:rPr>
        <w:t>裂缝</w:t>
      </w:r>
    </w:p>
    <w:p w14:paraId="1F1EEA19">
      <w:pPr>
        <w:rPr>
          <w:rFonts w:hint="eastAsia"/>
          <w:color w:val="auto"/>
          <w:lang w:val="en-US" w:eastAsia="zh-CN"/>
        </w:rPr>
      </w:pPr>
      <w:r>
        <w:rPr>
          <w:rFonts w:hint="eastAsia"/>
          <w:color w:val="auto"/>
          <w:lang w:val="en-US" w:eastAsia="zh-CN"/>
        </w:rPr>
        <w:t>式中：Q为渗入到地下的污水量，m</w:t>
      </w:r>
      <w:r>
        <w:rPr>
          <w:rFonts w:hint="eastAsia"/>
          <w:color w:val="auto"/>
          <w:vertAlign w:val="superscript"/>
          <w:lang w:val="en-US" w:eastAsia="zh-CN"/>
        </w:rPr>
        <w:t>3</w:t>
      </w:r>
      <w:r>
        <w:rPr>
          <w:rFonts w:hint="eastAsia"/>
          <w:color w:val="auto"/>
          <w:lang w:val="en-US" w:eastAsia="zh-CN"/>
        </w:rPr>
        <w:t>/d；</w:t>
      </w:r>
    </w:p>
    <w:p w14:paraId="48E949C1">
      <w:pPr>
        <w:rPr>
          <w:rFonts w:hint="eastAsia"/>
          <w:color w:val="auto"/>
          <w:lang w:val="en-US" w:eastAsia="zh-CN"/>
        </w:rPr>
      </w:pPr>
      <w:r>
        <w:rPr>
          <w:rFonts w:hint="eastAsia"/>
          <w:color w:val="auto"/>
          <w:lang w:val="en-US" w:eastAsia="zh-CN"/>
        </w:rPr>
        <w:t>Ka为地面垂向渗透系数，m/d；</w:t>
      </w:r>
    </w:p>
    <w:p w14:paraId="2E2540C6">
      <w:pPr>
        <w:rPr>
          <w:rFonts w:hint="eastAsia"/>
          <w:color w:val="auto"/>
          <w:lang w:val="en-US" w:eastAsia="zh-CN"/>
        </w:rPr>
      </w:pPr>
      <w:r>
        <w:rPr>
          <w:rFonts w:hint="eastAsia"/>
          <w:color w:val="auto"/>
          <w:lang w:val="en-US" w:eastAsia="zh-CN"/>
        </w:rPr>
        <w:t>H为池内水深，m；</w:t>
      </w:r>
    </w:p>
    <w:p w14:paraId="553AB490">
      <w:pPr>
        <w:rPr>
          <w:rFonts w:hint="eastAsia"/>
          <w:color w:val="auto"/>
          <w:lang w:val="en-US" w:eastAsia="zh-CN"/>
        </w:rPr>
      </w:pPr>
      <w:r>
        <w:rPr>
          <w:rFonts w:hint="eastAsia"/>
          <w:color w:val="auto"/>
          <w:lang w:val="en-US" w:eastAsia="zh-CN"/>
        </w:rPr>
        <w:t>D为地下水埋深，m：</w:t>
      </w:r>
    </w:p>
    <w:p w14:paraId="05527F7B">
      <w:pPr>
        <w:rPr>
          <w:rFonts w:hint="eastAsia"/>
          <w:color w:val="auto"/>
          <w:lang w:val="en-US" w:eastAsia="zh-CN"/>
        </w:rPr>
      </w:pPr>
      <w:r>
        <w:rPr>
          <w:rFonts w:hint="eastAsia"/>
          <w:color w:val="auto"/>
          <w:lang w:val="en-US" w:eastAsia="zh-CN"/>
        </w:rPr>
        <w:t>A为污水池池底裂缝总面积，m</w:t>
      </w:r>
      <w:r>
        <w:rPr>
          <w:rFonts w:hint="eastAsia"/>
          <w:color w:val="auto"/>
          <w:vertAlign w:val="superscript"/>
          <w:lang w:val="en-US" w:eastAsia="zh-CN"/>
        </w:rPr>
        <w:t>2</w:t>
      </w:r>
      <w:r>
        <w:rPr>
          <w:rFonts w:hint="eastAsia"/>
          <w:color w:val="auto"/>
          <w:lang w:val="en-US" w:eastAsia="zh-CN"/>
        </w:rPr>
        <w:t>；</w:t>
      </w:r>
    </w:p>
    <w:p w14:paraId="1971084B">
      <w:pPr>
        <w:rPr>
          <w:rFonts w:hint="eastAsia"/>
          <w:color w:val="auto"/>
        </w:rPr>
      </w:pPr>
      <w:r>
        <w:rPr>
          <w:rFonts w:hint="eastAsia"/>
          <w:color w:val="auto"/>
        </w:rPr>
        <w:t>泄漏量=</w:t>
      </w:r>
      <w:r>
        <w:rPr>
          <w:rFonts w:hint="eastAsia"/>
          <w:color w:val="auto"/>
          <w:lang w:val="en-US" w:eastAsia="zh-CN"/>
        </w:rPr>
        <w:t>14</w:t>
      </w:r>
      <w:r>
        <w:rPr>
          <w:rFonts w:hint="eastAsia"/>
          <w:color w:val="auto"/>
          <w:lang w:eastAsia="zh-CN"/>
        </w:rPr>
        <w:t>m</w:t>
      </w:r>
      <w:r>
        <w:rPr>
          <w:rFonts w:hint="eastAsia"/>
          <w:color w:val="auto"/>
          <w:vertAlign w:val="superscript"/>
          <w:lang w:eastAsia="zh-CN"/>
        </w:rPr>
        <w:t>2</w:t>
      </w:r>
      <w:r>
        <w:rPr>
          <w:rFonts w:hint="eastAsia"/>
          <w:color w:val="auto"/>
        </w:rPr>
        <w:t>×0.4%×0.</w:t>
      </w:r>
      <w:r>
        <w:rPr>
          <w:rFonts w:hint="eastAsia"/>
          <w:color w:val="auto"/>
          <w:lang w:val="en-US" w:eastAsia="zh-CN"/>
        </w:rPr>
        <w:t>01056</w:t>
      </w:r>
      <w:r>
        <w:rPr>
          <w:rFonts w:hint="eastAsia"/>
          <w:color w:val="auto"/>
        </w:rPr>
        <w:t>m/d×</w:t>
      </w:r>
      <w:r>
        <w:rPr>
          <w:rFonts w:hint="eastAsia"/>
          <w:color w:val="auto"/>
          <w:lang w:val="en-US" w:eastAsia="zh-CN"/>
        </w:rPr>
        <w:t>4.2</w:t>
      </w:r>
      <w:r>
        <w:rPr>
          <w:rFonts w:hint="eastAsia"/>
          <w:color w:val="auto"/>
        </w:rPr>
        <w:t>=0.</w:t>
      </w:r>
      <w:r>
        <w:rPr>
          <w:rFonts w:hint="eastAsia"/>
          <w:color w:val="auto"/>
          <w:lang w:val="en-US" w:eastAsia="zh-CN"/>
        </w:rPr>
        <w:t>0025</w:t>
      </w:r>
      <w:r>
        <w:rPr>
          <w:rFonts w:hint="eastAsia"/>
          <w:color w:val="auto"/>
          <w:lang w:eastAsia="zh-CN"/>
        </w:rPr>
        <w:t>m</w:t>
      </w:r>
      <w:r>
        <w:rPr>
          <w:rFonts w:hint="eastAsia"/>
          <w:color w:val="auto"/>
          <w:vertAlign w:val="superscript"/>
          <w:lang w:eastAsia="zh-CN"/>
        </w:rPr>
        <w:t>3</w:t>
      </w:r>
      <w:r>
        <w:rPr>
          <w:rFonts w:hint="eastAsia"/>
          <w:color w:val="auto"/>
        </w:rPr>
        <w:t>/d</w:t>
      </w:r>
    </w:p>
    <w:p w14:paraId="75DFDF77">
      <w:pPr>
        <w:rPr>
          <w:rFonts w:hint="eastAsia"/>
          <w:color w:val="auto"/>
        </w:rPr>
      </w:pPr>
      <w:r>
        <w:rPr>
          <w:rFonts w:hint="eastAsia"/>
          <w:color w:val="auto"/>
        </w:rPr>
        <w:t>按最长检修间隔300d计算，则泄露水量=0.</w:t>
      </w:r>
      <w:r>
        <w:rPr>
          <w:rFonts w:hint="eastAsia"/>
          <w:color w:val="auto"/>
          <w:lang w:val="en-US" w:eastAsia="zh-CN"/>
        </w:rPr>
        <w:t>0025</w:t>
      </w:r>
      <w:r>
        <w:rPr>
          <w:rFonts w:hint="eastAsia"/>
          <w:color w:val="auto"/>
        </w:rPr>
        <w:t>×300=</w:t>
      </w:r>
      <w:r>
        <w:rPr>
          <w:rFonts w:hint="eastAsia"/>
          <w:color w:val="auto"/>
          <w:lang w:val="en-US" w:eastAsia="zh-CN"/>
        </w:rPr>
        <w:t>7.5</w:t>
      </w:r>
      <w:r>
        <w:rPr>
          <w:rFonts w:hint="eastAsia"/>
          <w:color w:val="auto"/>
          <w:lang w:eastAsia="zh-CN"/>
        </w:rPr>
        <w:t>m</w:t>
      </w:r>
      <w:r>
        <w:rPr>
          <w:rFonts w:hint="eastAsia"/>
          <w:color w:val="auto"/>
          <w:vertAlign w:val="superscript"/>
          <w:lang w:eastAsia="zh-CN"/>
        </w:rPr>
        <w:t>3</w:t>
      </w:r>
      <w:r>
        <w:rPr>
          <w:rFonts w:hint="eastAsia"/>
          <w:color w:val="auto"/>
        </w:rPr>
        <w:t>；</w:t>
      </w:r>
    </w:p>
    <w:p w14:paraId="290B3292">
      <w:pPr>
        <w:pStyle w:val="5"/>
        <w:bidi w:val="0"/>
        <w:rPr>
          <w:rFonts w:hint="eastAsia"/>
          <w:color w:val="auto"/>
          <w:lang w:val="en-US" w:eastAsia="zh-CN"/>
        </w:rPr>
      </w:pPr>
      <w:r>
        <w:rPr>
          <w:rFonts w:hint="eastAsia"/>
          <w:color w:val="auto"/>
          <w:lang w:val="en-US" w:eastAsia="zh-CN"/>
        </w:rPr>
        <w:t>预测模型概化</w:t>
      </w:r>
    </w:p>
    <w:p w14:paraId="7315D91D">
      <w:pPr>
        <w:rPr>
          <w:rFonts w:hint="eastAsia"/>
          <w:color w:val="auto"/>
        </w:rPr>
      </w:pPr>
      <w:r>
        <w:rPr>
          <w:rFonts w:hint="eastAsia"/>
          <w:color w:val="auto"/>
        </w:rPr>
        <w:t>（1）预测模型选择</w:t>
      </w:r>
    </w:p>
    <w:p w14:paraId="19494361">
      <w:pPr>
        <w:rPr>
          <w:rFonts w:hint="eastAsia"/>
          <w:color w:val="auto"/>
        </w:rPr>
      </w:pPr>
      <w:r>
        <w:rPr>
          <w:rFonts w:hint="eastAsia"/>
          <w:color w:val="auto"/>
        </w:rPr>
        <w:t>拟建项目地下水评价等级为二级。</w:t>
      </w:r>
    </w:p>
    <w:p w14:paraId="2ECBC0B1">
      <w:pPr>
        <w:rPr>
          <w:rFonts w:hint="eastAsia"/>
          <w:color w:val="auto"/>
        </w:rPr>
      </w:pPr>
      <w:r>
        <w:rPr>
          <w:rFonts w:hint="eastAsia"/>
          <w:color w:val="auto"/>
        </w:rPr>
        <w:t>预测情景下的污水量较小，污水下渗对地下水流没有明显影响；根据地勘资料，所在场地地下水含水各土层分布较均匀，渗透系数、有效孔隙度等地质水文条件变化很小；且周边无地下饮用水源保护区。</w:t>
      </w:r>
    </w:p>
    <w:p w14:paraId="7168025E">
      <w:pPr>
        <w:bidi w:val="0"/>
        <w:rPr>
          <w:rFonts w:hint="eastAsia"/>
          <w:color w:val="auto"/>
        </w:rPr>
      </w:pPr>
      <w:r>
        <w:rPr>
          <w:rFonts w:hint="eastAsia"/>
          <w:color w:val="auto"/>
        </w:rPr>
        <w:t>保守计算，本次模拟计算忽略污染物在包气带的运移过程。区域地下水整体自北向南方向呈一维流动。评价区为地下水位动态稳定，因此可概化为“持续注入示踪剂的一维稳定流动二维水动力弥散模型”。则污染物浓度分布模型如下：</w:t>
      </w:r>
    </w:p>
    <w:p w14:paraId="180DEB6B">
      <w:pPr>
        <w:pStyle w:val="25"/>
        <w:bidi w:val="0"/>
        <w:rPr>
          <w:rFonts w:hint="eastAsia"/>
          <w:color w:val="auto"/>
        </w:rPr>
      </w:pPr>
      <w:r>
        <w:rPr>
          <w:rFonts w:hint="eastAsia"/>
          <w:color w:val="auto"/>
        </w:rPr>
        <w:drawing>
          <wp:inline distT="0" distB="0" distL="114300" distR="114300">
            <wp:extent cx="3945255" cy="1147445"/>
            <wp:effectExtent l="0" t="0" r="17145" b="14605"/>
            <wp:docPr id="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pic:cNvPicPr>
                      <a:picLocks noChangeAspect="1"/>
                    </pic:cNvPicPr>
                  </pic:nvPicPr>
                  <pic:blipFill>
                    <a:blip r:embed="rId41"/>
                    <a:stretch>
                      <a:fillRect/>
                    </a:stretch>
                  </pic:blipFill>
                  <pic:spPr>
                    <a:xfrm>
                      <a:off x="0" y="0"/>
                      <a:ext cx="3945255" cy="1147445"/>
                    </a:xfrm>
                    <a:prstGeom prst="rect">
                      <a:avLst/>
                    </a:prstGeom>
                    <a:noFill/>
                    <a:ln>
                      <a:noFill/>
                    </a:ln>
                  </pic:spPr>
                </pic:pic>
              </a:graphicData>
            </a:graphic>
          </wp:inline>
        </w:drawing>
      </w:r>
    </w:p>
    <w:p w14:paraId="0460667A">
      <w:pPr>
        <w:bidi w:val="0"/>
        <w:rPr>
          <w:rFonts w:hint="eastAsia"/>
          <w:color w:val="auto"/>
        </w:rPr>
      </w:pPr>
      <w:r>
        <w:rPr>
          <w:rFonts w:hint="eastAsia"/>
          <w:color w:val="auto"/>
        </w:rPr>
        <w:t>式中：x，y—计算点处的位置坐标；</w:t>
      </w:r>
    </w:p>
    <w:p w14:paraId="3EE84590">
      <w:pPr>
        <w:bidi w:val="0"/>
        <w:rPr>
          <w:rFonts w:hint="eastAsia"/>
          <w:color w:val="auto"/>
        </w:rPr>
      </w:pPr>
      <w:r>
        <w:rPr>
          <w:rFonts w:hint="eastAsia"/>
          <w:color w:val="auto"/>
        </w:rPr>
        <w:t>t—时间，d；</w:t>
      </w:r>
    </w:p>
    <w:p w14:paraId="4D11E37D">
      <w:pPr>
        <w:bidi w:val="0"/>
        <w:rPr>
          <w:rFonts w:hint="eastAsia"/>
          <w:color w:val="auto"/>
        </w:rPr>
      </w:pPr>
      <w:r>
        <w:rPr>
          <w:rFonts w:hint="eastAsia"/>
          <w:color w:val="auto"/>
        </w:rPr>
        <w:t>C（x，y，t）—t时刻点x，y处的示踪剂浓度，g/L；</w:t>
      </w:r>
    </w:p>
    <w:p w14:paraId="18190564">
      <w:pPr>
        <w:bidi w:val="0"/>
        <w:rPr>
          <w:rFonts w:hint="eastAsia"/>
          <w:color w:val="auto"/>
        </w:rPr>
      </w:pPr>
      <w:r>
        <w:rPr>
          <w:rFonts w:hint="eastAsia"/>
          <w:color w:val="auto"/>
        </w:rPr>
        <w:t>M—含水层的厚度，m；</w:t>
      </w:r>
    </w:p>
    <w:p w14:paraId="5941E2A9">
      <w:pPr>
        <w:bidi w:val="0"/>
        <w:rPr>
          <w:rFonts w:hint="eastAsia"/>
          <w:color w:val="auto"/>
        </w:rPr>
      </w:pPr>
      <w:r>
        <w:rPr>
          <w:rFonts w:hint="eastAsia"/>
          <w:color w:val="auto"/>
        </w:rPr>
        <w:t>m</w:t>
      </w:r>
      <w:r>
        <w:rPr>
          <w:rFonts w:hint="eastAsia"/>
          <w:color w:val="auto"/>
          <w:vertAlign w:val="subscript"/>
        </w:rPr>
        <w:t>M</w:t>
      </w:r>
      <w:r>
        <w:rPr>
          <w:rFonts w:hint="eastAsia"/>
          <w:color w:val="auto"/>
        </w:rPr>
        <w:t>—瞬时注入的示踪剂质量，kg/d；</w:t>
      </w:r>
    </w:p>
    <w:p w14:paraId="3BD2BA8A">
      <w:pPr>
        <w:bidi w:val="0"/>
        <w:rPr>
          <w:rFonts w:hint="eastAsia"/>
          <w:color w:val="auto"/>
        </w:rPr>
      </w:pPr>
      <w:r>
        <w:rPr>
          <w:rFonts w:hint="eastAsia"/>
          <w:color w:val="auto"/>
        </w:rPr>
        <w:t>u—水流速度，m/d；</w:t>
      </w:r>
    </w:p>
    <w:p w14:paraId="02DD9DF0">
      <w:pPr>
        <w:bidi w:val="0"/>
        <w:rPr>
          <w:rFonts w:hint="eastAsia"/>
          <w:color w:val="auto"/>
        </w:rPr>
      </w:pPr>
      <w:r>
        <w:rPr>
          <w:rFonts w:hint="eastAsia"/>
          <w:color w:val="auto"/>
        </w:rPr>
        <w:t>n—有效孔隙度，无量纲</w:t>
      </w:r>
    </w:p>
    <w:p w14:paraId="69AF796B">
      <w:pPr>
        <w:bidi w:val="0"/>
        <w:rPr>
          <w:rFonts w:hint="eastAsia"/>
          <w:color w:val="auto"/>
        </w:rPr>
      </w:pPr>
      <w:r>
        <w:rPr>
          <w:rFonts w:hint="eastAsia"/>
          <w:color w:val="auto"/>
        </w:rPr>
        <w:t>D</w:t>
      </w:r>
      <w:r>
        <w:rPr>
          <w:rFonts w:hint="eastAsia"/>
          <w:color w:val="auto"/>
          <w:vertAlign w:val="subscript"/>
        </w:rPr>
        <w:t>L</w:t>
      </w:r>
      <w:r>
        <w:rPr>
          <w:rFonts w:hint="eastAsia"/>
          <w:color w:val="auto"/>
        </w:rPr>
        <w:t>—纵向x方向的弥散系数，m</w:t>
      </w:r>
      <w:r>
        <w:rPr>
          <w:rFonts w:hint="eastAsia"/>
          <w:color w:val="auto"/>
          <w:vertAlign w:val="superscript"/>
        </w:rPr>
        <w:t>2</w:t>
      </w:r>
      <w:r>
        <w:rPr>
          <w:rFonts w:hint="eastAsia"/>
          <w:color w:val="auto"/>
        </w:rPr>
        <w:t>/d；</w:t>
      </w:r>
    </w:p>
    <w:p w14:paraId="1135EBF0">
      <w:pPr>
        <w:bidi w:val="0"/>
        <w:rPr>
          <w:rFonts w:hint="eastAsia"/>
          <w:color w:val="auto"/>
        </w:rPr>
      </w:pPr>
      <w:r>
        <w:rPr>
          <w:rFonts w:hint="eastAsia"/>
          <w:color w:val="auto"/>
        </w:rPr>
        <w:t>D</w:t>
      </w:r>
      <w:r>
        <w:rPr>
          <w:rFonts w:hint="eastAsia"/>
          <w:color w:val="auto"/>
          <w:vertAlign w:val="subscript"/>
        </w:rPr>
        <w:t>T</w:t>
      </w:r>
      <w:r>
        <w:rPr>
          <w:rFonts w:hint="eastAsia"/>
          <w:color w:val="auto"/>
        </w:rPr>
        <w:t>—横向y方向的弥散系数，m</w:t>
      </w:r>
      <w:r>
        <w:rPr>
          <w:rFonts w:hint="eastAsia"/>
          <w:color w:val="auto"/>
          <w:vertAlign w:val="superscript"/>
        </w:rPr>
        <w:t>2</w:t>
      </w:r>
      <w:r>
        <w:rPr>
          <w:rFonts w:hint="eastAsia"/>
          <w:color w:val="auto"/>
        </w:rPr>
        <w:t>/d。</w:t>
      </w:r>
    </w:p>
    <w:p w14:paraId="4CB99E72">
      <w:pPr>
        <w:bidi w:val="0"/>
        <w:rPr>
          <w:rFonts w:hint="eastAsia"/>
          <w:color w:val="auto"/>
        </w:rPr>
      </w:pPr>
      <w:r>
        <w:rPr>
          <w:rFonts w:hint="eastAsia"/>
          <w:color w:val="auto"/>
        </w:rPr>
        <w:t>本次预测所用模型需要的参数有：含水层厚度M，外泄污染物质量m，岩层的有效孔隙度n，水流速度u，污染物纵向弥散系数D</w:t>
      </w:r>
      <w:r>
        <w:rPr>
          <w:rFonts w:hint="eastAsia"/>
          <w:color w:val="auto"/>
          <w:vertAlign w:val="subscript"/>
        </w:rPr>
        <w:t>L</w:t>
      </w:r>
      <w:r>
        <w:rPr>
          <w:rFonts w:hint="eastAsia"/>
          <w:color w:val="auto"/>
        </w:rPr>
        <w:t>，污染物横向弥散系数D</w:t>
      </w:r>
      <w:r>
        <w:rPr>
          <w:rFonts w:hint="eastAsia"/>
          <w:color w:val="auto"/>
          <w:vertAlign w:val="subscript"/>
        </w:rPr>
        <w:t>T</w:t>
      </w:r>
      <w:r>
        <w:rPr>
          <w:rFonts w:hint="eastAsia"/>
          <w:color w:val="auto"/>
        </w:rPr>
        <w:t>。</w:t>
      </w:r>
    </w:p>
    <w:p w14:paraId="3994CA52">
      <w:pPr>
        <w:bidi w:val="0"/>
        <w:rPr>
          <w:rFonts w:hint="eastAsia"/>
          <w:color w:val="auto"/>
        </w:rPr>
      </w:pPr>
      <w:r>
        <w:rPr>
          <w:rFonts w:hint="eastAsia"/>
          <w:color w:val="auto"/>
        </w:rPr>
        <w:t>所需用到的参数根据现有资料以及现场水文地质调查获取，具体如所示：</w:t>
      </w:r>
    </w:p>
    <w:p w14:paraId="4CE48D52">
      <w:pPr>
        <w:pStyle w:val="25"/>
        <w:bidi w:val="0"/>
        <w:rPr>
          <w:rFonts w:hint="eastAsia"/>
          <w:color w:val="auto"/>
        </w:rPr>
      </w:pPr>
      <w:r>
        <w:rPr>
          <w:rFonts w:hint="eastAsia"/>
          <w:color w:val="auto"/>
        </w:rPr>
        <w:t>表</w:t>
      </w:r>
      <w:r>
        <w:rPr>
          <w:rFonts w:hint="eastAsia"/>
          <w:color w:val="auto"/>
        </w:rPr>
        <w:fldChar w:fldCharType="begin"/>
      </w:r>
      <w:r>
        <w:rPr>
          <w:rFonts w:hint="eastAsia"/>
          <w:color w:val="auto"/>
        </w:rPr>
        <w:instrText xml:space="preserve"> STYLEREF 2 \s </w:instrText>
      </w:r>
      <w:r>
        <w:rPr>
          <w:rFonts w:hint="eastAsia"/>
          <w:color w:val="auto"/>
        </w:rPr>
        <w:fldChar w:fldCharType="separate"/>
      </w:r>
      <w:r>
        <w:rPr>
          <w:rFonts w:hint="eastAsia"/>
          <w:color w:val="auto"/>
        </w:rPr>
        <w:t>6.6</w:t>
      </w:r>
      <w:r>
        <w:rPr>
          <w:rFonts w:hint="eastAsia"/>
          <w:color w:val="auto"/>
        </w:rPr>
        <w:fldChar w:fldCharType="end"/>
      </w:r>
      <w:r>
        <w:rPr>
          <w:rFonts w:hint="eastAsia"/>
          <w:color w:val="auto"/>
        </w:rPr>
        <w:noBreakHyphen/>
      </w:r>
      <w:r>
        <w:rPr>
          <w:rFonts w:hint="eastAsia"/>
          <w:color w:val="auto"/>
        </w:rPr>
        <w:fldChar w:fldCharType="begin"/>
      </w:r>
      <w:r>
        <w:rPr>
          <w:rFonts w:hint="eastAsia"/>
          <w:color w:val="auto"/>
        </w:rPr>
        <w:instrText xml:space="preserve"> SEQ 表 \* ARABIC \s 2 </w:instrText>
      </w:r>
      <w:r>
        <w:rPr>
          <w:rFonts w:hint="eastAsia"/>
          <w:color w:val="auto"/>
        </w:rPr>
        <w:fldChar w:fldCharType="separate"/>
      </w:r>
      <w:r>
        <w:rPr>
          <w:rFonts w:hint="eastAsia"/>
          <w:color w:val="auto"/>
        </w:rPr>
        <w:t>3</w:t>
      </w:r>
      <w:r>
        <w:rPr>
          <w:rFonts w:hint="eastAsia"/>
          <w:color w:val="auto"/>
        </w:rPr>
        <w:fldChar w:fldCharType="end"/>
      </w:r>
      <w:r>
        <w:rPr>
          <w:rFonts w:hint="eastAsia"/>
          <w:color w:val="auto"/>
        </w:rPr>
        <w:t>场地水文地质参数表</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1848"/>
        <w:gridCol w:w="4365"/>
      </w:tblGrid>
      <w:tr w14:paraId="2CF9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55" w:type="pct"/>
            <w:vAlign w:val="center"/>
          </w:tcPr>
          <w:p w14:paraId="5E77288A">
            <w:pPr>
              <w:pStyle w:val="36"/>
              <w:bidi w:val="0"/>
              <w:rPr>
                <w:rFonts w:hint="eastAsia"/>
                <w:color w:val="auto"/>
              </w:rPr>
            </w:pPr>
            <w:r>
              <w:rPr>
                <w:rFonts w:hint="eastAsia"/>
                <w:color w:val="auto"/>
              </w:rPr>
              <w:t>指标</w:t>
            </w:r>
          </w:p>
        </w:tc>
        <w:tc>
          <w:tcPr>
            <w:tcW w:w="1084" w:type="pct"/>
            <w:vAlign w:val="center"/>
          </w:tcPr>
          <w:p w14:paraId="1D11BE1D">
            <w:pPr>
              <w:pStyle w:val="36"/>
              <w:bidi w:val="0"/>
              <w:rPr>
                <w:rFonts w:hint="eastAsia"/>
                <w:color w:val="auto"/>
              </w:rPr>
            </w:pPr>
            <w:r>
              <w:rPr>
                <w:rFonts w:hint="eastAsia"/>
                <w:color w:val="auto"/>
              </w:rPr>
              <w:t>参数</w:t>
            </w:r>
          </w:p>
        </w:tc>
        <w:tc>
          <w:tcPr>
            <w:tcW w:w="2561" w:type="pct"/>
            <w:vAlign w:val="center"/>
          </w:tcPr>
          <w:p w14:paraId="68F45845">
            <w:pPr>
              <w:pStyle w:val="36"/>
              <w:bidi w:val="0"/>
              <w:rPr>
                <w:rFonts w:hint="eastAsia"/>
                <w:color w:val="auto"/>
              </w:rPr>
            </w:pPr>
            <w:r>
              <w:rPr>
                <w:rFonts w:hint="eastAsia"/>
                <w:color w:val="auto"/>
              </w:rPr>
              <w:t>说明</w:t>
            </w:r>
          </w:p>
        </w:tc>
      </w:tr>
      <w:tr w14:paraId="252A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355" w:type="pct"/>
            <w:vAlign w:val="center"/>
          </w:tcPr>
          <w:p w14:paraId="2F856CA9">
            <w:pPr>
              <w:pStyle w:val="26"/>
              <w:bidi w:val="0"/>
              <w:rPr>
                <w:rFonts w:hint="eastAsia"/>
                <w:color w:val="auto"/>
              </w:rPr>
            </w:pPr>
            <w:r>
              <w:rPr>
                <w:rFonts w:hint="eastAsia"/>
                <w:color w:val="auto"/>
              </w:rPr>
              <w:t>含水层厚度M</w:t>
            </w:r>
          </w:p>
        </w:tc>
        <w:tc>
          <w:tcPr>
            <w:tcW w:w="1084" w:type="pct"/>
            <w:vAlign w:val="center"/>
          </w:tcPr>
          <w:p w14:paraId="5A0BEC32">
            <w:pPr>
              <w:pStyle w:val="26"/>
              <w:bidi w:val="0"/>
              <w:rPr>
                <w:rFonts w:hint="eastAsia"/>
                <w:color w:val="auto"/>
              </w:rPr>
            </w:pPr>
            <w:r>
              <w:rPr>
                <w:rFonts w:hint="eastAsia"/>
                <w:color w:val="auto"/>
                <w:lang w:val="en-US" w:eastAsia="zh-CN"/>
              </w:rPr>
              <w:t>4.8</w:t>
            </w:r>
            <w:r>
              <w:rPr>
                <w:rFonts w:hint="eastAsia"/>
                <w:color w:val="auto"/>
              </w:rPr>
              <w:t>m</w:t>
            </w:r>
          </w:p>
        </w:tc>
        <w:tc>
          <w:tcPr>
            <w:tcW w:w="2561" w:type="pct"/>
            <w:vAlign w:val="center"/>
          </w:tcPr>
          <w:p w14:paraId="219720B0">
            <w:pPr>
              <w:pStyle w:val="26"/>
              <w:bidi w:val="0"/>
              <w:rPr>
                <w:rFonts w:hint="eastAsia"/>
                <w:color w:val="auto"/>
              </w:rPr>
            </w:pPr>
            <w:r>
              <w:rPr>
                <w:rFonts w:hint="eastAsia"/>
                <w:color w:val="auto"/>
              </w:rPr>
              <w:t>根据工程勘察资料</w:t>
            </w:r>
          </w:p>
        </w:tc>
      </w:tr>
      <w:tr w14:paraId="2C72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5" w:type="pct"/>
            <w:vAlign w:val="center"/>
          </w:tcPr>
          <w:p w14:paraId="4295F01A">
            <w:pPr>
              <w:pStyle w:val="26"/>
              <w:bidi w:val="0"/>
              <w:rPr>
                <w:rFonts w:hint="eastAsia"/>
                <w:color w:val="auto"/>
              </w:rPr>
            </w:pPr>
            <w:r>
              <w:rPr>
                <w:rFonts w:hint="eastAsia"/>
                <w:color w:val="auto"/>
              </w:rPr>
              <w:t>水流速度u</w:t>
            </w:r>
          </w:p>
        </w:tc>
        <w:tc>
          <w:tcPr>
            <w:tcW w:w="1084" w:type="pct"/>
            <w:vAlign w:val="center"/>
          </w:tcPr>
          <w:p w14:paraId="54BA4DFD">
            <w:pPr>
              <w:pStyle w:val="26"/>
              <w:bidi w:val="0"/>
              <w:rPr>
                <w:rFonts w:hint="eastAsia"/>
                <w:color w:val="auto"/>
              </w:rPr>
            </w:pPr>
            <w:r>
              <w:rPr>
                <w:rFonts w:hint="eastAsia"/>
                <w:color w:val="auto"/>
                <w:lang w:val="en-US" w:eastAsia="zh-CN"/>
              </w:rPr>
              <w:t>2.264</w:t>
            </w:r>
            <w:r>
              <w:rPr>
                <w:rFonts w:hint="eastAsia"/>
                <w:color w:val="auto"/>
              </w:rPr>
              <w:t>×10</w:t>
            </w:r>
            <w:r>
              <w:rPr>
                <w:rFonts w:hint="eastAsia"/>
                <w:color w:val="auto"/>
                <w:vertAlign w:val="superscript"/>
              </w:rPr>
              <w:t>-</w:t>
            </w:r>
            <w:r>
              <w:rPr>
                <w:rFonts w:hint="eastAsia"/>
                <w:color w:val="auto"/>
                <w:vertAlign w:val="superscript"/>
                <w:lang w:val="en-US" w:eastAsia="zh-CN"/>
              </w:rPr>
              <w:t>4</w:t>
            </w:r>
            <w:r>
              <w:rPr>
                <w:rFonts w:hint="eastAsia"/>
                <w:color w:val="auto"/>
              </w:rPr>
              <w:t>m/d</w:t>
            </w:r>
          </w:p>
        </w:tc>
        <w:tc>
          <w:tcPr>
            <w:tcW w:w="2561" w:type="pct"/>
            <w:vAlign w:val="center"/>
          </w:tcPr>
          <w:p w14:paraId="7B4F411F">
            <w:pPr>
              <w:pStyle w:val="26"/>
              <w:bidi w:val="0"/>
              <w:rPr>
                <w:rFonts w:hint="eastAsia"/>
                <w:color w:val="auto"/>
              </w:rPr>
            </w:pPr>
            <w:r>
              <w:rPr>
                <w:rFonts w:hint="eastAsia"/>
                <w:color w:val="auto"/>
              </w:rPr>
              <w:t>根据经验公式计算</w:t>
            </w:r>
          </w:p>
        </w:tc>
      </w:tr>
      <w:tr w14:paraId="0EE2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355" w:type="pct"/>
            <w:vAlign w:val="center"/>
          </w:tcPr>
          <w:p w14:paraId="47FFC19F">
            <w:pPr>
              <w:pStyle w:val="26"/>
              <w:bidi w:val="0"/>
              <w:rPr>
                <w:rFonts w:hint="eastAsia"/>
                <w:color w:val="auto"/>
              </w:rPr>
            </w:pPr>
            <w:r>
              <w:rPr>
                <w:rFonts w:hint="eastAsia"/>
                <w:color w:val="auto"/>
              </w:rPr>
              <w:t>有效孔隙度n</w:t>
            </w:r>
          </w:p>
        </w:tc>
        <w:tc>
          <w:tcPr>
            <w:tcW w:w="1084" w:type="pct"/>
            <w:vAlign w:val="center"/>
          </w:tcPr>
          <w:p w14:paraId="4EBF5DD7">
            <w:pPr>
              <w:pStyle w:val="26"/>
              <w:bidi w:val="0"/>
              <w:rPr>
                <w:rFonts w:hint="default" w:eastAsia="仿宋_GB2312"/>
                <w:color w:val="auto"/>
                <w:lang w:val="en-US" w:eastAsia="zh-CN"/>
              </w:rPr>
            </w:pPr>
            <w:r>
              <w:rPr>
                <w:rFonts w:hint="eastAsia"/>
                <w:color w:val="auto"/>
              </w:rPr>
              <w:t>0.</w:t>
            </w:r>
            <w:r>
              <w:rPr>
                <w:rFonts w:hint="eastAsia"/>
                <w:color w:val="auto"/>
                <w:lang w:val="en-US" w:eastAsia="zh-CN"/>
              </w:rPr>
              <w:t>57</w:t>
            </w:r>
          </w:p>
        </w:tc>
        <w:tc>
          <w:tcPr>
            <w:tcW w:w="2561" w:type="pct"/>
            <w:vAlign w:val="center"/>
          </w:tcPr>
          <w:p w14:paraId="1B72FB32">
            <w:pPr>
              <w:pStyle w:val="26"/>
              <w:bidi w:val="0"/>
              <w:rPr>
                <w:rFonts w:hint="eastAsia"/>
                <w:color w:val="auto"/>
              </w:rPr>
            </w:pPr>
            <w:r>
              <w:rPr>
                <w:rFonts w:hint="eastAsia"/>
                <w:color w:val="auto"/>
              </w:rPr>
              <w:t>根据土工试验数据计算</w:t>
            </w:r>
          </w:p>
        </w:tc>
      </w:tr>
      <w:tr w14:paraId="5DAE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55" w:type="pct"/>
            <w:vAlign w:val="center"/>
          </w:tcPr>
          <w:p w14:paraId="73748A28">
            <w:pPr>
              <w:pStyle w:val="26"/>
              <w:bidi w:val="0"/>
              <w:rPr>
                <w:rFonts w:hint="eastAsia"/>
                <w:color w:val="auto"/>
              </w:rPr>
            </w:pPr>
            <w:r>
              <w:rPr>
                <w:rFonts w:hint="eastAsia"/>
                <w:color w:val="auto"/>
              </w:rPr>
              <w:t>纵向弥散系数D</w:t>
            </w:r>
            <w:r>
              <w:rPr>
                <w:rFonts w:hint="eastAsia"/>
                <w:color w:val="auto"/>
                <w:vertAlign w:val="subscript"/>
              </w:rPr>
              <w:t>L</w:t>
            </w:r>
          </w:p>
        </w:tc>
        <w:tc>
          <w:tcPr>
            <w:tcW w:w="1084" w:type="pct"/>
            <w:vAlign w:val="center"/>
          </w:tcPr>
          <w:p w14:paraId="505AE13D">
            <w:pPr>
              <w:pStyle w:val="26"/>
              <w:bidi w:val="0"/>
              <w:rPr>
                <w:rFonts w:hint="eastAsia"/>
                <w:color w:val="auto"/>
              </w:rPr>
            </w:pPr>
            <w:r>
              <w:rPr>
                <w:rFonts w:hint="eastAsia"/>
                <w:color w:val="auto"/>
              </w:rPr>
              <w:t>0.0</w:t>
            </w:r>
            <w:r>
              <w:rPr>
                <w:rFonts w:hint="eastAsia"/>
                <w:color w:val="auto"/>
                <w:lang w:val="en-US" w:eastAsia="zh-CN"/>
              </w:rPr>
              <w:t>121</w:t>
            </w:r>
            <w:r>
              <w:rPr>
                <w:rFonts w:hint="eastAsia"/>
                <w:color w:val="auto"/>
              </w:rPr>
              <w:t>m</w:t>
            </w:r>
            <w:r>
              <w:rPr>
                <w:rFonts w:hint="eastAsia"/>
                <w:color w:val="auto"/>
                <w:vertAlign w:val="superscript"/>
              </w:rPr>
              <w:t>2</w:t>
            </w:r>
            <w:r>
              <w:rPr>
                <w:rFonts w:hint="eastAsia"/>
                <w:color w:val="auto"/>
                <w:vertAlign w:val="baseline"/>
              </w:rPr>
              <w:t>/</w:t>
            </w:r>
            <w:r>
              <w:rPr>
                <w:rFonts w:hint="eastAsia"/>
                <w:color w:val="auto"/>
              </w:rPr>
              <w:t>d</w:t>
            </w:r>
          </w:p>
        </w:tc>
        <w:tc>
          <w:tcPr>
            <w:tcW w:w="2561" w:type="pct"/>
            <w:vAlign w:val="center"/>
          </w:tcPr>
          <w:p w14:paraId="1E8CB25F">
            <w:pPr>
              <w:pStyle w:val="26"/>
              <w:bidi w:val="0"/>
              <w:rPr>
                <w:rFonts w:hint="eastAsia"/>
                <w:color w:val="auto"/>
              </w:rPr>
            </w:pPr>
            <w:r>
              <w:rPr>
                <w:rFonts w:hint="eastAsia"/>
                <w:color w:val="auto"/>
              </w:rPr>
              <w:t>根据经验公式计算</w:t>
            </w:r>
          </w:p>
        </w:tc>
      </w:tr>
      <w:tr w14:paraId="25C6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355" w:type="pct"/>
            <w:vAlign w:val="center"/>
          </w:tcPr>
          <w:p w14:paraId="5EBD3FF4">
            <w:pPr>
              <w:pStyle w:val="26"/>
              <w:bidi w:val="0"/>
              <w:rPr>
                <w:rFonts w:hint="eastAsia"/>
                <w:color w:val="auto"/>
              </w:rPr>
            </w:pPr>
            <w:r>
              <w:rPr>
                <w:rFonts w:hint="eastAsia"/>
                <w:color w:val="auto"/>
              </w:rPr>
              <w:t>横向弥散系数D</w:t>
            </w:r>
            <w:r>
              <w:rPr>
                <w:rFonts w:hint="eastAsia"/>
                <w:color w:val="auto"/>
                <w:vertAlign w:val="subscript"/>
              </w:rPr>
              <w:t>T</w:t>
            </w:r>
          </w:p>
        </w:tc>
        <w:tc>
          <w:tcPr>
            <w:tcW w:w="1084" w:type="pct"/>
            <w:vAlign w:val="center"/>
          </w:tcPr>
          <w:p w14:paraId="039769B6">
            <w:pPr>
              <w:pStyle w:val="26"/>
              <w:bidi w:val="0"/>
              <w:rPr>
                <w:rFonts w:hint="eastAsia"/>
                <w:color w:val="auto"/>
              </w:rPr>
            </w:pPr>
            <w:r>
              <w:rPr>
                <w:rFonts w:hint="eastAsia"/>
                <w:color w:val="auto"/>
              </w:rPr>
              <w:t>0.00</w:t>
            </w:r>
            <w:r>
              <w:rPr>
                <w:rFonts w:hint="eastAsia"/>
                <w:color w:val="auto"/>
                <w:lang w:val="en-US" w:eastAsia="zh-CN"/>
              </w:rPr>
              <w:t>121</w:t>
            </w:r>
            <w:r>
              <w:rPr>
                <w:rFonts w:hint="eastAsia"/>
                <w:color w:val="auto"/>
              </w:rPr>
              <w:t>m</w:t>
            </w:r>
            <w:r>
              <w:rPr>
                <w:rFonts w:hint="eastAsia"/>
                <w:color w:val="auto"/>
                <w:vertAlign w:val="superscript"/>
              </w:rPr>
              <w:t>2</w:t>
            </w:r>
            <w:r>
              <w:rPr>
                <w:rFonts w:hint="eastAsia"/>
                <w:color w:val="auto"/>
              </w:rPr>
              <w:t>/d</w:t>
            </w:r>
          </w:p>
        </w:tc>
        <w:tc>
          <w:tcPr>
            <w:tcW w:w="2561" w:type="pct"/>
            <w:vAlign w:val="center"/>
          </w:tcPr>
          <w:p w14:paraId="7C016DFB">
            <w:pPr>
              <w:pStyle w:val="26"/>
              <w:bidi w:val="0"/>
              <w:rPr>
                <w:rFonts w:hint="eastAsia"/>
                <w:color w:val="auto"/>
              </w:rPr>
            </w:pPr>
            <w:r>
              <w:rPr>
                <w:rFonts w:hint="eastAsia"/>
                <w:color w:val="auto"/>
              </w:rPr>
              <w:t>根据经验公式计算</w:t>
            </w:r>
          </w:p>
        </w:tc>
      </w:tr>
    </w:tbl>
    <w:p w14:paraId="5E2112D9">
      <w:pPr>
        <w:pStyle w:val="26"/>
        <w:bidi w:val="0"/>
        <w:rPr>
          <w:rFonts w:hint="eastAsia"/>
          <w:color w:val="auto"/>
        </w:rPr>
      </w:pPr>
    </w:p>
    <w:p w14:paraId="0D0D1DA7">
      <w:pPr>
        <w:pStyle w:val="5"/>
        <w:bidi w:val="0"/>
        <w:rPr>
          <w:rFonts w:hint="eastAsia"/>
          <w:color w:val="auto"/>
          <w:lang w:val="en-US" w:eastAsia="zh-CN"/>
        </w:rPr>
      </w:pPr>
      <w:r>
        <w:rPr>
          <w:rFonts w:hint="eastAsia"/>
          <w:color w:val="auto"/>
          <w:lang w:val="en-US" w:eastAsia="zh-CN"/>
        </w:rPr>
        <w:t>预测结果及分析</w:t>
      </w:r>
    </w:p>
    <w:p w14:paraId="3941F924">
      <w:pPr>
        <w:rPr>
          <w:rFonts w:hint="eastAsia"/>
          <w:color w:val="auto"/>
        </w:rPr>
      </w:pPr>
      <w:r>
        <w:rPr>
          <w:rFonts w:hint="eastAsia"/>
          <w:color w:val="auto"/>
        </w:rPr>
        <w:t>由预测结果可知，在非正常工况下污水处理系统废水泄漏，随着时间的增加，污染物的超标扩散距离越来越大。CODMn 和总铜泄漏 100d 最大超标扩散范围为3.0m和3.7m，泄漏1000d后最大超标扩散范围9.6m和12m，20年最大超标扩散范围不超过50m。</w:t>
      </w:r>
    </w:p>
    <w:p w14:paraId="27C188D8">
      <w:pPr>
        <w:rPr>
          <w:rFonts w:hint="eastAsia"/>
          <w:color w:val="auto"/>
        </w:rPr>
      </w:pPr>
      <w:r>
        <w:rPr>
          <w:rFonts w:hint="eastAsia"/>
          <w:color w:val="auto"/>
        </w:rPr>
        <w:t>项目在1个检修周期（365d）内会对渗漏处进行检修，即渗漏持续时间不会超过365d，超标扩散距离不会超过厂界范围，因此，本项目非正常工况下，污水渗漏对地下水环境影响较小。</w:t>
      </w:r>
    </w:p>
    <w:p w14:paraId="7402B409">
      <w:pPr>
        <w:pStyle w:val="3"/>
        <w:rPr>
          <w:color w:val="auto"/>
        </w:rPr>
      </w:pPr>
      <w:bookmarkStart w:id="301" w:name="_Toc9238"/>
      <w:bookmarkStart w:id="302" w:name="_Toc25645"/>
      <w:r>
        <w:rPr>
          <w:rFonts w:hint="eastAsia"/>
          <w:color w:val="auto"/>
        </w:rPr>
        <w:t>土壤环境影响分析</w:t>
      </w:r>
      <w:bookmarkEnd w:id="301"/>
      <w:bookmarkEnd w:id="302"/>
    </w:p>
    <w:p w14:paraId="632E636A">
      <w:pPr>
        <w:pStyle w:val="4"/>
        <w:bidi w:val="0"/>
        <w:rPr>
          <w:rFonts w:hint="eastAsia"/>
          <w:color w:val="auto"/>
          <w:lang w:val="en-US" w:eastAsia="zh-CN"/>
        </w:rPr>
      </w:pPr>
      <w:bookmarkStart w:id="303" w:name="_Toc16702"/>
      <w:bookmarkStart w:id="304" w:name="_Toc1913"/>
      <w:r>
        <w:rPr>
          <w:rFonts w:hint="eastAsia"/>
          <w:color w:val="auto"/>
          <w:lang w:val="en-US" w:eastAsia="zh-CN"/>
        </w:rPr>
        <w:t>土壤污染途径分析</w:t>
      </w:r>
      <w:bookmarkEnd w:id="303"/>
      <w:bookmarkEnd w:id="304"/>
    </w:p>
    <w:p w14:paraId="0CDA0FBD">
      <w:pPr>
        <w:rPr>
          <w:rFonts w:hint="eastAsia"/>
          <w:color w:val="auto"/>
        </w:rPr>
      </w:pPr>
      <w:r>
        <w:rPr>
          <w:rFonts w:hint="eastAsia"/>
          <w:color w:val="auto"/>
        </w:rPr>
        <w:t>本项目为污染影响型建设项目，重点分析运营期对项目地及周边区域土壤环境的影响。根据项目工程分析，本项目产生废气</w:t>
      </w:r>
      <w:r>
        <w:rPr>
          <w:rFonts w:hint="eastAsia"/>
          <w:color w:val="auto"/>
          <w:lang w:val="en-US" w:eastAsia="zh-CN"/>
        </w:rPr>
        <w:t>主要为工艺废气、储罐废气、危废仓库废气、污水处理站废气，</w:t>
      </w:r>
      <w:r>
        <w:rPr>
          <w:rFonts w:hint="eastAsia"/>
          <w:color w:val="auto"/>
        </w:rPr>
        <w:t>会造成一定的大气污染物沉降污染；根据项目特点，重点考虑废水、液态物料及其他废水通过垂直入渗透的形式渗入周边土壤的土壤污染途径。</w:t>
      </w:r>
    </w:p>
    <w:p w14:paraId="6740FA00">
      <w:pPr>
        <w:pStyle w:val="25"/>
        <w:bidi w:val="0"/>
        <w:rPr>
          <w:rFonts w:hint="eastAsia"/>
          <w:color w:val="auto"/>
        </w:rPr>
      </w:pPr>
      <w:r>
        <w:rPr>
          <w:rFonts w:hint="eastAsia"/>
          <w:color w:val="auto"/>
        </w:rPr>
        <w:t>表</w:t>
      </w:r>
      <w:r>
        <w:rPr>
          <w:rFonts w:hint="eastAsia"/>
          <w:color w:val="auto"/>
        </w:rPr>
        <w:fldChar w:fldCharType="begin"/>
      </w:r>
      <w:r>
        <w:rPr>
          <w:rFonts w:hint="eastAsia"/>
          <w:color w:val="auto"/>
        </w:rPr>
        <w:instrText xml:space="preserve"> STYLEREF 2 \s </w:instrText>
      </w:r>
      <w:r>
        <w:rPr>
          <w:rFonts w:hint="eastAsia"/>
          <w:color w:val="auto"/>
        </w:rPr>
        <w:fldChar w:fldCharType="separate"/>
      </w:r>
      <w:r>
        <w:rPr>
          <w:rFonts w:hint="eastAsia"/>
          <w:color w:val="auto"/>
        </w:rPr>
        <w:t>6.7</w:t>
      </w:r>
      <w:r>
        <w:rPr>
          <w:rFonts w:hint="eastAsia"/>
          <w:color w:val="auto"/>
        </w:rPr>
        <w:fldChar w:fldCharType="end"/>
      </w:r>
      <w:r>
        <w:rPr>
          <w:rFonts w:hint="eastAsia"/>
          <w:color w:val="auto"/>
        </w:rPr>
        <w:noBreakHyphen/>
      </w:r>
      <w:r>
        <w:rPr>
          <w:rFonts w:hint="eastAsia"/>
          <w:color w:val="auto"/>
        </w:rPr>
        <w:fldChar w:fldCharType="begin"/>
      </w:r>
      <w:r>
        <w:rPr>
          <w:rFonts w:hint="eastAsia"/>
          <w:color w:val="auto"/>
        </w:rPr>
        <w:instrText xml:space="preserve"> SEQ 表 \* ARABIC \s 2 </w:instrText>
      </w:r>
      <w:r>
        <w:rPr>
          <w:rFonts w:hint="eastAsia"/>
          <w:color w:val="auto"/>
        </w:rPr>
        <w:fldChar w:fldCharType="separate"/>
      </w:r>
      <w:r>
        <w:rPr>
          <w:rFonts w:hint="eastAsia"/>
          <w:color w:val="auto"/>
        </w:rPr>
        <w:t>1</w:t>
      </w:r>
      <w:r>
        <w:rPr>
          <w:rFonts w:hint="eastAsia"/>
          <w:color w:val="auto"/>
        </w:rPr>
        <w:fldChar w:fldCharType="end"/>
      </w:r>
      <w:r>
        <w:rPr>
          <w:rFonts w:hint="eastAsia"/>
          <w:color w:val="auto"/>
        </w:rPr>
        <w:t>项目土壤环境影响类型与影响途径表</w:t>
      </w:r>
    </w:p>
    <w:tbl>
      <w:tblPr>
        <w:tblStyle w:val="19"/>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1"/>
        <w:gridCol w:w="1734"/>
        <w:gridCol w:w="1734"/>
        <w:gridCol w:w="1734"/>
        <w:gridCol w:w="1736"/>
      </w:tblGrid>
      <w:tr w14:paraId="2474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9" w:type="pct"/>
            <w:vMerge w:val="restart"/>
            <w:tcBorders>
              <w:top w:val="single" w:color="auto" w:sz="4" w:space="0"/>
              <w:left w:val="single" w:color="auto" w:sz="4" w:space="0"/>
              <w:bottom w:val="single" w:color="auto" w:sz="4" w:space="0"/>
              <w:right w:val="single" w:color="auto" w:sz="4" w:space="0"/>
            </w:tcBorders>
            <w:vAlign w:val="center"/>
          </w:tcPr>
          <w:p w14:paraId="7AE7F486">
            <w:pPr>
              <w:pStyle w:val="36"/>
              <w:bidi w:val="0"/>
              <w:rPr>
                <w:rFonts w:hint="eastAsia"/>
                <w:color w:val="auto"/>
                <w:lang w:val="en-US" w:eastAsia="zh-CN"/>
              </w:rPr>
            </w:pPr>
            <w:r>
              <w:rPr>
                <w:rFonts w:hint="eastAsia"/>
                <w:color w:val="auto"/>
                <w:lang w:val="en-US" w:eastAsia="zh-CN"/>
              </w:rPr>
              <w:t>不同时段</w:t>
            </w:r>
          </w:p>
        </w:tc>
        <w:tc>
          <w:tcPr>
            <w:tcW w:w="4001" w:type="pct"/>
            <w:gridSpan w:val="4"/>
            <w:tcBorders>
              <w:top w:val="single" w:color="auto" w:sz="4" w:space="0"/>
              <w:left w:val="single" w:color="auto" w:sz="4" w:space="0"/>
              <w:bottom w:val="single" w:color="auto" w:sz="4" w:space="0"/>
              <w:right w:val="single" w:color="auto" w:sz="4" w:space="0"/>
            </w:tcBorders>
            <w:vAlign w:val="center"/>
          </w:tcPr>
          <w:p w14:paraId="3C9FECE5">
            <w:pPr>
              <w:pStyle w:val="36"/>
              <w:bidi w:val="0"/>
              <w:rPr>
                <w:rFonts w:hint="eastAsia"/>
                <w:color w:val="auto"/>
                <w:lang w:val="en-US" w:eastAsia="zh-CN"/>
              </w:rPr>
            </w:pPr>
            <w:r>
              <w:rPr>
                <w:rFonts w:hint="eastAsia"/>
                <w:color w:val="auto"/>
                <w:lang w:val="en-US" w:eastAsia="zh-CN"/>
              </w:rPr>
              <w:t>污染影响型</w:t>
            </w:r>
          </w:p>
        </w:tc>
      </w:tr>
      <w:tr w14:paraId="39E6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EC73445">
            <w:pPr>
              <w:pStyle w:val="36"/>
              <w:bidi w:val="0"/>
              <w:rPr>
                <w:rFonts w:hint="eastAsia"/>
                <w:color w:val="auto"/>
                <w:lang w:val="en-US" w:eastAsia="zh-CN"/>
              </w:rPr>
            </w:pPr>
          </w:p>
        </w:tc>
        <w:tc>
          <w:tcPr>
            <w:tcW w:w="1000" w:type="pct"/>
            <w:tcBorders>
              <w:top w:val="single" w:color="auto" w:sz="4" w:space="0"/>
              <w:left w:val="single" w:color="auto" w:sz="4" w:space="0"/>
              <w:bottom w:val="single" w:color="auto" w:sz="4" w:space="0"/>
              <w:right w:val="single" w:color="auto" w:sz="4" w:space="0"/>
            </w:tcBorders>
            <w:vAlign w:val="center"/>
          </w:tcPr>
          <w:p w14:paraId="0695179A">
            <w:pPr>
              <w:pStyle w:val="36"/>
              <w:bidi w:val="0"/>
              <w:rPr>
                <w:rFonts w:hint="eastAsia"/>
                <w:color w:val="auto"/>
                <w:lang w:val="en-US" w:eastAsia="zh-CN"/>
              </w:rPr>
            </w:pPr>
            <w:r>
              <w:rPr>
                <w:rFonts w:hint="eastAsia"/>
                <w:color w:val="auto"/>
                <w:lang w:val="en-US" w:eastAsia="zh-CN"/>
              </w:rPr>
              <w:t>大气沉降</w:t>
            </w:r>
          </w:p>
        </w:tc>
        <w:tc>
          <w:tcPr>
            <w:tcW w:w="1000" w:type="pct"/>
            <w:tcBorders>
              <w:top w:val="single" w:color="auto" w:sz="4" w:space="0"/>
              <w:left w:val="single" w:color="auto" w:sz="4" w:space="0"/>
              <w:bottom w:val="single" w:color="auto" w:sz="4" w:space="0"/>
              <w:right w:val="single" w:color="auto" w:sz="4" w:space="0"/>
            </w:tcBorders>
            <w:vAlign w:val="center"/>
          </w:tcPr>
          <w:p w14:paraId="617F5C7A">
            <w:pPr>
              <w:pStyle w:val="36"/>
              <w:bidi w:val="0"/>
              <w:rPr>
                <w:rFonts w:hint="eastAsia"/>
                <w:color w:val="auto"/>
                <w:lang w:val="en-US" w:eastAsia="zh-CN"/>
              </w:rPr>
            </w:pPr>
            <w:r>
              <w:rPr>
                <w:rFonts w:hint="eastAsia"/>
                <w:color w:val="auto"/>
                <w:lang w:val="en-US" w:eastAsia="zh-CN"/>
              </w:rPr>
              <w:t>地面漫流</w:t>
            </w:r>
          </w:p>
        </w:tc>
        <w:tc>
          <w:tcPr>
            <w:tcW w:w="1000" w:type="pct"/>
            <w:tcBorders>
              <w:top w:val="single" w:color="auto" w:sz="4" w:space="0"/>
              <w:left w:val="single" w:color="auto" w:sz="4" w:space="0"/>
              <w:bottom w:val="single" w:color="auto" w:sz="4" w:space="0"/>
              <w:right w:val="single" w:color="auto" w:sz="4" w:space="0"/>
            </w:tcBorders>
            <w:vAlign w:val="center"/>
          </w:tcPr>
          <w:p w14:paraId="35410127">
            <w:pPr>
              <w:pStyle w:val="36"/>
              <w:bidi w:val="0"/>
              <w:rPr>
                <w:rFonts w:hint="eastAsia"/>
                <w:color w:val="auto"/>
                <w:lang w:val="en-US" w:eastAsia="zh-CN"/>
              </w:rPr>
            </w:pPr>
            <w:r>
              <w:rPr>
                <w:rFonts w:hint="eastAsia"/>
                <w:color w:val="auto"/>
                <w:lang w:val="en-US" w:eastAsia="zh-CN"/>
              </w:rPr>
              <w:t>垂直入渗</w:t>
            </w:r>
          </w:p>
        </w:tc>
        <w:tc>
          <w:tcPr>
            <w:tcW w:w="1001" w:type="pct"/>
            <w:tcBorders>
              <w:top w:val="single" w:color="auto" w:sz="4" w:space="0"/>
              <w:left w:val="single" w:color="auto" w:sz="4" w:space="0"/>
              <w:bottom w:val="single" w:color="auto" w:sz="4" w:space="0"/>
              <w:right w:val="single" w:color="auto" w:sz="4" w:space="0"/>
            </w:tcBorders>
            <w:vAlign w:val="center"/>
          </w:tcPr>
          <w:p w14:paraId="3D970366">
            <w:pPr>
              <w:pStyle w:val="36"/>
              <w:bidi w:val="0"/>
              <w:rPr>
                <w:rFonts w:hint="eastAsia"/>
                <w:color w:val="auto"/>
                <w:lang w:val="en-US" w:eastAsia="zh-CN"/>
              </w:rPr>
            </w:pPr>
            <w:r>
              <w:rPr>
                <w:rFonts w:hint="eastAsia"/>
                <w:color w:val="auto"/>
                <w:lang w:val="en-US" w:eastAsia="zh-CN"/>
              </w:rPr>
              <w:t>其他</w:t>
            </w:r>
          </w:p>
        </w:tc>
      </w:tr>
      <w:tr w14:paraId="5610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vAlign w:val="center"/>
          </w:tcPr>
          <w:p w14:paraId="01478CB5">
            <w:pPr>
              <w:pStyle w:val="26"/>
              <w:bidi w:val="0"/>
              <w:rPr>
                <w:rFonts w:hint="eastAsia"/>
                <w:color w:val="auto"/>
                <w:lang w:val="en-US" w:eastAsia="zh-CN"/>
              </w:rPr>
            </w:pPr>
            <w:r>
              <w:rPr>
                <w:rFonts w:hint="eastAsia"/>
                <w:color w:val="auto"/>
                <w:lang w:val="en-US" w:eastAsia="zh-CN"/>
              </w:rPr>
              <w:t>建设期</w:t>
            </w:r>
          </w:p>
        </w:tc>
        <w:tc>
          <w:tcPr>
            <w:tcW w:w="1000" w:type="pct"/>
            <w:tcBorders>
              <w:top w:val="single" w:color="auto" w:sz="4" w:space="0"/>
              <w:left w:val="single" w:color="auto" w:sz="4" w:space="0"/>
              <w:bottom w:val="single" w:color="auto" w:sz="4" w:space="0"/>
              <w:right w:val="single" w:color="auto" w:sz="4" w:space="0"/>
            </w:tcBorders>
            <w:vAlign w:val="center"/>
          </w:tcPr>
          <w:p w14:paraId="750EFB12">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7FB45CD1">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115C2B5E">
            <w:pPr>
              <w:pStyle w:val="26"/>
              <w:bidi w:val="0"/>
              <w:rPr>
                <w:rFonts w:hint="eastAsia"/>
                <w:color w:val="auto"/>
                <w:lang w:val="en-US" w:eastAsia="zh-CN"/>
              </w:rPr>
            </w:pPr>
            <w:r>
              <w:rPr>
                <w:rFonts w:hint="eastAsia"/>
                <w:color w:val="auto"/>
                <w:lang w:val="en-US" w:eastAsia="zh-CN"/>
              </w:rPr>
              <w:t>/</w:t>
            </w:r>
          </w:p>
        </w:tc>
        <w:tc>
          <w:tcPr>
            <w:tcW w:w="1001" w:type="pct"/>
            <w:tcBorders>
              <w:top w:val="single" w:color="auto" w:sz="4" w:space="0"/>
              <w:left w:val="single" w:color="auto" w:sz="4" w:space="0"/>
              <w:bottom w:val="single" w:color="auto" w:sz="4" w:space="0"/>
              <w:right w:val="single" w:color="auto" w:sz="4" w:space="0"/>
            </w:tcBorders>
            <w:vAlign w:val="center"/>
          </w:tcPr>
          <w:p w14:paraId="6BC5ACE2">
            <w:pPr>
              <w:pStyle w:val="26"/>
              <w:bidi w:val="0"/>
              <w:rPr>
                <w:rFonts w:hint="eastAsia"/>
                <w:color w:val="auto"/>
                <w:lang w:val="en-US" w:eastAsia="zh-CN"/>
              </w:rPr>
            </w:pPr>
            <w:r>
              <w:rPr>
                <w:rFonts w:hint="eastAsia"/>
                <w:color w:val="auto"/>
                <w:lang w:val="en-US" w:eastAsia="zh-CN"/>
              </w:rPr>
              <w:t>/</w:t>
            </w:r>
          </w:p>
        </w:tc>
      </w:tr>
      <w:tr w14:paraId="6881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vAlign w:val="center"/>
          </w:tcPr>
          <w:p w14:paraId="309BFCBD">
            <w:pPr>
              <w:pStyle w:val="26"/>
              <w:bidi w:val="0"/>
              <w:rPr>
                <w:rFonts w:hint="eastAsia"/>
                <w:color w:val="auto"/>
                <w:lang w:val="en-US" w:eastAsia="zh-CN"/>
              </w:rPr>
            </w:pPr>
            <w:r>
              <w:rPr>
                <w:rFonts w:hint="eastAsia"/>
                <w:color w:val="auto"/>
                <w:lang w:val="en-US" w:eastAsia="zh-CN"/>
              </w:rPr>
              <w:t>运营期</w:t>
            </w:r>
          </w:p>
        </w:tc>
        <w:tc>
          <w:tcPr>
            <w:tcW w:w="1000" w:type="pct"/>
            <w:tcBorders>
              <w:top w:val="single" w:color="auto" w:sz="4" w:space="0"/>
              <w:left w:val="single" w:color="auto" w:sz="4" w:space="0"/>
              <w:bottom w:val="single" w:color="auto" w:sz="4" w:space="0"/>
              <w:right w:val="single" w:color="auto" w:sz="4" w:space="0"/>
            </w:tcBorders>
            <w:vAlign w:val="center"/>
          </w:tcPr>
          <w:p w14:paraId="18818A1A">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2C67C125">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2492A7F6">
            <w:pPr>
              <w:pStyle w:val="26"/>
              <w:bidi w:val="0"/>
              <w:rPr>
                <w:rFonts w:hint="eastAsia"/>
                <w:color w:val="auto"/>
                <w:lang w:val="en-US" w:eastAsia="zh-CN"/>
              </w:rPr>
            </w:pPr>
            <w:r>
              <w:rPr>
                <w:rFonts w:hint="eastAsia"/>
                <w:color w:val="auto"/>
                <w:lang w:val="en-US" w:eastAsia="zh-CN"/>
              </w:rPr>
              <w:t>√</w:t>
            </w:r>
          </w:p>
        </w:tc>
        <w:tc>
          <w:tcPr>
            <w:tcW w:w="1001" w:type="pct"/>
            <w:tcBorders>
              <w:top w:val="single" w:color="auto" w:sz="4" w:space="0"/>
              <w:left w:val="single" w:color="auto" w:sz="4" w:space="0"/>
              <w:bottom w:val="single" w:color="auto" w:sz="4" w:space="0"/>
              <w:right w:val="single" w:color="auto" w:sz="4" w:space="0"/>
            </w:tcBorders>
            <w:vAlign w:val="center"/>
          </w:tcPr>
          <w:p w14:paraId="553B117F">
            <w:pPr>
              <w:pStyle w:val="26"/>
              <w:bidi w:val="0"/>
              <w:rPr>
                <w:rFonts w:hint="eastAsia"/>
                <w:color w:val="auto"/>
                <w:lang w:val="en-US" w:eastAsia="zh-CN"/>
              </w:rPr>
            </w:pPr>
            <w:r>
              <w:rPr>
                <w:rFonts w:hint="eastAsia"/>
                <w:color w:val="auto"/>
                <w:lang w:val="en-US" w:eastAsia="zh-CN"/>
              </w:rPr>
              <w:t>/</w:t>
            </w:r>
          </w:p>
        </w:tc>
      </w:tr>
      <w:tr w14:paraId="1EBE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vAlign w:val="center"/>
          </w:tcPr>
          <w:p w14:paraId="4F9649DC">
            <w:pPr>
              <w:pStyle w:val="26"/>
              <w:bidi w:val="0"/>
              <w:rPr>
                <w:rFonts w:hint="eastAsia"/>
                <w:color w:val="auto"/>
                <w:lang w:val="en-US" w:eastAsia="zh-CN"/>
              </w:rPr>
            </w:pPr>
            <w:r>
              <w:rPr>
                <w:rFonts w:hint="eastAsia"/>
                <w:color w:val="auto"/>
                <w:lang w:val="en-US" w:eastAsia="zh-CN"/>
              </w:rPr>
              <w:t>服务期满后</w:t>
            </w:r>
          </w:p>
        </w:tc>
        <w:tc>
          <w:tcPr>
            <w:tcW w:w="1000" w:type="pct"/>
            <w:tcBorders>
              <w:top w:val="single" w:color="auto" w:sz="4" w:space="0"/>
              <w:left w:val="single" w:color="auto" w:sz="4" w:space="0"/>
              <w:bottom w:val="single" w:color="auto" w:sz="4" w:space="0"/>
              <w:right w:val="single" w:color="auto" w:sz="4" w:space="0"/>
            </w:tcBorders>
            <w:vAlign w:val="center"/>
          </w:tcPr>
          <w:p w14:paraId="18EB1446">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49ED5878">
            <w:pPr>
              <w:pStyle w:val="26"/>
              <w:bidi w:val="0"/>
              <w:rPr>
                <w:rFonts w:hint="eastAsia"/>
                <w:color w:val="auto"/>
                <w:lang w:val="en-US" w:eastAsia="zh-CN"/>
              </w:rPr>
            </w:pPr>
            <w:r>
              <w:rPr>
                <w:rFonts w:hint="eastAsia"/>
                <w:color w:val="auto"/>
                <w:lang w:val="en-US" w:eastAsia="zh-CN"/>
              </w:rPr>
              <w:t>/</w:t>
            </w:r>
          </w:p>
        </w:tc>
        <w:tc>
          <w:tcPr>
            <w:tcW w:w="1000" w:type="pct"/>
            <w:tcBorders>
              <w:top w:val="single" w:color="auto" w:sz="4" w:space="0"/>
              <w:left w:val="single" w:color="auto" w:sz="4" w:space="0"/>
              <w:bottom w:val="single" w:color="auto" w:sz="4" w:space="0"/>
              <w:right w:val="single" w:color="auto" w:sz="4" w:space="0"/>
            </w:tcBorders>
            <w:vAlign w:val="center"/>
          </w:tcPr>
          <w:p w14:paraId="564FA1A0">
            <w:pPr>
              <w:pStyle w:val="26"/>
              <w:bidi w:val="0"/>
              <w:rPr>
                <w:rFonts w:hint="eastAsia"/>
                <w:color w:val="auto"/>
                <w:lang w:val="en-US" w:eastAsia="zh-CN"/>
              </w:rPr>
            </w:pPr>
            <w:r>
              <w:rPr>
                <w:rFonts w:hint="eastAsia"/>
                <w:color w:val="auto"/>
                <w:lang w:val="en-US" w:eastAsia="zh-CN"/>
              </w:rPr>
              <w:t>/</w:t>
            </w:r>
          </w:p>
        </w:tc>
        <w:tc>
          <w:tcPr>
            <w:tcW w:w="1001" w:type="pct"/>
            <w:tcBorders>
              <w:top w:val="single" w:color="auto" w:sz="4" w:space="0"/>
              <w:left w:val="single" w:color="auto" w:sz="4" w:space="0"/>
              <w:bottom w:val="single" w:color="auto" w:sz="4" w:space="0"/>
              <w:right w:val="single" w:color="auto" w:sz="4" w:space="0"/>
            </w:tcBorders>
            <w:vAlign w:val="center"/>
          </w:tcPr>
          <w:p w14:paraId="2F42C2CC">
            <w:pPr>
              <w:pStyle w:val="26"/>
              <w:bidi w:val="0"/>
              <w:rPr>
                <w:rFonts w:hint="eastAsia"/>
                <w:color w:val="auto"/>
                <w:lang w:val="en-US" w:eastAsia="zh-CN"/>
              </w:rPr>
            </w:pPr>
            <w:r>
              <w:rPr>
                <w:rFonts w:hint="eastAsia"/>
                <w:color w:val="auto"/>
                <w:lang w:val="en-US" w:eastAsia="zh-CN"/>
              </w:rPr>
              <w:t>/</w:t>
            </w:r>
          </w:p>
        </w:tc>
      </w:tr>
    </w:tbl>
    <w:p w14:paraId="56AD635C">
      <w:pPr>
        <w:pStyle w:val="25"/>
        <w:bidi w:val="0"/>
        <w:rPr>
          <w:rFonts w:hint="eastAsia"/>
          <w:color w:val="auto"/>
        </w:rPr>
      </w:pPr>
      <w:r>
        <w:rPr>
          <w:rFonts w:hint="eastAsia"/>
          <w:color w:val="auto"/>
        </w:rPr>
        <w:t>表</w:t>
      </w:r>
      <w:r>
        <w:rPr>
          <w:rFonts w:hint="eastAsia"/>
          <w:color w:val="auto"/>
        </w:rPr>
        <w:fldChar w:fldCharType="begin"/>
      </w:r>
      <w:r>
        <w:rPr>
          <w:rFonts w:hint="eastAsia"/>
          <w:color w:val="auto"/>
        </w:rPr>
        <w:instrText xml:space="preserve"> STYLEREF 2 \s </w:instrText>
      </w:r>
      <w:r>
        <w:rPr>
          <w:rFonts w:hint="eastAsia"/>
          <w:color w:val="auto"/>
        </w:rPr>
        <w:fldChar w:fldCharType="separate"/>
      </w:r>
      <w:r>
        <w:rPr>
          <w:rFonts w:hint="eastAsia"/>
          <w:color w:val="auto"/>
        </w:rPr>
        <w:t>6.7</w:t>
      </w:r>
      <w:r>
        <w:rPr>
          <w:rFonts w:hint="eastAsia"/>
          <w:color w:val="auto"/>
        </w:rPr>
        <w:fldChar w:fldCharType="end"/>
      </w:r>
      <w:r>
        <w:rPr>
          <w:rFonts w:hint="eastAsia"/>
          <w:color w:val="auto"/>
        </w:rPr>
        <w:noBreakHyphen/>
      </w:r>
      <w:r>
        <w:rPr>
          <w:rFonts w:hint="eastAsia"/>
          <w:color w:val="auto"/>
        </w:rPr>
        <w:fldChar w:fldCharType="begin"/>
      </w:r>
      <w:r>
        <w:rPr>
          <w:rFonts w:hint="eastAsia"/>
          <w:color w:val="auto"/>
        </w:rPr>
        <w:instrText xml:space="preserve"> SEQ 表 \* ARABIC \s 2 </w:instrText>
      </w:r>
      <w:r>
        <w:rPr>
          <w:rFonts w:hint="eastAsia"/>
          <w:color w:val="auto"/>
        </w:rPr>
        <w:fldChar w:fldCharType="separate"/>
      </w:r>
      <w:r>
        <w:rPr>
          <w:rFonts w:hint="eastAsia"/>
          <w:color w:val="auto"/>
        </w:rPr>
        <w:t>2</w:t>
      </w:r>
      <w:r>
        <w:rPr>
          <w:rFonts w:hint="eastAsia"/>
          <w:color w:val="auto"/>
        </w:rPr>
        <w:fldChar w:fldCharType="end"/>
      </w:r>
      <w:r>
        <w:rPr>
          <w:rFonts w:hint="eastAsia"/>
          <w:color w:val="auto"/>
        </w:rPr>
        <w:t>污染影响型建设项目土壤环境影响源及影响因子识别表</w:t>
      </w:r>
    </w:p>
    <w:tbl>
      <w:tblPr>
        <w:tblStyle w:val="19"/>
        <w:tblW w:w="4994" w:type="pct"/>
        <w:tblInd w:w="0" w:type="dxa"/>
        <w:tblLayout w:type="autofit"/>
        <w:tblCellMar>
          <w:top w:w="0" w:type="dxa"/>
          <w:left w:w="108" w:type="dxa"/>
          <w:bottom w:w="0" w:type="dxa"/>
          <w:right w:w="108" w:type="dxa"/>
        </w:tblCellMar>
      </w:tblPr>
      <w:tblGrid>
        <w:gridCol w:w="932"/>
        <w:gridCol w:w="1156"/>
        <w:gridCol w:w="1071"/>
        <w:gridCol w:w="1856"/>
        <w:gridCol w:w="2118"/>
        <w:gridCol w:w="1379"/>
      </w:tblGrid>
      <w:tr w14:paraId="67C81B02">
        <w:trPr>
          <w:trHeight w:val="425"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1DA1">
            <w:pPr>
              <w:pStyle w:val="36"/>
              <w:bidi w:val="0"/>
              <w:rPr>
                <w:rFonts w:hint="eastAsia"/>
                <w:color w:val="auto"/>
              </w:rPr>
            </w:pPr>
            <w:r>
              <w:rPr>
                <w:rFonts w:hint="eastAsia"/>
                <w:color w:val="auto"/>
              </w:rPr>
              <w:t>污染源</w:t>
            </w:r>
          </w:p>
        </w:tc>
        <w:tc>
          <w:tcPr>
            <w:tcW w:w="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593F">
            <w:pPr>
              <w:pStyle w:val="36"/>
              <w:bidi w:val="0"/>
              <w:rPr>
                <w:rFonts w:hint="eastAsia"/>
                <w:color w:val="auto"/>
              </w:rPr>
            </w:pPr>
            <w:r>
              <w:rPr>
                <w:rFonts w:hint="eastAsia"/>
                <w:color w:val="auto"/>
              </w:rPr>
              <w:t>工艺流程/节点</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124C">
            <w:pPr>
              <w:pStyle w:val="36"/>
              <w:bidi w:val="0"/>
              <w:rPr>
                <w:rFonts w:hint="eastAsia"/>
                <w:color w:val="auto"/>
              </w:rPr>
            </w:pPr>
            <w:r>
              <w:rPr>
                <w:rFonts w:hint="eastAsia"/>
                <w:color w:val="auto"/>
              </w:rPr>
              <w:t>污染途径</w:t>
            </w:r>
          </w:p>
        </w:tc>
        <w:tc>
          <w:tcPr>
            <w:tcW w:w="1090" w:type="pct"/>
            <w:tcBorders>
              <w:top w:val="single" w:color="000000" w:sz="4" w:space="0"/>
              <w:left w:val="single" w:color="000000" w:sz="4" w:space="0"/>
              <w:bottom w:val="single" w:color="auto" w:sz="4" w:space="0"/>
              <w:right w:val="single" w:color="000000" w:sz="4" w:space="0"/>
            </w:tcBorders>
            <w:shd w:val="clear" w:color="auto" w:fill="auto"/>
            <w:vAlign w:val="center"/>
          </w:tcPr>
          <w:p w14:paraId="7F658528">
            <w:pPr>
              <w:pStyle w:val="36"/>
              <w:bidi w:val="0"/>
              <w:rPr>
                <w:rFonts w:hint="eastAsia"/>
                <w:color w:val="auto"/>
              </w:rPr>
            </w:pPr>
            <w:r>
              <w:rPr>
                <w:rFonts w:hint="eastAsia"/>
                <w:color w:val="auto"/>
              </w:rPr>
              <w:t>全部污染物指标</w:t>
            </w:r>
          </w:p>
        </w:tc>
        <w:tc>
          <w:tcPr>
            <w:tcW w:w="1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9BFB">
            <w:pPr>
              <w:pStyle w:val="36"/>
              <w:bidi w:val="0"/>
              <w:rPr>
                <w:rFonts w:hint="eastAsia"/>
                <w:color w:val="auto"/>
              </w:rPr>
            </w:pPr>
            <w:r>
              <w:rPr>
                <w:rFonts w:hint="eastAsia"/>
                <w:color w:val="auto"/>
              </w:rPr>
              <w:t>特征因子</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D278E">
            <w:pPr>
              <w:pStyle w:val="36"/>
              <w:bidi w:val="0"/>
              <w:rPr>
                <w:rFonts w:hint="eastAsia"/>
                <w:color w:val="auto"/>
              </w:rPr>
            </w:pPr>
            <w:r>
              <w:rPr>
                <w:rFonts w:hint="eastAsia"/>
                <w:color w:val="auto"/>
              </w:rPr>
              <w:t>备注</w:t>
            </w:r>
            <w:r>
              <w:rPr>
                <w:rFonts w:hint="eastAsia"/>
                <w:color w:val="auto"/>
                <w:vertAlign w:val="superscript"/>
              </w:rPr>
              <w:t>b</w:t>
            </w:r>
          </w:p>
        </w:tc>
      </w:tr>
      <w:tr w14:paraId="4026C10A">
        <w:tblPrEx>
          <w:tblCellMar>
            <w:top w:w="0" w:type="dxa"/>
            <w:left w:w="108" w:type="dxa"/>
            <w:bottom w:w="0" w:type="dxa"/>
            <w:right w:w="108" w:type="dxa"/>
          </w:tblCellMar>
        </w:tblPrEx>
        <w:trPr>
          <w:trHeight w:val="420" w:hRule="atLeast"/>
        </w:trPr>
        <w:tc>
          <w:tcPr>
            <w:tcW w:w="5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91562">
            <w:pPr>
              <w:pStyle w:val="26"/>
              <w:bidi w:val="0"/>
              <w:rPr>
                <w:rFonts w:hint="default"/>
                <w:color w:val="auto"/>
                <w:lang w:val="en-US" w:eastAsia="zh-CN"/>
              </w:rPr>
            </w:pPr>
            <w:r>
              <w:rPr>
                <w:rFonts w:hint="eastAsia"/>
                <w:color w:val="auto"/>
                <w:lang w:val="en-US" w:eastAsia="zh-CN"/>
              </w:rPr>
              <w:t>4#车间</w:t>
            </w:r>
          </w:p>
        </w:tc>
        <w:tc>
          <w:tcPr>
            <w:tcW w:w="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7DD3">
            <w:pPr>
              <w:pStyle w:val="26"/>
              <w:bidi w:val="0"/>
              <w:rPr>
                <w:rFonts w:hint="default" w:eastAsia="仿宋_GB2312"/>
                <w:color w:val="auto"/>
                <w:lang w:val="en-US" w:eastAsia="zh-CN"/>
              </w:rPr>
            </w:pPr>
            <w:r>
              <w:rPr>
                <w:rFonts w:hint="eastAsia"/>
                <w:color w:val="auto"/>
                <w:lang w:val="en-US" w:eastAsia="zh-CN"/>
              </w:rPr>
              <w:t>废气排放</w:t>
            </w:r>
          </w:p>
        </w:tc>
        <w:tc>
          <w:tcPr>
            <w:tcW w:w="629" w:type="pct"/>
            <w:tcBorders>
              <w:top w:val="single" w:color="000000" w:sz="4" w:space="0"/>
              <w:left w:val="single" w:color="000000" w:sz="4" w:space="0"/>
              <w:bottom w:val="single" w:color="000000" w:sz="4" w:space="0"/>
              <w:right w:val="single" w:color="auto" w:sz="4" w:space="0"/>
            </w:tcBorders>
            <w:shd w:val="clear" w:color="auto" w:fill="auto"/>
            <w:vAlign w:val="center"/>
          </w:tcPr>
          <w:p w14:paraId="1F1EAA74">
            <w:pPr>
              <w:pStyle w:val="26"/>
              <w:bidi w:val="0"/>
              <w:rPr>
                <w:rFonts w:hint="eastAsia"/>
                <w:color w:val="auto"/>
              </w:rPr>
            </w:pPr>
            <w:r>
              <w:rPr>
                <w:rFonts w:hint="eastAsia"/>
                <w:color w:val="auto"/>
              </w:rPr>
              <w:t>大气沉降</w:t>
            </w:r>
          </w:p>
        </w:tc>
        <w:tc>
          <w:tcPr>
            <w:tcW w:w="1856" w:type="dxa"/>
            <w:tcBorders>
              <w:top w:val="single" w:color="auto" w:sz="4" w:space="0"/>
              <w:left w:val="single" w:color="auto" w:sz="4" w:space="0"/>
              <w:bottom w:val="single" w:color="auto" w:sz="4" w:space="0"/>
              <w:right w:val="single" w:color="auto" w:sz="4" w:space="0"/>
            </w:tcBorders>
            <w:shd w:val="clear" w:color="auto" w:fill="auto"/>
            <w:vAlign w:val="top"/>
          </w:tcPr>
          <w:p w14:paraId="0A1ADEBC">
            <w:pPr>
              <w:pStyle w:val="26"/>
              <w:bidi w:val="0"/>
              <w:rPr>
                <w:rFonts w:hint="default"/>
                <w:lang w:val="en-US" w:eastAsia="zh-CN"/>
              </w:rPr>
            </w:pPr>
            <w:r>
              <w:t>硫酸雾、氮氧化物、氯化氢、非甲烷总烃、颗粒物</w:t>
            </w:r>
          </w:p>
        </w:tc>
        <w:tc>
          <w:tcPr>
            <w:tcW w:w="2118" w:type="dxa"/>
            <w:tcBorders>
              <w:top w:val="single" w:color="000000" w:sz="4" w:space="0"/>
              <w:left w:val="single" w:color="auto" w:sz="4" w:space="0"/>
              <w:bottom w:val="single" w:color="000000" w:sz="4" w:space="0"/>
              <w:right w:val="single" w:color="000000" w:sz="4" w:space="0"/>
            </w:tcBorders>
            <w:shd w:val="clear" w:color="auto" w:fill="auto"/>
            <w:vAlign w:val="top"/>
          </w:tcPr>
          <w:p w14:paraId="49487CDD">
            <w:pPr>
              <w:pStyle w:val="26"/>
              <w:bidi w:val="0"/>
            </w:pPr>
            <w:r>
              <w:t>硫酸雾、非甲烷总</w:t>
            </w:r>
          </w:p>
          <w:p w14:paraId="7116AFB0">
            <w:pPr>
              <w:pStyle w:val="26"/>
              <w:bidi w:val="0"/>
              <w:rPr>
                <w:rFonts w:hint="eastAsia"/>
                <w:lang w:val="en-US" w:eastAsia="zh-CN"/>
              </w:rPr>
            </w:pPr>
            <w:r>
              <w:t>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A5B4">
            <w:pPr>
              <w:pStyle w:val="26"/>
              <w:bidi w:val="0"/>
              <w:rPr>
                <w:rFonts w:hint="eastAsia"/>
                <w:color w:val="auto"/>
                <w:lang w:eastAsia="zh-CN"/>
              </w:rPr>
            </w:pPr>
            <w:r>
              <w:rPr>
                <w:rFonts w:hint="eastAsia"/>
                <w:color w:val="auto"/>
              </w:rPr>
              <w:t>间断；周边无土壤环境敏感目标</w:t>
            </w:r>
          </w:p>
        </w:tc>
      </w:tr>
      <w:tr w14:paraId="7F6E8181">
        <w:tblPrEx>
          <w:tblCellMar>
            <w:top w:w="0" w:type="dxa"/>
            <w:left w:w="108" w:type="dxa"/>
            <w:bottom w:w="0" w:type="dxa"/>
            <w:right w:w="108" w:type="dxa"/>
          </w:tblCellMar>
        </w:tblPrEx>
        <w:trPr>
          <w:trHeight w:val="390" w:hRule="atLeast"/>
        </w:trPr>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F499">
            <w:pPr>
              <w:pStyle w:val="26"/>
              <w:bidi w:val="0"/>
              <w:rPr>
                <w:rFonts w:hint="eastAsia"/>
                <w:color w:val="auto"/>
              </w:rPr>
            </w:pPr>
          </w:p>
        </w:tc>
        <w:tc>
          <w:tcPr>
            <w:tcW w:w="679" w:type="pct"/>
            <w:vMerge w:val="restart"/>
            <w:tcBorders>
              <w:top w:val="single" w:color="000000" w:sz="4" w:space="0"/>
              <w:left w:val="single" w:color="000000" w:sz="4" w:space="0"/>
              <w:right w:val="single" w:color="000000" w:sz="4" w:space="0"/>
            </w:tcBorders>
            <w:shd w:val="clear" w:color="auto" w:fill="auto"/>
            <w:vAlign w:val="center"/>
          </w:tcPr>
          <w:p w14:paraId="1F340156">
            <w:pPr>
              <w:pStyle w:val="26"/>
              <w:bidi w:val="0"/>
              <w:rPr>
                <w:rFonts w:hint="eastAsia" w:eastAsia="仿宋_GB2312"/>
                <w:color w:val="auto"/>
                <w:lang w:val="en-US" w:eastAsia="zh-CN"/>
              </w:rPr>
            </w:pPr>
            <w:r>
              <w:rPr>
                <w:rFonts w:hint="eastAsia"/>
                <w:color w:val="auto"/>
                <w:lang w:val="en-US" w:eastAsia="zh-CN"/>
              </w:rPr>
              <w:t>产线生产</w:t>
            </w:r>
          </w:p>
        </w:tc>
        <w:tc>
          <w:tcPr>
            <w:tcW w:w="629" w:type="pct"/>
            <w:tcBorders>
              <w:top w:val="single" w:color="000000" w:sz="4" w:space="0"/>
              <w:left w:val="single" w:color="000000" w:sz="4" w:space="0"/>
              <w:bottom w:val="single" w:color="000000" w:sz="4" w:space="0"/>
              <w:right w:val="single" w:color="auto" w:sz="4" w:space="0"/>
            </w:tcBorders>
            <w:shd w:val="clear" w:color="auto" w:fill="auto"/>
            <w:vAlign w:val="center"/>
          </w:tcPr>
          <w:p w14:paraId="41C47195">
            <w:pPr>
              <w:pStyle w:val="26"/>
              <w:bidi w:val="0"/>
              <w:rPr>
                <w:rFonts w:hint="eastAsia"/>
                <w:color w:val="auto"/>
              </w:rPr>
            </w:pPr>
            <w:r>
              <w:rPr>
                <w:rFonts w:hint="eastAsia"/>
                <w:color w:val="auto"/>
              </w:rPr>
              <w:t>地面漫流</w:t>
            </w:r>
          </w:p>
        </w:tc>
        <w:tc>
          <w:tcPr>
            <w:tcW w:w="10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DDEE2A">
            <w:pPr>
              <w:pStyle w:val="26"/>
              <w:bidi w:val="0"/>
              <w:rPr>
                <w:rFonts w:hint="default" w:eastAsia="仿宋_GB2312"/>
                <w:color w:val="auto"/>
                <w:lang w:val="en-US" w:eastAsia="zh-CN"/>
              </w:rPr>
            </w:pPr>
            <w:r>
              <w:rPr>
                <w:rFonts w:hint="eastAsia"/>
                <w:color w:val="auto"/>
                <w:lang w:val="en-US" w:eastAsia="zh-CN"/>
              </w:rPr>
              <w:t>COD、总铜、总铬</w:t>
            </w:r>
          </w:p>
        </w:tc>
        <w:tc>
          <w:tcPr>
            <w:tcW w:w="1244" w:type="pct"/>
            <w:vMerge w:val="restart"/>
            <w:tcBorders>
              <w:top w:val="single" w:color="000000" w:sz="4" w:space="0"/>
              <w:left w:val="single" w:color="auto" w:sz="4" w:space="0"/>
              <w:right w:val="single" w:color="000000" w:sz="4" w:space="0"/>
            </w:tcBorders>
            <w:shd w:val="clear" w:color="auto" w:fill="auto"/>
            <w:vAlign w:val="center"/>
          </w:tcPr>
          <w:p w14:paraId="78A8062E">
            <w:pPr>
              <w:pStyle w:val="26"/>
              <w:bidi w:val="0"/>
              <w:rPr>
                <w:rFonts w:hint="default"/>
                <w:color w:val="auto"/>
                <w:lang w:val="en-US"/>
              </w:rPr>
            </w:pPr>
            <w:r>
              <w:rPr>
                <w:rFonts w:hint="eastAsia"/>
                <w:color w:val="auto"/>
                <w:lang w:val="en-US" w:eastAsia="zh-CN"/>
              </w:rPr>
              <w:t>COD、总铜、总铬</w:t>
            </w:r>
          </w:p>
        </w:tc>
        <w:tc>
          <w:tcPr>
            <w:tcW w:w="808" w:type="pct"/>
            <w:vMerge w:val="restart"/>
            <w:tcBorders>
              <w:top w:val="single" w:color="000000" w:sz="4" w:space="0"/>
              <w:left w:val="single" w:color="000000" w:sz="4" w:space="0"/>
              <w:right w:val="single" w:color="000000" w:sz="4" w:space="0"/>
            </w:tcBorders>
            <w:shd w:val="clear" w:color="auto" w:fill="auto"/>
            <w:vAlign w:val="center"/>
          </w:tcPr>
          <w:p w14:paraId="57143533">
            <w:pPr>
              <w:pStyle w:val="26"/>
              <w:bidi w:val="0"/>
              <w:rPr>
                <w:rFonts w:hint="eastAsia"/>
                <w:color w:val="auto"/>
              </w:rPr>
            </w:pPr>
            <w:r>
              <w:rPr>
                <w:rFonts w:hint="eastAsia"/>
                <w:color w:val="auto"/>
              </w:rPr>
              <w:t>事故</w:t>
            </w:r>
          </w:p>
        </w:tc>
      </w:tr>
      <w:tr w14:paraId="2E7E6903">
        <w:tblPrEx>
          <w:tblCellMar>
            <w:top w:w="0" w:type="dxa"/>
            <w:left w:w="108" w:type="dxa"/>
            <w:bottom w:w="0" w:type="dxa"/>
            <w:right w:w="108" w:type="dxa"/>
          </w:tblCellMar>
        </w:tblPrEx>
        <w:trPr>
          <w:trHeight w:val="420" w:hRule="atLeast"/>
        </w:trPr>
        <w:tc>
          <w:tcPr>
            <w:tcW w:w="5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C684">
            <w:pPr>
              <w:pStyle w:val="26"/>
              <w:bidi w:val="0"/>
              <w:rPr>
                <w:rFonts w:hint="eastAsia"/>
                <w:color w:val="auto"/>
              </w:rPr>
            </w:pPr>
          </w:p>
        </w:tc>
        <w:tc>
          <w:tcPr>
            <w:tcW w:w="679" w:type="pct"/>
            <w:vMerge w:val="continue"/>
            <w:tcBorders>
              <w:left w:val="single" w:color="000000" w:sz="4" w:space="0"/>
              <w:bottom w:val="single" w:color="000000" w:sz="4" w:space="0"/>
              <w:right w:val="single" w:color="000000" w:sz="4" w:space="0"/>
            </w:tcBorders>
            <w:shd w:val="clear" w:color="auto" w:fill="auto"/>
            <w:vAlign w:val="center"/>
          </w:tcPr>
          <w:p w14:paraId="3A0C6E6F">
            <w:pPr>
              <w:pStyle w:val="26"/>
              <w:bidi w:val="0"/>
              <w:rPr>
                <w:rFonts w:hint="eastAsia"/>
                <w:color w:val="auto"/>
              </w:rPr>
            </w:pPr>
          </w:p>
        </w:tc>
        <w:tc>
          <w:tcPr>
            <w:tcW w:w="629" w:type="pct"/>
            <w:tcBorders>
              <w:top w:val="single" w:color="000000" w:sz="4" w:space="0"/>
              <w:left w:val="single" w:color="000000" w:sz="4" w:space="0"/>
              <w:bottom w:val="single" w:color="000000" w:sz="4" w:space="0"/>
              <w:right w:val="single" w:color="auto" w:sz="4" w:space="0"/>
            </w:tcBorders>
            <w:shd w:val="clear" w:color="auto" w:fill="auto"/>
            <w:vAlign w:val="center"/>
          </w:tcPr>
          <w:p w14:paraId="24865A6C">
            <w:pPr>
              <w:pStyle w:val="26"/>
              <w:bidi w:val="0"/>
              <w:rPr>
                <w:rFonts w:hint="eastAsia"/>
                <w:color w:val="auto"/>
              </w:rPr>
            </w:pPr>
            <w:r>
              <w:rPr>
                <w:rFonts w:hint="eastAsia"/>
                <w:color w:val="auto"/>
              </w:rPr>
              <w:t>垂直入渗</w:t>
            </w:r>
          </w:p>
        </w:tc>
        <w:tc>
          <w:tcPr>
            <w:tcW w:w="109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63AE37">
            <w:pPr>
              <w:pStyle w:val="26"/>
              <w:bidi w:val="0"/>
              <w:rPr>
                <w:rFonts w:hint="eastAsia"/>
                <w:color w:val="auto"/>
              </w:rPr>
            </w:pPr>
          </w:p>
        </w:tc>
        <w:tc>
          <w:tcPr>
            <w:tcW w:w="1244" w:type="pct"/>
            <w:vMerge w:val="continue"/>
            <w:tcBorders>
              <w:left w:val="single" w:color="auto" w:sz="4" w:space="0"/>
              <w:bottom w:val="single" w:color="000000" w:sz="4" w:space="0"/>
              <w:right w:val="single" w:color="000000" w:sz="4" w:space="0"/>
            </w:tcBorders>
            <w:shd w:val="clear" w:color="auto" w:fill="auto"/>
            <w:vAlign w:val="center"/>
          </w:tcPr>
          <w:p w14:paraId="444B7FA1">
            <w:pPr>
              <w:pStyle w:val="26"/>
              <w:bidi w:val="0"/>
              <w:rPr>
                <w:rFonts w:hint="eastAsia"/>
                <w:color w:val="auto"/>
              </w:rPr>
            </w:pPr>
          </w:p>
        </w:tc>
        <w:tc>
          <w:tcPr>
            <w:tcW w:w="808" w:type="pct"/>
            <w:vMerge w:val="continue"/>
            <w:tcBorders>
              <w:left w:val="single" w:color="000000" w:sz="4" w:space="0"/>
              <w:bottom w:val="single" w:color="000000" w:sz="4" w:space="0"/>
              <w:right w:val="single" w:color="000000" w:sz="4" w:space="0"/>
            </w:tcBorders>
            <w:shd w:val="clear" w:color="auto" w:fill="auto"/>
            <w:vAlign w:val="center"/>
          </w:tcPr>
          <w:p w14:paraId="2D3AFAB1">
            <w:pPr>
              <w:pStyle w:val="26"/>
              <w:bidi w:val="0"/>
              <w:rPr>
                <w:rFonts w:hint="eastAsia"/>
                <w:color w:val="auto"/>
              </w:rPr>
            </w:pPr>
          </w:p>
        </w:tc>
      </w:tr>
      <w:tr w14:paraId="43B5C2CF">
        <w:tblPrEx>
          <w:tblCellMar>
            <w:top w:w="0" w:type="dxa"/>
            <w:left w:w="108" w:type="dxa"/>
            <w:bottom w:w="0" w:type="dxa"/>
            <w:right w:w="108" w:type="dxa"/>
          </w:tblCellMar>
        </w:tblPrEx>
        <w:trPr>
          <w:trHeight w:val="200" w:hRule="atLeast"/>
        </w:trPr>
        <w:tc>
          <w:tcPr>
            <w:tcW w:w="548" w:type="pct"/>
            <w:vMerge w:val="continue"/>
            <w:tcBorders>
              <w:left w:val="single" w:color="000000" w:sz="4" w:space="0"/>
              <w:right w:val="single" w:color="000000" w:sz="4" w:space="0"/>
            </w:tcBorders>
            <w:shd w:val="clear" w:color="auto" w:fill="auto"/>
            <w:vAlign w:val="center"/>
          </w:tcPr>
          <w:p w14:paraId="49162B14">
            <w:pPr>
              <w:pStyle w:val="26"/>
              <w:bidi w:val="0"/>
              <w:rPr>
                <w:color w:val="auto"/>
              </w:rPr>
            </w:pPr>
          </w:p>
        </w:tc>
        <w:tc>
          <w:tcPr>
            <w:tcW w:w="679" w:type="pct"/>
            <w:vMerge w:val="continue"/>
            <w:tcBorders>
              <w:left w:val="single" w:color="000000" w:sz="4" w:space="0"/>
              <w:right w:val="single" w:color="000000" w:sz="4" w:space="0"/>
            </w:tcBorders>
            <w:shd w:val="clear" w:color="auto" w:fill="auto"/>
            <w:vAlign w:val="center"/>
          </w:tcPr>
          <w:p w14:paraId="21053559">
            <w:pPr>
              <w:pStyle w:val="26"/>
              <w:bidi w:val="0"/>
              <w:rPr>
                <w:color w:val="auto"/>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C597">
            <w:pPr>
              <w:pStyle w:val="26"/>
              <w:bidi w:val="0"/>
              <w:rPr>
                <w:rFonts w:hint="eastAsia"/>
                <w:color w:val="auto"/>
              </w:rPr>
            </w:pPr>
            <w:r>
              <w:rPr>
                <w:rFonts w:hint="eastAsia"/>
                <w:color w:val="auto"/>
              </w:rPr>
              <w:t>垂直入渗</w:t>
            </w:r>
          </w:p>
        </w:tc>
        <w:tc>
          <w:tcPr>
            <w:tcW w:w="1090" w:type="pct"/>
            <w:vMerge w:val="continue"/>
            <w:tcBorders>
              <w:left w:val="single" w:color="000000" w:sz="4" w:space="0"/>
              <w:right w:val="single" w:color="000000" w:sz="4" w:space="0"/>
            </w:tcBorders>
            <w:shd w:val="clear" w:color="auto" w:fill="auto"/>
            <w:vAlign w:val="center"/>
          </w:tcPr>
          <w:p w14:paraId="1F2C61F9">
            <w:pPr>
              <w:pStyle w:val="26"/>
              <w:bidi w:val="0"/>
              <w:rPr>
                <w:rFonts w:hint="eastAsia"/>
                <w:color w:val="auto"/>
              </w:rPr>
            </w:pPr>
          </w:p>
        </w:tc>
        <w:tc>
          <w:tcPr>
            <w:tcW w:w="1244" w:type="pct"/>
            <w:vMerge w:val="continue"/>
            <w:tcBorders>
              <w:left w:val="single" w:color="000000" w:sz="4" w:space="0"/>
              <w:bottom w:val="single" w:color="000000" w:sz="4" w:space="0"/>
              <w:right w:val="single" w:color="000000" w:sz="4" w:space="0"/>
            </w:tcBorders>
            <w:shd w:val="clear" w:color="auto" w:fill="auto"/>
            <w:vAlign w:val="center"/>
          </w:tcPr>
          <w:p w14:paraId="70F6E3BB">
            <w:pPr>
              <w:pStyle w:val="26"/>
              <w:bidi w:val="0"/>
              <w:rPr>
                <w:rFonts w:hint="eastAsia"/>
                <w:color w:val="auto"/>
              </w:rPr>
            </w:pPr>
          </w:p>
        </w:tc>
        <w:tc>
          <w:tcPr>
            <w:tcW w:w="808" w:type="pct"/>
            <w:vMerge w:val="continue"/>
            <w:tcBorders>
              <w:left w:val="single" w:color="000000" w:sz="4" w:space="0"/>
              <w:bottom w:val="single" w:color="000000" w:sz="4" w:space="0"/>
              <w:right w:val="single" w:color="000000" w:sz="4" w:space="0"/>
            </w:tcBorders>
            <w:shd w:val="clear" w:color="auto" w:fill="auto"/>
            <w:vAlign w:val="center"/>
          </w:tcPr>
          <w:p w14:paraId="5CB9166F">
            <w:pPr>
              <w:pStyle w:val="26"/>
              <w:bidi w:val="0"/>
              <w:rPr>
                <w:rFonts w:hint="eastAsia"/>
                <w:color w:val="auto"/>
              </w:rPr>
            </w:pPr>
          </w:p>
        </w:tc>
      </w:tr>
      <w:tr w14:paraId="058D0B71">
        <w:tblPrEx>
          <w:tblCellMar>
            <w:top w:w="0" w:type="dxa"/>
            <w:left w:w="108" w:type="dxa"/>
            <w:bottom w:w="0" w:type="dxa"/>
            <w:right w:w="108" w:type="dxa"/>
          </w:tblCellMar>
        </w:tblPrEx>
        <w:trPr>
          <w:trHeight w:val="400" w:hRule="atLeast"/>
        </w:trPr>
        <w:tc>
          <w:tcPr>
            <w:tcW w:w="548" w:type="pct"/>
            <w:tcBorders>
              <w:top w:val="single" w:color="000000" w:sz="4" w:space="0"/>
              <w:left w:val="single" w:color="000000" w:sz="4" w:space="0"/>
              <w:right w:val="single" w:color="000000" w:sz="4" w:space="0"/>
            </w:tcBorders>
            <w:shd w:val="clear" w:color="auto" w:fill="auto"/>
            <w:vAlign w:val="center"/>
          </w:tcPr>
          <w:p w14:paraId="02B3869F">
            <w:pPr>
              <w:pStyle w:val="26"/>
              <w:bidi w:val="0"/>
              <w:rPr>
                <w:rFonts w:hint="default"/>
                <w:color w:val="auto"/>
                <w:lang w:val="en-US" w:eastAsia="zh-CN"/>
              </w:rPr>
            </w:pPr>
            <w:r>
              <w:rPr>
                <w:rFonts w:hint="eastAsia"/>
                <w:color w:val="auto"/>
                <w:lang w:val="en-US" w:eastAsia="zh-CN"/>
              </w:rPr>
              <w:t>危废仓库</w:t>
            </w:r>
          </w:p>
        </w:tc>
        <w:tc>
          <w:tcPr>
            <w:tcW w:w="679" w:type="pct"/>
            <w:tcBorders>
              <w:top w:val="single" w:color="000000" w:sz="4" w:space="0"/>
              <w:left w:val="single" w:color="000000" w:sz="4" w:space="0"/>
              <w:right w:val="single" w:color="000000" w:sz="4" w:space="0"/>
            </w:tcBorders>
            <w:shd w:val="clear" w:color="auto" w:fill="auto"/>
            <w:vAlign w:val="center"/>
          </w:tcPr>
          <w:p w14:paraId="117373F8">
            <w:pPr>
              <w:pStyle w:val="26"/>
              <w:bidi w:val="0"/>
              <w:rPr>
                <w:rFonts w:hint="eastAsia" w:eastAsia="仿宋_GB2312"/>
                <w:color w:val="auto"/>
                <w:lang w:val="en-US" w:eastAsia="zh-CN"/>
              </w:rPr>
            </w:pPr>
            <w:r>
              <w:rPr>
                <w:rFonts w:hint="eastAsia"/>
                <w:color w:val="auto"/>
                <w:lang w:val="en-US" w:eastAsia="zh-CN"/>
              </w:rPr>
              <w:t>危废贮存</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31F1">
            <w:pPr>
              <w:pStyle w:val="26"/>
              <w:bidi w:val="0"/>
              <w:rPr>
                <w:rFonts w:hint="eastAsia"/>
                <w:color w:val="auto"/>
              </w:rPr>
            </w:pPr>
            <w:r>
              <w:rPr>
                <w:rFonts w:hint="eastAsia"/>
                <w:color w:val="auto"/>
              </w:rPr>
              <w:t>垂直入渗</w:t>
            </w:r>
          </w:p>
        </w:tc>
        <w:tc>
          <w:tcPr>
            <w:tcW w:w="1090" w:type="pct"/>
            <w:tcBorders>
              <w:top w:val="single" w:color="000000" w:sz="4" w:space="0"/>
              <w:left w:val="single" w:color="000000" w:sz="4" w:space="0"/>
              <w:right w:val="single" w:color="000000" w:sz="4" w:space="0"/>
            </w:tcBorders>
            <w:shd w:val="clear" w:color="auto" w:fill="auto"/>
            <w:vAlign w:val="center"/>
          </w:tcPr>
          <w:p w14:paraId="7FDEBF75">
            <w:pPr>
              <w:pStyle w:val="26"/>
              <w:bidi w:val="0"/>
              <w:rPr>
                <w:rFonts w:hint="default"/>
                <w:color w:val="auto"/>
                <w:lang w:val="en-US" w:eastAsia="zh-CN"/>
              </w:rPr>
            </w:pPr>
            <w:r>
              <w:rPr>
                <w:rFonts w:hint="eastAsia"/>
                <w:color w:val="auto"/>
                <w:lang w:val="en-US" w:eastAsia="zh-CN"/>
              </w:rPr>
              <w:t>COD、石油烃</w:t>
            </w:r>
          </w:p>
        </w:tc>
        <w:tc>
          <w:tcPr>
            <w:tcW w:w="1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F650">
            <w:pPr>
              <w:pStyle w:val="26"/>
              <w:bidi w:val="0"/>
              <w:rPr>
                <w:rFonts w:hint="default"/>
                <w:color w:val="auto"/>
                <w:lang w:val="en-US" w:eastAsia="zh-CN"/>
              </w:rPr>
            </w:pPr>
            <w:r>
              <w:rPr>
                <w:rFonts w:hint="eastAsia"/>
                <w:color w:val="auto"/>
                <w:lang w:val="en-US" w:eastAsia="zh-CN"/>
              </w:rPr>
              <w:t>COD、石油烃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432B0">
            <w:pPr>
              <w:pStyle w:val="26"/>
              <w:bidi w:val="0"/>
              <w:rPr>
                <w:rFonts w:hint="eastAsia"/>
                <w:color w:val="auto"/>
              </w:rPr>
            </w:pPr>
            <w:r>
              <w:rPr>
                <w:rFonts w:hint="eastAsia"/>
                <w:color w:val="auto"/>
              </w:rPr>
              <w:t>事故</w:t>
            </w:r>
          </w:p>
        </w:tc>
      </w:tr>
      <w:tr w14:paraId="347EDAB7">
        <w:tblPrEx>
          <w:tblCellMar>
            <w:top w:w="0" w:type="dxa"/>
            <w:left w:w="108" w:type="dxa"/>
            <w:bottom w:w="0" w:type="dxa"/>
            <w:right w:w="108" w:type="dxa"/>
          </w:tblCellMar>
        </w:tblPrEx>
        <w:trPr>
          <w:trHeight w:val="400" w:hRule="atLeast"/>
        </w:trPr>
        <w:tc>
          <w:tcPr>
            <w:tcW w:w="548" w:type="pct"/>
            <w:vMerge w:val="restart"/>
            <w:tcBorders>
              <w:top w:val="single" w:color="000000" w:sz="4" w:space="0"/>
              <w:left w:val="single" w:color="000000" w:sz="4" w:space="0"/>
              <w:right w:val="single" w:color="000000" w:sz="4" w:space="0"/>
            </w:tcBorders>
            <w:shd w:val="clear" w:color="auto" w:fill="auto"/>
            <w:vAlign w:val="center"/>
          </w:tcPr>
          <w:p w14:paraId="009FECD9">
            <w:pPr>
              <w:pStyle w:val="26"/>
              <w:bidi w:val="0"/>
              <w:rPr>
                <w:rFonts w:hint="default"/>
                <w:color w:val="auto"/>
                <w:lang w:val="en-US"/>
              </w:rPr>
            </w:pPr>
            <w:r>
              <w:rPr>
                <w:rFonts w:hint="eastAsia"/>
                <w:color w:val="auto"/>
                <w:lang w:val="en-US" w:eastAsia="zh-CN"/>
              </w:rPr>
              <w:t>废水处理设施</w:t>
            </w:r>
          </w:p>
        </w:tc>
        <w:tc>
          <w:tcPr>
            <w:tcW w:w="679" w:type="pct"/>
            <w:vMerge w:val="restart"/>
            <w:tcBorders>
              <w:top w:val="single" w:color="000000" w:sz="4" w:space="0"/>
              <w:left w:val="single" w:color="000000" w:sz="4" w:space="0"/>
              <w:right w:val="single" w:color="000000" w:sz="4" w:space="0"/>
            </w:tcBorders>
            <w:shd w:val="clear" w:color="auto" w:fill="auto"/>
            <w:vAlign w:val="center"/>
          </w:tcPr>
          <w:p w14:paraId="57728F98">
            <w:pPr>
              <w:pStyle w:val="26"/>
              <w:bidi w:val="0"/>
              <w:rPr>
                <w:rFonts w:hint="eastAsia"/>
                <w:color w:val="auto"/>
              </w:rPr>
            </w:pPr>
            <w:r>
              <w:rPr>
                <w:rFonts w:hint="eastAsia"/>
                <w:color w:val="auto"/>
              </w:rPr>
              <w:t>废水贮存</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98B9">
            <w:pPr>
              <w:pStyle w:val="26"/>
              <w:bidi w:val="0"/>
              <w:rPr>
                <w:rFonts w:hint="eastAsia"/>
                <w:color w:val="auto"/>
              </w:rPr>
            </w:pPr>
            <w:r>
              <w:rPr>
                <w:rFonts w:hint="eastAsia"/>
                <w:color w:val="auto"/>
              </w:rPr>
              <w:t>地面漫流</w:t>
            </w:r>
          </w:p>
        </w:tc>
        <w:tc>
          <w:tcPr>
            <w:tcW w:w="1856" w:type="dxa"/>
            <w:vMerge w:val="restart"/>
            <w:tcBorders>
              <w:top w:val="single" w:color="000000" w:sz="4" w:space="0"/>
              <w:left w:val="single" w:color="000000" w:sz="4" w:space="0"/>
              <w:right w:val="single" w:color="000000" w:sz="4" w:space="0"/>
            </w:tcBorders>
            <w:shd w:val="clear" w:color="auto" w:fill="auto"/>
            <w:vAlign w:val="center"/>
          </w:tcPr>
          <w:p w14:paraId="285EA6D3">
            <w:pPr>
              <w:pStyle w:val="26"/>
              <w:bidi w:val="0"/>
              <w:rPr>
                <w:rFonts w:hint="default"/>
                <w:color w:val="auto"/>
                <w:lang w:val="en-US" w:eastAsia="zh-CN"/>
              </w:rPr>
            </w:pPr>
            <w:r>
              <w:rPr>
                <w:rFonts w:hint="eastAsia"/>
                <w:color w:val="auto"/>
                <w:lang w:val="en-US" w:eastAsia="zh-CN"/>
              </w:rPr>
              <w:t>COD、总铜、总铬</w:t>
            </w:r>
          </w:p>
        </w:tc>
        <w:tc>
          <w:tcPr>
            <w:tcW w:w="2118" w:type="dxa"/>
            <w:vMerge w:val="restart"/>
            <w:tcBorders>
              <w:top w:val="single" w:color="000000" w:sz="4" w:space="0"/>
              <w:left w:val="single" w:color="000000" w:sz="4" w:space="0"/>
              <w:right w:val="single" w:color="000000" w:sz="4" w:space="0"/>
            </w:tcBorders>
            <w:shd w:val="clear" w:color="auto" w:fill="auto"/>
            <w:vAlign w:val="center"/>
          </w:tcPr>
          <w:p w14:paraId="4C18D2E6">
            <w:pPr>
              <w:pStyle w:val="26"/>
              <w:bidi w:val="0"/>
              <w:rPr>
                <w:rFonts w:hint="eastAsia"/>
                <w:color w:val="auto"/>
                <w:lang w:val="en-US" w:eastAsia="zh-CN"/>
              </w:rPr>
            </w:pPr>
            <w:r>
              <w:rPr>
                <w:rFonts w:hint="eastAsia"/>
                <w:color w:val="auto"/>
                <w:lang w:val="en-US" w:eastAsia="zh-CN"/>
              </w:rPr>
              <w:t>COD、总铜、总铬</w:t>
            </w:r>
          </w:p>
        </w:tc>
        <w:tc>
          <w:tcPr>
            <w:tcW w:w="808" w:type="pct"/>
            <w:vMerge w:val="restart"/>
            <w:tcBorders>
              <w:top w:val="single" w:color="000000" w:sz="4" w:space="0"/>
              <w:left w:val="single" w:color="000000" w:sz="4" w:space="0"/>
              <w:right w:val="single" w:color="000000" w:sz="4" w:space="0"/>
            </w:tcBorders>
            <w:shd w:val="clear" w:color="auto" w:fill="auto"/>
            <w:vAlign w:val="center"/>
          </w:tcPr>
          <w:p w14:paraId="3F56C616">
            <w:pPr>
              <w:pStyle w:val="26"/>
              <w:bidi w:val="0"/>
              <w:rPr>
                <w:rFonts w:hint="eastAsia"/>
                <w:color w:val="auto"/>
              </w:rPr>
            </w:pPr>
            <w:r>
              <w:rPr>
                <w:rFonts w:hint="eastAsia"/>
                <w:color w:val="auto"/>
              </w:rPr>
              <w:t>事故</w:t>
            </w:r>
          </w:p>
        </w:tc>
      </w:tr>
      <w:tr w14:paraId="032C224D">
        <w:tblPrEx>
          <w:tblCellMar>
            <w:top w:w="0" w:type="dxa"/>
            <w:left w:w="108" w:type="dxa"/>
            <w:bottom w:w="0" w:type="dxa"/>
            <w:right w:w="108" w:type="dxa"/>
          </w:tblCellMar>
        </w:tblPrEx>
        <w:trPr>
          <w:trHeight w:val="400" w:hRule="atLeast"/>
        </w:trPr>
        <w:tc>
          <w:tcPr>
            <w:tcW w:w="548" w:type="pct"/>
            <w:vMerge w:val="continue"/>
            <w:tcBorders>
              <w:left w:val="single" w:color="000000" w:sz="4" w:space="0"/>
              <w:bottom w:val="single" w:color="000000" w:sz="4" w:space="0"/>
              <w:right w:val="single" w:color="000000" w:sz="4" w:space="0"/>
            </w:tcBorders>
            <w:shd w:val="clear" w:color="auto" w:fill="auto"/>
            <w:vAlign w:val="center"/>
          </w:tcPr>
          <w:p w14:paraId="12AA5377">
            <w:pPr>
              <w:pStyle w:val="26"/>
              <w:bidi w:val="0"/>
              <w:rPr>
                <w:rFonts w:hint="eastAsia"/>
                <w:color w:val="auto"/>
              </w:rPr>
            </w:pPr>
          </w:p>
        </w:tc>
        <w:tc>
          <w:tcPr>
            <w:tcW w:w="679" w:type="pct"/>
            <w:vMerge w:val="continue"/>
            <w:tcBorders>
              <w:left w:val="single" w:color="000000" w:sz="4" w:space="0"/>
              <w:bottom w:val="single" w:color="000000" w:sz="4" w:space="0"/>
              <w:right w:val="single" w:color="000000" w:sz="4" w:space="0"/>
            </w:tcBorders>
            <w:shd w:val="clear" w:color="auto" w:fill="auto"/>
            <w:vAlign w:val="center"/>
          </w:tcPr>
          <w:p w14:paraId="03EB64B7">
            <w:pPr>
              <w:pStyle w:val="26"/>
              <w:bidi w:val="0"/>
              <w:rPr>
                <w:rFonts w:hint="eastAsia"/>
                <w:color w:val="auto"/>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7EF87">
            <w:pPr>
              <w:pStyle w:val="26"/>
              <w:bidi w:val="0"/>
              <w:rPr>
                <w:rFonts w:hint="eastAsia"/>
                <w:color w:val="auto"/>
              </w:rPr>
            </w:pPr>
            <w:r>
              <w:rPr>
                <w:rFonts w:hint="eastAsia"/>
                <w:color w:val="auto"/>
              </w:rPr>
              <w:t>垂直入渗</w:t>
            </w:r>
          </w:p>
        </w:tc>
        <w:tc>
          <w:tcPr>
            <w:tcW w:w="1090" w:type="pct"/>
            <w:vMerge w:val="continue"/>
            <w:tcBorders>
              <w:left w:val="single" w:color="000000" w:sz="4" w:space="0"/>
              <w:bottom w:val="single" w:color="000000" w:sz="4" w:space="0"/>
              <w:right w:val="single" w:color="000000" w:sz="4" w:space="0"/>
            </w:tcBorders>
            <w:shd w:val="clear" w:color="auto" w:fill="auto"/>
            <w:vAlign w:val="center"/>
          </w:tcPr>
          <w:p w14:paraId="0FCE7517">
            <w:pPr>
              <w:pStyle w:val="26"/>
              <w:bidi w:val="0"/>
              <w:rPr>
                <w:rFonts w:hint="eastAsia"/>
                <w:color w:val="auto"/>
              </w:rPr>
            </w:pPr>
          </w:p>
        </w:tc>
        <w:tc>
          <w:tcPr>
            <w:tcW w:w="1244" w:type="pct"/>
            <w:vMerge w:val="continue"/>
            <w:tcBorders>
              <w:left w:val="single" w:color="000000" w:sz="4" w:space="0"/>
              <w:bottom w:val="single" w:color="000000" w:sz="4" w:space="0"/>
              <w:right w:val="single" w:color="000000" w:sz="4" w:space="0"/>
            </w:tcBorders>
            <w:shd w:val="clear" w:color="auto" w:fill="auto"/>
            <w:vAlign w:val="center"/>
          </w:tcPr>
          <w:p w14:paraId="138533D3">
            <w:pPr>
              <w:pStyle w:val="26"/>
              <w:bidi w:val="0"/>
              <w:rPr>
                <w:rFonts w:hint="eastAsia"/>
                <w:color w:val="auto"/>
                <w:lang w:val="en-US" w:eastAsia="zh-CN"/>
              </w:rPr>
            </w:pPr>
          </w:p>
        </w:tc>
        <w:tc>
          <w:tcPr>
            <w:tcW w:w="808" w:type="pct"/>
            <w:vMerge w:val="continue"/>
            <w:tcBorders>
              <w:left w:val="single" w:color="000000" w:sz="4" w:space="0"/>
              <w:bottom w:val="single" w:color="000000" w:sz="4" w:space="0"/>
              <w:right w:val="single" w:color="000000" w:sz="4" w:space="0"/>
            </w:tcBorders>
            <w:shd w:val="clear" w:color="auto" w:fill="auto"/>
            <w:vAlign w:val="center"/>
          </w:tcPr>
          <w:p w14:paraId="2A3952C5">
            <w:pPr>
              <w:pStyle w:val="26"/>
              <w:bidi w:val="0"/>
              <w:rPr>
                <w:rFonts w:hint="eastAsia"/>
                <w:color w:val="auto"/>
              </w:rPr>
            </w:pPr>
          </w:p>
        </w:tc>
      </w:tr>
      <w:tr w14:paraId="78FD90FC">
        <w:tblPrEx>
          <w:tblCellMar>
            <w:top w:w="0" w:type="dxa"/>
            <w:left w:w="108" w:type="dxa"/>
            <w:bottom w:w="0" w:type="dxa"/>
            <w:right w:w="108" w:type="dxa"/>
          </w:tblCellMar>
        </w:tblPrEx>
        <w:trPr>
          <w:trHeight w:val="9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776C81">
            <w:pPr>
              <w:pStyle w:val="26"/>
              <w:bidi w:val="0"/>
              <w:jc w:val="left"/>
              <w:rPr>
                <w:rFonts w:hint="eastAsia"/>
                <w:color w:val="auto"/>
              </w:rPr>
            </w:pPr>
            <w:r>
              <w:rPr>
                <w:rFonts w:hint="eastAsia"/>
                <w:color w:val="auto"/>
              </w:rPr>
              <w:t>a根据工程分析结果填写。</w:t>
            </w:r>
          </w:p>
          <w:p w14:paraId="5947F20B">
            <w:pPr>
              <w:pStyle w:val="26"/>
              <w:bidi w:val="0"/>
              <w:jc w:val="left"/>
              <w:rPr>
                <w:rFonts w:hint="eastAsia"/>
                <w:color w:val="auto"/>
              </w:rPr>
            </w:pPr>
            <w:r>
              <w:rPr>
                <w:rFonts w:hint="eastAsia"/>
                <w:color w:val="auto"/>
              </w:rPr>
              <w:t>b应描述污染源特征，如连续、间断、正常、事故等；涉及大气沉降途径的，应识别建设项目周边的土壤环境敏感目标。</w:t>
            </w:r>
          </w:p>
        </w:tc>
      </w:tr>
    </w:tbl>
    <w:p w14:paraId="67305BE3">
      <w:pPr>
        <w:pStyle w:val="4"/>
        <w:rPr>
          <w:color w:val="auto"/>
        </w:rPr>
      </w:pPr>
      <w:bookmarkStart w:id="305" w:name="_Toc4531"/>
      <w:bookmarkStart w:id="306" w:name="_Toc14346"/>
      <w:r>
        <w:rPr>
          <w:rFonts w:hint="eastAsia"/>
          <w:color w:val="auto"/>
        </w:rPr>
        <w:t>沉降型土壤环境影响预测</w:t>
      </w:r>
      <w:bookmarkEnd w:id="305"/>
      <w:bookmarkEnd w:id="306"/>
    </w:p>
    <w:p w14:paraId="3E2754D4">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项目废气中含有机物，有机物随排放废气进入环境空气中，最后沉降在周围的土壤从而进入土壤环境，有可能对土壤环境中的有机物含量产生影响。有机物进入土壤环境主要表现为累积效应，根据《环境影响评价技术导则土壤环境（试行）》，污染物累积影响分析参照该导则中的附录E的方法一进行影响预测。</w:t>
      </w:r>
    </w:p>
    <w:p w14:paraId="19E0E0C7">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根据工程分析，废气污染物主要为VOCs（以非甲烷总烃计）等，本次累积性影响分析选用石油烃作为评价因子。取大气预测结果中VOCs（以非甲烷总烃计）的区域最大落地浓度增值作为年均最大落地浓度增值（mg/m</w:t>
      </w:r>
      <w:r>
        <w:rPr>
          <w:rFonts w:ascii="Times New Roman" w:hAnsi="Times New Roman" w:cs="Times New Roman"/>
          <w:color w:val="auto"/>
          <w:szCs w:val="24"/>
          <w:vertAlign w:val="superscript"/>
        </w:rPr>
        <w:t>3</w:t>
      </w:r>
      <w:r>
        <w:rPr>
          <w:rFonts w:ascii="Times New Roman" w:hAnsi="Times New Roman" w:cs="Times New Roman"/>
          <w:color w:val="auto"/>
          <w:szCs w:val="24"/>
        </w:rPr>
        <w:t>）。沉积进入土壤中的污染物由于土壤的吸附、络合、沉淀和阻留作用，绝大多数残留、累积在土壤中。根据《环境影响评价技术导则土壤环境（试行）》中附录E的方法一，土壤中某种物质的累积量采用以下公式进行计算：</w:t>
      </w:r>
    </w:p>
    <w:p w14:paraId="775135A2">
      <w:pPr>
        <w:widowControl/>
        <w:adjustRightInd w:val="0"/>
        <w:snapToGrid w:val="0"/>
        <w:jc w:val="center"/>
        <w:rPr>
          <w:rFonts w:ascii="Times New Roman" w:hAnsi="Times New Roman" w:cs="Times New Roman"/>
          <w:color w:val="auto"/>
          <w:szCs w:val="24"/>
        </w:rPr>
      </w:pPr>
      <w:r>
        <w:rPr>
          <w:rFonts w:ascii="Times New Roman" w:hAnsi="Times New Roman" w:cs="Times New Roman"/>
          <w:color w:val="auto"/>
          <w:szCs w:val="24"/>
        </w:rPr>
        <w:t>Δ</w:t>
      </w:r>
      <w:r>
        <w:rPr>
          <w:rFonts w:ascii="Cambria Math" w:hAnsi="Cambria Math" w:cs="Cambria Math"/>
          <w:color w:val="auto"/>
          <w:szCs w:val="24"/>
        </w:rPr>
        <w:t>𝑆</w:t>
      </w:r>
      <w:r>
        <w:rPr>
          <w:rFonts w:ascii="Times New Roman" w:hAnsi="Times New Roman" w:cs="Times New Roman"/>
          <w:color w:val="auto"/>
          <w:szCs w:val="24"/>
        </w:rPr>
        <w:t>=(</w:t>
      </w:r>
      <w:r>
        <w:rPr>
          <w:rFonts w:ascii="Cambria Math" w:hAnsi="Cambria Math" w:cs="Cambria Math"/>
          <w:color w:val="auto"/>
          <w:szCs w:val="24"/>
        </w:rPr>
        <w:t>𝐼</w:t>
      </w:r>
      <w:r>
        <w:rPr>
          <w:rFonts w:ascii="Cambria Math" w:hAnsi="Cambria Math" w:cs="Cambria Math"/>
          <w:color w:val="auto"/>
          <w:szCs w:val="24"/>
          <w:vertAlign w:val="subscript"/>
        </w:rPr>
        <w:t>𝑠</w:t>
      </w:r>
      <w:r>
        <w:rPr>
          <w:rFonts w:ascii="Times New Roman" w:hAnsi="Times New Roman" w:cs="Times New Roman"/>
          <w:color w:val="auto"/>
          <w:szCs w:val="24"/>
        </w:rPr>
        <w:t>−</w:t>
      </w:r>
      <w:r>
        <w:rPr>
          <w:rFonts w:ascii="Cambria Math" w:hAnsi="Cambria Math" w:cs="Cambria Math"/>
          <w:color w:val="auto"/>
          <w:szCs w:val="24"/>
        </w:rPr>
        <w:t>𝐿</w:t>
      </w:r>
      <w:r>
        <w:rPr>
          <w:rFonts w:ascii="Cambria Math" w:hAnsi="Cambria Math" w:cs="Cambria Math"/>
          <w:color w:val="auto"/>
          <w:szCs w:val="24"/>
          <w:vertAlign w:val="subscript"/>
        </w:rPr>
        <w:t>𝑠</w:t>
      </w:r>
      <w:r>
        <w:rPr>
          <w:rFonts w:ascii="Times New Roman" w:hAnsi="Times New Roman" w:cs="Times New Roman"/>
          <w:color w:val="auto"/>
          <w:szCs w:val="24"/>
        </w:rPr>
        <w:t>−</w:t>
      </w:r>
      <w:r>
        <w:rPr>
          <w:rFonts w:ascii="Cambria Math" w:hAnsi="Cambria Math" w:cs="Cambria Math"/>
          <w:color w:val="auto"/>
          <w:szCs w:val="24"/>
        </w:rPr>
        <w:t>𝑅</w:t>
      </w:r>
      <w:r>
        <w:rPr>
          <w:rFonts w:ascii="Cambria Math" w:hAnsi="Cambria Math" w:cs="Cambria Math"/>
          <w:color w:val="auto"/>
          <w:szCs w:val="24"/>
          <w:vertAlign w:val="subscript"/>
        </w:rPr>
        <w:t>𝑠</w:t>
      </w:r>
      <w:r>
        <w:rPr>
          <w:rFonts w:ascii="Times New Roman" w:hAnsi="Times New Roman" w:cs="Times New Roman"/>
          <w:color w:val="auto"/>
          <w:szCs w:val="24"/>
        </w:rPr>
        <w:t>)/(</w:t>
      </w:r>
      <w:r>
        <w:rPr>
          <w:rFonts w:ascii="Cambria Math" w:hAnsi="Cambria Math" w:cs="Cambria Math"/>
          <w:color w:val="auto"/>
          <w:szCs w:val="24"/>
        </w:rPr>
        <w:t>𝜌</w:t>
      </w:r>
      <w:r>
        <w:rPr>
          <w:rFonts w:ascii="Cambria Math" w:hAnsi="Cambria Math" w:cs="Cambria Math"/>
          <w:color w:val="auto"/>
          <w:szCs w:val="24"/>
          <w:vertAlign w:val="subscript"/>
        </w:rPr>
        <w:t>𝑏</w:t>
      </w:r>
      <w:r>
        <w:rPr>
          <w:rFonts w:ascii="Times New Roman" w:hAnsi="Times New Roman" w:cs="Times New Roman"/>
          <w:color w:val="auto"/>
          <w:szCs w:val="24"/>
        </w:rPr>
        <w:t>×</w:t>
      </w:r>
      <w:r>
        <w:rPr>
          <w:rFonts w:ascii="Cambria Math" w:hAnsi="Cambria Math" w:cs="Cambria Math"/>
          <w:color w:val="auto"/>
          <w:szCs w:val="24"/>
        </w:rPr>
        <w:t>𝐴</w:t>
      </w:r>
      <w:r>
        <w:rPr>
          <w:rFonts w:ascii="Times New Roman" w:hAnsi="Times New Roman" w:cs="Times New Roman"/>
          <w:color w:val="auto"/>
          <w:szCs w:val="24"/>
        </w:rPr>
        <w:t>×</w:t>
      </w:r>
      <w:r>
        <w:rPr>
          <w:rFonts w:ascii="Cambria Math" w:hAnsi="Cambria Math" w:cs="Cambria Math"/>
          <w:color w:val="auto"/>
          <w:szCs w:val="24"/>
        </w:rPr>
        <w:t>𝐷</w:t>
      </w:r>
      <w:r>
        <w:rPr>
          <w:rFonts w:ascii="Times New Roman" w:hAnsi="Times New Roman" w:cs="Times New Roman"/>
          <w:color w:val="auto"/>
          <w:szCs w:val="24"/>
        </w:rPr>
        <w:t>)</w:t>
      </w:r>
    </w:p>
    <w:p w14:paraId="1509CD0C">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式中：Δ</w:t>
      </w:r>
      <w:r>
        <w:rPr>
          <w:rFonts w:ascii="Cambria Math" w:hAnsi="Cambria Math" w:cs="Cambria Math"/>
          <w:color w:val="auto"/>
          <w:szCs w:val="24"/>
        </w:rPr>
        <w:t>𝑆</w:t>
      </w:r>
      <w:r>
        <w:rPr>
          <w:rFonts w:ascii="Times New Roman" w:hAnsi="Times New Roman" w:cs="Times New Roman"/>
          <w:color w:val="auto"/>
          <w:szCs w:val="24"/>
        </w:rPr>
        <w:t>–单位质量表层土壤中某种物质的增量，g/kg；</w:t>
      </w:r>
    </w:p>
    <w:p w14:paraId="08F76D25">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𝐼</w:t>
      </w:r>
      <w:r>
        <w:rPr>
          <w:rFonts w:ascii="Cambria Math" w:hAnsi="Cambria Math" w:cs="Cambria Math"/>
          <w:color w:val="auto"/>
          <w:szCs w:val="24"/>
          <w:vertAlign w:val="subscript"/>
        </w:rPr>
        <w:t>𝑠</w:t>
      </w:r>
      <w:r>
        <w:rPr>
          <w:rFonts w:ascii="Times New Roman" w:hAnsi="Times New Roman" w:cs="Times New Roman"/>
          <w:color w:val="auto"/>
          <w:szCs w:val="24"/>
        </w:rPr>
        <w:t>–预测评价范围内单位年份表层土壤中某种物质的输入量，g；</w:t>
      </w:r>
    </w:p>
    <w:p w14:paraId="42133C4D">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𝐿</w:t>
      </w:r>
      <w:r>
        <w:rPr>
          <w:rFonts w:ascii="Cambria Math" w:hAnsi="Cambria Math" w:cs="Cambria Math"/>
          <w:color w:val="auto"/>
          <w:szCs w:val="24"/>
          <w:vertAlign w:val="subscript"/>
        </w:rPr>
        <w:t>𝑠</w:t>
      </w:r>
      <w:r>
        <w:rPr>
          <w:rFonts w:ascii="Times New Roman" w:hAnsi="Times New Roman" w:cs="Times New Roman"/>
          <w:color w:val="auto"/>
          <w:szCs w:val="24"/>
        </w:rPr>
        <w:t>–预测评价范围内单位年份表层土壤中某种物质经淋溶排出的量，g；</w:t>
      </w:r>
    </w:p>
    <w:p w14:paraId="628F4F80">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𝑅</w:t>
      </w:r>
      <w:r>
        <w:rPr>
          <w:rFonts w:ascii="Cambria Math" w:hAnsi="Cambria Math" w:cs="Cambria Math"/>
          <w:color w:val="auto"/>
          <w:szCs w:val="24"/>
          <w:vertAlign w:val="subscript"/>
        </w:rPr>
        <w:t>𝑠</w:t>
      </w:r>
      <w:r>
        <w:rPr>
          <w:rFonts w:ascii="Times New Roman" w:hAnsi="Times New Roman" w:cs="Times New Roman"/>
          <w:color w:val="auto"/>
          <w:szCs w:val="24"/>
        </w:rPr>
        <w:t>–预测评价范围内单位年份表层土壤中某种物质经径流排出的量，g；</w:t>
      </w:r>
    </w:p>
    <w:p w14:paraId="49FC93DA">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𝜌</w:t>
      </w:r>
      <w:r>
        <w:rPr>
          <w:rFonts w:ascii="Cambria Math" w:hAnsi="Cambria Math" w:cs="Cambria Math"/>
          <w:color w:val="auto"/>
          <w:szCs w:val="24"/>
          <w:vertAlign w:val="subscript"/>
        </w:rPr>
        <w:t>𝑏</w:t>
      </w:r>
      <w:r>
        <w:rPr>
          <w:rFonts w:ascii="Times New Roman" w:hAnsi="Times New Roman" w:cs="Times New Roman"/>
          <w:color w:val="auto"/>
          <w:szCs w:val="24"/>
        </w:rPr>
        <w:t>–表层土壤容重，kg/</w:t>
      </w:r>
      <w:r>
        <w:rPr>
          <w:rFonts w:hint="eastAsia" w:cs="Times New Roman"/>
          <w:color w:val="auto"/>
          <w:szCs w:val="24"/>
          <w:lang w:eastAsia="zh-CN"/>
        </w:rPr>
        <w:t>m</w:t>
      </w:r>
      <w:r>
        <w:rPr>
          <w:rFonts w:hint="eastAsia" w:cs="Times New Roman"/>
          <w:color w:val="auto"/>
          <w:szCs w:val="24"/>
          <w:vertAlign w:val="superscript"/>
          <w:lang w:eastAsia="zh-CN"/>
        </w:rPr>
        <w:t>3</w:t>
      </w:r>
      <w:r>
        <w:rPr>
          <w:rFonts w:ascii="Times New Roman" w:hAnsi="Times New Roman" w:cs="Times New Roman"/>
          <w:color w:val="auto"/>
          <w:szCs w:val="24"/>
        </w:rPr>
        <w:t>，根据土壤现状监测，表层土壤容重约1</w:t>
      </w:r>
      <w:r>
        <w:rPr>
          <w:rFonts w:hint="eastAsia" w:ascii="Times New Roman" w:hAnsi="Times New Roman" w:cs="Times New Roman"/>
          <w:color w:val="auto"/>
          <w:szCs w:val="24"/>
          <w:lang w:val="en-US" w:eastAsia="zh-CN"/>
        </w:rPr>
        <w:t>800</w:t>
      </w:r>
      <w:r>
        <w:rPr>
          <w:rFonts w:ascii="Times New Roman" w:hAnsi="Times New Roman" w:cs="Times New Roman"/>
          <w:color w:val="auto"/>
          <w:szCs w:val="24"/>
        </w:rPr>
        <w:t>kg/</w:t>
      </w:r>
      <w:r>
        <w:rPr>
          <w:rFonts w:hint="eastAsia" w:cs="Times New Roman"/>
          <w:color w:val="auto"/>
          <w:szCs w:val="24"/>
          <w:lang w:eastAsia="zh-CN"/>
        </w:rPr>
        <w:t>m</w:t>
      </w:r>
      <w:r>
        <w:rPr>
          <w:rFonts w:hint="eastAsia" w:cs="Times New Roman"/>
          <w:color w:val="auto"/>
          <w:szCs w:val="24"/>
          <w:vertAlign w:val="superscript"/>
          <w:lang w:eastAsia="zh-CN"/>
        </w:rPr>
        <w:t>3</w:t>
      </w:r>
      <w:r>
        <w:rPr>
          <w:rFonts w:ascii="Times New Roman" w:hAnsi="Times New Roman" w:cs="Times New Roman"/>
          <w:color w:val="auto"/>
          <w:szCs w:val="24"/>
        </w:rPr>
        <w:t>；</w:t>
      </w:r>
    </w:p>
    <w:p w14:paraId="23C90EA9">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𝐴</w:t>
      </w:r>
      <w:r>
        <w:rPr>
          <w:rFonts w:ascii="Times New Roman" w:hAnsi="Times New Roman" w:cs="Times New Roman"/>
          <w:color w:val="auto"/>
          <w:szCs w:val="24"/>
        </w:rPr>
        <w:t>–预测评价范围，</w:t>
      </w:r>
      <w:r>
        <w:rPr>
          <w:rFonts w:hint="eastAsia" w:cs="Times New Roman"/>
          <w:color w:val="auto"/>
          <w:szCs w:val="24"/>
          <w:lang w:eastAsia="zh-CN"/>
        </w:rPr>
        <w:t>m</w:t>
      </w:r>
      <w:r>
        <w:rPr>
          <w:rFonts w:hint="eastAsia" w:cs="Times New Roman"/>
          <w:color w:val="auto"/>
          <w:szCs w:val="24"/>
          <w:vertAlign w:val="superscript"/>
          <w:lang w:eastAsia="zh-CN"/>
        </w:rPr>
        <w:t>2</w:t>
      </w:r>
      <w:r>
        <w:rPr>
          <w:rFonts w:ascii="Times New Roman" w:hAnsi="Times New Roman" w:cs="Times New Roman"/>
          <w:color w:val="auto"/>
          <w:szCs w:val="24"/>
        </w:rPr>
        <w:t>；</w:t>
      </w:r>
    </w:p>
    <w:p w14:paraId="29C6E991">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𝐷</w:t>
      </w:r>
      <w:r>
        <w:rPr>
          <w:rFonts w:ascii="Times New Roman" w:hAnsi="Times New Roman" w:cs="Times New Roman"/>
          <w:color w:val="auto"/>
          <w:szCs w:val="24"/>
        </w:rPr>
        <w:t>–表层土壤深度，一般取0.2m；</w:t>
      </w:r>
    </w:p>
    <w:p w14:paraId="3FCEB5DE">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𝑛</w:t>
      </w:r>
      <w:r>
        <w:rPr>
          <w:rFonts w:ascii="Times New Roman" w:hAnsi="Times New Roman" w:cs="Times New Roman"/>
          <w:color w:val="auto"/>
          <w:szCs w:val="24"/>
        </w:rPr>
        <w:t>–持续年份，a。</w:t>
      </w:r>
    </w:p>
    <w:p w14:paraId="32D6884E">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𝐼</w:t>
      </w:r>
      <w:r>
        <w:rPr>
          <w:rFonts w:ascii="Cambria Math" w:hAnsi="Cambria Math" w:cs="Cambria Math"/>
          <w:color w:val="auto"/>
          <w:szCs w:val="24"/>
          <w:vertAlign w:val="subscript"/>
        </w:rPr>
        <w:t>𝑠</w:t>
      </w:r>
      <w:r>
        <w:rPr>
          <w:rFonts w:ascii="Times New Roman" w:hAnsi="Times New Roman" w:cs="Times New Roman"/>
          <w:color w:val="auto"/>
          <w:szCs w:val="24"/>
        </w:rPr>
        <w:t>=C×V×T×A</w:t>
      </w:r>
    </w:p>
    <w:p w14:paraId="72793DC5">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式中：C–污染物浓度，mg/</w:t>
      </w:r>
      <w:r>
        <w:rPr>
          <w:rFonts w:hint="eastAsia" w:cs="Times New Roman"/>
          <w:color w:val="auto"/>
          <w:szCs w:val="24"/>
          <w:lang w:eastAsia="zh-CN"/>
        </w:rPr>
        <w:t>m</w:t>
      </w:r>
      <w:r>
        <w:rPr>
          <w:rFonts w:hint="eastAsia" w:cs="Times New Roman"/>
          <w:color w:val="auto"/>
          <w:szCs w:val="24"/>
          <w:vertAlign w:val="superscript"/>
          <w:lang w:eastAsia="zh-CN"/>
        </w:rPr>
        <w:t>3</w:t>
      </w:r>
      <w:r>
        <w:rPr>
          <w:rFonts w:ascii="Times New Roman" w:hAnsi="Times New Roman" w:cs="Times New Roman"/>
          <w:color w:val="auto"/>
          <w:szCs w:val="24"/>
        </w:rPr>
        <w:t>；</w:t>
      </w:r>
    </w:p>
    <w:p w14:paraId="615F37A6">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V–污染物沉降速率，m/s；沉降速率取值为0.0</w:t>
      </w:r>
      <w:r>
        <w:rPr>
          <w:rFonts w:hint="eastAsia" w:ascii="Times New Roman" w:hAnsi="Times New Roman" w:cs="Times New Roman"/>
          <w:color w:val="auto"/>
          <w:szCs w:val="24"/>
          <w:lang w:val="en-US" w:eastAsia="zh-CN"/>
        </w:rPr>
        <w:t>03</w:t>
      </w:r>
      <w:r>
        <w:rPr>
          <w:rFonts w:ascii="Times New Roman" w:hAnsi="Times New Roman" w:cs="Times New Roman"/>
          <w:color w:val="auto"/>
          <w:szCs w:val="24"/>
        </w:rPr>
        <w:t>m/s；</w:t>
      </w:r>
    </w:p>
    <w:p w14:paraId="3A5FE3F7">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T–一年内污染物沉降时间，s；以全年计</w:t>
      </w:r>
    </w:p>
    <w:p w14:paraId="5A4554A5">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𝐴</w:t>
      </w:r>
      <w:r>
        <w:rPr>
          <w:rFonts w:ascii="Times New Roman" w:hAnsi="Times New Roman" w:cs="Times New Roman"/>
          <w:color w:val="auto"/>
          <w:szCs w:val="24"/>
        </w:rPr>
        <w:t>–预测评价范围，</w:t>
      </w:r>
      <w:r>
        <w:rPr>
          <w:rFonts w:hint="eastAsia" w:cs="Times New Roman"/>
          <w:color w:val="auto"/>
          <w:szCs w:val="24"/>
          <w:lang w:eastAsia="zh-CN"/>
        </w:rPr>
        <w:t>m</w:t>
      </w:r>
      <w:r>
        <w:rPr>
          <w:rFonts w:hint="eastAsia" w:cs="Times New Roman"/>
          <w:color w:val="auto"/>
          <w:szCs w:val="24"/>
          <w:vertAlign w:val="superscript"/>
          <w:lang w:eastAsia="zh-CN"/>
        </w:rPr>
        <w:t>2</w:t>
      </w:r>
      <w:r>
        <w:rPr>
          <w:rFonts w:ascii="Times New Roman" w:hAnsi="Times New Roman" w:cs="Times New Roman"/>
          <w:color w:val="auto"/>
          <w:szCs w:val="24"/>
        </w:rPr>
        <w:t>。</w:t>
      </w:r>
    </w:p>
    <w:p w14:paraId="066B2332">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单位质量土壤中某种物质的预测值根据其增量叠加现状值进行计算，如下式：</w:t>
      </w:r>
    </w:p>
    <w:p w14:paraId="1FF63403">
      <w:pPr>
        <w:widowControl/>
        <w:adjustRightInd w:val="0"/>
        <w:snapToGrid w:val="0"/>
        <w:jc w:val="center"/>
        <w:rPr>
          <w:rFonts w:ascii="Times New Roman" w:hAnsi="Times New Roman" w:cs="Times New Roman"/>
          <w:color w:val="auto"/>
          <w:szCs w:val="24"/>
        </w:rPr>
      </w:pPr>
      <w:r>
        <w:rPr>
          <w:rFonts w:ascii="Cambria Math" w:hAnsi="Cambria Math" w:cs="Cambria Math"/>
          <w:color w:val="auto"/>
          <w:szCs w:val="24"/>
        </w:rPr>
        <w:t>𝑆</w:t>
      </w:r>
      <w:r>
        <w:rPr>
          <w:rFonts w:ascii="Times New Roman" w:hAnsi="Times New Roman" w:cs="Times New Roman"/>
          <w:color w:val="auto"/>
          <w:szCs w:val="24"/>
        </w:rPr>
        <w:t>=</w:t>
      </w:r>
      <w:r>
        <w:rPr>
          <w:rFonts w:ascii="Cambria Math" w:hAnsi="Cambria Math" w:cs="Cambria Math"/>
          <w:color w:val="auto"/>
          <w:szCs w:val="24"/>
        </w:rPr>
        <w:t>𝑆</w:t>
      </w:r>
      <w:r>
        <w:rPr>
          <w:rFonts w:ascii="Cambria Math" w:hAnsi="Cambria Math" w:cs="Cambria Math"/>
          <w:color w:val="auto"/>
          <w:szCs w:val="24"/>
          <w:vertAlign w:val="subscript"/>
        </w:rPr>
        <w:t>𝑏</w:t>
      </w:r>
      <w:r>
        <w:rPr>
          <w:rFonts w:ascii="Times New Roman" w:hAnsi="Times New Roman" w:cs="Times New Roman"/>
          <w:color w:val="auto"/>
          <w:szCs w:val="24"/>
        </w:rPr>
        <w:t>+Δ</w:t>
      </w:r>
      <w:r>
        <w:rPr>
          <w:rFonts w:ascii="Cambria Math" w:hAnsi="Cambria Math" w:cs="Cambria Math"/>
          <w:color w:val="auto"/>
          <w:szCs w:val="24"/>
        </w:rPr>
        <w:t>𝑆</w:t>
      </w:r>
    </w:p>
    <w:p w14:paraId="76C473F5">
      <w:pPr>
        <w:widowControl/>
        <w:adjustRightInd w:val="0"/>
        <w:snapToGrid w:val="0"/>
        <w:rPr>
          <w:rFonts w:ascii="Times New Roman" w:hAnsi="Times New Roman" w:cs="Times New Roman"/>
          <w:color w:val="auto"/>
          <w:szCs w:val="24"/>
        </w:rPr>
      </w:pPr>
      <w:r>
        <w:rPr>
          <w:rFonts w:ascii="Times New Roman" w:hAnsi="Times New Roman" w:cs="Times New Roman"/>
          <w:color w:val="auto"/>
          <w:szCs w:val="24"/>
        </w:rPr>
        <w:t>式中：</w:t>
      </w:r>
      <w:r>
        <w:rPr>
          <w:rFonts w:ascii="Cambria Math" w:hAnsi="Cambria Math" w:cs="Cambria Math"/>
          <w:color w:val="auto"/>
          <w:szCs w:val="24"/>
        </w:rPr>
        <w:t>𝑆</w:t>
      </w:r>
      <w:r>
        <w:rPr>
          <w:rFonts w:ascii="Cambria Math" w:hAnsi="Cambria Math" w:cs="Cambria Math"/>
          <w:color w:val="auto"/>
          <w:szCs w:val="24"/>
          <w:vertAlign w:val="subscript"/>
        </w:rPr>
        <w:t>𝑏</w:t>
      </w:r>
      <w:r>
        <w:rPr>
          <w:rFonts w:ascii="Times New Roman" w:hAnsi="Times New Roman" w:cs="Times New Roman"/>
          <w:color w:val="auto"/>
          <w:szCs w:val="24"/>
        </w:rPr>
        <w:t>–单位质量土壤中某种物质的现状值，g/kg；</w:t>
      </w:r>
    </w:p>
    <w:p w14:paraId="498CB61D">
      <w:pPr>
        <w:widowControl/>
        <w:adjustRightInd w:val="0"/>
        <w:snapToGrid w:val="0"/>
        <w:rPr>
          <w:rFonts w:ascii="Times New Roman" w:hAnsi="Times New Roman" w:cs="Times New Roman"/>
          <w:color w:val="auto"/>
          <w:szCs w:val="24"/>
        </w:rPr>
      </w:pPr>
      <w:r>
        <w:rPr>
          <w:rFonts w:ascii="Cambria Math" w:hAnsi="Cambria Math" w:cs="Cambria Math"/>
          <w:color w:val="auto"/>
          <w:szCs w:val="24"/>
        </w:rPr>
        <w:t>𝑆</w:t>
      </w:r>
      <w:r>
        <w:rPr>
          <w:rFonts w:ascii="Times New Roman" w:hAnsi="Times New Roman" w:cs="Times New Roman"/>
          <w:color w:val="auto"/>
          <w:szCs w:val="24"/>
        </w:rPr>
        <w:t>–单位质量土壤中某种物质的预测值，g/kg。</w:t>
      </w:r>
    </w:p>
    <w:p w14:paraId="21CF654C">
      <w:pPr>
        <w:widowControl/>
        <w:adjustRightInd w:val="0"/>
        <w:snapToGrid w:val="0"/>
        <w:rPr>
          <w:rFonts w:hint="eastAsia" w:ascii="Times New Roman" w:hAnsi="Times New Roman" w:cs="Times New Roman"/>
          <w:color w:val="auto"/>
          <w:szCs w:val="24"/>
        </w:rPr>
      </w:pPr>
      <w:r>
        <w:rPr>
          <w:rFonts w:hint="eastAsia" w:ascii="Times New Roman" w:hAnsi="Times New Roman" w:cs="Times New Roman"/>
          <w:color w:val="auto"/>
          <w:szCs w:val="24"/>
        </w:rPr>
        <w:t>本项目参考《中国几种典型土壤酸碱缓冲容量测定方法的比较》（汪吉东等，2020 年，江苏农业学报）中几种土壤的缓冲容量，通过比较选择乌栅土作为类比，乌栅土在昆山地区广泛分布，其缓冲容量为 41. 1mmol/kg（水浸提）。</w:t>
      </w:r>
    </w:p>
    <w:p w14:paraId="3199E686">
      <w:pPr>
        <w:widowControl/>
        <w:adjustRightInd w:val="0"/>
        <w:snapToGrid w:val="0"/>
        <w:rPr>
          <w:rFonts w:hint="eastAsia" w:ascii="Times New Roman" w:hAnsi="Times New Roman" w:cs="Times New Roman"/>
          <w:color w:val="auto"/>
          <w:szCs w:val="24"/>
        </w:rPr>
      </w:pPr>
      <w:r>
        <w:rPr>
          <w:rFonts w:hint="eastAsia" w:ascii="Times New Roman" w:hAnsi="Times New Roman" w:cs="Times New Roman"/>
          <w:color w:val="auto"/>
          <w:szCs w:val="24"/>
        </w:rPr>
        <w:t>通过计算 pH=7.78。</w:t>
      </w:r>
    </w:p>
    <w:p w14:paraId="0C5A2C05">
      <w:pPr>
        <w:rPr>
          <w:rFonts w:hint="eastAsia"/>
          <w:color w:val="auto"/>
        </w:rPr>
      </w:pPr>
      <w:r>
        <w:rPr>
          <w:rFonts w:hint="eastAsia" w:ascii="Times New Roman" w:hAnsi="Times New Roman" w:cs="Times New Roman"/>
          <w:color w:val="auto"/>
          <w:szCs w:val="24"/>
        </w:rPr>
        <w:t>大气沉降预测结果表明，评价范围内酸性物质沉降对土壤 pH 影响较小</w:t>
      </w:r>
      <w:r>
        <w:rPr>
          <w:rFonts w:ascii="Times New Roman" w:hAnsi="Times New Roman" w:cs="Times New Roman"/>
          <w:color w:val="auto"/>
          <w:szCs w:val="24"/>
          <w:lang w:val="zh-CN"/>
        </w:rPr>
        <w:t>。</w:t>
      </w:r>
    </w:p>
    <w:p w14:paraId="114B9F8E">
      <w:pPr>
        <w:pStyle w:val="4"/>
        <w:bidi w:val="0"/>
        <w:rPr>
          <w:rFonts w:hint="eastAsia"/>
          <w:color w:val="auto"/>
        </w:rPr>
      </w:pPr>
      <w:bookmarkStart w:id="307" w:name="_Toc27238"/>
      <w:bookmarkStart w:id="308" w:name="_Toc21355"/>
      <w:r>
        <w:rPr>
          <w:rFonts w:hint="eastAsia"/>
          <w:color w:val="auto"/>
        </w:rPr>
        <w:t>垂直入渗型土壤环境影响预测</w:t>
      </w:r>
      <w:bookmarkEnd w:id="307"/>
      <w:bookmarkEnd w:id="308"/>
    </w:p>
    <w:p w14:paraId="3553B249">
      <w:pPr>
        <w:rPr>
          <w:rFonts w:hint="eastAsia"/>
          <w:color w:val="auto"/>
        </w:rPr>
      </w:pPr>
      <w:r>
        <w:rPr>
          <w:rFonts w:hint="eastAsia"/>
          <w:color w:val="auto"/>
        </w:rPr>
        <w:t>在正常情况下，由于各类防渗措施的存在，废水不会泄漏进入土壤，不会对土壤环境造成影响。在非正常情况下，污水站污水调节池废水防渗层破损，对土壤造成一定的影响。污水处理站须严格按照土壤和地下水保护措施进行防渗，保证无泄漏，可保证项目运行对厂区内土壤环境的影响总体可控。一旦发现污染土壤，要采取一切有效措施消除土壤中的污染物，或控制土壤中污染物的迁移转化，减少对环境危害。。</w:t>
      </w:r>
    </w:p>
    <w:p w14:paraId="7293240D">
      <w:pPr>
        <w:pStyle w:val="26"/>
        <w:bidi w:val="0"/>
        <w:rPr>
          <w:color w:val="auto"/>
        </w:rPr>
      </w:pPr>
    </w:p>
    <w:p w14:paraId="5A4EE38C">
      <w:pPr>
        <w:pStyle w:val="3"/>
        <w:rPr>
          <w:color w:val="auto"/>
        </w:rPr>
      </w:pPr>
      <w:bookmarkStart w:id="309" w:name="_Toc17598"/>
      <w:bookmarkStart w:id="310" w:name="_Toc31772"/>
      <w:bookmarkStart w:id="311" w:name="_Toc12354"/>
      <w:r>
        <w:rPr>
          <w:rFonts w:hint="eastAsia"/>
          <w:color w:val="auto"/>
          <w:lang w:val="en-US" w:eastAsia="zh-CN"/>
        </w:rPr>
        <w:t>环境风险评价</w:t>
      </w:r>
      <w:bookmarkEnd w:id="309"/>
    </w:p>
    <w:p w14:paraId="73E4610F">
      <w:pPr>
        <w:rPr>
          <w:rFonts w:hint="default"/>
          <w:color w:val="auto"/>
          <w:lang w:val="en-US" w:eastAsia="zh-CN"/>
        </w:rPr>
      </w:pPr>
      <w:r>
        <w:rPr>
          <w:rFonts w:hint="eastAsia"/>
          <w:color w:val="auto"/>
          <w:lang w:val="en-US" w:eastAsia="zh-CN"/>
        </w:rPr>
        <w:t>（1）</w:t>
      </w:r>
      <w:r>
        <w:rPr>
          <w:rFonts w:hint="default"/>
          <w:color w:val="auto"/>
          <w:lang w:val="en-US" w:eastAsia="zh-CN"/>
        </w:rPr>
        <w:t>概率分析</w:t>
      </w:r>
    </w:p>
    <w:p w14:paraId="253D5269">
      <w:pPr>
        <w:rPr>
          <w:rFonts w:hint="default"/>
          <w:color w:val="auto"/>
        </w:rPr>
      </w:pPr>
      <w:r>
        <w:rPr>
          <w:rFonts w:hint="default"/>
          <w:color w:val="auto"/>
        </w:rPr>
        <w:t>泄漏事故类型如容器、管道、泵体、压缩机、装卸软管的泄漏和破裂等泄漏频率采用风险导则（HJ169-2018）附录E.1，详见下表。</w:t>
      </w:r>
    </w:p>
    <w:p w14:paraId="40713C47">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6.8</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泄露频率表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28"/>
        <w:gridCol w:w="4359"/>
        <w:gridCol w:w="2029"/>
      </w:tblGrid>
      <w:tr w14:paraId="69E5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9F2A5E9">
            <w:pPr>
              <w:pStyle w:val="36"/>
              <w:bidi w:val="0"/>
              <w:rPr>
                <w:rFonts w:hint="default"/>
                <w:color w:val="auto"/>
              </w:rPr>
            </w:pPr>
            <w:r>
              <w:rPr>
                <w:rFonts w:hint="eastAsia"/>
                <w:color w:val="auto"/>
              </w:rPr>
              <w:t>部件类型</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02344EB">
            <w:pPr>
              <w:pStyle w:val="36"/>
              <w:bidi w:val="0"/>
              <w:rPr>
                <w:rFonts w:hint="default"/>
                <w:color w:val="auto"/>
              </w:rPr>
            </w:pPr>
            <w:r>
              <w:rPr>
                <w:rFonts w:hint="eastAsia"/>
                <w:color w:val="auto"/>
              </w:rPr>
              <w:t>泄漏模式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F4BB119">
            <w:pPr>
              <w:pStyle w:val="36"/>
              <w:bidi w:val="0"/>
              <w:rPr>
                <w:rFonts w:hint="default"/>
                <w:color w:val="auto"/>
              </w:rPr>
            </w:pPr>
            <w:r>
              <w:rPr>
                <w:rFonts w:hint="eastAsia"/>
                <w:color w:val="auto"/>
              </w:rPr>
              <w:t>泄漏频率</w:t>
            </w:r>
          </w:p>
        </w:tc>
      </w:tr>
      <w:tr w14:paraId="59D2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74AFD48">
            <w:pPr>
              <w:pStyle w:val="26"/>
              <w:bidi w:val="0"/>
              <w:rPr>
                <w:rFonts w:hint="default"/>
                <w:color w:val="auto"/>
              </w:rPr>
            </w:pPr>
            <w:r>
              <w:rPr>
                <w:rFonts w:hint="eastAsia"/>
                <w:color w:val="auto"/>
              </w:rPr>
              <w:t>反应器/工艺储罐/气体储罐/塔器</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961363A">
            <w:pPr>
              <w:pStyle w:val="26"/>
              <w:bidi w:val="0"/>
              <w:rPr>
                <w:rFonts w:hint="default"/>
                <w:color w:val="auto"/>
              </w:rPr>
            </w:pPr>
            <w:r>
              <w:rPr>
                <w:rFonts w:hint="eastAsia"/>
                <w:color w:val="auto"/>
              </w:rPr>
              <w:t>泄漏孔径为10mm孔径</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71622F0">
            <w:pPr>
              <w:pStyle w:val="26"/>
              <w:bidi w:val="0"/>
              <w:rPr>
                <w:rFonts w:hint="default"/>
                <w:color w:val="auto"/>
              </w:rPr>
            </w:pPr>
            <w:r>
              <w:rPr>
                <w:rFonts w:hint="default"/>
                <w:color w:val="auto"/>
              </w:rPr>
              <w:t>1.00×10</w:t>
            </w:r>
            <w:r>
              <w:rPr>
                <w:rFonts w:hint="default"/>
                <w:color w:val="auto"/>
                <w:vertAlign w:val="superscript"/>
              </w:rPr>
              <w:t>-4</w:t>
            </w:r>
            <w:r>
              <w:rPr>
                <w:rFonts w:hint="default"/>
                <w:color w:val="auto"/>
              </w:rPr>
              <w:t>/a</w:t>
            </w:r>
          </w:p>
        </w:tc>
      </w:tr>
      <w:tr w14:paraId="0B74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22309BA4">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CA71514">
            <w:pPr>
              <w:pStyle w:val="26"/>
              <w:bidi w:val="0"/>
              <w:rPr>
                <w:rFonts w:hint="default"/>
                <w:color w:val="auto"/>
              </w:rPr>
            </w:pPr>
            <w:r>
              <w:rPr>
                <w:rFonts w:hint="default"/>
                <w:color w:val="auto"/>
              </w:rPr>
              <w:t>10min</w:t>
            </w:r>
            <w:r>
              <w:rPr>
                <w:rFonts w:hint="eastAsia"/>
                <w:color w:val="auto"/>
              </w:rPr>
              <w:t>内储罐泄漏完</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F03D899">
            <w:pPr>
              <w:pStyle w:val="26"/>
              <w:bidi w:val="0"/>
              <w:rPr>
                <w:rFonts w:hint="default"/>
                <w:color w:val="auto"/>
              </w:rPr>
            </w:pPr>
            <w:r>
              <w:rPr>
                <w:rFonts w:hint="default"/>
                <w:color w:val="auto"/>
              </w:rPr>
              <w:t>5.00×10</w:t>
            </w:r>
            <w:r>
              <w:rPr>
                <w:rFonts w:hint="default"/>
                <w:color w:val="auto"/>
                <w:vertAlign w:val="superscript"/>
              </w:rPr>
              <w:t>-6</w:t>
            </w:r>
            <w:r>
              <w:rPr>
                <w:rFonts w:hint="default"/>
                <w:color w:val="auto"/>
              </w:rPr>
              <w:t>/a</w:t>
            </w:r>
          </w:p>
        </w:tc>
      </w:tr>
      <w:tr w14:paraId="6869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03686A69">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B44325E">
            <w:pPr>
              <w:pStyle w:val="26"/>
              <w:bidi w:val="0"/>
              <w:rPr>
                <w:rFonts w:hint="default"/>
                <w:color w:val="auto"/>
              </w:rPr>
            </w:pPr>
            <w:r>
              <w:rPr>
                <w:rFonts w:hint="eastAsia"/>
                <w:color w:val="auto"/>
              </w:rPr>
              <w:t>储罐全破裂</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C81D384">
            <w:pPr>
              <w:pStyle w:val="26"/>
              <w:bidi w:val="0"/>
              <w:rPr>
                <w:rFonts w:hint="default"/>
                <w:color w:val="auto"/>
              </w:rPr>
            </w:pPr>
            <w:r>
              <w:rPr>
                <w:rFonts w:hint="default"/>
                <w:color w:val="auto"/>
              </w:rPr>
              <w:t>5.00×10</w:t>
            </w:r>
            <w:r>
              <w:rPr>
                <w:rFonts w:hint="default"/>
                <w:color w:val="auto"/>
                <w:vertAlign w:val="superscript"/>
              </w:rPr>
              <w:t>-6</w:t>
            </w:r>
            <w:r>
              <w:rPr>
                <w:rFonts w:hint="default"/>
                <w:color w:val="auto"/>
              </w:rPr>
              <w:t>/a</w:t>
            </w:r>
          </w:p>
        </w:tc>
      </w:tr>
      <w:tr w14:paraId="7CFB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575D269">
            <w:pPr>
              <w:pStyle w:val="26"/>
              <w:bidi w:val="0"/>
              <w:rPr>
                <w:rFonts w:hint="default"/>
                <w:color w:val="auto"/>
              </w:rPr>
            </w:pPr>
            <w:r>
              <w:rPr>
                <w:rFonts w:hint="eastAsia"/>
                <w:color w:val="auto"/>
              </w:rPr>
              <w:t>常压单包容储罐</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B445263">
            <w:pPr>
              <w:pStyle w:val="26"/>
              <w:bidi w:val="0"/>
              <w:rPr>
                <w:rFonts w:hint="default"/>
                <w:color w:val="auto"/>
              </w:rPr>
            </w:pPr>
            <w:r>
              <w:rPr>
                <w:rFonts w:hint="eastAsia"/>
                <w:color w:val="auto"/>
              </w:rPr>
              <w:t>泄漏孔径为10mm孔径</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C50FE1B">
            <w:pPr>
              <w:pStyle w:val="26"/>
              <w:bidi w:val="0"/>
              <w:rPr>
                <w:rFonts w:hint="default"/>
                <w:color w:val="auto"/>
              </w:rPr>
            </w:pPr>
            <w:r>
              <w:rPr>
                <w:rFonts w:hint="default"/>
                <w:color w:val="auto"/>
              </w:rPr>
              <w:t>1.00×10</w:t>
            </w:r>
            <w:r>
              <w:rPr>
                <w:rFonts w:hint="default"/>
                <w:color w:val="auto"/>
                <w:vertAlign w:val="superscript"/>
              </w:rPr>
              <w:t>-4</w:t>
            </w:r>
            <w:r>
              <w:rPr>
                <w:rFonts w:hint="default"/>
                <w:color w:val="auto"/>
              </w:rPr>
              <w:t>/a</w:t>
            </w:r>
          </w:p>
        </w:tc>
      </w:tr>
      <w:tr w14:paraId="3935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1B95D9C6">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DB9B38E">
            <w:pPr>
              <w:pStyle w:val="26"/>
              <w:bidi w:val="0"/>
              <w:rPr>
                <w:rFonts w:hint="default"/>
                <w:color w:val="auto"/>
              </w:rPr>
            </w:pPr>
            <w:r>
              <w:rPr>
                <w:rFonts w:hint="default"/>
                <w:color w:val="auto"/>
              </w:rPr>
              <w:t>10min</w:t>
            </w:r>
            <w:r>
              <w:rPr>
                <w:rFonts w:hint="eastAsia"/>
                <w:color w:val="auto"/>
              </w:rPr>
              <w:t>内储罐泄漏完</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0914516">
            <w:pPr>
              <w:pStyle w:val="26"/>
              <w:bidi w:val="0"/>
              <w:rPr>
                <w:rFonts w:hint="default"/>
                <w:color w:val="auto"/>
              </w:rPr>
            </w:pPr>
            <w:r>
              <w:rPr>
                <w:rFonts w:hint="default"/>
                <w:color w:val="auto"/>
              </w:rPr>
              <w:t>5.00×10</w:t>
            </w:r>
            <w:r>
              <w:rPr>
                <w:rFonts w:hint="default"/>
                <w:color w:val="auto"/>
                <w:vertAlign w:val="superscript"/>
              </w:rPr>
              <w:t>-6</w:t>
            </w:r>
            <w:r>
              <w:rPr>
                <w:rFonts w:hint="default"/>
                <w:color w:val="auto"/>
              </w:rPr>
              <w:t>/a</w:t>
            </w:r>
          </w:p>
        </w:tc>
      </w:tr>
      <w:tr w14:paraId="5735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096CBA49">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A5788D7">
            <w:pPr>
              <w:pStyle w:val="26"/>
              <w:bidi w:val="0"/>
              <w:rPr>
                <w:rFonts w:hint="default"/>
                <w:color w:val="auto"/>
              </w:rPr>
            </w:pPr>
            <w:r>
              <w:rPr>
                <w:rFonts w:hint="eastAsia"/>
                <w:color w:val="auto"/>
              </w:rPr>
              <w:t>储罐全破裂</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39B1E79">
            <w:pPr>
              <w:pStyle w:val="26"/>
              <w:bidi w:val="0"/>
              <w:rPr>
                <w:rFonts w:hint="default"/>
                <w:color w:val="auto"/>
              </w:rPr>
            </w:pPr>
            <w:r>
              <w:rPr>
                <w:rFonts w:hint="default"/>
                <w:color w:val="auto"/>
              </w:rPr>
              <w:t>5.00×10</w:t>
            </w:r>
            <w:r>
              <w:rPr>
                <w:rFonts w:hint="default"/>
                <w:color w:val="auto"/>
                <w:vertAlign w:val="superscript"/>
              </w:rPr>
              <w:t>-6</w:t>
            </w:r>
            <w:r>
              <w:rPr>
                <w:rFonts w:hint="default"/>
                <w:color w:val="auto"/>
              </w:rPr>
              <w:t>/a</w:t>
            </w:r>
          </w:p>
        </w:tc>
      </w:tr>
      <w:tr w14:paraId="69F9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E69150E">
            <w:pPr>
              <w:pStyle w:val="26"/>
              <w:bidi w:val="0"/>
              <w:rPr>
                <w:rFonts w:hint="default"/>
                <w:color w:val="auto"/>
              </w:rPr>
            </w:pPr>
            <w:r>
              <w:rPr>
                <w:rFonts w:hint="eastAsia"/>
                <w:color w:val="auto"/>
              </w:rPr>
              <w:t>常压双包容储罐</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CC39F34">
            <w:pPr>
              <w:pStyle w:val="26"/>
              <w:bidi w:val="0"/>
              <w:rPr>
                <w:rFonts w:hint="default"/>
                <w:color w:val="auto"/>
              </w:rPr>
            </w:pPr>
            <w:r>
              <w:rPr>
                <w:rFonts w:hint="eastAsia"/>
                <w:color w:val="auto"/>
              </w:rPr>
              <w:t>泄漏孔径为10mm孔径</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41DDEDB">
            <w:pPr>
              <w:pStyle w:val="26"/>
              <w:bidi w:val="0"/>
              <w:rPr>
                <w:rFonts w:hint="default"/>
                <w:color w:val="auto"/>
              </w:rPr>
            </w:pPr>
            <w:r>
              <w:rPr>
                <w:rFonts w:hint="default"/>
                <w:color w:val="auto"/>
              </w:rPr>
              <w:t>1.00×10</w:t>
            </w:r>
            <w:r>
              <w:rPr>
                <w:rFonts w:hint="default"/>
                <w:color w:val="auto"/>
                <w:vertAlign w:val="superscript"/>
              </w:rPr>
              <w:t>-4</w:t>
            </w:r>
            <w:r>
              <w:rPr>
                <w:rFonts w:hint="default"/>
                <w:color w:val="auto"/>
              </w:rPr>
              <w:t>/a</w:t>
            </w:r>
          </w:p>
        </w:tc>
      </w:tr>
      <w:tr w14:paraId="3D8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05D4FC42">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5B57344">
            <w:pPr>
              <w:pStyle w:val="26"/>
              <w:bidi w:val="0"/>
              <w:rPr>
                <w:rFonts w:hint="default"/>
                <w:color w:val="auto"/>
              </w:rPr>
            </w:pPr>
            <w:r>
              <w:rPr>
                <w:rFonts w:hint="default"/>
                <w:color w:val="auto"/>
              </w:rPr>
              <w:t>10min</w:t>
            </w:r>
            <w:r>
              <w:rPr>
                <w:rFonts w:hint="eastAsia"/>
                <w:color w:val="auto"/>
              </w:rPr>
              <w:t>内储罐泄漏完</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27C8DAC">
            <w:pPr>
              <w:pStyle w:val="26"/>
              <w:bidi w:val="0"/>
              <w:rPr>
                <w:rFonts w:hint="default"/>
                <w:color w:val="auto"/>
              </w:rPr>
            </w:pPr>
            <w:r>
              <w:rPr>
                <w:rFonts w:hint="default"/>
                <w:color w:val="auto"/>
              </w:rPr>
              <w:t>1.25×10</w:t>
            </w:r>
            <w:r>
              <w:rPr>
                <w:rFonts w:hint="default"/>
                <w:color w:val="auto"/>
                <w:vertAlign w:val="superscript"/>
              </w:rPr>
              <w:t>-8</w:t>
            </w:r>
            <w:r>
              <w:rPr>
                <w:rFonts w:hint="default"/>
                <w:color w:val="auto"/>
              </w:rPr>
              <w:t>/a</w:t>
            </w:r>
          </w:p>
        </w:tc>
      </w:tr>
      <w:tr w14:paraId="7346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736E9994">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FEAB04A">
            <w:pPr>
              <w:pStyle w:val="26"/>
              <w:bidi w:val="0"/>
              <w:rPr>
                <w:rFonts w:hint="default"/>
                <w:color w:val="auto"/>
              </w:rPr>
            </w:pPr>
            <w:r>
              <w:rPr>
                <w:rFonts w:hint="eastAsia"/>
                <w:color w:val="auto"/>
              </w:rPr>
              <w:t>储罐全破裂</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B6B406F">
            <w:pPr>
              <w:pStyle w:val="26"/>
              <w:bidi w:val="0"/>
              <w:rPr>
                <w:rFonts w:hint="default"/>
                <w:color w:val="auto"/>
              </w:rPr>
            </w:pPr>
            <w:r>
              <w:rPr>
                <w:rFonts w:hint="default"/>
                <w:color w:val="auto"/>
              </w:rPr>
              <w:t>1.25×10</w:t>
            </w:r>
            <w:r>
              <w:rPr>
                <w:rFonts w:hint="default"/>
                <w:color w:val="auto"/>
                <w:vertAlign w:val="superscript"/>
              </w:rPr>
              <w:t>-8</w:t>
            </w:r>
            <w:r>
              <w:rPr>
                <w:rFonts w:hint="default"/>
                <w:color w:val="auto"/>
              </w:rPr>
              <w:t>/a</w:t>
            </w:r>
          </w:p>
        </w:tc>
      </w:tr>
      <w:tr w14:paraId="5839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E166384">
            <w:pPr>
              <w:pStyle w:val="26"/>
              <w:bidi w:val="0"/>
              <w:rPr>
                <w:rFonts w:hint="default"/>
                <w:color w:val="auto"/>
              </w:rPr>
            </w:pPr>
            <w:r>
              <w:rPr>
                <w:rFonts w:hint="eastAsia"/>
                <w:color w:val="auto"/>
              </w:rPr>
              <w:t>常压全包容储罐</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1282925">
            <w:pPr>
              <w:pStyle w:val="26"/>
              <w:bidi w:val="0"/>
              <w:rPr>
                <w:rFonts w:hint="default"/>
                <w:color w:val="auto"/>
              </w:rPr>
            </w:pPr>
            <w:r>
              <w:rPr>
                <w:rFonts w:hint="eastAsia"/>
                <w:color w:val="auto"/>
              </w:rPr>
              <w:t>储罐全破裂</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3FCA781">
            <w:pPr>
              <w:pStyle w:val="26"/>
              <w:bidi w:val="0"/>
              <w:rPr>
                <w:rFonts w:hint="default"/>
                <w:color w:val="auto"/>
              </w:rPr>
            </w:pPr>
            <w:r>
              <w:rPr>
                <w:rFonts w:hint="default"/>
                <w:color w:val="auto"/>
              </w:rPr>
              <w:t>1.00×10</w:t>
            </w:r>
            <w:r>
              <w:rPr>
                <w:rFonts w:hint="default"/>
                <w:color w:val="auto"/>
                <w:vertAlign w:val="superscript"/>
              </w:rPr>
              <w:t>-8</w:t>
            </w:r>
            <w:r>
              <w:rPr>
                <w:rFonts w:hint="default"/>
                <w:color w:val="auto"/>
              </w:rPr>
              <w:t>/a</w:t>
            </w:r>
          </w:p>
        </w:tc>
      </w:tr>
      <w:tr w14:paraId="0D88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C01584E">
            <w:pPr>
              <w:pStyle w:val="26"/>
              <w:bidi w:val="0"/>
              <w:rPr>
                <w:rFonts w:hint="default"/>
                <w:color w:val="auto"/>
              </w:rPr>
            </w:pPr>
            <w:r>
              <w:rPr>
                <w:rFonts w:hint="eastAsia"/>
                <w:color w:val="auto"/>
              </w:rPr>
              <w:t>内径≤75mm的管道</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A0D06B7">
            <w:pPr>
              <w:pStyle w:val="26"/>
              <w:bidi w:val="0"/>
              <w:rPr>
                <w:rFonts w:hint="default"/>
                <w:color w:val="auto"/>
              </w:rPr>
            </w:pPr>
            <w:r>
              <w:rPr>
                <w:rFonts w:hint="eastAsia"/>
                <w:color w:val="auto"/>
              </w:rPr>
              <w:t>泄漏孔径为10%孔径</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C864956">
            <w:pPr>
              <w:pStyle w:val="26"/>
              <w:bidi w:val="0"/>
              <w:rPr>
                <w:rFonts w:hint="default"/>
                <w:color w:val="auto"/>
              </w:rPr>
            </w:pPr>
            <w:r>
              <w:rPr>
                <w:rFonts w:hint="default"/>
                <w:color w:val="auto"/>
              </w:rPr>
              <w:t>5.00×10</w:t>
            </w:r>
            <w:r>
              <w:rPr>
                <w:rFonts w:hint="default"/>
                <w:color w:val="auto"/>
                <w:vertAlign w:val="superscript"/>
              </w:rPr>
              <w:t>-6</w:t>
            </w:r>
            <w:r>
              <w:rPr>
                <w:rFonts w:hint="default"/>
                <w:color w:val="auto"/>
              </w:rPr>
              <w:t>/</w:t>
            </w:r>
            <w:r>
              <w:rPr>
                <w:rFonts w:hint="eastAsia"/>
                <w:color w:val="auto"/>
              </w:rPr>
              <w:t>（m·a）</w:t>
            </w:r>
          </w:p>
        </w:tc>
      </w:tr>
      <w:tr w14:paraId="7FA7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3591A144">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2350411">
            <w:pPr>
              <w:pStyle w:val="26"/>
              <w:bidi w:val="0"/>
              <w:rPr>
                <w:rFonts w:hint="default"/>
                <w:color w:val="auto"/>
              </w:rPr>
            </w:pPr>
            <w:r>
              <w:rPr>
                <w:rFonts w:hint="eastAsia"/>
                <w:color w:val="auto"/>
              </w:rPr>
              <w:t>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D5ED729">
            <w:pPr>
              <w:pStyle w:val="26"/>
              <w:bidi w:val="0"/>
              <w:rPr>
                <w:rFonts w:hint="default"/>
                <w:color w:val="auto"/>
              </w:rPr>
            </w:pPr>
            <w:r>
              <w:rPr>
                <w:rFonts w:hint="default"/>
                <w:color w:val="auto"/>
              </w:rPr>
              <w:t>1.00×10</w:t>
            </w:r>
            <w:r>
              <w:rPr>
                <w:rFonts w:hint="default"/>
                <w:color w:val="auto"/>
                <w:vertAlign w:val="superscript"/>
              </w:rPr>
              <w:t>-6</w:t>
            </w:r>
            <w:r>
              <w:rPr>
                <w:rFonts w:hint="default"/>
                <w:color w:val="auto"/>
              </w:rPr>
              <w:t>/</w:t>
            </w:r>
            <w:r>
              <w:rPr>
                <w:rFonts w:hint="eastAsia"/>
                <w:color w:val="auto"/>
              </w:rPr>
              <w:t>（m·a）</w:t>
            </w:r>
          </w:p>
        </w:tc>
      </w:tr>
      <w:tr w14:paraId="4C28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8A542B8">
            <w:pPr>
              <w:pStyle w:val="26"/>
              <w:bidi w:val="0"/>
              <w:rPr>
                <w:rFonts w:hint="default"/>
                <w:color w:val="auto"/>
              </w:rPr>
            </w:pPr>
            <w:r>
              <w:rPr>
                <w:rFonts w:hint="default"/>
                <w:color w:val="auto"/>
              </w:rPr>
              <w:t>75mm&lt;</w:t>
            </w:r>
            <w:r>
              <w:rPr>
                <w:rFonts w:hint="eastAsia"/>
                <w:color w:val="auto"/>
              </w:rPr>
              <w:t>内径≤150mm的管道</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E0B3E76">
            <w:pPr>
              <w:pStyle w:val="26"/>
              <w:bidi w:val="0"/>
              <w:rPr>
                <w:rFonts w:hint="default"/>
                <w:color w:val="auto"/>
              </w:rPr>
            </w:pPr>
            <w:r>
              <w:rPr>
                <w:rFonts w:hint="eastAsia"/>
                <w:color w:val="auto"/>
              </w:rPr>
              <w:t>泄漏孔径为10%孔径</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832569D">
            <w:pPr>
              <w:pStyle w:val="26"/>
              <w:bidi w:val="0"/>
              <w:rPr>
                <w:rFonts w:hint="default"/>
                <w:color w:val="auto"/>
              </w:rPr>
            </w:pPr>
            <w:r>
              <w:rPr>
                <w:rFonts w:hint="default"/>
                <w:color w:val="auto"/>
              </w:rPr>
              <w:t>2.00×10</w:t>
            </w:r>
            <w:r>
              <w:rPr>
                <w:rFonts w:hint="default"/>
                <w:color w:val="auto"/>
                <w:vertAlign w:val="superscript"/>
              </w:rPr>
              <w:t>-6</w:t>
            </w:r>
            <w:r>
              <w:rPr>
                <w:rFonts w:hint="default"/>
                <w:color w:val="auto"/>
              </w:rPr>
              <w:t>/</w:t>
            </w:r>
            <w:r>
              <w:rPr>
                <w:rFonts w:hint="eastAsia"/>
                <w:color w:val="auto"/>
              </w:rPr>
              <w:t>（m·a）</w:t>
            </w:r>
          </w:p>
        </w:tc>
      </w:tr>
      <w:tr w14:paraId="2754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148D1BBF">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AE26804">
            <w:pPr>
              <w:pStyle w:val="26"/>
              <w:bidi w:val="0"/>
              <w:rPr>
                <w:rFonts w:hint="default"/>
                <w:color w:val="auto"/>
              </w:rPr>
            </w:pPr>
            <w:r>
              <w:rPr>
                <w:rFonts w:hint="eastAsia"/>
                <w:color w:val="auto"/>
              </w:rPr>
              <w:t>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C1D787B">
            <w:pPr>
              <w:pStyle w:val="26"/>
              <w:bidi w:val="0"/>
              <w:rPr>
                <w:rFonts w:hint="default"/>
                <w:color w:val="auto"/>
              </w:rPr>
            </w:pPr>
            <w:r>
              <w:rPr>
                <w:rFonts w:hint="default"/>
                <w:color w:val="auto"/>
              </w:rPr>
              <w:t>3.00×10</w:t>
            </w:r>
            <w:r>
              <w:rPr>
                <w:rFonts w:hint="default"/>
                <w:color w:val="auto"/>
                <w:vertAlign w:val="superscript"/>
              </w:rPr>
              <w:t>-7</w:t>
            </w:r>
            <w:r>
              <w:rPr>
                <w:rFonts w:hint="default"/>
                <w:color w:val="auto"/>
              </w:rPr>
              <w:t>/</w:t>
            </w:r>
            <w:r>
              <w:rPr>
                <w:rFonts w:hint="eastAsia"/>
                <w:color w:val="auto"/>
              </w:rPr>
              <w:t>（m·a）</w:t>
            </w:r>
          </w:p>
        </w:tc>
      </w:tr>
      <w:tr w14:paraId="41C9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DA29DAA">
            <w:pPr>
              <w:pStyle w:val="26"/>
              <w:bidi w:val="0"/>
              <w:rPr>
                <w:rFonts w:hint="default"/>
                <w:color w:val="auto"/>
              </w:rPr>
            </w:pPr>
            <w:r>
              <w:rPr>
                <w:rFonts w:hint="eastAsia"/>
                <w:color w:val="auto"/>
              </w:rPr>
              <w:t>内径&gt;150mm的管道</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317DFFF">
            <w:pPr>
              <w:pStyle w:val="26"/>
              <w:bidi w:val="0"/>
              <w:rPr>
                <w:rFonts w:hint="default"/>
                <w:color w:val="auto"/>
              </w:rPr>
            </w:pPr>
            <w:r>
              <w:rPr>
                <w:rFonts w:hint="eastAsia"/>
                <w:color w:val="auto"/>
              </w:rPr>
              <w:t>泄漏孔径为10%孔径（最大50mm）</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6DB8222">
            <w:pPr>
              <w:pStyle w:val="26"/>
              <w:bidi w:val="0"/>
              <w:rPr>
                <w:rFonts w:hint="default"/>
                <w:color w:val="auto"/>
              </w:rPr>
            </w:pPr>
            <w:r>
              <w:rPr>
                <w:rFonts w:hint="default"/>
                <w:color w:val="auto"/>
              </w:rPr>
              <w:t>2.40×10</w:t>
            </w:r>
            <w:r>
              <w:rPr>
                <w:rFonts w:hint="default"/>
                <w:color w:val="auto"/>
                <w:vertAlign w:val="superscript"/>
              </w:rPr>
              <w:t>-6</w:t>
            </w:r>
            <w:r>
              <w:rPr>
                <w:rFonts w:hint="default"/>
                <w:color w:val="auto"/>
              </w:rPr>
              <w:t>/</w:t>
            </w:r>
            <w:r>
              <w:rPr>
                <w:rFonts w:hint="eastAsia"/>
                <w:color w:val="auto"/>
              </w:rPr>
              <w:t>（m·a）</w:t>
            </w:r>
          </w:p>
        </w:tc>
      </w:tr>
      <w:tr w14:paraId="3F4F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5EECC269">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1EC77CD">
            <w:pPr>
              <w:pStyle w:val="26"/>
              <w:bidi w:val="0"/>
              <w:rPr>
                <w:rFonts w:hint="default"/>
                <w:color w:val="auto"/>
              </w:rPr>
            </w:pPr>
            <w:r>
              <w:rPr>
                <w:rFonts w:hint="eastAsia"/>
                <w:color w:val="auto"/>
              </w:rPr>
              <w:t>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30316F6">
            <w:pPr>
              <w:pStyle w:val="26"/>
              <w:bidi w:val="0"/>
              <w:rPr>
                <w:rFonts w:hint="default"/>
                <w:color w:val="auto"/>
              </w:rPr>
            </w:pPr>
            <w:r>
              <w:rPr>
                <w:rFonts w:hint="default"/>
                <w:color w:val="auto"/>
              </w:rPr>
              <w:t>1.00×10</w:t>
            </w:r>
            <w:r>
              <w:rPr>
                <w:rFonts w:hint="default"/>
                <w:color w:val="auto"/>
                <w:vertAlign w:val="superscript"/>
              </w:rPr>
              <w:t>-7</w:t>
            </w:r>
            <w:r>
              <w:rPr>
                <w:rFonts w:hint="default"/>
                <w:color w:val="auto"/>
              </w:rPr>
              <w:t>/</w:t>
            </w:r>
            <w:r>
              <w:rPr>
                <w:rFonts w:hint="eastAsia"/>
                <w:color w:val="auto"/>
              </w:rPr>
              <w:t>（m·a）</w:t>
            </w:r>
          </w:p>
        </w:tc>
      </w:tr>
      <w:tr w14:paraId="1C97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38752862">
            <w:pPr>
              <w:pStyle w:val="26"/>
              <w:bidi w:val="0"/>
              <w:rPr>
                <w:rFonts w:hint="default"/>
                <w:color w:val="auto"/>
              </w:rPr>
            </w:pPr>
            <w:r>
              <w:rPr>
                <w:rFonts w:hint="eastAsia"/>
                <w:color w:val="auto"/>
              </w:rPr>
              <w:t>泵体和压缩机</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592530D">
            <w:pPr>
              <w:pStyle w:val="26"/>
              <w:bidi w:val="0"/>
              <w:rPr>
                <w:rFonts w:hint="default"/>
                <w:color w:val="auto"/>
              </w:rPr>
            </w:pPr>
            <w:r>
              <w:rPr>
                <w:rFonts w:hint="eastAsia"/>
                <w:color w:val="auto"/>
              </w:rPr>
              <w:t>泵体和压缩机最大连接管泄漏孔径为10%孔径（最大50mm）</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44E12E1">
            <w:pPr>
              <w:pStyle w:val="26"/>
              <w:bidi w:val="0"/>
              <w:rPr>
                <w:rFonts w:hint="default"/>
                <w:color w:val="auto"/>
              </w:rPr>
            </w:pPr>
            <w:r>
              <w:rPr>
                <w:rFonts w:hint="default"/>
                <w:color w:val="auto"/>
              </w:rPr>
              <w:t>5.00×10</w:t>
            </w:r>
            <w:r>
              <w:rPr>
                <w:rFonts w:hint="default"/>
                <w:color w:val="auto"/>
                <w:vertAlign w:val="superscript"/>
              </w:rPr>
              <w:t>-4</w:t>
            </w:r>
            <w:r>
              <w:rPr>
                <w:rFonts w:hint="default"/>
                <w:color w:val="auto"/>
              </w:rPr>
              <w:t>/a</w:t>
            </w:r>
          </w:p>
        </w:tc>
      </w:tr>
      <w:tr w14:paraId="37A4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7105C187">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3F163D4">
            <w:pPr>
              <w:pStyle w:val="26"/>
              <w:bidi w:val="0"/>
              <w:rPr>
                <w:rFonts w:hint="default"/>
                <w:color w:val="auto"/>
              </w:rPr>
            </w:pPr>
            <w:r>
              <w:rPr>
                <w:rFonts w:hint="eastAsia"/>
                <w:color w:val="auto"/>
              </w:rPr>
              <w:t>泵体和压缩机最大连接管全管径泄漏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080D678B">
            <w:pPr>
              <w:pStyle w:val="26"/>
              <w:bidi w:val="0"/>
              <w:rPr>
                <w:rFonts w:hint="default"/>
                <w:color w:val="auto"/>
              </w:rPr>
            </w:pPr>
            <w:r>
              <w:rPr>
                <w:rFonts w:hint="default"/>
                <w:color w:val="auto"/>
              </w:rPr>
              <w:t>1.00×10</w:t>
            </w:r>
            <w:r>
              <w:rPr>
                <w:rFonts w:hint="default"/>
                <w:color w:val="auto"/>
                <w:vertAlign w:val="superscript"/>
              </w:rPr>
              <w:t>-4</w:t>
            </w:r>
            <w:r>
              <w:rPr>
                <w:rFonts w:hint="default"/>
                <w:color w:val="auto"/>
              </w:rPr>
              <w:t>/a</w:t>
            </w:r>
          </w:p>
        </w:tc>
      </w:tr>
      <w:tr w14:paraId="0154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23F0754">
            <w:pPr>
              <w:pStyle w:val="26"/>
              <w:bidi w:val="0"/>
              <w:rPr>
                <w:rFonts w:hint="default"/>
                <w:color w:val="auto"/>
              </w:rPr>
            </w:pPr>
            <w:r>
              <w:rPr>
                <w:rFonts w:hint="eastAsia"/>
                <w:color w:val="auto"/>
              </w:rPr>
              <w:t>装卸臂</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52C53D18">
            <w:pPr>
              <w:pStyle w:val="26"/>
              <w:bidi w:val="0"/>
              <w:rPr>
                <w:rFonts w:hint="default"/>
                <w:color w:val="auto"/>
              </w:rPr>
            </w:pPr>
            <w:r>
              <w:rPr>
                <w:rFonts w:hint="eastAsia"/>
                <w:color w:val="auto"/>
              </w:rPr>
              <w:t>装卸臂连接管泄漏孔径为10%孔径（最大50mm）</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B9F9189">
            <w:pPr>
              <w:pStyle w:val="26"/>
              <w:bidi w:val="0"/>
              <w:rPr>
                <w:rFonts w:hint="default"/>
                <w:color w:val="auto"/>
              </w:rPr>
            </w:pPr>
            <w:r>
              <w:rPr>
                <w:rFonts w:hint="default"/>
                <w:color w:val="auto"/>
              </w:rPr>
              <w:t>3.00×10</w:t>
            </w:r>
            <w:r>
              <w:rPr>
                <w:rFonts w:hint="default"/>
                <w:color w:val="auto"/>
                <w:vertAlign w:val="superscript"/>
              </w:rPr>
              <w:t>-7</w:t>
            </w:r>
            <w:r>
              <w:rPr>
                <w:rFonts w:hint="default"/>
                <w:color w:val="auto"/>
              </w:rPr>
              <w:t>/h</w:t>
            </w:r>
          </w:p>
        </w:tc>
      </w:tr>
      <w:tr w14:paraId="7922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1156BBF9">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EC8E662">
            <w:pPr>
              <w:pStyle w:val="26"/>
              <w:bidi w:val="0"/>
              <w:rPr>
                <w:rFonts w:hint="default"/>
                <w:color w:val="auto"/>
              </w:rPr>
            </w:pPr>
            <w:r>
              <w:rPr>
                <w:rFonts w:hint="eastAsia"/>
                <w:color w:val="auto"/>
              </w:rPr>
              <w:t>装卸臂全管径泄漏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475CF51C">
            <w:pPr>
              <w:pStyle w:val="26"/>
              <w:bidi w:val="0"/>
              <w:rPr>
                <w:rFonts w:hint="default"/>
                <w:color w:val="auto"/>
              </w:rPr>
            </w:pPr>
            <w:r>
              <w:rPr>
                <w:rFonts w:hint="default"/>
                <w:color w:val="auto"/>
              </w:rPr>
              <w:t>3.00×10</w:t>
            </w:r>
            <w:r>
              <w:rPr>
                <w:rFonts w:hint="default"/>
                <w:color w:val="auto"/>
                <w:vertAlign w:val="superscript"/>
              </w:rPr>
              <w:t>-8</w:t>
            </w:r>
            <w:r>
              <w:rPr>
                <w:rFonts w:hint="default"/>
                <w:color w:val="auto"/>
              </w:rPr>
              <w:t>/h</w:t>
            </w:r>
          </w:p>
        </w:tc>
      </w:tr>
      <w:tr w14:paraId="347A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restar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26FFBA06">
            <w:pPr>
              <w:pStyle w:val="26"/>
              <w:bidi w:val="0"/>
              <w:rPr>
                <w:rFonts w:hint="default"/>
                <w:color w:val="auto"/>
              </w:rPr>
            </w:pPr>
            <w:r>
              <w:rPr>
                <w:rFonts w:hint="eastAsia"/>
                <w:color w:val="auto"/>
              </w:rPr>
              <w:t>装卸软管</w:t>
            </w: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153B9240">
            <w:pPr>
              <w:pStyle w:val="26"/>
              <w:bidi w:val="0"/>
              <w:rPr>
                <w:rFonts w:hint="default"/>
                <w:color w:val="auto"/>
              </w:rPr>
            </w:pPr>
            <w:r>
              <w:rPr>
                <w:rFonts w:hint="eastAsia"/>
                <w:color w:val="auto"/>
              </w:rPr>
              <w:t>装卸软管连接管泄漏孔径为10%孔径（最大50mm）</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602AC26C">
            <w:pPr>
              <w:pStyle w:val="26"/>
              <w:bidi w:val="0"/>
              <w:rPr>
                <w:rFonts w:hint="default"/>
                <w:color w:val="auto"/>
              </w:rPr>
            </w:pPr>
            <w:r>
              <w:rPr>
                <w:rFonts w:hint="default"/>
                <w:color w:val="auto"/>
              </w:rPr>
              <w:t>4.00×10</w:t>
            </w:r>
            <w:r>
              <w:rPr>
                <w:rFonts w:hint="default"/>
                <w:color w:val="auto"/>
                <w:vertAlign w:val="superscript"/>
              </w:rPr>
              <w:t>-5</w:t>
            </w:r>
            <w:r>
              <w:rPr>
                <w:rFonts w:hint="default"/>
                <w:color w:val="auto"/>
              </w:rPr>
              <w:t>/h</w:t>
            </w:r>
          </w:p>
        </w:tc>
      </w:tr>
      <w:tr w14:paraId="5C9F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159" w:type="pct"/>
            <w:vMerge w:val="continue"/>
            <w:tcBorders>
              <w:top w:val="single" w:color="auto" w:sz="4" w:space="0"/>
              <w:left w:val="single" w:color="auto" w:sz="4" w:space="0"/>
              <w:bottom w:val="single" w:color="auto" w:sz="4" w:space="0"/>
              <w:right w:val="single" w:color="auto" w:sz="4" w:space="0"/>
              <w:tl2br w:val="nil"/>
              <w:tr2bl w:val="nil"/>
            </w:tcBorders>
            <w:noWrap w:val="0"/>
            <w:tcMar>
              <w:left w:w="0" w:type="dxa"/>
              <w:right w:w="0" w:type="dxa"/>
            </w:tcMar>
            <w:vAlign w:val="center"/>
          </w:tcPr>
          <w:p w14:paraId="7A273423">
            <w:pPr>
              <w:pStyle w:val="26"/>
              <w:bidi w:val="0"/>
              <w:rPr>
                <w:rFonts w:hint="default"/>
                <w:color w:val="auto"/>
              </w:rPr>
            </w:pPr>
          </w:p>
        </w:tc>
        <w:tc>
          <w:tcPr>
            <w:tcW w:w="2621"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4185EB1">
            <w:pPr>
              <w:pStyle w:val="26"/>
              <w:bidi w:val="0"/>
              <w:rPr>
                <w:rFonts w:hint="default"/>
                <w:color w:val="auto"/>
              </w:rPr>
            </w:pPr>
            <w:r>
              <w:rPr>
                <w:rFonts w:hint="eastAsia"/>
                <w:color w:val="auto"/>
              </w:rPr>
              <w:t>装卸软管全管径泄漏</w:t>
            </w:r>
          </w:p>
        </w:tc>
        <w:tc>
          <w:tcPr>
            <w:tcW w:w="1220" w:type="pct"/>
            <w:tcBorders>
              <w:top w:val="single" w:color="auto" w:sz="4" w:space="0"/>
              <w:left w:val="single" w:color="auto" w:sz="4" w:space="0"/>
              <w:bottom w:val="single" w:color="auto" w:sz="4" w:space="0"/>
              <w:right w:val="single" w:color="auto" w:sz="4" w:space="0"/>
              <w:tl2br w:val="nil"/>
              <w:tr2bl w:val="nil"/>
            </w:tcBorders>
            <w:noWrap/>
            <w:tcMar>
              <w:left w:w="0" w:type="dxa"/>
              <w:right w:w="0" w:type="dxa"/>
            </w:tcMar>
            <w:vAlign w:val="center"/>
          </w:tcPr>
          <w:p w14:paraId="79106D32">
            <w:pPr>
              <w:pStyle w:val="26"/>
              <w:bidi w:val="0"/>
              <w:rPr>
                <w:rFonts w:hint="default"/>
                <w:color w:val="auto"/>
              </w:rPr>
            </w:pPr>
            <w:r>
              <w:rPr>
                <w:rFonts w:hint="default"/>
                <w:color w:val="auto"/>
              </w:rPr>
              <w:t>4.00×10</w:t>
            </w:r>
            <w:r>
              <w:rPr>
                <w:rFonts w:hint="default"/>
                <w:color w:val="auto"/>
                <w:vertAlign w:val="superscript"/>
              </w:rPr>
              <w:t>-6</w:t>
            </w:r>
            <w:r>
              <w:rPr>
                <w:rFonts w:hint="default"/>
                <w:color w:val="auto"/>
              </w:rPr>
              <w:t>/h</w:t>
            </w:r>
          </w:p>
        </w:tc>
      </w:tr>
    </w:tbl>
    <w:p w14:paraId="5FD788F3">
      <w:pPr>
        <w:pStyle w:val="26"/>
        <w:bidi w:val="0"/>
        <w:rPr>
          <w:color w:val="auto"/>
        </w:rPr>
      </w:pPr>
    </w:p>
    <w:p w14:paraId="2BDEAEF3">
      <w:pPr>
        <w:rPr>
          <w:rFonts w:hint="default"/>
          <w:color w:val="auto"/>
          <w:lang w:val="en-US" w:eastAsia="zh-CN"/>
        </w:rPr>
      </w:pPr>
      <w:r>
        <w:rPr>
          <w:rFonts w:hint="eastAsia"/>
          <w:color w:val="auto"/>
          <w:lang w:val="en-US" w:eastAsia="zh-CN"/>
        </w:rPr>
        <w:t>（2）</w:t>
      </w:r>
      <w:r>
        <w:rPr>
          <w:rFonts w:hint="default"/>
          <w:color w:val="auto"/>
          <w:lang w:val="en-US" w:eastAsia="zh-CN"/>
        </w:rPr>
        <w:t>风险事故情形设定</w:t>
      </w:r>
    </w:p>
    <w:p w14:paraId="152EDC87">
      <w:pPr>
        <w:rPr>
          <w:rFonts w:hint="eastAsia"/>
          <w:color w:val="auto"/>
        </w:rPr>
      </w:pPr>
      <w:r>
        <w:rPr>
          <w:rFonts w:hint="eastAsia"/>
          <w:color w:val="auto"/>
        </w:rPr>
        <w:t>本项目的环境风险主要表现在危险化学品运输和贮存事故、生产操作事故、环保设施非正常运转等情况下突发的原料泄漏以及火灾、爆炸等事故引发的次生、伴生污染物对大气、水体和土壤的环境污染</w:t>
      </w:r>
    </w:p>
    <w:p w14:paraId="174BAEB1">
      <w:pPr>
        <w:rPr>
          <w:rFonts w:hint="eastAsia"/>
          <w:color w:val="auto"/>
        </w:rPr>
      </w:pPr>
      <w:r>
        <w:rPr>
          <w:rFonts w:hint="eastAsia"/>
          <w:color w:val="auto"/>
        </w:rPr>
        <w:t>①泄漏风险</w:t>
      </w:r>
    </w:p>
    <w:p w14:paraId="4D047A0B">
      <w:pPr>
        <w:rPr>
          <w:rFonts w:hint="eastAsia"/>
          <w:color w:val="auto"/>
        </w:rPr>
      </w:pPr>
      <w:r>
        <w:rPr>
          <w:rFonts w:hint="eastAsia"/>
          <w:color w:val="auto"/>
        </w:rPr>
        <w:t>硫酸、盐酸等的使用过程中可能存在泄漏风险，一旦发生泄漏，容易环境污染。此类事故发生概率很低，主要原因是违规操作或设施维护不到位造成的。</w:t>
      </w:r>
    </w:p>
    <w:p w14:paraId="255C8135">
      <w:pPr>
        <w:rPr>
          <w:rFonts w:hint="eastAsia"/>
          <w:color w:val="auto"/>
        </w:rPr>
      </w:pPr>
      <w:r>
        <w:rPr>
          <w:rFonts w:hint="eastAsia"/>
          <w:color w:val="auto"/>
        </w:rPr>
        <w:t>②废水治理风险事故</w:t>
      </w:r>
    </w:p>
    <w:p w14:paraId="2EEFB1C1">
      <w:pPr>
        <w:rPr>
          <w:rFonts w:hint="eastAsia"/>
          <w:color w:val="auto"/>
        </w:rPr>
      </w:pPr>
      <w:r>
        <w:rPr>
          <w:rFonts w:hint="eastAsia"/>
          <w:color w:val="auto"/>
        </w:rPr>
        <w:t>企业自建污水处理设施，本项目产生的生产废水经厂区自建污水处理站预处理后，进入 MVR 蒸发处理系统蒸发处理，冷凝水回用。如发生废水的事故性排放主要为厂区污水处理系统由于停电、设备故障等原因，导致废水处理系统出问题，一旦出现污水处理设施故障，可能导致污水处理效率下降或污水处理设施的停止运转，短时性将会有超标的污水直接排入污水管网。</w:t>
      </w:r>
    </w:p>
    <w:p w14:paraId="6420DEDE">
      <w:pPr>
        <w:rPr>
          <w:rFonts w:hint="eastAsia"/>
          <w:color w:val="auto"/>
        </w:rPr>
      </w:pPr>
      <w:r>
        <w:rPr>
          <w:rFonts w:hint="eastAsia"/>
          <w:color w:val="auto"/>
        </w:rPr>
        <w:t>③废气事故性排放</w:t>
      </w:r>
    </w:p>
    <w:p w14:paraId="75F007C8">
      <w:pPr>
        <w:rPr>
          <w:rFonts w:hint="eastAsia"/>
          <w:color w:val="auto"/>
        </w:rPr>
      </w:pPr>
      <w:r>
        <w:rPr>
          <w:rFonts w:hint="eastAsia"/>
          <w:color w:val="auto"/>
        </w:rPr>
        <w:t>主要是由于酸雾处理装置发生故障，发生事故性排放。废气的事故性排放是事故瞬时、酸雾处理装置失灵导致酸雾超标直接排入大气。废气事故性排放会使废气对周边环境的影响变大。</w:t>
      </w:r>
    </w:p>
    <w:p w14:paraId="0FA12871">
      <w:pPr>
        <w:rPr>
          <w:rFonts w:hint="eastAsia"/>
          <w:color w:val="auto"/>
        </w:rPr>
      </w:pPr>
      <w:r>
        <w:rPr>
          <w:rFonts w:hint="eastAsia"/>
          <w:color w:val="auto"/>
        </w:rPr>
        <w:t>④生产加工过程中产生的含油金属屑的收集、储存、回收利用等环节均存在重大安全风险，存在的火灾风险。</w:t>
      </w:r>
    </w:p>
    <w:p w14:paraId="301A5531">
      <w:pPr>
        <w:rPr>
          <w:rFonts w:hint="eastAsia"/>
          <w:color w:val="auto"/>
        </w:rPr>
      </w:pPr>
      <w:r>
        <w:rPr>
          <w:rFonts w:hint="eastAsia"/>
          <w:color w:val="auto"/>
        </w:rPr>
        <w:t>以上事故无论发生哪一种，都将对周边环境和人群造成影响。因此，生产中应加强管理，严格操作规程，加强职工教育，提高工人素质，精心操作，防患于未然，将事故排放控制到最小。</w:t>
      </w:r>
    </w:p>
    <w:p w14:paraId="0EF6A433">
      <w:pPr>
        <w:rPr>
          <w:rFonts w:hint="default"/>
          <w:color w:val="auto"/>
          <w:lang w:val="en-US" w:eastAsia="zh-CN"/>
        </w:rPr>
      </w:pPr>
      <w:r>
        <w:rPr>
          <w:rFonts w:hint="eastAsia"/>
          <w:color w:val="auto"/>
          <w:lang w:val="en-US" w:eastAsia="zh-CN"/>
        </w:rPr>
        <w:t>（3）</w:t>
      </w:r>
      <w:r>
        <w:rPr>
          <w:rFonts w:hint="default"/>
          <w:color w:val="auto"/>
          <w:lang w:val="en-US" w:eastAsia="zh-CN"/>
        </w:rPr>
        <w:t>最大可信事故设定</w:t>
      </w:r>
    </w:p>
    <w:p w14:paraId="6F8A7DDD">
      <w:pPr>
        <w:rPr>
          <w:rFonts w:hint="eastAsia"/>
          <w:color w:val="auto"/>
        </w:rPr>
      </w:pPr>
      <w:r>
        <w:rPr>
          <w:rFonts w:hint="eastAsia"/>
          <w:color w:val="auto"/>
        </w:rPr>
        <w:t>根据《建设项目环境风险评价技术导则》（HJ169-2018），最大可信事故是基于经验统计分析，在一定可能性区间内发生的事故中，造成环境危害最严重的事故。火灾爆炸风险是化工生产企业安全评价的重要内容，但一般不作为环境风险评价的主要内容。因此，对于本项目最大可信事故的类型是酸性物质泄漏。</w:t>
      </w:r>
    </w:p>
    <w:p w14:paraId="1494FA32">
      <w:pPr>
        <w:pStyle w:val="4"/>
        <w:bidi w:val="0"/>
        <w:rPr>
          <w:rFonts w:hint="eastAsia"/>
          <w:color w:val="auto"/>
          <w:lang w:eastAsia="zh-CN"/>
        </w:rPr>
      </w:pPr>
      <w:bookmarkStart w:id="312" w:name="_Toc1617"/>
      <w:r>
        <w:rPr>
          <w:rFonts w:hint="eastAsia"/>
          <w:color w:val="auto"/>
          <w:lang w:val="en-US" w:eastAsia="zh-CN"/>
        </w:rPr>
        <w:t>风险预测与评价</w:t>
      </w:r>
      <w:bookmarkEnd w:id="312"/>
    </w:p>
    <w:bookmarkEnd w:id="310"/>
    <w:bookmarkEnd w:id="311"/>
    <w:p w14:paraId="29D72CE7">
      <w:pPr>
        <w:pStyle w:val="5"/>
        <w:bidi w:val="0"/>
        <w:rPr>
          <w:rFonts w:hint="eastAsia"/>
          <w:lang w:val="en-US" w:eastAsia="zh-CN"/>
        </w:rPr>
      </w:pPr>
      <w:r>
        <w:rPr>
          <w:rFonts w:hint="eastAsia"/>
          <w:lang w:val="en-US" w:eastAsia="zh-CN"/>
        </w:rPr>
        <w:t>大气环境风险预测与评价</w:t>
      </w:r>
    </w:p>
    <w:p w14:paraId="6D62EF8E">
      <w:pPr>
        <w:rPr>
          <w:rFonts w:hint="eastAsia"/>
          <w:color w:val="auto"/>
          <w:lang w:val="en-US" w:eastAsia="zh-CN"/>
        </w:rPr>
      </w:pPr>
      <w:r>
        <w:rPr>
          <w:rFonts w:hint="eastAsia"/>
          <w:color w:val="auto"/>
          <w:lang w:val="en-US" w:eastAsia="zh-CN"/>
        </w:rPr>
        <w:t>化学品仓库硫酸储桶泄漏在最不利气象条件下到达毒性终点浓度-1 的最远影响距离为 57.44m ，到达毒性终点浓度-2 的最远影响距离为 218.89m ，在此范围内的人群可能会出现身体不适或其他症状。离项目区最近的保护目标华讯宿舍不超标。因此，本项目突发硫酸泄漏环境事件时，应及时清理泄漏物质，必要时要求周边居民采取防护措施，对环境影响较小。</w:t>
      </w:r>
    </w:p>
    <w:p w14:paraId="2A87F18C">
      <w:pPr>
        <w:rPr>
          <w:rFonts w:hint="eastAsia"/>
          <w:color w:val="auto"/>
          <w:lang w:val="en-US" w:eastAsia="zh-CN"/>
        </w:rPr>
      </w:pPr>
      <w:r>
        <w:rPr>
          <w:rFonts w:hint="eastAsia"/>
          <w:color w:val="auto"/>
          <w:lang w:val="en-US" w:eastAsia="zh-CN"/>
        </w:rPr>
        <w:t xml:space="preserve"> 伴生及次生分析评估</w:t>
      </w:r>
    </w:p>
    <w:p w14:paraId="322B7E8C">
      <w:pPr>
        <w:rPr>
          <w:rFonts w:hint="eastAsia"/>
          <w:color w:val="auto"/>
          <w:lang w:val="en-US" w:eastAsia="zh-CN"/>
        </w:rPr>
      </w:pPr>
      <w:r>
        <w:rPr>
          <w:rFonts w:hint="eastAsia"/>
          <w:color w:val="auto"/>
          <w:lang w:val="en-US" w:eastAsia="zh-CN"/>
        </w:rPr>
        <w:t>（1）可燃物燃烧</w:t>
      </w:r>
    </w:p>
    <w:p w14:paraId="66622C63">
      <w:pPr>
        <w:rPr>
          <w:rFonts w:hint="eastAsia"/>
          <w:color w:val="auto"/>
          <w:lang w:val="en-US" w:eastAsia="zh-CN"/>
        </w:rPr>
      </w:pPr>
      <w:r>
        <w:rPr>
          <w:rFonts w:hint="eastAsia"/>
          <w:color w:val="auto"/>
          <w:lang w:val="en-US" w:eastAsia="zh-CN"/>
        </w:rPr>
        <w:t>可燃物如发生泄漏事故，泄漏物遇到火源被点燃，发生地面池火灾。池火灾一旦发生，除对处于池火中的人员和设备设施的安全构成严重威胁外，也会对周围的人员和设备造成损换损坏。在热辐射的作用下，受到伤害或破坏的目标可能是人、设备、设施、厂房、建筑物等。</w:t>
      </w:r>
    </w:p>
    <w:p w14:paraId="49981EC9">
      <w:pPr>
        <w:rPr>
          <w:rFonts w:hint="eastAsia"/>
          <w:color w:val="auto"/>
          <w:lang w:val="en-US" w:eastAsia="zh-CN"/>
        </w:rPr>
      </w:pPr>
      <w:r>
        <w:rPr>
          <w:rFonts w:hint="eastAsia"/>
          <w:color w:val="auto"/>
          <w:lang w:val="en-US" w:eastAsia="zh-CN"/>
        </w:rPr>
        <w:t>本项目原料采用包装桶，易燃液体泄漏引发池火火灾事故，其直接影响存在于物资储存场所附近，对厂外直接影响较小，一般不会造成人员伤亡。故本次评价不对火灾事故的直接影响进行详细定量分析。</w:t>
      </w:r>
    </w:p>
    <w:p w14:paraId="6821FE24">
      <w:pPr>
        <w:rPr>
          <w:rFonts w:hint="eastAsia"/>
          <w:color w:val="auto"/>
          <w:lang w:val="en-US" w:eastAsia="zh-CN"/>
        </w:rPr>
      </w:pPr>
      <w:r>
        <w:rPr>
          <w:rFonts w:hint="eastAsia"/>
          <w:color w:val="auto"/>
          <w:lang w:val="en-US" w:eastAsia="zh-CN"/>
        </w:rPr>
        <w:t>当发生泄漏火灾时应重点加强厂内危险化学品仓库附近人员的安全和风险防范。应立即采取风险应急措施，并在日常生产中加强风险源监控，以防范风险于未然。</w:t>
      </w:r>
    </w:p>
    <w:p w14:paraId="40D7C1FD">
      <w:pPr>
        <w:rPr>
          <w:rFonts w:hint="eastAsia"/>
          <w:color w:val="auto"/>
          <w:lang w:val="en-US" w:eastAsia="zh-CN"/>
        </w:rPr>
      </w:pPr>
      <w:r>
        <w:rPr>
          <w:rFonts w:hint="eastAsia"/>
          <w:color w:val="auto"/>
          <w:lang w:val="en-US" w:eastAsia="zh-CN"/>
        </w:rPr>
        <w:t>火灾发生后，未完全燃烧产生的 CO 、颗粒物等污染物对周围大气环境将造成短暂而严重的影响；由于厂内储存少，池火持续时间短，不会发生长时间不利影响；池火伴生废气污染可能造成人体呼吸道、肺部不适、病变，过多吸附可能造成人体中毒，发生头晕、呕吐等症状；但一般不会造成人员重伤、死亡的严重事故发生。</w:t>
      </w:r>
    </w:p>
    <w:p w14:paraId="65FAD34A">
      <w:pPr>
        <w:rPr>
          <w:rFonts w:hint="eastAsia"/>
          <w:color w:val="auto"/>
          <w:lang w:val="en-US" w:eastAsia="zh-CN"/>
        </w:rPr>
      </w:pPr>
      <w:r>
        <w:rPr>
          <w:rFonts w:hint="eastAsia"/>
          <w:color w:val="auto"/>
          <w:lang w:val="en-US" w:eastAsia="zh-CN"/>
        </w:rPr>
        <w:t>由于伴生事故对周围大气环境敏感人群，特别是老人、儿童、学生影响程度很大，故事故发生后应立即通知周围环境敏感目标内人群做好隔离、防护工作；尽量处于室内。出现不适症状应及时就医。</w:t>
      </w:r>
    </w:p>
    <w:p w14:paraId="785ACD64">
      <w:pPr>
        <w:pStyle w:val="5"/>
        <w:bidi w:val="0"/>
        <w:rPr>
          <w:rFonts w:hint="eastAsia"/>
          <w:lang w:val="en-US" w:eastAsia="zh-CN"/>
        </w:rPr>
      </w:pPr>
      <w:r>
        <w:rPr>
          <w:rFonts w:hint="eastAsia"/>
          <w:lang w:val="en-US" w:eastAsia="zh-CN"/>
        </w:rPr>
        <w:t>地表水环境风险评价</w:t>
      </w:r>
    </w:p>
    <w:p w14:paraId="66120756">
      <w:pPr>
        <w:rPr>
          <w:rFonts w:hint="eastAsia"/>
          <w:color w:val="auto"/>
          <w:lang w:val="en-US" w:eastAsia="zh-CN"/>
        </w:rPr>
      </w:pPr>
      <w:r>
        <w:rPr>
          <w:rFonts w:hint="eastAsia"/>
          <w:color w:val="auto"/>
          <w:lang w:val="en-US" w:eastAsia="zh-CN"/>
        </w:rPr>
        <w:t>本项目生活污水排入昆山建邦环境投资有限公司花桥污水处理厂处理，尾水排入小瓦浦河。生产废水经厂内自建污水处理站预处理后，经 MVR 蒸发处理后，冷凝水回用，生产废水不外排；故生产废水不会直接排入水体，对周边水体造成直接影响。</w:t>
      </w:r>
    </w:p>
    <w:p w14:paraId="746E93F6">
      <w:pPr>
        <w:rPr>
          <w:rFonts w:hint="eastAsia"/>
          <w:color w:val="auto"/>
          <w:lang w:val="en-US" w:eastAsia="zh-CN"/>
        </w:rPr>
      </w:pPr>
      <w:r>
        <w:rPr>
          <w:rFonts w:hint="eastAsia"/>
          <w:color w:val="auto"/>
          <w:lang w:val="en-US" w:eastAsia="zh-CN"/>
        </w:rPr>
        <w:t>结合风险识别及污染物迁移途径分析，本项目主要风险为化学品暂存库原料桶发生泄漏事故，现有化学品暂存库化学品原料区均设置围堰，围堰内部地面已作硬化、防渗处理；若发生泄漏，可以将泄漏的危险化学品等截留在围堰内部，而且厂内已设置有事故应急池，足够消纳泄漏的危险物质；若不慎进入雨水系统，厂内雨水排口配套建设有截断阀门，通过关闭阀门将泄漏物料截流在雨水管内。因此，事故泄漏的危险化学品不会流出厂区外，更不会流入区域地表水体。</w:t>
      </w:r>
    </w:p>
    <w:p w14:paraId="7B3E1093">
      <w:pPr>
        <w:rPr>
          <w:rFonts w:hint="eastAsia"/>
          <w:color w:val="auto"/>
          <w:lang w:val="en-US" w:eastAsia="zh-CN"/>
        </w:rPr>
      </w:pPr>
      <w:r>
        <w:rPr>
          <w:rFonts w:hint="eastAsia"/>
          <w:color w:val="auto"/>
          <w:lang w:val="en-US" w:eastAsia="zh-CN"/>
        </w:rPr>
        <w:t>通过以上措施将有效避免泄漏事故对外环境水体的影响，建设单位主要通过加强日常防范措施和事故应急措施，保持事故池内无积水，以避免因常量不足引起的外排污水事故的发生。</w:t>
      </w:r>
    </w:p>
    <w:p w14:paraId="3E59DA72">
      <w:pPr>
        <w:pStyle w:val="5"/>
        <w:bidi w:val="0"/>
        <w:rPr>
          <w:rFonts w:hint="eastAsia"/>
          <w:lang w:val="en-US" w:eastAsia="zh-CN"/>
        </w:rPr>
      </w:pPr>
      <w:r>
        <w:rPr>
          <w:rFonts w:hint="eastAsia"/>
          <w:lang w:val="en-US" w:eastAsia="zh-CN"/>
        </w:rPr>
        <w:t>地下水环境风险评价</w:t>
      </w:r>
    </w:p>
    <w:p w14:paraId="77B52EE3">
      <w:pPr>
        <w:rPr>
          <w:rFonts w:hint="eastAsia"/>
          <w:color w:val="auto"/>
          <w:lang w:val="en-US" w:eastAsia="zh-CN"/>
        </w:rPr>
      </w:pPr>
      <w:r>
        <w:rPr>
          <w:rFonts w:hint="eastAsia"/>
          <w:color w:val="auto"/>
          <w:lang w:val="en-US" w:eastAsia="zh-CN"/>
        </w:rPr>
        <w:t>本项目在生产车间、化学品暂存库、危废暂存仓库等重点区域进行了防渗处理，并设置收集沟、收集槽等配套工程；另外对全厂工艺、管道设备、污水储存及处理构筑物采取有效的污染控制措施，将污染物跑冒滴漏降到最低。</w:t>
      </w:r>
    </w:p>
    <w:p w14:paraId="23743837">
      <w:pPr>
        <w:rPr>
          <w:rFonts w:hint="eastAsia"/>
          <w:color w:val="auto"/>
          <w:lang w:val="en-US" w:eastAsia="zh-CN"/>
        </w:rPr>
      </w:pPr>
      <w:r>
        <w:rPr>
          <w:rFonts w:hint="eastAsia"/>
          <w:color w:val="auto"/>
          <w:lang w:val="en-US" w:eastAsia="zh-CN"/>
        </w:rPr>
        <w:t>本项目可能的地下水风险事故为污水站废水池底部发生破损，导致其中污水泄漏进入地下水产生影响。本项目地下水风险预测分析与评价参考地下水预测评价章节。本项目在非正常工况下，污水渗漏对地下水环境影响较小。</w:t>
      </w:r>
    </w:p>
    <w:p w14:paraId="6DB82720">
      <w:pPr>
        <w:pStyle w:val="3"/>
        <w:rPr>
          <w:color w:val="auto"/>
        </w:rPr>
      </w:pPr>
      <w:bookmarkStart w:id="313" w:name="_Toc9644"/>
      <w:bookmarkStart w:id="314" w:name="_Toc8489"/>
      <w:r>
        <w:rPr>
          <w:rFonts w:hint="eastAsia"/>
          <w:color w:val="auto"/>
        </w:rPr>
        <w:t>生态环境影响分析</w:t>
      </w:r>
      <w:bookmarkEnd w:id="313"/>
      <w:bookmarkEnd w:id="314"/>
    </w:p>
    <w:p w14:paraId="673F2E26">
      <w:pPr>
        <w:rPr>
          <w:rFonts w:hint="eastAsia"/>
          <w:color w:val="auto"/>
        </w:rPr>
      </w:pPr>
      <w:r>
        <w:rPr>
          <w:rFonts w:hint="eastAsia"/>
          <w:color w:val="auto"/>
        </w:rPr>
        <w:t>本项目在现有厂区内进行</w:t>
      </w:r>
      <w:r>
        <w:rPr>
          <w:rFonts w:hint="eastAsia"/>
          <w:color w:val="auto"/>
          <w:lang w:val="en-US" w:eastAsia="zh-CN"/>
        </w:rPr>
        <w:t>建设</w:t>
      </w:r>
      <w:r>
        <w:rPr>
          <w:rFonts w:hint="eastAsia"/>
          <w:color w:val="auto"/>
        </w:rPr>
        <w:t>，施工期不会破坏项目所在地内的植被、景观等，不涉及临时占用土地及水域。本项目对周边生态系统的影响因素主要是“三废”污染物正常以及可能发生的非正常排放造成的影响，影响对象主要是区内空气质量、水环境质量、地下水环境质量、土壤环境质量等。项目建设主要影响因素、影响对象和影响后果如下表。</w:t>
      </w:r>
    </w:p>
    <w:p w14:paraId="5903D4FB">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6.9</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生态环境影响识别表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49"/>
        <w:gridCol w:w="2503"/>
        <w:gridCol w:w="1931"/>
        <w:gridCol w:w="2833"/>
      </w:tblGrid>
      <w:tr w14:paraId="0E59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31" w:type="pct"/>
            <w:tcMar>
              <w:left w:w="0" w:type="dxa"/>
              <w:right w:w="0" w:type="dxa"/>
            </w:tcMar>
            <w:vAlign w:val="center"/>
          </w:tcPr>
          <w:p w14:paraId="03444E8F">
            <w:pPr>
              <w:pStyle w:val="36"/>
              <w:bidi w:val="0"/>
              <w:rPr>
                <w:rFonts w:hint="eastAsia"/>
                <w:color w:val="auto"/>
              </w:rPr>
            </w:pPr>
            <w:r>
              <w:rPr>
                <w:rFonts w:hint="eastAsia"/>
                <w:color w:val="auto"/>
              </w:rPr>
              <w:t>影响时段</w:t>
            </w:r>
          </w:p>
        </w:tc>
        <w:tc>
          <w:tcPr>
            <w:tcW w:w="1505" w:type="pct"/>
            <w:tcMar>
              <w:left w:w="0" w:type="dxa"/>
              <w:right w:w="0" w:type="dxa"/>
            </w:tcMar>
            <w:vAlign w:val="center"/>
          </w:tcPr>
          <w:p w14:paraId="27F593F4">
            <w:pPr>
              <w:pStyle w:val="36"/>
              <w:bidi w:val="0"/>
              <w:rPr>
                <w:rFonts w:hint="eastAsia"/>
                <w:color w:val="auto"/>
              </w:rPr>
            </w:pPr>
            <w:r>
              <w:rPr>
                <w:rFonts w:hint="eastAsia"/>
                <w:color w:val="auto"/>
              </w:rPr>
              <w:t>影响因子</w:t>
            </w:r>
          </w:p>
        </w:tc>
        <w:tc>
          <w:tcPr>
            <w:tcW w:w="1161" w:type="pct"/>
            <w:tcMar>
              <w:left w:w="0" w:type="dxa"/>
              <w:right w:w="0" w:type="dxa"/>
            </w:tcMar>
            <w:vAlign w:val="center"/>
          </w:tcPr>
          <w:p w14:paraId="188D0D70">
            <w:pPr>
              <w:pStyle w:val="36"/>
              <w:bidi w:val="0"/>
              <w:rPr>
                <w:rFonts w:hint="eastAsia"/>
                <w:color w:val="auto"/>
              </w:rPr>
            </w:pPr>
            <w:r>
              <w:rPr>
                <w:rFonts w:hint="eastAsia"/>
                <w:color w:val="auto"/>
              </w:rPr>
              <w:t>影响对象</w:t>
            </w:r>
          </w:p>
        </w:tc>
        <w:tc>
          <w:tcPr>
            <w:tcW w:w="1703" w:type="pct"/>
            <w:tcMar>
              <w:left w:w="0" w:type="dxa"/>
              <w:right w:w="0" w:type="dxa"/>
            </w:tcMar>
            <w:vAlign w:val="center"/>
          </w:tcPr>
          <w:p w14:paraId="74B31D5A">
            <w:pPr>
              <w:pStyle w:val="36"/>
              <w:bidi w:val="0"/>
              <w:rPr>
                <w:rFonts w:hint="eastAsia"/>
                <w:color w:val="auto"/>
              </w:rPr>
            </w:pPr>
            <w:r>
              <w:rPr>
                <w:rFonts w:hint="eastAsia"/>
                <w:color w:val="auto"/>
              </w:rPr>
              <w:t>影响效应</w:t>
            </w:r>
          </w:p>
        </w:tc>
      </w:tr>
      <w:tr w14:paraId="4526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31" w:type="pct"/>
            <w:tcMar>
              <w:left w:w="0" w:type="dxa"/>
              <w:right w:w="0" w:type="dxa"/>
            </w:tcMar>
            <w:vAlign w:val="center"/>
          </w:tcPr>
          <w:p w14:paraId="0A9CAD80">
            <w:pPr>
              <w:pStyle w:val="26"/>
              <w:bidi w:val="0"/>
              <w:rPr>
                <w:rFonts w:hint="eastAsia"/>
                <w:color w:val="auto"/>
              </w:rPr>
            </w:pPr>
            <w:r>
              <w:rPr>
                <w:rFonts w:hint="eastAsia"/>
                <w:color w:val="auto"/>
              </w:rPr>
              <w:t>运营期</w:t>
            </w:r>
          </w:p>
        </w:tc>
        <w:tc>
          <w:tcPr>
            <w:tcW w:w="1505" w:type="pct"/>
            <w:tcMar>
              <w:left w:w="0" w:type="dxa"/>
              <w:right w:w="0" w:type="dxa"/>
            </w:tcMar>
            <w:vAlign w:val="center"/>
          </w:tcPr>
          <w:p w14:paraId="165E63B9">
            <w:pPr>
              <w:pStyle w:val="26"/>
              <w:bidi w:val="0"/>
              <w:rPr>
                <w:rFonts w:hint="eastAsia"/>
                <w:color w:val="auto"/>
              </w:rPr>
            </w:pPr>
            <w:r>
              <w:rPr>
                <w:rFonts w:hint="eastAsia"/>
                <w:color w:val="auto"/>
              </w:rPr>
              <w:t>大气污染物排放、水污染物排放、污水站渗漏等</w:t>
            </w:r>
          </w:p>
        </w:tc>
        <w:tc>
          <w:tcPr>
            <w:tcW w:w="1161" w:type="pct"/>
            <w:tcMar>
              <w:left w:w="0" w:type="dxa"/>
              <w:right w:w="0" w:type="dxa"/>
            </w:tcMar>
            <w:vAlign w:val="center"/>
          </w:tcPr>
          <w:p w14:paraId="645B96F6">
            <w:pPr>
              <w:pStyle w:val="26"/>
              <w:bidi w:val="0"/>
              <w:rPr>
                <w:rFonts w:hint="eastAsia"/>
                <w:color w:val="auto"/>
              </w:rPr>
            </w:pPr>
            <w:r>
              <w:rPr>
                <w:rFonts w:hint="eastAsia"/>
                <w:color w:val="auto"/>
              </w:rPr>
              <w:t>空气质量、地表水环境质量、地下水及土壤环境质量等</w:t>
            </w:r>
          </w:p>
        </w:tc>
        <w:tc>
          <w:tcPr>
            <w:tcW w:w="1703" w:type="pct"/>
            <w:tcMar>
              <w:left w:w="0" w:type="dxa"/>
              <w:right w:w="0" w:type="dxa"/>
            </w:tcMar>
            <w:vAlign w:val="center"/>
          </w:tcPr>
          <w:p w14:paraId="396C9B36">
            <w:pPr>
              <w:pStyle w:val="26"/>
              <w:bidi w:val="0"/>
              <w:rPr>
                <w:rFonts w:hint="eastAsia"/>
                <w:color w:val="auto"/>
              </w:rPr>
            </w:pPr>
            <w:r>
              <w:rPr>
                <w:rFonts w:hint="eastAsia"/>
                <w:color w:val="auto"/>
              </w:rPr>
              <w:t>废气非正常排放可能导致空气质量、地表水环境质量下降，污水站渗漏可能导致地下水及土壤环境质量下降</w:t>
            </w:r>
          </w:p>
        </w:tc>
      </w:tr>
    </w:tbl>
    <w:p w14:paraId="2B59F0C2">
      <w:pPr>
        <w:rPr>
          <w:rFonts w:hint="eastAsia"/>
          <w:color w:val="auto"/>
        </w:rPr>
      </w:pPr>
      <w:r>
        <w:rPr>
          <w:rFonts w:hint="eastAsia"/>
          <w:color w:val="auto"/>
        </w:rPr>
        <w:t>根据本项目各环境要素的预测评价结论，在落实本次环评提出的各项污染防治措施后，本项目运营期各类污染物可做到达标排放。环境影响预测结果表明，正常工况下，本项目的运行不会降低项目所在区域的大气、地表水、声环境功能；采取有效的防渗措施后，对地下水及土壤环境影响较小；采取有效的事故风险防范和应急措施后，可以将环境风险控制在可接受水平。总体而言，本项目对生态环境的影响程度可接受。</w:t>
      </w:r>
    </w:p>
    <w:p w14:paraId="3DB228D8">
      <w:pPr>
        <w:pStyle w:val="2"/>
        <w:rPr>
          <w:color w:val="auto"/>
        </w:rPr>
      </w:pPr>
      <w:bookmarkStart w:id="315" w:name="_Toc2998"/>
      <w:bookmarkStart w:id="316" w:name="_Toc4446"/>
      <w:r>
        <w:rPr>
          <w:rFonts w:hint="eastAsia"/>
          <w:color w:val="auto"/>
        </w:rPr>
        <w:t>环境保护措施及其可行性论证</w:t>
      </w:r>
      <w:bookmarkEnd w:id="315"/>
      <w:bookmarkEnd w:id="316"/>
    </w:p>
    <w:p w14:paraId="76D5B54A">
      <w:pPr>
        <w:pStyle w:val="3"/>
        <w:rPr>
          <w:color w:val="auto"/>
        </w:rPr>
      </w:pPr>
      <w:bookmarkStart w:id="317" w:name="_Toc21302"/>
      <w:bookmarkStart w:id="318" w:name="_Toc8248"/>
      <w:r>
        <w:rPr>
          <w:rFonts w:hint="eastAsia"/>
          <w:color w:val="auto"/>
        </w:rPr>
        <w:t>废气处理措施可行性分析</w:t>
      </w:r>
      <w:bookmarkEnd w:id="317"/>
      <w:bookmarkEnd w:id="318"/>
    </w:p>
    <w:p w14:paraId="7F98DB61">
      <w:pPr>
        <w:pStyle w:val="4"/>
        <w:rPr>
          <w:color w:val="auto"/>
        </w:rPr>
      </w:pPr>
      <w:bookmarkStart w:id="319" w:name="_Toc17416"/>
      <w:bookmarkStart w:id="320" w:name="_Toc12331"/>
      <w:r>
        <w:rPr>
          <w:rFonts w:hint="eastAsia"/>
          <w:color w:val="auto"/>
        </w:rPr>
        <w:t>有组织废气</w:t>
      </w:r>
      <w:bookmarkEnd w:id="319"/>
      <w:bookmarkEnd w:id="320"/>
    </w:p>
    <w:p w14:paraId="2625100D">
      <w:pPr>
        <w:pStyle w:val="5"/>
        <w:ind w:firstLine="301"/>
        <w:rPr>
          <w:color w:val="auto"/>
        </w:rPr>
      </w:pPr>
      <w:r>
        <w:rPr>
          <w:rFonts w:hint="eastAsia"/>
          <w:color w:val="auto"/>
        </w:rPr>
        <w:t>废气收集、处理工艺概况</w:t>
      </w:r>
    </w:p>
    <w:p w14:paraId="38B0E083">
      <w:pPr>
        <w:rPr>
          <w:rFonts w:hint="eastAsia"/>
          <w:color w:val="auto"/>
          <w:lang w:val="en-US" w:eastAsia="zh-CN"/>
        </w:rPr>
      </w:pPr>
      <w:r>
        <w:rPr>
          <w:rFonts w:hint="eastAsia"/>
          <w:color w:val="auto"/>
          <w:lang w:val="en-US" w:eastAsia="zh-CN"/>
        </w:rPr>
        <w:t>本项目凹印版镀铜废气（G1-6）采用两套“两级碱喷淋净化设备”处理后合并排放；</w:t>
      </w:r>
    </w:p>
    <w:p w14:paraId="583FA585">
      <w:pPr>
        <w:rPr>
          <w:rFonts w:hint="eastAsia"/>
          <w:color w:val="auto"/>
          <w:lang w:val="en-US" w:eastAsia="zh-CN"/>
        </w:rPr>
      </w:pPr>
      <w:r>
        <w:rPr>
          <w:rFonts w:hint="eastAsia"/>
          <w:color w:val="auto"/>
          <w:lang w:val="en-US" w:eastAsia="zh-CN"/>
        </w:rPr>
        <w:t>凹印版镀铬废气采用两套“铬槽小回收+两级碱喷淋净化设备”处理后合并排放；其中三层铬酸雾（G1-7）对应处理设施和磁性刀版、热压模板镀铬废气（G2-5、G3-6）共用；</w:t>
      </w:r>
    </w:p>
    <w:p w14:paraId="2619A39E">
      <w:pPr>
        <w:rPr>
          <w:rFonts w:hint="eastAsia"/>
          <w:color w:val="auto"/>
          <w:lang w:val="en-US" w:eastAsia="zh-CN"/>
        </w:rPr>
      </w:pPr>
      <w:r>
        <w:rPr>
          <w:rFonts w:hint="eastAsia"/>
          <w:color w:val="auto"/>
          <w:lang w:val="en-US" w:eastAsia="zh-CN"/>
        </w:rPr>
        <w:t>凹印版打样、擦拭废气（G1-8）、磁性横切刀版UV打印及曝光废气（G2-1、G2-2）采用1套两级活性炭净化设备出处理后排放；</w:t>
      </w:r>
    </w:p>
    <w:p w14:paraId="696A3F89">
      <w:pPr>
        <w:rPr>
          <w:rFonts w:hint="eastAsia"/>
          <w:color w:val="auto"/>
          <w:lang w:val="en-US" w:eastAsia="zh-CN"/>
        </w:rPr>
      </w:pPr>
      <w:r>
        <w:rPr>
          <w:rFonts w:hint="eastAsia"/>
          <w:color w:val="auto"/>
          <w:lang w:val="en-US" w:eastAsia="zh-CN"/>
        </w:rPr>
        <w:t>热压模板蚀刻废气（G3-5）</w:t>
      </w:r>
      <w:r>
        <w:rPr>
          <w:rFonts w:hint="eastAsia"/>
          <w:color w:val="auto"/>
          <w:lang w:val="en-US" w:eastAsia="zh-CN"/>
        </w:rPr>
        <w:tab/>
      </w:r>
      <w:r>
        <w:rPr>
          <w:rFonts w:hint="eastAsia"/>
          <w:color w:val="auto"/>
          <w:lang w:val="en-US" w:eastAsia="zh-CN"/>
        </w:rPr>
        <w:t>、磁性横切刀版腐蚀废气（G2-3）</w:t>
      </w:r>
      <w:r>
        <w:rPr>
          <w:rFonts w:hint="eastAsia"/>
          <w:color w:val="auto"/>
          <w:lang w:val="en-US" w:eastAsia="zh-CN"/>
        </w:rPr>
        <w:tab/>
      </w:r>
      <w:r>
        <w:rPr>
          <w:rFonts w:hint="eastAsia"/>
          <w:color w:val="auto"/>
          <w:lang w:val="en-US" w:eastAsia="zh-CN"/>
        </w:rPr>
        <w:t>与现有压纹辊镀铜废气一并经1套新建两级碱喷淋净化设备处理；</w:t>
      </w:r>
    </w:p>
    <w:p w14:paraId="7E558B22">
      <w:pPr>
        <w:rPr>
          <w:rFonts w:hint="default"/>
          <w:color w:val="auto"/>
          <w:lang w:val="en-US" w:eastAsia="zh-CN"/>
        </w:rPr>
      </w:pPr>
      <w:r>
        <w:rPr>
          <w:rFonts w:hint="default"/>
          <w:color w:val="auto"/>
          <w:lang w:val="en-US" w:eastAsia="zh-CN"/>
        </w:rPr>
        <w:t>下料切割、打号等机加工过程产生颗粒物废气（G1-2、G1-4、G2-5）</w:t>
      </w:r>
      <w:r>
        <w:rPr>
          <w:rFonts w:hint="eastAsia"/>
          <w:color w:val="auto"/>
          <w:lang w:val="en-US" w:eastAsia="zh-CN"/>
        </w:rPr>
        <w:t>依托现有喷砂废气布袋除尘处理设施处理；</w:t>
      </w:r>
    </w:p>
    <w:p w14:paraId="7C3BF2D6">
      <w:pPr>
        <w:rPr>
          <w:rFonts w:hint="default"/>
          <w:color w:val="auto"/>
          <w:lang w:val="en-US" w:eastAsia="zh-CN"/>
        </w:rPr>
      </w:pPr>
      <w:r>
        <w:rPr>
          <w:rFonts w:hint="default"/>
          <w:color w:val="auto"/>
          <w:lang w:val="en-US" w:eastAsia="zh-CN"/>
        </w:rPr>
        <w:t>磁性横切刀版擦拭废气（G2-4）</w:t>
      </w:r>
      <w:r>
        <w:rPr>
          <w:rFonts w:hint="eastAsia"/>
          <w:color w:val="auto"/>
          <w:lang w:val="en-US" w:eastAsia="zh-CN"/>
        </w:rPr>
        <w:t>、热压模板喷胶、曝光及固化废气废气（G3-2、G3-3、G3-4）与现有压纹辊喷胶废气一并经新建两级活性炭净化设备处理后排放；</w:t>
      </w:r>
    </w:p>
    <w:p w14:paraId="1DA833A1">
      <w:pPr>
        <w:rPr>
          <w:rFonts w:hint="eastAsia"/>
          <w:color w:val="auto"/>
        </w:rPr>
      </w:pPr>
      <w:r>
        <w:rPr>
          <w:rFonts w:hint="eastAsia"/>
          <w:color w:val="auto"/>
        </w:rPr>
        <w:t>焊接烟尘经烟尘净化装置处理后车间内无组织排放；乳化液使用过程产生的有机废气均经油雾净化装置处理后车间内无组织排放</w:t>
      </w:r>
      <w:r>
        <w:rPr>
          <w:rFonts w:hint="eastAsia"/>
          <w:color w:val="auto"/>
          <w:lang w:eastAsia="zh-CN"/>
        </w:rPr>
        <w:t>。</w:t>
      </w:r>
    </w:p>
    <w:p w14:paraId="47C83E3C">
      <w:pPr>
        <w:pStyle w:val="5"/>
        <w:bidi w:val="0"/>
        <w:rPr>
          <w:rFonts w:hint="eastAsia"/>
          <w:color w:val="auto"/>
        </w:rPr>
      </w:pPr>
      <w:r>
        <w:rPr>
          <w:rFonts w:hint="eastAsia"/>
          <w:color w:val="auto"/>
        </w:rPr>
        <w:t>废气处理工艺</w:t>
      </w:r>
    </w:p>
    <w:p w14:paraId="3AB2EFA8">
      <w:pPr>
        <w:numPr>
          <w:ilvl w:val="0"/>
          <w:numId w:val="10"/>
        </w:numPr>
        <w:rPr>
          <w:rFonts w:hint="eastAsia"/>
          <w:b/>
          <w:bCs/>
          <w:color w:val="auto"/>
        </w:rPr>
      </w:pPr>
      <w:r>
        <w:rPr>
          <w:rFonts w:hint="eastAsia"/>
          <w:b/>
          <w:bCs/>
          <w:color w:val="auto"/>
        </w:rPr>
        <w:t>废气处理工艺（</w:t>
      </w:r>
      <w:r>
        <w:rPr>
          <w:rFonts w:hint="eastAsia"/>
          <w:b/>
          <w:bCs/>
          <w:color w:val="auto"/>
          <w:lang w:val="en-US" w:eastAsia="zh-CN"/>
        </w:rPr>
        <w:t>布袋除尘、</w:t>
      </w:r>
      <w:r>
        <w:rPr>
          <w:rFonts w:hint="eastAsia"/>
          <w:b/>
          <w:bCs/>
          <w:color w:val="auto"/>
        </w:rPr>
        <w:t>二级活性炭吸附</w:t>
      </w:r>
      <w:r>
        <w:rPr>
          <w:rFonts w:hint="eastAsia"/>
          <w:b/>
          <w:bCs/>
          <w:color w:val="auto"/>
          <w:lang w:eastAsia="zh-CN"/>
        </w:rPr>
        <w:t>、</w:t>
      </w:r>
      <w:r>
        <w:rPr>
          <w:rFonts w:hint="eastAsia"/>
          <w:b/>
          <w:bCs/>
          <w:color w:val="auto"/>
          <w:lang w:val="en-US" w:eastAsia="zh-CN"/>
        </w:rPr>
        <w:t>喷淋塔</w:t>
      </w:r>
      <w:r>
        <w:rPr>
          <w:rFonts w:hint="eastAsia"/>
          <w:b/>
          <w:bCs/>
          <w:color w:val="auto"/>
        </w:rPr>
        <w:t>）</w:t>
      </w:r>
    </w:p>
    <w:p w14:paraId="63EF513C">
      <w:pPr>
        <w:bidi w:val="0"/>
        <w:rPr>
          <w:rFonts w:hint="default" w:eastAsia="仿宋_GB2312"/>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布袋除尘</w:t>
      </w:r>
    </w:p>
    <w:p w14:paraId="7EAED0BE">
      <w:pPr>
        <w:bidi w:val="0"/>
        <w:rPr>
          <w:rFonts w:hint="eastAsia"/>
          <w:color w:val="auto"/>
        </w:rPr>
      </w:pPr>
      <w:r>
        <w:rPr>
          <w:rFonts w:hint="eastAsia"/>
          <w:color w:val="auto"/>
          <w:lang w:val="en-US" w:eastAsia="zh-CN"/>
        </w:rPr>
        <w:t>布袋除尘</w:t>
      </w:r>
      <w:r>
        <w:rPr>
          <w:rFonts w:hint="eastAsia"/>
          <w:color w:val="auto"/>
        </w:rPr>
        <w:t>基本工作原理是：含尘气体由灰斗（或下部宽敞开式法兰）进入过滤室，较粗颗粒直接落入灰斗或灰仓，灰尘气体经滤袋过滤，粉尘阻留于滤袋表面，净气经袋口到净气室、由风机排入大气，当滤袋表面的粉尘不断增加，导致设备阻力上升至设定值时，时间继电器（或微差压控制器）输出信号，程控仪开始工作，逐个开启脉冲阀，使压缩空气通过喷口对滤袋进行喷吹清灰，使滤袋突然膨胀，在反向气流的作用下，附于滤袋表面的粉尘迅速脱离滤袋落入灰斗（或灰仓）内，粉尘由卸灰阀排出，全部滤袋喷吹清灰结束后，除尘器恢复正常工作。</w:t>
      </w:r>
    </w:p>
    <w:p w14:paraId="4D2CFEBA">
      <w:pPr>
        <w:bidi w:val="0"/>
        <w:rPr>
          <w:rFonts w:hint="eastAsia"/>
          <w:color w:val="auto"/>
        </w:rPr>
      </w:pPr>
      <w:r>
        <w:rPr>
          <w:rFonts w:hint="eastAsia"/>
          <w:color w:val="auto"/>
        </w:rPr>
        <w:t>根据《环保设备设计手册-大气污染控制设备》（化学工业出版社出版）第160页可知：袋式除尘器除尘效率一般可达99%以上，本项目“袋式除尘法 ”去除效率取99%可行。</w:t>
      </w:r>
    </w:p>
    <w:p w14:paraId="1968DF74">
      <w:pPr>
        <w:bidi w:val="0"/>
        <w:rPr>
          <w:rFonts w:hint="eastAsia"/>
          <w:color w:val="auto"/>
        </w:rPr>
      </w:pPr>
      <w:r>
        <w:rPr>
          <w:rFonts w:hint="eastAsia"/>
          <w:color w:val="auto"/>
        </w:rPr>
        <w:t>（</w:t>
      </w:r>
      <w:r>
        <w:rPr>
          <w:rFonts w:hint="eastAsia"/>
          <w:color w:val="auto"/>
          <w:lang w:val="en-US" w:eastAsia="zh-CN"/>
        </w:rPr>
        <w:t>2</w:t>
      </w:r>
      <w:r>
        <w:rPr>
          <w:rFonts w:hint="eastAsia"/>
          <w:color w:val="auto"/>
        </w:rPr>
        <w:t>）活性炭吸附</w:t>
      </w:r>
    </w:p>
    <w:p w14:paraId="7B8F29F8">
      <w:pPr>
        <w:bidi w:val="0"/>
        <w:rPr>
          <w:rFonts w:hint="eastAsia"/>
          <w:color w:val="auto"/>
        </w:rPr>
      </w:pPr>
      <w:r>
        <w:rPr>
          <w:rFonts w:hint="eastAsia"/>
          <w:color w:val="auto"/>
        </w:rPr>
        <w:t>吸附操作是上百年来作为从废气中去除可吸附的有机废气的一种典型方法。吸附操作的原理是：在气相中需要分离的气体组分（吸附质）可以选择性地与固体表面（吸附剂）相结合，通常吸附分为物理吸附（范德华力）和化学吸附两类，而有机废气的净化主要采用物理吸附方法。</w:t>
      </w:r>
    </w:p>
    <w:p w14:paraId="14C2907C">
      <w:pPr>
        <w:bidi w:val="0"/>
        <w:rPr>
          <w:rFonts w:hint="eastAsia"/>
          <w:color w:val="auto"/>
        </w:rPr>
      </w:pPr>
      <w:r>
        <w:rPr>
          <w:rFonts w:hint="eastAsia"/>
          <w:color w:val="auto"/>
        </w:rPr>
        <w:t>常用的吸附剂有多孔炭材料、蜂窝状活性炭、球状活性炭、活性炭纤维、新型活性炭以及分子筛、沸石、多孔粘土矿石、活性氧化铝和硅胶等，在工业吸附过程中，活性炭是使用最为广泛的一种吸附剂，活性炭多呈粉末状或颗粒状，大部分情况下不能直接用于各种净化设备中，必须使活性炭具有一定形状和支撑强度才能使用，活性炭经过特殊的工艺处理后，能产生丰富的微孔结构，这些人眼看不到的微孔能够依靠分子力，吸附各种有害的气体和液体分子，从而达到净化的目的。活性炭吸附设备简单、投资较小、操作方便，需经常更换活性炭，用于浓度低、污染物不需回收的场合。目前我国对于浓度较低的气相污染物的净化手段主要为吸附法，应用活性炭的强吸附性吸附污染物，且对有机废气质量浓度的动态变化有着较好的缓冲调节作用。在有机废气处理过程中，活性炭常被用来吸附烷烃、烯烃、芳香烃、酮、醛、氯代烃、酯以及挥发性有机化合物，该处理措施对有机废气的处理效率可达 90%以上。</w:t>
      </w:r>
    </w:p>
    <w:p w14:paraId="04469992">
      <w:pPr>
        <w:bidi w:val="0"/>
        <w:rPr>
          <w:rFonts w:hint="eastAsia"/>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）喷淋塔原理</w:t>
      </w:r>
    </w:p>
    <w:p w14:paraId="237E1E0E">
      <w:pPr>
        <w:bidi w:val="0"/>
        <w:rPr>
          <w:rFonts w:hint="eastAsia"/>
          <w:color w:val="auto"/>
          <w:lang w:eastAsia="zh-CN"/>
        </w:rPr>
      </w:pPr>
      <w:r>
        <w:rPr>
          <w:rFonts w:hint="eastAsia"/>
          <w:color w:val="auto"/>
          <w:lang w:eastAsia="zh-CN"/>
        </w:rPr>
        <w:t>碱喷淋塔利用碱液和气体之间的接触，把气相中的污染物转移到液相中，从而达到分离污染物而净化气体的目的。喷淋塔具有操作稳定、处理效果好，允许气体或液体负荷在一定范围内变化而不至于降低吸收效果等优点，在酸性废气处理方面得到较广泛的应用。</w:t>
      </w:r>
    </w:p>
    <w:p w14:paraId="3C52286F">
      <w:pPr>
        <w:bidi w:val="0"/>
        <w:rPr>
          <w:rFonts w:hint="eastAsia"/>
          <w:color w:val="auto"/>
          <w:lang w:eastAsia="zh-CN"/>
        </w:rPr>
      </w:pPr>
      <w:r>
        <w:rPr>
          <w:rFonts w:hint="eastAsia"/>
          <w:color w:val="auto"/>
          <w:lang w:eastAsia="zh-CN"/>
        </w:rPr>
        <w:t>喷淋碱液采用氢氧化钠稀溶液或稀碱液（碳酸钠和氢氧化钠），浓度为5％，液气比为1：3 。循环控制方式：①设定喷淋塔内pH值自动启停碱液输送泵投加碱液；②设定高低液位，低液位时自动开始加水，高液位自动停止，保持碱液pH8~ 11 。洗涤塔的底部为循环液槽，塔内部填充填料以增加气体在塔内的停留时间以及增加污染物与液体的接触面积，气体从塔底部进入，由下而上穿过填料层，经由填料的空隙与塔顶部产生的雾状喷淋的液体逆向流动，填料有很大的液体与气体的接触面积，使液-气两相密切的接触，废气中的溶质由流入塔内的洗涤液所吸收，洗涤塔出气经由除雾器去除其中的水分后，经风机引至排气筒排放。</w:t>
      </w:r>
    </w:p>
    <w:p w14:paraId="67FF6BD2">
      <w:pPr>
        <w:pStyle w:val="4"/>
        <w:rPr>
          <w:color w:val="auto"/>
        </w:rPr>
      </w:pPr>
      <w:bookmarkStart w:id="321" w:name="_Toc16140"/>
      <w:bookmarkStart w:id="322" w:name="_Toc31227"/>
      <w:r>
        <w:rPr>
          <w:rFonts w:hint="eastAsia"/>
          <w:color w:val="auto"/>
          <w:lang w:val="en-US" w:eastAsia="zh-CN"/>
        </w:rPr>
        <w:t>无组织废气</w:t>
      </w:r>
      <w:bookmarkEnd w:id="321"/>
      <w:bookmarkEnd w:id="322"/>
    </w:p>
    <w:p w14:paraId="6BBDD32D">
      <w:pPr>
        <w:rPr>
          <w:rFonts w:hint="default" w:eastAsia="仿宋_GB2312"/>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油雾</w:t>
      </w:r>
    </w:p>
    <w:p w14:paraId="2187352D">
      <w:pPr>
        <w:rPr>
          <w:rFonts w:hint="eastAsia"/>
          <w:color w:val="auto"/>
        </w:rPr>
      </w:pPr>
      <w:r>
        <w:rPr>
          <w:rFonts w:hint="eastAsia"/>
          <w:color w:val="auto"/>
        </w:rPr>
        <w:t>本项目机加工车间使用乳化液，乳化液挥发出来的有机废气（以非甲烷总烃计）经自带的油雾净化器捕集过滤后，尾气在车间内经换气系统无组织排放。</w:t>
      </w:r>
    </w:p>
    <w:p w14:paraId="33578618">
      <w:pPr>
        <w:rPr>
          <w:rFonts w:hint="eastAsia"/>
          <w:color w:val="auto"/>
        </w:rPr>
      </w:pPr>
      <w:r>
        <w:rPr>
          <w:rFonts w:hint="eastAsia"/>
          <w:color w:val="auto"/>
        </w:rPr>
        <w:t>油雾净化器采用机械分离和静电沉积技术。机械分离是使含油雾的气体与特制的挡板滤网撞击或者急剧地改变气流方向，利用惯性力分离并捕集油气，将进入净化设备的含油气体中的大颗粒油滴或水滴过滤。它用于油雾净化设备静电场的前级除油气，能去除 5-20 μm 以上的粗微尘。静电沉积技术是利用电力进行收集油雾的装置，它涉及到电晕放电、气体电离和油雾尘粒荷电、荷电油雾尘粒的迁移与捕集、油雾清除等过程。在油雾净化设备中的电场箱中，两个曲率半径相差很大的金属阳极和阴极上，</w:t>
      </w:r>
    </w:p>
    <w:p w14:paraId="75396992">
      <w:pPr>
        <w:rPr>
          <w:rFonts w:hint="eastAsia"/>
          <w:color w:val="auto"/>
        </w:rPr>
      </w:pPr>
      <w:r>
        <w:rPr>
          <w:rFonts w:hint="eastAsia"/>
          <w:color w:val="auto"/>
        </w:rPr>
        <w:t>通以高压直流电，在两极间维持一个足以使气体电离的静电场，气体电离后所产生的电子、阴离子或阳离子附着在通过电场的油雾尘粒上，使油雾尘粒带电。荷电油雾尘粒在电场力的作用下，便向极性相反的电极运动，从而沉积在集尘电极上，凝聚成油滴和水滴，从而使油、水和气体分离。附着在集尘电极板上的乳化液和水分，因重力作用流到油雾净化设备下部的集油槽内。</w:t>
      </w:r>
    </w:p>
    <w:p w14:paraId="7C316902">
      <w:pPr>
        <w:rPr>
          <w:rFonts w:hint="eastAsia"/>
          <w:color w:val="auto"/>
        </w:rPr>
      </w:pPr>
      <w:r>
        <w:rPr>
          <w:rFonts w:hint="eastAsia"/>
          <w:color w:val="auto"/>
        </w:rPr>
        <w:t>参考《污染源源强核算技术指南 汽车制造》（HJ 1097—2020  ）附录 F ，“机械加工”油雾净化装置处理效率可达90％。</w:t>
      </w:r>
    </w:p>
    <w:p w14:paraId="20A69D72">
      <w:pPr>
        <w:rPr>
          <w:rFonts w:hint="default" w:eastAsia="仿宋_GB2312"/>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焊接烟尘</w:t>
      </w:r>
    </w:p>
    <w:p w14:paraId="691AA10C">
      <w:pPr>
        <w:rPr>
          <w:rFonts w:hint="eastAsia"/>
          <w:color w:val="auto"/>
        </w:rPr>
      </w:pPr>
      <w:r>
        <w:rPr>
          <w:rFonts w:hint="eastAsia"/>
          <w:color w:val="auto"/>
        </w:rPr>
        <w:t>在焊接的生产过程中产生少量的焊接烟尘，利用焊接烟尘净化器处理后排放。主要构件包括吸气臂（罩）、除尘管道、焊烟净化器、高压离心风机等。</w:t>
      </w:r>
    </w:p>
    <w:p w14:paraId="1D1B871E">
      <w:pPr>
        <w:rPr>
          <w:rFonts w:hint="eastAsia"/>
          <w:color w:val="auto"/>
        </w:rPr>
      </w:pPr>
      <w:r>
        <w:rPr>
          <w:rFonts w:hint="eastAsia"/>
          <w:color w:val="auto"/>
        </w:rPr>
        <w:t>吸气罩是吸取烟尘有害气体的设备装置，通过吸气罩口的气流运动，吸取有害物控制其在车间的扩散。烟尘进入除尘器灰斗后，由于气流断面突然扩大及气流分布板作用，气流中一部分粗大颗粒在动和惯性力作用下沉降在灰斗；粒度细、密度小的尘粒进入滤尘室后，通过滤芯扩散和筛滤等组合效应，使粉尘沉积在滤袋表面上，净化后的气体进入净气室由除尘焊烟管道经风机排出。</w:t>
      </w:r>
    </w:p>
    <w:p w14:paraId="4E3666D4">
      <w:pPr>
        <w:rPr>
          <w:rFonts w:hint="eastAsia"/>
          <w:color w:val="auto"/>
        </w:rPr>
      </w:pPr>
      <w:r>
        <w:rPr>
          <w:rFonts w:hint="eastAsia"/>
          <w:color w:val="auto"/>
        </w:rPr>
        <w:t>焊烟净化装置主要为通过过滤去除烟尘，其处理效率参考“袋式除尘法”，去除效率取 99%可行。</w:t>
      </w:r>
    </w:p>
    <w:p w14:paraId="3752318D">
      <w:pPr>
        <w:pStyle w:val="4"/>
        <w:rPr>
          <w:color w:val="auto"/>
        </w:rPr>
      </w:pPr>
      <w:bookmarkStart w:id="323" w:name="_Toc15814"/>
      <w:bookmarkStart w:id="324" w:name="_Toc25086"/>
      <w:r>
        <w:rPr>
          <w:rFonts w:hint="eastAsia"/>
          <w:color w:val="auto"/>
        </w:rPr>
        <w:t>废气治理措施经济可行性分析</w:t>
      </w:r>
      <w:bookmarkEnd w:id="323"/>
      <w:bookmarkEnd w:id="324"/>
    </w:p>
    <w:p w14:paraId="2A58884D">
      <w:pPr>
        <w:rPr>
          <w:color w:val="auto"/>
        </w:rPr>
      </w:pPr>
      <w:r>
        <w:rPr>
          <w:rFonts w:hint="eastAsia"/>
          <w:color w:val="auto"/>
        </w:rPr>
        <w:t>根据建设项目有组织废气性质及产生情况，</w:t>
      </w:r>
      <w:r>
        <w:rPr>
          <w:rFonts w:hint="eastAsia"/>
          <w:color w:val="auto"/>
          <w:lang w:val="en-US" w:eastAsia="zh-CN"/>
        </w:rPr>
        <w:t>本项目预计废气投资</w:t>
      </w:r>
      <w:r>
        <w:rPr>
          <w:rFonts w:hint="eastAsia"/>
          <w:color w:val="auto"/>
          <w:highlight w:val="none"/>
        </w:rPr>
        <w:t>约</w:t>
      </w:r>
      <w:r>
        <w:rPr>
          <w:rFonts w:hint="eastAsia"/>
          <w:color w:val="auto"/>
          <w:highlight w:val="none"/>
          <w:lang w:val="en-US" w:eastAsia="zh-CN"/>
        </w:rPr>
        <w:t>60</w:t>
      </w:r>
      <w:r>
        <w:rPr>
          <w:rFonts w:hint="eastAsia"/>
          <w:color w:val="auto"/>
          <w:highlight w:val="none"/>
        </w:rPr>
        <w:t>万元</w:t>
      </w:r>
      <w:r>
        <w:rPr>
          <w:rFonts w:hint="eastAsia"/>
          <w:color w:val="auto"/>
        </w:rPr>
        <w:t>；年运行费用主要为滤料、吸收液、活性炭更换及折旧维修费用</w:t>
      </w:r>
      <w:r>
        <w:rPr>
          <w:rFonts w:hint="eastAsia"/>
          <w:color w:val="auto"/>
          <w:lang w:val="en-US" w:eastAsia="zh-CN"/>
        </w:rPr>
        <w:t>约</w:t>
      </w:r>
      <w:r>
        <w:rPr>
          <w:rFonts w:hint="eastAsia"/>
          <w:color w:val="auto"/>
          <w:highlight w:val="none"/>
          <w:lang w:val="en-US" w:eastAsia="zh-CN"/>
        </w:rPr>
        <w:t>80</w:t>
      </w:r>
      <w:r>
        <w:rPr>
          <w:rFonts w:hint="eastAsia"/>
          <w:color w:val="auto"/>
          <w:highlight w:val="none"/>
        </w:rPr>
        <w:t>万元</w:t>
      </w:r>
      <w:r>
        <w:rPr>
          <w:rFonts w:hint="eastAsia"/>
          <w:color w:val="auto"/>
        </w:rPr>
        <w:t>，在企业可承受范围内。因此，从环保和经济方面综合考虑，建设项目废气治理方案是可行的。</w:t>
      </w:r>
    </w:p>
    <w:p w14:paraId="2171BD47">
      <w:pPr>
        <w:pStyle w:val="3"/>
        <w:rPr>
          <w:color w:val="auto"/>
        </w:rPr>
      </w:pPr>
      <w:bookmarkStart w:id="325" w:name="_Toc21496"/>
      <w:bookmarkStart w:id="326" w:name="_Toc591"/>
      <w:r>
        <w:rPr>
          <w:rFonts w:hint="eastAsia"/>
          <w:color w:val="auto"/>
        </w:rPr>
        <w:t>废水治理措施可行性分析</w:t>
      </w:r>
      <w:bookmarkEnd w:id="325"/>
      <w:bookmarkEnd w:id="326"/>
    </w:p>
    <w:p w14:paraId="23771553">
      <w:pPr>
        <w:pStyle w:val="4"/>
        <w:rPr>
          <w:color w:val="auto"/>
        </w:rPr>
      </w:pPr>
      <w:bookmarkStart w:id="327" w:name="_Toc28322"/>
      <w:bookmarkStart w:id="328" w:name="_Toc24128"/>
      <w:r>
        <w:rPr>
          <w:rFonts w:hint="eastAsia"/>
          <w:color w:val="auto"/>
        </w:rPr>
        <w:t>雨污分流、清污分流</w:t>
      </w:r>
      <w:bookmarkEnd w:id="327"/>
      <w:bookmarkEnd w:id="328"/>
    </w:p>
    <w:p w14:paraId="2A79E466">
      <w:pPr>
        <w:rPr>
          <w:color w:val="auto"/>
        </w:rPr>
      </w:pPr>
      <w:r>
        <w:rPr>
          <w:rFonts w:hint="eastAsia"/>
          <w:color w:val="auto"/>
          <w:lang w:eastAsia="zh-CN"/>
        </w:rPr>
        <w:t>苏州昆运制版有限公司</w:t>
      </w:r>
      <w:r>
        <w:rPr>
          <w:rFonts w:hint="eastAsia"/>
          <w:color w:val="auto"/>
        </w:rPr>
        <w:t>按照雨污分流、清污分流的原则，已铺设污水管网、雨水管网。</w:t>
      </w:r>
    </w:p>
    <w:p w14:paraId="213BEF54">
      <w:pPr>
        <w:rPr>
          <w:color w:val="auto"/>
        </w:rPr>
      </w:pPr>
      <w:r>
        <w:rPr>
          <w:rFonts w:hint="eastAsia"/>
          <w:color w:val="auto"/>
          <w:lang w:val="en-US" w:eastAsia="zh-CN"/>
        </w:rPr>
        <w:t>初期雨水</w:t>
      </w:r>
      <w:r>
        <w:rPr>
          <w:rFonts w:hint="eastAsia"/>
          <w:color w:val="auto"/>
        </w:rPr>
        <w:t>经厂内雨水管网收集后排入</w:t>
      </w:r>
      <w:r>
        <w:rPr>
          <w:rFonts w:hint="eastAsia"/>
          <w:color w:val="auto"/>
          <w:lang w:val="en-US" w:eastAsia="zh-CN"/>
        </w:rPr>
        <w:t>厂内污水处理设施处理</w:t>
      </w:r>
      <w:r>
        <w:rPr>
          <w:rFonts w:hint="eastAsia"/>
          <w:color w:val="auto"/>
        </w:rPr>
        <w:t>；事故情况下关闭排放闸口，经监测合格后方可达标排放。</w:t>
      </w:r>
      <w:r>
        <w:rPr>
          <w:rFonts w:hint="eastAsia"/>
          <w:color w:val="auto"/>
          <w:lang w:val="en-US" w:eastAsia="zh-CN"/>
        </w:rPr>
        <w:t>其余雨水通过雨水排口排放河。</w:t>
      </w:r>
    </w:p>
    <w:p w14:paraId="13592DEE">
      <w:pPr>
        <w:pStyle w:val="4"/>
        <w:rPr>
          <w:color w:val="auto"/>
        </w:rPr>
      </w:pPr>
      <w:bookmarkStart w:id="329" w:name="_Toc9108"/>
      <w:bookmarkStart w:id="330" w:name="_Toc491"/>
      <w:r>
        <w:rPr>
          <w:rFonts w:hint="eastAsia"/>
          <w:color w:val="auto"/>
        </w:rPr>
        <w:t>废水处理措施</w:t>
      </w:r>
      <w:r>
        <w:rPr>
          <w:rFonts w:hint="eastAsia"/>
          <w:color w:val="auto"/>
          <w:lang w:val="en-US" w:eastAsia="zh-CN"/>
        </w:rPr>
        <w:t>可行性分析</w:t>
      </w:r>
      <w:bookmarkEnd w:id="329"/>
      <w:bookmarkEnd w:id="330"/>
    </w:p>
    <w:p w14:paraId="7BA608C1">
      <w:pPr>
        <w:pStyle w:val="25"/>
        <w:bidi w:val="0"/>
        <w:rPr>
          <w:rFonts w:hint="eastAsia"/>
        </w:rPr>
      </w:pPr>
      <w:r>
        <w:rPr>
          <w:rFonts w:hint="eastAsia"/>
        </w:rPr>
        <w:drawing>
          <wp:inline distT="0" distB="0" distL="114300" distR="114300">
            <wp:extent cx="5264785" cy="1820545"/>
            <wp:effectExtent l="0" t="0" r="12065" b="8255"/>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42"/>
                    <a:stretch>
                      <a:fillRect/>
                    </a:stretch>
                  </pic:blipFill>
                  <pic:spPr>
                    <a:xfrm>
                      <a:off x="0" y="0"/>
                      <a:ext cx="5264785" cy="1820545"/>
                    </a:xfrm>
                    <a:prstGeom prst="rect">
                      <a:avLst/>
                    </a:prstGeom>
                    <a:noFill/>
                    <a:ln>
                      <a:noFill/>
                    </a:ln>
                  </pic:spPr>
                </pic:pic>
              </a:graphicData>
            </a:graphic>
          </wp:inline>
        </w:drawing>
      </w:r>
    </w:p>
    <w:p w14:paraId="3E9D7DDC">
      <w:pPr>
        <w:pStyle w:val="25"/>
        <w:bidi w:val="0"/>
        <w:rPr>
          <w:rFonts w:hint="default"/>
          <w:lang w:val="en-US" w:eastAsia="zh-CN"/>
        </w:rPr>
      </w:pPr>
      <w:r>
        <w:rPr>
          <w:rFonts w:hint="default"/>
          <w:lang w:val="en-US" w:eastAsia="zh-CN"/>
        </w:rPr>
        <w:t>图</w:t>
      </w:r>
      <w:r>
        <w:rPr>
          <w:rFonts w:hint="default"/>
          <w:lang w:val="en-US" w:eastAsia="zh-CN"/>
        </w:rPr>
        <w:fldChar w:fldCharType="begin"/>
      </w:r>
      <w:r>
        <w:rPr>
          <w:rFonts w:hint="default"/>
          <w:lang w:val="en-US" w:eastAsia="zh-CN"/>
        </w:rPr>
        <w:instrText xml:space="preserve"> STYLEREF 2 \s </w:instrText>
      </w:r>
      <w:r>
        <w:rPr>
          <w:rFonts w:hint="default"/>
          <w:lang w:val="en-US" w:eastAsia="zh-CN"/>
        </w:rPr>
        <w:fldChar w:fldCharType="separate"/>
      </w:r>
      <w:r>
        <w:rPr>
          <w:rFonts w:hint="default"/>
          <w:lang w:val="en-US" w:eastAsia="zh-CN"/>
        </w:rPr>
        <w:t>7.2</w:t>
      </w:r>
      <w:r>
        <w:rPr>
          <w:rFonts w:hint="default"/>
          <w:lang w:val="en-US" w:eastAsia="zh-CN"/>
        </w:rPr>
        <w:fldChar w:fldCharType="end"/>
      </w:r>
      <w:r>
        <w:rPr>
          <w:rFonts w:hint="default"/>
          <w:lang w:val="en-US" w:eastAsia="zh-CN"/>
        </w:rPr>
        <w:t>-</w:t>
      </w:r>
      <w:r>
        <w:rPr>
          <w:rFonts w:hint="default"/>
          <w:lang w:val="en-US" w:eastAsia="zh-CN"/>
        </w:rPr>
        <w:fldChar w:fldCharType="begin"/>
      </w:r>
      <w:r>
        <w:rPr>
          <w:rFonts w:hint="default"/>
          <w:lang w:val="en-US" w:eastAsia="zh-CN"/>
        </w:rPr>
        <w:instrText xml:space="preserve"> SEQ 图 \* ARABIC \s 2 </w:instrText>
      </w:r>
      <w:r>
        <w:rPr>
          <w:rFonts w:hint="default"/>
          <w:lang w:val="en-US" w:eastAsia="zh-CN"/>
        </w:rPr>
        <w:fldChar w:fldCharType="separate"/>
      </w:r>
      <w:r>
        <w:rPr>
          <w:rFonts w:hint="default"/>
          <w:lang w:val="en-US" w:eastAsia="zh-CN"/>
        </w:rPr>
        <w:t>1</w:t>
      </w:r>
      <w:r>
        <w:rPr>
          <w:rFonts w:hint="default"/>
          <w:lang w:val="en-US" w:eastAsia="zh-CN"/>
        </w:rPr>
        <w:fldChar w:fldCharType="end"/>
      </w:r>
      <w:r>
        <w:rPr>
          <w:rFonts w:hint="default"/>
          <w:lang w:val="en-US" w:eastAsia="zh-CN"/>
        </w:rPr>
        <w:t>本项目</w:t>
      </w:r>
      <w:r>
        <w:rPr>
          <w:rFonts w:hint="eastAsia"/>
          <w:lang w:val="en-US" w:eastAsia="zh-CN"/>
        </w:rPr>
        <w:t>废水处理设施工艺流程</w:t>
      </w:r>
      <w:r>
        <w:rPr>
          <w:rFonts w:hint="default"/>
          <w:lang w:val="en-US" w:eastAsia="zh-CN"/>
        </w:rPr>
        <w:t>图</w:t>
      </w:r>
    </w:p>
    <w:p w14:paraId="6E6695A9">
      <w:pPr>
        <w:rPr>
          <w:rFonts w:hint="eastAsia"/>
          <w:lang w:val="en-US" w:eastAsia="zh-CN"/>
        </w:rPr>
      </w:pPr>
      <w:r>
        <w:rPr>
          <w:rFonts w:hint="eastAsia"/>
          <w:lang w:val="en-US" w:eastAsia="zh-CN"/>
        </w:rPr>
        <w:t>主要工艺流程：</w:t>
      </w:r>
    </w:p>
    <w:p w14:paraId="30929317">
      <w:pPr>
        <w:rPr>
          <w:rFonts w:hint="eastAsia"/>
          <w:lang w:val="en-US" w:eastAsia="zh-CN"/>
        </w:rPr>
      </w:pPr>
      <w:r>
        <w:rPr>
          <w:rFonts w:hint="eastAsia"/>
          <w:lang w:val="en-US" w:eastAsia="zh-CN"/>
        </w:rPr>
        <w:t>（1）含铜废水工艺流程简述</w:t>
      </w:r>
    </w:p>
    <w:p w14:paraId="0F219B51">
      <w:pPr>
        <w:rPr>
          <w:rFonts w:hint="eastAsia"/>
          <w:lang w:val="en-US" w:eastAsia="zh-CN"/>
        </w:rPr>
      </w:pPr>
      <w:r>
        <w:rPr>
          <w:rFonts w:hint="eastAsia"/>
          <w:lang w:val="en-US" w:eastAsia="zh-CN"/>
        </w:rPr>
        <w:t>车间各生产工段产生的含铜废水排入含铜废水集水池内进行收集，收集池起到收集废水并调节水质水量的作用，收集池内废水经提升泵泵入铜中和水箱，在含铜中和反应水箱，在反应水箱内投加碱调节废水PH值，投加重捕剂与废水中的铜反应生成氢氧化铜细小沉淀颗粒物，投加PAC、PAM 将废水中生成的细小沉淀颗粒物和悬浮物絮凝聚集成大矾花絮体，进入沉淀池，在沉淀池内泥水混合物在水力和重力作用下实现泥水分离，清水通过上部滗水装置进入中间水箱，污泥沉入下部污泥斗，通过污泥泵送入铜污泥池，铜污泥池内污泥通过泵的泵入压滤机脱水，压滤机滤液收集进入集水池，脱水后的污泥委外处理。中间水箱内进一步过滤去除胶体物质和悬浮物，过滤后出水进入蒸发集水池。</w:t>
      </w:r>
    </w:p>
    <w:p w14:paraId="758A2B62">
      <w:pPr>
        <w:rPr>
          <w:rFonts w:hint="eastAsia"/>
          <w:lang w:val="en-US" w:eastAsia="zh-CN"/>
        </w:rPr>
      </w:pPr>
      <w:r>
        <w:rPr>
          <w:rFonts w:hint="eastAsia"/>
          <w:lang w:val="en-US" w:eastAsia="zh-CN"/>
        </w:rPr>
        <w:t>蒸发集水池内水通过输送泵送至 MVR 蒸发器，蒸发清水池进入反渗透机组，反渗透机组1产生的清水进入反渗透机组2，反渗透机组2产生的清水回用于车间，反渗透机组1产生的浓水进入浓水反渗透机组1，浓水反渗透机组1产生的浓水进入浓水反渗透机组2，浓水反渗透机组1和浓水反渗透机组2产生的清水进入蒸发清水池。浓水反渗透机组1和浓水反渗透机组2产生的浓水进入蒸发集水池。</w:t>
      </w:r>
    </w:p>
    <w:p w14:paraId="7B3A721F">
      <w:pPr>
        <w:rPr>
          <w:rFonts w:hint="eastAsia"/>
          <w:lang w:val="en-US" w:eastAsia="zh-CN"/>
        </w:rPr>
      </w:pPr>
      <w:r>
        <w:rPr>
          <w:rFonts w:hint="eastAsia"/>
          <w:lang w:val="en-US" w:eastAsia="zh-CN"/>
        </w:rPr>
        <w:t>（2）含铬废水工艺流程简述</w:t>
      </w:r>
    </w:p>
    <w:p w14:paraId="51F3F76C">
      <w:pPr>
        <w:rPr>
          <w:rFonts w:hint="eastAsia"/>
          <w:lang w:val="en-US" w:eastAsia="zh-CN"/>
        </w:rPr>
      </w:pPr>
      <w:r>
        <w:rPr>
          <w:rFonts w:hint="eastAsia"/>
          <w:lang w:val="en-US" w:eastAsia="zh-CN"/>
        </w:rPr>
        <w:t>车间各生产工段产生的含铬废水排入含铬废水集水池内进行收集，收集池起到收集废水并调节水质水量的作用，收集池内废水经提升泵泵入铬还原水箱，在铬还原水箱内投加酸调节废水PH值，投加还原剂调节废水ORP值，反应完全后，投加碱剂调节废水PH值，废水中铬离子反应生产氢氧化铬细小沉淀颗粒物，投入PAC、PAM 将废水中生成的细小沉淀颗粒物和悬浮物絮凝聚集成大矾花絮体进入沉淀池，在沉淀池内泥水混合物在水力和重力作用下实现泥水分离，清水通过上部滗水装置进入中间水箱，污泥沉入下部污泥斗，通过污泥泵送入铬污泥池，铬污泥池内污泥通过泵的泵入压滤机脱水，压滤机滤液收集进入集水池，脱水后的污泥委外处理。中间水箱内进一步过滤去除胶体物质和悬浮物，过滤后出水进入蒸发集水池。</w:t>
      </w:r>
    </w:p>
    <w:p w14:paraId="47A5CB32">
      <w:pPr>
        <w:rPr>
          <w:rFonts w:hint="eastAsia"/>
          <w:lang w:val="en-US" w:eastAsia="zh-CN"/>
        </w:rPr>
      </w:pPr>
      <w:r>
        <w:rPr>
          <w:rFonts w:hint="eastAsia"/>
          <w:lang w:val="en-US" w:eastAsia="zh-CN"/>
        </w:rPr>
        <w:t>蒸发集水池内水通过输送泵送至 MVR 蒸发器，蒸发清水池进入反渗透机组，反渗透机组1产生的清水进入反渗透机组2，反渗透机组2产生的清水回用于车间，反渗透机组1产生的浓水进入浓水反渗透机组1，浓水反渗透机组1产生的浓水进入浓水反渗透机组2，浓水反渗透机组1和浓水反渗透机组2产生的清水进入蒸发清水池。浓水反渗透机组1和浓水反渗透机组2产生的浓水进入蒸发集水池。</w:t>
      </w:r>
    </w:p>
    <w:p w14:paraId="4B711C75">
      <w:pPr>
        <w:rPr>
          <w:rFonts w:hint="eastAsia"/>
          <w:lang w:val="en-US" w:eastAsia="zh-CN"/>
        </w:rPr>
      </w:pPr>
      <w:r>
        <w:rPr>
          <w:rFonts w:hint="eastAsia"/>
          <w:lang w:val="en-US" w:eastAsia="zh-CN"/>
        </w:rPr>
        <w:t>（3）综合清洗废水工艺流程简述</w:t>
      </w:r>
    </w:p>
    <w:p w14:paraId="0DF7AF59">
      <w:pPr>
        <w:rPr>
          <w:rFonts w:hint="eastAsia"/>
          <w:lang w:val="en-US" w:eastAsia="zh-CN"/>
        </w:rPr>
      </w:pPr>
      <w:r>
        <w:rPr>
          <w:rFonts w:hint="eastAsia"/>
          <w:lang w:val="en-US" w:eastAsia="zh-CN"/>
        </w:rPr>
        <w:t>车间各生产段产生的废水进入综合清洗废水集水池内进行收集，收集池起到收集储存废水的作用，同时将各类废水进行均质均量，保证进入后续处理段的废水水质、水量稳定，收集桶内废水经提升泵输送至芬顿反应池，芬顿反应池投加酸剂调节废水中PH值，然后投加硫酸亚铁和双氧水进行反应，充分反应完成后投加碱剂调节废水PH值，然后投加 PAC、PAM 将废水中生成的细小沉淀颗粒物和悬浮物絮凝聚集成大矾花絮体进入沉淀池，在沉淀池内泥水混合物在水力和重力作用下实现泥水分离，清水通过上部滗水装置进入中间水箱，污泥沉入下部污泥斗，通过污泥泵送入铬污泥池，铬污泥池内污泥通过泵的泵入压滤机脱水，压滤机滤液收集进入集水池，脱水后的污泥委外处理。中间水箱内进一步过滤去除胶体物质和悬浮物，过滤后出水进入蒸发集水池。</w:t>
      </w:r>
    </w:p>
    <w:p w14:paraId="78D13BF8">
      <w:pPr>
        <w:rPr>
          <w:rFonts w:hint="eastAsia"/>
          <w:lang w:val="en-US" w:eastAsia="zh-CN"/>
        </w:rPr>
      </w:pPr>
      <w:r>
        <w:rPr>
          <w:rFonts w:hint="eastAsia"/>
          <w:lang w:val="en-US" w:eastAsia="zh-CN"/>
        </w:rPr>
        <w:t>蒸发集水池内水通过输送泵送至 MVR 蒸发器，蒸发清水池进入反渗透机组，反渗透机组1产生的清水进入反渗透机组2，反渗透机组2产生的清水回用于车间，反渗透机组1产生的浓水进入浓水反渗透机组1，浓水反渗透机组1产生的浓水进入浓水反渗透机组2，浓水反渗透机组1和浓水反渗透机组2产生的清水进入蒸发清水池。浓水反渗透机组1和浓水反渗透机组2产生的浓水进入蒸发集水池。</w:t>
      </w:r>
    </w:p>
    <w:p w14:paraId="61CC9335">
      <w:pPr>
        <w:pStyle w:val="4"/>
        <w:bidi w:val="0"/>
        <w:rPr>
          <w:rFonts w:hint="default"/>
          <w:color w:val="auto"/>
          <w:lang w:val="en-US" w:eastAsia="zh-CN"/>
        </w:rPr>
      </w:pPr>
      <w:bookmarkStart w:id="331" w:name="_Toc24538"/>
      <w:bookmarkStart w:id="332" w:name="_Toc26079"/>
      <w:r>
        <w:rPr>
          <w:rFonts w:hint="default"/>
          <w:color w:val="auto"/>
          <w:lang w:val="en-US" w:eastAsia="zh-CN"/>
        </w:rPr>
        <w:t>废水接管可行性分析</w:t>
      </w:r>
      <w:bookmarkEnd w:id="331"/>
      <w:bookmarkEnd w:id="332"/>
    </w:p>
    <w:p w14:paraId="16F9193F">
      <w:pPr>
        <w:rPr>
          <w:rFonts w:hint="eastAsia"/>
          <w:color w:val="auto"/>
        </w:rPr>
      </w:pPr>
      <w:r>
        <w:rPr>
          <w:rFonts w:hint="eastAsia"/>
          <w:color w:val="auto"/>
        </w:rPr>
        <w:t>（1）昆山建邦环境投资有限公司花桥污水处理厂简介</w:t>
      </w:r>
    </w:p>
    <w:p w14:paraId="21EF4DA9">
      <w:pPr>
        <w:rPr>
          <w:rFonts w:hint="default"/>
          <w:color w:val="auto"/>
          <w:lang w:val="en-US"/>
        </w:rPr>
      </w:pPr>
      <w:r>
        <w:rPr>
          <w:rFonts w:hint="eastAsia"/>
          <w:color w:val="auto"/>
        </w:rPr>
        <w:t>昆山建邦环境投资有限公司花桥污水处理厂现有工程处理规模为12.5万m</w:t>
      </w:r>
      <w:r>
        <w:rPr>
          <w:rFonts w:hint="eastAsia"/>
          <w:color w:val="auto"/>
          <w:vertAlign w:val="superscript"/>
        </w:rPr>
        <w:t>3</w:t>
      </w:r>
      <w:r>
        <w:rPr>
          <w:rFonts w:hint="eastAsia"/>
          <w:color w:val="auto"/>
        </w:rPr>
        <w:t>/d ，实际接入量约为8.2万m</w:t>
      </w:r>
      <w:r>
        <w:rPr>
          <w:rFonts w:hint="eastAsia"/>
          <w:color w:val="auto"/>
          <w:vertAlign w:val="superscript"/>
        </w:rPr>
        <w:t>3</w:t>
      </w:r>
      <w:r>
        <w:rPr>
          <w:rFonts w:hint="eastAsia"/>
          <w:color w:val="auto"/>
        </w:rPr>
        <w:t>/d ，余量约为4.3万m</w:t>
      </w:r>
      <w:r>
        <w:rPr>
          <w:rFonts w:hint="eastAsia"/>
          <w:color w:val="auto"/>
          <w:vertAlign w:val="superscript"/>
        </w:rPr>
        <w:t>3</w:t>
      </w:r>
      <w:r>
        <w:rPr>
          <w:rFonts w:hint="eastAsia"/>
          <w:color w:val="auto"/>
        </w:rPr>
        <w:t>/d，根据《全国排污许可证管理信息平台公开端》网站公开的信息，昆山建邦环境投资有限公司花桥污水处理厂202</w:t>
      </w:r>
      <w:r>
        <w:rPr>
          <w:rFonts w:hint="eastAsia"/>
          <w:color w:val="auto"/>
          <w:lang w:val="en-US" w:eastAsia="zh-CN"/>
        </w:rPr>
        <w:t>5</w:t>
      </w:r>
      <w:r>
        <w:rPr>
          <w:rFonts w:hint="eastAsia"/>
          <w:color w:val="auto"/>
        </w:rPr>
        <w:t>年排污许可证执行报告，昆山建邦环境投资有限公司花桥污水处理厂202</w:t>
      </w:r>
      <w:r>
        <w:rPr>
          <w:rFonts w:hint="eastAsia"/>
          <w:color w:val="auto"/>
          <w:lang w:val="en-US" w:eastAsia="zh-CN"/>
        </w:rPr>
        <w:t>5</w:t>
      </w:r>
      <w:r>
        <w:rPr>
          <w:rFonts w:hint="eastAsia"/>
          <w:color w:val="auto"/>
        </w:rPr>
        <w:t>年日平均处理量约8.2万t/d，本项目新增污水量</w:t>
      </w:r>
      <w:r>
        <w:rPr>
          <w:rFonts w:hint="eastAsia"/>
          <w:color w:val="auto"/>
          <w:lang w:val="en-US" w:eastAsia="zh-CN"/>
        </w:rPr>
        <w:t>占比低</w:t>
      </w:r>
      <w:r>
        <w:rPr>
          <w:rFonts w:hint="eastAsia"/>
          <w:color w:val="auto"/>
        </w:rPr>
        <w:t>，因此，昆山建邦环境投资有限公司花桥污水处理厂有能力接纳本项目新增污水量。</w:t>
      </w:r>
    </w:p>
    <w:p w14:paraId="1929CDDD">
      <w:pPr>
        <w:bidi w:val="0"/>
        <w:rPr>
          <w:rFonts w:hint="eastAsia"/>
        </w:rPr>
      </w:pPr>
      <w:r>
        <w:rPr>
          <w:rFonts w:hint="eastAsia"/>
          <w:lang w:val="en-US" w:eastAsia="zh-CN"/>
        </w:rPr>
        <w:t>花桥污水处理厂</w:t>
      </w:r>
      <w:r>
        <w:rPr>
          <w:rFonts w:hint="eastAsia"/>
        </w:rPr>
        <w:t>处理工艺流程见</w:t>
      </w:r>
      <w:r>
        <w:rPr>
          <w:rFonts w:hint="eastAsia"/>
          <w:lang w:eastAsia="zh-CN"/>
        </w:rPr>
        <w:fldChar w:fldCharType="begin"/>
      </w:r>
      <w:r>
        <w:rPr>
          <w:rFonts w:hint="eastAsia"/>
          <w:lang w:eastAsia="zh-CN"/>
        </w:rPr>
        <w:instrText xml:space="preserve"> REF _Ref17245 \h </w:instrText>
      </w:r>
      <w:r>
        <w:rPr>
          <w:rFonts w:hint="eastAsia"/>
          <w:lang w:eastAsia="zh-CN"/>
        </w:rPr>
        <w:fldChar w:fldCharType="separate"/>
      </w:r>
      <w:r>
        <w:t>图</w:t>
      </w:r>
      <w:r>
        <w:fldChar w:fldCharType="begin"/>
      </w:r>
      <w:r>
        <w:instrText xml:space="preserve"> STYLEREF 2 \s </w:instrText>
      </w:r>
      <w:r>
        <w:fldChar w:fldCharType="separate"/>
      </w:r>
      <w:r>
        <w:t>7.2</w:t>
      </w:r>
      <w:r>
        <w:fldChar w:fldCharType="end"/>
      </w:r>
      <w:r>
        <w:rPr>
          <w:rFonts w:hint="eastAsia"/>
          <w:lang w:eastAsia="zh-CN"/>
        </w:rPr>
        <w:t>-</w:t>
      </w:r>
      <w:r>
        <w:t>2</w:t>
      </w:r>
      <w:r>
        <w:rPr>
          <w:rFonts w:hint="eastAsia"/>
          <w:lang w:eastAsia="zh-CN"/>
        </w:rPr>
        <w:fldChar w:fldCharType="end"/>
      </w:r>
      <w:r>
        <w:rPr>
          <w:rFonts w:hint="eastAsia"/>
          <w:lang w:eastAsia="zh-CN"/>
        </w:rPr>
        <w:t>。</w:t>
      </w:r>
    </w:p>
    <w:p w14:paraId="7E65809B">
      <w:pPr>
        <w:pStyle w:val="25"/>
        <w:bidi w:val="0"/>
        <w:rPr>
          <w:rFonts w:hint="eastAsia"/>
          <w:lang w:val="en-US" w:eastAsia="zh-CN"/>
        </w:rPr>
      </w:pPr>
      <w:r>
        <w:rPr>
          <w:rFonts w:hint="eastAsia"/>
          <w:lang w:val="en-US" w:eastAsia="zh-CN"/>
        </w:rPr>
        <w:drawing>
          <wp:inline distT="0" distB="0" distL="0" distR="0">
            <wp:extent cx="3447415" cy="2166620"/>
            <wp:effectExtent l="0" t="0" r="635" b="508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43"/>
                    <a:stretch>
                      <a:fillRect/>
                    </a:stretch>
                  </pic:blipFill>
                  <pic:spPr>
                    <a:xfrm>
                      <a:off x="0" y="0"/>
                      <a:ext cx="3447588" cy="2166628"/>
                    </a:xfrm>
                    <a:prstGeom prst="rect">
                      <a:avLst/>
                    </a:prstGeom>
                  </pic:spPr>
                </pic:pic>
              </a:graphicData>
            </a:graphic>
          </wp:inline>
        </w:drawing>
      </w:r>
    </w:p>
    <w:p w14:paraId="5DA91E07">
      <w:pPr>
        <w:pStyle w:val="25"/>
        <w:bidi w:val="0"/>
        <w:rPr>
          <w:rFonts w:hint="eastAsia"/>
          <w:lang w:val="en-US" w:eastAsia="zh-CN"/>
        </w:rPr>
      </w:pPr>
      <w:bookmarkStart w:id="333" w:name="_Ref17245"/>
      <w:r>
        <w:t>图</w:t>
      </w:r>
      <w:r>
        <w:fldChar w:fldCharType="begin"/>
      </w:r>
      <w:r>
        <w:instrText xml:space="preserve"> STYLEREF 2 \s </w:instrText>
      </w:r>
      <w:r>
        <w:fldChar w:fldCharType="separate"/>
      </w:r>
      <w:r>
        <w:t>7.2</w:t>
      </w:r>
      <w:r>
        <w:fldChar w:fldCharType="end"/>
      </w:r>
      <w:r>
        <w:rPr>
          <w:rFonts w:hint="eastAsia"/>
          <w:lang w:eastAsia="zh-CN"/>
        </w:rPr>
        <w:t>-</w:t>
      </w:r>
      <w:r>
        <w:fldChar w:fldCharType="begin"/>
      </w:r>
      <w:r>
        <w:instrText xml:space="preserve"> SEQ 图 \* ARABIC \s 2 </w:instrText>
      </w:r>
      <w:r>
        <w:fldChar w:fldCharType="separate"/>
      </w:r>
      <w:r>
        <w:t>2</w:t>
      </w:r>
      <w:r>
        <w:fldChar w:fldCharType="end"/>
      </w:r>
      <w:bookmarkEnd w:id="333"/>
      <w:r>
        <w:rPr>
          <w:rFonts w:hint="eastAsia"/>
          <w:lang w:val="en-US" w:eastAsia="zh-CN"/>
        </w:rPr>
        <w:t>花桥污水处理厂污水处理工艺流程图</w:t>
      </w:r>
    </w:p>
    <w:p w14:paraId="68FF57A5">
      <w:pPr>
        <w:rPr>
          <w:rFonts w:hint="eastAsia"/>
          <w:color w:val="auto"/>
          <w:lang w:val="en-US" w:eastAsia="zh-CN"/>
        </w:rPr>
      </w:pPr>
      <w:r>
        <w:rPr>
          <w:rFonts w:hint="eastAsia"/>
          <w:color w:val="auto"/>
          <w:lang w:val="en-US" w:eastAsia="zh-CN"/>
        </w:rPr>
        <w:t>本项目新增生活污水接入昆山建邦环境投资有限公司花桥污水处理厂，经昆山建邦环境投资有限公司花桥污水处理厂处理后，尾水排放标准执行 pH 、SS最终排放执行江苏省地方标准 《 城镇污水处理厂污染物排放标准》 （DB32/4440-2022）表 1C 标准，该标准中未规定的其他指标执行《关于高质量推进城乡生活污水治理三年行动计划的实施意见》（苏委办发[2018]77·号）中附件 1·苏州特别排放限值。</w:t>
      </w:r>
    </w:p>
    <w:p w14:paraId="04B8DA19">
      <w:pPr>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废水接管可行性分析</w:t>
      </w:r>
    </w:p>
    <w:p w14:paraId="42DF5198">
      <w:pPr>
        <w:rPr>
          <w:color w:val="auto"/>
        </w:rPr>
      </w:pPr>
      <w:r>
        <w:rPr>
          <w:rFonts w:hint="eastAsia"/>
          <w:color w:val="auto"/>
          <w:lang w:val="en-US" w:eastAsia="zh-CN"/>
        </w:rPr>
        <w:t>根据调查，昆山运城压纹制版有限公司已经建成合规的污水排口，现有工程废水均已接管，因此，本项目新增污水可依托现有污水接管设施。</w:t>
      </w:r>
    </w:p>
    <w:p w14:paraId="210CF348">
      <w:pPr>
        <w:pStyle w:val="3"/>
        <w:rPr>
          <w:color w:val="auto"/>
        </w:rPr>
      </w:pPr>
      <w:bookmarkStart w:id="334" w:name="_Toc7143"/>
      <w:bookmarkStart w:id="335" w:name="_Toc11480"/>
      <w:r>
        <w:rPr>
          <w:rFonts w:hint="eastAsia"/>
          <w:color w:val="auto"/>
        </w:rPr>
        <w:t>噪声控制措施可行性分析</w:t>
      </w:r>
      <w:bookmarkEnd w:id="334"/>
      <w:bookmarkEnd w:id="335"/>
    </w:p>
    <w:p w14:paraId="723C937B">
      <w:pPr>
        <w:rPr>
          <w:rFonts w:hint="eastAsia"/>
          <w:color w:val="auto"/>
        </w:rPr>
      </w:pPr>
      <w:r>
        <w:rPr>
          <w:rFonts w:hint="eastAsia"/>
          <w:color w:val="auto"/>
        </w:rPr>
        <w:t>为了减少本项目噪声对周围环境的影响，将对项目噪声源进行分类治理，以期达到最好的降噪效果。采取的噪声污染防治措施主要有：</w:t>
      </w:r>
    </w:p>
    <w:p w14:paraId="6744F650">
      <w:pPr>
        <w:rPr>
          <w:rFonts w:hint="eastAsia"/>
          <w:color w:val="auto"/>
        </w:rPr>
      </w:pPr>
      <w:r>
        <w:rPr>
          <w:rFonts w:hint="eastAsia"/>
          <w:color w:val="auto"/>
        </w:rPr>
        <w:t>（1）设备减振、隔声</w:t>
      </w:r>
    </w:p>
    <w:p w14:paraId="308D7697">
      <w:pPr>
        <w:rPr>
          <w:rFonts w:hint="eastAsia"/>
          <w:color w:val="auto"/>
        </w:rPr>
      </w:pPr>
      <w:r>
        <w:rPr>
          <w:rFonts w:hint="eastAsia"/>
          <w:color w:val="auto"/>
        </w:rPr>
        <w:t>对各类风机安装隔声罩，并在机组与地基之间安置减震器，在风机与排气筒之间设置软连接。</w:t>
      </w:r>
    </w:p>
    <w:p w14:paraId="0B9EEAAE">
      <w:pPr>
        <w:rPr>
          <w:rFonts w:hint="eastAsia"/>
          <w:color w:val="auto"/>
        </w:rPr>
      </w:pPr>
      <w:r>
        <w:rPr>
          <w:rFonts w:hint="eastAsia"/>
          <w:color w:val="auto"/>
        </w:rPr>
        <w:t>（2）加强建筑物隔声措施</w:t>
      </w:r>
    </w:p>
    <w:p w14:paraId="33C2EEA0">
      <w:pPr>
        <w:rPr>
          <w:rFonts w:hint="eastAsia"/>
          <w:color w:val="auto"/>
        </w:rPr>
      </w:pPr>
      <w:r>
        <w:rPr>
          <w:rFonts w:hint="eastAsia"/>
          <w:color w:val="auto"/>
        </w:rPr>
        <w:t>项目主要生产设备均安置在室内，有效利用了建筑隔声，并采取隔声、吸声材料制作门窗、墙体等，防止噪声的扩散和传播，采取隔声措施。</w:t>
      </w:r>
    </w:p>
    <w:p w14:paraId="75D5D257">
      <w:pPr>
        <w:rPr>
          <w:rFonts w:hint="eastAsia"/>
          <w:color w:val="auto"/>
        </w:rPr>
      </w:pPr>
      <w:r>
        <w:rPr>
          <w:rFonts w:hint="eastAsia"/>
          <w:color w:val="auto"/>
        </w:rPr>
        <w:t>（3）强化生产管理</w:t>
      </w:r>
    </w:p>
    <w:p w14:paraId="77B4F10E">
      <w:pPr>
        <w:rPr>
          <w:rFonts w:hint="eastAsia"/>
          <w:color w:val="auto"/>
        </w:rPr>
      </w:pPr>
      <w:r>
        <w:rPr>
          <w:rFonts w:hint="eastAsia"/>
          <w:color w:val="auto"/>
        </w:rPr>
        <w:t>确保各类降噪措施有效运行，加强设备的维护，确保各设备均保持良好运行状态，杜绝因设备不正常运转时产生的高噪声现象；加强职工环保意识教育，提倡文明生产，防止人为噪声；加强管理，防止突发噪声。</w:t>
      </w:r>
    </w:p>
    <w:p w14:paraId="3114B073">
      <w:pPr>
        <w:rPr>
          <w:color w:val="auto"/>
        </w:rPr>
      </w:pPr>
      <w:r>
        <w:rPr>
          <w:rFonts w:hint="eastAsia"/>
          <w:color w:val="auto"/>
        </w:rPr>
        <w:t>通过采取以上噪声污染防治措施，主要噪声源降噪在20dB以上。噪声环境影响预测结果表明，采取降噪措施后，主要噪声源对厂界噪声影响很小，厂界噪声能够达标。因此，上述噪声污染防治措施是可行的。</w:t>
      </w:r>
    </w:p>
    <w:p w14:paraId="1CCD2FC3">
      <w:pPr>
        <w:pStyle w:val="3"/>
        <w:rPr>
          <w:color w:val="auto"/>
        </w:rPr>
      </w:pPr>
      <w:bookmarkStart w:id="336" w:name="_Toc20113"/>
      <w:bookmarkStart w:id="337" w:name="_Toc8289"/>
      <w:r>
        <w:rPr>
          <w:rFonts w:hint="eastAsia"/>
          <w:color w:val="auto"/>
        </w:rPr>
        <w:t>固体废物治理措施可行性分析</w:t>
      </w:r>
      <w:bookmarkEnd w:id="336"/>
      <w:bookmarkEnd w:id="337"/>
    </w:p>
    <w:p w14:paraId="2F62AB5B">
      <w:pPr>
        <w:pStyle w:val="4"/>
        <w:bidi w:val="0"/>
        <w:rPr>
          <w:rFonts w:hint="eastAsia"/>
          <w:color w:val="auto"/>
        </w:rPr>
      </w:pPr>
      <w:bookmarkStart w:id="338" w:name="_Toc28256"/>
      <w:bookmarkStart w:id="339" w:name="_Toc18839"/>
      <w:r>
        <w:rPr>
          <w:rFonts w:hint="eastAsia"/>
          <w:color w:val="auto"/>
        </w:rPr>
        <w:t>固废暂存管理要求</w:t>
      </w:r>
      <w:bookmarkEnd w:id="338"/>
      <w:bookmarkEnd w:id="339"/>
    </w:p>
    <w:p w14:paraId="3E946145">
      <w:pPr>
        <w:rPr>
          <w:color w:val="auto"/>
        </w:rPr>
      </w:pPr>
      <w:r>
        <w:rPr>
          <w:rFonts w:hint="eastAsia"/>
          <w:color w:val="auto"/>
        </w:rPr>
        <w:t>厂区已建有的危废暂存场所（危废仓库）严格按照《危险废物贮存污染控制标准》（GB18597-2023）等文件要求规范建设和维护使用。具体情况如下：</w:t>
      </w:r>
    </w:p>
    <w:p w14:paraId="5D647732">
      <w:pPr>
        <w:rPr>
          <w:color w:val="auto"/>
        </w:rPr>
      </w:pPr>
      <w:r>
        <w:rPr>
          <w:rFonts w:hint="eastAsia"/>
          <w:color w:val="auto"/>
        </w:rPr>
        <w:t>1、收集、贮存、运输危险废物的设施、场所显著位置张贴危险废物的标识，需根据《危险废物贮存污染控制标准》（GB18597-2023）附录A</w:t>
      </w:r>
      <w:r>
        <w:rPr>
          <w:rFonts w:hint="eastAsia"/>
          <w:color w:val="auto"/>
          <w:lang w:eastAsia="zh-CN"/>
        </w:rPr>
        <w:t>、</w:t>
      </w:r>
      <w:r>
        <w:rPr>
          <w:rFonts w:hint="eastAsia"/>
          <w:color w:val="auto"/>
        </w:rPr>
        <w:t>《环境保护图形标志-固体废物贮存（处置）场》（GB15562.2-1995）</w:t>
      </w:r>
      <w:r>
        <w:rPr>
          <w:rFonts w:hint="eastAsia"/>
          <w:color w:val="auto"/>
          <w:lang w:val="en-US" w:eastAsia="zh-CN"/>
        </w:rPr>
        <w:t>及修改单和《</w:t>
      </w:r>
      <w:r>
        <w:rPr>
          <w:rFonts w:hint="eastAsia"/>
          <w:color w:val="auto"/>
          <w:lang w:val="en-US" w:eastAsia="zh-CN"/>
        </w:rPr>
        <w:fldChar w:fldCharType="begin"/>
      </w:r>
      <w:r>
        <w:rPr>
          <w:rFonts w:hint="eastAsia"/>
          <w:color w:val="auto"/>
          <w:lang w:val="en-US" w:eastAsia="zh-CN"/>
        </w:rPr>
        <w:instrText xml:space="preserve"> HYPERLINK "https://www.mee.gov.cn/ywgz/fgbz/bz/bzwb/gthw/wxfwjbffbz/202302/W020230224650971041729.pdf" </w:instrText>
      </w:r>
      <w:r>
        <w:rPr>
          <w:rFonts w:hint="eastAsia"/>
          <w:color w:val="auto"/>
          <w:lang w:val="en-US" w:eastAsia="zh-CN"/>
        </w:rPr>
        <w:fldChar w:fldCharType="separate"/>
      </w:r>
      <w:r>
        <w:rPr>
          <w:rFonts w:hint="eastAsia"/>
          <w:color w:val="auto"/>
          <w:lang w:val="en-US" w:eastAsia="zh-CN"/>
        </w:rPr>
        <w:t>危险废物识别标志设置技术规范</w:t>
      </w:r>
      <w:r>
        <w:rPr>
          <w:rFonts w:hint="eastAsia"/>
          <w:color w:val="auto"/>
          <w:lang w:val="en-US" w:eastAsia="zh-CN"/>
        </w:rPr>
        <w:fldChar w:fldCharType="end"/>
      </w:r>
      <w:r>
        <w:rPr>
          <w:rFonts w:hint="eastAsia"/>
          <w:color w:val="auto"/>
          <w:lang w:val="en-US" w:eastAsia="zh-CN"/>
        </w:rPr>
        <w:t>》（HJ1276—2022）</w:t>
      </w:r>
      <w:r>
        <w:rPr>
          <w:rFonts w:hint="eastAsia"/>
          <w:color w:val="auto"/>
        </w:rPr>
        <w:t>所示标签设置危险废物识别。</w:t>
      </w:r>
    </w:p>
    <w:p w14:paraId="723D9EEA">
      <w:pPr>
        <w:rPr>
          <w:color w:val="auto"/>
        </w:rPr>
      </w:pPr>
      <w:r>
        <w:rPr>
          <w:rFonts w:hint="eastAsia"/>
          <w:color w:val="auto"/>
        </w:rPr>
        <w:t>2、从源头分类：危险废物采用与危废相容的耐腐蚀、高强度的容器贮存，满足《危险废物贮存污染控制标准》中对贮存容器的要求，根据《危险废物贮存污染控制标准》（GB18597-2023）附录A所示标签在包装容器上设置危险废物识别标志，危险废物包装应能有效隔断危险废物迁移扩散途径，并达到防渗、防漏要求；危险废物按种类分别存放，且不同类废物间有明显的间隔。根据固体废物的特性，危废采用符合要求的包装容器如防腐碳钢包装材质。</w:t>
      </w:r>
    </w:p>
    <w:p w14:paraId="41066A79">
      <w:pPr>
        <w:rPr>
          <w:color w:val="auto"/>
        </w:rPr>
      </w:pPr>
      <w:r>
        <w:rPr>
          <w:rFonts w:hint="eastAsia"/>
          <w:color w:val="auto"/>
        </w:rPr>
        <w:t>3、危废仓库按照《危险废物贮存污染控制标准》（GB18597-2023）要求进行建设，设置防渗、防漏、防雨等措施。暂存场所采取基础防渗（其厚度应在1米以上，渗透系数应≤10</w:t>
      </w:r>
      <w:r>
        <w:rPr>
          <w:rFonts w:hint="eastAsia"/>
          <w:color w:val="auto"/>
          <w:vertAlign w:val="superscript"/>
        </w:rPr>
        <w:t>-7</w:t>
      </w:r>
      <w:r>
        <w:rPr>
          <w:rFonts w:hint="eastAsia"/>
          <w:color w:val="auto"/>
        </w:rPr>
        <w:t>cm/s；基础防渗层也可用厚度在2毫米以上的高密度聚乙烯或其他人工防渗材料组成，渗透系数应≤10</w:t>
      </w:r>
      <w:r>
        <w:rPr>
          <w:rFonts w:hint="eastAsia"/>
          <w:color w:val="auto"/>
          <w:vertAlign w:val="superscript"/>
        </w:rPr>
        <w:t>-10</w:t>
      </w:r>
      <w:r>
        <w:rPr>
          <w:rFonts w:hint="eastAsia"/>
          <w:color w:val="auto"/>
        </w:rPr>
        <w:t>cm/s）。</w:t>
      </w:r>
    </w:p>
    <w:p w14:paraId="5BF68E72">
      <w:pPr>
        <w:rPr>
          <w:rFonts w:hint="eastAsia"/>
          <w:color w:val="auto"/>
          <w:lang w:val="en-US" w:eastAsia="zh-CN"/>
        </w:rPr>
      </w:pPr>
      <w:r>
        <w:rPr>
          <w:rFonts w:hint="eastAsia"/>
          <w:color w:val="auto"/>
        </w:rPr>
        <w:t>4、</w:t>
      </w:r>
      <w:r>
        <w:rPr>
          <w:rFonts w:hint="eastAsia"/>
          <w:color w:val="auto"/>
          <w:lang w:val="en-US" w:eastAsia="zh-CN"/>
        </w:rPr>
        <w:t>临时贮存点按照《危险废物贮存污染控制标准》（GB18597-2023）要求进行建设，设置固定的区域边界，并采取与其他区域进行隔离的措施；采取防风、防雨、防晒和防止危险废物流失、扬散等措施；贮存的危险废物置于容器或包装物中，不直接散堆；根据危险废物的形态、物理化学性质、包装形式等，采取防渗、防漏等污染防治措施或采用具有相应功能的装置；及时清运贮存的危险废物，实时贮存量不超过3吨。</w:t>
      </w:r>
    </w:p>
    <w:p w14:paraId="2E2F7A5A">
      <w:pPr>
        <w:rPr>
          <w:color w:val="auto"/>
        </w:rPr>
      </w:pPr>
      <w:r>
        <w:rPr>
          <w:rFonts w:hint="eastAsia"/>
          <w:color w:val="auto"/>
          <w:lang w:val="en-US" w:eastAsia="zh-CN"/>
        </w:rPr>
        <w:t>5、</w:t>
      </w:r>
      <w:r>
        <w:rPr>
          <w:rFonts w:hint="eastAsia"/>
          <w:color w:val="auto"/>
        </w:rPr>
        <w:t>建立各种固废的全部档案，从废物特性、数量、倾倒位置、来源、去向等一切文件资料，必须按国家档案管理条例进行整理与管理，保证完整无缺。</w:t>
      </w:r>
    </w:p>
    <w:p w14:paraId="6E7592BA">
      <w:pPr>
        <w:rPr>
          <w:color w:val="auto"/>
        </w:rPr>
      </w:pPr>
      <w:r>
        <w:rPr>
          <w:rFonts w:hint="eastAsia"/>
          <w:color w:val="auto"/>
          <w:lang w:val="en-US" w:eastAsia="zh-CN"/>
        </w:rPr>
        <w:t>6</w:t>
      </w:r>
      <w:r>
        <w:rPr>
          <w:rFonts w:hint="eastAsia"/>
          <w:color w:val="auto"/>
        </w:rPr>
        <w:t>、贮存场所地面须作硬化处理，场所有雨棚、围堰或围墙；场所应设置警示标志。装载危险废物的容器完好无损。</w:t>
      </w:r>
    </w:p>
    <w:p w14:paraId="2F8AE714">
      <w:pPr>
        <w:rPr>
          <w:color w:val="auto"/>
        </w:rPr>
      </w:pPr>
      <w:r>
        <w:rPr>
          <w:rFonts w:hint="eastAsia"/>
          <w:color w:val="auto"/>
          <w:lang w:val="en-US" w:eastAsia="zh-CN"/>
        </w:rPr>
        <w:t>7</w:t>
      </w:r>
      <w:r>
        <w:rPr>
          <w:rFonts w:hint="eastAsia"/>
          <w:color w:val="auto"/>
        </w:rPr>
        <w:t>、本项目应加强危险储存场所的安全防范措施，防止破损、倾倒等情况发生，防止出现危险废物渗滤液、有机废气等二次污染情况。</w:t>
      </w:r>
    </w:p>
    <w:p w14:paraId="7ECFA754">
      <w:pPr>
        <w:rPr>
          <w:color w:val="auto"/>
        </w:rPr>
      </w:pPr>
      <w:r>
        <w:rPr>
          <w:rFonts w:hint="eastAsia"/>
          <w:color w:val="auto"/>
        </w:rPr>
        <w:t>本项目同时应结合《省生态环境厅关于印发&lt;江苏省固体废物全过程环境监管工作意见&gt;的通知》(苏环办[2024]16号）相关要求，落实贮存管理、转移过程管理、信息公开制度等相关要求。</w:t>
      </w:r>
    </w:p>
    <w:p w14:paraId="7F534323">
      <w:pPr>
        <w:pStyle w:val="4"/>
        <w:rPr>
          <w:color w:val="auto"/>
        </w:rPr>
      </w:pPr>
      <w:bookmarkStart w:id="340" w:name="_Toc21261"/>
      <w:bookmarkStart w:id="341" w:name="_Toc27384"/>
      <w:r>
        <w:rPr>
          <w:rFonts w:hint="eastAsia"/>
          <w:color w:val="auto"/>
        </w:rPr>
        <w:t>运输过程的污染防治措施</w:t>
      </w:r>
      <w:bookmarkEnd w:id="340"/>
      <w:bookmarkEnd w:id="341"/>
    </w:p>
    <w:p w14:paraId="38439F36">
      <w:pPr>
        <w:rPr>
          <w:color w:val="auto"/>
        </w:rPr>
      </w:pPr>
      <w:r>
        <w:rPr>
          <w:rFonts w:hint="eastAsia"/>
          <w:color w:val="auto"/>
        </w:rPr>
        <w:t>负责运输，车辆除驾驶员外配备持证押运员一名，废物运输严格按照指定路线</w:t>
      </w:r>
      <w:r>
        <w:rPr>
          <w:rFonts w:hint="eastAsia"/>
          <w:color w:val="auto"/>
          <w:lang w:eastAsia="zh-CN"/>
        </w:rPr>
        <w:t>行驶</w:t>
      </w:r>
      <w:r>
        <w:rPr>
          <w:rFonts w:hint="eastAsia"/>
          <w:color w:val="auto"/>
        </w:rPr>
        <w:t>，全程GPS定位，危险废物从出厂开始即受到监控，直至到达处置单位。车辆配备有消防灭火器材，简单泄漏收集器材（如小桶，少量黄沙等），随车均携带装运废物转移联单，明确所装废物的主要危险特性，应急处置措施，并写有相关联系人、联系电话等信息。</w:t>
      </w:r>
    </w:p>
    <w:p w14:paraId="153F9A16">
      <w:pPr>
        <w:rPr>
          <w:color w:val="auto"/>
        </w:rPr>
      </w:pPr>
      <w:r>
        <w:rPr>
          <w:rFonts w:hint="eastAsia"/>
          <w:color w:val="auto"/>
        </w:rPr>
        <w:t>本项目危险废物的转运必须填写转移联单，且必须符合国家及江苏省对危险废物转运的相关规定。</w:t>
      </w:r>
    </w:p>
    <w:p w14:paraId="4406EBB3">
      <w:pPr>
        <w:rPr>
          <w:color w:val="auto"/>
        </w:rPr>
      </w:pPr>
      <w:r>
        <w:rPr>
          <w:rFonts w:hint="eastAsia"/>
          <w:color w:val="auto"/>
        </w:rPr>
        <w:t>1、运输方式</w:t>
      </w:r>
    </w:p>
    <w:p w14:paraId="588D0439">
      <w:pPr>
        <w:rPr>
          <w:color w:val="auto"/>
        </w:rPr>
      </w:pPr>
      <w:r>
        <w:rPr>
          <w:rFonts w:hint="eastAsia"/>
          <w:color w:val="auto"/>
        </w:rPr>
        <w:t>本项目危废处置由有资质单位统一负责，运输车辆、驾驶员、押运人员等均由有资质单位统一委派；危险废物均采用卡车道路运输，优先选用目前危废运输较为普遍使用的厢式货车，该运输的优点是可以防止危废运输过程中的抛撒，防止车辆因颠簸、振动导致废弃物的倾翻，泄漏；敞开式半挂车运输则需采用雨布覆盖、捆扎进行固定。废包装桶装车后会用绳捆扎，严格按照每车最大运输只数装载，严禁超载超负。</w:t>
      </w:r>
    </w:p>
    <w:p w14:paraId="34E7E283">
      <w:pPr>
        <w:rPr>
          <w:color w:val="auto"/>
        </w:rPr>
      </w:pPr>
      <w:r>
        <w:rPr>
          <w:rFonts w:hint="eastAsia"/>
          <w:color w:val="auto"/>
        </w:rPr>
        <w:t>2、运输线路</w:t>
      </w:r>
    </w:p>
    <w:p w14:paraId="3EE99355">
      <w:pPr>
        <w:rPr>
          <w:color w:val="auto"/>
        </w:rPr>
      </w:pPr>
      <w:r>
        <w:rPr>
          <w:rFonts w:hint="eastAsia"/>
          <w:color w:val="auto"/>
        </w:rPr>
        <w:t>本项目产生的危险废物经容器收集后使用专用的工具（如推车）经指定路线运输至危废仓库内暂存，厂区内部转运应综合考虑厂区的实际情况确定转运路线，填写《危险废物厂内转运记录表》；内部转运结束后，应对转运路线进行检查和清理，确保无危险废物遗失在转运路线上。</w:t>
      </w:r>
    </w:p>
    <w:p w14:paraId="21C5F242">
      <w:pPr>
        <w:rPr>
          <w:color w:val="auto"/>
        </w:rPr>
      </w:pPr>
      <w:r>
        <w:rPr>
          <w:rFonts w:hint="eastAsia"/>
          <w:color w:val="auto"/>
        </w:rPr>
        <w:t>厂外运输由有资质单位按照其经营范围的专业运输公司进行运输，运输方式为道路运输。危险废物在运输过程中严格执行《道路危险货物运输管理规定》（</w:t>
      </w:r>
      <w:r>
        <w:rPr>
          <w:rFonts w:hint="eastAsia"/>
          <w:color w:val="auto"/>
          <w:lang w:eastAsia="zh-CN"/>
        </w:rPr>
        <w:t>交通运输部</w:t>
      </w:r>
      <w:r>
        <w:rPr>
          <w:rFonts w:hint="eastAsia"/>
          <w:color w:val="auto"/>
        </w:rPr>
        <w:t>令[2005]第9号）中相关规定，运输车辆按照GB13392设置车辆标志。该单位在事先必须作出周密的运输计划和行驶路线，其中包括有效的废物泄漏情况下的应急措施。危险废物运输途中应避开经过医院、学校和居民区等人口密集区，避开饮用水水源保护区、自然保护区等敏感区域。</w:t>
      </w:r>
    </w:p>
    <w:p w14:paraId="41EB814D">
      <w:pPr>
        <w:rPr>
          <w:color w:val="auto"/>
        </w:rPr>
      </w:pPr>
      <w:r>
        <w:rPr>
          <w:rFonts w:hint="eastAsia"/>
          <w:color w:val="auto"/>
        </w:rPr>
        <w:t>3、运输环节的污染防治措施</w:t>
      </w:r>
    </w:p>
    <w:p w14:paraId="02CC5113">
      <w:pPr>
        <w:rPr>
          <w:color w:val="auto"/>
        </w:rPr>
      </w:pPr>
      <w:r>
        <w:rPr>
          <w:rFonts w:hint="eastAsia"/>
          <w:color w:val="auto"/>
        </w:rPr>
        <w:t>危险废物运输过程中一旦发生意外事故，运输单位应根据风险程度采取如下措施：①设立事故警戒线，启动应急预案；②若造成事故的危险废物具有剧毒性、易燃性、爆炸性或高传染性，应立即疏散人群，并请求环境保护、消防、医疗、公安等相关部门支援；③对事故现场</w:t>
      </w:r>
      <w:r>
        <w:rPr>
          <w:rFonts w:hint="eastAsia"/>
          <w:color w:val="auto"/>
          <w:lang w:eastAsia="zh-CN"/>
        </w:rPr>
        <w:t>受到</w:t>
      </w:r>
      <w:r>
        <w:rPr>
          <w:rFonts w:hint="eastAsia"/>
          <w:color w:val="auto"/>
        </w:rPr>
        <w:t>污染的土壤和水体等环境介质应进行相关的清理和修复；④清理过程中产生的所有废物均应按危险废物进行管理和处置；⑤进入现场清理和包装危险废物的人员应受过专业培训，穿着防护服，并佩戴相应的防护用具。</w:t>
      </w:r>
    </w:p>
    <w:p w14:paraId="734F012B">
      <w:pPr>
        <w:rPr>
          <w:color w:val="auto"/>
        </w:rPr>
      </w:pPr>
      <w:r>
        <w:rPr>
          <w:rFonts w:hint="eastAsia"/>
          <w:color w:val="auto"/>
        </w:rPr>
        <w:t>本项目严格按照《危险废物收集贮存运输技术规范》（HJ2025-2012）、《道路危险货物运输管理规定》（2016）、《危险化学品安全管理条例》（2013）等相关管理要求落实危险废物运输管理和污染防治措施。</w:t>
      </w:r>
    </w:p>
    <w:p w14:paraId="38ECC277">
      <w:pPr>
        <w:pStyle w:val="4"/>
        <w:rPr>
          <w:color w:val="auto"/>
        </w:rPr>
      </w:pPr>
      <w:bookmarkStart w:id="342" w:name="_Toc12777"/>
      <w:bookmarkStart w:id="343" w:name="_Toc30335"/>
      <w:r>
        <w:rPr>
          <w:rFonts w:hint="eastAsia"/>
          <w:color w:val="auto"/>
        </w:rPr>
        <w:t>危险废物规范化管理指标体系</w:t>
      </w:r>
      <w:bookmarkEnd w:id="342"/>
      <w:bookmarkEnd w:id="343"/>
    </w:p>
    <w:p w14:paraId="6DED12BD">
      <w:pPr>
        <w:rPr>
          <w:color w:val="auto"/>
        </w:rPr>
      </w:pPr>
      <w:r>
        <w:rPr>
          <w:rFonts w:hint="eastAsia"/>
          <w:color w:val="auto"/>
        </w:rPr>
        <w:t>根据《省生态环境厅关于印发江苏省危险废物贮存规范化管理专项整治行动方案的通知》（苏环办[2019]149）、《“十四五”全国危险废物规范化环境管理评估工作方案(环办固体[2021]20号》、《省生态环境厅关于印发＜江苏省固体废物全过程环境监管工作意见＞的通知》（苏环办〔2024〕16号）等文件的要求，建设单位将进一步完善危险废物管理的相关工作。</w:t>
      </w:r>
    </w:p>
    <w:p w14:paraId="3AF4CFC0">
      <w:pPr>
        <w:rPr>
          <w:color w:val="auto"/>
        </w:rPr>
      </w:pPr>
      <w:r>
        <w:rPr>
          <w:rFonts w:hint="eastAsia"/>
          <w:color w:val="auto"/>
        </w:rPr>
        <w:t>本项目实施后，建设单位严格按照《危险废物规范化管理指标体系》规范全厂的危险固废管理及防治，具体如下：</w:t>
      </w:r>
    </w:p>
    <w:p w14:paraId="5CD2D296">
      <w:pPr>
        <w:rPr>
          <w:color w:val="auto"/>
        </w:rPr>
      </w:pPr>
      <w:r>
        <w:rPr>
          <w:rFonts w:hint="eastAsia"/>
          <w:color w:val="auto"/>
        </w:rPr>
        <w:t>1、建立污染环境防治责任制度</w:t>
      </w:r>
    </w:p>
    <w:p w14:paraId="1EE5BC88">
      <w:pPr>
        <w:rPr>
          <w:color w:val="auto"/>
        </w:rPr>
      </w:pPr>
      <w:r>
        <w:rPr>
          <w:rFonts w:hint="eastAsia"/>
          <w:color w:val="auto"/>
        </w:rPr>
        <w:t>企业按要求建立、健全污染环境防治责任制度，明确责任人。负责人熟悉危险废物管理相关法规、制度、标准、规范。采取防治工业固体废物污染环境的措施。执行危险废物污染防治责任信息公开制度，在显著位置张贴危险废物防治责任信息。</w:t>
      </w:r>
    </w:p>
    <w:p w14:paraId="6E7E606E">
      <w:pPr>
        <w:rPr>
          <w:color w:val="auto"/>
        </w:rPr>
      </w:pPr>
      <w:r>
        <w:rPr>
          <w:rFonts w:hint="eastAsia"/>
          <w:color w:val="auto"/>
        </w:rPr>
        <w:t>2、建立标识制度</w:t>
      </w:r>
    </w:p>
    <w:p w14:paraId="0146508E">
      <w:pPr>
        <w:rPr>
          <w:color w:val="auto"/>
        </w:rPr>
      </w:pPr>
      <w:r>
        <w:rPr>
          <w:rFonts w:hint="eastAsia"/>
          <w:color w:val="auto"/>
        </w:rPr>
        <w:t>根据《危险废物贮存污染控制标准》（GB18597-2023）附录A所示标签，危险废物的容器和包装物必须设置危险废物识别标志。收集、贮存、运输、利用、处置危险废物的设施、场所显著位置张贴危险废物的标识，需根据《危险废物贮存污染控制标准》（GB18597-2023）以及《环境保护图形标志-固体废物贮存（处置）场》（GB15562.2-1995）所示标签设置危险废物识别。</w:t>
      </w:r>
    </w:p>
    <w:p w14:paraId="018CFCFB">
      <w:pPr>
        <w:rPr>
          <w:color w:val="auto"/>
        </w:rPr>
      </w:pPr>
      <w:r>
        <w:rPr>
          <w:rFonts w:hint="eastAsia"/>
          <w:color w:val="auto"/>
        </w:rPr>
        <w:t>3、制定危险废物管理计划</w:t>
      </w:r>
    </w:p>
    <w:p w14:paraId="18D1CECD">
      <w:pPr>
        <w:rPr>
          <w:color w:val="auto"/>
        </w:rPr>
      </w:pPr>
      <w:r>
        <w:rPr>
          <w:rFonts w:hint="eastAsia"/>
          <w:color w:val="auto"/>
        </w:rPr>
        <w:t>按要求制定危险废物管理计划，计划涵盖危险废物的产生环节、种类、危害特性、产生量、利用处置方式描述清晰并报当地环保部门备案，危险废物管理计划内容如发生重大改变的，应当及时申报。</w:t>
      </w:r>
    </w:p>
    <w:p w14:paraId="43F7547E">
      <w:pPr>
        <w:rPr>
          <w:color w:val="auto"/>
        </w:rPr>
      </w:pPr>
      <w:r>
        <w:rPr>
          <w:rFonts w:hint="eastAsia"/>
          <w:color w:val="auto"/>
        </w:rPr>
        <w:t>4、建立申报登记制度</w:t>
      </w:r>
    </w:p>
    <w:p w14:paraId="027131F1">
      <w:pPr>
        <w:rPr>
          <w:color w:val="auto"/>
        </w:rPr>
      </w:pPr>
      <w:r>
        <w:rPr>
          <w:rFonts w:hint="eastAsia"/>
          <w:color w:val="auto"/>
        </w:rPr>
        <w:t>如实地向所在地县级以上环保部门申报危险废物的种类、产生量、流向、贮存、处置等有关资料，申报事项有重大改变的，应当及时申报。</w:t>
      </w:r>
    </w:p>
    <w:p w14:paraId="4B95A359">
      <w:pPr>
        <w:rPr>
          <w:color w:val="auto"/>
        </w:rPr>
      </w:pPr>
      <w:r>
        <w:rPr>
          <w:rFonts w:hint="eastAsia"/>
          <w:color w:val="auto"/>
        </w:rPr>
        <w:t>5、源头分类制度</w:t>
      </w:r>
    </w:p>
    <w:p w14:paraId="46A85B09">
      <w:pPr>
        <w:rPr>
          <w:color w:val="auto"/>
        </w:rPr>
      </w:pPr>
      <w:r>
        <w:rPr>
          <w:rFonts w:hint="eastAsia"/>
          <w:color w:val="auto"/>
        </w:rPr>
        <w:t>危险废物按种类分别进行收集、分类存放，且不同类废物间有明显的间隔（如过道等）。</w:t>
      </w:r>
    </w:p>
    <w:p w14:paraId="43B9409C">
      <w:pPr>
        <w:rPr>
          <w:color w:val="auto"/>
        </w:rPr>
      </w:pPr>
      <w:r>
        <w:rPr>
          <w:rFonts w:hint="eastAsia"/>
          <w:color w:val="auto"/>
        </w:rPr>
        <w:t>6、转移联单制度</w:t>
      </w:r>
    </w:p>
    <w:p w14:paraId="34F0806E">
      <w:pPr>
        <w:rPr>
          <w:color w:val="auto"/>
        </w:rPr>
      </w:pPr>
      <w:r>
        <w:rPr>
          <w:rFonts w:hint="eastAsia"/>
          <w:color w:val="auto"/>
        </w:rPr>
        <w:t>在转移危险废物前，向环保部门报批危险废物转移计划，并得到批准；转移的危险废物的，如实填写转移联单中产生的单位栏目，并加盖公章；转移联单保存齐全。</w:t>
      </w:r>
    </w:p>
    <w:p w14:paraId="097BDB0C">
      <w:pPr>
        <w:rPr>
          <w:color w:val="auto"/>
        </w:rPr>
      </w:pPr>
      <w:r>
        <w:rPr>
          <w:rFonts w:hint="eastAsia"/>
          <w:color w:val="auto"/>
        </w:rPr>
        <w:t>7、经营许可证制度</w:t>
      </w:r>
    </w:p>
    <w:p w14:paraId="6F8F2217">
      <w:pPr>
        <w:rPr>
          <w:color w:val="auto"/>
        </w:rPr>
      </w:pPr>
      <w:r>
        <w:rPr>
          <w:rFonts w:hint="eastAsia"/>
          <w:color w:val="auto"/>
        </w:rPr>
        <w:t>转移的危险废物，全部提供或委托给持危险废物经营许可证的单位进行收集、贮存、利用、处置，并有与持危险废物经营许可证的单位签订的委托合同。</w:t>
      </w:r>
    </w:p>
    <w:p w14:paraId="611BB82D">
      <w:pPr>
        <w:rPr>
          <w:color w:val="auto"/>
        </w:rPr>
      </w:pPr>
      <w:r>
        <w:rPr>
          <w:rFonts w:hint="eastAsia"/>
          <w:color w:val="auto"/>
        </w:rPr>
        <w:t>8、应急预案备案制度</w:t>
      </w:r>
    </w:p>
    <w:p w14:paraId="7F757EDE">
      <w:pPr>
        <w:rPr>
          <w:color w:val="auto"/>
        </w:rPr>
      </w:pPr>
      <w:r>
        <w:rPr>
          <w:rFonts w:hint="eastAsia"/>
          <w:color w:val="auto"/>
        </w:rPr>
        <w:t>制定意外事故的防范措施，按《固废法》的要求编制固废应急预案或在企业环保应急预案中需要涵盖固废应急处置内容（综合性应急预案有相关篇章或有专门应急预案），并向当地环保部门备案，按照预案要求每年组织应急演练。</w:t>
      </w:r>
    </w:p>
    <w:p w14:paraId="599119C3">
      <w:pPr>
        <w:rPr>
          <w:color w:val="auto"/>
        </w:rPr>
      </w:pPr>
      <w:r>
        <w:rPr>
          <w:rFonts w:hint="eastAsia"/>
          <w:color w:val="auto"/>
        </w:rPr>
        <w:t>9、建立业务培训制度</w:t>
      </w:r>
    </w:p>
    <w:p w14:paraId="2E962548">
      <w:pPr>
        <w:rPr>
          <w:color w:val="auto"/>
        </w:rPr>
      </w:pPr>
      <w:r>
        <w:rPr>
          <w:rFonts w:hint="eastAsia"/>
          <w:color w:val="auto"/>
        </w:rPr>
        <w:t>根据《关于进一步加强危险废物和医疗废物监管工作的意见》（环发[2011]19号），对本单位固废相关人员进行培训。相关管理人员和从事危险废物收集、运输、暂存、利用和处置等工作的人员掌握国家相关法律法规、规章和有关规范性文件的规定；熟悉本单位制定的危险废物管理规章制度、工作流程和应急预案等各项要求；掌握危险废物分类收集、运输、暂存的正确方法和操作程序。</w:t>
      </w:r>
    </w:p>
    <w:p w14:paraId="51211405">
      <w:pPr>
        <w:rPr>
          <w:color w:val="auto"/>
        </w:rPr>
      </w:pPr>
      <w:r>
        <w:rPr>
          <w:rFonts w:hint="eastAsia"/>
          <w:color w:val="auto"/>
        </w:rPr>
        <w:t>10、贮存设施管理</w:t>
      </w:r>
    </w:p>
    <w:p w14:paraId="7D09EDFD">
      <w:pPr>
        <w:rPr>
          <w:color w:val="auto"/>
        </w:rPr>
      </w:pPr>
      <w:r>
        <w:rPr>
          <w:rFonts w:hint="eastAsia"/>
          <w:color w:val="auto"/>
        </w:rPr>
        <w:t>企业需按照该文设立规范的危险废物识别标识标志。并配备通讯设备、照明设施和消防设施，设置气体导出口及气体净化装置，确保废气达标排放；在出入口、设施内部、危险废物运输车辆通道等关键位置按照危险废物贮存设施视频监控布设要求设置视频监控，并与中控室联网。鼓励有条件的企业采用云存储方式保存视频监控数据。企业应根据危险废物的种类和特性进行分区、分类贮存，设置防雨、防火、防雷、防扬散、防渗漏装置及泄漏液体收集装置。对易爆、易燃及排出有毒气体的危险废物进行预处理，稳定后贮存，否则按易爆、易燃危险品贮存。贮存废弃剧毒化学品的，应按照公安机关要求落实治安防范措施。</w:t>
      </w:r>
    </w:p>
    <w:p w14:paraId="00FBEB84">
      <w:pPr>
        <w:rPr>
          <w:color w:val="auto"/>
        </w:rPr>
      </w:pPr>
      <w:r>
        <w:rPr>
          <w:rFonts w:hint="eastAsia"/>
          <w:color w:val="auto"/>
        </w:rPr>
        <w:t>按照《危险废物贮存污染控制标准》的要求：贮存场所地面作硬化及防渗处理；场所应有雨棚、围堰或围墙；贮存液态或半固态废物的，需设置泄露液体收集装置；装载危险废物的容器完好无损。建立危险废物贮存台账，并如实和规范记录危险废物贮存情况。</w:t>
      </w:r>
    </w:p>
    <w:p w14:paraId="5B86C9F1">
      <w:pPr>
        <w:rPr>
          <w:color w:val="auto"/>
        </w:rPr>
      </w:pPr>
      <w:r>
        <w:rPr>
          <w:rFonts w:hint="eastAsia"/>
          <w:color w:val="auto"/>
        </w:rPr>
        <w:t>综上所述，本项目各类固废均可得到妥善处置，处置率100%。因此，本项目危险废物的处置方案是可行的，可达到零排放，符合《危险废物规范化管理指标体系》。</w:t>
      </w:r>
    </w:p>
    <w:p w14:paraId="5CFE1C16">
      <w:pPr>
        <w:pStyle w:val="4"/>
        <w:rPr>
          <w:color w:val="auto"/>
        </w:rPr>
      </w:pPr>
      <w:bookmarkStart w:id="344" w:name="_Toc32411"/>
      <w:bookmarkStart w:id="345" w:name="_Toc28891"/>
      <w:r>
        <w:rPr>
          <w:rFonts w:hint="eastAsia"/>
          <w:color w:val="auto"/>
        </w:rPr>
        <w:t>固废防治措施可行性分析</w:t>
      </w:r>
      <w:bookmarkEnd w:id="344"/>
      <w:bookmarkEnd w:id="345"/>
    </w:p>
    <w:p w14:paraId="1B884EC3">
      <w:pPr>
        <w:rPr>
          <w:color w:val="auto"/>
        </w:rPr>
      </w:pPr>
      <w:r>
        <w:rPr>
          <w:rFonts w:hint="eastAsia"/>
          <w:color w:val="auto"/>
        </w:rPr>
        <w:t>1、暂存场所污染防治措施</w:t>
      </w:r>
    </w:p>
    <w:p w14:paraId="57424F5A">
      <w:pPr>
        <w:rPr>
          <w:color w:val="auto"/>
        </w:rPr>
      </w:pPr>
      <w:r>
        <w:rPr>
          <w:rFonts w:hint="eastAsia"/>
          <w:color w:val="auto"/>
        </w:rPr>
        <w:t>本项目</w:t>
      </w:r>
      <w:r>
        <w:rPr>
          <w:rFonts w:hint="eastAsia"/>
          <w:color w:val="auto"/>
          <w:lang w:val="en-US" w:eastAsia="zh-CN"/>
        </w:rPr>
        <w:t>建成后</w:t>
      </w:r>
      <w:r>
        <w:rPr>
          <w:rFonts w:hint="eastAsia"/>
          <w:color w:val="auto"/>
        </w:rPr>
        <w:t>后危险废物类别与现有项目危险废物类别基本一致，新增危废不会超过危废暂存场所的储存能力。厂区已建有的危废暂存场所（危废仓库）均严格按照《危险废物贮存污染控制标准》（GB18597-2023）等文件要求规范建设和维护使用因此，本项目依托厂区现有的危废仓库具有可行性。</w:t>
      </w:r>
    </w:p>
    <w:p w14:paraId="25EB1899">
      <w:pPr>
        <w:rPr>
          <w:color w:val="auto"/>
        </w:rPr>
      </w:pPr>
      <w:r>
        <w:rPr>
          <w:rFonts w:hint="eastAsia"/>
          <w:color w:val="auto"/>
        </w:rPr>
        <w:t>2、运输过程的污染防治措施</w:t>
      </w:r>
    </w:p>
    <w:p w14:paraId="471B6472">
      <w:pPr>
        <w:rPr>
          <w:color w:val="auto"/>
        </w:rPr>
      </w:pPr>
      <w:r>
        <w:rPr>
          <w:rFonts w:hint="eastAsia"/>
          <w:color w:val="auto"/>
        </w:rPr>
        <w:t>本项目产生的危险废物内部转运作业应采用专用的工具，填写《危险废物厂内转运记录表》，内部转运结束后对转运路线进行检查和清理。厂外运输由有资质单位按照其经营范围的专业运输公司进行运输。危险废物在运输过程中严格执行《道路危险货物运输管理规定》（</w:t>
      </w:r>
      <w:r>
        <w:rPr>
          <w:rFonts w:hint="eastAsia"/>
          <w:color w:val="auto"/>
          <w:lang w:eastAsia="zh-CN"/>
        </w:rPr>
        <w:t>交通运输部</w:t>
      </w:r>
      <w:r>
        <w:rPr>
          <w:rFonts w:hint="eastAsia"/>
          <w:color w:val="auto"/>
        </w:rPr>
        <w:t>令[2005]第9号）中相关规定，运输车辆按照GB13392设置车辆标志。</w:t>
      </w:r>
    </w:p>
    <w:p w14:paraId="00E95278">
      <w:pPr>
        <w:rPr>
          <w:color w:val="auto"/>
        </w:rPr>
      </w:pPr>
      <w:r>
        <w:rPr>
          <w:rFonts w:hint="eastAsia"/>
          <w:color w:val="auto"/>
        </w:rPr>
        <w:t>3、利用或者处置方式的污染防治措施</w:t>
      </w:r>
    </w:p>
    <w:p w14:paraId="120D6C09">
      <w:pPr>
        <w:rPr>
          <w:color w:val="auto"/>
        </w:rPr>
      </w:pPr>
      <w:r>
        <w:rPr>
          <w:rFonts w:hint="eastAsia"/>
          <w:color w:val="auto"/>
        </w:rPr>
        <w:t>本项目危险废物委托有资质单位进行安全处置，不在厂区内自行处置。本项目产生的固体废物从产生、收集、贮存、运输、再循环、再利用、处置直至最终处置全过程中对环境基本无影响。</w:t>
      </w:r>
    </w:p>
    <w:p w14:paraId="27F64FB7">
      <w:pPr>
        <w:rPr>
          <w:color w:val="auto"/>
        </w:rPr>
      </w:pPr>
      <w:r>
        <w:rPr>
          <w:rFonts w:hint="eastAsia"/>
          <w:color w:val="auto"/>
        </w:rPr>
        <w:t>综上所述，本项目各类危险废物均按照所属性质分别收集和贮存，综合处置率可达100%。在落实好危险固度安全处置的情况下，不会造成二次污染，不会对周围环境造成影响。</w:t>
      </w:r>
    </w:p>
    <w:p w14:paraId="2F5CF889">
      <w:pPr>
        <w:pStyle w:val="3"/>
        <w:rPr>
          <w:color w:val="auto"/>
        </w:rPr>
      </w:pPr>
      <w:bookmarkStart w:id="346" w:name="_Toc27875"/>
      <w:bookmarkStart w:id="347" w:name="_Toc24487"/>
      <w:r>
        <w:rPr>
          <w:rFonts w:hint="eastAsia"/>
          <w:color w:val="auto"/>
        </w:rPr>
        <w:t>土壤和地下水污染防治措施</w:t>
      </w:r>
      <w:bookmarkEnd w:id="346"/>
      <w:bookmarkEnd w:id="347"/>
    </w:p>
    <w:p w14:paraId="1CB761D2">
      <w:pPr>
        <w:rPr>
          <w:color w:val="auto"/>
        </w:rPr>
      </w:pPr>
      <w:r>
        <w:rPr>
          <w:rFonts w:hint="eastAsia"/>
          <w:color w:val="auto"/>
        </w:rPr>
        <w:t>土壤和地下水的污染类型主要为液体渗漏进而渗透进入土壤，造成土壤及地下水的污染，主要包括生产车间、原辅料仓库、产品库、危废仓库、事故池渗漏等对土壤及地下水的污染。根据评价区深、浅层地下水的补给、径流和排泄途径方式，结合本工程排放的主要污染物，分析得出建成工程对浅层空隙水和深层空隙水的污染途径和影响主要有以下方面：</w:t>
      </w:r>
    </w:p>
    <w:p w14:paraId="42308068">
      <w:pPr>
        <w:rPr>
          <w:color w:val="auto"/>
        </w:rPr>
      </w:pPr>
      <w:r>
        <w:rPr>
          <w:rFonts w:hint="eastAsia"/>
          <w:color w:val="auto"/>
        </w:rPr>
        <w:t>1、厂区内污水管线渗漏，对厂区所在地的浅层空隙水水质造成污染的可能性。厂内污水排放管道均进行防腐、防渗处理。因此厂区污水废水在正常情况下不会污染地下水。</w:t>
      </w:r>
    </w:p>
    <w:p w14:paraId="59BAE012">
      <w:pPr>
        <w:rPr>
          <w:color w:val="auto"/>
        </w:rPr>
      </w:pPr>
      <w:r>
        <w:rPr>
          <w:rFonts w:hint="eastAsia"/>
          <w:color w:val="auto"/>
        </w:rPr>
        <w:t>2、工程向大气排放的污染物可能由于重力沉降，雨水淋洗等作用而降落到地表，有可能被水携带渗入地下水，造成地下水污染。本工程的废气污染源在设计中均通过采用先进工艺和有效治理措施，使排入大气中的污染物得到了较好的控制，排放均能达标。因此本工程排放的废气不会由于重力沉降及雨水淋洗等大量降落到地表，从而被水携带到地下水中对地下水产生明显影响。</w:t>
      </w:r>
    </w:p>
    <w:p w14:paraId="7133033B">
      <w:pPr>
        <w:rPr>
          <w:color w:val="auto"/>
        </w:rPr>
      </w:pPr>
      <w:r>
        <w:rPr>
          <w:rFonts w:hint="eastAsia"/>
          <w:color w:val="auto"/>
        </w:rPr>
        <w:t>本项目土壤和地下水污染的防治应坚持以源头控制、分区防渗为原则，采取主动和被动防渗</w:t>
      </w:r>
      <w:r>
        <w:rPr>
          <w:rFonts w:hint="eastAsia" w:ascii="仿宋_GB2312" w:hAnsi="仿宋_GB2312" w:cs="仿宋_GB2312"/>
          <w:color w:val="auto"/>
        </w:rPr>
        <w:t>相结合的方式进行。在本项目实施过程中应从以下几个方面采取土壤、地下水污染防治措施：</w:t>
      </w:r>
    </w:p>
    <w:p w14:paraId="4D0FCF77">
      <w:pPr>
        <w:rPr>
          <w:color w:val="auto"/>
        </w:rPr>
      </w:pPr>
      <w:r>
        <w:rPr>
          <w:rFonts w:hint="eastAsia"/>
          <w:color w:val="auto"/>
        </w:rPr>
        <w:t>1、源头控制措施</w:t>
      </w:r>
    </w:p>
    <w:p w14:paraId="7296EAC2">
      <w:pPr>
        <w:rPr>
          <w:color w:val="auto"/>
        </w:rPr>
      </w:pPr>
      <w:r>
        <w:rPr>
          <w:rFonts w:hint="eastAsia"/>
          <w:color w:val="auto"/>
        </w:rPr>
        <w:t>主要包括提出实施清洁生产及各类废物循环利用的具体方案，减少污染物的排放量；提出工艺、管道、设备、污水储存构筑物应采取的污染控制措施，制定渗漏监测方案，将污染物跑、冒、滴、漏降到最低限度。生产车间、原辅料仓库、产品库、危废仓库、事故池等重点区域设置防渗措施。</w:t>
      </w:r>
    </w:p>
    <w:p w14:paraId="22B90F36">
      <w:pPr>
        <w:rPr>
          <w:color w:val="auto"/>
        </w:rPr>
      </w:pPr>
      <w:r>
        <w:rPr>
          <w:rFonts w:hint="eastAsia"/>
          <w:color w:val="auto"/>
        </w:rPr>
        <w:t>2、分区防控措施</w:t>
      </w:r>
    </w:p>
    <w:p w14:paraId="3089527A">
      <w:pPr>
        <w:rPr>
          <w:color w:val="auto"/>
        </w:rPr>
      </w:pPr>
      <w:r>
        <w:rPr>
          <w:rFonts w:hint="eastAsia"/>
          <w:color w:val="auto"/>
        </w:rPr>
        <w:t>按照《石油化工企业防渗设计通则》（QSY1303-2010）和《石油化工防渗工程技术规范》地下水污染防渗要求，为防止生产过程中跑、冒、滴、漏的物料腐蚀地面，污染物入渗污染地下水，在项目设计和施工中，应对厂区进行专项防渗设计和分区防渗处理。</w:t>
      </w:r>
    </w:p>
    <w:p w14:paraId="1F2DCD37">
      <w:pPr>
        <w:rPr>
          <w:color w:val="auto"/>
        </w:rPr>
      </w:pPr>
      <w:r>
        <w:rPr>
          <w:rFonts w:hint="eastAsia"/>
          <w:color w:val="auto"/>
        </w:rPr>
        <w:t>结合项目各生产设备、管廊或管线、贮存与运输装置、污染物贮存与处理装置、事故应急装置等布局，根据可能进入地下水环境的各种有毒有害原辅料、中间物料和产品的泄漏（含跑、冒、滴、漏）量及其他各类污染物的性质、产生量和排放量，划分污染防治区，提出不同区域的地面防渗方案，给出具体的防渗材料及防渗标准要求，建立防渗设施的检漏系统。</w:t>
      </w:r>
    </w:p>
    <w:p w14:paraId="3B2687FB">
      <w:pPr>
        <w:rPr>
          <w:color w:val="auto"/>
        </w:rPr>
      </w:pPr>
      <w:r>
        <w:rPr>
          <w:rFonts w:hint="eastAsia"/>
          <w:color w:val="auto"/>
        </w:rPr>
        <w:t>因此，根据本工程区各生产功能单元可能发生污染泄漏的污染物性质和各生产单元的构筑物形式，将本工程区域划分为重点污染防护区、一般污染防护区和非污染防护区。要求对可能的污染区地面进行防渗处理，并及时将洒落、泄漏的污染物收集起来进行处理。</w:t>
      </w:r>
    </w:p>
    <w:p w14:paraId="503B6938">
      <w:pPr>
        <w:rPr>
          <w:color w:val="auto"/>
        </w:rPr>
      </w:pPr>
      <w:r>
        <w:rPr>
          <w:rFonts w:hint="eastAsia"/>
          <w:color w:val="auto"/>
        </w:rPr>
        <w:t>1、重点污染防护区主要包括：生产车间（含原辅料仓库、</w:t>
      </w:r>
      <w:r>
        <w:rPr>
          <w:rFonts w:hint="eastAsia"/>
          <w:color w:val="auto"/>
          <w:lang w:val="en-US" w:eastAsia="zh-CN"/>
        </w:rPr>
        <w:t>污水处理站、</w:t>
      </w:r>
      <w:r>
        <w:rPr>
          <w:rFonts w:hint="eastAsia"/>
          <w:color w:val="auto"/>
        </w:rPr>
        <w:t>危废仓库）、事故池等所在区域。</w:t>
      </w:r>
    </w:p>
    <w:p w14:paraId="12407CA9">
      <w:pPr>
        <w:rPr>
          <w:color w:val="auto"/>
        </w:rPr>
      </w:pPr>
      <w:r>
        <w:rPr>
          <w:rFonts w:hint="eastAsia"/>
          <w:color w:val="auto"/>
        </w:rPr>
        <w:t>2、一般污染防护区主要包括：辅助用房等所在区域。</w:t>
      </w:r>
    </w:p>
    <w:p w14:paraId="4EFB27C6">
      <w:pPr>
        <w:rPr>
          <w:color w:val="auto"/>
        </w:rPr>
      </w:pPr>
      <w:r>
        <w:rPr>
          <w:rFonts w:hint="eastAsia"/>
          <w:color w:val="auto"/>
        </w:rPr>
        <w:t>3、非污染防护区主要包括：附属配套设施的停车场、绿化区、管理区等主要指不会对地下水环境造成污染的区域。</w:t>
      </w:r>
    </w:p>
    <w:p w14:paraId="1431C29B">
      <w:pPr>
        <w:rPr>
          <w:color w:val="auto"/>
        </w:rPr>
      </w:pPr>
      <w:r>
        <w:rPr>
          <w:rFonts w:hint="eastAsia"/>
          <w:color w:val="auto"/>
        </w:rPr>
        <w:t>本项目厂区内各生产单元已采取的防渗措施具体见下表：</w:t>
      </w:r>
    </w:p>
    <w:p w14:paraId="54036875">
      <w:pPr>
        <w:pStyle w:val="25"/>
        <w:rPr>
          <w:bCs/>
          <w:color w:val="auto"/>
        </w:rPr>
      </w:pPr>
      <w:bookmarkStart w:id="348" w:name="_Hlk161938118"/>
      <w:r>
        <w:rPr>
          <w:color w:val="auto"/>
        </w:rPr>
        <w:t>表</w:t>
      </w:r>
      <w:r>
        <w:rPr>
          <w:color w:val="auto"/>
        </w:rPr>
        <w:fldChar w:fldCharType="begin"/>
      </w:r>
      <w:r>
        <w:rPr>
          <w:color w:val="auto"/>
        </w:rPr>
        <w:instrText xml:space="preserve"> STYLEREF 2 \s </w:instrText>
      </w:r>
      <w:r>
        <w:rPr>
          <w:color w:val="auto"/>
        </w:rPr>
        <w:fldChar w:fldCharType="separate"/>
      </w:r>
      <w:r>
        <w:rPr>
          <w:color w:val="auto"/>
        </w:rPr>
        <w:t>7.5</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1</w:t>
      </w:r>
      <w:r>
        <w:rPr>
          <w:color w:val="auto"/>
        </w:rPr>
        <w:fldChar w:fldCharType="end"/>
      </w:r>
      <w:bookmarkEnd w:id="348"/>
      <w:r>
        <w:rPr>
          <w:bCs/>
          <w:color w:val="auto"/>
        </w:rPr>
        <w:t>厂区</w:t>
      </w:r>
      <w:r>
        <w:rPr>
          <w:rFonts w:hint="eastAsia"/>
          <w:bCs/>
          <w:color w:val="auto"/>
        </w:rPr>
        <w:t>已</w:t>
      </w:r>
      <w:r>
        <w:rPr>
          <w:bCs/>
          <w:color w:val="auto"/>
        </w:rPr>
        <w:t>采取的防渗措施</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04"/>
        <w:gridCol w:w="869"/>
        <w:gridCol w:w="6286"/>
      </w:tblGrid>
      <w:tr w14:paraId="0725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tcMar>
              <w:top w:w="0" w:type="dxa"/>
              <w:left w:w="28" w:type="dxa"/>
              <w:bottom w:w="0" w:type="dxa"/>
              <w:right w:w="28" w:type="dxa"/>
            </w:tcMar>
            <w:vAlign w:val="center"/>
          </w:tcPr>
          <w:p w14:paraId="21CB3A88">
            <w:pPr>
              <w:pStyle w:val="36"/>
              <w:bidi w:val="0"/>
            </w:pPr>
            <w:r>
              <w:t>污染区类型</w:t>
            </w:r>
          </w:p>
        </w:tc>
        <w:tc>
          <w:tcPr>
            <w:tcW w:w="520" w:type="pct"/>
            <w:tcMar>
              <w:top w:w="0" w:type="dxa"/>
              <w:left w:w="28" w:type="dxa"/>
              <w:bottom w:w="0" w:type="dxa"/>
              <w:right w:w="28" w:type="dxa"/>
            </w:tcMar>
            <w:vAlign w:val="center"/>
          </w:tcPr>
          <w:p w14:paraId="0C9127B6">
            <w:pPr>
              <w:pStyle w:val="36"/>
              <w:bidi w:val="0"/>
            </w:pPr>
            <w:r>
              <w:t>生产单元</w:t>
            </w:r>
          </w:p>
        </w:tc>
        <w:tc>
          <w:tcPr>
            <w:tcW w:w="3758" w:type="pct"/>
            <w:tcMar>
              <w:top w:w="0" w:type="dxa"/>
              <w:left w:w="28" w:type="dxa"/>
              <w:bottom w:w="0" w:type="dxa"/>
              <w:right w:w="28" w:type="dxa"/>
            </w:tcMar>
            <w:vAlign w:val="center"/>
          </w:tcPr>
          <w:p w14:paraId="37AD1C5A">
            <w:pPr>
              <w:pStyle w:val="36"/>
              <w:bidi w:val="0"/>
            </w:pPr>
            <w:r>
              <w:t>防渗措施</w:t>
            </w:r>
          </w:p>
        </w:tc>
      </w:tr>
      <w:tr w14:paraId="0984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vMerge w:val="restart"/>
            <w:tcMar>
              <w:top w:w="0" w:type="dxa"/>
              <w:left w:w="28" w:type="dxa"/>
              <w:bottom w:w="0" w:type="dxa"/>
              <w:right w:w="28" w:type="dxa"/>
            </w:tcMar>
            <w:vAlign w:val="center"/>
          </w:tcPr>
          <w:p w14:paraId="43F1003F">
            <w:pPr>
              <w:pStyle w:val="26"/>
              <w:rPr>
                <w:color w:val="auto"/>
              </w:rPr>
            </w:pPr>
            <w:r>
              <w:rPr>
                <w:color w:val="auto"/>
              </w:rPr>
              <w:t>重点污染</w:t>
            </w:r>
          </w:p>
          <w:p w14:paraId="0FA33C45">
            <w:pPr>
              <w:pStyle w:val="26"/>
              <w:rPr>
                <w:color w:val="auto"/>
              </w:rPr>
            </w:pPr>
            <w:r>
              <w:rPr>
                <w:color w:val="auto"/>
              </w:rPr>
              <w:t>防护区</w:t>
            </w:r>
          </w:p>
        </w:tc>
        <w:tc>
          <w:tcPr>
            <w:tcW w:w="520" w:type="pct"/>
            <w:tcMar>
              <w:top w:w="0" w:type="dxa"/>
              <w:left w:w="28" w:type="dxa"/>
              <w:bottom w:w="0" w:type="dxa"/>
              <w:right w:w="28" w:type="dxa"/>
            </w:tcMar>
            <w:vAlign w:val="center"/>
          </w:tcPr>
          <w:p w14:paraId="044BCC35">
            <w:pPr>
              <w:pStyle w:val="26"/>
              <w:rPr>
                <w:color w:val="auto"/>
              </w:rPr>
            </w:pPr>
            <w:r>
              <w:rPr>
                <w:color w:val="auto"/>
              </w:rPr>
              <w:t>事故池</w:t>
            </w:r>
          </w:p>
        </w:tc>
        <w:tc>
          <w:tcPr>
            <w:tcW w:w="3758" w:type="pct"/>
            <w:tcMar>
              <w:top w:w="0" w:type="dxa"/>
              <w:left w:w="28" w:type="dxa"/>
              <w:bottom w:w="0" w:type="dxa"/>
              <w:right w:w="28" w:type="dxa"/>
            </w:tcMar>
            <w:vAlign w:val="center"/>
          </w:tcPr>
          <w:p w14:paraId="6AE5B603">
            <w:pPr>
              <w:pStyle w:val="26"/>
              <w:rPr>
                <w:color w:val="auto"/>
              </w:rPr>
            </w:pPr>
            <w:r>
              <w:rPr>
                <w:color w:val="auto"/>
              </w:rPr>
              <w:t>防渗措施：宜采用刚性防渗结构，采用水泥基渗透结晶型抗渗混凝土（厚度不宜小于250mm）+水泥基渗透结晶型防渗涂层结构层（厚度不小于1.0mm）结构型式。防渗结构层渗透系数不应大于1.0×10</w:t>
            </w:r>
            <w:r>
              <w:rPr>
                <w:color w:val="auto"/>
                <w:vertAlign w:val="superscript"/>
              </w:rPr>
              <w:t>-12</w:t>
            </w:r>
            <w:r>
              <w:rPr>
                <w:color w:val="auto"/>
              </w:rPr>
              <w:t>cm/s。</w:t>
            </w:r>
          </w:p>
        </w:tc>
      </w:tr>
      <w:tr w14:paraId="340B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vMerge w:val="continue"/>
            <w:vAlign w:val="center"/>
          </w:tcPr>
          <w:p w14:paraId="3CB2C869">
            <w:pPr>
              <w:pStyle w:val="26"/>
              <w:rPr>
                <w:color w:val="auto"/>
              </w:rPr>
            </w:pPr>
          </w:p>
        </w:tc>
        <w:tc>
          <w:tcPr>
            <w:tcW w:w="520" w:type="pct"/>
            <w:tcMar>
              <w:top w:w="0" w:type="dxa"/>
              <w:left w:w="28" w:type="dxa"/>
              <w:bottom w:w="0" w:type="dxa"/>
              <w:right w:w="28" w:type="dxa"/>
            </w:tcMar>
            <w:vAlign w:val="center"/>
          </w:tcPr>
          <w:p w14:paraId="31BF2A21">
            <w:pPr>
              <w:pStyle w:val="26"/>
              <w:rPr>
                <w:color w:val="auto"/>
              </w:rPr>
            </w:pPr>
            <w:r>
              <w:rPr>
                <w:color w:val="auto"/>
              </w:rPr>
              <w:t>污水管道</w:t>
            </w:r>
          </w:p>
        </w:tc>
        <w:tc>
          <w:tcPr>
            <w:tcW w:w="3758" w:type="pct"/>
            <w:tcMar>
              <w:top w:w="0" w:type="dxa"/>
              <w:left w:w="28" w:type="dxa"/>
              <w:bottom w:w="0" w:type="dxa"/>
              <w:right w:w="28" w:type="dxa"/>
            </w:tcMar>
            <w:vAlign w:val="center"/>
          </w:tcPr>
          <w:p w14:paraId="0DC0007E">
            <w:pPr>
              <w:pStyle w:val="26"/>
              <w:rPr>
                <w:color w:val="auto"/>
              </w:rPr>
            </w:pPr>
            <w:r>
              <w:rPr>
                <w:color w:val="auto"/>
              </w:rPr>
              <w:t>防渗措施：宜采用柔性防渗结构，采用土工膜（厚度不应小于1.5mm）防渗。管道材料：碳钢污水管道设计壁厚应适当加厚，并且采用最高级别的外防腐层。金属污水管道接口焊缝不得低于焊缝质量分级标准的III级。</w:t>
            </w:r>
          </w:p>
          <w:p w14:paraId="19DFA6B6">
            <w:pPr>
              <w:pStyle w:val="26"/>
              <w:rPr>
                <w:color w:val="auto"/>
              </w:rPr>
            </w:pPr>
            <w:r>
              <w:rPr>
                <w:color w:val="auto"/>
              </w:rPr>
              <w:t>工艺要求：穿过污水池壁的管道和预埋件，应预先设置，不得打洞。</w:t>
            </w:r>
          </w:p>
        </w:tc>
      </w:tr>
      <w:tr w14:paraId="6C0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vMerge w:val="continue"/>
            <w:vAlign w:val="center"/>
          </w:tcPr>
          <w:p w14:paraId="30675CA6">
            <w:pPr>
              <w:pStyle w:val="26"/>
              <w:rPr>
                <w:color w:val="auto"/>
              </w:rPr>
            </w:pPr>
          </w:p>
        </w:tc>
        <w:tc>
          <w:tcPr>
            <w:tcW w:w="520" w:type="pct"/>
            <w:tcMar>
              <w:top w:w="0" w:type="dxa"/>
              <w:left w:w="28" w:type="dxa"/>
              <w:bottom w:w="0" w:type="dxa"/>
              <w:right w:w="28" w:type="dxa"/>
            </w:tcMar>
            <w:vAlign w:val="center"/>
          </w:tcPr>
          <w:p w14:paraId="085A2519">
            <w:pPr>
              <w:pStyle w:val="26"/>
              <w:rPr>
                <w:color w:val="auto"/>
              </w:rPr>
            </w:pPr>
            <w:r>
              <w:rPr>
                <w:color w:val="auto"/>
              </w:rPr>
              <w:t>生产车间、</w:t>
            </w:r>
            <w:r>
              <w:rPr>
                <w:rFonts w:hint="eastAsia"/>
                <w:color w:val="auto"/>
                <w:lang w:val="en-US" w:eastAsia="zh-CN"/>
              </w:rPr>
              <w:t>污水处理站、</w:t>
            </w:r>
            <w:r>
              <w:rPr>
                <w:rFonts w:hint="eastAsia"/>
                <w:color w:val="auto"/>
              </w:rPr>
              <w:t>原辅料</w:t>
            </w:r>
            <w:r>
              <w:rPr>
                <w:color w:val="auto"/>
              </w:rPr>
              <w:t>仓库、危废仓库</w:t>
            </w:r>
          </w:p>
        </w:tc>
        <w:tc>
          <w:tcPr>
            <w:tcW w:w="3758" w:type="pct"/>
            <w:tcMar>
              <w:top w:w="0" w:type="dxa"/>
              <w:left w:w="28" w:type="dxa"/>
              <w:bottom w:w="0" w:type="dxa"/>
              <w:right w:w="28" w:type="dxa"/>
            </w:tcMar>
            <w:vAlign w:val="center"/>
          </w:tcPr>
          <w:p w14:paraId="054DECED">
            <w:pPr>
              <w:pStyle w:val="26"/>
              <w:rPr>
                <w:color w:val="auto"/>
              </w:rPr>
            </w:pPr>
            <w:r>
              <w:rPr>
                <w:color w:val="auto"/>
              </w:rPr>
              <w:t>防渗措施：刚性防渗结构，水泥基渗透结晶型抗渗混凝土（厚度不宜小于150mm）+水泥基渗透结晶型防渗结构层（厚度不小于0.8mm）结构型式。防渗结构层渗透系数不应大于1.0×10</w:t>
            </w:r>
            <w:r>
              <w:rPr>
                <w:color w:val="auto"/>
                <w:vertAlign w:val="superscript"/>
              </w:rPr>
              <w:t>-10</w:t>
            </w:r>
            <w:r>
              <w:rPr>
                <w:color w:val="auto"/>
              </w:rPr>
              <w:t>cm/s。</w:t>
            </w:r>
          </w:p>
          <w:p w14:paraId="19870675">
            <w:pPr>
              <w:pStyle w:val="26"/>
              <w:rPr>
                <w:color w:val="auto"/>
              </w:rPr>
            </w:pPr>
            <w:r>
              <w:rPr>
                <w:color w:val="auto"/>
              </w:rPr>
              <w:t>涂层：抗渗</w:t>
            </w:r>
            <w:r>
              <w:rPr>
                <w:rFonts w:hint="eastAsia"/>
                <w:color w:val="auto"/>
                <w:lang w:eastAsia="zh-CN"/>
              </w:rPr>
              <w:t>混凝土</w:t>
            </w:r>
            <w:r>
              <w:rPr>
                <w:color w:val="auto"/>
              </w:rPr>
              <w:t>表层的防渗涂层宜采用无机防渗涂层材料。</w:t>
            </w:r>
          </w:p>
        </w:tc>
      </w:tr>
      <w:tr w14:paraId="2B00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tcMar>
              <w:top w:w="0" w:type="dxa"/>
              <w:left w:w="28" w:type="dxa"/>
              <w:bottom w:w="0" w:type="dxa"/>
              <w:right w:w="28" w:type="dxa"/>
            </w:tcMar>
            <w:vAlign w:val="center"/>
          </w:tcPr>
          <w:p w14:paraId="299A8EBE">
            <w:pPr>
              <w:pStyle w:val="26"/>
              <w:rPr>
                <w:color w:val="auto"/>
              </w:rPr>
            </w:pPr>
            <w:r>
              <w:rPr>
                <w:color w:val="auto"/>
              </w:rPr>
              <w:t>一般污染</w:t>
            </w:r>
          </w:p>
          <w:p w14:paraId="2962C8A5">
            <w:pPr>
              <w:pStyle w:val="26"/>
              <w:rPr>
                <w:color w:val="auto"/>
              </w:rPr>
            </w:pPr>
            <w:r>
              <w:rPr>
                <w:color w:val="auto"/>
              </w:rPr>
              <w:t>防护区</w:t>
            </w:r>
          </w:p>
        </w:tc>
        <w:tc>
          <w:tcPr>
            <w:tcW w:w="520" w:type="pct"/>
            <w:tcMar>
              <w:top w:w="0" w:type="dxa"/>
              <w:left w:w="28" w:type="dxa"/>
              <w:bottom w:w="0" w:type="dxa"/>
              <w:right w:w="28" w:type="dxa"/>
            </w:tcMar>
            <w:vAlign w:val="center"/>
          </w:tcPr>
          <w:p w14:paraId="4DB82F91">
            <w:pPr>
              <w:pStyle w:val="26"/>
              <w:rPr>
                <w:color w:val="auto"/>
              </w:rPr>
            </w:pPr>
            <w:r>
              <w:rPr>
                <w:color w:val="auto"/>
              </w:rPr>
              <w:t>辅助用房</w:t>
            </w:r>
          </w:p>
        </w:tc>
        <w:tc>
          <w:tcPr>
            <w:tcW w:w="3758" w:type="pct"/>
            <w:tcMar>
              <w:top w:w="0" w:type="dxa"/>
              <w:left w:w="28" w:type="dxa"/>
              <w:bottom w:w="0" w:type="dxa"/>
              <w:right w:w="28" w:type="dxa"/>
            </w:tcMar>
            <w:vAlign w:val="center"/>
          </w:tcPr>
          <w:p w14:paraId="2E05AE69">
            <w:pPr>
              <w:pStyle w:val="26"/>
              <w:rPr>
                <w:color w:val="auto"/>
              </w:rPr>
            </w:pPr>
            <w:r>
              <w:rPr>
                <w:color w:val="auto"/>
              </w:rPr>
              <w:t>地面防渗可采用黏土、抗渗混凝土或其他防渗性能等效的材料，黏土防渗层顶面宜采用混凝土地面或设置厚度不小于200mm的砂石层。混凝土防渗层的耐久性应符合现行国家标准《混凝土结构设计规范》（GB50010）的有关规定。</w:t>
            </w:r>
          </w:p>
        </w:tc>
      </w:tr>
      <w:tr w14:paraId="6DA5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20" w:type="pct"/>
            <w:tcMar>
              <w:top w:w="0" w:type="dxa"/>
              <w:left w:w="28" w:type="dxa"/>
              <w:bottom w:w="0" w:type="dxa"/>
              <w:right w:w="28" w:type="dxa"/>
            </w:tcMar>
            <w:vAlign w:val="center"/>
          </w:tcPr>
          <w:p w14:paraId="55BB9574">
            <w:pPr>
              <w:pStyle w:val="26"/>
              <w:rPr>
                <w:color w:val="auto"/>
              </w:rPr>
            </w:pPr>
            <w:r>
              <w:rPr>
                <w:color w:val="auto"/>
              </w:rPr>
              <w:t>非污染防护区</w:t>
            </w:r>
          </w:p>
        </w:tc>
        <w:tc>
          <w:tcPr>
            <w:tcW w:w="4279" w:type="pct"/>
            <w:gridSpan w:val="2"/>
            <w:tcMar>
              <w:top w:w="0" w:type="dxa"/>
              <w:left w:w="28" w:type="dxa"/>
              <w:bottom w:w="0" w:type="dxa"/>
              <w:right w:w="28" w:type="dxa"/>
            </w:tcMar>
            <w:vAlign w:val="center"/>
          </w:tcPr>
          <w:p w14:paraId="186173D6">
            <w:pPr>
              <w:pStyle w:val="26"/>
              <w:rPr>
                <w:color w:val="auto"/>
              </w:rPr>
            </w:pPr>
            <w:r>
              <w:rPr>
                <w:color w:val="auto"/>
              </w:rPr>
              <w:t>停车场、绿化区、管理区等</w:t>
            </w:r>
          </w:p>
        </w:tc>
      </w:tr>
      <w:tr w14:paraId="3EC0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5000" w:type="pct"/>
            <w:gridSpan w:val="3"/>
            <w:tcMar>
              <w:top w:w="0" w:type="dxa"/>
              <w:left w:w="28" w:type="dxa"/>
              <w:bottom w:w="0" w:type="dxa"/>
              <w:right w:w="28" w:type="dxa"/>
            </w:tcMar>
            <w:vAlign w:val="center"/>
          </w:tcPr>
          <w:p w14:paraId="0415059B">
            <w:pPr>
              <w:pStyle w:val="26"/>
              <w:rPr>
                <w:color w:val="auto"/>
              </w:rPr>
            </w:pPr>
            <w:r>
              <w:rPr>
                <w:color w:val="auto"/>
              </w:rPr>
              <w:drawing>
                <wp:inline distT="0" distB="0" distL="0" distR="0">
                  <wp:extent cx="2514600" cy="1988820"/>
                  <wp:effectExtent l="0" t="0" r="0" b="0"/>
                  <wp:docPr id="195988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854" name="图片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514600" cy="1988820"/>
                          </a:xfrm>
                          <a:prstGeom prst="rect">
                            <a:avLst/>
                          </a:prstGeom>
                          <a:noFill/>
                          <a:ln>
                            <a:noFill/>
                          </a:ln>
                        </pic:spPr>
                      </pic:pic>
                    </a:graphicData>
                  </a:graphic>
                </wp:inline>
              </w:drawing>
            </w:r>
          </w:p>
          <w:p w14:paraId="3584B27F">
            <w:pPr>
              <w:pStyle w:val="26"/>
              <w:rPr>
                <w:color w:val="auto"/>
              </w:rPr>
            </w:pPr>
            <w:r>
              <w:rPr>
                <w:color w:val="auto"/>
              </w:rPr>
              <w:t>污水管线沟槽典型防渗结构示意图</w:t>
            </w:r>
          </w:p>
        </w:tc>
      </w:tr>
      <w:tr w14:paraId="110C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5000" w:type="pct"/>
            <w:gridSpan w:val="3"/>
            <w:tcMar>
              <w:top w:w="0" w:type="dxa"/>
              <w:left w:w="28" w:type="dxa"/>
              <w:bottom w:w="0" w:type="dxa"/>
              <w:right w:w="28" w:type="dxa"/>
            </w:tcMar>
            <w:vAlign w:val="center"/>
          </w:tcPr>
          <w:p w14:paraId="7BC3E79E">
            <w:pPr>
              <w:pStyle w:val="26"/>
              <w:rPr>
                <w:color w:val="auto"/>
              </w:rPr>
            </w:pPr>
            <w:r>
              <w:rPr>
                <w:color w:val="auto"/>
              </w:rPr>
              <w:drawing>
                <wp:inline distT="0" distB="0" distL="0" distR="0">
                  <wp:extent cx="2514600" cy="1562100"/>
                  <wp:effectExtent l="0" t="0" r="0" b="0"/>
                  <wp:docPr id="1598288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8868" name="图片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2514600" cy="1562100"/>
                          </a:xfrm>
                          <a:prstGeom prst="rect">
                            <a:avLst/>
                          </a:prstGeom>
                          <a:noFill/>
                          <a:ln>
                            <a:noFill/>
                          </a:ln>
                        </pic:spPr>
                      </pic:pic>
                    </a:graphicData>
                  </a:graphic>
                </wp:inline>
              </w:drawing>
            </w:r>
          </w:p>
          <w:p w14:paraId="25999C46">
            <w:pPr>
              <w:pStyle w:val="26"/>
              <w:rPr>
                <w:color w:val="auto"/>
              </w:rPr>
            </w:pPr>
            <w:r>
              <w:rPr>
                <w:rFonts w:hint="eastAsia"/>
                <w:color w:val="auto"/>
              </w:rPr>
              <w:t>事故池</w:t>
            </w:r>
            <w:r>
              <w:rPr>
                <w:color w:val="auto"/>
              </w:rPr>
              <w:t>等典型防渗结构示意图</w:t>
            </w:r>
          </w:p>
        </w:tc>
      </w:tr>
      <w:tr w14:paraId="3429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5000" w:type="pct"/>
            <w:gridSpan w:val="3"/>
            <w:tcMar>
              <w:top w:w="0" w:type="dxa"/>
              <w:left w:w="28" w:type="dxa"/>
              <w:bottom w:w="0" w:type="dxa"/>
              <w:right w:w="28" w:type="dxa"/>
            </w:tcMar>
            <w:vAlign w:val="center"/>
          </w:tcPr>
          <w:p w14:paraId="3977546E">
            <w:pPr>
              <w:pStyle w:val="26"/>
              <w:rPr>
                <w:color w:val="auto"/>
              </w:rPr>
            </w:pPr>
            <w:r>
              <w:rPr>
                <w:color w:val="auto"/>
              </w:rPr>
              <w:drawing>
                <wp:inline distT="0" distB="0" distL="0" distR="0">
                  <wp:extent cx="2514600" cy="1615440"/>
                  <wp:effectExtent l="0" t="0" r="0" b="0"/>
                  <wp:docPr id="13746247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24766" name="图片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514600" cy="1615440"/>
                          </a:xfrm>
                          <a:prstGeom prst="rect">
                            <a:avLst/>
                          </a:prstGeom>
                          <a:noFill/>
                          <a:ln>
                            <a:noFill/>
                          </a:ln>
                        </pic:spPr>
                      </pic:pic>
                    </a:graphicData>
                  </a:graphic>
                </wp:inline>
              </w:drawing>
            </w:r>
          </w:p>
          <w:p w14:paraId="31EEE08B">
            <w:pPr>
              <w:pStyle w:val="26"/>
              <w:rPr>
                <w:color w:val="auto"/>
              </w:rPr>
            </w:pPr>
            <w:r>
              <w:rPr>
                <w:color w:val="auto"/>
              </w:rPr>
              <w:t>生产装置区、仓库等典型防渗结构示意图</w:t>
            </w:r>
          </w:p>
        </w:tc>
      </w:tr>
    </w:tbl>
    <w:p w14:paraId="26DE21FE">
      <w:pPr>
        <w:rPr>
          <w:color w:val="auto"/>
        </w:rPr>
      </w:pPr>
      <w:r>
        <w:rPr>
          <w:rFonts w:hint="eastAsia"/>
          <w:color w:val="auto"/>
        </w:rPr>
        <w:t>土壤和地下水防治措施小结：</w:t>
      </w:r>
    </w:p>
    <w:p w14:paraId="32CAD6DB">
      <w:pPr>
        <w:rPr>
          <w:color w:val="auto"/>
        </w:rPr>
      </w:pPr>
      <w:r>
        <w:rPr>
          <w:rFonts w:hint="eastAsia"/>
          <w:color w:val="auto"/>
        </w:rPr>
        <w:t>在现有防治措施的基础上，本项目对土壤和地下水环境影响较小。建设单位应继续加强管理，提高地下水和土壤污染防治：</w:t>
      </w:r>
    </w:p>
    <w:p w14:paraId="2AA15146">
      <w:pPr>
        <w:rPr>
          <w:color w:val="auto"/>
        </w:rPr>
      </w:pPr>
      <w:r>
        <w:rPr>
          <w:rFonts w:hint="eastAsia"/>
          <w:color w:val="auto"/>
        </w:rPr>
        <w:t>1、运行期严格管理，加强巡检，及时发现污染物泄漏，一旦出现泄漏及时处理，检查检修设备，将污染物泄漏的环境风险降低到最低。</w:t>
      </w:r>
    </w:p>
    <w:p w14:paraId="09B7A960">
      <w:pPr>
        <w:rPr>
          <w:color w:val="auto"/>
        </w:rPr>
      </w:pPr>
      <w:r>
        <w:rPr>
          <w:rFonts w:hint="eastAsia"/>
          <w:color w:val="auto"/>
        </w:rPr>
        <w:t>2、加强废气污染防治措施管理和维护，确保其正常运行，减少废气污染物排放量，减少气态污染物沉降造成土壤及地下水污染。</w:t>
      </w:r>
    </w:p>
    <w:p w14:paraId="65E96B2A">
      <w:pPr>
        <w:rPr>
          <w:color w:val="auto"/>
        </w:rPr>
      </w:pPr>
      <w:r>
        <w:rPr>
          <w:rFonts w:hint="eastAsia"/>
          <w:color w:val="auto"/>
        </w:rPr>
        <w:t>3、定期开展土壤、地下水污染监测。委托有资质单位定期进行监测，及时掌握土壤、地下水环境状况。</w:t>
      </w:r>
    </w:p>
    <w:p w14:paraId="46C1194D">
      <w:pPr>
        <w:rPr>
          <w:rFonts w:hint="eastAsia"/>
          <w:color w:val="auto"/>
        </w:rPr>
      </w:pPr>
      <w:r>
        <w:rPr>
          <w:rFonts w:hint="eastAsia"/>
          <w:color w:val="auto"/>
        </w:rPr>
        <w:t>因此，本项目在采取上述严格管理和有效的防渗措施后，可以有效防止项目污染土壤和地下水。</w:t>
      </w:r>
    </w:p>
    <w:p w14:paraId="0E48C2BE">
      <w:pPr>
        <w:rPr>
          <w:rFonts w:hint="eastAsia"/>
          <w:color w:val="auto"/>
        </w:rPr>
      </w:pPr>
    </w:p>
    <w:p w14:paraId="78F48027">
      <w:pPr>
        <w:pStyle w:val="3"/>
        <w:rPr>
          <w:color w:val="auto"/>
        </w:rPr>
      </w:pPr>
      <w:bookmarkStart w:id="349" w:name="_Toc13413"/>
      <w:bookmarkStart w:id="350" w:name="_Toc440"/>
      <w:r>
        <w:rPr>
          <w:rFonts w:hint="eastAsia"/>
          <w:color w:val="auto"/>
        </w:rPr>
        <w:t>环境风险防范措施</w:t>
      </w:r>
      <w:bookmarkEnd w:id="349"/>
      <w:bookmarkEnd w:id="350"/>
    </w:p>
    <w:p w14:paraId="19626F58">
      <w:pPr>
        <w:pStyle w:val="4"/>
        <w:bidi w:val="0"/>
        <w:rPr>
          <w:rFonts w:hint="eastAsia"/>
          <w:color w:val="auto"/>
          <w:lang w:val="en-US" w:eastAsia="zh-CN"/>
        </w:rPr>
      </w:pPr>
      <w:bookmarkStart w:id="351" w:name="_Toc10019"/>
      <w:bookmarkStart w:id="352" w:name="_Toc24477"/>
      <w:r>
        <w:rPr>
          <w:rFonts w:hint="eastAsia"/>
          <w:color w:val="auto"/>
          <w:lang w:val="en-US" w:eastAsia="zh-CN"/>
        </w:rPr>
        <w:t>环境应急管理制度</w:t>
      </w:r>
      <w:bookmarkEnd w:id="351"/>
      <w:bookmarkEnd w:id="352"/>
    </w:p>
    <w:p w14:paraId="788DB44A">
      <w:pPr>
        <w:rPr>
          <w:rFonts w:hint="eastAsia"/>
          <w:color w:val="auto"/>
        </w:rPr>
      </w:pPr>
      <w:r>
        <w:rPr>
          <w:rFonts w:hint="eastAsia"/>
          <w:color w:val="auto"/>
        </w:rPr>
        <w:t>根据《省生态环境厅关于印发江苏省环境影响评价文件环境应急相关内容编制要点的通知》（苏环办〔2022〕338号）要求，本次评价中明确环境应急管理制度如下：</w:t>
      </w:r>
    </w:p>
    <w:p w14:paraId="5318377A">
      <w:pPr>
        <w:rPr>
          <w:rFonts w:hint="eastAsia"/>
          <w:color w:val="auto"/>
        </w:rPr>
      </w:pPr>
      <w:r>
        <w:rPr>
          <w:rFonts w:hint="eastAsia"/>
          <w:color w:val="auto"/>
        </w:rPr>
        <w:t>（1）突发环境事件应急预案的编制、修订和备案要求：</w:t>
      </w:r>
    </w:p>
    <w:p w14:paraId="1992498E">
      <w:pPr>
        <w:rPr>
          <w:rFonts w:hint="eastAsia"/>
          <w:color w:val="auto"/>
        </w:rPr>
      </w:pPr>
      <w:r>
        <w:rPr>
          <w:rFonts w:hint="eastAsia"/>
          <w:color w:val="auto"/>
          <w:lang w:eastAsia="zh-CN"/>
        </w:rPr>
        <w:t>昆运制版</w:t>
      </w:r>
      <w:r>
        <w:rPr>
          <w:rFonts w:hint="eastAsia"/>
          <w:color w:val="auto"/>
        </w:rPr>
        <w:t>应根据自身内部因素（如生产地点、生产规模和生产工艺发生变化）和外部环境的变化，按照《企事业单位和工业园区突发环境事件应急预案编制导则》（DB32/T3795-2020）及时更新应急预案（每三年至少更新一次），在演练过程中发现存在的问题和出现新的情况，也应及时修订完善预案。并进行评审、发布，同时向</w:t>
      </w:r>
      <w:r>
        <w:rPr>
          <w:rFonts w:hint="eastAsia"/>
          <w:color w:val="auto"/>
          <w:lang w:eastAsia="zh-CN"/>
        </w:rPr>
        <w:t>苏州</w:t>
      </w:r>
      <w:r>
        <w:rPr>
          <w:rFonts w:hint="eastAsia"/>
          <w:color w:val="auto"/>
          <w:lang w:val="en-US" w:eastAsia="zh-CN"/>
        </w:rPr>
        <w:t>市昆山</w:t>
      </w:r>
      <w:r>
        <w:rPr>
          <w:rFonts w:hint="eastAsia"/>
          <w:color w:val="auto"/>
          <w:lang w:eastAsia="zh-CN"/>
        </w:rPr>
        <w:t>生态环境局</w:t>
      </w:r>
      <w:r>
        <w:rPr>
          <w:rFonts w:hint="eastAsia"/>
          <w:color w:val="auto"/>
        </w:rPr>
        <w:t>备案。</w:t>
      </w:r>
    </w:p>
    <w:p w14:paraId="0DAC2C8D">
      <w:pPr>
        <w:rPr>
          <w:rFonts w:hint="eastAsia"/>
          <w:color w:val="auto"/>
        </w:rPr>
      </w:pPr>
      <w:r>
        <w:rPr>
          <w:rFonts w:hint="eastAsia"/>
          <w:color w:val="auto"/>
        </w:rPr>
        <w:t>（2）事故状态下的特征污染因子和应急监测能力</w:t>
      </w:r>
    </w:p>
    <w:p w14:paraId="698B95A1">
      <w:pPr>
        <w:rPr>
          <w:rFonts w:hint="eastAsia"/>
          <w:color w:val="auto"/>
        </w:rPr>
      </w:pPr>
      <w:r>
        <w:rPr>
          <w:rFonts w:hint="eastAsia"/>
          <w:color w:val="auto"/>
        </w:rPr>
        <w:t>具体见第</w:t>
      </w:r>
      <w:r>
        <w:rPr>
          <w:rFonts w:hint="eastAsia"/>
          <w:color w:val="auto"/>
        </w:rPr>
        <w:fldChar w:fldCharType="begin"/>
      </w:r>
      <w:r>
        <w:rPr>
          <w:rFonts w:hint="eastAsia"/>
          <w:color w:val="auto"/>
        </w:rPr>
        <w:instrText xml:space="preserve"> REF _Ref135690576 \r \h  \* MERGEFORMAT </w:instrText>
      </w:r>
      <w:r>
        <w:rPr>
          <w:rFonts w:hint="eastAsia"/>
          <w:color w:val="auto"/>
        </w:rPr>
        <w:fldChar w:fldCharType="separate"/>
      </w:r>
      <w:r>
        <w:rPr>
          <w:rFonts w:hint="eastAsia"/>
          <w:color w:val="auto"/>
        </w:rPr>
        <w:t>9.3.3</w:t>
      </w:r>
      <w:r>
        <w:rPr>
          <w:rFonts w:hint="eastAsia"/>
          <w:color w:val="auto"/>
        </w:rPr>
        <w:fldChar w:fldCharType="end"/>
      </w:r>
      <w:r>
        <w:rPr>
          <w:rFonts w:hint="eastAsia"/>
          <w:color w:val="auto"/>
        </w:rPr>
        <w:t>节</w:t>
      </w:r>
      <w:r>
        <w:rPr>
          <w:rFonts w:hint="eastAsia"/>
          <w:color w:val="auto"/>
        </w:rPr>
        <w:fldChar w:fldCharType="begin"/>
      </w:r>
      <w:r>
        <w:rPr>
          <w:rFonts w:hint="eastAsia"/>
          <w:color w:val="auto"/>
        </w:rPr>
        <w:instrText xml:space="preserve"> REF _Ref135690576 \h  \* MERGEFORMAT </w:instrText>
      </w:r>
      <w:r>
        <w:rPr>
          <w:rFonts w:hint="eastAsia"/>
          <w:color w:val="auto"/>
        </w:rPr>
        <w:fldChar w:fldCharType="separate"/>
      </w:r>
      <w:r>
        <w:rPr>
          <w:rFonts w:hint="eastAsia"/>
          <w:color w:val="auto"/>
        </w:rPr>
        <w:t>应急监测计划</w:t>
      </w:r>
      <w:r>
        <w:rPr>
          <w:rFonts w:hint="eastAsia"/>
          <w:color w:val="auto"/>
        </w:rPr>
        <w:fldChar w:fldCharType="end"/>
      </w:r>
      <w:r>
        <w:rPr>
          <w:rFonts w:hint="eastAsia"/>
          <w:color w:val="auto"/>
        </w:rPr>
        <w:t>。</w:t>
      </w:r>
    </w:p>
    <w:p w14:paraId="4985A942">
      <w:pPr>
        <w:rPr>
          <w:rFonts w:hint="eastAsia"/>
          <w:color w:val="auto"/>
        </w:rPr>
      </w:pPr>
      <w:r>
        <w:rPr>
          <w:rFonts w:hint="eastAsia"/>
          <w:color w:val="auto"/>
        </w:rPr>
        <w:t>（3）环境应急物资装备配备要求</w:t>
      </w:r>
    </w:p>
    <w:p w14:paraId="34FD4C44">
      <w:pPr>
        <w:rPr>
          <w:rFonts w:hint="eastAsia"/>
          <w:color w:val="auto"/>
        </w:rPr>
      </w:pPr>
      <w:r>
        <w:rPr>
          <w:rFonts w:hint="eastAsia"/>
          <w:color w:val="auto"/>
        </w:rPr>
        <w:t>应急物资功能应至少包括：污染源收集、污染物源切断、安全防护、消防、防火等。</w:t>
      </w:r>
    </w:p>
    <w:p w14:paraId="4CAA5DD9">
      <w:pPr>
        <w:rPr>
          <w:rFonts w:hint="eastAsia"/>
          <w:color w:val="auto"/>
        </w:rPr>
      </w:pPr>
      <w:r>
        <w:rPr>
          <w:rFonts w:hint="eastAsia"/>
          <w:color w:val="auto"/>
        </w:rPr>
        <w:t>（4）突发环境事件隐患排查治理制度要求</w:t>
      </w:r>
    </w:p>
    <w:p w14:paraId="7DC60FF4">
      <w:pPr>
        <w:rPr>
          <w:rFonts w:hint="eastAsia"/>
          <w:color w:val="auto"/>
        </w:rPr>
      </w:pPr>
      <w:r>
        <w:rPr>
          <w:rFonts w:hint="eastAsia"/>
          <w:color w:val="auto"/>
        </w:rPr>
        <w:t>隐患排查内容：从环境应急管理和突发环境事件风险防控措施两大方面排查可能直接导致或次生突发环境事件的隐患。</w:t>
      </w:r>
    </w:p>
    <w:p w14:paraId="709B7B52">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7.6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1</w:t>
      </w:r>
      <w:r>
        <w:rPr>
          <w:rFonts w:hint="eastAsia"/>
          <w:color w:val="auto"/>
          <w:lang w:val="en-US" w:eastAsia="zh-CN"/>
        </w:rPr>
        <w:fldChar w:fldCharType="end"/>
      </w:r>
      <w:r>
        <w:rPr>
          <w:rFonts w:hint="eastAsia"/>
          <w:color w:val="auto"/>
          <w:lang w:val="en-US" w:eastAsia="zh-CN"/>
        </w:rPr>
        <w:t>昆运制版突发环境事件应急管理隐患排查表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5"/>
        <w:gridCol w:w="4027"/>
        <w:gridCol w:w="1198"/>
        <w:gridCol w:w="1198"/>
        <w:gridCol w:w="948"/>
      </w:tblGrid>
      <w:tr w14:paraId="2BF7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5"/>
            <w:tcMar>
              <w:left w:w="0" w:type="dxa"/>
              <w:right w:w="0" w:type="dxa"/>
            </w:tcMar>
            <w:vAlign w:val="center"/>
          </w:tcPr>
          <w:p w14:paraId="08BAD239">
            <w:pPr>
              <w:pStyle w:val="26"/>
              <w:bidi w:val="0"/>
              <w:rPr>
                <w:rFonts w:hint="eastAsia"/>
                <w:color w:val="auto"/>
                <w:lang w:val="en-US" w:eastAsia="zh-CN"/>
              </w:rPr>
            </w:pPr>
            <w:r>
              <w:rPr>
                <w:rFonts w:hint="eastAsia"/>
                <w:color w:val="auto"/>
                <w:lang w:val="en-US" w:eastAsia="zh-CN"/>
              </w:rPr>
              <w:t>排查时间：年月日现场排查负责人（签字）：</w:t>
            </w:r>
          </w:p>
        </w:tc>
      </w:tr>
      <w:tr w14:paraId="6973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restart"/>
            <w:tcMar>
              <w:left w:w="0" w:type="dxa"/>
              <w:right w:w="0" w:type="dxa"/>
            </w:tcMar>
            <w:vAlign w:val="center"/>
          </w:tcPr>
          <w:p w14:paraId="211355C7">
            <w:pPr>
              <w:pStyle w:val="26"/>
              <w:bidi w:val="0"/>
              <w:rPr>
                <w:rFonts w:hint="eastAsia"/>
                <w:color w:val="auto"/>
                <w:lang w:val="en-US" w:eastAsia="zh-CN"/>
              </w:rPr>
            </w:pPr>
            <w:r>
              <w:rPr>
                <w:rFonts w:hint="eastAsia"/>
                <w:color w:val="auto"/>
                <w:lang w:val="en-US" w:eastAsia="zh-CN"/>
              </w:rPr>
              <w:t>排查内容</w:t>
            </w:r>
          </w:p>
        </w:tc>
        <w:tc>
          <w:tcPr>
            <w:tcW w:w="2421" w:type="pct"/>
            <w:vMerge w:val="restart"/>
            <w:tcMar>
              <w:left w:w="0" w:type="dxa"/>
              <w:right w:w="0" w:type="dxa"/>
            </w:tcMar>
            <w:vAlign w:val="center"/>
          </w:tcPr>
          <w:p w14:paraId="18B283DB">
            <w:pPr>
              <w:pStyle w:val="26"/>
              <w:bidi w:val="0"/>
              <w:rPr>
                <w:rFonts w:hint="eastAsia"/>
                <w:color w:val="auto"/>
                <w:lang w:val="en-US" w:eastAsia="zh-CN"/>
              </w:rPr>
            </w:pPr>
            <w:r>
              <w:rPr>
                <w:rFonts w:hint="eastAsia"/>
                <w:color w:val="auto"/>
                <w:lang w:val="en-US" w:eastAsia="zh-CN"/>
              </w:rPr>
              <w:t>具体排查内容</w:t>
            </w:r>
          </w:p>
        </w:tc>
        <w:tc>
          <w:tcPr>
            <w:tcW w:w="2010" w:type="pct"/>
            <w:gridSpan w:val="3"/>
            <w:tcMar>
              <w:left w:w="0" w:type="dxa"/>
              <w:right w:w="0" w:type="dxa"/>
            </w:tcMar>
            <w:vAlign w:val="center"/>
          </w:tcPr>
          <w:p w14:paraId="78C2C397">
            <w:pPr>
              <w:pStyle w:val="26"/>
              <w:bidi w:val="0"/>
              <w:rPr>
                <w:rFonts w:hint="eastAsia"/>
                <w:color w:val="auto"/>
                <w:lang w:val="en-US" w:eastAsia="zh-CN"/>
              </w:rPr>
            </w:pPr>
            <w:r>
              <w:rPr>
                <w:rFonts w:hint="eastAsia"/>
                <w:color w:val="auto"/>
                <w:lang w:val="en-US" w:eastAsia="zh-CN"/>
              </w:rPr>
              <w:t>排查结果</w:t>
            </w:r>
          </w:p>
        </w:tc>
      </w:tr>
      <w:tr w14:paraId="55B9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5DCCFAD8">
            <w:pPr>
              <w:pStyle w:val="26"/>
              <w:bidi w:val="0"/>
              <w:rPr>
                <w:rFonts w:hint="eastAsia"/>
                <w:color w:val="auto"/>
                <w:lang w:val="en-US" w:eastAsia="zh-CN"/>
              </w:rPr>
            </w:pPr>
          </w:p>
        </w:tc>
        <w:tc>
          <w:tcPr>
            <w:tcW w:w="2421" w:type="pct"/>
            <w:vMerge w:val="continue"/>
            <w:tcMar>
              <w:left w:w="0" w:type="dxa"/>
              <w:right w:w="0" w:type="dxa"/>
            </w:tcMar>
            <w:vAlign w:val="center"/>
          </w:tcPr>
          <w:p w14:paraId="69D2B47D">
            <w:pPr>
              <w:pStyle w:val="26"/>
              <w:bidi w:val="0"/>
              <w:rPr>
                <w:rFonts w:hint="eastAsia"/>
                <w:color w:val="auto"/>
                <w:lang w:val="en-US" w:eastAsia="zh-CN"/>
              </w:rPr>
            </w:pPr>
          </w:p>
        </w:tc>
        <w:tc>
          <w:tcPr>
            <w:tcW w:w="720" w:type="pct"/>
            <w:tcMar>
              <w:left w:w="0" w:type="dxa"/>
              <w:right w:w="0" w:type="dxa"/>
            </w:tcMar>
            <w:vAlign w:val="center"/>
          </w:tcPr>
          <w:p w14:paraId="6D9BA67A">
            <w:pPr>
              <w:pStyle w:val="26"/>
              <w:bidi w:val="0"/>
              <w:rPr>
                <w:rFonts w:hint="eastAsia"/>
                <w:color w:val="auto"/>
                <w:lang w:val="en-US" w:eastAsia="zh-CN"/>
              </w:rPr>
            </w:pPr>
            <w:r>
              <w:rPr>
                <w:rFonts w:hint="eastAsia"/>
                <w:color w:val="auto"/>
                <w:lang w:val="en-US" w:eastAsia="zh-CN"/>
              </w:rPr>
              <w:t>是，证明材料</w:t>
            </w:r>
          </w:p>
        </w:tc>
        <w:tc>
          <w:tcPr>
            <w:tcW w:w="720" w:type="pct"/>
            <w:tcMar>
              <w:left w:w="0" w:type="dxa"/>
              <w:right w:w="0" w:type="dxa"/>
            </w:tcMar>
            <w:vAlign w:val="center"/>
          </w:tcPr>
          <w:p w14:paraId="1261ADD2">
            <w:pPr>
              <w:pStyle w:val="26"/>
              <w:bidi w:val="0"/>
              <w:rPr>
                <w:rFonts w:hint="eastAsia"/>
                <w:color w:val="auto"/>
                <w:lang w:val="en-US" w:eastAsia="zh-CN"/>
              </w:rPr>
            </w:pPr>
            <w:r>
              <w:rPr>
                <w:rFonts w:hint="eastAsia"/>
                <w:color w:val="auto"/>
                <w:lang w:val="en-US" w:eastAsia="zh-CN"/>
              </w:rPr>
              <w:t>否，具体问题</w:t>
            </w:r>
          </w:p>
        </w:tc>
        <w:tc>
          <w:tcPr>
            <w:tcW w:w="570" w:type="pct"/>
            <w:tcMar>
              <w:left w:w="0" w:type="dxa"/>
              <w:right w:w="0" w:type="dxa"/>
            </w:tcMar>
            <w:vAlign w:val="center"/>
          </w:tcPr>
          <w:p w14:paraId="7E34A2FB">
            <w:pPr>
              <w:pStyle w:val="26"/>
              <w:bidi w:val="0"/>
              <w:rPr>
                <w:rFonts w:hint="eastAsia"/>
                <w:color w:val="auto"/>
                <w:lang w:val="en-US" w:eastAsia="zh-CN"/>
              </w:rPr>
            </w:pPr>
            <w:r>
              <w:rPr>
                <w:rFonts w:hint="eastAsia"/>
                <w:color w:val="auto"/>
                <w:lang w:val="en-US" w:eastAsia="zh-CN"/>
              </w:rPr>
              <w:t>其他情况</w:t>
            </w:r>
          </w:p>
        </w:tc>
      </w:tr>
      <w:tr w14:paraId="385E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restart"/>
            <w:tcMar>
              <w:left w:w="0" w:type="dxa"/>
              <w:right w:w="0" w:type="dxa"/>
            </w:tcMar>
            <w:vAlign w:val="center"/>
          </w:tcPr>
          <w:p w14:paraId="60FBAC17">
            <w:pPr>
              <w:pStyle w:val="26"/>
              <w:bidi w:val="0"/>
              <w:rPr>
                <w:rFonts w:hint="eastAsia"/>
                <w:color w:val="auto"/>
                <w:lang w:val="en-US" w:eastAsia="zh-CN"/>
              </w:rPr>
            </w:pPr>
            <w:r>
              <w:rPr>
                <w:rFonts w:hint="eastAsia"/>
                <w:color w:val="auto"/>
                <w:lang w:val="en-US" w:eastAsia="zh-CN"/>
              </w:rPr>
              <w:t>1.是否按规定开展突发环境事件风险评估，确定风险等级</w:t>
            </w:r>
          </w:p>
        </w:tc>
        <w:tc>
          <w:tcPr>
            <w:tcW w:w="2421" w:type="pct"/>
            <w:tcMar>
              <w:left w:w="0" w:type="dxa"/>
              <w:right w:w="0" w:type="dxa"/>
            </w:tcMar>
            <w:vAlign w:val="center"/>
          </w:tcPr>
          <w:p w14:paraId="1B7EDF20">
            <w:pPr>
              <w:pStyle w:val="26"/>
              <w:bidi w:val="0"/>
              <w:rPr>
                <w:rFonts w:hint="eastAsia"/>
                <w:color w:val="auto"/>
                <w:lang w:val="en-US" w:eastAsia="zh-CN"/>
              </w:rPr>
            </w:pPr>
            <w:r>
              <w:rPr>
                <w:rFonts w:hint="eastAsia"/>
                <w:color w:val="auto"/>
                <w:lang w:val="en-US" w:eastAsia="zh-CN"/>
              </w:rPr>
              <w:t>（1）是否编制突发环境事件风险评估报告，并与预案一起备案。</w:t>
            </w:r>
          </w:p>
        </w:tc>
        <w:tc>
          <w:tcPr>
            <w:tcW w:w="720" w:type="pct"/>
            <w:tcMar>
              <w:left w:w="0" w:type="dxa"/>
              <w:right w:w="0" w:type="dxa"/>
            </w:tcMar>
            <w:vAlign w:val="center"/>
          </w:tcPr>
          <w:p w14:paraId="775F13EF">
            <w:pPr>
              <w:pStyle w:val="26"/>
              <w:bidi w:val="0"/>
              <w:rPr>
                <w:rFonts w:hint="eastAsia"/>
                <w:color w:val="auto"/>
                <w:lang w:val="en-US" w:eastAsia="zh-CN"/>
              </w:rPr>
            </w:pPr>
          </w:p>
        </w:tc>
        <w:tc>
          <w:tcPr>
            <w:tcW w:w="720" w:type="pct"/>
            <w:tcMar>
              <w:left w:w="0" w:type="dxa"/>
              <w:right w:w="0" w:type="dxa"/>
            </w:tcMar>
            <w:vAlign w:val="center"/>
          </w:tcPr>
          <w:p w14:paraId="1B3524F1">
            <w:pPr>
              <w:pStyle w:val="26"/>
              <w:bidi w:val="0"/>
              <w:rPr>
                <w:rFonts w:hint="eastAsia"/>
                <w:color w:val="auto"/>
                <w:lang w:val="en-US" w:eastAsia="zh-CN"/>
              </w:rPr>
            </w:pPr>
          </w:p>
        </w:tc>
        <w:tc>
          <w:tcPr>
            <w:tcW w:w="570" w:type="pct"/>
            <w:tcMar>
              <w:left w:w="0" w:type="dxa"/>
              <w:right w:w="0" w:type="dxa"/>
            </w:tcMar>
            <w:vAlign w:val="center"/>
          </w:tcPr>
          <w:p w14:paraId="09BC3260">
            <w:pPr>
              <w:pStyle w:val="26"/>
              <w:bidi w:val="0"/>
              <w:rPr>
                <w:rFonts w:hint="eastAsia"/>
                <w:color w:val="auto"/>
                <w:lang w:val="en-US" w:eastAsia="zh-CN"/>
              </w:rPr>
            </w:pPr>
          </w:p>
        </w:tc>
      </w:tr>
      <w:tr w14:paraId="74D8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367494F0">
            <w:pPr>
              <w:pStyle w:val="26"/>
              <w:bidi w:val="0"/>
              <w:rPr>
                <w:rFonts w:hint="eastAsia"/>
                <w:color w:val="auto"/>
                <w:lang w:val="en-US" w:eastAsia="zh-CN"/>
              </w:rPr>
            </w:pPr>
          </w:p>
        </w:tc>
        <w:tc>
          <w:tcPr>
            <w:tcW w:w="2421" w:type="pct"/>
            <w:tcMar>
              <w:left w:w="0" w:type="dxa"/>
              <w:right w:w="0" w:type="dxa"/>
            </w:tcMar>
            <w:vAlign w:val="center"/>
          </w:tcPr>
          <w:p w14:paraId="56D5EE70">
            <w:pPr>
              <w:pStyle w:val="26"/>
              <w:bidi w:val="0"/>
              <w:rPr>
                <w:rFonts w:hint="eastAsia"/>
                <w:color w:val="auto"/>
                <w:lang w:val="en-US" w:eastAsia="zh-CN"/>
              </w:rPr>
            </w:pPr>
            <w:r>
              <w:rPr>
                <w:rFonts w:hint="eastAsia"/>
                <w:color w:val="auto"/>
                <w:lang w:val="en-US" w:eastAsia="zh-CN"/>
              </w:rPr>
              <w:t>（2）企业现有突发环境事件风险物质种类和风险评估报告相比是否发生变化。</w:t>
            </w:r>
          </w:p>
        </w:tc>
        <w:tc>
          <w:tcPr>
            <w:tcW w:w="720" w:type="pct"/>
            <w:tcMar>
              <w:left w:w="0" w:type="dxa"/>
              <w:right w:w="0" w:type="dxa"/>
            </w:tcMar>
            <w:vAlign w:val="center"/>
          </w:tcPr>
          <w:p w14:paraId="2D7DAF67">
            <w:pPr>
              <w:pStyle w:val="26"/>
              <w:bidi w:val="0"/>
              <w:rPr>
                <w:rFonts w:hint="eastAsia"/>
                <w:color w:val="auto"/>
                <w:lang w:val="en-US" w:eastAsia="zh-CN"/>
              </w:rPr>
            </w:pPr>
          </w:p>
        </w:tc>
        <w:tc>
          <w:tcPr>
            <w:tcW w:w="720" w:type="pct"/>
            <w:tcMar>
              <w:left w:w="0" w:type="dxa"/>
              <w:right w:w="0" w:type="dxa"/>
            </w:tcMar>
            <w:vAlign w:val="center"/>
          </w:tcPr>
          <w:p w14:paraId="298370E7">
            <w:pPr>
              <w:pStyle w:val="26"/>
              <w:bidi w:val="0"/>
              <w:rPr>
                <w:rFonts w:hint="eastAsia"/>
                <w:color w:val="auto"/>
                <w:lang w:val="en-US" w:eastAsia="zh-CN"/>
              </w:rPr>
            </w:pPr>
          </w:p>
        </w:tc>
        <w:tc>
          <w:tcPr>
            <w:tcW w:w="570" w:type="pct"/>
            <w:tcMar>
              <w:left w:w="0" w:type="dxa"/>
              <w:right w:w="0" w:type="dxa"/>
            </w:tcMar>
            <w:vAlign w:val="center"/>
          </w:tcPr>
          <w:p w14:paraId="52256F24">
            <w:pPr>
              <w:pStyle w:val="26"/>
              <w:bidi w:val="0"/>
              <w:rPr>
                <w:rFonts w:hint="eastAsia"/>
                <w:color w:val="auto"/>
                <w:lang w:val="en-US" w:eastAsia="zh-CN"/>
              </w:rPr>
            </w:pPr>
          </w:p>
        </w:tc>
      </w:tr>
      <w:tr w14:paraId="64D6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2AA23DC4">
            <w:pPr>
              <w:pStyle w:val="26"/>
              <w:bidi w:val="0"/>
              <w:rPr>
                <w:rFonts w:hint="eastAsia"/>
                <w:color w:val="auto"/>
                <w:lang w:val="en-US" w:eastAsia="zh-CN"/>
              </w:rPr>
            </w:pPr>
          </w:p>
        </w:tc>
        <w:tc>
          <w:tcPr>
            <w:tcW w:w="2421" w:type="pct"/>
            <w:tcMar>
              <w:left w:w="0" w:type="dxa"/>
              <w:right w:w="0" w:type="dxa"/>
            </w:tcMar>
            <w:vAlign w:val="center"/>
          </w:tcPr>
          <w:p w14:paraId="7083418E">
            <w:pPr>
              <w:pStyle w:val="26"/>
              <w:bidi w:val="0"/>
              <w:rPr>
                <w:rFonts w:hint="eastAsia"/>
                <w:color w:val="auto"/>
                <w:lang w:val="en-US" w:eastAsia="zh-CN"/>
              </w:rPr>
            </w:pPr>
            <w:r>
              <w:rPr>
                <w:rFonts w:hint="eastAsia"/>
                <w:color w:val="auto"/>
                <w:lang w:val="en-US" w:eastAsia="zh-CN"/>
              </w:rPr>
              <w:t>（3）企业现有突发环境事件风险物质数量和风险评估报告相比是否发生变化。</w:t>
            </w:r>
          </w:p>
        </w:tc>
        <w:tc>
          <w:tcPr>
            <w:tcW w:w="720" w:type="pct"/>
            <w:tcMar>
              <w:left w:w="0" w:type="dxa"/>
              <w:right w:w="0" w:type="dxa"/>
            </w:tcMar>
            <w:vAlign w:val="center"/>
          </w:tcPr>
          <w:p w14:paraId="2291CFBE">
            <w:pPr>
              <w:pStyle w:val="26"/>
              <w:bidi w:val="0"/>
              <w:rPr>
                <w:rFonts w:hint="eastAsia"/>
                <w:color w:val="auto"/>
                <w:lang w:val="en-US" w:eastAsia="zh-CN"/>
              </w:rPr>
            </w:pPr>
          </w:p>
        </w:tc>
        <w:tc>
          <w:tcPr>
            <w:tcW w:w="720" w:type="pct"/>
            <w:tcMar>
              <w:left w:w="0" w:type="dxa"/>
              <w:right w:w="0" w:type="dxa"/>
            </w:tcMar>
            <w:vAlign w:val="center"/>
          </w:tcPr>
          <w:p w14:paraId="5BCE5CF9">
            <w:pPr>
              <w:pStyle w:val="26"/>
              <w:bidi w:val="0"/>
              <w:rPr>
                <w:rFonts w:hint="eastAsia"/>
                <w:color w:val="auto"/>
                <w:lang w:val="en-US" w:eastAsia="zh-CN"/>
              </w:rPr>
            </w:pPr>
          </w:p>
        </w:tc>
        <w:tc>
          <w:tcPr>
            <w:tcW w:w="570" w:type="pct"/>
            <w:tcMar>
              <w:left w:w="0" w:type="dxa"/>
              <w:right w:w="0" w:type="dxa"/>
            </w:tcMar>
            <w:vAlign w:val="center"/>
          </w:tcPr>
          <w:p w14:paraId="44180816">
            <w:pPr>
              <w:pStyle w:val="26"/>
              <w:bidi w:val="0"/>
              <w:rPr>
                <w:rFonts w:hint="eastAsia"/>
                <w:color w:val="auto"/>
                <w:lang w:val="en-US" w:eastAsia="zh-CN"/>
              </w:rPr>
            </w:pPr>
          </w:p>
        </w:tc>
      </w:tr>
      <w:tr w14:paraId="716A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4AFDFB64">
            <w:pPr>
              <w:pStyle w:val="26"/>
              <w:bidi w:val="0"/>
              <w:rPr>
                <w:rFonts w:hint="eastAsia"/>
                <w:color w:val="auto"/>
                <w:lang w:val="en-US" w:eastAsia="zh-CN"/>
              </w:rPr>
            </w:pPr>
          </w:p>
        </w:tc>
        <w:tc>
          <w:tcPr>
            <w:tcW w:w="2421" w:type="pct"/>
            <w:tcMar>
              <w:left w:w="0" w:type="dxa"/>
              <w:right w:w="0" w:type="dxa"/>
            </w:tcMar>
            <w:vAlign w:val="center"/>
          </w:tcPr>
          <w:p w14:paraId="46F421E8">
            <w:pPr>
              <w:pStyle w:val="26"/>
              <w:bidi w:val="0"/>
              <w:rPr>
                <w:rFonts w:hint="eastAsia"/>
                <w:color w:val="auto"/>
                <w:lang w:val="en-US" w:eastAsia="zh-CN"/>
              </w:rPr>
            </w:pPr>
            <w:r>
              <w:rPr>
                <w:rFonts w:hint="eastAsia"/>
                <w:color w:val="auto"/>
                <w:lang w:val="en-US" w:eastAsia="zh-CN"/>
              </w:rPr>
              <w:t>（4）企业突发环境事件风险物质种类、数量变化是否影响风险等级。</w:t>
            </w:r>
          </w:p>
        </w:tc>
        <w:tc>
          <w:tcPr>
            <w:tcW w:w="720" w:type="pct"/>
            <w:tcMar>
              <w:left w:w="0" w:type="dxa"/>
              <w:right w:w="0" w:type="dxa"/>
            </w:tcMar>
            <w:vAlign w:val="center"/>
          </w:tcPr>
          <w:p w14:paraId="515275DA">
            <w:pPr>
              <w:pStyle w:val="26"/>
              <w:bidi w:val="0"/>
              <w:rPr>
                <w:rFonts w:hint="eastAsia"/>
                <w:color w:val="auto"/>
                <w:lang w:val="en-US" w:eastAsia="zh-CN"/>
              </w:rPr>
            </w:pPr>
          </w:p>
        </w:tc>
        <w:tc>
          <w:tcPr>
            <w:tcW w:w="720" w:type="pct"/>
            <w:tcMar>
              <w:left w:w="0" w:type="dxa"/>
              <w:right w:w="0" w:type="dxa"/>
            </w:tcMar>
            <w:vAlign w:val="center"/>
          </w:tcPr>
          <w:p w14:paraId="2E545C43">
            <w:pPr>
              <w:pStyle w:val="26"/>
              <w:bidi w:val="0"/>
              <w:rPr>
                <w:rFonts w:hint="eastAsia"/>
                <w:color w:val="auto"/>
                <w:lang w:val="en-US" w:eastAsia="zh-CN"/>
              </w:rPr>
            </w:pPr>
          </w:p>
        </w:tc>
        <w:tc>
          <w:tcPr>
            <w:tcW w:w="570" w:type="pct"/>
            <w:tcMar>
              <w:left w:w="0" w:type="dxa"/>
              <w:right w:w="0" w:type="dxa"/>
            </w:tcMar>
            <w:vAlign w:val="center"/>
          </w:tcPr>
          <w:p w14:paraId="426478D1">
            <w:pPr>
              <w:pStyle w:val="26"/>
              <w:bidi w:val="0"/>
              <w:rPr>
                <w:rFonts w:hint="eastAsia"/>
                <w:color w:val="auto"/>
                <w:lang w:val="en-US" w:eastAsia="zh-CN"/>
              </w:rPr>
            </w:pPr>
          </w:p>
        </w:tc>
      </w:tr>
      <w:tr w14:paraId="3203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47858C3C">
            <w:pPr>
              <w:pStyle w:val="26"/>
              <w:bidi w:val="0"/>
              <w:rPr>
                <w:rFonts w:hint="eastAsia"/>
                <w:color w:val="auto"/>
                <w:lang w:val="en-US" w:eastAsia="zh-CN"/>
              </w:rPr>
            </w:pPr>
          </w:p>
        </w:tc>
        <w:tc>
          <w:tcPr>
            <w:tcW w:w="2421" w:type="pct"/>
            <w:tcMar>
              <w:left w:w="0" w:type="dxa"/>
              <w:right w:w="0" w:type="dxa"/>
            </w:tcMar>
            <w:vAlign w:val="center"/>
          </w:tcPr>
          <w:p w14:paraId="50606336">
            <w:pPr>
              <w:pStyle w:val="26"/>
              <w:bidi w:val="0"/>
              <w:rPr>
                <w:rFonts w:hint="eastAsia"/>
                <w:color w:val="auto"/>
                <w:lang w:val="en-US" w:eastAsia="zh-CN"/>
              </w:rPr>
            </w:pPr>
            <w:r>
              <w:rPr>
                <w:rFonts w:hint="eastAsia"/>
                <w:color w:val="auto"/>
                <w:lang w:val="en-US" w:eastAsia="zh-CN"/>
              </w:rPr>
              <w:t>（5）突发环境事件风险等级确定是否正确合理。</w:t>
            </w:r>
          </w:p>
        </w:tc>
        <w:tc>
          <w:tcPr>
            <w:tcW w:w="720" w:type="pct"/>
            <w:tcMar>
              <w:left w:w="0" w:type="dxa"/>
              <w:right w:w="0" w:type="dxa"/>
            </w:tcMar>
            <w:vAlign w:val="center"/>
          </w:tcPr>
          <w:p w14:paraId="3DE9EC80">
            <w:pPr>
              <w:pStyle w:val="26"/>
              <w:bidi w:val="0"/>
              <w:rPr>
                <w:rFonts w:hint="eastAsia"/>
                <w:color w:val="auto"/>
                <w:lang w:val="en-US" w:eastAsia="zh-CN"/>
              </w:rPr>
            </w:pPr>
          </w:p>
        </w:tc>
        <w:tc>
          <w:tcPr>
            <w:tcW w:w="720" w:type="pct"/>
            <w:tcMar>
              <w:left w:w="0" w:type="dxa"/>
              <w:right w:w="0" w:type="dxa"/>
            </w:tcMar>
            <w:vAlign w:val="center"/>
          </w:tcPr>
          <w:p w14:paraId="57D06E0C">
            <w:pPr>
              <w:pStyle w:val="26"/>
              <w:bidi w:val="0"/>
              <w:rPr>
                <w:rFonts w:hint="eastAsia"/>
                <w:color w:val="auto"/>
                <w:lang w:val="en-US" w:eastAsia="zh-CN"/>
              </w:rPr>
            </w:pPr>
          </w:p>
        </w:tc>
        <w:tc>
          <w:tcPr>
            <w:tcW w:w="570" w:type="pct"/>
            <w:tcMar>
              <w:left w:w="0" w:type="dxa"/>
              <w:right w:w="0" w:type="dxa"/>
            </w:tcMar>
            <w:vAlign w:val="center"/>
          </w:tcPr>
          <w:p w14:paraId="2FD98082">
            <w:pPr>
              <w:pStyle w:val="26"/>
              <w:bidi w:val="0"/>
              <w:rPr>
                <w:rFonts w:hint="eastAsia"/>
                <w:color w:val="auto"/>
                <w:lang w:val="en-US" w:eastAsia="zh-CN"/>
              </w:rPr>
            </w:pPr>
          </w:p>
        </w:tc>
      </w:tr>
      <w:tr w14:paraId="7E6A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69" w:type="pct"/>
            <w:vMerge w:val="continue"/>
            <w:tcMar>
              <w:left w:w="0" w:type="dxa"/>
              <w:right w:w="0" w:type="dxa"/>
            </w:tcMar>
            <w:vAlign w:val="center"/>
          </w:tcPr>
          <w:p w14:paraId="2AE80607">
            <w:pPr>
              <w:pStyle w:val="26"/>
              <w:bidi w:val="0"/>
              <w:rPr>
                <w:rFonts w:hint="eastAsia"/>
                <w:color w:val="auto"/>
                <w:lang w:val="en-US" w:eastAsia="zh-CN"/>
              </w:rPr>
            </w:pPr>
          </w:p>
        </w:tc>
        <w:tc>
          <w:tcPr>
            <w:tcW w:w="2421" w:type="pct"/>
            <w:tcMar>
              <w:left w:w="0" w:type="dxa"/>
              <w:right w:w="0" w:type="dxa"/>
            </w:tcMar>
            <w:vAlign w:val="center"/>
          </w:tcPr>
          <w:p w14:paraId="4BFB6436">
            <w:pPr>
              <w:pStyle w:val="26"/>
              <w:bidi w:val="0"/>
              <w:rPr>
                <w:rFonts w:hint="eastAsia"/>
                <w:color w:val="auto"/>
                <w:lang w:val="en-US" w:eastAsia="zh-CN"/>
              </w:rPr>
            </w:pPr>
            <w:r>
              <w:rPr>
                <w:rFonts w:hint="eastAsia"/>
                <w:color w:val="auto"/>
                <w:lang w:val="en-US" w:eastAsia="zh-CN"/>
              </w:rPr>
              <w:t>（6）突发环境事件风险评估是否通过评审。</w:t>
            </w:r>
          </w:p>
        </w:tc>
        <w:tc>
          <w:tcPr>
            <w:tcW w:w="720" w:type="pct"/>
            <w:tcMar>
              <w:left w:w="0" w:type="dxa"/>
              <w:right w:w="0" w:type="dxa"/>
            </w:tcMar>
            <w:vAlign w:val="center"/>
          </w:tcPr>
          <w:p w14:paraId="472B43B3">
            <w:pPr>
              <w:pStyle w:val="26"/>
              <w:bidi w:val="0"/>
              <w:rPr>
                <w:rFonts w:hint="eastAsia"/>
                <w:color w:val="auto"/>
                <w:lang w:val="en-US" w:eastAsia="zh-CN"/>
              </w:rPr>
            </w:pPr>
          </w:p>
        </w:tc>
        <w:tc>
          <w:tcPr>
            <w:tcW w:w="720" w:type="pct"/>
            <w:tcMar>
              <w:left w:w="0" w:type="dxa"/>
              <w:right w:w="0" w:type="dxa"/>
            </w:tcMar>
            <w:vAlign w:val="center"/>
          </w:tcPr>
          <w:p w14:paraId="049C6130">
            <w:pPr>
              <w:pStyle w:val="26"/>
              <w:bidi w:val="0"/>
              <w:rPr>
                <w:rFonts w:hint="eastAsia"/>
                <w:color w:val="auto"/>
                <w:lang w:val="en-US" w:eastAsia="zh-CN"/>
              </w:rPr>
            </w:pPr>
          </w:p>
        </w:tc>
        <w:tc>
          <w:tcPr>
            <w:tcW w:w="570" w:type="pct"/>
            <w:tcMar>
              <w:left w:w="0" w:type="dxa"/>
              <w:right w:w="0" w:type="dxa"/>
            </w:tcMar>
            <w:vAlign w:val="center"/>
          </w:tcPr>
          <w:p w14:paraId="02307A61">
            <w:pPr>
              <w:pStyle w:val="26"/>
              <w:bidi w:val="0"/>
              <w:rPr>
                <w:rFonts w:hint="eastAsia"/>
                <w:color w:val="auto"/>
                <w:lang w:val="en-US" w:eastAsia="zh-CN"/>
              </w:rPr>
            </w:pPr>
          </w:p>
        </w:tc>
      </w:tr>
      <w:tr w14:paraId="79DD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569" w:type="pct"/>
            <w:vMerge w:val="restart"/>
            <w:tcMar>
              <w:left w:w="0" w:type="dxa"/>
              <w:right w:w="0" w:type="dxa"/>
            </w:tcMar>
            <w:vAlign w:val="center"/>
          </w:tcPr>
          <w:p w14:paraId="28CA43C6">
            <w:pPr>
              <w:pStyle w:val="26"/>
              <w:bidi w:val="0"/>
              <w:rPr>
                <w:rFonts w:hint="eastAsia"/>
                <w:color w:val="auto"/>
                <w:lang w:val="en-US" w:eastAsia="zh-CN"/>
              </w:rPr>
            </w:pPr>
            <w:r>
              <w:rPr>
                <w:rFonts w:hint="eastAsia"/>
                <w:color w:val="auto"/>
                <w:lang w:val="en-US" w:eastAsia="zh-CN"/>
              </w:rPr>
              <w:t>2.是否按规定制定突发环境事件应急预案并备案</w:t>
            </w:r>
          </w:p>
        </w:tc>
        <w:tc>
          <w:tcPr>
            <w:tcW w:w="2421" w:type="pct"/>
            <w:tcMar>
              <w:left w:w="0" w:type="dxa"/>
              <w:right w:w="0" w:type="dxa"/>
            </w:tcMar>
            <w:vAlign w:val="center"/>
          </w:tcPr>
          <w:p w14:paraId="617E99CD">
            <w:pPr>
              <w:pStyle w:val="26"/>
              <w:bidi w:val="0"/>
              <w:rPr>
                <w:rFonts w:hint="eastAsia"/>
                <w:color w:val="auto"/>
                <w:lang w:val="en-US" w:eastAsia="zh-CN"/>
              </w:rPr>
            </w:pPr>
            <w:r>
              <w:rPr>
                <w:rFonts w:hint="eastAsia"/>
                <w:color w:val="auto"/>
                <w:lang w:val="en-US" w:eastAsia="zh-CN"/>
              </w:rPr>
              <w:t>（7）是否按要求对预案进行评审，评审意见是否及时落实。</w:t>
            </w:r>
          </w:p>
        </w:tc>
        <w:tc>
          <w:tcPr>
            <w:tcW w:w="720" w:type="pct"/>
            <w:vMerge w:val="restart"/>
            <w:tcMar>
              <w:left w:w="0" w:type="dxa"/>
              <w:right w:w="0" w:type="dxa"/>
            </w:tcMar>
            <w:vAlign w:val="center"/>
          </w:tcPr>
          <w:p w14:paraId="36856B9B">
            <w:pPr>
              <w:pStyle w:val="26"/>
              <w:bidi w:val="0"/>
              <w:rPr>
                <w:rFonts w:hint="eastAsia"/>
                <w:color w:val="auto"/>
                <w:lang w:val="en-US" w:eastAsia="zh-CN"/>
              </w:rPr>
            </w:pPr>
          </w:p>
        </w:tc>
        <w:tc>
          <w:tcPr>
            <w:tcW w:w="720" w:type="pct"/>
            <w:vMerge w:val="restart"/>
            <w:tcMar>
              <w:left w:w="0" w:type="dxa"/>
              <w:right w:w="0" w:type="dxa"/>
            </w:tcMar>
            <w:vAlign w:val="center"/>
          </w:tcPr>
          <w:p w14:paraId="432765F5">
            <w:pPr>
              <w:pStyle w:val="26"/>
              <w:bidi w:val="0"/>
              <w:rPr>
                <w:rFonts w:hint="eastAsia"/>
                <w:color w:val="auto"/>
                <w:lang w:val="en-US" w:eastAsia="zh-CN"/>
              </w:rPr>
            </w:pPr>
          </w:p>
        </w:tc>
        <w:tc>
          <w:tcPr>
            <w:tcW w:w="570" w:type="pct"/>
            <w:vMerge w:val="restart"/>
            <w:tcMar>
              <w:left w:w="0" w:type="dxa"/>
              <w:right w:w="0" w:type="dxa"/>
            </w:tcMar>
            <w:vAlign w:val="center"/>
          </w:tcPr>
          <w:p w14:paraId="081D0EE9">
            <w:pPr>
              <w:pStyle w:val="26"/>
              <w:bidi w:val="0"/>
              <w:rPr>
                <w:rFonts w:hint="eastAsia"/>
                <w:color w:val="auto"/>
                <w:lang w:val="en-US" w:eastAsia="zh-CN"/>
              </w:rPr>
            </w:pPr>
          </w:p>
        </w:tc>
      </w:tr>
      <w:tr w14:paraId="4FEC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atLeast"/>
          <w:jc w:val="center"/>
        </w:trPr>
        <w:tc>
          <w:tcPr>
            <w:tcW w:w="569" w:type="pct"/>
            <w:vMerge w:val="continue"/>
            <w:tcMar>
              <w:left w:w="0" w:type="dxa"/>
              <w:right w:w="0" w:type="dxa"/>
            </w:tcMar>
            <w:vAlign w:val="center"/>
          </w:tcPr>
          <w:p w14:paraId="0320C975">
            <w:pPr>
              <w:pStyle w:val="26"/>
              <w:bidi w:val="0"/>
              <w:rPr>
                <w:rFonts w:hint="eastAsia"/>
                <w:color w:val="auto"/>
                <w:lang w:val="en-US" w:eastAsia="zh-CN"/>
              </w:rPr>
            </w:pPr>
          </w:p>
        </w:tc>
        <w:tc>
          <w:tcPr>
            <w:tcW w:w="2421" w:type="pct"/>
            <w:tcMar>
              <w:left w:w="0" w:type="dxa"/>
              <w:right w:w="0" w:type="dxa"/>
            </w:tcMar>
            <w:vAlign w:val="center"/>
          </w:tcPr>
          <w:p w14:paraId="2B4D22D0">
            <w:pPr>
              <w:pStyle w:val="26"/>
              <w:bidi w:val="0"/>
              <w:rPr>
                <w:rFonts w:hint="eastAsia"/>
                <w:color w:val="auto"/>
                <w:lang w:val="en-US" w:eastAsia="zh-CN"/>
              </w:rPr>
            </w:pPr>
            <w:r>
              <w:rPr>
                <w:rFonts w:hint="eastAsia"/>
                <w:color w:val="auto"/>
                <w:lang w:val="en-US" w:eastAsia="zh-CN"/>
              </w:rPr>
              <w:t>（8）是否将预案进行了备案，是否每三年进行回顾性评估。</w:t>
            </w:r>
          </w:p>
        </w:tc>
        <w:tc>
          <w:tcPr>
            <w:tcW w:w="720" w:type="pct"/>
            <w:vMerge w:val="continue"/>
            <w:tcMar>
              <w:left w:w="0" w:type="dxa"/>
              <w:right w:w="0" w:type="dxa"/>
            </w:tcMar>
            <w:vAlign w:val="center"/>
          </w:tcPr>
          <w:p w14:paraId="1EC4F8A3">
            <w:pPr>
              <w:pStyle w:val="26"/>
              <w:bidi w:val="0"/>
              <w:rPr>
                <w:rFonts w:hint="eastAsia"/>
                <w:color w:val="auto"/>
                <w:lang w:val="en-US" w:eastAsia="zh-CN"/>
              </w:rPr>
            </w:pPr>
          </w:p>
        </w:tc>
        <w:tc>
          <w:tcPr>
            <w:tcW w:w="720" w:type="pct"/>
            <w:vMerge w:val="continue"/>
            <w:tcMar>
              <w:left w:w="0" w:type="dxa"/>
              <w:right w:w="0" w:type="dxa"/>
            </w:tcMar>
            <w:vAlign w:val="center"/>
          </w:tcPr>
          <w:p w14:paraId="547F1AE7">
            <w:pPr>
              <w:pStyle w:val="26"/>
              <w:bidi w:val="0"/>
              <w:rPr>
                <w:rFonts w:hint="eastAsia"/>
                <w:color w:val="auto"/>
                <w:lang w:val="en-US" w:eastAsia="zh-CN"/>
              </w:rPr>
            </w:pPr>
          </w:p>
        </w:tc>
        <w:tc>
          <w:tcPr>
            <w:tcW w:w="570" w:type="pct"/>
            <w:vMerge w:val="continue"/>
            <w:tcMar>
              <w:left w:w="0" w:type="dxa"/>
              <w:right w:w="0" w:type="dxa"/>
            </w:tcMar>
            <w:vAlign w:val="center"/>
          </w:tcPr>
          <w:p w14:paraId="6A5565EB">
            <w:pPr>
              <w:pStyle w:val="26"/>
              <w:bidi w:val="0"/>
              <w:rPr>
                <w:rFonts w:hint="eastAsia"/>
                <w:color w:val="auto"/>
                <w:lang w:val="en-US" w:eastAsia="zh-CN"/>
              </w:rPr>
            </w:pPr>
          </w:p>
        </w:tc>
      </w:tr>
      <w:tr w14:paraId="7F06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9" w:hRule="atLeast"/>
          <w:jc w:val="center"/>
        </w:trPr>
        <w:tc>
          <w:tcPr>
            <w:tcW w:w="569" w:type="pct"/>
            <w:vMerge w:val="continue"/>
            <w:tcMar>
              <w:left w:w="0" w:type="dxa"/>
              <w:right w:w="0" w:type="dxa"/>
            </w:tcMar>
            <w:vAlign w:val="center"/>
          </w:tcPr>
          <w:p w14:paraId="4EB8217D">
            <w:pPr>
              <w:pStyle w:val="26"/>
              <w:bidi w:val="0"/>
              <w:rPr>
                <w:rFonts w:hint="eastAsia"/>
                <w:color w:val="auto"/>
                <w:lang w:val="en-US" w:eastAsia="zh-CN"/>
              </w:rPr>
            </w:pPr>
          </w:p>
        </w:tc>
        <w:tc>
          <w:tcPr>
            <w:tcW w:w="2421" w:type="pct"/>
            <w:tcMar>
              <w:left w:w="0" w:type="dxa"/>
              <w:right w:w="0" w:type="dxa"/>
            </w:tcMar>
            <w:vAlign w:val="center"/>
          </w:tcPr>
          <w:p w14:paraId="592705F9">
            <w:pPr>
              <w:pStyle w:val="26"/>
              <w:bidi w:val="0"/>
              <w:rPr>
                <w:rFonts w:hint="eastAsia"/>
                <w:color w:val="auto"/>
                <w:lang w:val="en-US" w:eastAsia="zh-CN"/>
              </w:rPr>
            </w:pPr>
            <w:r>
              <w:rPr>
                <w:rFonts w:hint="eastAsia"/>
                <w:color w:val="auto"/>
                <w:lang w:val="en-US" w:eastAsia="zh-CN"/>
              </w:rPr>
              <w:t>（9）出现下列情况预案是否进行了及时修订。</w:t>
            </w:r>
          </w:p>
          <w:p w14:paraId="7E302480">
            <w:pPr>
              <w:pStyle w:val="26"/>
              <w:bidi w:val="0"/>
              <w:rPr>
                <w:rFonts w:hint="eastAsia"/>
                <w:color w:val="auto"/>
                <w:lang w:val="en-US" w:eastAsia="zh-CN"/>
              </w:rPr>
            </w:pPr>
            <w:r>
              <w:rPr>
                <w:rFonts w:hint="eastAsia"/>
                <w:color w:val="auto"/>
                <w:lang w:val="en-US" w:eastAsia="zh-CN"/>
              </w:rPr>
              <w:t>1）面临的突发环境事件风险发生重大变化，需要重新进行风险评估；</w:t>
            </w:r>
          </w:p>
          <w:p w14:paraId="034319D3">
            <w:pPr>
              <w:pStyle w:val="26"/>
              <w:bidi w:val="0"/>
              <w:rPr>
                <w:rFonts w:hint="eastAsia"/>
                <w:color w:val="auto"/>
                <w:lang w:val="en-US" w:eastAsia="zh-CN"/>
              </w:rPr>
            </w:pPr>
            <w:r>
              <w:rPr>
                <w:rFonts w:hint="eastAsia"/>
                <w:color w:val="auto"/>
                <w:lang w:val="en-US" w:eastAsia="zh-CN"/>
              </w:rPr>
              <w:t>2）应急管理组织指挥体系与职责发生重大变化；</w:t>
            </w:r>
          </w:p>
          <w:p w14:paraId="11170ED8">
            <w:pPr>
              <w:pStyle w:val="26"/>
              <w:bidi w:val="0"/>
              <w:rPr>
                <w:rFonts w:hint="eastAsia"/>
                <w:color w:val="auto"/>
                <w:lang w:val="en-US" w:eastAsia="zh-CN"/>
              </w:rPr>
            </w:pPr>
            <w:r>
              <w:rPr>
                <w:rFonts w:hint="eastAsia"/>
                <w:color w:val="auto"/>
                <w:lang w:val="en-US" w:eastAsia="zh-CN"/>
              </w:rPr>
              <w:t>3）环境应急监测预警机制发生重大变化，报告联络信息及机制发生重大变化；</w:t>
            </w:r>
          </w:p>
          <w:p w14:paraId="197DC6E4">
            <w:pPr>
              <w:pStyle w:val="26"/>
              <w:bidi w:val="0"/>
              <w:rPr>
                <w:rFonts w:hint="eastAsia"/>
                <w:color w:val="auto"/>
                <w:lang w:val="en-US" w:eastAsia="zh-CN"/>
              </w:rPr>
            </w:pPr>
            <w:r>
              <w:rPr>
                <w:rFonts w:hint="eastAsia"/>
                <w:color w:val="auto"/>
                <w:lang w:val="en-US" w:eastAsia="zh-CN"/>
              </w:rPr>
              <w:t>4）环境应急应对流程体系和措施发生重大变化；</w:t>
            </w:r>
          </w:p>
          <w:p w14:paraId="30D6342F">
            <w:pPr>
              <w:pStyle w:val="26"/>
              <w:bidi w:val="0"/>
              <w:rPr>
                <w:rFonts w:hint="eastAsia"/>
                <w:color w:val="auto"/>
                <w:lang w:val="en-US" w:eastAsia="zh-CN"/>
              </w:rPr>
            </w:pPr>
            <w:r>
              <w:rPr>
                <w:rFonts w:hint="eastAsia"/>
                <w:color w:val="auto"/>
                <w:lang w:val="en-US" w:eastAsia="zh-CN"/>
              </w:rPr>
              <w:t>5）环境应急保障措施及保障体系发生重大变化；</w:t>
            </w:r>
          </w:p>
          <w:p w14:paraId="668E83AD">
            <w:pPr>
              <w:pStyle w:val="26"/>
              <w:bidi w:val="0"/>
              <w:rPr>
                <w:rFonts w:hint="eastAsia"/>
                <w:color w:val="auto"/>
                <w:lang w:val="en-US" w:eastAsia="zh-CN"/>
              </w:rPr>
            </w:pPr>
            <w:r>
              <w:rPr>
                <w:rFonts w:hint="eastAsia"/>
                <w:color w:val="auto"/>
                <w:lang w:val="en-US" w:eastAsia="zh-CN"/>
              </w:rPr>
              <w:t>6）重要应急资源发生重大变化；</w:t>
            </w:r>
          </w:p>
          <w:p w14:paraId="5F4192F5">
            <w:pPr>
              <w:pStyle w:val="26"/>
              <w:bidi w:val="0"/>
              <w:rPr>
                <w:rFonts w:hint="eastAsia"/>
                <w:color w:val="auto"/>
                <w:lang w:val="en-US" w:eastAsia="zh-CN"/>
              </w:rPr>
            </w:pPr>
            <w:r>
              <w:rPr>
                <w:rFonts w:hint="eastAsia"/>
                <w:color w:val="auto"/>
                <w:lang w:val="en-US" w:eastAsia="zh-CN"/>
              </w:rPr>
              <w:t>7）在突发环境事件实际应对和应急演练中发现问题，需要对环境应急预案作出重大调整的。</w:t>
            </w:r>
          </w:p>
        </w:tc>
        <w:tc>
          <w:tcPr>
            <w:tcW w:w="720" w:type="pct"/>
            <w:tcMar>
              <w:left w:w="0" w:type="dxa"/>
              <w:right w:w="0" w:type="dxa"/>
            </w:tcMar>
            <w:vAlign w:val="center"/>
          </w:tcPr>
          <w:p w14:paraId="570291CE">
            <w:pPr>
              <w:pStyle w:val="26"/>
              <w:bidi w:val="0"/>
              <w:rPr>
                <w:rFonts w:hint="eastAsia"/>
                <w:color w:val="auto"/>
                <w:lang w:val="en-US" w:eastAsia="zh-CN"/>
              </w:rPr>
            </w:pPr>
          </w:p>
        </w:tc>
        <w:tc>
          <w:tcPr>
            <w:tcW w:w="720" w:type="pct"/>
            <w:tcMar>
              <w:left w:w="0" w:type="dxa"/>
              <w:right w:w="0" w:type="dxa"/>
            </w:tcMar>
            <w:vAlign w:val="center"/>
          </w:tcPr>
          <w:p w14:paraId="6436A264">
            <w:pPr>
              <w:pStyle w:val="26"/>
              <w:bidi w:val="0"/>
              <w:rPr>
                <w:rFonts w:hint="eastAsia"/>
                <w:color w:val="auto"/>
                <w:lang w:val="en-US" w:eastAsia="zh-CN"/>
              </w:rPr>
            </w:pPr>
          </w:p>
        </w:tc>
        <w:tc>
          <w:tcPr>
            <w:tcW w:w="570" w:type="pct"/>
            <w:tcMar>
              <w:left w:w="0" w:type="dxa"/>
              <w:right w:w="0" w:type="dxa"/>
            </w:tcMar>
            <w:vAlign w:val="center"/>
          </w:tcPr>
          <w:p w14:paraId="403024AE">
            <w:pPr>
              <w:pStyle w:val="26"/>
              <w:bidi w:val="0"/>
              <w:rPr>
                <w:rFonts w:hint="eastAsia"/>
                <w:color w:val="auto"/>
                <w:lang w:val="en-US" w:eastAsia="zh-CN"/>
              </w:rPr>
            </w:pPr>
          </w:p>
        </w:tc>
      </w:tr>
      <w:tr w14:paraId="7C94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restart"/>
            <w:tcMar>
              <w:left w:w="0" w:type="dxa"/>
              <w:right w:w="0" w:type="dxa"/>
            </w:tcMar>
            <w:vAlign w:val="center"/>
          </w:tcPr>
          <w:p w14:paraId="28F0EFFC">
            <w:pPr>
              <w:pStyle w:val="26"/>
              <w:bidi w:val="0"/>
              <w:rPr>
                <w:rFonts w:hint="eastAsia"/>
                <w:color w:val="auto"/>
                <w:lang w:val="en-US" w:eastAsia="zh-CN"/>
              </w:rPr>
            </w:pPr>
            <w:r>
              <w:rPr>
                <w:rFonts w:hint="eastAsia"/>
                <w:color w:val="auto"/>
                <w:lang w:val="en-US" w:eastAsia="zh-CN"/>
              </w:rPr>
              <w:t>3.是否按规定建立健全隐患排查治理制度，开展隐患排查治理工作和建立档案</w:t>
            </w:r>
          </w:p>
        </w:tc>
        <w:tc>
          <w:tcPr>
            <w:tcW w:w="2421" w:type="pct"/>
            <w:tcMar>
              <w:left w:w="0" w:type="dxa"/>
              <w:right w:w="0" w:type="dxa"/>
            </w:tcMar>
            <w:vAlign w:val="center"/>
          </w:tcPr>
          <w:p w14:paraId="2D2EADBD">
            <w:pPr>
              <w:pStyle w:val="26"/>
              <w:bidi w:val="0"/>
              <w:rPr>
                <w:rFonts w:hint="eastAsia"/>
                <w:color w:val="auto"/>
                <w:lang w:val="en-US" w:eastAsia="zh-CN"/>
              </w:rPr>
            </w:pPr>
            <w:r>
              <w:rPr>
                <w:rFonts w:hint="eastAsia"/>
                <w:color w:val="auto"/>
                <w:lang w:val="en-US" w:eastAsia="zh-CN"/>
              </w:rPr>
              <w:t>（10）是否建立隐患排查治理责任制。</w:t>
            </w:r>
          </w:p>
        </w:tc>
        <w:tc>
          <w:tcPr>
            <w:tcW w:w="720" w:type="pct"/>
            <w:tcMar>
              <w:left w:w="0" w:type="dxa"/>
              <w:right w:w="0" w:type="dxa"/>
            </w:tcMar>
            <w:vAlign w:val="center"/>
          </w:tcPr>
          <w:p w14:paraId="660DAF43">
            <w:pPr>
              <w:pStyle w:val="26"/>
              <w:bidi w:val="0"/>
              <w:rPr>
                <w:rFonts w:hint="eastAsia"/>
                <w:color w:val="auto"/>
                <w:lang w:val="en-US" w:eastAsia="zh-CN"/>
              </w:rPr>
            </w:pPr>
          </w:p>
        </w:tc>
        <w:tc>
          <w:tcPr>
            <w:tcW w:w="720" w:type="pct"/>
            <w:tcMar>
              <w:left w:w="0" w:type="dxa"/>
              <w:right w:w="0" w:type="dxa"/>
            </w:tcMar>
            <w:vAlign w:val="center"/>
          </w:tcPr>
          <w:p w14:paraId="324903FA">
            <w:pPr>
              <w:pStyle w:val="26"/>
              <w:bidi w:val="0"/>
              <w:rPr>
                <w:rFonts w:hint="eastAsia"/>
                <w:color w:val="auto"/>
                <w:lang w:val="en-US" w:eastAsia="zh-CN"/>
              </w:rPr>
            </w:pPr>
          </w:p>
        </w:tc>
        <w:tc>
          <w:tcPr>
            <w:tcW w:w="570" w:type="pct"/>
            <w:tcMar>
              <w:left w:w="0" w:type="dxa"/>
              <w:right w:w="0" w:type="dxa"/>
            </w:tcMar>
            <w:vAlign w:val="center"/>
          </w:tcPr>
          <w:p w14:paraId="1BD09B4E">
            <w:pPr>
              <w:pStyle w:val="26"/>
              <w:bidi w:val="0"/>
              <w:rPr>
                <w:rFonts w:hint="eastAsia"/>
                <w:color w:val="auto"/>
                <w:lang w:val="en-US" w:eastAsia="zh-CN"/>
              </w:rPr>
            </w:pPr>
          </w:p>
        </w:tc>
      </w:tr>
      <w:tr w14:paraId="7A47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0875046C">
            <w:pPr>
              <w:pStyle w:val="26"/>
              <w:bidi w:val="0"/>
              <w:rPr>
                <w:rFonts w:hint="eastAsia"/>
                <w:color w:val="auto"/>
                <w:lang w:val="en-US" w:eastAsia="zh-CN"/>
              </w:rPr>
            </w:pPr>
          </w:p>
        </w:tc>
        <w:tc>
          <w:tcPr>
            <w:tcW w:w="2421" w:type="pct"/>
            <w:tcMar>
              <w:left w:w="0" w:type="dxa"/>
              <w:right w:w="0" w:type="dxa"/>
            </w:tcMar>
            <w:vAlign w:val="center"/>
          </w:tcPr>
          <w:p w14:paraId="639BF420">
            <w:pPr>
              <w:pStyle w:val="26"/>
              <w:bidi w:val="0"/>
              <w:rPr>
                <w:rFonts w:hint="eastAsia"/>
                <w:color w:val="auto"/>
                <w:lang w:val="en-US" w:eastAsia="zh-CN"/>
              </w:rPr>
            </w:pPr>
            <w:r>
              <w:rPr>
                <w:rFonts w:hint="eastAsia"/>
                <w:color w:val="auto"/>
                <w:lang w:val="en-US" w:eastAsia="zh-CN"/>
              </w:rPr>
              <w:t>（11）是否制定本单位的隐患分级规定。</w:t>
            </w:r>
          </w:p>
        </w:tc>
        <w:tc>
          <w:tcPr>
            <w:tcW w:w="720" w:type="pct"/>
            <w:tcMar>
              <w:left w:w="0" w:type="dxa"/>
              <w:right w:w="0" w:type="dxa"/>
            </w:tcMar>
            <w:vAlign w:val="center"/>
          </w:tcPr>
          <w:p w14:paraId="2CFFB462">
            <w:pPr>
              <w:pStyle w:val="26"/>
              <w:bidi w:val="0"/>
              <w:rPr>
                <w:rFonts w:hint="eastAsia"/>
                <w:color w:val="auto"/>
                <w:lang w:val="en-US" w:eastAsia="zh-CN"/>
              </w:rPr>
            </w:pPr>
          </w:p>
        </w:tc>
        <w:tc>
          <w:tcPr>
            <w:tcW w:w="720" w:type="pct"/>
            <w:tcMar>
              <w:left w:w="0" w:type="dxa"/>
              <w:right w:w="0" w:type="dxa"/>
            </w:tcMar>
            <w:vAlign w:val="center"/>
          </w:tcPr>
          <w:p w14:paraId="2DAAB6F4">
            <w:pPr>
              <w:pStyle w:val="26"/>
              <w:bidi w:val="0"/>
              <w:rPr>
                <w:rFonts w:hint="eastAsia"/>
                <w:color w:val="auto"/>
                <w:lang w:val="en-US" w:eastAsia="zh-CN"/>
              </w:rPr>
            </w:pPr>
          </w:p>
        </w:tc>
        <w:tc>
          <w:tcPr>
            <w:tcW w:w="570" w:type="pct"/>
            <w:tcMar>
              <w:left w:w="0" w:type="dxa"/>
              <w:right w:w="0" w:type="dxa"/>
            </w:tcMar>
            <w:vAlign w:val="center"/>
          </w:tcPr>
          <w:p w14:paraId="0A676BA4">
            <w:pPr>
              <w:pStyle w:val="26"/>
              <w:bidi w:val="0"/>
              <w:rPr>
                <w:rFonts w:hint="eastAsia"/>
                <w:color w:val="auto"/>
                <w:lang w:val="en-US" w:eastAsia="zh-CN"/>
              </w:rPr>
            </w:pPr>
          </w:p>
        </w:tc>
      </w:tr>
      <w:tr w14:paraId="5414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3F634FED">
            <w:pPr>
              <w:pStyle w:val="26"/>
              <w:bidi w:val="0"/>
              <w:rPr>
                <w:rFonts w:hint="eastAsia"/>
                <w:color w:val="auto"/>
                <w:lang w:val="en-US" w:eastAsia="zh-CN"/>
              </w:rPr>
            </w:pPr>
          </w:p>
        </w:tc>
        <w:tc>
          <w:tcPr>
            <w:tcW w:w="2421" w:type="pct"/>
            <w:tcMar>
              <w:left w:w="0" w:type="dxa"/>
              <w:right w:w="0" w:type="dxa"/>
            </w:tcMar>
            <w:vAlign w:val="center"/>
          </w:tcPr>
          <w:p w14:paraId="12C52867">
            <w:pPr>
              <w:pStyle w:val="26"/>
              <w:bidi w:val="0"/>
              <w:rPr>
                <w:rFonts w:hint="eastAsia"/>
                <w:color w:val="auto"/>
                <w:lang w:val="en-US" w:eastAsia="zh-CN"/>
              </w:rPr>
            </w:pPr>
            <w:r>
              <w:rPr>
                <w:rFonts w:hint="eastAsia"/>
                <w:color w:val="auto"/>
                <w:lang w:val="en-US" w:eastAsia="zh-CN"/>
              </w:rPr>
              <w:t>（12）是否有隐患排查治理年度计划。</w:t>
            </w:r>
          </w:p>
        </w:tc>
        <w:tc>
          <w:tcPr>
            <w:tcW w:w="720" w:type="pct"/>
            <w:tcMar>
              <w:left w:w="0" w:type="dxa"/>
              <w:right w:w="0" w:type="dxa"/>
            </w:tcMar>
            <w:vAlign w:val="center"/>
          </w:tcPr>
          <w:p w14:paraId="4CA26E8A">
            <w:pPr>
              <w:pStyle w:val="26"/>
              <w:bidi w:val="0"/>
              <w:rPr>
                <w:rFonts w:hint="eastAsia"/>
                <w:color w:val="auto"/>
                <w:lang w:val="en-US" w:eastAsia="zh-CN"/>
              </w:rPr>
            </w:pPr>
          </w:p>
        </w:tc>
        <w:tc>
          <w:tcPr>
            <w:tcW w:w="720" w:type="pct"/>
            <w:tcMar>
              <w:left w:w="0" w:type="dxa"/>
              <w:right w:w="0" w:type="dxa"/>
            </w:tcMar>
            <w:vAlign w:val="center"/>
          </w:tcPr>
          <w:p w14:paraId="0C5686D8">
            <w:pPr>
              <w:pStyle w:val="26"/>
              <w:bidi w:val="0"/>
              <w:rPr>
                <w:rFonts w:hint="eastAsia"/>
                <w:color w:val="auto"/>
                <w:lang w:val="en-US" w:eastAsia="zh-CN"/>
              </w:rPr>
            </w:pPr>
          </w:p>
        </w:tc>
        <w:tc>
          <w:tcPr>
            <w:tcW w:w="570" w:type="pct"/>
            <w:tcMar>
              <w:left w:w="0" w:type="dxa"/>
              <w:right w:w="0" w:type="dxa"/>
            </w:tcMar>
            <w:vAlign w:val="center"/>
          </w:tcPr>
          <w:p w14:paraId="1B6ADBF2">
            <w:pPr>
              <w:pStyle w:val="26"/>
              <w:bidi w:val="0"/>
              <w:rPr>
                <w:rFonts w:hint="eastAsia"/>
                <w:color w:val="auto"/>
                <w:lang w:val="en-US" w:eastAsia="zh-CN"/>
              </w:rPr>
            </w:pPr>
          </w:p>
        </w:tc>
      </w:tr>
      <w:tr w14:paraId="1AD7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39F415C6">
            <w:pPr>
              <w:pStyle w:val="26"/>
              <w:bidi w:val="0"/>
              <w:rPr>
                <w:rFonts w:hint="eastAsia"/>
                <w:color w:val="auto"/>
                <w:lang w:val="en-US" w:eastAsia="zh-CN"/>
              </w:rPr>
            </w:pPr>
          </w:p>
        </w:tc>
        <w:tc>
          <w:tcPr>
            <w:tcW w:w="2421" w:type="pct"/>
            <w:tcMar>
              <w:left w:w="0" w:type="dxa"/>
              <w:right w:w="0" w:type="dxa"/>
            </w:tcMar>
            <w:vAlign w:val="center"/>
          </w:tcPr>
          <w:p w14:paraId="15B180FD">
            <w:pPr>
              <w:pStyle w:val="26"/>
              <w:bidi w:val="0"/>
              <w:rPr>
                <w:rFonts w:hint="eastAsia"/>
                <w:color w:val="auto"/>
                <w:lang w:val="en-US" w:eastAsia="zh-CN"/>
              </w:rPr>
            </w:pPr>
            <w:r>
              <w:rPr>
                <w:rFonts w:hint="eastAsia"/>
                <w:color w:val="auto"/>
                <w:lang w:val="en-US" w:eastAsia="zh-CN"/>
              </w:rPr>
              <w:t>（13）是否建立隐患记录报告制度，是否制定隐患排查表。</w:t>
            </w:r>
          </w:p>
        </w:tc>
        <w:tc>
          <w:tcPr>
            <w:tcW w:w="720" w:type="pct"/>
            <w:tcMar>
              <w:left w:w="0" w:type="dxa"/>
              <w:right w:w="0" w:type="dxa"/>
            </w:tcMar>
            <w:vAlign w:val="center"/>
          </w:tcPr>
          <w:p w14:paraId="444F8DA1">
            <w:pPr>
              <w:pStyle w:val="26"/>
              <w:bidi w:val="0"/>
              <w:rPr>
                <w:rFonts w:hint="eastAsia"/>
                <w:color w:val="auto"/>
                <w:lang w:val="en-US" w:eastAsia="zh-CN"/>
              </w:rPr>
            </w:pPr>
          </w:p>
        </w:tc>
        <w:tc>
          <w:tcPr>
            <w:tcW w:w="720" w:type="pct"/>
            <w:tcMar>
              <w:left w:w="0" w:type="dxa"/>
              <w:right w:w="0" w:type="dxa"/>
            </w:tcMar>
            <w:vAlign w:val="center"/>
          </w:tcPr>
          <w:p w14:paraId="02751793">
            <w:pPr>
              <w:pStyle w:val="26"/>
              <w:bidi w:val="0"/>
              <w:rPr>
                <w:rFonts w:hint="eastAsia"/>
                <w:color w:val="auto"/>
                <w:lang w:val="en-US" w:eastAsia="zh-CN"/>
              </w:rPr>
            </w:pPr>
          </w:p>
        </w:tc>
        <w:tc>
          <w:tcPr>
            <w:tcW w:w="570" w:type="pct"/>
            <w:tcMar>
              <w:left w:w="0" w:type="dxa"/>
              <w:right w:w="0" w:type="dxa"/>
            </w:tcMar>
            <w:vAlign w:val="center"/>
          </w:tcPr>
          <w:p w14:paraId="719D786A">
            <w:pPr>
              <w:pStyle w:val="26"/>
              <w:bidi w:val="0"/>
              <w:rPr>
                <w:rFonts w:hint="eastAsia"/>
                <w:color w:val="auto"/>
                <w:lang w:val="en-US" w:eastAsia="zh-CN"/>
              </w:rPr>
            </w:pPr>
          </w:p>
        </w:tc>
      </w:tr>
      <w:tr w14:paraId="6945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0393306A">
            <w:pPr>
              <w:pStyle w:val="26"/>
              <w:bidi w:val="0"/>
              <w:rPr>
                <w:rFonts w:hint="eastAsia"/>
                <w:color w:val="auto"/>
                <w:lang w:val="en-US" w:eastAsia="zh-CN"/>
              </w:rPr>
            </w:pPr>
          </w:p>
        </w:tc>
        <w:tc>
          <w:tcPr>
            <w:tcW w:w="2421" w:type="pct"/>
            <w:tcMar>
              <w:left w:w="0" w:type="dxa"/>
              <w:right w:w="0" w:type="dxa"/>
            </w:tcMar>
            <w:vAlign w:val="center"/>
          </w:tcPr>
          <w:p w14:paraId="34BF2099">
            <w:pPr>
              <w:pStyle w:val="26"/>
              <w:bidi w:val="0"/>
              <w:rPr>
                <w:rFonts w:hint="eastAsia"/>
                <w:color w:val="auto"/>
                <w:lang w:val="en-US" w:eastAsia="zh-CN"/>
              </w:rPr>
            </w:pPr>
            <w:r>
              <w:rPr>
                <w:rFonts w:hint="eastAsia"/>
                <w:color w:val="auto"/>
                <w:lang w:val="en-US" w:eastAsia="zh-CN"/>
              </w:rPr>
              <w:t>（14）重大隐患是否制定治理方案。</w:t>
            </w:r>
          </w:p>
        </w:tc>
        <w:tc>
          <w:tcPr>
            <w:tcW w:w="720" w:type="pct"/>
            <w:tcMar>
              <w:left w:w="0" w:type="dxa"/>
              <w:right w:w="0" w:type="dxa"/>
            </w:tcMar>
            <w:vAlign w:val="center"/>
          </w:tcPr>
          <w:p w14:paraId="72875CF1">
            <w:pPr>
              <w:pStyle w:val="26"/>
              <w:bidi w:val="0"/>
              <w:rPr>
                <w:rFonts w:hint="eastAsia"/>
                <w:color w:val="auto"/>
                <w:lang w:val="en-US" w:eastAsia="zh-CN"/>
              </w:rPr>
            </w:pPr>
          </w:p>
        </w:tc>
        <w:tc>
          <w:tcPr>
            <w:tcW w:w="720" w:type="pct"/>
            <w:tcMar>
              <w:left w:w="0" w:type="dxa"/>
              <w:right w:w="0" w:type="dxa"/>
            </w:tcMar>
            <w:vAlign w:val="center"/>
          </w:tcPr>
          <w:p w14:paraId="51EE6E8C">
            <w:pPr>
              <w:pStyle w:val="26"/>
              <w:bidi w:val="0"/>
              <w:rPr>
                <w:rFonts w:hint="eastAsia"/>
                <w:color w:val="auto"/>
                <w:lang w:val="en-US" w:eastAsia="zh-CN"/>
              </w:rPr>
            </w:pPr>
          </w:p>
        </w:tc>
        <w:tc>
          <w:tcPr>
            <w:tcW w:w="570" w:type="pct"/>
            <w:tcMar>
              <w:left w:w="0" w:type="dxa"/>
              <w:right w:w="0" w:type="dxa"/>
            </w:tcMar>
            <w:vAlign w:val="center"/>
          </w:tcPr>
          <w:p w14:paraId="4184C619">
            <w:pPr>
              <w:pStyle w:val="26"/>
              <w:bidi w:val="0"/>
              <w:rPr>
                <w:rFonts w:hint="eastAsia"/>
                <w:color w:val="auto"/>
                <w:lang w:val="en-US" w:eastAsia="zh-CN"/>
              </w:rPr>
            </w:pPr>
          </w:p>
        </w:tc>
      </w:tr>
      <w:tr w14:paraId="2FF1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5B9A11B4">
            <w:pPr>
              <w:pStyle w:val="26"/>
              <w:bidi w:val="0"/>
              <w:rPr>
                <w:rFonts w:hint="eastAsia"/>
                <w:color w:val="auto"/>
                <w:lang w:val="en-US" w:eastAsia="zh-CN"/>
              </w:rPr>
            </w:pPr>
          </w:p>
        </w:tc>
        <w:tc>
          <w:tcPr>
            <w:tcW w:w="2421" w:type="pct"/>
            <w:tcMar>
              <w:left w:w="0" w:type="dxa"/>
              <w:right w:w="0" w:type="dxa"/>
            </w:tcMar>
            <w:vAlign w:val="center"/>
          </w:tcPr>
          <w:p w14:paraId="2E06B5D7">
            <w:pPr>
              <w:pStyle w:val="26"/>
              <w:bidi w:val="0"/>
              <w:rPr>
                <w:rFonts w:hint="eastAsia"/>
                <w:color w:val="auto"/>
                <w:lang w:val="en-US" w:eastAsia="zh-CN"/>
              </w:rPr>
            </w:pPr>
            <w:r>
              <w:rPr>
                <w:rFonts w:hint="eastAsia"/>
                <w:color w:val="auto"/>
                <w:lang w:val="en-US" w:eastAsia="zh-CN"/>
              </w:rPr>
              <w:t>（15）是否建立重大隐患督办制度。</w:t>
            </w:r>
          </w:p>
        </w:tc>
        <w:tc>
          <w:tcPr>
            <w:tcW w:w="720" w:type="pct"/>
            <w:tcMar>
              <w:left w:w="0" w:type="dxa"/>
              <w:right w:w="0" w:type="dxa"/>
            </w:tcMar>
            <w:vAlign w:val="center"/>
          </w:tcPr>
          <w:p w14:paraId="0A8765D6">
            <w:pPr>
              <w:pStyle w:val="26"/>
              <w:bidi w:val="0"/>
              <w:rPr>
                <w:rFonts w:hint="eastAsia"/>
                <w:color w:val="auto"/>
                <w:lang w:val="en-US" w:eastAsia="zh-CN"/>
              </w:rPr>
            </w:pPr>
          </w:p>
        </w:tc>
        <w:tc>
          <w:tcPr>
            <w:tcW w:w="720" w:type="pct"/>
            <w:tcMar>
              <w:left w:w="0" w:type="dxa"/>
              <w:right w:w="0" w:type="dxa"/>
            </w:tcMar>
            <w:vAlign w:val="center"/>
          </w:tcPr>
          <w:p w14:paraId="65DCC547">
            <w:pPr>
              <w:pStyle w:val="26"/>
              <w:bidi w:val="0"/>
              <w:rPr>
                <w:rFonts w:hint="eastAsia"/>
                <w:color w:val="auto"/>
                <w:lang w:val="en-US" w:eastAsia="zh-CN"/>
              </w:rPr>
            </w:pPr>
          </w:p>
        </w:tc>
        <w:tc>
          <w:tcPr>
            <w:tcW w:w="570" w:type="pct"/>
            <w:tcMar>
              <w:left w:w="0" w:type="dxa"/>
              <w:right w:w="0" w:type="dxa"/>
            </w:tcMar>
            <w:vAlign w:val="center"/>
          </w:tcPr>
          <w:p w14:paraId="1B90267E">
            <w:pPr>
              <w:pStyle w:val="26"/>
              <w:bidi w:val="0"/>
              <w:rPr>
                <w:rFonts w:hint="eastAsia"/>
                <w:color w:val="auto"/>
                <w:lang w:val="en-US" w:eastAsia="zh-CN"/>
              </w:rPr>
            </w:pPr>
          </w:p>
        </w:tc>
      </w:tr>
      <w:tr w14:paraId="14E4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5E890309">
            <w:pPr>
              <w:pStyle w:val="26"/>
              <w:bidi w:val="0"/>
              <w:rPr>
                <w:rFonts w:hint="eastAsia"/>
                <w:color w:val="auto"/>
                <w:lang w:val="en-US" w:eastAsia="zh-CN"/>
              </w:rPr>
            </w:pPr>
          </w:p>
        </w:tc>
        <w:tc>
          <w:tcPr>
            <w:tcW w:w="2421" w:type="pct"/>
            <w:tcMar>
              <w:left w:w="0" w:type="dxa"/>
              <w:right w:w="0" w:type="dxa"/>
            </w:tcMar>
            <w:vAlign w:val="center"/>
          </w:tcPr>
          <w:p w14:paraId="550740BD">
            <w:pPr>
              <w:pStyle w:val="26"/>
              <w:bidi w:val="0"/>
              <w:rPr>
                <w:rFonts w:hint="eastAsia"/>
                <w:color w:val="auto"/>
                <w:lang w:val="en-US" w:eastAsia="zh-CN"/>
              </w:rPr>
            </w:pPr>
            <w:r>
              <w:rPr>
                <w:rFonts w:hint="eastAsia"/>
                <w:color w:val="auto"/>
                <w:lang w:val="en-US" w:eastAsia="zh-CN"/>
              </w:rPr>
              <w:t>（16）是否建立隐患排查治理档案。</w:t>
            </w:r>
          </w:p>
        </w:tc>
        <w:tc>
          <w:tcPr>
            <w:tcW w:w="720" w:type="pct"/>
            <w:tcMar>
              <w:left w:w="0" w:type="dxa"/>
              <w:right w:w="0" w:type="dxa"/>
            </w:tcMar>
            <w:vAlign w:val="center"/>
          </w:tcPr>
          <w:p w14:paraId="629D793F">
            <w:pPr>
              <w:pStyle w:val="26"/>
              <w:bidi w:val="0"/>
              <w:rPr>
                <w:rFonts w:hint="eastAsia"/>
                <w:color w:val="auto"/>
                <w:lang w:val="en-US" w:eastAsia="zh-CN"/>
              </w:rPr>
            </w:pPr>
          </w:p>
        </w:tc>
        <w:tc>
          <w:tcPr>
            <w:tcW w:w="720" w:type="pct"/>
            <w:tcMar>
              <w:left w:w="0" w:type="dxa"/>
              <w:right w:w="0" w:type="dxa"/>
            </w:tcMar>
            <w:vAlign w:val="center"/>
          </w:tcPr>
          <w:p w14:paraId="0069DA74">
            <w:pPr>
              <w:pStyle w:val="26"/>
              <w:bidi w:val="0"/>
              <w:rPr>
                <w:rFonts w:hint="eastAsia"/>
                <w:color w:val="auto"/>
                <w:lang w:val="en-US" w:eastAsia="zh-CN"/>
              </w:rPr>
            </w:pPr>
          </w:p>
        </w:tc>
        <w:tc>
          <w:tcPr>
            <w:tcW w:w="570" w:type="pct"/>
            <w:tcMar>
              <w:left w:w="0" w:type="dxa"/>
              <w:right w:w="0" w:type="dxa"/>
            </w:tcMar>
            <w:vAlign w:val="center"/>
          </w:tcPr>
          <w:p w14:paraId="6C74E9C0">
            <w:pPr>
              <w:pStyle w:val="26"/>
              <w:bidi w:val="0"/>
              <w:rPr>
                <w:rFonts w:hint="eastAsia"/>
                <w:color w:val="auto"/>
                <w:lang w:val="en-US" w:eastAsia="zh-CN"/>
              </w:rPr>
            </w:pPr>
          </w:p>
        </w:tc>
      </w:tr>
      <w:tr w14:paraId="7618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restart"/>
            <w:tcMar>
              <w:left w:w="0" w:type="dxa"/>
              <w:right w:w="0" w:type="dxa"/>
            </w:tcMar>
            <w:vAlign w:val="center"/>
          </w:tcPr>
          <w:p w14:paraId="5B175000">
            <w:pPr>
              <w:pStyle w:val="26"/>
              <w:bidi w:val="0"/>
              <w:rPr>
                <w:rFonts w:hint="eastAsia"/>
                <w:color w:val="auto"/>
                <w:lang w:val="en-US" w:eastAsia="zh-CN"/>
              </w:rPr>
            </w:pPr>
            <w:r>
              <w:rPr>
                <w:rFonts w:hint="eastAsia"/>
                <w:color w:val="auto"/>
                <w:lang w:val="en-US" w:eastAsia="zh-CN"/>
              </w:rPr>
              <w:t>4.是否按规定开展突发环境事件应急培训，如实记录培训情况</w:t>
            </w:r>
          </w:p>
        </w:tc>
        <w:tc>
          <w:tcPr>
            <w:tcW w:w="2421" w:type="pct"/>
            <w:tcMar>
              <w:left w:w="0" w:type="dxa"/>
              <w:right w:w="0" w:type="dxa"/>
            </w:tcMar>
            <w:vAlign w:val="center"/>
          </w:tcPr>
          <w:p w14:paraId="20E32003">
            <w:pPr>
              <w:pStyle w:val="26"/>
              <w:bidi w:val="0"/>
              <w:rPr>
                <w:rFonts w:hint="eastAsia"/>
                <w:color w:val="auto"/>
                <w:lang w:val="en-US" w:eastAsia="zh-CN"/>
              </w:rPr>
            </w:pPr>
            <w:r>
              <w:rPr>
                <w:rFonts w:hint="eastAsia"/>
                <w:color w:val="auto"/>
                <w:lang w:val="en-US" w:eastAsia="zh-CN"/>
              </w:rPr>
              <w:t>（17）是否将应急培训纳入单位工作计划。</w:t>
            </w:r>
          </w:p>
        </w:tc>
        <w:tc>
          <w:tcPr>
            <w:tcW w:w="720" w:type="pct"/>
            <w:tcMar>
              <w:left w:w="0" w:type="dxa"/>
              <w:right w:w="0" w:type="dxa"/>
            </w:tcMar>
            <w:vAlign w:val="center"/>
          </w:tcPr>
          <w:p w14:paraId="305861E3">
            <w:pPr>
              <w:pStyle w:val="26"/>
              <w:bidi w:val="0"/>
              <w:rPr>
                <w:rFonts w:hint="eastAsia"/>
                <w:color w:val="auto"/>
                <w:lang w:val="en-US" w:eastAsia="zh-CN"/>
              </w:rPr>
            </w:pPr>
          </w:p>
        </w:tc>
        <w:tc>
          <w:tcPr>
            <w:tcW w:w="720" w:type="pct"/>
            <w:tcMar>
              <w:left w:w="0" w:type="dxa"/>
              <w:right w:w="0" w:type="dxa"/>
            </w:tcMar>
            <w:vAlign w:val="center"/>
          </w:tcPr>
          <w:p w14:paraId="3502315C">
            <w:pPr>
              <w:pStyle w:val="26"/>
              <w:bidi w:val="0"/>
              <w:rPr>
                <w:rFonts w:hint="eastAsia"/>
                <w:color w:val="auto"/>
                <w:lang w:val="en-US" w:eastAsia="zh-CN"/>
              </w:rPr>
            </w:pPr>
          </w:p>
        </w:tc>
        <w:tc>
          <w:tcPr>
            <w:tcW w:w="570" w:type="pct"/>
            <w:tcMar>
              <w:left w:w="0" w:type="dxa"/>
              <w:right w:w="0" w:type="dxa"/>
            </w:tcMar>
            <w:vAlign w:val="center"/>
          </w:tcPr>
          <w:p w14:paraId="557CF00F">
            <w:pPr>
              <w:pStyle w:val="26"/>
              <w:bidi w:val="0"/>
              <w:rPr>
                <w:rFonts w:hint="eastAsia"/>
                <w:color w:val="auto"/>
                <w:lang w:val="en-US" w:eastAsia="zh-CN"/>
              </w:rPr>
            </w:pPr>
          </w:p>
        </w:tc>
      </w:tr>
      <w:tr w14:paraId="3371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16F7D2BF">
            <w:pPr>
              <w:pStyle w:val="26"/>
              <w:bidi w:val="0"/>
              <w:rPr>
                <w:rFonts w:hint="eastAsia"/>
                <w:color w:val="auto"/>
                <w:lang w:val="en-US" w:eastAsia="zh-CN"/>
              </w:rPr>
            </w:pPr>
          </w:p>
        </w:tc>
        <w:tc>
          <w:tcPr>
            <w:tcW w:w="2421" w:type="pct"/>
            <w:tcMar>
              <w:left w:w="0" w:type="dxa"/>
              <w:right w:w="0" w:type="dxa"/>
            </w:tcMar>
            <w:vAlign w:val="center"/>
          </w:tcPr>
          <w:p w14:paraId="138CD65D">
            <w:pPr>
              <w:pStyle w:val="26"/>
              <w:bidi w:val="0"/>
              <w:rPr>
                <w:rFonts w:hint="eastAsia"/>
                <w:color w:val="auto"/>
                <w:lang w:val="en-US" w:eastAsia="zh-CN"/>
              </w:rPr>
            </w:pPr>
            <w:r>
              <w:rPr>
                <w:rFonts w:hint="eastAsia"/>
                <w:color w:val="auto"/>
                <w:lang w:val="en-US" w:eastAsia="zh-CN"/>
              </w:rPr>
              <w:t>（18）是否开展应急知识和技能培训。</w:t>
            </w:r>
          </w:p>
        </w:tc>
        <w:tc>
          <w:tcPr>
            <w:tcW w:w="720" w:type="pct"/>
            <w:tcMar>
              <w:left w:w="0" w:type="dxa"/>
              <w:right w:w="0" w:type="dxa"/>
            </w:tcMar>
            <w:vAlign w:val="center"/>
          </w:tcPr>
          <w:p w14:paraId="1B62C436">
            <w:pPr>
              <w:pStyle w:val="26"/>
              <w:bidi w:val="0"/>
              <w:rPr>
                <w:rFonts w:hint="eastAsia"/>
                <w:color w:val="auto"/>
                <w:lang w:val="en-US" w:eastAsia="zh-CN"/>
              </w:rPr>
            </w:pPr>
          </w:p>
        </w:tc>
        <w:tc>
          <w:tcPr>
            <w:tcW w:w="720" w:type="pct"/>
            <w:tcMar>
              <w:left w:w="0" w:type="dxa"/>
              <w:right w:w="0" w:type="dxa"/>
            </w:tcMar>
            <w:vAlign w:val="center"/>
          </w:tcPr>
          <w:p w14:paraId="5C51A724">
            <w:pPr>
              <w:pStyle w:val="26"/>
              <w:bidi w:val="0"/>
              <w:rPr>
                <w:rFonts w:hint="eastAsia"/>
                <w:color w:val="auto"/>
                <w:lang w:val="en-US" w:eastAsia="zh-CN"/>
              </w:rPr>
            </w:pPr>
          </w:p>
        </w:tc>
        <w:tc>
          <w:tcPr>
            <w:tcW w:w="570" w:type="pct"/>
            <w:tcMar>
              <w:left w:w="0" w:type="dxa"/>
              <w:right w:w="0" w:type="dxa"/>
            </w:tcMar>
            <w:vAlign w:val="center"/>
          </w:tcPr>
          <w:p w14:paraId="2E872D48">
            <w:pPr>
              <w:pStyle w:val="26"/>
              <w:bidi w:val="0"/>
              <w:rPr>
                <w:rFonts w:hint="eastAsia"/>
                <w:color w:val="auto"/>
                <w:lang w:val="en-US" w:eastAsia="zh-CN"/>
              </w:rPr>
            </w:pPr>
          </w:p>
        </w:tc>
      </w:tr>
      <w:tr w14:paraId="6D1C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00747765">
            <w:pPr>
              <w:pStyle w:val="26"/>
              <w:bidi w:val="0"/>
              <w:rPr>
                <w:rFonts w:hint="eastAsia"/>
                <w:color w:val="auto"/>
                <w:lang w:val="en-US" w:eastAsia="zh-CN"/>
              </w:rPr>
            </w:pPr>
          </w:p>
        </w:tc>
        <w:tc>
          <w:tcPr>
            <w:tcW w:w="2421" w:type="pct"/>
            <w:tcMar>
              <w:left w:w="0" w:type="dxa"/>
              <w:right w:w="0" w:type="dxa"/>
            </w:tcMar>
            <w:vAlign w:val="center"/>
          </w:tcPr>
          <w:p w14:paraId="73E02FD2">
            <w:pPr>
              <w:pStyle w:val="26"/>
              <w:bidi w:val="0"/>
              <w:rPr>
                <w:rFonts w:hint="eastAsia"/>
                <w:color w:val="auto"/>
                <w:lang w:val="en-US" w:eastAsia="zh-CN"/>
              </w:rPr>
            </w:pPr>
            <w:r>
              <w:rPr>
                <w:rFonts w:hint="eastAsia"/>
                <w:color w:val="auto"/>
                <w:lang w:val="en-US" w:eastAsia="zh-CN"/>
              </w:rPr>
              <w:t>（19）是否健全培训档案，如实记录培训时间、内容、人员等情况。</w:t>
            </w:r>
          </w:p>
        </w:tc>
        <w:tc>
          <w:tcPr>
            <w:tcW w:w="720" w:type="pct"/>
            <w:tcMar>
              <w:left w:w="0" w:type="dxa"/>
              <w:right w:w="0" w:type="dxa"/>
            </w:tcMar>
            <w:vAlign w:val="center"/>
          </w:tcPr>
          <w:p w14:paraId="1B79E9C1">
            <w:pPr>
              <w:pStyle w:val="26"/>
              <w:bidi w:val="0"/>
              <w:rPr>
                <w:rFonts w:hint="eastAsia"/>
                <w:color w:val="auto"/>
                <w:lang w:val="en-US" w:eastAsia="zh-CN"/>
              </w:rPr>
            </w:pPr>
          </w:p>
        </w:tc>
        <w:tc>
          <w:tcPr>
            <w:tcW w:w="720" w:type="pct"/>
            <w:tcMar>
              <w:left w:w="0" w:type="dxa"/>
              <w:right w:w="0" w:type="dxa"/>
            </w:tcMar>
            <w:vAlign w:val="center"/>
          </w:tcPr>
          <w:p w14:paraId="531DAE0D">
            <w:pPr>
              <w:pStyle w:val="26"/>
              <w:bidi w:val="0"/>
              <w:rPr>
                <w:rFonts w:hint="eastAsia"/>
                <w:color w:val="auto"/>
                <w:lang w:val="en-US" w:eastAsia="zh-CN"/>
              </w:rPr>
            </w:pPr>
          </w:p>
        </w:tc>
        <w:tc>
          <w:tcPr>
            <w:tcW w:w="570" w:type="pct"/>
            <w:tcMar>
              <w:left w:w="0" w:type="dxa"/>
              <w:right w:w="0" w:type="dxa"/>
            </w:tcMar>
            <w:vAlign w:val="center"/>
          </w:tcPr>
          <w:p w14:paraId="03CBF007">
            <w:pPr>
              <w:pStyle w:val="26"/>
              <w:bidi w:val="0"/>
              <w:rPr>
                <w:rFonts w:hint="eastAsia"/>
                <w:color w:val="auto"/>
                <w:lang w:val="en-US" w:eastAsia="zh-CN"/>
              </w:rPr>
            </w:pPr>
          </w:p>
        </w:tc>
      </w:tr>
      <w:tr w14:paraId="7534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restart"/>
            <w:tcMar>
              <w:left w:w="0" w:type="dxa"/>
              <w:right w:w="0" w:type="dxa"/>
            </w:tcMar>
            <w:vAlign w:val="center"/>
          </w:tcPr>
          <w:p w14:paraId="1E51DDEE">
            <w:pPr>
              <w:pStyle w:val="26"/>
              <w:bidi w:val="0"/>
              <w:rPr>
                <w:rFonts w:hint="eastAsia"/>
                <w:color w:val="auto"/>
                <w:lang w:val="en-US" w:eastAsia="zh-CN"/>
              </w:rPr>
            </w:pPr>
            <w:r>
              <w:rPr>
                <w:rFonts w:hint="eastAsia"/>
                <w:color w:val="auto"/>
                <w:lang w:val="en-US" w:eastAsia="zh-CN"/>
              </w:rPr>
              <w:t>5.是否按规定储备必要的环境应急装备和物资</w:t>
            </w:r>
          </w:p>
        </w:tc>
        <w:tc>
          <w:tcPr>
            <w:tcW w:w="2421" w:type="pct"/>
            <w:tcMar>
              <w:left w:w="0" w:type="dxa"/>
              <w:right w:w="0" w:type="dxa"/>
            </w:tcMar>
            <w:vAlign w:val="center"/>
          </w:tcPr>
          <w:p w14:paraId="6A64967C">
            <w:pPr>
              <w:pStyle w:val="26"/>
              <w:bidi w:val="0"/>
              <w:rPr>
                <w:rFonts w:hint="eastAsia"/>
                <w:color w:val="auto"/>
                <w:lang w:val="en-US" w:eastAsia="zh-CN"/>
              </w:rPr>
            </w:pPr>
            <w:r>
              <w:rPr>
                <w:rFonts w:hint="eastAsia"/>
                <w:color w:val="auto"/>
                <w:lang w:val="en-US" w:eastAsia="zh-CN"/>
              </w:rPr>
              <w:t>（20）是否按规定配备足以应对预设事件情景的环境应急装备和物资。</w:t>
            </w:r>
          </w:p>
        </w:tc>
        <w:tc>
          <w:tcPr>
            <w:tcW w:w="720" w:type="pct"/>
            <w:tcMar>
              <w:left w:w="0" w:type="dxa"/>
              <w:right w:w="0" w:type="dxa"/>
            </w:tcMar>
            <w:vAlign w:val="center"/>
          </w:tcPr>
          <w:p w14:paraId="76816507">
            <w:pPr>
              <w:pStyle w:val="26"/>
              <w:bidi w:val="0"/>
              <w:rPr>
                <w:rFonts w:hint="eastAsia"/>
                <w:color w:val="auto"/>
                <w:lang w:val="en-US" w:eastAsia="zh-CN"/>
              </w:rPr>
            </w:pPr>
          </w:p>
        </w:tc>
        <w:tc>
          <w:tcPr>
            <w:tcW w:w="720" w:type="pct"/>
            <w:tcMar>
              <w:left w:w="0" w:type="dxa"/>
              <w:right w:w="0" w:type="dxa"/>
            </w:tcMar>
            <w:vAlign w:val="center"/>
          </w:tcPr>
          <w:p w14:paraId="5ECE2F3B">
            <w:pPr>
              <w:pStyle w:val="26"/>
              <w:bidi w:val="0"/>
              <w:rPr>
                <w:rFonts w:hint="eastAsia"/>
                <w:color w:val="auto"/>
                <w:lang w:val="en-US" w:eastAsia="zh-CN"/>
              </w:rPr>
            </w:pPr>
          </w:p>
        </w:tc>
        <w:tc>
          <w:tcPr>
            <w:tcW w:w="570" w:type="pct"/>
            <w:tcMar>
              <w:left w:w="0" w:type="dxa"/>
              <w:right w:w="0" w:type="dxa"/>
            </w:tcMar>
            <w:vAlign w:val="center"/>
          </w:tcPr>
          <w:p w14:paraId="1E55D28A">
            <w:pPr>
              <w:pStyle w:val="26"/>
              <w:bidi w:val="0"/>
              <w:rPr>
                <w:rFonts w:hint="eastAsia"/>
                <w:color w:val="auto"/>
                <w:lang w:val="en-US" w:eastAsia="zh-CN"/>
              </w:rPr>
            </w:pPr>
          </w:p>
        </w:tc>
      </w:tr>
      <w:tr w14:paraId="7EC7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7066E49B">
            <w:pPr>
              <w:pStyle w:val="26"/>
              <w:bidi w:val="0"/>
              <w:rPr>
                <w:rFonts w:hint="eastAsia"/>
                <w:color w:val="auto"/>
                <w:lang w:val="en-US" w:eastAsia="zh-CN"/>
              </w:rPr>
            </w:pPr>
          </w:p>
        </w:tc>
        <w:tc>
          <w:tcPr>
            <w:tcW w:w="2421" w:type="pct"/>
            <w:tcMar>
              <w:left w:w="0" w:type="dxa"/>
              <w:right w:w="0" w:type="dxa"/>
            </w:tcMar>
            <w:vAlign w:val="center"/>
          </w:tcPr>
          <w:p w14:paraId="104DC806">
            <w:pPr>
              <w:pStyle w:val="26"/>
              <w:bidi w:val="0"/>
              <w:rPr>
                <w:rFonts w:hint="eastAsia"/>
                <w:color w:val="auto"/>
                <w:lang w:val="en-US" w:eastAsia="zh-CN"/>
              </w:rPr>
            </w:pPr>
            <w:r>
              <w:rPr>
                <w:rFonts w:hint="eastAsia"/>
                <w:color w:val="auto"/>
                <w:lang w:val="en-US" w:eastAsia="zh-CN"/>
              </w:rPr>
              <w:t>（21）是否已设置专职或兼职人员组成的应急救援队伍。</w:t>
            </w:r>
          </w:p>
        </w:tc>
        <w:tc>
          <w:tcPr>
            <w:tcW w:w="720" w:type="pct"/>
            <w:tcMar>
              <w:left w:w="0" w:type="dxa"/>
              <w:right w:w="0" w:type="dxa"/>
            </w:tcMar>
            <w:vAlign w:val="center"/>
          </w:tcPr>
          <w:p w14:paraId="0FD20B66">
            <w:pPr>
              <w:pStyle w:val="26"/>
              <w:bidi w:val="0"/>
              <w:rPr>
                <w:rFonts w:hint="eastAsia"/>
                <w:color w:val="auto"/>
                <w:lang w:val="en-US" w:eastAsia="zh-CN"/>
              </w:rPr>
            </w:pPr>
          </w:p>
        </w:tc>
        <w:tc>
          <w:tcPr>
            <w:tcW w:w="720" w:type="pct"/>
            <w:tcMar>
              <w:left w:w="0" w:type="dxa"/>
              <w:right w:w="0" w:type="dxa"/>
            </w:tcMar>
            <w:vAlign w:val="center"/>
          </w:tcPr>
          <w:p w14:paraId="6355CE87">
            <w:pPr>
              <w:pStyle w:val="26"/>
              <w:bidi w:val="0"/>
              <w:rPr>
                <w:rFonts w:hint="eastAsia"/>
                <w:color w:val="auto"/>
                <w:lang w:val="en-US" w:eastAsia="zh-CN"/>
              </w:rPr>
            </w:pPr>
          </w:p>
        </w:tc>
        <w:tc>
          <w:tcPr>
            <w:tcW w:w="570" w:type="pct"/>
            <w:tcMar>
              <w:left w:w="0" w:type="dxa"/>
              <w:right w:w="0" w:type="dxa"/>
            </w:tcMar>
            <w:vAlign w:val="center"/>
          </w:tcPr>
          <w:p w14:paraId="539AAB85">
            <w:pPr>
              <w:pStyle w:val="26"/>
              <w:bidi w:val="0"/>
              <w:rPr>
                <w:rFonts w:hint="eastAsia"/>
                <w:color w:val="auto"/>
                <w:lang w:val="en-US" w:eastAsia="zh-CN"/>
              </w:rPr>
            </w:pPr>
          </w:p>
        </w:tc>
      </w:tr>
      <w:tr w14:paraId="7EB0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491F8D5C">
            <w:pPr>
              <w:pStyle w:val="26"/>
              <w:bidi w:val="0"/>
              <w:rPr>
                <w:rFonts w:hint="eastAsia"/>
                <w:color w:val="auto"/>
                <w:lang w:val="en-US" w:eastAsia="zh-CN"/>
              </w:rPr>
            </w:pPr>
          </w:p>
        </w:tc>
        <w:tc>
          <w:tcPr>
            <w:tcW w:w="2421" w:type="pct"/>
            <w:tcMar>
              <w:left w:w="0" w:type="dxa"/>
              <w:right w:w="0" w:type="dxa"/>
            </w:tcMar>
            <w:vAlign w:val="center"/>
          </w:tcPr>
          <w:p w14:paraId="1CCA0664">
            <w:pPr>
              <w:pStyle w:val="26"/>
              <w:bidi w:val="0"/>
              <w:rPr>
                <w:rFonts w:hint="eastAsia"/>
                <w:color w:val="auto"/>
                <w:lang w:val="en-US" w:eastAsia="zh-CN"/>
              </w:rPr>
            </w:pPr>
            <w:r>
              <w:rPr>
                <w:rFonts w:hint="eastAsia"/>
                <w:color w:val="auto"/>
                <w:lang w:val="en-US" w:eastAsia="zh-CN"/>
              </w:rPr>
              <w:t>（22）是否与其他组织或单位签订应急救援协议或互救协议。</w:t>
            </w:r>
          </w:p>
        </w:tc>
        <w:tc>
          <w:tcPr>
            <w:tcW w:w="720" w:type="pct"/>
            <w:tcMar>
              <w:left w:w="0" w:type="dxa"/>
              <w:right w:w="0" w:type="dxa"/>
            </w:tcMar>
            <w:vAlign w:val="center"/>
          </w:tcPr>
          <w:p w14:paraId="54171E2C">
            <w:pPr>
              <w:pStyle w:val="26"/>
              <w:bidi w:val="0"/>
              <w:rPr>
                <w:rFonts w:hint="eastAsia"/>
                <w:color w:val="auto"/>
                <w:lang w:val="en-US" w:eastAsia="zh-CN"/>
              </w:rPr>
            </w:pPr>
          </w:p>
        </w:tc>
        <w:tc>
          <w:tcPr>
            <w:tcW w:w="720" w:type="pct"/>
            <w:tcMar>
              <w:left w:w="0" w:type="dxa"/>
              <w:right w:w="0" w:type="dxa"/>
            </w:tcMar>
            <w:vAlign w:val="center"/>
          </w:tcPr>
          <w:p w14:paraId="03CC56D9">
            <w:pPr>
              <w:pStyle w:val="26"/>
              <w:bidi w:val="0"/>
              <w:rPr>
                <w:rFonts w:hint="eastAsia"/>
                <w:color w:val="auto"/>
                <w:lang w:val="en-US" w:eastAsia="zh-CN"/>
              </w:rPr>
            </w:pPr>
          </w:p>
        </w:tc>
        <w:tc>
          <w:tcPr>
            <w:tcW w:w="570" w:type="pct"/>
            <w:tcMar>
              <w:left w:w="0" w:type="dxa"/>
              <w:right w:w="0" w:type="dxa"/>
            </w:tcMar>
            <w:vAlign w:val="center"/>
          </w:tcPr>
          <w:p w14:paraId="0150EA08">
            <w:pPr>
              <w:pStyle w:val="26"/>
              <w:bidi w:val="0"/>
              <w:rPr>
                <w:rFonts w:hint="eastAsia"/>
                <w:color w:val="auto"/>
                <w:lang w:val="en-US" w:eastAsia="zh-CN"/>
              </w:rPr>
            </w:pPr>
          </w:p>
        </w:tc>
      </w:tr>
      <w:tr w14:paraId="0A70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vMerge w:val="continue"/>
            <w:tcMar>
              <w:left w:w="0" w:type="dxa"/>
              <w:right w:w="0" w:type="dxa"/>
            </w:tcMar>
            <w:vAlign w:val="center"/>
          </w:tcPr>
          <w:p w14:paraId="55C0ECB2">
            <w:pPr>
              <w:pStyle w:val="26"/>
              <w:bidi w:val="0"/>
              <w:rPr>
                <w:rFonts w:hint="eastAsia"/>
                <w:color w:val="auto"/>
                <w:lang w:val="en-US" w:eastAsia="zh-CN"/>
              </w:rPr>
            </w:pPr>
          </w:p>
        </w:tc>
        <w:tc>
          <w:tcPr>
            <w:tcW w:w="2421" w:type="pct"/>
            <w:tcMar>
              <w:left w:w="0" w:type="dxa"/>
              <w:right w:w="0" w:type="dxa"/>
            </w:tcMar>
            <w:vAlign w:val="center"/>
          </w:tcPr>
          <w:p w14:paraId="3A4DC38A">
            <w:pPr>
              <w:pStyle w:val="26"/>
              <w:bidi w:val="0"/>
              <w:rPr>
                <w:rFonts w:hint="eastAsia"/>
                <w:color w:val="auto"/>
                <w:lang w:val="en-US" w:eastAsia="zh-CN"/>
              </w:rPr>
            </w:pPr>
            <w:r>
              <w:rPr>
                <w:rFonts w:hint="eastAsia"/>
                <w:color w:val="auto"/>
                <w:lang w:val="en-US" w:eastAsia="zh-CN"/>
              </w:rPr>
              <w:t>（23）是否对现有物资进行定期检查，对已消耗或耗损的物资装备进行及时补充。</w:t>
            </w:r>
          </w:p>
        </w:tc>
        <w:tc>
          <w:tcPr>
            <w:tcW w:w="720" w:type="pct"/>
            <w:tcMar>
              <w:left w:w="0" w:type="dxa"/>
              <w:right w:w="0" w:type="dxa"/>
            </w:tcMar>
            <w:vAlign w:val="center"/>
          </w:tcPr>
          <w:p w14:paraId="371A4881">
            <w:pPr>
              <w:pStyle w:val="26"/>
              <w:bidi w:val="0"/>
              <w:rPr>
                <w:rFonts w:hint="eastAsia"/>
                <w:color w:val="auto"/>
                <w:lang w:val="en-US" w:eastAsia="zh-CN"/>
              </w:rPr>
            </w:pPr>
          </w:p>
        </w:tc>
        <w:tc>
          <w:tcPr>
            <w:tcW w:w="720" w:type="pct"/>
            <w:tcMar>
              <w:left w:w="0" w:type="dxa"/>
              <w:right w:w="0" w:type="dxa"/>
            </w:tcMar>
            <w:vAlign w:val="center"/>
          </w:tcPr>
          <w:p w14:paraId="4E8729FC">
            <w:pPr>
              <w:pStyle w:val="26"/>
              <w:bidi w:val="0"/>
              <w:rPr>
                <w:rFonts w:hint="eastAsia"/>
                <w:color w:val="auto"/>
                <w:lang w:val="en-US" w:eastAsia="zh-CN"/>
              </w:rPr>
            </w:pPr>
          </w:p>
        </w:tc>
        <w:tc>
          <w:tcPr>
            <w:tcW w:w="570" w:type="pct"/>
            <w:tcMar>
              <w:left w:w="0" w:type="dxa"/>
              <w:right w:w="0" w:type="dxa"/>
            </w:tcMar>
            <w:vAlign w:val="center"/>
          </w:tcPr>
          <w:p w14:paraId="7118A84D">
            <w:pPr>
              <w:pStyle w:val="26"/>
              <w:bidi w:val="0"/>
              <w:rPr>
                <w:rFonts w:hint="eastAsia"/>
                <w:color w:val="auto"/>
                <w:lang w:val="en-US" w:eastAsia="zh-CN"/>
              </w:rPr>
            </w:pPr>
          </w:p>
        </w:tc>
      </w:tr>
      <w:tr w14:paraId="6579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9" w:type="pct"/>
            <w:tcMar>
              <w:left w:w="0" w:type="dxa"/>
              <w:right w:w="0" w:type="dxa"/>
            </w:tcMar>
            <w:vAlign w:val="center"/>
          </w:tcPr>
          <w:p w14:paraId="1C3A1312">
            <w:pPr>
              <w:pStyle w:val="26"/>
              <w:bidi w:val="0"/>
              <w:rPr>
                <w:rFonts w:hint="eastAsia"/>
                <w:color w:val="auto"/>
                <w:lang w:val="en-US" w:eastAsia="zh-CN"/>
              </w:rPr>
            </w:pPr>
            <w:r>
              <w:rPr>
                <w:rFonts w:hint="eastAsia"/>
                <w:color w:val="auto"/>
                <w:lang w:val="en-US" w:eastAsia="zh-CN"/>
              </w:rPr>
              <w:t>6.是否按规定公开突发环境事件应急预案及演练情况</w:t>
            </w:r>
          </w:p>
        </w:tc>
        <w:tc>
          <w:tcPr>
            <w:tcW w:w="2421" w:type="pct"/>
            <w:tcMar>
              <w:left w:w="0" w:type="dxa"/>
              <w:right w:w="0" w:type="dxa"/>
            </w:tcMar>
            <w:vAlign w:val="center"/>
          </w:tcPr>
          <w:p w14:paraId="2591E912">
            <w:pPr>
              <w:pStyle w:val="26"/>
              <w:bidi w:val="0"/>
              <w:rPr>
                <w:rFonts w:hint="eastAsia"/>
                <w:color w:val="auto"/>
                <w:lang w:val="en-US" w:eastAsia="zh-CN"/>
              </w:rPr>
            </w:pPr>
            <w:r>
              <w:rPr>
                <w:rFonts w:hint="eastAsia"/>
                <w:color w:val="auto"/>
                <w:lang w:val="en-US" w:eastAsia="zh-CN"/>
              </w:rPr>
              <w:t>（24）是否按规定公开突发环境事件应急预案及演练情况。</w:t>
            </w:r>
          </w:p>
        </w:tc>
        <w:tc>
          <w:tcPr>
            <w:tcW w:w="720" w:type="pct"/>
            <w:tcMar>
              <w:left w:w="0" w:type="dxa"/>
              <w:right w:w="0" w:type="dxa"/>
            </w:tcMar>
            <w:vAlign w:val="center"/>
          </w:tcPr>
          <w:p w14:paraId="642EF939">
            <w:pPr>
              <w:pStyle w:val="26"/>
              <w:bidi w:val="0"/>
              <w:rPr>
                <w:rFonts w:hint="eastAsia"/>
                <w:color w:val="auto"/>
                <w:lang w:val="en-US" w:eastAsia="zh-CN"/>
              </w:rPr>
            </w:pPr>
          </w:p>
        </w:tc>
        <w:tc>
          <w:tcPr>
            <w:tcW w:w="720" w:type="pct"/>
            <w:tcMar>
              <w:left w:w="0" w:type="dxa"/>
              <w:right w:w="0" w:type="dxa"/>
            </w:tcMar>
            <w:vAlign w:val="center"/>
          </w:tcPr>
          <w:p w14:paraId="3F0D6115">
            <w:pPr>
              <w:pStyle w:val="26"/>
              <w:bidi w:val="0"/>
              <w:rPr>
                <w:rFonts w:hint="eastAsia"/>
                <w:color w:val="auto"/>
                <w:lang w:val="en-US" w:eastAsia="zh-CN"/>
              </w:rPr>
            </w:pPr>
          </w:p>
        </w:tc>
        <w:tc>
          <w:tcPr>
            <w:tcW w:w="570" w:type="pct"/>
            <w:tcMar>
              <w:left w:w="0" w:type="dxa"/>
              <w:right w:w="0" w:type="dxa"/>
            </w:tcMar>
            <w:vAlign w:val="center"/>
          </w:tcPr>
          <w:p w14:paraId="65CDF5A3">
            <w:pPr>
              <w:pStyle w:val="26"/>
              <w:bidi w:val="0"/>
              <w:rPr>
                <w:rFonts w:hint="eastAsia"/>
                <w:color w:val="auto"/>
                <w:lang w:val="en-US" w:eastAsia="zh-CN"/>
              </w:rPr>
            </w:pPr>
          </w:p>
        </w:tc>
      </w:tr>
    </w:tbl>
    <w:p w14:paraId="21DD4E3D">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STYLEREF 2 \s </w:instrText>
      </w:r>
      <w:r>
        <w:rPr>
          <w:rFonts w:hint="eastAsia"/>
          <w:color w:val="auto"/>
          <w:lang w:val="en-US" w:eastAsia="zh-CN"/>
        </w:rPr>
        <w:fldChar w:fldCharType="separate"/>
      </w:r>
      <w:r>
        <w:rPr>
          <w:rFonts w:hint="eastAsia"/>
          <w:color w:val="auto"/>
          <w:lang w:val="en-US" w:eastAsia="zh-CN"/>
        </w:rPr>
        <w:t>7.6</w:t>
      </w:r>
      <w:r>
        <w:rPr>
          <w:rFonts w:hint="eastAsia"/>
          <w:color w:val="auto"/>
          <w:lang w:val="en-US" w:eastAsia="zh-CN"/>
        </w:rPr>
        <w:fldChar w:fldCharType="end"/>
      </w:r>
      <w:r>
        <w:rPr>
          <w:rFonts w:hint="eastAsia"/>
          <w:color w:val="auto"/>
          <w:lang w:val="en-US" w:eastAsia="zh-CN"/>
        </w:rPr>
        <w:noBreakHyphen/>
      </w:r>
      <w:r>
        <w:rPr>
          <w:rFonts w:hint="eastAsia"/>
          <w:color w:val="auto"/>
          <w:lang w:val="en-US" w:eastAsia="zh-CN"/>
        </w:rPr>
        <w:fldChar w:fldCharType="begin"/>
      </w:r>
      <w:r>
        <w:rPr>
          <w:rFonts w:hint="eastAsia"/>
          <w:color w:val="auto"/>
          <w:lang w:val="en-US" w:eastAsia="zh-CN"/>
        </w:rPr>
        <w:instrText xml:space="preserve"> SEQ 表 \* ARABIC \s 2 </w:instrText>
      </w:r>
      <w:r>
        <w:rPr>
          <w:rFonts w:hint="eastAsia"/>
          <w:color w:val="auto"/>
          <w:lang w:val="en-US" w:eastAsia="zh-CN"/>
        </w:rPr>
        <w:fldChar w:fldCharType="separate"/>
      </w:r>
      <w:r>
        <w:rPr>
          <w:rFonts w:hint="eastAsia"/>
          <w:color w:val="auto"/>
          <w:lang w:val="en-US" w:eastAsia="zh-CN"/>
        </w:rPr>
        <w:t>2</w:t>
      </w:r>
      <w:r>
        <w:rPr>
          <w:rFonts w:hint="eastAsia"/>
          <w:color w:val="auto"/>
          <w:lang w:val="en-US" w:eastAsia="zh-CN"/>
        </w:rPr>
        <w:fldChar w:fldCharType="end"/>
      </w:r>
      <w:r>
        <w:rPr>
          <w:rFonts w:hint="eastAsia"/>
          <w:color w:val="auto"/>
          <w:lang w:val="en-US" w:eastAsia="zh-CN"/>
        </w:rPr>
        <w:t>昆运制版突发环境事件风险防控措施隐患排查表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435"/>
        <w:gridCol w:w="958"/>
        <w:gridCol w:w="1257"/>
        <w:gridCol w:w="888"/>
        <w:gridCol w:w="888"/>
        <w:gridCol w:w="890"/>
      </w:tblGrid>
      <w:tr w14:paraId="0295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Mar>
              <w:left w:w="0" w:type="dxa"/>
              <w:right w:w="0" w:type="dxa"/>
            </w:tcMar>
            <w:vAlign w:val="center"/>
          </w:tcPr>
          <w:p w14:paraId="54108EE6">
            <w:pPr>
              <w:pStyle w:val="26"/>
              <w:bidi w:val="0"/>
              <w:rPr>
                <w:rFonts w:hint="eastAsia"/>
                <w:color w:val="auto"/>
                <w:lang w:val="en-US" w:eastAsia="zh-CN"/>
              </w:rPr>
            </w:pPr>
            <w:r>
              <w:rPr>
                <w:rFonts w:hint="eastAsia"/>
                <w:color w:val="auto"/>
                <w:lang w:val="en-US" w:eastAsia="zh-CN"/>
              </w:rPr>
              <w:t>排查时间：年月日现场排查负责人（签字）</w:t>
            </w:r>
          </w:p>
        </w:tc>
      </w:tr>
      <w:tr w14:paraId="5732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4BDA7E8F">
            <w:pPr>
              <w:pStyle w:val="26"/>
              <w:bidi w:val="0"/>
              <w:rPr>
                <w:rFonts w:hint="eastAsia"/>
                <w:color w:val="auto"/>
                <w:lang w:val="en-US" w:eastAsia="zh-CN"/>
              </w:rPr>
            </w:pPr>
            <w:r>
              <w:rPr>
                <w:rFonts w:hint="eastAsia"/>
                <w:color w:val="auto"/>
                <w:lang w:val="en-US" w:eastAsia="zh-CN"/>
              </w:rPr>
              <w:t>排查项目</w:t>
            </w:r>
          </w:p>
        </w:tc>
        <w:tc>
          <w:tcPr>
            <w:tcW w:w="576" w:type="pct"/>
            <w:tcMar>
              <w:left w:w="0" w:type="dxa"/>
              <w:right w:w="0" w:type="dxa"/>
            </w:tcMar>
            <w:vAlign w:val="center"/>
          </w:tcPr>
          <w:p w14:paraId="4CF2D0CC">
            <w:pPr>
              <w:pStyle w:val="26"/>
              <w:bidi w:val="0"/>
              <w:rPr>
                <w:rFonts w:hint="eastAsia"/>
                <w:color w:val="auto"/>
                <w:lang w:val="en-US" w:eastAsia="zh-CN"/>
              </w:rPr>
            </w:pPr>
            <w:r>
              <w:rPr>
                <w:rFonts w:hint="eastAsia"/>
                <w:color w:val="auto"/>
                <w:lang w:val="en-US" w:eastAsia="zh-CN"/>
              </w:rPr>
              <w:t>现状</w:t>
            </w:r>
          </w:p>
        </w:tc>
        <w:tc>
          <w:tcPr>
            <w:tcW w:w="756" w:type="pct"/>
            <w:tcMar>
              <w:left w:w="0" w:type="dxa"/>
              <w:right w:w="0" w:type="dxa"/>
            </w:tcMar>
            <w:vAlign w:val="center"/>
          </w:tcPr>
          <w:p w14:paraId="4E62F385">
            <w:pPr>
              <w:pStyle w:val="26"/>
              <w:bidi w:val="0"/>
              <w:rPr>
                <w:rFonts w:hint="eastAsia"/>
                <w:color w:val="auto"/>
                <w:lang w:val="en-US" w:eastAsia="zh-CN"/>
              </w:rPr>
            </w:pPr>
            <w:r>
              <w:rPr>
                <w:rFonts w:hint="eastAsia"/>
                <w:color w:val="auto"/>
                <w:lang w:val="en-US" w:eastAsia="zh-CN"/>
              </w:rPr>
              <w:t>可能导致的危害(是隐患的填写)</w:t>
            </w:r>
          </w:p>
        </w:tc>
        <w:tc>
          <w:tcPr>
            <w:tcW w:w="534" w:type="pct"/>
            <w:tcMar>
              <w:left w:w="0" w:type="dxa"/>
              <w:right w:w="0" w:type="dxa"/>
            </w:tcMar>
            <w:vAlign w:val="center"/>
          </w:tcPr>
          <w:p w14:paraId="31F60739">
            <w:pPr>
              <w:pStyle w:val="26"/>
              <w:bidi w:val="0"/>
              <w:rPr>
                <w:rFonts w:hint="eastAsia"/>
                <w:color w:val="auto"/>
                <w:lang w:val="en-US" w:eastAsia="zh-CN"/>
              </w:rPr>
            </w:pPr>
            <w:r>
              <w:rPr>
                <w:rFonts w:hint="eastAsia"/>
                <w:color w:val="auto"/>
                <w:lang w:val="en-US" w:eastAsia="zh-CN"/>
              </w:rPr>
              <w:t>隐患</w:t>
            </w:r>
          </w:p>
          <w:p w14:paraId="725E1901">
            <w:pPr>
              <w:pStyle w:val="26"/>
              <w:bidi w:val="0"/>
              <w:rPr>
                <w:rFonts w:hint="eastAsia"/>
                <w:color w:val="auto"/>
                <w:lang w:val="en-US" w:eastAsia="zh-CN"/>
              </w:rPr>
            </w:pPr>
            <w:r>
              <w:rPr>
                <w:rFonts w:hint="eastAsia"/>
                <w:color w:val="auto"/>
                <w:lang w:val="en-US" w:eastAsia="zh-CN"/>
              </w:rPr>
              <w:t>级别</w:t>
            </w:r>
          </w:p>
        </w:tc>
        <w:tc>
          <w:tcPr>
            <w:tcW w:w="534" w:type="pct"/>
            <w:tcMar>
              <w:left w:w="0" w:type="dxa"/>
              <w:right w:w="0" w:type="dxa"/>
            </w:tcMar>
            <w:vAlign w:val="center"/>
          </w:tcPr>
          <w:p w14:paraId="2AC3BADC">
            <w:pPr>
              <w:pStyle w:val="26"/>
              <w:bidi w:val="0"/>
              <w:rPr>
                <w:rFonts w:hint="eastAsia"/>
                <w:color w:val="auto"/>
                <w:lang w:val="en-US" w:eastAsia="zh-CN"/>
              </w:rPr>
            </w:pPr>
            <w:r>
              <w:rPr>
                <w:rFonts w:hint="eastAsia"/>
                <w:color w:val="auto"/>
                <w:lang w:val="en-US" w:eastAsia="zh-CN"/>
              </w:rPr>
              <w:t>治理</w:t>
            </w:r>
          </w:p>
          <w:p w14:paraId="0A0D26AA">
            <w:pPr>
              <w:pStyle w:val="26"/>
              <w:bidi w:val="0"/>
              <w:rPr>
                <w:rFonts w:hint="eastAsia"/>
                <w:color w:val="auto"/>
                <w:lang w:val="en-US" w:eastAsia="zh-CN"/>
              </w:rPr>
            </w:pPr>
            <w:r>
              <w:rPr>
                <w:rFonts w:hint="eastAsia"/>
                <w:color w:val="auto"/>
                <w:lang w:val="en-US" w:eastAsia="zh-CN"/>
              </w:rPr>
              <w:t>期限</w:t>
            </w:r>
          </w:p>
        </w:tc>
        <w:tc>
          <w:tcPr>
            <w:tcW w:w="535" w:type="pct"/>
            <w:tcMar>
              <w:left w:w="0" w:type="dxa"/>
              <w:right w:w="0" w:type="dxa"/>
            </w:tcMar>
            <w:vAlign w:val="center"/>
          </w:tcPr>
          <w:p w14:paraId="05BCCF54">
            <w:pPr>
              <w:pStyle w:val="26"/>
              <w:bidi w:val="0"/>
              <w:rPr>
                <w:rFonts w:hint="eastAsia"/>
                <w:color w:val="auto"/>
                <w:lang w:val="en-US" w:eastAsia="zh-CN"/>
              </w:rPr>
            </w:pPr>
            <w:r>
              <w:rPr>
                <w:rFonts w:hint="eastAsia"/>
                <w:color w:val="auto"/>
                <w:lang w:val="en-US" w:eastAsia="zh-CN"/>
              </w:rPr>
              <w:t>备注</w:t>
            </w:r>
          </w:p>
        </w:tc>
      </w:tr>
      <w:tr w14:paraId="52C8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Mar>
              <w:left w:w="0" w:type="dxa"/>
              <w:right w:w="0" w:type="dxa"/>
            </w:tcMar>
            <w:vAlign w:val="center"/>
          </w:tcPr>
          <w:p w14:paraId="6CBF0130">
            <w:pPr>
              <w:pStyle w:val="26"/>
              <w:bidi w:val="0"/>
              <w:rPr>
                <w:rFonts w:hint="eastAsia"/>
                <w:color w:val="auto"/>
                <w:lang w:val="en-US" w:eastAsia="zh-CN"/>
              </w:rPr>
            </w:pPr>
            <w:r>
              <w:rPr>
                <w:rFonts w:hint="eastAsia"/>
                <w:color w:val="auto"/>
                <w:lang w:val="en-US" w:eastAsia="zh-CN"/>
              </w:rPr>
              <w:t>一、中间事故缓冲设施、事故应急水池或事故存液池（以下统称应急池）</w:t>
            </w:r>
          </w:p>
        </w:tc>
      </w:tr>
      <w:tr w14:paraId="7142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0764E91E">
            <w:pPr>
              <w:pStyle w:val="26"/>
              <w:bidi w:val="0"/>
              <w:rPr>
                <w:rFonts w:hint="eastAsia"/>
                <w:color w:val="auto"/>
                <w:lang w:val="en-US" w:eastAsia="zh-CN"/>
              </w:rPr>
            </w:pPr>
            <w:r>
              <w:rPr>
                <w:rFonts w:hint="eastAsia"/>
                <w:color w:val="auto"/>
                <w:lang w:val="en-US" w:eastAsia="zh-CN"/>
              </w:rPr>
              <w:t>1.是否设置应急池。</w:t>
            </w:r>
          </w:p>
        </w:tc>
        <w:tc>
          <w:tcPr>
            <w:tcW w:w="576" w:type="pct"/>
            <w:tcMar>
              <w:left w:w="0" w:type="dxa"/>
              <w:right w:w="0" w:type="dxa"/>
            </w:tcMar>
            <w:vAlign w:val="center"/>
          </w:tcPr>
          <w:p w14:paraId="74ECCD39">
            <w:pPr>
              <w:pStyle w:val="26"/>
              <w:bidi w:val="0"/>
              <w:rPr>
                <w:rFonts w:hint="eastAsia"/>
                <w:color w:val="auto"/>
                <w:lang w:val="en-US" w:eastAsia="zh-CN"/>
              </w:rPr>
            </w:pPr>
          </w:p>
        </w:tc>
        <w:tc>
          <w:tcPr>
            <w:tcW w:w="756" w:type="pct"/>
            <w:tcMar>
              <w:left w:w="0" w:type="dxa"/>
              <w:right w:w="0" w:type="dxa"/>
            </w:tcMar>
            <w:vAlign w:val="center"/>
          </w:tcPr>
          <w:p w14:paraId="061D77A0">
            <w:pPr>
              <w:pStyle w:val="26"/>
              <w:bidi w:val="0"/>
              <w:rPr>
                <w:rFonts w:hint="eastAsia"/>
                <w:color w:val="auto"/>
                <w:lang w:val="en-US" w:eastAsia="zh-CN"/>
              </w:rPr>
            </w:pPr>
          </w:p>
        </w:tc>
        <w:tc>
          <w:tcPr>
            <w:tcW w:w="534" w:type="pct"/>
            <w:tcMar>
              <w:left w:w="0" w:type="dxa"/>
              <w:right w:w="0" w:type="dxa"/>
            </w:tcMar>
            <w:vAlign w:val="center"/>
          </w:tcPr>
          <w:p w14:paraId="35ABEB30">
            <w:pPr>
              <w:pStyle w:val="26"/>
              <w:bidi w:val="0"/>
              <w:rPr>
                <w:rFonts w:hint="eastAsia"/>
                <w:color w:val="auto"/>
                <w:lang w:val="en-US" w:eastAsia="zh-CN"/>
              </w:rPr>
            </w:pPr>
          </w:p>
        </w:tc>
        <w:tc>
          <w:tcPr>
            <w:tcW w:w="534" w:type="pct"/>
            <w:tcMar>
              <w:left w:w="0" w:type="dxa"/>
              <w:right w:w="0" w:type="dxa"/>
            </w:tcMar>
            <w:vAlign w:val="center"/>
          </w:tcPr>
          <w:p w14:paraId="38928A25">
            <w:pPr>
              <w:pStyle w:val="26"/>
              <w:bidi w:val="0"/>
              <w:rPr>
                <w:rFonts w:hint="eastAsia"/>
                <w:color w:val="auto"/>
                <w:lang w:val="en-US" w:eastAsia="zh-CN"/>
              </w:rPr>
            </w:pPr>
          </w:p>
        </w:tc>
        <w:tc>
          <w:tcPr>
            <w:tcW w:w="535" w:type="pct"/>
            <w:tcMar>
              <w:left w:w="0" w:type="dxa"/>
              <w:right w:w="0" w:type="dxa"/>
            </w:tcMar>
            <w:vAlign w:val="center"/>
          </w:tcPr>
          <w:p w14:paraId="092CF89C">
            <w:pPr>
              <w:pStyle w:val="26"/>
              <w:bidi w:val="0"/>
              <w:rPr>
                <w:rFonts w:hint="eastAsia"/>
                <w:color w:val="auto"/>
                <w:lang w:val="en-US" w:eastAsia="zh-CN"/>
              </w:rPr>
            </w:pPr>
          </w:p>
        </w:tc>
      </w:tr>
      <w:tr w14:paraId="15DE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65" w:type="pct"/>
            <w:tcMar>
              <w:left w:w="0" w:type="dxa"/>
              <w:right w:w="0" w:type="dxa"/>
            </w:tcMar>
            <w:vAlign w:val="center"/>
          </w:tcPr>
          <w:p w14:paraId="11D13391">
            <w:pPr>
              <w:pStyle w:val="26"/>
              <w:bidi w:val="0"/>
              <w:rPr>
                <w:rFonts w:hint="eastAsia"/>
                <w:color w:val="auto"/>
                <w:lang w:val="en-US" w:eastAsia="zh-CN"/>
              </w:rPr>
            </w:pPr>
            <w:r>
              <w:rPr>
                <w:rFonts w:hint="eastAsia"/>
                <w:color w:val="auto"/>
                <w:lang w:val="en-US" w:eastAsia="zh-CN"/>
              </w:rPr>
              <w:t>2.应急池容积是否满足环评文件及批复等相关文件要求。</w:t>
            </w:r>
          </w:p>
        </w:tc>
        <w:tc>
          <w:tcPr>
            <w:tcW w:w="576" w:type="pct"/>
            <w:tcMar>
              <w:left w:w="0" w:type="dxa"/>
              <w:right w:w="0" w:type="dxa"/>
            </w:tcMar>
            <w:vAlign w:val="center"/>
          </w:tcPr>
          <w:p w14:paraId="03B9528C">
            <w:pPr>
              <w:pStyle w:val="26"/>
              <w:bidi w:val="0"/>
              <w:rPr>
                <w:rFonts w:hint="eastAsia"/>
                <w:color w:val="auto"/>
                <w:lang w:val="en-US" w:eastAsia="zh-CN"/>
              </w:rPr>
            </w:pPr>
          </w:p>
        </w:tc>
        <w:tc>
          <w:tcPr>
            <w:tcW w:w="756" w:type="pct"/>
            <w:tcMar>
              <w:left w:w="0" w:type="dxa"/>
              <w:right w:w="0" w:type="dxa"/>
            </w:tcMar>
            <w:vAlign w:val="center"/>
          </w:tcPr>
          <w:p w14:paraId="68451BEB">
            <w:pPr>
              <w:pStyle w:val="26"/>
              <w:bidi w:val="0"/>
              <w:rPr>
                <w:rFonts w:hint="eastAsia"/>
                <w:color w:val="auto"/>
                <w:lang w:val="en-US" w:eastAsia="zh-CN"/>
              </w:rPr>
            </w:pPr>
          </w:p>
        </w:tc>
        <w:tc>
          <w:tcPr>
            <w:tcW w:w="534" w:type="pct"/>
            <w:tcMar>
              <w:left w:w="0" w:type="dxa"/>
              <w:right w:w="0" w:type="dxa"/>
            </w:tcMar>
            <w:vAlign w:val="center"/>
          </w:tcPr>
          <w:p w14:paraId="3C16B087">
            <w:pPr>
              <w:pStyle w:val="26"/>
              <w:bidi w:val="0"/>
              <w:rPr>
                <w:rFonts w:hint="eastAsia"/>
                <w:color w:val="auto"/>
                <w:lang w:val="en-US" w:eastAsia="zh-CN"/>
              </w:rPr>
            </w:pPr>
          </w:p>
        </w:tc>
        <w:tc>
          <w:tcPr>
            <w:tcW w:w="534" w:type="pct"/>
            <w:tcMar>
              <w:left w:w="0" w:type="dxa"/>
              <w:right w:w="0" w:type="dxa"/>
            </w:tcMar>
            <w:vAlign w:val="center"/>
          </w:tcPr>
          <w:p w14:paraId="21F21A47">
            <w:pPr>
              <w:pStyle w:val="26"/>
              <w:bidi w:val="0"/>
              <w:rPr>
                <w:rFonts w:hint="eastAsia"/>
                <w:color w:val="auto"/>
                <w:lang w:val="en-US" w:eastAsia="zh-CN"/>
              </w:rPr>
            </w:pPr>
          </w:p>
        </w:tc>
        <w:tc>
          <w:tcPr>
            <w:tcW w:w="535" w:type="pct"/>
            <w:tcMar>
              <w:left w:w="0" w:type="dxa"/>
              <w:right w:w="0" w:type="dxa"/>
            </w:tcMar>
            <w:vAlign w:val="center"/>
          </w:tcPr>
          <w:p w14:paraId="40285D7F">
            <w:pPr>
              <w:pStyle w:val="26"/>
              <w:bidi w:val="0"/>
              <w:rPr>
                <w:rFonts w:hint="eastAsia"/>
                <w:color w:val="auto"/>
                <w:lang w:val="en-US" w:eastAsia="zh-CN"/>
              </w:rPr>
            </w:pPr>
          </w:p>
        </w:tc>
      </w:tr>
      <w:tr w14:paraId="0AEA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773198B4">
            <w:pPr>
              <w:pStyle w:val="26"/>
              <w:bidi w:val="0"/>
              <w:rPr>
                <w:rFonts w:hint="eastAsia"/>
                <w:color w:val="auto"/>
                <w:lang w:val="en-US" w:eastAsia="zh-CN"/>
              </w:rPr>
            </w:pPr>
            <w:r>
              <w:rPr>
                <w:rFonts w:hint="eastAsia"/>
                <w:color w:val="auto"/>
                <w:lang w:val="en-US" w:eastAsia="zh-CN"/>
              </w:rPr>
              <w:t>3.应急池在非事故状态下需占用时，是否符合相关要求，并设有在事故时可以紧急排空的技术措施。</w:t>
            </w:r>
          </w:p>
        </w:tc>
        <w:tc>
          <w:tcPr>
            <w:tcW w:w="576" w:type="pct"/>
            <w:tcMar>
              <w:left w:w="0" w:type="dxa"/>
              <w:right w:w="0" w:type="dxa"/>
            </w:tcMar>
            <w:vAlign w:val="center"/>
          </w:tcPr>
          <w:p w14:paraId="6ED28940">
            <w:pPr>
              <w:pStyle w:val="26"/>
              <w:bidi w:val="0"/>
              <w:rPr>
                <w:rFonts w:hint="eastAsia"/>
                <w:color w:val="auto"/>
                <w:lang w:val="en-US" w:eastAsia="zh-CN"/>
              </w:rPr>
            </w:pPr>
          </w:p>
        </w:tc>
        <w:tc>
          <w:tcPr>
            <w:tcW w:w="756" w:type="pct"/>
            <w:tcMar>
              <w:left w:w="0" w:type="dxa"/>
              <w:right w:w="0" w:type="dxa"/>
            </w:tcMar>
            <w:vAlign w:val="center"/>
          </w:tcPr>
          <w:p w14:paraId="3CCE84D6">
            <w:pPr>
              <w:pStyle w:val="26"/>
              <w:bidi w:val="0"/>
              <w:rPr>
                <w:rFonts w:hint="eastAsia"/>
                <w:color w:val="auto"/>
                <w:lang w:val="en-US" w:eastAsia="zh-CN"/>
              </w:rPr>
            </w:pPr>
          </w:p>
        </w:tc>
        <w:tc>
          <w:tcPr>
            <w:tcW w:w="534" w:type="pct"/>
            <w:tcMar>
              <w:left w:w="0" w:type="dxa"/>
              <w:right w:w="0" w:type="dxa"/>
            </w:tcMar>
            <w:vAlign w:val="center"/>
          </w:tcPr>
          <w:p w14:paraId="737E17E6">
            <w:pPr>
              <w:pStyle w:val="26"/>
              <w:bidi w:val="0"/>
              <w:rPr>
                <w:rFonts w:hint="eastAsia"/>
                <w:color w:val="auto"/>
                <w:lang w:val="en-US" w:eastAsia="zh-CN"/>
              </w:rPr>
            </w:pPr>
          </w:p>
        </w:tc>
        <w:tc>
          <w:tcPr>
            <w:tcW w:w="534" w:type="pct"/>
            <w:tcMar>
              <w:left w:w="0" w:type="dxa"/>
              <w:right w:w="0" w:type="dxa"/>
            </w:tcMar>
            <w:vAlign w:val="center"/>
          </w:tcPr>
          <w:p w14:paraId="31624B85">
            <w:pPr>
              <w:pStyle w:val="26"/>
              <w:bidi w:val="0"/>
              <w:rPr>
                <w:rFonts w:hint="eastAsia"/>
                <w:color w:val="auto"/>
                <w:lang w:val="en-US" w:eastAsia="zh-CN"/>
              </w:rPr>
            </w:pPr>
          </w:p>
        </w:tc>
        <w:tc>
          <w:tcPr>
            <w:tcW w:w="535" w:type="pct"/>
            <w:tcMar>
              <w:left w:w="0" w:type="dxa"/>
              <w:right w:w="0" w:type="dxa"/>
            </w:tcMar>
            <w:vAlign w:val="center"/>
          </w:tcPr>
          <w:p w14:paraId="7D951726">
            <w:pPr>
              <w:pStyle w:val="26"/>
              <w:bidi w:val="0"/>
              <w:rPr>
                <w:rFonts w:hint="eastAsia"/>
                <w:color w:val="auto"/>
                <w:lang w:val="en-US" w:eastAsia="zh-CN"/>
              </w:rPr>
            </w:pPr>
          </w:p>
        </w:tc>
      </w:tr>
      <w:tr w14:paraId="1B75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070EF345">
            <w:pPr>
              <w:pStyle w:val="26"/>
              <w:bidi w:val="0"/>
              <w:rPr>
                <w:rFonts w:hint="eastAsia"/>
                <w:color w:val="auto"/>
                <w:lang w:val="en-US" w:eastAsia="zh-CN"/>
              </w:rPr>
            </w:pPr>
            <w:r>
              <w:rPr>
                <w:rFonts w:hint="eastAsia"/>
                <w:color w:val="auto"/>
                <w:lang w:val="en-US" w:eastAsia="zh-CN"/>
              </w:rPr>
              <w:t>4.应急池位置是否合理，消防水和泄漏物是否能自流进入应急池；如消防水和泄漏物不能自流进入应急池，是否配备有足够能力的排水管和泵，确保泄漏物和消防水能够全部收集。</w:t>
            </w:r>
          </w:p>
        </w:tc>
        <w:tc>
          <w:tcPr>
            <w:tcW w:w="576" w:type="pct"/>
            <w:tcMar>
              <w:left w:w="0" w:type="dxa"/>
              <w:right w:w="0" w:type="dxa"/>
            </w:tcMar>
            <w:vAlign w:val="center"/>
          </w:tcPr>
          <w:p w14:paraId="7C44E9A7">
            <w:pPr>
              <w:pStyle w:val="26"/>
              <w:bidi w:val="0"/>
              <w:rPr>
                <w:rFonts w:hint="eastAsia"/>
                <w:color w:val="auto"/>
                <w:lang w:val="en-US" w:eastAsia="zh-CN"/>
              </w:rPr>
            </w:pPr>
          </w:p>
        </w:tc>
        <w:tc>
          <w:tcPr>
            <w:tcW w:w="756" w:type="pct"/>
            <w:tcMar>
              <w:left w:w="0" w:type="dxa"/>
              <w:right w:w="0" w:type="dxa"/>
            </w:tcMar>
            <w:vAlign w:val="center"/>
          </w:tcPr>
          <w:p w14:paraId="3B35A140">
            <w:pPr>
              <w:pStyle w:val="26"/>
              <w:bidi w:val="0"/>
              <w:rPr>
                <w:rFonts w:hint="eastAsia"/>
                <w:color w:val="auto"/>
                <w:lang w:val="en-US" w:eastAsia="zh-CN"/>
              </w:rPr>
            </w:pPr>
          </w:p>
        </w:tc>
        <w:tc>
          <w:tcPr>
            <w:tcW w:w="534" w:type="pct"/>
            <w:tcMar>
              <w:left w:w="0" w:type="dxa"/>
              <w:right w:w="0" w:type="dxa"/>
            </w:tcMar>
            <w:vAlign w:val="center"/>
          </w:tcPr>
          <w:p w14:paraId="36F9F736">
            <w:pPr>
              <w:pStyle w:val="26"/>
              <w:bidi w:val="0"/>
              <w:rPr>
                <w:rFonts w:hint="eastAsia"/>
                <w:color w:val="auto"/>
                <w:lang w:val="en-US" w:eastAsia="zh-CN"/>
              </w:rPr>
            </w:pPr>
          </w:p>
        </w:tc>
        <w:tc>
          <w:tcPr>
            <w:tcW w:w="534" w:type="pct"/>
            <w:tcMar>
              <w:left w:w="0" w:type="dxa"/>
              <w:right w:w="0" w:type="dxa"/>
            </w:tcMar>
            <w:vAlign w:val="center"/>
          </w:tcPr>
          <w:p w14:paraId="49AC7134">
            <w:pPr>
              <w:pStyle w:val="26"/>
              <w:bidi w:val="0"/>
              <w:rPr>
                <w:rFonts w:hint="eastAsia"/>
                <w:color w:val="auto"/>
                <w:lang w:val="en-US" w:eastAsia="zh-CN"/>
              </w:rPr>
            </w:pPr>
          </w:p>
        </w:tc>
        <w:tc>
          <w:tcPr>
            <w:tcW w:w="535" w:type="pct"/>
            <w:tcMar>
              <w:left w:w="0" w:type="dxa"/>
              <w:right w:w="0" w:type="dxa"/>
            </w:tcMar>
            <w:vAlign w:val="center"/>
          </w:tcPr>
          <w:p w14:paraId="6024C07C">
            <w:pPr>
              <w:pStyle w:val="26"/>
              <w:bidi w:val="0"/>
              <w:rPr>
                <w:rFonts w:hint="eastAsia"/>
                <w:color w:val="auto"/>
                <w:lang w:val="en-US" w:eastAsia="zh-CN"/>
              </w:rPr>
            </w:pPr>
          </w:p>
        </w:tc>
      </w:tr>
      <w:tr w14:paraId="7719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3B49BC08">
            <w:pPr>
              <w:pStyle w:val="26"/>
              <w:bidi w:val="0"/>
              <w:rPr>
                <w:rFonts w:hint="eastAsia"/>
                <w:color w:val="auto"/>
                <w:lang w:val="en-US" w:eastAsia="zh-CN"/>
              </w:rPr>
            </w:pPr>
            <w:r>
              <w:rPr>
                <w:rFonts w:hint="eastAsia"/>
                <w:color w:val="auto"/>
                <w:lang w:val="en-US" w:eastAsia="zh-CN"/>
              </w:rPr>
              <w:t>5.接纳消防水的排水系统是否具有接纳最大消防水量的能力，是否设有防止消防水和泄漏物排出厂外的措施。</w:t>
            </w:r>
          </w:p>
        </w:tc>
        <w:tc>
          <w:tcPr>
            <w:tcW w:w="576" w:type="pct"/>
            <w:tcMar>
              <w:left w:w="0" w:type="dxa"/>
              <w:right w:w="0" w:type="dxa"/>
            </w:tcMar>
            <w:vAlign w:val="center"/>
          </w:tcPr>
          <w:p w14:paraId="031D2371">
            <w:pPr>
              <w:pStyle w:val="26"/>
              <w:bidi w:val="0"/>
              <w:rPr>
                <w:rFonts w:hint="eastAsia"/>
                <w:color w:val="auto"/>
                <w:lang w:val="en-US" w:eastAsia="zh-CN"/>
              </w:rPr>
            </w:pPr>
          </w:p>
        </w:tc>
        <w:tc>
          <w:tcPr>
            <w:tcW w:w="756" w:type="pct"/>
            <w:tcMar>
              <w:left w:w="0" w:type="dxa"/>
              <w:right w:w="0" w:type="dxa"/>
            </w:tcMar>
            <w:vAlign w:val="center"/>
          </w:tcPr>
          <w:p w14:paraId="3FDCD28E">
            <w:pPr>
              <w:pStyle w:val="26"/>
              <w:bidi w:val="0"/>
              <w:rPr>
                <w:rFonts w:hint="eastAsia"/>
                <w:color w:val="auto"/>
                <w:lang w:val="en-US" w:eastAsia="zh-CN"/>
              </w:rPr>
            </w:pPr>
          </w:p>
        </w:tc>
        <w:tc>
          <w:tcPr>
            <w:tcW w:w="534" w:type="pct"/>
            <w:tcMar>
              <w:left w:w="0" w:type="dxa"/>
              <w:right w:w="0" w:type="dxa"/>
            </w:tcMar>
            <w:vAlign w:val="center"/>
          </w:tcPr>
          <w:p w14:paraId="093C5E33">
            <w:pPr>
              <w:pStyle w:val="26"/>
              <w:bidi w:val="0"/>
              <w:rPr>
                <w:rFonts w:hint="eastAsia"/>
                <w:color w:val="auto"/>
                <w:lang w:val="en-US" w:eastAsia="zh-CN"/>
              </w:rPr>
            </w:pPr>
          </w:p>
        </w:tc>
        <w:tc>
          <w:tcPr>
            <w:tcW w:w="534" w:type="pct"/>
            <w:tcMar>
              <w:left w:w="0" w:type="dxa"/>
              <w:right w:w="0" w:type="dxa"/>
            </w:tcMar>
            <w:vAlign w:val="center"/>
          </w:tcPr>
          <w:p w14:paraId="21F88656">
            <w:pPr>
              <w:pStyle w:val="26"/>
              <w:bidi w:val="0"/>
              <w:rPr>
                <w:rFonts w:hint="eastAsia"/>
                <w:color w:val="auto"/>
                <w:lang w:val="en-US" w:eastAsia="zh-CN"/>
              </w:rPr>
            </w:pPr>
          </w:p>
        </w:tc>
        <w:tc>
          <w:tcPr>
            <w:tcW w:w="535" w:type="pct"/>
            <w:tcMar>
              <w:left w:w="0" w:type="dxa"/>
              <w:right w:w="0" w:type="dxa"/>
            </w:tcMar>
            <w:vAlign w:val="center"/>
          </w:tcPr>
          <w:p w14:paraId="4610FCE2">
            <w:pPr>
              <w:pStyle w:val="26"/>
              <w:bidi w:val="0"/>
              <w:rPr>
                <w:rFonts w:hint="eastAsia"/>
                <w:color w:val="auto"/>
                <w:lang w:val="en-US" w:eastAsia="zh-CN"/>
              </w:rPr>
            </w:pPr>
          </w:p>
        </w:tc>
      </w:tr>
      <w:tr w14:paraId="14F8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7A6FA3B1">
            <w:pPr>
              <w:pStyle w:val="26"/>
              <w:bidi w:val="0"/>
              <w:rPr>
                <w:rFonts w:hint="eastAsia"/>
                <w:color w:val="auto"/>
                <w:lang w:val="en-US" w:eastAsia="zh-CN"/>
              </w:rPr>
            </w:pPr>
            <w:r>
              <w:rPr>
                <w:rFonts w:hint="eastAsia"/>
                <w:color w:val="auto"/>
                <w:lang w:val="en-US" w:eastAsia="zh-CN"/>
              </w:rPr>
              <w:t>6.是否通过厂区内部管线或协议单位，将所收集的废（污）水送至污水处理设施处理。</w:t>
            </w:r>
          </w:p>
        </w:tc>
        <w:tc>
          <w:tcPr>
            <w:tcW w:w="576" w:type="pct"/>
            <w:tcMar>
              <w:left w:w="0" w:type="dxa"/>
              <w:right w:w="0" w:type="dxa"/>
            </w:tcMar>
            <w:vAlign w:val="center"/>
          </w:tcPr>
          <w:p w14:paraId="74851312">
            <w:pPr>
              <w:pStyle w:val="26"/>
              <w:bidi w:val="0"/>
              <w:rPr>
                <w:rFonts w:hint="eastAsia"/>
                <w:color w:val="auto"/>
                <w:lang w:val="en-US" w:eastAsia="zh-CN"/>
              </w:rPr>
            </w:pPr>
          </w:p>
        </w:tc>
        <w:tc>
          <w:tcPr>
            <w:tcW w:w="756" w:type="pct"/>
            <w:tcMar>
              <w:left w:w="0" w:type="dxa"/>
              <w:right w:w="0" w:type="dxa"/>
            </w:tcMar>
            <w:vAlign w:val="center"/>
          </w:tcPr>
          <w:p w14:paraId="10FDC1E1">
            <w:pPr>
              <w:pStyle w:val="26"/>
              <w:bidi w:val="0"/>
              <w:rPr>
                <w:rFonts w:hint="eastAsia"/>
                <w:color w:val="auto"/>
                <w:lang w:val="en-US" w:eastAsia="zh-CN"/>
              </w:rPr>
            </w:pPr>
          </w:p>
        </w:tc>
        <w:tc>
          <w:tcPr>
            <w:tcW w:w="534" w:type="pct"/>
            <w:tcMar>
              <w:left w:w="0" w:type="dxa"/>
              <w:right w:w="0" w:type="dxa"/>
            </w:tcMar>
            <w:vAlign w:val="center"/>
          </w:tcPr>
          <w:p w14:paraId="6091D747">
            <w:pPr>
              <w:pStyle w:val="26"/>
              <w:bidi w:val="0"/>
              <w:rPr>
                <w:rFonts w:hint="eastAsia"/>
                <w:color w:val="auto"/>
                <w:lang w:val="en-US" w:eastAsia="zh-CN"/>
              </w:rPr>
            </w:pPr>
          </w:p>
        </w:tc>
        <w:tc>
          <w:tcPr>
            <w:tcW w:w="534" w:type="pct"/>
            <w:tcMar>
              <w:left w:w="0" w:type="dxa"/>
              <w:right w:w="0" w:type="dxa"/>
            </w:tcMar>
            <w:vAlign w:val="center"/>
          </w:tcPr>
          <w:p w14:paraId="633A7CD0">
            <w:pPr>
              <w:pStyle w:val="26"/>
              <w:bidi w:val="0"/>
              <w:rPr>
                <w:rFonts w:hint="eastAsia"/>
                <w:color w:val="auto"/>
                <w:lang w:val="en-US" w:eastAsia="zh-CN"/>
              </w:rPr>
            </w:pPr>
          </w:p>
        </w:tc>
        <w:tc>
          <w:tcPr>
            <w:tcW w:w="535" w:type="pct"/>
            <w:tcMar>
              <w:left w:w="0" w:type="dxa"/>
              <w:right w:w="0" w:type="dxa"/>
            </w:tcMar>
            <w:vAlign w:val="center"/>
          </w:tcPr>
          <w:p w14:paraId="4F3C85F6">
            <w:pPr>
              <w:pStyle w:val="26"/>
              <w:bidi w:val="0"/>
              <w:rPr>
                <w:rFonts w:hint="eastAsia"/>
                <w:color w:val="auto"/>
                <w:lang w:val="en-US" w:eastAsia="zh-CN"/>
              </w:rPr>
            </w:pPr>
          </w:p>
        </w:tc>
      </w:tr>
      <w:tr w14:paraId="0009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Mar>
              <w:left w:w="0" w:type="dxa"/>
              <w:right w:w="0" w:type="dxa"/>
            </w:tcMar>
            <w:vAlign w:val="center"/>
          </w:tcPr>
          <w:p w14:paraId="59CBC03C">
            <w:pPr>
              <w:pStyle w:val="26"/>
              <w:bidi w:val="0"/>
              <w:rPr>
                <w:rFonts w:hint="eastAsia"/>
                <w:color w:val="auto"/>
                <w:lang w:val="en-US" w:eastAsia="zh-CN"/>
              </w:rPr>
            </w:pPr>
            <w:r>
              <w:rPr>
                <w:rFonts w:hint="eastAsia"/>
                <w:color w:val="auto"/>
                <w:lang w:val="en-US" w:eastAsia="zh-CN"/>
              </w:rPr>
              <w:t>二、厂内排水系统</w:t>
            </w:r>
          </w:p>
        </w:tc>
      </w:tr>
      <w:tr w14:paraId="3975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4CC3D9EF">
            <w:pPr>
              <w:pStyle w:val="26"/>
              <w:bidi w:val="0"/>
              <w:rPr>
                <w:rFonts w:hint="eastAsia"/>
                <w:color w:val="auto"/>
                <w:lang w:val="en-US" w:eastAsia="zh-CN"/>
              </w:rPr>
            </w:pPr>
            <w:r>
              <w:rPr>
                <w:rFonts w:hint="eastAsia"/>
                <w:color w:val="auto"/>
                <w:lang w:val="en-US" w:eastAsia="zh-CN"/>
              </w:rPr>
              <w:t>7.装置区围堰、罐区防火堤外是否设置排水切换阀，正常情况下通向雨水系统的阀门是否关闭，通向应急池或污水处理系统的阀门是否打开。</w:t>
            </w:r>
          </w:p>
        </w:tc>
        <w:tc>
          <w:tcPr>
            <w:tcW w:w="576" w:type="pct"/>
            <w:tcMar>
              <w:left w:w="0" w:type="dxa"/>
              <w:right w:w="0" w:type="dxa"/>
            </w:tcMar>
            <w:vAlign w:val="center"/>
          </w:tcPr>
          <w:p w14:paraId="7C2838FE">
            <w:pPr>
              <w:pStyle w:val="26"/>
              <w:bidi w:val="0"/>
              <w:rPr>
                <w:rFonts w:hint="eastAsia"/>
                <w:color w:val="auto"/>
                <w:lang w:val="en-US" w:eastAsia="zh-CN"/>
              </w:rPr>
            </w:pPr>
          </w:p>
        </w:tc>
        <w:tc>
          <w:tcPr>
            <w:tcW w:w="756" w:type="pct"/>
            <w:tcMar>
              <w:left w:w="0" w:type="dxa"/>
              <w:right w:w="0" w:type="dxa"/>
            </w:tcMar>
            <w:vAlign w:val="center"/>
          </w:tcPr>
          <w:p w14:paraId="36528C7F">
            <w:pPr>
              <w:pStyle w:val="26"/>
              <w:bidi w:val="0"/>
              <w:rPr>
                <w:rFonts w:hint="eastAsia"/>
                <w:color w:val="auto"/>
                <w:lang w:val="en-US" w:eastAsia="zh-CN"/>
              </w:rPr>
            </w:pPr>
          </w:p>
        </w:tc>
        <w:tc>
          <w:tcPr>
            <w:tcW w:w="534" w:type="pct"/>
            <w:tcMar>
              <w:left w:w="0" w:type="dxa"/>
              <w:right w:w="0" w:type="dxa"/>
            </w:tcMar>
            <w:vAlign w:val="center"/>
          </w:tcPr>
          <w:p w14:paraId="2F578931">
            <w:pPr>
              <w:pStyle w:val="26"/>
              <w:bidi w:val="0"/>
              <w:rPr>
                <w:rFonts w:hint="eastAsia"/>
                <w:color w:val="auto"/>
                <w:lang w:val="en-US" w:eastAsia="zh-CN"/>
              </w:rPr>
            </w:pPr>
          </w:p>
        </w:tc>
        <w:tc>
          <w:tcPr>
            <w:tcW w:w="534" w:type="pct"/>
            <w:tcMar>
              <w:left w:w="0" w:type="dxa"/>
              <w:right w:w="0" w:type="dxa"/>
            </w:tcMar>
            <w:vAlign w:val="center"/>
          </w:tcPr>
          <w:p w14:paraId="24F7A669">
            <w:pPr>
              <w:pStyle w:val="26"/>
              <w:bidi w:val="0"/>
              <w:rPr>
                <w:rFonts w:hint="eastAsia"/>
                <w:color w:val="auto"/>
                <w:lang w:val="en-US" w:eastAsia="zh-CN"/>
              </w:rPr>
            </w:pPr>
          </w:p>
        </w:tc>
        <w:tc>
          <w:tcPr>
            <w:tcW w:w="535" w:type="pct"/>
            <w:tcMar>
              <w:left w:w="0" w:type="dxa"/>
              <w:right w:w="0" w:type="dxa"/>
            </w:tcMar>
            <w:vAlign w:val="center"/>
          </w:tcPr>
          <w:p w14:paraId="290EC5B7">
            <w:pPr>
              <w:pStyle w:val="26"/>
              <w:bidi w:val="0"/>
              <w:rPr>
                <w:rFonts w:hint="eastAsia"/>
                <w:color w:val="auto"/>
                <w:lang w:val="en-US" w:eastAsia="zh-CN"/>
              </w:rPr>
            </w:pPr>
          </w:p>
        </w:tc>
      </w:tr>
      <w:tr w14:paraId="448E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751EB40C">
            <w:pPr>
              <w:pStyle w:val="26"/>
              <w:bidi w:val="0"/>
              <w:rPr>
                <w:rFonts w:hint="eastAsia"/>
                <w:color w:val="auto"/>
                <w:lang w:val="en-US" w:eastAsia="zh-CN"/>
              </w:rPr>
            </w:pPr>
            <w:r>
              <w:rPr>
                <w:rFonts w:hint="eastAsia"/>
                <w:color w:val="auto"/>
                <w:lang w:val="en-US" w:eastAsia="zh-CN"/>
              </w:rPr>
              <w:t>8.所有生产装置、罐区、油品及化学原料装卸台、作业场所和危险废物贮存设施（场所）的墙壁、地面冲洗水和受污染的雨水（初期雨水）、消防水，是否都能排入生产废水系统或独立的处理系统。</w:t>
            </w:r>
          </w:p>
        </w:tc>
        <w:tc>
          <w:tcPr>
            <w:tcW w:w="576" w:type="pct"/>
            <w:tcMar>
              <w:left w:w="0" w:type="dxa"/>
              <w:right w:w="0" w:type="dxa"/>
            </w:tcMar>
            <w:vAlign w:val="center"/>
          </w:tcPr>
          <w:p w14:paraId="02573295">
            <w:pPr>
              <w:pStyle w:val="26"/>
              <w:bidi w:val="0"/>
              <w:rPr>
                <w:rFonts w:hint="eastAsia"/>
                <w:color w:val="auto"/>
                <w:lang w:val="en-US" w:eastAsia="zh-CN"/>
              </w:rPr>
            </w:pPr>
          </w:p>
        </w:tc>
        <w:tc>
          <w:tcPr>
            <w:tcW w:w="756" w:type="pct"/>
            <w:tcMar>
              <w:left w:w="0" w:type="dxa"/>
              <w:right w:w="0" w:type="dxa"/>
            </w:tcMar>
            <w:vAlign w:val="center"/>
          </w:tcPr>
          <w:p w14:paraId="4ED2E8C1">
            <w:pPr>
              <w:pStyle w:val="26"/>
              <w:bidi w:val="0"/>
              <w:rPr>
                <w:rFonts w:hint="eastAsia"/>
                <w:color w:val="auto"/>
                <w:lang w:val="en-US" w:eastAsia="zh-CN"/>
              </w:rPr>
            </w:pPr>
          </w:p>
        </w:tc>
        <w:tc>
          <w:tcPr>
            <w:tcW w:w="534" w:type="pct"/>
            <w:tcMar>
              <w:left w:w="0" w:type="dxa"/>
              <w:right w:w="0" w:type="dxa"/>
            </w:tcMar>
            <w:vAlign w:val="center"/>
          </w:tcPr>
          <w:p w14:paraId="76E42868">
            <w:pPr>
              <w:pStyle w:val="26"/>
              <w:bidi w:val="0"/>
              <w:rPr>
                <w:rFonts w:hint="eastAsia"/>
                <w:color w:val="auto"/>
                <w:lang w:val="en-US" w:eastAsia="zh-CN"/>
              </w:rPr>
            </w:pPr>
          </w:p>
        </w:tc>
        <w:tc>
          <w:tcPr>
            <w:tcW w:w="534" w:type="pct"/>
            <w:tcMar>
              <w:left w:w="0" w:type="dxa"/>
              <w:right w:w="0" w:type="dxa"/>
            </w:tcMar>
            <w:vAlign w:val="center"/>
          </w:tcPr>
          <w:p w14:paraId="0618A7AE">
            <w:pPr>
              <w:pStyle w:val="26"/>
              <w:bidi w:val="0"/>
              <w:rPr>
                <w:rFonts w:hint="eastAsia"/>
                <w:color w:val="auto"/>
                <w:lang w:val="en-US" w:eastAsia="zh-CN"/>
              </w:rPr>
            </w:pPr>
          </w:p>
        </w:tc>
        <w:tc>
          <w:tcPr>
            <w:tcW w:w="535" w:type="pct"/>
            <w:tcMar>
              <w:left w:w="0" w:type="dxa"/>
              <w:right w:w="0" w:type="dxa"/>
            </w:tcMar>
            <w:vAlign w:val="center"/>
          </w:tcPr>
          <w:p w14:paraId="7E330FE7">
            <w:pPr>
              <w:pStyle w:val="26"/>
              <w:bidi w:val="0"/>
              <w:rPr>
                <w:rFonts w:hint="eastAsia"/>
                <w:color w:val="auto"/>
                <w:lang w:val="en-US" w:eastAsia="zh-CN"/>
              </w:rPr>
            </w:pPr>
          </w:p>
        </w:tc>
      </w:tr>
      <w:tr w14:paraId="2666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65" w:type="pct"/>
            <w:tcMar>
              <w:left w:w="0" w:type="dxa"/>
              <w:right w:w="0" w:type="dxa"/>
            </w:tcMar>
            <w:vAlign w:val="center"/>
          </w:tcPr>
          <w:p w14:paraId="60B4C660">
            <w:pPr>
              <w:pStyle w:val="26"/>
              <w:bidi w:val="0"/>
              <w:rPr>
                <w:rFonts w:hint="eastAsia"/>
                <w:color w:val="auto"/>
                <w:lang w:val="en-US" w:eastAsia="zh-CN"/>
              </w:rPr>
            </w:pPr>
            <w:r>
              <w:rPr>
                <w:rFonts w:hint="eastAsia"/>
                <w:color w:val="auto"/>
                <w:lang w:val="en-US" w:eastAsia="zh-CN"/>
              </w:rPr>
              <w:t>9.是否有防止受污染的冷却水、雨水进入雨水系统的措施，受污染的冷却水是否都能排入生产废水系统或独立的处理系统。</w:t>
            </w:r>
          </w:p>
        </w:tc>
        <w:tc>
          <w:tcPr>
            <w:tcW w:w="576" w:type="pct"/>
            <w:tcMar>
              <w:left w:w="0" w:type="dxa"/>
              <w:right w:w="0" w:type="dxa"/>
            </w:tcMar>
            <w:vAlign w:val="center"/>
          </w:tcPr>
          <w:p w14:paraId="1E436CCD">
            <w:pPr>
              <w:pStyle w:val="26"/>
              <w:bidi w:val="0"/>
              <w:rPr>
                <w:rFonts w:hint="eastAsia"/>
                <w:color w:val="auto"/>
                <w:lang w:val="en-US" w:eastAsia="zh-CN"/>
              </w:rPr>
            </w:pPr>
          </w:p>
        </w:tc>
        <w:tc>
          <w:tcPr>
            <w:tcW w:w="756" w:type="pct"/>
            <w:tcMar>
              <w:left w:w="0" w:type="dxa"/>
              <w:right w:w="0" w:type="dxa"/>
            </w:tcMar>
            <w:vAlign w:val="center"/>
          </w:tcPr>
          <w:p w14:paraId="483197EA">
            <w:pPr>
              <w:pStyle w:val="26"/>
              <w:bidi w:val="0"/>
              <w:rPr>
                <w:rFonts w:hint="eastAsia"/>
                <w:color w:val="auto"/>
                <w:lang w:val="en-US" w:eastAsia="zh-CN"/>
              </w:rPr>
            </w:pPr>
          </w:p>
        </w:tc>
        <w:tc>
          <w:tcPr>
            <w:tcW w:w="534" w:type="pct"/>
            <w:tcMar>
              <w:left w:w="0" w:type="dxa"/>
              <w:right w:w="0" w:type="dxa"/>
            </w:tcMar>
            <w:vAlign w:val="center"/>
          </w:tcPr>
          <w:p w14:paraId="5E10FCB5">
            <w:pPr>
              <w:pStyle w:val="26"/>
              <w:bidi w:val="0"/>
              <w:rPr>
                <w:rFonts w:hint="eastAsia"/>
                <w:color w:val="auto"/>
                <w:lang w:val="en-US" w:eastAsia="zh-CN"/>
              </w:rPr>
            </w:pPr>
          </w:p>
        </w:tc>
        <w:tc>
          <w:tcPr>
            <w:tcW w:w="534" w:type="pct"/>
            <w:tcMar>
              <w:left w:w="0" w:type="dxa"/>
              <w:right w:w="0" w:type="dxa"/>
            </w:tcMar>
            <w:vAlign w:val="center"/>
          </w:tcPr>
          <w:p w14:paraId="44410B36">
            <w:pPr>
              <w:pStyle w:val="26"/>
              <w:bidi w:val="0"/>
              <w:rPr>
                <w:rFonts w:hint="eastAsia"/>
                <w:color w:val="auto"/>
                <w:lang w:val="en-US" w:eastAsia="zh-CN"/>
              </w:rPr>
            </w:pPr>
          </w:p>
        </w:tc>
        <w:tc>
          <w:tcPr>
            <w:tcW w:w="535" w:type="pct"/>
            <w:tcMar>
              <w:left w:w="0" w:type="dxa"/>
              <w:right w:w="0" w:type="dxa"/>
            </w:tcMar>
            <w:vAlign w:val="center"/>
          </w:tcPr>
          <w:p w14:paraId="52469CE2">
            <w:pPr>
              <w:pStyle w:val="26"/>
              <w:bidi w:val="0"/>
              <w:rPr>
                <w:rFonts w:hint="eastAsia"/>
                <w:color w:val="auto"/>
                <w:lang w:val="en-US" w:eastAsia="zh-CN"/>
              </w:rPr>
            </w:pPr>
          </w:p>
        </w:tc>
      </w:tr>
      <w:tr w14:paraId="6FA5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3930155B">
            <w:pPr>
              <w:pStyle w:val="26"/>
              <w:bidi w:val="0"/>
              <w:rPr>
                <w:rFonts w:hint="eastAsia"/>
                <w:color w:val="auto"/>
                <w:lang w:val="en-US" w:eastAsia="zh-CN"/>
              </w:rPr>
            </w:pPr>
            <w:r>
              <w:rPr>
                <w:rFonts w:hint="eastAsia"/>
                <w:color w:val="auto"/>
                <w:lang w:val="en-US" w:eastAsia="zh-CN"/>
              </w:rPr>
              <w:t>10.各种装卸区（包括厂区码头、铁路、公路）产生的事故液、作业面污水是否设置污水和事故液收集系统，是否有防止事故液、作业面污水进入雨水系统或水域的措施。</w:t>
            </w:r>
          </w:p>
        </w:tc>
        <w:tc>
          <w:tcPr>
            <w:tcW w:w="576" w:type="pct"/>
            <w:tcMar>
              <w:left w:w="0" w:type="dxa"/>
              <w:right w:w="0" w:type="dxa"/>
            </w:tcMar>
            <w:vAlign w:val="center"/>
          </w:tcPr>
          <w:p w14:paraId="43716F78">
            <w:pPr>
              <w:pStyle w:val="26"/>
              <w:bidi w:val="0"/>
              <w:rPr>
                <w:rFonts w:hint="eastAsia"/>
                <w:color w:val="auto"/>
                <w:lang w:val="en-US" w:eastAsia="zh-CN"/>
              </w:rPr>
            </w:pPr>
          </w:p>
        </w:tc>
        <w:tc>
          <w:tcPr>
            <w:tcW w:w="756" w:type="pct"/>
            <w:tcMar>
              <w:left w:w="0" w:type="dxa"/>
              <w:right w:w="0" w:type="dxa"/>
            </w:tcMar>
            <w:vAlign w:val="center"/>
          </w:tcPr>
          <w:p w14:paraId="478D67C7">
            <w:pPr>
              <w:pStyle w:val="26"/>
              <w:bidi w:val="0"/>
              <w:rPr>
                <w:rFonts w:hint="eastAsia"/>
                <w:color w:val="auto"/>
                <w:lang w:val="en-US" w:eastAsia="zh-CN"/>
              </w:rPr>
            </w:pPr>
          </w:p>
        </w:tc>
        <w:tc>
          <w:tcPr>
            <w:tcW w:w="534" w:type="pct"/>
            <w:tcMar>
              <w:left w:w="0" w:type="dxa"/>
              <w:right w:w="0" w:type="dxa"/>
            </w:tcMar>
            <w:vAlign w:val="center"/>
          </w:tcPr>
          <w:p w14:paraId="4B7D7BC2">
            <w:pPr>
              <w:pStyle w:val="26"/>
              <w:bidi w:val="0"/>
              <w:rPr>
                <w:rFonts w:hint="eastAsia"/>
                <w:color w:val="auto"/>
                <w:lang w:val="en-US" w:eastAsia="zh-CN"/>
              </w:rPr>
            </w:pPr>
          </w:p>
        </w:tc>
        <w:tc>
          <w:tcPr>
            <w:tcW w:w="534" w:type="pct"/>
            <w:tcMar>
              <w:left w:w="0" w:type="dxa"/>
              <w:right w:w="0" w:type="dxa"/>
            </w:tcMar>
            <w:vAlign w:val="center"/>
          </w:tcPr>
          <w:p w14:paraId="59296488">
            <w:pPr>
              <w:pStyle w:val="26"/>
              <w:bidi w:val="0"/>
              <w:rPr>
                <w:rFonts w:hint="eastAsia"/>
                <w:color w:val="auto"/>
                <w:lang w:val="en-US" w:eastAsia="zh-CN"/>
              </w:rPr>
            </w:pPr>
          </w:p>
        </w:tc>
        <w:tc>
          <w:tcPr>
            <w:tcW w:w="535" w:type="pct"/>
            <w:tcMar>
              <w:left w:w="0" w:type="dxa"/>
              <w:right w:w="0" w:type="dxa"/>
            </w:tcMar>
            <w:vAlign w:val="center"/>
          </w:tcPr>
          <w:p w14:paraId="4268C862">
            <w:pPr>
              <w:pStyle w:val="26"/>
              <w:bidi w:val="0"/>
              <w:rPr>
                <w:rFonts w:hint="eastAsia"/>
                <w:color w:val="auto"/>
                <w:lang w:val="en-US" w:eastAsia="zh-CN"/>
              </w:rPr>
            </w:pPr>
          </w:p>
        </w:tc>
      </w:tr>
      <w:tr w14:paraId="111A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2DAD809A">
            <w:pPr>
              <w:pStyle w:val="26"/>
              <w:bidi w:val="0"/>
              <w:rPr>
                <w:rFonts w:hint="eastAsia"/>
                <w:color w:val="auto"/>
                <w:lang w:val="en-US" w:eastAsia="zh-CN"/>
              </w:rPr>
            </w:pPr>
            <w:r>
              <w:rPr>
                <w:rFonts w:hint="eastAsia"/>
                <w:color w:val="auto"/>
                <w:lang w:val="en-US" w:eastAsia="zh-CN"/>
              </w:rPr>
              <w:t>11.有排洪沟（排洪涵洞）或河道穿过厂区时，排洪沟（排洪涵洞）是否与渗漏观察井、生产废水、清净下水排放管道连通。</w:t>
            </w:r>
          </w:p>
        </w:tc>
        <w:tc>
          <w:tcPr>
            <w:tcW w:w="576" w:type="pct"/>
            <w:tcMar>
              <w:left w:w="0" w:type="dxa"/>
              <w:right w:w="0" w:type="dxa"/>
            </w:tcMar>
            <w:vAlign w:val="center"/>
          </w:tcPr>
          <w:p w14:paraId="0E1841DE">
            <w:pPr>
              <w:pStyle w:val="26"/>
              <w:bidi w:val="0"/>
              <w:rPr>
                <w:rFonts w:hint="eastAsia"/>
                <w:color w:val="auto"/>
                <w:lang w:val="en-US" w:eastAsia="zh-CN"/>
              </w:rPr>
            </w:pPr>
          </w:p>
        </w:tc>
        <w:tc>
          <w:tcPr>
            <w:tcW w:w="756" w:type="pct"/>
            <w:tcMar>
              <w:left w:w="0" w:type="dxa"/>
              <w:right w:w="0" w:type="dxa"/>
            </w:tcMar>
            <w:vAlign w:val="center"/>
          </w:tcPr>
          <w:p w14:paraId="2FB64D8D">
            <w:pPr>
              <w:pStyle w:val="26"/>
              <w:bidi w:val="0"/>
              <w:rPr>
                <w:rFonts w:hint="eastAsia"/>
                <w:color w:val="auto"/>
                <w:lang w:val="en-US" w:eastAsia="zh-CN"/>
              </w:rPr>
            </w:pPr>
          </w:p>
        </w:tc>
        <w:tc>
          <w:tcPr>
            <w:tcW w:w="534" w:type="pct"/>
            <w:tcMar>
              <w:left w:w="0" w:type="dxa"/>
              <w:right w:w="0" w:type="dxa"/>
            </w:tcMar>
            <w:vAlign w:val="center"/>
          </w:tcPr>
          <w:p w14:paraId="20B7E3DE">
            <w:pPr>
              <w:pStyle w:val="26"/>
              <w:bidi w:val="0"/>
              <w:rPr>
                <w:rFonts w:hint="eastAsia"/>
                <w:color w:val="auto"/>
                <w:lang w:val="en-US" w:eastAsia="zh-CN"/>
              </w:rPr>
            </w:pPr>
          </w:p>
        </w:tc>
        <w:tc>
          <w:tcPr>
            <w:tcW w:w="534" w:type="pct"/>
            <w:tcMar>
              <w:left w:w="0" w:type="dxa"/>
              <w:right w:w="0" w:type="dxa"/>
            </w:tcMar>
            <w:vAlign w:val="center"/>
          </w:tcPr>
          <w:p w14:paraId="24B55772">
            <w:pPr>
              <w:pStyle w:val="26"/>
              <w:bidi w:val="0"/>
              <w:rPr>
                <w:rFonts w:hint="eastAsia"/>
                <w:color w:val="auto"/>
                <w:lang w:val="en-US" w:eastAsia="zh-CN"/>
              </w:rPr>
            </w:pPr>
          </w:p>
        </w:tc>
        <w:tc>
          <w:tcPr>
            <w:tcW w:w="535" w:type="pct"/>
            <w:tcMar>
              <w:left w:w="0" w:type="dxa"/>
              <w:right w:w="0" w:type="dxa"/>
            </w:tcMar>
            <w:vAlign w:val="center"/>
          </w:tcPr>
          <w:p w14:paraId="734C7AF6">
            <w:pPr>
              <w:pStyle w:val="26"/>
              <w:bidi w:val="0"/>
              <w:rPr>
                <w:rFonts w:hint="eastAsia"/>
                <w:color w:val="auto"/>
                <w:lang w:val="en-US" w:eastAsia="zh-CN"/>
              </w:rPr>
            </w:pPr>
          </w:p>
        </w:tc>
      </w:tr>
      <w:tr w14:paraId="29CF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Mar>
              <w:left w:w="0" w:type="dxa"/>
              <w:right w:w="0" w:type="dxa"/>
            </w:tcMar>
            <w:vAlign w:val="center"/>
          </w:tcPr>
          <w:p w14:paraId="284B8A7C">
            <w:pPr>
              <w:pStyle w:val="26"/>
              <w:bidi w:val="0"/>
              <w:rPr>
                <w:rFonts w:hint="eastAsia"/>
                <w:color w:val="auto"/>
                <w:lang w:val="en-US" w:eastAsia="zh-CN"/>
              </w:rPr>
            </w:pPr>
            <w:r>
              <w:rPr>
                <w:rFonts w:hint="eastAsia"/>
                <w:color w:val="auto"/>
                <w:lang w:val="en-US" w:eastAsia="zh-CN"/>
              </w:rPr>
              <w:t>三、雨水、清净下水和污（废）水的总排口</w:t>
            </w:r>
          </w:p>
        </w:tc>
      </w:tr>
      <w:tr w14:paraId="50EC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335AC176">
            <w:pPr>
              <w:pStyle w:val="26"/>
              <w:bidi w:val="0"/>
              <w:rPr>
                <w:rFonts w:hint="eastAsia"/>
                <w:color w:val="auto"/>
                <w:lang w:val="en-US" w:eastAsia="zh-CN"/>
              </w:rPr>
            </w:pPr>
            <w:r>
              <w:rPr>
                <w:rFonts w:hint="eastAsia"/>
                <w:color w:val="auto"/>
                <w:lang w:val="en-US" w:eastAsia="zh-CN"/>
              </w:rPr>
              <w:t>12.雨水、清净下水、排洪沟的厂区总排口是否设置监视及关闭闸（阀），是否设专人负责在紧急情况下关闭总排口，确保受污染的雨水、消防水和泄漏物等排出厂界。</w:t>
            </w:r>
          </w:p>
        </w:tc>
        <w:tc>
          <w:tcPr>
            <w:tcW w:w="576" w:type="pct"/>
            <w:tcMar>
              <w:left w:w="0" w:type="dxa"/>
              <w:right w:w="0" w:type="dxa"/>
            </w:tcMar>
            <w:vAlign w:val="center"/>
          </w:tcPr>
          <w:p w14:paraId="72BA373D">
            <w:pPr>
              <w:pStyle w:val="26"/>
              <w:bidi w:val="0"/>
              <w:rPr>
                <w:rFonts w:hint="eastAsia"/>
                <w:color w:val="auto"/>
                <w:lang w:val="en-US" w:eastAsia="zh-CN"/>
              </w:rPr>
            </w:pPr>
          </w:p>
        </w:tc>
        <w:tc>
          <w:tcPr>
            <w:tcW w:w="756" w:type="pct"/>
            <w:tcMar>
              <w:left w:w="0" w:type="dxa"/>
              <w:right w:w="0" w:type="dxa"/>
            </w:tcMar>
            <w:vAlign w:val="center"/>
          </w:tcPr>
          <w:p w14:paraId="54963460">
            <w:pPr>
              <w:pStyle w:val="26"/>
              <w:bidi w:val="0"/>
              <w:rPr>
                <w:rFonts w:hint="eastAsia"/>
                <w:color w:val="auto"/>
                <w:lang w:val="en-US" w:eastAsia="zh-CN"/>
              </w:rPr>
            </w:pPr>
          </w:p>
        </w:tc>
        <w:tc>
          <w:tcPr>
            <w:tcW w:w="534" w:type="pct"/>
            <w:tcMar>
              <w:left w:w="0" w:type="dxa"/>
              <w:right w:w="0" w:type="dxa"/>
            </w:tcMar>
            <w:vAlign w:val="center"/>
          </w:tcPr>
          <w:p w14:paraId="40457C31">
            <w:pPr>
              <w:pStyle w:val="26"/>
              <w:bidi w:val="0"/>
              <w:rPr>
                <w:rFonts w:hint="eastAsia"/>
                <w:color w:val="auto"/>
                <w:lang w:val="en-US" w:eastAsia="zh-CN"/>
              </w:rPr>
            </w:pPr>
          </w:p>
        </w:tc>
        <w:tc>
          <w:tcPr>
            <w:tcW w:w="534" w:type="pct"/>
            <w:tcMar>
              <w:left w:w="0" w:type="dxa"/>
              <w:right w:w="0" w:type="dxa"/>
            </w:tcMar>
            <w:vAlign w:val="center"/>
          </w:tcPr>
          <w:p w14:paraId="78EBAB5D">
            <w:pPr>
              <w:pStyle w:val="26"/>
              <w:bidi w:val="0"/>
              <w:rPr>
                <w:rFonts w:hint="eastAsia"/>
                <w:color w:val="auto"/>
                <w:lang w:val="en-US" w:eastAsia="zh-CN"/>
              </w:rPr>
            </w:pPr>
          </w:p>
        </w:tc>
        <w:tc>
          <w:tcPr>
            <w:tcW w:w="535" w:type="pct"/>
            <w:tcMar>
              <w:left w:w="0" w:type="dxa"/>
              <w:right w:w="0" w:type="dxa"/>
            </w:tcMar>
            <w:vAlign w:val="center"/>
          </w:tcPr>
          <w:p w14:paraId="5A64D923">
            <w:pPr>
              <w:pStyle w:val="26"/>
              <w:bidi w:val="0"/>
              <w:rPr>
                <w:rFonts w:hint="eastAsia"/>
                <w:color w:val="auto"/>
                <w:lang w:val="en-US" w:eastAsia="zh-CN"/>
              </w:rPr>
            </w:pPr>
          </w:p>
        </w:tc>
      </w:tr>
      <w:tr w14:paraId="1673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32A84FAE">
            <w:pPr>
              <w:pStyle w:val="26"/>
              <w:bidi w:val="0"/>
              <w:rPr>
                <w:rFonts w:hint="eastAsia"/>
                <w:color w:val="auto"/>
                <w:lang w:val="en-US" w:eastAsia="zh-CN"/>
              </w:rPr>
            </w:pPr>
            <w:r>
              <w:rPr>
                <w:rFonts w:hint="eastAsia"/>
                <w:color w:val="auto"/>
                <w:lang w:val="en-US" w:eastAsia="zh-CN"/>
              </w:rPr>
              <w:t>13.污（废）水的排水总出口是否设置监视及关闭闸（阀），是否设专人负责关闭总排口，确保不合格废水、受污染的消防水和泄漏物等不会排出厂界。</w:t>
            </w:r>
          </w:p>
        </w:tc>
        <w:tc>
          <w:tcPr>
            <w:tcW w:w="576" w:type="pct"/>
            <w:tcMar>
              <w:left w:w="0" w:type="dxa"/>
              <w:right w:w="0" w:type="dxa"/>
            </w:tcMar>
            <w:vAlign w:val="center"/>
          </w:tcPr>
          <w:p w14:paraId="35F3B610">
            <w:pPr>
              <w:pStyle w:val="26"/>
              <w:bidi w:val="0"/>
              <w:rPr>
                <w:rFonts w:hint="eastAsia"/>
                <w:color w:val="auto"/>
                <w:lang w:val="en-US" w:eastAsia="zh-CN"/>
              </w:rPr>
            </w:pPr>
          </w:p>
        </w:tc>
        <w:tc>
          <w:tcPr>
            <w:tcW w:w="756" w:type="pct"/>
            <w:tcMar>
              <w:left w:w="0" w:type="dxa"/>
              <w:right w:w="0" w:type="dxa"/>
            </w:tcMar>
            <w:vAlign w:val="center"/>
          </w:tcPr>
          <w:p w14:paraId="235704F5">
            <w:pPr>
              <w:pStyle w:val="26"/>
              <w:bidi w:val="0"/>
              <w:rPr>
                <w:rFonts w:hint="eastAsia"/>
                <w:color w:val="auto"/>
                <w:lang w:val="en-US" w:eastAsia="zh-CN"/>
              </w:rPr>
            </w:pPr>
          </w:p>
        </w:tc>
        <w:tc>
          <w:tcPr>
            <w:tcW w:w="534" w:type="pct"/>
            <w:tcMar>
              <w:left w:w="0" w:type="dxa"/>
              <w:right w:w="0" w:type="dxa"/>
            </w:tcMar>
            <w:vAlign w:val="center"/>
          </w:tcPr>
          <w:p w14:paraId="77479290">
            <w:pPr>
              <w:pStyle w:val="26"/>
              <w:bidi w:val="0"/>
              <w:rPr>
                <w:rFonts w:hint="eastAsia"/>
                <w:color w:val="auto"/>
                <w:lang w:val="en-US" w:eastAsia="zh-CN"/>
              </w:rPr>
            </w:pPr>
          </w:p>
        </w:tc>
        <w:tc>
          <w:tcPr>
            <w:tcW w:w="534" w:type="pct"/>
            <w:tcMar>
              <w:left w:w="0" w:type="dxa"/>
              <w:right w:w="0" w:type="dxa"/>
            </w:tcMar>
            <w:vAlign w:val="center"/>
          </w:tcPr>
          <w:p w14:paraId="07884E73">
            <w:pPr>
              <w:pStyle w:val="26"/>
              <w:bidi w:val="0"/>
              <w:rPr>
                <w:rFonts w:hint="eastAsia"/>
                <w:color w:val="auto"/>
                <w:lang w:val="en-US" w:eastAsia="zh-CN"/>
              </w:rPr>
            </w:pPr>
          </w:p>
        </w:tc>
        <w:tc>
          <w:tcPr>
            <w:tcW w:w="535" w:type="pct"/>
            <w:tcMar>
              <w:left w:w="0" w:type="dxa"/>
              <w:right w:w="0" w:type="dxa"/>
            </w:tcMar>
            <w:vAlign w:val="center"/>
          </w:tcPr>
          <w:p w14:paraId="7DD27344">
            <w:pPr>
              <w:pStyle w:val="26"/>
              <w:bidi w:val="0"/>
              <w:rPr>
                <w:rFonts w:hint="eastAsia"/>
                <w:color w:val="auto"/>
                <w:lang w:val="en-US" w:eastAsia="zh-CN"/>
              </w:rPr>
            </w:pPr>
          </w:p>
        </w:tc>
      </w:tr>
      <w:tr w14:paraId="2C1D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Mar>
              <w:left w:w="0" w:type="dxa"/>
              <w:right w:w="0" w:type="dxa"/>
            </w:tcMar>
            <w:vAlign w:val="center"/>
          </w:tcPr>
          <w:p w14:paraId="1584806B">
            <w:pPr>
              <w:pStyle w:val="26"/>
              <w:bidi w:val="0"/>
              <w:rPr>
                <w:rFonts w:hint="eastAsia"/>
                <w:color w:val="auto"/>
                <w:lang w:val="en-US" w:eastAsia="zh-CN"/>
              </w:rPr>
            </w:pPr>
            <w:r>
              <w:rPr>
                <w:rFonts w:hint="eastAsia"/>
                <w:color w:val="auto"/>
                <w:lang w:val="en-US" w:eastAsia="zh-CN"/>
              </w:rPr>
              <w:t>四、突发大气环境事件风险防控措施</w:t>
            </w:r>
          </w:p>
        </w:tc>
      </w:tr>
      <w:tr w14:paraId="66EA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751C200F">
            <w:pPr>
              <w:pStyle w:val="26"/>
              <w:bidi w:val="0"/>
              <w:rPr>
                <w:rFonts w:hint="eastAsia"/>
                <w:color w:val="auto"/>
                <w:lang w:val="en-US" w:eastAsia="zh-CN"/>
              </w:rPr>
            </w:pPr>
            <w:r>
              <w:rPr>
                <w:rFonts w:hint="eastAsia"/>
                <w:color w:val="auto"/>
                <w:lang w:val="en-US" w:eastAsia="zh-CN"/>
              </w:rPr>
              <w:t>14.企业与周边重要环境风险受体的各种防护距离是否符合环境影响评价文件及批复的要求。</w:t>
            </w:r>
          </w:p>
        </w:tc>
        <w:tc>
          <w:tcPr>
            <w:tcW w:w="576" w:type="pct"/>
            <w:tcMar>
              <w:left w:w="0" w:type="dxa"/>
              <w:right w:w="0" w:type="dxa"/>
            </w:tcMar>
            <w:vAlign w:val="center"/>
          </w:tcPr>
          <w:p w14:paraId="3A109660">
            <w:pPr>
              <w:pStyle w:val="26"/>
              <w:bidi w:val="0"/>
              <w:rPr>
                <w:rFonts w:hint="eastAsia"/>
                <w:color w:val="auto"/>
                <w:lang w:val="en-US" w:eastAsia="zh-CN"/>
              </w:rPr>
            </w:pPr>
          </w:p>
        </w:tc>
        <w:tc>
          <w:tcPr>
            <w:tcW w:w="756" w:type="pct"/>
            <w:tcMar>
              <w:left w:w="0" w:type="dxa"/>
              <w:right w:w="0" w:type="dxa"/>
            </w:tcMar>
            <w:vAlign w:val="center"/>
          </w:tcPr>
          <w:p w14:paraId="1C3D8144">
            <w:pPr>
              <w:pStyle w:val="26"/>
              <w:bidi w:val="0"/>
              <w:rPr>
                <w:rFonts w:hint="eastAsia"/>
                <w:color w:val="auto"/>
                <w:lang w:val="en-US" w:eastAsia="zh-CN"/>
              </w:rPr>
            </w:pPr>
          </w:p>
        </w:tc>
        <w:tc>
          <w:tcPr>
            <w:tcW w:w="534" w:type="pct"/>
            <w:tcMar>
              <w:left w:w="0" w:type="dxa"/>
              <w:right w:w="0" w:type="dxa"/>
            </w:tcMar>
            <w:vAlign w:val="center"/>
          </w:tcPr>
          <w:p w14:paraId="62491855">
            <w:pPr>
              <w:pStyle w:val="26"/>
              <w:bidi w:val="0"/>
              <w:rPr>
                <w:rFonts w:hint="eastAsia"/>
                <w:color w:val="auto"/>
                <w:lang w:val="en-US" w:eastAsia="zh-CN"/>
              </w:rPr>
            </w:pPr>
          </w:p>
        </w:tc>
        <w:tc>
          <w:tcPr>
            <w:tcW w:w="534" w:type="pct"/>
            <w:tcMar>
              <w:left w:w="0" w:type="dxa"/>
              <w:right w:w="0" w:type="dxa"/>
            </w:tcMar>
            <w:vAlign w:val="center"/>
          </w:tcPr>
          <w:p w14:paraId="20DC1E2A">
            <w:pPr>
              <w:pStyle w:val="26"/>
              <w:bidi w:val="0"/>
              <w:rPr>
                <w:rFonts w:hint="eastAsia"/>
                <w:color w:val="auto"/>
                <w:lang w:val="en-US" w:eastAsia="zh-CN"/>
              </w:rPr>
            </w:pPr>
          </w:p>
        </w:tc>
        <w:tc>
          <w:tcPr>
            <w:tcW w:w="535" w:type="pct"/>
            <w:tcMar>
              <w:left w:w="0" w:type="dxa"/>
              <w:right w:w="0" w:type="dxa"/>
            </w:tcMar>
            <w:vAlign w:val="center"/>
          </w:tcPr>
          <w:p w14:paraId="6C6FB9F1">
            <w:pPr>
              <w:pStyle w:val="26"/>
              <w:bidi w:val="0"/>
              <w:rPr>
                <w:rFonts w:hint="eastAsia"/>
                <w:color w:val="auto"/>
                <w:lang w:val="en-US" w:eastAsia="zh-CN"/>
              </w:rPr>
            </w:pPr>
          </w:p>
        </w:tc>
      </w:tr>
      <w:tr w14:paraId="2EF4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3C5B6101">
            <w:pPr>
              <w:pStyle w:val="26"/>
              <w:bidi w:val="0"/>
              <w:rPr>
                <w:rFonts w:hint="eastAsia"/>
                <w:color w:val="auto"/>
                <w:lang w:val="en-US" w:eastAsia="zh-CN"/>
              </w:rPr>
            </w:pPr>
            <w:r>
              <w:rPr>
                <w:rFonts w:hint="eastAsia"/>
                <w:color w:val="auto"/>
                <w:lang w:val="en-US" w:eastAsia="zh-CN"/>
              </w:rPr>
              <w:t>15.涉有毒有害大气污染物名录的企业是否在厂界建设针对有毒有害污染物的环境风险预警体系。</w:t>
            </w:r>
          </w:p>
        </w:tc>
        <w:tc>
          <w:tcPr>
            <w:tcW w:w="576" w:type="pct"/>
            <w:tcMar>
              <w:left w:w="0" w:type="dxa"/>
              <w:right w:w="0" w:type="dxa"/>
            </w:tcMar>
            <w:vAlign w:val="center"/>
          </w:tcPr>
          <w:p w14:paraId="4FBA8046">
            <w:pPr>
              <w:pStyle w:val="26"/>
              <w:bidi w:val="0"/>
              <w:rPr>
                <w:rFonts w:hint="eastAsia"/>
                <w:color w:val="auto"/>
                <w:lang w:val="en-US" w:eastAsia="zh-CN"/>
              </w:rPr>
            </w:pPr>
          </w:p>
        </w:tc>
        <w:tc>
          <w:tcPr>
            <w:tcW w:w="756" w:type="pct"/>
            <w:tcMar>
              <w:left w:w="0" w:type="dxa"/>
              <w:right w:w="0" w:type="dxa"/>
            </w:tcMar>
            <w:vAlign w:val="center"/>
          </w:tcPr>
          <w:p w14:paraId="36D5BCDC">
            <w:pPr>
              <w:pStyle w:val="26"/>
              <w:bidi w:val="0"/>
              <w:rPr>
                <w:rFonts w:hint="eastAsia"/>
                <w:color w:val="auto"/>
                <w:lang w:val="en-US" w:eastAsia="zh-CN"/>
              </w:rPr>
            </w:pPr>
          </w:p>
        </w:tc>
        <w:tc>
          <w:tcPr>
            <w:tcW w:w="534" w:type="pct"/>
            <w:tcMar>
              <w:left w:w="0" w:type="dxa"/>
              <w:right w:w="0" w:type="dxa"/>
            </w:tcMar>
            <w:vAlign w:val="center"/>
          </w:tcPr>
          <w:p w14:paraId="480BD3A2">
            <w:pPr>
              <w:pStyle w:val="26"/>
              <w:bidi w:val="0"/>
              <w:rPr>
                <w:rFonts w:hint="eastAsia"/>
                <w:color w:val="auto"/>
                <w:lang w:val="en-US" w:eastAsia="zh-CN"/>
              </w:rPr>
            </w:pPr>
          </w:p>
        </w:tc>
        <w:tc>
          <w:tcPr>
            <w:tcW w:w="534" w:type="pct"/>
            <w:tcMar>
              <w:left w:w="0" w:type="dxa"/>
              <w:right w:w="0" w:type="dxa"/>
            </w:tcMar>
            <w:vAlign w:val="center"/>
          </w:tcPr>
          <w:p w14:paraId="52485705">
            <w:pPr>
              <w:pStyle w:val="26"/>
              <w:bidi w:val="0"/>
              <w:rPr>
                <w:rFonts w:hint="eastAsia"/>
                <w:color w:val="auto"/>
                <w:lang w:val="en-US" w:eastAsia="zh-CN"/>
              </w:rPr>
            </w:pPr>
          </w:p>
        </w:tc>
        <w:tc>
          <w:tcPr>
            <w:tcW w:w="535" w:type="pct"/>
            <w:tcMar>
              <w:left w:w="0" w:type="dxa"/>
              <w:right w:w="0" w:type="dxa"/>
            </w:tcMar>
            <w:vAlign w:val="center"/>
          </w:tcPr>
          <w:p w14:paraId="1EAC275C">
            <w:pPr>
              <w:pStyle w:val="26"/>
              <w:bidi w:val="0"/>
              <w:rPr>
                <w:rFonts w:hint="eastAsia"/>
                <w:color w:val="auto"/>
                <w:lang w:val="en-US" w:eastAsia="zh-CN"/>
              </w:rPr>
            </w:pPr>
          </w:p>
        </w:tc>
      </w:tr>
      <w:tr w14:paraId="13DB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4FEF1A16">
            <w:pPr>
              <w:pStyle w:val="26"/>
              <w:bidi w:val="0"/>
              <w:rPr>
                <w:rFonts w:hint="eastAsia"/>
                <w:color w:val="auto"/>
                <w:lang w:val="en-US" w:eastAsia="zh-CN"/>
              </w:rPr>
            </w:pPr>
            <w:r>
              <w:rPr>
                <w:rFonts w:hint="eastAsia"/>
                <w:color w:val="auto"/>
                <w:lang w:val="en-US" w:eastAsia="zh-CN"/>
              </w:rPr>
              <w:t>16.涉有毒有害大气污染物名录的企业是否定期监测或委托监测有毒有害大气特征污染物。</w:t>
            </w:r>
          </w:p>
        </w:tc>
        <w:tc>
          <w:tcPr>
            <w:tcW w:w="576" w:type="pct"/>
            <w:tcMar>
              <w:left w:w="0" w:type="dxa"/>
              <w:right w:w="0" w:type="dxa"/>
            </w:tcMar>
            <w:vAlign w:val="center"/>
          </w:tcPr>
          <w:p w14:paraId="3F7AEA91">
            <w:pPr>
              <w:pStyle w:val="26"/>
              <w:bidi w:val="0"/>
              <w:rPr>
                <w:rFonts w:hint="eastAsia"/>
                <w:color w:val="auto"/>
                <w:lang w:val="en-US" w:eastAsia="zh-CN"/>
              </w:rPr>
            </w:pPr>
          </w:p>
        </w:tc>
        <w:tc>
          <w:tcPr>
            <w:tcW w:w="756" w:type="pct"/>
            <w:tcMar>
              <w:left w:w="0" w:type="dxa"/>
              <w:right w:w="0" w:type="dxa"/>
            </w:tcMar>
            <w:vAlign w:val="center"/>
          </w:tcPr>
          <w:p w14:paraId="121A7547">
            <w:pPr>
              <w:pStyle w:val="26"/>
              <w:bidi w:val="0"/>
              <w:rPr>
                <w:rFonts w:hint="eastAsia"/>
                <w:color w:val="auto"/>
                <w:lang w:val="en-US" w:eastAsia="zh-CN"/>
              </w:rPr>
            </w:pPr>
          </w:p>
        </w:tc>
        <w:tc>
          <w:tcPr>
            <w:tcW w:w="534" w:type="pct"/>
            <w:tcMar>
              <w:left w:w="0" w:type="dxa"/>
              <w:right w:w="0" w:type="dxa"/>
            </w:tcMar>
            <w:vAlign w:val="center"/>
          </w:tcPr>
          <w:p w14:paraId="5AEA8BC4">
            <w:pPr>
              <w:pStyle w:val="26"/>
              <w:bidi w:val="0"/>
              <w:rPr>
                <w:rFonts w:hint="eastAsia"/>
                <w:color w:val="auto"/>
                <w:lang w:val="en-US" w:eastAsia="zh-CN"/>
              </w:rPr>
            </w:pPr>
          </w:p>
        </w:tc>
        <w:tc>
          <w:tcPr>
            <w:tcW w:w="534" w:type="pct"/>
            <w:tcMar>
              <w:left w:w="0" w:type="dxa"/>
              <w:right w:w="0" w:type="dxa"/>
            </w:tcMar>
            <w:vAlign w:val="center"/>
          </w:tcPr>
          <w:p w14:paraId="00C717F4">
            <w:pPr>
              <w:pStyle w:val="26"/>
              <w:bidi w:val="0"/>
              <w:rPr>
                <w:rFonts w:hint="eastAsia"/>
                <w:color w:val="auto"/>
                <w:lang w:val="en-US" w:eastAsia="zh-CN"/>
              </w:rPr>
            </w:pPr>
          </w:p>
        </w:tc>
        <w:tc>
          <w:tcPr>
            <w:tcW w:w="535" w:type="pct"/>
            <w:tcMar>
              <w:left w:w="0" w:type="dxa"/>
              <w:right w:w="0" w:type="dxa"/>
            </w:tcMar>
            <w:vAlign w:val="center"/>
          </w:tcPr>
          <w:p w14:paraId="461486DB">
            <w:pPr>
              <w:pStyle w:val="26"/>
              <w:bidi w:val="0"/>
              <w:rPr>
                <w:rFonts w:hint="eastAsia"/>
                <w:color w:val="auto"/>
                <w:lang w:val="en-US" w:eastAsia="zh-CN"/>
              </w:rPr>
            </w:pPr>
          </w:p>
        </w:tc>
      </w:tr>
      <w:tr w14:paraId="1668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65" w:type="pct"/>
            <w:tcMar>
              <w:left w:w="0" w:type="dxa"/>
              <w:right w:w="0" w:type="dxa"/>
            </w:tcMar>
            <w:vAlign w:val="center"/>
          </w:tcPr>
          <w:p w14:paraId="09922F63">
            <w:pPr>
              <w:pStyle w:val="26"/>
              <w:bidi w:val="0"/>
              <w:rPr>
                <w:rFonts w:hint="eastAsia"/>
                <w:color w:val="auto"/>
                <w:lang w:val="en-US" w:eastAsia="zh-CN"/>
              </w:rPr>
            </w:pPr>
            <w:r>
              <w:rPr>
                <w:rFonts w:hint="eastAsia"/>
                <w:color w:val="auto"/>
                <w:lang w:val="en-US" w:eastAsia="zh-CN"/>
              </w:rPr>
              <w:t>17.突发环境事件信息通报机制建立情况，是否能在突发环境事件发生后及时通报可能受到污染危害的单位和居民。</w:t>
            </w:r>
          </w:p>
        </w:tc>
        <w:tc>
          <w:tcPr>
            <w:tcW w:w="576" w:type="pct"/>
            <w:tcMar>
              <w:left w:w="0" w:type="dxa"/>
              <w:right w:w="0" w:type="dxa"/>
            </w:tcMar>
            <w:vAlign w:val="center"/>
          </w:tcPr>
          <w:p w14:paraId="40E33E5C">
            <w:pPr>
              <w:pStyle w:val="26"/>
              <w:bidi w:val="0"/>
              <w:rPr>
                <w:rFonts w:hint="eastAsia"/>
                <w:color w:val="auto"/>
                <w:lang w:val="en-US" w:eastAsia="zh-CN"/>
              </w:rPr>
            </w:pPr>
          </w:p>
        </w:tc>
        <w:tc>
          <w:tcPr>
            <w:tcW w:w="756" w:type="pct"/>
            <w:tcMar>
              <w:left w:w="0" w:type="dxa"/>
              <w:right w:w="0" w:type="dxa"/>
            </w:tcMar>
            <w:vAlign w:val="center"/>
          </w:tcPr>
          <w:p w14:paraId="291E75A0">
            <w:pPr>
              <w:pStyle w:val="26"/>
              <w:bidi w:val="0"/>
              <w:rPr>
                <w:rFonts w:hint="eastAsia"/>
                <w:color w:val="auto"/>
                <w:lang w:val="en-US" w:eastAsia="zh-CN"/>
              </w:rPr>
            </w:pPr>
          </w:p>
        </w:tc>
        <w:tc>
          <w:tcPr>
            <w:tcW w:w="534" w:type="pct"/>
            <w:tcMar>
              <w:left w:w="0" w:type="dxa"/>
              <w:right w:w="0" w:type="dxa"/>
            </w:tcMar>
            <w:vAlign w:val="center"/>
          </w:tcPr>
          <w:p w14:paraId="1B9B9C94">
            <w:pPr>
              <w:pStyle w:val="26"/>
              <w:bidi w:val="0"/>
              <w:rPr>
                <w:rFonts w:hint="eastAsia"/>
                <w:color w:val="auto"/>
                <w:lang w:val="en-US" w:eastAsia="zh-CN"/>
              </w:rPr>
            </w:pPr>
          </w:p>
        </w:tc>
        <w:tc>
          <w:tcPr>
            <w:tcW w:w="534" w:type="pct"/>
            <w:tcMar>
              <w:left w:w="0" w:type="dxa"/>
              <w:right w:w="0" w:type="dxa"/>
            </w:tcMar>
            <w:vAlign w:val="center"/>
          </w:tcPr>
          <w:p w14:paraId="63433719">
            <w:pPr>
              <w:pStyle w:val="26"/>
              <w:bidi w:val="0"/>
              <w:rPr>
                <w:rFonts w:hint="eastAsia"/>
                <w:color w:val="auto"/>
                <w:lang w:val="en-US" w:eastAsia="zh-CN"/>
              </w:rPr>
            </w:pPr>
          </w:p>
        </w:tc>
        <w:tc>
          <w:tcPr>
            <w:tcW w:w="535" w:type="pct"/>
            <w:tcMar>
              <w:left w:w="0" w:type="dxa"/>
              <w:right w:w="0" w:type="dxa"/>
            </w:tcMar>
            <w:vAlign w:val="center"/>
          </w:tcPr>
          <w:p w14:paraId="2EB1430A">
            <w:pPr>
              <w:pStyle w:val="26"/>
              <w:bidi w:val="0"/>
              <w:rPr>
                <w:rFonts w:hint="eastAsia"/>
                <w:color w:val="auto"/>
                <w:lang w:val="en-US" w:eastAsia="zh-CN"/>
              </w:rPr>
            </w:pPr>
          </w:p>
        </w:tc>
      </w:tr>
    </w:tbl>
    <w:p w14:paraId="0C308FAE">
      <w:pPr>
        <w:rPr>
          <w:rFonts w:hint="eastAsia"/>
          <w:color w:val="auto"/>
        </w:rPr>
      </w:pPr>
      <w:r>
        <w:rPr>
          <w:rFonts w:hint="eastAsia"/>
          <w:color w:val="auto"/>
        </w:rPr>
        <w:t>（5）应急培训和演练内容、方式、频次和台账记录要求</w:t>
      </w:r>
    </w:p>
    <w:p w14:paraId="073D15F0">
      <w:pPr>
        <w:rPr>
          <w:rFonts w:hint="eastAsia"/>
          <w:color w:val="auto"/>
        </w:rPr>
      </w:pPr>
      <w:r>
        <w:rPr>
          <w:rFonts w:hint="eastAsia"/>
          <w:color w:val="auto"/>
        </w:rPr>
        <w:t>公司应保证“三个一”制度，每年一个文件、每年两次培训、每年一次活动，做好台账记录工作，以保障公司应急演练及培训等准备工作到位。</w:t>
      </w:r>
    </w:p>
    <w:p w14:paraId="0AF065DA">
      <w:pPr>
        <w:rPr>
          <w:rFonts w:hint="eastAsia"/>
          <w:color w:val="auto"/>
        </w:rPr>
      </w:pPr>
      <w:r>
        <w:rPr>
          <w:rFonts w:hint="eastAsia"/>
          <w:color w:val="auto"/>
        </w:rPr>
        <w:t>工作人员的培训：针对应急救援的基本要求，系统培训公司的工作人员，包括发生的危险化学品泄漏及火灾、爆炸事故时报警、紧急处置、逃生、个体防护、急救、紧急疏散等程序的基本操作要求。培训主要内容：①公司生产安全操作规程；②防火、防爆的基本知识；③事故发生后如何开展自救和互救；④事故发生后的撤离和疏散方法。培训时间：一年两次。</w:t>
      </w:r>
    </w:p>
    <w:p w14:paraId="27A45DBD">
      <w:pPr>
        <w:rPr>
          <w:rFonts w:hint="eastAsia"/>
          <w:color w:val="auto"/>
        </w:rPr>
      </w:pPr>
      <w:r>
        <w:rPr>
          <w:rFonts w:hint="eastAsia"/>
          <w:color w:val="auto"/>
        </w:rPr>
        <w:t>应急救援队伍的培训：对公司应急救援队伍的队员进行应急救援专业培训。培训时间：每次不少于4小时。</w:t>
      </w:r>
    </w:p>
    <w:p w14:paraId="37492497">
      <w:pPr>
        <w:rPr>
          <w:rFonts w:hint="eastAsia"/>
          <w:color w:val="auto"/>
        </w:rPr>
      </w:pPr>
      <w:r>
        <w:rPr>
          <w:rFonts w:hint="eastAsia"/>
          <w:color w:val="auto"/>
        </w:rPr>
        <w:t>演练方式：①组织指挥演练：公司应急指挥组和应急小组分别按突发环境事件应急预案要求，以组织指挥的形式组织实施应急救援任务的演练；②单项演练：由各应急小组各自开展的环境应急任务中的单项科目的演练；③综合演练：由应急指挥组按突发环境事件应急预案要求，开展的全面演练。</w:t>
      </w:r>
    </w:p>
    <w:p w14:paraId="1DF169F8">
      <w:pPr>
        <w:rPr>
          <w:rFonts w:hint="eastAsia"/>
          <w:color w:val="auto"/>
        </w:rPr>
      </w:pPr>
      <w:r>
        <w:rPr>
          <w:rFonts w:hint="eastAsia"/>
          <w:color w:val="auto"/>
        </w:rPr>
        <w:t>演练内容：</w:t>
      </w:r>
    </w:p>
    <w:p w14:paraId="6A13C0BA">
      <w:pPr>
        <w:rPr>
          <w:rFonts w:hint="eastAsia"/>
          <w:color w:val="auto"/>
        </w:rPr>
      </w:pPr>
      <w:r>
        <w:rPr>
          <w:rFonts w:hint="eastAsia"/>
          <w:color w:val="auto"/>
        </w:rPr>
        <w:t>①生产装置泄漏及火灾、爆炸事故的应急处置抢险；污水事故性排放的应急处置抢险；废气收集处理系统故障的应急处置抢险。</w:t>
      </w:r>
    </w:p>
    <w:p w14:paraId="1090DE03">
      <w:pPr>
        <w:rPr>
          <w:rFonts w:hint="eastAsia"/>
          <w:color w:val="auto"/>
        </w:rPr>
      </w:pPr>
      <w:r>
        <w:rPr>
          <w:rFonts w:hint="eastAsia"/>
          <w:color w:val="auto"/>
        </w:rPr>
        <w:t>②通信及报警信号的联络；</w:t>
      </w:r>
    </w:p>
    <w:p w14:paraId="396A5EA4">
      <w:pPr>
        <w:rPr>
          <w:rFonts w:hint="eastAsia"/>
          <w:color w:val="auto"/>
        </w:rPr>
      </w:pPr>
      <w:r>
        <w:rPr>
          <w:rFonts w:hint="eastAsia"/>
          <w:color w:val="auto"/>
        </w:rPr>
        <w:t>③急救及医疗；</w:t>
      </w:r>
    </w:p>
    <w:p w14:paraId="7300C9B8">
      <w:pPr>
        <w:rPr>
          <w:rFonts w:hint="eastAsia"/>
          <w:color w:val="auto"/>
        </w:rPr>
      </w:pPr>
      <w:r>
        <w:rPr>
          <w:rFonts w:hint="eastAsia"/>
          <w:color w:val="auto"/>
        </w:rPr>
        <w:t>④污染水体的监测；</w:t>
      </w:r>
    </w:p>
    <w:p w14:paraId="5D2920F4">
      <w:pPr>
        <w:rPr>
          <w:rFonts w:hint="eastAsia"/>
          <w:color w:val="auto"/>
        </w:rPr>
      </w:pPr>
      <w:r>
        <w:rPr>
          <w:rFonts w:hint="eastAsia"/>
          <w:color w:val="auto"/>
        </w:rPr>
        <w:t>⑤防护指导，包括专业人员的个人防护及员工的自我防护；</w:t>
      </w:r>
    </w:p>
    <w:p w14:paraId="47AB845A">
      <w:pPr>
        <w:rPr>
          <w:rFonts w:hint="eastAsia"/>
          <w:color w:val="auto"/>
        </w:rPr>
      </w:pPr>
      <w:r>
        <w:rPr>
          <w:rFonts w:hint="eastAsia"/>
          <w:color w:val="auto"/>
        </w:rPr>
        <w:t>⑥各种标志、设置警戒范围及人员管制；</w:t>
      </w:r>
    </w:p>
    <w:p w14:paraId="41A567D5">
      <w:pPr>
        <w:rPr>
          <w:rFonts w:hint="eastAsia"/>
          <w:color w:val="auto"/>
        </w:rPr>
      </w:pPr>
      <w:r>
        <w:rPr>
          <w:rFonts w:hint="eastAsia"/>
          <w:color w:val="auto"/>
        </w:rPr>
        <w:t>⑦公司交通管理及控制；</w:t>
      </w:r>
    </w:p>
    <w:p w14:paraId="3147B6D3">
      <w:pPr>
        <w:rPr>
          <w:rFonts w:hint="eastAsia"/>
          <w:color w:val="auto"/>
        </w:rPr>
      </w:pPr>
      <w:r>
        <w:rPr>
          <w:rFonts w:hint="eastAsia"/>
          <w:color w:val="auto"/>
        </w:rPr>
        <w:t>⑧污染区域内人员的疏散撤离及人员清查；</w:t>
      </w:r>
    </w:p>
    <w:p w14:paraId="50A297FB">
      <w:pPr>
        <w:rPr>
          <w:rFonts w:hint="eastAsia"/>
          <w:color w:val="auto"/>
        </w:rPr>
      </w:pPr>
      <w:r>
        <w:rPr>
          <w:rFonts w:hint="eastAsia"/>
          <w:color w:val="auto"/>
        </w:rPr>
        <w:t>⑨向政府主管部门报告情况及向友邻单位通报情况；</w:t>
      </w:r>
    </w:p>
    <w:p w14:paraId="54DD870D">
      <w:pPr>
        <w:rPr>
          <w:rFonts w:hint="eastAsia"/>
          <w:color w:val="auto"/>
        </w:rPr>
      </w:pPr>
      <w:r>
        <w:rPr>
          <w:rFonts w:hint="eastAsia"/>
          <w:color w:val="auto"/>
        </w:rPr>
        <w:t>⑩事故的善后工作。</w:t>
      </w:r>
    </w:p>
    <w:p w14:paraId="6583DF77">
      <w:pPr>
        <w:rPr>
          <w:rFonts w:hint="eastAsia"/>
          <w:color w:val="auto"/>
        </w:rPr>
      </w:pPr>
      <w:r>
        <w:rPr>
          <w:rFonts w:hint="eastAsia"/>
          <w:color w:val="auto"/>
        </w:rPr>
        <w:t>演练范围与频次：组织指挥演练由应急指挥组副总指挥每年组织一次；单项演练由应急小组成员每年组织一次；综合演练由应急指挥组总指挥每年组织一次。</w:t>
      </w:r>
    </w:p>
    <w:p w14:paraId="255BBC0C">
      <w:pPr>
        <w:rPr>
          <w:rFonts w:hint="eastAsia"/>
          <w:color w:val="auto"/>
        </w:rPr>
      </w:pPr>
      <w:r>
        <w:rPr>
          <w:rFonts w:hint="eastAsia"/>
          <w:color w:val="auto"/>
        </w:rPr>
        <w:t>（6）设置环境风险防范设施及环境应急处置卡标识标牌要求</w:t>
      </w:r>
    </w:p>
    <w:p w14:paraId="686CECC6">
      <w:pPr>
        <w:rPr>
          <w:rFonts w:hint="eastAsia"/>
          <w:color w:val="auto"/>
        </w:rPr>
      </w:pPr>
      <w:r>
        <w:rPr>
          <w:rFonts w:hint="eastAsia"/>
          <w:color w:val="auto"/>
        </w:rPr>
        <w:t>环境风险防范设施：依托现有环境风险防范设施，并根据企业实际生产情况进行及时调整。</w:t>
      </w:r>
    </w:p>
    <w:p w14:paraId="364C38DC">
      <w:pPr>
        <w:rPr>
          <w:rFonts w:hint="eastAsia"/>
          <w:color w:val="auto"/>
        </w:rPr>
      </w:pPr>
      <w:r>
        <w:rPr>
          <w:rFonts w:hint="eastAsia"/>
          <w:color w:val="auto"/>
        </w:rPr>
        <w:t>应急预案应针对环境风险单元中重点工作岗位编制应急处置卡，明确环境风险物质及类型、污染源切断方式、信息报告方式、责任人等内容。应急处置卡应置于岗位现场明显位置。应急值班电话应为24h紧急联系电话。</w:t>
      </w:r>
    </w:p>
    <w:p w14:paraId="3A529BCF">
      <w:pPr>
        <w:pStyle w:val="4"/>
        <w:bidi w:val="0"/>
        <w:rPr>
          <w:rFonts w:hint="eastAsia"/>
          <w:color w:val="auto"/>
          <w:lang w:val="en-US" w:eastAsia="zh-CN"/>
        </w:rPr>
      </w:pPr>
      <w:bookmarkStart w:id="353" w:name="_Toc2428"/>
      <w:bookmarkStart w:id="354" w:name="_Toc17618"/>
      <w:r>
        <w:rPr>
          <w:rFonts w:hint="eastAsia"/>
          <w:color w:val="auto"/>
          <w:lang w:val="en-US" w:eastAsia="zh-CN"/>
        </w:rPr>
        <w:t>突发环境事件应急预案编制要求</w:t>
      </w:r>
      <w:bookmarkEnd w:id="353"/>
      <w:bookmarkEnd w:id="354"/>
    </w:p>
    <w:p w14:paraId="51969989">
      <w:pPr>
        <w:rPr>
          <w:rFonts w:hint="eastAsia"/>
          <w:color w:val="auto"/>
        </w:rPr>
      </w:pPr>
      <w:r>
        <w:rPr>
          <w:rFonts w:hint="eastAsia"/>
          <w:color w:val="auto"/>
        </w:rPr>
        <w:t>企业已按照要求制定了《突发环境事件应急预案》，并于2024年12月26日在苏州市昆山生态环境局进行备案（备案号：320583-2024-2900-M），风险等级为较大环境风险【较大-气（Q1-M1-E1）+较大-水（Q2-M1-E2）】。本项目建成实施后，</w:t>
      </w:r>
      <w:r>
        <w:rPr>
          <w:rFonts w:hint="eastAsia"/>
          <w:color w:val="auto"/>
          <w:lang w:eastAsia="zh-CN"/>
        </w:rPr>
        <w:t>昆运制版</w:t>
      </w:r>
      <w:r>
        <w:rPr>
          <w:rFonts w:hint="eastAsia"/>
          <w:color w:val="auto"/>
        </w:rPr>
        <w:t>公司应修订厂区的相关的突发性事件环境应急预案，将本项目纳入整个体系中去。</w:t>
      </w:r>
    </w:p>
    <w:p w14:paraId="627108BB">
      <w:pPr>
        <w:pStyle w:val="4"/>
        <w:bidi w:val="0"/>
        <w:rPr>
          <w:rFonts w:hint="eastAsia"/>
          <w:color w:val="auto"/>
          <w:lang w:val="en-US" w:eastAsia="zh-CN"/>
        </w:rPr>
      </w:pPr>
      <w:bookmarkStart w:id="355" w:name="_Toc14912"/>
      <w:bookmarkStart w:id="356" w:name="_Toc30453"/>
      <w:r>
        <w:rPr>
          <w:rFonts w:hint="eastAsia"/>
          <w:color w:val="auto"/>
          <w:lang w:val="en-US" w:eastAsia="zh-CN"/>
        </w:rPr>
        <w:t>安全风险辨识及管控</w:t>
      </w:r>
      <w:bookmarkEnd w:id="355"/>
      <w:bookmarkEnd w:id="356"/>
    </w:p>
    <w:p w14:paraId="4A49A991">
      <w:pPr>
        <w:rPr>
          <w:rFonts w:hint="eastAsia"/>
          <w:color w:val="auto"/>
        </w:rPr>
      </w:pPr>
      <w:r>
        <w:rPr>
          <w:rFonts w:hint="eastAsia"/>
          <w:color w:val="auto"/>
        </w:rPr>
        <w:t>根据《关于做好生态环境和应急管理部门联动工作的意见》（苏环办〔2020〕101号）、《省生态环境厅关于做好安全生产专项整治工作实施方案》（苏环办〔2020〕16号）</w:t>
      </w:r>
      <w:r>
        <w:rPr>
          <w:rFonts w:hint="eastAsia"/>
          <w:color w:val="auto"/>
          <w:lang w:eastAsia="zh-CN"/>
        </w:rPr>
        <w:t>、《关于做好生态环境和应急管理部门联动工作的意见》(苏环办〔2020〕101号)</w:t>
      </w:r>
      <w:r>
        <w:rPr>
          <w:rFonts w:hint="eastAsia" w:ascii="Times New Roman" w:hAnsi="Times New Roman" w:eastAsia="仿宋_GB2312" w:cstheme="minorBidi"/>
          <w:color w:val="auto"/>
          <w:spacing w:val="0"/>
          <w:szCs w:val="22"/>
        </w:rPr>
        <w:t>及《国务院安委会办公室等三个部门关于进一步加强环保设备设施安全生产工作的通知》(安委办明电〔2022〕17号)</w:t>
      </w:r>
      <w:r>
        <w:rPr>
          <w:rFonts w:hint="eastAsia"/>
          <w:color w:val="auto"/>
        </w:rPr>
        <w:t>要求，本次评价对企业环境治理设施开展安全风险辨识管控并简述企业安全风险管控措施，确保环境治理设施安全、稳定、有效运行。</w:t>
      </w:r>
    </w:p>
    <w:p w14:paraId="5B5846A1">
      <w:pPr>
        <w:pStyle w:val="5"/>
        <w:bidi w:val="0"/>
        <w:rPr>
          <w:rFonts w:hint="eastAsia"/>
          <w:color w:val="auto"/>
          <w:lang w:val="en-US" w:eastAsia="zh-CN"/>
        </w:rPr>
      </w:pPr>
      <w:r>
        <w:rPr>
          <w:rFonts w:hint="eastAsia"/>
          <w:color w:val="auto"/>
          <w:lang w:val="en-US" w:eastAsia="zh-CN"/>
        </w:rPr>
        <w:t>环境治理设施安全风险辨识</w:t>
      </w:r>
    </w:p>
    <w:p w14:paraId="4B68B8C5">
      <w:pPr>
        <w:rPr>
          <w:rFonts w:hint="eastAsia"/>
          <w:color w:val="auto"/>
        </w:rPr>
      </w:pPr>
      <w:r>
        <w:rPr>
          <w:rFonts w:hint="eastAsia"/>
          <w:color w:val="auto"/>
        </w:rPr>
        <w:t>（1）废气治理设施</w:t>
      </w:r>
    </w:p>
    <w:p w14:paraId="23230EBF">
      <w:pPr>
        <w:rPr>
          <w:rFonts w:hint="eastAsia"/>
          <w:color w:val="auto"/>
        </w:rPr>
      </w:pPr>
      <w:r>
        <w:rPr>
          <w:rFonts w:hint="eastAsia"/>
          <w:color w:val="auto"/>
        </w:rPr>
        <w:t>安全风险识别：</w:t>
      </w:r>
    </w:p>
    <w:p w14:paraId="5FDC5BCD">
      <w:pPr>
        <w:rPr>
          <w:rFonts w:hint="eastAsia"/>
          <w:color w:val="auto"/>
        </w:rPr>
      </w:pPr>
      <w:r>
        <w:rPr>
          <w:rFonts w:hint="eastAsia"/>
          <w:color w:val="auto"/>
        </w:rPr>
        <w:t>废气收集系统有发生泄漏、火灾、爆炸事故的可能，废气管道与各储罐气相连通，若控制与隔断措施缺乏，一个储罐或一个气相连通管线发生事故，可能导致火灾、爆炸事故扩大，波及周邻储罐或管线，甚至引发灾难性事故。</w:t>
      </w:r>
    </w:p>
    <w:p w14:paraId="37B30975">
      <w:pPr>
        <w:rPr>
          <w:rFonts w:hint="eastAsia"/>
          <w:color w:val="auto"/>
        </w:rPr>
      </w:pPr>
      <w:r>
        <w:rPr>
          <w:rFonts w:hint="eastAsia"/>
          <w:color w:val="auto"/>
        </w:rPr>
        <w:t>所以没有安全控制和隔断设施的气相连通系统，其装置本质安全度低，本质安全性能不能满足安全生产需要。综上所述，没有安全控制和隔断措施的废气收集治理系统具有潜在的安全风险。</w:t>
      </w:r>
    </w:p>
    <w:p w14:paraId="4CB325D5">
      <w:pPr>
        <w:rPr>
          <w:rFonts w:hint="eastAsia"/>
          <w:color w:val="auto"/>
        </w:rPr>
      </w:pPr>
      <w:r>
        <w:rPr>
          <w:rFonts w:hint="eastAsia"/>
          <w:color w:val="auto"/>
        </w:rPr>
        <w:t>（2）固废</w:t>
      </w:r>
    </w:p>
    <w:p w14:paraId="7C20ED14">
      <w:pPr>
        <w:rPr>
          <w:rFonts w:hint="eastAsia"/>
          <w:color w:val="auto"/>
        </w:rPr>
      </w:pPr>
      <w:r>
        <w:rPr>
          <w:rFonts w:hint="eastAsia"/>
          <w:color w:val="auto"/>
        </w:rPr>
        <w:t>安全风险识别：</w:t>
      </w:r>
    </w:p>
    <w:p w14:paraId="02B59B66">
      <w:pPr>
        <w:rPr>
          <w:rFonts w:hint="eastAsia"/>
          <w:color w:val="auto"/>
        </w:rPr>
      </w:pPr>
      <w:r>
        <w:rPr>
          <w:rFonts w:hint="eastAsia"/>
          <w:color w:val="auto"/>
        </w:rPr>
        <w:t>①废液存放区域，通风不良，遇热源有可能发生火灾事故。</w:t>
      </w:r>
    </w:p>
    <w:p w14:paraId="10042936">
      <w:pPr>
        <w:rPr>
          <w:rFonts w:hint="eastAsia"/>
          <w:color w:val="auto"/>
        </w:rPr>
      </w:pPr>
      <w:r>
        <w:rPr>
          <w:rFonts w:hint="eastAsia"/>
          <w:color w:val="auto"/>
        </w:rPr>
        <w:t>②废液未进行单独收集和分类存放，将不相容的、相互作用会发生剧烈反应的化学品混放，易造成剧烈反应放出有毒、易燃气体发生火灾或窒息事故。</w:t>
      </w:r>
    </w:p>
    <w:p w14:paraId="3C5F5973">
      <w:pPr>
        <w:rPr>
          <w:rFonts w:hint="eastAsia"/>
          <w:color w:val="auto"/>
        </w:rPr>
      </w:pPr>
      <w:r>
        <w:rPr>
          <w:rFonts w:hint="eastAsia"/>
          <w:color w:val="auto"/>
        </w:rPr>
        <w:t>③有些试剂会破坏人体免疫系统，造成人体机能失调，使人致畸、致癌、致突变。化学试剂多具易燃性，遇到火源极易起火燃烧，引发火灾。有机溶剂具有较强的挥发性，挥发出来的蒸气可以飘移到较远的地方，如果接触到火种，顺着蒸气燃烧，会导致液体着火。</w:t>
      </w:r>
    </w:p>
    <w:p w14:paraId="77D3BC47">
      <w:pPr>
        <w:rPr>
          <w:rFonts w:hint="eastAsia"/>
          <w:color w:val="auto"/>
        </w:rPr>
      </w:pPr>
      <w:r>
        <w:rPr>
          <w:rFonts w:hint="eastAsia"/>
          <w:color w:val="auto"/>
        </w:rPr>
        <w:t>④废活性炭为可燃物质，若遇明火等，可能导致火灾事故的发生。</w:t>
      </w:r>
    </w:p>
    <w:p w14:paraId="54E4828E">
      <w:pPr>
        <w:rPr>
          <w:rFonts w:hint="eastAsia"/>
          <w:color w:val="auto"/>
        </w:rPr>
      </w:pPr>
      <w:r>
        <w:rPr>
          <w:rFonts w:hint="eastAsia"/>
          <w:color w:val="auto"/>
        </w:rPr>
        <w:t>固废收集暂存应采取的安全风险防范措施：</w:t>
      </w:r>
    </w:p>
    <w:p w14:paraId="6B03762B">
      <w:pPr>
        <w:rPr>
          <w:rFonts w:hint="eastAsia"/>
          <w:color w:val="auto"/>
        </w:rPr>
      </w:pPr>
      <w:r>
        <w:rPr>
          <w:rFonts w:hint="eastAsia"/>
          <w:color w:val="auto"/>
        </w:rPr>
        <w:t>①企业应建立固废安全管理制度，危险废物应妥善收集并及时转移至持有危险废物处置许可证的单位进行处置。危险废物运输过程中应按照有关规范、要求进行包装。</w:t>
      </w:r>
    </w:p>
    <w:p w14:paraId="2468448D">
      <w:pPr>
        <w:rPr>
          <w:rFonts w:hint="eastAsia"/>
          <w:color w:val="auto"/>
        </w:rPr>
      </w:pPr>
      <w:r>
        <w:rPr>
          <w:rFonts w:hint="eastAsia"/>
          <w:color w:val="auto"/>
        </w:rPr>
        <w:t>②本项目危废库必须按规定设置警示标志，并设置专人严格管理；应满足分类暂存，存放在固定的密封容器中，并设置危废标识；危废出入库需建立危废产生、出入库和转移管理。</w:t>
      </w:r>
    </w:p>
    <w:p w14:paraId="6DDD2025">
      <w:pPr>
        <w:rPr>
          <w:rFonts w:hint="eastAsia"/>
          <w:color w:val="auto"/>
        </w:rPr>
      </w:pPr>
      <w:r>
        <w:rPr>
          <w:rFonts w:hint="eastAsia"/>
          <w:color w:val="auto"/>
        </w:rPr>
        <w:t>③危废库产生的废气经管道接入活性炭吸附装置后通过排气筒排入大气。</w:t>
      </w:r>
    </w:p>
    <w:p w14:paraId="18CCFE87">
      <w:pPr>
        <w:rPr>
          <w:rFonts w:hint="eastAsia"/>
          <w:color w:val="auto"/>
        </w:rPr>
      </w:pPr>
      <w:r>
        <w:rPr>
          <w:rFonts w:hint="eastAsia"/>
          <w:color w:val="auto"/>
        </w:rPr>
        <w:t>④本项目危险废物必须按《危险废物贮存污染控制标准》（GB18597-2023）、《危险废物收集、贮存、运输技术规范》（HJ2025-2012）妥善存放，并及时委托有资质单位处置。</w:t>
      </w:r>
    </w:p>
    <w:p w14:paraId="23DF6968">
      <w:pPr>
        <w:pStyle w:val="5"/>
        <w:bidi w:val="0"/>
        <w:rPr>
          <w:rFonts w:hint="eastAsia"/>
          <w:color w:val="auto"/>
          <w:lang w:val="en-US" w:eastAsia="zh-CN"/>
        </w:rPr>
      </w:pPr>
      <w:r>
        <w:rPr>
          <w:rFonts w:hint="eastAsia"/>
          <w:color w:val="auto"/>
          <w:lang w:val="en-US" w:eastAsia="zh-CN"/>
        </w:rPr>
        <w:t>环境治理设施安全风险管控措施</w:t>
      </w:r>
    </w:p>
    <w:p w14:paraId="5C4A24B7">
      <w:pPr>
        <w:rPr>
          <w:rFonts w:hint="eastAsia"/>
          <w:color w:val="auto"/>
        </w:rPr>
      </w:pPr>
      <w:r>
        <w:rPr>
          <w:rFonts w:hint="eastAsia"/>
          <w:color w:val="auto"/>
        </w:rPr>
        <w:t>（1）风险分析和评价结果、应对措施</w:t>
      </w:r>
    </w:p>
    <w:p w14:paraId="017DE49F">
      <w:pPr>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eastAsia="仿宋_GB2312" w:cs="Times New Roman"/>
          <w:b w:val="0"/>
          <w:bCs/>
          <w:color w:val="auto"/>
          <w:kern w:val="2"/>
          <w:sz w:val="28"/>
          <w:szCs w:val="28"/>
          <w:lang w:val="en-US" w:eastAsia="zh-CN"/>
        </w:rPr>
      </w:pPr>
      <w:r>
        <w:rPr>
          <w:rFonts w:hint="eastAsia" w:ascii="Times New Roman" w:eastAsia="仿宋_GB2312" w:cs="Times New Roman"/>
          <w:b w:val="0"/>
          <w:bCs/>
          <w:color w:val="auto"/>
          <w:kern w:val="2"/>
          <w:sz w:val="28"/>
          <w:szCs w:val="28"/>
          <w:lang w:val="en-US" w:eastAsia="zh-CN"/>
        </w:rPr>
        <w:t>企业应根据《关于做好生态环境和应急管理部门联动工作的意见》（苏环办[2020]101号）要求，对VOCs治理设施、污水处理等环境治理设施开展安全风险辨识管控，健全内部污染防治设施稳定运行和管理责任制度，严格依据标准规范建设环境治理设施，确保环境治理设施安全、稳定、有效运行。</w:t>
      </w:r>
    </w:p>
    <w:p w14:paraId="505DA339">
      <w:pPr>
        <w:rPr>
          <w:rFonts w:hint="eastAsia"/>
          <w:color w:val="auto"/>
        </w:rPr>
      </w:pPr>
      <w:r>
        <w:rPr>
          <w:rFonts w:hint="eastAsia" w:ascii="Times New Roman" w:eastAsia="仿宋_GB2312" w:cs="Times New Roman"/>
          <w:b w:val="0"/>
          <w:bCs/>
          <w:color w:val="auto"/>
          <w:kern w:val="2"/>
          <w:sz w:val="28"/>
          <w:szCs w:val="28"/>
          <w:lang w:val="en-US" w:eastAsia="zh-CN"/>
        </w:rPr>
        <w:t>根据《关于进一步加强环保设备设施安全生产工作的通知》（安委办明电〔2022〕17号）要求，企业现已落实第一责任人责任，将环保设备设施安全作为企业安全管理的重要组成部分。本项目必须依法开展安全风险评估，委托有资质的设计单位进行正规设计，在选用污染防治技术时要充分考虑安全因素；按要求设置安全监测监控系统和联锁保护装置，做好安全防范，高度注意防范因生产安全问题而引发的突发性环境事故。对涉环保设备设施（VOCs治理设施、污水处理）相关岗位人员进行操作规程、风险管控、应急处置、典型事故警示等专项安全培训教育。对本项目VOCs治理设施、污水处理治理设施开展环保设备设施安全风险辨识评估，系统排查隐患，依法建立隐患整改台账，明确整改责任人、措施、资金、时限和应急救援预案，及时消除隐患。认真落实相关技术标准规范，严格执行吊装、动火、高处等危险作业审批制度，加强有限空间、检维修作业安全管理，采取有效隔离措施，实施现场安全监护和科学施救。对受委托开展环保设备设施建设、运营和检维修第三方的安全生产工作进行统一协调、管理，定期进行安全检查，发现安全问题的，及时督促整改。</w:t>
      </w:r>
      <w:r>
        <w:rPr>
          <w:rFonts w:hint="eastAsia"/>
          <w:color w:val="auto"/>
        </w:rPr>
        <w:t>。</w:t>
      </w:r>
    </w:p>
    <w:p w14:paraId="478277B3">
      <w:pPr>
        <w:pStyle w:val="3"/>
        <w:bidi w:val="0"/>
        <w:rPr>
          <w:rFonts w:hint="eastAsia"/>
          <w:color w:val="auto"/>
          <w:lang w:val="en-US" w:eastAsia="zh-CN"/>
        </w:rPr>
      </w:pPr>
      <w:bookmarkStart w:id="357" w:name="_Toc157186907"/>
      <w:bookmarkStart w:id="358" w:name="_Toc14650"/>
      <w:bookmarkStart w:id="359" w:name="_Toc24568"/>
      <w:r>
        <w:rPr>
          <w:rFonts w:hint="eastAsia"/>
          <w:color w:val="auto"/>
          <w:lang w:val="en-US" w:eastAsia="zh-CN"/>
        </w:rPr>
        <w:t>生态保护对策措施</w:t>
      </w:r>
      <w:bookmarkEnd w:id="357"/>
      <w:bookmarkEnd w:id="358"/>
      <w:bookmarkEnd w:id="359"/>
    </w:p>
    <w:p w14:paraId="5568C77C">
      <w:pPr>
        <w:rPr>
          <w:rFonts w:hint="eastAsia"/>
          <w:color w:val="auto"/>
        </w:rPr>
      </w:pPr>
      <w:r>
        <w:rPr>
          <w:rFonts w:hint="eastAsia"/>
          <w:color w:val="auto"/>
        </w:rPr>
        <w:t>本项目在现有厂区内进行扩建，施工期不会破坏项目所在地内的植被、景观等，不涉及临时占用土地及水域。本项目对周边生态系统的影响因素主要是“三废”污染物正常以及可能发生的非正常排放造成的影响，影响对象主要是区内空气质量、水环境质量、地下水环境质量、土壤环境质量等。项目正常运行情况下，按照本次评价提出的各项污染防治措施，生态系统功能不会受到本项目影响。</w:t>
      </w:r>
    </w:p>
    <w:p w14:paraId="10401F9E">
      <w:pPr>
        <w:pStyle w:val="2"/>
        <w:rPr>
          <w:color w:val="auto"/>
        </w:rPr>
      </w:pPr>
      <w:bookmarkStart w:id="360" w:name="_Toc18074"/>
      <w:bookmarkStart w:id="361" w:name="_Toc30877"/>
      <w:r>
        <w:rPr>
          <w:rFonts w:hint="eastAsia"/>
          <w:color w:val="auto"/>
        </w:rPr>
        <w:t>环境经济损益分析</w:t>
      </w:r>
      <w:bookmarkEnd w:id="360"/>
      <w:bookmarkEnd w:id="361"/>
    </w:p>
    <w:p w14:paraId="0709A11B">
      <w:pPr>
        <w:pStyle w:val="3"/>
        <w:rPr>
          <w:color w:val="auto"/>
        </w:rPr>
      </w:pPr>
      <w:bookmarkStart w:id="362" w:name="_Toc19494"/>
      <w:bookmarkStart w:id="363" w:name="_Toc32215"/>
      <w:r>
        <w:rPr>
          <w:rFonts w:hint="eastAsia"/>
          <w:color w:val="auto"/>
        </w:rPr>
        <w:t>环境经济损益分析</w:t>
      </w:r>
      <w:bookmarkEnd w:id="362"/>
      <w:bookmarkEnd w:id="363"/>
    </w:p>
    <w:p w14:paraId="462815F8">
      <w:pPr>
        <w:pStyle w:val="4"/>
        <w:bidi w:val="0"/>
        <w:rPr>
          <w:rFonts w:hint="eastAsia"/>
          <w:color w:val="auto"/>
        </w:rPr>
      </w:pPr>
      <w:bookmarkStart w:id="364" w:name="_Toc28930"/>
      <w:bookmarkStart w:id="365" w:name="_Toc25116"/>
      <w:r>
        <w:rPr>
          <w:rFonts w:hint="eastAsia"/>
          <w:color w:val="auto"/>
        </w:rPr>
        <w:t>环保投资及运行费用</w:t>
      </w:r>
      <w:bookmarkEnd w:id="364"/>
      <w:bookmarkEnd w:id="365"/>
    </w:p>
    <w:p w14:paraId="4B8AD258">
      <w:pPr>
        <w:rPr>
          <w:rFonts w:hint="eastAsia"/>
          <w:color w:val="auto"/>
        </w:rPr>
      </w:pPr>
      <w:r>
        <w:rPr>
          <w:rFonts w:hint="eastAsia"/>
          <w:color w:val="auto"/>
        </w:rPr>
        <w:t>根据“三同时”原则，“三废”和噪声治理设施与项目的主体工程同时设计、同时施工、同时运行。本工程涉及环境保护设施主要包括：废水处理设施、废气处理设施、固废委外处理和设备噪声治理中消声、隔声、减振装置等。运行期环保投资还包括上述各项环保设施正常运转的维护费用、维护人员工资等方面及接入污水处理厂缴纳的污水处理费用。</w:t>
      </w:r>
    </w:p>
    <w:p w14:paraId="7CDFD8C0">
      <w:pPr>
        <w:pStyle w:val="4"/>
        <w:bidi w:val="0"/>
        <w:rPr>
          <w:rFonts w:hint="eastAsia"/>
          <w:color w:val="auto"/>
        </w:rPr>
      </w:pPr>
      <w:bookmarkStart w:id="366" w:name="_Toc13025"/>
      <w:bookmarkStart w:id="367" w:name="_Toc29988"/>
      <w:r>
        <w:rPr>
          <w:rFonts w:hint="eastAsia"/>
          <w:color w:val="auto"/>
        </w:rPr>
        <w:t>环保投资的环境-经济效益分析</w:t>
      </w:r>
      <w:bookmarkEnd w:id="366"/>
      <w:bookmarkEnd w:id="367"/>
    </w:p>
    <w:p w14:paraId="37CFE785">
      <w:pPr>
        <w:rPr>
          <w:rFonts w:hint="eastAsia"/>
          <w:color w:val="auto"/>
        </w:rPr>
      </w:pPr>
      <w:r>
        <w:rPr>
          <w:rFonts w:hint="eastAsia"/>
          <w:color w:val="auto"/>
        </w:rPr>
        <w:t>根据污染治理措施评价，项目采取的废水、废气、噪声、固废等污染治理设施，可达到有效控制污染和保护环境的目的。本项目环境效益表现在以下方面：</w:t>
      </w:r>
    </w:p>
    <w:p w14:paraId="3DCF7AE9">
      <w:pPr>
        <w:rPr>
          <w:rFonts w:hint="eastAsia"/>
          <w:color w:val="auto"/>
        </w:rPr>
      </w:pPr>
      <w:r>
        <w:rPr>
          <w:rFonts w:hint="eastAsia"/>
          <w:color w:val="auto"/>
        </w:rPr>
        <w:t>（1）废水治理的环境效益分析</w:t>
      </w:r>
    </w:p>
    <w:p w14:paraId="17713122">
      <w:pPr>
        <w:rPr>
          <w:rFonts w:hint="eastAsia"/>
          <w:color w:val="auto"/>
        </w:rPr>
      </w:pPr>
      <w:r>
        <w:rPr>
          <w:rFonts w:hint="eastAsia"/>
          <w:color w:val="auto"/>
        </w:rPr>
        <w:t>本项目减少项目新鲜水耗用量，不新增废水排放量。</w:t>
      </w:r>
    </w:p>
    <w:p w14:paraId="2DD72918">
      <w:pPr>
        <w:rPr>
          <w:rFonts w:hint="eastAsia"/>
          <w:color w:val="auto"/>
        </w:rPr>
      </w:pPr>
      <w:r>
        <w:rPr>
          <w:rFonts w:hint="eastAsia"/>
          <w:color w:val="auto"/>
        </w:rPr>
        <w:t>（2）废气治理的环境效益分析</w:t>
      </w:r>
    </w:p>
    <w:p w14:paraId="524E143B">
      <w:pPr>
        <w:rPr>
          <w:rFonts w:hint="eastAsia"/>
          <w:color w:val="auto"/>
        </w:rPr>
      </w:pPr>
      <w:r>
        <w:rPr>
          <w:rFonts w:hint="eastAsia"/>
          <w:color w:val="auto"/>
        </w:rPr>
        <w:t>经预测，本项目废气对环境空气质量的影响较小。</w:t>
      </w:r>
    </w:p>
    <w:p w14:paraId="10186382">
      <w:pPr>
        <w:rPr>
          <w:rFonts w:hint="eastAsia"/>
          <w:color w:val="auto"/>
        </w:rPr>
      </w:pPr>
      <w:r>
        <w:rPr>
          <w:rFonts w:hint="eastAsia"/>
          <w:color w:val="auto"/>
        </w:rPr>
        <w:t>（3）噪声治理的环境效益分析</w:t>
      </w:r>
    </w:p>
    <w:p w14:paraId="2948E293">
      <w:pPr>
        <w:rPr>
          <w:rFonts w:hint="eastAsia"/>
          <w:color w:val="auto"/>
        </w:rPr>
      </w:pPr>
      <w:r>
        <w:rPr>
          <w:rFonts w:hint="eastAsia"/>
          <w:color w:val="auto"/>
        </w:rPr>
        <w:t>本项目通过合理布局及采取针对性较强的噪声污染防治措施，如减振、隔声、消声等。这些措施的落实大大减轻了噪声污染，可以确保厂界噪声达标，且对外环境影响较小，能够收到良好的环境效益。</w:t>
      </w:r>
    </w:p>
    <w:p w14:paraId="7B2C6198">
      <w:pPr>
        <w:rPr>
          <w:rFonts w:hint="eastAsia"/>
          <w:color w:val="auto"/>
        </w:rPr>
      </w:pPr>
      <w:r>
        <w:rPr>
          <w:rFonts w:hint="eastAsia"/>
          <w:color w:val="auto"/>
        </w:rPr>
        <w:t>（4）固废治理的环境效益分析</w:t>
      </w:r>
    </w:p>
    <w:p w14:paraId="3E619C4E">
      <w:pPr>
        <w:rPr>
          <w:rFonts w:hint="eastAsia"/>
          <w:color w:val="auto"/>
        </w:rPr>
      </w:pPr>
      <w:r>
        <w:rPr>
          <w:rFonts w:hint="eastAsia"/>
          <w:color w:val="auto"/>
        </w:rPr>
        <w:t>本项目固体废物均能得到妥善处置，不会对周围环境造成影响。</w:t>
      </w:r>
    </w:p>
    <w:p w14:paraId="7B5EB11B">
      <w:pPr>
        <w:pStyle w:val="3"/>
        <w:bidi w:val="0"/>
        <w:rPr>
          <w:rFonts w:hint="eastAsia"/>
          <w:color w:val="auto"/>
        </w:rPr>
      </w:pPr>
      <w:bookmarkStart w:id="368" w:name="_Toc10527"/>
      <w:bookmarkStart w:id="369" w:name="_Toc26999"/>
      <w:r>
        <w:rPr>
          <w:rFonts w:hint="eastAsia"/>
          <w:color w:val="auto"/>
        </w:rPr>
        <w:t>项目社会效益分析</w:t>
      </w:r>
      <w:bookmarkEnd w:id="368"/>
      <w:bookmarkEnd w:id="369"/>
    </w:p>
    <w:p w14:paraId="1490F290">
      <w:pPr>
        <w:rPr>
          <w:rFonts w:hint="eastAsia"/>
          <w:color w:val="auto"/>
        </w:rPr>
      </w:pPr>
      <w:r>
        <w:rPr>
          <w:rFonts w:hint="eastAsia"/>
          <w:color w:val="auto"/>
        </w:rPr>
        <w:t>本项目规划得当、措施具体，充分利用现有的基础与条件，节省投资。因此，本项目的建设具有一定的社会效益。</w:t>
      </w:r>
    </w:p>
    <w:p w14:paraId="178D7F9A">
      <w:pPr>
        <w:rPr>
          <w:color w:val="auto"/>
        </w:rPr>
      </w:pPr>
    </w:p>
    <w:p w14:paraId="2A650699">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0BAD249">
      <w:pPr>
        <w:pStyle w:val="2"/>
        <w:rPr>
          <w:color w:val="auto"/>
        </w:rPr>
      </w:pPr>
      <w:bookmarkStart w:id="370" w:name="_Toc27459"/>
      <w:bookmarkStart w:id="371" w:name="_Toc32104"/>
      <w:r>
        <w:rPr>
          <w:rFonts w:hint="eastAsia"/>
          <w:color w:val="auto"/>
        </w:rPr>
        <w:t>环境管理与环境监测计划</w:t>
      </w:r>
      <w:bookmarkEnd w:id="370"/>
      <w:bookmarkEnd w:id="371"/>
    </w:p>
    <w:p w14:paraId="1A21DE90">
      <w:pPr>
        <w:pStyle w:val="3"/>
        <w:rPr>
          <w:color w:val="auto"/>
          <w:highlight w:val="none"/>
        </w:rPr>
      </w:pPr>
      <w:bookmarkStart w:id="372" w:name="_Toc27885"/>
      <w:bookmarkStart w:id="373" w:name="_Toc17222"/>
      <w:r>
        <w:rPr>
          <w:rFonts w:hint="eastAsia"/>
          <w:color w:val="auto"/>
          <w:highlight w:val="none"/>
        </w:rPr>
        <w:t>污染物排放总量控制分析</w:t>
      </w:r>
      <w:bookmarkEnd w:id="372"/>
      <w:bookmarkEnd w:id="373"/>
    </w:p>
    <w:p w14:paraId="2063FBF4">
      <w:pPr>
        <w:pStyle w:val="4"/>
        <w:rPr>
          <w:color w:val="auto"/>
        </w:rPr>
      </w:pPr>
      <w:bookmarkStart w:id="374" w:name="_Toc11165"/>
      <w:bookmarkStart w:id="375" w:name="_Toc12106"/>
      <w:r>
        <w:rPr>
          <w:rFonts w:hint="eastAsia"/>
          <w:color w:val="auto"/>
        </w:rPr>
        <w:t>总量控制因子</w:t>
      </w:r>
      <w:bookmarkEnd w:id="374"/>
      <w:bookmarkEnd w:id="375"/>
    </w:p>
    <w:p w14:paraId="36C5831D">
      <w:pPr>
        <w:rPr>
          <w:color w:val="auto"/>
        </w:rPr>
      </w:pPr>
      <w:r>
        <w:rPr>
          <w:rFonts w:hint="eastAsia"/>
          <w:color w:val="auto"/>
        </w:rPr>
        <w:t>（1）大气污染物排放总量控制因子</w:t>
      </w:r>
    </w:p>
    <w:p w14:paraId="5243CBF5">
      <w:pPr>
        <w:rPr>
          <w:color w:val="auto"/>
        </w:rPr>
      </w:pPr>
      <w:r>
        <w:rPr>
          <w:rFonts w:hint="eastAsia"/>
          <w:color w:val="auto"/>
          <w:lang w:val="en-US" w:eastAsia="zh-CN"/>
        </w:rPr>
        <w:t>颗粒物</w:t>
      </w:r>
      <w:r>
        <w:rPr>
          <w:rFonts w:hint="eastAsia"/>
          <w:color w:val="auto"/>
          <w:lang w:eastAsia="zh-CN"/>
        </w:rPr>
        <w:t>、</w:t>
      </w:r>
      <w:r>
        <w:rPr>
          <w:rFonts w:hint="eastAsia"/>
          <w:color w:val="auto"/>
        </w:rPr>
        <w:t>VOCs（以非甲烷总烃计）。</w:t>
      </w:r>
    </w:p>
    <w:p w14:paraId="0DF4650D">
      <w:pPr>
        <w:rPr>
          <w:color w:val="auto"/>
        </w:rPr>
      </w:pPr>
      <w:r>
        <w:rPr>
          <w:rFonts w:hint="eastAsia"/>
          <w:color w:val="auto"/>
        </w:rPr>
        <w:t>（2）废水排放总量控制因子</w:t>
      </w:r>
    </w:p>
    <w:p w14:paraId="73D55E8A">
      <w:pPr>
        <w:rPr>
          <w:color w:val="auto"/>
        </w:rPr>
      </w:pPr>
      <w:r>
        <w:rPr>
          <w:rFonts w:hint="eastAsia"/>
          <w:color w:val="auto"/>
        </w:rPr>
        <w:t>COD</w:t>
      </w:r>
      <w:r>
        <w:rPr>
          <w:rFonts w:hint="eastAsia"/>
          <w:color w:val="auto"/>
          <w:lang w:eastAsia="zh-CN"/>
        </w:rPr>
        <w:t>、</w:t>
      </w:r>
      <w:r>
        <w:rPr>
          <w:rFonts w:hint="eastAsia"/>
          <w:color w:val="auto"/>
        </w:rPr>
        <w:t>氨氮</w:t>
      </w:r>
      <w:r>
        <w:rPr>
          <w:rFonts w:hint="eastAsia"/>
          <w:color w:val="auto"/>
          <w:lang w:eastAsia="zh-CN"/>
        </w:rPr>
        <w:t>、</w:t>
      </w:r>
      <w:r>
        <w:rPr>
          <w:rFonts w:hint="eastAsia"/>
          <w:color w:val="auto"/>
        </w:rPr>
        <w:t>总氮</w:t>
      </w:r>
      <w:r>
        <w:rPr>
          <w:rFonts w:hint="eastAsia"/>
          <w:color w:val="auto"/>
          <w:lang w:eastAsia="zh-CN"/>
        </w:rPr>
        <w:t>、</w:t>
      </w:r>
      <w:r>
        <w:rPr>
          <w:rFonts w:hint="eastAsia"/>
          <w:color w:val="auto"/>
        </w:rPr>
        <w:t>总磷。</w:t>
      </w:r>
    </w:p>
    <w:p w14:paraId="5B98C486">
      <w:pPr>
        <w:rPr>
          <w:color w:val="auto"/>
        </w:rPr>
      </w:pPr>
      <w:r>
        <w:rPr>
          <w:rFonts w:hint="eastAsia"/>
          <w:color w:val="auto"/>
        </w:rPr>
        <w:t>（3）固体废物总量控制因子</w:t>
      </w:r>
    </w:p>
    <w:p w14:paraId="0EB83435">
      <w:pPr>
        <w:rPr>
          <w:rStyle w:val="23"/>
          <w:color w:val="auto"/>
          <w:woUserID w:val="0"/>
        </w:rPr>
      </w:pPr>
      <w:r>
        <w:rPr>
          <w:rFonts w:hint="eastAsia"/>
          <w:color w:val="auto"/>
        </w:rPr>
        <w:t>工业固体废物总量。</w:t>
      </w:r>
    </w:p>
    <w:p w14:paraId="055132E9">
      <w:pPr>
        <w:pStyle w:val="4"/>
        <w:rPr>
          <w:color w:val="auto"/>
        </w:rPr>
      </w:pPr>
      <w:bookmarkStart w:id="376" w:name="_Toc31080"/>
      <w:bookmarkStart w:id="377" w:name="_Toc10839"/>
      <w:r>
        <w:rPr>
          <w:rFonts w:hint="eastAsia"/>
          <w:color w:val="auto"/>
        </w:rPr>
        <w:t>总量平衡方案</w:t>
      </w:r>
      <w:bookmarkEnd w:id="376"/>
      <w:bookmarkEnd w:id="377"/>
    </w:p>
    <w:p w14:paraId="171ADADB">
      <w:pPr>
        <w:numPr>
          <w:ilvl w:val="0"/>
          <w:numId w:val="11"/>
        </w:numPr>
        <w:bidi w:val="0"/>
        <w:rPr>
          <w:color w:val="auto"/>
        </w:rPr>
      </w:pPr>
      <w:r>
        <w:rPr>
          <w:rFonts w:hint="eastAsia"/>
          <w:color w:val="auto"/>
        </w:rPr>
        <w:t>水污染物</w:t>
      </w:r>
    </w:p>
    <w:p w14:paraId="7C4ABE99">
      <w:pPr>
        <w:rPr>
          <w:color w:val="auto"/>
        </w:rPr>
      </w:pPr>
      <w:r>
        <w:rPr>
          <w:color w:val="auto"/>
        </w:rPr>
        <w:t>本项目生产废水</w:t>
      </w:r>
      <w:r>
        <w:rPr>
          <w:rFonts w:hint="eastAsia"/>
          <w:color w:val="auto"/>
          <w:lang w:val="en-US" w:eastAsia="zh-CN"/>
        </w:rPr>
        <w:t>不外排，无需申请总量。</w:t>
      </w:r>
    </w:p>
    <w:p w14:paraId="5A7EF8E1">
      <w:pPr>
        <w:numPr>
          <w:ilvl w:val="0"/>
          <w:numId w:val="11"/>
        </w:numPr>
        <w:bidi w:val="0"/>
        <w:rPr>
          <w:color w:val="auto"/>
        </w:rPr>
      </w:pPr>
      <w:r>
        <w:rPr>
          <w:rFonts w:hint="eastAsia"/>
          <w:color w:val="auto"/>
        </w:rPr>
        <w:t>大气污染物</w:t>
      </w:r>
    </w:p>
    <w:p w14:paraId="541EAEF9">
      <w:pPr>
        <w:rPr>
          <w:color w:val="auto"/>
        </w:rPr>
      </w:pPr>
      <w:r>
        <w:rPr>
          <w:rFonts w:hint="eastAsia"/>
          <w:color w:val="auto"/>
        </w:rPr>
        <w:t>本项目废气</w:t>
      </w:r>
      <w:r>
        <w:rPr>
          <w:rFonts w:hint="eastAsia"/>
          <w:color w:val="auto"/>
          <w:lang w:val="en-US" w:eastAsia="zh-CN"/>
        </w:rPr>
        <w:t>总量控制因子</w:t>
      </w:r>
      <w:r>
        <w:rPr>
          <w:rFonts w:hint="eastAsia"/>
          <w:color w:val="auto"/>
        </w:rPr>
        <w:t>为VOCs</w:t>
      </w:r>
      <w:r>
        <w:rPr>
          <w:rFonts w:hint="eastAsia"/>
          <w:color w:val="auto"/>
          <w:lang w:eastAsia="zh-CN"/>
        </w:rPr>
        <w:t>、</w:t>
      </w:r>
      <w:r>
        <w:rPr>
          <w:rFonts w:hint="eastAsia"/>
          <w:color w:val="auto"/>
          <w:lang w:val="en-US" w:eastAsia="zh-CN"/>
        </w:rPr>
        <w:t>颗粒物</w:t>
      </w:r>
      <w:r>
        <w:rPr>
          <w:rFonts w:hint="eastAsia"/>
          <w:color w:val="auto"/>
          <w:lang w:eastAsia="zh-CN"/>
        </w:rPr>
        <w:t>，</w:t>
      </w:r>
      <w:r>
        <w:rPr>
          <w:rFonts w:hint="eastAsia"/>
          <w:color w:val="auto"/>
        </w:rPr>
        <w:t>在当地地方减排计划中平衡。</w:t>
      </w:r>
    </w:p>
    <w:p w14:paraId="1EB5BE78">
      <w:pPr>
        <w:pStyle w:val="3"/>
        <w:rPr>
          <w:color w:val="auto"/>
        </w:rPr>
      </w:pPr>
      <w:bookmarkStart w:id="378" w:name="_Toc27231"/>
      <w:bookmarkStart w:id="379" w:name="_Toc21525"/>
      <w:r>
        <w:rPr>
          <w:rFonts w:hint="eastAsia"/>
          <w:color w:val="auto"/>
        </w:rPr>
        <w:t>环境管理</w:t>
      </w:r>
      <w:bookmarkEnd w:id="378"/>
      <w:bookmarkEnd w:id="379"/>
    </w:p>
    <w:p w14:paraId="3D58CD1F">
      <w:pPr>
        <w:pStyle w:val="4"/>
        <w:rPr>
          <w:color w:val="auto"/>
        </w:rPr>
      </w:pPr>
      <w:bookmarkStart w:id="380" w:name="_Toc29011"/>
      <w:bookmarkStart w:id="381" w:name="_Toc15768"/>
      <w:r>
        <w:rPr>
          <w:rFonts w:hint="eastAsia"/>
          <w:color w:val="auto"/>
        </w:rPr>
        <w:t>环境管理机构的设置</w:t>
      </w:r>
      <w:bookmarkEnd w:id="380"/>
      <w:bookmarkEnd w:id="381"/>
    </w:p>
    <w:p w14:paraId="12C1FBB3">
      <w:pPr>
        <w:rPr>
          <w:color w:val="auto"/>
        </w:rPr>
      </w:pPr>
      <w:r>
        <w:rPr>
          <w:rFonts w:hint="eastAsia"/>
          <w:color w:val="auto"/>
        </w:rPr>
        <w:t>公司应高度重视环境保护工作，减轻本项目外排污染物对环境的影响，并设专职环保人员1名，负责环保设施运行、设备保护维修、环境监督管理等工作，保证环保设施的正常运行。</w:t>
      </w:r>
    </w:p>
    <w:p w14:paraId="36E1C8E9">
      <w:pPr>
        <w:rPr>
          <w:color w:val="auto"/>
        </w:rPr>
      </w:pPr>
      <w:r>
        <w:rPr>
          <w:rFonts w:hint="eastAsia"/>
          <w:color w:val="auto"/>
        </w:rPr>
        <w:t>环境管理机构职责如下：</w:t>
      </w:r>
    </w:p>
    <w:p w14:paraId="0EE5660B">
      <w:pPr>
        <w:rPr>
          <w:color w:val="auto"/>
        </w:rPr>
      </w:pPr>
      <w:r>
        <w:rPr>
          <w:rFonts w:hint="eastAsia"/>
          <w:color w:val="auto"/>
        </w:rPr>
        <w:t>（1）保持与生态环境主管部门的密切联系，及时了解国家、地方有关环境保护的法律、法规和其他要求，及时向生态环境主管部门反映与项目有关的污染因素、存在的环境问题、采取的污染控制对策等环境保护方面的内容，听取生态环境主管部门的批示意见。</w:t>
      </w:r>
    </w:p>
    <w:p w14:paraId="11886DD8">
      <w:pPr>
        <w:rPr>
          <w:color w:val="auto"/>
        </w:rPr>
      </w:pPr>
      <w:r>
        <w:rPr>
          <w:rFonts w:hint="eastAsia"/>
          <w:color w:val="auto"/>
        </w:rPr>
        <w:t>（2）及时将国家、地方环境保护有关的法律、法规和规定向单位负责人汇报，及时向本单位有关部门、人员通报，组织职工进行环境保护方面的教育、培训，提高环保意识。</w:t>
      </w:r>
    </w:p>
    <w:p w14:paraId="39EAB3A3">
      <w:pPr>
        <w:rPr>
          <w:color w:val="auto"/>
        </w:rPr>
      </w:pPr>
      <w:r>
        <w:rPr>
          <w:rFonts w:hint="eastAsia"/>
          <w:color w:val="auto"/>
        </w:rPr>
        <w:t>（3）及时向单位负责人汇报与本项目有关的污染因素、存在的环境问题、采取的污染控制对策、实施情况等，提出改进建议。</w:t>
      </w:r>
    </w:p>
    <w:p w14:paraId="7BFA4895">
      <w:pPr>
        <w:rPr>
          <w:color w:val="auto"/>
        </w:rPr>
      </w:pPr>
      <w:r>
        <w:rPr>
          <w:rFonts w:hint="eastAsia"/>
          <w:color w:val="auto"/>
        </w:rPr>
        <w:t>（4）负责制定、监督实施本单位的有关环境保护管理规章制度，负责实施污染控制措施、管理污染治理措施，并进行详细的记录，做好环境统计，监测报表、污染源等基本工作，以备检查。</w:t>
      </w:r>
    </w:p>
    <w:p w14:paraId="4BBF6A33">
      <w:pPr>
        <w:rPr>
          <w:color w:val="auto"/>
        </w:rPr>
      </w:pPr>
      <w:r>
        <w:rPr>
          <w:rFonts w:hint="eastAsia"/>
          <w:color w:val="auto"/>
        </w:rPr>
        <w:t>（5）负责组织突发性污染事故的应急处置和善后处理，追查事故原因及事故隐患，总结经验教训，并根据有关规章制度对事故责任人做出妥善处理。</w:t>
      </w:r>
    </w:p>
    <w:p w14:paraId="0959F9ED">
      <w:pPr>
        <w:rPr>
          <w:color w:val="auto"/>
        </w:rPr>
      </w:pPr>
      <w:r>
        <w:rPr>
          <w:rFonts w:hint="eastAsia"/>
          <w:color w:val="auto"/>
        </w:rPr>
        <w:t>（6）负责与周边群众、企业及其他社会各界单位有关环保问题的协调工作。</w:t>
      </w:r>
    </w:p>
    <w:p w14:paraId="5BD5B2F1">
      <w:pPr>
        <w:pStyle w:val="4"/>
        <w:rPr>
          <w:color w:val="auto"/>
        </w:rPr>
      </w:pPr>
      <w:bookmarkStart w:id="382" w:name="_Toc974"/>
      <w:bookmarkStart w:id="383" w:name="_Toc26255"/>
      <w:r>
        <w:rPr>
          <w:rFonts w:hint="eastAsia"/>
          <w:color w:val="auto"/>
        </w:rPr>
        <w:t>环境管理计划</w:t>
      </w:r>
      <w:bookmarkEnd w:id="382"/>
      <w:bookmarkEnd w:id="383"/>
    </w:p>
    <w:p w14:paraId="303EAA15">
      <w:pPr>
        <w:pStyle w:val="5"/>
        <w:ind w:firstLine="301"/>
        <w:rPr>
          <w:color w:val="auto"/>
        </w:rPr>
      </w:pPr>
      <w:r>
        <w:rPr>
          <w:rFonts w:hint="eastAsia"/>
          <w:color w:val="auto"/>
        </w:rPr>
        <w:t>施工期环境管理</w:t>
      </w:r>
    </w:p>
    <w:p w14:paraId="6F0FBBFF">
      <w:pPr>
        <w:rPr>
          <w:color w:val="auto"/>
        </w:rPr>
      </w:pPr>
      <w:r>
        <w:rPr>
          <w:rFonts w:hint="eastAsia"/>
          <w:color w:val="auto"/>
        </w:rPr>
        <w:t>①工程项目的施工承包合同中，应包括环境保护的条款。其中应包括施工中在环境污染预防和治理方面对承包的具体要求，如施工噪声污染，废水、扬尘和废气等排放治理，施工垃圾处理处置等内容。</w:t>
      </w:r>
    </w:p>
    <w:p w14:paraId="49AC13B5">
      <w:pPr>
        <w:rPr>
          <w:color w:val="auto"/>
        </w:rPr>
      </w:pPr>
      <w:r>
        <w:rPr>
          <w:rFonts w:hint="eastAsia"/>
          <w:color w:val="auto"/>
        </w:rPr>
        <w:t>②建设单位应设置兼职环保员参加施工场地的环境监测和环境管理工作。</w:t>
      </w:r>
    </w:p>
    <w:p w14:paraId="697CDA26">
      <w:pPr>
        <w:rPr>
          <w:color w:val="auto"/>
        </w:rPr>
      </w:pPr>
      <w:r>
        <w:rPr>
          <w:rFonts w:hint="eastAsia"/>
          <w:color w:val="auto"/>
        </w:rPr>
        <w:t>③加强对施工人员的环境保护宣传教育，增强施工人员环境保护和劳动安全意识，杜绝人为引发环境污染事件的发生。</w:t>
      </w:r>
    </w:p>
    <w:p w14:paraId="75C9C402">
      <w:pPr>
        <w:rPr>
          <w:color w:val="auto"/>
        </w:rPr>
      </w:pPr>
      <w:r>
        <w:rPr>
          <w:rFonts w:hint="eastAsia"/>
          <w:color w:val="auto"/>
        </w:rPr>
        <w:t>④定时检查施工现场污水排放情况和施工机械和噪声水平，以便及时采取措施，减少环境污染。</w:t>
      </w:r>
    </w:p>
    <w:p w14:paraId="5871899F">
      <w:pPr>
        <w:pStyle w:val="5"/>
        <w:ind w:firstLine="301"/>
        <w:rPr>
          <w:color w:val="auto"/>
        </w:rPr>
      </w:pPr>
      <w:r>
        <w:rPr>
          <w:rFonts w:hint="eastAsia"/>
          <w:color w:val="auto"/>
        </w:rPr>
        <w:t>运行期环境管理</w:t>
      </w:r>
    </w:p>
    <w:p w14:paraId="16B96D35">
      <w:pPr>
        <w:rPr>
          <w:color w:val="auto"/>
        </w:rPr>
      </w:pPr>
      <w:r>
        <w:rPr>
          <w:color w:val="auto"/>
        </w:rPr>
        <w:t>项目建成后，应按</w:t>
      </w:r>
      <w:r>
        <w:rPr>
          <w:rFonts w:hint="eastAsia"/>
          <w:color w:val="auto"/>
        </w:rPr>
        <w:t>生态环境主管部门</w:t>
      </w:r>
      <w:r>
        <w:rPr>
          <w:color w:val="auto"/>
        </w:rPr>
        <w:t>的</w:t>
      </w:r>
      <w:r>
        <w:rPr>
          <w:rFonts w:hint="eastAsia"/>
          <w:color w:val="auto"/>
        </w:rPr>
        <w:t>相关</w:t>
      </w:r>
      <w:r>
        <w:rPr>
          <w:color w:val="auto"/>
        </w:rPr>
        <w:t>要求加强对企业的环境管理，要建立健全企业的环保监督、管理制度。</w:t>
      </w:r>
    </w:p>
    <w:p w14:paraId="629F58ED">
      <w:pPr>
        <w:numPr>
          <w:ilvl w:val="0"/>
          <w:numId w:val="12"/>
        </w:numPr>
        <w:bidi w:val="0"/>
        <w:rPr>
          <w:color w:val="auto"/>
        </w:rPr>
      </w:pPr>
      <w:r>
        <w:rPr>
          <w:color w:val="auto"/>
        </w:rPr>
        <w:t>环保管理制度</w:t>
      </w:r>
    </w:p>
    <w:p w14:paraId="162371AA">
      <w:pPr>
        <w:rPr>
          <w:color w:val="auto"/>
        </w:rPr>
      </w:pPr>
      <w:r>
        <w:rPr>
          <w:rFonts w:hint="eastAsia"/>
          <w:color w:val="auto"/>
        </w:rPr>
        <w:t>企业应建立健全环境管理制度体系，将环保工作纳入考核体系，确保在日常运行中将环保目标落实到实处，具体包括</w:t>
      </w:r>
    </w:p>
    <w:p w14:paraId="68CC3A02">
      <w:pPr>
        <w:rPr>
          <w:color w:val="auto"/>
        </w:rPr>
      </w:pPr>
      <w:r>
        <w:rPr>
          <w:rFonts w:hint="eastAsia"/>
          <w:color w:val="auto"/>
        </w:rPr>
        <w:t>①“三同时”制度</w:t>
      </w:r>
    </w:p>
    <w:p w14:paraId="7DDA41DA">
      <w:pPr>
        <w:rPr>
          <w:color w:val="auto"/>
        </w:rPr>
      </w:pPr>
      <w:r>
        <w:rPr>
          <w:rFonts w:hint="eastAsia"/>
          <w:color w:val="auto"/>
        </w:rPr>
        <w:t>根据《建设项目环境保护管理条例》，建设项目需要配套建设的环境保护设施，必须与主体工程同时设计、同时施工、同时投产使用。项目竣工后，建设单位应当按照生态环境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本项目配套建设的环境保护设施经验收合格后，方可投入生产或者使用。</w:t>
      </w:r>
    </w:p>
    <w:p w14:paraId="391D5450">
      <w:pPr>
        <w:rPr>
          <w:color w:val="auto"/>
        </w:rPr>
      </w:pPr>
      <w:r>
        <w:rPr>
          <w:rFonts w:hint="eastAsia"/>
          <w:color w:val="auto"/>
        </w:rPr>
        <w:t>②排污许可证制度</w:t>
      </w:r>
    </w:p>
    <w:p w14:paraId="35384E51">
      <w:pPr>
        <w:rPr>
          <w:color w:val="auto"/>
        </w:rPr>
      </w:pPr>
      <w:r>
        <w:rPr>
          <w:rFonts w:hint="eastAsia"/>
          <w:color w:val="auto"/>
        </w:rPr>
        <w:t>本项目应当在取得环境影响评价审批意见后，并在启动生产设施或者在实际排污之前申请并取得排污许可证。排污许可证中明确许可排放的污染物种类、浓度、排放量、排放去向等事项，载明污染治理设施、环境管理要求等相关内容。排污许可证作为生产运营期排污行为的唯一行政许可，建设单位应持证排污，并按照排污许可证的规定排放污染物，不得无证和不按证排污。</w:t>
      </w:r>
    </w:p>
    <w:p w14:paraId="4C213751">
      <w:pPr>
        <w:rPr>
          <w:color w:val="auto"/>
        </w:rPr>
      </w:pPr>
      <w:r>
        <w:rPr>
          <w:rFonts w:hint="eastAsia"/>
          <w:color w:val="auto"/>
        </w:rPr>
        <w:t>③报告制度</w:t>
      </w:r>
    </w:p>
    <w:p w14:paraId="3153F99D">
      <w:pPr>
        <w:rPr>
          <w:color w:val="auto"/>
        </w:rPr>
      </w:pPr>
      <w:r>
        <w:rPr>
          <w:rFonts w:hint="eastAsia"/>
          <w:color w:val="auto"/>
        </w:rPr>
        <w:t>凡实施排污许可证制度的排污单位，应根据主管部门要求定期上报排污许可证执行报告，执行报告内容主要为排污许可证执行情况、污染治理设施的运行情况、污染物排放情况以及污染事故或污染纠纷等，具体应按生态环境主管部门相关要求实施。</w:t>
      </w:r>
    </w:p>
    <w:p w14:paraId="7D9BD80B">
      <w:pPr>
        <w:rPr>
          <w:color w:val="auto"/>
        </w:rPr>
      </w:pPr>
      <w:r>
        <w:rPr>
          <w:rFonts w:hint="eastAsia"/>
          <w:color w:val="auto"/>
        </w:rPr>
        <w:t>若企业后期排污发生重大变化、污染治理设施改变或企业改、扩建等都必须向当地生态环境主管部门申报，改、扩建项目，必须按《建设项目环境保护管理条例》的要求，报请有审批权限的生态环境主管部门审批。</w:t>
      </w:r>
    </w:p>
    <w:p w14:paraId="5EBC204B">
      <w:pPr>
        <w:rPr>
          <w:color w:val="auto"/>
        </w:rPr>
      </w:pPr>
      <w:r>
        <w:rPr>
          <w:rFonts w:hint="eastAsia"/>
          <w:color w:val="auto"/>
        </w:rPr>
        <w:t>④</w:t>
      </w:r>
      <w:r>
        <w:rPr>
          <w:color w:val="auto"/>
        </w:rPr>
        <w:t>污染治理设施的管理、监控制度</w:t>
      </w:r>
    </w:p>
    <w:p w14:paraId="722FD8A6">
      <w:pPr>
        <w:rPr>
          <w:color w:val="auto"/>
        </w:rPr>
      </w:pPr>
      <w:r>
        <w:rPr>
          <w:color w:val="auto"/>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化学药品和其他原辅材料。同时要建立岗位责任制、制定操作规程、建立</w:t>
      </w:r>
      <w:r>
        <w:rPr>
          <w:rFonts w:hint="eastAsia"/>
          <w:color w:val="auto"/>
          <w:lang w:eastAsia="zh-CN"/>
        </w:rPr>
        <w:t>管理台账</w:t>
      </w:r>
      <w:r>
        <w:rPr>
          <w:color w:val="auto"/>
        </w:rPr>
        <w:t>。</w:t>
      </w:r>
    </w:p>
    <w:p w14:paraId="30975EBA">
      <w:pPr>
        <w:rPr>
          <w:color w:val="auto"/>
        </w:rPr>
      </w:pPr>
      <w:r>
        <w:rPr>
          <w:rFonts w:hint="eastAsia"/>
          <w:color w:val="auto"/>
        </w:rPr>
        <w:t>⑤奖惩</w:t>
      </w:r>
      <w:r>
        <w:rPr>
          <w:color w:val="auto"/>
        </w:rPr>
        <w:t>制度</w:t>
      </w:r>
    </w:p>
    <w:p w14:paraId="3A19DA51">
      <w:pPr>
        <w:rPr>
          <w:color w:val="auto"/>
        </w:rPr>
      </w:pPr>
      <w:r>
        <w:rPr>
          <w:rFonts w:hint="eastAsia"/>
          <w:color w:val="auto"/>
        </w:rPr>
        <w:t>企业应加强宣传教育，提高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r>
        <w:rPr>
          <w:color w:val="auto"/>
        </w:rPr>
        <w:t>。</w:t>
      </w:r>
    </w:p>
    <w:p w14:paraId="0CD9199D">
      <w:pPr>
        <w:rPr>
          <w:color w:val="auto"/>
        </w:rPr>
      </w:pPr>
      <w:r>
        <w:rPr>
          <w:rFonts w:hint="eastAsia"/>
          <w:color w:val="auto"/>
        </w:rPr>
        <w:t>⑥信息公开制度</w:t>
      </w:r>
    </w:p>
    <w:p w14:paraId="7FB85ABF">
      <w:pPr>
        <w:rPr>
          <w:color w:val="auto"/>
        </w:rPr>
      </w:pPr>
      <w:r>
        <w:rPr>
          <w:rFonts w:hint="eastAsia"/>
          <w:color w:val="auto"/>
        </w:rPr>
        <w:t>企业应当建立健全环境信息依法披露管理制度，规范工作规程，明确工作职责，建立准确的环境信息管理台账，妥善保存相关原始记录，科学统计归集相关环境信息，具体包括企业基本信息、企业环境管理信息、污染物产生、治理与排放信息、碳排放信息、生态环境应急信息、生态环境违法信息、临时环境信息依法披露情况及法律法规规定的其他环境信息，信息公开内容及方式按照《企业环境信息依法披露管理办法》执行。</w:t>
      </w:r>
    </w:p>
    <w:p w14:paraId="5E7E52DC">
      <w:pPr>
        <w:rPr>
          <w:color w:val="auto"/>
        </w:rPr>
      </w:pPr>
      <w:r>
        <w:rPr>
          <w:rFonts w:hint="eastAsia"/>
          <w:color w:val="auto"/>
        </w:rPr>
        <w:t>⑦环境保护责任制度</w:t>
      </w:r>
    </w:p>
    <w:p w14:paraId="2F3DBD55">
      <w:pPr>
        <w:rPr>
          <w:color w:val="auto"/>
        </w:rPr>
      </w:pPr>
      <w:r>
        <w:rPr>
          <w:rFonts w:hint="eastAsia"/>
          <w:color w:val="auto"/>
        </w:rPr>
        <w:t>企业应建立环境保护责任制度，明确负责人和相关人员的环境保护责任，并依法进行信息公开，不断提高污染治理和环境管理水平，自觉接受监督检查。</w:t>
      </w:r>
    </w:p>
    <w:p w14:paraId="6E951F92">
      <w:pPr>
        <w:rPr>
          <w:color w:val="auto"/>
        </w:rPr>
      </w:pPr>
      <w:r>
        <w:rPr>
          <w:rFonts w:hint="eastAsia"/>
          <w:color w:val="auto"/>
        </w:rPr>
        <w:t>⑧危险废物管理制度</w:t>
      </w:r>
    </w:p>
    <w:p w14:paraId="69E91EFF">
      <w:pPr>
        <w:rPr>
          <w:color w:val="auto"/>
        </w:rPr>
      </w:pPr>
      <w:r>
        <w:rPr>
          <w:rFonts w:hint="eastAsia"/>
          <w:color w:val="auto"/>
        </w:rPr>
        <w:t>企业的法人及全体员工应认真学习并严格执行《中华人民共和国固体废物污染环境防治法》、危险废物贮存污染控制标准》（</w:t>
      </w:r>
      <w:r>
        <w:rPr>
          <w:rFonts w:cs="Times New Roman"/>
          <w:color w:val="auto"/>
        </w:rPr>
        <w:t>GB18597-2023</w:t>
      </w:r>
      <w:r>
        <w:rPr>
          <w:rFonts w:hint="eastAsia"/>
          <w:color w:val="auto"/>
        </w:rPr>
        <w:t>）、《危险废物收集、贮存、运输技术规范》（</w:t>
      </w:r>
      <w:r>
        <w:rPr>
          <w:rFonts w:cs="Times New Roman"/>
          <w:color w:val="auto"/>
        </w:rPr>
        <w:t>HJ2025-2012</w:t>
      </w:r>
      <w:r>
        <w:rPr>
          <w:rFonts w:hint="eastAsia"/>
          <w:color w:val="auto"/>
        </w:rPr>
        <w:t>）等有关规定。</w:t>
      </w:r>
    </w:p>
    <w:p w14:paraId="2F56F953">
      <w:pPr>
        <w:rPr>
          <w:color w:val="auto"/>
        </w:rPr>
      </w:pPr>
      <w:r>
        <w:rPr>
          <w:rFonts w:hint="eastAsia"/>
          <w:color w:val="auto"/>
        </w:rPr>
        <w:t>根据工程分析可知，作为工业危险废物产生单位，企业需按照《危险废物规范化管理指标体系》要求建立危险废物环境管理体系，主要包括危险废物识别标志设置情况，危险废物管理计划制定情况，危险废物申报登记、转移联单、经营许可、应急预案备案等管理制度执行情况，贮存、利用、处置危险废物是否符合相关标准规范等情况等。</w:t>
      </w:r>
    </w:p>
    <w:p w14:paraId="36A7B314">
      <w:pPr>
        <w:rPr>
          <w:color w:val="auto"/>
        </w:rPr>
      </w:pPr>
      <w:r>
        <w:rPr>
          <w:rFonts w:hint="eastAsia"/>
          <w:color w:val="auto"/>
        </w:rPr>
        <w:t>危险废物贮存及转运应按照《危险废物贮存污染控制标准》（</w:t>
      </w:r>
      <w:r>
        <w:rPr>
          <w:rFonts w:cs="Times New Roman"/>
          <w:color w:val="auto"/>
        </w:rPr>
        <w:t>GB18597-2023</w:t>
      </w:r>
      <w:r>
        <w:rPr>
          <w:rFonts w:hint="eastAsia"/>
          <w:color w:val="auto"/>
        </w:rPr>
        <w:t>）、《危险废物收集、贮存、运输技术规范》（</w:t>
      </w:r>
      <w:r>
        <w:rPr>
          <w:rFonts w:cs="Times New Roman"/>
          <w:color w:val="auto"/>
        </w:rPr>
        <w:t>HJ2025-2012</w:t>
      </w:r>
      <w:r>
        <w:rPr>
          <w:rFonts w:hint="eastAsia"/>
          <w:color w:val="auto"/>
        </w:rPr>
        <w:t>）相关标准要求执行，做到专库专用，分区分类贮存各类危险废物。</w:t>
      </w:r>
    </w:p>
    <w:p w14:paraId="5A8DDC82">
      <w:pPr>
        <w:rPr>
          <w:color w:val="auto"/>
        </w:rPr>
      </w:pPr>
      <w:r>
        <w:rPr>
          <w:rFonts w:hint="eastAsia"/>
          <w:color w:val="auto"/>
        </w:rPr>
        <w:t>⑨环境监测制度</w:t>
      </w:r>
    </w:p>
    <w:p w14:paraId="0F5143B1">
      <w:pPr>
        <w:rPr>
          <w:color w:val="auto"/>
        </w:rPr>
      </w:pPr>
      <w:r>
        <w:rPr>
          <w:color w:val="auto"/>
        </w:rPr>
        <w:t>企业应依法开展自行监测，制定监测计划，妥善保存原始记录，建立准确完整的环境管理台账。</w:t>
      </w:r>
    </w:p>
    <w:p w14:paraId="3B9E9652">
      <w:pPr>
        <w:rPr>
          <w:color w:val="auto"/>
        </w:rPr>
      </w:pPr>
      <w:r>
        <w:rPr>
          <w:color w:val="auto"/>
        </w:rPr>
        <w:t>企业应建立自行监测质量管理制度，按照相关技术规范要求做好监测质量保证与质量控制，并应做好与监测相关的数据记录，按照规定进行保存，并依据相关法规向社会公开监测结果</w:t>
      </w:r>
      <w:r>
        <w:rPr>
          <w:rFonts w:hint="eastAsia"/>
          <w:color w:val="auto"/>
        </w:rPr>
        <w:t>。</w:t>
      </w:r>
    </w:p>
    <w:p w14:paraId="4DF9AA65">
      <w:pPr>
        <w:rPr>
          <w:color w:val="auto"/>
        </w:rPr>
      </w:pPr>
      <w:r>
        <w:rPr>
          <w:rFonts w:hint="eastAsia"/>
          <w:color w:val="auto"/>
        </w:rPr>
        <w:t>⑩应急管理制度</w:t>
      </w:r>
    </w:p>
    <w:p w14:paraId="7E0AC007">
      <w:pPr>
        <w:rPr>
          <w:color w:val="auto"/>
        </w:rPr>
      </w:pPr>
      <w:r>
        <w:rPr>
          <w:rFonts w:hint="eastAsia"/>
          <w:color w:val="auto"/>
        </w:rPr>
        <w:t>企业应当在本项目验收之前按规范编制“突发环境事件应急预案”，并报生态环境部门进行备案。针对工程的特点以及可能出现的风险，首先需要采取有针对性的预防措施，避免环境风险事故发生。各种预防措施必须建立责任制，落实到部门和个人。一旦发生环境污染事故，按应急预案采取措施，控制污染源，使污染程度和范围减至最小。</w:t>
      </w:r>
    </w:p>
    <w:p w14:paraId="7D75B67D">
      <w:pPr>
        <w:rPr>
          <w:color w:val="auto"/>
        </w:rPr>
      </w:pPr>
      <w:r>
        <w:rPr>
          <w:color w:val="auto"/>
        </w:rPr>
        <w:t>（2）环境管理要求</w:t>
      </w:r>
    </w:p>
    <w:p w14:paraId="27E6D39F">
      <w:pPr>
        <w:rPr>
          <w:color w:val="auto"/>
        </w:rPr>
      </w:pPr>
      <w:r>
        <w:rPr>
          <w:color w:val="auto"/>
        </w:rPr>
        <w:t>运行期环境管理要求如下：</w:t>
      </w:r>
    </w:p>
    <w:p w14:paraId="5D513820">
      <w:pPr>
        <w:rPr>
          <w:color w:val="auto"/>
        </w:rPr>
      </w:pPr>
      <w:r>
        <w:rPr>
          <w:rFonts w:hint="eastAsia"/>
          <w:color w:val="auto"/>
        </w:rPr>
        <w:t>①</w:t>
      </w:r>
      <w:r>
        <w:rPr>
          <w:color w:val="auto"/>
        </w:rPr>
        <w:t>加强固体废物在厂内</w:t>
      </w:r>
      <w:r>
        <w:rPr>
          <w:rFonts w:hint="eastAsia"/>
          <w:color w:val="auto"/>
        </w:rPr>
        <w:t>贮存</w:t>
      </w:r>
      <w:r>
        <w:rPr>
          <w:color w:val="auto"/>
        </w:rPr>
        <w:t>期间的环境管理；加强对危险废物的收集、储存、运输等措施的管理。危险废物</w:t>
      </w:r>
      <w:r>
        <w:rPr>
          <w:rFonts w:hint="eastAsia"/>
          <w:color w:val="auto"/>
        </w:rPr>
        <w:t>贮存及转运应按照《危险废物贮存污染控制标准》（</w:t>
      </w:r>
      <w:r>
        <w:rPr>
          <w:color w:val="auto"/>
        </w:rPr>
        <w:t>GB18597-2023</w:t>
      </w:r>
      <w:r>
        <w:rPr>
          <w:rFonts w:hint="eastAsia"/>
          <w:color w:val="auto"/>
        </w:rPr>
        <w:t>）、《危险废物收集、贮存、运输技术规范》（</w:t>
      </w:r>
      <w:r>
        <w:rPr>
          <w:color w:val="auto"/>
        </w:rPr>
        <w:t>HJ2025-2012</w:t>
      </w:r>
      <w:r>
        <w:rPr>
          <w:rFonts w:hint="eastAsia"/>
          <w:color w:val="auto"/>
        </w:rPr>
        <w:t>）相关标准要求执行。</w:t>
      </w:r>
    </w:p>
    <w:p w14:paraId="0FE31AC4">
      <w:pPr>
        <w:rPr>
          <w:color w:val="auto"/>
        </w:rPr>
      </w:pPr>
      <w:r>
        <w:rPr>
          <w:rFonts w:hint="eastAsia"/>
          <w:color w:val="auto"/>
        </w:rPr>
        <w:t>②</w:t>
      </w:r>
      <w:r>
        <w:rPr>
          <w:color w:val="auto"/>
        </w:rPr>
        <w:t>加强管道、设备的保养和维护。必要</w:t>
      </w:r>
      <w:r>
        <w:rPr>
          <w:rFonts w:hint="eastAsia"/>
          <w:color w:val="auto"/>
        </w:rPr>
        <w:t>时</w:t>
      </w:r>
      <w:r>
        <w:rPr>
          <w:color w:val="auto"/>
        </w:rPr>
        <w:t>安装用水监测仪表，减少跑、冒、滴、漏。</w:t>
      </w:r>
    </w:p>
    <w:p w14:paraId="16867D57">
      <w:pPr>
        <w:rPr>
          <w:color w:val="auto"/>
        </w:rPr>
      </w:pPr>
      <w:r>
        <w:rPr>
          <w:rFonts w:hint="eastAsia"/>
          <w:color w:val="auto"/>
        </w:rPr>
        <w:t>③</w:t>
      </w:r>
      <w:r>
        <w:rPr>
          <w:color w:val="auto"/>
        </w:rPr>
        <w:t>加强项目的环境管理和环境监测。设专职环境管理人员，按报告书的要求认真落实环境监测计划；各排污口的设置和管理应按《江苏省排污口设置及规范化整治管理办法》的有关规定执行。</w:t>
      </w:r>
    </w:p>
    <w:p w14:paraId="4083258F">
      <w:pPr>
        <w:rPr>
          <w:color w:val="auto"/>
        </w:rPr>
      </w:pPr>
      <w:r>
        <w:rPr>
          <w:rFonts w:hint="eastAsia"/>
          <w:color w:val="auto"/>
        </w:rPr>
        <w:t>④</w:t>
      </w:r>
      <w:r>
        <w:rPr>
          <w:color w:val="auto"/>
        </w:rPr>
        <w:t>加强全厂职工的安全生产和环境保护知识的教育。配备必要的环境管理专职人员，落实、检查环保设施的运行状况，配合当地环保部门做好本厂的环境管理、验收、监督和检查工作</w:t>
      </w:r>
      <w:r>
        <w:rPr>
          <w:rFonts w:hint="eastAsia"/>
          <w:color w:val="auto"/>
        </w:rPr>
        <w:t>。</w:t>
      </w:r>
    </w:p>
    <w:p w14:paraId="0244A636">
      <w:pPr>
        <w:rPr>
          <w:color w:val="auto"/>
        </w:rPr>
      </w:pPr>
      <w:r>
        <w:rPr>
          <w:rFonts w:hint="eastAsia" w:ascii="仿宋_GB2312" w:hAnsi="仿宋_GB2312" w:cs="仿宋_GB2312"/>
          <w:color w:val="auto"/>
        </w:rPr>
        <w:t>⑤</w:t>
      </w:r>
      <w:r>
        <w:rPr>
          <w:rFonts w:hint="eastAsia"/>
          <w:color w:val="auto"/>
        </w:rPr>
        <w:t>加强对原料仓库存放的农药原辅材料的安全及环境风险管控，贮存场所应上锁储存，仓库内外设置监控，进出库农药原辅料及产品均张贴标签并进行台账记录。物料转运处、贮存场所、使用场所等均配备应急防护物资。</w:t>
      </w:r>
    </w:p>
    <w:p w14:paraId="1EA90F21">
      <w:pPr>
        <w:pStyle w:val="4"/>
        <w:rPr>
          <w:color w:val="auto"/>
        </w:rPr>
      </w:pPr>
      <w:bookmarkStart w:id="384" w:name="_Toc22597"/>
      <w:bookmarkStart w:id="385" w:name="_Toc11802"/>
      <w:r>
        <w:rPr>
          <w:rFonts w:hint="eastAsia"/>
          <w:color w:val="auto"/>
        </w:rPr>
        <w:t>排污口设置及规范化</w:t>
      </w:r>
      <w:bookmarkEnd w:id="384"/>
      <w:bookmarkEnd w:id="385"/>
    </w:p>
    <w:p w14:paraId="56B63098">
      <w:pPr>
        <w:rPr>
          <w:color w:val="auto"/>
        </w:rPr>
      </w:pPr>
      <w:r>
        <w:rPr>
          <w:color w:val="auto"/>
        </w:rPr>
        <w:t>根据《江苏省排污口设置及规范化整治管理办法》的第</w:t>
      </w:r>
      <w:r>
        <w:rPr>
          <w:rFonts w:hint="eastAsia"/>
          <w:color w:val="auto"/>
        </w:rPr>
        <w:t>四</w:t>
      </w:r>
      <w:r>
        <w:rPr>
          <w:color w:val="auto"/>
        </w:rPr>
        <w:t>条规定，排污口</w:t>
      </w:r>
      <w:r>
        <w:rPr>
          <w:rFonts w:hint="eastAsia"/>
          <w:color w:val="auto"/>
        </w:rPr>
        <w:t>应</w:t>
      </w:r>
      <w:r>
        <w:rPr>
          <w:color w:val="auto"/>
        </w:rPr>
        <w:t>符合“一明显、二合理、三便于”的要求，即环保标志明显，排污口设置合理、排污去向合理，便于采集样品、便于监测计量、便于公众监督管理。并按照《环境保护图形标志</w:t>
      </w:r>
      <w:r>
        <w:rPr>
          <w:rFonts w:hint="eastAsia"/>
          <w:color w:val="auto"/>
        </w:rPr>
        <w:t>排放口（源）</w:t>
      </w:r>
      <w:r>
        <w:rPr>
          <w:color w:val="auto"/>
        </w:rPr>
        <w:t>》（GB15562.1-1995</w:t>
      </w:r>
      <w:r>
        <w:rPr>
          <w:rFonts w:hint="eastAsia"/>
          <w:color w:val="auto"/>
        </w:rPr>
        <w:t>）、《环境保护图形标志固体废物贮存（处置）场》（GB15562.2-1995）</w:t>
      </w:r>
      <w:r>
        <w:rPr>
          <w:color w:val="auto"/>
        </w:rPr>
        <w:t>的规定，对各排污口设立相应的标志牌。</w:t>
      </w:r>
    </w:p>
    <w:p w14:paraId="26730C44">
      <w:pPr>
        <w:rPr>
          <w:color w:val="auto"/>
        </w:rPr>
      </w:pPr>
      <w:r>
        <w:rPr>
          <w:color w:val="auto"/>
        </w:rPr>
        <w:t>（1）废水排放口（接管口）</w:t>
      </w:r>
    </w:p>
    <w:p w14:paraId="26AA4666">
      <w:pPr>
        <w:rPr>
          <w:color w:val="auto"/>
        </w:rPr>
      </w:pPr>
      <w:r>
        <w:rPr>
          <w:rFonts w:hint="eastAsia"/>
          <w:color w:val="auto"/>
        </w:rPr>
        <w:t>本项目建成后全厂无生产废水外排，厂内废水</w:t>
      </w:r>
      <w:r>
        <w:rPr>
          <w:color w:val="auto"/>
        </w:rPr>
        <w:t>排放口</w:t>
      </w:r>
      <w:r>
        <w:rPr>
          <w:rFonts w:hint="eastAsia"/>
          <w:color w:val="auto"/>
        </w:rPr>
        <w:t>为生活污水排放口。废水排放口需</w:t>
      </w:r>
      <w:r>
        <w:rPr>
          <w:color w:val="auto"/>
        </w:rPr>
        <w:t>具备方便采样和流量测定条件</w:t>
      </w:r>
      <w:r>
        <w:rPr>
          <w:rFonts w:hint="eastAsia"/>
          <w:color w:val="auto"/>
        </w:rPr>
        <w:t>，并按照</w:t>
      </w:r>
      <w:r>
        <w:rPr>
          <w:color w:val="auto"/>
        </w:rPr>
        <w:t>《环境保护图形标志</w:t>
      </w:r>
      <w:r>
        <w:rPr>
          <w:rFonts w:hint="eastAsia"/>
          <w:color w:val="auto"/>
        </w:rPr>
        <w:t>排放口（源）</w:t>
      </w:r>
      <w:r>
        <w:rPr>
          <w:color w:val="auto"/>
        </w:rPr>
        <w:t>》（GB15562.1-1995</w:t>
      </w:r>
      <w:r>
        <w:rPr>
          <w:rFonts w:hint="eastAsia"/>
          <w:color w:val="auto"/>
        </w:rPr>
        <w:t>）设置排污口标志。</w:t>
      </w:r>
    </w:p>
    <w:p w14:paraId="6D5B8BA5">
      <w:pPr>
        <w:rPr>
          <w:color w:val="auto"/>
        </w:rPr>
      </w:pPr>
      <w:r>
        <w:rPr>
          <w:color w:val="auto"/>
        </w:rPr>
        <w:t>（2）废气排放口</w:t>
      </w:r>
    </w:p>
    <w:p w14:paraId="6C093BEA">
      <w:pPr>
        <w:rPr>
          <w:color w:val="auto"/>
        </w:rPr>
      </w:pPr>
      <w:r>
        <w:rPr>
          <w:color w:val="auto"/>
        </w:rPr>
        <w:t>废气排放口必须符合环评及相关排放标准规定的高度，并按《固定源废气监测技术规范》（HJ/T397-2007）设置排气筒、采样孔，必要时设置采样平台。</w:t>
      </w:r>
    </w:p>
    <w:p w14:paraId="394C6D54">
      <w:pPr>
        <w:rPr>
          <w:color w:val="auto"/>
        </w:rPr>
      </w:pPr>
      <w:r>
        <w:rPr>
          <w:color w:val="auto"/>
        </w:rPr>
        <w:t>（3）噪声排放源</w:t>
      </w:r>
    </w:p>
    <w:p w14:paraId="440B09F4">
      <w:pPr>
        <w:rPr>
          <w:color w:val="auto"/>
        </w:rPr>
      </w:pPr>
      <w:r>
        <w:rPr>
          <w:color w:val="auto"/>
        </w:rPr>
        <w:t>按规定对固定噪声进行治理，并在边界噪声敏感点、且对外界影响最大处设置标志牌。</w:t>
      </w:r>
    </w:p>
    <w:p w14:paraId="7689B8B1">
      <w:pPr>
        <w:rPr>
          <w:color w:val="auto"/>
        </w:rPr>
      </w:pPr>
      <w:r>
        <w:rPr>
          <w:color w:val="auto"/>
        </w:rPr>
        <w:t>（4）固废贮存场所</w:t>
      </w:r>
    </w:p>
    <w:p w14:paraId="1C7F6373">
      <w:pPr>
        <w:rPr>
          <w:color w:val="auto"/>
        </w:rPr>
      </w:pPr>
      <w:r>
        <w:rPr>
          <w:color w:val="auto"/>
        </w:rPr>
        <w:t>一般固废贮存场所需按照《环境保护图形标志固体废物贮存（处置）场》（GB15562.2-1995）</w:t>
      </w:r>
      <w:r>
        <w:rPr>
          <w:rFonts w:hint="eastAsia"/>
          <w:color w:val="auto"/>
        </w:rPr>
        <w:t>、</w:t>
      </w:r>
      <w:r>
        <w:rPr>
          <w:color w:val="auto"/>
        </w:rPr>
        <w:t>《一般工业固体废物贮存和填埋污染控制标准》（GB18599-2020）</w:t>
      </w:r>
      <w:r>
        <w:rPr>
          <w:rFonts w:hint="eastAsia"/>
          <w:color w:val="auto"/>
        </w:rPr>
        <w:t>相关要求</w:t>
      </w:r>
      <w:r>
        <w:rPr>
          <w:color w:val="auto"/>
        </w:rPr>
        <w:t>设置，</w:t>
      </w:r>
      <w:r>
        <w:rPr>
          <w:rFonts w:hint="eastAsia"/>
          <w:color w:val="auto"/>
        </w:rPr>
        <w:t>危废</w:t>
      </w:r>
      <w:r>
        <w:rPr>
          <w:color w:val="auto"/>
        </w:rPr>
        <w:t>贮存场所需按照《省生态环境厅关于做好江苏省危险废物全生命周期监控系统上线运行工作的通知》（苏环办[2021]401号文）</w:t>
      </w:r>
      <w:r>
        <w:rPr>
          <w:rFonts w:hint="eastAsia"/>
          <w:color w:val="auto"/>
        </w:rPr>
        <w:t>、</w:t>
      </w:r>
      <w:r>
        <w:rPr>
          <w:rFonts w:hint="eastAsia" w:ascii="仿宋_GB2312" w:hAnsi="仿宋_GB2312" w:cs="仿宋_GB2312"/>
          <w:color w:val="auto"/>
        </w:rPr>
        <w:t>《危险废物贮存污染控制标准》（</w:t>
      </w:r>
      <w:r>
        <w:rPr>
          <w:color w:val="auto"/>
        </w:rPr>
        <w:t>GB18597-2023</w:t>
      </w:r>
      <w:r>
        <w:rPr>
          <w:rFonts w:hint="eastAsia" w:ascii="仿宋_GB2312" w:hAnsi="仿宋_GB2312" w:cs="仿宋_GB2312"/>
          <w:color w:val="auto"/>
        </w:rPr>
        <w:t>）、《危险废物收集、贮存、运输技术规范》（</w:t>
      </w:r>
      <w:r>
        <w:rPr>
          <w:color w:val="auto"/>
        </w:rPr>
        <w:t>HJ2025-2012</w:t>
      </w:r>
      <w:r>
        <w:rPr>
          <w:rFonts w:hint="eastAsia" w:ascii="仿宋_GB2312" w:hAnsi="仿宋_GB2312" w:cs="仿宋_GB2312"/>
          <w:color w:val="auto"/>
        </w:rPr>
        <w:t>）</w:t>
      </w:r>
      <w:r>
        <w:rPr>
          <w:color w:val="auto"/>
        </w:rPr>
        <w:t>中的要求设置规范设置标志及识别标识。</w:t>
      </w:r>
    </w:p>
    <w:p w14:paraId="5E170413">
      <w:pPr>
        <w:rPr>
          <w:color w:val="auto"/>
        </w:rPr>
      </w:pPr>
      <w:r>
        <w:rPr>
          <w:color w:val="auto"/>
        </w:rPr>
        <w:t>（5）设置标识牌要求</w:t>
      </w:r>
    </w:p>
    <w:p w14:paraId="340429D1">
      <w:pPr>
        <w:rPr>
          <w:color w:val="auto"/>
        </w:rPr>
      </w:pPr>
      <w:r>
        <w:rPr>
          <w:color w:val="auto"/>
        </w:rPr>
        <w:t>环境保护图形标志统一定点制作。排放一般污染物口（源），设置提示式标志牌，排放有毒有害等污染物的排污口设置警告标志牌。</w:t>
      </w:r>
    </w:p>
    <w:p w14:paraId="1EC4F365">
      <w:pPr>
        <w:rPr>
          <w:color w:val="auto"/>
        </w:rPr>
      </w:pPr>
      <w:r>
        <w:rPr>
          <w:color w:val="auto"/>
        </w:rPr>
        <w:t>标志牌设置位置在排污口（采样口）附近且醒目处，高度为标志牌上端离地面2m。排污口附近1m范围内有建筑物的，设平面式标志牌，无建筑物的设立式标志牌。</w:t>
      </w:r>
    </w:p>
    <w:p w14:paraId="04BA3393">
      <w:pPr>
        <w:rPr>
          <w:color w:val="auto"/>
        </w:rPr>
      </w:pPr>
      <w:r>
        <w:rPr>
          <w:color w:val="auto"/>
        </w:rPr>
        <w:t>规范化排污口的有关设置（如图形标志牌、计量装置、监控装置等）属环保设施，排污单位必须负责日常的维护保养，任何单位和个人不得擅自拆除</w:t>
      </w:r>
      <w:r>
        <w:rPr>
          <w:rFonts w:hint="eastAsia"/>
          <w:color w:val="auto"/>
        </w:rPr>
        <w:t>。</w:t>
      </w:r>
    </w:p>
    <w:p w14:paraId="7659459F">
      <w:pPr>
        <w:pStyle w:val="3"/>
        <w:rPr>
          <w:color w:val="auto"/>
        </w:rPr>
      </w:pPr>
      <w:bookmarkStart w:id="386" w:name="_Toc29015"/>
      <w:bookmarkStart w:id="387" w:name="_Toc30552"/>
      <w:r>
        <w:rPr>
          <w:rFonts w:hint="eastAsia"/>
          <w:color w:val="auto"/>
        </w:rPr>
        <w:t>环境监测计划</w:t>
      </w:r>
      <w:bookmarkEnd w:id="386"/>
      <w:bookmarkEnd w:id="387"/>
    </w:p>
    <w:p w14:paraId="7DB5ABB1">
      <w:pPr>
        <w:pStyle w:val="4"/>
        <w:bidi w:val="0"/>
        <w:rPr>
          <w:rFonts w:hint="eastAsia"/>
          <w:color w:val="auto"/>
        </w:rPr>
      </w:pPr>
      <w:bookmarkStart w:id="388" w:name="_Toc29744"/>
      <w:bookmarkStart w:id="389" w:name="_Toc18031"/>
      <w:r>
        <w:rPr>
          <w:rFonts w:hint="eastAsia"/>
          <w:color w:val="auto"/>
        </w:rPr>
        <w:t>施工期监测计划</w:t>
      </w:r>
      <w:bookmarkEnd w:id="388"/>
      <w:bookmarkEnd w:id="389"/>
    </w:p>
    <w:p w14:paraId="0FBC59D3">
      <w:pPr>
        <w:rPr>
          <w:rFonts w:hint="eastAsia"/>
          <w:color w:val="auto"/>
        </w:rPr>
      </w:pPr>
      <w:r>
        <w:rPr>
          <w:rFonts w:hint="eastAsia"/>
          <w:color w:val="auto"/>
        </w:rPr>
        <w:t>①工程项目的施工承包合同中，应包括环境保护的条款。其中应包括施工中在环境污染预防和治理方面对承包的具体要求，如施工噪声污染，废水、扬尘和废气等排放治理，施工垃圾处理处置等内容。</w:t>
      </w:r>
    </w:p>
    <w:p w14:paraId="28129247">
      <w:pPr>
        <w:rPr>
          <w:rFonts w:hint="eastAsia"/>
          <w:color w:val="auto"/>
        </w:rPr>
      </w:pPr>
      <w:r>
        <w:rPr>
          <w:rFonts w:hint="eastAsia"/>
          <w:color w:val="auto"/>
        </w:rPr>
        <w:t>②建设单位应设置安排公司安环处的环保员参加施工场地的环境监测和环境管理工作。</w:t>
      </w:r>
    </w:p>
    <w:p w14:paraId="514F3B87">
      <w:pPr>
        <w:rPr>
          <w:rFonts w:hint="eastAsia"/>
          <w:color w:val="auto"/>
        </w:rPr>
      </w:pPr>
      <w:r>
        <w:rPr>
          <w:rFonts w:hint="eastAsia"/>
          <w:color w:val="auto"/>
        </w:rPr>
        <w:t>③加强对施工人员的环境保护宣传教育，增强施工人员环境保护和劳动安全意识，杜绝人为引发环境污染事件的发生。</w:t>
      </w:r>
    </w:p>
    <w:p w14:paraId="3B8427D1">
      <w:pPr>
        <w:rPr>
          <w:rFonts w:hint="eastAsia"/>
          <w:color w:val="auto"/>
        </w:rPr>
      </w:pPr>
      <w:r>
        <w:rPr>
          <w:rFonts w:hint="eastAsia"/>
          <w:color w:val="auto"/>
        </w:rPr>
        <w:t>④施工过程中应加强对施工车间墙体、车间内外及周边生产装置、管线等进行保护，严禁发生破坏事故，以避免造成不必要的风险。</w:t>
      </w:r>
    </w:p>
    <w:p w14:paraId="59D0DFF1">
      <w:pPr>
        <w:pStyle w:val="4"/>
        <w:rPr>
          <w:color w:val="auto"/>
        </w:rPr>
      </w:pPr>
      <w:bookmarkStart w:id="390" w:name="_Toc3367"/>
      <w:bookmarkStart w:id="391" w:name="_Toc23984"/>
      <w:r>
        <w:rPr>
          <w:rFonts w:hint="eastAsia"/>
          <w:color w:val="auto"/>
          <w:lang w:val="en-US" w:eastAsia="zh-CN"/>
        </w:rPr>
        <w:t>运行期</w:t>
      </w:r>
      <w:r>
        <w:rPr>
          <w:rFonts w:hint="eastAsia"/>
          <w:color w:val="auto"/>
        </w:rPr>
        <w:t>监测计划</w:t>
      </w:r>
      <w:bookmarkEnd w:id="390"/>
      <w:bookmarkEnd w:id="391"/>
    </w:p>
    <w:p w14:paraId="63D4B7C4">
      <w:pPr>
        <w:rPr>
          <w:rFonts w:hint="eastAsia"/>
          <w:color w:val="auto"/>
        </w:rPr>
      </w:pPr>
      <w:r>
        <w:rPr>
          <w:rFonts w:hint="eastAsia"/>
          <w:color w:val="auto"/>
        </w:rPr>
        <w:t>本项目建成后，将对周围环境产生一定的影响，因此建设单位应在加强环境管理的同时，定期进行监测，以便及时了解拟建项目对环境造成影响的情况，并采取相应措施，消除不利因素，减轻环境污染，使各项环保措施落到实处，以期达到预定的目标。</w:t>
      </w:r>
    </w:p>
    <w:p w14:paraId="3B54ECDE">
      <w:pPr>
        <w:rPr>
          <w:rFonts w:hint="eastAsia"/>
          <w:color w:val="auto"/>
        </w:rPr>
      </w:pPr>
      <w:r>
        <w:rPr>
          <w:rFonts w:hint="eastAsia"/>
          <w:color w:val="auto"/>
        </w:rPr>
        <w:t>（1）废水</w:t>
      </w:r>
    </w:p>
    <w:p w14:paraId="0A801B2C">
      <w:pPr>
        <w:rPr>
          <w:rFonts w:hint="eastAsia"/>
          <w:color w:val="auto"/>
        </w:rPr>
      </w:pPr>
      <w:r>
        <w:rPr>
          <w:rFonts w:hint="eastAsia"/>
          <w:color w:val="auto"/>
        </w:rPr>
        <w:t>本项目依托</w:t>
      </w:r>
      <w:r>
        <w:rPr>
          <w:rFonts w:hint="eastAsia"/>
          <w:color w:val="auto"/>
          <w:lang w:eastAsia="zh-CN"/>
        </w:rPr>
        <w:t>苏州昆运制版有限公司</w:t>
      </w:r>
      <w:r>
        <w:rPr>
          <w:rFonts w:hint="eastAsia"/>
          <w:color w:val="auto"/>
        </w:rPr>
        <w:t>已设置的</w:t>
      </w:r>
      <w:r>
        <w:rPr>
          <w:rFonts w:hint="eastAsia"/>
          <w:color w:val="auto"/>
          <w:lang w:val="en-US" w:eastAsia="zh-CN"/>
        </w:rPr>
        <w:t>生产废水</w:t>
      </w:r>
      <w:r>
        <w:rPr>
          <w:rFonts w:hint="eastAsia"/>
          <w:color w:val="auto"/>
        </w:rPr>
        <w:t>排放口1个，</w:t>
      </w:r>
      <w:r>
        <w:rPr>
          <w:rFonts w:hint="eastAsia"/>
          <w:color w:val="auto"/>
          <w:lang w:val="en-US" w:eastAsia="zh-CN"/>
        </w:rPr>
        <w:t>生活污水排放口1个，</w:t>
      </w:r>
      <w:r>
        <w:rPr>
          <w:rFonts w:hint="eastAsia"/>
          <w:color w:val="auto"/>
        </w:rPr>
        <w:t>雨水排放口1个，污水排放口已规范设置排口标识。</w:t>
      </w:r>
    </w:p>
    <w:p w14:paraId="3002EF65">
      <w:pPr>
        <w:rPr>
          <w:rFonts w:hint="eastAsia"/>
          <w:color w:val="auto"/>
        </w:rPr>
      </w:pPr>
      <w:r>
        <w:rPr>
          <w:rFonts w:hint="eastAsia"/>
          <w:color w:val="auto"/>
        </w:rPr>
        <w:t>（2）废气排放口：本项目依托现有的</w:t>
      </w:r>
      <w:r>
        <w:rPr>
          <w:rFonts w:hint="eastAsia"/>
          <w:color w:val="auto"/>
          <w:lang w:val="en-US" w:eastAsia="zh-CN"/>
        </w:rPr>
        <w:t>2</w:t>
      </w:r>
      <w:r>
        <w:rPr>
          <w:rFonts w:hint="eastAsia"/>
          <w:color w:val="auto"/>
        </w:rPr>
        <w:t>根排气筒及本次</w:t>
      </w:r>
      <w:r>
        <w:rPr>
          <w:rFonts w:hint="eastAsia"/>
          <w:color w:val="auto"/>
          <w:lang w:val="en-US" w:eastAsia="zh-CN"/>
        </w:rPr>
        <w:t>扩建</w:t>
      </w:r>
      <w:r>
        <w:rPr>
          <w:rFonts w:hint="eastAsia"/>
          <w:color w:val="auto"/>
        </w:rPr>
        <w:t>新增的</w:t>
      </w:r>
      <w:r>
        <w:rPr>
          <w:rFonts w:hint="eastAsia"/>
          <w:color w:val="auto"/>
          <w:lang w:val="en-US" w:eastAsia="zh-CN"/>
        </w:rPr>
        <w:t>4</w:t>
      </w:r>
      <w:r>
        <w:rPr>
          <w:rFonts w:hint="eastAsia"/>
          <w:color w:val="auto"/>
        </w:rPr>
        <w:t>根排气筒，应设置便于采样监测的平台、采样孔，其总数目和位置须符合《固定污染物源排气中颗粒物与气态污染物采样方法》（GB/T16157-1996）的要求。厂区建设排气筒均应按照规范要求设置。</w:t>
      </w:r>
    </w:p>
    <w:p w14:paraId="2D0056C5">
      <w:pPr>
        <w:rPr>
          <w:rFonts w:hint="eastAsia"/>
          <w:color w:val="auto"/>
        </w:rPr>
      </w:pPr>
      <w:r>
        <w:rPr>
          <w:rFonts w:hint="eastAsia"/>
          <w:color w:val="auto"/>
        </w:rPr>
        <w:t>（3）固废堆场：</w:t>
      </w:r>
      <w:r>
        <w:rPr>
          <w:rFonts w:hint="eastAsia"/>
          <w:color w:val="auto"/>
          <w:lang w:val="en-US" w:eastAsia="zh-CN"/>
        </w:rPr>
        <w:t>本次新建</w:t>
      </w:r>
      <w:r>
        <w:rPr>
          <w:rFonts w:hint="eastAsia"/>
          <w:color w:val="auto"/>
        </w:rPr>
        <w:t>危废暂存库，应按照规范要求设置标识标牌。</w:t>
      </w:r>
    </w:p>
    <w:p w14:paraId="484D3EC4">
      <w:pPr>
        <w:rPr>
          <w:rFonts w:hint="eastAsia"/>
          <w:color w:val="auto"/>
        </w:rPr>
      </w:pPr>
      <w:r>
        <w:rPr>
          <w:rFonts w:hint="eastAsia"/>
          <w:color w:val="auto"/>
        </w:rPr>
        <w:t>监测计划主要包括：污染源监测、环境质量监测。</w:t>
      </w:r>
    </w:p>
    <w:p w14:paraId="267A8E33">
      <w:pPr>
        <w:pStyle w:val="5"/>
        <w:bidi w:val="0"/>
        <w:rPr>
          <w:rFonts w:hint="eastAsia"/>
          <w:color w:val="auto"/>
        </w:rPr>
      </w:pPr>
      <w:r>
        <w:rPr>
          <w:rFonts w:hint="eastAsia"/>
          <w:color w:val="auto"/>
        </w:rPr>
        <w:t>污染源监测</w:t>
      </w:r>
      <w:r>
        <w:rPr>
          <w:rFonts w:hint="eastAsia"/>
          <w:color w:val="auto"/>
          <w:lang w:val="en-US" w:eastAsia="zh-CN"/>
        </w:rPr>
        <w:t>计划</w:t>
      </w:r>
    </w:p>
    <w:p w14:paraId="6F48CD2D">
      <w:pPr>
        <w:rPr>
          <w:rFonts w:hint="eastAsia"/>
          <w:color w:val="auto"/>
        </w:rPr>
      </w:pPr>
      <w:r>
        <w:rPr>
          <w:rFonts w:hint="eastAsia"/>
          <w:color w:val="auto"/>
          <w:lang w:val="en-US" w:eastAsia="zh-CN"/>
        </w:rPr>
        <w:t>根据《排污单位自行监测技术指南 总则》(HJ819-2017) ，参考《排污单位自行监测技术指南 电镀工业》（HJ985-2018）等文件要求，制定全厂污染源监测方案。</w:t>
      </w:r>
    </w:p>
    <w:p w14:paraId="2B3E4269">
      <w:pPr>
        <w:pStyle w:val="5"/>
        <w:bidi w:val="0"/>
        <w:rPr>
          <w:color w:val="auto"/>
        </w:rPr>
      </w:pPr>
      <w:r>
        <w:rPr>
          <w:rFonts w:hint="eastAsia"/>
          <w:color w:val="auto"/>
        </w:rPr>
        <w:t>环境质量监测计划</w:t>
      </w:r>
    </w:p>
    <w:p w14:paraId="74D854A6">
      <w:pPr>
        <w:rPr>
          <w:rFonts w:hint="eastAsia"/>
          <w:color w:val="auto"/>
        </w:rPr>
      </w:pPr>
      <w:r>
        <w:rPr>
          <w:rFonts w:hint="eastAsia"/>
          <w:color w:val="auto"/>
        </w:rPr>
        <w:t>大气：每年一次，厂界外侧设置1个监测点，根据arescreen估算结果，选取Pi≥1%的其他污染物作为环境质量监测因子。因此监测项目包括：VOCs（以非甲烷总烃计）等。</w:t>
      </w:r>
    </w:p>
    <w:p w14:paraId="250798EB">
      <w:pPr>
        <w:rPr>
          <w:rFonts w:hint="eastAsia"/>
          <w:color w:val="auto"/>
        </w:rPr>
      </w:pPr>
      <w:r>
        <w:rPr>
          <w:rFonts w:hint="eastAsia"/>
          <w:color w:val="auto"/>
        </w:rPr>
        <w:t>噪声：对厂界噪声每季度监测一次，在厂界设测点4个，每次分昼间、夜间进行。</w:t>
      </w:r>
    </w:p>
    <w:p w14:paraId="0F5971C9">
      <w:pPr>
        <w:rPr>
          <w:rFonts w:hint="eastAsia"/>
          <w:color w:val="auto"/>
        </w:rPr>
      </w:pPr>
      <w:r>
        <w:rPr>
          <w:rFonts w:hint="eastAsia"/>
          <w:color w:val="auto"/>
        </w:rPr>
        <w:t>地下水：本次地下水环境影响评价等级为二级。根据导则，对于二级评价项目，项目运行期跟踪监测点的布置一般不少于3个，应至少在建设项目场地及其上、下游各布设1个，其中监测点1位于厂区上游，为背景值监测点。监测点2为厂区内现有永久监测井，用来监测车间是否渗漏。监测点3位于厂区下游，用来监测项目建设对周边地下水的影响。监测层位：潜水含水层；采样深度：水位以下1.0米之内；监测因子为</w:t>
      </w:r>
      <w:r>
        <w:rPr>
          <w:rFonts w:hint="eastAsia"/>
          <w:color w:val="auto"/>
          <w:lang w:val="en-US" w:eastAsia="zh-CN"/>
        </w:rPr>
        <w:t>pH值、氨氮、总磷、总铜、总铬、石油类</w:t>
      </w:r>
      <w:r>
        <w:rPr>
          <w:rFonts w:hint="eastAsia"/>
          <w:color w:val="auto"/>
        </w:rPr>
        <w:t>等。</w:t>
      </w:r>
    </w:p>
    <w:p w14:paraId="44175D70">
      <w:pPr>
        <w:rPr>
          <w:rFonts w:hint="eastAsia"/>
          <w:color w:val="auto"/>
        </w:rPr>
      </w:pPr>
      <w:r>
        <w:rPr>
          <w:rFonts w:hint="eastAsia"/>
          <w:color w:val="auto"/>
        </w:rPr>
        <w:t>土壤：每3年监测一次，在厂区（生产车间、化学品仓库、危废库、废水处理装置等重点区域）等位置分别设置1个土壤取样点，监测因子为</w:t>
      </w:r>
      <w:r>
        <w:rPr>
          <w:rFonts w:hint="eastAsia"/>
          <w:color w:val="auto"/>
          <w:lang w:val="en-US" w:eastAsia="zh-CN"/>
        </w:rPr>
        <w:t>pH值、总铜、总铬、石油类</w:t>
      </w:r>
      <w:r>
        <w:rPr>
          <w:rFonts w:hint="eastAsia"/>
          <w:color w:val="auto"/>
        </w:rPr>
        <w:t>等。</w:t>
      </w:r>
    </w:p>
    <w:p w14:paraId="31350CED">
      <w:pPr>
        <w:rPr>
          <w:rFonts w:hint="eastAsia"/>
          <w:color w:val="auto"/>
        </w:rPr>
      </w:pPr>
      <w:r>
        <w:rPr>
          <w:rFonts w:hint="eastAsia"/>
          <w:color w:val="auto"/>
        </w:rPr>
        <w:t>若企业不具备上述污染源及环境质量的监测条件，须委托当地环境监测站进行监测，监测结果以报告形式上报当地环境保护部门。如发现问题，必须及时纠正，防止环境污染。</w:t>
      </w:r>
    </w:p>
    <w:p w14:paraId="5B3DA3AF">
      <w:pPr>
        <w:pStyle w:val="4"/>
        <w:rPr>
          <w:color w:val="auto"/>
        </w:rPr>
      </w:pPr>
      <w:bookmarkStart w:id="392" w:name="_Toc31403"/>
      <w:bookmarkStart w:id="393" w:name="_Toc24429"/>
      <w:r>
        <w:rPr>
          <w:rFonts w:hint="eastAsia"/>
          <w:color w:val="auto"/>
        </w:rPr>
        <w:t>应急监测计划</w:t>
      </w:r>
      <w:bookmarkEnd w:id="392"/>
      <w:bookmarkEnd w:id="393"/>
    </w:p>
    <w:p w14:paraId="66BD4444">
      <w:pPr>
        <w:rPr>
          <w:color w:val="auto"/>
        </w:rPr>
      </w:pPr>
      <w:r>
        <w:rPr>
          <w:rFonts w:hint="eastAsia"/>
          <w:color w:val="auto"/>
        </w:rPr>
        <w:t>按照《突发环境事件应急监测技术规范》（HJ589—2021），应急监测频次主要根据现场污染状况确定。事件刚发生时，监测频次可适当增加，待摸清污染变化规律后，可适当减少监测频次。依据不同的环境区域功能和现场具体污染状况，力求以最合理的监测频次，做到既有代表性、能满足应急工作要求，又切实可行。取得具有足够时空代表性的监测结果。</w:t>
      </w:r>
    </w:p>
    <w:p w14:paraId="05F0E0CA">
      <w:pPr>
        <w:rPr>
          <w:color w:val="auto"/>
        </w:rPr>
      </w:pPr>
      <w:r>
        <w:rPr>
          <w:rFonts w:hint="eastAsia"/>
          <w:color w:val="auto"/>
        </w:rPr>
        <w:t>对于所有采集的样品（包括大气样品，水样品和土壤样品），应分类保存，防止交叉污染。现场无法测定的公司，应立即将样品送至品质检测室分析。样品必须保存到应急行动结束后，才能废弃。</w:t>
      </w:r>
    </w:p>
    <w:p w14:paraId="5475C161">
      <w:pPr>
        <w:rPr>
          <w:rFonts w:hint="default"/>
          <w:color w:val="auto"/>
        </w:rPr>
      </w:pPr>
      <w:r>
        <w:rPr>
          <w:rFonts w:hint="eastAsia"/>
          <w:color w:val="auto"/>
        </w:rPr>
        <w:t>（1）监测项目</w:t>
      </w:r>
    </w:p>
    <w:p w14:paraId="300D280F">
      <w:pPr>
        <w:rPr>
          <w:rFonts w:hint="default"/>
          <w:color w:val="auto"/>
        </w:rPr>
      </w:pPr>
      <w:r>
        <w:rPr>
          <w:rFonts w:hint="eastAsia"/>
          <w:color w:val="auto"/>
        </w:rPr>
        <w:t>环境空气：根据事故类型和排放物质确定。本项目的大气事故因子主要为：非甲烷总烃</w:t>
      </w:r>
      <w:r>
        <w:rPr>
          <w:rFonts w:hint="eastAsia"/>
          <w:color w:val="auto"/>
          <w:lang w:eastAsia="zh-CN"/>
        </w:rPr>
        <w:t>、</w:t>
      </w:r>
      <w:r>
        <w:rPr>
          <w:rFonts w:hint="eastAsia"/>
          <w:color w:val="auto"/>
          <w:lang w:val="en-US" w:eastAsia="zh-CN"/>
        </w:rPr>
        <w:t>氨、硫化氢、CO</w:t>
      </w:r>
      <w:r>
        <w:rPr>
          <w:rFonts w:hint="eastAsia"/>
          <w:color w:val="auto"/>
        </w:rPr>
        <w:t>。</w:t>
      </w:r>
    </w:p>
    <w:p w14:paraId="08B0D665">
      <w:pPr>
        <w:rPr>
          <w:rFonts w:hint="default"/>
          <w:color w:val="auto"/>
        </w:rPr>
      </w:pPr>
      <w:r>
        <w:rPr>
          <w:rFonts w:hint="eastAsia"/>
          <w:color w:val="auto"/>
        </w:rPr>
        <w:t>地表水：根据事故类型和排放物质确定。本项目的地表水事故因子主要为：</w:t>
      </w:r>
      <w:r>
        <w:rPr>
          <w:rFonts w:hint="eastAsia"/>
          <w:color w:val="auto"/>
          <w:lang w:val="en-US" w:eastAsia="zh-CN"/>
        </w:rPr>
        <w:t>pH值、COD、SS、石油类、氨氮、总磷、总铜、总铬、六价铬</w:t>
      </w:r>
      <w:r>
        <w:rPr>
          <w:rFonts w:hint="eastAsia"/>
          <w:color w:val="auto"/>
        </w:rPr>
        <w:t>等。</w:t>
      </w:r>
    </w:p>
    <w:p w14:paraId="06CEA4C4">
      <w:pPr>
        <w:rPr>
          <w:rFonts w:hint="default"/>
          <w:color w:val="auto"/>
        </w:rPr>
      </w:pPr>
      <w:r>
        <w:rPr>
          <w:rFonts w:hint="eastAsia"/>
          <w:color w:val="auto"/>
        </w:rPr>
        <w:t>事故现场监测因子应根据现场事故类型和排放物质确定。</w:t>
      </w:r>
    </w:p>
    <w:p w14:paraId="1B9A3A72">
      <w:pPr>
        <w:rPr>
          <w:rFonts w:hint="default"/>
          <w:color w:val="auto"/>
        </w:rPr>
      </w:pPr>
      <w:r>
        <w:rPr>
          <w:rFonts w:hint="eastAsia"/>
          <w:color w:val="auto"/>
        </w:rPr>
        <w:t>（2）监测区域</w:t>
      </w:r>
    </w:p>
    <w:p w14:paraId="6DC1F55E">
      <w:pPr>
        <w:rPr>
          <w:rFonts w:hint="default"/>
          <w:color w:val="auto"/>
        </w:rPr>
      </w:pPr>
      <w:r>
        <w:rPr>
          <w:rFonts w:hint="eastAsia"/>
          <w:color w:val="auto"/>
        </w:rPr>
        <w:t>大气环境：本项目周边区域内的敏感点；</w:t>
      </w:r>
    </w:p>
    <w:p w14:paraId="34487A2E">
      <w:pPr>
        <w:rPr>
          <w:rFonts w:hint="default"/>
          <w:color w:val="auto"/>
        </w:rPr>
      </w:pPr>
      <w:r>
        <w:rPr>
          <w:rFonts w:hint="eastAsia"/>
          <w:color w:val="auto"/>
        </w:rPr>
        <w:t>水环境：根据事故类型和事故废水走向，确定监测范围。主要监测点位为：废水排口、周边河流及排口下游等。</w:t>
      </w:r>
    </w:p>
    <w:p w14:paraId="06592A11">
      <w:pPr>
        <w:rPr>
          <w:rFonts w:hint="default"/>
          <w:color w:val="auto"/>
        </w:rPr>
      </w:pPr>
      <w:r>
        <w:rPr>
          <w:rFonts w:hint="eastAsia"/>
          <w:color w:val="auto"/>
        </w:rPr>
        <w:t>（3）监测频率</w:t>
      </w:r>
    </w:p>
    <w:p w14:paraId="6AACC333">
      <w:pPr>
        <w:rPr>
          <w:rFonts w:hint="default"/>
          <w:color w:val="auto"/>
        </w:rPr>
      </w:pPr>
      <w:r>
        <w:rPr>
          <w:rFonts w:hint="eastAsia"/>
          <w:color w:val="auto"/>
        </w:rPr>
        <w:t>环境空气：事故初期，采样1次/30min；随后根据空气中有害物质浓度降低监测频率，按1h、2h等时间间隔采样。</w:t>
      </w:r>
    </w:p>
    <w:p w14:paraId="77819D9B">
      <w:pPr>
        <w:rPr>
          <w:rFonts w:hint="default"/>
          <w:color w:val="auto"/>
        </w:rPr>
      </w:pPr>
      <w:r>
        <w:rPr>
          <w:rFonts w:hint="eastAsia"/>
          <w:color w:val="auto"/>
        </w:rPr>
        <w:t>地表水：采样1次/30min。</w:t>
      </w:r>
    </w:p>
    <w:p w14:paraId="080573CB">
      <w:pPr>
        <w:rPr>
          <w:rFonts w:hint="default"/>
          <w:color w:val="auto"/>
        </w:rPr>
      </w:pPr>
      <w:r>
        <w:rPr>
          <w:rFonts w:hint="eastAsia"/>
          <w:color w:val="auto"/>
        </w:rPr>
        <w:t>（4）监测报告</w:t>
      </w:r>
    </w:p>
    <w:p w14:paraId="4AD3A6B9">
      <w:pPr>
        <w:rPr>
          <w:rFonts w:hint="default"/>
          <w:color w:val="auto"/>
        </w:rPr>
      </w:pPr>
      <w:r>
        <w:rPr>
          <w:rFonts w:hint="eastAsia"/>
          <w:color w:val="auto"/>
        </w:rPr>
        <w:t>事故现场的应急监测机构负责每小时向</w:t>
      </w:r>
      <w:r>
        <w:rPr>
          <w:rFonts w:hint="eastAsia"/>
          <w:color w:val="auto"/>
          <w:lang w:val="en-US" w:eastAsia="zh-CN"/>
        </w:rPr>
        <w:t>淀山湖镇</w:t>
      </w:r>
      <w:r>
        <w:rPr>
          <w:rFonts w:hint="eastAsia"/>
          <w:color w:val="auto"/>
        </w:rPr>
        <w:t>提供分析报告，由有相关资质的检测单位负责完成总报告和动态报告编制、发送。</w:t>
      </w:r>
    </w:p>
    <w:p w14:paraId="4AB64427">
      <w:pPr>
        <w:rPr>
          <w:rFonts w:hint="default"/>
          <w:color w:val="auto"/>
        </w:rPr>
      </w:pPr>
      <w:r>
        <w:rPr>
          <w:rFonts w:hint="eastAsia"/>
          <w:color w:val="auto"/>
        </w:rPr>
        <w:t>值得注意的是，事故后期需开展环境风险损害评估工作，对受污染的土壤、水体等进行环境影响评估。</w:t>
      </w:r>
    </w:p>
    <w:p w14:paraId="265CA7B1">
      <w:pPr>
        <w:rPr>
          <w:color w:val="auto"/>
        </w:rPr>
      </w:pPr>
      <w:r>
        <w:rPr>
          <w:rFonts w:hint="eastAsia"/>
          <w:color w:val="auto"/>
        </w:rPr>
        <w:t>上述污染源监测及环境质量监测若企业不具备监测条件，可委托有资质的环境监测机构进行监测，监测结果以报表形式上报当地环境保护主管部门</w:t>
      </w:r>
      <w:r>
        <w:rPr>
          <w:color w:val="auto"/>
        </w:rPr>
        <w:t>。</w:t>
      </w:r>
    </w:p>
    <w:p w14:paraId="082CFFEB">
      <w:pPr>
        <w:pStyle w:val="2"/>
        <w:rPr>
          <w:color w:val="auto"/>
        </w:rPr>
      </w:pPr>
      <w:bookmarkStart w:id="394" w:name="_Toc17329"/>
      <w:bookmarkStart w:id="395" w:name="_Toc7145"/>
      <w:r>
        <w:rPr>
          <w:rFonts w:hint="eastAsia"/>
          <w:color w:val="auto"/>
        </w:rPr>
        <w:t>环境影响评价结论</w:t>
      </w:r>
      <w:bookmarkEnd w:id="394"/>
      <w:bookmarkEnd w:id="395"/>
    </w:p>
    <w:p w14:paraId="41629D6F">
      <w:pPr>
        <w:pStyle w:val="3"/>
        <w:rPr>
          <w:color w:val="auto"/>
        </w:rPr>
      </w:pPr>
      <w:bookmarkStart w:id="396" w:name="_Toc25976"/>
      <w:bookmarkStart w:id="397" w:name="_Toc30989"/>
      <w:r>
        <w:rPr>
          <w:rFonts w:hint="eastAsia"/>
          <w:color w:val="auto"/>
        </w:rPr>
        <w:t>结论</w:t>
      </w:r>
      <w:bookmarkEnd w:id="396"/>
      <w:bookmarkEnd w:id="397"/>
    </w:p>
    <w:p w14:paraId="7F3E749A">
      <w:pPr>
        <w:pStyle w:val="4"/>
        <w:rPr>
          <w:color w:val="auto"/>
        </w:rPr>
      </w:pPr>
      <w:bookmarkStart w:id="398" w:name="_Toc7886"/>
      <w:bookmarkStart w:id="399" w:name="_Toc25285"/>
      <w:r>
        <w:rPr>
          <w:rFonts w:hint="eastAsia"/>
          <w:color w:val="auto"/>
        </w:rPr>
        <w:t>项目概况</w:t>
      </w:r>
      <w:bookmarkEnd w:id="398"/>
      <w:bookmarkEnd w:id="399"/>
    </w:p>
    <w:p w14:paraId="0B2E487C">
      <w:pPr>
        <w:rPr>
          <w:color w:val="auto"/>
        </w:rPr>
      </w:pPr>
      <w:r>
        <w:rPr>
          <w:rFonts w:hint="eastAsia"/>
          <w:color w:val="auto"/>
          <w:lang w:eastAsia="zh-CN"/>
        </w:rPr>
        <w:t>苏州昆运制版有限公司根据市场需求，拟新增投资14000万元，建设“苏州昆运制版有限公司绿色智能化制版项目”。本次建设拆除1#、2#厂房，改扩建为4#厂房，占地面积5100平方米，建筑面积共20400平方米，建成后拟淘汰激光机、车床等设备；新增8条智能化制版生产线（包含CNC机床、蚀刻线、电子雕刻机、激光切割机、电镀工序等）以及配套机加工设备等；主要原辅材料为钢管、钢板、铜球、铬酐等；主要生产工艺为机加工、雕刻、腐蚀、电镀等。此次项目建设完成后，全厂产品方案为压纹版辊3250支/a、微精版8500支/a、凹印版284400支/a、磁性模切刀版12000张/a、热压模板6000张/a。</w:t>
      </w:r>
    </w:p>
    <w:p w14:paraId="099F6955">
      <w:pPr>
        <w:pStyle w:val="4"/>
        <w:rPr>
          <w:color w:val="auto"/>
        </w:rPr>
      </w:pPr>
      <w:bookmarkStart w:id="400" w:name="_Toc14777"/>
      <w:bookmarkStart w:id="401" w:name="_Toc14179"/>
      <w:r>
        <w:rPr>
          <w:rFonts w:hint="eastAsia"/>
          <w:color w:val="auto"/>
        </w:rPr>
        <w:t>环境质量现状</w:t>
      </w:r>
      <w:bookmarkEnd w:id="400"/>
      <w:bookmarkEnd w:id="401"/>
    </w:p>
    <w:p w14:paraId="4398A2C4">
      <w:pPr>
        <w:rPr>
          <w:color w:val="auto"/>
        </w:rPr>
      </w:pPr>
      <w:r>
        <w:rPr>
          <w:rFonts w:hint="eastAsia"/>
          <w:color w:val="auto"/>
        </w:rPr>
        <w:t>（1）环境空气</w:t>
      </w:r>
    </w:p>
    <w:p w14:paraId="51A91E95">
      <w:pPr>
        <w:rPr>
          <w:color w:val="auto"/>
        </w:rPr>
      </w:pPr>
      <w:r>
        <w:rPr>
          <w:rFonts w:hint="eastAsia"/>
          <w:color w:val="auto"/>
        </w:rPr>
        <w:t>项目所在区O</w:t>
      </w:r>
      <w:r>
        <w:rPr>
          <w:rFonts w:hint="eastAsia"/>
          <w:color w:val="auto"/>
          <w:vertAlign w:val="subscript"/>
        </w:rPr>
        <w:t>3</w:t>
      </w:r>
      <w:r>
        <w:rPr>
          <w:rFonts w:hint="eastAsia"/>
          <w:color w:val="auto"/>
        </w:rPr>
        <w:t>超标，为不达标区。本次评价</w:t>
      </w:r>
      <w:r>
        <w:rPr>
          <w:rFonts w:hint="eastAsia"/>
          <w:color w:val="auto"/>
          <w:lang w:val="en-US" w:eastAsia="zh-CN"/>
        </w:rPr>
        <w:t>补充</w:t>
      </w:r>
      <w:r>
        <w:rPr>
          <w:rFonts w:hint="eastAsia"/>
          <w:color w:val="auto"/>
        </w:rPr>
        <w:t>监测点位</w:t>
      </w:r>
      <w:r>
        <w:rPr>
          <w:rFonts w:hint="eastAsia"/>
          <w:color w:val="auto"/>
          <w:lang w:val="en-US" w:eastAsia="zh-CN"/>
        </w:rPr>
        <w:t>各因子均</w:t>
      </w:r>
      <w:r>
        <w:rPr>
          <w:rFonts w:hint="eastAsia"/>
          <w:color w:val="auto"/>
        </w:rPr>
        <w:t>满足</w:t>
      </w:r>
      <w:r>
        <w:rPr>
          <w:rFonts w:hint="eastAsia"/>
          <w:color w:val="auto"/>
          <w:lang w:val="en-US" w:eastAsia="zh-CN"/>
        </w:rPr>
        <w:t>相关标准</w:t>
      </w:r>
      <w:r>
        <w:rPr>
          <w:rFonts w:hint="eastAsia"/>
          <w:color w:val="auto"/>
        </w:rPr>
        <w:t>要求。</w:t>
      </w:r>
    </w:p>
    <w:p w14:paraId="60070AC0">
      <w:pPr>
        <w:rPr>
          <w:color w:val="auto"/>
        </w:rPr>
      </w:pPr>
      <w:r>
        <w:rPr>
          <w:rFonts w:hint="eastAsia"/>
          <w:color w:val="auto"/>
        </w:rPr>
        <w:t>（2）地表水环境</w:t>
      </w:r>
    </w:p>
    <w:p w14:paraId="093452AD">
      <w:pPr>
        <w:rPr>
          <w:color w:val="auto"/>
        </w:rPr>
      </w:pPr>
      <w:r>
        <w:rPr>
          <w:rFonts w:hint="eastAsia"/>
          <w:color w:val="auto"/>
          <w:lang w:val="en-US" w:eastAsia="zh-CN"/>
        </w:rPr>
        <w:t>现状监测结果表明，收纳水体监测</w:t>
      </w:r>
      <w:r>
        <w:rPr>
          <w:rFonts w:hint="eastAsia"/>
          <w:color w:val="auto"/>
        </w:rPr>
        <w:t>断面中水质均符合《地表水环境质量标准》（GB3838-2002）中的Ⅳ类水标准。</w:t>
      </w:r>
    </w:p>
    <w:p w14:paraId="3754720B">
      <w:pPr>
        <w:rPr>
          <w:color w:val="auto"/>
        </w:rPr>
      </w:pPr>
      <w:r>
        <w:rPr>
          <w:rFonts w:hint="eastAsia"/>
          <w:color w:val="auto"/>
        </w:rPr>
        <w:t>（3）声环境</w:t>
      </w:r>
    </w:p>
    <w:p w14:paraId="3DA7D681">
      <w:pPr>
        <w:rPr>
          <w:color w:val="auto"/>
        </w:rPr>
      </w:pPr>
      <w:r>
        <w:rPr>
          <w:rFonts w:hint="eastAsia"/>
          <w:color w:val="auto"/>
        </w:rPr>
        <w:t>本项目所在地昼间声环境质量均满足《声环境质量标准》（GB3096-2008</w:t>
      </w:r>
      <w:r>
        <w:rPr>
          <w:rFonts w:hint="eastAsia"/>
          <w:color w:val="auto"/>
          <w:lang w:eastAsia="zh-CN"/>
        </w:rPr>
        <w:t>）</w:t>
      </w:r>
      <w:r>
        <w:rPr>
          <w:rFonts w:hint="eastAsia"/>
          <w:color w:val="auto"/>
        </w:rPr>
        <w:t>的3类标准。</w:t>
      </w:r>
    </w:p>
    <w:p w14:paraId="6ADCE9C7">
      <w:pPr>
        <w:rPr>
          <w:color w:val="auto"/>
        </w:rPr>
      </w:pPr>
      <w:r>
        <w:rPr>
          <w:rFonts w:hint="eastAsia"/>
          <w:color w:val="auto"/>
        </w:rPr>
        <w:t>（4）地下水环境</w:t>
      </w:r>
    </w:p>
    <w:p w14:paraId="38016C1B">
      <w:pPr>
        <w:rPr>
          <w:color w:val="auto"/>
        </w:rPr>
      </w:pPr>
      <w:r>
        <w:rPr>
          <w:rFonts w:hint="eastAsia"/>
          <w:color w:val="auto"/>
        </w:rPr>
        <w:t>项目所在地及周边环境各监测点</w:t>
      </w:r>
      <w:r>
        <w:rPr>
          <w:rFonts w:hint="eastAsia"/>
          <w:color w:val="auto"/>
          <w:lang w:val="en-US" w:eastAsia="zh-CN"/>
        </w:rPr>
        <w:t>除总硬度外</w:t>
      </w:r>
      <w:r>
        <w:rPr>
          <w:rFonts w:hint="eastAsia"/>
          <w:color w:val="auto"/>
        </w:rPr>
        <w:t>均符合《地下水质量标准》（GB/T14848-2017）Ⅳ类标准及以上标准。</w:t>
      </w:r>
    </w:p>
    <w:p w14:paraId="299D288B">
      <w:pPr>
        <w:rPr>
          <w:color w:val="auto"/>
        </w:rPr>
      </w:pPr>
      <w:r>
        <w:rPr>
          <w:rFonts w:hint="eastAsia"/>
          <w:color w:val="auto"/>
        </w:rPr>
        <w:t>（5）土壤环境</w:t>
      </w:r>
    </w:p>
    <w:p w14:paraId="0D292315">
      <w:pPr>
        <w:rPr>
          <w:color w:val="auto"/>
        </w:rPr>
      </w:pPr>
      <w:r>
        <w:rPr>
          <w:rFonts w:hint="eastAsia"/>
          <w:color w:val="auto"/>
        </w:rPr>
        <w:t>项目所在地及周边区域土壤监测项目重金属、无机物、挥发性有机物、半挥发性有机物、特征因子均能满足建设用地土壤污染风险第二类用地筛选值要求。</w:t>
      </w:r>
    </w:p>
    <w:p w14:paraId="7E339426">
      <w:pPr>
        <w:pStyle w:val="4"/>
        <w:rPr>
          <w:color w:val="auto"/>
        </w:rPr>
      </w:pPr>
      <w:bookmarkStart w:id="402" w:name="_Toc27493"/>
      <w:bookmarkStart w:id="403" w:name="_Toc1192"/>
      <w:r>
        <w:rPr>
          <w:rFonts w:hint="eastAsia"/>
          <w:color w:val="auto"/>
        </w:rPr>
        <w:t>污染物排放情况及环境影响</w:t>
      </w:r>
      <w:bookmarkEnd w:id="402"/>
      <w:bookmarkEnd w:id="403"/>
    </w:p>
    <w:p w14:paraId="3C599339">
      <w:pPr>
        <w:rPr>
          <w:color w:val="auto"/>
        </w:rPr>
      </w:pPr>
      <w:r>
        <w:rPr>
          <w:rFonts w:hint="eastAsia"/>
          <w:color w:val="auto"/>
        </w:rPr>
        <w:t>本项目的污染物采取以下相应治理措施后，各污染物排放能达到国家地方有关排放标准。</w:t>
      </w:r>
    </w:p>
    <w:p w14:paraId="12E249D7">
      <w:pPr>
        <w:pStyle w:val="4"/>
        <w:rPr>
          <w:color w:val="auto"/>
        </w:rPr>
      </w:pPr>
      <w:bookmarkStart w:id="404" w:name="_Toc2445"/>
      <w:bookmarkStart w:id="405" w:name="_Toc31275"/>
      <w:r>
        <w:rPr>
          <w:rFonts w:hint="eastAsia"/>
          <w:color w:val="auto"/>
        </w:rPr>
        <w:t>环境保护措施</w:t>
      </w:r>
      <w:bookmarkEnd w:id="404"/>
      <w:bookmarkEnd w:id="405"/>
    </w:p>
    <w:p w14:paraId="0E37754E">
      <w:pPr>
        <w:rPr>
          <w:color w:val="auto"/>
        </w:rPr>
      </w:pPr>
      <w:r>
        <w:rPr>
          <w:rFonts w:hint="eastAsia"/>
          <w:color w:val="auto"/>
        </w:rPr>
        <w:t>项目废气处理后达标排放；本</w:t>
      </w:r>
      <w:r>
        <w:rPr>
          <w:rFonts w:hint="eastAsia"/>
          <w:color w:val="auto"/>
          <w:lang w:val="en-US" w:eastAsia="zh-CN"/>
        </w:rPr>
        <w:t>项目废水经厂内预处理后达标排放</w:t>
      </w:r>
      <w:r>
        <w:rPr>
          <w:rFonts w:hint="eastAsia"/>
          <w:color w:val="auto"/>
        </w:rPr>
        <w:t>；噪声设备采取减振、消声、隔声等措施，厂界可达标排放；固体废物均得到妥善处置。同时在采取相应的风险防范措施后，本项目风险值可控制在环境的可接受程度之内。因此，本项目采取的污染防治措施合理可靠，污染物可达标排放。</w:t>
      </w:r>
    </w:p>
    <w:p w14:paraId="009BEDA8">
      <w:pPr>
        <w:pStyle w:val="4"/>
        <w:rPr>
          <w:color w:val="auto"/>
        </w:rPr>
      </w:pPr>
      <w:bookmarkStart w:id="406" w:name="_Toc9792"/>
      <w:bookmarkStart w:id="407" w:name="_Toc1440"/>
      <w:r>
        <w:rPr>
          <w:rFonts w:hint="eastAsia"/>
          <w:color w:val="auto"/>
        </w:rPr>
        <w:t>环境影响经济损益分析</w:t>
      </w:r>
      <w:bookmarkEnd w:id="406"/>
      <w:bookmarkEnd w:id="407"/>
    </w:p>
    <w:p w14:paraId="78F901F9">
      <w:pPr>
        <w:rPr>
          <w:color w:val="auto"/>
        </w:rPr>
      </w:pPr>
      <w:r>
        <w:rPr>
          <w:rFonts w:hint="eastAsia"/>
          <w:color w:val="auto"/>
        </w:rPr>
        <w:t>本项目在确保环保资金和污染治理设施到位的前提下，项目产生的“三废”在采取合理的一定的经济效益。因此，本项目具有较处理处置措施后，可明显降低其对周围环境的危害，并取得好的环境经济效益。</w:t>
      </w:r>
    </w:p>
    <w:p w14:paraId="6A8A9E01">
      <w:pPr>
        <w:pStyle w:val="4"/>
        <w:rPr>
          <w:color w:val="auto"/>
        </w:rPr>
      </w:pPr>
      <w:bookmarkStart w:id="408" w:name="_Toc7794"/>
      <w:bookmarkStart w:id="409" w:name="_Toc21364"/>
      <w:r>
        <w:rPr>
          <w:rFonts w:hint="eastAsia"/>
          <w:color w:val="auto"/>
        </w:rPr>
        <w:t>环境管理与监测计划</w:t>
      </w:r>
      <w:bookmarkEnd w:id="408"/>
      <w:bookmarkEnd w:id="409"/>
    </w:p>
    <w:p w14:paraId="62DC7D94">
      <w:pPr>
        <w:rPr>
          <w:rFonts w:hint="eastAsia" w:eastAsia="仿宋_GB2312"/>
          <w:color w:val="auto"/>
          <w:lang w:eastAsia="zh-CN"/>
        </w:rPr>
      </w:pPr>
      <w:r>
        <w:rPr>
          <w:rFonts w:hint="eastAsia"/>
          <w:color w:val="auto"/>
        </w:rPr>
        <w:t>本项目建成后，企业在加强环境管理的同时，定期进行环境监测，以便及时了解本项目对环境造成影响的情况，并采取相应措施，消除不利因素，减轻环境污染，使各项环保措施落到实处，以期达到预定的目标</w:t>
      </w:r>
      <w:r>
        <w:rPr>
          <w:rFonts w:hint="eastAsia"/>
          <w:color w:val="auto"/>
          <w:lang w:eastAsia="zh-CN"/>
        </w:rPr>
        <w:t>。</w:t>
      </w:r>
    </w:p>
    <w:p w14:paraId="3FCA8DAD">
      <w:pPr>
        <w:pStyle w:val="4"/>
        <w:rPr>
          <w:color w:val="auto"/>
        </w:rPr>
      </w:pPr>
      <w:bookmarkStart w:id="410" w:name="_Toc21423"/>
      <w:bookmarkStart w:id="411" w:name="_Toc15570"/>
      <w:r>
        <w:rPr>
          <w:rFonts w:hint="eastAsia"/>
          <w:color w:val="auto"/>
        </w:rPr>
        <w:t>总结论</w:t>
      </w:r>
      <w:bookmarkEnd w:id="410"/>
      <w:bookmarkEnd w:id="411"/>
    </w:p>
    <w:p w14:paraId="58AA09CD">
      <w:pPr>
        <w:rPr>
          <w:color w:val="auto"/>
        </w:rPr>
      </w:pPr>
      <w:r>
        <w:rPr>
          <w:rFonts w:hint="eastAsia"/>
          <w:color w:val="auto"/>
        </w:rPr>
        <w:t>本次项目</w:t>
      </w:r>
      <w:r>
        <w:rPr>
          <w:rFonts w:hint="eastAsia"/>
          <w:color w:val="auto"/>
          <w:lang w:val="en-US" w:eastAsia="zh-CN"/>
        </w:rPr>
        <w:t>建设</w:t>
      </w:r>
      <w:r>
        <w:rPr>
          <w:rFonts w:hint="eastAsia"/>
          <w:color w:val="auto"/>
        </w:rPr>
        <w:t>符合国家及地方产业政策要求；厂址位于</w:t>
      </w:r>
      <w:r>
        <w:rPr>
          <w:rFonts w:hint="eastAsia"/>
          <w:color w:val="auto"/>
          <w:lang w:eastAsia="zh-CN"/>
        </w:rPr>
        <w:t>昆山市花桥镇逢善路358号</w:t>
      </w:r>
      <w:r>
        <w:rPr>
          <w:rFonts w:hint="eastAsia"/>
          <w:color w:val="auto"/>
        </w:rPr>
        <w:t>，符合园区总体规划；各项污染治理得当，经有效处理后可保证污染物稳定达标排放和安全处置，对外环境影响不大，不会降低区域功能类别，并能满足总量控制要求。在落实风险防范措施、制定应急预案的情况下，环境风险可控。本次评价认为，在落实本报告书中提出的各项环境保护对策建议的前提下，从环保角度本项目是可行的。</w:t>
      </w:r>
    </w:p>
    <w:p w14:paraId="0E46E327">
      <w:pPr>
        <w:pStyle w:val="3"/>
        <w:rPr>
          <w:color w:val="auto"/>
        </w:rPr>
      </w:pPr>
      <w:bookmarkStart w:id="412" w:name="_Toc1854"/>
      <w:bookmarkStart w:id="413" w:name="_Toc24025"/>
      <w:r>
        <w:rPr>
          <w:rFonts w:hint="eastAsia"/>
          <w:color w:val="auto"/>
        </w:rPr>
        <w:t>建议</w:t>
      </w:r>
      <w:bookmarkEnd w:id="412"/>
      <w:bookmarkEnd w:id="413"/>
    </w:p>
    <w:bookmarkEnd w:id="3"/>
    <w:bookmarkEnd w:id="4"/>
    <w:bookmarkEnd w:id="9"/>
    <w:bookmarkEnd w:id="12"/>
    <w:p w14:paraId="5085154D">
      <w:pPr>
        <w:rPr>
          <w:color w:val="auto"/>
        </w:rPr>
      </w:pPr>
      <w:r>
        <w:rPr>
          <w:rFonts w:hint="eastAsia"/>
          <w:color w:val="auto"/>
        </w:rPr>
        <w:t>针对项目的建设特点，环评单位提出的其他建议如下：</w:t>
      </w:r>
    </w:p>
    <w:p w14:paraId="1C8F056A">
      <w:pPr>
        <w:rPr>
          <w:color w:val="auto"/>
        </w:rPr>
      </w:pPr>
      <w:r>
        <w:rPr>
          <w:rFonts w:hint="eastAsia"/>
          <w:color w:val="auto"/>
        </w:rPr>
        <w:t>（1）认真执行建设项目环境保护管理文件的精神，建立健全各项环保规章制度，严格执行“三同时”制度。</w:t>
      </w:r>
    </w:p>
    <w:p w14:paraId="35CF7033">
      <w:pPr>
        <w:rPr>
          <w:color w:val="auto"/>
        </w:rPr>
      </w:pPr>
      <w:r>
        <w:rPr>
          <w:rFonts w:hint="eastAsia"/>
          <w:color w:val="auto"/>
        </w:rPr>
        <w:t>（2）加强原料及产品的储、运管理，防止突发环境事故的发生。</w:t>
      </w:r>
    </w:p>
    <w:p w14:paraId="7210334F">
      <w:pPr>
        <w:rPr>
          <w:color w:val="auto"/>
        </w:rPr>
      </w:pPr>
      <w:r>
        <w:rPr>
          <w:rFonts w:hint="eastAsia"/>
          <w:color w:val="auto"/>
        </w:rPr>
        <w:t>（3）日常生产过程中，加强管道、设备的保养和维护。</w:t>
      </w:r>
    </w:p>
    <w:p w14:paraId="728D5548">
      <w:pPr>
        <w:rPr>
          <w:color w:val="auto"/>
        </w:rPr>
      </w:pPr>
      <w:r>
        <w:rPr>
          <w:rFonts w:hint="eastAsia"/>
          <w:color w:val="auto"/>
        </w:rPr>
        <w:t>（4）加强固体废物尤其是危险废物在厂内堆存期间的环境管理，防止对地下水和土壤造成污染。</w:t>
      </w:r>
    </w:p>
    <w:p w14:paraId="330DA777">
      <w:pPr>
        <w:rPr>
          <w:color w:val="auto"/>
        </w:rPr>
      </w:pPr>
      <w:r>
        <w:rPr>
          <w:rFonts w:hint="eastAsia"/>
          <w:color w:val="auto"/>
        </w:rPr>
        <w:t>（5）采取有效措施防止发生各种事故，应强化风险意识，完善应急措施，对具有较大危险因素的生产岗位进行定期检修和检查，制定完善的事故防范措施和计划，确保职工劳动安全不受项目建设影响。</w:t>
      </w:r>
    </w:p>
    <w:p w14:paraId="2DDE40E5">
      <w:pPr>
        <w:rPr>
          <w:color w:val="auto"/>
        </w:rPr>
      </w:pPr>
      <w:r>
        <w:rPr>
          <w:rFonts w:hint="eastAsia"/>
          <w:color w:val="auto"/>
        </w:rPr>
        <w:t>（6）加强建设项目的环境管理和环境监测。设专职环境管理人员，按报告书的要求认真落实环境监测计划；各排污口的设置和管理应按《江苏省排污口设置及规范化整治管理办法》的有关规定执行。</w:t>
      </w:r>
    </w:p>
    <w:p w14:paraId="7CA317D0">
      <w:pPr>
        <w:rPr>
          <w:color w:val="auto"/>
        </w:rPr>
      </w:pPr>
      <w:r>
        <w:rPr>
          <w:rFonts w:hint="eastAsia"/>
          <w:color w:val="auto"/>
        </w:rPr>
        <w:t>（7）确保污染治理设施长期、稳定、有效地运行，不得擅自拆除或者闲置废气处理设施，不得故意不正常使用污染治理设施。</w:t>
      </w:r>
    </w:p>
    <w:p w14:paraId="12F10E3B"/>
    <w:p w14:paraId="2527DC0B"/>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儷宋 Pro">
    <w:altName w:val="仿宋_GB2312"/>
    <w:panose1 w:val="02020300000000000000"/>
    <w:charset w:val="88"/>
    <w:family w:val="auto"/>
    <w:pitch w:val="default"/>
    <w:sig w:usb0="00000000" w:usb1="00000000" w:usb2="00000016" w:usb3="00000000" w:csb0="0010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Songti SC">
    <w:altName w:val="仿宋_GB2312"/>
    <w:panose1 w:val="02010800040101010101"/>
    <w:charset w:val="86"/>
    <w:family w:val="auto"/>
    <w:pitch w:val="default"/>
    <w:sig w:usb0="00000000" w:usb1="00000000" w:usb2="00000000" w:usb3="00000000" w:csb0="00040000" w:csb1="00000000"/>
  </w:font>
  <w:font w:name="TimesNewRomanPSMT">
    <w:altName w:val="等线"/>
    <w:panose1 w:val="00000000000000000000"/>
    <w:charset w:val="00"/>
    <w:family w:val="auto"/>
    <w:pitch w:val="default"/>
    <w:sig w:usb0="00000000" w:usb1="00000000" w:usb2="00000010" w:usb3="00000000" w:csb0="00060001"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2DE71">
    <w:r>
      <w:rPr>
        <w:rFonts w:hint="eastAsia"/>
      </w:rPr>
      <w:t>3</w:t>
    </w:r>
  </w:p>
  <w:p w14:paraId="02BC3EC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2630752"/>
    </w:sdtPr>
    <w:sdtContent>
      <w:p w14:paraId="7C96634B">
        <w:pPr>
          <w:pStyle w:val="14"/>
        </w:pPr>
        <w:r>
          <w:fldChar w:fldCharType="begin"/>
        </w:r>
        <w:r>
          <w:instrText xml:space="preserve">PAGE   \* MERGEFORMAT</w:instrText>
        </w:r>
        <w:r>
          <w:fldChar w:fldCharType="separate"/>
        </w:r>
        <w: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916C5">
    <w:pPr>
      <w:pStyle w:val="14"/>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93385">
                          <w:pPr>
                            <w:pStyle w:val="14"/>
                          </w:pPr>
                          <w:r>
                            <w:fldChar w:fldCharType="begin"/>
                          </w:r>
                          <w:r>
                            <w:instrText xml:space="preserve">PAGE   \* MERGEFORMAT</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693385">
                    <w:pPr>
                      <w:pStyle w:val="14"/>
                    </w:pPr>
                    <w:r>
                      <w:fldChar w:fldCharType="begin"/>
                    </w:r>
                    <w:r>
                      <w:instrText xml:space="preserve">PAGE   \* MERGEFORMAT</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640DA">
    <w:pPr>
      <w:spacing w:line="184" w:lineRule="auto"/>
      <w:ind w:left="469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E1D9C">
    <w:r>
      <w:rPr>
        <w:rFonts w:hint="eastAsia"/>
      </w:rPr>
      <w:t>南京精锐化工科技有限公司</w:t>
    </w:r>
    <w:r>
      <w:t>年产2000吨润滑油脂项目突发环境</w:t>
    </w:r>
    <w:r>
      <w:rPr>
        <w:rFonts w:hint="eastAsia"/>
      </w:rPr>
      <w:t>事件应急预案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D54DD">
    <w:pPr>
      <w:pStyle w:val="15"/>
    </w:pPr>
    <w:r>
      <w:rPr>
        <w:rFonts w:hint="eastAsia"/>
        <w:lang w:eastAsia="zh-CN"/>
      </w:rPr>
      <w:t>苏州昆运制版有限公司绿色智能化制版项目环境影响报告书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CC1E5">
    <w:pPr>
      <w:pStyle w:val="15"/>
      <w:spacing w:line="240" w:lineRule="auto"/>
      <w:ind w:firstLine="0" w:firstLineChars="0"/>
    </w:pPr>
    <w:r>
      <w:rPr>
        <w:rFonts w:hint="eastAsia"/>
        <w:lang w:eastAsia="zh-CN"/>
      </w:rPr>
      <w:t>苏州昆运制版有限公司绿色智能化制版项目</w:t>
    </w:r>
    <w:r>
      <w:rPr>
        <w:rFonts w:hint="eastAsia"/>
      </w:rPr>
      <w:t>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55EDB">
    <w:pPr>
      <w:widowControl w:val="0"/>
      <w:pBdr>
        <w:bottom w:val="single" w:color="auto" w:sz="6" w:space="1"/>
      </w:pBdr>
      <w:snapToGrid w:val="0"/>
      <w:spacing w:line="240" w:lineRule="auto"/>
      <w:ind w:firstLine="0" w:firstLineChars="0"/>
      <w:jc w:val="center"/>
    </w:pPr>
    <w:r>
      <w:rPr>
        <w:rFonts w:hint="eastAsia" w:ascii="Times New Roman" w:hAnsi="Times New Roman" w:eastAsia="仿宋_GB2312" w:cstheme="minorBidi"/>
        <w:kern w:val="2"/>
        <w:sz w:val="18"/>
        <w:szCs w:val="18"/>
        <w:lang w:val="en-US" w:eastAsia="zh-CN" w:bidi="ar-SA"/>
      </w:rPr>
      <w:t>苏州昆运制版有限公司绿色智能化制版项目环境影响报告书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A697D"/>
    <w:multiLevelType w:val="multilevel"/>
    <w:tmpl w:val="8FFA697D"/>
    <w:lvl w:ilvl="0" w:tentative="0">
      <w:start w:val="1"/>
      <w:numFmt w:val="decimal"/>
      <w:lvlText w:val="（%1）"/>
      <w:lvlJc w:val="left"/>
      <w:pPr>
        <w:ind w:left="980" w:hanging="420"/>
      </w:pPr>
      <w:rPr>
        <w:rFonts w:hint="default" w:ascii="Times New Roman" w:hAnsi="Times New Roman" w:cs="Times New Roman"/>
      </w:rPr>
    </w:lvl>
    <w:lvl w:ilvl="1" w:tentative="0">
      <w:start w:val="1"/>
      <w:numFmt w:val="decimalEnclosedCircle"/>
      <w:lvlText w:val="%2"/>
      <w:lvlJc w:val="left"/>
      <w:pPr>
        <w:ind w:left="1340" w:hanging="360"/>
      </w:pPr>
      <w:rPr>
        <w:rFonts w:hint="default" w:ascii="Times New Roman" w:hAnsi="Times New Roman" w:cs="Times New Roman"/>
      </w:rPr>
    </w:lvl>
    <w:lvl w:ilvl="2" w:tentative="0">
      <w:start w:val="1"/>
      <w:numFmt w:val="lowerRoman"/>
      <w:lvlText w:val="%3."/>
      <w:lvlJc w:val="right"/>
      <w:pPr>
        <w:ind w:left="1820" w:hanging="420"/>
      </w:pPr>
      <w:rPr>
        <w:rFonts w:hint="default" w:ascii="Times New Roman" w:hAnsi="Times New Roman" w:cs="Times New Roman"/>
      </w:rPr>
    </w:lvl>
    <w:lvl w:ilvl="3" w:tentative="0">
      <w:start w:val="1"/>
      <w:numFmt w:val="decimal"/>
      <w:lvlText w:val="%4."/>
      <w:lvlJc w:val="left"/>
      <w:pPr>
        <w:ind w:left="2240" w:hanging="420"/>
      </w:pPr>
      <w:rPr>
        <w:rFonts w:hint="default" w:ascii="Times New Roman" w:hAnsi="Times New Roman" w:cs="Times New Roman"/>
      </w:rPr>
    </w:lvl>
    <w:lvl w:ilvl="4" w:tentative="0">
      <w:start w:val="1"/>
      <w:numFmt w:val="lowerLetter"/>
      <w:lvlText w:val="%5)"/>
      <w:lvlJc w:val="left"/>
      <w:pPr>
        <w:ind w:left="2660" w:hanging="420"/>
      </w:pPr>
      <w:rPr>
        <w:rFonts w:hint="default" w:ascii="Times New Roman" w:hAnsi="Times New Roman" w:cs="Times New Roman"/>
      </w:rPr>
    </w:lvl>
    <w:lvl w:ilvl="5" w:tentative="0">
      <w:start w:val="1"/>
      <w:numFmt w:val="lowerRoman"/>
      <w:lvlText w:val="%6."/>
      <w:lvlJc w:val="right"/>
      <w:pPr>
        <w:ind w:left="3080" w:hanging="420"/>
      </w:pPr>
      <w:rPr>
        <w:rFonts w:hint="default" w:ascii="Times New Roman" w:hAnsi="Times New Roman" w:cs="Times New Roman"/>
      </w:rPr>
    </w:lvl>
    <w:lvl w:ilvl="6" w:tentative="0">
      <w:start w:val="1"/>
      <w:numFmt w:val="decimal"/>
      <w:lvlText w:val="%7."/>
      <w:lvlJc w:val="left"/>
      <w:pPr>
        <w:ind w:left="3500" w:hanging="420"/>
      </w:pPr>
      <w:rPr>
        <w:rFonts w:hint="default" w:ascii="Times New Roman" w:hAnsi="Times New Roman" w:cs="Times New Roman"/>
      </w:rPr>
    </w:lvl>
    <w:lvl w:ilvl="7" w:tentative="0">
      <w:start w:val="1"/>
      <w:numFmt w:val="lowerLetter"/>
      <w:lvlText w:val="%8)"/>
      <w:lvlJc w:val="left"/>
      <w:pPr>
        <w:ind w:left="3920" w:hanging="420"/>
      </w:pPr>
      <w:rPr>
        <w:rFonts w:hint="default" w:ascii="Times New Roman" w:hAnsi="Times New Roman" w:cs="Times New Roman"/>
      </w:rPr>
    </w:lvl>
    <w:lvl w:ilvl="8" w:tentative="0">
      <w:start w:val="1"/>
      <w:numFmt w:val="lowerRoman"/>
      <w:lvlText w:val="%9."/>
      <w:lvlJc w:val="right"/>
      <w:pPr>
        <w:ind w:left="4340" w:hanging="420"/>
      </w:pPr>
      <w:rPr>
        <w:rFonts w:hint="default" w:ascii="Times New Roman" w:hAnsi="Times New Roman" w:cs="Times New Roman"/>
      </w:rPr>
    </w:lvl>
  </w:abstractNum>
  <w:abstractNum w:abstractNumId="1">
    <w:nsid w:val="91096FD9"/>
    <w:multiLevelType w:val="singleLevel"/>
    <w:tmpl w:val="91096FD9"/>
    <w:lvl w:ilvl="0" w:tentative="0">
      <w:start w:val="1"/>
      <w:numFmt w:val="decimal"/>
      <w:lvlText w:val="%1."/>
      <w:lvlJc w:val="left"/>
      <w:pPr>
        <w:tabs>
          <w:tab w:val="left" w:pos="312"/>
        </w:tabs>
      </w:pPr>
    </w:lvl>
  </w:abstractNum>
  <w:abstractNum w:abstractNumId="2">
    <w:nsid w:val="EC06220C"/>
    <w:multiLevelType w:val="singleLevel"/>
    <w:tmpl w:val="EC06220C"/>
    <w:lvl w:ilvl="0" w:tentative="0">
      <w:start w:val="1"/>
      <w:numFmt w:val="decimal"/>
      <w:suff w:val="nothing"/>
      <w:lvlText w:val="（%1）"/>
      <w:lvlJc w:val="left"/>
    </w:lvl>
  </w:abstractNum>
  <w:abstractNum w:abstractNumId="3">
    <w:nsid w:val="096C2D5E"/>
    <w:multiLevelType w:val="multilevel"/>
    <w:tmpl w:val="096C2D5E"/>
    <w:lvl w:ilvl="0" w:tentative="0">
      <w:start w:val="1"/>
      <w:numFmt w:val="decimalEnclosedCircle"/>
      <w:lvlText w:val="%1"/>
      <w:lvlJc w:val="left"/>
      <w:pPr>
        <w:ind w:left="920" w:hanging="360"/>
      </w:pPr>
      <w:rPr>
        <w:rFonts w:hint="eastAsia" w:ascii="Times New Roman" w:hAnsi="Times New Roman" w:eastAsia="儷宋 Pro"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195A521F"/>
    <w:multiLevelType w:val="singleLevel"/>
    <w:tmpl w:val="195A521F"/>
    <w:lvl w:ilvl="0" w:tentative="0">
      <w:start w:val="1"/>
      <w:numFmt w:val="chineseCounting"/>
      <w:suff w:val="nothing"/>
      <w:lvlText w:val="%1、"/>
      <w:lvlJc w:val="left"/>
      <w:rPr>
        <w:rFonts w:hint="eastAsia"/>
      </w:rPr>
    </w:lvl>
  </w:abstractNum>
  <w:abstractNum w:abstractNumId="5">
    <w:nsid w:val="312B780A"/>
    <w:multiLevelType w:val="multilevel"/>
    <w:tmpl w:val="312B780A"/>
    <w:lvl w:ilvl="0" w:tentative="0">
      <w:start w:val="1"/>
      <w:numFmt w:val="decimal"/>
      <w:pStyle w:val="2"/>
      <w:suff w:val="nothing"/>
      <w:lvlText w:val="%1 "/>
      <w:lvlJc w:val="left"/>
      <w:pPr>
        <w:ind w:left="0" w:firstLine="0"/>
      </w:pPr>
      <w:rPr>
        <w:rFonts w:hint="eastAsia"/>
        <w:b/>
        <w:i w:val="0"/>
        <w:sz w:val="32"/>
        <w:szCs w:val="30"/>
      </w:rPr>
    </w:lvl>
    <w:lvl w:ilvl="1" w:tentative="0">
      <w:start w:val="1"/>
      <w:numFmt w:val="decimal"/>
      <w:pStyle w:val="3"/>
      <w:suff w:val="nothing"/>
      <w:lvlText w:val="%1.%2 "/>
      <w:lvlJc w:val="left"/>
      <w:pPr>
        <w:ind w:left="568" w:firstLine="0"/>
      </w:pPr>
      <w:rPr>
        <w:rFonts w:hint="eastAsia"/>
        <w:b/>
        <w:i w:val="0"/>
      </w:rPr>
    </w:lvl>
    <w:lvl w:ilvl="2" w:tentative="0">
      <w:start w:val="1"/>
      <w:numFmt w:val="decimal"/>
      <w:pStyle w:val="4"/>
      <w:suff w:val="nothing"/>
      <w:lvlText w:val="%1.%2.%3 "/>
      <w:lvlJc w:val="left"/>
      <w:pPr>
        <w:ind w:left="852" w:firstLine="0"/>
      </w:pPr>
      <w:rPr>
        <w:rFonts w:hint="eastAsia"/>
        <w:b/>
        <w:i w:val="0"/>
      </w:rPr>
    </w:lvl>
    <w:lvl w:ilvl="3" w:tentative="0">
      <w:start w:val="1"/>
      <w:numFmt w:val="decimal"/>
      <w:pStyle w:val="5"/>
      <w:suff w:val="nothing"/>
      <w:lvlText w:val="%1.%2.%3.%4 "/>
      <w:lvlJc w:val="left"/>
      <w:pPr>
        <w:ind w:left="568" w:firstLine="0"/>
      </w:pPr>
      <w:rPr>
        <w:rFonts w:hint="eastAsia"/>
        <w:b/>
        <w:i w:val="0"/>
        <w:sz w:val="30"/>
      </w:rPr>
    </w:lvl>
    <w:lvl w:ilvl="4" w:tentative="0">
      <w:start w:val="1"/>
      <w:numFmt w:val="decimal"/>
      <w:pStyle w:val="6"/>
      <w:suff w:val="nothing"/>
      <w:lvlText w:val="%1.%2.%3.%4.%5 "/>
      <w:lvlJc w:val="left"/>
      <w:pPr>
        <w:ind w:left="0" w:firstLine="0"/>
      </w:pPr>
      <w:rPr>
        <w:rFonts w:hint="eastAsia"/>
        <w:b/>
        <w:i w:val="0"/>
      </w:rPr>
    </w:lvl>
    <w:lvl w:ilvl="5" w:tentative="0">
      <w:start w:val="1"/>
      <w:numFmt w:val="decimal"/>
      <w:pStyle w:val="7"/>
      <w:suff w:val="nothing"/>
      <w:lvlText w:val="%1.%2.%3.%4.%5.%6 "/>
      <w:lvlJc w:val="left"/>
      <w:pPr>
        <w:ind w:left="0" w:firstLine="0"/>
      </w:pPr>
      <w:rPr>
        <w:rFonts w:hint="eastAsia"/>
        <w:b/>
        <w:i w:val="0"/>
      </w:rPr>
    </w:lvl>
    <w:lvl w:ilvl="6" w:tentative="0">
      <w:start w:val="1"/>
      <w:numFmt w:val="decimal"/>
      <w:pStyle w:val="8"/>
      <w:suff w:val="nothing"/>
      <w:lvlText w:val="%1.%2.%3.%4.%5.%6.%7 "/>
      <w:lvlJc w:val="left"/>
      <w:pPr>
        <w:ind w:left="0" w:firstLine="0"/>
      </w:pPr>
      <w:rPr>
        <w:rFonts w:hint="eastAsia"/>
      </w:rPr>
    </w:lvl>
    <w:lvl w:ilvl="7" w:tentative="0">
      <w:start w:val="1"/>
      <w:numFmt w:val="decimal"/>
      <w:pStyle w:val="9"/>
      <w:suff w:val="nothing"/>
      <w:lvlText w:val="%1.%2.%3.%4.%5.%6.%7.%8 "/>
      <w:lvlJc w:val="left"/>
      <w:pPr>
        <w:ind w:left="0" w:firstLine="0"/>
      </w:pPr>
      <w:rPr>
        <w:rFonts w:hint="eastAsia"/>
      </w:rPr>
    </w:lvl>
    <w:lvl w:ilvl="8" w:tentative="0">
      <w:start w:val="1"/>
      <w:numFmt w:val="decimal"/>
      <w:pStyle w:val="10"/>
      <w:lvlText w:val="%1.%2.%3.%4.%5.%6.%7.%8.%9 "/>
      <w:lvlJc w:val="left"/>
      <w:pPr>
        <w:ind w:left="0" w:firstLine="0"/>
      </w:pPr>
      <w:rPr>
        <w:rFonts w:hint="eastAsia"/>
      </w:rPr>
    </w:lvl>
  </w:abstractNum>
  <w:abstractNum w:abstractNumId="6">
    <w:nsid w:val="31A82D3D"/>
    <w:multiLevelType w:val="multilevel"/>
    <w:tmpl w:val="31A82D3D"/>
    <w:lvl w:ilvl="0" w:tentative="0">
      <w:start w:val="1"/>
      <w:numFmt w:val="decimal"/>
      <w:suff w:val="nothing"/>
      <w:lvlText w:val="（%1）"/>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420C7D6A"/>
    <w:multiLevelType w:val="multilevel"/>
    <w:tmpl w:val="420C7D6A"/>
    <w:lvl w:ilvl="0" w:tentative="0">
      <w:start w:val="1"/>
      <w:numFmt w:val="decimal"/>
      <w:lvlText w:val="（%1）"/>
      <w:lvlJc w:val="left"/>
      <w:pPr>
        <w:ind w:left="980" w:hanging="420"/>
      </w:pPr>
      <w:rPr>
        <w:rFonts w:hint="default" w:ascii="Times New Roman" w:hAnsi="Times New Roman" w:cs="Times New Roman"/>
      </w:rPr>
    </w:lvl>
    <w:lvl w:ilvl="1" w:tentative="0">
      <w:start w:val="1"/>
      <w:numFmt w:val="decimalEnclosedCircle"/>
      <w:lvlText w:val="%2"/>
      <w:lvlJc w:val="left"/>
      <w:pPr>
        <w:ind w:left="1340" w:hanging="360"/>
      </w:pPr>
      <w:rPr>
        <w:rFonts w:hint="default" w:ascii="Times New Roman" w:hAnsi="Times New Roman" w:cs="Times New Roman"/>
      </w:rPr>
    </w:lvl>
    <w:lvl w:ilvl="2" w:tentative="0">
      <w:start w:val="1"/>
      <w:numFmt w:val="lowerRoman"/>
      <w:lvlText w:val="%3."/>
      <w:lvlJc w:val="right"/>
      <w:pPr>
        <w:ind w:left="1820" w:hanging="420"/>
      </w:pPr>
      <w:rPr>
        <w:rFonts w:hint="default" w:ascii="Times New Roman" w:hAnsi="Times New Roman" w:cs="Times New Roman"/>
      </w:rPr>
    </w:lvl>
    <w:lvl w:ilvl="3" w:tentative="0">
      <w:start w:val="1"/>
      <w:numFmt w:val="decimal"/>
      <w:lvlText w:val="%4."/>
      <w:lvlJc w:val="left"/>
      <w:pPr>
        <w:ind w:left="2240" w:hanging="420"/>
      </w:pPr>
      <w:rPr>
        <w:rFonts w:hint="default" w:ascii="Times New Roman" w:hAnsi="Times New Roman" w:cs="Times New Roman"/>
      </w:rPr>
    </w:lvl>
    <w:lvl w:ilvl="4" w:tentative="0">
      <w:start w:val="1"/>
      <w:numFmt w:val="lowerLetter"/>
      <w:lvlText w:val="%5)"/>
      <w:lvlJc w:val="left"/>
      <w:pPr>
        <w:ind w:left="2660" w:hanging="420"/>
      </w:pPr>
      <w:rPr>
        <w:rFonts w:hint="default" w:ascii="Times New Roman" w:hAnsi="Times New Roman" w:cs="Times New Roman"/>
      </w:rPr>
    </w:lvl>
    <w:lvl w:ilvl="5" w:tentative="0">
      <w:start w:val="1"/>
      <w:numFmt w:val="lowerRoman"/>
      <w:lvlText w:val="%6."/>
      <w:lvlJc w:val="right"/>
      <w:pPr>
        <w:ind w:left="3080" w:hanging="420"/>
      </w:pPr>
      <w:rPr>
        <w:rFonts w:hint="default" w:ascii="Times New Roman" w:hAnsi="Times New Roman" w:cs="Times New Roman"/>
      </w:rPr>
    </w:lvl>
    <w:lvl w:ilvl="6" w:tentative="0">
      <w:start w:val="1"/>
      <w:numFmt w:val="decimal"/>
      <w:lvlText w:val="%7."/>
      <w:lvlJc w:val="left"/>
      <w:pPr>
        <w:ind w:left="3500" w:hanging="420"/>
      </w:pPr>
      <w:rPr>
        <w:rFonts w:hint="default" w:ascii="Times New Roman" w:hAnsi="Times New Roman" w:cs="Times New Roman"/>
      </w:rPr>
    </w:lvl>
    <w:lvl w:ilvl="7" w:tentative="0">
      <w:start w:val="1"/>
      <w:numFmt w:val="lowerLetter"/>
      <w:lvlText w:val="%8)"/>
      <w:lvlJc w:val="left"/>
      <w:pPr>
        <w:ind w:left="3920" w:hanging="420"/>
      </w:pPr>
      <w:rPr>
        <w:rFonts w:hint="default" w:ascii="Times New Roman" w:hAnsi="Times New Roman" w:cs="Times New Roman"/>
      </w:rPr>
    </w:lvl>
    <w:lvl w:ilvl="8" w:tentative="0">
      <w:start w:val="1"/>
      <w:numFmt w:val="lowerRoman"/>
      <w:lvlText w:val="%9."/>
      <w:lvlJc w:val="right"/>
      <w:pPr>
        <w:ind w:left="4340" w:hanging="420"/>
      </w:pPr>
      <w:rPr>
        <w:rFonts w:hint="default" w:ascii="Times New Roman" w:hAnsi="Times New Roman" w:cs="Times New Roman"/>
      </w:rPr>
    </w:lvl>
  </w:abstractNum>
  <w:abstractNum w:abstractNumId="8">
    <w:nsid w:val="4C0747A4"/>
    <w:multiLevelType w:val="singleLevel"/>
    <w:tmpl w:val="4C0747A4"/>
    <w:lvl w:ilvl="0" w:tentative="0">
      <w:start w:val="1"/>
      <w:numFmt w:val="decimal"/>
      <w:suff w:val="nothing"/>
      <w:lvlText w:val="（%1）"/>
      <w:lvlJc w:val="left"/>
    </w:lvl>
  </w:abstractNum>
  <w:abstractNum w:abstractNumId="9">
    <w:nsid w:val="5A0B5E39"/>
    <w:multiLevelType w:val="singleLevel"/>
    <w:tmpl w:val="5A0B5E39"/>
    <w:lvl w:ilvl="0" w:tentative="0">
      <w:start w:val="1"/>
      <w:numFmt w:val="lowerLetter"/>
      <w:lvlText w:val="%1."/>
      <w:lvlJc w:val="left"/>
      <w:pPr>
        <w:tabs>
          <w:tab w:val="left" w:pos="312"/>
        </w:tabs>
      </w:pPr>
    </w:lvl>
  </w:abstractNum>
  <w:num w:numId="1">
    <w:abstractNumId w:val="5"/>
  </w:num>
  <w:num w:numId="2">
    <w:abstractNumId w:val="5"/>
    <w:lvlOverride w:ilvl="0">
      <w:lvl w:ilvl="0" w:tentative="1">
        <w:start w:val="1"/>
        <w:numFmt w:val="decimal"/>
        <w:suff w:val="nothing"/>
        <w:lvlText w:val="%1 "/>
        <w:lvlJc w:val="left"/>
        <w:pPr>
          <w:ind w:left="0" w:firstLine="0"/>
        </w:pPr>
        <w:rPr>
          <w:rFonts w:hint="default" w:ascii="Times New Roman" w:hAnsi="Times New Roman"/>
          <w:b/>
          <w:i w:val="0"/>
          <w:sz w:val="32"/>
          <w:szCs w:val="30"/>
        </w:rPr>
      </w:lvl>
    </w:lvlOverride>
    <w:lvlOverride w:ilvl="1">
      <w:lvl w:ilvl="1" w:tentative="1">
        <w:start w:val="1"/>
        <w:numFmt w:val="decimal"/>
        <w:suff w:val="nothing"/>
        <w:lvlText w:val="%1.%2 "/>
        <w:lvlJc w:val="left"/>
        <w:pPr>
          <w:ind w:left="0" w:firstLine="0"/>
        </w:pPr>
        <w:rPr>
          <w:rFonts w:hint="default" w:ascii="Times New Roman" w:hAnsi="Times New Roman"/>
          <w:b/>
          <w:i w:val="0"/>
          <w:sz w:val="30"/>
        </w:rPr>
      </w:lvl>
    </w:lvlOverride>
    <w:lvlOverride w:ilvl="2">
      <w:lvl w:ilvl="2" w:tentative="1">
        <w:start w:val="1"/>
        <w:numFmt w:val="decimal"/>
        <w:suff w:val="nothing"/>
        <w:lvlText w:val="%1.%2.%3 "/>
        <w:lvlJc w:val="left"/>
        <w:pPr>
          <w:ind w:left="0" w:firstLine="0"/>
        </w:pPr>
        <w:rPr>
          <w:rFonts w:hint="eastAsia"/>
          <w:b/>
          <w:i w:val="0"/>
        </w:rPr>
      </w:lvl>
    </w:lvlOverride>
    <w:lvlOverride w:ilvl="3">
      <w:lvl w:ilvl="3" w:tentative="1">
        <w:start w:val="1"/>
        <w:numFmt w:val="decimal"/>
        <w:suff w:val="nothing"/>
        <w:lvlText w:val="%1.%2.%3.%4 "/>
        <w:lvlJc w:val="left"/>
        <w:pPr>
          <w:ind w:left="0" w:firstLine="0"/>
        </w:pPr>
        <w:rPr>
          <w:rFonts w:hint="eastAsia"/>
          <w:b/>
          <w:i w:val="0"/>
        </w:rPr>
      </w:lvl>
    </w:lvlOverride>
    <w:lvlOverride w:ilvl="4">
      <w:lvl w:ilvl="4" w:tentative="1">
        <w:start w:val="1"/>
        <w:numFmt w:val="decimal"/>
        <w:suff w:val="space"/>
        <w:lvlText w:val="%1.%2.%3.%4.%5 "/>
        <w:lvlJc w:val="left"/>
        <w:pPr>
          <w:ind w:left="0" w:firstLine="0"/>
        </w:pPr>
        <w:rPr>
          <w:rFonts w:hint="eastAsia"/>
          <w:b/>
          <w:i w:val="0"/>
        </w:rPr>
      </w:lvl>
    </w:lvlOverride>
    <w:lvlOverride w:ilvl="5">
      <w:lvl w:ilvl="5" w:tentative="1">
        <w:start w:val="1"/>
        <w:numFmt w:val="decimal"/>
        <w:suff w:val="nothing"/>
        <w:lvlText w:val="%1.%2.%3.%4.%5.%6 "/>
        <w:lvlJc w:val="left"/>
        <w:pPr>
          <w:ind w:left="0" w:firstLine="0"/>
        </w:pPr>
        <w:rPr>
          <w:rFonts w:hint="eastAsia"/>
          <w:b/>
          <w:i w:val="0"/>
        </w:rPr>
      </w:lvl>
    </w:lvlOverride>
    <w:lvlOverride w:ilvl="6">
      <w:lvl w:ilvl="6" w:tentative="1">
        <w:start w:val="1"/>
        <w:numFmt w:val="decimal"/>
        <w:suff w:val="nothing"/>
        <w:lvlText w:val="%1.%2.%3.%4.%5.%6.%7 "/>
        <w:lvlJc w:val="left"/>
        <w:pPr>
          <w:ind w:left="0" w:firstLine="0"/>
        </w:pPr>
        <w:rPr>
          <w:rFonts w:hint="eastAsia"/>
        </w:rPr>
      </w:lvl>
    </w:lvlOverride>
    <w:lvlOverride w:ilvl="7">
      <w:lvl w:ilvl="7" w:tentative="1">
        <w:start w:val="1"/>
        <w:numFmt w:val="decimal"/>
        <w:suff w:val="nothing"/>
        <w:lvlText w:val="%1.%2.%3.%4.%5.%6.%7.%8 "/>
        <w:lvlJc w:val="left"/>
        <w:pPr>
          <w:ind w:left="0" w:firstLine="0"/>
        </w:pPr>
        <w:rPr>
          <w:rFonts w:hint="eastAsia"/>
        </w:rPr>
      </w:lvl>
    </w:lvlOverride>
    <w:lvlOverride w:ilvl="8">
      <w:lvl w:ilvl="8" w:tentative="1">
        <w:start w:val="1"/>
        <w:numFmt w:val="decimal"/>
        <w:lvlText w:val="%1.%2.%3.%4.%5.%6.%7.%8.%9 "/>
        <w:lvlJc w:val="left"/>
        <w:pPr>
          <w:ind w:left="0" w:firstLine="0"/>
        </w:pPr>
        <w:rPr>
          <w:rFonts w:hint="eastAsia"/>
        </w:rPr>
      </w:lvl>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1"/>
  </w:num>
  <w:num w:numId="9">
    <w:abstractNumId w:val="9"/>
  </w:num>
  <w:num w:numId="10">
    <w:abstractNumId w:val="4"/>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14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1MTFmMmRiMWFhYTBkYjhiNmUwN2JhNDljYTJlZjMifQ=="/>
  </w:docVars>
  <w:rsids>
    <w:rsidRoot w:val="00172A27"/>
    <w:rsid w:val="00004048"/>
    <w:rsid w:val="00011C04"/>
    <w:rsid w:val="000122DB"/>
    <w:rsid w:val="00012BE5"/>
    <w:rsid w:val="00014853"/>
    <w:rsid w:val="00014A9F"/>
    <w:rsid w:val="000227AF"/>
    <w:rsid w:val="00022FBE"/>
    <w:rsid w:val="00023887"/>
    <w:rsid w:val="00025164"/>
    <w:rsid w:val="0002561E"/>
    <w:rsid w:val="000268C5"/>
    <w:rsid w:val="00027018"/>
    <w:rsid w:val="000276A6"/>
    <w:rsid w:val="0003476B"/>
    <w:rsid w:val="00034AE9"/>
    <w:rsid w:val="00035D0B"/>
    <w:rsid w:val="00036448"/>
    <w:rsid w:val="00036CCF"/>
    <w:rsid w:val="000406D9"/>
    <w:rsid w:val="0004221B"/>
    <w:rsid w:val="00054228"/>
    <w:rsid w:val="00056E93"/>
    <w:rsid w:val="0006134F"/>
    <w:rsid w:val="000622CF"/>
    <w:rsid w:val="00064DC0"/>
    <w:rsid w:val="00067076"/>
    <w:rsid w:val="00076A07"/>
    <w:rsid w:val="00080BEB"/>
    <w:rsid w:val="00082310"/>
    <w:rsid w:val="00082443"/>
    <w:rsid w:val="0008274E"/>
    <w:rsid w:val="00084612"/>
    <w:rsid w:val="00086B9B"/>
    <w:rsid w:val="00087726"/>
    <w:rsid w:val="0009075B"/>
    <w:rsid w:val="0009159D"/>
    <w:rsid w:val="00097CDC"/>
    <w:rsid w:val="000B172B"/>
    <w:rsid w:val="000B20B9"/>
    <w:rsid w:val="000B5BD1"/>
    <w:rsid w:val="000B7620"/>
    <w:rsid w:val="000C06C8"/>
    <w:rsid w:val="000C13DC"/>
    <w:rsid w:val="000C2596"/>
    <w:rsid w:val="000C4F65"/>
    <w:rsid w:val="000C5550"/>
    <w:rsid w:val="000D20BC"/>
    <w:rsid w:val="000D21AD"/>
    <w:rsid w:val="000D3A31"/>
    <w:rsid w:val="000D517A"/>
    <w:rsid w:val="000D65EA"/>
    <w:rsid w:val="000D6B67"/>
    <w:rsid w:val="000D7053"/>
    <w:rsid w:val="000D7455"/>
    <w:rsid w:val="000E2F39"/>
    <w:rsid w:val="000E4D9B"/>
    <w:rsid w:val="000F4059"/>
    <w:rsid w:val="00100476"/>
    <w:rsid w:val="00103154"/>
    <w:rsid w:val="00107CF7"/>
    <w:rsid w:val="0011054F"/>
    <w:rsid w:val="00110B85"/>
    <w:rsid w:val="00112BFE"/>
    <w:rsid w:val="00113FD2"/>
    <w:rsid w:val="001170EE"/>
    <w:rsid w:val="00124A45"/>
    <w:rsid w:val="001263B5"/>
    <w:rsid w:val="00126A63"/>
    <w:rsid w:val="00127D4C"/>
    <w:rsid w:val="00131A1D"/>
    <w:rsid w:val="001331C6"/>
    <w:rsid w:val="00136278"/>
    <w:rsid w:val="00136B7D"/>
    <w:rsid w:val="0013766D"/>
    <w:rsid w:val="0013781B"/>
    <w:rsid w:val="00141002"/>
    <w:rsid w:val="00142A09"/>
    <w:rsid w:val="00143A5F"/>
    <w:rsid w:val="00147D82"/>
    <w:rsid w:val="001503CB"/>
    <w:rsid w:val="00150E82"/>
    <w:rsid w:val="001512D8"/>
    <w:rsid w:val="00153690"/>
    <w:rsid w:val="00154588"/>
    <w:rsid w:val="0015677C"/>
    <w:rsid w:val="00162F4A"/>
    <w:rsid w:val="00164AD4"/>
    <w:rsid w:val="00166F7B"/>
    <w:rsid w:val="001712ED"/>
    <w:rsid w:val="00172A27"/>
    <w:rsid w:val="00173CB8"/>
    <w:rsid w:val="001757A1"/>
    <w:rsid w:val="001759C0"/>
    <w:rsid w:val="00176E57"/>
    <w:rsid w:val="00183C66"/>
    <w:rsid w:val="001869CD"/>
    <w:rsid w:val="00190E34"/>
    <w:rsid w:val="00191039"/>
    <w:rsid w:val="00192197"/>
    <w:rsid w:val="00193B2B"/>
    <w:rsid w:val="001A2731"/>
    <w:rsid w:val="001A3E5F"/>
    <w:rsid w:val="001A50E1"/>
    <w:rsid w:val="001A5AF3"/>
    <w:rsid w:val="001A68A5"/>
    <w:rsid w:val="001B0DCA"/>
    <w:rsid w:val="001B23CC"/>
    <w:rsid w:val="001B2435"/>
    <w:rsid w:val="001B2808"/>
    <w:rsid w:val="001B6640"/>
    <w:rsid w:val="001B6872"/>
    <w:rsid w:val="001C1859"/>
    <w:rsid w:val="001C1F25"/>
    <w:rsid w:val="001C2753"/>
    <w:rsid w:val="001C2CA3"/>
    <w:rsid w:val="001C6BCB"/>
    <w:rsid w:val="001C6E39"/>
    <w:rsid w:val="001D1474"/>
    <w:rsid w:val="001D1CB6"/>
    <w:rsid w:val="001D29C5"/>
    <w:rsid w:val="001D2AC9"/>
    <w:rsid w:val="001D510D"/>
    <w:rsid w:val="001D6761"/>
    <w:rsid w:val="001D69E7"/>
    <w:rsid w:val="001D6D4D"/>
    <w:rsid w:val="001E05C2"/>
    <w:rsid w:val="001E2354"/>
    <w:rsid w:val="001E27E4"/>
    <w:rsid w:val="001E3023"/>
    <w:rsid w:val="001E35F4"/>
    <w:rsid w:val="001E73DE"/>
    <w:rsid w:val="001E7785"/>
    <w:rsid w:val="001F4E83"/>
    <w:rsid w:val="00200387"/>
    <w:rsid w:val="00204DDB"/>
    <w:rsid w:val="00205185"/>
    <w:rsid w:val="002122E8"/>
    <w:rsid w:val="00212A30"/>
    <w:rsid w:val="00212B97"/>
    <w:rsid w:val="0021605B"/>
    <w:rsid w:val="00216E38"/>
    <w:rsid w:val="00221BCC"/>
    <w:rsid w:val="00222A28"/>
    <w:rsid w:val="00223676"/>
    <w:rsid w:val="00223A1A"/>
    <w:rsid w:val="002256F4"/>
    <w:rsid w:val="00226B55"/>
    <w:rsid w:val="0023046C"/>
    <w:rsid w:val="00236D06"/>
    <w:rsid w:val="002374B0"/>
    <w:rsid w:val="002418C8"/>
    <w:rsid w:val="00242C5C"/>
    <w:rsid w:val="00243278"/>
    <w:rsid w:val="00243C31"/>
    <w:rsid w:val="00243D78"/>
    <w:rsid w:val="00244378"/>
    <w:rsid w:val="002443BB"/>
    <w:rsid w:val="0024599D"/>
    <w:rsid w:val="002462E8"/>
    <w:rsid w:val="0024675B"/>
    <w:rsid w:val="002477C0"/>
    <w:rsid w:val="00251DF3"/>
    <w:rsid w:val="002536B3"/>
    <w:rsid w:val="00256D7C"/>
    <w:rsid w:val="002627E6"/>
    <w:rsid w:val="0026324F"/>
    <w:rsid w:val="002634C7"/>
    <w:rsid w:val="002654A4"/>
    <w:rsid w:val="00270268"/>
    <w:rsid w:val="00271406"/>
    <w:rsid w:val="0027445B"/>
    <w:rsid w:val="0027470B"/>
    <w:rsid w:val="002755D5"/>
    <w:rsid w:val="002765BB"/>
    <w:rsid w:val="00276923"/>
    <w:rsid w:val="002809EA"/>
    <w:rsid w:val="00284F59"/>
    <w:rsid w:val="00286890"/>
    <w:rsid w:val="00286B92"/>
    <w:rsid w:val="002938FD"/>
    <w:rsid w:val="002952B2"/>
    <w:rsid w:val="002A2EF0"/>
    <w:rsid w:val="002A3B1D"/>
    <w:rsid w:val="002B0418"/>
    <w:rsid w:val="002B13EC"/>
    <w:rsid w:val="002B3240"/>
    <w:rsid w:val="002B72E0"/>
    <w:rsid w:val="002C460F"/>
    <w:rsid w:val="002C7401"/>
    <w:rsid w:val="002C7AA6"/>
    <w:rsid w:val="002D28E5"/>
    <w:rsid w:val="002D5260"/>
    <w:rsid w:val="002E1557"/>
    <w:rsid w:val="002E1987"/>
    <w:rsid w:val="002E2BF8"/>
    <w:rsid w:val="002E2F13"/>
    <w:rsid w:val="002E4AAD"/>
    <w:rsid w:val="002F022F"/>
    <w:rsid w:val="002F3540"/>
    <w:rsid w:val="002F40E2"/>
    <w:rsid w:val="002F4127"/>
    <w:rsid w:val="002F4A50"/>
    <w:rsid w:val="00301574"/>
    <w:rsid w:val="00307170"/>
    <w:rsid w:val="00307853"/>
    <w:rsid w:val="003103AB"/>
    <w:rsid w:val="003128DB"/>
    <w:rsid w:val="00313AE9"/>
    <w:rsid w:val="00320DEE"/>
    <w:rsid w:val="00331EED"/>
    <w:rsid w:val="00332E73"/>
    <w:rsid w:val="00333A9C"/>
    <w:rsid w:val="00335A09"/>
    <w:rsid w:val="00336EFB"/>
    <w:rsid w:val="00341D7E"/>
    <w:rsid w:val="00343715"/>
    <w:rsid w:val="00344DBD"/>
    <w:rsid w:val="00351A6B"/>
    <w:rsid w:val="003533B1"/>
    <w:rsid w:val="0035384A"/>
    <w:rsid w:val="00353918"/>
    <w:rsid w:val="0036024D"/>
    <w:rsid w:val="00365ADB"/>
    <w:rsid w:val="00367F88"/>
    <w:rsid w:val="003732D4"/>
    <w:rsid w:val="00374A33"/>
    <w:rsid w:val="00375B55"/>
    <w:rsid w:val="00380D15"/>
    <w:rsid w:val="003816B7"/>
    <w:rsid w:val="00381B9A"/>
    <w:rsid w:val="00382C09"/>
    <w:rsid w:val="00383BFF"/>
    <w:rsid w:val="00386AFA"/>
    <w:rsid w:val="00386B02"/>
    <w:rsid w:val="003873DF"/>
    <w:rsid w:val="0039019C"/>
    <w:rsid w:val="00392961"/>
    <w:rsid w:val="00392F55"/>
    <w:rsid w:val="0039350D"/>
    <w:rsid w:val="00393A16"/>
    <w:rsid w:val="00394266"/>
    <w:rsid w:val="003A1AD0"/>
    <w:rsid w:val="003A1CE1"/>
    <w:rsid w:val="003A1E8D"/>
    <w:rsid w:val="003A35DF"/>
    <w:rsid w:val="003A562E"/>
    <w:rsid w:val="003A5D5F"/>
    <w:rsid w:val="003A77F2"/>
    <w:rsid w:val="003B514D"/>
    <w:rsid w:val="003B5832"/>
    <w:rsid w:val="003B71CE"/>
    <w:rsid w:val="003B77B0"/>
    <w:rsid w:val="003C46DA"/>
    <w:rsid w:val="003C5640"/>
    <w:rsid w:val="003C789F"/>
    <w:rsid w:val="003C7A16"/>
    <w:rsid w:val="003D1AD7"/>
    <w:rsid w:val="003D22E7"/>
    <w:rsid w:val="003D297A"/>
    <w:rsid w:val="003D3ABD"/>
    <w:rsid w:val="003E07B2"/>
    <w:rsid w:val="003E2489"/>
    <w:rsid w:val="003E336D"/>
    <w:rsid w:val="003E4383"/>
    <w:rsid w:val="003E482A"/>
    <w:rsid w:val="003E561E"/>
    <w:rsid w:val="003E6850"/>
    <w:rsid w:val="003E6F87"/>
    <w:rsid w:val="003F42EC"/>
    <w:rsid w:val="003F4E81"/>
    <w:rsid w:val="003F577C"/>
    <w:rsid w:val="003F5AD7"/>
    <w:rsid w:val="00400286"/>
    <w:rsid w:val="00402354"/>
    <w:rsid w:val="00403F5E"/>
    <w:rsid w:val="004045C2"/>
    <w:rsid w:val="00405F27"/>
    <w:rsid w:val="0040665C"/>
    <w:rsid w:val="0040677A"/>
    <w:rsid w:val="00406E41"/>
    <w:rsid w:val="00407F72"/>
    <w:rsid w:val="00411128"/>
    <w:rsid w:val="00414BF6"/>
    <w:rsid w:val="00415149"/>
    <w:rsid w:val="004153C3"/>
    <w:rsid w:val="00420150"/>
    <w:rsid w:val="00421D68"/>
    <w:rsid w:val="00422453"/>
    <w:rsid w:val="004241B9"/>
    <w:rsid w:val="00424E96"/>
    <w:rsid w:val="00431AFB"/>
    <w:rsid w:val="00432F7A"/>
    <w:rsid w:val="00433985"/>
    <w:rsid w:val="0043481E"/>
    <w:rsid w:val="00435811"/>
    <w:rsid w:val="004430CD"/>
    <w:rsid w:val="00444D2E"/>
    <w:rsid w:val="0044506F"/>
    <w:rsid w:val="00447AB0"/>
    <w:rsid w:val="00452746"/>
    <w:rsid w:val="00455C64"/>
    <w:rsid w:val="00456531"/>
    <w:rsid w:val="004602BE"/>
    <w:rsid w:val="004613E2"/>
    <w:rsid w:val="0046149B"/>
    <w:rsid w:val="004630E4"/>
    <w:rsid w:val="004633C1"/>
    <w:rsid w:val="0046605D"/>
    <w:rsid w:val="00466939"/>
    <w:rsid w:val="00467E3B"/>
    <w:rsid w:val="00471126"/>
    <w:rsid w:val="004739ED"/>
    <w:rsid w:val="0047443E"/>
    <w:rsid w:val="00475862"/>
    <w:rsid w:val="0048457D"/>
    <w:rsid w:val="00487506"/>
    <w:rsid w:val="00490254"/>
    <w:rsid w:val="00492382"/>
    <w:rsid w:val="00494CD5"/>
    <w:rsid w:val="00495E08"/>
    <w:rsid w:val="004A13CA"/>
    <w:rsid w:val="004A17CE"/>
    <w:rsid w:val="004A2A3F"/>
    <w:rsid w:val="004A30DB"/>
    <w:rsid w:val="004A35BD"/>
    <w:rsid w:val="004A4706"/>
    <w:rsid w:val="004A56C4"/>
    <w:rsid w:val="004B2D5B"/>
    <w:rsid w:val="004B369C"/>
    <w:rsid w:val="004B660B"/>
    <w:rsid w:val="004B6AC0"/>
    <w:rsid w:val="004B748A"/>
    <w:rsid w:val="004C021B"/>
    <w:rsid w:val="004C07F0"/>
    <w:rsid w:val="004C0A05"/>
    <w:rsid w:val="004C0F9C"/>
    <w:rsid w:val="004C447B"/>
    <w:rsid w:val="004C5813"/>
    <w:rsid w:val="004C591E"/>
    <w:rsid w:val="004C6137"/>
    <w:rsid w:val="004C6DD7"/>
    <w:rsid w:val="004D1790"/>
    <w:rsid w:val="004D2115"/>
    <w:rsid w:val="004D2B76"/>
    <w:rsid w:val="004D4494"/>
    <w:rsid w:val="004D739D"/>
    <w:rsid w:val="004E2262"/>
    <w:rsid w:val="004E6D62"/>
    <w:rsid w:val="004F1B25"/>
    <w:rsid w:val="004F23C4"/>
    <w:rsid w:val="004F252B"/>
    <w:rsid w:val="004F3084"/>
    <w:rsid w:val="004F419E"/>
    <w:rsid w:val="004F783B"/>
    <w:rsid w:val="00500847"/>
    <w:rsid w:val="005018B1"/>
    <w:rsid w:val="00504B8B"/>
    <w:rsid w:val="005103D9"/>
    <w:rsid w:val="00510587"/>
    <w:rsid w:val="0051157C"/>
    <w:rsid w:val="00516073"/>
    <w:rsid w:val="00516FF8"/>
    <w:rsid w:val="0052339F"/>
    <w:rsid w:val="005313D4"/>
    <w:rsid w:val="0053141F"/>
    <w:rsid w:val="00532409"/>
    <w:rsid w:val="0053382A"/>
    <w:rsid w:val="00535F76"/>
    <w:rsid w:val="00536F92"/>
    <w:rsid w:val="00536FE7"/>
    <w:rsid w:val="00537906"/>
    <w:rsid w:val="0054032C"/>
    <w:rsid w:val="005403B3"/>
    <w:rsid w:val="0054198D"/>
    <w:rsid w:val="005420FA"/>
    <w:rsid w:val="00542715"/>
    <w:rsid w:val="00542973"/>
    <w:rsid w:val="00543769"/>
    <w:rsid w:val="00546CA2"/>
    <w:rsid w:val="00550B36"/>
    <w:rsid w:val="00551BC1"/>
    <w:rsid w:val="00551BC8"/>
    <w:rsid w:val="00552F52"/>
    <w:rsid w:val="005531BC"/>
    <w:rsid w:val="00553C7B"/>
    <w:rsid w:val="00565301"/>
    <w:rsid w:val="0056724B"/>
    <w:rsid w:val="00567CD5"/>
    <w:rsid w:val="0057075D"/>
    <w:rsid w:val="00575187"/>
    <w:rsid w:val="00577684"/>
    <w:rsid w:val="005849CD"/>
    <w:rsid w:val="00592ECC"/>
    <w:rsid w:val="005950F5"/>
    <w:rsid w:val="00596796"/>
    <w:rsid w:val="00596B06"/>
    <w:rsid w:val="005A0E05"/>
    <w:rsid w:val="005A229C"/>
    <w:rsid w:val="005A2FE6"/>
    <w:rsid w:val="005A354E"/>
    <w:rsid w:val="005A49CC"/>
    <w:rsid w:val="005A50A1"/>
    <w:rsid w:val="005A6502"/>
    <w:rsid w:val="005A7FC9"/>
    <w:rsid w:val="005B0545"/>
    <w:rsid w:val="005B2AF7"/>
    <w:rsid w:val="005B3781"/>
    <w:rsid w:val="005B6162"/>
    <w:rsid w:val="005B6B0B"/>
    <w:rsid w:val="005B6F46"/>
    <w:rsid w:val="005C081F"/>
    <w:rsid w:val="005C205A"/>
    <w:rsid w:val="005C2876"/>
    <w:rsid w:val="005C639A"/>
    <w:rsid w:val="005C6B7B"/>
    <w:rsid w:val="005D1815"/>
    <w:rsid w:val="005D34F5"/>
    <w:rsid w:val="005D5054"/>
    <w:rsid w:val="005D6581"/>
    <w:rsid w:val="005E0782"/>
    <w:rsid w:val="005E1209"/>
    <w:rsid w:val="005E20BE"/>
    <w:rsid w:val="005E2780"/>
    <w:rsid w:val="005E2C59"/>
    <w:rsid w:val="005E68E7"/>
    <w:rsid w:val="005F267F"/>
    <w:rsid w:val="005F391A"/>
    <w:rsid w:val="005F78BF"/>
    <w:rsid w:val="00600437"/>
    <w:rsid w:val="00605694"/>
    <w:rsid w:val="006069C8"/>
    <w:rsid w:val="006100E7"/>
    <w:rsid w:val="00613495"/>
    <w:rsid w:val="006135FE"/>
    <w:rsid w:val="00622225"/>
    <w:rsid w:val="00622ADD"/>
    <w:rsid w:val="00622C5B"/>
    <w:rsid w:val="0063248C"/>
    <w:rsid w:val="00632A81"/>
    <w:rsid w:val="00632D7E"/>
    <w:rsid w:val="00633FBC"/>
    <w:rsid w:val="00635E48"/>
    <w:rsid w:val="0063712E"/>
    <w:rsid w:val="00637FBA"/>
    <w:rsid w:val="006413A1"/>
    <w:rsid w:val="00641FDF"/>
    <w:rsid w:val="00642A72"/>
    <w:rsid w:val="006441A2"/>
    <w:rsid w:val="00644CC7"/>
    <w:rsid w:val="00645460"/>
    <w:rsid w:val="0065145D"/>
    <w:rsid w:val="006526DF"/>
    <w:rsid w:val="00662A06"/>
    <w:rsid w:val="006641DC"/>
    <w:rsid w:val="00665378"/>
    <w:rsid w:val="00665803"/>
    <w:rsid w:val="00665C94"/>
    <w:rsid w:val="00667E69"/>
    <w:rsid w:val="0067370E"/>
    <w:rsid w:val="006744CE"/>
    <w:rsid w:val="00681DC7"/>
    <w:rsid w:val="006846C5"/>
    <w:rsid w:val="0068563F"/>
    <w:rsid w:val="00690EDF"/>
    <w:rsid w:val="00693FD1"/>
    <w:rsid w:val="00697D28"/>
    <w:rsid w:val="00697F2E"/>
    <w:rsid w:val="006A0123"/>
    <w:rsid w:val="006A182B"/>
    <w:rsid w:val="006A2B65"/>
    <w:rsid w:val="006A4454"/>
    <w:rsid w:val="006A48E1"/>
    <w:rsid w:val="006A79DB"/>
    <w:rsid w:val="006B172D"/>
    <w:rsid w:val="006B268D"/>
    <w:rsid w:val="006B2FA0"/>
    <w:rsid w:val="006B7BA3"/>
    <w:rsid w:val="006C0D0B"/>
    <w:rsid w:val="006C244F"/>
    <w:rsid w:val="006C38B9"/>
    <w:rsid w:val="006C5E74"/>
    <w:rsid w:val="006C6C24"/>
    <w:rsid w:val="006C6EF5"/>
    <w:rsid w:val="006C74E2"/>
    <w:rsid w:val="006D008C"/>
    <w:rsid w:val="006D1233"/>
    <w:rsid w:val="006D3769"/>
    <w:rsid w:val="006D3E22"/>
    <w:rsid w:val="006D4833"/>
    <w:rsid w:val="006D678C"/>
    <w:rsid w:val="006E0D79"/>
    <w:rsid w:val="006E3BCA"/>
    <w:rsid w:val="006E7477"/>
    <w:rsid w:val="006F219D"/>
    <w:rsid w:val="006F60C8"/>
    <w:rsid w:val="006F77F2"/>
    <w:rsid w:val="00702FBD"/>
    <w:rsid w:val="007036B3"/>
    <w:rsid w:val="00706A8C"/>
    <w:rsid w:val="00707714"/>
    <w:rsid w:val="00711E59"/>
    <w:rsid w:val="007142B0"/>
    <w:rsid w:val="00720F2E"/>
    <w:rsid w:val="007240F4"/>
    <w:rsid w:val="00724C68"/>
    <w:rsid w:val="00725E07"/>
    <w:rsid w:val="007270D2"/>
    <w:rsid w:val="00732ED3"/>
    <w:rsid w:val="007333A1"/>
    <w:rsid w:val="00733CFF"/>
    <w:rsid w:val="00733F06"/>
    <w:rsid w:val="00733F70"/>
    <w:rsid w:val="00734B0B"/>
    <w:rsid w:val="00755FA9"/>
    <w:rsid w:val="00756320"/>
    <w:rsid w:val="007620A3"/>
    <w:rsid w:val="00765EAA"/>
    <w:rsid w:val="00765FA0"/>
    <w:rsid w:val="00766122"/>
    <w:rsid w:val="00770422"/>
    <w:rsid w:val="007729E0"/>
    <w:rsid w:val="0077582A"/>
    <w:rsid w:val="0077626D"/>
    <w:rsid w:val="00776500"/>
    <w:rsid w:val="00776995"/>
    <w:rsid w:val="007771F9"/>
    <w:rsid w:val="007857C5"/>
    <w:rsid w:val="00785D1D"/>
    <w:rsid w:val="00786AAC"/>
    <w:rsid w:val="00795949"/>
    <w:rsid w:val="00795E4E"/>
    <w:rsid w:val="007A0049"/>
    <w:rsid w:val="007A08E4"/>
    <w:rsid w:val="007A7F4F"/>
    <w:rsid w:val="007B0F13"/>
    <w:rsid w:val="007B15E4"/>
    <w:rsid w:val="007B312F"/>
    <w:rsid w:val="007B4461"/>
    <w:rsid w:val="007B4484"/>
    <w:rsid w:val="007B7C76"/>
    <w:rsid w:val="007C1EAF"/>
    <w:rsid w:val="007C2A85"/>
    <w:rsid w:val="007C4D95"/>
    <w:rsid w:val="007D3219"/>
    <w:rsid w:val="007D3415"/>
    <w:rsid w:val="007D3C16"/>
    <w:rsid w:val="007D3FF8"/>
    <w:rsid w:val="007D41E5"/>
    <w:rsid w:val="007E19BF"/>
    <w:rsid w:val="007E41A9"/>
    <w:rsid w:val="007E5BED"/>
    <w:rsid w:val="007F2727"/>
    <w:rsid w:val="007F2AA3"/>
    <w:rsid w:val="007F3045"/>
    <w:rsid w:val="007F32A8"/>
    <w:rsid w:val="007F3409"/>
    <w:rsid w:val="007F3C79"/>
    <w:rsid w:val="007F646B"/>
    <w:rsid w:val="007F646C"/>
    <w:rsid w:val="00801BA6"/>
    <w:rsid w:val="00806F21"/>
    <w:rsid w:val="008104B7"/>
    <w:rsid w:val="0081083A"/>
    <w:rsid w:val="008115C8"/>
    <w:rsid w:val="00811A5C"/>
    <w:rsid w:val="00812EFC"/>
    <w:rsid w:val="00813A87"/>
    <w:rsid w:val="00815F9B"/>
    <w:rsid w:val="008176E7"/>
    <w:rsid w:val="00817B0A"/>
    <w:rsid w:val="00821610"/>
    <w:rsid w:val="00826777"/>
    <w:rsid w:val="00830349"/>
    <w:rsid w:val="00830782"/>
    <w:rsid w:val="00832E03"/>
    <w:rsid w:val="00833967"/>
    <w:rsid w:val="0083574B"/>
    <w:rsid w:val="008361F2"/>
    <w:rsid w:val="00840968"/>
    <w:rsid w:val="00842FC5"/>
    <w:rsid w:val="0084657C"/>
    <w:rsid w:val="00847BF2"/>
    <w:rsid w:val="00851886"/>
    <w:rsid w:val="00852003"/>
    <w:rsid w:val="00852314"/>
    <w:rsid w:val="00854662"/>
    <w:rsid w:val="008553F3"/>
    <w:rsid w:val="00860195"/>
    <w:rsid w:val="00861CC9"/>
    <w:rsid w:val="00863406"/>
    <w:rsid w:val="00863A98"/>
    <w:rsid w:val="00863BDE"/>
    <w:rsid w:val="008642BF"/>
    <w:rsid w:val="00865468"/>
    <w:rsid w:val="00867AB9"/>
    <w:rsid w:val="00867EDA"/>
    <w:rsid w:val="008703CD"/>
    <w:rsid w:val="00874384"/>
    <w:rsid w:val="00877A43"/>
    <w:rsid w:val="00880208"/>
    <w:rsid w:val="00884DF9"/>
    <w:rsid w:val="00887020"/>
    <w:rsid w:val="0088733F"/>
    <w:rsid w:val="00887C91"/>
    <w:rsid w:val="0089295C"/>
    <w:rsid w:val="00893BAA"/>
    <w:rsid w:val="00895691"/>
    <w:rsid w:val="00896253"/>
    <w:rsid w:val="00897125"/>
    <w:rsid w:val="008A090C"/>
    <w:rsid w:val="008A12EC"/>
    <w:rsid w:val="008A57A7"/>
    <w:rsid w:val="008A692D"/>
    <w:rsid w:val="008B21D6"/>
    <w:rsid w:val="008B24BE"/>
    <w:rsid w:val="008B2793"/>
    <w:rsid w:val="008B292E"/>
    <w:rsid w:val="008B2A92"/>
    <w:rsid w:val="008B4648"/>
    <w:rsid w:val="008B4A6A"/>
    <w:rsid w:val="008B63C6"/>
    <w:rsid w:val="008C0DE3"/>
    <w:rsid w:val="008C3116"/>
    <w:rsid w:val="008C3830"/>
    <w:rsid w:val="008C3B58"/>
    <w:rsid w:val="008C45D0"/>
    <w:rsid w:val="008D06EC"/>
    <w:rsid w:val="008D08F9"/>
    <w:rsid w:val="008D0B5D"/>
    <w:rsid w:val="008D21A9"/>
    <w:rsid w:val="008D2AEF"/>
    <w:rsid w:val="008D3400"/>
    <w:rsid w:val="008D358A"/>
    <w:rsid w:val="008D39DE"/>
    <w:rsid w:val="008D57F6"/>
    <w:rsid w:val="008D7E69"/>
    <w:rsid w:val="008E02C1"/>
    <w:rsid w:val="008E1FCD"/>
    <w:rsid w:val="008E35AA"/>
    <w:rsid w:val="008E4E1E"/>
    <w:rsid w:val="008E4FDC"/>
    <w:rsid w:val="008E61FA"/>
    <w:rsid w:val="008F0697"/>
    <w:rsid w:val="008F085F"/>
    <w:rsid w:val="008F1368"/>
    <w:rsid w:val="008F318B"/>
    <w:rsid w:val="008F4A0B"/>
    <w:rsid w:val="008F5618"/>
    <w:rsid w:val="008F6590"/>
    <w:rsid w:val="008F6D46"/>
    <w:rsid w:val="008F72F5"/>
    <w:rsid w:val="0090227C"/>
    <w:rsid w:val="00902567"/>
    <w:rsid w:val="00902942"/>
    <w:rsid w:val="00905EA0"/>
    <w:rsid w:val="00905ED0"/>
    <w:rsid w:val="009075F9"/>
    <w:rsid w:val="00912513"/>
    <w:rsid w:val="00914443"/>
    <w:rsid w:val="00915B34"/>
    <w:rsid w:val="009207AF"/>
    <w:rsid w:val="00920A39"/>
    <w:rsid w:val="0092126F"/>
    <w:rsid w:val="00921592"/>
    <w:rsid w:val="009224AA"/>
    <w:rsid w:val="00923560"/>
    <w:rsid w:val="00931E38"/>
    <w:rsid w:val="009348D7"/>
    <w:rsid w:val="00934BA9"/>
    <w:rsid w:val="00934F63"/>
    <w:rsid w:val="00935267"/>
    <w:rsid w:val="0094077F"/>
    <w:rsid w:val="00941C51"/>
    <w:rsid w:val="00941FD7"/>
    <w:rsid w:val="009536E8"/>
    <w:rsid w:val="00957C4D"/>
    <w:rsid w:val="00960DBC"/>
    <w:rsid w:val="00960E22"/>
    <w:rsid w:val="009610B6"/>
    <w:rsid w:val="00961301"/>
    <w:rsid w:val="00965AAD"/>
    <w:rsid w:val="0097121B"/>
    <w:rsid w:val="00972D9A"/>
    <w:rsid w:val="0097377D"/>
    <w:rsid w:val="00973824"/>
    <w:rsid w:val="0097522B"/>
    <w:rsid w:val="00975AE9"/>
    <w:rsid w:val="00977D59"/>
    <w:rsid w:val="00983EAE"/>
    <w:rsid w:val="00984F5F"/>
    <w:rsid w:val="009859C9"/>
    <w:rsid w:val="0098620B"/>
    <w:rsid w:val="00990717"/>
    <w:rsid w:val="009910EB"/>
    <w:rsid w:val="009969C1"/>
    <w:rsid w:val="009976DE"/>
    <w:rsid w:val="009A069D"/>
    <w:rsid w:val="009A4609"/>
    <w:rsid w:val="009B7309"/>
    <w:rsid w:val="009C21B8"/>
    <w:rsid w:val="009C5A9F"/>
    <w:rsid w:val="009C5D82"/>
    <w:rsid w:val="009C6824"/>
    <w:rsid w:val="009C7B91"/>
    <w:rsid w:val="009D0246"/>
    <w:rsid w:val="009D10DB"/>
    <w:rsid w:val="009D2EED"/>
    <w:rsid w:val="009D574A"/>
    <w:rsid w:val="009D5BA8"/>
    <w:rsid w:val="009D7ABD"/>
    <w:rsid w:val="009D7CEE"/>
    <w:rsid w:val="009E028A"/>
    <w:rsid w:val="009E02DD"/>
    <w:rsid w:val="009E0536"/>
    <w:rsid w:val="009E43B3"/>
    <w:rsid w:val="009F637A"/>
    <w:rsid w:val="009F7E82"/>
    <w:rsid w:val="00A04525"/>
    <w:rsid w:val="00A05C82"/>
    <w:rsid w:val="00A07D93"/>
    <w:rsid w:val="00A12494"/>
    <w:rsid w:val="00A14087"/>
    <w:rsid w:val="00A1573A"/>
    <w:rsid w:val="00A16763"/>
    <w:rsid w:val="00A167AB"/>
    <w:rsid w:val="00A16D76"/>
    <w:rsid w:val="00A2011C"/>
    <w:rsid w:val="00A21FAB"/>
    <w:rsid w:val="00A2368F"/>
    <w:rsid w:val="00A23D48"/>
    <w:rsid w:val="00A245D9"/>
    <w:rsid w:val="00A250BD"/>
    <w:rsid w:val="00A25333"/>
    <w:rsid w:val="00A25EEE"/>
    <w:rsid w:val="00A27970"/>
    <w:rsid w:val="00A34E98"/>
    <w:rsid w:val="00A3507C"/>
    <w:rsid w:val="00A406C1"/>
    <w:rsid w:val="00A43A12"/>
    <w:rsid w:val="00A44087"/>
    <w:rsid w:val="00A44D68"/>
    <w:rsid w:val="00A45721"/>
    <w:rsid w:val="00A47A7B"/>
    <w:rsid w:val="00A509A0"/>
    <w:rsid w:val="00A52749"/>
    <w:rsid w:val="00A53EE5"/>
    <w:rsid w:val="00A54604"/>
    <w:rsid w:val="00A55DE3"/>
    <w:rsid w:val="00A55F08"/>
    <w:rsid w:val="00A5617E"/>
    <w:rsid w:val="00A571F1"/>
    <w:rsid w:val="00A608A6"/>
    <w:rsid w:val="00A61745"/>
    <w:rsid w:val="00A61F67"/>
    <w:rsid w:val="00A62DD9"/>
    <w:rsid w:val="00A645D9"/>
    <w:rsid w:val="00A64F33"/>
    <w:rsid w:val="00A652D5"/>
    <w:rsid w:val="00A6667D"/>
    <w:rsid w:val="00A71E72"/>
    <w:rsid w:val="00A72B95"/>
    <w:rsid w:val="00A73131"/>
    <w:rsid w:val="00A73E39"/>
    <w:rsid w:val="00A73E71"/>
    <w:rsid w:val="00A76777"/>
    <w:rsid w:val="00A77A38"/>
    <w:rsid w:val="00A80111"/>
    <w:rsid w:val="00A8528A"/>
    <w:rsid w:val="00A8747B"/>
    <w:rsid w:val="00A93C43"/>
    <w:rsid w:val="00A95F32"/>
    <w:rsid w:val="00A9745E"/>
    <w:rsid w:val="00AA3529"/>
    <w:rsid w:val="00AA3F52"/>
    <w:rsid w:val="00AB1577"/>
    <w:rsid w:val="00AB1792"/>
    <w:rsid w:val="00AB20C6"/>
    <w:rsid w:val="00AB3D7E"/>
    <w:rsid w:val="00AB61AA"/>
    <w:rsid w:val="00AC1CF7"/>
    <w:rsid w:val="00AC2210"/>
    <w:rsid w:val="00AC45CB"/>
    <w:rsid w:val="00AD1897"/>
    <w:rsid w:val="00AD2238"/>
    <w:rsid w:val="00AD2F29"/>
    <w:rsid w:val="00AD310C"/>
    <w:rsid w:val="00AD33E0"/>
    <w:rsid w:val="00AD77C5"/>
    <w:rsid w:val="00AE1025"/>
    <w:rsid w:val="00AE2E9A"/>
    <w:rsid w:val="00AE541D"/>
    <w:rsid w:val="00AE5CD3"/>
    <w:rsid w:val="00AF193A"/>
    <w:rsid w:val="00AF1946"/>
    <w:rsid w:val="00AF2D56"/>
    <w:rsid w:val="00AF34CC"/>
    <w:rsid w:val="00B01745"/>
    <w:rsid w:val="00B02861"/>
    <w:rsid w:val="00B034FF"/>
    <w:rsid w:val="00B04F9D"/>
    <w:rsid w:val="00B05977"/>
    <w:rsid w:val="00B067B3"/>
    <w:rsid w:val="00B07936"/>
    <w:rsid w:val="00B12E97"/>
    <w:rsid w:val="00B201AD"/>
    <w:rsid w:val="00B20916"/>
    <w:rsid w:val="00B20C56"/>
    <w:rsid w:val="00B212EC"/>
    <w:rsid w:val="00B23F27"/>
    <w:rsid w:val="00B267A5"/>
    <w:rsid w:val="00B2759B"/>
    <w:rsid w:val="00B306D6"/>
    <w:rsid w:val="00B31A3B"/>
    <w:rsid w:val="00B31E05"/>
    <w:rsid w:val="00B3269A"/>
    <w:rsid w:val="00B33505"/>
    <w:rsid w:val="00B34880"/>
    <w:rsid w:val="00B34E0A"/>
    <w:rsid w:val="00B34F36"/>
    <w:rsid w:val="00B36D0F"/>
    <w:rsid w:val="00B4432B"/>
    <w:rsid w:val="00B523B8"/>
    <w:rsid w:val="00B52A77"/>
    <w:rsid w:val="00B55CD0"/>
    <w:rsid w:val="00B60447"/>
    <w:rsid w:val="00B623CC"/>
    <w:rsid w:val="00B669D7"/>
    <w:rsid w:val="00B727F2"/>
    <w:rsid w:val="00B72D8F"/>
    <w:rsid w:val="00B75F14"/>
    <w:rsid w:val="00B77038"/>
    <w:rsid w:val="00B77F83"/>
    <w:rsid w:val="00B810C9"/>
    <w:rsid w:val="00B8267C"/>
    <w:rsid w:val="00B84A95"/>
    <w:rsid w:val="00B86943"/>
    <w:rsid w:val="00B92C97"/>
    <w:rsid w:val="00BA1725"/>
    <w:rsid w:val="00BA6008"/>
    <w:rsid w:val="00BA6A80"/>
    <w:rsid w:val="00BA6D96"/>
    <w:rsid w:val="00BB0506"/>
    <w:rsid w:val="00BB39D8"/>
    <w:rsid w:val="00BB4A66"/>
    <w:rsid w:val="00BB50AB"/>
    <w:rsid w:val="00BB58C3"/>
    <w:rsid w:val="00BB5DB6"/>
    <w:rsid w:val="00BB707F"/>
    <w:rsid w:val="00BC35A6"/>
    <w:rsid w:val="00BC5AF9"/>
    <w:rsid w:val="00BC7898"/>
    <w:rsid w:val="00BD1686"/>
    <w:rsid w:val="00BD515E"/>
    <w:rsid w:val="00BD55AF"/>
    <w:rsid w:val="00BE07AC"/>
    <w:rsid w:val="00BE2DFF"/>
    <w:rsid w:val="00BE5747"/>
    <w:rsid w:val="00BE5C7D"/>
    <w:rsid w:val="00BF01BE"/>
    <w:rsid w:val="00BF1759"/>
    <w:rsid w:val="00BF23E2"/>
    <w:rsid w:val="00BF35BA"/>
    <w:rsid w:val="00BF7A6F"/>
    <w:rsid w:val="00C00E49"/>
    <w:rsid w:val="00C01FE4"/>
    <w:rsid w:val="00C03270"/>
    <w:rsid w:val="00C03DE9"/>
    <w:rsid w:val="00C11DA2"/>
    <w:rsid w:val="00C1247E"/>
    <w:rsid w:val="00C1444D"/>
    <w:rsid w:val="00C149AB"/>
    <w:rsid w:val="00C15C98"/>
    <w:rsid w:val="00C20194"/>
    <w:rsid w:val="00C205CE"/>
    <w:rsid w:val="00C20C05"/>
    <w:rsid w:val="00C26C90"/>
    <w:rsid w:val="00C33342"/>
    <w:rsid w:val="00C3360E"/>
    <w:rsid w:val="00C3369B"/>
    <w:rsid w:val="00C34101"/>
    <w:rsid w:val="00C35BF4"/>
    <w:rsid w:val="00C3679C"/>
    <w:rsid w:val="00C40C1C"/>
    <w:rsid w:val="00C4270D"/>
    <w:rsid w:val="00C434C0"/>
    <w:rsid w:val="00C47638"/>
    <w:rsid w:val="00C5171A"/>
    <w:rsid w:val="00C53E83"/>
    <w:rsid w:val="00C5463D"/>
    <w:rsid w:val="00C567F0"/>
    <w:rsid w:val="00C6244E"/>
    <w:rsid w:val="00C62DF7"/>
    <w:rsid w:val="00C63B15"/>
    <w:rsid w:val="00C6688D"/>
    <w:rsid w:val="00C71B42"/>
    <w:rsid w:val="00C72866"/>
    <w:rsid w:val="00C760DA"/>
    <w:rsid w:val="00C80985"/>
    <w:rsid w:val="00C842B4"/>
    <w:rsid w:val="00C85C35"/>
    <w:rsid w:val="00C90F00"/>
    <w:rsid w:val="00C9474E"/>
    <w:rsid w:val="00C96CB3"/>
    <w:rsid w:val="00CA0710"/>
    <w:rsid w:val="00CA0A65"/>
    <w:rsid w:val="00CA1414"/>
    <w:rsid w:val="00CA1671"/>
    <w:rsid w:val="00CA1C0E"/>
    <w:rsid w:val="00CA1FD7"/>
    <w:rsid w:val="00CA2016"/>
    <w:rsid w:val="00CA2199"/>
    <w:rsid w:val="00CA6240"/>
    <w:rsid w:val="00CB09B0"/>
    <w:rsid w:val="00CC03B2"/>
    <w:rsid w:val="00CC054E"/>
    <w:rsid w:val="00CC0A75"/>
    <w:rsid w:val="00CC2778"/>
    <w:rsid w:val="00CC2D1F"/>
    <w:rsid w:val="00CC61DA"/>
    <w:rsid w:val="00CC6BF6"/>
    <w:rsid w:val="00CD22BF"/>
    <w:rsid w:val="00CD35F5"/>
    <w:rsid w:val="00CD5E95"/>
    <w:rsid w:val="00CE020E"/>
    <w:rsid w:val="00CE18D8"/>
    <w:rsid w:val="00CE227B"/>
    <w:rsid w:val="00CE342D"/>
    <w:rsid w:val="00CE4E0E"/>
    <w:rsid w:val="00CE73E6"/>
    <w:rsid w:val="00CF2C11"/>
    <w:rsid w:val="00D0004A"/>
    <w:rsid w:val="00D00A58"/>
    <w:rsid w:val="00D03BA8"/>
    <w:rsid w:val="00D07FF4"/>
    <w:rsid w:val="00D140DC"/>
    <w:rsid w:val="00D14E0C"/>
    <w:rsid w:val="00D15FEC"/>
    <w:rsid w:val="00D24318"/>
    <w:rsid w:val="00D253E5"/>
    <w:rsid w:val="00D2552D"/>
    <w:rsid w:val="00D30BF0"/>
    <w:rsid w:val="00D35F94"/>
    <w:rsid w:val="00D37E67"/>
    <w:rsid w:val="00D41F6A"/>
    <w:rsid w:val="00D42866"/>
    <w:rsid w:val="00D434D8"/>
    <w:rsid w:val="00D47DB0"/>
    <w:rsid w:val="00D51382"/>
    <w:rsid w:val="00D524CF"/>
    <w:rsid w:val="00D5288B"/>
    <w:rsid w:val="00D52C95"/>
    <w:rsid w:val="00D52CBF"/>
    <w:rsid w:val="00D53CBB"/>
    <w:rsid w:val="00D54A15"/>
    <w:rsid w:val="00D55D45"/>
    <w:rsid w:val="00D61FAE"/>
    <w:rsid w:val="00D62511"/>
    <w:rsid w:val="00D63940"/>
    <w:rsid w:val="00D649DF"/>
    <w:rsid w:val="00D65448"/>
    <w:rsid w:val="00D66EDD"/>
    <w:rsid w:val="00D67592"/>
    <w:rsid w:val="00D70506"/>
    <w:rsid w:val="00D76DE5"/>
    <w:rsid w:val="00D82D39"/>
    <w:rsid w:val="00D945CB"/>
    <w:rsid w:val="00D96B43"/>
    <w:rsid w:val="00D97A50"/>
    <w:rsid w:val="00DA0516"/>
    <w:rsid w:val="00DA0606"/>
    <w:rsid w:val="00DA062A"/>
    <w:rsid w:val="00DA0B61"/>
    <w:rsid w:val="00DA3A27"/>
    <w:rsid w:val="00DA5F36"/>
    <w:rsid w:val="00DB10D3"/>
    <w:rsid w:val="00DB2C4F"/>
    <w:rsid w:val="00DB3D64"/>
    <w:rsid w:val="00DB6FA2"/>
    <w:rsid w:val="00DC0527"/>
    <w:rsid w:val="00DC185A"/>
    <w:rsid w:val="00DC27C9"/>
    <w:rsid w:val="00DC6492"/>
    <w:rsid w:val="00DD05CF"/>
    <w:rsid w:val="00DD0935"/>
    <w:rsid w:val="00DD2F77"/>
    <w:rsid w:val="00DD30E1"/>
    <w:rsid w:val="00DD35EA"/>
    <w:rsid w:val="00DD3690"/>
    <w:rsid w:val="00DD3BEA"/>
    <w:rsid w:val="00DD5578"/>
    <w:rsid w:val="00DE02B5"/>
    <w:rsid w:val="00DE0E6E"/>
    <w:rsid w:val="00DE2A23"/>
    <w:rsid w:val="00DE5C1E"/>
    <w:rsid w:val="00DE6827"/>
    <w:rsid w:val="00DE70C9"/>
    <w:rsid w:val="00DE713F"/>
    <w:rsid w:val="00DF480B"/>
    <w:rsid w:val="00E01AB1"/>
    <w:rsid w:val="00E02797"/>
    <w:rsid w:val="00E033AF"/>
    <w:rsid w:val="00E042CE"/>
    <w:rsid w:val="00E04BBE"/>
    <w:rsid w:val="00E07C9A"/>
    <w:rsid w:val="00E11A79"/>
    <w:rsid w:val="00E1568F"/>
    <w:rsid w:val="00E21515"/>
    <w:rsid w:val="00E23F93"/>
    <w:rsid w:val="00E2439D"/>
    <w:rsid w:val="00E2669C"/>
    <w:rsid w:val="00E27BF9"/>
    <w:rsid w:val="00E34FF7"/>
    <w:rsid w:val="00E35387"/>
    <w:rsid w:val="00E422FF"/>
    <w:rsid w:val="00E42C42"/>
    <w:rsid w:val="00E444B1"/>
    <w:rsid w:val="00E50421"/>
    <w:rsid w:val="00E50D03"/>
    <w:rsid w:val="00E524B5"/>
    <w:rsid w:val="00E56BBD"/>
    <w:rsid w:val="00E62287"/>
    <w:rsid w:val="00E71AF6"/>
    <w:rsid w:val="00E73212"/>
    <w:rsid w:val="00E77406"/>
    <w:rsid w:val="00E8075D"/>
    <w:rsid w:val="00E83FF0"/>
    <w:rsid w:val="00E878D6"/>
    <w:rsid w:val="00E90076"/>
    <w:rsid w:val="00E91DB5"/>
    <w:rsid w:val="00E928A6"/>
    <w:rsid w:val="00E93385"/>
    <w:rsid w:val="00E93E73"/>
    <w:rsid w:val="00E949E6"/>
    <w:rsid w:val="00E969BA"/>
    <w:rsid w:val="00EA49F0"/>
    <w:rsid w:val="00EB3001"/>
    <w:rsid w:val="00EB5B2E"/>
    <w:rsid w:val="00EB5CDB"/>
    <w:rsid w:val="00EB5FDE"/>
    <w:rsid w:val="00EB6D8C"/>
    <w:rsid w:val="00EB799D"/>
    <w:rsid w:val="00EC2FC8"/>
    <w:rsid w:val="00EC39B4"/>
    <w:rsid w:val="00EC46A3"/>
    <w:rsid w:val="00EC7E02"/>
    <w:rsid w:val="00ED1DB8"/>
    <w:rsid w:val="00ED1F0D"/>
    <w:rsid w:val="00ED38F3"/>
    <w:rsid w:val="00ED3BB4"/>
    <w:rsid w:val="00EE1DA1"/>
    <w:rsid w:val="00EE2BA5"/>
    <w:rsid w:val="00EE45F4"/>
    <w:rsid w:val="00EE6233"/>
    <w:rsid w:val="00EF0300"/>
    <w:rsid w:val="00EF0874"/>
    <w:rsid w:val="00EF08BA"/>
    <w:rsid w:val="00F000E5"/>
    <w:rsid w:val="00F026C7"/>
    <w:rsid w:val="00F030B0"/>
    <w:rsid w:val="00F12D34"/>
    <w:rsid w:val="00F20AF4"/>
    <w:rsid w:val="00F2275F"/>
    <w:rsid w:val="00F22792"/>
    <w:rsid w:val="00F238FF"/>
    <w:rsid w:val="00F25CE1"/>
    <w:rsid w:val="00F264AB"/>
    <w:rsid w:val="00F26545"/>
    <w:rsid w:val="00F3030B"/>
    <w:rsid w:val="00F349A7"/>
    <w:rsid w:val="00F353F2"/>
    <w:rsid w:val="00F35C27"/>
    <w:rsid w:val="00F42DF9"/>
    <w:rsid w:val="00F43A70"/>
    <w:rsid w:val="00F470BF"/>
    <w:rsid w:val="00F52B4B"/>
    <w:rsid w:val="00F5548A"/>
    <w:rsid w:val="00F577DC"/>
    <w:rsid w:val="00F6203E"/>
    <w:rsid w:val="00F64E2B"/>
    <w:rsid w:val="00F654C1"/>
    <w:rsid w:val="00F66410"/>
    <w:rsid w:val="00F705B8"/>
    <w:rsid w:val="00F73755"/>
    <w:rsid w:val="00F74A08"/>
    <w:rsid w:val="00F74E68"/>
    <w:rsid w:val="00F770EF"/>
    <w:rsid w:val="00F84CFD"/>
    <w:rsid w:val="00F86BC1"/>
    <w:rsid w:val="00F91B42"/>
    <w:rsid w:val="00F93707"/>
    <w:rsid w:val="00F93726"/>
    <w:rsid w:val="00F93BF3"/>
    <w:rsid w:val="00F95598"/>
    <w:rsid w:val="00FA44CD"/>
    <w:rsid w:val="00FA44D3"/>
    <w:rsid w:val="00FA5CC9"/>
    <w:rsid w:val="00FA7757"/>
    <w:rsid w:val="00FA7817"/>
    <w:rsid w:val="00FB0101"/>
    <w:rsid w:val="00FB0830"/>
    <w:rsid w:val="00FB1728"/>
    <w:rsid w:val="00FB21EA"/>
    <w:rsid w:val="00FB37CE"/>
    <w:rsid w:val="00FB3F9F"/>
    <w:rsid w:val="00FB5576"/>
    <w:rsid w:val="00FB72CA"/>
    <w:rsid w:val="00FB7C91"/>
    <w:rsid w:val="00FC069F"/>
    <w:rsid w:val="00FC0AB5"/>
    <w:rsid w:val="00FC0EE2"/>
    <w:rsid w:val="00FC18D5"/>
    <w:rsid w:val="00FC4BC3"/>
    <w:rsid w:val="00FC693F"/>
    <w:rsid w:val="00FD007D"/>
    <w:rsid w:val="00FD0815"/>
    <w:rsid w:val="00FD2609"/>
    <w:rsid w:val="00FD272F"/>
    <w:rsid w:val="00FD3033"/>
    <w:rsid w:val="00FD4195"/>
    <w:rsid w:val="00FD4A84"/>
    <w:rsid w:val="00FD67B7"/>
    <w:rsid w:val="00FD705A"/>
    <w:rsid w:val="00FD7D4C"/>
    <w:rsid w:val="00FE25D7"/>
    <w:rsid w:val="00FE455E"/>
    <w:rsid w:val="00FE4A5D"/>
    <w:rsid w:val="00FE57C2"/>
    <w:rsid w:val="00FE5EBB"/>
    <w:rsid w:val="00FF0940"/>
    <w:rsid w:val="00FF23DE"/>
    <w:rsid w:val="00FF43EE"/>
    <w:rsid w:val="00FF7857"/>
    <w:rsid w:val="012A4411"/>
    <w:rsid w:val="014C48B5"/>
    <w:rsid w:val="015C3AC9"/>
    <w:rsid w:val="01644AF5"/>
    <w:rsid w:val="01DD3C4D"/>
    <w:rsid w:val="01F436EF"/>
    <w:rsid w:val="021D745F"/>
    <w:rsid w:val="023F2212"/>
    <w:rsid w:val="025F0632"/>
    <w:rsid w:val="028216F3"/>
    <w:rsid w:val="02D63E34"/>
    <w:rsid w:val="033504B3"/>
    <w:rsid w:val="033B6401"/>
    <w:rsid w:val="03593735"/>
    <w:rsid w:val="035E4919"/>
    <w:rsid w:val="03694524"/>
    <w:rsid w:val="036A1510"/>
    <w:rsid w:val="038D3451"/>
    <w:rsid w:val="03A3603B"/>
    <w:rsid w:val="03BF4E8B"/>
    <w:rsid w:val="03C028B8"/>
    <w:rsid w:val="03D746CC"/>
    <w:rsid w:val="03DB240E"/>
    <w:rsid w:val="04087F40"/>
    <w:rsid w:val="04286201"/>
    <w:rsid w:val="04463D2B"/>
    <w:rsid w:val="045C3402"/>
    <w:rsid w:val="046441B2"/>
    <w:rsid w:val="047F723D"/>
    <w:rsid w:val="04826D2E"/>
    <w:rsid w:val="04BA6324"/>
    <w:rsid w:val="04D169A5"/>
    <w:rsid w:val="050F4E45"/>
    <w:rsid w:val="054F3CBD"/>
    <w:rsid w:val="05A66D4D"/>
    <w:rsid w:val="05B56221"/>
    <w:rsid w:val="05B73D55"/>
    <w:rsid w:val="061439B5"/>
    <w:rsid w:val="06262C6B"/>
    <w:rsid w:val="064732A6"/>
    <w:rsid w:val="0661309E"/>
    <w:rsid w:val="066F7D4F"/>
    <w:rsid w:val="067B1C86"/>
    <w:rsid w:val="0692233C"/>
    <w:rsid w:val="06C76C7A"/>
    <w:rsid w:val="06D1337E"/>
    <w:rsid w:val="06D5745C"/>
    <w:rsid w:val="07240B77"/>
    <w:rsid w:val="0754675F"/>
    <w:rsid w:val="0775536B"/>
    <w:rsid w:val="077927E5"/>
    <w:rsid w:val="07932F68"/>
    <w:rsid w:val="07AD06DE"/>
    <w:rsid w:val="07DB0C2F"/>
    <w:rsid w:val="07DC537F"/>
    <w:rsid w:val="0853305E"/>
    <w:rsid w:val="08624EAC"/>
    <w:rsid w:val="086E1AA3"/>
    <w:rsid w:val="088C1F29"/>
    <w:rsid w:val="08964998"/>
    <w:rsid w:val="08CA6B81"/>
    <w:rsid w:val="08E40E40"/>
    <w:rsid w:val="09023F99"/>
    <w:rsid w:val="09594501"/>
    <w:rsid w:val="096E248C"/>
    <w:rsid w:val="097906FF"/>
    <w:rsid w:val="09A33966"/>
    <w:rsid w:val="09D85C15"/>
    <w:rsid w:val="0A13403D"/>
    <w:rsid w:val="0A257F12"/>
    <w:rsid w:val="0A5E78BD"/>
    <w:rsid w:val="0A7E1D45"/>
    <w:rsid w:val="0AE31AA7"/>
    <w:rsid w:val="0B3C1B1E"/>
    <w:rsid w:val="0B481011"/>
    <w:rsid w:val="0B4C4C98"/>
    <w:rsid w:val="0B4D3BF1"/>
    <w:rsid w:val="0B534F80"/>
    <w:rsid w:val="0B9E3D24"/>
    <w:rsid w:val="0BC762F0"/>
    <w:rsid w:val="0BE22BFE"/>
    <w:rsid w:val="0BED0F30"/>
    <w:rsid w:val="0BF945B1"/>
    <w:rsid w:val="0C0E2553"/>
    <w:rsid w:val="0C3721AC"/>
    <w:rsid w:val="0C570117"/>
    <w:rsid w:val="0C852D0B"/>
    <w:rsid w:val="0CD832BC"/>
    <w:rsid w:val="0D295F98"/>
    <w:rsid w:val="0DA84A15"/>
    <w:rsid w:val="0DAE3EDF"/>
    <w:rsid w:val="0E286250"/>
    <w:rsid w:val="0E3F3599"/>
    <w:rsid w:val="0E497842"/>
    <w:rsid w:val="0E657252"/>
    <w:rsid w:val="0E6F0323"/>
    <w:rsid w:val="0ED10695"/>
    <w:rsid w:val="0ED36852"/>
    <w:rsid w:val="0F051DF5"/>
    <w:rsid w:val="0F2E1E2A"/>
    <w:rsid w:val="0F3E0ACD"/>
    <w:rsid w:val="0F722F35"/>
    <w:rsid w:val="0F786D63"/>
    <w:rsid w:val="0F987864"/>
    <w:rsid w:val="0FDC3796"/>
    <w:rsid w:val="0FED3A39"/>
    <w:rsid w:val="0FF95021"/>
    <w:rsid w:val="0FFE7B39"/>
    <w:rsid w:val="10391A79"/>
    <w:rsid w:val="103C5FE2"/>
    <w:rsid w:val="10B97633"/>
    <w:rsid w:val="10DD5A17"/>
    <w:rsid w:val="10F93FE9"/>
    <w:rsid w:val="110411F6"/>
    <w:rsid w:val="11205CCB"/>
    <w:rsid w:val="112A4376"/>
    <w:rsid w:val="11561326"/>
    <w:rsid w:val="1182634D"/>
    <w:rsid w:val="11895257"/>
    <w:rsid w:val="11A46535"/>
    <w:rsid w:val="11B62CD6"/>
    <w:rsid w:val="11FB740E"/>
    <w:rsid w:val="125D70F9"/>
    <w:rsid w:val="12E021E5"/>
    <w:rsid w:val="13180F2E"/>
    <w:rsid w:val="135B2C24"/>
    <w:rsid w:val="13655850"/>
    <w:rsid w:val="136E6DFB"/>
    <w:rsid w:val="138E09FB"/>
    <w:rsid w:val="138E6D85"/>
    <w:rsid w:val="13936861"/>
    <w:rsid w:val="13980446"/>
    <w:rsid w:val="13A740BB"/>
    <w:rsid w:val="13D5624C"/>
    <w:rsid w:val="13FE6694"/>
    <w:rsid w:val="14236387"/>
    <w:rsid w:val="145C30F7"/>
    <w:rsid w:val="146E5D0C"/>
    <w:rsid w:val="14A503AE"/>
    <w:rsid w:val="14B120F5"/>
    <w:rsid w:val="14BC1DE8"/>
    <w:rsid w:val="14D574EB"/>
    <w:rsid w:val="14F26DE6"/>
    <w:rsid w:val="15233C15"/>
    <w:rsid w:val="152652C9"/>
    <w:rsid w:val="153951E6"/>
    <w:rsid w:val="154A2FFE"/>
    <w:rsid w:val="157B57FF"/>
    <w:rsid w:val="158B799A"/>
    <w:rsid w:val="15A91D96"/>
    <w:rsid w:val="15C54E34"/>
    <w:rsid w:val="161A7CC6"/>
    <w:rsid w:val="16AD2DF5"/>
    <w:rsid w:val="16C811E6"/>
    <w:rsid w:val="16E233AE"/>
    <w:rsid w:val="16EF415D"/>
    <w:rsid w:val="17081314"/>
    <w:rsid w:val="171449A6"/>
    <w:rsid w:val="173E0892"/>
    <w:rsid w:val="173E09F1"/>
    <w:rsid w:val="1743234C"/>
    <w:rsid w:val="17667DE9"/>
    <w:rsid w:val="17760F87"/>
    <w:rsid w:val="17A52C0D"/>
    <w:rsid w:val="17D94E56"/>
    <w:rsid w:val="18041C35"/>
    <w:rsid w:val="180623CD"/>
    <w:rsid w:val="18291542"/>
    <w:rsid w:val="1847744C"/>
    <w:rsid w:val="186A795D"/>
    <w:rsid w:val="1876405C"/>
    <w:rsid w:val="18A52BBC"/>
    <w:rsid w:val="18AB1F57"/>
    <w:rsid w:val="18AF4734"/>
    <w:rsid w:val="18F173C5"/>
    <w:rsid w:val="195E033A"/>
    <w:rsid w:val="19720CC7"/>
    <w:rsid w:val="19772166"/>
    <w:rsid w:val="19774BC6"/>
    <w:rsid w:val="199724DC"/>
    <w:rsid w:val="19977D8A"/>
    <w:rsid w:val="19ED4471"/>
    <w:rsid w:val="1A1C2A6B"/>
    <w:rsid w:val="1A2076E3"/>
    <w:rsid w:val="1A9B1DFA"/>
    <w:rsid w:val="1AB772D9"/>
    <w:rsid w:val="1AEC506E"/>
    <w:rsid w:val="1AFD11C6"/>
    <w:rsid w:val="1AFD7122"/>
    <w:rsid w:val="1B0B13D3"/>
    <w:rsid w:val="1B0B3181"/>
    <w:rsid w:val="1B0F1413"/>
    <w:rsid w:val="1B100797"/>
    <w:rsid w:val="1B1F6C2C"/>
    <w:rsid w:val="1B2E364D"/>
    <w:rsid w:val="1B486183"/>
    <w:rsid w:val="1B9E67AC"/>
    <w:rsid w:val="1C093B64"/>
    <w:rsid w:val="1C7560A9"/>
    <w:rsid w:val="1C907F4E"/>
    <w:rsid w:val="1CA92736"/>
    <w:rsid w:val="1CB87339"/>
    <w:rsid w:val="1CD47F2F"/>
    <w:rsid w:val="1CF00880"/>
    <w:rsid w:val="1D081E29"/>
    <w:rsid w:val="1D1F4ACE"/>
    <w:rsid w:val="1D4C5162"/>
    <w:rsid w:val="1D8D7AC7"/>
    <w:rsid w:val="1DD457BC"/>
    <w:rsid w:val="1DD7245C"/>
    <w:rsid w:val="1E0740D4"/>
    <w:rsid w:val="1E0C3498"/>
    <w:rsid w:val="1E2E2A61"/>
    <w:rsid w:val="1E2E422F"/>
    <w:rsid w:val="1E3867C8"/>
    <w:rsid w:val="1E65145D"/>
    <w:rsid w:val="1E803E86"/>
    <w:rsid w:val="1E9B2DB3"/>
    <w:rsid w:val="1EAA758E"/>
    <w:rsid w:val="1EE8698A"/>
    <w:rsid w:val="1EF7478F"/>
    <w:rsid w:val="1EFD0D34"/>
    <w:rsid w:val="1F1B2CC6"/>
    <w:rsid w:val="1F201C13"/>
    <w:rsid w:val="1F222872"/>
    <w:rsid w:val="1F3378DF"/>
    <w:rsid w:val="1F7E1245"/>
    <w:rsid w:val="1F9A7073"/>
    <w:rsid w:val="1FA721F7"/>
    <w:rsid w:val="1FB2006F"/>
    <w:rsid w:val="1FBA6F24"/>
    <w:rsid w:val="1FC37E8A"/>
    <w:rsid w:val="201809D4"/>
    <w:rsid w:val="201B3E66"/>
    <w:rsid w:val="202251F5"/>
    <w:rsid w:val="202C6073"/>
    <w:rsid w:val="204339AC"/>
    <w:rsid w:val="204A474C"/>
    <w:rsid w:val="20914128"/>
    <w:rsid w:val="20943C19"/>
    <w:rsid w:val="20992FDD"/>
    <w:rsid w:val="20D83B05"/>
    <w:rsid w:val="211F1734"/>
    <w:rsid w:val="2127683B"/>
    <w:rsid w:val="212E4232"/>
    <w:rsid w:val="2137329F"/>
    <w:rsid w:val="21C61BB0"/>
    <w:rsid w:val="21D22948"/>
    <w:rsid w:val="22230DB0"/>
    <w:rsid w:val="224A27E1"/>
    <w:rsid w:val="225E4EF2"/>
    <w:rsid w:val="22600256"/>
    <w:rsid w:val="22B67200"/>
    <w:rsid w:val="22D43C7B"/>
    <w:rsid w:val="23152DEF"/>
    <w:rsid w:val="234B4A63"/>
    <w:rsid w:val="23727F1D"/>
    <w:rsid w:val="23A50D95"/>
    <w:rsid w:val="23AE4FF1"/>
    <w:rsid w:val="23D26F32"/>
    <w:rsid w:val="23EC1EBC"/>
    <w:rsid w:val="23F251F3"/>
    <w:rsid w:val="24055289"/>
    <w:rsid w:val="2419316A"/>
    <w:rsid w:val="24423083"/>
    <w:rsid w:val="24457704"/>
    <w:rsid w:val="244B275B"/>
    <w:rsid w:val="245A4700"/>
    <w:rsid w:val="246438CE"/>
    <w:rsid w:val="24A501A2"/>
    <w:rsid w:val="24C820E3"/>
    <w:rsid w:val="24E87C1C"/>
    <w:rsid w:val="24E94533"/>
    <w:rsid w:val="24F31141"/>
    <w:rsid w:val="253820CF"/>
    <w:rsid w:val="253B53CF"/>
    <w:rsid w:val="25427B1A"/>
    <w:rsid w:val="254D2E73"/>
    <w:rsid w:val="254E083A"/>
    <w:rsid w:val="255A35DF"/>
    <w:rsid w:val="25897AC4"/>
    <w:rsid w:val="259326F1"/>
    <w:rsid w:val="25956469"/>
    <w:rsid w:val="259D531E"/>
    <w:rsid w:val="25AB7A3A"/>
    <w:rsid w:val="25AC4669"/>
    <w:rsid w:val="25BF279D"/>
    <w:rsid w:val="25DA0A9F"/>
    <w:rsid w:val="25EB2136"/>
    <w:rsid w:val="26107252"/>
    <w:rsid w:val="261806D2"/>
    <w:rsid w:val="261C37FA"/>
    <w:rsid w:val="265D777E"/>
    <w:rsid w:val="2674607E"/>
    <w:rsid w:val="26C46AE2"/>
    <w:rsid w:val="27185D2F"/>
    <w:rsid w:val="271E2360"/>
    <w:rsid w:val="27343A60"/>
    <w:rsid w:val="2757038C"/>
    <w:rsid w:val="27B92948"/>
    <w:rsid w:val="27EE4347"/>
    <w:rsid w:val="2803518E"/>
    <w:rsid w:val="2814263E"/>
    <w:rsid w:val="284277FA"/>
    <w:rsid w:val="28461C9C"/>
    <w:rsid w:val="284B70C2"/>
    <w:rsid w:val="28DF11C2"/>
    <w:rsid w:val="28E55011"/>
    <w:rsid w:val="2902208A"/>
    <w:rsid w:val="294066EC"/>
    <w:rsid w:val="296F0D7F"/>
    <w:rsid w:val="29932CBF"/>
    <w:rsid w:val="2996455E"/>
    <w:rsid w:val="29D45037"/>
    <w:rsid w:val="29E63F50"/>
    <w:rsid w:val="2A005E7B"/>
    <w:rsid w:val="2A1025D3"/>
    <w:rsid w:val="2AA45147"/>
    <w:rsid w:val="2AAB68F3"/>
    <w:rsid w:val="2AD845E8"/>
    <w:rsid w:val="2AEF143C"/>
    <w:rsid w:val="2B6B7002"/>
    <w:rsid w:val="2B717030"/>
    <w:rsid w:val="2B745499"/>
    <w:rsid w:val="2B8A00F2"/>
    <w:rsid w:val="2B9845BD"/>
    <w:rsid w:val="2BC02220"/>
    <w:rsid w:val="2BD16852"/>
    <w:rsid w:val="2BDF043E"/>
    <w:rsid w:val="2C833AE5"/>
    <w:rsid w:val="2CF47F19"/>
    <w:rsid w:val="2D0363AE"/>
    <w:rsid w:val="2D5A35D5"/>
    <w:rsid w:val="2D796670"/>
    <w:rsid w:val="2D7C65A9"/>
    <w:rsid w:val="2D7D7F0E"/>
    <w:rsid w:val="2DCC4132"/>
    <w:rsid w:val="2DDB1DEB"/>
    <w:rsid w:val="2DFE040B"/>
    <w:rsid w:val="2DFE26D1"/>
    <w:rsid w:val="2E723A8A"/>
    <w:rsid w:val="2E9E1585"/>
    <w:rsid w:val="2EC1207D"/>
    <w:rsid w:val="2EE144CD"/>
    <w:rsid w:val="2F363CBD"/>
    <w:rsid w:val="2F37656A"/>
    <w:rsid w:val="2F4131BE"/>
    <w:rsid w:val="2F6436BD"/>
    <w:rsid w:val="2FC357E2"/>
    <w:rsid w:val="3029612C"/>
    <w:rsid w:val="303A1F9A"/>
    <w:rsid w:val="304765B2"/>
    <w:rsid w:val="30654C8A"/>
    <w:rsid w:val="30996296"/>
    <w:rsid w:val="30C22261"/>
    <w:rsid w:val="30C60C27"/>
    <w:rsid w:val="30F860B3"/>
    <w:rsid w:val="31413001"/>
    <w:rsid w:val="315A40C3"/>
    <w:rsid w:val="315C42DF"/>
    <w:rsid w:val="318A1B16"/>
    <w:rsid w:val="318F2341"/>
    <w:rsid w:val="319B6B33"/>
    <w:rsid w:val="31AD0696"/>
    <w:rsid w:val="31B732C3"/>
    <w:rsid w:val="31BA419D"/>
    <w:rsid w:val="31E450AB"/>
    <w:rsid w:val="325356E2"/>
    <w:rsid w:val="327064CE"/>
    <w:rsid w:val="32755C17"/>
    <w:rsid w:val="32A47CEB"/>
    <w:rsid w:val="32C739DA"/>
    <w:rsid w:val="32D560F7"/>
    <w:rsid w:val="32E163D7"/>
    <w:rsid w:val="33527CC1"/>
    <w:rsid w:val="335D454D"/>
    <w:rsid w:val="3376203E"/>
    <w:rsid w:val="33D939C5"/>
    <w:rsid w:val="33E660E2"/>
    <w:rsid w:val="33ED2577"/>
    <w:rsid w:val="340527B7"/>
    <w:rsid w:val="340551E6"/>
    <w:rsid w:val="34264730"/>
    <w:rsid w:val="34363BF7"/>
    <w:rsid w:val="34627FE4"/>
    <w:rsid w:val="346F7223"/>
    <w:rsid w:val="34A52E51"/>
    <w:rsid w:val="34FE5179"/>
    <w:rsid w:val="35133AD1"/>
    <w:rsid w:val="35221A30"/>
    <w:rsid w:val="3531467C"/>
    <w:rsid w:val="358E5002"/>
    <w:rsid w:val="35A64A13"/>
    <w:rsid w:val="35AA50C1"/>
    <w:rsid w:val="36145188"/>
    <w:rsid w:val="361F4655"/>
    <w:rsid w:val="36251143"/>
    <w:rsid w:val="36541A28"/>
    <w:rsid w:val="368B71C9"/>
    <w:rsid w:val="36C941C4"/>
    <w:rsid w:val="36E27034"/>
    <w:rsid w:val="37131763"/>
    <w:rsid w:val="371D1E1A"/>
    <w:rsid w:val="372B2789"/>
    <w:rsid w:val="373F69BA"/>
    <w:rsid w:val="3789347C"/>
    <w:rsid w:val="378B4730"/>
    <w:rsid w:val="378E0F6A"/>
    <w:rsid w:val="379C259E"/>
    <w:rsid w:val="37CA7ACA"/>
    <w:rsid w:val="37CE4D97"/>
    <w:rsid w:val="3834566E"/>
    <w:rsid w:val="38374843"/>
    <w:rsid w:val="38455ACD"/>
    <w:rsid w:val="384D034B"/>
    <w:rsid w:val="38696A23"/>
    <w:rsid w:val="38C501AF"/>
    <w:rsid w:val="39072D82"/>
    <w:rsid w:val="39193676"/>
    <w:rsid w:val="392C27E9"/>
    <w:rsid w:val="397228F1"/>
    <w:rsid w:val="39857FA0"/>
    <w:rsid w:val="39882E59"/>
    <w:rsid w:val="39BD78E5"/>
    <w:rsid w:val="39D709A6"/>
    <w:rsid w:val="39F3602C"/>
    <w:rsid w:val="39F8091D"/>
    <w:rsid w:val="3A4A44BE"/>
    <w:rsid w:val="3A69749A"/>
    <w:rsid w:val="3A742699"/>
    <w:rsid w:val="3AA034D6"/>
    <w:rsid w:val="3AA71716"/>
    <w:rsid w:val="3AB64A60"/>
    <w:rsid w:val="3ABE56C2"/>
    <w:rsid w:val="3AC56A51"/>
    <w:rsid w:val="3AF063F0"/>
    <w:rsid w:val="3B0954D1"/>
    <w:rsid w:val="3B692C0F"/>
    <w:rsid w:val="3B910461"/>
    <w:rsid w:val="3BA52D62"/>
    <w:rsid w:val="3BB70A8F"/>
    <w:rsid w:val="3BB753BA"/>
    <w:rsid w:val="3BB80364"/>
    <w:rsid w:val="3BDD5224"/>
    <w:rsid w:val="3C081C12"/>
    <w:rsid w:val="3C2B322B"/>
    <w:rsid w:val="3C476C7A"/>
    <w:rsid w:val="3C4D1126"/>
    <w:rsid w:val="3C557DD4"/>
    <w:rsid w:val="3C5B6604"/>
    <w:rsid w:val="3C6779A4"/>
    <w:rsid w:val="3C874010"/>
    <w:rsid w:val="3C8F7316"/>
    <w:rsid w:val="3C961C72"/>
    <w:rsid w:val="3C9A5918"/>
    <w:rsid w:val="3CA60B04"/>
    <w:rsid w:val="3D05582A"/>
    <w:rsid w:val="3D246484"/>
    <w:rsid w:val="3D7E1D00"/>
    <w:rsid w:val="3D932E36"/>
    <w:rsid w:val="3D9558F8"/>
    <w:rsid w:val="3E254CD2"/>
    <w:rsid w:val="3E4261ED"/>
    <w:rsid w:val="3E6B3DB3"/>
    <w:rsid w:val="3E767B99"/>
    <w:rsid w:val="3E80785E"/>
    <w:rsid w:val="3E847799"/>
    <w:rsid w:val="3E8804C1"/>
    <w:rsid w:val="3EBB0897"/>
    <w:rsid w:val="3ED71F98"/>
    <w:rsid w:val="3EDF3E59"/>
    <w:rsid w:val="3EE6191E"/>
    <w:rsid w:val="3EE85404"/>
    <w:rsid w:val="3F1955BD"/>
    <w:rsid w:val="3F2301BF"/>
    <w:rsid w:val="3F823162"/>
    <w:rsid w:val="3FBF7541"/>
    <w:rsid w:val="402602E8"/>
    <w:rsid w:val="402A672A"/>
    <w:rsid w:val="40F55280"/>
    <w:rsid w:val="410C6F3F"/>
    <w:rsid w:val="41286643"/>
    <w:rsid w:val="415E189E"/>
    <w:rsid w:val="417E5BAB"/>
    <w:rsid w:val="419378A9"/>
    <w:rsid w:val="41A277D1"/>
    <w:rsid w:val="41A64A8B"/>
    <w:rsid w:val="41D710B3"/>
    <w:rsid w:val="41F8595E"/>
    <w:rsid w:val="42251F74"/>
    <w:rsid w:val="42424E2B"/>
    <w:rsid w:val="43087E22"/>
    <w:rsid w:val="434C41B3"/>
    <w:rsid w:val="43543068"/>
    <w:rsid w:val="43B46F47"/>
    <w:rsid w:val="43FE491D"/>
    <w:rsid w:val="440F51E1"/>
    <w:rsid w:val="44175123"/>
    <w:rsid w:val="441D78FE"/>
    <w:rsid w:val="446C21DC"/>
    <w:rsid w:val="44782D86"/>
    <w:rsid w:val="447B1902"/>
    <w:rsid w:val="44B85878"/>
    <w:rsid w:val="4541761C"/>
    <w:rsid w:val="45626A4A"/>
    <w:rsid w:val="45877724"/>
    <w:rsid w:val="459F01B9"/>
    <w:rsid w:val="45A67F0E"/>
    <w:rsid w:val="45EC40A8"/>
    <w:rsid w:val="45FE19D0"/>
    <w:rsid w:val="461E69CD"/>
    <w:rsid w:val="46216BBC"/>
    <w:rsid w:val="4622744D"/>
    <w:rsid w:val="462F542D"/>
    <w:rsid w:val="46333408"/>
    <w:rsid w:val="46472D55"/>
    <w:rsid w:val="465810F7"/>
    <w:rsid w:val="465F41FD"/>
    <w:rsid w:val="466D0E35"/>
    <w:rsid w:val="467936FE"/>
    <w:rsid w:val="46AA142F"/>
    <w:rsid w:val="46BE0A48"/>
    <w:rsid w:val="471E5E67"/>
    <w:rsid w:val="47473BC1"/>
    <w:rsid w:val="47602B25"/>
    <w:rsid w:val="47653A95"/>
    <w:rsid w:val="47685334"/>
    <w:rsid w:val="478E1476"/>
    <w:rsid w:val="47AC61CE"/>
    <w:rsid w:val="47B0661E"/>
    <w:rsid w:val="47DD7AD0"/>
    <w:rsid w:val="47EA3F9B"/>
    <w:rsid w:val="48254FD3"/>
    <w:rsid w:val="484C234A"/>
    <w:rsid w:val="489469EE"/>
    <w:rsid w:val="489E3831"/>
    <w:rsid w:val="48F07E6C"/>
    <w:rsid w:val="4928389E"/>
    <w:rsid w:val="492D29AA"/>
    <w:rsid w:val="49301E81"/>
    <w:rsid w:val="49357326"/>
    <w:rsid w:val="493D56C0"/>
    <w:rsid w:val="49883A6B"/>
    <w:rsid w:val="498E0956"/>
    <w:rsid w:val="49E113CD"/>
    <w:rsid w:val="4A001853"/>
    <w:rsid w:val="4A221DCB"/>
    <w:rsid w:val="4A3E237C"/>
    <w:rsid w:val="4A5D6CA6"/>
    <w:rsid w:val="4AA975DD"/>
    <w:rsid w:val="4ACC7988"/>
    <w:rsid w:val="4AE23BF6"/>
    <w:rsid w:val="4B163A9E"/>
    <w:rsid w:val="4B242744"/>
    <w:rsid w:val="4B2D55A6"/>
    <w:rsid w:val="4B3A09B6"/>
    <w:rsid w:val="4B5607F4"/>
    <w:rsid w:val="4B603F89"/>
    <w:rsid w:val="4B7F5A23"/>
    <w:rsid w:val="4B95246F"/>
    <w:rsid w:val="4BAD1567"/>
    <w:rsid w:val="4BE00143"/>
    <w:rsid w:val="4C051CFB"/>
    <w:rsid w:val="4C0A0767"/>
    <w:rsid w:val="4C161CA2"/>
    <w:rsid w:val="4C5E445B"/>
    <w:rsid w:val="4C846DEB"/>
    <w:rsid w:val="4CCA148B"/>
    <w:rsid w:val="4CE30FB8"/>
    <w:rsid w:val="4CEB0437"/>
    <w:rsid w:val="4D3A4F24"/>
    <w:rsid w:val="4DA46B51"/>
    <w:rsid w:val="4DAB6D52"/>
    <w:rsid w:val="4DB84469"/>
    <w:rsid w:val="4DC467A3"/>
    <w:rsid w:val="4DE239EB"/>
    <w:rsid w:val="4E031912"/>
    <w:rsid w:val="4E191136"/>
    <w:rsid w:val="4E21623C"/>
    <w:rsid w:val="4E6576FE"/>
    <w:rsid w:val="4E7426E1"/>
    <w:rsid w:val="4E8F2EEB"/>
    <w:rsid w:val="4EC54E1A"/>
    <w:rsid w:val="4EC76DE4"/>
    <w:rsid w:val="4F3A75B6"/>
    <w:rsid w:val="4FCD55D2"/>
    <w:rsid w:val="4FD5108C"/>
    <w:rsid w:val="4FFD6745"/>
    <w:rsid w:val="50506965"/>
    <w:rsid w:val="509337E3"/>
    <w:rsid w:val="50CD60DC"/>
    <w:rsid w:val="511F27D9"/>
    <w:rsid w:val="512B2118"/>
    <w:rsid w:val="51472573"/>
    <w:rsid w:val="51532BB1"/>
    <w:rsid w:val="518675A6"/>
    <w:rsid w:val="51B65FC1"/>
    <w:rsid w:val="5273718B"/>
    <w:rsid w:val="528346ED"/>
    <w:rsid w:val="52B35EBB"/>
    <w:rsid w:val="52D830EC"/>
    <w:rsid w:val="52E066C6"/>
    <w:rsid w:val="530E6D9A"/>
    <w:rsid w:val="53593E62"/>
    <w:rsid w:val="53685179"/>
    <w:rsid w:val="537E46FB"/>
    <w:rsid w:val="53A05E55"/>
    <w:rsid w:val="53B6303B"/>
    <w:rsid w:val="541C0291"/>
    <w:rsid w:val="544467E1"/>
    <w:rsid w:val="54770964"/>
    <w:rsid w:val="54AA5797"/>
    <w:rsid w:val="54DD0514"/>
    <w:rsid w:val="54FC7620"/>
    <w:rsid w:val="55093AA7"/>
    <w:rsid w:val="550A01E6"/>
    <w:rsid w:val="553A67D3"/>
    <w:rsid w:val="559972B4"/>
    <w:rsid w:val="55F85AD5"/>
    <w:rsid w:val="55FE28C0"/>
    <w:rsid w:val="56143C4D"/>
    <w:rsid w:val="5638115E"/>
    <w:rsid w:val="56425F8B"/>
    <w:rsid w:val="566524F4"/>
    <w:rsid w:val="566B62A7"/>
    <w:rsid w:val="56933A4F"/>
    <w:rsid w:val="56BA722E"/>
    <w:rsid w:val="56E644C0"/>
    <w:rsid w:val="57514E4F"/>
    <w:rsid w:val="575E405D"/>
    <w:rsid w:val="57946F95"/>
    <w:rsid w:val="5805272B"/>
    <w:rsid w:val="58156E12"/>
    <w:rsid w:val="58240E03"/>
    <w:rsid w:val="583848AE"/>
    <w:rsid w:val="58533071"/>
    <w:rsid w:val="58595802"/>
    <w:rsid w:val="586E66A0"/>
    <w:rsid w:val="58A27F7A"/>
    <w:rsid w:val="58C21FFB"/>
    <w:rsid w:val="58CC6E12"/>
    <w:rsid w:val="58D520FD"/>
    <w:rsid w:val="58D800C0"/>
    <w:rsid w:val="58EF7663"/>
    <w:rsid w:val="590D533A"/>
    <w:rsid w:val="59292F3F"/>
    <w:rsid w:val="59955EBB"/>
    <w:rsid w:val="59BA4355"/>
    <w:rsid w:val="59F14D15"/>
    <w:rsid w:val="5A292701"/>
    <w:rsid w:val="5A35371D"/>
    <w:rsid w:val="5A470DD9"/>
    <w:rsid w:val="5A504131"/>
    <w:rsid w:val="5A835B2F"/>
    <w:rsid w:val="5AB126F6"/>
    <w:rsid w:val="5AB94F80"/>
    <w:rsid w:val="5AD30EC7"/>
    <w:rsid w:val="5AED7BD2"/>
    <w:rsid w:val="5AFB02EF"/>
    <w:rsid w:val="5B130AB8"/>
    <w:rsid w:val="5B2140F0"/>
    <w:rsid w:val="5B9C5154"/>
    <w:rsid w:val="5BA8127B"/>
    <w:rsid w:val="5BB60A1C"/>
    <w:rsid w:val="5BB64468"/>
    <w:rsid w:val="5BFB4D3E"/>
    <w:rsid w:val="5C0A47B4"/>
    <w:rsid w:val="5C2E04A2"/>
    <w:rsid w:val="5C7A173B"/>
    <w:rsid w:val="5CC91C41"/>
    <w:rsid w:val="5CD00CBD"/>
    <w:rsid w:val="5CD01B8B"/>
    <w:rsid w:val="5CE51402"/>
    <w:rsid w:val="5CEB2629"/>
    <w:rsid w:val="5D756C6D"/>
    <w:rsid w:val="5DA458BA"/>
    <w:rsid w:val="5DA92F74"/>
    <w:rsid w:val="5DEA21A7"/>
    <w:rsid w:val="5E145476"/>
    <w:rsid w:val="5E2C0A11"/>
    <w:rsid w:val="5E407C0D"/>
    <w:rsid w:val="5E5D06D8"/>
    <w:rsid w:val="5EBE24DE"/>
    <w:rsid w:val="5ED74E21"/>
    <w:rsid w:val="5EF86B45"/>
    <w:rsid w:val="5EFC6636"/>
    <w:rsid w:val="5F5173D3"/>
    <w:rsid w:val="5F6826FF"/>
    <w:rsid w:val="602776E2"/>
    <w:rsid w:val="602F2A3B"/>
    <w:rsid w:val="60795A64"/>
    <w:rsid w:val="60A026A5"/>
    <w:rsid w:val="60B1344C"/>
    <w:rsid w:val="60D13AF2"/>
    <w:rsid w:val="60E15144"/>
    <w:rsid w:val="61077514"/>
    <w:rsid w:val="61103C91"/>
    <w:rsid w:val="611C2A0D"/>
    <w:rsid w:val="61251748"/>
    <w:rsid w:val="615A5895"/>
    <w:rsid w:val="6166248C"/>
    <w:rsid w:val="61782598"/>
    <w:rsid w:val="617F52FC"/>
    <w:rsid w:val="61954B1F"/>
    <w:rsid w:val="61E33ADD"/>
    <w:rsid w:val="62734B1F"/>
    <w:rsid w:val="62764A6F"/>
    <w:rsid w:val="62782E5E"/>
    <w:rsid w:val="628C4B33"/>
    <w:rsid w:val="62B40FD5"/>
    <w:rsid w:val="62BA60C9"/>
    <w:rsid w:val="62CA07F9"/>
    <w:rsid w:val="62EB4E56"/>
    <w:rsid w:val="6324238A"/>
    <w:rsid w:val="633914DA"/>
    <w:rsid w:val="63547A5E"/>
    <w:rsid w:val="63931AFE"/>
    <w:rsid w:val="639E4A79"/>
    <w:rsid w:val="63B82EA3"/>
    <w:rsid w:val="63BE035D"/>
    <w:rsid w:val="63BF56F1"/>
    <w:rsid w:val="63E31B72"/>
    <w:rsid w:val="63F91396"/>
    <w:rsid w:val="644645B1"/>
    <w:rsid w:val="646D58E0"/>
    <w:rsid w:val="647031C7"/>
    <w:rsid w:val="64FD4EB5"/>
    <w:rsid w:val="652E506F"/>
    <w:rsid w:val="65424FBE"/>
    <w:rsid w:val="65613696"/>
    <w:rsid w:val="656767D3"/>
    <w:rsid w:val="65A96DEB"/>
    <w:rsid w:val="65B512EC"/>
    <w:rsid w:val="660051BA"/>
    <w:rsid w:val="664C6B61"/>
    <w:rsid w:val="6659611C"/>
    <w:rsid w:val="66EB7F2E"/>
    <w:rsid w:val="66ED34CB"/>
    <w:rsid w:val="672B29D4"/>
    <w:rsid w:val="674763B5"/>
    <w:rsid w:val="67B016BF"/>
    <w:rsid w:val="67E625AF"/>
    <w:rsid w:val="67EF5014"/>
    <w:rsid w:val="68033400"/>
    <w:rsid w:val="681C46A1"/>
    <w:rsid w:val="681F3A63"/>
    <w:rsid w:val="68303BD5"/>
    <w:rsid w:val="683A2C78"/>
    <w:rsid w:val="68B25FB7"/>
    <w:rsid w:val="68D17E75"/>
    <w:rsid w:val="68D67EF7"/>
    <w:rsid w:val="68D75A1D"/>
    <w:rsid w:val="68E3462F"/>
    <w:rsid w:val="68F26757"/>
    <w:rsid w:val="697E058F"/>
    <w:rsid w:val="69DB0917"/>
    <w:rsid w:val="69DF0F28"/>
    <w:rsid w:val="69E9424C"/>
    <w:rsid w:val="69EF5C15"/>
    <w:rsid w:val="6A040A94"/>
    <w:rsid w:val="6A333127"/>
    <w:rsid w:val="6A35099B"/>
    <w:rsid w:val="6A726D0A"/>
    <w:rsid w:val="6A920618"/>
    <w:rsid w:val="6AA321B4"/>
    <w:rsid w:val="6ABA42ED"/>
    <w:rsid w:val="6B2445E6"/>
    <w:rsid w:val="6B703894"/>
    <w:rsid w:val="6B851761"/>
    <w:rsid w:val="6B9A018A"/>
    <w:rsid w:val="6C06649A"/>
    <w:rsid w:val="6C262B15"/>
    <w:rsid w:val="6C2E3BA6"/>
    <w:rsid w:val="6C711F81"/>
    <w:rsid w:val="6C7672FB"/>
    <w:rsid w:val="6C7B30F6"/>
    <w:rsid w:val="6CA3229A"/>
    <w:rsid w:val="6CC01116"/>
    <w:rsid w:val="6CC22541"/>
    <w:rsid w:val="6CEC6744"/>
    <w:rsid w:val="6D390A55"/>
    <w:rsid w:val="6D3A657B"/>
    <w:rsid w:val="6D947D09"/>
    <w:rsid w:val="6DA17E87"/>
    <w:rsid w:val="6DCB73B6"/>
    <w:rsid w:val="6DE76703"/>
    <w:rsid w:val="6DEB5540"/>
    <w:rsid w:val="6DF04DD9"/>
    <w:rsid w:val="6E070521"/>
    <w:rsid w:val="6E3336F6"/>
    <w:rsid w:val="6E5F2915"/>
    <w:rsid w:val="6E682ADD"/>
    <w:rsid w:val="6E846B48"/>
    <w:rsid w:val="6EA01FA3"/>
    <w:rsid w:val="6ECD58F9"/>
    <w:rsid w:val="6EE70791"/>
    <w:rsid w:val="6F232B4F"/>
    <w:rsid w:val="6F267CFE"/>
    <w:rsid w:val="6F47460D"/>
    <w:rsid w:val="6F5B7DD6"/>
    <w:rsid w:val="6F72448B"/>
    <w:rsid w:val="6F8F5190"/>
    <w:rsid w:val="6FB97C2B"/>
    <w:rsid w:val="6FFB46E7"/>
    <w:rsid w:val="703F47CD"/>
    <w:rsid w:val="70561C75"/>
    <w:rsid w:val="707327D2"/>
    <w:rsid w:val="707B3132"/>
    <w:rsid w:val="7091375A"/>
    <w:rsid w:val="70983CE4"/>
    <w:rsid w:val="70AE175A"/>
    <w:rsid w:val="70BF65CD"/>
    <w:rsid w:val="70ED4030"/>
    <w:rsid w:val="70F07098"/>
    <w:rsid w:val="710571BE"/>
    <w:rsid w:val="71087A1B"/>
    <w:rsid w:val="71681909"/>
    <w:rsid w:val="71702B61"/>
    <w:rsid w:val="71A70023"/>
    <w:rsid w:val="71D117C5"/>
    <w:rsid w:val="71DC1A3B"/>
    <w:rsid w:val="724834E8"/>
    <w:rsid w:val="725D7982"/>
    <w:rsid w:val="72BF1275"/>
    <w:rsid w:val="72C675FF"/>
    <w:rsid w:val="73015C45"/>
    <w:rsid w:val="7315467F"/>
    <w:rsid w:val="731F3A8A"/>
    <w:rsid w:val="733767EB"/>
    <w:rsid w:val="735843A0"/>
    <w:rsid w:val="73B250BD"/>
    <w:rsid w:val="741713C4"/>
    <w:rsid w:val="741A4194"/>
    <w:rsid w:val="743B4D3E"/>
    <w:rsid w:val="74943065"/>
    <w:rsid w:val="749C07A6"/>
    <w:rsid w:val="74B65081"/>
    <w:rsid w:val="74C366B2"/>
    <w:rsid w:val="74DE79AB"/>
    <w:rsid w:val="74F713B1"/>
    <w:rsid w:val="751737E5"/>
    <w:rsid w:val="75285831"/>
    <w:rsid w:val="75302A0D"/>
    <w:rsid w:val="756A0FDA"/>
    <w:rsid w:val="758962F1"/>
    <w:rsid w:val="76124539"/>
    <w:rsid w:val="76197675"/>
    <w:rsid w:val="761D7133"/>
    <w:rsid w:val="764D47D1"/>
    <w:rsid w:val="769E7B7B"/>
    <w:rsid w:val="76A95873"/>
    <w:rsid w:val="76C515AB"/>
    <w:rsid w:val="76FA74A7"/>
    <w:rsid w:val="77043399"/>
    <w:rsid w:val="772C4CD6"/>
    <w:rsid w:val="77336515"/>
    <w:rsid w:val="777803CC"/>
    <w:rsid w:val="7787312B"/>
    <w:rsid w:val="77AE2EA1"/>
    <w:rsid w:val="77FA641A"/>
    <w:rsid w:val="78104AA8"/>
    <w:rsid w:val="78202F3D"/>
    <w:rsid w:val="78581EC6"/>
    <w:rsid w:val="78791B91"/>
    <w:rsid w:val="789631FF"/>
    <w:rsid w:val="78D21D5D"/>
    <w:rsid w:val="791A3AF8"/>
    <w:rsid w:val="795956C3"/>
    <w:rsid w:val="79B5100C"/>
    <w:rsid w:val="79EA570E"/>
    <w:rsid w:val="7A1B51E5"/>
    <w:rsid w:val="7A3A405E"/>
    <w:rsid w:val="7A4E39B4"/>
    <w:rsid w:val="7A692C6A"/>
    <w:rsid w:val="7A724856"/>
    <w:rsid w:val="7A7E6D63"/>
    <w:rsid w:val="7AAC4F5C"/>
    <w:rsid w:val="7AB20098"/>
    <w:rsid w:val="7ACC676C"/>
    <w:rsid w:val="7AD21E89"/>
    <w:rsid w:val="7B14665D"/>
    <w:rsid w:val="7B337BB4"/>
    <w:rsid w:val="7B5C1CDB"/>
    <w:rsid w:val="7B8C2D8B"/>
    <w:rsid w:val="7BC77B74"/>
    <w:rsid w:val="7BC97448"/>
    <w:rsid w:val="7C19708A"/>
    <w:rsid w:val="7C303243"/>
    <w:rsid w:val="7C501917"/>
    <w:rsid w:val="7C574A54"/>
    <w:rsid w:val="7C594C70"/>
    <w:rsid w:val="7CB00608"/>
    <w:rsid w:val="7D1E1A15"/>
    <w:rsid w:val="7D2A660C"/>
    <w:rsid w:val="7D33726F"/>
    <w:rsid w:val="7D5B4A17"/>
    <w:rsid w:val="7D971B89"/>
    <w:rsid w:val="7DAF4226"/>
    <w:rsid w:val="7E3F1C43"/>
    <w:rsid w:val="7E486D4A"/>
    <w:rsid w:val="7E53749D"/>
    <w:rsid w:val="7E543940"/>
    <w:rsid w:val="7E7C69F3"/>
    <w:rsid w:val="7E81387F"/>
    <w:rsid w:val="7EC34622"/>
    <w:rsid w:val="7EDB5E10"/>
    <w:rsid w:val="7EE96720"/>
    <w:rsid w:val="7EEB3B79"/>
    <w:rsid w:val="7F2D1577"/>
    <w:rsid w:val="7F3E1EFB"/>
    <w:rsid w:val="7F882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nhideWhenUsed="0" w:uiPriority="2"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nhideWhenUsed="0" w:uiPriority="0" w:semiHidden="0"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00" w:lineRule="exact"/>
      <w:ind w:firstLine="560" w:firstLineChars="20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33"/>
    <w:autoRedefine/>
    <w:qFormat/>
    <w:uiPriority w:val="0"/>
    <w:pPr>
      <w:keepNext/>
      <w:keepLines/>
      <w:numPr>
        <w:ilvl w:val="0"/>
        <w:numId w:val="1"/>
      </w:numPr>
      <w:spacing w:before="120" w:after="120"/>
      <w:ind w:firstLineChars="0"/>
      <w:outlineLvl w:val="0"/>
    </w:pPr>
    <w:rPr>
      <w:b/>
      <w:bCs/>
      <w:kern w:val="44"/>
      <w:sz w:val="32"/>
      <w:szCs w:val="44"/>
    </w:rPr>
  </w:style>
  <w:style w:type="paragraph" w:styleId="3">
    <w:name w:val="heading 2"/>
    <w:basedOn w:val="2"/>
    <w:next w:val="1"/>
    <w:link w:val="30"/>
    <w:autoRedefine/>
    <w:unhideWhenUsed/>
    <w:qFormat/>
    <w:uiPriority w:val="0"/>
    <w:pPr>
      <w:numPr>
        <w:ilvl w:val="1"/>
      </w:numPr>
      <w:ind w:left="0"/>
      <w:outlineLvl w:val="1"/>
    </w:pPr>
    <w:rPr>
      <w:rFonts w:cstheme="majorBidi"/>
      <w:bCs w:val="0"/>
      <w:sz w:val="30"/>
      <w:szCs w:val="32"/>
    </w:rPr>
  </w:style>
  <w:style w:type="paragraph" w:styleId="4">
    <w:name w:val="heading 3"/>
    <w:basedOn w:val="3"/>
    <w:next w:val="1"/>
    <w:link w:val="31"/>
    <w:autoRedefine/>
    <w:unhideWhenUsed/>
    <w:qFormat/>
    <w:uiPriority w:val="9"/>
    <w:pPr>
      <w:numPr>
        <w:ilvl w:val="2"/>
      </w:numPr>
      <w:ind w:left="0" w:firstLine="301" w:firstLineChars="100"/>
      <w:outlineLvl w:val="2"/>
    </w:pPr>
    <w:rPr>
      <w:rFonts w:ascii="Times New Roman" w:hAnsi="Times New Roman"/>
      <w:bCs/>
    </w:rPr>
  </w:style>
  <w:style w:type="paragraph" w:styleId="5">
    <w:name w:val="heading 4"/>
    <w:basedOn w:val="4"/>
    <w:next w:val="1"/>
    <w:link w:val="32"/>
    <w:autoRedefine/>
    <w:unhideWhenUsed/>
    <w:qFormat/>
    <w:uiPriority w:val="9"/>
    <w:pPr>
      <w:numPr>
        <w:ilvl w:val="3"/>
      </w:numPr>
      <w:outlineLvl w:val="3"/>
    </w:pPr>
    <w:rPr>
      <w:bCs w:val="0"/>
      <w:szCs w:val="28"/>
    </w:rPr>
  </w:style>
  <w:style w:type="paragraph" w:styleId="6">
    <w:name w:val="heading 5"/>
    <w:basedOn w:val="1"/>
    <w:next w:val="1"/>
    <w:link w:val="37"/>
    <w:autoRedefine/>
    <w:unhideWhenUsed/>
    <w:qFormat/>
    <w:uiPriority w:val="9"/>
    <w:pPr>
      <w:keepNext/>
      <w:keepLines/>
      <w:numPr>
        <w:ilvl w:val="4"/>
        <w:numId w:val="1"/>
      </w:numPr>
      <w:spacing w:before="120" w:after="120"/>
      <w:ind w:firstLine="281" w:firstLineChars="100"/>
      <w:outlineLvl w:val="4"/>
    </w:pPr>
    <w:rPr>
      <w:b/>
      <w:bCs/>
      <w:szCs w:val="28"/>
    </w:rPr>
  </w:style>
  <w:style w:type="paragraph" w:styleId="7">
    <w:name w:val="heading 6"/>
    <w:basedOn w:val="1"/>
    <w:next w:val="1"/>
    <w:link w:val="38"/>
    <w:autoRedefine/>
    <w:semiHidden/>
    <w:unhideWhenUsed/>
    <w:qFormat/>
    <w:uiPriority w:val="9"/>
    <w:pPr>
      <w:keepNext/>
      <w:keepLines/>
      <w:numPr>
        <w:ilvl w:val="5"/>
        <w:numId w:val="1"/>
      </w:numPr>
      <w:spacing w:before="240" w:after="64" w:line="320" w:lineRule="atLeast"/>
      <w:ind w:firstLineChars="0"/>
      <w:outlineLvl w:val="5"/>
    </w:pPr>
    <w:rPr>
      <w:rFonts w:asciiTheme="majorHAnsi" w:hAnsiTheme="majorHAnsi" w:eastAsiaTheme="majorEastAsia" w:cstheme="majorBidi"/>
      <w:b/>
      <w:bCs/>
      <w:sz w:val="24"/>
      <w:szCs w:val="24"/>
    </w:rPr>
  </w:style>
  <w:style w:type="paragraph" w:styleId="8">
    <w:name w:val="heading 7"/>
    <w:basedOn w:val="1"/>
    <w:next w:val="1"/>
    <w:link w:val="39"/>
    <w:autoRedefine/>
    <w:semiHidden/>
    <w:unhideWhenUsed/>
    <w:qFormat/>
    <w:uiPriority w:val="9"/>
    <w:pPr>
      <w:keepNext/>
      <w:keepLines/>
      <w:numPr>
        <w:ilvl w:val="6"/>
        <w:numId w:val="1"/>
      </w:numPr>
      <w:spacing w:before="240" w:after="64" w:line="320" w:lineRule="atLeast"/>
      <w:ind w:firstLineChars="0"/>
      <w:outlineLvl w:val="6"/>
    </w:pPr>
    <w:rPr>
      <w:b/>
      <w:bCs/>
      <w:sz w:val="24"/>
      <w:szCs w:val="24"/>
    </w:rPr>
  </w:style>
  <w:style w:type="paragraph" w:styleId="9">
    <w:name w:val="heading 8"/>
    <w:basedOn w:val="1"/>
    <w:next w:val="1"/>
    <w:link w:val="40"/>
    <w:autoRedefine/>
    <w:semiHidden/>
    <w:unhideWhenUsed/>
    <w:qFormat/>
    <w:uiPriority w:val="9"/>
    <w:pPr>
      <w:keepNext/>
      <w:keepLines/>
      <w:numPr>
        <w:ilvl w:val="7"/>
        <w:numId w:val="1"/>
      </w:numPr>
      <w:spacing w:before="240" w:after="64" w:line="320" w:lineRule="atLeast"/>
      <w:ind w:firstLineChars="0"/>
      <w:outlineLvl w:val="7"/>
    </w:pPr>
    <w:rPr>
      <w:rFonts w:asciiTheme="majorHAnsi" w:hAnsiTheme="majorHAnsi" w:eastAsiaTheme="majorEastAsia" w:cstheme="majorBidi"/>
      <w:sz w:val="24"/>
      <w:szCs w:val="24"/>
    </w:rPr>
  </w:style>
  <w:style w:type="paragraph" w:styleId="10">
    <w:name w:val="heading 9"/>
    <w:basedOn w:val="1"/>
    <w:next w:val="1"/>
    <w:link w:val="41"/>
    <w:autoRedefine/>
    <w:semiHidden/>
    <w:unhideWhenUsed/>
    <w:qFormat/>
    <w:uiPriority w:val="9"/>
    <w:pPr>
      <w:keepNext/>
      <w:keepLines/>
      <w:numPr>
        <w:ilvl w:val="8"/>
        <w:numId w:val="1"/>
      </w:numPr>
      <w:spacing w:before="240" w:after="64" w:line="320" w:lineRule="atLeast"/>
      <w:ind w:firstLineChars="0"/>
      <w:outlineLvl w:val="8"/>
    </w:pPr>
    <w:rPr>
      <w:rFonts w:asciiTheme="majorHAnsi" w:hAnsiTheme="majorHAnsi" w:eastAsiaTheme="majorEastAsia" w:cstheme="majorBidi"/>
      <w:sz w:val="21"/>
      <w:szCs w:val="21"/>
    </w:rPr>
  </w:style>
  <w:style w:type="character" w:default="1" w:styleId="22">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semiHidden/>
    <w:qFormat/>
    <w:uiPriority w:val="0"/>
    <w:rPr>
      <w:rFonts w:ascii="宋体" w:hAnsi="宋体" w:eastAsia="宋体" w:cs="宋体"/>
      <w:sz w:val="24"/>
      <w:szCs w:val="24"/>
      <w:lang w:val="en-US" w:eastAsia="en-US" w:bidi="ar-SA"/>
    </w:rPr>
  </w:style>
  <w:style w:type="paragraph" w:styleId="13">
    <w:name w:val="toc 3"/>
    <w:basedOn w:val="1"/>
    <w:next w:val="1"/>
    <w:autoRedefine/>
    <w:unhideWhenUsed/>
    <w:qFormat/>
    <w:uiPriority w:val="39"/>
    <w:pPr>
      <w:tabs>
        <w:tab w:val="right" w:leader="dot" w:pos="8296"/>
      </w:tabs>
      <w:ind w:left="1120" w:leftChars="400" w:firstLine="0" w:firstLineChars="0"/>
    </w:pPr>
    <w:rPr>
      <w:rFonts w:ascii="Times New Roman" w:hAnsi="Times New Roman" w:cstheme="majorBidi"/>
      <w:kern w:val="44"/>
    </w:rPr>
  </w:style>
  <w:style w:type="paragraph" w:styleId="14">
    <w:name w:val="footer"/>
    <w:basedOn w:val="1"/>
    <w:link w:val="42"/>
    <w:autoRedefine/>
    <w:unhideWhenUsed/>
    <w:qFormat/>
    <w:uiPriority w:val="99"/>
    <w:pPr>
      <w:tabs>
        <w:tab w:val="center" w:pos="4153"/>
        <w:tab w:val="right" w:pos="8306"/>
      </w:tabs>
      <w:snapToGrid w:val="0"/>
      <w:spacing w:line="240" w:lineRule="atLeast"/>
      <w:ind w:firstLine="0" w:firstLineChars="0"/>
      <w:jc w:val="center"/>
    </w:pPr>
    <w:rPr>
      <w:sz w:val="21"/>
      <w:szCs w:val="21"/>
      <w:lang w:val="zh-CN"/>
    </w:rPr>
  </w:style>
  <w:style w:type="paragraph" w:styleId="15">
    <w:name w:val="header"/>
    <w:basedOn w:val="1"/>
    <w:link w:val="34"/>
    <w:autoRedefine/>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imes New Roman" w:hAnsi="Times New Roman"/>
      <w:sz w:val="18"/>
      <w:szCs w:val="18"/>
    </w:rPr>
  </w:style>
  <w:style w:type="paragraph" w:styleId="16">
    <w:name w:val="toc 1"/>
    <w:basedOn w:val="1"/>
    <w:next w:val="1"/>
    <w:autoRedefine/>
    <w:unhideWhenUsed/>
    <w:qFormat/>
    <w:uiPriority w:val="39"/>
    <w:pPr>
      <w:ind w:firstLine="0" w:firstLineChars="0"/>
    </w:pPr>
    <w:rPr>
      <w:rFonts w:ascii="Times New Roman" w:hAnsi="Times New Roman"/>
    </w:rPr>
  </w:style>
  <w:style w:type="paragraph" w:styleId="17">
    <w:name w:val="Subtitle"/>
    <w:basedOn w:val="1"/>
    <w:next w:val="1"/>
    <w:qFormat/>
    <w:uiPriority w:val="11"/>
    <w:pPr>
      <w:jc w:val="left"/>
      <w:outlineLvl w:val="3"/>
    </w:pPr>
    <w:rPr>
      <w:b/>
      <w:bCs/>
      <w:color w:val="auto"/>
      <w:kern w:val="28"/>
      <w:szCs w:val="32"/>
    </w:rPr>
  </w:style>
  <w:style w:type="paragraph" w:styleId="18">
    <w:name w:val="toc 2"/>
    <w:basedOn w:val="1"/>
    <w:next w:val="1"/>
    <w:autoRedefine/>
    <w:unhideWhenUsed/>
    <w:qFormat/>
    <w:uiPriority w:val="39"/>
    <w:pPr>
      <w:ind w:left="420" w:leftChars="200" w:firstLine="0" w:firstLineChars="0"/>
    </w:pPr>
    <w:rPr>
      <w:rFonts w:ascii="Times New Roman" w:hAnsi="Times New Roman"/>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Table Theme"/>
    <w:basedOn w:val="19"/>
    <w:autoRedefine/>
    <w:qFormat/>
    <w:uiPriority w:val="0"/>
    <w:pPr>
      <w:widowControl w:val="0"/>
      <w:adjustRightInd w:val="0"/>
      <w:snapToGrid w:val="0"/>
      <w:jc w:val="both"/>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rPr>
      <w:jc w:val="center"/>
    </w:trPr>
    <w:tcPr>
      <w:tcMar>
        <w:left w:w="0" w:type="dxa"/>
        <w:right w:w="0" w:type="dxa"/>
      </w:tcMar>
      <w:vAlign w:val="center"/>
    </w:tcPr>
    <w:tblStylePr w:type="firstRow">
      <w:rPr>
        <w:rFonts w:ascii="Times New Roman" w:hAnsi="Times New Roman" w:eastAsia="华文新魏"/>
        <w:b/>
      </w:rPr>
    </w:tblStylePr>
  </w:style>
  <w:style w:type="character" w:styleId="23">
    <w:name w:val="Hyperlink"/>
    <w:basedOn w:val="22"/>
    <w:autoRedefine/>
    <w:unhideWhenUsed/>
    <w:qFormat/>
    <w:uiPriority w:val="99"/>
    <w:rPr>
      <w:color w:val="0563C1" w:themeColor="hyperlink"/>
      <w:u w:val="single"/>
      <w14:textFill>
        <w14:solidFill>
          <w14:schemeClr w14:val="hlink"/>
        </w14:solidFill>
      </w14:textFill>
    </w:rPr>
  </w:style>
  <w:style w:type="character" w:customStyle="1" w:styleId="24">
    <w:name w:val="图表题目及图片 字符"/>
    <w:basedOn w:val="22"/>
    <w:link w:val="25"/>
    <w:autoRedefine/>
    <w:qFormat/>
    <w:uiPriority w:val="1"/>
    <w:rPr>
      <w:rFonts w:ascii="Times New Roman" w:hAnsi="Times New Roman" w:eastAsia="仿宋_GB2312" w:cstheme="minorBidi"/>
      <w:b/>
      <w:kern w:val="2"/>
      <w:sz w:val="24"/>
      <w:szCs w:val="22"/>
    </w:rPr>
  </w:style>
  <w:style w:type="paragraph" w:customStyle="1" w:styleId="25">
    <w:name w:val="表格及图片题目"/>
    <w:next w:val="1"/>
    <w:link w:val="24"/>
    <w:autoRedefine/>
    <w:qFormat/>
    <w:uiPriority w:val="1"/>
    <w:pPr>
      <w:spacing w:before="50" w:beforeLines="50" w:line="360" w:lineRule="auto"/>
      <w:jc w:val="center"/>
      <w:outlineLvl w:val="4"/>
    </w:pPr>
    <w:rPr>
      <w:rFonts w:ascii="Times New Roman" w:hAnsi="Times New Roman" w:eastAsia="仿宋_GB2312" w:cstheme="minorBidi"/>
      <w:b/>
      <w:kern w:val="2"/>
      <w:sz w:val="24"/>
      <w:szCs w:val="22"/>
      <w:lang w:val="en-US" w:eastAsia="zh-CN" w:bidi="ar-SA"/>
    </w:rPr>
  </w:style>
  <w:style w:type="paragraph" w:customStyle="1" w:styleId="26">
    <w:name w:val="表格"/>
    <w:link w:val="27"/>
    <w:autoRedefine/>
    <w:qFormat/>
    <w:uiPriority w:val="0"/>
    <w:pPr>
      <w:widowControl w:val="0"/>
      <w:adjustRightInd w:val="0"/>
      <w:snapToGrid w:val="0"/>
      <w:jc w:val="center"/>
    </w:pPr>
    <w:rPr>
      <w:rFonts w:ascii="Times New Roman" w:hAnsi="Times New Roman" w:eastAsia="仿宋_GB2312" w:cs="Times New Roman"/>
      <w:color w:val="000000" w:themeColor="text1"/>
      <w:kern w:val="2"/>
      <w:sz w:val="21"/>
      <w:szCs w:val="22"/>
      <w:lang w:val="en-US" w:eastAsia="zh-CN" w:bidi="ar-SA"/>
      <w14:textFill>
        <w14:solidFill>
          <w14:schemeClr w14:val="tx1"/>
        </w14:solidFill>
      </w14:textFill>
    </w:rPr>
  </w:style>
  <w:style w:type="character" w:customStyle="1" w:styleId="27">
    <w:name w:val="表格 字符"/>
    <w:basedOn w:val="22"/>
    <w:link w:val="26"/>
    <w:autoRedefine/>
    <w:qFormat/>
    <w:uiPriority w:val="0"/>
    <w:rPr>
      <w:rFonts w:eastAsia="仿宋_GB2312"/>
      <w:color w:val="000000" w:themeColor="text1"/>
      <w:kern w:val="2"/>
      <w:sz w:val="21"/>
      <w:szCs w:val="22"/>
      <w14:textFill>
        <w14:solidFill>
          <w14:schemeClr w14:val="tx1"/>
        </w14:solidFill>
      </w14:textFill>
    </w:rPr>
  </w:style>
  <w:style w:type="paragraph" w:customStyle="1" w:styleId="28">
    <w:name w:val="正文 注释"/>
    <w:basedOn w:val="1"/>
    <w:link w:val="29"/>
    <w:autoRedefine/>
    <w:qFormat/>
    <w:uiPriority w:val="1"/>
    <w:pPr>
      <w:spacing w:line="240" w:lineRule="auto"/>
      <w:ind w:firstLine="420"/>
    </w:pPr>
    <w:rPr>
      <w:sz w:val="21"/>
    </w:rPr>
  </w:style>
  <w:style w:type="character" w:customStyle="1" w:styleId="29">
    <w:name w:val="正文 注释 字符"/>
    <w:basedOn w:val="22"/>
    <w:link w:val="28"/>
    <w:autoRedefine/>
    <w:qFormat/>
    <w:uiPriority w:val="1"/>
    <w:rPr>
      <w:rFonts w:eastAsia="仿宋_GB2312" w:cstheme="minorBidi"/>
      <w:kern w:val="2"/>
      <w:sz w:val="21"/>
      <w:szCs w:val="22"/>
    </w:rPr>
  </w:style>
  <w:style w:type="character" w:customStyle="1" w:styleId="30">
    <w:name w:val="标题 2 字符"/>
    <w:basedOn w:val="22"/>
    <w:link w:val="3"/>
    <w:autoRedefine/>
    <w:qFormat/>
    <w:uiPriority w:val="9"/>
    <w:rPr>
      <w:rFonts w:ascii="Times New Roman" w:hAnsi="Times New Roman" w:eastAsia="仿宋_GB2312" w:cstheme="majorBidi"/>
      <w:b/>
      <w:kern w:val="44"/>
      <w:sz w:val="30"/>
      <w:szCs w:val="32"/>
    </w:rPr>
  </w:style>
  <w:style w:type="character" w:customStyle="1" w:styleId="31">
    <w:name w:val="标题 3 字符"/>
    <w:basedOn w:val="22"/>
    <w:link w:val="4"/>
    <w:autoRedefine/>
    <w:qFormat/>
    <w:uiPriority w:val="9"/>
    <w:rPr>
      <w:rFonts w:ascii="Times New Roman" w:hAnsi="Times New Roman" w:eastAsia="仿宋_GB2312" w:cstheme="majorBidi"/>
      <w:b/>
      <w:bCs/>
      <w:kern w:val="44"/>
      <w:sz w:val="30"/>
      <w:szCs w:val="32"/>
    </w:rPr>
  </w:style>
  <w:style w:type="character" w:customStyle="1" w:styleId="32">
    <w:name w:val="标题 4 字符"/>
    <w:basedOn w:val="22"/>
    <w:link w:val="5"/>
    <w:autoRedefine/>
    <w:qFormat/>
    <w:uiPriority w:val="9"/>
    <w:rPr>
      <w:rFonts w:eastAsia="仿宋_GB2312" w:cstheme="majorBidi"/>
      <w:b/>
      <w:kern w:val="44"/>
      <w:sz w:val="30"/>
      <w:szCs w:val="28"/>
    </w:rPr>
  </w:style>
  <w:style w:type="character" w:customStyle="1" w:styleId="33">
    <w:name w:val="标题 1 字符"/>
    <w:basedOn w:val="22"/>
    <w:link w:val="2"/>
    <w:autoRedefine/>
    <w:qFormat/>
    <w:uiPriority w:val="9"/>
    <w:rPr>
      <w:rFonts w:ascii="Times New Roman" w:hAnsi="Times New Roman" w:eastAsia="仿宋_GB2312"/>
      <w:b/>
      <w:bCs/>
      <w:kern w:val="44"/>
      <w:sz w:val="32"/>
      <w:szCs w:val="44"/>
    </w:rPr>
  </w:style>
  <w:style w:type="character" w:customStyle="1" w:styleId="34">
    <w:name w:val="页眉 字符"/>
    <w:basedOn w:val="22"/>
    <w:link w:val="15"/>
    <w:autoRedefine/>
    <w:qFormat/>
    <w:uiPriority w:val="99"/>
    <w:rPr>
      <w:rFonts w:ascii="Times New Roman" w:hAnsi="Times New Roman" w:eastAsia="仿宋_GB2312" w:cstheme="minorBidi"/>
      <w:kern w:val="2"/>
      <w:sz w:val="18"/>
      <w:szCs w:val="18"/>
    </w:rPr>
  </w:style>
  <w:style w:type="character" w:customStyle="1" w:styleId="35">
    <w:name w:val="表格 加粗 字符"/>
    <w:basedOn w:val="27"/>
    <w:link w:val="36"/>
    <w:autoRedefine/>
    <w:qFormat/>
    <w:uiPriority w:val="1"/>
    <w:rPr>
      <w:rFonts w:ascii="Times New Roman" w:hAnsi="Times New Roman" w:eastAsia="仿宋_GB2312" w:cs="Times New Roman"/>
      <w:b/>
      <w:color w:val="000000" w:themeColor="text1"/>
      <w:kern w:val="2"/>
      <w:sz w:val="21"/>
      <w:szCs w:val="22"/>
      <w14:textFill>
        <w14:solidFill>
          <w14:schemeClr w14:val="tx1"/>
        </w14:solidFill>
      </w14:textFill>
    </w:rPr>
  </w:style>
  <w:style w:type="paragraph" w:customStyle="1" w:styleId="36">
    <w:name w:val="表格 加粗"/>
    <w:basedOn w:val="26"/>
    <w:link w:val="35"/>
    <w:autoRedefine/>
    <w:qFormat/>
    <w:uiPriority w:val="0"/>
    <w:rPr>
      <w:b/>
    </w:rPr>
  </w:style>
  <w:style w:type="character" w:customStyle="1" w:styleId="37">
    <w:name w:val="标题 5 字符"/>
    <w:link w:val="6"/>
    <w:autoRedefine/>
    <w:qFormat/>
    <w:uiPriority w:val="9"/>
    <w:rPr>
      <w:rFonts w:ascii="Times New Roman" w:hAnsi="Times New Roman" w:eastAsia="仿宋_GB2312" w:cstheme="minorBidi"/>
      <w:b/>
      <w:bCs/>
      <w:kern w:val="2"/>
      <w:sz w:val="28"/>
      <w:szCs w:val="28"/>
      <w:lang w:val="en-US" w:eastAsia="zh-CN" w:bidi="ar-SA"/>
    </w:rPr>
  </w:style>
  <w:style w:type="character" w:customStyle="1" w:styleId="38">
    <w:name w:val="标题 6 字符"/>
    <w:basedOn w:val="22"/>
    <w:link w:val="7"/>
    <w:autoRedefine/>
    <w:semiHidden/>
    <w:qFormat/>
    <w:uiPriority w:val="9"/>
    <w:rPr>
      <w:rFonts w:asciiTheme="majorHAnsi" w:hAnsiTheme="majorHAnsi" w:eastAsiaTheme="majorEastAsia" w:cstheme="majorBidi"/>
      <w:b/>
      <w:bCs/>
      <w:sz w:val="24"/>
      <w:szCs w:val="24"/>
    </w:rPr>
  </w:style>
  <w:style w:type="character" w:customStyle="1" w:styleId="39">
    <w:name w:val="标题 7 字符"/>
    <w:basedOn w:val="22"/>
    <w:link w:val="8"/>
    <w:autoRedefine/>
    <w:semiHidden/>
    <w:qFormat/>
    <w:uiPriority w:val="9"/>
    <w:rPr>
      <w:rFonts w:ascii="Times New Roman" w:hAnsi="Times New Roman" w:eastAsia="仿宋_GB2312"/>
      <w:b/>
      <w:bCs/>
      <w:sz w:val="24"/>
      <w:szCs w:val="24"/>
    </w:rPr>
  </w:style>
  <w:style w:type="character" w:customStyle="1" w:styleId="40">
    <w:name w:val="标题 8 字符"/>
    <w:basedOn w:val="22"/>
    <w:link w:val="9"/>
    <w:autoRedefine/>
    <w:semiHidden/>
    <w:qFormat/>
    <w:uiPriority w:val="9"/>
    <w:rPr>
      <w:rFonts w:asciiTheme="majorHAnsi" w:hAnsiTheme="majorHAnsi" w:eastAsiaTheme="majorEastAsia" w:cstheme="majorBidi"/>
      <w:sz w:val="24"/>
      <w:szCs w:val="24"/>
    </w:rPr>
  </w:style>
  <w:style w:type="character" w:customStyle="1" w:styleId="41">
    <w:name w:val="标题 9 字符"/>
    <w:basedOn w:val="22"/>
    <w:link w:val="10"/>
    <w:autoRedefine/>
    <w:semiHidden/>
    <w:qFormat/>
    <w:uiPriority w:val="9"/>
    <w:rPr>
      <w:rFonts w:asciiTheme="majorHAnsi" w:hAnsiTheme="majorHAnsi" w:eastAsiaTheme="majorEastAsia" w:cstheme="majorBidi"/>
      <w:szCs w:val="21"/>
    </w:rPr>
  </w:style>
  <w:style w:type="character" w:customStyle="1" w:styleId="42">
    <w:name w:val="页脚 字符"/>
    <w:basedOn w:val="22"/>
    <w:link w:val="14"/>
    <w:autoRedefine/>
    <w:qFormat/>
    <w:uiPriority w:val="99"/>
    <w:rPr>
      <w:rFonts w:ascii="Times New Roman" w:hAnsi="Times New Roman" w:eastAsia="仿宋_GB2312"/>
      <w:kern w:val="2"/>
      <w:sz w:val="21"/>
      <w:szCs w:val="21"/>
      <w:lang w:val="zh-CN"/>
    </w:rPr>
  </w:style>
  <w:style w:type="paragraph" w:customStyle="1" w:styleId="43">
    <w:name w:val="修订1"/>
    <w:autoRedefine/>
    <w:hidden/>
    <w:semiHidden/>
    <w:qFormat/>
    <w:uiPriority w:val="99"/>
    <w:rPr>
      <w:rFonts w:ascii="Times New Roman" w:hAnsi="Times New Roman" w:eastAsia="仿宋_GB2312" w:cstheme="minorBidi"/>
      <w:kern w:val="2"/>
      <w:sz w:val="28"/>
      <w:szCs w:val="22"/>
      <w:lang w:val="en-US" w:eastAsia="zh-CN" w:bidi="ar-SA"/>
    </w:rPr>
  </w:style>
  <w:style w:type="paragraph" w:customStyle="1" w:styleId="44">
    <w:name w:val="修订2"/>
    <w:autoRedefine/>
    <w:hidden/>
    <w:semiHidden/>
    <w:qFormat/>
    <w:uiPriority w:val="99"/>
    <w:rPr>
      <w:rFonts w:ascii="Times New Roman" w:hAnsi="Times New Roman" w:eastAsia="仿宋_GB2312" w:cstheme="minorBidi"/>
      <w:kern w:val="2"/>
      <w:sz w:val="28"/>
      <w:szCs w:val="22"/>
      <w:lang w:val="en-US" w:eastAsia="zh-CN" w:bidi="ar-SA"/>
    </w:rPr>
  </w:style>
  <w:style w:type="paragraph" w:customStyle="1" w:styleId="45">
    <w:name w:val="修订3"/>
    <w:autoRedefine/>
    <w:hidden/>
    <w:semiHidden/>
    <w:qFormat/>
    <w:uiPriority w:val="99"/>
    <w:rPr>
      <w:rFonts w:ascii="Times New Roman" w:hAnsi="Times New Roman" w:eastAsia="仿宋_GB2312" w:cstheme="minorBidi"/>
      <w:kern w:val="2"/>
      <w:sz w:val="28"/>
      <w:szCs w:val="22"/>
      <w:lang w:val="en-US" w:eastAsia="zh-CN" w:bidi="ar-SA"/>
    </w:rPr>
  </w:style>
  <w:style w:type="paragraph" w:customStyle="1" w:styleId="46">
    <w:name w:val="正文 加粗"/>
    <w:basedOn w:val="1"/>
    <w:next w:val="1"/>
    <w:link w:val="47"/>
    <w:autoRedefine/>
    <w:qFormat/>
    <w:uiPriority w:val="1"/>
    <w:rPr>
      <w:rFonts w:cs="Times New Roman"/>
      <w:b/>
    </w:rPr>
  </w:style>
  <w:style w:type="character" w:customStyle="1" w:styleId="47">
    <w:name w:val="正文 加粗 字符"/>
    <w:basedOn w:val="22"/>
    <w:link w:val="46"/>
    <w:autoRedefine/>
    <w:qFormat/>
    <w:uiPriority w:val="1"/>
    <w:rPr>
      <w:rFonts w:ascii="Times New Roman" w:hAnsi="Times New Roman" w:eastAsia="仿宋_GB2312" w:cs="Times New Roman"/>
      <w:b/>
      <w:kern w:val="2"/>
      <w:sz w:val="28"/>
      <w:szCs w:val="22"/>
    </w:rPr>
  </w:style>
  <w:style w:type="table" w:customStyle="1" w:styleId="48">
    <w:name w:val="表格 报告模板"/>
    <w:basedOn w:val="19"/>
    <w:autoRedefine/>
    <w:qFormat/>
    <w:uiPriority w:val="99"/>
    <w:pPr>
      <w:jc w:val="center"/>
    </w:pPr>
    <w:rPr>
      <w:rFonts w:eastAsia="Times New Roman"/>
      <w:color w:val="000000" w:themeColor="text1"/>
      <w:sz w:val="21"/>
      <w14:textFill>
        <w14:solidFill>
          <w14:schemeClr w14:val="tx1"/>
        </w14:solidFill>
      </w14:textFill>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tblStylePr w:type="firstRow">
      <w:rPr>
        <w:rFonts w:ascii="Times New Roman" w:hAnsi="Times New Roman" w:eastAsia="微软雅黑"/>
        <w:b/>
        <w:sz w:val="21"/>
      </w:rPr>
      <w:tblPr/>
      <w:trPr>
        <w:cantSplit/>
        <w:tblHeader/>
      </w:trPr>
    </w:tblStylePr>
  </w:style>
  <w:style w:type="table" w:customStyle="1" w:styleId="49">
    <w:name w:val="表格主题1"/>
    <w:basedOn w:val="19"/>
    <w:autoRedefine/>
    <w:semiHidden/>
    <w:unhideWhenUsed/>
    <w:qFormat/>
    <w:uiPriority w:val="99"/>
    <w:pPr>
      <w:widowControl w:val="0"/>
      <w:adjustRightInd w:val="0"/>
      <w:snapToGrid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cPr>
      <w:vAlign w:val="center"/>
    </w:tcPr>
    <w:tblStylePr w:type="firstRow">
      <w:rPr>
        <w:rFonts w:hint="default" w:ascii="Times New Roman" w:hAnsi="Times New Roman" w:eastAsia="华文新魏" w:cs="Times New Roman"/>
        <w:b/>
      </w:rPr>
    </w:tblStylePr>
  </w:style>
  <w:style w:type="table" w:customStyle="1" w:styleId="50">
    <w:name w:val="Table Normal"/>
    <w:autoRedefine/>
    <w:semiHidden/>
    <w:unhideWhenUsed/>
    <w:qFormat/>
    <w:uiPriority w:val="0"/>
    <w:tblPr>
      <w:tblCellMar>
        <w:top w:w="0" w:type="dxa"/>
        <w:left w:w="0" w:type="dxa"/>
        <w:bottom w:w="0" w:type="dxa"/>
        <w:right w:w="0" w:type="dxa"/>
      </w:tblCellMar>
    </w:tblPr>
  </w:style>
  <w:style w:type="paragraph" w:customStyle="1" w:styleId="51">
    <w:name w:val="修订4"/>
    <w:autoRedefine/>
    <w:hidden/>
    <w:unhideWhenUsed/>
    <w:qFormat/>
    <w:uiPriority w:val="99"/>
    <w:rPr>
      <w:rFonts w:ascii="Times New Roman" w:hAnsi="Times New Roman" w:eastAsia="仿宋_GB2312" w:cstheme="minorBidi"/>
      <w:kern w:val="2"/>
      <w:sz w:val="28"/>
      <w:szCs w:val="22"/>
      <w:lang w:val="en-US" w:eastAsia="zh-CN" w:bidi="ar-SA"/>
    </w:rPr>
  </w:style>
  <w:style w:type="table" w:customStyle="1" w:styleId="52">
    <w:name w:val="样式1"/>
    <w:basedOn w:val="19"/>
    <w:qFormat/>
    <w:uiPriority w:val="99"/>
    <w:pPr>
      <w:jc w:val="center"/>
    </w:pPr>
    <w:rPr>
      <w:rFonts w:cstheme="minorBidi"/>
      <w:kern w:val="2"/>
      <w:sz w:val="21"/>
      <w:szCs w:val="22"/>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paragraph" w:customStyle="1" w:styleId="53">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3.xml"/><Relationship Id="rId5" Type="http://schemas.openxmlformats.org/officeDocument/2006/relationships/header" Target="header1.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jpe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wmf"/><Relationship Id="rId35" Type="http://schemas.openxmlformats.org/officeDocument/2006/relationships/image" Target="media/image19.wmf"/><Relationship Id="rId34" Type="http://schemas.openxmlformats.org/officeDocument/2006/relationships/image" Target="media/image18.wmf"/><Relationship Id="rId33" Type="http://schemas.openxmlformats.org/officeDocument/2006/relationships/image" Target="media/image17.wmf"/><Relationship Id="rId32" Type="http://schemas.openxmlformats.org/officeDocument/2006/relationships/image" Target="media/image16.wmf"/><Relationship Id="rId31" Type="http://schemas.openxmlformats.org/officeDocument/2006/relationships/oleObject" Target="embeddings/oleObject3.bin"/><Relationship Id="rId30" Type="http://schemas.openxmlformats.org/officeDocument/2006/relationships/image" Target="media/image15.wmf"/><Relationship Id="rId3" Type="http://schemas.openxmlformats.org/officeDocument/2006/relationships/footnotes" Target="footnotes.xml"/><Relationship Id="rId29" Type="http://schemas.openxmlformats.org/officeDocument/2006/relationships/oleObject" Target="embeddings/oleObject2.bin"/><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3.xml><?xml version="1.0" encoding="utf-8"?>
<contractReview xmlns="http://schemas.wps.cn/vas-ai-hub/contract-review">
  <reviewItems>
    <reviewItem>
      <errorID>941b0b28-31c6-4639-a461-a8a05e056b52</errorID>
      <errorWord>规模化</errorWord>
      <group>L1_Word</group>
      <groupName>字词问题</groupName>
      <ability>L2_Typo</ability>
      <abilityName>字词错误</abilityName>
      <candidateList>
        <item>规模</item>
      </candidateList>
      <explain/>
      <paraID>2C59EC3B</paraID>
      <start>84</start>
      <end>87</end>
      <status>unmodified</status>
      <modifiedWord/>
      <trackRevisions>false</trackRevisions>
    </reviewItem>
    <reviewItem>
      <errorID>fa9178b2-787d-4163-ab44-f5f61ac016e9</errorID>
      <errorWord>》</errorWord>
      <group>L1_Word</group>
      <groupName>字词问题</groupName>
      <ability>L2_Typo</ability>
      <abilityName>字词错误</abilityName>
      <candidateList>
        <item>》等</item>
      </candidateList>
      <explain/>
      <paraID> 7A9B558</paraID>
      <start>284</start>
      <end>285</end>
      <status>unmodified</status>
      <modifiedWord/>
      <trackRevisions>false</trackRevisions>
    </reviewItem>
    <reviewItem>
      <errorID>442daa34-c3c1-457a-a3d6-9d35e50ef0d0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6D4370A0</paraID>
      <start>65</start>
      <end>66</end>
      <status>unmodified</status>
      <modifiedWord/>
      <trackRevisions>false</trackRevisions>
    </reviewItem>
    <reviewItem>
      <errorID>cab78fc1-edbd-4031-bc81-0e60560cb18a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6D4370A0</paraID>
      <start>117</start>
      <end>118</end>
      <status>unmodified</status>
      <modifiedWord/>
      <trackRevisions>false</trackRevisions>
    </reviewItem>
    <reviewItem>
      <errorID>e78f3aba-8d02-4811-89c0-0793b11a299b</errorID>
      <errorWord>法律、法规</errorWord>
      <group>L1_Word</group>
      <groupName>字词问题</groupName>
      <ability>L2_Typo</ability>
      <abilityName>字词错误</abilityName>
      <candidateList>
        <item>法律法规</item>
      </candidateList>
      <explain/>
      <paraID>45877ED3</paraID>
      <start>23</start>
      <end>28</end>
      <status>unmodified</status>
      <modifiedWord/>
      <trackRevisions>false</trackRevisions>
    </reviewItem>
    <reviewItem>
      <errorID>ac1f468d-105c-4584-ae89-4a40487e06ff</errorID>
      <errorWord>-</errorWord>
      <group>L1_Format</group>
      <groupName>格式问题</groupName>
      <ability>L2_HalfPunc</ability>
      <abilityName>全半角检查</abilityName>
      <candidateList>
        <item>－</item>
      </candidateList>
      <explain>文本全半角错误。</explain>
      <paraID>7A194801</paraID>
      <start>13</start>
      <end>14</end>
      <status>unmodified</status>
      <modifiedWord/>
      <trackRevisions>false</trackRevisions>
    </reviewItem>
    <reviewItem>
      <errorID>1da9fe3b-920b-4f23-afa0-41ad55461cce</errorID>
      <errorWord>]</errorWord>
      <group>L1_Punc</group>
      <groupName>标点问题</groupName>
      <ability>L2_Punc</ability>
      <abilityName>标点符号检查</abilityName>
      <candidateList>
        <item>〕</item>
      </candidateList>
      <explain/>
      <paraID>17472730</paraID>
      <start>45</start>
      <end>46</end>
      <status>unmodified</status>
      <modifiedWord/>
      <trackRevisions>false</trackRevisions>
    </reviewItem>
    <reviewItem>
      <errorID>cb8a9e71-ae8e-42cf-93f8-c5dd8e237372</errorID>
      <errorWord>]</errorWord>
      <group>L1_Punc</group>
      <groupName>标点问题</groupName>
      <ability>L2_Punc</ability>
      <abilityName>标点符号检查</abilityName>
      <candidateList>
        <item>〕</item>
      </candidateList>
      <explain/>
      <paraID>17472730</paraID>
      <start>75</start>
      <end>76</end>
      <status>unmodified</status>
      <modifiedWord/>
      <trackRevisions>false</trackRevisions>
    </reviewItem>
    <reviewItem>
      <errorID>1bf9103e-956a-448b-8fa5-6c6c7a2c61e4</errorID>
      <errorWord>持</errorWord>
      <group>L1_Word</group>
      <groupName>字词问题</groupName>
      <ability>L2_Typo</ability>
      <abilityName>字词错误</abilityName>
      <candidateList>
        <item>持在</item>
      </candidateList>
      <explain/>
      <paraID>7B026699</paraID>
      <start>148</start>
      <end>149</end>
      <status>unmodified</status>
      <modifiedWord/>
      <trackRevisions>false</trackRevisions>
    </reviewItem>
    <reviewItem>
      <errorID>a15fc134-c309-4b67-b9ad-299b761bd005</errorID>
      <errorWord>(</errorWord>
      <group>L1_Format</group>
      <groupName>格式问题</groupName>
      <ability>L2_HalfPunc</ability>
      <abilityName>全半角检查</abilityName>
      <candidateList>
        <item>（</item>
      </candidateList>
      <explain>文本全半角错误。</explain>
      <paraID>3939613B</paraID>
      <start>33</start>
      <end>34</end>
      <status>unmodified</status>
      <modifiedWord/>
      <trackRevisions>false</trackRevisions>
    </reviewItem>
    <reviewItem>
      <errorID>3303d268-2d8d-4528-8f77-55c585084655</errorID>
      <errorWord>)</errorWord>
      <group>L1_Format</group>
      <groupName>格式问题</groupName>
      <ability>L2_HalfPunc</ability>
      <abilityName>全半角检查</abilityName>
      <candidateList>
        <item>）</item>
      </candidateList>
      <explain>文本全半角错误。</explain>
      <paraID>3939613B</paraID>
      <start>48</start>
      <end>49</end>
      <status>ignored</status>
      <modifiedWord/>
      <trackRevisions>false</trackRevisions>
    </reviewItem>
    <reviewItem>
      <errorID>f7ef0107-278b-4201-90cc-fa57a950c8ea</errorID>
      <errorWord>上线</errorWord>
      <group>L1_Word</group>
      <groupName>字词问题</groupName>
      <ability>L2_Typo</ability>
      <abilityName>字词错误</abilityName>
      <candidateList>
        <item>上限</item>
      </candidateList>
      <explain/>
      <paraID> 62F4127</paraID>
      <start>140</start>
      <end>142</end>
      <status>unmodified</status>
      <modifiedWord/>
      <trackRevisions>false</trackRevisions>
    </reviewItem>
    <reviewItem>
      <errorID>910929e0-865c-4db0-a02b-9b0baaa8475b</errorID>
      <errorWord>&lt;</errorWord>
      <group>L1_Format</group>
      <groupName>格式问题</groupName>
      <ability>L2_HalfPunc</ability>
      <abilityName>全半角检查</abilityName>
      <candidateList>
        <item>〈</item>
      </candidateList>
      <explain>文本全半角错误。</explain>
      <paraID>6363EFB4</paraID>
      <start>1</start>
      <end>2</end>
      <status>unmodified</status>
      <modifiedWord/>
      <trackRevisions>false</trackRevisions>
    </reviewItem>
    <reviewItem>
      <errorID>442c98b3-d954-4bc5-aa7d-a7002d702673</errorID>
      <errorWord>&gt;</errorWord>
      <group>L1_Format</group>
      <groupName>格式问题</groupName>
      <ability>L2_HalfPunc</ability>
      <abilityName>全半角检查</abilityName>
      <candidateList>
        <item>〉</item>
      </candidateList>
      <explain>文本全半角错误。</explain>
      <paraID>6363EFB4</paraID>
      <start>26</start>
      <end>27</end>
      <status>unmodified</status>
      <modifiedWord/>
      <trackRevisions>false</trackRevisions>
    </reviewItem>
    <reviewItem>
      <errorID>eb7a5fe9-24e1-4030-91c6-8c28128a8398</errorID>
      <errorWord>]</errorWord>
      <group>L1_Punc</group>
      <groupName>标点问题</groupName>
      <ability>L2_Punc</ability>
      <abilityName>标点符号检查</abilityName>
      <candidateList>
        <item>〕</item>
      </candidateList>
      <explain/>
      <paraID>726DCF32</paraID>
      <start>37</start>
      <end>38</end>
      <status>unmodified</status>
      <modifiedWord/>
      <trackRevisions>false</trackRevisions>
    </reviewItem>
    <reviewItem>
      <errorID>c803198e-f166-4db8-8ab9-d3b5c9b1e476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13E032F6</paraID>
      <start>0</start>
      <end>2</end>
      <status>unmodified</status>
      <modifiedWord/>
      <trackRevisions>false</trackRevisions>
    </reviewItem>
    <reviewItem>
      <errorID>a5c66434-7b7c-4aa2-b247-8670c7ae5459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4DB4A5FA</paraID>
      <start>0</start>
      <end>2</end>
      <status>unmodified</status>
      <modifiedWord/>
      <trackRevisions>false</trackRevisions>
    </reviewItem>
    <reviewItem>
      <errorID>2cd628e9-64e6-4961-a5c4-ca7008e4ca4b</errorID>
      <errorWord>法律、法规</errorWord>
      <group>L1_Word</group>
      <groupName>字词问题</groupName>
      <ability>L2_Typo</ability>
      <abilityName>字词错误</abilityName>
      <candidateList>
        <item>法律法规</item>
      </candidateList>
      <explain/>
      <paraID>44BA8FCB</paraID>
      <start>3</start>
      <end>8</end>
      <status>unmodified</status>
      <modifiedWord/>
      <trackRevisions>false</trackRevisions>
    </reviewItem>
    <reviewItem>
      <errorID>bc803fc9-b78a-4a13-8555-ce2c36fa7839</errorID>
      <errorWord>]</errorWord>
      <group>L1_Punc</group>
      <groupName>标点问题</groupName>
      <ability>L2_Punc</ability>
      <abilityName>标点符号检查</abilityName>
      <candidateList>
        <item>〕</item>
      </candidateList>
      <explain/>
      <paraID>45B7DFF7</paraID>
      <start>65</start>
      <end>66</end>
      <status>unmodified</status>
      <modifiedWord/>
      <trackRevisions>false</trackRevisions>
    </reviewItem>
    <reviewItem>
      <errorID>89aa41b0-1740-4dd7-8d84-1b6172f39826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54CCE078</paraID>
      <start>0</start>
      <end>2</end>
      <status>unmodified</status>
      <modifiedWord/>
      <trackRevisions>false</trackRevisions>
    </reviewItem>
    <reviewItem>
      <errorID>fa775e1b-8b2e-4e3c-9224-67056774a5d8</errorID>
      <errorWord>]</errorWord>
      <group>L1_Punc</group>
      <groupName>标点问题</groupName>
      <ability>L2_Punc</ability>
      <abilityName>标点符号检查</abilityName>
      <candidateList>
        <item>〕</item>
      </candidateList>
      <explain/>
      <paraID>54CCE078</paraID>
      <start>32</start>
      <end>33</end>
      <status>unmodified</status>
      <modifiedWord/>
      <trackRevisions>false</trackRevisions>
    </reviewItem>
    <reviewItem>
      <errorID>d015c5d8-f2f2-48b4-8088-6e2cf3b65106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7F9ACFF3</paraID>
      <start>0</start>
      <end>2</end>
      <status>unmodified</status>
      <modifiedWord/>
      <trackRevisions>false</trackRevisions>
    </reviewItem>
    <reviewItem>
      <errorID>5271c37a-21e7-48c6-9433-7608481e9c4a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3D0636AD</paraID>
      <start>0</start>
      <end>2</end>
      <status>unmodified</status>
      <modifiedWord/>
      <trackRevisions>false</trackRevisions>
    </reviewItem>
    <reviewItem>
      <errorID>222752dd-85d8-4768-9e8d-eea4aa77e3da</errorID>
      <errorWord>(</errorWord>
      <group>L1_Format</group>
      <groupName>格式问题</groupName>
      <ability>L2_HalfPunc</ability>
      <abilityName>全半角检查</abilityName>
      <candidateList>
        <item>（</item>
      </candidateList>
      <explain>文本全半角错误。</explain>
      <paraID> EECE0B8</paraID>
      <start>15</start>
      <end>16</end>
      <status>unmodified</status>
      <modifiedWord/>
      <trackRevisions>false</trackRevisions>
    </reviewItem>
    <reviewItem>
      <errorID>a4ce1404-aae3-480f-8632-7a8436f0617d</errorID>
      <errorWord>)</errorWord>
      <group>L1_Format</group>
      <groupName>格式问题</groupName>
      <ability>L2_HalfPunc</ability>
      <abilityName>全半角检查</abilityName>
      <candidateList>
        <item>）</item>
      </candidateList>
      <explain>文本全半角错误。</explain>
      <paraID> EECE0B8</paraID>
      <start>26</start>
      <end>27</end>
      <status>ignored</status>
      <modifiedWord/>
      <trackRevisions>false</trackRevisions>
    </reviewItem>
    <reviewItem>
      <errorID>75208819-5b4c-403e-bd05-698ae2d13af0</errorID>
      <errorWord>]</errorWord>
      <group>L1_Punc</group>
      <groupName>标点问题</groupName>
      <ability>L2_Punc</ability>
      <abilityName>标点符号检查</abilityName>
      <candidateList>
        <item>〕</item>
      </candidateList>
      <explain/>
      <paraID> EECE0B8</paraID>
      <start>47</start>
      <end>48</end>
      <status>unmodified</status>
      <modifiedWord/>
      <trackRevisions>false</trackRevisions>
    </reviewItem>
    <reviewItem>
      <errorID>5b2f92f6-d95d-464b-a96d-65b42e1b302c</errorID>
      <errorWord>]</errorWord>
      <group>L1_Punc</group>
      <groupName>标点问题</groupName>
      <ability>L2_Punc</ability>
      <abilityName>标点符号检查</abilityName>
      <candidateList>
        <item>〕</item>
      </candidateList>
      <explain/>
      <paraID>3075BD53</paraID>
      <start>72</start>
      <end>73</end>
      <status>unmodified</status>
      <modifiedWord/>
      <trackRevisions>false</trackRevisions>
    </reviewItem>
    <reviewItem>
      <errorID>fdf68e61-4595-48f6-bbdc-04e234259441</errorID>
      <errorWord>]</errorWord>
      <group>L1_Punc</group>
      <groupName>标点问题</groupName>
      <ability>L2_Punc</ability>
      <abilityName>标点符号检查</abilityName>
      <candidateList>
        <item>〕</item>
      </candidateList>
      <explain/>
      <paraID>2FECE1C2</paraID>
      <start>61</start>
      <end>62</end>
      <status>unmodified</status>
      <modifiedWord/>
      <trackRevisions>false</trackRevisions>
    </reviewItem>
    <reviewItem>
      <errorID>04ffd160-1945-4321-9982-05bcd48a374c</errorID>
      <errorWord>(</errorWord>
      <group>L1_Format</group>
      <groupName>格式问题</groupName>
      <ability>L2_HalfPunc</ability>
      <abilityName>全半角检查</abilityName>
      <candidateList>
        <item>（</item>
      </candidateList>
      <explain>文本全半角错误。</explain>
      <paraID>67AF12BD</paraID>
      <start>54</start>
      <end>55</end>
      <status>unmodified</status>
      <modifiedWord/>
      <trackRevisions>false</trackRevisions>
    </reviewItem>
    <reviewItem>
      <errorID>fcd20dfb-610f-4fa3-9373-5fe981aa9ee4</errorID>
      <errorWord>)</errorWord>
      <group>L1_Format</group>
      <groupName>格式问题</groupName>
      <ability>L2_HalfPunc</ability>
      <abilityName>全半角检查</abilityName>
      <candidateList>
        <item>）</item>
      </candidateList>
      <explain>文本全半角错误。</explain>
      <paraID>67AF12BD</paraID>
      <start>68</start>
      <end>69</end>
      <status>ignored</status>
      <modifiedWord/>
      <trackRevisions>false</trackRevisions>
    </reviewItem>
    <reviewItem>
      <errorID>d12f3a82-5275-4260-aded-03ce7f2b9afb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38575325</paraID>
      <start>0</start>
      <end>3</end>
      <status>unmodified</status>
      <modifiedWord/>
      <trackRevisions>false</trackRevisions>
    </reviewItem>
    <reviewItem>
      <errorID>f4bc0ee5-2528-4142-8406-8a7ff6cd8783</errorID>
      <errorWord>(</errorWord>
      <group>L1_Format</group>
      <groupName>格式问题</groupName>
      <ability>L2_HalfPunc</ability>
      <abilityName>全半角检查</abilityName>
      <candidateList>
        <item>（</item>
      </candidateList>
      <explain>文本全半角错误。</explain>
      <paraID>3808D449</paraID>
      <start>53</start>
      <end>54</end>
      <status>unmodified</status>
      <modifiedWord/>
      <trackRevisions>false</trackRevisions>
    </reviewItem>
    <reviewItem>
      <errorID>7c338813-c685-4629-baa5-59e6a9d495b2</errorID>
      <errorWord>(</errorWord>
      <group>L1_Punc</group>
      <groupName>标点问题</groupName>
      <ability>L2_Punc</ability>
      <abilityName>标点符号检查</abilityName>
      <candidateList/>
      <explain>同一形式括号套用。</explain>
      <paraID>3808D449</paraID>
      <start>67</start>
      <end>68</end>
      <status>unmodified</status>
      <modifiedWord/>
      <trackRevisions>false</trackRevisions>
    </reviewItem>
    <reviewItem>
      <errorID>916da3e0-16ae-4ab3-b524-f15f996beb88</errorID>
      <errorWord>)</errorWord>
      <group>L1_Punc</group>
      <groupName>标点问题</groupName>
      <ability>L2_Punc</ability>
      <abilityName>标点符号检查</abilityName>
      <candidateList/>
      <explain>同一形式括号套用。</explain>
      <paraID>3808D449</paraID>
      <start>77</start>
      <end>78</end>
      <status>unmodified</status>
      <modifiedWord/>
      <trackRevisions>false</trackRevisions>
    </reviewItem>
    <reviewItem>
      <errorID>19b2f3a4-4d6f-4a7d-a49a-5e44e681515d</errorID>
      <errorWord>)</errorWord>
      <group>L1_Format</group>
      <groupName>格式问题</groupName>
      <ability>L2_HalfPunc</ability>
      <abilityName>全半角检查</abilityName>
      <candidateList>
        <item>）</item>
      </candidateList>
      <explain>文本全半角错误。</explain>
      <paraID>3808D449</paraID>
      <start>78</start>
      <end>79</end>
      <status>ignored</status>
      <modifiedWord/>
      <trackRevisions>false</trackRevisions>
    </reviewItem>
    <reviewItem>
      <errorID>7c20bff4-ca75-4f15-974c-d950f947af05</errorID>
      <errorWord>(</errorWord>
      <group>L1_Format</group>
      <groupName>格式问题</groupName>
      <ability>L2_HalfPunc</ability>
      <abilityName>全半角检查</abilityName>
      <candidateList>
        <item>（</item>
      </candidateList>
      <explain>文本全半角错误。</explain>
      <paraID>3B2F9DF4</paraID>
      <start>15</start>
      <end>16</end>
      <status>unmodified</status>
      <modifiedWord/>
      <trackRevisions>false</trackRevisions>
    </reviewItem>
    <reviewItem>
      <errorID>18f6e093-2bfb-416b-b69d-2725475708d9</errorID>
      <errorWord>)</errorWord>
      <group>L1_Format</group>
      <groupName>格式问题</groupName>
      <ability>L2_HalfPunc</ability>
      <abilityName>全半角检查</abilityName>
      <candidateList>
        <item>）</item>
      </candidateList>
      <explain>文本全半角错误。</explain>
      <paraID>3B2F9DF4</paraID>
      <start>19</start>
      <end>20</end>
      <status>ignored</status>
      <modifiedWord/>
      <trackRevisions>false</trackRevisions>
    </reviewItem>
    <reviewItem>
      <errorID>b0a52934-c3f1-48ee-bf83-0927e669f5ea</errorID>
      <errorWord>(</errorWord>
      <group>L1_Format</group>
      <groupName>格式问题</groupName>
      <ability>L2_HalfPunc</ability>
      <abilityName>全半角检查</abilityName>
      <candidateList>
        <item>（</item>
      </candidateList>
      <explain>文本全半角错误。</explain>
      <paraID>7956E4A6</paraID>
      <start>32</start>
      <end>33</end>
      <status>unmodified</status>
      <modifiedWord/>
      <trackRevisions>false</trackRevisions>
    </reviewItem>
    <reviewItem>
      <errorID>2ab50ea4-ba3e-4e2f-ae18-2e17e6977c00</errorID>
      <errorWord>)</errorWord>
      <group>L1_Format</group>
      <groupName>格式问题</groupName>
      <ability>L2_HalfPunc</ability>
      <abilityName>全半角检查</abilityName>
      <candidateList>
        <item>）</item>
      </candidateList>
      <explain>文本全半角错误。</explain>
      <paraID>7956E4A6</paraID>
      <start>38</start>
      <end>39</end>
      <status>ignored</status>
      <modifiedWord/>
      <trackRevisions>false</trackRevisions>
    </reviewItem>
    <reviewItem>
      <errorID>00310db3-52f5-451a-bd29-e4321dca78dc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2C88389</paraID>
      <start>0</start>
      <end>2</end>
      <status>unmodified</status>
      <modifiedWord/>
      <trackRevisions>false</trackRevisions>
    </reviewItem>
    <reviewItem>
      <errorID>4027ba0b-3e27-4383-9fbc-f09ffab39aeb</errorID>
      <errorWord>]</errorWord>
      <group>L1_Punc</group>
      <groupName>标点问题</groupName>
      <ability>L2_Punc</ability>
      <abilityName>标点符号检查</abilityName>
      <candidateList>
        <item>〕</item>
      </candidateList>
      <explain/>
      <paraID> 2C88389</paraID>
      <start>39</start>
      <end>40</end>
      <status>unmodified</status>
      <modifiedWord/>
      <trackRevisions>false</trackRevisions>
    </reviewItem>
    <reviewItem>
      <errorID>2b519e80-e3bf-45f5-ba33-33afe54e2e16</errorID>
      <errorWord>]</errorWord>
      <group>L1_Punc</group>
      <groupName>标点问题</groupName>
      <ability>L2_Punc</ability>
      <abilityName>标点符号检查</abilityName>
      <candidateList>
        <item>〕</item>
      </candidateList>
      <explain/>
      <paraID>616AD876</paraID>
      <start>156</start>
      <end>157</end>
      <status>unmodified</status>
      <modifiedWord/>
      <trackRevisions>false</trackRevisions>
    </reviewItem>
    <reviewItem>
      <errorID>3d6e3536-7612-4bff-98ef-daafaab4ae2d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5AFF21D3</paraID>
      <start>0</start>
      <end>2</end>
      <status>unmodified</status>
      <modifiedWord/>
      <trackRevisions>false</trackRevisions>
    </reviewItem>
    <reviewItem>
      <errorID>799a6b9f-34f7-4068-98f4-1b7754dcd823</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 4A207F6</paraID>
      <start>38</start>
      <end>40</end>
      <status>unmodified</status>
      <modifiedWord/>
      <trackRevisions>false</trackRevisions>
    </reviewItem>
    <reviewItem>
      <errorID>641c7c77-ab7b-4693-b913-6fbe5729f456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57181D31</paraID>
      <start>0</start>
      <end>2</end>
      <status>unmodified</status>
      <modifiedWord/>
      <trackRevisions>false</trackRevisions>
    </reviewItem>
    <reviewItem>
      <errorID>af00faa6-691c-43da-bcf2-e7b22fe11977</errorID>
      <errorWord>(</errorWord>
      <group>L1_Format</group>
      <groupName>格式问题</groupName>
      <ability>L2_HalfPunc</ability>
      <abilityName>全半角检查</abilityName>
      <candidateList>
        <item>（</item>
      </candidateList>
      <explain>文本全半角错误。</explain>
      <paraID>5F1FC500</paraID>
      <start>71</start>
      <end>72</end>
      <status>unmodified</status>
      <modifiedWord/>
      <trackRevisions>false</trackRevisions>
    </reviewItem>
    <reviewItem>
      <errorID>d93c23b2-dff6-499a-9679-b74ddf9c3055</errorID>
      <errorWord>)</errorWord>
      <group>L1_Format</group>
      <groupName>格式问题</groupName>
      <ability>L2_HalfPunc</ability>
      <abilityName>全半角检查</abilityName>
      <candidateList>
        <item>）</item>
      </candidateList>
      <explain>文本全半角错误。</explain>
      <paraID>5F1FC500</paraID>
      <start>80</start>
      <end>81</end>
      <status>ignored</status>
      <modifiedWord/>
      <trackRevisions>false</trackRevisions>
    </reviewItem>
    <reviewItem>
      <errorID>723c0e33-b3a3-44a8-9014-46bc68a7320d</errorID>
      <errorWord>(</errorWord>
      <group>L1_Format</group>
      <groupName>格式问题</groupName>
      <ability>L2_HalfPunc</ability>
      <abilityName>全半角检查</abilityName>
      <candidateList>
        <item>（</item>
      </candidateList>
      <explain>文本全半角错误。</explain>
      <paraID>60D56DC2</paraID>
      <start>56</start>
      <end>57</end>
      <status>unmodified</status>
      <modifiedWord/>
      <trackRevisions>false</trackRevisions>
    </reviewItem>
    <reviewItem>
      <errorID>85e66f77-cfcd-48f2-9991-3493e039db80</errorID>
      <errorWord>)</errorWord>
      <group>L1_Format</group>
      <groupName>格式问题</groupName>
      <ability>L2_HalfPunc</ability>
      <abilityName>全半角检查</abilityName>
      <candidateList>
        <item>）</item>
      </candidateList>
      <explain>文本全半角错误。</explain>
      <paraID>60D56DC2</paraID>
      <start>64</start>
      <end>65</end>
      <status>ignored</status>
      <modifiedWord/>
      <trackRevisions>false</trackRevisions>
    </reviewItem>
    <reviewItem>
      <errorID>c43f6451-b88c-4e02-ae68-a953d5208e66</errorID>
      <errorWord>定</errorWord>
      <group>L1_Word</group>
      <groupName>字词问题</groupName>
      <ability>L2_Typo</ability>
      <abilityName>字词错误</abilityName>
      <candidateList>
        <item>定了</item>
      </candidateList>
      <explain/>
      <paraID>554E399F</paraID>
      <start>20</start>
      <end>21</end>
      <status>unmodified</status>
      <modifiedWord/>
      <trackRevisions>false</trackRevisions>
    </reviewItem>
    <reviewItem>
      <errorID>b2caf751-c856-4517-a6dd-d17de2cd4236</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3725A529</paraID>
      <start>23</start>
      <end>25</end>
      <status>unmodified</status>
      <modifiedWord/>
      <trackRevisions>false</trackRevisions>
    </reviewItem>
    <reviewItem>
      <errorID>de5e035d-642b-4de9-bec1-0008f0371a1b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3194C373</paraID>
      <start>0</start>
      <end>2</end>
      <status>unmodified</status>
      <modifiedWord/>
      <trackRevisions>false</trackRevisions>
    </reviewItem>
    <reviewItem>
      <errorID>0eaf4997-ed5e-417a-8483-e57f5041161c</errorID>
      <errorWord>]</errorWord>
      <group>L1_Punc</group>
      <groupName>标点问题</groupName>
      <ability>L2_Punc</ability>
      <abilityName>标点符号检查</abilityName>
      <candidateList>
        <item>〕</item>
      </candidateList>
      <explain/>
      <paraID>3194C373</paraID>
      <start>35</start>
      <end>36</end>
      <status>unmodified</status>
      <modifiedWord/>
      <trackRevisions>false</trackRevisions>
    </reviewItem>
    <reviewItem>
      <errorID>bd6638e3-d613-47b5-8cd1-f924220b4b22</errorID>
      <errorWord>]</errorWord>
      <group>L1_Punc</group>
      <groupName>标点问题</groupName>
      <ability>L2_Punc</ability>
      <abilityName>标点符号检查</abilityName>
      <candidateList>
        <item>〕</item>
      </candidateList>
      <explain/>
      <paraID>3194C373</paraID>
      <start>82</start>
      <end>83</end>
      <status>unmodified</status>
      <modifiedWord/>
      <trackRevisions>false</trackRevisions>
    </reviewItem>
    <reviewItem>
      <errorID>93c68387-5905-4667-b632-668ad612ed7c</errorID>
      <errorWord>]</errorWord>
      <group>L1_Punc</group>
      <groupName>标点问题</groupName>
      <ability>L2_Punc</ability>
      <abilityName>标点符号检查</abilityName>
      <candidateList>
        <item>〕</item>
      </candidateList>
      <explain/>
      <paraID>3962EF70</paraID>
      <start>61</start>
      <end>62</end>
      <status>unmodified</status>
      <modifiedWord/>
      <trackRevisions>false</trackRevisions>
    </reviewItem>
    <reviewItem>
      <errorID>2706a35c-5a6d-4df1-9097-dabf235d5de8</errorID>
      <errorWord>]</errorWord>
      <group>L1_Punc</group>
      <groupName>标点问题</groupName>
      <ability>L2_Punc</ability>
      <abilityName>标点符号检查</abilityName>
      <candidateList>
        <item>〕</item>
      </candidateList>
      <explain/>
      <paraID>3962EF70</paraID>
      <start>76</start>
      <end>77</end>
      <status>unmodified</status>
      <modifiedWord/>
      <trackRevisions>false</trackRevisions>
    </reviewItem>
    <reviewItem>
      <errorID>28b4830c-b9d9-4a64-affe-180eaa0188ac</errorID>
      <errorWord>]</errorWord>
      <group>L1_Punc</group>
      <groupName>标点问题</groupName>
      <ability>L2_Punc</ability>
      <abilityName>标点符号检查</abilityName>
      <candidateList>
        <item>〕</item>
      </candidateList>
      <explain/>
      <paraID>5AAB1C37</paraID>
      <start>122</start>
      <end>123</end>
      <status>unmodified</status>
      <modifiedWord/>
      <trackRevisions>false</trackRevisions>
    </reviewItem>
    <reviewItem>
      <errorID>7a94fe38-1408-4004-9219-fe998ca3681a</errorID>
      <errorWord>]</errorWord>
      <group>L1_Punc</group>
      <groupName>标点问题</groupName>
      <ability>L2_Punc</ability>
      <abilityName>标点符号检查</abilityName>
      <candidateList>
        <item>〕</item>
      </candidateList>
      <explain/>
      <paraID>7166429E</paraID>
      <start>116</start>
      <end>117</end>
      <status>unmodified</status>
      <modifiedWord/>
      <trackRevisions>false</trackRevisions>
    </reviewItem>
    <reviewItem>
      <errorID>ffe3eba2-2424-4f0d-b34c-bc4a8141d272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45958836</paraID>
      <start>0</start>
      <end>2</end>
      <status>unmodified</status>
      <modifiedWord/>
      <trackRevisions>false</trackRevisions>
    </reviewItem>
    <reviewItem>
      <errorID>72dcbcb0-9220-407d-b745-6dcc2b9857ad</errorID>
      <errorWord>]</errorWord>
      <group>L1_Punc</group>
      <groupName>标点问题</groupName>
      <ability>L2_Punc</ability>
      <abilityName>标点符号检查</abilityName>
      <candidateList>
        <item>〕</item>
      </candidateList>
      <explain/>
      <paraID>45958836</paraID>
      <start>41</start>
      <end>42</end>
      <status>unmodified</status>
      <modifiedWord/>
      <trackRevisions>false</trackRevisions>
    </reviewItem>
    <reviewItem>
      <errorID>1811d724-4770-4795-937f-238d92b79aff</errorID>
      <errorWord>II级</errorWord>
      <group>L1_Knowledge</group>
      <groupName>知识性问题</groupName>
      <ability>L2_Knowledge</ability>
      <abilityName>其他知识</abilityName>
      <candidateList>
        <item>Ⅱ级</item>
      </candidateList>
      <explain/>
      <paraID>5721A309</paraID>
      <start>177</start>
      <end>180</end>
      <status>unmodified</status>
      <modifiedWord/>
      <trackRevisions>false</trackRevisions>
    </reviewItem>
    <reviewItem>
      <errorID>8e87d60e-a1b7-48d0-8650-756d047f25dd</errorID>
      <errorWord>III级</errorWord>
      <group>L1_Knowledge</group>
      <groupName>知识性问题</groupName>
      <ability>L2_Knowledge</ability>
      <abilityName>其他知识</abilityName>
      <candidateList>
        <item>Ⅲ级</item>
      </candidateList>
      <explain/>
      <paraID>5721A309</paraID>
      <start>181</start>
      <end>185</end>
      <status>unmodified</status>
      <modifiedWord/>
      <trackRevisions>false</trackRevisions>
    </reviewItem>
    <reviewItem>
      <errorID>ab881cd9-786f-4544-820e-0869580d2f89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5689A6EE</paraID>
      <start>0</start>
      <end>2</end>
      <status>unmodified</status>
      <modifiedWord/>
      <trackRevisions>false</trackRevisions>
    </reviewItem>
    <reviewItem>
      <errorID>ad58b5ea-da5a-43e9-8258-f2abc0a63172</errorID>
      <errorWord>]</errorWord>
      <group>L1_Punc</group>
      <groupName>标点问题</groupName>
      <ability>L2_Punc</ability>
      <abilityName>标点符号检查</abilityName>
      <candidateList>
        <item>〕</item>
      </candidateList>
      <explain/>
      <paraID>5689A6EE</paraID>
      <start>53</start>
      <end>54</end>
      <status>unmodified</status>
      <modifiedWord/>
      <trackRevisions>false</trackRevisions>
    </reviewItem>
    <reviewItem>
      <errorID>e745a8a5-4837-4003-929a-edc029a1324f</errorID>
      <errorWord>]</errorWord>
      <group>L1_Punc</group>
      <groupName>标点问题</groupName>
      <ability>L2_Punc</ability>
      <abilityName>标点符号检查</abilityName>
      <candidateList>
        <item>〕</item>
      </candidateList>
      <explain/>
      <paraID>79D5E2DB</paraID>
      <start>53</start>
      <end>54</end>
      <status>unmodified</status>
      <modifiedWord/>
      <trackRevisions>false</trackRevisions>
    </reviewItem>
    <reviewItem>
      <errorID>75ecc74d-7ea8-402b-9a71-790bdb99d1c4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50126158</paraID>
      <start>0</start>
      <end>2</end>
      <status>unmodified</status>
      <modifiedWord/>
      <trackRevisions>false</trackRevisions>
    </reviewItem>
    <reviewItem>
      <errorID>ee005dc5-ee2a-444d-bf77-30b08c375321</errorID>
      <errorWord>&lt;</errorWord>
      <group>L1_Format</group>
      <groupName>格式问题</groupName>
      <ability>L2_HalfPunc</ability>
      <abilityName>全半角检查</abilityName>
      <candidateList>
        <item>〈</item>
      </candidateList>
      <explain>文本全半角错误。</explain>
      <paraID>50126158</paraID>
      <start>7</start>
      <end>8</end>
      <status>unmodified</status>
      <modifiedWord/>
      <trackRevisions>false</trackRevisions>
    </reviewItem>
    <reviewItem>
      <errorID>a99bbc7b-3035-475b-aabb-beb0da720f27</errorID>
      <errorWord>&gt;的通知》</errorWord>
      <group>L1_Punc</group>
      <groupName>标点问题</groupName>
      <ability>L2_Punc</ability>
      <abilityName>标点符号检查</abilityName>
      <candidateList>
        <item>〉的通知》</item>
      </candidateList>
      <explain/>
      <paraID>50126158</paraID>
      <start>27</start>
      <end>32</end>
      <status>unmodified</status>
      <modifiedWord/>
      <trackRevisions>false</trackRevisions>
    </reviewItem>
    <reviewItem>
      <errorID>53d319a2-582a-4a61-a59d-c736a79b949f</errorID>
      <errorWord>]</errorWord>
      <group>L1_Punc</group>
      <groupName>标点问题</groupName>
      <ability>L2_Punc</ability>
      <abilityName>标点符号检查</abilityName>
      <candidateList>
        <item>〕</item>
      </candidateList>
      <explain/>
      <paraID>50126158</paraID>
      <start>41</start>
      <end>42</end>
      <status>unmodified</status>
      <modifiedWord/>
      <trackRevisions>false</trackRevisions>
    </reviewItem>
    <reviewItem>
      <errorID>691ec2d6-2f63-47c3-9f65-a9382804f2d5</errorID>
      <errorWord>(</errorWord>
      <group>L1_Format</group>
      <groupName>格式问题</groupName>
      <ability>L2_HalfPunc</ability>
      <abilityName>全半角检查</abilityName>
      <candidateList>
        <item>（</item>
      </candidateList>
      <explain>文本全半角错误。</explain>
      <paraID>322EFE88</paraID>
      <start>20</start>
      <end>21</end>
      <status>unmodified</status>
      <modifiedWord/>
      <trackRevisions>false</trackRevisions>
    </reviewItem>
    <reviewItem>
      <errorID>aa6bfed6-40fa-4693-ad90-41bfd86816ac</errorID>
      <errorWord>)</errorWord>
      <group>L1_Format</group>
      <groupName>格式问题</groupName>
      <ability>L2_HalfPunc</ability>
      <abilityName>全半角检查</abilityName>
      <candidateList>
        <item>）</item>
      </candidateList>
      <explain>文本全半角错误。</explain>
      <paraID>322EFE88</paraID>
      <start>28</start>
      <end>29</end>
      <status>ignored</status>
      <modifiedWord/>
      <trackRevisions>false</trackRevisions>
    </reviewItem>
    <reviewItem>
      <errorID>e83ff931-78e5-4141-8177-b9cd5e7cefa6</errorID>
      <errorWord>&lt;</errorWord>
      <group>L1_Format</group>
      <groupName>格式问题</groupName>
      <ability>L2_HalfPunc</ability>
      <abilityName>全半角检查</abilityName>
      <candidateList>
        <item>〈</item>
      </candidateList>
      <explain>文本全半角错误。</explain>
      <paraID>6DF36C58</paraID>
      <start>16</start>
      <end>17</end>
      <status>unmodified</status>
      <modifiedWord/>
      <trackRevisions>false</trackRevisions>
    </reviewItem>
    <reviewItem>
      <errorID>08016961-6d69-4463-9799-2d8acbbaabb6</errorID>
      <errorWord>&gt;的通知》</errorWord>
      <group>L1_Punc</group>
      <groupName>标点问题</groupName>
      <ability>L2_Punc</ability>
      <abilityName>标点符号检查</abilityName>
      <candidateList>
        <item>〉的通知》</item>
      </candidateList>
      <explain/>
      <paraID>6DF36C58</paraID>
      <start>36</start>
      <end>41</end>
      <status>unmodified</status>
      <modifiedWord/>
      <trackRevisions>false</trackRevisions>
    </reviewItem>
    <reviewItem>
      <errorID>2a7f5e32-927f-4f79-903a-f50a2471eaa7</errorID>
      <errorWord>]</errorWord>
      <group>L1_Punc</group>
      <groupName>标点问题</groupName>
      <ability>L2_Punc</ability>
      <abilityName>标点符号检查</abilityName>
      <candidateList>
        <item>〕</item>
      </candidateList>
      <explain/>
      <paraID>6DF36C58</paraID>
      <start>50</start>
      <end>51</end>
      <status>unmodified</status>
      <modifiedWord/>
      <trackRevisions>false</trackRevisions>
    </reviewItem>
    <reviewItem>
      <errorID>eb118d71-59dd-4315-8b6e-f03846eaf698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3F997920</paraID>
      <start>0</start>
      <end>2</end>
      <status>unmodified</status>
      <modifiedWord/>
      <trackRevisions>false</trackRevisions>
    </reviewItem>
    <reviewItem>
      <errorID>afffc654-2a87-4d28-a944-e7c0586309d5</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7DC8A81A</paraID>
      <start>93</start>
      <end>94</end>
      <status>unmodified</status>
      <modifiedWord/>
      <trackRevisions>false</trackRevisions>
    </reviewItem>
    <reviewItem>
      <errorID>409117e8-b846-4bf0-9fa5-7af70a9401b3</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7DC8A81A</paraID>
      <start>97</start>
      <end>98</end>
      <status>unmodified</status>
      <modifiedWord/>
      <trackRevisions>false</trackRevisions>
    </reviewItem>
    <reviewItem>
      <errorID>c0dbe469-a942-45af-879b-cff8dadd1f2c</errorID>
      <errorWord>程</errorWord>
      <group>L1_Word</group>
      <groupName>字词问题</groupName>
      <ability>L2_Typo</ability>
      <abilityName>字词错误</abilityName>
      <candidateList>
        <item>程中</item>
      </candidateList>
      <explain/>
      <paraID>513090E2</paraID>
      <start>93</start>
      <end>94</end>
      <status>unmodified</status>
      <modifiedWord/>
      <trackRevisions>false</trackRevisions>
    </reviewItem>
    <reviewItem>
      <errorID>f534869b-583f-455d-981b-99d598d5e55e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6879CDF3</paraID>
      <start>0</start>
      <end>2</end>
      <status>unmodified</status>
      <modifiedWord/>
      <trackRevisions>false</trackRevisions>
    </reviewItem>
    <reviewItem>
      <errorID>891a7809-3d3a-4fec-9f4d-534aa05e3b1e</errorID>
      <errorWord>(</errorWord>
      <group>L1_Format</group>
      <groupName>格式问题</groupName>
      <ability>L2_HalfPunc</ability>
      <abilityName>全半角检查</abilityName>
      <candidateList>
        <item>（</item>
      </candidateList>
      <explain>文本全半角错误。</explain>
      <paraID>422AAE27</paraID>
      <start>72</start>
      <end>73</end>
      <status>unmodified</status>
      <modifiedWord/>
      <trackRevisions>false</trackRevisions>
    </reviewItem>
    <reviewItem>
      <errorID>359e197b-594f-4ba9-bd6f-18b3b570c67c</errorID>
      <errorWord>)</errorWord>
      <group>L1_Format</group>
      <groupName>格式问题</groupName>
      <ability>L2_HalfPunc</ability>
      <abilityName>全半角检查</abilityName>
      <candidateList>
        <item>）</item>
      </candidateList>
      <explain>文本全半角错误。</explain>
      <paraID>422AAE27</paraID>
      <start>74</start>
      <end>75</end>
      <status>ignored</status>
      <modifiedWord/>
      <trackRevisions>false</trackRevisions>
    </reviewItem>
    <reviewItem>
      <errorID>43a7c5a1-ae3f-4536-bcad-d7cb750baa50</errorID>
      <errorWord>(</errorWord>
      <group>L1_Format</group>
      <groupName>格式问题</groupName>
      <ability>L2_HalfPunc</ability>
      <abilityName>全半角检查</abilityName>
      <candidateList>
        <item>（</item>
      </candidateList>
      <explain>文本全半角错误。</explain>
      <paraID>7A67D6C5</paraID>
      <start>73</start>
      <end>74</end>
      <status>unmodified</status>
      <modifiedWord/>
      <trackRevisions>false</trackRevisions>
    </reviewItem>
    <reviewItem>
      <errorID>5ab86229-cc94-4126-82a7-650e9f401213</errorID>
      <errorWord>)</errorWord>
      <group>L1_Format</group>
      <groupName>格式问题</groupName>
      <ability>L2_HalfPunc</ability>
      <abilityName>全半角检查</abilityName>
      <candidateList>
        <item>）</item>
      </candidateList>
      <explain>文本全半角错误。</explain>
      <paraID>7A67D6C5</paraID>
      <start>75</start>
      <end>76</end>
      <status>ignored</status>
      <modifiedWord/>
      <trackRevisions>false</trackRevisions>
    </reviewItem>
    <reviewItem>
      <errorID>ff61195b-0382-4d51-8b9f-32153b00e72e</errorID>
      <errorWord>)</errorWord>
      <group>L1_Format</group>
      <groupName>格式问题</groupName>
      <ability>L2_HalfPunc</ability>
      <abilityName>全半角检查</abilityName>
      <candidateList>
        <item>）</item>
      </candidateList>
      <explain>文本全半角错误。</explain>
      <paraID>163493F9</paraID>
      <start>39</start>
      <end>40</end>
      <status>ignored</status>
      <modifiedWord/>
      <trackRevisions>false</trackRevisions>
    </reviewItem>
    <reviewItem>
      <errorID>42896920-85e8-4441-99c4-ff26ae7a684a</errorID>
      <errorWord>)</errorWord>
      <group>L1_Format</group>
      <groupName>格式问题</groupName>
      <ability>L2_HalfPunc</ability>
      <abilityName>全半角检查</abilityName>
      <candidateList>
        <item>）</item>
      </candidateList>
      <explain>文本全半角错误。</explain>
      <paraID>163493F9</paraID>
      <start>70</start>
      <end>71</end>
      <status>ignored</status>
      <modifiedWord/>
      <trackRevisions>false</trackRevisions>
    </reviewItem>
    <reviewItem>
      <errorID>c2db2678-bc4c-4649-8f3e-2781a7e49954</errorID>
      <errorWord>)</errorWord>
      <group>L1_Format</group>
      <groupName>格式问题</groupName>
      <ability>L2_HalfPunc</ability>
      <abilityName>全半角检查</abilityName>
      <candidateList>
        <item>）</item>
      </candidateList>
      <explain>文本全半角错误。</explain>
      <paraID>760AFA5B</paraID>
      <start>67</start>
      <end>68</end>
      <status>ignored</status>
      <modifiedWord/>
      <trackRevisions>false</trackRevisions>
    </reviewItem>
    <reviewItem>
      <errorID>3858e98b-71dc-47f1-afcb-0ddd944b3029</errorID>
      <errorWord>)</errorWord>
      <group>L1_Format</group>
      <groupName>格式问题</groupName>
      <ability>L2_HalfPunc</ability>
      <abilityName>全半角检查</abilityName>
      <candidateList>
        <item>）</item>
      </candidateList>
      <explain>文本全半角错误。</explain>
      <paraID>760AFA5B</paraID>
      <start>76</start>
      <end>77</end>
      <status>ignored</status>
      <modifiedWord/>
      <trackRevisions>false</trackRevisions>
    </reviewItem>
    <reviewItem>
      <errorID>2d51e223-cdae-4ab2-9d74-81f87f720e91</errorID>
      <errorWord>)</errorWord>
      <group>L1_Format</group>
      <groupName>格式问题</groupName>
      <ability>L2_HalfPunc</ability>
      <abilityName>全半角检查</abilityName>
      <candidateList>
        <item>）</item>
      </candidateList>
      <explain>文本全半角错误。</explain>
      <paraID>760AFA5B</paraID>
      <start>103</start>
      <end>104</end>
      <status>ignored</status>
      <modifiedWord/>
      <trackRevisions>false</trackRevisions>
    </reviewItem>
    <reviewItem>
      <errorID>d375f7ce-2088-4b10-a780-81563b87378e</errorID>
      <errorWord>)</errorWord>
      <group>L1_Format</group>
      <groupName>格式问题</groupName>
      <ability>L2_HalfPunc</ability>
      <abilityName>全半角检查</abilityName>
      <candidateList>
        <item>）</item>
      </candidateList>
      <explain>文本全半角错误。</explain>
      <paraID>41891111</paraID>
      <start>39</start>
      <end>40</end>
      <status>ignored</status>
      <modifiedWord/>
      <trackRevisions>false</trackRevisions>
    </reviewItem>
    <reviewItem>
      <errorID>f8c1d39c-e482-4443-a18f-b3b0d750c13d</errorID>
      <errorWord>)</errorWord>
      <group>L1_Format</group>
      <groupName>格式问题</groupName>
      <ability>L2_HalfPunc</ability>
      <abilityName>全半角检查</abilityName>
      <candidateList>
        <item>）</item>
      </candidateList>
      <explain>文本全半角错误。</explain>
      <paraID>41891111</paraID>
      <start>70</start>
      <end>71</end>
      <status>ignored</status>
      <modifiedWord/>
      <trackRevisions>false</trackRevisions>
    </reviewItem>
    <reviewItem>
      <errorID>c122c963-2da2-44a6-8957-5ff6e8e2cb82</errorID>
      <errorWord>)</errorWord>
      <group>L1_Format</group>
      <groupName>格式问题</groupName>
      <ability>L2_HalfPunc</ability>
      <abilityName>全半角检查</abilityName>
      <candidateList>
        <item>）</item>
      </candidateList>
      <explain>文本全半角错误。</explain>
      <paraID>2B382512</paraID>
      <start>67</start>
      <end>68</end>
      <status>ignored</status>
      <modifiedWord/>
      <trackRevisions>false</trackRevisions>
    </reviewItem>
    <reviewItem>
      <errorID>0936ec59-1fe0-4cae-9a3e-32819deff9af</errorID>
      <errorWord>)</errorWord>
      <group>L1_Format</group>
      <groupName>格式问题</groupName>
      <ability>L2_HalfPunc</ability>
      <abilityName>全半角检查</abilityName>
      <candidateList>
        <item>）</item>
      </candidateList>
      <explain>文本全半角错误。</explain>
      <paraID>2B382512</paraID>
      <start>76</start>
      <end>77</end>
      <status>ignored</status>
      <modifiedWord/>
      <trackRevisions>false</trackRevisions>
    </reviewItem>
    <reviewItem>
      <errorID>94e25ae3-0797-471b-9764-bc3795ecb7d6</errorID>
      <errorWord>)</errorWord>
      <group>L1_Format</group>
      <groupName>格式问题</groupName>
      <ability>L2_HalfPunc</ability>
      <abilityName>全半角检查</abilityName>
      <candidateList>
        <item>）</item>
      </candidateList>
      <explain>文本全半角错误。</explain>
      <paraID>2B382512</paraID>
      <start>103</start>
      <end>104</end>
      <status>ignored</status>
      <modifiedWord/>
      <trackRevisions>false</trackRevisions>
    </reviewItem>
    <reviewItem>
      <errorID>82cd89a5-bef1-4319-8c94-564e61c2a00b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4872CEFB</paraID>
      <start>0</start>
      <end>2</end>
      <status>unmodified</status>
      <modifiedWord/>
      <trackRevisions>false</trackRevisions>
    </reviewItem>
    <reviewItem>
      <errorID>6df85c86-a201-4e22-8082-61016e3a4640</errorID>
      <errorWord>&lt;</errorWord>
      <group>L1_Format</group>
      <groupName>格式问题</groupName>
      <ability>L2_HalfPunc</ability>
      <abilityName>全半角检查</abilityName>
      <candidateList>
        <item>〈</item>
      </candidateList>
      <explain>文本全半角错误。</explain>
      <paraID>4872CEFB</paraID>
      <start>11</start>
      <end>12</end>
      <status>unmodified</status>
      <modifiedWord/>
      <trackRevisions>false</trackRevisions>
    </reviewItem>
    <reviewItem>
      <errorID>93ff7123-45fe-4fb5-acf8-483ba9c5fc98</errorID>
      <errorWord>&gt;的通知》</errorWord>
      <group>L1_Punc</group>
      <groupName>标点问题</groupName>
      <ability>L2_Punc</ability>
      <abilityName>标点符号检查</abilityName>
      <candidateList>
        <item>〉的通知》</item>
      </candidateList>
      <explain/>
      <paraID>4872CEFB</paraID>
      <start>29</start>
      <end>34</end>
      <status>unmodified</status>
      <modifiedWord/>
      <trackRevisions>false</trackRevisions>
    </reviewItem>
    <reviewItem>
      <errorID>58000dcb-780c-40af-bb36-fb0a5e9ebb78</errorID>
      <errorWord>]</errorWord>
      <group>L1_Punc</group>
      <groupName>标点问题</groupName>
      <ability>L2_Punc</ability>
      <abilityName>标点符号检查</abilityName>
      <candidateList>
        <item>〕</item>
      </candidateList>
      <explain/>
      <paraID>4872CEFB</paraID>
      <start>44</start>
      <end>45</end>
      <status>unmodified</status>
      <modifiedWord/>
      <trackRevisions>false</trackRevisions>
    </reviewItem>
    <reviewItem>
      <errorID>77fa3260-43dd-48f1-8d24-857d96e93b54</errorID>
      <errorWord>&lt;</errorWord>
      <group>L1_Format</group>
      <groupName>格式问题</groupName>
      <ability>L2_HalfPunc</ability>
      <abilityName>全半角检查</abilityName>
      <candidateList>
        <item>〈</item>
      </candidateList>
      <explain>文本全半角错误。</explain>
      <paraID>1E190B74</paraID>
      <start>11</start>
      <end>12</end>
      <status>unmodified</status>
      <modifiedWord/>
      <trackRevisions>false</trackRevisions>
    </reviewItem>
    <reviewItem>
      <errorID>7141eed8-6a90-472e-a4ed-5e936258cc02</errorID>
      <errorWord>&gt;的通知》</errorWord>
      <group>L1_Punc</group>
      <groupName>标点问题</groupName>
      <ability>L2_Punc</ability>
      <abilityName>标点符号检查</abilityName>
      <candidateList>
        <item>〉的通知》</item>
      </candidateList>
      <explain/>
      <paraID>1E190B74</paraID>
      <start>29</start>
      <end>34</end>
      <status>unmodified</status>
      <modifiedWord/>
      <trackRevisions>false</trackRevisions>
    </reviewItem>
    <reviewItem>
      <errorID>38dec2bf-9897-48c8-836f-1e527d6c1828</errorID>
      <errorWord>]</errorWord>
      <group>L1_Punc</group>
      <groupName>标点问题</groupName>
      <ability>L2_Punc</ability>
      <abilityName>标点符号检查</abilityName>
      <candidateList>
        <item>〕</item>
      </candidateList>
      <explain/>
      <paraID>1E190B74</paraID>
      <start>44</start>
      <end>45</end>
      <status>unmodified</status>
      <modifiedWord/>
      <trackRevisions>false</trackRevisions>
    </reviewItem>
    <reviewItem>
      <errorID>3f741ba2-a5b7-4ce8-9e67-2fe53fd02328</errorID>
      <errorWord>胶粘剂</errorWord>
      <group>L1_Word</group>
      <groupName>字词问题</groupName>
      <ability>L2_Typo</ability>
      <abilityName>字词错误</abilityName>
      <candidateList>
        <item>胶黏剂</item>
      </candidateList>
      <explain/>
      <paraID>1E190B74</paraID>
      <start>341</start>
      <end>344</end>
      <status>unmodified</status>
      <modifiedWord/>
      <trackRevisions>false</trackRevisions>
    </reviewItem>
    <reviewItem>
      <errorID>015328b5-fcfb-4419-b5ba-ce3f2bd1d51c</errorID>
      <errorWord>胶粘剂</errorWord>
      <group>L1_Word</group>
      <groupName>字词问题</groupName>
      <ability>L2_Typo</ability>
      <abilityName>字词错误</abilityName>
      <candidateList>
        <item>胶黏剂</item>
      </candidateList>
      <explain/>
      <paraID>1E190B74</paraID>
      <start>382</start>
      <end>385</end>
      <status>unmodified</status>
      <modifiedWord/>
      <trackRevisions>false</trackRevisions>
    </reviewItem>
    <reviewItem>
      <errorID>42531d54-05cb-48be-af3b-d44fb8be0625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61D0F083</paraID>
      <start>0</start>
      <end>2</end>
      <status>unmodified</status>
      <modifiedWord/>
      <trackRevisions>false</trackRevisions>
    </reviewItem>
    <reviewItem>
      <errorID>2e51e8c8-4482-4946-9e69-0de81480e78d</errorID>
      <errorWord>]</errorWord>
      <group>L1_Punc</group>
      <groupName>标点问题</groupName>
      <ability>L2_Punc</ability>
      <abilityName>标点符号检查</abilityName>
      <candidateList>
        <item>〕</item>
      </candidateList>
      <explain/>
      <paraID>61D0F083</paraID>
      <start>36</start>
      <end>37</end>
      <status>unmodified</status>
      <modifiedWord/>
      <trackRevisions>false</trackRevisions>
    </reviewItem>
    <reviewItem>
      <errorID>24b887ab-0161-4a5d-a356-9fffc02dc337</errorID>
      <errorWord>]</errorWord>
      <group>L1_Punc</group>
      <groupName>标点问题</groupName>
      <ability>L2_Punc</ability>
      <abilityName>标点符号检查</abilityName>
      <candidateList>
        <item>〕</item>
      </candidateList>
      <explain/>
      <paraID>27A7BFD0</paraID>
      <start>10</start>
      <end>11</end>
      <status>unmodified</status>
      <modifiedWord/>
      <trackRevisions>false</trackRevisions>
    </reviewItem>
    <reviewItem>
      <errorID>be8dfa8d-3237-4ce7-a814-21b7d9facff8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159ED55F</paraID>
      <start>0</start>
      <end>2</end>
      <status>unmodified</status>
      <modifiedWord/>
      <trackRevisions>false</trackRevisions>
    </reviewItem>
    <reviewItem>
      <errorID>1c24b8cc-ed38-47f5-82b5-7d1569d143ba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3B6F017</paraID>
      <start>83</start>
      <end>84</end>
      <status>unmodified</status>
      <modifiedWord/>
      <trackRevisions>false</trackRevisions>
    </reviewItem>
    <reviewItem>
      <errorID>9b777622-1896-4192-a6a1-789c71dc6583</errorID>
      <errorWord>连锁</errorWord>
      <group>L1_Word</group>
      <groupName>字词问题</groupName>
      <ability>L2_Typo</ability>
      <abilityName>字词错误</abilityName>
      <candidateList>
        <item>联锁</item>
      </candidateList>
      <explain>存在发音相同字词的误用。</explain>
      <paraID>1A59A388</paraID>
      <start>45</start>
      <end>47</end>
      <status>unmodified</status>
      <modifiedWord/>
      <trackRevisions>false</trackRevisions>
    </reviewItem>
    <reviewItem>
      <errorID>f4dabc9f-5d48-462b-9ef3-0dccdf9d05c1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27223B2E</paraID>
      <start>0</start>
      <end>2</end>
      <status>unmodified</status>
      <modifiedWord/>
      <trackRevisions>false</trackRevisions>
    </reviewItem>
    <reviewItem>
      <errorID>0d9e88da-14bd-4171-a26e-1f6555b39f30</errorID>
      <errorWord>&lt;</errorWord>
      <group>L1_Format</group>
      <groupName>格式问题</groupName>
      <ability>L2_HalfPunc</ability>
      <abilityName>全半角检查</abilityName>
      <candidateList>
        <item>〈</item>
      </candidateList>
      <explain>文本全半角错误。</explain>
      <paraID>27223B2E</paraID>
      <start>8</start>
      <end>9</end>
      <status>unmodified</status>
      <modifiedWord/>
      <trackRevisions>false</trackRevisions>
    </reviewItem>
    <reviewItem>
      <errorID>2db8a199-01dc-4d5c-8eda-a8d263851507</errorID>
      <errorWord>&gt;的通知》</errorWord>
      <group>L1_Punc</group>
      <groupName>标点问题</groupName>
      <ability>L2_Punc</ability>
      <abilityName>标点符号检查</abilityName>
      <candidateList>
        <item>〉的通知》</item>
      </candidateList>
      <explain/>
      <paraID>27223B2E</paraID>
      <start>33</start>
      <end>38</end>
      <status>unmodified</status>
      <modifiedWord/>
      <trackRevisions>false</trackRevisions>
    </reviewItem>
    <reviewItem>
      <errorID>77a15f75-227d-4c6a-a18a-e8c3b6e0c723</errorID>
      <errorWord>]</errorWord>
      <group>L1_Punc</group>
      <groupName>标点问题</groupName>
      <ability>L2_Punc</ability>
      <abilityName>标点符号检查</abilityName>
      <candidateList>
        <item>〕</item>
      </candidateList>
      <explain/>
      <paraID>27223B2E</paraID>
      <start>47</start>
      <end>48</end>
      <status>unmodified</status>
      <modifiedWord/>
      <trackRevisions>false</trackRevisions>
    </reviewItem>
    <reviewItem>
      <errorID>875b9b42-d798-4707-9d37-628bde9c5df2</errorID>
      <errorWord>]</errorWord>
      <group>L1_Punc</group>
      <groupName>标点问题</groupName>
      <ability>L2_Punc</ability>
      <abilityName>标点符号检查</abilityName>
      <candidateList>
        <item>〕</item>
      </candidateList>
      <explain/>
      <paraID>31155E4E</paraID>
      <start>63</start>
      <end>64</end>
      <status>unmodified</status>
      <modifiedWord/>
      <trackRevisions>false</trackRevisions>
    </reviewItem>
    <reviewItem>
      <errorID>8607b1d4-dfd0-408e-85ae-34fccd1e1109</errorID>
      <errorWord>(</errorWord>
      <group>L1_Format</group>
      <groupName>格式问题</groupName>
      <ability>L2_HalfPunc</ability>
      <abilityName>全半角检查</abilityName>
      <candidateList>
        <item>（</item>
      </candidateList>
      <explain>文本全半角错误。</explain>
      <paraID>2810012D</paraID>
      <start>67</start>
      <end>68</end>
      <status>unmodified</status>
      <modifiedWord/>
      <trackRevisions>false</trackRevisions>
    </reviewItem>
    <reviewItem>
      <errorID>c145854b-18b4-4517-a342-7fde1c9f7f82</errorID>
      <errorWord>)</errorWord>
      <group>L1_Format</group>
      <groupName>格式问题</groupName>
      <ability>L2_HalfPunc</ability>
      <abilityName>全半角检查</abilityName>
      <candidateList>
        <item>）</item>
      </candidateList>
      <explain>文本全半角错误。</explain>
      <paraID>2810012D</paraID>
      <start>71</start>
      <end>72</end>
      <status>ignored</status>
      <modifiedWord/>
      <trackRevisions>false</trackRevisions>
    </reviewItem>
    <reviewItem>
      <errorID>dbd9d36c-d337-433a-a75e-d38fa406b87c</errorID>
      <errorWord>(</errorWord>
      <group>L1_Format</group>
      <groupName>格式问题</groupName>
      <ability>L2_HalfPunc</ability>
      <abilityName>全半角检查</abilityName>
      <candidateList>
        <item>（</item>
      </candidateList>
      <explain>文本全半角错误。</explain>
      <paraID>2810012D</paraID>
      <start>77</start>
      <end>78</end>
      <status>unmodified</status>
      <modifiedWord/>
      <trackRevisions>false</trackRevisions>
    </reviewItem>
    <reviewItem>
      <errorID>5eb2e763-8553-408f-be63-3f64adf2d174</errorID>
      <errorWord>)</errorWord>
      <group>L1_Format</group>
      <groupName>格式问题</groupName>
      <ability>L2_HalfPunc</ability>
      <abilityName>全半角检查</abilityName>
      <candidateList>
        <item>）</item>
      </candidateList>
      <explain>文本全半角错误。</explain>
      <paraID>2810012D</paraID>
      <start>79</start>
      <end>80</end>
      <status>ignored</status>
      <modifiedWord/>
      <trackRevisions>false</trackRevisions>
    </reviewItem>
    <reviewItem>
      <errorID>b5f05738-2b7c-4e40-9bc9-1de349b00415</errorID>
      <errorWord>》中</errorWord>
      <group>L1_Word</group>
      <groupName>字词问题</groupName>
      <ability>L2_Typo</ability>
      <abilityName>字词错误</abilityName>
      <candidateList>
        <item>》</item>
      </candidateList>
      <explain/>
      <paraID>62B245C0</paraID>
      <start>32</start>
      <end>34</end>
      <status>unmodified</status>
      <modifiedWord/>
      <trackRevisions>false</trackRevisions>
    </reviewItem>
    <reviewItem>
      <errorID>1221f957-32fc-49c0-b0c4-f34ef5f0c8ad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6C2ABBE7</paraID>
      <start>0</start>
      <end>2</end>
      <status>unmodified</status>
      <modifiedWord/>
      <trackRevisions>false</trackRevisions>
    </reviewItem>
    <reviewItem>
      <errorID>62a4bcc2-59e6-4441-b3d3-1513122ca8c6</errorID>
      <errorWord>]</errorWord>
      <group>L1_Punc</group>
      <groupName>标点问题</groupName>
      <ability>L2_Punc</ability>
      <abilityName>标点符号检查</abilityName>
      <candidateList>
        <item>〕</item>
      </candidateList>
      <explain/>
      <paraID>6C2ABBE7</paraID>
      <start>36</start>
      <end>37</end>
      <status>unmodified</status>
      <modifiedWord/>
      <trackRevisions>false</trackRevisions>
    </reviewItem>
    <reviewItem>
      <errorID>0c8ded45-c059-4ac3-9083-1c7ca7a218f8</errorID>
      <errorWord>]</errorWord>
      <group>L1_Punc</group>
      <groupName>标点问题</groupName>
      <ability>L2_Punc</ability>
      <abilityName>标点符号检查</abilityName>
      <candidateList>
        <item>〕</item>
      </candidateList>
      <explain/>
      <paraID>3E776F00</paraID>
      <start>43</start>
      <end>44</end>
      <status>unmodified</status>
      <modifiedWord/>
      <trackRevisions>false</trackRevisions>
    </reviewItem>
    <reviewItem>
      <errorID>0e197bea-4801-4404-ae78-159c1a565677</errorID>
      <errorWord>]</errorWord>
      <group>L1_Punc</group>
      <groupName>标点问题</groupName>
      <ability>L2_Punc</ability>
      <abilityName>标点符号检查</abilityName>
      <candidateList>
        <item>〕</item>
      </candidateList>
      <explain/>
      <paraID>733CD285</paraID>
      <start>24</start>
      <end>25</end>
      <status>unmodified</status>
      <modifiedWord/>
      <trackRevisions>false</trackRevisions>
    </reviewItem>
    <reviewItem>
      <errorID>43f018dd-7d59-4f7b-a61d-d9f28a91a812</errorID>
      <errorWord>》中</errorWord>
      <group>L1_Word</group>
      <groupName>字词问题</groupName>
      <ability>L2_Typo</ability>
      <abilityName>字词错误</abilityName>
      <candidateList>
        <item>》</item>
      </candidateList>
      <explain/>
      <paraID>47D303F3</paraID>
      <start>32</start>
      <end>34</end>
      <status>unmodified</status>
      <modifiedWord/>
      <trackRevisions>false</trackRevisions>
    </reviewItem>
    <reviewItem>
      <errorID>37600656-e54c-4b64-bc3d-af8944e75587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54B5773</paraID>
      <start>0</start>
      <end>2</end>
      <status>unmodified</status>
      <modifiedWord/>
      <trackRevisions>false</trackRevisions>
    </reviewItem>
    <reviewItem>
      <errorID>fecd175c-10f6-479d-adc9-c327db63fb4d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5A4B53A8</paraID>
      <start>0</start>
      <end>2</end>
      <status>unmodified</status>
      <modifiedWord/>
      <trackRevisions>false</trackRevisions>
    </reviewItem>
    <reviewItem>
      <errorID>f9735bdf-198a-4c74-a638-97f594fa5200</errorID>
      <errorWord>法制教育</errorWord>
      <group>L1_Political</group>
      <groupName>政治性问题</groupName>
      <ability>L2_Unpolitical</ability>
      <abilityName>政治敏感错误</abilityName>
      <candidateList>
        <item>法治教育</item>
      </candidateList>
      <explain/>
      <paraID>196B6199</paraID>
      <start>73</start>
      <end>77</end>
      <status>unmodified</status>
      <modifiedWord/>
      <trackRevisions>false</trackRevisions>
    </reviewItem>
    <reviewItem>
      <errorID>c5b08df1-7e7d-4867-902e-8520a35ab737</errorID>
      <errorWord>法制教育</errorWord>
      <group>L1_Political</group>
      <groupName>政治性问题</groupName>
      <ability>L2_Unpolitical</ability>
      <abilityName>政治敏感错误</abilityName>
      <candidateList>
        <item>法治教育</item>
      </candidateList>
      <explain/>
      <paraID> AE8CEC3</paraID>
      <start>40</start>
      <end>44</end>
      <status>unmodified</status>
      <modifiedWord/>
      <trackRevisions>false</trackRevisions>
    </reviewItem>
    <reviewItem>
      <errorID>ae04c68a-2e7a-4635-8f8d-521c85fbee43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70308CB9</paraID>
      <start>0</start>
      <end>2</end>
      <status>unmodified</status>
      <modifiedWord/>
      <trackRevisions>false</trackRevisions>
    </reviewItem>
    <reviewItem>
      <errorID>45d802d8-cb3f-464d-b67e-ca4eb35b69a9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616841E6</paraID>
      <start>0</start>
      <end>2</end>
      <status>unmodified</status>
      <modifiedWord/>
      <trackRevisions>false</trackRevisions>
    </reviewItem>
    <reviewItem>
      <errorID>e254ce70-2d41-4d80-88d1-e827801d5e23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75946E8E</paraID>
      <start>0</start>
      <end>2</end>
      <status>unmodified</status>
      <modifiedWord/>
      <trackRevisions>false</trackRevisions>
    </reviewItem>
    <reviewItem>
      <errorID>3247644b-6479-4615-8454-47096ee96ced</errorID>
      <errorWord>&lt;</errorWord>
      <group>L1_Format</group>
      <groupName>格式问题</groupName>
      <ability>L2_HalfPunc</ability>
      <abilityName>全半角检查</abilityName>
      <candidateList>
        <item>〈</item>
      </candidateList>
      <explain>文本全半角错误。</explain>
      <paraID>75946E8E</paraID>
      <start>8</start>
      <end>9</end>
      <status>unmodified</status>
      <modifiedWord/>
      <trackRevisions>false</trackRevisions>
    </reviewItem>
    <reviewItem>
      <errorID>0ad03414-a710-4ccd-8489-8f0b5329302e</errorID>
      <errorWord>&gt;</errorWord>
      <group>L1_Format</group>
      <groupName>格式问题</groupName>
      <ability>L2_HalfPunc</ability>
      <abilityName>全半角检查</abilityName>
      <candidateList>
        <item>〉</item>
      </candidateList>
      <explain>文本全半角错误。</explain>
      <paraID>75946E8E</paraID>
      <start>23</start>
      <end>24</end>
      <status>unmodified</status>
      <modifiedWord/>
      <trackRevisions>false</trackRevisions>
    </reviewItem>
    <reviewItem>
      <errorID>bf870133-707a-4940-bfde-01459d762d7b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2285FF59</paraID>
      <start>0</start>
      <end>3</end>
      <status>unmodified</status>
      <modifiedWord/>
      <trackRevisions>false</trackRevisions>
    </reviewItem>
    <reviewItem>
      <errorID>ddb39a77-3c42-4db6-be95-c2c118f22942</errorID>
      <errorWord>&lt;</errorWord>
      <group>L1_Format</group>
      <groupName>格式问题</groupName>
      <ability>L2_HalfPunc</ability>
      <abilityName>全半角检查</abilityName>
      <candidateList>
        <item>〈</item>
      </candidateList>
      <explain>文本全半角错误。</explain>
      <paraID>2285FF59</paraID>
      <start>15</start>
      <end>16</end>
      <status>unmodified</status>
      <modifiedWord/>
      <trackRevisions>false</trackRevisions>
    </reviewItem>
    <reviewItem>
      <errorID>97838ced-c9a7-4ee1-9ed9-65adfb0fce7f</errorID>
      <errorWord>&gt;的通知》</errorWord>
      <group>L1_Punc</group>
      <groupName>标点问题</groupName>
      <ability>L2_Punc</ability>
      <abilityName>标点符号检查</abilityName>
      <candidateList>
        <item>〉的通知》</item>
      </candidateList>
      <explain/>
      <paraID>2285FF59</paraID>
      <start>26</start>
      <end>31</end>
      <status>unmodified</status>
      <modifiedWord/>
      <trackRevisions>false</trackRevisions>
    </reviewItem>
    <reviewItem>
      <errorID>69d98740-acf4-44e9-b1bb-837ef1d71cb1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2285FF59</paraID>
      <start>86</start>
      <end>89</end>
      <status>unmodified</status>
      <modifiedWord/>
      <trackRevisions>false</trackRevisions>
    </reviewItem>
    <reviewItem>
      <errorID>76985025-3787-4826-ae84-af76b8b44184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2285FF59</paraID>
      <start>104</start>
      <end>107</end>
      <status>unmodified</status>
      <modifiedWord/>
      <trackRevisions>false</trackRevisions>
    </reviewItem>
    <reviewItem>
      <errorID>ced08c45-ec98-4360-87c1-bab8c19e7100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2285FF59</paraID>
      <start>122</start>
      <end>214</end>
      <status>unmodified</status>
      <modifiedWord/>
      <trackRevisions>false</trackRevisions>
    </reviewItem>
    <reviewItem>
      <errorID>fcbc2022-71c9-4f2c-90f2-8aa0fc715ac6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2285FF59</paraID>
      <start>234</start>
      <end>238</end>
      <status>unmodified</status>
      <modifiedWord/>
      <trackRevisions>false</trackRevisions>
    </reviewItem>
    <reviewItem>
      <errorID>cf542d03-67e3-40d2-8ab5-d89232961dd3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74A2D6EC</paraID>
      <start>42</start>
      <end>45</end>
      <status>unmodified</status>
      <modifiedWord/>
      <trackRevisions>false</trackRevisions>
    </reviewItem>
    <reviewItem>
      <errorID>cee08075-d276-4e5c-a618-d7c26651cec8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74A2D6EC</paraID>
      <start>60</start>
      <end>63</end>
      <status>unmodified</status>
      <modifiedWord/>
      <trackRevisions>false</trackRevisions>
    </reviewItem>
    <reviewItem>
      <errorID>58825d17-68c4-4c23-be65-4a984d0b9cfa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74A2D6EC</paraID>
      <start>78</start>
      <end>81</end>
      <status>unmodified</status>
      <modifiedWord/>
      <trackRevisions>false</trackRevisions>
    </reviewItem>
    <reviewItem>
      <errorID>509c3896-06a2-4fbb-bc81-119b279687fc</errorID>
      <errorWord>，</errorWord>
      <group>L1_Word</group>
      <groupName>字词问题</groupName>
      <ability>L2_Typo</ability>
      <abilityName>字词错误</abilityName>
      <candidateList>
        <item>，在</item>
      </candidateList>
      <explain/>
      <paraID>27A595EE</paraID>
      <start>34</start>
      <end>35</end>
      <status>unmodified</status>
      <modifiedWord/>
      <trackRevisions>false</trackRevisions>
    </reviewItem>
    <reviewItem>
      <errorID>7f2f392d-7f9c-49e9-ab4e-3a1a577a0684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213FC899</paraID>
      <start>0</start>
      <end>2</end>
      <status>unmodified</status>
      <modifiedWord/>
      <trackRevisions>false</trackRevisions>
    </reviewItem>
    <reviewItem>
      <errorID>73b173a1-067c-4c8e-b374-38d2f1db0e3e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6091D6DE</paraID>
      <start>0</start>
      <end>2</end>
      <status>unmodified</status>
      <modifiedWord/>
      <trackRevisions>false</trackRevisions>
    </reviewItem>
    <reviewItem>
      <errorID>e88906c0-6775-493b-87a9-26e54e9b8f60</errorID>
      <errorWord>程</errorWord>
      <group>L1_Word</group>
      <groupName>字词问题</groupName>
      <ability>L2_Typo</ability>
      <abilityName>字词错误</abilityName>
      <candidateList>
        <item>程中</item>
      </candidateList>
      <explain/>
      <paraID>6091D6DE</paraID>
      <start>7</start>
      <end>8</end>
      <status>unmodified</status>
      <modifiedWord/>
      <trackRevisions>false</trackRevisions>
    </reviewItem>
    <reviewItem>
      <errorID>36bfb15b-8e9c-44b1-b655-034211e00f4b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72FE4EEB</paraID>
      <start>0</start>
      <end>2</end>
      <status>unmodified</status>
      <modifiedWord/>
      <trackRevisions>false</trackRevisions>
    </reviewItem>
    <reviewItem>
      <errorID>05b14ee0-f800-40c5-82b0-7c9156a64cd7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43E007F3</paraID>
      <start>0</start>
      <end>2</end>
      <status>unmodified</status>
      <modifiedWord/>
      <trackRevisions>false</trackRevisions>
    </reviewItem>
    <reviewItem>
      <errorID>3075260c-aca7-45bd-9f52-6bb154ba2f05</errorID>
      <errorWord>&lt;</errorWord>
      <group>L1_Format</group>
      <groupName>格式问题</groupName>
      <ability>L2_HalfPunc</ability>
      <abilityName>全半角检查</abilityName>
      <candidateList>
        <item>〈</item>
      </candidateList>
      <explain>文本全半角错误。</explain>
      <paraID>2FD9E417</paraID>
      <start>5</start>
      <end>6</end>
      <status>unmodified</status>
      <modifiedWord/>
      <trackRevisions>false</trackRevisions>
    </reviewItem>
    <reviewItem>
      <errorID>310879db-79df-4f47-857f-8f06890e63e9</errorID>
      <errorWord>&gt;</errorWord>
      <group>L1_Format</group>
      <groupName>格式问题</groupName>
      <ability>L2_HalfPunc</ability>
      <abilityName>全半角检查</abilityName>
      <candidateList>
        <item>〉</item>
      </candidateList>
      <explain>文本全半角错误。</explain>
      <paraID>2FD9E417</paraID>
      <start>20</start>
      <end>21</end>
      <status>unmodified</status>
      <modifiedWord/>
      <trackRevisions>false</trackRevisions>
    </reviewItem>
    <reviewItem>
      <errorID>ed80e8eb-18e7-4440-81a3-b2dce2db6d75</errorID>
      <errorWord>&lt;</errorWord>
      <group>L1_Format</group>
      <groupName>格式问题</groupName>
      <ability>L2_HalfPunc</ability>
      <abilityName>全半角检查</abilityName>
      <candidateList>
        <item>〈</item>
      </candidateList>
      <explain>文本全半角错误。</explain>
      <paraID>513ED0B1</paraID>
      <start>5</start>
      <end>6</end>
      <status>unmodified</status>
      <modifiedWord/>
      <trackRevisions>false</trackRevisions>
    </reviewItem>
    <reviewItem>
      <errorID>5f7a21b3-8a61-4a58-bb4f-3766a0d566d7</errorID>
      <errorWord>&gt;</errorWord>
      <group>L1_Format</group>
      <groupName>格式问题</groupName>
      <ability>L2_HalfPunc</ability>
      <abilityName>全半角检查</abilityName>
      <candidateList>
        <item>〉</item>
      </candidateList>
      <explain>文本全半角错误。</explain>
      <paraID>513ED0B1</paraID>
      <start>20</start>
      <end>21</end>
      <status>unmodified</status>
      <modifiedWord/>
      <trackRevisions>false</trackRevisions>
    </reviewItem>
    <reviewItem>
      <errorID>a13efde4-cc72-4b2d-8a3f-424c0d766bf3</errorID>
      <errorWord>&lt;</errorWord>
      <group>L1_Format</group>
      <groupName>格式问题</groupName>
      <ability>L2_HalfPunc</ability>
      <abilityName>全半角检查</abilityName>
      <candidateList>
        <item>〈</item>
      </candidateList>
      <explain>文本全半角错误。</explain>
      <paraID>33486B32</paraID>
      <start>5</start>
      <end>6</end>
      <status>unmodified</status>
      <modifiedWord/>
      <trackRevisions>false</trackRevisions>
    </reviewItem>
    <reviewItem>
      <errorID>04480c41-4ebe-472e-9f28-7bff3b5a6072</errorID>
      <errorWord>&gt;</errorWord>
      <group>L1_Format</group>
      <groupName>格式问题</groupName>
      <ability>L2_HalfPunc</ability>
      <abilityName>全半角检查</abilityName>
      <candidateList>
        <item>〉</item>
      </candidateList>
      <explain>文本全半角错误。</explain>
      <paraID>33486B32</paraID>
      <start>20</start>
      <end>21</end>
      <status>unmodified</status>
      <modifiedWord/>
      <trackRevisions>false</trackRevisions>
    </reviewItem>
    <reviewItem>
      <errorID>1b06a748-6ece-4c75-8831-d9a0c1015145</errorID>
      <errorWord>&lt;</errorWord>
      <group>L1_Format</group>
      <groupName>格式问题</groupName>
      <ability>L2_HalfPunc</ability>
      <abilityName>全半角检查</abilityName>
      <candidateList>
        <item>〈</item>
      </candidateList>
      <explain>文本全半角错误。</explain>
      <paraID> E7D1B70</paraID>
      <start>5</start>
      <end>6</end>
      <status>unmodified</status>
      <modifiedWord/>
      <trackRevisions>false</trackRevisions>
    </reviewItem>
    <reviewItem>
      <errorID>f21dbb45-11fb-483d-a63a-169d7cbdba48</errorID>
      <errorWord>&gt;的通知》</errorWord>
      <group>L1_Punc</group>
      <groupName>标点问题</groupName>
      <ability>L2_Punc</ability>
      <abilityName>标点符号检查</abilityName>
      <candidateList>
        <item>〉的通知》</item>
      </candidateList>
      <explain/>
      <paraID> E7D1B70</paraID>
      <start>19</start>
      <end>24</end>
      <status>unmodified</status>
      <modifiedWord/>
      <trackRevisions>false</trackRevisions>
    </reviewItem>
    <reviewItem>
      <errorID>cd7f0f7b-6bac-4031-aaf8-a2463e863649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46F1A338</paraID>
      <start>19</start>
      <end>20</end>
      <status>unmodified</status>
      <modifiedWord/>
      <trackRevisions>false</trackRevisions>
    </reviewItem>
    <reviewItem>
      <errorID>9c38423b-98e7-4aa3-bd6e-ccac70be4cca</errorID>
      <errorWord>&lt;</errorWord>
      <group>L1_Format</group>
      <groupName>格式问题</groupName>
      <ability>L2_HalfPunc</ability>
      <abilityName>全半角检查</abilityName>
      <candidateList>
        <item>〈</item>
      </candidateList>
      <explain>文本全半角错误。</explain>
      <paraID>3E68D741</paraID>
      <start>5</start>
      <end>6</end>
      <status>unmodified</status>
      <modifiedWord/>
      <trackRevisions>false</trackRevisions>
    </reviewItem>
    <reviewItem>
      <errorID>7f84ed54-3aff-4149-83a9-07df0bdfb569</errorID>
      <errorWord>&gt;的通知》</errorWord>
      <group>L1_Punc</group>
      <groupName>标点问题</groupName>
      <ability>L2_Punc</ability>
      <abilityName>标点符号检查</abilityName>
      <candidateList>
        <item>〉的通知》</item>
      </candidateList>
      <explain/>
      <paraID>3E68D741</paraID>
      <start>33</start>
      <end>38</end>
      <status>unmodified</status>
      <modifiedWord/>
      <trackRevisions>false</trackRevisions>
    </reviewItem>
    <reviewItem>
      <errorID>0291c3e6-9c96-4620-9bd8-8c47a7284c02</errorID>
      <errorWord>制</errorWord>
      <group>L1_Word</group>
      <groupName>字词问题</groupName>
      <ability>L2_Typo</ability>
      <abilityName>字词错误</abilityName>
      <candidateList>
        <item>制度</item>
      </candidateList>
      <explain/>
      <paraID>1FBA0C43</paraID>
      <start>18</start>
      <end>19</end>
      <status>unmodified</status>
      <modifiedWord/>
      <trackRevisions>false</trackRevisions>
    </reviewItem>
    <reviewItem>
      <errorID>8d720ca3-df5d-46e0-9c24-2c661ed03beb</errorID>
      <errorWord>&lt;</errorWord>
      <group>L1_Format</group>
      <groupName>格式问题</groupName>
      <ability>L2_HalfPunc</ability>
      <abilityName>全半角检查</abilityName>
      <candidateList>
        <item>〈</item>
      </candidateList>
      <explain>文本全半角错误。</explain>
      <paraID>3ECF4AAA</paraID>
      <start>11</start>
      <end>12</end>
      <status>unmodified</status>
      <modifiedWord/>
      <trackRevisions>false</trackRevisions>
    </reviewItem>
    <reviewItem>
      <errorID>7934e79c-af20-44c7-8568-a4123e55afc9</errorID>
      <errorWord>&gt;的通知》</errorWord>
      <group>L1_Punc</group>
      <groupName>标点问题</groupName>
      <ability>L2_Punc</ability>
      <abilityName>标点符号检查</abilityName>
      <candidateList>
        <item>〉的通知》</item>
      </candidateList>
      <explain/>
      <paraID>3ECF4AAA</paraID>
      <start>22</start>
      <end>27</end>
      <status>unmodified</status>
      <modifiedWord/>
      <trackRevisions>false</trackRevisions>
    </reviewItem>
    <reviewItem>
      <errorID>35152481-1e77-417a-b048-681c53a085e2</errorID>
      <errorWord>地方法规</errorWord>
      <group>L1_Political</group>
      <groupName>政治性问题</groupName>
      <ability>L2_Unpolitical</ability>
      <abilityName>政治敏感错误</abilityName>
      <candidateList>
        <item>地方性法规</item>
      </candidateList>
      <explain/>
      <paraID>626050EE</paraID>
      <start>0</start>
      <end>4</end>
      <status>unmodified</status>
      <modifiedWord/>
      <trackRevisions>false</trackRevisions>
    </reviewItem>
    <reviewItem>
      <errorID>c302de6b-d1fa-437e-b76c-9ba3d9da9fc8</errorID>
      <errorWord>]</errorWord>
      <group>L1_Punc</group>
      <groupName>标点问题</groupName>
      <ability>L2_Punc</ability>
      <abilityName>标点符号检查</abilityName>
      <candidateList>
        <item>〕</item>
      </candidateList>
      <explain/>
      <paraID>396E9316</paraID>
      <start>39</start>
      <end>40</end>
      <status>unmodified</status>
      <modifiedWord/>
      <trackRevisions>false</trackRevisions>
    </reviewItem>
    <reviewItem>
      <errorID>a71ce7a8-e269-4dca-b5de-716d4e93cae7</errorID>
      <errorWord>]</errorWord>
      <group>L1_Punc</group>
      <groupName>标点问题</groupName>
      <ability>L2_Punc</ability>
      <abilityName>标点符号检查</abilityName>
      <candidateList>
        <item>〕</item>
      </candidateList>
      <explain/>
      <paraID>45D7CDC1</paraID>
      <start>47</start>
      <end>48</end>
      <status>unmodified</status>
      <modifiedWord/>
      <trackRevisions>false</trackRevisions>
    </reviewItem>
    <reviewItem>
      <errorID>bbf4d0e8-8510-4c02-aaac-0cafcc260111</errorID>
      <errorWord>]</errorWord>
      <group>L1_Punc</group>
      <groupName>标点问题</groupName>
      <ability>L2_Punc</ability>
      <abilityName>标点符号检查</abilityName>
      <candidateList>
        <item>〕</item>
      </candidateList>
      <explain/>
      <paraID> CFDDF69</paraID>
      <start>42</start>
      <end>43</end>
      <status>unmodified</status>
      <modifiedWord/>
      <trackRevisions>false</trackRevisions>
    </reviewItem>
    <reviewItem>
      <errorID>03bc2d58-a2af-4f04-bd5e-17985d010b80</errorID>
      <errorWord>]</errorWord>
      <group>L1_Punc</group>
      <groupName>标点问题</groupName>
      <ability>L2_Punc</ability>
      <abilityName>标点符号检查</abilityName>
      <candidateList>
        <item>〕</item>
      </candidateList>
      <explain/>
      <paraID>57BF22FF</paraID>
      <start>52</start>
      <end>53</end>
      <status>unmodified</status>
      <modifiedWord/>
      <trackRevisions>false</trackRevisions>
    </reviewItem>
    <reviewItem>
      <errorID>d047b6ae-a35f-4b54-964a-c0e3e1953d2d</errorID>
      <errorWord>]</errorWord>
      <group>L1_Punc</group>
      <groupName>标点问题</groupName>
      <ability>L2_Punc</ability>
      <abilityName>标点符号检查</abilityName>
      <candidateList>
        <item>〕</item>
      </candidateList>
      <explain/>
      <paraID>7D327746</paraID>
      <start>38</start>
      <end>39</end>
      <status>unmodified</status>
      <modifiedWord/>
      <trackRevisions>false</trackRevisions>
    </reviewItem>
    <reviewItem>
      <errorID>8a282a48-f8c7-498a-9602-0ed914dd0fa3</errorID>
      <errorWord>&lt;</errorWord>
      <group>L1_Format</group>
      <groupName>格式问题</groupName>
      <ability>L2_HalfPunc</ability>
      <abilityName>全半角检查</abilityName>
      <candidateList>
        <item>〈</item>
      </candidateList>
      <explain>文本全半角错误。</explain>
      <paraID>4EE88AD3</paraID>
      <start>5</start>
      <end>6</end>
      <status>unmodified</status>
      <modifiedWord/>
      <trackRevisions>false</trackRevisions>
    </reviewItem>
    <reviewItem>
      <errorID>e9b26f0c-0b86-45c4-adc0-f19eb44e7fc6</errorID>
      <errorWord>&gt;的通知》</errorWord>
      <group>L1_Punc</group>
      <groupName>标点问题</groupName>
      <ability>L2_Punc</ability>
      <abilityName>标点符号检查</abilityName>
      <candidateList>
        <item>〉的通知》</item>
      </candidateList>
      <explain/>
      <paraID>4EE88AD3</paraID>
      <start>25</start>
      <end>30</end>
      <status>unmodified</status>
      <modifiedWord/>
      <trackRevisions>false</trackRevisions>
    </reviewItem>
    <reviewItem>
      <errorID>f7087e5e-1396-41b1-8239-0befeb5b64b0</errorID>
      <errorWord>&lt;</errorWord>
      <group>L1_Format</group>
      <groupName>格式问题</groupName>
      <ability>L2_HalfPunc</ability>
      <abilityName>全半角检查</abilityName>
      <candidateList>
        <item>〈</item>
      </candidateList>
      <explain>文本全半角错误。</explain>
      <paraID>3327F171</paraID>
      <start>11</start>
      <end>12</end>
      <status>unmodified</status>
      <modifiedWord/>
      <trackRevisions>false</trackRevisions>
    </reviewItem>
    <reviewItem>
      <errorID>38d42695-986a-4aa1-858b-0bf039628ed4</errorID>
      <errorWord>&gt;的通知》</errorWord>
      <group>L1_Punc</group>
      <groupName>标点问题</groupName>
      <ability>L2_Punc</ability>
      <abilityName>标点符号检查</abilityName>
      <candidateList>
        <item>〉的通知》</item>
      </candidateList>
      <explain/>
      <paraID>3327F171</paraID>
      <start>37</start>
      <end>42</end>
      <status>unmodified</status>
      <modifiedWord/>
      <trackRevisions>false</trackRevisions>
    </reviewItem>
    <reviewItem>
      <errorID>f6ddef2a-9b46-445d-818b-7b7cb1532470</errorID>
      <errorWord>&lt;</errorWord>
      <group>L1_Format</group>
      <groupName>格式问题</groupName>
      <ability>L2_HalfPunc</ability>
      <abilityName>全半角检查</abilityName>
      <candidateList>
        <item>〈</item>
      </candidateList>
      <explain>文本全半角错误。</explain>
      <paraID>4DCD903D</paraID>
      <start>11</start>
      <end>12</end>
      <status>unmodified</status>
      <modifiedWord/>
      <trackRevisions>false</trackRevisions>
    </reviewItem>
    <reviewItem>
      <errorID>4d795966-bb8f-48a0-bb53-6a5f1f4d3409</errorID>
      <errorWord>&gt;的通知》</errorWord>
      <group>L1_Punc</group>
      <groupName>标点问题</groupName>
      <ability>L2_Punc</ability>
      <abilityName>标点符号检查</abilityName>
      <candidateList>
        <item>〉的通知》</item>
      </candidateList>
      <explain/>
      <paraID>4DCD903D</paraID>
      <start>29</start>
      <end>34</end>
      <status>unmodified</status>
      <modifiedWord/>
      <trackRevisions>false</trackRevisions>
    </reviewItem>
    <reviewItem>
      <errorID>31d631eb-49f0-4b07-bc94-7a66c6fedb42</errorID>
      <errorWord>]</errorWord>
      <group>L1_Punc</group>
      <groupName>标点问题</groupName>
      <ability>L2_Punc</ability>
      <abilityName>标点符号检查</abilityName>
      <candidateList>
        <item>〕</item>
      </candidateList>
      <explain/>
      <paraID> 9473DB3</paraID>
      <start>28</start>
      <end>29</end>
      <status>unmodified</status>
      <modifiedWord/>
      <trackRevisions>false</trackRevisions>
    </reviewItem>
    <reviewItem>
      <errorID>29cf47ce-62c7-44a6-97f1-c0e29814e6f7</errorID>
      <errorWord>]</errorWord>
      <group>L1_Punc</group>
      <groupName>标点问题</groupName>
      <ability>L2_Punc</ability>
      <abilityName>标点符号检查</abilityName>
      <candidateList>
        <item>〕</item>
      </candidateList>
      <explain/>
      <paraID>5709C5C2</paraID>
      <start>35</start>
      <end>36</end>
      <status>unmodified</status>
      <modifiedWord/>
      <trackRevisions>false</trackRevisions>
    </reviewItem>
    <reviewItem>
      <errorID>6290b176-c0e5-4325-a43e-5cf167d454d2</errorID>
      <errorWord>]</errorWord>
      <group>L1_Punc</group>
      <groupName>标点问题</groupName>
      <ability>L2_Punc</ability>
      <abilityName>标点符号检查</abilityName>
      <candidateList>
        <item>〕</item>
      </candidateList>
      <explain/>
      <paraID>330D01E3</paraID>
      <start>37</start>
      <end>38</end>
      <status>unmodified</status>
      <modifiedWord/>
      <trackRevisions>false</trackRevisions>
    </reviewItem>
    <reviewItem>
      <errorID>a1e6a5d1-ba12-4053-b440-009c5fbdecfe</errorID>
      <errorWord>]</errorWord>
      <group>L1_Punc</group>
      <groupName>标点问题</groupName>
      <ability>L2_Punc</ability>
      <abilityName>标点符号检查</abilityName>
      <candidateList>
        <item>〕</item>
      </candidateList>
      <explain/>
      <paraID>5B8BE712</paraID>
      <start>33</start>
      <end>34</end>
      <status>unmodified</status>
      <modifiedWord/>
      <trackRevisions>false</trackRevisions>
    </reviewItem>
    <reviewItem>
      <errorID>cc3fa85f-4f76-49db-aaf1-b2fda4cf80fb</errorID>
      <errorWord>]</errorWord>
      <group>L1_Punc</group>
      <groupName>标点问题</groupName>
      <ability>L2_Punc</ability>
      <abilityName>标点符号检查</abilityName>
      <candidateList>
        <item>〕</item>
      </candidateList>
      <explain/>
      <paraID>63647CE5</paraID>
      <start>55</start>
      <end>56</end>
      <status>unmodified</status>
      <modifiedWord/>
      <trackRevisions>false</trackRevisions>
    </reviewItem>
    <reviewItem>
      <errorID>8553fc12-3b06-46c3-b0f0-f7cb27d683f9</errorID>
      <errorWord>]</errorWord>
      <group>L1_Punc</group>
      <groupName>标点问题</groupName>
      <ability>L2_Punc</ability>
      <abilityName>标点符号检查</abilityName>
      <candidateList>
        <item>〕</item>
      </candidateList>
      <explain/>
      <paraID>50CC9945</paraID>
      <start>40</start>
      <end>41</end>
      <status>unmodified</status>
      <modifiedWord/>
      <trackRevisions>false</trackRevisions>
    </reviewItem>
    <reviewItem>
      <errorID>f59321fa-6cea-424b-a116-1f931c552a01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53DFBD32</paraID>
      <start>21</start>
      <end>22</end>
      <status>unmodified</status>
      <modifiedWord/>
      <trackRevisions>false</trackRevisions>
    </reviewItem>
    <reviewItem>
      <errorID>33a60cf5-a219-4a5d-9b2a-fde3ab84a6a7</errorID>
      <errorWord>]</errorWord>
      <group>L1_Punc</group>
      <groupName>标点问题</groupName>
      <ability>L2_Punc</ability>
      <abilityName>标点符号检查</abilityName>
      <candidateList>
        <item>〕</item>
      </candidateList>
      <explain/>
      <paraID>12229CDD</paraID>
      <start>42</start>
      <end>43</end>
      <status>unmodified</status>
      <modifiedWord/>
      <trackRevisions>false</trackRevisions>
    </reviewItem>
    <reviewItem>
      <errorID>a26600d6-1dea-4357-a71f-dcdb3fc58c02</errorID>
      <errorWord>]</errorWord>
      <group>L1_Punc</group>
      <groupName>标点问题</groupName>
      <ability>L2_Punc</ability>
      <abilityName>标点符号检查</abilityName>
      <candidateList>
        <item>〕</item>
      </candidateList>
      <explain/>
      <paraID>7DBA2AC7</paraID>
      <start>35</start>
      <end>36</end>
      <status>unmodified</status>
      <modifiedWord/>
      <trackRevisions>false</trackRevisions>
    </reviewItem>
    <reviewItem>
      <errorID>857fa74a-479d-4b8c-931d-5aef0f692e78</errorID>
      <errorWord>]</errorWord>
      <group>L1_Punc</group>
      <groupName>标点问题</groupName>
      <ability>L2_Punc</ability>
      <abilityName>标点符号检查</abilityName>
      <candidateList>
        <item>〕</item>
      </candidateList>
      <explain/>
      <paraID>6384B11D</paraID>
      <start>38</start>
      <end>39</end>
      <status>unmodified</status>
      <modifiedWord/>
      <trackRevisions>false</trackRevisions>
    </reviewItem>
    <reviewItem>
      <errorID>eaa45e0f-d626-4231-911e-48a2e33c2552</errorID>
      <errorWord>]</errorWord>
      <group>L1_Punc</group>
      <groupName>标点问题</groupName>
      <ability>L2_Punc</ability>
      <abilityName>标点符号检查</abilityName>
      <candidateList>
        <item>〕</item>
      </candidateList>
      <explain/>
      <paraID>2D7166F8</paraID>
      <start>34</start>
      <end>35</end>
      <status>unmodified</status>
      <modifiedWord/>
      <trackRevisions>false</trackRevisions>
    </reviewItem>
    <reviewItem>
      <errorID>df23146d-c714-4266-81d4-100b0ea5b8be</errorID>
      <errorWord>]</errorWord>
      <group>L1_Punc</group>
      <groupName>标点问题</groupName>
      <ability>L2_Punc</ability>
      <abilityName>标点符号检查</abilityName>
      <candidateList>
        <item>〕</item>
      </candidateList>
      <explain/>
      <paraID>1757E697</paraID>
      <start>37</start>
      <end>38</end>
      <status>unmodified</status>
      <modifiedWord/>
      <trackRevisions>false</trackRevisions>
    </reviewItem>
    <reviewItem>
      <errorID>42f8bc59-e067-47d9-a1a8-1798ac3e8547</errorID>
      <errorWord>]</errorWord>
      <group>L1_Punc</group>
      <groupName>标点问题</groupName>
      <ability>L2_Punc</ability>
      <abilityName>标点符号检查</abilityName>
      <candidateList>
        <item>〕</item>
      </candidateList>
      <explain/>
      <paraID>162AEEDC</paraID>
      <start>33</start>
      <end>34</end>
      <status>unmodified</status>
      <modifiedWord/>
      <trackRevisions>false</trackRevisions>
    </reviewItem>
    <reviewItem>
      <errorID>3faaeab9-b8ec-4966-acd0-f1b8668ff466</errorID>
      <errorWord>]</errorWord>
      <group>L1_Punc</group>
      <groupName>标点问题</groupName>
      <ability>L2_Punc</ability>
      <abilityName>标点符号检查</abilityName>
      <candidateList>
        <item>〕</item>
      </candidateList>
      <explain/>
      <paraID> 11B018B</paraID>
      <start>34</start>
      <end>35</end>
      <status>unmodified</status>
      <modifiedWord/>
      <trackRevisions>false</trackRevisions>
    </reviewItem>
    <reviewItem>
      <errorID>73449ca9-0375-44ae-bfb6-dc2c802c48c2</errorID>
      <errorWord>]</errorWord>
      <group>L1_Punc</group>
      <groupName>标点问题</groupName>
      <ability>L2_Punc</ability>
      <abilityName>标点符号检查</abilityName>
      <candidateList>
        <item>〕</item>
      </candidateList>
      <explain/>
      <paraID>1334BD19</paraID>
      <start>34</start>
      <end>35</end>
      <status>unmodified</status>
      <modifiedWord/>
      <trackRevisions>false</trackRevisions>
    </reviewItem>
    <reviewItem>
      <errorID>f4e46427-ed08-4ae3-91c3-61dcdd10d9cd</errorID>
      <errorWord>&lt;</errorWord>
      <group>L1_Format</group>
      <groupName>格式问题</groupName>
      <ability>L2_HalfPunc</ability>
      <abilityName>全半角检查</abilityName>
      <candidateList>
        <item>〈</item>
      </candidateList>
      <explain>文本全半角错误。</explain>
      <paraID>56C566F2</paraID>
      <start>5</start>
      <end>6</end>
      <status>unmodified</status>
      <modifiedWord/>
      <trackRevisions>false</trackRevisions>
    </reviewItem>
    <reviewItem>
      <errorID>c90f203d-45f1-4f3b-8410-1c60b9e0651b</errorID>
      <errorWord>&gt;的通知》</errorWord>
      <group>L1_Punc</group>
      <groupName>标点问题</groupName>
      <ability>L2_Punc</ability>
      <abilityName>标点符号检查</abilityName>
      <candidateList>
        <item>〉的通知》</item>
      </candidateList>
      <explain/>
      <paraID>56C566F2</paraID>
      <start>28</start>
      <end>33</end>
      <status>unmodified</status>
      <modifiedWord/>
      <trackRevisions>false</trackRevisions>
    </reviewItem>
    <reviewItem>
      <errorID>164764e3-103f-4f35-ac33-c3efe5955401</errorID>
      <errorWord>]</errorWord>
      <group>L1_Punc</group>
      <groupName>标点问题</groupName>
      <ability>L2_Punc</ability>
      <abilityName>标点符号检查</abilityName>
      <candidateList>
        <item>〕</item>
      </candidateList>
      <explain/>
      <paraID>56C566F2</paraID>
      <start>42</start>
      <end>43</end>
      <status>unmodified</status>
      <modifiedWord/>
      <trackRevisions>false</trackRevisions>
    </reviewItem>
    <reviewItem>
      <errorID>86dd9334-c7f1-4436-80a0-1e350e26ca59</errorID>
      <errorWord>]</errorWord>
      <group>L1_Punc</group>
      <groupName>标点问题</groupName>
      <ability>L2_Punc</ability>
      <abilityName>标点符号检查</abilityName>
      <candidateList>
        <item>〕</item>
      </candidateList>
      <explain/>
      <paraID>5E14F432</paraID>
      <start>41</start>
      <end>42</end>
      <status>unmodified</status>
      <modifiedWord/>
      <trackRevisions>false</trackRevisions>
    </reviewItem>
    <reviewItem>
      <errorID>7db04133-da85-470f-9b8e-40e041512842</errorID>
      <errorWord>&lt;</errorWord>
      <group>L1_Format</group>
      <groupName>格式问题</groupName>
      <ability>L2_HalfPunc</ability>
      <abilityName>全半角检查</abilityName>
      <candidateList>
        <item>〈</item>
      </candidateList>
      <explain>文本全半角错误。</explain>
      <paraID>7691504A</paraID>
      <start>11</start>
      <end>12</end>
      <status>unmodified</status>
      <modifiedWord/>
      <trackRevisions>false</trackRevisions>
    </reviewItem>
    <reviewItem>
      <errorID>6a18becd-9643-4609-a45a-50874c73d50c</errorID>
      <errorWord>&gt;的通知》</errorWord>
      <group>L1_Punc</group>
      <groupName>标点问题</groupName>
      <ability>L2_Punc</ability>
      <abilityName>标点符号检查</abilityName>
      <candidateList>
        <item>〉的通知》</item>
      </candidateList>
      <explain/>
      <paraID>7691504A</paraID>
      <start>32</start>
      <end>37</end>
      <status>unmodified</status>
      <modifiedWord/>
      <trackRevisions>false</trackRevisions>
    </reviewItem>
    <reviewItem>
      <errorID>8df5f763-d018-495d-a889-e3c180997252</errorID>
      <errorWord>]</errorWord>
      <group>L1_Punc</group>
      <groupName>标点问题</groupName>
      <ability>L2_Punc</ability>
      <abilityName>标点符号检查</abilityName>
      <candidateList>
        <item>〕</item>
      </candidateList>
      <explain/>
      <paraID>7691504A</paraID>
      <start>47</start>
      <end>48</end>
      <status>unmodified</status>
      <modifiedWord/>
      <trackRevisions>false</trackRevisions>
    </reviewItem>
    <reviewItem>
      <errorID>608ff319-a1dc-4515-9038-8632c559f67a</errorID>
      <errorWord>]</errorWord>
      <group>L1_Punc</group>
      <groupName>标点问题</groupName>
      <ability>L2_Punc</ability>
      <abilityName>标点符号检查</abilityName>
      <candidateList>
        <item>〕</item>
      </candidateList>
      <explain/>
      <paraID>220E0745</paraID>
      <start>48</start>
      <end>49</end>
      <status>unmodified</status>
      <modifiedWord/>
      <trackRevisions>false</trackRevisions>
    </reviewItem>
    <reviewItem>
      <errorID>27a8e1ea-fbf6-4376-9ce3-6dd45f818ff7</errorID>
      <errorWord>&lt;</errorWord>
      <group>L1_Format</group>
      <groupName>格式问题</groupName>
      <ability>L2_HalfPunc</ability>
      <abilityName>全半角检查</abilityName>
      <candidateList>
        <item>〈</item>
      </candidateList>
      <explain>文本全半角错误。</explain>
      <paraID>670579C0</paraID>
      <start>5</start>
      <end>6</end>
      <status>unmodified</status>
      <modifiedWord/>
      <trackRevisions>false</trackRevisions>
    </reviewItem>
    <reviewItem>
      <errorID>4d2803f8-a88a-4d64-9b1a-90c34f9307fe</errorID>
      <errorWord>&gt;的通知》</errorWord>
      <group>L1_Punc</group>
      <groupName>标点问题</groupName>
      <ability>L2_Punc</ability>
      <abilityName>标点符号检查</abilityName>
      <candidateList>
        <item>〉的通知》</item>
      </candidateList>
      <explain/>
      <paraID>670579C0</paraID>
      <start>27</start>
      <end>32</end>
      <status>unmodified</status>
      <modifiedWord/>
      <trackRevisions>false</trackRevisions>
    </reviewItem>
    <reviewItem>
      <errorID>e9310e2d-060e-4ee7-b72d-4c1278064d4b</errorID>
      <errorWord>]</errorWord>
      <group>L1_Punc</group>
      <groupName>标点问题</groupName>
      <ability>L2_Punc</ability>
      <abilityName>标点符号检查</abilityName>
      <candidateList>
        <item>〕</item>
      </candidateList>
      <explain/>
      <paraID>670579C0</paraID>
      <start>42</start>
      <end>43</end>
      <status>unmodified</status>
      <modifiedWord/>
      <trackRevisions>false</trackRevisions>
    </reviewItem>
    <reviewItem>
      <errorID>493777da-0008-4dd6-acdf-380c717ec169</errorID>
      <errorWord>]</errorWord>
      <group>L1_Punc</group>
      <groupName>标点问题</groupName>
      <ability>L2_Punc</ability>
      <abilityName>标点符号检查</abilityName>
      <candidateList>
        <item>〕</item>
      </candidateList>
      <explain/>
      <paraID> C4D2AB4</paraID>
      <start>41</start>
      <end>42</end>
      <status>unmodified</status>
      <modifiedWord/>
      <trackRevisions>false</trackRevisions>
    </reviewItem>
    <reviewItem>
      <errorID>fbb4fe42-af32-4fdc-9e06-8e354eedacb4</errorID>
      <errorWord>]</errorWord>
      <group>L1_Punc</group>
      <groupName>标点问题</groupName>
      <ability>L2_Punc</ability>
      <abilityName>标点符号检查</abilityName>
      <candidateList>
        <item>〕</item>
      </candidateList>
      <explain/>
      <paraID>76471012</paraID>
      <start>35</start>
      <end>36</end>
      <status>unmodified</status>
      <modifiedWord/>
      <trackRevisions>false</trackRevisions>
    </reviewItem>
    <reviewItem>
      <errorID>dcb78151-5e01-4d64-99ed-b9c042138256</errorID>
      <errorWord>]</errorWord>
      <group>L1_Punc</group>
      <groupName>标点问题</groupName>
      <ability>L2_Punc</ability>
      <abilityName>标点符号检查</abilityName>
      <candidateList>
        <item>〕</item>
      </candidateList>
      <explain/>
      <paraID>6B1B5F17</paraID>
      <start>44</start>
      <end>45</end>
      <status>unmodified</status>
      <modifiedWord/>
      <trackRevisions>false</trackRevisions>
    </reviewItem>
    <reviewItem>
      <errorID>77b299db-52aa-48fb-8a43-2bcdf2ca4523</errorID>
      <errorWord>]</errorWord>
      <group>L1_Punc</group>
      <groupName>标点问题</groupName>
      <ability>L2_Punc</ability>
      <abilityName>标点符号检查</abilityName>
      <candidateList>
        <item>〕</item>
      </candidateList>
      <explain/>
      <paraID>4AA2A6B8</paraID>
      <start>47</start>
      <end>48</end>
      <status>unmodified</status>
      <modifiedWord/>
      <trackRevisions>false</trackRevisions>
    </reviewItem>
    <reviewItem>
      <errorID>08aa395e-047c-49f8-9227-098e336ec2d1</errorID>
      <errorWord>]</errorWord>
      <group>L1_Punc</group>
      <groupName>标点问题</groupName>
      <ability>L2_Punc</ability>
      <abilityName>标点符号检查</abilityName>
      <candidateList>
        <item>〕</item>
      </candidateList>
      <explain/>
      <paraID>7570A2A8</paraID>
      <start>37</start>
      <end>38</end>
      <status>unmodified</status>
      <modifiedWord/>
      <trackRevisions>false</trackRevisions>
    </reviewItem>
    <reviewItem>
      <errorID>666eac95-9329-40f0-ae6d-cfe975fe1f01</errorID>
      <errorWord>&lt;</errorWord>
      <group>L1_Format</group>
      <groupName>格式问题</groupName>
      <ability>L2_HalfPunc</ability>
      <abilityName>全半角检查</abilityName>
      <candidateList>
        <item>〈</item>
      </candidateList>
      <explain>文本全半角错误。</explain>
      <paraID>5DFC1197</paraID>
      <start>5</start>
      <end>6</end>
      <status>unmodified</status>
      <modifiedWord/>
      <trackRevisions>false</trackRevisions>
    </reviewItem>
    <reviewItem>
      <errorID>c8f1961b-262f-47fe-8f26-d46eef9f944f</errorID>
      <errorWord>&gt;的通知》</errorWord>
      <group>L1_Punc</group>
      <groupName>标点问题</groupName>
      <ability>L2_Punc</ability>
      <abilityName>标点符号检查</abilityName>
      <candidateList>
        <item>〉的通知》</item>
      </candidateList>
      <explain/>
      <paraID>5DFC1197</paraID>
      <start>23</start>
      <end>28</end>
      <status>unmodified</status>
      <modifiedWord/>
      <trackRevisions>false</trackRevisions>
    </reviewItem>
    <reviewItem>
      <errorID>f2f23f02-1544-4d7d-866b-21b73ec848fc</errorID>
      <errorWord>]</errorWord>
      <group>L1_Punc</group>
      <groupName>标点问题</groupName>
      <ability>L2_Punc</ability>
      <abilityName>标点符号检查</abilityName>
      <candidateList>
        <item>〕</item>
      </candidateList>
      <explain/>
      <paraID>5DFC1197</paraID>
      <start>36</start>
      <end>37</end>
      <status>unmodified</status>
      <modifiedWord/>
      <trackRevisions>false</trackRevisions>
    </reviewItem>
    <reviewItem>
      <errorID>e33d521f-a166-4194-a8de-4f22df1b8f43</errorID>
      <errorWord>]</errorWord>
      <group>L1_Punc</group>
      <groupName>标点问题</groupName>
      <ability>L2_Punc</ability>
      <abilityName>标点符号检查</abilityName>
      <candidateList>
        <item>〕</item>
      </candidateList>
      <explain/>
      <paraID> C176B39</paraID>
      <start>39</start>
      <end>40</end>
      <status>unmodified</status>
      <modifiedWord/>
      <trackRevisions>false</trackRevisions>
    </reviewItem>
    <reviewItem>
      <errorID>69b102f2-d366-47a2-acd8-3dab53946142</errorID>
      <errorWord>]</errorWord>
      <group>L1_Punc</group>
      <groupName>标点问题</groupName>
      <ability>L2_Punc</ability>
      <abilityName>标点符号检查</abilityName>
      <candidateList>
        <item>〕</item>
      </candidateList>
      <explain/>
      <paraID>4D30C727</paraID>
      <start>42</start>
      <end>43</end>
      <status>unmodified</status>
      <modifiedWord/>
      <trackRevisions>false</trackRevisions>
    </reviewItem>
    <reviewItem>
      <errorID>29cf47ce-62c7-44a6-97f1-c0e29814e6f7</errorID>
      <errorWord>]</errorWord>
      <group>L1_Punc</group>
      <groupName>标点问题</groupName>
      <ability>L2_Punc</ability>
      <abilityName>标点符号检查</abilityName>
      <candidateList>
        <item>〕</item>
      </candidateList>
      <explain/>
      <paraID>3C570984</paraID>
      <start>35</start>
      <end>36</end>
      <status>unmodified</status>
      <modifiedWord/>
      <trackRevisions>false</trackRevisions>
    </reviewItem>
    <reviewItem>
      <errorID>6290b176-c0e5-4325-a43e-5cf167d454d2</errorID>
      <errorWord>]</errorWord>
      <group>L1_Punc</group>
      <groupName>标点问题</groupName>
      <ability>L2_Punc</ability>
      <abilityName>标点符号检查</abilityName>
      <candidateList>
        <item>〕</item>
      </candidateList>
      <explain/>
      <paraID>2A76F1E6</paraID>
      <start>37</start>
      <end>38</end>
      <status>unmodified</status>
      <modifiedWord/>
      <trackRevisions>false</trackRevisions>
    </reviewItem>
    <reviewItem>
      <errorID>59a97691-bb25-4ea9-af63-7fcd78b08bc5</errorID>
      <errorWord>]</errorWord>
      <group>L1_Punc</group>
      <groupName>标点问题</groupName>
      <ability>L2_Punc</ability>
      <abilityName>标点符号检查</abilityName>
      <candidateList>
        <item>〕</item>
      </candidateList>
      <explain/>
      <paraID>7CAED89D</paraID>
      <start>46</start>
      <end>47</end>
      <status>unmodified</status>
      <modifiedWord/>
      <trackRevisions>false</trackRevisions>
    </reviewItem>
    <reviewItem>
      <errorID>546bcff6-26af-4496-a9e7-2ba288257852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5525019B</paraID>
      <start>21</start>
      <end>22</end>
      <status>unmodified</status>
      <modifiedWord/>
      <trackRevisions>false</trackRevisions>
    </reviewItem>
    <reviewItem>
      <errorID>d3063088-7239-4671-8b1d-adb15fe1cd25</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 E67EFEF</paraID>
      <start>22</start>
      <end>24</end>
      <status>unmodified</status>
      <modifiedWord/>
      <trackRevisions>false</trackRevisions>
    </reviewItem>
    <reviewItem>
      <errorID>379e86c4-9127-4318-9b82-de5cd6213528</errorID>
      <errorWord>-</errorWord>
      <group>L1_Format</group>
      <groupName>格式问题</groupName>
      <ability>L2_HalfPunc</ability>
      <abilityName>全半角检查</abilityName>
      <candidateList>
        <item>－</item>
      </candidateList>
      <explain>文本全半角错误。</explain>
      <paraID>19777A07</paraID>
      <start>6</start>
      <end>7</end>
      <status>unmodified</status>
      <modifiedWord/>
      <trackRevisions>false</trackRevisions>
    </reviewItem>
    <reviewItem>
      <errorID>f88d6da8-c1cb-464f-a202-0c82724c08e6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19777A07</paraID>
      <start>41</start>
      <end>42</end>
      <status>unmodified</status>
      <modifiedWord/>
      <trackRevisions>false</trackRevisions>
    </reviewItem>
    <reviewItem>
      <errorID>779de467-a732-4929-b52d-12640a8a088b</errorID>
      <errorWord>"</errorWord>
      <group>L1_Format</group>
      <groupName>格式问题</groupName>
      <ability>L2_HalfPunc</ability>
      <abilityName>全半角检查</abilityName>
      <candidateList>
        <item>”</item>
      </candidateList>
      <explain>文本全半角错误。</explain>
      <paraID>19777A07</paraID>
      <start>43</start>
      <end>44</end>
      <status>unmodified</status>
      <modifiedWord/>
      <trackRevisions>false</trackRevisions>
    </reviewItem>
    <reviewItem>
      <errorID>28003198-deca-4dda-b00a-eea5a0fe6e3e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19777A07</paraID>
      <start>52</start>
      <end>53</end>
      <status>unmodified</status>
      <modifiedWord/>
      <trackRevisions>false</trackRevisions>
    </reviewItem>
    <reviewItem>
      <errorID>b91435ed-9457-4c7d-a87f-fe17b5a897f4</errorID>
      <errorWord>"</errorWord>
      <group>L1_Format</group>
      <groupName>格式问题</groupName>
      <ability>L2_HalfPunc</ability>
      <abilityName>全半角检查</abilityName>
      <candidateList>
        <item>”</item>
      </candidateList>
      <explain>文本全半角错误。</explain>
      <paraID>19777A07</paraID>
      <start>54</start>
      <end>55</end>
      <status>unmodified</status>
      <modifiedWord/>
      <trackRevisions>false</trackRevisions>
    </reviewItem>
    <reviewItem>
      <errorID>43e65bb8-f6b5-454b-9876-17844548ae11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19777A07</paraID>
      <start>63</start>
      <end>64</end>
      <status>unmodified</status>
      <modifiedWord/>
      <trackRevisions>false</trackRevisions>
    </reviewItem>
    <reviewItem>
      <errorID>f1b6e7f8-15d5-4a01-913a-2dd2ae683ff1</errorID>
      <errorWord>"</errorWord>
      <group>L1_Format</group>
      <groupName>格式问题</groupName>
      <ability>L2_HalfPunc</ability>
      <abilityName>全半角检查</abilityName>
      <candidateList>
        <item>”</item>
      </candidateList>
      <explain>文本全半角错误。</explain>
      <paraID>19777A07</paraID>
      <start>65</start>
      <end>66</end>
      <status>unmodified</status>
      <modifiedWord/>
      <trackRevisions>false</trackRevisions>
    </reviewItem>
    <reviewItem>
      <errorID>3909452a-32a0-4d13-8600-6f16940a1233</errorID>
      <errorWord>（</errorWord>
      <group>L1_Punc</group>
      <groupName>标点问题</groupName>
      <ability>L2_Punc</ability>
      <abilityName>标点符号检查</abilityName>
      <candidateList/>
      <explain>同一形式括号套用。</explain>
      <paraID>494FF877</paraID>
      <start>22</start>
      <end>23</end>
      <status>unmodified</status>
      <modifiedWord/>
      <trackRevisions>false</trackRevisions>
    </reviewItem>
    <reviewItem>
      <errorID>af0094c7-7432-4d76-b8dd-8f32cf44e4d9</errorID>
      <errorWord>）</errorWord>
      <group>L1_Punc</group>
      <groupName>标点问题</groupName>
      <ability>L2_Punc</ability>
      <abilityName>标点符号检查</abilityName>
      <candidateList/>
      <explain>同一形式括号套用。</explain>
      <paraID>494FF877</paraID>
      <start>25</start>
      <end>26</end>
      <status>unmodified</status>
      <modifiedWord/>
      <trackRevisions>false</trackRevisions>
    </reviewItem>
    <reviewItem>
      <errorID>aa92ebfd-28b6-47ed-b039-ae8cbd94d5eb</errorID>
      <errorWord>&lt;</errorWord>
      <group>L1_Format</group>
      <groupName>格式问题</groupName>
      <ability>L2_HalfPunc</ability>
      <abilityName>全半角检查</abilityName>
      <candidateList>
        <item>〈</item>
      </candidateList>
      <explain>文本全半角错误。</explain>
      <paraID>70F02BA4</paraID>
      <start>52</start>
      <end>53</end>
      <status>unmodified</status>
      <modifiedWord/>
      <trackRevisions>false</trackRevisions>
    </reviewItem>
    <reviewItem>
      <errorID>ca218962-b84a-42c8-80e9-84ad47033289</errorID>
      <errorWord>&gt;的通知》</errorWord>
      <group>L1_Punc</group>
      <groupName>标点问题</groupName>
      <ability>L2_Punc</ability>
      <abilityName>标点符号检查</abilityName>
      <candidateList>
        <item>〉的通知》</item>
      </candidateList>
      <explain/>
      <paraID>70F02BA4</paraID>
      <start>79</start>
      <end>84</end>
      <status>unmodified</status>
      <modifiedWord/>
      <trackRevisions>false</trackRevisions>
    </reviewItem>
    <reviewItem>
      <errorID>78a8d006-2afe-401a-a420-1e7ca42a2725</errorID>
      <errorWord>]</errorWord>
      <group>L1_Punc</group>
      <groupName>标点问题</groupName>
      <ability>L2_Punc</ability>
      <abilityName>标点符号检查</abilityName>
      <candidateList>
        <item>〕</item>
      </candidateList>
      <explain/>
      <paraID>70F02BA4</paraID>
      <start>93</start>
      <end>94</end>
      <status>unmodified</status>
      <modifiedWord/>
      <trackRevisions>false</trackRevisions>
    </reviewItem>
    <reviewItem>
      <errorID>9d36c092-a664-4934-9650-f6f10c074b79</errorID>
      <errorWord>IV类</errorWord>
      <group>L1_Knowledge</group>
      <groupName>知识性问题</groupName>
      <ability>L2_Knowledge</ability>
      <abilityName>其他知识</abilityName>
      <candidateList>
        <item>Ⅳ类</item>
      </candidateList>
      <explain/>
      <paraID>70F02BA4</paraID>
      <start>121</start>
      <end>124</end>
      <status>unmodified</status>
      <modifiedWord/>
      <trackRevisions>false</trackRevisions>
    </reviewItem>
    <reviewItem>
      <errorID>004daaee-f052-4877-8df2-6cee09850fc2</errorID>
      <errorWord>IV类</errorWord>
      <group>L1_Knowledge</group>
      <groupName>知识性问题</groupName>
      <ability>L2_Knowledge</ability>
      <abilityName>其他知识</abilityName>
      <candidateList>
        <item>Ⅳ类</item>
      </candidateList>
      <explain/>
      <paraID>5D8921FE</paraID>
      <start>0</start>
      <end>3</end>
      <status>unmodified</status>
      <modifiedWord/>
      <trackRevisions>false</trackRevisions>
    </reviewItem>
    <reviewItem>
      <errorID>109f0f03-e67b-42d2-a767-395f17796c52</errorID>
      <errorWord>（</errorWord>
      <group>L1_Format</group>
      <groupName>格式问题</groupName>
      <ability>L2_HalfPunc</ability>
      <abilityName>全半角检查</abilityName>
      <candidateList>
        <item>(</item>
      </candidateList>
      <explain>文本全半角错误。</explain>
      <paraID> 203CB85</paraID>
      <start>2</start>
      <end>3</end>
      <status>unmodified</status>
      <modifiedWord/>
      <trackRevisions>false</trackRevisions>
    </reviewItem>
    <reviewItem>
      <errorID>45b663ca-42a4-4651-9c58-a56571d2b996</errorID>
      <errorWord>）</errorWord>
      <group>L1_Format</group>
      <groupName>格式问题</groupName>
      <ability>L2_HalfPunc</ability>
      <abilityName>全半角检查</abilityName>
      <candidateList>
        <item>)</item>
      </candidateList>
      <explain>文本全半角错误。</explain>
      <paraID> 203CB85</paraID>
      <start>4</start>
      <end>5</end>
      <status>unmodified</status>
      <modifiedWord/>
      <trackRevisions>false</trackRevisions>
    </reviewItem>
    <reviewItem>
      <errorID>ba127a36-2eee-4a25-9480-c28be1272140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644BF216</paraID>
      <start>0</start>
      <end>2</end>
      <status>unmodified</status>
      <modifiedWord/>
      <trackRevisions>false</trackRevisions>
    </reviewItem>
    <reviewItem>
      <errorID>bcad5303-6161-486a-9637-7b531e4deabe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4273FA34</paraID>
      <start>0</start>
      <end>2</end>
      <status>unmodified</status>
      <modifiedWord/>
      <trackRevisions>false</trackRevisions>
    </reviewItem>
    <reviewItem>
      <errorID>b973ac75-8f25-4b4c-8d5a-9737c335de8c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307998D</paraID>
      <start>0</start>
      <end>2</end>
      <status>unmodified</status>
      <modifiedWord/>
      <trackRevisions>false</trackRevisions>
    </reviewItem>
    <reviewItem>
      <errorID>833c0413-54b6-4508-a635-ad805d83afae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25E90A7B</paraID>
      <start>0</start>
      <end>2</end>
      <status>unmodified</status>
      <modifiedWord/>
      <trackRevisions>false</trackRevisions>
    </reviewItem>
    <reviewItem>
      <errorID>b9c7214b-3d3b-485a-a508-ebb0898e73ff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7B72250</paraID>
      <start>0</start>
      <end>2</end>
      <status>unmodified</status>
      <modifiedWord/>
      <trackRevisions>false</trackRevisions>
    </reviewItem>
    <reviewItem>
      <errorID>771be344-e9a8-45cd-8bc5-1f16f420715f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44F8126A</paraID>
      <start>0</start>
      <end>2</end>
      <status>unmodified</status>
      <modifiedWord/>
      <trackRevisions>false</trackRevisions>
    </reviewItem>
    <reviewItem>
      <errorID>90fe2cb9-aaac-4fc7-a2e7-83b8a5d4af3e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7278D52</paraID>
      <start>0</start>
      <end>2</end>
      <status>unmodified</status>
      <modifiedWord/>
      <trackRevisions>false</trackRevisions>
    </reviewItem>
    <reviewItem>
      <errorID>ec19cb91-3324-4991-8d53-b2689a3ee555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70FAA238</paraID>
      <start>0</start>
      <end>2</end>
      <status>unmodified</status>
      <modifiedWord/>
      <trackRevisions>false</trackRevisions>
    </reviewItem>
    <reviewItem>
      <errorID>ecf4ffd6-0017-4e71-ac78-b720c0e8b0ac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192CA0AA</paraID>
      <start>0</start>
      <end>2</end>
      <status>unmodified</status>
      <modifiedWord/>
      <trackRevisions>false</trackRevisions>
    </reviewItem>
    <reviewItem>
      <errorID>a68f88cf-2547-47d2-a3cd-65f0fedc98ee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4DE66A7B</paraID>
      <start>0</start>
      <end>2</end>
      <status>unmodified</status>
      <modifiedWord/>
      <trackRevisions>false</trackRevisions>
    </reviewItem>
    <reviewItem>
      <errorID>a59a196d-58de-4ed2-9f4c-80d5a4427064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52198D16</paraID>
      <start>0</start>
      <end>2</end>
      <status>unmodified</status>
      <modifiedWord/>
      <trackRevisions>false</trackRevisions>
    </reviewItem>
    <reviewItem>
      <errorID>ca944cd1-37b0-4c90-8174-a96305540ece</errorID>
      <errorWord>，</errorWord>
      <group>L1_Format</group>
      <groupName>格式问题</groupName>
      <ability>L2_HalfPunc</ability>
      <abilityName>全半角检查</abilityName>
      <candidateList>
        <item>,</item>
      </candidateList>
      <explain>文本全半角错误。</explain>
      <paraID> EA268D3</paraID>
      <start>8</start>
      <end>9</end>
      <status>unmodified</status>
      <modifiedWord/>
      <trackRevisions>false</trackRevisions>
    </reviewItem>
    <reviewItem>
      <errorID>5ee57bb9-46df-449b-9067-22df8b161414</errorID>
      <errorWord>IV类</errorWord>
      <group>L1_Knowledge</group>
      <groupName>知识性问题</groupName>
      <ability>L2_Knowledge</ability>
      <abilityName>其他知识</abilityName>
      <candidateList>
        <item>Ⅳ类</item>
      </candidateList>
      <explain/>
      <paraID>5A34DF9C</paraID>
      <start>37</start>
      <end>40</end>
      <status>unmodified</status>
      <modifiedWord/>
      <trackRevisions>false</trackRevisions>
    </reviewItem>
    <reviewItem>
      <errorID>36454044-5431-4bc9-bc43-c8c8c8508a02</errorID>
      <errorWord>详细</errorWord>
      <group>L1_Word</group>
      <groupName>字词问题</groupName>
      <ability>L2_Typo</ability>
      <abilityName>字词错误</abilityName>
      <candidateList>
        <item>详</item>
      </candidateList>
      <explain/>
      <paraID>5A34DF9C</paraID>
      <start>50</start>
      <end>52</end>
      <status>unmodified</status>
      <modifiedWord/>
      <trackRevisions>false</trackRevisions>
    </reviewItem>
    <reviewItem>
      <errorID>1c2e18f4-6858-4c81-8b6f-8fcceebee141</errorID>
      <errorWord>II</errorWord>
      <group>L1_Knowledge</group>
      <groupName>知识性问题</groupName>
      <ability>L2_Knowledge</ability>
      <abilityName>其他知识</abilityName>
      <candidateList>
        <item>Ⅱ</item>
      </candidateList>
      <explain/>
      <paraID> CD2FC55</paraID>
      <start>16</start>
      <end>18</end>
      <status>unmodified</status>
      <modifiedWord/>
      <trackRevisions>false</trackRevisions>
    </reviewItem>
    <reviewItem>
      <errorID>64b0ab3f-ed18-4fe8-b109-014979a29f81</errorID>
      <errorWord>III</errorWord>
      <group>L1_Knowledge</group>
      <groupName>知识性问题</groupName>
      <ability>L2_Knowledge</ability>
      <abilityName>其他知识</abilityName>
      <candidateList>
        <item>Ⅲ</item>
      </candidateList>
      <explain/>
      <paraID>569EB3F6</paraID>
      <start>16</start>
      <end>19</end>
      <status>unmodified</status>
      <modifiedWord/>
      <trackRevisions>false</trackRevisions>
    </reviewItem>
    <reviewItem>
      <errorID>ceef883f-fda2-46ef-81d5-e8da70cecc1b</errorID>
      <errorWord>IV</errorWord>
      <group>L1_Knowledge</group>
      <groupName>知识性问题</groupName>
      <ability>L2_Knowledge</ability>
      <abilityName>其他知识</abilityName>
      <candidateList>
        <item>Ⅳ</item>
      </candidateList>
      <explain/>
      <paraID>758F04F5</paraID>
      <start>16</start>
      <end>18</end>
      <status>unmodified</status>
      <modifiedWord/>
      <trackRevisions>false</trackRevisions>
    </reviewItem>
    <reviewItem>
      <errorID>6491dce0-2f82-457a-918e-d2a3e6889761</errorID>
      <errorWord>～</errorWord>
      <group>L1_Format</group>
      <groupName>格式问题</groupName>
      <ability>L2_HalfPunc</ability>
      <abilityName>全半角检查</abilityName>
      <candidateList>
        <item>~</item>
      </candidateList>
      <explain>文本全半角错误。</explain>
      <paraID> C713109</paraID>
      <start>3</start>
      <end>4</end>
      <status>unmodified</status>
      <modifiedWord/>
      <trackRevisions>false</trackRevisions>
    </reviewItem>
    <reviewItem>
      <errorID>9ba8f3ba-ce15-4427-bb85-0feb9be55dd9</errorID>
      <errorWord>～</errorWord>
      <group>L1_Format</group>
      <groupName>格式问题</groupName>
      <ability>L2_HalfPunc</ability>
      <abilityName>全半角检查</abilityName>
      <candidateList>
        <item>~</item>
      </candidateList>
      <explain>文本全半角错误。</explain>
      <paraID>1200BE4A</paraID>
      <start>3</start>
      <end>4</end>
      <status>unmodified</status>
      <modifiedWord/>
      <trackRevisions>false</trackRevisions>
    </reviewItem>
    <reviewItem>
      <errorID>12254048-0492-4edb-b121-5c5fef8b30ab</errorID>
      <errorWord>，</errorWord>
      <group>L1_Format</group>
      <groupName>格式问题</groupName>
      <ability>L2_HalfPunc</ability>
      <abilityName>全半角检查</abilityName>
      <candidateList>
        <item>,</item>
      </candidateList>
      <explain>文本全半角错误。</explain>
      <paraID>1200BE4A</paraID>
      <start>7</start>
      <end>8</end>
      <status>unmodified</status>
      <modifiedWord/>
      <trackRevisions>false</trackRevisions>
    </reviewItem>
    <reviewItem>
      <errorID>3f5ab063-961b-4ae6-88fc-6fd1e44f848c</errorID>
      <errorWord>，＞</errorWord>
      <group>L1_Format</group>
      <groupName>格式问题</groupName>
      <ability>L2_HalfPunc</ability>
      <abilityName>全半角检查</abilityName>
      <candidateList>
        <item>,&gt;</item>
      </candidateList>
      <explain>文本全半角错误。</explain>
      <paraID>7D7CA34B</paraID>
      <start>4</start>
      <end>6</end>
      <status>unmodified</status>
      <modifiedWord/>
      <trackRevisions>false</trackRevisions>
    </reviewItem>
    <reviewItem>
      <errorID>b208b6e4-f693-46db-be02-d73e92ab06cf</errorID>
      <errorWord>&gt;</errorWord>
      <group>L1_Punc</group>
      <groupName>标点问题</groupName>
      <ability>L2_Punc</ability>
      <abilityName>标点符号检查</abilityName>
      <candidateList/>
      <explain/>
      <paraID>2C83A964</paraID>
      <start>0</start>
      <end>1</end>
      <status>unmodified</status>
      <modifiedWord/>
      <trackRevisions>false</trackRevisions>
    </reviewItem>
    <reviewItem>
      <errorID>7c8948eb-33b2-4126-9e09-b12bfc22e414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2A03DD2C</paraID>
      <start>0</start>
      <end>2</end>
      <status>unmodified</status>
      <modifiedWord/>
      <trackRevisions>false</trackRevisions>
    </reviewItem>
    <reviewItem>
      <errorID>f5ca07ce-2d48-4192-ad11-769eca45863d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5E20F7DA</paraID>
      <start>0</start>
      <end>2</end>
      <status>unmodified</status>
      <modifiedWord/>
      <trackRevisions>false</trackRevisions>
    </reviewItem>
    <reviewItem>
      <errorID>1fa6df12-bc8a-4d97-bb62-dc0b01cf2295</errorID>
      <errorWord>达</errorWord>
      <group>L1_Word</group>
      <groupName>字词问题</groupName>
      <ability>L2_Typo</ability>
      <abilityName>字词错误</abilityName>
      <candidateList>
        <item>达到</item>
      </candidateList>
      <explain>〈动〉到（多指抽象事物或程度）：达得到｜达不到｜目的没有～｜～国际水平。</explain>
      <paraID>6C8A4F07</paraID>
      <start>67</start>
      <end>68</end>
      <status>unmodified</status>
      <modifiedWord/>
      <trackRevisions>false</trackRevisions>
    </reviewItem>
    <reviewItem>
      <errorID>c60ce635-a673-48c0-9d88-de0eda1b7629</errorID>
      <errorWord>～</errorWord>
      <group>L1_Format</group>
      <groupName>格式问题</groupName>
      <ability>L2_HalfPunc</ability>
      <abilityName>全半角检查</abilityName>
      <candidateList>
        <item>~</item>
      </candidateList>
      <explain>文本全半角错误。</explain>
      <paraID>4429E621</paraID>
      <start>1</start>
      <end>2</end>
      <status>unmodified</status>
      <modifiedWord/>
      <trackRevisions>false</trackRevisions>
    </reviewItem>
    <reviewItem>
      <errorID>fa0e5795-541d-4860-85fe-89eac912cc55</errorID>
      <errorWord>（</errorWord>
      <group>L1_Format</group>
      <groupName>格式问题</groupName>
      <ability>L2_HalfPunc</ability>
      <abilityName>全半角检查</abilityName>
      <candidateList>
        <item>(</item>
      </candidateList>
      <explain>文本全半角错误。</explain>
      <paraID>62EC5D12</paraID>
      <start>3</start>
      <end>4</end>
      <status>unmodified</status>
      <modifiedWord/>
      <trackRevisions>false</trackRevisions>
    </reviewItem>
    <reviewItem>
      <errorID>9327c60e-5870-4deb-8bdc-9aaa22725505</errorID>
      <errorWord>）</errorWord>
      <group>L1_Format</group>
      <groupName>格式问题</groupName>
      <ability>L2_HalfPunc</ability>
      <abilityName>全半角检查</abilityName>
      <candidateList>
        <item>)</item>
      </candidateList>
      <explain>文本全半角错误。</explain>
      <paraID>62EC5D12</paraID>
      <start>5</start>
      <end>6</end>
      <status>unmodified</status>
      <modifiedWord/>
      <trackRevisions>false</trackRevisions>
    </reviewItem>
    <reviewItem>
      <errorID>30670cfa-1461-4d94-8b76-119b36b9d776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1661E584</paraID>
      <start>0</start>
      <end>2</end>
      <status>unmodified</status>
      <modifiedWord/>
      <trackRevisions>false</trackRevisions>
    </reviewItem>
    <reviewItem>
      <errorID>0af5d899-b556-4e58-83cd-cbdf4a7c02e2</errorID>
      <errorWord>（</errorWord>
      <group>L1_Punc</group>
      <groupName>标点问题</groupName>
      <ability>L2_Punc</ability>
      <abilityName>标点符号检查</abilityName>
      <candidateList/>
      <explain>同一形式括号套用。</explain>
      <paraID>29611FA2</paraID>
      <start>64</start>
      <end>65</end>
      <status>unmodified</status>
      <modifiedWord/>
      <trackRevisions>false</trackRevisions>
    </reviewItem>
    <reviewItem>
      <errorID>60581d64-2d6f-40e8-8c58-565cbbebc776</errorID>
      <errorWord>）</errorWord>
      <group>L1_Punc</group>
      <groupName>标点问题</groupName>
      <ability>L2_Punc</ability>
      <abilityName>标点符号检查</abilityName>
      <candidateList/>
      <explain>同一形式括号套用。</explain>
      <paraID>29611FA2</paraID>
      <start>66</start>
      <end>67</end>
      <status>unmodified</status>
      <modifiedWord/>
      <trackRevisions>false</trackRevisions>
    </reviewItem>
    <reviewItem>
      <errorID>ee4eea9c-0644-4699-a8a4-a4878183a892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2FB8E525</paraID>
      <start>0</start>
      <end>2</end>
      <status>unmodified</status>
      <modifiedWord/>
      <trackRevisions>false</trackRevisions>
    </reviewItem>
    <reviewItem>
      <errorID>cf353ebb-483e-4d3d-91c6-a2dc9ad4428a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7B773781</paraID>
      <start>0</start>
      <end>2</end>
      <status>unmodified</status>
      <modifiedWord/>
      <trackRevisions>false</trackRevisions>
    </reviewItem>
    <reviewItem>
      <errorID>af7a0cfe-329b-4d3a-9ee6-36183fbb1d45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4B4918F5</paraID>
      <start>0</start>
      <end>2</end>
      <status>unmodified</status>
      <modifiedWord/>
      <trackRevisions>false</trackRevisions>
    </reviewItem>
    <reviewItem>
      <errorID>0a7b0f1a-e767-46ed-b122-dbe56d8f6684</errorID>
      <errorWord>（</errorWord>
      <group>L1_Punc</group>
      <groupName>标点问题</groupName>
      <ability>L2_Punc</ability>
      <abilityName>标点符号检查</abilityName>
      <candidateList/>
      <explain>同一形式括号套用。</explain>
      <paraID>5FE0F711</paraID>
      <start>99</start>
      <end>100</end>
      <status>unmodified</status>
      <modifiedWord/>
      <trackRevisions>false</trackRevisions>
    </reviewItem>
    <reviewItem>
      <errorID>2f1d3a68-2c36-464e-a15e-5fbeb8ef4ffd</errorID>
      <errorWord>）</errorWord>
      <group>L1_Punc</group>
      <groupName>标点问题</groupName>
      <ability>L2_Punc</ability>
      <abilityName>标点符号检查</abilityName>
      <candidateList/>
      <explain>同一形式括号套用。</explain>
      <paraID>5FE0F711</paraID>
      <start>101</start>
      <end>102</end>
      <status>unmodified</status>
      <modifiedWord/>
      <trackRevisions>false</trackRevisions>
    </reviewItem>
    <reviewItem>
      <errorID>c9d992a5-24ef-419f-9b7f-37680e9c1dda</errorID>
      <errorWord>85、</errorWord>
      <group>L1_Format</group>
      <groupName>格式问题</groupName>
      <ability>L2_Ordinal</ability>
      <abilityName>序号格式</abilityName>
      <candidateList>
        <item>85.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1944711B</paraID>
      <start>0</start>
      <end>3</end>
      <status>unmodified</status>
      <modifiedWord/>
      <trackRevisions>false</trackRevisions>
    </reviewItem>
    <reviewItem>
      <errorID>fb930823-9456-4c3c-8194-1f79ae278f40</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5FC1B7F1</paraID>
      <start>71</start>
      <end>76</end>
      <status>unmodified</status>
      <modifiedWord/>
      <trackRevisions>false</trackRevisions>
    </reviewItem>
    <reviewItem>
      <errorID>b0f5ea86-08e6-417b-922c-cb12aa5df485</errorID>
      <errorWord>去</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7D654F8D</paraID>
      <start>88</start>
      <end>89</end>
      <status>unmodified</status>
      <modifiedWord/>
      <trackRevisions>false</trackRevisions>
    </reviewItem>
    <reviewItem>
      <errorID>23d89b39-8ac2-44a0-acfd-9422bf2bbd4d</errorID>
      <errorWord>、也</errorWord>
      <group>L1_Punc</group>
      <groupName>标点问题</groupName>
      <ability>L2_Punc</ability>
      <abilityName>标点符号检查</abilityName>
      <candidateList>
        <item>，也</item>
      </candidateList>
      <explain>连接词前后不宜使用顿号，建议使用逗号。</explain>
      <paraID>2C5AA697</paraID>
      <start>61</start>
      <end>63</end>
      <status>unmodified</status>
      <modifiedWord/>
      <trackRevisions>false</trackRevisions>
    </reviewItem>
    <reviewItem>
      <errorID>f5b66c82-724e-488a-b060-afa6f372057b</errorID>
      <errorWord>其它环境</errorWord>
      <group>L1_Word</group>
      <groupName>字词问题</groupName>
      <ability>L2_Alias</ability>
      <abilityName>也作/曾用词</abilityName>
      <candidateList>
        <item>其他环境</item>
      </candidateList>
      <explain>词汇[其它环境]为不规范表述或旧称，其规范书面表述为[其他环境]。</explain>
      <paraID>2C5AA697</paraID>
      <start>85</start>
      <end>89</end>
      <status>unmodified</status>
      <modifiedWord/>
      <trackRevisions>false</trackRevisions>
    </reviewItem>
    <reviewItem>
      <errorID>b16db661-8b89-4ec6-a92e-87bebcc3ef4b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4B618893</paraID>
      <start>0</start>
      <end>2</end>
      <status>unmodified</status>
      <modifiedWord/>
      <trackRevisions>false</trackRevisions>
    </reviewItem>
    <reviewItem>
      <errorID>c1c167bb-f11e-4438-97c5-1459ab938379</errorID>
      <errorWord>II</errorWord>
      <group>L1_Knowledge</group>
      <groupName>知识性问题</groupName>
      <ability>L2_Knowledge</ability>
      <abilityName>其他知识</abilityName>
      <candidateList>
        <item>Ⅱ</item>
      </candidateList>
      <explain/>
      <paraID>50B300D7</paraID>
      <start>0</start>
      <end>2</end>
      <status>unmodified</status>
      <modifiedWord/>
      <trackRevisions>false</trackRevisions>
    </reviewItem>
    <reviewItem>
      <errorID>9c2bb2c1-567f-43c2-bad4-10e2d28f6d77</errorID>
      <errorWord>III</errorWord>
      <group>L1_Knowledge</group>
      <groupName>知识性问题</groupName>
      <ability>L2_Knowledge</ability>
      <abilityName>其他知识</abilityName>
      <candidateList>
        <item>Ⅲ</item>
      </candidateList>
      <explain/>
      <paraID>3B1F671D</paraID>
      <start>0</start>
      <end>3</end>
      <status>unmodified</status>
      <modifiedWord/>
      <trackRevisions>false</trackRevisions>
    </reviewItem>
    <reviewItem>
      <errorID>97d9f8a0-f49d-4ec5-afb8-b877a3f6c5fb</errorID>
      <errorWord>IV</errorWord>
      <group>L1_Knowledge</group>
      <groupName>知识性问题</groupName>
      <ability>L2_Knowledge</ability>
      <abilityName>其他知识</abilityName>
      <candidateList>
        <item>Ⅳ</item>
      </candidateList>
      <explain/>
      <paraID> 6023CCA</paraID>
      <start>0</start>
      <end>2</end>
      <status>unmodified</status>
      <modifiedWord/>
      <trackRevisions>false</trackRevisions>
    </reviewItem>
    <reviewItem>
      <errorID>2f289169-0037-4b89-96ac-b9932c87b242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2BFADA5F</paraID>
      <start>0</start>
      <end>2</end>
      <status>unmodified</status>
      <modifiedWord/>
      <trackRevisions>false</trackRevisions>
    </reviewItem>
    <reviewItem>
      <errorID>0dc0ada9-22b3-4550-827b-a0e9682751e9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7F85C410</paraID>
      <start>0</start>
      <end>2</end>
      <status>unmodified</status>
      <modifiedWord/>
      <trackRevisions>false</trackRevisions>
    </reviewItem>
    <reviewItem>
      <errorID>4a498e70-c3df-416d-8ce3-3d3b2114cca2</errorID>
      <errorWord>II类</errorWord>
      <group>L1_Knowledge</group>
      <groupName>知识性问题</groupName>
      <ability>L2_Knowledge</ability>
      <abilityName>其他知识</abilityName>
      <candidateList>
        <item>Ⅱ类</item>
      </candidateList>
      <explain/>
      <paraID>657A03E8</paraID>
      <start>0</start>
      <end>3</end>
      <status>unmodified</status>
      <modifiedWord/>
      <trackRevisions>false</trackRevisions>
    </reviewItem>
    <reviewItem>
      <errorID>4f5e33d5-0ada-4085-93f0-26ff6ef30030</errorID>
      <errorWord>III类</errorWord>
      <group>L1_Knowledge</group>
      <groupName>知识性问题</groupName>
      <ability>L2_Knowledge</ability>
      <abilityName>其他知识</abilityName>
      <candidateList>
        <item>Ⅲ类</item>
      </candidateList>
      <explain/>
      <paraID> FCE7C01</paraID>
      <start>0</start>
      <end>4</end>
      <status>unmodified</status>
      <modifiedWord/>
      <trackRevisions>false</trackRevisions>
    </reviewItem>
    <reviewItem>
      <errorID>ed1e1784-e051-4984-b14d-eff1cb25c81e</errorID>
      <errorWord>-</errorWord>
      <group>L1_Format</group>
      <groupName>格式问题</groupName>
      <ability>L2_HalfPunc</ability>
      <abilityName>全半角检查</abilityName>
      <candidateList>
        <item>－</item>
      </candidateList>
      <explain>文本全半角错误。</explain>
      <paraID> 7A9CA94</paraID>
      <start>3</start>
      <end>4</end>
      <status>unmodified</status>
      <modifiedWord/>
      <trackRevisions>false</trackRevisions>
    </reviewItem>
    <reviewItem>
      <errorID>3b2c6fbb-0fe6-4e39-8864-12d46057c9af</errorID>
      <errorWord>…，</errorWord>
      <group>L1_Punc</group>
      <groupName>标点问题</groupName>
      <ability>L2_Punc</ability>
      <abilityName>标点符号检查</abilityName>
      <candidateList>
        <item>…</item>
      </candidateList>
      <explain/>
      <paraID>4D5048FA</paraID>
      <start>8</start>
      <end>10</end>
      <status>unmodified</status>
      <modifiedWord/>
      <trackRevisions>false</trackRevisions>
    </reviewItem>
    <reviewItem>
      <errorID>c4fbaa92-4e89-4a1f-9c70-42683598965f</errorID>
      <errorWord>(</errorWord>
      <group>L1_Format</group>
      <groupName>格式问题</groupName>
      <ability>L2_HalfPunc</ability>
      <abilityName>全半角检查</abilityName>
      <candidateList>
        <item>（</item>
      </candidateList>
      <explain>文本全半角错误。</explain>
      <paraID>5FE86E79</paraID>
      <start>4</start>
      <end>5</end>
      <status>unmodified</status>
      <modifiedWord/>
      <trackRevisions>false</trackRevisions>
    </reviewItem>
    <reviewItem>
      <errorID>67b66d4f-9510-42b7-acb3-818c12506a73</errorID>
      <errorWord>)</errorWord>
      <group>L1_Format</group>
      <groupName>格式问题</groupName>
      <ability>L2_HalfPunc</ability>
      <abilityName>全半角检查</abilityName>
      <candidateList>
        <item>）</item>
      </candidateList>
      <explain>文本全半角错误。</explain>
      <paraID>5FE86E79</paraID>
      <start>6</start>
      <end>7</end>
      <status>ignored</status>
      <modifiedWord/>
      <trackRevisions>false</trackRevisions>
    </reviewItem>
    <reviewItem>
      <errorID>e5666bd6-89cb-4fa5-952a-84f491e6abba</errorID>
      <errorWord>(</errorWord>
      <group>L1_Format</group>
      <groupName>格式问题</groupName>
      <ability>L2_HalfPunc</ability>
      <abilityName>全半角检查</abilityName>
      <candidateList>
        <item>（</item>
      </candidateList>
      <explain>文本全半角错误。</explain>
      <paraID>59ACCB55</paraID>
      <start>6</start>
      <end>7</end>
      <status>unmodified</status>
      <modifiedWord/>
      <trackRevisions>false</trackRevisions>
    </reviewItem>
    <reviewItem>
      <errorID>daaf8d6c-9eb6-4deb-bcb3-ee2ed314ec1e</errorID>
      <errorWord>)</errorWord>
      <group>L1_Format</group>
      <groupName>格式问题</groupName>
      <ability>L2_HalfPunc</ability>
      <abilityName>全半角检查</abilityName>
      <candidateList>
        <item>）</item>
      </candidateList>
      <explain>文本全半角错误。</explain>
      <paraID>59ACCB55</paraID>
      <start>8</start>
      <end>9</end>
      <status>ignored</status>
      <modifiedWord/>
      <trackRevisions>false</trackRevisions>
    </reviewItem>
    <reviewItem>
      <errorID>da610a72-f582-461f-8b8c-ff9150efe5e9</errorID>
      <errorWord>(</errorWord>
      <group>L1_Format</group>
      <groupName>格式问题</groupName>
      <ability>L2_HalfPunc</ability>
      <abilityName>全半角检查</abilityName>
      <candidateList>
        <item>（</item>
      </candidateList>
      <explain>文本全半角错误。</explain>
      <paraID>7397A697</paraID>
      <start>9</start>
      <end>10</end>
      <status>unmodified</status>
      <modifiedWord/>
      <trackRevisions>false</trackRevisions>
    </reviewItem>
    <reviewItem>
      <errorID>775dc68d-27c0-4c07-a363-f19242a6315c</errorID>
      <errorWord>)</errorWord>
      <group>L1_Format</group>
      <groupName>格式问题</groupName>
      <ability>L2_HalfPunc</ability>
      <abilityName>全半角检查</abilityName>
      <candidateList>
        <item>）</item>
      </candidateList>
      <explain>文本全半角错误。</explain>
      <paraID>7397A697</paraID>
      <start>13</start>
      <end>14</end>
      <status>ignored</status>
      <modifiedWord/>
      <trackRevisions>false</trackRevisions>
    </reviewItem>
    <reviewItem>
      <errorID>600aaefa-4c37-4b83-8988-5e5c1bd045dd</errorID>
      <errorWord>(</errorWord>
      <group>L1_Format</group>
      <groupName>格式问题</groupName>
      <ability>L2_HalfPunc</ability>
      <abilityName>全半角检查</abilityName>
      <candidateList>
        <item>（</item>
      </candidateList>
      <explain>文本全半角错误。</explain>
      <paraID> 469ABCD</paraID>
      <start>10</start>
      <end>11</end>
      <status>unmodified</status>
      <modifiedWord/>
      <trackRevisions>false</trackRevisions>
    </reviewItem>
    <reviewItem>
      <errorID>e5272cc8-f513-4ff2-903a-925414311158</errorID>
      <errorWord>)</errorWord>
      <group>L1_Format</group>
      <groupName>格式问题</groupName>
      <ability>L2_HalfPunc</ability>
      <abilityName>全半角检查</abilityName>
      <candidateList>
        <item>）</item>
      </candidateList>
      <explain>文本全半角错误。</explain>
      <paraID> 469ABCD</paraID>
      <start>15</start>
      <end>16</end>
      <status>ignored</status>
      <modifiedWord/>
      <trackRevisions>false</trackRevisions>
    </reviewItem>
    <reviewItem>
      <errorID>49358a78-b430-4efc-b8ae-9df778d7c04c</errorID>
      <errorWord>(</errorWord>
      <group>L1_Format</group>
      <groupName>格式问题</groupName>
      <ability>L2_HalfPunc</ability>
      <abilityName>全半角检查</abilityName>
      <candidateList>
        <item>（</item>
      </candidateList>
      <explain>文本全半角错误。</explain>
      <paraID>4EEC38D4</paraID>
      <start>2</start>
      <end>3</end>
      <status>unmodified</status>
      <modifiedWord/>
      <trackRevisions>false</trackRevisions>
    </reviewItem>
    <reviewItem>
      <errorID>a0ec10d5-b958-4071-81bd-3767b8c514a1</errorID>
      <errorWord>)</errorWord>
      <group>L1_Format</group>
      <groupName>格式问题</groupName>
      <ability>L2_HalfPunc</ability>
      <abilityName>全半角检查</abilityName>
      <candidateList>
        <item>）</item>
      </candidateList>
      <explain>文本全半角错误。</explain>
      <paraID>4EEC38D4</paraID>
      <start>4</start>
      <end>5</end>
      <status>ignored</status>
      <modifiedWord/>
      <trackRevisions>false</trackRevisions>
    </reviewItem>
    <reviewItem>
      <errorID>7cf8ad0d-7636-4018-89a2-45370e2ecfc6</errorID>
      <errorWord>(</errorWord>
      <group>L1_Format</group>
      <groupName>格式问题</groupName>
      <ability>L2_HalfPunc</ability>
      <abilityName>全半角检查</abilityName>
      <candidateList>
        <item>（</item>
      </candidateList>
      <explain>文本全半角错误。</explain>
      <paraID>5C1E1D64</paraID>
      <start>3</start>
      <end>4</end>
      <status>unmodified</status>
      <modifiedWord/>
      <trackRevisions>false</trackRevisions>
    </reviewItem>
    <reviewItem>
      <errorID>ece30f69-82dd-4a8a-9adc-fc6328a97e16</errorID>
      <errorWord>)</errorWord>
      <group>L1_Format</group>
      <groupName>格式问题</groupName>
      <ability>L2_HalfPunc</ability>
      <abilityName>全半角检查</abilityName>
      <candidateList>
        <item>）</item>
      </candidateList>
      <explain>文本全半角错误。</explain>
      <paraID>5C1E1D64</paraID>
      <start>5</start>
      <end>6</end>
      <status>ignored</status>
      <modifiedWord/>
      <trackRevisions>false</trackRevisions>
    </reviewItem>
    <reviewItem>
      <errorID>f9f461df-45fb-4545-8273-697afb47a957</errorID>
      <errorWord>(</errorWord>
      <group>L1_Format</group>
      <groupName>格式问题</groupName>
      <ability>L2_HalfPunc</ability>
      <abilityName>全半角检查</abilityName>
      <candidateList>
        <item>（</item>
      </candidateList>
      <explain>文本全半角错误。</explain>
      <paraID>21F6C651</paraID>
      <start>3</start>
      <end>4</end>
      <status>unmodified</status>
      <modifiedWord/>
      <trackRevisions>false</trackRevisions>
    </reviewItem>
    <reviewItem>
      <errorID>a311a0d7-a473-4bb6-9f45-5402564b90ed</errorID>
      <errorWord>)</errorWord>
      <group>L1_Format</group>
      <groupName>格式问题</groupName>
      <ability>L2_HalfPunc</ability>
      <abilityName>全半角检查</abilityName>
      <candidateList>
        <item>）</item>
      </candidateList>
      <explain>文本全半角错误。</explain>
      <paraID>21F6C651</paraID>
      <start>6</start>
      <end>7</end>
      <status>ignored</status>
      <modifiedWord/>
      <trackRevisions>false</trackRevisions>
    </reviewItem>
    <reviewItem>
      <errorID>d6fb2cb3-b9d2-40f1-b8dd-eb930c13a197</errorID>
      <errorWord>(</errorWord>
      <group>L1_Format</group>
      <groupName>格式问题</groupName>
      <ability>L2_HalfPunc</ability>
      <abilityName>全半角检查</abilityName>
      <candidateList>
        <item>（</item>
      </candidateList>
      <explain>文本全半角错误。</explain>
      <paraID>7D03F271</paraID>
      <start>3</start>
      <end>4</end>
      <status>unmodified</status>
      <modifiedWord/>
      <trackRevisions>false</trackRevisions>
    </reviewItem>
    <reviewItem>
      <errorID>ca9b844d-78ad-484e-871d-ce3beeb36e2d</errorID>
      <errorWord>)</errorWord>
      <group>L1_Format</group>
      <groupName>格式问题</groupName>
      <ability>L2_HalfPunc</ability>
      <abilityName>全半角检查</abilityName>
      <candidateList>
        <item>）</item>
      </candidateList>
      <explain>文本全半角错误。</explain>
      <paraID>7D03F271</paraID>
      <start>11</start>
      <end>12</end>
      <status>ignored</status>
      <modifiedWord/>
      <trackRevisions>false</trackRevisions>
    </reviewItem>
    <reviewItem>
      <errorID>f2625aee-da6c-42eb-81dd-17a5686a90bb</errorID>
      <errorWord>(</errorWord>
      <group>L1_Format</group>
      <groupName>格式问题</groupName>
      <ability>L2_HalfPunc</ability>
      <abilityName>全半角检查</abilityName>
      <candidateList>
        <item>（</item>
      </candidateList>
      <explain>文本全半角错误。</explain>
      <paraID>19ED085A</paraID>
      <start>2</start>
      <end>3</end>
      <status>unmodified</status>
      <modifiedWord/>
      <trackRevisions>false</trackRevisions>
    </reviewItem>
    <reviewItem>
      <errorID>8fabe4bb-b1a6-4979-ab5c-2ff19f99b862</errorID>
      <errorWord>)</errorWord>
      <group>L1_Format</group>
      <groupName>格式问题</groupName>
      <ability>L2_HalfPunc</ability>
      <abilityName>全半角检查</abilityName>
      <candidateList>
        <item>）</item>
      </candidateList>
      <explain>文本全半角错误。</explain>
      <paraID>19ED085A</paraID>
      <start>6</start>
      <end>7</end>
      <status>ignored</status>
      <modifiedWord/>
      <trackRevisions>false</trackRevisions>
    </reviewItem>
    <reviewItem>
      <errorID>63a46dc2-6620-41db-b7b6-778c8497e5f9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37E0F1DB</paraID>
      <start>0</start>
      <end>2</end>
      <status>unmodified</status>
      <modifiedWord/>
      <trackRevisions>false</trackRevisions>
    </reviewItem>
    <reviewItem>
      <errorID>5f6af05e-2b2b-4c39-add3-c8524ee85edf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2E2C9E16</paraID>
      <start>96</start>
      <end>97</end>
      <status>unmodified</status>
      <modifiedWord/>
      <trackRevisions>false</trackRevisions>
    </reviewItem>
    <reviewItem>
      <errorID>a887f8c2-f608-4840-93ad-739f006313be</errorID>
      <errorWord>(</errorWord>
      <group>L1_Format</group>
      <groupName>格式问题</groupName>
      <ability>L2_HalfPunc</ability>
      <abilityName>全半角检查</abilityName>
      <candidateList>
        <item>（</item>
      </candidateList>
      <explain>文本全半角错误。</explain>
      <paraID>2E2C9E16</paraID>
      <start>137</start>
      <end>138</end>
      <status>unmodified</status>
      <modifiedWord/>
      <trackRevisions>false</trackRevisions>
    </reviewItem>
    <reviewItem>
      <errorID>e906dc20-20fa-40e3-98d9-ff1416a826af</errorID>
      <errorWord>)</errorWord>
      <group>L1_Format</group>
      <groupName>格式问题</groupName>
      <ability>L2_HalfPunc</ability>
      <abilityName>全半角检查</abilityName>
      <candidateList>
        <item>）</item>
      </candidateList>
      <explain>文本全半角错误。</explain>
      <paraID>2E2C9E16</paraID>
      <start>139</start>
      <end>140</end>
      <status>ignored</status>
      <modifiedWord/>
      <trackRevisions>false</trackRevisions>
    </reviewItem>
    <reviewItem>
      <errorID>3d3708c6-2060-4ade-99f9-d496bdde6b4c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2E2C9E16</paraID>
      <start>153</start>
      <end>154</end>
      <status>unmodified</status>
      <modifiedWord/>
      <trackRevisions>false</trackRevisions>
    </reviewItem>
    <reviewItem>
      <errorID>71443ce3-d5c4-492e-abc5-73a7b4a1d65b</errorID>
      <errorWord>III</errorWord>
      <group>L1_Word</group>
      <groupName>字词问题</groupName>
      <ability>L2_Typo</ability>
      <abilityName>字词错误</abilityName>
      <candidateList>
        <item>Ⅲ</item>
      </candidateList>
      <explain/>
      <paraID>16D48761</paraID>
      <start>0</start>
      <end>3</end>
      <status>unmodified</status>
      <modifiedWord/>
      <trackRevisions>false</trackRevisions>
    </reviewItem>
    <reviewItem>
      <errorID>72ef8250-3a32-4107-aa49-725dcfd7720a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CC445</paraID>
      <start>64</start>
      <end>65</end>
      <status>unmodified</status>
      <modifiedWord/>
      <trackRevisions>false</trackRevisions>
    </reviewItem>
    <reviewItem>
      <errorID>f5bd3710-96d1-44f0-91fd-8a360b30f89d</errorID>
      <errorWord>IV</errorWord>
      <group>L1_Knowledge</group>
      <groupName>知识性问题</groupName>
      <ability>L2_Knowledge</ability>
      <abilityName>其他知识</abilityName>
      <candidateList>
        <item>Ⅳ</item>
      </candidateList>
      <explain/>
      <paraID>1AB6942D</paraID>
      <start>19</start>
      <end>21</end>
      <status>unmodified</status>
      <modifiedWord/>
      <trackRevisions>false</trackRevisions>
    </reviewItem>
    <reviewItem>
      <errorID>46d5afe4-969d-4a48-a44e-d9253fa408e6</errorID>
      <errorWord>III</errorWord>
      <group>L1_Knowledge</group>
      <groupName>知识性问题</groupName>
      <ability>L2_Knowledge</ability>
      <abilityName>其他知识</abilityName>
      <candidateList>
        <item>Ⅲ</item>
      </candidateList>
      <explain/>
      <paraID>47514826</paraID>
      <start>20</start>
      <end>23</end>
      <status>unmodified</status>
      <modifiedWord/>
      <trackRevisions>false</trackRevisions>
    </reviewItem>
    <reviewItem>
      <errorID>2693ec20-76f4-4ae2-b46f-6dca4e31a872</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18BB6E31</paraID>
      <start>4</start>
      <end>5</end>
      <status>unmodified</status>
      <modifiedWord/>
      <trackRevisions>false</trackRevisions>
    </reviewItem>
    <reviewItem>
      <errorID>b8fcf5c5-3a7e-45c4-b768-1925bd26bb08</errorID>
      <errorWord>：</errorWord>
      <group>L1_Word</group>
      <groupName>字词问题</groupName>
      <ability>L2_Typo</ability>
      <abilityName>字词错误</abilityName>
      <candidateList>
        <item>：以</item>
      </candidateList>
      <explain/>
      <paraID>41A0AE62</paraID>
      <start>2</start>
      <end>3</end>
      <status>unmodified</status>
      <modifiedWord/>
      <trackRevisions>false</trackRevisions>
    </reviewItem>
    <reviewItem>
      <errorID>e030c884-2ef5-4921-96bc-38b5513eda64</errorID>
      <errorWord>]</errorWord>
      <group>L1_Punc</group>
      <groupName>标点问题</groupName>
      <ability>L2_Punc</ability>
      <abilityName>标点符号检查</abilityName>
      <candidateList>
        <item>〕</item>
      </candidateList>
      <explain/>
      <paraID>6D602F09</paraID>
      <start>57</start>
      <end>58</end>
      <status>unmodified</status>
      <modifiedWord/>
      <trackRevisions>false</trackRevisions>
    </reviewItem>
    <reviewItem>
      <errorID>994bac3a-c179-4693-b371-5e4978ee344a</errorID>
      <errorWord>-</errorWord>
      <group>L1_Format</group>
      <groupName>格式问题</groupName>
      <ability>L2_HalfPunc</ability>
      <abilityName>全半角检查</abilityName>
      <candidateList>
        <item>－</item>
      </candidateList>
      <explain>文本全半角错误。</explain>
      <paraID>30BBBD18</paraID>
      <start>15</start>
      <end>16</end>
      <status>unmodified</status>
      <modifiedWord/>
      <trackRevisions>false</trackRevisions>
    </reviewItem>
    <reviewItem>
      <errorID>afe55465-8340-4bfe-8efc-50d95f58b58d</errorID>
      <errorWord>-</errorWord>
      <group>L1_Format</group>
      <groupName>格式问题</groupName>
      <ability>L2_HalfPunc</ability>
      <abilityName>全半角检查</abilityName>
      <candidateList>
        <item>－</item>
      </candidateList>
      <explain>文本全半角错误。</explain>
      <paraID>30BBBD18</paraID>
      <start>25</start>
      <end>26</end>
      <status>unmodified</status>
      <modifiedWord/>
      <trackRevisions>false</trackRevisions>
    </reviewItem>
    <reviewItem>
      <errorID>41f9f901-2274-4d90-9586-fdf813b39b09</errorID>
      <errorWord>-</errorWord>
      <group>L1_Format</group>
      <groupName>格式问题</groupName>
      <ability>L2_HalfPunc</ability>
      <abilityName>全半角检查</abilityName>
      <candidateList>
        <item>－</item>
      </candidateList>
      <explain>文本全半角错误。</explain>
      <paraID>30BBBD18</paraID>
      <start>28</start>
      <end>29</end>
      <status>unmodified</status>
      <modifiedWord/>
      <trackRevisions>false</trackRevisions>
    </reviewItem>
    <reviewItem>
      <errorID>f9b1a2b5-37b8-4fd5-a69b-55bcf25e5be5</errorID>
      <errorWord>-</errorWord>
      <group>L1_Format</group>
      <groupName>格式问题</groupName>
      <ability>L2_HalfPunc</ability>
      <abilityName>全半角检查</abilityName>
      <candidateList>
        <item>－</item>
      </candidateList>
      <explain>文本全半角错误。</explain>
      <paraID>30BBBD18</paraID>
      <start>38</start>
      <end>39</end>
      <status>unmodified</status>
      <modifiedWord/>
      <trackRevisions>false</trackRevisions>
    </reviewItem>
    <reviewItem>
      <errorID>bb2bdfe6-cb7a-4e28-b4b0-9e21ad61ad6a</errorID>
      <errorWord>-</errorWord>
      <group>L1_Format</group>
      <groupName>格式问题</groupName>
      <ability>L2_HalfPunc</ability>
      <abilityName>全半角检查</abilityName>
      <candidateList>
        <item>－</item>
      </candidateList>
      <explain>文本全半角错误。</explain>
      <paraID>30BBBD18</paraID>
      <start>70</start>
      <end>71</end>
      <status>unmodified</status>
      <modifiedWord/>
      <trackRevisions>false</trackRevisions>
    </reviewItem>
    <reviewItem>
      <errorID>8b777c3f-0f35-46c3-bab6-aa66b171ba81</errorID>
      <errorWord>-</errorWord>
      <group>L1_Format</group>
      <groupName>格式问题</groupName>
      <ability>L2_HalfPunc</ability>
      <abilityName>全半角检查</abilityName>
      <candidateList>
        <item>－</item>
      </candidateList>
      <explain>文本全半角错误。</explain>
      <paraID>30BBBD18</paraID>
      <start>73</start>
      <end>74</end>
      <status>unmodified</status>
      <modifiedWord/>
      <trackRevisions>false</trackRevisions>
    </reviewItem>
    <reviewItem>
      <errorID>b26ce5e3-49dc-4a93-821d-d10884cdb1e7</errorID>
      <errorWord>-</errorWord>
      <group>L1_Format</group>
      <groupName>格式问题</groupName>
      <ability>L2_HalfPunc</ability>
      <abilityName>全半角检查</abilityName>
      <candidateList>
        <item>－</item>
      </candidateList>
      <explain>文本全半角错误。</explain>
      <paraID>30BBBD18</paraID>
      <start>78</start>
      <end>79</end>
      <status>unmodified</status>
      <modifiedWord/>
      <trackRevisions>false</trackRevisions>
    </reviewItem>
    <reviewItem>
      <errorID>d7985df5-8e62-402c-91e3-2afbd8e0dccd</errorID>
      <errorWord>-</errorWord>
      <group>L1_Format</group>
      <groupName>格式问题</groupName>
      <ability>L2_HalfPunc</ability>
      <abilityName>全半角检查</abilityName>
      <candidateList>
        <item>－</item>
      </candidateList>
      <explain>文本全半角错误。</explain>
      <paraID>30BBBD18</paraID>
      <start>83</start>
      <end>84</end>
      <status>unmodified</status>
      <modifiedWord/>
      <trackRevisions>false</trackRevisions>
    </reviewItem>
    <reviewItem>
      <errorID>d9c5e951-b78a-421e-9ce3-0f7f79110dbf</errorID>
      <errorWord>-</errorWord>
      <group>L1_Format</group>
      <groupName>格式问题</groupName>
      <ability>L2_HalfPunc</ability>
      <abilityName>全半角检查</abilityName>
      <candidateList>
        <item>－</item>
      </candidateList>
      <explain>文本全半角错误。</explain>
      <paraID>30BBBD18</paraID>
      <start>87</start>
      <end>88</end>
      <status>unmodified</status>
      <modifiedWord/>
      <trackRevisions>false</trackRevisions>
    </reviewItem>
    <reviewItem>
      <errorID>6a5481df-cf2a-4560-8479-028e2ae8c9f1</errorID>
      <errorWord>-</errorWord>
      <group>L1_Format</group>
      <groupName>格式问题</groupName>
      <ability>L2_HalfPunc</ability>
      <abilityName>全半角检查</abilityName>
      <candidateList>
        <item>－</item>
      </candidateList>
      <explain>文本全半角错误。</explain>
      <paraID>30BBBD18</paraID>
      <start>90</start>
      <end>91</end>
      <status>unmodified</status>
      <modifiedWord/>
      <trackRevisions>false</trackRevisions>
    </reviewItem>
    <reviewItem>
      <errorID>ed2939b4-dba6-4349-9c50-fb2c336871c5</errorID>
      <errorWord>-</errorWord>
      <group>L1_Format</group>
      <groupName>格式问题</groupName>
      <ability>L2_HalfPunc</ability>
      <abilityName>全半角检查</abilityName>
      <candidateList>
        <item>－</item>
      </candidateList>
      <explain>文本全半角错误。</explain>
      <paraID>30BBBD18</paraID>
      <start>94</start>
      <end>95</end>
      <status>unmodified</status>
      <modifiedWord/>
      <trackRevisions>false</trackRevisions>
    </reviewItem>
    <reviewItem>
      <errorID>6c6fe0fe-28f8-40b9-aca3-4d773635476d</errorID>
      <errorWord>-</errorWord>
      <group>L1_Format</group>
      <groupName>格式问题</groupName>
      <ability>L2_HalfPunc</ability>
      <abilityName>全半角检查</abilityName>
      <candidateList>
        <item>－</item>
      </candidateList>
      <explain>文本全半角错误。</explain>
      <paraID>59526BDD</paraID>
      <start>84</start>
      <end>85</end>
      <status>unmodified</status>
      <modifiedWord/>
      <trackRevisions>false</trackRevisions>
    </reviewItem>
    <reviewItem>
      <errorID>d0d8ed7a-806c-49dd-be74-b6c54e74f807</errorID>
      <errorWord>-</errorWord>
      <group>L1_Format</group>
      <groupName>格式问题</groupName>
      <ability>L2_HalfPunc</ability>
      <abilityName>全半角检查</abilityName>
      <candidateList>
        <item>－</item>
      </candidateList>
      <explain>文本全半角错误。</explain>
      <paraID>59526BDD</paraID>
      <start>89</start>
      <end>90</end>
      <status>unmodified</status>
      <modifiedWord/>
      <trackRevisions>false</trackRevisions>
    </reviewItem>
    <reviewItem>
      <errorID>81eaf8f0-b02e-4108-82d3-736b63bcda0f</errorID>
      <errorWord>生态环境的保护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词汇“生态环境保护”在特定场景下为固定表述形式，请确认此处的“生态环境的保护”是否存在不当。</explain>
      <paraID>74C582D6</paraID>
      <start>45</start>
      <end>52</end>
      <status>unmodified</status>
      <modifiedWord/>
      <trackRevisions>false</trackRevisions>
    </reviewItem>
    <reviewItem>
      <errorID>e374b2e3-d255-4caf-8503-2a24b9dc1973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31F174A3</paraID>
      <start>66</start>
      <end>67</end>
      <status>unmodified</status>
      <modifiedWord/>
      <trackRevisions>false</trackRevisions>
    </reviewItem>
    <reviewItem>
      <errorID>68a7c083-d5a5-4102-af2b-b7a69e7aa65c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21F3DB9A</paraID>
      <start>17</start>
      <end>18</end>
      <status>unmodified</status>
      <modifiedWord/>
      <trackRevisions>false</trackRevisions>
    </reviewItem>
    <reviewItem>
      <errorID>33afa296-4919-474a-bef9-068a19635ead</errorID>
      <errorWord>加强</errorWord>
      <group>L1_Grammar</group>
      <groupName>语法问题</groupName>
      <ability>L2_Grammar</ability>
      <abilityName>语法错误</abilityName>
      <candidateList>
        <item>加大</item>
      </candidateList>
      <explain>“加强～力度”搭配不当，建议修改为“加大～力度”。</explain>
      <paraID>421F323B</paraID>
      <start>27</start>
      <end>29</end>
      <status>unmodified</status>
      <modifiedWord/>
      <trackRevisions>false</trackRevisions>
    </reviewItem>
    <reviewItem>
      <errorID>0c04c3f9-1c6a-4d59-b09c-110f612ca564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406A2AB7</paraID>
      <start>0</start>
      <end>2</end>
      <status>unmodified</status>
      <modifiedWord/>
      <trackRevisions>false</trackRevisions>
    </reviewItem>
    <reviewItem>
      <errorID>cb189fa7-67c1-4381-93c5-33f9da236f2c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30D8C1B9</paraID>
      <start>0</start>
      <end>2</end>
      <status>unmodified</status>
      <modifiedWord/>
      <trackRevisions>false</trackRevisions>
    </reviewItem>
    <reviewItem>
      <errorID>67869aea-b04a-4ec4-bf28-70a859837ac7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382FBC72</paraID>
      <start>0</start>
      <end>2</end>
      <status>unmodified</status>
      <modifiedWord/>
      <trackRevisions>false</trackRevisions>
    </reviewItem>
    <reviewItem>
      <errorID>83247ba5-f8fe-4708-9122-6cf590bcb097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46948430</paraID>
      <start>0</start>
      <end>2</end>
      <status>unmodified</status>
      <modifiedWord/>
      <trackRevisions>false</trackRevisions>
    </reviewItem>
    <reviewItem>
      <errorID>cb6cbb6f-4407-4cc2-86df-b4cc8b8357b3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3CB3BFA4</paraID>
      <start>0</start>
      <end>2</end>
      <status>unmodified</status>
      <modifiedWord/>
      <trackRevisions>false</trackRevisions>
    </reviewItem>
    <reviewItem>
      <errorID>b8e90bd7-f204-4da1-b7ea-d5c119395940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1A746763</paraID>
      <start>0</start>
      <end>2</end>
      <status>unmodified</status>
      <modifiedWord/>
      <trackRevisions>false</trackRevisions>
    </reviewItem>
    <reviewItem>
      <errorID>ea21088d-1fa4-4eac-ac7d-e3efb8c7769b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7C59F146</paraID>
      <start>15</start>
      <end>16</end>
      <status>unmodified</status>
      <modifiedWord/>
      <trackRevisions>false</trackRevisions>
    </reviewItem>
    <reviewItem>
      <errorID>d12dcabb-2b3b-4a24-8ade-5265256c3756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5930860B</paraID>
      <start>89</start>
      <end>90</end>
      <status>unmodified</status>
      <modifiedWord/>
      <trackRevisions>false</trackRevisions>
    </reviewItem>
    <reviewItem>
      <errorID>4b9a4272-163a-43c7-b2d9-64825b5bd952</errorID>
      <errorWord>【2010】2850号</errorWord>
      <group>L1_Knowledge</group>
      <groupName>知识性问题</groupName>
      <ability>L2_Knowledge</ability>
      <abilityName>其他知识</abilityName>
      <candidateList>
        <item>〔2010〕2850号</item>
      </candidateList>
      <explain>发文字号格式错误。</explain>
      <paraID>4ABA1687</paraID>
      <start>125</start>
      <end>136</end>
      <status>unmodified</status>
      <modifiedWord/>
      <trackRevisions>false</trackRevisions>
    </reviewItem>
    <reviewItem>
      <errorID>b09e6a1b-063e-4516-8381-962ebe63b9a7</errorID>
      <errorWord>【2016】1602号</errorWord>
      <group>L1_Knowledge</group>
      <groupName>知识性问题</groupName>
      <ability>L2_Knowledge</ability>
      <abilityName>其他知识</abilityName>
      <candidateList>
        <item>〔2016〕1602号</item>
      </candidateList>
      <explain>发文字号格式错误。</explain>
      <paraID>60679768</paraID>
      <start>164</start>
      <end>175</end>
      <status>unmodified</status>
      <modifiedWord/>
      <trackRevisions>false</trackRevisions>
    </reviewItem>
    <reviewItem>
      <errorID>ecb96885-23f9-4786-b05d-4e28259bd5b7</errorID>
      <errorWord>【2006】558号</errorWord>
      <group>L1_Knowledge</group>
      <groupName>知识性问题</groupName>
      <ability>L2_Knowledge</ability>
      <abilityName>其他知识</abilityName>
      <candidateList>
        <item>〔2006〕558号</item>
      </candidateList>
      <explain>发文字号格式错误。</explain>
      <paraID>74D8532F</paraID>
      <start>3</start>
      <end>13</end>
      <status>unmodified</status>
      <modifiedWord/>
      <trackRevisions>false</trackRevisions>
    </reviewItem>
    <reviewItem>
      <errorID>5f77f01a-bc8d-4b84-af67-7fd09ad4245b</errorID>
      <errorWord>【2006】1838号</errorWord>
      <group>L1_Knowledge</group>
      <groupName>知识性问题</groupName>
      <ability>L2_Knowledge</ability>
      <abilityName>其他知识</abilityName>
      <candidateList>
        <item>〔2006〕1838号</item>
      </candidateList>
      <explain>发文字号格式错误。</explain>
      <paraID>20F91802</paraID>
      <start>3</start>
      <end>14</end>
      <status>unmodified</status>
      <modifiedWord/>
      <trackRevisions>false</trackRevisions>
    </reviewItem>
    <reviewItem>
      <errorID>3ad2536e-63a3-472c-ae04-408e12a8d970</errorID>
      <errorWord>【2008】277号</errorWord>
      <group>L1_Knowledge</group>
      <groupName>知识性问题</groupName>
      <ability>L2_Knowledge</ability>
      <abilityName>其他知识</abilityName>
      <candidateList>
        <item>〔2008〕277号</item>
      </candidateList>
      <explain>发文字号格式错误。</explain>
      <paraID>43D6A9E1</paraID>
      <start>15</start>
      <end>25</end>
      <status>unmodified</status>
      <modifiedWord/>
      <trackRevisions>false</trackRevisions>
    </reviewItem>
    <reviewItem>
      <errorID>c9a5fcb4-fa8d-49bb-9541-f6736bef2755</errorID>
      <errorWord>【2008】2676号</errorWord>
      <group>L1_Knowledge</group>
      <groupName>知识性问题</groupName>
      <ability>L2_Knowledge</ability>
      <abilityName>其他知识</abilityName>
      <candidateList>
        <item>〔2008〕2676号</item>
      </candidateList>
      <explain>发文字号格式错误。</explain>
      <paraID> F19D6B2</paraID>
      <start>3</start>
      <end>14</end>
      <status>unmodified</status>
      <modifiedWord/>
      <trackRevisions>false</trackRevisions>
    </reviewItem>
    <reviewItem>
      <errorID>136aa044-fd40-4d0f-ade5-1a9ddebfeeaf</errorID>
      <errorWord>【2010】2850号</errorWord>
      <group>L1_Knowledge</group>
      <groupName>知识性问题</groupName>
      <ability>L2_Knowledge</ability>
      <abilityName>其他知识</abilityName>
      <candidateList>
        <item>〔2010〕2850号</item>
      </candidateList>
      <explain>发文字号格式错误。</explain>
      <paraID>6DE53667</paraID>
      <start>3</start>
      <end>14</end>
      <status>unmodified</status>
      <modifiedWord/>
      <trackRevisions>false</trackRevisions>
    </reviewItem>
    <reviewItem>
      <errorID>bb02ee64-9d9f-4912-a9b6-aab6096bf616</errorID>
      <errorWord>【2016】1602号</errorWord>
      <group>L1_Knowledge</group>
      <groupName>知识性问题</groupName>
      <ability>L2_Knowledge</ability>
      <abilityName>其他知识</abilityName>
      <candidateList>
        <item>〔2016〕1602号</item>
      </candidateList>
      <explain>发文字号格式错误。</explain>
      <paraID>2BA952A9</paraID>
      <start>3</start>
      <end>14</end>
      <status>unmodified</status>
      <modifiedWord/>
      <trackRevisions>false</trackRevisions>
    </reviewItem>
    <reviewItem>
      <errorID>076785b4-dda7-4a32-9b88-981017d0ddcd</errorID>
      <errorWord>【2017】0038号</errorWord>
      <group>L1_Knowledge</group>
      <groupName>知识性问题</groupName>
      <ability>L2_Knowledge</ability>
      <abilityName>其他知识</abilityName>
      <candidateList>
        <item>〔2017〕38号</item>
      </candidateList>
      <explain>发文字号格式错误。</explain>
      <paraID>698C8317</paraID>
      <start>16</start>
      <end>27</end>
      <status>unmodified</status>
      <modifiedWord/>
      <trackRevisions>false</trackRevisions>
    </reviewItem>
    <reviewItem>
      <errorID>ac8562dd-0b81-41e9-b3b0-d73f2dda79f1</errorID>
      <errorWord>【2017】0933号</errorWord>
      <group>L1_Knowledge</group>
      <groupName>知识性问题</groupName>
      <ability>L2_Knowledge</ability>
      <abilityName>其他知识</abilityName>
      <candidateList>
        <item>〔2017〕933号</item>
      </candidateList>
      <explain>发文字号格式错误。</explain>
      <paraID>62E2A945</paraID>
      <start>3</start>
      <end>14</end>
      <status>unmodified</status>
      <modifiedWord/>
      <trackRevisions>false</trackRevisions>
    </reviewItem>
    <reviewItem>
      <errorID>5c00792a-9df5-48bb-ace0-6a7ecbb75dc2</errorID>
      <errorWord>（</errorWord>
      <group>L1_Format</group>
      <groupName>格式问题</groupName>
      <ability>L2_HalfPunc</ability>
      <abilityName>全半角检查</abilityName>
      <candidateList>
        <item>(</item>
      </candidateList>
      <explain>文本全半角错误。</explain>
      <paraID> F510A99</paraID>
      <start>0</start>
      <end>1</end>
      <status>unmodified</status>
      <modifiedWord/>
      <trackRevisions>false</trackRevisions>
    </reviewItem>
    <reviewItem>
      <errorID>d21a513c-f797-4f80-b5ed-cddab0b80013</errorID>
      <errorWord>）</errorWord>
      <group>L1_Format</group>
      <groupName>格式问题</groupName>
      <ability>L2_HalfPunc</ability>
      <abilityName>全半角检查</abilityName>
      <candidateList>
        <item>)</item>
      </candidateList>
      <explain>文本全半角错误。</explain>
      <paraID> F510A99</paraID>
      <start>10</start>
      <end>11</end>
      <status>unmodified</status>
      <modifiedWord/>
      <trackRevisions>false</trackRevisions>
    </reviewItem>
    <reviewItem>
      <errorID>b5b28972-4e87-4b30-8961-49b62c714d66</errorID>
      <errorWord>程</errorWord>
      <group>L1_Word</group>
      <groupName>字词问题</groupName>
      <ability>L2_Typo</ability>
      <abilityName>字词错误</abilityName>
      <candidateList>
        <item>程中</item>
      </candidateList>
      <explain/>
      <paraID> B507BD4</paraID>
      <start>9</start>
      <end>10</end>
      <status>unmodified</status>
      <modifiedWord/>
      <trackRevisions>false</trackRevisions>
    </reviewItem>
    <reviewItem>
      <errorID>c9777e42-5fcb-4762-8292-ce195638e620</errorID>
      <errorWord>程</errorWord>
      <group>L1_Word</group>
      <groupName>字词问题</groupName>
      <ability>L2_Typo</ability>
      <abilityName>字词错误</abilityName>
      <candidateList>
        <item>程中</item>
      </candidateList>
      <explain/>
      <paraID>27E1566E</paraID>
      <start>9</start>
      <end>10</end>
      <status>unmodified</status>
      <modifiedWord/>
      <trackRevisions>false</trackRevisions>
    </reviewItem>
    <reviewItem>
      <errorID>51319f53-057f-41f1-8372-76c15462ef02</errorID>
      <errorWord>（</errorWord>
      <group>L1_Format</group>
      <groupName>格式问题</groupName>
      <ability>L2_HalfPunc</ability>
      <abilityName>全半角检查</abilityName>
      <candidateList>
        <item>(</item>
      </candidateList>
      <explain>文本全半角错误。</explain>
      <paraID>5BC60F0A</paraID>
      <start>0</start>
      <end>1</end>
      <status>unmodified</status>
      <modifiedWord/>
      <trackRevisions>false</trackRevisions>
    </reviewItem>
    <reviewItem>
      <errorID>330af573-0059-4a1f-ab32-9bb022d7dad2</errorID>
      <errorWord>）</errorWord>
      <group>L1_Format</group>
      <groupName>格式问题</groupName>
      <ability>L2_HalfPunc</ability>
      <abilityName>全半角检查</abilityName>
      <candidateList>
        <item>)</item>
      </candidateList>
      <explain>文本全半角错误。</explain>
      <paraID>5BC60F0A</paraID>
      <start>11</start>
      <end>12</end>
      <status>unmodified</status>
      <modifiedWord/>
      <trackRevisions>false</trackRevisions>
    </reviewItem>
    <reviewItem>
      <errorID>8fb16961-aaab-4e62-a845-3923ebed339e</errorID>
      <errorWord>（</errorWord>
      <group>L1_Format</group>
      <groupName>格式问题</groupName>
      <ability>L2_HalfPunc</ability>
      <abilityName>全半角检查</abilityName>
      <candidateList>
        <item>(</item>
      </candidateList>
      <explain>文本全半角错误。</explain>
      <paraID>301A146A</paraID>
      <start>0</start>
      <end>1</end>
      <status>unmodified</status>
      <modifiedWord/>
      <trackRevisions>false</trackRevisions>
    </reviewItem>
    <reviewItem>
      <errorID>d78c0f24-5b7a-420d-a5f5-0684bbe360c4</errorID>
      <errorWord>）</errorWord>
      <group>L1_Format</group>
      <groupName>格式问题</groupName>
      <ability>L2_HalfPunc</ability>
      <abilityName>全半角检查</abilityName>
      <candidateList>
        <item>)</item>
      </candidateList>
      <explain>文本全半角错误。</explain>
      <paraID>301A146A</paraID>
      <start>10</start>
      <end>11</end>
      <status>unmodified</status>
      <modifiedWord/>
      <trackRevisions>false</trackRevisions>
    </reviewItem>
    <reviewItem>
      <errorID>a688a538-4758-4a15-9454-6cbfb7d952f4</errorID>
      <errorWord>见</errorWord>
      <group>L1_Word</group>
      <groupName>字词问题</groupName>
      <ability>L2_Typo</ability>
      <abilityName>字词错误</abilityName>
      <candidateList>
        <item>见下</item>
      </candidateList>
      <explain/>
      <paraID>4B357281</paraID>
      <start>14</start>
      <end>15</end>
      <status>unmodified</status>
      <modifiedWord/>
      <trackRevisions>false</trackRevisions>
    </reviewItem>
    <reviewItem>
      <errorID>7cb8da54-d4cc-4070-9e74-6a85ed92bfa2</errorID>
      <errorWord>（</errorWord>
      <group>L1_Format</group>
      <groupName>格式问题</groupName>
      <ability>L2_HalfPunc</ability>
      <abilityName>全半角检查</abilityName>
      <candidateList>
        <item>(</item>
      </candidateList>
      <explain>文本全半角错误。</explain>
      <paraID>64374EDB</paraID>
      <start>0</start>
      <end>1</end>
      <status>unmodified</status>
      <modifiedWord/>
      <trackRevisions>false</trackRevisions>
    </reviewItem>
    <reviewItem>
      <errorID>199d13e6-015e-41d0-8c76-708aba63e587</errorID>
      <errorWord>）</errorWord>
      <group>L1_Format</group>
      <groupName>格式问题</groupName>
      <ability>L2_HalfPunc</ability>
      <abilityName>全半角检查</abilityName>
      <candidateList>
        <item>)</item>
      </candidateList>
      <explain>文本全半角错误。</explain>
      <paraID>64374EDB</paraID>
      <start>4</start>
      <end>5</end>
      <status>unmodified</status>
      <modifiedWord/>
      <trackRevisions>false</trackRevisions>
    </reviewItem>
    <reviewItem>
      <errorID>64609d20-7273-4694-abe8-d9f6f19a4142</errorID>
      <errorWord>已二酸</errorWord>
      <group>L1_Word</group>
      <groupName>字词问题</groupName>
      <ability>L2_Typo</ability>
      <abilityName>字词错误</abilityName>
      <candidateList>
        <item>己二酸</item>
      </candidateList>
      <explain/>
      <paraID>57968531</paraID>
      <start>0</start>
      <end>3</end>
      <status>unmodified</status>
      <modifiedWord/>
      <trackRevisions>false</trackRevisions>
    </reviewItem>
    <reviewItem>
      <errorID>06644fe9-c506-4b21-9486-327669fd51fe</errorID>
      <errorWord>已二酸</errorWord>
      <group>L1_Word</group>
      <groupName>字词问题</groupName>
      <ability>L2_Typo</ability>
      <abilityName>字词错误</abilityName>
      <candidateList>
        <item>己二酸</item>
      </candidateList>
      <explain/>
      <paraID>4B0B4093</paraID>
      <start>0</start>
      <end>3</end>
      <status>unmodified</status>
      <modifiedWord/>
      <trackRevisions>false</trackRevisions>
    </reviewItem>
    <reviewItem>
      <errorID>73bf166e-1ba6-4a9b-a662-d44ef2d4ec5a</errorID>
      <errorWord>,</errorWord>
      <group>L1_Format</group>
      <groupName>格式问题</groupName>
      <ability>L2_HalfPunc</ability>
      <abilityName>全半角检查</abilityName>
      <candidateList>
        <item>，</item>
      </candidateList>
      <explain>文本全半角错误。</explain>
      <paraID>53ADC37C</paraID>
      <start>22</start>
      <end>23</end>
      <status>unmodified</status>
      <modifiedWord/>
      <trackRevisions>false</trackRevisions>
    </reviewItem>
    <reviewItem>
      <errorID>16184f42-d936-46aa-83a6-ecfc20062b23</errorID>
      <errorWord>是</errorWord>
      <group>L1_Word</group>
      <groupName>字词问题</groupName>
      <ability>L2_Typo</ability>
      <abilityName>字词错误</abilityName>
      <candidateList>
        <item>时</item>
      </candidateList>
      <explain>存在发音相同字词的误用。</explain>
      <paraID>53ADC37C</paraID>
      <start>39</start>
      <end>40</end>
      <status>unmodified</status>
      <modifiedWord/>
      <trackRevisions>false</trackRevisions>
    </reviewItem>
    <reviewItem>
      <errorID>924751d4-9d5b-4660-b6db-410794bba016</errorID>
      <errorWord>已二酸</errorWord>
      <group>L1_Word</group>
      <groupName>字词问题</groupName>
      <ability>L2_Typo</ability>
      <abilityName>字词错误</abilityName>
      <candidateList>
        <item>己二酸</item>
      </candidateList>
      <explain>存在字形相近字词的误用。</explain>
      <paraID>420874D3</paraID>
      <start>24</start>
      <end>27</end>
      <status>unmodified</status>
      <modifiedWord/>
      <trackRevisions>false</trackRevisions>
    </reviewItem>
    <reviewItem>
      <errorID>f6bd2f02-a0ba-48de-9706-df2e4272976e</errorID>
      <errorWord>已二酸</errorWord>
      <group>L1_Word</group>
      <groupName>字词问题</groupName>
      <ability>L2_Typo</ability>
      <abilityName>字词错误</abilityName>
      <candidateList>
        <item>己二酸</item>
      </candidateList>
      <explain>存在字形相近字词的误用。</explain>
      <paraID>420874D3</paraID>
      <start>100</start>
      <end>103</end>
      <status>unmodified</status>
      <modifiedWord/>
      <trackRevisions>false</trackRevisions>
    </reviewItem>
    <reviewItem>
      <errorID>25cfe8be-5e30-4338-be7c-f30772ef774e</errorID>
      <errorWord>已二酸</errorWord>
      <group>L1_Word</group>
      <groupName>字词问题</groupName>
      <ability>L2_Typo</ability>
      <abilityName>字词错误</abilityName>
      <candidateList>
        <item>己二酸</item>
      </candidateList>
      <explain/>
      <paraID>72723A61</paraID>
      <start>122</start>
      <end>125</end>
      <status>unmodified</status>
      <modifiedWord/>
      <trackRevisions>false</trackRevisions>
    </reviewItem>
    <reviewItem>
      <errorID>cdc947c4-eaf3-4517-8e2b-c4092ab22a44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603847BB</paraID>
      <start>6</start>
      <end>7</end>
      <status>unmodified</status>
      <modifiedWord/>
      <trackRevisions>false</trackRevisions>
    </reviewItem>
    <reviewItem>
      <errorID>b19f3a29-b855-4451-9dd7-658f4df866c4</errorID>
      <errorWord>的粘度</errorWord>
      <group>L1_Word</group>
      <groupName>字词问题</groupName>
      <ability>L2_Alias</ability>
      <abilityName>也作/曾用词</abilityName>
      <candidateList>
        <item>的黏度</item>
      </candidateList>
      <explain>词汇[的粘度]为不规范表述或旧称，其规范书面表述为[的黏度]。</explain>
      <paraID> A77CD2C</paraID>
      <start>49</start>
      <end>52</end>
      <status>unmodified</status>
      <modifiedWord/>
      <trackRevisions>false</trackRevisions>
    </reviewItem>
    <reviewItem>
      <errorID>58988f5c-43b8-412e-baac-4f34fa7b3261</errorID>
      <errorWord>粘度</errorWord>
      <group>L1_Word</group>
      <groupName>字词问题</groupName>
      <ability>L2_Alias</ability>
      <abilityName>也作/曾用词</abilityName>
      <candidateList>
        <item>黏度</item>
      </candidateList>
      <explain>词汇[粘度]为不规范表述或旧称，其规范书面表述为[黏度]。</explain>
      <paraID> A77CD2C</paraID>
      <start>59</start>
      <end>61</end>
      <status>unmodified</status>
      <modifiedWord/>
      <trackRevisions>false</trackRevisions>
    </reviewItem>
    <reviewItem>
      <errorID>c55068a5-db65-45e1-a5a6-6b72173a1966</errorID>
      <errorWord>粘稠</errorWord>
      <group>L1_Word</group>
      <groupName>字词问题</groupName>
      <ability>L2_Typo</ability>
      <abilityName>字词错误</abilityName>
      <candidateList>
        <item>黏稠</item>
      </candidateList>
      <explain>存在发音相同字词的误用。</explain>
      <paraID>43C0BDD7</paraID>
      <start>14</start>
      <end>16</end>
      <status>unmodified</status>
      <modifiedWord/>
      <trackRevisions>false</trackRevisions>
    </reviewItem>
    <reviewItem>
      <errorID>5258058d-73e4-456d-997e-a3b0593b847c</errorID>
      <errorWord>（</errorWord>
      <group>L1_Format</group>
      <groupName>格式问题</groupName>
      <ability>L2_HalfPunc</ability>
      <abilityName>全半角检查</abilityName>
      <candidateList>
        <item>(</item>
      </candidateList>
      <explain>文本全半角错误。</explain>
      <paraID>743F6294</paraID>
      <start>6</start>
      <end>7</end>
      <status>unmodified</status>
      <modifiedWord/>
      <trackRevisions>false</trackRevisions>
    </reviewItem>
    <reviewItem>
      <errorID>1fb970ff-d785-4f6d-b172-77c4552656ca</errorID>
      <errorWord>）</errorWord>
      <group>L1_Format</group>
      <groupName>格式问题</groupName>
      <ability>L2_HalfPunc</ability>
      <abilityName>全半角检查</abilityName>
      <candidateList>
        <item>)</item>
      </candidateList>
      <explain>文本全半角错误。</explain>
      <paraID>743F6294</paraID>
      <start>10</start>
      <end>11</end>
      <status>unmodified</status>
      <modifiedWord/>
      <trackRevisions>false</trackRevisions>
    </reviewItem>
    <reviewItem>
      <errorID>2842aa92-1ee2-4888-98cf-c36d8c2b7158</errorID>
      <errorWord>（</errorWord>
      <group>L1_Format</group>
      <groupName>格式问题</groupName>
      <ability>L2_HalfPunc</ability>
      <abilityName>全半角检查</abilityName>
      <candidateList>
        <item>(</item>
      </candidateList>
      <explain>文本全半角错误。</explain>
      <paraID>110CA098</paraID>
      <start>6</start>
      <end>7</end>
      <status>unmodified</status>
      <modifiedWord/>
      <trackRevisions>false</trackRevisions>
    </reviewItem>
    <reviewItem>
      <errorID>c6744cf1-483a-419f-8a23-bad5a126d167</errorID>
      <errorWord>）</errorWord>
      <group>L1_Format</group>
      <groupName>格式问题</groupName>
      <ability>L2_HalfPunc</ability>
      <abilityName>全半角检查</abilityName>
      <candidateList>
        <item>)</item>
      </candidateList>
      <explain>文本全半角错误。</explain>
      <paraID>110CA098</paraID>
      <start>10</start>
      <end>11</end>
      <status>unmodified</status>
      <modifiedWord/>
      <trackRevisions>false</trackRevisions>
    </reviewItem>
    <reviewItem>
      <errorID>5a727b89-2918-4f38-ba6c-a6ab9410e330</errorID>
      <errorWord>（</errorWord>
      <group>L1_Format</group>
      <groupName>格式问题</groupName>
      <ability>L2_HalfPunc</ability>
      <abilityName>全半角检查</abilityName>
      <candidateList>
        <item>(</item>
      </candidateList>
      <explain>文本全半角错误。</explain>
      <paraID> F407109</paraID>
      <start>6</start>
      <end>7</end>
      <status>unmodified</status>
      <modifiedWord/>
      <trackRevisions>false</trackRevisions>
    </reviewItem>
    <reviewItem>
      <errorID>907cb8d3-6088-4501-a39f-c403df03875f</errorID>
      <errorWord>）</errorWord>
      <group>L1_Format</group>
      <groupName>格式问题</groupName>
      <ability>L2_HalfPunc</ability>
      <abilityName>全半角检查</abilityName>
      <candidateList>
        <item>)</item>
      </candidateList>
      <explain>文本全半角错误。</explain>
      <paraID> F407109</paraID>
      <start>10</start>
      <end>11</end>
      <status>unmodified</status>
      <modifiedWord/>
      <trackRevisions>false</trackRevisions>
    </reviewItem>
    <reviewItem>
      <errorID>d16da581-3643-446c-9e9a-82e6898edf87</errorID>
      <errorWord>（</errorWord>
      <group>L1_Format</group>
      <groupName>格式问题</groupName>
      <ability>L2_HalfPunc</ability>
      <abilityName>全半角检查</abilityName>
      <candidateList>
        <item>(</item>
      </candidateList>
      <explain>文本全半角错误。</explain>
      <paraID>  C2FAE8</paraID>
      <start>6</start>
      <end>7</end>
      <status>unmodified</status>
      <modifiedWord/>
      <trackRevisions>false</trackRevisions>
    </reviewItem>
    <reviewItem>
      <errorID>5ae0db54-65b6-4eb3-a265-a24d8d3a03c6</errorID>
      <errorWord>）</errorWord>
      <group>L1_Format</group>
      <groupName>格式问题</groupName>
      <ability>L2_HalfPunc</ability>
      <abilityName>全半角检查</abilityName>
      <candidateList>
        <item>)</item>
      </candidateList>
      <explain>文本全半角错误。</explain>
      <paraID>  C2FAE8</paraID>
      <start>10</start>
      <end>11</end>
      <status>unmodified</status>
      <modifiedWord/>
      <trackRevisions>false</trackRevisions>
    </reviewItem>
    <reviewItem>
      <errorID>bab6094f-7be6-461d-8989-16ae3b6516e7</errorID>
      <errorWord>（</errorWord>
      <group>L1_Format</group>
      <groupName>格式问题</groupName>
      <ability>L2_HalfPunc</ability>
      <abilityName>全半角检查</abilityName>
      <candidateList>
        <item>(</item>
      </candidateList>
      <explain>文本全半角错误。</explain>
      <paraID>3607B21B</paraID>
      <start>6</start>
      <end>7</end>
      <status>unmodified</status>
      <modifiedWord/>
      <trackRevisions>false</trackRevisions>
    </reviewItem>
    <reviewItem>
      <errorID>ca233d3e-7de2-46ca-baec-330c3b6645fa</errorID>
      <errorWord>）</errorWord>
      <group>L1_Format</group>
      <groupName>格式问题</groupName>
      <ability>L2_HalfPunc</ability>
      <abilityName>全半角检查</abilityName>
      <candidateList>
        <item>)</item>
      </candidateList>
      <explain>文本全半角错误。</explain>
      <paraID>3607B21B</paraID>
      <start>10</start>
      <end>11</end>
      <status>unmodified</status>
      <modifiedWord/>
      <trackRevisions>false</trackRevisions>
    </reviewItem>
    <reviewItem>
      <errorID>e90a2b10-7de6-43fe-aae7-c977e75129af</errorID>
      <errorWord>（</errorWord>
      <group>L1_Format</group>
      <groupName>格式问题</groupName>
      <ability>L2_HalfPunc</ability>
      <abilityName>全半角检查</abilityName>
      <candidateList>
        <item>(</item>
      </candidateList>
      <explain>文本全半角错误。</explain>
      <paraID>2C04D575</paraID>
      <start>6</start>
      <end>7</end>
      <status>unmodified</status>
      <modifiedWord/>
      <trackRevisions>false</trackRevisions>
    </reviewItem>
    <reviewItem>
      <errorID>add554ab-228f-4f12-b767-c661c28c92e1</errorID>
      <errorWord>）</errorWord>
      <group>L1_Format</group>
      <groupName>格式问题</groupName>
      <ability>L2_HalfPunc</ability>
      <abilityName>全半角检查</abilityName>
      <candidateList>
        <item>)</item>
      </candidateList>
      <explain>文本全半角错误。</explain>
      <paraID>2C04D575</paraID>
      <start>10</start>
      <end>11</end>
      <status>unmodified</status>
      <modifiedWord/>
      <trackRevisions>false</trackRevisions>
    </reviewItem>
    <reviewItem>
      <errorID>c4a00fab-1f8b-41dc-85e2-4be8a5c98cb2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2CD09B5B</paraID>
      <start>215</start>
      <end>216</end>
      <status>unmodified</status>
      <modifiedWord/>
      <trackRevisions>false</trackRevisions>
    </reviewItem>
    <reviewItem>
      <errorID>af8ce824-bdc7-47dc-9ee8-7d08a4d39bce</errorID>
      <errorWord>(</errorWord>
      <group>L1_Format</group>
      <groupName>格式问题</groupName>
      <ability>L2_HalfPunc</ability>
      <abilityName>全半角检查</abilityName>
      <candidateList>
        <item>（</item>
      </candidateList>
      <explain>文本全半角错误。</explain>
      <paraID>75FA1D3D</paraID>
      <start>6</start>
      <end>7</end>
      <status>unmodified</status>
      <modifiedWord/>
      <trackRevisions>false</trackRevisions>
    </reviewItem>
    <reviewItem>
      <errorID>1bbb6394-b253-4b82-91dc-ab5f2071f7a5</errorID>
      <errorWord>)</errorWord>
      <group>L1_Format</group>
      <groupName>格式问题</groupName>
      <ability>L2_HalfPunc</ability>
      <abilityName>全半角检查</abilityName>
      <candidateList>
        <item>）</item>
      </candidateList>
      <explain>文本全半角错误。</explain>
      <paraID>75FA1D3D</paraID>
      <start>12</start>
      <end>13</end>
      <status>ignored</status>
      <modifiedWord/>
      <trackRevisions>false</trackRevisions>
    </reviewItem>
    <reviewItem>
      <errorID>3a244ee0-64c7-4d2a-8f57-713926a23227</errorID>
      <errorWord>(</errorWord>
      <group>L1_Format</group>
      <groupName>格式问题</groupName>
      <ability>L2_HalfPunc</ability>
      <abilityName>全半角检查</abilityName>
      <candidateList>
        <item>（</item>
      </candidateList>
      <explain>文本全半角错误。</explain>
      <paraID> 24118B5</paraID>
      <start>4</start>
      <end>5</end>
      <status>unmodified</status>
      <modifiedWord/>
      <trackRevisions>false</trackRevisions>
    </reviewItem>
    <reviewItem>
      <errorID>44613816-dc51-435c-bd90-fe26cebc83e3</errorID>
      <errorWord>)</errorWord>
      <group>L1_Format</group>
      <groupName>格式问题</groupName>
      <ability>L2_HalfPunc</ability>
      <abilityName>全半角检查</abilityName>
      <candidateList>
        <item>）</item>
      </candidateList>
      <explain>文本全半角错误。</explain>
      <paraID> 24118B5</paraID>
      <start>8</start>
      <end>9</end>
      <status>ignored</status>
      <modifiedWord/>
      <trackRevisions>false</trackRevisions>
    </reviewItem>
    <reviewItem>
      <errorID>746a29ef-e843-4690-a03d-6c7b7b3555a6</errorID>
      <errorWord>(</errorWord>
      <group>L1_Format</group>
      <groupName>格式问题</groupName>
      <ability>L2_HalfPunc</ability>
      <abilityName>全半角检查</abilityName>
      <candidateList>
        <item>（</item>
      </candidateList>
      <explain>文本全半角错误。</explain>
      <paraID>38EA2945</paraID>
      <start>2</start>
      <end>3</end>
      <status>unmodified</status>
      <modifiedWord/>
      <trackRevisions>false</trackRevisions>
    </reviewItem>
    <reviewItem>
      <errorID>325a603b-29bc-4c14-8cbe-57ac0f28bc97</errorID>
      <errorWord>)</errorWord>
      <group>L1_Format</group>
      <groupName>格式问题</groupName>
      <ability>L2_HalfPunc</ability>
      <abilityName>全半角检查</abilityName>
      <candidateList>
        <item>）</item>
      </candidateList>
      <explain>文本全半角错误。</explain>
      <paraID>38EA2945</paraID>
      <start>4</start>
      <end>5</end>
      <status>ignored</status>
      <modifiedWord/>
      <trackRevisions>false</trackRevisions>
    </reviewItem>
    <reviewItem>
      <errorID>5e29644e-151e-4959-be57-a75468dd858b</errorID>
      <errorWord>(</errorWord>
      <group>L1_Format</group>
      <groupName>格式问题</groupName>
      <ability>L2_HalfPunc</ability>
      <abilityName>全半角检查</abilityName>
      <candidateList>
        <item>（</item>
      </candidateList>
      <explain>文本全半角错误。</explain>
      <paraID>6F42F5C5</paraID>
      <start>3</start>
      <end>4</end>
      <status>unmodified</status>
      <modifiedWord/>
      <trackRevisions>false</trackRevisions>
    </reviewItem>
    <reviewItem>
      <errorID>328d6ae4-de26-405b-8da2-8d6f9af0db81</errorID>
      <errorWord>)</errorWord>
      <group>L1_Format</group>
      <groupName>格式问题</groupName>
      <ability>L2_HalfPunc</ability>
      <abilityName>全半角检查</abilityName>
      <candidateList>
        <item>）</item>
      </candidateList>
      <explain>文本全半角错误。</explain>
      <paraID>6F42F5C5</paraID>
      <start>7</start>
      <end>8</end>
      <status>ignored</status>
      <modifiedWord/>
      <trackRevisions>false</trackRevisions>
    </reviewItem>
    <reviewItem>
      <errorID>d533098c-6acf-4a3d-8143-8e74dbe6bc9f</errorID>
      <errorWord>(</errorWord>
      <group>L1_Format</group>
      <groupName>格式问题</groupName>
      <ability>L2_HalfPunc</ability>
      <abilityName>全半角检查</abilityName>
      <candidateList>
        <item>（</item>
      </candidateList>
      <explain>文本全半角错误。</explain>
      <paraID>488C9B9F</paraID>
      <start>2</start>
      <end>3</end>
      <status>ignored</status>
      <modifiedWord/>
      <trackRevisions>false</trackRevisions>
    </reviewItem>
    <reviewItem>
      <errorID>66e84ecb-306b-4f9f-8525-77b727b82e8c</errorID>
      <errorWord>)</errorWord>
      <group>L1_Format</group>
      <groupName>格式问题</groupName>
      <ability>L2_HalfPunc</ability>
      <abilityName>全半角检查</abilityName>
      <candidateList>
        <item>）</item>
      </candidateList>
      <explain>文本全半角错误。</explain>
      <paraID>488C9B9F</paraID>
      <start>6</start>
      <end>7</end>
      <status>ignored</status>
      <modifiedWord/>
      <trackRevisions>false</trackRevisions>
    </reviewItem>
    <reviewItem>
      <errorID>c08006b0-53fa-4351-8720-d8e4dfb95dbb</errorID>
      <errorWord>(</errorWord>
      <group>L1_Format</group>
      <groupName>格式问题</groupName>
      <ability>L2_HalfPunc</ability>
      <abilityName>全半角检查</abilityName>
      <candidateList>
        <item>（</item>
      </candidateList>
      <explain>文本全半角错误。</explain>
      <paraID>491AB720</paraID>
      <start>5</start>
      <end>6</end>
      <status>unmodified</status>
      <modifiedWord/>
      <trackRevisions>false</trackRevisions>
    </reviewItem>
    <reviewItem>
      <errorID>7acfe6b8-1809-4c7b-a85b-5d9d4ea0c0a4</errorID>
      <errorWord>)</errorWord>
      <group>L1_Format</group>
      <groupName>格式问题</groupName>
      <ability>L2_HalfPunc</ability>
      <abilityName>全半角检查</abilityName>
      <candidateList>
        <item>）</item>
      </candidateList>
      <explain>文本全半角错误。</explain>
      <paraID>491AB720</paraID>
      <start>11</start>
      <end>12</end>
      <status>ignored</status>
      <modifiedWord/>
      <trackRevisions>false</trackRevisions>
    </reviewItem>
    <reviewItem>
      <errorID>02168446-dbb9-4647-ae70-19a158c5c770</errorID>
      <errorWord>(</errorWord>
      <group>L1_Format</group>
      <groupName>格式问题</groupName>
      <ability>L2_HalfPunc</ability>
      <abilityName>全半角检查</abilityName>
      <candidateList>
        <item>（</item>
      </candidateList>
      <explain>文本全半角错误。</explain>
      <paraID>481C0F77</paraID>
      <start>2</start>
      <end>3</end>
      <status>unmodified</status>
      <modifiedWord/>
      <trackRevisions>false</trackRevisions>
    </reviewItem>
    <reviewItem>
      <errorID>eb859adf-ab72-4887-ab8f-69d859406a0a</errorID>
      <errorWord>)</errorWord>
      <group>L1_Format</group>
      <groupName>格式问题</groupName>
      <ability>L2_HalfPunc</ability>
      <abilityName>全半角检查</abilityName>
      <candidateList>
        <item>）</item>
      </candidateList>
      <explain>文本全半角错误。</explain>
      <paraID>481C0F77</paraID>
      <start>4</start>
      <end>5</end>
      <status>ignored</status>
      <modifiedWord/>
      <trackRevisions>false</trackRevisions>
    </reviewItem>
    <reviewItem>
      <errorID>963f803f-5f81-4668-8758-fe6945cb01ec</errorID>
      <errorWord>(</errorWord>
      <group>L1_Format</group>
      <groupName>格式问题</groupName>
      <ability>L2_HalfPunc</ability>
      <abilityName>全半角检查</abilityName>
      <candidateList>
        <item>（</item>
      </candidateList>
      <explain>文本全半角错误。</explain>
      <paraID>4A007FFF</paraID>
      <start>3</start>
      <end>4</end>
      <status>unmodified</status>
      <modifiedWord/>
      <trackRevisions>false</trackRevisions>
    </reviewItem>
    <reviewItem>
      <errorID>bc89427f-8c8c-44fc-bd7c-c0bbbb621a83</errorID>
      <errorWord>)</errorWord>
      <group>L1_Format</group>
      <groupName>格式问题</groupName>
      <ability>L2_HalfPunc</ability>
      <abilityName>全半角检查</abilityName>
      <candidateList>
        <item>）</item>
      </candidateList>
      <explain>文本全半角错误。</explain>
      <paraID>4A007FFF</paraID>
      <start>7</start>
      <end>8</end>
      <status>ignored</status>
      <modifiedWord/>
      <trackRevisions>false</trackRevisions>
    </reviewItem>
    <reviewItem>
      <errorID>da3aff82-6f7b-4efa-89df-b93624ce3f81</errorID>
      <errorWord>(</errorWord>
      <group>L1_Format</group>
      <groupName>格式问题</groupName>
      <ability>L2_HalfPunc</ability>
      <abilityName>全半角检查</abilityName>
      <candidateList>
        <item>（</item>
      </candidateList>
      <explain>文本全半角错误。</explain>
      <paraID>57228134</paraID>
      <start>2</start>
      <end>3</end>
      <status>ignored</status>
      <modifiedWord/>
      <trackRevisions>false</trackRevisions>
    </reviewItem>
    <reviewItem>
      <errorID>69317006-79b3-458d-aff7-f15f4fdcc1f8</errorID>
      <errorWord>)</errorWord>
      <group>L1_Format</group>
      <groupName>格式问题</groupName>
      <ability>L2_HalfPunc</ability>
      <abilityName>全半角检查</abilityName>
      <candidateList>
        <item>）</item>
      </candidateList>
      <explain>文本全半角错误。</explain>
      <paraID>57228134</paraID>
      <start>6</start>
      <end>7</end>
      <status>ignored</status>
      <modifiedWord/>
      <trackRevisions>false</trackRevisions>
    </reviewItem>
    <reviewItem>
      <errorID>f3623c61-bfa0-4654-9185-e3ed37ecbdb4</errorID>
      <errorWord>(</errorWord>
      <group>L1_Format</group>
      <groupName>格式问题</groupName>
      <ability>L2_HalfPunc</ability>
      <abilityName>全半角检查</abilityName>
      <candidateList>
        <item>（</item>
      </candidateList>
      <explain>文本全半角错误。</explain>
      <paraID>481E675D</paraID>
      <start>6</start>
      <end>7</end>
      <status>unmodified</status>
      <modifiedWord/>
      <trackRevisions>false</trackRevisions>
    </reviewItem>
    <reviewItem>
      <errorID>24b620ac-76c9-4271-954c-6950d2f31905</errorID>
      <errorWord>)</errorWord>
      <group>L1_Format</group>
      <groupName>格式问题</groupName>
      <ability>L2_HalfPunc</ability>
      <abilityName>全半角检查</abilityName>
      <candidateList>
        <item>）</item>
      </candidateList>
      <explain>文本全半角错误。</explain>
      <paraID>481E675D</paraID>
      <start>12</start>
      <end>13</end>
      <status>ignored</status>
      <modifiedWord/>
      <trackRevisions>false</trackRevisions>
    </reviewItem>
    <reviewItem>
      <errorID>72bef944-34a6-4cc3-bbe8-deaa0ddc6b6c</errorID>
      <errorWord>(</errorWord>
      <group>L1_Format</group>
      <groupName>格式问题</groupName>
      <ability>L2_HalfPunc</ability>
      <abilityName>全半角检查</abilityName>
      <candidateList>
        <item>（</item>
      </candidateList>
      <explain>文本全半角错误。</explain>
      <paraID>2E32863B</paraID>
      <start>4</start>
      <end>5</end>
      <status>unmodified</status>
      <modifiedWord/>
      <trackRevisions>false</trackRevisions>
    </reviewItem>
    <reviewItem>
      <errorID>67402e21-e1c3-4365-94d2-16c468816885</errorID>
      <errorWord>)</errorWord>
      <group>L1_Format</group>
      <groupName>格式问题</groupName>
      <ability>L2_HalfPunc</ability>
      <abilityName>全半角检查</abilityName>
      <candidateList>
        <item>）</item>
      </candidateList>
      <explain>文本全半角错误。</explain>
      <paraID>2E32863B</paraID>
      <start>8</start>
      <end>9</end>
      <status>ignored</status>
      <modifiedWord/>
      <trackRevisions>false</trackRevisions>
    </reviewItem>
    <reviewItem>
      <errorID>0d289fd1-9ef7-4ebf-a8a0-cfec748e57d9</errorID>
      <errorWord>(</errorWord>
      <group>L1_Format</group>
      <groupName>格式问题</groupName>
      <ability>L2_HalfPunc</ability>
      <abilityName>全半角检查</abilityName>
      <candidateList>
        <item>（</item>
      </candidateList>
      <explain>文本全半角错误。</explain>
      <paraID> 7ABD8CA</paraID>
      <start>2</start>
      <end>3</end>
      <status>unmodified</status>
      <modifiedWord/>
      <trackRevisions>false</trackRevisions>
    </reviewItem>
    <reviewItem>
      <errorID>7fc0a487-9ff1-4c61-8043-835ec6cd6332</errorID>
      <errorWord>)</errorWord>
      <group>L1_Format</group>
      <groupName>格式问题</groupName>
      <ability>L2_HalfPunc</ability>
      <abilityName>全半角检查</abilityName>
      <candidateList>
        <item>）</item>
      </candidateList>
      <explain>文本全半角错误。</explain>
      <paraID> 7ABD8CA</paraID>
      <start>4</start>
      <end>5</end>
      <status>ignored</status>
      <modifiedWord/>
      <trackRevisions>false</trackRevisions>
    </reviewItem>
    <reviewItem>
      <errorID>60e9e2ee-0336-40df-991e-9550d4b61369</errorID>
      <errorWord>(</errorWord>
      <group>L1_Format</group>
      <groupName>格式问题</groupName>
      <ability>L2_HalfPunc</ability>
      <abilityName>全半角检查</abilityName>
      <candidateList>
        <item>（</item>
      </candidateList>
      <explain>文本全半角错误。</explain>
      <paraID>21C8456C</paraID>
      <start>3</start>
      <end>4</end>
      <status>unmodified</status>
      <modifiedWord/>
      <trackRevisions>false</trackRevisions>
    </reviewItem>
    <reviewItem>
      <errorID>a3f56504-d9f1-45b6-880a-f8e59e0728c0</errorID>
      <errorWord>)</errorWord>
      <group>L1_Format</group>
      <groupName>格式问题</groupName>
      <ability>L2_HalfPunc</ability>
      <abilityName>全半角检查</abilityName>
      <candidateList>
        <item>）</item>
      </candidateList>
      <explain>文本全半角错误。</explain>
      <paraID>21C8456C</paraID>
      <start>7</start>
      <end>8</end>
      <status>ignored</status>
      <modifiedWord/>
      <trackRevisions>false</trackRevisions>
    </reviewItem>
    <reviewItem>
      <errorID>5d395e30-e7cd-4677-998c-59f23b7b0bfd</errorID>
      <errorWord>(</errorWord>
      <group>L1_Format</group>
      <groupName>格式问题</groupName>
      <ability>L2_HalfPunc</ability>
      <abilityName>全半角检查</abilityName>
      <candidateList>
        <item>（</item>
      </candidateList>
      <explain>文本全半角错误。</explain>
      <paraID>11F738DE</paraID>
      <start>2</start>
      <end>3</end>
      <status>ignored</status>
      <modifiedWord/>
      <trackRevisions>false</trackRevisions>
    </reviewItem>
    <reviewItem>
      <errorID>1a9d19f9-38e6-4a40-bf2d-6e5a39059108</errorID>
      <errorWord>)</errorWord>
      <group>L1_Format</group>
      <groupName>格式问题</groupName>
      <ability>L2_HalfPunc</ability>
      <abilityName>全半角检查</abilityName>
      <candidateList>
        <item>）</item>
      </candidateList>
      <explain>文本全半角错误。</explain>
      <paraID>11F738DE</paraID>
      <start>6</start>
      <end>7</end>
      <status>ignored</status>
      <modifiedWord/>
      <trackRevisions>false</trackRevisions>
    </reviewItem>
    <reviewItem>
      <errorID>2a9af881-ee25-4b00-9de7-5a1f1593fcd0</errorID>
      <errorWord>(</errorWord>
      <group>L1_Format</group>
      <groupName>格式问题</groupName>
      <ability>L2_HalfPunc</ability>
      <abilityName>全半角检查</abilityName>
      <candidateList>
        <item>（</item>
      </candidateList>
      <explain>文本全半角错误。</explain>
      <paraID>6CECF287</paraID>
      <start>5</start>
      <end>6</end>
      <status>unmodified</status>
      <modifiedWord/>
      <trackRevisions>false</trackRevisions>
    </reviewItem>
    <reviewItem>
      <errorID>d2de8189-2de4-4d9c-b4da-407f0ab72636</errorID>
      <errorWord>)</errorWord>
      <group>L1_Format</group>
      <groupName>格式问题</groupName>
      <ability>L2_HalfPunc</ability>
      <abilityName>全半角检查</abilityName>
      <candidateList>
        <item>）</item>
      </candidateList>
      <explain>文本全半角错误。</explain>
      <paraID>6CECF287</paraID>
      <start>11</start>
      <end>12</end>
      <status>ignored</status>
      <modifiedWord/>
      <trackRevisions>false</trackRevisions>
    </reviewItem>
    <reviewItem>
      <errorID>87157f6f-4488-4062-99aa-1c8b329cf339</errorID>
      <errorWord>(</errorWord>
      <group>L1_Format</group>
      <groupName>格式问题</groupName>
      <ability>L2_HalfPunc</ability>
      <abilityName>全半角检查</abilityName>
      <candidateList>
        <item>（</item>
      </candidateList>
      <explain>文本全半角错误。</explain>
      <paraID>473ACE0E</paraID>
      <start>2</start>
      <end>3</end>
      <status>unmodified</status>
      <modifiedWord/>
      <trackRevisions>false</trackRevisions>
    </reviewItem>
    <reviewItem>
      <errorID>fc2449b9-8caf-407b-9331-c9c9f640d6a1</errorID>
      <errorWord>)</errorWord>
      <group>L1_Format</group>
      <groupName>格式问题</groupName>
      <ability>L2_HalfPunc</ability>
      <abilityName>全半角检查</abilityName>
      <candidateList>
        <item>）</item>
      </candidateList>
      <explain>文本全半角错误。</explain>
      <paraID>473ACE0E</paraID>
      <start>4</start>
      <end>5</end>
      <status>ignored</status>
      <modifiedWord/>
      <trackRevisions>false</trackRevisions>
    </reviewItem>
    <reviewItem>
      <errorID>86f9b666-8a62-49cb-8588-66c710c27e89</errorID>
      <errorWord>(</errorWord>
      <group>L1_Format</group>
      <groupName>格式问题</groupName>
      <ability>L2_HalfPunc</ability>
      <abilityName>全半角检查</abilityName>
      <candidateList>
        <item>（</item>
      </candidateList>
      <explain>文本全半角错误。</explain>
      <paraID>460D7EE9</paraID>
      <start>3</start>
      <end>4</end>
      <status>unmodified</status>
      <modifiedWord/>
      <trackRevisions>false</trackRevisions>
    </reviewItem>
    <reviewItem>
      <errorID>88848887-861f-4773-936a-3c648e301445</errorID>
      <errorWord>)</errorWord>
      <group>L1_Format</group>
      <groupName>格式问题</groupName>
      <ability>L2_HalfPunc</ability>
      <abilityName>全半角检查</abilityName>
      <candidateList>
        <item>）</item>
      </candidateList>
      <explain>文本全半角错误。</explain>
      <paraID>460D7EE9</paraID>
      <start>7</start>
      <end>8</end>
      <status>ignored</status>
      <modifiedWord/>
      <trackRevisions>false</trackRevisions>
    </reviewItem>
    <reviewItem>
      <errorID>7ea0d2b3-0300-4e2d-96d3-4276c241f9c0</errorID>
      <errorWord>(</errorWord>
      <group>L1_Format</group>
      <groupName>格式问题</groupName>
      <ability>L2_HalfPunc</ability>
      <abilityName>全半角检查</abilityName>
      <candidateList>
        <item>（</item>
      </candidateList>
      <explain>文本全半角错误。</explain>
      <paraID>798556A1</paraID>
      <start>2</start>
      <end>3</end>
      <status>ignored</status>
      <modifiedWord/>
      <trackRevisions>false</trackRevisions>
    </reviewItem>
    <reviewItem>
      <errorID>bdc5a9e3-1669-424e-bb87-a9d5623a1d9e</errorID>
      <errorWord>)</errorWord>
      <group>L1_Format</group>
      <groupName>格式问题</groupName>
      <ability>L2_HalfPunc</ability>
      <abilityName>全半角检查</abilityName>
      <candidateList>
        <item>）</item>
      </candidateList>
      <explain>文本全半角错误。</explain>
      <paraID>798556A1</paraID>
      <start>6</start>
      <end>7</end>
      <status>ignored</status>
      <modifiedWord/>
      <trackRevisions>false</trackRevisions>
    </reviewItem>
    <reviewItem>
      <errorID>a4c6fbfb-ec7d-48d7-8e9f-5699e453dd30</errorID>
      <errorWord>(</errorWord>
      <group>L1_Format</group>
      <groupName>格式问题</groupName>
      <ability>L2_HalfPunc</ability>
      <abilityName>全半角检查</abilityName>
      <candidateList>
        <item>（</item>
      </candidateList>
      <explain>文本全半角错误。</explain>
      <paraID>3DA5FF0A</paraID>
      <start>6</start>
      <end>7</end>
      <status>unmodified</status>
      <modifiedWord/>
      <trackRevisions>false</trackRevisions>
    </reviewItem>
    <reviewItem>
      <errorID>0197cf7c-3415-49c4-94bd-e88eecb64ef6</errorID>
      <errorWord>)</errorWord>
      <group>L1_Format</group>
      <groupName>格式问题</groupName>
      <ability>L2_HalfPunc</ability>
      <abilityName>全半角检查</abilityName>
      <candidateList>
        <item>）</item>
      </candidateList>
      <explain>文本全半角错误。</explain>
      <paraID>3DA5FF0A</paraID>
      <start>12</start>
      <end>13</end>
      <status>ignored</status>
      <modifiedWord/>
      <trackRevisions>false</trackRevisions>
    </reviewItem>
    <reviewItem>
      <errorID>f72af00f-65a9-45f4-8d17-d4387d6cda7f</errorID>
      <errorWord>(</errorWord>
      <group>L1_Format</group>
      <groupName>格式问题</groupName>
      <ability>L2_HalfPunc</ability>
      <abilityName>全半角检查</abilityName>
      <candidateList>
        <item>（</item>
      </candidateList>
      <explain>文本全半角错误。</explain>
      <paraID>44E23989</paraID>
      <start>4</start>
      <end>5</end>
      <status>unmodified</status>
      <modifiedWord/>
      <trackRevisions>false</trackRevisions>
    </reviewItem>
    <reviewItem>
      <errorID>9196f3b2-ad33-4cd9-a07a-bdb30fb14c6a</errorID>
      <errorWord>)</errorWord>
      <group>L1_Format</group>
      <groupName>格式问题</groupName>
      <ability>L2_HalfPunc</ability>
      <abilityName>全半角检查</abilityName>
      <candidateList>
        <item>）</item>
      </candidateList>
      <explain>文本全半角错误。</explain>
      <paraID>44E23989</paraID>
      <start>8</start>
      <end>9</end>
      <status>ignored</status>
      <modifiedWord/>
      <trackRevisions>false</trackRevisions>
    </reviewItem>
    <reviewItem>
      <errorID>ad345a4b-147e-4ad5-9327-46d91052eb23</errorID>
      <errorWord>(</errorWord>
      <group>L1_Format</group>
      <groupName>格式问题</groupName>
      <ability>L2_HalfPunc</ability>
      <abilityName>全半角检查</abilityName>
      <candidateList>
        <item>（</item>
      </candidateList>
      <explain>文本全半角错误。</explain>
      <paraID>2112EC1D</paraID>
      <start>5</start>
      <end>6</end>
      <status>unmodified</status>
      <modifiedWord/>
      <trackRevisions>false</trackRevisions>
    </reviewItem>
    <reviewItem>
      <errorID>47086a85-0d66-4d83-bfe0-444177b5dfd7</errorID>
      <errorWord>)</errorWord>
      <group>L1_Format</group>
      <groupName>格式问题</groupName>
      <ability>L2_HalfPunc</ability>
      <abilityName>全半角检查</abilityName>
      <candidateList>
        <item>）</item>
      </candidateList>
      <explain>文本全半角错误。</explain>
      <paraID>2112EC1D</paraID>
      <start>11</start>
      <end>12</end>
      <status>ignored</status>
      <modifiedWord/>
      <trackRevisions>false</trackRevisions>
    </reviewItem>
    <reviewItem>
      <errorID>dfb61a26-8c56-4393-902f-d2d095292613</errorID>
      <errorWord>(</errorWord>
      <group>L1_Format</group>
      <groupName>格式问题</groupName>
      <ability>L2_HalfPunc</ability>
      <abilityName>全半角检查</abilityName>
      <candidateList>
        <item>（</item>
      </candidateList>
      <explain>文本全半角错误。</explain>
      <paraID>2AF65B8E</paraID>
      <start>2</start>
      <end>3</end>
      <status>unmodified</status>
      <modifiedWord/>
      <trackRevisions>false</trackRevisions>
    </reviewItem>
    <reviewItem>
      <errorID>65032242-5d58-40b8-83d1-85fe69af8b74</errorID>
      <errorWord>)</errorWord>
      <group>L1_Format</group>
      <groupName>格式问题</groupName>
      <ability>L2_HalfPunc</ability>
      <abilityName>全半角检查</abilityName>
      <candidateList>
        <item>）</item>
      </candidateList>
      <explain>文本全半角错误。</explain>
      <paraID>2AF65B8E</paraID>
      <start>4</start>
      <end>5</end>
      <status>ignored</status>
      <modifiedWord/>
      <trackRevisions>false</trackRevisions>
    </reviewItem>
    <reviewItem>
      <errorID>9ec3321c-beee-49f1-8120-7d1cc927eb45</errorID>
      <errorWord>(</errorWord>
      <group>L1_Format</group>
      <groupName>格式问题</groupName>
      <ability>L2_HalfPunc</ability>
      <abilityName>全半角检查</abilityName>
      <candidateList>
        <item>（</item>
      </candidateList>
      <explain>文本全半角错误。</explain>
      <paraID>34BADD6D</paraID>
      <start>3</start>
      <end>4</end>
      <status>unmodified</status>
      <modifiedWord/>
      <trackRevisions>false</trackRevisions>
    </reviewItem>
    <reviewItem>
      <errorID>faf474bd-5139-45b9-96d5-cb6a65fde8c5</errorID>
      <errorWord>)</errorWord>
      <group>L1_Format</group>
      <groupName>格式问题</groupName>
      <ability>L2_HalfPunc</ability>
      <abilityName>全半角检查</abilityName>
      <candidateList>
        <item>）</item>
      </candidateList>
      <explain>文本全半角错误。</explain>
      <paraID>34BADD6D</paraID>
      <start>7</start>
      <end>8</end>
      <status>ignored</status>
      <modifiedWord/>
      <trackRevisions>false</trackRevisions>
    </reviewItem>
    <reviewItem>
      <errorID>5df5c3fc-7e04-474d-871a-6f9af050d504</errorID>
      <errorWord>(</errorWord>
      <group>L1_Format</group>
      <groupName>格式问题</groupName>
      <ability>L2_HalfPunc</ability>
      <abilityName>全半角检查</abilityName>
      <candidateList>
        <item>（</item>
      </candidateList>
      <explain>文本全半角错误。</explain>
      <paraID>471F1369</paraID>
      <start>2</start>
      <end>3</end>
      <status>ignored</status>
      <modifiedWord/>
      <trackRevisions>false</trackRevisions>
    </reviewItem>
    <reviewItem>
      <errorID>68e35e82-369e-45ea-b8a3-86daec1ad4b4</errorID>
      <errorWord>)</errorWord>
      <group>L1_Format</group>
      <groupName>格式问题</groupName>
      <ability>L2_HalfPunc</ability>
      <abilityName>全半角检查</abilityName>
      <candidateList>
        <item>）</item>
      </candidateList>
      <explain>文本全半角错误。</explain>
      <paraID>471F1369</paraID>
      <start>6</start>
      <end>7</end>
      <status>ignored</status>
      <modifiedWord/>
      <trackRevisions>false</trackRevisions>
    </reviewItem>
    <reviewItem>
      <errorID>01b68363-2309-4238-8195-0587156363ea</errorID>
      <errorWord>(</errorWord>
      <group>L1_Format</group>
      <groupName>格式问题</groupName>
      <ability>L2_HalfPunc</ability>
      <abilityName>全半角检查</abilityName>
      <candidateList>
        <item>（</item>
      </candidateList>
      <explain>文本全半角错误。</explain>
      <paraID>7EA2DF8F</paraID>
      <start>6</start>
      <end>7</end>
      <status>unmodified</status>
      <modifiedWord/>
      <trackRevisions>false</trackRevisions>
    </reviewItem>
    <reviewItem>
      <errorID>dfa6ff25-3414-48f1-8ee0-0d9881ca56f7</errorID>
      <errorWord>)</errorWord>
      <group>L1_Format</group>
      <groupName>格式问题</groupName>
      <ability>L2_HalfPunc</ability>
      <abilityName>全半角检查</abilityName>
      <candidateList>
        <item>）</item>
      </candidateList>
      <explain>文本全半角错误。</explain>
      <paraID>7EA2DF8F</paraID>
      <start>12</start>
      <end>13</end>
      <status>ignored</status>
      <modifiedWord/>
      <trackRevisions>false</trackRevisions>
    </reviewItem>
    <reviewItem>
      <errorID>d31303b9-ded6-4b7d-9652-b1ca93a4fce2</errorID>
      <errorWord>(</errorWord>
      <group>L1_Format</group>
      <groupName>格式问题</groupName>
      <ability>L2_HalfPunc</ability>
      <abilityName>全半角检查</abilityName>
      <candidateList>
        <item>（</item>
      </candidateList>
      <explain>文本全半角错误。</explain>
      <paraID>729EB0E7</paraID>
      <start>4</start>
      <end>5</end>
      <status>unmodified</status>
      <modifiedWord/>
      <trackRevisions>false</trackRevisions>
    </reviewItem>
    <reviewItem>
      <errorID>6ec5a199-ddbe-4a07-a16e-34680bae5265</errorID>
      <errorWord>)</errorWord>
      <group>L1_Format</group>
      <groupName>格式问题</groupName>
      <ability>L2_HalfPunc</ability>
      <abilityName>全半角检查</abilityName>
      <candidateList>
        <item>）</item>
      </candidateList>
      <explain>文本全半角错误。</explain>
      <paraID>729EB0E7</paraID>
      <start>8</start>
      <end>9</end>
      <status>ignored</status>
      <modifiedWord/>
      <trackRevisions>false</trackRevisions>
    </reviewItem>
    <reviewItem>
      <errorID>09ed09cd-e448-461d-8cd8-d4deb45da495</errorID>
      <errorWord>(</errorWord>
      <group>L1_Format</group>
      <groupName>格式问题</groupName>
      <ability>L2_HalfPunc</ability>
      <abilityName>全半角检查</abilityName>
      <candidateList>
        <item>（</item>
      </candidateList>
      <explain>文本全半角错误。</explain>
      <paraID>40E6B5F8</paraID>
      <start>5</start>
      <end>6</end>
      <status>unmodified</status>
      <modifiedWord/>
      <trackRevisions>false</trackRevisions>
    </reviewItem>
    <reviewItem>
      <errorID>8900b81f-b53d-4335-99ab-0ae24f54ae95</errorID>
      <errorWord>)</errorWord>
      <group>L1_Format</group>
      <groupName>格式问题</groupName>
      <ability>L2_HalfPunc</ability>
      <abilityName>全半角检查</abilityName>
      <candidateList>
        <item>）</item>
      </candidateList>
      <explain>文本全半角错误。</explain>
      <paraID>40E6B5F8</paraID>
      <start>11</start>
      <end>12</end>
      <status>ignored</status>
      <modifiedWord/>
      <trackRevisions>false</trackRevisions>
    </reviewItem>
    <reviewItem>
      <errorID>a1d17075-787e-49ae-b51b-35c0ce57f4e1</errorID>
      <errorWord>(</errorWord>
      <group>L1_Format</group>
      <groupName>格式问题</groupName>
      <ability>L2_HalfPunc</ability>
      <abilityName>全半角检查</abilityName>
      <candidateList>
        <item>（</item>
      </candidateList>
      <explain>文本全半角错误。</explain>
      <paraID>24A8E48C</paraID>
      <start>2</start>
      <end>3</end>
      <status>unmodified</status>
      <modifiedWord/>
      <trackRevisions>false</trackRevisions>
    </reviewItem>
    <reviewItem>
      <errorID>898b2eba-017b-4309-a1b5-e14086a88d3a</errorID>
      <errorWord>)</errorWord>
      <group>L1_Format</group>
      <groupName>格式问题</groupName>
      <ability>L2_HalfPunc</ability>
      <abilityName>全半角检查</abilityName>
      <candidateList>
        <item>）</item>
      </candidateList>
      <explain>文本全半角错误。</explain>
      <paraID>24A8E48C</paraID>
      <start>4</start>
      <end>5</end>
      <status>ignored</status>
      <modifiedWord/>
      <trackRevisions>false</trackRevisions>
    </reviewItem>
    <reviewItem>
      <errorID>6e9a1aa9-1aae-4c6b-8182-a53aab2a9ba7</errorID>
      <errorWord>(</errorWord>
      <group>L1_Format</group>
      <groupName>格式问题</groupName>
      <ability>L2_HalfPunc</ability>
      <abilityName>全半角检查</abilityName>
      <candidateList>
        <item>（</item>
      </candidateList>
      <explain>文本全半角错误。</explain>
      <paraID>23BFA40D</paraID>
      <start>3</start>
      <end>4</end>
      <status>unmodified</status>
      <modifiedWord/>
      <trackRevisions>false</trackRevisions>
    </reviewItem>
    <reviewItem>
      <errorID>1ce0b470-afe4-41a4-b001-3816d3186ae6</errorID>
      <errorWord>)</errorWord>
      <group>L1_Format</group>
      <groupName>格式问题</groupName>
      <ability>L2_HalfPunc</ability>
      <abilityName>全半角检查</abilityName>
      <candidateList>
        <item>）</item>
      </candidateList>
      <explain>文本全半角错误。</explain>
      <paraID>23BFA40D</paraID>
      <start>7</start>
      <end>8</end>
      <status>ignored</status>
      <modifiedWord/>
      <trackRevisions>false</trackRevisions>
    </reviewItem>
    <reviewItem>
      <errorID>2bd9b8d7-f8c7-4bb5-84c6-5f7dff2d5bca</errorID>
      <errorWord>(</errorWord>
      <group>L1_Format</group>
      <groupName>格式问题</groupName>
      <ability>L2_HalfPunc</ability>
      <abilityName>全半角检查</abilityName>
      <candidateList>
        <item>（</item>
      </candidateList>
      <explain>文本全半角错误。</explain>
      <paraID>7EE57C8E</paraID>
      <start>2</start>
      <end>3</end>
      <status>ignored</status>
      <modifiedWord/>
      <trackRevisions>false</trackRevisions>
    </reviewItem>
    <reviewItem>
      <errorID>45ce02e3-1cab-4bfe-8e36-7837850d5d1f</errorID>
      <errorWord>)</errorWord>
      <group>L1_Format</group>
      <groupName>格式问题</groupName>
      <ability>L2_HalfPunc</ability>
      <abilityName>全半角检查</abilityName>
      <candidateList>
        <item>）</item>
      </candidateList>
      <explain>文本全半角错误。</explain>
      <paraID>7EE57C8E</paraID>
      <start>6</start>
      <end>7</end>
      <status>ignored</status>
      <modifiedWord/>
      <trackRevisions>false</trackRevisions>
    </reviewItem>
    <reviewItem>
      <errorID>231b2083-51e9-40ce-8713-e9c001344f94</errorID>
      <errorWord>(</errorWord>
      <group>L1_Format</group>
      <groupName>格式问题</groupName>
      <ability>L2_HalfPunc</ability>
      <abilityName>全半角检查</abilityName>
      <candidateList>
        <item>（</item>
      </candidateList>
      <explain>文本全半角错误。</explain>
      <paraID>5151E5C1</paraID>
      <start>8</start>
      <end>9</end>
      <status>unmodified</status>
      <modifiedWord/>
      <trackRevisions>false</trackRevisions>
    </reviewItem>
    <reviewItem>
      <errorID>1f6f49fd-3b3d-49ea-ac83-6f748c8bd27b</errorID>
      <errorWord>)</errorWord>
      <group>L1_Format</group>
      <groupName>格式问题</groupName>
      <ability>L2_HalfPunc</ability>
      <abilityName>全半角检查</abilityName>
      <candidateList>
        <item>）</item>
      </candidateList>
      <explain>文本全半角错误。</explain>
      <paraID>5151E5C1</paraID>
      <start>14</start>
      <end>15</end>
      <status>ignored</status>
      <modifiedWord/>
      <trackRevisions>false</trackRevisions>
    </reviewItem>
    <reviewItem>
      <errorID>70c7bc19-4b94-450b-9cae-ed4bea638382</errorID>
      <errorWord>达</errorWord>
      <group>L1_Word</group>
      <groupName>字词问题</groupName>
      <ability>L2_Typo</ability>
      <abilityName>字词错误</abilityName>
      <candidateList>
        <item>达到</item>
      </candidateList>
      <explain>〈动〉到（多指抽象事物或程度）：达得到｜达不到｜目的没有～｜～国际水平。</explain>
      <paraID>340D2BE3</paraID>
      <start>37</start>
      <end>38</end>
      <status>unmodified</status>
      <modifiedWord/>
      <trackRevisions>false</trackRevisions>
    </reviewItem>
    <reviewItem>
      <errorID>19d90159-801a-411a-ac9d-ede5f0b3e760</errorID>
      <errorWord>接</errorWord>
      <group>L1_Word</group>
      <groupName>字词问题</groupName>
      <ability>L2_Typo</ability>
      <abilityName>字词错误</abilityName>
      <candidateList>
        <item>接入</item>
      </candidateList>
      <explain/>
      <paraID>340D2BE3</paraID>
      <start>43</start>
      <end>44</end>
      <status>unmodified</status>
      <modifiedWord/>
      <trackRevisions>false</trackRevisions>
    </reviewItem>
    <reviewItem>
      <errorID>a16be7be-a811-434d-bb2e-539ef72a783d</errorID>
      <errorWord>：/</errorWord>
      <group>L1_Punc</group>
      <groupName>标点问题</groupName>
      <ability>L2_Punc</ability>
      <abilityName>标点符号检查</abilityName>
      <candidateList>
        <item>：</item>
      </candidateList>
      <explain/>
      <paraID>3BD0C9CD</paraID>
      <start>3</start>
      <end>5</end>
      <status>unmodified</status>
      <modifiedWord/>
      <trackRevisions>false</trackRevisions>
    </reviewItem>
    <reviewItem>
      <errorID>f678321e-7e82-408c-a046-d5a2465717f7</errorID>
      <errorWord>：/</errorWord>
      <group>L1_Punc</group>
      <groupName>标点问题</groupName>
      <ability>L2_Punc</ability>
      <abilityName>标点符号检查</abilityName>
      <candidateList>
        <item>：</item>
      </candidateList>
      <explain/>
      <paraID>4E9D8BA9</paraID>
      <start>3</start>
      <end>5</end>
      <status>unmodified</status>
      <modifiedWord/>
      <trackRevisions>false</trackRevisions>
    </reviewItem>
    <reviewItem>
      <errorID>d68572c8-4c90-4c40-97ed-7d43b43ceee2</errorID>
      <errorWord>共</errorWord>
      <group>L1_Word</group>
      <groupName>字词问题</groupName>
      <ability>L2_Typo</ability>
      <abilityName>字词错误</abilityName>
      <candidateList>
        <item>共有</item>
      </candidateList>
      <explain/>
      <paraID>762093F5</paraID>
      <start>2</start>
      <end>3</end>
      <status>unmodified</status>
      <modifiedWord/>
      <trackRevisions>false</trackRevisions>
    </reviewItem>
    <reviewItem>
      <errorID>3564ee4d-fc65-4a02-8cea-f47baad01eb6</errorID>
      <errorWord>IV</errorWord>
      <group>L1_Knowledge</group>
      <groupName>知识性问题</groupName>
      <ability>L2_Knowledge</ability>
      <abilityName>其他知识</abilityName>
      <candidateList>
        <item>Ⅳ</item>
      </candidateList>
      <explain/>
      <paraID>2BEE679D</paraID>
      <start>42</start>
      <end>44</end>
      <status>unmodified</status>
      <modifiedWord/>
      <trackRevisions>false</trackRevisions>
    </reviewItem>
    <reviewItem>
      <errorID>18c3b7a8-8809-45cc-9c5f-01ed90495dfc</errorID>
      <errorWord>(</errorWord>
      <group>L1_Format</group>
      <groupName>格式问题</groupName>
      <ability>L2_HalfPunc</ability>
      <abilityName>全半角检查</abilityName>
      <candidateList>
        <item>（</item>
      </candidateList>
      <explain>文本全半角错误。</explain>
      <paraID>54E9C26A</paraID>
      <start>7</start>
      <end>8</end>
      <status>unmodified</status>
      <modifiedWord/>
      <trackRevisions>false</trackRevisions>
    </reviewItem>
    <reviewItem>
      <errorID>88261ea7-2b14-44ac-869d-2d8dc1250145</errorID>
      <errorWord>)</errorWord>
      <group>L1_Format</group>
      <groupName>格式问题</groupName>
      <ability>L2_HalfPunc</ability>
      <abilityName>全半角检查</abilityName>
      <candidateList>
        <item>）</item>
      </candidateList>
      <explain>文本全半角错误。</explain>
      <paraID>54E9C26A</paraID>
      <start>11</start>
      <end>12</end>
      <status>ignored</status>
      <modifiedWord/>
      <trackRevisions>false</trackRevisions>
    </reviewItem>
    <reviewItem>
      <errorID>ad9f62ba-93a1-496a-a757-231f3db794fd</errorID>
      <errorWord>(</errorWord>
      <group>L1_Format</group>
      <groupName>格式问题</groupName>
      <ability>L2_HalfPunc</ability>
      <abilityName>全半角检查</abilityName>
      <candidateList>
        <item>（</item>
      </candidateList>
      <explain>文本全半角错误。</explain>
      <paraID>1390F08C</paraID>
      <start>10</start>
      <end>11</end>
      <status>unmodified</status>
      <modifiedWord/>
      <trackRevisions>false</trackRevisions>
    </reviewItem>
    <reviewItem>
      <errorID>149c3e1f-1585-41d5-ba8a-d5789a6f1ef7</errorID>
      <errorWord>)</errorWord>
      <group>L1_Format</group>
      <groupName>格式问题</groupName>
      <ability>L2_HalfPunc</ability>
      <abilityName>全半角检查</abilityName>
      <candidateList>
        <item>）</item>
      </candidateList>
      <explain>文本全半角错误。</explain>
      <paraID>1390F08C</paraID>
      <start>14</start>
      <end>15</end>
      <status>ignored</status>
      <modifiedWord/>
      <trackRevisions>false</trackRevisions>
    </reviewItem>
    <reviewItem>
      <errorID>0fd17eb5-4be7-4c0e-9c51-2349890ee4ac</errorID>
      <errorWord>(</errorWord>
      <group>L1_Format</group>
      <groupName>格式问题</groupName>
      <ability>L2_HalfPunc</ability>
      <abilityName>全半角检查</abilityName>
      <candidateList>
        <item>（</item>
      </candidateList>
      <explain>文本全半角错误。</explain>
      <paraID>34B61AB7</paraID>
      <start>9</start>
      <end>10</end>
      <status>unmodified</status>
      <modifiedWord/>
      <trackRevisions>false</trackRevisions>
    </reviewItem>
    <reviewItem>
      <errorID>4bc4301e-e050-494e-ae46-1ead80e85b87</errorID>
      <errorWord>)</errorWord>
      <group>L1_Format</group>
      <groupName>格式问题</groupName>
      <ability>L2_HalfPunc</ability>
      <abilityName>全半角检查</abilityName>
      <candidateList>
        <item>）</item>
      </candidateList>
      <explain>文本全半角错误。</explain>
      <paraID>34B61AB7</paraID>
      <start>12</start>
      <end>13</end>
      <status>ignored</status>
      <modifiedWord/>
      <trackRevisions>false</trackRevisions>
    </reviewItem>
    <reviewItem>
      <errorID>22c395cb-1ef4-435a-a68c-911e56002bdd</errorID>
      <errorWord>(</errorWord>
      <group>L1_Format</group>
      <groupName>格式问题</groupName>
      <ability>L2_HalfPunc</ability>
      <abilityName>全半角检查</abilityName>
      <candidateList>
        <item>（</item>
      </candidateList>
      <explain>文本全半角错误。</explain>
      <paraID>  65F070</paraID>
      <start>3</start>
      <end>4</end>
      <status>unmodified</status>
      <modifiedWord/>
      <trackRevisions>false</trackRevisions>
    </reviewItem>
    <reviewItem>
      <errorID>705089f8-0d05-4bd1-8fd3-c1adf5a69031</errorID>
      <errorWord>)</errorWord>
      <group>L1_Format</group>
      <groupName>格式问题</groupName>
      <ability>L2_HalfPunc</ability>
      <abilityName>全半角检查</abilityName>
      <candidateList>
        <item>）</item>
      </candidateList>
      <explain>文本全半角错误。</explain>
      <paraID>  65F070</paraID>
      <start>6</start>
      <end>7</end>
      <status>ignored</status>
      <modifiedWord/>
      <trackRevisions>false</trackRevisions>
    </reviewItem>
    <reviewItem>
      <errorID>4b40d521-5222-4b29-a5b0-5addeeb08935</errorID>
      <errorWord>(</errorWord>
      <group>L1_Format</group>
      <groupName>格式问题</groupName>
      <ability>L2_HalfPunc</ability>
      <abilityName>全半角检查</abilityName>
      <candidateList>
        <item>（</item>
      </candidateList>
      <explain>文本全半角错误。</explain>
      <paraID>5D6CC1D9</paraID>
      <start>3</start>
      <end>4</end>
      <status>unmodified</status>
      <modifiedWord/>
      <trackRevisions>false</trackRevisions>
    </reviewItem>
    <reviewItem>
      <errorID>f18a1dbd-aba0-4a35-a78c-593f6239dda8</errorID>
      <errorWord>)</errorWord>
      <group>L1_Format</group>
      <groupName>格式问题</groupName>
      <ability>L2_HalfPunc</ability>
      <abilityName>全半角检查</abilityName>
      <candidateList>
        <item>）</item>
      </candidateList>
      <explain>文本全半角错误。</explain>
      <paraID>5D6CC1D9</paraID>
      <start>10</start>
      <end>11</end>
      <status>ignored</status>
      <modifiedWord/>
      <trackRevisions>false</trackRevisions>
    </reviewItem>
    <reviewItem>
      <errorID>28f4b2ce-3bcb-4189-bb7c-7e309e5d8961</errorID>
      <errorWord>(</errorWord>
      <group>L1_Format</group>
      <groupName>格式问题</groupName>
      <ability>L2_HalfPunc</ability>
      <abilityName>全半角检查</abilityName>
      <candidateList>
        <item>（</item>
      </candidateList>
      <explain>文本全半角错误。</explain>
      <paraID>4E756C66</paraID>
      <start>3</start>
      <end>4</end>
      <status>unmodified</status>
      <modifiedWord/>
      <trackRevisions>false</trackRevisions>
    </reviewItem>
    <reviewItem>
      <errorID>5b7541ea-9301-497f-a07c-31933f340509</errorID>
      <errorWord>)</errorWord>
      <group>L1_Format</group>
      <groupName>格式问题</groupName>
      <ability>L2_HalfPunc</ability>
      <abilityName>全半角检查</abilityName>
      <candidateList>
        <item>）</item>
      </candidateList>
      <explain>文本全半角错误。</explain>
      <paraID>4E756C66</paraID>
      <start>6</start>
      <end>7</end>
      <status>ignored</status>
      <modifiedWord/>
      <trackRevisions>false</trackRevisions>
    </reviewItem>
    <reviewItem>
      <errorID>e2366299-0109-4480-aaee-582384f5692b</errorID>
      <errorWord>(</errorWord>
      <group>L1_Format</group>
      <groupName>格式问题</groupName>
      <ability>L2_HalfPunc</ability>
      <abilityName>全半角检查</abilityName>
      <candidateList>
        <item>（</item>
      </candidateList>
      <explain>文本全半角错误。</explain>
      <paraID>3830F240</paraID>
      <start>3</start>
      <end>4</end>
      <status>unmodified</status>
      <modifiedWord/>
      <trackRevisions>false</trackRevisions>
    </reviewItem>
    <reviewItem>
      <errorID>df336edb-6f2c-44ba-98a6-ef73516fe531</errorID>
      <errorWord>)</errorWord>
      <group>L1_Format</group>
      <groupName>格式问题</groupName>
      <ability>L2_HalfPunc</ability>
      <abilityName>全半角检查</abilityName>
      <candidateList>
        <item>）</item>
      </candidateList>
      <explain>文本全半角错误。</explain>
      <paraID>3830F240</paraID>
      <start>6</start>
      <end>7</end>
      <status>ignored</status>
      <modifiedWord/>
      <trackRevisions>false</trackRevisions>
    </reviewItem>
    <reviewItem>
      <errorID>f2f897d3-ae9b-447c-9348-2a27fdc39a96</errorID>
      <errorWord>&lt;</errorWord>
      <group>L1_Format</group>
      <groupName>格式问题</groupName>
      <ability>L2_HalfPunc</ability>
      <abilityName>全半角检查</abilityName>
      <candidateList>
        <item>〈</item>
      </candidateList>
      <explain>文本全半角错误。</explain>
      <paraID>6551195E</paraID>
      <start>41</start>
      <end>42</end>
      <status>unmodified</status>
      <modifiedWord/>
      <trackRevisions>false</trackRevisions>
    </reviewItem>
    <reviewItem>
      <errorID>6983b4a5-47c9-4991-9970-c652bbe0ba57</errorID>
      <errorWord>&gt;的通知》</errorWord>
      <group>L1_Punc</group>
      <groupName>标点问题</groupName>
      <ability>L2_Punc</ability>
      <abilityName>标点符号检查</abilityName>
      <candidateList>
        <item>〉的通知》</item>
      </candidateList>
      <explain/>
      <paraID>6551195E</paraID>
      <start>60</start>
      <end>65</end>
      <status>unmodified</status>
      <modifiedWord/>
      <trackRevisions>false</trackRevisions>
    </reviewItem>
    <reviewItem>
      <errorID>89a90775-d691-4cc5-abc2-66c9ad5d1061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49648E44</paraID>
      <start>92</start>
      <end>95</end>
      <status>unmodified</status>
      <modifiedWord/>
      <trackRevisions>false</trackRevisions>
    </reviewItem>
    <reviewItem>
      <errorID>b1206e59-072b-48ad-a015-0d4ac78b4d43</errorID>
      <errorWord>II级</errorWord>
      <group>L1_Knowledge</group>
      <groupName>知识性问题</groupName>
      <ability>L2_Knowledge</ability>
      <abilityName>其他知识</abilityName>
      <candidateList>
        <item>Ⅱ级</item>
      </candidateList>
      <explain/>
      <paraID>5BC51A00</paraID>
      <start>188</start>
      <end>191</end>
      <status>unmodified</status>
      <modifiedWord/>
      <trackRevisions>false</trackRevisions>
    </reviewItem>
    <reviewItem>
      <errorID>ba1991d0-7490-44fd-9ee9-1abcf5d1302b</errorID>
      <errorWord>III级</errorWord>
      <group>L1_Knowledge</group>
      <groupName>知识性问题</groupName>
      <ability>L2_Knowledge</ability>
      <abilityName>其他知识</abilityName>
      <candidateList>
        <item>Ⅲ级</item>
      </candidateList>
      <explain/>
      <paraID>5BC51A00</paraID>
      <start>192</start>
      <end>196</end>
      <status>unmodified</status>
      <modifiedWord/>
      <trackRevisions>false</trackRevisions>
    </reviewItem>
    <reviewItem>
      <errorID>a7dc6479-e903-497f-9e7e-d21727432e1a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36EDBB79</paraID>
      <start>74</start>
      <end>75</end>
      <status>unmodified</status>
      <modifiedWord/>
      <trackRevisions>false</trackRevisions>
    </reviewItem>
    <reviewItem>
      <errorID>2bd320c2-c15b-45a1-ab0d-65f0585c239c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7CBA2DBB</paraID>
      <start>29</start>
      <end>30</end>
      <status>unmodified</status>
      <modifiedWord/>
      <trackRevisions>false</trackRevisions>
    </reviewItem>
    <reviewItem>
      <errorID>a0961c98-a30c-45fa-9c86-655d975f2b50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7CBA2DBB</paraID>
      <start>150</start>
      <end>151</end>
      <status>unmodified</status>
      <modifiedWord/>
      <trackRevisions>false</trackRevisions>
    </reviewItem>
    <reviewItem>
      <errorID>ad2dce94-b1c8-4ac8-88db-5661200527a2</errorID>
      <errorWord>要求</errorWord>
      <group>L1_Word</group>
      <groupName>字词问题</groupName>
      <ability>L2_Typo</ability>
      <abilityName>字词错误</abilityName>
      <candidateList>
        <item>要</item>
      </candidateList>
      <explain>〈连〉❶如果：明天～下雨，我就不去了。❷要么：～就去打球，～就去溜冰，别再犹豫了。</explain>
      <paraID>5FC74C85</paraID>
      <start>61</start>
      <end>63</end>
      <status>unmodified</status>
      <modifiedWord/>
      <trackRevisions>false</trackRevisions>
    </reviewItem>
    <reviewItem>
      <errorID>d991fb00-b10b-46c2-8fd3-f05ea2307ad4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1A49D907</paraID>
      <start>79</start>
      <end>80</end>
      <status>unmodified</status>
      <modifiedWord/>
      <trackRevisions>false</trackRevisions>
    </reviewItem>
    <reviewItem>
      <errorID>1143f41a-29e4-4285-970c-d9418cb2fd7c</errorID>
      <errorWord>IV类</errorWord>
      <group>L1_Knowledge</group>
      <groupName>知识性问题</groupName>
      <ability>L2_Knowledge</ability>
      <abilityName>其他知识</abilityName>
      <candidateList>
        <item>Ⅳ类</item>
      </candidateList>
      <explain/>
      <paraID>19DE5213</paraID>
      <start>0</start>
      <end>3</end>
      <status>unmodified</status>
      <modifiedWord/>
      <trackRevisions>false</trackRevisions>
    </reviewItem>
    <reviewItem>
      <errorID>096a6c9a-0872-49c5-9362-406aac022287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7492C8D7</paraID>
      <start>79</start>
      <end>80</end>
      <status>unmodified</status>
      <modifiedWord/>
      <trackRevisions>false</trackRevisions>
    </reviewItem>
    <reviewItem>
      <errorID>5159f6c6-6bd1-4fd0-960e-be133954c7e7</errorID>
      <errorWord>IV类</errorWord>
      <group>L1_Knowledge</group>
      <groupName>知识性问题</groupName>
      <ability>L2_Knowledge</ability>
      <abilityName>其他知识</abilityName>
      <candidateList>
        <item>Ⅳ类</item>
      </candidateList>
      <explain/>
      <paraID>6035FF99</paraID>
      <start>0</start>
      <end>3</end>
      <status>unmodified</status>
      <modifiedWord/>
      <trackRevisions>false</trackRevisions>
    </reviewItem>
    <reviewItem>
      <errorID>127cbcdb-c207-44ba-bc56-c1b43c5cbb84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7AA83DB1</paraID>
      <start>3</start>
      <end>4</end>
      <status>unmodified</status>
      <modifiedWord/>
      <trackRevisions>false</trackRevisions>
    </reviewItem>
    <reviewItem>
      <errorID>60f97bb4-9289-45d6-85e8-610d0cf12faf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3667C3D5</paraID>
      <start>3</start>
      <end>4</end>
      <status>unmodified</status>
      <modifiedWord/>
      <trackRevisions>false</trackRevisions>
    </reviewItem>
    <reviewItem>
      <errorID>c682b1b0-71b8-44fa-beb1-5f89b4b344ee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7A5A1121</paraID>
      <start>3</start>
      <end>4</end>
      <status>unmodified</status>
      <modifiedWord/>
      <trackRevisions>false</trackRevisions>
    </reviewItem>
    <reviewItem>
      <errorID>b2ffa62f-d8c5-47a9-b41e-45e95ece35ef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56B544E8</paraID>
      <start>3</start>
      <end>4</end>
      <status>unmodified</status>
      <modifiedWord/>
      <trackRevisions>false</trackRevisions>
    </reviewItem>
    <reviewItem>
      <errorID>48c9faff-2772-40e9-ba4d-08ad003a83f7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EE58A77</paraID>
      <start>3</start>
      <end>4</end>
      <status>unmodified</status>
      <modifiedWord/>
      <trackRevisions>false</trackRevisions>
    </reviewItem>
    <reviewItem>
      <errorID>d5cc03d0-aa8c-4a91-b9a5-141bee222d04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732C3254</paraID>
      <start>3</start>
      <end>4</end>
      <status>unmodified</status>
      <modifiedWord/>
      <trackRevisions>false</trackRevisions>
    </reviewItem>
    <reviewItem>
      <errorID>8c4a4442-34b3-4e93-a222-ba9435e0f420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444972DF</paraID>
      <start>3</start>
      <end>4</end>
      <status>unmodified</status>
      <modifiedWord/>
      <trackRevisions>false</trackRevisions>
    </reviewItem>
    <reviewItem>
      <errorID>eac84e54-34ea-4586-8c3e-9b25e6f43ab6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6304B877</paraID>
      <start>3</start>
      <end>4</end>
      <status>unmodified</status>
      <modifiedWord/>
      <trackRevisions>false</trackRevisions>
    </reviewItem>
    <reviewItem>
      <errorID>40534e03-e72d-4eea-80ed-e450c6c21362</errorID>
      <errorWord>涉及到</errorWord>
      <group>L1_Grammar</group>
      <groupName>语法问题</groupName>
      <ability>L2_Grammar</ability>
      <abilityName>语法错误</abilityName>
      <candidateList>
        <item>涉及</item>
      </candidateList>
      <explain>〈动〉牵涉到；关联到：案子～好几个人｜这个问题～面很广。</explain>
      <paraID>21FC4B23</paraID>
      <start>52</start>
      <end>55</end>
      <status>unmodified</status>
      <modifiedWord/>
      <trackRevisions>false</trackRevisions>
    </reviewItem>
    <reviewItem>
      <errorID>79be7df1-60e4-49b6-8782-5cc675c56d66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2AFDB745</paraID>
      <start>43</start>
      <end>46</end>
      <status>unmodified</status>
      <modifiedWord/>
      <trackRevisions>false</trackRevisions>
    </reviewItem>
    <reviewItem>
      <errorID>beecaa97-aef0-4527-988d-b063edb49bfb</errorID>
      <errorWord>，。</errorWord>
      <group>L1_Punc</group>
      <groupName>标点问题</groupName>
      <ability>L2_Punc</ability>
      <abilityName>标点符号检查</abilityName>
      <candidateList>
        <item>，</item>
      </candidateList>
      <explain/>
      <paraID>70EF6F1E</paraID>
      <start>54</start>
      <end>56</end>
      <status>unmodified</status>
      <modifiedWord/>
      <trackRevisions>false</trackRevisions>
    </reviewItem>
    <reviewItem>
      <errorID>a6dd6843-cbbe-4f36-817a-c13ff3a2a8a7</errorID>
      <errorWord>其它</errorWord>
      <group>L1_Word</group>
      <groupName>字词问题</groupName>
      <ability>L2_Alias</ability>
      <abilityName>也作/曾用词</abilityName>
      <candidateList>
        <item>其他</item>
      </candidateList>
      <explain>词汇[其它]为不规范表述或旧称，其规范书面表述为[其他]。</explain>
      <paraID>32ECF8F9</paraID>
      <start>39</start>
      <end>41</end>
      <status>unmodified</status>
      <modifiedWord/>
      <trackRevisions>false</trackRevisions>
    </reviewItem>
    <reviewItem>
      <errorID>392232fa-85f5-4693-9c72-b3b62b640cac</errorID>
      <errorWord>学</errorWord>
      <group>L1_Word</group>
      <groupName>字词问题</groupName>
      <ability>L2_Typo</ability>
      <abilityName>字词错误</abilityName>
      <candidateList>
        <item>学品</item>
      </candidateList>
      <explain/>
      <paraID>52FB083E</paraID>
      <start>71</start>
      <end>72</end>
      <status>unmodified</status>
      <modifiedWord/>
      <trackRevisions>false</trackRevisions>
    </reviewItem>
    <reviewItem>
      <errorID>865e7669-32f7-448c-ba3d-3dd18327b952</errorID>
      <errorWord>、以及</errorWord>
      <group>L1_Punc</group>
      <groupName>标点问题</groupName>
      <ability>L2_Punc</ability>
      <abilityName>标点符号检查</abilityName>
      <candidateList>
        <item>，以及</item>
      </candidateList>
      <explain>连接词前后不宜使用顿号，建议使用逗号。</explain>
      <paraID> 670A1FA</paraID>
      <start>27</start>
      <end>30</end>
      <status>unmodified</status>
      <modifiedWord/>
      <trackRevisions>false</trackRevisions>
    </reviewItem>
    <reviewItem>
      <errorID>e94a6193-b513-4e27-a9f8-8239b746979b</errorID>
      <errorWord>已二酸</errorWord>
      <group>L1_Word</group>
      <groupName>字词问题</groupName>
      <ability>L2_Typo</ability>
      <abilityName>字词错误</abilityName>
      <candidateList>
        <item>己二酸</item>
      </candidateList>
      <explain/>
      <paraID>3D4B446E</paraID>
      <start>0</start>
      <end>3</end>
      <status>unmodified</status>
      <modifiedWord/>
      <trackRevisions>false</trackRevisions>
    </reviewItem>
    <reviewItem>
      <errorID>cfaa16ed-f506-4737-85ae-a08245ffb5eb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522A00CA</paraID>
      <start>45</start>
      <end>48</end>
      <status>unmodified</status>
      <modifiedWord/>
      <trackRevisions>false</trackRevisions>
    </reviewItem>
    <reviewItem>
      <errorID>b7bf70ce-a34d-4250-a671-e76fb653166d</errorID>
      <errorWord>（</errorWord>
      <group>L1_Punc</group>
      <groupName>标点问题</groupName>
      <ability>L2_Punc</ability>
      <abilityName>标点符号检查</abilityName>
      <candidateList/>
      <explain>同一形式括号套用。</explain>
      <paraID>643C9AD6</paraID>
      <start>70</start>
      <end>71</end>
      <status>unmodified</status>
      <modifiedWord/>
      <trackRevisions>false</trackRevisions>
    </reviewItem>
    <reviewItem>
      <errorID>7622f3b6-3159-4e68-af97-acd651b3f628</errorID>
      <errorWord>）</errorWord>
      <group>L1_Punc</group>
      <groupName>标点问题</groupName>
      <ability>L2_Punc</ability>
      <abilityName>标点符号检查</abilityName>
      <candidateList/>
      <explain>同一形式括号套用。</explain>
      <paraID>643C9AD6</paraID>
      <start>74</start>
      <end>75</end>
      <status>unmodified</status>
      <modifiedWord/>
      <trackRevisions>false</trackRevisions>
    </reviewItem>
    <reviewItem>
      <errorID>8b28f655-27c4-48b2-82d5-8a49fcacd5be</errorID>
      <errorWord>已二酸</errorWord>
      <group>L1_Word</group>
      <groupName>字词问题</groupName>
      <ability>L2_Typo</ability>
      <abilityName>字词错误</abilityName>
      <candidateList>
        <item>己二酸</item>
      </candidateList>
      <explain/>
      <paraID>37F65D9E</paraID>
      <start>22</start>
      <end>25</end>
      <status>unmodified</status>
      <modifiedWord/>
      <trackRevisions>false</trackRevisions>
    </reviewItem>
    <reviewItem>
      <errorID>649814fd-1183-4e27-9a51-be9b562de80b</errorID>
      <errorWord>已二酸</errorWord>
      <group>L1_Word</group>
      <groupName>字词问题</groupName>
      <ability>L2_Typo</ability>
      <abilityName>字词错误</abilityName>
      <candidateList>
        <item>己二酸</item>
      </candidateList>
      <explain/>
      <paraID>37F65D9E</paraID>
      <start>47</start>
      <end>50</end>
      <status>unmodified</status>
      <modifiedWord/>
      <trackRevisions>false</trackRevisions>
    </reviewItem>
    <reviewItem>
      <errorID>e0abed2e-b3a2-4a70-bc92-90336cf2fb70</errorID>
      <errorWord>（</errorWord>
      <group>L1_Punc</group>
      <groupName>标点问题</groupName>
      <ability>L2_Punc</ability>
      <abilityName>标点符号检查</abilityName>
      <candidateList/>
      <explain>同一形式括号套用。</explain>
      <paraID>1D009CD2</paraID>
      <start>73</start>
      <end>74</end>
      <status>unmodified</status>
      <modifiedWord/>
      <trackRevisions>false</trackRevisions>
    </reviewItem>
    <reviewItem>
      <errorID>19e34ed1-c976-4f82-89ed-297cf4d4df3e</errorID>
      <errorWord>）</errorWord>
      <group>L1_Punc</group>
      <groupName>标点问题</groupName>
      <ability>L2_Punc</ability>
      <abilityName>标点符号检查</abilityName>
      <candidateList/>
      <explain>同一形式括号套用。</explain>
      <paraID>1D009CD2</paraID>
      <start>77</start>
      <end>78</end>
      <status>unmodified</status>
      <modifiedWord/>
      <trackRevisions>false</trackRevisions>
    </reviewItem>
    <reviewItem>
      <errorID>a597a904-11df-42f4-bcf4-b02ed499edc4</errorID>
      <errorWord>已二酸</errorWord>
      <group>L1_Word</group>
      <groupName>字词问题</groupName>
      <ability>L2_Typo</ability>
      <abilityName>字词错误</abilityName>
      <candidateList>
        <item>己二酸</item>
      </candidateList>
      <explain/>
      <paraID>7ED9C31C</paraID>
      <start>0</start>
      <end>3</end>
      <status>unmodified</status>
      <modifiedWord/>
      <trackRevisions>false</trackRevisions>
    </reviewItem>
    <reviewItem>
      <errorID>8e9df5c8-42f4-481d-a7b8-468f201c59f3</errorID>
      <errorWord>已二酸</errorWord>
      <group>L1_Word</group>
      <groupName>字词问题</groupName>
      <ability>L2_Typo</ability>
      <abilityName>字词错误</abilityName>
      <candidateList>
        <item>己二酸</item>
      </candidateList>
      <explain/>
      <paraID>7B08EDB8</paraID>
      <start>9</start>
      <end>12</end>
      <status>unmodified</status>
      <modifiedWord/>
      <trackRevisions>false</trackRevisions>
    </reviewItem>
    <reviewItem>
      <errorID>74c40c65-b76b-4b16-90f9-6c4e9d6aba3e</errorID>
      <errorWord>已二酸</errorWord>
      <group>L1_Word</group>
      <groupName>字词问题</groupName>
      <ability>L2_Typo</ability>
      <abilityName>字词错误</abilityName>
      <candidateList>
        <item>己二酸</item>
      </candidateList>
      <explain/>
      <paraID> FF345B5</paraID>
      <start>0</start>
      <end>3</end>
      <status>unmodified</status>
      <modifiedWord/>
      <trackRevisions>false</trackRevisions>
    </reviewItem>
    <reviewItem>
      <errorID>441fc004-1066-4ea4-b305-0284203a9e32</errorID>
      <errorWord>清下</errorWord>
      <group>L1_Word</group>
      <groupName>字词问题</groupName>
      <ability>L2_Typo</ability>
      <abilityName>字词错误</abilityName>
      <candidateList>
        <item>井下</item>
      </candidateList>
      <explain/>
      <paraID>6277C0E4</paraID>
      <start>3</start>
      <end>5</end>
      <status>unmodified</status>
      <modifiedWord/>
      <trackRevisions>false</trackRevisions>
    </reviewItem>
    <reviewItem>
      <errorID>8c51584c-2d48-4c97-bda3-3d4a4fb4cf75</errorID>
      <errorWord>已二酸</errorWord>
      <group>L1_Word</group>
      <groupName>字词问题</groupName>
      <ability>L2_Typo</ability>
      <abilityName>字词错误</abilityName>
      <candidateList>
        <item>己二酸</item>
      </candidateList>
      <explain/>
      <paraID>16FBEF27</paraID>
      <start>0</start>
      <end>3</end>
      <status>unmodified</status>
      <modifiedWord/>
      <trackRevisions>false</trackRevisions>
    </reviewItem>
    <reviewItem>
      <errorID>f3eeb666-b36d-4a00-b023-9f1d83befb1d</errorID>
      <errorWord>见</errorWord>
      <group>L1_Word</group>
      <groupName>字词问题</groupName>
      <ability>L2_Typo</ability>
      <abilityName>字词错误</abilityName>
      <candidateList>
        <item>见下</item>
      </candidateList>
      <explain/>
      <paraID>1BF7769E</paraID>
      <start>8</start>
      <end>9</end>
      <status>unmodified</status>
      <modifiedWord/>
      <trackRevisions>false</trackRevisions>
    </reviewItem>
    <reviewItem>
      <errorID>a02d8ccb-d177-4a53-9547-d156b391cf3b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13F7237D</paraID>
      <start>0</start>
      <end>2</end>
      <status>unmodified</status>
      <modifiedWord/>
      <trackRevisions>false</trackRevisions>
    </reviewItem>
    <reviewItem>
      <errorID>f496672a-5abc-4167-bf98-e71d9b556c4c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5D53584A</paraID>
      <start>0</start>
      <end>2</end>
      <status>unmodified</status>
      <modifiedWord/>
      <trackRevisions>false</trackRevisions>
    </reviewItem>
    <reviewItem>
      <errorID>f9b3e0e0-9408-4d29-a387-1896cd5d8c59</errorID>
      <errorWord>规模化</errorWord>
      <group>L1_Word</group>
      <groupName>字词问题</groupName>
      <ability>L2_Typo</ability>
      <abilityName>字词错误</abilityName>
      <candidateList>
        <item>规模</item>
      </candidateList>
      <explain/>
      <paraID>482584F4</paraID>
      <start>116</start>
      <end>119</end>
      <status>unmodified</status>
      <modifiedWord/>
      <trackRevisions>false</trackRevisions>
    </reviewItem>
    <reviewItem>
      <errorID>aa01f15d-8076-4558-ba6c-66cf53fc1c50</errorID>
      <errorWord>(</errorWord>
      <group>L1_Format</group>
      <groupName>格式问题</groupName>
      <ability>L2_HalfPunc</ability>
      <abilityName>全半角检查</abilityName>
      <candidateList>
        <item>（</item>
      </candidateList>
      <explain>文本全半角错误。</explain>
      <paraID>41B4B111</paraID>
      <start>2</start>
      <end>3</end>
      <status>unmodified</status>
      <modifiedWord/>
      <trackRevisions>false</trackRevisions>
    </reviewItem>
    <reviewItem>
      <errorID>07f32084-81f1-4a84-b5ce-31424268f136</errorID>
      <errorWord>)</errorWord>
      <group>L1_Format</group>
      <groupName>格式问题</groupName>
      <ability>L2_HalfPunc</ability>
      <abilityName>全半角检查</abilityName>
      <candidateList>
        <item>）</item>
      </candidateList>
      <explain>文本全半角错误。</explain>
      <paraID>41B4B111</paraID>
      <start>5</start>
      <end>6</end>
      <status>ignored</status>
      <modifiedWord/>
      <trackRevisions>false</trackRevisions>
    </reviewItem>
    <reviewItem>
      <errorID>75cca73e-d984-4476-addd-cfa14f54c076</errorID>
      <errorWord>(</errorWord>
      <group>L1_Format</group>
      <groupName>格式问题</groupName>
      <ability>L2_HalfPunc</ability>
      <abilityName>全半角检查</abilityName>
      <candidateList>
        <item>（</item>
      </candidateList>
      <explain>文本全半角错误。</explain>
      <paraID>16A2188E</paraID>
      <start>2</start>
      <end>3</end>
      <status>unmodified</status>
      <modifiedWord/>
      <trackRevisions>false</trackRevisions>
    </reviewItem>
    <reviewItem>
      <errorID>eaae62d8-1e5f-4293-8aa0-2b25d9fa3cbc</errorID>
      <errorWord>)</errorWord>
      <group>L1_Format</group>
      <groupName>格式问题</groupName>
      <ability>L2_HalfPunc</ability>
      <abilityName>全半角检查</abilityName>
      <candidateList>
        <item>）</item>
      </candidateList>
      <explain>文本全半角错误。</explain>
      <paraID>16A2188E</paraID>
      <start>4</start>
      <end>5</end>
      <status>ignored</status>
      <modifiedWord/>
      <trackRevisions>false</trackRevisions>
    </reviewItem>
    <reviewItem>
      <errorID>8dd3d88a-59be-43a3-8f90-d8c5013cf7c4</errorID>
      <errorWord>0-0.8%</errorWord>
      <group>L1_Knowledge</group>
      <groupName>知识性问题</groupName>
      <ability>L2_Knowledge</ability>
      <abilityName>其他知识</abilityName>
      <candidateList>
        <item>0—0.8%</item>
      </candidateList>
      <explain>1. “0-0.8%”中的单位“%”仅出现在后一个数字上，容易引起歧义；根据《现代汉语标点符号数字用法规范手册》，数字表示范围两边需要使用统一的格式。2. 根据标点国标 4.13 中的规则，数字、时间或地域连接符应使用（视觉上更长的）“—”或“～”。</explain>
      <paraID>6394AF3D</paraID>
      <start>0</start>
      <end>6</end>
      <status>unmodified</status>
      <modifiedWord/>
      <trackRevisions>false</trackRevisions>
    </reviewItem>
    <reviewItem>
      <errorID>889b4e85-a35f-418e-9b0b-fef135199c48</errorID>
      <errorWord>)</errorWord>
      <group>L1_Format</group>
      <groupName>格式问题</groupName>
      <ability>L2_HalfPunc</ability>
      <abilityName>全半角检查</abilityName>
      <candidateList>
        <item>）</item>
      </candidateList>
      <explain>文本全半角错误。</explain>
      <paraID>1484C78A</paraID>
      <start>6</start>
      <end>7</end>
      <status>ignored</status>
      <modifiedWord/>
      <trackRevisions>false</trackRevisions>
    </reviewItem>
    <reviewItem>
      <errorID>5ac44f5c-eea7-4b11-b466-d6bbc6434a86</errorID>
      <errorWord>(</errorWord>
      <group>L1_Format</group>
      <groupName>格式问题</groupName>
      <ability>L2_HalfPunc</ability>
      <abilityName>全半角检查</abilityName>
      <candidateList>
        <item>（</item>
      </candidateList>
      <explain>文本全半角错误。</explain>
      <paraID>52C0CD8F</paraID>
      <start>2</start>
      <end>3</end>
      <status>unmodified</status>
      <modifiedWord/>
      <trackRevisions>false</trackRevisions>
    </reviewItem>
    <reviewItem>
      <errorID>d2565a2b-5dc1-4443-9035-1cb4acd74d5d</errorID>
      <errorWord>)</errorWord>
      <group>L1_Format</group>
      <groupName>格式问题</groupName>
      <ability>L2_HalfPunc</ability>
      <abilityName>全半角检查</abilityName>
      <candidateList>
        <item>）</item>
      </candidateList>
      <explain>文本全半角错误。</explain>
      <paraID>52C0CD8F</paraID>
      <start>5</start>
      <end>6</end>
      <status>ignored</status>
      <modifiedWord/>
      <trackRevisions>false</trackRevisions>
    </reviewItem>
    <reviewItem>
      <errorID>71cfbd9d-4eb9-4bcc-8ce3-78af4113d131</errorID>
      <errorWord>;&gt;</errorWord>
      <group>L1_Punc</group>
      <groupName>标点问题</groupName>
      <ability>L2_Punc</ability>
      <abilityName>标点符号检查</abilityName>
      <candidateList>
        <item>;</item>
      </candidateList>
      <explain/>
      <paraID> EAF49E7</paraID>
      <start>6</start>
      <end>8</end>
      <status>unmodified</status>
      <modifiedWord/>
      <trackRevisions>false</trackRevisions>
    </reviewItem>
    <reviewItem>
      <errorID>046ec0fc-9d07-48ab-967a-38b97771b6dc</errorID>
      <errorWord>)</errorWord>
      <group>L1_Format</group>
      <groupName>格式问题</groupName>
      <ability>L2_HalfPunc</ability>
      <abilityName>全半角检查</abilityName>
      <candidateList>
        <item>）</item>
      </candidateList>
      <explain>文本全半角错误。</explain>
      <paraID>5E7DB9BB</paraID>
      <start>6</start>
      <end>7</end>
      <status>ignored</status>
      <modifiedWord/>
      <trackRevisions>false</trackRevisions>
    </reviewItem>
    <reviewItem>
      <errorID>06ec6806-2c8e-484c-8ffc-47819cc6cb82</errorID>
      <errorWord>9%-18%</errorWord>
      <group>L1_Knowledge</group>
      <groupName>知识性问题</groupName>
      <ability>L2_Knowledge</ability>
      <abilityName>其他知识</abilityName>
      <candidateList>
        <item>9%—18%</item>
      </candidateList>
      <explain>1. “9%-18%”中的单位“%”仅出现在后一个数字上，容易引起歧义；根据《现代汉语标点符号数字用法规范手册》，数字表示范围两边需要使用统一的格式。2. 根据标点国标 4.13 中的规则，数字、时间或地域连接符应使用（视觉上更长的）“—”或“～”。</explain>
      <paraID>23307007</paraID>
      <start>0</start>
      <end>6</end>
      <status>unmodified</status>
      <modifiedWord/>
      <trackRevisions>false</trackRevisions>
    </reviewItem>
    <reviewItem>
      <errorID>791086b3-7489-4728-bcff-cdff2e918400</errorID>
      <errorWord>粘度</errorWord>
      <group>L1_Word</group>
      <groupName>字词问题</groupName>
      <ability>L2_Alias</ability>
      <abilityName>也作/曾用词</abilityName>
      <candidateList>
        <item>黏度</item>
      </candidateList>
      <explain>词汇[粘度]为不规范表述或旧称，其规范书面表述为[黏度]。</explain>
      <paraID>63883F78</paraID>
      <start>0</start>
      <end>2</end>
      <status>unmodified</status>
      <modifiedWord/>
      <trackRevisions>false</trackRevisions>
    </reviewItem>
    <reviewItem>
      <errorID>5b8606a3-59a0-4b36-a68b-d6f8cf88fcd3</errorID>
      <errorWord>(</errorWord>
      <group>L1_Format</group>
      <groupName>格式问题</groupName>
      <ability>L2_HalfPunc</ability>
      <abilityName>全半角检查</abilityName>
      <candidateList>
        <item>（</item>
      </candidateList>
      <explain>文本全半角错误。</explain>
      <paraID>4254201F</paraID>
      <start>2</start>
      <end>3</end>
      <status>unmodified</status>
      <modifiedWord/>
      <trackRevisions>false</trackRevisions>
    </reviewItem>
    <reviewItem>
      <errorID>97149279-b59f-44a3-88d0-c763025dd2ab</errorID>
      <errorWord>)</errorWord>
      <group>L1_Format</group>
      <groupName>格式问题</groupName>
      <ability>L2_HalfPunc</ability>
      <abilityName>全半角检查</abilityName>
      <candidateList>
        <item>）</item>
      </candidateList>
      <explain>文本全半角错误。</explain>
      <paraID>4254201F</paraID>
      <start>5</start>
      <end>6</end>
      <status>ignored</status>
      <modifiedWord/>
      <trackRevisions>false</trackRevisions>
    </reviewItem>
    <reviewItem>
      <errorID>37267512-e165-44cb-806e-514a5ca35d8e</errorID>
      <errorWord>粘度</errorWord>
      <group>L1_Word</group>
      <groupName>字词问题</groupName>
      <ability>L2_Alias</ability>
      <abilityName>也作/曾用词</abilityName>
      <candidateList>
        <item>黏度</item>
      </candidateList>
      <explain>词汇[粘度]为不规范表述或旧称，其规范书面表述为[黏度]。</explain>
      <paraID>4CBD17D5</paraID>
      <start>0</start>
      <end>2</end>
      <status>unmodified</status>
      <modifiedWord/>
      <trackRevisions>false</trackRevisions>
    </reviewItem>
    <reviewItem>
      <errorID>12c4c558-e072-4028-9341-c650608b2966</errorID>
      <errorWord>1.5%-18%</errorWord>
      <group>L1_Knowledge</group>
      <groupName>知识性问题</groupName>
      <ability>L2_Knowledge</ability>
      <abilityName>其他知识</abilityName>
      <candidateList>
        <item>1.5%—18%</item>
      </candidateList>
      <explain>1. “1.5%-18%”中的单位“%”仅出现在后一个数字上，容易引起歧义；根据《现代汉语标点符号数字用法规范手册》，数字表示范围两边需要使用统一的格式。2. 根据标点国标 4.13 中的规则，数字、时间或地域连接符应使用（视觉上更长的）“—”或“～”。</explain>
      <paraID>2D9D22A5</paraID>
      <start>0</start>
      <end>8</end>
      <status>unmodified</status>
      <modifiedWord/>
      <trackRevisions>false</trackRevisions>
    </reviewItem>
    <reviewItem>
      <errorID>03f3723e-76ec-4ae9-91d2-33c6b861b47e</errorID>
      <errorWord>&gt;</errorWord>
      <group>L1_Punc</group>
      <groupName>标点问题</groupName>
      <ability>L2_Punc</ability>
      <abilityName>标点符号检查</abilityName>
      <candidateList/>
      <explain/>
      <paraID> 4CEE507</paraID>
      <start>0</start>
      <end>1</end>
      <status>unmodified</status>
      <modifiedWord/>
      <trackRevisions>false</trackRevisions>
    </reviewItem>
    <reviewItem>
      <errorID>df91f000-a842-47a8-b8d6-8a309924379c</errorID>
      <errorWord>(</errorWord>
      <group>L1_Format</group>
      <groupName>格式问题</groupName>
      <ability>L2_HalfPunc</ability>
      <abilityName>全半角检查</abilityName>
      <candidateList>
        <item>（</item>
      </candidateList>
      <explain>文本全半角错误。</explain>
      <paraID>120B5A3F</paraID>
      <start>2</start>
      <end>3</end>
      <status>unmodified</status>
      <modifiedWord/>
      <trackRevisions>false</trackRevisions>
    </reviewItem>
    <reviewItem>
      <errorID>56587cf9-5f96-4286-9ab7-3fbb44d0a979</errorID>
      <errorWord>)</errorWord>
      <group>L1_Format</group>
      <groupName>格式问题</groupName>
      <ability>L2_HalfPunc</ability>
      <abilityName>全半角检查</abilityName>
      <candidateList>
        <item>）</item>
      </candidateList>
      <explain>文本全半角错误。</explain>
      <paraID>120B5A3F</paraID>
      <start>5</start>
      <end>6</end>
      <status>ignored</status>
      <modifiedWord/>
      <trackRevisions>false</trackRevisions>
    </reviewItem>
    <reviewItem>
      <errorID>230583d8-5636-4949-8082-8e4f86c258d2</errorID>
      <errorWord>0-0.06%</errorWord>
      <group>L1_Knowledge</group>
      <groupName>知识性问题</groupName>
      <ability>L2_Knowledge</ability>
      <abilityName>其他知识</abilityName>
      <candidateList>
        <item>0—0.06%</item>
      </candidateList>
      <explain>1. “0-0.06%”中的单位“%”仅出现在后一个数字上，容易引起歧义；根据《现代汉语标点符号数字用法规范手册》，数字表示范围两边需要使用统一的格式。2. 根据标点国标 4.13 中的规则，数字、时间或地域连接符应使用（视觉上更长的）“—”或“～”。</explain>
      <paraID> 555FDD1</paraID>
      <start>0</start>
      <end>7</end>
      <status>unmodified</status>
      <modifiedWord/>
      <trackRevisions>false</trackRevisions>
    </reviewItem>
    <reviewItem>
      <errorID>72e98936-31be-44cf-a623-49933bba810f</errorID>
      <errorWord>)</errorWord>
      <group>L1_Format</group>
      <groupName>格式问题</groupName>
      <ability>L2_HalfPunc</ability>
      <abilityName>全半角检查</abilityName>
      <candidateList>
        <item>）</item>
      </candidateList>
      <explain>文本全半角错误。</explain>
      <paraID>4A89A65A</paraID>
      <start>6</start>
      <end>7</end>
      <status>ignored</status>
      <modifiedWord/>
      <trackRevisions>false</trackRevisions>
    </reviewItem>
    <reviewItem>
      <errorID>b7117c62-f9a8-4c69-b930-47c02b1eedf6</errorID>
      <errorWord>实验机</errorWord>
      <group>L1_Word</group>
      <groupName>字词问题</groupName>
      <ability>L2_Typo</ability>
      <abilityName>字词错误</abilityName>
      <candidateList>
        <item>试验机</item>
      </candidateList>
      <explain/>
      <paraID>35B4FEFA</paraID>
      <start>2</start>
      <end>5</end>
      <status>unmodified</status>
      <modifiedWord/>
      <trackRevisions>false</trackRevisions>
    </reviewItem>
    <reviewItem>
      <errorID>52c81565-d8b6-4023-8bd8-f0ece5be7b7e</errorID>
      <errorWord>(</errorWord>
      <group>L1_Format</group>
      <groupName>格式问题</groupName>
      <ability>L2_HalfPunc</ability>
      <abilityName>全半角检查</abilityName>
      <candidateList>
        <item>（</item>
      </candidateList>
      <explain>文本全半角错误。</explain>
      <paraID>12F14492</paraID>
      <start>4</start>
      <end>5</end>
      <status>unmodified</status>
      <modifiedWord/>
      <trackRevisions>false</trackRevisions>
    </reviewItem>
    <reviewItem>
      <errorID>a2154035-19c3-4cd7-b591-833710f49120</errorID>
      <errorWord>)</errorWord>
      <group>L1_Format</group>
      <groupName>格式问题</groupName>
      <ability>L2_HalfPunc</ability>
      <abilityName>全半角检查</abilityName>
      <candidateList>
        <item>）</item>
      </candidateList>
      <explain>文本全半角错误。</explain>
      <paraID>12F14492</paraID>
      <start>7</start>
      <end>8</end>
      <status>ignored</status>
      <modifiedWord/>
      <trackRevisions>false</trackRevisions>
    </reviewItem>
    <reviewItem>
      <errorID>ec16ec73-dfaa-489a-9d93-44e1d2e0e66b</errorID>
      <errorWord>(</errorWord>
      <group>L1_Format</group>
      <groupName>格式问题</groupName>
      <ability>L2_HalfPunc</ability>
      <abilityName>全半角检查</abilityName>
      <candidateList>
        <item>（</item>
      </candidateList>
      <explain>文本全半角错误。</explain>
      <paraID>5E7EDDD3</paraID>
      <start>2</start>
      <end>3</end>
      <status>unmodified</status>
      <modifiedWord/>
      <trackRevisions>false</trackRevisions>
    </reviewItem>
    <reviewItem>
      <errorID>1f88ff44-1e28-43bf-9714-1c97e7c4d85d</errorID>
      <errorWord>)</errorWord>
      <group>L1_Format</group>
      <groupName>格式问题</groupName>
      <ability>L2_HalfPunc</ability>
      <abilityName>全半角检查</abilityName>
      <candidateList>
        <item>）</item>
      </candidateList>
      <explain>文本全半角错误。</explain>
      <paraID>5E7EDDD3</paraID>
      <start>4</start>
      <end>5</end>
      <status>ignored</status>
      <modifiedWord/>
      <trackRevisions>false</trackRevisions>
    </reviewItem>
    <reviewItem>
      <errorID>5aabcae1-a2e6-40ea-b756-32aaab07f859</errorID>
      <errorWord>(</errorWord>
      <group>L1_Format</group>
      <groupName>格式问题</groupName>
      <ability>L2_HalfPunc</ability>
      <abilityName>全半角检查</abilityName>
      <candidateList>
        <item>（</item>
      </candidateList>
      <explain>文本全半角错误。</explain>
      <paraID>535E07A8</paraID>
      <start>4</start>
      <end>5</end>
      <status>unmodified</status>
      <modifiedWord/>
      <trackRevisions>false</trackRevisions>
    </reviewItem>
    <reviewItem>
      <errorID>09147f99-3ce3-442c-9a41-32230306c5ec</errorID>
      <errorWord>)</errorWord>
      <group>L1_Format</group>
      <groupName>格式问题</groupName>
      <ability>L2_HalfPunc</ability>
      <abilityName>全半角检查</abilityName>
      <candidateList>
        <item>）</item>
      </candidateList>
      <explain>文本全半角错误。</explain>
      <paraID>535E07A8</paraID>
      <start>9</start>
      <end>10</end>
      <status>ignored</status>
      <modifiedWord/>
      <trackRevisions>false</trackRevisions>
    </reviewItem>
    <reviewItem>
      <errorID>a9932851-e3de-4aab-833e-8cf70306ef5a</errorID>
      <errorWord>(</errorWord>
      <group>L1_Format</group>
      <groupName>格式问题</groupName>
      <ability>L2_HalfPunc</ability>
      <abilityName>全半角检查</abilityName>
      <candidateList>
        <item>（</item>
      </candidateList>
      <explain>文本全半角错误。</explain>
      <paraID>4B9A87B0</paraID>
      <start>3</start>
      <end>4</end>
      <status>unmodified</status>
      <modifiedWord/>
      <trackRevisions>false</trackRevisions>
    </reviewItem>
    <reviewItem>
      <errorID>f2649534-efe5-4fd8-8250-2eeea2641ef7</errorID>
      <errorWord>)</errorWord>
      <group>L1_Format</group>
      <groupName>格式问题</groupName>
      <ability>L2_HalfPunc</ability>
      <abilityName>全半角检查</abilityName>
      <candidateList>
        <item>）</item>
      </candidateList>
      <explain>文本全半角错误。</explain>
      <paraID>4B9A87B0</paraID>
      <start>5</start>
      <end>6</end>
      <status>ignored</status>
      <modifiedWord/>
      <trackRevisions>false</trackRevisions>
    </reviewItem>
    <reviewItem>
      <errorID>4856f54b-193a-4dbf-b454-fe2c1b3f3a5e</errorID>
      <errorWord>(</errorWord>
      <group>L1_Format</group>
      <groupName>格式问题</groupName>
      <ability>L2_HalfPunc</ability>
      <abilityName>全半角检查</abilityName>
      <candidateList>
        <item>（</item>
      </candidateList>
      <explain>文本全半角错误。</explain>
      <paraID>5B97941B</paraID>
      <start>4</start>
      <end>5</end>
      <status>unmodified</status>
      <modifiedWord/>
      <trackRevisions>false</trackRevisions>
    </reviewItem>
    <reviewItem>
      <errorID>46a7f380-d01e-4d42-8f0f-7b4618551cfe</errorID>
      <errorWord>)</errorWord>
      <group>L1_Format</group>
      <groupName>格式问题</groupName>
      <ability>L2_HalfPunc</ability>
      <abilityName>全半角检查</abilityName>
      <candidateList>
        <item>）</item>
      </candidateList>
      <explain>文本全半角错误。</explain>
      <paraID>5B97941B</paraID>
      <start>6</start>
      <end>7</end>
      <status>ignored</status>
      <modifiedWord/>
      <trackRevisions>false</trackRevisions>
    </reviewItem>
    <reviewItem>
      <errorID>f4e71110-221e-4b87-893c-45510707a3c7</errorID>
      <errorWord>(</errorWord>
      <group>L1_Format</group>
      <groupName>格式问题</groupName>
      <ability>L2_HalfPunc</ability>
      <abilityName>全半角检查</abilityName>
      <candidateList>
        <item>（</item>
      </candidateList>
      <explain>文本全半角错误。</explain>
      <paraID>3C588F6D</paraID>
      <start>6</start>
      <end>7</end>
      <status>unmodified</status>
      <modifiedWord/>
      <trackRevisions>false</trackRevisions>
    </reviewItem>
    <reviewItem>
      <errorID>1e5c04d3-2f21-4ff3-98c2-56cfebe6719e</errorID>
      <errorWord>)</errorWord>
      <group>L1_Format</group>
      <groupName>格式问题</groupName>
      <ability>L2_HalfPunc</ability>
      <abilityName>全半角检查</abilityName>
      <candidateList>
        <item>）</item>
      </candidateList>
      <explain>文本全半角错误。</explain>
      <paraID>3C588F6D</paraID>
      <start>11</start>
      <end>12</end>
      <status>ignored</status>
      <modifiedWord/>
      <trackRevisions>false</trackRevisions>
    </reviewItem>
    <reviewItem>
      <errorID>b776bfcc-c152-4529-b6fe-dc8ed6365a6a</errorID>
      <errorWord>(</errorWord>
      <group>L1_Format</group>
      <groupName>格式问题</groupName>
      <ability>L2_HalfPunc</ability>
      <abilityName>全半角检查</abilityName>
      <candidateList>
        <item>（</item>
      </candidateList>
      <explain>文本全半角错误。</explain>
      <paraID>74AD6AA0</paraID>
      <start>4</start>
      <end>5</end>
      <status>unmodified</status>
      <modifiedWord/>
      <trackRevisions>false</trackRevisions>
    </reviewItem>
    <reviewItem>
      <errorID>fcf728d9-c919-4155-b503-fc7b7b26cee1</errorID>
      <errorWord>)</errorWord>
      <group>L1_Format</group>
      <groupName>格式问题</groupName>
      <ability>L2_HalfPunc</ability>
      <abilityName>全半角检查</abilityName>
      <candidateList>
        <item>）</item>
      </candidateList>
      <explain>文本全半角错误。</explain>
      <paraID>74AD6AA0</paraID>
      <start>8</start>
      <end>9</end>
      <status>ignored</status>
      <modifiedWord/>
      <trackRevisions>false</trackRevisions>
    </reviewItem>
    <reviewItem>
      <errorID>a6f690bf-4021-4e16-ab64-76cacd69105c</errorID>
      <errorWord>(</errorWord>
      <group>L1_Format</group>
      <groupName>格式问题</groupName>
      <ability>L2_HalfPunc</ability>
      <abilityName>全半角检查</abilityName>
      <candidateList>
        <item>（</item>
      </candidateList>
      <explain>文本全半角错误。</explain>
      <paraID>72E47277</paraID>
      <start>4</start>
      <end>5</end>
      <status>unmodified</status>
      <modifiedWord/>
      <trackRevisions>false</trackRevisions>
    </reviewItem>
    <reviewItem>
      <errorID>a682201b-3111-4014-89b8-b8af71126dac</errorID>
      <errorWord>)</errorWord>
      <group>L1_Format</group>
      <groupName>格式问题</groupName>
      <ability>L2_HalfPunc</ability>
      <abilityName>全半角检查</abilityName>
      <candidateList>
        <item>）</item>
      </candidateList>
      <explain>文本全半角错误。</explain>
      <paraID>72E47277</paraID>
      <start>8</start>
      <end>9</end>
      <status>ignored</status>
      <modifiedWord/>
      <trackRevisions>false</trackRevisions>
    </reviewItem>
    <reviewItem>
      <errorID>506a868d-1cee-4a5a-9bdc-cc0469fbb47b</errorID>
      <errorWord>1,4-丁二醇</errorWord>
      <group>L1_Word</group>
      <groupName>字词问题</groupName>
      <ability>L2_Typo</ability>
      <abilityName>字词错误</abilityName>
      <candidateList/>
      <explain>【违禁内容】句中涉及国家法律明令禁止的违禁内容，请注意甄别。</explain>
      <paraID>7C7C3F5B</paraID>
      <start>0</start>
      <end>7</end>
      <status>unmodified</status>
      <modifiedWord/>
      <trackRevisions>false</trackRevisions>
    </reviewItem>
    <reviewItem>
      <errorID>b61782bb-1eb8-4680-9234-1bcefd1b5d79</errorID>
      <errorWord>1,4-丁二醇</errorWord>
      <group>L1_Word</group>
      <groupName>字词问题</groupName>
      <ability>L2_Typo</ability>
      <abilityName>字词错误</abilityName>
      <candidateList/>
      <explain>【违禁内容】句中涉及国家法律明令禁止的违禁内容，请注意甄别。</explain>
      <paraID>31657E5C</paraID>
      <start>0</start>
      <end>7</end>
      <status>unmodified</status>
      <modifiedWord/>
      <trackRevisions>false</trackRevisions>
    </reviewItem>
    <reviewItem>
      <errorID>d3463d44-1a1b-4606-8aab-2ba1e9057462</errorID>
      <errorWord>1,4-丁二醇</errorWord>
      <group>L1_Word</group>
      <groupName>字词问题</groupName>
      <ability>L2_Typo</ability>
      <abilityName>字词错误</abilityName>
      <candidateList/>
      <explain>【违禁内容】句中涉及国家法律明令禁止的违禁内容，请注意甄别。</explain>
      <paraID>5535E388</paraID>
      <start>0</start>
      <end>7</end>
      <status>unmodified</status>
      <modifiedWord/>
      <trackRevisions>false</trackRevisions>
    </reviewItem>
    <reviewItem>
      <errorID>466b76e7-62d2-4153-bdbc-582df8147e7a</errorID>
      <errorWord>1,4-丁二醇</errorWord>
      <group>L1_Word</group>
      <groupName>字词问题</groupName>
      <ability>L2_Typo</ability>
      <abilityName>字词错误</abilityName>
      <candidateList/>
      <explain>【违禁内容】句中涉及国家法律明令禁止的违禁内容，请注意甄别。</explain>
      <paraID> 8A4429C</paraID>
      <start>0</start>
      <end>7</end>
      <status>unmodified</status>
      <modifiedWord/>
      <trackRevisions>false</trackRevisions>
    </reviewItem>
    <reviewItem>
      <errorID>1eaf3904-783e-437c-8dc2-be829e4a4327</errorID>
      <errorWord>1,4-丁二醇</errorWord>
      <group>L1_Word</group>
      <groupName>字词问题</groupName>
      <ability>L2_Typo</ability>
      <abilityName>字词错误</abilityName>
      <candidateList/>
      <explain>【违禁内容】句中涉及国家法律明令禁止的违禁内容，请注意甄别。</explain>
      <paraID>408FF712</paraID>
      <start>0</start>
      <end>7</end>
      <status>unmodified</status>
      <modifiedWord/>
      <trackRevisions>false</trackRevisions>
    </reviewItem>
    <reviewItem>
      <errorID>7d47d0e7-b2df-416e-8535-f810e1c957a1</errorID>
      <errorWord>)</errorWord>
      <group>L1_Format</group>
      <groupName>格式问题</groupName>
      <ability>L2_HalfPunc</ability>
      <abilityName>全半角检查</abilityName>
      <candidateList>
        <item>）</item>
      </candidateList>
      <explain>文本全半角错误。</explain>
      <paraID> 22C5FDB</paraID>
      <start>30</start>
      <end>31</end>
      <status>ignored</status>
      <modifiedWord/>
      <trackRevisions>false</trackRevisions>
    </reviewItem>
    <reviewItem>
      <errorID>adc47380-e49c-4a68-a88c-5aa9e1b8b81d</errorID>
      <errorWord>粘稠</errorWord>
      <group>L1_Word</group>
      <groupName>字词问题</groupName>
      <ability>L2_Typo</ability>
      <abilityName>字词错误</abilityName>
      <candidateList>
        <item>黏稠</item>
      </candidateList>
      <explain>存在发音相同字词的误用。</explain>
      <paraID>6B916720</paraID>
      <start>3</start>
      <end>5</end>
      <status>unmodified</status>
      <modifiedWord/>
      <trackRevisions>false</trackRevisions>
    </reviewItem>
    <reviewItem>
      <errorID>c7b91d74-935e-46ea-91a9-4badf3965475</errorID>
      <errorWord>(</errorWord>
      <group>L1_Format</group>
      <groupName>格式问题</groupName>
      <ability>L2_HalfPunc</ability>
      <abilityName>全半角检查</abilityName>
      <candidateList>
        <item>（</item>
      </candidateList>
      <explain>文本全半角错误。</explain>
      <paraID>6B916720</paraID>
      <start>12</start>
      <end>13</end>
      <status>unmodified</status>
      <modifiedWord/>
      <trackRevisions>false</trackRevisions>
    </reviewItem>
    <reviewItem>
      <errorID>ab2e0e6b-d229-47ff-91c8-a0a29c7e77aa</errorID>
      <errorWord>)</errorWord>
      <group>L1_Format</group>
      <groupName>格式问题</groupName>
      <ability>L2_HalfPunc</ability>
      <abilityName>全半角检查</abilityName>
      <candidateList>
        <item>）</item>
      </candidateList>
      <explain>文本全半角错误。</explain>
      <paraID>6B916720</paraID>
      <start>29</start>
      <end>30</end>
      <status>ignored</status>
      <modifiedWord/>
      <trackRevisions>false</trackRevisions>
    </reviewItem>
    <reviewItem>
      <errorID>b1ed9583-72f4-4a1a-9b94-c21ac19d55e2</errorID>
      <errorWord>粘稠</errorWord>
      <group>L1_Word</group>
      <groupName>字词问题</groupName>
      <ability>L2_Typo</ability>
      <abilityName>字词错误</abilityName>
      <candidateList>
        <item>黏稠</item>
      </candidateList>
      <explain>存在发音相同字词的误用。</explain>
      <paraID>41FF1A5B</paraID>
      <start>10</start>
      <end>12</end>
      <status>unmodified</status>
      <modifiedWord/>
      <trackRevisions>false</trackRevisions>
    </reviewItem>
    <reviewItem>
      <errorID>5826e6ef-af7e-4581-be5e-dd08bb72e398</errorID>
      <errorWord>(</errorWord>
      <group>L1_Format</group>
      <groupName>格式问题</groupName>
      <ability>L2_HalfPunc</ability>
      <abilityName>全半角检查</abilityName>
      <candidateList>
        <item>（</item>
      </candidateList>
      <explain>文本全半角错误。</explain>
      <paraID>41FF1A5B</paraID>
      <start>19</start>
      <end>20</end>
      <status>unmodified</status>
      <modifiedWord/>
      <trackRevisions>false</trackRevisions>
    </reviewItem>
    <reviewItem>
      <errorID>7f1e1ffd-e083-4249-9e3b-ced3daf84579</errorID>
      <errorWord>)</errorWord>
      <group>L1_Format</group>
      <groupName>格式问题</groupName>
      <ability>L2_HalfPunc</ability>
      <abilityName>全半角检查</abilityName>
      <candidateList>
        <item>）</item>
      </candidateList>
      <explain>文本全半角错误。</explain>
      <paraID>41FF1A5B</paraID>
      <start>23</start>
      <end>24</end>
      <status>ignored</status>
      <modifiedWord/>
      <trackRevisions>false</trackRevisions>
    </reviewItem>
    <reviewItem>
      <errorID>4cf86879-7feb-43c5-af2e-7bf64324d672</errorID>
      <errorWord>饱和蒸气</errorWord>
      <group>L1_Word</group>
      <groupName>字词问题</groupName>
      <ability>L2_Typo</ability>
      <abilityName>字词错误</abilityName>
      <candidateList>
        <item>饱和蒸汽</item>
      </candidateList>
      <explain/>
      <paraID>41FF1A5B</paraID>
      <start>30</start>
      <end>34</end>
      <status>unmodified</status>
      <modifiedWord/>
      <trackRevisions>false</trackRevisions>
    </reviewItem>
    <reviewItem>
      <errorID>fd001d3a-63b3-45c4-aac5-2a8e990ec7cf</errorID>
      <errorWord>(</errorWord>
      <group>L1_Format</group>
      <groupName>格式问题</groupName>
      <ability>L2_HalfPunc</ability>
      <abilityName>全半角检查</abilityName>
      <candidateList>
        <item>（</item>
      </candidateList>
      <explain>文本全半角错误。</explain>
      <paraID>41FF1A5B</paraID>
      <start>35</start>
      <end>36</end>
      <status>unmodified</status>
      <modifiedWord/>
      <trackRevisions>false</trackRevisions>
    </reviewItem>
    <reviewItem>
      <errorID>77fb4d3d-e1ef-4cd1-b0d7-d891a84aa63e</errorID>
      <errorWord>)</errorWord>
      <group>L1_Format</group>
      <groupName>格式问题</groupName>
      <ability>L2_HalfPunc</ability>
      <abilityName>全半角检查</abilityName>
      <candidateList>
        <item>）</item>
      </candidateList>
      <explain>文本全半角错误。</explain>
      <paraID>41FF1A5B</paraID>
      <start>39</start>
      <end>40</end>
      <status>ignored</status>
      <modifiedWord/>
      <trackRevisions>false</trackRevisions>
    </reviewItem>
    <reviewItem>
      <errorID>9108f410-a8c0-48b8-900c-59c3d9896848</errorID>
      <errorWord>)</errorWord>
      <group>L1_Format</group>
      <groupName>格式问题</groupName>
      <ability>L2_HalfPunc</ability>
      <abilityName>全半角检查</abilityName>
      <candidateList>
        <item>）</item>
      </candidateList>
      <explain>文本全半角错误。</explain>
      <paraID>41FF1A5B</paraID>
      <start>49</start>
      <end>50</end>
      <status>ignored</status>
      <modifiedWord/>
      <trackRevisions>false</trackRevisions>
    </reviewItem>
    <reviewItem>
      <errorID>86db8449-b881-4b3b-b37b-3be3161827f7</errorID>
      <errorWord>(</errorWord>
      <group>L1_Format</group>
      <groupName>格式问题</groupName>
      <ability>L2_HalfPunc</ability>
      <abilityName>全半角检查</abilityName>
      <candidateList>
        <item>（</item>
      </candidateList>
      <explain>文本全半角错误。</explain>
      <paraID>72A2EFCB</paraID>
      <start>43</start>
      <end>44</end>
      <status>unmodified</status>
      <modifiedWord/>
      <trackRevisions>false</trackRevisions>
    </reviewItem>
    <reviewItem>
      <errorID>42d4cb6d-ecb7-45f9-b731-e34f466a72e1</errorID>
      <errorWord>)</errorWord>
      <group>L1_Format</group>
      <groupName>格式问题</groupName>
      <ability>L2_HalfPunc</ability>
      <abilityName>全半角检查</abilityName>
      <candidateList>
        <item>）</item>
      </candidateList>
      <explain>文本全半角错误。</explain>
      <paraID>72A2EFCB</paraID>
      <start>45</start>
      <end>46</end>
      <status>ignored</status>
      <modifiedWord/>
      <trackRevisions>false</trackRevisions>
    </reviewItem>
    <reviewItem>
      <errorID>ed06f2ed-ec98-4529-95ac-d14a30846de5</errorID>
      <errorWord>：</errorWord>
      <group>L1_Format</group>
      <groupName>格式问题</groupName>
      <ability>L2_HalfPunc</ability>
      <abilityName>全半角检查</abilityName>
      <candidateList>
        <item>:</item>
      </candidateList>
      <explain>文本全半角错误。</explain>
      <paraID> 908E44D</paraID>
      <start>9</start>
      <end>10</end>
      <status>unmodified</status>
      <modifiedWord/>
      <trackRevisions>false</trackRevisions>
    </reviewItem>
    <reviewItem>
      <errorID>1dea02f3-47fa-480d-b70a-74633a0aeedc</errorID>
      <errorWord>(</errorWord>
      <group>L1_Format</group>
      <groupName>格式问题</groupName>
      <ability>L2_HalfPunc</ability>
      <abilityName>全半角检查</abilityName>
      <candidateList>
        <item>（</item>
      </candidateList>
      <explain>文本全半角错误。</explain>
      <paraID> 908E44D</paraID>
      <start>26</start>
      <end>27</end>
      <status>unmodified</status>
      <modifiedWord/>
      <trackRevisions>false</trackRevisions>
    </reviewItem>
    <reviewItem>
      <errorID>aeb7da68-f435-43fd-89eb-d156eb75d2b5</errorID>
      <errorWord>)</errorWord>
      <group>L1_Format</group>
      <groupName>格式问题</groupName>
      <ability>L2_HalfPunc</ability>
      <abilityName>全半角检查</abilityName>
      <candidateList>
        <item>）</item>
      </candidateList>
      <explain>文本全半角错误。</explain>
      <paraID> 908E44D</paraID>
      <start>31</start>
      <end>32</end>
      <status>ignored</status>
      <modifiedWord/>
      <trackRevisions>false</trackRevisions>
    </reviewItem>
    <reviewItem>
      <errorID>bd341bfa-cd45-4508-aaa5-7b9aa323c687</errorID>
      <errorWord>(</errorWord>
      <group>L1_Format</group>
      <groupName>格式问题</groupName>
      <ability>L2_HalfPunc</ability>
      <abilityName>全半角检查</abilityName>
      <candidateList>
        <item>（</item>
      </candidateList>
      <explain>文本全半角错误。</explain>
      <paraID> 908E44D</paraID>
      <start>49</start>
      <end>50</end>
      <status>unmodified</status>
      <modifiedWord/>
      <trackRevisions>false</trackRevisions>
    </reviewItem>
    <reviewItem>
      <errorID>b591345e-fd2b-4a15-a407-6a0a617a44c0</errorID>
      <errorWord>)</errorWord>
      <group>L1_Format</group>
      <groupName>格式问题</groupName>
      <ability>L2_HalfPunc</ability>
      <abilityName>全半角检查</abilityName>
      <candidateList>
        <item>）</item>
      </candidateList>
      <explain>文本全半角错误。</explain>
      <paraID> 908E44D</paraID>
      <start>54</start>
      <end>55</end>
      <status>ignored</status>
      <modifiedWord/>
      <trackRevisions>false</trackRevisions>
    </reviewItem>
    <reviewItem>
      <errorID>1b7efcc3-208f-4701-b333-69a5ae23d906</errorID>
      <errorWord>1,4-丁二醇</errorWord>
      <group>L1_Word</group>
      <groupName>字词问题</groupName>
      <ability>L2_Typo</ability>
      <abilityName>字词错误</abilityName>
      <candidateList/>
      <explain>【违禁内容】句中涉及国家法律明令禁止的违禁内容，请注意甄别。</explain>
      <paraID>2B3D5967</paraID>
      <start>0</start>
      <end>7</end>
      <status>unmodified</status>
      <modifiedWord/>
      <trackRevisions>false</trackRevisions>
    </reviewItem>
    <reviewItem>
      <errorID>e1d18a58-82be-4d0e-8174-7dcef547009f</errorID>
      <errorWord>(</errorWord>
      <group>L1_Format</group>
      <groupName>格式问题</groupName>
      <ability>L2_HalfPunc</ability>
      <abilityName>全半角检查</abilityName>
      <candidateList>
        <item>（</item>
      </candidateList>
      <explain>文本全半角错误。</explain>
      <paraID>5B3D1B58</paraID>
      <start>12</start>
      <end>13</end>
      <status>unmodified</status>
      <modifiedWord/>
      <trackRevisions>false</trackRevisions>
    </reviewItem>
    <reviewItem>
      <errorID>04ea6a9a-542d-4d60-a1e4-ee3caf001632</errorID>
      <errorWord>)</errorWord>
      <group>L1_Format</group>
      <groupName>格式问题</groupName>
      <ability>L2_HalfPunc</ability>
      <abilityName>全半角检查</abilityName>
      <candidateList>
        <item>）</item>
      </candidateList>
      <explain>文本全半角错误。</explain>
      <paraID>5B3D1B58</paraID>
      <start>16</start>
      <end>17</end>
      <status>ignored</status>
      <modifiedWord/>
      <trackRevisions>false</trackRevisions>
    </reviewItem>
    <reviewItem>
      <errorID>6a08b72e-d2bb-4054-9691-df8462af2643</errorID>
      <errorWord>(</errorWord>
      <group>L1_Format</group>
      <groupName>格式问题</groupName>
      <ability>L2_HalfPunc</ability>
      <abilityName>全半角检查</abilityName>
      <candidateList>
        <item>（</item>
      </candidateList>
      <explain>文本全半角错误。</explain>
      <paraID>524EE7B8</paraID>
      <start>43</start>
      <end>44</end>
      <status>unmodified</status>
      <modifiedWord/>
      <trackRevisions>false</trackRevisions>
    </reviewItem>
    <reviewItem>
      <errorID>53abca27-9afd-43fd-bf13-39fb6523c1c8</errorID>
      <errorWord>)</errorWord>
      <group>L1_Format</group>
      <groupName>格式问题</groupName>
      <ability>L2_HalfPunc</ability>
      <abilityName>全半角检查</abilityName>
      <candidateList>
        <item>）</item>
      </candidateList>
      <explain>文本全半角错误。</explain>
      <paraID>524EE7B8</paraID>
      <start>45</start>
      <end>46</end>
      <status>ignored</status>
      <modifiedWord/>
      <trackRevisions>false</trackRevisions>
    </reviewItem>
    <reviewItem>
      <errorID>8526534f-e747-42bd-b697-df8ceedaf9fc</errorID>
      <errorWord>：</errorWord>
      <group>L1_Format</group>
      <groupName>格式问题</groupName>
      <ability>L2_HalfPunc</ability>
      <abilityName>全半角检查</abilityName>
      <candidateList>
        <item>:</item>
      </candidateList>
      <explain>文本全半角错误。</explain>
      <paraID>381C5523</paraID>
      <start>10</start>
      <end>11</end>
      <status>unmodified</status>
      <modifiedWord/>
      <trackRevisions>false</trackRevisions>
    </reviewItem>
    <reviewItem>
      <errorID>fcbfd0ef-696f-4010-bdbd-be013f99d301</errorID>
      <errorWord>(</errorWord>
      <group>L1_Format</group>
      <groupName>格式问题</groupName>
      <ability>L2_HalfPunc</ability>
      <abilityName>全半角检查</abilityName>
      <candidateList>
        <item>（</item>
      </candidateList>
      <explain>文本全半角错误。</explain>
      <paraID>381C5523</paraID>
      <start>21</start>
      <end>22</end>
      <status>unmodified</status>
      <modifiedWord/>
      <trackRevisions>false</trackRevisions>
    </reviewItem>
    <reviewItem>
      <errorID>7e7aa328-83cd-4597-bee3-2e44dc33de13</errorID>
      <errorWord>)</errorWord>
      <group>L1_Format</group>
      <groupName>格式问题</groupName>
      <ability>L2_HalfPunc</ability>
      <abilityName>全半角检查</abilityName>
      <candidateList>
        <item>）</item>
      </candidateList>
      <explain>文本全半角错误。</explain>
      <paraID>381C5523</paraID>
      <start>26</start>
      <end>27</end>
      <status>ignored</status>
      <modifiedWord/>
      <trackRevisions>false</trackRevisions>
    </reviewItem>
    <reviewItem>
      <errorID>811014c1-97a2-49aa-870c-2a884c66f3e7</errorID>
      <errorWord>(</errorWord>
      <group>L1_Format</group>
      <groupName>格式问题</groupName>
      <ability>L2_HalfPunc</ability>
      <abilityName>全半角检查</abilityName>
      <candidateList>
        <item>（</item>
      </candidateList>
      <explain>文本全半角错误。</explain>
      <paraID>381C5523</paraID>
      <start>38</start>
      <end>39</end>
      <status>unmodified</status>
      <modifiedWord/>
      <trackRevisions>false</trackRevisions>
    </reviewItem>
    <reviewItem>
      <errorID>ac9cce88-22d4-4537-a211-845b2148f07e</errorID>
      <errorWord>)</errorWord>
      <group>L1_Format</group>
      <groupName>格式问题</groupName>
      <ability>L2_HalfPunc</ability>
      <abilityName>全半角检查</abilityName>
      <candidateList>
        <item>）</item>
      </candidateList>
      <explain>文本全半角错误。</explain>
      <paraID>381C5523</paraID>
      <start>43</start>
      <end>44</end>
      <status>ignored</status>
      <modifiedWord/>
      <trackRevisions>false</trackRevisions>
    </reviewItem>
    <reviewItem>
      <errorID>0b52a364-eddf-44d2-be30-5f276bae7ca1</errorID>
      <errorWord>）</errorWord>
      <group>L1_Punc</group>
      <groupName>标点问题</groupName>
      <ability>L2_Punc</ability>
      <abilityName>标点符号检查</abilityName>
      <candidateList/>
      <explain/>
      <paraID>369DF8E9</paraID>
      <start>0</start>
      <end>1</end>
      <status>unmodified</status>
      <modifiedWord/>
      <trackRevisions>false</trackRevisions>
    </reviewItem>
    <reviewItem>
      <errorID>4e8ddd21-a832-4d50-af5a-bc27b6f86cfd</errorID>
      <errorWord>混浊</errorWord>
      <group>L1_Word</group>
      <groupName>字词问题</groupName>
      <ability>L2_Typo</ability>
      <abilityName>字词错误</abilityName>
      <candidateList>
        <item>浑浊</item>
      </candidateList>
      <explain/>
      <paraID>4DD9696C</paraID>
      <start>3</start>
      <end>5</end>
      <status>unmodified</status>
      <modifiedWord/>
      <trackRevisions>false</trackRevisions>
    </reviewItem>
    <reviewItem>
      <errorID>147e8916-f135-4710-8787-bd5d759a1718</errorID>
      <errorWord>粘稠</errorWord>
      <group>L1_Word</group>
      <groupName>字词问题</groupName>
      <ability>L2_Typo</ability>
      <abilityName>字词错误</abilityName>
      <candidateList>
        <item>黏稠</item>
      </candidateList>
      <explain>存在发音相同字词的误用。</explain>
      <paraID>4DD9696C</paraID>
      <start>5</start>
      <end>7</end>
      <status>unmodified</status>
      <modifiedWord/>
      <trackRevisions>false</trackRevisions>
    </reviewItem>
    <reviewItem>
      <errorID>9dbc1143-ea9c-4508-b9b1-48d9ef344825</errorID>
      <errorWord>：&gt;</errorWord>
      <group>L1_Punc</group>
      <groupName>标点问题</groupName>
      <ability>L2_Punc</ability>
      <abilityName>标点符号检查</abilityName>
      <candidateList>
        <item>：</item>
      </candidateList>
      <explain/>
      <paraID>  86D34D</paraID>
      <start>50</start>
      <end>52</end>
      <status>unmodified</status>
      <modifiedWord/>
      <trackRevisions>false</trackRevisions>
    </reviewItem>
    <reviewItem>
      <errorID>86b99be2-22b3-4c61-89f7-98e07cbffc64</errorID>
      <errorWord>黃</errorWord>
      <group>L1_Word</group>
      <groupName>字词问题</groupName>
      <ability>L2_Fanti</ability>
      <abilityName>繁转简</abilityName>
      <candidateList>
        <item>黄</item>
      </candidateList>
      <explain/>
      <paraID>3DCE4420</paraID>
      <start>1</start>
      <end>2</end>
      <status>unmodified</status>
      <modifiedWord/>
      <trackRevisions>false</trackRevisions>
    </reviewItem>
    <reviewItem>
      <errorID>f6c55751-8de8-45d6-9aac-50ae93b58df5</errorID>
      <errorWord>(</errorWord>
      <group>L1_Format</group>
      <groupName>格式问题</groupName>
      <ability>L2_HalfPunc</ability>
      <abilityName>全半角检查</abilityName>
      <candidateList>
        <item>（</item>
      </candidateList>
      <explain>文本全半角错误。</explain>
      <paraID>3DCE4420</paraID>
      <start>28</start>
      <end>29</end>
      <status>unmodified</status>
      <modifiedWord/>
      <trackRevisions>false</trackRevisions>
    </reviewItem>
    <reviewItem>
      <errorID>c8b5b479-2b19-4ec3-b1c8-2c2e3e99ea2c</errorID>
      <errorWord>1百</errorWord>
      <group>L1_Knowledge</group>
      <groupName>知识性问题</groupName>
      <ability>L2_Knowledge</ability>
      <abilityName>其他知识</abilityName>
      <candidateList>
        <item>100</item>
      </candidateList>
      <explain/>
      <paraID>3DCE4420</paraID>
      <start>38</start>
      <end>40</end>
      <status>unmodified</status>
      <modifiedWord/>
      <trackRevisions>false</trackRevisions>
    </reviewItem>
    <reviewItem>
      <errorID>46ff54b0-75d6-4422-8003-226fb55f1a1e</errorID>
      <errorWord>：</errorWord>
      <group>L1_Format</group>
      <groupName>格式问题</groupName>
      <ability>L2_HalfPunc</ability>
      <abilityName>全半角检查</abilityName>
      <candidateList>
        <item>:</item>
      </candidateList>
      <explain>文本全半角错误。</explain>
      <paraID>2EEC2973</paraID>
      <start>10</start>
      <end>11</end>
      <status>unmodified</status>
      <modifiedWord/>
      <trackRevisions>false</trackRevisions>
    </reviewItem>
    <reviewItem>
      <errorID>6deb6f36-c94f-43d9-bd68-5b3bdb647065</errorID>
      <errorWord>:</errorWord>
      <group>L1_Format</group>
      <groupName>格式问题</groupName>
      <ability>L2_HalfPunc</ability>
      <abilityName>全半角检查</abilityName>
      <candidateList>
        <item>：</item>
      </candidateList>
      <explain>文本全半角错误。</explain>
      <paraID>415A8EE8</paraID>
      <start>15</start>
      <end>16</end>
      <status>unmodified</status>
      <modifiedWord/>
      <trackRevisions>false</trackRevisions>
    </reviewItem>
    <reviewItem>
      <errorID>1df2df99-b004-432c-9fbc-dcad4b948a13</errorID>
      <errorWord>)</errorWord>
      <group>L1_Format</group>
      <groupName>格式问题</groupName>
      <ability>L2_HalfPunc</ability>
      <abilityName>全半角检查</abilityName>
      <candidateList>
        <item>）</item>
      </candidateList>
      <explain>文本全半角错误。</explain>
      <paraID>60D25AF0</paraID>
      <start>29</start>
      <end>30</end>
      <status>ignored</status>
      <modifiedWord/>
      <trackRevisions>false</trackRevisions>
    </reviewItem>
    <reviewItem>
      <errorID>27b5b317-3d48-415a-9bf3-0c547073dda2</errorID>
      <errorWord>:</errorWord>
      <group>L1_Format</group>
      <groupName>格式问题</groupName>
      <ability>L2_HalfPunc</ability>
      <abilityName>全半角检查</abilityName>
      <candidateList>
        <item>：</item>
      </candidateList>
      <explain>文本全半角错误。</explain>
      <paraID>60D25AF0</paraID>
      <start>34</start>
      <end>35</end>
      <status>unmodified</status>
      <modifiedWord/>
      <trackRevisions>false</trackRevisions>
    </reviewItem>
    <reviewItem>
      <errorID>126cfd74-1bf6-462f-9c01-dbf653a2dac7</errorID>
      <errorWord>)</errorWord>
      <group>L1_Format</group>
      <groupName>格式问题</groupName>
      <ability>L2_HalfPunc</ability>
      <abilityName>全半角检查</abilityName>
      <candidateList>
        <item>）</item>
      </candidateList>
      <explain>文本全半角错误。</explain>
      <paraID>60D25AF0</paraID>
      <start>52</start>
      <end>53</end>
      <status>ignored</status>
      <modifiedWord/>
      <trackRevisions>false</trackRevisions>
    </reviewItem>
    <reviewItem>
      <errorID>90e55082-fdfa-4e2c-8f62-ba9f874c9cb9</errorID>
      <errorWord>(</errorWord>
      <group>L1_Format</group>
      <groupName>格式问题</groupName>
      <ability>L2_HalfPunc</ability>
      <abilityName>全半角检查</abilityName>
      <candidateList>
        <item>（</item>
      </candidateList>
      <explain>文本全半角错误。</explain>
      <paraID>79B4B4D9</paraID>
      <start>62</start>
      <end>63</end>
      <status>unmodified</status>
      <modifiedWord/>
      <trackRevisions>false</trackRevisions>
    </reviewItem>
    <reviewItem>
      <errorID>398fae48-2673-4aa3-a109-da95a24a3489</errorID>
      <errorWord>)</errorWord>
      <group>L1_Format</group>
      <groupName>格式问题</groupName>
      <ability>L2_HalfPunc</ability>
      <abilityName>全半角检查</abilityName>
      <candidateList>
        <item>）</item>
      </candidateList>
      <explain>文本全半角错误。</explain>
      <paraID>79B4B4D9</paraID>
      <start>65</start>
      <end>66</end>
      <status>ignored</status>
      <modifiedWord/>
      <trackRevisions>false</trackRevisions>
    </reviewItem>
    <reviewItem>
      <errorID>f98ac9ca-6504-4cf3-b56f-7ae6eaf58d27</errorID>
      <errorWord>(</errorWord>
      <group>L1_Format</group>
      <groupName>格式问题</groupName>
      <ability>L2_HalfPunc</ability>
      <abilityName>全半角检查</abilityName>
      <candidateList>
        <item>（</item>
      </candidateList>
      <explain>文本全半角错误。</explain>
      <paraID>79B4B4D9</paraID>
      <start>73</start>
      <end>74</end>
      <status>unmodified</status>
      <modifiedWord/>
      <trackRevisions>false</trackRevisions>
    </reviewItem>
    <reviewItem>
      <errorID>b6c190eb-7c3b-4916-884f-8b6db4ffa7fe</errorID>
      <errorWord>)</errorWord>
      <group>L1_Format</group>
      <groupName>格式问题</groupName>
      <ability>L2_HalfPunc</ability>
      <abilityName>全半角检查</abilityName>
      <candidateList>
        <item>）</item>
      </candidateList>
      <explain>文本全半角错误。</explain>
      <paraID>79B4B4D9</paraID>
      <start>76</start>
      <end>77</end>
      <status>ignored</status>
      <modifiedWord/>
      <trackRevisions>false</trackRevisions>
    </reviewItem>
    <reviewItem>
      <errorID>af3faa3c-7d6d-47f0-b617-c27b75c86a72</errorID>
      <errorWord>(</errorWord>
      <group>L1_Format</group>
      <groupName>格式问题</groupName>
      <ability>L2_HalfPunc</ability>
      <abilityName>全半角检查</abilityName>
      <candidateList>
        <item>（</item>
      </candidateList>
      <explain>文本全半角错误。</explain>
      <paraID>79B4B4D9</paraID>
      <start>82</start>
      <end>83</end>
      <status>unmodified</status>
      <modifiedWord/>
      <trackRevisions>false</trackRevisions>
    </reviewItem>
    <reviewItem>
      <errorID>e746e22d-29e0-4b44-b66d-5cb9d1f80074</errorID>
      <errorWord>)</errorWord>
      <group>L1_Format</group>
      <groupName>格式问题</groupName>
      <ability>L2_HalfPunc</ability>
      <abilityName>全半角检查</abilityName>
      <candidateList>
        <item>）</item>
      </candidateList>
      <explain>文本全半角错误。</explain>
      <paraID>79B4B4D9</paraID>
      <start>84</start>
      <end>85</end>
      <status>ignored</status>
      <modifiedWord/>
      <trackRevisions>false</trackRevisions>
    </reviewItem>
    <reviewItem>
      <errorID>66aec125-e2f4-4ed3-a53b-49f359209032</errorID>
      <errorWord>(</errorWord>
      <group>L1_Format</group>
      <groupName>格式问题</groupName>
      <ability>L2_HalfPunc</ability>
      <abilityName>全半角检查</abilityName>
      <candidateList>
        <item>（</item>
      </candidateList>
      <explain>文本全半角错误。</explain>
      <paraID>11D3EC69</paraID>
      <start>11</start>
      <end>12</end>
      <status>unmodified</status>
      <modifiedWord/>
      <trackRevisions>false</trackRevisions>
    </reviewItem>
    <reviewItem>
      <errorID>29f670ba-c315-499f-8182-c1e70d82257f</errorID>
      <errorWord>)</errorWord>
      <group>L1_Format</group>
      <groupName>格式问题</groupName>
      <ability>L2_HalfPunc</ability>
      <abilityName>全半角检查</abilityName>
      <candidateList>
        <item>）</item>
      </candidateList>
      <explain>文本全半角错误。</explain>
      <paraID>11D3EC69</paraID>
      <start>15</start>
      <end>16</end>
      <status>ignored</status>
      <modifiedWord/>
      <trackRevisions>false</trackRevisions>
    </reviewItem>
    <reviewItem>
      <errorID>57df55cc-0c05-492f-9bd1-ca9b93ca3fff</errorID>
      <errorWord>(</errorWord>
      <group>L1_Format</group>
      <groupName>格式问题</groupName>
      <ability>L2_HalfPunc</ability>
      <abilityName>全半角检查</abilityName>
      <candidateList>
        <item>（</item>
      </candidateList>
      <explain>文本全半角错误。</explain>
      <paraID>52A47895</paraID>
      <start>53</start>
      <end>54</end>
      <status>unmodified</status>
      <modifiedWord/>
      <trackRevisions>false</trackRevisions>
    </reviewItem>
    <reviewItem>
      <errorID>cba4456a-0a7b-4b33-a4ac-dd77ce916552</errorID>
      <errorWord>)</errorWord>
      <group>L1_Format</group>
      <groupName>格式问题</groupName>
      <ability>L2_HalfPunc</ability>
      <abilityName>全半角检查</abilityName>
      <candidateList>
        <item>）</item>
      </candidateList>
      <explain>文本全半角错误。</explain>
      <paraID>52A47895</paraID>
      <start>55</start>
      <end>56</end>
      <status>ignored</status>
      <modifiedWord/>
      <trackRevisions>false</trackRevisions>
    </reviewItem>
    <reviewItem>
      <errorID>4a4f3254-4157-4ad0-8597-1c39c7f73136</errorID>
      <errorWord>：</errorWord>
      <group>L1_Format</group>
      <groupName>格式问题</groupName>
      <ability>L2_HalfPunc</ability>
      <abilityName>全半角检查</abilityName>
      <candidateList>
        <item>:</item>
      </candidateList>
      <explain>文本全半角错误。</explain>
      <paraID>214CE727</paraID>
      <start>9</start>
      <end>10</end>
      <status>unmodified</status>
      <modifiedWord/>
      <trackRevisions>false</trackRevisions>
    </reviewItem>
    <reviewItem>
      <errorID>263caa54-fccb-44d6-ae52-ff62f5c9d444</errorID>
      <errorWord>(</errorWord>
      <group>L1_Format</group>
      <groupName>格式问题</groupName>
      <ability>L2_HalfPunc</ability>
      <abilityName>全半角检查</abilityName>
      <candidateList>
        <item>（</item>
      </candidateList>
      <explain>文本全半角错误。</explain>
      <paraID>214CE727</paraID>
      <start>23</start>
      <end>24</end>
      <status>unmodified</status>
      <modifiedWord/>
      <trackRevisions>false</trackRevisions>
    </reviewItem>
    <reviewItem>
      <errorID>f0deea6b-3604-4918-9153-54e319b5ab61</errorID>
      <errorWord>)</errorWord>
      <group>L1_Format</group>
      <groupName>格式问题</groupName>
      <ability>L2_HalfPunc</ability>
      <abilityName>全半角检查</abilityName>
      <candidateList>
        <item>）</item>
      </candidateList>
      <explain>文本全半角错误。</explain>
      <paraID>214CE727</paraID>
      <start>28</start>
      <end>29</end>
      <status>ignored</status>
      <modifiedWord/>
      <trackRevisions>false</trackRevisions>
    </reviewItem>
    <reviewItem>
      <errorID>1c40757e-8083-40dd-a9f3-32a0ee0146c4</errorID>
      <errorWord>-</errorWord>
      <group>L1_Format</group>
      <groupName>格式问题</groupName>
      <ability>L2_HalfPunc</ability>
      <abilityName>全半角检查</abilityName>
      <candidateList>
        <item>－</item>
      </candidateList>
      <explain>文本全半角错误。</explain>
      <paraID>4162147C</paraID>
      <start>5</start>
      <end>6</end>
      <status>unmodified</status>
      <modifiedWord/>
      <trackRevisions>false</trackRevisions>
    </reviewItem>
    <reviewItem>
      <errorID>3eebc6e2-d88f-4734-b20c-45e1151cde22</errorID>
      <errorWord>(</errorWord>
      <group>L1_Format</group>
      <groupName>格式问题</groupName>
      <ability>L2_HalfPunc</ability>
      <abilityName>全半角检查</abilityName>
      <candidateList>
        <item>（</item>
      </candidateList>
      <explain>文本全半角错误。</explain>
      <paraID>31158FE5</paraID>
      <start>9</start>
      <end>10</end>
      <status>unmodified</status>
      <modifiedWord/>
      <trackRevisions>false</trackRevisions>
    </reviewItem>
    <reviewItem>
      <errorID>5e6d4fb9-6090-436a-9fca-4ad810f6c202</errorID>
      <errorWord>)</errorWord>
      <group>L1_Format</group>
      <groupName>格式问题</groupName>
      <ability>L2_HalfPunc</ability>
      <abilityName>全半角检查</abilityName>
      <candidateList>
        <item>）</item>
      </candidateList>
      <explain>文本全半角错误。</explain>
      <paraID>31158FE5</paraID>
      <start>18</start>
      <end>19</end>
      <status>ignored</status>
      <modifiedWord/>
      <trackRevisions>false</trackRevisions>
    </reviewItem>
    <reviewItem>
      <errorID>a8887940-edf5-4d1b-bd39-da9030bc5e05</errorID>
      <errorWord>(</errorWord>
      <group>L1_Format</group>
      <groupName>格式问题</groupName>
      <ability>L2_HalfPunc</ability>
      <abilityName>全半角检查</abilityName>
      <candidateList>
        <item>（</item>
      </candidateList>
      <explain>文本全半角错误。</explain>
      <paraID>31158FE5</paraID>
      <start>85</start>
      <end>86</end>
      <status>unmodified</status>
      <modifiedWord/>
      <trackRevisions>false</trackRevisions>
    </reviewItem>
    <reviewItem>
      <errorID>32f42350-df4f-4813-bcc8-c12756cbd706</errorID>
      <errorWord>)</errorWord>
      <group>L1_Format</group>
      <groupName>格式问题</groupName>
      <ability>L2_HalfPunc</ability>
      <abilityName>全半角检查</abilityName>
      <candidateList>
        <item>）</item>
      </candidateList>
      <explain>文本全半角错误。</explain>
      <paraID>31158FE5</paraID>
      <start>88</start>
      <end>89</end>
      <status>ignored</status>
      <modifiedWord/>
      <trackRevisions>false</trackRevisions>
    </reviewItem>
    <reviewItem>
      <errorID>c8abd31d-1b61-48d6-a1f2-ef20483c3d14</errorID>
      <errorWord>(</errorWord>
      <group>L1_Format</group>
      <groupName>格式问题</groupName>
      <ability>L2_HalfPunc</ability>
      <abilityName>全半角检查</abilityName>
      <candidateList>
        <item>（</item>
      </candidateList>
      <explain>文本全半角错误。</explain>
      <paraID>31158FE5</paraID>
      <start>96</start>
      <end>97</end>
      <status>unmodified</status>
      <modifiedWord/>
      <trackRevisions>false</trackRevisions>
    </reviewItem>
    <reviewItem>
      <errorID>9fc1dbaa-6e23-44e5-aa6d-f2dbf66f29d4</errorID>
      <errorWord>)</errorWord>
      <group>L1_Format</group>
      <groupName>格式问题</groupName>
      <ability>L2_HalfPunc</ability>
      <abilityName>全半角检查</abilityName>
      <candidateList>
        <item>）</item>
      </candidateList>
      <explain>文本全半角错误。</explain>
      <paraID>31158FE5</paraID>
      <start>99</start>
      <end>100</end>
      <status>ignored</status>
      <modifiedWord/>
      <trackRevisions>false</trackRevisions>
    </reviewItem>
    <reviewItem>
      <errorID>ca1615b3-94ba-44fe-803c-6b5ec893a160</errorID>
      <errorWord>(</errorWord>
      <group>L1_Format</group>
      <groupName>格式问题</groupName>
      <ability>L2_HalfPunc</ability>
      <abilityName>全半角检查</abilityName>
      <candidateList>
        <item>（</item>
      </candidateList>
      <explain>文本全半角错误。</explain>
      <paraID>6262FB08</paraID>
      <start>15</start>
      <end>16</end>
      <status>unmodified</status>
      <modifiedWord/>
      <trackRevisions>false</trackRevisions>
    </reviewItem>
    <reviewItem>
      <errorID>2d9ff723-64e5-4cec-a9bc-4d2ca9b56be9</errorID>
      <errorWord>)</errorWord>
      <group>L1_Format</group>
      <groupName>格式问题</groupName>
      <ability>L2_HalfPunc</ability>
      <abilityName>全半角检查</abilityName>
      <candidateList>
        <item>）</item>
      </candidateList>
      <explain>文本全半角错误。</explain>
      <paraID>6262FB08</paraID>
      <start>19</start>
      <end>20</end>
      <status>ignored</status>
      <modifiedWord/>
      <trackRevisions>false</trackRevisions>
    </reviewItem>
    <reviewItem>
      <errorID>dc534ce8-50d2-4711-adad-279215b5274c</errorID>
      <errorWord>(</errorWord>
      <group>L1_Format</group>
      <groupName>格式问题</groupName>
      <ability>L2_HalfPunc</ability>
      <abilityName>全半角检查</abilityName>
      <candidateList>
        <item>（</item>
      </candidateList>
      <explain>文本全半角错误。</explain>
      <paraID>394A9FA0</paraID>
      <start>43</start>
      <end>44</end>
      <status>unmodified</status>
      <modifiedWord/>
      <trackRevisions>false</trackRevisions>
    </reviewItem>
    <reviewItem>
      <errorID>0896f424-db27-4864-8fe0-ac85681065cc</errorID>
      <errorWord>)</errorWord>
      <group>L1_Format</group>
      <groupName>格式问题</groupName>
      <ability>L2_HalfPunc</ability>
      <abilityName>全半角检查</abilityName>
      <candidateList>
        <item>）</item>
      </candidateList>
      <explain>文本全半角错误。</explain>
      <paraID>394A9FA0</paraID>
      <start>45</start>
      <end>46</end>
      <status>ignored</status>
      <modifiedWord/>
      <trackRevisions>false</trackRevisions>
    </reviewItem>
    <reviewItem>
      <errorID>fa148f22-2c70-4b09-8d17-687271cba7f7</errorID>
      <errorWord>(</errorWord>
      <group>L1_Format</group>
      <groupName>格式问题</groupName>
      <ability>L2_HalfPunc</ability>
      <abilityName>全半角检查</abilityName>
      <candidateList>
        <item>（</item>
      </candidateList>
      <explain>文本全半角错误。</explain>
      <paraID>2278F4CF</paraID>
      <start>13</start>
      <end>14</end>
      <status>unmodified</status>
      <modifiedWord/>
      <trackRevisions>false</trackRevisions>
    </reviewItem>
    <reviewItem>
      <errorID>9b368206-9c8e-456f-af30-ac976f05d183</errorID>
      <errorWord>)</errorWord>
      <group>L1_Format</group>
      <groupName>格式问题</groupName>
      <ability>L2_HalfPunc</ability>
      <abilityName>全半角检查</abilityName>
      <candidateList>
        <item>）</item>
      </candidateList>
      <explain>文本全半角错误。</explain>
      <paraID>2278F4CF</paraID>
      <start>17</start>
      <end>18</end>
      <status>ignored</status>
      <modifiedWord/>
      <trackRevisions>false</trackRevisions>
    </reviewItem>
    <reviewItem>
      <errorID>23d65e13-2c98-4ce3-a558-87647358625f</errorID>
      <errorWord>(</errorWord>
      <group>L1_Format</group>
      <groupName>格式问题</groupName>
      <ability>L2_HalfPunc</ability>
      <abilityName>全半角检查</abilityName>
      <candidateList>
        <item>（</item>
      </candidateList>
      <explain>文本全半角错误。</explain>
      <paraID>38C9EAAD</paraID>
      <start>78</start>
      <end>79</end>
      <status>unmodified</status>
      <modifiedWord/>
      <trackRevisions>false</trackRevisions>
    </reviewItem>
    <reviewItem>
      <errorID>35bea480-3f79-4300-802b-7cdd049980c6</errorID>
      <errorWord>)</errorWord>
      <group>L1_Format</group>
      <groupName>格式问题</groupName>
      <ability>L2_HalfPunc</ability>
      <abilityName>全半角检查</abilityName>
      <candidateList>
        <item>）</item>
      </candidateList>
      <explain>文本全半角错误。</explain>
      <paraID>38C9EAAD</paraID>
      <start>80</start>
      <end>81</end>
      <status>ignored</status>
      <modifiedWord/>
      <trackRevisions>false</trackRevisions>
    </reviewItem>
    <reviewItem>
      <errorID>8372563f-fbc1-475e-b275-0b558094a29d</errorID>
      <errorWord>,</errorWord>
      <group>L1_Format</group>
      <groupName>格式问题</groupName>
      <ability>L2_HalfPunc</ability>
      <abilityName>全半角检查</abilityName>
      <candidateList>
        <item>，</item>
      </candidateList>
      <explain>文本全半角错误。</explain>
      <paraID>34902990</paraID>
      <start>13</start>
      <end>14</end>
      <status>unmodified</status>
      <modifiedWord/>
      <trackRevisions>false</trackRevisions>
    </reviewItem>
    <reviewItem>
      <errorID>bc39c770-fcd2-4b85-88dd-d64ae6eabdc9</errorID>
      <errorWord>:</errorWord>
      <group>L1_Format</group>
      <groupName>格式问题</groupName>
      <ability>L2_HalfPunc</ability>
      <abilityName>全半角检查</abilityName>
      <candidateList>
        <item>：</item>
      </candidateList>
      <explain>文本全半角错误。</explain>
      <paraID>34902990</paraID>
      <start>20</start>
      <end>21</end>
      <status>unmodified</status>
      <modifiedWord/>
      <trackRevisions>false</trackRevisions>
    </reviewItem>
    <reviewItem>
      <errorID>1b1e246e-bb69-4cc4-920e-280ff253656d</errorID>
      <errorWord>:</errorWord>
      <group>L1_Format</group>
      <groupName>格式问题</groupName>
      <ability>L2_HalfPunc</ability>
      <abilityName>全半角检查</abilityName>
      <candidateList>
        <item>：</item>
      </candidateList>
      <explain>文本全半角错误。</explain>
      <paraID>440737ED</paraID>
      <start>23</start>
      <end>24</end>
      <status>unmodified</status>
      <modifiedWord/>
      <trackRevisions>false</trackRevisions>
    </reviewItem>
    <reviewItem>
      <errorID>3b2f0bc5-4007-4002-8063-887d24f7c433</errorID>
      <errorWord>(</errorWord>
      <group>L1_Format</group>
      <groupName>格式问题</groupName>
      <ability>L2_HalfPunc</ability>
      <abilityName>全半角检查</abilityName>
      <candidateList>
        <item>（</item>
      </candidateList>
      <explain>文本全半角错误。</explain>
      <paraID>1910423A</paraID>
      <start>14</start>
      <end>15</end>
      <status>unmodified</status>
      <modifiedWord/>
      <trackRevisions>false</trackRevisions>
    </reviewItem>
    <reviewItem>
      <errorID>5855ce18-9e89-4f3a-933a-dc08604758f0</errorID>
      <errorWord>)</errorWord>
      <group>L1_Format</group>
      <groupName>格式问题</groupName>
      <ability>L2_HalfPunc</ability>
      <abilityName>全半角检查</abilityName>
      <candidateList>
        <item>）</item>
      </candidateList>
      <explain>文本全半角错误。</explain>
      <paraID>1910423A</paraID>
      <start>17</start>
      <end>18</end>
      <status>ignored</status>
      <modifiedWord/>
      <trackRevisions>false</trackRevisions>
    </reviewItem>
    <reviewItem>
      <errorID>4cb255ee-fa53-48bc-b997-53007f79a68b</errorID>
      <errorWord>(</errorWord>
      <group>L1_Format</group>
      <groupName>格式问题</groupName>
      <ability>L2_HalfPunc</ability>
      <abilityName>全半角检查</abilityName>
      <candidateList>
        <item>（</item>
      </candidateList>
      <explain>文本全半角错误。</explain>
      <paraID>1910423A</paraID>
      <start>43</start>
      <end>44</end>
      <status>unmodified</status>
      <modifiedWord/>
      <trackRevisions>false</trackRevisions>
    </reviewItem>
    <reviewItem>
      <errorID>60a0467d-64f7-4146-8266-1dacbc7147e5</errorID>
      <errorWord>)</errorWord>
      <group>L1_Format</group>
      <groupName>格式问题</groupName>
      <ability>L2_HalfPunc</ability>
      <abilityName>全半角检查</abilityName>
      <candidateList>
        <item>）</item>
      </candidateList>
      <explain>文本全半角错误。</explain>
      <paraID>1910423A</paraID>
      <start>46</start>
      <end>47</end>
      <status>ignored</status>
      <modifiedWord/>
      <trackRevisions>false</trackRevisions>
    </reviewItem>
    <reviewItem>
      <errorID>a6dee94a-9428-471a-b99b-c613f8aaf3f0</errorID>
      <errorWord>,</errorWord>
      <group>L1_Format</group>
      <groupName>格式问题</groupName>
      <ability>L2_HalfPunc</ability>
      <abilityName>全半角检查</abilityName>
      <candidateList>
        <item>，</item>
      </candidateList>
      <explain>文本全半角错误。</explain>
      <paraID>1E22465A</paraID>
      <start>2</start>
      <end>3</end>
      <status>unmodified</status>
      <modifiedWord/>
      <trackRevisions>false</trackRevisions>
    </reviewItem>
    <reviewItem>
      <errorID>c42d1655-efc8-40f5-b5ef-d091b83f8e9c</errorID>
      <errorWord>:</errorWord>
      <group>L1_Format</group>
      <groupName>格式问题</groupName>
      <ability>L2_HalfPunc</ability>
      <abilityName>全半角检查</abilityName>
      <candidateList>
        <item>：</item>
      </candidateList>
      <explain>文本全半角错误。</explain>
      <paraID>1E22465A</paraID>
      <start>22</start>
      <end>23</end>
      <status>unmodified</status>
      <modifiedWord/>
      <trackRevisions>false</trackRevisions>
    </reviewItem>
    <reviewItem>
      <errorID>79b7ca95-4e69-420d-aee2-feda19755d7f</errorID>
      <errorWord>:</errorWord>
      <group>L1_Format</group>
      <groupName>格式问题</groupName>
      <ability>L2_HalfPunc</ability>
      <abilityName>全半角检查</abilityName>
      <candidateList>
        <item>：</item>
      </candidateList>
      <explain>文本全半角错误。</explain>
      <paraID>1E22465A</paraID>
      <start>44</start>
      <end>45</end>
      <status>unmodified</status>
      <modifiedWord/>
      <trackRevisions>false</trackRevisions>
    </reviewItem>
    <reviewItem>
      <errorID>3e44750e-bc5d-414c-91a7-59ee4bb08881</errorID>
      <errorWord>)</errorWord>
      <group>L1_Format</group>
      <groupName>格式问题</groupName>
      <ability>L2_HalfPunc</ability>
      <abilityName>全半角检查</abilityName>
      <candidateList>
        <item>）</item>
      </candidateList>
      <explain>文本全半角错误。</explain>
      <paraID>1E22465A</paraID>
      <start>62</start>
      <end>63</end>
      <status>ignored</status>
      <modifiedWord/>
      <trackRevisions>false</trackRevisions>
    </reviewItem>
    <reviewItem>
      <errorID>4aa07c96-0c52-450c-a95f-38ae764971ab</errorID>
      <errorWord>:</errorWord>
      <group>L1_Format</group>
      <groupName>格式问题</groupName>
      <ability>L2_HalfPunc</ability>
      <abilityName>全半角检查</abilityName>
      <candidateList>
        <item>：</item>
      </candidateList>
      <explain>文本全半角错误。</explain>
      <paraID>1E22465A</paraID>
      <start>67</start>
      <end>68</end>
      <status>unmodified</status>
      <modifiedWord/>
      <trackRevisions>false</trackRevisions>
    </reviewItem>
    <reviewItem>
      <errorID>6d2c4125-2509-435b-9c75-ae137580e706</errorID>
      <errorWord>:</errorWord>
      <group>L1_Format</group>
      <groupName>格式问题</groupName>
      <ability>L2_HalfPunc</ability>
      <abilityName>全半角检查</abilityName>
      <candidateList>
        <item>：</item>
      </candidateList>
      <explain>文本全半角错误。</explain>
      <paraID>5B8D226B</paraID>
      <start>4</start>
      <end>5</end>
      <status>unmodified</status>
      <modifiedWord/>
      <trackRevisions>false</trackRevisions>
    </reviewItem>
    <reviewItem>
      <errorID>d0ff9f22-9283-4e9c-b915-2bc507ddae46</errorID>
      <errorWord>:</errorWord>
      <group>L1_Format</group>
      <groupName>格式问题</groupName>
      <ability>L2_HalfPunc</ability>
      <abilityName>全半角检查</abilityName>
      <candidateList>
        <item>：</item>
      </candidateList>
      <explain>文本全半角错误。</explain>
      <paraID>5B8D226B</paraID>
      <start>14</start>
      <end>15</end>
      <status>unmodified</status>
      <modifiedWord/>
      <trackRevisions>false</trackRevisions>
    </reviewItem>
    <reviewItem>
      <errorID>a52de584-0102-4cbb-a322-633502e76d35</errorID>
      <errorWord>:</errorWord>
      <group>L1_Format</group>
      <groupName>格式问题</groupName>
      <ability>L2_HalfPunc</ability>
      <abilityName>全半角检查</abilityName>
      <candidateList>
        <item>：</item>
      </candidateList>
      <explain>文本全半角错误。</explain>
      <paraID>5B8D226B</paraID>
      <start>25</start>
      <end>26</end>
      <status>unmodified</status>
      <modifiedWord/>
      <trackRevisions>false</trackRevisions>
    </reviewItem>
    <reviewItem>
      <errorID>c16b4383-975b-4da7-aa7b-614e2e02696d</errorID>
      <errorWord>(</errorWord>
      <group>L1_Format</group>
      <groupName>格式问题</groupName>
      <ability>L2_HalfPunc</ability>
      <abilityName>全半角检查</abilityName>
      <candidateList>
        <item>（</item>
      </candidateList>
      <explain>文本全半角错误。</explain>
      <paraID>27BE50BA</paraID>
      <start>12</start>
      <end>13</end>
      <status>unmodified</status>
      <modifiedWord/>
      <trackRevisions>false</trackRevisions>
    </reviewItem>
    <reviewItem>
      <errorID>144facdb-4442-4034-b49b-4d597fa97037</errorID>
      <errorWord>)</errorWord>
      <group>L1_Format</group>
      <groupName>格式问题</groupName>
      <ability>L2_HalfPunc</ability>
      <abilityName>全半角检查</abilityName>
      <candidateList>
        <item>）</item>
      </candidateList>
      <explain>文本全半角错误。</explain>
      <paraID>27BE50BA</paraID>
      <start>15</start>
      <end>16</end>
      <status>ignored</status>
      <modifiedWord/>
      <trackRevisions>false</trackRevisions>
    </reviewItem>
    <reviewItem>
      <errorID>9722a3fd-39ea-42ad-b0d2-9cad6706a030</errorID>
      <errorWord>-</errorWord>
      <group>L1_Format</group>
      <groupName>格式问题</groupName>
      <ability>L2_HalfPunc</ability>
      <abilityName>全半角检查</abilityName>
      <candidateList>
        <item>－</item>
      </candidateList>
      <explain>文本全半角错误。</explain>
      <paraID> 676356E</paraID>
      <start>1</start>
      <end>2</end>
      <status>unmodified</status>
      <modifiedWord/>
      <trackRevisions>false</trackRevisions>
    </reviewItem>
    <reviewItem>
      <errorID>198247c0-c6c8-4f59-8e24-fe29c339d993</errorID>
      <errorWord>粘稠</errorWord>
      <group>L1_Word</group>
      <groupName>字词问题</groupName>
      <ability>L2_Typo</ability>
      <abilityName>字词错误</abilityName>
      <candidateList>
        <item>黏稠</item>
      </candidateList>
      <explain>存在发音相同字词的误用。</explain>
      <paraID>78D6C302</paraID>
      <start>6</start>
      <end>8</end>
      <status>unmodified</status>
      <modifiedWord/>
      <trackRevisions>false</trackRevisions>
    </reviewItem>
    <reviewItem>
      <errorID>b1b3f1f9-f7bc-4228-9561-5fa8dd0aa4ed</errorID>
      <errorWord>(</errorWord>
      <group>L1_Format</group>
      <groupName>格式问题</groupName>
      <ability>L2_HalfPunc</ability>
      <abilityName>全半角检查</abilityName>
      <candidateList>
        <item>（</item>
      </candidateList>
      <explain>文本全半角错误。</explain>
      <paraID>395E280A</paraID>
      <start>2</start>
      <end>3</end>
      <status>unmodified</status>
      <modifiedWord/>
      <trackRevisions>false</trackRevisions>
    </reviewItem>
    <reviewItem>
      <errorID>c52bc62a-6cdb-4257-9a30-38d5a99d7572</errorID>
      <errorWord>)</errorWord>
      <group>L1_Format</group>
      <groupName>格式问题</groupName>
      <ability>L2_HalfPunc</ability>
      <abilityName>全半角检查</abilityName>
      <candidateList>
        <item>）</item>
      </candidateList>
      <explain>文本全半角错误。</explain>
      <paraID>395E280A</paraID>
      <start>7</start>
      <end>8</end>
      <status>ignored</status>
      <modifiedWord/>
      <trackRevisions>false</trackRevisions>
    </reviewItem>
    <reviewItem>
      <errorID>2241061b-d66f-431f-823b-5522519cc6f3</errorID>
      <errorWord>:</errorWord>
      <group>L1_Format</group>
      <groupName>格式问题</groupName>
      <ability>L2_HalfPunc</ability>
      <abilityName>全半角检查</abilityName>
      <candidateList>
        <item>：</item>
      </candidateList>
      <explain>文本全半角错误。</explain>
      <paraID> D214D36</paraID>
      <start>7</start>
      <end>8</end>
      <status>unmodified</status>
      <modifiedWord/>
      <trackRevisions>false</trackRevisions>
    </reviewItem>
    <reviewItem>
      <errorID>83b8ef9d-8d47-4c90-b570-128e83f70918</errorID>
      <errorWord>)</errorWord>
      <group>L1_Format</group>
      <groupName>格式问题</groupName>
      <ability>L2_HalfPunc</ability>
      <abilityName>全半角检查</abilityName>
      <candidateList>
        <item>）</item>
      </candidateList>
      <explain>文本全半角错误。</explain>
      <paraID> D214D36</paraID>
      <start>24</start>
      <end>25</end>
      <status>ignored</status>
      <modifiedWord/>
      <trackRevisions>false</trackRevisions>
    </reviewItem>
    <reviewItem>
      <errorID>f13b5fed-df93-4873-9047-3bb990996cfd</errorID>
      <errorWord>:</errorWord>
      <group>L1_Format</group>
      <groupName>格式问题</groupName>
      <ability>L2_HalfPunc</ability>
      <abilityName>全半角检查</abilityName>
      <candidateList>
        <item>：</item>
      </candidateList>
      <explain>文本全半角错误。</explain>
      <paraID> D214D36</paraID>
      <start>29</start>
      <end>30</end>
      <status>unmodified</status>
      <modifiedWord/>
      <trackRevisions>false</trackRevisions>
    </reviewItem>
    <reviewItem>
      <errorID>646cfe47-4458-428a-88e2-e8d7eb38b063</errorID>
      <errorWord>)</errorWord>
      <group>L1_Format</group>
      <groupName>格式问题</groupName>
      <ability>L2_HalfPunc</ability>
      <abilityName>全半角检查</abilityName>
      <candidateList>
        <item>）</item>
      </candidateList>
      <explain>文本全半角错误。</explain>
      <paraID> D214D36</paraID>
      <start>45</start>
      <end>46</end>
      <status>ignored</status>
      <modifiedWord/>
      <trackRevisions>false</trackRevisions>
    </reviewItem>
    <reviewItem>
      <errorID>21895d3e-ccbe-4f8a-acef-93e3d0dd7d3a</errorID>
      <errorWord>:</errorWord>
      <group>L1_Format</group>
      <groupName>格式问题</groupName>
      <ability>L2_HalfPunc</ability>
      <abilityName>全半角检查</abilityName>
      <candidateList>
        <item>：</item>
      </candidateList>
      <explain>文本全半角错误。</explain>
      <paraID> D214D36</paraID>
      <start>52</start>
      <end>53</end>
      <status>unmodified</status>
      <modifiedWord/>
      <trackRevisions>false</trackRevisions>
    </reviewItem>
    <reviewItem>
      <errorID>070b0ec9-0fa6-4686-b86a-55edcdaa9f9d</errorID>
      <errorWord>:</errorWord>
      <group>L1_Format</group>
      <groupName>格式问题</groupName>
      <ability>L2_HalfPunc</ability>
      <abilityName>全半角检查</abilityName>
      <candidateList>
        <item>：</item>
      </candidateList>
      <explain>文本全半角错误。</explain>
      <paraID>519BD39A</paraID>
      <start>16</start>
      <end>17</end>
      <status>unmodified</status>
      <modifiedWord/>
      <trackRevisions>false</trackRevisions>
    </reviewItem>
    <reviewItem>
      <errorID>d56795b2-4bd6-41c4-b7ce-7e026bb1883e</errorID>
      <errorWord>)</errorWord>
      <group>L1_Format</group>
      <groupName>格式问题</groupName>
      <ability>L2_HalfPunc</ability>
      <abilityName>全半角检查</abilityName>
      <candidateList>
        <item>）</item>
      </candidateList>
      <explain>文本全半角错误。</explain>
      <paraID>6211A39E</paraID>
      <start>14</start>
      <end>15</end>
      <status>ignored</status>
      <modifiedWord/>
      <trackRevisions>false</trackRevisions>
    </reviewItem>
    <reviewItem>
      <errorID>a1ebeeea-7f20-4f71-9484-ef1767527791</errorID>
      <errorWord>)</errorWord>
      <group>L1_Format</group>
      <groupName>格式问题</groupName>
      <ability>L2_HalfPunc</ability>
      <abilityName>全半角检查</abilityName>
      <candidateList>
        <item>）</item>
      </candidateList>
      <explain>文本全半角错误。</explain>
      <paraID>6211A39E</paraID>
      <start>42</start>
      <end>43</end>
      <status>ignored</status>
      <modifiedWord/>
      <trackRevisions>false</trackRevisions>
    </reviewItem>
    <reviewItem>
      <errorID>7eb9c0a1-115a-4893-8c5e-3cf8d90ca53b</errorID>
      <errorWord>)</errorWord>
      <group>L1_Format</group>
      <groupName>格式问题</groupName>
      <ability>L2_HalfPunc</ability>
      <abilityName>全半角检查</abilityName>
      <candidateList>
        <item>）</item>
      </candidateList>
      <explain>文本全半角错误。</explain>
      <paraID>6211A39E</paraID>
      <start>71</start>
      <end>72</end>
      <status>ignored</status>
      <modifiedWord/>
      <trackRevisions>false</trackRevisions>
    </reviewItem>
    <reviewItem>
      <errorID>c39c3ae8-4d27-4c55-86a0-7a9b55d32a9d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5A84CD62</paraID>
      <start>12</start>
      <end>13</end>
      <status>unmodified</status>
      <modifiedWord/>
      <trackRevisions>false</trackRevisions>
    </reviewItem>
    <reviewItem>
      <errorID>a3450f14-bb5d-4ecb-b036-9aa487a67bde</errorID>
      <errorWord>）</errorWord>
      <group>L1_Punc</group>
      <groupName>标点问题</groupName>
      <ability>L2_Punc</ability>
      <abilityName>标点符号检查</abilityName>
      <candidateList/>
      <explain/>
      <paraID>74BFDCA0</paraID>
      <start>0</start>
      <end>1</end>
      <status>unmodified</status>
      <modifiedWord/>
      <trackRevisions>false</trackRevisions>
    </reviewItem>
    <reviewItem>
      <errorID>af67b308-afc6-4f10-b7e5-88e0d9efc472</errorID>
      <errorWord>(</errorWord>
      <group>L1_Format</group>
      <groupName>格式问题</groupName>
      <ability>L2_HalfPunc</ability>
      <abilityName>全半角检查</abilityName>
      <candidateList>
        <item>（</item>
      </candidateList>
      <explain>文本全半角错误。</explain>
      <paraID>7098037B</paraID>
      <start>9</start>
      <end>10</end>
      <status>unmodified</status>
      <modifiedWord/>
      <trackRevisions>false</trackRevisions>
    </reviewItem>
    <reviewItem>
      <errorID>57b53252-13ca-4855-9713-a86265699972</errorID>
      <errorWord>(</errorWord>
      <group>L1_Format</group>
      <groupName>格式问题</groupName>
      <ability>L2_HalfPunc</ability>
      <abilityName>全半角检查</abilityName>
      <candidateList>
        <item>（</item>
      </candidateList>
      <explain>文本全半角错误。</explain>
      <paraID>7F709C58</paraID>
      <start>15</start>
      <end>16</end>
      <status>unmodified</status>
      <modifiedWord/>
      <trackRevisions>false</trackRevisions>
    </reviewItem>
    <reviewItem>
      <errorID>59b062cc-aed3-41b9-9fc1-5b058b76eab0</errorID>
      <errorWord>)</errorWord>
      <group>L1_Format</group>
      <groupName>格式问题</groupName>
      <ability>L2_HalfPunc</ability>
      <abilityName>全半角检查</abilityName>
      <candidateList>
        <item>）</item>
      </candidateList>
      <explain>文本全半角错误。</explain>
      <paraID>7F709C58</paraID>
      <start>21</start>
      <end>22</end>
      <status>ignored</status>
      <modifiedWord/>
      <trackRevisions>false</trackRevisions>
    </reviewItem>
    <reviewItem>
      <errorID>82bd3b37-6441-4ac6-8dda-916ce948de4d</errorID>
      <errorWord>(</errorWord>
      <group>L1_Format</group>
      <groupName>格式问题</groupName>
      <ability>L2_HalfPunc</ability>
      <abilityName>全半角检查</abilityName>
      <candidateList>
        <item>（</item>
      </candidateList>
      <explain>文本全半角错误。</explain>
      <paraID>7F709C58</paraID>
      <start>39</start>
      <end>40</end>
      <status>unmodified</status>
      <modifiedWord/>
      <trackRevisions>false</trackRevisions>
    </reviewItem>
    <reviewItem>
      <errorID>13a046e1-7121-4d64-bc85-1c0bb64dbd10</errorID>
      <errorWord>)</errorWord>
      <group>L1_Format</group>
      <groupName>格式问题</groupName>
      <ability>L2_HalfPunc</ability>
      <abilityName>全半角检查</abilityName>
      <candidateList>
        <item>）</item>
      </candidateList>
      <explain>文本全半角错误。</explain>
      <paraID>7F709C58</paraID>
      <start>48</start>
      <end>49</end>
      <status>ignored</status>
      <modifiedWord/>
      <trackRevisions>false</trackRevisions>
    </reviewItem>
    <reviewItem>
      <errorID>f5fc616e-c435-4b4e-982b-8c68244333e5</errorID>
      <errorWord>粘稠</errorWord>
      <group>L1_Word</group>
      <groupName>字词问题</groupName>
      <ability>L2_Typo</ability>
      <abilityName>字词错误</abilityName>
      <candidateList>
        <item>黏稠</item>
      </candidateList>
      <explain>存在发音相同字词的误用。</explain>
      <paraID>2CD12E86</paraID>
      <start>0</start>
      <end>2</end>
      <status>unmodified</status>
      <modifiedWord/>
      <trackRevisions>false</trackRevisions>
    </reviewItem>
    <reviewItem>
      <errorID>2d8b313a-9506-4573-a605-0466a59da2ee</errorID>
      <errorWord>(</errorWord>
      <group>L1_Format</group>
      <groupName>格式问题</groupName>
      <ability>L2_HalfPunc</ability>
      <abilityName>全半角检查</abilityName>
      <candidateList>
        <item>（</item>
      </candidateList>
      <explain>文本全半角错误。</explain>
      <paraID>2CD12E86</paraID>
      <start>27</start>
      <end>28</end>
      <status>unmodified</status>
      <modifiedWord/>
      <trackRevisions>false</trackRevisions>
    </reviewItem>
    <reviewItem>
      <errorID>314d7eed-4193-40cd-b839-6f6a4ea0f19d</errorID>
      <errorWord>)</errorWord>
      <group>L1_Format</group>
      <groupName>格式问题</groupName>
      <ability>L2_HalfPunc</ability>
      <abilityName>全半角检查</abilityName>
      <candidateList>
        <item>）</item>
      </candidateList>
      <explain>文本全半角错误。</explain>
      <paraID>2CD12E86</paraID>
      <start>31</start>
      <end>32</end>
      <status>ignored</status>
      <modifiedWord/>
      <trackRevisions>false</trackRevisions>
    </reviewItem>
    <reviewItem>
      <errorID>6f496e42-785d-4513-95a2-8d1f2d639adc</errorID>
      <errorWord>(</errorWord>
      <group>L1_Format</group>
      <groupName>格式问题</groupName>
      <ability>L2_HalfPunc</ability>
      <abilityName>全半角检查</abilityName>
      <candidateList>
        <item>（</item>
      </candidateList>
      <explain>文本全半角错误。</explain>
      <paraID>6FF2924F</paraID>
      <start>58</start>
      <end>59</end>
      <status>unmodified</status>
      <modifiedWord/>
      <trackRevisions>false</trackRevisions>
    </reviewItem>
    <reviewItem>
      <errorID>43939d9e-bb48-4a5d-851e-b430c370c847</errorID>
      <errorWord>)</errorWord>
      <group>L1_Format</group>
      <groupName>格式问题</groupName>
      <ability>L2_HalfPunc</ability>
      <abilityName>全半角检查</abilityName>
      <candidateList>
        <item>）</item>
      </candidateList>
      <explain>文本全半角错误。</explain>
      <paraID>6FF2924F</paraID>
      <start>61</start>
      <end>62</end>
      <status>ignored</status>
      <modifiedWord/>
      <trackRevisions>false</trackRevisions>
    </reviewItem>
    <reviewItem>
      <errorID>c3b163b6-e13e-4d46-9c2a-b7474a1ea394</errorID>
      <errorWord>(</errorWord>
      <group>L1_Format</group>
      <groupName>格式问题</groupName>
      <ability>L2_HalfPunc</ability>
      <abilityName>全半角检查</abilityName>
      <candidateList>
        <item>（</item>
      </candidateList>
      <explain>文本全半角错误。</explain>
      <paraID>6FF2924F</paraID>
      <start>69</start>
      <end>70</end>
      <status>unmodified</status>
      <modifiedWord/>
      <trackRevisions>false</trackRevisions>
    </reviewItem>
    <reviewItem>
      <errorID>11fc44d7-ed63-4edc-bda6-97f87fd48398</errorID>
      <errorWord>)</errorWord>
      <group>L1_Format</group>
      <groupName>格式问题</groupName>
      <ability>L2_HalfPunc</ability>
      <abilityName>全半角检查</abilityName>
      <candidateList>
        <item>）</item>
      </candidateList>
      <explain>文本全半角错误。</explain>
      <paraID>6FF2924F</paraID>
      <start>72</start>
      <end>73</end>
      <status>ignored</status>
      <modifiedWord/>
      <trackRevisions>false</trackRevisions>
    </reviewItem>
    <reviewItem>
      <errorID>19a4031c-009e-44ae-90b4-7214f9ee1f41</errorID>
      <errorWord>(</errorWord>
      <group>L1_Format</group>
      <groupName>格式问题</groupName>
      <ability>L2_HalfPunc</ability>
      <abilityName>全半角检查</abilityName>
      <candidateList>
        <item>（</item>
      </candidateList>
      <explain>文本全半角错误。</explain>
      <paraID>6FF2924F</paraID>
      <start>78</start>
      <end>79</end>
      <status>unmodified</status>
      <modifiedWord/>
      <trackRevisions>false</trackRevisions>
    </reviewItem>
    <reviewItem>
      <errorID>0ef47446-1cc6-41eb-8975-42af9b9e48d7</errorID>
      <errorWord>)</errorWord>
      <group>L1_Format</group>
      <groupName>格式问题</groupName>
      <ability>L2_HalfPunc</ability>
      <abilityName>全半角检查</abilityName>
      <candidateList>
        <item>）</item>
      </candidateList>
      <explain>文本全半角错误。</explain>
      <paraID>6FF2924F</paraID>
      <start>80</start>
      <end>81</end>
      <status>ignored</status>
      <modifiedWord/>
      <trackRevisions>false</trackRevisions>
    </reviewItem>
    <reviewItem>
      <errorID>6a15f283-4fd8-4505-896c-5a6a9b54d18c</errorID>
      <errorWord>(</errorWord>
      <group>L1_Format</group>
      <groupName>格式问题</groupName>
      <ability>L2_HalfPunc</ability>
      <abilityName>全半角检查</abilityName>
      <candidateList>
        <item>（</item>
      </candidateList>
      <explain>文本全半角错误。</explain>
      <paraID> 6F5A791</paraID>
      <start>14</start>
      <end>15</end>
      <status>unmodified</status>
      <modifiedWord/>
      <trackRevisions>false</trackRevisions>
    </reviewItem>
    <reviewItem>
      <errorID>1575e67c-7f3b-4654-9734-00a03d760a7c</errorID>
      <errorWord>)</errorWord>
      <group>L1_Format</group>
      <groupName>格式问题</groupName>
      <ability>L2_HalfPunc</ability>
      <abilityName>全半角检查</abilityName>
      <candidateList>
        <item>）</item>
      </candidateList>
      <explain>文本全半角错误。</explain>
      <paraID> 6F5A791</paraID>
      <start>18</start>
      <end>19</end>
      <status>ignored</status>
      <modifiedWord/>
      <trackRevisions>false</trackRevisions>
    </reviewItem>
    <reviewItem>
      <errorID>bb8780d0-994a-417c-aa9e-9a02422ec14d</errorID>
      <errorWord>：</errorWord>
      <group>L1_Format</group>
      <groupName>格式问题</groupName>
      <ability>L2_HalfPunc</ability>
      <abilityName>全半角检查</abilityName>
      <candidateList>
        <item>:</item>
      </candidateList>
      <explain>文本全半角错误。</explain>
      <paraID>7C9B5B4A</paraID>
      <start>10</start>
      <end>11</end>
      <status>unmodified</status>
      <modifiedWord/>
      <trackRevisions>false</trackRevisions>
    </reviewItem>
    <reviewItem>
      <errorID>58ac210e-83a9-40e6-a9c8-92c1ecfd7845</errorID>
      <errorWord>(</errorWord>
      <group>L1_Format</group>
      <groupName>格式问题</groupName>
      <ability>L2_HalfPunc</ability>
      <abilityName>全半角检查</abilityName>
      <candidateList>
        <item>（</item>
      </candidateList>
      <explain>文本全半角错误。</explain>
      <paraID>7C9B5B4A</paraID>
      <start>21</start>
      <end>22</end>
      <status>unmodified</status>
      <modifiedWord/>
      <trackRevisions>false</trackRevisions>
    </reviewItem>
    <reviewItem>
      <errorID>d80ade40-64df-4de4-8816-70c107a63556</errorID>
      <errorWord>)</errorWord>
      <group>L1_Format</group>
      <groupName>格式问题</groupName>
      <ability>L2_HalfPunc</ability>
      <abilityName>全半角检查</abilityName>
      <candidateList>
        <item>）</item>
      </candidateList>
      <explain>文本全半角错误。</explain>
      <paraID>7C9B5B4A</paraID>
      <start>26</start>
      <end>27</end>
      <status>ignored</status>
      <modifiedWord/>
      <trackRevisions>false</trackRevisions>
    </reviewItem>
    <reviewItem>
      <errorID>40cf8a59-0812-4181-a6fe-7b8f66a0814f</errorID>
      <errorWord>(</errorWord>
      <group>L1_Format</group>
      <groupName>格式问题</groupName>
      <ability>L2_HalfPunc</ability>
      <abilityName>全半角检查</abilityName>
      <candidateList>
        <item>（</item>
      </candidateList>
      <explain>文本全半角错误。</explain>
      <paraID>7C9B5B4A</paraID>
      <start>38</start>
      <end>39</end>
      <status>unmodified</status>
      <modifiedWord/>
      <trackRevisions>false</trackRevisions>
    </reviewItem>
    <reviewItem>
      <errorID>002ec290-6419-435d-a459-6cd59c11c17d</errorID>
      <errorWord>)</errorWord>
      <group>L1_Format</group>
      <groupName>格式问题</groupName>
      <ability>L2_HalfPunc</ability>
      <abilityName>全半角检查</abilityName>
      <candidateList>
        <item>）</item>
      </candidateList>
      <explain>文本全半角错误。</explain>
      <paraID>7C9B5B4A</paraID>
      <start>42</start>
      <end>43</end>
      <status>ignored</status>
      <modifiedWord/>
      <trackRevisions>false</trackRevisions>
    </reviewItem>
    <reviewItem>
      <errorID>26eee2b2-8da9-4651-82e0-58c478b64d22</errorID>
      <errorWord>(</errorWord>
      <group>L1_Format</group>
      <groupName>格式问题</groupName>
      <ability>L2_HalfPunc</ability>
      <abilityName>全半角检查</abilityName>
      <candidateList>
        <item>（</item>
      </candidateList>
      <explain>文本全半角错误。</explain>
      <paraID>136E108A</paraID>
      <start>11</start>
      <end>12</end>
      <status>unmodified</status>
      <modifiedWord/>
      <trackRevisions>false</trackRevisions>
    </reviewItem>
    <reviewItem>
      <errorID>5902623a-3f54-4fa4-8ef4-db1c2c25cd2a</errorID>
      <errorWord>)</errorWord>
      <group>L1_Format</group>
      <groupName>格式问题</groupName>
      <ability>L2_HalfPunc</ability>
      <abilityName>全半角检查</abilityName>
      <candidateList>
        <item>）</item>
      </candidateList>
      <explain>文本全半角错误。</explain>
      <paraID>136E108A</paraID>
      <start>20</start>
      <end>21</end>
      <status>ignored</status>
      <modifiedWord/>
      <trackRevisions>false</trackRevisions>
    </reviewItem>
    <reviewItem>
      <errorID>992cd981-2b91-493a-ae08-f787250d53d2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136E108A</paraID>
      <start>84</start>
      <end>85</end>
      <status>unmodified</status>
      <modifiedWord/>
      <trackRevisions>false</trackRevisions>
    </reviewItem>
    <reviewItem>
      <errorID>0b77f7a7-63be-46c4-9c69-c5fa741faf13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26505505</paraID>
      <start>61</start>
      <end>62</end>
      <status>unmodified</status>
      <modifiedWord/>
      <trackRevisions>false</trackRevisions>
    </reviewItem>
    <reviewItem>
      <errorID>791370e6-74d2-4fc3-932d-dbf213f3b99d</errorID>
      <errorWord>1,4-丁二醇</errorWord>
      <group>L1_Word</group>
      <groupName>字词问题</groupName>
      <ability>L2_Typo</ability>
      <abilityName>字词错误</abilityName>
      <candidateList/>
      <explain>【违禁内容】句中涉及国家法律明令禁止的违禁内容，请注意甄别。</explain>
      <paraID>64013174</paraID>
      <start>0</start>
      <end>7</end>
      <status>unmodified</status>
      <modifiedWord/>
      <trackRevisions>false</trackRevisions>
    </reviewItem>
    <reviewItem>
      <errorID>f3a1f1d6-e11b-461d-8c8d-9cd8f71505ef</errorID>
      <errorWord>(</errorWord>
      <group>L1_Format</group>
      <groupName>格式问题</groupName>
      <ability>L2_HalfPunc</ability>
      <abilityName>全半角检查</abilityName>
      <candidateList>
        <item>（</item>
      </candidateList>
      <explain>文本全半角错误。</explain>
      <paraID> 405BD33</paraID>
      <start>2</start>
      <end>3</end>
      <status>unmodified</status>
      <modifiedWord/>
      <trackRevisions>false</trackRevisions>
    </reviewItem>
    <reviewItem>
      <errorID>cfcc19f0-8176-4ea0-96da-b392cbdd02dd</errorID>
      <errorWord>)</errorWord>
      <group>L1_Format</group>
      <groupName>格式问题</groupName>
      <ability>L2_HalfPunc</ability>
      <abilityName>全半角检查</abilityName>
      <candidateList>
        <item>）</item>
      </candidateList>
      <explain>文本全半角错误。</explain>
      <paraID> 405BD33</paraID>
      <start>7</start>
      <end>8</end>
      <status>ignored</status>
      <modifiedWord/>
      <trackRevisions>false</trackRevisions>
    </reviewItem>
    <reviewItem>
      <errorID>2fff44f2-3168-4577-818a-7f6363dbbe5f</errorID>
      <errorWord>(</errorWord>
      <group>L1_Format</group>
      <groupName>格式问题</groupName>
      <ability>L2_HalfPunc</ability>
      <abilityName>全半角检查</abilityName>
      <candidateList>
        <item>（</item>
      </candidateList>
      <explain>文本全半角错误。</explain>
      <paraID>78A90615</paraID>
      <start>2</start>
      <end>3</end>
      <status>unmodified</status>
      <modifiedWord/>
      <trackRevisions>false</trackRevisions>
    </reviewItem>
    <reviewItem>
      <errorID>579efdb6-3c1d-4647-bbed-f40091c221b6</errorID>
      <errorWord>)</errorWord>
      <group>L1_Format</group>
      <groupName>格式问题</groupName>
      <ability>L2_HalfPunc</ability>
      <abilityName>全半角检查</abilityName>
      <candidateList>
        <item>）</item>
      </candidateList>
      <explain>文本全半角错误。</explain>
      <paraID>78A90615</paraID>
      <start>6</start>
      <end>7</end>
      <status>ignored</status>
      <modifiedWord/>
      <trackRevisions>false</trackRevisions>
    </reviewItem>
    <reviewItem>
      <errorID>0d8ba9c6-4bdf-4e80-96b9-8205bc3b0436</errorID>
      <errorWord>(</errorWord>
      <group>L1_Format</group>
      <groupName>格式问题</groupName>
      <ability>L2_HalfPunc</ability>
      <abilityName>全半角检查</abilityName>
      <candidateList>
        <item>（</item>
      </candidateList>
      <explain>文本全半角错误。</explain>
      <paraID>474CAEB9</paraID>
      <start>2</start>
      <end>3</end>
      <status>unmodified</status>
      <modifiedWord/>
      <trackRevisions>false</trackRevisions>
    </reviewItem>
    <reviewItem>
      <errorID>ad43cab3-f9ee-4a65-a324-2b3a1f0c9148</errorID>
      <errorWord>)</errorWord>
      <group>L1_Format</group>
      <groupName>格式问题</groupName>
      <ability>L2_HalfPunc</ability>
      <abilityName>全半角检查</abilityName>
      <candidateList>
        <item>）</item>
      </candidateList>
      <explain>文本全半角错误。</explain>
      <paraID>474CAEB9</paraID>
      <start>7</start>
      <end>8</end>
      <status>ignored</status>
      <modifiedWord/>
      <trackRevisions>false</trackRevisions>
    </reviewItem>
    <reviewItem>
      <errorID>b1d74c4b-bf0e-40c6-8afa-499fa7a6d662</errorID>
      <errorWord>(</errorWord>
      <group>L1_Format</group>
      <groupName>格式问题</groupName>
      <ability>L2_HalfPunc</ability>
      <abilityName>全半角检查</abilityName>
      <candidateList>
        <item>（</item>
      </candidateList>
      <explain>文本全半角错误。</explain>
      <paraID>1BA83DDC</paraID>
      <start>2</start>
      <end>3</end>
      <status>unmodified</status>
      <modifiedWord/>
      <trackRevisions>false</trackRevisions>
    </reviewItem>
    <reviewItem>
      <errorID>aabe9f02-c770-4dd1-a30a-59fe76f7a380</errorID>
      <errorWord>)</errorWord>
      <group>L1_Format</group>
      <groupName>格式问题</groupName>
      <ability>L2_HalfPunc</ability>
      <abilityName>全半角检查</abilityName>
      <candidateList>
        <item>）</item>
      </candidateList>
      <explain>文本全半角错误。</explain>
      <paraID>1BA83DDC</paraID>
      <start>6</start>
      <end>7</end>
      <status>ignored</status>
      <modifiedWord/>
      <trackRevisions>false</trackRevisions>
    </reviewItem>
    <reviewItem>
      <errorID>97b971c8-7a7b-4183-b576-54a32383f4bb</errorID>
      <errorWord>1,4-丁二醇</errorWord>
      <group>L1_Word</group>
      <groupName>字词问题</groupName>
      <ability>L2_Typo</ability>
      <abilityName>字词错误</abilityName>
      <candidateList/>
      <explain>【违禁内容】句中涉及国家法律明令禁止的违禁内容，请注意甄别。</explain>
      <paraID>4D75DE20</paraID>
      <start>0</start>
      <end>7</end>
      <status>unmodified</status>
      <modifiedWord/>
      <trackRevisions>false</trackRevisions>
    </reviewItem>
    <reviewItem>
      <errorID>1e90d3c2-a113-4a94-a56a-8c3c4663f78b</errorID>
      <errorWord>(</errorWord>
      <group>L1_Format</group>
      <groupName>格式问题</groupName>
      <ability>L2_HalfPunc</ability>
      <abilityName>全半角检查</abilityName>
      <candidateList>
        <item>（</item>
      </candidateList>
      <explain>文本全半角错误。</explain>
      <paraID>7D591099</paraID>
      <start>11</start>
      <end>12</end>
      <status>unmodified</status>
      <modifiedWord/>
      <trackRevisions>false</trackRevisions>
    </reviewItem>
    <reviewItem>
      <errorID>1c0676dc-b703-49d8-a06b-60a957e92e03</errorID>
      <errorWord>)</errorWord>
      <group>L1_Format</group>
      <groupName>格式问题</groupName>
      <ability>L2_HalfPunc</ability>
      <abilityName>全半角检查</abilityName>
      <candidateList>
        <item>）</item>
      </candidateList>
      <explain>文本全半角错误。</explain>
      <paraID>7D591099</paraID>
      <start>20</start>
      <end>21</end>
      <status>ignored</status>
      <modifiedWord/>
      <trackRevisions>false</trackRevisions>
    </reviewItem>
    <reviewItem>
      <errorID>bacc68ba-8983-4b47-b66d-c60e791f5e11</errorID>
      <errorWord>(</errorWord>
      <group>L1_Format</group>
      <groupName>格式问题</groupName>
      <ability>L2_HalfPunc</ability>
      <abilityName>全半角检查</abilityName>
      <candidateList>
        <item>（</item>
      </candidateList>
      <explain>文本全半角错误。</explain>
      <paraID>7D591099</paraID>
      <start>141</start>
      <end>142</end>
      <status>unmodified</status>
      <modifiedWord/>
      <trackRevisions>false</trackRevisions>
    </reviewItem>
    <reviewItem>
      <errorID>9ad1100c-3a13-49fc-abcf-8ced94a739b9</errorID>
      <errorWord>)</errorWord>
      <group>L1_Format</group>
      <groupName>格式问题</groupName>
      <ability>L2_HalfPunc</ability>
      <abilityName>全半角检查</abilityName>
      <candidateList>
        <item>）</item>
      </candidateList>
      <explain>文本全半角错误。</explain>
      <paraID>7D591099</paraID>
      <start>150</start>
      <end>151</end>
      <status>ignored</status>
      <modifiedWord/>
      <trackRevisions>false</trackRevisions>
    </reviewItem>
    <reviewItem>
      <errorID>7e832c10-04a1-4ee7-bab5-60e37084502b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C5C5F76</paraID>
      <start>31</start>
      <end>32</end>
      <status>unmodified</status>
      <modifiedWord/>
      <trackRevisions>false</trackRevisions>
    </reviewItem>
    <reviewItem>
      <errorID>d32f74a9-29fb-46c8-bd58-ec7ee6729ef7</errorID>
      <errorWord>1,4-丁二醇</errorWord>
      <group>L1_Word</group>
      <groupName>字词问题</groupName>
      <ability>L2_Typo</ability>
      <abilityName>字词错误</abilityName>
      <candidateList/>
      <explain>【违禁内容】句中涉及国家法律明令禁止的违禁内容，请注意甄别。</explain>
      <paraID>20C2CB10</paraID>
      <start>0</start>
      <end>7</end>
      <status>unmodified</status>
      <modifiedWord/>
      <trackRevisions>false</trackRevisions>
    </reviewItem>
    <reviewItem>
      <errorID>5a1c6c5b-0236-4578-8292-dc144dd424e1</errorID>
      <errorWord>(</errorWord>
      <group>L1_Format</group>
      <groupName>格式问题</groupName>
      <ability>L2_HalfPunc</ability>
      <abilityName>全半角检查</abilityName>
      <candidateList>
        <item>（</item>
      </candidateList>
      <explain>文本全半角错误。</explain>
      <paraID>5CDFF6B1</paraID>
      <start>2</start>
      <end>3</end>
      <status>unmodified</status>
      <modifiedWord/>
      <trackRevisions>false</trackRevisions>
    </reviewItem>
    <reviewItem>
      <errorID>7ec558b8-f74d-4a40-a698-230e059babf3</errorID>
      <errorWord>)</errorWord>
      <group>L1_Format</group>
      <groupName>格式问题</groupName>
      <ability>L2_HalfPunc</ability>
      <abilityName>全半角检查</abilityName>
      <candidateList>
        <item>）</item>
      </candidateList>
      <explain>文本全半角错误。</explain>
      <paraID>5CDFF6B1</paraID>
      <start>7</start>
      <end>8</end>
      <status>ignored</status>
      <modifiedWord/>
      <trackRevisions>false</trackRevisions>
    </reviewItem>
    <reviewItem>
      <errorID>c3d26f48-5e66-4002-8a27-7c57e6db1c51</errorID>
      <errorWord>(</errorWord>
      <group>L1_Format</group>
      <groupName>格式问题</groupName>
      <ability>L2_HalfPunc</ability>
      <abilityName>全半角检查</abilityName>
      <candidateList>
        <item>（</item>
      </candidateList>
      <explain>文本全半角错误。</explain>
      <paraID>53A3109C</paraID>
      <start>2</start>
      <end>3</end>
      <status>unmodified</status>
      <modifiedWord/>
      <trackRevisions>false</trackRevisions>
    </reviewItem>
    <reviewItem>
      <errorID>585e6575-37d2-4d1a-9865-8e8f1a689d47</errorID>
      <errorWord>)</errorWord>
      <group>L1_Format</group>
      <groupName>格式问题</groupName>
      <ability>L2_HalfPunc</ability>
      <abilityName>全半角检查</abilityName>
      <candidateList>
        <item>）</item>
      </candidateList>
      <explain>文本全半角错误。</explain>
      <paraID>53A3109C</paraID>
      <start>6</start>
      <end>7</end>
      <status>ignored</status>
      <modifiedWord/>
      <trackRevisions>false</trackRevisions>
    </reviewItem>
    <reviewItem>
      <errorID>2ce67dbf-25ce-4d3b-a5cb-b2fb4ba1c72c</errorID>
      <errorWord>(</errorWord>
      <group>L1_Format</group>
      <groupName>格式问题</groupName>
      <ability>L2_HalfPunc</ability>
      <abilityName>全半角检查</abilityName>
      <candidateList>
        <item>（</item>
      </candidateList>
      <explain>文本全半角错误。</explain>
      <paraID>60681A57</paraID>
      <start>2</start>
      <end>3</end>
      <status>unmodified</status>
      <modifiedWord/>
      <trackRevisions>false</trackRevisions>
    </reviewItem>
    <reviewItem>
      <errorID>53452b4b-958a-4453-a7ab-fab057a24cb2</errorID>
      <errorWord>)</errorWord>
      <group>L1_Format</group>
      <groupName>格式问题</groupName>
      <ability>L2_HalfPunc</ability>
      <abilityName>全半角检查</abilityName>
      <candidateList>
        <item>）</item>
      </candidateList>
      <explain>文本全半角错误。</explain>
      <paraID>60681A57</paraID>
      <start>7</start>
      <end>8</end>
      <status>ignored</status>
      <modifiedWord/>
      <trackRevisions>false</trackRevisions>
    </reviewItem>
    <reviewItem>
      <errorID>ba7f6c82-a4f4-4a35-b9cd-233e6b7a509a</errorID>
      <errorWord>(</errorWord>
      <group>L1_Format</group>
      <groupName>格式问题</groupName>
      <ability>L2_HalfPunc</ability>
      <abilityName>全半角检查</abilityName>
      <candidateList>
        <item>（</item>
      </candidateList>
      <explain>文本全半角错误。</explain>
      <paraID>1B87EA0A</paraID>
      <start>2</start>
      <end>3</end>
      <status>unmodified</status>
      <modifiedWord/>
      <trackRevisions>false</trackRevisions>
    </reviewItem>
    <reviewItem>
      <errorID>8858c245-c953-4e79-a358-0c881b1e8df3</errorID>
      <errorWord>)</errorWord>
      <group>L1_Format</group>
      <groupName>格式问题</groupName>
      <ability>L2_HalfPunc</ability>
      <abilityName>全半角检查</abilityName>
      <candidateList>
        <item>）</item>
      </candidateList>
      <explain>文本全半角错误。</explain>
      <paraID>1B87EA0A</paraID>
      <start>6</start>
      <end>7</end>
      <status>ignored</status>
      <modifiedWord/>
      <trackRevisions>false</trackRevisions>
    </reviewItem>
    <reviewItem>
      <errorID>dca83c5c-d3ba-4dab-a3c9-4225b7a29b67</errorID>
      <errorWord>1,4-丁二醇</errorWord>
      <group>L1_Word</group>
      <groupName>字词问题</groupName>
      <ability>L2_Typo</ability>
      <abilityName>字词错误</abilityName>
      <candidateList/>
      <explain>【违禁内容】句中涉及国家法律明令禁止的违禁内容，请注意甄别。</explain>
      <paraID>585651FD</paraID>
      <start>0</start>
      <end>7</end>
      <status>unmodified</status>
      <modifiedWord/>
      <trackRevisions>false</trackRevisions>
    </reviewItem>
    <reviewItem>
      <errorID>38465b8c-bc43-4073-9331-8675f437c3e4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4AA2ADA3</paraID>
      <start>56</start>
      <end>57</end>
      <status>unmodified</status>
      <modifiedWord/>
      <trackRevisions>false</trackRevisions>
    </reviewItem>
    <reviewItem>
      <errorID>347a9230-14ca-425f-9040-c25cb6e50667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687EDD29</paraID>
      <start>47</start>
      <end>48</end>
      <status>unmodified</status>
      <modifiedWord/>
      <trackRevisions>false</trackRevisions>
    </reviewItem>
    <reviewItem>
      <errorID>bfa091da-a74b-47ba-8bea-3cae112b65e3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358D95D8</paraID>
      <start>33</start>
      <end>34</end>
      <status>unmodified</status>
      <modifiedWord/>
      <trackRevisions>false</trackRevisions>
    </reviewItem>
    <reviewItem>
      <errorID>cd833bbe-60e7-4d75-b8d2-07454982ca69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358D95D8</paraID>
      <start>82</start>
      <end>83</end>
      <status>unmodified</status>
      <modifiedWord/>
      <trackRevisions>false</trackRevisions>
    </reviewItem>
    <reviewItem>
      <errorID>2949ef1b-44d4-4844-8b4e-47f3d6faf241</errorID>
      <errorWord>1,4-丁二醇</errorWord>
      <group>L1_Word</group>
      <groupName>字词问题</groupName>
      <ability>L2_Typo</ability>
      <abilityName>字词错误</abilityName>
      <candidateList/>
      <explain>【违禁内容】句中涉及国家法律明令禁止的违禁内容，请注意甄别。</explain>
      <paraID>7EC460AB</paraID>
      <start>0</start>
      <end>7</end>
      <status>unmodified</status>
      <modifiedWord/>
      <trackRevisions>false</trackRevisions>
    </reviewItem>
    <reviewItem>
      <errorID>60ee1809-4278-4cb3-bd8d-1732f07553d1</errorID>
      <errorWord>(</errorWord>
      <group>L1_Format</group>
      <groupName>格式问题</groupName>
      <ability>L2_HalfPunc</ability>
      <abilityName>全半角检查</abilityName>
      <candidateList>
        <item>（</item>
      </candidateList>
      <explain>文本全半角错误。</explain>
      <paraID>53426AAF</paraID>
      <start>2</start>
      <end>3</end>
      <status>unmodified</status>
      <modifiedWord/>
      <trackRevisions>false</trackRevisions>
    </reviewItem>
    <reviewItem>
      <errorID>0ffbcde9-d3b9-40ec-8a47-30aa2bff21c4</errorID>
      <errorWord>)</errorWord>
      <group>L1_Format</group>
      <groupName>格式问题</groupName>
      <ability>L2_HalfPunc</ability>
      <abilityName>全半角检查</abilityName>
      <candidateList>
        <item>）</item>
      </candidateList>
      <explain>文本全半角错误。</explain>
      <paraID>53426AAF</paraID>
      <start>7</start>
      <end>8</end>
      <status>ignored</status>
      <modifiedWord/>
      <trackRevisions>false</trackRevisions>
    </reviewItem>
    <reviewItem>
      <errorID>cf80f86f-60ce-4bcb-842f-e9b93a77f6a6</errorID>
      <errorWord>(</errorWord>
      <group>L1_Format</group>
      <groupName>格式问题</groupName>
      <ability>L2_HalfPunc</ability>
      <abilityName>全半角检查</abilityName>
      <candidateList>
        <item>（</item>
      </candidateList>
      <explain>文本全半角错误。</explain>
      <paraID>5904E652</paraID>
      <start>2</start>
      <end>3</end>
      <status>unmodified</status>
      <modifiedWord/>
      <trackRevisions>false</trackRevisions>
    </reviewItem>
    <reviewItem>
      <errorID>cf6074c3-dab5-4517-bc78-7903e71acd05</errorID>
      <errorWord>)</errorWord>
      <group>L1_Format</group>
      <groupName>格式问题</groupName>
      <ability>L2_HalfPunc</ability>
      <abilityName>全半角检查</abilityName>
      <candidateList>
        <item>）</item>
      </candidateList>
      <explain>文本全半角错误。</explain>
      <paraID>5904E652</paraID>
      <start>6</start>
      <end>7</end>
      <status>ignored</status>
      <modifiedWord/>
      <trackRevisions>false</trackRevisions>
    </reviewItem>
    <reviewItem>
      <errorID>3d13abb1-234c-4538-9791-20f3cced80cd</errorID>
      <errorWord>(</errorWord>
      <group>L1_Format</group>
      <groupName>格式问题</groupName>
      <ability>L2_HalfPunc</ability>
      <abilityName>全半角检查</abilityName>
      <candidateList>
        <item>（</item>
      </candidateList>
      <explain>文本全半角错误。</explain>
      <paraID>5A847FBB</paraID>
      <start>2</start>
      <end>3</end>
      <status>unmodified</status>
      <modifiedWord/>
      <trackRevisions>false</trackRevisions>
    </reviewItem>
    <reviewItem>
      <errorID>f2f9d4b5-e7d1-4e7a-8509-3aa1a3d0601e</errorID>
      <errorWord>)</errorWord>
      <group>L1_Format</group>
      <groupName>格式问题</groupName>
      <ability>L2_HalfPunc</ability>
      <abilityName>全半角检查</abilityName>
      <candidateList>
        <item>）</item>
      </candidateList>
      <explain>文本全半角错误。</explain>
      <paraID>5A847FBB</paraID>
      <start>7</start>
      <end>8</end>
      <status>ignored</status>
      <modifiedWord/>
      <trackRevisions>false</trackRevisions>
    </reviewItem>
    <reviewItem>
      <errorID>57f42aaf-f033-4fb5-8fe3-babd46c45551</errorID>
      <errorWord>(</errorWord>
      <group>L1_Format</group>
      <groupName>格式问题</groupName>
      <ability>L2_HalfPunc</ability>
      <abilityName>全半角检查</abilityName>
      <candidateList>
        <item>（</item>
      </candidateList>
      <explain>文本全半角错误。</explain>
      <paraID>4B856576</paraID>
      <start>2</start>
      <end>3</end>
      <status>unmodified</status>
      <modifiedWord/>
      <trackRevisions>false</trackRevisions>
    </reviewItem>
    <reviewItem>
      <errorID>fc0ca6f8-de93-4e2d-b154-e9ca40f2b91c</errorID>
      <errorWord>)</errorWord>
      <group>L1_Format</group>
      <groupName>格式问题</groupName>
      <ability>L2_HalfPunc</ability>
      <abilityName>全半角检查</abilityName>
      <candidateList>
        <item>）</item>
      </candidateList>
      <explain>文本全半角错误。</explain>
      <paraID>4B856576</paraID>
      <start>6</start>
      <end>7</end>
      <status>ignored</status>
      <modifiedWord/>
      <trackRevisions>false</trackRevisions>
    </reviewItem>
    <reviewItem>
      <errorID>b85c31cd-1893-44bf-95e1-710f6f98180d</errorID>
      <errorWord>1,4-丁二醇</errorWord>
      <group>L1_Word</group>
      <groupName>字词问题</groupName>
      <ability>L2_Typo</ability>
      <abilityName>字词错误</abilityName>
      <candidateList/>
      <explain>【违禁内容】句中涉及国家法律明令禁止的违禁内容，请注意甄别。</explain>
      <paraID>560F1A5C</paraID>
      <start>0</start>
      <end>7</end>
      <status>unmodified</status>
      <modifiedWord/>
      <trackRevisions>false</trackRevisions>
    </reviewItem>
    <reviewItem>
      <errorID>8c833709-276e-47af-b6a7-542223951d0d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75AD1217</paraID>
      <start>64</start>
      <end>65</end>
      <status>unmodified</status>
      <modifiedWord/>
      <trackRevisions>false</trackRevisions>
    </reviewItem>
    <reviewItem>
      <errorID>b58e0dfd-0849-4b89-b3ea-1af586696d97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47DC5A88</paraID>
      <start>111</start>
      <end>112</end>
      <status>unmodified</status>
      <modifiedWord/>
      <trackRevisions>false</trackRevisions>
    </reviewItem>
    <reviewItem>
      <errorID>3d3a7a2b-cb03-41e2-8395-a879260d3d2c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47DC5A88</paraID>
      <start>132</start>
      <end>133</end>
      <status>unmodified</status>
      <modifiedWord/>
      <trackRevisions>false</trackRevisions>
    </reviewItem>
    <reviewItem>
      <errorID>a18f7fae-b112-4479-a315-e9aefb30210c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524E9B6</paraID>
      <start>12</start>
      <end>13</end>
      <status>unmodified</status>
      <modifiedWord/>
      <trackRevisions>false</trackRevisions>
    </reviewItem>
    <reviewItem>
      <errorID>7e6c989f-18a2-4b09-a029-846f7dc3574d</errorID>
      <errorWord>1,4-丁二醇</errorWord>
      <group>L1_Word</group>
      <groupName>字词问题</groupName>
      <ability>L2_Typo</ability>
      <abilityName>字词错误</abilityName>
      <candidateList/>
      <explain>【违禁内容】句中涉及国家法律明令禁止的违禁内容，请注意甄别。</explain>
      <paraID>553A94A0</paraID>
      <start>0</start>
      <end>7</end>
      <status>unmodified</status>
      <modifiedWord/>
      <trackRevisions>false</trackRevisions>
    </reviewItem>
    <reviewItem>
      <errorID>6c678fb3-94fc-4d51-988b-019180683542</errorID>
      <errorWord>(</errorWord>
      <group>L1_Format</group>
      <groupName>格式问题</groupName>
      <ability>L2_HalfPunc</ability>
      <abilityName>全半角检查</abilityName>
      <candidateList>
        <item>（</item>
      </candidateList>
      <explain>文本全半角错误。</explain>
      <paraID>73FDC901</paraID>
      <start>2</start>
      <end>3</end>
      <status>unmodified</status>
      <modifiedWord/>
      <trackRevisions>false</trackRevisions>
    </reviewItem>
    <reviewItem>
      <errorID>5fe7e600-0b0f-4a0b-8e29-7e2258d92355</errorID>
      <errorWord>)</errorWord>
      <group>L1_Format</group>
      <groupName>格式问题</groupName>
      <ability>L2_HalfPunc</ability>
      <abilityName>全半角检查</abilityName>
      <candidateList>
        <item>）</item>
      </candidateList>
      <explain>文本全半角错误。</explain>
      <paraID>73FDC901</paraID>
      <start>7</start>
      <end>8</end>
      <status>ignored</status>
      <modifiedWord/>
      <trackRevisions>false</trackRevisions>
    </reviewItem>
    <reviewItem>
      <errorID>b8d8d7d2-0730-40ab-9691-257f0be2361e</errorID>
      <errorWord>(</errorWord>
      <group>L1_Format</group>
      <groupName>格式问题</groupName>
      <ability>L2_HalfPunc</ability>
      <abilityName>全半角检查</abilityName>
      <candidateList>
        <item>（</item>
      </candidateList>
      <explain>文本全半角错误。</explain>
      <paraID>  4E3953</paraID>
      <start>2</start>
      <end>3</end>
      <status>unmodified</status>
      <modifiedWord/>
      <trackRevisions>false</trackRevisions>
    </reviewItem>
    <reviewItem>
      <errorID>1059e13c-9195-47a2-acfd-f1a3d838d988</errorID>
      <errorWord>)</errorWord>
      <group>L1_Format</group>
      <groupName>格式问题</groupName>
      <ability>L2_HalfPunc</ability>
      <abilityName>全半角检查</abilityName>
      <candidateList>
        <item>）</item>
      </candidateList>
      <explain>文本全半角错误。</explain>
      <paraID>  4E3953</paraID>
      <start>6</start>
      <end>7</end>
      <status>ignored</status>
      <modifiedWord/>
      <trackRevisions>false</trackRevisions>
    </reviewItem>
    <reviewItem>
      <errorID>8c06ea1e-c2e1-4235-bb18-9e3e1e766402</errorID>
      <errorWord>(</errorWord>
      <group>L1_Format</group>
      <groupName>格式问题</groupName>
      <ability>L2_HalfPunc</ability>
      <abilityName>全半角检查</abilityName>
      <candidateList>
        <item>（</item>
      </candidateList>
      <explain>文本全半角错误。</explain>
      <paraID>14DAADD8</paraID>
      <start>2</start>
      <end>3</end>
      <status>unmodified</status>
      <modifiedWord/>
      <trackRevisions>false</trackRevisions>
    </reviewItem>
    <reviewItem>
      <errorID>341f27c0-b7cf-4ec7-9d26-a8a5892e0bc9</errorID>
      <errorWord>)</errorWord>
      <group>L1_Format</group>
      <groupName>格式问题</groupName>
      <ability>L2_HalfPunc</ability>
      <abilityName>全半角检查</abilityName>
      <candidateList>
        <item>）</item>
      </candidateList>
      <explain>文本全半角错误。</explain>
      <paraID>14DAADD8</paraID>
      <start>7</start>
      <end>8</end>
      <status>ignored</status>
      <modifiedWord/>
      <trackRevisions>false</trackRevisions>
    </reviewItem>
    <reviewItem>
      <errorID>d547edb5-5fa8-403b-a8bd-39ee3d290e50</errorID>
      <errorWord>(</errorWord>
      <group>L1_Format</group>
      <groupName>格式问题</groupName>
      <ability>L2_HalfPunc</ability>
      <abilityName>全半角检查</abilityName>
      <candidateList>
        <item>（</item>
      </candidateList>
      <explain>文本全半角错误。</explain>
      <paraID>19B57ECF</paraID>
      <start>2</start>
      <end>3</end>
      <status>unmodified</status>
      <modifiedWord/>
      <trackRevisions>false</trackRevisions>
    </reviewItem>
    <reviewItem>
      <errorID>7ba08001-eb97-4702-9638-611d2067b830</errorID>
      <errorWord>)</errorWord>
      <group>L1_Format</group>
      <groupName>格式问题</groupName>
      <ability>L2_HalfPunc</ability>
      <abilityName>全半角检查</abilityName>
      <candidateList>
        <item>）</item>
      </candidateList>
      <explain>文本全半角错误。</explain>
      <paraID>19B57ECF</paraID>
      <start>6</start>
      <end>7</end>
      <status>ignored</status>
      <modifiedWord/>
      <trackRevisions>false</trackRevisions>
    </reviewItem>
    <reviewItem>
      <errorID>3456d072-92e0-4759-a413-dc604147ec0b</errorID>
      <errorWord>1,4-丁二醇</errorWord>
      <group>L1_Word</group>
      <groupName>字词问题</groupName>
      <ability>L2_Typo</ability>
      <abilityName>字词错误</abilityName>
      <candidateList/>
      <explain>【违禁内容】句中涉及国家法律明令禁止的违禁内容，请注意甄别。</explain>
      <paraID>5B702749</paraID>
      <start>0</start>
      <end>7</end>
      <status>unmodified</status>
      <modifiedWord/>
      <trackRevisions>false</trackRevisions>
    </reviewItem>
    <reviewItem>
      <errorID>f8d11894-2e82-4957-af13-d4d169bdd867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5A733911</paraID>
      <start>35</start>
      <end>36</end>
      <status>unmodified</status>
      <modifiedWord/>
      <trackRevisions>false</trackRevisions>
    </reviewItem>
    <reviewItem>
      <errorID>310218cd-6104-44b3-8415-aee6b21b5a13</errorID>
      <errorWord>(</errorWord>
      <group>L1_Format</group>
      <groupName>格式问题</groupName>
      <ability>L2_HalfPunc</ability>
      <abilityName>全半角检查</abilityName>
      <candidateList>
        <item>（</item>
      </candidateList>
      <explain>文本全半角错误。</explain>
      <paraID>694F8C7A</paraID>
      <start>2</start>
      <end>3</end>
      <status>unmodified</status>
      <modifiedWord/>
      <trackRevisions>false</trackRevisions>
    </reviewItem>
    <reviewItem>
      <errorID>6346446d-e2d7-4a90-b777-1d447dac22cc</errorID>
      <errorWord>)</errorWord>
      <group>L1_Format</group>
      <groupName>格式问题</groupName>
      <ability>L2_HalfPunc</ability>
      <abilityName>全半角检查</abilityName>
      <candidateList>
        <item>）</item>
      </candidateList>
      <explain>文本全半角错误。</explain>
      <paraID>694F8C7A</paraID>
      <start>7</start>
      <end>8</end>
      <status>ignored</status>
      <modifiedWord/>
      <trackRevisions>false</trackRevisions>
    </reviewItem>
    <reviewItem>
      <errorID>f5e9f4e9-77df-4acf-9f46-1a1312174bfe</errorID>
      <errorWord>(</errorWord>
      <group>L1_Format</group>
      <groupName>格式问题</groupName>
      <ability>L2_HalfPunc</ability>
      <abilityName>全半角检查</abilityName>
      <candidateList>
        <item>（</item>
      </candidateList>
      <explain>文本全半角错误。</explain>
      <paraID> 9999DD8</paraID>
      <start>2</start>
      <end>3</end>
      <status>unmodified</status>
      <modifiedWord/>
      <trackRevisions>false</trackRevisions>
    </reviewItem>
    <reviewItem>
      <errorID>369d240f-6ff1-4b8a-8485-af0ac3d7f50c</errorID>
      <errorWord>)</errorWord>
      <group>L1_Format</group>
      <groupName>格式问题</groupName>
      <ability>L2_HalfPunc</ability>
      <abilityName>全半角检查</abilityName>
      <candidateList>
        <item>）</item>
      </candidateList>
      <explain>文本全半角错误。</explain>
      <paraID> 9999DD8</paraID>
      <start>6</start>
      <end>7</end>
      <status>ignored</status>
      <modifiedWord/>
      <trackRevisions>false</trackRevisions>
    </reviewItem>
    <reviewItem>
      <errorID>a9eca721-7bec-421d-bb53-15b2f405cfc8</errorID>
      <errorWord>(</errorWord>
      <group>L1_Format</group>
      <groupName>格式问题</groupName>
      <ability>L2_HalfPunc</ability>
      <abilityName>全半角检查</abilityName>
      <candidateList>
        <item>（</item>
      </candidateList>
      <explain>文本全半角错误。</explain>
      <paraID>2FF471E5</paraID>
      <start>2</start>
      <end>3</end>
      <status>unmodified</status>
      <modifiedWord/>
      <trackRevisions>false</trackRevisions>
    </reviewItem>
    <reviewItem>
      <errorID>7cca1b98-4b19-4a7b-b656-28a9e6983bcb</errorID>
      <errorWord>)</errorWord>
      <group>L1_Format</group>
      <groupName>格式问题</groupName>
      <ability>L2_HalfPunc</ability>
      <abilityName>全半角检查</abilityName>
      <candidateList>
        <item>）</item>
      </candidateList>
      <explain>文本全半角错误。</explain>
      <paraID>2FF471E5</paraID>
      <start>7</start>
      <end>8</end>
      <status>ignored</status>
      <modifiedWord/>
      <trackRevisions>false</trackRevisions>
    </reviewItem>
    <reviewItem>
      <errorID>f6952aaa-3f41-4224-b5a9-9813e7562a86</errorID>
      <errorWord>(</errorWord>
      <group>L1_Format</group>
      <groupName>格式问题</groupName>
      <ability>L2_HalfPunc</ability>
      <abilityName>全半角检查</abilityName>
      <candidateList>
        <item>（</item>
      </candidateList>
      <explain>文本全半角错误。</explain>
      <paraID>3D10504A</paraID>
      <start>2</start>
      <end>3</end>
      <status>unmodified</status>
      <modifiedWord/>
      <trackRevisions>false</trackRevisions>
    </reviewItem>
    <reviewItem>
      <errorID>581d2113-c9d1-4cfc-859c-7927bf1dc292</errorID>
      <errorWord>)</errorWord>
      <group>L1_Format</group>
      <groupName>格式问题</groupName>
      <ability>L2_HalfPunc</ability>
      <abilityName>全半角检查</abilityName>
      <candidateList>
        <item>）</item>
      </candidateList>
      <explain>文本全半角错误。</explain>
      <paraID>3D10504A</paraID>
      <start>6</start>
      <end>7</end>
      <status>ignored</status>
      <modifiedWord/>
      <trackRevisions>false</trackRevisions>
    </reviewItem>
    <reviewItem>
      <errorID>25e0c4db-78e1-4062-83fc-4aee627e8557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7F5CAD53</paraID>
      <start>170</start>
      <end>171</end>
      <status>unmodified</status>
      <modifiedWord/>
      <trackRevisions>false</trackRevisions>
    </reviewItem>
    <reviewItem>
      <errorID>a0f63eba-db35-4eca-98d5-a0d7a384c552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3CBD05B4</paraID>
      <start>84</start>
      <end>85</end>
      <status>unmodified</status>
      <modifiedWord/>
      <trackRevisions>false</trackRevisions>
    </reviewItem>
    <reviewItem>
      <errorID>c7c7005a-947f-423a-b850-f30ce5e7417f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1FFACD27</paraID>
      <start>10</start>
      <end>11</end>
      <status>unmodified</status>
      <modifiedWord/>
      <trackRevisions>false</trackRevisions>
    </reviewItem>
    <reviewItem>
      <errorID>8949400d-1f75-4987-aa49-66524479d370</errorID>
      <errorWord>1,4-丁二醇</errorWord>
      <group>L1_Word</group>
      <groupName>字词问题</groupName>
      <ability>L2_Typo</ability>
      <abilityName>字词错误</abilityName>
      <candidateList/>
      <explain>【违禁内容】句中涉及国家法律明令禁止的违禁内容，请注意甄别。</explain>
      <paraID>5D4CAEE6</paraID>
      <start>0</start>
      <end>7</end>
      <status>unmodified</status>
      <modifiedWord/>
      <trackRevisions>false</trackRevisions>
    </reviewItem>
    <reviewItem>
      <errorID>36fa472f-2772-40e7-9d1b-0a6fdc05117c</errorID>
      <errorWord>(</errorWord>
      <group>L1_Format</group>
      <groupName>格式问题</groupName>
      <ability>L2_HalfPunc</ability>
      <abilityName>全半角检查</abilityName>
      <candidateList>
        <item>（</item>
      </candidateList>
      <explain>文本全半角错误。</explain>
      <paraID> 813802D</paraID>
      <start>2</start>
      <end>3</end>
      <status>unmodified</status>
      <modifiedWord/>
      <trackRevisions>false</trackRevisions>
    </reviewItem>
    <reviewItem>
      <errorID>b0f04c31-16aa-4ef4-a877-7850bfdc79b5</errorID>
      <errorWord>)</errorWord>
      <group>L1_Format</group>
      <groupName>格式问题</groupName>
      <ability>L2_HalfPunc</ability>
      <abilityName>全半角检查</abilityName>
      <candidateList>
        <item>）</item>
      </candidateList>
      <explain>文本全半角错误。</explain>
      <paraID> 813802D</paraID>
      <start>7</start>
      <end>8</end>
      <status>ignored</status>
      <modifiedWord/>
      <trackRevisions>false</trackRevisions>
    </reviewItem>
    <reviewItem>
      <errorID>8e3cb57d-b861-4da2-889f-cbec2d64fe94</errorID>
      <errorWord>(</errorWord>
      <group>L1_Format</group>
      <groupName>格式问题</groupName>
      <ability>L2_HalfPunc</ability>
      <abilityName>全半角检查</abilityName>
      <candidateList>
        <item>（</item>
      </candidateList>
      <explain>文本全半角错误。</explain>
      <paraID>11AC3C6A</paraID>
      <start>2</start>
      <end>3</end>
      <status>unmodified</status>
      <modifiedWord/>
      <trackRevisions>false</trackRevisions>
    </reviewItem>
    <reviewItem>
      <errorID>af5d4b92-5eeb-462f-9d25-393badf66424</errorID>
      <errorWord>)</errorWord>
      <group>L1_Format</group>
      <groupName>格式问题</groupName>
      <ability>L2_HalfPunc</ability>
      <abilityName>全半角检查</abilityName>
      <candidateList>
        <item>）</item>
      </candidateList>
      <explain>文本全半角错误。</explain>
      <paraID>11AC3C6A</paraID>
      <start>6</start>
      <end>7</end>
      <status>ignored</status>
      <modifiedWord/>
      <trackRevisions>false</trackRevisions>
    </reviewItem>
    <reviewItem>
      <errorID>167c76a7-a71f-43e2-b7c4-24885edbb79c</errorID>
      <errorWord>(</errorWord>
      <group>L1_Format</group>
      <groupName>格式问题</groupName>
      <ability>L2_HalfPunc</ability>
      <abilityName>全半角检查</abilityName>
      <candidateList>
        <item>（</item>
      </candidateList>
      <explain>文本全半角错误。</explain>
      <paraID>5E67AFFE</paraID>
      <start>2</start>
      <end>3</end>
      <status>unmodified</status>
      <modifiedWord/>
      <trackRevisions>false</trackRevisions>
    </reviewItem>
    <reviewItem>
      <errorID>9c1a9dc1-f594-4122-96ae-dc44f26ff19d</errorID>
      <errorWord>)</errorWord>
      <group>L1_Format</group>
      <groupName>格式问题</groupName>
      <ability>L2_HalfPunc</ability>
      <abilityName>全半角检查</abilityName>
      <candidateList>
        <item>）</item>
      </candidateList>
      <explain>文本全半角错误。</explain>
      <paraID>5E67AFFE</paraID>
      <start>7</start>
      <end>8</end>
      <status>ignored</status>
      <modifiedWord/>
      <trackRevisions>false</trackRevisions>
    </reviewItem>
    <reviewItem>
      <errorID>25efca32-8341-44c7-8f7e-b25fd1c91ccc</errorID>
      <errorWord>(</errorWord>
      <group>L1_Format</group>
      <groupName>格式问题</groupName>
      <ability>L2_HalfPunc</ability>
      <abilityName>全半角检查</abilityName>
      <candidateList>
        <item>（</item>
      </candidateList>
      <explain>文本全半角错误。</explain>
      <paraID>3A077FCE</paraID>
      <start>2</start>
      <end>3</end>
      <status>unmodified</status>
      <modifiedWord/>
      <trackRevisions>false</trackRevisions>
    </reviewItem>
    <reviewItem>
      <errorID>225905cf-b40f-42d3-80be-61ef16ca84fb</errorID>
      <errorWord>)</errorWord>
      <group>L1_Format</group>
      <groupName>格式问题</groupName>
      <ability>L2_HalfPunc</ability>
      <abilityName>全半角检查</abilityName>
      <candidateList>
        <item>）</item>
      </candidateList>
      <explain>文本全半角错误。</explain>
      <paraID>3A077FCE</paraID>
      <start>6</start>
      <end>7</end>
      <status>ignored</status>
      <modifiedWord/>
      <trackRevisions>false</trackRevisions>
    </reviewItem>
    <reviewItem>
      <errorID>6c359240-fcbf-4960-bf91-d79a9dac4e79</errorID>
      <errorWord>1,4-丁二醇</errorWord>
      <group>L1_Word</group>
      <groupName>字词问题</groupName>
      <ability>L2_Typo</ability>
      <abilityName>字词错误</abilityName>
      <candidateList/>
      <explain>【违禁内容】句中涉及国家法律明令禁止的违禁内容，请注意甄别。</explain>
      <paraID>3B883834</paraID>
      <start>0</start>
      <end>7</end>
      <status>unmodified</status>
      <modifiedWord/>
      <trackRevisions>false</trackRevisions>
    </reviewItem>
    <reviewItem>
      <errorID>a282b858-8429-4cb3-83d0-93c21aacb6b4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1C23999F</paraID>
      <start>0</start>
      <end>2</end>
      <status>unmodified</status>
      <modifiedWord/>
      <trackRevisions>false</trackRevisions>
    </reviewItem>
    <reviewItem>
      <errorID>4deca831-f7d0-49df-a534-bde7d3015114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5FA8AF90</paraID>
      <start>0</start>
      <end>2</end>
      <status>unmodified</status>
      <modifiedWord/>
      <trackRevisions>false</trackRevisions>
    </reviewItem>
    <reviewItem>
      <errorID>065a2302-0a12-4919-beb1-40adacf763e9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7E1F061E</paraID>
      <start>0</start>
      <end>2</end>
      <status>unmodified</status>
      <modifiedWord/>
      <trackRevisions>false</trackRevisions>
    </reviewItem>
    <reviewItem>
      <errorID>6630b8b3-8fe3-43f7-a450-cfa9726247ac</errorID>
      <errorWord>来自于</errorWord>
      <group>L1_Grammar</group>
      <groupName>语法问题</groupName>
      <ability>L2_Grammar</ability>
      <abilityName>语法错误</abilityName>
      <candidateList>
        <item>来自</item>
      </candidateList>
      <explain/>
      <paraID>1189EA43</paraID>
      <start>64</start>
      <end>67</end>
      <status>unmodified</status>
      <modifiedWord/>
      <trackRevisions>false</trackRevisions>
    </reviewItem>
    <reviewItem>
      <errorID>8f8428bf-b4a0-4bf2-aac5-c4104e974244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707267CB</paraID>
      <start>0</start>
      <end>2</end>
      <status>unmodified</status>
      <modifiedWord/>
      <trackRevisions>false</trackRevisions>
    </reviewItem>
    <reviewItem>
      <errorID>961557be-fc5a-48ee-923e-925e4b0c3ead</errorID>
      <errorWord>气化后</errorWord>
      <group>L1_Word</group>
      <groupName>字词问题</groupName>
      <ability>L2_Variant</ability>
      <abilityName>异形词</abilityName>
      <candidateList>
        <item>汽化后</item>
      </candidateList>
      <explain>词汇[气化后]的规范词形写作[汽化后]。</explain>
      <paraID>589CF8BF</paraID>
      <start>40</start>
      <end>43</end>
      <status>unmodified</status>
      <modifiedWord/>
      <trackRevisions>false</trackRevisions>
    </reviewItem>
    <reviewItem>
      <errorID>509d0e1e-9b9f-4c01-bd43-8f0d86e713a4</errorID>
      <errorWord>本次本</errorWord>
      <group>L1_Word</group>
      <groupName>字词问题</groupName>
      <ability>L2_Typo</ability>
      <abilityName>字词错误</abilityName>
      <candidateList>
        <item>本次</item>
      </candidateList>
      <explain/>
      <paraID>45A7199A</paraID>
      <start>0</start>
      <end>3</end>
      <status>unmodified</status>
      <modifiedWord/>
      <trackRevisions>false</trackRevisions>
    </reviewItem>
    <reviewItem>
      <errorID>d0e80708-9dca-436b-bb78-36d8e21d7623</errorID>
      <errorWord>～</errorWord>
      <group>L1_Format</group>
      <groupName>格式问题</groupName>
      <ability>L2_HalfPunc</ability>
      <abilityName>全半角检查</abilityName>
      <candidateList>
        <item>~</item>
      </candidateList>
      <explain>文本全半角错误。</explain>
      <paraID>2C276168</paraID>
      <start>1</start>
      <end>2</end>
      <status>unmodified</status>
      <modifiedWord/>
      <trackRevisions>false</trackRevisions>
    </reviewItem>
    <reviewItem>
      <errorID>9c20da87-a3bf-454c-90aa-1fd37b6be130</errorID>
      <errorWord>～</errorWord>
      <group>L1_Format</group>
      <groupName>格式问题</groupName>
      <ability>L2_HalfPunc</ability>
      <abilityName>全半角检查</abilityName>
      <candidateList>
        <item>~</item>
      </candidateList>
      <explain>文本全半角错误。</explain>
      <paraID>10458BAC</paraID>
      <start>1</start>
      <end>2</end>
      <status>unmodified</status>
      <modifiedWord/>
      <trackRevisions>false</trackRevisions>
    </reviewItem>
    <reviewItem>
      <errorID>722d466d-b245-4379-a7e2-a12eb269426a</errorID>
      <errorWord>～</errorWord>
      <group>L1_Format</group>
      <groupName>格式问题</groupName>
      <ability>L2_HalfPunc</ability>
      <abilityName>全半角检查</abilityName>
      <candidateList>
        <item>~</item>
      </candidateList>
      <explain>文本全半角错误。</explain>
      <paraID>2DAC3F06</paraID>
      <start>1</start>
      <end>2</end>
      <status>unmodified</status>
      <modifiedWord/>
      <trackRevisions>false</trackRevisions>
    </reviewItem>
    <reviewItem>
      <errorID>0172cb4e-64a9-4cfb-9e84-c12965594b4b</errorID>
      <errorWord>(</errorWord>
      <group>L1_Format</group>
      <groupName>格式问题</groupName>
      <ability>L2_HalfPunc</ability>
      <abilityName>全半角检查</abilityName>
      <candidateList>
        <item>（</item>
      </candidateList>
      <explain>文本全半角错误。</explain>
      <paraID> 39C8C62</paraID>
      <start>4</start>
      <end>5</end>
      <status>unmodified</status>
      <modifiedWord/>
      <trackRevisions>false</trackRevisions>
    </reviewItem>
    <reviewItem>
      <errorID>f9f6a2df-91d5-4983-99d8-7c6154081003</errorID>
      <errorWord>)</errorWord>
      <group>L1_Format</group>
      <groupName>格式问题</groupName>
      <ability>L2_HalfPunc</ability>
      <abilityName>全半角检查</abilityName>
      <candidateList>
        <item>）</item>
      </candidateList>
      <explain>文本全半角错误。</explain>
      <paraID> 39C8C62</paraID>
      <start>10</start>
      <end>11</end>
      <status>ignored</status>
      <modifiedWord/>
      <trackRevisions>false</trackRevisions>
    </reviewItem>
    <reviewItem>
      <errorID>b9b6ff85-530e-483e-a018-c352f338c9b8</errorID>
      <errorWord>(</errorWord>
      <group>L1_Format</group>
      <groupName>格式问题</groupName>
      <ability>L2_HalfPunc</ability>
      <abilityName>全半角检查</abilityName>
      <candidateList>
        <item>（</item>
      </candidateList>
      <explain>文本全半角错误。</explain>
      <paraID> 3D12B6C</paraID>
      <start>4</start>
      <end>5</end>
      <status>unmodified</status>
      <modifiedWord/>
      <trackRevisions>false</trackRevisions>
    </reviewItem>
    <reviewItem>
      <errorID>af2f1ce6-f5a9-454c-8552-a53338b248fe</errorID>
      <errorWord>)</errorWord>
      <group>L1_Format</group>
      <groupName>格式问题</groupName>
      <ability>L2_HalfPunc</ability>
      <abilityName>全半角检查</abilityName>
      <candidateList>
        <item>）</item>
      </candidateList>
      <explain>文本全半角错误。</explain>
      <paraID> 3D12B6C</paraID>
      <start>10</start>
      <end>11</end>
      <status>ignored</status>
      <modifiedWord/>
      <trackRevisions>false</trackRevisions>
    </reviewItem>
    <reviewItem>
      <errorID>2183110b-bfb3-4d1d-9e4d-5d79103bacae</errorID>
      <errorWord>,</errorWord>
      <group>L1_Format</group>
      <groupName>格式问题</groupName>
      <ability>L2_HalfPunc</ability>
      <abilityName>全半角检查</abilityName>
      <candidateList>
        <item>，</item>
      </candidateList>
      <explain>文本全半角错误。</explain>
      <paraID>4C9305FD</paraID>
      <start>2</start>
      <end>3</end>
      <status>unmodified</status>
      <modifiedWord/>
      <trackRevisions>false</trackRevisions>
    </reviewItem>
    <reviewItem>
      <errorID>cd059895-869c-472a-aa28-1e79a2a48473</errorID>
      <errorWord>]</errorWord>
      <group>L1_Punc</group>
      <groupName>标点问题</groupName>
      <ability>L2_Punc</ability>
      <abilityName>标点符号检查</abilityName>
      <candidateList>
        <item>〕</item>
      </candidateList>
      <explain/>
      <paraID>4C9305FD</paraID>
      <start>35</start>
      <end>36</end>
      <status>unmodified</status>
      <modifiedWord/>
      <trackRevisions>false</trackRevisions>
    </reviewItem>
    <reviewItem>
      <errorID>c0fd8ea5-83a0-4a10-94b1-1574fb4b6e38</errorID>
      <errorWord>,</errorWord>
      <group>L1_Format</group>
      <groupName>格式问题</groupName>
      <ability>L2_HalfPunc</ability>
      <abilityName>全半角检查</abilityName>
      <candidateList>
        <item>，</item>
      </candidateList>
      <explain>文本全半角错误。</explain>
      <paraID>4B431CD0</paraID>
      <start>2</start>
      <end>3</end>
      <status>unmodified</status>
      <modifiedWord/>
      <trackRevisions>false</trackRevisions>
    </reviewItem>
    <reviewItem>
      <errorID>33307e57-5dcb-4527-ae30-07aadeb9b9be</errorID>
      <errorWord>]</errorWord>
      <group>L1_Punc</group>
      <groupName>标点问题</groupName>
      <ability>L2_Punc</ability>
      <abilityName>标点符号检查</abilityName>
      <candidateList>
        <item>〕</item>
      </candidateList>
      <explain/>
      <paraID>4B431CD0</paraID>
      <start>34</start>
      <end>35</end>
      <status>unmodified</status>
      <modifiedWord/>
      <trackRevisions>false</trackRevisions>
    </reviewItem>
    <reviewItem>
      <errorID>4a01ce90-b795-4853-acfa-9aaeef9ff722</errorID>
      <errorWord>，</errorWord>
      <group>L1_Format</group>
      <groupName>格式问题</groupName>
      <ability>L2_HalfPunc</ability>
      <abilityName>全半角检查</abilityName>
      <candidateList>
        <item>, </item>
      </candidateList>
      <explain>文本全半角错误。</explain>
      <paraID>3613E33F</paraID>
      <start>10</start>
      <end>11</end>
      <status>unmodified</status>
      <modifiedWord/>
      <trackRevisions>false</trackRevisions>
    </reviewItem>
    <reviewItem>
      <errorID>ec49a992-abf2-4bf1-ac7b-8906eeeb85f8</errorID>
      <errorWord>，</errorWord>
      <group>L1_Format</group>
      <groupName>格式问题</groupName>
      <ability>L2_HalfPunc</ability>
      <abilityName>全半角检查</abilityName>
      <candidateList>
        <item>, </item>
      </candidateList>
      <explain>文本全半角错误。</explain>
      <paraID>4472852A</paraID>
      <start>10</start>
      <end>11</end>
      <status>unmodified</status>
      <modifiedWord/>
      <trackRevisions>false</trackRevisions>
    </reviewItem>
    <reviewItem>
      <errorID>3b29dfce-7365-43c6-b249-28641fe34e1b</errorID>
      <errorWord>，</errorWord>
      <group>L1_Format</group>
      <groupName>格式问题</groupName>
      <ability>L2_HalfPunc</ability>
      <abilityName>全半角检查</abilityName>
      <candidateList>
        <item>, </item>
      </candidateList>
      <explain>文本全半角错误。</explain>
      <paraID>2A229ABD</paraID>
      <start>10</start>
      <end>11</end>
      <status>unmodified</status>
      <modifiedWord/>
      <trackRevisions>false</trackRevisions>
    </reviewItem>
    <reviewItem>
      <errorID>d0408561-5b2c-4ee5-bdb5-affecf2f9269</errorID>
      <errorWord>，</errorWord>
      <group>L1_Format</group>
      <groupName>格式问题</groupName>
      <ability>L2_HalfPunc</ability>
      <abilityName>全半角检查</abilityName>
      <candidateList>
        <item>, </item>
      </candidateList>
      <explain>文本全半角错误。</explain>
      <paraID>32B041AC</paraID>
      <start>10</start>
      <end>11</end>
      <status>unmodified</status>
      <modifiedWord/>
      <trackRevisions>false</trackRevisions>
    </reviewItem>
    <reviewItem>
      <errorID>30c2aa82-9888-47ea-8a00-de6b157a37d9</errorID>
      <errorWord>，</errorWord>
      <group>L1_Format</group>
      <groupName>格式问题</groupName>
      <ability>L2_HalfPunc</ability>
      <abilityName>全半角检查</abilityName>
      <candidateList>
        <item>, </item>
      </candidateList>
      <explain>文本全半角错误。</explain>
      <paraID>175B2B35</paraID>
      <start>10</start>
      <end>11</end>
      <status>unmodified</status>
      <modifiedWord/>
      <trackRevisions>false</trackRevisions>
    </reviewItem>
    <reviewItem>
      <errorID>f7d5ec63-7c31-494c-aba7-b739ace5c00d</errorID>
      <errorWord>，</errorWord>
      <group>L1_Format</group>
      <groupName>格式问题</groupName>
      <ability>L2_HalfPunc</ability>
      <abilityName>全半角检查</abilityName>
      <candidateList>
        <item>, </item>
      </candidateList>
      <explain>文本全半角错误。</explain>
      <paraID>1D355949</paraID>
      <start>10</start>
      <end>11</end>
      <status>unmodified</status>
      <modifiedWord/>
      <trackRevisions>false</trackRevisions>
    </reviewItem>
    <reviewItem>
      <errorID>aab1a58b-6e52-4de3-b014-751107d475ba</errorID>
      <errorWord>溢散</errorWord>
      <group>L1_Word</group>
      <groupName>字词问题</groupName>
      <ability>L2_Typo</ability>
      <abilityName>字词错误</abilityName>
      <candidateList>
        <item>逸散</item>
      </candidateList>
      <explain/>
      <paraID>5D9CC31C</paraID>
      <start>37</start>
      <end>39</end>
      <status>unmodified</status>
      <modifiedWord/>
      <trackRevisions>false</trackRevisions>
    </reviewItem>
    <reviewItem>
      <errorID>974d9c2e-41bf-458b-8c87-e5ec40668e33</errorID>
      <errorWord>溢散</errorWord>
      <group>L1_Word</group>
      <groupName>字词问题</groupName>
      <ability>L2_Typo</ability>
      <abilityName>字词错误</abilityName>
      <candidateList>
        <item>逸散</item>
      </candidateList>
      <explain/>
      <paraID> D3788E8</paraID>
      <start>9</start>
      <end>11</end>
      <status>unmodified</status>
      <modifiedWord/>
      <trackRevisions>false</trackRevisions>
    </reviewItem>
    <reviewItem>
      <errorID>60c3bab1-43cb-4896-be54-59bb87abde3f</errorID>
      <errorWord>;</errorWord>
      <group>L1_Format</group>
      <groupName>格式问题</groupName>
      <ability>L2_HalfPunc</ability>
      <abilityName>全半角检查</abilityName>
      <candidateList>
        <item>；</item>
      </candidateList>
      <explain>文本全半角错误。</explain>
      <paraID>4C612483</paraID>
      <start>27</start>
      <end>28</end>
      <status>unmodified</status>
      <modifiedWord/>
      <trackRevisions>false</trackRevisions>
    </reviewItem>
    <reviewItem>
      <errorID>cd908ed2-015d-45de-ab3a-59fe1c9e113b</errorID>
      <errorWord>溢散</errorWord>
      <group>L1_Word</group>
      <groupName>字词问题</groupName>
      <ability>L2_Typo</ability>
      <abilityName>字词错误</abilityName>
      <candidateList>
        <item>逸散</item>
      </candidateList>
      <explain/>
      <paraID>28C26EAD</paraID>
      <start>58</start>
      <end>60</end>
      <status>unmodified</status>
      <modifiedWord/>
      <trackRevisions>false</trackRevisions>
    </reviewItem>
    <reviewItem>
      <errorID>5077e034-542a-46e8-ad7a-6b01cebd1d9d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34C58D28</paraID>
      <start>208</start>
      <end>209</end>
      <status>unmodified</status>
      <modifiedWord/>
      <trackRevisions>false</trackRevisions>
    </reviewItem>
    <reviewItem>
      <errorID>9e69e0f5-2d2b-420e-819e-ad03a61ad3b3</errorID>
      <errorWord>-</errorWord>
      <group>L1_Format</group>
      <groupName>格式问题</groupName>
      <ability>L2_HalfPunc</ability>
      <abilityName>全半角检查</abilityName>
      <candidateList>
        <item>－</item>
      </candidateList>
      <explain>文本全半角错误。</explain>
      <paraID>6863BCED</paraID>
      <start>9</start>
      <end>10</end>
      <status>unmodified</status>
      <modifiedWord/>
      <trackRevisions>false</trackRevisions>
    </reviewItem>
    <reviewItem>
      <errorID>a03de24f-e51b-425a-bced-b5e850015ebc</errorID>
      <errorWord>-</errorWord>
      <group>L1_Format</group>
      <groupName>格式问题</groupName>
      <ability>L2_HalfPunc</ability>
      <abilityName>全半角检查</abilityName>
      <candidateList>
        <item>－</item>
      </candidateList>
      <explain>文本全半角错误。</explain>
      <paraID>61CB9352</paraID>
      <start>7</start>
      <end>8</end>
      <status>unmodified</status>
      <modifiedWord/>
      <trackRevisions>false</trackRevisions>
    </reviewItem>
    <reviewItem>
      <errorID>77f2a946-abf3-45bc-b095-a9f44cbde1cc</errorID>
      <errorWord>-</errorWord>
      <group>L1_Format</group>
      <groupName>格式问题</groupName>
      <ability>L2_HalfPunc</ability>
      <abilityName>全半角检查</abilityName>
      <candidateList>
        <item>－</item>
      </candidateList>
      <explain>文本全半角错误。</explain>
      <paraID>6A94A020</paraID>
      <start>7</start>
      <end>8</end>
      <status>unmodified</status>
      <modifiedWord/>
      <trackRevisions>false</trackRevisions>
    </reviewItem>
    <reviewItem>
      <errorID>3dfb61c3-5afd-411c-9d91-fbde12956fc7</errorID>
      <errorWord>，。</errorWord>
      <group>L1_Punc</group>
      <groupName>标点问题</groupName>
      <ability>L2_Punc</ability>
      <abilityName>标点符号检查</abilityName>
      <candidateList>
        <item>，</item>
      </candidateList>
      <explain/>
      <paraID>19846F9B</paraID>
      <start>146</start>
      <end>148</end>
      <status>unmodified</status>
      <modifiedWord/>
      <trackRevisions>false</trackRevisions>
    </reviewItem>
    <reviewItem>
      <errorID>507b06eb-e360-4c71-ab7a-34afb7b4f7a9</errorID>
      <errorWord>)</errorWord>
      <group>L1_Format</group>
      <groupName>格式问题</groupName>
      <ability>L2_HalfPunc</ability>
      <abilityName>全半角检查</abilityName>
      <candidateList>
        <item>）</item>
      </candidateList>
      <explain>文本全半角错误。</explain>
      <paraID>76916822</paraID>
      <start>11</start>
      <end>12</end>
      <status>ignored</status>
      <modifiedWord/>
      <trackRevisions>false</trackRevisions>
    </reviewItem>
    <reviewItem>
      <errorID>48c10a34-a38d-47e9-b0ea-70d4c8045813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76916822</paraID>
      <start>12</start>
      <end>13</end>
      <status>unmodified</status>
      <modifiedWord/>
      <trackRevisions>false</trackRevisions>
    </reviewItem>
    <reviewItem>
      <errorID>9d087f7f-493a-4816-88ff-8c119e22eeb6</errorID>
      <errorWord>,</errorWord>
      <group>L1_Format</group>
      <groupName>格式问题</groupName>
      <ability>L2_HalfPunc</ability>
      <abilityName>全半角检查</abilityName>
      <candidateList>
        <item>，</item>
      </candidateList>
      <explain>文本全半角错误。</explain>
      <paraID>6C879910</paraID>
      <start>2</start>
      <end>3</end>
      <status>unmodified</status>
      <modifiedWord/>
      <trackRevisions>false</trackRevisions>
    </reviewItem>
    <reviewItem>
      <errorID>b95d8b1f-2d4c-42d4-acf8-c8f0b0a8e212</errorID>
      <errorWord>（</errorWord>
      <group>L1_Format</group>
      <groupName>格式问题</groupName>
      <ability>L2_HalfPunc</ability>
      <abilityName>全半角检查</abilityName>
      <candidateList>
        <item>(</item>
      </candidateList>
      <explain>文本全半角错误。</explain>
      <paraID>4F1579EF</paraID>
      <start>0</start>
      <end>1</end>
      <status>unmodified</status>
      <modifiedWord/>
      <trackRevisions>false</trackRevisions>
    </reviewItem>
    <reviewItem>
      <errorID>ca403cdb-dc77-40f4-9d97-aa301d86e0cb</errorID>
      <errorWord>）</errorWord>
      <group>L1_Format</group>
      <groupName>格式问题</groupName>
      <ability>L2_HalfPunc</ability>
      <abilityName>全半角检查</abilityName>
      <candidateList>
        <item>)</item>
      </candidateList>
      <explain>文本全半角错误。</explain>
      <paraID>4F1579EF</paraID>
      <start>3</start>
      <end>4</end>
      <status>unmodified</status>
      <modifiedWord/>
      <trackRevisions>false</trackRevisions>
    </reviewItem>
    <reviewItem>
      <errorID>9690a2d3-4327-4506-bf2b-68f09fea7f7d</errorID>
      <errorWord>(</errorWord>
      <group>L1_Format</group>
      <groupName>格式问题</groupName>
      <ability>L2_HalfPunc</ability>
      <abilityName>全半角检查</abilityName>
      <candidateList>
        <item>（</item>
      </candidateList>
      <explain>文本全半角错误。</explain>
      <paraID>56E9D0BD</paraID>
      <start>2</start>
      <end>3</end>
      <status>unmodified</status>
      <modifiedWord/>
      <trackRevisions>false</trackRevisions>
    </reviewItem>
    <reviewItem>
      <errorID>263c87b2-7407-4c0b-a3fe-41858ea39951</errorID>
      <errorWord>)</errorWord>
      <group>L1_Format</group>
      <groupName>格式问题</groupName>
      <ability>L2_HalfPunc</ability>
      <abilityName>全半角检查</abilityName>
      <candidateList>
        <item>）</item>
      </candidateList>
      <explain>文本全半角错误。</explain>
      <paraID>56E9D0BD</paraID>
      <start>7</start>
      <end>8</end>
      <status>ignored</status>
      <modifiedWord/>
      <trackRevisions>false</trackRevisions>
    </reviewItem>
    <reviewItem>
      <errorID>1bc56196-5584-4e6f-a0db-a391709fe303</errorID>
      <errorWord>(</errorWord>
      <group>L1_Format</group>
      <groupName>格式问题</groupName>
      <ability>L2_HalfPunc</ability>
      <abilityName>全半角检查</abilityName>
      <candidateList>
        <item>（</item>
      </candidateList>
      <explain>文本全半角错误。</explain>
      <paraID>386A18BC</paraID>
      <start>2</start>
      <end>3</end>
      <status>unmodified</status>
      <modifiedWord/>
      <trackRevisions>false</trackRevisions>
    </reviewItem>
    <reviewItem>
      <errorID>72707799-676a-474a-bc58-d89a803a08fc</errorID>
      <errorWord>)</errorWord>
      <group>L1_Format</group>
      <groupName>格式问题</groupName>
      <ability>L2_HalfPunc</ability>
      <abilityName>全半角检查</abilityName>
      <candidateList>
        <item>）</item>
      </candidateList>
      <explain>文本全半角错误。</explain>
      <paraID>386A18BC</paraID>
      <start>7</start>
      <end>8</end>
      <status>ignored</status>
      <modifiedWord/>
      <trackRevisions>false</trackRevisions>
    </reviewItem>
    <reviewItem>
      <errorID>c9e789d4-353c-4606-ba26-dc7c9ec7edd4</errorID>
      <errorWord>（</errorWord>
      <group>L1_Format</group>
      <groupName>格式问题</groupName>
      <ability>L2_HalfPunc</ability>
      <abilityName>全半角检查</abilityName>
      <candidateList>
        <item>(</item>
      </candidateList>
      <explain>文本全半角错误。</explain>
      <paraID>1CB6CA1E</paraID>
      <start>4</start>
      <end>5</end>
      <status>unmodified</status>
      <modifiedWord/>
      <trackRevisions>false</trackRevisions>
    </reviewItem>
    <reviewItem>
      <errorID>341a001d-c5a4-4bc4-8bd7-7c8ca2717097</errorID>
      <errorWord>）</errorWord>
      <group>L1_Format</group>
      <groupName>格式问题</groupName>
      <ability>L2_HalfPunc</ability>
      <abilityName>全半角检查</abilityName>
      <candidateList>
        <item>)</item>
      </candidateList>
      <explain>文本全半角错误。</explain>
      <paraID>1CB6CA1E</paraID>
      <start>8</start>
      <end>9</end>
      <status>unmodified</status>
      <modifiedWord/>
      <trackRevisions>false</trackRevisions>
    </reviewItem>
    <reviewItem>
      <errorID>9ad61b33-a3fd-4464-bb57-bbc27e58e6d4</errorID>
      <errorWord>(</errorWord>
      <group>L1_Format</group>
      <groupName>格式问题</groupName>
      <ability>L2_HalfPunc</ability>
      <abilityName>全半角检查</abilityName>
      <candidateList>
        <item>（</item>
      </candidateList>
      <explain>文本全半角错误。</explain>
      <paraID>12A49037</paraID>
      <start>4</start>
      <end>5</end>
      <status>unmodified</status>
      <modifiedWord/>
      <trackRevisions>false</trackRevisions>
    </reviewItem>
    <reviewItem>
      <errorID>57494aa5-78b1-415d-946f-da47c31d1e88</errorID>
      <errorWord>)</errorWord>
      <group>L1_Format</group>
      <groupName>格式问题</groupName>
      <ability>L2_HalfPunc</ability>
      <abilityName>全半角检查</abilityName>
      <candidateList>
        <item>）</item>
      </candidateList>
      <explain>文本全半角错误。</explain>
      <paraID>12A49037</paraID>
      <start>9</start>
      <end>10</end>
      <status>ignored</status>
      <modifiedWord/>
      <trackRevisions>false</trackRevisions>
    </reviewItem>
    <reviewItem>
      <errorID>fc068d42-cd72-41e5-8cde-db43106bc7d4</errorID>
      <errorWord>(</errorWord>
      <group>L1_Format</group>
      <groupName>格式问题</groupName>
      <ability>L2_HalfPunc</ability>
      <abilityName>全半角检查</abilityName>
      <candidateList>
        <item>（</item>
      </candidateList>
      <explain>文本全半角错误。</explain>
      <paraID>7BFCFEAC</paraID>
      <start>0</start>
      <end>1</end>
      <status>unmodified</status>
      <modifiedWord/>
      <trackRevisions>false</trackRevisions>
    </reviewItem>
    <reviewItem>
      <errorID>0c137f88-799a-4d9e-80a7-812de237add4</errorID>
      <errorWord>)</errorWord>
      <group>L1_Format</group>
      <groupName>格式问题</groupName>
      <ability>L2_HalfPunc</ability>
      <abilityName>全半角检查</abilityName>
      <candidateList>
        <item>）</item>
      </candidateList>
      <explain>文本全半角错误。</explain>
      <paraID>7BFCFEAC</paraID>
      <start>10</start>
      <end>11</end>
      <status>ignored</status>
      <modifiedWord/>
      <trackRevisions>false</trackRevisions>
    </reviewItem>
    <reviewItem>
      <errorID>dc7b5c08-99d3-4420-a2f2-8bbdc805a33d</errorID>
      <errorWord>*</errorWord>
      <group>L1_Punc</group>
      <groupName>标点问题</groupName>
      <ability>L2_Punc</ability>
      <abilityName>标点符号检查</abilityName>
      <candidateList/>
      <explain/>
      <paraID>5504858F</paraID>
      <start>0</start>
      <end>1</end>
      <status>unmodified</status>
      <modifiedWord/>
      <trackRevisions>false</trackRevisions>
    </reviewItem>
    <reviewItem>
      <errorID>51f99a7a-0fca-4c39-9b68-baaa3dff6b6a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42A849FA</paraID>
      <start>3</start>
      <end>4</end>
      <status>unmodified</status>
      <modifiedWord/>
      <trackRevisions>false</trackRevisions>
    </reviewItem>
    <reviewItem>
      <errorID>10c4335d-3d52-48f4-8b92-550a94c9968c</errorID>
      <errorWord>*</errorWord>
      <group>L1_Punc</group>
      <groupName>标点问题</groupName>
      <ability>L2_Punc</ability>
      <abilityName>标点符号检查</abilityName>
      <candidateList/>
      <explain/>
      <paraID>17276A79</paraID>
      <start>0</start>
      <end>1</end>
      <status>unmodified</status>
      <modifiedWord/>
      <trackRevisions>false</trackRevisions>
    </reviewItem>
    <reviewItem>
      <errorID>25e9521f-1609-4865-9c73-0dd230c2770b</errorID>
      <errorWord>)</errorWord>
      <group>L1_Format</group>
      <groupName>格式问题</groupName>
      <ability>L2_HalfPunc</ability>
      <abilityName>全半角检查</abilityName>
      <candidateList>
        <item>）</item>
      </candidateList>
      <explain>文本全半角错误。</explain>
      <paraID>6758C2DC</paraID>
      <start>56</start>
      <end>57</end>
      <status>ignored</status>
      <modifiedWord/>
      <trackRevisions>false</trackRevisions>
    </reviewItem>
    <reviewItem>
      <errorID>b898897c-b90a-4d22-aedc-17689d6aaa79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2C049C4D</paraID>
      <start>21</start>
      <end>24</end>
      <status>unmodified</status>
      <modifiedWord/>
      <trackRevisions>false</trackRevisions>
    </reviewItem>
    <reviewItem>
      <errorID>e63c8b8e-8aa6-4dcc-b091-73657a2bdf79</errorID>
      <errorWord>)</errorWord>
      <group>L1_Format</group>
      <groupName>格式问题</groupName>
      <ability>L2_HalfPunc</ability>
      <abilityName>全半角检查</abilityName>
      <candidateList>
        <item>）</item>
      </candidateList>
      <explain>文本全半角错误。</explain>
      <paraID> 5FF2DF5</paraID>
      <start>13</start>
      <end>14</end>
      <status>ignored</status>
      <modifiedWord/>
      <trackRevisions>false</trackRevisions>
    </reviewItem>
    <reviewItem>
      <errorID>ee264a18-cdc1-4460-80b5-96426a40f949</errorID>
      <errorWord>)</errorWord>
      <group>L1_Format</group>
      <groupName>格式问题</groupName>
      <ability>L2_HalfPunc</ability>
      <abilityName>全半角检查</abilityName>
      <candidateList>
        <item>）</item>
      </candidateList>
      <explain>文本全半角错误。</explain>
      <paraID>61ADC7E2</paraID>
      <start>13</start>
      <end>14</end>
      <status>ignored</status>
      <modifiedWord/>
      <trackRevisions>false</trackRevisions>
    </reviewItem>
    <reviewItem>
      <errorID>b567a859-b845-4b90-9828-3959058ee3c7</errorID>
      <errorWord>(</errorWord>
      <group>L1_Format</group>
      <groupName>格式问题</groupName>
      <ability>L2_HalfPunc</ability>
      <abilityName>全半角检查</abilityName>
      <candidateList>
        <item>（</item>
      </candidateList>
      <explain>文本全半角错误。</explain>
      <paraID>74B81035</paraID>
      <start>3</start>
      <end>4</end>
      <status>unmodified</status>
      <modifiedWord/>
      <trackRevisions>false</trackRevisions>
    </reviewItem>
    <reviewItem>
      <errorID>23d08c0c-620b-4070-bdd0-81f0f28979c2</errorID>
      <errorWord>)</errorWord>
      <group>L1_Format</group>
      <groupName>格式问题</groupName>
      <ability>L2_HalfPunc</ability>
      <abilityName>全半角检查</abilityName>
      <candidateList>
        <item>）</item>
      </candidateList>
      <explain>文本全半角错误。</explain>
      <paraID>74B81035</paraID>
      <start>7</start>
      <end>8</end>
      <status>ignored</status>
      <modifiedWord/>
      <trackRevisions>false</trackRevisions>
    </reviewItem>
    <reviewItem>
      <errorID>27ed716e-f27e-48fd-b910-6b3ded614d20</errorID>
      <errorWord>(</errorWord>
      <group>L1_Format</group>
      <groupName>格式问题</groupName>
      <ability>L2_HalfPunc</ability>
      <abilityName>全半角检查</abilityName>
      <candidateList>
        <item>（</item>
      </candidateList>
      <explain>文本全半角错误。</explain>
      <paraID>5452BC96</paraID>
      <start>3</start>
      <end>4</end>
      <status>unmodified</status>
      <modifiedWord/>
      <trackRevisions>false</trackRevisions>
    </reviewItem>
    <reviewItem>
      <errorID>01a52952-f5f1-45b5-8f01-9552ed025dbf</errorID>
      <errorWord>)</errorWord>
      <group>L1_Format</group>
      <groupName>格式问题</groupName>
      <ability>L2_HalfPunc</ability>
      <abilityName>全半角检查</abilityName>
      <candidateList>
        <item>）</item>
      </candidateList>
      <explain>文本全半角错误。</explain>
      <paraID>5452BC96</paraID>
      <start>7</start>
      <end>8</end>
      <status>ignored</status>
      <modifiedWord/>
      <trackRevisions>false</trackRevisions>
    </reviewItem>
    <reviewItem>
      <errorID>1ca7841d-3387-4981-8cad-fbff0ee98aa9</errorID>
      <errorWord>(</errorWord>
      <group>L1_Format</group>
      <groupName>格式问题</groupName>
      <ability>L2_HalfPunc</ability>
      <abilityName>全半角检查</abilityName>
      <candidateList>
        <item>（</item>
      </candidateList>
      <explain>文本全半角错误。</explain>
      <paraID>4DB713D1</paraID>
      <start>3</start>
      <end>4</end>
      <status>unmodified</status>
      <modifiedWord/>
      <trackRevisions>false</trackRevisions>
    </reviewItem>
    <reviewItem>
      <errorID>eb4fe9ab-462f-4b89-9a42-4ab60a20b2d4</errorID>
      <errorWord>)</errorWord>
      <group>L1_Format</group>
      <groupName>格式问题</groupName>
      <ability>L2_HalfPunc</ability>
      <abilityName>全半角检查</abilityName>
      <candidateList>
        <item>）</item>
      </candidateList>
      <explain>文本全半角错误。</explain>
      <paraID>4DB713D1</paraID>
      <start>7</start>
      <end>8</end>
      <status>ignored</status>
      <modifiedWord/>
      <trackRevisions>false</trackRevisions>
    </reviewItem>
    <reviewItem>
      <errorID>631e64da-a4f0-454a-8f11-4ec0a84c60b9</errorID>
      <errorWord>(</errorWord>
      <group>L1_Format</group>
      <groupName>格式问题</groupName>
      <ability>L2_HalfPunc</ability>
      <abilityName>全半角检查</abilityName>
      <candidateList>
        <item>（</item>
      </candidateList>
      <explain>文本全半角错误。</explain>
      <paraID>4311AF96</paraID>
      <start>5</start>
      <end>6</end>
      <status>unmodified</status>
      <modifiedWord/>
      <trackRevisions>false</trackRevisions>
    </reviewItem>
    <reviewItem>
      <errorID>df273aaa-0304-40c6-99ce-0868f31966e4</errorID>
      <errorWord>)</errorWord>
      <group>L1_Format</group>
      <groupName>格式问题</groupName>
      <ability>L2_HalfPunc</ability>
      <abilityName>全半角检查</abilityName>
      <candidateList>
        <item>）</item>
      </candidateList>
      <explain>文本全半角错误。</explain>
      <paraID>4311AF96</paraID>
      <start>9</start>
      <end>10</end>
      <status>ignored</status>
      <modifiedWord/>
      <trackRevisions>false</trackRevisions>
    </reviewItem>
    <reviewItem>
      <errorID>9fd3075b-c39e-4b26-a0e8-348fa619e3d6</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3A939522</paraID>
      <start>14</start>
      <end>17</end>
      <status>unmodified</status>
      <modifiedWord/>
      <trackRevisions>false</trackRevisions>
    </reviewItem>
    <reviewItem>
      <errorID>d8f54e1e-5041-493f-9cef-62ae0a012e8c</errorID>
      <errorWord>已二酸</errorWord>
      <group>L1_Word</group>
      <groupName>字词问题</groupName>
      <ability>L2_Typo</ability>
      <abilityName>字词错误</abilityName>
      <candidateList>
        <item>己二酸</item>
      </candidateList>
      <explain/>
      <paraID>55E4417B</paraID>
      <start>0</start>
      <end>3</end>
      <status>unmodified</status>
      <modifiedWord/>
      <trackRevisions>false</trackRevisions>
    </reviewItem>
    <reviewItem>
      <errorID>03a3cb5a-620d-497d-8523-a9b7d95506d7</errorID>
      <errorWord>涉及的</errorWord>
      <group>L1_Word</group>
      <groupName>字词问题</groupName>
      <ability>L2_Typo</ability>
      <abilityName>字词错误</abilityName>
      <candidateList>
        <item>涉及</item>
      </candidateList>
      <explain>〈动〉牵涉到；关联到：案子～好几个人｜这个问题～面很广。</explain>
      <paraID>69E78757</paraID>
      <start>54</start>
      <end>57</end>
      <status>unmodified</status>
      <modifiedWord/>
      <trackRevisions>false</trackRevisions>
    </reviewItem>
    <reviewItem>
      <errorID>f84fe88e-1101-4032-b512-47105578eaf1</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 D709250</paraID>
      <start>25</start>
      <end>28</end>
      <status>unmodified</status>
      <modifiedWord/>
      <trackRevisions>false</trackRevisions>
    </reviewItem>
    <reviewItem>
      <errorID>29b95e86-aed9-4164-97f7-733919bbeab6</errorID>
      <errorWord>:</errorWord>
      <group>L1_Format</group>
      <groupName>格式问题</groupName>
      <ability>L2_HalfPunc</ability>
      <abilityName>全半角检查</abilityName>
      <candidateList>
        <item>：</item>
      </candidateList>
      <explain>文本全半角错误。</explain>
      <paraID>155BB3E1</paraID>
      <start>2</start>
      <end>3</end>
      <status>unmodified</status>
      <modifiedWord/>
      <trackRevisions>false</trackRevisions>
    </reviewItem>
    <reviewItem>
      <errorID>272f5131-4807-4cdf-a108-a10733275d7c</errorID>
      <errorWord>:</errorWord>
      <group>L1_Format</group>
      <groupName>格式问题</groupName>
      <ability>L2_HalfPunc</ability>
      <abilityName>全半角检查</abilityName>
      <candidateList>
        <item>：</item>
      </candidateList>
      <explain>文本全半角错误。</explain>
      <paraID>32DC1698</paraID>
      <start>2</start>
      <end>3</end>
      <status>unmodified</status>
      <modifiedWord/>
      <trackRevisions>false</trackRevisions>
    </reviewItem>
    <reviewItem>
      <errorID>c55d00d0-6f53-4335-8ba8-e3f2edb8226f</errorID>
      <errorWord>:</errorWord>
      <group>L1_Format</group>
      <groupName>格式问题</groupName>
      <ability>L2_HalfPunc</ability>
      <abilityName>全半角检查</abilityName>
      <candidateList>
        <item>：</item>
      </candidateList>
      <explain>文本全半角错误。</explain>
      <paraID>57639681</paraID>
      <start>2</start>
      <end>3</end>
      <status>unmodified</status>
      <modifiedWord/>
      <trackRevisions>false</trackRevisions>
    </reviewItem>
    <reviewItem>
      <errorID>a28ba3df-6b97-4695-94da-62656352c3e4</errorID>
      <errorWord>,</errorWord>
      <group>L1_Format</group>
      <groupName>格式问题</groupName>
      <ability>L2_HalfPunc</ability>
      <abilityName>全半角检查</abilityName>
      <candidateList>
        <item>，</item>
      </candidateList>
      <explain>文本全半角错误。</explain>
      <paraID>5AF54574</paraID>
      <start>9</start>
      <end>10</end>
      <status>unmodified</status>
      <modifiedWord/>
      <trackRevisions>false</trackRevisions>
    </reviewItem>
    <reviewItem>
      <errorID>5e3c0183-2a0e-415f-ba78-14a596867397</errorID>
      <errorWord>,</errorWord>
      <group>L1_Format</group>
      <groupName>格式问题</groupName>
      <ability>L2_HalfPunc</ability>
      <abilityName>全半角检查</abilityName>
      <candidateList>
        <item>，</item>
      </candidateList>
      <explain>文本全半角错误。</explain>
      <paraID>40B6BAC5</paraID>
      <start>10</start>
      <end>11</end>
      <status>unmodified</status>
      <modifiedWord/>
      <trackRevisions>false</trackRevisions>
    </reviewItem>
    <reviewItem>
      <errorID>08a0c6d8-736d-4895-9bd9-41449546c6ef</errorID>
      <errorWord>,</errorWord>
      <group>L1_Format</group>
      <groupName>格式问题</groupName>
      <ability>L2_HalfPunc</ability>
      <abilityName>全半角检查</abilityName>
      <candidateList>
        <item>，</item>
      </candidateList>
      <explain>文本全半角错误。</explain>
      <paraID>40B6BAC5</paraID>
      <start>34</start>
      <end>35</end>
      <status>unmodified</status>
      <modifiedWord/>
      <trackRevisions>false</trackRevisions>
    </reviewItem>
    <reviewItem>
      <errorID>899f954b-1dbd-4c4d-beab-7e9590dfe27f</errorID>
      <errorWord>:</errorWord>
      <group>L1_Format</group>
      <groupName>格式问题</groupName>
      <ability>L2_HalfPunc</ability>
      <abilityName>全半角检查</abilityName>
      <candidateList>
        <item>：</item>
      </candidateList>
      <explain>文本全半角错误。</explain>
      <paraID>40B6BAC5</paraID>
      <start>43</start>
      <end>44</end>
      <status>unmodified</status>
      <modifiedWord/>
      <trackRevisions>false</trackRevisions>
    </reviewItem>
    <reviewItem>
      <errorID>79423886-4eb5-4d22-a4bf-ba6422bdea73</errorID>
      <errorWord>;</errorWord>
      <group>L1_Format</group>
      <groupName>格式问题</groupName>
      <ability>L2_HalfPunc</ability>
      <abilityName>全半角检查</abilityName>
      <candidateList>
        <item>；</item>
      </candidateList>
      <explain>文本全半角错误。</explain>
      <paraID>746F97AE</paraID>
      <start>28</start>
      <end>29</end>
      <status>unmodified</status>
      <modifiedWord/>
      <trackRevisions>false</trackRevisions>
    </reviewItem>
    <reviewItem>
      <errorID>f9f27087-458b-400c-9ccd-8736851a93b0</errorID>
      <errorWord>-</errorWord>
      <group>L1_Format</group>
      <groupName>格式问题</groupName>
      <ability>L2_HalfPunc</ability>
      <abilityName>全半角检查</abilityName>
      <candidateList>
        <item>－</item>
      </candidateList>
      <explain>文本全半角错误。</explain>
      <paraID>69A7DB89</paraID>
      <start>2</start>
      <end>3</end>
      <status>unmodified</status>
      <modifiedWord/>
      <trackRevisions>false</trackRevisions>
    </reviewItem>
    <reviewItem>
      <errorID>d7b2205a-873c-4c9b-b283-572ab9a2d649</errorID>
      <errorWord>-</errorWord>
      <group>L1_Format</group>
      <groupName>格式问题</groupName>
      <ability>L2_HalfPunc</ability>
      <abilityName>全半角检查</abilityName>
      <candidateList>
        <item>－</item>
      </candidateList>
      <explain>文本全半角错误。</explain>
      <paraID>69A7DB89</paraID>
      <start>27</start>
      <end>28</end>
      <status>unmodified</status>
      <modifiedWord/>
      <trackRevisions>false</trackRevisions>
    </reviewItem>
    <reviewItem>
      <errorID>4958918f-a5c9-4147-aa8c-1560a1d3cfd6</errorID>
      <errorWord>：</errorWord>
      <group>L1_Format</group>
      <groupName>格式问题</groupName>
      <ability>L2_HalfPunc</ability>
      <abilityName>全半角检查</abilityName>
      <candidateList>
        <item>:</item>
      </candidateList>
      <explain>文本全半角错误。</explain>
      <paraID>69A7DB89</paraID>
      <start>34</start>
      <end>35</end>
      <status>unmodified</status>
      <modifiedWord/>
      <trackRevisions>false</trackRevisions>
    </reviewItem>
    <reviewItem>
      <errorID>cfd7e7f3-2687-4bff-8852-4e66c0666891</errorID>
      <errorWord>(</errorWord>
      <group>L1_Format</group>
      <groupName>格式问题</groupName>
      <ability>L2_HalfPunc</ability>
      <abilityName>全半角检查</abilityName>
      <candidateList>
        <item>（</item>
      </candidateList>
      <explain>文本全半角错误。</explain>
      <paraID>2A92FA4A</paraID>
      <start>4</start>
      <end>5</end>
      <status>unmodified</status>
      <modifiedWord/>
      <trackRevisions>false</trackRevisions>
    </reviewItem>
    <reviewItem>
      <errorID>b79bb131-7c75-44c3-8edc-6dfc532025fc</errorID>
      <errorWord>)</errorWord>
      <group>L1_Format</group>
      <groupName>格式问题</groupName>
      <ability>L2_HalfPunc</ability>
      <abilityName>全半角检查</abilityName>
      <candidateList>
        <item>）</item>
      </candidateList>
      <explain>文本全半角错误。</explain>
      <paraID>2A92FA4A</paraID>
      <start>6</start>
      <end>7</end>
      <status>ignored</status>
      <modifiedWord/>
      <trackRevisions>false</trackRevisions>
    </reviewItem>
    <reviewItem>
      <errorID>18674173-c616-47c7-93bd-c010fa16572a</errorID>
      <errorWord>(</errorWord>
      <group>L1_Format</group>
      <groupName>格式问题</groupName>
      <ability>L2_HalfPunc</ability>
      <abilityName>全半角检查</abilityName>
      <candidateList>
        <item>（</item>
      </candidateList>
      <explain>文本全半角错误。</explain>
      <paraID>165710FD</paraID>
      <start>6</start>
      <end>7</end>
      <status>unmodified</status>
      <modifiedWord/>
      <trackRevisions>false</trackRevisions>
    </reviewItem>
    <reviewItem>
      <errorID>2b517e59-c18d-4fd7-8a8e-471086182536</errorID>
      <errorWord>)</errorWord>
      <group>L1_Format</group>
      <groupName>格式问题</groupName>
      <ability>L2_HalfPunc</ability>
      <abilityName>全半角检查</abilityName>
      <candidateList>
        <item>）</item>
      </candidateList>
      <explain>文本全半角错误。</explain>
      <paraID>165710FD</paraID>
      <start>8</start>
      <end>9</end>
      <status>ignored</status>
      <modifiedWord/>
      <trackRevisions>false</trackRevisions>
    </reviewItem>
    <reviewItem>
      <errorID>fb060241-42ef-4847-928b-74ba0d5d0f32</errorID>
      <errorWord>(</errorWord>
      <group>L1_Format</group>
      <groupName>格式问题</groupName>
      <ability>L2_HalfPunc</ability>
      <abilityName>全半角检查</abilityName>
      <candidateList>
        <item>（</item>
      </candidateList>
      <explain>文本全半角错误。</explain>
      <paraID>4C71FF30</paraID>
      <start>2</start>
      <end>3</end>
      <status>unmodified</status>
      <modifiedWord/>
      <trackRevisions>false</trackRevisions>
    </reviewItem>
    <reviewItem>
      <errorID>be9d4223-06a6-4999-97b0-061f914475f8</errorID>
      <errorWord>)</errorWord>
      <group>L1_Format</group>
      <groupName>格式问题</groupName>
      <ability>L2_HalfPunc</ability>
      <abilityName>全半角检查</abilityName>
      <candidateList>
        <item>）</item>
      </candidateList>
      <explain>文本全半角错误。</explain>
      <paraID>4C71FF30</paraID>
      <start>4</start>
      <end>5</end>
      <status>ignored</status>
      <modifiedWord/>
      <trackRevisions>false</trackRevisions>
    </reviewItem>
    <reviewItem>
      <errorID>4ea1c04d-c323-41fd-bbdf-0a846f8600ea</errorID>
      <errorWord>(</errorWord>
      <group>L1_Format</group>
      <groupName>格式问题</groupName>
      <ability>L2_HalfPunc</ability>
      <abilityName>全半角检查</abilityName>
      <candidateList>
        <item>（</item>
      </candidateList>
      <explain>文本全半角错误。</explain>
      <paraID>2AA2E56A</paraID>
      <start>3</start>
      <end>4</end>
      <status>unmodified</status>
      <modifiedWord/>
      <trackRevisions>false</trackRevisions>
    </reviewItem>
    <reviewItem>
      <errorID>c9ad96f2-73c9-45e1-af2d-a960ea0d0f34</errorID>
      <errorWord>)</errorWord>
      <group>L1_Format</group>
      <groupName>格式问题</groupName>
      <ability>L2_HalfPunc</ability>
      <abilityName>全半角检查</abilityName>
      <candidateList>
        <item>）</item>
      </candidateList>
      <explain>文本全半角错误。</explain>
      <paraID>2AA2E56A</paraID>
      <start>5</start>
      <end>6</end>
      <status>ignored</status>
      <modifiedWord/>
      <trackRevisions>false</trackRevisions>
    </reviewItem>
    <reviewItem>
      <errorID>ec878b5d-ac85-41de-96f4-339c606404f1</errorID>
      <errorWord>(</errorWord>
      <group>L1_Format</group>
      <groupName>格式问题</groupName>
      <ability>L2_HalfPunc</ability>
      <abilityName>全半角检查</abilityName>
      <candidateList>
        <item>（</item>
      </candidateList>
      <explain>文本全半角错误。</explain>
      <paraID>1CF436B1</paraID>
      <start>3</start>
      <end>4</end>
      <status>unmodified</status>
      <modifiedWord/>
      <trackRevisions>false</trackRevisions>
    </reviewItem>
    <reviewItem>
      <errorID>813ea962-7c8b-4ed8-8914-ece7a97c71c4</errorID>
      <errorWord>)</errorWord>
      <group>L1_Format</group>
      <groupName>格式问题</groupName>
      <ability>L2_HalfPunc</ability>
      <abilityName>全半角检查</abilityName>
      <candidateList>
        <item>）</item>
      </candidateList>
      <explain>文本全半角错误。</explain>
      <paraID>1CF436B1</paraID>
      <start>6</start>
      <end>7</end>
      <status>ignored</status>
      <modifiedWord/>
      <trackRevisions>false</trackRevisions>
    </reviewItem>
    <reviewItem>
      <errorID>6577a6c4-9c4f-402c-8b6b-a7b04c305d98</errorID>
      <errorWord>(</errorWord>
      <group>L1_Format</group>
      <groupName>格式问题</groupName>
      <ability>L2_HalfPunc</ability>
      <abilityName>全半角检查</abilityName>
      <candidateList>
        <item>（</item>
      </candidateList>
      <explain>文本全半角错误。</explain>
      <paraID> A2292C4</paraID>
      <start>3</start>
      <end>4</end>
      <status>unmodified</status>
      <modifiedWord/>
      <trackRevisions>false</trackRevisions>
    </reviewItem>
    <reviewItem>
      <errorID>5562fda4-8482-4f75-95ac-c9bedbe3b355</errorID>
      <errorWord>)</errorWord>
      <group>L1_Format</group>
      <groupName>格式问题</groupName>
      <ability>L2_HalfPunc</ability>
      <abilityName>全半角检查</abilityName>
      <candidateList>
        <item>）</item>
      </candidateList>
      <explain>文本全半角错误。</explain>
      <paraID> A2292C4</paraID>
      <start>11</start>
      <end>12</end>
      <status>ignored</status>
      <modifiedWord/>
      <trackRevisions>false</trackRevisions>
    </reviewItem>
    <reviewItem>
      <errorID>030bd03b-aef1-45d9-96cf-8d58824ce261</errorID>
      <errorWord>(</errorWord>
      <group>L1_Format</group>
      <groupName>格式问题</groupName>
      <ability>L2_HalfPunc</ability>
      <abilityName>全半角检查</abilityName>
      <candidateList>
        <item>（</item>
      </candidateList>
      <explain>文本全半角错误。</explain>
      <paraID>1EDBF748</paraID>
      <start>2</start>
      <end>3</end>
      <status>unmodified</status>
      <modifiedWord/>
      <trackRevisions>false</trackRevisions>
    </reviewItem>
    <reviewItem>
      <errorID>ad824ce5-bfdb-4453-a704-9a6cb4fac019</errorID>
      <errorWord>)</errorWord>
      <group>L1_Format</group>
      <groupName>格式问题</groupName>
      <ability>L2_HalfPunc</ability>
      <abilityName>全半角检查</abilityName>
      <candidateList>
        <item>）</item>
      </candidateList>
      <explain>文本全半角错误。</explain>
      <paraID>1EDBF748</paraID>
      <start>6</start>
      <end>7</end>
      <status>ignored</status>
      <modifiedWord/>
      <trackRevisions>false</trackRevisions>
    </reviewItem>
    <reviewItem>
      <errorID>ee800df1-7b6d-4781-9680-efd2c64f967d</errorID>
      <errorWord>（</errorWord>
      <group>L1_Format</group>
      <groupName>格式问题</groupName>
      <ability>L2_HalfPunc</ability>
      <abilityName>全半角检查</abilityName>
      <candidateList>
        <item>(</item>
      </candidateList>
      <explain>文本全半角错误。</explain>
      <paraID>16AB346F</paraID>
      <start>7</start>
      <end>8</end>
      <status>unmodified</status>
      <modifiedWord/>
      <trackRevisions>false</trackRevisions>
    </reviewItem>
    <reviewItem>
      <errorID>5c43cf61-a2a6-4dae-8ec6-589e58c177a1</errorID>
      <errorWord>）</errorWord>
      <group>L1_Format</group>
      <groupName>格式问题</groupName>
      <ability>L2_HalfPunc</ability>
      <abilityName>全半角检查</abilityName>
      <candidateList>
        <item>)</item>
      </candidateList>
      <explain>文本全半角错误。</explain>
      <paraID>16AB346F</paraID>
      <start>11</start>
      <end>12</end>
      <status>unmodified</status>
      <modifiedWord/>
      <trackRevisions>false</trackRevisions>
    </reviewItem>
    <reviewItem>
      <errorID>1e94831e-d66a-4e04-b9bd-0fb93998755d</errorID>
      <errorWord>其它化学品</errorWord>
      <group>L1_Word</group>
      <groupName>字词问题</groupName>
      <ability>L2_Alias</ability>
      <abilityName>也作/曾用词</abilityName>
      <candidateList>
        <item>其他化学品</item>
      </candidateList>
      <explain>词汇[其它化学品]为不规范表述或旧称，其规范书面表述为[其他化学品]。</explain>
      <paraID>23971D68</paraID>
      <start>68</start>
      <end>73</end>
      <status>unmodified</status>
      <modifiedWord/>
      <trackRevisions>false</trackRevisions>
    </reviewItem>
    <reviewItem>
      <errorID>d3d581c5-2b2d-4011-97e0-15f1691eb20a</errorID>
      <errorWord>情况下</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7F5C49C8</paraID>
      <start>13</start>
      <end>16</end>
      <status>unmodified</status>
      <modifiedWord/>
      <trackRevisions>false</trackRevisions>
    </reviewItem>
    <reviewItem>
      <errorID>ce1babc6-8706-4d52-8218-23da79ce26ee</errorID>
      <errorWord>增加</errorWord>
      <group>L1_Grammar</group>
      <groupName>语法问题</groupName>
      <ability>L2_Grammar</ability>
      <abilityName>语法错误</abilityName>
      <candidateList>
        <item>提高</item>
      </candidateList>
      <explain>“增加～效率”搭配不当，建议修改为“提高～效率”。</explain>
      <paraID>375A337B</paraID>
      <start>34</start>
      <end>36</end>
      <status>unmodified</status>
      <modifiedWord/>
      <trackRevisions>false</trackRevisions>
    </reviewItem>
    <reviewItem>
      <errorID>0b1f83e6-7423-4ddc-a5c4-4a9d47b115c5</errorID>
      <errorWord>减降</errorWord>
      <group>L1_Word</group>
      <groupName>字词问题</groupName>
      <ability>L2_Typo</ability>
      <abilityName>字词错误</abilityName>
      <candidateList>
        <item>减少</item>
      </candidateList>
      <explain>〈动〉减去一部分：～人员｜～麻烦｜工作中的缺点～了。</explain>
      <paraID>375A337B</paraID>
      <start>92</start>
      <end>94</end>
      <status>unmodified</status>
      <modifiedWord/>
      <trackRevisions>false</trackRevisions>
    </reviewItem>
    <reviewItem>
      <errorID>825e22c6-c07e-475e-b737-75b00f3434fd</errorID>
      <errorWord>;</errorWord>
      <group>L1_Format</group>
      <groupName>格式问题</groupName>
      <ability>L2_HalfPunc</ability>
      <abilityName>全半角检查</abilityName>
      <candidateList>
        <item>；</item>
      </candidateList>
      <explain>文本全半角错误。</explain>
      <paraID>375A337B</paraID>
      <start>99</start>
      <end>100</end>
      <status>unmodified</status>
      <modifiedWord/>
      <trackRevisions>false</trackRevisions>
    </reviewItem>
    <reviewItem>
      <errorID>f9ab25b7-f763-40cb-9384-4030ca0a1320</errorID>
      <errorWord>,</errorWord>
      <group>L1_Format</group>
      <groupName>格式问题</groupName>
      <ability>L2_HalfPunc</ability>
      <abilityName>全半角检查</abilityName>
      <candidateList>
        <item>，</item>
      </candidateList>
      <explain>文本全半角错误。</explain>
      <paraID>375A337B</paraID>
      <start>105</start>
      <end>106</end>
      <status>unmodified</status>
      <modifiedWord/>
      <trackRevisions>false</trackRevisions>
    </reviewItem>
    <reviewItem>
      <errorID>934a96eb-038f-47c8-85b2-7c328a2cd272</errorID>
      <errorWord>,</errorWord>
      <group>L1_Format</group>
      <groupName>格式问题</groupName>
      <ability>L2_HalfPunc</ability>
      <abilityName>全半角检查</abilityName>
      <candidateList>
        <item>，</item>
      </candidateList>
      <explain>文本全半角错误。</explain>
      <paraID>375A337B</paraID>
      <start>173</start>
      <end>174</end>
      <status>unmodified</status>
      <modifiedWord/>
      <trackRevisions>false</trackRevisions>
    </reviewItem>
    <reviewItem>
      <errorID>b87ecbc1-7426-4269-ac0e-bfb14b08063e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6694B5D</paraID>
      <start>0</start>
      <end>2</end>
      <status>unmodified</status>
      <modifiedWord/>
      <trackRevisions>false</trackRevisions>
    </reviewItem>
    <reviewItem>
      <errorID>f19b3ea5-ac73-4a31-8064-0b9bbbe5ac1f</errorID>
      <errorWord>业</errorWord>
      <group>L1_Word</group>
      <groupName>字词问题</groupName>
      <ability>L2_Typo</ability>
      <abilityName>字词错误</abilityName>
      <candidateList>
        <item>业在</item>
      </candidateList>
      <explain/>
      <paraID> B1D0FEA</paraID>
      <start>1</start>
      <end>2</end>
      <status>unmodified</status>
      <modifiedWord/>
      <trackRevisions>false</trackRevisions>
    </reviewItem>
    <reviewItem>
      <errorID>d2a78898-78de-442c-b6fd-9e4ba3c74451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79808EC4</paraID>
      <start>0</start>
      <end>2</end>
      <status>unmodified</status>
      <modifiedWord/>
      <trackRevisions>false</trackRevisions>
    </reviewItem>
    <reviewItem>
      <errorID>5f989f53-fab6-4d3b-bfed-06f1b778e4f1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4683F197</paraID>
      <start>0</start>
      <end>2</end>
      <status>unmodified</status>
      <modifiedWord/>
      <trackRevisions>false</trackRevisions>
    </reviewItem>
    <reviewItem>
      <errorID>e6b53244-9bed-4d74-ad9c-199ae8b2cd80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364F5C9B</paraID>
      <start>0</start>
      <end>2</end>
      <status>unmodified</status>
      <modifiedWord/>
      <trackRevisions>false</trackRevisions>
    </reviewItem>
    <reviewItem>
      <errorID>5a785f2c-3e64-452f-b5d4-32701b36d1d9</errorID>
      <errorWord>们</errorWord>
      <group>L1_Word</group>
      <groupName>字词问题</groupName>
      <ability>L2_Typo</ability>
      <abilityName>字词错误</abilityName>
      <candidateList>
        <item>门</item>
      </candidateList>
      <explain/>
      <paraID>4963D26F</paraID>
      <start>19</start>
      <end>20</end>
      <status>unmodified</status>
      <modifiedWord/>
      <trackRevisions>false</trackRevisions>
    </reviewItem>
    <reviewItem>
      <errorID>d165f698-fe99-4be6-a5c9-e5106141c327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26A6781</paraID>
      <start>0</start>
      <end>2</end>
      <status>unmodified</status>
      <modifiedWord/>
      <trackRevisions>false</trackRevisions>
    </reviewItem>
    <reviewItem>
      <errorID>c65542d3-1e9b-4edb-8e06-8494f513dc55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4D84FD0</paraID>
      <start>52</start>
      <end>53</end>
      <status>unmodified</status>
      <modifiedWord/>
      <trackRevisions>false</trackRevisions>
    </reviewItem>
    <reviewItem>
      <errorID>8b5650fc-a288-4dd4-8ba5-d5ec4223b887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4D84FD0</paraID>
      <start>76</start>
      <end>77</end>
      <status>unmodified</status>
      <modifiedWord/>
      <trackRevisions>false</trackRevisions>
    </reviewItem>
    <reviewItem>
      <errorID>7cc7d785-b561-4d1c-886b-a9f87b4b2f6a</errorID>
      <errorWord>泻湖</errorWord>
      <group>L1_Word</group>
      <groupName>字词问题</groupName>
      <ability>L2_Typo</ability>
      <abilityName>字词错误</abilityName>
      <candidateList>
        <item>潟湖</item>
      </candidateList>
      <explain/>
      <paraID>797A8778</paraID>
      <start>49</start>
      <end>51</end>
      <status>unmodified</status>
      <modifiedWord/>
      <trackRevisions>false</trackRevisions>
    </reviewItem>
    <reviewItem>
      <errorID>31baf3aa-bcfa-405a-86c3-34f1a22636e8</errorID>
      <errorWord>地震裂度</errorWord>
      <group>L1_Word</group>
      <groupName>字词问题</groupName>
      <ability>L2_Typo</ability>
      <abilityName>字词错误</abilityName>
      <candidateList>
        <item>地震烈度</item>
      </candidateList>
      <explain/>
      <paraID>797A8778</paraID>
      <start>68</start>
      <end>72</end>
      <status>unmodified</status>
      <modifiedWord/>
      <trackRevisions>false</trackRevisions>
    </reviewItem>
    <reviewItem>
      <errorID>7898a826-a28f-40fb-9975-f8a87bd87fa0</errorID>
      <errorWord>高田地区</errorWord>
      <group>L1_Word</group>
      <groupName>字词问题</groupName>
      <ability>L2_Typo</ability>
      <abilityName>字词错误</abilityName>
      <candidateList>
        <item>高原地区</item>
      </candidateList>
      <explain/>
      <paraID>1F904638</paraID>
      <start>6</start>
      <end>10</end>
      <status>unmodified</status>
      <modifiedWord/>
      <trackRevisions>false</trackRevisions>
    </reviewItem>
    <reviewItem>
      <errorID>672f527e-f8cf-4262-bf7e-cf2c9b3a9fa1</errorID>
      <errorWord>年平均</errorWord>
      <group>L1_Word</group>
      <groupName>字词问题</groupName>
      <ability>L2_Typo</ability>
      <abilityName>字词错误</abilityName>
      <candidateList>
        <item>平均年</item>
      </candidateList>
      <explain/>
      <paraID>208D8BED</paraID>
      <start>60</start>
      <end>63</end>
      <status>unmodified</status>
      <modifiedWord/>
      <trackRevisions>false</trackRevisions>
    </reviewItem>
    <reviewItem>
      <errorID>f8be2082-7b68-41cd-9955-9304fa77594b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208D8BED</paraID>
      <start>71</start>
      <end>77</end>
      <status>unmodified</status>
      <modifiedWord/>
      <trackRevisions>false</trackRevisions>
    </reviewItem>
    <reviewItem>
      <errorID>94ddd1db-ecb2-4dbd-a0d3-b185d4fefe1e</errorID>
      <errorWord>泻水</errorWord>
      <group>L1_Word</group>
      <groupName>字词问题</groupName>
      <ability>L2_Typo</ability>
      <abilityName>字词错误</abilityName>
      <candidateList>
        <item>泄水</item>
      </candidateList>
      <explain>存在发音相同字词的误用。</explain>
      <paraID>2F02378E</paraID>
      <start>32</start>
      <end>34</end>
      <status>unmodified</status>
      <modifiedWord/>
      <trackRevisions>false</trackRevisions>
    </reviewItem>
    <reviewItem>
      <errorID>3b16f04d-82a7-4df7-ad99-2a396243c57b</errorID>
      <errorWord>)</errorWord>
      <group>L1_Format</group>
      <groupName>格式问题</groupName>
      <ability>L2_HalfPunc</ability>
      <abilityName>全半角检查</abilityName>
      <candidateList>
        <item>）</item>
      </candidateList>
      <explain>文本全半角错误。</explain>
      <paraID> 31A1490</paraID>
      <start>120</start>
      <end>121</end>
      <status>ignored</status>
      <modifiedWord/>
      <trackRevisions>false</trackRevisions>
    </reviewItem>
    <reviewItem>
      <errorID>d8b76c93-d7e5-47c7-a98e-a3117015ba04</errorID>
      <errorWord>最低度</errorWord>
      <group>L1_Word</group>
      <groupName>字词问题</groupName>
      <ability>L2_Typo</ability>
      <abilityName>字词错误</abilityName>
      <candidateList>
        <item>最低</item>
      </candidateList>
      <explain/>
      <paraID> 31A1490</paraID>
      <start>122</start>
      <end>125</end>
      <status>unmodified</status>
      <modifiedWord/>
      <trackRevisions>false</trackRevisions>
    </reviewItem>
    <reviewItem>
      <errorID>95a6283d-e088-4874-bdf8-8e46ee1e429d</errorID>
      <errorWord>)</errorWord>
      <group>L1_Format</group>
      <groupName>格式问题</groupName>
      <ability>L2_HalfPunc</ability>
      <abilityName>全半角检查</abilityName>
      <candidateList>
        <item>）</item>
      </candidateList>
      <explain>文本全半角错误。</explain>
      <paraID> 31A1490</paraID>
      <start>143</start>
      <end>144</end>
      <status>ignored</status>
      <modifiedWord/>
      <trackRevisions>false</trackRevisions>
    </reviewItem>
    <reviewItem>
      <errorID>1e2095bc-ddd5-471d-a400-5ed9566ff22b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35E6B85</paraID>
      <start>0</start>
      <end>2</end>
      <status>unmodified</status>
      <modifiedWord/>
      <trackRevisions>false</trackRevisions>
    </reviewItem>
    <reviewItem>
      <errorID>f2e14f38-4d5e-4323-9ddd-c8490cd4649c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1235A961</paraID>
      <start>0</start>
      <end>2</end>
      <status>unmodified</status>
      <modifiedWord/>
      <trackRevisions>false</trackRevisions>
    </reviewItem>
    <reviewItem>
      <errorID>1bd10050-32d3-4161-8f11-2c19ceeac4f3</errorID>
      <errorWord>有粘性</errorWord>
      <group>L1_Word</group>
      <groupName>字词问题</groupName>
      <ability>L2_Alias</ability>
      <abilityName>也作/曾用词</abilityName>
      <candidateList>
        <item>有黏性</item>
      </candidateList>
      <explain>词汇[有粘性]为不规范表述或旧称，其规范书面表述为[有黏性]。</explain>
      <paraID>5F46E730</paraID>
      <start>20</start>
      <end>23</end>
      <status>unmodified</status>
      <modifiedWord/>
      <trackRevisions>false</trackRevisions>
    </reviewItem>
    <reviewItem>
      <errorID>e5684b40-6ae4-4f86-b5b2-7b7ff51adf26</errorID>
      <errorWord>~</errorWord>
      <group>L1_Format</group>
      <groupName>格式问题</groupName>
      <ability>L2_HalfPunc</ability>
      <abilityName>全半角检查</abilityName>
      <candidateList>
        <item>～</item>
      </candidateList>
      <explain>文本全半角错误。</explain>
      <paraID>5F46E730</paraID>
      <start>61</start>
      <end>62</end>
      <status>unmodified</status>
      <modifiedWord/>
      <trackRevisions>false</trackRevisions>
    </reviewItem>
    <reviewItem>
      <errorID>018ac477-0e29-425f-8fe1-25f4554731a5</errorID>
      <errorWord>~</errorWord>
      <group>L1_Format</group>
      <groupName>格式问题</groupName>
      <ability>L2_HalfPunc</ability>
      <abilityName>全半角检查</abilityName>
      <candidateList>
        <item>～</item>
      </candidateList>
      <explain>文本全半角错误。</explain>
      <paraID>5F46E730</paraID>
      <start>111</start>
      <end>112</end>
      <status>unmodified</status>
      <modifiedWord/>
      <trackRevisions>false</trackRevisions>
    </reviewItem>
    <reviewItem>
      <errorID>31d87aa0-2905-4f87-9baa-7acf45f4e973</errorID>
      <errorWord>~</errorWord>
      <group>L1_Format</group>
      <groupName>格式问题</groupName>
      <ability>L2_HalfPunc</ability>
      <abilityName>全半角检查</abilityName>
      <candidateList>
        <item>～</item>
      </candidateList>
      <explain>文本全半角错误。</explain>
      <paraID>2688C009</paraID>
      <start>12</start>
      <end>13</end>
      <status>unmodified</status>
      <modifiedWord/>
      <trackRevisions>false</trackRevisions>
    </reviewItem>
    <reviewItem>
      <errorID>04ad6787-3805-496b-98b9-5d1314117dde</errorID>
      <errorWord>~</errorWord>
      <group>L1_Format</group>
      <groupName>格式问题</groupName>
      <ability>L2_HalfPunc</ability>
      <abilityName>全半角检查</abilityName>
      <candidateList>
        <item>～</item>
      </candidateList>
      <explain>文本全半角错误。</explain>
      <paraID>2688C009</paraID>
      <start>18</start>
      <end>19</end>
      <status>unmodified</status>
      <modifiedWord/>
      <trackRevisions>false</trackRevisions>
    </reviewItem>
    <reviewItem>
      <errorID>0f3121c9-8d96-42b3-bb8d-186dde344314</errorID>
      <errorWord>~</errorWord>
      <group>L1_Format</group>
      <groupName>格式问题</groupName>
      <ability>L2_HalfPunc</ability>
      <abilityName>全半角检查</abilityName>
      <candidateList>
        <item>～</item>
      </candidateList>
      <explain>文本全半角错误。</explain>
      <paraID>2688C009</paraID>
      <start>75</start>
      <end>76</end>
      <status>unmodified</status>
      <modifiedWord/>
      <trackRevisions>false</trackRevisions>
    </reviewItem>
    <reviewItem>
      <errorID>165ea2f0-16cb-4f47-bc58-8706db592814</errorID>
      <errorWord>~</errorWord>
      <group>L1_Format</group>
      <groupName>格式问题</groupName>
      <ability>L2_HalfPunc</ability>
      <abilityName>全半角检查</abilityName>
      <candidateList>
        <item>～</item>
      </candidateList>
      <explain>文本全半角错误。</explain>
      <paraID>2688C009</paraID>
      <start>100</start>
      <end>101</end>
      <status>unmodified</status>
      <modifiedWord/>
      <trackRevisions>false</trackRevisions>
    </reviewItem>
    <reviewItem>
      <errorID>f36ed681-6120-4565-b73f-5b748de769e4</errorID>
      <errorWord>~</errorWord>
      <group>L1_Format</group>
      <groupName>格式问题</groupName>
      <ability>L2_HalfPunc</ability>
      <abilityName>全半角检查</abilityName>
      <candidateList>
        <item>～</item>
      </candidateList>
      <explain>文本全半角错误。</explain>
      <paraID>2688C009</paraID>
      <start>125</start>
      <end>126</end>
      <status>unmodified</status>
      <modifiedWord/>
      <trackRevisions>false</trackRevisions>
    </reviewItem>
    <reviewItem>
      <errorID>17987a35-4ea1-4e29-bfde-ec6b7d8b251e</errorID>
      <errorWord>~</errorWord>
      <group>L1_Format</group>
      <groupName>格式问题</groupName>
      <ability>L2_HalfPunc</ability>
      <abilityName>全半角检查</abilityName>
      <candidateList>
        <item>～</item>
      </candidateList>
      <explain>文本全半角错误。</explain>
      <paraID>40F77E2E</paraID>
      <start>12</start>
      <end>13</end>
      <status>unmodified</status>
      <modifiedWord/>
      <trackRevisions>false</trackRevisions>
    </reviewItem>
    <reviewItem>
      <errorID>0b0d52d9-aa5a-49e7-bc1e-30c97d8a3fdb</errorID>
      <errorWord>低干</errorWord>
      <group>L1_Word</group>
      <groupName>字词问题</groupName>
      <ability>L2_Typo</ability>
      <abilityName>字词错误</abilityName>
      <candidateList>
        <item>低于</item>
      </candidateList>
      <explain/>
      <paraID>40F77E2E</paraID>
      <start>27</start>
      <end>29</end>
      <status>unmodified</status>
      <modifiedWord/>
      <trackRevisions>false</trackRevisions>
    </reviewItem>
    <reviewItem>
      <errorID>7e0e30da-3005-4de6-889b-9115dd61ee9b</errorID>
      <errorWord>~</errorWord>
      <group>L1_Format</group>
      <groupName>格式问题</groupName>
      <ability>L2_HalfPunc</ability>
      <abilityName>全半角检查</abilityName>
      <candidateList>
        <item>～</item>
      </candidateList>
      <explain>文本全半角错误。</explain>
      <paraID>40F77E2E</paraID>
      <start>90</start>
      <end>91</end>
      <status>unmodified</status>
      <modifiedWord/>
      <trackRevisions>false</trackRevisions>
    </reviewItem>
    <reviewItem>
      <errorID>67ba4922-ad56-4326-acba-5610b68d1712</errorID>
      <errorWord>~</errorWord>
      <group>L1_Format</group>
      <groupName>格式问题</groupName>
      <ability>L2_HalfPunc</ability>
      <abilityName>全半角检查</abilityName>
      <candidateList>
        <item>～</item>
      </candidateList>
      <explain>文本全半角错误。</explain>
      <paraID>40F77E2E</paraID>
      <start>142</start>
      <end>143</end>
      <status>unmodified</status>
      <modifiedWord/>
      <trackRevisions>false</trackRevisions>
    </reviewItem>
    <reviewItem>
      <errorID>7ab50b57-a015-4cca-ab81-cb7344b37649</errorID>
      <errorWord>~</errorWord>
      <group>L1_Format</group>
      <groupName>格式问题</groupName>
      <ability>L2_HalfPunc</ability>
      <abilityName>全半角检查</abilityName>
      <candidateList>
        <item>～</item>
      </candidateList>
      <explain>文本全半角错误。</explain>
      <paraID>5DC2DF89</paraID>
      <start>72</start>
      <end>73</end>
      <status>unmodified</status>
      <modifiedWord/>
      <trackRevisions>false</trackRevisions>
    </reviewItem>
    <reviewItem>
      <errorID>898a5f29-6ec9-466b-b535-c29c1c368f3f</errorID>
      <errorWord>~</errorWord>
      <group>L1_Format</group>
      <groupName>格式问题</groupName>
      <ability>L2_HalfPunc</ability>
      <abilityName>全半角检查</abilityName>
      <candidateList>
        <item>～</item>
      </candidateList>
      <explain>文本全半角错误。</explain>
      <paraID>5DC2DF89</paraID>
      <start>121</start>
      <end>122</end>
      <status>unmodified</status>
      <modifiedWord/>
      <trackRevisions>false</trackRevisions>
    </reviewItem>
    <reviewItem>
      <errorID>994e0287-f1bc-4e98-9eb5-c27f97b91d01</errorID>
      <errorWord>~</errorWord>
      <group>L1_Format</group>
      <groupName>格式问题</groupName>
      <ability>L2_HalfPunc</ability>
      <abilityName>全半角检查</abilityName>
      <candidateList>
        <item>～</item>
      </candidateList>
      <explain>文本全半角错误。</explain>
      <paraID>33733F00</paraID>
      <start>14</start>
      <end>15</end>
      <status>unmodified</status>
      <modifiedWord/>
      <trackRevisions>false</trackRevisions>
    </reviewItem>
    <reviewItem>
      <errorID>774bd147-0c41-44b7-b431-884b5ba78d81</errorID>
      <errorWord>~</errorWord>
      <group>L1_Format</group>
      <groupName>格式问题</groupName>
      <ability>L2_HalfPunc</ability>
      <abilityName>全半角检查</abilityName>
      <candidateList>
        <item>～</item>
      </candidateList>
      <explain>文本全半角错误。</explain>
      <paraID>33733F00</paraID>
      <start>80</start>
      <end>81</end>
      <status>unmodified</status>
      <modifiedWord/>
      <trackRevisions>false</trackRevisions>
    </reviewItem>
    <reviewItem>
      <errorID>88394f94-2205-4d66-ab04-444b20dbd118</errorID>
      <errorWord>~</errorWord>
      <group>L1_Format</group>
      <groupName>格式问题</groupName>
      <ability>L2_HalfPunc</ability>
      <abilityName>全半角检查</abilityName>
      <candidateList>
        <item>～</item>
      </candidateList>
      <explain>文本全半角错误。</explain>
      <paraID>33733F00</paraID>
      <start>135</start>
      <end>136</end>
      <status>unmodified</status>
      <modifiedWord/>
      <trackRevisions>false</trackRevisions>
    </reviewItem>
    <reviewItem>
      <errorID>aa6c6d00-cd4d-4eee-8d3c-29f804b76790</errorID>
      <errorWord>~</errorWord>
      <group>L1_Format</group>
      <groupName>格式问题</groupName>
      <ability>L2_HalfPunc</ability>
      <abilityName>全半角检查</abilityName>
      <candidateList>
        <item>～</item>
      </candidateList>
      <explain>文本全半角错误。</explain>
      <paraID>1A57D2C9</paraID>
      <start>8</start>
      <end>9</end>
      <status>unmodified</status>
      <modifiedWord/>
      <trackRevisions>false</trackRevisions>
    </reviewItem>
    <reviewItem>
      <errorID>418fb6e8-2b2c-4b36-95b4-274d5a812fd1</errorID>
      <errorWord>-</errorWord>
      <group>L1_Format</group>
      <groupName>格式问题</groupName>
      <ability>L2_HalfPunc</ability>
      <abilityName>全半角检查</abilityName>
      <candidateList>
        <item>－</item>
      </candidateList>
      <explain>文本全半角错误。</explain>
      <paraID>1A57D2C9</paraID>
      <start>13</start>
      <end>14</end>
      <status>unmodified</status>
      <modifiedWord/>
      <trackRevisions>false</trackRevisions>
    </reviewItem>
    <reviewItem>
      <errorID>b76bc774-3297-4207-ac62-c2638ff76cf9</errorID>
      <errorWord>，</errorWord>
      <group>L1_Word</group>
      <groupName>字词问题</groupName>
      <ability>L2_Typo</ability>
      <abilityName>字词错误</abilityName>
      <candidateList>
        <item>，根</item>
      </candidateList>
      <explain/>
      <paraID>6F6FBA56</paraID>
      <start>169</start>
      <end>170</end>
      <status>unmodified</status>
      <modifiedWord/>
      <trackRevisions>false</trackRevisions>
    </reviewItem>
    <reviewItem>
      <errorID>30da4a84-6b3e-462d-991b-b0155bd1564c</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6F6FBA56</paraID>
      <start>180</start>
      <end>183</end>
      <status>unmodified</status>
      <modifiedWord/>
      <trackRevisions>false</trackRevisions>
    </reviewItem>
    <reviewItem>
      <errorID>e81a503e-fb03-4534-8abc-f5629efa33e6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24371BBF</paraID>
      <start>0</start>
      <end>2</end>
      <status>unmodified</status>
      <modifiedWord/>
      <trackRevisions>false</trackRevisions>
    </reviewItem>
    <reviewItem>
      <errorID>d4479013-5b9a-4dd9-89a4-30895f518455</errorID>
      <errorWord>扬</errorWord>
      <group>L1_Word</group>
      <groupName>字词问题</groupName>
      <ability>L2_Typo</ability>
      <abilityName>字词错误</abilityName>
      <candidateList>
        <item>杨</item>
      </candidateList>
      <explain/>
      <paraID>713032DE</paraID>
      <start>208</start>
      <end>209</end>
      <status>unmodified</status>
      <modifiedWord/>
      <trackRevisions>false</trackRevisions>
    </reviewItem>
    <reviewItem>
      <errorID>b8973464-23a1-47bf-ad26-93b7354ed533</errorID>
      <errorWord>主要以栽培作物为主</errorWord>
      <group>L1_Grammar</group>
      <groupName>语法问题</groupName>
      <ability>L2_Grammar</ability>
      <abilityName>语法错误</abilityName>
      <candidateList>
        <item>以栽培作物为主</item>
      </candidateList>
      <explain/>
      <paraID>713032DE</paraID>
      <start>223</start>
      <end>232</end>
      <status>unmodified</status>
      <modifiedWord/>
      <trackRevisions>false</trackRevisions>
    </reviewItem>
    <reviewItem>
      <errorID>ad053688-1cdd-4e61-80c8-6bfdb332f16d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611C6F99</paraID>
      <start>0</start>
      <end>2</end>
      <status>unmodified</status>
      <modifiedWord/>
      <trackRevisions>false</trackRevisions>
    </reviewItem>
    <reviewItem>
      <errorID>87e8a0be-a9e4-4d15-9b26-e3b09d402841</errorID>
      <errorWord>挠足类</errorWord>
      <group>L1_Word</group>
      <groupName>字词问题</groupName>
      <ability>L2_Typo</ability>
      <abilityName>字词错误</abilityName>
      <candidateList>
        <item>桡足类</item>
      </candidateList>
      <explain/>
      <paraID>58678AD0</paraID>
      <start>20</start>
      <end>23</end>
      <status>unmodified</status>
      <modifiedWord/>
      <trackRevisions>false</trackRevisions>
    </reviewItem>
    <reviewItem>
      <errorID>2a8582ec-22f2-4198-bd20-4369c9bb4ce6</errorID>
      <errorWord>挠足类</errorWord>
      <group>L1_Word</group>
      <groupName>字词问题</groupName>
      <ability>L2_Typo</ability>
      <abilityName>字词错误</abilityName>
      <candidateList>
        <item>桡足类</item>
      </candidateList>
      <explain/>
      <paraID>58678AD0</paraID>
      <start>89</start>
      <end>92</end>
      <status>unmodified</status>
      <modifiedWord/>
      <trackRevisions>false</trackRevisions>
    </reviewItem>
    <reviewItem>
      <errorID>b9090b9f-9ff2-4e46-9a1f-8c0fb1e4ef85</errorID>
      <errorWord>水藻</errorWord>
      <group>L1_Word</group>
      <groupName>字词问题</groupName>
      <ability>L2_Typo</ability>
      <abilityName>字词错误</abilityName>
      <candidateList>
        <item>水蚤</item>
      </candidateList>
      <explain>存在发音相同字词的误用。</explain>
      <paraID>58678AD0</paraID>
      <start>104</start>
      <end>106</end>
      <status>unmodified</status>
      <modifiedWord/>
      <trackRevisions>false</trackRevisions>
    </reviewItem>
    <reviewItem>
      <errorID>9c0d0f24-fecd-40ca-9d4c-f2229124f00d</errorID>
      <errorWord>持</errorWord>
      <group>L1_Word</group>
      <groupName>字词问题</groupName>
      <ability>L2_Typo</ability>
      <abilityName>字词错误</abilityName>
      <candidateList>
        <item>持在</item>
      </candidateList>
      <explain/>
      <paraID>6B947BBF</paraID>
      <start>74</start>
      <end>75</end>
      <status>unmodified</status>
      <modifiedWord/>
      <trackRevisions>false</trackRevisions>
    </reviewItem>
    <reviewItem>
      <errorID>7ab280d6-c6f9-4b71-b6ff-e935bfa23f9d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5C5FE3E4</paraID>
      <start>40</start>
      <end>41</end>
      <status>unmodified</status>
      <modifiedWord/>
      <trackRevisions>false</trackRevisions>
    </reviewItem>
    <reviewItem>
      <errorID>8e5fcbeb-7c0d-4f4c-8490-0dd8d5ecabf8</errorID>
      <errorWord>（</errorWord>
      <group>L1_Format</group>
      <groupName>格式问题</groupName>
      <ability>L2_HalfPunc</ability>
      <abilityName>全半角检查</abilityName>
      <candidateList>
        <item>(</item>
      </candidateList>
      <explain>文本全半角错误。</explain>
      <paraID>6BB1B8AD</paraID>
      <start>0</start>
      <end>1</end>
      <status>unmodified</status>
      <modifiedWord/>
      <trackRevisions>false</trackRevisions>
    </reviewItem>
    <reviewItem>
      <errorID>4f81d4d4-5c6b-4ac7-9470-eeae156c581d</errorID>
      <errorWord>）</errorWord>
      <group>L1_Format</group>
      <groupName>格式问题</groupName>
      <ability>L2_HalfPunc</ability>
      <abilityName>全半角检查</abilityName>
      <candidateList>
        <item>)</item>
      </candidateList>
      <explain>文本全半角错误。</explain>
      <paraID>6BB1B8AD</paraID>
      <start>6</start>
      <end>7</end>
      <status>unmodified</status>
      <modifiedWord/>
      <trackRevisions>false</trackRevisions>
    </reviewItem>
    <reviewItem>
      <errorID>cb076364-0b0a-41cd-bf20-e1c93c099ccb</errorID>
      <errorWord>（</errorWord>
      <group>L1_Format</group>
      <groupName>格式问题</groupName>
      <ability>L2_HalfPunc</ability>
      <abilityName>全半角检查</abilityName>
      <candidateList>
        <item>(</item>
      </candidateList>
      <explain>文本全半角错误。</explain>
      <paraID>467846DF</paraID>
      <start>0</start>
      <end>1</end>
      <status>unmodified</status>
      <modifiedWord/>
      <trackRevisions>false</trackRevisions>
    </reviewItem>
    <reviewItem>
      <errorID>5c9ccc10-38b2-48f4-84de-88fa0e5c6051</errorID>
      <errorWord>）</errorWord>
      <group>L1_Format</group>
      <groupName>格式问题</groupName>
      <ability>L2_HalfPunc</ability>
      <abilityName>全半角检查</abilityName>
      <candidateList>
        <item>)</item>
      </candidateList>
      <explain>文本全半角错误。</explain>
      <paraID>467846DF</paraID>
      <start>6</start>
      <end>7</end>
      <status>unmodified</status>
      <modifiedWord/>
      <trackRevisions>false</trackRevisions>
    </reviewItem>
    <reviewItem>
      <errorID>351e3d40-173f-4520-901e-bf1e1f5ac734</errorID>
      <errorWord>,</errorWord>
      <group>L1_Format</group>
      <groupName>格式问题</groupName>
      <ability>L2_HalfPunc</ability>
      <abilityName>全半角检查</abilityName>
      <candidateList>
        <item>，</item>
      </candidateList>
      <explain>文本全半角错误。</explain>
      <paraID>1B0313CB</paraID>
      <start>41</start>
      <end>42</end>
      <status>unmodified</status>
      <modifiedWord/>
      <trackRevisions>false</trackRevisions>
    </reviewItem>
    <reviewItem>
      <errorID>5a847778-b766-417e-b208-c8d03922280e</errorID>
      <errorWord>;</errorWord>
      <group>L1_Format</group>
      <groupName>格式问题</groupName>
      <ability>L2_HalfPunc</ability>
      <abilityName>全半角检查</abilityName>
      <candidateList>
        <item>；</item>
      </candidateList>
      <explain>文本全半角错误。</explain>
      <paraID>2BD6A744</paraID>
      <start>85</start>
      <end>86</end>
      <status>unmodified</status>
      <modifiedWord/>
      <trackRevisions>false</trackRevisions>
    </reviewItem>
    <reviewItem>
      <errorID>2bfa6b9a-10d8-4cef-8a51-d833d4b1ce4e</errorID>
      <errorWord>;</errorWord>
      <group>L1_Format</group>
      <groupName>格式问题</groupName>
      <ability>L2_HalfPunc</ability>
      <abilityName>全半角检查</abilityName>
      <candidateList>
        <item>；</item>
      </candidateList>
      <explain>文本全半角错误。</explain>
      <paraID>57ED48F9</paraID>
      <start>101</start>
      <end>102</end>
      <status>unmodified</status>
      <modifiedWord/>
      <trackRevisions>false</trackRevisions>
    </reviewItem>
    <reviewItem>
      <errorID>cc6e3629-c868-432d-8a2a-32533b6eb14a</errorID>
      <errorWord>IV类</errorWord>
      <group>L1_Knowledge</group>
      <groupName>知识性问题</groupName>
      <ability>L2_Knowledge</ability>
      <abilityName>其他知识</abilityName>
      <candidateList>
        <item>Ⅳ类</item>
      </candidateList>
      <explain/>
      <paraID>57ED48F9</paraID>
      <start>112</start>
      <end>115</end>
      <status>unmodified</status>
      <modifiedWord/>
      <trackRevisions>false</trackRevisions>
    </reviewItem>
    <reviewItem>
      <errorID>03098563-3985-4067-bc49-51a6d34f5d08</errorID>
      <errorWord>;</errorWord>
      <group>L1_Format</group>
      <groupName>格式问题</groupName>
      <ability>L2_HalfPunc</ability>
      <abilityName>全半角检查</abilityName>
      <candidateList>
        <item>；</item>
      </candidateList>
      <explain>文本全半角错误。</explain>
      <paraID>68638A3D</paraID>
      <start>65</start>
      <end>66</end>
      <status>unmodified</status>
      <modifiedWord/>
      <trackRevisions>false</trackRevisions>
    </reviewItem>
    <reviewItem>
      <errorID>f9f624cf-ab98-4f4b-9e49-9478f8ed39c4</errorID>
      <errorWord>;</errorWord>
      <group>L1_Format</group>
      <groupName>格式问题</groupName>
      <ability>L2_HalfPunc</ability>
      <abilityName>全半角检查</abilityName>
      <candidateList>
        <item>；</item>
      </candidateList>
      <explain>文本全半角错误。</explain>
      <paraID>68638A3D</paraID>
      <start>88</start>
      <end>89</end>
      <status>unmodified</status>
      <modifiedWord/>
      <trackRevisions>false</trackRevisions>
    </reviewItem>
    <reviewItem>
      <errorID>79fcbb25-d2a9-4c8e-bded-b9aa69c21b58</errorID>
      <errorWord>;</errorWord>
      <group>L1_Format</group>
      <groupName>格式问题</groupName>
      <ability>L2_HalfPunc</ability>
      <abilityName>全半角检查</abilityName>
      <candidateList>
        <item>；</item>
      </candidateList>
      <explain>文本全半角错误。</explain>
      <paraID>68638A3D</paraID>
      <start>104</start>
      <end>105</end>
      <status>unmodified</status>
      <modifiedWord/>
      <trackRevisions>false</trackRevisions>
    </reviewItem>
    <reviewItem>
      <errorID>c623a187-a734-4611-a412-94aa9d91843b</errorID>
      <errorWord>;</errorWord>
      <group>L1_Format</group>
      <groupName>格式问题</groupName>
      <ability>L2_HalfPunc</ability>
      <abilityName>全半角检查</abilityName>
      <candidateList>
        <item>；</item>
      </candidateList>
      <explain>文本全半角错误。</explain>
      <paraID> 3BBA710</paraID>
      <start>60</start>
      <end>61</end>
      <status>unmodified</status>
      <modifiedWord/>
      <trackRevisions>false</trackRevisions>
    </reviewItem>
    <reviewItem>
      <errorID>6ab4f335-c3fb-4ce3-bb90-6a4bb23f85e8</errorID>
      <errorWord>;</errorWord>
      <group>L1_Format</group>
      <groupName>格式问题</groupName>
      <ability>L2_HalfPunc</ability>
      <abilityName>全半角检查</abilityName>
      <candidateList>
        <item>；</item>
      </candidateList>
      <explain>文本全半角错误。</explain>
      <paraID> 3BBA710</paraID>
      <start>83</start>
      <end>84</end>
      <status>unmodified</status>
      <modifiedWord/>
      <trackRevisions>false</trackRevisions>
    </reviewItem>
    <reviewItem>
      <errorID>162e9b1e-c08c-450a-a74a-f93ed5fd130b</errorID>
      <errorWord>;</errorWord>
      <group>L1_Format</group>
      <groupName>格式问题</groupName>
      <ability>L2_HalfPunc</ability>
      <abilityName>全半角检查</abilityName>
      <candidateList>
        <item>；</item>
      </candidateList>
      <explain>文本全半角错误。</explain>
      <paraID> 3BBA710</paraID>
      <start>99</start>
      <end>100</end>
      <status>unmodified</status>
      <modifiedWord/>
      <trackRevisions>false</trackRevisions>
    </reviewItem>
    <reviewItem>
      <errorID>fc2029aa-3224-477c-b3cc-7f5b3c2e9855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150D48BF</paraID>
      <start>20</start>
      <end>21</end>
      <status>unmodified</status>
      <modifiedWord/>
      <trackRevisions>false</trackRevisions>
    </reviewItem>
    <reviewItem>
      <errorID>6d2511b5-af6b-4460-aae4-bfec7666df65</errorID>
      <errorWord>-</errorWord>
      <group>L1_Format</group>
      <groupName>格式问题</groupName>
      <ability>L2_HalfPunc</ability>
      <abilityName>全半角检查</abilityName>
      <candidateList>
        <item>－</item>
      </candidateList>
      <explain>文本全半角错误。</explain>
      <paraID>2C51602E</paraID>
      <start>5</start>
      <end>6</end>
      <status>unmodified</status>
      <modifiedWord/>
      <trackRevisions>false</trackRevisions>
    </reviewItem>
    <reviewItem>
      <errorID>0f9c4414-917a-4cfd-b77f-2f5525fdf07d</errorID>
      <errorWord>-</errorWord>
      <group>L1_Format</group>
      <groupName>格式问题</groupName>
      <ability>L2_HalfPunc</ability>
      <abilityName>全半角检查</abilityName>
      <candidateList>
        <item>－</item>
      </candidateList>
      <explain>文本全半角错误。</explain>
      <paraID>337C6197</paraID>
      <start>5</start>
      <end>6</end>
      <status>unmodified</status>
      <modifiedWord/>
      <trackRevisions>false</trackRevisions>
    </reviewItem>
    <reviewItem>
      <errorID>ff2db7a1-e27b-461d-b830-dfaae8877827</errorID>
      <errorWord>-</errorWord>
      <group>L1_Format</group>
      <groupName>格式问题</groupName>
      <ability>L2_HalfPunc</ability>
      <abilityName>全半角检查</abilityName>
      <candidateList>
        <item>－</item>
      </candidateList>
      <explain>文本全半角错误。</explain>
      <paraID>6B1D280D</paraID>
      <start>5</start>
      <end>6</end>
      <status>unmodified</status>
      <modifiedWord/>
      <trackRevisions>false</trackRevisions>
    </reviewItem>
    <reviewItem>
      <errorID>1b500df6-c482-40a1-8b8d-1b2566640965</errorID>
      <errorWord>-</errorWord>
      <group>L1_Format</group>
      <groupName>格式问题</groupName>
      <ability>L2_HalfPunc</ability>
      <abilityName>全半角检查</abilityName>
      <candidateList>
        <item>－</item>
      </candidateList>
      <explain>文本全半角错误。</explain>
      <paraID>19D6E903</paraID>
      <start>5</start>
      <end>6</end>
      <status>unmodified</status>
      <modifiedWord/>
      <trackRevisions>false</trackRevisions>
    </reviewItem>
    <reviewItem>
      <errorID>a9c06f3f-9cd1-4eab-a9d7-949c7c133e12</errorID>
      <errorWord>-</errorWord>
      <group>L1_Format</group>
      <groupName>格式问题</groupName>
      <ability>L2_HalfPunc</ability>
      <abilityName>全半角检查</abilityName>
      <candidateList>
        <item>－</item>
      </candidateList>
      <explain>文本全半角错误。</explain>
      <paraID>48EEFB57</paraID>
      <start>5</start>
      <end>6</end>
      <status>unmodified</status>
      <modifiedWord/>
      <trackRevisions>false</trackRevisions>
    </reviewItem>
    <reviewItem>
      <errorID>c3498e11-ddfc-403e-be57-4d2af3e19157</errorID>
      <errorWord>-</errorWord>
      <group>L1_Format</group>
      <groupName>格式问题</groupName>
      <ability>L2_HalfPunc</ability>
      <abilityName>全半角检查</abilityName>
      <candidateList>
        <item>－</item>
      </candidateList>
      <explain>文本全半角错误。</explain>
      <paraID> B16BD1B</paraID>
      <start>5</start>
      <end>6</end>
      <status>unmodified</status>
      <modifiedWord/>
      <trackRevisions>false</trackRevisions>
    </reviewItem>
    <reviewItem>
      <errorID>604b602d-db5c-4c99-91f9-cab0c276682d</errorID>
      <errorWord>-</errorWord>
      <group>L1_Format</group>
      <groupName>格式问题</groupName>
      <ability>L2_HalfPunc</ability>
      <abilityName>全半角检查</abilityName>
      <candidateList>
        <item>－</item>
      </candidateList>
      <explain>文本全半角错误。</explain>
      <paraID>68166952</paraID>
      <start>5</start>
      <end>6</end>
      <status>unmodified</status>
      <modifiedWord/>
      <trackRevisions>false</trackRevisions>
    </reviewItem>
    <reviewItem>
      <errorID>b1b0bf57-7483-4536-ac42-6e3ffa46ccd3</errorID>
      <errorWord>-</errorWord>
      <group>L1_Format</group>
      <groupName>格式问题</groupName>
      <ability>L2_HalfPunc</ability>
      <abilityName>全半角检查</abilityName>
      <candidateList>
        <item>－</item>
      </candidateList>
      <explain>文本全半角错误。</explain>
      <paraID> 1B734A3</paraID>
      <start>5</start>
      <end>6</end>
      <status>unmodified</status>
      <modifiedWord/>
      <trackRevisions>false</trackRevisions>
    </reviewItem>
    <reviewItem>
      <errorID>98495606-06a1-464f-81b8-538b41da8858</errorID>
      <errorWord>-</errorWord>
      <group>L1_Format</group>
      <groupName>格式问题</groupName>
      <ability>L2_HalfPunc</ability>
      <abilityName>全半角检查</abilityName>
      <candidateList>
        <item>－</item>
      </candidateList>
      <explain>文本全半角错误。</explain>
      <paraID>6E79B7D4</paraID>
      <start>5</start>
      <end>6</end>
      <status>unmodified</status>
      <modifiedWord/>
      <trackRevisions>false</trackRevisions>
    </reviewItem>
    <reviewItem>
      <errorID>4286b495-0567-4dea-b569-c271fe5d1a80</errorID>
      <errorWord>(</errorWord>
      <group>L1_Format</group>
      <groupName>格式问题</groupName>
      <ability>L2_HalfPunc</ability>
      <abilityName>全半角检查</abilityName>
      <candidateList>
        <item>（</item>
      </candidateList>
      <explain>文本全半角错误。</explain>
      <paraID>4E6C8005</paraID>
      <start>11</start>
      <end>12</end>
      <status>unmodified</status>
      <modifiedWord/>
      <trackRevisions>false</trackRevisions>
    </reviewItem>
    <reviewItem>
      <errorID>11c0603e-5382-4326-b302-4bec8f5396f5</errorID>
      <errorWord>IV类</errorWord>
      <group>L1_Knowledge</group>
      <groupName>知识性问题</groupName>
      <ability>L2_Knowledge</ability>
      <abilityName>其他知识</abilityName>
      <candidateList>
        <item>Ⅳ类</item>
      </candidateList>
      <explain/>
      <paraID>4E6C8005</paraID>
      <start>25</start>
      <end>28</end>
      <status>unmodified</status>
      <modifiedWord/>
      <trackRevisions>false</trackRevisions>
    </reviewItem>
    <reviewItem>
      <errorID>405aa76e-75f8-48f5-9921-a53d1e652bf0</errorID>
      <errorWord>～</errorWord>
      <group>L1_Format</group>
      <groupName>格式问题</groupName>
      <ability>L2_HalfPunc</ability>
      <abilityName>全半角检查</abilityName>
      <candidateList>
        <item>~</item>
      </candidateList>
      <explain>文本全半角错误。</explain>
      <paraID>34D80C47</paraID>
      <start>1</start>
      <end>2</end>
      <status>unmodified</status>
      <modifiedWord/>
      <trackRevisions>false</trackRevisions>
    </reviewItem>
    <reviewItem>
      <errorID>b9afc0d7-8a6d-435e-aad1-36b8dbef3fb6</errorID>
      <errorWord>(</errorWord>
      <group>L1_Format</group>
      <groupName>格式问题</groupName>
      <ability>L2_HalfPunc</ability>
      <abilityName>全半角检查</abilityName>
      <candidateList>
        <item>（</item>
      </candidateList>
      <explain>文本全半角错误。</explain>
      <paraID>54F964C4</paraID>
      <start>5</start>
      <end>6</end>
      <status>unmodified</status>
      <modifiedWord/>
      <trackRevisions>false</trackRevisions>
    </reviewItem>
    <reviewItem>
      <errorID>9186e5ef-107c-479d-bd23-5986699913a1</errorID>
      <errorWord>)</errorWord>
      <group>L1_Format</group>
      <groupName>格式问题</groupName>
      <ability>L2_HalfPunc</ability>
      <abilityName>全半角检查</abilityName>
      <candidateList>
        <item>）</item>
      </candidateList>
      <explain>文本全半角错误。</explain>
      <paraID>54F964C4</paraID>
      <start>13</start>
      <end>14</end>
      <status>ignored</status>
      <modifiedWord/>
      <trackRevisions>false</trackRevisions>
    </reviewItem>
    <reviewItem>
      <errorID>7d8c86a5-2bc4-4ef3-add2-1b906fd7af48</errorID>
      <errorWord>&lt;</errorWord>
      <group>L1_Format</group>
      <groupName>格式问题</groupName>
      <ability>L2_HalfPunc</ability>
      <abilityName>全半角检查</abilityName>
      <candidateList>
        <item>〈</item>
      </candidateList>
      <explain>文本全半角错误。</explain>
      <paraID>3FD1E8CC</paraID>
      <start>7</start>
      <end>8</end>
      <status>unmodified</status>
      <modifiedWord/>
      <trackRevisions>false</trackRevisions>
    </reviewItem>
    <reviewItem>
      <errorID>06eccd24-6358-45ee-8f5e-f9e00f454619</errorID>
      <errorWord>&gt;的通知》</errorWord>
      <group>L1_Punc</group>
      <groupName>标点问题</groupName>
      <ability>L2_Punc</ability>
      <abilityName>标点符号检查</abilityName>
      <candidateList>
        <item>〉的通知》</item>
      </candidateList>
      <explain/>
      <paraID>3FD1E8CC</paraID>
      <start>34</start>
      <end>39</end>
      <status>unmodified</status>
      <modifiedWord/>
      <trackRevisions>false</trackRevisions>
    </reviewItem>
    <reviewItem>
      <errorID>6d3a16d6-b8b4-4fcf-8a13-5ba2ee75094f</errorID>
      <errorWord>]</errorWord>
      <group>L1_Punc</group>
      <groupName>标点问题</groupName>
      <ability>L2_Punc</ability>
      <abilityName>标点符号检查</abilityName>
      <candidateList>
        <item>〕</item>
      </candidateList>
      <explain/>
      <paraID>3FD1E8CC</paraID>
      <start>48</start>
      <end>49</end>
      <status>unmodified</status>
      <modifiedWord/>
      <trackRevisions>false</trackRevisions>
    </reviewItem>
    <reviewItem>
      <errorID>1f1ad710-39db-43e0-9ea6-989ce9f3271d</errorID>
      <errorWord>IV类</errorWord>
      <group>L1_Knowledge</group>
      <groupName>知识性问题</groupName>
      <ability>L2_Knowledge</ability>
      <abilityName>其他知识</abilityName>
      <candidateList>
        <item>Ⅳ类</item>
      </candidateList>
      <explain/>
      <paraID>3FD1E8CC</paraID>
      <start>86</start>
      <end>89</end>
      <status>unmodified</status>
      <modifiedWord/>
      <trackRevisions>false</trackRevisions>
    </reviewItem>
    <reviewItem>
      <errorID>2dcd04bf-185b-41f5-9435-e9481294c206</errorID>
      <errorWord>IV类</errorWord>
      <group>L1_Knowledge</group>
      <groupName>知识性问题</groupName>
      <ability>L2_Knowledge</ability>
      <abilityName>其他知识</abilityName>
      <candidateList>
        <item>Ⅳ类</item>
      </candidateList>
      <explain/>
      <paraID>33C5C192</paraID>
      <start>55</start>
      <end>58</end>
      <status>unmodified</status>
      <modifiedWord/>
      <trackRevisions>false</trackRevisions>
    </reviewItem>
    <reviewItem>
      <errorID>5567e45f-18bf-4f31-b221-3a94684b7784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4C67BD1C</paraID>
      <start>53</start>
      <end>54</end>
      <status>unmodified</status>
      <modifiedWord/>
      <trackRevisions>false</trackRevisions>
    </reviewItem>
    <reviewItem>
      <errorID>25f01974-3e48-49ed-a211-0fca5283267c</errorID>
      <errorWord>(</errorWord>
      <group>L1_Format</group>
      <groupName>格式问题</groupName>
      <ability>L2_HalfPunc</ability>
      <abilityName>全半角检查</abilityName>
      <candidateList>
        <item>（</item>
      </candidateList>
      <explain>文本全半角错误。</explain>
      <paraID>6FD7FCD1</paraID>
      <start>69</start>
      <end>70</end>
      <status>unmodified</status>
      <modifiedWord/>
      <trackRevisions>false</trackRevisions>
    </reviewItem>
    <reviewItem>
      <errorID>7736bcdb-45cd-40a4-b8d5-24c88fd77177</errorID>
      <errorWord>)</errorWord>
      <group>L1_Format</group>
      <groupName>格式问题</groupName>
      <ability>L2_HalfPunc</ability>
      <abilityName>全半角检查</abilityName>
      <candidateList>
        <item>）</item>
      </candidateList>
      <explain>文本全半角错误。</explain>
      <paraID>6FD7FCD1</paraID>
      <start>72</start>
      <end>73</end>
      <status>ignored</status>
      <modifiedWord/>
      <trackRevisions>false</trackRevisions>
    </reviewItem>
    <reviewItem>
      <errorID>2cd8b3fa-31c5-4ea8-98f5-7105b6b7bcf4</errorID>
      <errorWord>（</errorWord>
      <group>L1_Format</group>
      <groupName>格式问题</groupName>
      <ability>L2_HalfPunc</ability>
      <abilityName>全半角检查</abilityName>
      <candidateList>
        <item>(</item>
      </candidateList>
      <explain>文本全半角错误。</explain>
      <paraID>70A68A7D</paraID>
      <start>0</start>
      <end>1</end>
      <status>unmodified</status>
      <modifiedWord/>
      <trackRevisions>false</trackRevisions>
    </reviewItem>
    <reviewItem>
      <errorID>3b1c21a7-7bf0-4290-bb3c-147c27b2eadb</errorID>
      <errorWord>）</errorWord>
      <group>L1_Format</group>
      <groupName>格式问题</groupName>
      <ability>L2_HalfPunc</ability>
      <abilityName>全半角检查</abilityName>
      <candidateList>
        <item>)</item>
      </candidateList>
      <explain>文本全半角错误。</explain>
      <paraID>70A68A7D</paraID>
      <start>2</start>
      <end>3</end>
      <status>unmodified</status>
      <modifiedWord/>
      <trackRevisions>false</trackRevisions>
    </reviewItem>
    <reviewItem>
      <errorID>af1f494b-6ebe-47f4-b35b-83797d7feea7</errorID>
      <errorWord>(</errorWord>
      <group>L1_Format</group>
      <groupName>格式问题</groupName>
      <ability>L2_HalfPunc</ability>
      <abilityName>全半角检查</abilityName>
      <candidateList>
        <item>（</item>
      </candidateList>
      <explain>文本全半角错误。</explain>
      <paraID> 8808442</paraID>
      <start>16</start>
      <end>17</end>
      <status>unmodified</status>
      <modifiedWord/>
      <trackRevisions>false</trackRevisions>
    </reviewItem>
    <reviewItem>
      <errorID>4f6b6513-7d4a-418b-85d3-e0dc7bdab0a2</errorID>
      <errorWord>)</errorWord>
      <group>L1_Format</group>
      <groupName>格式问题</groupName>
      <ability>L2_HalfPunc</ability>
      <abilityName>全半角检查</abilityName>
      <candidateList>
        <item>）</item>
      </candidateList>
      <explain>文本全半角错误。</explain>
      <paraID> 8808442</paraID>
      <start>19</start>
      <end>20</end>
      <status>ignored</status>
      <modifiedWord/>
      <trackRevisions>false</trackRevisions>
    </reviewItem>
    <reviewItem>
      <errorID>4f66d25a-0274-4ae7-b327-8d7fd026d54d</errorID>
      <errorWord>(</errorWord>
      <group>L1_Format</group>
      <groupName>格式问题</groupName>
      <ability>L2_HalfPunc</ability>
      <abilityName>全半角检查</abilityName>
      <candidateList>
        <item>（</item>
      </candidateList>
      <explain>文本全半角错误。</explain>
      <paraID>444FB405</paraID>
      <start>12</start>
      <end>13</end>
      <status>unmodified</status>
      <modifiedWord/>
      <trackRevisions>false</trackRevisions>
    </reviewItem>
    <reviewItem>
      <errorID>29896232-5198-48ed-b9a6-1fc9c1c01166</errorID>
      <errorWord>)</errorWord>
      <group>L1_Format</group>
      <groupName>格式问题</groupName>
      <ability>L2_HalfPunc</ability>
      <abilityName>全半角检查</abilityName>
      <candidateList>
        <item>）</item>
      </candidateList>
      <explain>文本全半角错误。</explain>
      <paraID>444FB405</paraID>
      <start>19</start>
      <end>20</end>
      <status>ignored</status>
      <modifiedWord/>
      <trackRevisions>false</trackRevisions>
    </reviewItem>
    <reviewItem>
      <errorID>6311b922-68ae-4b3b-88eb-47318fd3e91a</errorID>
      <errorWord>(</errorWord>
      <group>L1_Format</group>
      <groupName>格式问题</groupName>
      <ability>L2_HalfPunc</ability>
      <abilityName>全半角检查</abilityName>
      <candidateList>
        <item>（</item>
      </candidateList>
      <explain>文本全半角错误。</explain>
      <paraID>444FB405</paraID>
      <start>28</start>
      <end>29</end>
      <status>unmodified</status>
      <modifiedWord/>
      <trackRevisions>false</trackRevisions>
    </reviewItem>
    <reviewItem>
      <errorID>a523cb8d-4bc5-4b3d-8abb-259fe1b06196</errorID>
      <errorWord>)</errorWord>
      <group>L1_Format</group>
      <groupName>格式问题</groupName>
      <ability>L2_HalfPunc</ability>
      <abilityName>全半角检查</abilityName>
      <candidateList>
        <item>）</item>
      </candidateList>
      <explain>文本全半角错误。</explain>
      <paraID>444FB405</paraID>
      <start>34</start>
      <end>35</end>
      <status>ignored</status>
      <modifiedWord/>
      <trackRevisions>false</trackRevisions>
    </reviewItem>
    <reviewItem>
      <errorID>52c0f53d-5d64-4049-a7c8-9a283aa41648</errorID>
      <errorWord>(</errorWord>
      <group>L1_Format</group>
      <groupName>格式问题</groupName>
      <ability>L2_HalfPunc</ability>
      <abilityName>全半角检查</abilityName>
      <candidateList>
        <item>（</item>
      </candidateList>
      <explain>文本全半角错误。</explain>
      <paraID>42AB05FD</paraID>
      <start>16</start>
      <end>17</end>
      <status>unmodified</status>
      <modifiedWord/>
      <trackRevisions>false</trackRevisions>
    </reviewItem>
    <reviewItem>
      <errorID>634c6a42-cf81-4bea-b1ba-066252105657</errorID>
      <errorWord>)</errorWord>
      <group>L1_Format</group>
      <groupName>格式问题</groupName>
      <ability>L2_HalfPunc</ability>
      <abilityName>全半角检查</abilityName>
      <candidateList>
        <item>）</item>
      </candidateList>
      <explain>文本全半角错误。</explain>
      <paraID>42AB05FD</paraID>
      <start>19</start>
      <end>20</end>
      <status>ignored</status>
      <modifiedWord/>
      <trackRevisions>false</trackRevisions>
    </reviewItem>
    <reviewItem>
      <errorID>b30cc391-bff9-4e60-be52-3ed23b6b3b28</errorID>
      <errorWord>..</errorWord>
      <group>L1_Punc</group>
      <groupName>标点问题</groupName>
      <ability>L2_Punc</ability>
      <abilityName>标点符号检查</abilityName>
      <candidateList>
        <item>.</item>
      </candidateList>
      <explain/>
      <paraID>45BB1C55</paraID>
      <start>1</start>
      <end>3</end>
      <status>unmodified</status>
      <modifiedWord/>
      <trackRevisions>false</trackRevisions>
    </reviewItem>
    <reviewItem>
      <errorID>90b9075b-2e13-4f63-b30f-d3928a7e2247</errorID>
      <errorWord>III</errorWord>
      <group>L1_Knowledge</group>
      <groupName>知识性问题</groupName>
      <ability>L2_Knowledge</ability>
      <abilityName>其他知识</abilityName>
      <candidateList>
        <item>Ⅲ</item>
      </candidateList>
      <explain/>
      <paraID>6625D6BD</paraID>
      <start>0</start>
      <end>3</end>
      <status>unmodified</status>
      <modifiedWord/>
      <trackRevisions>false</trackRevisions>
    </reviewItem>
    <reviewItem>
      <errorID>daa23791-932d-4452-9338-66c8588a483c</errorID>
      <errorWord>IV</errorWord>
      <group>L1_Knowledge</group>
      <groupName>知识性问题</groupName>
      <ability>L2_Knowledge</ability>
      <abilityName>其他知识</abilityName>
      <candidateList>
        <item>Ⅳ</item>
      </candidateList>
      <explain/>
      <paraID>7B4265AE</paraID>
      <start>0</start>
      <end>2</end>
      <status>unmodified</status>
      <modifiedWord/>
      <trackRevisions>false</trackRevisions>
    </reviewItem>
    <reviewItem>
      <errorID>5d9328c1-b7fc-40c7-8a79-11a88b322cc8</errorID>
      <errorWord>III</errorWord>
      <group>L1_Knowledge</group>
      <groupName>知识性问题</groupName>
      <ability>L2_Knowledge</ability>
      <abilityName>其他知识</abilityName>
      <candidateList>
        <item>Ⅲ</item>
      </candidateList>
      <explain/>
      <paraID> 761F5F1</paraID>
      <start>0</start>
      <end>3</end>
      <status>unmodified</status>
      <modifiedWord/>
      <trackRevisions>false</trackRevisions>
    </reviewItem>
    <reviewItem>
      <errorID>fcdc2d19-2e31-47db-85a6-1c9275132a67</errorID>
      <errorWord>III</errorWord>
      <group>L1_Knowledge</group>
      <groupName>知识性问题</groupName>
      <ability>L2_Knowledge</ability>
      <abilityName>其他知识</abilityName>
      <candidateList>
        <item>Ⅲ</item>
      </candidateList>
      <explain/>
      <paraID>296AF74C</paraID>
      <start>0</start>
      <end>3</end>
      <status>unmodified</status>
      <modifiedWord/>
      <trackRevisions>false</trackRevisions>
    </reviewItem>
    <reviewItem>
      <errorID>948a23e8-04fa-4a7c-ba7e-0e675277d92d</errorID>
      <errorWord>III</errorWord>
      <group>L1_Knowledge</group>
      <groupName>知识性问题</groupName>
      <ability>L2_Knowledge</ability>
      <abilityName>其他知识</abilityName>
      <candidateList>
        <item>Ⅲ</item>
      </candidateList>
      <explain/>
      <paraID>6C3465D5</paraID>
      <start>0</start>
      <end>3</end>
      <status>unmodified</status>
      <modifiedWord/>
      <trackRevisions>false</trackRevisions>
    </reviewItem>
    <reviewItem>
      <errorID>03e3ba7f-f4dd-4022-9cb1-d1cf773e1022</errorID>
      <errorWord>III</errorWord>
      <group>L1_Knowledge</group>
      <groupName>知识性问题</groupName>
      <ability>L2_Knowledge</ability>
      <abilityName>其他知识</abilityName>
      <candidateList>
        <item>Ⅲ</item>
      </candidateList>
      <explain/>
      <paraID>45C733FA</paraID>
      <start>0</start>
      <end>3</end>
      <status>unmodified</status>
      <modifiedWord/>
      <trackRevisions>false</trackRevisions>
    </reviewItem>
    <reviewItem>
      <errorID>31b7c879-ce34-43f0-a52d-c1b4abc98e3d</errorID>
      <errorWord>III</errorWord>
      <group>L1_Knowledge</group>
      <groupName>知识性问题</groupName>
      <ability>L2_Knowledge</ability>
      <abilityName>其他知识</abilityName>
      <candidateList>
        <item>Ⅲ</item>
      </candidateList>
      <explain/>
      <paraID>321D5AD7</paraID>
      <start>0</start>
      <end>3</end>
      <status>unmodified</status>
      <modifiedWord/>
      <trackRevisions>false</trackRevisions>
    </reviewItem>
    <reviewItem>
      <errorID>f3992453-6d45-4590-bd15-2f962688456e</errorID>
      <errorWord>II</errorWord>
      <group>L1_Knowledge</group>
      <groupName>知识性问题</groupName>
      <ability>L2_Knowledge</ability>
      <abilityName>其他知识</abilityName>
      <candidateList>
        <item>Ⅱ</item>
      </candidateList>
      <explain/>
      <paraID>7C0955A6</paraID>
      <start>0</start>
      <end>2</end>
      <status>unmodified</status>
      <modifiedWord/>
      <trackRevisions>false</trackRevisions>
    </reviewItem>
    <reviewItem>
      <errorID>e871f0a0-1e8f-4192-8d49-f4efdbc16709</errorID>
      <errorWord>II</errorWord>
      <group>L1_Knowledge</group>
      <groupName>知识性问题</groupName>
      <ability>L2_Knowledge</ability>
      <abilityName>其他知识</abilityName>
      <candidateList>
        <item>Ⅱ</item>
      </candidateList>
      <explain/>
      <paraID>695D470B</paraID>
      <start>0</start>
      <end>2</end>
      <status>unmodified</status>
      <modifiedWord/>
      <trackRevisions>false</trackRevisions>
    </reviewItem>
    <reviewItem>
      <errorID>6d7b1e84-a44d-4716-9232-e0c47d86905c</errorID>
      <errorWord>II</errorWord>
      <group>L1_Knowledge</group>
      <groupName>知识性问题</groupName>
      <ability>L2_Knowledge</ability>
      <abilityName>其他知识</abilityName>
      <candidateList>
        <item>Ⅱ</item>
      </candidateList>
      <explain/>
      <paraID>30275ECE</paraID>
      <start>0</start>
      <end>2</end>
      <status>unmodified</status>
      <modifiedWord/>
      <trackRevisions>false</trackRevisions>
    </reviewItem>
    <reviewItem>
      <errorID>e5bce5d0-cd78-4741-8e90-6cc33967ba32</errorID>
      <errorWord>II</errorWord>
      <group>L1_Knowledge</group>
      <groupName>知识性问题</groupName>
      <ability>L2_Knowledge</ability>
      <abilityName>其他知识</abilityName>
      <candidateList>
        <item>Ⅱ</item>
      </candidateList>
      <explain/>
      <paraID>38E7B186</paraID>
      <start>0</start>
      <end>2</end>
      <status>unmodified</status>
      <modifiedWord/>
      <trackRevisions>false</trackRevisions>
    </reviewItem>
    <reviewItem>
      <errorID>eb7076e8-6172-4c0a-a5d4-a6c2b8232fcd</errorID>
      <errorWord>II</errorWord>
      <group>L1_Knowledge</group>
      <groupName>知识性问题</groupName>
      <ability>L2_Knowledge</ability>
      <abilityName>其他知识</abilityName>
      <candidateList>
        <item>Ⅱ</item>
      </candidateList>
      <explain/>
      <paraID>4778C753</paraID>
      <start>0</start>
      <end>2</end>
      <status>unmodified</status>
      <modifiedWord/>
      <trackRevisions>false</trackRevisions>
    </reviewItem>
    <reviewItem>
      <errorID>16505e17-124b-4383-af18-720da6e42bb5</errorID>
      <errorWord>II</errorWord>
      <group>L1_Knowledge</group>
      <groupName>知识性问题</groupName>
      <ability>L2_Knowledge</ability>
      <abilityName>其他知识</abilityName>
      <candidateList>
        <item>Ⅱ</item>
      </candidateList>
      <explain/>
      <paraID>7F468949</paraID>
      <start>0</start>
      <end>2</end>
      <status>unmodified</status>
      <modifiedWord/>
      <trackRevisions>false</trackRevisions>
    </reviewItem>
    <reviewItem>
      <errorID>daa38b0d-5ac9-44c6-af63-b707948fd20e</errorID>
      <errorWord>II</errorWord>
      <group>L1_Knowledge</group>
      <groupName>知识性问题</groupName>
      <ability>L2_Knowledge</ability>
      <abilityName>其他知识</abilityName>
      <candidateList>
        <item>Ⅱ</item>
      </candidateList>
      <explain/>
      <paraID>31F76926</paraID>
      <start>0</start>
      <end>2</end>
      <status>unmodified</status>
      <modifiedWord/>
      <trackRevisions>false</trackRevisions>
    </reviewItem>
    <reviewItem>
      <errorID>9380db5c-124c-4d4b-8234-79ff4e427717</errorID>
      <errorWord>II</errorWord>
      <group>L1_Knowledge</group>
      <groupName>知识性问题</groupName>
      <ability>L2_Knowledge</ability>
      <abilityName>其他知识</abilityName>
      <candidateList>
        <item>Ⅱ</item>
      </candidateList>
      <explain/>
      <paraID> 4F26CE7</paraID>
      <start>0</start>
      <end>2</end>
      <status>unmodified</status>
      <modifiedWord/>
      <trackRevisions>false</trackRevisions>
    </reviewItem>
    <reviewItem>
      <errorID>03dcd019-d26d-4c77-833f-db1dcf796904</errorID>
      <errorWord>II</errorWord>
      <group>L1_Knowledge</group>
      <groupName>知识性问题</groupName>
      <ability>L2_Knowledge</ability>
      <abilityName>其他知识</abilityName>
      <candidateList>
        <item>Ⅱ</item>
      </candidateList>
      <explain/>
      <paraID>5E1D6C8B</paraID>
      <start>0</start>
      <end>2</end>
      <status>unmodified</status>
      <modifiedWord/>
      <trackRevisions>false</trackRevisions>
    </reviewItem>
    <reviewItem>
      <errorID>5e702503-5b5e-4acf-a787-5b8df7ea2ad4</errorID>
      <errorWord>III</errorWord>
      <group>L1_Knowledge</group>
      <groupName>知识性问题</groupName>
      <ability>L2_Knowledge</ability>
      <abilityName>其他知识</abilityName>
      <candidateList>
        <item>Ⅲ</item>
      </candidateList>
      <explain/>
      <paraID>3EB53FED</paraID>
      <start>0</start>
      <end>3</end>
      <status>unmodified</status>
      <modifiedWord/>
      <trackRevisions>false</trackRevisions>
    </reviewItem>
    <reviewItem>
      <errorID>a111e9f7-db10-4374-af70-24d3a88b8ff1</errorID>
      <errorWord>III</errorWord>
      <group>L1_Knowledge</group>
      <groupName>知识性问题</groupName>
      <ability>L2_Knowledge</ability>
      <abilityName>其他知识</abilityName>
      <candidateList>
        <item>Ⅲ</item>
      </candidateList>
      <explain/>
      <paraID>2B4B064C</paraID>
      <start>0</start>
      <end>3</end>
      <status>unmodified</status>
      <modifiedWord/>
      <trackRevisions>false</trackRevisions>
    </reviewItem>
    <reviewItem>
      <errorID>89229909-c53d-415a-9026-2d2777c74277</errorID>
      <errorWord>III</errorWord>
      <group>L1_Knowledge</group>
      <groupName>知识性问题</groupName>
      <ability>L2_Knowledge</ability>
      <abilityName>其他知识</abilityName>
      <candidateList>
        <item>Ⅲ</item>
      </candidateList>
      <explain/>
      <paraID>76998D8C</paraID>
      <start>0</start>
      <end>3</end>
      <status>unmodified</status>
      <modifiedWord/>
      <trackRevisions>false</trackRevisions>
    </reviewItem>
    <reviewItem>
      <errorID>881cf47f-8f8f-4e6e-89a2-ecde779b175f</errorID>
      <errorWord>III</errorWord>
      <group>L1_Knowledge</group>
      <groupName>知识性问题</groupName>
      <ability>L2_Knowledge</ability>
      <abilityName>其他知识</abilityName>
      <candidateList>
        <item>Ⅲ</item>
      </candidateList>
      <explain/>
      <paraID> 6D1A315</paraID>
      <start>0</start>
      <end>3</end>
      <status>unmodified</status>
      <modifiedWord/>
      <trackRevisions>false</trackRevisions>
    </reviewItem>
    <reviewItem>
      <errorID>b08a8f19-2166-4623-b2f5-04cb743e4634</errorID>
      <errorWord>III</errorWord>
      <group>L1_Knowledge</group>
      <groupName>知识性问题</groupName>
      <ability>L2_Knowledge</ability>
      <abilityName>其他知识</abilityName>
      <candidateList>
        <item>Ⅲ</item>
      </candidateList>
      <explain/>
      <paraID>5F98E10C</paraID>
      <start>0</start>
      <end>3</end>
      <status>unmodified</status>
      <modifiedWord/>
      <trackRevisions>false</trackRevisions>
    </reviewItem>
    <reviewItem>
      <errorID>04d36347-9b01-407b-962d-60e128c40dcd</errorID>
      <errorWord>III</errorWord>
      <group>L1_Knowledge</group>
      <groupName>知识性问题</groupName>
      <ability>L2_Knowledge</ability>
      <abilityName>其他知识</abilityName>
      <candidateList>
        <item>Ⅲ</item>
      </candidateList>
      <explain/>
      <paraID>1F7CE9E2</paraID>
      <start>0</start>
      <end>3</end>
      <status>unmodified</status>
      <modifiedWord/>
      <trackRevisions>false</trackRevisions>
    </reviewItem>
    <reviewItem>
      <errorID>af905def-7503-486b-85a3-f84696b371df</errorID>
      <errorWord>III</errorWord>
      <group>L1_Knowledge</group>
      <groupName>知识性问题</groupName>
      <ability>L2_Knowledge</ability>
      <abilityName>其他知识</abilityName>
      <candidateList>
        <item>Ⅲ</item>
      </candidateList>
      <explain/>
      <paraID>12CFB939</paraID>
      <start>0</start>
      <end>3</end>
      <status>unmodified</status>
      <modifiedWord/>
      <trackRevisions>false</trackRevisions>
    </reviewItem>
    <reviewItem>
      <errorID>d832ee1f-2483-4958-9ece-47fc09147725</errorID>
      <errorWord>III</errorWord>
      <group>L1_Knowledge</group>
      <groupName>知识性问题</groupName>
      <ability>L2_Knowledge</ability>
      <abilityName>其他知识</abilityName>
      <candidateList>
        <item>Ⅲ</item>
      </candidateList>
      <explain/>
      <paraID> 2EE3AB4</paraID>
      <start>0</start>
      <end>3</end>
      <status>unmodified</status>
      <modifiedWord/>
      <trackRevisions>false</trackRevisions>
    </reviewItem>
    <reviewItem>
      <errorID>38d99345-f035-4edc-ab35-06bb560e62c0</errorID>
      <errorWord>IV</errorWord>
      <group>L1_Knowledge</group>
      <groupName>知识性问题</groupName>
      <ability>L2_Knowledge</ability>
      <abilityName>其他知识</abilityName>
      <candidateList>
        <item>Ⅳ</item>
      </candidateList>
      <explain/>
      <paraID>31170038</paraID>
      <start>0</start>
      <end>2</end>
      <status>unmodified</status>
      <modifiedWord/>
      <trackRevisions>false</trackRevisions>
    </reviewItem>
    <reviewItem>
      <errorID>6144e930-8424-40b5-893f-e73754450226</errorID>
      <errorWord>III</errorWord>
      <group>L1_Knowledge</group>
      <groupName>知识性问题</groupName>
      <ability>L2_Knowledge</ability>
      <abilityName>其他知识</abilityName>
      <candidateList>
        <item>Ⅲ</item>
      </candidateList>
      <explain/>
      <paraID>294E0A2E</paraID>
      <start>0</start>
      <end>3</end>
      <status>unmodified</status>
      <modifiedWord/>
      <trackRevisions>false</trackRevisions>
    </reviewItem>
    <reviewItem>
      <errorID>a4544a88-0580-4d35-834b-ee4c72f7da38</errorID>
      <errorWord>III</errorWord>
      <group>L1_Knowledge</group>
      <groupName>知识性问题</groupName>
      <ability>L2_Knowledge</ability>
      <abilityName>其他知识</abilityName>
      <candidateList>
        <item>Ⅲ</item>
      </candidateList>
      <explain/>
      <paraID>7F8FDB96</paraID>
      <start>0</start>
      <end>3</end>
      <status>unmodified</status>
      <modifiedWord/>
      <trackRevisions>false</trackRevisions>
    </reviewItem>
    <reviewItem>
      <errorID>7f5183bc-4276-479e-a85f-02d76234c817</errorID>
      <errorWord>III</errorWord>
      <group>L1_Knowledge</group>
      <groupName>知识性问题</groupName>
      <ability>L2_Knowledge</ability>
      <abilityName>其他知识</abilityName>
      <candidateList>
        <item>Ⅲ</item>
      </candidateList>
      <explain/>
      <paraID>31911F55</paraID>
      <start>0</start>
      <end>3</end>
      <status>unmodified</status>
      <modifiedWord/>
      <trackRevisions>false</trackRevisions>
    </reviewItem>
    <reviewItem>
      <errorID>f1553cf0-6f6b-4b83-bc7e-70bc24a5f92b</errorID>
      <errorWord>III</errorWord>
      <group>L1_Knowledge</group>
      <groupName>知识性问题</groupName>
      <ability>L2_Knowledge</ability>
      <abilityName>其他知识</abilityName>
      <candidateList>
        <item>Ⅲ</item>
      </candidateList>
      <explain/>
      <paraID>4F97F540</paraID>
      <start>0</start>
      <end>3</end>
      <status>unmodified</status>
      <modifiedWord/>
      <trackRevisions>false</trackRevisions>
    </reviewItem>
    <reviewItem>
      <errorID>9e63890a-dbad-402c-b98c-e54a25822ef3</errorID>
      <errorWord>III</errorWord>
      <group>L1_Knowledge</group>
      <groupName>知识性问题</groupName>
      <ability>L2_Knowledge</ability>
      <abilityName>其他知识</abilityName>
      <candidateList>
        <item>Ⅲ</item>
      </candidateList>
      <explain/>
      <paraID>6119426A</paraID>
      <start>0</start>
      <end>3</end>
      <status>unmodified</status>
      <modifiedWord/>
      <trackRevisions>false</trackRevisions>
    </reviewItem>
    <reviewItem>
      <errorID>0c4abae3-1ee6-4b89-8f6a-a9365c8e1c10</errorID>
      <errorWord>III</errorWord>
      <group>L1_Knowledge</group>
      <groupName>知识性问题</groupName>
      <ability>L2_Knowledge</ability>
      <abilityName>其他知识</abilityName>
      <candidateList>
        <item>Ⅲ</item>
      </candidateList>
      <explain/>
      <paraID>56432818</paraID>
      <start>0</start>
      <end>3</end>
      <status>unmodified</status>
      <modifiedWord/>
      <trackRevisions>false</trackRevisions>
    </reviewItem>
    <reviewItem>
      <errorID>25af458d-7625-4f5f-9e27-00d96ee61b34</errorID>
      <errorWord>III</errorWord>
      <group>L1_Knowledge</group>
      <groupName>知识性问题</groupName>
      <ability>L2_Knowledge</ability>
      <abilityName>其他知识</abilityName>
      <candidateList>
        <item>Ⅲ</item>
      </candidateList>
      <explain/>
      <paraID>2A077F84</paraID>
      <start>0</start>
      <end>3</end>
      <status>unmodified</status>
      <modifiedWord/>
      <trackRevisions>false</trackRevisions>
    </reviewItem>
    <reviewItem>
      <errorID>20b29314-a7ed-44e1-a145-4f190d79a3e6</errorID>
      <errorWord>II</errorWord>
      <group>L1_Knowledge</group>
      <groupName>知识性问题</groupName>
      <ability>L2_Knowledge</ability>
      <abilityName>其他知识</abilityName>
      <candidateList>
        <item>Ⅱ</item>
      </candidateList>
      <explain/>
      <paraID>2BBDEA88</paraID>
      <start>0</start>
      <end>2</end>
      <status>unmodified</status>
      <modifiedWord/>
      <trackRevisions>false</trackRevisions>
    </reviewItem>
    <reviewItem>
      <errorID>9205fd6c-a523-436a-b315-8cd7b01854bd</errorID>
      <errorWord>II</errorWord>
      <group>L1_Knowledge</group>
      <groupName>知识性问题</groupName>
      <ability>L2_Knowledge</ability>
      <abilityName>其他知识</abilityName>
      <candidateList>
        <item>Ⅱ</item>
      </candidateList>
      <explain/>
      <paraID> 5642586</paraID>
      <start>0</start>
      <end>2</end>
      <status>unmodified</status>
      <modifiedWord/>
      <trackRevisions>false</trackRevisions>
    </reviewItem>
    <reviewItem>
      <errorID>17114ea8-dffc-4e55-859f-ff951c7c57cd</errorID>
      <errorWord>II</errorWord>
      <group>L1_Knowledge</group>
      <groupName>知识性问题</groupName>
      <ability>L2_Knowledge</ability>
      <abilityName>其他知识</abilityName>
      <candidateList>
        <item>Ⅱ</item>
      </candidateList>
      <explain/>
      <paraID>5D08ADDF</paraID>
      <start>0</start>
      <end>2</end>
      <status>unmodified</status>
      <modifiedWord/>
      <trackRevisions>false</trackRevisions>
    </reviewItem>
    <reviewItem>
      <errorID>51c13c6b-6f8e-4f02-a501-60babe959764</errorID>
      <errorWord>II</errorWord>
      <group>L1_Knowledge</group>
      <groupName>知识性问题</groupName>
      <ability>L2_Knowledge</ability>
      <abilityName>其他知识</abilityName>
      <candidateList>
        <item>Ⅱ</item>
      </candidateList>
      <explain/>
      <paraID>13D115EB</paraID>
      <start>0</start>
      <end>2</end>
      <status>unmodified</status>
      <modifiedWord/>
      <trackRevisions>false</trackRevisions>
    </reviewItem>
    <reviewItem>
      <errorID>45396916-67fd-4d18-be53-d6898f6f4cd6</errorID>
      <errorWord>II</errorWord>
      <group>L1_Knowledge</group>
      <groupName>知识性问题</groupName>
      <ability>L2_Knowledge</ability>
      <abilityName>其他知识</abilityName>
      <candidateList>
        <item>Ⅱ</item>
      </candidateList>
      <explain/>
      <paraID> B4B3F11</paraID>
      <start>0</start>
      <end>2</end>
      <status>unmodified</status>
      <modifiedWord/>
      <trackRevisions>false</trackRevisions>
    </reviewItem>
    <reviewItem>
      <errorID>622f5543-f7fb-4173-a8d3-6fe7a1e929a5</errorID>
      <errorWord>IV</errorWord>
      <group>L1_Knowledge</group>
      <groupName>知识性问题</groupName>
      <ability>L2_Knowledge</ability>
      <abilityName>其他知识</abilityName>
      <candidateList>
        <item>Ⅳ</item>
      </candidateList>
      <explain/>
      <paraID>5D7379BC</paraID>
      <start>0</start>
      <end>2</end>
      <status>unmodified</status>
      <modifiedWord/>
      <trackRevisions>false</trackRevisions>
    </reviewItem>
    <reviewItem>
      <errorID>ba64f376-9ce0-405a-b733-c568b19f65c3</errorID>
      <errorWord>IV</errorWord>
      <group>L1_Knowledge</group>
      <groupName>知识性问题</groupName>
      <ability>L2_Knowledge</ability>
      <abilityName>其他知识</abilityName>
      <candidateList>
        <item>Ⅳ</item>
      </candidateList>
      <explain/>
      <paraID>792AEDE9</paraID>
      <start>0</start>
      <end>2</end>
      <status>unmodified</status>
      <modifiedWord/>
      <trackRevisions>false</trackRevisions>
    </reviewItem>
    <reviewItem>
      <errorID>7a4fd72a-0c5f-48dc-932a-1e68c5a908ea</errorID>
      <errorWord>IV</errorWord>
      <group>L1_Knowledge</group>
      <groupName>知识性问题</groupName>
      <ability>L2_Knowledge</ability>
      <abilityName>其他知识</abilityName>
      <candidateList>
        <item>Ⅳ</item>
      </candidateList>
      <explain/>
      <paraID>4A8E0574</paraID>
      <start>0</start>
      <end>2</end>
      <status>unmodified</status>
      <modifiedWord/>
      <trackRevisions>false</trackRevisions>
    </reviewItem>
    <reviewItem>
      <errorID>5c99e853-c25d-4a06-9d10-e4164d12b090</errorID>
      <errorWord>IV</errorWord>
      <group>L1_Knowledge</group>
      <groupName>知识性问题</groupName>
      <ability>L2_Knowledge</ability>
      <abilityName>其他知识</abilityName>
      <candidateList>
        <item>Ⅳ</item>
      </candidateList>
      <explain/>
      <paraID> CB24889</paraID>
      <start>0</start>
      <end>2</end>
      <status>unmodified</status>
      <modifiedWord/>
      <trackRevisions>false</trackRevisions>
    </reviewItem>
    <reviewItem>
      <errorID>a113d75b-f567-453c-b8af-f70fe9fa04fd</errorID>
      <errorWord>IV</errorWord>
      <group>L1_Knowledge</group>
      <groupName>知识性问题</groupName>
      <ability>L2_Knowledge</ability>
      <abilityName>其他知识</abilityName>
      <candidateList>
        <item>Ⅳ</item>
      </candidateList>
      <explain/>
      <paraID>3010F91D</paraID>
      <start>0</start>
      <end>2</end>
      <status>unmodified</status>
      <modifiedWord/>
      <trackRevisions>false</trackRevisions>
    </reviewItem>
    <reviewItem>
      <errorID>af1b7c3b-9a61-4aad-be23-c33bd5b22362</errorID>
      <errorWord>III</errorWord>
      <group>L1_Knowledge</group>
      <groupName>知识性问题</groupName>
      <ability>L2_Knowledge</ability>
      <abilityName>其他知识</abilityName>
      <candidateList>
        <item>Ⅲ</item>
      </candidateList>
      <explain/>
      <paraID>446D927F</paraID>
      <start>0</start>
      <end>3</end>
      <status>unmodified</status>
      <modifiedWord/>
      <trackRevisions>false</trackRevisions>
    </reviewItem>
    <reviewItem>
      <errorID>39d29a1d-a2bf-4a1b-abe1-912330902df8</errorID>
      <errorWord>III</errorWord>
      <group>L1_Knowledge</group>
      <groupName>知识性问题</groupName>
      <ability>L2_Knowledge</ability>
      <abilityName>其他知识</abilityName>
      <candidateList>
        <item>Ⅲ</item>
      </candidateList>
      <explain/>
      <paraID>  846F80</paraID>
      <start>0</start>
      <end>3</end>
      <status>unmodified</status>
      <modifiedWord/>
      <trackRevisions>false</trackRevisions>
    </reviewItem>
    <reviewItem>
      <errorID>3f434af0-372b-4618-90a6-71981bb82800</errorID>
      <errorWord>III</errorWord>
      <group>L1_Knowledge</group>
      <groupName>知识性问题</groupName>
      <ability>L2_Knowledge</ability>
      <abilityName>其他知识</abilityName>
      <candidateList>
        <item>Ⅲ</item>
      </candidateList>
      <explain/>
      <paraID>6647B4C1</paraID>
      <start>0</start>
      <end>3</end>
      <status>unmodified</status>
      <modifiedWord/>
      <trackRevisions>false</trackRevisions>
    </reviewItem>
    <reviewItem>
      <errorID>e5a0ab7c-6b21-4d46-9294-052bf1134ee1</errorID>
      <errorWord>III</errorWord>
      <group>L1_Knowledge</group>
      <groupName>知识性问题</groupName>
      <ability>L2_Knowledge</ability>
      <abilityName>其他知识</abilityName>
      <candidateList>
        <item>Ⅲ</item>
      </candidateList>
      <explain/>
      <paraID>7E7C1C83</paraID>
      <start>0</start>
      <end>3</end>
      <status>unmodified</status>
      <modifiedWord/>
      <trackRevisions>false</trackRevisions>
    </reviewItem>
    <reviewItem>
      <errorID>43aadaba-9465-48e4-b5ce-9c98bb26cb50</errorID>
      <errorWord>IV</errorWord>
      <group>L1_Knowledge</group>
      <groupName>知识性问题</groupName>
      <ability>L2_Knowledge</ability>
      <abilityName>其他知识</abilityName>
      <candidateList>
        <item>Ⅳ</item>
      </candidateList>
      <explain/>
      <paraID>5B558907</paraID>
      <start>0</start>
      <end>2</end>
      <status>unmodified</status>
      <modifiedWord/>
      <trackRevisions>false</trackRevisions>
    </reviewItem>
    <reviewItem>
      <errorID>dad484ed-5372-4b27-a775-4599e7a07d75</errorID>
      <errorWord>（</errorWord>
      <group>L1_Format</group>
      <groupName>格式问题</groupName>
      <ability>L2_HalfPunc</ability>
      <abilityName>全半角检查</abilityName>
      <candidateList>
        <item>(</item>
      </candidateList>
      <explain>文本全半角错误。</explain>
      <paraID>6FFE1EAB</paraID>
      <start>0</start>
      <end>1</end>
      <status>unmodified</status>
      <modifiedWord/>
      <trackRevisions>false</trackRevisions>
    </reviewItem>
    <reviewItem>
      <errorID>8931038b-6e8c-411d-8f7b-8d7cebec9437</errorID>
      <errorWord>）</errorWord>
      <group>L1_Format</group>
      <groupName>格式问题</groupName>
      <ability>L2_HalfPunc</ability>
      <abilityName>全半角检查</abilityName>
      <candidateList>
        <item>)</item>
      </candidateList>
      <explain>文本全半角错误。</explain>
      <paraID>6FFE1EAB</paraID>
      <start>5</start>
      <end>6</end>
      <status>unmodified</status>
      <modifiedWord/>
      <trackRevisions>false</trackRevisions>
    </reviewItem>
    <reviewItem>
      <errorID>3c93f682-073e-4d87-8f28-cead10b10b1a</errorID>
      <errorWord>（</errorWord>
      <group>L1_Format</group>
      <groupName>格式问题</groupName>
      <ability>L2_HalfPunc</ability>
      <abilityName>全半角检查</abilityName>
      <candidateList>
        <item>(</item>
      </candidateList>
      <explain>文本全半角错误。</explain>
      <paraID>225BF26D</paraID>
      <start>0</start>
      <end>1</end>
      <status>unmodified</status>
      <modifiedWord/>
      <trackRevisions>false</trackRevisions>
    </reviewItem>
    <reviewItem>
      <errorID>235fc72c-9940-43e7-8a49-a2544a0b82f4</errorID>
      <errorWord>）</errorWord>
      <group>L1_Format</group>
      <groupName>格式问题</groupName>
      <ability>L2_HalfPunc</ability>
      <abilityName>全半角检查</abilityName>
      <candidateList>
        <item>)</item>
      </candidateList>
      <explain>文本全半角错误。</explain>
      <paraID>225BF26D</paraID>
      <start>5</start>
      <end>6</end>
      <status>unmodified</status>
      <modifiedWord/>
      <trackRevisions>false</trackRevisions>
    </reviewItem>
    <reviewItem>
      <errorID>b96556a9-d852-45ed-adc9-3b65e3230a97</errorID>
      <errorWord>（</errorWord>
      <group>L1_Format</group>
      <groupName>格式问题</groupName>
      <ability>L2_HalfPunc</ability>
      <abilityName>全半角检查</abilityName>
      <candidateList>
        <item>(</item>
      </candidateList>
      <explain>文本全半角错误。</explain>
      <paraID>438E99B4</paraID>
      <start>0</start>
      <end>1</end>
      <status>unmodified</status>
      <modifiedWord/>
      <trackRevisions>false</trackRevisions>
    </reviewItem>
    <reviewItem>
      <errorID>e90bc7b1-92da-40eb-861b-70f03ac3b1da</errorID>
      <errorWord>）</errorWord>
      <group>L1_Format</group>
      <groupName>格式问题</groupName>
      <ability>L2_HalfPunc</ability>
      <abilityName>全半角检查</abilityName>
      <candidateList>
        <item>)</item>
      </candidateList>
      <explain>文本全半角错误。</explain>
      <paraID>438E99B4</paraID>
      <start>5</start>
      <end>6</end>
      <status>unmodified</status>
      <modifiedWord/>
      <trackRevisions>false</trackRevisions>
    </reviewItem>
    <reviewItem>
      <errorID>5a4e8abe-8bae-46fa-908f-20e59b0df66b</errorID>
      <errorWord>（</errorWord>
      <group>L1_Format</group>
      <groupName>格式问题</groupName>
      <ability>L2_HalfPunc</ability>
      <abilityName>全半角检查</abilityName>
      <candidateList>
        <item>(</item>
      </candidateList>
      <explain>文本全半角错误。</explain>
      <paraID>6E3D9F8E</paraID>
      <start>0</start>
      <end>1</end>
      <status>unmodified</status>
      <modifiedWord/>
      <trackRevisions>false</trackRevisions>
    </reviewItem>
    <reviewItem>
      <errorID>5d00e924-2ab0-46dd-9a26-3c7c91cdd951</errorID>
      <errorWord>）</errorWord>
      <group>L1_Format</group>
      <groupName>格式问题</groupName>
      <ability>L2_HalfPunc</ability>
      <abilityName>全半角检查</abilityName>
      <candidateList>
        <item>)</item>
      </candidateList>
      <explain>文本全半角错误。</explain>
      <paraID>6E3D9F8E</paraID>
      <start>5</start>
      <end>6</end>
      <status>unmodified</status>
      <modifiedWord/>
      <trackRevisions>false</trackRevisions>
    </reviewItem>
    <reviewItem>
      <errorID>fc10d411-546a-407d-b800-b66e98a16243</errorID>
      <errorWord>（</errorWord>
      <group>L1_Format</group>
      <groupName>格式问题</groupName>
      <ability>L2_HalfPunc</ability>
      <abilityName>全半角检查</abilityName>
      <candidateList>
        <item>(</item>
      </candidateList>
      <explain>文本全半角错误。</explain>
      <paraID>6EEAB261</paraID>
      <start>0</start>
      <end>1</end>
      <status>unmodified</status>
      <modifiedWord/>
      <trackRevisions>false</trackRevisions>
    </reviewItem>
    <reviewItem>
      <errorID>95b6a16c-fe84-40a8-8da4-4bbeffe663f5</errorID>
      <errorWord>）</errorWord>
      <group>L1_Format</group>
      <groupName>格式问题</groupName>
      <ability>L2_HalfPunc</ability>
      <abilityName>全半角检查</abilityName>
      <candidateList>
        <item>)</item>
      </candidateList>
      <explain>文本全半角错误。</explain>
      <paraID>6EEAB261</paraID>
      <start>5</start>
      <end>6</end>
      <status>unmodified</status>
      <modifiedWord/>
      <trackRevisions>false</trackRevisions>
    </reviewItem>
    <reviewItem>
      <errorID>feae8ae4-ef80-4551-a9e7-ac9d6539daaf</errorID>
      <errorWord>（</errorWord>
      <group>L1_Format</group>
      <groupName>格式问题</groupName>
      <ability>L2_HalfPunc</ability>
      <abilityName>全半角检查</abilityName>
      <candidateList>
        <item>(</item>
      </candidateList>
      <explain>文本全半角错误。</explain>
      <paraID>15DE5F0A</paraID>
      <start>0</start>
      <end>1</end>
      <status>unmodified</status>
      <modifiedWord/>
      <trackRevisions>false</trackRevisions>
    </reviewItem>
    <reviewItem>
      <errorID>19f5ebeb-1615-4fc8-a48d-c366de5df2e7</errorID>
      <errorWord>）</errorWord>
      <group>L1_Format</group>
      <groupName>格式问题</groupName>
      <ability>L2_HalfPunc</ability>
      <abilityName>全半角检查</abilityName>
      <candidateList>
        <item>)</item>
      </candidateList>
      <explain>文本全半角错误。</explain>
      <paraID>15DE5F0A</paraID>
      <start>5</start>
      <end>6</end>
      <status>unmodified</status>
      <modifiedWord/>
      <trackRevisions>false</trackRevisions>
    </reviewItem>
    <reviewItem>
      <errorID>eb2a282d-7f8c-4a5e-adbf-862c7093659b</errorID>
      <errorWord>（</errorWord>
      <group>L1_Punc</group>
      <groupName>标点问题</groupName>
      <ability>L2_Punc</ability>
      <abilityName>标点符号检查</abilityName>
      <candidateList/>
      <explain>同一形式括号套用。</explain>
      <paraID>18D03CC4</paraID>
      <start>22</start>
      <end>23</end>
      <status>unmodified</status>
      <modifiedWord/>
      <trackRevisions>false</trackRevisions>
    </reviewItem>
    <reviewItem>
      <errorID>9346552f-0963-458a-ad48-8c5b7fa61cf8</errorID>
      <errorWord>）</errorWord>
      <group>L1_Punc</group>
      <groupName>标点问题</groupName>
      <ability>L2_Punc</ability>
      <abilityName>标点符号检查</abilityName>
      <candidateList/>
      <explain>同一形式括号套用。</explain>
      <paraID>18D03CC4</paraID>
      <start>25</start>
      <end>26</end>
      <status>unmodified</status>
      <modifiedWord/>
      <trackRevisions>false</trackRevisions>
    </reviewItem>
    <reviewItem>
      <errorID>e8e2e8c0-70ea-434c-9836-cade98a93053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1664C27E</paraID>
      <start>25</start>
      <end>26</end>
      <status>unmodified</status>
      <modifiedWord/>
      <trackRevisions>false</trackRevisions>
    </reviewItem>
    <reviewItem>
      <errorID>f0fc06bb-35da-4a33-818d-5cfc74df8ed7</errorID>
      <errorWord>~</errorWord>
      <group>L1_Format</group>
      <groupName>格式问题</groupName>
      <ability>L2_HalfPunc</ability>
      <abilityName>全半角检查</abilityName>
      <candidateList>
        <item>～</item>
      </candidateList>
      <explain>文本全半角错误。</explain>
      <paraID>2C4CE254</paraID>
      <start>10</start>
      <end>11</end>
      <status>unmodified</status>
      <modifiedWord/>
      <trackRevisions>false</trackRevisions>
    </reviewItem>
    <reviewItem>
      <errorID>fade42c8-f2df-4759-84ec-b3b68c6c4e24</errorID>
      <errorWord>~</errorWord>
      <group>L1_Format</group>
      <groupName>格式问题</groupName>
      <ability>L2_HalfPunc</ability>
      <abilityName>全半角检查</abilityName>
      <candidateList>
        <item>～</item>
      </candidateList>
      <explain>文本全半角错误。</explain>
      <paraID>2C4CE254</paraID>
      <start>17</start>
      <end>18</end>
      <status>unmodified</status>
      <modifiedWord/>
      <trackRevisions>false</trackRevisions>
    </reviewItem>
    <reviewItem>
      <errorID>3711d024-9950-40eb-9328-3ac95fa4b9b9</errorID>
      <errorWord>~</errorWord>
      <group>L1_Format</group>
      <groupName>格式问题</groupName>
      <ability>L2_HalfPunc</ability>
      <abilityName>全半角检查</abilityName>
      <candidateList>
        <item>～</item>
      </candidateList>
      <explain>文本全半角错误。</explain>
      <paraID>6637E0EB</paraID>
      <start>3</start>
      <end>4</end>
      <status>unmodified</status>
      <modifiedWord/>
      <trackRevisions>false</trackRevisions>
    </reviewItem>
    <reviewItem>
      <errorID>99c3ad42-231e-4ced-9aba-e3a9c18ff726</errorID>
      <errorWord>~</errorWord>
      <group>L1_Format</group>
      <groupName>格式问题</groupName>
      <ability>L2_HalfPunc</ability>
      <abilityName>全半角检查</abilityName>
      <candidateList>
        <item>～</item>
      </candidateList>
      <explain>文本全半角错误。</explain>
      <paraID> 6955E5B</paraID>
      <start>3</start>
      <end>4</end>
      <status>unmodified</status>
      <modifiedWord/>
      <trackRevisions>false</trackRevisions>
    </reviewItem>
    <reviewItem>
      <errorID>e8b79bdb-1152-4ed0-b991-8f1abf236404</errorID>
      <errorWord>~</errorWord>
      <group>L1_Format</group>
      <groupName>格式问题</groupName>
      <ability>L2_HalfPunc</ability>
      <abilityName>全半角检查</abilityName>
      <candidateList>
        <item>～</item>
      </candidateList>
      <explain>文本全半角错误。</explain>
      <paraID>3B563138</paraID>
      <start>3</start>
      <end>4</end>
      <status>unmodified</status>
      <modifiedWord/>
      <trackRevisions>false</trackRevisions>
    </reviewItem>
    <reviewItem>
      <errorID>4361931d-45f2-436e-95c4-6c5801da54fe</errorID>
      <errorWord>~</errorWord>
      <group>L1_Format</group>
      <groupName>格式问题</groupName>
      <ability>L2_HalfPunc</ability>
      <abilityName>全半角检查</abilityName>
      <candidateList>
        <item>～</item>
      </candidateList>
      <explain>文本全半角错误。</explain>
      <paraID> 8740BAE</paraID>
      <start>3</start>
      <end>4</end>
      <status>unmodified</status>
      <modifiedWord/>
      <trackRevisions>false</trackRevisions>
    </reviewItem>
    <reviewItem>
      <errorID>8e661b55-f989-48e1-b961-4fde1fb86e4f</errorID>
      <errorWord>~</errorWord>
      <group>L1_Format</group>
      <groupName>格式问题</groupName>
      <ability>L2_HalfPunc</ability>
      <abilityName>全半角检查</abilityName>
      <candidateList>
        <item>～</item>
      </candidateList>
      <explain>文本全半角错误。</explain>
      <paraID>46848E12</paraID>
      <start>3</start>
      <end>4</end>
      <status>unmodified</status>
      <modifiedWord/>
      <trackRevisions>false</trackRevisions>
    </reviewItem>
    <reviewItem>
      <errorID>97dc797d-9b50-4ece-8b8f-6eb82ddcedd1</errorID>
      <errorWord>~</errorWord>
      <group>L1_Format</group>
      <groupName>格式问题</groupName>
      <ability>L2_HalfPunc</ability>
      <abilityName>全半角检查</abilityName>
      <candidateList>
        <item>～</item>
      </candidateList>
      <explain>文本全半角错误。</explain>
      <paraID>2E748653</paraID>
      <start>3</start>
      <end>4</end>
      <status>unmodified</status>
      <modifiedWord/>
      <trackRevisions>false</trackRevisions>
    </reviewItem>
    <reviewItem>
      <errorID>7aac2387-027e-4704-8485-2aa21d2dcfb5</errorID>
      <errorWord>~</errorWord>
      <group>L1_Format</group>
      <groupName>格式问题</groupName>
      <ability>L2_HalfPunc</ability>
      <abilityName>全半角检查</abilityName>
      <candidateList>
        <item>～</item>
      </candidateList>
      <explain>文本全半角错误。</explain>
      <paraID> AC5B277</paraID>
      <start>3</start>
      <end>4</end>
      <status>unmodified</status>
      <modifiedWord/>
      <trackRevisions>false</trackRevisions>
    </reviewItem>
    <reviewItem>
      <errorID>1cab1648-21fe-46c3-9172-051a2bb8568f</errorID>
      <errorWord>~</errorWord>
      <group>L1_Format</group>
      <groupName>格式问题</groupName>
      <ability>L2_HalfPunc</ability>
      <abilityName>全半角检查</abilityName>
      <candidateList>
        <item>～</item>
      </candidateList>
      <explain>文本全半角错误。</explain>
      <paraID>45EB6F72</paraID>
      <start>3</start>
      <end>4</end>
      <status>unmodified</status>
      <modifiedWord/>
      <trackRevisions>false</trackRevisions>
    </reviewItem>
    <reviewItem>
      <errorID>28a8a61a-c697-4222-b84f-1e09a7cb0900</errorID>
      <errorWord>~</errorWord>
      <group>L1_Format</group>
      <groupName>格式问题</groupName>
      <ability>L2_HalfPunc</ability>
      <abilityName>全半角检查</abilityName>
      <candidateList>
        <item>～</item>
      </candidateList>
      <explain>文本全半角错误。</explain>
      <paraID>679F590E</paraID>
      <start>3</start>
      <end>4</end>
      <status>unmodified</status>
      <modifiedWord/>
      <trackRevisions>false</trackRevisions>
    </reviewItem>
    <reviewItem>
      <errorID>5648fc7a-6159-4e7b-807a-de525f694a57</errorID>
      <errorWord>~</errorWord>
      <group>L1_Format</group>
      <groupName>格式问题</groupName>
      <ability>L2_HalfPunc</ability>
      <abilityName>全半角检查</abilityName>
      <candidateList>
        <item>～</item>
      </candidateList>
      <explain>文本全半角错误。</explain>
      <paraID>7528B5E7</paraID>
      <start>3</start>
      <end>4</end>
      <status>unmodified</status>
      <modifiedWord/>
      <trackRevisions>false</trackRevisions>
    </reviewItem>
    <reviewItem>
      <errorID>1dd995cb-f675-4ee2-957a-05749b39f436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20D726A0</paraID>
      <start>3</start>
      <end>4</end>
      <status>unmodified</status>
      <modifiedWord/>
      <trackRevisions>false</trackRevisions>
    </reviewItem>
    <reviewItem>
      <errorID>d33fb8c8-f4a2-407e-b78c-f4f4f3d8772f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655DA0DF</paraID>
      <start>0</start>
      <end>2</end>
      <status>unmodified</status>
      <modifiedWord/>
      <trackRevisions>false</trackRevisions>
    </reviewItem>
    <reviewItem>
      <errorID>a3740446-bfcb-4ecb-b30d-82add7a17aa4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37521255</paraID>
      <start>0</start>
      <end>2</end>
      <status>unmodified</status>
      <modifiedWord/>
      <trackRevisions>false</trackRevisions>
    </reviewItem>
    <reviewItem>
      <errorID>7f00f06c-e3e9-42aa-9bb8-1b6e5bcfe66e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5144BFAA</paraID>
      <start>0</start>
      <end>2</end>
      <status>unmodified</status>
      <modifiedWord/>
      <trackRevisions>false</trackRevisions>
    </reviewItem>
    <reviewItem>
      <errorID>995dfabe-8d7b-4305-b66e-5da036107eae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21A1D3B9</paraID>
      <start>0</start>
      <end>2</end>
      <status>unmodified</status>
      <modifiedWord/>
      <trackRevisions>false</trackRevisions>
    </reviewItem>
    <reviewItem>
      <errorID>1807b839-1634-4389-a3a1-83ee259f0ced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3E83FEC3</paraID>
      <start>0</start>
      <end>2</end>
      <status>unmodified</status>
      <modifiedWord/>
      <trackRevisions>false</trackRevisions>
    </reviewItem>
    <reviewItem>
      <errorID>84720f06-1c65-4788-bdff-ef6eab66dee0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1F95D7DF</paraID>
      <start>0</start>
      <end>2</end>
      <status>unmodified</status>
      <modifiedWord/>
      <trackRevisions>false</trackRevisions>
    </reviewItem>
    <reviewItem>
      <errorID>00c0adec-1370-483c-a8b8-5ffa9d8f1eb6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42138B6A</paraID>
      <start>0</start>
      <end>2</end>
      <status>unmodified</status>
      <modifiedWord/>
      <trackRevisions>false</trackRevisions>
    </reviewItem>
    <reviewItem>
      <errorID>f3540b7f-223c-4916-896d-c5b3cf6a16a8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4D95D986</paraID>
      <start>0</start>
      <end>2</end>
      <status>unmodified</status>
      <modifiedWord/>
      <trackRevisions>false</trackRevisions>
    </reviewItem>
    <reviewItem>
      <errorID>c8aeac50-190d-4c8f-b6dc-c1c0f729091d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7E0A0749</paraID>
      <start>0</start>
      <end>2</end>
      <status>unmodified</status>
      <modifiedWord/>
      <trackRevisions>false</trackRevisions>
    </reviewItem>
    <reviewItem>
      <errorID>d907bc8b-b8f5-4c65-96fc-bd670f653af5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56AE5326</paraID>
      <start>0</start>
      <end>2</end>
      <status>unmodified</status>
      <modifiedWord/>
      <trackRevisions>false</trackRevisions>
    </reviewItem>
    <reviewItem>
      <errorID>daa7ac82-acdb-4fe7-9111-e2a3cf174652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43151532</paraID>
      <start>0</start>
      <end>2</end>
      <status>unmodified</status>
      <modifiedWord/>
      <trackRevisions>false</trackRevisions>
    </reviewItem>
    <reviewItem>
      <errorID>b75417e7-afc9-4604-af46-a55e2cbadfeb</errorID>
      <errorWord>~</errorWord>
      <group>L1_Format</group>
      <groupName>格式问题</groupName>
      <ability>L2_HalfPunc</ability>
      <abilityName>全半角检查</abilityName>
      <candidateList>
        <item>～</item>
      </candidateList>
      <explain>文本全半角错误。</explain>
      <paraID>4DB05CAA</paraID>
      <start>3</start>
      <end>4</end>
      <status>unmodified</status>
      <modifiedWord/>
      <trackRevisions>false</trackRevisions>
    </reviewItem>
    <reviewItem>
      <errorID>fede3e4f-afb9-47bb-9731-2d618e687a92</errorID>
      <errorWord>~</errorWord>
      <group>L1_Format</group>
      <groupName>格式问题</groupName>
      <ability>L2_HalfPunc</ability>
      <abilityName>全半角检查</abilityName>
      <candidateList>
        <item>～</item>
      </candidateList>
      <explain>文本全半角错误。</explain>
      <paraID>7B0747EE</paraID>
      <start>3</start>
      <end>4</end>
      <status>unmodified</status>
      <modifiedWord/>
      <trackRevisions>false</trackRevisions>
    </reviewItem>
    <reviewItem>
      <errorID>8e5429e5-d7e3-47d2-b51a-4c2c639b9ccb</errorID>
      <errorWord>设</errorWord>
      <group>L1_Word</group>
      <groupName>字词问题</groupName>
      <ability>L2_Typo</ability>
      <abilityName>字词错误</abilityName>
      <candidateList>
        <item>设置</item>
      </candidateList>
      <explain>〈动〉❶设立：这座剧院是为儿童～的。❷安放；安装：～障碍。</explain>
      <paraID> 3742CD9</paraID>
      <start>8</start>
      <end>9</end>
      <status>unmodified</status>
      <modifiedWord/>
      <trackRevisions>false</trackRevisions>
    </reviewItem>
    <reviewItem>
      <errorID>c515f475-fe2c-47d6-ba7c-d40c668d60e8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ECFD9AB</paraID>
      <start>10</start>
      <end>13</end>
      <status>unmodified</status>
      <modifiedWord/>
      <trackRevisions>false</trackRevisions>
    </reviewItem>
    <reviewItem>
      <errorID>5c9af1ac-2523-4ff8-8fe9-292c5e3b7cb0</errorID>
      <errorWord>（</errorWord>
      <group>L1_Format</group>
      <groupName>格式问题</groupName>
      <ability>L2_HalfPunc</ability>
      <abilityName>全半角检查</abilityName>
      <candidateList>
        <item>(</item>
      </candidateList>
      <explain>文本全半角错误。</explain>
      <paraID>296BB376</paraID>
      <start>0</start>
      <end>1</end>
      <status>unmodified</status>
      <modifiedWord/>
      <trackRevisions>false</trackRevisions>
    </reviewItem>
    <reviewItem>
      <errorID>67914555-f458-46b2-b95f-d80293ab59d4</errorID>
      <errorWord>）</errorWord>
      <group>L1_Format</group>
      <groupName>格式问题</groupName>
      <ability>L2_HalfPunc</ability>
      <abilityName>全半角检查</abilityName>
      <candidateList>
        <item>)</item>
      </candidateList>
      <explain>文本全半角错误。</explain>
      <paraID>296BB376</paraID>
      <start>8</start>
      <end>9</end>
      <status>unmodified</status>
      <modifiedWord/>
      <trackRevisions>false</trackRevisions>
    </reviewItem>
    <reviewItem>
      <errorID>8651b154-2ea1-4881-8bae-0369bd436d98</errorID>
      <errorWord>-</errorWord>
      <group>L1_Format</group>
      <groupName>格式问题</groupName>
      <ability>L2_HalfPunc</ability>
      <abilityName>全半角检查</abilityName>
      <candidateList>
        <item>－</item>
      </candidateList>
      <explain>文本全半角错误。</explain>
      <paraID>25029D37</paraID>
      <start>5</start>
      <end>6</end>
      <status>unmodified</status>
      <modifiedWord/>
      <trackRevisions>false</trackRevisions>
    </reviewItem>
    <reviewItem>
      <errorID>3ca2d6d5-ebf1-4f0e-a903-e87bd5f827a7</errorID>
      <errorWord>其它</errorWord>
      <group>L1_Word</group>
      <groupName>字词问题</groupName>
      <ability>L2_Alias</ability>
      <abilityName>也作/曾用词</abilityName>
      <candidateList>
        <item>其他</item>
      </candidateList>
      <explain>词汇[其它]为不规范表述或旧称，其规范书面表述为[其他]。</explain>
      <paraID>25029D37</paraID>
      <start>16</start>
      <end>18</end>
      <status>unmodified</status>
      <modifiedWord/>
      <trackRevisions>false</trackRevisions>
    </reviewItem>
    <reviewItem>
      <errorID>b49f9ae2-32a3-4aa7-8f42-7c3a4c9b65fd</errorID>
      <errorWord>-</errorWord>
      <group>L1_Format</group>
      <groupName>格式问题</groupName>
      <ability>L2_HalfPunc</ability>
      <abilityName>全半角检查</abilityName>
      <candidateList>
        <item>－</item>
      </candidateList>
      <explain>文本全半角错误。</explain>
      <paraID>47942A66</paraID>
      <start>5</start>
      <end>6</end>
      <status>unmodified</status>
      <modifiedWord/>
      <trackRevisions>false</trackRevisions>
    </reviewItem>
    <reviewItem>
      <errorID>7977a075-b953-4871-b3b6-db98cae1bde1</errorID>
      <errorWord>其它</errorWord>
      <group>L1_Word</group>
      <groupName>字词问题</groupName>
      <ability>L2_Alias</ability>
      <abilityName>也作/曾用词</abilityName>
      <candidateList>
        <item>其他</item>
      </candidateList>
      <explain>词汇[其它]为不规范表述或旧称，其规范书面表述为[其他]。</explain>
      <paraID> 2182852</paraID>
      <start>44</start>
      <end>46</end>
      <status>unmodified</status>
      <modifiedWord/>
      <trackRevisions>false</trackRevisions>
    </reviewItem>
    <reviewItem>
      <errorID>915cc7a1-afd7-4cfa-8817-b64ff324c363</errorID>
      <errorWord>大脑皮层</errorWord>
      <group>L1_Word</group>
      <groupName>字词问题</groupName>
      <ability>L2_Typo</ability>
      <abilityName>字词错误</abilityName>
      <candidateList>
        <item>大脑皮质</item>
      </candidateList>
      <explain/>
      <paraID>29DABD83</paraID>
      <start>87</start>
      <end>91</end>
      <status>unmodified</status>
      <modifiedWord/>
      <trackRevisions>false</trackRevisions>
    </reviewItem>
    <reviewItem>
      <errorID>7fc03954-9757-45a4-8d3f-90844cab1de7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7C5EDC6B</paraID>
      <start>0</start>
      <end>2</end>
      <status>unmodified</status>
      <modifiedWord/>
      <trackRevisions>false</trackRevisions>
    </reviewItem>
    <reviewItem>
      <errorID>80f61841-faff-4581-9ad8-678a6ec38f81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1668909F</paraID>
      <start>0</start>
      <end>2</end>
      <status>unmodified</status>
      <modifiedWord/>
      <trackRevisions>false</trackRevisions>
    </reviewItem>
    <reviewItem>
      <errorID>63806604-2441-4852-b845-3235b4fa339e</errorID>
      <errorWord>&gt;</errorWord>
      <group>L1_Punc</group>
      <groupName>标点问题</groupName>
      <ability>L2_Punc</ability>
      <abilityName>标点符号检查</abilityName>
      <candidateList/>
      <explain/>
      <paraID>1A984A4D</paraID>
      <start>0</start>
      <end>1</end>
      <status>unmodified</status>
      <modifiedWord/>
      <trackRevisions>false</trackRevisions>
    </reviewItem>
    <reviewItem>
      <errorID>7bda6d4c-7ec7-4bca-a98c-a34e33b6a03a</errorID>
      <errorWord>&gt;</errorWord>
      <group>L1_Punc</group>
      <groupName>标点问题</groupName>
      <ability>L2_Punc</ability>
      <abilityName>标点符号检查</abilityName>
      <candidateList/>
      <explain/>
      <paraID>120F23CB</paraID>
      <start>0</start>
      <end>1</end>
      <status>unmodified</status>
      <modifiedWord/>
      <trackRevisions>false</trackRevisions>
    </reviewItem>
    <reviewItem>
      <errorID>6f7065f5-1bee-4444-a883-0cfc08b577e5</errorID>
      <errorWord>&gt;</errorWord>
      <group>L1_Punc</group>
      <groupName>标点问题</groupName>
      <ability>L2_Punc</ability>
      <abilityName>标点符号检查</abilityName>
      <candidateList/>
      <explain/>
      <paraID>3C64D482</paraID>
      <start>0</start>
      <end>1</end>
      <status>unmodified</status>
      <modifiedWord/>
      <trackRevisions>false</trackRevisions>
    </reviewItem>
    <reviewItem>
      <errorID>ed3dfe41-2e2a-4ca1-89c2-0a37c14cd73c</errorID>
      <errorWord>&gt;</errorWord>
      <group>L1_Punc</group>
      <groupName>标点问题</groupName>
      <ability>L2_Punc</ability>
      <abilityName>标点符号检查</abilityName>
      <candidateList/>
      <explain/>
      <paraID>56C918B1</paraID>
      <start>0</start>
      <end>1</end>
      <status>unmodified</status>
      <modifiedWord/>
      <trackRevisions>false</trackRevisions>
    </reviewItem>
    <reviewItem>
      <errorID>89b64ffd-d82a-4d64-b040-c409836a619d</errorID>
      <errorWord>II类</errorWord>
      <group>L1_Knowledge</group>
      <groupName>知识性问题</groupName>
      <ability>L2_Knowledge</ability>
      <abilityName>其他知识</abilityName>
      <candidateList>
        <item>Ⅱ类</item>
      </candidateList>
      <explain/>
      <paraID>5BA9E5FD</paraID>
      <start>31</start>
      <end>34</end>
      <status>unmodified</status>
      <modifiedWord/>
      <trackRevisions>false</trackRevisions>
    </reviewItem>
    <reviewItem>
      <errorID>e50408c6-b746-4627-8978-827c62456c18</errorID>
      <errorWord>根据以上的</errorWord>
      <group>L1_Word</group>
      <groupName>字词问题</groupName>
      <ability>L2_Typo</ability>
      <abilityName>字词错误</abilityName>
      <candidateList>
        <item>根据以上</item>
      </candidateList>
      <explain/>
      <paraID> 24DFC97</paraID>
      <start>0</start>
      <end>5</end>
      <status>unmodified</status>
      <modifiedWord/>
      <trackRevisions>false</trackRevisions>
    </reviewItem>
    <reviewItem>
      <errorID>ddb1866a-7d41-437b-a9a6-61ff0b601bb8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4074B498</paraID>
      <start>0</start>
      <end>2</end>
      <status>unmodified</status>
      <modifiedWord/>
      <trackRevisions>false</trackRevisions>
    </reviewItem>
    <reviewItem>
      <errorID>eb5db50b-ef2b-4a11-8d7d-6343ffbac992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2D9715C2</paraID>
      <start>0</start>
      <end>2</end>
      <status>unmodified</status>
      <modifiedWord/>
      <trackRevisions>false</trackRevisions>
    </reviewItem>
    <reviewItem>
      <errorID>17d88f08-c765-43f9-92d6-f43883ab8334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7A9FC0E3</paraID>
      <start>0</start>
      <end>2</end>
      <status>unmodified</status>
      <modifiedWord/>
      <trackRevisions>false</trackRevisions>
    </reviewItem>
    <reviewItem>
      <errorID>ece5993c-dcd0-4039-9adb-f60c45919990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12AE16E4</paraID>
      <start>0</start>
      <end>2</end>
      <status>unmodified</status>
      <modifiedWord/>
      <trackRevisions>false</trackRevisions>
    </reviewItem>
    <reviewItem>
      <errorID>4aa6f5cf-2c00-428e-b33b-001c075b75eb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3FBD8F37</paraID>
      <start>0</start>
      <end>2</end>
      <status>unmodified</status>
      <modifiedWord/>
      <trackRevisions>false</trackRevisions>
    </reviewItem>
    <reviewItem>
      <errorID>95db9c41-b93c-4bf0-a0cd-5ff760cbad53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35CF35F7</paraID>
      <start>0</start>
      <end>2</end>
      <status>unmodified</status>
      <modifiedWord/>
      <trackRevisions>false</trackRevisions>
    </reviewItem>
    <reviewItem>
      <errorID>070ea65c-5cd0-4c0d-b2f3-685ab56780b9</errorID>
      <errorWord>~</errorWord>
      <group>L1_Format</group>
      <groupName>格式问题</groupName>
      <ability>L2_HalfPunc</ability>
      <abilityName>全半角检查</abilityName>
      <candidateList>
        <item>～</item>
      </candidateList>
      <explain>文本全半角错误。</explain>
      <paraID>674C2436</paraID>
      <start>4</start>
      <end>5</end>
      <status>unmodified</status>
      <modifiedWord/>
      <trackRevisions>false</trackRevisions>
    </reviewItem>
    <reviewItem>
      <errorID>07a94794-4f0d-4688-a979-89dba1ba31e0</errorID>
      <errorWord>~</errorWord>
      <group>L1_Format</group>
      <groupName>格式问题</groupName>
      <ability>L2_HalfPunc</ability>
      <abilityName>全半角检查</abilityName>
      <candidateList>
        <item>～</item>
      </candidateList>
      <explain>文本全半角错误。</explain>
      <paraID>4B39794D</paraID>
      <start>3</start>
      <end>4</end>
      <status>unmodified</status>
      <modifiedWord/>
      <trackRevisions>false</trackRevisions>
    </reviewItem>
    <reviewItem>
      <errorID>47847f3d-9ad4-4dfa-b975-9fd56ffc1558</errorID>
      <errorWord>~</errorWord>
      <group>L1_Format</group>
      <groupName>格式问题</groupName>
      <ability>L2_HalfPunc</ability>
      <abilityName>全半角检查</abilityName>
      <candidateList>
        <item>～</item>
      </candidateList>
      <explain>文本全半角错误。</explain>
      <paraID>519BF541</paraID>
      <start>3</start>
      <end>4</end>
      <status>unmodified</status>
      <modifiedWord/>
      <trackRevisions>false</trackRevisions>
    </reviewItem>
    <reviewItem>
      <errorID>3216e0cf-e3d8-4a92-8ba1-f398730bb638</errorID>
      <errorWord>（</errorWord>
      <group>L1_Format</group>
      <groupName>格式问题</groupName>
      <ability>L2_HalfPunc</ability>
      <abilityName>全半角检查</abilityName>
      <candidateList>
        <item>(</item>
      </candidateList>
      <explain>文本全半角错误。</explain>
      <paraID>16A618C0</paraID>
      <start>0</start>
      <end>1</end>
      <status>unmodified</status>
      <modifiedWord/>
      <trackRevisions>false</trackRevisions>
    </reviewItem>
    <reviewItem>
      <errorID>2e998515-7ea9-4c52-b558-30ef936198de</errorID>
      <errorWord>）</errorWord>
      <group>L1_Format</group>
      <groupName>格式问题</groupName>
      <ability>L2_HalfPunc</ability>
      <abilityName>全半角检查</abilityName>
      <candidateList>
        <item>)</item>
      </candidateList>
      <explain>文本全半角错误。</explain>
      <paraID>16A618C0</paraID>
      <start>4</start>
      <end>5</end>
      <status>unmodified</status>
      <modifiedWord/>
      <trackRevisions>false</trackRevisions>
    </reviewItem>
    <reviewItem>
      <errorID>47a9240f-63e2-4628-9de8-f757723d2a25</errorID>
      <errorWord>（</errorWord>
      <group>L1_Punc</group>
      <groupName>标点问题</groupName>
      <ability>L2_Punc</ability>
      <abilityName>标点符号检查</abilityName>
      <candidateList/>
      <explain>同一形式括号套用。</explain>
      <paraID>221C4F51</paraID>
      <start>10</start>
      <end>11</end>
      <status>unmodified</status>
      <modifiedWord/>
      <trackRevisions>false</trackRevisions>
    </reviewItem>
    <reviewItem>
      <errorID>a9449b82-701f-4263-93bf-fb8facb286cb</errorID>
      <errorWord>）</errorWord>
      <group>L1_Punc</group>
      <groupName>标点问题</groupName>
      <ability>L2_Punc</ability>
      <abilityName>标点符号检查</abilityName>
      <candidateList/>
      <explain>同一形式括号套用。</explain>
      <paraID>221C4F51</paraID>
      <start>18</start>
      <end>19</end>
      <status>unmodified</status>
      <modifiedWord/>
      <trackRevisions>false</trackRevisions>
    </reviewItem>
    <reviewItem>
      <errorID>927c0ce9-8675-4681-b88d-c626c1715d8a</errorID>
      <errorWord>（/</errorWord>
      <group>L1_Punc</group>
      <groupName>标点问题</groupName>
      <ability>L2_Punc</ability>
      <abilityName>标点符号检查</abilityName>
      <candidateList>
        <item>（</item>
      </candidateList>
      <explain/>
      <paraID>6829CF2D</paraID>
      <start>1</start>
      <end>3</end>
      <status>unmodified</status>
      <modifiedWord/>
      <trackRevisions>false</trackRevisions>
    </reviewItem>
    <reviewItem>
      <errorID>b75a1046-de64-488e-81e0-e1cd4d5a88fa</errorID>
      <errorWord>（/</errorWord>
      <group>L1_Punc</group>
      <groupName>标点问题</groupName>
      <ability>L2_Punc</ability>
      <abilityName>标点符号检查</abilityName>
      <candidateList>
        <item>（</item>
      </candidateList>
      <explain/>
      <paraID>6829CF2D</paraID>
      <start>8</start>
      <end>10</end>
      <status>unmodified</status>
      <modifiedWord/>
      <trackRevisions>false</trackRevisions>
    </reviewItem>
    <reviewItem>
      <errorID>569a8342-0a5c-4dff-bc74-cce07f25a902</errorID>
      <errorWord>:</errorWord>
      <group>L1_Format</group>
      <groupName>格式问题</groupName>
      <ability>L2_HalfPunc</ability>
      <abilityName>全半角检查</abilityName>
      <candidateList>
        <item>：</item>
      </candidateList>
      <explain>文本全半角错误。</explain>
      <paraID>2D7BEFDF</paraID>
      <start>3</start>
      <end>4</end>
      <status>unmodified</status>
      <modifiedWord/>
      <trackRevisions>false</trackRevisions>
    </reviewItem>
    <reviewItem>
      <errorID>93af1d62-74da-4360-85bf-5d84454a528e</errorID>
      <errorWord>II</errorWord>
      <group>L1_Knowledge</group>
      <groupName>知识性问题</groupName>
      <ability>L2_Knowledge</ability>
      <abilityName>其他知识</abilityName>
      <candidateList>
        <item>Ⅱ</item>
      </candidateList>
      <explain/>
      <paraID>1333C3D3</paraID>
      <start>14</start>
      <end>16</end>
      <status>unmodified</status>
      <modifiedWord/>
      <trackRevisions>false</trackRevisions>
    </reviewItem>
    <reviewItem>
      <errorID>dc10275d-d64c-48b4-9154-2c90292b2bda</errorID>
      <errorWord>III</errorWord>
      <group>L1_Knowledge</group>
      <groupName>知识性问题</groupName>
      <ability>L2_Knowledge</ability>
      <abilityName>其他知识</abilityName>
      <candidateList>
        <item>Ⅲ</item>
      </candidateList>
      <explain/>
      <paraID>1333C3D3</paraID>
      <start>20</start>
      <end>23</end>
      <status>unmodified</status>
      <modifiedWord/>
      <trackRevisions>false</trackRevisions>
    </reviewItem>
    <reviewItem>
      <errorID>2fbc42d3-6112-41c9-b8cc-11eb15c3ee1d</errorID>
      <errorWord>IV</errorWord>
      <group>L1_Knowledge</group>
      <groupName>知识性问题</groupName>
      <ability>L2_Knowledge</ability>
      <abilityName>其他知识</abilityName>
      <candidateList>
        <item>Ⅳ</item>
      </candidateList>
      <explain/>
      <paraID>1333C3D3</paraID>
      <start>27</start>
      <end>29</end>
      <status>unmodified</status>
      <modifiedWord/>
      <trackRevisions>false</trackRevisions>
    </reviewItem>
    <reviewItem>
      <errorID>275413a0-cc01-4328-b22e-11c4c38931ef</errorID>
      <errorWord>（/</errorWord>
      <group>L1_Punc</group>
      <groupName>标点问题</groupName>
      <ability>L2_Punc</ability>
      <abilityName>标点符号检查</abilityName>
      <candidateList>
        <item>（</item>
      </candidateList>
      <explain/>
      <paraID>40E72759</paraID>
      <start>0</start>
      <end>2</end>
      <status>unmodified</status>
      <modifiedWord/>
      <trackRevisions>false</trackRevisions>
    </reviewItem>
    <reviewItem>
      <errorID>75e79730-1e15-4928-b776-6760def3c539</errorID>
      <errorWord>（/</errorWord>
      <group>L1_Punc</group>
      <groupName>标点问题</groupName>
      <ability>L2_Punc</ability>
      <abilityName>标点符号检查</abilityName>
      <candidateList>
        <item>（</item>
      </candidateList>
      <explain/>
      <paraID>35925AAD</paraID>
      <start>0</start>
      <end>2</end>
      <status>unmodified</status>
      <modifiedWord/>
      <trackRevisions>false</trackRevisions>
    </reviewItem>
    <reviewItem>
      <errorID>669cb008-564c-43e3-8e24-60d880026182</errorID>
      <errorWord>（</errorWord>
      <group>L1_Punc</group>
      <groupName>标点问题</groupName>
      <ability>L2_Punc</ability>
      <abilityName>标点符号检查</abilityName>
      <candidateList>
        <item/>
      </candidateList>
      <explain>同一形式括号套用。</explain>
      <paraID>6B707D48</paraID>
      <start>94</start>
      <end>95</end>
      <status>unmodified</status>
      <modifiedWord/>
      <trackRevisions>false</trackRevisions>
    </reviewItem>
    <reviewItem>
      <errorID>da5c28af-9495-4255-8aab-d9621ef8b93f</errorID>
      <errorWord>(</errorWord>
      <group>L1_Punc</group>
      <groupName>标点问题</groupName>
      <ability>L2_Punc</ability>
      <abilityName>标点符号检查</abilityName>
      <candidateList/>
      <explain>同一形式括号套用。</explain>
      <paraID>6B707D48</paraID>
      <start>98</start>
      <end>99</end>
      <status>unmodified</status>
      <modifiedWord/>
      <trackRevisions>false</trackRevisions>
    </reviewItem>
    <reviewItem>
      <errorID>a7bc1ab8-9694-497a-8875-8cf1b14a84f5</errorID>
      <errorWord>)</errorWord>
      <group>L1_Punc</group>
      <groupName>标点问题</groupName>
      <ability>L2_Punc</ability>
      <abilityName>标点符号检查</abilityName>
      <candidateList/>
      <explain>同一形式括号套用。</explain>
      <paraID>6B707D48</paraID>
      <start>100</start>
      <end>101</end>
      <status>unmodified</status>
      <modifiedWord/>
      <trackRevisions>false</trackRevisions>
    </reviewItem>
    <reviewItem>
      <errorID>81f7d17e-2c01-427b-9b76-e05ed5ed725c</errorID>
      <errorWord>）</errorWord>
      <group>L1_Punc</group>
      <groupName>标点问题</groupName>
      <ability>L2_Punc</ability>
      <abilityName>标点符号检查</abilityName>
      <candidateList/>
      <explain>同一形式括号套用。</explain>
      <paraID>6B707D48</paraID>
      <start>103</start>
      <end>104</end>
      <status>unmodified</status>
      <modifiedWord/>
      <trackRevisions>false</trackRevisions>
    </reviewItem>
    <reviewItem>
      <errorID>c78635e9-40cd-43a8-85d9-a8f175232744</errorID>
      <errorWord>)</errorWord>
      <group>L1_Format</group>
      <groupName>格式问题</groupName>
      <ability>L2_HalfPunc</ability>
      <abilityName>全半角检查</abilityName>
      <candidateList>
        <item>）</item>
      </candidateList>
      <explain>文本全半角错误。</explain>
      <paraID> 57A1BBB</paraID>
      <start>30</start>
      <end>31</end>
      <status>ignored</status>
      <modifiedWord/>
      <trackRevisions>false</trackRevisions>
    </reviewItem>
    <reviewItem>
      <errorID>8ffca5ee-fb25-46c2-a97e-61eacb6680dd</errorID>
      <errorWord>)</errorWord>
      <group>L1_Format</group>
      <groupName>格式问题</groupName>
      <ability>L2_HalfPunc</ability>
      <abilityName>全半角检查</abilityName>
      <candidateList>
        <item>）</item>
      </candidateList>
      <explain>文本全半角错误。</explain>
      <paraID>1F6570CD</paraID>
      <start>22</start>
      <end>23</end>
      <status>ignored</status>
      <modifiedWord/>
      <trackRevisions>false</trackRevisions>
    </reviewItem>
    <reviewItem>
      <errorID>55f3fdeb-f9fb-48b9-a52b-7fff9048bcff</errorID>
      <errorWord>(</errorWord>
      <group>L1_Format</group>
      <groupName>格式问题</groupName>
      <ability>L2_HalfPunc</ability>
      <abilityName>全半角检查</abilityName>
      <candidateList>
        <item>（</item>
      </candidateList>
      <explain>文本全半角错误。</explain>
      <paraID>57D9FB2E</paraID>
      <start>13</start>
      <end>14</end>
      <status>unmodified</status>
      <modifiedWord/>
      <trackRevisions>false</trackRevisions>
    </reviewItem>
    <reviewItem>
      <errorID>a898e5c2-503e-4ffb-bb26-154e5c545a71</errorID>
      <errorWord>)</errorWord>
      <group>L1_Format</group>
      <groupName>格式问题</groupName>
      <ability>L2_HalfPunc</ability>
      <abilityName>全半角检查</abilityName>
      <candidateList>
        <item>）</item>
      </candidateList>
      <explain>文本全半角错误。</explain>
      <paraID>57D9FB2E</paraID>
      <start>17</start>
      <end>18</end>
      <status>ignored</status>
      <modifiedWord/>
      <trackRevisions>false</trackRevisions>
    </reviewItem>
    <reviewItem>
      <errorID>1b9606fc-ea7f-42ad-8ca9-d8d550264591</errorID>
      <errorWord>)</errorWord>
      <group>L1_Format</group>
      <groupName>格式问题</groupName>
      <ability>L2_HalfPunc</ability>
      <abilityName>全半角检查</abilityName>
      <candidateList>
        <item>）</item>
      </candidateList>
      <explain>文本全半角错误。</explain>
      <paraID>503D4F5F</paraID>
      <start>29</start>
      <end>30</end>
      <status>ignored</status>
      <modifiedWord/>
      <trackRevisions>false</trackRevisions>
    </reviewItem>
    <reviewItem>
      <errorID>458d58a9-f035-4e24-a2fa-b6c4a67caa5a</errorID>
      <errorWord>)</errorWord>
      <group>L1_Format</group>
      <groupName>格式问题</groupName>
      <ability>L2_HalfPunc</ability>
      <abilityName>全半角检查</abilityName>
      <candidateList>
        <item>）</item>
      </candidateList>
      <explain>文本全半角错误。</explain>
      <paraID>534FB925</paraID>
      <start>17</start>
      <end>18</end>
      <status>ignored</status>
      <modifiedWord/>
      <trackRevisions>false</trackRevisions>
    </reviewItem>
    <reviewItem>
      <errorID>d5308cb8-cd6b-44cf-9b57-89bdb239d892</errorID>
      <errorWord>(</errorWord>
      <group>L1_Format</group>
      <groupName>格式问题</groupName>
      <ability>L2_HalfPunc</ability>
      <abilityName>全半角检查</abilityName>
      <candidateList>
        <item>（</item>
      </candidateList>
      <explain>文本全半角错误。</explain>
      <paraID>7A959D82</paraID>
      <start>14</start>
      <end>15</end>
      <status>unmodified</status>
      <modifiedWord/>
      <trackRevisions>false</trackRevisions>
    </reviewItem>
    <reviewItem>
      <errorID>59ec7291-4974-4616-b1a2-ea7ef1dbeb5c</errorID>
      <errorWord>)</errorWord>
      <group>L1_Format</group>
      <groupName>格式问题</groupName>
      <ability>L2_HalfPunc</ability>
      <abilityName>全半角检查</abilityName>
      <candidateList>
        <item>）</item>
      </candidateList>
      <explain>文本全半角错误。</explain>
      <paraID>7A959D82</paraID>
      <start>16</start>
      <end>17</end>
      <status>ignored</status>
      <modifiedWord/>
      <trackRevisions>false</trackRevisions>
    </reviewItem>
    <reviewItem>
      <errorID>35a257e8-4861-4f5d-92f6-1872907be5b8</errorID>
      <errorWord>:</errorWord>
      <group>L1_Format</group>
      <groupName>格式问题</groupName>
      <ability>L2_HalfPunc</ability>
      <abilityName>全半角检查</abilityName>
      <candidateList>
        <item>：</item>
      </candidateList>
      <explain>文本全半角错误。</explain>
      <paraID>21DF4142</paraID>
      <start>12</start>
      <end>13</end>
      <status>unmodified</status>
      <modifiedWord/>
      <trackRevisions>false</trackRevisions>
    </reviewItem>
    <reviewItem>
      <errorID>5611a3a0-29c0-443e-a2c3-53e0c0d0e458</errorID>
      <errorWord>(</errorWord>
      <group>L1_Format</group>
      <groupName>格式问题</groupName>
      <ability>L2_HalfPunc</ability>
      <abilityName>全半角检查</abilityName>
      <candidateList>
        <item>（</item>
      </candidateList>
      <explain>文本全半角错误。</explain>
      <paraID>4A7719AE</paraID>
      <start>8</start>
      <end>9</end>
      <status>unmodified</status>
      <modifiedWord/>
      <trackRevisions>false</trackRevisions>
    </reviewItem>
    <reviewItem>
      <errorID>e79774c2-1275-4609-8d14-ee5c98a561e2</errorID>
      <errorWord>)</errorWord>
      <group>L1_Format</group>
      <groupName>格式问题</groupName>
      <ability>L2_HalfPunc</ability>
      <abilityName>全半角检查</abilityName>
      <candidateList>
        <item>）</item>
      </candidateList>
      <explain>文本全半角错误。</explain>
      <paraID>4A7719AE</paraID>
      <start>13</start>
      <end>14</end>
      <status>ignored</status>
      <modifiedWord/>
      <trackRevisions>false</trackRevisions>
    </reviewItem>
    <reviewItem>
      <errorID>d738337f-fcf4-4d5a-ae6f-1ad29188123e</errorID>
      <errorWord>(</errorWord>
      <group>L1_Format</group>
      <groupName>格式问题</groupName>
      <ability>L2_HalfPunc</ability>
      <abilityName>全半角检查</abilityName>
      <candidateList>
        <item>（</item>
      </candidateList>
      <explain>文本全半角错误。</explain>
      <paraID>119B2253</paraID>
      <start>72</start>
      <end>73</end>
      <status>unmodified</status>
      <modifiedWord/>
      <trackRevisions>false</trackRevisions>
    </reviewItem>
    <reviewItem>
      <errorID>b5ec404b-fb9a-43c8-b30a-a876fbac1551</errorID>
      <errorWord>)</errorWord>
      <group>L1_Format</group>
      <groupName>格式问题</groupName>
      <ability>L2_HalfPunc</ability>
      <abilityName>全半角检查</abilityName>
      <candidateList>
        <item>）</item>
      </candidateList>
      <explain>文本全半角错误。</explain>
      <paraID>119B2253</paraID>
      <start>77</start>
      <end>78</end>
      <status>ignored</status>
      <modifiedWord/>
      <trackRevisions>false</trackRevisions>
    </reviewItem>
    <reviewItem>
      <errorID>d3a2f602-5f2a-4474-86e3-6032701feb29</errorID>
      <errorWord>(</errorWord>
      <group>L1_Format</group>
      <groupName>格式问题</groupName>
      <ability>L2_HalfPunc</ability>
      <abilityName>全半角检查</abilityName>
      <candidateList>
        <item>（</item>
      </candidateList>
      <explain>文本全半角错误。</explain>
      <paraID> 30A809C</paraID>
      <start>7</start>
      <end>8</end>
      <status>unmodified</status>
      <modifiedWord/>
      <trackRevisions>false</trackRevisions>
    </reviewItem>
    <reviewItem>
      <errorID>bdd090b1-7f0d-4a31-aeb0-532ff3ce8d95</errorID>
      <errorWord>)</errorWord>
      <group>L1_Format</group>
      <groupName>格式问题</groupName>
      <ability>L2_HalfPunc</ability>
      <abilityName>全半角检查</abilityName>
      <candidateList>
        <item>）</item>
      </candidateList>
      <explain>文本全半角错误。</explain>
      <paraID> 30A809C</paraID>
      <start>11</start>
      <end>12</end>
      <status>ignored</status>
      <modifiedWord/>
      <trackRevisions>false</trackRevisions>
    </reviewItem>
    <reviewItem>
      <errorID>593d88d1-7e86-4aa0-ac15-99fc3d4cfe5f</errorID>
      <errorWord>:</errorWord>
      <group>L1_Format</group>
      <groupName>格式问题</groupName>
      <ability>L2_HalfPunc</ability>
      <abilityName>全半角检查</abilityName>
      <candidateList>
        <item>：</item>
      </candidateList>
      <explain>文本全半角错误。</explain>
      <paraID>420237FB</paraID>
      <start>55</start>
      <end>56</end>
      <status>unmodified</status>
      <modifiedWord/>
      <trackRevisions>false</trackRevisions>
    </reviewItem>
    <reviewItem>
      <errorID>289a1025-1da5-47dc-8a65-2fb3df35120d</errorID>
      <errorWord>，；</errorWord>
      <group>L1_Punc</group>
      <groupName>标点问题</groupName>
      <ability>L2_Punc</ability>
      <abilityName>标点符号检查</abilityName>
      <candidateList>
        <item>，</item>
      </candidateList>
      <explain/>
      <paraID>37AE4409</paraID>
      <start>6</start>
      <end>8</end>
      <status>unmodified</status>
      <modifiedWord/>
      <trackRevisions>false</trackRevisions>
    </reviewItem>
    <reviewItem>
      <errorID>5b7dd531-32d4-4698-be82-7a58befdb18a</errorID>
      <errorWord>)</errorWord>
      <group>L1_Format</group>
      <groupName>格式问题</groupName>
      <ability>L2_HalfPunc</ability>
      <abilityName>全半角检查</abilityName>
      <candidateList>
        <item>）</item>
      </candidateList>
      <explain>文本全半角错误。</explain>
      <paraID>5016EB76</paraID>
      <start>69</start>
      <end>70</end>
      <status>ignored</status>
      <modifiedWord/>
      <trackRevisions>false</trackRevisions>
    </reviewItem>
    <reviewItem>
      <errorID>544b8597-adba-401e-a858-00a6886e9168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5016EB76</paraID>
      <start>70</start>
      <end>71</end>
      <status>unmodified</status>
      <modifiedWord/>
      <trackRevisions>false</trackRevisions>
    </reviewItem>
    <reviewItem>
      <errorID>d361ca7a-f1c4-4a99-9b00-47296bf33b7c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5016EB76</paraID>
      <start>71</start>
      <end>72</end>
      <status>unmodified</status>
      <modifiedWord/>
      <trackRevisions>false</trackRevisions>
    </reviewItem>
    <reviewItem>
      <errorID>b77cfa1d-fdeb-45dc-b60f-d4ea81d95d92</errorID>
      <errorWord>(</errorWord>
      <group>L1_Format</group>
      <groupName>格式问题</groupName>
      <ability>L2_HalfPunc</ability>
      <abilityName>全半角检查</abilityName>
      <candidateList>
        <item>（</item>
      </candidateList>
      <explain>文本全半角错误。</explain>
      <paraID>15B61BFE</paraID>
      <start>5</start>
      <end>6</end>
      <status>unmodified</status>
      <modifiedWord/>
      <trackRevisions>false</trackRevisions>
    </reviewItem>
    <reviewItem>
      <errorID>bc264a43-f051-41ed-8fd5-37b1b9e16edd</errorID>
      <errorWord>)</errorWord>
      <group>L1_Format</group>
      <groupName>格式问题</groupName>
      <ability>L2_HalfPunc</ability>
      <abilityName>全半角检查</abilityName>
      <candidateList>
        <item>）</item>
      </candidateList>
      <explain>文本全半角错误。</explain>
      <paraID>15B61BFE</paraID>
      <start>9</start>
      <end>10</end>
      <status>ignored</status>
      <modifiedWord/>
      <trackRevisions>false</trackRevisions>
    </reviewItem>
    <reviewItem>
      <errorID>6df0a384-2fcb-4f02-8ffc-43404eb64de7</errorID>
      <errorWord>(</errorWord>
      <group>L1_Format</group>
      <groupName>格式问题</groupName>
      <ability>L2_HalfPunc</ability>
      <abilityName>全半角检查</abilityName>
      <candidateList>
        <item>（</item>
      </candidateList>
      <explain>文本全半角错误。</explain>
      <paraID>72BD9507</paraID>
      <start>5</start>
      <end>6</end>
      <status>unmodified</status>
      <modifiedWord/>
      <trackRevisions>false</trackRevisions>
    </reviewItem>
    <reviewItem>
      <errorID>07450e06-cc36-4dc2-9d1a-4ecd95e783f9</errorID>
      <errorWord>)</errorWord>
      <group>L1_Format</group>
      <groupName>格式问题</groupName>
      <ability>L2_HalfPunc</ability>
      <abilityName>全半角检查</abilityName>
      <candidateList>
        <item>）</item>
      </candidateList>
      <explain>文本全半角错误。</explain>
      <paraID>72BD9507</paraID>
      <start>9</start>
      <end>10</end>
      <status>ignored</status>
      <modifiedWord/>
      <trackRevisions>false</trackRevisions>
    </reviewItem>
    <reviewItem>
      <errorID>74a9c0dd-5e4f-4651-ab47-9d482df5493b</errorID>
      <errorWord>(</errorWord>
      <group>L1_Format</group>
      <groupName>格式问题</groupName>
      <ability>L2_HalfPunc</ability>
      <abilityName>全半角检查</abilityName>
      <candidateList>
        <item>（</item>
      </candidateList>
      <explain>文本全半角错误。</explain>
      <paraID>78A8FA73</paraID>
      <start>14</start>
      <end>15</end>
      <status>unmodified</status>
      <modifiedWord/>
      <trackRevisions>false</trackRevisions>
    </reviewItem>
    <reviewItem>
      <errorID>fcc9baa2-2e0b-408a-b5af-b0e1dd7036e1</errorID>
      <errorWord>)</errorWord>
      <group>L1_Format</group>
      <groupName>格式问题</groupName>
      <ability>L2_HalfPunc</ability>
      <abilityName>全半角检查</abilityName>
      <candidateList>
        <item>）</item>
      </candidateList>
      <explain>文本全半角错误。</explain>
      <paraID>78A8FA73</paraID>
      <start>20</start>
      <end>21</end>
      <status>ignored</status>
      <modifiedWord/>
      <trackRevisions>false</trackRevisions>
    </reviewItem>
    <reviewItem>
      <errorID>6f865302-691d-483d-a348-5ada8c51fdc2</errorID>
      <errorWord>)</errorWord>
      <group>L1_Format</group>
      <groupName>格式问题</groupName>
      <ability>L2_HalfPunc</ability>
      <abilityName>全半角检查</abilityName>
      <candidateList>
        <item>）</item>
      </candidateList>
      <explain>文本全半角错误。</explain>
      <paraID>421014D1</paraID>
      <start>13</start>
      <end>14</end>
      <status>ignored</status>
      <modifiedWord/>
      <trackRevisions>false</trackRevisions>
    </reviewItem>
    <reviewItem>
      <errorID>115c4718-e2de-4f9a-9a32-39c4f41d8682</errorID>
      <errorWord>~</errorWord>
      <group>L1_Format</group>
      <groupName>格式问题</groupName>
      <ability>L2_HalfPunc</ability>
      <abilityName>全半角检查</abilityName>
      <candidateList>
        <item>～</item>
      </candidateList>
      <explain>文本全半角错误。</explain>
      <paraID>11A63F12</paraID>
      <start>34</start>
      <end>35</end>
      <status>unmodified</status>
      <modifiedWord/>
      <trackRevisions>false</trackRevisions>
    </reviewItem>
    <reviewItem>
      <errorID>f379e193-23ac-4691-9a74-bf5257e3829c</errorID>
      <errorWord>主要成份</errorWord>
      <group>L1_Word</group>
      <groupName>字词问题</groupName>
      <ability>L2_Variant</ability>
      <abilityName>异形词</abilityName>
      <candidateList>
        <item>主要成分</item>
      </candidateList>
      <explain>词汇[主要成份]的规范词形写作[主要成分]。</explain>
      <paraID>32C830BC</paraID>
      <start>18</start>
      <end>22</end>
      <status>unmodified</status>
      <modifiedWord/>
      <trackRevisions>false</trackRevisions>
    </reviewItem>
    <reviewItem>
      <errorID>b0e671ae-f5fe-4ca0-b5fd-ffa3b61f8596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55427F75</paraID>
      <start>0</start>
      <end>2</end>
      <status>unmodified</status>
      <modifiedWord/>
      <trackRevisions>false</trackRevisions>
    </reviewItem>
    <reviewItem>
      <errorID>503cd695-7739-49ee-82ed-85a13967aaf1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24E73BC8</paraID>
      <start>0</start>
      <end>2</end>
      <status>unmodified</status>
      <modifiedWord/>
      <trackRevisions>false</trackRevisions>
    </reviewItem>
    <reviewItem>
      <errorID>1f0a3aab-9acf-4cdd-83df-931ceb165ebd</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42469AF1</paraID>
      <start>28</start>
      <end>30</end>
      <status>unmodified</status>
      <modifiedWord/>
      <trackRevisions>false</trackRevisions>
    </reviewItem>
    <reviewItem>
      <errorID>1b9e3e95-f400-422f-b1f2-fc1d5afd3614</errorID>
      <errorWord>~</errorWord>
      <group>L1_Format</group>
      <groupName>格式问题</groupName>
      <ability>L2_HalfPunc</ability>
      <abilityName>全半角检查</abilityName>
      <candidateList>
        <item>～</item>
      </candidateList>
      <explain>文本全半角错误。</explain>
      <paraID>2CB37318</paraID>
      <start>53</start>
      <end>54</end>
      <status>unmodified</status>
      <modifiedWord/>
      <trackRevisions>false</trackRevisions>
    </reviewItem>
    <reviewItem>
      <errorID>aa300eaf-6570-4d68-b589-335e9f196546</errorID>
      <errorWord>~</errorWord>
      <group>L1_Format</group>
      <groupName>格式问题</groupName>
      <ability>L2_HalfPunc</ability>
      <abilityName>全半角检查</abilityName>
      <candidateList>
        <item>～</item>
      </candidateList>
      <explain>文本全半角错误。</explain>
      <paraID>2CB37318</paraID>
      <start>77</start>
      <end>78</end>
      <status>unmodified</status>
      <modifiedWord/>
      <trackRevisions>false</trackRevisions>
    </reviewItem>
    <reviewItem>
      <errorID>b2af0306-9d06-4b57-a697-80b2c5f36f5b</errorID>
      <errorWord>~</errorWord>
      <group>L1_Format</group>
      <groupName>格式问题</groupName>
      <ability>L2_HalfPunc</ability>
      <abilityName>全半角检查</abilityName>
      <candidateList>
        <item>～</item>
      </candidateList>
      <explain>文本全半角错误。</explain>
      <paraID>24F475C7</paraID>
      <start>67</start>
      <end>68</end>
      <status>unmodified</status>
      <modifiedWord/>
      <trackRevisions>false</trackRevisions>
    </reviewItem>
    <reviewItem>
      <errorID>5be322c5-8313-4b6c-83fa-b800df7ed826</errorID>
      <errorWord>~</errorWord>
      <group>L1_Format</group>
      <groupName>格式问题</groupName>
      <ability>L2_HalfPunc</ability>
      <abilityName>全半角检查</abilityName>
      <candidateList>
        <item>～</item>
      </candidateList>
      <explain>文本全半角错误。</explain>
      <paraID>24F475C7</paraID>
      <start>90</start>
      <end>91</end>
      <status>unmodified</status>
      <modifiedWord/>
      <trackRevisions>false</trackRevisions>
    </reviewItem>
    <reviewItem>
      <errorID>8441f758-40fb-435f-b2dd-1d16cc75dee1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64F24550</paraID>
      <start>93</start>
      <end>94</end>
      <status>unmodified</status>
      <modifiedWord/>
      <trackRevisions>false</trackRevisions>
    </reviewItem>
    <reviewItem>
      <errorID>d6b7abb8-2717-4029-ab39-20b39e5349e9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2356BCBB</paraID>
      <start>121</start>
      <end>122</end>
      <status>unmodified</status>
      <modifiedWord/>
      <trackRevisions>false</trackRevisions>
    </reviewItem>
    <reviewItem>
      <errorID>2e5cec9d-3424-4613-b2aa-6ac72da755fa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2356BCBB</paraID>
      <start>185</start>
      <end>186</end>
      <status>unmodified</status>
      <modifiedWord/>
      <trackRevisions>false</trackRevisions>
    </reviewItem>
    <reviewItem>
      <errorID>3beeebe1-818c-4c08-af45-6c7c555e7def</errorID>
      <errorWord>粘</errorWord>
      <group>L1_Word</group>
      <groupName>字词问题</groupName>
      <ability>L2_Typo</ability>
      <abilityName>字词错误</abilityName>
      <candidateList>
        <item>粘土</item>
      </candidateList>
      <explain/>
      <paraID>43E0107C</paraID>
      <start>41</start>
      <end>42</end>
      <status>unmodified</status>
      <modifiedWord/>
      <trackRevisions>false</trackRevisions>
    </reviewItem>
    <reviewItem>
      <errorID>951e1831-0950-4357-bf80-2ba999127b5a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43E0107C</paraID>
      <start>97</start>
      <end>98</end>
      <status>unmodified</status>
      <modifiedWord/>
      <trackRevisions>false</trackRevisions>
    </reviewItem>
    <reviewItem>
      <errorID>4df1fe10-8e91-4ca4-b69e-de0cef06cfd4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31D577B3</paraID>
      <start>52</start>
      <end>53</end>
      <status>unmodified</status>
      <modifiedWord/>
      <trackRevisions>false</trackRevisions>
    </reviewItem>
    <reviewItem>
      <errorID>dd62b4f7-33f6-42f9-b6d9-b365c7b225c4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31D577B3</paraID>
      <start>107</start>
      <end>108</end>
      <status>unmodified</status>
      <modifiedWord/>
      <trackRevisions>false</trackRevisions>
    </reviewItem>
    <reviewItem>
      <errorID>8aef3d62-620a-4a14-8ec8-c53aa8c98444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31D577B3</paraID>
      <start>119</start>
      <end>120</end>
      <status>unmodified</status>
      <modifiedWord/>
      <trackRevisions>false</trackRevisions>
    </reviewItem>
    <reviewItem>
      <errorID>e571338b-685c-4d64-bf03-edc2d6ebd48c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60EE590B</paraID>
      <start>110</start>
      <end>111</end>
      <status>unmodified</status>
      <modifiedWord/>
      <trackRevisions>false</trackRevisions>
    </reviewItem>
    <reviewItem>
      <errorID>13134e97-0d37-4f40-ad61-3db7ebaffe15</errorID>
      <errorWord>主要以粉砂为主</errorWord>
      <group>L1_Grammar</group>
      <groupName>语法问题</groupName>
      <ability>L2_Grammar</ability>
      <abilityName>语法错误</abilityName>
      <candidateList>
        <item>以粉砂为主</item>
      </candidateList>
      <explain/>
      <paraID>28983AAA</paraID>
      <start>35</start>
      <end>42</end>
      <status>unmodified</status>
      <modifiedWord/>
      <trackRevisions>false</trackRevisions>
    </reviewItem>
    <reviewItem>
      <errorID>542f7a44-2a18-4463-8489-02743dfec849</errorID>
      <errorWord>，</errorWord>
      <group>L1_Word</group>
      <groupName>字词问题</groupName>
      <ability>L2_Typo</ability>
      <abilityName>字词错误</abilityName>
      <candidateList>
        <item>，对</item>
      </candidateList>
      <explain/>
      <paraID>51DF8518</paraID>
      <start>25</start>
      <end>26</end>
      <status>unmodified</status>
      <modifiedWord/>
      <trackRevisions>false</trackRevisions>
    </reviewItem>
    <reviewItem>
      <errorID>eddb69ed-2303-4e1b-a5da-ac7fd0186e04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17E1668E</paraID>
      <start>263</start>
      <end>264</end>
      <status>unmodified</status>
      <modifiedWord/>
      <trackRevisions>false</trackRevisions>
    </reviewItem>
    <reviewItem>
      <errorID>5f9012bd-75b7-4801-858d-547c26a38dd7</errorID>
      <errorWord>3~4亿</errorWord>
      <group>L1_Knowledge</group>
      <groupName>知识性问题</groupName>
      <ability>L2_Knowledge</ability>
      <abilityName>其他知识</abilityName>
      <candidateList>
        <item>3亿～4亿</item>
      </candidateList>
      <explain>1. “3~4亿”中的单位“亿”仅出现在后一个数字上，容易引起歧义；根据《现代汉语标点符号数字用法规范手册》，数字表示范围两边需要使用统一的格式。2.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761D46BA</paraID>
      <start>59</start>
      <end>63</end>
      <status>unmodified</status>
      <modifiedWord/>
      <trackRevisions>false</trackRevisions>
    </reviewItem>
    <reviewItem>
      <errorID>1e15137a-8100-4b4f-b252-623171635f1a</errorID>
      <errorWord>年</errorWord>
      <group>L1_Word</group>
      <groupName>字词问题</groupName>
      <ability>L2_Typo</ability>
      <abilityName>字词错误</abilityName>
      <candidateList>
        <item>年来</item>
      </candidateList>
      <explain/>
      <paraID>761D46BA</paraID>
      <start>67</start>
      <end>68</end>
      <status>unmodified</status>
      <modifiedWord/>
      <trackRevisions>false</trackRevisions>
    </reviewItem>
    <reviewItem>
      <errorID>21213720-2f70-4d8a-9b3e-3e72ab7b71db</errorID>
      <errorWord>经济的高速发展</errorWord>
      <group>L1_Political</group>
      <groupName>政治性问题</groupName>
      <ability>L2_Keyword</ability>
      <abilityName>固定表述</abilityName>
      <candidateList>
        <item>经济快速发展</item>
      </candidateList>
      <explain>词汇“经济快速发展”在特定场景下为固定表述形式，请确认此处的“经济的高速发展”是否存在不当。</explain>
      <paraID>761D46BA</paraID>
      <start>70</start>
      <end>77</end>
      <status>unmodified</status>
      <modifiedWord/>
      <trackRevisions>false</trackRevisions>
    </reviewItem>
    <reviewItem>
      <errorID>0708b8e9-dc31-4ddf-82af-70ac73010944</errorID>
      <errorWord>成</errorWord>
      <group>L1_Word</group>
      <groupName>字词问题</groupName>
      <ability>L2_Typo</ability>
      <abilityName>字词错误</abilityName>
      <candidateList>
        <item>成为</item>
      </candidateList>
      <explain>〈动〉变成：～先进工作者。</explain>
      <paraID>68C62740</paraID>
      <start>84</start>
      <end>85</end>
      <status>unmodified</status>
      <modifiedWord/>
      <trackRevisions>false</trackRevisions>
    </reviewItem>
    <reviewItem>
      <errorID>cfd5cd74-34d0-4f58-9a07-38d960739ea1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7C9EDE60</paraID>
      <start>68</start>
      <end>69</end>
      <status>unmodified</status>
      <modifiedWord/>
      <trackRevisions>false</trackRevisions>
    </reviewItem>
    <reviewItem>
      <errorID>d90f4db7-aa61-4dbb-a499-6bed00562a8f</errorID>
      <errorWord>(</errorWord>
      <group>L1_Format</group>
      <groupName>格式问题</groupName>
      <ability>L2_HalfPunc</ability>
      <abilityName>全半角检查</abilityName>
      <candidateList>
        <item>（</item>
      </candidateList>
      <explain>文本全半角错误。</explain>
      <paraID>3EB475F3</paraID>
      <start>17</start>
      <end>18</end>
      <status>unmodified</status>
      <modifiedWord/>
      <trackRevisions>false</trackRevisions>
    </reviewItem>
    <reviewItem>
      <errorID>78323965-9c76-4fe9-9148-39f3a62a8046</errorID>
      <errorWord>)</errorWord>
      <group>L1_Format</group>
      <groupName>格式问题</groupName>
      <ability>L2_HalfPunc</ability>
      <abilityName>全半角检查</abilityName>
      <candidateList>
        <item>）</item>
      </candidateList>
      <explain>文本全半角错误。</explain>
      <paraID>3EB475F3</paraID>
      <start>19</start>
      <end>20</end>
      <status>ignored</status>
      <modifiedWord/>
      <trackRevisions>false</trackRevisions>
    </reviewItem>
    <reviewItem>
      <errorID>c68f2fe0-d69d-4f28-a469-f0a035021701</errorID>
      <errorWord>(</errorWord>
      <group>L1_Format</group>
      <groupName>格式问题</groupName>
      <ability>L2_HalfPunc</ability>
      <abilityName>全半角检查</abilityName>
      <candidateList>
        <item>（</item>
      </candidateList>
      <explain>文本全半角错误。</explain>
      <paraID>1F3E78B9</paraID>
      <start>17</start>
      <end>18</end>
      <status>unmodified</status>
      <modifiedWord/>
      <trackRevisions>false</trackRevisions>
    </reviewItem>
    <reviewItem>
      <errorID>1f75def1-1c13-4833-bbe9-4d5db58ad994</errorID>
      <errorWord>)</errorWord>
      <group>L1_Format</group>
      <groupName>格式问题</groupName>
      <ability>L2_HalfPunc</ability>
      <abilityName>全半角检查</abilityName>
      <candidateList>
        <item>）</item>
      </candidateList>
      <explain>文本全半角错误。</explain>
      <paraID>1F3E78B9</paraID>
      <start>19</start>
      <end>20</end>
      <status>ignored</status>
      <modifiedWord/>
      <trackRevisions>false</trackRevisions>
    </reviewItem>
    <reviewItem>
      <errorID>b3a2eeca-33cd-43a4-9a4d-73bf5b0a675f</errorID>
      <errorWord>在其它地区</errorWord>
      <group>L1_Word</group>
      <groupName>字词问题</groupName>
      <ability>L2_Alias</ability>
      <abilityName>也作/曾用词</abilityName>
      <candidateList>
        <item>在其他地区</item>
      </candidateList>
      <explain>词汇[在其它地区]为不规范表述或旧称，其规范书面表述为[在其他地区]。</explain>
      <paraID>5448DE85</paraID>
      <start>129</start>
      <end>134</end>
      <status>unmodified</status>
      <modifiedWord/>
      <trackRevisions>false</trackRevisions>
    </reviewItem>
    <reviewItem>
      <errorID>678f44c0-fcef-4ea4-aff2-9d4eb3be167e</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204DCB80</paraID>
      <start>13</start>
      <end>15</end>
      <status>unmodified</status>
      <modifiedWord/>
      <trackRevisions>false</trackRevisions>
    </reviewItem>
    <reviewItem>
      <errorID>40775307-33d9-4911-9918-a493aaf2cefe</errorID>
      <errorWord>(</errorWord>
      <group>L1_Format</group>
      <groupName>格式问题</groupName>
      <ability>L2_HalfPunc</ability>
      <abilityName>全半角检查</abilityName>
      <candidateList>
        <item>（</item>
      </candidateList>
      <explain>文本全半角错误。</explain>
      <paraID>40E35BEC</paraID>
      <start>9</start>
      <end>10</end>
      <status>unmodified</status>
      <modifiedWord/>
      <trackRevisions>false</trackRevisions>
    </reviewItem>
    <reviewItem>
      <errorID>6ce1e26b-8275-47dd-a099-436ea54a30a8</errorID>
      <errorWord>)</errorWord>
      <group>L1_Format</group>
      <groupName>格式问题</groupName>
      <ability>L2_HalfPunc</ability>
      <abilityName>全半角检查</abilityName>
      <candidateList>
        <item>）</item>
      </candidateList>
      <explain>文本全半角错误。</explain>
      <paraID>40E35BEC</paraID>
      <start>14</start>
      <end>15</end>
      <status>ignored</status>
      <modifiedWord/>
      <trackRevisions>false</trackRevisions>
    </reviewItem>
    <reviewItem>
      <errorID>dcd1d5f6-847d-465a-8a21-648601181a2f</errorID>
      <errorWord>(</errorWord>
      <group>L1_Format</group>
      <groupName>格式问题</groupName>
      <ability>L2_HalfPunc</ability>
      <abilityName>全半角检查</abilityName>
      <candidateList>
        <item>（</item>
      </candidateList>
      <explain>文本全半角错误。</explain>
      <paraID>6D4A3AE2</paraID>
      <start>9</start>
      <end>10</end>
      <status>unmodified</status>
      <modifiedWord/>
      <trackRevisions>false</trackRevisions>
    </reviewItem>
    <reviewItem>
      <errorID>87157191-d3a8-4474-95a6-d8a6474b9d2e</errorID>
      <errorWord>)</errorWord>
      <group>L1_Format</group>
      <groupName>格式问题</groupName>
      <ability>L2_HalfPunc</ability>
      <abilityName>全半角检查</abilityName>
      <candidateList>
        <item>）</item>
      </candidateList>
      <explain>文本全半角错误。</explain>
      <paraID>6D4A3AE2</paraID>
      <start>14</start>
      <end>15</end>
      <status>ignored</status>
      <modifiedWord/>
      <trackRevisions>false</trackRevisions>
    </reviewItem>
    <reviewItem>
      <errorID>967e2fad-7902-4dff-a340-5a57058a0670</errorID>
      <errorWord>0.3~0.4%</errorWord>
      <group>L1_Knowledge</group>
      <groupName>知识性问题</groupName>
      <ability>L2_Knowledge</ability>
      <abilityName>其他知识</abilityName>
      <candidateList>
        <item>0.3%～0.4%</item>
      </candidateList>
      <explain>1. “0.3~0.4%”中的单位“%”仅出现在后一个数字上，容易引起歧义；根据《现代汉语标点符号数字用法规范手册》，数字表示范围两边需要使用统一的格式。2. 根据标点国标 4.13 中的规则，数字、时间或地域连接符应使用（视觉上更长的）“—”或“～”。</explain>
      <paraID>1987E9BC</paraID>
      <start>58</start>
      <end>66</end>
      <status>unmodified</status>
      <modifiedWord/>
      <trackRevisions>false</trackRevisions>
    </reviewItem>
    <reviewItem>
      <errorID>8a1399cb-a79e-432f-9337-2821e8ceb508</errorID>
      <errorWord>泄露</errorWord>
      <group>L1_Word</group>
      <groupName>字词问题</groupName>
      <ability>L2_Typo</ability>
      <abilityName>字词错误</abilityName>
      <candidateList>
        <item>泄漏</item>
      </candidateList>
      <explain/>
      <paraID>75DFDF77</paraID>
      <start>15</start>
      <end>17</end>
      <status>unmodified</status>
      <modifiedWord/>
      <trackRevisions>false</trackRevisions>
    </reviewItem>
    <reviewItem>
      <errorID>8dd7a392-8375-4154-840f-1ee67f805caf</errorID>
      <errorWord>如</errorWord>
      <group>L1_Word</group>
      <groupName>字词问题</groupName>
      <ability>L2_Typo</ability>
      <abilityName>字词错误</abilityName>
      <candidateList>
        <item>如下</item>
      </candidateList>
      <explain>〈动〉如同下面所叙述或列举的：列举～｜现将应注意的事情说明～。</explain>
      <paraID>3994CA52</paraID>
      <start>28</start>
      <end>29</end>
      <status>unmodified</status>
      <modifiedWord/>
      <trackRevisions>false</trackRevisions>
    </reviewItem>
    <reviewItem>
      <errorID>820c07c1-9092-4921-9048-20e2552b3a28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54BA4DFD</paraID>
      <start>8</start>
      <end>9</end>
      <status>unmodified</status>
      <modifiedWord/>
      <trackRevisions>false</trackRevisions>
    </reviewItem>
    <reviewItem>
      <errorID>603432bf-210f-4f10-977a-073ad9708866</errorID>
      <errorWord>:</errorWord>
      <group>L1_Format</group>
      <groupName>格式问题</groupName>
      <ability>L2_HalfPunc</ability>
      <abilityName>全半角检查</abilityName>
      <candidateList>
        <item>：</item>
      </candidateList>
      <explain>文本全半角错误。</explain>
      <paraID>5D7EE800</paraID>
      <start>68</start>
      <end>69</end>
      <status>unmodified</status>
      <modifiedWord/>
      <trackRevisions>false</trackRevisions>
    </reviewItem>
    <reviewItem>
      <errorID>1025591f-08bb-4905-8bfe-bf97a0175d3b</errorID>
      <errorWord>运移</errorWord>
      <group>L1_Word</group>
      <groupName>字词问题</groupName>
      <ability>L2_Typo</ability>
      <abilityName>字词错误</abilityName>
      <candidateList>
        <item>迁移</item>
      </candidateList>
      <explain/>
      <paraID>700EFC5A</paraID>
      <start>107</start>
      <end>109</end>
      <status>unmodified</status>
      <modifiedWord/>
      <trackRevisions>false</trackRevisions>
    </reviewItem>
    <reviewItem>
      <errorID>e88ba459-de77-4578-ba71-1a4e45ca8b12</errorID>
      <errorWord>(</errorWord>
      <group>L1_Format</group>
      <groupName>格式问题</groupName>
      <ability>L2_HalfPunc</ability>
      <abilityName>全半角检查</abilityName>
      <candidateList>
        <item>（</item>
      </candidateList>
      <explain>文本全半角错误。</explain>
      <paraID>2F8DC260</paraID>
      <start>28</start>
      <end>29</end>
      <status>unmodified</status>
      <modifiedWord/>
      <trackRevisions>false</trackRevisions>
    </reviewItem>
    <reviewItem>
      <errorID>d8f07848-459c-4c95-994d-298b043a3a0a</errorID>
      <errorWord>)</errorWord>
      <group>L1_Format</group>
      <groupName>格式问题</groupName>
      <ability>L2_HalfPunc</ability>
      <abilityName>全半角检查</abilityName>
      <candidateList>
        <item>）</item>
      </candidateList>
      <explain>文本全半角错误。</explain>
      <paraID>2F8DC260</paraID>
      <start>39</start>
      <end>40</end>
      <status>ignored</status>
      <modifiedWord/>
      <trackRevisions>false</trackRevisions>
    </reviewItem>
    <reviewItem>
      <errorID>b9cc07a2-de86-49e0-842c-1ce0a6629c53</errorID>
      <errorWord>(</errorWord>
      <group>L1_Format</group>
      <groupName>格式问题</groupName>
      <ability>L2_HalfPunc</ability>
      <abilityName>全半角检查</abilityName>
      <candidateList>
        <item>（</item>
      </candidateList>
      <explain>文本全半角错误。</explain>
      <paraID>5BD7C304</paraID>
      <start>25</start>
      <end>26</end>
      <status>unmodified</status>
      <modifiedWord/>
      <trackRevisions>false</trackRevisions>
    </reviewItem>
    <reviewItem>
      <errorID>cf4bc7d7-ac1e-4336-a77d-c1fdf3a98fe4</errorID>
      <errorWord>)</errorWord>
      <group>L1_Format</group>
      <groupName>格式问题</groupName>
      <ability>L2_HalfPunc</ability>
      <abilityName>全半角检查</abilityName>
      <candidateList>
        <item>）</item>
      </candidateList>
      <explain>文本全半角错误。</explain>
      <paraID>5BD7C304</paraID>
      <start>39</start>
      <end>40</end>
      <status>ignored</status>
      <modifiedWord/>
      <trackRevisions>false</trackRevisions>
    </reviewItem>
    <reviewItem>
      <errorID>b4963c69-3973-4201-be71-ab2cd55034f0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78ABD962</paraID>
      <start>0</start>
      <end>2</end>
      <status>unmodified</status>
      <modifiedWord/>
      <trackRevisions>false</trackRevisions>
    </reviewItem>
    <reviewItem>
      <errorID>e0b97320-1774-4ab2-9fe4-aad404869d3e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638AC117</paraID>
      <start>0</start>
      <end>2</end>
      <status>unmodified</status>
      <modifiedWord/>
      <trackRevisions>false</trackRevisions>
    </reviewItem>
    <reviewItem>
      <errorID>a754abef-0d11-496c-87a6-0517fdab08a3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663A9975</paraID>
      <start>0</start>
      <end>2</end>
      <status>unmodified</status>
      <modifiedWord/>
      <trackRevisions>false</trackRevisions>
    </reviewItem>
    <reviewItem>
      <errorID>8a1c1773-a455-4085-8456-e8d5ef32dc2f</errorID>
      <errorWord>(</errorWord>
      <group>L1_Format</group>
      <groupName>格式问题</groupName>
      <ability>L2_HalfPunc</ability>
      <abilityName>全半角检查</abilityName>
      <candidateList>
        <item>（</item>
      </candidateList>
      <explain>文本全半角错误。</explain>
      <paraID>194CC9DA</paraID>
      <start>18</start>
      <end>19</end>
      <status>unmodified</status>
      <modifiedWord/>
      <trackRevisions>false</trackRevisions>
    </reviewItem>
    <reviewItem>
      <errorID>c25ab51c-cb38-4bdd-8b01-0d077e717e7f</errorID>
      <errorWord>)</errorWord>
      <group>L1_Format</group>
      <groupName>格式问题</groupName>
      <ability>L2_HalfPunc</ability>
      <abilityName>全半角检查</abilityName>
      <candidateList>
        <item>）</item>
      </candidateList>
      <explain>文本全半角错误。</explain>
      <paraID>194CC9DA</paraID>
      <start>27</start>
      <end>28</end>
      <status>ignored</status>
      <modifiedWord/>
      <trackRevisions>false</trackRevisions>
    </reviewItem>
    <reviewItem>
      <errorID>0210fe56-f7ad-424d-9eb5-fff8b2602060</errorID>
      <errorWord>(</errorWord>
      <group>L1_Format</group>
      <groupName>格式问题</groupName>
      <ability>L2_HalfPunc</ability>
      <abilityName>全半角检查</abilityName>
      <candidateList>
        <item>（</item>
      </candidateList>
      <explain>文本全半角错误。</explain>
      <paraID>5A0AFF08</paraID>
      <start>1</start>
      <end>2</end>
      <status>unmodified</status>
      <modifiedWord/>
      <trackRevisions>false</trackRevisions>
    </reviewItem>
    <reviewItem>
      <errorID>d91ab8e6-cfa8-492c-8a94-19cbb343f8f7</errorID>
      <errorWord>)</errorWord>
      <group>L1_Format</group>
      <groupName>格式问题</groupName>
      <ability>L2_HalfPunc</ability>
      <abilityName>全半角检查</abilityName>
      <candidateList>
        <item>）</item>
      </candidateList>
      <explain>文本全半角错误。</explain>
      <paraID>5A0AFF08</paraID>
      <start>12</start>
      <end>13</end>
      <status>ignored</status>
      <modifiedWord/>
      <trackRevisions>false</trackRevisions>
    </reviewItem>
    <reviewItem>
      <errorID>ac4d9a0c-8760-4368-b8b4-5b46a2fba163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112B3BF9</paraID>
      <start>128</start>
      <end>129</end>
      <status>unmodified</status>
      <modifiedWord/>
      <trackRevisions>false</trackRevisions>
    </reviewItem>
    <reviewItem>
      <errorID>c4d3bd22-87cf-4b05-b473-02ed8db4facd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112B3BF9</paraID>
      <start>154</start>
      <end>155</end>
      <status>unmodified</status>
      <modifiedWord/>
      <trackRevisions>false</trackRevisions>
    </reviewItem>
    <reviewItem>
      <errorID>6baf2ced-6b57-426f-ac2f-159e18018164</errorID>
      <errorWord>~</errorWord>
      <group>L1_Format</group>
      <groupName>格式问题</groupName>
      <ability>L2_HalfPunc</ability>
      <abilityName>全半角检查</abilityName>
      <candidateList>
        <item>～</item>
      </candidateList>
      <explain>文本全半角错误。</explain>
      <paraID>112B3BF9</paraID>
      <start>164</start>
      <end>165</end>
      <status>unmodified</status>
      <modifiedWord/>
      <trackRevisions>false</trackRevisions>
    </reviewItem>
    <reviewItem>
      <errorID>2d759a6b-5d2e-498c-ae6c-4ae7ddb68399</errorID>
      <errorWord>(</errorWord>
      <group>L1_Format</group>
      <groupName>格式问题</groupName>
      <ability>L2_HalfPunc</ability>
      <abilityName>全半角检查</abilityName>
      <candidateList>
        <item>（</item>
      </candidateList>
      <explain>文本全半角错误。</explain>
      <paraID>22DEA2D7</paraID>
      <start>5</start>
      <end>6</end>
      <status>unmodified</status>
      <modifiedWord/>
      <trackRevisions>false</trackRevisions>
    </reviewItem>
    <reviewItem>
      <errorID>9efee741-a40a-4965-8670-80648b6a211c</errorID>
      <errorWord>)</errorWord>
      <group>L1_Format</group>
      <groupName>格式问题</groupName>
      <ability>L2_HalfPunc</ability>
      <abilityName>全半角检查</abilityName>
      <candidateList>
        <item>）</item>
      </candidateList>
      <explain>文本全半角错误。</explain>
      <paraID>22DEA2D7</paraID>
      <start>10</start>
      <end>11</end>
      <status>ignored</status>
      <modifiedWord/>
      <trackRevisions>false</trackRevisions>
    </reviewItem>
    <reviewItem>
      <errorID>f1576d5c-da6b-429d-a104-03c76f1b66a4</errorID>
      <errorWord>（</errorWord>
      <group>L1_Format</group>
      <groupName>格式问题</groupName>
      <ability>L2_HalfPunc</ability>
      <abilityName>全半角检查</abilityName>
      <candidateList>
        <item>(</item>
      </candidateList>
      <explain>文本全半角错误。</explain>
      <paraID>38F04EAE</paraID>
      <start>0</start>
      <end>1</end>
      <status>unmodified</status>
      <modifiedWord/>
      <trackRevisions>false</trackRevisions>
    </reviewItem>
    <reviewItem>
      <errorID>7b14e736-3203-4f72-bc41-727810875323</errorID>
      <errorWord>）</errorWord>
      <group>L1_Format</group>
      <groupName>格式问题</groupName>
      <ability>L2_HalfPunc</ability>
      <abilityName>全半角检查</abilityName>
      <candidateList>
        <item>)</item>
      </candidateList>
      <explain>文本全半角错误。</explain>
      <paraID>38F04EAE</paraID>
      <start>8</start>
      <end>9</end>
      <status>unmodified</status>
      <modifiedWord/>
      <trackRevisions>false</trackRevisions>
    </reviewItem>
    <reviewItem>
      <errorID>5d3eba8e-caea-4137-abe4-8237d99d1cae</errorID>
      <errorWord>；</errorWord>
      <group>L1_Format</group>
      <groupName>格式问题</groupName>
      <ability>L2_HalfPunc</ability>
      <abilityName>全半角检查</abilityName>
      <candidateList>
        <item>; </item>
      </candidateList>
      <explain>文本全半角错误。</explain>
      <paraID>15AC34BE</paraID>
      <start>4</start>
      <end>5</end>
      <status>unmodified</status>
      <modifiedWord/>
      <trackRevisions>false</trackRevisions>
    </reviewItem>
    <reviewItem>
      <errorID>c2be2c02-160e-4645-9f70-32438ff2b4c2</errorID>
      <errorWord>；</errorWord>
      <group>L1_Format</group>
      <groupName>格式问题</groupName>
      <ability>L2_HalfPunc</ability>
      <abilityName>全半角检查</abilityName>
      <candidateList>
        <item>; </item>
      </candidateList>
      <explain>文本全半角错误。</explain>
      <paraID>15AC34BE</paraID>
      <start>9</start>
      <end>10</end>
      <status>unmodified</status>
      <modifiedWord/>
      <trackRevisions>false</trackRevisions>
    </reviewItem>
    <reviewItem>
      <errorID>a9c3c511-c273-4a13-a37c-a50b0dad0639</errorID>
      <errorWord>；</errorWord>
      <group>L1_Format</group>
      <groupName>格式问题</groupName>
      <ability>L2_HalfPunc</ability>
      <abilityName>全半角检查</abilityName>
      <candidateList>
        <item>; </item>
      </candidateList>
      <explain>文本全半角错误。</explain>
      <paraID>15AC34BE</paraID>
      <start>14</start>
      <end>15</end>
      <status>unmodified</status>
      <modifiedWord/>
      <trackRevisions>false</trackRevisions>
    </reviewItem>
    <reviewItem>
      <errorID>e8493daa-c30e-41f7-ab0f-357d7125fc7c</errorID>
      <errorWord>；</errorWord>
      <group>L1_Format</group>
      <groupName>格式问题</groupName>
      <ability>L2_HalfPunc</ability>
      <abilityName>全半角检查</abilityName>
      <candidateList>
        <item>;</item>
      </candidateList>
      <explain>文本全半角错误。</explain>
      <paraID>15AC34BE</paraID>
      <start>19</start>
      <end>20</end>
      <status>unmodified</status>
      <modifiedWord/>
      <trackRevisions>false</trackRevisions>
    </reviewItem>
    <reviewItem>
      <errorID>25e82953-59f0-4c6f-90fe-c1a06ab671f1</errorID>
      <errorWord>~</errorWord>
      <group>L1_Format</group>
      <groupName>格式问题</groupName>
      <ability>L2_HalfPunc</ability>
      <abilityName>全半角检查</abilityName>
      <candidateList>
        <item>～</item>
      </candidateList>
      <explain>文本全半角错误。</explain>
      <paraID>5A683ACC</paraID>
      <start>10</start>
      <end>11</end>
      <status>unmodified</status>
      <modifiedWord/>
      <trackRevisions>false</trackRevisions>
    </reviewItem>
    <reviewItem>
      <errorID>823541f2-f654-409f-a687-a9430ba0d094</errorID>
      <errorWord>~</errorWord>
      <group>L1_Format</group>
      <groupName>格式问题</groupName>
      <ability>L2_HalfPunc</ability>
      <abilityName>全半角检查</abilityName>
      <candidateList>
        <item>～</item>
      </candidateList>
      <explain>文本全半角错误。</explain>
      <paraID>5A683ACC</paraID>
      <start>19</start>
      <end>20</end>
      <status>unmodified</status>
      <modifiedWord/>
      <trackRevisions>false</trackRevisions>
    </reviewItem>
    <reviewItem>
      <errorID>9ae8419b-5224-400a-9a91-88d31fabbe4e</errorID>
      <errorWord>~</errorWord>
      <group>L1_Format</group>
      <groupName>格式问题</groupName>
      <ability>L2_HalfPunc</ability>
      <abilityName>全半角检查</abilityName>
      <candidateList>
        <item>～</item>
      </candidateList>
      <explain>文本全半角错误。</explain>
      <paraID>5A683ACC</paraID>
      <start>24</start>
      <end>25</end>
      <status>unmodified</status>
      <modifiedWord/>
      <trackRevisions>false</trackRevisions>
    </reviewItem>
    <reviewItem>
      <errorID>2600a9b6-c731-47d6-b2b5-af0972e6fecd</errorID>
      <errorWord>(</errorWord>
      <group>L1_Format</group>
      <groupName>格式问题</groupName>
      <ability>L2_HalfPunc</ability>
      <abilityName>全半角检查</abilityName>
      <candidateList>
        <item>（</item>
      </candidateList>
      <explain>文本全半角错误。</explain>
      <paraID>29717BAF</paraID>
      <start>32</start>
      <end>33</end>
      <status>unmodified</status>
      <modifiedWord/>
      <trackRevisions>false</trackRevisions>
    </reviewItem>
    <reviewItem>
      <errorID>b87902d7-a5db-4ec4-9ef3-5df68e84c765</errorID>
      <errorWord>)</errorWord>
      <group>L1_Format</group>
      <groupName>格式问题</groupName>
      <ability>L2_HalfPunc</ability>
      <abilityName>全半角检查</abilityName>
      <candidateList>
        <item>）</item>
      </candidateList>
      <explain>文本全半角错误。</explain>
      <paraID>29717BAF</paraID>
      <start>34</start>
      <end>35</end>
      <status>ignored</status>
      <modifiedWord/>
      <trackRevisions>false</trackRevisions>
    </reviewItem>
    <reviewItem>
      <errorID>1c7218fc-13f0-42b3-a0e1-2ee4fdbdfeeb</errorID>
      <errorWord>)</errorWord>
      <group>L1_Format</group>
      <groupName>格式问题</groupName>
      <ability>L2_HalfPunc</ability>
      <abilityName>全半角检查</abilityName>
      <candidateList>
        <item>）</item>
      </candidateList>
      <explain>文本全半角错误。</explain>
      <paraID>21A4C5C2</paraID>
      <start>15</start>
      <end>16</end>
      <status>ignored</status>
      <modifiedWord/>
      <trackRevisions>false</trackRevisions>
    </reviewItem>
    <reviewItem>
      <errorID>70f058c0-3676-4dfe-b4df-4c911eafa628</errorID>
      <errorWord>（/</errorWord>
      <group>L1_Punc</group>
      <groupName>标点问题</groupName>
      <ability>L2_Punc</ability>
      <abilityName>标点符号检查</abilityName>
      <candidateList>
        <item>（</item>
      </candidateList>
      <explain/>
      <paraID>22A1931E</paraID>
      <start>4</start>
      <end>6</end>
      <status>unmodified</status>
      <modifiedWord/>
      <trackRevisions>false</trackRevisions>
    </reviewItem>
    <reviewItem>
      <errorID>fdb1b0fe-eb31-4b03-8041-596cc036bf45</errorID>
      <errorWord>（/</errorWord>
      <group>L1_Punc</group>
      <groupName>标点问题</groupName>
      <ability>L2_Punc</ability>
      <abilityName>标点符号检查</abilityName>
      <candidateList>
        <item>（</item>
      </candidateList>
      <explain/>
      <paraID>22A1931E</paraID>
      <start>13</start>
      <end>15</end>
      <status>unmodified</status>
      <modifiedWord/>
      <trackRevisions>false</trackRevisions>
    </reviewItem>
    <reviewItem>
      <errorID>852bb651-8f60-4d62-b09c-30b2fcf3064b</errorID>
      <errorWord>IV</errorWord>
      <group>L1_Knowledge</group>
      <groupName>知识性问题</groupName>
      <ability>L2_Knowledge</ability>
      <abilityName>其他知识</abilityName>
      <candidateList>
        <item>Ⅳ</item>
      </candidateList>
      <explain/>
      <paraID>597EAB78</paraID>
      <start>19</start>
      <end>21</end>
      <status>unmodified</status>
      <modifiedWord/>
      <trackRevisions>false</trackRevisions>
    </reviewItem>
    <reviewItem>
      <errorID>9065b4f0-3d26-4d9a-9c2f-e499f99ff1ea</errorID>
      <errorWord>IV</errorWord>
      <group>L1_Knowledge</group>
      <groupName>知识性问题</groupName>
      <ability>L2_Knowledge</ability>
      <abilityName>其他知识</abilityName>
      <candidateList>
        <item>Ⅳ</item>
      </candidateList>
      <explain/>
      <paraID> AB5A0B8</paraID>
      <start>20</start>
      <end>22</end>
      <status>unmodified</status>
      <modifiedWord/>
      <trackRevisions>false</trackRevisions>
    </reviewItem>
    <reviewItem>
      <errorID>993fe908-63dc-47b8-b4b5-e6ee8d88f473</errorID>
      <errorWord>III</errorWord>
      <group>L1_Knowledge</group>
      <groupName>知识性问题</groupName>
      <ability>L2_Knowledge</ability>
      <abilityName>其他知识</abilityName>
      <candidateList>
        <item>Ⅲ</item>
      </candidateList>
      <explain/>
      <paraID>588FCA67</paraID>
      <start>20</start>
      <end>23</end>
      <status>unmodified</status>
      <modifiedWord/>
      <trackRevisions>false</trackRevisions>
    </reviewItem>
    <reviewItem>
      <errorID>4a79d476-77ab-41aa-bdfd-84fe073cd45e</errorID>
      <errorWord>IV</errorWord>
      <group>L1_Knowledge</group>
      <groupName>知识性问题</groupName>
      <ability>L2_Knowledge</ability>
      <abilityName>其他知识</abilityName>
      <candidateList>
        <item>Ⅳ</item>
      </candidateList>
      <explain/>
      <paraID>639820B6</paraID>
      <start>18</start>
      <end>20</end>
      <status>unmodified</status>
      <modifiedWord/>
      <trackRevisions>false</trackRevisions>
    </reviewItem>
    <reviewItem>
      <errorID>b7e4a29d-7e78-4334-a6a3-d466ac8ae4ac</errorID>
      <errorWord>泄露</errorWord>
      <group>L1_Word</group>
      <groupName>字词问题</groupName>
      <ability>L2_Typo</ability>
      <abilityName>字词错误</abilityName>
      <candidateList>
        <item>泄漏</item>
      </candidateList>
      <explain>存在发音相同字词的误用。</explain>
      <paraID> 564A17A</paraID>
      <start>52</start>
      <end>54</end>
      <status>unmodified</status>
      <modifiedWord/>
      <trackRevisions>false</trackRevisions>
    </reviewItem>
    <reviewItem>
      <errorID>5aac64b3-839e-4b5a-97e7-a40d93dc3ebc</errorID>
      <errorWord>（</errorWord>
      <group>L1_Format</group>
      <groupName>格式问题</groupName>
      <ability>L2_HalfPunc</ability>
      <abilityName>全半角检查</abilityName>
      <candidateList>
        <item>(</item>
      </candidateList>
      <explain>文本全半角错误。</explain>
      <paraID> DA8B9BF</paraID>
      <start>10</start>
      <end>11</end>
      <status>unmodified</status>
      <modifiedWord/>
      <trackRevisions>false</trackRevisions>
    </reviewItem>
    <reviewItem>
      <errorID>78b40afc-7e98-43b8-af09-a8c778185513</errorID>
      <errorWord>）</errorWord>
      <group>L1_Format</group>
      <groupName>格式问题</groupName>
      <ability>L2_HalfPunc</ability>
      <abilityName>全半角检查</abilityName>
      <candidateList>
        <item>)</item>
      </candidateList>
      <explain>文本全半角错误。</explain>
      <paraID> DA8B9BF</paraID>
      <start>14</start>
      <end>15</end>
      <status>unmodified</status>
      <modifiedWord/>
      <trackRevisions>false</trackRevisions>
    </reviewItem>
    <reviewItem>
      <errorID>1398b57e-97cb-4f2d-a9f5-6bbca9ac6bb7</errorID>
      <errorWord>（</errorWord>
      <group>L1_Format</group>
      <groupName>格式问题</groupName>
      <ability>L2_HalfPunc</ability>
      <abilityName>全半角检查</abilityName>
      <candidateList>
        <item>(</item>
      </candidateList>
      <explain>文本全半角错误。</explain>
      <paraID>2DA657E3</paraID>
      <start>10</start>
      <end>11</end>
      <status>unmodified</status>
      <modifiedWord/>
      <trackRevisions>false</trackRevisions>
    </reviewItem>
    <reviewItem>
      <errorID>6c8e4f0f-f821-4172-971e-4eda14e152d2</errorID>
      <errorWord>）</errorWord>
      <group>L1_Format</group>
      <groupName>格式问题</groupName>
      <ability>L2_HalfPunc</ability>
      <abilityName>全半角检查</abilityName>
      <candidateList>
        <item>)</item>
      </candidateList>
      <explain>文本全半角错误。</explain>
      <paraID>2DA657E3</paraID>
      <start>14</start>
      <end>15</end>
      <status>unmodified</status>
      <modifiedWord/>
      <trackRevisions>false</trackRevisions>
    </reviewItem>
    <reviewItem>
      <errorID>b13d8fb5-c664-4fb0-a0d2-47e7f9d6173a</errorID>
      <errorWord>（</errorWord>
      <group>L1_Format</group>
      <groupName>格式问题</groupName>
      <ability>L2_HalfPunc</ability>
      <abilityName>全半角检查</abilityName>
      <candidateList>
        <item>(</item>
      </candidateList>
      <explain>文本全半角错误。</explain>
      <paraID>2ACA0987</paraID>
      <start>10</start>
      <end>11</end>
      <status>unmodified</status>
      <modifiedWord/>
      <trackRevisions>false</trackRevisions>
    </reviewItem>
    <reviewItem>
      <errorID>51c75040-f508-4e11-8426-23956fc95dc1</errorID>
      <errorWord>）</errorWord>
      <group>L1_Format</group>
      <groupName>格式问题</groupName>
      <ability>L2_HalfPunc</ability>
      <abilityName>全半角检查</abilityName>
      <candidateList>
        <item>)</item>
      </candidateList>
      <explain>文本全半角错误。</explain>
      <paraID>2ACA0987</paraID>
      <start>14</start>
      <end>15</end>
      <status>unmodified</status>
      <modifiedWord/>
      <trackRevisions>false</trackRevisions>
    </reviewItem>
    <reviewItem>
      <errorID>3f51ce7b-5233-4902-af57-e885024c8521</errorID>
      <errorWord>（</errorWord>
      <group>L1_Format</group>
      <groupName>格式问题</groupName>
      <ability>L2_HalfPunc</ability>
      <abilityName>全半角检查</abilityName>
      <candidateList>
        <item>(</item>
      </candidateList>
      <explain>文本全半角错误。</explain>
      <paraID>75E513CA</paraID>
      <start>10</start>
      <end>11</end>
      <status>unmodified</status>
      <modifiedWord/>
      <trackRevisions>false</trackRevisions>
    </reviewItem>
    <reviewItem>
      <errorID>bc5ef913-1d98-4eab-b5e4-22b9609ce289</errorID>
      <errorWord>）</errorWord>
      <group>L1_Format</group>
      <groupName>格式问题</groupName>
      <ability>L2_HalfPunc</ability>
      <abilityName>全半角检查</abilityName>
      <candidateList>
        <item>)</item>
      </candidateList>
      <explain>文本全半角错误。</explain>
      <paraID>75E513CA</paraID>
      <start>14</start>
      <end>15</end>
      <status>unmodified</status>
      <modifiedWord/>
      <trackRevisions>false</trackRevisions>
    </reviewItem>
    <reviewItem>
      <errorID>c92a987a-13c5-46ce-8e23-eba250f6d287</errorID>
      <errorWord>（</errorWord>
      <group>L1_Format</group>
      <groupName>格式问题</groupName>
      <ability>L2_HalfPunc</ability>
      <abilityName>全半角检查</abilityName>
      <candidateList>
        <item>(</item>
      </candidateList>
      <explain>文本全半角错误。</explain>
      <paraID>7135BB65</paraID>
      <start>7</start>
      <end>8</end>
      <status>unmodified</status>
      <modifiedWord/>
      <trackRevisions>false</trackRevisions>
    </reviewItem>
    <reviewItem>
      <errorID>d44052a6-8c6b-4132-914a-7fdb666a933b</errorID>
      <errorWord>）</errorWord>
      <group>L1_Format</group>
      <groupName>格式问题</groupName>
      <ability>L2_HalfPunc</ability>
      <abilityName>全半角检查</abilityName>
      <candidateList>
        <item>)</item>
      </candidateList>
      <explain>文本全半角错误。</explain>
      <paraID>7135BB65</paraID>
      <start>11</start>
      <end>12</end>
      <status>unmodified</status>
      <modifiedWord/>
      <trackRevisions>false</trackRevisions>
    </reviewItem>
    <reviewItem>
      <errorID>27f9a620-d633-41b2-be46-e9a8e0e2dba1</errorID>
      <errorWord>（</errorWord>
      <group>L1_Format</group>
      <groupName>格式问题</groupName>
      <ability>L2_HalfPunc</ability>
      <abilityName>全半角检查</abilityName>
      <candidateList>
        <item>(</item>
      </candidateList>
      <explain>文本全半角错误。</explain>
      <paraID>5B61144D</paraID>
      <start>10</start>
      <end>11</end>
      <status>unmodified</status>
      <modifiedWord/>
      <trackRevisions>false</trackRevisions>
    </reviewItem>
    <reviewItem>
      <errorID>d8316c5d-77a7-4c71-98e4-8aa141643cd1</errorID>
      <errorWord>）</errorWord>
      <group>L1_Format</group>
      <groupName>格式问题</groupName>
      <ability>L2_HalfPunc</ability>
      <abilityName>全半角检查</abilityName>
      <candidateList>
        <item>)</item>
      </candidateList>
      <explain>文本全半角错误。</explain>
      <paraID>5B61144D</paraID>
      <start>14</start>
      <end>15</end>
      <status>unmodified</status>
      <modifiedWord/>
      <trackRevisions>false</trackRevisions>
    </reviewItem>
    <reviewItem>
      <errorID>0adf425f-6357-47d8-81fc-54cfdf06758f</errorID>
      <errorWord>泄露</errorWord>
      <group>L1_Word</group>
      <groupName>字词问题</groupName>
      <ability>L2_Typo</ability>
      <abilityName>字词错误</abilityName>
      <candidateList>
        <item>泄漏</item>
      </candidateList>
      <explain>存在发音相同字词的误用。</explain>
      <paraID>5A7DA391</paraID>
      <start>3</start>
      <end>5</end>
      <status>unmodified</status>
      <modifiedWord/>
      <trackRevisions>false</trackRevisions>
    </reviewItem>
    <reviewItem>
      <errorID>b0ddbe51-8275-4e5c-a6d9-185d4653d046</errorID>
      <errorWord>(</errorWord>
      <group>L1_Format</group>
      <groupName>格式问题</groupName>
      <ability>L2_HalfPunc</ability>
      <abilityName>全半角检查</abilityName>
      <candidateList>
        <item>（</item>
      </candidateList>
      <explain>文本全半角错误。</explain>
      <paraID>5A7DA391</paraID>
      <start>7</start>
      <end>8</end>
      <status>unmodified</status>
      <modifiedWord/>
      <trackRevisions>false</trackRevisions>
    </reviewItem>
    <reviewItem>
      <errorID>2db6ebb6-f550-490b-b5b2-66c78c2142cc</errorID>
      <errorWord>)</errorWord>
      <group>L1_Format</group>
      <groupName>格式问题</groupName>
      <ability>L2_HalfPunc</ability>
      <abilityName>全半角检查</abilityName>
      <candidateList>
        <item>）</item>
      </candidateList>
      <explain>文本全半角错误。</explain>
      <paraID>5A7DA391</paraID>
      <start>12</start>
      <end>13</end>
      <status>ignored</status>
      <modifiedWord/>
      <trackRevisions>false</trackRevisions>
    </reviewItem>
    <reviewItem>
      <errorID>f1eb0115-27ed-4e50-b3b9-e5924834585d</errorID>
      <errorWord>(</errorWord>
      <group>L1_Format</group>
      <groupName>格式问题</groupName>
      <ability>L2_HalfPunc</ability>
      <abilityName>全半角检查</abilityName>
      <candidateList>
        <item>（</item>
      </candidateList>
      <explain>文本全半角错误。</explain>
      <paraID>27C355CE</paraID>
      <start>7</start>
      <end>8</end>
      <status>unmodified</status>
      <modifiedWord/>
      <trackRevisions>false</trackRevisions>
    </reviewItem>
    <reviewItem>
      <errorID>10b16354-f3aa-4730-929f-4c8f3f2645e3</errorID>
      <errorWord>)</errorWord>
      <group>L1_Format</group>
      <groupName>格式问题</groupName>
      <ability>L2_HalfPunc</ability>
      <abilityName>全半角检查</abilityName>
      <candidateList>
        <item>）</item>
      </candidateList>
      <explain>文本全半角错误。</explain>
      <paraID>27C355CE</paraID>
      <start>11</start>
      <end>12</end>
      <status>ignored</status>
      <modifiedWord/>
      <trackRevisions>false</trackRevisions>
    </reviewItem>
    <reviewItem>
      <errorID>a28fc1cd-f3e9-4f83-86d9-75f537b37dd2</errorID>
      <errorWord>泄露</errorWord>
      <group>L1_Word</group>
      <groupName>字词问题</groupName>
      <ability>L2_Typo</ability>
      <abilityName>字词错误</abilityName>
      <candidateList>
        <item>泄漏</item>
      </candidateList>
      <explain>存在发音相同字词的误用。</explain>
      <paraID>3C14C6FA</paraID>
      <start>6</start>
      <end>8</end>
      <status>unmodified</status>
      <modifiedWord/>
      <trackRevisions>false</trackRevisions>
    </reviewItem>
    <reviewItem>
      <errorID>df10ab10-611c-4a48-8504-fa4f68c36ec5</errorID>
      <errorWord>(</errorWord>
      <group>L1_Format</group>
      <groupName>格式问题</groupName>
      <ability>L2_HalfPunc</ability>
      <abilityName>全半角检查</abilityName>
      <candidateList>
        <item>（</item>
      </candidateList>
      <explain>文本全半角错误。</explain>
      <paraID>3C14C6FA</paraID>
      <start>9</start>
      <end>10</end>
      <status>unmodified</status>
      <modifiedWord/>
      <trackRevisions>false</trackRevisions>
    </reviewItem>
    <reviewItem>
      <errorID>a5e03fcd-c0e2-4489-a229-036d9e07b8d8</errorID>
      <errorWord>)</errorWord>
      <group>L1_Format</group>
      <groupName>格式问题</groupName>
      <ability>L2_HalfPunc</ability>
      <abilityName>全半角检查</abilityName>
      <candidateList>
        <item>）</item>
      </candidateList>
      <explain>文本全半角错误。</explain>
      <paraID>3C14C6FA</paraID>
      <start>12</start>
      <end>13</end>
      <status>ignored</status>
      <modifiedWord/>
      <trackRevisions>false</trackRevisions>
    </reviewItem>
    <reviewItem>
      <errorID>730c8629-36ef-4f3a-b863-a65d6371e7fa</errorID>
      <errorWord>泄露</errorWord>
      <group>L1_Word</group>
      <groupName>字词问题</groupName>
      <ability>L2_Typo</ability>
      <abilityName>字词错误</abilityName>
      <candidateList>
        <item>泄漏</item>
      </candidateList>
      <explain>存在发音相同字词的误用。</explain>
      <paraID>14995396</paraID>
      <start>0</start>
      <end>2</end>
      <status>unmodified</status>
      <modifiedWord/>
      <trackRevisions>false</trackRevisions>
    </reviewItem>
    <reviewItem>
      <errorID>ebeb4def-7904-4e04-987f-7952955aae97</errorID>
      <errorWord>(</errorWord>
      <group>L1_Format</group>
      <groupName>格式问题</groupName>
      <ability>L2_HalfPunc</ability>
      <abilityName>全半角检查</abilityName>
      <candidateList>
        <item>（</item>
      </candidateList>
      <explain>文本全半角错误。</explain>
      <paraID>14995396</paraID>
      <start>7</start>
      <end>8</end>
      <status>unmodified</status>
      <modifiedWord/>
      <trackRevisions>false</trackRevisions>
    </reviewItem>
    <reviewItem>
      <errorID>5206b105-0574-4d45-bb4e-4352c880f23b</errorID>
      <errorWord>)</errorWord>
      <group>L1_Format</group>
      <groupName>格式问题</groupName>
      <ability>L2_HalfPunc</ability>
      <abilityName>全半角检查</abilityName>
      <candidateList>
        <item>）</item>
      </candidateList>
      <explain>文本全半角错误。</explain>
      <paraID>14995396</paraID>
      <start>10</start>
      <end>11</end>
      <status>ignored</status>
      <modifiedWord/>
      <trackRevisions>false</trackRevisions>
    </reviewItem>
    <reviewItem>
      <errorID>4185eef7-6f32-42e3-baf8-15b0c77fc4f3</errorID>
      <errorWord>泄露</errorWord>
      <group>L1_Word</group>
      <groupName>字词问题</groupName>
      <ability>L2_Typo</ability>
      <abilityName>字词错误</abilityName>
      <candidateList>
        <item>泄漏</item>
      </candidateList>
      <explain/>
      <paraID>1903F199</paraID>
      <start>3</start>
      <end>5</end>
      <status>unmodified</status>
      <modifiedWord/>
      <trackRevisions>false</trackRevisions>
    </reviewItem>
    <reviewItem>
      <errorID>95151a29-d34a-42e7-b216-291c7e3ab7e0</errorID>
      <errorWord>并次</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5BFCC2AD</paraID>
      <start>57</start>
      <end>59</end>
      <status>unmodified</status>
      <modifiedWord/>
      <trackRevisions>false</trackRevisions>
    </reviewItem>
    <reviewItem>
      <errorID>1be5bb1d-247c-4380-bc2a-3131d8df1323</errorID>
      <errorWord>(</errorWord>
      <group>L1_Format</group>
      <groupName>格式问题</groupName>
      <ability>L2_HalfPunc</ability>
      <abilityName>全半角检查</abilityName>
      <candidateList>
        <item>（</item>
      </candidateList>
      <explain>文本全半角错误。</explain>
      <paraID>5BFCC2AD</paraID>
      <start>197</start>
      <end>198</end>
      <status>unmodified</status>
      <modifiedWord/>
      <trackRevisions>false</trackRevisions>
    </reviewItem>
    <reviewItem>
      <errorID>83867a0a-59c2-4bd6-91f6-e5797cf508f0</errorID>
      <errorWord>)</errorWord>
      <group>L1_Format</group>
      <groupName>格式问题</groupName>
      <ability>L2_HalfPunc</ability>
      <abilityName>全半角检查</abilityName>
      <candidateList>
        <item>）</item>
      </candidateList>
      <explain>文本全半角错误。</explain>
      <paraID>5BFCC2AD</paraID>
      <start>208</start>
      <end>209</end>
      <status>ignored</status>
      <modifiedWord/>
      <trackRevisions>false</trackRevisions>
    </reviewItem>
    <reviewItem>
      <errorID>5ff99ece-0163-4ae2-9239-59d4236d4dbb</errorID>
      <errorWord>1.5~6.0%</errorWord>
      <group>L1_Knowledge</group>
      <groupName>知识性问题</groupName>
      <ability>L2_Knowledge</ability>
      <abilityName>其他知识</abilityName>
      <candidateList>
        <item>1.5%～6.0%</item>
      </candidateList>
      <explain>1. “1.5~6.0%”中的单位“%”仅出现在后一个数字上，容易引起歧义；根据《现代汉语标点符号数字用法规范手册》，数字表示范围两边需要使用统一的格式。2. 根据标点国标 4.13 中的规则，数字、时间或地域连接符应使用（视觉上更长的）“—”或“～”。</explain>
      <paraID>1128C2D6</paraID>
      <start>12</start>
      <end>20</end>
      <status>unmodified</status>
      <modifiedWord/>
      <trackRevisions>false</trackRevisions>
    </reviewItem>
    <reviewItem>
      <errorID>bb1f9fd8-f4ac-48ae-b6b2-caa701860bc8</errorID>
      <errorWord>并次</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58F804B6</paraID>
      <start>24</start>
      <end>26</end>
      <status>unmodified</status>
      <modifiedWord/>
      <trackRevisions>false</trackRevisions>
    </reviewItem>
    <reviewItem>
      <errorID>19a90075-42ec-4921-a3b3-ba3daec77183</errorID>
      <errorWord>.</errorWord>
      <group>L1_Format</group>
      <groupName>格式问题</groupName>
      <ability>L2_HalfPunc</ability>
      <abilityName>全半角检查</abilityName>
      <candidateList>
        <item>。</item>
      </candidateList>
      <explain>文本全半角错误。</explain>
      <paraID>58F804B6</paraID>
      <start>41</start>
      <end>42</end>
      <status>unmodified</status>
      <modifiedWord/>
      <trackRevisions>false</trackRevisions>
    </reviewItem>
    <reviewItem>
      <errorID>947b4c1c-a46f-4ef2-9923-756b0d006c54</errorID>
      <errorWord>泄露</errorWord>
      <group>L1_Word</group>
      <groupName>字词问题</groupName>
      <ability>L2_Typo</ability>
      <abilityName>字词错误</abilityName>
      <candidateList>
        <item>泄漏</item>
      </candidateList>
      <explain>存在发音相同字词的误用。</explain>
      <paraID>272C73B3</paraID>
      <start>3</start>
      <end>5</end>
      <status>unmodified</status>
      <modifiedWord/>
      <trackRevisions>false</trackRevisions>
    </reviewItem>
    <reviewItem>
      <errorID>6b5e4d22-c2dc-47ca-b443-df82123bb954</errorID>
      <errorWord>(</errorWord>
      <group>L1_Format</group>
      <groupName>格式问题</groupName>
      <ability>L2_HalfPunc</ability>
      <abilityName>全半角检查</abilityName>
      <candidateList>
        <item>（</item>
      </candidateList>
      <explain>文本全半角错误。</explain>
      <paraID>272C73B3</paraID>
      <start>7</start>
      <end>8</end>
      <status>unmodified</status>
      <modifiedWord/>
      <trackRevisions>false</trackRevisions>
    </reviewItem>
    <reviewItem>
      <errorID>c86cb6e0-677b-43bc-841f-33202d172696</errorID>
      <errorWord>)</errorWord>
      <group>L1_Format</group>
      <groupName>格式问题</groupName>
      <ability>L2_HalfPunc</ability>
      <abilityName>全半角检查</abilityName>
      <candidateList>
        <item>）</item>
      </candidateList>
      <explain>文本全半角错误。</explain>
      <paraID>272C73B3</paraID>
      <start>12</start>
      <end>13</end>
      <status>ignored</status>
      <modifiedWord/>
      <trackRevisions>false</trackRevisions>
    </reviewItem>
    <reviewItem>
      <errorID>72b8a46a-e4c8-4e51-a39d-b91ab3272d87</errorID>
      <errorWord>(</errorWord>
      <group>L1_Format</group>
      <groupName>格式问题</groupName>
      <ability>L2_HalfPunc</ability>
      <abilityName>全半角检查</abilityName>
      <candidateList>
        <item>（</item>
      </candidateList>
      <explain>文本全半角错误。</explain>
      <paraID>7C0671AE</paraID>
      <start>7</start>
      <end>8</end>
      <status>unmodified</status>
      <modifiedWord/>
      <trackRevisions>false</trackRevisions>
    </reviewItem>
    <reviewItem>
      <errorID>c5c3f93d-b7c6-469f-888e-e8b344eec93b</errorID>
      <errorWord>)</errorWord>
      <group>L1_Format</group>
      <groupName>格式问题</groupName>
      <ability>L2_HalfPunc</ability>
      <abilityName>全半角检查</abilityName>
      <candidateList>
        <item>）</item>
      </candidateList>
      <explain>文本全半角错误。</explain>
      <paraID>7C0671AE</paraID>
      <start>11</start>
      <end>12</end>
      <status>ignored</status>
      <modifiedWord/>
      <trackRevisions>false</trackRevisions>
    </reviewItem>
    <reviewItem>
      <errorID>50b0c91f-ae71-47bc-940e-f187fd130e5b</errorID>
      <errorWord>泄露</errorWord>
      <group>L1_Word</group>
      <groupName>字词问题</groupName>
      <ability>L2_Typo</ability>
      <abilityName>字词错误</abilityName>
      <candidateList>
        <item>泄漏</item>
      </candidateList>
      <explain>存在发音相同字词的误用。</explain>
      <paraID>1DE4672B</paraID>
      <start>6</start>
      <end>8</end>
      <status>unmodified</status>
      <modifiedWord/>
      <trackRevisions>false</trackRevisions>
    </reviewItem>
    <reviewItem>
      <errorID>7255ce2d-e85e-4905-b9f3-a973b2197f19</errorID>
      <errorWord>(</errorWord>
      <group>L1_Format</group>
      <groupName>格式问题</groupName>
      <ability>L2_HalfPunc</ability>
      <abilityName>全半角检查</abilityName>
      <candidateList>
        <item>（</item>
      </candidateList>
      <explain>文本全半角错误。</explain>
      <paraID>1DE4672B</paraID>
      <start>9</start>
      <end>10</end>
      <status>unmodified</status>
      <modifiedWord/>
      <trackRevisions>false</trackRevisions>
    </reviewItem>
    <reviewItem>
      <errorID>17dbb805-27e6-48d2-a086-7ff2ba2ffcd3</errorID>
      <errorWord>)</errorWord>
      <group>L1_Format</group>
      <groupName>格式问题</groupName>
      <ability>L2_HalfPunc</ability>
      <abilityName>全半角检查</abilityName>
      <candidateList>
        <item>）</item>
      </candidateList>
      <explain>文本全半角错误。</explain>
      <paraID>1DE4672B</paraID>
      <start>12</start>
      <end>13</end>
      <status>ignored</status>
      <modifiedWord/>
      <trackRevisions>false</trackRevisions>
    </reviewItem>
    <reviewItem>
      <errorID>d9dcb7dd-6a62-4657-aa77-7b0c9d1d4a9f</errorID>
      <errorWord>泄露</errorWord>
      <group>L1_Word</group>
      <groupName>字词问题</groupName>
      <ability>L2_Typo</ability>
      <abilityName>字词错误</abilityName>
      <candidateList>
        <item>泄漏</item>
      </candidateList>
      <explain/>
      <paraID>687042E0</paraID>
      <start>3</start>
      <end>5</end>
      <status>unmodified</status>
      <modifiedWord/>
      <trackRevisions>false</trackRevisions>
    </reviewItem>
    <reviewItem>
      <errorID>6fa48511-72e4-4086-adfc-82e8a25678a2</errorID>
      <errorWord>(</errorWord>
      <group>L1_Format</group>
      <groupName>格式问题</groupName>
      <ability>L2_HalfPunc</ability>
      <abilityName>全半角检查</abilityName>
      <candidateList>
        <item>（</item>
      </candidateList>
      <explain>文本全半角错误。</explain>
      <paraID>6AE864B2</paraID>
      <start>5</start>
      <end>6</end>
      <status>unmodified</status>
      <modifiedWord/>
      <trackRevisions>false</trackRevisions>
    </reviewItem>
    <reviewItem>
      <errorID>746d0306-fb25-4bc4-a9f6-dcea09c926f3</errorID>
      <errorWord>)</errorWord>
      <group>L1_Format</group>
      <groupName>格式问题</groupName>
      <ability>L2_HalfPunc</ability>
      <abilityName>全半角检查</abilityName>
      <candidateList>
        <item>）</item>
      </candidateList>
      <explain>文本全半角错误。</explain>
      <paraID>6AE864B2</paraID>
      <start>7</start>
      <end>8</end>
      <status>ignored</status>
      <modifiedWord/>
      <trackRevisions>false</trackRevisions>
    </reviewItem>
    <reviewItem>
      <errorID>9914e194-c71d-4311-af9e-2f78405daf91</errorID>
      <errorWord>(</errorWord>
      <group>L1_Format</group>
      <groupName>格式问题</groupName>
      <ability>L2_HalfPunc</ability>
      <abilityName>全半角检查</abilityName>
      <candidateList>
        <item>（</item>
      </candidateList>
      <explain>文本全半角错误。</explain>
      <paraID>7B4507FD</paraID>
      <start>5</start>
      <end>6</end>
      <status>unmodified</status>
      <modifiedWord/>
      <trackRevisions>false</trackRevisions>
    </reviewItem>
    <reviewItem>
      <errorID>6179e106-7c82-43b7-9ab6-11379d573441</errorID>
      <errorWord>)</errorWord>
      <group>L1_Format</group>
      <groupName>格式问题</groupName>
      <ability>L2_HalfPunc</ability>
      <abilityName>全半角检查</abilityName>
      <candidateList>
        <item>）</item>
      </candidateList>
      <explain>文本全半角错误。</explain>
      <paraID>7B4507FD</paraID>
      <start>7</start>
      <end>8</end>
      <status>ignored</status>
      <modifiedWord/>
      <trackRevisions>false</trackRevisions>
    </reviewItem>
    <reviewItem>
      <errorID>95c4b440-0570-45fd-8337-4bce403c5597</errorID>
      <errorWord>(</errorWord>
      <group>L1_Format</group>
      <groupName>格式问题</groupName>
      <ability>L2_HalfPunc</ability>
      <abilityName>全半角检查</abilityName>
      <candidateList>
        <item>（</item>
      </candidateList>
      <explain>文本全半角错误。</explain>
      <paraID>1504E8B3</paraID>
      <start>2</start>
      <end>3</end>
      <status>ignored</status>
      <modifiedWord/>
      <trackRevisions>false</trackRevisions>
    </reviewItem>
    <reviewItem>
      <errorID>cae4b719-5be9-43ae-9517-04d7fdbb1691</errorID>
      <errorWord>)</errorWord>
      <group>L1_Format</group>
      <groupName>格式问题</groupName>
      <ability>L2_HalfPunc</ability>
      <abilityName>全半角检查</abilityName>
      <candidateList>
        <item>）</item>
      </candidateList>
      <explain>文本全半角错误。</explain>
      <paraID>1504E8B3</paraID>
      <start>6</start>
      <end>7</end>
      <status>ignored</status>
      <modifiedWord/>
      <trackRevisions>false</trackRevisions>
    </reviewItem>
    <reviewItem>
      <errorID>b8fae9e6-48b5-40fa-9a76-10e746a3e449</errorID>
      <errorWord>(</errorWord>
      <group>L1_Format</group>
      <groupName>格式问题</groupName>
      <ability>L2_HalfPunc</ability>
      <abilityName>全半角检查</abilityName>
      <candidateList>
        <item>（</item>
      </candidateList>
      <explain>文本全半角错误。</explain>
      <paraID>7906EB1A</paraID>
      <start>4</start>
      <end>5</end>
      <status>unmodified</status>
      <modifiedWord/>
      <trackRevisions>false</trackRevisions>
    </reviewItem>
    <reviewItem>
      <errorID>bafa3e7a-84b8-4190-abb2-287eafb3f154</errorID>
      <errorWord>)</errorWord>
      <group>L1_Format</group>
      <groupName>格式问题</groupName>
      <ability>L2_HalfPunc</ability>
      <abilityName>全半角检查</abilityName>
      <candidateList>
        <item>）</item>
      </candidateList>
      <explain>文本全半角错误。</explain>
      <paraID>7906EB1A</paraID>
      <start>6</start>
      <end>7</end>
      <status>ignored</status>
      <modifiedWord/>
      <trackRevisions>false</trackRevisions>
    </reviewItem>
    <reviewItem>
      <errorID>de03a2f7-ed2e-487c-a625-e6d43873d8fe</errorID>
      <errorWord>(</errorWord>
      <group>L1_Format</group>
      <groupName>格式问题</groupName>
      <ability>L2_HalfPunc</ability>
      <abilityName>全半角检查</abilityName>
      <candidateList>
        <item>（</item>
      </candidateList>
      <explain>文本全半角错误。</explain>
      <paraID>6E69D154</paraID>
      <start>4</start>
      <end>5</end>
      <status>unmodified</status>
      <modifiedWord/>
      <trackRevisions>false</trackRevisions>
    </reviewItem>
    <reviewItem>
      <errorID>608f794b-e9a6-4911-a2ff-dc26fd6ed686</errorID>
      <errorWord>)</errorWord>
      <group>L1_Format</group>
      <groupName>格式问题</groupName>
      <ability>L2_HalfPunc</ability>
      <abilityName>全半角检查</abilityName>
      <candidateList>
        <item>）</item>
      </candidateList>
      <explain>文本全半角错误。</explain>
      <paraID>6E69D154</paraID>
      <start>6</start>
      <end>7</end>
      <status>ignored</status>
      <modifiedWord/>
      <trackRevisions>false</trackRevisions>
    </reviewItem>
    <reviewItem>
      <errorID>4ea3e561-c2ff-4e4c-bd5e-d251e19d3c4c</errorID>
      <errorWord>(</errorWord>
      <group>L1_Format</group>
      <groupName>格式问题</groupName>
      <ability>L2_HalfPunc</ability>
      <abilityName>全半角检查</abilityName>
      <candidateList>
        <item>（</item>
      </candidateList>
      <explain>文本全半角错误。</explain>
      <paraID>25C12FDC</paraID>
      <start>5</start>
      <end>6</end>
      <status>unmodified</status>
      <modifiedWord/>
      <trackRevisions>false</trackRevisions>
    </reviewItem>
    <reviewItem>
      <errorID>e2d94616-f537-41f8-8aee-221fdaf8a9b6</errorID>
      <errorWord>)</errorWord>
      <group>L1_Format</group>
      <groupName>格式问题</groupName>
      <ability>L2_HalfPunc</ability>
      <abilityName>全半角检查</abilityName>
      <candidateList>
        <item>）</item>
      </candidateList>
      <explain>文本全半角错误。</explain>
      <paraID>25C12FDC</paraID>
      <start>7</start>
      <end>8</end>
      <status>ignored</status>
      <modifiedWord/>
      <trackRevisions>false</trackRevisions>
    </reviewItem>
    <reviewItem>
      <errorID>0d0e952a-5d28-4ce4-82d4-8a2e2fcb0c5a</errorID>
      <errorWord>(</errorWord>
      <group>L1_Format</group>
      <groupName>格式问题</groupName>
      <ability>L2_HalfPunc</ability>
      <abilityName>全半角检查</abilityName>
      <candidateList>
        <item>（</item>
      </candidateList>
      <explain>文本全半角错误。</explain>
      <paraID>449EFCF4</paraID>
      <start>5</start>
      <end>6</end>
      <status>unmodified</status>
      <modifiedWord/>
      <trackRevisions>false</trackRevisions>
    </reviewItem>
    <reviewItem>
      <errorID>5835e347-193f-48d9-a80e-84e9bb3ad8b2</errorID>
      <errorWord>)</errorWord>
      <group>L1_Format</group>
      <groupName>格式问题</groupName>
      <ability>L2_HalfPunc</ability>
      <abilityName>全半角检查</abilityName>
      <candidateList>
        <item>）</item>
      </candidateList>
      <explain>文本全半角错误。</explain>
      <paraID>449EFCF4</paraID>
      <start>7</start>
      <end>8</end>
      <status>ignored</status>
      <modifiedWord/>
      <trackRevisions>false</trackRevisions>
    </reviewItem>
    <reviewItem>
      <errorID>412452cb-15ac-4644-833d-d04d3617c843</errorID>
      <errorWord>(</errorWord>
      <group>L1_Format</group>
      <groupName>格式问题</groupName>
      <ability>L2_HalfPunc</ability>
      <abilityName>全半角检查</abilityName>
      <candidateList>
        <item>（</item>
      </candidateList>
      <explain>文本全半角错误。</explain>
      <paraID>4762DD3B</paraID>
      <start>2</start>
      <end>3</end>
      <status>ignored</status>
      <modifiedWord/>
      <trackRevisions>false</trackRevisions>
    </reviewItem>
    <reviewItem>
      <errorID>c434dc14-85e7-4e55-817c-7c73d0750dc9</errorID>
      <errorWord>)</errorWord>
      <group>L1_Format</group>
      <groupName>格式问题</groupName>
      <ability>L2_HalfPunc</ability>
      <abilityName>全半角检查</abilityName>
      <candidateList>
        <item>）</item>
      </candidateList>
      <explain>文本全半角错误。</explain>
      <paraID>4762DD3B</paraID>
      <start>6</start>
      <end>7</end>
      <status>ignored</status>
      <modifiedWord/>
      <trackRevisions>false</trackRevisions>
    </reviewItem>
    <reviewItem>
      <errorID>d4e66dc5-6acf-4a16-917c-2b6add481b61</errorID>
      <errorWord>(</errorWord>
      <group>L1_Format</group>
      <groupName>格式问题</groupName>
      <ability>L2_HalfPunc</ability>
      <abilityName>全半角检查</abilityName>
      <candidateList>
        <item>（</item>
      </candidateList>
      <explain>文本全半角错误。</explain>
      <paraID>22C5DCB8</paraID>
      <start>4</start>
      <end>5</end>
      <status>unmodified</status>
      <modifiedWord/>
      <trackRevisions>false</trackRevisions>
    </reviewItem>
    <reviewItem>
      <errorID>3c5f61c4-5b80-4aa1-adee-5dee7dd1981e</errorID>
      <errorWord>)</errorWord>
      <group>L1_Format</group>
      <groupName>格式问题</groupName>
      <ability>L2_HalfPunc</ability>
      <abilityName>全半角检查</abilityName>
      <candidateList>
        <item>）</item>
      </candidateList>
      <explain>文本全半角错误。</explain>
      <paraID>22C5DCB8</paraID>
      <start>6</start>
      <end>7</end>
      <status>ignored</status>
      <modifiedWord/>
      <trackRevisions>false</trackRevisions>
    </reviewItem>
    <reviewItem>
      <errorID>ca87e9a1-3bd6-4664-bb70-125531644190</errorID>
      <errorWord>(</errorWord>
      <group>L1_Format</group>
      <groupName>格式问题</groupName>
      <ability>L2_HalfPunc</ability>
      <abilityName>全半角检查</abilityName>
      <candidateList>
        <item>（</item>
      </candidateList>
      <explain>文本全半角错误。</explain>
      <paraID>59B01EB3</paraID>
      <start>4</start>
      <end>5</end>
      <status>unmodified</status>
      <modifiedWord/>
      <trackRevisions>false</trackRevisions>
    </reviewItem>
    <reviewItem>
      <errorID>7be8b27f-a4a6-49bd-8f08-8fec2e15a6f7</errorID>
      <errorWord>)</errorWord>
      <group>L1_Format</group>
      <groupName>格式问题</groupName>
      <ability>L2_HalfPunc</ability>
      <abilityName>全半角检查</abilityName>
      <candidateList>
        <item>）</item>
      </candidateList>
      <explain>文本全半角错误。</explain>
      <paraID>59B01EB3</paraID>
      <start>6</start>
      <end>7</end>
      <status>ignored</status>
      <modifiedWord/>
      <trackRevisions>false</trackRevisions>
    </reviewItem>
    <reviewItem>
      <errorID>729676dc-39bb-4677-80a2-8a3fa2acad56</errorID>
      <errorWord>-</errorWord>
      <group>L1_Format</group>
      <groupName>格式问题</groupName>
      <ability>L2_HalfPunc</ability>
      <abilityName>全半角检查</abilityName>
      <candidateList>
        <item>－</item>
      </candidateList>
      <explain>文本全半角错误。</explain>
      <paraID> 133C4CD</paraID>
      <start>10</start>
      <end>11</end>
      <status>unmodified</status>
      <modifiedWord/>
      <trackRevisions>false</trackRevisions>
    </reviewItem>
    <reviewItem>
      <errorID>9e0fe2a2-b990-4913-95f2-56bdb52ad45d</errorID>
      <errorWord>-</errorWord>
      <group>L1_Format</group>
      <groupName>格式问题</groupName>
      <ability>L2_HalfPunc</ability>
      <abilityName>全半角检查</abilityName>
      <candidateList>
        <item>－</item>
      </candidateList>
      <explain>文本全半角错误。</explain>
      <paraID> 133C4CD</paraID>
      <start>21</start>
      <end>22</end>
      <status>unmodified</status>
      <modifiedWord/>
      <trackRevisions>false</trackRevisions>
    </reviewItem>
    <reviewItem>
      <errorID>bbdf39e8-3d64-4c8f-8c54-7da9a9ddef1b</errorID>
      <errorWord>泄露</errorWord>
      <group>L1_Word</group>
      <groupName>字词问题</groupName>
      <ability>L2_Typo</ability>
      <abilityName>字词错误</abilityName>
      <candidateList>
        <item>泄漏</item>
      </candidateList>
      <explain>存在发音相同字词的误用。</explain>
      <paraID>36D2CEE9</paraID>
      <start>0</start>
      <end>2</end>
      <status>unmodified</status>
      <modifiedWord/>
      <trackRevisions>false</trackRevisions>
    </reviewItem>
    <reviewItem>
      <errorID>d82c4c85-2cac-4cb3-98e0-1f4111d9546b</errorID>
      <errorWord>(</errorWord>
      <group>L1_Format</group>
      <groupName>格式问题</groupName>
      <ability>L2_HalfPunc</ability>
      <abilityName>全半角检查</abilityName>
      <candidateList>
        <item>（</item>
      </candidateList>
      <explain>文本全半角错误。</explain>
      <paraID> BFEE258</paraID>
      <start>4</start>
      <end>5</end>
      <status>unmodified</status>
      <modifiedWord/>
      <trackRevisions>false</trackRevisions>
    </reviewItem>
    <reviewItem>
      <errorID>2b1fabe0-8e8f-4578-82bb-3cbb1f900408</errorID>
      <errorWord>)</errorWord>
      <group>L1_Format</group>
      <groupName>格式问题</groupName>
      <ability>L2_HalfPunc</ability>
      <abilityName>全半角检查</abilityName>
      <candidateList>
        <item>）</item>
      </candidateList>
      <explain>文本全半角错误。</explain>
      <paraID> BFEE258</paraID>
      <start>6</start>
      <end>7</end>
      <status>ignored</status>
      <modifiedWord/>
      <trackRevisions>false</trackRevisions>
    </reviewItem>
    <reviewItem>
      <errorID>9f4a17ff-601d-4e0a-b16a-ecaf02691322</errorID>
      <errorWord>(</errorWord>
      <group>L1_Format</group>
      <groupName>格式问题</groupName>
      <ability>L2_HalfPunc</ability>
      <abilityName>全半角检查</abilityName>
      <candidateList>
        <item>（</item>
      </candidateList>
      <explain>文本全半角错误。</explain>
      <paraID>7891BAA1</paraID>
      <start>4</start>
      <end>5</end>
      <status>unmodified</status>
      <modifiedWord/>
      <trackRevisions>false</trackRevisions>
    </reviewItem>
    <reviewItem>
      <errorID>017f922a-ce99-4036-b44b-4fc225f19b0e</errorID>
      <errorWord>)</errorWord>
      <group>L1_Format</group>
      <groupName>格式问题</groupName>
      <ability>L2_HalfPunc</ability>
      <abilityName>全半角检查</abilityName>
      <candidateList>
        <item>）</item>
      </candidateList>
      <explain>文本全半角错误。</explain>
      <paraID>7891BAA1</paraID>
      <start>8</start>
      <end>9</end>
      <status>ignored</status>
      <modifiedWord/>
      <trackRevisions>false</trackRevisions>
    </reviewItem>
    <reviewItem>
      <errorID>f30937c2-8179-47b7-a313-3c9a89baeed3</errorID>
      <errorWord>泄露</errorWord>
      <group>L1_Word</group>
      <groupName>字词问题</groupName>
      <ability>L2_Typo</ability>
      <abilityName>字词错误</abilityName>
      <candidateList>
        <item>泄漏</item>
      </candidateList>
      <explain>存在发音相同字词的误用。</explain>
      <paraID>419932D5</paraID>
      <start>0</start>
      <end>2</end>
      <status>unmodified</status>
      <modifiedWord/>
      <trackRevisions>false</trackRevisions>
    </reviewItem>
    <reviewItem>
      <errorID>ec3c27f4-ae2b-4717-a45c-ad47eebb6035</errorID>
      <errorWord>(</errorWord>
      <group>L1_Format</group>
      <groupName>格式问题</groupName>
      <ability>L2_HalfPunc</ability>
      <abilityName>全半角检查</abilityName>
      <candidateList>
        <item>（</item>
      </candidateList>
      <explain>文本全半角错误。</explain>
      <paraID>5E3A2397</paraID>
      <start>5</start>
      <end>6</end>
      <status>unmodified</status>
      <modifiedWord/>
      <trackRevisions>false</trackRevisions>
    </reviewItem>
    <reviewItem>
      <errorID>c717e652-dd0f-49be-a91d-d85cdcfc24b6</errorID>
      <errorWord>)</errorWord>
      <group>L1_Format</group>
      <groupName>格式问题</groupName>
      <ability>L2_HalfPunc</ability>
      <abilityName>全半角检查</abilityName>
      <candidateList>
        <item>）</item>
      </candidateList>
      <explain>文本全半角错误。</explain>
      <paraID>5E3A2397</paraID>
      <start>8</start>
      <end>9</end>
      <status>ignored</status>
      <modifiedWord/>
      <trackRevisions>false</trackRevisions>
    </reviewItem>
    <reviewItem>
      <errorID>7c90a614-836b-47a2-a336-e8373fee1a40</errorID>
      <errorWord>(</errorWord>
      <group>L1_Format</group>
      <groupName>格式问题</groupName>
      <ability>L2_HalfPunc</ability>
      <abilityName>全半角检查</abilityName>
      <candidateList>
        <item>（</item>
      </candidateList>
      <explain>文本全半角错误。</explain>
      <paraID>1753FDCA</paraID>
      <start>4</start>
      <end>5</end>
      <status>unmodified</status>
      <modifiedWord/>
      <trackRevisions>false</trackRevisions>
    </reviewItem>
    <reviewItem>
      <errorID>95d96df7-c62b-4c3c-8d5d-f599af29c8bc</errorID>
      <errorWord>)</errorWord>
      <group>L1_Format</group>
      <groupName>格式问题</groupName>
      <ability>L2_HalfPunc</ability>
      <abilityName>全半角检查</abilityName>
      <candidateList>
        <item>）</item>
      </candidateList>
      <explain>文本全半角错误。</explain>
      <paraID>1753FDCA</paraID>
      <start>7</start>
      <end>8</end>
      <status>ignored</status>
      <modifiedWord/>
      <trackRevisions>false</trackRevisions>
    </reviewItem>
    <reviewItem>
      <errorID>685e970c-2a4f-459e-b555-5d9045dfb0c4</errorID>
      <errorWord>(</errorWord>
      <group>L1_Format</group>
      <groupName>格式问题</groupName>
      <ability>L2_HalfPunc</ability>
      <abilityName>全半角检查</abilityName>
      <candidateList>
        <item>（</item>
      </candidateList>
      <explain>文本全半角错误。</explain>
      <paraID>723C9ABD</paraID>
      <start>4</start>
      <end>5</end>
      <status>unmodified</status>
      <modifiedWord/>
      <trackRevisions>false</trackRevisions>
    </reviewItem>
    <reviewItem>
      <errorID>3a86fb1c-a773-45b8-a065-3d221fbbe789</errorID>
      <errorWord>)</errorWord>
      <group>L1_Format</group>
      <groupName>格式问题</groupName>
      <ability>L2_HalfPunc</ability>
      <abilityName>全半角检查</abilityName>
      <candidateList>
        <item>）</item>
      </candidateList>
      <explain>文本全半角错误。</explain>
      <paraID>723C9ABD</paraID>
      <start>9</start>
      <end>10</end>
      <status>ignored</status>
      <modifiedWord/>
      <trackRevisions>false</trackRevisions>
    </reviewItem>
    <reviewItem>
      <errorID>10d28c1d-a5f6-493a-a465-177a3ba3fa22</errorID>
      <errorWord>泄露</errorWord>
      <group>L1_Word</group>
      <groupName>字词问题</groupName>
      <ability>L2_Typo</ability>
      <abilityName>字词错误</abilityName>
      <candidateList>
        <item>泄漏</item>
      </candidateList>
      <explain>存在发音相同字词的误用。</explain>
      <paraID>5776E6D9</paraID>
      <start>0</start>
      <end>2</end>
      <status>unmodified</status>
      <modifiedWord/>
      <trackRevisions>false</trackRevisions>
    </reviewItem>
    <reviewItem>
      <errorID>163e5984-435e-4d99-a57b-6c3c1524a408</errorID>
      <errorWord>(</errorWord>
      <group>L1_Format</group>
      <groupName>格式问题</groupName>
      <ability>L2_HalfPunc</ability>
      <abilityName>全半角检查</abilityName>
      <candidateList>
        <item>（</item>
      </candidateList>
      <explain>文本全半角错误。</explain>
      <paraID>5776E6D9</paraID>
      <start>4</start>
      <end>5</end>
      <status>unmodified</status>
      <modifiedWord/>
      <trackRevisions>false</trackRevisions>
    </reviewItem>
    <reviewItem>
      <errorID>805246fc-e040-4080-8e82-c31dcaff3e87</errorID>
      <errorWord>)</errorWord>
      <group>L1_Format</group>
      <groupName>格式问题</groupName>
      <ability>L2_HalfPunc</ability>
      <abilityName>全半角检查</abilityName>
      <candidateList>
        <item>）</item>
      </candidateList>
      <explain>文本全半角错误。</explain>
      <paraID>5776E6D9</paraID>
      <start>8</start>
      <end>9</end>
      <status>ignored</status>
      <modifiedWord/>
      <trackRevisions>false</trackRevisions>
    </reviewItem>
    <reviewItem>
      <errorID>fb40c80c-0ed1-47d6-bbab-e81509bab048</errorID>
      <errorWord>泄露</errorWord>
      <group>L1_Word</group>
      <groupName>字词问题</groupName>
      <ability>L2_Typo</ability>
      <abilityName>字词错误</abilityName>
      <candidateList>
        <item>泄漏</item>
      </candidateList>
      <explain>存在发音相同字词的误用。</explain>
      <paraID>69FACD4F</paraID>
      <start>0</start>
      <end>2</end>
      <status>unmodified</status>
      <modifiedWord/>
      <trackRevisions>false</trackRevisions>
    </reviewItem>
    <reviewItem>
      <errorID>9e5cdb1f-235a-4b3d-94b5-691c592fc2f6</errorID>
      <errorWord>(</errorWord>
      <group>L1_Format</group>
      <groupName>格式问题</groupName>
      <ability>L2_HalfPunc</ability>
      <abilityName>全半角检查</abilityName>
      <candidateList>
        <item>（</item>
      </candidateList>
      <explain>文本全半角错误。</explain>
      <paraID>69FACD4F</paraID>
      <start>3</start>
      <end>4</end>
      <status>unmodified</status>
      <modifiedWord/>
      <trackRevisions>false</trackRevisions>
    </reviewItem>
    <reviewItem>
      <errorID>6dd116f3-01c8-4637-9415-abf80d980622</errorID>
      <errorWord>)</errorWord>
      <group>L1_Format</group>
      <groupName>格式问题</groupName>
      <ability>L2_HalfPunc</ability>
      <abilityName>全半角检查</abilityName>
      <candidateList>
        <item>）</item>
      </candidateList>
      <explain>文本全半角错误。</explain>
      <paraID>69FACD4F</paraID>
      <start>6</start>
      <end>7</end>
      <status>ignored</status>
      <modifiedWord/>
      <trackRevisions>false</trackRevisions>
    </reviewItem>
    <reviewItem>
      <errorID>15dbead7-cb68-486f-be97-8f08d50855b9</errorID>
      <errorWord>泄露</errorWord>
      <group>L1_Word</group>
      <groupName>字词问题</groupName>
      <ability>L2_Typo</ability>
      <abilityName>字词错误</abilityName>
      <candidateList>
        <item>泄漏</item>
      </candidateList>
      <explain>存在发音相同字词的误用。</explain>
      <paraID>1C44973E</paraID>
      <start>0</start>
      <end>2</end>
      <status>unmodified</status>
      <modifiedWord/>
      <trackRevisions>false</trackRevisions>
    </reviewItem>
    <reviewItem>
      <errorID>23b44af0-b396-46f8-b8f8-c63499c90c4e</errorID>
      <errorWord>(</errorWord>
      <group>L1_Format</group>
      <groupName>格式问题</groupName>
      <ability>L2_HalfPunc</ability>
      <abilityName>全半角检查</abilityName>
      <candidateList>
        <item>（</item>
      </candidateList>
      <explain>文本全半角错误。</explain>
      <paraID>1C44973E</paraID>
      <start>4</start>
      <end>5</end>
      <status>unmodified</status>
      <modifiedWord/>
      <trackRevisions>false</trackRevisions>
    </reviewItem>
    <reviewItem>
      <errorID>17f38897-de72-4633-8932-61a54460127b</errorID>
      <errorWord>)</errorWord>
      <group>L1_Format</group>
      <groupName>格式问题</groupName>
      <ability>L2_HalfPunc</ability>
      <abilityName>全半角检查</abilityName>
      <candidateList>
        <item>）</item>
      </candidateList>
      <explain>文本全半角错误。</explain>
      <paraID>1C44973E</paraID>
      <start>6</start>
      <end>7</end>
      <status>ignored</status>
      <modifiedWord/>
      <trackRevisions>false</trackRevisions>
    </reviewItem>
    <reviewItem>
      <errorID>9032f5f3-cc60-4c84-923c-b0b6eea09784</errorID>
      <errorWord>(</errorWord>
      <group>L1_Format</group>
      <groupName>格式问题</groupName>
      <ability>L2_HalfPunc</ability>
      <abilityName>全半角检查</abilityName>
      <candidateList>
        <item>（</item>
      </candidateList>
      <explain>文本全半角错误。</explain>
      <paraID>100C6FA1</paraID>
      <start>4</start>
      <end>5</end>
      <status>unmodified</status>
      <modifiedWord/>
      <trackRevisions>false</trackRevisions>
    </reviewItem>
    <reviewItem>
      <errorID>ef1c42be-622d-491f-8d11-b31c83275aeb</errorID>
      <errorWord>)</errorWord>
      <group>L1_Format</group>
      <groupName>格式问题</groupName>
      <ability>L2_HalfPunc</ability>
      <abilityName>全半角检查</abilityName>
      <candidateList>
        <item>）</item>
      </candidateList>
      <explain>文本全半角错误。</explain>
      <paraID>100C6FA1</paraID>
      <start>8</start>
      <end>9</end>
      <status>ignored</status>
      <modifiedWord/>
      <trackRevisions>false</trackRevisions>
    </reviewItem>
    <reviewItem>
      <errorID>80e55b81-592a-4ba6-a925-6490171980f9</errorID>
      <errorWord>(</errorWord>
      <group>L1_Format</group>
      <groupName>格式问题</groupName>
      <ability>L2_HalfPunc</ability>
      <abilityName>全半角检查</abilityName>
      <candidateList>
        <item>（</item>
      </candidateList>
      <explain>文本全半角错误。</explain>
      <paraID>1C2099E1</paraID>
      <start>3</start>
      <end>4</end>
      <status>unmodified</status>
      <modifiedWord/>
      <trackRevisions>false</trackRevisions>
    </reviewItem>
    <reviewItem>
      <errorID>fee99af7-7b17-4267-9fc1-e92855ed4c72</errorID>
      <errorWord>)</errorWord>
      <group>L1_Format</group>
      <groupName>格式问题</groupName>
      <ability>L2_HalfPunc</ability>
      <abilityName>全半角检查</abilityName>
      <candidateList>
        <item>）</item>
      </candidateList>
      <explain>文本全半角错误。</explain>
      <paraID>1C2099E1</paraID>
      <start>6</start>
      <end>7</end>
      <status>ignored</status>
      <modifiedWord/>
      <trackRevisions>false</trackRevisions>
    </reviewItem>
    <reviewItem>
      <errorID>ba2a138a-0798-4a59-961f-b364db6b9e61</errorID>
      <errorWord>-</errorWord>
      <group>L1_Format</group>
      <groupName>格式问题</groupName>
      <ability>L2_HalfPunc</ability>
      <abilityName>全半角检查</abilityName>
      <candidateList>
        <item>－</item>
      </candidateList>
      <explain>文本全半角错误。</explain>
      <paraID>49A982B6</paraID>
      <start>6</start>
      <end>7</end>
      <status>unmodified</status>
      <modifiedWord/>
      <trackRevisions>false</trackRevisions>
    </reviewItem>
    <reviewItem>
      <errorID>c789c2b7-0977-43e0-b732-412848045ad3</errorID>
      <errorWord>-</errorWord>
      <group>L1_Format</group>
      <groupName>格式问题</groupName>
      <ability>L2_HalfPunc</ability>
      <abilityName>全半角检查</abilityName>
      <candidateList>
        <item>－</item>
      </candidateList>
      <explain>文本全半角错误。</explain>
      <paraID>49A982B6</paraID>
      <start>13</start>
      <end>14</end>
      <status>unmodified</status>
      <modifiedWord/>
      <trackRevisions>false</trackRevisions>
    </reviewItem>
    <reviewItem>
      <errorID>a4585405-4c70-4874-a150-86c4d9107dcf</errorID>
      <errorWord>(</errorWord>
      <group>L1_Format</group>
      <groupName>格式问题</groupName>
      <ability>L2_HalfPunc</ability>
      <abilityName>全半角检查</abilityName>
      <candidateList>
        <item>（</item>
      </candidateList>
      <explain>文本全半角错误。</explain>
      <paraID>7E551BE0</paraID>
      <start>3</start>
      <end>4</end>
      <status>unmodified</status>
      <modifiedWord/>
      <trackRevisions>false</trackRevisions>
    </reviewItem>
    <reviewItem>
      <errorID>12832503-7022-4063-b0b4-75379e6a9a44</errorID>
      <errorWord>)</errorWord>
      <group>L1_Format</group>
      <groupName>格式问题</groupName>
      <ability>L2_HalfPunc</ability>
      <abilityName>全半角检查</abilityName>
      <candidateList>
        <item>）</item>
      </candidateList>
      <explain>文本全半角错误。</explain>
      <paraID>7E551BE0</paraID>
      <start>9</start>
      <end>10</end>
      <status>ignored</status>
      <modifiedWord/>
      <trackRevisions>false</trackRevisions>
    </reviewItem>
    <reviewItem>
      <errorID>920c4a5d-3599-4c8d-b904-344750c5bb84</errorID>
      <errorWord>(</errorWord>
      <group>L1_Format</group>
      <groupName>格式问题</groupName>
      <ability>L2_HalfPunc</ability>
      <abilityName>全半角检查</abilityName>
      <candidateList>
        <item>（</item>
      </candidateList>
      <explain>文本全半角错误。</explain>
      <paraID>1FBA7489</paraID>
      <start>6</start>
      <end>7</end>
      <status>unmodified</status>
      <modifiedWord/>
      <trackRevisions>false</trackRevisions>
    </reviewItem>
    <reviewItem>
      <errorID>4b94f624-b5bc-4591-b181-9e2b00c0e967</errorID>
      <errorWord>)</errorWord>
      <group>L1_Format</group>
      <groupName>格式问题</groupName>
      <ability>L2_HalfPunc</ability>
      <abilityName>全半角检查</abilityName>
      <candidateList>
        <item>）</item>
      </candidateList>
      <explain>文本全半角错误。</explain>
      <paraID>1FBA7489</paraID>
      <start>8</start>
      <end>9</end>
      <status>ignored</status>
      <modifiedWord/>
      <trackRevisions>false</trackRevisions>
    </reviewItem>
    <reviewItem>
      <errorID>b39a7e61-2297-4fb0-8b3a-4f8e45091167</errorID>
      <errorWord>(</errorWord>
      <group>L1_Format</group>
      <groupName>格式问题</groupName>
      <ability>L2_HalfPunc</ability>
      <abilityName>全半角检查</abilityName>
      <candidateList>
        <item>（</item>
      </candidateList>
      <explain>文本全半角错误。</explain>
      <paraID>2FAF9A3F</paraID>
      <start>4</start>
      <end>5</end>
      <status>unmodified</status>
      <modifiedWord/>
      <trackRevisions>false</trackRevisions>
    </reviewItem>
    <reviewItem>
      <errorID>cbd0ff62-81f8-4cfc-bef1-6976248d3e4d</errorID>
      <errorWord>)</errorWord>
      <group>L1_Format</group>
      <groupName>格式问题</groupName>
      <ability>L2_HalfPunc</ability>
      <abilityName>全半角检查</abilityName>
      <candidateList>
        <item>）</item>
      </candidateList>
      <explain>文本全半角错误。</explain>
      <paraID>2FAF9A3F</paraID>
      <start>8</start>
      <end>9</end>
      <status>ignored</status>
      <modifiedWord/>
      <trackRevisions>false</trackRevisions>
    </reviewItem>
    <reviewItem>
      <errorID>39bb50d4-7a3d-4cb3-9c89-8e6c0e223247</errorID>
      <errorWord>-</errorWord>
      <group>L1_Format</group>
      <groupName>格式问题</groupName>
      <ability>L2_HalfPunc</ability>
      <abilityName>全半角检查</abilityName>
      <candidateList>
        <item>－</item>
      </candidateList>
      <explain>文本全半角错误。</explain>
      <paraID> 3FD2469</paraID>
      <start>10</start>
      <end>11</end>
      <status>unmodified</status>
      <modifiedWord/>
      <trackRevisions>false</trackRevisions>
    </reviewItem>
    <reviewItem>
      <errorID>201a0b84-2d7a-4160-bc9b-e6ab1b7ad771</errorID>
      <errorWord>(</errorWord>
      <group>L1_Format</group>
      <groupName>格式问题</groupName>
      <ability>L2_HalfPunc</ability>
      <abilityName>全半角检查</abilityName>
      <candidateList>
        <item>（</item>
      </candidateList>
      <explain>文本全半角错误。</explain>
      <paraID> 3FD2469</paraID>
      <start>15</start>
      <end>16</end>
      <status>unmodified</status>
      <modifiedWord/>
      <trackRevisions>false</trackRevisions>
    </reviewItem>
    <reviewItem>
      <errorID>9bcd103c-879f-450b-8c5f-4d62fd79cf36</errorID>
      <errorWord>)</errorWord>
      <group>L1_Format</group>
      <groupName>格式问题</groupName>
      <ability>L2_HalfPunc</ability>
      <abilityName>全半角检查</abilityName>
      <candidateList>
        <item>）</item>
      </candidateList>
      <explain>文本全半角错误。</explain>
      <paraID> 3FD2469</paraID>
      <start>19</start>
      <end>20</end>
      <status>ignored</status>
      <modifiedWord/>
      <trackRevisions>false</trackRevisions>
    </reviewItem>
    <reviewItem>
      <errorID>7466a0d7-f4fb-42b6-8200-7de0532fd88d</errorID>
      <errorWord>-</errorWord>
      <group>L1_Format</group>
      <groupName>格式问题</groupName>
      <ability>L2_HalfPunc</ability>
      <abilityName>全半角检查</abilityName>
      <candidateList>
        <item>－</item>
      </candidateList>
      <explain>文本全半角错误。</explain>
      <paraID>18F45AEB</paraID>
      <start>10</start>
      <end>11</end>
      <status>unmodified</status>
      <modifiedWord/>
      <trackRevisions>false</trackRevisions>
    </reviewItem>
    <reviewItem>
      <errorID>0038b833-6815-4a97-8652-1a2d883e5d69</errorID>
      <errorWord>(</errorWord>
      <group>L1_Format</group>
      <groupName>格式问题</groupName>
      <ability>L2_HalfPunc</ability>
      <abilityName>全半角检查</abilityName>
      <candidateList>
        <item>（</item>
      </candidateList>
      <explain>文本全半角错误。</explain>
      <paraID>18F45AEB</paraID>
      <start>17</start>
      <end>18</end>
      <status>unmodified</status>
      <modifiedWord/>
      <trackRevisions>false</trackRevisions>
    </reviewItem>
    <reviewItem>
      <errorID>812aca9b-083d-41ac-9cca-9c134132b539</errorID>
      <errorWord>)</errorWord>
      <group>L1_Format</group>
      <groupName>格式问题</groupName>
      <ability>L2_HalfPunc</ability>
      <abilityName>全半角检查</abilityName>
      <candidateList>
        <item>）</item>
      </candidateList>
      <explain>文本全半角错误。</explain>
      <paraID>18F45AEB</paraID>
      <start>21</start>
      <end>22</end>
      <status>ignored</status>
      <modifiedWord/>
      <trackRevisions>false</trackRevisions>
    </reviewItem>
    <reviewItem>
      <errorID>86d38615-0b21-4209-9d20-2d5e2abc9ad3</errorID>
      <errorWord>-</errorWord>
      <group>L1_Format</group>
      <groupName>格式问题</groupName>
      <ability>L2_HalfPunc</ability>
      <abilityName>全半角检查</abilityName>
      <candidateList>
        <item>－</item>
      </candidateList>
      <explain>文本全半角错误。</explain>
      <paraID>566799CC</paraID>
      <start>10</start>
      <end>11</end>
      <status>unmodified</status>
      <modifiedWord/>
      <trackRevisions>false</trackRevisions>
    </reviewItem>
    <reviewItem>
      <errorID>0544db8e-bf9c-444c-bba2-eaf111032f22</errorID>
      <errorWord>(</errorWord>
      <group>L1_Format</group>
      <groupName>格式问题</groupName>
      <ability>L2_HalfPunc</ability>
      <abilityName>全半角检查</abilityName>
      <candidateList>
        <item>（</item>
      </candidateList>
      <explain>文本全半角错误。</explain>
      <paraID>566799CC</paraID>
      <start>15</start>
      <end>16</end>
      <status>unmodified</status>
      <modifiedWord/>
      <trackRevisions>false</trackRevisions>
    </reviewItem>
    <reviewItem>
      <errorID>7f8cc770-6ae5-4108-bcc0-a53518dcf8f0</errorID>
      <errorWord>)</errorWord>
      <group>L1_Format</group>
      <groupName>格式问题</groupName>
      <ability>L2_HalfPunc</ability>
      <abilityName>全半角检查</abilityName>
      <candidateList>
        <item>）</item>
      </candidateList>
      <explain>文本全半角错误。</explain>
      <paraID>566799CC</paraID>
      <start>19</start>
      <end>20</end>
      <status>ignored</status>
      <modifiedWord/>
      <trackRevisions>false</trackRevisions>
    </reviewItem>
    <reviewItem>
      <errorID>91853ab9-6a33-490d-af48-bea05661b09b</errorID>
      <errorWord>-</errorWord>
      <group>L1_Format</group>
      <groupName>格式问题</groupName>
      <ability>L2_HalfPunc</ability>
      <abilityName>全半角检查</abilityName>
      <candidateList>
        <item>－</item>
      </candidateList>
      <explain>文本全半角错误。</explain>
      <paraID>542A8921</paraID>
      <start>10</start>
      <end>11</end>
      <status>unmodified</status>
      <modifiedWord/>
      <trackRevisions>false</trackRevisions>
    </reviewItem>
    <reviewItem>
      <errorID>d0b54ed6-6498-410b-9caa-aeb563878bfc</errorID>
      <errorWord>(</errorWord>
      <group>L1_Format</group>
      <groupName>格式问题</groupName>
      <ability>L2_HalfPunc</ability>
      <abilityName>全半角检查</abilityName>
      <candidateList>
        <item>（</item>
      </candidateList>
      <explain>文本全半角错误。</explain>
      <paraID>542A8921</paraID>
      <start>17</start>
      <end>18</end>
      <status>unmodified</status>
      <modifiedWord/>
      <trackRevisions>false</trackRevisions>
    </reviewItem>
    <reviewItem>
      <errorID>5189ebc3-ea4f-4305-91a3-bfcb33d1b726</errorID>
      <errorWord>)</errorWord>
      <group>L1_Format</group>
      <groupName>格式问题</groupName>
      <ability>L2_HalfPunc</ability>
      <abilityName>全半角检查</abilityName>
      <candidateList>
        <item>）</item>
      </candidateList>
      <explain>文本全半角错误。</explain>
      <paraID>542A8921</paraID>
      <start>21</start>
      <end>22</end>
      <status>ignored</status>
      <modifiedWord/>
      <trackRevisions>false</trackRevisions>
    </reviewItem>
    <reviewItem>
      <errorID>c8102acf-e7d4-4a8d-802f-3309e07adb9a</errorID>
      <errorWord>-</errorWord>
      <group>L1_Format</group>
      <groupName>格式问题</groupName>
      <ability>L2_HalfPunc</ability>
      <abilityName>全半角检查</abilityName>
      <candidateList>
        <item>－</item>
      </candidateList>
      <explain>文本全半角错误。</explain>
      <paraID> CA3F232</paraID>
      <start>4</start>
      <end>5</end>
      <status>unmodified</status>
      <modifiedWord/>
      <trackRevisions>false</trackRevisions>
    </reviewItem>
    <reviewItem>
      <errorID>cf507203-959c-46c8-a1e2-72763ab7597a</errorID>
      <errorWord>(</errorWord>
      <group>L1_Format</group>
      <groupName>格式问题</groupName>
      <ability>L2_HalfPunc</ability>
      <abilityName>全半角检查</abilityName>
      <candidateList>
        <item>（</item>
      </candidateList>
      <explain>文本全半角错误。</explain>
      <paraID> CA3F232</paraID>
      <start>9</start>
      <end>10</end>
      <status>unmodified</status>
      <modifiedWord/>
      <trackRevisions>false</trackRevisions>
    </reviewItem>
    <reviewItem>
      <errorID>919cc98a-81a6-4a08-8056-87d41f480e93</errorID>
      <errorWord>)</errorWord>
      <group>L1_Format</group>
      <groupName>格式问题</groupName>
      <ability>L2_HalfPunc</ability>
      <abilityName>全半角检查</abilityName>
      <candidateList>
        <item>）</item>
      </candidateList>
      <explain>文本全半角错误。</explain>
      <paraID> CA3F232</paraID>
      <start>15</start>
      <end>16</end>
      <status>ignored</status>
      <modifiedWord/>
      <trackRevisions>false</trackRevisions>
    </reviewItem>
    <reviewItem>
      <errorID>ed02586d-884f-4b3d-986f-99624d7903ec</errorID>
      <errorWord>(</errorWord>
      <group>L1_Format</group>
      <groupName>格式问题</groupName>
      <ability>L2_HalfPunc</ability>
      <abilityName>全半角检查</abilityName>
      <candidateList>
        <item>（</item>
      </candidateList>
      <explain>文本全半角错误。</explain>
      <paraID>33F43B02</paraID>
      <start>5</start>
      <end>6</end>
      <status>unmodified</status>
      <modifiedWord/>
      <trackRevisions>false</trackRevisions>
    </reviewItem>
    <reviewItem>
      <errorID>28e51e11-5c5a-4754-b637-df9aff315713</errorID>
      <errorWord>)</errorWord>
      <group>L1_Format</group>
      <groupName>格式问题</groupName>
      <ability>L2_HalfPunc</ability>
      <abilityName>全半角检查</abilityName>
      <candidateList>
        <item>）</item>
      </candidateList>
      <explain>文本全半角错误。</explain>
      <paraID>33F43B02</paraID>
      <start>7</start>
      <end>8</end>
      <status>ignored</status>
      <modifiedWord/>
      <trackRevisions>false</trackRevisions>
    </reviewItem>
    <reviewItem>
      <errorID>d59814b5-de4e-4591-aaec-1bad43e121d6</errorID>
      <errorWord>(</errorWord>
      <group>L1_Format</group>
      <groupName>格式问题</groupName>
      <ability>L2_HalfPunc</ability>
      <abilityName>全半角检查</abilityName>
      <candidateList>
        <item>（</item>
      </candidateList>
      <explain>文本全半角错误。</explain>
      <paraID>748EFD10</paraID>
      <start>5</start>
      <end>6</end>
      <status>unmodified</status>
      <modifiedWord/>
      <trackRevisions>false</trackRevisions>
    </reviewItem>
    <reviewItem>
      <errorID>9066f6fb-c4e3-44d1-9650-3743ddece251</errorID>
      <errorWord>)</errorWord>
      <group>L1_Format</group>
      <groupName>格式问题</groupName>
      <ability>L2_HalfPunc</ability>
      <abilityName>全半角检查</abilityName>
      <candidateList>
        <item>）</item>
      </candidateList>
      <explain>文本全半角错误。</explain>
      <paraID>748EFD10</paraID>
      <start>11</start>
      <end>12</end>
      <status>ignored</status>
      <modifiedWord/>
      <trackRevisions>false</trackRevisions>
    </reviewItem>
    <reviewItem>
      <errorID>c978332f-d689-40db-93d1-b53767bf4fd7</errorID>
      <errorWord>(</errorWord>
      <group>L1_Format</group>
      <groupName>格式问题</groupName>
      <ability>L2_HalfPunc</ability>
      <abilityName>全半角检查</abilityName>
      <candidateList>
        <item>（</item>
      </candidateList>
      <explain>文本全半角错误。</explain>
      <paraID>72CBC0AE</paraID>
      <start>4</start>
      <end>5</end>
      <status>unmodified</status>
      <modifiedWord/>
      <trackRevisions>false</trackRevisions>
    </reviewItem>
    <reviewItem>
      <errorID>492b07d0-3ffc-4d23-8c69-ce252ba7139c</errorID>
      <errorWord>)</errorWord>
      <group>L1_Format</group>
      <groupName>格式问题</groupName>
      <ability>L2_HalfPunc</ability>
      <abilityName>全半角检查</abilityName>
      <candidateList>
        <item>）</item>
      </candidateList>
      <explain>文本全半角错误。</explain>
      <paraID>72CBC0AE</paraID>
      <start>6</start>
      <end>7</end>
      <status>ignored</status>
      <modifiedWord/>
      <trackRevisions>false</trackRevisions>
    </reviewItem>
    <reviewItem>
      <errorID>80f82488-31c6-47f3-8515-0c56047f6d76</errorID>
      <errorWord>-</errorWord>
      <group>L1_Format</group>
      <groupName>格式问题</groupName>
      <ability>L2_HalfPunc</ability>
      <abilityName>全半角检查</abilityName>
      <candidateList>
        <item>－</item>
      </candidateList>
      <explain>文本全半角错误。</explain>
      <paraID>3DBE5BAD</paraID>
      <start>10</start>
      <end>11</end>
      <status>unmodified</status>
      <modifiedWord/>
      <trackRevisions>false</trackRevisions>
    </reviewItem>
    <reviewItem>
      <errorID>80416b19-ebc4-4de8-ba7f-c7b608f1e472</errorID>
      <errorWord>-</errorWord>
      <group>L1_Format</group>
      <groupName>格式问题</groupName>
      <ability>L2_HalfPunc</ability>
      <abilityName>全半角检查</abilityName>
      <candidateList>
        <item>－</item>
      </candidateList>
      <explain>文本全半角错误。</explain>
      <paraID>3DBE5BAD</paraID>
      <start>21</start>
      <end>22</end>
      <status>unmodified</status>
      <modifiedWord/>
      <trackRevisions>false</trackRevisions>
    </reviewItem>
    <reviewItem>
      <errorID>335de0dc-1f1f-4ecc-8a52-26bb9200ff7f</errorID>
      <errorWord>(</errorWord>
      <group>L1_Format</group>
      <groupName>格式问题</groupName>
      <ability>L2_HalfPunc</ability>
      <abilityName>全半角检查</abilityName>
      <candidateList>
        <item>（</item>
      </candidateList>
      <explain>文本全半角错误。</explain>
      <paraID>3DBE5BAD</paraID>
      <start>30</start>
      <end>31</end>
      <status>unmodified</status>
      <modifiedWord/>
      <trackRevisions>false</trackRevisions>
    </reviewItem>
    <reviewItem>
      <errorID>8a477841-360e-41b1-9aa7-85a45c2ec08b</errorID>
      <errorWord>)</errorWord>
      <group>L1_Format</group>
      <groupName>格式问题</groupName>
      <ability>L2_HalfPunc</ability>
      <abilityName>全半角检查</abilityName>
      <candidateList>
        <item>）</item>
      </candidateList>
      <explain>文本全半角错误。</explain>
      <paraID>3DBE5BAD</paraID>
      <start>36</start>
      <end>37</end>
      <status>ignored</status>
      <modifiedWord/>
      <trackRevisions>false</trackRevisions>
    </reviewItem>
    <reviewItem>
      <errorID>94efd20b-27bd-484e-afd9-2610010cd415</errorID>
      <errorWord>:</errorWord>
      <group>L1_Format</group>
      <groupName>格式问题</groupName>
      <ability>L2_HalfPunc</ability>
      <abilityName>全半角检查</abilityName>
      <candidateList>
        <item>：</item>
      </candidateList>
      <explain>文本全半角错误。</explain>
      <paraID>6E56575F</paraID>
      <start>12</start>
      <end>13</end>
      <status>unmodified</status>
      <modifiedWord/>
      <trackRevisions>false</trackRevisions>
    </reviewItem>
    <reviewItem>
      <errorID>63613bdd-499b-4cbe-9821-a4fe63018c0c</errorID>
      <errorWord>,</errorWord>
      <group>L1_Format</group>
      <groupName>格式问题</groupName>
      <ability>L2_HalfPunc</ability>
      <abilityName>全半角检查</abilityName>
      <candidateList>
        <item>，</item>
      </candidateList>
      <explain>文本全半角错误。</explain>
      <paraID>6E56575F</paraID>
      <start>19</start>
      <end>20</end>
      <status>unmodified</status>
      <modifiedWord/>
      <trackRevisions>false</trackRevisions>
    </reviewItem>
    <reviewItem>
      <errorID>c02e3f23-66e2-44d9-8c9b-239b083852fb</errorID>
      <errorWord>:</errorWord>
      <group>L1_Format</group>
      <groupName>格式问题</groupName>
      <ability>L2_HalfPunc</ability>
      <abilityName>全半角检查</abilityName>
      <candidateList>
        <item>：</item>
      </candidateList>
      <explain>文本全半角错误。</explain>
      <paraID>6E56575F</paraID>
      <start>27</start>
      <end>28</end>
      <status>unmodified</status>
      <modifiedWord/>
      <trackRevisions>false</trackRevisions>
    </reviewItem>
    <reviewItem>
      <errorID>02550f4f-a05e-42d6-a91e-5ec01bc58412</errorID>
      <errorWord>(</errorWord>
      <group>L1_Format</group>
      <groupName>格式问题</groupName>
      <ability>L2_HalfPunc</ability>
      <abilityName>全半角检查</abilityName>
      <candidateList>
        <item>（</item>
      </candidateList>
      <explain>文本全半角错误。</explain>
      <paraID>6E56575F</paraID>
      <start>48</start>
      <end>49</end>
      <status>unmodified</status>
      <modifiedWord/>
      <trackRevisions>false</trackRevisions>
    </reviewItem>
    <reviewItem>
      <errorID>5d8f04bf-04dd-4756-a7ae-00d667bebcf2</errorID>
      <errorWord>)</errorWord>
      <group>L1_Format</group>
      <groupName>格式问题</groupName>
      <ability>L2_HalfPunc</ability>
      <abilityName>全半角检查</abilityName>
      <candidateList>
        <item>）</item>
      </candidateList>
      <explain>文本全半角错误。</explain>
      <paraID>6E56575F</paraID>
      <start>54</start>
      <end>55</end>
      <status>ignored</status>
      <modifiedWord/>
      <trackRevisions>false</trackRevisions>
    </reviewItem>
    <reviewItem>
      <errorID>a0d9af52-444d-4f53-b62e-2e02d6f03389</errorID>
      <errorWord>:</errorWord>
      <group>L1_Format</group>
      <groupName>格式问题</groupName>
      <ability>L2_HalfPunc</ability>
      <abilityName>全半角检查</abilityName>
      <candidateList>
        <item>：</item>
      </candidateList>
      <explain>文本全半角错误。</explain>
      <paraID>6E56575F</paraID>
      <start>56</start>
      <end>57</end>
      <status>unmodified</status>
      <modifiedWord/>
      <trackRevisions>false</trackRevisions>
    </reviewItem>
    <reviewItem>
      <errorID>a1d0bb6a-4fd3-48d4-b32e-fbb2541963cf</errorID>
      <errorWord>,</errorWord>
      <group>L1_Format</group>
      <groupName>格式问题</groupName>
      <ability>L2_HalfPunc</ability>
      <abilityName>全半角检查</abilityName>
      <candidateList>
        <item>，</item>
      </candidateList>
      <explain>文本全半角错误。</explain>
      <paraID>6E56575F</paraID>
      <start>66</start>
      <end>67</end>
      <status>unmodified</status>
      <modifiedWord/>
      <trackRevisions>false</trackRevisions>
    </reviewItem>
    <reviewItem>
      <errorID>e8b6b3eb-6b6a-4768-ba7a-7d2aacff8706</errorID>
      <errorWord>(</errorWord>
      <group>L1_Format</group>
      <groupName>格式问题</groupName>
      <ability>L2_HalfPunc</ability>
      <abilityName>全半角检查</abilityName>
      <candidateList>
        <item>（</item>
      </candidateList>
      <explain>文本全半角错误。</explain>
      <paraID>6E56575F</paraID>
      <start>73</start>
      <end>74</end>
      <status>unmodified</status>
      <modifiedWord/>
      <trackRevisions>false</trackRevisions>
    </reviewItem>
    <reviewItem>
      <errorID>fc9cb164-be4a-48bb-8fab-b58f2785342c</errorID>
      <errorWord>)</errorWord>
      <group>L1_Format</group>
      <groupName>格式问题</groupName>
      <ability>L2_HalfPunc</ability>
      <abilityName>全半角检查</abilityName>
      <candidateList>
        <item>）</item>
      </candidateList>
      <explain>文本全半角错误。</explain>
      <paraID>6E56575F</paraID>
      <start>79</start>
      <end>80</end>
      <status>ignored</status>
      <modifiedWord/>
      <trackRevisions>false</trackRevisions>
    </reviewItem>
    <reviewItem>
      <errorID>e7b11722-ed03-4d60-bb9b-21bcfa82483d</errorID>
      <errorWord>:</errorWord>
      <group>L1_Format</group>
      <groupName>格式问题</groupName>
      <ability>L2_HalfPunc</ability>
      <abilityName>全半角检查</abilityName>
      <candidateList>
        <item>：</item>
      </candidateList>
      <explain>文本全半角错误。</explain>
      <paraID>6E56575F</paraID>
      <start>81</start>
      <end>82</end>
      <status>unmodified</status>
      <modifiedWord/>
      <trackRevisions>false</trackRevisions>
    </reviewItem>
    <reviewItem>
      <errorID>c3c90082-f015-4259-9f97-3b69586ec6e3</errorID>
      <errorWord>,</errorWord>
      <group>L1_Format</group>
      <groupName>格式问题</groupName>
      <ability>L2_HalfPunc</ability>
      <abilityName>全半角检查</abilityName>
      <candidateList>
        <item>，</item>
      </candidateList>
      <explain>文本全半角错误。</explain>
      <paraID>6E56575F</paraID>
      <start>90</start>
      <end>91</end>
      <status>unmodified</status>
      <modifiedWord/>
      <trackRevisions>false</trackRevisions>
    </reviewItem>
    <reviewItem>
      <errorID>fbe2607e-f357-4e1d-b900-262fca74b06a</errorID>
      <errorWord>)</errorWord>
      <group>L1_Format</group>
      <groupName>格式问题</groupName>
      <ability>L2_HalfPunc</ability>
      <abilityName>全半角检查</abilityName>
      <candidateList>
        <item>）</item>
      </candidateList>
      <explain>文本全半角错误。</explain>
      <paraID>6E56575F</paraID>
      <start>118</start>
      <end>119</end>
      <status>ignored</status>
      <modifiedWord/>
      <trackRevisions>false</trackRevisions>
    </reviewItem>
    <reviewItem>
      <errorID>484019b2-1299-408c-ad9f-78052872988d</errorID>
      <errorWord>-</errorWord>
      <group>L1_Format</group>
      <groupName>格式问题</groupName>
      <ability>L2_HalfPunc</ability>
      <abilityName>全半角检查</abilityName>
      <candidateList>
        <item>－</item>
      </candidateList>
      <explain>文本全半角错误。</explain>
      <paraID>5CD21A60</paraID>
      <start>13</start>
      <end>14</end>
      <status>unmodified</status>
      <modifiedWord/>
      <trackRevisions>false</trackRevisions>
    </reviewItem>
    <reviewItem>
      <errorID>bca01858-a51c-4545-bc2f-6ebc317c34e3</errorID>
      <errorWord>泄露</errorWord>
      <group>L1_Word</group>
      <groupName>字词问题</groupName>
      <ability>L2_Typo</ability>
      <abilityName>字词错误</abilityName>
      <candidateList>
        <item>泄漏</item>
      </candidateList>
      <explain>存在发音相同字词的误用。</explain>
      <paraID>4AD550C9</paraID>
      <start>0</start>
      <end>2</end>
      <status>unmodified</status>
      <modifiedWord/>
      <trackRevisions>false</trackRevisions>
    </reviewItem>
    <reviewItem>
      <errorID>53880501-e543-4a9a-893d-ab370ee991c0</errorID>
      <errorWord>(</errorWord>
      <group>L1_Format</group>
      <groupName>格式问题</groupName>
      <ability>L2_HalfPunc</ability>
      <abilityName>全半角检查</abilityName>
      <candidateList>
        <item>（</item>
      </candidateList>
      <explain>文本全半角错误。</explain>
      <paraID>56A4A19D</paraID>
      <start>4</start>
      <end>5</end>
      <status>unmodified</status>
      <modifiedWord/>
      <trackRevisions>false</trackRevisions>
    </reviewItem>
    <reviewItem>
      <errorID>dfe0f4a1-e270-4e4d-ab84-ff1e1e95ad34</errorID>
      <errorWord>)</errorWord>
      <group>L1_Format</group>
      <groupName>格式问题</groupName>
      <ability>L2_HalfPunc</ability>
      <abilityName>全半角检查</abilityName>
      <candidateList>
        <item>）</item>
      </candidateList>
      <explain>文本全半角错误。</explain>
      <paraID>56A4A19D</paraID>
      <start>6</start>
      <end>7</end>
      <status>ignored</status>
      <modifiedWord/>
      <trackRevisions>false</trackRevisions>
    </reviewItem>
    <reviewItem>
      <errorID>b409333c-925f-47de-9837-80a2f4c2cf5c</errorID>
      <errorWord>(</errorWord>
      <group>L1_Format</group>
      <groupName>格式问题</groupName>
      <ability>L2_HalfPunc</ability>
      <abilityName>全半角检查</abilityName>
      <candidateList>
        <item>（</item>
      </candidateList>
      <explain>文本全半角错误。</explain>
      <paraID>77C77A53</paraID>
      <start>4</start>
      <end>5</end>
      <status>unmodified</status>
      <modifiedWord/>
      <trackRevisions>false</trackRevisions>
    </reviewItem>
    <reviewItem>
      <errorID>96bc66a9-6e5c-49c6-9a23-3899c8344a27</errorID>
      <errorWord>)</errorWord>
      <group>L1_Format</group>
      <groupName>格式问题</groupName>
      <ability>L2_HalfPunc</ability>
      <abilityName>全半角检查</abilityName>
      <candidateList>
        <item>）</item>
      </candidateList>
      <explain>文本全半角错误。</explain>
      <paraID>77C77A53</paraID>
      <start>8</start>
      <end>9</end>
      <status>ignored</status>
      <modifiedWord/>
      <trackRevisions>false</trackRevisions>
    </reviewItem>
    <reviewItem>
      <errorID>81452a45-197c-4782-85b9-5bfea9b425aa</errorID>
      <errorWord>泄露</errorWord>
      <group>L1_Word</group>
      <groupName>字词问题</groupName>
      <ability>L2_Typo</ability>
      <abilityName>字词错误</abilityName>
      <candidateList>
        <item>泄漏</item>
      </candidateList>
      <explain>存在发音相同字词的误用。</explain>
      <paraID>334842F6</paraID>
      <start>0</start>
      <end>2</end>
      <status>unmodified</status>
      <modifiedWord/>
      <trackRevisions>false</trackRevisions>
    </reviewItem>
    <reviewItem>
      <errorID>9222f42e-04d1-4110-804b-076cdc8e68db</errorID>
      <errorWord>(</errorWord>
      <group>L1_Format</group>
      <groupName>格式问题</groupName>
      <ability>L2_HalfPunc</ability>
      <abilityName>全半角检查</abilityName>
      <candidateList>
        <item>（</item>
      </candidateList>
      <explain>文本全半角错误。</explain>
      <paraID> C061AAE</paraID>
      <start>5</start>
      <end>6</end>
      <status>unmodified</status>
      <modifiedWord/>
      <trackRevisions>false</trackRevisions>
    </reviewItem>
    <reviewItem>
      <errorID>a9ff40d7-03f8-448e-9fcd-80cc93487f99</errorID>
      <errorWord>)</errorWord>
      <group>L1_Format</group>
      <groupName>格式问题</groupName>
      <ability>L2_HalfPunc</ability>
      <abilityName>全半角检查</abilityName>
      <candidateList>
        <item>）</item>
      </candidateList>
      <explain>文本全半角错误。</explain>
      <paraID> C061AAE</paraID>
      <start>8</start>
      <end>9</end>
      <status>ignored</status>
      <modifiedWord/>
      <trackRevisions>false</trackRevisions>
    </reviewItem>
    <reviewItem>
      <errorID>d2723384-d937-49a8-b8e4-85784a344296</errorID>
      <errorWord>(</errorWord>
      <group>L1_Format</group>
      <groupName>格式问题</groupName>
      <ability>L2_HalfPunc</ability>
      <abilityName>全半角检查</abilityName>
      <candidateList>
        <item>（</item>
      </candidateList>
      <explain>文本全半角错误。</explain>
      <paraID>1AA15BBA</paraID>
      <start>4</start>
      <end>5</end>
      <status>unmodified</status>
      <modifiedWord/>
      <trackRevisions>false</trackRevisions>
    </reviewItem>
    <reviewItem>
      <errorID>364ce6ad-2952-4a2a-8523-5b947998fec5</errorID>
      <errorWord>)</errorWord>
      <group>L1_Format</group>
      <groupName>格式问题</groupName>
      <ability>L2_HalfPunc</ability>
      <abilityName>全半角检查</abilityName>
      <candidateList>
        <item>）</item>
      </candidateList>
      <explain>文本全半角错误。</explain>
      <paraID>1AA15BBA</paraID>
      <start>7</start>
      <end>8</end>
      <status>ignored</status>
      <modifiedWord/>
      <trackRevisions>false</trackRevisions>
    </reviewItem>
    <reviewItem>
      <errorID>68404e02-07ff-4894-a876-173ff57c15a5</errorID>
      <errorWord>(</errorWord>
      <group>L1_Format</group>
      <groupName>格式问题</groupName>
      <ability>L2_HalfPunc</ability>
      <abilityName>全半角检查</abilityName>
      <candidateList>
        <item>（</item>
      </candidateList>
      <explain>文本全半角错误。</explain>
      <paraID>76A71EA9</paraID>
      <start>4</start>
      <end>5</end>
      <status>unmodified</status>
      <modifiedWord/>
      <trackRevisions>false</trackRevisions>
    </reviewItem>
    <reviewItem>
      <errorID>1185620b-0f45-49c0-9995-b8ebb67a946a</errorID>
      <errorWord>)</errorWord>
      <group>L1_Format</group>
      <groupName>格式问题</groupName>
      <ability>L2_HalfPunc</ability>
      <abilityName>全半角检查</abilityName>
      <candidateList>
        <item>）</item>
      </candidateList>
      <explain>文本全半角错误。</explain>
      <paraID>76A71EA9</paraID>
      <start>9</start>
      <end>10</end>
      <status>ignored</status>
      <modifiedWord/>
      <trackRevisions>false</trackRevisions>
    </reviewItem>
    <reviewItem>
      <errorID>9985039d-4a8f-4481-9dd3-5660b04609c8</errorID>
      <errorWord>泄露</errorWord>
      <group>L1_Word</group>
      <groupName>字词问题</groupName>
      <ability>L2_Typo</ability>
      <abilityName>字词错误</abilityName>
      <candidateList>
        <item>泄漏</item>
      </candidateList>
      <explain>存在发音相同字词的误用。</explain>
      <paraID>20CC9EFF</paraID>
      <start>0</start>
      <end>2</end>
      <status>unmodified</status>
      <modifiedWord/>
      <trackRevisions>false</trackRevisions>
    </reviewItem>
    <reviewItem>
      <errorID>6f878878-8e42-4073-8c5d-2e5d4525ccf5</errorID>
      <errorWord>(</errorWord>
      <group>L1_Format</group>
      <groupName>格式问题</groupName>
      <ability>L2_HalfPunc</ability>
      <abilityName>全半角检查</abilityName>
      <candidateList>
        <item>（</item>
      </candidateList>
      <explain>文本全半角错误。</explain>
      <paraID>20CC9EFF</paraID>
      <start>4</start>
      <end>5</end>
      <status>unmodified</status>
      <modifiedWord/>
      <trackRevisions>false</trackRevisions>
    </reviewItem>
    <reviewItem>
      <errorID>c7dfd04f-54f8-4e6d-81a2-27f6db849695</errorID>
      <errorWord>)</errorWord>
      <group>L1_Format</group>
      <groupName>格式问题</groupName>
      <ability>L2_HalfPunc</ability>
      <abilityName>全半角检查</abilityName>
      <candidateList>
        <item>）</item>
      </candidateList>
      <explain>文本全半角错误。</explain>
      <paraID>20CC9EFF</paraID>
      <start>8</start>
      <end>9</end>
      <status>ignored</status>
      <modifiedWord/>
      <trackRevisions>false</trackRevisions>
    </reviewItem>
    <reviewItem>
      <errorID>7908543d-98d6-4840-ad7d-b439cb9145e5</errorID>
      <errorWord>泄露</errorWord>
      <group>L1_Word</group>
      <groupName>字词问题</groupName>
      <ability>L2_Typo</ability>
      <abilityName>字词错误</abilityName>
      <candidateList>
        <item>泄漏</item>
      </candidateList>
      <explain>存在发音相同字词的误用。</explain>
      <paraID>7B82C468</paraID>
      <start>0</start>
      <end>2</end>
      <status>unmodified</status>
      <modifiedWord/>
      <trackRevisions>false</trackRevisions>
    </reviewItem>
    <reviewItem>
      <errorID>153670f8-4a58-4693-8ad5-455d3cbaf5ec</errorID>
      <errorWord>(</errorWord>
      <group>L1_Format</group>
      <groupName>格式问题</groupName>
      <ability>L2_HalfPunc</ability>
      <abilityName>全半角检查</abilityName>
      <candidateList>
        <item>（</item>
      </candidateList>
      <explain>文本全半角错误。</explain>
      <paraID>7B82C468</paraID>
      <start>3</start>
      <end>4</end>
      <status>unmodified</status>
      <modifiedWord/>
      <trackRevisions>false</trackRevisions>
    </reviewItem>
    <reviewItem>
      <errorID>009326ea-bb8b-4720-a1e7-1d968964861f</errorID>
      <errorWord>)</errorWord>
      <group>L1_Format</group>
      <groupName>格式问题</groupName>
      <ability>L2_HalfPunc</ability>
      <abilityName>全半角检查</abilityName>
      <candidateList>
        <item>）</item>
      </candidateList>
      <explain>文本全半角错误。</explain>
      <paraID>7B82C468</paraID>
      <start>6</start>
      <end>7</end>
      <status>ignored</status>
      <modifiedWord/>
      <trackRevisions>false</trackRevisions>
    </reviewItem>
    <reviewItem>
      <errorID>bd6fb26e-a196-48a9-b1de-67a5d7c8e0c3</errorID>
      <errorWord>泄露</errorWord>
      <group>L1_Word</group>
      <groupName>字词问题</groupName>
      <ability>L2_Typo</ability>
      <abilityName>字词错误</abilityName>
      <candidateList>
        <item>泄漏</item>
      </candidateList>
      <explain>存在发音相同字词的误用。</explain>
      <paraID>6F5CF7F1</paraID>
      <start>0</start>
      <end>2</end>
      <status>unmodified</status>
      <modifiedWord/>
      <trackRevisions>false</trackRevisions>
    </reviewItem>
    <reviewItem>
      <errorID>fcec8b5f-fdf6-4665-8a73-d1df0de2fc40</errorID>
      <errorWord>(</errorWord>
      <group>L1_Format</group>
      <groupName>格式问题</groupName>
      <ability>L2_HalfPunc</ability>
      <abilityName>全半角检查</abilityName>
      <candidateList>
        <item>（</item>
      </candidateList>
      <explain>文本全半角错误。</explain>
      <paraID>6F5CF7F1</paraID>
      <start>4</start>
      <end>5</end>
      <status>unmodified</status>
      <modifiedWord/>
      <trackRevisions>false</trackRevisions>
    </reviewItem>
    <reviewItem>
      <errorID>101b1bc4-1d52-4334-8d72-187eea77ae03</errorID>
      <errorWord>)</errorWord>
      <group>L1_Format</group>
      <groupName>格式问题</groupName>
      <ability>L2_HalfPunc</ability>
      <abilityName>全半角检查</abilityName>
      <candidateList>
        <item>）</item>
      </candidateList>
      <explain>文本全半角错误。</explain>
      <paraID>6F5CF7F1</paraID>
      <start>6</start>
      <end>7</end>
      <status>ignored</status>
      <modifiedWord/>
      <trackRevisions>false</trackRevisions>
    </reviewItem>
    <reviewItem>
      <errorID>e250bf4b-bace-4428-8ad2-a3d60c657a42</errorID>
      <errorWord>(</errorWord>
      <group>L1_Format</group>
      <groupName>格式问题</groupName>
      <ability>L2_HalfPunc</ability>
      <abilityName>全半角检查</abilityName>
      <candidateList>
        <item>（</item>
      </candidateList>
      <explain>文本全半角错误。</explain>
      <paraID>189D2682</paraID>
      <start>4</start>
      <end>5</end>
      <status>unmodified</status>
      <modifiedWord/>
      <trackRevisions>false</trackRevisions>
    </reviewItem>
    <reviewItem>
      <errorID>16044a85-4b45-4e3a-8cf7-889bbab7b49e</errorID>
      <errorWord>)</errorWord>
      <group>L1_Format</group>
      <groupName>格式问题</groupName>
      <ability>L2_HalfPunc</ability>
      <abilityName>全半角检查</abilityName>
      <candidateList>
        <item>）</item>
      </candidateList>
      <explain>文本全半角错误。</explain>
      <paraID>189D2682</paraID>
      <start>8</start>
      <end>9</end>
      <status>ignored</status>
      <modifiedWord/>
      <trackRevisions>false</trackRevisions>
    </reviewItem>
    <reviewItem>
      <errorID>e29b2655-5822-440f-adad-6e8f23d25e44</errorID>
      <errorWord>(</errorWord>
      <group>L1_Format</group>
      <groupName>格式问题</groupName>
      <ability>L2_HalfPunc</ability>
      <abilityName>全半角检查</abilityName>
      <candidateList>
        <item>（</item>
      </candidateList>
      <explain>文本全半角错误。</explain>
      <paraID>663581FE</paraID>
      <start>3</start>
      <end>4</end>
      <status>unmodified</status>
      <modifiedWord/>
      <trackRevisions>false</trackRevisions>
    </reviewItem>
    <reviewItem>
      <errorID>bcd92fc1-1601-4adb-a511-6eaef4f36994</errorID>
      <errorWord>)</errorWord>
      <group>L1_Format</group>
      <groupName>格式问题</groupName>
      <ability>L2_HalfPunc</ability>
      <abilityName>全半角检查</abilityName>
      <candidateList>
        <item>）</item>
      </candidateList>
      <explain>文本全半角错误。</explain>
      <paraID>663581FE</paraID>
      <start>6</start>
      <end>7</end>
      <status>ignored</status>
      <modifiedWord/>
      <trackRevisions>false</trackRevisions>
    </reviewItem>
    <reviewItem>
      <errorID>e8cdbc48-f93d-4129-bf7d-4e84113f5c4e</errorID>
      <errorWord>-</errorWord>
      <group>L1_Format</group>
      <groupName>格式问题</groupName>
      <ability>L2_HalfPunc</ability>
      <abilityName>全半角检查</abilityName>
      <candidateList>
        <item>－</item>
      </candidateList>
      <explain>文本全半角错误。</explain>
      <paraID>718400A9</paraID>
      <start>6</start>
      <end>7</end>
      <status>unmodified</status>
      <modifiedWord/>
      <trackRevisions>false</trackRevisions>
    </reviewItem>
    <reviewItem>
      <errorID>da7701cb-a8a6-4fa6-9248-ac0410ddd1a1</errorID>
      <errorWord>-</errorWord>
      <group>L1_Format</group>
      <groupName>格式问题</groupName>
      <ability>L2_HalfPunc</ability>
      <abilityName>全半角检查</abilityName>
      <candidateList>
        <item>－</item>
      </candidateList>
      <explain>文本全半角错误。</explain>
      <paraID>718400A9</paraID>
      <start>13</start>
      <end>14</end>
      <status>unmodified</status>
      <modifiedWord/>
      <trackRevisions>false</trackRevisions>
    </reviewItem>
    <reviewItem>
      <errorID>fa689704-0bef-4550-a15c-758861dce50c</errorID>
      <errorWord>(</errorWord>
      <group>L1_Format</group>
      <groupName>格式问题</groupName>
      <ability>L2_HalfPunc</ability>
      <abilityName>全半角检查</abilityName>
      <candidateList>
        <item>（</item>
      </candidateList>
      <explain>文本全半角错误。</explain>
      <paraID>325C6447</paraID>
      <start>3</start>
      <end>4</end>
      <status>unmodified</status>
      <modifiedWord/>
      <trackRevisions>false</trackRevisions>
    </reviewItem>
    <reviewItem>
      <errorID>1bda20cd-cb91-42bc-8560-aed1d9c57d76</errorID>
      <errorWord>)</errorWord>
      <group>L1_Format</group>
      <groupName>格式问题</groupName>
      <ability>L2_HalfPunc</ability>
      <abilityName>全半角检查</abilityName>
      <candidateList>
        <item>）</item>
      </candidateList>
      <explain>文本全半角错误。</explain>
      <paraID>325C6447</paraID>
      <start>9</start>
      <end>10</end>
      <status>ignored</status>
      <modifiedWord/>
      <trackRevisions>false</trackRevisions>
    </reviewItem>
    <reviewItem>
      <errorID>fc76f06e-6dbb-4a7f-894f-96b76d2e414d</errorID>
      <errorWord>(</errorWord>
      <group>L1_Format</group>
      <groupName>格式问题</groupName>
      <ability>L2_HalfPunc</ability>
      <abilityName>全半角检查</abilityName>
      <candidateList>
        <item>（</item>
      </candidateList>
      <explain>文本全半角错误。</explain>
      <paraID>2FE14E93</paraID>
      <start>6</start>
      <end>7</end>
      <status>unmodified</status>
      <modifiedWord/>
      <trackRevisions>false</trackRevisions>
    </reviewItem>
    <reviewItem>
      <errorID>38f6bbcb-0f3d-4064-ac6e-58da392ac633</errorID>
      <errorWord>)</errorWord>
      <group>L1_Format</group>
      <groupName>格式问题</groupName>
      <ability>L2_HalfPunc</ability>
      <abilityName>全半角检查</abilityName>
      <candidateList>
        <item>）</item>
      </candidateList>
      <explain>文本全半角错误。</explain>
      <paraID>2FE14E93</paraID>
      <start>8</start>
      <end>9</end>
      <status>ignored</status>
      <modifiedWord/>
      <trackRevisions>false</trackRevisions>
    </reviewItem>
    <reviewItem>
      <errorID>aea846f2-de85-4b39-b72f-64c657d63035</errorID>
      <errorWord>(</errorWord>
      <group>L1_Format</group>
      <groupName>格式问题</groupName>
      <ability>L2_HalfPunc</ability>
      <abilityName>全半角检查</abilityName>
      <candidateList>
        <item>（</item>
      </candidateList>
      <explain>文本全半角错误。</explain>
      <paraID>2FD0D65E</paraID>
      <start>4</start>
      <end>5</end>
      <status>unmodified</status>
      <modifiedWord/>
      <trackRevisions>false</trackRevisions>
    </reviewItem>
    <reviewItem>
      <errorID>5a1dea5a-12c5-4d7d-97c1-033f107794b6</errorID>
      <errorWord>)</errorWord>
      <group>L1_Format</group>
      <groupName>格式问题</groupName>
      <ability>L2_HalfPunc</ability>
      <abilityName>全半角检查</abilityName>
      <candidateList>
        <item>）</item>
      </candidateList>
      <explain>文本全半角错误。</explain>
      <paraID>2FD0D65E</paraID>
      <start>8</start>
      <end>9</end>
      <status>ignored</status>
      <modifiedWord/>
      <trackRevisions>false</trackRevisions>
    </reviewItem>
    <reviewItem>
      <errorID>91193589-b8e3-4f13-8ad9-c3ab93ccb51a</errorID>
      <errorWord>-</errorWord>
      <group>L1_Format</group>
      <groupName>格式问题</groupName>
      <ability>L2_HalfPunc</ability>
      <abilityName>全半角检查</abilityName>
      <candidateList>
        <item>－</item>
      </candidateList>
      <explain>文本全半角错误。</explain>
      <paraID>139B67A8</paraID>
      <start>10</start>
      <end>11</end>
      <status>unmodified</status>
      <modifiedWord/>
      <trackRevisions>false</trackRevisions>
    </reviewItem>
    <reviewItem>
      <errorID>be0c78a8-656b-44a5-ba75-592448bededf</errorID>
      <errorWord>(</errorWord>
      <group>L1_Format</group>
      <groupName>格式问题</groupName>
      <ability>L2_HalfPunc</ability>
      <abilityName>全半角检查</abilityName>
      <candidateList>
        <item>（</item>
      </candidateList>
      <explain>文本全半角错误。</explain>
      <paraID>139B67A8</paraID>
      <start>15</start>
      <end>16</end>
      <status>unmodified</status>
      <modifiedWord/>
      <trackRevisions>false</trackRevisions>
    </reviewItem>
    <reviewItem>
      <errorID>ce6784e0-620c-40f5-8ad3-2e5e73428b20</errorID>
      <errorWord>)</errorWord>
      <group>L1_Format</group>
      <groupName>格式问题</groupName>
      <ability>L2_HalfPunc</ability>
      <abilityName>全半角检查</abilityName>
      <candidateList>
        <item>）</item>
      </candidateList>
      <explain>文本全半角错误。</explain>
      <paraID>139B67A8</paraID>
      <start>19</start>
      <end>20</end>
      <status>ignored</status>
      <modifiedWord/>
      <trackRevisions>false</trackRevisions>
    </reviewItem>
    <reviewItem>
      <errorID>275410e5-e539-400a-a358-2f62e3a4a7fa</errorID>
      <errorWord>-</errorWord>
      <group>L1_Format</group>
      <groupName>格式问题</groupName>
      <ability>L2_HalfPunc</ability>
      <abilityName>全半角检查</abilityName>
      <candidateList>
        <item>－</item>
      </candidateList>
      <explain>文本全半角错误。</explain>
      <paraID> 5F9E4EE</paraID>
      <start>10</start>
      <end>11</end>
      <status>unmodified</status>
      <modifiedWord/>
      <trackRevisions>false</trackRevisions>
    </reviewItem>
    <reviewItem>
      <errorID>b38e5a2a-e3c0-48a4-9bc7-dd9a13ea9034</errorID>
      <errorWord>(</errorWord>
      <group>L1_Format</group>
      <groupName>格式问题</groupName>
      <ability>L2_HalfPunc</ability>
      <abilityName>全半角检查</abilityName>
      <candidateList>
        <item>（</item>
      </candidateList>
      <explain>文本全半角错误。</explain>
      <paraID> 5F9E4EE</paraID>
      <start>17</start>
      <end>18</end>
      <status>unmodified</status>
      <modifiedWord/>
      <trackRevisions>false</trackRevisions>
    </reviewItem>
    <reviewItem>
      <errorID>673ea52d-eafc-4f4d-9706-3d0f321b72c8</errorID>
      <errorWord>)</errorWord>
      <group>L1_Format</group>
      <groupName>格式问题</groupName>
      <ability>L2_HalfPunc</ability>
      <abilityName>全半角检查</abilityName>
      <candidateList>
        <item>）</item>
      </candidateList>
      <explain>文本全半角错误。</explain>
      <paraID> 5F9E4EE</paraID>
      <start>21</start>
      <end>22</end>
      <status>ignored</status>
      <modifiedWord/>
      <trackRevisions>false</trackRevisions>
    </reviewItem>
    <reviewItem>
      <errorID>5717abf7-e5c5-4376-b78e-ec90a3ef51d5</errorID>
      <errorWord>-</errorWord>
      <group>L1_Format</group>
      <groupName>格式问题</groupName>
      <ability>L2_HalfPunc</ability>
      <abilityName>全半角检查</abilityName>
      <candidateList>
        <item>－</item>
      </candidateList>
      <explain>文本全半角错误。</explain>
      <paraID> 5106080</paraID>
      <start>10</start>
      <end>11</end>
      <status>unmodified</status>
      <modifiedWord/>
      <trackRevisions>false</trackRevisions>
    </reviewItem>
    <reviewItem>
      <errorID>dca18447-99cb-4e8b-99f4-5a10232914c5</errorID>
      <errorWord>(</errorWord>
      <group>L1_Format</group>
      <groupName>格式问题</groupName>
      <ability>L2_HalfPunc</ability>
      <abilityName>全半角检查</abilityName>
      <candidateList>
        <item>（</item>
      </candidateList>
      <explain>文本全半角错误。</explain>
      <paraID> 5106080</paraID>
      <start>15</start>
      <end>16</end>
      <status>unmodified</status>
      <modifiedWord/>
      <trackRevisions>false</trackRevisions>
    </reviewItem>
    <reviewItem>
      <errorID>18d0f56b-2373-45ac-bf1e-2ba8f5f37286</errorID>
      <errorWord>)</errorWord>
      <group>L1_Format</group>
      <groupName>格式问题</groupName>
      <ability>L2_HalfPunc</ability>
      <abilityName>全半角检查</abilityName>
      <candidateList>
        <item>）</item>
      </candidateList>
      <explain>文本全半角错误。</explain>
      <paraID> 5106080</paraID>
      <start>19</start>
      <end>20</end>
      <status>ignored</status>
      <modifiedWord/>
      <trackRevisions>false</trackRevisions>
    </reviewItem>
    <reviewItem>
      <errorID>239a7ef3-59d8-47b2-89bb-ae1e7f129dde</errorID>
      <errorWord>-</errorWord>
      <group>L1_Format</group>
      <groupName>格式问题</groupName>
      <ability>L2_HalfPunc</ability>
      <abilityName>全半角检查</abilityName>
      <candidateList>
        <item>－</item>
      </candidateList>
      <explain>文本全半角错误。</explain>
      <paraID>652D5457</paraID>
      <start>10</start>
      <end>11</end>
      <status>unmodified</status>
      <modifiedWord/>
      <trackRevisions>false</trackRevisions>
    </reviewItem>
    <reviewItem>
      <errorID>c6f4b4df-7bd4-40f5-afac-b3c479d9c5cc</errorID>
      <errorWord>(</errorWord>
      <group>L1_Format</group>
      <groupName>格式问题</groupName>
      <ability>L2_HalfPunc</ability>
      <abilityName>全半角检查</abilityName>
      <candidateList>
        <item>（</item>
      </candidateList>
      <explain>文本全半角错误。</explain>
      <paraID>652D5457</paraID>
      <start>17</start>
      <end>18</end>
      <status>unmodified</status>
      <modifiedWord/>
      <trackRevisions>false</trackRevisions>
    </reviewItem>
    <reviewItem>
      <errorID>b8b5377a-9f1e-4d1c-b57a-f821ca72da4f</errorID>
      <errorWord>)</errorWord>
      <group>L1_Format</group>
      <groupName>格式问题</groupName>
      <ability>L2_HalfPunc</ability>
      <abilityName>全半角检查</abilityName>
      <candidateList>
        <item>）</item>
      </candidateList>
      <explain>文本全半角错误。</explain>
      <paraID>652D5457</paraID>
      <start>21</start>
      <end>22</end>
      <status>ignored</status>
      <modifiedWord/>
      <trackRevisions>false</trackRevisions>
    </reviewItem>
    <reviewItem>
      <errorID>e2ebc49f-3d17-42df-91e6-5f7e59a3ce73</errorID>
      <errorWord>-</errorWord>
      <group>L1_Format</group>
      <groupName>格式问题</groupName>
      <ability>L2_HalfPunc</ability>
      <abilityName>全半角检查</abilityName>
      <candidateList>
        <item>－</item>
      </candidateList>
      <explain>文本全半角错误。</explain>
      <paraID>325F5D06</paraID>
      <start>4</start>
      <end>5</end>
      <status>unmodified</status>
      <modifiedWord/>
      <trackRevisions>false</trackRevisions>
    </reviewItem>
    <reviewItem>
      <errorID>5bd85a5b-dbcc-44aa-9f5f-004817b936dc</errorID>
      <errorWord>(</errorWord>
      <group>L1_Format</group>
      <groupName>格式问题</groupName>
      <ability>L2_HalfPunc</ability>
      <abilityName>全半角检查</abilityName>
      <candidateList>
        <item>（</item>
      </candidateList>
      <explain>文本全半角错误。</explain>
      <paraID>325F5D06</paraID>
      <start>9</start>
      <end>10</end>
      <status>unmodified</status>
      <modifiedWord/>
      <trackRevisions>false</trackRevisions>
    </reviewItem>
    <reviewItem>
      <errorID>3176cb83-aeb6-455c-b788-ef47230c2272</errorID>
      <errorWord>)</errorWord>
      <group>L1_Format</group>
      <groupName>格式问题</groupName>
      <ability>L2_HalfPunc</ability>
      <abilityName>全半角检查</abilityName>
      <candidateList>
        <item>）</item>
      </candidateList>
      <explain>文本全半角错误。</explain>
      <paraID>325F5D06</paraID>
      <start>15</start>
      <end>16</end>
      <status>ignored</status>
      <modifiedWord/>
      <trackRevisions>false</trackRevisions>
    </reviewItem>
    <reviewItem>
      <errorID>fb672ac6-a4b9-4cd0-8d6a-c0fbf0a0bd7b</errorID>
      <errorWord>(</errorWord>
      <group>L1_Format</group>
      <groupName>格式问题</groupName>
      <ability>L2_HalfPunc</ability>
      <abilityName>全半角检查</abilityName>
      <candidateList>
        <item>（</item>
      </candidateList>
      <explain>文本全半角错误。</explain>
      <paraID> C81264F</paraID>
      <start>5</start>
      <end>6</end>
      <status>unmodified</status>
      <modifiedWord/>
      <trackRevisions>false</trackRevisions>
    </reviewItem>
    <reviewItem>
      <errorID>93f767fa-6393-4a91-aff4-24d19ba15f2a</errorID>
      <errorWord>)</errorWord>
      <group>L1_Format</group>
      <groupName>格式问题</groupName>
      <ability>L2_HalfPunc</ability>
      <abilityName>全半角检查</abilityName>
      <candidateList>
        <item>）</item>
      </candidateList>
      <explain>文本全半角错误。</explain>
      <paraID> C81264F</paraID>
      <start>7</start>
      <end>8</end>
      <status>ignored</status>
      <modifiedWord/>
      <trackRevisions>false</trackRevisions>
    </reviewItem>
    <reviewItem>
      <errorID>6e942fae-cc0c-43a4-9230-9fd097349902</errorID>
      <errorWord>(</errorWord>
      <group>L1_Format</group>
      <groupName>格式问题</groupName>
      <ability>L2_HalfPunc</ability>
      <abilityName>全半角检查</abilityName>
      <candidateList>
        <item>（</item>
      </candidateList>
      <explain>文本全半角错误。</explain>
      <paraID> 58A445A</paraID>
      <start>5</start>
      <end>6</end>
      <status>unmodified</status>
      <modifiedWord/>
      <trackRevisions>false</trackRevisions>
    </reviewItem>
    <reviewItem>
      <errorID>f58ad707-96e7-49d4-a397-32580a09a552</errorID>
      <errorWord>)</errorWord>
      <group>L1_Format</group>
      <groupName>格式问题</groupName>
      <ability>L2_HalfPunc</ability>
      <abilityName>全半角检查</abilityName>
      <candidateList>
        <item>）</item>
      </candidateList>
      <explain>文本全半角错误。</explain>
      <paraID> 58A445A</paraID>
      <start>11</start>
      <end>12</end>
      <status>ignored</status>
      <modifiedWord/>
      <trackRevisions>false</trackRevisions>
    </reviewItem>
    <reviewItem>
      <errorID>430a225b-4e2a-4727-9244-48728fdd3b82</errorID>
      <errorWord>(</errorWord>
      <group>L1_Format</group>
      <groupName>格式问题</groupName>
      <ability>L2_HalfPunc</ability>
      <abilityName>全半角检查</abilityName>
      <candidateList>
        <item>（</item>
      </candidateList>
      <explain>文本全半角错误。</explain>
      <paraID>51405A8D</paraID>
      <start>4</start>
      <end>5</end>
      <status>unmodified</status>
      <modifiedWord/>
      <trackRevisions>false</trackRevisions>
    </reviewItem>
    <reviewItem>
      <errorID>2a8bad11-a1ae-4880-b06d-2ee44190db6f</errorID>
      <errorWord>)</errorWord>
      <group>L1_Format</group>
      <groupName>格式问题</groupName>
      <ability>L2_HalfPunc</ability>
      <abilityName>全半角检查</abilityName>
      <candidateList>
        <item>）</item>
      </candidateList>
      <explain>文本全半角错误。</explain>
      <paraID>51405A8D</paraID>
      <start>6</start>
      <end>7</end>
      <status>ignored</status>
      <modifiedWord/>
      <trackRevisions>false</trackRevisions>
    </reviewItem>
    <reviewItem>
      <errorID>6ed580f2-b544-416e-baf7-30e12b34b729</errorID>
      <errorWord>-</errorWord>
      <group>L1_Format</group>
      <groupName>格式问题</groupName>
      <ability>L2_HalfPunc</ability>
      <abilityName>全半角检查</abilityName>
      <candidateList>
        <item>－</item>
      </candidateList>
      <explain>文本全半角错误。</explain>
      <paraID> 27C9370</paraID>
      <start>13</start>
      <end>14</end>
      <status>unmodified</status>
      <modifiedWord/>
      <trackRevisions>false</trackRevisions>
    </reviewItem>
    <reviewItem>
      <errorID>3dd85a2f-fd63-4b7c-8421-2093c95d6f9d</errorID>
      <errorWord>(</errorWord>
      <group>L1_Format</group>
      <groupName>格式问题</groupName>
      <ability>L2_HalfPunc</ability>
      <abilityName>全半角检查</abilityName>
      <candidateList>
        <item>（</item>
      </candidateList>
      <explain>文本全半角错误。</explain>
      <paraID> 27C9370</paraID>
      <start>22</start>
      <end>23</end>
      <status>unmodified</status>
      <modifiedWord/>
      <trackRevisions>false</trackRevisions>
    </reviewItem>
    <reviewItem>
      <errorID>09bd0f5f-38ef-42c5-96ae-c42ec24ca363</errorID>
      <errorWord>)</errorWord>
      <group>L1_Format</group>
      <groupName>格式问题</groupName>
      <ability>L2_HalfPunc</ability>
      <abilityName>全半角检查</abilityName>
      <candidateList>
        <item>）</item>
      </candidateList>
      <explain>文本全半角错误。</explain>
      <paraID> 27C9370</paraID>
      <start>28</start>
      <end>29</end>
      <status>ignored</status>
      <modifiedWord/>
      <trackRevisions>false</trackRevisions>
    </reviewItem>
    <reviewItem>
      <errorID>a7a17ad4-ecdb-457d-beb2-c230a073712d</errorID>
      <errorWord>)</errorWord>
      <group>L1_Format</group>
      <groupName>格式问题</groupName>
      <ability>L2_HalfPunc</ability>
      <abilityName>全半角检查</abilityName>
      <candidateList>
        <item>）</item>
      </candidateList>
      <explain>文本全半角错误。</explain>
      <paraID>1DD67279</paraID>
      <start>13</start>
      <end>14</end>
      <status>ignored</status>
      <modifiedWord/>
      <trackRevisions>false</trackRevisions>
    </reviewItem>
    <reviewItem>
      <errorID>62647d56-2b70-4296-a996-2a8ccdf23c3a</errorID>
      <errorWord>,</errorWord>
      <group>L1_Format</group>
      <groupName>格式问题</groupName>
      <ability>L2_HalfPunc</ability>
      <abilityName>全半角检查</abilityName>
      <candidateList>
        <item>，</item>
      </candidateList>
      <explain>文本全半角错误。</explain>
      <paraID>1DD67279</paraID>
      <start>22</start>
      <end>23</end>
      <status>unmodified</status>
      <modifiedWord/>
      <trackRevisions>false</trackRevisions>
    </reviewItem>
    <reviewItem>
      <errorID>93247d43-1a70-435a-812a-9feaf0d68161</errorID>
      <errorWord>,</errorWord>
      <group>L1_Format</group>
      <groupName>格式问题</groupName>
      <ability>L2_HalfPunc</ability>
      <abilityName>全半角检查</abilityName>
      <candidateList>
        <item>，</item>
      </candidateList>
      <explain>文本全半角错误。</explain>
      <paraID>1DD67279</paraID>
      <start>38</start>
      <end>39</end>
      <status>unmodified</status>
      <modifiedWord/>
      <trackRevisions>false</trackRevisions>
    </reviewItem>
    <reviewItem>
      <errorID>c580d72a-f45e-4cce-93ed-22488ef343ee</errorID>
      <errorWord>)</errorWord>
      <group>L1_Format</group>
      <groupName>格式问题</groupName>
      <ability>L2_HalfPunc</ability>
      <abilityName>全半角检查</abilityName>
      <candidateList>
        <item>）</item>
      </candidateList>
      <explain>文本全半角错误。</explain>
      <paraID>1DD67279</paraID>
      <start>77</start>
      <end>78</end>
      <status>ignored</status>
      <modifiedWord/>
      <trackRevisions>false</trackRevisions>
    </reviewItem>
    <reviewItem>
      <errorID>32e3eb7c-81d7-4051-84cc-6d1c896c21b6</errorID>
      <errorWord>,</errorWord>
      <group>L1_Format</group>
      <groupName>格式问题</groupName>
      <ability>L2_HalfPunc</ability>
      <abilityName>全半角检查</abilityName>
      <candidateList>
        <item>，</item>
      </candidateList>
      <explain>文本全半角错误。</explain>
      <paraID>1DD67279</paraID>
      <start>101</start>
      <end>102</end>
      <status>unmodified</status>
      <modifiedWord/>
      <trackRevisions>false</trackRevisions>
    </reviewItem>
    <reviewItem>
      <errorID>85fc8a2c-4b35-4c61-af01-f71092459c16</errorID>
      <errorWord>-</errorWord>
      <group>L1_Format</group>
      <groupName>格式问题</groupName>
      <ability>L2_HalfPunc</ability>
      <abilityName>全半角检查</abilityName>
      <candidateList>
        <item>－</item>
      </candidateList>
      <explain>文本全半角错误。</explain>
      <paraID>4CEAA967</paraID>
      <start>12</start>
      <end>13</end>
      <status>unmodified</status>
      <modifiedWord/>
      <trackRevisions>false</trackRevisions>
    </reviewItem>
    <reviewItem>
      <errorID>c280252b-7580-446e-89ca-dde1cff14849</errorID>
      <errorWord>泄露</errorWord>
      <group>L1_Word</group>
      <groupName>字词问题</groupName>
      <ability>L2_Typo</ability>
      <abilityName>字词错误</abilityName>
      <candidateList>
        <item>泄漏</item>
      </candidateList>
      <explain>存在发音相同字词的误用。</explain>
      <paraID>3E02BA54</paraID>
      <start>0</start>
      <end>2</end>
      <status>unmodified</status>
      <modifiedWord/>
      <trackRevisions>false</trackRevisions>
    </reviewItem>
    <reviewItem>
      <errorID>3f639d38-b19e-466d-aba1-789f49689558</errorID>
      <errorWord>(</errorWord>
      <group>L1_Format</group>
      <groupName>格式问题</groupName>
      <ability>L2_HalfPunc</ability>
      <abilityName>全半角检查</abilityName>
      <candidateList>
        <item>（</item>
      </candidateList>
      <explain>文本全半角错误。</explain>
      <paraID>406BE864</paraID>
      <start>4</start>
      <end>5</end>
      <status>unmodified</status>
      <modifiedWord/>
      <trackRevisions>false</trackRevisions>
    </reviewItem>
    <reviewItem>
      <errorID>c91ff214-f7aa-4871-8b8f-729bfecefd6a</errorID>
      <errorWord>)</errorWord>
      <group>L1_Format</group>
      <groupName>格式问题</groupName>
      <ability>L2_HalfPunc</ability>
      <abilityName>全半角检查</abilityName>
      <candidateList>
        <item>）</item>
      </candidateList>
      <explain>文本全半角错误。</explain>
      <paraID>406BE864</paraID>
      <start>6</start>
      <end>7</end>
      <status>ignored</status>
      <modifiedWord/>
      <trackRevisions>false</trackRevisions>
    </reviewItem>
    <reviewItem>
      <errorID>1a23db77-108b-4c30-9ea2-3f61c06df132</errorID>
      <errorWord>(</errorWord>
      <group>L1_Format</group>
      <groupName>格式问题</groupName>
      <ability>L2_HalfPunc</ability>
      <abilityName>全半角检查</abilityName>
      <candidateList>
        <item>（</item>
      </candidateList>
      <explain>文本全半角错误。</explain>
      <paraID>283B8169</paraID>
      <start>4</start>
      <end>5</end>
      <status>unmodified</status>
      <modifiedWord/>
      <trackRevisions>false</trackRevisions>
    </reviewItem>
    <reviewItem>
      <errorID>97e680c3-177c-4924-831b-031c2ba91dde</errorID>
      <errorWord>)</errorWord>
      <group>L1_Format</group>
      <groupName>格式问题</groupName>
      <ability>L2_HalfPunc</ability>
      <abilityName>全半角检查</abilityName>
      <candidateList>
        <item>）</item>
      </candidateList>
      <explain>文本全半角错误。</explain>
      <paraID>283B8169</paraID>
      <start>8</start>
      <end>9</end>
      <status>ignored</status>
      <modifiedWord/>
      <trackRevisions>false</trackRevisions>
    </reviewItem>
    <reviewItem>
      <errorID>6f9bd970-47ab-4768-9640-6645e316bcb5</errorID>
      <errorWord>泄露</errorWord>
      <group>L1_Word</group>
      <groupName>字词问题</groupName>
      <ability>L2_Typo</ability>
      <abilityName>字词错误</abilityName>
      <candidateList>
        <item>泄漏</item>
      </candidateList>
      <explain>存在发音相同字词的误用。</explain>
      <paraID>4073054D</paraID>
      <start>0</start>
      <end>2</end>
      <status>unmodified</status>
      <modifiedWord/>
      <trackRevisions>false</trackRevisions>
    </reviewItem>
    <reviewItem>
      <errorID>6b01f79e-12a4-4207-aa9e-804c2f6fd18a</errorID>
      <errorWord>(</errorWord>
      <group>L1_Format</group>
      <groupName>格式问题</groupName>
      <ability>L2_HalfPunc</ability>
      <abilityName>全半角检查</abilityName>
      <candidateList>
        <item>（</item>
      </candidateList>
      <explain>文本全半角错误。</explain>
      <paraID>  716319</paraID>
      <start>5</start>
      <end>6</end>
      <status>unmodified</status>
      <modifiedWord/>
      <trackRevisions>false</trackRevisions>
    </reviewItem>
    <reviewItem>
      <errorID>41c77501-ed96-4b1d-b03f-1287e207f732</errorID>
      <errorWord>)</errorWord>
      <group>L1_Format</group>
      <groupName>格式问题</groupName>
      <ability>L2_HalfPunc</ability>
      <abilityName>全半角检查</abilityName>
      <candidateList>
        <item>）</item>
      </candidateList>
      <explain>文本全半角错误。</explain>
      <paraID>  716319</paraID>
      <start>8</start>
      <end>9</end>
      <status>ignored</status>
      <modifiedWord/>
      <trackRevisions>false</trackRevisions>
    </reviewItem>
    <reviewItem>
      <errorID>17891f08-8370-4dc8-9873-27d7ab2fb047</errorID>
      <errorWord>(</errorWord>
      <group>L1_Format</group>
      <groupName>格式问题</groupName>
      <ability>L2_HalfPunc</ability>
      <abilityName>全半角检查</abilityName>
      <candidateList>
        <item>（</item>
      </candidateList>
      <explain>文本全半角错误。</explain>
      <paraID>28E6A165</paraID>
      <start>4</start>
      <end>5</end>
      <status>unmodified</status>
      <modifiedWord/>
      <trackRevisions>false</trackRevisions>
    </reviewItem>
    <reviewItem>
      <errorID>83610a71-7480-43ae-a121-3cc756a9c7e2</errorID>
      <errorWord>)</errorWord>
      <group>L1_Format</group>
      <groupName>格式问题</groupName>
      <ability>L2_HalfPunc</ability>
      <abilityName>全半角检查</abilityName>
      <candidateList>
        <item>）</item>
      </candidateList>
      <explain>文本全半角错误。</explain>
      <paraID>28E6A165</paraID>
      <start>7</start>
      <end>8</end>
      <status>ignored</status>
      <modifiedWord/>
      <trackRevisions>false</trackRevisions>
    </reviewItem>
    <reviewItem>
      <errorID>7815950a-29a5-425e-a8db-c215735960d3</errorID>
      <errorWord>(</errorWord>
      <group>L1_Format</group>
      <groupName>格式问题</groupName>
      <ability>L2_HalfPunc</ability>
      <abilityName>全半角检查</abilityName>
      <candidateList>
        <item>（</item>
      </candidateList>
      <explain>文本全半角错误。</explain>
      <paraID>5D7053A2</paraID>
      <start>4</start>
      <end>5</end>
      <status>unmodified</status>
      <modifiedWord/>
      <trackRevisions>false</trackRevisions>
    </reviewItem>
    <reviewItem>
      <errorID>ade460c4-a9a4-4677-bd3d-c6d1ba3b01b3</errorID>
      <errorWord>)</errorWord>
      <group>L1_Format</group>
      <groupName>格式问题</groupName>
      <ability>L2_HalfPunc</ability>
      <abilityName>全半角检查</abilityName>
      <candidateList>
        <item>）</item>
      </candidateList>
      <explain>文本全半角错误。</explain>
      <paraID>5D7053A2</paraID>
      <start>9</start>
      <end>10</end>
      <status>ignored</status>
      <modifiedWord/>
      <trackRevisions>false</trackRevisions>
    </reviewItem>
    <reviewItem>
      <errorID>41b48037-b0f3-4775-a8e8-ab3e12deaf66</errorID>
      <errorWord>泄露</errorWord>
      <group>L1_Word</group>
      <groupName>字词问题</groupName>
      <ability>L2_Typo</ability>
      <abilityName>字词错误</abilityName>
      <candidateList>
        <item>泄漏</item>
      </candidateList>
      <explain>存在发音相同字词的误用。</explain>
      <paraID>2485E493</paraID>
      <start>0</start>
      <end>2</end>
      <status>unmodified</status>
      <modifiedWord/>
      <trackRevisions>false</trackRevisions>
    </reviewItem>
    <reviewItem>
      <errorID>79c5eb96-1a61-4ffd-a4e8-d5973eca93e2</errorID>
      <errorWord>(</errorWord>
      <group>L1_Format</group>
      <groupName>格式问题</groupName>
      <ability>L2_HalfPunc</ability>
      <abilityName>全半角检查</abilityName>
      <candidateList>
        <item>（</item>
      </candidateList>
      <explain>文本全半角错误。</explain>
      <paraID>2485E493</paraID>
      <start>4</start>
      <end>5</end>
      <status>unmodified</status>
      <modifiedWord/>
      <trackRevisions>false</trackRevisions>
    </reviewItem>
    <reviewItem>
      <errorID>2b3f3faa-9042-402e-a9a9-f1a0053e2b34</errorID>
      <errorWord>)</errorWord>
      <group>L1_Format</group>
      <groupName>格式问题</groupName>
      <ability>L2_HalfPunc</ability>
      <abilityName>全半角检查</abilityName>
      <candidateList>
        <item>）</item>
      </candidateList>
      <explain>文本全半角错误。</explain>
      <paraID>2485E493</paraID>
      <start>8</start>
      <end>9</end>
      <status>ignored</status>
      <modifiedWord/>
      <trackRevisions>false</trackRevisions>
    </reviewItem>
    <reviewItem>
      <errorID>fceeb51a-3ede-4931-a183-ffc0297b1624</errorID>
      <errorWord>泄露</errorWord>
      <group>L1_Word</group>
      <groupName>字词问题</groupName>
      <ability>L2_Typo</ability>
      <abilityName>字词错误</abilityName>
      <candidateList>
        <item>泄漏</item>
      </candidateList>
      <explain>存在发音相同字词的误用。</explain>
      <paraID>1BF93DCB</paraID>
      <start>0</start>
      <end>2</end>
      <status>unmodified</status>
      <modifiedWord/>
      <trackRevisions>false</trackRevisions>
    </reviewItem>
    <reviewItem>
      <errorID>280e3bca-7c47-4b81-89d2-7bf66e1521c9</errorID>
      <errorWord>(</errorWord>
      <group>L1_Format</group>
      <groupName>格式问题</groupName>
      <ability>L2_HalfPunc</ability>
      <abilityName>全半角检查</abilityName>
      <candidateList>
        <item>（</item>
      </candidateList>
      <explain>文本全半角错误。</explain>
      <paraID>1BF93DCB</paraID>
      <start>3</start>
      <end>4</end>
      <status>unmodified</status>
      <modifiedWord/>
      <trackRevisions>false</trackRevisions>
    </reviewItem>
    <reviewItem>
      <errorID>337fba76-59bb-4624-b91c-8ff15c1fe91a</errorID>
      <errorWord>)</errorWord>
      <group>L1_Format</group>
      <groupName>格式问题</groupName>
      <ability>L2_HalfPunc</ability>
      <abilityName>全半角检查</abilityName>
      <candidateList>
        <item>）</item>
      </candidateList>
      <explain>文本全半角错误。</explain>
      <paraID>1BF93DCB</paraID>
      <start>6</start>
      <end>7</end>
      <status>ignored</status>
      <modifiedWord/>
      <trackRevisions>false</trackRevisions>
    </reviewItem>
    <reviewItem>
      <errorID>898b4a01-70ab-4aaf-b939-870d1df661ae</errorID>
      <errorWord>泄露</errorWord>
      <group>L1_Word</group>
      <groupName>字词问题</groupName>
      <ability>L2_Typo</ability>
      <abilityName>字词错误</abilityName>
      <candidateList>
        <item>泄漏</item>
      </candidateList>
      <explain>存在发音相同字词的误用。</explain>
      <paraID>35FF734A</paraID>
      <start>0</start>
      <end>2</end>
      <status>unmodified</status>
      <modifiedWord/>
      <trackRevisions>false</trackRevisions>
    </reviewItem>
    <reviewItem>
      <errorID>e0fa1f6c-8f80-4bf3-a983-6a6ee3ebad36</errorID>
      <errorWord>(</errorWord>
      <group>L1_Format</group>
      <groupName>格式问题</groupName>
      <ability>L2_HalfPunc</ability>
      <abilityName>全半角检查</abilityName>
      <candidateList>
        <item>（</item>
      </candidateList>
      <explain>文本全半角错误。</explain>
      <paraID>35FF734A</paraID>
      <start>4</start>
      <end>5</end>
      <status>unmodified</status>
      <modifiedWord/>
      <trackRevisions>false</trackRevisions>
    </reviewItem>
    <reviewItem>
      <errorID>833fd5d1-7dce-4bd8-9c5f-bf359f141b00</errorID>
      <errorWord>)</errorWord>
      <group>L1_Format</group>
      <groupName>格式问题</groupName>
      <ability>L2_HalfPunc</ability>
      <abilityName>全半角检查</abilityName>
      <candidateList>
        <item>）</item>
      </candidateList>
      <explain>文本全半角错误。</explain>
      <paraID>35FF734A</paraID>
      <start>6</start>
      <end>7</end>
      <status>ignored</status>
      <modifiedWord/>
      <trackRevisions>false</trackRevisions>
    </reviewItem>
    <reviewItem>
      <errorID>eaf3cc80-35b4-46d4-a707-023600428da7</errorID>
      <errorWord>(</errorWord>
      <group>L1_Format</group>
      <groupName>格式问题</groupName>
      <ability>L2_HalfPunc</ability>
      <abilityName>全半角检查</abilityName>
      <candidateList>
        <item>（</item>
      </candidateList>
      <explain>文本全半角错误。</explain>
      <paraID> 48870D0</paraID>
      <start>4</start>
      <end>5</end>
      <status>unmodified</status>
      <modifiedWord/>
      <trackRevisions>false</trackRevisions>
    </reviewItem>
    <reviewItem>
      <errorID>1f68f0ce-3590-4164-aa70-e6693bb731f9</errorID>
      <errorWord>)</errorWord>
      <group>L1_Format</group>
      <groupName>格式问题</groupName>
      <ability>L2_HalfPunc</ability>
      <abilityName>全半角检查</abilityName>
      <candidateList>
        <item>）</item>
      </candidateList>
      <explain>文本全半角错误。</explain>
      <paraID> 48870D0</paraID>
      <start>8</start>
      <end>9</end>
      <status>ignored</status>
      <modifiedWord/>
      <trackRevisions>false</trackRevisions>
    </reviewItem>
    <reviewItem>
      <errorID>91c089b8-7c94-467f-9289-f7e5c2efa387</errorID>
      <errorWord>(</errorWord>
      <group>L1_Format</group>
      <groupName>格式问题</groupName>
      <ability>L2_HalfPunc</ability>
      <abilityName>全半角检查</abilityName>
      <candidateList>
        <item>（</item>
      </candidateList>
      <explain>文本全半角错误。</explain>
      <paraID>4D679982</paraID>
      <start>3</start>
      <end>4</end>
      <status>unmodified</status>
      <modifiedWord/>
      <trackRevisions>false</trackRevisions>
    </reviewItem>
    <reviewItem>
      <errorID>6a0a842f-69e8-4658-ac3f-fda17a021b1e</errorID>
      <errorWord>)</errorWord>
      <group>L1_Format</group>
      <groupName>格式问题</groupName>
      <ability>L2_HalfPunc</ability>
      <abilityName>全半角检查</abilityName>
      <candidateList>
        <item>）</item>
      </candidateList>
      <explain>文本全半角错误。</explain>
      <paraID>4D679982</paraID>
      <start>6</start>
      <end>7</end>
      <status>ignored</status>
      <modifiedWord/>
      <trackRevisions>false</trackRevisions>
    </reviewItem>
    <reviewItem>
      <errorID>90688f34-b606-422e-998d-983cf0d17413</errorID>
      <errorWord>-</errorWord>
      <group>L1_Format</group>
      <groupName>格式问题</groupName>
      <ability>L2_HalfPunc</ability>
      <abilityName>全半角检查</abilityName>
      <candidateList>
        <item>－</item>
      </candidateList>
      <explain>文本全半角错误。</explain>
      <paraID>3B12D850</paraID>
      <start>6</start>
      <end>7</end>
      <status>unmodified</status>
      <modifiedWord/>
      <trackRevisions>false</trackRevisions>
    </reviewItem>
    <reviewItem>
      <errorID>fc907421-001e-4ed4-92dc-6e120c40c913</errorID>
      <errorWord>-</errorWord>
      <group>L1_Format</group>
      <groupName>格式问题</groupName>
      <ability>L2_HalfPunc</ability>
      <abilityName>全半角检查</abilityName>
      <candidateList>
        <item>－</item>
      </candidateList>
      <explain>文本全半角错误。</explain>
      <paraID>3B12D850</paraID>
      <start>13</start>
      <end>14</end>
      <status>unmodified</status>
      <modifiedWord/>
      <trackRevisions>false</trackRevisions>
    </reviewItem>
    <reviewItem>
      <errorID>86902744-85ce-44c9-a5ee-8fc201176a91</errorID>
      <errorWord>(</errorWord>
      <group>L1_Format</group>
      <groupName>格式问题</groupName>
      <ability>L2_HalfPunc</ability>
      <abilityName>全半角检查</abilityName>
      <candidateList>
        <item>（</item>
      </candidateList>
      <explain>文本全半角错误。</explain>
      <paraID>5E28EFBC</paraID>
      <start>3</start>
      <end>4</end>
      <status>unmodified</status>
      <modifiedWord/>
      <trackRevisions>false</trackRevisions>
    </reviewItem>
    <reviewItem>
      <errorID>4f7c945e-036b-4012-8407-d76296179077</errorID>
      <errorWord>)</errorWord>
      <group>L1_Format</group>
      <groupName>格式问题</groupName>
      <ability>L2_HalfPunc</ability>
      <abilityName>全半角检查</abilityName>
      <candidateList>
        <item>）</item>
      </candidateList>
      <explain>文本全半角错误。</explain>
      <paraID>5E28EFBC</paraID>
      <start>9</start>
      <end>10</end>
      <status>ignored</status>
      <modifiedWord/>
      <trackRevisions>false</trackRevisions>
    </reviewItem>
    <reviewItem>
      <errorID>c20c63d7-9ff0-4c91-8523-c2a732a2205e</errorID>
      <errorWord>(</errorWord>
      <group>L1_Format</group>
      <groupName>格式问题</groupName>
      <ability>L2_HalfPunc</ability>
      <abilityName>全半角检查</abilityName>
      <candidateList>
        <item>（</item>
      </candidateList>
      <explain>文本全半角错误。</explain>
      <paraID>289FF52E</paraID>
      <start>6</start>
      <end>7</end>
      <status>unmodified</status>
      <modifiedWord/>
      <trackRevisions>false</trackRevisions>
    </reviewItem>
    <reviewItem>
      <errorID>1744a242-012f-4984-bd23-f8672aec6f1d</errorID>
      <errorWord>)</errorWord>
      <group>L1_Format</group>
      <groupName>格式问题</groupName>
      <ability>L2_HalfPunc</ability>
      <abilityName>全半角检查</abilityName>
      <candidateList>
        <item>）</item>
      </candidateList>
      <explain>文本全半角错误。</explain>
      <paraID>289FF52E</paraID>
      <start>8</start>
      <end>9</end>
      <status>ignored</status>
      <modifiedWord/>
      <trackRevisions>false</trackRevisions>
    </reviewItem>
    <reviewItem>
      <errorID>8ede473c-c312-4f25-ba77-31208f304795</errorID>
      <errorWord>(</errorWord>
      <group>L1_Format</group>
      <groupName>格式问题</groupName>
      <ability>L2_HalfPunc</ability>
      <abilityName>全半角检查</abilityName>
      <candidateList>
        <item>（</item>
      </candidateList>
      <explain>文本全半角错误。</explain>
      <paraID>2B74A64D</paraID>
      <start>4</start>
      <end>5</end>
      <status>unmodified</status>
      <modifiedWord/>
      <trackRevisions>false</trackRevisions>
    </reviewItem>
    <reviewItem>
      <errorID>35f7c651-2a0d-4818-8ac4-4e06303a3d1d</errorID>
      <errorWord>)</errorWord>
      <group>L1_Format</group>
      <groupName>格式问题</groupName>
      <ability>L2_HalfPunc</ability>
      <abilityName>全半角检查</abilityName>
      <candidateList>
        <item>）</item>
      </candidateList>
      <explain>文本全半角错误。</explain>
      <paraID>2B74A64D</paraID>
      <start>8</start>
      <end>9</end>
      <status>ignored</status>
      <modifiedWord/>
      <trackRevisions>false</trackRevisions>
    </reviewItem>
    <reviewItem>
      <errorID>d31ebf48-08d9-4917-93e4-7ce40fec5a0a</errorID>
      <errorWord>-</errorWord>
      <group>L1_Format</group>
      <groupName>格式问题</groupName>
      <ability>L2_HalfPunc</ability>
      <abilityName>全半角检查</abilityName>
      <candidateList>
        <item>－</item>
      </candidateList>
      <explain>文本全半角错误。</explain>
      <paraID> 46B2432</paraID>
      <start>10</start>
      <end>11</end>
      <status>unmodified</status>
      <modifiedWord/>
      <trackRevisions>false</trackRevisions>
    </reviewItem>
    <reviewItem>
      <errorID>684ebd2e-3674-4a3b-a219-8856970e3159</errorID>
      <errorWord>(</errorWord>
      <group>L1_Format</group>
      <groupName>格式问题</groupName>
      <ability>L2_HalfPunc</ability>
      <abilityName>全半角检查</abilityName>
      <candidateList>
        <item>（</item>
      </candidateList>
      <explain>文本全半角错误。</explain>
      <paraID> 46B2432</paraID>
      <start>15</start>
      <end>16</end>
      <status>unmodified</status>
      <modifiedWord/>
      <trackRevisions>false</trackRevisions>
    </reviewItem>
    <reviewItem>
      <errorID>1bcc8fb8-3010-44c7-a70d-966543019dd8</errorID>
      <errorWord>)</errorWord>
      <group>L1_Format</group>
      <groupName>格式问题</groupName>
      <ability>L2_HalfPunc</ability>
      <abilityName>全半角检查</abilityName>
      <candidateList>
        <item>）</item>
      </candidateList>
      <explain>文本全半角错误。</explain>
      <paraID> 46B2432</paraID>
      <start>19</start>
      <end>20</end>
      <status>ignored</status>
      <modifiedWord/>
      <trackRevisions>false</trackRevisions>
    </reviewItem>
    <reviewItem>
      <errorID>45b13e57-aaac-4440-8a50-e200216c96e0</errorID>
      <errorWord>-</errorWord>
      <group>L1_Format</group>
      <groupName>格式问题</groupName>
      <ability>L2_HalfPunc</ability>
      <abilityName>全半角检查</abilityName>
      <candidateList>
        <item>－</item>
      </candidateList>
      <explain>文本全半角错误。</explain>
      <paraID>5BA435B8</paraID>
      <start>10</start>
      <end>11</end>
      <status>unmodified</status>
      <modifiedWord/>
      <trackRevisions>false</trackRevisions>
    </reviewItem>
    <reviewItem>
      <errorID>188fcdde-9515-4091-add1-30ef181868b4</errorID>
      <errorWord>(</errorWord>
      <group>L1_Format</group>
      <groupName>格式问题</groupName>
      <ability>L2_HalfPunc</ability>
      <abilityName>全半角检查</abilityName>
      <candidateList>
        <item>（</item>
      </candidateList>
      <explain>文本全半角错误。</explain>
      <paraID>5BA435B8</paraID>
      <start>17</start>
      <end>18</end>
      <status>unmodified</status>
      <modifiedWord/>
      <trackRevisions>false</trackRevisions>
    </reviewItem>
    <reviewItem>
      <errorID>ca0f0955-1b72-4e7a-b8b7-4a3a9df1e9cb</errorID>
      <errorWord>)</errorWord>
      <group>L1_Format</group>
      <groupName>格式问题</groupName>
      <ability>L2_HalfPunc</ability>
      <abilityName>全半角检查</abilityName>
      <candidateList>
        <item>）</item>
      </candidateList>
      <explain>文本全半角错误。</explain>
      <paraID>5BA435B8</paraID>
      <start>21</start>
      <end>22</end>
      <status>ignored</status>
      <modifiedWord/>
      <trackRevisions>false</trackRevisions>
    </reviewItem>
    <reviewItem>
      <errorID>fb4317bf-7c41-46fb-80f3-5b596345bcea</errorID>
      <errorWord>-</errorWord>
      <group>L1_Format</group>
      <groupName>格式问题</groupName>
      <ability>L2_HalfPunc</ability>
      <abilityName>全半角检查</abilityName>
      <candidateList>
        <item>－</item>
      </candidateList>
      <explain>文本全半角错误。</explain>
      <paraID>3F395905</paraID>
      <start>10</start>
      <end>11</end>
      <status>unmodified</status>
      <modifiedWord/>
      <trackRevisions>false</trackRevisions>
    </reviewItem>
    <reviewItem>
      <errorID>894ec9d6-893a-44f7-a4e6-e170e62d454d</errorID>
      <errorWord>(</errorWord>
      <group>L1_Format</group>
      <groupName>格式问题</groupName>
      <ability>L2_HalfPunc</ability>
      <abilityName>全半角检查</abilityName>
      <candidateList>
        <item>（</item>
      </candidateList>
      <explain>文本全半角错误。</explain>
      <paraID>3F395905</paraID>
      <start>15</start>
      <end>16</end>
      <status>unmodified</status>
      <modifiedWord/>
      <trackRevisions>false</trackRevisions>
    </reviewItem>
    <reviewItem>
      <errorID>b926218c-ebcb-4909-afbb-f687c4259b74</errorID>
      <errorWord>)</errorWord>
      <group>L1_Format</group>
      <groupName>格式问题</groupName>
      <ability>L2_HalfPunc</ability>
      <abilityName>全半角检查</abilityName>
      <candidateList>
        <item>）</item>
      </candidateList>
      <explain>文本全半角错误。</explain>
      <paraID>3F395905</paraID>
      <start>19</start>
      <end>20</end>
      <status>ignored</status>
      <modifiedWord/>
      <trackRevisions>false</trackRevisions>
    </reviewItem>
    <reviewItem>
      <errorID>f77f1132-c572-471b-a727-2c8895bd5016</errorID>
      <errorWord>-</errorWord>
      <group>L1_Format</group>
      <groupName>格式问题</groupName>
      <ability>L2_HalfPunc</ability>
      <abilityName>全半角检查</abilityName>
      <candidateList>
        <item>－</item>
      </candidateList>
      <explain>文本全半角错误。</explain>
      <paraID>1F438A34</paraID>
      <start>10</start>
      <end>11</end>
      <status>unmodified</status>
      <modifiedWord/>
      <trackRevisions>false</trackRevisions>
    </reviewItem>
    <reviewItem>
      <errorID>eeec84be-96cd-4eb2-b5e4-59cbfed4e70d</errorID>
      <errorWord>(</errorWord>
      <group>L1_Format</group>
      <groupName>格式问题</groupName>
      <ability>L2_HalfPunc</ability>
      <abilityName>全半角检查</abilityName>
      <candidateList>
        <item>（</item>
      </candidateList>
      <explain>文本全半角错误。</explain>
      <paraID>1F438A34</paraID>
      <start>17</start>
      <end>18</end>
      <status>unmodified</status>
      <modifiedWord/>
      <trackRevisions>false</trackRevisions>
    </reviewItem>
    <reviewItem>
      <errorID>638aae4b-980c-4262-8fb1-d28dc0efac17</errorID>
      <errorWord>)</errorWord>
      <group>L1_Format</group>
      <groupName>格式问题</groupName>
      <ability>L2_HalfPunc</ability>
      <abilityName>全半角检查</abilityName>
      <candidateList>
        <item>）</item>
      </candidateList>
      <explain>文本全半角错误。</explain>
      <paraID>1F438A34</paraID>
      <start>21</start>
      <end>22</end>
      <status>ignored</status>
      <modifiedWord/>
      <trackRevisions>false</trackRevisions>
    </reviewItem>
    <reviewItem>
      <errorID>d197f0dc-09f4-4652-9cf4-cebbd8408712</errorID>
      <errorWord>-</errorWord>
      <group>L1_Format</group>
      <groupName>格式问题</groupName>
      <ability>L2_HalfPunc</ability>
      <abilityName>全半角检查</abilityName>
      <candidateList>
        <item>－</item>
      </candidateList>
      <explain>文本全半角错误。</explain>
      <paraID>2D14FB44</paraID>
      <start>4</start>
      <end>5</end>
      <status>unmodified</status>
      <modifiedWord/>
      <trackRevisions>false</trackRevisions>
    </reviewItem>
    <reviewItem>
      <errorID>92aed152-ccf5-4a53-a442-c6f940cb34a6</errorID>
      <errorWord>(</errorWord>
      <group>L1_Format</group>
      <groupName>格式问题</groupName>
      <ability>L2_HalfPunc</ability>
      <abilityName>全半角检查</abilityName>
      <candidateList>
        <item>（</item>
      </candidateList>
      <explain>文本全半角错误。</explain>
      <paraID>2D14FB44</paraID>
      <start>9</start>
      <end>10</end>
      <status>unmodified</status>
      <modifiedWord/>
      <trackRevisions>false</trackRevisions>
    </reviewItem>
    <reviewItem>
      <errorID>cb4489a5-516d-4b19-b0c4-7d9ebc900a45</errorID>
      <errorWord>)</errorWord>
      <group>L1_Format</group>
      <groupName>格式问题</groupName>
      <ability>L2_HalfPunc</ability>
      <abilityName>全半角检查</abilityName>
      <candidateList>
        <item>）</item>
      </candidateList>
      <explain>文本全半角错误。</explain>
      <paraID>2D14FB44</paraID>
      <start>15</start>
      <end>16</end>
      <status>ignored</status>
      <modifiedWord/>
      <trackRevisions>false</trackRevisions>
    </reviewItem>
    <reviewItem>
      <errorID>7ebb3d95-bdbf-4dd9-98bb-aaed0e844f7f</errorID>
      <errorWord>泄露</errorWord>
      <group>L1_Word</group>
      <groupName>字词问题</groupName>
      <ability>L2_Typo</ability>
      <abilityName>字词错误</abilityName>
      <candidateList>
        <item>泄漏</item>
      </candidateList>
      <explain>存在发音相同字词的误用。</explain>
      <paraID>17AEAAA2</paraID>
      <start>0</start>
      <end>2</end>
      <status>unmodified</status>
      <modifiedWord/>
      <trackRevisions>false</trackRevisions>
    </reviewItem>
    <reviewItem>
      <errorID>6134a48b-9233-47cd-86c0-976a6c60c2fc</errorID>
      <errorWord>(</errorWord>
      <group>L1_Format</group>
      <groupName>格式问题</groupName>
      <ability>L2_HalfPunc</ability>
      <abilityName>全半角检查</abilityName>
      <candidateList>
        <item>（</item>
      </candidateList>
      <explain>文本全半角错误。</explain>
      <paraID>6A27BA11</paraID>
      <start>4</start>
      <end>5</end>
      <status>unmodified</status>
      <modifiedWord/>
      <trackRevisions>false</trackRevisions>
    </reviewItem>
    <reviewItem>
      <errorID>968d4f88-d21e-40e3-8651-8889d77352a4</errorID>
      <errorWord>)</errorWord>
      <group>L1_Format</group>
      <groupName>格式问题</groupName>
      <ability>L2_HalfPunc</ability>
      <abilityName>全半角检查</abilityName>
      <candidateList>
        <item>）</item>
      </candidateList>
      <explain>文本全半角错误。</explain>
      <paraID>6A27BA11</paraID>
      <start>6</start>
      <end>7</end>
      <status>ignored</status>
      <modifiedWord/>
      <trackRevisions>false</trackRevisions>
    </reviewItem>
    <reviewItem>
      <errorID>c3705ec9-548b-4770-8849-4292a2ef4626</errorID>
      <errorWord>(</errorWord>
      <group>L1_Format</group>
      <groupName>格式问题</groupName>
      <ability>L2_HalfPunc</ability>
      <abilityName>全半角检查</abilityName>
      <candidateList>
        <item>（</item>
      </candidateList>
      <explain>文本全半角错误。</explain>
      <paraID>7A8BA616</paraID>
      <start>4</start>
      <end>5</end>
      <status>unmodified</status>
      <modifiedWord/>
      <trackRevisions>false</trackRevisions>
    </reviewItem>
    <reviewItem>
      <errorID>53291b21-e0d6-4014-8830-81e90e1b47cc</errorID>
      <errorWord>)</errorWord>
      <group>L1_Format</group>
      <groupName>格式问题</groupName>
      <ability>L2_HalfPunc</ability>
      <abilityName>全半角检查</abilityName>
      <candidateList>
        <item>）</item>
      </candidateList>
      <explain>文本全半角错误。</explain>
      <paraID>7A8BA616</paraID>
      <start>8</start>
      <end>9</end>
      <status>ignored</status>
      <modifiedWord/>
      <trackRevisions>false</trackRevisions>
    </reviewItem>
    <reviewItem>
      <errorID>5a180b78-265b-4bb8-9bae-378eae3d3b26</errorID>
      <errorWord>泄露</errorWord>
      <group>L1_Word</group>
      <groupName>字词问题</groupName>
      <ability>L2_Typo</ability>
      <abilityName>字词错误</abilityName>
      <candidateList>
        <item>泄漏</item>
      </candidateList>
      <explain>存在发音相同字词的误用。</explain>
      <paraID> C518B04</paraID>
      <start>0</start>
      <end>2</end>
      <status>unmodified</status>
      <modifiedWord/>
      <trackRevisions>false</trackRevisions>
    </reviewItem>
    <reviewItem>
      <errorID>de1bb126-2df6-4582-afd9-ecd53de8ae87</errorID>
      <errorWord>(</errorWord>
      <group>L1_Format</group>
      <groupName>格式问题</groupName>
      <ability>L2_HalfPunc</ability>
      <abilityName>全半角检查</abilityName>
      <candidateList>
        <item>（</item>
      </candidateList>
      <explain>文本全半角错误。</explain>
      <paraID>28B7711E</paraID>
      <start>4</start>
      <end>5</end>
      <status>unmodified</status>
      <modifiedWord/>
      <trackRevisions>false</trackRevisions>
    </reviewItem>
    <reviewItem>
      <errorID>9296187c-a604-4f27-92d5-ad5b8d66d58f</errorID>
      <errorWord>)</errorWord>
      <group>L1_Format</group>
      <groupName>格式问题</groupName>
      <ability>L2_HalfPunc</ability>
      <abilityName>全半角检查</abilityName>
      <candidateList>
        <item>）</item>
      </candidateList>
      <explain>文本全半角错误。</explain>
      <paraID>28B7711E</paraID>
      <start>7</start>
      <end>8</end>
      <status>ignored</status>
      <modifiedWord/>
      <trackRevisions>false</trackRevisions>
    </reviewItem>
    <reviewItem>
      <errorID>dd99cac9-f149-46ac-b133-0c30481201b3</errorID>
      <errorWord>(</errorWord>
      <group>L1_Format</group>
      <groupName>格式问题</groupName>
      <ability>L2_HalfPunc</ability>
      <abilityName>全半角检查</abilityName>
      <candidateList>
        <item>（</item>
      </candidateList>
      <explain>文本全半角错误。</explain>
      <paraID> 466BCF5</paraID>
      <start>5</start>
      <end>6</end>
      <status>unmodified</status>
      <modifiedWord/>
      <trackRevisions>false</trackRevisions>
    </reviewItem>
    <reviewItem>
      <errorID>96635d8d-f602-4961-bda5-8341e115ba4b</errorID>
      <errorWord>)</errorWord>
      <group>L1_Format</group>
      <groupName>格式问题</groupName>
      <ability>L2_HalfPunc</ability>
      <abilityName>全半角检查</abilityName>
      <candidateList>
        <item>）</item>
      </candidateList>
      <explain>文本全半角错误。</explain>
      <paraID> 466BCF5</paraID>
      <start>8</start>
      <end>9</end>
      <status>ignored</status>
      <modifiedWord/>
      <trackRevisions>false</trackRevisions>
    </reviewItem>
    <reviewItem>
      <errorID>6efbcb84-f091-4a1b-bfa4-4043932c9e5c</errorID>
      <errorWord>(</errorWord>
      <group>L1_Format</group>
      <groupName>格式问题</groupName>
      <ability>L2_HalfPunc</ability>
      <abilityName>全半角检查</abilityName>
      <candidateList>
        <item>（</item>
      </candidateList>
      <explain>文本全半角错误。</explain>
      <paraID>11B5561D</paraID>
      <start>4</start>
      <end>5</end>
      <status>unmodified</status>
      <modifiedWord/>
      <trackRevisions>false</trackRevisions>
    </reviewItem>
    <reviewItem>
      <errorID>a3f31ae5-ef5f-4444-b3af-b6e267b22676</errorID>
      <errorWord>)</errorWord>
      <group>L1_Format</group>
      <groupName>格式问题</groupName>
      <ability>L2_HalfPunc</ability>
      <abilityName>全半角检查</abilityName>
      <candidateList>
        <item>）</item>
      </candidateList>
      <explain>文本全半角错误。</explain>
      <paraID>11B5561D</paraID>
      <start>7</start>
      <end>8</end>
      <status>ignored</status>
      <modifiedWord/>
      <trackRevisions>false</trackRevisions>
    </reviewItem>
    <reviewItem>
      <errorID>3505f4e5-0ae7-4a6d-ac3a-6f074015a060</errorID>
      <errorWord>(</errorWord>
      <group>L1_Format</group>
      <groupName>格式问题</groupName>
      <ability>L2_HalfPunc</ability>
      <abilityName>全半角检查</abilityName>
      <candidateList>
        <item>（</item>
      </candidateList>
      <explain>文本全半角错误。</explain>
      <paraID> DE00650</paraID>
      <start>4</start>
      <end>5</end>
      <status>unmodified</status>
      <modifiedWord/>
      <trackRevisions>false</trackRevisions>
    </reviewItem>
    <reviewItem>
      <errorID>a90a64f7-2607-4afc-8b6b-44c05c17289a</errorID>
      <errorWord>)</errorWord>
      <group>L1_Format</group>
      <groupName>格式问题</groupName>
      <ability>L2_HalfPunc</ability>
      <abilityName>全半角检查</abilityName>
      <candidateList>
        <item>）</item>
      </candidateList>
      <explain>文本全半角错误。</explain>
      <paraID> DE00650</paraID>
      <start>9</start>
      <end>10</end>
      <status>ignored</status>
      <modifiedWord/>
      <trackRevisions>false</trackRevisions>
    </reviewItem>
    <reviewItem>
      <errorID>d93de130-6fa5-41a0-8655-538663508b2b</errorID>
      <errorWord>泄露</errorWord>
      <group>L1_Word</group>
      <groupName>字词问题</groupName>
      <ability>L2_Typo</ability>
      <abilityName>字词错误</abilityName>
      <candidateList>
        <item>泄漏</item>
      </candidateList>
      <explain>存在发音相同字词的误用。</explain>
      <paraID>38D9CFD9</paraID>
      <start>0</start>
      <end>2</end>
      <status>unmodified</status>
      <modifiedWord/>
      <trackRevisions>false</trackRevisions>
    </reviewItem>
    <reviewItem>
      <errorID>493242ee-0334-481d-bd85-6d7afde75b88</errorID>
      <errorWord>(</errorWord>
      <group>L1_Format</group>
      <groupName>格式问题</groupName>
      <ability>L2_HalfPunc</ability>
      <abilityName>全半角检查</abilityName>
      <candidateList>
        <item>（</item>
      </candidateList>
      <explain>文本全半角错误。</explain>
      <paraID>38D9CFD9</paraID>
      <start>4</start>
      <end>5</end>
      <status>unmodified</status>
      <modifiedWord/>
      <trackRevisions>false</trackRevisions>
    </reviewItem>
    <reviewItem>
      <errorID>51fe5de6-724a-4702-a51b-f7be34980381</errorID>
      <errorWord>)</errorWord>
      <group>L1_Format</group>
      <groupName>格式问题</groupName>
      <ability>L2_HalfPunc</ability>
      <abilityName>全半角检查</abilityName>
      <candidateList>
        <item>）</item>
      </candidateList>
      <explain>文本全半角错误。</explain>
      <paraID>38D9CFD9</paraID>
      <start>8</start>
      <end>9</end>
      <status>ignored</status>
      <modifiedWord/>
      <trackRevisions>false</trackRevisions>
    </reviewItem>
    <reviewItem>
      <errorID>a1aafc29-1946-4583-be14-89b53b22a3ff</errorID>
      <errorWord>泄露</errorWord>
      <group>L1_Word</group>
      <groupName>字词问题</groupName>
      <ability>L2_Typo</ability>
      <abilityName>字词错误</abilityName>
      <candidateList>
        <item>泄漏</item>
      </candidateList>
      <explain>存在发音相同字词的误用。</explain>
      <paraID>765EA3DA</paraID>
      <start>0</start>
      <end>2</end>
      <status>unmodified</status>
      <modifiedWord/>
      <trackRevisions>false</trackRevisions>
    </reviewItem>
    <reviewItem>
      <errorID>68365a2c-5736-4434-a005-4f3545d977a9</errorID>
      <errorWord>(</errorWord>
      <group>L1_Format</group>
      <groupName>格式问题</groupName>
      <ability>L2_HalfPunc</ability>
      <abilityName>全半角检查</abilityName>
      <candidateList>
        <item>（</item>
      </candidateList>
      <explain>文本全半角错误。</explain>
      <paraID>765EA3DA</paraID>
      <start>3</start>
      <end>4</end>
      <status>unmodified</status>
      <modifiedWord/>
      <trackRevisions>false</trackRevisions>
    </reviewItem>
    <reviewItem>
      <errorID>4f984dab-9edd-4f26-b24f-3d856f3b39c4</errorID>
      <errorWord>)</errorWord>
      <group>L1_Format</group>
      <groupName>格式问题</groupName>
      <ability>L2_HalfPunc</ability>
      <abilityName>全半角检查</abilityName>
      <candidateList>
        <item>）</item>
      </candidateList>
      <explain>文本全半角错误。</explain>
      <paraID>765EA3DA</paraID>
      <start>6</start>
      <end>7</end>
      <status>ignored</status>
      <modifiedWord/>
      <trackRevisions>false</trackRevisions>
    </reviewItem>
    <reviewItem>
      <errorID>32ea30f6-b862-4dc5-ac06-8ac00f4d3d81</errorID>
      <errorWord>泄露</errorWord>
      <group>L1_Word</group>
      <groupName>字词问题</groupName>
      <ability>L2_Typo</ability>
      <abilityName>字词错误</abilityName>
      <candidateList>
        <item>泄漏</item>
      </candidateList>
      <explain>存在发音相同字词的误用。</explain>
      <paraID>3D75CEF1</paraID>
      <start>0</start>
      <end>2</end>
      <status>unmodified</status>
      <modifiedWord/>
      <trackRevisions>false</trackRevisions>
    </reviewItem>
    <reviewItem>
      <errorID>48301a86-6c26-44ea-98d6-42eb86512d0d</errorID>
      <errorWord>(</errorWord>
      <group>L1_Format</group>
      <groupName>格式问题</groupName>
      <ability>L2_HalfPunc</ability>
      <abilityName>全半角检查</abilityName>
      <candidateList>
        <item>（</item>
      </candidateList>
      <explain>文本全半角错误。</explain>
      <paraID>3D75CEF1</paraID>
      <start>4</start>
      <end>5</end>
      <status>unmodified</status>
      <modifiedWord/>
      <trackRevisions>false</trackRevisions>
    </reviewItem>
    <reviewItem>
      <errorID>c2735380-e9ba-4512-8bf8-0f45cca7c424</errorID>
      <errorWord>)</errorWord>
      <group>L1_Format</group>
      <groupName>格式问题</groupName>
      <ability>L2_HalfPunc</ability>
      <abilityName>全半角检查</abilityName>
      <candidateList>
        <item>）</item>
      </candidateList>
      <explain>文本全半角错误。</explain>
      <paraID>3D75CEF1</paraID>
      <start>6</start>
      <end>7</end>
      <status>ignored</status>
      <modifiedWord/>
      <trackRevisions>false</trackRevisions>
    </reviewItem>
    <reviewItem>
      <errorID>27b76e38-a1c0-42b7-a96a-02c6987ad772</errorID>
      <errorWord>(</errorWord>
      <group>L1_Format</group>
      <groupName>格式问题</groupName>
      <ability>L2_HalfPunc</ability>
      <abilityName>全半角检查</abilityName>
      <candidateList>
        <item>（</item>
      </candidateList>
      <explain>文本全半角错误。</explain>
      <paraID> DE5BACB</paraID>
      <start>4</start>
      <end>5</end>
      <status>unmodified</status>
      <modifiedWord/>
      <trackRevisions>false</trackRevisions>
    </reviewItem>
    <reviewItem>
      <errorID>858c0082-7647-4373-9108-ef9a585587e1</errorID>
      <errorWord>)</errorWord>
      <group>L1_Format</group>
      <groupName>格式问题</groupName>
      <ability>L2_HalfPunc</ability>
      <abilityName>全半角检查</abilityName>
      <candidateList>
        <item>）</item>
      </candidateList>
      <explain>文本全半角错误。</explain>
      <paraID> DE5BACB</paraID>
      <start>8</start>
      <end>9</end>
      <status>ignored</status>
      <modifiedWord/>
      <trackRevisions>false</trackRevisions>
    </reviewItem>
    <reviewItem>
      <errorID>b61aaa6b-a7a9-4bd2-af6c-d244a3dc3175</errorID>
      <errorWord>(</errorWord>
      <group>L1_Format</group>
      <groupName>格式问题</groupName>
      <ability>L2_HalfPunc</ability>
      <abilityName>全半角检查</abilityName>
      <candidateList>
        <item>（</item>
      </candidateList>
      <explain>文本全半角错误。</explain>
      <paraID>58B22C14</paraID>
      <start>3</start>
      <end>4</end>
      <status>unmodified</status>
      <modifiedWord/>
      <trackRevisions>false</trackRevisions>
    </reviewItem>
    <reviewItem>
      <errorID>0cdc73aa-6f16-4e91-a41b-271695a1934b</errorID>
      <errorWord>)</errorWord>
      <group>L1_Format</group>
      <groupName>格式问题</groupName>
      <ability>L2_HalfPunc</ability>
      <abilityName>全半角检查</abilityName>
      <candidateList>
        <item>）</item>
      </candidateList>
      <explain>文本全半角错误。</explain>
      <paraID>58B22C14</paraID>
      <start>6</start>
      <end>7</end>
      <status>ignored</status>
      <modifiedWord/>
      <trackRevisions>false</trackRevisions>
    </reviewItem>
    <reviewItem>
      <errorID>d8d1e0be-f9d3-430f-944a-4e886167a40b</errorID>
      <errorWord>-</errorWord>
      <group>L1_Format</group>
      <groupName>格式问题</groupName>
      <ability>L2_HalfPunc</ability>
      <abilityName>全半角检查</abilityName>
      <candidateList>
        <item>－</item>
      </candidateList>
      <explain>文本全半角错误。</explain>
      <paraID>334845CF</paraID>
      <start>6</start>
      <end>7</end>
      <status>unmodified</status>
      <modifiedWord/>
      <trackRevisions>false</trackRevisions>
    </reviewItem>
    <reviewItem>
      <errorID>663dd6f2-85b9-484b-9d2d-2eda96730988</errorID>
      <errorWord>-</errorWord>
      <group>L1_Format</group>
      <groupName>格式问题</groupName>
      <ability>L2_HalfPunc</ability>
      <abilityName>全半角检查</abilityName>
      <candidateList>
        <item>－</item>
      </candidateList>
      <explain>文本全半角错误。</explain>
      <paraID>334845CF</paraID>
      <start>13</start>
      <end>14</end>
      <status>unmodified</status>
      <modifiedWord/>
      <trackRevisions>false</trackRevisions>
    </reviewItem>
    <reviewItem>
      <errorID>1c0ca32c-432b-4e63-8f03-25002ff9694e</errorID>
      <errorWord>(</errorWord>
      <group>L1_Format</group>
      <groupName>格式问题</groupName>
      <ability>L2_HalfPunc</ability>
      <abilityName>全半角检查</abilityName>
      <candidateList>
        <item>（</item>
      </candidateList>
      <explain>文本全半角错误。</explain>
      <paraID>40B06840</paraID>
      <start>3</start>
      <end>4</end>
      <status>unmodified</status>
      <modifiedWord/>
      <trackRevisions>false</trackRevisions>
    </reviewItem>
    <reviewItem>
      <errorID>c735dbfb-58ef-47f4-b937-79910697dfa7</errorID>
      <errorWord>)</errorWord>
      <group>L1_Format</group>
      <groupName>格式问题</groupName>
      <ability>L2_HalfPunc</ability>
      <abilityName>全半角检查</abilityName>
      <candidateList>
        <item>）</item>
      </candidateList>
      <explain>文本全半角错误。</explain>
      <paraID>40B06840</paraID>
      <start>9</start>
      <end>10</end>
      <status>ignored</status>
      <modifiedWord/>
      <trackRevisions>false</trackRevisions>
    </reviewItem>
    <reviewItem>
      <errorID>1e5085cc-df57-4cad-bb42-c3b07b98f000</errorID>
      <errorWord>(</errorWord>
      <group>L1_Format</group>
      <groupName>格式问题</groupName>
      <ability>L2_HalfPunc</ability>
      <abilityName>全半角检查</abilityName>
      <candidateList>
        <item>（</item>
      </candidateList>
      <explain>文本全半角错误。</explain>
      <paraID>1114EC6D</paraID>
      <start>6</start>
      <end>7</end>
      <status>unmodified</status>
      <modifiedWord/>
      <trackRevisions>false</trackRevisions>
    </reviewItem>
    <reviewItem>
      <errorID>7d19c0b3-90b1-41ab-bedf-e2d2b9f03616</errorID>
      <errorWord>)</errorWord>
      <group>L1_Format</group>
      <groupName>格式问题</groupName>
      <ability>L2_HalfPunc</ability>
      <abilityName>全半角检查</abilityName>
      <candidateList>
        <item>）</item>
      </candidateList>
      <explain>文本全半角错误。</explain>
      <paraID>1114EC6D</paraID>
      <start>8</start>
      <end>9</end>
      <status>ignored</status>
      <modifiedWord/>
      <trackRevisions>false</trackRevisions>
    </reviewItem>
    <reviewItem>
      <errorID>21260780-0f42-47d8-b038-9129741f3089</errorID>
      <errorWord>(</errorWord>
      <group>L1_Format</group>
      <groupName>格式问题</groupName>
      <ability>L2_HalfPunc</ability>
      <abilityName>全半角检查</abilityName>
      <candidateList>
        <item>（</item>
      </candidateList>
      <explain>文本全半角错误。</explain>
      <paraID>2C307891</paraID>
      <start>4</start>
      <end>5</end>
      <status>unmodified</status>
      <modifiedWord/>
      <trackRevisions>false</trackRevisions>
    </reviewItem>
    <reviewItem>
      <errorID>99ca8f13-31dc-4e87-9239-b56308429683</errorID>
      <errorWord>)</errorWord>
      <group>L1_Format</group>
      <groupName>格式问题</groupName>
      <ability>L2_HalfPunc</ability>
      <abilityName>全半角检查</abilityName>
      <candidateList>
        <item>）</item>
      </candidateList>
      <explain>文本全半角错误。</explain>
      <paraID>2C307891</paraID>
      <start>8</start>
      <end>9</end>
      <status>ignored</status>
      <modifiedWord/>
      <trackRevisions>false</trackRevisions>
    </reviewItem>
    <reviewItem>
      <errorID>fca6e9b3-c2e1-4e9d-bd5f-00166ca465cd</errorID>
      <errorWord>-</errorWord>
      <group>L1_Format</group>
      <groupName>格式问题</groupName>
      <ability>L2_HalfPunc</ability>
      <abilityName>全半角检查</abilityName>
      <candidateList>
        <item>－</item>
      </candidateList>
      <explain>文本全半角错误。</explain>
      <paraID> F315EA4</paraID>
      <start>10</start>
      <end>11</end>
      <status>unmodified</status>
      <modifiedWord/>
      <trackRevisions>false</trackRevisions>
    </reviewItem>
    <reviewItem>
      <errorID>d65d08ff-5e97-4567-9b8c-37a9fd64fe39</errorID>
      <errorWord>(</errorWord>
      <group>L1_Format</group>
      <groupName>格式问题</groupName>
      <ability>L2_HalfPunc</ability>
      <abilityName>全半角检查</abilityName>
      <candidateList>
        <item>（</item>
      </candidateList>
      <explain>文本全半角错误。</explain>
      <paraID> F315EA4</paraID>
      <start>15</start>
      <end>16</end>
      <status>unmodified</status>
      <modifiedWord/>
      <trackRevisions>false</trackRevisions>
    </reviewItem>
    <reviewItem>
      <errorID>21568c49-07f4-4d86-96b6-79b47bfc19b1</errorID>
      <errorWord>)</errorWord>
      <group>L1_Format</group>
      <groupName>格式问题</groupName>
      <ability>L2_HalfPunc</ability>
      <abilityName>全半角检查</abilityName>
      <candidateList>
        <item>）</item>
      </candidateList>
      <explain>文本全半角错误。</explain>
      <paraID> F315EA4</paraID>
      <start>19</start>
      <end>20</end>
      <status>ignored</status>
      <modifiedWord/>
      <trackRevisions>false</trackRevisions>
    </reviewItem>
    <reviewItem>
      <errorID>54d25758-095d-437e-aeab-de0c94ba0c98</errorID>
      <errorWord>-</errorWord>
      <group>L1_Format</group>
      <groupName>格式问题</groupName>
      <ability>L2_HalfPunc</ability>
      <abilityName>全半角检查</abilityName>
      <candidateList>
        <item>－</item>
      </candidateList>
      <explain>文本全半角错误。</explain>
      <paraID> 1F896E5</paraID>
      <start>10</start>
      <end>11</end>
      <status>unmodified</status>
      <modifiedWord/>
      <trackRevisions>false</trackRevisions>
    </reviewItem>
    <reviewItem>
      <errorID>7f7eb527-9f6c-4821-8915-40bcc0ca40fd</errorID>
      <errorWord>(</errorWord>
      <group>L1_Format</group>
      <groupName>格式问题</groupName>
      <ability>L2_HalfPunc</ability>
      <abilityName>全半角检查</abilityName>
      <candidateList>
        <item>（</item>
      </candidateList>
      <explain>文本全半角错误。</explain>
      <paraID> 1F896E5</paraID>
      <start>17</start>
      <end>18</end>
      <status>unmodified</status>
      <modifiedWord/>
      <trackRevisions>false</trackRevisions>
    </reviewItem>
    <reviewItem>
      <errorID>2fde909a-a360-4dcc-8482-a08c872d8dfa</errorID>
      <errorWord>)</errorWord>
      <group>L1_Format</group>
      <groupName>格式问题</groupName>
      <ability>L2_HalfPunc</ability>
      <abilityName>全半角检查</abilityName>
      <candidateList>
        <item>）</item>
      </candidateList>
      <explain>文本全半角错误。</explain>
      <paraID> 1F896E5</paraID>
      <start>21</start>
      <end>22</end>
      <status>ignored</status>
      <modifiedWord/>
      <trackRevisions>false</trackRevisions>
    </reviewItem>
    <reviewItem>
      <errorID>6e6c6f2f-48ef-4bec-a0cc-5eb3befe1597</errorID>
      <errorWord>-</errorWord>
      <group>L1_Format</group>
      <groupName>格式问题</groupName>
      <ability>L2_HalfPunc</ability>
      <abilityName>全半角检查</abilityName>
      <candidateList>
        <item>－</item>
      </candidateList>
      <explain>文本全半角错误。</explain>
      <paraID>750F5836</paraID>
      <start>10</start>
      <end>11</end>
      <status>unmodified</status>
      <modifiedWord/>
      <trackRevisions>false</trackRevisions>
    </reviewItem>
    <reviewItem>
      <errorID>8d0d99f4-c2c3-4014-953f-dc45f7cd8500</errorID>
      <errorWord>(</errorWord>
      <group>L1_Format</group>
      <groupName>格式问题</groupName>
      <ability>L2_HalfPunc</ability>
      <abilityName>全半角检查</abilityName>
      <candidateList>
        <item>（</item>
      </candidateList>
      <explain>文本全半角错误。</explain>
      <paraID>750F5836</paraID>
      <start>15</start>
      <end>16</end>
      <status>unmodified</status>
      <modifiedWord/>
      <trackRevisions>false</trackRevisions>
    </reviewItem>
    <reviewItem>
      <errorID>0aaf7df5-de22-475e-bbca-e3653ce36cab</errorID>
      <errorWord>)</errorWord>
      <group>L1_Format</group>
      <groupName>格式问题</groupName>
      <ability>L2_HalfPunc</ability>
      <abilityName>全半角检查</abilityName>
      <candidateList>
        <item>）</item>
      </candidateList>
      <explain>文本全半角错误。</explain>
      <paraID>750F5836</paraID>
      <start>19</start>
      <end>20</end>
      <status>ignored</status>
      <modifiedWord/>
      <trackRevisions>false</trackRevisions>
    </reviewItem>
    <reviewItem>
      <errorID>a8637933-b62d-4e80-b836-6e943fe611e3</errorID>
      <errorWord>-</errorWord>
      <group>L1_Format</group>
      <groupName>格式问题</groupName>
      <ability>L2_HalfPunc</ability>
      <abilityName>全半角检查</abilityName>
      <candidateList>
        <item>－</item>
      </candidateList>
      <explain>文本全半角错误。</explain>
      <paraID> 9984643</paraID>
      <start>10</start>
      <end>11</end>
      <status>unmodified</status>
      <modifiedWord/>
      <trackRevisions>false</trackRevisions>
    </reviewItem>
    <reviewItem>
      <errorID>1258b9a4-29ee-49ad-a92e-d742be1a5670</errorID>
      <errorWord>(</errorWord>
      <group>L1_Format</group>
      <groupName>格式问题</groupName>
      <ability>L2_HalfPunc</ability>
      <abilityName>全半角检查</abilityName>
      <candidateList>
        <item>（</item>
      </candidateList>
      <explain>文本全半角错误。</explain>
      <paraID> 9984643</paraID>
      <start>17</start>
      <end>18</end>
      <status>unmodified</status>
      <modifiedWord/>
      <trackRevisions>false</trackRevisions>
    </reviewItem>
    <reviewItem>
      <errorID>cb31d9ed-f4bc-44f9-b329-94c028720612</errorID>
      <errorWord>)</errorWord>
      <group>L1_Format</group>
      <groupName>格式问题</groupName>
      <ability>L2_HalfPunc</ability>
      <abilityName>全半角检查</abilityName>
      <candidateList>
        <item>）</item>
      </candidateList>
      <explain>文本全半角错误。</explain>
      <paraID> 9984643</paraID>
      <start>21</start>
      <end>22</end>
      <status>ignored</status>
      <modifiedWord/>
      <trackRevisions>false</trackRevisions>
    </reviewItem>
    <reviewItem>
      <errorID>33b7fe8b-9c1e-4548-ac42-4f3ff48527f7</errorID>
      <errorWord>-</errorWord>
      <group>L1_Format</group>
      <groupName>格式问题</groupName>
      <ability>L2_HalfPunc</ability>
      <abilityName>全半角检查</abilityName>
      <candidateList>
        <item>－</item>
      </candidateList>
      <explain>文本全半角错误。</explain>
      <paraID>43A20214</paraID>
      <start>4</start>
      <end>5</end>
      <status>unmodified</status>
      <modifiedWord/>
      <trackRevisions>false</trackRevisions>
    </reviewItem>
    <reviewItem>
      <errorID>81d13370-40c6-42eb-b00f-3719bcc62c19</errorID>
      <errorWord>(</errorWord>
      <group>L1_Format</group>
      <groupName>格式问题</groupName>
      <ability>L2_HalfPunc</ability>
      <abilityName>全半角检查</abilityName>
      <candidateList>
        <item>（</item>
      </candidateList>
      <explain>文本全半角错误。</explain>
      <paraID>43A20214</paraID>
      <start>9</start>
      <end>10</end>
      <status>unmodified</status>
      <modifiedWord/>
      <trackRevisions>false</trackRevisions>
    </reviewItem>
    <reviewItem>
      <errorID>c7a3fe12-a006-4f8d-b802-05fc929bf03c</errorID>
      <errorWord>)</errorWord>
      <group>L1_Format</group>
      <groupName>格式问题</groupName>
      <ability>L2_HalfPunc</ability>
      <abilityName>全半角检查</abilityName>
      <candidateList>
        <item>）</item>
      </candidateList>
      <explain>文本全半角错误。</explain>
      <paraID>43A20214</paraID>
      <start>15</start>
      <end>16</end>
      <status>ignored</status>
      <modifiedWord/>
      <trackRevisions>false</trackRevisions>
    </reviewItem>
    <reviewItem>
      <errorID>5d581c71-7673-4659-b4ca-9933e01aea28</errorID>
      <errorWord>气象条件气象条件</errorWord>
      <group>L1_Word</group>
      <groupName>字词问题</groupName>
      <ability>L2_Typo</ability>
      <abilityName>字词错误</abilityName>
      <candidateList>
        <item>气象条件</item>
      </candidateList>
      <explain/>
      <paraID>589569D6</paraID>
      <start>3</start>
      <end>11</end>
      <status>unmodified</status>
      <modifiedWord/>
      <trackRevisions>false</trackRevisions>
    </reviewItem>
    <reviewItem>
      <errorID>38f521b0-85f4-4f61-9896-54d14e6c0589</errorID>
      <errorWord>(</errorWord>
      <group>L1_Format</group>
      <groupName>格式问题</groupName>
      <ability>L2_HalfPunc</ability>
      <abilityName>全半角检查</abilityName>
      <candidateList>
        <item>（</item>
      </candidateList>
      <explain>文本全半角错误。</explain>
      <paraID>125D372A</paraID>
      <start>5</start>
      <end>6</end>
      <status>unmodified</status>
      <modifiedWord/>
      <trackRevisions>false</trackRevisions>
    </reviewItem>
    <reviewItem>
      <errorID>4fdc13a8-ba0d-495b-99f6-9defc3dea49a</errorID>
      <errorWord>)</errorWord>
      <group>L1_Format</group>
      <groupName>格式问题</groupName>
      <ability>L2_HalfPunc</ability>
      <abilityName>全半角检查</abilityName>
      <candidateList>
        <item>）</item>
      </candidateList>
      <explain>文本全半角错误。</explain>
      <paraID>125D372A</paraID>
      <start>7</start>
      <end>8</end>
      <status>ignored</status>
      <modifiedWord/>
      <trackRevisions>false</trackRevisions>
    </reviewItem>
    <reviewItem>
      <errorID>b930070d-965d-408d-95dc-69706440d15b</errorID>
      <errorWord>(</errorWord>
      <group>L1_Format</group>
      <groupName>格式问题</groupName>
      <ability>L2_HalfPunc</ability>
      <abilityName>全半角检查</abilityName>
      <candidateList>
        <item>（</item>
      </candidateList>
      <explain>文本全半角错误。</explain>
      <paraID>6F8A3008</paraID>
      <start>5</start>
      <end>6</end>
      <status>unmodified</status>
      <modifiedWord/>
      <trackRevisions>false</trackRevisions>
    </reviewItem>
    <reviewItem>
      <errorID>9f3722c7-d743-4131-b336-10436d8d53c8</errorID>
      <errorWord>)</errorWord>
      <group>L1_Format</group>
      <groupName>格式问题</groupName>
      <ability>L2_HalfPunc</ability>
      <abilityName>全半角检查</abilityName>
      <candidateList>
        <item>）</item>
      </candidateList>
      <explain>文本全半角错误。</explain>
      <paraID>6F8A3008</paraID>
      <start>11</start>
      <end>12</end>
      <status>ignored</status>
      <modifiedWord/>
      <trackRevisions>false</trackRevisions>
    </reviewItem>
    <reviewItem>
      <errorID>eca9d407-022f-4955-bae1-a76bd4b9b3e4</errorID>
      <errorWord>(</errorWord>
      <group>L1_Format</group>
      <groupName>格式问题</groupName>
      <ability>L2_HalfPunc</ability>
      <abilityName>全半角检查</abilityName>
      <candidateList>
        <item>（</item>
      </candidateList>
      <explain>文本全半角错误。</explain>
      <paraID>1CCB2B60</paraID>
      <start>4</start>
      <end>5</end>
      <status>unmodified</status>
      <modifiedWord/>
      <trackRevisions>false</trackRevisions>
    </reviewItem>
    <reviewItem>
      <errorID>69f3b868-62c6-4d61-89cd-be5aa10cbbad</errorID>
      <errorWord>)</errorWord>
      <group>L1_Format</group>
      <groupName>格式问题</groupName>
      <ability>L2_HalfPunc</ability>
      <abilityName>全半角检查</abilityName>
      <candidateList>
        <item>）</item>
      </candidateList>
      <explain>文本全半角错误。</explain>
      <paraID>1CCB2B60</paraID>
      <start>6</start>
      <end>7</end>
      <status>ignored</status>
      <modifiedWord/>
      <trackRevisions>false</trackRevisions>
    </reviewItem>
    <reviewItem>
      <errorID>624a24e3-4ca3-4622-a00b-0e54bfecde27</errorID>
      <errorWord>-</errorWord>
      <group>L1_Format</group>
      <groupName>格式问题</groupName>
      <ability>L2_HalfPunc</ability>
      <abilityName>全半角检查</abilityName>
      <candidateList>
        <item>－</item>
      </candidateList>
      <explain>文本全半角错误。</explain>
      <paraID> 69005EF</paraID>
      <start>12</start>
      <end>13</end>
      <status>unmodified</status>
      <modifiedWord/>
      <trackRevisions>false</trackRevisions>
    </reviewItem>
    <reviewItem>
      <errorID>9a8f4f1c-c412-460e-9d60-598c709aa94d</errorID>
      <errorWord>(</errorWord>
      <group>L1_Format</group>
      <groupName>格式问题</groupName>
      <ability>L2_HalfPunc</ability>
      <abilityName>全半角检查</abilityName>
      <candidateList>
        <item>（</item>
      </candidateList>
      <explain>文本全半角错误。</explain>
      <paraID> 69005EF</paraID>
      <start>21</start>
      <end>22</end>
      <status>unmodified</status>
      <modifiedWord/>
      <trackRevisions>false</trackRevisions>
    </reviewItem>
    <reviewItem>
      <errorID>f61f5a39-0b71-435d-baeb-3c06cb0f48a9</errorID>
      <errorWord>)</errorWord>
      <group>L1_Format</group>
      <groupName>格式问题</groupName>
      <ability>L2_HalfPunc</ability>
      <abilityName>全半角检查</abilityName>
      <candidateList>
        <item>）</item>
      </candidateList>
      <explain>文本全半角错误。</explain>
      <paraID> 69005EF</paraID>
      <start>27</start>
      <end>28</end>
      <status>ignored</status>
      <modifiedWord/>
      <trackRevisions>false</trackRevisions>
    </reviewItem>
    <reviewItem>
      <errorID>dd7d0e8b-43c5-415c-b58f-6665ce1848d4</errorID>
      <errorWord>(</errorWord>
      <group>L1_Format</group>
      <groupName>格式问题</groupName>
      <ability>L2_HalfPunc</ability>
      <abilityName>全半角检查</abilityName>
      <candidateList>
        <item>（</item>
      </candidateList>
      <explain>文本全半角错误。</explain>
      <paraID>31D7E797</paraID>
      <start>18</start>
      <end>19</end>
      <status>unmodified</status>
      <modifiedWord/>
      <trackRevisions>false</trackRevisions>
    </reviewItem>
    <reviewItem>
      <errorID>d8a33e84-f0ff-4496-a322-2b6d8515319a</errorID>
      <errorWord>)</errorWord>
      <group>L1_Format</group>
      <groupName>格式问题</groupName>
      <ability>L2_HalfPunc</ability>
      <abilityName>全半角检查</abilityName>
      <candidateList>
        <item>）</item>
      </candidateList>
      <explain>文本全半角错误。</explain>
      <paraID>31D7E797</paraID>
      <start>23</start>
      <end>24</end>
      <status>ignored</status>
      <modifiedWord/>
      <trackRevisions>false</trackRevisions>
    </reviewItem>
    <reviewItem>
      <errorID>fe1e28f6-c51a-4efe-abc8-ad4d8559cfe1</errorID>
      <errorWord>)</errorWord>
      <group>L1_Format</group>
      <groupName>格式问题</groupName>
      <ability>L2_HalfPunc</ability>
      <abilityName>全半角检查</abilityName>
      <candidateList>
        <item>）</item>
      </candidateList>
      <explain>文本全半角错误。</explain>
      <paraID>7996AA01</paraID>
      <start>16</start>
      <end>17</end>
      <status>ignored</status>
      <modifiedWord/>
      <trackRevisions>false</trackRevisions>
    </reviewItem>
    <reviewItem>
      <errorID>80743402-8dd8-400d-9eda-f81faa7c1eb5</errorID>
      <errorWord>,</errorWord>
      <group>L1_Format</group>
      <groupName>格式问题</groupName>
      <ability>L2_HalfPunc</ability>
      <abilityName>全半角检查</abilityName>
      <candidateList>
        <item>，</item>
      </candidateList>
      <explain>文本全半角错误。</explain>
      <paraID>7996AA01</paraID>
      <start>25</start>
      <end>26</end>
      <status>unmodified</status>
      <modifiedWord/>
      <trackRevisions>false</trackRevisions>
    </reviewItem>
    <reviewItem>
      <errorID>532bfb05-1dc0-4a20-b1ea-b0103d34a4fa</errorID>
      <errorWord>,</errorWord>
      <group>L1_Format</group>
      <groupName>格式问题</groupName>
      <ability>L2_HalfPunc</ability>
      <abilityName>全半角检查</abilityName>
      <candidateList>
        <item>，</item>
      </candidateList>
      <explain>文本全半角错误。</explain>
      <paraID>7996AA01</paraID>
      <start>40</start>
      <end>41</end>
      <status>unmodified</status>
      <modifiedWord/>
      <trackRevisions>false</trackRevisions>
    </reviewItem>
    <reviewItem>
      <errorID>cc066022-df40-48a8-b229-c48c577d4131</errorID>
      <errorWord>)</errorWord>
      <group>L1_Format</group>
      <groupName>格式问题</groupName>
      <ability>L2_HalfPunc</ability>
      <abilityName>全半角检查</abilityName>
      <candidateList>
        <item>）</item>
      </candidateList>
      <explain>文本全半角错误。</explain>
      <paraID>7996AA01</paraID>
      <start>78</start>
      <end>79</end>
      <status>ignored</status>
      <modifiedWord/>
      <trackRevisions>false</trackRevisions>
    </reviewItem>
    <reviewItem>
      <errorID>23f508c8-d8f6-4055-8af4-45b2ffaf71f7</errorID>
      <errorWord>)</errorWord>
      <group>L1_Format</group>
      <groupName>格式问题</groupName>
      <ability>L2_HalfPunc</ability>
      <abilityName>全半角检查</abilityName>
      <candidateList>
        <item>）</item>
      </candidateList>
      <explain>文本全半角错误。</explain>
      <paraID>7996AA01</paraID>
      <start>109</start>
      <end>110</end>
      <status>ignored</status>
      <modifiedWord/>
      <trackRevisions>false</trackRevisions>
    </reviewItem>
    <reviewItem>
      <errorID>1028ef09-dcb5-4631-b7be-b76261c96ea0</errorID>
      <errorWord>)</errorWord>
      <group>L1_Format</group>
      <groupName>格式问题</groupName>
      <ability>L2_HalfPunc</ability>
      <abilityName>全半角检查</abilityName>
      <candidateList>
        <item>）</item>
      </candidateList>
      <explain>文本全半角错误。</explain>
      <paraID>3101E9F5</paraID>
      <start>15</start>
      <end>16</end>
      <status>ignored</status>
      <modifiedWord/>
      <trackRevisions>false</trackRevisions>
    </reviewItem>
    <reviewItem>
      <errorID>99f8516c-1e99-4579-87f5-4689eda544d6</errorID>
      <errorWord>,</errorWord>
      <group>L1_Format</group>
      <groupName>格式问题</groupName>
      <ability>L2_HalfPunc</ability>
      <abilityName>全半角检查</abilityName>
      <candidateList>
        <item>，</item>
      </candidateList>
      <explain>文本全半角错误。</explain>
      <paraID>3101E9F5</paraID>
      <start>25</start>
      <end>26</end>
      <status>unmodified</status>
      <modifiedWord/>
      <trackRevisions>false</trackRevisions>
    </reviewItem>
    <reviewItem>
      <errorID>007371e1-6ca9-4ac4-b058-0d2468cba92e</errorID>
      <errorWord>,</errorWord>
      <group>L1_Format</group>
      <groupName>格式问题</groupName>
      <ability>L2_HalfPunc</ability>
      <abilityName>全半角检查</abilityName>
      <candidateList>
        <item>，</item>
      </candidateList>
      <explain>文本全半角错误。</explain>
      <paraID>3101E9F5</paraID>
      <start>41</start>
      <end>42</end>
      <status>unmodified</status>
      <modifiedWord/>
      <trackRevisions>false</trackRevisions>
    </reviewItem>
    <reviewItem>
      <errorID>4d6c4edd-81fa-4998-bb58-9b0476c33f66</errorID>
      <errorWord>)</errorWord>
      <group>L1_Format</group>
      <groupName>格式问题</groupName>
      <ability>L2_HalfPunc</ability>
      <abilityName>全半角检查</abilityName>
      <candidateList>
        <item>）</item>
      </candidateList>
      <explain>文本全半角错误。</explain>
      <paraID>3101E9F5</paraID>
      <start>80</start>
      <end>81</end>
      <status>ignored</status>
      <modifiedWord/>
      <trackRevisions>false</trackRevisions>
    </reviewItem>
    <reviewItem>
      <errorID>3295b204-72c1-411a-b57c-91992aa312b8</errorID>
      <errorWord>,</errorWord>
      <group>L1_Format</group>
      <groupName>格式问题</groupName>
      <ability>L2_HalfPunc</ability>
      <abilityName>全半角检查</abilityName>
      <candidateList>
        <item>，</item>
      </candidateList>
      <explain>文本全半角错误。</explain>
      <paraID>3101E9F5</paraID>
      <start>104</start>
      <end>105</end>
      <status>unmodified</status>
      <modifiedWord/>
      <trackRevisions>false</trackRevisions>
    </reviewItem>
    <reviewItem>
      <errorID>ec29c627-9c3d-4605-a88e-7e2f7045f09a</errorID>
      <errorWord>/，</errorWord>
      <group>L1_Punc</group>
      <groupName>标点问题</groupName>
      <ability>L2_Punc</ability>
      <abilityName>标点符号检查</abilityName>
      <candidateList>
        <item>/</item>
      </candidateList>
      <explain/>
      <paraID> 47596FD</paraID>
      <start>8</start>
      <end>10</end>
      <status>unmodified</status>
      <modifiedWord/>
      <trackRevisions>false</trackRevisions>
    </reviewItem>
    <reviewItem>
      <errorID>a063e215-cbd2-4096-9cfd-bcbe37e189f1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62D6B874</paraID>
      <start>5</start>
      <end>6</end>
      <status>unmodified</status>
      <modifiedWord/>
      <trackRevisions>false</trackRevisions>
    </reviewItem>
    <reviewItem>
      <errorID>016f9c7c-e8d6-488a-ba10-ff064a61bbb1</errorID>
      <errorWord>人眼</errorWord>
      <group>L1_Word</group>
      <groupName>字词问题</groupName>
      <ability>L2_Typo</ability>
      <abilityName>字词错误</abilityName>
      <candidateList>
        <item>肉眼</item>
      </candidateList>
      <explain/>
      <paraID>14C2907C</paraID>
      <start>171</start>
      <end>173</end>
      <status>unmodified</status>
      <modifiedWord/>
      <trackRevisions>false</trackRevisions>
    </reviewItem>
    <reviewItem>
      <errorID>f28f5a74-775f-4b97-b246-e2df90c2c7cc</errorID>
      <errorWord>80~90%</errorWord>
      <group>L1_Knowledge</group>
      <groupName>知识性问题</groupName>
      <ability>L2_Knowledge</ability>
      <abilityName>其他知识</abilityName>
      <candidateList>
        <item>80%～90%</item>
      </candidateList>
      <explain>1. “80~90%”中的单位“%”仅出现在后一个数字上，容易引起歧义；根据《现代汉语标点符号数字用法规范手册》，数字表示范围两边需要使用统一的格式。2. 根据标点国标 4.13 中的规则，数字、时间或地域连接符应使用（视觉上更长的）“—”或“～”。</explain>
      <paraID>6EED56C4</paraID>
      <start>75</start>
      <end>81</end>
      <status>unmodified</status>
      <modifiedWord/>
      <trackRevisions>false</trackRevisions>
    </reviewItem>
    <reviewItem>
      <errorID>8191d1c4-6103-4fd4-ad1d-d8eae8b3dc82</errorID>
      <errorWord>於</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3853B26A</paraID>
      <start>50</start>
      <end>51</end>
      <status>unmodified</status>
      <modifiedWord/>
      <trackRevisions>false</trackRevisions>
    </reviewItem>
    <reviewItem>
      <errorID>24cff066-6242-4a6f-bf4a-6ddd6ef06606</errorID>
      <errorWord>借着</errorWord>
      <group>L1_Word</group>
      <groupName>字词问题</groupName>
      <ability>L2_Typo</ability>
      <abilityName>字词错误</abilityName>
      <candidateList>
        <item>借助</item>
      </candidateList>
      <explain/>
      <paraID>3853B26A</paraID>
      <start>57</start>
      <end>59</end>
      <status>unmodified</status>
      <modifiedWord/>
      <trackRevisions>false</trackRevisions>
    </reviewItem>
    <reviewItem>
      <errorID>fb3c3cf7-0c81-4eb1-b310-7071359910d1</errorID>
      <errorWord>当此</errorWord>
      <group>L1_Word</group>
      <groupName>字词问题</groupName>
      <ability>L2_Typo</ability>
      <abilityName>字词错误</abilityName>
      <candidateList>
        <item>当</item>
      </candidateList>
      <explain/>
      <paraID>7028CCFC</paraID>
      <start>30</start>
      <end>32</end>
      <status>unmodified</status>
      <modifiedWord/>
      <trackRevisions>false</trackRevisions>
    </reviewItem>
    <reviewItem>
      <errorID>995b0052-012b-402f-b61f-c75fa50ad2d5</errorID>
      <errorWord>(</errorWord>
      <group>L1_Format</group>
      <groupName>格式问题</groupName>
      <ability>L2_HalfPunc</ability>
      <abilityName>全半角检查</abilityName>
      <candidateList>
        <item>（</item>
      </candidateList>
      <explain>文本全半角错误。</explain>
      <paraID>696D6508</paraID>
      <start>21</start>
      <end>22</end>
      <status>unmodified</status>
      <modifiedWord/>
      <trackRevisions>false</trackRevisions>
    </reviewItem>
    <reviewItem>
      <errorID>01644d92-6258-4527-ac7a-6e2d359f34c5</errorID>
      <errorWord>)</errorWord>
      <group>L1_Format</group>
      <groupName>格式问题</groupName>
      <ability>L2_HalfPunc</ability>
      <abilityName>全半角检查</abilityName>
      <candidateList>
        <item>）</item>
      </candidateList>
      <explain>文本全半角错误。</explain>
      <paraID>696D6508</paraID>
      <start>33</start>
      <end>34</end>
      <status>ignored</status>
      <modifiedWord/>
      <trackRevisions>false</trackRevisions>
    </reviewItem>
    <reviewItem>
      <errorID>15b14348-8192-4ad3-bfaf-30d551979e28</errorID>
      <errorWord>(</errorWord>
      <group>L1_Format</group>
      <groupName>格式问题</groupName>
      <ability>L2_HalfPunc</ability>
      <abilityName>全半角检查</abilityName>
      <candidateList>
        <item>（</item>
      </candidateList>
      <explain>文本全半角错误。</explain>
      <paraID>66508595</paraID>
      <start>70</start>
      <end>71</end>
      <status>unmodified</status>
      <modifiedWord/>
      <trackRevisions>false</trackRevisions>
    </reviewItem>
    <reviewItem>
      <errorID>8dc3bacd-b645-4561-b056-dabef98c0b46</errorID>
      <errorWord>)</errorWord>
      <group>L1_Format</group>
      <groupName>格式问题</groupName>
      <ability>L2_HalfPunc</ability>
      <abilityName>全半角检查</abilityName>
      <candidateList>
        <item>）</item>
      </candidateList>
      <explain>文本全半角错误。</explain>
      <paraID>66508595</paraID>
      <start>82</start>
      <end>83</end>
      <status>ignored</status>
      <modifiedWord/>
      <trackRevisions>false</trackRevisions>
    </reviewItem>
    <reviewItem>
      <errorID>a6c56aed-1439-4c4f-9179-42b8ee0d4e41</errorID>
      <errorWord>,</errorWord>
      <group>L1_Format</group>
      <groupName>格式问题</groupName>
      <ability>L2_HalfPunc</ability>
      <abilityName>全半角检查</abilityName>
      <candidateList>
        <item>，</item>
      </candidateList>
      <explain>文本全半角错误。</explain>
      <paraID>29C36970</paraID>
      <start>15</start>
      <end>16</end>
      <status>unmodified</status>
      <modifiedWord/>
      <trackRevisions>false</trackRevisions>
    </reviewItem>
    <reviewItem>
      <errorID>c90c5e36-2ba7-45e8-9aea-4704615e84e4</errorID>
      <errorWord>:</errorWord>
      <group>L1_Format</group>
      <groupName>格式问题</groupName>
      <ability>L2_HalfPunc</ability>
      <abilityName>全半角检查</abilityName>
      <candidateList>
        <item>：</item>
      </candidateList>
      <explain>文本全半角错误。</explain>
      <paraID> 23A2449</paraID>
      <start>13</start>
      <end>14</end>
      <status>unmodified</status>
      <modifiedWord/>
      <trackRevisions>false</trackRevisions>
    </reviewItem>
    <reviewItem>
      <errorID>832822a8-f21b-49ef-b20f-07f2ba8ff2b5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4BF92565</paraID>
      <start>0</start>
      <end>2</end>
      <status>unmodified</status>
      <modifiedWord/>
      <trackRevisions>false</trackRevisions>
    </reviewItem>
    <reviewItem>
      <errorID>dc80fc14-77c6-462a-807d-56fe0d9522b8</errorID>
      <errorWord>(</errorWord>
      <group>L1_Format</group>
      <groupName>格式问题</groupName>
      <ability>L2_HalfPunc</ability>
      <abilityName>全半角检查</abilityName>
      <candidateList>
        <item>（</item>
      </candidateList>
      <explain>文本全半角错误。</explain>
      <paraID>4BF92565</paraID>
      <start>49</start>
      <end>50</end>
      <status>unmodified</status>
      <modifiedWord/>
      <trackRevisions>false</trackRevisions>
    </reviewItem>
    <reviewItem>
      <errorID>589409bd-3a44-4c6a-a467-f22cc9342358</errorID>
      <errorWord>)</errorWord>
      <group>L1_Format</group>
      <groupName>格式问题</groupName>
      <ability>L2_HalfPunc</ability>
      <abilityName>全半角检查</abilityName>
      <candidateList>
        <item>）</item>
      </candidateList>
      <explain>文本全半角错误。</explain>
      <paraID>4BF92565</paraID>
      <start>67</start>
      <end>68</end>
      <status>ignored</status>
      <modifiedWord/>
      <trackRevisions>false</trackRevisions>
    </reviewItem>
    <reviewItem>
      <errorID>97718616-ac06-475d-9cd7-a8d362208560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687CB0D8</paraID>
      <start>0</start>
      <end>2</end>
      <status>unmodified</status>
      <modifiedWord/>
      <trackRevisions>false</trackRevisions>
    </reviewItem>
    <reviewItem>
      <errorID>ae651d93-27ba-40c9-b0a8-62f221adf71c</errorID>
      <errorWord>(</errorWord>
      <group>L1_Format</group>
      <groupName>格式问题</groupName>
      <ability>L2_HalfPunc</ability>
      <abilityName>全半角检查</abilityName>
      <candidateList>
        <item>（</item>
      </candidateList>
      <explain>文本全半角错误。</explain>
      <paraID>687CB0D8</paraID>
      <start>48</start>
      <end>49</end>
      <status>unmodified</status>
      <modifiedWord/>
      <trackRevisions>false</trackRevisions>
    </reviewItem>
    <reviewItem>
      <errorID>6518d523-a451-4dd1-a4da-0a61bb804291</errorID>
      <errorWord>)</errorWord>
      <group>L1_Format</group>
      <groupName>格式问题</groupName>
      <ability>L2_HalfPunc</ability>
      <abilityName>全半角检查</abilityName>
      <candidateList>
        <item>）</item>
      </candidateList>
      <explain>文本全半角错误。</explain>
      <paraID>687CB0D8</paraID>
      <start>66</start>
      <end>67</end>
      <status>ignored</status>
      <modifiedWord/>
      <trackRevisions>false</trackRevisions>
    </reviewItem>
    <reviewItem>
      <errorID>1076f344-7332-4143-9e0f-9b9c54fde267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91C4B1B</paraID>
      <start>0</start>
      <end>2</end>
      <status>unmodified</status>
      <modifiedWord/>
      <trackRevisions>false</trackRevisions>
    </reviewItem>
    <reviewItem>
      <errorID>e5625f55-fa9f-4c52-982f-e42cef649592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23DDF16D</paraID>
      <start>0</start>
      <end>2</end>
      <status>unmodified</status>
      <modifiedWord/>
      <trackRevisions>false</trackRevisions>
    </reviewItem>
    <reviewItem>
      <errorID>4d0d51b9-149a-41e0-9546-b0c3275f187c</errorID>
      <errorWord>,</errorWord>
      <group>L1_Format</group>
      <groupName>格式问题</groupName>
      <ability>L2_HalfPunc</ability>
      <abilityName>全半角检查</abilityName>
      <candidateList>
        <item>，</item>
      </candidateList>
      <explain>文本全半角错误。</explain>
      <paraID>23DDF16D</paraID>
      <start>28</start>
      <end>29</end>
      <status>unmodified</status>
      <modifiedWord/>
      <trackRevisions>false</trackRevisions>
    </reviewItem>
    <reviewItem>
      <errorID>8df68245-972c-4f2f-aa96-a8bc147f3ef7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7BD100A</paraID>
      <start>0</start>
      <end>2</end>
      <status>unmodified</status>
      <modifiedWord/>
      <trackRevisions>false</trackRevisions>
    </reviewItem>
    <reviewItem>
      <errorID>bfd1dc8b-1ac7-408c-8c9a-122d3f0bfe1d</errorID>
      <errorWord>(</errorWord>
      <group>L1_Format</group>
      <groupName>格式问题</groupName>
      <ability>L2_HalfPunc</ability>
      <abilityName>全半角检查</abilityName>
      <candidateList>
        <item>（</item>
      </candidateList>
      <explain>文本全半角错误。</explain>
      <paraID> 7BD100A</paraID>
      <start>19</start>
      <end>20</end>
      <status>unmodified</status>
      <modifiedWord/>
      <trackRevisions>false</trackRevisions>
    </reviewItem>
    <reviewItem>
      <errorID>ddfd180d-f524-4612-a060-0c34e03d5ed2</errorID>
      <errorWord>)</errorWord>
      <group>L1_Format</group>
      <groupName>格式问题</groupName>
      <ability>L2_HalfPunc</ability>
      <abilityName>全半角检查</abilityName>
      <candidateList>
        <item>）</item>
      </candidateList>
      <explain>文本全半角错误。</explain>
      <paraID> 7BD100A</paraID>
      <start>40</start>
      <end>41</end>
      <status>ignored</status>
      <modifiedWord/>
      <trackRevisions>false</trackRevisions>
    </reviewItem>
    <reviewItem>
      <errorID>928b69fe-0c59-4182-9729-1c5cbf76aef8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2E76FE9C</paraID>
      <start>26</start>
      <end>27</end>
      <status>unmodified</status>
      <modifiedWord/>
      <trackRevisions>false</trackRevisions>
    </reviewItem>
    <reviewItem>
      <errorID>dca0689c-b19e-41bc-9492-95f70dacfa28</errorID>
      <errorWord>2.8-3.0万</errorWord>
      <group>L1_Knowledge</group>
      <groupName>知识性问题</groupName>
      <ability>L2_Knowledge</ability>
      <abilityName>其他知识</abilityName>
      <candidateList>
        <item>2.8万—3.0万</item>
      </candidateList>
      <explain>1. “2.8-3.0万”中的单位“万”仅出现在后一个数字上，容易引起歧义；根据《现代汉语标点符号数字用法规范手册》，数字表示范围两边需要使用统一的格式。2.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70553052</paraID>
      <start>40</start>
      <end>48</end>
      <status>unmodified</status>
      <modifiedWord/>
      <trackRevisions>false</trackRevisions>
    </reviewItem>
    <reviewItem>
      <errorID>0ba9c7b2-2d3a-48e2-bfb6-5b2ae31fd7fd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5D647732</paraID>
      <start>0</start>
      <end>2</end>
      <status>unmodified</status>
      <modifiedWord/>
      <trackRevisions>false</trackRevisions>
    </reviewItem>
    <reviewItem>
      <errorID>c55d85d3-5a82-412d-af32-0e831a304005</errorID>
      <errorWord>-</errorWord>
      <group>L1_Format</group>
      <groupName>格式问题</groupName>
      <ability>L2_HalfPunc</ability>
      <abilityName>全半角检查</abilityName>
      <candidateList>
        <item>－</item>
      </candidateList>
      <explain>文本全半角错误。</explain>
      <paraID>5D647732</paraID>
      <start>78</start>
      <end>79</end>
      <status>unmodified</status>
      <modifiedWord/>
      <trackRevisions>false</trackRevisions>
    </reviewItem>
    <reviewItem>
      <errorID>27019d08-46ed-4912-b77d-c0d0d77f66ab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723D9EEA</paraID>
      <start>0</start>
      <end>2</end>
      <status>unmodified</status>
      <modifiedWord/>
      <trackRevisions>false</trackRevisions>
    </reviewItem>
    <reviewItem>
      <errorID>ff0f806d-d14e-4c70-acbf-4aa56f952da1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41066A79</paraID>
      <start>0</start>
      <end>2</end>
      <status>unmodified</status>
      <modifiedWord/>
      <trackRevisions>false</trackRevisions>
    </reviewItem>
    <reviewItem>
      <errorID>18c8e3fb-f627-4695-97ce-72c6b4ea2225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41066A79</paraID>
      <start>86</start>
      <end>87</end>
      <status>unmodified</status>
      <modifiedWord/>
      <trackRevisions>false</trackRevisions>
    </reviewItem>
    <reviewItem>
      <errorID>e2212286-bbb0-4e69-b7de-35c73c978a2a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41066A79</paraID>
      <start>136</start>
      <end>137</end>
      <status>unmodified</status>
      <modifiedWord/>
      <trackRevisions>false</trackRevisions>
    </reviewItem>
    <reviewItem>
      <errorID>625f8330-c883-422a-9f2e-12cf45aaa9a9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2E2F7A5A</paraID>
      <start>0</start>
      <end>2</end>
      <status>unmodified</status>
      <modifiedWord/>
      <trackRevisions>false</trackRevisions>
    </reviewItem>
    <reviewItem>
      <errorID>0fb20b75-3f88-4a3b-a1f6-5fb4c8ad0714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6E7592BA</paraID>
      <start>0</start>
      <end>2</end>
      <status>unmodified</status>
      <modifiedWord/>
      <trackRevisions>false</trackRevisions>
    </reviewItem>
    <reviewItem>
      <errorID>a38aaefe-d850-4a31-8e42-8e74295484c7</errorID>
      <errorWord>作</errorWord>
      <group>L1_Word</group>
      <groupName>字词问题</groupName>
      <ability>L2_Typo</ability>
      <abilityName>字词错误</abilityName>
      <candidateList>
        <item>做</item>
      </candidateList>
      <explain>（作）zuò〈动〉❶制造：～衣服｜用这木头～张桌子。❷写作：～文章。❸从事某种工作或活动：～工｜～事｜～买卖。❹举行庆祝或纪念活动：～寿｜～生日。❺充当；担任：～母亲的｜～官｜～教员｜～保育员｜今天开会由他～主席。❻当做：树皮可以～造纸的原料｜这篇文章可以～教材。❼结成（某种关系）：～亲｜～对头｜～朋友。</explain>
      <paraID>6E7592BA</paraID>
      <start>9</start>
      <end>10</end>
      <status>unmodified</status>
      <modifiedWord/>
      <trackRevisions>false</trackRevisions>
    </reviewItem>
    <reviewItem>
      <errorID>6bfbdaf9-fe21-4cbc-b6c7-9ce3179e7d52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2F8AE714</paraID>
      <start>0</start>
      <end>2</end>
      <status>unmodified</status>
      <modifiedWord/>
      <trackRevisions>false</trackRevisions>
    </reviewItem>
    <reviewItem>
      <errorID>0fa72fcc-43f1-4bde-8c3b-80e60453b16b</errorID>
      <errorWord>&lt;</errorWord>
      <group>L1_Format</group>
      <groupName>格式问题</groupName>
      <ability>L2_HalfPunc</ability>
      <abilityName>全半角检查</abilityName>
      <candidateList>
        <item>〈</item>
      </candidateList>
      <explain>文本全半角错误。</explain>
      <paraID>7ECFA754</paraID>
      <start>19</start>
      <end>20</end>
      <status>unmodified</status>
      <modifiedWord/>
      <trackRevisions>false</trackRevisions>
    </reviewItem>
    <reviewItem>
      <errorID>bbdaa8a8-7a0d-4703-8e4d-6020036a796a</errorID>
      <errorWord>&gt;的通知》</errorWord>
      <group>L1_Punc</group>
      <groupName>标点问题</groupName>
      <ability>L2_Punc</ability>
      <abilityName>标点符号检查</abilityName>
      <candidateList>
        <item>〉的通知》</item>
      </candidateList>
      <explain/>
      <paraID>7ECFA754</paraID>
      <start>38</start>
      <end>43</end>
      <status>unmodified</status>
      <modifiedWord/>
      <trackRevisions>false</trackRevisions>
    </reviewItem>
    <reviewItem>
      <errorID>d6abba5a-383d-4671-a51e-27ecfc61046c</errorID>
      <errorWord>(</errorWord>
      <group>L1_Format</group>
      <groupName>格式问题</groupName>
      <ability>L2_HalfPunc</ability>
      <abilityName>全半角检查</abilityName>
      <candidateList>
        <item>（</item>
      </candidateList>
      <explain>文本全半角错误。</explain>
      <paraID>7ECFA754</paraID>
      <start>43</start>
      <end>44</end>
      <status>unmodified</status>
      <modifiedWord/>
      <trackRevisions>false</trackRevisions>
    </reviewItem>
    <reviewItem>
      <errorID>a6e39834-8673-4b8f-9cb0-8e980c86a4d2</errorID>
      <errorWord>]</errorWord>
      <group>L1_Punc</group>
      <groupName>标点问题</groupName>
      <ability>L2_Punc</ability>
      <abilityName>标点符号检查</abilityName>
      <candidateList>
        <item>〕</item>
      </candidateList>
      <explain/>
      <paraID>7ECFA754</paraID>
      <start>52</start>
      <end>53</end>
      <status>unmodified</status>
      <modifiedWord/>
      <trackRevisions>false</trackRevisions>
    </reviewItem>
    <reviewItem>
      <errorID>6a36587d-c4dd-415c-a5f0-ae984ef4d2f9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4406EBB3</paraID>
      <start>0</start>
      <end>2</end>
      <status>unmodified</status>
      <modifiedWord/>
      <trackRevisions>false</trackRevisions>
    </reviewItem>
    <reviewItem>
      <errorID>59b1e9db-14b6-476b-a479-54e5717b9471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34E7E283</paraID>
      <start>0</start>
      <end>2</end>
      <status>unmodified</status>
      <modifiedWord/>
      <trackRevisions>false</trackRevisions>
    </reviewItem>
    <reviewItem>
      <errorID>d989d5d2-c0f5-4191-b0bb-d40071a01477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41EB814D</paraID>
      <start>0</start>
      <end>2</end>
      <status>unmodified</status>
      <modifiedWord/>
      <trackRevisions>false</trackRevisions>
    </reviewItem>
    <reviewItem>
      <errorID>34a366a5-da43-4bc4-a8e3-fb5748de928b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6DED12BD</paraID>
      <start>79</start>
      <end>80</end>
      <status>unmodified</status>
      <modifiedWord/>
      <trackRevisions>false</trackRevisions>
    </reviewItem>
    <reviewItem>
      <errorID>736698ce-ec2c-488a-a3ec-2679584e0ca9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6DED12BD</paraID>
      <start>93</start>
      <end>96</end>
      <status>unmodified</status>
      <modifiedWord/>
      <trackRevisions>false</trackRevisions>
    </reviewItem>
    <reviewItem>
      <errorID>ebb94456-bf6b-4874-93cb-52d1814dd41b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5CD2D296</paraID>
      <start>0</start>
      <end>2</end>
      <status>unmodified</status>
      <modifiedWord/>
      <trackRevisions>false</trackRevisions>
    </reviewItem>
    <reviewItem>
      <errorID>8055891e-37ac-4d23-94dc-ed251fa16f29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6E7E606E</paraID>
      <start>0</start>
      <end>2</end>
      <status>unmodified</status>
      <modifiedWord/>
      <trackRevisions>false</trackRevisions>
    </reviewItem>
    <reviewItem>
      <errorID>1150b632-86fc-4621-bcd9-731a50720df5</errorID>
      <errorWord>-</errorWord>
      <group>L1_Format</group>
      <groupName>格式问题</groupName>
      <ability>L2_HalfPunc</ability>
      <abilityName>全半角检查</abilityName>
      <candidateList>
        <item>－</item>
      </candidateList>
      <explain>文本全半角错误。</explain>
      <paraID> 146508E</paraID>
      <start>142</start>
      <end>143</end>
      <status>unmodified</status>
      <modifiedWord/>
      <trackRevisions>false</trackRevisions>
    </reviewItem>
    <reviewItem>
      <errorID>3411fdc9-ba4a-4a19-902f-d8d9be4df6ab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18CFCFB</paraID>
      <start>0</start>
      <end>2</end>
      <status>unmodified</status>
      <modifiedWord/>
      <trackRevisions>false</trackRevisions>
    </reviewItem>
    <reviewItem>
      <errorID>d90ae7e7-aa28-46f9-b568-af8da5c521ef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43F7547E</paraID>
      <start>0</start>
      <end>2</end>
      <status>unmodified</status>
      <modifiedWord/>
      <trackRevisions>false</trackRevisions>
    </reviewItem>
    <reviewItem>
      <errorID>d891f1c7-8e67-495b-aa9b-710ab37c7428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4B95A359</paraID>
      <start>0</start>
      <end>2</end>
      <status>unmodified</status>
      <modifiedWord/>
      <trackRevisions>false</trackRevisions>
    </reviewItem>
    <reviewItem>
      <errorID>f77f472f-4247-4107-9f54-c5a3104dc1c8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43B9409C</paraID>
      <start>0</start>
      <end>2</end>
      <status>unmodified</status>
      <modifiedWord/>
      <trackRevisions>false</trackRevisions>
    </reviewItem>
    <reviewItem>
      <errorID>58b11114-9447-4aee-923f-990332dd5708</errorID>
      <errorWord>转移的</errorWord>
      <group>L1_Word</group>
      <groupName>字词问题</groupName>
      <ability>L2_Typo</ability>
      <abilityName>字词错误</abilityName>
      <candidateList>
        <item>转移</item>
      </candidateList>
      <explain/>
      <paraID>34F0806E</paraID>
      <start>31</start>
      <end>34</end>
      <status>unmodified</status>
      <modifiedWord/>
      <trackRevisions>false</trackRevisions>
    </reviewItem>
    <reviewItem>
      <errorID>b1159dba-66ab-46a0-844e-be4ab327038a</errorID>
      <errorWord>危险废物的</errorWord>
      <group>L1_Word</group>
      <groupName>字词问题</groupName>
      <ability>L2_Typo</ability>
      <abilityName>字词错误</abilityName>
      <candidateList>
        <item>危险废物</item>
      </candidateList>
      <explain/>
      <paraID>34F0806E</paraID>
      <start>34</start>
      <end>39</end>
      <status>unmodified</status>
      <modifiedWord/>
      <trackRevisions>false</trackRevisions>
    </reviewItem>
    <reviewItem>
      <errorID>41f2d395-a49e-40d2-a50a-9822d01f7828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97BDB0C</paraID>
      <start>0</start>
      <end>2</end>
      <status>unmodified</status>
      <modifiedWord/>
      <trackRevisions>false</trackRevisions>
    </reviewItem>
    <reviewItem>
      <errorID>4e94873e-98ea-4704-bc84-b1c4f9ffdd9f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611BB82D</paraID>
      <start>0</start>
      <end>2</end>
      <status>unmodified</status>
      <modifiedWord/>
      <trackRevisions>false</trackRevisions>
    </reviewItem>
    <reviewItem>
      <errorID>8643f8c7-cbd4-43bf-9caa-9ff0a8673076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599119C3</paraID>
      <start>0</start>
      <end>2</end>
      <status>unmodified</status>
      <modifiedWord/>
      <trackRevisions>false</trackRevisions>
    </reviewItem>
    <reviewItem>
      <errorID>92625c19-0fd0-4260-9f4c-a6ba881ee81b</errorID>
      <errorWord>]</errorWord>
      <group>L1_Punc</group>
      <groupName>标点问题</groupName>
      <ability>L2_Punc</ability>
      <abilityName>标点符号检查</abilityName>
      <candidateList>
        <item>〕</item>
      </candidateList>
      <explain/>
      <paraID>2E962548</paraID>
      <start>35</start>
      <end>36</end>
      <status>unmodified</status>
      <modifiedWord/>
      <trackRevisions>false</trackRevisions>
    </reviewItem>
    <reviewItem>
      <errorID>3c737057-1a09-431e-bd80-110e776af1c0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51211405</paraID>
      <start>0</start>
      <end>3</end>
      <status>unmodified</status>
      <modifiedWord/>
      <trackRevisions>false</trackRevisions>
    </reviewItem>
    <reviewItem>
      <errorID>b1b4d2ce-e389-4f30-8dac-828c46d7b465</errorID>
      <errorWord>文</errorWord>
      <group>L1_Word</group>
      <groupName>字词问题</groupName>
      <ability>L2_Typo</ability>
      <abilityName>字词错误</abilityName>
      <candidateList>
        <item>文件</item>
      </candidateList>
      <explain/>
      <paraID>7D09EDFD</paraID>
      <start>6</start>
      <end>7</end>
      <status>unmodified</status>
      <modifiedWord/>
      <trackRevisions>false</trackRevisions>
    </reviewItem>
    <reviewItem>
      <errorID>5a128f09-0092-4499-9c50-3fbcecb361c9</errorID>
      <errorWord>作</errorWord>
      <group>L1_Word</group>
      <groupName>字词问题</groupName>
      <ability>L2_Typo</ability>
      <abilityName>字词错误</abilityName>
      <candidateList>
        <item>做</item>
      </candidateList>
      <explain>存在发音相同字词的误用。</explain>
      <paraID>  FBEB84</paraID>
      <start>26</start>
      <end>27</end>
      <status>unmodified</status>
      <modifiedWord/>
      <trackRevisions>false</trackRevisions>
    </reviewItem>
    <reviewItem>
      <errorID>a96fba00-ec93-4b54-8616-4fdadd4b3589</errorID>
      <errorWord>泄露</errorWord>
      <group>L1_Word</group>
      <groupName>字词问题</groupName>
      <ability>L2_Typo</ability>
      <abilityName>字词错误</abilityName>
      <candidateList>
        <item>泄漏</item>
      </candidateList>
      <explain>存在发音相同字词的误用。</explain>
      <paraID>  FBEB84</paraID>
      <start>63</start>
      <end>65</end>
      <status>unmodified</status>
      <modifiedWord/>
      <trackRevisions>false</trackRevisions>
    </reviewItem>
    <reviewItem>
      <errorID>c4edecf4-d768-4a54-8ed5-07b0267c4a42</errorID>
      <errorWord>如实和</errorWord>
      <group>L1_Word</group>
      <groupName>字词问题</groupName>
      <ability>L2_Typo</ability>
      <abilityName>字词错误</abilityName>
      <candidateList>
        <item>如实</item>
      </candidateList>
      <explain/>
      <paraID>  FBEB84</paraID>
      <start>98</start>
      <end>101</end>
      <status>unmodified</status>
      <modifiedWord/>
      <trackRevisions>false</trackRevisions>
    </reviewItem>
    <reviewItem>
      <errorID>9721aa3b-80e6-411f-b711-7e04b220af92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1B884EC3</paraID>
      <start>0</start>
      <end>2</end>
      <status>unmodified</status>
      <modifiedWord/>
      <trackRevisions>false</trackRevisions>
    </reviewItem>
    <reviewItem>
      <errorID>93bf3b03-0aab-439c-9b9c-2b21807ddae6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25EB1899</paraID>
      <start>0</start>
      <end>2</end>
      <status>unmodified</status>
      <modifiedWord/>
      <trackRevisions>false</trackRevisions>
    </reviewItem>
    <reviewItem>
      <errorID>bf3e01f7-7fdf-445e-843c-be3446c9730a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E95278</paraID>
      <start>0</start>
      <end>2</end>
      <status>unmodified</status>
      <modifiedWord/>
      <trackRevisions>false</trackRevisions>
    </reviewItem>
    <reviewItem>
      <errorID>2234d9aa-6b3c-489d-acde-931ed991dec5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42308068</paraID>
      <start>0</start>
      <end>2</end>
      <status>unmodified</status>
      <modifiedWord/>
      <trackRevisions>false</trackRevisions>
    </reviewItem>
    <reviewItem>
      <errorID>0626da01-c06d-4151-bbbe-617e387a6aea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59BAE012</paraID>
      <start>0</start>
      <end>2</end>
      <status>unmodified</status>
      <modifiedWord/>
      <trackRevisions>false</trackRevisions>
    </reviewItem>
    <reviewItem>
      <errorID>c1ec14e8-952d-4327-9dfe-f681b92ef43f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4D0FCF77</paraID>
      <start>0</start>
      <end>2</end>
      <status>unmodified</status>
      <modifiedWord/>
      <trackRevisions>false</trackRevisions>
    </reviewItem>
    <reviewItem>
      <errorID>69a14280-1082-46fe-908a-d4394b238a0a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22B90F36</paraID>
      <start>0</start>
      <end>2</end>
      <status>unmodified</status>
      <modifiedWord/>
      <trackRevisions>false</trackRevisions>
    </reviewItem>
    <reviewItem>
      <errorID>94d896a6-cfdc-4dcc-b73e-9e98b9304ff5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503B6938</paraID>
      <start>0</start>
      <end>2</end>
      <status>unmodified</status>
      <modifiedWord/>
      <trackRevisions>false</trackRevisions>
    </reviewItem>
    <reviewItem>
      <errorID>6120bba4-1514-44e6-b177-fe15deb45c3e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12407CA9</paraID>
      <start>0</start>
      <end>2</end>
      <status>unmodified</status>
      <modifiedWord/>
      <trackRevisions>false</trackRevisions>
    </reviewItem>
    <reviewItem>
      <errorID>7a6d7b87-5fc9-4f9e-acac-82207c7d522f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4EFB27C6</paraID>
      <start>0</start>
      <end>2</end>
      <status>unmodified</status>
      <modifiedWord/>
      <trackRevisions>false</trackRevisions>
    </reviewItem>
    <reviewItem>
      <errorID>3e541685-243c-4b5a-aea1-70b25e6a6079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6AE5B603</paraID>
      <start>95</start>
      <end>96</end>
      <status>unmodified</status>
      <modifiedWord/>
      <trackRevisions>false</trackRevisions>
    </reviewItem>
    <reviewItem>
      <errorID>34613a82-4695-4795-a41a-fa44a5e32741</errorID>
      <errorWord>III级</errorWord>
      <group>L1_Knowledge</group>
      <groupName>知识性问题</groupName>
      <ability>L2_Knowledge</ability>
      <abilityName>其他知识</abilityName>
      <candidateList>
        <item>Ⅲ级</item>
      </candidateList>
      <explain/>
      <paraID> DC0007E</paraID>
      <start>94</start>
      <end>98</end>
      <status>unmodified</status>
      <modifiedWord/>
      <trackRevisions>false</trackRevisions>
    </reviewItem>
    <reviewItem>
      <errorID>c7b95c3a-b74e-49d7-b189-28ce39cbb915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54DECED</paraID>
      <start>88</start>
      <end>89</end>
      <status>unmodified</status>
      <modifiedWord/>
      <trackRevisions>false</trackRevisions>
    </reviewItem>
    <reviewItem>
      <errorID>c3bcc72a-0991-41cf-9fe7-ebd991f6c598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2AA15146</paraID>
      <start>0</start>
      <end>2</end>
      <status>unmodified</status>
      <modifiedWord/>
      <trackRevisions>false</trackRevisions>
    </reviewItem>
    <reviewItem>
      <errorID>16a4c664-3421-4ff7-8640-ef55583fa993</errorID>
      <errorWord>期</errorWord>
      <group>L1_Word</group>
      <groupName>字词问题</groupName>
      <ability>L2_Typo</ability>
      <abilityName>字词错误</abilityName>
      <candidateList>
        <item>期间</item>
      </candidateList>
      <explain>〈名〉某个时期里面：农忙～｜春节～｜抗战～。</explain>
      <paraID>2AA15146</paraID>
      <start>4</start>
      <end>5</end>
      <status>unmodified</status>
      <modifiedWord/>
      <trackRevisions>false</trackRevisions>
    </reviewItem>
    <reviewItem>
      <errorID>6e20185c-0a8d-48da-99f7-b291a2d18ad6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9B7A960</paraID>
      <start>0</start>
      <end>2</end>
      <status>unmodified</status>
      <modifiedWord/>
      <trackRevisions>false</trackRevisions>
    </reviewItem>
    <reviewItem>
      <errorID>dd9192a3-bbd0-4d49-a2fe-51cd00b7b50e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65E96B2A</paraID>
      <start>0</start>
      <end>2</end>
      <status>unmodified</status>
      <modifiedWord/>
      <trackRevisions>false</trackRevisions>
    </reviewItem>
    <reviewItem>
      <errorID>9241dd4d-504d-4c99-8def-f75a122f356a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41FAFFCE</paraID>
      <start>0</start>
      <end>2</end>
      <status>unmodified</status>
      <modifiedWord/>
      <trackRevisions>false</trackRevisions>
    </reviewItem>
    <reviewItem>
      <errorID>112684d0-0225-404d-b7fc-81dfc99b964e</errorID>
      <errorWord>]</errorWord>
      <group>L1_Punc</group>
      <groupName>标点问题</groupName>
      <ability>L2_Punc</ability>
      <abilityName>标点符号检查</abilityName>
      <candidateList>
        <item>〕</item>
      </candidateList>
      <explain/>
      <paraID>503F90C7</paraID>
      <start>42</start>
      <end>43</end>
      <status>unmodified</status>
      <modifiedWord/>
      <trackRevisions>false</trackRevisions>
    </reviewItem>
    <reviewItem>
      <errorID>8032ddd0-2c23-4ca6-832c-7e83599c1261</errorID>
      <errorWord>-</errorWord>
      <group>L1_Format</group>
      <groupName>格式问题</groupName>
      <ability>L2_HalfPunc</ability>
      <abilityName>全半角检查</abilityName>
      <candidateList>
        <item>－</item>
      </candidateList>
      <explain>文本全半角错误。</explain>
      <paraID>503F90C7</paraID>
      <start>86</start>
      <end>87</end>
      <status>unmodified</status>
      <modifiedWord/>
      <trackRevisions>false</trackRevisions>
    </reviewItem>
    <reviewItem>
      <errorID>1c35a978-3b1f-4622-9ceb-a4ed3e00af02</errorID>
      <errorWord>-</errorWord>
      <group>L1_Format</group>
      <groupName>格式问题</groupName>
      <ability>L2_HalfPunc</ability>
      <abilityName>全半角检查</abilityName>
      <candidateList>
        <item>－</item>
      </candidateList>
      <explain>文本全半角错误。</explain>
      <paraID>503F90C7</paraID>
      <start>102</start>
      <end>103</end>
      <status>unmodified</status>
      <modifiedWord/>
      <trackRevisions>false</trackRevisions>
    </reviewItem>
    <reviewItem>
      <errorID>3bf0c044-a517-4575-8dce-f116548d7c1d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45755640</paraID>
      <start>0</start>
      <end>2</end>
      <status>unmodified</status>
      <modifiedWord/>
      <trackRevisions>false</trackRevisions>
    </reviewItem>
    <reviewItem>
      <errorID>38ac65f9-b4b6-49b6-b7e8-9719681b2c5e</errorID>
      <errorWord>&gt;</errorWord>
      <group>L1_Punc</group>
      <groupName>标点问题</groupName>
      <ability>L2_Punc</ability>
      <abilityName>标点符号检查</abilityName>
      <candidateList/>
      <explain/>
      <paraID>6ECFDBA2</paraID>
      <start>0</start>
      <end>1</end>
      <status>unmodified</status>
      <modifiedWord/>
      <trackRevisions>false</trackRevisions>
    </reviewItem>
    <reviewItem>
      <errorID>6aac6bde-1707-490d-9a78-bed69c4bc491</errorID>
      <errorWord>，</errorWord>
      <group>L1_Word</group>
      <groupName>字词问题</groupName>
      <ability>L2_Typo</ability>
      <abilityName>字词错误</abilityName>
      <candidateList>
        <item>，具</item>
      </candidateList>
      <explain/>
      <paraID>12EF296C</paraID>
      <start>196</start>
      <end>197</end>
      <status>unmodified</status>
      <modifiedWord/>
      <trackRevisions>false</trackRevisions>
    </reviewItem>
    <reviewItem>
      <errorID>cac8805e-f55e-4d0a-b6c1-f2b5a3c18f72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4B507C3C</paraID>
      <start>63</start>
      <end>64</end>
      <status>unmodified</status>
      <modifiedWord/>
      <trackRevisions>false</trackRevisions>
    </reviewItem>
    <reviewItem>
      <errorID>c3b623f3-15f6-4313-b3fc-7d6bfd8c62b4</errorID>
      <errorWord>最小</errorWord>
      <group>L1_Word</group>
      <groupName>字词问题</groupName>
      <ability>L2_Typo</ability>
      <abilityName>字词错误</abilityName>
      <candidateList>
        <item>最低</item>
      </candidateList>
      <explain/>
      <paraID>4B507C3C</paraID>
      <start>84</start>
      <end>86</end>
      <status>unmodified</status>
      <modifiedWord/>
      <trackRevisions>false</trackRevisions>
    </reviewItem>
    <reviewItem>
      <errorID>2747de2f-85f5-4efe-8c19-f20001b85e7d</errorID>
      <errorWord>有效的</errorWord>
      <group>L1_Word</group>
      <groupName>字词问题</groupName>
      <ability>L2_Typo</ability>
      <abilityName>字词错误</abilityName>
      <candidateList>
        <item>有效地</item>
      </candidateList>
      <explain/>
      <paraID>4B507C3C</paraID>
      <start>118</start>
      <end>121</end>
      <status>unmodified</status>
      <modifiedWord/>
      <trackRevisions>false</trackRevisions>
    </reviewItem>
    <reviewItem>
      <errorID>982faf3e-2d71-422a-a4aa-fead6a9e7dd6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DF27304</paraID>
      <start>0</start>
      <end>2</end>
      <status>unmodified</status>
      <modifiedWord/>
      <trackRevisions>false</trackRevisions>
    </reviewItem>
    <reviewItem>
      <errorID>ab9c7c13-8740-410e-919e-1f14daab44b1</errorID>
      <errorWord>工段等</errorWord>
      <group>L1_Word</group>
      <groupName>字词问题</groupName>
      <ability>L2_Typo</ability>
      <abilityName>字词错误</abilityName>
      <candidateList>
        <item>工段</item>
      </candidateList>
      <explain/>
      <paraID>4CC59628</paraID>
      <start>40</start>
      <end>43</end>
      <status>unmodified</status>
      <modifiedWord/>
      <trackRevisions>false</trackRevisions>
    </reviewItem>
    <reviewItem>
      <errorID>6fcfb1c7-3f34-4756-90fe-a22edeb1818a</errorID>
      <errorWord>演练的</errorWord>
      <group>L1_Word</group>
      <groupName>字词问题</groupName>
      <ability>L2_Typo</ability>
      <abilityName>字词错误</abilityName>
      <candidateList>
        <item>演练</item>
      </candidateList>
      <explain/>
      <paraID>49B7F356</paraID>
      <start>12</start>
      <end>15</end>
      <status>unmodified</status>
      <modifiedWord/>
      <trackRevisions>false</trackRevisions>
    </reviewItem>
    <reviewItem>
      <errorID>c8fc6bae-717d-4572-ab0c-f78cc5cdfa29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432CAADD</paraID>
      <start>0</start>
      <end>2</end>
      <status>unmodified</status>
      <modifiedWord/>
      <trackRevisions>false</trackRevisions>
    </reviewItem>
    <reviewItem>
      <errorID>217fda9d-998f-4786-bbbc-d9f075fc117f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78965EA8</paraID>
      <start>0</start>
      <end>2</end>
      <status>unmodified</status>
      <modifiedWord/>
      <trackRevisions>false</trackRevisions>
    </reviewItem>
    <reviewItem>
      <errorID>035c512a-d656-4d5e-898d-424585105a23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4BAEDD55</paraID>
      <start>0</start>
      <end>2</end>
      <status>unmodified</status>
      <modifiedWord/>
      <trackRevisions>false</trackRevisions>
    </reviewItem>
    <reviewItem>
      <errorID>74778433-16c0-4283-b985-78fbef72fe38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6DB6B9DB</paraID>
      <start>0</start>
      <end>2</end>
      <status>unmodified</status>
      <modifiedWord/>
      <trackRevisions>false</trackRevisions>
    </reviewItem>
    <reviewItem>
      <errorID>8d5a7cb5-3ad2-43fc-a6b3-c74c378168dc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B48201C</paraID>
      <start>0</start>
      <end>2</end>
      <status>unmodified</status>
      <modifiedWord/>
      <trackRevisions>false</trackRevisions>
    </reviewItem>
    <reviewItem>
      <errorID>f3e0a7e4-b505-4b80-8638-afb13b4f15c3</errorID>
      <errorWord>环境的</errorWord>
      <group>L1_Word</group>
      <groupName>字词问题</groupName>
      <ability>L2_Typo</ability>
      <abilityName>字词错误</abilityName>
      <candidateList>
        <item>环境</item>
      </candidateList>
      <explain>〈名〉❶周围的地方：～优美｜～卫生。❷周围的情况和条件：客观～｜工作～。</explain>
      <paraID>3E683618</paraID>
      <start>65</start>
      <end>68</end>
      <status>unmodified</status>
      <modifiedWord/>
      <trackRevisions>false</trackRevisions>
    </reviewItem>
    <reviewItem>
      <errorID>7c397f64-7c04-4a5a-88e5-2a9d835c5bf3</errorID>
      <errorWord>转输</errorWord>
      <group>L1_Word</group>
      <groupName>字词问题</groupName>
      <ability>L2_Typo</ability>
      <abilityName>字词错误</abilityName>
      <candidateList>
        <item>传输</item>
      </candidateList>
      <explain>存在发音相同字词的误用。</explain>
      <paraID>2B075AB2</paraID>
      <start>10</start>
      <end>12</end>
      <status>unmodified</status>
      <modifiedWord/>
      <trackRevisions>false</trackRevisions>
    </reviewItem>
    <reviewItem>
      <errorID>c8f904e4-ac64-4444-bc85-70b610c7409c</errorID>
      <errorWord>(</errorWord>
      <group>L1_Format</group>
      <groupName>格式问题</groupName>
      <ability>L2_HalfPunc</ability>
      <abilityName>全半角检查</abilityName>
      <candidateList>
        <item>（</item>
      </candidateList>
      <explain>文本全半角错误。</explain>
      <paraID>2B075AB2</paraID>
      <start>33</start>
      <end>34</end>
      <status>unmodified</status>
      <modifiedWord/>
      <trackRevisions>false</trackRevisions>
    </reviewItem>
    <reviewItem>
      <errorID>cefcbf35-6131-4f67-8449-590a7b62b2b2</errorID>
      <errorWord>)</errorWord>
      <group>L1_Format</group>
      <groupName>格式问题</groupName>
      <ability>L2_HalfPunc</ability>
      <abilityName>全半角检查</abilityName>
      <candidateList>
        <item>）</item>
      </candidateList>
      <explain>文本全半角错误。</explain>
      <paraID>2B075AB2</paraID>
      <start>42</start>
      <end>43</end>
      <status>ignored</status>
      <modifiedWord/>
      <trackRevisions>false</trackRevisions>
    </reviewItem>
    <reviewItem>
      <errorID>56d676be-9dfe-43b2-8ff2-a0b1ef0b2f1e</errorID>
      <errorWord>；</errorWord>
      <group>L1_Format</group>
      <groupName>格式问题</groupName>
      <ability>L2_HalfPunc</ability>
      <abilityName>全半角检查</abilityName>
      <candidateList>
        <item>;</item>
      </candidateList>
      <explain>文本全半角错误。</explain>
      <paraID>21E6FF84</paraID>
      <start>6</start>
      <end>7</end>
      <status>unmodified</status>
      <modifiedWord/>
      <trackRevisions>false</trackRevisions>
    </reviewItem>
    <reviewItem>
      <errorID>1c52ace1-0481-4d2b-9a03-704e542f59d3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A43B14C</paraID>
      <start>31</start>
      <end>34</end>
      <status>unmodified</status>
      <modifiedWord/>
      <trackRevisions>false</trackRevisions>
    </reviewItem>
    <reviewItem>
      <errorID>52edcfb1-dca1-44ef-a8c3-a7fb94bb552a</errorID>
      <errorWord>废液应</errorWord>
      <group>L1_Word</group>
      <groupName>字词问题</groupName>
      <ability>L2_Typo</ability>
      <abilityName>字词错误</abilityName>
      <candidateList>
        <item>废液</item>
      </candidateList>
      <explain/>
      <paraID> A43B14C</paraID>
      <start>101</start>
      <end>104</end>
      <status>unmodified</status>
      <modifiedWord/>
      <trackRevisions>false</trackRevisions>
    </reviewItem>
    <reviewItem>
      <errorID>9608d91b-18db-4e02-ac2e-268a106185d7</errorID>
      <errorWord>法律、法规</errorWord>
      <group>L1_Word</group>
      <groupName>字词问题</groupName>
      <ability>L2_Typo</ability>
      <abilityName>字词错误</abilityName>
      <candidateList>
        <item>法律法规</item>
      </candidateList>
      <explain/>
      <paraID>7008860F</paraID>
      <start>171</start>
      <end>176</end>
      <status>unmodified</status>
      <modifiedWord/>
      <trackRevisions>false</trackRevisions>
    </reviewItem>
    <reviewItem>
      <errorID>2a34ccf9-13b5-4b52-ac79-ed6d1f6e5d37</errorID>
      <errorWord>）</errorWord>
      <group>L1_Word</group>
      <groupName>字词问题</groupName>
      <ability>L2_Typo</ability>
      <abilityName>字词错误</abilityName>
      <candidateList>
        <item>）与</item>
      </candidateList>
      <explain/>
      <paraID>56D5EE70</paraID>
      <start>2</start>
      <end>3</end>
      <status>unmodified</status>
      <modifiedWord/>
      <trackRevisions>false</trackRevisions>
    </reviewItem>
    <reviewItem>
      <errorID>0bb20e4f-64e6-4337-9213-45f03fe9c3ac</errorID>
      <errorWord>(</errorWord>
      <group>L1_Format</group>
      <groupName>格式问题</groupName>
      <ability>L2_HalfPunc</ability>
      <abilityName>全半角检查</abilityName>
      <candidateList>
        <item>（</item>
      </candidateList>
      <explain>文本全半角错误。</explain>
      <paraID>4E62F385</paraID>
      <start>7</start>
      <end>8</end>
      <status>unmodified</status>
      <modifiedWord/>
      <trackRevisions>false</trackRevisions>
    </reviewItem>
    <reviewItem>
      <errorID>7335bcaa-3fc4-4056-a9f1-98f0bd9d3347</errorID>
      <errorWord>)</errorWord>
      <group>L1_Format</group>
      <groupName>格式问题</groupName>
      <ability>L2_HalfPunc</ability>
      <abilityName>全半角检查</abilityName>
      <candidateList>
        <item>）</item>
      </candidateList>
      <explain>文本全半角错误。</explain>
      <paraID>4E62F385</paraID>
      <start>14</start>
      <end>15</end>
      <status>ignored</status>
      <modifiedWord/>
      <trackRevisions>false</trackRevisions>
    </reviewItem>
    <reviewItem>
      <errorID>5c4991ba-93d4-4b9d-9ffc-f8852ed93e28</errorID>
      <errorWord>，</errorWord>
      <group>L1_Word</group>
      <groupName>字词问题</groupName>
      <ability>L2_Typo</ability>
      <abilityName>字词错误</abilityName>
      <candidateList>
        <item>，经</item>
      </candidateList>
      <explain/>
      <paraID>6AD9D075</paraID>
      <start>55</start>
      <end>56</end>
      <status>unmodified</status>
      <modifiedWord/>
      <trackRevisions>false</trackRevisions>
    </reviewItem>
    <reviewItem>
      <errorID>4f6a2c37-5608-4550-83ed-24289e763c03</errorID>
      <errorWord>响应</errorWord>
      <group>L1_Word</group>
      <groupName>字词问题</groupName>
      <ability>L2_Typo</ability>
      <abilityName>字词错误</abilityName>
      <candidateList>
        <item>相应</item>
      </candidateList>
      <explain>存在发音相同字词的误用。</explain>
      <paraID>505DA339</paraID>
      <start>30</start>
      <end>32</end>
      <status>unmodified</status>
      <modifiedWord/>
      <trackRevisions>false</trackRevisions>
    </reviewItem>
    <reviewItem>
      <errorID>b969157e-f722-4f11-9245-ec3334ca3735</errorID>
      <errorWord>受到</errorWord>
      <group>L1_Word</group>
      <groupName>字词问题</groupName>
      <ability>L2_Typo</ability>
      <abilityName>字词错误</abilityName>
      <candidateList>
        <item>受</item>
      </candidateList>
      <explain>〈动〉❶接受：～贿｜～教育｜～到帮助。❷遭受：～灾｜～批评｜～委屈。❸忍受；禁受：～不了｜～得住。❹适合：～吃（吃着有味）｜～看（看着舒服）｜～听（听着入耳）。</explain>
      <paraID>5568C77C</paraID>
      <start>187</start>
      <end>189</end>
      <status>unmodified</status>
      <modifiedWord/>
      <trackRevisions>false</trackRevisions>
    </reviewItem>
    <reviewItem>
      <errorID>34a33ec6-7e9c-4fcc-b3dd-18b3cfc9bb82</errorID>
      <errorWord>、、</errorWord>
      <group>L1_Punc</group>
      <groupName>标点问题</groupName>
      <ability>L2_Punc</ability>
      <abilityName>标点符号检查</abilityName>
      <candidateList>
        <item>、</item>
      </candidateList>
      <explain/>
      <paraID>486EFF21</paraID>
      <start>34</start>
      <end>36</end>
      <status>unmodified</status>
      <modifiedWord/>
      <trackRevisions>false</trackRevisions>
    </reviewItem>
    <reviewItem>
      <errorID>8452433c-3153-4ea4-b2cd-0d6797951094</errorID>
      <errorWord>-</errorWord>
      <group>L1_Format</group>
      <groupName>格式问题</groupName>
      <ability>L2_HalfPunc</ability>
      <abilityName>全半角检查</abilityName>
      <candidateList>
        <item>－</item>
      </candidateList>
      <explain>文本全半角错误。</explain>
      <paraID>7CDFD8C0</paraID>
      <start>7</start>
      <end>8</end>
      <status>unmodified</status>
      <modifiedWord/>
      <trackRevisions>false</trackRevisions>
    </reviewItem>
    <reviewItem>
      <errorID>2a0b7e63-ba91-482c-93e5-32bd8cb085d2</errorID>
      <errorWord>*</errorWord>
      <group>L1_Punc</group>
      <groupName>标点问题</groupName>
      <ability>L2_Punc</ability>
      <abilityName>标点符号检查</abilityName>
      <candidateList/>
      <explain/>
      <paraID> 8CCDEE8</paraID>
      <start>0</start>
      <end>1</end>
      <status>unmodified</status>
      <modifiedWord/>
      <trackRevisions>false</trackRevisions>
    </reviewItem>
    <reviewItem>
      <errorID>2a8f6739-5868-4b56-a303-c77250ad4240</errorID>
      <errorWord>设</errorWord>
      <group>L1_Word</group>
      <groupName>字词问题</groupName>
      <ability>L2_Typo</ability>
      <abilityName>字词错误</abilityName>
      <candidateList>
        <item>设立</item>
      </candidateList>
      <explain/>
      <paraID>12C1FBB3</paraID>
      <start>32</start>
      <end>33</end>
      <status>unmodified</status>
      <modifiedWord/>
      <trackRevisions>false</trackRevisions>
    </reviewItem>
    <reviewItem>
      <errorID>234ecc06-a01b-431e-b692-0ab1d62bb72e</errorID>
      <errorWord>法律、法规</errorWord>
      <group>L1_Word</group>
      <groupName>字词问题</groupName>
      <ability>L2_Typo</ability>
      <abilityName>字词错误</abilityName>
      <candidateList>
        <item>法律法规</item>
      </candidateList>
      <explain/>
      <paraID> EE5660B</paraID>
      <start>36</start>
      <end>41</end>
      <status>unmodified</status>
      <modifiedWord/>
      <trackRevisions>false</trackRevisions>
    </reviewItem>
    <reviewItem>
      <errorID>c85fc0ff-a92f-48a4-b0c8-ab74f4a56a77</errorID>
      <errorWord>法律、法规</errorWord>
      <group>L1_Word</group>
      <groupName>字词问题</groupName>
      <ability>L2_Typo</ability>
      <abilityName>字词错误</abilityName>
      <candidateList>
        <item>法律法规</item>
      </candidateList>
      <explain/>
      <paraID>11886DD8</paraID>
      <start>18</start>
      <end>23</end>
      <status>unmodified</status>
      <modifiedWord/>
      <trackRevisions>false</trackRevisions>
    </reviewItem>
    <reviewItem>
      <errorID>a01232a7-0a9d-48e4-962c-602010be6e48</errorID>
      <errorWord>提高</errorWord>
      <group>L1_Grammar</group>
      <groupName>语法问题</groupName>
      <ability>L2_Grammar</ability>
      <abilityName>语法错误</abilityName>
      <candidateList>
        <item>增强</item>
      </candidateList>
      <explain>“提高～意识”搭配不当，建议修改为“增强～意识”。</explain>
      <paraID>11886DD8</paraID>
      <start>70</start>
      <end>72</end>
      <status>unmodified</status>
      <modifiedWord/>
      <trackRevisions>false</trackRevisions>
    </reviewItem>
    <reviewItem>
      <errorID>f5a25a88-10b3-4a01-8ce2-bea058ed39af</errorID>
      <errorWord>做出</errorWord>
      <group>L1_Word</group>
      <groupName>字词问题</groupName>
      <ability>L2_Typo</ability>
      <abilityName>字词错误</abilityName>
      <candidateList>
        <item>作出</item>
      </candidateList>
      <explain/>
      <paraID>4BBF6A33</paraID>
      <start>59</start>
      <end>61</end>
      <status>unmodified</status>
      <modifiedWord/>
      <trackRevisions>false</trackRevisions>
    </reviewItem>
    <reviewItem>
      <errorID>a2a32603-433a-4672-b6d3-c8eb77e95e33</errorID>
      <errorWord>环境污染预防</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词汇“环境污染防治”在特定场景下为固定表述形式，请确认此处的“环境污染预防”是否存在不当。</explain>
      <paraID>6F0FBBFF</paraID>
      <start>34</start>
      <end>40</end>
      <status>unmodified</status>
      <modifiedWord/>
      <trackRevisions>false</trackRevisions>
    </reviewItem>
    <reviewItem>
      <errorID>944ad4ed-a42d-4218-bbb4-d43bde24a5c4</errorID>
      <errorWord>落实到实处</errorWord>
      <group>L1_Word</group>
      <groupName>字词问题</groupName>
      <ability>L2_Typo</ability>
      <abilityName>字词错误</abilityName>
      <candidateList>
        <item>落到实处</item>
      </candidateList>
      <explain/>
      <paraID>162371AA</paraID>
      <start>41</start>
      <end>46</end>
      <status>unmodified</status>
      <modifiedWord/>
      <trackRevisions>false</trackRevisions>
    </reviewItem>
    <reviewItem>
      <errorID>9e919f26-7e9a-4fa9-87a4-b5f71c77bae0</errorID>
      <errorWord>提高</errorWord>
      <group>L1_Grammar</group>
      <groupName>语法问题</groupName>
      <ability>L2_Grammar</ability>
      <abilityName>语法错误</abilityName>
      <candidateList>
        <item>增强</item>
      </candidateList>
      <explain>“提高～意识”搭配不当，建议修改为“增强～意识”。</explain>
      <paraID>3A19DA51</paraID>
      <start>10</start>
      <end>12</end>
      <status>unmodified</status>
      <modifiedWord/>
      <trackRevisions>false</trackRevisions>
    </reviewItem>
    <reviewItem>
      <errorID>3acdd6e3-a559-4a39-a722-fe9dcbf64cf9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69E91EFF</paraID>
      <start>53</start>
      <end>54</end>
      <status>unmodified</status>
      <modifiedWord/>
      <trackRevisions>false</trackRevisions>
    </reviewItem>
    <reviewItem>
      <errorID>e38d8798-f5cd-4447-9238-9d8502094a98</errorID>
      <errorWord>）</errorWord>
      <group>L1_Word</group>
      <groupName>字词问题</groupName>
      <ability>L2_Typo</ability>
      <abilityName>字词错误</abilityName>
      <candidateList>
        <item>）等</item>
      </candidateList>
      <explain/>
      <paraID>36A7B314</paraID>
      <start>71</start>
      <end>72</end>
      <status>unmodified</status>
      <modifiedWord/>
      <trackRevisions>false</trackRevisions>
    </reviewItem>
    <reviewItem>
      <errorID>c5da209d-afc8-4371-bbc6-00aec0d0792c</errorID>
      <errorWord>需具备</errorWord>
      <group>L1_Word</group>
      <groupName>字词问题</groupName>
      <ability>L2_Typo</ability>
      <abilityName>字词错误</abilityName>
      <candidateList>
        <item>须具备</item>
      </candidateList>
      <explain/>
      <paraID>26AA4666</paraID>
      <start>37</start>
      <end>40</end>
      <status>unmodified</status>
      <modifiedWord/>
      <trackRevisions>false</trackRevisions>
    </reviewItem>
    <reviewItem>
      <errorID>d71186c4-bb28-4fd9-bdef-d587096430bf</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440B09F4</paraID>
      <start>22</start>
      <end>24</end>
      <status>unmodified</status>
      <modifiedWord/>
      <trackRevisions>false</trackRevisions>
    </reviewItem>
    <reviewItem>
      <errorID>5b881528-6651-4968-8b4a-a2553f5056f6</errorID>
      <errorWord>]</errorWord>
      <group>L1_Punc</group>
      <groupName>标点问题</groupName>
      <ability>L2_Punc</ability>
      <abilityName>标点符号检查</abilityName>
      <candidateList>
        <item>〕</item>
      </candidateList>
      <explain/>
      <paraID>1C7F6373</paraID>
      <start>147</start>
      <end>148</end>
      <status>unmodified</status>
      <modifiedWord/>
      <trackRevisions>false</trackRevisions>
    </reviewItem>
    <reviewItem>
      <errorID>44686bd1-8af9-41fb-9565-36bad6fd793d</errorID>
      <errorWord>环境污染预防</errorWord>
      <group>L1_Political</group>
      <groupName>政治性问题</groupName>
      <ability>L2_Keyword</ability>
      <abilityName>固定表述</abilityName>
      <candidateList>
        <item>环境污染防治</item>
      </candidateList>
      <explain>词汇“环境污染防治”在特定场景下为固定表述形式，请确认此处的“环境污染预防”是否存在不当。</explain>
      <paraID> FBC59D3</paraID>
      <start>34</start>
      <end>40</end>
      <status>unmodified</status>
      <modifiedWord/>
      <trackRevisions>false</trackRevisions>
    </reviewItem>
    <reviewItem>
      <errorID>2159ecf6-3b61-42b7-a8a5-7546b665b938</errorID>
      <errorWord>(</errorWord>
      <group>L1_Format</group>
      <groupName>格式问题</groupName>
      <ability>L2_HalfPunc</ability>
      <abilityName>全半角检查</abilityName>
      <candidateList>
        <item>（</item>
      </candidateList>
      <explain>文本全半角错误。</explain>
      <paraID>44269FD3</paraID>
      <start>213</start>
      <end>214</end>
      <status>unmodified</status>
      <modifiedWord/>
      <trackRevisions>false</trackRevisions>
    </reviewItem>
    <reviewItem>
      <errorID>c380749f-eeac-42bb-bb7f-852114baaa17</errorID>
      <errorWord>)</errorWord>
      <group>L1_Format</group>
      <groupName>格式问题</groupName>
      <ability>L2_HalfPunc</ability>
      <abilityName>全半角检查</abilityName>
      <candidateList>
        <item>）</item>
      </candidateList>
      <explain>文本全半角错误。</explain>
      <paraID>44269FD3</paraID>
      <start>225</start>
      <end>226</end>
      <status>ignored</status>
      <modifiedWord/>
      <trackRevisions>false</trackRevisions>
    </reviewItem>
    <reviewItem>
      <errorID>85269db5-4469-4dea-a90b-8b97606273a0</errorID>
      <errorWord>达</errorWord>
      <group>L1_Word</group>
      <groupName>字词问题</groupName>
      <ability>L2_Typo</ability>
      <abilityName>字词错误</abilityName>
      <candidateList>
        <item>达到</item>
      </candidateList>
      <explain>〈动〉到（多指抽象事物或程度）：达得到｜达不到｜目的没有～｜～国际水平。</explain>
      <paraID>604660E0</paraID>
      <start>17</start>
      <end>18</end>
      <status>unmodified</status>
      <modifiedWord/>
      <trackRevisions>false</trackRevisions>
    </reviewItem>
    <reviewItem>
      <errorID>cea36205-e92b-4e31-9639-1dd7429e01da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983735</paraID>
      <start>59</start>
      <end>60</end>
      <status>unmodified</status>
      <modifiedWord/>
      <trackRevisions>false</trackRevisions>
    </reviewItem>
    <reviewItem>
      <errorID>7ded66df-26ac-4013-9ad3-55ffc34f20b8</errorID>
      <errorWord>管理文件的</errorWord>
      <group>L1_Word</group>
      <groupName>字词问题</groupName>
      <ability>L2_Typo</ability>
      <abilityName>字词错误</abilityName>
      <candidateList>
        <item>管理文件</item>
      </candidateList>
      <explain/>
      <paraID>1C8F056A</paraID>
      <start>15</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F9F890-4027-4FC8-8CA2-EC7281CA73D7}">
  <ds:schemaRefs/>
</ds:datastoreItem>
</file>

<file path=customXml/itemProps3.xml><?xml version="1.0" encoding="utf-8"?>
<ds:datastoreItem xmlns:ds="http://schemas.openxmlformats.org/officeDocument/2006/customXml" ds:itemID="{03f907bf-1756-4dad-b478-500e1528781c}">
  <ds:schemaRefs/>
</ds:datastoreItem>
</file>

<file path=docProps/app.xml><?xml version="1.0" encoding="utf-8"?>
<Properties xmlns="http://schemas.openxmlformats.org/officeDocument/2006/extended-properties" xmlns:vt="http://schemas.openxmlformats.org/officeDocument/2006/docPropsVTypes">
  <Template>Normal</Template>
  <Pages>326</Pages>
  <Words>6024</Words>
  <Characters>7248</Characters>
  <Lines>1</Lines>
  <Paragraphs>1</Paragraphs>
  <TotalTime>0</TotalTime>
  <ScaleCrop>false</ScaleCrop>
  <LinksUpToDate>false</LinksUpToDate>
  <CharactersWithSpaces>7969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2024-03-25T16:07:00Z</dcterms:created>
  <dc:creator>叶 婷</dc:creator>
  <cp:lastModifiedBy>崔轲</cp:lastModifiedBy>
  <cp:lastPrinted>2024-04-08T19:30:00Z</cp:lastPrinted>
  <dcterms:modified xsi:type="dcterms:W3CDTF">2026-06-15T09:04:17Z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9C6B0047D541410591ACF1004CD8A086_13</vt:lpwstr>
  </property>
  <property fmtid="{D5CDD505-2E9C-101B-9397-08002B2CF9AE}" pid="4" name="KSOTemplateDocerSaveRecord">
    <vt:lpwstr>eyJoZGlkIjoiYzQ5YjM4YjM4MGNjZmE0MDRiZDc5MmI0NGUxMDY1MzgiLCJ1c2VySWQiOiIzMTM3NzMyNCJ9</vt:lpwstr>
  </property>
</Properties>
</file>